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5D07B" w14:textId="7AF8ABF7" w:rsidR="00E8629F" w:rsidRPr="00C64ECB" w:rsidRDefault="00777B7F">
      <w:pPr>
        <w:pStyle w:val="ZA"/>
        <w:framePr w:wrap="notBeside"/>
      </w:pPr>
      <w:bookmarkStart w:id="0" w:name="page1"/>
      <w:r w:rsidRPr="00C64ECB">
        <w:rPr>
          <w:sz w:val="64"/>
        </w:rPr>
        <w:t>3GPP TR 3</w:t>
      </w:r>
      <w:r w:rsidR="005124A2" w:rsidRPr="00C64ECB">
        <w:rPr>
          <w:sz w:val="64"/>
        </w:rPr>
        <w:t>8</w:t>
      </w:r>
      <w:r w:rsidRPr="00C64ECB">
        <w:rPr>
          <w:sz w:val="64"/>
        </w:rPr>
        <w:t>.889</w:t>
      </w:r>
      <w:r w:rsidR="00E8629F" w:rsidRPr="00C64ECB">
        <w:rPr>
          <w:sz w:val="64"/>
        </w:rPr>
        <w:t xml:space="preserve"> </w:t>
      </w:r>
      <w:r w:rsidR="007D0E69" w:rsidRPr="00C64ECB">
        <w:t>V</w:t>
      </w:r>
      <w:r w:rsidR="009456E2">
        <w:t>1</w:t>
      </w:r>
      <w:r w:rsidR="009E4168">
        <w:t>6</w:t>
      </w:r>
      <w:r w:rsidR="009456E2">
        <w:t>.</w:t>
      </w:r>
      <w:r w:rsidR="009E4168">
        <w:t>0</w:t>
      </w:r>
      <w:r w:rsidR="009456E2">
        <w:t>.0</w:t>
      </w:r>
      <w:r w:rsidR="006E7C76" w:rsidRPr="00C64ECB">
        <w:t xml:space="preserve"> </w:t>
      </w:r>
      <w:r w:rsidRPr="00C64ECB">
        <w:rPr>
          <w:sz w:val="32"/>
        </w:rPr>
        <w:t>(</w:t>
      </w:r>
      <w:r w:rsidR="005124A2" w:rsidRPr="00C64ECB">
        <w:rPr>
          <w:sz w:val="32"/>
        </w:rPr>
        <w:t>2018-</w:t>
      </w:r>
      <w:r w:rsidR="00B02F48" w:rsidRPr="00C64ECB">
        <w:rPr>
          <w:sz w:val="32"/>
        </w:rPr>
        <w:t>1</w:t>
      </w:r>
      <w:r w:rsidR="007C48A5">
        <w:rPr>
          <w:sz w:val="32"/>
        </w:rPr>
        <w:t>2</w:t>
      </w:r>
      <w:r w:rsidR="00E8629F" w:rsidRPr="00C64ECB">
        <w:rPr>
          <w:sz w:val="32"/>
        </w:rPr>
        <w:t>)</w:t>
      </w:r>
    </w:p>
    <w:p w14:paraId="2C5BE929" w14:textId="77777777" w:rsidR="00E8629F" w:rsidRPr="00C64ECB" w:rsidRDefault="00E8629F">
      <w:pPr>
        <w:pStyle w:val="ZB"/>
        <w:framePr w:wrap="notBeside"/>
      </w:pPr>
      <w:r w:rsidRPr="00C64ECB">
        <w:t>Technical Report</w:t>
      </w:r>
    </w:p>
    <w:p w14:paraId="5D0C81A4" w14:textId="77777777" w:rsidR="00E8629F" w:rsidRPr="00C64ECB" w:rsidRDefault="00E8629F">
      <w:pPr>
        <w:pStyle w:val="ZT"/>
        <w:framePr w:wrap="notBeside"/>
      </w:pPr>
      <w:r w:rsidRPr="00C64ECB">
        <w:t>3rd Generation Partnership Project;</w:t>
      </w:r>
    </w:p>
    <w:p w14:paraId="43D64FD0" w14:textId="77777777" w:rsidR="00E8629F" w:rsidRPr="00C64ECB" w:rsidRDefault="00E8629F">
      <w:pPr>
        <w:pStyle w:val="ZT"/>
        <w:framePr w:wrap="notBeside"/>
      </w:pPr>
      <w:r w:rsidRPr="00C64ECB">
        <w:t xml:space="preserve">Technical Specification Group </w:t>
      </w:r>
      <w:r w:rsidR="00A37811" w:rsidRPr="00C64ECB">
        <w:rPr>
          <w:lang w:eastAsia="ko-KR"/>
        </w:rPr>
        <w:t>Radio Access Network</w:t>
      </w:r>
      <w:r w:rsidRPr="00C64ECB">
        <w:t>;</w:t>
      </w:r>
    </w:p>
    <w:p w14:paraId="0FC0B33C" w14:textId="63421AB5" w:rsidR="00E8629F" w:rsidRPr="00C64ECB" w:rsidRDefault="00DF12B3" w:rsidP="00A37811">
      <w:pPr>
        <w:pStyle w:val="ZT"/>
        <w:framePr w:wrap="notBeside"/>
        <w:wordWrap w:val="0"/>
        <w:rPr>
          <w:b w:val="0"/>
          <w:lang w:eastAsia="zh-CN"/>
        </w:rPr>
      </w:pPr>
      <w:r w:rsidRPr="00C64ECB">
        <w:rPr>
          <w:rFonts w:eastAsia="MS Mincho"/>
        </w:rPr>
        <w:t xml:space="preserve">Study on </w:t>
      </w:r>
      <w:r w:rsidR="005124A2" w:rsidRPr="00C64ECB">
        <w:rPr>
          <w:rFonts w:eastAsia="MS Mincho"/>
        </w:rPr>
        <w:t xml:space="preserve">NR-based </w:t>
      </w:r>
      <w:r w:rsidR="009E4168">
        <w:rPr>
          <w:rFonts w:eastAsia="MS Mincho"/>
        </w:rPr>
        <w:t>a</w:t>
      </w:r>
      <w:r w:rsidR="005124A2" w:rsidRPr="00C64ECB">
        <w:rPr>
          <w:rFonts w:eastAsia="MS Mincho"/>
        </w:rPr>
        <w:t xml:space="preserve">ccess to </w:t>
      </w:r>
      <w:r w:rsidR="009E4168">
        <w:rPr>
          <w:rFonts w:eastAsia="MS Mincho"/>
        </w:rPr>
        <w:t>u</w:t>
      </w:r>
      <w:r w:rsidR="005124A2" w:rsidRPr="00C64ECB">
        <w:rPr>
          <w:rFonts w:eastAsia="MS Mincho"/>
        </w:rPr>
        <w:t xml:space="preserve">nlicensed </w:t>
      </w:r>
      <w:r w:rsidR="009E4168">
        <w:rPr>
          <w:rFonts w:eastAsia="MS Mincho"/>
        </w:rPr>
        <w:t>s</w:t>
      </w:r>
      <w:r w:rsidR="005124A2" w:rsidRPr="00C64ECB">
        <w:rPr>
          <w:rFonts w:eastAsia="MS Mincho"/>
        </w:rPr>
        <w:t>pectrum</w:t>
      </w:r>
    </w:p>
    <w:p w14:paraId="6EA8C203" w14:textId="5BFFC81B" w:rsidR="00E8629F" w:rsidRPr="00C64ECB" w:rsidRDefault="00E8629F">
      <w:pPr>
        <w:pStyle w:val="ZT"/>
        <w:framePr w:wrap="notBeside"/>
        <w:rPr>
          <w:i/>
          <w:sz w:val="28"/>
        </w:rPr>
      </w:pPr>
      <w:r w:rsidRPr="00C64ECB">
        <w:t>(</w:t>
      </w:r>
      <w:bookmarkStart w:id="1" w:name="_GoBack"/>
      <w:r w:rsidRPr="004C4B0A">
        <w:rPr>
          <w:rStyle w:val="ZGSM"/>
        </w:rPr>
        <w:t xml:space="preserve">Release </w:t>
      </w:r>
      <w:r w:rsidR="005124A2" w:rsidRPr="004C4B0A">
        <w:rPr>
          <w:rStyle w:val="ZGSM"/>
        </w:rPr>
        <w:t>1</w:t>
      </w:r>
      <w:r w:rsidR="00EC7E4A" w:rsidRPr="004C4B0A">
        <w:rPr>
          <w:rStyle w:val="ZGSM"/>
        </w:rPr>
        <w:t>6</w:t>
      </w:r>
      <w:bookmarkEnd w:id="1"/>
      <w:r w:rsidR="00EC7E4A" w:rsidRPr="00C64ECB">
        <w:t>)</w:t>
      </w:r>
    </w:p>
    <w:p w14:paraId="5B27D64A" w14:textId="77777777" w:rsidR="00E8629F" w:rsidRPr="00C64ECB" w:rsidRDefault="00E8629F">
      <w:pPr>
        <w:pStyle w:val="ZU"/>
        <w:framePr w:h="4929" w:hRule="exact" w:wrap="notBeside"/>
        <w:tabs>
          <w:tab w:val="right" w:pos="10206"/>
        </w:tabs>
        <w:jc w:val="left"/>
      </w:pPr>
    </w:p>
    <w:p w14:paraId="2254AFA0" w14:textId="77777777" w:rsidR="00983910" w:rsidRPr="00C64ECB" w:rsidRDefault="004F63C6" w:rsidP="00983910">
      <w:pPr>
        <w:pStyle w:val="ZU"/>
        <w:framePr w:h="4929" w:hRule="exact" w:wrap="notBeside"/>
        <w:tabs>
          <w:tab w:val="right" w:pos="10206"/>
        </w:tabs>
        <w:jc w:val="left"/>
      </w:pPr>
      <w:r w:rsidRPr="00C64ECB">
        <w:rPr>
          <w:i/>
          <w:lang w:val="en-US" w:eastAsia="zh-CN"/>
        </w:rPr>
        <w:drawing>
          <wp:inline distT="0" distB="0" distL="0" distR="0" wp14:anchorId="0A66B356" wp14:editId="20FAA7D6">
            <wp:extent cx="1211580" cy="1211580"/>
            <wp:effectExtent l="0" t="0" r="0" b="0"/>
            <wp:docPr id="1" name="Picture 1" descr="5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r w:rsidR="00983910" w:rsidRPr="00C64ECB">
        <w:rPr>
          <w:color w:val="0000FF"/>
        </w:rPr>
        <w:tab/>
      </w:r>
      <w:r w:rsidRPr="00C64ECB">
        <w:rPr>
          <w:lang w:val="en-US" w:eastAsia="zh-CN"/>
        </w:rPr>
        <w:drawing>
          <wp:inline distT="0" distB="0" distL="0" distR="0" wp14:anchorId="4B057C0E" wp14:editId="2C751195">
            <wp:extent cx="1626870" cy="94996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6870" cy="949960"/>
                    </a:xfrm>
                    <a:prstGeom prst="rect">
                      <a:avLst/>
                    </a:prstGeom>
                    <a:noFill/>
                    <a:ln>
                      <a:noFill/>
                    </a:ln>
                  </pic:spPr>
                </pic:pic>
              </a:graphicData>
            </a:graphic>
          </wp:inline>
        </w:drawing>
      </w:r>
    </w:p>
    <w:p w14:paraId="25E23F54" w14:textId="77777777" w:rsidR="00E8629F" w:rsidRPr="00C64ECB" w:rsidRDefault="00E8629F">
      <w:pPr>
        <w:pStyle w:val="ZU"/>
        <w:framePr w:h="4929" w:hRule="exact" w:wrap="notBeside"/>
        <w:tabs>
          <w:tab w:val="right" w:pos="10206"/>
        </w:tabs>
        <w:jc w:val="left"/>
      </w:pPr>
    </w:p>
    <w:p w14:paraId="73A447D0" w14:textId="77777777" w:rsidR="00E8629F" w:rsidRPr="00C64ECB" w:rsidRDefault="00E8629F">
      <w:pPr>
        <w:framePr w:h="1636" w:hRule="exact" w:wrap="notBeside" w:vAnchor="page" w:hAnchor="margin" w:y="15121"/>
        <w:rPr>
          <w:sz w:val="16"/>
        </w:rPr>
      </w:pPr>
      <w:r w:rsidRPr="00C64ECB">
        <w:rPr>
          <w:sz w:val="16"/>
        </w:rPr>
        <w:t>The present document has been developed within the 3</w:t>
      </w:r>
      <w:r w:rsidRPr="00C64ECB">
        <w:rPr>
          <w:sz w:val="16"/>
          <w:vertAlign w:val="superscript"/>
        </w:rPr>
        <w:t>rd</w:t>
      </w:r>
      <w:r w:rsidRPr="00C64ECB">
        <w:rPr>
          <w:sz w:val="16"/>
        </w:rPr>
        <w:t xml:space="preserve"> Generation Partnership Project (3GPP</w:t>
      </w:r>
      <w:r w:rsidRPr="00C64ECB">
        <w:rPr>
          <w:sz w:val="16"/>
          <w:vertAlign w:val="superscript"/>
        </w:rPr>
        <w:t xml:space="preserve"> TM</w:t>
      </w:r>
      <w:r w:rsidRPr="00C64ECB">
        <w:rPr>
          <w:sz w:val="16"/>
        </w:rPr>
        <w:t>) and may be further elaborated for the purposes of 3GPP.</w:t>
      </w:r>
      <w:r w:rsidRPr="00C64ECB">
        <w:rPr>
          <w:sz w:val="16"/>
        </w:rPr>
        <w:br/>
        <w:t>The present document has not been subject to any approval process by the 3GPP</w:t>
      </w:r>
      <w:r w:rsidRPr="00C64ECB">
        <w:rPr>
          <w:sz w:val="16"/>
          <w:vertAlign w:val="superscript"/>
        </w:rPr>
        <w:t xml:space="preserve"> </w:t>
      </w:r>
      <w:r w:rsidRPr="00C64ECB">
        <w:rPr>
          <w:sz w:val="16"/>
        </w:rPr>
        <w:t>Organizational Partners and shall not be implemented.</w:t>
      </w:r>
      <w:r w:rsidRPr="00C64ECB">
        <w:rPr>
          <w:sz w:val="16"/>
        </w:rPr>
        <w:br/>
        <w:t xml:space="preserve">This </w:t>
      </w:r>
      <w:r w:rsidR="000D6CFC" w:rsidRPr="00C64ECB">
        <w:rPr>
          <w:sz w:val="16"/>
        </w:rPr>
        <w:t>Report</w:t>
      </w:r>
      <w:r w:rsidRPr="00C64ECB">
        <w:rPr>
          <w:sz w:val="16"/>
        </w:rPr>
        <w:t xml:space="preserve"> is provided for future development work within 3GPP</w:t>
      </w:r>
      <w:r w:rsidRPr="00C64ECB">
        <w:rPr>
          <w:sz w:val="16"/>
          <w:vertAlign w:val="superscript"/>
        </w:rPr>
        <w:t xml:space="preserve"> </w:t>
      </w:r>
      <w:r w:rsidRPr="00C64ECB">
        <w:rPr>
          <w:sz w:val="16"/>
        </w:rPr>
        <w:t>only. The Organizational Partners accept no liability for any use of this Specification.</w:t>
      </w:r>
      <w:r w:rsidRPr="00C64ECB">
        <w:rPr>
          <w:sz w:val="16"/>
        </w:rPr>
        <w:br/>
        <w:t xml:space="preserve">Specifications and </w:t>
      </w:r>
      <w:r w:rsidR="000D6CFC" w:rsidRPr="00C64ECB">
        <w:rPr>
          <w:sz w:val="16"/>
        </w:rPr>
        <w:t>Reports</w:t>
      </w:r>
      <w:r w:rsidRPr="00C64ECB">
        <w:rPr>
          <w:sz w:val="16"/>
        </w:rPr>
        <w:t xml:space="preserve"> for implementation of the 3GPP</w:t>
      </w:r>
      <w:r w:rsidRPr="00C64ECB">
        <w:rPr>
          <w:sz w:val="16"/>
          <w:vertAlign w:val="superscript"/>
        </w:rPr>
        <w:t xml:space="preserve"> TM</w:t>
      </w:r>
      <w:r w:rsidRPr="00C64ECB">
        <w:rPr>
          <w:sz w:val="16"/>
        </w:rPr>
        <w:t xml:space="preserve"> system should be obtained via the 3GPP Organizational Partners' Publications Offices.</w:t>
      </w:r>
    </w:p>
    <w:p w14:paraId="0063EFA7" w14:textId="77777777" w:rsidR="00E8629F" w:rsidRPr="00C64ECB" w:rsidRDefault="00E8629F">
      <w:pPr>
        <w:pStyle w:val="ZV"/>
        <w:framePr w:wrap="notBeside"/>
      </w:pPr>
    </w:p>
    <w:p w14:paraId="14ED7B2A" w14:textId="77777777" w:rsidR="00E8629F" w:rsidRPr="00C64ECB" w:rsidRDefault="00E8629F"/>
    <w:bookmarkEnd w:id="0"/>
    <w:p w14:paraId="759AB526" w14:textId="77777777" w:rsidR="00E8629F" w:rsidRPr="00C64ECB" w:rsidRDefault="00E8629F">
      <w:pPr>
        <w:sectPr w:rsidR="00E8629F" w:rsidRPr="00C64ECB" w:rsidSect="00792D0D">
          <w:footnotePr>
            <w:numRestart w:val="eachSect"/>
          </w:footnotePr>
          <w:pgSz w:w="11907" w:h="16840"/>
          <w:pgMar w:top="2268" w:right="851" w:bottom="10773" w:left="851" w:header="0" w:footer="0" w:gutter="0"/>
          <w:cols w:space="720"/>
        </w:sectPr>
      </w:pPr>
    </w:p>
    <w:p w14:paraId="4B247888" w14:textId="77777777" w:rsidR="00E8629F" w:rsidRPr="00C64ECB" w:rsidRDefault="001A08AA">
      <w:pPr>
        <w:pStyle w:val="Guidance"/>
      </w:pPr>
      <w:bookmarkStart w:id="2" w:name="page2"/>
      <w:r w:rsidRPr="00C64ECB">
        <w:lastRenderedPageBreak/>
        <w:br/>
      </w:r>
    </w:p>
    <w:p w14:paraId="5130E3E1" w14:textId="77777777" w:rsidR="00E8629F" w:rsidRPr="00C64ECB" w:rsidRDefault="00E8629F"/>
    <w:p w14:paraId="5BA30CD9" w14:textId="77777777" w:rsidR="00E8629F" w:rsidRPr="00C64ECB" w:rsidRDefault="00E8629F">
      <w:pPr>
        <w:pStyle w:val="FP"/>
        <w:framePr w:wrap="notBeside" w:hAnchor="margin" w:y="1419"/>
        <w:pBdr>
          <w:bottom w:val="single" w:sz="6" w:space="1" w:color="auto"/>
        </w:pBdr>
        <w:spacing w:before="240"/>
        <w:ind w:left="2835" w:right="2835"/>
        <w:jc w:val="center"/>
      </w:pPr>
      <w:r w:rsidRPr="00C64ECB">
        <w:t>Keywords</w:t>
      </w:r>
    </w:p>
    <w:p w14:paraId="1930C012" w14:textId="77777777" w:rsidR="00E8629F" w:rsidRPr="00C64ECB" w:rsidRDefault="005124A2">
      <w:pPr>
        <w:pStyle w:val="FP"/>
        <w:framePr w:wrap="notBeside" w:hAnchor="margin" w:y="1419"/>
        <w:ind w:left="2835" w:right="2835"/>
        <w:jc w:val="center"/>
        <w:rPr>
          <w:rFonts w:ascii="Arial" w:hAnsi="Arial"/>
          <w:sz w:val="18"/>
        </w:rPr>
      </w:pPr>
      <w:r w:rsidRPr="00C64ECB">
        <w:rPr>
          <w:rFonts w:ascii="Arial" w:hAnsi="Arial"/>
          <w:sz w:val="18"/>
        </w:rPr>
        <w:t>N</w:t>
      </w:r>
      <w:r w:rsidR="009751F8" w:rsidRPr="00C64ECB">
        <w:rPr>
          <w:rFonts w:ascii="Arial" w:hAnsi="Arial"/>
          <w:sz w:val="18"/>
        </w:rPr>
        <w:t>R</w:t>
      </w:r>
      <w:r w:rsidR="00875890" w:rsidRPr="00C64ECB">
        <w:rPr>
          <w:rFonts w:ascii="Arial" w:hAnsi="Arial"/>
          <w:sz w:val="18"/>
        </w:rPr>
        <w:t xml:space="preserve">, radio, </w:t>
      </w:r>
      <w:r w:rsidRPr="00C64ECB">
        <w:rPr>
          <w:rFonts w:ascii="Arial" w:hAnsi="Arial"/>
          <w:sz w:val="18"/>
        </w:rPr>
        <w:t>unlicensed spectrum</w:t>
      </w:r>
      <w:r w:rsidR="00875890" w:rsidRPr="00C64ECB">
        <w:rPr>
          <w:rFonts w:ascii="Arial" w:hAnsi="Arial"/>
          <w:sz w:val="18"/>
        </w:rPr>
        <w:t>, physical layer</w:t>
      </w:r>
    </w:p>
    <w:p w14:paraId="7E4520D7" w14:textId="77777777" w:rsidR="00E8629F" w:rsidRPr="00C64ECB" w:rsidRDefault="00E8629F">
      <w:pPr>
        <w:pStyle w:val="Guidance"/>
      </w:pPr>
    </w:p>
    <w:p w14:paraId="3D09E20D" w14:textId="77777777" w:rsidR="00E8629F" w:rsidRPr="00C64ECB" w:rsidRDefault="00E8629F"/>
    <w:p w14:paraId="3F31CFA2" w14:textId="77777777" w:rsidR="00E8629F" w:rsidRPr="00C64ECB" w:rsidRDefault="00E8629F">
      <w:pPr>
        <w:pStyle w:val="FP"/>
        <w:framePr w:wrap="notBeside" w:hAnchor="margin" w:yAlign="center"/>
        <w:spacing w:after="240"/>
        <w:ind w:left="2835" w:right="2835"/>
        <w:jc w:val="center"/>
        <w:rPr>
          <w:rFonts w:ascii="Arial" w:hAnsi="Arial"/>
          <w:b/>
          <w:i/>
        </w:rPr>
      </w:pPr>
      <w:r w:rsidRPr="00C64ECB">
        <w:rPr>
          <w:rFonts w:ascii="Arial" w:hAnsi="Arial"/>
          <w:b/>
          <w:i/>
        </w:rPr>
        <w:t>3GPP</w:t>
      </w:r>
    </w:p>
    <w:p w14:paraId="74F75B8E" w14:textId="77777777" w:rsidR="00E8629F" w:rsidRPr="00C64ECB" w:rsidRDefault="00E8629F">
      <w:pPr>
        <w:pStyle w:val="FP"/>
        <w:framePr w:wrap="notBeside" w:hAnchor="margin" w:yAlign="center"/>
        <w:pBdr>
          <w:bottom w:val="single" w:sz="6" w:space="1" w:color="auto"/>
        </w:pBdr>
        <w:ind w:left="2835" w:right="2835"/>
        <w:jc w:val="center"/>
      </w:pPr>
      <w:r w:rsidRPr="00C64ECB">
        <w:t>Postal address</w:t>
      </w:r>
    </w:p>
    <w:p w14:paraId="50805165" w14:textId="77777777" w:rsidR="00E8629F" w:rsidRPr="00C64ECB" w:rsidRDefault="00E8629F">
      <w:pPr>
        <w:pStyle w:val="FP"/>
        <w:framePr w:wrap="notBeside" w:hAnchor="margin" w:yAlign="center"/>
        <w:ind w:left="2835" w:right="2835"/>
        <w:jc w:val="center"/>
        <w:rPr>
          <w:rFonts w:ascii="Arial" w:hAnsi="Arial"/>
          <w:sz w:val="18"/>
        </w:rPr>
      </w:pPr>
    </w:p>
    <w:p w14:paraId="65BF5E70" w14:textId="77777777" w:rsidR="00E8629F" w:rsidRPr="00C64ECB" w:rsidRDefault="00E8629F">
      <w:pPr>
        <w:pStyle w:val="FP"/>
        <w:framePr w:wrap="notBeside" w:hAnchor="margin" w:yAlign="center"/>
        <w:pBdr>
          <w:bottom w:val="single" w:sz="6" w:space="1" w:color="auto"/>
        </w:pBdr>
        <w:spacing w:before="240"/>
        <w:ind w:left="2835" w:right="2835"/>
        <w:jc w:val="center"/>
      </w:pPr>
      <w:r w:rsidRPr="00C64ECB">
        <w:t>3GPP support office address</w:t>
      </w:r>
    </w:p>
    <w:p w14:paraId="7996EB37" w14:textId="77777777" w:rsidR="00E8629F" w:rsidRPr="00C64ECB" w:rsidRDefault="00E8629F">
      <w:pPr>
        <w:pStyle w:val="FP"/>
        <w:framePr w:wrap="notBeside" w:hAnchor="margin" w:yAlign="center"/>
        <w:ind w:left="2835" w:right="2835"/>
        <w:jc w:val="center"/>
        <w:rPr>
          <w:rFonts w:ascii="Arial" w:hAnsi="Arial"/>
          <w:sz w:val="18"/>
          <w:lang w:val="fr-FR"/>
        </w:rPr>
      </w:pPr>
      <w:r w:rsidRPr="00C64ECB">
        <w:rPr>
          <w:rFonts w:ascii="Arial" w:hAnsi="Arial"/>
          <w:sz w:val="18"/>
          <w:lang w:val="fr-FR"/>
        </w:rPr>
        <w:t>650 Route des Lucioles - Sophia Antipolis</w:t>
      </w:r>
    </w:p>
    <w:p w14:paraId="2DCA98D7" w14:textId="77777777" w:rsidR="00E8629F" w:rsidRPr="00C64ECB" w:rsidRDefault="00E8629F">
      <w:pPr>
        <w:pStyle w:val="FP"/>
        <w:framePr w:wrap="notBeside" w:hAnchor="margin" w:yAlign="center"/>
        <w:ind w:left="2835" w:right="2835"/>
        <w:jc w:val="center"/>
        <w:rPr>
          <w:rFonts w:ascii="Arial" w:hAnsi="Arial"/>
          <w:sz w:val="18"/>
          <w:lang w:val="fr-FR"/>
        </w:rPr>
      </w:pPr>
      <w:r w:rsidRPr="00C64ECB">
        <w:rPr>
          <w:rFonts w:ascii="Arial" w:hAnsi="Arial"/>
          <w:sz w:val="18"/>
          <w:lang w:val="fr-FR"/>
        </w:rPr>
        <w:t>Valbonne - FRANCE</w:t>
      </w:r>
    </w:p>
    <w:p w14:paraId="50562D52" w14:textId="77777777" w:rsidR="00E8629F" w:rsidRPr="00C64ECB" w:rsidRDefault="00E8629F">
      <w:pPr>
        <w:pStyle w:val="FP"/>
        <w:framePr w:wrap="notBeside" w:hAnchor="margin" w:yAlign="center"/>
        <w:spacing w:after="20"/>
        <w:ind w:left="2835" w:right="2835"/>
        <w:jc w:val="center"/>
        <w:rPr>
          <w:rFonts w:ascii="Arial" w:hAnsi="Arial"/>
          <w:sz w:val="18"/>
        </w:rPr>
      </w:pPr>
      <w:r w:rsidRPr="00C64ECB">
        <w:rPr>
          <w:rFonts w:ascii="Arial" w:hAnsi="Arial"/>
          <w:sz w:val="18"/>
        </w:rPr>
        <w:t>Tel.: +33 4 92 94 42 00 Fax: +33 4 93 65 47 16</w:t>
      </w:r>
    </w:p>
    <w:p w14:paraId="15158BFE" w14:textId="77777777" w:rsidR="00E8629F" w:rsidRPr="00C64ECB" w:rsidRDefault="00E8629F">
      <w:pPr>
        <w:pStyle w:val="FP"/>
        <w:framePr w:wrap="notBeside" w:hAnchor="margin" w:yAlign="center"/>
        <w:pBdr>
          <w:bottom w:val="single" w:sz="6" w:space="1" w:color="auto"/>
        </w:pBdr>
        <w:spacing w:before="240"/>
        <w:ind w:left="2835" w:right="2835"/>
        <w:jc w:val="center"/>
      </w:pPr>
      <w:r w:rsidRPr="00C64ECB">
        <w:t>Internet</w:t>
      </w:r>
    </w:p>
    <w:p w14:paraId="76A843A5" w14:textId="77777777" w:rsidR="00E8629F" w:rsidRPr="00C64ECB" w:rsidRDefault="00E8629F">
      <w:pPr>
        <w:pStyle w:val="FP"/>
        <w:framePr w:wrap="notBeside" w:hAnchor="margin" w:yAlign="center"/>
        <w:ind w:left="2835" w:right="2835"/>
        <w:jc w:val="center"/>
        <w:rPr>
          <w:rFonts w:ascii="Arial" w:hAnsi="Arial"/>
          <w:sz w:val="18"/>
        </w:rPr>
      </w:pPr>
      <w:r w:rsidRPr="00C64ECB">
        <w:rPr>
          <w:rFonts w:ascii="Arial" w:hAnsi="Arial"/>
          <w:sz w:val="18"/>
        </w:rPr>
        <w:t>http://www.3gpp.org</w:t>
      </w:r>
    </w:p>
    <w:p w14:paraId="30380FDF" w14:textId="77777777" w:rsidR="00E8629F" w:rsidRPr="00C64ECB" w:rsidRDefault="00E8629F"/>
    <w:p w14:paraId="71C5AC75" w14:textId="77777777" w:rsidR="00E8629F" w:rsidRPr="00C64ECB"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C64ECB">
        <w:rPr>
          <w:rFonts w:ascii="Arial" w:hAnsi="Arial"/>
          <w:b/>
          <w:i/>
          <w:noProof/>
        </w:rPr>
        <w:t>Copyright Notification</w:t>
      </w:r>
    </w:p>
    <w:p w14:paraId="47760B86" w14:textId="77777777" w:rsidR="00E8629F" w:rsidRPr="00C64ECB" w:rsidRDefault="00E8629F">
      <w:pPr>
        <w:pStyle w:val="FP"/>
        <w:framePr w:h="3057" w:hRule="exact" w:wrap="notBeside" w:vAnchor="page" w:hAnchor="margin" w:y="12605"/>
        <w:jc w:val="center"/>
        <w:rPr>
          <w:noProof/>
        </w:rPr>
      </w:pPr>
      <w:r w:rsidRPr="00C64ECB">
        <w:rPr>
          <w:noProof/>
        </w:rPr>
        <w:t>No part may be reproduced except as authorized by written permission.</w:t>
      </w:r>
      <w:r w:rsidRPr="00C64ECB">
        <w:rPr>
          <w:noProof/>
        </w:rPr>
        <w:br/>
        <w:t>The copyright and the foregoing restriction extend to reproduction in all media.</w:t>
      </w:r>
    </w:p>
    <w:p w14:paraId="16A4F9CF" w14:textId="77777777" w:rsidR="00E8629F" w:rsidRPr="00C64ECB" w:rsidRDefault="00E8629F">
      <w:pPr>
        <w:pStyle w:val="FP"/>
        <w:framePr w:h="3057" w:hRule="exact" w:wrap="notBeside" w:vAnchor="page" w:hAnchor="margin" w:y="12605"/>
        <w:jc w:val="center"/>
        <w:rPr>
          <w:noProof/>
        </w:rPr>
      </w:pPr>
    </w:p>
    <w:p w14:paraId="521043C7" w14:textId="77777777" w:rsidR="00E8629F" w:rsidRPr="00C64ECB" w:rsidRDefault="00E8629F">
      <w:pPr>
        <w:pStyle w:val="FP"/>
        <w:framePr w:h="3057" w:hRule="exact" w:wrap="notBeside" w:vAnchor="page" w:hAnchor="margin" w:y="12605"/>
        <w:jc w:val="center"/>
        <w:rPr>
          <w:noProof/>
          <w:sz w:val="18"/>
        </w:rPr>
      </w:pPr>
      <w:r w:rsidRPr="00C64ECB">
        <w:rPr>
          <w:noProof/>
          <w:sz w:val="18"/>
        </w:rPr>
        <w:t xml:space="preserve">© </w:t>
      </w:r>
      <w:r w:rsidR="004A4C48" w:rsidRPr="00C64ECB">
        <w:rPr>
          <w:noProof/>
          <w:sz w:val="18"/>
        </w:rPr>
        <w:t>201</w:t>
      </w:r>
      <w:r w:rsidR="009751F8" w:rsidRPr="00C64ECB">
        <w:rPr>
          <w:noProof/>
          <w:sz w:val="18"/>
        </w:rPr>
        <w:t>8</w:t>
      </w:r>
      <w:r w:rsidRPr="00C64ECB">
        <w:rPr>
          <w:noProof/>
          <w:sz w:val="18"/>
        </w:rPr>
        <w:t xml:space="preserve">, 3GPP Organizational Partners (ARIB, ATIS, CCSA, ETSI, </w:t>
      </w:r>
      <w:r w:rsidR="004A4C48" w:rsidRPr="00C64ECB">
        <w:rPr>
          <w:noProof/>
          <w:sz w:val="18"/>
        </w:rPr>
        <w:t xml:space="preserve">TSDSI, </w:t>
      </w:r>
      <w:r w:rsidRPr="00C64ECB">
        <w:rPr>
          <w:noProof/>
          <w:sz w:val="18"/>
        </w:rPr>
        <w:t>TTA, TTC).</w:t>
      </w:r>
      <w:bookmarkStart w:id="3" w:name="copyrightaddon"/>
      <w:bookmarkEnd w:id="3"/>
    </w:p>
    <w:p w14:paraId="5505115E" w14:textId="77777777" w:rsidR="00E8629F" w:rsidRPr="00C64ECB" w:rsidRDefault="00E8629F">
      <w:pPr>
        <w:pStyle w:val="FP"/>
        <w:framePr w:h="3057" w:hRule="exact" w:wrap="notBeside" w:vAnchor="page" w:hAnchor="margin" w:y="12605"/>
        <w:jc w:val="center"/>
        <w:rPr>
          <w:noProof/>
          <w:sz w:val="18"/>
        </w:rPr>
      </w:pPr>
      <w:r w:rsidRPr="00C64ECB">
        <w:rPr>
          <w:noProof/>
          <w:sz w:val="18"/>
        </w:rPr>
        <w:t>All rights reserved.</w:t>
      </w:r>
    </w:p>
    <w:p w14:paraId="3E782874" w14:textId="77777777" w:rsidR="00983910" w:rsidRPr="00C64ECB" w:rsidRDefault="00983910">
      <w:pPr>
        <w:pStyle w:val="FP"/>
        <w:framePr w:h="3057" w:hRule="exact" w:wrap="notBeside" w:vAnchor="page" w:hAnchor="margin" w:y="12605"/>
        <w:rPr>
          <w:noProof/>
          <w:sz w:val="18"/>
        </w:rPr>
      </w:pPr>
    </w:p>
    <w:p w14:paraId="22B4B3CC" w14:textId="77777777" w:rsidR="00E8629F" w:rsidRPr="00C64ECB" w:rsidRDefault="00E8629F">
      <w:pPr>
        <w:pStyle w:val="FP"/>
        <w:framePr w:h="3057" w:hRule="exact" w:wrap="notBeside" w:vAnchor="page" w:hAnchor="margin" w:y="12605"/>
        <w:rPr>
          <w:noProof/>
          <w:sz w:val="18"/>
        </w:rPr>
      </w:pPr>
      <w:r w:rsidRPr="00C64ECB">
        <w:rPr>
          <w:noProof/>
          <w:sz w:val="18"/>
        </w:rPr>
        <w:t>UMTS™ is a Trade Mark of ETSI registered for the benefit of its members</w:t>
      </w:r>
    </w:p>
    <w:p w14:paraId="096261CB" w14:textId="77777777" w:rsidR="00E8629F" w:rsidRPr="00C64ECB" w:rsidRDefault="00E8629F">
      <w:pPr>
        <w:pStyle w:val="FP"/>
        <w:framePr w:h="3057" w:hRule="exact" w:wrap="notBeside" w:vAnchor="page" w:hAnchor="margin" w:y="12605"/>
        <w:rPr>
          <w:noProof/>
          <w:sz w:val="18"/>
        </w:rPr>
      </w:pPr>
      <w:r w:rsidRPr="00C64ECB">
        <w:rPr>
          <w:noProof/>
          <w:sz w:val="18"/>
        </w:rPr>
        <w:t>3GPP™ is a Trade Mark of ETSI registered for the benefit of its Members and of the 3GPP Organizational Partners</w:t>
      </w:r>
      <w:r w:rsidRPr="00C64ECB">
        <w:rPr>
          <w:noProof/>
          <w:sz w:val="18"/>
        </w:rPr>
        <w:br/>
        <w:t>LTE™ is a Trade Mark of ETSI registered for the benefit of its Members and of the 3GPP Organizational Partners</w:t>
      </w:r>
    </w:p>
    <w:p w14:paraId="1E4E6391" w14:textId="77777777" w:rsidR="00E8629F" w:rsidRPr="00C64ECB" w:rsidRDefault="00E8629F">
      <w:pPr>
        <w:pStyle w:val="FP"/>
        <w:framePr w:h="3057" w:hRule="exact" w:wrap="notBeside" w:vAnchor="page" w:hAnchor="margin" w:y="12605"/>
        <w:rPr>
          <w:noProof/>
          <w:sz w:val="18"/>
        </w:rPr>
      </w:pPr>
      <w:r w:rsidRPr="00C64ECB">
        <w:rPr>
          <w:noProof/>
          <w:sz w:val="18"/>
        </w:rPr>
        <w:t>GSM® and the GSM logo are registered and owned by the GSM Association</w:t>
      </w:r>
    </w:p>
    <w:p w14:paraId="404E7BB5" w14:textId="77777777" w:rsidR="00E8629F" w:rsidRPr="00C64ECB" w:rsidRDefault="00E8629F"/>
    <w:bookmarkEnd w:id="2"/>
    <w:p w14:paraId="1DEC93EA" w14:textId="77777777" w:rsidR="00E8629F" w:rsidRPr="00C64ECB" w:rsidRDefault="00E8629F">
      <w:pPr>
        <w:pStyle w:val="TT"/>
      </w:pPr>
      <w:r w:rsidRPr="00C64ECB">
        <w:br w:type="page"/>
      </w:r>
      <w:r w:rsidRPr="00C64ECB">
        <w:lastRenderedPageBreak/>
        <w:t>Contents</w:t>
      </w:r>
    </w:p>
    <w:p w14:paraId="17F34496" w14:textId="77777777" w:rsidR="00E250B2" w:rsidRPr="00C64ECB" w:rsidRDefault="00E250B2">
      <w:pPr>
        <w:pStyle w:val="TOC1"/>
      </w:pPr>
    </w:p>
    <w:p w14:paraId="5D54C6F7" w14:textId="1A4F7549" w:rsidR="00571BB8" w:rsidRDefault="00571BB8">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_Toc531342968 \h </w:instrText>
      </w:r>
      <w:r>
        <w:fldChar w:fldCharType="separate"/>
      </w:r>
      <w:r>
        <w:t>5</w:t>
      </w:r>
      <w:r>
        <w:fldChar w:fldCharType="end"/>
      </w:r>
    </w:p>
    <w:p w14:paraId="1861D89C" w14:textId="4634AEC6" w:rsidR="00571BB8" w:rsidRDefault="00571BB8">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_Toc531342969 \h </w:instrText>
      </w:r>
      <w:r>
        <w:fldChar w:fldCharType="separate"/>
      </w:r>
      <w:r>
        <w:t>6</w:t>
      </w:r>
      <w:r>
        <w:fldChar w:fldCharType="end"/>
      </w:r>
    </w:p>
    <w:p w14:paraId="7CBF9B34" w14:textId="32539C57" w:rsidR="00571BB8" w:rsidRDefault="00571BB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_Toc531342970 \h </w:instrText>
      </w:r>
      <w:r>
        <w:fldChar w:fldCharType="separate"/>
      </w:r>
      <w:r>
        <w:t>7</w:t>
      </w:r>
      <w:r>
        <w:fldChar w:fldCharType="end"/>
      </w:r>
    </w:p>
    <w:p w14:paraId="5DB2257B" w14:textId="68F848E6" w:rsidR="00571BB8" w:rsidRDefault="00571BB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_Toc531342971 \h </w:instrText>
      </w:r>
      <w:r>
        <w:fldChar w:fldCharType="separate"/>
      </w:r>
      <w:r>
        <w:t>7</w:t>
      </w:r>
      <w:r>
        <w:fldChar w:fldCharType="end"/>
      </w:r>
    </w:p>
    <w:p w14:paraId="1654C8D0" w14:textId="7672AF6C" w:rsidR="00571BB8" w:rsidRDefault="00571BB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_Toc531342972 \h </w:instrText>
      </w:r>
      <w:r>
        <w:fldChar w:fldCharType="separate"/>
      </w:r>
      <w:r>
        <w:t>10</w:t>
      </w:r>
      <w:r>
        <w:fldChar w:fldCharType="end"/>
      </w:r>
    </w:p>
    <w:p w14:paraId="4DA880F8" w14:textId="3CE1DCCE" w:rsidR="00571BB8" w:rsidRDefault="00571BB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_Toc531342973 \h </w:instrText>
      </w:r>
      <w:r>
        <w:fldChar w:fldCharType="separate"/>
      </w:r>
      <w:r>
        <w:t>10</w:t>
      </w:r>
      <w:r>
        <w:fldChar w:fldCharType="end"/>
      </w:r>
    </w:p>
    <w:p w14:paraId="546886C7" w14:textId="7169657C" w:rsidR="00571BB8" w:rsidRDefault="00571BB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_Toc531342974 \h </w:instrText>
      </w:r>
      <w:r>
        <w:fldChar w:fldCharType="separate"/>
      </w:r>
      <w:r>
        <w:t>10</w:t>
      </w:r>
      <w:r>
        <w:fldChar w:fldCharType="end"/>
      </w:r>
    </w:p>
    <w:p w14:paraId="49077495" w14:textId="64ABBACB" w:rsidR="00571BB8" w:rsidRDefault="00571BB8">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_Toc531342975 \h </w:instrText>
      </w:r>
      <w:r>
        <w:fldChar w:fldCharType="separate"/>
      </w:r>
      <w:r>
        <w:t>10</w:t>
      </w:r>
      <w:r>
        <w:fldChar w:fldCharType="end"/>
      </w:r>
    </w:p>
    <w:p w14:paraId="3E104E5F" w14:textId="0526DD7E" w:rsidR="00571BB8" w:rsidRDefault="00571BB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Regulatory requirements</w:t>
      </w:r>
      <w:r>
        <w:tab/>
      </w:r>
      <w:r>
        <w:fldChar w:fldCharType="begin" w:fldLock="1"/>
      </w:r>
      <w:r>
        <w:instrText xml:space="preserve"> PAGEREF _Toc531342976 \h </w:instrText>
      </w:r>
      <w:r>
        <w:fldChar w:fldCharType="separate"/>
      </w:r>
      <w:r>
        <w:t>12</w:t>
      </w:r>
      <w:r>
        <w:fldChar w:fldCharType="end"/>
      </w:r>
    </w:p>
    <w:p w14:paraId="129B6EFA" w14:textId="17D3201B" w:rsidR="00571BB8" w:rsidRDefault="00571BB8">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Regulatory requirements for 5GHz band</w:t>
      </w:r>
      <w:r>
        <w:tab/>
      </w:r>
      <w:r>
        <w:fldChar w:fldCharType="begin" w:fldLock="1"/>
      </w:r>
      <w:r>
        <w:instrText xml:space="preserve"> PAGEREF _Toc531342977 \h </w:instrText>
      </w:r>
      <w:r>
        <w:fldChar w:fldCharType="separate"/>
      </w:r>
      <w:r>
        <w:t>12</w:t>
      </w:r>
      <w:r>
        <w:fldChar w:fldCharType="end"/>
      </w:r>
    </w:p>
    <w:p w14:paraId="6FFD25D7" w14:textId="4C48E520" w:rsidR="00571BB8" w:rsidRDefault="00571BB8">
      <w:pPr>
        <w:pStyle w:val="TOC3"/>
        <w:rPr>
          <w:rFonts w:asciiTheme="minorHAnsi" w:eastAsiaTheme="minorEastAsia" w:hAnsiTheme="minorHAnsi" w:cstheme="minorBidi"/>
          <w:sz w:val="22"/>
          <w:szCs w:val="22"/>
          <w:lang w:eastAsia="en-GB"/>
        </w:rPr>
      </w:pPr>
      <w:r>
        <w:t>4.1.1</w:t>
      </w:r>
      <w:r>
        <w:rPr>
          <w:rFonts w:asciiTheme="minorHAnsi" w:eastAsiaTheme="minorEastAsia" w:hAnsiTheme="minorHAnsi" w:cstheme="minorBidi"/>
          <w:sz w:val="22"/>
          <w:szCs w:val="22"/>
          <w:lang w:eastAsia="en-GB"/>
        </w:rPr>
        <w:tab/>
      </w:r>
      <w:r>
        <w:t>ITU Region 1</w:t>
      </w:r>
      <w:r>
        <w:tab/>
      </w:r>
      <w:r>
        <w:fldChar w:fldCharType="begin" w:fldLock="1"/>
      </w:r>
      <w:r>
        <w:instrText xml:space="preserve"> PAGEREF _Toc531342978 \h </w:instrText>
      </w:r>
      <w:r>
        <w:fldChar w:fldCharType="separate"/>
      </w:r>
      <w:r>
        <w:t>14</w:t>
      </w:r>
      <w:r>
        <w:fldChar w:fldCharType="end"/>
      </w:r>
    </w:p>
    <w:p w14:paraId="5DA18BB6" w14:textId="7AA0A4F0" w:rsidR="00571BB8" w:rsidRDefault="00571BB8">
      <w:pPr>
        <w:pStyle w:val="TOC4"/>
        <w:rPr>
          <w:rFonts w:asciiTheme="minorHAnsi" w:eastAsiaTheme="minorEastAsia" w:hAnsiTheme="minorHAnsi" w:cstheme="minorBidi"/>
          <w:sz w:val="22"/>
          <w:szCs w:val="22"/>
          <w:lang w:eastAsia="en-GB"/>
        </w:rPr>
      </w:pPr>
      <w:r>
        <w:t>4.1.1.1</w:t>
      </w:r>
      <w:r>
        <w:rPr>
          <w:rFonts w:asciiTheme="minorHAnsi" w:eastAsiaTheme="minorEastAsia" w:hAnsiTheme="minorHAnsi" w:cstheme="minorBidi"/>
          <w:sz w:val="22"/>
          <w:szCs w:val="22"/>
          <w:lang w:eastAsia="en-GB"/>
        </w:rPr>
        <w:tab/>
      </w:r>
      <w:r>
        <w:t>Europe</w:t>
      </w:r>
      <w:r>
        <w:tab/>
      </w:r>
      <w:r>
        <w:fldChar w:fldCharType="begin" w:fldLock="1"/>
      </w:r>
      <w:r>
        <w:instrText xml:space="preserve"> PAGEREF _Toc531342979 \h </w:instrText>
      </w:r>
      <w:r>
        <w:fldChar w:fldCharType="separate"/>
      </w:r>
      <w:r>
        <w:t>14</w:t>
      </w:r>
      <w:r>
        <w:fldChar w:fldCharType="end"/>
      </w:r>
    </w:p>
    <w:p w14:paraId="1979A075" w14:textId="4529657F" w:rsidR="00571BB8" w:rsidRDefault="00571BB8">
      <w:pPr>
        <w:pStyle w:val="TOC4"/>
        <w:rPr>
          <w:rFonts w:asciiTheme="minorHAnsi" w:eastAsiaTheme="minorEastAsia" w:hAnsiTheme="minorHAnsi" w:cstheme="minorBidi"/>
          <w:sz w:val="22"/>
          <w:szCs w:val="22"/>
          <w:lang w:eastAsia="en-GB"/>
        </w:rPr>
      </w:pPr>
      <w:r>
        <w:t>4.1.1.2</w:t>
      </w:r>
      <w:r>
        <w:rPr>
          <w:rFonts w:asciiTheme="minorHAnsi" w:eastAsiaTheme="minorEastAsia" w:hAnsiTheme="minorHAnsi" w:cstheme="minorBidi"/>
          <w:sz w:val="22"/>
          <w:szCs w:val="22"/>
          <w:lang w:eastAsia="en-GB"/>
        </w:rPr>
        <w:tab/>
      </w:r>
      <w:r>
        <w:t>Israel</w:t>
      </w:r>
      <w:r>
        <w:tab/>
      </w:r>
      <w:r>
        <w:fldChar w:fldCharType="begin" w:fldLock="1"/>
      </w:r>
      <w:r>
        <w:instrText xml:space="preserve"> PAGEREF _Toc531342980 \h </w:instrText>
      </w:r>
      <w:r>
        <w:fldChar w:fldCharType="separate"/>
      </w:r>
      <w:r>
        <w:t>19</w:t>
      </w:r>
      <w:r>
        <w:fldChar w:fldCharType="end"/>
      </w:r>
    </w:p>
    <w:p w14:paraId="6A0D6C16" w14:textId="41FE41A3" w:rsidR="00571BB8" w:rsidRDefault="00571BB8">
      <w:pPr>
        <w:pStyle w:val="TOC4"/>
        <w:rPr>
          <w:rFonts w:asciiTheme="minorHAnsi" w:eastAsiaTheme="minorEastAsia" w:hAnsiTheme="minorHAnsi" w:cstheme="minorBidi"/>
          <w:sz w:val="22"/>
          <w:szCs w:val="22"/>
          <w:lang w:eastAsia="en-GB"/>
        </w:rPr>
      </w:pPr>
      <w:r>
        <w:t>4.1.1.3</w:t>
      </w:r>
      <w:r>
        <w:rPr>
          <w:rFonts w:asciiTheme="minorHAnsi" w:eastAsiaTheme="minorEastAsia" w:hAnsiTheme="minorHAnsi" w:cstheme="minorBidi"/>
          <w:sz w:val="22"/>
          <w:szCs w:val="22"/>
          <w:lang w:eastAsia="en-GB"/>
        </w:rPr>
        <w:tab/>
      </w:r>
      <w:r>
        <w:t>Russia</w:t>
      </w:r>
      <w:r>
        <w:tab/>
      </w:r>
      <w:r>
        <w:fldChar w:fldCharType="begin" w:fldLock="1"/>
      </w:r>
      <w:r>
        <w:instrText xml:space="preserve"> PAGEREF _Toc531342981 \h </w:instrText>
      </w:r>
      <w:r>
        <w:fldChar w:fldCharType="separate"/>
      </w:r>
      <w:r>
        <w:t>19</w:t>
      </w:r>
      <w:r>
        <w:fldChar w:fldCharType="end"/>
      </w:r>
    </w:p>
    <w:p w14:paraId="1FF8820D" w14:textId="68DA250E" w:rsidR="00571BB8" w:rsidRDefault="00571BB8">
      <w:pPr>
        <w:pStyle w:val="TOC4"/>
        <w:rPr>
          <w:rFonts w:asciiTheme="minorHAnsi" w:eastAsiaTheme="minorEastAsia" w:hAnsiTheme="minorHAnsi" w:cstheme="minorBidi"/>
          <w:sz w:val="22"/>
          <w:szCs w:val="22"/>
          <w:lang w:eastAsia="en-GB"/>
        </w:rPr>
      </w:pPr>
      <w:r>
        <w:t>4.1.1.4</w:t>
      </w:r>
      <w:r>
        <w:rPr>
          <w:rFonts w:asciiTheme="minorHAnsi" w:eastAsiaTheme="minorEastAsia" w:hAnsiTheme="minorHAnsi" w:cstheme="minorBidi"/>
          <w:sz w:val="22"/>
          <w:szCs w:val="22"/>
          <w:lang w:eastAsia="en-GB"/>
        </w:rPr>
        <w:tab/>
      </w:r>
      <w:r>
        <w:t>South Africa</w:t>
      </w:r>
      <w:r>
        <w:tab/>
      </w:r>
      <w:r>
        <w:fldChar w:fldCharType="begin" w:fldLock="1"/>
      </w:r>
      <w:r>
        <w:instrText xml:space="preserve"> PAGEREF _Toc531342982 \h </w:instrText>
      </w:r>
      <w:r>
        <w:fldChar w:fldCharType="separate"/>
      </w:r>
      <w:r>
        <w:t>19</w:t>
      </w:r>
      <w:r>
        <w:fldChar w:fldCharType="end"/>
      </w:r>
    </w:p>
    <w:p w14:paraId="1BA20271" w14:textId="75C8DDD9" w:rsidR="00571BB8" w:rsidRDefault="00571BB8">
      <w:pPr>
        <w:pStyle w:val="TOC4"/>
        <w:rPr>
          <w:rFonts w:asciiTheme="minorHAnsi" w:eastAsiaTheme="minorEastAsia" w:hAnsiTheme="minorHAnsi" w:cstheme="minorBidi"/>
          <w:sz w:val="22"/>
          <w:szCs w:val="22"/>
          <w:lang w:eastAsia="en-GB"/>
        </w:rPr>
      </w:pPr>
      <w:r>
        <w:t>4.1.1.5</w:t>
      </w:r>
      <w:r>
        <w:rPr>
          <w:rFonts w:asciiTheme="minorHAnsi" w:eastAsiaTheme="minorEastAsia" w:hAnsiTheme="minorHAnsi" w:cstheme="minorBidi"/>
          <w:sz w:val="22"/>
          <w:szCs w:val="22"/>
          <w:lang w:eastAsia="en-GB"/>
        </w:rPr>
        <w:tab/>
      </w:r>
      <w:r>
        <w:t>Turkey</w:t>
      </w:r>
      <w:r>
        <w:tab/>
      </w:r>
      <w:r>
        <w:fldChar w:fldCharType="begin" w:fldLock="1"/>
      </w:r>
      <w:r>
        <w:instrText xml:space="preserve"> PAGEREF _Toc531342983 \h </w:instrText>
      </w:r>
      <w:r>
        <w:fldChar w:fldCharType="separate"/>
      </w:r>
      <w:r>
        <w:t>19</w:t>
      </w:r>
      <w:r>
        <w:fldChar w:fldCharType="end"/>
      </w:r>
    </w:p>
    <w:p w14:paraId="31447B19" w14:textId="45066034" w:rsidR="00571BB8" w:rsidRDefault="00571BB8">
      <w:pPr>
        <w:pStyle w:val="TOC3"/>
        <w:rPr>
          <w:rFonts w:asciiTheme="minorHAnsi" w:eastAsiaTheme="minorEastAsia" w:hAnsiTheme="minorHAnsi" w:cstheme="minorBidi"/>
          <w:sz w:val="22"/>
          <w:szCs w:val="22"/>
          <w:lang w:eastAsia="en-GB"/>
        </w:rPr>
      </w:pPr>
      <w:r>
        <w:t>4.1.2</w:t>
      </w:r>
      <w:r>
        <w:rPr>
          <w:rFonts w:asciiTheme="minorHAnsi" w:eastAsiaTheme="minorEastAsia" w:hAnsiTheme="minorHAnsi" w:cstheme="minorBidi"/>
          <w:sz w:val="22"/>
          <w:szCs w:val="22"/>
          <w:lang w:eastAsia="en-GB"/>
        </w:rPr>
        <w:tab/>
      </w:r>
      <w:r>
        <w:t>ITU Region 2</w:t>
      </w:r>
      <w:r>
        <w:tab/>
      </w:r>
      <w:r>
        <w:fldChar w:fldCharType="begin" w:fldLock="1"/>
      </w:r>
      <w:r>
        <w:instrText xml:space="preserve"> PAGEREF _Toc531342984 \h </w:instrText>
      </w:r>
      <w:r>
        <w:fldChar w:fldCharType="separate"/>
      </w:r>
      <w:r>
        <w:t>19</w:t>
      </w:r>
      <w:r>
        <w:fldChar w:fldCharType="end"/>
      </w:r>
    </w:p>
    <w:p w14:paraId="2B3343F4" w14:textId="7C81C4B3" w:rsidR="00571BB8" w:rsidRDefault="00571BB8">
      <w:pPr>
        <w:pStyle w:val="TOC4"/>
        <w:rPr>
          <w:rFonts w:asciiTheme="minorHAnsi" w:eastAsiaTheme="minorEastAsia" w:hAnsiTheme="minorHAnsi" w:cstheme="minorBidi"/>
          <w:sz w:val="22"/>
          <w:szCs w:val="22"/>
          <w:lang w:eastAsia="en-GB"/>
        </w:rPr>
      </w:pPr>
      <w:r>
        <w:t>4.1.2.1</w:t>
      </w:r>
      <w:r>
        <w:rPr>
          <w:rFonts w:asciiTheme="minorHAnsi" w:eastAsiaTheme="minorEastAsia" w:hAnsiTheme="minorHAnsi" w:cstheme="minorBidi"/>
          <w:sz w:val="22"/>
          <w:szCs w:val="22"/>
          <w:lang w:eastAsia="en-GB"/>
        </w:rPr>
        <w:tab/>
      </w:r>
      <w:r>
        <w:t>USA</w:t>
      </w:r>
      <w:r>
        <w:tab/>
      </w:r>
      <w:r>
        <w:fldChar w:fldCharType="begin" w:fldLock="1"/>
      </w:r>
      <w:r>
        <w:instrText xml:space="preserve"> PAGEREF _Toc531342985 \h </w:instrText>
      </w:r>
      <w:r>
        <w:fldChar w:fldCharType="separate"/>
      </w:r>
      <w:r>
        <w:t>19</w:t>
      </w:r>
      <w:r>
        <w:fldChar w:fldCharType="end"/>
      </w:r>
    </w:p>
    <w:p w14:paraId="68C2A142" w14:textId="094C9E27" w:rsidR="00571BB8" w:rsidRDefault="00571BB8">
      <w:pPr>
        <w:pStyle w:val="TOC4"/>
        <w:rPr>
          <w:rFonts w:asciiTheme="minorHAnsi" w:eastAsiaTheme="minorEastAsia" w:hAnsiTheme="minorHAnsi" w:cstheme="minorBidi"/>
          <w:sz w:val="22"/>
          <w:szCs w:val="22"/>
          <w:lang w:eastAsia="en-GB"/>
        </w:rPr>
      </w:pPr>
      <w:r>
        <w:t>4.1.2.2</w:t>
      </w:r>
      <w:r>
        <w:rPr>
          <w:rFonts w:asciiTheme="minorHAnsi" w:eastAsiaTheme="minorEastAsia" w:hAnsiTheme="minorHAnsi" w:cstheme="minorBidi"/>
          <w:sz w:val="22"/>
          <w:szCs w:val="22"/>
          <w:lang w:eastAsia="en-GB"/>
        </w:rPr>
        <w:tab/>
      </w:r>
      <w:r>
        <w:t>Canada</w:t>
      </w:r>
      <w:r>
        <w:tab/>
      </w:r>
      <w:r>
        <w:fldChar w:fldCharType="begin" w:fldLock="1"/>
      </w:r>
      <w:r>
        <w:instrText xml:space="preserve"> PAGEREF _Toc531342986 \h </w:instrText>
      </w:r>
      <w:r>
        <w:fldChar w:fldCharType="separate"/>
      </w:r>
      <w:r>
        <w:t>21</w:t>
      </w:r>
      <w:r>
        <w:fldChar w:fldCharType="end"/>
      </w:r>
    </w:p>
    <w:p w14:paraId="0DB154F8" w14:textId="1696EC28" w:rsidR="00571BB8" w:rsidRDefault="00571BB8">
      <w:pPr>
        <w:pStyle w:val="TOC4"/>
        <w:rPr>
          <w:rFonts w:asciiTheme="minorHAnsi" w:eastAsiaTheme="minorEastAsia" w:hAnsiTheme="minorHAnsi" w:cstheme="minorBidi"/>
          <w:sz w:val="22"/>
          <w:szCs w:val="22"/>
          <w:lang w:eastAsia="en-GB"/>
        </w:rPr>
      </w:pPr>
      <w:r>
        <w:t>4.1.2.3</w:t>
      </w:r>
      <w:r>
        <w:rPr>
          <w:rFonts w:asciiTheme="minorHAnsi" w:eastAsiaTheme="minorEastAsia" w:hAnsiTheme="minorHAnsi" w:cstheme="minorBidi"/>
          <w:sz w:val="22"/>
          <w:szCs w:val="22"/>
          <w:lang w:eastAsia="en-GB"/>
        </w:rPr>
        <w:tab/>
      </w:r>
      <w:r>
        <w:t>Brazil</w:t>
      </w:r>
      <w:r>
        <w:tab/>
      </w:r>
      <w:r>
        <w:fldChar w:fldCharType="begin" w:fldLock="1"/>
      </w:r>
      <w:r>
        <w:instrText xml:space="preserve"> PAGEREF _Toc531342987 \h </w:instrText>
      </w:r>
      <w:r>
        <w:fldChar w:fldCharType="separate"/>
      </w:r>
      <w:r>
        <w:t>22</w:t>
      </w:r>
      <w:r>
        <w:fldChar w:fldCharType="end"/>
      </w:r>
    </w:p>
    <w:p w14:paraId="67156876" w14:textId="510A45E1" w:rsidR="00571BB8" w:rsidRDefault="00571BB8">
      <w:pPr>
        <w:pStyle w:val="TOC4"/>
        <w:rPr>
          <w:rFonts w:asciiTheme="minorHAnsi" w:eastAsiaTheme="minorEastAsia" w:hAnsiTheme="minorHAnsi" w:cstheme="minorBidi"/>
          <w:sz w:val="22"/>
          <w:szCs w:val="22"/>
          <w:lang w:eastAsia="en-GB"/>
        </w:rPr>
      </w:pPr>
      <w:r>
        <w:t>4.1.2.4</w:t>
      </w:r>
      <w:r>
        <w:rPr>
          <w:rFonts w:asciiTheme="minorHAnsi" w:eastAsiaTheme="minorEastAsia" w:hAnsiTheme="minorHAnsi" w:cstheme="minorBidi"/>
          <w:sz w:val="22"/>
          <w:szCs w:val="22"/>
          <w:lang w:eastAsia="en-GB"/>
        </w:rPr>
        <w:tab/>
      </w:r>
      <w:r>
        <w:t>Mexico</w:t>
      </w:r>
      <w:r>
        <w:tab/>
      </w:r>
      <w:r>
        <w:fldChar w:fldCharType="begin" w:fldLock="1"/>
      </w:r>
      <w:r>
        <w:instrText xml:space="preserve"> PAGEREF _Toc531342988 \h </w:instrText>
      </w:r>
      <w:r>
        <w:fldChar w:fldCharType="separate"/>
      </w:r>
      <w:r>
        <w:t>23</w:t>
      </w:r>
      <w:r>
        <w:fldChar w:fldCharType="end"/>
      </w:r>
    </w:p>
    <w:p w14:paraId="3B5563D0" w14:textId="4B59E91C" w:rsidR="00571BB8" w:rsidRDefault="00571BB8">
      <w:pPr>
        <w:pStyle w:val="TOC3"/>
        <w:rPr>
          <w:rFonts w:asciiTheme="minorHAnsi" w:eastAsiaTheme="minorEastAsia" w:hAnsiTheme="minorHAnsi" w:cstheme="minorBidi"/>
          <w:sz w:val="22"/>
          <w:szCs w:val="22"/>
          <w:lang w:eastAsia="en-GB"/>
        </w:rPr>
      </w:pPr>
      <w:r>
        <w:t>4.1.3</w:t>
      </w:r>
      <w:r>
        <w:rPr>
          <w:rFonts w:asciiTheme="minorHAnsi" w:eastAsiaTheme="minorEastAsia" w:hAnsiTheme="minorHAnsi" w:cstheme="minorBidi"/>
          <w:sz w:val="22"/>
          <w:szCs w:val="22"/>
          <w:lang w:eastAsia="en-GB"/>
        </w:rPr>
        <w:tab/>
      </w:r>
      <w:r>
        <w:t>ITU Region 3</w:t>
      </w:r>
      <w:r>
        <w:tab/>
      </w:r>
      <w:r>
        <w:fldChar w:fldCharType="begin" w:fldLock="1"/>
      </w:r>
      <w:r>
        <w:instrText xml:space="preserve"> PAGEREF _Toc531342989 \h </w:instrText>
      </w:r>
      <w:r>
        <w:fldChar w:fldCharType="separate"/>
      </w:r>
      <w:r>
        <w:t>23</w:t>
      </w:r>
      <w:r>
        <w:fldChar w:fldCharType="end"/>
      </w:r>
    </w:p>
    <w:p w14:paraId="55E30072" w14:textId="733ADC55" w:rsidR="00571BB8" w:rsidRDefault="00571BB8">
      <w:pPr>
        <w:pStyle w:val="TOC4"/>
        <w:rPr>
          <w:rFonts w:asciiTheme="minorHAnsi" w:eastAsiaTheme="minorEastAsia" w:hAnsiTheme="minorHAnsi" w:cstheme="minorBidi"/>
          <w:sz w:val="22"/>
          <w:szCs w:val="22"/>
          <w:lang w:eastAsia="en-GB"/>
        </w:rPr>
      </w:pPr>
      <w:r>
        <w:t>4.1.3.1</w:t>
      </w:r>
      <w:r>
        <w:rPr>
          <w:rFonts w:asciiTheme="minorHAnsi" w:eastAsiaTheme="minorEastAsia" w:hAnsiTheme="minorHAnsi" w:cstheme="minorBidi"/>
          <w:sz w:val="22"/>
          <w:szCs w:val="22"/>
          <w:lang w:eastAsia="en-GB"/>
        </w:rPr>
        <w:tab/>
      </w:r>
      <w:r>
        <w:t>China</w:t>
      </w:r>
      <w:r>
        <w:tab/>
      </w:r>
      <w:r>
        <w:fldChar w:fldCharType="begin" w:fldLock="1"/>
      </w:r>
      <w:r>
        <w:instrText xml:space="preserve"> PAGEREF _Toc531342990 \h </w:instrText>
      </w:r>
      <w:r>
        <w:fldChar w:fldCharType="separate"/>
      </w:r>
      <w:r>
        <w:t>23</w:t>
      </w:r>
      <w:r>
        <w:fldChar w:fldCharType="end"/>
      </w:r>
    </w:p>
    <w:p w14:paraId="0095061C" w14:textId="7223EBBB" w:rsidR="00571BB8" w:rsidRDefault="00571BB8">
      <w:pPr>
        <w:pStyle w:val="TOC4"/>
        <w:rPr>
          <w:rFonts w:asciiTheme="minorHAnsi" w:eastAsiaTheme="minorEastAsia" w:hAnsiTheme="minorHAnsi" w:cstheme="minorBidi"/>
          <w:sz w:val="22"/>
          <w:szCs w:val="22"/>
          <w:lang w:eastAsia="en-GB"/>
        </w:rPr>
      </w:pPr>
      <w:r>
        <w:t>4.1.3.2</w:t>
      </w:r>
      <w:r>
        <w:rPr>
          <w:rFonts w:asciiTheme="minorHAnsi" w:eastAsiaTheme="minorEastAsia" w:hAnsiTheme="minorHAnsi" w:cstheme="minorBidi"/>
          <w:sz w:val="22"/>
          <w:szCs w:val="22"/>
          <w:lang w:eastAsia="en-GB"/>
        </w:rPr>
        <w:tab/>
      </w:r>
      <w:r>
        <w:t>Japan</w:t>
      </w:r>
      <w:r>
        <w:tab/>
      </w:r>
      <w:r>
        <w:fldChar w:fldCharType="begin" w:fldLock="1"/>
      </w:r>
      <w:r>
        <w:instrText xml:space="preserve"> PAGEREF _Toc531342991 \h </w:instrText>
      </w:r>
      <w:r>
        <w:fldChar w:fldCharType="separate"/>
      </w:r>
      <w:r>
        <w:t>24</w:t>
      </w:r>
      <w:r>
        <w:fldChar w:fldCharType="end"/>
      </w:r>
    </w:p>
    <w:p w14:paraId="70181AD7" w14:textId="273CFDB2" w:rsidR="00571BB8" w:rsidRDefault="00571BB8">
      <w:pPr>
        <w:pStyle w:val="TOC5"/>
        <w:rPr>
          <w:rFonts w:asciiTheme="minorHAnsi" w:eastAsiaTheme="minorEastAsia" w:hAnsiTheme="minorHAnsi" w:cstheme="minorBidi"/>
          <w:sz w:val="22"/>
          <w:szCs w:val="22"/>
          <w:lang w:eastAsia="en-GB"/>
        </w:rPr>
      </w:pPr>
      <w:r>
        <w:t>4.1.3.2.1</w:t>
      </w:r>
      <w:r>
        <w:rPr>
          <w:rFonts w:asciiTheme="minorHAnsi" w:eastAsiaTheme="minorEastAsia" w:hAnsiTheme="minorHAnsi" w:cstheme="minorBidi"/>
          <w:sz w:val="22"/>
          <w:szCs w:val="22"/>
          <w:lang w:eastAsia="en-GB"/>
        </w:rPr>
        <w:tab/>
      </w:r>
      <w:r>
        <w:t>5150-5250 and 5250-5350 MHz</w:t>
      </w:r>
      <w:r>
        <w:tab/>
      </w:r>
      <w:r>
        <w:fldChar w:fldCharType="begin" w:fldLock="1"/>
      </w:r>
      <w:r>
        <w:instrText xml:space="preserve"> PAGEREF _Toc531342992 \h </w:instrText>
      </w:r>
      <w:r>
        <w:fldChar w:fldCharType="separate"/>
      </w:r>
      <w:r>
        <w:t>26</w:t>
      </w:r>
      <w:r>
        <w:fldChar w:fldCharType="end"/>
      </w:r>
    </w:p>
    <w:p w14:paraId="67CA8C8F" w14:textId="7FBC1073" w:rsidR="00571BB8" w:rsidRDefault="00571BB8">
      <w:pPr>
        <w:pStyle w:val="TOC5"/>
        <w:rPr>
          <w:rFonts w:asciiTheme="minorHAnsi" w:eastAsiaTheme="minorEastAsia" w:hAnsiTheme="minorHAnsi" w:cstheme="minorBidi"/>
          <w:sz w:val="22"/>
          <w:szCs w:val="22"/>
          <w:lang w:eastAsia="en-GB"/>
        </w:rPr>
      </w:pPr>
      <w:r>
        <w:t>4.1.3.2.2</w:t>
      </w:r>
      <w:r>
        <w:rPr>
          <w:rFonts w:asciiTheme="minorHAnsi" w:eastAsiaTheme="minorEastAsia" w:hAnsiTheme="minorHAnsi" w:cstheme="minorBidi"/>
          <w:sz w:val="22"/>
          <w:szCs w:val="22"/>
          <w:lang w:eastAsia="en-GB"/>
        </w:rPr>
        <w:tab/>
      </w:r>
      <w:r>
        <w:t>5470-5725 MHz</w:t>
      </w:r>
      <w:r>
        <w:tab/>
      </w:r>
      <w:r>
        <w:fldChar w:fldCharType="begin" w:fldLock="1"/>
      </w:r>
      <w:r>
        <w:instrText xml:space="preserve"> PAGEREF _Toc531342993 \h </w:instrText>
      </w:r>
      <w:r>
        <w:fldChar w:fldCharType="separate"/>
      </w:r>
      <w:r>
        <w:t>28</w:t>
      </w:r>
      <w:r>
        <w:fldChar w:fldCharType="end"/>
      </w:r>
    </w:p>
    <w:p w14:paraId="607F4940" w14:textId="702CB28A" w:rsidR="00571BB8" w:rsidRDefault="00571BB8">
      <w:pPr>
        <w:pStyle w:val="TOC5"/>
        <w:rPr>
          <w:rFonts w:asciiTheme="minorHAnsi" w:eastAsiaTheme="minorEastAsia" w:hAnsiTheme="minorHAnsi" w:cstheme="minorBidi"/>
          <w:sz w:val="22"/>
          <w:szCs w:val="22"/>
          <w:lang w:eastAsia="en-GB"/>
        </w:rPr>
      </w:pPr>
      <w:r>
        <w:t>4.1.3.2.3</w:t>
      </w:r>
      <w:r>
        <w:rPr>
          <w:rFonts w:asciiTheme="minorHAnsi" w:eastAsiaTheme="minorEastAsia" w:hAnsiTheme="minorHAnsi" w:cstheme="minorBidi"/>
          <w:sz w:val="22"/>
          <w:szCs w:val="22"/>
          <w:lang w:eastAsia="en-GB"/>
        </w:rPr>
        <w:tab/>
      </w:r>
      <w:r>
        <w:t>Simultaneous use of 5150-5250 and 5470-5725 MHz / 5250-5350 and 5470-5725 MHz</w:t>
      </w:r>
      <w:r>
        <w:tab/>
      </w:r>
      <w:r>
        <w:fldChar w:fldCharType="begin" w:fldLock="1"/>
      </w:r>
      <w:r>
        <w:instrText xml:space="preserve"> PAGEREF _Toc531342994 \h </w:instrText>
      </w:r>
      <w:r>
        <w:fldChar w:fldCharType="separate"/>
      </w:r>
      <w:r>
        <w:t>29</w:t>
      </w:r>
      <w:r>
        <w:fldChar w:fldCharType="end"/>
      </w:r>
    </w:p>
    <w:p w14:paraId="0E2A0D65" w14:textId="77A0E191" w:rsidR="00571BB8" w:rsidRDefault="00571BB8">
      <w:pPr>
        <w:pStyle w:val="TOC4"/>
        <w:rPr>
          <w:rFonts w:asciiTheme="minorHAnsi" w:eastAsiaTheme="minorEastAsia" w:hAnsiTheme="minorHAnsi" w:cstheme="minorBidi"/>
          <w:sz w:val="22"/>
          <w:szCs w:val="22"/>
          <w:lang w:eastAsia="en-GB"/>
        </w:rPr>
      </w:pPr>
      <w:r>
        <w:t>4.1.3.3</w:t>
      </w:r>
      <w:r>
        <w:rPr>
          <w:rFonts w:asciiTheme="minorHAnsi" w:eastAsiaTheme="minorEastAsia" w:hAnsiTheme="minorHAnsi" w:cstheme="minorBidi"/>
          <w:sz w:val="22"/>
          <w:szCs w:val="22"/>
          <w:lang w:eastAsia="en-GB"/>
        </w:rPr>
        <w:tab/>
      </w:r>
      <w:r>
        <w:t>Korea</w:t>
      </w:r>
      <w:r>
        <w:tab/>
      </w:r>
      <w:r>
        <w:fldChar w:fldCharType="begin" w:fldLock="1"/>
      </w:r>
      <w:r>
        <w:instrText xml:space="preserve"> PAGEREF _Toc531342995 \h </w:instrText>
      </w:r>
      <w:r>
        <w:fldChar w:fldCharType="separate"/>
      </w:r>
      <w:r>
        <w:t>31</w:t>
      </w:r>
      <w:r>
        <w:fldChar w:fldCharType="end"/>
      </w:r>
    </w:p>
    <w:p w14:paraId="7E5099CE" w14:textId="0003D4F8" w:rsidR="00571BB8" w:rsidRDefault="00571BB8">
      <w:pPr>
        <w:pStyle w:val="TOC4"/>
        <w:rPr>
          <w:rFonts w:asciiTheme="minorHAnsi" w:eastAsiaTheme="minorEastAsia" w:hAnsiTheme="minorHAnsi" w:cstheme="minorBidi"/>
          <w:sz w:val="22"/>
          <w:szCs w:val="22"/>
          <w:lang w:eastAsia="en-GB"/>
        </w:rPr>
      </w:pPr>
      <w:r>
        <w:t>4.1.3.4</w:t>
      </w:r>
      <w:r>
        <w:rPr>
          <w:rFonts w:asciiTheme="minorHAnsi" w:eastAsiaTheme="minorEastAsia" w:hAnsiTheme="minorHAnsi" w:cstheme="minorBidi"/>
          <w:sz w:val="22"/>
          <w:szCs w:val="22"/>
          <w:lang w:eastAsia="en-GB"/>
        </w:rPr>
        <w:tab/>
      </w:r>
      <w:r>
        <w:t>India</w:t>
      </w:r>
      <w:r>
        <w:tab/>
      </w:r>
      <w:r>
        <w:fldChar w:fldCharType="begin" w:fldLock="1"/>
      </w:r>
      <w:r>
        <w:instrText xml:space="preserve"> PAGEREF _Toc531342996 \h </w:instrText>
      </w:r>
      <w:r>
        <w:fldChar w:fldCharType="separate"/>
      </w:r>
      <w:r>
        <w:t>32</w:t>
      </w:r>
      <w:r>
        <w:fldChar w:fldCharType="end"/>
      </w:r>
    </w:p>
    <w:p w14:paraId="752963ED" w14:textId="5CB50D2E" w:rsidR="00571BB8" w:rsidRDefault="00571BB8">
      <w:pPr>
        <w:pStyle w:val="TOC4"/>
        <w:rPr>
          <w:rFonts w:asciiTheme="minorHAnsi" w:eastAsiaTheme="minorEastAsia" w:hAnsiTheme="minorHAnsi" w:cstheme="minorBidi"/>
          <w:sz w:val="22"/>
          <w:szCs w:val="22"/>
          <w:lang w:eastAsia="en-GB"/>
        </w:rPr>
      </w:pPr>
      <w:r>
        <w:t>4.1.3.5</w:t>
      </w:r>
      <w:r>
        <w:rPr>
          <w:rFonts w:asciiTheme="minorHAnsi" w:eastAsiaTheme="minorEastAsia" w:hAnsiTheme="minorHAnsi" w:cstheme="minorBidi"/>
          <w:sz w:val="22"/>
          <w:szCs w:val="22"/>
          <w:lang w:eastAsia="en-GB"/>
        </w:rPr>
        <w:tab/>
      </w:r>
      <w:r>
        <w:t>Taiwan</w:t>
      </w:r>
      <w:r>
        <w:tab/>
      </w:r>
      <w:r>
        <w:fldChar w:fldCharType="begin" w:fldLock="1"/>
      </w:r>
      <w:r>
        <w:instrText xml:space="preserve"> PAGEREF _Toc531342997 \h </w:instrText>
      </w:r>
      <w:r>
        <w:fldChar w:fldCharType="separate"/>
      </w:r>
      <w:r>
        <w:t>33</w:t>
      </w:r>
      <w:r>
        <w:fldChar w:fldCharType="end"/>
      </w:r>
    </w:p>
    <w:p w14:paraId="4FEB711C" w14:textId="513F6414" w:rsidR="00571BB8" w:rsidRDefault="00571BB8">
      <w:pPr>
        <w:pStyle w:val="TOC4"/>
        <w:rPr>
          <w:rFonts w:asciiTheme="minorHAnsi" w:eastAsiaTheme="minorEastAsia" w:hAnsiTheme="minorHAnsi" w:cstheme="minorBidi"/>
          <w:sz w:val="22"/>
          <w:szCs w:val="22"/>
          <w:lang w:eastAsia="en-GB"/>
        </w:rPr>
      </w:pPr>
      <w:r>
        <w:t>4.1.3.6</w:t>
      </w:r>
      <w:r>
        <w:rPr>
          <w:rFonts w:asciiTheme="minorHAnsi" w:eastAsiaTheme="minorEastAsia" w:hAnsiTheme="minorHAnsi" w:cstheme="minorBidi"/>
          <w:sz w:val="22"/>
          <w:szCs w:val="22"/>
          <w:lang w:eastAsia="en-GB"/>
        </w:rPr>
        <w:tab/>
      </w:r>
      <w:r>
        <w:t>Singapore</w:t>
      </w:r>
      <w:r>
        <w:tab/>
      </w:r>
      <w:r>
        <w:fldChar w:fldCharType="begin" w:fldLock="1"/>
      </w:r>
      <w:r>
        <w:instrText xml:space="preserve"> PAGEREF _Toc531342998 \h </w:instrText>
      </w:r>
      <w:r>
        <w:fldChar w:fldCharType="separate"/>
      </w:r>
      <w:r>
        <w:t>35</w:t>
      </w:r>
      <w:r>
        <w:fldChar w:fldCharType="end"/>
      </w:r>
    </w:p>
    <w:p w14:paraId="165F1C50" w14:textId="29AAD373" w:rsidR="00571BB8" w:rsidRDefault="00571BB8">
      <w:pPr>
        <w:pStyle w:val="TOC4"/>
        <w:rPr>
          <w:rFonts w:asciiTheme="minorHAnsi" w:eastAsiaTheme="minorEastAsia" w:hAnsiTheme="minorHAnsi" w:cstheme="minorBidi"/>
          <w:sz w:val="22"/>
          <w:szCs w:val="22"/>
          <w:lang w:eastAsia="en-GB"/>
        </w:rPr>
      </w:pPr>
      <w:r>
        <w:t>4.1.3.7</w:t>
      </w:r>
      <w:r>
        <w:rPr>
          <w:rFonts w:asciiTheme="minorHAnsi" w:eastAsiaTheme="minorEastAsia" w:hAnsiTheme="minorHAnsi" w:cstheme="minorBidi"/>
          <w:sz w:val="22"/>
          <w:szCs w:val="22"/>
          <w:lang w:eastAsia="en-GB"/>
        </w:rPr>
        <w:tab/>
      </w:r>
      <w:r>
        <w:t>Australia</w:t>
      </w:r>
      <w:r>
        <w:tab/>
      </w:r>
      <w:r>
        <w:fldChar w:fldCharType="begin" w:fldLock="1"/>
      </w:r>
      <w:r>
        <w:instrText xml:space="preserve"> PAGEREF _Toc531342999 \h </w:instrText>
      </w:r>
      <w:r>
        <w:fldChar w:fldCharType="separate"/>
      </w:r>
      <w:r>
        <w:t>35</w:t>
      </w:r>
      <w:r>
        <w:fldChar w:fldCharType="end"/>
      </w:r>
    </w:p>
    <w:p w14:paraId="59CDD412" w14:textId="161F3AA6" w:rsidR="00571BB8" w:rsidRDefault="00571BB8">
      <w:pPr>
        <w:pStyle w:val="TOC3"/>
        <w:rPr>
          <w:rFonts w:asciiTheme="minorHAnsi" w:eastAsiaTheme="minorEastAsia" w:hAnsiTheme="minorHAnsi" w:cstheme="minorBidi"/>
          <w:sz w:val="22"/>
          <w:szCs w:val="22"/>
          <w:lang w:eastAsia="en-GB"/>
        </w:rPr>
      </w:pPr>
      <w:r w:rsidRPr="00571BB8">
        <w:t>4.1.4</w:t>
      </w:r>
      <w:r w:rsidRPr="00571BB8">
        <w:rPr>
          <w:rFonts w:asciiTheme="minorHAnsi" w:eastAsiaTheme="minorEastAsia" w:hAnsiTheme="minorHAnsi" w:cstheme="minorBidi"/>
          <w:sz w:val="22"/>
          <w:szCs w:val="22"/>
          <w:lang w:eastAsia="en-GB"/>
        </w:rPr>
        <w:tab/>
      </w:r>
      <w:r w:rsidRPr="006241E8">
        <w:rPr>
          <w:lang w:val="en-US"/>
        </w:rPr>
        <w:t>Applicability of DFS requirements</w:t>
      </w:r>
      <w:r>
        <w:tab/>
      </w:r>
      <w:r>
        <w:fldChar w:fldCharType="begin" w:fldLock="1"/>
      </w:r>
      <w:r>
        <w:instrText xml:space="preserve"> PAGEREF _Toc531343000 \h </w:instrText>
      </w:r>
      <w:r>
        <w:fldChar w:fldCharType="separate"/>
      </w:r>
      <w:r>
        <w:t>35</w:t>
      </w:r>
      <w:r>
        <w:fldChar w:fldCharType="end"/>
      </w:r>
    </w:p>
    <w:p w14:paraId="484D9A6B" w14:textId="3E03B876" w:rsidR="00571BB8" w:rsidRDefault="00571BB8">
      <w:pPr>
        <w:pStyle w:val="TOC4"/>
        <w:rPr>
          <w:rFonts w:asciiTheme="minorHAnsi" w:eastAsiaTheme="minorEastAsia" w:hAnsiTheme="minorHAnsi" w:cstheme="minorBidi"/>
          <w:sz w:val="22"/>
          <w:szCs w:val="22"/>
          <w:lang w:eastAsia="en-GB"/>
        </w:rPr>
      </w:pPr>
      <w:r>
        <w:t>4.1.4.1</w:t>
      </w:r>
      <w:r>
        <w:rPr>
          <w:rFonts w:asciiTheme="minorHAnsi" w:eastAsiaTheme="minorEastAsia" w:hAnsiTheme="minorHAnsi" w:cstheme="minorBidi"/>
          <w:sz w:val="22"/>
          <w:szCs w:val="22"/>
          <w:lang w:eastAsia="en-GB"/>
        </w:rPr>
        <w:tab/>
      </w:r>
      <w:r>
        <w:t>DFS according to ECC</w:t>
      </w:r>
      <w:r>
        <w:tab/>
      </w:r>
      <w:r>
        <w:fldChar w:fldCharType="begin" w:fldLock="1"/>
      </w:r>
      <w:r>
        <w:instrText xml:space="preserve"> PAGEREF _Toc531343001 \h </w:instrText>
      </w:r>
      <w:r>
        <w:fldChar w:fldCharType="separate"/>
      </w:r>
      <w:r>
        <w:t>36</w:t>
      </w:r>
      <w:r>
        <w:fldChar w:fldCharType="end"/>
      </w:r>
    </w:p>
    <w:p w14:paraId="6429D994" w14:textId="5E7C2EAA" w:rsidR="00571BB8" w:rsidRDefault="00571BB8">
      <w:pPr>
        <w:pStyle w:val="TOC4"/>
        <w:rPr>
          <w:rFonts w:asciiTheme="minorHAnsi" w:eastAsiaTheme="minorEastAsia" w:hAnsiTheme="minorHAnsi" w:cstheme="minorBidi"/>
          <w:sz w:val="22"/>
          <w:szCs w:val="22"/>
          <w:lang w:eastAsia="en-GB"/>
        </w:rPr>
      </w:pPr>
      <w:r>
        <w:t>4.1.4.2</w:t>
      </w:r>
      <w:r>
        <w:rPr>
          <w:rFonts w:asciiTheme="minorHAnsi" w:eastAsiaTheme="minorEastAsia" w:hAnsiTheme="minorHAnsi" w:cstheme="minorBidi"/>
          <w:sz w:val="22"/>
          <w:szCs w:val="22"/>
          <w:lang w:eastAsia="en-GB"/>
        </w:rPr>
        <w:tab/>
      </w:r>
      <w:r>
        <w:t>DFS in the Part 15 rules</w:t>
      </w:r>
      <w:r>
        <w:tab/>
      </w:r>
      <w:r>
        <w:fldChar w:fldCharType="begin" w:fldLock="1"/>
      </w:r>
      <w:r>
        <w:instrText xml:space="preserve"> PAGEREF _Toc531343002 \h </w:instrText>
      </w:r>
      <w:r>
        <w:fldChar w:fldCharType="separate"/>
      </w:r>
      <w:r>
        <w:t>36</w:t>
      </w:r>
      <w:r>
        <w:fldChar w:fldCharType="end"/>
      </w:r>
    </w:p>
    <w:p w14:paraId="348CF362" w14:textId="6F70A366" w:rsidR="00571BB8" w:rsidRDefault="00571BB8">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Regulatory requirements for 6GHz band</w:t>
      </w:r>
      <w:r>
        <w:tab/>
      </w:r>
      <w:r>
        <w:fldChar w:fldCharType="begin" w:fldLock="1"/>
      </w:r>
      <w:r>
        <w:instrText xml:space="preserve"> PAGEREF _Toc531343003 \h </w:instrText>
      </w:r>
      <w:r>
        <w:fldChar w:fldCharType="separate"/>
      </w:r>
      <w:r>
        <w:t>37</w:t>
      </w:r>
      <w:r>
        <w:fldChar w:fldCharType="end"/>
      </w:r>
    </w:p>
    <w:p w14:paraId="1E61D0AB" w14:textId="4391037C" w:rsidR="00571BB8" w:rsidRDefault="00571BB8">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Spectrum considerations</w:t>
      </w:r>
      <w:r>
        <w:tab/>
      </w:r>
      <w:r>
        <w:fldChar w:fldCharType="begin" w:fldLock="1"/>
      </w:r>
      <w:r>
        <w:instrText xml:space="preserve"> PAGEREF _Toc531343004 \h </w:instrText>
      </w:r>
      <w:r>
        <w:fldChar w:fldCharType="separate"/>
      </w:r>
      <w:r>
        <w:t>37</w:t>
      </w:r>
      <w:r>
        <w:fldChar w:fldCharType="end"/>
      </w:r>
    </w:p>
    <w:p w14:paraId="298EF056" w14:textId="7964C29B" w:rsidR="00571BB8" w:rsidRDefault="00571BB8">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Deployment scenarios</w:t>
      </w:r>
      <w:r>
        <w:tab/>
      </w:r>
      <w:r>
        <w:fldChar w:fldCharType="begin" w:fldLock="1"/>
      </w:r>
      <w:r>
        <w:instrText xml:space="preserve"> PAGEREF _Toc531343005 \h </w:instrText>
      </w:r>
      <w:r>
        <w:fldChar w:fldCharType="separate"/>
      </w:r>
      <w:r>
        <w:t>37</w:t>
      </w:r>
      <w:r>
        <w:fldChar w:fldCharType="end"/>
      </w:r>
    </w:p>
    <w:p w14:paraId="6BA6E044" w14:textId="4A8C2821" w:rsidR="00571BB8" w:rsidRDefault="00571BB8">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Design targets, functionalities and solutions</w:t>
      </w:r>
      <w:r>
        <w:tab/>
      </w:r>
      <w:r>
        <w:fldChar w:fldCharType="begin" w:fldLock="1"/>
      </w:r>
      <w:r>
        <w:instrText xml:space="preserve"> PAGEREF _Toc531343006 \h </w:instrText>
      </w:r>
      <w:r>
        <w:fldChar w:fldCharType="separate"/>
      </w:r>
      <w:r>
        <w:t>37</w:t>
      </w:r>
      <w:r>
        <w:fldChar w:fldCharType="end"/>
      </w:r>
    </w:p>
    <w:p w14:paraId="7BF6866A" w14:textId="14B02F3E" w:rsidR="00571BB8" w:rsidRDefault="00571BB8">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Design targets and functionalities</w:t>
      </w:r>
      <w:r>
        <w:tab/>
      </w:r>
      <w:r>
        <w:fldChar w:fldCharType="begin" w:fldLock="1"/>
      </w:r>
      <w:r>
        <w:instrText xml:space="preserve"> PAGEREF _Toc531343007 \h </w:instrText>
      </w:r>
      <w:r>
        <w:fldChar w:fldCharType="separate"/>
      </w:r>
      <w:r>
        <w:t>38</w:t>
      </w:r>
      <w:r>
        <w:fldChar w:fldCharType="end"/>
      </w:r>
    </w:p>
    <w:p w14:paraId="3B8F7822" w14:textId="20001EEB" w:rsidR="00571BB8" w:rsidRDefault="00571BB8">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Solutions for operation in unlicensed spectrum</w:t>
      </w:r>
      <w:r>
        <w:tab/>
      </w:r>
      <w:r>
        <w:fldChar w:fldCharType="begin" w:fldLock="1"/>
      </w:r>
      <w:r>
        <w:instrText xml:space="preserve"> PAGEREF _Toc531343008 \h </w:instrText>
      </w:r>
      <w:r>
        <w:fldChar w:fldCharType="separate"/>
      </w:r>
      <w:r>
        <w:t>38</w:t>
      </w:r>
      <w:r>
        <w:fldChar w:fldCharType="end"/>
      </w:r>
    </w:p>
    <w:p w14:paraId="0A009249" w14:textId="414C4C74" w:rsidR="00571BB8" w:rsidRDefault="00571BB8">
      <w:pPr>
        <w:pStyle w:val="TOC3"/>
        <w:rPr>
          <w:rFonts w:asciiTheme="minorHAnsi" w:eastAsiaTheme="minorEastAsia" w:hAnsiTheme="minorHAnsi" w:cstheme="minorBidi"/>
          <w:sz w:val="22"/>
          <w:szCs w:val="22"/>
          <w:lang w:eastAsia="en-GB"/>
        </w:rPr>
      </w:pPr>
      <w:r>
        <w:t>7.2.1</w:t>
      </w:r>
      <w:r>
        <w:rPr>
          <w:rFonts w:asciiTheme="minorHAnsi" w:eastAsiaTheme="minorEastAsia" w:hAnsiTheme="minorHAnsi" w:cstheme="minorBidi"/>
          <w:sz w:val="22"/>
          <w:szCs w:val="22"/>
          <w:lang w:eastAsia="en-GB"/>
        </w:rPr>
        <w:tab/>
      </w:r>
      <w:r>
        <w:t>Physical layer aspects</w:t>
      </w:r>
      <w:r>
        <w:tab/>
      </w:r>
      <w:r>
        <w:fldChar w:fldCharType="begin" w:fldLock="1"/>
      </w:r>
      <w:r>
        <w:instrText xml:space="preserve"> PAGEREF _Toc531343009 \h </w:instrText>
      </w:r>
      <w:r>
        <w:fldChar w:fldCharType="separate"/>
      </w:r>
      <w:r>
        <w:t>38</w:t>
      </w:r>
      <w:r>
        <w:fldChar w:fldCharType="end"/>
      </w:r>
    </w:p>
    <w:p w14:paraId="52F8BD81" w14:textId="3177CBD8" w:rsidR="00571BB8" w:rsidRDefault="00571BB8">
      <w:pPr>
        <w:pStyle w:val="TOC4"/>
        <w:rPr>
          <w:rFonts w:asciiTheme="minorHAnsi" w:eastAsiaTheme="minorEastAsia" w:hAnsiTheme="minorHAnsi" w:cstheme="minorBidi"/>
          <w:sz w:val="22"/>
          <w:szCs w:val="22"/>
          <w:lang w:eastAsia="en-GB"/>
        </w:rPr>
      </w:pPr>
      <w:r>
        <w:t>7.2.1.1</w:t>
      </w:r>
      <w:r>
        <w:rPr>
          <w:rFonts w:asciiTheme="minorHAnsi" w:eastAsiaTheme="minorEastAsia" w:hAnsiTheme="minorHAnsi" w:cstheme="minorBidi"/>
          <w:sz w:val="22"/>
          <w:szCs w:val="22"/>
          <w:lang w:eastAsia="en-GB"/>
        </w:rPr>
        <w:tab/>
      </w:r>
      <w:r>
        <w:t>Frame structure</w:t>
      </w:r>
      <w:r>
        <w:tab/>
      </w:r>
      <w:r>
        <w:fldChar w:fldCharType="begin" w:fldLock="1"/>
      </w:r>
      <w:r>
        <w:instrText xml:space="preserve"> PAGEREF _Toc531343010 \h </w:instrText>
      </w:r>
      <w:r>
        <w:fldChar w:fldCharType="separate"/>
      </w:r>
      <w:r>
        <w:t>38</w:t>
      </w:r>
      <w:r>
        <w:fldChar w:fldCharType="end"/>
      </w:r>
    </w:p>
    <w:p w14:paraId="2B8AE68A" w14:textId="01BAF350" w:rsidR="00571BB8" w:rsidRDefault="00571BB8">
      <w:pPr>
        <w:pStyle w:val="TOC4"/>
        <w:rPr>
          <w:rFonts w:asciiTheme="minorHAnsi" w:eastAsiaTheme="minorEastAsia" w:hAnsiTheme="minorHAnsi" w:cstheme="minorBidi"/>
          <w:sz w:val="22"/>
          <w:szCs w:val="22"/>
          <w:lang w:eastAsia="en-GB"/>
        </w:rPr>
      </w:pPr>
      <w:r>
        <w:t>7.2.1.2</w:t>
      </w:r>
      <w:r>
        <w:rPr>
          <w:rFonts w:asciiTheme="minorHAnsi" w:eastAsiaTheme="minorEastAsia" w:hAnsiTheme="minorHAnsi" w:cstheme="minorBidi"/>
          <w:sz w:val="22"/>
          <w:szCs w:val="22"/>
          <w:lang w:eastAsia="en-GB"/>
        </w:rPr>
        <w:tab/>
      </w:r>
      <w:r>
        <w:t>Physical layer channel designs</w:t>
      </w:r>
      <w:r>
        <w:tab/>
      </w:r>
      <w:r>
        <w:fldChar w:fldCharType="begin" w:fldLock="1"/>
      </w:r>
      <w:r>
        <w:instrText xml:space="preserve"> PAGEREF _Toc531343011 \h </w:instrText>
      </w:r>
      <w:r>
        <w:fldChar w:fldCharType="separate"/>
      </w:r>
      <w:r>
        <w:t>40</w:t>
      </w:r>
      <w:r>
        <w:fldChar w:fldCharType="end"/>
      </w:r>
    </w:p>
    <w:p w14:paraId="0ABB0C76" w14:textId="6664AE2B" w:rsidR="00571BB8" w:rsidRDefault="00571BB8">
      <w:pPr>
        <w:pStyle w:val="TOC4"/>
        <w:rPr>
          <w:rFonts w:asciiTheme="minorHAnsi" w:eastAsiaTheme="minorEastAsia" w:hAnsiTheme="minorHAnsi" w:cstheme="minorBidi"/>
          <w:sz w:val="22"/>
          <w:szCs w:val="22"/>
          <w:lang w:eastAsia="en-GB"/>
        </w:rPr>
      </w:pPr>
      <w:r>
        <w:t>7.2.1.3</w:t>
      </w:r>
      <w:r>
        <w:rPr>
          <w:rFonts w:asciiTheme="minorHAnsi" w:eastAsiaTheme="minorEastAsia" w:hAnsiTheme="minorHAnsi" w:cstheme="minorBidi"/>
          <w:sz w:val="22"/>
          <w:szCs w:val="22"/>
          <w:lang w:eastAsia="en-GB"/>
        </w:rPr>
        <w:tab/>
      </w:r>
      <w:r>
        <w:t>Physical layer procedure designs</w:t>
      </w:r>
      <w:r>
        <w:tab/>
      </w:r>
      <w:r>
        <w:fldChar w:fldCharType="begin" w:fldLock="1"/>
      </w:r>
      <w:r>
        <w:instrText xml:space="preserve"> PAGEREF _Toc531343012 \h </w:instrText>
      </w:r>
      <w:r>
        <w:fldChar w:fldCharType="separate"/>
      </w:r>
      <w:r>
        <w:t>45</w:t>
      </w:r>
      <w:r>
        <w:fldChar w:fldCharType="end"/>
      </w:r>
    </w:p>
    <w:p w14:paraId="44D9B38E" w14:textId="3AB5F6EA" w:rsidR="00571BB8" w:rsidRDefault="00571BB8">
      <w:pPr>
        <w:pStyle w:val="TOC5"/>
        <w:rPr>
          <w:rFonts w:asciiTheme="minorHAnsi" w:eastAsiaTheme="minorEastAsia" w:hAnsiTheme="minorHAnsi" w:cstheme="minorBidi"/>
          <w:sz w:val="22"/>
          <w:szCs w:val="22"/>
          <w:lang w:eastAsia="en-GB"/>
        </w:rPr>
      </w:pPr>
      <w:r>
        <w:t>7.2.1.3.1</w:t>
      </w:r>
      <w:r>
        <w:rPr>
          <w:rFonts w:asciiTheme="minorHAnsi" w:eastAsiaTheme="minorEastAsia" w:hAnsiTheme="minorHAnsi" w:cstheme="minorBidi"/>
          <w:sz w:val="22"/>
          <w:szCs w:val="22"/>
          <w:lang w:eastAsia="en-GB"/>
        </w:rPr>
        <w:tab/>
      </w:r>
      <w:r>
        <w:t>Channel access procedures</w:t>
      </w:r>
      <w:r>
        <w:tab/>
      </w:r>
      <w:r>
        <w:fldChar w:fldCharType="begin" w:fldLock="1"/>
      </w:r>
      <w:r>
        <w:instrText xml:space="preserve"> PAGEREF _Toc531343013 \h </w:instrText>
      </w:r>
      <w:r>
        <w:fldChar w:fldCharType="separate"/>
      </w:r>
      <w:r>
        <w:t>45</w:t>
      </w:r>
      <w:r>
        <w:fldChar w:fldCharType="end"/>
      </w:r>
    </w:p>
    <w:p w14:paraId="6ECA1A43" w14:textId="623B1728" w:rsidR="00571BB8" w:rsidRDefault="00571BB8">
      <w:pPr>
        <w:pStyle w:val="TOC5"/>
        <w:rPr>
          <w:rFonts w:asciiTheme="minorHAnsi" w:eastAsiaTheme="minorEastAsia" w:hAnsiTheme="minorHAnsi" w:cstheme="minorBidi"/>
          <w:sz w:val="22"/>
          <w:szCs w:val="22"/>
          <w:lang w:eastAsia="en-GB"/>
        </w:rPr>
      </w:pPr>
      <w:r>
        <w:t>7.2.1.3.2</w:t>
      </w:r>
      <w:r>
        <w:rPr>
          <w:rFonts w:asciiTheme="minorHAnsi" w:eastAsiaTheme="minorEastAsia" w:hAnsiTheme="minorHAnsi" w:cstheme="minorBidi"/>
          <w:sz w:val="22"/>
          <w:szCs w:val="22"/>
          <w:lang w:eastAsia="en-GB"/>
        </w:rPr>
        <w:tab/>
      </w:r>
      <w:r>
        <w:t>Initial access and mobility</w:t>
      </w:r>
      <w:r>
        <w:tab/>
      </w:r>
      <w:r>
        <w:fldChar w:fldCharType="begin" w:fldLock="1"/>
      </w:r>
      <w:r>
        <w:instrText xml:space="preserve"> PAGEREF _Toc531343014 \h </w:instrText>
      </w:r>
      <w:r>
        <w:fldChar w:fldCharType="separate"/>
      </w:r>
      <w:r>
        <w:t>47</w:t>
      </w:r>
      <w:r>
        <w:fldChar w:fldCharType="end"/>
      </w:r>
    </w:p>
    <w:p w14:paraId="5A5E67B6" w14:textId="27515EF7" w:rsidR="00571BB8" w:rsidRDefault="00571BB8">
      <w:pPr>
        <w:pStyle w:val="TOC5"/>
        <w:rPr>
          <w:rFonts w:asciiTheme="minorHAnsi" w:eastAsiaTheme="minorEastAsia" w:hAnsiTheme="minorHAnsi" w:cstheme="minorBidi"/>
          <w:sz w:val="22"/>
          <w:szCs w:val="22"/>
          <w:lang w:eastAsia="en-GB"/>
        </w:rPr>
      </w:pPr>
      <w:r>
        <w:t>7.2.1.3.3</w:t>
      </w:r>
      <w:r>
        <w:rPr>
          <w:rFonts w:asciiTheme="minorHAnsi" w:eastAsiaTheme="minorEastAsia" w:hAnsiTheme="minorHAnsi" w:cstheme="minorBidi"/>
          <w:sz w:val="22"/>
          <w:szCs w:val="22"/>
          <w:lang w:eastAsia="en-GB"/>
        </w:rPr>
        <w:tab/>
      </w:r>
      <w:r>
        <w:t>Potential HARQ enhancements</w:t>
      </w:r>
      <w:r>
        <w:tab/>
      </w:r>
      <w:r>
        <w:fldChar w:fldCharType="begin" w:fldLock="1"/>
      </w:r>
      <w:r>
        <w:instrText xml:space="preserve"> PAGEREF _Toc531343015 \h </w:instrText>
      </w:r>
      <w:r>
        <w:fldChar w:fldCharType="separate"/>
      </w:r>
      <w:r>
        <w:t>49</w:t>
      </w:r>
      <w:r>
        <w:fldChar w:fldCharType="end"/>
      </w:r>
    </w:p>
    <w:p w14:paraId="72BD9631" w14:textId="1C4FA707" w:rsidR="00571BB8" w:rsidRDefault="00571BB8">
      <w:pPr>
        <w:pStyle w:val="TOC5"/>
        <w:rPr>
          <w:rFonts w:asciiTheme="minorHAnsi" w:eastAsiaTheme="minorEastAsia" w:hAnsiTheme="minorHAnsi" w:cstheme="minorBidi"/>
          <w:sz w:val="22"/>
          <w:szCs w:val="22"/>
          <w:lang w:eastAsia="en-GB"/>
        </w:rPr>
      </w:pPr>
      <w:r>
        <w:t>7.2.1.3.4</w:t>
      </w:r>
      <w:r>
        <w:rPr>
          <w:rFonts w:asciiTheme="minorHAnsi" w:eastAsiaTheme="minorEastAsia" w:hAnsiTheme="minorHAnsi" w:cstheme="minorBidi"/>
          <w:sz w:val="22"/>
          <w:szCs w:val="22"/>
          <w:lang w:eastAsia="en-GB"/>
        </w:rPr>
        <w:tab/>
      </w:r>
      <w:r>
        <w:t>Potential enhancements to configured grant</w:t>
      </w:r>
      <w:r>
        <w:tab/>
      </w:r>
      <w:r>
        <w:fldChar w:fldCharType="begin" w:fldLock="1"/>
      </w:r>
      <w:r>
        <w:instrText xml:space="preserve"> PAGEREF _Toc531343016 \h </w:instrText>
      </w:r>
      <w:r>
        <w:fldChar w:fldCharType="separate"/>
      </w:r>
      <w:r>
        <w:t>50</w:t>
      </w:r>
      <w:r>
        <w:fldChar w:fldCharType="end"/>
      </w:r>
    </w:p>
    <w:p w14:paraId="6E37D746" w14:textId="0F8E9D30" w:rsidR="00571BB8" w:rsidRDefault="00571BB8">
      <w:pPr>
        <w:pStyle w:val="TOC3"/>
        <w:rPr>
          <w:rFonts w:asciiTheme="minorHAnsi" w:eastAsiaTheme="minorEastAsia" w:hAnsiTheme="minorHAnsi" w:cstheme="minorBidi"/>
          <w:sz w:val="22"/>
          <w:szCs w:val="22"/>
          <w:lang w:eastAsia="en-GB"/>
        </w:rPr>
      </w:pPr>
      <w:r>
        <w:t>7.2.2</w:t>
      </w:r>
      <w:r>
        <w:rPr>
          <w:rFonts w:asciiTheme="minorHAnsi" w:eastAsiaTheme="minorEastAsia" w:hAnsiTheme="minorHAnsi" w:cstheme="minorBidi"/>
          <w:sz w:val="22"/>
          <w:szCs w:val="22"/>
          <w:lang w:eastAsia="en-GB"/>
        </w:rPr>
        <w:tab/>
      </w:r>
      <w:r>
        <w:t>Higher layer aspects</w:t>
      </w:r>
      <w:r>
        <w:tab/>
      </w:r>
      <w:r>
        <w:fldChar w:fldCharType="begin" w:fldLock="1"/>
      </w:r>
      <w:r>
        <w:instrText xml:space="preserve"> PAGEREF _Toc531343017 \h </w:instrText>
      </w:r>
      <w:r>
        <w:fldChar w:fldCharType="separate"/>
      </w:r>
      <w:r>
        <w:t>52</w:t>
      </w:r>
      <w:r>
        <w:fldChar w:fldCharType="end"/>
      </w:r>
    </w:p>
    <w:p w14:paraId="6F4A93D6" w14:textId="1F402881" w:rsidR="00571BB8" w:rsidRDefault="00571BB8">
      <w:pPr>
        <w:pStyle w:val="TOC4"/>
        <w:rPr>
          <w:rFonts w:asciiTheme="minorHAnsi" w:eastAsiaTheme="minorEastAsia" w:hAnsiTheme="minorHAnsi" w:cstheme="minorBidi"/>
          <w:sz w:val="22"/>
          <w:szCs w:val="22"/>
          <w:lang w:eastAsia="en-GB"/>
        </w:rPr>
      </w:pPr>
      <w:r>
        <w:t>7.2.2.1</w:t>
      </w:r>
      <w:r>
        <w:rPr>
          <w:rFonts w:asciiTheme="minorHAnsi" w:eastAsiaTheme="minorEastAsia" w:hAnsiTheme="minorHAnsi" w:cstheme="minorBidi"/>
          <w:sz w:val="22"/>
          <w:szCs w:val="22"/>
          <w:lang w:eastAsia="en-GB"/>
        </w:rPr>
        <w:tab/>
      </w:r>
      <w:r>
        <w:t>Inactive and Idle procedures (38.304 related)</w:t>
      </w:r>
      <w:r>
        <w:tab/>
      </w:r>
      <w:r>
        <w:fldChar w:fldCharType="begin" w:fldLock="1"/>
      </w:r>
      <w:r>
        <w:instrText xml:space="preserve"> PAGEREF _Toc531343018 \h </w:instrText>
      </w:r>
      <w:r>
        <w:fldChar w:fldCharType="separate"/>
      </w:r>
      <w:r>
        <w:t>52</w:t>
      </w:r>
      <w:r>
        <w:fldChar w:fldCharType="end"/>
      </w:r>
    </w:p>
    <w:p w14:paraId="1B1658E1" w14:textId="052C7F2E" w:rsidR="00571BB8" w:rsidRDefault="00571BB8">
      <w:pPr>
        <w:pStyle w:val="TOC4"/>
        <w:rPr>
          <w:rFonts w:asciiTheme="minorHAnsi" w:eastAsiaTheme="minorEastAsia" w:hAnsiTheme="minorHAnsi" w:cstheme="minorBidi"/>
          <w:sz w:val="22"/>
          <w:szCs w:val="22"/>
          <w:lang w:eastAsia="en-GB"/>
        </w:rPr>
      </w:pPr>
      <w:r>
        <w:t>7.2.2.2</w:t>
      </w:r>
      <w:r>
        <w:rPr>
          <w:rFonts w:asciiTheme="minorHAnsi" w:eastAsiaTheme="minorEastAsia" w:hAnsiTheme="minorHAnsi" w:cstheme="minorBidi"/>
          <w:sz w:val="22"/>
          <w:szCs w:val="22"/>
          <w:lang w:eastAsia="en-GB"/>
        </w:rPr>
        <w:tab/>
      </w:r>
      <w:r>
        <w:t>L2 impacts</w:t>
      </w:r>
      <w:r>
        <w:tab/>
      </w:r>
      <w:r>
        <w:fldChar w:fldCharType="begin" w:fldLock="1"/>
      </w:r>
      <w:r>
        <w:instrText xml:space="preserve"> PAGEREF _Toc531343019 \h </w:instrText>
      </w:r>
      <w:r>
        <w:fldChar w:fldCharType="separate"/>
      </w:r>
      <w:r>
        <w:t>52</w:t>
      </w:r>
      <w:r>
        <w:fldChar w:fldCharType="end"/>
      </w:r>
    </w:p>
    <w:p w14:paraId="435C6503" w14:textId="6FA270D9" w:rsidR="00571BB8" w:rsidRDefault="00571BB8">
      <w:pPr>
        <w:pStyle w:val="TOC5"/>
        <w:rPr>
          <w:rFonts w:asciiTheme="minorHAnsi" w:eastAsiaTheme="minorEastAsia" w:hAnsiTheme="minorHAnsi" w:cstheme="minorBidi"/>
          <w:sz w:val="22"/>
          <w:szCs w:val="22"/>
          <w:lang w:eastAsia="en-GB"/>
        </w:rPr>
      </w:pPr>
      <w:r>
        <w:lastRenderedPageBreak/>
        <w:t>7.2.2.2.1</w:t>
      </w:r>
      <w:r>
        <w:rPr>
          <w:rFonts w:asciiTheme="minorHAnsi" w:eastAsiaTheme="minorEastAsia" w:hAnsiTheme="minorHAnsi" w:cstheme="minorBidi"/>
          <w:sz w:val="22"/>
          <w:szCs w:val="22"/>
          <w:lang w:eastAsia="en-GB"/>
        </w:rPr>
        <w:tab/>
      </w:r>
      <w:r>
        <w:t>RACH (4-step, 2-step)</w:t>
      </w:r>
      <w:r>
        <w:tab/>
      </w:r>
      <w:r>
        <w:fldChar w:fldCharType="begin" w:fldLock="1"/>
      </w:r>
      <w:r>
        <w:instrText xml:space="preserve"> PAGEREF _Toc531343020 \h </w:instrText>
      </w:r>
      <w:r>
        <w:fldChar w:fldCharType="separate"/>
      </w:r>
      <w:r>
        <w:t>52</w:t>
      </w:r>
      <w:r>
        <w:fldChar w:fldCharType="end"/>
      </w:r>
    </w:p>
    <w:p w14:paraId="4A9C038C" w14:textId="00B8510B" w:rsidR="00571BB8" w:rsidRDefault="00571BB8">
      <w:pPr>
        <w:pStyle w:val="TOC5"/>
        <w:rPr>
          <w:rFonts w:asciiTheme="minorHAnsi" w:eastAsiaTheme="minorEastAsia" w:hAnsiTheme="minorHAnsi" w:cstheme="minorBidi"/>
          <w:sz w:val="22"/>
          <w:szCs w:val="22"/>
          <w:lang w:eastAsia="en-GB"/>
        </w:rPr>
      </w:pPr>
      <w:r>
        <w:t>7.2.2.2.2</w:t>
      </w:r>
      <w:r>
        <w:rPr>
          <w:rFonts w:asciiTheme="minorHAnsi" w:eastAsiaTheme="minorEastAsia" w:hAnsiTheme="minorHAnsi" w:cstheme="minorBidi"/>
          <w:sz w:val="22"/>
          <w:szCs w:val="22"/>
          <w:lang w:eastAsia="en-GB"/>
        </w:rPr>
        <w:tab/>
      </w:r>
      <w:r>
        <w:t>MAC (except RACH)</w:t>
      </w:r>
      <w:r>
        <w:tab/>
      </w:r>
      <w:r>
        <w:fldChar w:fldCharType="begin" w:fldLock="1"/>
      </w:r>
      <w:r>
        <w:instrText xml:space="preserve"> PAGEREF _Toc531343021 \h </w:instrText>
      </w:r>
      <w:r>
        <w:fldChar w:fldCharType="separate"/>
      </w:r>
      <w:r>
        <w:t>53</w:t>
      </w:r>
      <w:r>
        <w:fldChar w:fldCharType="end"/>
      </w:r>
    </w:p>
    <w:p w14:paraId="5E40FB6F" w14:textId="6CDC961F" w:rsidR="00571BB8" w:rsidRDefault="00571BB8">
      <w:pPr>
        <w:pStyle w:val="TOC5"/>
        <w:rPr>
          <w:rFonts w:asciiTheme="minorHAnsi" w:eastAsiaTheme="minorEastAsia" w:hAnsiTheme="minorHAnsi" w:cstheme="minorBidi"/>
          <w:sz w:val="22"/>
          <w:szCs w:val="22"/>
          <w:lang w:eastAsia="en-GB"/>
        </w:rPr>
      </w:pPr>
      <w:r>
        <w:t>7.2.2.2.3</w:t>
      </w:r>
      <w:r>
        <w:rPr>
          <w:rFonts w:asciiTheme="minorHAnsi" w:eastAsiaTheme="minorEastAsia" w:hAnsiTheme="minorHAnsi" w:cstheme="minorBidi"/>
          <w:sz w:val="22"/>
          <w:szCs w:val="22"/>
          <w:lang w:eastAsia="en-GB"/>
        </w:rPr>
        <w:tab/>
      </w:r>
      <w:r>
        <w:t>Other</w:t>
      </w:r>
      <w:r>
        <w:tab/>
      </w:r>
      <w:r>
        <w:fldChar w:fldCharType="begin" w:fldLock="1"/>
      </w:r>
      <w:r>
        <w:instrText xml:space="preserve"> PAGEREF _Toc531343022 \h </w:instrText>
      </w:r>
      <w:r>
        <w:fldChar w:fldCharType="separate"/>
      </w:r>
      <w:r>
        <w:t>53</w:t>
      </w:r>
      <w:r>
        <w:fldChar w:fldCharType="end"/>
      </w:r>
    </w:p>
    <w:p w14:paraId="7DFAA88A" w14:textId="6ED2E3BA" w:rsidR="00571BB8" w:rsidRDefault="00571BB8">
      <w:pPr>
        <w:pStyle w:val="TOC4"/>
        <w:rPr>
          <w:rFonts w:asciiTheme="minorHAnsi" w:eastAsiaTheme="minorEastAsia" w:hAnsiTheme="minorHAnsi" w:cstheme="minorBidi"/>
          <w:sz w:val="22"/>
          <w:szCs w:val="22"/>
          <w:lang w:eastAsia="en-GB"/>
        </w:rPr>
      </w:pPr>
      <w:r>
        <w:t>7.2.2.3</w:t>
      </w:r>
      <w:r>
        <w:rPr>
          <w:rFonts w:asciiTheme="minorHAnsi" w:eastAsiaTheme="minorEastAsia" w:hAnsiTheme="minorHAnsi" w:cstheme="minorBidi"/>
          <w:sz w:val="22"/>
          <w:szCs w:val="22"/>
          <w:lang w:eastAsia="en-GB"/>
        </w:rPr>
        <w:tab/>
      </w:r>
      <w:r>
        <w:t>Control plane impacts</w:t>
      </w:r>
      <w:r>
        <w:tab/>
      </w:r>
      <w:r>
        <w:fldChar w:fldCharType="begin" w:fldLock="1"/>
      </w:r>
      <w:r>
        <w:instrText xml:space="preserve"> PAGEREF _Toc531343023 \h </w:instrText>
      </w:r>
      <w:r>
        <w:fldChar w:fldCharType="separate"/>
      </w:r>
      <w:r>
        <w:t>53</w:t>
      </w:r>
      <w:r>
        <w:fldChar w:fldCharType="end"/>
      </w:r>
    </w:p>
    <w:p w14:paraId="1420A076" w14:textId="1B7C08FE" w:rsidR="00571BB8" w:rsidRDefault="00571BB8">
      <w:pPr>
        <w:pStyle w:val="TOC5"/>
        <w:rPr>
          <w:rFonts w:asciiTheme="minorHAnsi" w:eastAsiaTheme="minorEastAsia" w:hAnsiTheme="minorHAnsi" w:cstheme="minorBidi"/>
          <w:sz w:val="22"/>
          <w:szCs w:val="22"/>
          <w:lang w:eastAsia="en-GB"/>
        </w:rPr>
      </w:pPr>
      <w:r>
        <w:t>7.2.2.3.1</w:t>
      </w:r>
      <w:r>
        <w:rPr>
          <w:rFonts w:asciiTheme="minorHAnsi" w:eastAsiaTheme="minorEastAsia" w:hAnsiTheme="minorHAnsi" w:cstheme="minorBidi"/>
          <w:sz w:val="22"/>
          <w:szCs w:val="22"/>
          <w:lang w:eastAsia="en-GB"/>
        </w:rPr>
        <w:tab/>
      </w:r>
      <w:r>
        <w:t>RLM/RLF and mobility (conn mode)</w:t>
      </w:r>
      <w:r>
        <w:tab/>
      </w:r>
      <w:r>
        <w:fldChar w:fldCharType="begin" w:fldLock="1"/>
      </w:r>
      <w:r>
        <w:instrText xml:space="preserve"> PAGEREF _Toc531343024 \h </w:instrText>
      </w:r>
      <w:r>
        <w:fldChar w:fldCharType="separate"/>
      </w:r>
      <w:r>
        <w:t>53</w:t>
      </w:r>
      <w:r>
        <w:fldChar w:fldCharType="end"/>
      </w:r>
    </w:p>
    <w:p w14:paraId="42B878C1" w14:textId="3022C982" w:rsidR="00571BB8" w:rsidRDefault="00571BB8">
      <w:pPr>
        <w:pStyle w:val="TOC5"/>
        <w:rPr>
          <w:rFonts w:asciiTheme="minorHAnsi" w:eastAsiaTheme="minorEastAsia" w:hAnsiTheme="minorHAnsi" w:cstheme="minorBidi"/>
          <w:sz w:val="22"/>
          <w:szCs w:val="22"/>
          <w:lang w:eastAsia="en-GB"/>
        </w:rPr>
      </w:pPr>
      <w:r>
        <w:t>7.2.2.3.2</w:t>
      </w:r>
      <w:r>
        <w:rPr>
          <w:rFonts w:asciiTheme="minorHAnsi" w:eastAsiaTheme="minorEastAsia" w:hAnsiTheme="minorHAnsi" w:cstheme="minorBidi"/>
          <w:sz w:val="22"/>
          <w:szCs w:val="22"/>
          <w:lang w:eastAsia="en-GB"/>
        </w:rPr>
        <w:tab/>
      </w:r>
      <w:r>
        <w:t>Other</w:t>
      </w:r>
      <w:r>
        <w:tab/>
      </w:r>
      <w:r>
        <w:fldChar w:fldCharType="begin" w:fldLock="1"/>
      </w:r>
      <w:r>
        <w:instrText xml:space="preserve"> PAGEREF _Toc531343025 \h </w:instrText>
      </w:r>
      <w:r>
        <w:fldChar w:fldCharType="separate"/>
      </w:r>
      <w:r>
        <w:t>54</w:t>
      </w:r>
      <w:r>
        <w:fldChar w:fldCharType="end"/>
      </w:r>
    </w:p>
    <w:p w14:paraId="39FD4C32" w14:textId="70C2C1E1" w:rsidR="00571BB8" w:rsidRDefault="00571BB8">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Performance evaluations</w:t>
      </w:r>
      <w:r>
        <w:tab/>
      </w:r>
      <w:r>
        <w:fldChar w:fldCharType="begin" w:fldLock="1"/>
      </w:r>
      <w:r>
        <w:instrText xml:space="preserve"> PAGEREF _Toc531343026 \h </w:instrText>
      </w:r>
      <w:r>
        <w:fldChar w:fldCharType="separate"/>
      </w:r>
      <w:r>
        <w:t>54</w:t>
      </w:r>
      <w:r>
        <w:fldChar w:fldCharType="end"/>
      </w:r>
    </w:p>
    <w:p w14:paraId="4560E9F6" w14:textId="2AB4C628" w:rsidR="00571BB8" w:rsidRDefault="00571BB8">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Scenarios and methodology</w:t>
      </w:r>
      <w:r>
        <w:tab/>
      </w:r>
      <w:r>
        <w:fldChar w:fldCharType="begin" w:fldLock="1"/>
      </w:r>
      <w:r>
        <w:instrText xml:space="preserve"> PAGEREF _Toc531343027 \h </w:instrText>
      </w:r>
      <w:r>
        <w:fldChar w:fldCharType="separate"/>
      </w:r>
      <w:r>
        <w:t>55</w:t>
      </w:r>
      <w:r>
        <w:fldChar w:fldCharType="end"/>
      </w:r>
    </w:p>
    <w:p w14:paraId="31FC6D5E" w14:textId="1FCC981C" w:rsidR="00571BB8" w:rsidRDefault="00571BB8">
      <w:pPr>
        <w:pStyle w:val="TOC3"/>
        <w:rPr>
          <w:rFonts w:asciiTheme="minorHAnsi" w:eastAsiaTheme="minorEastAsia" w:hAnsiTheme="minorHAnsi" w:cstheme="minorBidi"/>
          <w:sz w:val="22"/>
          <w:szCs w:val="22"/>
          <w:lang w:eastAsia="en-GB"/>
        </w:rPr>
      </w:pPr>
      <w:r>
        <w:t>8.1.1</w:t>
      </w:r>
      <w:r>
        <w:rPr>
          <w:rFonts w:asciiTheme="minorHAnsi" w:eastAsiaTheme="minorEastAsia" w:hAnsiTheme="minorHAnsi" w:cstheme="minorBidi"/>
          <w:sz w:val="22"/>
          <w:szCs w:val="22"/>
          <w:lang w:eastAsia="en-GB"/>
        </w:rPr>
        <w:tab/>
      </w:r>
      <w:r>
        <w:t>Sub7 GHz indoor scenario</w:t>
      </w:r>
      <w:r>
        <w:tab/>
      </w:r>
      <w:r>
        <w:fldChar w:fldCharType="begin" w:fldLock="1"/>
      </w:r>
      <w:r>
        <w:instrText xml:space="preserve"> PAGEREF _Toc531343028 \h </w:instrText>
      </w:r>
      <w:r>
        <w:fldChar w:fldCharType="separate"/>
      </w:r>
      <w:r>
        <w:t>55</w:t>
      </w:r>
      <w:r>
        <w:fldChar w:fldCharType="end"/>
      </w:r>
    </w:p>
    <w:p w14:paraId="3BFC7150" w14:textId="1ADA9559" w:rsidR="00571BB8" w:rsidRDefault="00571BB8">
      <w:pPr>
        <w:pStyle w:val="TOC3"/>
        <w:rPr>
          <w:rFonts w:asciiTheme="minorHAnsi" w:eastAsiaTheme="minorEastAsia" w:hAnsiTheme="minorHAnsi" w:cstheme="minorBidi"/>
          <w:sz w:val="22"/>
          <w:szCs w:val="22"/>
          <w:lang w:eastAsia="en-GB"/>
        </w:rPr>
      </w:pPr>
      <w:r>
        <w:t>8.1.2</w:t>
      </w:r>
      <w:r>
        <w:rPr>
          <w:rFonts w:asciiTheme="minorHAnsi" w:eastAsiaTheme="minorEastAsia" w:hAnsiTheme="minorHAnsi" w:cstheme="minorBidi"/>
          <w:sz w:val="22"/>
          <w:szCs w:val="22"/>
          <w:lang w:eastAsia="en-GB"/>
        </w:rPr>
        <w:tab/>
      </w:r>
      <w:r>
        <w:t>Sub7GHz outdoor scenario</w:t>
      </w:r>
      <w:r>
        <w:tab/>
      </w:r>
      <w:r>
        <w:fldChar w:fldCharType="begin" w:fldLock="1"/>
      </w:r>
      <w:r>
        <w:instrText xml:space="preserve"> PAGEREF _Toc531343029 \h </w:instrText>
      </w:r>
      <w:r>
        <w:fldChar w:fldCharType="separate"/>
      </w:r>
      <w:r>
        <w:t>56</w:t>
      </w:r>
      <w:r>
        <w:fldChar w:fldCharType="end"/>
      </w:r>
    </w:p>
    <w:p w14:paraId="5E93CC73" w14:textId="096A4EFD" w:rsidR="00571BB8" w:rsidRDefault="00571BB8">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Channel access schemes</w:t>
      </w:r>
      <w:r>
        <w:tab/>
      </w:r>
      <w:r>
        <w:fldChar w:fldCharType="begin" w:fldLock="1"/>
      </w:r>
      <w:r>
        <w:instrText xml:space="preserve"> PAGEREF _Toc531343030 \h </w:instrText>
      </w:r>
      <w:r>
        <w:fldChar w:fldCharType="separate"/>
      </w:r>
      <w:r>
        <w:t>56</w:t>
      </w:r>
      <w:r>
        <w:fldChar w:fldCharType="end"/>
      </w:r>
    </w:p>
    <w:p w14:paraId="67172F11" w14:textId="2BA5483B" w:rsidR="00571BB8" w:rsidRDefault="00571BB8">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Evaluation results</w:t>
      </w:r>
      <w:r>
        <w:tab/>
      </w:r>
      <w:r>
        <w:fldChar w:fldCharType="begin" w:fldLock="1"/>
      </w:r>
      <w:r>
        <w:instrText xml:space="preserve"> PAGEREF _Toc531343031 \h </w:instrText>
      </w:r>
      <w:r>
        <w:fldChar w:fldCharType="separate"/>
      </w:r>
      <w:r>
        <w:t>57</w:t>
      </w:r>
      <w:r>
        <w:fldChar w:fldCharType="end"/>
      </w:r>
    </w:p>
    <w:p w14:paraId="7F759077" w14:textId="73D26FFD" w:rsidR="00571BB8" w:rsidRDefault="00571BB8">
      <w:pPr>
        <w:pStyle w:val="TOC3"/>
        <w:rPr>
          <w:rFonts w:asciiTheme="minorHAnsi" w:eastAsiaTheme="minorEastAsia" w:hAnsiTheme="minorHAnsi" w:cstheme="minorBidi"/>
          <w:sz w:val="22"/>
          <w:szCs w:val="22"/>
          <w:lang w:eastAsia="en-GB"/>
        </w:rPr>
      </w:pPr>
      <w:r>
        <w:t>8.3.1</w:t>
      </w:r>
      <w:r>
        <w:rPr>
          <w:rFonts w:asciiTheme="minorHAnsi" w:eastAsiaTheme="minorEastAsia" w:hAnsiTheme="minorHAnsi" w:cstheme="minorBidi"/>
          <w:sz w:val="22"/>
          <w:szCs w:val="22"/>
          <w:lang w:eastAsia="en-GB"/>
        </w:rPr>
        <w:tab/>
      </w:r>
      <w:r>
        <w:t>Coexistence evaluation results for 5GHz</w:t>
      </w:r>
      <w:r>
        <w:tab/>
      </w:r>
      <w:r>
        <w:fldChar w:fldCharType="begin" w:fldLock="1"/>
      </w:r>
      <w:r>
        <w:instrText xml:space="preserve"> PAGEREF _Toc531343032 \h </w:instrText>
      </w:r>
      <w:r>
        <w:fldChar w:fldCharType="separate"/>
      </w:r>
      <w:r>
        <w:t>57</w:t>
      </w:r>
      <w:r>
        <w:fldChar w:fldCharType="end"/>
      </w:r>
    </w:p>
    <w:p w14:paraId="5C3417A5" w14:textId="5524559E" w:rsidR="00571BB8" w:rsidRDefault="00571BB8">
      <w:pPr>
        <w:pStyle w:val="TOC4"/>
        <w:rPr>
          <w:rFonts w:asciiTheme="minorHAnsi" w:eastAsiaTheme="minorEastAsia" w:hAnsiTheme="minorHAnsi" w:cstheme="minorBidi"/>
          <w:sz w:val="22"/>
          <w:szCs w:val="22"/>
          <w:lang w:eastAsia="en-GB"/>
        </w:rPr>
      </w:pPr>
      <w:r>
        <w:t>8.3.1.1</w:t>
      </w:r>
      <w:r>
        <w:rPr>
          <w:rFonts w:asciiTheme="minorHAnsi" w:eastAsiaTheme="minorEastAsia" w:hAnsiTheme="minorHAnsi" w:cstheme="minorBidi"/>
          <w:sz w:val="22"/>
          <w:szCs w:val="22"/>
          <w:lang w:eastAsia="en-GB"/>
        </w:rPr>
        <w:tab/>
      </w:r>
      <w:r>
        <w:t>Detailed findings for indoor scenarios</w:t>
      </w:r>
      <w:r>
        <w:tab/>
      </w:r>
      <w:r>
        <w:fldChar w:fldCharType="begin" w:fldLock="1"/>
      </w:r>
      <w:r>
        <w:instrText xml:space="preserve"> PAGEREF _Toc531343033 \h </w:instrText>
      </w:r>
      <w:r>
        <w:fldChar w:fldCharType="separate"/>
      </w:r>
      <w:r>
        <w:t>57</w:t>
      </w:r>
      <w:r>
        <w:fldChar w:fldCharType="end"/>
      </w:r>
    </w:p>
    <w:p w14:paraId="557BFCDE" w14:textId="3E039D85" w:rsidR="00571BB8" w:rsidRDefault="00571BB8">
      <w:pPr>
        <w:pStyle w:val="TOC4"/>
        <w:rPr>
          <w:rFonts w:asciiTheme="minorHAnsi" w:eastAsiaTheme="minorEastAsia" w:hAnsiTheme="minorHAnsi" w:cstheme="minorBidi"/>
          <w:sz w:val="22"/>
          <w:szCs w:val="22"/>
          <w:lang w:eastAsia="en-GB"/>
        </w:rPr>
      </w:pPr>
      <w:r>
        <w:t>8.3.1.2</w:t>
      </w:r>
      <w:r>
        <w:rPr>
          <w:rFonts w:asciiTheme="minorHAnsi" w:eastAsiaTheme="minorEastAsia" w:hAnsiTheme="minorHAnsi" w:cstheme="minorBidi"/>
          <w:sz w:val="22"/>
          <w:szCs w:val="22"/>
          <w:lang w:eastAsia="en-GB"/>
        </w:rPr>
        <w:tab/>
      </w:r>
      <w:r>
        <w:t>Detailed findings for outdoor scenario 1</w:t>
      </w:r>
      <w:r>
        <w:tab/>
      </w:r>
      <w:r>
        <w:fldChar w:fldCharType="begin" w:fldLock="1"/>
      </w:r>
      <w:r>
        <w:instrText xml:space="preserve"> PAGEREF _Toc531343034 \h </w:instrText>
      </w:r>
      <w:r>
        <w:fldChar w:fldCharType="separate"/>
      </w:r>
      <w:r>
        <w:t>59</w:t>
      </w:r>
      <w:r>
        <w:fldChar w:fldCharType="end"/>
      </w:r>
    </w:p>
    <w:p w14:paraId="10A0A805" w14:textId="36773851" w:rsidR="00571BB8" w:rsidRDefault="00571BB8">
      <w:pPr>
        <w:pStyle w:val="TOC4"/>
        <w:rPr>
          <w:rFonts w:asciiTheme="minorHAnsi" w:eastAsiaTheme="minorEastAsia" w:hAnsiTheme="minorHAnsi" w:cstheme="minorBidi"/>
          <w:sz w:val="22"/>
          <w:szCs w:val="22"/>
          <w:lang w:eastAsia="en-GB"/>
        </w:rPr>
      </w:pPr>
      <w:r>
        <w:t>8.3.1.3</w:t>
      </w:r>
      <w:r>
        <w:rPr>
          <w:rFonts w:asciiTheme="minorHAnsi" w:eastAsiaTheme="minorEastAsia" w:hAnsiTheme="minorHAnsi" w:cstheme="minorBidi"/>
          <w:sz w:val="22"/>
          <w:szCs w:val="22"/>
          <w:lang w:eastAsia="en-GB"/>
        </w:rPr>
        <w:tab/>
      </w:r>
      <w:r>
        <w:t>Detailed findings for outdoor scenario 2</w:t>
      </w:r>
      <w:r>
        <w:tab/>
      </w:r>
      <w:r>
        <w:fldChar w:fldCharType="begin" w:fldLock="1"/>
      </w:r>
      <w:r>
        <w:instrText xml:space="preserve"> PAGEREF _Toc531343035 \h </w:instrText>
      </w:r>
      <w:r>
        <w:fldChar w:fldCharType="separate"/>
      </w:r>
      <w:r>
        <w:t>59</w:t>
      </w:r>
      <w:r>
        <w:fldChar w:fldCharType="end"/>
      </w:r>
    </w:p>
    <w:p w14:paraId="7E5A7359" w14:textId="008E655E" w:rsidR="00571BB8" w:rsidRDefault="00571BB8">
      <w:pPr>
        <w:pStyle w:val="TOC4"/>
        <w:rPr>
          <w:rFonts w:asciiTheme="minorHAnsi" w:eastAsiaTheme="minorEastAsia" w:hAnsiTheme="minorHAnsi" w:cstheme="minorBidi"/>
          <w:sz w:val="22"/>
          <w:szCs w:val="22"/>
          <w:lang w:eastAsia="en-GB"/>
        </w:rPr>
      </w:pPr>
      <w:r>
        <w:t>8.3.1.4</w:t>
      </w:r>
      <w:r>
        <w:rPr>
          <w:rFonts w:asciiTheme="minorHAnsi" w:eastAsiaTheme="minorEastAsia" w:hAnsiTheme="minorHAnsi" w:cstheme="minorBidi"/>
          <w:sz w:val="22"/>
          <w:szCs w:val="22"/>
          <w:lang w:eastAsia="en-GB"/>
        </w:rPr>
        <w:tab/>
      </w:r>
      <w:r>
        <w:t>Summary of observations</w:t>
      </w:r>
      <w:r>
        <w:tab/>
      </w:r>
      <w:r>
        <w:fldChar w:fldCharType="begin" w:fldLock="1"/>
      </w:r>
      <w:r>
        <w:instrText xml:space="preserve"> PAGEREF _Toc531343036 \h </w:instrText>
      </w:r>
      <w:r>
        <w:fldChar w:fldCharType="separate"/>
      </w:r>
      <w:r>
        <w:t>60</w:t>
      </w:r>
      <w:r>
        <w:fldChar w:fldCharType="end"/>
      </w:r>
    </w:p>
    <w:p w14:paraId="6F080BA0" w14:textId="4E2FB58A" w:rsidR="00571BB8" w:rsidRDefault="00571BB8">
      <w:pPr>
        <w:pStyle w:val="TOC3"/>
        <w:rPr>
          <w:rFonts w:asciiTheme="minorHAnsi" w:eastAsiaTheme="minorEastAsia" w:hAnsiTheme="minorHAnsi" w:cstheme="minorBidi"/>
          <w:sz w:val="22"/>
          <w:szCs w:val="22"/>
          <w:lang w:eastAsia="en-GB"/>
        </w:rPr>
      </w:pPr>
      <w:r>
        <w:t>8.3.2</w:t>
      </w:r>
      <w:r>
        <w:rPr>
          <w:rFonts w:asciiTheme="minorHAnsi" w:eastAsiaTheme="minorEastAsia" w:hAnsiTheme="minorHAnsi" w:cstheme="minorBidi"/>
          <w:sz w:val="22"/>
          <w:szCs w:val="22"/>
          <w:lang w:eastAsia="en-GB"/>
        </w:rPr>
        <w:tab/>
      </w:r>
      <w:r>
        <w:t>Coexistence evaluation results for 6GHz</w:t>
      </w:r>
      <w:r>
        <w:tab/>
      </w:r>
      <w:r>
        <w:fldChar w:fldCharType="begin" w:fldLock="1"/>
      </w:r>
      <w:r>
        <w:instrText xml:space="preserve"> PAGEREF _Toc531343037 \h </w:instrText>
      </w:r>
      <w:r>
        <w:fldChar w:fldCharType="separate"/>
      </w:r>
      <w:r>
        <w:t>60</w:t>
      </w:r>
      <w:r>
        <w:fldChar w:fldCharType="end"/>
      </w:r>
    </w:p>
    <w:p w14:paraId="22B2E15A" w14:textId="27335160" w:rsidR="00571BB8" w:rsidRDefault="00571BB8">
      <w:pPr>
        <w:pStyle w:val="TOC4"/>
        <w:rPr>
          <w:rFonts w:asciiTheme="minorHAnsi" w:eastAsiaTheme="minorEastAsia" w:hAnsiTheme="minorHAnsi" w:cstheme="minorBidi"/>
          <w:sz w:val="22"/>
          <w:szCs w:val="22"/>
          <w:lang w:eastAsia="en-GB"/>
        </w:rPr>
      </w:pPr>
      <w:r>
        <w:t>8.3.2.1</w:t>
      </w:r>
      <w:r>
        <w:rPr>
          <w:rFonts w:asciiTheme="minorHAnsi" w:eastAsiaTheme="minorEastAsia" w:hAnsiTheme="minorHAnsi" w:cstheme="minorBidi"/>
          <w:sz w:val="22"/>
          <w:szCs w:val="22"/>
          <w:lang w:eastAsia="en-GB"/>
        </w:rPr>
        <w:tab/>
      </w:r>
      <w:r>
        <w:t>Detailed findings for indoor scenarios</w:t>
      </w:r>
      <w:r>
        <w:tab/>
      </w:r>
      <w:r>
        <w:fldChar w:fldCharType="begin" w:fldLock="1"/>
      </w:r>
      <w:r>
        <w:instrText xml:space="preserve"> PAGEREF _Toc531343038 \h </w:instrText>
      </w:r>
      <w:r>
        <w:fldChar w:fldCharType="separate"/>
      </w:r>
      <w:r>
        <w:t>60</w:t>
      </w:r>
      <w:r>
        <w:fldChar w:fldCharType="end"/>
      </w:r>
    </w:p>
    <w:p w14:paraId="437C06A6" w14:textId="2273A794" w:rsidR="00571BB8" w:rsidRDefault="00571BB8">
      <w:pPr>
        <w:pStyle w:val="TOC4"/>
        <w:rPr>
          <w:rFonts w:asciiTheme="minorHAnsi" w:eastAsiaTheme="minorEastAsia" w:hAnsiTheme="minorHAnsi" w:cstheme="minorBidi"/>
          <w:sz w:val="22"/>
          <w:szCs w:val="22"/>
          <w:lang w:eastAsia="en-GB"/>
        </w:rPr>
      </w:pPr>
      <w:r>
        <w:t>8.3.2.2</w:t>
      </w:r>
      <w:r>
        <w:rPr>
          <w:rFonts w:asciiTheme="minorHAnsi" w:eastAsiaTheme="minorEastAsia" w:hAnsiTheme="minorHAnsi" w:cstheme="minorBidi"/>
          <w:sz w:val="22"/>
          <w:szCs w:val="22"/>
          <w:lang w:eastAsia="en-GB"/>
        </w:rPr>
        <w:tab/>
      </w:r>
      <w:r>
        <w:t>Detailed findings for outdoor scenario 1</w:t>
      </w:r>
      <w:r>
        <w:tab/>
      </w:r>
      <w:r>
        <w:fldChar w:fldCharType="begin" w:fldLock="1"/>
      </w:r>
      <w:r>
        <w:instrText xml:space="preserve"> PAGEREF _Toc531343039 \h </w:instrText>
      </w:r>
      <w:r>
        <w:fldChar w:fldCharType="separate"/>
      </w:r>
      <w:r>
        <w:t>61</w:t>
      </w:r>
      <w:r>
        <w:fldChar w:fldCharType="end"/>
      </w:r>
    </w:p>
    <w:p w14:paraId="0817D6B0" w14:textId="5CA38C8D" w:rsidR="00571BB8" w:rsidRDefault="00571BB8">
      <w:pPr>
        <w:pStyle w:val="TOC4"/>
        <w:rPr>
          <w:rFonts w:asciiTheme="minorHAnsi" w:eastAsiaTheme="minorEastAsia" w:hAnsiTheme="minorHAnsi" w:cstheme="minorBidi"/>
          <w:sz w:val="22"/>
          <w:szCs w:val="22"/>
          <w:lang w:eastAsia="en-GB"/>
        </w:rPr>
      </w:pPr>
      <w:r>
        <w:t>8.3.2.3</w:t>
      </w:r>
      <w:r>
        <w:rPr>
          <w:rFonts w:asciiTheme="minorHAnsi" w:eastAsiaTheme="minorEastAsia" w:hAnsiTheme="minorHAnsi" w:cstheme="minorBidi"/>
          <w:sz w:val="22"/>
          <w:szCs w:val="22"/>
          <w:lang w:eastAsia="en-GB"/>
        </w:rPr>
        <w:tab/>
      </w:r>
      <w:r>
        <w:t>Summary of observations</w:t>
      </w:r>
      <w:r>
        <w:tab/>
      </w:r>
      <w:r>
        <w:fldChar w:fldCharType="begin" w:fldLock="1"/>
      </w:r>
      <w:r>
        <w:instrText xml:space="preserve"> PAGEREF _Toc531343040 \h </w:instrText>
      </w:r>
      <w:r>
        <w:fldChar w:fldCharType="separate"/>
      </w:r>
      <w:r>
        <w:t>61</w:t>
      </w:r>
      <w:r>
        <w:fldChar w:fldCharType="end"/>
      </w:r>
    </w:p>
    <w:p w14:paraId="1593E340" w14:textId="15FB5452" w:rsidR="00571BB8" w:rsidRDefault="00571BB8">
      <w:pPr>
        <w:pStyle w:val="TOC2"/>
        <w:rPr>
          <w:rFonts w:asciiTheme="minorHAnsi" w:eastAsiaTheme="minorEastAsia" w:hAnsiTheme="minorHAnsi" w:cstheme="minorBidi"/>
          <w:sz w:val="22"/>
          <w:szCs w:val="22"/>
          <w:lang w:eastAsia="en-GB"/>
        </w:rPr>
      </w:pPr>
      <w:r>
        <w:t>8.4</w:t>
      </w:r>
      <w:r>
        <w:rPr>
          <w:rFonts w:asciiTheme="minorHAnsi" w:eastAsiaTheme="minorEastAsia" w:hAnsiTheme="minorHAnsi" w:cstheme="minorBidi"/>
          <w:sz w:val="22"/>
          <w:szCs w:val="22"/>
          <w:lang w:eastAsia="en-GB"/>
        </w:rPr>
        <w:tab/>
      </w:r>
      <w:r>
        <w:t>Adjacent channel interference analysis</w:t>
      </w:r>
      <w:r>
        <w:tab/>
      </w:r>
      <w:r>
        <w:fldChar w:fldCharType="begin" w:fldLock="1"/>
      </w:r>
      <w:r>
        <w:instrText xml:space="preserve"> PAGEREF _Toc531343041 \h </w:instrText>
      </w:r>
      <w:r>
        <w:fldChar w:fldCharType="separate"/>
      </w:r>
      <w:r>
        <w:t>62</w:t>
      </w:r>
      <w:r>
        <w:fldChar w:fldCharType="end"/>
      </w:r>
    </w:p>
    <w:p w14:paraId="6581C266" w14:textId="3A1EBA48" w:rsidR="00571BB8" w:rsidRDefault="00571BB8">
      <w:pPr>
        <w:pStyle w:val="TOC1"/>
        <w:rPr>
          <w:rFonts w:asciiTheme="minorHAnsi" w:eastAsiaTheme="minorEastAsia" w:hAnsiTheme="minorHAnsi" w:cstheme="minorBidi"/>
          <w:szCs w:val="22"/>
          <w:lang w:eastAsia="en-GB"/>
        </w:rPr>
      </w:pPr>
      <w:r>
        <w:t>9</w:t>
      </w:r>
      <w:r>
        <w:rPr>
          <w:rFonts w:asciiTheme="minorHAnsi" w:eastAsiaTheme="minorEastAsia" w:hAnsiTheme="minorHAnsi" w:cstheme="minorBidi"/>
          <w:szCs w:val="22"/>
          <w:lang w:eastAsia="en-GB"/>
        </w:rPr>
        <w:tab/>
      </w:r>
      <w:r>
        <w:t>Conclusions</w:t>
      </w:r>
      <w:r>
        <w:tab/>
      </w:r>
      <w:r>
        <w:fldChar w:fldCharType="begin" w:fldLock="1"/>
      </w:r>
      <w:r>
        <w:instrText xml:space="preserve"> PAGEREF _Toc531343042 \h </w:instrText>
      </w:r>
      <w:r>
        <w:fldChar w:fldCharType="separate"/>
      </w:r>
      <w:r>
        <w:t>62</w:t>
      </w:r>
      <w:r>
        <w:fldChar w:fldCharType="end"/>
      </w:r>
    </w:p>
    <w:p w14:paraId="3E0BAD14" w14:textId="0C450B1F" w:rsidR="00571BB8" w:rsidRDefault="00571BB8">
      <w:pPr>
        <w:pStyle w:val="TOC9"/>
        <w:rPr>
          <w:rFonts w:asciiTheme="minorHAnsi" w:eastAsiaTheme="minorEastAsia" w:hAnsiTheme="minorHAnsi" w:cstheme="minorBidi"/>
          <w:b w:val="0"/>
          <w:szCs w:val="22"/>
          <w:lang w:eastAsia="en-GB"/>
        </w:rPr>
      </w:pPr>
      <w:r>
        <w:t>Annex A:</w:t>
      </w:r>
      <w:r>
        <w:tab/>
        <w:t>Evaluation methodology</w:t>
      </w:r>
      <w:r>
        <w:tab/>
      </w:r>
      <w:r>
        <w:fldChar w:fldCharType="begin" w:fldLock="1"/>
      </w:r>
      <w:r>
        <w:instrText xml:space="preserve"> PAGEREF _Toc531343043 \h </w:instrText>
      </w:r>
      <w:r>
        <w:fldChar w:fldCharType="separate"/>
      </w:r>
      <w:r>
        <w:t>65</w:t>
      </w:r>
      <w:r>
        <w:fldChar w:fldCharType="end"/>
      </w:r>
    </w:p>
    <w:p w14:paraId="60FBB2ED" w14:textId="56AF1EBE" w:rsidR="00571BB8" w:rsidRDefault="00571BB8">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General evaluation assumptions</w:t>
      </w:r>
      <w:r>
        <w:tab/>
      </w:r>
      <w:r>
        <w:fldChar w:fldCharType="begin" w:fldLock="1"/>
      </w:r>
      <w:r>
        <w:instrText xml:space="preserve"> PAGEREF _Toc531343044 \h </w:instrText>
      </w:r>
      <w:r>
        <w:fldChar w:fldCharType="separate"/>
      </w:r>
      <w:r>
        <w:t>65</w:t>
      </w:r>
      <w:r>
        <w:fldChar w:fldCharType="end"/>
      </w:r>
    </w:p>
    <w:p w14:paraId="330C260F" w14:textId="71457CC3" w:rsidR="00571BB8" w:rsidRDefault="00571BB8">
      <w:pPr>
        <w:pStyle w:val="TOC3"/>
        <w:rPr>
          <w:rFonts w:asciiTheme="minorHAnsi" w:eastAsiaTheme="minorEastAsia" w:hAnsiTheme="minorHAnsi" w:cstheme="minorBidi"/>
          <w:sz w:val="22"/>
          <w:szCs w:val="22"/>
          <w:lang w:eastAsia="en-GB"/>
        </w:rPr>
      </w:pPr>
      <w:r>
        <w:t>A.1.1</w:t>
      </w:r>
      <w:r>
        <w:rPr>
          <w:rFonts w:asciiTheme="minorHAnsi" w:eastAsiaTheme="minorEastAsia" w:hAnsiTheme="minorHAnsi" w:cstheme="minorBidi"/>
          <w:sz w:val="22"/>
          <w:szCs w:val="22"/>
          <w:lang w:eastAsia="en-GB"/>
        </w:rPr>
        <w:tab/>
      </w:r>
      <w:r>
        <w:t>Evaluation assumptions for sub 7GHz indoor scenario</w:t>
      </w:r>
      <w:r>
        <w:tab/>
      </w:r>
      <w:r>
        <w:fldChar w:fldCharType="begin" w:fldLock="1"/>
      </w:r>
      <w:r>
        <w:instrText xml:space="preserve"> PAGEREF _Toc531343045 \h </w:instrText>
      </w:r>
      <w:r>
        <w:fldChar w:fldCharType="separate"/>
      </w:r>
      <w:r>
        <w:t>65</w:t>
      </w:r>
      <w:r>
        <w:fldChar w:fldCharType="end"/>
      </w:r>
    </w:p>
    <w:p w14:paraId="741CDFDE" w14:textId="43E42EC9" w:rsidR="00571BB8" w:rsidRDefault="00571BB8">
      <w:pPr>
        <w:pStyle w:val="TOC3"/>
        <w:rPr>
          <w:rFonts w:asciiTheme="minorHAnsi" w:eastAsiaTheme="minorEastAsia" w:hAnsiTheme="minorHAnsi" w:cstheme="minorBidi"/>
          <w:sz w:val="22"/>
          <w:szCs w:val="22"/>
          <w:lang w:eastAsia="en-GB"/>
        </w:rPr>
      </w:pPr>
      <w:r>
        <w:t>A.1.2</w:t>
      </w:r>
      <w:r>
        <w:rPr>
          <w:rFonts w:asciiTheme="minorHAnsi" w:eastAsiaTheme="minorEastAsia" w:hAnsiTheme="minorHAnsi" w:cstheme="minorBidi"/>
          <w:sz w:val="22"/>
          <w:szCs w:val="22"/>
          <w:lang w:eastAsia="en-GB"/>
        </w:rPr>
        <w:tab/>
      </w:r>
      <w:r>
        <w:t>Evaluation assumptions for sub 7GHz outdoor scenarios</w:t>
      </w:r>
      <w:r>
        <w:tab/>
      </w:r>
      <w:r>
        <w:fldChar w:fldCharType="begin" w:fldLock="1"/>
      </w:r>
      <w:r>
        <w:instrText xml:space="preserve"> PAGEREF _Toc531343046 \h </w:instrText>
      </w:r>
      <w:r>
        <w:fldChar w:fldCharType="separate"/>
      </w:r>
      <w:r>
        <w:t>65</w:t>
      </w:r>
      <w:r>
        <w:fldChar w:fldCharType="end"/>
      </w:r>
    </w:p>
    <w:p w14:paraId="12C5405C" w14:textId="55888D63" w:rsidR="00571BB8" w:rsidRDefault="00571BB8">
      <w:pPr>
        <w:pStyle w:val="TOC9"/>
        <w:rPr>
          <w:rFonts w:asciiTheme="minorHAnsi" w:eastAsiaTheme="minorEastAsia" w:hAnsiTheme="minorHAnsi" w:cstheme="minorBidi"/>
          <w:b w:val="0"/>
          <w:szCs w:val="22"/>
          <w:lang w:eastAsia="en-GB"/>
        </w:rPr>
      </w:pPr>
      <w:r>
        <w:t>Annex B:</w:t>
      </w:r>
      <w:r>
        <w:tab/>
        <w:t>Evaluation results</w:t>
      </w:r>
      <w:r>
        <w:tab/>
      </w:r>
      <w:r>
        <w:fldChar w:fldCharType="begin" w:fldLock="1"/>
      </w:r>
      <w:r>
        <w:instrText xml:space="preserve"> PAGEREF _Toc531343047 \h </w:instrText>
      </w:r>
      <w:r>
        <w:fldChar w:fldCharType="separate"/>
      </w:r>
      <w:r>
        <w:t>67</w:t>
      </w:r>
      <w:r>
        <w:fldChar w:fldCharType="end"/>
      </w:r>
    </w:p>
    <w:p w14:paraId="3442D4E0" w14:textId="3C3B5C8B" w:rsidR="00571BB8" w:rsidRDefault="00571BB8">
      <w:pPr>
        <w:pStyle w:val="TOC2"/>
        <w:rPr>
          <w:rFonts w:asciiTheme="minorHAnsi" w:eastAsiaTheme="minorEastAsia" w:hAnsiTheme="minorHAnsi" w:cstheme="minorBidi"/>
          <w:sz w:val="22"/>
          <w:szCs w:val="22"/>
          <w:lang w:eastAsia="en-GB"/>
        </w:rPr>
      </w:pPr>
      <w:r>
        <w:t>B.1</w:t>
      </w:r>
      <w:r>
        <w:rPr>
          <w:rFonts w:asciiTheme="minorHAnsi" w:eastAsiaTheme="minorEastAsia" w:hAnsiTheme="minorHAnsi" w:cstheme="minorBidi"/>
          <w:sz w:val="22"/>
          <w:szCs w:val="22"/>
          <w:lang w:eastAsia="en-GB"/>
        </w:rPr>
        <w:tab/>
      </w:r>
      <w:r>
        <w:t>Evaluation results for sub7GHz indoor</w:t>
      </w:r>
      <w:r>
        <w:tab/>
      </w:r>
      <w:r>
        <w:fldChar w:fldCharType="begin" w:fldLock="1"/>
      </w:r>
      <w:r>
        <w:instrText xml:space="preserve"> PAGEREF _Toc531343048 \h </w:instrText>
      </w:r>
      <w:r>
        <w:fldChar w:fldCharType="separate"/>
      </w:r>
      <w:r>
        <w:t>67</w:t>
      </w:r>
      <w:r>
        <w:fldChar w:fldCharType="end"/>
      </w:r>
    </w:p>
    <w:p w14:paraId="02ED6BD9" w14:textId="2434B992" w:rsidR="00571BB8" w:rsidRDefault="00571BB8">
      <w:pPr>
        <w:pStyle w:val="TOC3"/>
        <w:rPr>
          <w:rFonts w:asciiTheme="minorHAnsi" w:eastAsiaTheme="minorEastAsia" w:hAnsiTheme="minorHAnsi" w:cstheme="minorBidi"/>
          <w:sz w:val="22"/>
          <w:szCs w:val="22"/>
          <w:lang w:eastAsia="en-GB"/>
        </w:rPr>
      </w:pPr>
      <w:r>
        <w:t>B.1.1</w:t>
      </w:r>
      <w:r>
        <w:rPr>
          <w:rFonts w:asciiTheme="minorHAnsi" w:eastAsiaTheme="minorEastAsia" w:hAnsiTheme="minorHAnsi" w:cstheme="minorBidi"/>
          <w:sz w:val="22"/>
          <w:szCs w:val="22"/>
          <w:lang w:eastAsia="en-GB"/>
        </w:rPr>
        <w:tab/>
      </w:r>
      <w:r>
        <w:t>Wi-Fi and NR-U coexistence evaluation with 20MHz and FTP traffic</w:t>
      </w:r>
      <w:r>
        <w:tab/>
      </w:r>
      <w:r>
        <w:fldChar w:fldCharType="begin" w:fldLock="1"/>
      </w:r>
      <w:r>
        <w:instrText xml:space="preserve"> PAGEREF _Toc531343049 \h </w:instrText>
      </w:r>
      <w:r>
        <w:fldChar w:fldCharType="separate"/>
      </w:r>
      <w:r>
        <w:t>67</w:t>
      </w:r>
      <w:r>
        <w:fldChar w:fldCharType="end"/>
      </w:r>
    </w:p>
    <w:p w14:paraId="694F0878" w14:textId="40FBEA56" w:rsidR="00571BB8" w:rsidRDefault="00571BB8">
      <w:pPr>
        <w:pStyle w:val="TOC3"/>
        <w:rPr>
          <w:rFonts w:asciiTheme="minorHAnsi" w:eastAsiaTheme="minorEastAsia" w:hAnsiTheme="minorHAnsi" w:cstheme="minorBidi"/>
          <w:sz w:val="22"/>
          <w:szCs w:val="22"/>
          <w:lang w:eastAsia="en-GB"/>
        </w:rPr>
      </w:pPr>
      <w:r>
        <w:t>B.1.2</w:t>
      </w:r>
      <w:r>
        <w:rPr>
          <w:rFonts w:asciiTheme="minorHAnsi" w:eastAsiaTheme="minorEastAsia" w:hAnsiTheme="minorHAnsi" w:cstheme="minorBidi"/>
          <w:sz w:val="22"/>
          <w:szCs w:val="22"/>
          <w:lang w:eastAsia="en-GB"/>
        </w:rPr>
        <w:tab/>
      </w:r>
      <w:r>
        <w:t>Wi-Fi and NR-U coexistence evaluation with 20MHz and mixed traffic</w:t>
      </w:r>
      <w:r>
        <w:tab/>
      </w:r>
      <w:r>
        <w:fldChar w:fldCharType="begin" w:fldLock="1"/>
      </w:r>
      <w:r>
        <w:instrText xml:space="preserve"> PAGEREF _Toc531343050 \h </w:instrText>
      </w:r>
      <w:r>
        <w:fldChar w:fldCharType="separate"/>
      </w:r>
      <w:r>
        <w:t>87</w:t>
      </w:r>
      <w:r>
        <w:fldChar w:fldCharType="end"/>
      </w:r>
    </w:p>
    <w:p w14:paraId="1804DCFC" w14:textId="36944644" w:rsidR="00571BB8" w:rsidRDefault="00571BB8">
      <w:pPr>
        <w:pStyle w:val="TOC2"/>
        <w:rPr>
          <w:rFonts w:asciiTheme="minorHAnsi" w:eastAsiaTheme="minorEastAsia" w:hAnsiTheme="minorHAnsi" w:cstheme="minorBidi"/>
          <w:sz w:val="22"/>
          <w:szCs w:val="22"/>
          <w:lang w:eastAsia="en-GB"/>
        </w:rPr>
      </w:pPr>
      <w:r>
        <w:t>B.2</w:t>
      </w:r>
      <w:r>
        <w:rPr>
          <w:rFonts w:asciiTheme="minorHAnsi" w:eastAsiaTheme="minorEastAsia" w:hAnsiTheme="minorHAnsi" w:cstheme="minorBidi"/>
          <w:sz w:val="22"/>
          <w:szCs w:val="22"/>
          <w:lang w:eastAsia="en-GB"/>
        </w:rPr>
        <w:tab/>
      </w:r>
      <w:r>
        <w:t>Evaluation results for sub7GHz outdoor scenario 1</w:t>
      </w:r>
      <w:r>
        <w:tab/>
      </w:r>
      <w:r>
        <w:fldChar w:fldCharType="begin" w:fldLock="1"/>
      </w:r>
      <w:r>
        <w:instrText xml:space="preserve"> PAGEREF _Toc531343051 \h </w:instrText>
      </w:r>
      <w:r>
        <w:fldChar w:fldCharType="separate"/>
      </w:r>
      <w:r>
        <w:t>89</w:t>
      </w:r>
      <w:r>
        <w:fldChar w:fldCharType="end"/>
      </w:r>
    </w:p>
    <w:p w14:paraId="0D9E5D8E" w14:textId="6DE8708F" w:rsidR="00571BB8" w:rsidRDefault="00571BB8">
      <w:pPr>
        <w:pStyle w:val="TOC3"/>
        <w:rPr>
          <w:rFonts w:asciiTheme="minorHAnsi" w:eastAsiaTheme="minorEastAsia" w:hAnsiTheme="minorHAnsi" w:cstheme="minorBidi"/>
          <w:sz w:val="22"/>
          <w:szCs w:val="22"/>
          <w:lang w:eastAsia="en-GB"/>
        </w:rPr>
      </w:pPr>
      <w:r>
        <w:t>B.2.1</w:t>
      </w:r>
      <w:r>
        <w:rPr>
          <w:rFonts w:asciiTheme="minorHAnsi" w:eastAsiaTheme="minorEastAsia" w:hAnsiTheme="minorHAnsi" w:cstheme="minorBidi"/>
          <w:sz w:val="22"/>
          <w:szCs w:val="22"/>
          <w:lang w:eastAsia="en-GB"/>
        </w:rPr>
        <w:tab/>
      </w:r>
      <w:r>
        <w:t>Wi-Fi and NR-U coexistence evaluation with 20MHz and FTP traffic</w:t>
      </w:r>
      <w:r>
        <w:tab/>
      </w:r>
      <w:r>
        <w:fldChar w:fldCharType="begin" w:fldLock="1"/>
      </w:r>
      <w:r>
        <w:instrText xml:space="preserve"> PAGEREF _Toc531343052 \h </w:instrText>
      </w:r>
      <w:r>
        <w:fldChar w:fldCharType="separate"/>
      </w:r>
      <w:r>
        <w:t>89</w:t>
      </w:r>
      <w:r>
        <w:fldChar w:fldCharType="end"/>
      </w:r>
    </w:p>
    <w:p w14:paraId="0F77D84C" w14:textId="1C7D0CB1" w:rsidR="00571BB8" w:rsidRDefault="00571BB8">
      <w:pPr>
        <w:pStyle w:val="TOC2"/>
        <w:rPr>
          <w:rFonts w:asciiTheme="minorHAnsi" w:eastAsiaTheme="minorEastAsia" w:hAnsiTheme="minorHAnsi" w:cstheme="minorBidi"/>
          <w:sz w:val="22"/>
          <w:szCs w:val="22"/>
          <w:lang w:eastAsia="en-GB"/>
        </w:rPr>
      </w:pPr>
      <w:r>
        <w:t>B.3</w:t>
      </w:r>
      <w:r>
        <w:rPr>
          <w:rFonts w:asciiTheme="minorHAnsi" w:eastAsiaTheme="minorEastAsia" w:hAnsiTheme="minorHAnsi" w:cstheme="minorBidi"/>
          <w:sz w:val="22"/>
          <w:szCs w:val="22"/>
          <w:lang w:eastAsia="en-GB"/>
        </w:rPr>
        <w:tab/>
      </w:r>
      <w:r>
        <w:t>Evaluation results for sub7GHz outdoor scenario 2</w:t>
      </w:r>
      <w:r>
        <w:tab/>
      </w:r>
      <w:r>
        <w:fldChar w:fldCharType="begin" w:fldLock="1"/>
      </w:r>
      <w:r>
        <w:instrText xml:space="preserve"> PAGEREF _Toc531343053 \h </w:instrText>
      </w:r>
      <w:r>
        <w:fldChar w:fldCharType="separate"/>
      </w:r>
      <w:r>
        <w:t>101</w:t>
      </w:r>
      <w:r>
        <w:fldChar w:fldCharType="end"/>
      </w:r>
    </w:p>
    <w:p w14:paraId="03B18892" w14:textId="683E751A" w:rsidR="00571BB8" w:rsidRDefault="00571BB8">
      <w:pPr>
        <w:pStyle w:val="TOC3"/>
        <w:rPr>
          <w:rFonts w:asciiTheme="minorHAnsi" w:eastAsiaTheme="minorEastAsia" w:hAnsiTheme="minorHAnsi" w:cstheme="minorBidi"/>
          <w:sz w:val="22"/>
          <w:szCs w:val="22"/>
          <w:lang w:eastAsia="en-GB"/>
        </w:rPr>
      </w:pPr>
      <w:r>
        <w:t>B.3.1</w:t>
      </w:r>
      <w:r>
        <w:rPr>
          <w:rFonts w:asciiTheme="minorHAnsi" w:eastAsiaTheme="minorEastAsia" w:hAnsiTheme="minorHAnsi" w:cstheme="minorBidi"/>
          <w:sz w:val="22"/>
          <w:szCs w:val="22"/>
          <w:lang w:eastAsia="en-GB"/>
        </w:rPr>
        <w:tab/>
      </w:r>
      <w:r>
        <w:t>Wi-Fi and NR-U coexistence evaluation with 20MHz and FTP traffic</w:t>
      </w:r>
      <w:r>
        <w:tab/>
      </w:r>
      <w:r>
        <w:fldChar w:fldCharType="begin" w:fldLock="1"/>
      </w:r>
      <w:r>
        <w:instrText xml:space="preserve"> PAGEREF _Toc531343054 \h </w:instrText>
      </w:r>
      <w:r>
        <w:fldChar w:fldCharType="separate"/>
      </w:r>
      <w:r>
        <w:t>101</w:t>
      </w:r>
      <w:r>
        <w:fldChar w:fldCharType="end"/>
      </w:r>
    </w:p>
    <w:p w14:paraId="4CD0FBEA" w14:textId="3E63D767" w:rsidR="00571BB8" w:rsidRDefault="00571BB8">
      <w:pPr>
        <w:pStyle w:val="TOC9"/>
        <w:rPr>
          <w:rFonts w:asciiTheme="minorHAnsi" w:eastAsiaTheme="minorEastAsia" w:hAnsiTheme="minorHAnsi" w:cstheme="minorBidi"/>
          <w:b w:val="0"/>
          <w:szCs w:val="22"/>
          <w:lang w:eastAsia="en-GB"/>
        </w:rPr>
      </w:pPr>
      <w:r>
        <w:t>Annex C:</w:t>
      </w:r>
      <w:r>
        <w:tab/>
        <w:t>Change history</w:t>
      </w:r>
      <w:r>
        <w:tab/>
      </w:r>
      <w:r>
        <w:fldChar w:fldCharType="begin" w:fldLock="1"/>
      </w:r>
      <w:r>
        <w:instrText xml:space="preserve"> PAGEREF _Toc531343055 \h </w:instrText>
      </w:r>
      <w:r>
        <w:fldChar w:fldCharType="separate"/>
      </w:r>
      <w:r>
        <w:t>107</w:t>
      </w:r>
      <w:r>
        <w:fldChar w:fldCharType="end"/>
      </w:r>
    </w:p>
    <w:p w14:paraId="3E4C95D3" w14:textId="5FC0D28D" w:rsidR="00E8629F" w:rsidRPr="00C64ECB" w:rsidRDefault="00571BB8">
      <w:r>
        <w:rPr>
          <w:noProof/>
          <w:sz w:val="22"/>
        </w:rPr>
        <w:fldChar w:fldCharType="end"/>
      </w:r>
    </w:p>
    <w:p w14:paraId="1B1C9EF7" w14:textId="77777777" w:rsidR="00E8629F" w:rsidRPr="00C64ECB" w:rsidRDefault="00E8629F">
      <w:pPr>
        <w:pStyle w:val="Heading1"/>
      </w:pPr>
      <w:r w:rsidRPr="00C64ECB">
        <w:br w:type="page"/>
      </w:r>
      <w:bookmarkStart w:id="4" w:name="_Toc531342968"/>
      <w:r w:rsidRPr="00C64ECB">
        <w:lastRenderedPageBreak/>
        <w:t>Foreword</w:t>
      </w:r>
      <w:bookmarkEnd w:id="4"/>
    </w:p>
    <w:p w14:paraId="340B1F01" w14:textId="77777777" w:rsidR="00E8629F" w:rsidRPr="00C64ECB" w:rsidRDefault="00E8629F">
      <w:r w:rsidRPr="00C64ECB">
        <w:t>This Technical Report has been produced by the 3</w:t>
      </w:r>
      <w:r w:rsidRPr="00C64ECB">
        <w:rPr>
          <w:vertAlign w:val="superscript"/>
        </w:rPr>
        <w:t>rd</w:t>
      </w:r>
      <w:r w:rsidRPr="00C64ECB">
        <w:t xml:space="preserve"> Generation Partnership Project (3GPP).</w:t>
      </w:r>
    </w:p>
    <w:p w14:paraId="29B148D3" w14:textId="77777777" w:rsidR="00E8629F" w:rsidRPr="00C64ECB" w:rsidRDefault="00E8629F">
      <w:r w:rsidRPr="00C64EC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4389DE" w14:textId="77777777" w:rsidR="00E8629F" w:rsidRPr="00C64ECB" w:rsidRDefault="00E8629F">
      <w:pPr>
        <w:pStyle w:val="B1"/>
      </w:pPr>
      <w:r w:rsidRPr="00C64ECB">
        <w:t>Version x.y.z</w:t>
      </w:r>
    </w:p>
    <w:p w14:paraId="670CBA80" w14:textId="77777777" w:rsidR="00E8629F" w:rsidRPr="00C64ECB" w:rsidRDefault="00E8629F">
      <w:pPr>
        <w:pStyle w:val="B1"/>
      </w:pPr>
      <w:r w:rsidRPr="00C64ECB">
        <w:t>where:</w:t>
      </w:r>
    </w:p>
    <w:p w14:paraId="6E5BAAD2" w14:textId="77777777" w:rsidR="00E8629F" w:rsidRPr="00C64ECB" w:rsidRDefault="00E8629F">
      <w:pPr>
        <w:pStyle w:val="B2"/>
      </w:pPr>
      <w:r w:rsidRPr="00C64ECB">
        <w:t>x</w:t>
      </w:r>
      <w:r w:rsidRPr="00C64ECB">
        <w:tab/>
        <w:t>the first digit:</w:t>
      </w:r>
    </w:p>
    <w:p w14:paraId="4DB530D3" w14:textId="77777777" w:rsidR="00E8629F" w:rsidRPr="00C64ECB" w:rsidRDefault="00E8629F">
      <w:pPr>
        <w:pStyle w:val="B3"/>
      </w:pPr>
      <w:r w:rsidRPr="00C64ECB">
        <w:t>1</w:t>
      </w:r>
      <w:r w:rsidRPr="00C64ECB">
        <w:tab/>
        <w:t>presented to TSG for information;</w:t>
      </w:r>
    </w:p>
    <w:p w14:paraId="3B1EF647" w14:textId="77777777" w:rsidR="00E8629F" w:rsidRPr="00C64ECB" w:rsidRDefault="00E8629F">
      <w:pPr>
        <w:pStyle w:val="B3"/>
      </w:pPr>
      <w:r w:rsidRPr="00C64ECB">
        <w:t>2</w:t>
      </w:r>
      <w:r w:rsidRPr="00C64ECB">
        <w:tab/>
        <w:t>presented to TSG for approval;</w:t>
      </w:r>
    </w:p>
    <w:p w14:paraId="2DDAE3A7" w14:textId="77777777" w:rsidR="00E8629F" w:rsidRPr="00C64ECB" w:rsidRDefault="00E8629F">
      <w:pPr>
        <w:pStyle w:val="B3"/>
      </w:pPr>
      <w:r w:rsidRPr="00C64ECB">
        <w:t>3</w:t>
      </w:r>
      <w:r w:rsidRPr="00C64ECB">
        <w:tab/>
        <w:t>or greater indicates TSG approved document under change control.</w:t>
      </w:r>
    </w:p>
    <w:p w14:paraId="415C39B0" w14:textId="77777777" w:rsidR="00E8629F" w:rsidRPr="00C64ECB" w:rsidRDefault="00E8629F">
      <w:pPr>
        <w:pStyle w:val="B2"/>
      </w:pPr>
      <w:r w:rsidRPr="00C64ECB">
        <w:t>y</w:t>
      </w:r>
      <w:r w:rsidRPr="00C64ECB">
        <w:tab/>
        <w:t>the second digit is incremented for all changes of substance, i.e. technical enhancements, corrections, updates, etc.</w:t>
      </w:r>
    </w:p>
    <w:p w14:paraId="0A1DDB60" w14:textId="39B4A359" w:rsidR="00E8629F" w:rsidRPr="00C64ECB" w:rsidRDefault="00E8629F">
      <w:pPr>
        <w:pStyle w:val="B2"/>
      </w:pPr>
      <w:r w:rsidRPr="00C64ECB">
        <w:t>z</w:t>
      </w:r>
      <w:r w:rsidRPr="00C64ECB">
        <w:tab/>
        <w:t>the third digit is incremented when editorial only changes have been incorporated in the document.</w:t>
      </w:r>
    </w:p>
    <w:p w14:paraId="5B1846D4" w14:textId="04D063A2" w:rsidR="00010CD8" w:rsidRPr="00C64ECB" w:rsidRDefault="00010CD8" w:rsidP="00010CD8"/>
    <w:p w14:paraId="3C6BBCF4" w14:textId="77777777" w:rsidR="00010CD8" w:rsidRPr="00C64ECB" w:rsidRDefault="00010CD8">
      <w:pPr>
        <w:spacing w:after="0"/>
        <w:rPr>
          <w:rFonts w:ascii="Arial" w:hAnsi="Arial"/>
          <w:sz w:val="36"/>
        </w:rPr>
      </w:pPr>
      <w:r w:rsidRPr="00C64ECB">
        <w:br w:type="page"/>
      </w:r>
    </w:p>
    <w:p w14:paraId="36759B76" w14:textId="57AA542A" w:rsidR="00E8629F" w:rsidRPr="00C64ECB" w:rsidRDefault="00E8629F">
      <w:pPr>
        <w:pStyle w:val="Heading1"/>
      </w:pPr>
      <w:bookmarkStart w:id="5" w:name="_Toc531342969"/>
      <w:r w:rsidRPr="00C64ECB">
        <w:lastRenderedPageBreak/>
        <w:t>Introduction</w:t>
      </w:r>
      <w:bookmarkEnd w:id="5"/>
    </w:p>
    <w:p w14:paraId="58D9D070" w14:textId="2A91023C" w:rsidR="00A62A10" w:rsidRPr="00C64ECB" w:rsidRDefault="00AD212F" w:rsidP="00010CD8">
      <w:pPr>
        <w:rPr>
          <w:bCs/>
        </w:rPr>
      </w:pPr>
      <w:r w:rsidRPr="00C64ECB">
        <w:t xml:space="preserve">A study item, </w:t>
      </w:r>
      <w:r w:rsidR="00010CD8" w:rsidRPr="00C64ECB">
        <w:t>"</w:t>
      </w:r>
      <w:r w:rsidRPr="00C64ECB">
        <w:t>Study on NR-based Access to Unlicensed Spectrum</w:t>
      </w:r>
      <w:r w:rsidR="00010CD8" w:rsidRPr="00C64ECB">
        <w:t>"</w:t>
      </w:r>
      <w:r w:rsidRPr="00C64ECB">
        <w:t>, was approved at 3GPP TSG RAN #77 [2]</w:t>
      </w:r>
      <w:r w:rsidR="00795B31" w:rsidRPr="00C64ECB">
        <w:t xml:space="preserve"> and revised in 3GPP TSG RAN #80 [30]</w:t>
      </w:r>
      <w:r w:rsidRPr="00C64ECB">
        <w:t xml:space="preserve">. </w:t>
      </w:r>
      <w:r w:rsidR="00A62A10" w:rsidRPr="00C64ECB">
        <w:t>This study is to determine a single global solution for NR-based access to unlicensed spectrum, to be compatible with the NR concepts.</w:t>
      </w:r>
    </w:p>
    <w:p w14:paraId="1D7C6B98" w14:textId="77777777" w:rsidR="00AD212F" w:rsidRPr="00C64ECB" w:rsidRDefault="00AD212F" w:rsidP="00AD212F">
      <w:r w:rsidRPr="00C64ECB">
        <w:t>The objectives of the study include:</w:t>
      </w:r>
    </w:p>
    <w:p w14:paraId="49387677" w14:textId="67F9E4E9" w:rsidR="00A62A10" w:rsidRPr="00C64ECB" w:rsidRDefault="00010CD8" w:rsidP="00010CD8">
      <w:pPr>
        <w:pStyle w:val="B1"/>
        <w:rPr>
          <w:lang w:val="en-US"/>
        </w:rPr>
      </w:pPr>
      <w:r w:rsidRPr="00C64ECB">
        <w:rPr>
          <w:lang w:val="en-US"/>
        </w:rPr>
        <w:t>-</w:t>
      </w:r>
      <w:r w:rsidRPr="00C64ECB">
        <w:rPr>
          <w:lang w:val="en-US"/>
        </w:rPr>
        <w:tab/>
      </w:r>
      <w:r w:rsidR="00A62A10" w:rsidRPr="00C64ECB">
        <w:rPr>
          <w:lang w:val="en-US"/>
        </w:rPr>
        <w:t xml:space="preserve">Study NR-based operation in unlicensed spectrum (RAN1, RAN2, RAN4) including </w:t>
      </w:r>
    </w:p>
    <w:p w14:paraId="1625A1AD" w14:textId="3713E3B0" w:rsidR="00A62A10" w:rsidRPr="00C64ECB" w:rsidRDefault="00010CD8" w:rsidP="00010CD8">
      <w:pPr>
        <w:pStyle w:val="B1"/>
        <w:ind w:left="852"/>
        <w:rPr>
          <w:lang w:val="en-US"/>
        </w:rPr>
      </w:pPr>
      <w:r w:rsidRPr="00C64ECB">
        <w:rPr>
          <w:lang w:val="en-US"/>
        </w:rPr>
        <w:t>-</w:t>
      </w:r>
      <w:r w:rsidRPr="00C64ECB">
        <w:rPr>
          <w:lang w:val="en-US"/>
        </w:rPr>
        <w:tab/>
      </w:r>
      <w:r w:rsidR="00A62A10" w:rsidRPr="00C64ECB">
        <w:rPr>
          <w:lang w:val="en-US"/>
        </w:rPr>
        <w:t>Physical channels inheriting the choices of duplex mode, waveform, carrier bandwidth, subcarrier spacing, frame structure, and physical layer design made as part of the NR study and avoiding unnecessary divergence with decisions made in the NR WI</w:t>
      </w:r>
    </w:p>
    <w:p w14:paraId="3CB839A6" w14:textId="0C876946" w:rsidR="00A62A10" w:rsidRPr="00C64ECB" w:rsidRDefault="00010CD8" w:rsidP="00010CD8">
      <w:pPr>
        <w:pStyle w:val="B1"/>
        <w:ind w:left="1136"/>
        <w:rPr>
          <w:lang w:val="en-US"/>
        </w:rPr>
      </w:pPr>
      <w:r w:rsidRPr="00C64ECB">
        <w:rPr>
          <w:lang w:val="en-US"/>
        </w:rPr>
        <w:t>-</w:t>
      </w:r>
      <w:r w:rsidRPr="00C64ECB">
        <w:rPr>
          <w:lang w:val="en-US"/>
        </w:rPr>
        <w:tab/>
      </w:r>
      <w:r w:rsidR="00A62A10" w:rsidRPr="00C64ECB">
        <w:rPr>
          <w:lang w:val="en-US"/>
        </w:rPr>
        <w:t xml:space="preserve">Consider unlicensed bands below </w:t>
      </w:r>
      <w:r w:rsidR="00795B31" w:rsidRPr="00C64ECB">
        <w:rPr>
          <w:lang w:val="en-US"/>
        </w:rPr>
        <w:t>7GHz</w:t>
      </w:r>
    </w:p>
    <w:p w14:paraId="43EF34B6" w14:textId="355009AB" w:rsidR="00A62A10" w:rsidRPr="00C64ECB" w:rsidRDefault="00010CD8" w:rsidP="00010CD8">
      <w:pPr>
        <w:pStyle w:val="B1"/>
        <w:ind w:left="1136"/>
        <w:rPr>
          <w:lang w:val="en-US"/>
        </w:rPr>
      </w:pPr>
      <w:r w:rsidRPr="00C64ECB">
        <w:rPr>
          <w:lang w:val="en-US" w:eastAsia="zh-CN"/>
        </w:rPr>
        <w:t>-</w:t>
      </w:r>
      <w:r w:rsidRPr="00C64ECB">
        <w:rPr>
          <w:lang w:val="en-US" w:eastAsia="zh-CN"/>
        </w:rPr>
        <w:tab/>
      </w:r>
      <w:r w:rsidR="00A62A10" w:rsidRPr="00C64ECB">
        <w:rPr>
          <w:rFonts w:hint="eastAsia"/>
          <w:lang w:val="en-US" w:eastAsia="zh-CN"/>
        </w:rPr>
        <w:t xml:space="preserve">Consider similar forward compatibility </w:t>
      </w:r>
      <w:r w:rsidR="00A62A10" w:rsidRPr="00C64ECB">
        <w:rPr>
          <w:lang w:val="en-US" w:eastAsia="zh-CN"/>
        </w:rPr>
        <w:t>principles</w:t>
      </w:r>
      <w:r w:rsidR="00A62A10" w:rsidRPr="00C64ECB">
        <w:rPr>
          <w:rFonts w:hint="eastAsia"/>
          <w:lang w:val="en-US" w:eastAsia="zh-CN"/>
        </w:rPr>
        <w:t xml:space="preserve"> made in the NR WI</w:t>
      </w:r>
      <w:r w:rsidR="00A62A10" w:rsidRPr="00C64ECB">
        <w:rPr>
          <w:lang w:val="en-US"/>
        </w:rPr>
        <w:t xml:space="preserve"> </w:t>
      </w:r>
    </w:p>
    <w:p w14:paraId="4AC612DE" w14:textId="3DCF175E" w:rsidR="00A62A10" w:rsidRPr="00C64ECB" w:rsidRDefault="00010CD8" w:rsidP="00010CD8">
      <w:pPr>
        <w:pStyle w:val="B1"/>
        <w:ind w:left="852"/>
      </w:pPr>
      <w:r w:rsidRPr="00C64ECB">
        <w:t>-</w:t>
      </w:r>
      <w:r w:rsidRPr="00C64ECB">
        <w:tab/>
      </w:r>
      <w:r w:rsidR="00A62A10" w:rsidRPr="00C64ECB">
        <w:t>Initial access, channel access. Scheduling/HARQ, and mobility including connected/inactive/idle mode operation and radio-link monitoring/failure</w:t>
      </w:r>
    </w:p>
    <w:p w14:paraId="2BCEBCF2" w14:textId="5E434E74" w:rsidR="00A62A10" w:rsidRPr="00C64ECB" w:rsidRDefault="00010CD8" w:rsidP="00010CD8">
      <w:pPr>
        <w:pStyle w:val="B1"/>
        <w:ind w:left="852"/>
        <w:rPr>
          <w:lang w:val="en-US"/>
        </w:rPr>
      </w:pPr>
      <w:r w:rsidRPr="00C64ECB">
        <w:rPr>
          <w:lang w:val="en-US"/>
        </w:rPr>
        <w:t>-</w:t>
      </w:r>
      <w:r w:rsidRPr="00C64ECB">
        <w:rPr>
          <w:lang w:val="en-US"/>
        </w:rPr>
        <w:tab/>
      </w:r>
      <w:r w:rsidR="00A62A10" w:rsidRPr="00C64ECB">
        <w:rPr>
          <w:lang w:val="en-US"/>
        </w:rPr>
        <w:t xml:space="preserve">Coexistence methods within NR-based and between NR-based operation in unlicensed and LTE-based LAA and with other incumbent RATs in accordance with regulatory requirements in e.g., 5GHz , </w:t>
      </w:r>
      <w:r w:rsidR="00795B31" w:rsidRPr="00C64ECB">
        <w:rPr>
          <w:lang w:val="en-US"/>
        </w:rPr>
        <w:t>6GHz</w:t>
      </w:r>
      <w:r w:rsidR="00A62A10" w:rsidRPr="00C64ECB">
        <w:rPr>
          <w:lang w:val="en-US"/>
        </w:rPr>
        <w:t xml:space="preserve"> bands </w:t>
      </w:r>
    </w:p>
    <w:p w14:paraId="353351C7" w14:textId="2CDF0A22" w:rsidR="00A62A10" w:rsidRPr="00C64ECB" w:rsidRDefault="00010CD8" w:rsidP="00010CD8">
      <w:pPr>
        <w:pStyle w:val="B1"/>
        <w:ind w:left="1136"/>
        <w:rPr>
          <w:lang w:val="en-US"/>
        </w:rPr>
      </w:pPr>
      <w:r w:rsidRPr="00C64ECB">
        <w:rPr>
          <w:lang w:val="en-US"/>
        </w:rPr>
        <w:t>-</w:t>
      </w:r>
      <w:r w:rsidRPr="00C64ECB">
        <w:rPr>
          <w:lang w:val="en-US"/>
        </w:rPr>
        <w:tab/>
      </w:r>
      <w:r w:rsidR="00A62A10" w:rsidRPr="00C64ECB">
        <w:rPr>
          <w:lang w:val="en-US"/>
        </w:rPr>
        <w:t>Coexistence methods already defined for 5GHz band in LTE-based LAA context should be assumed as the baseline for 5GHz operation. Enhancements in 5GHz over these methods should not be precluded. NR-based operation in unlicensed spectrum should not impact deployed Wi-Fi services (data, video and voice services) more than an additional Wi-</w:t>
      </w:r>
      <w:r w:rsidRPr="00C64ECB">
        <w:rPr>
          <w:lang w:val="en-US"/>
        </w:rPr>
        <w:t>Fi network on the same carrier</w:t>
      </w:r>
    </w:p>
    <w:p w14:paraId="6440B565" w14:textId="77777777" w:rsidR="00A62A10" w:rsidRPr="00C64ECB" w:rsidRDefault="00A62A10" w:rsidP="00A62A10">
      <w:pPr>
        <w:ind w:right="1035"/>
        <w:jc w:val="both"/>
        <w:rPr>
          <w:lang w:val="en-US"/>
        </w:rPr>
      </w:pPr>
      <w:r w:rsidRPr="00C64ECB">
        <w:rPr>
          <w:lang w:val="en-US"/>
        </w:rPr>
        <w:t xml:space="preserve">The above study will address the following architectural scenarios (RAN2): </w:t>
      </w:r>
    </w:p>
    <w:p w14:paraId="217BD37D" w14:textId="68F1D1CA" w:rsidR="00A62A10" w:rsidRPr="00C64ECB" w:rsidRDefault="00010CD8" w:rsidP="00010CD8">
      <w:pPr>
        <w:pStyle w:val="B1"/>
        <w:rPr>
          <w:lang w:val="en-US"/>
        </w:rPr>
      </w:pPr>
      <w:r w:rsidRPr="00C64ECB">
        <w:rPr>
          <w:lang w:val="en-US"/>
        </w:rPr>
        <w:t>-</w:t>
      </w:r>
      <w:r w:rsidRPr="00C64ECB">
        <w:rPr>
          <w:lang w:val="en-US"/>
        </w:rPr>
        <w:tab/>
      </w:r>
      <w:r w:rsidR="00A62A10" w:rsidRPr="00C64ECB">
        <w:rPr>
          <w:lang w:val="en-US"/>
        </w:rPr>
        <w:t>An NR-based LAA cell(s) connects with an LTE or NR anchor cell operating in licensed spectrum</w:t>
      </w:r>
    </w:p>
    <w:p w14:paraId="266D1630" w14:textId="644DACC9" w:rsidR="00A62A10" w:rsidRPr="00C64ECB" w:rsidRDefault="00010CD8" w:rsidP="00010CD8">
      <w:pPr>
        <w:pStyle w:val="B2"/>
        <w:rPr>
          <w:lang w:val="en-US"/>
        </w:rPr>
      </w:pPr>
      <w:r w:rsidRPr="00C64ECB">
        <w:rPr>
          <w:lang w:val="en-US"/>
        </w:rPr>
        <w:t>-</w:t>
      </w:r>
      <w:r w:rsidRPr="00C64ECB">
        <w:rPr>
          <w:lang w:val="en-US"/>
        </w:rPr>
        <w:tab/>
      </w:r>
      <w:r w:rsidR="00A62A10" w:rsidRPr="00C64ECB">
        <w:rPr>
          <w:lang w:val="en-US"/>
        </w:rPr>
        <w:t>The study assumes the techniques for linking between Pcell (LTE or NR licensed CC) and Scell (NR unlicensed CCs) according to the NR WI</w:t>
      </w:r>
    </w:p>
    <w:p w14:paraId="41F8F69F" w14:textId="0272A740" w:rsidR="00A62A10" w:rsidRPr="00C64ECB" w:rsidRDefault="00010CD8" w:rsidP="00010CD8">
      <w:pPr>
        <w:pStyle w:val="B1"/>
        <w:rPr>
          <w:lang w:val="en-US"/>
        </w:rPr>
      </w:pPr>
      <w:r w:rsidRPr="00C64ECB">
        <w:rPr>
          <w:lang w:val="en-US"/>
        </w:rPr>
        <w:t>-</w:t>
      </w:r>
      <w:r w:rsidRPr="00C64ECB">
        <w:rPr>
          <w:lang w:val="en-US"/>
        </w:rPr>
        <w:tab/>
      </w:r>
      <w:r w:rsidR="00A62A10" w:rsidRPr="00C64ECB">
        <w:rPr>
          <w:lang w:val="en-US"/>
        </w:rPr>
        <w:t xml:space="preserve">An NR-based cell operating standalone in unlicensed spectrum, connected to a 5G-CN network, e.g., for private network deployments; </w:t>
      </w:r>
    </w:p>
    <w:p w14:paraId="0719FAAC" w14:textId="5AFCA4D3" w:rsidR="00A62A10" w:rsidRPr="00C64ECB" w:rsidRDefault="00010CD8" w:rsidP="00010CD8">
      <w:pPr>
        <w:pStyle w:val="B1"/>
        <w:rPr>
          <w:lang w:val="en-US"/>
        </w:rPr>
      </w:pPr>
      <w:r w:rsidRPr="00C64ECB">
        <w:rPr>
          <w:lang w:val="en-US"/>
        </w:rPr>
        <w:t>-</w:t>
      </w:r>
      <w:r w:rsidRPr="00C64ECB">
        <w:rPr>
          <w:lang w:val="en-US"/>
        </w:rPr>
        <w:tab/>
      </w:r>
      <w:r w:rsidR="00A62A10" w:rsidRPr="00C64ECB">
        <w:rPr>
          <w:lang w:val="en-US"/>
        </w:rPr>
        <w:t>Study how to ensure from a RAN level that connection and security management can be integrated with the E-UTRAN, NG RAN and 5G CN architecture, including service continuity requirements for users moving between cells of licensed and unlicensed frequency bands, liaising with SA2 as required</w:t>
      </w:r>
    </w:p>
    <w:p w14:paraId="0AB241D9" w14:textId="1372F67A" w:rsidR="00AD212F" w:rsidRPr="00C64ECB" w:rsidRDefault="00AD212F" w:rsidP="00A62A10">
      <w:r w:rsidRPr="00C64ECB">
        <w:t>The results and findings of the study are docum</w:t>
      </w:r>
      <w:r w:rsidR="00010CD8" w:rsidRPr="00C64ECB">
        <w:t>ented in this technical report.</w:t>
      </w:r>
    </w:p>
    <w:p w14:paraId="7394DF7F" w14:textId="77777777" w:rsidR="00E8629F" w:rsidRPr="00C64ECB" w:rsidRDefault="00E8629F" w:rsidP="00F7056A">
      <w:pPr>
        <w:pStyle w:val="Heading1"/>
      </w:pPr>
      <w:r w:rsidRPr="00C64ECB">
        <w:br w:type="page"/>
      </w:r>
      <w:bookmarkStart w:id="6" w:name="_Toc531342970"/>
      <w:r w:rsidRPr="00C64ECB">
        <w:lastRenderedPageBreak/>
        <w:t>1</w:t>
      </w:r>
      <w:r w:rsidRPr="00C64ECB">
        <w:tab/>
        <w:t>Scope</w:t>
      </w:r>
      <w:bookmarkEnd w:id="6"/>
    </w:p>
    <w:p w14:paraId="314EF7C9" w14:textId="646DE362" w:rsidR="009751F8" w:rsidRPr="00C64ECB" w:rsidRDefault="009751F8" w:rsidP="009751F8">
      <w:r w:rsidRPr="00C64ECB">
        <w:t xml:space="preserve">The present document contains the results and findings from the study item, </w:t>
      </w:r>
      <w:r w:rsidR="00010CD8" w:rsidRPr="00C64ECB">
        <w:t>"</w:t>
      </w:r>
      <w:r w:rsidRPr="00C64ECB">
        <w:t>Study on NR-based Access to Unlicensed Spectrum</w:t>
      </w:r>
      <w:r w:rsidR="00010CD8" w:rsidRPr="00C64ECB">
        <w:t>"</w:t>
      </w:r>
      <w:r w:rsidRPr="00C64ECB">
        <w:t xml:space="preserve"> [2]. The purpose of this TR is to document the identified </w:t>
      </w:r>
      <w:r w:rsidR="00AD212F" w:rsidRPr="00C64ECB">
        <w:t>NR</w:t>
      </w:r>
      <w:r w:rsidRPr="00C64ECB">
        <w:t xml:space="preserve"> enhancements and corresponding evaluations for a single global solution framework for </w:t>
      </w:r>
      <w:r w:rsidR="00AD212F" w:rsidRPr="00C64ECB">
        <w:t>NR based</w:t>
      </w:r>
      <w:r w:rsidRPr="00C64ECB">
        <w:t xml:space="preserve"> access to unlicensed spectrum.</w:t>
      </w:r>
    </w:p>
    <w:p w14:paraId="3D849C2F" w14:textId="77777777" w:rsidR="009751F8" w:rsidRPr="00C64ECB" w:rsidRDefault="009751F8" w:rsidP="009751F8">
      <w:r w:rsidRPr="00C64ECB">
        <w:t xml:space="preserve">This document addresses evaluation methodology and possible scenarios for </w:t>
      </w:r>
      <w:r w:rsidR="00AD212F" w:rsidRPr="00C64ECB">
        <w:t>NR based unlicensed</w:t>
      </w:r>
      <w:r w:rsidRPr="00C64ECB">
        <w:t xml:space="preserve"> deployments</w:t>
      </w:r>
      <w:r w:rsidR="00AD212F" w:rsidRPr="00C64ECB">
        <w:t>.</w:t>
      </w:r>
    </w:p>
    <w:p w14:paraId="23687976" w14:textId="77777777" w:rsidR="009751F8" w:rsidRPr="00C64ECB" w:rsidRDefault="009751F8" w:rsidP="009751F8">
      <w:r w:rsidRPr="00C64ECB">
        <w:t>This technical report documents the existing regulatory requirements for unlicensed spectrum deployment in the 5GHz bands</w:t>
      </w:r>
      <w:r w:rsidR="00AD212F" w:rsidRPr="00C64ECB">
        <w:t>, [and other bands]</w:t>
      </w:r>
    </w:p>
    <w:p w14:paraId="7A087B28" w14:textId="77777777" w:rsidR="009751F8" w:rsidRPr="00C64ECB" w:rsidRDefault="009751F8" w:rsidP="009751F8">
      <w:r w:rsidRPr="00C64ECB">
        <w:t xml:space="preserve">This document identifies and captures coexistence evaluations of physical layer options and enhancements to </w:t>
      </w:r>
      <w:r w:rsidR="00AD212F" w:rsidRPr="00C64ECB">
        <w:t>NR</w:t>
      </w:r>
      <w:r w:rsidRPr="00C64ECB">
        <w:t xml:space="preserve"> and, if necessary, </w:t>
      </w:r>
      <w:r w:rsidR="00AD212F" w:rsidRPr="00C64ECB">
        <w:t>NR</w:t>
      </w:r>
      <w:r w:rsidRPr="00C64ECB">
        <w:t xml:space="preserve"> RAN protocols to meet the requirements and targets for unlicensed spectrum deployments.</w:t>
      </w:r>
    </w:p>
    <w:p w14:paraId="32699ED3" w14:textId="77777777" w:rsidR="009751F8" w:rsidRPr="00C64ECB" w:rsidRDefault="009751F8" w:rsidP="009751F8">
      <w:r w:rsidRPr="00C64ECB">
        <w:t xml:space="preserve">This document contains an assessment of the </w:t>
      </w:r>
      <w:r w:rsidRPr="00C64ECB">
        <w:rPr>
          <w:lang w:val="en-US"/>
        </w:rPr>
        <w:t>feasibility of base station and terminal operation of 5GHz band (based on regulatory limits) in conjunction with relevant licensed frequency bands.</w:t>
      </w:r>
    </w:p>
    <w:p w14:paraId="0299713F" w14:textId="6D54DA26" w:rsidR="009751F8" w:rsidRPr="00C64ECB" w:rsidRDefault="009751F8" w:rsidP="009751F8">
      <w:r w:rsidRPr="00C64ECB">
        <w:rPr>
          <w:noProof/>
        </w:rPr>
        <w:t xml:space="preserve">This document is a </w:t>
      </w:r>
      <w:r w:rsidR="003F074D" w:rsidRPr="00C64ECB">
        <w:rPr>
          <w:noProof/>
        </w:rPr>
        <w:t>'</w:t>
      </w:r>
      <w:r w:rsidRPr="00C64ECB">
        <w:rPr>
          <w:noProof/>
        </w:rPr>
        <w:t>living</w:t>
      </w:r>
      <w:r w:rsidR="003F074D" w:rsidRPr="00C64ECB">
        <w:rPr>
          <w:noProof/>
        </w:rPr>
        <w:t>'</w:t>
      </w:r>
      <w:r w:rsidRPr="00C64ECB">
        <w:rPr>
          <w:noProof/>
        </w:rPr>
        <w:t xml:space="preserve"> document, i.e. it is permanently updated and presented to TSG-RAN meetings.</w:t>
      </w:r>
    </w:p>
    <w:p w14:paraId="539A27EC" w14:textId="77777777" w:rsidR="00E8629F" w:rsidRPr="00C64ECB" w:rsidRDefault="00E8629F" w:rsidP="00F7056A">
      <w:pPr>
        <w:pStyle w:val="Heading1"/>
      </w:pPr>
      <w:bookmarkStart w:id="7" w:name="_Toc531342971"/>
      <w:r w:rsidRPr="00C64ECB">
        <w:t>2</w:t>
      </w:r>
      <w:r w:rsidRPr="00C64ECB">
        <w:tab/>
        <w:t>References</w:t>
      </w:r>
      <w:bookmarkEnd w:id="7"/>
    </w:p>
    <w:p w14:paraId="5BFA5EC1" w14:textId="77777777" w:rsidR="009751F8" w:rsidRPr="00C64ECB" w:rsidRDefault="009751F8" w:rsidP="009751F8">
      <w:r w:rsidRPr="00C64ECB">
        <w:t>The following documents contain provisions which, through reference in this text, constitute provisions of the present document.</w:t>
      </w:r>
    </w:p>
    <w:p w14:paraId="2F11F0AD" w14:textId="77777777" w:rsidR="009751F8" w:rsidRPr="00C64ECB" w:rsidRDefault="009751F8" w:rsidP="009751F8">
      <w:pPr>
        <w:pStyle w:val="B1"/>
      </w:pPr>
      <w:bookmarkStart w:id="8" w:name="OLE_LINK3"/>
      <w:bookmarkStart w:id="9" w:name="OLE_LINK4"/>
      <w:r w:rsidRPr="00C64ECB">
        <w:t>-</w:t>
      </w:r>
      <w:r w:rsidRPr="00C64ECB">
        <w:tab/>
        <w:t>References are either specific (identified by date of publication, edition number, version number, etc.) or non</w:t>
      </w:r>
      <w:r w:rsidRPr="00C64ECB">
        <w:noBreakHyphen/>
        <w:t>specific.</w:t>
      </w:r>
    </w:p>
    <w:p w14:paraId="5E4AD92A" w14:textId="77777777" w:rsidR="009751F8" w:rsidRPr="00C64ECB" w:rsidRDefault="009751F8" w:rsidP="009751F8">
      <w:pPr>
        <w:pStyle w:val="B1"/>
      </w:pPr>
      <w:r w:rsidRPr="00C64ECB">
        <w:t>-</w:t>
      </w:r>
      <w:r w:rsidRPr="00C64ECB">
        <w:tab/>
        <w:t>For a specific reference, subsequent revisions do not apply.</w:t>
      </w:r>
    </w:p>
    <w:p w14:paraId="787A0290" w14:textId="77777777" w:rsidR="009751F8" w:rsidRPr="00C64ECB" w:rsidRDefault="009751F8" w:rsidP="009751F8">
      <w:pPr>
        <w:pStyle w:val="B1"/>
      </w:pPr>
      <w:r w:rsidRPr="00C64ECB">
        <w:t>-</w:t>
      </w:r>
      <w:r w:rsidRPr="00C64ECB">
        <w:tab/>
        <w:t>For a non-specific reference, the latest version applies. In the case of a reference to a 3GPP document (including a GSM document), a non-specific reference implicitly refers to the latest version of that document</w:t>
      </w:r>
      <w:r w:rsidRPr="00C64ECB">
        <w:rPr>
          <w:i/>
        </w:rPr>
        <w:t xml:space="preserve"> in the same Release as the present document</w:t>
      </w:r>
      <w:r w:rsidRPr="00C64ECB">
        <w:t>.</w:t>
      </w:r>
    </w:p>
    <w:bookmarkEnd w:id="8"/>
    <w:bookmarkEnd w:id="9"/>
    <w:p w14:paraId="7BC13423" w14:textId="77777777" w:rsidR="009751F8" w:rsidRPr="00C64ECB" w:rsidRDefault="009751F8" w:rsidP="009751F8">
      <w:pPr>
        <w:pStyle w:val="EX"/>
        <w:rPr>
          <w:lang w:eastAsia="zh-CN"/>
        </w:rPr>
      </w:pPr>
      <w:r w:rsidRPr="00C64ECB">
        <w:t>[1]</w:t>
      </w:r>
      <w:r w:rsidRPr="00C64ECB">
        <w:tab/>
      </w:r>
      <w:r w:rsidRPr="00C64ECB">
        <w:rPr>
          <w:lang w:eastAsia="ja-JP"/>
        </w:rPr>
        <w:t>3GPP T</w:t>
      </w:r>
      <w:r w:rsidRPr="00C64ECB">
        <w:rPr>
          <w:rFonts w:hint="eastAsia"/>
          <w:lang w:eastAsia="ja-JP"/>
        </w:rPr>
        <w:t>R</w:t>
      </w:r>
      <w:r w:rsidRPr="00C64ECB">
        <w:rPr>
          <w:lang w:eastAsia="ja-JP"/>
        </w:rPr>
        <w:t xml:space="preserve"> </w:t>
      </w:r>
      <w:r w:rsidRPr="00C64ECB">
        <w:rPr>
          <w:rFonts w:hint="eastAsia"/>
          <w:lang w:eastAsia="zh-CN"/>
        </w:rPr>
        <w:t xml:space="preserve">21.905: </w:t>
      </w:r>
      <w:r w:rsidRPr="00C64ECB">
        <w:rPr>
          <w:lang w:eastAsia="ja-JP"/>
        </w:rPr>
        <w:t>"Vocabulary for 3GPP Specifications"</w:t>
      </w:r>
      <w:r w:rsidRPr="00C64ECB">
        <w:rPr>
          <w:rFonts w:hint="eastAsia"/>
          <w:lang w:eastAsia="zh-CN"/>
        </w:rPr>
        <w:t>.</w:t>
      </w:r>
    </w:p>
    <w:p w14:paraId="3DFA1D39" w14:textId="678B6496" w:rsidR="009751F8" w:rsidRPr="00C64ECB" w:rsidRDefault="009751F8" w:rsidP="009751F8">
      <w:pPr>
        <w:pStyle w:val="EX"/>
        <w:rPr>
          <w:lang w:eastAsia="ja-JP"/>
        </w:rPr>
      </w:pPr>
      <w:r w:rsidRPr="00C64ECB">
        <w:rPr>
          <w:lang w:eastAsia="ja-JP"/>
        </w:rPr>
        <w:t>[2]</w:t>
      </w:r>
      <w:r w:rsidRPr="00C64ECB">
        <w:rPr>
          <w:lang w:eastAsia="ja-JP"/>
        </w:rPr>
        <w:tab/>
        <w:t xml:space="preserve">3GPP RP-172021: </w:t>
      </w:r>
      <w:r w:rsidR="00010CD8" w:rsidRPr="00C64ECB">
        <w:rPr>
          <w:lang w:eastAsia="ja-JP"/>
        </w:rPr>
        <w:t>"</w:t>
      </w:r>
      <w:r w:rsidRPr="00C64ECB">
        <w:rPr>
          <w:lang w:eastAsia="ja-JP"/>
        </w:rPr>
        <w:t>Revised SID on NR-based Access to Unlicensed Spectrum</w:t>
      </w:r>
      <w:r w:rsidR="00010CD8" w:rsidRPr="00C64ECB">
        <w:rPr>
          <w:lang w:eastAsia="ja-JP"/>
        </w:rPr>
        <w:t>"</w:t>
      </w:r>
      <w:r w:rsidRPr="00C64ECB">
        <w:rPr>
          <w:lang w:eastAsia="ja-JP"/>
        </w:rPr>
        <w:t>.</w:t>
      </w:r>
    </w:p>
    <w:p w14:paraId="3F3FECF2" w14:textId="77777777" w:rsidR="00A62A10" w:rsidRPr="00C64ECB" w:rsidRDefault="00B97D26" w:rsidP="00A62A10">
      <w:pPr>
        <w:pStyle w:val="EX"/>
      </w:pPr>
      <w:r w:rsidRPr="00C64ECB">
        <w:t>[3]</w:t>
      </w:r>
      <w:r w:rsidRPr="00C64ECB">
        <w:tab/>
      </w:r>
      <w:r w:rsidR="00A62A10" w:rsidRPr="00C64ECB">
        <w:t>FCC Part 15 ruling, http://www.ecfr.gov/cgi-bin/text-idx?SID=3c5e2d1533490603e0131fcdc041030d&amp;node=pt47.1.15&amp;rgn=div5</w:t>
      </w:r>
    </w:p>
    <w:p w14:paraId="1271E692" w14:textId="1039A721" w:rsidR="00A62A10" w:rsidRPr="00C64ECB" w:rsidRDefault="00010CD8" w:rsidP="00A62A10">
      <w:pPr>
        <w:pStyle w:val="EX"/>
      </w:pPr>
      <w:r w:rsidRPr="00C64ECB">
        <w:t>[4]</w:t>
      </w:r>
      <w:r w:rsidR="00A62A10" w:rsidRPr="00C64ECB">
        <w:tab/>
        <w:t xml:space="preserve">FCC 13-22, </w:t>
      </w:r>
      <w:r w:rsidRPr="00C64ECB">
        <w:t>"</w:t>
      </w:r>
      <w:r w:rsidR="00A62A10" w:rsidRPr="00C64ECB">
        <w:t>Notice of proposed rulemaking</w:t>
      </w:r>
      <w:r w:rsidRPr="00C64ECB">
        <w:t>"</w:t>
      </w:r>
      <w:r w:rsidR="00A62A10" w:rsidRPr="00C64ECB">
        <w:t xml:space="preserve"> , Feb 20, 2013.</w:t>
      </w:r>
    </w:p>
    <w:p w14:paraId="36A71CAC" w14:textId="34BF900A" w:rsidR="00A62A10" w:rsidRPr="00C64ECB" w:rsidRDefault="00A62A10" w:rsidP="00A62A10">
      <w:pPr>
        <w:pStyle w:val="EX"/>
      </w:pPr>
      <w:r w:rsidRPr="00C64ECB">
        <w:t>[5]</w:t>
      </w:r>
      <w:r w:rsidRPr="00C64ECB">
        <w:tab/>
        <w:t xml:space="preserve">ETSI EN 301 893, Harmonized European Standard, </w:t>
      </w:r>
      <w:r w:rsidR="00010CD8" w:rsidRPr="00C64ECB">
        <w:t>"</w:t>
      </w:r>
      <w:r w:rsidRPr="00C64ECB">
        <w:t>Broadband Radio Access Networks (BRAN); 5 GHz high performance RLAN</w:t>
      </w:r>
      <w:r w:rsidR="00010CD8" w:rsidRPr="00C64ECB">
        <w:t>"</w:t>
      </w:r>
    </w:p>
    <w:p w14:paraId="4403BDB6" w14:textId="50F405D7" w:rsidR="00A62A10" w:rsidRPr="00C64ECB" w:rsidRDefault="00A62A10" w:rsidP="00A62A10">
      <w:pPr>
        <w:pStyle w:val="EX"/>
      </w:pPr>
      <w:r w:rsidRPr="00C64ECB">
        <w:t>[6]</w:t>
      </w:r>
      <w:r w:rsidRPr="00C64ECB">
        <w:tab/>
        <w:t xml:space="preserve">ETSI EN 302 502, Harmonized European Standard, </w:t>
      </w:r>
      <w:r w:rsidR="00010CD8" w:rsidRPr="00C64ECB">
        <w:t>"</w:t>
      </w:r>
      <w:r w:rsidRPr="00C64ECB">
        <w:t>Broadband Radio Access Networks (BRAN); 5,8 GHz fixed broadband data transmitting systems</w:t>
      </w:r>
      <w:r w:rsidR="00010CD8" w:rsidRPr="00C64ECB">
        <w:t>"</w:t>
      </w:r>
    </w:p>
    <w:p w14:paraId="5E91D70B" w14:textId="2CF49741" w:rsidR="00A62A10" w:rsidRPr="00C64ECB" w:rsidRDefault="00A62A10" w:rsidP="00A62A10">
      <w:pPr>
        <w:pStyle w:val="EX"/>
      </w:pPr>
      <w:r w:rsidRPr="00C64ECB">
        <w:t>[7]</w:t>
      </w:r>
      <w:r w:rsidRPr="00C64ECB">
        <w:tab/>
        <w:t xml:space="preserve">ETSI EN 302 571, Harmonized European Standard, </w:t>
      </w:r>
      <w:r w:rsidR="00010CD8" w:rsidRPr="00C64ECB">
        <w:t>"</w:t>
      </w:r>
      <w:r w:rsidRPr="00C64ECB">
        <w:t>Intelligent Transport Systems (ITS); Radio communications equipment operating in the 5 855 MHz to 5 925 MHz frequency band</w:t>
      </w:r>
      <w:r w:rsidR="00010CD8" w:rsidRPr="00C64ECB">
        <w:t>"</w:t>
      </w:r>
    </w:p>
    <w:p w14:paraId="1BF3985D" w14:textId="06402B37" w:rsidR="00A62A10" w:rsidRPr="00C64ECB" w:rsidRDefault="00A62A10" w:rsidP="00A62A10">
      <w:pPr>
        <w:pStyle w:val="EX"/>
      </w:pPr>
      <w:r w:rsidRPr="00C64ECB">
        <w:t>[8]</w:t>
      </w:r>
      <w:r w:rsidRPr="00C64ECB">
        <w:tab/>
      </w:r>
      <w:r w:rsidR="00010CD8" w:rsidRPr="00C64ECB">
        <w:t>"</w:t>
      </w:r>
      <w:r w:rsidRPr="00C64ECB">
        <w:t>Commission decision of 11 July 2005 on the harmonised use of radio spectrum in the 5 GHz frequency band for the implementation of wireless access systems including radio local area networks (WAS/RLANs)</w:t>
      </w:r>
      <w:r w:rsidR="00010CD8" w:rsidRPr="00C64ECB">
        <w:t>"</w:t>
      </w:r>
      <w:r w:rsidRPr="00C64ECB">
        <w:t xml:space="preserve"> (2005/513/EC).</w:t>
      </w:r>
    </w:p>
    <w:p w14:paraId="6B28F9AE" w14:textId="6CEDEFA9" w:rsidR="00A62A10" w:rsidRPr="00C64ECB" w:rsidRDefault="00A62A10" w:rsidP="00A62A10">
      <w:pPr>
        <w:pStyle w:val="EX"/>
      </w:pPr>
      <w:r w:rsidRPr="00C64ECB">
        <w:t>[9]</w:t>
      </w:r>
      <w:r w:rsidRPr="00C64ECB">
        <w:tab/>
      </w:r>
      <w:r w:rsidR="00010CD8" w:rsidRPr="00C64ECB">
        <w:t>"</w:t>
      </w:r>
      <w:r w:rsidRPr="00C64ECB">
        <w:t>Commission decisions of 12 February 2007 amending Decision 2005/513/EC on the harmonised use of radio spectrum in the 5 GHz frequency band for the implementation of Wireless Access Systems including Radio Local Area Networks (WAS/RLANs)</w:t>
      </w:r>
      <w:r w:rsidR="00010CD8" w:rsidRPr="00C64ECB">
        <w:t>"</w:t>
      </w:r>
      <w:r w:rsidRPr="00C64ECB">
        <w:t xml:space="preserve"> (2007/90/EC).</w:t>
      </w:r>
    </w:p>
    <w:p w14:paraId="1DFF7682" w14:textId="2974AF9B" w:rsidR="00A62A10" w:rsidRPr="00C64ECB" w:rsidRDefault="00A62A10" w:rsidP="00A62A10">
      <w:pPr>
        <w:pStyle w:val="EX"/>
      </w:pPr>
      <w:r w:rsidRPr="00C64ECB">
        <w:t>[10]</w:t>
      </w:r>
      <w:r w:rsidRPr="00C64ECB">
        <w:tab/>
        <w:t xml:space="preserve">ECC/DEC (04)08, </w:t>
      </w:r>
      <w:r w:rsidR="00010CD8" w:rsidRPr="00C64ECB">
        <w:t>"</w:t>
      </w:r>
      <w:r w:rsidRPr="00C64ECB">
        <w:t>ECC Decision of 09 July 2004 on the harmonised use of the 5 GHz frequency bands for the implementation of Wireless Access Systems including Radio Local Area Networks (WAS/RLANs)</w:t>
      </w:r>
      <w:r w:rsidR="00010CD8" w:rsidRPr="00C64ECB">
        <w:t>"</w:t>
      </w:r>
    </w:p>
    <w:p w14:paraId="6C721B16" w14:textId="0A20618C" w:rsidR="00A62A10" w:rsidRPr="00C64ECB" w:rsidRDefault="00A62A10" w:rsidP="00A62A10">
      <w:pPr>
        <w:pStyle w:val="EX"/>
      </w:pPr>
      <w:r w:rsidRPr="00C64ECB">
        <w:lastRenderedPageBreak/>
        <w:t>[11]</w:t>
      </w:r>
      <w:r w:rsidRPr="00C64ECB">
        <w:tab/>
        <w:t xml:space="preserve">KDB 443 999, FCC Office of Engineering and Technology – Laboratory Division: </w:t>
      </w:r>
      <w:r w:rsidR="00010CD8" w:rsidRPr="00C64ECB">
        <w:t>"</w:t>
      </w:r>
      <w:r w:rsidRPr="00C64ECB">
        <w:t>Interim Plans to Approve UNII Devices Operating in the 5470-5725 MHz Band with Radar Detection and DFS Capabilities</w:t>
      </w:r>
      <w:r w:rsidR="00010CD8" w:rsidRPr="00C64ECB">
        <w:t>"</w:t>
      </w:r>
      <w:r w:rsidRPr="00C64ECB">
        <w:t xml:space="preserve"> (14th October 2010).</w:t>
      </w:r>
    </w:p>
    <w:p w14:paraId="70860E3B" w14:textId="554BA6B8" w:rsidR="00A62A10" w:rsidRPr="00C64ECB" w:rsidRDefault="00A62A10" w:rsidP="00A62A10">
      <w:pPr>
        <w:pStyle w:val="EX"/>
      </w:pPr>
      <w:r w:rsidRPr="00C64ECB">
        <w:t>[12]</w:t>
      </w:r>
      <w:r w:rsidRPr="00C64ECB">
        <w:tab/>
        <w:t xml:space="preserve">FCC 12-148, </w:t>
      </w:r>
      <w:r w:rsidR="00010CD8" w:rsidRPr="00C64ECB">
        <w:t>"</w:t>
      </w:r>
      <w:r w:rsidRPr="00C64ECB">
        <w:t>Notice of Proposed Rulemaking and Order: amendment of the Commission</w:t>
      </w:r>
      <w:r w:rsidR="003F074D" w:rsidRPr="00C64ECB">
        <w:t>'</w:t>
      </w:r>
      <w:r w:rsidRPr="00C64ECB">
        <w:t>s Rules with regard to Commercial Operations in the 3550-3650 MHz Band</w:t>
      </w:r>
      <w:r w:rsidR="00010CD8" w:rsidRPr="00C64ECB">
        <w:t>"</w:t>
      </w:r>
      <w:r w:rsidRPr="00C64ECB">
        <w:t xml:space="preserve"> (GN Docket No. 12-354), adopted and released December 12, 2012.</w:t>
      </w:r>
    </w:p>
    <w:p w14:paraId="61DCD55B" w14:textId="74812F3F" w:rsidR="00A62A10" w:rsidRPr="00C64ECB" w:rsidRDefault="00A62A10" w:rsidP="00A62A10">
      <w:pPr>
        <w:pStyle w:val="EX"/>
      </w:pPr>
      <w:r w:rsidRPr="00C64ECB">
        <w:t>[13]</w:t>
      </w:r>
      <w:r w:rsidRPr="00C64ECB">
        <w:tab/>
        <w:t xml:space="preserve">FCC 13-154, </w:t>
      </w:r>
      <w:r w:rsidR="00010CD8" w:rsidRPr="00C64ECB">
        <w:t>"</w:t>
      </w:r>
      <w:r w:rsidRPr="00C64ECB">
        <w:t>Public Notice. Commission Seeks Comment on Licensing Models and Technical Requirements in the 3550-3650 MHz Band</w:t>
      </w:r>
      <w:r w:rsidR="00010CD8" w:rsidRPr="00C64ECB">
        <w:t>"</w:t>
      </w:r>
      <w:r w:rsidRPr="00C64ECB">
        <w:t>, released November 1, 2013</w:t>
      </w:r>
    </w:p>
    <w:p w14:paraId="6FF201DC" w14:textId="23AFE5D8" w:rsidR="00A62A10" w:rsidRPr="00C64ECB" w:rsidRDefault="00A62A10" w:rsidP="00A62A10">
      <w:pPr>
        <w:pStyle w:val="EX"/>
      </w:pPr>
      <w:r w:rsidRPr="00C64ECB">
        <w:t>[14]</w:t>
      </w:r>
      <w:r w:rsidRPr="00C64ECB">
        <w:tab/>
        <w:t xml:space="preserve">ECC Recommendation ECC/REC (06)04: </w:t>
      </w:r>
      <w:r w:rsidR="00010CD8" w:rsidRPr="00C64ECB">
        <w:t>"</w:t>
      </w:r>
      <w:r w:rsidRPr="00C64ECB">
        <w:t>Use of the band 5725- 5875 MHz for Broadband Fixed Wireless Access (BFWA)</w:t>
      </w:r>
      <w:r w:rsidR="00010CD8" w:rsidRPr="00C64ECB">
        <w:t>"</w:t>
      </w:r>
    </w:p>
    <w:p w14:paraId="323E5427" w14:textId="7FC33E34" w:rsidR="00A62A10" w:rsidRPr="00C64ECB" w:rsidRDefault="00A62A10" w:rsidP="00A62A10">
      <w:pPr>
        <w:pStyle w:val="EX"/>
      </w:pPr>
      <w:r w:rsidRPr="00C64ECB">
        <w:t>[15]</w:t>
      </w:r>
      <w:r w:rsidRPr="00C64ECB">
        <w:tab/>
        <w:t>Commission Decision 2008/671/EC of 5th August2008 on the harmonised use of radio spectrum in the 5875-5905 MHz frequency band for safety related application of Intelligent Transport Systems (IOTS)</w:t>
      </w:r>
    </w:p>
    <w:p w14:paraId="1C2F2021" w14:textId="31A26D84" w:rsidR="00A62A10" w:rsidRPr="00C64ECB" w:rsidRDefault="00A62A10" w:rsidP="00A62A10">
      <w:pPr>
        <w:pStyle w:val="EX"/>
      </w:pPr>
      <w:r w:rsidRPr="00C64ECB">
        <w:t>[16]</w:t>
      </w:r>
      <w:r w:rsidRPr="00C64ECB">
        <w:tab/>
        <w:t>ECC Decision (08)01: "ECC Decision of 14 March 2008 on the harmonized use of the 5875-5925 frequency band for Intelligent Transport Systems (ITS)</w:t>
      </w:r>
      <w:r w:rsidR="00010CD8" w:rsidRPr="00C64ECB">
        <w:t>"</w:t>
      </w:r>
    </w:p>
    <w:p w14:paraId="56F06229" w14:textId="4875948B" w:rsidR="00A62A10" w:rsidRPr="00C64ECB" w:rsidRDefault="00A62A10" w:rsidP="00A62A10">
      <w:pPr>
        <w:pStyle w:val="EX"/>
      </w:pPr>
      <w:r w:rsidRPr="00C64ECB">
        <w:t>[17]</w:t>
      </w:r>
      <w:r w:rsidRPr="00C64ECB">
        <w:tab/>
        <w:t>ECC Recommendation (08)01:"Use of band 5855-5875 MHz for Intelligent Transport Systems (ITS)".</w:t>
      </w:r>
    </w:p>
    <w:p w14:paraId="5EF2A65E" w14:textId="3FFE8B14" w:rsidR="00A62A10" w:rsidRPr="00C64ECB" w:rsidRDefault="00A62A10" w:rsidP="00A62A10">
      <w:pPr>
        <w:pStyle w:val="EX"/>
      </w:pPr>
      <w:r w:rsidRPr="00C64ECB">
        <w:t>[18]</w:t>
      </w:r>
      <w:r w:rsidRPr="00C64ECB">
        <w:tab/>
        <w:t xml:space="preserve">ETSI EN 300 440-1 v1.6.1: </w:t>
      </w:r>
      <w:r w:rsidR="00010CD8" w:rsidRPr="00C64ECB">
        <w:t>"</w:t>
      </w:r>
      <w:r w:rsidRPr="00C64ECB">
        <w:t>Electromagnetic compatibility and Radio spectrum Matters (ERM); Short range devices; Radio equipment to be used in the 1 GHz to 40 GHz frequency range; Part 1: Technical characteristics and test methods</w:t>
      </w:r>
      <w:r w:rsidR="00010CD8" w:rsidRPr="00C64ECB">
        <w:t>"</w:t>
      </w:r>
    </w:p>
    <w:p w14:paraId="1DE55E6F" w14:textId="296D3D00" w:rsidR="00A62A10" w:rsidRPr="00C64ECB" w:rsidRDefault="00A62A10" w:rsidP="00A62A10">
      <w:pPr>
        <w:pStyle w:val="EX"/>
      </w:pPr>
      <w:r w:rsidRPr="00C64ECB">
        <w:t>[19]</w:t>
      </w:r>
      <w:r w:rsidRPr="00C64ECB">
        <w:tab/>
        <w:t xml:space="preserve">Document RSCOM 13-32rev3: </w:t>
      </w:r>
      <w:r w:rsidR="00010CD8" w:rsidRPr="00C64ECB">
        <w:t>"</w:t>
      </w:r>
      <w:r w:rsidRPr="00C64ECB">
        <w:t>Mandate to CEPT to study and identify harmonised compatibility and sharing conditions for Wireless Access Systems including Radio Local Area Networks in the bands 5350-5470 MHz and 5725-5925 MHz ('WAS/RLAN extension bands') for the provision of wireless broadband services</w:t>
      </w:r>
      <w:r w:rsidR="00010CD8" w:rsidRPr="00C64ECB">
        <w:t>"</w:t>
      </w:r>
    </w:p>
    <w:p w14:paraId="03648C97" w14:textId="03831ACC" w:rsidR="00A62A10" w:rsidRPr="00C64ECB" w:rsidRDefault="00A62A10" w:rsidP="00A62A10">
      <w:pPr>
        <w:pStyle w:val="EX"/>
      </w:pPr>
      <w:r w:rsidRPr="00C64ECB">
        <w:t>[20]</w:t>
      </w:r>
      <w:r w:rsidRPr="00C64ECB">
        <w:tab/>
        <w:t xml:space="preserve">Group of Administrative Co-operation Under the R&amp;TTE Directive (ADCO R&amp;TTE): Report on the 5th joint cross-border R&amp;TTE Market Surveillance Campaign on WLAN 5 GHz (2013) </w:t>
      </w:r>
    </w:p>
    <w:p w14:paraId="43721C2D" w14:textId="0E4288A4" w:rsidR="00A62A10" w:rsidRPr="00C64ECB" w:rsidRDefault="00A62A10" w:rsidP="00A62A10">
      <w:pPr>
        <w:pStyle w:val="EX"/>
      </w:pPr>
      <w:r w:rsidRPr="00C64ECB">
        <w:t>[21]</w:t>
      </w:r>
      <w:r w:rsidRPr="00C64ECB">
        <w:tab/>
        <w:t>RSS-210 Issue 8 (December 2010): Licence-exempt Radio Apparatus (All Frequency Bands): Category I Equipment</w:t>
      </w:r>
    </w:p>
    <w:p w14:paraId="0BAFC158" w14:textId="5B15EA0C" w:rsidR="00A62A10" w:rsidRPr="00C64ECB" w:rsidRDefault="00A62A10" w:rsidP="00A62A10">
      <w:pPr>
        <w:pStyle w:val="EX"/>
      </w:pPr>
      <w:r w:rsidRPr="00C64ECB">
        <w:t>[22]</w:t>
      </w:r>
      <w:r w:rsidRPr="00C64ECB">
        <w:tab/>
      </w:r>
      <w:r w:rsidRPr="00C64ECB">
        <w:rPr>
          <w:lang w:val="en-US"/>
        </w:rPr>
        <w:t>National Frequency Allocation Plan 2011 (In-Force)</w:t>
      </w:r>
      <w:r w:rsidRPr="00C64ECB">
        <w:rPr>
          <w:rFonts w:hint="eastAsia"/>
          <w:lang w:val="en-US" w:eastAsia="zh-CN"/>
        </w:rPr>
        <w:t xml:space="preserve">: </w:t>
      </w:r>
      <w:r w:rsidRPr="00C64ECB">
        <w:rPr>
          <w:lang w:val="en-US" w:eastAsia="zh-CN"/>
        </w:rPr>
        <w:t>http://www.wpc.gov.in/WriteReadData/userfiles/file/National_Frequency_Allocation_Plan-2011.pdf</w:t>
      </w:r>
    </w:p>
    <w:p w14:paraId="7098FC05" w14:textId="7580CF6B" w:rsidR="00A62A10" w:rsidRPr="00C64ECB" w:rsidRDefault="00A62A10" w:rsidP="00A62A10">
      <w:pPr>
        <w:pStyle w:val="EX"/>
        <w:rPr>
          <w:lang w:val="fr-FR"/>
        </w:rPr>
      </w:pPr>
      <w:r w:rsidRPr="00C64ECB">
        <w:rPr>
          <w:lang w:val="fr-FR"/>
        </w:rPr>
        <w:t>[23]</w:t>
      </w:r>
      <w:r w:rsidRPr="00C64ECB">
        <w:rPr>
          <w:lang w:val="fr-FR"/>
        </w:rPr>
        <w:tab/>
        <w:t>http://legislacao.anatel.gov.br/resolucoes/2008/104-resolucao-506 , Resolução nº 506, de 1º de julho de 2008, Regulamento sobre Equipamentos de Radiocomunicação de Radiação Restrita.</w:t>
      </w:r>
    </w:p>
    <w:p w14:paraId="38094EB8" w14:textId="2BA9EB28" w:rsidR="00A62A10" w:rsidRPr="00C64ECB" w:rsidRDefault="00A62A10" w:rsidP="00A62A10">
      <w:pPr>
        <w:pStyle w:val="EX"/>
      </w:pPr>
      <w:r w:rsidRPr="00C64ECB">
        <w:t>[24]</w:t>
      </w:r>
      <w:r w:rsidRPr="00C64ECB">
        <w:tab/>
        <w:t xml:space="preserve">3GPP TR 36.872: </w:t>
      </w:r>
      <w:r w:rsidR="00010CD8" w:rsidRPr="00C64ECB">
        <w:t>"</w:t>
      </w:r>
      <w:r w:rsidRPr="00C64ECB">
        <w:t>Small cell enhancements for E-UTRA and E-UTRAN - Physical layer aspects</w:t>
      </w:r>
      <w:r w:rsidR="00010CD8" w:rsidRPr="00C64ECB">
        <w:t>"</w:t>
      </w:r>
      <w:r w:rsidRPr="00C64ECB">
        <w:t>.</w:t>
      </w:r>
    </w:p>
    <w:p w14:paraId="581DA8E8" w14:textId="77777777" w:rsidR="00A62A10" w:rsidRPr="00C64ECB" w:rsidRDefault="00A62A10" w:rsidP="00A62A10">
      <w:pPr>
        <w:pStyle w:val="EX"/>
        <w:rPr>
          <w:lang w:eastAsia="zh-CN"/>
        </w:rPr>
      </w:pPr>
      <w:r w:rsidRPr="00C64ECB">
        <w:t>[2</w:t>
      </w:r>
      <w:r w:rsidRPr="00C64ECB">
        <w:rPr>
          <w:rFonts w:hint="eastAsia"/>
          <w:lang w:eastAsia="zh-CN"/>
        </w:rPr>
        <w:t>5</w:t>
      </w:r>
      <w:r w:rsidRPr="00C64ECB">
        <w:t>]</w:t>
      </w:r>
      <w:r w:rsidRPr="00C64ECB">
        <w:tab/>
        <w:t>Part 11: Wireless LAN Medium Access Control (MAC) and Physical Layer (PHY) Specifications,</w:t>
      </w:r>
      <w:r w:rsidRPr="00C64ECB">
        <w:rPr>
          <w:rFonts w:hint="eastAsia"/>
        </w:rPr>
        <w:t xml:space="preserve"> IEEE Std 802.11-2012</w:t>
      </w:r>
      <w:r w:rsidRPr="00C64ECB">
        <w:t>.</w:t>
      </w:r>
    </w:p>
    <w:p w14:paraId="04E5B1BD" w14:textId="77777777" w:rsidR="00A62A10" w:rsidRPr="00C64ECB" w:rsidRDefault="00A62A10" w:rsidP="00A62A10">
      <w:pPr>
        <w:pStyle w:val="EX"/>
        <w:rPr>
          <w:lang w:eastAsia="zh-CN"/>
        </w:rPr>
      </w:pPr>
      <w:r w:rsidRPr="00C64ECB">
        <w:t>[2</w:t>
      </w:r>
      <w:r w:rsidRPr="00C64ECB">
        <w:rPr>
          <w:rFonts w:hint="eastAsia"/>
          <w:lang w:eastAsia="zh-CN"/>
        </w:rPr>
        <w:t>6</w:t>
      </w:r>
      <w:r w:rsidRPr="00C64ECB">
        <w:t>]</w:t>
      </w:r>
      <w:r w:rsidRPr="00C64ECB">
        <w:tab/>
      </w:r>
      <w:hyperlink r:id="rId15" w:history="1">
        <w:r w:rsidRPr="00C64ECB">
          <w:t>https://mentor.ieee.org/802.11/dcn/14/11-14-0571-08-00ax-evaluation-methodology.docx</w:t>
        </w:r>
      </w:hyperlink>
    </w:p>
    <w:p w14:paraId="7AE050E3" w14:textId="4B1A5E22" w:rsidR="00A62A10" w:rsidRPr="00C64ECB" w:rsidRDefault="00A62A10" w:rsidP="00A62A10">
      <w:pPr>
        <w:pStyle w:val="EX"/>
      </w:pPr>
      <w:r w:rsidRPr="00C64ECB">
        <w:t>[2</w:t>
      </w:r>
      <w:r w:rsidRPr="00C64ECB">
        <w:rPr>
          <w:rFonts w:hint="eastAsia"/>
          <w:lang w:eastAsia="zh-CN"/>
        </w:rPr>
        <w:t>7</w:t>
      </w:r>
      <w:r w:rsidRPr="00C64ECB">
        <w:t>]</w:t>
      </w:r>
      <w:r w:rsidRPr="00C64ECB">
        <w:tab/>
      </w:r>
      <w:r w:rsidRPr="00C64ECB">
        <w:rPr>
          <w:rFonts w:hint="eastAsia"/>
        </w:rPr>
        <w:t xml:space="preserve">3GPP TR 36.942 V11.0.0, </w:t>
      </w:r>
      <w:r w:rsidR="00010CD8" w:rsidRPr="00C64ECB">
        <w:t>"</w:t>
      </w:r>
      <w:r w:rsidRPr="00C64ECB">
        <w:t>Radio Frequency (RF) system scenarios</w:t>
      </w:r>
      <w:r w:rsidRPr="00C64ECB">
        <w:rPr>
          <w:rFonts w:hint="eastAsia"/>
        </w:rPr>
        <w:t>,</w:t>
      </w:r>
      <w:r w:rsidR="00010CD8" w:rsidRPr="00C64ECB">
        <w:t>"</w:t>
      </w:r>
      <w:r w:rsidRPr="00C64ECB">
        <w:rPr>
          <w:rFonts w:hint="eastAsia"/>
        </w:rPr>
        <w:t xml:space="preserve"> Sept. 2012.</w:t>
      </w:r>
    </w:p>
    <w:p w14:paraId="0A8BFB45" w14:textId="77777777" w:rsidR="00A62A10" w:rsidRPr="00C64ECB" w:rsidRDefault="00A62A10" w:rsidP="00A62A10">
      <w:pPr>
        <w:pStyle w:val="EX"/>
      </w:pPr>
      <w:r w:rsidRPr="00C64ECB">
        <w:t>[28]</w:t>
      </w:r>
      <w:r w:rsidR="005D1856" w:rsidRPr="00C64ECB">
        <w:tab/>
        <w:t xml:space="preserve">3GPP TR 38.802, </w:t>
      </w:r>
      <w:r w:rsidR="00B97D26" w:rsidRPr="00C64ECB">
        <w:t>"Study on new radio access technology Physical layer aspects"</w:t>
      </w:r>
    </w:p>
    <w:p w14:paraId="373341A3" w14:textId="77777777" w:rsidR="00A62A10" w:rsidRPr="00C64ECB" w:rsidRDefault="00A62A10" w:rsidP="00A62A10">
      <w:pPr>
        <w:pStyle w:val="EX"/>
      </w:pPr>
      <w:r w:rsidRPr="00C64ECB">
        <w:t>[29]</w:t>
      </w:r>
      <w:r w:rsidR="00B97D26" w:rsidRPr="00C64ECB">
        <w:tab/>
        <w:t>3GPP TS 38.901, "Study on channel model for frequencies from 0.5 to 100 GHz"</w:t>
      </w:r>
    </w:p>
    <w:p w14:paraId="4469CD33" w14:textId="2DDDC79C" w:rsidR="00A62A10" w:rsidRPr="00C64ECB" w:rsidRDefault="00A62A10" w:rsidP="00A62A10">
      <w:pPr>
        <w:pStyle w:val="EX"/>
      </w:pPr>
      <w:r w:rsidRPr="00C64ECB">
        <w:t>[30]</w:t>
      </w:r>
      <w:r w:rsidR="00795B31" w:rsidRPr="00C64ECB">
        <w:tab/>
      </w:r>
      <w:r w:rsidR="00795B31" w:rsidRPr="00C64ECB">
        <w:rPr>
          <w:lang w:eastAsia="ja-JP"/>
        </w:rPr>
        <w:t xml:space="preserve">3GPP RP-181339: </w:t>
      </w:r>
      <w:r w:rsidR="00010CD8" w:rsidRPr="00C64ECB">
        <w:rPr>
          <w:lang w:eastAsia="ja-JP"/>
        </w:rPr>
        <w:t>"</w:t>
      </w:r>
      <w:r w:rsidR="00795B31" w:rsidRPr="00C64ECB">
        <w:rPr>
          <w:lang w:eastAsia="ja-JP"/>
        </w:rPr>
        <w:t>Revision of Study on NR-based Access to Unlicensed Spectrum</w:t>
      </w:r>
      <w:r w:rsidR="00010CD8" w:rsidRPr="00C64ECB">
        <w:rPr>
          <w:lang w:eastAsia="ja-JP"/>
        </w:rPr>
        <w:t>"</w:t>
      </w:r>
      <w:r w:rsidR="00795B31" w:rsidRPr="00C64ECB">
        <w:rPr>
          <w:lang w:eastAsia="ja-JP"/>
        </w:rPr>
        <w:t>.</w:t>
      </w:r>
    </w:p>
    <w:p w14:paraId="277DACFD" w14:textId="77777777" w:rsidR="00EC7E4A" w:rsidRPr="00C64ECB" w:rsidRDefault="00A62A10" w:rsidP="00EC7E4A">
      <w:pPr>
        <w:pStyle w:val="EX"/>
      </w:pPr>
      <w:r w:rsidRPr="00C64ECB">
        <w:t>[31]</w:t>
      </w:r>
      <w:r w:rsidR="00010CD8" w:rsidRPr="00C64ECB">
        <w:tab/>
      </w:r>
      <w:r w:rsidR="00EC7E4A" w:rsidRPr="00C64ECB">
        <w:t>3GPP TR 36.889, "Feasibility Study on Licensed-Assisted Access to Unlicensed Spectrum"</w:t>
      </w:r>
    </w:p>
    <w:p w14:paraId="44E4C937" w14:textId="4862A853" w:rsidR="00A62A10" w:rsidRPr="00C64ECB" w:rsidRDefault="00A62A10" w:rsidP="00A62A10">
      <w:pPr>
        <w:pStyle w:val="EX"/>
      </w:pPr>
      <w:r w:rsidRPr="00C64ECB">
        <w:t>[32]</w:t>
      </w:r>
      <w:r w:rsidR="00010CD8" w:rsidRPr="00C64ECB">
        <w:tab/>
      </w:r>
      <w:r w:rsidR="00AF4A15" w:rsidRPr="00C64ECB">
        <w:t xml:space="preserve">3GPP TR 37.890 </w:t>
      </w:r>
      <w:r w:rsidR="005C4862">
        <w:t>"</w:t>
      </w:r>
      <w:r w:rsidR="00AF4A15" w:rsidRPr="00C64ECB">
        <w:t>Technical Specification Group Radio Access Network; Feasibility Study on 6 GHz for LTE and NR in Licensed and Unlicensed Operations</w:t>
      </w:r>
      <w:r w:rsidR="005C4862">
        <w:t>"</w:t>
      </w:r>
      <w:r w:rsidR="00AF4A15" w:rsidRPr="00C64ECB">
        <w:t>.</w:t>
      </w:r>
    </w:p>
    <w:p w14:paraId="18081208" w14:textId="3A9BED94" w:rsidR="00A62A10" w:rsidRPr="00C64ECB" w:rsidRDefault="00A62A10" w:rsidP="00A62A10">
      <w:pPr>
        <w:pStyle w:val="EX"/>
      </w:pPr>
      <w:r w:rsidRPr="00C64ECB">
        <w:lastRenderedPageBreak/>
        <w:t>[33]</w:t>
      </w:r>
      <w:r w:rsidR="00010CD8" w:rsidRPr="00C64ECB">
        <w:tab/>
      </w:r>
      <w:r w:rsidR="007A3D00" w:rsidRPr="00C64ECB">
        <w:t xml:space="preserve">3GPP TR 36.942 V11.0.0, </w:t>
      </w:r>
      <w:r w:rsidR="005C4862">
        <w:t>"</w:t>
      </w:r>
      <w:r w:rsidR="007A3D00" w:rsidRPr="00C64ECB">
        <w:t>Radio Frequency (RF) system scenarios,</w:t>
      </w:r>
      <w:r w:rsidR="005C4862">
        <w:t>"</w:t>
      </w:r>
      <w:r w:rsidR="007A3D00" w:rsidRPr="00C64ECB">
        <w:t xml:space="preserve"> Sept. 2012.</w:t>
      </w:r>
    </w:p>
    <w:p w14:paraId="08A88896" w14:textId="5693391E" w:rsidR="00A62A10" w:rsidRPr="00C64ECB" w:rsidRDefault="00A62A10" w:rsidP="00A62A10">
      <w:pPr>
        <w:pStyle w:val="EX"/>
      </w:pPr>
      <w:r w:rsidRPr="00C64ECB">
        <w:t>[34]</w:t>
      </w:r>
      <w:r w:rsidR="00010CD8" w:rsidRPr="00C64ECB">
        <w:tab/>
        <w:t>void</w:t>
      </w:r>
    </w:p>
    <w:p w14:paraId="448CA780" w14:textId="77777777" w:rsidR="00A62A10" w:rsidRPr="00C64ECB" w:rsidRDefault="00A62A10" w:rsidP="00A62A10">
      <w:pPr>
        <w:pStyle w:val="EX"/>
      </w:pPr>
      <w:r w:rsidRPr="00C64ECB">
        <w:t>[35]</w:t>
      </w:r>
      <w:r w:rsidRPr="00C64ECB">
        <w:tab/>
      </w:r>
      <w:r w:rsidRPr="00C64ECB">
        <w:rPr>
          <w:lang w:val="en-US"/>
        </w:rPr>
        <w:t>GSR No. 46(E) Dated: 28</w:t>
      </w:r>
      <w:r w:rsidRPr="00C64ECB">
        <w:rPr>
          <w:rFonts w:hint="eastAsia"/>
          <w:lang w:val="en-US" w:eastAsia="zh-CN"/>
        </w:rPr>
        <w:t>th</w:t>
      </w:r>
      <w:r w:rsidRPr="00C64ECB">
        <w:rPr>
          <w:lang w:val="en-US"/>
        </w:rPr>
        <w:t xml:space="preserve"> Jan. 2005, Rule - Indoor Use of low power wireless equipment in the frequency band 5 GHz (Exemption from Licensing Requirement) Rules, 2005</w:t>
      </w:r>
      <w:r w:rsidRPr="00C64ECB">
        <w:t>.</w:t>
      </w:r>
    </w:p>
    <w:p w14:paraId="6302BE80" w14:textId="5D79A809" w:rsidR="00A62A10" w:rsidRPr="00C64ECB" w:rsidRDefault="00A62A10" w:rsidP="00A62A10">
      <w:pPr>
        <w:pStyle w:val="EX"/>
        <w:rPr>
          <w:lang w:eastAsia="zh-CN"/>
        </w:rPr>
      </w:pPr>
      <w:r w:rsidRPr="00C64ECB">
        <w:t>[3</w:t>
      </w:r>
      <w:r w:rsidRPr="00C64ECB">
        <w:rPr>
          <w:rFonts w:hint="eastAsia"/>
          <w:lang w:eastAsia="zh-CN"/>
        </w:rPr>
        <w:t>6</w:t>
      </w:r>
      <w:r w:rsidRPr="00C64ECB">
        <w:t>]</w:t>
      </w:r>
      <w:r w:rsidRPr="00C64ECB">
        <w:tab/>
        <w:t>GSR No. 37(E) Dated: 10th Jan. 2007, Rule - Indoor use of low power wireless equipment in the frequency band 5 GHz (Exemption from Licensing Requirement) Amendment Rules, 2006. (GSR No. 46(E) Ammendment).</w:t>
      </w:r>
    </w:p>
    <w:p w14:paraId="7B532F01" w14:textId="0222DF7A" w:rsidR="00A62A10" w:rsidRPr="00C64ECB" w:rsidRDefault="00A62A10" w:rsidP="00A62A10">
      <w:pPr>
        <w:pStyle w:val="EX"/>
        <w:rPr>
          <w:lang w:val="en-US"/>
        </w:rPr>
      </w:pPr>
      <w:r w:rsidRPr="00C64ECB">
        <w:t>[3</w:t>
      </w:r>
      <w:r w:rsidRPr="00C64ECB">
        <w:rPr>
          <w:rFonts w:hint="eastAsia"/>
          <w:lang w:eastAsia="zh-CN"/>
        </w:rPr>
        <w:t>7</w:t>
      </w:r>
      <w:r w:rsidRPr="00C64ECB">
        <w:t>]</w:t>
      </w:r>
      <w:r w:rsidRPr="00C64ECB">
        <w:tab/>
      </w:r>
      <w:r w:rsidRPr="00C64ECB">
        <w:rPr>
          <w:lang w:val="en-US"/>
        </w:rPr>
        <w:t>GSR No. 38(E) Dated: 19th Jan. 2007, Rule - the Outdoor Use of wireless Equipment  (Exemption from Licensing Requirement) Rules, 2007</w:t>
      </w:r>
      <w:r w:rsidRPr="00C64ECB">
        <w:t>.[38]</w:t>
      </w:r>
      <w:r w:rsidRPr="00C64ECB">
        <w:tab/>
      </w:r>
      <w:r w:rsidRPr="00C64ECB">
        <w:rPr>
          <w:lang w:val="en-US"/>
        </w:rPr>
        <w:t xml:space="preserve">RESOLUTION 229 (Rev. WRC-12), </w:t>
      </w:r>
      <w:r w:rsidR="00010CD8" w:rsidRPr="00C64ECB">
        <w:rPr>
          <w:lang w:val="en-US"/>
        </w:rPr>
        <w:t>"</w:t>
      </w:r>
      <w:r w:rsidRPr="00C64ECB">
        <w:rPr>
          <w:lang w:val="en-US"/>
        </w:rPr>
        <w:t>Use of the bands 5 150-5 250, 5 250-5 350 MHz and 5 470-5 725 MHz by the mobile service for the implementation of wireless access systems including radio local area networks</w:t>
      </w:r>
      <w:r w:rsidR="00010CD8" w:rsidRPr="00C64ECB">
        <w:rPr>
          <w:lang w:val="en-US"/>
        </w:rPr>
        <w:t>"</w:t>
      </w:r>
      <w:r w:rsidRPr="00C64ECB">
        <w:rPr>
          <w:lang w:val="en-US"/>
        </w:rPr>
        <w:t>.</w:t>
      </w:r>
    </w:p>
    <w:p w14:paraId="0EE3EDDE" w14:textId="76F9C401" w:rsidR="005E1804" w:rsidRPr="00C64ECB" w:rsidRDefault="005E1804" w:rsidP="00A62A10">
      <w:pPr>
        <w:pStyle w:val="EX"/>
      </w:pPr>
      <w:r w:rsidRPr="00C64ECB">
        <w:rPr>
          <w:lang w:val="en-US"/>
        </w:rPr>
        <w:t>[38]</w:t>
      </w:r>
      <w:r w:rsidRPr="00C64ECB">
        <w:rPr>
          <w:lang w:val="en-US"/>
        </w:rPr>
        <w:tab/>
        <w:t>to be added</w:t>
      </w:r>
    </w:p>
    <w:p w14:paraId="413F38E4" w14:textId="50FA9BA8" w:rsidR="00A62A10" w:rsidRPr="00C64ECB" w:rsidRDefault="00A62A10" w:rsidP="00A62A10">
      <w:pPr>
        <w:pStyle w:val="EX"/>
        <w:rPr>
          <w:lang w:val="en-US"/>
        </w:rPr>
      </w:pPr>
      <w:r w:rsidRPr="00C64ECB">
        <w:t>[39]</w:t>
      </w:r>
      <w:r w:rsidRPr="00C64ECB">
        <w:tab/>
      </w:r>
      <w:r w:rsidRPr="00C64ECB">
        <w:rPr>
          <w:lang w:val="en-US"/>
        </w:rPr>
        <w:t xml:space="preserve">Recommendation ITU-R M.1652-1 (05/2011) </w:t>
      </w:r>
      <w:r w:rsidR="00010CD8" w:rsidRPr="00C64ECB">
        <w:rPr>
          <w:lang w:val="en-US"/>
        </w:rPr>
        <w:t>"</w:t>
      </w:r>
      <w:r w:rsidRPr="00C64ECB">
        <w:rPr>
          <w:lang w:val="en-US"/>
        </w:rPr>
        <w:t>Dynamic frequency selection in wireless access systems including radio local area networks for the purpose of protecting the radiodetermination service in the 5 GHz band</w:t>
      </w:r>
      <w:r w:rsidR="00010CD8" w:rsidRPr="00C64ECB">
        <w:rPr>
          <w:lang w:val="en-US"/>
        </w:rPr>
        <w:t>"</w:t>
      </w:r>
      <w:r w:rsidRPr="00C64ECB">
        <w:rPr>
          <w:lang w:val="en-US"/>
        </w:rPr>
        <w:t>.</w:t>
      </w:r>
    </w:p>
    <w:p w14:paraId="317662AA" w14:textId="77777777" w:rsidR="00A62A10" w:rsidRPr="00C64ECB" w:rsidRDefault="00A62A10" w:rsidP="00A62A10">
      <w:pPr>
        <w:keepLines/>
        <w:wordWrap w:val="0"/>
        <w:ind w:left="1702" w:hanging="1418"/>
        <w:rPr>
          <w:rFonts w:eastAsia="PMingLiU"/>
          <w:noProof/>
          <w:lang w:eastAsia="zh-TW"/>
        </w:rPr>
      </w:pPr>
      <w:r w:rsidRPr="00C64ECB">
        <w:rPr>
          <w:rFonts w:eastAsia="PMingLiU" w:hint="eastAsia"/>
          <w:lang w:eastAsia="zh-TW"/>
        </w:rPr>
        <w:t>[</w:t>
      </w:r>
      <w:r w:rsidRPr="00C64ECB">
        <w:rPr>
          <w:rFonts w:eastAsia="PMingLiU"/>
          <w:lang w:eastAsia="zh-TW"/>
        </w:rPr>
        <w:t>40</w:t>
      </w:r>
      <w:r w:rsidRPr="00C64ECB">
        <w:rPr>
          <w:rFonts w:eastAsia="PMingLiU" w:hint="eastAsia"/>
          <w:lang w:eastAsia="zh-TW"/>
        </w:rPr>
        <w:t>]</w:t>
      </w:r>
      <w:r w:rsidRPr="00C64ECB">
        <w:rPr>
          <w:rFonts w:eastAsia="PMingLiU" w:hint="eastAsia"/>
          <w:lang w:eastAsia="zh-TW"/>
        </w:rPr>
        <w:tab/>
      </w:r>
      <w:r w:rsidRPr="00C64ECB">
        <w:rPr>
          <w:rFonts w:eastAsia="PMingLiU"/>
          <w:noProof/>
          <w:lang w:eastAsia="zh-TW"/>
        </w:rPr>
        <w:t>http://www.ncc.gov.tw/chinese/law_detail.aspx?site_content_sn=260&amp;is_history=0&amp;law_sn=1807&amp;sn_f=1807</w:t>
      </w:r>
      <w:r w:rsidRPr="00C64ECB">
        <w:rPr>
          <w:rFonts w:eastAsia="PMingLiU" w:hint="eastAsia"/>
          <w:noProof/>
          <w:lang w:eastAsia="zh-TW"/>
        </w:rPr>
        <w:t>, the regulations for low-power transmitters in Taiwan, June 28, 2011 (in Chinese).</w:t>
      </w:r>
    </w:p>
    <w:p w14:paraId="25B3D373" w14:textId="77777777" w:rsidR="00A62A10" w:rsidRPr="00C64ECB" w:rsidRDefault="00A62A10" w:rsidP="00A62A10">
      <w:pPr>
        <w:keepLines/>
        <w:ind w:left="1702" w:hanging="1418"/>
        <w:rPr>
          <w:rFonts w:eastAsia="PMingLiU"/>
          <w:noProof/>
          <w:lang w:eastAsia="zh-TW"/>
        </w:rPr>
      </w:pPr>
      <w:r w:rsidRPr="00C64ECB">
        <w:rPr>
          <w:rFonts w:eastAsia="PMingLiU" w:hint="eastAsia"/>
          <w:noProof/>
          <w:lang w:eastAsia="zh-TW"/>
        </w:rPr>
        <w:t>[</w:t>
      </w:r>
      <w:r w:rsidRPr="00C64ECB">
        <w:rPr>
          <w:rFonts w:eastAsia="PMingLiU"/>
          <w:noProof/>
          <w:lang w:eastAsia="zh-TW"/>
        </w:rPr>
        <w:t>41</w:t>
      </w:r>
      <w:r w:rsidRPr="00C64ECB">
        <w:rPr>
          <w:rFonts w:eastAsia="PMingLiU" w:hint="eastAsia"/>
          <w:noProof/>
          <w:lang w:eastAsia="zh-TW"/>
        </w:rPr>
        <w:t>]</w:t>
      </w:r>
      <w:r w:rsidRPr="00C64ECB">
        <w:rPr>
          <w:rFonts w:eastAsia="PMingLiU" w:hint="eastAsia"/>
          <w:noProof/>
          <w:lang w:eastAsia="zh-TW"/>
        </w:rPr>
        <w:tab/>
      </w:r>
      <w:r w:rsidRPr="00C64ECB">
        <w:rPr>
          <w:rFonts w:eastAsia="PMingLiU"/>
          <w:noProof/>
          <w:lang w:eastAsia="zh-TW"/>
        </w:rPr>
        <w:t>http://www.motc.gov.tw/post/home.jsp?id=369&amp;parentpath=0,364</w:t>
      </w:r>
      <w:r w:rsidRPr="00C64ECB">
        <w:rPr>
          <w:rFonts w:eastAsia="PMingLiU" w:hint="eastAsia"/>
          <w:noProof/>
          <w:lang w:eastAsia="zh-TW"/>
        </w:rPr>
        <w:t>, the frequency allocation in Taiwan (in Chinese)</w:t>
      </w:r>
    </w:p>
    <w:p w14:paraId="7E151980" w14:textId="20E019E1" w:rsidR="009F72B7" w:rsidRPr="00C64ECB" w:rsidRDefault="009F72B7" w:rsidP="009F72B7">
      <w:pPr>
        <w:keepLines/>
        <w:ind w:left="1702" w:hanging="1418"/>
        <w:rPr>
          <w:rFonts w:eastAsia="PMingLiU"/>
          <w:noProof/>
          <w:lang w:eastAsia="zh-TW"/>
        </w:rPr>
      </w:pPr>
      <w:r w:rsidRPr="00C64ECB">
        <w:rPr>
          <w:rFonts w:eastAsia="PMingLiU"/>
          <w:noProof/>
          <w:lang w:eastAsia="zh-TW"/>
        </w:rPr>
        <w:t>[42]</w:t>
      </w:r>
      <w:r w:rsidR="005C4862">
        <w:rPr>
          <w:rFonts w:eastAsia="PMingLiU"/>
          <w:noProof/>
          <w:lang w:eastAsia="zh-TW"/>
        </w:rPr>
        <w:tab/>
      </w:r>
      <w:r w:rsidRPr="00C64ECB">
        <w:rPr>
          <w:rFonts w:eastAsia="PMingLiU"/>
          <w:noProof/>
          <w:lang w:eastAsia="zh-TW"/>
        </w:rPr>
        <w:t xml:space="preserve">R1-1812431, </w:t>
      </w:r>
      <w:r w:rsidR="005C4862">
        <w:rPr>
          <w:rFonts w:eastAsia="PMingLiU"/>
          <w:noProof/>
          <w:lang w:eastAsia="zh-TW"/>
        </w:rPr>
        <w:t>"</w:t>
      </w:r>
      <w:r w:rsidRPr="00C64ECB">
        <w:rPr>
          <w:rFonts w:eastAsia="PMingLiU"/>
          <w:noProof/>
          <w:lang w:eastAsia="zh-TW"/>
        </w:rPr>
        <w:t>Evaluation Results for NR-U</w:t>
      </w:r>
      <w:r w:rsidR="005C4862">
        <w:rPr>
          <w:rFonts w:eastAsia="PMingLiU"/>
          <w:noProof/>
          <w:lang w:eastAsia="zh-TW"/>
        </w:rPr>
        <w:t>"</w:t>
      </w:r>
      <w:r w:rsidRPr="00C64ECB">
        <w:rPr>
          <w:rFonts w:eastAsia="PMingLiU"/>
          <w:noProof/>
          <w:lang w:eastAsia="zh-TW"/>
        </w:rPr>
        <w:t>, ZTE, RAN1#95, Spokane, USA, Nov. 12-16, 2018.</w:t>
      </w:r>
    </w:p>
    <w:p w14:paraId="0A804F3F" w14:textId="47F1D304" w:rsidR="009F72B7" w:rsidRPr="00C64ECB" w:rsidRDefault="009F72B7" w:rsidP="009F72B7">
      <w:pPr>
        <w:keepLines/>
        <w:ind w:left="1702" w:hanging="1418"/>
        <w:rPr>
          <w:rFonts w:eastAsia="PMingLiU"/>
          <w:noProof/>
          <w:lang w:eastAsia="zh-TW"/>
        </w:rPr>
      </w:pPr>
      <w:r w:rsidRPr="00C64ECB">
        <w:rPr>
          <w:rFonts w:eastAsia="PMingLiU"/>
          <w:noProof/>
          <w:lang w:eastAsia="zh-TW"/>
        </w:rPr>
        <w:t>[43]</w:t>
      </w:r>
      <w:r w:rsidR="005C4862">
        <w:rPr>
          <w:rFonts w:eastAsia="PMingLiU"/>
          <w:noProof/>
          <w:lang w:eastAsia="zh-TW"/>
        </w:rPr>
        <w:tab/>
      </w:r>
      <w:r w:rsidRPr="00C64ECB">
        <w:rPr>
          <w:rFonts w:eastAsia="PMingLiU"/>
          <w:noProof/>
          <w:lang w:eastAsia="zh-TW"/>
        </w:rPr>
        <w:t xml:space="preserve">R1-1812556, </w:t>
      </w:r>
      <w:r w:rsidR="005C4862">
        <w:rPr>
          <w:rFonts w:eastAsia="PMingLiU"/>
          <w:noProof/>
          <w:lang w:eastAsia="zh-TW"/>
        </w:rPr>
        <w:t>"</w:t>
      </w:r>
      <w:r w:rsidRPr="00C64ECB">
        <w:rPr>
          <w:rFonts w:eastAsia="PMingLiU"/>
          <w:noProof/>
          <w:lang w:eastAsia="zh-TW"/>
        </w:rPr>
        <w:t>Evaluation results for NR unlicensed operation</w:t>
      </w:r>
      <w:r w:rsidR="005C4862">
        <w:rPr>
          <w:rFonts w:eastAsia="PMingLiU"/>
          <w:noProof/>
          <w:lang w:eastAsia="zh-TW"/>
        </w:rPr>
        <w:t>"</w:t>
      </w:r>
      <w:r w:rsidRPr="00C64ECB">
        <w:rPr>
          <w:rFonts w:eastAsia="PMingLiU"/>
          <w:noProof/>
          <w:lang w:eastAsia="zh-TW"/>
        </w:rPr>
        <w:t>, LG Electronics, RAN1#95, Spokane, USA, Nov. 12-16, 2018.</w:t>
      </w:r>
    </w:p>
    <w:p w14:paraId="776CCE38" w14:textId="5F708F67" w:rsidR="009F72B7" w:rsidRPr="00C64ECB" w:rsidRDefault="009F72B7" w:rsidP="009F72B7">
      <w:pPr>
        <w:keepLines/>
        <w:ind w:left="1702" w:hanging="1418"/>
        <w:rPr>
          <w:rFonts w:eastAsia="PMingLiU"/>
          <w:noProof/>
          <w:lang w:eastAsia="zh-TW"/>
        </w:rPr>
      </w:pPr>
      <w:r w:rsidRPr="00C64ECB">
        <w:rPr>
          <w:rFonts w:eastAsia="PMingLiU"/>
          <w:noProof/>
          <w:lang w:eastAsia="zh-TW"/>
        </w:rPr>
        <w:t>[44]</w:t>
      </w:r>
      <w:r w:rsidR="005C4862">
        <w:rPr>
          <w:rFonts w:eastAsia="PMingLiU"/>
          <w:noProof/>
          <w:lang w:eastAsia="zh-TW"/>
        </w:rPr>
        <w:tab/>
      </w:r>
      <w:r w:rsidRPr="00C64ECB">
        <w:rPr>
          <w:rFonts w:eastAsia="PMingLiU"/>
          <w:noProof/>
          <w:lang w:eastAsia="zh-TW"/>
        </w:rPr>
        <w:t xml:space="preserve">R1-1812659, </w:t>
      </w:r>
      <w:r w:rsidR="005C4862">
        <w:rPr>
          <w:rFonts w:eastAsia="PMingLiU"/>
          <w:noProof/>
          <w:lang w:eastAsia="zh-TW"/>
        </w:rPr>
        <w:t>"</w:t>
      </w:r>
      <w:r w:rsidRPr="00C64ECB">
        <w:rPr>
          <w:rFonts w:eastAsia="PMingLiU"/>
          <w:noProof/>
          <w:lang w:eastAsia="zh-TW"/>
        </w:rPr>
        <w:t>Evaluation Results for NR-U</w:t>
      </w:r>
      <w:r w:rsidR="005C4862">
        <w:rPr>
          <w:rFonts w:eastAsia="PMingLiU"/>
          <w:noProof/>
          <w:lang w:eastAsia="zh-TW"/>
        </w:rPr>
        <w:t>"</w:t>
      </w:r>
      <w:r w:rsidRPr="00C64ECB">
        <w:rPr>
          <w:rFonts w:eastAsia="PMingLiU"/>
          <w:noProof/>
          <w:lang w:eastAsia="zh-TW"/>
        </w:rPr>
        <w:t>, Nokia, Nokia Shanghai Bell, RAN1#95, Spokane, USA, Nov. 12-16, 2018.</w:t>
      </w:r>
    </w:p>
    <w:p w14:paraId="24302C3D" w14:textId="6143405A" w:rsidR="009F72B7" w:rsidRPr="00C64ECB" w:rsidRDefault="009F72B7" w:rsidP="009F72B7">
      <w:pPr>
        <w:keepLines/>
        <w:ind w:left="1702" w:hanging="1418"/>
        <w:rPr>
          <w:rFonts w:eastAsia="PMingLiU"/>
          <w:noProof/>
          <w:lang w:eastAsia="zh-TW"/>
        </w:rPr>
      </w:pPr>
      <w:r w:rsidRPr="00C64ECB">
        <w:rPr>
          <w:rFonts w:eastAsia="PMingLiU"/>
          <w:noProof/>
          <w:lang w:eastAsia="zh-TW"/>
        </w:rPr>
        <w:t>[45]</w:t>
      </w:r>
      <w:r w:rsidR="005C4862">
        <w:rPr>
          <w:rFonts w:eastAsia="PMingLiU"/>
          <w:noProof/>
          <w:lang w:eastAsia="zh-TW"/>
        </w:rPr>
        <w:tab/>
      </w:r>
      <w:r w:rsidRPr="00C64ECB">
        <w:rPr>
          <w:rFonts w:eastAsia="PMingLiU"/>
          <w:noProof/>
          <w:lang w:eastAsia="zh-TW"/>
        </w:rPr>
        <w:t xml:space="preserve">R1-1814085, </w:t>
      </w:r>
      <w:r w:rsidR="005C4862">
        <w:rPr>
          <w:rFonts w:eastAsia="PMingLiU"/>
          <w:noProof/>
          <w:lang w:eastAsia="zh-TW"/>
        </w:rPr>
        <w:t>"</w:t>
      </w:r>
      <w:r w:rsidRPr="00C64ECB">
        <w:rPr>
          <w:rFonts w:eastAsia="PMingLiU"/>
          <w:noProof/>
          <w:lang w:eastAsia="zh-TW"/>
        </w:rPr>
        <w:t>Coexistence evaluation of NR unlicensed bands</w:t>
      </w:r>
      <w:r w:rsidR="005C4862">
        <w:rPr>
          <w:rFonts w:eastAsia="PMingLiU"/>
          <w:noProof/>
          <w:lang w:eastAsia="zh-TW"/>
        </w:rPr>
        <w:t>"</w:t>
      </w:r>
      <w:r w:rsidRPr="00C64ECB">
        <w:rPr>
          <w:rFonts w:eastAsia="PMingLiU"/>
          <w:noProof/>
          <w:lang w:eastAsia="zh-TW"/>
        </w:rPr>
        <w:t>, Huawei, HiSilicon, RAN1#95, Spokane, USA, Nov. 12-16, 2018.</w:t>
      </w:r>
    </w:p>
    <w:p w14:paraId="671DD73B" w14:textId="25C51AEB" w:rsidR="009F72B7" w:rsidRPr="00C64ECB" w:rsidRDefault="009F72B7" w:rsidP="009F72B7">
      <w:pPr>
        <w:keepLines/>
        <w:ind w:left="1702" w:hanging="1418"/>
        <w:rPr>
          <w:rFonts w:eastAsia="PMingLiU"/>
          <w:noProof/>
          <w:lang w:eastAsia="zh-TW"/>
        </w:rPr>
      </w:pPr>
      <w:r w:rsidRPr="00C64ECB">
        <w:rPr>
          <w:rFonts w:eastAsia="PMingLiU"/>
          <w:noProof/>
          <w:lang w:eastAsia="zh-TW"/>
        </w:rPr>
        <w:t>[46]</w:t>
      </w:r>
      <w:r w:rsidR="005C4862">
        <w:rPr>
          <w:rFonts w:eastAsia="PMingLiU"/>
          <w:noProof/>
          <w:lang w:eastAsia="zh-TW"/>
        </w:rPr>
        <w:tab/>
      </w:r>
      <w:r w:rsidRPr="00C64ECB">
        <w:rPr>
          <w:rFonts w:eastAsia="PMingLiU"/>
          <w:noProof/>
          <w:lang w:eastAsia="zh-TW"/>
        </w:rPr>
        <w:t xml:space="preserve">R1-1814074, </w:t>
      </w:r>
      <w:r w:rsidR="005C4862">
        <w:rPr>
          <w:rFonts w:eastAsia="PMingLiU"/>
          <w:noProof/>
          <w:lang w:eastAsia="zh-TW"/>
        </w:rPr>
        <w:t>"</w:t>
      </w:r>
      <w:r w:rsidRPr="00C64ECB">
        <w:rPr>
          <w:rFonts w:eastAsia="PMingLiU"/>
          <w:noProof/>
          <w:lang w:eastAsia="zh-TW"/>
        </w:rPr>
        <w:t>Evaluation result for NR-U</w:t>
      </w:r>
      <w:r w:rsidR="005C4862">
        <w:rPr>
          <w:rFonts w:eastAsia="PMingLiU"/>
          <w:noProof/>
          <w:lang w:eastAsia="zh-TW"/>
        </w:rPr>
        <w:t>"</w:t>
      </w:r>
      <w:r w:rsidRPr="00C64ECB">
        <w:rPr>
          <w:rFonts w:eastAsia="PMingLiU"/>
          <w:noProof/>
          <w:lang w:eastAsia="zh-TW"/>
        </w:rPr>
        <w:t>, Samsung, RAN1#95, Spokane, USA, Nov. 12-16, 2018.</w:t>
      </w:r>
    </w:p>
    <w:p w14:paraId="7ED6DFAD" w14:textId="2E6692EA" w:rsidR="009F72B7" w:rsidRPr="00C64ECB" w:rsidRDefault="009F72B7" w:rsidP="009F72B7">
      <w:pPr>
        <w:keepLines/>
        <w:ind w:left="1702" w:hanging="1418"/>
        <w:rPr>
          <w:rFonts w:eastAsia="PMingLiU"/>
          <w:noProof/>
          <w:lang w:eastAsia="zh-TW"/>
        </w:rPr>
      </w:pPr>
      <w:r w:rsidRPr="00C64ECB">
        <w:rPr>
          <w:rFonts w:eastAsia="PMingLiU"/>
          <w:noProof/>
          <w:lang w:eastAsia="zh-TW"/>
        </w:rPr>
        <w:t>[47]</w:t>
      </w:r>
      <w:r w:rsidR="005C4862">
        <w:rPr>
          <w:rFonts w:eastAsia="PMingLiU"/>
          <w:noProof/>
          <w:lang w:eastAsia="zh-TW"/>
        </w:rPr>
        <w:tab/>
      </w:r>
      <w:r w:rsidRPr="00C64ECB">
        <w:rPr>
          <w:rFonts w:eastAsia="PMingLiU"/>
          <w:noProof/>
          <w:lang w:eastAsia="zh-TW"/>
        </w:rPr>
        <w:t xml:space="preserve">R1- 1814062, </w:t>
      </w:r>
      <w:r w:rsidR="005C4862">
        <w:rPr>
          <w:rFonts w:eastAsia="PMingLiU"/>
          <w:noProof/>
          <w:lang w:eastAsia="zh-TW"/>
        </w:rPr>
        <w:t>"</w:t>
      </w:r>
      <w:r w:rsidRPr="00C64ECB">
        <w:rPr>
          <w:rFonts w:eastAsia="PMingLiU"/>
          <w:noProof/>
          <w:lang w:eastAsia="zh-TW"/>
        </w:rPr>
        <w:t>NR-U coexistence evaluation results</w:t>
      </w:r>
      <w:r w:rsidR="005C4862">
        <w:rPr>
          <w:rFonts w:eastAsia="PMingLiU"/>
          <w:noProof/>
          <w:lang w:eastAsia="zh-TW"/>
        </w:rPr>
        <w:t>"</w:t>
      </w:r>
      <w:r w:rsidRPr="00C64ECB">
        <w:rPr>
          <w:rFonts w:eastAsia="PMingLiU"/>
          <w:noProof/>
          <w:lang w:eastAsia="zh-TW"/>
        </w:rPr>
        <w:t>, InterDigital Inc., RAN1#95, Spokane, USA, Nov. 12-16, 2018.</w:t>
      </w:r>
    </w:p>
    <w:p w14:paraId="144FE99C" w14:textId="2B84DE75" w:rsidR="009F72B7" w:rsidRPr="00C64ECB" w:rsidRDefault="009F72B7" w:rsidP="009F72B7">
      <w:pPr>
        <w:keepLines/>
        <w:ind w:left="1702" w:hanging="1418"/>
        <w:rPr>
          <w:rFonts w:eastAsia="PMingLiU"/>
          <w:noProof/>
          <w:lang w:eastAsia="zh-TW"/>
        </w:rPr>
      </w:pPr>
      <w:r w:rsidRPr="00C64ECB">
        <w:rPr>
          <w:rFonts w:eastAsia="PMingLiU"/>
          <w:noProof/>
          <w:lang w:eastAsia="zh-TW"/>
        </w:rPr>
        <w:t>[48]</w:t>
      </w:r>
      <w:r w:rsidR="005C4862">
        <w:rPr>
          <w:rFonts w:eastAsia="PMingLiU"/>
          <w:noProof/>
          <w:lang w:eastAsia="zh-TW"/>
        </w:rPr>
        <w:tab/>
      </w:r>
      <w:r w:rsidRPr="00C64ECB">
        <w:rPr>
          <w:rFonts w:eastAsia="PMingLiU"/>
          <w:noProof/>
          <w:lang w:eastAsia="zh-TW"/>
        </w:rPr>
        <w:t xml:space="preserve">R1-1813409, </w:t>
      </w:r>
      <w:r w:rsidR="005C4862">
        <w:rPr>
          <w:rFonts w:eastAsia="PMingLiU"/>
          <w:noProof/>
          <w:lang w:eastAsia="zh-TW"/>
        </w:rPr>
        <w:t>"</w:t>
      </w:r>
      <w:r w:rsidRPr="00C64ECB">
        <w:rPr>
          <w:rFonts w:eastAsia="PMingLiU"/>
          <w:noProof/>
          <w:lang w:eastAsia="zh-TW"/>
        </w:rPr>
        <w:t>Coexistence evaluation results for NR unlicensed</w:t>
      </w:r>
      <w:r w:rsidR="005C4862">
        <w:rPr>
          <w:rFonts w:eastAsia="PMingLiU"/>
          <w:noProof/>
          <w:lang w:eastAsia="zh-TW"/>
        </w:rPr>
        <w:t>"</w:t>
      </w:r>
      <w:r w:rsidRPr="00C64ECB">
        <w:rPr>
          <w:rFonts w:eastAsia="PMingLiU"/>
          <w:noProof/>
          <w:lang w:eastAsia="zh-TW"/>
        </w:rPr>
        <w:t>, Qualcomm Incorporated, RAN1#95, Spokane, USA, Nov. 12-16, 2018.</w:t>
      </w:r>
    </w:p>
    <w:p w14:paraId="58C1BF97" w14:textId="5C0D7378" w:rsidR="009F72B7" w:rsidRPr="00C64ECB" w:rsidRDefault="009F72B7" w:rsidP="009F72B7">
      <w:pPr>
        <w:keepLines/>
        <w:ind w:left="1702" w:hanging="1418"/>
        <w:rPr>
          <w:rFonts w:eastAsia="PMingLiU"/>
          <w:noProof/>
          <w:lang w:eastAsia="zh-TW"/>
        </w:rPr>
      </w:pPr>
      <w:r w:rsidRPr="00C64ECB">
        <w:rPr>
          <w:rFonts w:eastAsia="PMingLiU"/>
          <w:noProof/>
          <w:lang w:eastAsia="zh-TW"/>
        </w:rPr>
        <w:t>[49]</w:t>
      </w:r>
      <w:r w:rsidR="005C4862">
        <w:rPr>
          <w:rFonts w:eastAsia="PMingLiU"/>
          <w:noProof/>
          <w:lang w:eastAsia="zh-TW"/>
        </w:rPr>
        <w:tab/>
      </w:r>
      <w:r w:rsidRPr="00C64ECB">
        <w:rPr>
          <w:rFonts w:eastAsia="PMingLiU"/>
          <w:noProof/>
          <w:lang w:eastAsia="zh-TW"/>
        </w:rPr>
        <w:t xml:space="preserve">R1-1814018, </w:t>
      </w:r>
      <w:r w:rsidR="005C4862">
        <w:rPr>
          <w:rFonts w:eastAsia="PMingLiU"/>
          <w:noProof/>
          <w:lang w:eastAsia="zh-TW"/>
        </w:rPr>
        <w:t>"</w:t>
      </w:r>
      <w:r w:rsidRPr="00C64ECB">
        <w:rPr>
          <w:rFonts w:eastAsia="PMingLiU"/>
          <w:noProof/>
          <w:lang w:eastAsia="zh-TW"/>
        </w:rPr>
        <w:t>Coexistence evaluation results for NR-U and Wi-Fi</w:t>
      </w:r>
      <w:r w:rsidR="005C4862">
        <w:rPr>
          <w:rFonts w:eastAsia="PMingLiU"/>
          <w:noProof/>
          <w:lang w:eastAsia="zh-TW"/>
        </w:rPr>
        <w:t>"</w:t>
      </w:r>
      <w:r w:rsidRPr="00C64ECB">
        <w:rPr>
          <w:rFonts w:eastAsia="PMingLiU"/>
          <w:noProof/>
          <w:lang w:eastAsia="zh-TW"/>
        </w:rPr>
        <w:t>, Ericsson, RAN1#95, Spokane, USA, Nov. 12-16, 2018.</w:t>
      </w:r>
    </w:p>
    <w:p w14:paraId="1BDFED5B" w14:textId="0B4555EA" w:rsidR="009F72B7" w:rsidRPr="00C64ECB" w:rsidRDefault="009F72B7" w:rsidP="009F72B7">
      <w:pPr>
        <w:keepLines/>
        <w:ind w:left="1702" w:hanging="1418"/>
        <w:rPr>
          <w:rFonts w:eastAsia="PMingLiU"/>
          <w:noProof/>
          <w:lang w:eastAsia="zh-TW"/>
        </w:rPr>
      </w:pPr>
      <w:r w:rsidRPr="00C64ECB">
        <w:rPr>
          <w:rFonts w:eastAsia="PMingLiU"/>
          <w:noProof/>
          <w:lang w:eastAsia="zh-TW"/>
        </w:rPr>
        <w:t>[50]</w:t>
      </w:r>
      <w:r w:rsidR="005C4862">
        <w:rPr>
          <w:rFonts w:eastAsia="PMingLiU"/>
          <w:noProof/>
          <w:lang w:eastAsia="zh-TW"/>
        </w:rPr>
        <w:tab/>
      </w:r>
      <w:r w:rsidRPr="00C64ECB">
        <w:rPr>
          <w:rFonts w:eastAsia="PMingLiU"/>
          <w:noProof/>
          <w:lang w:eastAsia="zh-TW"/>
        </w:rPr>
        <w:t xml:space="preserve">R1-1814020, </w:t>
      </w:r>
      <w:r w:rsidR="005C4862">
        <w:rPr>
          <w:rFonts w:eastAsia="PMingLiU"/>
          <w:noProof/>
          <w:lang w:eastAsia="zh-TW"/>
        </w:rPr>
        <w:t>"</w:t>
      </w:r>
      <w:r w:rsidRPr="00C64ECB">
        <w:rPr>
          <w:rFonts w:eastAsia="PMingLiU"/>
          <w:noProof/>
          <w:lang w:eastAsia="zh-TW"/>
        </w:rPr>
        <w:t>Channel access mechanisms for NR-U</w:t>
      </w:r>
      <w:r w:rsidR="005C4862">
        <w:rPr>
          <w:rFonts w:eastAsia="PMingLiU"/>
          <w:noProof/>
          <w:lang w:eastAsia="zh-TW"/>
        </w:rPr>
        <w:t>"</w:t>
      </w:r>
      <w:r w:rsidRPr="00C64ECB">
        <w:rPr>
          <w:rFonts w:eastAsia="PMingLiU"/>
          <w:noProof/>
          <w:lang w:eastAsia="zh-TW"/>
        </w:rPr>
        <w:t>, Ericsson, RAN1#95, Spokane, USA, Nov. 12-16, 2018.</w:t>
      </w:r>
    </w:p>
    <w:p w14:paraId="78A18C4E" w14:textId="04837196" w:rsidR="009F72B7" w:rsidRPr="00C64ECB" w:rsidRDefault="009F72B7" w:rsidP="009F72B7">
      <w:pPr>
        <w:keepLines/>
        <w:ind w:left="1702" w:hanging="1418"/>
        <w:rPr>
          <w:rFonts w:eastAsia="PMingLiU"/>
          <w:noProof/>
          <w:lang w:eastAsia="zh-TW"/>
        </w:rPr>
      </w:pPr>
      <w:r w:rsidRPr="00C64ECB">
        <w:rPr>
          <w:rFonts w:eastAsia="PMingLiU"/>
          <w:noProof/>
          <w:lang w:eastAsia="zh-TW"/>
        </w:rPr>
        <w:t>[51]</w:t>
      </w:r>
      <w:r w:rsidR="005C4862">
        <w:rPr>
          <w:rFonts w:eastAsia="PMingLiU"/>
          <w:noProof/>
          <w:lang w:eastAsia="zh-TW"/>
        </w:rPr>
        <w:tab/>
      </w:r>
      <w:r w:rsidRPr="00C64ECB">
        <w:rPr>
          <w:rFonts w:eastAsia="PMingLiU"/>
          <w:noProof/>
          <w:lang w:eastAsia="zh-TW"/>
        </w:rPr>
        <w:t xml:space="preserve">R1-1814021, </w:t>
      </w:r>
      <w:r w:rsidR="005C4862">
        <w:rPr>
          <w:rFonts w:eastAsia="PMingLiU"/>
          <w:noProof/>
          <w:lang w:eastAsia="zh-TW"/>
        </w:rPr>
        <w:t>"</w:t>
      </w:r>
      <w:r w:rsidRPr="00C64ECB">
        <w:t>On the use of a preamble in NR-U</w:t>
      </w:r>
      <w:r w:rsidR="005C4862">
        <w:rPr>
          <w:rFonts w:eastAsia="PMingLiU"/>
          <w:noProof/>
          <w:lang w:eastAsia="zh-TW"/>
        </w:rPr>
        <w:t>"</w:t>
      </w:r>
      <w:r w:rsidRPr="00C64ECB">
        <w:rPr>
          <w:rFonts w:eastAsia="PMingLiU"/>
          <w:noProof/>
          <w:lang w:eastAsia="zh-TW"/>
        </w:rPr>
        <w:t>, Ericsson, RAN1#95, Spokane, USA, Nov. 12-16, 2018.</w:t>
      </w:r>
    </w:p>
    <w:p w14:paraId="68907AC7" w14:textId="17056E37" w:rsidR="009F72B7" w:rsidRPr="00C64ECB" w:rsidRDefault="009F72B7" w:rsidP="009F72B7">
      <w:pPr>
        <w:keepLines/>
        <w:ind w:left="1702" w:hanging="1418"/>
        <w:rPr>
          <w:rFonts w:eastAsia="PMingLiU"/>
          <w:noProof/>
          <w:lang w:eastAsia="zh-TW"/>
        </w:rPr>
      </w:pPr>
      <w:r w:rsidRPr="00C64ECB">
        <w:rPr>
          <w:rFonts w:eastAsia="PMingLiU"/>
          <w:noProof/>
          <w:lang w:eastAsia="zh-TW"/>
        </w:rPr>
        <w:t>[52]</w:t>
      </w:r>
      <w:r w:rsidR="005C4862">
        <w:rPr>
          <w:rFonts w:eastAsia="PMingLiU"/>
          <w:noProof/>
          <w:lang w:eastAsia="zh-TW"/>
        </w:rPr>
        <w:tab/>
      </w:r>
      <w:r w:rsidRPr="00C64ECB">
        <w:rPr>
          <w:rFonts w:eastAsia="PMingLiU"/>
          <w:noProof/>
          <w:lang w:eastAsia="zh-TW"/>
        </w:rPr>
        <w:t xml:space="preserve">R1-1814019, </w:t>
      </w:r>
      <w:r w:rsidR="005C4862">
        <w:rPr>
          <w:rFonts w:eastAsia="PMingLiU"/>
          <w:noProof/>
          <w:lang w:eastAsia="zh-TW"/>
        </w:rPr>
        <w:t>"</w:t>
      </w:r>
      <w:r w:rsidRPr="00C64ECB">
        <w:t>Frame Structure for NR-U</w:t>
      </w:r>
      <w:r w:rsidR="005C4862">
        <w:rPr>
          <w:rFonts w:eastAsia="PMingLiU"/>
          <w:noProof/>
          <w:lang w:eastAsia="zh-TW"/>
        </w:rPr>
        <w:t>"</w:t>
      </w:r>
      <w:r w:rsidRPr="00C64ECB">
        <w:rPr>
          <w:rFonts w:eastAsia="PMingLiU"/>
          <w:noProof/>
          <w:lang w:eastAsia="zh-TW"/>
        </w:rPr>
        <w:t>, Ericsson, RAN1#95, Spokane, USA, Nov. 12-16, 2018.</w:t>
      </w:r>
    </w:p>
    <w:p w14:paraId="09C31A9C" w14:textId="33B193EC" w:rsidR="009F72B7" w:rsidRPr="00C64ECB" w:rsidRDefault="009F72B7" w:rsidP="009F72B7">
      <w:pPr>
        <w:keepLines/>
        <w:ind w:left="1702" w:hanging="1418"/>
        <w:rPr>
          <w:rFonts w:eastAsia="PMingLiU"/>
          <w:noProof/>
          <w:lang w:eastAsia="zh-TW"/>
        </w:rPr>
      </w:pPr>
      <w:r w:rsidRPr="00C64ECB">
        <w:rPr>
          <w:rFonts w:eastAsia="PMingLiU"/>
          <w:noProof/>
          <w:lang w:eastAsia="zh-TW"/>
        </w:rPr>
        <w:t>[53]</w:t>
      </w:r>
      <w:r w:rsidR="005C4862">
        <w:rPr>
          <w:rFonts w:eastAsia="PMingLiU"/>
          <w:noProof/>
          <w:lang w:eastAsia="zh-TW"/>
        </w:rPr>
        <w:tab/>
      </w:r>
      <w:r w:rsidRPr="00C64ECB">
        <w:rPr>
          <w:rFonts w:eastAsia="PMingLiU"/>
          <w:noProof/>
          <w:lang w:eastAsia="zh-TW"/>
        </w:rPr>
        <w:t xml:space="preserve">R1-1811460, </w:t>
      </w:r>
      <w:r w:rsidR="005C4862">
        <w:rPr>
          <w:rFonts w:eastAsia="PMingLiU"/>
          <w:noProof/>
          <w:lang w:eastAsia="zh-TW"/>
        </w:rPr>
        <w:t>"</w:t>
      </w:r>
      <w:r w:rsidRPr="00C64ECB">
        <w:t>Evaluation of NR-U – Wi-Fi coexistence in the NR-U Indoor Sub 7GHz topology</w:t>
      </w:r>
      <w:r w:rsidR="005C4862">
        <w:rPr>
          <w:rFonts w:eastAsia="PMingLiU"/>
          <w:noProof/>
          <w:lang w:eastAsia="zh-TW"/>
        </w:rPr>
        <w:t>"</w:t>
      </w:r>
      <w:r w:rsidRPr="00C64ECB">
        <w:rPr>
          <w:rFonts w:eastAsia="PMingLiU"/>
          <w:noProof/>
          <w:lang w:eastAsia="zh-TW"/>
        </w:rPr>
        <w:t>, Broadcom, RAN1#94bis, Chengdu, China, Oct. 8-10, 2018.</w:t>
      </w:r>
    </w:p>
    <w:p w14:paraId="7EC3A563" w14:textId="77777777" w:rsidR="006E78D9" w:rsidRPr="00C64ECB" w:rsidRDefault="006E78D9" w:rsidP="009751F8">
      <w:pPr>
        <w:keepLines/>
        <w:rPr>
          <w:rFonts w:eastAsia="PMingLiU"/>
          <w:lang w:eastAsia="zh-TW"/>
        </w:rPr>
      </w:pPr>
    </w:p>
    <w:p w14:paraId="32ACB32A" w14:textId="77777777" w:rsidR="00E8629F" w:rsidRPr="00C64ECB" w:rsidRDefault="00E8629F" w:rsidP="00F7056A">
      <w:pPr>
        <w:pStyle w:val="Heading1"/>
      </w:pPr>
      <w:bookmarkStart w:id="10" w:name="_Toc531342972"/>
      <w:r w:rsidRPr="00C64ECB">
        <w:lastRenderedPageBreak/>
        <w:t>3</w:t>
      </w:r>
      <w:r w:rsidRPr="00C64ECB">
        <w:tab/>
      </w:r>
      <w:r w:rsidR="00367724" w:rsidRPr="00C64ECB">
        <w:t>Definitions, symbols and abbreviations</w:t>
      </w:r>
      <w:bookmarkEnd w:id="10"/>
    </w:p>
    <w:p w14:paraId="266210D3" w14:textId="77777777" w:rsidR="00E8629F" w:rsidRPr="00C64ECB" w:rsidRDefault="00E8629F" w:rsidP="00F7056A">
      <w:pPr>
        <w:pStyle w:val="Heading2"/>
      </w:pPr>
      <w:bookmarkStart w:id="11" w:name="_Toc531342973"/>
      <w:r w:rsidRPr="00C64ECB">
        <w:t>3.1</w:t>
      </w:r>
      <w:r w:rsidRPr="00C64ECB">
        <w:tab/>
        <w:t>Definitions</w:t>
      </w:r>
      <w:bookmarkEnd w:id="11"/>
    </w:p>
    <w:p w14:paraId="1B2C3BD5" w14:textId="77777777" w:rsidR="00E8629F" w:rsidRPr="00C64ECB" w:rsidRDefault="00E8629F" w:rsidP="0093262E">
      <w:r w:rsidRPr="00C64ECB">
        <w:t>For the purposes of the present document, the terms and definitions given in TR 21.905 [</w:t>
      </w:r>
      <w:r w:rsidR="00274E1A" w:rsidRPr="00C64ECB">
        <w:t>1</w:t>
      </w:r>
      <w:r w:rsidRPr="00C64ECB">
        <w:t xml:space="preserve">] and the following apply. </w:t>
      </w:r>
      <w:r w:rsidR="00274E1A" w:rsidRPr="00C64ECB">
        <w:br/>
      </w:r>
      <w:r w:rsidRPr="00C64ECB">
        <w:t>A term defined in the present document takes precedence over the definition of the same term, if any, in TR 21.905 [</w:t>
      </w:r>
      <w:r w:rsidR="00274E1A" w:rsidRPr="00C64ECB">
        <w:t>1</w:t>
      </w:r>
      <w:r w:rsidRPr="00C64ECB">
        <w:t>].</w:t>
      </w:r>
    </w:p>
    <w:p w14:paraId="0B00114E" w14:textId="77777777" w:rsidR="00E8629F" w:rsidRPr="00C64ECB" w:rsidRDefault="00E8629F" w:rsidP="00F7056A">
      <w:pPr>
        <w:pStyle w:val="Heading2"/>
      </w:pPr>
      <w:bookmarkStart w:id="12" w:name="_Toc531342974"/>
      <w:r w:rsidRPr="00C64ECB">
        <w:t>3.2</w:t>
      </w:r>
      <w:r w:rsidRPr="00C64ECB">
        <w:tab/>
        <w:t>Symbols</w:t>
      </w:r>
      <w:bookmarkEnd w:id="12"/>
    </w:p>
    <w:p w14:paraId="1CA49649" w14:textId="77777777" w:rsidR="00E8629F" w:rsidRPr="00C64ECB" w:rsidRDefault="00E8629F" w:rsidP="00D3379C">
      <w:r w:rsidRPr="00C64ECB">
        <w:t>For the purposes of the present document, the following symbols apply:</w:t>
      </w:r>
    </w:p>
    <w:p w14:paraId="712623CA" w14:textId="77777777" w:rsidR="00E8629F" w:rsidRPr="00C64ECB" w:rsidRDefault="00E8629F" w:rsidP="00F7056A">
      <w:pPr>
        <w:pStyle w:val="Heading2"/>
      </w:pPr>
      <w:bookmarkStart w:id="13" w:name="_Toc531342975"/>
      <w:r w:rsidRPr="00C64ECB">
        <w:t>3.3</w:t>
      </w:r>
      <w:r w:rsidRPr="00C64ECB">
        <w:tab/>
        <w:t>Abbreviations</w:t>
      </w:r>
      <w:bookmarkEnd w:id="13"/>
    </w:p>
    <w:p w14:paraId="5F380234" w14:textId="77777777" w:rsidR="00E8629F" w:rsidRPr="00C64ECB" w:rsidRDefault="00E8629F" w:rsidP="00D3379C">
      <w:r w:rsidRPr="00C64ECB">
        <w:t>For the purposes of the present document, the abbreviations given in TR 21.905 [</w:t>
      </w:r>
      <w:r w:rsidR="00274E1A" w:rsidRPr="00C64ECB">
        <w:t>1</w:t>
      </w:r>
      <w:r w:rsidRPr="00C64ECB">
        <w:t xml:space="preserve">] and the following apply. </w:t>
      </w:r>
      <w:r w:rsidR="00274E1A" w:rsidRPr="00C64ECB">
        <w:br/>
      </w:r>
      <w:r w:rsidRPr="00C64ECB">
        <w:t>An abbreviation defined in the present document takes precedence over the definition of the same abbreviation, if any, in TR 21.905 [</w:t>
      </w:r>
      <w:r w:rsidR="00274E1A" w:rsidRPr="00C64ECB">
        <w:t>1</w:t>
      </w:r>
      <w:r w:rsidRPr="00C64ECB">
        <w:t>].</w:t>
      </w:r>
    </w:p>
    <w:p w14:paraId="48490BD4" w14:textId="70B76C09" w:rsidR="002F7689" w:rsidRPr="00C64ECB" w:rsidRDefault="002F7689" w:rsidP="002F7689">
      <w:pPr>
        <w:pStyle w:val="EW"/>
      </w:pPr>
      <w:r w:rsidRPr="00C64ECB">
        <w:t>1x RTT</w:t>
      </w:r>
      <w:r w:rsidR="005C4862">
        <w:tab/>
      </w:r>
      <w:r w:rsidRPr="00C64ECB">
        <w:t>CDMA2000 1x Radio Transmission Technology</w:t>
      </w:r>
    </w:p>
    <w:p w14:paraId="35579996" w14:textId="0BCA3D0F" w:rsidR="002F7689" w:rsidRPr="00C64ECB" w:rsidRDefault="002F7689" w:rsidP="002F7689">
      <w:pPr>
        <w:pStyle w:val="EW"/>
      </w:pPr>
      <w:r w:rsidRPr="00C64ECB">
        <w:t>ACK</w:t>
      </w:r>
      <w:r w:rsidR="005C4862">
        <w:tab/>
      </w:r>
      <w:r w:rsidRPr="00C64ECB">
        <w:t>Acknowledgement</w:t>
      </w:r>
    </w:p>
    <w:p w14:paraId="7CABD399" w14:textId="398E5997" w:rsidR="002F7689" w:rsidRPr="00C64ECB" w:rsidRDefault="002F7689" w:rsidP="002F7689">
      <w:pPr>
        <w:pStyle w:val="EW"/>
      </w:pPr>
      <w:r w:rsidRPr="00C64ECB">
        <w:t>ACLR</w:t>
      </w:r>
      <w:r w:rsidR="005C4862">
        <w:tab/>
      </w:r>
      <w:r w:rsidRPr="00C64ECB">
        <w:t>Adjacent Channel Leakage Ratio</w:t>
      </w:r>
    </w:p>
    <w:p w14:paraId="66E1990E" w14:textId="6C407E95" w:rsidR="002F7689" w:rsidRPr="00C64ECB" w:rsidRDefault="002F7689" w:rsidP="002F7689">
      <w:pPr>
        <w:pStyle w:val="EW"/>
      </w:pPr>
      <w:r w:rsidRPr="00C64ECB">
        <w:t>AP</w:t>
      </w:r>
      <w:r w:rsidR="005C4862">
        <w:tab/>
      </w:r>
      <w:r w:rsidRPr="00C64ECB">
        <w:t>Access Point</w:t>
      </w:r>
    </w:p>
    <w:p w14:paraId="77B98D51" w14:textId="4FAEC7A1" w:rsidR="002F7689" w:rsidRPr="00C64ECB" w:rsidRDefault="002F7689" w:rsidP="002F7689">
      <w:pPr>
        <w:pStyle w:val="EW"/>
      </w:pPr>
      <w:r w:rsidRPr="00C64ECB">
        <w:t>AUL-UCI</w:t>
      </w:r>
      <w:r w:rsidR="005C4862">
        <w:tab/>
      </w:r>
      <w:r w:rsidRPr="00C64ECB">
        <w:t>AUL uplink control information</w:t>
      </w:r>
    </w:p>
    <w:p w14:paraId="246F5776" w14:textId="04FAB97A" w:rsidR="002F7689" w:rsidRPr="00C64ECB" w:rsidRDefault="002F7689" w:rsidP="002F7689">
      <w:pPr>
        <w:pStyle w:val="EW"/>
      </w:pPr>
      <w:r w:rsidRPr="00C64ECB">
        <w:t>BCH</w:t>
      </w:r>
      <w:r w:rsidR="005C4862">
        <w:tab/>
      </w:r>
      <w:r w:rsidRPr="00C64ECB">
        <w:t>Broadcast Channel</w:t>
      </w:r>
    </w:p>
    <w:p w14:paraId="5E7B073B" w14:textId="1991CE9C" w:rsidR="002F7689" w:rsidRPr="00C64ECB" w:rsidRDefault="002F7689" w:rsidP="002F7689">
      <w:pPr>
        <w:pStyle w:val="EW"/>
      </w:pPr>
      <w:r w:rsidRPr="00C64ECB">
        <w:t>CA</w:t>
      </w:r>
      <w:r w:rsidR="005C4862">
        <w:tab/>
      </w:r>
      <w:r w:rsidRPr="00C64ECB">
        <w:t>Carrier Aggregation</w:t>
      </w:r>
    </w:p>
    <w:p w14:paraId="30D15992" w14:textId="40B017B2" w:rsidR="002F7689" w:rsidRPr="00C64ECB" w:rsidRDefault="002F7689" w:rsidP="002F7689">
      <w:pPr>
        <w:pStyle w:val="EW"/>
      </w:pPr>
      <w:r w:rsidRPr="00C64ECB">
        <w:t>CAT</w:t>
      </w:r>
      <w:r w:rsidR="005C4862">
        <w:tab/>
      </w:r>
      <w:r w:rsidRPr="00C64ECB">
        <w:t>Category</w:t>
      </w:r>
    </w:p>
    <w:p w14:paraId="6A660888" w14:textId="4A63661F" w:rsidR="002F7689" w:rsidRPr="00C64ECB" w:rsidRDefault="002F7689" w:rsidP="002F7689">
      <w:pPr>
        <w:pStyle w:val="EW"/>
      </w:pPr>
      <w:r w:rsidRPr="00C64ECB">
        <w:t>CBG</w:t>
      </w:r>
      <w:r w:rsidR="005C4862">
        <w:tab/>
      </w:r>
      <w:r w:rsidRPr="00C64ECB">
        <w:t>Code Block Group</w:t>
      </w:r>
    </w:p>
    <w:p w14:paraId="67624915" w14:textId="6E682710" w:rsidR="002F7689" w:rsidRPr="00C64ECB" w:rsidRDefault="002F7689" w:rsidP="002F7689">
      <w:pPr>
        <w:pStyle w:val="EW"/>
      </w:pPr>
      <w:r w:rsidRPr="00C64ECB">
        <w:t>CBGTI</w:t>
      </w:r>
      <w:r w:rsidR="005C4862">
        <w:tab/>
      </w:r>
      <w:r w:rsidRPr="00C64ECB">
        <w:t>Code block group transmission information</w:t>
      </w:r>
    </w:p>
    <w:p w14:paraId="409A9840" w14:textId="634D3B60" w:rsidR="002F7689" w:rsidRPr="00C64ECB" w:rsidRDefault="002F7689" w:rsidP="002F7689">
      <w:pPr>
        <w:pStyle w:val="EW"/>
      </w:pPr>
      <w:r w:rsidRPr="00C64ECB">
        <w:t>CCA</w:t>
      </w:r>
      <w:r w:rsidR="005C4862">
        <w:tab/>
      </w:r>
      <w:r w:rsidRPr="00C64ECB">
        <w:t>Clear Channel Assesment</w:t>
      </w:r>
    </w:p>
    <w:p w14:paraId="05CF9F21" w14:textId="0263636C" w:rsidR="002F7689" w:rsidRPr="00C64ECB" w:rsidRDefault="002F7689" w:rsidP="002F7689">
      <w:pPr>
        <w:pStyle w:val="EW"/>
      </w:pPr>
      <w:r w:rsidRPr="00C64ECB">
        <w:t>CFI</w:t>
      </w:r>
      <w:r w:rsidR="005C4862">
        <w:tab/>
      </w:r>
      <w:r w:rsidRPr="00C64ECB">
        <w:t>Control Format Indicator</w:t>
      </w:r>
    </w:p>
    <w:p w14:paraId="09185A3B" w14:textId="5915E687" w:rsidR="002F7689" w:rsidRPr="00C64ECB" w:rsidRDefault="002F7689" w:rsidP="002F7689">
      <w:pPr>
        <w:pStyle w:val="EW"/>
      </w:pPr>
      <w:r w:rsidRPr="00C64ECB">
        <w:t>CG</w:t>
      </w:r>
      <w:r w:rsidR="005C4862">
        <w:tab/>
      </w:r>
      <w:r w:rsidRPr="00C64ECB">
        <w:t>Cell Group</w:t>
      </w:r>
    </w:p>
    <w:p w14:paraId="064A477A" w14:textId="15F6CC1B" w:rsidR="002F7689" w:rsidRPr="00C64ECB" w:rsidRDefault="002F7689" w:rsidP="002F7689">
      <w:pPr>
        <w:pStyle w:val="EW"/>
      </w:pPr>
      <w:r w:rsidRPr="00C64ECB">
        <w:t>CIF</w:t>
      </w:r>
      <w:r w:rsidR="005C4862">
        <w:tab/>
      </w:r>
      <w:r w:rsidRPr="00C64ECB">
        <w:t>Carrier Indicator Field</w:t>
      </w:r>
    </w:p>
    <w:p w14:paraId="6AA4D614" w14:textId="1376565E" w:rsidR="002F7689" w:rsidRPr="00C64ECB" w:rsidRDefault="002F7689" w:rsidP="002F7689">
      <w:pPr>
        <w:pStyle w:val="EW"/>
      </w:pPr>
      <w:r w:rsidRPr="00C64ECB">
        <w:t>CP</w:t>
      </w:r>
      <w:r w:rsidR="005C4862">
        <w:tab/>
      </w:r>
      <w:r w:rsidRPr="00C64ECB">
        <w:t>Cyclic prefix</w:t>
      </w:r>
    </w:p>
    <w:p w14:paraId="50B5B766" w14:textId="3EC103EA" w:rsidR="002F7689" w:rsidRPr="00C64ECB" w:rsidRDefault="002F7689" w:rsidP="002F7689">
      <w:pPr>
        <w:pStyle w:val="EW"/>
      </w:pPr>
      <w:r w:rsidRPr="00C64ECB">
        <w:t>CPICH</w:t>
      </w:r>
      <w:r w:rsidR="005C4862">
        <w:tab/>
      </w:r>
      <w:r w:rsidRPr="00C64ECB">
        <w:t>Common Pilot Channel</w:t>
      </w:r>
    </w:p>
    <w:p w14:paraId="6649A0BD" w14:textId="1BD41F55" w:rsidR="002F7689" w:rsidRPr="00C64ECB" w:rsidRDefault="002F7689" w:rsidP="002F7689">
      <w:pPr>
        <w:pStyle w:val="EW"/>
      </w:pPr>
      <w:r w:rsidRPr="00C64ECB">
        <w:t>CQI</w:t>
      </w:r>
      <w:r w:rsidR="005C4862">
        <w:tab/>
      </w:r>
      <w:r w:rsidRPr="00C64ECB">
        <w:t>Channel Quality Indicator</w:t>
      </w:r>
    </w:p>
    <w:p w14:paraId="31A866F3" w14:textId="50BAAC78" w:rsidR="002F7689" w:rsidRPr="00C64ECB" w:rsidRDefault="002F7689" w:rsidP="002F7689">
      <w:pPr>
        <w:pStyle w:val="EW"/>
      </w:pPr>
      <w:r w:rsidRPr="00C64ECB">
        <w:t>CRB</w:t>
      </w:r>
      <w:r w:rsidR="005C4862">
        <w:tab/>
      </w:r>
      <w:r w:rsidRPr="00C64ECB">
        <w:t>Common resource block</w:t>
      </w:r>
    </w:p>
    <w:p w14:paraId="24824E86" w14:textId="1247CC4F" w:rsidR="002F7689" w:rsidRPr="00C64ECB" w:rsidRDefault="002F7689" w:rsidP="002F7689">
      <w:pPr>
        <w:pStyle w:val="EW"/>
      </w:pPr>
      <w:r w:rsidRPr="00C64ECB">
        <w:t>CRC</w:t>
      </w:r>
      <w:r w:rsidR="005C4862">
        <w:tab/>
      </w:r>
      <w:r w:rsidRPr="00C64ECB">
        <w:t>Cyclic Redundancy Check</w:t>
      </w:r>
    </w:p>
    <w:p w14:paraId="360B20C7" w14:textId="264FAB36" w:rsidR="002F7689" w:rsidRPr="00C64ECB" w:rsidRDefault="002F7689" w:rsidP="002F7689">
      <w:pPr>
        <w:pStyle w:val="EW"/>
      </w:pPr>
      <w:r w:rsidRPr="00C64ECB">
        <w:t>CRI</w:t>
      </w:r>
      <w:r w:rsidR="005C4862">
        <w:tab/>
      </w:r>
      <w:r w:rsidRPr="00C64ECB">
        <w:t>CSI-RS resource indicator</w:t>
      </w:r>
    </w:p>
    <w:p w14:paraId="63F551AD" w14:textId="07FBADCD" w:rsidR="002F7689" w:rsidRPr="00C64ECB" w:rsidRDefault="002F7689" w:rsidP="002F7689">
      <w:pPr>
        <w:pStyle w:val="EW"/>
      </w:pPr>
      <w:r w:rsidRPr="00C64ECB">
        <w:t>CRS</w:t>
      </w:r>
      <w:r w:rsidR="005C4862">
        <w:tab/>
      </w:r>
      <w:r w:rsidRPr="00C64ECB">
        <w:t>Cell-specific Reference Signal</w:t>
      </w:r>
    </w:p>
    <w:p w14:paraId="554B3C74" w14:textId="12273036" w:rsidR="002F7689" w:rsidRPr="00C64ECB" w:rsidRDefault="002F7689" w:rsidP="002F7689">
      <w:pPr>
        <w:pStyle w:val="EW"/>
      </w:pPr>
      <w:r w:rsidRPr="00C64ECB">
        <w:t>CSI</w:t>
      </w:r>
      <w:r w:rsidR="005C4862">
        <w:tab/>
      </w:r>
      <w:r w:rsidRPr="00C64ECB">
        <w:t>Channel-State Information</w:t>
      </w:r>
    </w:p>
    <w:p w14:paraId="425B097A" w14:textId="081FCBF2" w:rsidR="002F7689" w:rsidRPr="00C64ECB" w:rsidRDefault="002F7689" w:rsidP="002F7689">
      <w:pPr>
        <w:pStyle w:val="EW"/>
      </w:pPr>
      <w:r w:rsidRPr="00C64ECB">
        <w:t>CSI-IM</w:t>
      </w:r>
      <w:r w:rsidR="005C4862">
        <w:tab/>
      </w:r>
      <w:r w:rsidRPr="00C64ECB">
        <w:t>CSI-interference measurement</w:t>
      </w:r>
    </w:p>
    <w:p w14:paraId="39877745" w14:textId="0E56B829" w:rsidR="002F7689" w:rsidRPr="00C64ECB" w:rsidRDefault="002F7689" w:rsidP="002F7689">
      <w:pPr>
        <w:pStyle w:val="EW"/>
      </w:pPr>
      <w:r w:rsidRPr="00C64ECB">
        <w:t>CTS</w:t>
      </w:r>
      <w:r w:rsidR="005C4862">
        <w:tab/>
      </w:r>
      <w:r w:rsidRPr="00C64ECB">
        <w:t>Clear To Send</w:t>
      </w:r>
    </w:p>
    <w:p w14:paraId="1CF765C4" w14:textId="4D70787E" w:rsidR="002F7689" w:rsidRPr="00C64ECB" w:rsidRDefault="002F7689" w:rsidP="002F7689">
      <w:pPr>
        <w:pStyle w:val="EW"/>
      </w:pPr>
      <w:r w:rsidRPr="00C64ECB">
        <w:t>CWS</w:t>
      </w:r>
      <w:r w:rsidR="005C4862">
        <w:tab/>
      </w:r>
      <w:r w:rsidRPr="00C64ECB">
        <w:t>Contention Window Size</w:t>
      </w:r>
    </w:p>
    <w:p w14:paraId="5A07BF8E" w14:textId="0AD4AE62" w:rsidR="002F7689" w:rsidRPr="00C64ECB" w:rsidRDefault="002F7689" w:rsidP="002F7689">
      <w:pPr>
        <w:pStyle w:val="EW"/>
      </w:pPr>
      <w:r w:rsidRPr="00C64ECB">
        <w:t>DAI</w:t>
      </w:r>
      <w:r w:rsidR="005C4862">
        <w:tab/>
      </w:r>
      <w:r w:rsidRPr="00C64ECB">
        <w:t>Downlink Assignment Index</w:t>
      </w:r>
    </w:p>
    <w:p w14:paraId="764CA2FE" w14:textId="59D180D6" w:rsidR="002F7689" w:rsidRPr="00C64ECB" w:rsidRDefault="002F7689" w:rsidP="002F7689">
      <w:pPr>
        <w:pStyle w:val="EW"/>
      </w:pPr>
      <w:r w:rsidRPr="00C64ECB">
        <w:t>DC</w:t>
      </w:r>
      <w:r w:rsidR="005C4862">
        <w:tab/>
      </w:r>
      <w:r w:rsidRPr="00C64ECB">
        <w:t>Dual Connectivity</w:t>
      </w:r>
    </w:p>
    <w:p w14:paraId="7515E680" w14:textId="583CAED0" w:rsidR="002F7689" w:rsidRPr="00C64ECB" w:rsidRDefault="002F7689" w:rsidP="002F7689">
      <w:pPr>
        <w:pStyle w:val="EW"/>
      </w:pPr>
      <w:r w:rsidRPr="00C64ECB">
        <w:t>DFI</w:t>
      </w:r>
      <w:r w:rsidR="005C4862">
        <w:tab/>
      </w:r>
      <w:r w:rsidRPr="00C64ECB">
        <w:t>Downlink Feedback Information</w:t>
      </w:r>
    </w:p>
    <w:p w14:paraId="6438C2FF" w14:textId="6D1FFFFA" w:rsidR="002F7689" w:rsidRPr="00C64ECB" w:rsidRDefault="002F7689" w:rsidP="002F7689">
      <w:pPr>
        <w:pStyle w:val="EW"/>
      </w:pPr>
      <w:r w:rsidRPr="00C64ECB">
        <w:t>DFS</w:t>
      </w:r>
      <w:r w:rsidR="005C4862">
        <w:tab/>
      </w:r>
      <w:r w:rsidRPr="00C64ECB">
        <w:t>Dynamic Frequency Selection</w:t>
      </w:r>
    </w:p>
    <w:p w14:paraId="709D8C45" w14:textId="0897681F" w:rsidR="002F7689" w:rsidRPr="00C64ECB" w:rsidRDefault="002F7689" w:rsidP="002F7689">
      <w:pPr>
        <w:pStyle w:val="EW"/>
      </w:pPr>
      <w:r w:rsidRPr="00C64ECB">
        <w:t>DL-SCH</w:t>
      </w:r>
      <w:r w:rsidR="005C4862">
        <w:tab/>
      </w:r>
      <w:r w:rsidRPr="00C64ECB">
        <w:t>Downlink Shared Channel</w:t>
      </w:r>
    </w:p>
    <w:p w14:paraId="671B38E3" w14:textId="20461A52" w:rsidR="002F7689" w:rsidRPr="00C64ECB" w:rsidRDefault="002F7689" w:rsidP="002F7689">
      <w:pPr>
        <w:pStyle w:val="EW"/>
      </w:pPr>
      <w:r w:rsidRPr="00C64ECB">
        <w:t>DMRS</w:t>
      </w:r>
      <w:r w:rsidR="005C4862">
        <w:tab/>
      </w:r>
      <w:r w:rsidRPr="00C64ECB">
        <w:t>Dedicated demodulation reference signal</w:t>
      </w:r>
    </w:p>
    <w:p w14:paraId="1A624631" w14:textId="286544D3" w:rsidR="002F7689" w:rsidRPr="00C64ECB" w:rsidRDefault="002F7689" w:rsidP="002F7689">
      <w:pPr>
        <w:pStyle w:val="EW"/>
      </w:pPr>
      <w:r w:rsidRPr="00C64ECB">
        <w:t>DM-RS</w:t>
      </w:r>
      <w:r w:rsidR="005C4862">
        <w:tab/>
      </w:r>
      <w:r w:rsidRPr="00C64ECB">
        <w:t>Demodulation reference signal</w:t>
      </w:r>
    </w:p>
    <w:p w14:paraId="472B8497" w14:textId="466CA1E2" w:rsidR="002F7689" w:rsidRPr="00C64ECB" w:rsidRDefault="002F7689" w:rsidP="002F7689">
      <w:pPr>
        <w:pStyle w:val="EW"/>
      </w:pPr>
      <w:r w:rsidRPr="00C64ECB">
        <w:t>DMTC</w:t>
      </w:r>
      <w:r w:rsidR="005C4862">
        <w:tab/>
      </w:r>
      <w:r w:rsidRPr="00C64ECB">
        <w:t>DRS Measurement Timing Configuration</w:t>
      </w:r>
    </w:p>
    <w:p w14:paraId="6B8A76EF" w14:textId="06CE5AFC" w:rsidR="002F7689" w:rsidRPr="00C64ECB" w:rsidRDefault="002F7689" w:rsidP="002F7689">
      <w:pPr>
        <w:pStyle w:val="EW"/>
      </w:pPr>
      <w:r w:rsidRPr="00C64ECB">
        <w:t>DRS</w:t>
      </w:r>
      <w:r w:rsidR="005C4862">
        <w:tab/>
      </w:r>
      <w:r w:rsidRPr="00C64ECB">
        <w:t>Discovery Reference Signal</w:t>
      </w:r>
    </w:p>
    <w:p w14:paraId="3A01A61C" w14:textId="5301C024" w:rsidR="002F7689" w:rsidRPr="00C64ECB" w:rsidRDefault="002F7689" w:rsidP="002F7689">
      <w:pPr>
        <w:pStyle w:val="EW"/>
      </w:pPr>
      <w:r w:rsidRPr="00C64ECB">
        <w:t>DTX</w:t>
      </w:r>
      <w:r w:rsidR="005C4862">
        <w:tab/>
      </w:r>
      <w:r w:rsidRPr="00C64ECB">
        <w:t>Discontinuous Transmission</w:t>
      </w:r>
    </w:p>
    <w:p w14:paraId="6C4E609A" w14:textId="5DF345BB" w:rsidR="002F7689" w:rsidRPr="00C64ECB" w:rsidRDefault="002F7689" w:rsidP="002F7689">
      <w:pPr>
        <w:pStyle w:val="EW"/>
      </w:pPr>
      <w:r w:rsidRPr="00C64ECB">
        <w:t>ECCE</w:t>
      </w:r>
      <w:r w:rsidR="005C4862">
        <w:tab/>
      </w:r>
      <w:r w:rsidRPr="00C64ECB">
        <w:t>Enhanced Control Channel Element</w:t>
      </w:r>
    </w:p>
    <w:p w14:paraId="15DCEB62" w14:textId="64855CCA" w:rsidR="002F7689" w:rsidRPr="00C64ECB" w:rsidRDefault="002F7689" w:rsidP="002F7689">
      <w:pPr>
        <w:pStyle w:val="EW"/>
      </w:pPr>
      <w:r w:rsidRPr="00C64ECB">
        <w:t>ED</w:t>
      </w:r>
      <w:r w:rsidR="005C4862">
        <w:tab/>
      </w:r>
      <w:r w:rsidRPr="00C64ECB">
        <w:t>Energy Detection</w:t>
      </w:r>
    </w:p>
    <w:p w14:paraId="573ED6C2" w14:textId="661D59D3" w:rsidR="002F7689" w:rsidRPr="00C64ECB" w:rsidRDefault="002F7689" w:rsidP="002F7689">
      <w:pPr>
        <w:pStyle w:val="EW"/>
      </w:pPr>
      <w:r w:rsidRPr="00C64ECB">
        <w:t>EDT</w:t>
      </w:r>
      <w:r w:rsidR="005C4862">
        <w:tab/>
      </w:r>
      <w:r w:rsidRPr="00C64ECB">
        <w:t>Early Data Transmission</w:t>
      </w:r>
    </w:p>
    <w:p w14:paraId="20C1A73F" w14:textId="56E1FDE3" w:rsidR="002F7689" w:rsidRPr="00C64ECB" w:rsidRDefault="002F7689" w:rsidP="002F7689">
      <w:pPr>
        <w:pStyle w:val="EW"/>
      </w:pPr>
      <w:r w:rsidRPr="00C64ECB">
        <w:t>EN-DC</w:t>
      </w:r>
      <w:r w:rsidR="005C4862">
        <w:tab/>
      </w:r>
      <w:r w:rsidRPr="00C64ECB">
        <w:t>E-UTRA NR dual connectivity with MCG using E-UTRA and SCG using NR</w:t>
      </w:r>
    </w:p>
    <w:p w14:paraId="4039DC66" w14:textId="441D780F" w:rsidR="002F7689" w:rsidRPr="00C64ECB" w:rsidRDefault="002F7689" w:rsidP="002F7689">
      <w:pPr>
        <w:pStyle w:val="EW"/>
      </w:pPr>
      <w:r w:rsidRPr="00C64ECB">
        <w:t>EPDCCH</w:t>
      </w:r>
      <w:r w:rsidR="005C4862">
        <w:tab/>
      </w:r>
      <w:r w:rsidRPr="00C64ECB">
        <w:t>Enhanced Physical Downlink Control CHannel</w:t>
      </w:r>
    </w:p>
    <w:p w14:paraId="06C91DF5" w14:textId="6FA3D0F8" w:rsidR="002F7689" w:rsidRPr="00C64ECB" w:rsidRDefault="002F7689" w:rsidP="002F7689">
      <w:pPr>
        <w:pStyle w:val="EW"/>
      </w:pPr>
      <w:r w:rsidRPr="00C64ECB">
        <w:t>EPRE</w:t>
      </w:r>
      <w:r w:rsidR="005C4862">
        <w:tab/>
      </w:r>
      <w:r w:rsidRPr="00C64ECB">
        <w:t>Energy Per Resource Element</w:t>
      </w:r>
    </w:p>
    <w:p w14:paraId="6C8EFEDE" w14:textId="355D1723" w:rsidR="002F7689" w:rsidRPr="00C64ECB" w:rsidRDefault="002F7689" w:rsidP="002F7689">
      <w:pPr>
        <w:pStyle w:val="EW"/>
      </w:pPr>
      <w:r w:rsidRPr="00C64ECB">
        <w:t>EREG</w:t>
      </w:r>
      <w:r w:rsidR="005C4862">
        <w:tab/>
      </w:r>
      <w:r w:rsidRPr="00C64ECB">
        <w:t>Enhanced Resource-Element Group</w:t>
      </w:r>
    </w:p>
    <w:p w14:paraId="44D473B3" w14:textId="652F501B" w:rsidR="002F7689" w:rsidRPr="00C64ECB" w:rsidRDefault="002F7689" w:rsidP="002F7689">
      <w:pPr>
        <w:pStyle w:val="EW"/>
      </w:pPr>
      <w:r w:rsidRPr="00C64ECB">
        <w:t>E-SMLC</w:t>
      </w:r>
      <w:r w:rsidR="005C4862">
        <w:tab/>
      </w:r>
      <w:r w:rsidRPr="00C64ECB">
        <w:t>Enhanced Serving Mobile Location Centre</w:t>
      </w:r>
    </w:p>
    <w:p w14:paraId="256766FB" w14:textId="06B5825B" w:rsidR="002F7689" w:rsidRPr="00C64ECB" w:rsidRDefault="002F7689" w:rsidP="002F7689">
      <w:pPr>
        <w:pStyle w:val="EW"/>
      </w:pPr>
      <w:r w:rsidRPr="00C64ECB">
        <w:lastRenderedPageBreak/>
        <w:t>E-UTRA</w:t>
      </w:r>
      <w:r w:rsidR="005C4862">
        <w:tab/>
      </w:r>
      <w:r w:rsidRPr="00C64ECB">
        <w:t>Evolved UTRA</w:t>
      </w:r>
    </w:p>
    <w:p w14:paraId="0AE67391" w14:textId="1DA38416" w:rsidR="002F7689" w:rsidRPr="00C64ECB" w:rsidRDefault="002F7689" w:rsidP="002F7689">
      <w:pPr>
        <w:pStyle w:val="EW"/>
      </w:pPr>
      <w:r w:rsidRPr="00C64ECB">
        <w:t>E-UTRAN</w:t>
      </w:r>
      <w:r w:rsidR="005C4862">
        <w:tab/>
      </w:r>
      <w:r w:rsidRPr="00C64ECB">
        <w:t>Evolved UTRAN</w:t>
      </w:r>
    </w:p>
    <w:p w14:paraId="45EC46FC" w14:textId="4A4B8C81" w:rsidR="002F7689" w:rsidRPr="00C64ECB" w:rsidRDefault="002F7689" w:rsidP="002F7689">
      <w:pPr>
        <w:pStyle w:val="EW"/>
      </w:pPr>
      <w:r w:rsidRPr="00C64ECB">
        <w:t>FBE</w:t>
      </w:r>
      <w:r w:rsidR="005C4862">
        <w:tab/>
      </w:r>
      <w:r w:rsidRPr="00C64ECB">
        <w:t>Frame Based Equipment</w:t>
      </w:r>
    </w:p>
    <w:p w14:paraId="146C0C10" w14:textId="4F78891C" w:rsidR="002F7689" w:rsidRPr="00C64ECB" w:rsidRDefault="002F7689" w:rsidP="002F7689">
      <w:pPr>
        <w:pStyle w:val="EW"/>
      </w:pPr>
      <w:r w:rsidRPr="00C64ECB">
        <w:t>FDD</w:t>
      </w:r>
      <w:r w:rsidR="005C4862">
        <w:tab/>
      </w:r>
      <w:r w:rsidRPr="00C64ECB">
        <w:t>Frequency Division Duplex</w:t>
      </w:r>
    </w:p>
    <w:p w14:paraId="1017857A" w14:textId="1287297D" w:rsidR="002F7689" w:rsidRPr="00C64ECB" w:rsidRDefault="002F7689" w:rsidP="002F7689">
      <w:pPr>
        <w:pStyle w:val="EW"/>
      </w:pPr>
      <w:r w:rsidRPr="00C64ECB">
        <w:t>FR1</w:t>
      </w:r>
      <w:r w:rsidR="005C4862">
        <w:tab/>
      </w:r>
      <w:r w:rsidRPr="00C64ECB">
        <w:t>Frequency range 1 as defined in [8, TS 38.104]</w:t>
      </w:r>
    </w:p>
    <w:p w14:paraId="71684D9E" w14:textId="0CF8B5A4" w:rsidR="002F7689" w:rsidRPr="00C64ECB" w:rsidRDefault="002F7689" w:rsidP="002F7689">
      <w:pPr>
        <w:pStyle w:val="EW"/>
      </w:pPr>
      <w:r w:rsidRPr="00C64ECB">
        <w:t>FR2</w:t>
      </w:r>
      <w:r w:rsidR="005C4862">
        <w:tab/>
      </w:r>
      <w:r w:rsidRPr="00C64ECB">
        <w:t>Frequency range 2 as defined in [8, TS 38.104]</w:t>
      </w:r>
    </w:p>
    <w:p w14:paraId="49769E5C" w14:textId="56A662CB" w:rsidR="002F7689" w:rsidRPr="00C64ECB" w:rsidRDefault="002F7689" w:rsidP="002F7689">
      <w:pPr>
        <w:pStyle w:val="EW"/>
      </w:pPr>
      <w:r w:rsidRPr="00C64ECB">
        <w:t>FR</w:t>
      </w:r>
      <w:r w:rsidR="005C4862">
        <w:tab/>
      </w:r>
      <w:r w:rsidRPr="00C64ECB">
        <w:t>Frequency range</w:t>
      </w:r>
    </w:p>
    <w:p w14:paraId="66A601EA" w14:textId="64DC7ABB" w:rsidR="002F7689" w:rsidRPr="00C64ECB" w:rsidRDefault="002F7689" w:rsidP="002F7689">
      <w:pPr>
        <w:pStyle w:val="EW"/>
      </w:pPr>
      <w:r w:rsidRPr="00C64ECB">
        <w:t>FWA</w:t>
      </w:r>
      <w:r w:rsidR="005C4862">
        <w:tab/>
      </w:r>
      <w:r w:rsidRPr="00C64ECB">
        <w:t>Fixed Wireless Access</w:t>
      </w:r>
    </w:p>
    <w:p w14:paraId="09A46DB0" w14:textId="07624992" w:rsidR="002F7689" w:rsidRPr="00C64ECB" w:rsidRDefault="002F7689" w:rsidP="002F7689">
      <w:pPr>
        <w:pStyle w:val="EW"/>
      </w:pPr>
      <w:r w:rsidRPr="00C64ECB">
        <w:t>GNSS</w:t>
      </w:r>
      <w:r w:rsidR="005C4862">
        <w:tab/>
      </w:r>
      <w:r w:rsidRPr="00C64ECB">
        <w:t>Global Navigation Satellite System</w:t>
      </w:r>
    </w:p>
    <w:p w14:paraId="0410C033" w14:textId="6C7C25D4" w:rsidR="002F7689" w:rsidRPr="00C64ECB" w:rsidRDefault="002F7689" w:rsidP="002F7689">
      <w:pPr>
        <w:pStyle w:val="EW"/>
      </w:pPr>
      <w:r w:rsidRPr="00C64ECB">
        <w:t>GSCN</w:t>
      </w:r>
      <w:r w:rsidR="005C4862">
        <w:tab/>
      </w:r>
      <w:r w:rsidRPr="00C64ECB">
        <w:t>Global synchronization channel number</w:t>
      </w:r>
    </w:p>
    <w:p w14:paraId="11AA0E0A" w14:textId="0D8F290B" w:rsidR="002F7689" w:rsidRPr="00C64ECB" w:rsidRDefault="002F7689" w:rsidP="002F7689">
      <w:pPr>
        <w:pStyle w:val="EW"/>
      </w:pPr>
      <w:r w:rsidRPr="00C64ECB">
        <w:t>GSM</w:t>
      </w:r>
      <w:r w:rsidR="005C4862">
        <w:tab/>
      </w:r>
      <w:r w:rsidRPr="00C64ECB">
        <w:t>Global System for Mobile communication</w:t>
      </w:r>
    </w:p>
    <w:p w14:paraId="43E9613C" w14:textId="0184939C" w:rsidR="002F7689" w:rsidRPr="00C64ECB" w:rsidRDefault="002F7689" w:rsidP="002F7689">
      <w:pPr>
        <w:pStyle w:val="EW"/>
      </w:pPr>
      <w:r w:rsidRPr="00C64ECB">
        <w:t>HARQ</w:t>
      </w:r>
      <w:r w:rsidR="005C4862">
        <w:tab/>
      </w:r>
      <w:r w:rsidRPr="00C64ECB">
        <w:t>Hybrid automatic repeat request</w:t>
      </w:r>
    </w:p>
    <w:p w14:paraId="6B441F33" w14:textId="131A1795" w:rsidR="002F7689" w:rsidRPr="00C64ECB" w:rsidRDefault="002F7689" w:rsidP="002F7689">
      <w:pPr>
        <w:pStyle w:val="EW"/>
      </w:pPr>
      <w:r w:rsidRPr="00C64ECB">
        <w:t>HI</w:t>
      </w:r>
      <w:r w:rsidR="005C4862">
        <w:tab/>
      </w:r>
      <w:r w:rsidRPr="00C64ECB">
        <w:t>HARQ indicator</w:t>
      </w:r>
    </w:p>
    <w:p w14:paraId="2F6DD0A7" w14:textId="150B49BC" w:rsidR="002F7689" w:rsidRPr="00C64ECB" w:rsidRDefault="002F7689" w:rsidP="002F7689">
      <w:pPr>
        <w:pStyle w:val="EW"/>
      </w:pPr>
      <w:r w:rsidRPr="00C64ECB">
        <w:t>HRPD</w:t>
      </w:r>
      <w:r w:rsidR="005C4862">
        <w:tab/>
      </w:r>
      <w:r w:rsidRPr="00C64ECB">
        <w:t>CDMA2000 High Rate Packet Data</w:t>
      </w:r>
    </w:p>
    <w:p w14:paraId="22EA6A84" w14:textId="5C7A0A9E" w:rsidR="002F7689" w:rsidRPr="00C64ECB" w:rsidRDefault="002F7689" w:rsidP="002F7689">
      <w:pPr>
        <w:pStyle w:val="EW"/>
      </w:pPr>
      <w:r w:rsidRPr="00C64ECB">
        <w:t>IE</w:t>
      </w:r>
      <w:r w:rsidR="005C4862">
        <w:tab/>
      </w:r>
      <w:r w:rsidRPr="00C64ECB">
        <w:t>Information element</w:t>
      </w:r>
    </w:p>
    <w:p w14:paraId="1605073F" w14:textId="0FACCE6C" w:rsidR="002F7689" w:rsidRPr="00C64ECB" w:rsidRDefault="002F7689" w:rsidP="002F7689">
      <w:pPr>
        <w:pStyle w:val="EW"/>
      </w:pPr>
      <w:r w:rsidRPr="00C64ECB">
        <w:t>ISD</w:t>
      </w:r>
      <w:r w:rsidR="005C4862">
        <w:tab/>
      </w:r>
      <w:r w:rsidRPr="00C64ECB">
        <w:t>Inter Site Distance</w:t>
      </w:r>
    </w:p>
    <w:p w14:paraId="59F3C5B1" w14:textId="5118C542" w:rsidR="002F7689" w:rsidRPr="00C64ECB" w:rsidRDefault="002F7689" w:rsidP="002F7689">
      <w:pPr>
        <w:pStyle w:val="EW"/>
      </w:pPr>
      <w:r w:rsidRPr="00C64ECB">
        <w:t>LAA</w:t>
      </w:r>
      <w:r w:rsidR="005C4862">
        <w:tab/>
      </w:r>
      <w:r w:rsidRPr="00C64ECB">
        <w:t>Licensed-Assisted Access</w:t>
      </w:r>
    </w:p>
    <w:p w14:paraId="77F3EDEA" w14:textId="7E14E293" w:rsidR="002F7689" w:rsidRPr="00C64ECB" w:rsidRDefault="005C4862" w:rsidP="002F7689">
      <w:pPr>
        <w:pStyle w:val="EW"/>
      </w:pPr>
      <w:r>
        <w:t>LBE</w:t>
      </w:r>
      <w:r>
        <w:tab/>
      </w:r>
      <w:r w:rsidR="002F7689" w:rsidRPr="00C64ECB">
        <w:t>Load Based Equipment</w:t>
      </w:r>
    </w:p>
    <w:p w14:paraId="63FB294F" w14:textId="4258057F" w:rsidR="002F7689" w:rsidRPr="00C64ECB" w:rsidRDefault="002F7689" w:rsidP="002F7689">
      <w:pPr>
        <w:pStyle w:val="EW"/>
      </w:pPr>
      <w:r w:rsidRPr="00C64ECB">
        <w:t>LBT</w:t>
      </w:r>
      <w:r w:rsidR="005C4862">
        <w:tab/>
      </w:r>
      <w:r w:rsidRPr="00C64ECB">
        <w:t>Listen Before Talk</w:t>
      </w:r>
    </w:p>
    <w:p w14:paraId="356CACEB" w14:textId="7E3C3B06" w:rsidR="002F7689" w:rsidRPr="00C64ECB" w:rsidRDefault="002F7689" w:rsidP="002F7689">
      <w:pPr>
        <w:pStyle w:val="EW"/>
      </w:pPr>
      <w:r w:rsidRPr="00C64ECB">
        <w:t>LDPC</w:t>
      </w:r>
      <w:r w:rsidR="005C4862">
        <w:tab/>
      </w:r>
      <w:r w:rsidRPr="00C64ECB">
        <w:t>Low density parity check</w:t>
      </w:r>
    </w:p>
    <w:p w14:paraId="25327875" w14:textId="19985D2E" w:rsidR="002F7689" w:rsidRPr="00C64ECB" w:rsidRDefault="002F7689" w:rsidP="002F7689">
      <w:pPr>
        <w:pStyle w:val="EW"/>
      </w:pPr>
      <w:r w:rsidRPr="00C64ECB">
        <w:t>LI</w:t>
      </w:r>
      <w:r w:rsidR="005C4862">
        <w:tab/>
      </w:r>
      <w:r w:rsidRPr="00C64ECB">
        <w:t>Layer indicator</w:t>
      </w:r>
    </w:p>
    <w:p w14:paraId="1C43E61D" w14:textId="51516884" w:rsidR="002F7689" w:rsidRPr="00C64ECB" w:rsidRDefault="002F7689" w:rsidP="002F7689">
      <w:pPr>
        <w:pStyle w:val="EW"/>
      </w:pPr>
      <w:r w:rsidRPr="00C64ECB">
        <w:t>LMU</w:t>
      </w:r>
      <w:r w:rsidR="005C4862">
        <w:tab/>
      </w:r>
      <w:r w:rsidRPr="00C64ECB">
        <w:t>Location Measurement Unit</w:t>
      </w:r>
    </w:p>
    <w:p w14:paraId="73DFB68E" w14:textId="5873445B" w:rsidR="002F7689" w:rsidRPr="00C64ECB" w:rsidRDefault="002F7689" w:rsidP="002F7689">
      <w:pPr>
        <w:pStyle w:val="EW"/>
      </w:pPr>
      <w:r w:rsidRPr="00C64ECB">
        <w:t>MCG</w:t>
      </w:r>
      <w:r w:rsidR="005C4862">
        <w:tab/>
      </w:r>
      <w:r w:rsidRPr="00C64ECB">
        <w:t>Master Cell Group</w:t>
      </w:r>
    </w:p>
    <w:p w14:paraId="686B657D" w14:textId="2D5D3186" w:rsidR="002F7689" w:rsidRPr="00C64ECB" w:rsidRDefault="002F7689" w:rsidP="002F7689">
      <w:pPr>
        <w:pStyle w:val="EW"/>
      </w:pPr>
      <w:r w:rsidRPr="00C64ECB">
        <w:t>MCH</w:t>
      </w:r>
      <w:r w:rsidR="005C4862">
        <w:tab/>
      </w:r>
      <w:r w:rsidRPr="00C64ECB">
        <w:t>Multicast channel</w:t>
      </w:r>
    </w:p>
    <w:p w14:paraId="7B2148A5" w14:textId="53D20E57" w:rsidR="002F7689" w:rsidRPr="00C64ECB" w:rsidRDefault="002F7689" w:rsidP="002F7689">
      <w:pPr>
        <w:pStyle w:val="EW"/>
      </w:pPr>
      <w:r w:rsidRPr="00C64ECB">
        <w:t>MCS</w:t>
      </w:r>
      <w:r w:rsidR="005C4862">
        <w:tab/>
      </w:r>
      <w:r w:rsidRPr="00C64ECB">
        <w:t>Modulation and Coding Scheme</w:t>
      </w:r>
    </w:p>
    <w:p w14:paraId="46ECD2C9" w14:textId="24153E16" w:rsidR="002F7689" w:rsidRPr="00C64ECB" w:rsidRDefault="002F7689" w:rsidP="002F7689">
      <w:pPr>
        <w:pStyle w:val="EW"/>
      </w:pPr>
      <w:r w:rsidRPr="00C64ECB">
        <w:t>MMSE</w:t>
      </w:r>
      <w:r w:rsidR="005C4862">
        <w:tab/>
      </w:r>
      <w:r w:rsidRPr="00C64ECB">
        <w:t>Minimum Mean Squared Error</w:t>
      </w:r>
    </w:p>
    <w:p w14:paraId="065F31C7" w14:textId="159DD9DF" w:rsidR="002F7689" w:rsidRPr="00C64ECB" w:rsidRDefault="002F7689" w:rsidP="002F7689">
      <w:pPr>
        <w:pStyle w:val="EW"/>
      </w:pPr>
      <w:r w:rsidRPr="00C64ECB">
        <w:t>MUST</w:t>
      </w:r>
      <w:r w:rsidR="005C4862">
        <w:tab/>
      </w:r>
      <w:r w:rsidRPr="00C64ECB">
        <w:t>Multiuser Superposition Transmission</w:t>
      </w:r>
    </w:p>
    <w:p w14:paraId="0D056115" w14:textId="3E673DD7" w:rsidR="002F7689" w:rsidRPr="00C64ECB" w:rsidRDefault="002F7689" w:rsidP="002F7689">
      <w:pPr>
        <w:pStyle w:val="EW"/>
      </w:pPr>
      <w:r w:rsidRPr="00C64ECB">
        <w:t>MWUS</w:t>
      </w:r>
      <w:r w:rsidR="005C4862">
        <w:tab/>
      </w:r>
      <w:r w:rsidRPr="00C64ECB">
        <w:t>MTC Wake-Up Signal</w:t>
      </w:r>
    </w:p>
    <w:p w14:paraId="226A288A" w14:textId="625F87EA" w:rsidR="002F7689" w:rsidRPr="00C64ECB" w:rsidRDefault="002F7689" w:rsidP="002F7689">
      <w:pPr>
        <w:pStyle w:val="EW"/>
      </w:pPr>
      <w:r w:rsidRPr="00C64ECB">
        <w:t>NACK</w:t>
      </w:r>
      <w:r w:rsidR="005C4862">
        <w:tab/>
      </w:r>
      <w:r w:rsidRPr="00C64ECB">
        <w:t>Negative Acknowledgement</w:t>
      </w:r>
    </w:p>
    <w:p w14:paraId="5DA1FBAA" w14:textId="19D71FA3" w:rsidR="002F7689" w:rsidRPr="00C64ECB" w:rsidRDefault="002F7689" w:rsidP="002F7689">
      <w:pPr>
        <w:pStyle w:val="EW"/>
      </w:pPr>
      <w:r w:rsidRPr="00C64ECB">
        <w:t>NCCE</w:t>
      </w:r>
      <w:r w:rsidR="005C4862">
        <w:tab/>
      </w:r>
      <w:r w:rsidRPr="00C64ECB">
        <w:t>Narrowband Control Channel Element</w:t>
      </w:r>
    </w:p>
    <w:p w14:paraId="2A40982E" w14:textId="3A86E86F" w:rsidR="002F7689" w:rsidRPr="00C64ECB" w:rsidRDefault="002F7689" w:rsidP="002F7689">
      <w:pPr>
        <w:pStyle w:val="EW"/>
      </w:pPr>
      <w:r w:rsidRPr="00C64ECB">
        <w:t>NDI</w:t>
      </w:r>
      <w:r w:rsidR="005C4862">
        <w:tab/>
      </w:r>
      <w:r w:rsidRPr="00C64ECB">
        <w:t>New Data Indication</w:t>
      </w:r>
    </w:p>
    <w:p w14:paraId="0B1AD403" w14:textId="7A42D27A" w:rsidR="002F7689" w:rsidRPr="00C64ECB" w:rsidRDefault="002F7689" w:rsidP="002F7689">
      <w:pPr>
        <w:pStyle w:val="EW"/>
      </w:pPr>
      <w:r w:rsidRPr="00C64ECB">
        <w:t>NN-DC</w:t>
      </w:r>
      <w:r w:rsidR="005C4862">
        <w:tab/>
      </w:r>
      <w:r w:rsidRPr="00C64ECB">
        <w:t>NR NR dual connectivity</w:t>
      </w:r>
    </w:p>
    <w:p w14:paraId="1F442C84" w14:textId="1D471E11" w:rsidR="002F7689" w:rsidRPr="00C64ECB" w:rsidRDefault="002F7689" w:rsidP="002F7689">
      <w:pPr>
        <w:pStyle w:val="EW"/>
      </w:pPr>
      <w:r w:rsidRPr="00C64ECB">
        <w:t>NPBCH</w:t>
      </w:r>
      <w:r w:rsidR="005C4862">
        <w:tab/>
      </w:r>
      <w:r w:rsidRPr="00C64ECB">
        <w:t>Narrowband Physical Broadcast channel</w:t>
      </w:r>
    </w:p>
    <w:p w14:paraId="156C8AFD" w14:textId="128D8EC6" w:rsidR="002F7689" w:rsidRPr="00C64ECB" w:rsidRDefault="002F7689" w:rsidP="002F7689">
      <w:pPr>
        <w:pStyle w:val="EW"/>
      </w:pPr>
      <w:r w:rsidRPr="00C64ECB">
        <w:t>NPDCCH</w:t>
      </w:r>
      <w:r w:rsidR="005C4862">
        <w:tab/>
      </w:r>
      <w:r w:rsidRPr="00C64ECB">
        <w:t>Narrowband Physical Downlink Control channel</w:t>
      </w:r>
    </w:p>
    <w:p w14:paraId="001CC6E2" w14:textId="4B754758" w:rsidR="002F7689" w:rsidRPr="00C64ECB" w:rsidRDefault="002F7689" w:rsidP="002F7689">
      <w:pPr>
        <w:pStyle w:val="EW"/>
      </w:pPr>
      <w:r w:rsidRPr="00C64ECB">
        <w:t>NPDSCH</w:t>
      </w:r>
      <w:r w:rsidR="005C4862">
        <w:tab/>
      </w:r>
      <w:r w:rsidRPr="00C64ECB">
        <w:t>Narrowband Physical Downlink Shared channel</w:t>
      </w:r>
    </w:p>
    <w:p w14:paraId="6B067DB4" w14:textId="21457A8B" w:rsidR="002F7689" w:rsidRPr="00C64ECB" w:rsidRDefault="002F7689" w:rsidP="002F7689">
      <w:pPr>
        <w:pStyle w:val="EW"/>
      </w:pPr>
      <w:r w:rsidRPr="00C64ECB">
        <w:t>NPRACH</w:t>
      </w:r>
      <w:r w:rsidR="005C4862">
        <w:tab/>
      </w:r>
      <w:r w:rsidRPr="00C64ECB">
        <w:t>Narrowband Physical Random Access channel</w:t>
      </w:r>
    </w:p>
    <w:p w14:paraId="731145AB" w14:textId="61CC6E55" w:rsidR="002F7689" w:rsidRPr="00C64ECB" w:rsidRDefault="002F7689" w:rsidP="002F7689">
      <w:pPr>
        <w:pStyle w:val="EW"/>
      </w:pPr>
      <w:r w:rsidRPr="00C64ECB">
        <w:t>NPRS</w:t>
      </w:r>
      <w:r w:rsidR="005C4862">
        <w:tab/>
      </w:r>
      <w:r w:rsidRPr="00C64ECB">
        <w:t>Narrowband Positioning Reference Signal</w:t>
      </w:r>
    </w:p>
    <w:p w14:paraId="78AAB345" w14:textId="0C5E5EB8" w:rsidR="002F7689" w:rsidRPr="00C64ECB" w:rsidRDefault="002F7689" w:rsidP="002F7689">
      <w:pPr>
        <w:pStyle w:val="EW"/>
      </w:pPr>
      <w:r w:rsidRPr="00C64ECB">
        <w:t>NPUSCH</w:t>
      </w:r>
      <w:r w:rsidR="005C4862">
        <w:tab/>
      </w:r>
      <w:r w:rsidRPr="00C64ECB">
        <w:t>Narrowband Physical Uplink Shared channel</w:t>
      </w:r>
    </w:p>
    <w:p w14:paraId="47AC4B89" w14:textId="77AA8B4D" w:rsidR="002F7689" w:rsidRPr="00C64ECB" w:rsidRDefault="002F7689" w:rsidP="002F7689">
      <w:pPr>
        <w:pStyle w:val="EW"/>
      </w:pPr>
      <w:r w:rsidRPr="00C64ECB">
        <w:t>NRS</w:t>
      </w:r>
      <w:r w:rsidR="005C4862">
        <w:tab/>
      </w:r>
      <w:r w:rsidRPr="00C64ECB">
        <w:t>Narrowband Reference Signal</w:t>
      </w:r>
    </w:p>
    <w:p w14:paraId="37DAAF25" w14:textId="295EDC57" w:rsidR="002F7689" w:rsidRPr="00C64ECB" w:rsidRDefault="002F7689" w:rsidP="002F7689">
      <w:pPr>
        <w:pStyle w:val="EW"/>
      </w:pPr>
      <w:r w:rsidRPr="00C64ECB">
        <w:t>NR-U</w:t>
      </w:r>
      <w:r w:rsidR="005C4862">
        <w:tab/>
      </w:r>
      <w:r w:rsidRPr="00C64ECB">
        <w:t>New Radio Unlicensed</w:t>
      </w:r>
    </w:p>
    <w:p w14:paraId="5B7DF941" w14:textId="6E6F7003" w:rsidR="002F7689" w:rsidRPr="00C64ECB" w:rsidRDefault="002F7689" w:rsidP="002F7689">
      <w:pPr>
        <w:pStyle w:val="EW"/>
      </w:pPr>
      <w:r w:rsidRPr="00C64ECB">
        <w:t>NSSS</w:t>
      </w:r>
      <w:r w:rsidR="005C4862">
        <w:tab/>
      </w:r>
      <w:r w:rsidRPr="00C64ECB">
        <w:t>Narrowband Secondary Synchronization Signal</w:t>
      </w:r>
    </w:p>
    <w:p w14:paraId="0AD01227" w14:textId="77FCB445" w:rsidR="002F7689" w:rsidRPr="00C64ECB" w:rsidRDefault="002F7689" w:rsidP="002F7689">
      <w:pPr>
        <w:pStyle w:val="EW"/>
      </w:pPr>
      <w:r w:rsidRPr="00C64ECB">
        <w:t>OCB</w:t>
      </w:r>
      <w:r w:rsidR="005C4862">
        <w:tab/>
      </w:r>
      <w:r w:rsidRPr="00C64ECB">
        <w:t>Occupied Channel Bandwidth</w:t>
      </w:r>
    </w:p>
    <w:p w14:paraId="6B5505FB" w14:textId="7B47BDB4" w:rsidR="002F7689" w:rsidRPr="00C64ECB" w:rsidRDefault="002F7689" w:rsidP="002F7689">
      <w:pPr>
        <w:pStyle w:val="EW"/>
      </w:pPr>
      <w:r w:rsidRPr="00C64ECB">
        <w:t>OFDM</w:t>
      </w:r>
      <w:r w:rsidR="005C4862">
        <w:tab/>
      </w:r>
      <w:r w:rsidRPr="00C64ECB">
        <w:t>Orthogonal frequency division multiplex</w:t>
      </w:r>
    </w:p>
    <w:p w14:paraId="37D367A5" w14:textId="2D8C86C2" w:rsidR="002F7689" w:rsidRPr="00C64ECB" w:rsidRDefault="002F7689" w:rsidP="002F7689">
      <w:pPr>
        <w:pStyle w:val="EW"/>
      </w:pPr>
      <w:r w:rsidRPr="00C64ECB">
        <w:t>PBCH</w:t>
      </w:r>
      <w:r w:rsidR="005C4862">
        <w:tab/>
      </w:r>
      <w:r w:rsidRPr="00C64ECB">
        <w:t>Physical Broadcast Channel</w:t>
      </w:r>
    </w:p>
    <w:p w14:paraId="443BE95A" w14:textId="29B6BF9D" w:rsidR="002F7689" w:rsidRPr="00C64ECB" w:rsidRDefault="002F7689" w:rsidP="002F7689">
      <w:pPr>
        <w:pStyle w:val="EW"/>
      </w:pPr>
      <w:r w:rsidRPr="00C64ECB">
        <w:t>P-CCPCH</w:t>
      </w:r>
      <w:r w:rsidR="005C4862">
        <w:tab/>
      </w:r>
      <w:r w:rsidRPr="00C64ECB">
        <w:t>Primary Common Control Physical Channel</w:t>
      </w:r>
    </w:p>
    <w:p w14:paraId="4973F551" w14:textId="09BFB594" w:rsidR="002F7689" w:rsidRPr="00C64ECB" w:rsidRDefault="002F7689" w:rsidP="002F7689">
      <w:pPr>
        <w:pStyle w:val="EW"/>
      </w:pPr>
      <w:r w:rsidRPr="00C64ECB">
        <w:t>PCell</w:t>
      </w:r>
      <w:r w:rsidR="005C4862">
        <w:tab/>
      </w:r>
      <w:r w:rsidRPr="00C64ECB">
        <w:t>Primary cell</w:t>
      </w:r>
    </w:p>
    <w:p w14:paraId="0096F32E" w14:textId="623F144F" w:rsidR="002F7689" w:rsidRPr="00C64ECB" w:rsidRDefault="002F7689" w:rsidP="002F7689">
      <w:pPr>
        <w:pStyle w:val="EW"/>
      </w:pPr>
      <w:r w:rsidRPr="00C64ECB">
        <w:t>PCFICH</w:t>
      </w:r>
      <w:r w:rsidR="005C4862">
        <w:tab/>
      </w:r>
      <w:r w:rsidRPr="00C64ECB">
        <w:t>Physical Control Format Indicator CHannel</w:t>
      </w:r>
    </w:p>
    <w:p w14:paraId="39FBDB84" w14:textId="435DEBF0" w:rsidR="002F7689" w:rsidRPr="00C64ECB" w:rsidRDefault="002F7689" w:rsidP="002F7689">
      <w:pPr>
        <w:pStyle w:val="EW"/>
      </w:pPr>
      <w:r w:rsidRPr="00C64ECB">
        <w:t>PDCCH</w:t>
      </w:r>
      <w:r w:rsidR="005C4862">
        <w:tab/>
      </w:r>
      <w:r w:rsidRPr="00C64ECB">
        <w:t>Physical Downlink Control CHannel</w:t>
      </w:r>
    </w:p>
    <w:p w14:paraId="0E212C73" w14:textId="48A529E4" w:rsidR="002F7689" w:rsidRPr="00C64ECB" w:rsidRDefault="002F7689" w:rsidP="002F7689">
      <w:pPr>
        <w:pStyle w:val="EW"/>
      </w:pPr>
      <w:r w:rsidRPr="00C64ECB">
        <w:t>PD</w:t>
      </w:r>
      <w:r w:rsidR="005C4862">
        <w:tab/>
      </w:r>
      <w:r w:rsidRPr="00C64ECB">
        <w:t>Packet Detection</w:t>
      </w:r>
    </w:p>
    <w:p w14:paraId="29B30062" w14:textId="05A29859" w:rsidR="002F7689" w:rsidRPr="00C64ECB" w:rsidRDefault="002F7689" w:rsidP="002F7689">
      <w:pPr>
        <w:pStyle w:val="EW"/>
      </w:pPr>
      <w:r w:rsidRPr="00C64ECB">
        <w:t>PDSCH</w:t>
      </w:r>
      <w:r w:rsidR="005C4862">
        <w:tab/>
      </w:r>
      <w:r w:rsidRPr="00C64ECB">
        <w:t>Physical Downlink Shared CHannel</w:t>
      </w:r>
    </w:p>
    <w:p w14:paraId="532289D0" w14:textId="3170B880" w:rsidR="002F7689" w:rsidRPr="00C64ECB" w:rsidRDefault="002F7689" w:rsidP="002F7689">
      <w:pPr>
        <w:pStyle w:val="EW"/>
      </w:pPr>
      <w:r w:rsidRPr="00C64ECB">
        <w:t>PHICH</w:t>
      </w:r>
      <w:r w:rsidR="005C4862">
        <w:tab/>
      </w:r>
      <w:r w:rsidRPr="00C64ECB">
        <w:t>Physical Hybrid-ARQ Indicator CHannel</w:t>
      </w:r>
    </w:p>
    <w:p w14:paraId="6F0DE513" w14:textId="08D7D4AF" w:rsidR="002F7689" w:rsidRPr="00C64ECB" w:rsidRDefault="002F7689" w:rsidP="002F7689">
      <w:pPr>
        <w:pStyle w:val="EW"/>
      </w:pPr>
      <w:r w:rsidRPr="00C64ECB">
        <w:t>PMCH</w:t>
      </w:r>
      <w:r w:rsidR="005C4862">
        <w:tab/>
      </w:r>
      <w:r w:rsidRPr="00C64ECB">
        <w:t>Physical Multicast CHannel</w:t>
      </w:r>
    </w:p>
    <w:p w14:paraId="0319F50E" w14:textId="37488FA4" w:rsidR="002F7689" w:rsidRPr="00C64ECB" w:rsidRDefault="002F7689" w:rsidP="002F7689">
      <w:pPr>
        <w:pStyle w:val="EW"/>
      </w:pPr>
      <w:r w:rsidRPr="00C64ECB">
        <w:t>PMI</w:t>
      </w:r>
      <w:r w:rsidR="005C4862">
        <w:tab/>
      </w:r>
      <w:r w:rsidRPr="00C64ECB">
        <w:t>Precoding matrix indicator</w:t>
      </w:r>
    </w:p>
    <w:p w14:paraId="15DAC3F9" w14:textId="3026DDC7" w:rsidR="002F7689" w:rsidRPr="00C64ECB" w:rsidRDefault="002F7689" w:rsidP="002F7689">
      <w:pPr>
        <w:pStyle w:val="EW"/>
      </w:pPr>
      <w:r w:rsidRPr="00C64ECB">
        <w:t>PRACH</w:t>
      </w:r>
      <w:r w:rsidR="005C4862">
        <w:tab/>
      </w:r>
      <w:r w:rsidRPr="00C64ECB">
        <w:t>Physical Random Access CHannel</w:t>
      </w:r>
    </w:p>
    <w:p w14:paraId="049CEF8B" w14:textId="2FE9C07E" w:rsidR="002F7689" w:rsidRPr="00C64ECB" w:rsidRDefault="002F7689" w:rsidP="002F7689">
      <w:pPr>
        <w:pStyle w:val="EW"/>
      </w:pPr>
      <w:r w:rsidRPr="00C64ECB">
        <w:t>PRG</w:t>
      </w:r>
      <w:r w:rsidR="005C4862">
        <w:tab/>
      </w:r>
      <w:r w:rsidRPr="00C64ECB">
        <w:t>Precoding Resource Block Group</w:t>
      </w:r>
    </w:p>
    <w:p w14:paraId="139E67F0" w14:textId="1BAC939C" w:rsidR="002F7689" w:rsidRPr="00C64ECB" w:rsidRDefault="002F7689" w:rsidP="002F7689">
      <w:pPr>
        <w:pStyle w:val="EW"/>
      </w:pPr>
      <w:r w:rsidRPr="00C64ECB">
        <w:t>PSBCH</w:t>
      </w:r>
      <w:r w:rsidR="005C4862">
        <w:tab/>
      </w:r>
      <w:r w:rsidRPr="00C64ECB">
        <w:t>Physical Sidelink Broadcast CHannel</w:t>
      </w:r>
    </w:p>
    <w:p w14:paraId="3F061DC2" w14:textId="216E7B04" w:rsidR="002F7689" w:rsidRPr="00C64ECB" w:rsidRDefault="002F7689" w:rsidP="002F7689">
      <w:pPr>
        <w:pStyle w:val="EW"/>
      </w:pPr>
      <w:r w:rsidRPr="00C64ECB">
        <w:t>PSCCH</w:t>
      </w:r>
      <w:r w:rsidR="005C4862">
        <w:tab/>
      </w:r>
      <w:r w:rsidRPr="00C64ECB">
        <w:t>Physical Sidelink Control CHannel</w:t>
      </w:r>
    </w:p>
    <w:p w14:paraId="68B05E76" w14:textId="7E4DA5F5" w:rsidR="002F7689" w:rsidRPr="00C64ECB" w:rsidRDefault="002F7689" w:rsidP="002F7689">
      <w:pPr>
        <w:pStyle w:val="EW"/>
      </w:pPr>
      <w:r w:rsidRPr="00C64ECB">
        <w:t>PSCell</w:t>
      </w:r>
      <w:r w:rsidR="005C4862">
        <w:tab/>
      </w:r>
      <w:r w:rsidRPr="00C64ECB">
        <w:t>Primary Secondary cell</w:t>
      </w:r>
    </w:p>
    <w:p w14:paraId="5124BD8B" w14:textId="744F9F6E" w:rsidR="002F7689" w:rsidRPr="00C64ECB" w:rsidRDefault="002F7689" w:rsidP="002F7689">
      <w:pPr>
        <w:pStyle w:val="EW"/>
      </w:pPr>
      <w:r w:rsidRPr="00C64ECB">
        <w:t>PSDCH</w:t>
      </w:r>
      <w:r w:rsidR="005C4862">
        <w:tab/>
      </w:r>
      <w:r w:rsidRPr="00C64ECB">
        <w:t>Physical Sidelink Discovery CHannel</w:t>
      </w:r>
    </w:p>
    <w:p w14:paraId="09884DD3" w14:textId="11E9D67E" w:rsidR="002F7689" w:rsidRPr="00C64ECB" w:rsidRDefault="002F7689" w:rsidP="002F7689">
      <w:pPr>
        <w:pStyle w:val="EW"/>
      </w:pPr>
      <w:r w:rsidRPr="00C64ECB">
        <w:t>PSD</w:t>
      </w:r>
      <w:r w:rsidR="005C4862">
        <w:tab/>
      </w:r>
      <w:r w:rsidRPr="00C64ECB">
        <w:t>Power Spectral Density</w:t>
      </w:r>
    </w:p>
    <w:p w14:paraId="4D1E4057" w14:textId="041C263A" w:rsidR="002F7689" w:rsidRPr="00C64ECB" w:rsidRDefault="002F7689" w:rsidP="002F7689">
      <w:pPr>
        <w:pStyle w:val="EW"/>
      </w:pPr>
      <w:r w:rsidRPr="00C64ECB">
        <w:t>PSSCH</w:t>
      </w:r>
      <w:r w:rsidR="005C4862">
        <w:tab/>
      </w:r>
      <w:r w:rsidRPr="00C64ECB">
        <w:t>Physical Sidelink Shared CHannel</w:t>
      </w:r>
    </w:p>
    <w:p w14:paraId="1C971549" w14:textId="7A825B0E" w:rsidR="002F7689" w:rsidRPr="00C64ECB" w:rsidRDefault="002F7689" w:rsidP="002F7689">
      <w:pPr>
        <w:pStyle w:val="EW"/>
      </w:pPr>
      <w:r w:rsidRPr="00C64ECB">
        <w:lastRenderedPageBreak/>
        <w:t>PSSS</w:t>
      </w:r>
      <w:r w:rsidR="005C4862">
        <w:tab/>
      </w:r>
      <w:r w:rsidRPr="00C64ECB">
        <w:t>Primary Sidelink Synchronisation Signal</w:t>
      </w:r>
    </w:p>
    <w:p w14:paraId="6B185687" w14:textId="7E5FA162" w:rsidR="002F7689" w:rsidRPr="00C64ECB" w:rsidRDefault="002F7689" w:rsidP="002F7689">
      <w:pPr>
        <w:pStyle w:val="EW"/>
      </w:pPr>
      <w:r w:rsidRPr="00C64ECB">
        <w:t>PTI</w:t>
      </w:r>
      <w:r w:rsidR="005C4862">
        <w:tab/>
      </w:r>
      <w:r w:rsidRPr="00C64ECB">
        <w:t>Precoding Type Indicator</w:t>
      </w:r>
    </w:p>
    <w:p w14:paraId="1FBC5E0C" w14:textId="035D1E9F" w:rsidR="002F7689" w:rsidRPr="00C64ECB" w:rsidRDefault="002F7689" w:rsidP="002F7689">
      <w:pPr>
        <w:pStyle w:val="EW"/>
      </w:pPr>
      <w:r w:rsidRPr="00C64ECB">
        <w:t>PTRS</w:t>
      </w:r>
      <w:r w:rsidR="005C4862">
        <w:tab/>
      </w:r>
      <w:r w:rsidRPr="00C64ECB">
        <w:t>Phase-tracking reference signal</w:t>
      </w:r>
    </w:p>
    <w:p w14:paraId="1870C682" w14:textId="262C4B6A" w:rsidR="002F7689" w:rsidRPr="00C64ECB" w:rsidRDefault="002F7689" w:rsidP="002F7689">
      <w:pPr>
        <w:pStyle w:val="EW"/>
      </w:pPr>
      <w:r w:rsidRPr="00C64ECB">
        <w:t>PUCCH</w:t>
      </w:r>
      <w:r w:rsidR="005C4862">
        <w:tab/>
      </w:r>
      <w:r w:rsidRPr="00C64ECB">
        <w:t>Physical Uplink Control CHannel</w:t>
      </w:r>
    </w:p>
    <w:p w14:paraId="397C1C07" w14:textId="5808C8FB" w:rsidR="002F7689" w:rsidRPr="00C64ECB" w:rsidRDefault="002F7689" w:rsidP="002F7689">
      <w:pPr>
        <w:pStyle w:val="EW"/>
      </w:pPr>
      <w:r w:rsidRPr="00C64ECB">
        <w:t>PUSCH</w:t>
      </w:r>
      <w:r w:rsidR="005C4862">
        <w:tab/>
      </w:r>
      <w:r w:rsidRPr="00C64ECB">
        <w:t>Physical Uplink Shared CHannel</w:t>
      </w:r>
    </w:p>
    <w:p w14:paraId="694C1839" w14:textId="4C242027" w:rsidR="002F7689" w:rsidRPr="00C64ECB" w:rsidRDefault="002F7689" w:rsidP="002F7689">
      <w:pPr>
        <w:pStyle w:val="EW"/>
      </w:pPr>
      <w:r w:rsidRPr="00C64ECB">
        <w:t>QCL</w:t>
      </w:r>
      <w:r w:rsidR="005C4862">
        <w:tab/>
      </w:r>
      <w:r w:rsidRPr="00C64ECB">
        <w:t>Quasi-collocation</w:t>
      </w:r>
    </w:p>
    <w:p w14:paraId="274A4130" w14:textId="0D82AE68" w:rsidR="002F7689" w:rsidRPr="00C64ECB" w:rsidRDefault="002F7689" w:rsidP="002F7689">
      <w:pPr>
        <w:pStyle w:val="EW"/>
      </w:pPr>
      <w:r w:rsidRPr="00C64ECB">
        <w:t>RACH</w:t>
      </w:r>
      <w:r w:rsidR="005C4862">
        <w:tab/>
      </w:r>
      <w:r w:rsidRPr="00C64ECB">
        <w:t>Random Access channel</w:t>
      </w:r>
    </w:p>
    <w:p w14:paraId="66B3994A" w14:textId="118B5E66" w:rsidR="002F7689" w:rsidRPr="00C64ECB" w:rsidRDefault="002F7689" w:rsidP="002F7689">
      <w:pPr>
        <w:pStyle w:val="EW"/>
      </w:pPr>
      <w:r w:rsidRPr="00C64ECB">
        <w:t>RAT</w:t>
      </w:r>
      <w:r w:rsidR="005C4862">
        <w:tab/>
      </w:r>
      <w:r w:rsidRPr="00C64ECB">
        <w:t>Radio Access Technology</w:t>
      </w:r>
    </w:p>
    <w:p w14:paraId="130C9755" w14:textId="6991E10C" w:rsidR="002F7689" w:rsidRPr="00C64ECB" w:rsidRDefault="002F7689" w:rsidP="002F7689">
      <w:pPr>
        <w:pStyle w:val="EW"/>
      </w:pPr>
      <w:r w:rsidRPr="00C64ECB">
        <w:t>RBG</w:t>
      </w:r>
      <w:r w:rsidR="005C4862">
        <w:tab/>
      </w:r>
      <w:r w:rsidRPr="00C64ECB">
        <w:t>Resource Block Group</w:t>
      </w:r>
    </w:p>
    <w:p w14:paraId="65165D7C" w14:textId="176E4B1E" w:rsidR="002F7689" w:rsidRPr="00C64ECB" w:rsidRDefault="002F7689" w:rsidP="002F7689">
      <w:pPr>
        <w:pStyle w:val="EW"/>
      </w:pPr>
      <w:r w:rsidRPr="00C64ECB">
        <w:t>REG</w:t>
      </w:r>
      <w:r w:rsidR="005C4862">
        <w:tab/>
      </w:r>
      <w:r w:rsidRPr="00C64ECB">
        <w:t>Resource-Element Group</w:t>
      </w:r>
    </w:p>
    <w:p w14:paraId="260D546F" w14:textId="464B1B36" w:rsidR="002F7689" w:rsidRPr="00C64ECB" w:rsidRDefault="002F7689" w:rsidP="002F7689">
      <w:pPr>
        <w:pStyle w:val="EW"/>
      </w:pPr>
      <w:r w:rsidRPr="00C64ECB">
        <w:t>RE</w:t>
      </w:r>
      <w:r w:rsidR="005C4862">
        <w:tab/>
      </w:r>
      <w:r w:rsidRPr="00C64ECB">
        <w:t>Resource Element</w:t>
      </w:r>
    </w:p>
    <w:p w14:paraId="686CFFDD" w14:textId="54D4AC48" w:rsidR="002F7689" w:rsidRPr="00C64ECB" w:rsidRDefault="002F7689" w:rsidP="002F7689">
      <w:pPr>
        <w:pStyle w:val="EW"/>
      </w:pPr>
      <w:r w:rsidRPr="00C64ECB">
        <w:t>RI</w:t>
      </w:r>
      <w:r w:rsidR="005C4862">
        <w:tab/>
      </w:r>
      <w:r w:rsidRPr="00C64ECB">
        <w:t>Rank indicator</w:t>
      </w:r>
    </w:p>
    <w:p w14:paraId="38A09D73" w14:textId="671A897F" w:rsidR="002F7689" w:rsidRPr="00C64ECB" w:rsidRDefault="002F7689" w:rsidP="002F7689">
      <w:pPr>
        <w:pStyle w:val="EW"/>
      </w:pPr>
      <w:r w:rsidRPr="00C64ECB">
        <w:t>RLAN</w:t>
      </w:r>
      <w:r w:rsidR="005C4862">
        <w:tab/>
      </w:r>
      <w:r w:rsidRPr="00C64ECB">
        <w:t>Radio Local Area Network</w:t>
      </w:r>
    </w:p>
    <w:p w14:paraId="04C5084B" w14:textId="75F0766B" w:rsidR="002F7689" w:rsidRPr="00C64ECB" w:rsidRDefault="002F7689" w:rsidP="002F7689">
      <w:pPr>
        <w:pStyle w:val="EW"/>
      </w:pPr>
      <w:r w:rsidRPr="00C64ECB">
        <w:t>RLM</w:t>
      </w:r>
      <w:r w:rsidR="005C4862">
        <w:tab/>
      </w:r>
      <w:r w:rsidRPr="00C64ECB">
        <w:t>Radio link monitoring</w:t>
      </w:r>
    </w:p>
    <w:p w14:paraId="15DBCB9D" w14:textId="6B1C8E7B" w:rsidR="002F7689" w:rsidRPr="00C64ECB" w:rsidRDefault="002F7689" w:rsidP="002F7689">
      <w:pPr>
        <w:pStyle w:val="EW"/>
      </w:pPr>
      <w:r w:rsidRPr="00C64ECB">
        <w:t>RRM</w:t>
      </w:r>
      <w:r w:rsidR="005C4862">
        <w:tab/>
      </w:r>
      <w:r w:rsidRPr="00C64ECB">
        <w:t>Radio resource management</w:t>
      </w:r>
    </w:p>
    <w:p w14:paraId="2C1EF983" w14:textId="3B0DA564" w:rsidR="002F7689" w:rsidRPr="00C64ECB" w:rsidRDefault="002F7689" w:rsidP="002F7689">
      <w:pPr>
        <w:pStyle w:val="EW"/>
      </w:pPr>
      <w:r w:rsidRPr="00C64ECB">
        <w:t>RSCP</w:t>
      </w:r>
      <w:r w:rsidR="005C4862">
        <w:tab/>
      </w:r>
      <w:r w:rsidRPr="00C64ECB">
        <w:t>Received Signal Code Power</w:t>
      </w:r>
    </w:p>
    <w:p w14:paraId="3B56E843" w14:textId="1E485327" w:rsidR="002F7689" w:rsidRPr="00C64ECB" w:rsidRDefault="002F7689" w:rsidP="002F7689">
      <w:pPr>
        <w:pStyle w:val="EW"/>
      </w:pPr>
      <w:r w:rsidRPr="00C64ECB">
        <w:t>RS</w:t>
      </w:r>
      <w:r w:rsidR="005C4862">
        <w:tab/>
      </w:r>
      <w:r w:rsidRPr="00C64ECB">
        <w:t>Reference Signal</w:t>
      </w:r>
    </w:p>
    <w:p w14:paraId="10192BBC" w14:textId="4E0C6DA7" w:rsidR="002F7689" w:rsidRPr="00C64ECB" w:rsidRDefault="002F7689" w:rsidP="002F7689">
      <w:pPr>
        <w:pStyle w:val="EW"/>
      </w:pPr>
      <w:r w:rsidRPr="00C64ECB">
        <w:t>RSRP</w:t>
      </w:r>
      <w:r w:rsidR="005C4862">
        <w:tab/>
      </w:r>
      <w:r w:rsidRPr="00C64ECB">
        <w:t>Reference Signal Received Power</w:t>
      </w:r>
    </w:p>
    <w:p w14:paraId="30AF7329" w14:textId="5D2F6F7A" w:rsidR="002F7689" w:rsidRPr="00C64ECB" w:rsidRDefault="002F7689" w:rsidP="002F7689">
      <w:pPr>
        <w:pStyle w:val="EW"/>
      </w:pPr>
      <w:r w:rsidRPr="00C64ECB">
        <w:t>RSRQ</w:t>
      </w:r>
      <w:r w:rsidR="005C4862">
        <w:tab/>
      </w:r>
      <w:r w:rsidRPr="00C64ECB">
        <w:t>Reference Signal Received Quality</w:t>
      </w:r>
    </w:p>
    <w:p w14:paraId="55E1B7A5" w14:textId="162945DA" w:rsidR="002F7689" w:rsidRPr="00C64ECB" w:rsidRDefault="002F7689" w:rsidP="002F7689">
      <w:pPr>
        <w:pStyle w:val="EW"/>
      </w:pPr>
      <w:r w:rsidRPr="00C64ECB">
        <w:t>RSTD</w:t>
      </w:r>
      <w:r w:rsidR="005C4862">
        <w:tab/>
      </w:r>
      <w:r w:rsidRPr="00C64ECB">
        <w:t>Reference Signal Time Difference</w:t>
      </w:r>
    </w:p>
    <w:p w14:paraId="4F4F2748" w14:textId="1180590E" w:rsidR="002F7689" w:rsidRPr="00C64ECB" w:rsidRDefault="002F7689" w:rsidP="002F7689">
      <w:pPr>
        <w:pStyle w:val="EW"/>
      </w:pPr>
      <w:r w:rsidRPr="00C64ECB">
        <w:t>RTS</w:t>
      </w:r>
      <w:r w:rsidR="005C4862">
        <w:tab/>
      </w:r>
      <w:r w:rsidRPr="00C64ECB">
        <w:t>Request To Send</w:t>
      </w:r>
    </w:p>
    <w:p w14:paraId="2AA2D60A" w14:textId="07FAA65A" w:rsidR="002F7689" w:rsidRPr="00C64ECB" w:rsidRDefault="002F7689" w:rsidP="002F7689">
      <w:pPr>
        <w:pStyle w:val="EW"/>
      </w:pPr>
      <w:r w:rsidRPr="00C64ECB">
        <w:t>RVID</w:t>
      </w:r>
      <w:r w:rsidR="005C4862">
        <w:tab/>
      </w:r>
      <w:r w:rsidRPr="00C64ECB">
        <w:t>Redundancy Version ID</w:t>
      </w:r>
    </w:p>
    <w:p w14:paraId="43FA1227" w14:textId="7FCF3E23" w:rsidR="002F7689" w:rsidRPr="00C64ECB" w:rsidRDefault="002F7689" w:rsidP="002F7689">
      <w:pPr>
        <w:pStyle w:val="EW"/>
      </w:pPr>
      <w:r w:rsidRPr="00C64ECB">
        <w:t>SA</w:t>
      </w:r>
      <w:r w:rsidR="005C4862">
        <w:tab/>
      </w:r>
      <w:r w:rsidRPr="00C64ECB">
        <w:t>Stand Alone</w:t>
      </w:r>
    </w:p>
    <w:p w14:paraId="6B9737CF" w14:textId="429EFBD3" w:rsidR="002F7689" w:rsidRPr="00C64ECB" w:rsidRDefault="002F7689" w:rsidP="002F7689">
      <w:pPr>
        <w:pStyle w:val="EW"/>
      </w:pPr>
      <w:r w:rsidRPr="00C64ECB">
        <w:t>SCCE</w:t>
      </w:r>
      <w:r w:rsidR="005C4862">
        <w:tab/>
      </w:r>
      <w:r w:rsidRPr="00C64ECB">
        <w:t>Short Control Channel Element</w:t>
      </w:r>
    </w:p>
    <w:p w14:paraId="2344F1A5" w14:textId="07C6381D" w:rsidR="002F7689" w:rsidRPr="00C64ECB" w:rsidRDefault="002F7689" w:rsidP="002F7689">
      <w:pPr>
        <w:pStyle w:val="EW"/>
      </w:pPr>
      <w:r w:rsidRPr="00C64ECB">
        <w:t>SCI</w:t>
      </w:r>
      <w:r w:rsidR="005C4862">
        <w:tab/>
      </w:r>
      <w:r w:rsidRPr="00C64ECB">
        <w:t>Sidelink Control Information</w:t>
      </w:r>
    </w:p>
    <w:p w14:paraId="26F6FAB8" w14:textId="306B4AFF" w:rsidR="002F7689" w:rsidRPr="00C64ECB" w:rsidRDefault="002F7689" w:rsidP="002F7689">
      <w:pPr>
        <w:pStyle w:val="EW"/>
      </w:pPr>
      <w:r w:rsidRPr="00C64ECB">
        <w:t>SCS</w:t>
      </w:r>
      <w:r w:rsidR="005C4862">
        <w:tab/>
      </w:r>
      <w:r w:rsidRPr="00C64ECB">
        <w:t>Subcarrier Spacing</w:t>
      </w:r>
    </w:p>
    <w:p w14:paraId="6BFD2C06" w14:textId="01B15B13" w:rsidR="002F7689" w:rsidRPr="00C64ECB" w:rsidRDefault="002F7689" w:rsidP="002F7689">
      <w:pPr>
        <w:pStyle w:val="EW"/>
      </w:pPr>
      <w:r w:rsidRPr="00C64ECB">
        <w:t>SINR</w:t>
      </w:r>
      <w:r w:rsidR="005C4862">
        <w:tab/>
      </w:r>
      <w:r w:rsidRPr="00C64ECB">
        <w:t>Signal to Interference plus Noise Ratio</w:t>
      </w:r>
    </w:p>
    <w:p w14:paraId="6A8ED172" w14:textId="6588E5F9" w:rsidR="002F7689" w:rsidRPr="00C64ECB" w:rsidRDefault="002F7689" w:rsidP="002F7689">
      <w:pPr>
        <w:pStyle w:val="EW"/>
      </w:pPr>
      <w:r w:rsidRPr="00C64ECB">
        <w:t>SL-BCH</w:t>
      </w:r>
      <w:r w:rsidR="005C4862">
        <w:tab/>
      </w:r>
      <w:r w:rsidRPr="00C64ECB">
        <w:t>Sidelink Broadcast Channel</w:t>
      </w:r>
    </w:p>
    <w:p w14:paraId="0405F894" w14:textId="18442CC8" w:rsidR="002F7689" w:rsidRPr="00C64ECB" w:rsidRDefault="002F7689" w:rsidP="002F7689">
      <w:pPr>
        <w:pStyle w:val="EW"/>
      </w:pPr>
      <w:r w:rsidRPr="00C64ECB">
        <w:t>SL-DCH</w:t>
      </w:r>
      <w:r w:rsidR="005C4862">
        <w:tab/>
      </w:r>
      <w:r w:rsidRPr="00C64ECB">
        <w:t>Sidelink Discovery Channel</w:t>
      </w:r>
    </w:p>
    <w:p w14:paraId="741E0A66" w14:textId="08198FA0" w:rsidR="002F7689" w:rsidRPr="00C64ECB" w:rsidRDefault="002F7689" w:rsidP="002F7689">
      <w:pPr>
        <w:pStyle w:val="EW"/>
      </w:pPr>
      <w:r w:rsidRPr="00C64ECB">
        <w:t>SL-SCH</w:t>
      </w:r>
      <w:r w:rsidR="005C4862">
        <w:tab/>
      </w:r>
      <w:r w:rsidRPr="00C64ECB">
        <w:t>Sidelink Shared Channel</w:t>
      </w:r>
    </w:p>
    <w:p w14:paraId="3F81D394" w14:textId="572A6A33" w:rsidR="002F7689" w:rsidRPr="00C64ECB" w:rsidRDefault="002F7689" w:rsidP="002F7689">
      <w:pPr>
        <w:pStyle w:val="EW"/>
      </w:pPr>
      <w:r w:rsidRPr="00C64ECB">
        <w:t>SPDCCH</w:t>
      </w:r>
      <w:r w:rsidR="005C4862">
        <w:tab/>
      </w:r>
      <w:r w:rsidRPr="00C64ECB">
        <w:t>Short Physical Downlink Control CHannel</w:t>
      </w:r>
    </w:p>
    <w:p w14:paraId="729EBD96" w14:textId="77777777" w:rsidR="002F7689" w:rsidRPr="00C64ECB" w:rsidRDefault="002F7689" w:rsidP="002F7689">
      <w:pPr>
        <w:pStyle w:val="EW"/>
      </w:pPr>
      <w:r w:rsidRPr="00C64ECB">
        <w:t>SPS C-RNTI</w:t>
      </w:r>
      <w:r w:rsidRPr="00C64ECB">
        <w:tab/>
        <w:t>Semi-Persistent Scheduling C-RNTI</w:t>
      </w:r>
    </w:p>
    <w:p w14:paraId="4EDC281D" w14:textId="540C1998" w:rsidR="002F7689" w:rsidRPr="00C64ECB" w:rsidRDefault="002F7689" w:rsidP="002F7689">
      <w:pPr>
        <w:pStyle w:val="EW"/>
      </w:pPr>
      <w:r w:rsidRPr="00C64ECB">
        <w:t>SPUCCH</w:t>
      </w:r>
      <w:r w:rsidR="005C4862">
        <w:tab/>
      </w:r>
      <w:r w:rsidRPr="00C64ECB">
        <w:t>Short Physical Uplink Control CHannel</w:t>
      </w:r>
    </w:p>
    <w:p w14:paraId="6EFBCDDA" w14:textId="54D823BD" w:rsidR="002F7689" w:rsidRPr="00C64ECB" w:rsidRDefault="002F7689" w:rsidP="002F7689">
      <w:pPr>
        <w:pStyle w:val="EW"/>
      </w:pPr>
      <w:r w:rsidRPr="00C64ECB">
        <w:t>SREG</w:t>
      </w:r>
      <w:r w:rsidR="005C4862">
        <w:tab/>
      </w:r>
      <w:r w:rsidRPr="00C64ECB">
        <w:t>Short Resource-Element Group</w:t>
      </w:r>
    </w:p>
    <w:p w14:paraId="4D1524EC" w14:textId="6540D37A" w:rsidR="002F7689" w:rsidRPr="00C64ECB" w:rsidRDefault="002F7689" w:rsidP="002F7689">
      <w:pPr>
        <w:pStyle w:val="EW"/>
      </w:pPr>
      <w:r w:rsidRPr="00C64ECB">
        <w:t>SRI</w:t>
      </w:r>
      <w:r w:rsidR="005C4862">
        <w:tab/>
      </w:r>
      <w:r w:rsidRPr="00C64ECB">
        <w:t>SRS resource indicator</w:t>
      </w:r>
    </w:p>
    <w:p w14:paraId="3F364DF9" w14:textId="5F0F3C11" w:rsidR="002F7689" w:rsidRPr="00C64ECB" w:rsidRDefault="002F7689" w:rsidP="002F7689">
      <w:pPr>
        <w:pStyle w:val="EW"/>
      </w:pPr>
      <w:r w:rsidRPr="00C64ECB">
        <w:t>SRS</w:t>
      </w:r>
      <w:r w:rsidR="005C4862">
        <w:tab/>
      </w:r>
      <w:r w:rsidRPr="00C64ECB">
        <w:t>Sounding Reference Symbol</w:t>
      </w:r>
    </w:p>
    <w:p w14:paraId="215A13F0" w14:textId="5F64C81E" w:rsidR="002F7689" w:rsidRPr="00C64ECB" w:rsidRDefault="002F7689" w:rsidP="002F7689">
      <w:pPr>
        <w:pStyle w:val="EW"/>
      </w:pPr>
      <w:r w:rsidRPr="00C64ECB">
        <w:t>SSSS</w:t>
      </w:r>
      <w:r w:rsidR="005C4862">
        <w:tab/>
      </w:r>
      <w:r w:rsidRPr="00C64ECB">
        <w:t>Secondary Sidelink Synchronisation Signal</w:t>
      </w:r>
    </w:p>
    <w:p w14:paraId="17BBA6CC" w14:textId="0BBC0867" w:rsidR="002F7689" w:rsidRPr="00C64ECB" w:rsidRDefault="002F7689" w:rsidP="002F7689">
      <w:pPr>
        <w:pStyle w:val="EW"/>
      </w:pPr>
      <w:r w:rsidRPr="00C64ECB">
        <w:t>STA</w:t>
      </w:r>
      <w:r w:rsidR="005C4862">
        <w:tab/>
      </w:r>
      <w:r w:rsidRPr="00C64ECB">
        <w:t>Station or UE</w:t>
      </w:r>
    </w:p>
    <w:p w14:paraId="14FA93F6" w14:textId="20C19317" w:rsidR="002F7689" w:rsidRPr="00C64ECB" w:rsidRDefault="002F7689" w:rsidP="002F7689">
      <w:pPr>
        <w:pStyle w:val="EW"/>
      </w:pPr>
      <w:r w:rsidRPr="00C64ECB">
        <w:t>SUL</w:t>
      </w:r>
      <w:r w:rsidR="005C4862">
        <w:tab/>
      </w:r>
      <w:r w:rsidRPr="00C64ECB">
        <w:t>Supplementary uplink</w:t>
      </w:r>
    </w:p>
    <w:p w14:paraId="6C0B1284" w14:textId="28ABE3C5" w:rsidR="002F7689" w:rsidRPr="00C64ECB" w:rsidRDefault="002F7689" w:rsidP="002F7689">
      <w:pPr>
        <w:pStyle w:val="EW"/>
      </w:pPr>
      <w:r w:rsidRPr="00C64ECB">
        <w:t>TAG</w:t>
      </w:r>
      <w:r w:rsidR="005C4862">
        <w:tab/>
      </w:r>
      <w:r w:rsidRPr="00C64ECB">
        <w:t>Timing Advance Group</w:t>
      </w:r>
    </w:p>
    <w:p w14:paraId="7FD23D19" w14:textId="749A774C" w:rsidR="002F7689" w:rsidRPr="00C64ECB" w:rsidRDefault="002F7689" w:rsidP="002F7689">
      <w:pPr>
        <w:pStyle w:val="EW"/>
      </w:pPr>
      <w:r w:rsidRPr="00C64ECB">
        <w:t>TBS</w:t>
      </w:r>
      <w:r w:rsidR="005C4862">
        <w:tab/>
      </w:r>
      <w:r w:rsidRPr="00C64ECB">
        <w:t>Transport Block Size</w:t>
      </w:r>
    </w:p>
    <w:p w14:paraId="3F7EDEB2" w14:textId="70C86FB9" w:rsidR="002F7689" w:rsidRPr="00C64ECB" w:rsidRDefault="002F7689" w:rsidP="002F7689">
      <w:pPr>
        <w:pStyle w:val="EW"/>
      </w:pPr>
      <w:r w:rsidRPr="00C64ECB">
        <w:t>TDD</w:t>
      </w:r>
      <w:r w:rsidR="005C4862">
        <w:tab/>
      </w:r>
      <w:r w:rsidRPr="00C64ECB">
        <w:t>Time Division Duplex</w:t>
      </w:r>
    </w:p>
    <w:p w14:paraId="01321AD3" w14:textId="59B62C3D" w:rsidR="002F7689" w:rsidRPr="00C64ECB" w:rsidRDefault="002F7689" w:rsidP="002F7689">
      <w:pPr>
        <w:pStyle w:val="EW"/>
      </w:pPr>
      <w:r w:rsidRPr="00C64ECB">
        <w:t>TPC</w:t>
      </w:r>
      <w:r w:rsidR="005C4862">
        <w:tab/>
      </w:r>
      <w:r w:rsidRPr="00C64ECB">
        <w:t>Transmit power control</w:t>
      </w:r>
    </w:p>
    <w:p w14:paraId="7A3BC10E" w14:textId="77374FB2" w:rsidR="002F7689" w:rsidRPr="00C64ECB" w:rsidRDefault="002F7689" w:rsidP="002F7689">
      <w:pPr>
        <w:pStyle w:val="EW"/>
      </w:pPr>
      <w:r w:rsidRPr="00C64ECB">
        <w:t>TPMI</w:t>
      </w:r>
      <w:r w:rsidR="005C4862">
        <w:tab/>
      </w:r>
      <w:r w:rsidRPr="00C64ECB">
        <w:t>Transmitted Precoding Matrix Indicator</w:t>
      </w:r>
    </w:p>
    <w:p w14:paraId="616A1CF6" w14:textId="3CBFFABE" w:rsidR="002F7689" w:rsidRPr="00C64ECB" w:rsidRDefault="002F7689" w:rsidP="002F7689">
      <w:pPr>
        <w:pStyle w:val="EW"/>
      </w:pPr>
      <w:r w:rsidRPr="00C64ECB">
        <w:t>TrCH</w:t>
      </w:r>
      <w:r w:rsidR="005C4862">
        <w:tab/>
      </w:r>
      <w:r w:rsidRPr="00C64ECB">
        <w:t>Transport channel</w:t>
      </w:r>
    </w:p>
    <w:p w14:paraId="3EE5FDE2" w14:textId="10A418B5" w:rsidR="002F7689" w:rsidRPr="00C64ECB" w:rsidRDefault="002F7689" w:rsidP="002F7689">
      <w:pPr>
        <w:pStyle w:val="EW"/>
      </w:pPr>
      <w:r w:rsidRPr="00C64ECB">
        <w:t>TRP</w:t>
      </w:r>
      <w:r w:rsidR="005C4862">
        <w:tab/>
      </w:r>
      <w:r w:rsidRPr="00C64ECB">
        <w:t>Tx/Rx Point</w:t>
      </w:r>
    </w:p>
    <w:p w14:paraId="18498BE3" w14:textId="041FDD90" w:rsidR="002F7689" w:rsidRPr="00C64ECB" w:rsidRDefault="002F7689" w:rsidP="002F7689">
      <w:pPr>
        <w:pStyle w:val="EW"/>
      </w:pPr>
      <w:r w:rsidRPr="00C64ECB">
        <w:t>UE</w:t>
      </w:r>
      <w:r w:rsidR="005C4862">
        <w:tab/>
      </w:r>
      <w:r w:rsidRPr="00C64ECB">
        <w:t>User Equipment</w:t>
      </w:r>
    </w:p>
    <w:p w14:paraId="58885390" w14:textId="314E3575" w:rsidR="002F7689" w:rsidRPr="00C64ECB" w:rsidRDefault="002F7689" w:rsidP="002F7689">
      <w:pPr>
        <w:pStyle w:val="EW"/>
      </w:pPr>
      <w:r w:rsidRPr="00C64ECB">
        <w:t>UL-SCH</w:t>
      </w:r>
      <w:r w:rsidR="005C4862">
        <w:tab/>
      </w:r>
      <w:r w:rsidRPr="00C64ECB">
        <w:t>Uplink Shared Channel</w:t>
      </w:r>
    </w:p>
    <w:p w14:paraId="00FA9BD3" w14:textId="750D4616" w:rsidR="002F7689" w:rsidRPr="00C64ECB" w:rsidRDefault="002F7689" w:rsidP="002F7689">
      <w:pPr>
        <w:pStyle w:val="EW"/>
      </w:pPr>
      <w:r w:rsidRPr="00C64ECB">
        <w:t>UMi</w:t>
      </w:r>
      <w:r w:rsidR="005C4862">
        <w:tab/>
      </w:r>
      <w:r w:rsidRPr="00C64ECB">
        <w:t>Urban Micro</w:t>
      </w:r>
    </w:p>
    <w:p w14:paraId="29389F55" w14:textId="4A4D974E" w:rsidR="002F7689" w:rsidRPr="00C64ECB" w:rsidRDefault="002F7689" w:rsidP="002F7689">
      <w:pPr>
        <w:pStyle w:val="EW"/>
      </w:pPr>
      <w:r w:rsidRPr="00C64ECB">
        <w:t>UTRAN</w:t>
      </w:r>
      <w:r w:rsidR="005C4862">
        <w:tab/>
      </w:r>
      <w:r w:rsidRPr="00C64ECB">
        <w:t>Universal Terrestrial Radio Access Network</w:t>
      </w:r>
    </w:p>
    <w:p w14:paraId="7C4543C3" w14:textId="61F40918" w:rsidR="002F7689" w:rsidRPr="00C64ECB" w:rsidRDefault="002F7689" w:rsidP="002F7689">
      <w:pPr>
        <w:pStyle w:val="EW"/>
      </w:pPr>
      <w:r w:rsidRPr="00C64ECB">
        <w:t>WAS</w:t>
      </w:r>
      <w:r w:rsidR="005C4862">
        <w:tab/>
      </w:r>
      <w:r w:rsidRPr="00C64ECB">
        <w:t>Wireless Access Systems</w:t>
      </w:r>
    </w:p>
    <w:p w14:paraId="08458AEA" w14:textId="77777777" w:rsidR="002F7689" w:rsidRPr="00C64ECB" w:rsidRDefault="002F7689" w:rsidP="002F7689">
      <w:pPr>
        <w:pStyle w:val="EW"/>
      </w:pPr>
      <w:r w:rsidRPr="00C64ECB">
        <w:t>ZP CSI-RS</w:t>
      </w:r>
      <w:r w:rsidRPr="00C64ECB">
        <w:tab/>
        <w:t>Zero power CSI-RS</w:t>
      </w:r>
    </w:p>
    <w:p w14:paraId="01D9A4C7" w14:textId="63CD111E" w:rsidR="006E6E4D" w:rsidRPr="00C64ECB" w:rsidRDefault="006E6E4D" w:rsidP="006E6E4D"/>
    <w:p w14:paraId="02B96E9E" w14:textId="77777777" w:rsidR="00DE7ACB" w:rsidRPr="00C64ECB" w:rsidRDefault="00DE7ACB" w:rsidP="00F7056A">
      <w:pPr>
        <w:pStyle w:val="Heading1"/>
      </w:pPr>
      <w:bookmarkStart w:id="14" w:name="_Toc531342976"/>
      <w:bookmarkStart w:id="15" w:name="historyclause"/>
      <w:r w:rsidRPr="00C64ECB">
        <w:t>4</w:t>
      </w:r>
      <w:r w:rsidR="0059465D" w:rsidRPr="00C64ECB">
        <w:tab/>
      </w:r>
      <w:r w:rsidRPr="00C64ECB">
        <w:t>Regulatory requirements</w:t>
      </w:r>
      <w:bookmarkEnd w:id="14"/>
    </w:p>
    <w:p w14:paraId="1ED56231" w14:textId="77777777" w:rsidR="007C0B5A" w:rsidRPr="00C64ECB" w:rsidRDefault="007C0B5A" w:rsidP="007C0B5A">
      <w:pPr>
        <w:pStyle w:val="Heading2"/>
      </w:pPr>
      <w:bookmarkStart w:id="16" w:name="_Toc531342977"/>
      <w:r w:rsidRPr="00C64ECB">
        <w:t>4.1</w:t>
      </w:r>
      <w:r w:rsidRPr="00C64ECB">
        <w:tab/>
        <w:t>Regulatory requirements for 5GHz band</w:t>
      </w:r>
      <w:bookmarkEnd w:id="16"/>
    </w:p>
    <w:p w14:paraId="7B24AD85" w14:textId="77777777" w:rsidR="007C0B5A" w:rsidRPr="00C64ECB" w:rsidRDefault="007C0B5A" w:rsidP="005E1804">
      <w:r w:rsidRPr="00C64ECB">
        <w:t xml:space="preserve">The range 5150-5925 MHz, or parts thereof, is potentially available for license-assisted access to unlicensed operation. This represents a significant amount of spectrum that can be used by operators to augment their service offerings in </w:t>
      </w:r>
      <w:r w:rsidRPr="00C64ECB">
        <w:lastRenderedPageBreak/>
        <w:t>licensed bands. The range above can be operated under a license-exempt regime or ISM but must be shared with existing mobile services and other incumbent services. The quality of service offered by a licensed regime can therefore not be matched. Hence, unlicensed access is viewed as complementary, and does not reduce the need for additional allocations for licensed operation in view of the increased demand for wireless broadband access.</w:t>
      </w:r>
    </w:p>
    <w:p w14:paraId="4921AF3E" w14:textId="77777777" w:rsidR="007C0B5A" w:rsidRPr="00C64ECB" w:rsidRDefault="007C0B5A" w:rsidP="005E1804">
      <w:pPr>
        <w:rPr>
          <w:lang w:val="en-US"/>
        </w:rPr>
      </w:pPr>
      <w:r w:rsidRPr="00C64ECB">
        <w:rPr>
          <w:lang w:val="en-US"/>
        </w:rPr>
        <w:t xml:space="preserve">It is relevant to consider the global (International) ITU-R allocations and technical provisions first. These could be basis for defining globally harmonised bands for LAA and starting points for requirements and limits before the local variations are considered. </w:t>
      </w:r>
    </w:p>
    <w:p w14:paraId="2C4CB4F7" w14:textId="77777777" w:rsidR="007C0B5A" w:rsidRPr="00C64ECB" w:rsidRDefault="007C0B5A" w:rsidP="007C0B5A">
      <w:pPr>
        <w:rPr>
          <w:b/>
          <w:u w:val="single"/>
        </w:rPr>
      </w:pPr>
      <w:r w:rsidRPr="00C64ECB">
        <w:rPr>
          <w:b/>
          <w:u w:val="single"/>
        </w:rPr>
        <w:t>5150-5350 and 5470-5725 MHz</w:t>
      </w:r>
    </w:p>
    <w:p w14:paraId="15C74099" w14:textId="5ACA610B" w:rsidR="007C0B5A" w:rsidRPr="00C64ECB" w:rsidRDefault="007C0B5A" w:rsidP="007C0B5A">
      <w:r w:rsidRPr="00C64ECB">
        <w:rPr>
          <w:lang w:val="en-US"/>
        </w:rPr>
        <w:t xml:space="preserve">WRC 2003 allocated the bands 5 150-5 350 MHz and 5 470-5 725 MHz on a co-primary basis to the mobile service for the implementation of </w:t>
      </w:r>
      <w:r w:rsidR="00010CD8" w:rsidRPr="00C64ECB">
        <w:rPr>
          <w:lang w:val="en-US"/>
        </w:rPr>
        <w:t>"</w:t>
      </w:r>
      <w:r w:rsidRPr="00C64ECB">
        <w:rPr>
          <w:lang w:val="en-US"/>
        </w:rPr>
        <w:t>wireless access systems (WAS), including radio local area networks (RLANs)</w:t>
      </w:r>
      <w:r w:rsidR="00010CD8" w:rsidRPr="00C64ECB">
        <w:rPr>
          <w:lang w:val="en-US"/>
        </w:rPr>
        <w:t>"</w:t>
      </w:r>
      <w:r w:rsidRPr="00C64ECB">
        <w:rPr>
          <w:lang w:val="en-US"/>
        </w:rPr>
        <w:t>. This was subject to technical and regulatory provisions included in the radio regulations given in Resolution 229 (WRC-03)</w:t>
      </w:r>
      <w:r w:rsidRPr="00C64ECB">
        <w:t>, which was subsequently revised at WRC-12 to Resolution 229 (Rev. WRC-12)</w:t>
      </w:r>
      <w:r w:rsidRPr="00C64ECB">
        <w:rPr>
          <w:lang w:val="en-US"/>
        </w:rPr>
        <w:t xml:space="preserve"> [38]. These provisions are followed by many Administrations and </w:t>
      </w:r>
      <w:r w:rsidRPr="00C64ECB">
        <w:t>resolves:</w:t>
      </w:r>
    </w:p>
    <w:p w14:paraId="1805F165" w14:textId="77777777" w:rsidR="007C0B5A" w:rsidRPr="00C64ECB" w:rsidRDefault="007C0B5A" w:rsidP="007C0B5A">
      <w:pPr>
        <w:pStyle w:val="B1"/>
      </w:pPr>
      <w:r w:rsidRPr="00C64ECB">
        <w:t>1)</w:t>
      </w:r>
      <w:r w:rsidRPr="00C64ECB">
        <w:tab/>
        <w:t>that the use of these bands by the mobile service will be for the implementation of WAS, including RLANs, as described in the most recent version of Recommendation ITU</w:t>
      </w:r>
      <w:r w:rsidRPr="00C64ECB">
        <w:noBreakHyphen/>
        <w:t>R M.1450;</w:t>
      </w:r>
    </w:p>
    <w:p w14:paraId="370A71EE" w14:textId="77777777" w:rsidR="007C0B5A" w:rsidRPr="00C64ECB" w:rsidRDefault="007C0B5A" w:rsidP="007C0B5A">
      <w:pPr>
        <w:pStyle w:val="B1"/>
      </w:pPr>
      <w:r w:rsidRPr="00C64ECB">
        <w:t>2)</w:t>
      </w:r>
      <w:r w:rsidRPr="00C64ECB">
        <w:tab/>
        <w:t>that in the band 5 150-5 250 MHz, stations in the mobile service shall be restricted to indoor use with a maximum mean e.i.r.p.  of 200 mW and a maximum mean e.i.r.p. density of 10 mW/MHz in any 1 MHz band or equivalently 0.25 mW/25 kHz in any 25 kHz band;</w:t>
      </w:r>
    </w:p>
    <w:p w14:paraId="26C180D1" w14:textId="77777777" w:rsidR="007C0B5A" w:rsidRPr="00C64ECB" w:rsidRDefault="007C0B5A" w:rsidP="007C0B5A">
      <w:pPr>
        <w:pStyle w:val="B1"/>
      </w:pPr>
      <w:r w:rsidRPr="00C64ECB">
        <w:t>3)</w:t>
      </w:r>
      <w:r w:rsidRPr="00C64ECB">
        <w:tab/>
        <w:t>that administrations may monitor whether the aggregate pfd levels given in Recommendation ITU</w:t>
      </w:r>
      <w:r w:rsidRPr="00C64ECB">
        <w:noBreakHyphen/>
        <w:t>R S.1426 have been, or will be exceeded in the future, in order to enable a future competent conference to take appropriate action;</w:t>
      </w:r>
    </w:p>
    <w:p w14:paraId="6877A518" w14:textId="77777777" w:rsidR="007C0B5A" w:rsidRPr="00C64ECB" w:rsidRDefault="007C0B5A" w:rsidP="007C0B5A">
      <w:pPr>
        <w:pStyle w:val="B1"/>
      </w:pPr>
      <w:r w:rsidRPr="00C64ECB">
        <w:t>4)</w:t>
      </w:r>
      <w:r w:rsidRPr="00C64ECB">
        <w:tab/>
        <w:t xml:space="preserve">that in the band 5 250-5 350 MHz, stations in the mobile service shall be limited to a maximum mean e.i.r.p. of 200 mW and a maximum mean e.i.r.p. density of 10 mW/MHz in any 1 MHz band. Administrations are requested to take appropriate measures that will result in the predominant number of stations in the mobile service being operated in an indoor environment. Furthermore, stations in the mobile service that are permitted to be used either indoors or outdoors may operate up to a maximum mean e.i.r.p. of 1 W and a maximum mean e.i.r.p. density of 50 mW/MHz in any 1 MHz band, and, when operating above a mean e.i.r.p. of 200 mW, these stations shall comply with the following e.i.r.p. elevation angle mask where </w:t>
      </w:r>
      <w:r w:rsidRPr="00C64ECB">
        <w:sym w:font="Symbol" w:char="F071"/>
      </w:r>
      <w:r w:rsidRPr="00C64ECB">
        <w:t xml:space="preserve"> is the angle above the local horizontal plane (of the Earth):</w:t>
      </w:r>
    </w:p>
    <w:p w14:paraId="51057B62" w14:textId="2DF2F2FA" w:rsidR="007C0B5A" w:rsidRPr="00C64ECB" w:rsidRDefault="007C0B5A" w:rsidP="007C0B5A">
      <w:pPr>
        <w:pStyle w:val="B2"/>
      </w:pPr>
      <w:r w:rsidRPr="00C64ECB">
        <w:tab/>
        <w:t>–13</w:t>
      </w:r>
      <w:r w:rsidRPr="00C64ECB">
        <w:tab/>
      </w:r>
      <w:r w:rsidR="003F074D" w:rsidRPr="00C64ECB">
        <w:t>dB(W/MHz)</w:t>
      </w:r>
      <w:r w:rsidRPr="00C64ECB">
        <w:tab/>
        <w:t>for</w:t>
      </w:r>
      <w:r w:rsidRPr="00C64ECB">
        <w:tab/>
        <w:t>0</w:t>
      </w:r>
      <w:r w:rsidRPr="00C64ECB">
        <w:sym w:font="Symbol" w:char="F0B0"/>
      </w:r>
      <w:r w:rsidRPr="00C64ECB">
        <w:tab/>
      </w:r>
      <w:r w:rsidRPr="00C64ECB">
        <w:rPr>
          <w:u w:val="single"/>
        </w:rPr>
        <w:t>&lt;</w:t>
      </w:r>
      <w:r w:rsidRPr="00C64ECB">
        <w:t xml:space="preserve"> </w:t>
      </w:r>
      <w:r w:rsidRPr="00C64ECB">
        <w:sym w:font="Symbol" w:char="F071"/>
      </w:r>
      <w:r w:rsidRPr="00C64ECB">
        <w:t xml:space="preserve"> &lt; 8</w:t>
      </w:r>
      <w:r w:rsidRPr="00C64ECB">
        <w:sym w:font="Symbol" w:char="F0B0"/>
      </w:r>
    </w:p>
    <w:p w14:paraId="5A5B4D7F" w14:textId="01357D38" w:rsidR="007C0B5A" w:rsidRPr="00C64ECB" w:rsidRDefault="007C0B5A" w:rsidP="007C0B5A">
      <w:pPr>
        <w:pStyle w:val="B2"/>
      </w:pPr>
      <w:r w:rsidRPr="00C64ECB">
        <w:tab/>
        <w:t>–13 – 0.716(</w:t>
      </w:r>
      <w:r w:rsidRPr="00C64ECB">
        <w:sym w:font="Symbol" w:char="F071"/>
      </w:r>
      <w:r w:rsidR="003F074D" w:rsidRPr="00C64ECB">
        <w:t>-8)</w:t>
      </w:r>
      <w:r w:rsidRPr="00C64ECB">
        <w:tab/>
      </w:r>
      <w:r w:rsidR="003F074D" w:rsidRPr="00C64ECB">
        <w:t>dB(W/MHz)</w:t>
      </w:r>
      <w:r w:rsidRPr="00C64ECB">
        <w:tab/>
        <w:t>for</w:t>
      </w:r>
      <w:r w:rsidRPr="00C64ECB">
        <w:tab/>
        <w:t>8</w:t>
      </w:r>
      <w:r w:rsidRPr="00C64ECB">
        <w:sym w:font="Symbol" w:char="F0B0"/>
      </w:r>
      <w:r w:rsidRPr="00C64ECB">
        <w:tab/>
      </w:r>
      <w:r w:rsidRPr="00C64ECB">
        <w:rPr>
          <w:u w:val="single"/>
        </w:rPr>
        <w:t>&lt;</w:t>
      </w:r>
      <w:r w:rsidRPr="00C64ECB">
        <w:t xml:space="preserve"> </w:t>
      </w:r>
      <w:r w:rsidRPr="00C64ECB">
        <w:sym w:font="Symbol" w:char="F071"/>
      </w:r>
      <w:r w:rsidRPr="00C64ECB">
        <w:t xml:space="preserve"> &lt; 40</w:t>
      </w:r>
      <w:r w:rsidRPr="00C64ECB">
        <w:sym w:font="Symbol" w:char="F0B0"/>
      </w:r>
    </w:p>
    <w:p w14:paraId="7BB8D461" w14:textId="09D08F73" w:rsidR="007C0B5A" w:rsidRPr="00C64ECB" w:rsidRDefault="007C0B5A" w:rsidP="007C0B5A">
      <w:pPr>
        <w:pStyle w:val="B2"/>
      </w:pPr>
      <w:r w:rsidRPr="00C64ECB">
        <w:tab/>
        <w:t>–35.9 – 1.22(</w:t>
      </w:r>
      <w:r w:rsidRPr="00C64ECB">
        <w:sym w:font="Symbol" w:char="F071"/>
      </w:r>
      <w:r w:rsidR="003F074D" w:rsidRPr="00C64ECB">
        <w:t>-40)</w:t>
      </w:r>
      <w:r w:rsidR="003F074D" w:rsidRPr="00C64ECB">
        <w:tab/>
        <w:t>dB(W/MHz)</w:t>
      </w:r>
      <w:r w:rsidRPr="00C64ECB">
        <w:tab/>
        <w:t>for</w:t>
      </w:r>
      <w:r w:rsidRPr="00C64ECB">
        <w:tab/>
        <w:t>40</w:t>
      </w:r>
      <w:r w:rsidRPr="00C64ECB">
        <w:sym w:font="Symbol" w:char="F0B0"/>
      </w:r>
      <w:r w:rsidRPr="00C64ECB">
        <w:tab/>
      </w:r>
      <w:r w:rsidRPr="00C64ECB">
        <w:rPr>
          <w:u w:val="single"/>
        </w:rPr>
        <w:t>&lt;</w:t>
      </w:r>
      <w:r w:rsidRPr="00C64ECB">
        <w:t xml:space="preserve"> </w:t>
      </w:r>
      <w:r w:rsidRPr="00C64ECB">
        <w:sym w:font="Symbol" w:char="F071"/>
      </w:r>
      <w:r w:rsidRPr="00C64ECB">
        <w:t xml:space="preserve"> </w:t>
      </w:r>
      <w:r w:rsidRPr="00C64ECB">
        <w:rPr>
          <w:u w:val="single"/>
        </w:rPr>
        <w:t>&lt;</w:t>
      </w:r>
      <w:r w:rsidRPr="00C64ECB">
        <w:t xml:space="preserve"> 45</w:t>
      </w:r>
      <w:r w:rsidRPr="00C64ECB">
        <w:sym w:font="Symbol" w:char="F0B0"/>
      </w:r>
    </w:p>
    <w:p w14:paraId="7CB885DF" w14:textId="66804C0A" w:rsidR="007C0B5A" w:rsidRPr="00C64ECB" w:rsidRDefault="007C0B5A" w:rsidP="007C0B5A">
      <w:pPr>
        <w:pStyle w:val="B2"/>
      </w:pPr>
      <w:r w:rsidRPr="00C64ECB">
        <w:tab/>
        <w:t>–42</w:t>
      </w:r>
      <w:r w:rsidRPr="00C64ECB">
        <w:tab/>
        <w:t>d</w:t>
      </w:r>
      <w:r w:rsidR="003F074D" w:rsidRPr="00C64ECB">
        <w:t>B(W/MHz)</w:t>
      </w:r>
      <w:r w:rsidRPr="00C64ECB">
        <w:tab/>
      </w:r>
      <w:r w:rsidR="003F074D" w:rsidRPr="00C64ECB">
        <w:t>for</w:t>
      </w:r>
      <w:r w:rsidRPr="00C64ECB">
        <w:tab/>
        <w:t>45</w:t>
      </w:r>
      <w:r w:rsidRPr="00C64ECB">
        <w:sym w:font="Symbol" w:char="F0B0"/>
      </w:r>
      <w:r w:rsidRPr="00C64ECB">
        <w:tab/>
        <w:t xml:space="preserve">&lt; </w:t>
      </w:r>
      <w:r w:rsidRPr="00C64ECB">
        <w:sym w:font="Symbol" w:char="F071"/>
      </w:r>
      <w:r w:rsidRPr="00C64ECB">
        <w:t>;</w:t>
      </w:r>
    </w:p>
    <w:p w14:paraId="4DF4A6EF" w14:textId="77777777" w:rsidR="007C0B5A" w:rsidRPr="00C64ECB" w:rsidRDefault="007C0B5A" w:rsidP="007C0B5A">
      <w:pPr>
        <w:pStyle w:val="B1"/>
      </w:pPr>
      <w:r w:rsidRPr="00C64ECB">
        <w:t>5)</w:t>
      </w:r>
      <w:r w:rsidRPr="00C64ECB">
        <w:tab/>
        <w:t>that administrations may exercise some flexibility in adopting other mitigation techniques, provided that they develop national regulations to meet their obligations to achieve an equivalent level of protection to the EESS (active) and the SRS (active) based on their system characteristics and interference criteria as stated in Recommendation ITU</w:t>
      </w:r>
      <w:r w:rsidRPr="00C64ECB">
        <w:noBreakHyphen/>
        <w:t>R RS.1632;</w:t>
      </w:r>
    </w:p>
    <w:p w14:paraId="3DB50075" w14:textId="77777777" w:rsidR="007C0B5A" w:rsidRPr="00C64ECB" w:rsidRDefault="007C0B5A" w:rsidP="007C0B5A">
      <w:pPr>
        <w:pStyle w:val="B1"/>
      </w:pPr>
      <w:r w:rsidRPr="00C64ECB">
        <w:t>6)</w:t>
      </w:r>
      <w:r w:rsidRPr="00C64ECB">
        <w:tab/>
        <w:t>that in the band 5 470-5 725 MHz, stations in the mobile service shall be restricted to a maximum transmitter power of 250 mW</w:t>
      </w:r>
      <w:r w:rsidRPr="00C64ECB">
        <w:rPr>
          <w:vertAlign w:val="superscript"/>
        </w:rPr>
        <w:t>3</w:t>
      </w:r>
      <w:r w:rsidRPr="00C64ECB">
        <w:t xml:space="preserve"> (</w:t>
      </w:r>
      <w:r w:rsidRPr="00C64ECB">
        <w:rPr>
          <w:iCs/>
        </w:rPr>
        <w:t xml:space="preserve">administrations with existing regulations prior to WRC 03 may exercise some flexibility in determining transmitter power limits) </w:t>
      </w:r>
      <w:r w:rsidRPr="00C64ECB">
        <w:t>with a maximum mean e.i.r.p. of 1 W and a maximum mean e.i.r.p. density of 50 mW/MHz in any 1 MHz band;</w:t>
      </w:r>
    </w:p>
    <w:p w14:paraId="63DF55FA" w14:textId="77777777" w:rsidR="007C0B5A" w:rsidRPr="00C64ECB" w:rsidRDefault="007C0B5A" w:rsidP="007C0B5A">
      <w:pPr>
        <w:pStyle w:val="B1"/>
        <w:rPr>
          <w:i/>
          <w:iCs/>
        </w:rPr>
      </w:pPr>
      <w:r w:rsidRPr="00C64ECB">
        <w:t>7)</w:t>
      </w:r>
      <w:r w:rsidRPr="00C64ECB">
        <w:tab/>
        <w:t>that in the bands 5 250-5 350 MHz and 5 470-5 725 MHz, systems in the mobile service shall either employ transmitter power control to provide, on average, a mitigation factor of at least 3 dB on the maximum average output power of the systems, or, if transmitter power control is not in use, then the maximum mean e.i.r.p. shall be reduced by 3 dB;</w:t>
      </w:r>
    </w:p>
    <w:p w14:paraId="09F250FC" w14:textId="77777777" w:rsidR="007C0B5A" w:rsidRPr="00C64ECB" w:rsidRDefault="007C0B5A" w:rsidP="007C0B5A">
      <w:pPr>
        <w:pStyle w:val="B1"/>
      </w:pPr>
      <w:r w:rsidRPr="00C64ECB">
        <w:t>8)</w:t>
      </w:r>
      <w:r w:rsidRPr="00C64ECB">
        <w:tab/>
        <w:t>that, in the bands 5 250-5 350 MHz and 5 470-5 725 MHz, the mitigation measures found in Annex 1 to Recommendation ITU</w:t>
      </w:r>
      <w:r w:rsidRPr="00C64ECB">
        <w:noBreakHyphen/>
        <w:t>R M.1652-1 shall be implemented by systems in the mobile service to ensure compatible operation with radiodetermination systems,</w:t>
      </w:r>
    </w:p>
    <w:p w14:paraId="30197C02" w14:textId="77777777" w:rsidR="007C0B5A" w:rsidRPr="00C64ECB" w:rsidRDefault="007C0B5A" w:rsidP="007C0B5A">
      <w:pPr>
        <w:rPr>
          <w:lang w:val="en-US"/>
        </w:rPr>
      </w:pPr>
      <w:r w:rsidRPr="00C64ECB">
        <w:rPr>
          <w:lang w:val="en-US"/>
        </w:rPr>
        <w:lastRenderedPageBreak/>
        <w:t xml:space="preserve">This resolution makes DFS as described in the Annex 1 of ITU-R Recommendation M.1652-1 [39] mandatory, the basis for the DFS requirements developed e.g. in Europe and the US. </w:t>
      </w:r>
    </w:p>
    <w:p w14:paraId="5CB735DC" w14:textId="77777777" w:rsidR="007C0B5A" w:rsidRPr="00C64ECB" w:rsidRDefault="007C0B5A" w:rsidP="007C0B5A">
      <w:pPr>
        <w:rPr>
          <w:lang w:val="en-US"/>
        </w:rPr>
      </w:pPr>
      <w:r w:rsidRPr="00C64ECB">
        <w:rPr>
          <w:lang w:val="en-US"/>
        </w:rPr>
        <w:t>WAS is defined as end-user radio connections to public or private core networks, while primary allocation means that the services can claim protection from services of the secondary service. However, the WAS/RLAN services must protect the incumbent primary services.</w:t>
      </w:r>
    </w:p>
    <w:p w14:paraId="7B9A30A7" w14:textId="77777777" w:rsidR="007C0B5A" w:rsidRPr="00C64ECB" w:rsidRDefault="007C0B5A" w:rsidP="007C0B5A">
      <w:pPr>
        <w:rPr>
          <w:lang w:val="en-US"/>
        </w:rPr>
      </w:pPr>
      <w:r w:rsidRPr="00C64ECB">
        <w:rPr>
          <w:lang w:val="en-US"/>
        </w:rPr>
        <w:t>Even if primary in the International table of allocations, this may not be the case in all countries. The bands are not allocated on a primary basis in the US allocation table, but to the Part 15 rules that provide for operation of low power radio transmitters without a license (secondary service operated on a non-interference basis).</w:t>
      </w:r>
    </w:p>
    <w:p w14:paraId="654980E9" w14:textId="77777777" w:rsidR="007C0B5A" w:rsidRPr="00C64ECB" w:rsidRDefault="007C0B5A" w:rsidP="007C0B5A">
      <w:pPr>
        <w:rPr>
          <w:b/>
          <w:u w:val="single"/>
          <w:lang w:val="en-US"/>
        </w:rPr>
      </w:pPr>
      <w:r w:rsidRPr="00C64ECB">
        <w:rPr>
          <w:b/>
          <w:u w:val="single"/>
          <w:lang w:val="en-US"/>
        </w:rPr>
        <w:t>5725-5850 MHz</w:t>
      </w:r>
    </w:p>
    <w:p w14:paraId="4FE3496E" w14:textId="77777777" w:rsidR="007C0B5A" w:rsidRPr="00C64ECB" w:rsidRDefault="007C0B5A" w:rsidP="007C0B5A">
      <w:pPr>
        <w:rPr>
          <w:lang w:val="en-US"/>
        </w:rPr>
      </w:pPr>
      <w:r w:rsidRPr="00C64ECB">
        <w:rPr>
          <w:lang w:val="en-US"/>
        </w:rPr>
        <w:t>The 5725-5875 MHz is allocated for ISM applications by means a footnote in the allocation table. Radiolocation is allocated on primary basis up to 5850 MHz so DFS is required up to this limit. Operation in 5725-5850 MHz is allowed in the US under the Part 15 rules (15.247 and 15.407).</w:t>
      </w:r>
    </w:p>
    <w:p w14:paraId="5D84D22F" w14:textId="77777777" w:rsidR="007C0B5A" w:rsidRPr="00C64ECB" w:rsidRDefault="007C0B5A" w:rsidP="007C0B5A">
      <w:pPr>
        <w:rPr>
          <w:b/>
          <w:u w:val="single"/>
          <w:lang w:val="en-US"/>
        </w:rPr>
      </w:pPr>
      <w:r w:rsidRPr="00C64ECB">
        <w:rPr>
          <w:b/>
          <w:u w:val="single"/>
          <w:lang w:val="en-US"/>
        </w:rPr>
        <w:t>5850-5925 MHz</w:t>
      </w:r>
    </w:p>
    <w:p w14:paraId="4B802B04" w14:textId="77777777" w:rsidR="007C0B5A" w:rsidRPr="00C64ECB" w:rsidRDefault="007C0B5A" w:rsidP="007C0B5A">
      <w:pPr>
        <w:rPr>
          <w:lang w:eastAsia="zh-CN"/>
        </w:rPr>
      </w:pPr>
      <w:r w:rsidRPr="00C64ECB">
        <w:rPr>
          <w:lang w:val="en-US"/>
        </w:rPr>
        <w:t xml:space="preserve">The band is allocated to the mobile service on a primary basis in all regions. In Europe it has been decided (2008) to </w:t>
      </w:r>
      <w:r w:rsidRPr="00C64ECB">
        <w:rPr>
          <w:lang w:val="en-US" w:eastAsia="sv-SE"/>
        </w:rPr>
        <w:t>harmonise the use of the 5875-5925 MHz frequency band for Intelligent Transport Systems (ITS).</w:t>
      </w:r>
      <w:r w:rsidRPr="00C64ECB">
        <w:rPr>
          <w:lang w:val="en-US"/>
        </w:rPr>
        <w:t xml:space="preserve"> Similarly, according to the US allocation table, the use of the non-Federal mobile service in the band 5850-5925 MHz is limited to Dedicated Short Range Communications operating in the Intelligent Transportation System radio service.</w:t>
      </w:r>
    </w:p>
    <w:p w14:paraId="0EFF1F68" w14:textId="77777777" w:rsidR="007C0B5A" w:rsidRPr="00C64ECB" w:rsidRDefault="007C0B5A" w:rsidP="007C0B5A">
      <w:pPr>
        <w:pStyle w:val="Heading3"/>
      </w:pPr>
      <w:bookmarkStart w:id="17" w:name="_Toc531342978"/>
      <w:r w:rsidRPr="00C64ECB">
        <w:t>4.</w:t>
      </w:r>
      <w:r w:rsidRPr="00C64ECB">
        <w:rPr>
          <w:rFonts w:hint="eastAsia"/>
        </w:rPr>
        <w:t>1</w:t>
      </w:r>
      <w:r w:rsidRPr="00C64ECB">
        <w:t>.1</w:t>
      </w:r>
      <w:r w:rsidRPr="00C64ECB">
        <w:tab/>
        <w:t xml:space="preserve">ITU </w:t>
      </w:r>
      <w:r w:rsidRPr="00C64ECB">
        <w:rPr>
          <w:rFonts w:hint="eastAsia"/>
        </w:rPr>
        <w:t>Region 1</w:t>
      </w:r>
      <w:bookmarkEnd w:id="17"/>
    </w:p>
    <w:p w14:paraId="6C64A249" w14:textId="77777777" w:rsidR="007C0B5A" w:rsidRPr="00C64ECB" w:rsidRDefault="007C0B5A" w:rsidP="007C0B5A">
      <w:pPr>
        <w:pStyle w:val="Heading4"/>
      </w:pPr>
      <w:bookmarkStart w:id="18" w:name="_Toc531342979"/>
      <w:r w:rsidRPr="00C64ECB">
        <w:t>4.1.1.1</w:t>
      </w:r>
      <w:r w:rsidRPr="00C64ECB">
        <w:tab/>
        <w:t>Europe</w:t>
      </w:r>
      <w:bookmarkEnd w:id="18"/>
    </w:p>
    <w:p w14:paraId="6BB2ABA0" w14:textId="77777777" w:rsidR="007C0B5A" w:rsidRPr="00C64ECB" w:rsidRDefault="007C0B5A" w:rsidP="007C0B5A">
      <w:r w:rsidRPr="00C64ECB">
        <w:t>The European regulation is determined by the European Commission and the ECC. The relevant regulations for the 5 GHz bands are found in two Commission Decisions [8, 9] and one ECC Decision [10]. These are interpreted by ETSI and used as a basis for harmonized standards, which are used for conformance declaration when products are placed on the European market. Harmonized European standards have a higher regulatory relevance than other product standards, since they are produced based on a mandate from the Commission with reference to an EU directive. They also go through a public enquiry and voting process, and are cited by the Commission. The European requirements on 5 GHz unlicensed deployment are specified in three ETSI harmonized standards [5, 6, and 7]. Figure 4.</w:t>
      </w:r>
      <w:r w:rsidR="000D7B67" w:rsidRPr="00C64ECB">
        <w:t>1.</w:t>
      </w:r>
      <w:r w:rsidRPr="00C64ECB">
        <w:t>1.1-1 summarizes the relevant parts of the 5 GHz band set aside for unlicensed spectrum usage. The 5150-5350 MHz and the 5470-5725 MHz bands are referred here as the broadband radio access networks (BRAN) bands where the wireless access systems (WAS) including RLAN equipment are operating in. Moreover, the 5725-5875 MHz band (in the BRAN domain) is used by the fixed wireless access (FWA) networks and finally the intelligent transport systems (ITS) utilize the 5855-5925 MHz band.</w:t>
      </w:r>
    </w:p>
    <w:p w14:paraId="406F028D" w14:textId="77777777" w:rsidR="007C0B5A" w:rsidRPr="00C64ECB" w:rsidRDefault="007C0B5A" w:rsidP="007C0B5A">
      <w:r w:rsidRPr="00C64ECB">
        <w:t>The BFWA and the ITS are designated by the ECC for use as parts of the 5 GHz band and the relevant regulations are found in:</w:t>
      </w:r>
    </w:p>
    <w:p w14:paraId="7DC1A493" w14:textId="77777777" w:rsidR="007C0B5A" w:rsidRPr="00C64ECB" w:rsidRDefault="007C0B5A" w:rsidP="007C0B5A">
      <w:pPr>
        <w:pStyle w:val="B1"/>
      </w:pPr>
      <w:r w:rsidRPr="00C64ECB">
        <w:t>-</w:t>
      </w:r>
      <w:r w:rsidRPr="00C64ECB">
        <w:tab/>
        <w:t xml:space="preserve">An ECC Recommendation for FBWA [14], and </w:t>
      </w:r>
    </w:p>
    <w:p w14:paraId="08D394F1" w14:textId="77777777" w:rsidR="007C0B5A" w:rsidRPr="00C64ECB" w:rsidRDefault="007C0B5A" w:rsidP="007C0B5A">
      <w:pPr>
        <w:pStyle w:val="B1"/>
      </w:pPr>
      <w:r w:rsidRPr="00C64ECB">
        <w:t>-</w:t>
      </w:r>
      <w:r w:rsidRPr="00C64ECB">
        <w:tab/>
        <w:t>A Commission Decision [15], an ECC Decision [16] and an ECC Recommendation for ITS [17].</w:t>
      </w:r>
    </w:p>
    <w:p w14:paraId="380586A4" w14:textId="77777777" w:rsidR="007C0B5A" w:rsidRPr="00C64ECB" w:rsidRDefault="007C0B5A" w:rsidP="007C0B5A">
      <w:pPr>
        <w:rPr>
          <w:rFonts w:ascii="Arial" w:hAnsi="Arial" w:cs="Arial"/>
        </w:rPr>
      </w:pPr>
      <w:r w:rsidRPr="00C64ECB">
        <w:t>General purpose SRD devices can also operate in the band 5725-5875 MHz under the provisions of the ETSI harmonised standard EN 300 440 [18], but with reduced max EIRP of 25 mW.</w:t>
      </w:r>
      <w:r w:rsidRPr="00C64ECB">
        <w:rPr>
          <w:rFonts w:ascii="Arial" w:hAnsi="Arial" w:cs="Arial"/>
        </w:rPr>
        <w:t xml:space="preserve"> </w:t>
      </w:r>
    </w:p>
    <w:p w14:paraId="470B180C" w14:textId="77777777" w:rsidR="007C0B5A" w:rsidRPr="00C64ECB" w:rsidRDefault="007C0B5A" w:rsidP="007C0B5A">
      <w:pPr>
        <w:pStyle w:val="TH"/>
      </w:pPr>
    </w:p>
    <w:p w14:paraId="0FA64F5E" w14:textId="77777777" w:rsidR="007C0B5A" w:rsidRPr="00C64ECB" w:rsidRDefault="004F63C6" w:rsidP="007C0B5A">
      <w:pPr>
        <w:pStyle w:val="TH"/>
        <w:rPr>
          <w:sz w:val="24"/>
        </w:rPr>
      </w:pPr>
      <w:r w:rsidRPr="00C64ECB">
        <w:rPr>
          <w:noProof/>
          <w:sz w:val="24"/>
          <w:lang w:val="en-US" w:eastAsia="zh-CN"/>
        </w:rPr>
        <w:drawing>
          <wp:inline distT="0" distB="0" distL="0" distR="0" wp14:anchorId="22305B92" wp14:editId="3435ACBB">
            <wp:extent cx="6127750" cy="1419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7750" cy="1419225"/>
                    </a:xfrm>
                    <a:prstGeom prst="rect">
                      <a:avLst/>
                    </a:prstGeom>
                    <a:noFill/>
                    <a:ln>
                      <a:noFill/>
                    </a:ln>
                  </pic:spPr>
                </pic:pic>
              </a:graphicData>
            </a:graphic>
          </wp:inline>
        </w:drawing>
      </w:r>
    </w:p>
    <w:p w14:paraId="7A3F75CD" w14:textId="77777777" w:rsidR="007C0B5A" w:rsidRPr="00C64ECB" w:rsidRDefault="007C0B5A" w:rsidP="007C0B5A">
      <w:pPr>
        <w:pStyle w:val="TF"/>
        <w:rPr>
          <w:sz w:val="22"/>
        </w:rPr>
      </w:pPr>
      <w:r w:rsidRPr="00C64ECB">
        <w:t>Figure 4.1.1.1-1: 5 GHz spectrum allocations in Europe.</w:t>
      </w:r>
    </w:p>
    <w:p w14:paraId="6F974390" w14:textId="77777777" w:rsidR="007C0B5A" w:rsidRPr="00C64ECB" w:rsidRDefault="007C0B5A" w:rsidP="005E1804"/>
    <w:p w14:paraId="1907E287" w14:textId="77777777" w:rsidR="007C0B5A" w:rsidRPr="00C64ECB" w:rsidRDefault="007C0B5A" w:rsidP="007C0B5A">
      <w:r w:rsidRPr="00C64ECB">
        <w:t>The European Commission has recently submitted to CEPT a mandate to study the conditions for the extension of the 5 GHz range designated for WAS/RLANs [19] in order to allow the use by WAS/RLANs of the whole 5150-5925 MHz band.</w:t>
      </w:r>
    </w:p>
    <w:p w14:paraId="5E8A0838" w14:textId="77777777" w:rsidR="007C0B5A" w:rsidRPr="00C64ECB" w:rsidRDefault="007C0B5A" w:rsidP="007C0B5A">
      <w:r w:rsidRPr="00C64ECB">
        <w:t>ECC approved CEPT Report 57 in March 2015 in response to the mandate based on the results of the Public Consultation. CEPT has carried out a significant amount of work but studies on mitigation techniques have not been completed in the timeframe and there are still a number of open issues ongoing.</w:t>
      </w:r>
    </w:p>
    <w:p w14:paraId="706A2881" w14:textId="77777777" w:rsidR="007C0B5A" w:rsidRPr="00C64ECB" w:rsidRDefault="007C0B5A" w:rsidP="007C0B5A">
      <w:pPr>
        <w:pStyle w:val="TH"/>
      </w:pPr>
      <w:r w:rsidRPr="00C64ECB">
        <w:object w:dxaOrig="9675" w:dyaOrig="3360" w14:anchorId="0A306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65.75pt" o:ole="">
            <v:imagedata r:id="rId17" o:title=""/>
          </v:shape>
          <o:OLEObject Type="Embed" ProgID="Visio.Drawing.15" ShapeID="_x0000_i1025" DrawAspect="Content" ObjectID="_1606762333" r:id="rId18"/>
        </w:object>
      </w:r>
    </w:p>
    <w:p w14:paraId="33A0C6BD" w14:textId="77777777" w:rsidR="007C0B5A" w:rsidRPr="00C64ECB" w:rsidRDefault="007C0B5A" w:rsidP="007C0B5A">
      <w:pPr>
        <w:pStyle w:val="TF"/>
      </w:pPr>
      <w:r w:rsidRPr="00C64ECB">
        <w:t xml:space="preserve">Figure 4.1.1.1-2: Summary of existing and proposed EU regulations </w:t>
      </w:r>
      <w:r w:rsidRPr="00C64ECB">
        <w:rPr>
          <w:noProof/>
        </w:rPr>
        <w:t>for WAS/RLANs in the 5GHz band</w:t>
      </w:r>
    </w:p>
    <w:p w14:paraId="39F50D76" w14:textId="77777777" w:rsidR="007C0B5A" w:rsidRPr="00C64ECB" w:rsidRDefault="007C0B5A" w:rsidP="005E1804"/>
    <w:p w14:paraId="091248AE" w14:textId="77777777" w:rsidR="007C0B5A" w:rsidRPr="00C64ECB" w:rsidRDefault="007C0B5A" w:rsidP="007C0B5A">
      <w:r w:rsidRPr="00C64ECB">
        <w:t>In the rest of this section, the specified ETSI requirements for the WAS/RLAN and FWA bands are summarized. Table 4.</w:t>
      </w:r>
      <w:r w:rsidR="000D7B67" w:rsidRPr="00C64ECB">
        <w:t>1.</w:t>
      </w:r>
      <w:r w:rsidRPr="00C64ECB">
        <w:t>1.1-1 provides the limits on the transmit power control (TPC), the RF output power and power density given by the mean EIRP and the mean EIRP density at the highest power level. Additionally the requirements on the transmitter out of band emissions are listed in Table 4.</w:t>
      </w:r>
      <w:r w:rsidR="000D7B67" w:rsidRPr="00C64ECB">
        <w:t>1.</w:t>
      </w:r>
      <w:r w:rsidRPr="00C64ECB">
        <w:t>1.1-2, Figures 4.</w:t>
      </w:r>
      <w:r w:rsidR="000D7B67" w:rsidRPr="00C64ECB">
        <w:t>1.</w:t>
      </w:r>
      <w:r w:rsidRPr="00C64ECB">
        <w:t>1.1-3a, and Figure 4.</w:t>
      </w:r>
      <w:r w:rsidR="000D7B67" w:rsidRPr="00C64ECB">
        <w:t>1.</w:t>
      </w:r>
      <w:r w:rsidRPr="00C64ECB">
        <w:t>1.1-3b. Table 4.</w:t>
      </w:r>
      <w:r w:rsidR="000D7B67" w:rsidRPr="00C64ECB">
        <w:t>1.</w:t>
      </w:r>
      <w:r w:rsidRPr="00C64ECB">
        <w:t>1.1-4 illustrates the DFS requirements for some of these bands in Europe. Moreover, the 5150-5350 MHz is restricted to indoor deployments.</w:t>
      </w:r>
    </w:p>
    <w:p w14:paraId="1D7AE267" w14:textId="77777777" w:rsidR="007C0B5A" w:rsidRPr="00C64ECB" w:rsidRDefault="007C0B5A" w:rsidP="007C0B5A">
      <w:pPr>
        <w:rPr>
          <w:kern w:val="2"/>
          <w:lang w:val="en-US"/>
        </w:rPr>
      </w:pPr>
      <w:r w:rsidRPr="00C64ECB">
        <w:rPr>
          <w:kern w:val="2"/>
          <w:lang w:val="en-US"/>
        </w:rPr>
        <w:t xml:space="preserve">Transmit Power Control (TPC) is a mechanism to be used by the RLAN device to ensure a mitigation factor of at least 3 dB on the aggregate power from a large number of devices. This requires the RLAN device with TPC to have a TPC range for which the lowest value is at least 6 dB below the values for mean EIRP given in Table </w:t>
      </w:r>
      <w:r w:rsidR="000D7B67" w:rsidRPr="00C64ECB">
        <w:rPr>
          <w:kern w:val="2"/>
          <w:lang w:val="en-US"/>
        </w:rPr>
        <w:t>4.1</w:t>
      </w:r>
      <w:r w:rsidRPr="00C64ECB">
        <w:rPr>
          <w:kern w:val="2"/>
          <w:lang w:val="en-US"/>
        </w:rPr>
        <w:t>.1.1-1.</w:t>
      </w:r>
    </w:p>
    <w:p w14:paraId="0E4C3CD2" w14:textId="77777777" w:rsidR="007C0B5A" w:rsidRPr="00C64ECB" w:rsidRDefault="007C0B5A" w:rsidP="007C0B5A">
      <w:r w:rsidRPr="00C64ECB">
        <w:rPr>
          <w:lang w:val="en-US"/>
        </w:rPr>
        <w:t xml:space="preserve">In ETSI EN 301 893 </w:t>
      </w:r>
      <w:r w:rsidRPr="00C64ECB">
        <w:rPr>
          <w:kern w:val="2"/>
          <w:lang w:val="en-US"/>
        </w:rPr>
        <w:t xml:space="preserve">[5], the requirements on the Nominal Channel Bandwidth and the Occupied Channel Bandwidth are defined for unlicensed spectrum in the 5 GHz region. The Nominal Channel Bandwidth, i.e., the widest band of frequencies inclusive of guard bands assigned to a single channel, shall be at least 5MHz at all times. The Occupied Channel Bandwidth, i.e., the bandwidth containing 99 % of the power of the signal, shall be between 80 % and 100 % of the declared Nominal Channel Bandwidth. </w:t>
      </w:r>
      <w:r w:rsidRPr="00C64ECB">
        <w:rPr>
          <w:rFonts w:eastAsia="MS Mincho"/>
          <w:lang w:val="en-US"/>
        </w:rPr>
        <w:t xml:space="preserve">During an established communication, a device is allowed to operate temporarily in a mode where its Occupied Channel Bandwidth may be reduced to as low as 40 % of its Nominal Channel Bandwidth with a minimum of 4 MHz. </w:t>
      </w:r>
      <w:r w:rsidRPr="00C64ECB">
        <w:rPr>
          <w:kern w:val="2"/>
          <w:lang w:val="en-US"/>
        </w:rPr>
        <w:t>The Occupied Channel Bandwidth is determined by the test procedure defined in Section 5.3.3.2 in [5].</w:t>
      </w:r>
    </w:p>
    <w:p w14:paraId="1DC60EFF" w14:textId="79641EE5" w:rsidR="007C0B5A" w:rsidRPr="00C64ECB" w:rsidRDefault="007C0B5A" w:rsidP="007C0B5A">
      <w:r w:rsidRPr="00C64ECB">
        <w:t>ETSI mandates the usage of DFS in some bands as shown in Table 4.</w:t>
      </w:r>
      <w:r w:rsidR="000D7B67" w:rsidRPr="00C64ECB">
        <w:t>1.</w:t>
      </w:r>
      <w:r w:rsidRPr="00C64ECB">
        <w:t>1.1-4. Furthermore, a Listen-Before-Talk (LBT) mechanism is requested independently of whether the channel is occupied or not</w:t>
      </w:r>
      <w:r w:rsidR="001A0DD8">
        <w:t xml:space="preserve"> (Section 4.2.7 of [5])</w:t>
      </w:r>
      <w:r w:rsidRPr="00C64ECB">
        <w:t>. Note that no LBT requirement is requested in [6] for the FWA band.</w:t>
      </w:r>
    </w:p>
    <w:p w14:paraId="523A03C8" w14:textId="77777777" w:rsidR="007C0B5A" w:rsidRPr="00C64ECB" w:rsidRDefault="007C0B5A" w:rsidP="007C0B5A">
      <w:pPr>
        <w:rPr>
          <w:sz w:val="24"/>
        </w:rPr>
      </w:pPr>
    </w:p>
    <w:p w14:paraId="16B003DF" w14:textId="77777777" w:rsidR="007C0B5A" w:rsidRPr="00C64ECB" w:rsidRDefault="007C0B5A" w:rsidP="007C0B5A">
      <w:pPr>
        <w:pStyle w:val="TH"/>
      </w:pPr>
      <w:bookmarkStart w:id="19" w:name="_Ref375161150"/>
      <w:r w:rsidRPr="00C64ECB">
        <w:lastRenderedPageBreak/>
        <w:t>Table 4.1.1.1-</w:t>
      </w:r>
      <w:bookmarkEnd w:id="19"/>
      <w:r w:rsidRPr="00C64ECB">
        <w:t>1: TPC, Transmit power and power spectral density requirements in Europe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559"/>
        <w:gridCol w:w="1559"/>
        <w:gridCol w:w="1701"/>
        <w:gridCol w:w="2094"/>
      </w:tblGrid>
      <w:tr w:rsidR="007C0B5A" w:rsidRPr="00C64ECB" w14:paraId="13878C39" w14:textId="77777777" w:rsidTr="00126681">
        <w:trPr>
          <w:jc w:val="center"/>
        </w:trPr>
        <w:tc>
          <w:tcPr>
            <w:tcW w:w="1402" w:type="dxa"/>
            <w:tcBorders>
              <w:bottom w:val="single" w:sz="6" w:space="0" w:color="000000"/>
            </w:tcBorders>
            <w:shd w:val="solid" w:color="800080" w:fill="FFFFFF"/>
          </w:tcPr>
          <w:p w14:paraId="79915148" w14:textId="77777777" w:rsidR="007C0B5A" w:rsidRPr="00C64ECB" w:rsidRDefault="007C0B5A" w:rsidP="00126681">
            <w:pPr>
              <w:pStyle w:val="TAH"/>
            </w:pPr>
          </w:p>
        </w:tc>
        <w:tc>
          <w:tcPr>
            <w:tcW w:w="1559" w:type="dxa"/>
            <w:tcBorders>
              <w:bottom w:val="single" w:sz="6" w:space="0" w:color="000000"/>
            </w:tcBorders>
            <w:shd w:val="solid" w:color="800080" w:fill="FFFFFF"/>
          </w:tcPr>
          <w:p w14:paraId="56E83E1A" w14:textId="77777777" w:rsidR="007C0B5A" w:rsidRPr="00C64ECB" w:rsidRDefault="007C0B5A" w:rsidP="00126681">
            <w:pPr>
              <w:pStyle w:val="TAH"/>
              <w:rPr>
                <w:lang w:val="en-US"/>
              </w:rPr>
            </w:pPr>
            <w:r w:rsidRPr="00C64ECB">
              <w:rPr>
                <w:lang w:val="en-US"/>
              </w:rPr>
              <w:t>Freq. range (MHz)</w:t>
            </w:r>
          </w:p>
        </w:tc>
        <w:tc>
          <w:tcPr>
            <w:tcW w:w="1559" w:type="dxa"/>
            <w:tcBorders>
              <w:bottom w:val="single" w:sz="6" w:space="0" w:color="000000"/>
            </w:tcBorders>
            <w:shd w:val="solid" w:color="800080" w:fill="FFFFFF"/>
          </w:tcPr>
          <w:p w14:paraId="26A34A88" w14:textId="77777777" w:rsidR="007C0B5A" w:rsidRPr="00C64ECB" w:rsidRDefault="007C0B5A" w:rsidP="00126681">
            <w:pPr>
              <w:pStyle w:val="TAH"/>
              <w:rPr>
                <w:lang w:val="en-US"/>
              </w:rPr>
            </w:pPr>
            <w:r w:rsidRPr="00C64ECB">
              <w:rPr>
                <w:lang w:val="en-US"/>
              </w:rPr>
              <w:t>Max Mean EIRP (dBm)</w:t>
            </w:r>
          </w:p>
        </w:tc>
        <w:tc>
          <w:tcPr>
            <w:tcW w:w="1701" w:type="dxa"/>
            <w:tcBorders>
              <w:bottom w:val="single" w:sz="6" w:space="0" w:color="000000"/>
            </w:tcBorders>
            <w:shd w:val="solid" w:color="800080" w:fill="FFFFFF"/>
          </w:tcPr>
          <w:p w14:paraId="616F0A23" w14:textId="77777777" w:rsidR="007C0B5A" w:rsidRPr="00C64ECB" w:rsidRDefault="007C0B5A" w:rsidP="00126681">
            <w:pPr>
              <w:pStyle w:val="TAH"/>
              <w:rPr>
                <w:lang w:val="en-US"/>
              </w:rPr>
            </w:pPr>
            <w:r w:rsidRPr="00C64ECB">
              <w:rPr>
                <w:lang w:val="en-US"/>
              </w:rPr>
              <w:t>Max Mean EIRP density (dBm/MHz)</w:t>
            </w:r>
          </w:p>
        </w:tc>
        <w:tc>
          <w:tcPr>
            <w:tcW w:w="2094" w:type="dxa"/>
            <w:tcBorders>
              <w:bottom w:val="single" w:sz="6" w:space="0" w:color="000000"/>
            </w:tcBorders>
            <w:shd w:val="solid" w:color="800080" w:fill="FFFFFF"/>
          </w:tcPr>
          <w:p w14:paraId="7BE4CC89" w14:textId="77777777" w:rsidR="007C0B5A" w:rsidRPr="00C64ECB" w:rsidRDefault="007C0B5A" w:rsidP="00126681">
            <w:pPr>
              <w:pStyle w:val="TAH"/>
              <w:rPr>
                <w:lang w:val="en-US"/>
              </w:rPr>
            </w:pPr>
            <w:r w:rsidRPr="00C64ECB">
              <w:rPr>
                <w:lang w:val="en-US"/>
              </w:rPr>
              <w:t>Comment</w:t>
            </w:r>
          </w:p>
        </w:tc>
      </w:tr>
      <w:tr w:rsidR="007C0B5A" w:rsidRPr="00C64ECB" w14:paraId="7C0A5A4D" w14:textId="77777777" w:rsidTr="00126681">
        <w:trPr>
          <w:jc w:val="center"/>
        </w:trPr>
        <w:tc>
          <w:tcPr>
            <w:tcW w:w="1402" w:type="dxa"/>
            <w:vMerge w:val="restart"/>
            <w:shd w:val="solid" w:color="C0C0C0" w:fill="FFFFFF"/>
          </w:tcPr>
          <w:p w14:paraId="521B2246" w14:textId="77777777" w:rsidR="007C0B5A" w:rsidRPr="00C64ECB" w:rsidRDefault="007C0B5A" w:rsidP="005E1804">
            <w:pPr>
              <w:pStyle w:val="TAC"/>
              <w:rPr>
                <w:lang w:val="en-US"/>
              </w:rPr>
            </w:pPr>
            <w:r w:rsidRPr="00C64ECB">
              <w:rPr>
                <w:lang w:val="en-US"/>
              </w:rPr>
              <w:t>WAS/RLAN</w:t>
            </w:r>
          </w:p>
        </w:tc>
        <w:tc>
          <w:tcPr>
            <w:tcW w:w="1559" w:type="dxa"/>
            <w:shd w:val="clear" w:color="auto" w:fill="auto"/>
          </w:tcPr>
          <w:p w14:paraId="75FEC0C7" w14:textId="77777777" w:rsidR="007C0B5A" w:rsidRPr="00C64ECB" w:rsidRDefault="007C0B5A" w:rsidP="005E1804">
            <w:pPr>
              <w:pStyle w:val="TAC"/>
              <w:rPr>
                <w:lang w:val="en-US"/>
              </w:rPr>
            </w:pPr>
            <w:r w:rsidRPr="00C64ECB">
              <w:rPr>
                <w:lang w:val="en-US"/>
              </w:rPr>
              <w:t>5150-5350</w:t>
            </w:r>
          </w:p>
        </w:tc>
        <w:tc>
          <w:tcPr>
            <w:tcW w:w="1559" w:type="dxa"/>
            <w:shd w:val="clear" w:color="auto" w:fill="auto"/>
          </w:tcPr>
          <w:p w14:paraId="49367AF8" w14:textId="77777777" w:rsidR="007C0B5A" w:rsidRPr="00C64ECB" w:rsidRDefault="007C0B5A" w:rsidP="005E1804">
            <w:pPr>
              <w:pStyle w:val="TAC"/>
              <w:rPr>
                <w:lang w:val="en-US"/>
              </w:rPr>
            </w:pPr>
            <w:r w:rsidRPr="00C64ECB">
              <w:rPr>
                <w:lang w:val="en-US"/>
              </w:rPr>
              <w:t>23</w:t>
            </w:r>
          </w:p>
        </w:tc>
        <w:tc>
          <w:tcPr>
            <w:tcW w:w="1701" w:type="dxa"/>
            <w:shd w:val="clear" w:color="auto" w:fill="auto"/>
          </w:tcPr>
          <w:p w14:paraId="4A184C7E" w14:textId="77777777" w:rsidR="007C0B5A" w:rsidRPr="00C64ECB" w:rsidRDefault="007C0B5A" w:rsidP="005E1804">
            <w:pPr>
              <w:pStyle w:val="TAC"/>
              <w:rPr>
                <w:lang w:val="en-US"/>
              </w:rPr>
            </w:pPr>
            <w:r w:rsidRPr="00C64ECB">
              <w:rPr>
                <w:lang w:val="en-US"/>
              </w:rPr>
              <w:t>10</w:t>
            </w:r>
          </w:p>
        </w:tc>
        <w:tc>
          <w:tcPr>
            <w:tcW w:w="2094" w:type="dxa"/>
            <w:vMerge w:val="restart"/>
            <w:shd w:val="clear" w:color="auto" w:fill="auto"/>
          </w:tcPr>
          <w:p w14:paraId="213B53CB" w14:textId="77777777" w:rsidR="007C0B5A" w:rsidRPr="00C64ECB" w:rsidRDefault="007C0B5A" w:rsidP="005E1804">
            <w:pPr>
              <w:pStyle w:val="TAC"/>
              <w:rPr>
                <w:lang w:val="en-US"/>
              </w:rPr>
            </w:pPr>
            <w:r w:rsidRPr="00C64ECB">
              <w:rPr>
                <w:lang w:val="en-US"/>
              </w:rPr>
              <w:t>20 MHz and 40 MHz channels</w:t>
            </w:r>
          </w:p>
        </w:tc>
      </w:tr>
      <w:tr w:rsidR="007C0B5A" w:rsidRPr="00C64ECB" w14:paraId="707A0BF1" w14:textId="77777777" w:rsidTr="00126681">
        <w:trPr>
          <w:jc w:val="center"/>
        </w:trPr>
        <w:tc>
          <w:tcPr>
            <w:tcW w:w="1402" w:type="dxa"/>
            <w:vMerge/>
            <w:shd w:val="solid" w:color="C0C0C0" w:fill="FFFFFF"/>
          </w:tcPr>
          <w:p w14:paraId="343727B8" w14:textId="77777777" w:rsidR="007C0B5A" w:rsidRPr="00C64ECB" w:rsidRDefault="007C0B5A" w:rsidP="005E1804">
            <w:pPr>
              <w:pStyle w:val="TAC"/>
              <w:rPr>
                <w:lang w:val="en-US"/>
              </w:rPr>
            </w:pPr>
          </w:p>
        </w:tc>
        <w:tc>
          <w:tcPr>
            <w:tcW w:w="1559" w:type="dxa"/>
            <w:shd w:val="clear" w:color="auto" w:fill="auto"/>
          </w:tcPr>
          <w:p w14:paraId="42FB9F7A" w14:textId="77777777" w:rsidR="007C0B5A" w:rsidRPr="00C64ECB" w:rsidRDefault="007C0B5A" w:rsidP="005E1804">
            <w:pPr>
              <w:pStyle w:val="TAC"/>
              <w:rPr>
                <w:lang w:val="en-US"/>
              </w:rPr>
            </w:pPr>
            <w:r w:rsidRPr="00C64ECB">
              <w:t>5470-5725</w:t>
            </w:r>
          </w:p>
        </w:tc>
        <w:tc>
          <w:tcPr>
            <w:tcW w:w="1559" w:type="dxa"/>
            <w:shd w:val="clear" w:color="auto" w:fill="auto"/>
          </w:tcPr>
          <w:p w14:paraId="4A21D8CC" w14:textId="77777777" w:rsidR="007C0B5A" w:rsidRPr="00C64ECB" w:rsidRDefault="007C0B5A" w:rsidP="005E1804">
            <w:pPr>
              <w:pStyle w:val="TAC"/>
              <w:rPr>
                <w:lang w:val="en-US"/>
              </w:rPr>
            </w:pPr>
            <w:r w:rsidRPr="00C64ECB">
              <w:rPr>
                <w:lang w:val="en-US"/>
              </w:rPr>
              <w:t>30</w:t>
            </w:r>
          </w:p>
        </w:tc>
        <w:tc>
          <w:tcPr>
            <w:tcW w:w="1701" w:type="dxa"/>
            <w:shd w:val="clear" w:color="auto" w:fill="auto"/>
          </w:tcPr>
          <w:p w14:paraId="0F86DCE9" w14:textId="77777777" w:rsidR="007C0B5A" w:rsidRPr="00C64ECB" w:rsidRDefault="007C0B5A" w:rsidP="005E1804">
            <w:pPr>
              <w:pStyle w:val="TAC"/>
              <w:rPr>
                <w:lang w:val="en-US"/>
              </w:rPr>
            </w:pPr>
            <w:r w:rsidRPr="00C64ECB">
              <w:rPr>
                <w:lang w:val="en-US"/>
              </w:rPr>
              <w:t>17</w:t>
            </w:r>
          </w:p>
        </w:tc>
        <w:tc>
          <w:tcPr>
            <w:tcW w:w="2094" w:type="dxa"/>
            <w:vMerge/>
            <w:shd w:val="clear" w:color="auto" w:fill="auto"/>
          </w:tcPr>
          <w:p w14:paraId="43D57F1B" w14:textId="77777777" w:rsidR="007C0B5A" w:rsidRPr="00C64ECB" w:rsidRDefault="007C0B5A" w:rsidP="005E1804">
            <w:pPr>
              <w:pStyle w:val="TAC"/>
              <w:rPr>
                <w:lang w:val="en-US"/>
              </w:rPr>
            </w:pPr>
          </w:p>
        </w:tc>
      </w:tr>
      <w:tr w:rsidR="007C0B5A" w:rsidRPr="00C64ECB" w14:paraId="49D575FE" w14:textId="77777777" w:rsidTr="00126681">
        <w:trPr>
          <w:jc w:val="center"/>
        </w:trPr>
        <w:tc>
          <w:tcPr>
            <w:tcW w:w="1402" w:type="dxa"/>
            <w:vMerge w:val="restart"/>
            <w:shd w:val="solid" w:color="C0C0C0" w:fill="FFFFFF"/>
          </w:tcPr>
          <w:p w14:paraId="1529144A" w14:textId="77777777" w:rsidR="007C0B5A" w:rsidRPr="00C64ECB" w:rsidRDefault="007C0B5A" w:rsidP="005E1804">
            <w:pPr>
              <w:pStyle w:val="TAC"/>
              <w:rPr>
                <w:lang w:val="en-US"/>
              </w:rPr>
            </w:pPr>
            <w:r w:rsidRPr="00C64ECB">
              <w:rPr>
                <w:lang w:val="en-US"/>
              </w:rPr>
              <w:t>FWA</w:t>
            </w:r>
          </w:p>
        </w:tc>
        <w:tc>
          <w:tcPr>
            <w:tcW w:w="1559" w:type="dxa"/>
            <w:shd w:val="clear" w:color="auto" w:fill="auto"/>
          </w:tcPr>
          <w:p w14:paraId="63FC188C" w14:textId="77777777" w:rsidR="007C0B5A" w:rsidRPr="00C64ECB" w:rsidRDefault="007C0B5A" w:rsidP="005E1804">
            <w:pPr>
              <w:pStyle w:val="TAC"/>
              <w:rPr>
                <w:lang w:val="en-US"/>
              </w:rPr>
            </w:pPr>
            <w:r w:rsidRPr="00C64ECB">
              <w:t>5725-5875</w:t>
            </w:r>
          </w:p>
        </w:tc>
        <w:tc>
          <w:tcPr>
            <w:tcW w:w="1559" w:type="dxa"/>
            <w:shd w:val="clear" w:color="auto" w:fill="auto"/>
          </w:tcPr>
          <w:p w14:paraId="59469F81" w14:textId="77777777" w:rsidR="007C0B5A" w:rsidRPr="00C64ECB" w:rsidRDefault="007C0B5A" w:rsidP="005E1804">
            <w:pPr>
              <w:pStyle w:val="TAC"/>
              <w:rPr>
                <w:lang w:val="en-US"/>
              </w:rPr>
            </w:pPr>
            <w:r w:rsidRPr="00C64ECB">
              <w:rPr>
                <w:lang w:val="en-US"/>
              </w:rPr>
              <w:t>33</w:t>
            </w:r>
          </w:p>
        </w:tc>
        <w:tc>
          <w:tcPr>
            <w:tcW w:w="1701" w:type="dxa"/>
            <w:shd w:val="clear" w:color="auto" w:fill="auto"/>
          </w:tcPr>
          <w:p w14:paraId="0562003E" w14:textId="77777777" w:rsidR="007C0B5A" w:rsidRPr="00C64ECB" w:rsidRDefault="007C0B5A" w:rsidP="005E1804">
            <w:pPr>
              <w:pStyle w:val="TAC"/>
              <w:rPr>
                <w:lang w:val="en-US"/>
              </w:rPr>
            </w:pPr>
            <w:r w:rsidRPr="00C64ECB">
              <w:rPr>
                <w:lang w:val="en-US"/>
              </w:rPr>
              <w:t>23</w:t>
            </w:r>
          </w:p>
        </w:tc>
        <w:tc>
          <w:tcPr>
            <w:tcW w:w="2094" w:type="dxa"/>
            <w:shd w:val="clear" w:color="auto" w:fill="auto"/>
          </w:tcPr>
          <w:p w14:paraId="1BAFFEFA" w14:textId="77777777" w:rsidR="007C0B5A" w:rsidRPr="00C64ECB" w:rsidRDefault="007C0B5A" w:rsidP="005E1804">
            <w:pPr>
              <w:pStyle w:val="TAC"/>
              <w:rPr>
                <w:lang w:val="en-US"/>
              </w:rPr>
            </w:pPr>
            <w:r w:rsidRPr="00C64ECB">
              <w:rPr>
                <w:lang w:val="en-US"/>
              </w:rPr>
              <w:t>10 MHz channels</w:t>
            </w:r>
          </w:p>
        </w:tc>
      </w:tr>
      <w:tr w:rsidR="007C0B5A" w:rsidRPr="00C64ECB" w14:paraId="3E8DCB68" w14:textId="77777777" w:rsidTr="00126681">
        <w:trPr>
          <w:jc w:val="center"/>
        </w:trPr>
        <w:tc>
          <w:tcPr>
            <w:tcW w:w="1402" w:type="dxa"/>
            <w:vMerge/>
            <w:shd w:val="solid" w:color="C0C0C0" w:fill="FFFFFF"/>
          </w:tcPr>
          <w:p w14:paraId="1D1C5B74" w14:textId="77777777" w:rsidR="007C0B5A" w:rsidRPr="00C64ECB" w:rsidRDefault="007C0B5A" w:rsidP="005E1804">
            <w:pPr>
              <w:pStyle w:val="TAC"/>
              <w:rPr>
                <w:rFonts w:cs="Arial"/>
                <w:b/>
                <w:bCs/>
                <w:lang w:val="en-US"/>
              </w:rPr>
            </w:pPr>
          </w:p>
        </w:tc>
        <w:tc>
          <w:tcPr>
            <w:tcW w:w="1559" w:type="dxa"/>
            <w:shd w:val="clear" w:color="auto" w:fill="auto"/>
          </w:tcPr>
          <w:p w14:paraId="63ED443C" w14:textId="77777777" w:rsidR="007C0B5A" w:rsidRPr="00C64ECB" w:rsidRDefault="007C0B5A" w:rsidP="005E1804">
            <w:pPr>
              <w:pStyle w:val="TAC"/>
              <w:rPr>
                <w:lang w:val="en-US"/>
              </w:rPr>
            </w:pPr>
            <w:r w:rsidRPr="00C64ECB">
              <w:t>5725-5875</w:t>
            </w:r>
          </w:p>
        </w:tc>
        <w:tc>
          <w:tcPr>
            <w:tcW w:w="1559" w:type="dxa"/>
            <w:shd w:val="clear" w:color="auto" w:fill="auto"/>
          </w:tcPr>
          <w:p w14:paraId="205F9C7F" w14:textId="77777777" w:rsidR="007C0B5A" w:rsidRPr="00C64ECB" w:rsidRDefault="007C0B5A" w:rsidP="005E1804">
            <w:pPr>
              <w:pStyle w:val="TAC"/>
              <w:rPr>
                <w:lang w:val="en-US"/>
              </w:rPr>
            </w:pPr>
            <w:r w:rsidRPr="00C64ECB">
              <w:rPr>
                <w:lang w:val="en-US"/>
              </w:rPr>
              <w:t>36</w:t>
            </w:r>
          </w:p>
        </w:tc>
        <w:tc>
          <w:tcPr>
            <w:tcW w:w="1701" w:type="dxa"/>
            <w:shd w:val="clear" w:color="auto" w:fill="auto"/>
          </w:tcPr>
          <w:p w14:paraId="0F0380CB" w14:textId="77777777" w:rsidR="007C0B5A" w:rsidRPr="00C64ECB" w:rsidRDefault="007C0B5A" w:rsidP="005E1804">
            <w:pPr>
              <w:pStyle w:val="TAC"/>
              <w:rPr>
                <w:lang w:val="en-US"/>
              </w:rPr>
            </w:pPr>
            <w:r w:rsidRPr="00C64ECB">
              <w:rPr>
                <w:lang w:val="en-US"/>
              </w:rPr>
              <w:t>23</w:t>
            </w:r>
          </w:p>
        </w:tc>
        <w:tc>
          <w:tcPr>
            <w:tcW w:w="2094" w:type="dxa"/>
            <w:shd w:val="clear" w:color="auto" w:fill="auto"/>
          </w:tcPr>
          <w:p w14:paraId="14709842" w14:textId="77777777" w:rsidR="007C0B5A" w:rsidRPr="00C64ECB" w:rsidRDefault="007C0B5A" w:rsidP="005E1804">
            <w:pPr>
              <w:pStyle w:val="TAC"/>
              <w:rPr>
                <w:lang w:val="en-US"/>
              </w:rPr>
            </w:pPr>
            <w:r w:rsidRPr="00C64ECB">
              <w:rPr>
                <w:lang w:val="en-US"/>
              </w:rPr>
              <w:t>20 MHz channels</w:t>
            </w:r>
          </w:p>
        </w:tc>
      </w:tr>
      <w:tr w:rsidR="007C0B5A" w:rsidRPr="00C64ECB" w14:paraId="1A49D631" w14:textId="77777777" w:rsidTr="00126681">
        <w:trPr>
          <w:jc w:val="center"/>
        </w:trPr>
        <w:tc>
          <w:tcPr>
            <w:tcW w:w="8315" w:type="dxa"/>
            <w:gridSpan w:val="5"/>
            <w:shd w:val="solid" w:color="C0C0C0" w:fill="FFFFFF"/>
          </w:tcPr>
          <w:p w14:paraId="60C12DCB" w14:textId="77777777" w:rsidR="007C0B5A" w:rsidRPr="00C64ECB" w:rsidRDefault="007C0B5A" w:rsidP="00126681">
            <w:pPr>
              <w:pStyle w:val="TAL"/>
              <w:rPr>
                <w:lang w:val="en-US"/>
              </w:rPr>
            </w:pPr>
            <w:r w:rsidRPr="00C64ECB">
              <w:rPr>
                <w:lang w:val="en-US"/>
              </w:rPr>
              <w:t>Transmit Power Control (TPC):</w:t>
            </w:r>
          </w:p>
          <w:p w14:paraId="6E06BCDB" w14:textId="77777777" w:rsidR="007C0B5A" w:rsidRPr="00C64ECB" w:rsidRDefault="007C0B5A" w:rsidP="00126681">
            <w:pPr>
              <w:pStyle w:val="TAL"/>
              <w:rPr>
                <w:lang w:val="en-US"/>
              </w:rPr>
            </w:pPr>
            <w:r w:rsidRPr="00C64ECB">
              <w:rPr>
                <w:lang w:val="en-US"/>
              </w:rPr>
              <w:t xml:space="preserve">TPC ensures an average reduction in the aggregated transmission power by at least 3 dB (5 dB for FWA) compared with the maximum permitted transmission power. </w:t>
            </w:r>
          </w:p>
          <w:p w14:paraId="1387FDEB" w14:textId="77777777" w:rsidR="007C0B5A" w:rsidRPr="00C64ECB" w:rsidRDefault="007C0B5A" w:rsidP="00126681">
            <w:pPr>
              <w:pStyle w:val="TAL"/>
              <w:rPr>
                <w:lang w:val="en-US"/>
              </w:rPr>
            </w:pPr>
            <w:r w:rsidRPr="00C64ECB">
              <w:rPr>
                <w:lang w:val="en-US"/>
              </w:rPr>
              <w:t>TCP is not required for channels within the band 5150-5250 MHz.</w:t>
            </w:r>
          </w:p>
          <w:p w14:paraId="6324EAA0" w14:textId="77777777" w:rsidR="007C0B5A" w:rsidRPr="00C64ECB" w:rsidRDefault="007C0B5A" w:rsidP="00126681">
            <w:pPr>
              <w:pStyle w:val="TAL"/>
              <w:rPr>
                <w:lang w:val="en-US"/>
              </w:rPr>
            </w:pPr>
            <w:r w:rsidRPr="00C64ECB">
              <w:rPr>
                <w:lang w:val="en-US"/>
              </w:rPr>
              <w:t>Without TPC, the highest permissible average EIRP (density) are reduced by 3 dB.</w:t>
            </w:r>
          </w:p>
        </w:tc>
      </w:tr>
    </w:tbl>
    <w:p w14:paraId="1DAAD604" w14:textId="77777777" w:rsidR="007C0B5A" w:rsidRPr="00C64ECB" w:rsidRDefault="007C0B5A" w:rsidP="007C0B5A">
      <w:pPr>
        <w:jc w:val="both"/>
        <w:rPr>
          <w:sz w:val="24"/>
          <w:szCs w:val="24"/>
          <w:lang w:val="en-US"/>
        </w:rPr>
      </w:pPr>
    </w:p>
    <w:p w14:paraId="3DE1247B" w14:textId="77777777" w:rsidR="007C0B5A" w:rsidRPr="00C64ECB" w:rsidRDefault="007C0B5A" w:rsidP="007C0B5A">
      <w:pPr>
        <w:pStyle w:val="TH"/>
      </w:pPr>
      <w:bookmarkStart w:id="20" w:name="_Ref375161572"/>
      <w:r w:rsidRPr="00C64ECB">
        <w:t xml:space="preserve">Table 4.1.1.1- </w:t>
      </w:r>
      <w:bookmarkEnd w:id="20"/>
      <w:r w:rsidRPr="00C64ECB">
        <w:t>2: Requirements on out of band emissions in Europe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2464"/>
        <w:gridCol w:w="1968"/>
        <w:gridCol w:w="2409"/>
      </w:tblGrid>
      <w:tr w:rsidR="007C0B5A" w:rsidRPr="00C64ECB" w14:paraId="386CC6BA" w14:textId="77777777" w:rsidTr="00126681">
        <w:trPr>
          <w:jc w:val="center"/>
        </w:trPr>
        <w:tc>
          <w:tcPr>
            <w:tcW w:w="1457" w:type="dxa"/>
            <w:tcBorders>
              <w:bottom w:val="single" w:sz="6" w:space="0" w:color="000000"/>
            </w:tcBorders>
            <w:shd w:val="solid" w:color="800080" w:fill="FFFFFF"/>
          </w:tcPr>
          <w:p w14:paraId="01415209" w14:textId="77777777" w:rsidR="007C0B5A" w:rsidRPr="00C64ECB" w:rsidRDefault="007C0B5A" w:rsidP="005E1804">
            <w:pPr>
              <w:pStyle w:val="TAH"/>
              <w:rPr>
                <w:lang w:val="en-US"/>
              </w:rPr>
            </w:pPr>
          </w:p>
        </w:tc>
        <w:tc>
          <w:tcPr>
            <w:tcW w:w="2464" w:type="dxa"/>
            <w:tcBorders>
              <w:bottom w:val="single" w:sz="6" w:space="0" w:color="000000"/>
            </w:tcBorders>
            <w:shd w:val="solid" w:color="800080" w:fill="FFFFFF"/>
          </w:tcPr>
          <w:p w14:paraId="41F4E475" w14:textId="77777777" w:rsidR="007C0B5A" w:rsidRPr="00C64ECB" w:rsidRDefault="007C0B5A" w:rsidP="005E1804">
            <w:pPr>
              <w:pStyle w:val="TAH"/>
              <w:rPr>
                <w:lang w:val="en-US"/>
              </w:rPr>
            </w:pPr>
            <w:r w:rsidRPr="00C64ECB">
              <w:rPr>
                <w:lang w:val="en-US"/>
              </w:rPr>
              <w:t>Frequency range</w:t>
            </w:r>
          </w:p>
        </w:tc>
        <w:tc>
          <w:tcPr>
            <w:tcW w:w="1968" w:type="dxa"/>
            <w:tcBorders>
              <w:bottom w:val="single" w:sz="6" w:space="0" w:color="000000"/>
            </w:tcBorders>
            <w:shd w:val="solid" w:color="800080" w:fill="FFFFFF"/>
          </w:tcPr>
          <w:p w14:paraId="6AED3764" w14:textId="77777777" w:rsidR="007C0B5A" w:rsidRPr="00C64ECB" w:rsidRDefault="007C0B5A" w:rsidP="005E1804">
            <w:pPr>
              <w:pStyle w:val="TAH"/>
              <w:rPr>
                <w:lang w:val="en-US"/>
              </w:rPr>
            </w:pPr>
            <w:r w:rsidRPr="00C64ECB">
              <w:rPr>
                <w:lang w:val="en-US"/>
              </w:rPr>
              <w:t>Max. power</w:t>
            </w:r>
          </w:p>
        </w:tc>
        <w:tc>
          <w:tcPr>
            <w:tcW w:w="2409" w:type="dxa"/>
            <w:tcBorders>
              <w:bottom w:val="single" w:sz="6" w:space="0" w:color="000000"/>
            </w:tcBorders>
            <w:shd w:val="solid" w:color="800080" w:fill="FFFFFF"/>
          </w:tcPr>
          <w:p w14:paraId="2972E94C" w14:textId="77777777" w:rsidR="007C0B5A" w:rsidRPr="00C64ECB" w:rsidRDefault="007C0B5A" w:rsidP="005E1804">
            <w:pPr>
              <w:pStyle w:val="TAH"/>
              <w:rPr>
                <w:lang w:val="en-US"/>
              </w:rPr>
            </w:pPr>
            <w:r w:rsidRPr="00C64ECB">
              <w:rPr>
                <w:lang w:val="en-US"/>
              </w:rPr>
              <w:t>Bandwidth</w:t>
            </w:r>
          </w:p>
        </w:tc>
      </w:tr>
      <w:tr w:rsidR="007C0B5A" w:rsidRPr="00C64ECB" w14:paraId="7B98DF94" w14:textId="77777777" w:rsidTr="005E1804">
        <w:trPr>
          <w:jc w:val="center"/>
        </w:trPr>
        <w:tc>
          <w:tcPr>
            <w:tcW w:w="1457" w:type="dxa"/>
            <w:vMerge w:val="restart"/>
            <w:shd w:val="solid" w:color="C0C0C0" w:fill="FFFFFF"/>
            <w:vAlign w:val="center"/>
          </w:tcPr>
          <w:p w14:paraId="0C33DC55" w14:textId="77777777" w:rsidR="007C0B5A" w:rsidRPr="00C64ECB" w:rsidRDefault="007C0B5A" w:rsidP="005E1804">
            <w:pPr>
              <w:pStyle w:val="TAC"/>
              <w:rPr>
                <w:lang w:val="en-US"/>
              </w:rPr>
            </w:pPr>
            <w:r w:rsidRPr="00C64ECB">
              <w:rPr>
                <w:lang w:val="en-US"/>
              </w:rPr>
              <w:t>WAS/RLAN,</w:t>
            </w:r>
          </w:p>
          <w:p w14:paraId="3C98504B" w14:textId="77777777" w:rsidR="007C0B5A" w:rsidRPr="00C64ECB" w:rsidRDefault="007C0B5A" w:rsidP="005E1804">
            <w:pPr>
              <w:pStyle w:val="TAC"/>
              <w:rPr>
                <w:lang w:val="en-US"/>
              </w:rPr>
            </w:pPr>
            <w:r w:rsidRPr="00C64ECB">
              <w:rPr>
                <w:lang w:val="en-US"/>
              </w:rPr>
              <w:t>FWA</w:t>
            </w:r>
          </w:p>
        </w:tc>
        <w:tc>
          <w:tcPr>
            <w:tcW w:w="2464" w:type="dxa"/>
            <w:shd w:val="clear" w:color="auto" w:fill="auto"/>
          </w:tcPr>
          <w:p w14:paraId="3A4D158D" w14:textId="77777777" w:rsidR="007C0B5A" w:rsidRPr="00C64ECB" w:rsidRDefault="007C0B5A" w:rsidP="005E1804">
            <w:pPr>
              <w:pStyle w:val="TAC"/>
              <w:rPr>
                <w:lang w:val="en-US"/>
              </w:rPr>
            </w:pPr>
            <w:r w:rsidRPr="00C64ECB">
              <w:rPr>
                <w:lang w:val="en-US"/>
              </w:rPr>
              <w:t>30-47 MHz</w:t>
            </w:r>
          </w:p>
        </w:tc>
        <w:tc>
          <w:tcPr>
            <w:tcW w:w="1968" w:type="dxa"/>
            <w:shd w:val="clear" w:color="auto" w:fill="auto"/>
          </w:tcPr>
          <w:p w14:paraId="3A40A6ED" w14:textId="77777777" w:rsidR="007C0B5A" w:rsidRPr="00C64ECB" w:rsidRDefault="007C0B5A" w:rsidP="005E1804">
            <w:pPr>
              <w:pStyle w:val="TAC"/>
              <w:rPr>
                <w:lang w:val="en-US"/>
              </w:rPr>
            </w:pPr>
            <w:r w:rsidRPr="00C64ECB">
              <w:rPr>
                <w:lang w:val="en-US"/>
              </w:rPr>
              <w:t>-36 dBm</w:t>
            </w:r>
          </w:p>
        </w:tc>
        <w:tc>
          <w:tcPr>
            <w:tcW w:w="2409" w:type="dxa"/>
            <w:shd w:val="clear" w:color="auto" w:fill="auto"/>
          </w:tcPr>
          <w:p w14:paraId="5D50B0BB" w14:textId="77777777" w:rsidR="007C0B5A" w:rsidRPr="00C64ECB" w:rsidRDefault="007C0B5A" w:rsidP="005E1804">
            <w:pPr>
              <w:pStyle w:val="TAC"/>
              <w:rPr>
                <w:lang w:val="en-US"/>
              </w:rPr>
            </w:pPr>
            <w:r w:rsidRPr="00C64ECB">
              <w:rPr>
                <w:lang w:val="en-US"/>
              </w:rPr>
              <w:t>100 kHz</w:t>
            </w:r>
          </w:p>
        </w:tc>
      </w:tr>
      <w:tr w:rsidR="007C0B5A" w:rsidRPr="00C64ECB" w14:paraId="30932CC6" w14:textId="77777777" w:rsidTr="00126681">
        <w:trPr>
          <w:jc w:val="center"/>
        </w:trPr>
        <w:tc>
          <w:tcPr>
            <w:tcW w:w="1457" w:type="dxa"/>
            <w:vMerge/>
            <w:shd w:val="solid" w:color="C0C0C0" w:fill="FFFFFF"/>
          </w:tcPr>
          <w:p w14:paraId="32C63551" w14:textId="77777777" w:rsidR="007C0B5A" w:rsidRPr="00C64ECB" w:rsidRDefault="007C0B5A" w:rsidP="005E1804">
            <w:pPr>
              <w:pStyle w:val="TAC"/>
              <w:rPr>
                <w:rFonts w:cs="Arial"/>
                <w:b/>
                <w:bCs/>
                <w:lang w:val="en-US"/>
              </w:rPr>
            </w:pPr>
          </w:p>
        </w:tc>
        <w:tc>
          <w:tcPr>
            <w:tcW w:w="2464" w:type="dxa"/>
            <w:shd w:val="clear" w:color="auto" w:fill="auto"/>
          </w:tcPr>
          <w:p w14:paraId="78F82456" w14:textId="77777777" w:rsidR="007C0B5A" w:rsidRPr="00C64ECB" w:rsidRDefault="007C0B5A" w:rsidP="005E1804">
            <w:pPr>
              <w:pStyle w:val="TAC"/>
              <w:rPr>
                <w:lang w:val="en-US"/>
              </w:rPr>
            </w:pPr>
            <w:r w:rsidRPr="00C64ECB">
              <w:rPr>
                <w:lang w:val="en-US"/>
              </w:rPr>
              <w:t>47-74 MHz</w:t>
            </w:r>
          </w:p>
        </w:tc>
        <w:tc>
          <w:tcPr>
            <w:tcW w:w="1968" w:type="dxa"/>
            <w:shd w:val="clear" w:color="auto" w:fill="auto"/>
          </w:tcPr>
          <w:p w14:paraId="6296F51F" w14:textId="77777777" w:rsidR="007C0B5A" w:rsidRPr="00C64ECB" w:rsidRDefault="007C0B5A" w:rsidP="005E1804">
            <w:pPr>
              <w:pStyle w:val="TAC"/>
              <w:rPr>
                <w:lang w:val="en-US"/>
              </w:rPr>
            </w:pPr>
            <w:r w:rsidRPr="00C64ECB">
              <w:rPr>
                <w:lang w:val="en-US"/>
              </w:rPr>
              <w:t>-54 dBm</w:t>
            </w:r>
          </w:p>
        </w:tc>
        <w:tc>
          <w:tcPr>
            <w:tcW w:w="2409" w:type="dxa"/>
            <w:shd w:val="clear" w:color="auto" w:fill="auto"/>
          </w:tcPr>
          <w:p w14:paraId="54468618" w14:textId="77777777" w:rsidR="007C0B5A" w:rsidRPr="00C64ECB" w:rsidRDefault="007C0B5A" w:rsidP="005E1804">
            <w:pPr>
              <w:pStyle w:val="TAC"/>
              <w:rPr>
                <w:lang w:val="en-US"/>
              </w:rPr>
            </w:pPr>
            <w:r w:rsidRPr="00C64ECB">
              <w:rPr>
                <w:lang w:val="en-US"/>
              </w:rPr>
              <w:t>100 kHz</w:t>
            </w:r>
          </w:p>
        </w:tc>
      </w:tr>
      <w:tr w:rsidR="007C0B5A" w:rsidRPr="00C64ECB" w14:paraId="6AC8B724" w14:textId="77777777" w:rsidTr="00126681">
        <w:trPr>
          <w:jc w:val="center"/>
        </w:trPr>
        <w:tc>
          <w:tcPr>
            <w:tcW w:w="1457" w:type="dxa"/>
            <w:vMerge/>
            <w:shd w:val="solid" w:color="C0C0C0" w:fill="FFFFFF"/>
          </w:tcPr>
          <w:p w14:paraId="19296A8B" w14:textId="77777777" w:rsidR="007C0B5A" w:rsidRPr="00C64ECB" w:rsidRDefault="007C0B5A" w:rsidP="005E1804">
            <w:pPr>
              <w:pStyle w:val="TAC"/>
              <w:rPr>
                <w:rFonts w:cs="Arial"/>
                <w:b/>
                <w:bCs/>
                <w:lang w:val="en-US"/>
              </w:rPr>
            </w:pPr>
          </w:p>
        </w:tc>
        <w:tc>
          <w:tcPr>
            <w:tcW w:w="2464" w:type="dxa"/>
            <w:shd w:val="clear" w:color="auto" w:fill="auto"/>
          </w:tcPr>
          <w:p w14:paraId="64E91C54" w14:textId="77777777" w:rsidR="007C0B5A" w:rsidRPr="00C64ECB" w:rsidRDefault="007C0B5A" w:rsidP="005E1804">
            <w:pPr>
              <w:pStyle w:val="TAC"/>
              <w:rPr>
                <w:lang w:val="en-US"/>
              </w:rPr>
            </w:pPr>
            <w:r w:rsidRPr="00C64ECB">
              <w:rPr>
                <w:lang w:val="en-US"/>
              </w:rPr>
              <w:t>75-87.5 MHz</w:t>
            </w:r>
          </w:p>
        </w:tc>
        <w:tc>
          <w:tcPr>
            <w:tcW w:w="1968" w:type="dxa"/>
            <w:shd w:val="clear" w:color="auto" w:fill="auto"/>
          </w:tcPr>
          <w:p w14:paraId="5DF0A771" w14:textId="77777777" w:rsidR="007C0B5A" w:rsidRPr="00C64ECB" w:rsidRDefault="007C0B5A" w:rsidP="005E1804">
            <w:pPr>
              <w:pStyle w:val="TAC"/>
              <w:rPr>
                <w:lang w:val="en-US"/>
              </w:rPr>
            </w:pPr>
            <w:r w:rsidRPr="00C64ECB">
              <w:rPr>
                <w:lang w:val="en-US"/>
              </w:rPr>
              <w:t>-36 dBm</w:t>
            </w:r>
          </w:p>
        </w:tc>
        <w:tc>
          <w:tcPr>
            <w:tcW w:w="2409" w:type="dxa"/>
            <w:shd w:val="clear" w:color="auto" w:fill="auto"/>
          </w:tcPr>
          <w:p w14:paraId="74548D96" w14:textId="77777777" w:rsidR="007C0B5A" w:rsidRPr="00C64ECB" w:rsidRDefault="007C0B5A" w:rsidP="005E1804">
            <w:pPr>
              <w:pStyle w:val="TAC"/>
              <w:rPr>
                <w:lang w:val="en-US"/>
              </w:rPr>
            </w:pPr>
            <w:r w:rsidRPr="00C64ECB">
              <w:rPr>
                <w:lang w:val="en-US"/>
              </w:rPr>
              <w:t>100 kHz</w:t>
            </w:r>
          </w:p>
        </w:tc>
      </w:tr>
      <w:tr w:rsidR="007C0B5A" w:rsidRPr="00C64ECB" w14:paraId="7E6A360F" w14:textId="77777777" w:rsidTr="00126681">
        <w:trPr>
          <w:jc w:val="center"/>
        </w:trPr>
        <w:tc>
          <w:tcPr>
            <w:tcW w:w="1457" w:type="dxa"/>
            <w:vMerge/>
            <w:shd w:val="solid" w:color="C0C0C0" w:fill="FFFFFF"/>
          </w:tcPr>
          <w:p w14:paraId="3126BF77" w14:textId="77777777" w:rsidR="007C0B5A" w:rsidRPr="00C64ECB" w:rsidRDefault="007C0B5A" w:rsidP="005E1804">
            <w:pPr>
              <w:pStyle w:val="TAC"/>
              <w:rPr>
                <w:rFonts w:cs="Arial"/>
                <w:b/>
                <w:bCs/>
                <w:lang w:val="en-US"/>
              </w:rPr>
            </w:pPr>
          </w:p>
        </w:tc>
        <w:tc>
          <w:tcPr>
            <w:tcW w:w="2464" w:type="dxa"/>
            <w:shd w:val="clear" w:color="auto" w:fill="auto"/>
          </w:tcPr>
          <w:p w14:paraId="368BF48C" w14:textId="77777777" w:rsidR="007C0B5A" w:rsidRPr="00C64ECB" w:rsidRDefault="007C0B5A" w:rsidP="005E1804">
            <w:pPr>
              <w:pStyle w:val="TAC"/>
              <w:rPr>
                <w:lang w:val="en-US"/>
              </w:rPr>
            </w:pPr>
            <w:r w:rsidRPr="00C64ECB">
              <w:rPr>
                <w:lang w:val="en-US"/>
              </w:rPr>
              <w:t>87.5-118 MHz</w:t>
            </w:r>
          </w:p>
        </w:tc>
        <w:tc>
          <w:tcPr>
            <w:tcW w:w="1968" w:type="dxa"/>
            <w:shd w:val="clear" w:color="auto" w:fill="auto"/>
          </w:tcPr>
          <w:p w14:paraId="3231812B" w14:textId="77777777" w:rsidR="007C0B5A" w:rsidRPr="00C64ECB" w:rsidRDefault="007C0B5A" w:rsidP="005E1804">
            <w:pPr>
              <w:pStyle w:val="TAC"/>
              <w:rPr>
                <w:lang w:val="en-US"/>
              </w:rPr>
            </w:pPr>
            <w:r w:rsidRPr="00C64ECB">
              <w:rPr>
                <w:lang w:val="en-US"/>
              </w:rPr>
              <w:t>-54 dBm</w:t>
            </w:r>
          </w:p>
        </w:tc>
        <w:tc>
          <w:tcPr>
            <w:tcW w:w="2409" w:type="dxa"/>
            <w:shd w:val="clear" w:color="auto" w:fill="auto"/>
          </w:tcPr>
          <w:p w14:paraId="30350E16" w14:textId="77777777" w:rsidR="007C0B5A" w:rsidRPr="00C64ECB" w:rsidRDefault="007C0B5A" w:rsidP="005E1804">
            <w:pPr>
              <w:pStyle w:val="TAC"/>
              <w:rPr>
                <w:lang w:val="en-US"/>
              </w:rPr>
            </w:pPr>
            <w:r w:rsidRPr="00C64ECB">
              <w:rPr>
                <w:lang w:val="en-US"/>
              </w:rPr>
              <w:t>100 kHz</w:t>
            </w:r>
          </w:p>
        </w:tc>
      </w:tr>
      <w:tr w:rsidR="007C0B5A" w:rsidRPr="00C64ECB" w14:paraId="65F5F59A" w14:textId="77777777" w:rsidTr="00126681">
        <w:trPr>
          <w:jc w:val="center"/>
        </w:trPr>
        <w:tc>
          <w:tcPr>
            <w:tcW w:w="1457" w:type="dxa"/>
            <w:vMerge/>
            <w:shd w:val="solid" w:color="C0C0C0" w:fill="FFFFFF"/>
          </w:tcPr>
          <w:p w14:paraId="4BA8D602" w14:textId="77777777" w:rsidR="007C0B5A" w:rsidRPr="00C64ECB" w:rsidRDefault="007C0B5A" w:rsidP="005E1804">
            <w:pPr>
              <w:pStyle w:val="TAC"/>
              <w:rPr>
                <w:rFonts w:cs="Arial"/>
                <w:b/>
                <w:bCs/>
                <w:lang w:val="en-US"/>
              </w:rPr>
            </w:pPr>
          </w:p>
        </w:tc>
        <w:tc>
          <w:tcPr>
            <w:tcW w:w="2464" w:type="dxa"/>
            <w:shd w:val="clear" w:color="auto" w:fill="auto"/>
          </w:tcPr>
          <w:p w14:paraId="2726EE9C" w14:textId="77777777" w:rsidR="007C0B5A" w:rsidRPr="00C64ECB" w:rsidRDefault="007C0B5A" w:rsidP="005E1804">
            <w:pPr>
              <w:pStyle w:val="TAC"/>
              <w:rPr>
                <w:lang w:val="en-US"/>
              </w:rPr>
            </w:pPr>
            <w:r w:rsidRPr="00C64ECB">
              <w:rPr>
                <w:lang w:val="en-US"/>
              </w:rPr>
              <w:t>118-174 MHz</w:t>
            </w:r>
          </w:p>
        </w:tc>
        <w:tc>
          <w:tcPr>
            <w:tcW w:w="1968" w:type="dxa"/>
            <w:shd w:val="clear" w:color="auto" w:fill="auto"/>
          </w:tcPr>
          <w:p w14:paraId="1B9C8F05" w14:textId="77777777" w:rsidR="007C0B5A" w:rsidRPr="00C64ECB" w:rsidRDefault="007C0B5A" w:rsidP="005E1804">
            <w:pPr>
              <w:pStyle w:val="TAC"/>
              <w:rPr>
                <w:lang w:val="en-US"/>
              </w:rPr>
            </w:pPr>
            <w:r w:rsidRPr="00C64ECB">
              <w:rPr>
                <w:lang w:val="en-US"/>
              </w:rPr>
              <w:t>-36 dBm</w:t>
            </w:r>
          </w:p>
        </w:tc>
        <w:tc>
          <w:tcPr>
            <w:tcW w:w="2409" w:type="dxa"/>
            <w:shd w:val="clear" w:color="auto" w:fill="auto"/>
          </w:tcPr>
          <w:p w14:paraId="60277D12" w14:textId="77777777" w:rsidR="007C0B5A" w:rsidRPr="00C64ECB" w:rsidRDefault="007C0B5A" w:rsidP="005E1804">
            <w:pPr>
              <w:pStyle w:val="TAC"/>
              <w:rPr>
                <w:lang w:val="en-US"/>
              </w:rPr>
            </w:pPr>
            <w:r w:rsidRPr="00C64ECB">
              <w:rPr>
                <w:lang w:val="en-US"/>
              </w:rPr>
              <w:t>100 kHz</w:t>
            </w:r>
          </w:p>
        </w:tc>
      </w:tr>
      <w:tr w:rsidR="007C0B5A" w:rsidRPr="00C64ECB" w14:paraId="24642487" w14:textId="77777777" w:rsidTr="00126681">
        <w:trPr>
          <w:jc w:val="center"/>
        </w:trPr>
        <w:tc>
          <w:tcPr>
            <w:tcW w:w="1457" w:type="dxa"/>
            <w:vMerge/>
            <w:shd w:val="solid" w:color="C0C0C0" w:fill="FFFFFF"/>
          </w:tcPr>
          <w:p w14:paraId="27DBFB86" w14:textId="77777777" w:rsidR="007C0B5A" w:rsidRPr="00C64ECB" w:rsidRDefault="007C0B5A" w:rsidP="005E1804">
            <w:pPr>
              <w:pStyle w:val="TAC"/>
              <w:rPr>
                <w:rFonts w:cs="Arial"/>
                <w:b/>
                <w:bCs/>
                <w:lang w:val="en-US"/>
              </w:rPr>
            </w:pPr>
          </w:p>
        </w:tc>
        <w:tc>
          <w:tcPr>
            <w:tcW w:w="2464" w:type="dxa"/>
            <w:shd w:val="clear" w:color="auto" w:fill="auto"/>
          </w:tcPr>
          <w:p w14:paraId="3D4D10B5" w14:textId="77777777" w:rsidR="007C0B5A" w:rsidRPr="00C64ECB" w:rsidRDefault="007C0B5A" w:rsidP="005E1804">
            <w:pPr>
              <w:pStyle w:val="TAC"/>
              <w:rPr>
                <w:lang w:val="en-US"/>
              </w:rPr>
            </w:pPr>
            <w:r w:rsidRPr="00C64ECB">
              <w:rPr>
                <w:lang w:val="en-US"/>
              </w:rPr>
              <w:t>174-230 MHz</w:t>
            </w:r>
          </w:p>
        </w:tc>
        <w:tc>
          <w:tcPr>
            <w:tcW w:w="1968" w:type="dxa"/>
            <w:shd w:val="clear" w:color="auto" w:fill="auto"/>
          </w:tcPr>
          <w:p w14:paraId="5086BF1A" w14:textId="77777777" w:rsidR="007C0B5A" w:rsidRPr="00C64ECB" w:rsidRDefault="007C0B5A" w:rsidP="005E1804">
            <w:pPr>
              <w:pStyle w:val="TAC"/>
              <w:rPr>
                <w:lang w:val="en-US"/>
              </w:rPr>
            </w:pPr>
            <w:r w:rsidRPr="00C64ECB">
              <w:rPr>
                <w:lang w:val="en-US"/>
              </w:rPr>
              <w:t>-54 dBm</w:t>
            </w:r>
          </w:p>
        </w:tc>
        <w:tc>
          <w:tcPr>
            <w:tcW w:w="2409" w:type="dxa"/>
            <w:shd w:val="clear" w:color="auto" w:fill="auto"/>
          </w:tcPr>
          <w:p w14:paraId="5C5E2FFF" w14:textId="77777777" w:rsidR="007C0B5A" w:rsidRPr="00C64ECB" w:rsidRDefault="007C0B5A" w:rsidP="005E1804">
            <w:pPr>
              <w:pStyle w:val="TAC"/>
              <w:rPr>
                <w:lang w:val="en-US"/>
              </w:rPr>
            </w:pPr>
            <w:r w:rsidRPr="00C64ECB">
              <w:rPr>
                <w:lang w:val="en-US"/>
              </w:rPr>
              <w:t>100 kHz</w:t>
            </w:r>
          </w:p>
        </w:tc>
      </w:tr>
      <w:tr w:rsidR="007C0B5A" w:rsidRPr="00C64ECB" w14:paraId="24A20DB8" w14:textId="77777777" w:rsidTr="00126681">
        <w:trPr>
          <w:jc w:val="center"/>
        </w:trPr>
        <w:tc>
          <w:tcPr>
            <w:tcW w:w="1457" w:type="dxa"/>
            <w:vMerge/>
            <w:shd w:val="solid" w:color="C0C0C0" w:fill="FFFFFF"/>
          </w:tcPr>
          <w:p w14:paraId="30DA0F2F" w14:textId="77777777" w:rsidR="007C0B5A" w:rsidRPr="00C64ECB" w:rsidRDefault="007C0B5A" w:rsidP="005E1804">
            <w:pPr>
              <w:pStyle w:val="TAC"/>
              <w:rPr>
                <w:rFonts w:cs="Arial"/>
                <w:b/>
                <w:bCs/>
                <w:lang w:val="en-US"/>
              </w:rPr>
            </w:pPr>
          </w:p>
        </w:tc>
        <w:tc>
          <w:tcPr>
            <w:tcW w:w="2464" w:type="dxa"/>
            <w:shd w:val="clear" w:color="auto" w:fill="auto"/>
          </w:tcPr>
          <w:p w14:paraId="38854422" w14:textId="77777777" w:rsidR="007C0B5A" w:rsidRPr="00C64ECB" w:rsidRDefault="007C0B5A" w:rsidP="005E1804">
            <w:pPr>
              <w:pStyle w:val="TAC"/>
              <w:rPr>
                <w:lang w:val="en-US"/>
              </w:rPr>
            </w:pPr>
            <w:r w:rsidRPr="00C64ECB">
              <w:rPr>
                <w:lang w:val="en-US"/>
              </w:rPr>
              <w:t>230-470 MHz</w:t>
            </w:r>
          </w:p>
        </w:tc>
        <w:tc>
          <w:tcPr>
            <w:tcW w:w="1968" w:type="dxa"/>
            <w:shd w:val="clear" w:color="auto" w:fill="auto"/>
          </w:tcPr>
          <w:p w14:paraId="6B939FD2" w14:textId="77777777" w:rsidR="007C0B5A" w:rsidRPr="00C64ECB" w:rsidRDefault="007C0B5A" w:rsidP="005E1804">
            <w:pPr>
              <w:pStyle w:val="TAC"/>
              <w:rPr>
                <w:lang w:val="en-US"/>
              </w:rPr>
            </w:pPr>
            <w:r w:rsidRPr="00C64ECB">
              <w:rPr>
                <w:lang w:val="en-US"/>
              </w:rPr>
              <w:t>-36 dBm</w:t>
            </w:r>
          </w:p>
        </w:tc>
        <w:tc>
          <w:tcPr>
            <w:tcW w:w="2409" w:type="dxa"/>
            <w:shd w:val="clear" w:color="auto" w:fill="auto"/>
          </w:tcPr>
          <w:p w14:paraId="19672278" w14:textId="77777777" w:rsidR="007C0B5A" w:rsidRPr="00C64ECB" w:rsidRDefault="007C0B5A" w:rsidP="005E1804">
            <w:pPr>
              <w:pStyle w:val="TAC"/>
              <w:rPr>
                <w:lang w:val="en-US"/>
              </w:rPr>
            </w:pPr>
            <w:r w:rsidRPr="00C64ECB">
              <w:rPr>
                <w:lang w:val="en-US"/>
              </w:rPr>
              <w:t>100 kHz</w:t>
            </w:r>
          </w:p>
        </w:tc>
      </w:tr>
      <w:tr w:rsidR="007C0B5A" w:rsidRPr="00C64ECB" w14:paraId="794E30C1" w14:textId="77777777" w:rsidTr="00126681">
        <w:trPr>
          <w:jc w:val="center"/>
        </w:trPr>
        <w:tc>
          <w:tcPr>
            <w:tcW w:w="1457" w:type="dxa"/>
            <w:vMerge/>
            <w:shd w:val="solid" w:color="C0C0C0" w:fill="FFFFFF"/>
          </w:tcPr>
          <w:p w14:paraId="77F50131" w14:textId="77777777" w:rsidR="007C0B5A" w:rsidRPr="00C64ECB" w:rsidRDefault="007C0B5A" w:rsidP="005E1804">
            <w:pPr>
              <w:pStyle w:val="TAC"/>
              <w:rPr>
                <w:rFonts w:cs="Arial"/>
                <w:b/>
                <w:bCs/>
                <w:lang w:val="en-US"/>
              </w:rPr>
            </w:pPr>
          </w:p>
        </w:tc>
        <w:tc>
          <w:tcPr>
            <w:tcW w:w="2464" w:type="dxa"/>
            <w:shd w:val="clear" w:color="auto" w:fill="auto"/>
          </w:tcPr>
          <w:p w14:paraId="0D3B9B3B" w14:textId="77777777" w:rsidR="007C0B5A" w:rsidRPr="00C64ECB" w:rsidRDefault="007C0B5A" w:rsidP="005E1804">
            <w:pPr>
              <w:pStyle w:val="TAC"/>
              <w:rPr>
                <w:lang w:val="en-US"/>
              </w:rPr>
            </w:pPr>
            <w:r w:rsidRPr="00C64ECB">
              <w:rPr>
                <w:lang w:val="en-US"/>
              </w:rPr>
              <w:t>470-862 MHz</w:t>
            </w:r>
          </w:p>
        </w:tc>
        <w:tc>
          <w:tcPr>
            <w:tcW w:w="1968" w:type="dxa"/>
            <w:shd w:val="clear" w:color="auto" w:fill="auto"/>
          </w:tcPr>
          <w:p w14:paraId="42BEE599" w14:textId="77777777" w:rsidR="007C0B5A" w:rsidRPr="00C64ECB" w:rsidRDefault="007C0B5A" w:rsidP="005E1804">
            <w:pPr>
              <w:pStyle w:val="TAC"/>
              <w:rPr>
                <w:lang w:val="en-US"/>
              </w:rPr>
            </w:pPr>
            <w:r w:rsidRPr="00C64ECB">
              <w:rPr>
                <w:lang w:val="en-US"/>
              </w:rPr>
              <w:t>-54 dBm</w:t>
            </w:r>
          </w:p>
        </w:tc>
        <w:tc>
          <w:tcPr>
            <w:tcW w:w="2409" w:type="dxa"/>
            <w:shd w:val="clear" w:color="auto" w:fill="auto"/>
          </w:tcPr>
          <w:p w14:paraId="307AFD25" w14:textId="77777777" w:rsidR="007C0B5A" w:rsidRPr="00C64ECB" w:rsidRDefault="007C0B5A" w:rsidP="005E1804">
            <w:pPr>
              <w:pStyle w:val="TAC"/>
              <w:rPr>
                <w:lang w:val="en-US"/>
              </w:rPr>
            </w:pPr>
            <w:r w:rsidRPr="00C64ECB">
              <w:rPr>
                <w:lang w:val="en-US"/>
              </w:rPr>
              <w:t>100 kHz</w:t>
            </w:r>
          </w:p>
        </w:tc>
      </w:tr>
      <w:tr w:rsidR="007C0B5A" w:rsidRPr="00C64ECB" w14:paraId="3BEA1444" w14:textId="77777777" w:rsidTr="00126681">
        <w:trPr>
          <w:jc w:val="center"/>
        </w:trPr>
        <w:tc>
          <w:tcPr>
            <w:tcW w:w="1457" w:type="dxa"/>
            <w:vMerge/>
            <w:shd w:val="solid" w:color="C0C0C0" w:fill="FFFFFF"/>
          </w:tcPr>
          <w:p w14:paraId="47B164C8" w14:textId="77777777" w:rsidR="007C0B5A" w:rsidRPr="00C64ECB" w:rsidRDefault="007C0B5A" w:rsidP="005E1804">
            <w:pPr>
              <w:pStyle w:val="TAC"/>
              <w:rPr>
                <w:rFonts w:cs="Arial"/>
                <w:b/>
                <w:bCs/>
                <w:lang w:val="en-US"/>
              </w:rPr>
            </w:pPr>
          </w:p>
        </w:tc>
        <w:tc>
          <w:tcPr>
            <w:tcW w:w="2464" w:type="dxa"/>
            <w:shd w:val="clear" w:color="auto" w:fill="auto"/>
          </w:tcPr>
          <w:p w14:paraId="7B74327B" w14:textId="77777777" w:rsidR="007C0B5A" w:rsidRPr="00C64ECB" w:rsidRDefault="007C0B5A" w:rsidP="005E1804">
            <w:pPr>
              <w:pStyle w:val="TAC"/>
              <w:rPr>
                <w:lang w:val="en-US"/>
              </w:rPr>
            </w:pPr>
            <w:r w:rsidRPr="00C64ECB">
              <w:rPr>
                <w:lang w:val="en-US"/>
              </w:rPr>
              <w:t>0.862-1 GHz</w:t>
            </w:r>
          </w:p>
        </w:tc>
        <w:tc>
          <w:tcPr>
            <w:tcW w:w="1968" w:type="dxa"/>
            <w:shd w:val="clear" w:color="auto" w:fill="auto"/>
          </w:tcPr>
          <w:p w14:paraId="33C1931E" w14:textId="77777777" w:rsidR="007C0B5A" w:rsidRPr="00C64ECB" w:rsidRDefault="007C0B5A" w:rsidP="005E1804">
            <w:pPr>
              <w:pStyle w:val="TAC"/>
              <w:rPr>
                <w:lang w:val="en-US"/>
              </w:rPr>
            </w:pPr>
            <w:r w:rsidRPr="00C64ECB">
              <w:rPr>
                <w:lang w:val="en-US"/>
              </w:rPr>
              <w:t>-36 dBm</w:t>
            </w:r>
          </w:p>
        </w:tc>
        <w:tc>
          <w:tcPr>
            <w:tcW w:w="2409" w:type="dxa"/>
            <w:shd w:val="clear" w:color="auto" w:fill="auto"/>
          </w:tcPr>
          <w:p w14:paraId="2435B83F" w14:textId="77777777" w:rsidR="007C0B5A" w:rsidRPr="00C64ECB" w:rsidRDefault="007C0B5A" w:rsidP="005E1804">
            <w:pPr>
              <w:pStyle w:val="TAC"/>
              <w:rPr>
                <w:lang w:val="en-US"/>
              </w:rPr>
            </w:pPr>
            <w:r w:rsidRPr="00C64ECB">
              <w:rPr>
                <w:lang w:val="en-US"/>
              </w:rPr>
              <w:t>100 kHz</w:t>
            </w:r>
          </w:p>
        </w:tc>
      </w:tr>
      <w:tr w:rsidR="007C0B5A" w:rsidRPr="00C64ECB" w14:paraId="05F24243" w14:textId="77777777" w:rsidTr="00126681">
        <w:trPr>
          <w:jc w:val="center"/>
        </w:trPr>
        <w:tc>
          <w:tcPr>
            <w:tcW w:w="1457" w:type="dxa"/>
            <w:vMerge/>
            <w:shd w:val="solid" w:color="C0C0C0" w:fill="FFFFFF"/>
          </w:tcPr>
          <w:p w14:paraId="1E184434" w14:textId="77777777" w:rsidR="007C0B5A" w:rsidRPr="00C64ECB" w:rsidRDefault="007C0B5A" w:rsidP="005E1804">
            <w:pPr>
              <w:pStyle w:val="TAC"/>
              <w:rPr>
                <w:rFonts w:cs="Arial"/>
                <w:b/>
                <w:bCs/>
                <w:lang w:val="en-US"/>
              </w:rPr>
            </w:pPr>
          </w:p>
        </w:tc>
        <w:tc>
          <w:tcPr>
            <w:tcW w:w="2464" w:type="dxa"/>
            <w:shd w:val="clear" w:color="auto" w:fill="auto"/>
          </w:tcPr>
          <w:p w14:paraId="23FD4E04" w14:textId="77777777" w:rsidR="007C0B5A" w:rsidRPr="00C64ECB" w:rsidRDefault="007C0B5A" w:rsidP="005E1804">
            <w:pPr>
              <w:pStyle w:val="TAC"/>
              <w:rPr>
                <w:lang w:val="en-US"/>
              </w:rPr>
            </w:pPr>
            <w:r w:rsidRPr="00C64ECB">
              <w:rPr>
                <w:lang w:val="en-US"/>
              </w:rPr>
              <w:t>1-5.15 GHz</w:t>
            </w:r>
          </w:p>
        </w:tc>
        <w:tc>
          <w:tcPr>
            <w:tcW w:w="1968" w:type="dxa"/>
            <w:shd w:val="clear" w:color="auto" w:fill="auto"/>
          </w:tcPr>
          <w:p w14:paraId="47A6C219" w14:textId="77777777" w:rsidR="007C0B5A" w:rsidRPr="00C64ECB" w:rsidRDefault="007C0B5A" w:rsidP="005E1804">
            <w:pPr>
              <w:pStyle w:val="TAC"/>
              <w:rPr>
                <w:lang w:val="en-US"/>
              </w:rPr>
            </w:pPr>
            <w:r w:rsidRPr="00C64ECB">
              <w:rPr>
                <w:lang w:val="en-US"/>
              </w:rPr>
              <w:t>-30 dBm</w:t>
            </w:r>
          </w:p>
        </w:tc>
        <w:tc>
          <w:tcPr>
            <w:tcW w:w="2409" w:type="dxa"/>
            <w:shd w:val="clear" w:color="auto" w:fill="auto"/>
          </w:tcPr>
          <w:p w14:paraId="63712055" w14:textId="77777777" w:rsidR="007C0B5A" w:rsidRPr="00C64ECB" w:rsidRDefault="007C0B5A" w:rsidP="005E1804">
            <w:pPr>
              <w:pStyle w:val="TAC"/>
              <w:rPr>
                <w:lang w:val="en-US"/>
              </w:rPr>
            </w:pPr>
            <w:r w:rsidRPr="00C64ECB">
              <w:rPr>
                <w:lang w:val="en-US"/>
              </w:rPr>
              <w:t>1 MHz</w:t>
            </w:r>
          </w:p>
        </w:tc>
      </w:tr>
      <w:tr w:rsidR="007C0B5A" w:rsidRPr="00C64ECB" w14:paraId="355BFCF1" w14:textId="77777777" w:rsidTr="00126681">
        <w:trPr>
          <w:jc w:val="center"/>
        </w:trPr>
        <w:tc>
          <w:tcPr>
            <w:tcW w:w="1457" w:type="dxa"/>
            <w:vMerge/>
            <w:shd w:val="solid" w:color="C0C0C0" w:fill="FFFFFF"/>
          </w:tcPr>
          <w:p w14:paraId="39E4AE9A" w14:textId="77777777" w:rsidR="007C0B5A" w:rsidRPr="00C64ECB" w:rsidRDefault="007C0B5A" w:rsidP="005E1804">
            <w:pPr>
              <w:pStyle w:val="TAC"/>
              <w:rPr>
                <w:rFonts w:cs="Arial"/>
                <w:b/>
                <w:bCs/>
                <w:lang w:val="en-US"/>
              </w:rPr>
            </w:pPr>
          </w:p>
        </w:tc>
        <w:tc>
          <w:tcPr>
            <w:tcW w:w="2464" w:type="dxa"/>
            <w:shd w:val="clear" w:color="auto" w:fill="auto"/>
          </w:tcPr>
          <w:p w14:paraId="150B0E82" w14:textId="77777777" w:rsidR="007C0B5A" w:rsidRPr="00C64ECB" w:rsidRDefault="007C0B5A" w:rsidP="005E1804">
            <w:pPr>
              <w:pStyle w:val="TAC"/>
              <w:rPr>
                <w:lang w:val="en-US"/>
              </w:rPr>
            </w:pPr>
            <w:r w:rsidRPr="00C64ECB">
              <w:rPr>
                <w:lang w:val="en-US"/>
              </w:rPr>
              <w:t>5.35-5.5.47 GHz</w:t>
            </w:r>
          </w:p>
        </w:tc>
        <w:tc>
          <w:tcPr>
            <w:tcW w:w="1968" w:type="dxa"/>
            <w:shd w:val="clear" w:color="auto" w:fill="auto"/>
          </w:tcPr>
          <w:p w14:paraId="64384C6B" w14:textId="77777777" w:rsidR="007C0B5A" w:rsidRPr="00C64ECB" w:rsidRDefault="007C0B5A" w:rsidP="005E1804">
            <w:pPr>
              <w:pStyle w:val="TAC"/>
              <w:rPr>
                <w:lang w:val="en-US"/>
              </w:rPr>
            </w:pPr>
            <w:r w:rsidRPr="00C64ECB">
              <w:rPr>
                <w:lang w:val="en-US"/>
              </w:rPr>
              <w:t>-30 dBm</w:t>
            </w:r>
          </w:p>
        </w:tc>
        <w:tc>
          <w:tcPr>
            <w:tcW w:w="2409" w:type="dxa"/>
            <w:shd w:val="clear" w:color="auto" w:fill="auto"/>
          </w:tcPr>
          <w:p w14:paraId="5ED891BE" w14:textId="77777777" w:rsidR="007C0B5A" w:rsidRPr="00C64ECB" w:rsidRDefault="007C0B5A" w:rsidP="005E1804">
            <w:pPr>
              <w:pStyle w:val="TAC"/>
              <w:rPr>
                <w:lang w:val="en-US"/>
              </w:rPr>
            </w:pPr>
            <w:r w:rsidRPr="00C64ECB">
              <w:rPr>
                <w:lang w:val="en-US"/>
              </w:rPr>
              <w:t>1 MHz</w:t>
            </w:r>
          </w:p>
        </w:tc>
      </w:tr>
      <w:tr w:rsidR="007C0B5A" w:rsidRPr="00C64ECB" w14:paraId="510FEF40" w14:textId="77777777" w:rsidTr="00126681">
        <w:trPr>
          <w:jc w:val="center"/>
        </w:trPr>
        <w:tc>
          <w:tcPr>
            <w:tcW w:w="1457" w:type="dxa"/>
            <w:vMerge/>
            <w:shd w:val="solid" w:color="C0C0C0" w:fill="FFFFFF"/>
          </w:tcPr>
          <w:p w14:paraId="25037801" w14:textId="77777777" w:rsidR="007C0B5A" w:rsidRPr="00C64ECB" w:rsidRDefault="007C0B5A" w:rsidP="005E1804">
            <w:pPr>
              <w:pStyle w:val="TAC"/>
              <w:rPr>
                <w:rFonts w:cs="Arial"/>
                <w:b/>
                <w:bCs/>
                <w:lang w:val="en-US"/>
              </w:rPr>
            </w:pPr>
          </w:p>
        </w:tc>
        <w:tc>
          <w:tcPr>
            <w:tcW w:w="2464" w:type="dxa"/>
            <w:shd w:val="clear" w:color="auto" w:fill="auto"/>
          </w:tcPr>
          <w:p w14:paraId="111F78A9" w14:textId="77777777" w:rsidR="007C0B5A" w:rsidRPr="00C64ECB" w:rsidRDefault="007C0B5A" w:rsidP="005E1804">
            <w:pPr>
              <w:pStyle w:val="TAC"/>
              <w:rPr>
                <w:lang w:val="en-US"/>
              </w:rPr>
            </w:pPr>
            <w:r w:rsidRPr="00C64ECB">
              <w:rPr>
                <w:lang w:val="en-US"/>
              </w:rPr>
              <w:t>5.725-26 GHz</w:t>
            </w:r>
          </w:p>
        </w:tc>
        <w:tc>
          <w:tcPr>
            <w:tcW w:w="1968" w:type="dxa"/>
            <w:shd w:val="clear" w:color="auto" w:fill="auto"/>
          </w:tcPr>
          <w:p w14:paraId="7F64AB01" w14:textId="77777777" w:rsidR="007C0B5A" w:rsidRPr="00C64ECB" w:rsidRDefault="007C0B5A" w:rsidP="005E1804">
            <w:pPr>
              <w:pStyle w:val="TAC"/>
              <w:rPr>
                <w:lang w:val="en-US"/>
              </w:rPr>
            </w:pPr>
            <w:r w:rsidRPr="00C64ECB">
              <w:rPr>
                <w:lang w:val="en-US"/>
              </w:rPr>
              <w:t>-30 dBm</w:t>
            </w:r>
          </w:p>
        </w:tc>
        <w:tc>
          <w:tcPr>
            <w:tcW w:w="2409" w:type="dxa"/>
            <w:shd w:val="clear" w:color="auto" w:fill="auto"/>
          </w:tcPr>
          <w:p w14:paraId="54014DBB" w14:textId="77777777" w:rsidR="007C0B5A" w:rsidRPr="00C64ECB" w:rsidRDefault="007C0B5A" w:rsidP="005E1804">
            <w:pPr>
              <w:pStyle w:val="TAC"/>
              <w:rPr>
                <w:lang w:val="en-US"/>
              </w:rPr>
            </w:pPr>
            <w:r w:rsidRPr="00C64ECB">
              <w:rPr>
                <w:lang w:val="en-US"/>
              </w:rPr>
              <w:t>1 MHz</w:t>
            </w:r>
          </w:p>
        </w:tc>
      </w:tr>
    </w:tbl>
    <w:p w14:paraId="6B5A4ECD" w14:textId="77777777" w:rsidR="007C0B5A" w:rsidRPr="00C64ECB" w:rsidRDefault="007C0B5A" w:rsidP="005E1804">
      <w:pPr>
        <w:rPr>
          <w:lang w:val="en-US"/>
        </w:rPr>
      </w:pPr>
    </w:p>
    <w:p w14:paraId="028E058A" w14:textId="77777777" w:rsidR="007C0B5A" w:rsidRPr="00C64ECB" w:rsidRDefault="004F63C6" w:rsidP="007C0B5A">
      <w:pPr>
        <w:pStyle w:val="TH"/>
      </w:pPr>
      <w:r w:rsidRPr="00C64ECB">
        <w:rPr>
          <w:noProof/>
          <w:lang w:val="en-US" w:eastAsia="zh-CN"/>
        </w:rPr>
        <w:drawing>
          <wp:inline distT="0" distB="0" distL="0" distR="0" wp14:anchorId="7CFB4410" wp14:editId="4E6F161E">
            <wp:extent cx="5741670" cy="2832100"/>
            <wp:effectExtent l="0" t="0" r="0" b="0"/>
            <wp:docPr id="5" name="Picture 3" descr="Spectrum Mask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trum Mask 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1670" cy="2832100"/>
                    </a:xfrm>
                    <a:prstGeom prst="rect">
                      <a:avLst/>
                    </a:prstGeom>
                    <a:noFill/>
                    <a:ln>
                      <a:noFill/>
                    </a:ln>
                  </pic:spPr>
                </pic:pic>
              </a:graphicData>
            </a:graphic>
          </wp:inline>
        </w:drawing>
      </w:r>
    </w:p>
    <w:p w14:paraId="1D772460" w14:textId="77777777" w:rsidR="007C0B5A" w:rsidRPr="00C64ECB" w:rsidRDefault="007C0B5A" w:rsidP="007C0B5A">
      <w:pPr>
        <w:pStyle w:val="NF"/>
      </w:pPr>
      <w:r w:rsidRPr="00C64ECB">
        <w:t>NOTE:</w:t>
      </w:r>
      <w:r w:rsidRPr="00C64ECB">
        <w:tab/>
        <w:t>dBc is the spectral density relative to the maximum spectral power density of the transmitted signal.</w:t>
      </w:r>
    </w:p>
    <w:p w14:paraId="7EBB34EA" w14:textId="77777777" w:rsidR="007C0B5A" w:rsidRPr="00C64ECB" w:rsidRDefault="007C0B5A" w:rsidP="007C0B5A">
      <w:pPr>
        <w:pStyle w:val="TF"/>
      </w:pPr>
      <w:r w:rsidRPr="00C64ECB">
        <w:t>Figure 4.</w:t>
      </w:r>
      <w:r w:rsidR="000D7B67" w:rsidRPr="00C64ECB">
        <w:t>1.</w:t>
      </w:r>
      <w:r w:rsidRPr="00C64ECB">
        <w:t>1.1-3a: Transmit spectral power mask for RLAN equipment operating within the frequency bands 5150-5250 MHz; 5250-5350 MHz or 5470-5725 MHz</w:t>
      </w:r>
    </w:p>
    <w:p w14:paraId="6EE9F522" w14:textId="77777777" w:rsidR="007C0B5A" w:rsidRPr="00C64ECB" w:rsidRDefault="007C0B5A" w:rsidP="007C0B5A"/>
    <w:p w14:paraId="206E0A92" w14:textId="77777777" w:rsidR="007C0B5A" w:rsidRPr="00C64ECB" w:rsidRDefault="004F63C6" w:rsidP="007C0B5A">
      <w:pPr>
        <w:pStyle w:val="TH"/>
      </w:pPr>
      <w:r w:rsidRPr="00C64ECB">
        <w:rPr>
          <w:noProof/>
          <w:lang w:val="en-US" w:eastAsia="zh-CN"/>
        </w:rPr>
        <w:lastRenderedPageBreak/>
        <w:drawing>
          <wp:inline distT="0" distB="0" distL="0" distR="0" wp14:anchorId="16B063ED" wp14:editId="07F64B93">
            <wp:extent cx="6122035" cy="305181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2035" cy="3051810"/>
                    </a:xfrm>
                    <a:prstGeom prst="rect">
                      <a:avLst/>
                    </a:prstGeom>
                    <a:noFill/>
                    <a:ln>
                      <a:noFill/>
                    </a:ln>
                  </pic:spPr>
                </pic:pic>
              </a:graphicData>
            </a:graphic>
          </wp:inline>
        </w:drawing>
      </w:r>
    </w:p>
    <w:p w14:paraId="38984833" w14:textId="77777777" w:rsidR="007C0B5A" w:rsidRPr="00C64ECB" w:rsidRDefault="007C0B5A" w:rsidP="007C0B5A">
      <w:pPr>
        <w:pStyle w:val="NF"/>
        <w:rPr>
          <w:lang w:val="en-US"/>
        </w:rPr>
      </w:pPr>
      <w:r w:rsidRPr="00C64ECB">
        <w:rPr>
          <w:lang w:val="en-US"/>
        </w:rPr>
        <w:t>NOTE1:</w:t>
      </w:r>
      <w:r w:rsidRPr="00C64ECB">
        <w:rPr>
          <w:lang w:val="en-US"/>
        </w:rPr>
        <w:tab/>
        <w:t>0 dB Reference Level is the spectral density relative to the maximum spectral power density of the transmitted signal.</w:t>
      </w:r>
    </w:p>
    <w:p w14:paraId="4516991B" w14:textId="77777777" w:rsidR="007C0B5A" w:rsidRPr="00C64ECB" w:rsidRDefault="007C0B5A" w:rsidP="007C0B5A">
      <w:pPr>
        <w:pStyle w:val="NF"/>
        <w:rPr>
          <w:lang w:val="en-US"/>
        </w:rPr>
      </w:pPr>
      <w:r w:rsidRPr="00C64ECB">
        <w:rPr>
          <w:lang w:val="en-US"/>
        </w:rPr>
        <w:t>NOTE2:</w:t>
      </w:r>
      <w:r w:rsidRPr="00C64ECB">
        <w:rPr>
          <w:lang w:val="en-US"/>
        </w:rPr>
        <w:tab/>
        <w:t>On the Frequency Offset axis, the figures apply to ChS = 20 MHz whereas the figures in parentheses apply to ChS = 10 MHz.</w:t>
      </w:r>
    </w:p>
    <w:p w14:paraId="0EFC6CB7" w14:textId="77777777" w:rsidR="007C0B5A" w:rsidRPr="00C64ECB" w:rsidRDefault="007C0B5A" w:rsidP="007C0B5A">
      <w:pPr>
        <w:pStyle w:val="NF"/>
        <w:rPr>
          <w:b/>
          <w:lang w:val="en-US"/>
        </w:rPr>
      </w:pPr>
      <w:r w:rsidRPr="00C64ECB">
        <w:rPr>
          <w:lang w:val="en-US"/>
        </w:rPr>
        <w:t>NOTE3:</w:t>
      </w:r>
      <w:r w:rsidRPr="00C64ECB">
        <w:rPr>
          <w:lang w:val="en-US"/>
        </w:rPr>
        <w:tab/>
        <w:t>Emissions that fall outside the lower and upper band frequency limits of 5 725 MHz and 5 875 MHz, respectively shall instead meet the unwanted emission limits of clause 4.3.1</w:t>
      </w:r>
      <w:r w:rsidRPr="00C64ECB">
        <w:t xml:space="preserve"> </w:t>
      </w:r>
      <w:r w:rsidRPr="00C64ECB">
        <w:rPr>
          <w:lang w:val="en-US"/>
        </w:rPr>
        <w:t>[6].</w:t>
      </w:r>
    </w:p>
    <w:p w14:paraId="04E35C09" w14:textId="77777777" w:rsidR="007C0B5A" w:rsidRPr="00C64ECB" w:rsidRDefault="007C0B5A" w:rsidP="007C0B5A">
      <w:pPr>
        <w:pStyle w:val="TF"/>
      </w:pPr>
      <w:r w:rsidRPr="00C64ECB">
        <w:t>Figure 4.</w:t>
      </w:r>
      <w:r w:rsidR="000D7B67" w:rsidRPr="00C64ECB">
        <w:t>1.</w:t>
      </w:r>
      <w:r w:rsidRPr="00C64ECB">
        <w:t>1.1-3b: Transmit spectral power mask for FBWA equipment operating within the frequency band 5725-5875 MHz</w:t>
      </w:r>
    </w:p>
    <w:p w14:paraId="214E778C" w14:textId="77777777" w:rsidR="007C0B5A" w:rsidRPr="00C64ECB" w:rsidRDefault="007C0B5A" w:rsidP="005E1804"/>
    <w:p w14:paraId="5A4D0B20" w14:textId="77777777" w:rsidR="007C0B5A" w:rsidRPr="00C64ECB" w:rsidRDefault="007C0B5A" w:rsidP="005E1804">
      <w:r w:rsidRPr="00C64ECB">
        <w:t>FWA devices in the 5.8 GHz range are also subject to an additional requirement of EIRP spectral density limit in the elevation plane, see Table 5.</w:t>
      </w:r>
    </w:p>
    <w:p w14:paraId="58B0BF96" w14:textId="77777777" w:rsidR="007C0B5A" w:rsidRPr="00C64ECB" w:rsidRDefault="007C0B5A" w:rsidP="005E1804"/>
    <w:p w14:paraId="0FB2CC17" w14:textId="77777777" w:rsidR="007C0B5A" w:rsidRPr="00C64ECB" w:rsidRDefault="007C0B5A" w:rsidP="007C0B5A">
      <w:pPr>
        <w:pStyle w:val="TH"/>
      </w:pPr>
      <w:r w:rsidRPr="00C64ECB">
        <w:t>Table 4.1.</w:t>
      </w:r>
      <w:r w:rsidR="000D7B67" w:rsidRPr="00C64ECB">
        <w:t>1.</w:t>
      </w:r>
      <w:r w:rsidRPr="00C64ECB">
        <w:t>1-3: EIRP spectral density limits in the elevation plane (5.8 GHz frequency range)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4536"/>
      </w:tblGrid>
      <w:tr w:rsidR="007C0B5A" w:rsidRPr="00C64ECB" w14:paraId="6C87006D" w14:textId="77777777" w:rsidTr="00126681">
        <w:tc>
          <w:tcPr>
            <w:tcW w:w="3260" w:type="dxa"/>
          </w:tcPr>
          <w:p w14:paraId="594C45BA" w14:textId="77777777" w:rsidR="007C0B5A" w:rsidRPr="00C64ECB" w:rsidRDefault="007C0B5A" w:rsidP="00126681">
            <w:pPr>
              <w:pStyle w:val="TAH"/>
            </w:pPr>
            <w:r w:rsidRPr="00C64ECB">
              <w:t>EIRP spectral density</w:t>
            </w:r>
          </w:p>
        </w:tc>
        <w:tc>
          <w:tcPr>
            <w:tcW w:w="4536" w:type="dxa"/>
          </w:tcPr>
          <w:p w14:paraId="5E1BD353" w14:textId="77777777" w:rsidR="007C0B5A" w:rsidRPr="00C64ECB" w:rsidRDefault="007C0B5A" w:rsidP="00126681">
            <w:pPr>
              <w:pStyle w:val="TAH"/>
            </w:pPr>
            <w:r w:rsidRPr="00C64ECB">
              <w:t>Elevation angle</w:t>
            </w:r>
          </w:p>
        </w:tc>
      </w:tr>
      <w:tr w:rsidR="007C0B5A" w:rsidRPr="00C64ECB" w14:paraId="2BDE7FC8" w14:textId="77777777" w:rsidTr="00126681">
        <w:tc>
          <w:tcPr>
            <w:tcW w:w="7796" w:type="dxa"/>
            <w:gridSpan w:val="2"/>
          </w:tcPr>
          <w:p w14:paraId="1228374F" w14:textId="77777777" w:rsidR="007C0B5A" w:rsidRPr="00C64ECB" w:rsidRDefault="007C0B5A" w:rsidP="00126681">
            <w:pPr>
              <w:pStyle w:val="TAL"/>
              <w:rPr>
                <w:lang w:val="en-US"/>
              </w:rPr>
            </w:pPr>
            <w:r w:rsidRPr="00C64ECB">
              <w:rPr>
                <w:lang w:val="en-US"/>
              </w:rPr>
              <w:t>For sectorised (e.g. P-MP Central or Base Station) and Omni-directional deployments:</w:t>
            </w:r>
          </w:p>
        </w:tc>
      </w:tr>
      <w:tr w:rsidR="007C0B5A" w:rsidRPr="00C64ECB" w14:paraId="7C316EE0" w14:textId="77777777" w:rsidTr="00126681">
        <w:tc>
          <w:tcPr>
            <w:tcW w:w="3260" w:type="dxa"/>
          </w:tcPr>
          <w:p w14:paraId="11D8EA56" w14:textId="77777777" w:rsidR="007C0B5A" w:rsidRPr="00C64ECB" w:rsidRDefault="007C0B5A" w:rsidP="00126681">
            <w:pPr>
              <w:pStyle w:val="TAC"/>
              <w:rPr>
                <w:b/>
                <w:bCs/>
              </w:rPr>
            </w:pPr>
            <w:r w:rsidRPr="00C64ECB">
              <w:rPr>
                <w:lang w:val="en-US"/>
              </w:rPr>
              <w:t>−7 dB(W/MHz)</w:t>
            </w:r>
          </w:p>
        </w:tc>
        <w:tc>
          <w:tcPr>
            <w:tcW w:w="4536" w:type="dxa"/>
          </w:tcPr>
          <w:p w14:paraId="49A28E14" w14:textId="77777777" w:rsidR="007C0B5A" w:rsidRPr="00C64ECB" w:rsidRDefault="007C0B5A" w:rsidP="00126681">
            <w:pPr>
              <w:pStyle w:val="TAC"/>
              <w:rPr>
                <w:b/>
                <w:bCs/>
              </w:rPr>
            </w:pPr>
            <w:r w:rsidRPr="00C64ECB">
              <w:rPr>
                <w:lang w:val="en-US"/>
              </w:rPr>
              <w:t xml:space="preserve">0° ≤ </w:t>
            </w:r>
            <w:r w:rsidRPr="00C64ECB">
              <w:rPr>
                <w:lang w:val="fr-FR"/>
              </w:rPr>
              <w:t>θ</w:t>
            </w:r>
            <w:r w:rsidRPr="00C64ECB">
              <w:rPr>
                <w:lang w:val="en-US"/>
              </w:rPr>
              <w:t xml:space="preserve"> &lt;4°</w:t>
            </w:r>
          </w:p>
        </w:tc>
      </w:tr>
      <w:tr w:rsidR="007C0B5A" w:rsidRPr="00C64ECB" w14:paraId="2F506E64" w14:textId="77777777" w:rsidTr="00126681">
        <w:tc>
          <w:tcPr>
            <w:tcW w:w="3260" w:type="dxa"/>
          </w:tcPr>
          <w:p w14:paraId="0F7790DF" w14:textId="77777777" w:rsidR="007C0B5A" w:rsidRPr="00C64ECB" w:rsidRDefault="007C0B5A" w:rsidP="00126681">
            <w:pPr>
              <w:pStyle w:val="TAC"/>
              <w:rPr>
                <w:b/>
                <w:bCs/>
              </w:rPr>
            </w:pPr>
            <w:r w:rsidRPr="00C64ECB">
              <w:rPr>
                <w:lang w:val="en-US"/>
              </w:rPr>
              <w:t>−2.2 - (1.2*</w:t>
            </w:r>
            <w:r w:rsidRPr="00C64ECB">
              <w:rPr>
                <w:lang w:val="fr-FR"/>
              </w:rPr>
              <w:t>θ</w:t>
            </w:r>
            <w:r w:rsidRPr="00C64ECB">
              <w:rPr>
                <w:lang w:val="en-US"/>
              </w:rPr>
              <w:t>) dB(W/MHz)</w:t>
            </w:r>
          </w:p>
        </w:tc>
        <w:tc>
          <w:tcPr>
            <w:tcW w:w="4536" w:type="dxa"/>
          </w:tcPr>
          <w:p w14:paraId="78FD7A79" w14:textId="77777777" w:rsidR="007C0B5A" w:rsidRPr="00C64ECB" w:rsidRDefault="007C0B5A" w:rsidP="00126681">
            <w:pPr>
              <w:pStyle w:val="TAC"/>
              <w:rPr>
                <w:b/>
                <w:bCs/>
              </w:rPr>
            </w:pPr>
            <w:r w:rsidRPr="00C64ECB">
              <w:rPr>
                <w:lang w:val="en-US"/>
              </w:rPr>
              <w:t xml:space="preserve">4° ≤ </w:t>
            </w:r>
            <w:r w:rsidRPr="00C64ECB">
              <w:rPr>
                <w:lang w:val="fr-FR"/>
              </w:rPr>
              <w:t>θ</w:t>
            </w:r>
            <w:r w:rsidRPr="00C64ECB">
              <w:rPr>
                <w:lang w:val="en-US"/>
              </w:rPr>
              <w:t xml:space="preserve"> ≤ 15°</w:t>
            </w:r>
          </w:p>
        </w:tc>
      </w:tr>
      <w:tr w:rsidR="007C0B5A" w:rsidRPr="00C64ECB" w14:paraId="25E33C92" w14:textId="77777777" w:rsidTr="00126681">
        <w:tc>
          <w:tcPr>
            <w:tcW w:w="3260" w:type="dxa"/>
          </w:tcPr>
          <w:p w14:paraId="3BA7C4AD" w14:textId="77777777" w:rsidR="007C0B5A" w:rsidRPr="00C64ECB" w:rsidRDefault="007C0B5A" w:rsidP="00126681">
            <w:pPr>
              <w:pStyle w:val="TAC"/>
              <w:rPr>
                <w:b/>
                <w:bCs/>
              </w:rPr>
            </w:pPr>
            <w:r w:rsidRPr="00C64ECB">
              <w:rPr>
                <w:lang w:val="en-US"/>
              </w:rPr>
              <w:t>−18.4 - (0.15*</w:t>
            </w:r>
            <w:r w:rsidRPr="00C64ECB">
              <w:rPr>
                <w:lang w:val="fr-FR"/>
              </w:rPr>
              <w:t>θ</w:t>
            </w:r>
            <w:r w:rsidRPr="00C64ECB">
              <w:rPr>
                <w:lang w:val="en-US"/>
              </w:rPr>
              <w:t>) dB(W/MHz)</w:t>
            </w:r>
          </w:p>
        </w:tc>
        <w:tc>
          <w:tcPr>
            <w:tcW w:w="4536" w:type="dxa"/>
          </w:tcPr>
          <w:p w14:paraId="2E30EC3A" w14:textId="77777777" w:rsidR="007C0B5A" w:rsidRPr="00C64ECB" w:rsidRDefault="007C0B5A" w:rsidP="00126681">
            <w:pPr>
              <w:pStyle w:val="TAC"/>
              <w:rPr>
                <w:b/>
                <w:bCs/>
              </w:rPr>
            </w:pPr>
            <w:r w:rsidRPr="00C64ECB">
              <w:rPr>
                <w:lang w:val="fr-FR"/>
              </w:rPr>
              <w:t>θ</w:t>
            </w:r>
            <w:r w:rsidRPr="00C64ECB">
              <w:rPr>
                <w:lang w:val="en-US"/>
              </w:rPr>
              <w:t xml:space="preserve"> &gt; 15°</w:t>
            </w:r>
          </w:p>
        </w:tc>
      </w:tr>
      <w:tr w:rsidR="007C0B5A" w:rsidRPr="00C64ECB" w14:paraId="638329E7" w14:textId="77777777" w:rsidTr="00126681">
        <w:tc>
          <w:tcPr>
            <w:tcW w:w="7796" w:type="dxa"/>
            <w:gridSpan w:val="2"/>
          </w:tcPr>
          <w:p w14:paraId="19977C2A" w14:textId="77777777" w:rsidR="007C0B5A" w:rsidRPr="00C64ECB" w:rsidRDefault="007C0B5A" w:rsidP="00126681">
            <w:pPr>
              <w:pStyle w:val="TAL"/>
              <w:rPr>
                <w:b/>
                <w:bCs/>
              </w:rPr>
            </w:pPr>
            <w:r w:rsidRPr="00C64ECB">
              <w:rPr>
                <w:lang w:val="en-US"/>
              </w:rPr>
              <w:t>For P-MP Customer Terminal Station and P-P deployments:</w:t>
            </w:r>
          </w:p>
        </w:tc>
      </w:tr>
      <w:tr w:rsidR="007C0B5A" w:rsidRPr="00C64ECB" w14:paraId="2D15A5A0" w14:textId="77777777" w:rsidTr="00126681">
        <w:tc>
          <w:tcPr>
            <w:tcW w:w="3260" w:type="dxa"/>
          </w:tcPr>
          <w:p w14:paraId="39EB6A2B" w14:textId="77777777" w:rsidR="007C0B5A" w:rsidRPr="00C64ECB" w:rsidRDefault="007C0B5A" w:rsidP="00126681">
            <w:pPr>
              <w:pStyle w:val="TAC"/>
              <w:rPr>
                <w:b/>
                <w:bCs/>
              </w:rPr>
            </w:pPr>
            <w:r w:rsidRPr="00C64ECB">
              <w:rPr>
                <w:lang w:val="en-US"/>
              </w:rPr>
              <w:t>−7 dB(W/MHz)</w:t>
            </w:r>
          </w:p>
        </w:tc>
        <w:tc>
          <w:tcPr>
            <w:tcW w:w="4536" w:type="dxa"/>
          </w:tcPr>
          <w:p w14:paraId="1754D900" w14:textId="77777777" w:rsidR="007C0B5A" w:rsidRPr="00C64ECB" w:rsidRDefault="007C0B5A" w:rsidP="00126681">
            <w:pPr>
              <w:pStyle w:val="TAC"/>
              <w:rPr>
                <w:b/>
                <w:bCs/>
              </w:rPr>
            </w:pPr>
            <w:r w:rsidRPr="00C64ECB">
              <w:rPr>
                <w:lang w:val="en-US"/>
              </w:rPr>
              <w:t xml:space="preserve">for 0° ≤ </w:t>
            </w:r>
            <w:r w:rsidRPr="00C64ECB">
              <w:rPr>
                <w:lang w:val="fr-FR"/>
              </w:rPr>
              <w:t>θ</w:t>
            </w:r>
            <w:r w:rsidRPr="00C64ECB">
              <w:rPr>
                <w:lang w:val="en-US"/>
              </w:rPr>
              <w:t xml:space="preserve"> &lt;8°</w:t>
            </w:r>
          </w:p>
        </w:tc>
      </w:tr>
      <w:tr w:rsidR="007C0B5A" w:rsidRPr="00C64ECB" w14:paraId="41BC14DC" w14:textId="77777777" w:rsidTr="00126681">
        <w:tc>
          <w:tcPr>
            <w:tcW w:w="3260" w:type="dxa"/>
          </w:tcPr>
          <w:p w14:paraId="327FAFAF" w14:textId="77777777" w:rsidR="007C0B5A" w:rsidRPr="00C64ECB" w:rsidRDefault="007C0B5A" w:rsidP="00126681">
            <w:pPr>
              <w:pStyle w:val="TAC"/>
              <w:rPr>
                <w:b/>
                <w:bCs/>
              </w:rPr>
            </w:pPr>
            <w:r w:rsidRPr="00C64ECB">
              <w:rPr>
                <w:lang w:val="en-US"/>
              </w:rPr>
              <w:t>−2.68 -(0.54*</w:t>
            </w:r>
            <w:r w:rsidRPr="00C64ECB">
              <w:rPr>
                <w:lang w:val="fr-FR"/>
              </w:rPr>
              <w:t>θ</w:t>
            </w:r>
            <w:r w:rsidRPr="00C64ECB">
              <w:rPr>
                <w:lang w:val="en-US"/>
              </w:rPr>
              <w:t>) dB(W/MHz)</w:t>
            </w:r>
          </w:p>
        </w:tc>
        <w:tc>
          <w:tcPr>
            <w:tcW w:w="4536" w:type="dxa"/>
          </w:tcPr>
          <w:p w14:paraId="6783AE21" w14:textId="77777777" w:rsidR="007C0B5A" w:rsidRPr="00C64ECB" w:rsidRDefault="007C0B5A" w:rsidP="00126681">
            <w:pPr>
              <w:pStyle w:val="TAC"/>
              <w:rPr>
                <w:b/>
                <w:bCs/>
              </w:rPr>
            </w:pPr>
            <w:r w:rsidRPr="00C64ECB">
              <w:rPr>
                <w:lang w:val="en-US"/>
              </w:rPr>
              <w:t xml:space="preserve">8° ≤ </w:t>
            </w:r>
            <w:r w:rsidRPr="00C64ECB">
              <w:rPr>
                <w:lang w:val="fr-FR"/>
              </w:rPr>
              <w:t>θ</w:t>
            </w:r>
            <w:r w:rsidRPr="00C64ECB">
              <w:rPr>
                <w:lang w:val="en-US"/>
              </w:rPr>
              <w:t xml:space="preserve"> &lt; 32°</w:t>
            </w:r>
          </w:p>
        </w:tc>
      </w:tr>
      <w:tr w:rsidR="007C0B5A" w:rsidRPr="00C64ECB" w14:paraId="37BA783F" w14:textId="77777777" w:rsidTr="00126681">
        <w:tc>
          <w:tcPr>
            <w:tcW w:w="3260" w:type="dxa"/>
          </w:tcPr>
          <w:p w14:paraId="677912D6" w14:textId="77777777" w:rsidR="007C0B5A" w:rsidRPr="00C64ECB" w:rsidRDefault="007C0B5A" w:rsidP="00126681">
            <w:pPr>
              <w:pStyle w:val="TAC"/>
              <w:rPr>
                <w:b/>
                <w:bCs/>
              </w:rPr>
            </w:pPr>
            <w:r w:rsidRPr="00C64ECB">
              <w:rPr>
                <w:lang w:val="en-US"/>
              </w:rPr>
              <w:t>−20 dB(W/MHz)</w:t>
            </w:r>
          </w:p>
        </w:tc>
        <w:tc>
          <w:tcPr>
            <w:tcW w:w="4536" w:type="dxa"/>
          </w:tcPr>
          <w:p w14:paraId="2AD4908F" w14:textId="77777777" w:rsidR="007C0B5A" w:rsidRPr="00C64ECB" w:rsidRDefault="007C0B5A" w:rsidP="00126681">
            <w:pPr>
              <w:pStyle w:val="TAC"/>
              <w:rPr>
                <w:b/>
                <w:bCs/>
              </w:rPr>
            </w:pPr>
            <w:r w:rsidRPr="00C64ECB">
              <w:rPr>
                <w:lang w:val="en-US"/>
              </w:rPr>
              <w:t xml:space="preserve">32° ≤ </w:t>
            </w:r>
            <w:r w:rsidRPr="00C64ECB">
              <w:rPr>
                <w:lang w:val="fr-FR"/>
              </w:rPr>
              <w:t>θ</w:t>
            </w:r>
            <w:r w:rsidRPr="00C64ECB">
              <w:rPr>
                <w:lang w:val="en-US"/>
              </w:rPr>
              <w:t xml:space="preserve"> ≤50°</w:t>
            </w:r>
          </w:p>
        </w:tc>
      </w:tr>
      <w:tr w:rsidR="007C0B5A" w:rsidRPr="00C64ECB" w14:paraId="5A661D2E" w14:textId="77777777" w:rsidTr="00126681">
        <w:tc>
          <w:tcPr>
            <w:tcW w:w="3260" w:type="dxa"/>
          </w:tcPr>
          <w:p w14:paraId="07A3C881" w14:textId="77777777" w:rsidR="007C0B5A" w:rsidRPr="00C64ECB" w:rsidRDefault="007C0B5A" w:rsidP="00126681">
            <w:pPr>
              <w:pStyle w:val="TAC"/>
              <w:rPr>
                <w:b/>
                <w:bCs/>
              </w:rPr>
            </w:pPr>
            <w:r w:rsidRPr="00C64ECB">
              <w:rPr>
                <w:lang w:val="en-US"/>
              </w:rPr>
              <w:t>−10 - (0.2*</w:t>
            </w:r>
            <w:r w:rsidRPr="00C64ECB">
              <w:rPr>
                <w:lang w:val="fr-FR"/>
              </w:rPr>
              <w:t>θ</w:t>
            </w:r>
            <w:r w:rsidRPr="00C64ECB">
              <w:rPr>
                <w:lang w:val="en-US"/>
              </w:rPr>
              <w:t>) dB(W/MHz)</w:t>
            </w:r>
          </w:p>
        </w:tc>
        <w:tc>
          <w:tcPr>
            <w:tcW w:w="4536" w:type="dxa"/>
          </w:tcPr>
          <w:p w14:paraId="314FB882" w14:textId="77777777" w:rsidR="007C0B5A" w:rsidRPr="00C64ECB" w:rsidRDefault="007C0B5A" w:rsidP="00126681">
            <w:pPr>
              <w:pStyle w:val="TAC"/>
              <w:rPr>
                <w:b/>
                <w:bCs/>
              </w:rPr>
            </w:pPr>
            <w:r w:rsidRPr="00C64ECB">
              <w:rPr>
                <w:lang w:val="fr-FR"/>
              </w:rPr>
              <w:t>θ</w:t>
            </w:r>
            <w:r w:rsidRPr="00C64ECB">
              <w:rPr>
                <w:lang w:val="en-US"/>
              </w:rPr>
              <w:t xml:space="preserve"> &gt; 50°</w:t>
            </w:r>
          </w:p>
        </w:tc>
      </w:tr>
    </w:tbl>
    <w:p w14:paraId="1A7A5244" w14:textId="77777777" w:rsidR="007C0B5A" w:rsidRPr="00C64ECB" w:rsidRDefault="007C0B5A" w:rsidP="007C0B5A">
      <w:pPr>
        <w:rPr>
          <w:sz w:val="24"/>
          <w:szCs w:val="24"/>
          <w:lang w:val="en-US"/>
        </w:rPr>
      </w:pPr>
    </w:p>
    <w:p w14:paraId="61B2CB66" w14:textId="77777777" w:rsidR="007C0B5A" w:rsidRPr="00C64ECB" w:rsidRDefault="007C0B5A" w:rsidP="007C0B5A">
      <w:pPr>
        <w:pStyle w:val="TH"/>
      </w:pPr>
      <w:bookmarkStart w:id="21" w:name="_Ref375161580"/>
      <w:r w:rsidRPr="00C64ECB">
        <w:lastRenderedPageBreak/>
        <w:t xml:space="preserve">Table </w:t>
      </w:r>
      <w:bookmarkEnd w:id="21"/>
      <w:r w:rsidRPr="00C64ECB">
        <w:t>4.1</w:t>
      </w:r>
      <w:r w:rsidR="000D7B67" w:rsidRPr="00C64ECB">
        <w:t>.1</w:t>
      </w:r>
      <w:r w:rsidRPr="00C64ECB">
        <w:t>.1-4: DFS requirements in Europe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469"/>
        <w:gridCol w:w="2918"/>
        <w:gridCol w:w="4224"/>
      </w:tblGrid>
      <w:tr w:rsidR="007C0B5A" w:rsidRPr="00C64ECB" w14:paraId="0D111E2A" w14:textId="77777777" w:rsidTr="00126681">
        <w:tc>
          <w:tcPr>
            <w:tcW w:w="2518" w:type="dxa"/>
            <w:shd w:val="solid" w:color="800080" w:fill="FFFFFF"/>
          </w:tcPr>
          <w:p w14:paraId="2331F9F3" w14:textId="77777777" w:rsidR="007C0B5A" w:rsidRPr="00C64ECB" w:rsidRDefault="007C0B5A" w:rsidP="005E1804">
            <w:pPr>
              <w:pStyle w:val="TAH"/>
            </w:pPr>
            <w:r w:rsidRPr="00C64ECB">
              <w:t>Parameter</w:t>
            </w:r>
          </w:p>
        </w:tc>
        <w:tc>
          <w:tcPr>
            <w:tcW w:w="2977" w:type="dxa"/>
            <w:shd w:val="solid" w:color="800080" w:fill="FFFFFF"/>
          </w:tcPr>
          <w:p w14:paraId="4F4E9659" w14:textId="77777777" w:rsidR="007C0B5A" w:rsidRPr="00C64ECB" w:rsidRDefault="007C0B5A" w:rsidP="005E1804">
            <w:pPr>
              <w:pStyle w:val="TAH"/>
            </w:pPr>
            <w:r w:rsidRPr="00C64ECB">
              <w:t>Requirement</w:t>
            </w:r>
          </w:p>
        </w:tc>
        <w:tc>
          <w:tcPr>
            <w:tcW w:w="4333" w:type="dxa"/>
            <w:shd w:val="solid" w:color="800080" w:fill="FFFFFF"/>
          </w:tcPr>
          <w:p w14:paraId="14EAC195" w14:textId="77777777" w:rsidR="007C0B5A" w:rsidRPr="00C64ECB" w:rsidRDefault="007C0B5A" w:rsidP="005E1804">
            <w:pPr>
              <w:pStyle w:val="TAH"/>
            </w:pPr>
            <w:r w:rsidRPr="00C64ECB">
              <w:t>Comments</w:t>
            </w:r>
          </w:p>
        </w:tc>
      </w:tr>
      <w:tr w:rsidR="007C0B5A" w:rsidRPr="00C64ECB" w14:paraId="0FCBFE1A" w14:textId="77777777" w:rsidTr="00126681">
        <w:tc>
          <w:tcPr>
            <w:tcW w:w="2518" w:type="dxa"/>
            <w:shd w:val="solid" w:color="C0C0C0" w:fill="FFFFFF"/>
          </w:tcPr>
          <w:p w14:paraId="64BEEB1A" w14:textId="77777777" w:rsidR="007C0B5A" w:rsidRPr="00C64ECB" w:rsidRDefault="007C0B5A" w:rsidP="005E1804">
            <w:pPr>
              <w:pStyle w:val="TAL"/>
            </w:pPr>
            <w:r w:rsidRPr="00C64ECB">
              <w:t>DFS Threshold (dBm) for WAS/RLAN</w:t>
            </w:r>
          </w:p>
        </w:tc>
        <w:tc>
          <w:tcPr>
            <w:tcW w:w="2977" w:type="dxa"/>
            <w:shd w:val="clear" w:color="auto" w:fill="auto"/>
          </w:tcPr>
          <w:p w14:paraId="0B4E26FB" w14:textId="77777777" w:rsidR="007C0B5A" w:rsidRPr="00C64ECB" w:rsidRDefault="007C0B5A" w:rsidP="005E1804">
            <w:pPr>
              <w:pStyle w:val="TAL"/>
            </w:pPr>
            <w:r w:rsidRPr="00C64ECB">
              <w:t>-62(dBm) + 10(dBm/MHz) -  EIRP Spectral density (dBm/MHz) + G(dBi)</w:t>
            </w:r>
          </w:p>
          <w:p w14:paraId="503A1930" w14:textId="77777777" w:rsidR="007C0B5A" w:rsidRPr="00C64ECB" w:rsidRDefault="007C0B5A" w:rsidP="005E1804">
            <w:pPr>
              <w:pStyle w:val="TAL"/>
            </w:pPr>
          </w:p>
        </w:tc>
        <w:tc>
          <w:tcPr>
            <w:tcW w:w="4333" w:type="dxa"/>
            <w:shd w:val="clear" w:color="auto" w:fill="auto"/>
          </w:tcPr>
          <w:p w14:paraId="5FE53481" w14:textId="77777777" w:rsidR="007C0B5A" w:rsidRPr="00C64ECB" w:rsidRDefault="007C0B5A" w:rsidP="005E1804">
            <w:pPr>
              <w:pStyle w:val="TAL"/>
            </w:pPr>
            <w:r w:rsidRPr="00C64ECB">
              <w:t>*No DFS requirements on 5150 MHz – 5250 MHz</w:t>
            </w:r>
          </w:p>
          <w:p w14:paraId="771C328B" w14:textId="77777777" w:rsidR="007C0B5A" w:rsidRPr="00C64ECB" w:rsidRDefault="007C0B5A" w:rsidP="005E1804">
            <w:pPr>
              <w:pStyle w:val="TAL"/>
            </w:pPr>
            <w:r w:rsidRPr="00C64ECB">
              <w:t xml:space="preserve">*G denotes antenna gain </w:t>
            </w:r>
          </w:p>
        </w:tc>
      </w:tr>
      <w:tr w:rsidR="007C0B5A" w:rsidRPr="00C64ECB" w14:paraId="4AB6034A" w14:textId="77777777" w:rsidTr="00126681">
        <w:tc>
          <w:tcPr>
            <w:tcW w:w="2518" w:type="dxa"/>
            <w:shd w:val="solid" w:color="C0C0C0" w:fill="FFFFFF"/>
          </w:tcPr>
          <w:p w14:paraId="1FDFEBD0" w14:textId="77777777" w:rsidR="007C0B5A" w:rsidRPr="00C64ECB" w:rsidRDefault="007C0B5A" w:rsidP="005E1804">
            <w:pPr>
              <w:pStyle w:val="TAL"/>
            </w:pPr>
            <w:r w:rsidRPr="00C64ECB">
              <w:t>DFS Threshold (dBm) for FWA</w:t>
            </w:r>
          </w:p>
        </w:tc>
        <w:tc>
          <w:tcPr>
            <w:tcW w:w="2977" w:type="dxa"/>
            <w:shd w:val="clear" w:color="auto" w:fill="auto"/>
          </w:tcPr>
          <w:p w14:paraId="6C663F29" w14:textId="77777777" w:rsidR="007C0B5A" w:rsidRPr="00C64ECB" w:rsidRDefault="007C0B5A" w:rsidP="005E1804">
            <w:pPr>
              <w:pStyle w:val="TAL"/>
            </w:pPr>
            <w:r w:rsidRPr="00C64ECB">
              <w:t>-69 (dBm) + 23(dBm/MHz) - EIRP Spectral density (dBm/MHz) + G(dBi)</w:t>
            </w:r>
          </w:p>
          <w:p w14:paraId="2991F55E" w14:textId="77777777" w:rsidR="007C0B5A" w:rsidRPr="00C64ECB" w:rsidRDefault="007C0B5A" w:rsidP="005E1804">
            <w:pPr>
              <w:pStyle w:val="TAL"/>
            </w:pPr>
          </w:p>
        </w:tc>
        <w:tc>
          <w:tcPr>
            <w:tcW w:w="4333" w:type="dxa"/>
            <w:shd w:val="clear" w:color="auto" w:fill="auto"/>
          </w:tcPr>
          <w:p w14:paraId="5F7ED929" w14:textId="77777777" w:rsidR="007C0B5A" w:rsidRPr="00C64ECB" w:rsidRDefault="007C0B5A" w:rsidP="005E1804">
            <w:pPr>
              <w:pStyle w:val="TAL"/>
            </w:pPr>
            <w:r w:rsidRPr="00C64ECB">
              <w:t>*No DFS requirements on 5850 MHz – 5875 MHz</w:t>
            </w:r>
          </w:p>
          <w:p w14:paraId="205DD4B6" w14:textId="77777777" w:rsidR="007C0B5A" w:rsidRPr="00C64ECB" w:rsidRDefault="007C0B5A" w:rsidP="005E1804">
            <w:pPr>
              <w:pStyle w:val="TAL"/>
            </w:pPr>
            <w:r w:rsidRPr="00C64ECB">
              <w:t>*G denotes antenna gain</w:t>
            </w:r>
          </w:p>
        </w:tc>
      </w:tr>
      <w:tr w:rsidR="007C0B5A" w:rsidRPr="00C64ECB" w14:paraId="0EB06FD7" w14:textId="77777777" w:rsidTr="00126681">
        <w:tc>
          <w:tcPr>
            <w:tcW w:w="2518" w:type="dxa"/>
            <w:vMerge w:val="restart"/>
            <w:shd w:val="solid" w:color="C0C0C0" w:fill="FFFFFF"/>
          </w:tcPr>
          <w:p w14:paraId="43A8F810" w14:textId="77777777" w:rsidR="007C0B5A" w:rsidRPr="00C64ECB" w:rsidRDefault="007C0B5A" w:rsidP="005E1804">
            <w:pPr>
              <w:pStyle w:val="TAL"/>
            </w:pPr>
            <w:r w:rsidRPr="00C64ECB">
              <w:t>Channel Availability check</w:t>
            </w:r>
          </w:p>
        </w:tc>
        <w:tc>
          <w:tcPr>
            <w:tcW w:w="2977" w:type="dxa"/>
            <w:shd w:val="clear" w:color="auto" w:fill="auto"/>
          </w:tcPr>
          <w:p w14:paraId="444150E8" w14:textId="77777777" w:rsidR="007C0B5A" w:rsidRPr="00C64ECB" w:rsidRDefault="007C0B5A" w:rsidP="005E1804">
            <w:pPr>
              <w:pStyle w:val="TAL"/>
            </w:pPr>
            <w:r w:rsidRPr="00C64ECB">
              <w:t>60 seconds outside 5600-5650 MHz</w:t>
            </w:r>
          </w:p>
        </w:tc>
        <w:tc>
          <w:tcPr>
            <w:tcW w:w="4333" w:type="dxa"/>
            <w:vMerge w:val="restart"/>
            <w:shd w:val="clear" w:color="auto" w:fill="auto"/>
          </w:tcPr>
          <w:p w14:paraId="18C9BEFB" w14:textId="77777777" w:rsidR="007C0B5A" w:rsidRPr="00C64ECB" w:rsidRDefault="007C0B5A" w:rsidP="005E1804">
            <w:pPr>
              <w:pStyle w:val="TAL"/>
            </w:pPr>
            <w:r w:rsidRPr="00C64ECB">
              <w:t>Master mode</w:t>
            </w:r>
          </w:p>
        </w:tc>
      </w:tr>
      <w:tr w:rsidR="007C0B5A" w:rsidRPr="00C64ECB" w14:paraId="45E3B9A7" w14:textId="77777777" w:rsidTr="00126681">
        <w:tc>
          <w:tcPr>
            <w:tcW w:w="2518" w:type="dxa"/>
            <w:vMerge/>
            <w:shd w:val="solid" w:color="C0C0C0" w:fill="FFFFFF"/>
          </w:tcPr>
          <w:p w14:paraId="21BF379D" w14:textId="77777777" w:rsidR="007C0B5A" w:rsidRPr="00C64ECB" w:rsidRDefault="007C0B5A" w:rsidP="005E1804">
            <w:pPr>
              <w:pStyle w:val="TAL"/>
            </w:pPr>
          </w:p>
        </w:tc>
        <w:tc>
          <w:tcPr>
            <w:tcW w:w="2977" w:type="dxa"/>
            <w:shd w:val="clear" w:color="auto" w:fill="auto"/>
          </w:tcPr>
          <w:p w14:paraId="3FC557D4" w14:textId="77777777" w:rsidR="007C0B5A" w:rsidRPr="00C64ECB" w:rsidRDefault="007C0B5A" w:rsidP="005E1804">
            <w:pPr>
              <w:pStyle w:val="TAL"/>
            </w:pPr>
            <w:r w:rsidRPr="00C64ECB">
              <w:t>10 minutes inside 5600-5650 MHz</w:t>
            </w:r>
          </w:p>
        </w:tc>
        <w:tc>
          <w:tcPr>
            <w:tcW w:w="4333" w:type="dxa"/>
            <w:vMerge/>
            <w:shd w:val="clear" w:color="auto" w:fill="auto"/>
          </w:tcPr>
          <w:p w14:paraId="10C73909" w14:textId="77777777" w:rsidR="007C0B5A" w:rsidRPr="00C64ECB" w:rsidRDefault="007C0B5A" w:rsidP="005E1804">
            <w:pPr>
              <w:pStyle w:val="TAL"/>
            </w:pPr>
          </w:p>
        </w:tc>
      </w:tr>
      <w:tr w:rsidR="007C0B5A" w:rsidRPr="00C64ECB" w14:paraId="05BE78C9" w14:textId="77777777" w:rsidTr="00126681">
        <w:trPr>
          <w:trHeight w:val="890"/>
        </w:trPr>
        <w:tc>
          <w:tcPr>
            <w:tcW w:w="2518" w:type="dxa"/>
            <w:shd w:val="solid" w:color="C0C0C0" w:fill="FFFFFF"/>
          </w:tcPr>
          <w:p w14:paraId="4C561C06" w14:textId="77777777" w:rsidR="007C0B5A" w:rsidRPr="00C64ECB" w:rsidRDefault="007C0B5A" w:rsidP="005E1804">
            <w:pPr>
              <w:pStyle w:val="TAL"/>
            </w:pPr>
            <w:r w:rsidRPr="00C64ECB">
              <w:t>Channel move time</w:t>
            </w:r>
          </w:p>
        </w:tc>
        <w:tc>
          <w:tcPr>
            <w:tcW w:w="2977" w:type="dxa"/>
            <w:shd w:val="clear" w:color="auto" w:fill="auto"/>
          </w:tcPr>
          <w:p w14:paraId="1E7E02A6" w14:textId="77777777" w:rsidR="007C0B5A" w:rsidRPr="00C64ECB" w:rsidRDefault="007C0B5A" w:rsidP="005E1804">
            <w:pPr>
              <w:pStyle w:val="TAL"/>
            </w:pPr>
            <w:r w:rsidRPr="00C64ECB">
              <w:t>10 seconds</w:t>
            </w:r>
          </w:p>
        </w:tc>
        <w:tc>
          <w:tcPr>
            <w:tcW w:w="4333" w:type="dxa"/>
            <w:shd w:val="clear" w:color="auto" w:fill="auto"/>
          </w:tcPr>
          <w:p w14:paraId="6338666E" w14:textId="77777777" w:rsidR="007C0B5A" w:rsidRPr="00C64ECB" w:rsidRDefault="007C0B5A" w:rsidP="005E1804">
            <w:pPr>
              <w:pStyle w:val="TAL"/>
            </w:pPr>
            <w:r w:rsidRPr="00C64ECB">
              <w:t>Master and slave modes</w:t>
            </w:r>
          </w:p>
        </w:tc>
      </w:tr>
      <w:tr w:rsidR="007C0B5A" w:rsidRPr="00C64ECB" w14:paraId="42F9B353" w14:textId="77777777" w:rsidTr="00126681">
        <w:tc>
          <w:tcPr>
            <w:tcW w:w="2518" w:type="dxa"/>
            <w:shd w:val="solid" w:color="C0C0C0" w:fill="FFFFFF"/>
          </w:tcPr>
          <w:p w14:paraId="772C5CEE" w14:textId="77777777" w:rsidR="007C0B5A" w:rsidRPr="00C64ECB" w:rsidRDefault="007C0B5A" w:rsidP="005E1804">
            <w:pPr>
              <w:pStyle w:val="TAL"/>
            </w:pPr>
            <w:r w:rsidRPr="00C64ECB">
              <w:t>Non-occupancy time</w:t>
            </w:r>
          </w:p>
        </w:tc>
        <w:tc>
          <w:tcPr>
            <w:tcW w:w="2977" w:type="dxa"/>
            <w:shd w:val="clear" w:color="auto" w:fill="auto"/>
          </w:tcPr>
          <w:p w14:paraId="7BF61337" w14:textId="77777777" w:rsidR="007C0B5A" w:rsidRPr="00C64ECB" w:rsidRDefault="007C0B5A" w:rsidP="005E1804">
            <w:pPr>
              <w:pStyle w:val="TAL"/>
            </w:pPr>
            <w:r w:rsidRPr="00C64ECB">
              <w:t>30 minutes</w:t>
            </w:r>
          </w:p>
        </w:tc>
        <w:tc>
          <w:tcPr>
            <w:tcW w:w="4333" w:type="dxa"/>
            <w:shd w:val="clear" w:color="auto" w:fill="auto"/>
          </w:tcPr>
          <w:p w14:paraId="2A4C0F75" w14:textId="77777777" w:rsidR="007C0B5A" w:rsidRPr="00C64ECB" w:rsidRDefault="007C0B5A" w:rsidP="005E1804">
            <w:pPr>
              <w:pStyle w:val="TAL"/>
            </w:pPr>
            <w:r w:rsidRPr="00C64ECB">
              <w:t>After radar detection in either channel availability check or in-service monitoring</w:t>
            </w:r>
          </w:p>
        </w:tc>
      </w:tr>
      <w:tr w:rsidR="007C0B5A" w:rsidRPr="00C64ECB" w14:paraId="71ECEA43" w14:textId="77777777" w:rsidTr="00126681">
        <w:tc>
          <w:tcPr>
            <w:tcW w:w="9828" w:type="dxa"/>
            <w:gridSpan w:val="3"/>
            <w:shd w:val="solid" w:color="C0C0C0" w:fill="FFFFFF"/>
          </w:tcPr>
          <w:p w14:paraId="00615D5C" w14:textId="77777777" w:rsidR="007C0B5A" w:rsidRPr="00C64ECB" w:rsidRDefault="007C0B5A" w:rsidP="00126681">
            <w:pPr>
              <w:pStyle w:val="TAL"/>
            </w:pPr>
            <w:r w:rsidRPr="00C64ECB">
              <w:rPr>
                <w:i/>
                <w:iCs/>
              </w:rPr>
              <w:t xml:space="preserve">Uniform Spreading </w:t>
            </w:r>
            <w:r w:rsidRPr="00C64ECB">
              <w:t>is required across the frequency ranges 5150 -5350 MHz and 5470-5725 MHz.</w:t>
            </w:r>
          </w:p>
          <w:p w14:paraId="32473C9C" w14:textId="77777777" w:rsidR="007C0B5A" w:rsidRPr="00C64ECB" w:rsidRDefault="007C0B5A" w:rsidP="00126681">
            <w:pPr>
              <w:pStyle w:val="TAL"/>
            </w:pPr>
            <w:r w:rsidRPr="00C64ECB">
              <w:rPr>
                <w:i/>
                <w:iCs/>
              </w:rPr>
              <w:t xml:space="preserve">Uniform Spreading </w:t>
            </w:r>
            <w:r w:rsidRPr="00C64ECB">
              <w:t>is not applicable for equipment that only operates in 5150-5250 MHz band.</w:t>
            </w:r>
          </w:p>
        </w:tc>
      </w:tr>
    </w:tbl>
    <w:p w14:paraId="28E40068" w14:textId="77777777" w:rsidR="007C0B5A" w:rsidRPr="00C64ECB" w:rsidRDefault="007C0B5A" w:rsidP="007C0B5A">
      <w:pPr>
        <w:jc w:val="both"/>
        <w:rPr>
          <w:sz w:val="24"/>
          <w:szCs w:val="24"/>
        </w:rPr>
      </w:pPr>
    </w:p>
    <w:p w14:paraId="1423A66B" w14:textId="77777777" w:rsidR="007C0B5A" w:rsidRPr="00C64ECB" w:rsidRDefault="007C0B5A" w:rsidP="007C0B5A">
      <w:pPr>
        <w:rPr>
          <w:b/>
          <w:u w:val="single"/>
        </w:rPr>
      </w:pPr>
      <w:r w:rsidRPr="00C64ECB">
        <w:rPr>
          <w:b/>
          <w:u w:val="single"/>
        </w:rPr>
        <w:t>Interference to Weather Radars</w:t>
      </w:r>
    </w:p>
    <w:p w14:paraId="36B41BBB" w14:textId="77777777" w:rsidR="007C0B5A" w:rsidRPr="00C64ECB" w:rsidRDefault="007C0B5A" w:rsidP="007C0B5A">
      <w:r w:rsidRPr="00C64ECB">
        <w:t>Interference to Weather Radars is also a hot topic in the EU. The two last versions of EN 301 893 (1.6.1 and 1.7.1) have included amendments to better protect these radars, like the prohibition to give the user access to the configuration control settings that would allow him to disconnect the DFS functionality.</w:t>
      </w:r>
    </w:p>
    <w:p w14:paraId="3698AC00" w14:textId="77777777" w:rsidR="007C0B5A" w:rsidRPr="00C64ECB" w:rsidRDefault="007C0B5A" w:rsidP="007C0B5A">
      <w:r w:rsidRPr="00C64ECB">
        <w:t>The use of the band 5.60-5.65 GHz by WLANs is allowed in Europe, and a Market Surveillance campaign on WLANs 5 GHz has been led at EU level by the ADCO R&amp;TTE Group. The report [20] of the campaign has proposed specific recommendations to improve the situation. These recommendations do not require amendments to the last version of EN 301 893.</w:t>
      </w:r>
    </w:p>
    <w:p w14:paraId="1A0B5864" w14:textId="77777777" w:rsidR="007C0B5A" w:rsidRPr="00C64ECB" w:rsidRDefault="007C0B5A" w:rsidP="007C0B5A">
      <w:pPr>
        <w:pStyle w:val="Heading4"/>
      </w:pPr>
      <w:bookmarkStart w:id="22" w:name="_Toc531342980"/>
      <w:r w:rsidRPr="00C64ECB">
        <w:t>4.1.1.2</w:t>
      </w:r>
      <w:r w:rsidRPr="00C64ECB">
        <w:tab/>
        <w:t>Israel</w:t>
      </w:r>
      <w:bookmarkEnd w:id="22"/>
    </w:p>
    <w:p w14:paraId="404AA661" w14:textId="77777777" w:rsidR="007C0B5A" w:rsidRPr="00C64ECB" w:rsidRDefault="007C0B5A" w:rsidP="007C0B5A">
      <w:r w:rsidRPr="00C64ECB">
        <w:t>In Israel the bands 5150-5250 MHz and 5250-5350 MHz are open to RLANs.</w:t>
      </w:r>
    </w:p>
    <w:p w14:paraId="0ADDBDF8" w14:textId="77777777" w:rsidR="007C0B5A" w:rsidRPr="00C64ECB" w:rsidRDefault="007C0B5A" w:rsidP="007C0B5A">
      <w:pPr>
        <w:pStyle w:val="Heading4"/>
      </w:pPr>
      <w:bookmarkStart w:id="23" w:name="_Toc531342981"/>
      <w:r w:rsidRPr="00C64ECB">
        <w:t>4.1.1.3</w:t>
      </w:r>
      <w:r w:rsidRPr="00C64ECB">
        <w:tab/>
        <w:t>Russia</w:t>
      </w:r>
      <w:bookmarkEnd w:id="23"/>
    </w:p>
    <w:p w14:paraId="77CD87B1" w14:textId="77777777" w:rsidR="007C0B5A" w:rsidRPr="00C64ECB" w:rsidRDefault="007C0B5A" w:rsidP="007C0B5A">
      <w:r w:rsidRPr="00C64ECB">
        <w:t>In the Russian Federation the bands 5150-5350 MHz, the band 5470-5725 MHz above 5650 MHz and the band 5725-5825 MHz [20] are allowed to RLANs. Use of DFS is not mandated.</w:t>
      </w:r>
    </w:p>
    <w:p w14:paraId="22DB7EC6" w14:textId="77777777" w:rsidR="007C0B5A" w:rsidRPr="00C64ECB" w:rsidRDefault="007C0B5A" w:rsidP="007C0B5A">
      <w:pPr>
        <w:pStyle w:val="Heading4"/>
      </w:pPr>
      <w:bookmarkStart w:id="24" w:name="_Toc531342982"/>
      <w:r w:rsidRPr="00C64ECB">
        <w:t>4.1.1.4</w:t>
      </w:r>
      <w:r w:rsidRPr="00C64ECB">
        <w:tab/>
        <w:t>South Africa</w:t>
      </w:r>
      <w:bookmarkEnd w:id="24"/>
    </w:p>
    <w:p w14:paraId="599B33F1" w14:textId="77777777" w:rsidR="007C0B5A" w:rsidRPr="00C64ECB" w:rsidRDefault="007C0B5A" w:rsidP="007C0B5A">
      <w:r w:rsidRPr="00C64ECB">
        <w:t>In South Africa the bands 5150-5250 MHz and 5250-5350 MHz are available to RLANs but restricted to indoor use. The band 5470-5725 MHz is also open to RLANs.</w:t>
      </w:r>
    </w:p>
    <w:p w14:paraId="32247F5D" w14:textId="77777777" w:rsidR="007C0B5A" w:rsidRPr="00C64ECB" w:rsidRDefault="007C0B5A" w:rsidP="007C0B5A">
      <w:pPr>
        <w:pStyle w:val="Heading4"/>
      </w:pPr>
      <w:bookmarkStart w:id="25" w:name="_Toc531342983"/>
      <w:r w:rsidRPr="00C64ECB">
        <w:t>4.1.1.5</w:t>
      </w:r>
      <w:r w:rsidRPr="00C64ECB">
        <w:tab/>
        <w:t>Turkey</w:t>
      </w:r>
      <w:bookmarkEnd w:id="25"/>
    </w:p>
    <w:p w14:paraId="3D36F252" w14:textId="77777777" w:rsidR="007C0B5A" w:rsidRPr="00C64ECB" w:rsidRDefault="007C0B5A" w:rsidP="007C0B5A">
      <w:r w:rsidRPr="00C64ECB">
        <w:t>In Turkey the bands 5150-5250 MHz and 5250-5350 MHz are restricted to indoor use. DFS and TPC are mandated in the band 5470-5725 MHz.</w:t>
      </w:r>
    </w:p>
    <w:p w14:paraId="7FFAFDF7" w14:textId="77777777" w:rsidR="007C0B5A" w:rsidRPr="00C64ECB" w:rsidRDefault="007C0B5A" w:rsidP="007C0B5A">
      <w:pPr>
        <w:pStyle w:val="Heading3"/>
      </w:pPr>
      <w:bookmarkStart w:id="26" w:name="_Toc531342984"/>
      <w:r w:rsidRPr="00C64ECB">
        <w:t>4.1.2</w:t>
      </w:r>
      <w:r w:rsidRPr="00C64ECB">
        <w:tab/>
      </w:r>
      <w:r w:rsidRPr="00C64ECB">
        <w:rPr>
          <w:rFonts w:hint="eastAsia"/>
        </w:rPr>
        <w:t>ITU Region 2</w:t>
      </w:r>
      <w:bookmarkEnd w:id="26"/>
    </w:p>
    <w:p w14:paraId="5AEDE630" w14:textId="77777777" w:rsidR="007C0B5A" w:rsidRPr="00C64ECB" w:rsidRDefault="007C0B5A" w:rsidP="007C0B5A">
      <w:pPr>
        <w:pStyle w:val="Heading4"/>
      </w:pPr>
      <w:bookmarkStart w:id="27" w:name="_Toc531342985"/>
      <w:r w:rsidRPr="00C64ECB">
        <w:t>4</w:t>
      </w:r>
      <w:r w:rsidRPr="00C64ECB">
        <w:rPr>
          <w:rFonts w:hint="eastAsia"/>
        </w:rPr>
        <w:t>.</w:t>
      </w:r>
      <w:r w:rsidRPr="00C64ECB">
        <w:t>1.</w:t>
      </w:r>
      <w:r w:rsidRPr="00C64ECB">
        <w:rPr>
          <w:rFonts w:hint="eastAsia"/>
        </w:rPr>
        <w:t>2.1</w:t>
      </w:r>
      <w:r w:rsidRPr="00C64ECB">
        <w:tab/>
        <w:t>USA</w:t>
      </w:r>
      <w:bookmarkEnd w:id="27"/>
    </w:p>
    <w:p w14:paraId="73A4AA35" w14:textId="77777777" w:rsidR="007C0B5A" w:rsidRPr="00C64ECB" w:rsidRDefault="007C0B5A" w:rsidP="007C0B5A">
      <w:r w:rsidRPr="00C64ECB">
        <w:t>The use of unlicensed 5 GHz spectrum in USA is governed by FCC part 15 regulations [3]. In Feb 2013, potential new rules were proposed in FCC 13-22 [4]. Figure 4.</w:t>
      </w:r>
      <w:r w:rsidR="000D7B67" w:rsidRPr="00C64ECB">
        <w:t>1.</w:t>
      </w:r>
      <w:r w:rsidRPr="00C64ECB">
        <w:t>2.1-1 summarizes the relevant part 15 rules for 5GHz unlicensed spectrum usage:</w:t>
      </w:r>
    </w:p>
    <w:p w14:paraId="0F22AD3E" w14:textId="77777777" w:rsidR="007C0B5A" w:rsidRPr="00C64ECB" w:rsidRDefault="007C0B5A" w:rsidP="007C0B5A"/>
    <w:p w14:paraId="405CCBE9" w14:textId="77777777" w:rsidR="007C0B5A" w:rsidRPr="00C64ECB" w:rsidRDefault="004F63C6" w:rsidP="007C0B5A">
      <w:pPr>
        <w:pStyle w:val="TH"/>
      </w:pPr>
      <w:r w:rsidRPr="00C64ECB">
        <w:rPr>
          <w:noProof/>
          <w:lang w:val="en-US" w:eastAsia="zh-CN"/>
        </w:rPr>
        <w:lastRenderedPageBreak/>
        <w:drawing>
          <wp:inline distT="0" distB="0" distL="0" distR="0" wp14:anchorId="0EBDFD07" wp14:editId="29A0B8FB">
            <wp:extent cx="6109970" cy="9677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9970" cy="967740"/>
                    </a:xfrm>
                    <a:prstGeom prst="rect">
                      <a:avLst/>
                    </a:prstGeom>
                    <a:noFill/>
                    <a:ln>
                      <a:noFill/>
                    </a:ln>
                  </pic:spPr>
                </pic:pic>
              </a:graphicData>
            </a:graphic>
          </wp:inline>
        </w:drawing>
      </w:r>
    </w:p>
    <w:p w14:paraId="43077FD0" w14:textId="77777777" w:rsidR="007C0B5A" w:rsidRPr="00C64ECB" w:rsidRDefault="007C0B5A" w:rsidP="007C0B5A">
      <w:pPr>
        <w:pStyle w:val="TF"/>
        <w:rPr>
          <w:sz w:val="24"/>
          <w:szCs w:val="24"/>
        </w:rPr>
      </w:pPr>
      <w:r w:rsidRPr="00C64ECB">
        <w:t>Figure 4.</w:t>
      </w:r>
      <w:r w:rsidR="000D7B67" w:rsidRPr="00C64ECB">
        <w:t>1.</w:t>
      </w:r>
      <w:r w:rsidRPr="00C64ECB">
        <w:t>2.1-1 : Summary of existing and proposed new FCC part 15 rules</w:t>
      </w:r>
      <w:r w:rsidRPr="00C64ECB">
        <w:rPr>
          <w:noProof/>
        </w:rPr>
        <w:t xml:space="preserve"> for 5GHz unlicensed spectrum usage</w:t>
      </w:r>
    </w:p>
    <w:p w14:paraId="11BF240F" w14:textId="77777777" w:rsidR="007C0B5A" w:rsidRPr="00C64ECB" w:rsidRDefault="007C0B5A" w:rsidP="007C0B5A"/>
    <w:p w14:paraId="6CD71097" w14:textId="77777777" w:rsidR="007C0B5A" w:rsidRPr="00C64ECB" w:rsidRDefault="007C0B5A" w:rsidP="007C0B5A">
      <w:r w:rsidRPr="00C64ECB">
        <w:t>In Figure 4.</w:t>
      </w:r>
      <w:r w:rsidR="000D7B67" w:rsidRPr="00C64ECB">
        <w:t>1.</w:t>
      </w:r>
      <w:r w:rsidRPr="00C64ECB">
        <w:t>2.1-1, U-NII-x bands denote frequency bands for Unlicensed National Information Infrastructure devices usage that are governed by §15.407 [3]. As shown in the figure, there is also an overlapping ruling of §15.247 from 5.725 to 5.85 GHz. A device could choose to follow either U-NII rulings or §15.247 rulings when operating within the frequency range.</w:t>
      </w:r>
    </w:p>
    <w:p w14:paraId="11A45317" w14:textId="77777777" w:rsidR="007C0B5A" w:rsidRPr="00C64ECB" w:rsidRDefault="007C0B5A" w:rsidP="007C0B5A">
      <w:r w:rsidRPr="00C64ECB">
        <w:t xml:space="preserve">In the rest of this section, we summarize FCC paragraphs 15.407 and 15.247 rules. In general either frequency hopping or digital modulation techniques are permitted under part 15 rules. Since LTE is not designed as a frequency hopping system, the rest of the document will focus on regulations related to digital modulation. </w:t>
      </w:r>
    </w:p>
    <w:p w14:paraId="681451ED" w14:textId="77777777" w:rsidR="007C0B5A" w:rsidRPr="00C64ECB" w:rsidRDefault="007C0B5A" w:rsidP="007C0B5A">
      <w:r w:rsidRPr="00C64ECB">
        <w:t>Paragraph 15.247 rules relevant for LTE point to multi-point communications are summarized in 4 aspects:</w:t>
      </w:r>
    </w:p>
    <w:p w14:paraId="6E97D041" w14:textId="77777777" w:rsidR="007C0B5A" w:rsidRPr="00C64ECB" w:rsidRDefault="007C0B5A" w:rsidP="007C0B5A">
      <w:pPr>
        <w:pStyle w:val="B1"/>
      </w:pPr>
      <w:r w:rsidRPr="00C64ECB">
        <w:t>-</w:t>
      </w:r>
      <w:r w:rsidRPr="00C64ECB">
        <w:tab/>
        <w:t xml:space="preserve">Transmission Bandwidth: </w:t>
      </w:r>
    </w:p>
    <w:p w14:paraId="511D41AD" w14:textId="77777777" w:rsidR="007C0B5A" w:rsidRPr="00C64ECB" w:rsidRDefault="007C0B5A" w:rsidP="007C0B5A">
      <w:pPr>
        <w:pStyle w:val="B2"/>
      </w:pPr>
      <w:r w:rsidRPr="00C64ECB">
        <w:t>-</w:t>
      </w:r>
      <w:r w:rsidRPr="00C64ECB">
        <w:tab/>
        <w:t xml:space="preserve">The minimum 6 dB bandwidth shall be at least 500 kHz. </w:t>
      </w:r>
    </w:p>
    <w:p w14:paraId="6A6D719F" w14:textId="77777777" w:rsidR="007C0B5A" w:rsidRPr="00C64ECB" w:rsidRDefault="007C0B5A" w:rsidP="007C0B5A">
      <w:pPr>
        <w:pStyle w:val="B1"/>
      </w:pPr>
      <w:r w:rsidRPr="00C64ECB">
        <w:t>-</w:t>
      </w:r>
      <w:r w:rsidRPr="00C64ECB">
        <w:tab/>
        <w:t>Maximum Transmit Power:</w:t>
      </w:r>
    </w:p>
    <w:p w14:paraId="03ACD08F" w14:textId="77777777" w:rsidR="007C0B5A" w:rsidRPr="00C64ECB" w:rsidRDefault="007C0B5A" w:rsidP="007C0B5A">
      <w:pPr>
        <w:pStyle w:val="B2"/>
      </w:pPr>
      <w:r w:rsidRPr="00C64ECB">
        <w:t>-</w:t>
      </w:r>
      <w:r w:rsidRPr="00C64ECB">
        <w:tab/>
        <w:t xml:space="preserve">Peak conducted output power shall not exceed 1 W. An alternative to peak power measurements is maximum conducted output power, which is the total transmit power over all antennas and antenna elements when the transmitter is operating at its maximum power control level. </w:t>
      </w:r>
    </w:p>
    <w:p w14:paraId="17C9B1BA" w14:textId="77777777" w:rsidR="007C0B5A" w:rsidRPr="00C64ECB" w:rsidRDefault="007C0B5A" w:rsidP="007C0B5A">
      <w:pPr>
        <w:pStyle w:val="B2"/>
      </w:pPr>
      <w:r w:rsidRPr="00C64ECB">
        <w:t>-</w:t>
      </w:r>
      <w:r w:rsidRPr="00C64ECB">
        <w:tab/>
        <w:t>Note that, the conducted output power limit is based on the use of antennas with directional gains that do not exceed 6 dBi. If transmitting antennas of directional gain greater than 6 dBi are used, the conducted output power from the intentional radiator shall be reduced by the amount in dB that the directional gain of the antenna exceeds 6 dBi.</w:t>
      </w:r>
    </w:p>
    <w:p w14:paraId="2FB3F3C1" w14:textId="77777777" w:rsidR="007C0B5A" w:rsidRPr="00C64ECB" w:rsidRDefault="007C0B5A" w:rsidP="007C0B5A">
      <w:pPr>
        <w:pStyle w:val="B1"/>
      </w:pPr>
      <w:r w:rsidRPr="00C64ECB">
        <w:t>-</w:t>
      </w:r>
      <w:r w:rsidRPr="00C64ECB">
        <w:tab/>
        <w:t>Out of Band Emission:</w:t>
      </w:r>
    </w:p>
    <w:p w14:paraId="259AFC05" w14:textId="77777777" w:rsidR="007C0B5A" w:rsidRPr="00C64ECB" w:rsidRDefault="007C0B5A" w:rsidP="007C0B5A">
      <w:pPr>
        <w:pStyle w:val="B2"/>
      </w:pPr>
      <w:r w:rsidRPr="00C64ECB">
        <w:t>-</w:t>
      </w:r>
      <w:r w:rsidRPr="00C64ECB">
        <w:tab/>
        <w:t>In any 100 kHz bandwidth outside the frequency band, the radio frequency power that is produced by the intentional radiator shall be at least 20 dB below that in the 100 kHz bandwidth within the band that contains the highest level of the desired power, based on either an RF conducted or a radiated measurement. If the transmitter complies with the conducted power limits based on the use of RMS averaging over a time interval, the attenuation required under this paragraph shall be 30 dB instead of 20 dB.</w:t>
      </w:r>
    </w:p>
    <w:p w14:paraId="45C31B8A" w14:textId="77777777" w:rsidR="007C0B5A" w:rsidRPr="00C64ECB" w:rsidRDefault="007C0B5A" w:rsidP="007C0B5A">
      <w:pPr>
        <w:pStyle w:val="B1"/>
      </w:pPr>
      <w:r w:rsidRPr="00C64ECB">
        <w:t>-</w:t>
      </w:r>
      <w:r w:rsidRPr="00C64ECB">
        <w:tab/>
        <w:t>Power Spectrum Density:</w:t>
      </w:r>
    </w:p>
    <w:p w14:paraId="69046129" w14:textId="77777777" w:rsidR="007C0B5A" w:rsidRPr="00C64ECB" w:rsidRDefault="007C0B5A" w:rsidP="007C0B5A">
      <w:pPr>
        <w:pStyle w:val="B2"/>
      </w:pPr>
      <w:r w:rsidRPr="00C64ECB">
        <w:t>-</w:t>
      </w:r>
      <w:r w:rsidRPr="00C64ECB">
        <w:tab/>
        <w:t>The power spectral density conducted from the intentional radiator to the antenna shall not be greater than 8 dBm in any 3 kHz band during any time interval of continuous transmission. The same method of determining the conducted output power shall be used to determine the power spectral density.</w:t>
      </w:r>
    </w:p>
    <w:p w14:paraId="68104E8A" w14:textId="77777777" w:rsidR="007C0B5A" w:rsidRPr="00C64ECB" w:rsidRDefault="007C0B5A" w:rsidP="007C0B5A">
      <w:r w:rsidRPr="00C64ECB">
        <w:t>Paragraph15.407 rules for UNII devices are summarized in following tables. In Table 4.</w:t>
      </w:r>
      <w:r w:rsidR="000D7B67" w:rsidRPr="00C64ECB">
        <w:t>1.</w:t>
      </w:r>
      <w:r w:rsidRPr="00C64ECB">
        <w:t>2.1-1, the maximum transmit power, PSD and out of band emission requirements are listed for UNII-1/2/3 bands. In Table 4.</w:t>
      </w:r>
      <w:r w:rsidR="000D7B67" w:rsidRPr="00C64ECB">
        <w:t>1.</w:t>
      </w:r>
      <w:r w:rsidRPr="00C64ECB">
        <w:t xml:space="preserve">2.1-2, the dynamic frequency selection requirements for radar detection are summarized for UNII-2 devices. </w:t>
      </w:r>
    </w:p>
    <w:p w14:paraId="54A1EC82" w14:textId="77777777" w:rsidR="007C0B5A" w:rsidRPr="00C64ECB" w:rsidRDefault="007C0B5A" w:rsidP="007C0B5A"/>
    <w:p w14:paraId="62FB120A" w14:textId="77777777" w:rsidR="007C0B5A" w:rsidRPr="00C64ECB" w:rsidRDefault="007C0B5A" w:rsidP="007C0B5A">
      <w:pPr>
        <w:pStyle w:val="TH"/>
      </w:pPr>
      <w:r w:rsidRPr="00C64ECB">
        <w:lastRenderedPageBreak/>
        <w:t>Table 4.</w:t>
      </w:r>
      <w:r w:rsidR="000D7B67" w:rsidRPr="00C64ECB">
        <w:t>1.</w:t>
      </w:r>
      <w:r w:rsidRPr="00C64ECB">
        <w:t>2.1-1: Transmit power requirements for UNII devices</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48"/>
        <w:gridCol w:w="1216"/>
        <w:gridCol w:w="1257"/>
        <w:gridCol w:w="1303"/>
        <w:gridCol w:w="1302"/>
        <w:gridCol w:w="1302"/>
        <w:gridCol w:w="1929"/>
      </w:tblGrid>
      <w:tr w:rsidR="007C0B5A" w:rsidRPr="00C64ECB" w14:paraId="04189AF4" w14:textId="77777777" w:rsidTr="00126681">
        <w:tc>
          <w:tcPr>
            <w:tcW w:w="2764" w:type="dxa"/>
            <w:gridSpan w:val="2"/>
            <w:shd w:val="solid" w:color="800080" w:fill="FFFFFF"/>
          </w:tcPr>
          <w:p w14:paraId="54EFE92A" w14:textId="77777777" w:rsidR="007C0B5A" w:rsidRPr="00C64ECB" w:rsidRDefault="007C0B5A" w:rsidP="00126681">
            <w:pPr>
              <w:pStyle w:val="TAH"/>
            </w:pPr>
          </w:p>
        </w:tc>
        <w:tc>
          <w:tcPr>
            <w:tcW w:w="1257" w:type="dxa"/>
            <w:shd w:val="solid" w:color="800080" w:fill="FFFFFF"/>
          </w:tcPr>
          <w:p w14:paraId="12D0E0CE" w14:textId="77777777" w:rsidR="007C0B5A" w:rsidRPr="00C64ECB" w:rsidRDefault="007C0B5A" w:rsidP="00126681">
            <w:pPr>
              <w:pStyle w:val="TAH"/>
            </w:pPr>
            <w:r w:rsidRPr="00C64ECB">
              <w:t>UNII-1</w:t>
            </w:r>
          </w:p>
        </w:tc>
        <w:tc>
          <w:tcPr>
            <w:tcW w:w="1303" w:type="dxa"/>
            <w:shd w:val="solid" w:color="800080" w:fill="FFFFFF"/>
          </w:tcPr>
          <w:p w14:paraId="724CEB91" w14:textId="77777777" w:rsidR="007C0B5A" w:rsidRPr="00C64ECB" w:rsidRDefault="007C0B5A" w:rsidP="00126681">
            <w:pPr>
              <w:pStyle w:val="TAH"/>
            </w:pPr>
            <w:r w:rsidRPr="00C64ECB">
              <w:t>UNII-2A</w:t>
            </w:r>
          </w:p>
        </w:tc>
        <w:tc>
          <w:tcPr>
            <w:tcW w:w="1302" w:type="dxa"/>
            <w:shd w:val="solid" w:color="800080" w:fill="FFFFFF"/>
          </w:tcPr>
          <w:p w14:paraId="0BF60461" w14:textId="77777777" w:rsidR="007C0B5A" w:rsidRPr="00C64ECB" w:rsidRDefault="007C0B5A" w:rsidP="00126681">
            <w:pPr>
              <w:pStyle w:val="TAH"/>
            </w:pPr>
            <w:r w:rsidRPr="00C64ECB">
              <w:t>UNII-2C</w:t>
            </w:r>
          </w:p>
        </w:tc>
        <w:tc>
          <w:tcPr>
            <w:tcW w:w="1302" w:type="dxa"/>
            <w:shd w:val="solid" w:color="800080" w:fill="FFFFFF"/>
          </w:tcPr>
          <w:p w14:paraId="7812A386" w14:textId="77777777" w:rsidR="007C0B5A" w:rsidRPr="00C64ECB" w:rsidRDefault="007C0B5A" w:rsidP="00126681">
            <w:pPr>
              <w:pStyle w:val="TAH"/>
            </w:pPr>
            <w:r w:rsidRPr="00C64ECB">
              <w:t>UNII-3</w:t>
            </w:r>
          </w:p>
        </w:tc>
        <w:tc>
          <w:tcPr>
            <w:tcW w:w="1929" w:type="dxa"/>
            <w:shd w:val="solid" w:color="800080" w:fill="FFFFFF"/>
          </w:tcPr>
          <w:p w14:paraId="7E1844E9" w14:textId="77777777" w:rsidR="007C0B5A" w:rsidRPr="00C64ECB" w:rsidRDefault="007C0B5A" w:rsidP="00126681">
            <w:pPr>
              <w:pStyle w:val="TAH"/>
            </w:pPr>
            <w:r w:rsidRPr="00C64ECB">
              <w:t>Comments</w:t>
            </w:r>
          </w:p>
        </w:tc>
      </w:tr>
      <w:tr w:rsidR="007C0B5A" w:rsidRPr="00C64ECB" w14:paraId="5EA0BEC4" w14:textId="77777777" w:rsidTr="00126681">
        <w:tc>
          <w:tcPr>
            <w:tcW w:w="1548" w:type="dxa"/>
            <w:shd w:val="solid" w:color="C0C0C0" w:fill="FFFFFF"/>
          </w:tcPr>
          <w:p w14:paraId="3EFD434E" w14:textId="77777777" w:rsidR="007C0B5A" w:rsidRPr="00C64ECB" w:rsidRDefault="007C0B5A" w:rsidP="001C2E15">
            <w:pPr>
              <w:pStyle w:val="TAL"/>
            </w:pPr>
            <w:r w:rsidRPr="00C64ECB">
              <w:t>Frequency Range (GHz)</w:t>
            </w:r>
          </w:p>
        </w:tc>
        <w:tc>
          <w:tcPr>
            <w:tcW w:w="1216" w:type="dxa"/>
            <w:shd w:val="clear" w:color="auto" w:fill="auto"/>
          </w:tcPr>
          <w:p w14:paraId="150BD7D0" w14:textId="77777777" w:rsidR="007C0B5A" w:rsidRPr="00C64ECB" w:rsidRDefault="007C0B5A" w:rsidP="001C2E15">
            <w:pPr>
              <w:pStyle w:val="TAL"/>
            </w:pPr>
          </w:p>
        </w:tc>
        <w:tc>
          <w:tcPr>
            <w:tcW w:w="1257" w:type="dxa"/>
            <w:shd w:val="clear" w:color="auto" w:fill="auto"/>
          </w:tcPr>
          <w:p w14:paraId="0262FD30" w14:textId="77777777" w:rsidR="007C0B5A" w:rsidRPr="00C64ECB" w:rsidRDefault="007C0B5A" w:rsidP="001C2E15">
            <w:pPr>
              <w:pStyle w:val="TAL"/>
            </w:pPr>
            <w:r w:rsidRPr="00C64ECB">
              <w:t>5.15 – 5.25</w:t>
            </w:r>
          </w:p>
        </w:tc>
        <w:tc>
          <w:tcPr>
            <w:tcW w:w="1303" w:type="dxa"/>
            <w:shd w:val="clear" w:color="auto" w:fill="auto"/>
          </w:tcPr>
          <w:p w14:paraId="2A97DDE0" w14:textId="77777777" w:rsidR="007C0B5A" w:rsidRPr="00C64ECB" w:rsidRDefault="007C0B5A" w:rsidP="001C2E15">
            <w:pPr>
              <w:pStyle w:val="TAL"/>
            </w:pPr>
            <w:r w:rsidRPr="00C64ECB">
              <w:t>5.25-5.35</w:t>
            </w:r>
          </w:p>
        </w:tc>
        <w:tc>
          <w:tcPr>
            <w:tcW w:w="1302" w:type="dxa"/>
            <w:shd w:val="clear" w:color="auto" w:fill="auto"/>
          </w:tcPr>
          <w:p w14:paraId="1F27A023" w14:textId="77777777" w:rsidR="007C0B5A" w:rsidRPr="00C64ECB" w:rsidRDefault="007C0B5A" w:rsidP="001C2E15">
            <w:pPr>
              <w:pStyle w:val="TAL"/>
            </w:pPr>
            <w:r w:rsidRPr="00C64ECB">
              <w:t>5.47-5.725</w:t>
            </w:r>
          </w:p>
        </w:tc>
        <w:tc>
          <w:tcPr>
            <w:tcW w:w="1302" w:type="dxa"/>
            <w:shd w:val="clear" w:color="auto" w:fill="auto"/>
          </w:tcPr>
          <w:p w14:paraId="4E372D50" w14:textId="77777777" w:rsidR="007C0B5A" w:rsidRPr="00C64ECB" w:rsidRDefault="007C0B5A" w:rsidP="001C2E15">
            <w:pPr>
              <w:pStyle w:val="TAL"/>
            </w:pPr>
            <w:r w:rsidRPr="00C64ECB">
              <w:t>5.725-5.85</w:t>
            </w:r>
          </w:p>
        </w:tc>
        <w:tc>
          <w:tcPr>
            <w:tcW w:w="1929" w:type="dxa"/>
            <w:shd w:val="clear" w:color="auto" w:fill="auto"/>
          </w:tcPr>
          <w:p w14:paraId="35D244A8" w14:textId="77777777" w:rsidR="007C0B5A" w:rsidRPr="00C64ECB" w:rsidRDefault="007C0B5A" w:rsidP="001C2E15">
            <w:pPr>
              <w:pStyle w:val="TAL"/>
            </w:pPr>
          </w:p>
        </w:tc>
      </w:tr>
      <w:tr w:rsidR="007C0B5A" w:rsidRPr="00C64ECB" w14:paraId="7A322027" w14:textId="77777777" w:rsidTr="00126681">
        <w:tc>
          <w:tcPr>
            <w:tcW w:w="1548" w:type="dxa"/>
            <w:vMerge w:val="restart"/>
            <w:shd w:val="solid" w:color="C0C0C0" w:fill="FFFFFF"/>
          </w:tcPr>
          <w:p w14:paraId="57C347F5" w14:textId="77777777" w:rsidR="007C0B5A" w:rsidRPr="00C64ECB" w:rsidRDefault="007C0B5A" w:rsidP="001C2E15">
            <w:pPr>
              <w:pStyle w:val="TAL"/>
            </w:pPr>
            <w:r w:rsidRPr="00C64ECB">
              <w:t>Max conducted output power &lt; min(a, b) (dBm)</w:t>
            </w:r>
          </w:p>
        </w:tc>
        <w:tc>
          <w:tcPr>
            <w:tcW w:w="1216" w:type="dxa"/>
            <w:shd w:val="clear" w:color="auto" w:fill="auto"/>
          </w:tcPr>
          <w:p w14:paraId="79AC6B46" w14:textId="77777777" w:rsidR="007C0B5A" w:rsidRPr="00C64ECB" w:rsidRDefault="007C0B5A" w:rsidP="001C2E15">
            <w:pPr>
              <w:pStyle w:val="TAL"/>
            </w:pPr>
            <w:r w:rsidRPr="00C64ECB">
              <w:t>a</w:t>
            </w:r>
          </w:p>
        </w:tc>
        <w:tc>
          <w:tcPr>
            <w:tcW w:w="1257" w:type="dxa"/>
            <w:shd w:val="clear" w:color="auto" w:fill="auto"/>
          </w:tcPr>
          <w:p w14:paraId="669C647F" w14:textId="77777777" w:rsidR="007C0B5A" w:rsidRPr="00C64ECB" w:rsidRDefault="007C0B5A" w:rsidP="001C2E15">
            <w:pPr>
              <w:pStyle w:val="TAL"/>
            </w:pPr>
            <w:r w:rsidRPr="00C64ECB">
              <w:t>eNB: 30</w:t>
            </w:r>
            <w:r w:rsidRPr="00C64ECB">
              <w:br/>
              <w:t>UE: 24</w:t>
            </w:r>
          </w:p>
        </w:tc>
        <w:tc>
          <w:tcPr>
            <w:tcW w:w="1303" w:type="dxa"/>
            <w:shd w:val="clear" w:color="auto" w:fill="auto"/>
          </w:tcPr>
          <w:p w14:paraId="18C856F2" w14:textId="77777777" w:rsidR="007C0B5A" w:rsidRPr="00C64ECB" w:rsidRDefault="007C0B5A" w:rsidP="001C2E15">
            <w:pPr>
              <w:pStyle w:val="TAL"/>
            </w:pPr>
            <w:r w:rsidRPr="00C64ECB">
              <w:t>24</w:t>
            </w:r>
          </w:p>
        </w:tc>
        <w:tc>
          <w:tcPr>
            <w:tcW w:w="1302" w:type="dxa"/>
            <w:shd w:val="clear" w:color="auto" w:fill="auto"/>
          </w:tcPr>
          <w:p w14:paraId="58BC5096" w14:textId="77777777" w:rsidR="007C0B5A" w:rsidRPr="00C64ECB" w:rsidRDefault="007C0B5A" w:rsidP="001C2E15">
            <w:pPr>
              <w:pStyle w:val="TAL"/>
            </w:pPr>
            <w:r w:rsidRPr="00C64ECB">
              <w:t>24</w:t>
            </w:r>
          </w:p>
        </w:tc>
        <w:tc>
          <w:tcPr>
            <w:tcW w:w="1302" w:type="dxa"/>
            <w:shd w:val="clear" w:color="auto" w:fill="auto"/>
          </w:tcPr>
          <w:p w14:paraId="4B6C800E" w14:textId="77777777" w:rsidR="007C0B5A" w:rsidRPr="00C64ECB" w:rsidRDefault="007C0B5A" w:rsidP="001C2E15">
            <w:pPr>
              <w:pStyle w:val="TAL"/>
            </w:pPr>
            <w:r w:rsidRPr="00C64ECB">
              <w:t>30</w:t>
            </w:r>
          </w:p>
        </w:tc>
        <w:tc>
          <w:tcPr>
            <w:tcW w:w="1929" w:type="dxa"/>
            <w:shd w:val="clear" w:color="auto" w:fill="auto"/>
          </w:tcPr>
          <w:p w14:paraId="1C7972B4" w14:textId="77777777" w:rsidR="007C0B5A" w:rsidRPr="00C64ECB" w:rsidRDefault="007C0B5A" w:rsidP="001C2E15">
            <w:pPr>
              <w:pStyle w:val="TAL"/>
            </w:pPr>
          </w:p>
        </w:tc>
      </w:tr>
      <w:tr w:rsidR="007C0B5A" w:rsidRPr="00C64ECB" w14:paraId="6B93882F" w14:textId="77777777" w:rsidTr="00126681">
        <w:tc>
          <w:tcPr>
            <w:tcW w:w="1548" w:type="dxa"/>
            <w:vMerge/>
            <w:shd w:val="solid" w:color="C0C0C0" w:fill="FFFFFF"/>
          </w:tcPr>
          <w:p w14:paraId="70088448" w14:textId="77777777" w:rsidR="007C0B5A" w:rsidRPr="00C64ECB" w:rsidRDefault="007C0B5A" w:rsidP="001C2E15">
            <w:pPr>
              <w:pStyle w:val="TAL"/>
            </w:pPr>
          </w:p>
        </w:tc>
        <w:tc>
          <w:tcPr>
            <w:tcW w:w="1216" w:type="dxa"/>
            <w:shd w:val="clear" w:color="auto" w:fill="auto"/>
          </w:tcPr>
          <w:p w14:paraId="11C7B1C6" w14:textId="77777777" w:rsidR="007C0B5A" w:rsidRPr="00C64ECB" w:rsidRDefault="007C0B5A" w:rsidP="001C2E15">
            <w:pPr>
              <w:pStyle w:val="TAL"/>
            </w:pPr>
            <w:r w:rsidRPr="00C64ECB">
              <w:t>b</w:t>
            </w:r>
          </w:p>
        </w:tc>
        <w:tc>
          <w:tcPr>
            <w:tcW w:w="1257" w:type="dxa"/>
            <w:shd w:val="clear" w:color="auto" w:fill="auto"/>
          </w:tcPr>
          <w:p w14:paraId="34FBB6E5" w14:textId="77777777" w:rsidR="007C0B5A" w:rsidRPr="00C64ECB" w:rsidRDefault="007C0B5A" w:rsidP="001C2E15">
            <w:pPr>
              <w:pStyle w:val="TAL"/>
            </w:pPr>
          </w:p>
        </w:tc>
        <w:tc>
          <w:tcPr>
            <w:tcW w:w="1303" w:type="dxa"/>
            <w:shd w:val="clear" w:color="auto" w:fill="auto"/>
          </w:tcPr>
          <w:p w14:paraId="37A45159" w14:textId="77777777" w:rsidR="007C0B5A" w:rsidRPr="00C64ECB" w:rsidRDefault="007C0B5A" w:rsidP="001C2E15">
            <w:pPr>
              <w:pStyle w:val="TAL"/>
            </w:pPr>
            <w:r w:rsidRPr="00C64ECB">
              <w:t>11+10logB</w:t>
            </w:r>
          </w:p>
        </w:tc>
        <w:tc>
          <w:tcPr>
            <w:tcW w:w="1302" w:type="dxa"/>
            <w:shd w:val="clear" w:color="auto" w:fill="auto"/>
          </w:tcPr>
          <w:p w14:paraId="35D19B39" w14:textId="77777777" w:rsidR="007C0B5A" w:rsidRPr="00C64ECB" w:rsidRDefault="007C0B5A" w:rsidP="001C2E15">
            <w:pPr>
              <w:pStyle w:val="TAL"/>
            </w:pPr>
            <w:r w:rsidRPr="00C64ECB">
              <w:t>11+10logB</w:t>
            </w:r>
          </w:p>
        </w:tc>
        <w:tc>
          <w:tcPr>
            <w:tcW w:w="1302" w:type="dxa"/>
            <w:shd w:val="clear" w:color="auto" w:fill="auto"/>
          </w:tcPr>
          <w:p w14:paraId="453CB605" w14:textId="77777777" w:rsidR="007C0B5A" w:rsidRPr="00C64ECB" w:rsidRDefault="007C0B5A" w:rsidP="001C2E15">
            <w:pPr>
              <w:pStyle w:val="TAL"/>
            </w:pPr>
          </w:p>
        </w:tc>
        <w:tc>
          <w:tcPr>
            <w:tcW w:w="1929" w:type="dxa"/>
            <w:shd w:val="clear" w:color="auto" w:fill="auto"/>
          </w:tcPr>
          <w:p w14:paraId="451FAF43" w14:textId="77777777" w:rsidR="007C0B5A" w:rsidRPr="00C64ECB" w:rsidRDefault="007C0B5A" w:rsidP="001C2E15">
            <w:pPr>
              <w:pStyle w:val="TAL"/>
            </w:pPr>
            <w:r w:rsidRPr="00C64ECB">
              <w:t>B is the 26-dB emission bandwidth in MHz</w:t>
            </w:r>
          </w:p>
        </w:tc>
      </w:tr>
      <w:tr w:rsidR="007C0B5A" w:rsidRPr="00C64ECB" w14:paraId="1C165CD2" w14:textId="77777777" w:rsidTr="00126681">
        <w:tc>
          <w:tcPr>
            <w:tcW w:w="1548" w:type="dxa"/>
            <w:shd w:val="solid" w:color="C0C0C0" w:fill="FFFFFF"/>
          </w:tcPr>
          <w:p w14:paraId="15DC7407" w14:textId="77777777" w:rsidR="007C0B5A" w:rsidRPr="00C64ECB" w:rsidRDefault="007C0B5A" w:rsidP="001C2E15">
            <w:pPr>
              <w:pStyle w:val="TAL"/>
            </w:pPr>
            <w:r w:rsidRPr="00C64ECB">
              <w:t>Peak PSD (dBm/MHz)</w:t>
            </w:r>
          </w:p>
        </w:tc>
        <w:tc>
          <w:tcPr>
            <w:tcW w:w="1216" w:type="dxa"/>
            <w:shd w:val="clear" w:color="auto" w:fill="auto"/>
          </w:tcPr>
          <w:p w14:paraId="455BFB3F" w14:textId="77777777" w:rsidR="007C0B5A" w:rsidRPr="00C64ECB" w:rsidRDefault="007C0B5A" w:rsidP="001C2E15">
            <w:pPr>
              <w:pStyle w:val="TAL"/>
            </w:pPr>
          </w:p>
        </w:tc>
        <w:tc>
          <w:tcPr>
            <w:tcW w:w="1257" w:type="dxa"/>
            <w:shd w:val="clear" w:color="auto" w:fill="auto"/>
          </w:tcPr>
          <w:p w14:paraId="74C27D65" w14:textId="77777777" w:rsidR="007C0B5A" w:rsidRPr="00C64ECB" w:rsidRDefault="007C0B5A" w:rsidP="001C2E15">
            <w:pPr>
              <w:pStyle w:val="TAL"/>
            </w:pPr>
            <w:r w:rsidRPr="00C64ECB">
              <w:t>eNB: 17</w:t>
            </w:r>
            <w:r w:rsidRPr="00C64ECB">
              <w:br/>
              <w:t>UE: 11</w:t>
            </w:r>
          </w:p>
        </w:tc>
        <w:tc>
          <w:tcPr>
            <w:tcW w:w="1303" w:type="dxa"/>
            <w:shd w:val="clear" w:color="auto" w:fill="auto"/>
          </w:tcPr>
          <w:p w14:paraId="64517FE7" w14:textId="77777777" w:rsidR="007C0B5A" w:rsidRPr="00C64ECB" w:rsidRDefault="007C0B5A" w:rsidP="001C2E15">
            <w:pPr>
              <w:pStyle w:val="TAL"/>
            </w:pPr>
            <w:r w:rsidRPr="00C64ECB">
              <w:t>11</w:t>
            </w:r>
          </w:p>
        </w:tc>
        <w:tc>
          <w:tcPr>
            <w:tcW w:w="1302" w:type="dxa"/>
            <w:shd w:val="clear" w:color="auto" w:fill="auto"/>
          </w:tcPr>
          <w:p w14:paraId="25A4B6A2" w14:textId="77777777" w:rsidR="007C0B5A" w:rsidRPr="00C64ECB" w:rsidRDefault="007C0B5A" w:rsidP="001C2E15">
            <w:pPr>
              <w:pStyle w:val="TAL"/>
            </w:pPr>
            <w:r w:rsidRPr="00C64ECB">
              <w:t>11</w:t>
            </w:r>
          </w:p>
        </w:tc>
        <w:tc>
          <w:tcPr>
            <w:tcW w:w="1302" w:type="dxa"/>
            <w:shd w:val="clear" w:color="auto" w:fill="auto"/>
          </w:tcPr>
          <w:p w14:paraId="3AFF260A" w14:textId="77777777" w:rsidR="007C0B5A" w:rsidRPr="00C64ECB" w:rsidRDefault="007C0B5A" w:rsidP="001C2E15">
            <w:pPr>
              <w:pStyle w:val="TAL"/>
            </w:pPr>
            <w:r w:rsidRPr="00C64ECB">
              <w:t>30dBm in 500kHz</w:t>
            </w:r>
          </w:p>
        </w:tc>
        <w:tc>
          <w:tcPr>
            <w:tcW w:w="1929" w:type="dxa"/>
            <w:shd w:val="clear" w:color="auto" w:fill="auto"/>
          </w:tcPr>
          <w:p w14:paraId="69632885" w14:textId="77777777" w:rsidR="007C0B5A" w:rsidRPr="00C64ECB" w:rsidRDefault="007C0B5A" w:rsidP="001C2E15">
            <w:pPr>
              <w:pStyle w:val="TAL"/>
            </w:pPr>
          </w:p>
        </w:tc>
      </w:tr>
      <w:tr w:rsidR="007C0B5A" w:rsidRPr="00C64ECB" w14:paraId="486D348D" w14:textId="77777777" w:rsidTr="00126681">
        <w:tc>
          <w:tcPr>
            <w:tcW w:w="1548" w:type="dxa"/>
            <w:shd w:val="solid" w:color="C0C0C0" w:fill="FFFFFF"/>
          </w:tcPr>
          <w:p w14:paraId="20F3AA59" w14:textId="77777777" w:rsidR="007C0B5A" w:rsidRPr="00C64ECB" w:rsidRDefault="007C0B5A" w:rsidP="001C2E15">
            <w:pPr>
              <w:pStyle w:val="TAL"/>
            </w:pPr>
            <w:r w:rsidRPr="00C64ECB">
              <w:t>Assumed Antenna Gain (dBi)</w:t>
            </w:r>
          </w:p>
        </w:tc>
        <w:tc>
          <w:tcPr>
            <w:tcW w:w="1216" w:type="dxa"/>
            <w:shd w:val="clear" w:color="auto" w:fill="auto"/>
          </w:tcPr>
          <w:p w14:paraId="3EDAEBCD" w14:textId="77777777" w:rsidR="007C0B5A" w:rsidRPr="00C64ECB" w:rsidRDefault="007C0B5A" w:rsidP="001C2E15">
            <w:pPr>
              <w:pStyle w:val="TAL"/>
            </w:pPr>
          </w:p>
        </w:tc>
        <w:tc>
          <w:tcPr>
            <w:tcW w:w="1257" w:type="dxa"/>
            <w:shd w:val="clear" w:color="auto" w:fill="auto"/>
          </w:tcPr>
          <w:p w14:paraId="6F94FEA5" w14:textId="77777777" w:rsidR="007C0B5A" w:rsidRPr="00C64ECB" w:rsidRDefault="007C0B5A" w:rsidP="001C2E15">
            <w:pPr>
              <w:pStyle w:val="TAL"/>
            </w:pPr>
            <w:r w:rsidRPr="00C64ECB">
              <w:t>6</w:t>
            </w:r>
          </w:p>
        </w:tc>
        <w:tc>
          <w:tcPr>
            <w:tcW w:w="1303" w:type="dxa"/>
            <w:shd w:val="clear" w:color="auto" w:fill="auto"/>
          </w:tcPr>
          <w:p w14:paraId="41FA04B7" w14:textId="77777777" w:rsidR="007C0B5A" w:rsidRPr="00C64ECB" w:rsidRDefault="007C0B5A" w:rsidP="001C2E15">
            <w:pPr>
              <w:pStyle w:val="TAL"/>
            </w:pPr>
            <w:r w:rsidRPr="00C64ECB">
              <w:t>6</w:t>
            </w:r>
          </w:p>
        </w:tc>
        <w:tc>
          <w:tcPr>
            <w:tcW w:w="1302" w:type="dxa"/>
            <w:shd w:val="clear" w:color="auto" w:fill="auto"/>
          </w:tcPr>
          <w:p w14:paraId="2F93B53A" w14:textId="77777777" w:rsidR="007C0B5A" w:rsidRPr="00C64ECB" w:rsidRDefault="007C0B5A" w:rsidP="001C2E15">
            <w:pPr>
              <w:pStyle w:val="TAL"/>
            </w:pPr>
            <w:r w:rsidRPr="00C64ECB">
              <w:t>6</w:t>
            </w:r>
          </w:p>
        </w:tc>
        <w:tc>
          <w:tcPr>
            <w:tcW w:w="1302" w:type="dxa"/>
            <w:shd w:val="clear" w:color="auto" w:fill="auto"/>
          </w:tcPr>
          <w:p w14:paraId="509C3641" w14:textId="77777777" w:rsidR="007C0B5A" w:rsidRPr="00C64ECB" w:rsidRDefault="007C0B5A" w:rsidP="001C2E15">
            <w:pPr>
              <w:pStyle w:val="TAL"/>
            </w:pPr>
            <w:r w:rsidRPr="00C64ECB">
              <w:t>6*</w:t>
            </w:r>
          </w:p>
        </w:tc>
        <w:tc>
          <w:tcPr>
            <w:tcW w:w="1929" w:type="dxa"/>
            <w:shd w:val="clear" w:color="auto" w:fill="auto"/>
          </w:tcPr>
          <w:p w14:paraId="13DA40B2" w14:textId="77777777" w:rsidR="007C0B5A" w:rsidRPr="00C64ECB" w:rsidRDefault="007C0B5A" w:rsidP="001C2E15">
            <w:pPr>
              <w:pStyle w:val="TAL"/>
            </w:pPr>
            <w:r w:rsidRPr="00C64ECB">
              <w:t>Peak power is reduced by G-6 dB for directional antennas with gain &gt; 6 dBi;</w:t>
            </w:r>
          </w:p>
          <w:p w14:paraId="36F0A16A" w14:textId="77777777" w:rsidR="007C0B5A" w:rsidRPr="00C64ECB" w:rsidRDefault="007C0B5A" w:rsidP="001C2E15">
            <w:pPr>
              <w:pStyle w:val="TAL"/>
            </w:pPr>
            <w:r w:rsidRPr="00C64ECB">
              <w:t>* UNII-3 fixed point to point operation power scaling threshold is 23 dBi</w:t>
            </w:r>
          </w:p>
        </w:tc>
      </w:tr>
      <w:tr w:rsidR="007C0B5A" w:rsidRPr="00C64ECB" w14:paraId="42D67A56" w14:textId="77777777" w:rsidTr="00126681">
        <w:tc>
          <w:tcPr>
            <w:tcW w:w="1548" w:type="dxa"/>
            <w:vMerge w:val="restart"/>
            <w:shd w:val="solid" w:color="C0C0C0" w:fill="FFFFFF"/>
          </w:tcPr>
          <w:p w14:paraId="2085E548" w14:textId="77777777" w:rsidR="007C0B5A" w:rsidRPr="00C64ECB" w:rsidRDefault="007C0B5A" w:rsidP="001C2E15">
            <w:pPr>
              <w:pStyle w:val="TAL"/>
            </w:pPr>
            <w:r w:rsidRPr="00C64ECB">
              <w:t>Out of band emission</w:t>
            </w:r>
          </w:p>
        </w:tc>
        <w:tc>
          <w:tcPr>
            <w:tcW w:w="1216" w:type="dxa"/>
            <w:shd w:val="clear" w:color="auto" w:fill="auto"/>
          </w:tcPr>
          <w:p w14:paraId="4BB9CFC0" w14:textId="77777777" w:rsidR="007C0B5A" w:rsidRPr="00C64ECB" w:rsidRDefault="007C0B5A" w:rsidP="001C2E15">
            <w:pPr>
              <w:pStyle w:val="TAL"/>
            </w:pPr>
            <w:r w:rsidRPr="00C64ECB">
              <w:t>Frequency Support (GHz)</w:t>
            </w:r>
          </w:p>
        </w:tc>
        <w:tc>
          <w:tcPr>
            <w:tcW w:w="1257" w:type="dxa"/>
            <w:shd w:val="clear" w:color="auto" w:fill="auto"/>
          </w:tcPr>
          <w:p w14:paraId="3263D55D" w14:textId="77777777" w:rsidR="007C0B5A" w:rsidRPr="00C64ECB" w:rsidRDefault="007C0B5A" w:rsidP="001C2E15">
            <w:pPr>
              <w:pStyle w:val="TAL"/>
            </w:pPr>
            <w:r w:rsidRPr="00C64ECB">
              <w:t>Outside 5.15 – 5.35</w:t>
            </w:r>
          </w:p>
        </w:tc>
        <w:tc>
          <w:tcPr>
            <w:tcW w:w="1303" w:type="dxa"/>
            <w:shd w:val="clear" w:color="auto" w:fill="auto"/>
          </w:tcPr>
          <w:p w14:paraId="3AFD17BE" w14:textId="77777777" w:rsidR="007C0B5A" w:rsidRPr="00C64ECB" w:rsidRDefault="007C0B5A" w:rsidP="001C2E15">
            <w:pPr>
              <w:pStyle w:val="TAL"/>
            </w:pPr>
            <w:r w:rsidRPr="00C64ECB">
              <w:t>Outside 5.15 – 5.35</w:t>
            </w:r>
          </w:p>
        </w:tc>
        <w:tc>
          <w:tcPr>
            <w:tcW w:w="1302" w:type="dxa"/>
            <w:shd w:val="clear" w:color="auto" w:fill="auto"/>
          </w:tcPr>
          <w:p w14:paraId="1A84AE64" w14:textId="77777777" w:rsidR="007C0B5A" w:rsidRPr="00C64ECB" w:rsidRDefault="007C0B5A" w:rsidP="001C2E15">
            <w:pPr>
              <w:pStyle w:val="TAL"/>
            </w:pPr>
            <w:r w:rsidRPr="00C64ECB">
              <w:t>Outside 5.47-5.725</w:t>
            </w:r>
          </w:p>
        </w:tc>
        <w:tc>
          <w:tcPr>
            <w:tcW w:w="1302" w:type="dxa"/>
            <w:shd w:val="clear" w:color="auto" w:fill="auto"/>
          </w:tcPr>
          <w:p w14:paraId="6F22E80D" w14:textId="77777777" w:rsidR="007C0B5A" w:rsidRPr="00C64ECB" w:rsidRDefault="007C0B5A" w:rsidP="001C2E15">
            <w:pPr>
              <w:pStyle w:val="TAL"/>
            </w:pPr>
            <w:r w:rsidRPr="00C64ECB">
              <w:t>Outside 5.715-5.865</w:t>
            </w:r>
          </w:p>
        </w:tc>
        <w:tc>
          <w:tcPr>
            <w:tcW w:w="1929" w:type="dxa"/>
            <w:shd w:val="clear" w:color="auto" w:fill="auto"/>
          </w:tcPr>
          <w:p w14:paraId="292D1DA1" w14:textId="77777777" w:rsidR="007C0B5A" w:rsidRPr="00C64ECB" w:rsidRDefault="007C0B5A" w:rsidP="001C2E15">
            <w:pPr>
              <w:pStyle w:val="TAL"/>
            </w:pPr>
          </w:p>
        </w:tc>
      </w:tr>
      <w:tr w:rsidR="007C0B5A" w:rsidRPr="00C64ECB" w14:paraId="5E6D6475" w14:textId="77777777" w:rsidTr="00126681">
        <w:tc>
          <w:tcPr>
            <w:tcW w:w="1548" w:type="dxa"/>
            <w:vMerge/>
            <w:shd w:val="solid" w:color="C0C0C0" w:fill="FFFFFF"/>
          </w:tcPr>
          <w:p w14:paraId="39200EB5" w14:textId="77777777" w:rsidR="007C0B5A" w:rsidRPr="00C64ECB" w:rsidRDefault="007C0B5A" w:rsidP="001C2E15">
            <w:pPr>
              <w:pStyle w:val="TAL"/>
            </w:pPr>
          </w:p>
        </w:tc>
        <w:tc>
          <w:tcPr>
            <w:tcW w:w="1216" w:type="dxa"/>
            <w:shd w:val="clear" w:color="auto" w:fill="auto"/>
          </w:tcPr>
          <w:p w14:paraId="1DE10AF3" w14:textId="77777777" w:rsidR="007C0B5A" w:rsidRPr="00C64ECB" w:rsidRDefault="007C0B5A" w:rsidP="001C2E15">
            <w:pPr>
              <w:pStyle w:val="TAL"/>
            </w:pPr>
            <w:r w:rsidRPr="00C64ECB">
              <w:t>EIRP (dBm/MHz)</w:t>
            </w:r>
          </w:p>
        </w:tc>
        <w:tc>
          <w:tcPr>
            <w:tcW w:w="1257" w:type="dxa"/>
            <w:shd w:val="clear" w:color="auto" w:fill="auto"/>
          </w:tcPr>
          <w:p w14:paraId="5D6DD3E8" w14:textId="77777777" w:rsidR="007C0B5A" w:rsidRPr="00C64ECB" w:rsidRDefault="007C0B5A" w:rsidP="001C2E15">
            <w:pPr>
              <w:pStyle w:val="TAL"/>
            </w:pPr>
            <w:r w:rsidRPr="00C64ECB">
              <w:t>-27</w:t>
            </w:r>
          </w:p>
        </w:tc>
        <w:tc>
          <w:tcPr>
            <w:tcW w:w="1303" w:type="dxa"/>
            <w:shd w:val="clear" w:color="auto" w:fill="auto"/>
          </w:tcPr>
          <w:p w14:paraId="59675DFF" w14:textId="77777777" w:rsidR="007C0B5A" w:rsidRPr="00C64ECB" w:rsidRDefault="007C0B5A" w:rsidP="001C2E15">
            <w:pPr>
              <w:pStyle w:val="TAL"/>
            </w:pPr>
            <w:r w:rsidRPr="00C64ECB">
              <w:t>-27</w:t>
            </w:r>
          </w:p>
        </w:tc>
        <w:tc>
          <w:tcPr>
            <w:tcW w:w="1302" w:type="dxa"/>
            <w:shd w:val="clear" w:color="auto" w:fill="auto"/>
          </w:tcPr>
          <w:p w14:paraId="6D8DDCFF" w14:textId="77777777" w:rsidR="007C0B5A" w:rsidRPr="00C64ECB" w:rsidRDefault="007C0B5A" w:rsidP="001C2E15">
            <w:pPr>
              <w:pStyle w:val="TAL"/>
            </w:pPr>
            <w:r w:rsidRPr="00C64ECB">
              <w:t>-27</w:t>
            </w:r>
          </w:p>
        </w:tc>
        <w:tc>
          <w:tcPr>
            <w:tcW w:w="1302" w:type="dxa"/>
            <w:shd w:val="clear" w:color="auto" w:fill="auto"/>
          </w:tcPr>
          <w:p w14:paraId="766408E9" w14:textId="77777777" w:rsidR="007C0B5A" w:rsidRPr="00C64ECB" w:rsidRDefault="007C0B5A" w:rsidP="001C2E15">
            <w:pPr>
              <w:pStyle w:val="TAL"/>
            </w:pPr>
            <w:r w:rsidRPr="00C64ECB">
              <w:t>-27</w:t>
            </w:r>
          </w:p>
        </w:tc>
        <w:tc>
          <w:tcPr>
            <w:tcW w:w="1929" w:type="dxa"/>
            <w:shd w:val="clear" w:color="auto" w:fill="auto"/>
          </w:tcPr>
          <w:p w14:paraId="76B6D099" w14:textId="77777777" w:rsidR="007C0B5A" w:rsidRPr="00C64ECB" w:rsidRDefault="007C0B5A" w:rsidP="001C2E15">
            <w:pPr>
              <w:pStyle w:val="TAL"/>
            </w:pPr>
            <w:r w:rsidRPr="00C64ECB">
              <w:t>Resolution bandwidth 1 MHz</w:t>
            </w:r>
          </w:p>
        </w:tc>
      </w:tr>
      <w:tr w:rsidR="007C0B5A" w:rsidRPr="00C64ECB" w14:paraId="5ACEE83D" w14:textId="77777777" w:rsidTr="00126681">
        <w:tc>
          <w:tcPr>
            <w:tcW w:w="1548" w:type="dxa"/>
            <w:vMerge/>
            <w:shd w:val="solid" w:color="C0C0C0" w:fill="FFFFFF"/>
          </w:tcPr>
          <w:p w14:paraId="25B3C57B" w14:textId="77777777" w:rsidR="007C0B5A" w:rsidRPr="00C64ECB" w:rsidRDefault="007C0B5A" w:rsidP="001C2E15">
            <w:pPr>
              <w:pStyle w:val="TAL"/>
            </w:pPr>
          </w:p>
        </w:tc>
        <w:tc>
          <w:tcPr>
            <w:tcW w:w="1216" w:type="dxa"/>
            <w:shd w:val="clear" w:color="auto" w:fill="auto"/>
          </w:tcPr>
          <w:p w14:paraId="7CABC583" w14:textId="77777777" w:rsidR="007C0B5A" w:rsidRPr="00C64ECB" w:rsidRDefault="007C0B5A" w:rsidP="001C2E15">
            <w:pPr>
              <w:pStyle w:val="TAL"/>
            </w:pPr>
            <w:r w:rsidRPr="00C64ECB">
              <w:t>Frequency Support (GHz)</w:t>
            </w:r>
          </w:p>
        </w:tc>
        <w:tc>
          <w:tcPr>
            <w:tcW w:w="1257" w:type="dxa"/>
            <w:shd w:val="clear" w:color="auto" w:fill="auto"/>
          </w:tcPr>
          <w:p w14:paraId="64C53DE1" w14:textId="77777777" w:rsidR="007C0B5A" w:rsidRPr="00C64ECB" w:rsidRDefault="007C0B5A" w:rsidP="001C2E15">
            <w:pPr>
              <w:pStyle w:val="TAL"/>
            </w:pPr>
          </w:p>
        </w:tc>
        <w:tc>
          <w:tcPr>
            <w:tcW w:w="1303" w:type="dxa"/>
            <w:shd w:val="clear" w:color="auto" w:fill="auto"/>
          </w:tcPr>
          <w:p w14:paraId="7DE3D459" w14:textId="77777777" w:rsidR="007C0B5A" w:rsidRPr="00C64ECB" w:rsidRDefault="007C0B5A" w:rsidP="001C2E15">
            <w:pPr>
              <w:pStyle w:val="TAL"/>
            </w:pPr>
          </w:p>
        </w:tc>
        <w:tc>
          <w:tcPr>
            <w:tcW w:w="1302" w:type="dxa"/>
            <w:shd w:val="clear" w:color="auto" w:fill="auto"/>
          </w:tcPr>
          <w:p w14:paraId="285664F3" w14:textId="77777777" w:rsidR="007C0B5A" w:rsidRPr="00C64ECB" w:rsidRDefault="007C0B5A" w:rsidP="001C2E15">
            <w:pPr>
              <w:pStyle w:val="TAL"/>
            </w:pPr>
          </w:p>
        </w:tc>
        <w:tc>
          <w:tcPr>
            <w:tcW w:w="1302" w:type="dxa"/>
            <w:shd w:val="clear" w:color="auto" w:fill="auto"/>
          </w:tcPr>
          <w:p w14:paraId="156B999E" w14:textId="77777777" w:rsidR="007C0B5A" w:rsidRPr="00C64ECB" w:rsidRDefault="007C0B5A" w:rsidP="001C2E15">
            <w:pPr>
              <w:pStyle w:val="TAL"/>
              <w:rPr>
                <w:lang w:eastAsia="zh-CN"/>
              </w:rPr>
            </w:pPr>
            <w:r w:rsidRPr="00C64ECB">
              <w:t>5.715-5.725</w:t>
            </w:r>
          </w:p>
          <w:p w14:paraId="5BF105FB" w14:textId="77777777" w:rsidR="007C0B5A" w:rsidRPr="00C64ECB" w:rsidRDefault="007C0B5A" w:rsidP="001C2E15">
            <w:pPr>
              <w:pStyle w:val="TAL"/>
            </w:pPr>
            <w:r w:rsidRPr="00C64ECB">
              <w:rPr>
                <w:rFonts w:hint="eastAsia"/>
              </w:rPr>
              <w:t>5</w:t>
            </w:r>
            <w:r w:rsidRPr="00C64ECB">
              <w:t>.</w:t>
            </w:r>
            <w:r w:rsidRPr="00C64ECB">
              <w:rPr>
                <w:rFonts w:hint="eastAsia"/>
              </w:rPr>
              <w:t>85-5</w:t>
            </w:r>
            <w:r w:rsidRPr="00C64ECB">
              <w:t>.</w:t>
            </w:r>
            <w:r w:rsidRPr="00C64ECB">
              <w:rPr>
                <w:rFonts w:hint="eastAsia"/>
              </w:rPr>
              <w:t>86</w:t>
            </w:r>
          </w:p>
        </w:tc>
        <w:tc>
          <w:tcPr>
            <w:tcW w:w="1929" w:type="dxa"/>
            <w:shd w:val="clear" w:color="auto" w:fill="auto"/>
          </w:tcPr>
          <w:p w14:paraId="487F683E" w14:textId="77777777" w:rsidR="007C0B5A" w:rsidRPr="00C64ECB" w:rsidRDefault="007C0B5A" w:rsidP="001C2E15">
            <w:pPr>
              <w:pStyle w:val="TAL"/>
            </w:pPr>
          </w:p>
        </w:tc>
      </w:tr>
      <w:tr w:rsidR="007C0B5A" w:rsidRPr="00C64ECB" w14:paraId="54FB8408" w14:textId="77777777" w:rsidTr="00126681">
        <w:tc>
          <w:tcPr>
            <w:tcW w:w="1548" w:type="dxa"/>
            <w:vMerge/>
            <w:shd w:val="solid" w:color="C0C0C0" w:fill="FFFFFF"/>
          </w:tcPr>
          <w:p w14:paraId="4EB06492" w14:textId="77777777" w:rsidR="007C0B5A" w:rsidRPr="00C64ECB" w:rsidRDefault="007C0B5A" w:rsidP="001C2E15">
            <w:pPr>
              <w:pStyle w:val="TAL"/>
            </w:pPr>
          </w:p>
        </w:tc>
        <w:tc>
          <w:tcPr>
            <w:tcW w:w="1216" w:type="dxa"/>
            <w:shd w:val="clear" w:color="auto" w:fill="auto"/>
          </w:tcPr>
          <w:p w14:paraId="600F0AE8" w14:textId="77777777" w:rsidR="007C0B5A" w:rsidRPr="00C64ECB" w:rsidRDefault="007C0B5A" w:rsidP="001C2E15">
            <w:pPr>
              <w:pStyle w:val="TAL"/>
            </w:pPr>
            <w:r w:rsidRPr="00C64ECB">
              <w:t>EIRP (dBm/MHz)</w:t>
            </w:r>
          </w:p>
        </w:tc>
        <w:tc>
          <w:tcPr>
            <w:tcW w:w="1257" w:type="dxa"/>
            <w:shd w:val="clear" w:color="auto" w:fill="auto"/>
          </w:tcPr>
          <w:p w14:paraId="3C224644" w14:textId="77777777" w:rsidR="007C0B5A" w:rsidRPr="00C64ECB" w:rsidRDefault="007C0B5A" w:rsidP="001C2E15">
            <w:pPr>
              <w:pStyle w:val="TAL"/>
            </w:pPr>
          </w:p>
        </w:tc>
        <w:tc>
          <w:tcPr>
            <w:tcW w:w="1303" w:type="dxa"/>
            <w:shd w:val="clear" w:color="auto" w:fill="auto"/>
          </w:tcPr>
          <w:p w14:paraId="09EE6C55" w14:textId="77777777" w:rsidR="007C0B5A" w:rsidRPr="00C64ECB" w:rsidRDefault="007C0B5A" w:rsidP="001C2E15">
            <w:pPr>
              <w:pStyle w:val="TAL"/>
            </w:pPr>
          </w:p>
        </w:tc>
        <w:tc>
          <w:tcPr>
            <w:tcW w:w="1302" w:type="dxa"/>
            <w:shd w:val="clear" w:color="auto" w:fill="auto"/>
          </w:tcPr>
          <w:p w14:paraId="1ABEB340" w14:textId="77777777" w:rsidR="007C0B5A" w:rsidRPr="00C64ECB" w:rsidRDefault="007C0B5A" w:rsidP="001C2E15">
            <w:pPr>
              <w:pStyle w:val="TAL"/>
            </w:pPr>
          </w:p>
        </w:tc>
        <w:tc>
          <w:tcPr>
            <w:tcW w:w="1302" w:type="dxa"/>
            <w:shd w:val="clear" w:color="auto" w:fill="auto"/>
          </w:tcPr>
          <w:p w14:paraId="20EF64D6" w14:textId="77777777" w:rsidR="007C0B5A" w:rsidRPr="00C64ECB" w:rsidRDefault="007C0B5A" w:rsidP="001C2E15">
            <w:pPr>
              <w:pStyle w:val="TAL"/>
            </w:pPr>
            <w:r w:rsidRPr="00C64ECB">
              <w:t>-17</w:t>
            </w:r>
          </w:p>
        </w:tc>
        <w:tc>
          <w:tcPr>
            <w:tcW w:w="1929" w:type="dxa"/>
            <w:shd w:val="clear" w:color="auto" w:fill="auto"/>
          </w:tcPr>
          <w:p w14:paraId="1AFC1D44" w14:textId="77777777" w:rsidR="007C0B5A" w:rsidRPr="00C64ECB" w:rsidRDefault="007C0B5A" w:rsidP="001C2E15">
            <w:pPr>
              <w:pStyle w:val="TAL"/>
            </w:pPr>
            <w:r w:rsidRPr="00C64ECB">
              <w:t>Resolution bandwidth 1 MHz</w:t>
            </w:r>
          </w:p>
        </w:tc>
      </w:tr>
      <w:tr w:rsidR="007C0B5A" w:rsidRPr="00C64ECB" w14:paraId="3D8113D2" w14:textId="77777777" w:rsidTr="00126681">
        <w:tc>
          <w:tcPr>
            <w:tcW w:w="1548" w:type="dxa"/>
            <w:shd w:val="solid" w:color="C0C0C0" w:fill="FFFFFF"/>
          </w:tcPr>
          <w:p w14:paraId="500507F0" w14:textId="77777777" w:rsidR="007C0B5A" w:rsidRPr="00C64ECB" w:rsidRDefault="007C0B5A" w:rsidP="001C2E15">
            <w:pPr>
              <w:pStyle w:val="TAL"/>
            </w:pPr>
            <w:r w:rsidRPr="00C64ECB">
              <w:t>Transmit Power Control</w:t>
            </w:r>
          </w:p>
        </w:tc>
        <w:tc>
          <w:tcPr>
            <w:tcW w:w="1216" w:type="dxa"/>
            <w:shd w:val="clear" w:color="auto" w:fill="auto"/>
          </w:tcPr>
          <w:p w14:paraId="6C0E64A4" w14:textId="77777777" w:rsidR="007C0B5A" w:rsidRPr="00C64ECB" w:rsidRDefault="007C0B5A" w:rsidP="001C2E15">
            <w:pPr>
              <w:pStyle w:val="TAL"/>
            </w:pPr>
          </w:p>
        </w:tc>
        <w:tc>
          <w:tcPr>
            <w:tcW w:w="1257" w:type="dxa"/>
            <w:shd w:val="clear" w:color="auto" w:fill="auto"/>
          </w:tcPr>
          <w:p w14:paraId="7F37DB57" w14:textId="77777777" w:rsidR="007C0B5A" w:rsidRPr="00C64ECB" w:rsidRDefault="007C0B5A" w:rsidP="001C2E15">
            <w:pPr>
              <w:pStyle w:val="TAL"/>
            </w:pPr>
            <w:r w:rsidRPr="00C64ECB">
              <w:t>N/A</w:t>
            </w:r>
          </w:p>
        </w:tc>
        <w:tc>
          <w:tcPr>
            <w:tcW w:w="2605" w:type="dxa"/>
            <w:gridSpan w:val="2"/>
            <w:shd w:val="clear" w:color="auto" w:fill="auto"/>
          </w:tcPr>
          <w:p w14:paraId="1CE68AE0" w14:textId="77777777" w:rsidR="007C0B5A" w:rsidRPr="00C64ECB" w:rsidRDefault="007C0B5A" w:rsidP="001C2E15">
            <w:pPr>
              <w:pStyle w:val="TAL"/>
            </w:pPr>
            <w:r w:rsidRPr="00C64ECB">
              <w:t>TPC to 6 dB below a mean EIRP of 30 dBm. No TPC for mean EIRP &lt; 27 dBm</w:t>
            </w:r>
          </w:p>
        </w:tc>
        <w:tc>
          <w:tcPr>
            <w:tcW w:w="1302" w:type="dxa"/>
            <w:shd w:val="clear" w:color="auto" w:fill="auto"/>
          </w:tcPr>
          <w:p w14:paraId="536A6700" w14:textId="77777777" w:rsidR="007C0B5A" w:rsidRPr="00C64ECB" w:rsidRDefault="007C0B5A" w:rsidP="001C2E15">
            <w:pPr>
              <w:pStyle w:val="TAL"/>
            </w:pPr>
            <w:r w:rsidRPr="00C64ECB">
              <w:t>N/A</w:t>
            </w:r>
          </w:p>
        </w:tc>
        <w:tc>
          <w:tcPr>
            <w:tcW w:w="1929" w:type="dxa"/>
            <w:shd w:val="clear" w:color="auto" w:fill="auto"/>
          </w:tcPr>
          <w:p w14:paraId="33FE4A9C" w14:textId="77777777" w:rsidR="007C0B5A" w:rsidRPr="00C64ECB" w:rsidRDefault="007C0B5A" w:rsidP="001C2E15">
            <w:pPr>
              <w:pStyle w:val="TAL"/>
            </w:pPr>
          </w:p>
        </w:tc>
      </w:tr>
    </w:tbl>
    <w:p w14:paraId="1BE22E44" w14:textId="77777777" w:rsidR="007C0B5A" w:rsidRPr="00C64ECB" w:rsidRDefault="007C0B5A" w:rsidP="007C0B5A"/>
    <w:p w14:paraId="4F15AB69" w14:textId="77777777" w:rsidR="007C0B5A" w:rsidRPr="00C64ECB" w:rsidRDefault="007C0B5A" w:rsidP="007C0B5A">
      <w:pPr>
        <w:pStyle w:val="TH"/>
      </w:pPr>
      <w:r w:rsidRPr="00C64ECB">
        <w:t>Table 4.</w:t>
      </w:r>
      <w:r w:rsidR="000D7B67" w:rsidRPr="00C64ECB">
        <w:t>1.</w:t>
      </w:r>
      <w:r w:rsidRPr="00C64ECB">
        <w:t>2.1-2: DFS requirements for UNII-2 devices</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68"/>
        <w:gridCol w:w="1845"/>
        <w:gridCol w:w="5798"/>
      </w:tblGrid>
      <w:tr w:rsidR="007C0B5A" w:rsidRPr="00C64ECB" w14:paraId="03412F20" w14:textId="77777777" w:rsidTr="00126681">
        <w:tc>
          <w:tcPr>
            <w:tcW w:w="1998" w:type="dxa"/>
            <w:shd w:val="solid" w:color="800080" w:fill="FFFFFF"/>
          </w:tcPr>
          <w:p w14:paraId="0D5DCAA4" w14:textId="77777777" w:rsidR="007C0B5A" w:rsidRPr="00C64ECB" w:rsidRDefault="007C0B5A" w:rsidP="00126681">
            <w:pPr>
              <w:pStyle w:val="TAH"/>
            </w:pPr>
          </w:p>
        </w:tc>
        <w:tc>
          <w:tcPr>
            <w:tcW w:w="1875" w:type="dxa"/>
            <w:shd w:val="solid" w:color="800080" w:fill="FFFFFF"/>
          </w:tcPr>
          <w:p w14:paraId="6233B3D7" w14:textId="77777777" w:rsidR="007C0B5A" w:rsidRPr="00C64ECB" w:rsidRDefault="007C0B5A" w:rsidP="00126681">
            <w:pPr>
              <w:pStyle w:val="TAH"/>
            </w:pPr>
            <w:r w:rsidRPr="00C64ECB">
              <w:t>Levels</w:t>
            </w:r>
          </w:p>
        </w:tc>
        <w:tc>
          <w:tcPr>
            <w:tcW w:w="5955" w:type="dxa"/>
            <w:shd w:val="solid" w:color="800080" w:fill="FFFFFF"/>
          </w:tcPr>
          <w:p w14:paraId="74873D22" w14:textId="77777777" w:rsidR="007C0B5A" w:rsidRPr="00C64ECB" w:rsidRDefault="007C0B5A" w:rsidP="00126681">
            <w:pPr>
              <w:pStyle w:val="TAH"/>
            </w:pPr>
            <w:r w:rsidRPr="00C64ECB">
              <w:t>Comments</w:t>
            </w:r>
          </w:p>
        </w:tc>
      </w:tr>
      <w:tr w:rsidR="007C0B5A" w:rsidRPr="00C64ECB" w14:paraId="0A81E02E" w14:textId="77777777" w:rsidTr="00126681">
        <w:tc>
          <w:tcPr>
            <w:tcW w:w="1998" w:type="dxa"/>
            <w:shd w:val="solid" w:color="C0C0C0" w:fill="FFFFFF"/>
          </w:tcPr>
          <w:p w14:paraId="76B99625" w14:textId="77777777" w:rsidR="007C0B5A" w:rsidRPr="00C64ECB" w:rsidRDefault="007C0B5A" w:rsidP="001C2E15">
            <w:pPr>
              <w:pStyle w:val="TAL"/>
            </w:pPr>
            <w:r w:rsidRPr="00C64ECB">
              <w:t>Max EIRP (dBm)</w:t>
            </w:r>
          </w:p>
        </w:tc>
        <w:tc>
          <w:tcPr>
            <w:tcW w:w="1875" w:type="dxa"/>
            <w:shd w:val="clear" w:color="auto" w:fill="auto"/>
          </w:tcPr>
          <w:p w14:paraId="48C1FA23" w14:textId="77777777" w:rsidR="007C0B5A" w:rsidRPr="00C64ECB" w:rsidRDefault="007C0B5A" w:rsidP="001C2E15">
            <w:pPr>
              <w:pStyle w:val="TAL"/>
            </w:pPr>
            <w:r w:rsidRPr="00C64ECB">
              <w:t>23 to 30</w:t>
            </w:r>
          </w:p>
        </w:tc>
        <w:tc>
          <w:tcPr>
            <w:tcW w:w="5955" w:type="dxa"/>
            <w:vMerge w:val="restart"/>
            <w:shd w:val="clear" w:color="auto" w:fill="auto"/>
          </w:tcPr>
          <w:p w14:paraId="54A5E276" w14:textId="77777777" w:rsidR="007C0B5A" w:rsidRPr="00C64ECB" w:rsidRDefault="007C0B5A" w:rsidP="001C2E15">
            <w:pPr>
              <w:pStyle w:val="TAL"/>
            </w:pPr>
            <w:r w:rsidRPr="00C64ECB">
              <w:t>* DFS power is averaged in 1 micro-second for 0 dBi antenna.</w:t>
            </w:r>
          </w:p>
          <w:p w14:paraId="7AEDA939" w14:textId="77777777" w:rsidR="007C0B5A" w:rsidRPr="00C64ECB" w:rsidRDefault="007C0B5A" w:rsidP="001C2E15">
            <w:pPr>
              <w:pStyle w:val="TAL"/>
            </w:pPr>
            <w:r w:rsidRPr="00C64ECB">
              <w:t>* Uniform spread over available channels.</w:t>
            </w:r>
          </w:p>
        </w:tc>
      </w:tr>
      <w:tr w:rsidR="007C0B5A" w:rsidRPr="00C64ECB" w14:paraId="58EB8FA2" w14:textId="77777777" w:rsidTr="00126681">
        <w:tc>
          <w:tcPr>
            <w:tcW w:w="1998" w:type="dxa"/>
            <w:shd w:val="solid" w:color="C0C0C0" w:fill="FFFFFF"/>
          </w:tcPr>
          <w:p w14:paraId="3381EA8D" w14:textId="77777777" w:rsidR="007C0B5A" w:rsidRPr="00C64ECB" w:rsidRDefault="007C0B5A" w:rsidP="001C2E15">
            <w:pPr>
              <w:pStyle w:val="TAL"/>
            </w:pPr>
            <w:r w:rsidRPr="00C64ECB">
              <w:t>DFS Threshold (dBm)</w:t>
            </w:r>
          </w:p>
        </w:tc>
        <w:tc>
          <w:tcPr>
            <w:tcW w:w="1875" w:type="dxa"/>
            <w:shd w:val="clear" w:color="auto" w:fill="auto"/>
          </w:tcPr>
          <w:p w14:paraId="1A0FF2A6" w14:textId="77777777" w:rsidR="007C0B5A" w:rsidRPr="00C64ECB" w:rsidRDefault="007C0B5A" w:rsidP="001C2E15">
            <w:pPr>
              <w:pStyle w:val="TAL"/>
            </w:pPr>
            <w:r w:rsidRPr="00C64ECB">
              <w:t>-64</w:t>
            </w:r>
          </w:p>
        </w:tc>
        <w:tc>
          <w:tcPr>
            <w:tcW w:w="5955" w:type="dxa"/>
            <w:vMerge/>
            <w:shd w:val="clear" w:color="auto" w:fill="auto"/>
          </w:tcPr>
          <w:p w14:paraId="70DC9275" w14:textId="77777777" w:rsidR="007C0B5A" w:rsidRPr="00C64ECB" w:rsidRDefault="007C0B5A" w:rsidP="001C2E15">
            <w:pPr>
              <w:pStyle w:val="TAL"/>
            </w:pPr>
          </w:p>
        </w:tc>
      </w:tr>
      <w:tr w:rsidR="007C0B5A" w:rsidRPr="00C64ECB" w14:paraId="20A409BF" w14:textId="77777777" w:rsidTr="00126681">
        <w:tc>
          <w:tcPr>
            <w:tcW w:w="1998" w:type="dxa"/>
            <w:shd w:val="solid" w:color="C0C0C0" w:fill="FFFFFF"/>
          </w:tcPr>
          <w:p w14:paraId="5FF220E0" w14:textId="77777777" w:rsidR="007C0B5A" w:rsidRPr="00C64ECB" w:rsidRDefault="007C0B5A" w:rsidP="001C2E15">
            <w:pPr>
              <w:pStyle w:val="TAL"/>
            </w:pPr>
            <w:r w:rsidRPr="00C64ECB">
              <w:t>Max EIRP (dBm)</w:t>
            </w:r>
          </w:p>
        </w:tc>
        <w:tc>
          <w:tcPr>
            <w:tcW w:w="1875" w:type="dxa"/>
            <w:shd w:val="clear" w:color="auto" w:fill="auto"/>
          </w:tcPr>
          <w:p w14:paraId="66E42836" w14:textId="77777777" w:rsidR="007C0B5A" w:rsidRPr="00C64ECB" w:rsidRDefault="007C0B5A" w:rsidP="001C2E15">
            <w:pPr>
              <w:pStyle w:val="TAL"/>
            </w:pPr>
            <w:r w:rsidRPr="00C64ECB">
              <w:t>&lt;23</w:t>
            </w:r>
          </w:p>
        </w:tc>
        <w:tc>
          <w:tcPr>
            <w:tcW w:w="5955" w:type="dxa"/>
            <w:vMerge/>
            <w:shd w:val="clear" w:color="auto" w:fill="auto"/>
          </w:tcPr>
          <w:p w14:paraId="59E77C9A" w14:textId="77777777" w:rsidR="007C0B5A" w:rsidRPr="00C64ECB" w:rsidRDefault="007C0B5A" w:rsidP="001C2E15">
            <w:pPr>
              <w:pStyle w:val="TAL"/>
            </w:pPr>
          </w:p>
        </w:tc>
      </w:tr>
      <w:tr w:rsidR="007C0B5A" w:rsidRPr="00C64ECB" w14:paraId="39264C64" w14:textId="77777777" w:rsidTr="00126681">
        <w:tc>
          <w:tcPr>
            <w:tcW w:w="1998" w:type="dxa"/>
            <w:shd w:val="solid" w:color="C0C0C0" w:fill="FFFFFF"/>
          </w:tcPr>
          <w:p w14:paraId="5016AA25" w14:textId="77777777" w:rsidR="007C0B5A" w:rsidRPr="00C64ECB" w:rsidRDefault="007C0B5A" w:rsidP="001C2E15">
            <w:pPr>
              <w:pStyle w:val="TAL"/>
            </w:pPr>
            <w:r w:rsidRPr="00C64ECB">
              <w:t>DFS Threshold (dBm)</w:t>
            </w:r>
          </w:p>
        </w:tc>
        <w:tc>
          <w:tcPr>
            <w:tcW w:w="1875" w:type="dxa"/>
            <w:shd w:val="clear" w:color="auto" w:fill="auto"/>
          </w:tcPr>
          <w:p w14:paraId="108A2B68" w14:textId="77777777" w:rsidR="007C0B5A" w:rsidRPr="00C64ECB" w:rsidRDefault="007C0B5A" w:rsidP="001C2E15">
            <w:pPr>
              <w:pStyle w:val="TAL"/>
            </w:pPr>
            <w:r w:rsidRPr="00C64ECB">
              <w:t>-62</w:t>
            </w:r>
          </w:p>
        </w:tc>
        <w:tc>
          <w:tcPr>
            <w:tcW w:w="5955" w:type="dxa"/>
            <w:vMerge/>
            <w:shd w:val="clear" w:color="auto" w:fill="auto"/>
          </w:tcPr>
          <w:p w14:paraId="1FAFDFB8" w14:textId="77777777" w:rsidR="007C0B5A" w:rsidRPr="00C64ECB" w:rsidRDefault="007C0B5A" w:rsidP="001C2E15">
            <w:pPr>
              <w:pStyle w:val="TAL"/>
            </w:pPr>
          </w:p>
        </w:tc>
      </w:tr>
      <w:tr w:rsidR="007C0B5A" w:rsidRPr="00C64ECB" w14:paraId="4318A6D9" w14:textId="77777777" w:rsidTr="00126681">
        <w:tc>
          <w:tcPr>
            <w:tcW w:w="1998" w:type="dxa"/>
            <w:shd w:val="solid" w:color="C0C0C0" w:fill="FFFFFF"/>
          </w:tcPr>
          <w:p w14:paraId="0D4D7B29" w14:textId="77777777" w:rsidR="007C0B5A" w:rsidRPr="00C64ECB" w:rsidRDefault="007C0B5A" w:rsidP="001C2E15">
            <w:pPr>
              <w:pStyle w:val="TAL"/>
            </w:pPr>
            <w:r w:rsidRPr="00C64ECB">
              <w:t>Channel Availability check</w:t>
            </w:r>
          </w:p>
        </w:tc>
        <w:tc>
          <w:tcPr>
            <w:tcW w:w="1875" w:type="dxa"/>
            <w:shd w:val="clear" w:color="auto" w:fill="auto"/>
          </w:tcPr>
          <w:p w14:paraId="707A9DC5" w14:textId="77777777" w:rsidR="007C0B5A" w:rsidRPr="00C64ECB" w:rsidRDefault="007C0B5A" w:rsidP="001C2E15">
            <w:pPr>
              <w:pStyle w:val="TAL"/>
            </w:pPr>
            <w:r w:rsidRPr="00C64ECB">
              <w:t>60 seconds</w:t>
            </w:r>
          </w:p>
        </w:tc>
        <w:tc>
          <w:tcPr>
            <w:tcW w:w="5955" w:type="dxa"/>
            <w:shd w:val="clear" w:color="auto" w:fill="auto"/>
          </w:tcPr>
          <w:p w14:paraId="2B039284" w14:textId="77777777" w:rsidR="007C0B5A" w:rsidRPr="00C64ECB" w:rsidRDefault="007C0B5A" w:rsidP="001C2E15">
            <w:pPr>
              <w:pStyle w:val="TAL"/>
            </w:pPr>
            <w:r w:rsidRPr="00C64ECB">
              <w:t>Master mode</w:t>
            </w:r>
          </w:p>
        </w:tc>
      </w:tr>
      <w:tr w:rsidR="007C0B5A" w:rsidRPr="00C64ECB" w14:paraId="05FFB63A" w14:textId="77777777" w:rsidTr="00126681">
        <w:tc>
          <w:tcPr>
            <w:tcW w:w="1998" w:type="dxa"/>
            <w:vMerge w:val="restart"/>
            <w:shd w:val="solid" w:color="C0C0C0" w:fill="FFFFFF"/>
          </w:tcPr>
          <w:p w14:paraId="23C5A4F5" w14:textId="77777777" w:rsidR="007C0B5A" w:rsidRPr="00C64ECB" w:rsidRDefault="007C0B5A" w:rsidP="001C2E15">
            <w:pPr>
              <w:pStyle w:val="TAL"/>
            </w:pPr>
            <w:r w:rsidRPr="00C64ECB">
              <w:t>Channel move time</w:t>
            </w:r>
          </w:p>
        </w:tc>
        <w:tc>
          <w:tcPr>
            <w:tcW w:w="1875" w:type="dxa"/>
            <w:shd w:val="clear" w:color="auto" w:fill="auto"/>
          </w:tcPr>
          <w:p w14:paraId="70560179" w14:textId="77777777" w:rsidR="007C0B5A" w:rsidRPr="00C64ECB" w:rsidRDefault="007C0B5A" w:rsidP="001C2E15">
            <w:pPr>
              <w:pStyle w:val="TAL"/>
            </w:pPr>
            <w:r w:rsidRPr="00C64ECB">
              <w:t>10 seconds</w:t>
            </w:r>
          </w:p>
        </w:tc>
        <w:tc>
          <w:tcPr>
            <w:tcW w:w="5955" w:type="dxa"/>
            <w:vMerge w:val="restart"/>
            <w:shd w:val="clear" w:color="auto" w:fill="auto"/>
          </w:tcPr>
          <w:p w14:paraId="2E83812F" w14:textId="77777777" w:rsidR="007C0B5A" w:rsidRPr="00C64ECB" w:rsidRDefault="007C0B5A" w:rsidP="001C2E15">
            <w:pPr>
              <w:pStyle w:val="TAL"/>
            </w:pPr>
            <w:r w:rsidRPr="00C64ECB">
              <w:t>Master and slave modes</w:t>
            </w:r>
          </w:p>
        </w:tc>
      </w:tr>
      <w:tr w:rsidR="007C0B5A" w:rsidRPr="00C64ECB" w14:paraId="0563872D" w14:textId="77777777" w:rsidTr="00126681">
        <w:tc>
          <w:tcPr>
            <w:tcW w:w="1998" w:type="dxa"/>
            <w:vMerge/>
            <w:shd w:val="solid" w:color="C0C0C0" w:fill="FFFFFF"/>
          </w:tcPr>
          <w:p w14:paraId="3DFE93DB" w14:textId="77777777" w:rsidR="007C0B5A" w:rsidRPr="00C64ECB" w:rsidRDefault="007C0B5A" w:rsidP="001C2E15">
            <w:pPr>
              <w:pStyle w:val="TAL"/>
            </w:pPr>
          </w:p>
        </w:tc>
        <w:tc>
          <w:tcPr>
            <w:tcW w:w="1875" w:type="dxa"/>
            <w:shd w:val="clear" w:color="auto" w:fill="auto"/>
          </w:tcPr>
          <w:p w14:paraId="6A7B08A8" w14:textId="77777777" w:rsidR="007C0B5A" w:rsidRPr="00C64ECB" w:rsidRDefault="007C0B5A" w:rsidP="001C2E15">
            <w:pPr>
              <w:pStyle w:val="TAL"/>
            </w:pPr>
            <w:r w:rsidRPr="00C64ECB">
              <w:t>200 ms normal operation</w:t>
            </w:r>
          </w:p>
        </w:tc>
        <w:tc>
          <w:tcPr>
            <w:tcW w:w="5955" w:type="dxa"/>
            <w:vMerge/>
            <w:shd w:val="clear" w:color="auto" w:fill="auto"/>
          </w:tcPr>
          <w:p w14:paraId="0D07F58B" w14:textId="77777777" w:rsidR="007C0B5A" w:rsidRPr="00C64ECB" w:rsidRDefault="007C0B5A" w:rsidP="001C2E15">
            <w:pPr>
              <w:pStyle w:val="TAL"/>
            </w:pPr>
          </w:p>
        </w:tc>
      </w:tr>
      <w:tr w:rsidR="007C0B5A" w:rsidRPr="00C64ECB" w14:paraId="673F2020" w14:textId="77777777" w:rsidTr="00126681">
        <w:tc>
          <w:tcPr>
            <w:tcW w:w="1998" w:type="dxa"/>
            <w:shd w:val="solid" w:color="C0C0C0" w:fill="FFFFFF"/>
          </w:tcPr>
          <w:p w14:paraId="56458D3B" w14:textId="77777777" w:rsidR="007C0B5A" w:rsidRPr="00C64ECB" w:rsidRDefault="007C0B5A" w:rsidP="001C2E15">
            <w:pPr>
              <w:pStyle w:val="TAL"/>
            </w:pPr>
            <w:r w:rsidRPr="00C64ECB">
              <w:t>Non-occupancy time</w:t>
            </w:r>
          </w:p>
        </w:tc>
        <w:tc>
          <w:tcPr>
            <w:tcW w:w="1875" w:type="dxa"/>
            <w:shd w:val="clear" w:color="auto" w:fill="auto"/>
          </w:tcPr>
          <w:p w14:paraId="45480000" w14:textId="77777777" w:rsidR="007C0B5A" w:rsidRPr="00C64ECB" w:rsidRDefault="007C0B5A" w:rsidP="001C2E15">
            <w:pPr>
              <w:pStyle w:val="TAL"/>
            </w:pPr>
            <w:r w:rsidRPr="00C64ECB">
              <w:t>30 minutes</w:t>
            </w:r>
          </w:p>
        </w:tc>
        <w:tc>
          <w:tcPr>
            <w:tcW w:w="5955" w:type="dxa"/>
            <w:shd w:val="clear" w:color="auto" w:fill="auto"/>
          </w:tcPr>
          <w:p w14:paraId="7634EB98" w14:textId="77777777" w:rsidR="007C0B5A" w:rsidRPr="00C64ECB" w:rsidRDefault="007C0B5A" w:rsidP="001C2E15">
            <w:pPr>
              <w:pStyle w:val="TAL"/>
            </w:pPr>
            <w:r w:rsidRPr="00C64ECB">
              <w:t>After radar detection in either channel availability check or in-service monitoring</w:t>
            </w:r>
          </w:p>
        </w:tc>
      </w:tr>
    </w:tbl>
    <w:p w14:paraId="7BC059D7" w14:textId="77777777" w:rsidR="007C0B5A" w:rsidRPr="00C64ECB" w:rsidRDefault="007C0B5A" w:rsidP="007C0B5A"/>
    <w:p w14:paraId="1D4394BA" w14:textId="77777777" w:rsidR="007C0B5A" w:rsidRPr="00C64ECB" w:rsidRDefault="007C0B5A" w:rsidP="007C0B5A">
      <w:pPr>
        <w:rPr>
          <w:b/>
          <w:u w:val="single"/>
        </w:rPr>
      </w:pPr>
      <w:r w:rsidRPr="00C64ECB">
        <w:rPr>
          <w:b/>
          <w:u w:val="single"/>
        </w:rPr>
        <w:t>Interference to Weather Radars</w:t>
      </w:r>
    </w:p>
    <w:p w14:paraId="44AD74B8" w14:textId="77777777" w:rsidR="007C0B5A" w:rsidRPr="00C64ECB" w:rsidRDefault="007C0B5A" w:rsidP="007C0B5A">
      <w:r w:rsidRPr="00C64ECB">
        <w:t>In order to resolve interference to Terminal Doppler Weather Radar (TDWR) the FCC has defined interim plans to approve UNII devices operating in the 5470-5725 MHz band [11]. These interim plans provide specific actions for equipment authorization and installation, as detailed below. The main elements in the interim plan are:</w:t>
      </w:r>
    </w:p>
    <w:p w14:paraId="4D6385D1" w14:textId="77777777" w:rsidR="007C0B5A" w:rsidRPr="00C64ECB" w:rsidRDefault="007C0B5A" w:rsidP="007C0B5A">
      <w:pPr>
        <w:pStyle w:val="B1"/>
      </w:pPr>
      <w:r w:rsidRPr="00C64ECB">
        <w:t>-</w:t>
      </w:r>
      <w:r w:rsidRPr="00C64ECB">
        <w:tab/>
        <w:t>Master devices shall not transmit on channels overlapping with the range 5600-5650 MHz band used by TDWRs;</w:t>
      </w:r>
    </w:p>
    <w:p w14:paraId="7E118DFF" w14:textId="77777777" w:rsidR="007C0B5A" w:rsidRPr="00C64ECB" w:rsidRDefault="007C0B5A" w:rsidP="007C0B5A">
      <w:pPr>
        <w:pStyle w:val="B1"/>
      </w:pPr>
      <w:r w:rsidRPr="00C64ECB">
        <w:t>-</w:t>
      </w:r>
      <w:r w:rsidRPr="00C64ECB">
        <w:tab/>
        <w:t>Professional installation of equipment operating within the band 5470-5720 MHz;</w:t>
      </w:r>
    </w:p>
    <w:p w14:paraId="02815F22" w14:textId="77777777" w:rsidR="007C0B5A" w:rsidRPr="00C64ECB" w:rsidRDefault="007C0B5A" w:rsidP="007C0B5A">
      <w:pPr>
        <w:pStyle w:val="B1"/>
      </w:pPr>
      <w:r w:rsidRPr="00C64ECB">
        <w:t>-</w:t>
      </w:r>
      <w:r w:rsidRPr="00C64ECB">
        <w:tab/>
        <w:t>Prohibition to include configuration controls (like country code settings) that would allow to change the frequency of operations to any frequency other than those specified on the grant of certification for US operation.</w:t>
      </w:r>
    </w:p>
    <w:p w14:paraId="382B599E" w14:textId="77777777" w:rsidR="007C0B5A" w:rsidRPr="00C64ECB" w:rsidRDefault="007C0B5A" w:rsidP="007C0B5A">
      <w:r w:rsidRPr="00C64ECB">
        <w:lastRenderedPageBreak/>
        <w:t xml:space="preserve">In parallel FCC is continuing its work to develop long-term equipment authorization test procedures that will ensure that the devices comply with the rules that protect the TDWR operations. </w:t>
      </w:r>
    </w:p>
    <w:p w14:paraId="7219DA10" w14:textId="77777777" w:rsidR="007C0B5A" w:rsidRPr="00C64ECB" w:rsidRDefault="007C0B5A" w:rsidP="007C0B5A">
      <w:pPr>
        <w:pStyle w:val="Heading4"/>
      </w:pPr>
      <w:bookmarkStart w:id="28" w:name="_Toc531342986"/>
      <w:r w:rsidRPr="00C64ECB">
        <w:t>4.1.</w:t>
      </w:r>
      <w:r w:rsidRPr="00C64ECB">
        <w:rPr>
          <w:rFonts w:hint="eastAsia"/>
        </w:rPr>
        <w:t>2.2</w:t>
      </w:r>
      <w:r w:rsidRPr="00C64ECB">
        <w:tab/>
        <w:t>Canada</w:t>
      </w:r>
      <w:bookmarkEnd w:id="28"/>
    </w:p>
    <w:p w14:paraId="64CF9C95" w14:textId="77777777" w:rsidR="007C0B5A" w:rsidRPr="00C64ECB" w:rsidRDefault="007C0B5A" w:rsidP="007C0B5A">
      <w:r w:rsidRPr="00C64ECB">
        <w:t>In Canada, the use of RLANs is forbidden in the band 5600-5650 MHz in order to protect the meteorological radars from interference caused by RLANs. The regulations for RLANs in the 5 GHz range in Canada are defined in RSS-210 Annex 9 [21]. Table 4.</w:t>
      </w:r>
      <w:r w:rsidR="000D7B67" w:rsidRPr="00C64ECB">
        <w:t>1.</w:t>
      </w:r>
      <w:r w:rsidRPr="00C64ECB">
        <w:t>2.2-1 presents the transmit power requirements for RLAN devices while Table 4.</w:t>
      </w:r>
      <w:r w:rsidR="000D7B67" w:rsidRPr="00C64ECB">
        <w:t>1.</w:t>
      </w:r>
      <w:r w:rsidRPr="00C64ECB">
        <w:t>2.2-1 provides the EIRP spectral density limits in the elevation plane required from RLAN devices operating with an EIRP</w:t>
      </w:r>
      <w:r w:rsidRPr="00C64ECB" w:rsidDel="00583ED1">
        <w:t xml:space="preserve"> </w:t>
      </w:r>
      <w:r w:rsidRPr="00C64ECB">
        <w:t xml:space="preserve">level higher than 200 mW in the frequency range 5250-5350 MHz.  </w:t>
      </w:r>
    </w:p>
    <w:p w14:paraId="0BB6FB3D" w14:textId="77777777" w:rsidR="007C0B5A" w:rsidRPr="00C64ECB" w:rsidRDefault="007C0B5A" w:rsidP="007C0B5A"/>
    <w:p w14:paraId="05D11759" w14:textId="77777777" w:rsidR="007C0B5A" w:rsidRPr="00C64ECB" w:rsidRDefault="007C0B5A" w:rsidP="007C0B5A">
      <w:pPr>
        <w:pStyle w:val="TH"/>
      </w:pPr>
      <w:r w:rsidRPr="00C64ECB">
        <w:t>Table 4.</w:t>
      </w:r>
      <w:r w:rsidR="000D7B67" w:rsidRPr="00C64ECB">
        <w:t>1.</w:t>
      </w:r>
      <w:r w:rsidRPr="00C64ECB">
        <w:t>2.2-1: Transmit power requirements for RLAN devices in Canada</w:t>
      </w:r>
    </w:p>
    <w:tbl>
      <w:tblPr>
        <w:tblW w:w="98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48"/>
        <w:gridCol w:w="1216"/>
        <w:gridCol w:w="1257"/>
        <w:gridCol w:w="1303"/>
        <w:gridCol w:w="1303"/>
        <w:gridCol w:w="1302"/>
        <w:gridCol w:w="1929"/>
      </w:tblGrid>
      <w:tr w:rsidR="007C0B5A" w:rsidRPr="00C64ECB" w14:paraId="3F517D39" w14:textId="77777777" w:rsidTr="00126681">
        <w:tc>
          <w:tcPr>
            <w:tcW w:w="1548" w:type="dxa"/>
            <w:shd w:val="solid" w:color="C0C0C0" w:fill="FFFFFF"/>
          </w:tcPr>
          <w:p w14:paraId="4179700C" w14:textId="77777777" w:rsidR="007C0B5A" w:rsidRPr="00C64ECB" w:rsidRDefault="007C0B5A" w:rsidP="001C2E15">
            <w:pPr>
              <w:pStyle w:val="TAH"/>
            </w:pPr>
            <w:r w:rsidRPr="00C64ECB">
              <w:t>Frequency Range (GHz)</w:t>
            </w:r>
          </w:p>
        </w:tc>
        <w:tc>
          <w:tcPr>
            <w:tcW w:w="1216" w:type="dxa"/>
            <w:shd w:val="clear" w:color="auto" w:fill="auto"/>
          </w:tcPr>
          <w:p w14:paraId="6ACC5778" w14:textId="77777777" w:rsidR="007C0B5A" w:rsidRPr="00C64ECB" w:rsidRDefault="007C0B5A" w:rsidP="00126681">
            <w:pPr>
              <w:pStyle w:val="TAL"/>
            </w:pPr>
          </w:p>
        </w:tc>
        <w:tc>
          <w:tcPr>
            <w:tcW w:w="1257" w:type="dxa"/>
            <w:shd w:val="clear" w:color="auto" w:fill="auto"/>
          </w:tcPr>
          <w:p w14:paraId="3C449200" w14:textId="77777777" w:rsidR="007C0B5A" w:rsidRPr="00C64ECB" w:rsidRDefault="007C0B5A" w:rsidP="00126681">
            <w:pPr>
              <w:pStyle w:val="TAL"/>
            </w:pPr>
            <w:r w:rsidRPr="00C64ECB">
              <w:t>5.15 – 5.25</w:t>
            </w:r>
          </w:p>
        </w:tc>
        <w:tc>
          <w:tcPr>
            <w:tcW w:w="1303" w:type="dxa"/>
            <w:shd w:val="clear" w:color="auto" w:fill="auto"/>
          </w:tcPr>
          <w:p w14:paraId="2DA1EA22" w14:textId="77777777" w:rsidR="007C0B5A" w:rsidRPr="00C64ECB" w:rsidRDefault="007C0B5A" w:rsidP="00126681">
            <w:pPr>
              <w:pStyle w:val="TAL"/>
            </w:pPr>
            <w:r w:rsidRPr="00C64ECB">
              <w:t>5.25-5.35</w:t>
            </w:r>
          </w:p>
        </w:tc>
        <w:tc>
          <w:tcPr>
            <w:tcW w:w="1303" w:type="dxa"/>
            <w:shd w:val="clear" w:color="auto" w:fill="auto"/>
          </w:tcPr>
          <w:p w14:paraId="379FF5EA" w14:textId="77777777" w:rsidR="007C0B5A" w:rsidRPr="00C64ECB" w:rsidRDefault="007C0B5A" w:rsidP="00126681">
            <w:pPr>
              <w:pStyle w:val="TAL"/>
            </w:pPr>
            <w:r w:rsidRPr="00C64ECB">
              <w:t xml:space="preserve">5.47-5.60 and 5.65-5.725 </w:t>
            </w:r>
          </w:p>
        </w:tc>
        <w:tc>
          <w:tcPr>
            <w:tcW w:w="1302" w:type="dxa"/>
            <w:shd w:val="clear" w:color="auto" w:fill="auto"/>
          </w:tcPr>
          <w:p w14:paraId="0EA9EA80" w14:textId="77777777" w:rsidR="007C0B5A" w:rsidRPr="00C64ECB" w:rsidRDefault="007C0B5A" w:rsidP="00126681">
            <w:pPr>
              <w:pStyle w:val="TAL"/>
            </w:pPr>
            <w:r w:rsidRPr="00C64ECB">
              <w:t>5.725-5.825</w:t>
            </w:r>
          </w:p>
        </w:tc>
        <w:tc>
          <w:tcPr>
            <w:tcW w:w="1929" w:type="dxa"/>
            <w:shd w:val="clear" w:color="auto" w:fill="auto"/>
          </w:tcPr>
          <w:p w14:paraId="2795F7D5" w14:textId="77777777" w:rsidR="007C0B5A" w:rsidRPr="00C64ECB" w:rsidRDefault="007C0B5A" w:rsidP="00126681">
            <w:pPr>
              <w:pStyle w:val="TAL"/>
            </w:pPr>
          </w:p>
        </w:tc>
      </w:tr>
      <w:tr w:rsidR="007C0B5A" w:rsidRPr="00C64ECB" w14:paraId="6DFC9382" w14:textId="77777777" w:rsidTr="00126681">
        <w:tc>
          <w:tcPr>
            <w:tcW w:w="1548" w:type="dxa"/>
            <w:vMerge w:val="restart"/>
            <w:shd w:val="solid" w:color="C0C0C0" w:fill="FFFFFF"/>
          </w:tcPr>
          <w:p w14:paraId="343DBB31" w14:textId="77777777" w:rsidR="007C0B5A" w:rsidRPr="00C64ECB" w:rsidRDefault="007C0B5A" w:rsidP="001C2E15">
            <w:pPr>
              <w:pStyle w:val="TAH"/>
            </w:pPr>
            <w:r w:rsidRPr="00C64ECB">
              <w:t>Max conducted output power &lt; min(a, b) (dBm)</w:t>
            </w:r>
          </w:p>
        </w:tc>
        <w:tc>
          <w:tcPr>
            <w:tcW w:w="1216" w:type="dxa"/>
            <w:shd w:val="clear" w:color="auto" w:fill="auto"/>
          </w:tcPr>
          <w:p w14:paraId="3F430537" w14:textId="77777777" w:rsidR="007C0B5A" w:rsidRPr="00C64ECB" w:rsidRDefault="007C0B5A" w:rsidP="00126681">
            <w:pPr>
              <w:pStyle w:val="TAL"/>
            </w:pPr>
            <w:r w:rsidRPr="00C64ECB">
              <w:t>a</w:t>
            </w:r>
          </w:p>
        </w:tc>
        <w:tc>
          <w:tcPr>
            <w:tcW w:w="1257" w:type="dxa"/>
            <w:shd w:val="clear" w:color="auto" w:fill="auto"/>
          </w:tcPr>
          <w:p w14:paraId="092BF496" w14:textId="77777777" w:rsidR="007C0B5A" w:rsidRPr="00C64ECB" w:rsidRDefault="007C0B5A" w:rsidP="00126681">
            <w:pPr>
              <w:pStyle w:val="TAL"/>
            </w:pPr>
          </w:p>
        </w:tc>
        <w:tc>
          <w:tcPr>
            <w:tcW w:w="1303" w:type="dxa"/>
            <w:shd w:val="clear" w:color="auto" w:fill="auto"/>
          </w:tcPr>
          <w:p w14:paraId="7652DDA7" w14:textId="77777777" w:rsidR="007C0B5A" w:rsidRPr="00C64ECB" w:rsidRDefault="007C0B5A" w:rsidP="00126681">
            <w:pPr>
              <w:pStyle w:val="TAL"/>
            </w:pPr>
            <w:r w:rsidRPr="00C64ECB">
              <w:t>24</w:t>
            </w:r>
          </w:p>
        </w:tc>
        <w:tc>
          <w:tcPr>
            <w:tcW w:w="1303" w:type="dxa"/>
            <w:shd w:val="clear" w:color="auto" w:fill="auto"/>
          </w:tcPr>
          <w:p w14:paraId="640E5497" w14:textId="77777777" w:rsidR="007C0B5A" w:rsidRPr="00C64ECB" w:rsidRDefault="007C0B5A" w:rsidP="00126681">
            <w:pPr>
              <w:pStyle w:val="TAL"/>
            </w:pPr>
            <w:r w:rsidRPr="00C64ECB">
              <w:t>24</w:t>
            </w:r>
          </w:p>
        </w:tc>
        <w:tc>
          <w:tcPr>
            <w:tcW w:w="1302" w:type="dxa"/>
            <w:shd w:val="clear" w:color="auto" w:fill="auto"/>
          </w:tcPr>
          <w:p w14:paraId="14D007B0" w14:textId="77777777" w:rsidR="007C0B5A" w:rsidRPr="00C64ECB" w:rsidRDefault="007C0B5A" w:rsidP="00126681">
            <w:pPr>
              <w:pStyle w:val="TAL"/>
            </w:pPr>
            <w:r w:rsidRPr="00C64ECB">
              <w:t>30</w:t>
            </w:r>
          </w:p>
        </w:tc>
        <w:tc>
          <w:tcPr>
            <w:tcW w:w="1929" w:type="dxa"/>
            <w:shd w:val="clear" w:color="auto" w:fill="auto"/>
          </w:tcPr>
          <w:p w14:paraId="0BC3B4D2" w14:textId="77777777" w:rsidR="007C0B5A" w:rsidRPr="00C64ECB" w:rsidRDefault="007C0B5A" w:rsidP="00126681">
            <w:pPr>
              <w:pStyle w:val="TAL"/>
            </w:pPr>
          </w:p>
        </w:tc>
      </w:tr>
      <w:tr w:rsidR="007C0B5A" w:rsidRPr="00C64ECB" w14:paraId="2C777095" w14:textId="77777777" w:rsidTr="00126681">
        <w:tc>
          <w:tcPr>
            <w:tcW w:w="1548" w:type="dxa"/>
            <w:vMerge/>
            <w:shd w:val="solid" w:color="C0C0C0" w:fill="FFFFFF"/>
          </w:tcPr>
          <w:p w14:paraId="0DB3DD69" w14:textId="77777777" w:rsidR="007C0B5A" w:rsidRPr="00C64ECB" w:rsidRDefault="007C0B5A" w:rsidP="001C2E15">
            <w:pPr>
              <w:pStyle w:val="TAH"/>
            </w:pPr>
          </w:p>
        </w:tc>
        <w:tc>
          <w:tcPr>
            <w:tcW w:w="1216" w:type="dxa"/>
            <w:shd w:val="clear" w:color="auto" w:fill="auto"/>
          </w:tcPr>
          <w:p w14:paraId="4841D04C" w14:textId="77777777" w:rsidR="007C0B5A" w:rsidRPr="00C64ECB" w:rsidRDefault="007C0B5A" w:rsidP="00126681">
            <w:pPr>
              <w:pStyle w:val="TAL"/>
            </w:pPr>
            <w:r w:rsidRPr="00C64ECB">
              <w:t>b</w:t>
            </w:r>
          </w:p>
        </w:tc>
        <w:tc>
          <w:tcPr>
            <w:tcW w:w="1257" w:type="dxa"/>
            <w:shd w:val="clear" w:color="auto" w:fill="auto"/>
          </w:tcPr>
          <w:p w14:paraId="1FE0D492" w14:textId="77777777" w:rsidR="007C0B5A" w:rsidRPr="00C64ECB" w:rsidRDefault="007C0B5A" w:rsidP="00126681">
            <w:pPr>
              <w:pStyle w:val="TAL"/>
            </w:pPr>
          </w:p>
        </w:tc>
        <w:tc>
          <w:tcPr>
            <w:tcW w:w="1303" w:type="dxa"/>
            <w:shd w:val="clear" w:color="auto" w:fill="auto"/>
          </w:tcPr>
          <w:p w14:paraId="0F479A2B" w14:textId="77777777" w:rsidR="007C0B5A" w:rsidRPr="00C64ECB" w:rsidRDefault="007C0B5A" w:rsidP="00126681">
            <w:pPr>
              <w:pStyle w:val="TAL"/>
            </w:pPr>
            <w:r w:rsidRPr="00C64ECB">
              <w:t>11+10logB</w:t>
            </w:r>
          </w:p>
        </w:tc>
        <w:tc>
          <w:tcPr>
            <w:tcW w:w="1303" w:type="dxa"/>
            <w:shd w:val="clear" w:color="auto" w:fill="auto"/>
          </w:tcPr>
          <w:p w14:paraId="48F20EC8" w14:textId="77777777" w:rsidR="007C0B5A" w:rsidRPr="00C64ECB" w:rsidRDefault="007C0B5A" w:rsidP="00126681">
            <w:pPr>
              <w:pStyle w:val="TAL"/>
            </w:pPr>
            <w:r w:rsidRPr="00C64ECB">
              <w:t>11+10logB</w:t>
            </w:r>
          </w:p>
        </w:tc>
        <w:tc>
          <w:tcPr>
            <w:tcW w:w="1302" w:type="dxa"/>
            <w:shd w:val="clear" w:color="auto" w:fill="auto"/>
          </w:tcPr>
          <w:p w14:paraId="092DDA1D" w14:textId="77777777" w:rsidR="007C0B5A" w:rsidRPr="00C64ECB" w:rsidRDefault="007C0B5A" w:rsidP="00126681">
            <w:pPr>
              <w:pStyle w:val="TAL"/>
            </w:pPr>
            <w:r w:rsidRPr="00C64ECB">
              <w:t>17+10logB</w:t>
            </w:r>
          </w:p>
        </w:tc>
        <w:tc>
          <w:tcPr>
            <w:tcW w:w="1929" w:type="dxa"/>
            <w:shd w:val="clear" w:color="auto" w:fill="auto"/>
          </w:tcPr>
          <w:p w14:paraId="3F153AA4" w14:textId="77777777" w:rsidR="007C0B5A" w:rsidRPr="00C64ECB" w:rsidRDefault="007C0B5A" w:rsidP="00126681">
            <w:pPr>
              <w:pStyle w:val="TAL"/>
            </w:pPr>
            <w:r w:rsidRPr="00C64ECB">
              <w:t>B is the 26-dB emission bandwidth in MHz</w:t>
            </w:r>
          </w:p>
        </w:tc>
      </w:tr>
      <w:tr w:rsidR="007C0B5A" w:rsidRPr="00C64ECB" w14:paraId="6A73B5A7" w14:textId="77777777" w:rsidTr="00126681">
        <w:tc>
          <w:tcPr>
            <w:tcW w:w="1548" w:type="dxa"/>
            <w:shd w:val="solid" w:color="C0C0C0" w:fill="FFFFFF"/>
          </w:tcPr>
          <w:p w14:paraId="7D26D725" w14:textId="77777777" w:rsidR="007C0B5A" w:rsidRPr="00C64ECB" w:rsidRDefault="007C0B5A" w:rsidP="001C2E15">
            <w:pPr>
              <w:pStyle w:val="TAH"/>
            </w:pPr>
            <w:r w:rsidRPr="00C64ECB">
              <w:t>Peak PSD (dBm/MHz)</w:t>
            </w:r>
          </w:p>
        </w:tc>
        <w:tc>
          <w:tcPr>
            <w:tcW w:w="1216" w:type="dxa"/>
            <w:shd w:val="clear" w:color="auto" w:fill="auto"/>
          </w:tcPr>
          <w:p w14:paraId="5618B089" w14:textId="77777777" w:rsidR="007C0B5A" w:rsidRPr="00C64ECB" w:rsidRDefault="007C0B5A" w:rsidP="00126681">
            <w:pPr>
              <w:pStyle w:val="TAL"/>
            </w:pPr>
          </w:p>
        </w:tc>
        <w:tc>
          <w:tcPr>
            <w:tcW w:w="1257" w:type="dxa"/>
            <w:shd w:val="clear" w:color="auto" w:fill="auto"/>
          </w:tcPr>
          <w:p w14:paraId="0C39489F" w14:textId="77777777" w:rsidR="007C0B5A" w:rsidRPr="00C64ECB" w:rsidRDefault="007C0B5A" w:rsidP="00126681">
            <w:pPr>
              <w:pStyle w:val="TAL"/>
            </w:pPr>
            <w:r w:rsidRPr="00C64ECB">
              <w:t>4</w:t>
            </w:r>
          </w:p>
        </w:tc>
        <w:tc>
          <w:tcPr>
            <w:tcW w:w="1303" w:type="dxa"/>
            <w:shd w:val="clear" w:color="auto" w:fill="auto"/>
          </w:tcPr>
          <w:p w14:paraId="0CA3AEDE" w14:textId="77777777" w:rsidR="007C0B5A" w:rsidRPr="00C64ECB" w:rsidRDefault="007C0B5A" w:rsidP="00126681">
            <w:pPr>
              <w:pStyle w:val="TAL"/>
            </w:pPr>
            <w:r w:rsidRPr="00C64ECB">
              <w:t>11</w:t>
            </w:r>
          </w:p>
        </w:tc>
        <w:tc>
          <w:tcPr>
            <w:tcW w:w="1303" w:type="dxa"/>
            <w:shd w:val="clear" w:color="auto" w:fill="auto"/>
          </w:tcPr>
          <w:p w14:paraId="7E78297A" w14:textId="77777777" w:rsidR="007C0B5A" w:rsidRPr="00C64ECB" w:rsidRDefault="007C0B5A" w:rsidP="00126681">
            <w:pPr>
              <w:pStyle w:val="TAL"/>
            </w:pPr>
            <w:r w:rsidRPr="00C64ECB">
              <w:t>11</w:t>
            </w:r>
          </w:p>
        </w:tc>
        <w:tc>
          <w:tcPr>
            <w:tcW w:w="1302" w:type="dxa"/>
            <w:shd w:val="clear" w:color="auto" w:fill="auto"/>
          </w:tcPr>
          <w:p w14:paraId="62DC1B50" w14:textId="77777777" w:rsidR="007C0B5A" w:rsidRPr="00C64ECB" w:rsidRDefault="007C0B5A" w:rsidP="00126681">
            <w:pPr>
              <w:pStyle w:val="TAL"/>
            </w:pPr>
            <w:r w:rsidRPr="00C64ECB">
              <w:t>17</w:t>
            </w:r>
          </w:p>
        </w:tc>
        <w:tc>
          <w:tcPr>
            <w:tcW w:w="1929" w:type="dxa"/>
            <w:shd w:val="clear" w:color="auto" w:fill="auto"/>
          </w:tcPr>
          <w:p w14:paraId="3110BEC7" w14:textId="77777777" w:rsidR="007C0B5A" w:rsidRPr="00C64ECB" w:rsidRDefault="007C0B5A" w:rsidP="00126681">
            <w:pPr>
              <w:pStyle w:val="TAL"/>
            </w:pPr>
            <w:r w:rsidRPr="00C64ECB">
              <w:t>Resolution bandwidth 1 MHz</w:t>
            </w:r>
          </w:p>
        </w:tc>
      </w:tr>
      <w:tr w:rsidR="007C0B5A" w:rsidRPr="00C64ECB" w14:paraId="03FAAC4F" w14:textId="77777777" w:rsidTr="00126681">
        <w:tc>
          <w:tcPr>
            <w:tcW w:w="1548" w:type="dxa"/>
            <w:vMerge w:val="restart"/>
            <w:shd w:val="solid" w:color="C0C0C0" w:fill="FFFFFF"/>
          </w:tcPr>
          <w:p w14:paraId="740CADF1" w14:textId="77777777" w:rsidR="007C0B5A" w:rsidRPr="00C64ECB" w:rsidRDefault="007C0B5A" w:rsidP="001C2E15">
            <w:pPr>
              <w:pStyle w:val="TAH"/>
            </w:pPr>
            <w:r w:rsidRPr="00C64ECB">
              <w:t>Max e.i.r.p.   &lt; min(a, b) (dBm)</w:t>
            </w:r>
          </w:p>
        </w:tc>
        <w:tc>
          <w:tcPr>
            <w:tcW w:w="1216" w:type="dxa"/>
            <w:shd w:val="clear" w:color="auto" w:fill="auto"/>
          </w:tcPr>
          <w:p w14:paraId="2579F46F" w14:textId="77777777" w:rsidR="007C0B5A" w:rsidRPr="00C64ECB" w:rsidRDefault="007C0B5A" w:rsidP="00126681">
            <w:pPr>
              <w:pStyle w:val="TAL"/>
            </w:pPr>
            <w:r w:rsidRPr="00C64ECB">
              <w:t>a</w:t>
            </w:r>
          </w:p>
        </w:tc>
        <w:tc>
          <w:tcPr>
            <w:tcW w:w="1257" w:type="dxa"/>
            <w:shd w:val="clear" w:color="auto" w:fill="auto"/>
          </w:tcPr>
          <w:p w14:paraId="52A2FFCB" w14:textId="77777777" w:rsidR="007C0B5A" w:rsidRPr="00C64ECB" w:rsidRDefault="007C0B5A" w:rsidP="00126681">
            <w:pPr>
              <w:pStyle w:val="TAL"/>
            </w:pPr>
            <w:r w:rsidRPr="00C64ECB">
              <w:t>23</w:t>
            </w:r>
          </w:p>
        </w:tc>
        <w:tc>
          <w:tcPr>
            <w:tcW w:w="1303" w:type="dxa"/>
            <w:shd w:val="clear" w:color="auto" w:fill="auto"/>
          </w:tcPr>
          <w:p w14:paraId="523BF4CC" w14:textId="77777777" w:rsidR="007C0B5A" w:rsidRPr="00C64ECB" w:rsidRDefault="007C0B5A" w:rsidP="00126681">
            <w:pPr>
              <w:pStyle w:val="TAL"/>
            </w:pPr>
            <w:r w:rsidRPr="00C64ECB">
              <w:t>30</w:t>
            </w:r>
          </w:p>
        </w:tc>
        <w:tc>
          <w:tcPr>
            <w:tcW w:w="1303" w:type="dxa"/>
            <w:shd w:val="clear" w:color="auto" w:fill="auto"/>
          </w:tcPr>
          <w:p w14:paraId="612B1F15" w14:textId="77777777" w:rsidR="007C0B5A" w:rsidRPr="00C64ECB" w:rsidRDefault="007C0B5A" w:rsidP="00126681">
            <w:pPr>
              <w:pStyle w:val="TAL"/>
            </w:pPr>
            <w:r w:rsidRPr="00C64ECB">
              <w:t>30</w:t>
            </w:r>
          </w:p>
        </w:tc>
        <w:tc>
          <w:tcPr>
            <w:tcW w:w="1302" w:type="dxa"/>
            <w:shd w:val="clear" w:color="auto" w:fill="auto"/>
          </w:tcPr>
          <w:p w14:paraId="4E5454D3" w14:textId="77777777" w:rsidR="007C0B5A" w:rsidRPr="00C64ECB" w:rsidRDefault="007C0B5A" w:rsidP="00126681">
            <w:pPr>
              <w:pStyle w:val="TAL"/>
            </w:pPr>
            <w:r w:rsidRPr="00C64ECB">
              <w:t>36</w:t>
            </w:r>
          </w:p>
        </w:tc>
        <w:tc>
          <w:tcPr>
            <w:tcW w:w="1929" w:type="dxa"/>
            <w:shd w:val="clear" w:color="auto" w:fill="auto"/>
          </w:tcPr>
          <w:p w14:paraId="14470795" w14:textId="77777777" w:rsidR="007C0B5A" w:rsidRPr="00C64ECB" w:rsidRDefault="007C0B5A" w:rsidP="00126681">
            <w:pPr>
              <w:pStyle w:val="TAL"/>
            </w:pPr>
          </w:p>
        </w:tc>
      </w:tr>
      <w:tr w:rsidR="007C0B5A" w:rsidRPr="00C64ECB" w14:paraId="3BAEA490" w14:textId="77777777" w:rsidTr="00126681">
        <w:tc>
          <w:tcPr>
            <w:tcW w:w="1548" w:type="dxa"/>
            <w:vMerge/>
            <w:shd w:val="solid" w:color="C0C0C0" w:fill="FFFFFF"/>
          </w:tcPr>
          <w:p w14:paraId="42B1099F" w14:textId="77777777" w:rsidR="007C0B5A" w:rsidRPr="00C64ECB" w:rsidRDefault="007C0B5A" w:rsidP="001C2E15">
            <w:pPr>
              <w:pStyle w:val="TAH"/>
            </w:pPr>
          </w:p>
        </w:tc>
        <w:tc>
          <w:tcPr>
            <w:tcW w:w="1216" w:type="dxa"/>
            <w:shd w:val="clear" w:color="auto" w:fill="auto"/>
          </w:tcPr>
          <w:p w14:paraId="1CCAF813" w14:textId="77777777" w:rsidR="007C0B5A" w:rsidRPr="00C64ECB" w:rsidRDefault="007C0B5A" w:rsidP="00126681">
            <w:pPr>
              <w:pStyle w:val="TAL"/>
            </w:pPr>
            <w:r w:rsidRPr="00C64ECB">
              <w:t>b</w:t>
            </w:r>
          </w:p>
        </w:tc>
        <w:tc>
          <w:tcPr>
            <w:tcW w:w="1257" w:type="dxa"/>
            <w:shd w:val="clear" w:color="auto" w:fill="auto"/>
          </w:tcPr>
          <w:p w14:paraId="319BA62D" w14:textId="77777777" w:rsidR="007C0B5A" w:rsidRPr="00C64ECB" w:rsidRDefault="007C0B5A" w:rsidP="00126681">
            <w:pPr>
              <w:pStyle w:val="TAL"/>
            </w:pPr>
            <w:r w:rsidRPr="00C64ECB">
              <w:t>10+10logB</w:t>
            </w:r>
          </w:p>
        </w:tc>
        <w:tc>
          <w:tcPr>
            <w:tcW w:w="1303" w:type="dxa"/>
            <w:shd w:val="clear" w:color="auto" w:fill="auto"/>
          </w:tcPr>
          <w:p w14:paraId="3B42EBCF" w14:textId="77777777" w:rsidR="007C0B5A" w:rsidRPr="00C64ECB" w:rsidRDefault="007C0B5A" w:rsidP="00126681">
            <w:pPr>
              <w:pStyle w:val="TAL"/>
            </w:pPr>
            <w:r w:rsidRPr="00C64ECB">
              <w:t>17+10logB</w:t>
            </w:r>
          </w:p>
        </w:tc>
        <w:tc>
          <w:tcPr>
            <w:tcW w:w="1303" w:type="dxa"/>
            <w:shd w:val="clear" w:color="auto" w:fill="auto"/>
          </w:tcPr>
          <w:p w14:paraId="115D276A" w14:textId="77777777" w:rsidR="007C0B5A" w:rsidRPr="00C64ECB" w:rsidRDefault="007C0B5A" w:rsidP="00126681">
            <w:pPr>
              <w:pStyle w:val="TAL"/>
            </w:pPr>
            <w:r w:rsidRPr="00C64ECB">
              <w:t>17+10logB</w:t>
            </w:r>
          </w:p>
        </w:tc>
        <w:tc>
          <w:tcPr>
            <w:tcW w:w="1302" w:type="dxa"/>
            <w:shd w:val="clear" w:color="auto" w:fill="auto"/>
          </w:tcPr>
          <w:p w14:paraId="3DBDBE5D" w14:textId="77777777" w:rsidR="007C0B5A" w:rsidRPr="00C64ECB" w:rsidRDefault="007C0B5A" w:rsidP="00126681">
            <w:pPr>
              <w:pStyle w:val="TAL"/>
            </w:pPr>
            <w:r w:rsidRPr="00C64ECB">
              <w:t>23+10logB</w:t>
            </w:r>
          </w:p>
        </w:tc>
        <w:tc>
          <w:tcPr>
            <w:tcW w:w="1929" w:type="dxa"/>
            <w:shd w:val="clear" w:color="auto" w:fill="auto"/>
          </w:tcPr>
          <w:p w14:paraId="333CB9BF" w14:textId="77777777" w:rsidR="007C0B5A" w:rsidRPr="00C64ECB" w:rsidRDefault="007C0B5A" w:rsidP="00126681">
            <w:pPr>
              <w:pStyle w:val="TAL"/>
            </w:pPr>
          </w:p>
        </w:tc>
      </w:tr>
      <w:tr w:rsidR="007C0B5A" w:rsidRPr="00C64ECB" w14:paraId="2B417AFC" w14:textId="77777777" w:rsidTr="00126681">
        <w:tc>
          <w:tcPr>
            <w:tcW w:w="1548" w:type="dxa"/>
            <w:shd w:val="solid" w:color="C0C0C0" w:fill="FFFFFF"/>
          </w:tcPr>
          <w:p w14:paraId="35EBE96D" w14:textId="77777777" w:rsidR="007C0B5A" w:rsidRPr="00C64ECB" w:rsidRDefault="007C0B5A" w:rsidP="001C2E15">
            <w:pPr>
              <w:pStyle w:val="TAH"/>
            </w:pPr>
            <w:r w:rsidRPr="00C64ECB">
              <w:t>Max e.i.r.p density (dBm/MHz)</w:t>
            </w:r>
          </w:p>
        </w:tc>
        <w:tc>
          <w:tcPr>
            <w:tcW w:w="1216" w:type="dxa"/>
            <w:shd w:val="clear" w:color="auto" w:fill="auto"/>
          </w:tcPr>
          <w:p w14:paraId="3666CE85" w14:textId="77777777" w:rsidR="007C0B5A" w:rsidRPr="00C64ECB" w:rsidRDefault="007C0B5A" w:rsidP="00126681">
            <w:pPr>
              <w:pStyle w:val="TAL"/>
            </w:pPr>
          </w:p>
        </w:tc>
        <w:tc>
          <w:tcPr>
            <w:tcW w:w="1257" w:type="dxa"/>
            <w:shd w:val="clear" w:color="auto" w:fill="auto"/>
          </w:tcPr>
          <w:p w14:paraId="210D8894" w14:textId="77777777" w:rsidR="007C0B5A" w:rsidRPr="00C64ECB" w:rsidRDefault="007C0B5A" w:rsidP="00126681">
            <w:pPr>
              <w:pStyle w:val="TAL"/>
            </w:pPr>
            <w:r w:rsidRPr="00C64ECB">
              <w:t>10</w:t>
            </w:r>
          </w:p>
        </w:tc>
        <w:tc>
          <w:tcPr>
            <w:tcW w:w="1303" w:type="dxa"/>
            <w:shd w:val="clear" w:color="auto" w:fill="auto"/>
          </w:tcPr>
          <w:p w14:paraId="1F3D5B74" w14:textId="77777777" w:rsidR="007C0B5A" w:rsidRPr="00C64ECB" w:rsidRDefault="007C0B5A" w:rsidP="00126681">
            <w:pPr>
              <w:pStyle w:val="TAL"/>
            </w:pPr>
          </w:p>
        </w:tc>
        <w:tc>
          <w:tcPr>
            <w:tcW w:w="1303" w:type="dxa"/>
            <w:shd w:val="clear" w:color="auto" w:fill="auto"/>
          </w:tcPr>
          <w:p w14:paraId="0FEA21C6" w14:textId="77777777" w:rsidR="007C0B5A" w:rsidRPr="00C64ECB" w:rsidRDefault="007C0B5A" w:rsidP="00126681">
            <w:pPr>
              <w:pStyle w:val="TAL"/>
            </w:pPr>
          </w:p>
        </w:tc>
        <w:tc>
          <w:tcPr>
            <w:tcW w:w="1302" w:type="dxa"/>
            <w:shd w:val="clear" w:color="auto" w:fill="auto"/>
          </w:tcPr>
          <w:p w14:paraId="241E57FD" w14:textId="77777777" w:rsidR="007C0B5A" w:rsidRPr="00C64ECB" w:rsidRDefault="007C0B5A" w:rsidP="00126681">
            <w:pPr>
              <w:pStyle w:val="TAL"/>
            </w:pPr>
          </w:p>
        </w:tc>
        <w:tc>
          <w:tcPr>
            <w:tcW w:w="1929" w:type="dxa"/>
            <w:shd w:val="clear" w:color="auto" w:fill="auto"/>
          </w:tcPr>
          <w:p w14:paraId="3B223B15" w14:textId="77777777" w:rsidR="007C0B5A" w:rsidRPr="00C64ECB" w:rsidRDefault="007C0B5A" w:rsidP="00126681">
            <w:pPr>
              <w:pStyle w:val="TAL"/>
            </w:pPr>
            <w:r w:rsidRPr="00C64ECB">
              <w:t>Resolution bandwidth 1 MHz</w:t>
            </w:r>
          </w:p>
        </w:tc>
      </w:tr>
      <w:tr w:rsidR="007C0B5A" w:rsidRPr="00C64ECB" w14:paraId="2BB86622" w14:textId="77777777" w:rsidTr="00126681">
        <w:tc>
          <w:tcPr>
            <w:tcW w:w="1548" w:type="dxa"/>
            <w:vMerge w:val="restart"/>
            <w:shd w:val="solid" w:color="C0C0C0" w:fill="FFFFFF"/>
          </w:tcPr>
          <w:p w14:paraId="0A17CDAC" w14:textId="77777777" w:rsidR="007C0B5A" w:rsidRPr="00C64ECB" w:rsidRDefault="007C0B5A" w:rsidP="001C2E15">
            <w:pPr>
              <w:pStyle w:val="TAH"/>
            </w:pPr>
            <w:r w:rsidRPr="00C64ECB">
              <w:t>Out of band emission</w:t>
            </w:r>
          </w:p>
        </w:tc>
        <w:tc>
          <w:tcPr>
            <w:tcW w:w="1216" w:type="dxa"/>
            <w:shd w:val="clear" w:color="auto" w:fill="auto"/>
          </w:tcPr>
          <w:p w14:paraId="4E39F4D5" w14:textId="77777777" w:rsidR="007C0B5A" w:rsidRPr="00C64ECB" w:rsidRDefault="007C0B5A" w:rsidP="00126681">
            <w:pPr>
              <w:pStyle w:val="TAL"/>
            </w:pPr>
            <w:r w:rsidRPr="00C64ECB">
              <w:t>Frequency Support (GHz)</w:t>
            </w:r>
          </w:p>
        </w:tc>
        <w:tc>
          <w:tcPr>
            <w:tcW w:w="1257" w:type="dxa"/>
            <w:shd w:val="clear" w:color="auto" w:fill="auto"/>
          </w:tcPr>
          <w:p w14:paraId="207275CF" w14:textId="77777777" w:rsidR="007C0B5A" w:rsidRPr="00C64ECB" w:rsidRDefault="007C0B5A" w:rsidP="00126681">
            <w:pPr>
              <w:pStyle w:val="TAL"/>
            </w:pPr>
            <w:r w:rsidRPr="00C64ECB">
              <w:t>Outside 5.15 – 5.25</w:t>
            </w:r>
          </w:p>
        </w:tc>
        <w:tc>
          <w:tcPr>
            <w:tcW w:w="1303" w:type="dxa"/>
            <w:shd w:val="clear" w:color="auto" w:fill="auto"/>
          </w:tcPr>
          <w:p w14:paraId="621E4549" w14:textId="77777777" w:rsidR="007C0B5A" w:rsidRPr="00C64ECB" w:rsidRDefault="007C0B5A" w:rsidP="00126681">
            <w:pPr>
              <w:pStyle w:val="TAL"/>
            </w:pPr>
            <w:r w:rsidRPr="00C64ECB">
              <w:t>Outside 5.25 – 5.35</w:t>
            </w:r>
          </w:p>
        </w:tc>
        <w:tc>
          <w:tcPr>
            <w:tcW w:w="1303" w:type="dxa"/>
            <w:shd w:val="clear" w:color="auto" w:fill="auto"/>
          </w:tcPr>
          <w:p w14:paraId="3E54FF79" w14:textId="77777777" w:rsidR="007C0B5A" w:rsidRPr="00C64ECB" w:rsidRDefault="007C0B5A" w:rsidP="00126681">
            <w:pPr>
              <w:pStyle w:val="TAL"/>
            </w:pPr>
            <w:r w:rsidRPr="00C64ECB">
              <w:t>Outside 5.47-5.725</w:t>
            </w:r>
          </w:p>
        </w:tc>
        <w:tc>
          <w:tcPr>
            <w:tcW w:w="1302" w:type="dxa"/>
            <w:shd w:val="clear" w:color="auto" w:fill="auto"/>
          </w:tcPr>
          <w:p w14:paraId="5DD9ABC2" w14:textId="77777777" w:rsidR="007C0B5A" w:rsidRPr="00C64ECB" w:rsidRDefault="007C0B5A" w:rsidP="00126681">
            <w:pPr>
              <w:pStyle w:val="TAL"/>
            </w:pPr>
            <w:r w:rsidRPr="00C64ECB">
              <w:t>Outside 5.725-5.825</w:t>
            </w:r>
          </w:p>
        </w:tc>
        <w:tc>
          <w:tcPr>
            <w:tcW w:w="1929" w:type="dxa"/>
            <w:shd w:val="clear" w:color="auto" w:fill="auto"/>
          </w:tcPr>
          <w:p w14:paraId="029F1369" w14:textId="77777777" w:rsidR="007C0B5A" w:rsidRPr="00C64ECB" w:rsidRDefault="007C0B5A" w:rsidP="00126681">
            <w:pPr>
              <w:pStyle w:val="TAL"/>
            </w:pPr>
          </w:p>
        </w:tc>
      </w:tr>
      <w:tr w:rsidR="007C0B5A" w:rsidRPr="00C64ECB" w14:paraId="02712803" w14:textId="77777777" w:rsidTr="00126681">
        <w:trPr>
          <w:trHeight w:val="1564"/>
        </w:trPr>
        <w:tc>
          <w:tcPr>
            <w:tcW w:w="1548" w:type="dxa"/>
            <w:vMerge/>
            <w:shd w:val="solid" w:color="C0C0C0" w:fill="FFFFFF"/>
          </w:tcPr>
          <w:p w14:paraId="5C32E8AA" w14:textId="77777777" w:rsidR="007C0B5A" w:rsidRPr="00C64ECB" w:rsidRDefault="007C0B5A" w:rsidP="001C2E15">
            <w:pPr>
              <w:pStyle w:val="TAH"/>
            </w:pPr>
          </w:p>
        </w:tc>
        <w:tc>
          <w:tcPr>
            <w:tcW w:w="1216" w:type="dxa"/>
            <w:shd w:val="clear" w:color="auto" w:fill="auto"/>
          </w:tcPr>
          <w:p w14:paraId="2814A916" w14:textId="77777777" w:rsidR="007C0B5A" w:rsidRPr="00C64ECB" w:rsidRDefault="007C0B5A" w:rsidP="00126681">
            <w:pPr>
              <w:pStyle w:val="TAL"/>
            </w:pPr>
            <w:r w:rsidRPr="00C64ECB">
              <w:t>EIRP (dBm/MHz)</w:t>
            </w:r>
          </w:p>
        </w:tc>
        <w:tc>
          <w:tcPr>
            <w:tcW w:w="1257" w:type="dxa"/>
            <w:shd w:val="clear" w:color="auto" w:fill="auto"/>
          </w:tcPr>
          <w:p w14:paraId="3BA776FA" w14:textId="77777777" w:rsidR="007C0B5A" w:rsidRPr="00C64ECB" w:rsidRDefault="007C0B5A" w:rsidP="00126681">
            <w:pPr>
              <w:pStyle w:val="TAL"/>
            </w:pPr>
            <w:r w:rsidRPr="00C64ECB">
              <w:t>-27</w:t>
            </w:r>
          </w:p>
        </w:tc>
        <w:tc>
          <w:tcPr>
            <w:tcW w:w="1303" w:type="dxa"/>
            <w:shd w:val="clear" w:color="auto" w:fill="auto"/>
          </w:tcPr>
          <w:p w14:paraId="228C2153" w14:textId="77777777" w:rsidR="007C0B5A" w:rsidRPr="00C64ECB" w:rsidRDefault="007C0B5A" w:rsidP="00126681">
            <w:pPr>
              <w:pStyle w:val="TAL"/>
            </w:pPr>
            <w:r w:rsidRPr="00C64ECB">
              <w:t>-27</w:t>
            </w:r>
          </w:p>
        </w:tc>
        <w:tc>
          <w:tcPr>
            <w:tcW w:w="1303" w:type="dxa"/>
            <w:shd w:val="clear" w:color="auto" w:fill="auto"/>
          </w:tcPr>
          <w:p w14:paraId="74E73215" w14:textId="77777777" w:rsidR="007C0B5A" w:rsidRPr="00C64ECB" w:rsidRDefault="007C0B5A" w:rsidP="00126681">
            <w:pPr>
              <w:pStyle w:val="TAL"/>
            </w:pPr>
            <w:r w:rsidRPr="00C64ECB">
              <w:t>-27</w:t>
            </w:r>
          </w:p>
        </w:tc>
        <w:tc>
          <w:tcPr>
            <w:tcW w:w="1302" w:type="dxa"/>
            <w:shd w:val="clear" w:color="auto" w:fill="auto"/>
          </w:tcPr>
          <w:p w14:paraId="64795406" w14:textId="77777777" w:rsidR="007C0B5A" w:rsidRPr="00C64ECB" w:rsidRDefault="007C0B5A" w:rsidP="00126681">
            <w:pPr>
              <w:pStyle w:val="TAL"/>
            </w:pPr>
            <w:r w:rsidRPr="00C64ECB">
              <w:t>-17 within 5.715-5.725 and 5.825-5.835;</w:t>
            </w:r>
          </w:p>
          <w:p w14:paraId="1D9968E3" w14:textId="77777777" w:rsidR="007C0B5A" w:rsidRPr="00C64ECB" w:rsidRDefault="007C0B5A" w:rsidP="00126681">
            <w:pPr>
              <w:pStyle w:val="TAL"/>
            </w:pPr>
            <w:r w:rsidRPr="00C64ECB">
              <w:t>-27 outside</w:t>
            </w:r>
          </w:p>
        </w:tc>
        <w:tc>
          <w:tcPr>
            <w:tcW w:w="1929" w:type="dxa"/>
            <w:shd w:val="clear" w:color="auto" w:fill="auto"/>
          </w:tcPr>
          <w:p w14:paraId="215985DD" w14:textId="77777777" w:rsidR="007C0B5A" w:rsidRPr="00C64ECB" w:rsidRDefault="007C0B5A" w:rsidP="00126681">
            <w:pPr>
              <w:pStyle w:val="TAL"/>
            </w:pPr>
            <w:r w:rsidRPr="00C64ECB">
              <w:t>Resolution bandwidth 1 MHz</w:t>
            </w:r>
          </w:p>
        </w:tc>
      </w:tr>
      <w:tr w:rsidR="007C0B5A" w:rsidRPr="00C64ECB" w14:paraId="0CA0A32D" w14:textId="77777777" w:rsidTr="00126681">
        <w:tc>
          <w:tcPr>
            <w:tcW w:w="1548" w:type="dxa"/>
            <w:shd w:val="solid" w:color="C0C0C0" w:fill="FFFFFF"/>
          </w:tcPr>
          <w:p w14:paraId="4A189B75" w14:textId="77777777" w:rsidR="007C0B5A" w:rsidRPr="00C64ECB" w:rsidRDefault="007C0B5A" w:rsidP="001C2E15">
            <w:pPr>
              <w:pStyle w:val="TAH"/>
            </w:pPr>
            <w:r w:rsidRPr="00C64ECB">
              <w:t>Transmit Power Control</w:t>
            </w:r>
          </w:p>
        </w:tc>
        <w:tc>
          <w:tcPr>
            <w:tcW w:w="1216" w:type="dxa"/>
            <w:shd w:val="clear" w:color="auto" w:fill="auto"/>
          </w:tcPr>
          <w:p w14:paraId="2D10C354" w14:textId="77777777" w:rsidR="007C0B5A" w:rsidRPr="00C64ECB" w:rsidRDefault="007C0B5A" w:rsidP="00126681">
            <w:pPr>
              <w:pStyle w:val="TAL"/>
            </w:pPr>
          </w:p>
        </w:tc>
        <w:tc>
          <w:tcPr>
            <w:tcW w:w="1257" w:type="dxa"/>
            <w:shd w:val="clear" w:color="auto" w:fill="auto"/>
          </w:tcPr>
          <w:p w14:paraId="7722469A" w14:textId="77777777" w:rsidR="007C0B5A" w:rsidRPr="00C64ECB" w:rsidRDefault="007C0B5A" w:rsidP="00126681">
            <w:pPr>
              <w:pStyle w:val="TAL"/>
            </w:pPr>
            <w:r w:rsidRPr="00C64ECB">
              <w:t>N/A</w:t>
            </w:r>
          </w:p>
        </w:tc>
        <w:tc>
          <w:tcPr>
            <w:tcW w:w="2606" w:type="dxa"/>
            <w:gridSpan w:val="2"/>
            <w:shd w:val="clear" w:color="auto" w:fill="auto"/>
          </w:tcPr>
          <w:p w14:paraId="78FB8105" w14:textId="77777777" w:rsidR="007C0B5A" w:rsidRPr="00C64ECB" w:rsidRDefault="007C0B5A" w:rsidP="00126681">
            <w:pPr>
              <w:pStyle w:val="TAL"/>
            </w:pPr>
            <w:r w:rsidRPr="00C64ECB">
              <w:t>TPC to 6 dB below a mean EIRP of 30 dBm. No TPC for mean EIRP &lt; 27 dBm</w:t>
            </w:r>
          </w:p>
        </w:tc>
        <w:tc>
          <w:tcPr>
            <w:tcW w:w="1302" w:type="dxa"/>
            <w:shd w:val="clear" w:color="auto" w:fill="auto"/>
          </w:tcPr>
          <w:p w14:paraId="63919F6A" w14:textId="77777777" w:rsidR="007C0B5A" w:rsidRPr="00C64ECB" w:rsidRDefault="007C0B5A" w:rsidP="00126681">
            <w:pPr>
              <w:pStyle w:val="TAL"/>
            </w:pPr>
          </w:p>
        </w:tc>
        <w:tc>
          <w:tcPr>
            <w:tcW w:w="1929" w:type="dxa"/>
            <w:shd w:val="clear" w:color="auto" w:fill="auto"/>
          </w:tcPr>
          <w:p w14:paraId="649D966C" w14:textId="77777777" w:rsidR="007C0B5A" w:rsidRPr="00C64ECB" w:rsidRDefault="007C0B5A" w:rsidP="00126681">
            <w:pPr>
              <w:pStyle w:val="TAL"/>
            </w:pPr>
          </w:p>
        </w:tc>
      </w:tr>
      <w:tr w:rsidR="007C0B5A" w:rsidRPr="00C64ECB" w14:paraId="78927D12" w14:textId="77777777" w:rsidTr="00126681">
        <w:tc>
          <w:tcPr>
            <w:tcW w:w="1548" w:type="dxa"/>
            <w:shd w:val="solid" w:color="C0C0C0" w:fill="FFFFFF"/>
          </w:tcPr>
          <w:p w14:paraId="09A0A515" w14:textId="77777777" w:rsidR="007C0B5A" w:rsidRPr="00C64ECB" w:rsidRDefault="007C0B5A" w:rsidP="001C2E15">
            <w:pPr>
              <w:pStyle w:val="TAH"/>
            </w:pPr>
            <w:r w:rsidRPr="00C64ECB">
              <w:t>DFS</w:t>
            </w:r>
          </w:p>
        </w:tc>
        <w:tc>
          <w:tcPr>
            <w:tcW w:w="1216" w:type="dxa"/>
            <w:shd w:val="clear" w:color="auto" w:fill="auto"/>
          </w:tcPr>
          <w:p w14:paraId="72E9BECA" w14:textId="77777777" w:rsidR="007C0B5A" w:rsidRPr="00C64ECB" w:rsidRDefault="007C0B5A" w:rsidP="00126681">
            <w:pPr>
              <w:pStyle w:val="TAL"/>
            </w:pPr>
          </w:p>
        </w:tc>
        <w:tc>
          <w:tcPr>
            <w:tcW w:w="1257" w:type="dxa"/>
            <w:shd w:val="clear" w:color="auto" w:fill="auto"/>
          </w:tcPr>
          <w:p w14:paraId="0C493303" w14:textId="77777777" w:rsidR="007C0B5A" w:rsidRPr="00C64ECB" w:rsidRDefault="007C0B5A" w:rsidP="00126681">
            <w:pPr>
              <w:pStyle w:val="TAL"/>
            </w:pPr>
            <w:r w:rsidRPr="00C64ECB">
              <w:t>N/A</w:t>
            </w:r>
          </w:p>
        </w:tc>
        <w:tc>
          <w:tcPr>
            <w:tcW w:w="2606" w:type="dxa"/>
            <w:gridSpan w:val="2"/>
            <w:shd w:val="clear" w:color="auto" w:fill="auto"/>
          </w:tcPr>
          <w:p w14:paraId="6F36B5A8" w14:textId="77777777" w:rsidR="007C0B5A" w:rsidRPr="00C64ECB" w:rsidRDefault="007C0B5A" w:rsidP="00126681">
            <w:pPr>
              <w:pStyle w:val="TAL"/>
            </w:pPr>
            <w:r w:rsidRPr="00C64ECB">
              <w:t>Required</w:t>
            </w:r>
          </w:p>
        </w:tc>
        <w:tc>
          <w:tcPr>
            <w:tcW w:w="1302" w:type="dxa"/>
            <w:shd w:val="clear" w:color="auto" w:fill="auto"/>
          </w:tcPr>
          <w:p w14:paraId="20E3D762" w14:textId="77777777" w:rsidR="007C0B5A" w:rsidRPr="00C64ECB" w:rsidRDefault="007C0B5A" w:rsidP="00126681">
            <w:pPr>
              <w:pStyle w:val="TAL"/>
            </w:pPr>
          </w:p>
        </w:tc>
        <w:tc>
          <w:tcPr>
            <w:tcW w:w="1929" w:type="dxa"/>
            <w:shd w:val="clear" w:color="auto" w:fill="auto"/>
          </w:tcPr>
          <w:p w14:paraId="5FCA8D10" w14:textId="77777777" w:rsidR="007C0B5A" w:rsidRPr="00C64ECB" w:rsidRDefault="007C0B5A" w:rsidP="00126681">
            <w:pPr>
              <w:pStyle w:val="TAL"/>
            </w:pPr>
          </w:p>
        </w:tc>
      </w:tr>
      <w:tr w:rsidR="007C0B5A" w:rsidRPr="00C64ECB" w14:paraId="1B8243AE" w14:textId="77777777" w:rsidTr="00126681">
        <w:tc>
          <w:tcPr>
            <w:tcW w:w="1548" w:type="dxa"/>
            <w:shd w:val="solid" w:color="C0C0C0" w:fill="FFFFFF"/>
          </w:tcPr>
          <w:p w14:paraId="26D508B6" w14:textId="77777777" w:rsidR="007C0B5A" w:rsidRPr="00C64ECB" w:rsidRDefault="007C0B5A" w:rsidP="001C2E15">
            <w:pPr>
              <w:pStyle w:val="TAH"/>
              <w:rPr>
                <w:lang w:val="sv-SE"/>
              </w:rPr>
            </w:pPr>
            <w:r w:rsidRPr="00C64ECB">
              <w:rPr>
                <w:lang w:val="sv-SE"/>
              </w:rPr>
              <w:t>e.i.r.p. elevation mask</w:t>
            </w:r>
          </w:p>
        </w:tc>
        <w:tc>
          <w:tcPr>
            <w:tcW w:w="1216" w:type="dxa"/>
            <w:shd w:val="clear" w:color="auto" w:fill="auto"/>
          </w:tcPr>
          <w:p w14:paraId="55BBFA9E" w14:textId="77777777" w:rsidR="007C0B5A" w:rsidRPr="00C64ECB" w:rsidRDefault="007C0B5A" w:rsidP="00126681">
            <w:pPr>
              <w:pStyle w:val="TAL"/>
              <w:rPr>
                <w:lang w:val="sv-SE"/>
              </w:rPr>
            </w:pPr>
          </w:p>
        </w:tc>
        <w:tc>
          <w:tcPr>
            <w:tcW w:w="1257" w:type="dxa"/>
            <w:shd w:val="clear" w:color="auto" w:fill="auto"/>
          </w:tcPr>
          <w:p w14:paraId="278A6AB3" w14:textId="77777777" w:rsidR="007C0B5A" w:rsidRPr="00C64ECB" w:rsidRDefault="007C0B5A" w:rsidP="00126681">
            <w:pPr>
              <w:pStyle w:val="TAL"/>
            </w:pPr>
            <w:r w:rsidRPr="00C64ECB">
              <w:t>N/A</w:t>
            </w:r>
          </w:p>
        </w:tc>
        <w:tc>
          <w:tcPr>
            <w:tcW w:w="1303" w:type="dxa"/>
            <w:shd w:val="clear" w:color="auto" w:fill="auto"/>
          </w:tcPr>
          <w:p w14:paraId="042C0CB4" w14:textId="77777777" w:rsidR="007C0B5A" w:rsidRPr="00C64ECB" w:rsidRDefault="007C0B5A" w:rsidP="00126681">
            <w:pPr>
              <w:pStyle w:val="TAL"/>
            </w:pPr>
            <w:r w:rsidRPr="00C64ECB">
              <w:t xml:space="preserve">If e.i.r.p. &gt; 23 dBm compliance with e.i.r.p. elevation mask required </w:t>
            </w:r>
          </w:p>
        </w:tc>
        <w:tc>
          <w:tcPr>
            <w:tcW w:w="1303" w:type="dxa"/>
            <w:shd w:val="clear" w:color="auto" w:fill="auto"/>
          </w:tcPr>
          <w:p w14:paraId="28F0074B" w14:textId="77777777" w:rsidR="007C0B5A" w:rsidRPr="00C64ECB" w:rsidRDefault="007C0B5A" w:rsidP="00126681">
            <w:pPr>
              <w:pStyle w:val="TAL"/>
            </w:pPr>
            <w:r w:rsidRPr="00C64ECB">
              <w:t>N/A</w:t>
            </w:r>
          </w:p>
        </w:tc>
        <w:tc>
          <w:tcPr>
            <w:tcW w:w="1302" w:type="dxa"/>
            <w:shd w:val="clear" w:color="auto" w:fill="auto"/>
          </w:tcPr>
          <w:p w14:paraId="1B54A10A" w14:textId="77777777" w:rsidR="007C0B5A" w:rsidRPr="00C64ECB" w:rsidRDefault="007C0B5A" w:rsidP="00126681">
            <w:pPr>
              <w:pStyle w:val="TAL"/>
            </w:pPr>
            <w:r w:rsidRPr="00C64ECB">
              <w:t>N/A</w:t>
            </w:r>
          </w:p>
        </w:tc>
        <w:tc>
          <w:tcPr>
            <w:tcW w:w="1929" w:type="dxa"/>
            <w:shd w:val="clear" w:color="auto" w:fill="auto"/>
          </w:tcPr>
          <w:p w14:paraId="18B2B97A" w14:textId="77777777" w:rsidR="007C0B5A" w:rsidRPr="00C64ECB" w:rsidRDefault="007C0B5A" w:rsidP="00126681">
            <w:pPr>
              <w:pStyle w:val="TAL"/>
            </w:pPr>
          </w:p>
        </w:tc>
      </w:tr>
    </w:tbl>
    <w:p w14:paraId="6F6B3330" w14:textId="77777777" w:rsidR="007C0B5A" w:rsidRPr="00C64ECB" w:rsidRDefault="007C0B5A" w:rsidP="007C0B5A"/>
    <w:p w14:paraId="7E97B57D" w14:textId="77777777" w:rsidR="007C0B5A" w:rsidRPr="00C64ECB" w:rsidRDefault="007C0B5A" w:rsidP="007C0B5A">
      <w:pPr>
        <w:pStyle w:val="TH"/>
      </w:pPr>
      <w:r w:rsidRPr="00C64ECB">
        <w:t>Table 4.</w:t>
      </w:r>
      <w:r w:rsidR="000D7B67" w:rsidRPr="00C64ECB">
        <w:t>1.</w:t>
      </w:r>
      <w:r w:rsidRPr="00C64ECB">
        <w:t>2.2-1:  EIRP</w:t>
      </w:r>
      <w:r w:rsidRPr="00C64ECB" w:rsidDel="00583ED1">
        <w:t xml:space="preserve"> </w:t>
      </w:r>
      <w:r w:rsidRPr="00C64ECB">
        <w:t>spectral density limits in the elevation plane for devices with EIRP</w:t>
      </w:r>
      <w:r w:rsidRPr="00C64ECB" w:rsidDel="00583ED1">
        <w:t xml:space="preserve"> </w:t>
      </w:r>
      <w:r w:rsidRPr="00C64ECB">
        <w:t>&gt; 200 mW (5.25-5.35 GHz frequency range)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4536"/>
      </w:tblGrid>
      <w:tr w:rsidR="007C0B5A" w:rsidRPr="00C64ECB" w14:paraId="1A54180D" w14:textId="77777777" w:rsidTr="00126681">
        <w:tc>
          <w:tcPr>
            <w:tcW w:w="3260" w:type="dxa"/>
          </w:tcPr>
          <w:p w14:paraId="1D1A82C2" w14:textId="77777777" w:rsidR="007C0B5A" w:rsidRPr="00C64ECB" w:rsidRDefault="007C0B5A" w:rsidP="00126681">
            <w:pPr>
              <w:pStyle w:val="TAH"/>
            </w:pPr>
            <w:r w:rsidRPr="00C64ECB">
              <w:t>EIRP spectral density</w:t>
            </w:r>
          </w:p>
        </w:tc>
        <w:tc>
          <w:tcPr>
            <w:tcW w:w="4536" w:type="dxa"/>
          </w:tcPr>
          <w:p w14:paraId="1D171A2E" w14:textId="77777777" w:rsidR="007C0B5A" w:rsidRPr="00C64ECB" w:rsidRDefault="007C0B5A" w:rsidP="00126681">
            <w:pPr>
              <w:pStyle w:val="TAH"/>
            </w:pPr>
            <w:r w:rsidRPr="00C64ECB">
              <w:t>Elevation angle</w:t>
            </w:r>
          </w:p>
        </w:tc>
      </w:tr>
      <w:tr w:rsidR="007C0B5A" w:rsidRPr="00C64ECB" w14:paraId="097CE40E" w14:textId="77777777" w:rsidTr="00126681">
        <w:tc>
          <w:tcPr>
            <w:tcW w:w="3260" w:type="dxa"/>
          </w:tcPr>
          <w:p w14:paraId="272B6D30" w14:textId="77777777" w:rsidR="007C0B5A" w:rsidRPr="00C64ECB" w:rsidRDefault="007C0B5A" w:rsidP="00126681">
            <w:pPr>
              <w:pStyle w:val="TAC"/>
              <w:rPr>
                <w:b/>
                <w:bCs/>
              </w:rPr>
            </w:pPr>
            <w:r w:rsidRPr="00C64ECB">
              <w:rPr>
                <w:lang w:val="en-US"/>
              </w:rPr>
              <w:t>−13 dB(W/MHz)</w:t>
            </w:r>
          </w:p>
        </w:tc>
        <w:tc>
          <w:tcPr>
            <w:tcW w:w="4536" w:type="dxa"/>
          </w:tcPr>
          <w:p w14:paraId="48088255" w14:textId="77777777" w:rsidR="007C0B5A" w:rsidRPr="00C64ECB" w:rsidRDefault="007C0B5A" w:rsidP="00126681">
            <w:pPr>
              <w:pStyle w:val="TAC"/>
              <w:rPr>
                <w:b/>
                <w:bCs/>
              </w:rPr>
            </w:pPr>
            <w:r w:rsidRPr="00C64ECB">
              <w:rPr>
                <w:lang w:val="en-US"/>
              </w:rPr>
              <w:t>0</w:t>
            </w:r>
            <w:r w:rsidRPr="00C64ECB">
              <w:rPr>
                <w:rFonts w:hint="eastAsia"/>
                <w:lang w:val="en-US"/>
              </w:rPr>
              <w:t>°</w:t>
            </w:r>
            <w:r w:rsidRPr="00C64ECB">
              <w:rPr>
                <w:lang w:val="en-US"/>
              </w:rPr>
              <w:t xml:space="preserve"> </w:t>
            </w:r>
            <w:r w:rsidRPr="00C64ECB">
              <w:rPr>
                <w:rFonts w:hint="eastAsia"/>
                <w:lang w:val="en-US"/>
              </w:rPr>
              <w:t>≤</w:t>
            </w:r>
            <w:r w:rsidRPr="00C64ECB">
              <w:rPr>
                <w:lang w:val="en-US"/>
              </w:rPr>
              <w:t xml:space="preserve"> </w:t>
            </w:r>
            <w:r w:rsidRPr="00C64ECB">
              <w:rPr>
                <w:lang w:val="fr-FR"/>
              </w:rPr>
              <w:t>θ</w:t>
            </w:r>
            <w:r w:rsidRPr="00C64ECB">
              <w:rPr>
                <w:lang w:val="en-US"/>
              </w:rPr>
              <w:t xml:space="preserve"> &lt;8°</w:t>
            </w:r>
          </w:p>
        </w:tc>
      </w:tr>
      <w:tr w:rsidR="007C0B5A" w:rsidRPr="00C64ECB" w14:paraId="033DE383" w14:textId="77777777" w:rsidTr="00126681">
        <w:tc>
          <w:tcPr>
            <w:tcW w:w="3260" w:type="dxa"/>
          </w:tcPr>
          <w:p w14:paraId="17459327" w14:textId="77777777" w:rsidR="007C0B5A" w:rsidRPr="00C64ECB" w:rsidRDefault="007C0B5A" w:rsidP="00126681">
            <w:pPr>
              <w:pStyle w:val="TAC"/>
              <w:rPr>
                <w:rFonts w:cs="Arial"/>
                <w:szCs w:val="18"/>
                <w:lang w:val="en-US"/>
              </w:rPr>
            </w:pPr>
            <w:r w:rsidRPr="00C64ECB">
              <w:rPr>
                <w:rFonts w:cs="Arial"/>
                <w:color w:val="000000"/>
                <w:szCs w:val="18"/>
              </w:rPr>
              <w:t>–13 – 0.716(</w:t>
            </w:r>
            <w:r w:rsidRPr="00C64ECB">
              <w:rPr>
                <w:rFonts w:cs="Arial"/>
                <w:color w:val="000000"/>
                <w:szCs w:val="18"/>
              </w:rPr>
              <w:sym w:font="Symbol" w:char="F071"/>
            </w:r>
            <w:r w:rsidRPr="00C64ECB">
              <w:rPr>
                <w:rFonts w:cs="Arial"/>
                <w:color w:val="000000"/>
                <w:szCs w:val="18"/>
              </w:rPr>
              <w:t xml:space="preserve">-8) </w:t>
            </w:r>
            <w:r w:rsidRPr="00C64ECB">
              <w:rPr>
                <w:rFonts w:cs="Arial"/>
                <w:color w:val="000000"/>
                <w:szCs w:val="18"/>
                <w:lang w:val="en-US" w:eastAsia="fr-FR"/>
              </w:rPr>
              <w:t>dB(W/MHz)</w:t>
            </w:r>
          </w:p>
        </w:tc>
        <w:tc>
          <w:tcPr>
            <w:tcW w:w="4536" w:type="dxa"/>
          </w:tcPr>
          <w:p w14:paraId="632AFD22" w14:textId="77777777" w:rsidR="007C0B5A" w:rsidRPr="00C64ECB" w:rsidRDefault="007C0B5A" w:rsidP="00126681">
            <w:pPr>
              <w:pStyle w:val="TAC"/>
              <w:rPr>
                <w:rFonts w:cs="Arial"/>
                <w:szCs w:val="18"/>
                <w:lang w:val="en-US"/>
              </w:rPr>
            </w:pPr>
            <w:r w:rsidRPr="00C64ECB">
              <w:rPr>
                <w:rFonts w:cs="Arial"/>
                <w:color w:val="000000"/>
                <w:szCs w:val="18"/>
                <w:lang w:val="en-US" w:eastAsia="fr-FR"/>
              </w:rPr>
              <w:t xml:space="preserve">8° ≤ </w:t>
            </w:r>
            <w:r w:rsidRPr="00C64ECB">
              <w:rPr>
                <w:rFonts w:cs="Arial"/>
                <w:color w:val="000000"/>
                <w:szCs w:val="18"/>
                <w:lang w:val="fr-FR" w:eastAsia="fr-FR"/>
              </w:rPr>
              <w:t>θ</w:t>
            </w:r>
            <w:r w:rsidRPr="00C64ECB">
              <w:rPr>
                <w:rFonts w:cs="Arial"/>
                <w:color w:val="000000"/>
                <w:szCs w:val="18"/>
                <w:lang w:val="en-US" w:eastAsia="fr-FR"/>
              </w:rPr>
              <w:t xml:space="preserve"> &lt; 40°</w:t>
            </w:r>
          </w:p>
        </w:tc>
      </w:tr>
      <w:tr w:rsidR="007C0B5A" w:rsidRPr="00C64ECB" w14:paraId="1D1AA925" w14:textId="77777777" w:rsidTr="00126681">
        <w:tc>
          <w:tcPr>
            <w:tcW w:w="3260" w:type="dxa"/>
          </w:tcPr>
          <w:p w14:paraId="784DCA1D" w14:textId="77777777" w:rsidR="007C0B5A" w:rsidRPr="00C64ECB" w:rsidRDefault="007C0B5A" w:rsidP="00126681">
            <w:pPr>
              <w:pStyle w:val="TAC"/>
              <w:rPr>
                <w:rFonts w:cs="Arial"/>
                <w:color w:val="000000"/>
                <w:szCs w:val="18"/>
              </w:rPr>
            </w:pPr>
            <w:r w:rsidRPr="00C64ECB">
              <w:rPr>
                <w:rFonts w:cs="Arial"/>
                <w:color w:val="000000"/>
                <w:szCs w:val="18"/>
              </w:rPr>
              <w:t>–35.9 – 1.22(</w:t>
            </w:r>
            <w:r w:rsidRPr="00C64ECB">
              <w:rPr>
                <w:rFonts w:cs="Arial"/>
                <w:color w:val="000000"/>
                <w:szCs w:val="18"/>
              </w:rPr>
              <w:sym w:font="Symbol" w:char="F071"/>
            </w:r>
            <w:r w:rsidRPr="00C64ECB">
              <w:rPr>
                <w:rFonts w:cs="Arial"/>
                <w:color w:val="000000"/>
                <w:szCs w:val="18"/>
              </w:rPr>
              <w:t>-40)</w:t>
            </w:r>
            <w:r w:rsidRPr="00C64ECB">
              <w:rPr>
                <w:rFonts w:cs="Arial"/>
                <w:color w:val="000000"/>
                <w:szCs w:val="18"/>
                <w:lang w:val="en-US" w:eastAsia="fr-FR"/>
              </w:rPr>
              <w:t xml:space="preserve"> dB(W/MHz)</w:t>
            </w:r>
          </w:p>
        </w:tc>
        <w:tc>
          <w:tcPr>
            <w:tcW w:w="4536" w:type="dxa"/>
          </w:tcPr>
          <w:p w14:paraId="5B4FBD36" w14:textId="77777777" w:rsidR="007C0B5A" w:rsidRPr="00C64ECB" w:rsidRDefault="007C0B5A" w:rsidP="00126681">
            <w:pPr>
              <w:pStyle w:val="TAC"/>
              <w:rPr>
                <w:rFonts w:cs="Arial"/>
                <w:color w:val="000000"/>
                <w:szCs w:val="18"/>
                <w:lang w:val="en-US" w:eastAsia="fr-FR"/>
              </w:rPr>
            </w:pPr>
            <w:r w:rsidRPr="00C64ECB">
              <w:rPr>
                <w:rFonts w:cs="Arial"/>
                <w:color w:val="000000"/>
                <w:szCs w:val="18"/>
                <w:lang w:val="en-US" w:eastAsia="fr-FR"/>
              </w:rPr>
              <w:t xml:space="preserve">40° ≤ </w:t>
            </w:r>
            <w:r w:rsidRPr="00C64ECB">
              <w:rPr>
                <w:rFonts w:cs="Arial"/>
                <w:color w:val="000000"/>
                <w:szCs w:val="18"/>
                <w:lang w:val="fr-FR" w:eastAsia="fr-FR"/>
              </w:rPr>
              <w:t>θ</w:t>
            </w:r>
            <w:r w:rsidRPr="00C64ECB">
              <w:rPr>
                <w:rFonts w:cs="Arial"/>
                <w:color w:val="000000"/>
                <w:szCs w:val="18"/>
                <w:lang w:val="en-US" w:eastAsia="fr-FR"/>
              </w:rPr>
              <w:t xml:space="preserve"> &lt; 45°</w:t>
            </w:r>
          </w:p>
        </w:tc>
      </w:tr>
      <w:tr w:rsidR="007C0B5A" w:rsidRPr="00C64ECB" w14:paraId="013A0FA2" w14:textId="77777777" w:rsidTr="00126681">
        <w:tc>
          <w:tcPr>
            <w:tcW w:w="3260" w:type="dxa"/>
          </w:tcPr>
          <w:p w14:paraId="22D7B2D4" w14:textId="77777777" w:rsidR="007C0B5A" w:rsidRPr="00C64ECB" w:rsidRDefault="007C0B5A" w:rsidP="00126681">
            <w:pPr>
              <w:pStyle w:val="TAC"/>
              <w:rPr>
                <w:rFonts w:cs="Arial"/>
                <w:color w:val="000000"/>
                <w:szCs w:val="18"/>
              </w:rPr>
            </w:pPr>
            <w:r w:rsidRPr="00C64ECB">
              <w:rPr>
                <w:rFonts w:cs="Arial"/>
                <w:color w:val="000000"/>
                <w:szCs w:val="18"/>
              </w:rPr>
              <w:t>–42</w:t>
            </w:r>
            <w:r w:rsidRPr="00C64ECB">
              <w:rPr>
                <w:rFonts w:cs="Arial"/>
                <w:color w:val="000000"/>
                <w:szCs w:val="18"/>
                <w:lang w:val="en-US" w:eastAsia="fr-FR"/>
              </w:rPr>
              <w:t xml:space="preserve"> dB(W/MHz)</w:t>
            </w:r>
          </w:p>
        </w:tc>
        <w:tc>
          <w:tcPr>
            <w:tcW w:w="4536" w:type="dxa"/>
          </w:tcPr>
          <w:p w14:paraId="47F4464F" w14:textId="77777777" w:rsidR="007C0B5A" w:rsidRPr="00C64ECB" w:rsidRDefault="007C0B5A" w:rsidP="00126681">
            <w:pPr>
              <w:pStyle w:val="TAC"/>
              <w:rPr>
                <w:rFonts w:cs="Arial"/>
                <w:color w:val="000000"/>
                <w:szCs w:val="18"/>
                <w:lang w:val="en-US" w:eastAsia="fr-FR"/>
              </w:rPr>
            </w:pPr>
            <w:r w:rsidRPr="00C64ECB">
              <w:rPr>
                <w:rFonts w:cs="Arial"/>
                <w:color w:val="000000"/>
                <w:szCs w:val="18"/>
                <w:lang w:val="en-US" w:eastAsia="fr-FR"/>
              </w:rPr>
              <w:t xml:space="preserve">44° ≤ </w:t>
            </w:r>
            <w:r w:rsidRPr="00C64ECB">
              <w:rPr>
                <w:rFonts w:cs="Arial"/>
                <w:color w:val="000000"/>
                <w:szCs w:val="18"/>
                <w:lang w:val="fr-FR" w:eastAsia="fr-FR"/>
              </w:rPr>
              <w:t>θ</w:t>
            </w:r>
          </w:p>
        </w:tc>
      </w:tr>
    </w:tbl>
    <w:p w14:paraId="2B765F8B" w14:textId="77777777" w:rsidR="007C0B5A" w:rsidRPr="00C64ECB" w:rsidRDefault="007C0B5A" w:rsidP="007C0B5A">
      <w:pPr>
        <w:rPr>
          <w:b/>
        </w:rPr>
      </w:pPr>
    </w:p>
    <w:p w14:paraId="773C18FB" w14:textId="77777777" w:rsidR="007C0B5A" w:rsidRPr="00C64ECB" w:rsidRDefault="007C0B5A" w:rsidP="007C0B5A">
      <w:pPr>
        <w:pStyle w:val="Heading4"/>
      </w:pPr>
      <w:bookmarkStart w:id="29" w:name="_Toc531342987"/>
      <w:r w:rsidRPr="00C64ECB">
        <w:lastRenderedPageBreak/>
        <w:t>4.1.2</w:t>
      </w:r>
      <w:r w:rsidRPr="00C64ECB">
        <w:rPr>
          <w:rFonts w:hint="eastAsia"/>
        </w:rPr>
        <w:t>.</w:t>
      </w:r>
      <w:r w:rsidRPr="00C64ECB">
        <w:t>3</w:t>
      </w:r>
      <w:r w:rsidRPr="00C64ECB">
        <w:tab/>
        <w:t>Brazil</w:t>
      </w:r>
      <w:bookmarkEnd w:id="29"/>
    </w:p>
    <w:p w14:paraId="57975772" w14:textId="77777777" w:rsidR="007C0B5A" w:rsidRPr="00C64ECB" w:rsidRDefault="007C0B5A" w:rsidP="007C0B5A">
      <w:r w:rsidRPr="00C64ECB">
        <w:t>In Brazil, nearly all the 5 GHz spectrum is allocated for Restricted Radiation, which means low-power unlicensed bands (i.e. any low-power-device can use it on a secondary basis). The bands 5250-5350 MHz, 5470-5650 MHz, 5650-5725 MHz and 5725-5850 MHz are allowed to RLANs [22]. Bands 5150-5250 MHz and 5250-5350 MHz are restricted to indoor use, and DFS is mandated in the bands 5250-5350 MHz and 5470-5725 MHz.</w:t>
      </w:r>
    </w:p>
    <w:p w14:paraId="64029531" w14:textId="77777777" w:rsidR="007C0B5A" w:rsidRPr="00C64ECB" w:rsidRDefault="007C0B5A" w:rsidP="007C0B5A">
      <w:pPr>
        <w:rPr>
          <w:lang w:val="en-US"/>
        </w:rPr>
      </w:pPr>
      <w:bookmarkStart w:id="30" w:name="OLE_LINK16"/>
      <w:r w:rsidRPr="00C64ECB">
        <w:rPr>
          <w:lang w:val="en-US"/>
        </w:rPr>
        <w:t>The relevant restrictions by band are as follows [23]:</w:t>
      </w:r>
      <w:bookmarkEnd w:id="30"/>
      <w:r w:rsidRPr="00C64ECB">
        <w:rPr>
          <w:lang w:val="en-US"/>
        </w:rPr>
        <w:t xml:space="preserve"> </w:t>
      </w:r>
    </w:p>
    <w:p w14:paraId="52225E67" w14:textId="77777777" w:rsidR="007C0B5A" w:rsidRPr="00C64ECB" w:rsidRDefault="007C0B5A" w:rsidP="007C0B5A">
      <w:pPr>
        <w:pStyle w:val="TH"/>
        <w:rPr>
          <w:lang w:val="en-US"/>
        </w:rPr>
      </w:pPr>
    </w:p>
    <w:tbl>
      <w:tblPr>
        <w:tblW w:w="9671" w:type="dxa"/>
        <w:jc w:val="center"/>
        <w:tblCellMar>
          <w:left w:w="0" w:type="dxa"/>
          <w:right w:w="0" w:type="dxa"/>
        </w:tblCellMar>
        <w:tblLook w:val="04A0" w:firstRow="1" w:lastRow="0" w:firstColumn="1" w:lastColumn="0" w:noHBand="0" w:noVBand="1"/>
      </w:tblPr>
      <w:tblGrid>
        <w:gridCol w:w="1391"/>
        <w:gridCol w:w="1170"/>
        <w:gridCol w:w="1980"/>
        <w:gridCol w:w="5130"/>
      </w:tblGrid>
      <w:tr w:rsidR="007C0B5A" w:rsidRPr="00C64ECB" w14:paraId="5201EF25" w14:textId="77777777" w:rsidTr="001C2E15">
        <w:trPr>
          <w:trHeight w:val="20"/>
          <w:jc w:val="center"/>
        </w:trPr>
        <w:tc>
          <w:tcPr>
            <w:tcW w:w="13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8C7AF3" w14:textId="77777777" w:rsidR="007C0B5A" w:rsidRPr="00C64ECB" w:rsidRDefault="007C0B5A" w:rsidP="001C2E15">
            <w:pPr>
              <w:pStyle w:val="TAH"/>
              <w:rPr>
                <w:lang w:val="en-US"/>
              </w:rPr>
            </w:pPr>
            <w:r w:rsidRPr="00C64ECB">
              <w:rPr>
                <w:lang w:val="en-US"/>
              </w:rPr>
              <w:t>From (MHz)</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755747A" w14:textId="77777777" w:rsidR="007C0B5A" w:rsidRPr="00C64ECB" w:rsidRDefault="007C0B5A" w:rsidP="001C2E15">
            <w:pPr>
              <w:pStyle w:val="TAH"/>
              <w:rPr>
                <w:lang w:val="en-US"/>
              </w:rPr>
            </w:pPr>
            <w:r w:rsidRPr="00C64ECB">
              <w:rPr>
                <w:lang w:val="en-US"/>
              </w:rPr>
              <w:t>To (MHz)</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46228A4" w14:textId="77777777" w:rsidR="007C0B5A" w:rsidRPr="00C64ECB" w:rsidRDefault="007C0B5A" w:rsidP="001C2E15">
            <w:pPr>
              <w:pStyle w:val="TAH"/>
              <w:rPr>
                <w:lang w:val="en-US"/>
              </w:rPr>
            </w:pPr>
            <w:r w:rsidRPr="00C64ECB">
              <w:rPr>
                <w:lang w:val="en-US"/>
              </w:rPr>
              <w:t>Service</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4BDD786" w14:textId="77777777" w:rsidR="007C0B5A" w:rsidRPr="00C64ECB" w:rsidRDefault="007C0B5A" w:rsidP="001C2E15">
            <w:pPr>
              <w:pStyle w:val="TAH"/>
              <w:rPr>
                <w:lang w:val="en-US"/>
              </w:rPr>
            </w:pPr>
            <w:r w:rsidRPr="00C64ECB">
              <w:rPr>
                <w:lang w:val="en-US"/>
              </w:rPr>
              <w:t>Restriction [insert reference]</w:t>
            </w:r>
          </w:p>
        </w:tc>
      </w:tr>
      <w:tr w:rsidR="007C0B5A" w:rsidRPr="00C64ECB" w14:paraId="79067210" w14:textId="77777777" w:rsidTr="001C2E15">
        <w:trPr>
          <w:trHeight w:val="20"/>
          <w:jc w:val="center"/>
        </w:trPr>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403283" w14:textId="77777777" w:rsidR="007C0B5A" w:rsidRPr="00C64ECB" w:rsidRDefault="007C0B5A" w:rsidP="001C2E15">
            <w:pPr>
              <w:pStyle w:val="TAC"/>
              <w:rPr>
                <w:lang w:val="en-US"/>
              </w:rPr>
            </w:pPr>
            <w:r w:rsidRPr="00C64ECB">
              <w:rPr>
                <w:lang w:val="en-US"/>
              </w:rPr>
              <w:t>5150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DE9DC9" w14:textId="77777777" w:rsidR="007C0B5A" w:rsidRPr="00C64ECB" w:rsidRDefault="007C0B5A" w:rsidP="001C2E15">
            <w:pPr>
              <w:pStyle w:val="TAC"/>
              <w:rPr>
                <w:lang w:val="en-US"/>
              </w:rPr>
            </w:pPr>
            <w:r w:rsidRPr="00C64ECB">
              <w:rPr>
                <w:lang w:val="en-US"/>
              </w:rPr>
              <w:t>5350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580BD4" w14:textId="77777777" w:rsidR="007C0B5A" w:rsidRPr="00C64ECB" w:rsidRDefault="007C0B5A" w:rsidP="001C2E15">
            <w:pPr>
              <w:pStyle w:val="TAL"/>
              <w:rPr>
                <w:lang w:val="en-US"/>
              </w:rPr>
            </w:pPr>
            <w:r w:rsidRPr="00C64ECB">
              <w:rPr>
                <w:lang w:val="en-US"/>
              </w:rPr>
              <w:t>Restricted radiation</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CA7565" w14:textId="77777777" w:rsidR="007C0B5A" w:rsidRPr="00C64ECB" w:rsidRDefault="007C0B5A" w:rsidP="001C2E15">
            <w:pPr>
              <w:pStyle w:val="TAL"/>
              <w:rPr>
                <w:lang w:val="en-US"/>
              </w:rPr>
            </w:pPr>
            <w:r w:rsidRPr="00C64ECB">
              <w:rPr>
                <w:lang w:val="en-US"/>
              </w:rPr>
              <w:t>Indoor use only, EIRP limited to 200mW, EIRP spectral power density limited to 10mW/MHz. DFS mandated between 5250-5350MHz.</w:t>
            </w:r>
          </w:p>
        </w:tc>
      </w:tr>
      <w:tr w:rsidR="007C0B5A" w:rsidRPr="00C64ECB" w14:paraId="452C5F6E" w14:textId="77777777" w:rsidTr="001C2E15">
        <w:trPr>
          <w:trHeight w:val="20"/>
          <w:jc w:val="center"/>
        </w:trPr>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52CFDE" w14:textId="77777777" w:rsidR="007C0B5A" w:rsidRPr="00C64ECB" w:rsidRDefault="007C0B5A" w:rsidP="001C2E15">
            <w:pPr>
              <w:pStyle w:val="TAC"/>
              <w:rPr>
                <w:lang w:val="en-US"/>
              </w:rPr>
            </w:pPr>
            <w:r w:rsidRPr="00C64ECB">
              <w:rPr>
                <w:lang w:val="en-US"/>
              </w:rPr>
              <w:t>5350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D3B76" w14:textId="77777777" w:rsidR="007C0B5A" w:rsidRPr="00C64ECB" w:rsidRDefault="007C0B5A" w:rsidP="001C2E15">
            <w:pPr>
              <w:pStyle w:val="TAC"/>
              <w:rPr>
                <w:lang w:val="en-US"/>
              </w:rPr>
            </w:pPr>
            <w:r w:rsidRPr="00C64ECB">
              <w:rPr>
                <w:lang w:val="en-US"/>
              </w:rPr>
              <w:t>5470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DEE01B" w14:textId="77777777" w:rsidR="007C0B5A" w:rsidRPr="00C64ECB" w:rsidRDefault="007C0B5A" w:rsidP="001C2E15">
            <w:pPr>
              <w:pStyle w:val="TAL"/>
              <w:rPr>
                <w:lang w:val="en-US"/>
              </w:rPr>
            </w:pPr>
            <w:r w:rsidRPr="00C64ECB">
              <w:rPr>
                <w:lang w:val="en-US"/>
              </w:rPr>
              <w:t>Unregulated</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48352A" w14:textId="77777777" w:rsidR="007C0B5A" w:rsidRPr="00C64ECB" w:rsidRDefault="007C0B5A" w:rsidP="001C2E15">
            <w:pPr>
              <w:pStyle w:val="TAL"/>
              <w:rPr>
                <w:lang w:val="en-US"/>
              </w:rPr>
            </w:pPr>
            <w:r w:rsidRPr="00C64ECB">
              <w:rPr>
                <w:lang w:val="en-US"/>
              </w:rPr>
              <w:t> </w:t>
            </w:r>
          </w:p>
        </w:tc>
      </w:tr>
      <w:tr w:rsidR="007C0B5A" w:rsidRPr="00C64ECB" w14:paraId="14E1937B" w14:textId="77777777" w:rsidTr="001C2E15">
        <w:trPr>
          <w:trHeight w:val="20"/>
          <w:jc w:val="center"/>
        </w:trPr>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55CA43" w14:textId="77777777" w:rsidR="007C0B5A" w:rsidRPr="00C64ECB" w:rsidRDefault="007C0B5A" w:rsidP="001C2E15">
            <w:pPr>
              <w:pStyle w:val="TAC"/>
              <w:rPr>
                <w:lang w:val="en-US"/>
              </w:rPr>
            </w:pPr>
            <w:r w:rsidRPr="00C64ECB">
              <w:rPr>
                <w:lang w:val="en-US"/>
              </w:rPr>
              <w:t>5470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3D5B3C" w14:textId="77777777" w:rsidR="007C0B5A" w:rsidRPr="00C64ECB" w:rsidRDefault="007C0B5A" w:rsidP="001C2E15">
            <w:pPr>
              <w:pStyle w:val="TAC"/>
              <w:rPr>
                <w:lang w:val="en-US"/>
              </w:rPr>
            </w:pPr>
            <w:r w:rsidRPr="00C64ECB">
              <w:rPr>
                <w:lang w:val="en-US"/>
              </w:rPr>
              <w:t>5650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E1E00C" w14:textId="77777777" w:rsidR="007C0B5A" w:rsidRPr="00C64ECB" w:rsidRDefault="007C0B5A" w:rsidP="001C2E15">
            <w:pPr>
              <w:pStyle w:val="TAL"/>
              <w:rPr>
                <w:lang w:val="en-US"/>
              </w:rPr>
            </w:pPr>
            <w:r w:rsidRPr="00C64ECB">
              <w:rPr>
                <w:lang w:val="en-US"/>
              </w:rPr>
              <w:t>Restricted radiation</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5CD844" w14:textId="77777777" w:rsidR="007C0B5A" w:rsidRPr="00C64ECB" w:rsidRDefault="007C0B5A" w:rsidP="001C2E15">
            <w:pPr>
              <w:pStyle w:val="TAL"/>
              <w:rPr>
                <w:lang w:val="en-US"/>
              </w:rPr>
            </w:pPr>
            <w:r w:rsidRPr="00C64ECB">
              <w:rPr>
                <w:lang w:val="en-US"/>
              </w:rPr>
              <w:t>DFS mandated. Max transmitter output power limited to 250mW, EIRP limited to 1W, EIRP spectral power density limited to 50mW/MHz</w:t>
            </w:r>
          </w:p>
        </w:tc>
      </w:tr>
      <w:tr w:rsidR="007C0B5A" w:rsidRPr="00C64ECB" w14:paraId="3DC0F49F" w14:textId="77777777" w:rsidTr="001C2E15">
        <w:trPr>
          <w:trHeight w:val="20"/>
          <w:jc w:val="center"/>
        </w:trPr>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382F1" w14:textId="77777777" w:rsidR="007C0B5A" w:rsidRPr="00C64ECB" w:rsidRDefault="007C0B5A" w:rsidP="001C2E15">
            <w:pPr>
              <w:pStyle w:val="TAC"/>
              <w:rPr>
                <w:lang w:val="en-US"/>
              </w:rPr>
            </w:pPr>
            <w:r w:rsidRPr="00C64ECB">
              <w:rPr>
                <w:lang w:val="en-US"/>
              </w:rPr>
              <w:t>5650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23264D" w14:textId="77777777" w:rsidR="007C0B5A" w:rsidRPr="00C64ECB" w:rsidRDefault="007C0B5A" w:rsidP="001C2E15">
            <w:pPr>
              <w:pStyle w:val="TAC"/>
              <w:rPr>
                <w:lang w:val="en-US"/>
              </w:rPr>
            </w:pPr>
            <w:r w:rsidRPr="00C64ECB">
              <w:rPr>
                <w:lang w:val="en-US"/>
              </w:rPr>
              <w:t>5725</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812E23" w14:textId="77777777" w:rsidR="007C0B5A" w:rsidRPr="00C64ECB" w:rsidRDefault="007C0B5A" w:rsidP="001C2E15">
            <w:pPr>
              <w:pStyle w:val="TAL"/>
              <w:rPr>
                <w:lang w:val="en-US"/>
              </w:rPr>
            </w:pPr>
            <w:r w:rsidRPr="00C64ECB">
              <w:rPr>
                <w:lang w:val="en-US"/>
              </w:rPr>
              <w:t>Restricted radiation or amateur radio</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D3F092" w14:textId="77777777" w:rsidR="007C0B5A" w:rsidRPr="00C64ECB" w:rsidRDefault="007C0B5A" w:rsidP="001C2E15">
            <w:pPr>
              <w:pStyle w:val="TAL"/>
              <w:rPr>
                <w:lang w:val="en-US"/>
              </w:rPr>
            </w:pPr>
            <w:r w:rsidRPr="00C64ECB">
              <w:rPr>
                <w:lang w:val="en-US"/>
              </w:rPr>
              <w:t>DFS mandated. Max transmitter output power limited to 250mW, EIRP limited to 1W, EIRP spectral power density limited to 50mW/MHz</w:t>
            </w:r>
          </w:p>
        </w:tc>
      </w:tr>
      <w:tr w:rsidR="007C0B5A" w:rsidRPr="00C64ECB" w14:paraId="3F4E9D25" w14:textId="77777777" w:rsidTr="001C2E15">
        <w:trPr>
          <w:trHeight w:val="20"/>
          <w:jc w:val="center"/>
        </w:trPr>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753A99" w14:textId="77777777" w:rsidR="007C0B5A" w:rsidRPr="00C64ECB" w:rsidRDefault="007C0B5A" w:rsidP="001C2E15">
            <w:pPr>
              <w:pStyle w:val="TAC"/>
              <w:rPr>
                <w:lang w:val="en-US"/>
              </w:rPr>
            </w:pPr>
            <w:r w:rsidRPr="00C64ECB">
              <w:rPr>
                <w:lang w:val="en-US"/>
              </w:rPr>
              <w:t>5725</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55DA52" w14:textId="77777777" w:rsidR="007C0B5A" w:rsidRPr="00C64ECB" w:rsidRDefault="007C0B5A" w:rsidP="001C2E15">
            <w:pPr>
              <w:pStyle w:val="TAC"/>
              <w:rPr>
                <w:lang w:val="en-US"/>
              </w:rPr>
            </w:pPr>
            <w:r w:rsidRPr="00C64ECB">
              <w:rPr>
                <w:lang w:val="en-US"/>
              </w:rPr>
              <w:t>5875</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A5545B" w14:textId="77777777" w:rsidR="007C0B5A" w:rsidRPr="00C64ECB" w:rsidRDefault="007C0B5A" w:rsidP="001C2E15">
            <w:pPr>
              <w:pStyle w:val="TAL"/>
              <w:rPr>
                <w:lang w:val="en-US"/>
              </w:rPr>
            </w:pPr>
            <w:r w:rsidRPr="00C64ECB">
              <w:rPr>
                <w:lang w:val="en-US"/>
              </w:rPr>
              <w:t>Restricted radiation (ISM Band)</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A1F55B" w14:textId="77777777" w:rsidR="007C0B5A" w:rsidRPr="00C64ECB" w:rsidRDefault="007C0B5A" w:rsidP="001C2E15">
            <w:pPr>
              <w:pStyle w:val="TAL"/>
              <w:rPr>
                <w:lang w:val="en-US"/>
              </w:rPr>
            </w:pPr>
            <w:r w:rsidRPr="00C64ECB">
              <w:rPr>
                <w:lang w:val="en-US"/>
              </w:rPr>
              <w:t>Max transmitter output power limited to 1W, max EIRP EMF density of 50,000 microvolt per meter (measured at 3 meter distance)</w:t>
            </w:r>
          </w:p>
        </w:tc>
      </w:tr>
    </w:tbl>
    <w:p w14:paraId="45EF5C4C" w14:textId="77777777" w:rsidR="007C0B5A" w:rsidRPr="00C64ECB" w:rsidRDefault="007C0B5A" w:rsidP="001C2E15">
      <w:pPr>
        <w:pStyle w:val="FP"/>
        <w:rPr>
          <w:lang w:val="en-US"/>
        </w:rPr>
      </w:pPr>
    </w:p>
    <w:p w14:paraId="0AB4B0DF" w14:textId="77777777" w:rsidR="007C0B5A" w:rsidRPr="00C64ECB" w:rsidRDefault="007C0B5A" w:rsidP="007C0B5A">
      <w:pPr>
        <w:pStyle w:val="NO"/>
        <w:rPr>
          <w:lang w:val="en-US"/>
        </w:rPr>
      </w:pPr>
      <w:r w:rsidRPr="00C64ECB">
        <w:rPr>
          <w:lang w:val="en-US"/>
        </w:rPr>
        <w:t>NOTE:</w:t>
      </w:r>
      <w:r w:rsidRPr="00C64ECB">
        <w:rPr>
          <w:lang w:val="en-US"/>
        </w:rPr>
        <w:tab/>
        <w:t>Note that the 5350-5470MHz band is not regulated.</w:t>
      </w:r>
    </w:p>
    <w:p w14:paraId="50F205A5" w14:textId="77777777" w:rsidR="007C0B5A" w:rsidRPr="00C64ECB" w:rsidRDefault="007C0B5A" w:rsidP="007C0B5A">
      <w:pPr>
        <w:pStyle w:val="Heading4"/>
      </w:pPr>
      <w:bookmarkStart w:id="31" w:name="_Toc531342988"/>
      <w:r w:rsidRPr="00C64ECB">
        <w:t>4.1.2</w:t>
      </w:r>
      <w:r w:rsidRPr="00C64ECB">
        <w:rPr>
          <w:rFonts w:hint="eastAsia"/>
        </w:rPr>
        <w:t>.</w:t>
      </w:r>
      <w:r w:rsidRPr="00C64ECB">
        <w:t>4</w:t>
      </w:r>
      <w:r w:rsidRPr="00C64ECB">
        <w:tab/>
        <w:t>Mexico</w:t>
      </w:r>
      <w:bookmarkEnd w:id="31"/>
    </w:p>
    <w:p w14:paraId="6FCF7257" w14:textId="77777777" w:rsidR="007C0B5A" w:rsidRPr="00C64ECB" w:rsidRDefault="007C0B5A" w:rsidP="007C0B5A">
      <w:r w:rsidRPr="00C64ECB">
        <w:t>In Mexico, the bands 5150-5250 MHz, 5250-5350 MHz, 5470-5600 MHz, 5650-5725 MHz and 5725-5875 MHz are open to RLANs [22].</w:t>
      </w:r>
    </w:p>
    <w:p w14:paraId="046266ED" w14:textId="77777777" w:rsidR="007C0B5A" w:rsidRPr="00C64ECB" w:rsidRDefault="007C0B5A" w:rsidP="007C0B5A">
      <w:pPr>
        <w:pStyle w:val="Heading3"/>
      </w:pPr>
      <w:bookmarkStart w:id="32" w:name="_Toc531342989"/>
      <w:r w:rsidRPr="00C64ECB">
        <w:t>4.1.3</w:t>
      </w:r>
      <w:r w:rsidRPr="00C64ECB">
        <w:tab/>
        <w:t xml:space="preserve">ITU </w:t>
      </w:r>
      <w:r w:rsidRPr="00C64ECB">
        <w:rPr>
          <w:rFonts w:hint="eastAsia"/>
        </w:rPr>
        <w:t xml:space="preserve">Region </w:t>
      </w:r>
      <w:r w:rsidRPr="00C64ECB">
        <w:t>3</w:t>
      </w:r>
      <w:bookmarkEnd w:id="32"/>
    </w:p>
    <w:p w14:paraId="4E133431" w14:textId="77777777" w:rsidR="007C0B5A" w:rsidRPr="00C64ECB" w:rsidRDefault="007C0B5A" w:rsidP="007C0B5A">
      <w:pPr>
        <w:pStyle w:val="Heading4"/>
      </w:pPr>
      <w:bookmarkStart w:id="33" w:name="_Toc531342990"/>
      <w:r w:rsidRPr="00C64ECB">
        <w:t>4.1.3</w:t>
      </w:r>
      <w:r w:rsidRPr="00C64ECB">
        <w:rPr>
          <w:rFonts w:hint="eastAsia"/>
        </w:rPr>
        <w:t>.1</w:t>
      </w:r>
      <w:r w:rsidRPr="00C64ECB">
        <w:tab/>
        <w:t>China</w:t>
      </w:r>
      <w:bookmarkEnd w:id="33"/>
    </w:p>
    <w:p w14:paraId="51C60814" w14:textId="77777777" w:rsidR="007C0B5A" w:rsidRPr="00C64ECB" w:rsidRDefault="007C0B5A" w:rsidP="007C0B5A">
      <w:r w:rsidRPr="00C64ECB">
        <w:t>The 5150-5350 MHz frequency band is open to unlicensed WAS/RLANs indoor deployment in China. Furthermore, mandatory DFS / TPC (no less than 6 dB) or DFS only with a 3 dB backoff of the max mean EIRP</w:t>
      </w:r>
      <w:r w:rsidRPr="00C64ECB">
        <w:rPr>
          <w:rFonts w:hint="eastAsia"/>
        </w:rPr>
        <w:t>, Power spectrum density and max emission</w:t>
      </w:r>
      <w:r w:rsidRPr="00C64ECB">
        <w:t xml:space="preserve"> is required for 5250-5350 MHz.</w:t>
      </w:r>
    </w:p>
    <w:p w14:paraId="3530BDA9" w14:textId="77777777" w:rsidR="007C0B5A" w:rsidRPr="00C64ECB" w:rsidRDefault="007C0B5A" w:rsidP="007C0B5A">
      <w:pPr>
        <w:rPr>
          <w:lang w:eastAsia="zh-CN"/>
        </w:rPr>
      </w:pPr>
      <w:r w:rsidRPr="00C64ECB">
        <w:rPr>
          <w:lang w:eastAsia="zh-CN"/>
        </w:rPr>
        <w:t>The key regulatory restrictions include:</w:t>
      </w:r>
    </w:p>
    <w:p w14:paraId="29E8C06E" w14:textId="77777777" w:rsidR="007C0B5A" w:rsidRPr="00C64ECB" w:rsidRDefault="007C0B5A" w:rsidP="007C0B5A">
      <w:pPr>
        <w:pStyle w:val="B1"/>
      </w:pPr>
      <w:r w:rsidRPr="00C64ECB">
        <w:t>-</w:t>
      </w:r>
      <w:r w:rsidRPr="00C64ECB">
        <w:tab/>
        <w:t>EIRP: ≤200mW</w:t>
      </w:r>
    </w:p>
    <w:p w14:paraId="612B131A" w14:textId="77777777" w:rsidR="007C0B5A" w:rsidRPr="00C64ECB" w:rsidRDefault="007C0B5A" w:rsidP="007C0B5A">
      <w:pPr>
        <w:pStyle w:val="B1"/>
      </w:pPr>
      <w:r w:rsidRPr="00C64ECB">
        <w:t>-</w:t>
      </w:r>
      <w:r w:rsidRPr="00C64ECB">
        <w:tab/>
        <w:t>Power Spectrum Density: ≤10dBm/MHz</w:t>
      </w:r>
      <w:r w:rsidRPr="00C64ECB">
        <w:rPr>
          <w:rFonts w:eastAsia="Times New Roman"/>
        </w:rPr>
        <w:t xml:space="preserve"> (EIPR)</w:t>
      </w:r>
    </w:p>
    <w:p w14:paraId="4C88AFCD" w14:textId="77777777" w:rsidR="007C0B5A" w:rsidRPr="00C64ECB" w:rsidRDefault="007C0B5A" w:rsidP="007C0B5A">
      <w:pPr>
        <w:pStyle w:val="B1"/>
      </w:pPr>
      <w:r w:rsidRPr="00C64ECB">
        <w:rPr>
          <w:rFonts w:eastAsia="Times New Roman"/>
        </w:rPr>
        <w:t>-</w:t>
      </w:r>
      <w:r w:rsidRPr="00C64ECB">
        <w:rPr>
          <w:rFonts w:eastAsia="Times New Roman"/>
        </w:rPr>
        <w:tab/>
        <w:t>Max</w:t>
      </w:r>
      <w:r w:rsidRPr="00C64ECB">
        <w:t xml:space="preserve"> Emission</w:t>
      </w:r>
      <w:r w:rsidRPr="00C64ECB">
        <w:rPr>
          <w:rFonts w:eastAsia="Times New Roman"/>
        </w:rPr>
        <w:t xml:space="preserve"> at edges of the used frequency</w:t>
      </w:r>
      <w:r w:rsidRPr="00C64ECB">
        <w:t>:  ≤-80dBm/Hz (EIRP)</w:t>
      </w:r>
    </w:p>
    <w:p w14:paraId="32CD1FC5" w14:textId="77777777" w:rsidR="007C0B5A" w:rsidRPr="00C64ECB" w:rsidRDefault="007C0B5A" w:rsidP="007C0B5A">
      <w:pPr>
        <w:pStyle w:val="B1"/>
      </w:pPr>
      <w:r w:rsidRPr="00C64ECB">
        <w:rPr>
          <w:rFonts w:eastAsia="Times New Roman"/>
        </w:rPr>
        <w:t>-</w:t>
      </w:r>
      <w:r w:rsidRPr="00C64ECB">
        <w:rPr>
          <w:rFonts w:eastAsia="Times New Roman"/>
        </w:rPr>
        <w:tab/>
        <w:t>Spurious Emission (corresponding to frequency range outside 2.5*carrier bandwidth )</w:t>
      </w:r>
    </w:p>
    <w:p w14:paraId="0248894F" w14:textId="77777777" w:rsidR="007C0B5A" w:rsidRPr="00C64ECB" w:rsidRDefault="007C0B5A" w:rsidP="007C0B5A">
      <w:pPr>
        <w:pStyle w:val="B2"/>
      </w:pPr>
      <w:r w:rsidRPr="00C64ECB">
        <w:t>-</w:t>
      </w:r>
      <w:r w:rsidRPr="00C64ECB">
        <w:tab/>
        <w:t>30-1000MHz: -36dBm/100kHz</w:t>
      </w:r>
    </w:p>
    <w:p w14:paraId="33C84CC7" w14:textId="77777777" w:rsidR="007C0B5A" w:rsidRPr="00C64ECB" w:rsidRDefault="007C0B5A" w:rsidP="007C0B5A">
      <w:pPr>
        <w:pStyle w:val="B2"/>
      </w:pPr>
      <w:r w:rsidRPr="00C64ECB">
        <w:t>-</w:t>
      </w:r>
      <w:r w:rsidRPr="00C64ECB">
        <w:tab/>
        <w:t>48.5-72.5MHz, 76-118MHz, 167-223MHz, 470-798MHz: -54dBm/100kHz</w:t>
      </w:r>
    </w:p>
    <w:p w14:paraId="2636472A" w14:textId="77777777" w:rsidR="007C0B5A" w:rsidRPr="00C64ECB" w:rsidRDefault="007C0B5A" w:rsidP="007C0B5A">
      <w:pPr>
        <w:pStyle w:val="B2"/>
      </w:pPr>
      <w:r w:rsidRPr="00C64ECB">
        <w:t>-</w:t>
      </w:r>
      <w:r w:rsidRPr="00C64ECB">
        <w:tab/>
        <w:t>2400-2483.5MHz: -40dBm/1MHz</w:t>
      </w:r>
    </w:p>
    <w:p w14:paraId="0B54CAB6" w14:textId="77777777" w:rsidR="007C0B5A" w:rsidRPr="00C64ECB" w:rsidRDefault="007C0B5A" w:rsidP="007C0B5A">
      <w:pPr>
        <w:pStyle w:val="B2"/>
      </w:pPr>
      <w:r w:rsidRPr="00C64ECB">
        <w:t>-</w:t>
      </w:r>
      <w:r w:rsidRPr="00C64ECB">
        <w:tab/>
        <w:t>5150-5350MHz: -33dBm/100kHz</w:t>
      </w:r>
    </w:p>
    <w:p w14:paraId="4EF16149" w14:textId="77777777" w:rsidR="007C0B5A" w:rsidRPr="00C64ECB" w:rsidRDefault="007C0B5A" w:rsidP="007C0B5A">
      <w:pPr>
        <w:pStyle w:val="B2"/>
      </w:pPr>
      <w:r w:rsidRPr="00C64ECB">
        <w:t>-</w:t>
      </w:r>
      <w:r w:rsidRPr="00C64ECB">
        <w:tab/>
        <w:t>5470-5850MHz: -40dBm/1MHz</w:t>
      </w:r>
    </w:p>
    <w:p w14:paraId="1D2E1E10" w14:textId="77777777" w:rsidR="007C0B5A" w:rsidRPr="00C64ECB" w:rsidRDefault="007C0B5A" w:rsidP="007C0B5A">
      <w:pPr>
        <w:pStyle w:val="B2"/>
      </w:pPr>
      <w:r w:rsidRPr="00C64ECB">
        <w:t>-</w:t>
      </w:r>
      <w:r w:rsidRPr="00C64ECB">
        <w:tab/>
        <w:t>Other frequency in 1-40GHz: -30dBm/1MHz</w:t>
      </w:r>
    </w:p>
    <w:p w14:paraId="0D441EE9" w14:textId="77777777" w:rsidR="007C0B5A" w:rsidRPr="00C64ECB" w:rsidRDefault="007C0B5A" w:rsidP="007C0B5A">
      <w:r w:rsidRPr="00C64ECB">
        <w:rPr>
          <w:lang w:eastAsia="zh-CN"/>
        </w:rPr>
        <w:t xml:space="preserve">The </w:t>
      </w:r>
      <w:r w:rsidRPr="00C64ECB">
        <w:t>5725-5850 MHz</w:t>
      </w:r>
      <w:r w:rsidRPr="00C64ECB">
        <w:rPr>
          <w:lang w:eastAsia="zh-CN"/>
        </w:rPr>
        <w:t xml:space="preserve"> frequency band was assigned as</w:t>
      </w:r>
      <w:r w:rsidRPr="00C64ECB">
        <w:t xml:space="preserve"> light licensed in 2009, shared among operators</w:t>
      </w:r>
      <w:r w:rsidRPr="00C64ECB">
        <w:rPr>
          <w:lang w:eastAsia="zh-CN"/>
        </w:rPr>
        <w:t xml:space="preserve"> and traffic control bureau</w:t>
      </w:r>
      <w:r w:rsidRPr="00C64ECB">
        <w:t xml:space="preserve">, open for </w:t>
      </w:r>
      <w:r w:rsidRPr="00C64ECB">
        <w:rPr>
          <w:lang w:eastAsia="zh-CN"/>
        </w:rPr>
        <w:t xml:space="preserve">both </w:t>
      </w:r>
      <w:r w:rsidRPr="00C64ECB">
        <w:t>WAS</w:t>
      </w:r>
      <w:r w:rsidRPr="00C64ECB">
        <w:rPr>
          <w:lang w:eastAsia="zh-CN"/>
        </w:rPr>
        <w:t xml:space="preserve"> (wireless access system)</w:t>
      </w:r>
      <w:r w:rsidRPr="00C64ECB">
        <w:t xml:space="preserve"> and RLA</w:t>
      </w:r>
      <w:r w:rsidRPr="00C64ECB">
        <w:rPr>
          <w:lang w:eastAsia="zh-CN"/>
        </w:rPr>
        <w:t>N, for both indoor and outdoor deployment in China. The key regulatory restrictions as below:</w:t>
      </w:r>
    </w:p>
    <w:p w14:paraId="096294FC" w14:textId="77777777" w:rsidR="007C0B5A" w:rsidRPr="00C64ECB" w:rsidRDefault="007C0B5A" w:rsidP="007C0B5A">
      <w:pPr>
        <w:pStyle w:val="B1"/>
      </w:pPr>
      <w:r w:rsidRPr="00C64ECB">
        <w:lastRenderedPageBreak/>
        <w:t>-</w:t>
      </w:r>
      <w:r w:rsidRPr="00C64ECB">
        <w:tab/>
        <w:t>Transmit Power:</w:t>
      </w:r>
      <w:r w:rsidRPr="00C64ECB">
        <w:rPr>
          <w:lang w:eastAsia="zh-CN"/>
        </w:rPr>
        <w:t xml:space="preserve"> </w:t>
      </w:r>
      <w:r w:rsidRPr="00C64ECB">
        <w:t>≤500mW</w:t>
      </w:r>
      <w:r w:rsidRPr="00C64ECB">
        <w:rPr>
          <w:lang w:eastAsia="zh-CN"/>
        </w:rPr>
        <w:t xml:space="preserve"> and </w:t>
      </w:r>
      <w:r w:rsidRPr="00C64ECB">
        <w:t>≤27dBm</w:t>
      </w:r>
      <w:r w:rsidRPr="00C64ECB">
        <w:rPr>
          <w:lang w:eastAsia="zh-CN"/>
        </w:rPr>
        <w:t xml:space="preserve">; </w:t>
      </w:r>
      <w:r w:rsidRPr="00C64ECB">
        <w:t xml:space="preserve"> </w:t>
      </w:r>
    </w:p>
    <w:p w14:paraId="25FA2DD6" w14:textId="77777777" w:rsidR="007C0B5A" w:rsidRPr="00C64ECB" w:rsidRDefault="007C0B5A" w:rsidP="007C0B5A">
      <w:pPr>
        <w:pStyle w:val="B1"/>
      </w:pPr>
      <w:r w:rsidRPr="00C64ECB">
        <w:rPr>
          <w:lang w:eastAsia="zh-CN"/>
        </w:rPr>
        <w:t>-</w:t>
      </w:r>
      <w:r w:rsidRPr="00C64ECB">
        <w:rPr>
          <w:lang w:eastAsia="zh-CN"/>
        </w:rPr>
        <w:tab/>
        <w:t xml:space="preserve">EIRP: </w:t>
      </w:r>
      <w:r w:rsidRPr="00C64ECB">
        <w:t>≤2W</w:t>
      </w:r>
      <w:r w:rsidRPr="00C64ECB">
        <w:rPr>
          <w:rFonts w:eastAsia="Times New Roman"/>
          <w:lang w:eastAsia="zh-CN"/>
        </w:rPr>
        <w:t xml:space="preserve"> </w:t>
      </w:r>
      <w:r w:rsidRPr="00C64ECB">
        <w:rPr>
          <w:lang w:eastAsia="zh-CN"/>
        </w:rPr>
        <w:t>and</w:t>
      </w:r>
      <w:r w:rsidRPr="00C64ECB">
        <w:rPr>
          <w:rFonts w:eastAsia="Times New Roman"/>
          <w:lang w:eastAsia="zh-CN"/>
        </w:rPr>
        <w:t xml:space="preserve"> </w:t>
      </w:r>
      <w:r w:rsidRPr="00C64ECB">
        <w:rPr>
          <w:lang w:eastAsia="zh-CN"/>
        </w:rPr>
        <w:t xml:space="preserve"> </w:t>
      </w:r>
      <w:r w:rsidRPr="00C64ECB">
        <w:t>≤33dBm</w:t>
      </w:r>
    </w:p>
    <w:p w14:paraId="09BD3D9E" w14:textId="77777777" w:rsidR="007C0B5A" w:rsidRPr="00C64ECB" w:rsidRDefault="007C0B5A" w:rsidP="007C0B5A">
      <w:pPr>
        <w:pStyle w:val="B1"/>
      </w:pPr>
      <w:r w:rsidRPr="00C64ECB">
        <w:t>-</w:t>
      </w:r>
      <w:r w:rsidRPr="00C64ECB">
        <w:tab/>
        <w:t>Power Spectrum Density:</w:t>
      </w:r>
      <w:r w:rsidRPr="00C64ECB">
        <w:rPr>
          <w:lang w:eastAsia="zh-CN"/>
        </w:rPr>
        <w:t xml:space="preserve"> </w:t>
      </w:r>
      <w:r w:rsidRPr="00C64ECB">
        <w:t>≤13dBm/MHz</w:t>
      </w:r>
      <w:r w:rsidRPr="00C64ECB">
        <w:rPr>
          <w:lang w:eastAsia="zh-CN"/>
        </w:rPr>
        <w:t xml:space="preserve"> and </w:t>
      </w:r>
      <w:r w:rsidRPr="00C64ECB">
        <w:t>≤19dBm/MHz(EIRP)</w:t>
      </w:r>
    </w:p>
    <w:p w14:paraId="3BF185D4" w14:textId="77777777" w:rsidR="007C0B5A" w:rsidRPr="00C64ECB" w:rsidRDefault="007C0B5A" w:rsidP="007C0B5A">
      <w:pPr>
        <w:pStyle w:val="B1"/>
      </w:pPr>
      <w:r w:rsidRPr="00C64ECB">
        <w:t>-</w:t>
      </w:r>
      <w:r w:rsidRPr="00C64ECB">
        <w:tab/>
        <w:t>Out of Band Emission:</w:t>
      </w:r>
      <w:r w:rsidRPr="00C64ECB">
        <w:rPr>
          <w:lang w:eastAsia="zh-CN"/>
        </w:rPr>
        <w:t xml:space="preserve"> </w:t>
      </w:r>
      <w:r w:rsidRPr="00C64ECB">
        <w:t> ≤-80dBm/Hz(≤5725MHz and ≥5850MHz)</w:t>
      </w:r>
    </w:p>
    <w:p w14:paraId="3BA7EF08" w14:textId="77777777" w:rsidR="007C0B5A" w:rsidRPr="00C64ECB" w:rsidRDefault="007C0B5A" w:rsidP="007C0B5A">
      <w:pPr>
        <w:pStyle w:val="B1"/>
      </w:pPr>
      <w:r w:rsidRPr="00C64ECB">
        <w:rPr>
          <w:rFonts w:eastAsia="Times New Roman"/>
          <w:lang w:eastAsia="zh-CN"/>
        </w:rPr>
        <w:t>-</w:t>
      </w:r>
      <w:r w:rsidRPr="00C64ECB">
        <w:rPr>
          <w:rFonts w:eastAsia="Times New Roman"/>
          <w:lang w:eastAsia="zh-CN"/>
        </w:rPr>
        <w:tab/>
        <w:t>Spurious emission</w:t>
      </w:r>
    </w:p>
    <w:p w14:paraId="3489D7A7" w14:textId="77777777" w:rsidR="007C0B5A" w:rsidRPr="00C64ECB" w:rsidRDefault="007C0B5A" w:rsidP="007C0B5A">
      <w:pPr>
        <w:pStyle w:val="B2"/>
      </w:pPr>
      <w:r w:rsidRPr="00C64ECB">
        <w:t>-</w:t>
      </w:r>
      <w:r w:rsidRPr="00C64ECB">
        <w:tab/>
        <w:t>30-1000MHz: ≤-36dBm/100kHz</w:t>
      </w:r>
    </w:p>
    <w:p w14:paraId="27230207" w14:textId="77777777" w:rsidR="007C0B5A" w:rsidRPr="00C64ECB" w:rsidRDefault="007C0B5A" w:rsidP="007C0B5A">
      <w:pPr>
        <w:pStyle w:val="B2"/>
      </w:pPr>
      <w:r w:rsidRPr="00C64ECB">
        <w:t>-</w:t>
      </w:r>
      <w:r w:rsidRPr="00C64ECB">
        <w:tab/>
        <w:t>2400-2483.5MHz: ≤-40dBm/1MHz</w:t>
      </w:r>
    </w:p>
    <w:p w14:paraId="051190A7" w14:textId="77777777" w:rsidR="007C0B5A" w:rsidRPr="00C64ECB" w:rsidRDefault="007C0B5A" w:rsidP="007C0B5A">
      <w:pPr>
        <w:pStyle w:val="B2"/>
      </w:pPr>
      <w:r w:rsidRPr="00C64ECB">
        <w:t>-</w:t>
      </w:r>
      <w:r w:rsidRPr="00C64ECB">
        <w:tab/>
        <w:t>3400-3530MHz: ≤-40dBm/1MHz</w:t>
      </w:r>
    </w:p>
    <w:p w14:paraId="0DE6FC6F" w14:textId="77777777" w:rsidR="007C0B5A" w:rsidRPr="00C64ECB" w:rsidRDefault="007C0B5A" w:rsidP="007C0B5A">
      <w:pPr>
        <w:pStyle w:val="B2"/>
      </w:pPr>
      <w:r w:rsidRPr="00C64ECB">
        <w:t>-</w:t>
      </w:r>
      <w:r w:rsidRPr="00C64ECB">
        <w:tab/>
        <w:t>5725-5850MHz: ≤-33dBm/100kHz</w:t>
      </w:r>
    </w:p>
    <w:p w14:paraId="716EF6C7" w14:textId="77777777" w:rsidR="007C0B5A" w:rsidRPr="00C64ECB" w:rsidRDefault="007C0B5A" w:rsidP="007C0B5A">
      <w:pPr>
        <w:pStyle w:val="B2"/>
      </w:pPr>
      <w:r w:rsidRPr="00C64ECB">
        <w:t>-</w:t>
      </w:r>
      <w:r w:rsidRPr="00C64ECB">
        <w:tab/>
        <w:t>corresponding to frequency range outside 2.5*carrier bandwidth</w:t>
      </w:r>
    </w:p>
    <w:p w14:paraId="48FE22EF" w14:textId="77777777" w:rsidR="007C0B5A" w:rsidRPr="00C64ECB" w:rsidRDefault="007C0B5A" w:rsidP="007C0B5A">
      <w:pPr>
        <w:pStyle w:val="B2"/>
      </w:pPr>
      <w:r w:rsidRPr="00C64ECB">
        <w:t>-</w:t>
      </w:r>
      <w:r w:rsidRPr="00C64ECB">
        <w:tab/>
        <w:t>Other frequency in 1-40 GHz: -30dBm/1MHz</w:t>
      </w:r>
    </w:p>
    <w:p w14:paraId="588F015D" w14:textId="77777777" w:rsidR="007C0B5A" w:rsidRPr="00C64ECB" w:rsidRDefault="007C0B5A" w:rsidP="007C0B5A">
      <w:r w:rsidRPr="00C64ECB">
        <w:rPr>
          <w:rFonts w:hint="eastAsia"/>
        </w:rPr>
        <w:t xml:space="preserve">In the end of 2014, the regulation requirements of this band were adjusted from light license to fully </w:t>
      </w:r>
      <w:r w:rsidRPr="00C64ECB">
        <w:t>unlicensed</w:t>
      </w:r>
      <w:r w:rsidRPr="00C64ECB">
        <w:rPr>
          <w:rFonts w:hint="eastAsia"/>
        </w:rPr>
        <w:t xml:space="preserve">. </w:t>
      </w:r>
      <w:r w:rsidRPr="00C64ECB">
        <w:t>M</w:t>
      </w:r>
      <w:r w:rsidRPr="00C64ECB">
        <w:rPr>
          <w:rFonts w:hint="eastAsia"/>
        </w:rPr>
        <w:t xml:space="preserve">eanwhile, some </w:t>
      </w:r>
      <w:r w:rsidRPr="00C64ECB">
        <w:t>restrictions</w:t>
      </w:r>
      <w:r w:rsidRPr="00C64ECB">
        <w:rPr>
          <w:rFonts w:hint="eastAsia"/>
        </w:rPr>
        <w:t xml:space="preserve"> for equipment were proposed to be updated such as spurious emission etc., which was publicly inquired on the website of ministry of industry and information technology of China without formal issued so far. </w:t>
      </w:r>
      <w:r w:rsidRPr="00C64ECB">
        <w:t>T</w:t>
      </w:r>
      <w:r w:rsidRPr="00C64ECB">
        <w:rPr>
          <w:rFonts w:hint="eastAsia"/>
        </w:rPr>
        <w:t>he proposed key regulation restrictions update in 5725-5850MHz can be found in the table below.</w:t>
      </w:r>
    </w:p>
    <w:p w14:paraId="01344520" w14:textId="77777777" w:rsidR="007C0B5A" w:rsidRPr="00C64ECB" w:rsidRDefault="007C0B5A" w:rsidP="007C0B5A">
      <w:pPr>
        <w:pStyle w:val="TH"/>
        <w:spacing w:afterLines="50" w:after="120"/>
      </w:pPr>
      <w:r w:rsidRPr="00C64ECB">
        <w:t xml:space="preserve">Table </w:t>
      </w:r>
      <w:r w:rsidRPr="00C64ECB">
        <w:rPr>
          <w:rFonts w:hint="eastAsia"/>
        </w:rPr>
        <w:t>4.</w:t>
      </w:r>
      <w:r w:rsidR="000D7B67" w:rsidRPr="00C64ECB">
        <w:t>1.</w:t>
      </w:r>
      <w:r w:rsidRPr="00C64ECB">
        <w:rPr>
          <w:rFonts w:hint="eastAsia"/>
        </w:rPr>
        <w:t>3.1-1 Proposed key regulatory restrictions update in 5725-5850MHz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C0B5A" w:rsidRPr="00C64ECB" w14:paraId="2E928AB7" w14:textId="77777777" w:rsidTr="00126681">
        <w:trPr>
          <w:jc w:val="center"/>
        </w:trPr>
        <w:tc>
          <w:tcPr>
            <w:tcW w:w="4261" w:type="dxa"/>
            <w:shd w:val="clear" w:color="auto" w:fill="4F81BD"/>
          </w:tcPr>
          <w:p w14:paraId="4D4C8529" w14:textId="77777777" w:rsidR="007C0B5A" w:rsidRPr="00C64ECB" w:rsidRDefault="007C0B5A" w:rsidP="00126681">
            <w:pPr>
              <w:pStyle w:val="TAH"/>
            </w:pPr>
            <w:bookmarkStart w:id="34" w:name="_Hlk409102289"/>
            <w:r w:rsidRPr="00C64ECB">
              <w:t>Parameter</w:t>
            </w:r>
          </w:p>
        </w:tc>
        <w:tc>
          <w:tcPr>
            <w:tcW w:w="4261" w:type="dxa"/>
            <w:shd w:val="clear" w:color="auto" w:fill="4F81BD"/>
          </w:tcPr>
          <w:p w14:paraId="0B9D5A01" w14:textId="77777777" w:rsidR="007C0B5A" w:rsidRPr="00C64ECB" w:rsidRDefault="007C0B5A" w:rsidP="00126681">
            <w:pPr>
              <w:pStyle w:val="TAH"/>
            </w:pPr>
            <w:r w:rsidRPr="00C64ECB">
              <w:t>Requirement</w:t>
            </w:r>
          </w:p>
        </w:tc>
      </w:tr>
      <w:bookmarkEnd w:id="34"/>
      <w:tr w:rsidR="007C0B5A" w:rsidRPr="00C64ECB" w14:paraId="472F5BB1" w14:textId="77777777" w:rsidTr="00126681">
        <w:trPr>
          <w:jc w:val="center"/>
        </w:trPr>
        <w:tc>
          <w:tcPr>
            <w:tcW w:w="4261" w:type="dxa"/>
          </w:tcPr>
          <w:p w14:paraId="46E06AB8" w14:textId="77777777" w:rsidR="007C0B5A" w:rsidRPr="00C64ECB" w:rsidRDefault="007C0B5A" w:rsidP="00126681">
            <w:pPr>
              <w:pStyle w:val="TAL"/>
            </w:pPr>
            <w:r w:rsidRPr="00C64ECB">
              <w:t>EIRP</w:t>
            </w:r>
          </w:p>
        </w:tc>
        <w:tc>
          <w:tcPr>
            <w:tcW w:w="4261" w:type="dxa"/>
          </w:tcPr>
          <w:p w14:paraId="2A6ADF53" w14:textId="77777777" w:rsidR="007C0B5A" w:rsidRPr="00C64ECB" w:rsidRDefault="007C0B5A" w:rsidP="00126681">
            <w:pPr>
              <w:pStyle w:val="TAL"/>
            </w:pPr>
            <w:r w:rsidRPr="00C64ECB">
              <w:t>≤25mW for Micro power(short range) station</w:t>
            </w:r>
          </w:p>
          <w:p w14:paraId="61063BC2" w14:textId="77777777" w:rsidR="007C0B5A" w:rsidRPr="00C64ECB" w:rsidRDefault="007C0B5A" w:rsidP="00126681">
            <w:pPr>
              <w:pStyle w:val="TAL"/>
            </w:pPr>
            <w:r w:rsidRPr="00C64ECB">
              <w:t>≤2W for others</w:t>
            </w:r>
          </w:p>
        </w:tc>
      </w:tr>
      <w:tr w:rsidR="007C0B5A" w:rsidRPr="00C64ECB" w14:paraId="59B1DD58" w14:textId="77777777" w:rsidTr="00126681">
        <w:trPr>
          <w:jc w:val="center"/>
        </w:trPr>
        <w:tc>
          <w:tcPr>
            <w:tcW w:w="4261" w:type="dxa"/>
          </w:tcPr>
          <w:p w14:paraId="7EDD6373" w14:textId="77777777" w:rsidR="007C0B5A" w:rsidRPr="00C64ECB" w:rsidRDefault="007C0B5A" w:rsidP="00126681">
            <w:pPr>
              <w:pStyle w:val="TAL"/>
            </w:pPr>
            <w:r w:rsidRPr="00C64ECB">
              <w:t>Power Spectrum Density(EIRP)</w:t>
            </w:r>
          </w:p>
        </w:tc>
        <w:tc>
          <w:tcPr>
            <w:tcW w:w="4261" w:type="dxa"/>
          </w:tcPr>
          <w:p w14:paraId="0E3D1DEE" w14:textId="77777777" w:rsidR="007C0B5A" w:rsidRPr="00C64ECB" w:rsidRDefault="007C0B5A" w:rsidP="00126681">
            <w:pPr>
              <w:pStyle w:val="TAL"/>
            </w:pPr>
            <w:r w:rsidRPr="00C64ECB">
              <w:t>≤19dBm/MHz (other than ITS system)</w:t>
            </w:r>
          </w:p>
        </w:tc>
      </w:tr>
      <w:tr w:rsidR="007C0B5A" w:rsidRPr="00C64ECB" w14:paraId="04BA2456" w14:textId="77777777" w:rsidTr="00126681">
        <w:trPr>
          <w:jc w:val="center"/>
        </w:trPr>
        <w:tc>
          <w:tcPr>
            <w:tcW w:w="4261" w:type="dxa"/>
          </w:tcPr>
          <w:p w14:paraId="1785676A" w14:textId="77777777" w:rsidR="007C0B5A" w:rsidRPr="00C64ECB" w:rsidRDefault="007C0B5A" w:rsidP="00126681">
            <w:pPr>
              <w:pStyle w:val="TAL"/>
            </w:pPr>
            <w:r w:rsidRPr="00C64ECB">
              <w:t>Max Emission at edges of the used frequency</w:t>
            </w:r>
          </w:p>
        </w:tc>
        <w:tc>
          <w:tcPr>
            <w:tcW w:w="4261" w:type="dxa"/>
          </w:tcPr>
          <w:p w14:paraId="73DD1D4E" w14:textId="77777777" w:rsidR="007C0B5A" w:rsidRPr="00C64ECB" w:rsidRDefault="007C0B5A" w:rsidP="00126681">
            <w:pPr>
              <w:pStyle w:val="TAL"/>
            </w:pPr>
            <w:r w:rsidRPr="00C64ECB">
              <w:t> ≤-80dBm/Hz</w:t>
            </w:r>
            <w:r w:rsidRPr="00C64ECB">
              <w:t>（</w:t>
            </w:r>
            <w:r w:rsidRPr="00C64ECB">
              <w:t>EIRP</w:t>
            </w:r>
            <w:r w:rsidRPr="00C64ECB">
              <w:t>）</w:t>
            </w:r>
          </w:p>
        </w:tc>
      </w:tr>
      <w:tr w:rsidR="007C0B5A" w:rsidRPr="00C64ECB" w14:paraId="4F132B00" w14:textId="77777777" w:rsidTr="00126681">
        <w:trPr>
          <w:jc w:val="center"/>
        </w:trPr>
        <w:tc>
          <w:tcPr>
            <w:tcW w:w="4261" w:type="dxa"/>
          </w:tcPr>
          <w:p w14:paraId="7410B967" w14:textId="77777777" w:rsidR="007C0B5A" w:rsidRPr="00C64ECB" w:rsidRDefault="007C0B5A" w:rsidP="00126681">
            <w:pPr>
              <w:pStyle w:val="TAL"/>
            </w:pPr>
            <w:r w:rsidRPr="00C64ECB">
              <w:t>Spurious Emission (corresponding to frequency range outside 2.5*carrier bandwidth)</w:t>
            </w:r>
          </w:p>
          <w:p w14:paraId="40A58D2B" w14:textId="77777777" w:rsidR="007C0B5A" w:rsidRPr="00C64ECB" w:rsidRDefault="007C0B5A" w:rsidP="00126681">
            <w:pPr>
              <w:pStyle w:val="TAL"/>
            </w:pPr>
          </w:p>
        </w:tc>
        <w:tc>
          <w:tcPr>
            <w:tcW w:w="4261" w:type="dxa"/>
          </w:tcPr>
          <w:p w14:paraId="2A258210" w14:textId="77777777" w:rsidR="007C0B5A" w:rsidRPr="00C64ECB" w:rsidRDefault="007C0B5A" w:rsidP="00126681">
            <w:pPr>
              <w:pStyle w:val="TAL"/>
            </w:pPr>
            <w:r w:rsidRPr="00C64ECB">
              <w:t>-36dBm/100kHz (30-1000MHz)</w:t>
            </w:r>
          </w:p>
          <w:p w14:paraId="7BFB78AD" w14:textId="77777777" w:rsidR="007C0B5A" w:rsidRPr="00C64ECB" w:rsidRDefault="007C0B5A" w:rsidP="00126681">
            <w:pPr>
              <w:pStyle w:val="TAL"/>
            </w:pPr>
            <w:r w:rsidRPr="00C64ECB">
              <w:t>-54dBm/100kHz (48.5-72.5MHz, 76-118MHz, 167-223MHz, 470-798MHz)</w:t>
            </w:r>
          </w:p>
          <w:p w14:paraId="79516F05" w14:textId="77777777" w:rsidR="007C0B5A" w:rsidRPr="00C64ECB" w:rsidRDefault="007C0B5A" w:rsidP="00126681">
            <w:pPr>
              <w:pStyle w:val="TAL"/>
            </w:pPr>
            <w:r w:rsidRPr="00C64ECB">
              <w:t>-40dBm/1MHz (2400-2483.5MHz, 5150-5350MHz)</w:t>
            </w:r>
          </w:p>
          <w:p w14:paraId="441CFB7E" w14:textId="77777777" w:rsidR="007C0B5A" w:rsidRPr="00C64ECB" w:rsidRDefault="007C0B5A" w:rsidP="00126681">
            <w:pPr>
              <w:pStyle w:val="TAL"/>
            </w:pPr>
            <w:r w:rsidRPr="00C64ECB">
              <w:t>-33dBm/100kHz (5470-5850MHz)</w:t>
            </w:r>
          </w:p>
          <w:p w14:paraId="26E8E12C" w14:textId="77777777" w:rsidR="007C0B5A" w:rsidRPr="00C64ECB" w:rsidRDefault="007C0B5A" w:rsidP="00126681">
            <w:pPr>
              <w:pStyle w:val="TAL"/>
            </w:pPr>
            <w:r w:rsidRPr="00C64ECB">
              <w:t>-30dBm/1MHz(Other frequency in 1-40GHz)</w:t>
            </w:r>
          </w:p>
        </w:tc>
      </w:tr>
    </w:tbl>
    <w:p w14:paraId="2D658CEC" w14:textId="77777777" w:rsidR="007C0B5A" w:rsidRPr="00C64ECB" w:rsidRDefault="007C0B5A" w:rsidP="007C0B5A"/>
    <w:p w14:paraId="2BDBFF1F" w14:textId="77777777" w:rsidR="007C0B5A" w:rsidRPr="00C64ECB" w:rsidRDefault="007C0B5A" w:rsidP="007C0B5A">
      <w:r w:rsidRPr="00C64ECB">
        <w:t>The band 5470-5725 MHz ha</w:t>
      </w:r>
      <w:r w:rsidRPr="00C64ECB">
        <w:rPr>
          <w:rFonts w:hint="eastAsia"/>
        </w:rPr>
        <w:t>s</w:t>
      </w:r>
      <w:r w:rsidRPr="00C64ECB">
        <w:t xml:space="preserve"> not yet been </w:t>
      </w:r>
      <w:r w:rsidRPr="00C64ECB">
        <w:rPr>
          <w:rFonts w:hint="eastAsia"/>
        </w:rPr>
        <w:t xml:space="preserve">officially </w:t>
      </w:r>
      <w:r w:rsidRPr="00C64ECB">
        <w:t>open for</w:t>
      </w:r>
      <w:r w:rsidRPr="00C64ECB">
        <w:rPr>
          <w:rFonts w:hint="eastAsia"/>
        </w:rPr>
        <w:t xml:space="preserve"> WAS/</w:t>
      </w:r>
      <w:r w:rsidRPr="00C64ECB">
        <w:t>RLAN (is put on hold). H</w:t>
      </w:r>
      <w:r w:rsidRPr="00C64ECB">
        <w:rPr>
          <w:rFonts w:hint="eastAsia"/>
        </w:rPr>
        <w:t xml:space="preserve">owever, this band as a potential WAS/RLAN frequency band has been widely discussed, while the related regulation </w:t>
      </w:r>
      <w:r w:rsidRPr="00C64ECB">
        <w:t>restrictions</w:t>
      </w:r>
      <w:r w:rsidRPr="00C64ECB">
        <w:rPr>
          <w:rFonts w:hint="eastAsia"/>
        </w:rPr>
        <w:t xml:space="preserve"> are also publicly inquired on the website of ministry of industry and information technology of China in the year of 2014. In order to protect the </w:t>
      </w:r>
      <w:r w:rsidRPr="00C64ECB">
        <w:t>incumbent</w:t>
      </w:r>
      <w:r w:rsidRPr="00C64ECB">
        <w:rPr>
          <w:rFonts w:hint="eastAsia"/>
        </w:rPr>
        <w:t xml:space="preserve"> services (such as radio-determination service),</w:t>
      </w:r>
      <w:r w:rsidRPr="00C64ECB">
        <w:t xml:space="preserve"> DFS </w:t>
      </w:r>
      <w:r w:rsidRPr="00C64ECB">
        <w:rPr>
          <w:rFonts w:hint="eastAsia"/>
        </w:rPr>
        <w:t xml:space="preserve">and </w:t>
      </w:r>
      <w:r w:rsidRPr="00C64ECB">
        <w:t>TPC</w:t>
      </w:r>
      <w:r w:rsidRPr="00C64ECB">
        <w:rPr>
          <w:rFonts w:hint="eastAsia"/>
        </w:rPr>
        <w:t xml:space="preserve"> (no less than 6dB) are strictly required and DFS function can not be </w:t>
      </w:r>
      <w:r w:rsidRPr="00C64ECB">
        <w:t>closed</w:t>
      </w:r>
      <w:r w:rsidRPr="00C64ECB">
        <w:rPr>
          <w:rFonts w:hint="eastAsia"/>
        </w:rPr>
        <w:t xml:space="preserve">. </w:t>
      </w:r>
      <w:r w:rsidRPr="00C64ECB">
        <w:t>T</w:t>
      </w:r>
      <w:r w:rsidRPr="00C64ECB">
        <w:rPr>
          <w:rFonts w:hint="eastAsia"/>
        </w:rPr>
        <w:t>he details of the proposed key regulation restrictions in 5470-5725MHz are listed as table below.</w:t>
      </w:r>
    </w:p>
    <w:p w14:paraId="31D70362" w14:textId="77777777" w:rsidR="007C0B5A" w:rsidRPr="00C64ECB" w:rsidRDefault="007C0B5A" w:rsidP="007C0B5A">
      <w:pPr>
        <w:pStyle w:val="TH"/>
        <w:spacing w:afterLines="50" w:after="120"/>
      </w:pPr>
      <w:r w:rsidRPr="00C64ECB">
        <w:t xml:space="preserve">Table </w:t>
      </w:r>
      <w:r w:rsidRPr="00C64ECB">
        <w:rPr>
          <w:rFonts w:hint="eastAsia"/>
        </w:rPr>
        <w:t>4.</w:t>
      </w:r>
      <w:r w:rsidR="000D7B67" w:rsidRPr="00C64ECB">
        <w:t>1.</w:t>
      </w:r>
      <w:r w:rsidRPr="00C64ECB">
        <w:rPr>
          <w:rFonts w:hint="eastAsia"/>
        </w:rPr>
        <w:t>3.1-2 Proposed key regulatory restrictions in 5470-5725MHz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C0B5A" w:rsidRPr="00C64ECB" w14:paraId="6D3AC2F9" w14:textId="77777777" w:rsidTr="00126681">
        <w:trPr>
          <w:jc w:val="center"/>
        </w:trPr>
        <w:tc>
          <w:tcPr>
            <w:tcW w:w="4261" w:type="dxa"/>
            <w:shd w:val="clear" w:color="auto" w:fill="4F81BD"/>
          </w:tcPr>
          <w:p w14:paraId="20A98625" w14:textId="77777777" w:rsidR="007C0B5A" w:rsidRPr="00C64ECB" w:rsidRDefault="007C0B5A" w:rsidP="00126681">
            <w:pPr>
              <w:pStyle w:val="TAH"/>
            </w:pPr>
            <w:r w:rsidRPr="00C64ECB">
              <w:t>Parameter</w:t>
            </w:r>
          </w:p>
        </w:tc>
        <w:tc>
          <w:tcPr>
            <w:tcW w:w="4261" w:type="dxa"/>
            <w:shd w:val="clear" w:color="auto" w:fill="4F81BD"/>
          </w:tcPr>
          <w:p w14:paraId="228BEE1E" w14:textId="77777777" w:rsidR="007C0B5A" w:rsidRPr="00C64ECB" w:rsidRDefault="007C0B5A" w:rsidP="00126681">
            <w:pPr>
              <w:pStyle w:val="TAH"/>
            </w:pPr>
            <w:r w:rsidRPr="00C64ECB">
              <w:t>Requirement</w:t>
            </w:r>
          </w:p>
        </w:tc>
      </w:tr>
      <w:tr w:rsidR="007C0B5A" w:rsidRPr="00C64ECB" w14:paraId="25D39D55" w14:textId="77777777" w:rsidTr="00126681">
        <w:trPr>
          <w:jc w:val="center"/>
        </w:trPr>
        <w:tc>
          <w:tcPr>
            <w:tcW w:w="4261" w:type="dxa"/>
          </w:tcPr>
          <w:p w14:paraId="0256AEA4" w14:textId="77777777" w:rsidR="007C0B5A" w:rsidRPr="00C64ECB" w:rsidRDefault="007C0B5A" w:rsidP="00126681">
            <w:pPr>
              <w:pStyle w:val="TAL"/>
            </w:pPr>
            <w:r w:rsidRPr="00C64ECB">
              <w:t>EIRP</w:t>
            </w:r>
          </w:p>
        </w:tc>
        <w:tc>
          <w:tcPr>
            <w:tcW w:w="4261" w:type="dxa"/>
          </w:tcPr>
          <w:p w14:paraId="52767782" w14:textId="77777777" w:rsidR="007C0B5A" w:rsidRPr="00C64ECB" w:rsidRDefault="007C0B5A" w:rsidP="00126681">
            <w:pPr>
              <w:pStyle w:val="TAL"/>
            </w:pPr>
            <w:r w:rsidRPr="00C64ECB">
              <w:t>≤1W</w:t>
            </w:r>
          </w:p>
        </w:tc>
      </w:tr>
      <w:tr w:rsidR="007C0B5A" w:rsidRPr="00C64ECB" w14:paraId="6C13C441" w14:textId="77777777" w:rsidTr="00126681">
        <w:trPr>
          <w:jc w:val="center"/>
        </w:trPr>
        <w:tc>
          <w:tcPr>
            <w:tcW w:w="4261" w:type="dxa"/>
          </w:tcPr>
          <w:p w14:paraId="42478DF6" w14:textId="77777777" w:rsidR="007C0B5A" w:rsidRPr="00C64ECB" w:rsidRDefault="007C0B5A" w:rsidP="00126681">
            <w:pPr>
              <w:pStyle w:val="TAL"/>
            </w:pPr>
            <w:r w:rsidRPr="00C64ECB">
              <w:t>Power Spectrum Density(EIRP)</w:t>
            </w:r>
          </w:p>
        </w:tc>
        <w:tc>
          <w:tcPr>
            <w:tcW w:w="4261" w:type="dxa"/>
          </w:tcPr>
          <w:p w14:paraId="4E1DE62A" w14:textId="77777777" w:rsidR="007C0B5A" w:rsidRPr="00C64ECB" w:rsidRDefault="007C0B5A" w:rsidP="00126681">
            <w:pPr>
              <w:pStyle w:val="TAL"/>
            </w:pPr>
            <w:r w:rsidRPr="00C64ECB">
              <w:t>≤50mW/MHz</w:t>
            </w:r>
          </w:p>
        </w:tc>
      </w:tr>
      <w:tr w:rsidR="007C0B5A" w:rsidRPr="00C64ECB" w14:paraId="135CE165" w14:textId="77777777" w:rsidTr="00126681">
        <w:trPr>
          <w:jc w:val="center"/>
        </w:trPr>
        <w:tc>
          <w:tcPr>
            <w:tcW w:w="4261" w:type="dxa"/>
          </w:tcPr>
          <w:p w14:paraId="4D5CDA23" w14:textId="77777777" w:rsidR="007C0B5A" w:rsidRPr="00C64ECB" w:rsidRDefault="007C0B5A" w:rsidP="00126681">
            <w:pPr>
              <w:pStyle w:val="TAL"/>
            </w:pPr>
            <w:r w:rsidRPr="00C64ECB">
              <w:t>Max Emission at edges of the used frequency</w:t>
            </w:r>
          </w:p>
        </w:tc>
        <w:tc>
          <w:tcPr>
            <w:tcW w:w="4261" w:type="dxa"/>
          </w:tcPr>
          <w:p w14:paraId="7E295989" w14:textId="77777777" w:rsidR="007C0B5A" w:rsidRPr="00C64ECB" w:rsidRDefault="007C0B5A" w:rsidP="00126681">
            <w:pPr>
              <w:pStyle w:val="TAL"/>
            </w:pPr>
            <w:r w:rsidRPr="00C64ECB">
              <w:t> ≤-80dBm/Hz</w:t>
            </w:r>
            <w:r w:rsidRPr="00C64ECB">
              <w:t>（</w:t>
            </w:r>
            <w:r w:rsidRPr="00C64ECB">
              <w:t>EIRP</w:t>
            </w:r>
            <w:r w:rsidRPr="00C64ECB">
              <w:t>）</w:t>
            </w:r>
          </w:p>
        </w:tc>
      </w:tr>
      <w:tr w:rsidR="007C0B5A" w:rsidRPr="00C64ECB" w14:paraId="5CD06561" w14:textId="77777777" w:rsidTr="00126681">
        <w:trPr>
          <w:jc w:val="center"/>
        </w:trPr>
        <w:tc>
          <w:tcPr>
            <w:tcW w:w="4261" w:type="dxa"/>
          </w:tcPr>
          <w:p w14:paraId="6D3FA6A5" w14:textId="77777777" w:rsidR="007C0B5A" w:rsidRPr="00C64ECB" w:rsidRDefault="007C0B5A" w:rsidP="00126681">
            <w:pPr>
              <w:pStyle w:val="TAL"/>
            </w:pPr>
            <w:r w:rsidRPr="00C64ECB">
              <w:t>Spurious Emission (corresponding to frequency range outside 2.5*carrier bandwidth)</w:t>
            </w:r>
          </w:p>
          <w:p w14:paraId="3DE908AB" w14:textId="77777777" w:rsidR="007C0B5A" w:rsidRPr="00C64ECB" w:rsidRDefault="007C0B5A" w:rsidP="00126681">
            <w:pPr>
              <w:pStyle w:val="TAL"/>
            </w:pPr>
          </w:p>
        </w:tc>
        <w:tc>
          <w:tcPr>
            <w:tcW w:w="4261" w:type="dxa"/>
          </w:tcPr>
          <w:p w14:paraId="2FFE645C" w14:textId="77777777" w:rsidR="007C0B5A" w:rsidRPr="00C64ECB" w:rsidRDefault="007C0B5A" w:rsidP="00126681">
            <w:pPr>
              <w:pStyle w:val="TAL"/>
            </w:pPr>
          </w:p>
          <w:p w14:paraId="4D5CE7E6" w14:textId="77777777" w:rsidR="007C0B5A" w:rsidRPr="00C64ECB" w:rsidRDefault="007C0B5A" w:rsidP="00126681">
            <w:pPr>
              <w:pStyle w:val="TAL"/>
            </w:pPr>
            <w:r w:rsidRPr="00C64ECB">
              <w:t>-36dBm/100kHz (30-1000MHz)</w:t>
            </w:r>
          </w:p>
          <w:p w14:paraId="00395187" w14:textId="77777777" w:rsidR="007C0B5A" w:rsidRPr="00C64ECB" w:rsidRDefault="007C0B5A" w:rsidP="00126681">
            <w:pPr>
              <w:pStyle w:val="TAL"/>
            </w:pPr>
            <w:r w:rsidRPr="00C64ECB">
              <w:t>-54dBm/100kHz (48.5-72.5MHz, 76-118MHz, 167-223MHz, 470-798MHz)</w:t>
            </w:r>
          </w:p>
          <w:p w14:paraId="31F95BE5" w14:textId="77777777" w:rsidR="007C0B5A" w:rsidRPr="00C64ECB" w:rsidRDefault="007C0B5A" w:rsidP="00126681">
            <w:pPr>
              <w:pStyle w:val="TAL"/>
            </w:pPr>
            <w:r w:rsidRPr="00C64ECB">
              <w:t>-40dBm/1MHz (2400-2483.5MHz)</w:t>
            </w:r>
          </w:p>
          <w:p w14:paraId="46472E58" w14:textId="77777777" w:rsidR="007C0B5A" w:rsidRPr="00C64ECB" w:rsidRDefault="007C0B5A" w:rsidP="00126681">
            <w:pPr>
              <w:pStyle w:val="TAL"/>
            </w:pPr>
            <w:r w:rsidRPr="00C64ECB">
              <w:t>-33dBm/100kHz (5470-5850MHz)</w:t>
            </w:r>
          </w:p>
          <w:p w14:paraId="33C9B924" w14:textId="77777777" w:rsidR="007C0B5A" w:rsidRPr="00C64ECB" w:rsidRDefault="007C0B5A" w:rsidP="00126681">
            <w:pPr>
              <w:pStyle w:val="TAL"/>
            </w:pPr>
            <w:r w:rsidRPr="00C64ECB">
              <w:t>-30dBm/1MHz (Other frequency in 1-40GHz)</w:t>
            </w:r>
          </w:p>
        </w:tc>
      </w:tr>
    </w:tbl>
    <w:p w14:paraId="41CE2922" w14:textId="77777777" w:rsidR="007C0B5A" w:rsidRPr="00C64ECB" w:rsidRDefault="007C0B5A" w:rsidP="007C0B5A">
      <w:pPr>
        <w:rPr>
          <w:lang w:eastAsia="zh-CN"/>
        </w:rPr>
      </w:pPr>
      <w:r w:rsidRPr="00C64ECB">
        <w:rPr>
          <w:lang w:eastAsia="zh-CN"/>
        </w:rPr>
        <w:t xml:space="preserve"> </w:t>
      </w:r>
    </w:p>
    <w:p w14:paraId="1D0CD099" w14:textId="77777777" w:rsidR="007C0B5A" w:rsidRPr="00C64ECB" w:rsidRDefault="007C0B5A" w:rsidP="007C0B5A">
      <w:pPr>
        <w:pStyle w:val="Heading4"/>
      </w:pPr>
      <w:bookmarkStart w:id="35" w:name="_Toc531342991"/>
      <w:r w:rsidRPr="00C64ECB">
        <w:t>4.1.</w:t>
      </w:r>
      <w:r w:rsidRPr="00C64ECB">
        <w:rPr>
          <w:rFonts w:hint="eastAsia"/>
        </w:rPr>
        <w:t>3.2</w:t>
      </w:r>
      <w:r w:rsidRPr="00C64ECB">
        <w:tab/>
        <w:t>Japan</w:t>
      </w:r>
      <w:bookmarkEnd w:id="35"/>
    </w:p>
    <w:p w14:paraId="0FAB4FDB" w14:textId="77777777" w:rsidR="007C0B5A" w:rsidRPr="00C64ECB" w:rsidRDefault="007C0B5A" w:rsidP="007C0B5A">
      <w:r w:rsidRPr="00C64ECB">
        <w:t>With regard to the use of 5 GHz spectrum for RLAN in Japan, the following frequency bands are available:</w:t>
      </w:r>
    </w:p>
    <w:p w14:paraId="3A2348F8" w14:textId="77777777" w:rsidR="007C0B5A" w:rsidRPr="00C64ECB" w:rsidRDefault="007C0B5A" w:rsidP="007C0B5A">
      <w:pPr>
        <w:pStyle w:val="B1"/>
      </w:pPr>
      <w:r w:rsidRPr="00C64ECB">
        <w:lastRenderedPageBreak/>
        <w:t>-</w:t>
      </w:r>
      <w:r w:rsidRPr="00C64ECB">
        <w:tab/>
        <w:t>5150-5250 MHz;</w:t>
      </w:r>
    </w:p>
    <w:p w14:paraId="76B325B6" w14:textId="77777777" w:rsidR="007C0B5A" w:rsidRPr="00C64ECB" w:rsidRDefault="007C0B5A" w:rsidP="007C0B5A">
      <w:pPr>
        <w:pStyle w:val="B1"/>
      </w:pPr>
      <w:r w:rsidRPr="00C64ECB">
        <w:t>-</w:t>
      </w:r>
      <w:r w:rsidRPr="00C64ECB">
        <w:tab/>
        <w:t>5250-5350 MHz;</w:t>
      </w:r>
    </w:p>
    <w:p w14:paraId="51BAAC3B" w14:textId="77777777" w:rsidR="007C0B5A" w:rsidRPr="00C64ECB" w:rsidRDefault="007C0B5A" w:rsidP="007C0B5A">
      <w:pPr>
        <w:pStyle w:val="B1"/>
      </w:pPr>
      <w:r w:rsidRPr="00C64ECB">
        <w:t>-</w:t>
      </w:r>
      <w:r w:rsidRPr="00C64ECB">
        <w:tab/>
        <w:t>5470-5725 MHz.</w:t>
      </w:r>
    </w:p>
    <w:p w14:paraId="7A41AE4E" w14:textId="6966DFD4" w:rsidR="007C0B5A" w:rsidRPr="00C64ECB" w:rsidRDefault="007C0B5A" w:rsidP="001C2E15">
      <w:r w:rsidRPr="00C64ECB">
        <w:t>Table 4.</w:t>
      </w:r>
      <w:r w:rsidR="000D7B67" w:rsidRPr="00C64ECB">
        <w:t>1.</w:t>
      </w:r>
      <w:r w:rsidRPr="00C64ECB">
        <w:t xml:space="preserve">3.2-1 summarizes overview of technical regulatory requirements in Japan based on those for IEEE 802.11a/n/ac. As shown in the table, it should be noted that </w:t>
      </w:r>
      <w:r w:rsidR="00010CD8" w:rsidRPr="00C64ECB">
        <w:t>"</w:t>
      </w:r>
      <w:r w:rsidRPr="00C64ECB">
        <w:t>Max Burst Length</w:t>
      </w:r>
      <w:r w:rsidR="00010CD8" w:rsidRPr="00C64ECB">
        <w:t>"</w:t>
      </w:r>
      <w:r w:rsidRPr="00C64ECB">
        <w:t xml:space="preserve"> is specified as less than 4 msec for RLAN systems in Japan.</w:t>
      </w:r>
    </w:p>
    <w:p w14:paraId="44C8EC16" w14:textId="77777777" w:rsidR="007C0B5A" w:rsidRPr="00C64ECB" w:rsidRDefault="007C0B5A" w:rsidP="007C0B5A">
      <w:pPr>
        <w:pStyle w:val="TH"/>
        <w:rPr>
          <w:u w:val="single"/>
        </w:rPr>
      </w:pPr>
      <w:r w:rsidRPr="00C64ECB">
        <w:t>Table 4.</w:t>
      </w:r>
      <w:r w:rsidR="000D7B67" w:rsidRPr="00C64ECB">
        <w:t>1.</w:t>
      </w:r>
      <w:r w:rsidRPr="00C64ECB">
        <w:t>3.2-1: Summary of basic regulatory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7C0B5A" w:rsidRPr="00C64ECB" w14:paraId="1DF14BD1" w14:textId="77777777" w:rsidTr="00126681">
        <w:trPr>
          <w:jc w:val="center"/>
        </w:trPr>
        <w:tc>
          <w:tcPr>
            <w:tcW w:w="3740" w:type="dxa"/>
            <w:gridSpan w:val="2"/>
            <w:shd w:val="clear" w:color="auto" w:fill="auto"/>
          </w:tcPr>
          <w:p w14:paraId="6B15CFD9" w14:textId="77777777" w:rsidR="007C0B5A" w:rsidRPr="00C64ECB" w:rsidRDefault="007C0B5A" w:rsidP="00126681">
            <w:pPr>
              <w:pStyle w:val="TAL"/>
            </w:pPr>
            <w:r w:rsidRPr="00C64ECB">
              <w:t>Frequency</w:t>
            </w:r>
          </w:p>
        </w:tc>
        <w:tc>
          <w:tcPr>
            <w:tcW w:w="1870" w:type="dxa"/>
            <w:shd w:val="clear" w:color="auto" w:fill="auto"/>
          </w:tcPr>
          <w:p w14:paraId="3ED39917" w14:textId="77777777" w:rsidR="007C0B5A" w:rsidRPr="00C64ECB" w:rsidRDefault="007C0B5A" w:rsidP="00126681">
            <w:pPr>
              <w:pStyle w:val="TAC"/>
            </w:pPr>
            <w:r w:rsidRPr="00C64ECB">
              <w:t>5.15-5.25 GHz</w:t>
            </w:r>
          </w:p>
        </w:tc>
        <w:tc>
          <w:tcPr>
            <w:tcW w:w="1870" w:type="dxa"/>
            <w:shd w:val="clear" w:color="auto" w:fill="auto"/>
          </w:tcPr>
          <w:p w14:paraId="56A4D880" w14:textId="77777777" w:rsidR="007C0B5A" w:rsidRPr="00C64ECB" w:rsidRDefault="007C0B5A" w:rsidP="00126681">
            <w:pPr>
              <w:pStyle w:val="TAC"/>
            </w:pPr>
            <w:r w:rsidRPr="00C64ECB">
              <w:t>5.25-5.35 GHz</w:t>
            </w:r>
          </w:p>
        </w:tc>
        <w:tc>
          <w:tcPr>
            <w:tcW w:w="1870" w:type="dxa"/>
            <w:shd w:val="clear" w:color="auto" w:fill="auto"/>
          </w:tcPr>
          <w:p w14:paraId="0D129BD7" w14:textId="77777777" w:rsidR="007C0B5A" w:rsidRPr="00C64ECB" w:rsidRDefault="007C0B5A" w:rsidP="00126681">
            <w:pPr>
              <w:pStyle w:val="TAC"/>
            </w:pPr>
            <w:r w:rsidRPr="00C64ECB">
              <w:t>5.47~5.725 GHz</w:t>
            </w:r>
          </w:p>
        </w:tc>
      </w:tr>
      <w:tr w:rsidR="007C0B5A" w:rsidRPr="00C64ECB" w14:paraId="2A789437" w14:textId="77777777" w:rsidTr="00126681">
        <w:trPr>
          <w:jc w:val="center"/>
        </w:trPr>
        <w:tc>
          <w:tcPr>
            <w:tcW w:w="3740" w:type="dxa"/>
            <w:gridSpan w:val="2"/>
            <w:shd w:val="clear" w:color="auto" w:fill="auto"/>
          </w:tcPr>
          <w:p w14:paraId="4CF65A0E" w14:textId="77777777" w:rsidR="007C0B5A" w:rsidRPr="00C64ECB" w:rsidRDefault="007C0B5A" w:rsidP="00126681">
            <w:pPr>
              <w:pStyle w:val="TAL"/>
            </w:pPr>
            <w:r w:rsidRPr="00C64ECB">
              <w:t>Location</w:t>
            </w:r>
          </w:p>
        </w:tc>
        <w:tc>
          <w:tcPr>
            <w:tcW w:w="3740" w:type="dxa"/>
            <w:gridSpan w:val="2"/>
            <w:shd w:val="clear" w:color="auto" w:fill="auto"/>
          </w:tcPr>
          <w:p w14:paraId="21E9AFB7" w14:textId="77777777" w:rsidR="007C0B5A" w:rsidRPr="00C64ECB" w:rsidRDefault="007C0B5A" w:rsidP="00126681">
            <w:pPr>
              <w:pStyle w:val="TAC"/>
            </w:pPr>
            <w:r w:rsidRPr="00C64ECB">
              <w:t>Limited to indoor</w:t>
            </w:r>
          </w:p>
        </w:tc>
        <w:tc>
          <w:tcPr>
            <w:tcW w:w="1870" w:type="dxa"/>
            <w:shd w:val="clear" w:color="auto" w:fill="auto"/>
          </w:tcPr>
          <w:p w14:paraId="1D06D726" w14:textId="77777777" w:rsidR="007C0B5A" w:rsidRPr="00C64ECB" w:rsidRDefault="007C0B5A" w:rsidP="00126681">
            <w:pPr>
              <w:pStyle w:val="TAC"/>
            </w:pPr>
            <w:r w:rsidRPr="00C64ECB">
              <w:t>Indoor and outdoor</w:t>
            </w:r>
          </w:p>
        </w:tc>
      </w:tr>
      <w:tr w:rsidR="007C0B5A" w:rsidRPr="00C64ECB" w14:paraId="57635304" w14:textId="77777777" w:rsidTr="00126681">
        <w:trPr>
          <w:jc w:val="center"/>
        </w:trPr>
        <w:tc>
          <w:tcPr>
            <w:tcW w:w="3740" w:type="dxa"/>
            <w:gridSpan w:val="2"/>
            <w:shd w:val="clear" w:color="auto" w:fill="auto"/>
          </w:tcPr>
          <w:p w14:paraId="6EDAB96D" w14:textId="77777777" w:rsidR="007C0B5A" w:rsidRPr="00C64ECB" w:rsidRDefault="007C0B5A" w:rsidP="00126681">
            <w:pPr>
              <w:pStyle w:val="TAL"/>
            </w:pPr>
            <w:r w:rsidRPr="00C64ECB">
              <w:t>Channel bandwidth</w:t>
            </w:r>
          </w:p>
        </w:tc>
        <w:tc>
          <w:tcPr>
            <w:tcW w:w="5610" w:type="dxa"/>
            <w:gridSpan w:val="3"/>
            <w:shd w:val="clear" w:color="auto" w:fill="auto"/>
          </w:tcPr>
          <w:p w14:paraId="58087452" w14:textId="77777777" w:rsidR="007C0B5A" w:rsidRPr="00C64ECB" w:rsidRDefault="007C0B5A" w:rsidP="00126681">
            <w:pPr>
              <w:pStyle w:val="TAC"/>
            </w:pPr>
            <w:r w:rsidRPr="00C64ECB">
              <w:t>20/40/80/160 MHz</w:t>
            </w:r>
          </w:p>
        </w:tc>
      </w:tr>
      <w:tr w:rsidR="007C0B5A" w:rsidRPr="00C64ECB" w14:paraId="3653703A" w14:textId="77777777" w:rsidTr="00126681">
        <w:trPr>
          <w:jc w:val="center"/>
        </w:trPr>
        <w:tc>
          <w:tcPr>
            <w:tcW w:w="1870" w:type="dxa"/>
            <w:shd w:val="clear" w:color="auto" w:fill="auto"/>
          </w:tcPr>
          <w:p w14:paraId="1874A981" w14:textId="77777777" w:rsidR="007C0B5A" w:rsidRPr="00C64ECB" w:rsidRDefault="007C0B5A" w:rsidP="00126681">
            <w:pPr>
              <w:pStyle w:val="TAL"/>
            </w:pPr>
            <w:r w:rsidRPr="00C64ECB">
              <w:t>Modulation</w:t>
            </w:r>
          </w:p>
        </w:tc>
        <w:tc>
          <w:tcPr>
            <w:tcW w:w="1870" w:type="dxa"/>
            <w:shd w:val="clear" w:color="auto" w:fill="auto"/>
          </w:tcPr>
          <w:p w14:paraId="4E9786AA" w14:textId="77777777" w:rsidR="007C0B5A" w:rsidRPr="00C64ECB" w:rsidRDefault="007C0B5A" w:rsidP="00126681">
            <w:pPr>
              <w:pStyle w:val="TAL"/>
            </w:pPr>
            <w:r w:rsidRPr="00C64ECB">
              <w:t>20/40/80/160 MHz</w:t>
            </w:r>
          </w:p>
        </w:tc>
        <w:tc>
          <w:tcPr>
            <w:tcW w:w="5610" w:type="dxa"/>
            <w:gridSpan w:val="3"/>
            <w:shd w:val="clear" w:color="auto" w:fill="auto"/>
          </w:tcPr>
          <w:p w14:paraId="26160891" w14:textId="77777777" w:rsidR="007C0B5A" w:rsidRPr="00C64ECB" w:rsidRDefault="007C0B5A" w:rsidP="00126681">
            <w:pPr>
              <w:pStyle w:val="TAC"/>
            </w:pPr>
            <w:r w:rsidRPr="00C64ECB">
              <w:t>OFDM</w:t>
            </w:r>
          </w:p>
        </w:tc>
      </w:tr>
      <w:tr w:rsidR="007C0B5A" w:rsidRPr="00C64ECB" w14:paraId="050C19F4" w14:textId="77777777" w:rsidTr="00126681">
        <w:trPr>
          <w:jc w:val="center"/>
        </w:trPr>
        <w:tc>
          <w:tcPr>
            <w:tcW w:w="1870" w:type="dxa"/>
            <w:shd w:val="clear" w:color="auto" w:fill="auto"/>
          </w:tcPr>
          <w:p w14:paraId="3A053AD6" w14:textId="77777777" w:rsidR="007C0B5A" w:rsidRPr="00C64ECB" w:rsidRDefault="007C0B5A" w:rsidP="00126681">
            <w:pPr>
              <w:pStyle w:val="TAL"/>
            </w:pPr>
            <w:r w:rsidRPr="00C64ECB">
              <w:t>Maximum output power</w:t>
            </w:r>
          </w:p>
        </w:tc>
        <w:tc>
          <w:tcPr>
            <w:tcW w:w="1870" w:type="dxa"/>
            <w:shd w:val="clear" w:color="auto" w:fill="auto"/>
          </w:tcPr>
          <w:p w14:paraId="75AEEE71" w14:textId="77777777" w:rsidR="007C0B5A" w:rsidRPr="00C64ECB" w:rsidRDefault="007C0B5A" w:rsidP="00126681">
            <w:pPr>
              <w:pStyle w:val="TAL"/>
            </w:pPr>
            <w:r w:rsidRPr="00C64ECB">
              <w:t>20/40/80/160 MHz</w:t>
            </w:r>
          </w:p>
        </w:tc>
        <w:tc>
          <w:tcPr>
            <w:tcW w:w="5610" w:type="dxa"/>
            <w:gridSpan w:val="3"/>
            <w:shd w:val="clear" w:color="auto" w:fill="auto"/>
          </w:tcPr>
          <w:p w14:paraId="52FE68EC" w14:textId="77777777" w:rsidR="007C0B5A" w:rsidRPr="00C64ECB" w:rsidRDefault="007C0B5A" w:rsidP="00126681">
            <w:pPr>
              <w:pStyle w:val="TAC"/>
            </w:pPr>
            <w:r w:rsidRPr="00C64ECB">
              <w:t>10/5/2.5/1.25 mW/MHz</w:t>
            </w:r>
          </w:p>
        </w:tc>
      </w:tr>
      <w:tr w:rsidR="007C0B5A" w:rsidRPr="00C64ECB" w14:paraId="622B58D8" w14:textId="77777777" w:rsidTr="00126681">
        <w:trPr>
          <w:jc w:val="center"/>
        </w:trPr>
        <w:tc>
          <w:tcPr>
            <w:tcW w:w="3740" w:type="dxa"/>
            <w:gridSpan w:val="2"/>
            <w:shd w:val="clear" w:color="auto" w:fill="auto"/>
          </w:tcPr>
          <w:p w14:paraId="3C4C4E8D" w14:textId="77777777" w:rsidR="007C0B5A" w:rsidRPr="00C64ECB" w:rsidRDefault="007C0B5A" w:rsidP="00126681">
            <w:pPr>
              <w:pStyle w:val="TAL"/>
            </w:pPr>
            <w:r w:rsidRPr="00C64ECB">
              <w:t>Maximum antenna gain</w:t>
            </w:r>
          </w:p>
        </w:tc>
        <w:tc>
          <w:tcPr>
            <w:tcW w:w="5610" w:type="dxa"/>
            <w:gridSpan w:val="3"/>
            <w:shd w:val="clear" w:color="auto" w:fill="auto"/>
          </w:tcPr>
          <w:p w14:paraId="566E57CE" w14:textId="77777777" w:rsidR="007C0B5A" w:rsidRPr="00C64ECB" w:rsidRDefault="007C0B5A" w:rsidP="00126681">
            <w:pPr>
              <w:pStyle w:val="TAC"/>
            </w:pPr>
            <w:r w:rsidRPr="00C64ECB">
              <w:t>Any</w:t>
            </w:r>
          </w:p>
        </w:tc>
      </w:tr>
      <w:tr w:rsidR="007C0B5A" w:rsidRPr="00C64ECB" w14:paraId="61146094" w14:textId="77777777" w:rsidTr="00126681">
        <w:trPr>
          <w:jc w:val="center"/>
        </w:trPr>
        <w:tc>
          <w:tcPr>
            <w:tcW w:w="1870" w:type="dxa"/>
            <w:shd w:val="clear" w:color="auto" w:fill="auto"/>
          </w:tcPr>
          <w:p w14:paraId="33FC3C99" w14:textId="77777777" w:rsidR="007C0B5A" w:rsidRPr="00C64ECB" w:rsidRDefault="007C0B5A" w:rsidP="00126681">
            <w:pPr>
              <w:pStyle w:val="TAL"/>
            </w:pPr>
            <w:r w:rsidRPr="00C64ECB">
              <w:t>Maximum e.i.r.p</w:t>
            </w:r>
          </w:p>
        </w:tc>
        <w:tc>
          <w:tcPr>
            <w:tcW w:w="1870" w:type="dxa"/>
            <w:shd w:val="clear" w:color="auto" w:fill="auto"/>
          </w:tcPr>
          <w:p w14:paraId="6EAD8329" w14:textId="77777777" w:rsidR="007C0B5A" w:rsidRPr="00C64ECB" w:rsidRDefault="007C0B5A" w:rsidP="00126681">
            <w:pPr>
              <w:pStyle w:val="TAL"/>
            </w:pPr>
            <w:r w:rsidRPr="00C64ECB">
              <w:t>20/40/80/160 MHz</w:t>
            </w:r>
          </w:p>
        </w:tc>
        <w:tc>
          <w:tcPr>
            <w:tcW w:w="3740" w:type="dxa"/>
            <w:gridSpan w:val="2"/>
            <w:shd w:val="clear" w:color="auto" w:fill="auto"/>
          </w:tcPr>
          <w:p w14:paraId="118DA3F9" w14:textId="77777777" w:rsidR="007C0B5A" w:rsidRPr="00C64ECB" w:rsidRDefault="007C0B5A" w:rsidP="00126681">
            <w:pPr>
              <w:pStyle w:val="TAC"/>
            </w:pPr>
            <w:r w:rsidRPr="00C64ECB">
              <w:t>10/5/2.5/1.25 mW/MHz</w:t>
            </w:r>
          </w:p>
        </w:tc>
        <w:tc>
          <w:tcPr>
            <w:tcW w:w="1870" w:type="dxa"/>
            <w:shd w:val="clear" w:color="auto" w:fill="auto"/>
          </w:tcPr>
          <w:p w14:paraId="01D8467A" w14:textId="77777777" w:rsidR="007C0B5A" w:rsidRPr="00C64ECB" w:rsidRDefault="007C0B5A" w:rsidP="00126681">
            <w:pPr>
              <w:pStyle w:val="TAC"/>
            </w:pPr>
            <w:r w:rsidRPr="00C64ECB">
              <w:t>50/25/12.5/6.25 mW/MHz</w:t>
            </w:r>
          </w:p>
        </w:tc>
      </w:tr>
      <w:tr w:rsidR="007C0B5A" w:rsidRPr="00C64ECB" w14:paraId="6739444A" w14:textId="77777777" w:rsidTr="00126681">
        <w:trPr>
          <w:jc w:val="center"/>
        </w:trPr>
        <w:tc>
          <w:tcPr>
            <w:tcW w:w="1870" w:type="dxa"/>
            <w:shd w:val="clear" w:color="auto" w:fill="auto"/>
          </w:tcPr>
          <w:p w14:paraId="65C9F8B0" w14:textId="77777777" w:rsidR="007C0B5A" w:rsidRPr="00C64ECB" w:rsidRDefault="007C0B5A" w:rsidP="00126681">
            <w:pPr>
              <w:pStyle w:val="TAL"/>
            </w:pPr>
            <w:r w:rsidRPr="00C64ECB">
              <w:t>Carrier sense</w:t>
            </w:r>
          </w:p>
        </w:tc>
        <w:tc>
          <w:tcPr>
            <w:tcW w:w="1870" w:type="dxa"/>
            <w:shd w:val="clear" w:color="auto" w:fill="auto"/>
          </w:tcPr>
          <w:p w14:paraId="10567080" w14:textId="77777777" w:rsidR="007C0B5A" w:rsidRPr="00C64ECB" w:rsidRDefault="007C0B5A" w:rsidP="00126681">
            <w:pPr>
              <w:pStyle w:val="TAL"/>
            </w:pPr>
            <w:r w:rsidRPr="00C64ECB">
              <w:t>20/40/80/160 MHz</w:t>
            </w:r>
          </w:p>
        </w:tc>
        <w:tc>
          <w:tcPr>
            <w:tcW w:w="5610" w:type="dxa"/>
            <w:gridSpan w:val="3"/>
            <w:shd w:val="clear" w:color="auto" w:fill="auto"/>
          </w:tcPr>
          <w:p w14:paraId="5F269BF1" w14:textId="77777777" w:rsidR="007C0B5A" w:rsidRPr="00C64ECB" w:rsidRDefault="007C0B5A" w:rsidP="00126681">
            <w:pPr>
              <w:pStyle w:val="TAC"/>
            </w:pPr>
            <w:r w:rsidRPr="00C64ECB">
              <w:t>Required</w:t>
            </w:r>
          </w:p>
        </w:tc>
      </w:tr>
      <w:tr w:rsidR="007C0B5A" w:rsidRPr="00C64ECB" w14:paraId="715CF5E0" w14:textId="77777777" w:rsidTr="00126681">
        <w:trPr>
          <w:jc w:val="center"/>
        </w:trPr>
        <w:tc>
          <w:tcPr>
            <w:tcW w:w="3740" w:type="dxa"/>
            <w:gridSpan w:val="2"/>
            <w:shd w:val="clear" w:color="auto" w:fill="auto"/>
          </w:tcPr>
          <w:p w14:paraId="1AFDBFA0" w14:textId="77777777" w:rsidR="007C0B5A" w:rsidRPr="00C64ECB" w:rsidRDefault="007C0B5A" w:rsidP="00126681">
            <w:pPr>
              <w:pStyle w:val="TAL"/>
            </w:pPr>
            <w:r w:rsidRPr="00C64ECB">
              <w:t>Max Burst Length</w:t>
            </w:r>
          </w:p>
        </w:tc>
        <w:tc>
          <w:tcPr>
            <w:tcW w:w="5610" w:type="dxa"/>
            <w:gridSpan w:val="3"/>
            <w:shd w:val="clear" w:color="auto" w:fill="auto"/>
          </w:tcPr>
          <w:p w14:paraId="13AD1074" w14:textId="77777777" w:rsidR="007C0B5A" w:rsidRPr="00C64ECB" w:rsidRDefault="007C0B5A" w:rsidP="00126681">
            <w:pPr>
              <w:pStyle w:val="TAC"/>
            </w:pPr>
            <w:r w:rsidRPr="00C64ECB">
              <w:t>&lt; 4 ms</w:t>
            </w:r>
          </w:p>
        </w:tc>
      </w:tr>
      <w:tr w:rsidR="007C0B5A" w:rsidRPr="00C64ECB" w14:paraId="6CEB4FA6" w14:textId="77777777" w:rsidTr="00126681">
        <w:trPr>
          <w:jc w:val="center"/>
        </w:trPr>
        <w:tc>
          <w:tcPr>
            <w:tcW w:w="3740" w:type="dxa"/>
            <w:gridSpan w:val="2"/>
            <w:shd w:val="clear" w:color="auto" w:fill="auto"/>
          </w:tcPr>
          <w:p w14:paraId="16517402" w14:textId="77777777" w:rsidR="007C0B5A" w:rsidRPr="00C64ECB" w:rsidRDefault="007C0B5A" w:rsidP="00126681">
            <w:pPr>
              <w:pStyle w:val="TAL"/>
            </w:pPr>
            <w:r w:rsidRPr="00C64ECB">
              <w:t>DFS, TPC (Note 1)</w:t>
            </w:r>
          </w:p>
        </w:tc>
        <w:tc>
          <w:tcPr>
            <w:tcW w:w="1870" w:type="dxa"/>
            <w:shd w:val="clear" w:color="auto" w:fill="auto"/>
          </w:tcPr>
          <w:p w14:paraId="4DDC3E47" w14:textId="77777777" w:rsidR="007C0B5A" w:rsidRPr="00C64ECB" w:rsidRDefault="007C0B5A" w:rsidP="00126681">
            <w:pPr>
              <w:pStyle w:val="TAC"/>
            </w:pPr>
            <w:r w:rsidRPr="00C64ECB">
              <w:t>Not required</w:t>
            </w:r>
          </w:p>
        </w:tc>
        <w:tc>
          <w:tcPr>
            <w:tcW w:w="3740" w:type="dxa"/>
            <w:gridSpan w:val="2"/>
            <w:shd w:val="clear" w:color="auto" w:fill="auto"/>
          </w:tcPr>
          <w:p w14:paraId="154E038F" w14:textId="77777777" w:rsidR="007C0B5A" w:rsidRPr="00C64ECB" w:rsidRDefault="007C0B5A" w:rsidP="00126681">
            <w:pPr>
              <w:pStyle w:val="TAC"/>
            </w:pPr>
            <w:r w:rsidRPr="00C64ECB">
              <w:t>Required (only for master control station)</w:t>
            </w:r>
          </w:p>
        </w:tc>
      </w:tr>
      <w:tr w:rsidR="007C0B5A" w:rsidRPr="00C64ECB" w14:paraId="32F60713" w14:textId="77777777" w:rsidTr="00126681">
        <w:trPr>
          <w:jc w:val="center"/>
        </w:trPr>
        <w:tc>
          <w:tcPr>
            <w:tcW w:w="3740" w:type="dxa"/>
            <w:gridSpan w:val="2"/>
            <w:shd w:val="clear" w:color="auto" w:fill="auto"/>
          </w:tcPr>
          <w:p w14:paraId="1A5B972E" w14:textId="77777777" w:rsidR="007C0B5A" w:rsidRPr="00C64ECB" w:rsidRDefault="007C0B5A" w:rsidP="00126681">
            <w:pPr>
              <w:pStyle w:val="TAL"/>
            </w:pPr>
            <w:r w:rsidRPr="00C64ECB">
              <w:t>Connection topology</w:t>
            </w:r>
          </w:p>
        </w:tc>
        <w:tc>
          <w:tcPr>
            <w:tcW w:w="1870" w:type="dxa"/>
            <w:shd w:val="clear" w:color="auto" w:fill="auto"/>
          </w:tcPr>
          <w:p w14:paraId="46C38D90" w14:textId="77777777" w:rsidR="007C0B5A" w:rsidRPr="00C64ECB" w:rsidRDefault="007C0B5A" w:rsidP="00126681">
            <w:pPr>
              <w:pStyle w:val="TAC"/>
            </w:pPr>
            <w:r w:rsidRPr="00C64ECB">
              <w:t>Any</w:t>
            </w:r>
          </w:p>
        </w:tc>
        <w:tc>
          <w:tcPr>
            <w:tcW w:w="3740" w:type="dxa"/>
            <w:gridSpan w:val="2"/>
            <w:shd w:val="clear" w:color="auto" w:fill="auto"/>
          </w:tcPr>
          <w:p w14:paraId="571A9C96" w14:textId="77777777" w:rsidR="007C0B5A" w:rsidRPr="00C64ECB" w:rsidRDefault="007C0B5A" w:rsidP="00126681">
            <w:pPr>
              <w:pStyle w:val="TAC"/>
            </w:pPr>
            <w:r w:rsidRPr="00C64ECB">
              <w:t>Any (connection between the stations not controlled by master control station is not allowed)</w:t>
            </w:r>
          </w:p>
        </w:tc>
      </w:tr>
      <w:tr w:rsidR="007C0B5A" w:rsidRPr="00C64ECB" w14:paraId="2465CAC6" w14:textId="77777777" w:rsidTr="00126681">
        <w:trPr>
          <w:jc w:val="center"/>
        </w:trPr>
        <w:tc>
          <w:tcPr>
            <w:tcW w:w="9350" w:type="dxa"/>
            <w:gridSpan w:val="5"/>
            <w:shd w:val="clear" w:color="auto" w:fill="auto"/>
          </w:tcPr>
          <w:p w14:paraId="237A42EA" w14:textId="77777777" w:rsidR="007C0B5A" w:rsidRPr="00C64ECB" w:rsidRDefault="007C0B5A" w:rsidP="00126681">
            <w:pPr>
              <w:pStyle w:val="TAN"/>
            </w:pPr>
            <w:r w:rsidRPr="00C64ECB">
              <w:t>NOTE 1:</w:t>
            </w:r>
            <w:r w:rsidRPr="00C64ECB">
              <w:tab/>
              <w:t>DFS</w:t>
            </w:r>
            <w:r w:rsidRPr="00C64ECB">
              <w:rPr>
                <w:rFonts w:ascii="MS Gothic" w:eastAsia="MS Gothic" w:hAnsi="MS Gothic" w:cs="MS Gothic" w:hint="eastAsia"/>
              </w:rPr>
              <w:t>（</w:t>
            </w:r>
            <w:r w:rsidRPr="00C64ECB">
              <w:t>Dynamic Frequency Selection</w:t>
            </w:r>
            <w:r w:rsidRPr="00C64ECB">
              <w:rPr>
                <w:rFonts w:ascii="MS Gothic" w:eastAsia="MS Gothic" w:hAnsi="MS Gothic" w:cs="MS Gothic" w:hint="eastAsia"/>
              </w:rPr>
              <w:t>）</w:t>
            </w:r>
            <w:r w:rsidRPr="00C64ECB">
              <w:t>, TPC</w:t>
            </w:r>
            <w:r w:rsidRPr="00C64ECB">
              <w:rPr>
                <w:rFonts w:ascii="MS Gothic" w:eastAsia="MS Gothic" w:hAnsi="MS Gothic" w:cs="MS Gothic" w:hint="eastAsia"/>
              </w:rPr>
              <w:t>（</w:t>
            </w:r>
            <w:r w:rsidRPr="00C64ECB">
              <w:t>Transmitter Power Control</w:t>
            </w:r>
            <w:r w:rsidRPr="00C64ECB">
              <w:rPr>
                <w:rFonts w:ascii="MS Gothic" w:eastAsia="MS Gothic" w:hAnsi="MS Gothic" w:cs="MS Gothic" w:hint="eastAsia"/>
              </w:rPr>
              <w:t>)</w:t>
            </w:r>
          </w:p>
        </w:tc>
      </w:tr>
    </w:tbl>
    <w:p w14:paraId="7020D782" w14:textId="77777777" w:rsidR="007C0B5A" w:rsidRPr="00C64ECB" w:rsidRDefault="007C0B5A" w:rsidP="001C2E15"/>
    <w:p w14:paraId="36F87E4E" w14:textId="77777777" w:rsidR="007C0B5A" w:rsidRPr="00C64ECB" w:rsidRDefault="007C0B5A" w:rsidP="007C0B5A">
      <w:r w:rsidRPr="00C64ECB">
        <w:t>Figure 4.</w:t>
      </w:r>
      <w:r w:rsidR="000D7B67" w:rsidRPr="00C64ECB">
        <w:t>1.</w:t>
      </w:r>
      <w:r w:rsidRPr="00C64ECB">
        <w:t>3.2-1 indicates the spectrum and channelling arrangements available for different channel bandwidth. This figure also provides information on incumbent systems to be coexisting with RLAN systems in Japan.</w:t>
      </w:r>
    </w:p>
    <w:p w14:paraId="76123559" w14:textId="77777777" w:rsidR="007C0B5A" w:rsidRPr="00C64ECB" w:rsidRDefault="004F63C6" w:rsidP="007C0B5A">
      <w:pPr>
        <w:pStyle w:val="TH"/>
      </w:pPr>
      <w:r w:rsidRPr="00C64ECB">
        <w:rPr>
          <w:noProof/>
          <w:lang w:val="en-US" w:eastAsia="zh-CN"/>
        </w:rPr>
        <w:drawing>
          <wp:inline distT="0" distB="0" distL="0" distR="0" wp14:anchorId="15E53AF2" wp14:editId="16130D84">
            <wp:extent cx="4585970" cy="30886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85970" cy="3088640"/>
                    </a:xfrm>
                    <a:prstGeom prst="rect">
                      <a:avLst/>
                    </a:prstGeom>
                    <a:noFill/>
                  </pic:spPr>
                </pic:pic>
              </a:graphicData>
            </a:graphic>
          </wp:inline>
        </w:drawing>
      </w:r>
    </w:p>
    <w:p w14:paraId="33958E52" w14:textId="77777777" w:rsidR="007C0B5A" w:rsidRPr="00C64ECB" w:rsidRDefault="007C0B5A" w:rsidP="007C0B5A">
      <w:pPr>
        <w:pStyle w:val="TF"/>
      </w:pPr>
      <w:r w:rsidRPr="00C64ECB">
        <w:t>Figure 4.</w:t>
      </w:r>
      <w:r w:rsidR="000D7B67" w:rsidRPr="00C64ECB">
        <w:t>1.</w:t>
      </w:r>
      <w:r w:rsidRPr="00C64ECB">
        <w:t>3.2-1: Spectrum and channel arrangement</w:t>
      </w:r>
    </w:p>
    <w:p w14:paraId="0B81A45A" w14:textId="77777777" w:rsidR="007C0B5A" w:rsidRPr="00C64ECB" w:rsidRDefault="007C0B5A" w:rsidP="007C0B5A"/>
    <w:p w14:paraId="078ACBE4" w14:textId="6A346CE2" w:rsidR="007C0B5A" w:rsidRPr="00C64ECB" w:rsidRDefault="007C0B5A" w:rsidP="007C0B5A">
      <w:r w:rsidRPr="00C64ECB">
        <w:t xml:space="preserve">Further detailed regulatory requirements, such as ACLR, SEM and peak data rate for the respective frequency bands are provided in the following sub-sections. Note that </w:t>
      </w:r>
      <w:r w:rsidRPr="00C64ECB">
        <w:rPr>
          <w:lang w:val="en-US"/>
        </w:rPr>
        <w:t xml:space="preserve">for </w:t>
      </w:r>
      <w:r w:rsidR="00010CD8" w:rsidRPr="00C64ECB">
        <w:rPr>
          <w:color w:val="1F497D"/>
          <w:lang w:val="en-US" w:eastAsia="ja-JP"/>
        </w:rPr>
        <w:t>"</w:t>
      </w:r>
      <w:r w:rsidRPr="00C64ECB">
        <w:rPr>
          <w:lang w:val="en-US"/>
        </w:rPr>
        <w:t>78 MHz &lt; Occupied bandwidth ≤ 158 MHz</w:t>
      </w:r>
      <w:r w:rsidR="00010CD8" w:rsidRPr="00C64ECB">
        <w:rPr>
          <w:lang w:val="en-US" w:eastAsia="ja-JP"/>
        </w:rPr>
        <w:t>"</w:t>
      </w:r>
      <w:r w:rsidRPr="00C64ECB">
        <w:rPr>
          <w:lang w:val="en-US" w:eastAsia="ja-JP"/>
        </w:rPr>
        <w:t xml:space="preserve"> (covers the 160 MHz system), there are no ACLR1 and ACLR2 requirements specified.</w:t>
      </w:r>
    </w:p>
    <w:p w14:paraId="72BCB055" w14:textId="77777777" w:rsidR="007C0B5A" w:rsidRPr="00C64ECB" w:rsidRDefault="007C0B5A" w:rsidP="007C0B5A">
      <w:pPr>
        <w:pStyle w:val="Heading5"/>
      </w:pPr>
      <w:bookmarkStart w:id="36" w:name="_Toc531342992"/>
      <w:r w:rsidRPr="00C64ECB">
        <w:lastRenderedPageBreak/>
        <w:t>4.1.3.2</w:t>
      </w:r>
      <w:r w:rsidRPr="00C64ECB">
        <w:rPr>
          <w:rFonts w:hint="eastAsia"/>
        </w:rPr>
        <w:t>.1</w:t>
      </w:r>
      <w:r w:rsidRPr="00C64ECB">
        <w:tab/>
        <w:t>515</w:t>
      </w:r>
      <w:r w:rsidRPr="00C64ECB">
        <w:rPr>
          <w:rFonts w:hint="eastAsia"/>
        </w:rPr>
        <w:t>0</w:t>
      </w:r>
      <w:r w:rsidRPr="00C64ECB">
        <w:t>-5</w:t>
      </w:r>
      <w:r w:rsidRPr="00C64ECB">
        <w:rPr>
          <w:rFonts w:hint="eastAsia"/>
        </w:rPr>
        <w:t>2</w:t>
      </w:r>
      <w:r w:rsidRPr="00C64ECB">
        <w:t>5</w:t>
      </w:r>
      <w:r w:rsidRPr="00C64ECB">
        <w:rPr>
          <w:rFonts w:hint="eastAsia"/>
        </w:rPr>
        <w:t>0 and 5250-5350 MHz</w:t>
      </w:r>
      <w:bookmarkEnd w:id="36"/>
    </w:p>
    <w:p w14:paraId="4BC5AA29" w14:textId="77777777" w:rsidR="007C0B5A" w:rsidRPr="00C64ECB" w:rsidRDefault="007C0B5A" w:rsidP="007C0B5A">
      <w:pPr>
        <w:pStyle w:val="TH"/>
      </w:pPr>
      <w:r w:rsidRPr="00C64ECB">
        <w:t>Table 4.</w:t>
      </w:r>
      <w:r w:rsidR="000D7B67" w:rsidRPr="00C64ECB">
        <w:t>1.</w:t>
      </w:r>
      <w:r w:rsidRPr="00C64ECB">
        <w:t>3.2.1-1: Adjacent Channel Leakage Ratio (ACLR) 1</w:t>
      </w:r>
    </w:p>
    <w:tbl>
      <w:tblPr>
        <w:tblW w:w="9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65"/>
        <w:gridCol w:w="2207"/>
        <w:gridCol w:w="2207"/>
        <w:gridCol w:w="2207"/>
      </w:tblGrid>
      <w:tr w:rsidR="007C0B5A" w:rsidRPr="00C64ECB" w14:paraId="1D1A59AE" w14:textId="77777777" w:rsidTr="00126681">
        <w:trPr>
          <w:jc w:val="center"/>
        </w:trPr>
        <w:tc>
          <w:tcPr>
            <w:tcW w:w="1795" w:type="dxa"/>
            <w:vAlign w:val="center"/>
          </w:tcPr>
          <w:p w14:paraId="791DB557" w14:textId="77777777" w:rsidR="007C0B5A" w:rsidRPr="00C64ECB" w:rsidRDefault="007C0B5A" w:rsidP="00126681">
            <w:pPr>
              <w:pStyle w:val="TAH"/>
            </w:pPr>
            <w:r w:rsidRPr="00C64ECB">
              <w:rPr>
                <w:rFonts w:hint="eastAsia"/>
              </w:rPr>
              <w:t>Occupied bandwidth</w:t>
            </w:r>
          </w:p>
        </w:tc>
        <w:tc>
          <w:tcPr>
            <w:tcW w:w="1065" w:type="dxa"/>
            <w:vAlign w:val="center"/>
          </w:tcPr>
          <w:p w14:paraId="03C2D1A1" w14:textId="77777777" w:rsidR="007C0B5A" w:rsidRPr="00C64ECB" w:rsidRDefault="007C0B5A" w:rsidP="00126681">
            <w:pPr>
              <w:pStyle w:val="TAH"/>
            </w:pPr>
            <w:r w:rsidRPr="00C64ECB">
              <w:t>≤</w:t>
            </w:r>
            <w:r w:rsidRPr="00C64ECB">
              <w:rPr>
                <w:rFonts w:hint="eastAsia"/>
              </w:rPr>
              <w:t xml:space="preserve"> </w:t>
            </w:r>
            <w:r w:rsidRPr="00C64ECB">
              <w:t>1</w:t>
            </w:r>
            <w:r w:rsidRPr="00C64ECB">
              <w:rPr>
                <w:rFonts w:hint="eastAsia"/>
              </w:rPr>
              <w:t>8</w:t>
            </w:r>
            <w:r w:rsidRPr="00C64ECB">
              <w:t>MHz</w:t>
            </w:r>
          </w:p>
        </w:tc>
        <w:tc>
          <w:tcPr>
            <w:tcW w:w="2207" w:type="dxa"/>
            <w:vAlign w:val="center"/>
          </w:tcPr>
          <w:p w14:paraId="63F0CD40" w14:textId="77777777" w:rsidR="007C0B5A" w:rsidRPr="00C64ECB" w:rsidRDefault="007C0B5A" w:rsidP="00126681">
            <w:pPr>
              <w:pStyle w:val="TAH"/>
            </w:pPr>
            <w:r w:rsidRPr="00C64ECB">
              <w:rPr>
                <w:rFonts w:ascii="Cambria" w:hAnsi="Cambria" w:cs="Cambria"/>
              </w:rPr>
              <w:t>&gt;</w:t>
            </w:r>
            <w:r w:rsidRPr="00C64ECB">
              <w:rPr>
                <w:rFonts w:hint="eastAsia"/>
              </w:rPr>
              <w:t xml:space="preserve"> 18MHz and </w:t>
            </w:r>
            <w:r w:rsidRPr="00C64ECB">
              <w:t>≤</w:t>
            </w:r>
            <w:r w:rsidRPr="00C64ECB">
              <w:rPr>
                <w:rFonts w:hint="eastAsia"/>
              </w:rPr>
              <w:t xml:space="preserve"> 19</w:t>
            </w:r>
            <w:r w:rsidRPr="00C64ECB">
              <w:t>MHz</w:t>
            </w:r>
          </w:p>
        </w:tc>
        <w:tc>
          <w:tcPr>
            <w:tcW w:w="2207" w:type="dxa"/>
            <w:vAlign w:val="center"/>
          </w:tcPr>
          <w:p w14:paraId="27FF0032" w14:textId="77777777" w:rsidR="007C0B5A" w:rsidRPr="00C64ECB" w:rsidRDefault="007C0B5A" w:rsidP="00126681">
            <w:pPr>
              <w:pStyle w:val="TAH"/>
            </w:pPr>
            <w:r w:rsidRPr="00C64ECB">
              <w:rPr>
                <w:rFonts w:ascii="Cambria" w:hAnsi="Cambria" w:cs="Cambria"/>
              </w:rPr>
              <w:t>&gt;</w:t>
            </w:r>
            <w:r w:rsidRPr="00C64ECB">
              <w:rPr>
                <w:rFonts w:hint="eastAsia"/>
              </w:rPr>
              <w:t xml:space="preserve"> 19MHz and </w:t>
            </w:r>
            <w:r w:rsidRPr="00C64ECB">
              <w:t>≤</w:t>
            </w:r>
            <w:r w:rsidRPr="00C64ECB">
              <w:rPr>
                <w:rFonts w:hint="eastAsia"/>
              </w:rPr>
              <w:t xml:space="preserve"> 38</w:t>
            </w:r>
            <w:r w:rsidRPr="00C64ECB">
              <w:t>MHz</w:t>
            </w:r>
          </w:p>
        </w:tc>
        <w:tc>
          <w:tcPr>
            <w:tcW w:w="2207" w:type="dxa"/>
            <w:vAlign w:val="center"/>
          </w:tcPr>
          <w:p w14:paraId="7CB73FDF" w14:textId="77777777" w:rsidR="007C0B5A" w:rsidRPr="00C64ECB" w:rsidRDefault="007C0B5A" w:rsidP="00126681">
            <w:pPr>
              <w:pStyle w:val="TAH"/>
            </w:pPr>
            <w:r w:rsidRPr="00C64ECB">
              <w:rPr>
                <w:rFonts w:ascii="Cambria" w:hAnsi="Cambria" w:cs="Cambria"/>
              </w:rPr>
              <w:t>&gt;</w:t>
            </w:r>
            <w:r w:rsidRPr="00C64ECB">
              <w:rPr>
                <w:rFonts w:hint="eastAsia"/>
              </w:rPr>
              <w:t xml:space="preserve"> 38MHz and </w:t>
            </w:r>
            <w:r w:rsidRPr="00C64ECB">
              <w:t>≤</w:t>
            </w:r>
            <w:r w:rsidRPr="00C64ECB">
              <w:rPr>
                <w:rFonts w:hint="eastAsia"/>
              </w:rPr>
              <w:t xml:space="preserve"> 78</w:t>
            </w:r>
            <w:r w:rsidRPr="00C64ECB">
              <w:t>MHz</w:t>
            </w:r>
          </w:p>
        </w:tc>
      </w:tr>
      <w:tr w:rsidR="007C0B5A" w:rsidRPr="00C64ECB" w14:paraId="57347D15" w14:textId="77777777" w:rsidTr="00126681">
        <w:trPr>
          <w:jc w:val="center"/>
        </w:trPr>
        <w:tc>
          <w:tcPr>
            <w:tcW w:w="1795" w:type="dxa"/>
            <w:vAlign w:val="center"/>
          </w:tcPr>
          <w:p w14:paraId="16EF31DE" w14:textId="77777777" w:rsidR="007C0B5A" w:rsidRPr="00C64ECB" w:rsidRDefault="007C0B5A" w:rsidP="00126681">
            <w:pPr>
              <w:pStyle w:val="TAC"/>
            </w:pPr>
            <w:r w:rsidRPr="00C64ECB">
              <w:rPr>
                <w:rFonts w:hint="eastAsia"/>
              </w:rPr>
              <w:t>ACLR 1</w:t>
            </w:r>
          </w:p>
        </w:tc>
        <w:tc>
          <w:tcPr>
            <w:tcW w:w="1065" w:type="dxa"/>
            <w:vAlign w:val="center"/>
          </w:tcPr>
          <w:p w14:paraId="7158DA54" w14:textId="77777777" w:rsidR="007C0B5A" w:rsidRPr="00C64ECB" w:rsidRDefault="007C0B5A" w:rsidP="00126681">
            <w:pPr>
              <w:pStyle w:val="TAC"/>
            </w:pPr>
            <w:r w:rsidRPr="00C64ECB">
              <w:rPr>
                <w:rFonts w:ascii="Cambria" w:hAnsi="Cambria" w:cs="Cambria"/>
              </w:rPr>
              <w:t xml:space="preserve">≥ </w:t>
            </w:r>
            <w:r w:rsidRPr="00C64ECB">
              <w:rPr>
                <w:rFonts w:hint="eastAsia"/>
              </w:rPr>
              <w:t>25</w:t>
            </w:r>
            <w:r w:rsidRPr="00C64ECB">
              <w:t xml:space="preserve"> dB</w:t>
            </w:r>
          </w:p>
        </w:tc>
        <w:tc>
          <w:tcPr>
            <w:tcW w:w="2207" w:type="dxa"/>
            <w:vAlign w:val="center"/>
          </w:tcPr>
          <w:p w14:paraId="78BCA9B2" w14:textId="77777777" w:rsidR="007C0B5A" w:rsidRPr="00C64ECB" w:rsidRDefault="007C0B5A" w:rsidP="00126681">
            <w:pPr>
              <w:pStyle w:val="TAC"/>
            </w:pPr>
            <w:r w:rsidRPr="00C64ECB">
              <w:rPr>
                <w:rFonts w:ascii="Cambria" w:hAnsi="Cambria" w:cs="Cambria"/>
              </w:rPr>
              <w:t xml:space="preserve">≥ </w:t>
            </w:r>
            <w:r w:rsidRPr="00C64ECB">
              <w:rPr>
                <w:rFonts w:hint="eastAsia"/>
              </w:rPr>
              <w:t>25</w:t>
            </w:r>
            <w:r w:rsidRPr="00C64ECB">
              <w:t xml:space="preserve"> dB</w:t>
            </w:r>
          </w:p>
        </w:tc>
        <w:tc>
          <w:tcPr>
            <w:tcW w:w="2207" w:type="dxa"/>
            <w:vAlign w:val="center"/>
          </w:tcPr>
          <w:p w14:paraId="78C70221" w14:textId="77777777" w:rsidR="007C0B5A" w:rsidRPr="00C64ECB" w:rsidRDefault="007C0B5A" w:rsidP="00126681">
            <w:pPr>
              <w:pStyle w:val="TAC"/>
            </w:pPr>
            <w:r w:rsidRPr="00C64ECB">
              <w:rPr>
                <w:rFonts w:ascii="Cambria" w:hAnsi="Cambria" w:cs="Cambria"/>
              </w:rPr>
              <w:t xml:space="preserve">≥ </w:t>
            </w:r>
            <w:r w:rsidRPr="00C64ECB">
              <w:rPr>
                <w:rFonts w:hint="eastAsia"/>
              </w:rPr>
              <w:t>25</w:t>
            </w:r>
            <w:r w:rsidRPr="00C64ECB">
              <w:t xml:space="preserve"> dB</w:t>
            </w:r>
          </w:p>
        </w:tc>
        <w:tc>
          <w:tcPr>
            <w:tcW w:w="2207" w:type="dxa"/>
            <w:vAlign w:val="center"/>
          </w:tcPr>
          <w:p w14:paraId="05A99E8F" w14:textId="77777777" w:rsidR="007C0B5A" w:rsidRPr="00C64ECB" w:rsidRDefault="007C0B5A" w:rsidP="00126681">
            <w:pPr>
              <w:pStyle w:val="TAC"/>
            </w:pPr>
            <w:r w:rsidRPr="00C64ECB">
              <w:rPr>
                <w:rFonts w:ascii="Cambria" w:hAnsi="Cambria" w:cs="Cambria"/>
              </w:rPr>
              <w:t xml:space="preserve">≥ </w:t>
            </w:r>
            <w:r w:rsidRPr="00C64ECB">
              <w:rPr>
                <w:rFonts w:hint="eastAsia"/>
              </w:rPr>
              <w:t>25</w:t>
            </w:r>
            <w:r w:rsidRPr="00C64ECB">
              <w:t xml:space="preserve"> dB</w:t>
            </w:r>
          </w:p>
        </w:tc>
      </w:tr>
      <w:tr w:rsidR="007C0B5A" w:rsidRPr="00C64ECB" w14:paraId="6C16B4F5" w14:textId="77777777" w:rsidTr="00126681">
        <w:trPr>
          <w:jc w:val="center"/>
        </w:trPr>
        <w:tc>
          <w:tcPr>
            <w:tcW w:w="1795" w:type="dxa"/>
            <w:vAlign w:val="center"/>
          </w:tcPr>
          <w:p w14:paraId="13AF841F" w14:textId="77777777" w:rsidR="007C0B5A" w:rsidRPr="00C64ECB" w:rsidRDefault="007C0B5A" w:rsidP="00126681">
            <w:pPr>
              <w:pStyle w:val="TAC"/>
            </w:pPr>
            <w:r w:rsidRPr="00C64ECB">
              <w:t>Measurement</w:t>
            </w:r>
          </w:p>
          <w:p w14:paraId="4F6C458B" w14:textId="77777777" w:rsidR="007C0B5A" w:rsidRPr="00C64ECB" w:rsidRDefault="007C0B5A" w:rsidP="00126681">
            <w:pPr>
              <w:pStyle w:val="TAC"/>
            </w:pPr>
            <w:r w:rsidRPr="00C64ECB">
              <w:t>bandwidth</w:t>
            </w:r>
          </w:p>
        </w:tc>
        <w:tc>
          <w:tcPr>
            <w:tcW w:w="1065" w:type="dxa"/>
            <w:vAlign w:val="center"/>
          </w:tcPr>
          <w:p w14:paraId="07B4CCC0" w14:textId="77777777" w:rsidR="007C0B5A" w:rsidRPr="00C64ECB" w:rsidRDefault="007C0B5A" w:rsidP="00126681">
            <w:pPr>
              <w:pStyle w:val="TAC"/>
            </w:pPr>
            <w:r w:rsidRPr="00C64ECB">
              <w:rPr>
                <w:rFonts w:hint="eastAsia"/>
              </w:rPr>
              <w:t>18</w:t>
            </w:r>
            <w:r w:rsidRPr="00C64ECB">
              <w:t xml:space="preserve"> MHz</w:t>
            </w:r>
          </w:p>
        </w:tc>
        <w:tc>
          <w:tcPr>
            <w:tcW w:w="2207" w:type="dxa"/>
            <w:vAlign w:val="center"/>
          </w:tcPr>
          <w:p w14:paraId="3E1FA0C4" w14:textId="77777777" w:rsidR="007C0B5A" w:rsidRPr="00C64ECB" w:rsidRDefault="007C0B5A" w:rsidP="00126681">
            <w:pPr>
              <w:pStyle w:val="TAC"/>
            </w:pPr>
            <w:r w:rsidRPr="00C64ECB">
              <w:rPr>
                <w:rFonts w:hint="eastAsia"/>
              </w:rPr>
              <w:t>19</w:t>
            </w:r>
            <w:r w:rsidRPr="00C64ECB">
              <w:t xml:space="preserve"> MHz</w:t>
            </w:r>
          </w:p>
        </w:tc>
        <w:tc>
          <w:tcPr>
            <w:tcW w:w="2207" w:type="dxa"/>
            <w:vAlign w:val="center"/>
          </w:tcPr>
          <w:p w14:paraId="5E674FD3" w14:textId="77777777" w:rsidR="007C0B5A" w:rsidRPr="00C64ECB" w:rsidRDefault="007C0B5A" w:rsidP="00126681">
            <w:pPr>
              <w:pStyle w:val="TAC"/>
            </w:pPr>
            <w:r w:rsidRPr="00C64ECB">
              <w:rPr>
                <w:rFonts w:hint="eastAsia"/>
              </w:rPr>
              <w:t>38</w:t>
            </w:r>
            <w:r w:rsidRPr="00C64ECB">
              <w:t xml:space="preserve"> MHz</w:t>
            </w:r>
          </w:p>
        </w:tc>
        <w:tc>
          <w:tcPr>
            <w:tcW w:w="2207" w:type="dxa"/>
            <w:vAlign w:val="center"/>
          </w:tcPr>
          <w:p w14:paraId="3C6E3C93" w14:textId="77777777" w:rsidR="007C0B5A" w:rsidRPr="00C64ECB" w:rsidRDefault="007C0B5A" w:rsidP="00126681">
            <w:pPr>
              <w:pStyle w:val="TAC"/>
            </w:pPr>
            <w:r w:rsidRPr="00C64ECB">
              <w:rPr>
                <w:rFonts w:hint="eastAsia"/>
              </w:rPr>
              <w:t>78</w:t>
            </w:r>
            <w:r w:rsidRPr="00C64ECB">
              <w:t xml:space="preserve"> MHz</w:t>
            </w:r>
          </w:p>
        </w:tc>
      </w:tr>
      <w:tr w:rsidR="007C0B5A" w:rsidRPr="00C64ECB" w14:paraId="62E93F32" w14:textId="77777777" w:rsidTr="00126681">
        <w:trPr>
          <w:jc w:val="center"/>
        </w:trPr>
        <w:tc>
          <w:tcPr>
            <w:tcW w:w="1795" w:type="dxa"/>
            <w:vAlign w:val="center"/>
          </w:tcPr>
          <w:p w14:paraId="3E2907E0" w14:textId="77777777" w:rsidR="007C0B5A" w:rsidRPr="00C64ECB" w:rsidRDefault="007C0B5A" w:rsidP="00126681">
            <w:pPr>
              <w:pStyle w:val="TAC"/>
            </w:pPr>
            <w:r w:rsidRPr="00C64ECB">
              <w:t>Adjacent channel centre frequency offset [MHz]</w:t>
            </w:r>
          </w:p>
        </w:tc>
        <w:tc>
          <w:tcPr>
            <w:tcW w:w="1065" w:type="dxa"/>
            <w:vAlign w:val="center"/>
          </w:tcPr>
          <w:p w14:paraId="471FF35E" w14:textId="77777777" w:rsidR="007C0B5A" w:rsidRPr="00C64ECB" w:rsidRDefault="007C0B5A" w:rsidP="00126681">
            <w:pPr>
              <w:pStyle w:val="TAC"/>
            </w:pPr>
            <w:r w:rsidRPr="00C64ECB">
              <w:t>+</w:t>
            </w:r>
            <w:r w:rsidRPr="00C64ECB">
              <w:rPr>
                <w:rFonts w:hint="eastAsia"/>
              </w:rPr>
              <w:t>20</w:t>
            </w:r>
          </w:p>
          <w:p w14:paraId="2FC83291" w14:textId="77777777" w:rsidR="007C0B5A" w:rsidRPr="00C64ECB" w:rsidRDefault="007C0B5A" w:rsidP="00126681">
            <w:pPr>
              <w:pStyle w:val="TAC"/>
            </w:pPr>
            <w:r w:rsidRPr="00C64ECB">
              <w:t>/</w:t>
            </w:r>
          </w:p>
          <w:p w14:paraId="2E48C137" w14:textId="77777777" w:rsidR="007C0B5A" w:rsidRPr="00C64ECB" w:rsidRDefault="007C0B5A" w:rsidP="00126681">
            <w:pPr>
              <w:pStyle w:val="TAC"/>
            </w:pPr>
            <w:r w:rsidRPr="00C64ECB">
              <w:t>-</w:t>
            </w:r>
            <w:r w:rsidRPr="00C64ECB">
              <w:rPr>
                <w:rFonts w:hint="eastAsia"/>
              </w:rPr>
              <w:t>20</w:t>
            </w:r>
          </w:p>
        </w:tc>
        <w:tc>
          <w:tcPr>
            <w:tcW w:w="2207" w:type="dxa"/>
            <w:vAlign w:val="center"/>
          </w:tcPr>
          <w:p w14:paraId="38291AF8" w14:textId="77777777" w:rsidR="007C0B5A" w:rsidRPr="00C64ECB" w:rsidRDefault="007C0B5A" w:rsidP="00126681">
            <w:pPr>
              <w:pStyle w:val="TAC"/>
            </w:pPr>
            <w:r w:rsidRPr="00C64ECB">
              <w:t>+</w:t>
            </w:r>
            <w:r w:rsidRPr="00C64ECB">
              <w:rPr>
                <w:rFonts w:hint="eastAsia"/>
              </w:rPr>
              <w:t>20</w:t>
            </w:r>
          </w:p>
          <w:p w14:paraId="1BFC7A95" w14:textId="77777777" w:rsidR="007C0B5A" w:rsidRPr="00C64ECB" w:rsidRDefault="007C0B5A" w:rsidP="00126681">
            <w:pPr>
              <w:pStyle w:val="TAC"/>
            </w:pPr>
            <w:r w:rsidRPr="00C64ECB">
              <w:t>/</w:t>
            </w:r>
          </w:p>
          <w:p w14:paraId="3FF75B7A" w14:textId="77777777" w:rsidR="007C0B5A" w:rsidRPr="00C64ECB" w:rsidRDefault="007C0B5A" w:rsidP="00126681">
            <w:pPr>
              <w:pStyle w:val="TAC"/>
            </w:pPr>
            <w:r w:rsidRPr="00C64ECB">
              <w:t>-</w:t>
            </w:r>
            <w:r w:rsidRPr="00C64ECB">
              <w:rPr>
                <w:rFonts w:hint="eastAsia"/>
              </w:rPr>
              <w:t>20</w:t>
            </w:r>
          </w:p>
        </w:tc>
        <w:tc>
          <w:tcPr>
            <w:tcW w:w="2207" w:type="dxa"/>
            <w:vAlign w:val="center"/>
          </w:tcPr>
          <w:p w14:paraId="0F7D3DC0" w14:textId="77777777" w:rsidR="007C0B5A" w:rsidRPr="00C64ECB" w:rsidRDefault="007C0B5A" w:rsidP="00126681">
            <w:pPr>
              <w:pStyle w:val="TAC"/>
            </w:pPr>
            <w:r w:rsidRPr="00C64ECB">
              <w:t>+</w:t>
            </w:r>
            <w:r w:rsidRPr="00C64ECB">
              <w:rPr>
                <w:rFonts w:hint="eastAsia"/>
              </w:rPr>
              <w:t>40</w:t>
            </w:r>
          </w:p>
          <w:p w14:paraId="52B6ADD7" w14:textId="77777777" w:rsidR="007C0B5A" w:rsidRPr="00C64ECB" w:rsidRDefault="007C0B5A" w:rsidP="00126681">
            <w:pPr>
              <w:pStyle w:val="TAC"/>
            </w:pPr>
            <w:r w:rsidRPr="00C64ECB">
              <w:t>/</w:t>
            </w:r>
          </w:p>
          <w:p w14:paraId="4537E8B2" w14:textId="77777777" w:rsidR="007C0B5A" w:rsidRPr="00C64ECB" w:rsidRDefault="007C0B5A" w:rsidP="00126681">
            <w:pPr>
              <w:pStyle w:val="TAC"/>
            </w:pPr>
            <w:r w:rsidRPr="00C64ECB">
              <w:t>-</w:t>
            </w:r>
            <w:r w:rsidRPr="00C64ECB">
              <w:rPr>
                <w:rFonts w:hint="eastAsia"/>
              </w:rPr>
              <w:t>40</w:t>
            </w:r>
          </w:p>
        </w:tc>
        <w:tc>
          <w:tcPr>
            <w:tcW w:w="2207" w:type="dxa"/>
            <w:vAlign w:val="center"/>
          </w:tcPr>
          <w:p w14:paraId="0CE6DB78" w14:textId="77777777" w:rsidR="007C0B5A" w:rsidRPr="00C64ECB" w:rsidRDefault="007C0B5A" w:rsidP="00126681">
            <w:pPr>
              <w:pStyle w:val="TAC"/>
            </w:pPr>
            <w:r w:rsidRPr="00C64ECB">
              <w:t>+</w:t>
            </w:r>
            <w:r w:rsidRPr="00C64ECB">
              <w:rPr>
                <w:rFonts w:hint="eastAsia"/>
              </w:rPr>
              <w:t>80</w:t>
            </w:r>
          </w:p>
          <w:p w14:paraId="0F7E462A" w14:textId="77777777" w:rsidR="007C0B5A" w:rsidRPr="00C64ECB" w:rsidRDefault="007C0B5A" w:rsidP="00126681">
            <w:pPr>
              <w:pStyle w:val="TAC"/>
            </w:pPr>
            <w:r w:rsidRPr="00C64ECB">
              <w:t>/</w:t>
            </w:r>
          </w:p>
          <w:p w14:paraId="7A567C3E" w14:textId="77777777" w:rsidR="007C0B5A" w:rsidRPr="00C64ECB" w:rsidRDefault="007C0B5A" w:rsidP="00126681">
            <w:pPr>
              <w:pStyle w:val="TAC"/>
            </w:pPr>
            <w:r w:rsidRPr="00C64ECB">
              <w:t>-</w:t>
            </w:r>
            <w:r w:rsidRPr="00C64ECB">
              <w:rPr>
                <w:rFonts w:hint="eastAsia"/>
              </w:rPr>
              <w:t>80</w:t>
            </w:r>
          </w:p>
        </w:tc>
      </w:tr>
    </w:tbl>
    <w:p w14:paraId="292A57ED" w14:textId="77777777" w:rsidR="007C0B5A" w:rsidRPr="00C64ECB" w:rsidRDefault="007C0B5A" w:rsidP="007C0B5A"/>
    <w:p w14:paraId="587BF51D" w14:textId="77777777" w:rsidR="007C0B5A" w:rsidRPr="00C64ECB" w:rsidRDefault="007C0B5A" w:rsidP="007C0B5A">
      <w:pPr>
        <w:pStyle w:val="TH"/>
        <w:rPr>
          <w:rFonts w:cs="v5.0.0"/>
        </w:rPr>
      </w:pPr>
      <w:r w:rsidRPr="00C64ECB">
        <w:t>Table 4.</w:t>
      </w:r>
      <w:r w:rsidR="000D7B67" w:rsidRPr="00C64ECB">
        <w:t>1.</w:t>
      </w:r>
      <w:r w:rsidRPr="00C64ECB">
        <w:t>3.2.1-2:</w:t>
      </w:r>
      <w:r w:rsidRPr="00C64ECB">
        <w:rPr>
          <w:rFonts w:hint="eastAsia"/>
        </w:rPr>
        <w:t xml:space="preserve"> Adjacent Channel Leakage Ratio (ACLR) 2</w:t>
      </w:r>
    </w:p>
    <w:tbl>
      <w:tblPr>
        <w:tblW w:w="9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17"/>
        <w:gridCol w:w="2207"/>
        <w:gridCol w:w="2207"/>
        <w:gridCol w:w="2207"/>
      </w:tblGrid>
      <w:tr w:rsidR="007C0B5A" w:rsidRPr="00C64ECB" w14:paraId="19BF0FD0" w14:textId="77777777" w:rsidTr="00126681">
        <w:trPr>
          <w:jc w:val="center"/>
        </w:trPr>
        <w:tc>
          <w:tcPr>
            <w:tcW w:w="1795" w:type="dxa"/>
            <w:vAlign w:val="center"/>
          </w:tcPr>
          <w:p w14:paraId="26774775" w14:textId="77777777" w:rsidR="007C0B5A" w:rsidRPr="00C64ECB" w:rsidRDefault="007C0B5A" w:rsidP="00126681">
            <w:pPr>
              <w:pStyle w:val="TAH"/>
            </w:pPr>
            <w:r w:rsidRPr="00C64ECB">
              <w:rPr>
                <w:rFonts w:hint="eastAsia"/>
              </w:rPr>
              <w:t>Occupied bandwidth</w:t>
            </w:r>
          </w:p>
        </w:tc>
        <w:tc>
          <w:tcPr>
            <w:tcW w:w="1017" w:type="dxa"/>
            <w:vAlign w:val="center"/>
          </w:tcPr>
          <w:p w14:paraId="48FD18E3" w14:textId="77777777" w:rsidR="007C0B5A" w:rsidRPr="00C64ECB" w:rsidRDefault="007C0B5A" w:rsidP="00126681">
            <w:pPr>
              <w:pStyle w:val="TAH"/>
            </w:pPr>
            <w:r w:rsidRPr="00C64ECB">
              <w:t>≤</w:t>
            </w:r>
            <w:r w:rsidRPr="00C64ECB">
              <w:rPr>
                <w:rFonts w:hint="eastAsia"/>
              </w:rPr>
              <w:t xml:space="preserve"> </w:t>
            </w:r>
            <w:r w:rsidRPr="00C64ECB">
              <w:t>1</w:t>
            </w:r>
            <w:r w:rsidRPr="00C64ECB">
              <w:rPr>
                <w:rFonts w:hint="eastAsia"/>
              </w:rPr>
              <w:t>8</w:t>
            </w:r>
            <w:r w:rsidRPr="00C64ECB">
              <w:t>MHz</w:t>
            </w:r>
          </w:p>
        </w:tc>
        <w:tc>
          <w:tcPr>
            <w:tcW w:w="2207" w:type="dxa"/>
            <w:vAlign w:val="center"/>
          </w:tcPr>
          <w:p w14:paraId="30B09DF3" w14:textId="77777777" w:rsidR="007C0B5A" w:rsidRPr="00C64ECB" w:rsidRDefault="007C0B5A" w:rsidP="00126681">
            <w:pPr>
              <w:pStyle w:val="TAH"/>
            </w:pPr>
            <w:r w:rsidRPr="00C64ECB">
              <w:rPr>
                <w:rFonts w:ascii="Cambria" w:hAnsi="Cambria" w:cs="Cambria"/>
              </w:rPr>
              <w:t>&gt;</w:t>
            </w:r>
            <w:r w:rsidRPr="00C64ECB">
              <w:rPr>
                <w:rFonts w:hint="eastAsia"/>
              </w:rPr>
              <w:t xml:space="preserve"> 18MHz and </w:t>
            </w:r>
            <w:r w:rsidRPr="00C64ECB">
              <w:t>≤</w:t>
            </w:r>
            <w:r w:rsidRPr="00C64ECB">
              <w:rPr>
                <w:rFonts w:hint="eastAsia"/>
              </w:rPr>
              <w:t xml:space="preserve"> 19</w:t>
            </w:r>
            <w:r w:rsidRPr="00C64ECB">
              <w:t>MHz</w:t>
            </w:r>
          </w:p>
        </w:tc>
        <w:tc>
          <w:tcPr>
            <w:tcW w:w="2207" w:type="dxa"/>
            <w:vAlign w:val="center"/>
          </w:tcPr>
          <w:p w14:paraId="02A832D2" w14:textId="77777777" w:rsidR="007C0B5A" w:rsidRPr="00C64ECB" w:rsidRDefault="007C0B5A" w:rsidP="00126681">
            <w:pPr>
              <w:pStyle w:val="TAH"/>
            </w:pPr>
            <w:r w:rsidRPr="00C64ECB">
              <w:rPr>
                <w:rFonts w:ascii="Cambria" w:hAnsi="Cambria" w:cs="Cambria"/>
              </w:rPr>
              <w:t>&gt;</w:t>
            </w:r>
            <w:r w:rsidRPr="00C64ECB">
              <w:rPr>
                <w:rFonts w:hint="eastAsia"/>
              </w:rPr>
              <w:t xml:space="preserve"> 19MHz and </w:t>
            </w:r>
            <w:r w:rsidRPr="00C64ECB">
              <w:t>≤</w:t>
            </w:r>
            <w:r w:rsidRPr="00C64ECB">
              <w:rPr>
                <w:rFonts w:hint="eastAsia"/>
              </w:rPr>
              <w:t xml:space="preserve"> 38</w:t>
            </w:r>
            <w:r w:rsidRPr="00C64ECB">
              <w:t>MHz</w:t>
            </w:r>
          </w:p>
        </w:tc>
        <w:tc>
          <w:tcPr>
            <w:tcW w:w="2207" w:type="dxa"/>
            <w:vAlign w:val="center"/>
          </w:tcPr>
          <w:p w14:paraId="09B256F8" w14:textId="77777777" w:rsidR="007C0B5A" w:rsidRPr="00C64ECB" w:rsidRDefault="007C0B5A" w:rsidP="00126681">
            <w:pPr>
              <w:pStyle w:val="TAH"/>
            </w:pPr>
            <w:r w:rsidRPr="00C64ECB">
              <w:rPr>
                <w:rFonts w:ascii="Cambria" w:hAnsi="Cambria" w:cs="Cambria"/>
              </w:rPr>
              <w:t>&gt;</w:t>
            </w:r>
            <w:r w:rsidRPr="00C64ECB">
              <w:rPr>
                <w:rFonts w:hint="eastAsia"/>
              </w:rPr>
              <w:t xml:space="preserve"> 38MHz and </w:t>
            </w:r>
            <w:r w:rsidRPr="00C64ECB">
              <w:t>≤</w:t>
            </w:r>
            <w:r w:rsidRPr="00C64ECB">
              <w:rPr>
                <w:rFonts w:hint="eastAsia"/>
              </w:rPr>
              <w:t xml:space="preserve"> 78</w:t>
            </w:r>
            <w:r w:rsidRPr="00C64ECB">
              <w:t>MHz</w:t>
            </w:r>
          </w:p>
        </w:tc>
      </w:tr>
      <w:tr w:rsidR="007C0B5A" w:rsidRPr="00C64ECB" w14:paraId="6DC6E7FC" w14:textId="77777777" w:rsidTr="00126681">
        <w:trPr>
          <w:jc w:val="center"/>
        </w:trPr>
        <w:tc>
          <w:tcPr>
            <w:tcW w:w="1795" w:type="dxa"/>
            <w:vAlign w:val="center"/>
          </w:tcPr>
          <w:p w14:paraId="51CE4D02" w14:textId="77777777" w:rsidR="007C0B5A" w:rsidRPr="00C64ECB" w:rsidRDefault="007C0B5A" w:rsidP="00126681">
            <w:pPr>
              <w:pStyle w:val="TAC"/>
            </w:pPr>
            <w:r w:rsidRPr="00C64ECB">
              <w:rPr>
                <w:rFonts w:hint="eastAsia"/>
              </w:rPr>
              <w:t>ACLR 2</w:t>
            </w:r>
          </w:p>
        </w:tc>
        <w:tc>
          <w:tcPr>
            <w:tcW w:w="1017" w:type="dxa"/>
            <w:vAlign w:val="center"/>
          </w:tcPr>
          <w:p w14:paraId="726D27FE" w14:textId="77777777" w:rsidR="007C0B5A" w:rsidRPr="00C64ECB" w:rsidRDefault="007C0B5A" w:rsidP="00126681">
            <w:pPr>
              <w:pStyle w:val="TAC"/>
            </w:pPr>
            <w:r w:rsidRPr="00C64ECB">
              <w:rPr>
                <w:rFonts w:ascii="Cambria" w:hAnsi="Cambria" w:cs="Cambria"/>
              </w:rPr>
              <w:t xml:space="preserve">≥ </w:t>
            </w:r>
            <w:r w:rsidRPr="00C64ECB">
              <w:rPr>
                <w:rFonts w:hint="eastAsia"/>
              </w:rPr>
              <w:t>40</w:t>
            </w:r>
            <w:r w:rsidRPr="00C64ECB">
              <w:t xml:space="preserve"> dB</w:t>
            </w:r>
          </w:p>
        </w:tc>
        <w:tc>
          <w:tcPr>
            <w:tcW w:w="2207" w:type="dxa"/>
            <w:vAlign w:val="center"/>
          </w:tcPr>
          <w:p w14:paraId="60A430C2" w14:textId="77777777" w:rsidR="007C0B5A" w:rsidRPr="00C64ECB" w:rsidRDefault="007C0B5A" w:rsidP="00126681">
            <w:pPr>
              <w:pStyle w:val="TAC"/>
            </w:pPr>
            <w:r w:rsidRPr="00C64ECB">
              <w:rPr>
                <w:rFonts w:ascii="Cambria" w:hAnsi="Cambria" w:cs="Cambria"/>
              </w:rPr>
              <w:t xml:space="preserve">≥ </w:t>
            </w:r>
            <w:r w:rsidRPr="00C64ECB">
              <w:rPr>
                <w:rFonts w:hint="eastAsia"/>
              </w:rPr>
              <w:t>40</w:t>
            </w:r>
            <w:r w:rsidRPr="00C64ECB">
              <w:t xml:space="preserve"> dB</w:t>
            </w:r>
          </w:p>
        </w:tc>
        <w:tc>
          <w:tcPr>
            <w:tcW w:w="2207" w:type="dxa"/>
            <w:vAlign w:val="center"/>
          </w:tcPr>
          <w:p w14:paraId="15EF7B7D" w14:textId="77777777" w:rsidR="007C0B5A" w:rsidRPr="00C64ECB" w:rsidRDefault="007C0B5A" w:rsidP="00126681">
            <w:pPr>
              <w:pStyle w:val="TAC"/>
            </w:pPr>
            <w:r w:rsidRPr="00C64ECB">
              <w:rPr>
                <w:rFonts w:ascii="Cambria" w:hAnsi="Cambria" w:cs="Cambria"/>
              </w:rPr>
              <w:t xml:space="preserve">≥ </w:t>
            </w:r>
            <w:r w:rsidRPr="00C64ECB">
              <w:rPr>
                <w:rFonts w:hint="eastAsia"/>
              </w:rPr>
              <w:t>40</w:t>
            </w:r>
            <w:r w:rsidRPr="00C64ECB">
              <w:t xml:space="preserve"> dB</w:t>
            </w:r>
          </w:p>
        </w:tc>
        <w:tc>
          <w:tcPr>
            <w:tcW w:w="2207" w:type="dxa"/>
            <w:vAlign w:val="center"/>
          </w:tcPr>
          <w:p w14:paraId="1F612B4D" w14:textId="77777777" w:rsidR="007C0B5A" w:rsidRPr="00C64ECB" w:rsidRDefault="007C0B5A" w:rsidP="00126681">
            <w:pPr>
              <w:pStyle w:val="TAC"/>
            </w:pPr>
            <w:r w:rsidRPr="00C64ECB">
              <w:rPr>
                <w:rFonts w:hint="eastAsia"/>
              </w:rPr>
              <w:t>-</w:t>
            </w:r>
          </w:p>
        </w:tc>
      </w:tr>
      <w:tr w:rsidR="007C0B5A" w:rsidRPr="00C64ECB" w14:paraId="79B9F43E" w14:textId="77777777" w:rsidTr="00126681">
        <w:trPr>
          <w:jc w:val="center"/>
        </w:trPr>
        <w:tc>
          <w:tcPr>
            <w:tcW w:w="1795" w:type="dxa"/>
            <w:vAlign w:val="center"/>
          </w:tcPr>
          <w:p w14:paraId="02BEA589" w14:textId="77777777" w:rsidR="007C0B5A" w:rsidRPr="00C64ECB" w:rsidRDefault="007C0B5A" w:rsidP="00126681">
            <w:pPr>
              <w:pStyle w:val="TAC"/>
            </w:pPr>
            <w:r w:rsidRPr="00C64ECB">
              <w:t>Measurement</w:t>
            </w:r>
          </w:p>
          <w:p w14:paraId="66E13D54" w14:textId="77777777" w:rsidR="007C0B5A" w:rsidRPr="00C64ECB" w:rsidRDefault="007C0B5A" w:rsidP="00126681">
            <w:pPr>
              <w:pStyle w:val="TAC"/>
            </w:pPr>
            <w:r w:rsidRPr="00C64ECB">
              <w:t>bandwidth</w:t>
            </w:r>
          </w:p>
        </w:tc>
        <w:tc>
          <w:tcPr>
            <w:tcW w:w="1017" w:type="dxa"/>
            <w:vAlign w:val="center"/>
          </w:tcPr>
          <w:p w14:paraId="69FAA113" w14:textId="77777777" w:rsidR="007C0B5A" w:rsidRPr="00C64ECB" w:rsidRDefault="007C0B5A" w:rsidP="00126681">
            <w:pPr>
              <w:pStyle w:val="TAC"/>
            </w:pPr>
            <w:r w:rsidRPr="00C64ECB">
              <w:rPr>
                <w:rFonts w:hint="eastAsia"/>
              </w:rPr>
              <w:t>18</w:t>
            </w:r>
            <w:r w:rsidRPr="00C64ECB">
              <w:t xml:space="preserve"> MHz</w:t>
            </w:r>
          </w:p>
        </w:tc>
        <w:tc>
          <w:tcPr>
            <w:tcW w:w="2207" w:type="dxa"/>
            <w:vAlign w:val="center"/>
          </w:tcPr>
          <w:p w14:paraId="4F02336A" w14:textId="77777777" w:rsidR="007C0B5A" w:rsidRPr="00C64ECB" w:rsidRDefault="007C0B5A" w:rsidP="00126681">
            <w:pPr>
              <w:pStyle w:val="TAC"/>
            </w:pPr>
            <w:r w:rsidRPr="00C64ECB">
              <w:rPr>
                <w:rFonts w:hint="eastAsia"/>
              </w:rPr>
              <w:t>19</w:t>
            </w:r>
            <w:r w:rsidRPr="00C64ECB">
              <w:t xml:space="preserve"> MHz</w:t>
            </w:r>
          </w:p>
        </w:tc>
        <w:tc>
          <w:tcPr>
            <w:tcW w:w="2207" w:type="dxa"/>
            <w:vAlign w:val="center"/>
          </w:tcPr>
          <w:p w14:paraId="227B375C" w14:textId="77777777" w:rsidR="007C0B5A" w:rsidRPr="00C64ECB" w:rsidRDefault="007C0B5A" w:rsidP="00126681">
            <w:pPr>
              <w:pStyle w:val="TAC"/>
            </w:pPr>
            <w:r w:rsidRPr="00C64ECB">
              <w:rPr>
                <w:rFonts w:hint="eastAsia"/>
              </w:rPr>
              <w:t>38</w:t>
            </w:r>
            <w:r w:rsidRPr="00C64ECB">
              <w:t xml:space="preserve"> MHz</w:t>
            </w:r>
          </w:p>
        </w:tc>
        <w:tc>
          <w:tcPr>
            <w:tcW w:w="2207" w:type="dxa"/>
            <w:vAlign w:val="center"/>
          </w:tcPr>
          <w:p w14:paraId="6C0793B2" w14:textId="77777777" w:rsidR="007C0B5A" w:rsidRPr="00C64ECB" w:rsidRDefault="007C0B5A" w:rsidP="00126681">
            <w:pPr>
              <w:pStyle w:val="TAC"/>
            </w:pPr>
            <w:r w:rsidRPr="00C64ECB">
              <w:rPr>
                <w:rFonts w:hint="eastAsia"/>
              </w:rPr>
              <w:t>-</w:t>
            </w:r>
          </w:p>
        </w:tc>
      </w:tr>
      <w:tr w:rsidR="007C0B5A" w:rsidRPr="00C64ECB" w14:paraId="3D0963ED" w14:textId="77777777" w:rsidTr="00126681">
        <w:trPr>
          <w:jc w:val="center"/>
        </w:trPr>
        <w:tc>
          <w:tcPr>
            <w:tcW w:w="1795" w:type="dxa"/>
            <w:vAlign w:val="center"/>
          </w:tcPr>
          <w:p w14:paraId="6DDBF3F8" w14:textId="77777777" w:rsidR="007C0B5A" w:rsidRPr="00C64ECB" w:rsidRDefault="007C0B5A" w:rsidP="00126681">
            <w:pPr>
              <w:pStyle w:val="TAC"/>
            </w:pPr>
            <w:r w:rsidRPr="00C64ECB">
              <w:t>Adjacent channel centre frequency offset [MHz]</w:t>
            </w:r>
          </w:p>
        </w:tc>
        <w:tc>
          <w:tcPr>
            <w:tcW w:w="1017" w:type="dxa"/>
            <w:vAlign w:val="center"/>
          </w:tcPr>
          <w:p w14:paraId="2A2B5E44" w14:textId="77777777" w:rsidR="007C0B5A" w:rsidRPr="00C64ECB" w:rsidRDefault="007C0B5A" w:rsidP="00126681">
            <w:pPr>
              <w:pStyle w:val="TAC"/>
            </w:pPr>
            <w:r w:rsidRPr="00C64ECB">
              <w:t>+</w:t>
            </w:r>
            <w:r w:rsidRPr="00C64ECB">
              <w:rPr>
                <w:rFonts w:hint="eastAsia"/>
              </w:rPr>
              <w:t>40</w:t>
            </w:r>
          </w:p>
          <w:p w14:paraId="5CCC2334" w14:textId="77777777" w:rsidR="007C0B5A" w:rsidRPr="00C64ECB" w:rsidRDefault="007C0B5A" w:rsidP="00126681">
            <w:pPr>
              <w:pStyle w:val="TAC"/>
            </w:pPr>
            <w:r w:rsidRPr="00C64ECB">
              <w:t>/</w:t>
            </w:r>
          </w:p>
          <w:p w14:paraId="1E6F6D31" w14:textId="77777777" w:rsidR="007C0B5A" w:rsidRPr="00C64ECB" w:rsidRDefault="007C0B5A" w:rsidP="00126681">
            <w:pPr>
              <w:pStyle w:val="TAC"/>
            </w:pPr>
            <w:r w:rsidRPr="00C64ECB">
              <w:t>-</w:t>
            </w:r>
            <w:r w:rsidRPr="00C64ECB">
              <w:rPr>
                <w:rFonts w:hint="eastAsia"/>
              </w:rPr>
              <w:t>40</w:t>
            </w:r>
          </w:p>
        </w:tc>
        <w:tc>
          <w:tcPr>
            <w:tcW w:w="2207" w:type="dxa"/>
            <w:vAlign w:val="center"/>
          </w:tcPr>
          <w:p w14:paraId="33BCA879" w14:textId="77777777" w:rsidR="007C0B5A" w:rsidRPr="00C64ECB" w:rsidRDefault="007C0B5A" w:rsidP="00126681">
            <w:pPr>
              <w:pStyle w:val="TAC"/>
            </w:pPr>
            <w:r w:rsidRPr="00C64ECB">
              <w:t>+</w:t>
            </w:r>
            <w:r w:rsidRPr="00C64ECB">
              <w:rPr>
                <w:rFonts w:hint="eastAsia"/>
              </w:rPr>
              <w:t>40</w:t>
            </w:r>
          </w:p>
          <w:p w14:paraId="67980238" w14:textId="77777777" w:rsidR="007C0B5A" w:rsidRPr="00C64ECB" w:rsidRDefault="007C0B5A" w:rsidP="00126681">
            <w:pPr>
              <w:pStyle w:val="TAC"/>
            </w:pPr>
            <w:r w:rsidRPr="00C64ECB">
              <w:t>/</w:t>
            </w:r>
          </w:p>
          <w:p w14:paraId="4D9A1D7F" w14:textId="77777777" w:rsidR="007C0B5A" w:rsidRPr="00C64ECB" w:rsidRDefault="007C0B5A" w:rsidP="00126681">
            <w:pPr>
              <w:pStyle w:val="TAC"/>
            </w:pPr>
            <w:r w:rsidRPr="00C64ECB">
              <w:t>-</w:t>
            </w:r>
            <w:r w:rsidRPr="00C64ECB">
              <w:rPr>
                <w:rFonts w:hint="eastAsia"/>
              </w:rPr>
              <w:t>40</w:t>
            </w:r>
          </w:p>
        </w:tc>
        <w:tc>
          <w:tcPr>
            <w:tcW w:w="2207" w:type="dxa"/>
            <w:vAlign w:val="center"/>
          </w:tcPr>
          <w:p w14:paraId="2C6A7458" w14:textId="77777777" w:rsidR="007C0B5A" w:rsidRPr="00C64ECB" w:rsidRDefault="007C0B5A" w:rsidP="00126681">
            <w:pPr>
              <w:pStyle w:val="TAC"/>
            </w:pPr>
            <w:r w:rsidRPr="00C64ECB">
              <w:t>+</w:t>
            </w:r>
            <w:r w:rsidRPr="00C64ECB">
              <w:rPr>
                <w:rFonts w:hint="eastAsia"/>
              </w:rPr>
              <w:t>80</w:t>
            </w:r>
          </w:p>
          <w:p w14:paraId="0AFE1A54" w14:textId="77777777" w:rsidR="007C0B5A" w:rsidRPr="00C64ECB" w:rsidRDefault="007C0B5A" w:rsidP="00126681">
            <w:pPr>
              <w:pStyle w:val="TAC"/>
            </w:pPr>
            <w:r w:rsidRPr="00C64ECB">
              <w:t>/</w:t>
            </w:r>
          </w:p>
          <w:p w14:paraId="5144D17F" w14:textId="77777777" w:rsidR="007C0B5A" w:rsidRPr="00C64ECB" w:rsidRDefault="007C0B5A" w:rsidP="00126681">
            <w:pPr>
              <w:pStyle w:val="TAC"/>
            </w:pPr>
            <w:r w:rsidRPr="00C64ECB">
              <w:t>-</w:t>
            </w:r>
            <w:r w:rsidRPr="00C64ECB">
              <w:rPr>
                <w:rFonts w:hint="eastAsia"/>
              </w:rPr>
              <w:t>80</w:t>
            </w:r>
          </w:p>
        </w:tc>
        <w:tc>
          <w:tcPr>
            <w:tcW w:w="2207" w:type="dxa"/>
            <w:vAlign w:val="center"/>
          </w:tcPr>
          <w:p w14:paraId="5825CBD4" w14:textId="77777777" w:rsidR="007C0B5A" w:rsidRPr="00C64ECB" w:rsidRDefault="007C0B5A" w:rsidP="00126681">
            <w:pPr>
              <w:pStyle w:val="TAC"/>
            </w:pPr>
            <w:r w:rsidRPr="00C64ECB">
              <w:rPr>
                <w:rFonts w:hint="eastAsia"/>
              </w:rPr>
              <w:t>-</w:t>
            </w:r>
          </w:p>
        </w:tc>
      </w:tr>
    </w:tbl>
    <w:p w14:paraId="2C4B41C2" w14:textId="77777777" w:rsidR="007C0B5A" w:rsidRPr="00C64ECB" w:rsidRDefault="007C0B5A" w:rsidP="007C0B5A"/>
    <w:p w14:paraId="5E266DF7" w14:textId="231C12A6" w:rsidR="007C0B5A" w:rsidRPr="00C64ECB" w:rsidRDefault="007C0B5A" w:rsidP="007C0B5A">
      <w:r w:rsidRPr="00C64ECB">
        <w:t>Occupied bandwidth ≤ 18 MHz:</w:t>
      </w:r>
    </w:p>
    <w:p w14:paraId="0355894E" w14:textId="77777777" w:rsidR="007C0B5A" w:rsidRPr="00C64ECB" w:rsidRDefault="007C0B5A" w:rsidP="007C0B5A">
      <w:pPr>
        <w:pStyle w:val="TH"/>
      </w:pPr>
      <w:r w:rsidRPr="00C64ECB">
        <w:t>Table 4.</w:t>
      </w:r>
      <w:r w:rsidR="000D7B67" w:rsidRPr="00C64ECB">
        <w:t>1.</w:t>
      </w:r>
      <w:r w:rsidRPr="00C64ECB">
        <w:t>3.2.1-3: SEM: Occupied bandwidth ≤ 18 MHz</w:t>
      </w:r>
    </w:p>
    <w:tbl>
      <w:tblPr>
        <w:tblW w:w="8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7"/>
        <w:gridCol w:w="1971"/>
        <w:gridCol w:w="3155"/>
        <w:gridCol w:w="2126"/>
      </w:tblGrid>
      <w:tr w:rsidR="007C0B5A" w:rsidRPr="00C64ECB" w14:paraId="59C36F1B" w14:textId="77777777" w:rsidTr="00126681">
        <w:trPr>
          <w:jc w:val="center"/>
        </w:trPr>
        <w:tc>
          <w:tcPr>
            <w:tcW w:w="1357" w:type="dxa"/>
          </w:tcPr>
          <w:p w14:paraId="03813062" w14:textId="77777777" w:rsidR="007C0B5A" w:rsidRPr="00C64ECB" w:rsidRDefault="007C0B5A" w:rsidP="00126681">
            <w:pPr>
              <w:pStyle w:val="TAH"/>
            </w:pPr>
            <w:r w:rsidRPr="00C64ECB">
              <w:rPr>
                <w:rFonts w:hint="eastAsia"/>
              </w:rPr>
              <w:t xml:space="preserve">Centre </w:t>
            </w:r>
          </w:p>
          <w:p w14:paraId="0E29D82D" w14:textId="77777777" w:rsidR="007C0B5A" w:rsidRPr="00C64ECB" w:rsidRDefault="007C0B5A" w:rsidP="00126681">
            <w:pPr>
              <w:pStyle w:val="TAH"/>
            </w:pPr>
            <w:r w:rsidRPr="00C64ECB">
              <w:rPr>
                <w:rFonts w:hint="eastAsia"/>
              </w:rPr>
              <w:t xml:space="preserve">Frequency </w:t>
            </w:r>
          </w:p>
          <w:p w14:paraId="7656EF24" w14:textId="77777777" w:rsidR="007C0B5A" w:rsidRPr="00C64ECB" w:rsidRDefault="007C0B5A" w:rsidP="00126681">
            <w:pPr>
              <w:pStyle w:val="TAH"/>
            </w:pPr>
            <w:r w:rsidRPr="00C64ECB">
              <w:rPr>
                <w:rFonts w:hint="eastAsia"/>
              </w:rPr>
              <w:t>(MHz)</w:t>
            </w:r>
          </w:p>
        </w:tc>
        <w:tc>
          <w:tcPr>
            <w:tcW w:w="1971" w:type="dxa"/>
          </w:tcPr>
          <w:p w14:paraId="00212C25" w14:textId="77777777" w:rsidR="007C0B5A" w:rsidRPr="00C64ECB" w:rsidRDefault="007C0B5A" w:rsidP="00126681">
            <w:pPr>
              <w:pStyle w:val="TAH"/>
            </w:pPr>
            <w:r w:rsidRPr="00C64ECB">
              <w:rPr>
                <w:rFonts w:hint="eastAsia"/>
              </w:rPr>
              <w:t>Frequency range(f)</w:t>
            </w:r>
          </w:p>
          <w:p w14:paraId="13A748DB" w14:textId="77777777" w:rsidR="007C0B5A" w:rsidRPr="00C64ECB" w:rsidRDefault="007C0B5A" w:rsidP="00126681">
            <w:pPr>
              <w:pStyle w:val="TAH"/>
            </w:pPr>
            <w:r w:rsidRPr="00C64ECB">
              <w:rPr>
                <w:rFonts w:hint="eastAsia"/>
              </w:rPr>
              <w:t>(MHz)</w:t>
            </w:r>
          </w:p>
        </w:tc>
        <w:tc>
          <w:tcPr>
            <w:tcW w:w="3155" w:type="dxa"/>
          </w:tcPr>
          <w:p w14:paraId="13A2C2FE" w14:textId="77777777" w:rsidR="007C0B5A" w:rsidRPr="00C64ECB" w:rsidRDefault="007C0B5A" w:rsidP="00126681">
            <w:pPr>
              <w:pStyle w:val="TAH"/>
            </w:pPr>
            <w:r w:rsidRPr="00C64ECB">
              <w:rPr>
                <w:rFonts w:hint="eastAsia"/>
              </w:rPr>
              <w:t xml:space="preserve">Frequency difference </w:t>
            </w:r>
            <w:r w:rsidRPr="00C64ECB">
              <w:t>between</w:t>
            </w:r>
            <w:r w:rsidRPr="00C64ECB">
              <w:rPr>
                <w:rFonts w:hint="eastAsia"/>
              </w:rPr>
              <w:t xml:space="preserve"> centre frequency </w:t>
            </w:r>
            <w:r w:rsidRPr="00C64ECB">
              <w:t>–</w:t>
            </w:r>
            <w:r w:rsidRPr="00C64ECB">
              <w:rPr>
                <w:rFonts w:hint="eastAsia"/>
              </w:rPr>
              <w:t xml:space="preserve"> the edges of frequency range(MHz)</w:t>
            </w:r>
          </w:p>
        </w:tc>
        <w:tc>
          <w:tcPr>
            <w:tcW w:w="2126" w:type="dxa"/>
          </w:tcPr>
          <w:p w14:paraId="661F4C6A" w14:textId="77777777" w:rsidR="007C0B5A" w:rsidRPr="00C64ECB" w:rsidRDefault="007C0B5A" w:rsidP="00126681">
            <w:pPr>
              <w:pStyle w:val="TAH"/>
            </w:pPr>
            <w:r w:rsidRPr="00C64ECB">
              <w:rPr>
                <w:rFonts w:hint="eastAsia"/>
              </w:rPr>
              <w:t>e.i.r.p/MHz</w:t>
            </w:r>
          </w:p>
        </w:tc>
      </w:tr>
      <w:tr w:rsidR="007C0B5A" w:rsidRPr="00C64ECB" w14:paraId="7A923412" w14:textId="77777777" w:rsidTr="00126681">
        <w:trPr>
          <w:jc w:val="center"/>
        </w:trPr>
        <w:tc>
          <w:tcPr>
            <w:tcW w:w="1357" w:type="dxa"/>
            <w:vMerge w:val="restart"/>
            <w:vAlign w:val="center"/>
          </w:tcPr>
          <w:p w14:paraId="398A40BE" w14:textId="77777777" w:rsidR="007C0B5A" w:rsidRPr="00C64ECB" w:rsidRDefault="007C0B5A" w:rsidP="00126681">
            <w:pPr>
              <w:pStyle w:val="TAC"/>
            </w:pPr>
            <w:r w:rsidRPr="00C64ECB">
              <w:rPr>
                <w:rFonts w:hint="eastAsia"/>
              </w:rPr>
              <w:t>5240</w:t>
            </w:r>
          </w:p>
        </w:tc>
        <w:tc>
          <w:tcPr>
            <w:tcW w:w="1971" w:type="dxa"/>
            <w:vAlign w:val="center"/>
          </w:tcPr>
          <w:p w14:paraId="07E27C03" w14:textId="77777777" w:rsidR="007C0B5A" w:rsidRPr="00C64ECB" w:rsidRDefault="007C0B5A" w:rsidP="00126681">
            <w:pPr>
              <w:pStyle w:val="TAC"/>
            </w:pPr>
            <w:r w:rsidRPr="00C64ECB">
              <w:rPr>
                <w:rFonts w:hint="eastAsia"/>
              </w:rPr>
              <w:t xml:space="preserve">5140 </w:t>
            </w:r>
            <w:r w:rsidRPr="00C64ECB">
              <w:t>≤</w:t>
            </w:r>
            <w:r w:rsidRPr="00C64ECB">
              <w:rPr>
                <w:rFonts w:hint="eastAsia"/>
              </w:rPr>
              <w:t xml:space="preserve"> f </w:t>
            </w:r>
            <w:r w:rsidRPr="00C64ECB">
              <w:t>≤</w:t>
            </w:r>
            <w:r w:rsidRPr="00C64ECB">
              <w:rPr>
                <w:rFonts w:hint="eastAsia"/>
              </w:rPr>
              <w:t xml:space="preserve"> 5142</w:t>
            </w:r>
          </w:p>
        </w:tc>
        <w:tc>
          <w:tcPr>
            <w:tcW w:w="3155" w:type="dxa"/>
          </w:tcPr>
          <w:p w14:paraId="16BC4167" w14:textId="77777777" w:rsidR="007C0B5A" w:rsidRPr="00C64ECB" w:rsidRDefault="007C0B5A" w:rsidP="00126681">
            <w:pPr>
              <w:pStyle w:val="TAC"/>
            </w:pPr>
            <w:r w:rsidRPr="00C64ECB">
              <w:t>≥</w:t>
            </w:r>
            <w:r w:rsidRPr="00C64ECB">
              <w:rPr>
                <w:rFonts w:hint="eastAsia"/>
              </w:rPr>
              <w:t xml:space="preserve"> 98 and </w:t>
            </w:r>
            <w:r w:rsidRPr="00C64ECB">
              <w:t>≤</w:t>
            </w:r>
            <w:r w:rsidRPr="00C64ECB">
              <w:rPr>
                <w:rFonts w:hint="eastAsia"/>
              </w:rPr>
              <w:t xml:space="preserve"> 100</w:t>
            </w:r>
          </w:p>
        </w:tc>
        <w:tc>
          <w:tcPr>
            <w:tcW w:w="2126" w:type="dxa"/>
            <w:vAlign w:val="center"/>
          </w:tcPr>
          <w:p w14:paraId="4F25DCBE"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6133717B" w14:textId="77777777" w:rsidTr="00126681">
        <w:trPr>
          <w:jc w:val="center"/>
        </w:trPr>
        <w:tc>
          <w:tcPr>
            <w:tcW w:w="1357" w:type="dxa"/>
            <w:vMerge/>
            <w:vAlign w:val="center"/>
          </w:tcPr>
          <w:p w14:paraId="55E48894" w14:textId="77777777" w:rsidR="007C0B5A" w:rsidRPr="00C64ECB" w:rsidRDefault="007C0B5A" w:rsidP="00126681">
            <w:pPr>
              <w:pStyle w:val="TAC"/>
            </w:pPr>
          </w:p>
        </w:tc>
        <w:tc>
          <w:tcPr>
            <w:tcW w:w="1971" w:type="dxa"/>
            <w:vAlign w:val="center"/>
          </w:tcPr>
          <w:p w14:paraId="3B58814A" w14:textId="77777777" w:rsidR="007C0B5A" w:rsidRPr="00C64ECB" w:rsidRDefault="007C0B5A" w:rsidP="00126681">
            <w:pPr>
              <w:pStyle w:val="TAC"/>
            </w:pPr>
            <w:r w:rsidRPr="00C64ECB">
              <w:rPr>
                <w:rFonts w:hint="eastAsia"/>
              </w:rPr>
              <w:t xml:space="preserve">5142 </w:t>
            </w:r>
            <w:r w:rsidRPr="00C64ECB">
              <w:t>&lt;</w:t>
            </w:r>
            <w:r w:rsidRPr="00C64ECB">
              <w:rPr>
                <w:rFonts w:hint="eastAsia"/>
              </w:rPr>
              <w:t xml:space="preserve"> f </w:t>
            </w:r>
            <w:r w:rsidRPr="00C64ECB">
              <w:t>≤</w:t>
            </w:r>
            <w:r w:rsidRPr="00C64ECB">
              <w:rPr>
                <w:rFonts w:hint="eastAsia"/>
              </w:rPr>
              <w:t xml:space="preserve"> 5150</w:t>
            </w:r>
          </w:p>
        </w:tc>
        <w:tc>
          <w:tcPr>
            <w:tcW w:w="3155" w:type="dxa"/>
          </w:tcPr>
          <w:p w14:paraId="4D64C076" w14:textId="77777777" w:rsidR="007C0B5A" w:rsidRPr="00C64ECB" w:rsidRDefault="007C0B5A" w:rsidP="00126681">
            <w:pPr>
              <w:pStyle w:val="TAC"/>
            </w:pPr>
            <w:r w:rsidRPr="00C64ECB">
              <w:t>≥</w:t>
            </w:r>
            <w:r w:rsidRPr="00C64ECB">
              <w:rPr>
                <w:rFonts w:hint="eastAsia"/>
              </w:rPr>
              <w:t xml:space="preserve"> 90 and </w:t>
            </w:r>
            <w:r w:rsidRPr="00C64ECB">
              <w:t>&lt;</w:t>
            </w:r>
            <w:r w:rsidRPr="00C64ECB">
              <w:rPr>
                <w:rFonts w:hint="eastAsia"/>
              </w:rPr>
              <w:t xml:space="preserve"> 98</w:t>
            </w:r>
          </w:p>
        </w:tc>
        <w:tc>
          <w:tcPr>
            <w:tcW w:w="2126" w:type="dxa"/>
            <w:vAlign w:val="center"/>
          </w:tcPr>
          <w:p w14:paraId="2D383AC5" w14:textId="77777777" w:rsidR="007C0B5A" w:rsidRPr="00C64ECB" w:rsidRDefault="007C0B5A" w:rsidP="00126681">
            <w:pPr>
              <w:pStyle w:val="TAC"/>
            </w:pPr>
            <w:r w:rsidRPr="00C64ECB">
              <w:t>≤</w:t>
            </w:r>
            <w:r w:rsidRPr="00C64ECB">
              <w:rPr>
                <w:rFonts w:hint="eastAsia"/>
              </w:rPr>
              <w:t xml:space="preserve"> 15 </w:t>
            </w:r>
            <w:r w:rsidRPr="00C64ECB">
              <w:rPr>
                <w:rFonts w:ascii="Symbol" w:hAnsi="Symbol"/>
              </w:rPr>
              <w:t></w:t>
            </w:r>
            <w:r w:rsidRPr="00C64ECB">
              <w:rPr>
                <w:rFonts w:hint="eastAsia"/>
              </w:rPr>
              <w:t>W</w:t>
            </w:r>
          </w:p>
        </w:tc>
      </w:tr>
      <w:tr w:rsidR="007C0B5A" w:rsidRPr="00C64ECB" w14:paraId="665A9531" w14:textId="77777777" w:rsidTr="00126681">
        <w:trPr>
          <w:jc w:val="center"/>
        </w:trPr>
        <w:tc>
          <w:tcPr>
            <w:tcW w:w="1357" w:type="dxa"/>
            <w:vMerge/>
            <w:vAlign w:val="center"/>
          </w:tcPr>
          <w:p w14:paraId="0D955454" w14:textId="77777777" w:rsidR="007C0B5A" w:rsidRPr="00C64ECB" w:rsidRDefault="007C0B5A" w:rsidP="00126681">
            <w:pPr>
              <w:pStyle w:val="TAC"/>
            </w:pPr>
          </w:p>
        </w:tc>
        <w:tc>
          <w:tcPr>
            <w:tcW w:w="1971" w:type="dxa"/>
            <w:vAlign w:val="center"/>
          </w:tcPr>
          <w:p w14:paraId="34D0C96C" w14:textId="77777777" w:rsidR="007C0B5A" w:rsidRPr="00C64ECB" w:rsidRDefault="007C0B5A" w:rsidP="00126681">
            <w:pPr>
              <w:pStyle w:val="TAC"/>
            </w:pPr>
            <w:r w:rsidRPr="00C64ECB">
              <w:rPr>
                <w:rFonts w:hint="eastAsia"/>
              </w:rPr>
              <w:t xml:space="preserve">5250 </w:t>
            </w:r>
            <w:r w:rsidRPr="00C64ECB">
              <w:t>≤</w:t>
            </w:r>
            <w:r w:rsidRPr="00C64ECB">
              <w:rPr>
                <w:rFonts w:hint="eastAsia"/>
              </w:rPr>
              <w:t xml:space="preserve"> f </w:t>
            </w:r>
            <w:r w:rsidRPr="00C64ECB">
              <w:t>&lt;</w:t>
            </w:r>
            <w:r w:rsidRPr="00C64ECB">
              <w:rPr>
                <w:rFonts w:hint="eastAsia"/>
              </w:rPr>
              <w:t xml:space="preserve"> 5251</w:t>
            </w:r>
          </w:p>
        </w:tc>
        <w:tc>
          <w:tcPr>
            <w:tcW w:w="3155" w:type="dxa"/>
          </w:tcPr>
          <w:p w14:paraId="48CC02D5" w14:textId="77777777" w:rsidR="007C0B5A" w:rsidRPr="00C64ECB" w:rsidRDefault="007C0B5A" w:rsidP="00126681">
            <w:pPr>
              <w:pStyle w:val="TAC"/>
            </w:pPr>
            <w:r w:rsidRPr="00C64ECB">
              <w:t>≥</w:t>
            </w:r>
            <w:r w:rsidRPr="00C64ECB">
              <w:rPr>
                <w:rFonts w:hint="eastAsia"/>
              </w:rPr>
              <w:t xml:space="preserve"> 10 and </w:t>
            </w:r>
            <w:r w:rsidRPr="00C64ECB">
              <w:t>&lt;</w:t>
            </w:r>
            <w:r w:rsidRPr="00C64ECB">
              <w:rPr>
                <w:rFonts w:hint="eastAsia"/>
              </w:rPr>
              <w:t xml:space="preserve"> 11</w:t>
            </w:r>
          </w:p>
        </w:tc>
        <w:tc>
          <w:tcPr>
            <w:tcW w:w="2126" w:type="dxa"/>
            <w:vAlign w:val="center"/>
          </w:tcPr>
          <w:p w14:paraId="559593F9"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1-(f-9)</m:t>
                  </m:r>
                </m:sup>
              </m:sSup>
            </m:oMath>
            <w:r w:rsidRPr="00C64ECB">
              <w:rPr>
                <w:rFonts w:hint="eastAsia"/>
              </w:rPr>
              <w:t xml:space="preserve"> mW</w:t>
            </w:r>
          </w:p>
        </w:tc>
      </w:tr>
      <w:tr w:rsidR="007C0B5A" w:rsidRPr="00C64ECB" w14:paraId="6455DF7F" w14:textId="77777777" w:rsidTr="00126681">
        <w:trPr>
          <w:jc w:val="center"/>
        </w:trPr>
        <w:tc>
          <w:tcPr>
            <w:tcW w:w="1357" w:type="dxa"/>
            <w:vMerge/>
            <w:vAlign w:val="center"/>
          </w:tcPr>
          <w:p w14:paraId="3C1A5B8F" w14:textId="77777777" w:rsidR="007C0B5A" w:rsidRPr="00C64ECB" w:rsidRDefault="007C0B5A" w:rsidP="00126681">
            <w:pPr>
              <w:pStyle w:val="TAC"/>
            </w:pPr>
          </w:p>
        </w:tc>
        <w:tc>
          <w:tcPr>
            <w:tcW w:w="1971" w:type="dxa"/>
            <w:vAlign w:val="center"/>
          </w:tcPr>
          <w:p w14:paraId="5A373FDC" w14:textId="77777777" w:rsidR="007C0B5A" w:rsidRPr="00C64ECB" w:rsidRDefault="007C0B5A" w:rsidP="00126681">
            <w:pPr>
              <w:pStyle w:val="TAC"/>
            </w:pPr>
            <w:r w:rsidRPr="00C64ECB">
              <w:rPr>
                <w:rFonts w:hint="eastAsia"/>
              </w:rPr>
              <w:t xml:space="preserve">5251 </w:t>
            </w:r>
            <w:r w:rsidRPr="00C64ECB">
              <w:t>≤</w:t>
            </w:r>
            <w:r w:rsidRPr="00C64ECB">
              <w:rPr>
                <w:rFonts w:hint="eastAsia"/>
              </w:rPr>
              <w:t xml:space="preserve"> f </w:t>
            </w:r>
            <w:r w:rsidRPr="00C64ECB">
              <w:t>&lt;</w:t>
            </w:r>
            <w:r w:rsidRPr="00C64ECB">
              <w:rPr>
                <w:rFonts w:hint="eastAsia"/>
              </w:rPr>
              <w:t xml:space="preserve"> 5260</w:t>
            </w:r>
          </w:p>
        </w:tc>
        <w:tc>
          <w:tcPr>
            <w:tcW w:w="3155" w:type="dxa"/>
            <w:vAlign w:val="center"/>
          </w:tcPr>
          <w:p w14:paraId="1499BCA2" w14:textId="77777777" w:rsidR="007C0B5A" w:rsidRPr="00C64ECB" w:rsidRDefault="007C0B5A" w:rsidP="00126681">
            <w:pPr>
              <w:pStyle w:val="TAC"/>
            </w:pPr>
            <w:r w:rsidRPr="00C64ECB">
              <w:t>≥</w:t>
            </w:r>
            <w:r w:rsidRPr="00C64ECB">
              <w:rPr>
                <w:rFonts w:hint="eastAsia"/>
              </w:rPr>
              <w:t xml:space="preserve"> 11 and </w:t>
            </w:r>
            <w:r w:rsidRPr="00C64ECB">
              <w:t>&lt;</w:t>
            </w:r>
            <w:r w:rsidRPr="00C64ECB">
              <w:rPr>
                <w:rFonts w:hint="eastAsia"/>
              </w:rPr>
              <w:t xml:space="preserve"> 20</w:t>
            </w:r>
          </w:p>
        </w:tc>
        <w:tc>
          <w:tcPr>
            <w:tcW w:w="2126" w:type="dxa"/>
            <w:vAlign w:val="center"/>
          </w:tcPr>
          <w:p w14:paraId="68E640EE"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m:t>
                  </m:r>
                  <m:f>
                    <m:fPr>
                      <m:ctrlPr>
                        <w:rPr>
                          <w:rFonts w:ascii="Cambria Math" w:eastAsia="MS Mincho" w:hAnsi="Cambria Math"/>
                          <w:i/>
                        </w:rPr>
                      </m:ctrlPr>
                    </m:fPr>
                    <m:num>
                      <m:r>
                        <w:rPr>
                          <w:rFonts w:ascii="Cambria Math" w:eastAsia="MS Mincho" w:hAnsi="Cambria Math"/>
                        </w:rPr>
                        <m:t>8</m:t>
                      </m:r>
                    </m:num>
                    <m:den>
                      <m:r>
                        <w:rPr>
                          <w:rFonts w:ascii="Cambria Math" w:eastAsia="MS Mincho" w:hAnsi="Cambria Math"/>
                        </w:rPr>
                        <m:t>90</m:t>
                      </m:r>
                    </m:den>
                  </m:f>
                  <m:r>
                    <w:rPr>
                      <w:rFonts w:ascii="Cambria Math" w:eastAsia="MS Mincho" w:hAnsi="Cambria Math"/>
                    </w:rPr>
                    <m:t>)(f-11)</m:t>
                  </m:r>
                </m:sup>
              </m:sSup>
            </m:oMath>
            <w:r w:rsidRPr="00C64ECB">
              <w:rPr>
                <w:rFonts w:hint="eastAsia"/>
              </w:rPr>
              <w:t xml:space="preserve"> mW</w:t>
            </w:r>
          </w:p>
        </w:tc>
      </w:tr>
      <w:tr w:rsidR="007C0B5A" w:rsidRPr="00C64ECB" w14:paraId="5F421B54" w14:textId="77777777" w:rsidTr="00126681">
        <w:trPr>
          <w:jc w:val="center"/>
        </w:trPr>
        <w:tc>
          <w:tcPr>
            <w:tcW w:w="1357" w:type="dxa"/>
            <w:vMerge/>
            <w:vAlign w:val="center"/>
          </w:tcPr>
          <w:p w14:paraId="4D6C00B3" w14:textId="77777777" w:rsidR="007C0B5A" w:rsidRPr="00C64ECB" w:rsidRDefault="007C0B5A" w:rsidP="00126681">
            <w:pPr>
              <w:pStyle w:val="TAC"/>
            </w:pPr>
          </w:p>
        </w:tc>
        <w:tc>
          <w:tcPr>
            <w:tcW w:w="1971" w:type="dxa"/>
            <w:vAlign w:val="center"/>
          </w:tcPr>
          <w:p w14:paraId="4363ACA4" w14:textId="77777777" w:rsidR="007C0B5A" w:rsidRPr="00C64ECB" w:rsidRDefault="007C0B5A" w:rsidP="00126681">
            <w:pPr>
              <w:pStyle w:val="TAC"/>
            </w:pPr>
            <w:r w:rsidRPr="00C64ECB">
              <w:rPr>
                <w:rFonts w:hint="eastAsia"/>
              </w:rPr>
              <w:t xml:space="preserve">5260 </w:t>
            </w:r>
            <w:r w:rsidRPr="00C64ECB">
              <w:t>≤</w:t>
            </w:r>
            <w:r w:rsidRPr="00C64ECB">
              <w:rPr>
                <w:rFonts w:hint="eastAsia"/>
              </w:rPr>
              <w:t xml:space="preserve"> f </w:t>
            </w:r>
            <w:r w:rsidRPr="00C64ECB">
              <w:t>&lt;</w:t>
            </w:r>
            <w:r w:rsidRPr="00C64ECB">
              <w:rPr>
                <w:rFonts w:hint="eastAsia"/>
              </w:rPr>
              <w:t xml:space="preserve"> 5266.7</w:t>
            </w:r>
          </w:p>
        </w:tc>
        <w:tc>
          <w:tcPr>
            <w:tcW w:w="3155" w:type="dxa"/>
            <w:vAlign w:val="center"/>
          </w:tcPr>
          <w:p w14:paraId="61E2F2B5" w14:textId="77777777" w:rsidR="007C0B5A" w:rsidRPr="00C64ECB" w:rsidRDefault="007C0B5A" w:rsidP="00126681">
            <w:pPr>
              <w:pStyle w:val="TAC"/>
            </w:pPr>
            <w:r w:rsidRPr="00C64ECB">
              <w:t>≥</w:t>
            </w:r>
            <w:r w:rsidRPr="00C64ECB">
              <w:rPr>
                <w:rFonts w:hint="eastAsia"/>
              </w:rPr>
              <w:t xml:space="preserve"> 20 and </w:t>
            </w:r>
            <w:r w:rsidRPr="00C64ECB">
              <w:t>&lt;</w:t>
            </w:r>
            <w:r w:rsidRPr="00C64ECB">
              <w:rPr>
                <w:rFonts w:hint="eastAsia"/>
              </w:rPr>
              <w:t xml:space="preserve"> 26.7</w:t>
            </w:r>
          </w:p>
        </w:tc>
        <w:tc>
          <w:tcPr>
            <w:tcW w:w="2126" w:type="dxa"/>
            <w:vAlign w:val="center"/>
          </w:tcPr>
          <w:p w14:paraId="5A85EF81"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-1.8-(</m:t>
                  </m:r>
                  <m:f>
                    <m:fPr>
                      <m:ctrlPr>
                        <w:rPr>
                          <w:rFonts w:ascii="Cambria Math" w:eastAsia="MS Mincho" w:hAnsi="Cambria Math"/>
                          <w:i/>
                        </w:rPr>
                      </m:ctrlPr>
                    </m:fPr>
                    <m:num>
                      <m:r>
                        <w:rPr>
                          <w:rFonts w:ascii="Cambria Math" w:eastAsia="MS Mincho" w:hAnsi="Cambria Math"/>
                        </w:rPr>
                        <m:t>6</m:t>
                      </m:r>
                    </m:num>
                    <m:den>
                      <m:r>
                        <w:rPr>
                          <w:rFonts w:ascii="Cambria Math" w:eastAsia="MS Mincho" w:hAnsi="Cambria Math"/>
                        </w:rPr>
                        <m:t>50</m:t>
                      </m:r>
                    </m:den>
                  </m:f>
                  <m:r>
                    <w:rPr>
                      <w:rFonts w:ascii="Cambria Math" w:eastAsia="MS Mincho" w:hAnsi="Cambria Math"/>
                    </w:rPr>
                    <m:t>)(f-20)</m:t>
                  </m:r>
                </m:sup>
              </m:sSup>
            </m:oMath>
            <w:r w:rsidRPr="00C64ECB">
              <w:rPr>
                <w:rFonts w:hint="eastAsia"/>
              </w:rPr>
              <w:t xml:space="preserve"> mW</w:t>
            </w:r>
          </w:p>
        </w:tc>
      </w:tr>
      <w:tr w:rsidR="007C0B5A" w:rsidRPr="00C64ECB" w14:paraId="1BB2DA65" w14:textId="77777777" w:rsidTr="00126681">
        <w:trPr>
          <w:jc w:val="center"/>
        </w:trPr>
        <w:tc>
          <w:tcPr>
            <w:tcW w:w="1357" w:type="dxa"/>
            <w:vMerge/>
            <w:vAlign w:val="center"/>
          </w:tcPr>
          <w:p w14:paraId="061F3BD6" w14:textId="77777777" w:rsidR="007C0B5A" w:rsidRPr="00C64ECB" w:rsidRDefault="007C0B5A" w:rsidP="00126681">
            <w:pPr>
              <w:pStyle w:val="TAC"/>
            </w:pPr>
          </w:p>
        </w:tc>
        <w:tc>
          <w:tcPr>
            <w:tcW w:w="1971" w:type="dxa"/>
            <w:vAlign w:val="center"/>
          </w:tcPr>
          <w:p w14:paraId="77473DCE" w14:textId="77777777" w:rsidR="007C0B5A" w:rsidRPr="00C64ECB" w:rsidRDefault="007C0B5A" w:rsidP="00126681">
            <w:pPr>
              <w:pStyle w:val="TAC"/>
            </w:pPr>
            <w:r w:rsidRPr="00C64ECB">
              <w:rPr>
                <w:rFonts w:hint="eastAsia"/>
              </w:rPr>
              <w:t xml:space="preserve">5266.7 </w:t>
            </w:r>
            <w:r w:rsidRPr="00C64ECB">
              <w:t>≤</w:t>
            </w:r>
            <w:r w:rsidRPr="00C64ECB">
              <w:rPr>
                <w:rFonts w:hint="eastAsia"/>
              </w:rPr>
              <w:t xml:space="preserve"> f </w:t>
            </w:r>
            <w:r w:rsidRPr="00C64ECB">
              <w:t>≤</w:t>
            </w:r>
            <w:r w:rsidRPr="00C64ECB">
              <w:rPr>
                <w:rFonts w:hint="eastAsia"/>
              </w:rPr>
              <w:t xml:space="preserve"> 5360</w:t>
            </w:r>
          </w:p>
        </w:tc>
        <w:tc>
          <w:tcPr>
            <w:tcW w:w="3155" w:type="dxa"/>
            <w:vAlign w:val="center"/>
          </w:tcPr>
          <w:p w14:paraId="031B0977" w14:textId="77777777" w:rsidR="007C0B5A" w:rsidRPr="00C64ECB" w:rsidRDefault="007C0B5A" w:rsidP="00126681">
            <w:pPr>
              <w:pStyle w:val="TAC"/>
            </w:pPr>
            <w:r w:rsidRPr="00C64ECB">
              <w:t>≥</w:t>
            </w:r>
            <w:r w:rsidRPr="00C64ECB">
              <w:rPr>
                <w:rFonts w:hint="eastAsia"/>
              </w:rPr>
              <w:t xml:space="preserve"> 26.7 and </w:t>
            </w:r>
            <w:r w:rsidRPr="00C64ECB">
              <w:t>≤</w:t>
            </w:r>
            <w:r w:rsidRPr="00C64ECB">
              <w:rPr>
                <w:rFonts w:hint="eastAsia"/>
              </w:rPr>
              <w:t xml:space="preserve"> 120</w:t>
            </w:r>
          </w:p>
        </w:tc>
        <w:tc>
          <w:tcPr>
            <w:tcW w:w="2126" w:type="dxa"/>
            <w:vAlign w:val="center"/>
          </w:tcPr>
          <w:p w14:paraId="3F46D6FF"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0CD8885C" w14:textId="77777777" w:rsidTr="00126681">
        <w:trPr>
          <w:jc w:val="center"/>
        </w:trPr>
        <w:tc>
          <w:tcPr>
            <w:tcW w:w="1357" w:type="dxa"/>
            <w:vMerge w:val="restart"/>
            <w:vAlign w:val="center"/>
          </w:tcPr>
          <w:p w14:paraId="3771126F" w14:textId="77777777" w:rsidR="007C0B5A" w:rsidRPr="00C64ECB" w:rsidRDefault="007C0B5A" w:rsidP="00126681">
            <w:pPr>
              <w:pStyle w:val="TAC"/>
            </w:pPr>
            <w:r w:rsidRPr="00C64ECB">
              <w:rPr>
                <w:rFonts w:hint="eastAsia"/>
              </w:rPr>
              <w:t>5260</w:t>
            </w:r>
          </w:p>
        </w:tc>
        <w:tc>
          <w:tcPr>
            <w:tcW w:w="1971" w:type="dxa"/>
            <w:vAlign w:val="center"/>
          </w:tcPr>
          <w:p w14:paraId="07DCF994" w14:textId="77777777" w:rsidR="007C0B5A" w:rsidRPr="00C64ECB" w:rsidRDefault="007C0B5A" w:rsidP="00126681">
            <w:pPr>
              <w:pStyle w:val="TAC"/>
            </w:pPr>
            <w:r w:rsidRPr="00C64ECB">
              <w:rPr>
                <w:rFonts w:hint="eastAsia"/>
              </w:rPr>
              <w:t xml:space="preserve">5140 </w:t>
            </w:r>
            <w:r w:rsidRPr="00C64ECB">
              <w:t>≤</w:t>
            </w:r>
            <w:r w:rsidRPr="00C64ECB">
              <w:rPr>
                <w:rFonts w:hint="eastAsia"/>
              </w:rPr>
              <w:t xml:space="preserve"> f </w:t>
            </w:r>
            <w:r w:rsidRPr="00C64ECB">
              <w:t>≤</w:t>
            </w:r>
            <w:r w:rsidRPr="00C64ECB">
              <w:rPr>
                <w:rFonts w:hint="eastAsia"/>
              </w:rPr>
              <w:t xml:space="preserve"> 5233.3</w:t>
            </w:r>
          </w:p>
        </w:tc>
        <w:tc>
          <w:tcPr>
            <w:tcW w:w="3155" w:type="dxa"/>
          </w:tcPr>
          <w:p w14:paraId="435F60A8" w14:textId="77777777" w:rsidR="007C0B5A" w:rsidRPr="00C64ECB" w:rsidRDefault="007C0B5A" w:rsidP="00126681">
            <w:pPr>
              <w:pStyle w:val="TAC"/>
            </w:pPr>
            <w:r w:rsidRPr="00C64ECB">
              <w:t>≥</w:t>
            </w:r>
            <w:r w:rsidRPr="00C64ECB">
              <w:rPr>
                <w:rFonts w:hint="eastAsia"/>
              </w:rPr>
              <w:t xml:space="preserve"> 26.7 and </w:t>
            </w:r>
            <w:r w:rsidRPr="00C64ECB">
              <w:t>≤</w:t>
            </w:r>
            <w:r w:rsidRPr="00C64ECB">
              <w:rPr>
                <w:rFonts w:hint="eastAsia"/>
              </w:rPr>
              <w:t xml:space="preserve"> 120</w:t>
            </w:r>
          </w:p>
        </w:tc>
        <w:tc>
          <w:tcPr>
            <w:tcW w:w="2126" w:type="dxa"/>
            <w:vAlign w:val="center"/>
          </w:tcPr>
          <w:p w14:paraId="3D0BE838"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1AE246CE" w14:textId="77777777" w:rsidTr="00126681">
        <w:trPr>
          <w:jc w:val="center"/>
        </w:trPr>
        <w:tc>
          <w:tcPr>
            <w:tcW w:w="1357" w:type="dxa"/>
            <w:vMerge/>
            <w:vAlign w:val="center"/>
          </w:tcPr>
          <w:p w14:paraId="69F3E6FE" w14:textId="77777777" w:rsidR="007C0B5A" w:rsidRPr="00C64ECB" w:rsidRDefault="007C0B5A" w:rsidP="00126681">
            <w:pPr>
              <w:pStyle w:val="TAC"/>
            </w:pPr>
          </w:p>
        </w:tc>
        <w:tc>
          <w:tcPr>
            <w:tcW w:w="1971" w:type="dxa"/>
            <w:vAlign w:val="center"/>
          </w:tcPr>
          <w:p w14:paraId="4CF1999B" w14:textId="77777777" w:rsidR="007C0B5A" w:rsidRPr="00C64ECB" w:rsidRDefault="007C0B5A" w:rsidP="00126681">
            <w:pPr>
              <w:pStyle w:val="TAC"/>
            </w:pPr>
            <w:r w:rsidRPr="00C64ECB">
              <w:rPr>
                <w:rFonts w:hint="eastAsia"/>
              </w:rPr>
              <w:t xml:space="preserve">5233.3 </w:t>
            </w:r>
            <w:r w:rsidRPr="00C64ECB">
              <w:t>&lt;</w:t>
            </w:r>
            <w:r w:rsidRPr="00C64ECB">
              <w:rPr>
                <w:rFonts w:hint="eastAsia"/>
              </w:rPr>
              <w:t xml:space="preserve"> f </w:t>
            </w:r>
            <w:r w:rsidRPr="00C64ECB">
              <w:t>≤</w:t>
            </w:r>
            <w:r w:rsidRPr="00C64ECB">
              <w:rPr>
                <w:rFonts w:hint="eastAsia"/>
              </w:rPr>
              <w:t xml:space="preserve"> 5240</w:t>
            </w:r>
          </w:p>
        </w:tc>
        <w:tc>
          <w:tcPr>
            <w:tcW w:w="3155" w:type="dxa"/>
          </w:tcPr>
          <w:p w14:paraId="6B9EA865" w14:textId="77777777" w:rsidR="007C0B5A" w:rsidRPr="00C64ECB" w:rsidRDefault="007C0B5A" w:rsidP="00126681">
            <w:pPr>
              <w:pStyle w:val="TAC"/>
            </w:pPr>
            <w:r w:rsidRPr="00C64ECB">
              <w:t>≥</w:t>
            </w:r>
            <w:r w:rsidRPr="00C64ECB">
              <w:rPr>
                <w:rFonts w:hint="eastAsia"/>
              </w:rPr>
              <w:t xml:space="preserve"> 20 and </w:t>
            </w:r>
            <w:r w:rsidRPr="00C64ECB">
              <w:t>&lt;</w:t>
            </w:r>
            <w:r w:rsidRPr="00C64ECB">
              <w:rPr>
                <w:rFonts w:hint="eastAsia"/>
              </w:rPr>
              <w:t xml:space="preserve"> 26.7</w:t>
            </w:r>
          </w:p>
        </w:tc>
        <w:tc>
          <w:tcPr>
            <w:tcW w:w="2126" w:type="dxa"/>
            <w:vAlign w:val="center"/>
          </w:tcPr>
          <w:p w14:paraId="40AF29C5"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-1.8-(</m:t>
                  </m:r>
                  <m:f>
                    <m:fPr>
                      <m:ctrlPr>
                        <w:rPr>
                          <w:rFonts w:ascii="Cambria Math" w:eastAsia="MS Mincho" w:hAnsi="Cambria Math"/>
                          <w:i/>
                        </w:rPr>
                      </m:ctrlPr>
                    </m:fPr>
                    <m:num>
                      <m:r>
                        <w:rPr>
                          <w:rFonts w:ascii="Cambria Math" w:eastAsia="MS Mincho" w:hAnsi="Cambria Math"/>
                        </w:rPr>
                        <m:t>6</m:t>
                      </m:r>
                    </m:num>
                    <m:den>
                      <m:r>
                        <w:rPr>
                          <w:rFonts w:ascii="Cambria Math" w:eastAsia="MS Mincho" w:hAnsi="Cambria Math"/>
                        </w:rPr>
                        <m:t>50</m:t>
                      </m:r>
                    </m:den>
                  </m:f>
                  <m:r>
                    <w:rPr>
                      <w:rFonts w:ascii="Cambria Math" w:eastAsia="MS Mincho" w:hAnsi="Cambria Math"/>
                    </w:rPr>
                    <m:t>)(f-20)</m:t>
                  </m:r>
                </m:sup>
              </m:sSup>
            </m:oMath>
            <w:r w:rsidRPr="00C64ECB">
              <w:rPr>
                <w:rFonts w:hint="eastAsia"/>
              </w:rPr>
              <w:t xml:space="preserve"> mW</w:t>
            </w:r>
          </w:p>
        </w:tc>
      </w:tr>
      <w:tr w:rsidR="007C0B5A" w:rsidRPr="00C64ECB" w14:paraId="4CD0702F" w14:textId="77777777" w:rsidTr="00126681">
        <w:trPr>
          <w:jc w:val="center"/>
        </w:trPr>
        <w:tc>
          <w:tcPr>
            <w:tcW w:w="1357" w:type="dxa"/>
            <w:vMerge/>
            <w:vAlign w:val="center"/>
          </w:tcPr>
          <w:p w14:paraId="75C31750" w14:textId="77777777" w:rsidR="007C0B5A" w:rsidRPr="00C64ECB" w:rsidRDefault="007C0B5A" w:rsidP="00126681">
            <w:pPr>
              <w:pStyle w:val="TAC"/>
            </w:pPr>
          </w:p>
        </w:tc>
        <w:tc>
          <w:tcPr>
            <w:tcW w:w="1971" w:type="dxa"/>
            <w:vAlign w:val="center"/>
          </w:tcPr>
          <w:p w14:paraId="58624708" w14:textId="77777777" w:rsidR="007C0B5A" w:rsidRPr="00C64ECB" w:rsidRDefault="007C0B5A" w:rsidP="00126681">
            <w:pPr>
              <w:pStyle w:val="TAC"/>
            </w:pPr>
            <w:r w:rsidRPr="00C64ECB">
              <w:rPr>
                <w:rFonts w:hint="eastAsia"/>
              </w:rPr>
              <w:t xml:space="preserve">5240 </w:t>
            </w:r>
            <w:r w:rsidRPr="00C64ECB">
              <w:t>&lt;</w:t>
            </w:r>
            <w:r w:rsidRPr="00C64ECB">
              <w:rPr>
                <w:rFonts w:hint="eastAsia"/>
              </w:rPr>
              <w:t xml:space="preserve"> f </w:t>
            </w:r>
            <w:r w:rsidRPr="00C64ECB">
              <w:t>≤</w:t>
            </w:r>
            <w:r w:rsidRPr="00C64ECB">
              <w:rPr>
                <w:rFonts w:hint="eastAsia"/>
              </w:rPr>
              <w:t xml:space="preserve"> 5249</w:t>
            </w:r>
          </w:p>
        </w:tc>
        <w:tc>
          <w:tcPr>
            <w:tcW w:w="3155" w:type="dxa"/>
          </w:tcPr>
          <w:p w14:paraId="4D4BD832" w14:textId="77777777" w:rsidR="007C0B5A" w:rsidRPr="00C64ECB" w:rsidRDefault="007C0B5A" w:rsidP="00126681">
            <w:pPr>
              <w:pStyle w:val="TAC"/>
            </w:pPr>
            <w:r w:rsidRPr="00C64ECB">
              <w:t>≥</w:t>
            </w:r>
            <w:r w:rsidRPr="00C64ECB">
              <w:rPr>
                <w:rFonts w:hint="eastAsia"/>
              </w:rPr>
              <w:t xml:space="preserve"> 11 and </w:t>
            </w:r>
            <w:r w:rsidRPr="00C64ECB">
              <w:t>&lt;</w:t>
            </w:r>
            <w:r w:rsidRPr="00C64ECB">
              <w:rPr>
                <w:rFonts w:hint="eastAsia"/>
              </w:rPr>
              <w:t xml:space="preserve"> 20</w:t>
            </w:r>
          </w:p>
        </w:tc>
        <w:tc>
          <w:tcPr>
            <w:tcW w:w="2126" w:type="dxa"/>
            <w:vAlign w:val="center"/>
          </w:tcPr>
          <w:p w14:paraId="71B1CB48"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m:t>
                  </m:r>
                  <m:f>
                    <m:fPr>
                      <m:ctrlPr>
                        <w:rPr>
                          <w:rFonts w:ascii="Cambria Math" w:eastAsia="MS Mincho" w:hAnsi="Cambria Math"/>
                          <w:i/>
                        </w:rPr>
                      </m:ctrlPr>
                    </m:fPr>
                    <m:num>
                      <m:r>
                        <w:rPr>
                          <w:rFonts w:ascii="Cambria Math" w:eastAsia="MS Mincho" w:hAnsi="Cambria Math"/>
                        </w:rPr>
                        <m:t>8</m:t>
                      </m:r>
                    </m:num>
                    <m:den>
                      <m:r>
                        <w:rPr>
                          <w:rFonts w:ascii="Cambria Math" w:eastAsia="MS Mincho" w:hAnsi="Cambria Math"/>
                        </w:rPr>
                        <m:t>90</m:t>
                      </m:r>
                    </m:den>
                  </m:f>
                  <m:r>
                    <w:rPr>
                      <w:rFonts w:ascii="Cambria Math" w:eastAsia="MS Mincho" w:hAnsi="Cambria Math"/>
                    </w:rPr>
                    <m:t>)(f-11)</m:t>
                  </m:r>
                </m:sup>
              </m:sSup>
            </m:oMath>
            <w:r w:rsidRPr="00C64ECB">
              <w:rPr>
                <w:rFonts w:hint="eastAsia"/>
              </w:rPr>
              <w:t xml:space="preserve"> mW</w:t>
            </w:r>
          </w:p>
        </w:tc>
      </w:tr>
      <w:tr w:rsidR="007C0B5A" w:rsidRPr="00C64ECB" w14:paraId="34C889C4" w14:textId="77777777" w:rsidTr="00126681">
        <w:trPr>
          <w:jc w:val="center"/>
        </w:trPr>
        <w:tc>
          <w:tcPr>
            <w:tcW w:w="1357" w:type="dxa"/>
            <w:vMerge/>
            <w:vAlign w:val="center"/>
          </w:tcPr>
          <w:p w14:paraId="736C8B9F" w14:textId="77777777" w:rsidR="007C0B5A" w:rsidRPr="00C64ECB" w:rsidRDefault="007C0B5A" w:rsidP="00126681">
            <w:pPr>
              <w:pStyle w:val="TAC"/>
            </w:pPr>
          </w:p>
        </w:tc>
        <w:tc>
          <w:tcPr>
            <w:tcW w:w="1971" w:type="dxa"/>
            <w:vAlign w:val="center"/>
          </w:tcPr>
          <w:p w14:paraId="263536B8" w14:textId="77777777" w:rsidR="007C0B5A" w:rsidRPr="00C64ECB" w:rsidRDefault="007C0B5A" w:rsidP="00126681">
            <w:pPr>
              <w:pStyle w:val="TAC"/>
            </w:pPr>
            <w:r w:rsidRPr="00C64ECB">
              <w:rPr>
                <w:rFonts w:hint="eastAsia"/>
              </w:rPr>
              <w:t xml:space="preserve">5249 </w:t>
            </w:r>
            <w:r w:rsidRPr="00C64ECB">
              <w:t>&lt;</w:t>
            </w:r>
            <w:r w:rsidRPr="00C64ECB">
              <w:rPr>
                <w:rFonts w:hint="eastAsia"/>
              </w:rPr>
              <w:t xml:space="preserve"> f </w:t>
            </w:r>
            <w:r w:rsidRPr="00C64ECB">
              <w:t>≤</w:t>
            </w:r>
            <w:r w:rsidRPr="00C64ECB">
              <w:rPr>
                <w:rFonts w:hint="eastAsia"/>
              </w:rPr>
              <w:t xml:space="preserve"> 5250</w:t>
            </w:r>
          </w:p>
        </w:tc>
        <w:tc>
          <w:tcPr>
            <w:tcW w:w="3155" w:type="dxa"/>
            <w:vAlign w:val="center"/>
          </w:tcPr>
          <w:p w14:paraId="6280F04E" w14:textId="77777777" w:rsidR="007C0B5A" w:rsidRPr="00C64ECB" w:rsidRDefault="007C0B5A" w:rsidP="00126681">
            <w:pPr>
              <w:pStyle w:val="TAC"/>
            </w:pPr>
            <w:r w:rsidRPr="00C64ECB">
              <w:t>≥</w:t>
            </w:r>
            <w:r w:rsidRPr="00C64ECB">
              <w:rPr>
                <w:rFonts w:hint="eastAsia"/>
              </w:rPr>
              <w:t xml:space="preserve"> 10 and </w:t>
            </w:r>
            <w:r w:rsidRPr="00C64ECB">
              <w:t>&lt;</w:t>
            </w:r>
            <w:r w:rsidRPr="00C64ECB">
              <w:rPr>
                <w:rFonts w:hint="eastAsia"/>
              </w:rPr>
              <w:t xml:space="preserve"> 11</w:t>
            </w:r>
          </w:p>
        </w:tc>
        <w:tc>
          <w:tcPr>
            <w:tcW w:w="2126" w:type="dxa"/>
            <w:vAlign w:val="center"/>
          </w:tcPr>
          <w:p w14:paraId="078FDAC6"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1-(f-9)</m:t>
                  </m:r>
                </m:sup>
              </m:sSup>
            </m:oMath>
            <w:r w:rsidRPr="00C64ECB">
              <w:rPr>
                <w:rFonts w:hint="eastAsia"/>
              </w:rPr>
              <w:t xml:space="preserve"> mW</w:t>
            </w:r>
          </w:p>
        </w:tc>
      </w:tr>
      <w:tr w:rsidR="007C0B5A" w:rsidRPr="00C64ECB" w14:paraId="69CA09A5" w14:textId="77777777" w:rsidTr="00126681">
        <w:trPr>
          <w:jc w:val="center"/>
        </w:trPr>
        <w:tc>
          <w:tcPr>
            <w:tcW w:w="1357" w:type="dxa"/>
            <w:vMerge/>
            <w:vAlign w:val="center"/>
          </w:tcPr>
          <w:p w14:paraId="0C59E1A6" w14:textId="77777777" w:rsidR="007C0B5A" w:rsidRPr="00C64ECB" w:rsidRDefault="007C0B5A" w:rsidP="00126681">
            <w:pPr>
              <w:pStyle w:val="TAC"/>
            </w:pPr>
          </w:p>
        </w:tc>
        <w:tc>
          <w:tcPr>
            <w:tcW w:w="1971" w:type="dxa"/>
            <w:vAlign w:val="center"/>
          </w:tcPr>
          <w:p w14:paraId="6F324EAE" w14:textId="77777777" w:rsidR="007C0B5A" w:rsidRPr="00C64ECB" w:rsidRDefault="007C0B5A" w:rsidP="00126681">
            <w:pPr>
              <w:pStyle w:val="TAC"/>
            </w:pPr>
            <w:r w:rsidRPr="00C64ECB">
              <w:rPr>
                <w:rFonts w:hint="eastAsia"/>
              </w:rPr>
              <w:t xml:space="preserve">5350 </w:t>
            </w:r>
            <w:r w:rsidRPr="00C64ECB">
              <w:t>≤</w:t>
            </w:r>
            <w:r w:rsidRPr="00C64ECB">
              <w:rPr>
                <w:rFonts w:hint="eastAsia"/>
              </w:rPr>
              <w:t xml:space="preserve"> f </w:t>
            </w:r>
            <w:r w:rsidRPr="00C64ECB">
              <w:t>≤</w:t>
            </w:r>
            <w:r w:rsidRPr="00C64ECB">
              <w:rPr>
                <w:rFonts w:hint="eastAsia"/>
              </w:rPr>
              <w:t xml:space="preserve"> 5360</w:t>
            </w:r>
          </w:p>
        </w:tc>
        <w:tc>
          <w:tcPr>
            <w:tcW w:w="3155" w:type="dxa"/>
            <w:vAlign w:val="center"/>
          </w:tcPr>
          <w:p w14:paraId="78015DF2" w14:textId="77777777" w:rsidR="007C0B5A" w:rsidRPr="00C64ECB" w:rsidRDefault="007C0B5A" w:rsidP="00126681">
            <w:pPr>
              <w:pStyle w:val="TAC"/>
            </w:pPr>
            <w:r w:rsidRPr="00C64ECB">
              <w:t>≥</w:t>
            </w:r>
            <w:r w:rsidRPr="00C64ECB">
              <w:rPr>
                <w:rFonts w:hint="eastAsia"/>
              </w:rPr>
              <w:t xml:space="preserve"> 90 and </w:t>
            </w:r>
            <w:r w:rsidRPr="00C64ECB">
              <w:t>≤</w:t>
            </w:r>
            <w:r w:rsidRPr="00C64ECB">
              <w:rPr>
                <w:rFonts w:hint="eastAsia"/>
              </w:rPr>
              <w:t xml:space="preserve"> 100</w:t>
            </w:r>
          </w:p>
        </w:tc>
        <w:tc>
          <w:tcPr>
            <w:tcW w:w="2126" w:type="dxa"/>
            <w:vAlign w:val="center"/>
          </w:tcPr>
          <w:p w14:paraId="677E0D1D"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bl>
    <w:p w14:paraId="06E0DF4E" w14:textId="77777777" w:rsidR="007C0B5A" w:rsidRPr="00C64ECB" w:rsidRDefault="007C0B5A" w:rsidP="007C0B5A"/>
    <w:p w14:paraId="7BE35713" w14:textId="77777777" w:rsidR="007C0B5A" w:rsidRPr="00C64ECB" w:rsidRDefault="007C0B5A" w:rsidP="007C0B5A">
      <w:r w:rsidRPr="00C64ECB">
        <w:t>18 MHz &lt; Occupied bandwidth ≤ 19 MHz:</w:t>
      </w:r>
    </w:p>
    <w:p w14:paraId="5B906664" w14:textId="77777777" w:rsidR="007C0B5A" w:rsidRPr="00C64ECB" w:rsidRDefault="007C0B5A" w:rsidP="007C0B5A">
      <w:pPr>
        <w:pStyle w:val="TH"/>
      </w:pPr>
      <w:r w:rsidRPr="00C64ECB">
        <w:lastRenderedPageBreak/>
        <w:t>Table 4.</w:t>
      </w:r>
      <w:r w:rsidR="000D7B67" w:rsidRPr="00C64ECB">
        <w:t>1.</w:t>
      </w:r>
      <w:r w:rsidRPr="00C64ECB">
        <w:t>3.2.1-4: SEM: 18 MHz &lt; Occupied bandwidth ≤ 19 MHz</w:t>
      </w:r>
    </w:p>
    <w:tbl>
      <w:tblPr>
        <w:tblW w:w="8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7"/>
        <w:gridCol w:w="1971"/>
        <w:gridCol w:w="3155"/>
        <w:gridCol w:w="2126"/>
      </w:tblGrid>
      <w:tr w:rsidR="007C0B5A" w:rsidRPr="00C64ECB" w14:paraId="1DD54C68" w14:textId="77777777" w:rsidTr="00126681">
        <w:trPr>
          <w:jc w:val="center"/>
        </w:trPr>
        <w:tc>
          <w:tcPr>
            <w:tcW w:w="1357" w:type="dxa"/>
          </w:tcPr>
          <w:p w14:paraId="4DB4F926" w14:textId="77777777" w:rsidR="007C0B5A" w:rsidRPr="00C64ECB" w:rsidRDefault="007C0B5A" w:rsidP="00126681">
            <w:pPr>
              <w:pStyle w:val="TAH"/>
            </w:pPr>
            <w:r w:rsidRPr="00C64ECB">
              <w:rPr>
                <w:rFonts w:hint="eastAsia"/>
              </w:rPr>
              <w:t xml:space="preserve">Centre </w:t>
            </w:r>
          </w:p>
          <w:p w14:paraId="32C6F315" w14:textId="77777777" w:rsidR="007C0B5A" w:rsidRPr="00C64ECB" w:rsidRDefault="007C0B5A" w:rsidP="00126681">
            <w:pPr>
              <w:pStyle w:val="TAH"/>
            </w:pPr>
            <w:r w:rsidRPr="00C64ECB">
              <w:rPr>
                <w:rFonts w:hint="eastAsia"/>
              </w:rPr>
              <w:t xml:space="preserve">Frequency </w:t>
            </w:r>
          </w:p>
          <w:p w14:paraId="15684306" w14:textId="77777777" w:rsidR="007C0B5A" w:rsidRPr="00C64ECB" w:rsidRDefault="007C0B5A" w:rsidP="00126681">
            <w:pPr>
              <w:pStyle w:val="TAH"/>
            </w:pPr>
            <w:r w:rsidRPr="00C64ECB">
              <w:rPr>
                <w:rFonts w:hint="eastAsia"/>
              </w:rPr>
              <w:t>(MHz)</w:t>
            </w:r>
          </w:p>
        </w:tc>
        <w:tc>
          <w:tcPr>
            <w:tcW w:w="1971" w:type="dxa"/>
          </w:tcPr>
          <w:p w14:paraId="5BE00137" w14:textId="77777777" w:rsidR="007C0B5A" w:rsidRPr="00C64ECB" w:rsidRDefault="007C0B5A" w:rsidP="00126681">
            <w:pPr>
              <w:pStyle w:val="TAH"/>
            </w:pPr>
            <w:r w:rsidRPr="00C64ECB">
              <w:rPr>
                <w:rFonts w:hint="eastAsia"/>
              </w:rPr>
              <w:t>Frequency range(f)</w:t>
            </w:r>
          </w:p>
          <w:p w14:paraId="3B9B721F" w14:textId="77777777" w:rsidR="007C0B5A" w:rsidRPr="00C64ECB" w:rsidRDefault="007C0B5A" w:rsidP="00126681">
            <w:pPr>
              <w:pStyle w:val="TAH"/>
            </w:pPr>
            <w:r w:rsidRPr="00C64ECB">
              <w:rPr>
                <w:rFonts w:hint="eastAsia"/>
              </w:rPr>
              <w:t>(MHz)</w:t>
            </w:r>
          </w:p>
        </w:tc>
        <w:tc>
          <w:tcPr>
            <w:tcW w:w="3155" w:type="dxa"/>
          </w:tcPr>
          <w:p w14:paraId="5575F29E" w14:textId="77777777" w:rsidR="007C0B5A" w:rsidRPr="00C64ECB" w:rsidRDefault="007C0B5A" w:rsidP="00126681">
            <w:pPr>
              <w:pStyle w:val="TAH"/>
            </w:pPr>
            <w:r w:rsidRPr="00C64ECB">
              <w:rPr>
                <w:rFonts w:hint="eastAsia"/>
              </w:rPr>
              <w:t xml:space="preserve">Frequency difference </w:t>
            </w:r>
            <w:r w:rsidRPr="00C64ECB">
              <w:t>between</w:t>
            </w:r>
            <w:r w:rsidRPr="00C64ECB">
              <w:rPr>
                <w:rFonts w:hint="eastAsia"/>
              </w:rPr>
              <w:t xml:space="preserve"> centre frequency </w:t>
            </w:r>
            <w:r w:rsidRPr="00C64ECB">
              <w:t>–</w:t>
            </w:r>
            <w:r w:rsidRPr="00C64ECB">
              <w:rPr>
                <w:rFonts w:hint="eastAsia"/>
              </w:rPr>
              <w:t xml:space="preserve"> the edges of frequency range(MHz)</w:t>
            </w:r>
          </w:p>
        </w:tc>
        <w:tc>
          <w:tcPr>
            <w:tcW w:w="2126" w:type="dxa"/>
          </w:tcPr>
          <w:p w14:paraId="28E96BB2" w14:textId="77777777" w:rsidR="007C0B5A" w:rsidRPr="00C64ECB" w:rsidRDefault="007C0B5A" w:rsidP="00126681">
            <w:pPr>
              <w:pStyle w:val="TAH"/>
            </w:pPr>
            <w:r w:rsidRPr="00C64ECB">
              <w:rPr>
                <w:rFonts w:hint="eastAsia"/>
              </w:rPr>
              <w:t>e.i.r.p/MHz</w:t>
            </w:r>
          </w:p>
        </w:tc>
      </w:tr>
      <w:tr w:rsidR="007C0B5A" w:rsidRPr="00C64ECB" w14:paraId="33521BC6" w14:textId="77777777" w:rsidTr="00126681">
        <w:trPr>
          <w:jc w:val="center"/>
        </w:trPr>
        <w:tc>
          <w:tcPr>
            <w:tcW w:w="1357" w:type="dxa"/>
            <w:vMerge w:val="restart"/>
            <w:vAlign w:val="center"/>
          </w:tcPr>
          <w:p w14:paraId="1AE0E2DD" w14:textId="77777777" w:rsidR="007C0B5A" w:rsidRPr="00C64ECB" w:rsidRDefault="007C0B5A" w:rsidP="00126681">
            <w:pPr>
              <w:pStyle w:val="TAC"/>
            </w:pPr>
            <w:r w:rsidRPr="00C64ECB">
              <w:rPr>
                <w:rFonts w:hint="eastAsia"/>
              </w:rPr>
              <w:t>5180</w:t>
            </w:r>
          </w:p>
        </w:tc>
        <w:tc>
          <w:tcPr>
            <w:tcW w:w="1971" w:type="dxa"/>
            <w:vAlign w:val="center"/>
          </w:tcPr>
          <w:p w14:paraId="406BEACA" w14:textId="77777777" w:rsidR="007C0B5A" w:rsidRPr="00C64ECB" w:rsidRDefault="007C0B5A" w:rsidP="00126681">
            <w:pPr>
              <w:pStyle w:val="TAC"/>
            </w:pPr>
            <w:r w:rsidRPr="00C64ECB">
              <w:rPr>
                <w:rFonts w:hint="eastAsia"/>
              </w:rPr>
              <w:t xml:space="preserve">5135 </w:t>
            </w:r>
            <w:r w:rsidRPr="00C64ECB">
              <w:t>≤</w:t>
            </w:r>
            <w:r w:rsidRPr="00C64ECB">
              <w:rPr>
                <w:rFonts w:hint="eastAsia"/>
              </w:rPr>
              <w:t xml:space="preserve"> f </w:t>
            </w:r>
            <w:r w:rsidRPr="00C64ECB">
              <w:t>≤</w:t>
            </w:r>
            <w:r w:rsidRPr="00C64ECB">
              <w:rPr>
                <w:rFonts w:hint="eastAsia"/>
              </w:rPr>
              <w:t xml:space="preserve"> 5142</w:t>
            </w:r>
          </w:p>
        </w:tc>
        <w:tc>
          <w:tcPr>
            <w:tcW w:w="3155" w:type="dxa"/>
          </w:tcPr>
          <w:p w14:paraId="071B0B32" w14:textId="77777777" w:rsidR="007C0B5A" w:rsidRPr="00C64ECB" w:rsidRDefault="007C0B5A" w:rsidP="00126681">
            <w:pPr>
              <w:pStyle w:val="TAC"/>
            </w:pPr>
            <w:r w:rsidRPr="00C64ECB">
              <w:t>≥</w:t>
            </w:r>
            <w:r w:rsidRPr="00C64ECB">
              <w:rPr>
                <w:rFonts w:hint="eastAsia"/>
              </w:rPr>
              <w:t xml:space="preserve"> 38 and </w:t>
            </w:r>
            <w:r w:rsidRPr="00C64ECB">
              <w:t>≤</w:t>
            </w:r>
            <w:r w:rsidRPr="00C64ECB">
              <w:rPr>
                <w:rFonts w:hint="eastAsia"/>
              </w:rPr>
              <w:t xml:space="preserve"> 45</w:t>
            </w:r>
          </w:p>
        </w:tc>
        <w:tc>
          <w:tcPr>
            <w:tcW w:w="2126" w:type="dxa"/>
            <w:vAlign w:val="center"/>
          </w:tcPr>
          <w:p w14:paraId="33893F67"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46305094" w14:textId="77777777" w:rsidTr="00126681">
        <w:trPr>
          <w:jc w:val="center"/>
        </w:trPr>
        <w:tc>
          <w:tcPr>
            <w:tcW w:w="1357" w:type="dxa"/>
            <w:vMerge/>
            <w:vAlign w:val="center"/>
          </w:tcPr>
          <w:p w14:paraId="70004E19" w14:textId="77777777" w:rsidR="007C0B5A" w:rsidRPr="00C64ECB" w:rsidRDefault="007C0B5A" w:rsidP="00126681">
            <w:pPr>
              <w:pStyle w:val="TAC"/>
            </w:pPr>
          </w:p>
        </w:tc>
        <w:tc>
          <w:tcPr>
            <w:tcW w:w="1971" w:type="dxa"/>
            <w:vAlign w:val="center"/>
          </w:tcPr>
          <w:p w14:paraId="56C106BF" w14:textId="77777777" w:rsidR="007C0B5A" w:rsidRPr="00C64ECB" w:rsidRDefault="007C0B5A" w:rsidP="00126681">
            <w:pPr>
              <w:pStyle w:val="TAC"/>
            </w:pPr>
            <w:r w:rsidRPr="00C64ECB">
              <w:rPr>
                <w:rFonts w:hint="eastAsia"/>
              </w:rPr>
              <w:t xml:space="preserve">5142 </w:t>
            </w:r>
            <w:r w:rsidRPr="00C64ECB">
              <w:t>&lt;</w:t>
            </w:r>
            <w:r w:rsidRPr="00C64ECB">
              <w:rPr>
                <w:rFonts w:hint="eastAsia"/>
              </w:rPr>
              <w:t xml:space="preserve"> f </w:t>
            </w:r>
            <w:r w:rsidRPr="00C64ECB">
              <w:t>≤</w:t>
            </w:r>
            <w:r w:rsidRPr="00C64ECB">
              <w:rPr>
                <w:rFonts w:hint="eastAsia"/>
              </w:rPr>
              <w:t xml:space="preserve"> 5150</w:t>
            </w:r>
          </w:p>
        </w:tc>
        <w:tc>
          <w:tcPr>
            <w:tcW w:w="3155" w:type="dxa"/>
          </w:tcPr>
          <w:p w14:paraId="462CBC5B" w14:textId="77777777" w:rsidR="007C0B5A" w:rsidRPr="00C64ECB" w:rsidRDefault="007C0B5A" w:rsidP="00126681">
            <w:pPr>
              <w:pStyle w:val="TAC"/>
            </w:pPr>
            <w:r w:rsidRPr="00C64ECB">
              <w:t>≥</w:t>
            </w:r>
            <w:r w:rsidRPr="00C64ECB">
              <w:rPr>
                <w:rFonts w:hint="eastAsia"/>
              </w:rPr>
              <w:t xml:space="preserve"> 30 and </w:t>
            </w:r>
            <w:r w:rsidRPr="00C64ECB">
              <w:t>&lt;</w:t>
            </w:r>
            <w:r w:rsidRPr="00C64ECB">
              <w:rPr>
                <w:rFonts w:hint="eastAsia"/>
              </w:rPr>
              <w:t xml:space="preserve"> 38</w:t>
            </w:r>
          </w:p>
        </w:tc>
        <w:tc>
          <w:tcPr>
            <w:tcW w:w="2126" w:type="dxa"/>
            <w:vAlign w:val="center"/>
          </w:tcPr>
          <w:p w14:paraId="3D42C946" w14:textId="77777777" w:rsidR="007C0B5A" w:rsidRPr="00C64ECB" w:rsidRDefault="007C0B5A" w:rsidP="00126681">
            <w:pPr>
              <w:pStyle w:val="TAC"/>
            </w:pPr>
            <w:r w:rsidRPr="00C64ECB">
              <w:t>≤</w:t>
            </w:r>
            <w:r w:rsidRPr="00C64ECB">
              <w:rPr>
                <w:rFonts w:hint="eastAsia"/>
              </w:rPr>
              <w:t xml:space="preserve"> 15 </w:t>
            </w:r>
            <w:r w:rsidRPr="00C64ECB">
              <w:rPr>
                <w:rFonts w:ascii="Symbol" w:hAnsi="Symbol"/>
              </w:rPr>
              <w:t></w:t>
            </w:r>
            <w:r w:rsidRPr="00C64ECB">
              <w:rPr>
                <w:rFonts w:hint="eastAsia"/>
              </w:rPr>
              <w:t>W</w:t>
            </w:r>
          </w:p>
        </w:tc>
      </w:tr>
      <w:tr w:rsidR="007C0B5A" w:rsidRPr="00C64ECB" w14:paraId="7979477A" w14:textId="77777777" w:rsidTr="00126681">
        <w:trPr>
          <w:jc w:val="center"/>
        </w:trPr>
        <w:tc>
          <w:tcPr>
            <w:tcW w:w="1357" w:type="dxa"/>
            <w:vMerge w:val="restart"/>
            <w:vAlign w:val="center"/>
          </w:tcPr>
          <w:p w14:paraId="469028EA" w14:textId="77777777" w:rsidR="007C0B5A" w:rsidRPr="00C64ECB" w:rsidRDefault="007C0B5A" w:rsidP="00126681">
            <w:pPr>
              <w:pStyle w:val="TAC"/>
            </w:pPr>
            <w:r w:rsidRPr="00C64ECB">
              <w:rPr>
                <w:rFonts w:hint="eastAsia"/>
              </w:rPr>
              <w:t>5240</w:t>
            </w:r>
          </w:p>
        </w:tc>
        <w:tc>
          <w:tcPr>
            <w:tcW w:w="1971" w:type="dxa"/>
            <w:vAlign w:val="center"/>
          </w:tcPr>
          <w:p w14:paraId="237E691C" w14:textId="77777777" w:rsidR="007C0B5A" w:rsidRPr="00C64ECB" w:rsidRDefault="007C0B5A" w:rsidP="00126681">
            <w:pPr>
              <w:pStyle w:val="TAC"/>
            </w:pPr>
            <w:r w:rsidRPr="00C64ECB">
              <w:rPr>
                <w:rFonts w:hint="eastAsia"/>
              </w:rPr>
              <w:t xml:space="preserve">5250 </w:t>
            </w:r>
            <w:r w:rsidRPr="00C64ECB">
              <w:t>≤</w:t>
            </w:r>
            <w:r w:rsidRPr="00C64ECB">
              <w:rPr>
                <w:rFonts w:hint="eastAsia"/>
              </w:rPr>
              <w:t xml:space="preserve"> f </w:t>
            </w:r>
            <w:r w:rsidRPr="00C64ECB">
              <w:t>&lt;</w:t>
            </w:r>
            <w:r w:rsidRPr="00C64ECB">
              <w:rPr>
                <w:rFonts w:hint="eastAsia"/>
              </w:rPr>
              <w:t xml:space="preserve"> 5251</w:t>
            </w:r>
          </w:p>
        </w:tc>
        <w:tc>
          <w:tcPr>
            <w:tcW w:w="3155" w:type="dxa"/>
          </w:tcPr>
          <w:p w14:paraId="43931151" w14:textId="77777777" w:rsidR="007C0B5A" w:rsidRPr="00C64ECB" w:rsidRDefault="007C0B5A" w:rsidP="00126681">
            <w:pPr>
              <w:pStyle w:val="TAC"/>
            </w:pPr>
            <w:r w:rsidRPr="00C64ECB">
              <w:t>≥</w:t>
            </w:r>
            <w:r w:rsidRPr="00C64ECB">
              <w:rPr>
                <w:rFonts w:hint="eastAsia"/>
              </w:rPr>
              <w:t xml:space="preserve"> 10 and </w:t>
            </w:r>
            <w:r w:rsidRPr="00C64ECB">
              <w:t>&lt;</w:t>
            </w:r>
            <w:r w:rsidRPr="00C64ECB">
              <w:rPr>
                <w:rFonts w:hint="eastAsia"/>
              </w:rPr>
              <w:t xml:space="preserve"> 11</w:t>
            </w:r>
          </w:p>
        </w:tc>
        <w:tc>
          <w:tcPr>
            <w:tcW w:w="2126" w:type="dxa"/>
            <w:vAlign w:val="center"/>
          </w:tcPr>
          <w:p w14:paraId="7C0C2877"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1-(f-9)</m:t>
                  </m:r>
                </m:sup>
              </m:sSup>
            </m:oMath>
            <w:r w:rsidRPr="00C64ECB">
              <w:rPr>
                <w:rFonts w:hint="eastAsia"/>
              </w:rPr>
              <w:t xml:space="preserve"> mW</w:t>
            </w:r>
          </w:p>
        </w:tc>
      </w:tr>
      <w:tr w:rsidR="007C0B5A" w:rsidRPr="00C64ECB" w14:paraId="575023DC" w14:textId="77777777" w:rsidTr="00126681">
        <w:trPr>
          <w:jc w:val="center"/>
        </w:trPr>
        <w:tc>
          <w:tcPr>
            <w:tcW w:w="1357" w:type="dxa"/>
            <w:vMerge/>
            <w:vAlign w:val="center"/>
          </w:tcPr>
          <w:p w14:paraId="3CB8030A" w14:textId="77777777" w:rsidR="007C0B5A" w:rsidRPr="00C64ECB" w:rsidRDefault="007C0B5A" w:rsidP="00126681">
            <w:pPr>
              <w:pStyle w:val="TAC"/>
            </w:pPr>
          </w:p>
        </w:tc>
        <w:tc>
          <w:tcPr>
            <w:tcW w:w="1971" w:type="dxa"/>
            <w:vAlign w:val="center"/>
          </w:tcPr>
          <w:p w14:paraId="7A5969E0" w14:textId="77777777" w:rsidR="007C0B5A" w:rsidRPr="00C64ECB" w:rsidRDefault="007C0B5A" w:rsidP="00126681">
            <w:pPr>
              <w:pStyle w:val="TAC"/>
            </w:pPr>
            <w:r w:rsidRPr="00C64ECB">
              <w:rPr>
                <w:rFonts w:hint="eastAsia"/>
              </w:rPr>
              <w:t xml:space="preserve">5251 </w:t>
            </w:r>
            <w:r w:rsidRPr="00C64ECB">
              <w:t>≤</w:t>
            </w:r>
            <w:r w:rsidRPr="00C64ECB">
              <w:rPr>
                <w:rFonts w:hint="eastAsia"/>
              </w:rPr>
              <w:t xml:space="preserve"> f </w:t>
            </w:r>
            <w:r w:rsidRPr="00C64ECB">
              <w:t>&lt;</w:t>
            </w:r>
            <w:r w:rsidRPr="00C64ECB">
              <w:rPr>
                <w:rFonts w:hint="eastAsia"/>
              </w:rPr>
              <w:t xml:space="preserve"> 5260</w:t>
            </w:r>
          </w:p>
        </w:tc>
        <w:tc>
          <w:tcPr>
            <w:tcW w:w="3155" w:type="dxa"/>
            <w:vAlign w:val="center"/>
          </w:tcPr>
          <w:p w14:paraId="533FAF02" w14:textId="77777777" w:rsidR="007C0B5A" w:rsidRPr="00C64ECB" w:rsidRDefault="007C0B5A" w:rsidP="00126681">
            <w:pPr>
              <w:pStyle w:val="TAC"/>
            </w:pPr>
            <w:r w:rsidRPr="00C64ECB">
              <w:t>≥</w:t>
            </w:r>
            <w:r w:rsidRPr="00C64ECB">
              <w:rPr>
                <w:rFonts w:hint="eastAsia"/>
              </w:rPr>
              <w:t xml:space="preserve"> 11 and </w:t>
            </w:r>
            <w:r w:rsidRPr="00C64ECB">
              <w:t>&lt;</w:t>
            </w:r>
            <w:r w:rsidRPr="00C64ECB">
              <w:rPr>
                <w:rFonts w:hint="eastAsia"/>
              </w:rPr>
              <w:t xml:space="preserve"> 20</w:t>
            </w:r>
          </w:p>
        </w:tc>
        <w:tc>
          <w:tcPr>
            <w:tcW w:w="2126" w:type="dxa"/>
            <w:vAlign w:val="center"/>
          </w:tcPr>
          <w:p w14:paraId="4D29CAA6"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m:t>
                  </m:r>
                  <m:f>
                    <m:fPr>
                      <m:ctrlPr>
                        <w:rPr>
                          <w:rFonts w:ascii="Cambria Math" w:eastAsia="MS Mincho" w:hAnsi="Cambria Math"/>
                          <w:i/>
                        </w:rPr>
                      </m:ctrlPr>
                    </m:fPr>
                    <m:num>
                      <m:r>
                        <w:rPr>
                          <w:rFonts w:ascii="Cambria Math" w:eastAsia="MS Mincho" w:hAnsi="Cambria Math"/>
                        </w:rPr>
                        <m:t>8</m:t>
                      </m:r>
                    </m:num>
                    <m:den>
                      <m:r>
                        <w:rPr>
                          <w:rFonts w:ascii="Cambria Math" w:eastAsia="MS Mincho" w:hAnsi="Cambria Math"/>
                        </w:rPr>
                        <m:t>90</m:t>
                      </m:r>
                    </m:den>
                  </m:f>
                  <m:r>
                    <w:rPr>
                      <w:rFonts w:ascii="Cambria Math" w:eastAsia="MS Mincho" w:hAnsi="Cambria Math"/>
                    </w:rPr>
                    <m:t>)(f-11)</m:t>
                  </m:r>
                </m:sup>
              </m:sSup>
            </m:oMath>
            <w:r w:rsidRPr="00C64ECB">
              <w:rPr>
                <w:rFonts w:hint="eastAsia"/>
              </w:rPr>
              <w:t xml:space="preserve"> mW</w:t>
            </w:r>
          </w:p>
        </w:tc>
      </w:tr>
      <w:tr w:rsidR="007C0B5A" w:rsidRPr="00C64ECB" w14:paraId="2E7C1AA0" w14:textId="77777777" w:rsidTr="00126681">
        <w:trPr>
          <w:jc w:val="center"/>
        </w:trPr>
        <w:tc>
          <w:tcPr>
            <w:tcW w:w="1357" w:type="dxa"/>
            <w:vMerge/>
            <w:vAlign w:val="center"/>
          </w:tcPr>
          <w:p w14:paraId="387C9BCB" w14:textId="77777777" w:rsidR="007C0B5A" w:rsidRPr="00C64ECB" w:rsidRDefault="007C0B5A" w:rsidP="00126681">
            <w:pPr>
              <w:pStyle w:val="TAC"/>
            </w:pPr>
          </w:p>
        </w:tc>
        <w:tc>
          <w:tcPr>
            <w:tcW w:w="1971" w:type="dxa"/>
            <w:vAlign w:val="center"/>
          </w:tcPr>
          <w:p w14:paraId="1F7191AA" w14:textId="77777777" w:rsidR="007C0B5A" w:rsidRPr="00C64ECB" w:rsidRDefault="007C0B5A" w:rsidP="00126681">
            <w:pPr>
              <w:pStyle w:val="TAC"/>
            </w:pPr>
            <w:r w:rsidRPr="00C64ECB">
              <w:rPr>
                <w:rFonts w:hint="eastAsia"/>
              </w:rPr>
              <w:t xml:space="preserve">5260 </w:t>
            </w:r>
            <w:r w:rsidRPr="00C64ECB">
              <w:t>≤</w:t>
            </w:r>
            <w:r w:rsidRPr="00C64ECB">
              <w:rPr>
                <w:rFonts w:hint="eastAsia"/>
              </w:rPr>
              <w:t xml:space="preserve"> f </w:t>
            </w:r>
            <w:r w:rsidRPr="00C64ECB">
              <w:t>&lt;</w:t>
            </w:r>
            <w:r w:rsidRPr="00C64ECB">
              <w:rPr>
                <w:rFonts w:hint="eastAsia"/>
              </w:rPr>
              <w:t xml:space="preserve"> 5266.7</w:t>
            </w:r>
          </w:p>
        </w:tc>
        <w:tc>
          <w:tcPr>
            <w:tcW w:w="3155" w:type="dxa"/>
            <w:vAlign w:val="center"/>
          </w:tcPr>
          <w:p w14:paraId="62EDF535" w14:textId="77777777" w:rsidR="007C0B5A" w:rsidRPr="00C64ECB" w:rsidRDefault="007C0B5A" w:rsidP="00126681">
            <w:pPr>
              <w:pStyle w:val="TAC"/>
            </w:pPr>
            <w:r w:rsidRPr="00C64ECB">
              <w:t>≥</w:t>
            </w:r>
            <w:r w:rsidRPr="00C64ECB">
              <w:rPr>
                <w:rFonts w:hint="eastAsia"/>
              </w:rPr>
              <w:t xml:space="preserve"> 20 and </w:t>
            </w:r>
            <w:r w:rsidRPr="00C64ECB">
              <w:t>&lt;</w:t>
            </w:r>
            <w:r w:rsidRPr="00C64ECB">
              <w:rPr>
                <w:rFonts w:hint="eastAsia"/>
              </w:rPr>
              <w:t xml:space="preserve"> 26.7</w:t>
            </w:r>
          </w:p>
        </w:tc>
        <w:tc>
          <w:tcPr>
            <w:tcW w:w="2126" w:type="dxa"/>
            <w:vAlign w:val="center"/>
          </w:tcPr>
          <w:p w14:paraId="5DE4D2E9"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-1.8-(</m:t>
                  </m:r>
                  <m:f>
                    <m:fPr>
                      <m:ctrlPr>
                        <w:rPr>
                          <w:rFonts w:ascii="Cambria Math" w:eastAsia="MS Mincho" w:hAnsi="Cambria Math"/>
                          <w:i/>
                        </w:rPr>
                      </m:ctrlPr>
                    </m:fPr>
                    <m:num>
                      <m:r>
                        <w:rPr>
                          <w:rFonts w:ascii="Cambria Math" w:eastAsia="MS Mincho" w:hAnsi="Cambria Math"/>
                        </w:rPr>
                        <m:t>6</m:t>
                      </m:r>
                    </m:num>
                    <m:den>
                      <m:r>
                        <w:rPr>
                          <w:rFonts w:ascii="Cambria Math" w:eastAsia="MS Mincho" w:hAnsi="Cambria Math"/>
                        </w:rPr>
                        <m:t>50</m:t>
                      </m:r>
                    </m:den>
                  </m:f>
                  <m:r>
                    <w:rPr>
                      <w:rFonts w:ascii="Cambria Math" w:eastAsia="MS Mincho" w:hAnsi="Cambria Math"/>
                    </w:rPr>
                    <m:t>)(f-20)</m:t>
                  </m:r>
                </m:sup>
              </m:sSup>
            </m:oMath>
            <w:r w:rsidRPr="00C64ECB">
              <w:rPr>
                <w:rFonts w:hint="eastAsia"/>
              </w:rPr>
              <w:t xml:space="preserve"> mW</w:t>
            </w:r>
          </w:p>
        </w:tc>
      </w:tr>
      <w:tr w:rsidR="007C0B5A" w:rsidRPr="00C64ECB" w14:paraId="25DC8464" w14:textId="77777777" w:rsidTr="00126681">
        <w:trPr>
          <w:jc w:val="center"/>
        </w:trPr>
        <w:tc>
          <w:tcPr>
            <w:tcW w:w="1357" w:type="dxa"/>
            <w:vMerge/>
            <w:vAlign w:val="center"/>
          </w:tcPr>
          <w:p w14:paraId="6A1627C4" w14:textId="77777777" w:rsidR="007C0B5A" w:rsidRPr="00C64ECB" w:rsidRDefault="007C0B5A" w:rsidP="00126681">
            <w:pPr>
              <w:pStyle w:val="TAC"/>
            </w:pPr>
          </w:p>
        </w:tc>
        <w:tc>
          <w:tcPr>
            <w:tcW w:w="1971" w:type="dxa"/>
            <w:vAlign w:val="center"/>
          </w:tcPr>
          <w:p w14:paraId="6F007A85" w14:textId="77777777" w:rsidR="007C0B5A" w:rsidRPr="00C64ECB" w:rsidRDefault="007C0B5A" w:rsidP="00126681">
            <w:pPr>
              <w:pStyle w:val="TAC"/>
            </w:pPr>
            <w:r w:rsidRPr="00C64ECB">
              <w:rPr>
                <w:rFonts w:hint="eastAsia"/>
              </w:rPr>
              <w:t xml:space="preserve">5266.7 </w:t>
            </w:r>
            <w:r w:rsidRPr="00C64ECB">
              <w:t>≤</w:t>
            </w:r>
            <w:r w:rsidRPr="00C64ECB">
              <w:rPr>
                <w:rFonts w:hint="eastAsia"/>
              </w:rPr>
              <w:t xml:space="preserve"> f </w:t>
            </w:r>
            <w:r w:rsidRPr="00C64ECB">
              <w:t>≤</w:t>
            </w:r>
            <w:r w:rsidRPr="00C64ECB">
              <w:rPr>
                <w:rFonts w:hint="eastAsia"/>
              </w:rPr>
              <w:t xml:space="preserve"> 5365</w:t>
            </w:r>
          </w:p>
        </w:tc>
        <w:tc>
          <w:tcPr>
            <w:tcW w:w="3155" w:type="dxa"/>
            <w:vAlign w:val="center"/>
          </w:tcPr>
          <w:p w14:paraId="006924E0" w14:textId="77777777" w:rsidR="007C0B5A" w:rsidRPr="00C64ECB" w:rsidRDefault="007C0B5A" w:rsidP="00126681">
            <w:pPr>
              <w:pStyle w:val="TAC"/>
            </w:pPr>
            <w:r w:rsidRPr="00C64ECB">
              <w:t>≥</w:t>
            </w:r>
            <w:r w:rsidRPr="00C64ECB">
              <w:rPr>
                <w:rFonts w:hint="eastAsia"/>
              </w:rPr>
              <w:t xml:space="preserve"> 26.7 and </w:t>
            </w:r>
            <w:r w:rsidRPr="00C64ECB">
              <w:t>≤</w:t>
            </w:r>
            <w:r w:rsidRPr="00C64ECB">
              <w:rPr>
                <w:rFonts w:hint="eastAsia"/>
              </w:rPr>
              <w:t xml:space="preserve"> 125</w:t>
            </w:r>
          </w:p>
        </w:tc>
        <w:tc>
          <w:tcPr>
            <w:tcW w:w="2126" w:type="dxa"/>
            <w:vAlign w:val="center"/>
          </w:tcPr>
          <w:p w14:paraId="5CB84FDC" w14:textId="77777777" w:rsidR="007C0B5A" w:rsidRPr="00C64ECB" w:rsidRDefault="007C0B5A" w:rsidP="00126681">
            <w:pPr>
              <w:pStyle w:val="TAC"/>
            </w:pPr>
            <w:r w:rsidRPr="00C64ECB">
              <w:t>≤</w:t>
            </w:r>
            <w:r w:rsidRPr="00C64ECB">
              <w:rPr>
                <w:rFonts w:hint="eastAsia"/>
              </w:rPr>
              <w:t xml:space="preserve"> 2.5 </w:t>
            </w:r>
            <m:oMath>
              <m:r>
                <m:rPr>
                  <m:sty m:val="p"/>
                </m:rPr>
                <w:rPr>
                  <w:rFonts w:ascii="Cambria Math" w:eastAsia="MS Mincho" w:hAnsi="Cambria Math"/>
                </w:rPr>
                <m:t>μW</m:t>
              </m:r>
            </m:oMath>
          </w:p>
        </w:tc>
      </w:tr>
      <w:tr w:rsidR="007C0B5A" w:rsidRPr="00C64ECB" w14:paraId="2A2E49D9" w14:textId="77777777" w:rsidTr="00126681">
        <w:trPr>
          <w:jc w:val="center"/>
        </w:trPr>
        <w:tc>
          <w:tcPr>
            <w:tcW w:w="1357" w:type="dxa"/>
            <w:vMerge w:val="restart"/>
            <w:vAlign w:val="center"/>
          </w:tcPr>
          <w:p w14:paraId="17CFAD8C" w14:textId="77777777" w:rsidR="007C0B5A" w:rsidRPr="00C64ECB" w:rsidRDefault="007C0B5A" w:rsidP="00126681">
            <w:pPr>
              <w:pStyle w:val="TAC"/>
            </w:pPr>
            <w:r w:rsidRPr="00C64ECB">
              <w:rPr>
                <w:rFonts w:hint="eastAsia"/>
              </w:rPr>
              <w:t>5260</w:t>
            </w:r>
          </w:p>
        </w:tc>
        <w:tc>
          <w:tcPr>
            <w:tcW w:w="1971" w:type="dxa"/>
            <w:vAlign w:val="center"/>
          </w:tcPr>
          <w:p w14:paraId="154196B3" w14:textId="77777777" w:rsidR="007C0B5A" w:rsidRPr="00C64ECB" w:rsidRDefault="007C0B5A" w:rsidP="00126681">
            <w:pPr>
              <w:pStyle w:val="TAC"/>
            </w:pPr>
            <w:r w:rsidRPr="00C64ECB">
              <w:rPr>
                <w:rFonts w:hint="eastAsia"/>
              </w:rPr>
              <w:t xml:space="preserve">5135 </w:t>
            </w:r>
            <w:r w:rsidRPr="00C64ECB">
              <w:t>≤</w:t>
            </w:r>
            <w:r w:rsidRPr="00C64ECB">
              <w:rPr>
                <w:rFonts w:hint="eastAsia"/>
              </w:rPr>
              <w:t xml:space="preserve"> f </w:t>
            </w:r>
            <w:r w:rsidRPr="00C64ECB">
              <w:t>≤</w:t>
            </w:r>
            <w:r w:rsidRPr="00C64ECB">
              <w:rPr>
                <w:rFonts w:hint="eastAsia"/>
              </w:rPr>
              <w:t xml:space="preserve"> 5233.3</w:t>
            </w:r>
          </w:p>
        </w:tc>
        <w:tc>
          <w:tcPr>
            <w:tcW w:w="3155" w:type="dxa"/>
          </w:tcPr>
          <w:p w14:paraId="103F0568" w14:textId="77777777" w:rsidR="007C0B5A" w:rsidRPr="00C64ECB" w:rsidRDefault="007C0B5A" w:rsidP="00126681">
            <w:pPr>
              <w:pStyle w:val="TAC"/>
            </w:pPr>
            <w:r w:rsidRPr="00C64ECB">
              <w:t>≥</w:t>
            </w:r>
            <w:r w:rsidRPr="00C64ECB">
              <w:rPr>
                <w:rFonts w:hint="eastAsia"/>
              </w:rPr>
              <w:t xml:space="preserve"> 26.7 and </w:t>
            </w:r>
            <w:r w:rsidRPr="00C64ECB">
              <w:t>≤</w:t>
            </w:r>
            <w:r w:rsidRPr="00C64ECB">
              <w:rPr>
                <w:rFonts w:hint="eastAsia"/>
              </w:rPr>
              <w:t xml:space="preserve"> 125</w:t>
            </w:r>
          </w:p>
        </w:tc>
        <w:tc>
          <w:tcPr>
            <w:tcW w:w="2126" w:type="dxa"/>
            <w:vAlign w:val="center"/>
          </w:tcPr>
          <w:p w14:paraId="5CBF18FB" w14:textId="77777777" w:rsidR="007C0B5A" w:rsidRPr="00C64ECB" w:rsidRDefault="007C0B5A" w:rsidP="00126681">
            <w:pPr>
              <w:pStyle w:val="TAC"/>
            </w:pPr>
            <w:r w:rsidRPr="00C64ECB">
              <w:t>≤</w:t>
            </w:r>
            <w:r w:rsidRPr="00C64ECB">
              <w:rPr>
                <w:rFonts w:hint="eastAsia"/>
              </w:rPr>
              <w:t xml:space="preserve"> 2.5 </w:t>
            </w:r>
            <m:oMath>
              <m:r>
                <m:rPr>
                  <m:sty m:val="p"/>
                </m:rPr>
                <w:rPr>
                  <w:rFonts w:ascii="Cambria Math" w:eastAsia="MS Mincho" w:hAnsi="Cambria Math"/>
                </w:rPr>
                <m:t>μW</m:t>
              </m:r>
            </m:oMath>
          </w:p>
        </w:tc>
      </w:tr>
      <w:tr w:rsidR="007C0B5A" w:rsidRPr="00C64ECB" w14:paraId="0FC135CF" w14:textId="77777777" w:rsidTr="00126681">
        <w:trPr>
          <w:jc w:val="center"/>
        </w:trPr>
        <w:tc>
          <w:tcPr>
            <w:tcW w:w="1357" w:type="dxa"/>
            <w:vMerge/>
            <w:vAlign w:val="center"/>
          </w:tcPr>
          <w:p w14:paraId="4CD3DC8D" w14:textId="77777777" w:rsidR="007C0B5A" w:rsidRPr="00C64ECB" w:rsidRDefault="007C0B5A" w:rsidP="00126681">
            <w:pPr>
              <w:pStyle w:val="TAC"/>
            </w:pPr>
          </w:p>
        </w:tc>
        <w:tc>
          <w:tcPr>
            <w:tcW w:w="1971" w:type="dxa"/>
            <w:vAlign w:val="center"/>
          </w:tcPr>
          <w:p w14:paraId="76C0FB70" w14:textId="77777777" w:rsidR="007C0B5A" w:rsidRPr="00C64ECB" w:rsidRDefault="007C0B5A" w:rsidP="00126681">
            <w:pPr>
              <w:pStyle w:val="TAC"/>
            </w:pPr>
            <w:r w:rsidRPr="00C64ECB">
              <w:rPr>
                <w:rFonts w:hint="eastAsia"/>
              </w:rPr>
              <w:t xml:space="preserve">5233.3 </w:t>
            </w:r>
            <w:r w:rsidRPr="00C64ECB">
              <w:t>&lt;</w:t>
            </w:r>
            <w:r w:rsidRPr="00C64ECB">
              <w:rPr>
                <w:rFonts w:hint="eastAsia"/>
              </w:rPr>
              <w:t xml:space="preserve"> f </w:t>
            </w:r>
            <w:r w:rsidRPr="00C64ECB">
              <w:t>≤</w:t>
            </w:r>
            <w:r w:rsidRPr="00C64ECB">
              <w:rPr>
                <w:rFonts w:hint="eastAsia"/>
              </w:rPr>
              <w:t xml:space="preserve"> 5240</w:t>
            </w:r>
          </w:p>
        </w:tc>
        <w:tc>
          <w:tcPr>
            <w:tcW w:w="3155" w:type="dxa"/>
          </w:tcPr>
          <w:p w14:paraId="647AFF4E" w14:textId="77777777" w:rsidR="007C0B5A" w:rsidRPr="00C64ECB" w:rsidRDefault="007C0B5A" w:rsidP="00126681">
            <w:pPr>
              <w:pStyle w:val="TAC"/>
            </w:pPr>
            <w:r w:rsidRPr="00C64ECB">
              <w:t>≥</w:t>
            </w:r>
            <w:r w:rsidRPr="00C64ECB">
              <w:rPr>
                <w:rFonts w:hint="eastAsia"/>
              </w:rPr>
              <w:t xml:space="preserve"> 20 and </w:t>
            </w:r>
            <w:r w:rsidRPr="00C64ECB">
              <w:t>&lt;</w:t>
            </w:r>
            <w:r w:rsidRPr="00C64ECB">
              <w:rPr>
                <w:rFonts w:hint="eastAsia"/>
              </w:rPr>
              <w:t xml:space="preserve"> 26.7</w:t>
            </w:r>
          </w:p>
        </w:tc>
        <w:tc>
          <w:tcPr>
            <w:tcW w:w="2126" w:type="dxa"/>
            <w:vAlign w:val="center"/>
          </w:tcPr>
          <w:p w14:paraId="5DA14AD8"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-1.8-(</m:t>
                  </m:r>
                  <m:f>
                    <m:fPr>
                      <m:ctrlPr>
                        <w:rPr>
                          <w:rFonts w:ascii="Cambria Math" w:eastAsia="MS Mincho" w:hAnsi="Cambria Math"/>
                          <w:i/>
                        </w:rPr>
                      </m:ctrlPr>
                    </m:fPr>
                    <m:num>
                      <m:r>
                        <w:rPr>
                          <w:rFonts w:ascii="Cambria Math" w:eastAsia="MS Mincho" w:hAnsi="Cambria Math"/>
                        </w:rPr>
                        <m:t>6</m:t>
                      </m:r>
                    </m:num>
                    <m:den>
                      <m:r>
                        <w:rPr>
                          <w:rFonts w:ascii="Cambria Math" w:eastAsia="MS Mincho" w:hAnsi="Cambria Math"/>
                        </w:rPr>
                        <m:t>50</m:t>
                      </m:r>
                    </m:den>
                  </m:f>
                  <m:r>
                    <w:rPr>
                      <w:rFonts w:ascii="Cambria Math" w:eastAsia="MS Mincho" w:hAnsi="Cambria Math"/>
                    </w:rPr>
                    <m:t>)(f-20)</m:t>
                  </m:r>
                </m:sup>
              </m:sSup>
            </m:oMath>
            <w:r w:rsidRPr="00C64ECB">
              <w:rPr>
                <w:rFonts w:hint="eastAsia"/>
              </w:rPr>
              <w:t xml:space="preserve"> mW</w:t>
            </w:r>
          </w:p>
        </w:tc>
      </w:tr>
      <w:tr w:rsidR="007C0B5A" w:rsidRPr="00C64ECB" w14:paraId="01315B22" w14:textId="77777777" w:rsidTr="00126681">
        <w:trPr>
          <w:jc w:val="center"/>
        </w:trPr>
        <w:tc>
          <w:tcPr>
            <w:tcW w:w="1357" w:type="dxa"/>
            <w:vMerge/>
            <w:vAlign w:val="center"/>
          </w:tcPr>
          <w:p w14:paraId="023A0AEA" w14:textId="77777777" w:rsidR="007C0B5A" w:rsidRPr="00C64ECB" w:rsidRDefault="007C0B5A" w:rsidP="00126681">
            <w:pPr>
              <w:pStyle w:val="TAC"/>
            </w:pPr>
          </w:p>
        </w:tc>
        <w:tc>
          <w:tcPr>
            <w:tcW w:w="1971" w:type="dxa"/>
            <w:vAlign w:val="center"/>
          </w:tcPr>
          <w:p w14:paraId="07C155C7" w14:textId="77777777" w:rsidR="007C0B5A" w:rsidRPr="00C64ECB" w:rsidRDefault="007C0B5A" w:rsidP="00126681">
            <w:pPr>
              <w:pStyle w:val="TAC"/>
            </w:pPr>
            <w:r w:rsidRPr="00C64ECB">
              <w:rPr>
                <w:rFonts w:hint="eastAsia"/>
              </w:rPr>
              <w:t xml:space="preserve">5240 </w:t>
            </w:r>
            <w:r w:rsidRPr="00C64ECB">
              <w:t>&lt;</w:t>
            </w:r>
            <w:r w:rsidRPr="00C64ECB">
              <w:rPr>
                <w:rFonts w:hint="eastAsia"/>
              </w:rPr>
              <w:t xml:space="preserve"> f </w:t>
            </w:r>
            <w:r w:rsidRPr="00C64ECB">
              <w:t>≤</w:t>
            </w:r>
            <w:r w:rsidRPr="00C64ECB">
              <w:rPr>
                <w:rFonts w:hint="eastAsia"/>
              </w:rPr>
              <w:t xml:space="preserve"> 5249</w:t>
            </w:r>
          </w:p>
        </w:tc>
        <w:tc>
          <w:tcPr>
            <w:tcW w:w="3155" w:type="dxa"/>
          </w:tcPr>
          <w:p w14:paraId="1F047190" w14:textId="77777777" w:rsidR="007C0B5A" w:rsidRPr="00C64ECB" w:rsidRDefault="007C0B5A" w:rsidP="00126681">
            <w:pPr>
              <w:pStyle w:val="TAC"/>
            </w:pPr>
            <w:r w:rsidRPr="00C64ECB">
              <w:t>≥</w:t>
            </w:r>
            <w:r w:rsidRPr="00C64ECB">
              <w:rPr>
                <w:rFonts w:hint="eastAsia"/>
              </w:rPr>
              <w:t xml:space="preserve"> 11 and </w:t>
            </w:r>
            <w:r w:rsidRPr="00C64ECB">
              <w:t>&lt;</w:t>
            </w:r>
            <w:r w:rsidRPr="00C64ECB">
              <w:rPr>
                <w:rFonts w:hint="eastAsia"/>
              </w:rPr>
              <w:t xml:space="preserve"> 20</w:t>
            </w:r>
          </w:p>
        </w:tc>
        <w:tc>
          <w:tcPr>
            <w:tcW w:w="2126" w:type="dxa"/>
            <w:vAlign w:val="center"/>
          </w:tcPr>
          <w:p w14:paraId="0885699D"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m:t>
                  </m:r>
                  <m:f>
                    <m:fPr>
                      <m:ctrlPr>
                        <w:rPr>
                          <w:rFonts w:ascii="Cambria Math" w:eastAsia="MS Mincho" w:hAnsi="Cambria Math"/>
                          <w:i/>
                        </w:rPr>
                      </m:ctrlPr>
                    </m:fPr>
                    <m:num>
                      <m:r>
                        <w:rPr>
                          <w:rFonts w:ascii="Cambria Math" w:eastAsia="MS Mincho" w:hAnsi="Cambria Math"/>
                        </w:rPr>
                        <m:t>8</m:t>
                      </m:r>
                    </m:num>
                    <m:den>
                      <m:r>
                        <w:rPr>
                          <w:rFonts w:ascii="Cambria Math" w:eastAsia="MS Mincho" w:hAnsi="Cambria Math"/>
                        </w:rPr>
                        <m:t>90</m:t>
                      </m:r>
                    </m:den>
                  </m:f>
                  <m:r>
                    <w:rPr>
                      <w:rFonts w:ascii="Cambria Math" w:eastAsia="MS Mincho" w:hAnsi="Cambria Math"/>
                    </w:rPr>
                    <m:t>)(f-11)</m:t>
                  </m:r>
                </m:sup>
              </m:sSup>
            </m:oMath>
            <w:r w:rsidRPr="00C64ECB">
              <w:rPr>
                <w:rFonts w:hint="eastAsia"/>
              </w:rPr>
              <w:t xml:space="preserve"> mW</w:t>
            </w:r>
          </w:p>
        </w:tc>
      </w:tr>
      <w:tr w:rsidR="007C0B5A" w:rsidRPr="00C64ECB" w14:paraId="7C19C978" w14:textId="77777777" w:rsidTr="00126681">
        <w:trPr>
          <w:jc w:val="center"/>
        </w:trPr>
        <w:tc>
          <w:tcPr>
            <w:tcW w:w="1357" w:type="dxa"/>
            <w:vMerge/>
            <w:vAlign w:val="center"/>
          </w:tcPr>
          <w:p w14:paraId="5D81CDD3" w14:textId="77777777" w:rsidR="007C0B5A" w:rsidRPr="00C64ECB" w:rsidRDefault="007C0B5A" w:rsidP="00126681">
            <w:pPr>
              <w:pStyle w:val="TAC"/>
            </w:pPr>
          </w:p>
        </w:tc>
        <w:tc>
          <w:tcPr>
            <w:tcW w:w="1971" w:type="dxa"/>
            <w:vAlign w:val="center"/>
          </w:tcPr>
          <w:p w14:paraId="57C20F20" w14:textId="77777777" w:rsidR="007C0B5A" w:rsidRPr="00C64ECB" w:rsidRDefault="007C0B5A" w:rsidP="00126681">
            <w:pPr>
              <w:pStyle w:val="TAC"/>
            </w:pPr>
            <w:r w:rsidRPr="00C64ECB">
              <w:rPr>
                <w:rFonts w:hint="eastAsia"/>
              </w:rPr>
              <w:t xml:space="preserve">5249 </w:t>
            </w:r>
            <w:r w:rsidRPr="00C64ECB">
              <w:t>&lt;</w:t>
            </w:r>
            <w:r w:rsidRPr="00C64ECB">
              <w:rPr>
                <w:rFonts w:hint="eastAsia"/>
              </w:rPr>
              <w:t xml:space="preserve"> f </w:t>
            </w:r>
            <w:r w:rsidRPr="00C64ECB">
              <w:t>≤</w:t>
            </w:r>
            <w:r w:rsidRPr="00C64ECB">
              <w:rPr>
                <w:rFonts w:hint="eastAsia"/>
              </w:rPr>
              <w:t xml:space="preserve"> 5250</w:t>
            </w:r>
          </w:p>
        </w:tc>
        <w:tc>
          <w:tcPr>
            <w:tcW w:w="3155" w:type="dxa"/>
            <w:vAlign w:val="center"/>
          </w:tcPr>
          <w:p w14:paraId="4ACB28CC" w14:textId="77777777" w:rsidR="007C0B5A" w:rsidRPr="00C64ECB" w:rsidRDefault="007C0B5A" w:rsidP="00126681">
            <w:pPr>
              <w:pStyle w:val="TAC"/>
            </w:pPr>
            <w:r w:rsidRPr="00C64ECB">
              <w:t>≥</w:t>
            </w:r>
            <w:r w:rsidRPr="00C64ECB">
              <w:rPr>
                <w:rFonts w:hint="eastAsia"/>
              </w:rPr>
              <w:t xml:space="preserve"> 10 and </w:t>
            </w:r>
            <w:r w:rsidRPr="00C64ECB">
              <w:t>&lt;</w:t>
            </w:r>
            <w:r w:rsidRPr="00C64ECB">
              <w:rPr>
                <w:rFonts w:hint="eastAsia"/>
              </w:rPr>
              <w:t xml:space="preserve"> 11</w:t>
            </w:r>
          </w:p>
        </w:tc>
        <w:tc>
          <w:tcPr>
            <w:tcW w:w="2126" w:type="dxa"/>
            <w:vAlign w:val="center"/>
          </w:tcPr>
          <w:p w14:paraId="6EE902B5"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1-(f-9)</m:t>
                  </m:r>
                </m:sup>
              </m:sSup>
            </m:oMath>
            <w:r w:rsidRPr="00C64ECB">
              <w:rPr>
                <w:rFonts w:hint="eastAsia"/>
              </w:rPr>
              <w:t xml:space="preserve"> mW</w:t>
            </w:r>
          </w:p>
        </w:tc>
      </w:tr>
      <w:tr w:rsidR="007C0B5A" w:rsidRPr="00C64ECB" w14:paraId="68F210B7" w14:textId="77777777" w:rsidTr="00126681">
        <w:trPr>
          <w:jc w:val="center"/>
        </w:trPr>
        <w:tc>
          <w:tcPr>
            <w:tcW w:w="1357" w:type="dxa"/>
            <w:vAlign w:val="center"/>
          </w:tcPr>
          <w:p w14:paraId="0452FA35" w14:textId="77777777" w:rsidR="007C0B5A" w:rsidRPr="00C64ECB" w:rsidRDefault="007C0B5A" w:rsidP="00126681">
            <w:pPr>
              <w:pStyle w:val="TAC"/>
            </w:pPr>
            <w:r w:rsidRPr="00C64ECB">
              <w:rPr>
                <w:rFonts w:hint="eastAsia"/>
              </w:rPr>
              <w:t>5320</w:t>
            </w:r>
          </w:p>
        </w:tc>
        <w:tc>
          <w:tcPr>
            <w:tcW w:w="1971" w:type="dxa"/>
            <w:vAlign w:val="center"/>
          </w:tcPr>
          <w:p w14:paraId="7E556F3C" w14:textId="77777777" w:rsidR="007C0B5A" w:rsidRPr="00C64ECB" w:rsidRDefault="007C0B5A" w:rsidP="00126681">
            <w:pPr>
              <w:pStyle w:val="TAC"/>
            </w:pPr>
            <w:r w:rsidRPr="00C64ECB">
              <w:rPr>
                <w:rFonts w:hint="eastAsia"/>
              </w:rPr>
              <w:t xml:space="preserve">5350 </w:t>
            </w:r>
            <w:r w:rsidRPr="00C64ECB">
              <w:t>≤</w:t>
            </w:r>
            <w:r w:rsidRPr="00C64ECB">
              <w:rPr>
                <w:rFonts w:hint="eastAsia"/>
              </w:rPr>
              <w:t xml:space="preserve"> f </w:t>
            </w:r>
            <w:r w:rsidRPr="00C64ECB">
              <w:t>≤</w:t>
            </w:r>
            <w:r w:rsidRPr="00C64ECB">
              <w:rPr>
                <w:rFonts w:hint="eastAsia"/>
              </w:rPr>
              <w:t xml:space="preserve"> 5365</w:t>
            </w:r>
          </w:p>
        </w:tc>
        <w:tc>
          <w:tcPr>
            <w:tcW w:w="3155" w:type="dxa"/>
            <w:vAlign w:val="center"/>
          </w:tcPr>
          <w:p w14:paraId="2E99428A" w14:textId="77777777" w:rsidR="007C0B5A" w:rsidRPr="00C64ECB" w:rsidRDefault="007C0B5A" w:rsidP="00126681">
            <w:pPr>
              <w:pStyle w:val="TAC"/>
            </w:pPr>
            <w:r w:rsidRPr="00C64ECB">
              <w:t>≥</w:t>
            </w:r>
            <w:r w:rsidRPr="00C64ECB">
              <w:rPr>
                <w:rFonts w:hint="eastAsia"/>
              </w:rPr>
              <w:t xml:space="preserve"> 30 and </w:t>
            </w:r>
            <w:r w:rsidRPr="00C64ECB">
              <w:t>≤</w:t>
            </w:r>
            <w:r w:rsidRPr="00C64ECB">
              <w:rPr>
                <w:rFonts w:hint="eastAsia"/>
              </w:rPr>
              <w:t xml:space="preserve"> 45</w:t>
            </w:r>
          </w:p>
        </w:tc>
        <w:tc>
          <w:tcPr>
            <w:tcW w:w="2126" w:type="dxa"/>
            <w:vAlign w:val="center"/>
          </w:tcPr>
          <w:p w14:paraId="489A77C8"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bl>
    <w:p w14:paraId="29782D40" w14:textId="77777777" w:rsidR="007C0B5A" w:rsidRPr="00C64ECB" w:rsidRDefault="007C0B5A" w:rsidP="007C0B5A"/>
    <w:p w14:paraId="026CB1E4" w14:textId="77777777" w:rsidR="007C0B5A" w:rsidRPr="00C64ECB" w:rsidRDefault="007C0B5A" w:rsidP="007C0B5A">
      <w:r w:rsidRPr="00C64ECB">
        <w:t>19 MHz &lt; Occupied bandwidth ≤ 38 MHz:</w:t>
      </w:r>
    </w:p>
    <w:p w14:paraId="1EF12FCD" w14:textId="77777777" w:rsidR="007C0B5A" w:rsidRPr="00C64ECB" w:rsidRDefault="007C0B5A" w:rsidP="007C0B5A">
      <w:pPr>
        <w:pStyle w:val="TH"/>
      </w:pPr>
      <w:r w:rsidRPr="00C64ECB">
        <w:t>Table 4.</w:t>
      </w:r>
      <w:r w:rsidR="000D7B67" w:rsidRPr="00C64ECB">
        <w:t>1.</w:t>
      </w:r>
      <w:r w:rsidRPr="00C64ECB">
        <w:t>3.2.1-5: SEM: 19 MHz &lt; Occupied bandwidth ≤ 38 MHz</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7"/>
        <w:gridCol w:w="1971"/>
        <w:gridCol w:w="3152"/>
        <w:gridCol w:w="2694"/>
      </w:tblGrid>
      <w:tr w:rsidR="007C0B5A" w:rsidRPr="00C64ECB" w14:paraId="369FBC2C" w14:textId="77777777" w:rsidTr="00126681">
        <w:trPr>
          <w:jc w:val="center"/>
        </w:trPr>
        <w:tc>
          <w:tcPr>
            <w:tcW w:w="1357" w:type="dxa"/>
          </w:tcPr>
          <w:p w14:paraId="25C39941" w14:textId="77777777" w:rsidR="007C0B5A" w:rsidRPr="00C64ECB" w:rsidRDefault="007C0B5A" w:rsidP="00126681">
            <w:pPr>
              <w:pStyle w:val="TAH"/>
            </w:pPr>
            <w:r w:rsidRPr="00C64ECB">
              <w:rPr>
                <w:rFonts w:hint="eastAsia"/>
              </w:rPr>
              <w:t xml:space="preserve">Centre </w:t>
            </w:r>
          </w:p>
          <w:p w14:paraId="5BDB0B8F" w14:textId="77777777" w:rsidR="007C0B5A" w:rsidRPr="00C64ECB" w:rsidRDefault="007C0B5A" w:rsidP="00126681">
            <w:pPr>
              <w:pStyle w:val="TAH"/>
            </w:pPr>
            <w:r w:rsidRPr="00C64ECB">
              <w:rPr>
                <w:rFonts w:hint="eastAsia"/>
              </w:rPr>
              <w:t xml:space="preserve">Frequency </w:t>
            </w:r>
          </w:p>
          <w:p w14:paraId="7D574895" w14:textId="77777777" w:rsidR="007C0B5A" w:rsidRPr="00C64ECB" w:rsidRDefault="007C0B5A" w:rsidP="00126681">
            <w:pPr>
              <w:pStyle w:val="TAH"/>
            </w:pPr>
            <w:r w:rsidRPr="00C64ECB">
              <w:rPr>
                <w:rFonts w:hint="eastAsia"/>
              </w:rPr>
              <w:t>(MHz)</w:t>
            </w:r>
          </w:p>
        </w:tc>
        <w:tc>
          <w:tcPr>
            <w:tcW w:w="1971" w:type="dxa"/>
          </w:tcPr>
          <w:p w14:paraId="188881F4" w14:textId="77777777" w:rsidR="007C0B5A" w:rsidRPr="00C64ECB" w:rsidRDefault="007C0B5A" w:rsidP="00126681">
            <w:pPr>
              <w:pStyle w:val="TAH"/>
            </w:pPr>
            <w:r w:rsidRPr="00C64ECB">
              <w:rPr>
                <w:rFonts w:hint="eastAsia"/>
              </w:rPr>
              <w:t>Frequency range(f)</w:t>
            </w:r>
          </w:p>
          <w:p w14:paraId="47EE3100" w14:textId="77777777" w:rsidR="007C0B5A" w:rsidRPr="00C64ECB" w:rsidRDefault="007C0B5A" w:rsidP="00126681">
            <w:pPr>
              <w:pStyle w:val="TAH"/>
            </w:pPr>
            <w:r w:rsidRPr="00C64ECB">
              <w:rPr>
                <w:rFonts w:hint="eastAsia"/>
              </w:rPr>
              <w:t>(MHz)</w:t>
            </w:r>
          </w:p>
        </w:tc>
        <w:tc>
          <w:tcPr>
            <w:tcW w:w="3152" w:type="dxa"/>
          </w:tcPr>
          <w:p w14:paraId="17DAB228" w14:textId="77777777" w:rsidR="007C0B5A" w:rsidRPr="00C64ECB" w:rsidRDefault="007C0B5A" w:rsidP="00126681">
            <w:pPr>
              <w:pStyle w:val="TAH"/>
            </w:pPr>
            <w:r w:rsidRPr="00C64ECB">
              <w:rPr>
                <w:rFonts w:hint="eastAsia"/>
              </w:rPr>
              <w:t xml:space="preserve">Frequency difference </w:t>
            </w:r>
            <w:r w:rsidRPr="00C64ECB">
              <w:t>between</w:t>
            </w:r>
            <w:r w:rsidRPr="00C64ECB">
              <w:rPr>
                <w:rFonts w:hint="eastAsia"/>
              </w:rPr>
              <w:t xml:space="preserve"> centre frequency </w:t>
            </w:r>
            <w:r w:rsidRPr="00C64ECB">
              <w:t>–</w:t>
            </w:r>
            <w:r w:rsidRPr="00C64ECB">
              <w:rPr>
                <w:rFonts w:hint="eastAsia"/>
              </w:rPr>
              <w:t xml:space="preserve"> the edges of frequency range(MHz)</w:t>
            </w:r>
          </w:p>
        </w:tc>
        <w:tc>
          <w:tcPr>
            <w:tcW w:w="2694" w:type="dxa"/>
          </w:tcPr>
          <w:p w14:paraId="3BF16440" w14:textId="77777777" w:rsidR="007C0B5A" w:rsidRPr="00C64ECB" w:rsidRDefault="007C0B5A" w:rsidP="00126681">
            <w:pPr>
              <w:pStyle w:val="TAH"/>
            </w:pPr>
            <w:r w:rsidRPr="00C64ECB">
              <w:rPr>
                <w:rFonts w:hint="eastAsia"/>
              </w:rPr>
              <w:t>e.i.r.p/MHz</w:t>
            </w:r>
          </w:p>
        </w:tc>
      </w:tr>
      <w:tr w:rsidR="007C0B5A" w:rsidRPr="00C64ECB" w14:paraId="691B356E" w14:textId="77777777" w:rsidTr="00126681">
        <w:trPr>
          <w:jc w:val="center"/>
        </w:trPr>
        <w:tc>
          <w:tcPr>
            <w:tcW w:w="1357" w:type="dxa"/>
            <w:vMerge w:val="restart"/>
            <w:vAlign w:val="center"/>
          </w:tcPr>
          <w:p w14:paraId="2902C46B" w14:textId="77777777" w:rsidR="007C0B5A" w:rsidRPr="00C64ECB" w:rsidRDefault="007C0B5A" w:rsidP="00126681">
            <w:pPr>
              <w:pStyle w:val="TAC"/>
            </w:pPr>
            <w:r w:rsidRPr="00C64ECB">
              <w:rPr>
                <w:rFonts w:hint="eastAsia"/>
              </w:rPr>
              <w:t>5190</w:t>
            </w:r>
          </w:p>
        </w:tc>
        <w:tc>
          <w:tcPr>
            <w:tcW w:w="1971" w:type="dxa"/>
            <w:vAlign w:val="center"/>
          </w:tcPr>
          <w:p w14:paraId="6A360DF1" w14:textId="77777777" w:rsidR="007C0B5A" w:rsidRPr="00C64ECB" w:rsidRDefault="007C0B5A" w:rsidP="00126681">
            <w:pPr>
              <w:pStyle w:val="TAC"/>
            </w:pPr>
            <w:r w:rsidRPr="00C64ECB">
              <w:rPr>
                <w:rFonts w:hint="eastAsia"/>
              </w:rPr>
              <w:t xml:space="preserve">5100 </w:t>
            </w:r>
            <w:r w:rsidRPr="00C64ECB">
              <w:t>≤</w:t>
            </w:r>
            <w:r w:rsidRPr="00C64ECB">
              <w:rPr>
                <w:rFonts w:hint="eastAsia"/>
              </w:rPr>
              <w:t xml:space="preserve"> f </w:t>
            </w:r>
            <w:r w:rsidRPr="00C64ECB">
              <w:t>≤</w:t>
            </w:r>
            <w:r w:rsidRPr="00C64ECB">
              <w:rPr>
                <w:rFonts w:hint="eastAsia"/>
              </w:rPr>
              <w:t xml:space="preserve"> 5141.6</w:t>
            </w:r>
          </w:p>
        </w:tc>
        <w:tc>
          <w:tcPr>
            <w:tcW w:w="3152" w:type="dxa"/>
          </w:tcPr>
          <w:p w14:paraId="36C1C4EC" w14:textId="77777777" w:rsidR="007C0B5A" w:rsidRPr="00C64ECB" w:rsidRDefault="007C0B5A" w:rsidP="00126681">
            <w:pPr>
              <w:pStyle w:val="TAC"/>
            </w:pPr>
            <w:r w:rsidRPr="00C64ECB">
              <w:t>≥</w:t>
            </w:r>
            <w:r w:rsidRPr="00C64ECB">
              <w:rPr>
                <w:rFonts w:hint="eastAsia"/>
              </w:rPr>
              <w:t xml:space="preserve"> 48.4 and </w:t>
            </w:r>
            <w:r w:rsidRPr="00C64ECB">
              <w:t>≤</w:t>
            </w:r>
            <w:r w:rsidRPr="00C64ECB">
              <w:rPr>
                <w:rFonts w:hint="eastAsia"/>
              </w:rPr>
              <w:t xml:space="preserve"> 90</w:t>
            </w:r>
          </w:p>
        </w:tc>
        <w:tc>
          <w:tcPr>
            <w:tcW w:w="2694" w:type="dxa"/>
            <w:vAlign w:val="center"/>
          </w:tcPr>
          <w:p w14:paraId="42AC5A91"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2A09968A" w14:textId="77777777" w:rsidTr="00126681">
        <w:trPr>
          <w:jc w:val="center"/>
        </w:trPr>
        <w:tc>
          <w:tcPr>
            <w:tcW w:w="1357" w:type="dxa"/>
            <w:vMerge/>
            <w:vAlign w:val="center"/>
          </w:tcPr>
          <w:p w14:paraId="53DDA51C" w14:textId="77777777" w:rsidR="007C0B5A" w:rsidRPr="00C64ECB" w:rsidRDefault="007C0B5A" w:rsidP="00126681">
            <w:pPr>
              <w:pStyle w:val="TAC"/>
            </w:pPr>
          </w:p>
        </w:tc>
        <w:tc>
          <w:tcPr>
            <w:tcW w:w="1971" w:type="dxa"/>
            <w:vAlign w:val="center"/>
          </w:tcPr>
          <w:p w14:paraId="79140F71" w14:textId="77777777" w:rsidR="007C0B5A" w:rsidRPr="00C64ECB" w:rsidRDefault="007C0B5A" w:rsidP="00126681">
            <w:pPr>
              <w:pStyle w:val="TAC"/>
            </w:pPr>
            <w:r w:rsidRPr="00C64ECB">
              <w:rPr>
                <w:rFonts w:hint="eastAsia"/>
              </w:rPr>
              <w:t xml:space="preserve">5141.6 </w:t>
            </w:r>
            <w:r w:rsidRPr="00C64ECB">
              <w:t>&lt;</w:t>
            </w:r>
            <w:r w:rsidRPr="00C64ECB">
              <w:rPr>
                <w:rFonts w:hint="eastAsia"/>
              </w:rPr>
              <w:t xml:space="preserve"> f </w:t>
            </w:r>
            <w:r w:rsidRPr="00C64ECB">
              <w:t>≤</w:t>
            </w:r>
            <w:r w:rsidRPr="00C64ECB">
              <w:rPr>
                <w:rFonts w:hint="eastAsia"/>
              </w:rPr>
              <w:t xml:space="preserve"> 5150</w:t>
            </w:r>
          </w:p>
        </w:tc>
        <w:tc>
          <w:tcPr>
            <w:tcW w:w="3152" w:type="dxa"/>
          </w:tcPr>
          <w:p w14:paraId="11A14DF3" w14:textId="77777777" w:rsidR="007C0B5A" w:rsidRPr="00C64ECB" w:rsidRDefault="007C0B5A" w:rsidP="00126681">
            <w:pPr>
              <w:pStyle w:val="TAC"/>
            </w:pPr>
            <w:r w:rsidRPr="00C64ECB">
              <w:t>≥</w:t>
            </w:r>
            <w:r w:rsidRPr="00C64ECB">
              <w:rPr>
                <w:rFonts w:hint="eastAsia"/>
              </w:rPr>
              <w:t xml:space="preserve"> 40 and </w:t>
            </w:r>
            <w:r w:rsidRPr="00C64ECB">
              <w:t>&lt;</w:t>
            </w:r>
            <w:r w:rsidRPr="00C64ECB">
              <w:rPr>
                <w:rFonts w:hint="eastAsia"/>
              </w:rPr>
              <w:t xml:space="preserve"> 48.4</w:t>
            </w:r>
          </w:p>
        </w:tc>
        <w:tc>
          <w:tcPr>
            <w:tcW w:w="2694" w:type="dxa"/>
            <w:vAlign w:val="center"/>
          </w:tcPr>
          <w:p w14:paraId="74382C54" w14:textId="77777777" w:rsidR="007C0B5A" w:rsidRPr="00C64ECB" w:rsidRDefault="007C0B5A" w:rsidP="00126681">
            <w:pPr>
              <w:pStyle w:val="TAC"/>
            </w:pPr>
            <w:r w:rsidRPr="00C64ECB">
              <w:t>≤</w:t>
            </w:r>
            <w:r w:rsidRPr="00C64ECB">
              <w:rPr>
                <w:rFonts w:hint="eastAsia"/>
              </w:rPr>
              <w:t xml:space="preserve"> 15 </w:t>
            </w:r>
            <w:r w:rsidRPr="00C64ECB">
              <w:rPr>
                <w:rFonts w:ascii="Symbol" w:hAnsi="Symbol"/>
              </w:rPr>
              <w:t></w:t>
            </w:r>
            <w:r w:rsidRPr="00C64ECB">
              <w:rPr>
                <w:rFonts w:hint="eastAsia"/>
              </w:rPr>
              <w:t>W</w:t>
            </w:r>
          </w:p>
        </w:tc>
      </w:tr>
      <w:tr w:rsidR="007C0B5A" w:rsidRPr="00C64ECB" w14:paraId="3AABCC30" w14:textId="77777777" w:rsidTr="00126681">
        <w:trPr>
          <w:jc w:val="center"/>
        </w:trPr>
        <w:tc>
          <w:tcPr>
            <w:tcW w:w="1357" w:type="dxa"/>
            <w:vMerge w:val="restart"/>
            <w:vAlign w:val="center"/>
          </w:tcPr>
          <w:p w14:paraId="4CE10812" w14:textId="77777777" w:rsidR="007C0B5A" w:rsidRPr="00C64ECB" w:rsidRDefault="007C0B5A" w:rsidP="00126681">
            <w:pPr>
              <w:pStyle w:val="TAC"/>
            </w:pPr>
            <w:r w:rsidRPr="00C64ECB">
              <w:rPr>
                <w:rFonts w:hint="eastAsia"/>
              </w:rPr>
              <w:t>5230</w:t>
            </w:r>
          </w:p>
        </w:tc>
        <w:tc>
          <w:tcPr>
            <w:tcW w:w="1971" w:type="dxa"/>
            <w:vAlign w:val="center"/>
          </w:tcPr>
          <w:p w14:paraId="6FFF6F81" w14:textId="77777777" w:rsidR="007C0B5A" w:rsidRPr="00C64ECB" w:rsidRDefault="007C0B5A" w:rsidP="00126681">
            <w:pPr>
              <w:pStyle w:val="TAC"/>
            </w:pPr>
            <w:r w:rsidRPr="00C64ECB">
              <w:rPr>
                <w:rFonts w:hint="eastAsia"/>
              </w:rPr>
              <w:t xml:space="preserve">5250 </w:t>
            </w:r>
            <w:r w:rsidRPr="00C64ECB">
              <w:t>≤</w:t>
            </w:r>
            <w:r w:rsidRPr="00C64ECB">
              <w:rPr>
                <w:rFonts w:hint="eastAsia"/>
              </w:rPr>
              <w:t xml:space="preserve"> f </w:t>
            </w:r>
            <w:r w:rsidRPr="00C64ECB">
              <w:t>&lt;</w:t>
            </w:r>
            <w:r w:rsidRPr="00C64ECB">
              <w:rPr>
                <w:rFonts w:hint="eastAsia"/>
              </w:rPr>
              <w:t xml:space="preserve"> 5251</w:t>
            </w:r>
          </w:p>
        </w:tc>
        <w:tc>
          <w:tcPr>
            <w:tcW w:w="3152" w:type="dxa"/>
          </w:tcPr>
          <w:p w14:paraId="3565A751" w14:textId="77777777" w:rsidR="007C0B5A" w:rsidRPr="00C64ECB" w:rsidRDefault="007C0B5A" w:rsidP="00126681">
            <w:pPr>
              <w:pStyle w:val="TAC"/>
            </w:pPr>
            <w:r w:rsidRPr="00C64ECB">
              <w:t>≥</w:t>
            </w:r>
            <w:r w:rsidRPr="00C64ECB">
              <w:rPr>
                <w:rFonts w:hint="eastAsia"/>
              </w:rPr>
              <w:t xml:space="preserve"> 20 and </w:t>
            </w:r>
            <w:r w:rsidRPr="00C64ECB">
              <w:t>&lt;</w:t>
            </w:r>
            <w:r w:rsidRPr="00C64ECB">
              <w:rPr>
                <w:rFonts w:hint="eastAsia"/>
              </w:rPr>
              <w:t xml:space="preserve"> 21</w:t>
            </w:r>
          </w:p>
        </w:tc>
        <w:tc>
          <w:tcPr>
            <w:tcW w:w="2694" w:type="dxa"/>
            <w:vAlign w:val="center"/>
          </w:tcPr>
          <w:p w14:paraId="17D0A738"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r>
                        <w:rPr>
                          <w:rFonts w:ascii="Cambria Math" w:eastAsia="MS Mincho" w:hAnsi="Cambria Math"/>
                        </w:rPr>
                        <m:t>f-20</m:t>
                      </m:r>
                    </m:e>
                  </m:d>
                  <m:r>
                    <w:rPr>
                      <w:rFonts w:ascii="Cambria Math" w:eastAsia="MS Mincho" w:hAnsi="Cambria Math"/>
                    </w:rPr>
                    <m:t>+log(1/2)</m:t>
                  </m:r>
                </m:sup>
              </m:sSup>
            </m:oMath>
            <w:r w:rsidRPr="00C64ECB">
              <w:rPr>
                <w:rFonts w:hint="eastAsia"/>
              </w:rPr>
              <w:t xml:space="preserve"> mW</w:t>
            </w:r>
          </w:p>
        </w:tc>
      </w:tr>
      <w:tr w:rsidR="007C0B5A" w:rsidRPr="00C64ECB" w14:paraId="44A91F82" w14:textId="77777777" w:rsidTr="00126681">
        <w:trPr>
          <w:jc w:val="center"/>
        </w:trPr>
        <w:tc>
          <w:tcPr>
            <w:tcW w:w="1357" w:type="dxa"/>
            <w:vMerge/>
            <w:vAlign w:val="center"/>
          </w:tcPr>
          <w:p w14:paraId="6BC513CB" w14:textId="77777777" w:rsidR="007C0B5A" w:rsidRPr="00C64ECB" w:rsidRDefault="007C0B5A" w:rsidP="00126681">
            <w:pPr>
              <w:pStyle w:val="TAC"/>
            </w:pPr>
          </w:p>
        </w:tc>
        <w:tc>
          <w:tcPr>
            <w:tcW w:w="1971" w:type="dxa"/>
            <w:vAlign w:val="center"/>
          </w:tcPr>
          <w:p w14:paraId="02954218" w14:textId="77777777" w:rsidR="007C0B5A" w:rsidRPr="00C64ECB" w:rsidRDefault="007C0B5A" w:rsidP="00126681">
            <w:pPr>
              <w:pStyle w:val="TAC"/>
            </w:pPr>
            <w:r w:rsidRPr="00C64ECB">
              <w:rPr>
                <w:rFonts w:hint="eastAsia"/>
              </w:rPr>
              <w:t xml:space="preserve">5251 </w:t>
            </w:r>
            <w:r w:rsidRPr="00C64ECB">
              <w:t>≤</w:t>
            </w:r>
            <w:r w:rsidRPr="00C64ECB">
              <w:rPr>
                <w:rFonts w:hint="eastAsia"/>
              </w:rPr>
              <w:t xml:space="preserve"> f </w:t>
            </w:r>
            <w:r w:rsidRPr="00C64ECB">
              <w:t>&lt;</w:t>
            </w:r>
            <w:r w:rsidRPr="00C64ECB">
              <w:rPr>
                <w:rFonts w:hint="eastAsia"/>
              </w:rPr>
              <w:t xml:space="preserve"> 5270</w:t>
            </w:r>
          </w:p>
        </w:tc>
        <w:tc>
          <w:tcPr>
            <w:tcW w:w="3152" w:type="dxa"/>
            <w:vAlign w:val="center"/>
          </w:tcPr>
          <w:p w14:paraId="33154333" w14:textId="77777777" w:rsidR="007C0B5A" w:rsidRPr="00C64ECB" w:rsidRDefault="007C0B5A" w:rsidP="00126681">
            <w:pPr>
              <w:pStyle w:val="TAC"/>
            </w:pPr>
            <w:r w:rsidRPr="00C64ECB">
              <w:t>≥</w:t>
            </w:r>
            <w:r w:rsidRPr="00C64ECB">
              <w:rPr>
                <w:rFonts w:hint="eastAsia"/>
              </w:rPr>
              <w:t xml:space="preserve"> 21 and </w:t>
            </w:r>
            <w:r w:rsidRPr="00C64ECB">
              <w:t>&lt;</w:t>
            </w:r>
            <w:r w:rsidRPr="00C64ECB">
              <w:rPr>
                <w:rFonts w:hint="eastAsia"/>
              </w:rPr>
              <w:t xml:space="preserve"> 40</w:t>
            </w:r>
          </w:p>
        </w:tc>
        <w:tc>
          <w:tcPr>
            <w:tcW w:w="2694" w:type="dxa"/>
            <w:vAlign w:val="center"/>
          </w:tcPr>
          <w:p w14:paraId="51BFC303"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8</m:t>
                          </m:r>
                        </m:num>
                        <m:den>
                          <m:r>
                            <w:rPr>
                              <w:rFonts w:ascii="Cambria Math" w:eastAsia="MS Mincho" w:hAnsi="Cambria Math"/>
                            </w:rPr>
                            <m:t>190</m:t>
                          </m:r>
                        </m:den>
                      </m:f>
                    </m:e>
                  </m:d>
                  <m:d>
                    <m:dPr>
                      <m:ctrlPr>
                        <w:rPr>
                          <w:rFonts w:ascii="Cambria Math" w:eastAsia="MS Mincho" w:hAnsi="Cambria Math"/>
                          <w:i/>
                        </w:rPr>
                      </m:ctrlPr>
                    </m:dPr>
                    <m:e>
                      <m:r>
                        <w:rPr>
                          <w:rFonts w:ascii="Cambria Math" w:eastAsia="MS Mincho" w:hAnsi="Cambria Math"/>
                        </w:rPr>
                        <m:t>f-21</m:t>
                      </m:r>
                    </m:e>
                  </m:d>
                  <m:r>
                    <w:rPr>
                      <w:rFonts w:ascii="Cambria Math" w:eastAsia="MS Mincho" w:hAnsi="Cambria Math"/>
                    </w:rPr>
                    <m:t>-1+log(1/2)</m:t>
                  </m:r>
                </m:sup>
              </m:sSup>
            </m:oMath>
            <w:r w:rsidRPr="00C64ECB">
              <w:rPr>
                <w:rFonts w:hint="eastAsia"/>
              </w:rPr>
              <w:t xml:space="preserve"> mW</w:t>
            </w:r>
          </w:p>
        </w:tc>
      </w:tr>
      <w:tr w:rsidR="007C0B5A" w:rsidRPr="00C64ECB" w14:paraId="4E8794DC" w14:textId="77777777" w:rsidTr="00126681">
        <w:trPr>
          <w:jc w:val="center"/>
        </w:trPr>
        <w:tc>
          <w:tcPr>
            <w:tcW w:w="1357" w:type="dxa"/>
            <w:vMerge/>
            <w:vAlign w:val="center"/>
          </w:tcPr>
          <w:p w14:paraId="272A9AC4" w14:textId="77777777" w:rsidR="007C0B5A" w:rsidRPr="00C64ECB" w:rsidRDefault="007C0B5A" w:rsidP="00126681">
            <w:pPr>
              <w:pStyle w:val="TAC"/>
            </w:pPr>
          </w:p>
        </w:tc>
        <w:tc>
          <w:tcPr>
            <w:tcW w:w="1971" w:type="dxa"/>
            <w:vAlign w:val="center"/>
          </w:tcPr>
          <w:p w14:paraId="28801132" w14:textId="77777777" w:rsidR="007C0B5A" w:rsidRPr="00C64ECB" w:rsidRDefault="007C0B5A" w:rsidP="00126681">
            <w:pPr>
              <w:pStyle w:val="TAC"/>
            </w:pPr>
            <w:r w:rsidRPr="00C64ECB">
              <w:rPr>
                <w:rFonts w:hint="eastAsia"/>
              </w:rPr>
              <w:t xml:space="preserve">5270 </w:t>
            </w:r>
            <w:r w:rsidRPr="00C64ECB">
              <w:t>≤</w:t>
            </w:r>
            <w:r w:rsidRPr="00C64ECB">
              <w:rPr>
                <w:rFonts w:hint="eastAsia"/>
              </w:rPr>
              <w:t xml:space="preserve"> f </w:t>
            </w:r>
            <w:r w:rsidRPr="00C64ECB">
              <w:t>&lt;</w:t>
            </w:r>
            <w:r w:rsidRPr="00C64ECB">
              <w:rPr>
                <w:rFonts w:hint="eastAsia"/>
              </w:rPr>
              <w:t xml:space="preserve"> 5278.4</w:t>
            </w:r>
          </w:p>
        </w:tc>
        <w:tc>
          <w:tcPr>
            <w:tcW w:w="3152" w:type="dxa"/>
            <w:vAlign w:val="center"/>
          </w:tcPr>
          <w:p w14:paraId="54206349" w14:textId="77777777" w:rsidR="007C0B5A" w:rsidRPr="00C64ECB" w:rsidRDefault="007C0B5A" w:rsidP="00126681">
            <w:pPr>
              <w:pStyle w:val="TAC"/>
            </w:pPr>
            <w:r w:rsidRPr="00C64ECB">
              <w:t>≥</w:t>
            </w:r>
            <w:r w:rsidRPr="00C64ECB">
              <w:rPr>
                <w:rFonts w:hint="eastAsia"/>
              </w:rPr>
              <w:t xml:space="preserve"> 40 and </w:t>
            </w:r>
            <w:r w:rsidRPr="00C64ECB">
              <w:t>&lt;</w:t>
            </w:r>
            <w:r w:rsidRPr="00C64ECB">
              <w:rPr>
                <w:rFonts w:hint="eastAsia"/>
              </w:rPr>
              <w:t xml:space="preserve"> 48.4</w:t>
            </w:r>
          </w:p>
        </w:tc>
        <w:tc>
          <w:tcPr>
            <w:tcW w:w="2694" w:type="dxa"/>
            <w:vAlign w:val="center"/>
          </w:tcPr>
          <w:p w14:paraId="798DC33B"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3</m:t>
                          </m:r>
                        </m:num>
                        <m:den>
                          <m:r>
                            <w:rPr>
                              <w:rFonts w:ascii="Cambria Math" w:eastAsia="MS Mincho" w:hAnsi="Cambria Math"/>
                            </w:rPr>
                            <m:t>50</m:t>
                          </m:r>
                        </m:den>
                      </m:f>
                    </m:e>
                  </m:d>
                  <m:d>
                    <m:dPr>
                      <m:ctrlPr>
                        <w:rPr>
                          <w:rFonts w:ascii="Cambria Math" w:eastAsia="MS Mincho" w:hAnsi="Cambria Math"/>
                          <w:i/>
                        </w:rPr>
                      </m:ctrlPr>
                    </m:dPr>
                    <m:e>
                      <m:r>
                        <w:rPr>
                          <w:rFonts w:ascii="Cambria Math" w:eastAsia="MS Mincho" w:hAnsi="Cambria Math"/>
                        </w:rPr>
                        <m:t>f-40</m:t>
                      </m:r>
                    </m:e>
                  </m:d>
                  <m:r>
                    <w:rPr>
                      <w:rFonts w:ascii="Cambria Math" w:eastAsia="MS Mincho" w:hAnsi="Cambria Math"/>
                    </w:rPr>
                    <m:t>-1.8+log(1/2)</m:t>
                  </m:r>
                </m:sup>
              </m:sSup>
            </m:oMath>
            <w:r w:rsidRPr="00C64ECB">
              <w:rPr>
                <w:rFonts w:hint="eastAsia"/>
              </w:rPr>
              <w:t xml:space="preserve"> mW</w:t>
            </w:r>
          </w:p>
        </w:tc>
      </w:tr>
      <w:tr w:rsidR="007C0B5A" w:rsidRPr="00C64ECB" w14:paraId="083C2569" w14:textId="77777777" w:rsidTr="00126681">
        <w:trPr>
          <w:jc w:val="center"/>
        </w:trPr>
        <w:tc>
          <w:tcPr>
            <w:tcW w:w="1357" w:type="dxa"/>
            <w:vMerge/>
            <w:vAlign w:val="center"/>
          </w:tcPr>
          <w:p w14:paraId="4266A173" w14:textId="77777777" w:rsidR="007C0B5A" w:rsidRPr="00C64ECB" w:rsidRDefault="007C0B5A" w:rsidP="00126681">
            <w:pPr>
              <w:pStyle w:val="TAC"/>
            </w:pPr>
          </w:p>
        </w:tc>
        <w:tc>
          <w:tcPr>
            <w:tcW w:w="1971" w:type="dxa"/>
            <w:vAlign w:val="center"/>
          </w:tcPr>
          <w:p w14:paraId="764C9755" w14:textId="77777777" w:rsidR="007C0B5A" w:rsidRPr="00C64ECB" w:rsidRDefault="007C0B5A" w:rsidP="00126681">
            <w:pPr>
              <w:pStyle w:val="TAC"/>
            </w:pPr>
            <w:r w:rsidRPr="00C64ECB">
              <w:rPr>
                <w:rFonts w:hint="eastAsia"/>
              </w:rPr>
              <w:t xml:space="preserve">5278.4 </w:t>
            </w:r>
            <w:r w:rsidRPr="00C64ECB">
              <w:t>≤</w:t>
            </w:r>
            <w:r w:rsidRPr="00C64ECB">
              <w:rPr>
                <w:rFonts w:hint="eastAsia"/>
              </w:rPr>
              <w:t xml:space="preserve"> f </w:t>
            </w:r>
            <w:r w:rsidRPr="00C64ECB">
              <w:t>≤</w:t>
            </w:r>
            <w:r w:rsidRPr="00C64ECB">
              <w:rPr>
                <w:rFonts w:hint="eastAsia"/>
              </w:rPr>
              <w:t xml:space="preserve"> 5400</w:t>
            </w:r>
          </w:p>
        </w:tc>
        <w:tc>
          <w:tcPr>
            <w:tcW w:w="3152" w:type="dxa"/>
            <w:vAlign w:val="center"/>
          </w:tcPr>
          <w:p w14:paraId="7356A0EC" w14:textId="77777777" w:rsidR="007C0B5A" w:rsidRPr="00C64ECB" w:rsidRDefault="007C0B5A" w:rsidP="00126681">
            <w:pPr>
              <w:pStyle w:val="TAC"/>
            </w:pPr>
            <w:r w:rsidRPr="00C64ECB">
              <w:t>≥</w:t>
            </w:r>
            <w:r w:rsidRPr="00C64ECB">
              <w:rPr>
                <w:rFonts w:hint="eastAsia"/>
              </w:rPr>
              <w:t xml:space="preserve"> 48.4 and </w:t>
            </w:r>
            <w:r w:rsidRPr="00C64ECB">
              <w:t>≤</w:t>
            </w:r>
            <w:r w:rsidRPr="00C64ECB">
              <w:rPr>
                <w:rFonts w:hint="eastAsia"/>
              </w:rPr>
              <w:t xml:space="preserve"> 170</w:t>
            </w:r>
          </w:p>
        </w:tc>
        <w:tc>
          <w:tcPr>
            <w:tcW w:w="2694" w:type="dxa"/>
            <w:vAlign w:val="center"/>
          </w:tcPr>
          <w:p w14:paraId="5D68601D"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4D2DDA1D" w14:textId="77777777" w:rsidTr="00126681">
        <w:trPr>
          <w:jc w:val="center"/>
        </w:trPr>
        <w:tc>
          <w:tcPr>
            <w:tcW w:w="1357" w:type="dxa"/>
            <w:vMerge w:val="restart"/>
            <w:vAlign w:val="center"/>
          </w:tcPr>
          <w:p w14:paraId="0673DDB4" w14:textId="77777777" w:rsidR="007C0B5A" w:rsidRPr="00C64ECB" w:rsidRDefault="007C0B5A" w:rsidP="00126681">
            <w:pPr>
              <w:pStyle w:val="TAC"/>
            </w:pPr>
            <w:r w:rsidRPr="00C64ECB">
              <w:rPr>
                <w:rFonts w:hint="eastAsia"/>
              </w:rPr>
              <w:t>5270</w:t>
            </w:r>
          </w:p>
        </w:tc>
        <w:tc>
          <w:tcPr>
            <w:tcW w:w="1971" w:type="dxa"/>
            <w:vAlign w:val="center"/>
          </w:tcPr>
          <w:p w14:paraId="260CEA7B" w14:textId="77777777" w:rsidR="007C0B5A" w:rsidRPr="00C64ECB" w:rsidRDefault="007C0B5A" w:rsidP="00126681">
            <w:pPr>
              <w:pStyle w:val="TAC"/>
            </w:pPr>
            <w:r w:rsidRPr="00C64ECB">
              <w:rPr>
                <w:rFonts w:hint="eastAsia"/>
              </w:rPr>
              <w:t xml:space="preserve">5100 </w:t>
            </w:r>
            <w:r w:rsidRPr="00C64ECB">
              <w:t>≤</w:t>
            </w:r>
            <w:r w:rsidRPr="00C64ECB">
              <w:rPr>
                <w:rFonts w:hint="eastAsia"/>
              </w:rPr>
              <w:t xml:space="preserve"> f </w:t>
            </w:r>
            <w:r w:rsidRPr="00C64ECB">
              <w:t>≤</w:t>
            </w:r>
            <w:r w:rsidRPr="00C64ECB">
              <w:rPr>
                <w:rFonts w:hint="eastAsia"/>
              </w:rPr>
              <w:t xml:space="preserve"> 5210</w:t>
            </w:r>
          </w:p>
        </w:tc>
        <w:tc>
          <w:tcPr>
            <w:tcW w:w="3152" w:type="dxa"/>
          </w:tcPr>
          <w:p w14:paraId="588C2AFA" w14:textId="77777777" w:rsidR="007C0B5A" w:rsidRPr="00C64ECB" w:rsidRDefault="007C0B5A" w:rsidP="00126681">
            <w:pPr>
              <w:pStyle w:val="TAC"/>
            </w:pPr>
            <w:r w:rsidRPr="00C64ECB">
              <w:t>≥</w:t>
            </w:r>
            <w:r w:rsidRPr="00C64ECB">
              <w:rPr>
                <w:rFonts w:hint="eastAsia"/>
              </w:rPr>
              <w:t xml:space="preserve"> 60 and </w:t>
            </w:r>
            <w:r w:rsidRPr="00C64ECB">
              <w:t>≤</w:t>
            </w:r>
            <w:r w:rsidRPr="00C64ECB">
              <w:rPr>
                <w:rFonts w:hint="eastAsia"/>
              </w:rPr>
              <w:t xml:space="preserve"> 170</w:t>
            </w:r>
          </w:p>
        </w:tc>
        <w:tc>
          <w:tcPr>
            <w:tcW w:w="2694" w:type="dxa"/>
            <w:vAlign w:val="center"/>
          </w:tcPr>
          <w:p w14:paraId="14599ECD"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0D3717B5" w14:textId="77777777" w:rsidTr="00126681">
        <w:trPr>
          <w:jc w:val="center"/>
        </w:trPr>
        <w:tc>
          <w:tcPr>
            <w:tcW w:w="1357" w:type="dxa"/>
            <w:vMerge/>
            <w:vAlign w:val="center"/>
          </w:tcPr>
          <w:p w14:paraId="73157ADA" w14:textId="77777777" w:rsidR="007C0B5A" w:rsidRPr="00C64ECB" w:rsidRDefault="007C0B5A" w:rsidP="00126681">
            <w:pPr>
              <w:pStyle w:val="TAC"/>
            </w:pPr>
          </w:p>
        </w:tc>
        <w:tc>
          <w:tcPr>
            <w:tcW w:w="1971" w:type="dxa"/>
            <w:vAlign w:val="center"/>
          </w:tcPr>
          <w:p w14:paraId="1A16E1C0" w14:textId="77777777" w:rsidR="007C0B5A" w:rsidRPr="00C64ECB" w:rsidRDefault="007C0B5A" w:rsidP="00126681">
            <w:pPr>
              <w:pStyle w:val="TAC"/>
            </w:pPr>
            <w:r w:rsidRPr="00C64ECB">
              <w:rPr>
                <w:rFonts w:hint="eastAsia"/>
              </w:rPr>
              <w:t xml:space="preserve">5210 </w:t>
            </w:r>
            <w:r w:rsidRPr="00C64ECB">
              <w:t>&lt;</w:t>
            </w:r>
            <w:r w:rsidRPr="00C64ECB">
              <w:rPr>
                <w:rFonts w:hint="eastAsia"/>
              </w:rPr>
              <w:t xml:space="preserve"> f </w:t>
            </w:r>
            <w:r w:rsidRPr="00C64ECB">
              <w:t>≤</w:t>
            </w:r>
            <w:r w:rsidRPr="00C64ECB">
              <w:rPr>
                <w:rFonts w:hint="eastAsia"/>
              </w:rPr>
              <w:t xml:space="preserve"> 5221.6</w:t>
            </w:r>
          </w:p>
        </w:tc>
        <w:tc>
          <w:tcPr>
            <w:tcW w:w="3152" w:type="dxa"/>
          </w:tcPr>
          <w:p w14:paraId="7ADF5398" w14:textId="77777777" w:rsidR="007C0B5A" w:rsidRPr="00C64ECB" w:rsidRDefault="007C0B5A" w:rsidP="00126681">
            <w:pPr>
              <w:pStyle w:val="TAC"/>
            </w:pPr>
            <w:r w:rsidRPr="00C64ECB">
              <w:t>≥</w:t>
            </w:r>
            <w:r w:rsidRPr="00C64ECB">
              <w:rPr>
                <w:rFonts w:hint="eastAsia"/>
              </w:rPr>
              <w:t xml:space="preserve"> 48.4 and </w:t>
            </w:r>
            <w:r w:rsidRPr="00C64ECB">
              <w:t>&lt;</w:t>
            </w:r>
            <w:r w:rsidRPr="00C64ECB">
              <w:rPr>
                <w:rFonts w:hint="eastAsia"/>
              </w:rPr>
              <w:t xml:space="preserve"> 60</w:t>
            </w:r>
          </w:p>
        </w:tc>
        <w:tc>
          <w:tcPr>
            <w:tcW w:w="2694" w:type="dxa"/>
            <w:vAlign w:val="center"/>
          </w:tcPr>
          <w:p w14:paraId="6496EE0B"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37C8D5D6" w14:textId="77777777" w:rsidTr="00126681">
        <w:trPr>
          <w:jc w:val="center"/>
        </w:trPr>
        <w:tc>
          <w:tcPr>
            <w:tcW w:w="1357" w:type="dxa"/>
            <w:vMerge/>
            <w:vAlign w:val="center"/>
          </w:tcPr>
          <w:p w14:paraId="159529F6" w14:textId="77777777" w:rsidR="007C0B5A" w:rsidRPr="00C64ECB" w:rsidRDefault="007C0B5A" w:rsidP="00126681">
            <w:pPr>
              <w:pStyle w:val="TAC"/>
            </w:pPr>
          </w:p>
        </w:tc>
        <w:tc>
          <w:tcPr>
            <w:tcW w:w="1971" w:type="dxa"/>
            <w:vAlign w:val="center"/>
          </w:tcPr>
          <w:p w14:paraId="1677867B" w14:textId="77777777" w:rsidR="007C0B5A" w:rsidRPr="00C64ECB" w:rsidRDefault="007C0B5A" w:rsidP="00126681">
            <w:pPr>
              <w:pStyle w:val="TAC"/>
            </w:pPr>
            <w:r w:rsidRPr="00C64ECB">
              <w:rPr>
                <w:rFonts w:hint="eastAsia"/>
              </w:rPr>
              <w:t xml:space="preserve">5221.6 </w:t>
            </w:r>
            <w:r w:rsidRPr="00C64ECB">
              <w:t>&lt;</w:t>
            </w:r>
            <w:r w:rsidRPr="00C64ECB">
              <w:rPr>
                <w:rFonts w:hint="eastAsia"/>
              </w:rPr>
              <w:t xml:space="preserve"> f </w:t>
            </w:r>
            <w:r w:rsidRPr="00C64ECB">
              <w:t>≤</w:t>
            </w:r>
            <w:r w:rsidRPr="00C64ECB">
              <w:rPr>
                <w:rFonts w:hint="eastAsia"/>
              </w:rPr>
              <w:t xml:space="preserve"> 5230</w:t>
            </w:r>
          </w:p>
        </w:tc>
        <w:tc>
          <w:tcPr>
            <w:tcW w:w="3152" w:type="dxa"/>
          </w:tcPr>
          <w:p w14:paraId="026ED46F" w14:textId="77777777" w:rsidR="007C0B5A" w:rsidRPr="00C64ECB" w:rsidRDefault="007C0B5A" w:rsidP="00126681">
            <w:pPr>
              <w:pStyle w:val="TAC"/>
            </w:pPr>
            <w:r w:rsidRPr="00C64ECB">
              <w:t>≥</w:t>
            </w:r>
            <w:r w:rsidRPr="00C64ECB">
              <w:rPr>
                <w:rFonts w:hint="eastAsia"/>
              </w:rPr>
              <w:t xml:space="preserve"> 40 and </w:t>
            </w:r>
            <w:r w:rsidRPr="00C64ECB">
              <w:t>&lt;</w:t>
            </w:r>
            <w:r w:rsidRPr="00C64ECB">
              <w:rPr>
                <w:rFonts w:hint="eastAsia"/>
              </w:rPr>
              <w:t xml:space="preserve"> 48.4</w:t>
            </w:r>
          </w:p>
        </w:tc>
        <w:tc>
          <w:tcPr>
            <w:tcW w:w="2694" w:type="dxa"/>
            <w:vAlign w:val="center"/>
          </w:tcPr>
          <w:p w14:paraId="70D85F31"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3</m:t>
                          </m:r>
                        </m:num>
                        <m:den>
                          <m:r>
                            <w:rPr>
                              <w:rFonts w:ascii="Cambria Math" w:eastAsia="MS Mincho" w:hAnsi="Cambria Math"/>
                            </w:rPr>
                            <m:t>50</m:t>
                          </m:r>
                        </m:den>
                      </m:f>
                    </m:e>
                  </m:d>
                  <m:d>
                    <m:dPr>
                      <m:ctrlPr>
                        <w:rPr>
                          <w:rFonts w:ascii="Cambria Math" w:eastAsia="MS Mincho" w:hAnsi="Cambria Math"/>
                          <w:i/>
                        </w:rPr>
                      </m:ctrlPr>
                    </m:dPr>
                    <m:e>
                      <m:r>
                        <w:rPr>
                          <w:rFonts w:ascii="Cambria Math" w:eastAsia="MS Mincho" w:hAnsi="Cambria Math"/>
                        </w:rPr>
                        <m:t>f-40</m:t>
                      </m:r>
                    </m:e>
                  </m:d>
                  <m:r>
                    <w:rPr>
                      <w:rFonts w:ascii="Cambria Math" w:eastAsia="MS Mincho" w:hAnsi="Cambria Math"/>
                    </w:rPr>
                    <m:t>-1.8+log(1/2)</m:t>
                  </m:r>
                </m:sup>
              </m:sSup>
            </m:oMath>
            <w:r w:rsidRPr="00C64ECB">
              <w:rPr>
                <w:rFonts w:hint="eastAsia"/>
              </w:rPr>
              <w:t xml:space="preserve"> mW</w:t>
            </w:r>
          </w:p>
        </w:tc>
      </w:tr>
      <w:tr w:rsidR="007C0B5A" w:rsidRPr="00C64ECB" w14:paraId="14C4860A" w14:textId="77777777" w:rsidTr="00126681">
        <w:trPr>
          <w:jc w:val="center"/>
        </w:trPr>
        <w:tc>
          <w:tcPr>
            <w:tcW w:w="1357" w:type="dxa"/>
            <w:vMerge/>
            <w:vAlign w:val="center"/>
          </w:tcPr>
          <w:p w14:paraId="2EC0470A" w14:textId="77777777" w:rsidR="007C0B5A" w:rsidRPr="00C64ECB" w:rsidRDefault="007C0B5A" w:rsidP="00126681">
            <w:pPr>
              <w:pStyle w:val="TAC"/>
            </w:pPr>
          </w:p>
        </w:tc>
        <w:tc>
          <w:tcPr>
            <w:tcW w:w="1971" w:type="dxa"/>
            <w:vAlign w:val="center"/>
          </w:tcPr>
          <w:p w14:paraId="21720B60" w14:textId="77777777" w:rsidR="007C0B5A" w:rsidRPr="00C64ECB" w:rsidRDefault="007C0B5A" w:rsidP="00126681">
            <w:pPr>
              <w:pStyle w:val="TAC"/>
            </w:pPr>
            <w:r w:rsidRPr="00C64ECB">
              <w:rPr>
                <w:rFonts w:hint="eastAsia"/>
              </w:rPr>
              <w:t xml:space="preserve">5230 </w:t>
            </w:r>
            <w:r w:rsidRPr="00C64ECB">
              <w:t>&lt;</w:t>
            </w:r>
            <w:r w:rsidRPr="00C64ECB">
              <w:rPr>
                <w:rFonts w:hint="eastAsia"/>
              </w:rPr>
              <w:t xml:space="preserve"> f </w:t>
            </w:r>
            <w:r w:rsidRPr="00C64ECB">
              <w:t>≤</w:t>
            </w:r>
            <w:r w:rsidRPr="00C64ECB">
              <w:rPr>
                <w:rFonts w:hint="eastAsia"/>
              </w:rPr>
              <w:t xml:space="preserve"> 5249</w:t>
            </w:r>
          </w:p>
        </w:tc>
        <w:tc>
          <w:tcPr>
            <w:tcW w:w="3152" w:type="dxa"/>
            <w:vAlign w:val="center"/>
          </w:tcPr>
          <w:p w14:paraId="2F2B12F4" w14:textId="77777777" w:rsidR="007C0B5A" w:rsidRPr="00C64ECB" w:rsidRDefault="007C0B5A" w:rsidP="00126681">
            <w:pPr>
              <w:pStyle w:val="TAC"/>
            </w:pPr>
            <w:r w:rsidRPr="00C64ECB">
              <w:t>≥</w:t>
            </w:r>
            <w:r w:rsidRPr="00C64ECB">
              <w:rPr>
                <w:rFonts w:hint="eastAsia"/>
              </w:rPr>
              <w:t xml:space="preserve"> 21 and </w:t>
            </w:r>
            <w:r w:rsidRPr="00C64ECB">
              <w:t>&lt;</w:t>
            </w:r>
            <w:r w:rsidRPr="00C64ECB">
              <w:rPr>
                <w:rFonts w:hint="eastAsia"/>
              </w:rPr>
              <w:t xml:space="preserve"> 40</w:t>
            </w:r>
          </w:p>
        </w:tc>
        <w:tc>
          <w:tcPr>
            <w:tcW w:w="2694" w:type="dxa"/>
            <w:vAlign w:val="center"/>
          </w:tcPr>
          <w:p w14:paraId="2282F382"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8</m:t>
                          </m:r>
                        </m:num>
                        <m:den>
                          <m:r>
                            <w:rPr>
                              <w:rFonts w:ascii="Cambria Math" w:eastAsia="MS Mincho" w:hAnsi="Cambria Math"/>
                            </w:rPr>
                            <m:t>190</m:t>
                          </m:r>
                        </m:den>
                      </m:f>
                    </m:e>
                  </m:d>
                  <m:d>
                    <m:dPr>
                      <m:ctrlPr>
                        <w:rPr>
                          <w:rFonts w:ascii="Cambria Math" w:eastAsia="MS Mincho" w:hAnsi="Cambria Math"/>
                          <w:i/>
                        </w:rPr>
                      </m:ctrlPr>
                    </m:dPr>
                    <m:e>
                      <m:r>
                        <w:rPr>
                          <w:rFonts w:ascii="Cambria Math" w:eastAsia="MS Mincho" w:hAnsi="Cambria Math"/>
                        </w:rPr>
                        <m:t>f-21</m:t>
                      </m:r>
                    </m:e>
                  </m:d>
                  <m:r>
                    <w:rPr>
                      <w:rFonts w:ascii="Cambria Math" w:eastAsia="MS Mincho" w:hAnsi="Cambria Math"/>
                    </w:rPr>
                    <m:t>-1+log(1/2)</m:t>
                  </m:r>
                </m:sup>
              </m:sSup>
              <m:r>
                <m:rPr>
                  <m:sty m:val="p"/>
                </m:rPr>
                <w:rPr>
                  <w:rFonts w:ascii="Cambria Math" w:eastAsia="MS Mincho" w:hAnsi="Cambria Math"/>
                </w:rPr>
                <m:t>mW</m:t>
              </m:r>
            </m:oMath>
          </w:p>
        </w:tc>
      </w:tr>
      <w:tr w:rsidR="007C0B5A" w:rsidRPr="00C64ECB" w14:paraId="391FD611" w14:textId="77777777" w:rsidTr="00126681">
        <w:trPr>
          <w:jc w:val="center"/>
        </w:trPr>
        <w:tc>
          <w:tcPr>
            <w:tcW w:w="1357" w:type="dxa"/>
            <w:vMerge/>
            <w:vAlign w:val="center"/>
          </w:tcPr>
          <w:p w14:paraId="5256EFDE" w14:textId="77777777" w:rsidR="007C0B5A" w:rsidRPr="00C64ECB" w:rsidRDefault="007C0B5A" w:rsidP="00126681">
            <w:pPr>
              <w:pStyle w:val="TAC"/>
            </w:pPr>
          </w:p>
        </w:tc>
        <w:tc>
          <w:tcPr>
            <w:tcW w:w="1971" w:type="dxa"/>
            <w:vAlign w:val="center"/>
          </w:tcPr>
          <w:p w14:paraId="6C3D075D" w14:textId="77777777" w:rsidR="007C0B5A" w:rsidRPr="00C64ECB" w:rsidRDefault="007C0B5A" w:rsidP="00126681">
            <w:pPr>
              <w:pStyle w:val="TAC"/>
            </w:pPr>
            <w:r w:rsidRPr="00C64ECB">
              <w:rPr>
                <w:rFonts w:hint="eastAsia"/>
              </w:rPr>
              <w:t xml:space="preserve">5249 </w:t>
            </w:r>
            <w:r w:rsidRPr="00C64ECB">
              <w:t>&lt;</w:t>
            </w:r>
            <w:r w:rsidRPr="00C64ECB">
              <w:rPr>
                <w:rFonts w:hint="eastAsia"/>
              </w:rPr>
              <w:t xml:space="preserve"> f </w:t>
            </w:r>
            <w:r w:rsidRPr="00C64ECB">
              <w:t>≤</w:t>
            </w:r>
            <w:r w:rsidRPr="00C64ECB">
              <w:rPr>
                <w:rFonts w:hint="eastAsia"/>
              </w:rPr>
              <w:t xml:space="preserve"> 5250</w:t>
            </w:r>
          </w:p>
        </w:tc>
        <w:tc>
          <w:tcPr>
            <w:tcW w:w="3152" w:type="dxa"/>
            <w:vAlign w:val="center"/>
          </w:tcPr>
          <w:p w14:paraId="7C507451" w14:textId="77777777" w:rsidR="007C0B5A" w:rsidRPr="00C64ECB" w:rsidRDefault="007C0B5A" w:rsidP="00126681">
            <w:pPr>
              <w:pStyle w:val="TAC"/>
            </w:pPr>
            <w:r w:rsidRPr="00C64ECB">
              <w:t>≥</w:t>
            </w:r>
            <w:r w:rsidRPr="00C64ECB">
              <w:rPr>
                <w:rFonts w:hint="eastAsia"/>
              </w:rPr>
              <w:t xml:space="preserve"> 20 and </w:t>
            </w:r>
            <w:r w:rsidRPr="00C64ECB">
              <w:t>&lt;</w:t>
            </w:r>
            <w:r w:rsidRPr="00C64ECB">
              <w:rPr>
                <w:rFonts w:hint="eastAsia"/>
              </w:rPr>
              <w:t xml:space="preserve"> 21</w:t>
            </w:r>
          </w:p>
        </w:tc>
        <w:tc>
          <w:tcPr>
            <w:tcW w:w="2694" w:type="dxa"/>
            <w:vAlign w:val="center"/>
          </w:tcPr>
          <w:p w14:paraId="358B393E"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r>
                        <w:rPr>
                          <w:rFonts w:ascii="Cambria Math" w:eastAsia="MS Mincho" w:hAnsi="Cambria Math"/>
                        </w:rPr>
                        <m:t>f-20</m:t>
                      </m:r>
                    </m:e>
                  </m:d>
                  <m:r>
                    <w:rPr>
                      <w:rFonts w:ascii="Cambria Math" w:eastAsia="MS Mincho" w:hAnsi="Cambria Math"/>
                    </w:rPr>
                    <m:t>+log(1/2)</m:t>
                  </m:r>
                </m:sup>
              </m:sSup>
            </m:oMath>
            <w:r w:rsidRPr="00C64ECB">
              <w:rPr>
                <w:rFonts w:hint="eastAsia"/>
              </w:rPr>
              <w:t xml:space="preserve"> mW</w:t>
            </w:r>
          </w:p>
        </w:tc>
      </w:tr>
      <w:tr w:rsidR="007C0B5A" w:rsidRPr="00C64ECB" w14:paraId="0C1AFC39" w14:textId="77777777" w:rsidTr="00126681">
        <w:trPr>
          <w:jc w:val="center"/>
        </w:trPr>
        <w:tc>
          <w:tcPr>
            <w:tcW w:w="1357" w:type="dxa"/>
            <w:vMerge w:val="restart"/>
            <w:vAlign w:val="center"/>
          </w:tcPr>
          <w:p w14:paraId="15641C26" w14:textId="77777777" w:rsidR="007C0B5A" w:rsidRPr="00C64ECB" w:rsidRDefault="007C0B5A" w:rsidP="00126681">
            <w:pPr>
              <w:pStyle w:val="TAC"/>
            </w:pPr>
            <w:r w:rsidRPr="00C64ECB">
              <w:rPr>
                <w:rFonts w:hint="eastAsia"/>
              </w:rPr>
              <w:t>5310</w:t>
            </w:r>
          </w:p>
        </w:tc>
        <w:tc>
          <w:tcPr>
            <w:tcW w:w="1971" w:type="dxa"/>
            <w:vAlign w:val="center"/>
          </w:tcPr>
          <w:p w14:paraId="3C98ACB4" w14:textId="77777777" w:rsidR="007C0B5A" w:rsidRPr="00C64ECB" w:rsidRDefault="007C0B5A" w:rsidP="00126681">
            <w:pPr>
              <w:pStyle w:val="TAC"/>
            </w:pPr>
            <w:r w:rsidRPr="00C64ECB">
              <w:rPr>
                <w:rFonts w:hint="eastAsia"/>
              </w:rPr>
              <w:t xml:space="preserve">5350 </w:t>
            </w:r>
            <w:r w:rsidRPr="00C64ECB">
              <w:t>≤</w:t>
            </w:r>
            <w:r w:rsidRPr="00C64ECB">
              <w:rPr>
                <w:rFonts w:hint="eastAsia"/>
              </w:rPr>
              <w:t xml:space="preserve"> f </w:t>
            </w:r>
            <w:r w:rsidRPr="00C64ECB">
              <w:t>&lt;</w:t>
            </w:r>
            <w:r w:rsidRPr="00C64ECB">
              <w:rPr>
                <w:rFonts w:hint="eastAsia"/>
              </w:rPr>
              <w:t xml:space="preserve"> 5358.4</w:t>
            </w:r>
          </w:p>
        </w:tc>
        <w:tc>
          <w:tcPr>
            <w:tcW w:w="3152" w:type="dxa"/>
          </w:tcPr>
          <w:p w14:paraId="4826597F" w14:textId="77777777" w:rsidR="007C0B5A" w:rsidRPr="00C64ECB" w:rsidRDefault="007C0B5A" w:rsidP="00126681">
            <w:pPr>
              <w:pStyle w:val="TAC"/>
            </w:pPr>
            <w:r w:rsidRPr="00C64ECB">
              <w:t>≥</w:t>
            </w:r>
            <w:r w:rsidRPr="00C64ECB">
              <w:rPr>
                <w:rFonts w:hint="eastAsia"/>
              </w:rPr>
              <w:t xml:space="preserve"> 40 and </w:t>
            </w:r>
            <w:r w:rsidRPr="00C64ECB">
              <w:t>&lt;</w:t>
            </w:r>
            <w:r w:rsidRPr="00C64ECB">
              <w:rPr>
                <w:rFonts w:hint="eastAsia"/>
              </w:rPr>
              <w:t xml:space="preserve"> 48.4</w:t>
            </w:r>
          </w:p>
        </w:tc>
        <w:tc>
          <w:tcPr>
            <w:tcW w:w="2694" w:type="dxa"/>
            <w:vAlign w:val="center"/>
          </w:tcPr>
          <w:p w14:paraId="02442A64" w14:textId="77777777" w:rsidR="007C0B5A" w:rsidRPr="00C64ECB" w:rsidRDefault="007C0B5A" w:rsidP="00126681">
            <w:pPr>
              <w:pStyle w:val="TAC"/>
            </w:pPr>
            <w:r w:rsidRPr="00C64ECB">
              <w:t>≤</w:t>
            </w:r>
            <w:r w:rsidRPr="00C64ECB">
              <w:rPr>
                <w:rFonts w:hint="eastAsia"/>
              </w:rPr>
              <w:t xml:space="preserve"> 15 </w:t>
            </w:r>
            <w:r w:rsidRPr="00C64ECB">
              <w:rPr>
                <w:rFonts w:ascii="Symbol" w:hAnsi="Symbol"/>
              </w:rPr>
              <w:t></w:t>
            </w:r>
            <w:r w:rsidRPr="00C64ECB">
              <w:rPr>
                <w:rFonts w:hint="eastAsia"/>
              </w:rPr>
              <w:t>W</w:t>
            </w:r>
          </w:p>
        </w:tc>
      </w:tr>
      <w:tr w:rsidR="007C0B5A" w:rsidRPr="00C64ECB" w14:paraId="7AF82D43" w14:textId="77777777" w:rsidTr="00126681">
        <w:trPr>
          <w:jc w:val="center"/>
        </w:trPr>
        <w:tc>
          <w:tcPr>
            <w:tcW w:w="1357" w:type="dxa"/>
            <w:vMerge/>
            <w:vAlign w:val="center"/>
          </w:tcPr>
          <w:p w14:paraId="024ACB8A" w14:textId="77777777" w:rsidR="007C0B5A" w:rsidRPr="00C64ECB" w:rsidRDefault="007C0B5A" w:rsidP="00126681">
            <w:pPr>
              <w:pStyle w:val="TAC"/>
            </w:pPr>
          </w:p>
        </w:tc>
        <w:tc>
          <w:tcPr>
            <w:tcW w:w="1971" w:type="dxa"/>
            <w:vAlign w:val="center"/>
          </w:tcPr>
          <w:p w14:paraId="0A6F136A" w14:textId="77777777" w:rsidR="007C0B5A" w:rsidRPr="00C64ECB" w:rsidRDefault="007C0B5A" w:rsidP="00126681">
            <w:pPr>
              <w:pStyle w:val="TAC"/>
            </w:pPr>
            <w:r w:rsidRPr="00C64ECB">
              <w:rPr>
                <w:rFonts w:hint="eastAsia"/>
              </w:rPr>
              <w:t xml:space="preserve">5358.4 </w:t>
            </w:r>
            <w:r w:rsidRPr="00C64ECB">
              <w:t>≤</w:t>
            </w:r>
            <w:r w:rsidRPr="00C64ECB">
              <w:rPr>
                <w:rFonts w:hint="eastAsia"/>
              </w:rPr>
              <w:t xml:space="preserve"> f </w:t>
            </w:r>
            <w:r w:rsidRPr="00C64ECB">
              <w:t>≤</w:t>
            </w:r>
            <w:r w:rsidRPr="00C64ECB">
              <w:rPr>
                <w:rFonts w:hint="eastAsia"/>
              </w:rPr>
              <w:t xml:space="preserve"> 5400</w:t>
            </w:r>
          </w:p>
        </w:tc>
        <w:tc>
          <w:tcPr>
            <w:tcW w:w="3152" w:type="dxa"/>
          </w:tcPr>
          <w:p w14:paraId="62488D1F" w14:textId="77777777" w:rsidR="007C0B5A" w:rsidRPr="00C64ECB" w:rsidRDefault="007C0B5A" w:rsidP="00126681">
            <w:pPr>
              <w:pStyle w:val="TAC"/>
            </w:pPr>
            <w:r w:rsidRPr="00C64ECB">
              <w:t>≥</w:t>
            </w:r>
            <w:r w:rsidRPr="00C64ECB">
              <w:rPr>
                <w:rFonts w:hint="eastAsia"/>
              </w:rPr>
              <w:t xml:space="preserve"> 48.4 and </w:t>
            </w:r>
            <w:r w:rsidRPr="00C64ECB">
              <w:t>≤</w:t>
            </w:r>
            <w:r w:rsidRPr="00C64ECB">
              <w:rPr>
                <w:rFonts w:hint="eastAsia"/>
              </w:rPr>
              <w:t xml:space="preserve"> 90</w:t>
            </w:r>
          </w:p>
        </w:tc>
        <w:tc>
          <w:tcPr>
            <w:tcW w:w="2694" w:type="dxa"/>
            <w:vAlign w:val="center"/>
          </w:tcPr>
          <w:p w14:paraId="145AD05D"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bl>
    <w:p w14:paraId="1DED6D5C" w14:textId="77777777" w:rsidR="007C0B5A" w:rsidRPr="00C64ECB" w:rsidRDefault="007C0B5A" w:rsidP="007C0B5A"/>
    <w:p w14:paraId="38892C60" w14:textId="77777777" w:rsidR="007C0B5A" w:rsidRPr="00C64ECB" w:rsidRDefault="007C0B5A" w:rsidP="007C0B5A">
      <w:r w:rsidRPr="00C64ECB">
        <w:t>38 MHz &lt; Occupied bandwidth ≤ 78 MHz:</w:t>
      </w:r>
    </w:p>
    <w:p w14:paraId="0178436F" w14:textId="77777777" w:rsidR="007C0B5A" w:rsidRPr="00C64ECB" w:rsidRDefault="007C0B5A" w:rsidP="007C0B5A">
      <w:pPr>
        <w:pStyle w:val="TH"/>
      </w:pPr>
      <w:r w:rsidRPr="00C64ECB">
        <w:lastRenderedPageBreak/>
        <w:t>Table 4.</w:t>
      </w:r>
      <w:r w:rsidR="000D7B67" w:rsidRPr="00C64ECB">
        <w:t>1.</w:t>
      </w:r>
      <w:r w:rsidRPr="00C64ECB">
        <w:t>3.2.1-6: SEM: 38 MHz &lt; Occupied bandwidth ≤ 78 MHz</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7"/>
        <w:gridCol w:w="1971"/>
        <w:gridCol w:w="3152"/>
        <w:gridCol w:w="2694"/>
      </w:tblGrid>
      <w:tr w:rsidR="007C0B5A" w:rsidRPr="00C64ECB" w14:paraId="57FAEC7E" w14:textId="77777777" w:rsidTr="00126681">
        <w:trPr>
          <w:jc w:val="center"/>
        </w:trPr>
        <w:tc>
          <w:tcPr>
            <w:tcW w:w="1357" w:type="dxa"/>
          </w:tcPr>
          <w:p w14:paraId="7DBFA3A8" w14:textId="77777777" w:rsidR="007C0B5A" w:rsidRPr="00C64ECB" w:rsidRDefault="007C0B5A" w:rsidP="00126681">
            <w:pPr>
              <w:pStyle w:val="TAH"/>
            </w:pPr>
            <w:r w:rsidRPr="00C64ECB">
              <w:rPr>
                <w:rFonts w:hint="eastAsia"/>
              </w:rPr>
              <w:t xml:space="preserve">Centre </w:t>
            </w:r>
          </w:p>
          <w:p w14:paraId="3BF655ED" w14:textId="77777777" w:rsidR="007C0B5A" w:rsidRPr="00C64ECB" w:rsidRDefault="007C0B5A" w:rsidP="00126681">
            <w:pPr>
              <w:pStyle w:val="TAH"/>
            </w:pPr>
            <w:r w:rsidRPr="00C64ECB">
              <w:rPr>
                <w:rFonts w:hint="eastAsia"/>
              </w:rPr>
              <w:t xml:space="preserve">Frequency </w:t>
            </w:r>
          </w:p>
          <w:p w14:paraId="744B27B5" w14:textId="77777777" w:rsidR="007C0B5A" w:rsidRPr="00C64ECB" w:rsidRDefault="007C0B5A" w:rsidP="00126681">
            <w:pPr>
              <w:pStyle w:val="TAH"/>
            </w:pPr>
            <w:r w:rsidRPr="00C64ECB">
              <w:rPr>
                <w:rFonts w:hint="eastAsia"/>
              </w:rPr>
              <w:t>(MHz)</w:t>
            </w:r>
          </w:p>
        </w:tc>
        <w:tc>
          <w:tcPr>
            <w:tcW w:w="1971" w:type="dxa"/>
          </w:tcPr>
          <w:p w14:paraId="023F36F4" w14:textId="77777777" w:rsidR="007C0B5A" w:rsidRPr="00C64ECB" w:rsidRDefault="007C0B5A" w:rsidP="00126681">
            <w:pPr>
              <w:pStyle w:val="TAH"/>
            </w:pPr>
            <w:r w:rsidRPr="00C64ECB">
              <w:rPr>
                <w:rFonts w:hint="eastAsia"/>
              </w:rPr>
              <w:t>Frequency range(f)</w:t>
            </w:r>
          </w:p>
          <w:p w14:paraId="4E2BED35" w14:textId="77777777" w:rsidR="007C0B5A" w:rsidRPr="00C64ECB" w:rsidRDefault="007C0B5A" w:rsidP="00126681">
            <w:pPr>
              <w:pStyle w:val="TAH"/>
            </w:pPr>
            <w:r w:rsidRPr="00C64ECB">
              <w:rPr>
                <w:rFonts w:hint="eastAsia"/>
              </w:rPr>
              <w:t>(MHz)</w:t>
            </w:r>
          </w:p>
        </w:tc>
        <w:tc>
          <w:tcPr>
            <w:tcW w:w="3152" w:type="dxa"/>
          </w:tcPr>
          <w:p w14:paraId="0637D770" w14:textId="77777777" w:rsidR="007C0B5A" w:rsidRPr="00C64ECB" w:rsidRDefault="007C0B5A" w:rsidP="00126681">
            <w:pPr>
              <w:pStyle w:val="TAH"/>
            </w:pPr>
            <w:r w:rsidRPr="00C64ECB">
              <w:rPr>
                <w:rFonts w:hint="eastAsia"/>
              </w:rPr>
              <w:t xml:space="preserve">Frequency difference </w:t>
            </w:r>
            <w:r w:rsidRPr="00C64ECB">
              <w:t>between</w:t>
            </w:r>
            <w:r w:rsidRPr="00C64ECB">
              <w:rPr>
                <w:rFonts w:hint="eastAsia"/>
              </w:rPr>
              <w:t xml:space="preserve"> centre frequency </w:t>
            </w:r>
            <w:r w:rsidRPr="00C64ECB">
              <w:t>–</w:t>
            </w:r>
            <w:r w:rsidRPr="00C64ECB">
              <w:rPr>
                <w:rFonts w:hint="eastAsia"/>
              </w:rPr>
              <w:t xml:space="preserve"> the edges of frequency range(MHz)</w:t>
            </w:r>
          </w:p>
        </w:tc>
        <w:tc>
          <w:tcPr>
            <w:tcW w:w="2694" w:type="dxa"/>
          </w:tcPr>
          <w:p w14:paraId="27508B40" w14:textId="77777777" w:rsidR="007C0B5A" w:rsidRPr="00C64ECB" w:rsidRDefault="007C0B5A" w:rsidP="00126681">
            <w:pPr>
              <w:pStyle w:val="TAH"/>
            </w:pPr>
            <w:r w:rsidRPr="00C64ECB">
              <w:rPr>
                <w:rFonts w:hint="eastAsia"/>
              </w:rPr>
              <w:t>e.i.r.p/MHz</w:t>
            </w:r>
          </w:p>
        </w:tc>
      </w:tr>
      <w:tr w:rsidR="007C0B5A" w:rsidRPr="00C64ECB" w14:paraId="0C7292DE" w14:textId="77777777" w:rsidTr="00126681">
        <w:trPr>
          <w:jc w:val="center"/>
        </w:trPr>
        <w:tc>
          <w:tcPr>
            <w:tcW w:w="1357" w:type="dxa"/>
            <w:vMerge w:val="restart"/>
            <w:vAlign w:val="center"/>
          </w:tcPr>
          <w:p w14:paraId="504F7A3C" w14:textId="77777777" w:rsidR="007C0B5A" w:rsidRPr="00C64ECB" w:rsidRDefault="007C0B5A" w:rsidP="00126681">
            <w:pPr>
              <w:pStyle w:val="TAC"/>
            </w:pPr>
            <w:r w:rsidRPr="00C64ECB">
              <w:rPr>
                <w:rFonts w:hint="eastAsia"/>
              </w:rPr>
              <w:t>5210</w:t>
            </w:r>
          </w:p>
        </w:tc>
        <w:tc>
          <w:tcPr>
            <w:tcW w:w="1971" w:type="dxa"/>
            <w:vAlign w:val="center"/>
          </w:tcPr>
          <w:p w14:paraId="14112F2F" w14:textId="77777777" w:rsidR="007C0B5A" w:rsidRPr="00C64ECB" w:rsidRDefault="007C0B5A" w:rsidP="00126681">
            <w:pPr>
              <w:pStyle w:val="TAC"/>
            </w:pPr>
            <w:r w:rsidRPr="00C64ECB">
              <w:rPr>
                <w:rFonts w:hint="eastAsia"/>
              </w:rPr>
              <w:t xml:space="preserve">5020 </w:t>
            </w:r>
            <w:r w:rsidRPr="00C64ECB">
              <w:t>≤</w:t>
            </w:r>
            <w:r w:rsidRPr="00C64ECB">
              <w:rPr>
                <w:rFonts w:hint="eastAsia"/>
              </w:rPr>
              <w:t xml:space="preserve"> f </w:t>
            </w:r>
            <w:r w:rsidRPr="00C64ECB">
              <w:t>≤</w:t>
            </w:r>
            <w:r w:rsidRPr="00C64ECB">
              <w:rPr>
                <w:rFonts w:hint="eastAsia"/>
              </w:rPr>
              <w:t xml:space="preserve"> 5123.2</w:t>
            </w:r>
          </w:p>
        </w:tc>
        <w:tc>
          <w:tcPr>
            <w:tcW w:w="3152" w:type="dxa"/>
          </w:tcPr>
          <w:p w14:paraId="724BDA50" w14:textId="77777777" w:rsidR="007C0B5A" w:rsidRPr="00C64ECB" w:rsidRDefault="007C0B5A" w:rsidP="00126681">
            <w:pPr>
              <w:pStyle w:val="TAC"/>
            </w:pPr>
            <w:r w:rsidRPr="00C64ECB">
              <w:t>≥</w:t>
            </w:r>
            <w:r w:rsidRPr="00C64ECB">
              <w:rPr>
                <w:rFonts w:hint="eastAsia"/>
              </w:rPr>
              <w:t xml:space="preserve"> 86.8 and </w:t>
            </w:r>
            <w:r w:rsidRPr="00C64ECB">
              <w:t>≤</w:t>
            </w:r>
            <w:r w:rsidRPr="00C64ECB">
              <w:rPr>
                <w:rFonts w:hint="eastAsia"/>
              </w:rPr>
              <w:t xml:space="preserve"> 190</w:t>
            </w:r>
          </w:p>
        </w:tc>
        <w:tc>
          <w:tcPr>
            <w:tcW w:w="2694" w:type="dxa"/>
            <w:vAlign w:val="center"/>
          </w:tcPr>
          <w:p w14:paraId="630330C3"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11E32BE3" w14:textId="77777777" w:rsidTr="00126681">
        <w:trPr>
          <w:jc w:val="center"/>
        </w:trPr>
        <w:tc>
          <w:tcPr>
            <w:tcW w:w="1357" w:type="dxa"/>
            <w:vMerge/>
            <w:vAlign w:val="center"/>
          </w:tcPr>
          <w:p w14:paraId="227902F3" w14:textId="77777777" w:rsidR="007C0B5A" w:rsidRPr="00C64ECB" w:rsidRDefault="007C0B5A" w:rsidP="00126681">
            <w:pPr>
              <w:pStyle w:val="TAC"/>
            </w:pPr>
          </w:p>
        </w:tc>
        <w:tc>
          <w:tcPr>
            <w:tcW w:w="1971" w:type="dxa"/>
            <w:vAlign w:val="center"/>
          </w:tcPr>
          <w:p w14:paraId="1772F5E1" w14:textId="77777777" w:rsidR="007C0B5A" w:rsidRPr="00C64ECB" w:rsidRDefault="007C0B5A" w:rsidP="00126681">
            <w:pPr>
              <w:pStyle w:val="TAC"/>
            </w:pPr>
            <w:r w:rsidRPr="00C64ECB">
              <w:rPr>
                <w:rFonts w:hint="eastAsia"/>
              </w:rPr>
              <w:t xml:space="preserve">5123.2 </w:t>
            </w:r>
            <w:r w:rsidRPr="00C64ECB">
              <w:t>&lt;</w:t>
            </w:r>
            <w:r w:rsidRPr="00C64ECB">
              <w:rPr>
                <w:rFonts w:hint="eastAsia"/>
              </w:rPr>
              <w:t xml:space="preserve"> f </w:t>
            </w:r>
            <w:r w:rsidRPr="00C64ECB">
              <w:t>≤</w:t>
            </w:r>
            <w:r w:rsidRPr="00C64ECB">
              <w:rPr>
                <w:rFonts w:hint="eastAsia"/>
              </w:rPr>
              <w:t xml:space="preserve"> 5150</w:t>
            </w:r>
          </w:p>
        </w:tc>
        <w:tc>
          <w:tcPr>
            <w:tcW w:w="3152" w:type="dxa"/>
          </w:tcPr>
          <w:p w14:paraId="304F64CC" w14:textId="77777777" w:rsidR="007C0B5A" w:rsidRPr="00C64ECB" w:rsidRDefault="007C0B5A" w:rsidP="00126681">
            <w:pPr>
              <w:pStyle w:val="TAC"/>
            </w:pPr>
            <w:r w:rsidRPr="00C64ECB">
              <w:t>≥</w:t>
            </w:r>
            <w:r w:rsidRPr="00C64ECB">
              <w:rPr>
                <w:rFonts w:hint="eastAsia"/>
              </w:rPr>
              <w:t xml:space="preserve"> 60 and </w:t>
            </w:r>
            <w:r w:rsidRPr="00C64ECB">
              <w:t>&lt;</w:t>
            </w:r>
            <w:r w:rsidRPr="00C64ECB">
              <w:rPr>
                <w:rFonts w:hint="eastAsia"/>
              </w:rPr>
              <w:t xml:space="preserve"> 86.8</w:t>
            </w:r>
          </w:p>
        </w:tc>
        <w:tc>
          <w:tcPr>
            <w:tcW w:w="2694" w:type="dxa"/>
            <w:vAlign w:val="center"/>
          </w:tcPr>
          <w:p w14:paraId="70DAB874" w14:textId="77777777" w:rsidR="007C0B5A" w:rsidRPr="00C64ECB" w:rsidRDefault="007C0B5A" w:rsidP="00126681">
            <w:pPr>
              <w:pStyle w:val="TAC"/>
            </w:pPr>
            <w:r w:rsidRPr="00C64ECB">
              <w:t>≤</w:t>
            </w:r>
            <w:r w:rsidRPr="00C64ECB">
              <w:rPr>
                <w:rFonts w:hint="eastAsia"/>
              </w:rPr>
              <w:t xml:space="preserve"> 15 </w:t>
            </w:r>
            <w:r w:rsidRPr="00C64ECB">
              <w:rPr>
                <w:rFonts w:ascii="Symbol" w:hAnsi="Symbol"/>
              </w:rPr>
              <w:t></w:t>
            </w:r>
            <w:r w:rsidRPr="00C64ECB">
              <w:rPr>
                <w:rFonts w:hint="eastAsia"/>
              </w:rPr>
              <w:t>W</w:t>
            </w:r>
          </w:p>
        </w:tc>
      </w:tr>
      <w:tr w:rsidR="007C0B5A" w:rsidRPr="00C64ECB" w14:paraId="438AD645" w14:textId="77777777" w:rsidTr="00126681">
        <w:trPr>
          <w:jc w:val="center"/>
        </w:trPr>
        <w:tc>
          <w:tcPr>
            <w:tcW w:w="1357" w:type="dxa"/>
            <w:vMerge/>
            <w:vAlign w:val="center"/>
          </w:tcPr>
          <w:p w14:paraId="53174CC0" w14:textId="77777777" w:rsidR="007C0B5A" w:rsidRPr="00C64ECB" w:rsidRDefault="007C0B5A" w:rsidP="00126681">
            <w:pPr>
              <w:pStyle w:val="TAC"/>
            </w:pPr>
          </w:p>
        </w:tc>
        <w:tc>
          <w:tcPr>
            <w:tcW w:w="1971" w:type="dxa"/>
            <w:vAlign w:val="center"/>
          </w:tcPr>
          <w:p w14:paraId="3FE83ED0" w14:textId="77777777" w:rsidR="007C0B5A" w:rsidRPr="00C64ECB" w:rsidRDefault="007C0B5A" w:rsidP="00126681">
            <w:pPr>
              <w:pStyle w:val="TAC"/>
            </w:pPr>
            <w:r w:rsidRPr="00C64ECB">
              <w:rPr>
                <w:rFonts w:hint="eastAsia"/>
              </w:rPr>
              <w:t xml:space="preserve">5250 </w:t>
            </w:r>
            <w:r w:rsidRPr="00C64ECB">
              <w:t>≤</w:t>
            </w:r>
            <w:r w:rsidRPr="00C64ECB">
              <w:rPr>
                <w:rFonts w:hint="eastAsia"/>
              </w:rPr>
              <w:t xml:space="preserve"> f </w:t>
            </w:r>
            <w:r w:rsidRPr="00C64ECB">
              <w:t>&lt;</w:t>
            </w:r>
            <w:r w:rsidRPr="00C64ECB">
              <w:rPr>
                <w:rFonts w:hint="eastAsia"/>
              </w:rPr>
              <w:t xml:space="preserve"> 5251</w:t>
            </w:r>
          </w:p>
        </w:tc>
        <w:tc>
          <w:tcPr>
            <w:tcW w:w="3152" w:type="dxa"/>
          </w:tcPr>
          <w:p w14:paraId="4BBE7BF7" w14:textId="77777777" w:rsidR="007C0B5A" w:rsidRPr="00C64ECB" w:rsidRDefault="007C0B5A" w:rsidP="00126681">
            <w:pPr>
              <w:pStyle w:val="TAC"/>
            </w:pPr>
            <w:r w:rsidRPr="00C64ECB">
              <w:t>≥</w:t>
            </w:r>
            <w:r w:rsidRPr="00C64ECB">
              <w:rPr>
                <w:rFonts w:hint="eastAsia"/>
              </w:rPr>
              <w:t xml:space="preserve"> 40 and </w:t>
            </w:r>
            <w:r w:rsidRPr="00C64ECB">
              <w:t>&lt;</w:t>
            </w:r>
            <w:r w:rsidRPr="00C64ECB">
              <w:rPr>
                <w:rFonts w:hint="eastAsia"/>
              </w:rPr>
              <w:t xml:space="preserve"> 41</w:t>
            </w:r>
          </w:p>
        </w:tc>
        <w:tc>
          <w:tcPr>
            <w:tcW w:w="2694" w:type="dxa"/>
            <w:vAlign w:val="center"/>
          </w:tcPr>
          <w:p w14:paraId="65A69ABB"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r>
                        <w:rPr>
                          <w:rFonts w:ascii="Cambria Math" w:eastAsia="MS Mincho" w:hAnsi="Cambria Math"/>
                        </w:rPr>
                        <m:t>f-40</m:t>
                      </m:r>
                    </m:e>
                  </m:d>
                  <m:r>
                    <w:rPr>
                      <w:rFonts w:ascii="Cambria Math" w:eastAsia="MS Mincho" w:hAnsi="Cambria Math"/>
                    </w:rPr>
                    <m:t>+log(1/4)</m:t>
                  </m:r>
                </m:sup>
              </m:sSup>
            </m:oMath>
            <w:r w:rsidRPr="00C64ECB">
              <w:rPr>
                <w:rFonts w:hint="eastAsia"/>
              </w:rPr>
              <w:t xml:space="preserve"> mW</w:t>
            </w:r>
          </w:p>
        </w:tc>
      </w:tr>
      <w:tr w:rsidR="007C0B5A" w:rsidRPr="00C64ECB" w14:paraId="29793FB3" w14:textId="77777777" w:rsidTr="00126681">
        <w:trPr>
          <w:jc w:val="center"/>
        </w:trPr>
        <w:tc>
          <w:tcPr>
            <w:tcW w:w="1357" w:type="dxa"/>
            <w:vMerge/>
            <w:vAlign w:val="center"/>
          </w:tcPr>
          <w:p w14:paraId="404AE2D8" w14:textId="77777777" w:rsidR="007C0B5A" w:rsidRPr="00C64ECB" w:rsidRDefault="007C0B5A" w:rsidP="00126681">
            <w:pPr>
              <w:pStyle w:val="TAC"/>
            </w:pPr>
          </w:p>
        </w:tc>
        <w:tc>
          <w:tcPr>
            <w:tcW w:w="1971" w:type="dxa"/>
            <w:vAlign w:val="center"/>
          </w:tcPr>
          <w:p w14:paraId="13ED40C7" w14:textId="77777777" w:rsidR="007C0B5A" w:rsidRPr="00C64ECB" w:rsidRDefault="007C0B5A" w:rsidP="00126681">
            <w:pPr>
              <w:pStyle w:val="TAC"/>
            </w:pPr>
            <w:r w:rsidRPr="00C64ECB">
              <w:rPr>
                <w:rFonts w:hint="eastAsia"/>
              </w:rPr>
              <w:t xml:space="preserve">5251 </w:t>
            </w:r>
            <w:r w:rsidRPr="00C64ECB">
              <w:t>≤</w:t>
            </w:r>
            <w:r w:rsidRPr="00C64ECB">
              <w:rPr>
                <w:rFonts w:hint="eastAsia"/>
              </w:rPr>
              <w:t xml:space="preserve"> f </w:t>
            </w:r>
            <w:r w:rsidRPr="00C64ECB">
              <w:t>&lt;</w:t>
            </w:r>
            <w:r w:rsidRPr="00C64ECB">
              <w:rPr>
                <w:rFonts w:hint="eastAsia"/>
              </w:rPr>
              <w:t xml:space="preserve"> 5290</w:t>
            </w:r>
          </w:p>
        </w:tc>
        <w:tc>
          <w:tcPr>
            <w:tcW w:w="3152" w:type="dxa"/>
            <w:vAlign w:val="center"/>
          </w:tcPr>
          <w:p w14:paraId="0FDAD0A3" w14:textId="77777777" w:rsidR="007C0B5A" w:rsidRPr="00C64ECB" w:rsidRDefault="007C0B5A" w:rsidP="00126681">
            <w:pPr>
              <w:pStyle w:val="TAC"/>
            </w:pPr>
            <w:r w:rsidRPr="00C64ECB">
              <w:t>≥</w:t>
            </w:r>
            <w:r w:rsidRPr="00C64ECB">
              <w:rPr>
                <w:rFonts w:hint="eastAsia"/>
              </w:rPr>
              <w:t xml:space="preserve"> 41 and </w:t>
            </w:r>
            <w:r w:rsidRPr="00C64ECB">
              <w:t>&lt;</w:t>
            </w:r>
            <w:r w:rsidRPr="00C64ECB">
              <w:rPr>
                <w:rFonts w:hint="eastAsia"/>
              </w:rPr>
              <w:t xml:space="preserve"> 80</w:t>
            </w:r>
          </w:p>
        </w:tc>
        <w:tc>
          <w:tcPr>
            <w:tcW w:w="2694" w:type="dxa"/>
            <w:vAlign w:val="center"/>
          </w:tcPr>
          <w:p w14:paraId="5882B57C"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8</m:t>
                          </m:r>
                        </m:num>
                        <m:den>
                          <m:r>
                            <w:rPr>
                              <w:rFonts w:ascii="Cambria Math" w:eastAsia="MS Mincho" w:hAnsi="Cambria Math"/>
                            </w:rPr>
                            <m:t>390</m:t>
                          </m:r>
                        </m:den>
                      </m:f>
                    </m:e>
                  </m:d>
                  <m:d>
                    <m:dPr>
                      <m:ctrlPr>
                        <w:rPr>
                          <w:rFonts w:ascii="Cambria Math" w:eastAsia="MS Mincho" w:hAnsi="Cambria Math"/>
                          <w:i/>
                        </w:rPr>
                      </m:ctrlPr>
                    </m:dPr>
                    <m:e>
                      <m:r>
                        <w:rPr>
                          <w:rFonts w:ascii="Cambria Math" w:eastAsia="MS Mincho" w:hAnsi="Cambria Math"/>
                        </w:rPr>
                        <m:t>f-41</m:t>
                      </m:r>
                    </m:e>
                  </m:d>
                  <m:r>
                    <w:rPr>
                      <w:rFonts w:ascii="Cambria Math" w:eastAsia="MS Mincho" w:hAnsi="Cambria Math"/>
                    </w:rPr>
                    <m:t>-1+log(1/4)</m:t>
                  </m:r>
                </m:sup>
              </m:sSup>
            </m:oMath>
            <w:r w:rsidRPr="00C64ECB">
              <w:rPr>
                <w:rFonts w:hint="eastAsia"/>
              </w:rPr>
              <w:t xml:space="preserve"> mW</w:t>
            </w:r>
          </w:p>
        </w:tc>
      </w:tr>
      <w:tr w:rsidR="007C0B5A" w:rsidRPr="00C64ECB" w14:paraId="1D4E034A" w14:textId="77777777" w:rsidTr="00126681">
        <w:trPr>
          <w:jc w:val="center"/>
        </w:trPr>
        <w:tc>
          <w:tcPr>
            <w:tcW w:w="1357" w:type="dxa"/>
            <w:vMerge/>
            <w:vAlign w:val="center"/>
          </w:tcPr>
          <w:p w14:paraId="2B8D6DDA" w14:textId="77777777" w:rsidR="007C0B5A" w:rsidRPr="00C64ECB" w:rsidRDefault="007C0B5A" w:rsidP="00126681">
            <w:pPr>
              <w:pStyle w:val="TAC"/>
            </w:pPr>
          </w:p>
        </w:tc>
        <w:tc>
          <w:tcPr>
            <w:tcW w:w="1971" w:type="dxa"/>
            <w:vAlign w:val="center"/>
          </w:tcPr>
          <w:p w14:paraId="6BBC0408" w14:textId="77777777" w:rsidR="007C0B5A" w:rsidRPr="00C64ECB" w:rsidRDefault="007C0B5A" w:rsidP="00126681">
            <w:pPr>
              <w:pStyle w:val="TAC"/>
            </w:pPr>
            <w:r w:rsidRPr="00C64ECB">
              <w:rPr>
                <w:rFonts w:hint="eastAsia"/>
              </w:rPr>
              <w:t xml:space="preserve">5290 </w:t>
            </w:r>
            <w:r w:rsidRPr="00C64ECB">
              <w:t>≤</w:t>
            </w:r>
            <w:r w:rsidRPr="00C64ECB">
              <w:rPr>
                <w:rFonts w:hint="eastAsia"/>
              </w:rPr>
              <w:t xml:space="preserve"> f </w:t>
            </w:r>
            <w:r w:rsidRPr="00C64ECB">
              <w:t>&lt;</w:t>
            </w:r>
            <w:r w:rsidRPr="00C64ECB">
              <w:rPr>
                <w:rFonts w:hint="eastAsia"/>
              </w:rPr>
              <w:t xml:space="preserve"> 5296.7</w:t>
            </w:r>
          </w:p>
        </w:tc>
        <w:tc>
          <w:tcPr>
            <w:tcW w:w="3152" w:type="dxa"/>
            <w:vAlign w:val="center"/>
          </w:tcPr>
          <w:p w14:paraId="26F39DD2" w14:textId="77777777" w:rsidR="007C0B5A" w:rsidRPr="00C64ECB" w:rsidRDefault="007C0B5A" w:rsidP="00126681">
            <w:pPr>
              <w:pStyle w:val="TAC"/>
            </w:pPr>
            <w:r w:rsidRPr="00C64ECB">
              <w:t>≥</w:t>
            </w:r>
            <w:r w:rsidRPr="00C64ECB">
              <w:rPr>
                <w:rFonts w:hint="eastAsia"/>
              </w:rPr>
              <w:t xml:space="preserve"> 80 and </w:t>
            </w:r>
            <w:r w:rsidRPr="00C64ECB">
              <w:t>&lt;</w:t>
            </w:r>
            <w:r w:rsidRPr="00C64ECB">
              <w:rPr>
                <w:rFonts w:hint="eastAsia"/>
              </w:rPr>
              <w:t xml:space="preserve"> 86.7</w:t>
            </w:r>
          </w:p>
        </w:tc>
        <w:tc>
          <w:tcPr>
            <w:tcW w:w="2694" w:type="dxa"/>
            <w:vAlign w:val="center"/>
          </w:tcPr>
          <w:p w14:paraId="6AFA3EF4"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3</m:t>
                          </m:r>
                        </m:num>
                        <m:den>
                          <m:r>
                            <w:rPr>
                              <w:rFonts w:ascii="Cambria Math" w:eastAsia="MS Mincho" w:hAnsi="Cambria Math"/>
                            </w:rPr>
                            <m:t>100</m:t>
                          </m:r>
                        </m:den>
                      </m:f>
                    </m:e>
                  </m:d>
                  <m:d>
                    <m:dPr>
                      <m:ctrlPr>
                        <w:rPr>
                          <w:rFonts w:ascii="Cambria Math" w:eastAsia="MS Mincho" w:hAnsi="Cambria Math"/>
                          <w:i/>
                        </w:rPr>
                      </m:ctrlPr>
                    </m:dPr>
                    <m:e>
                      <m:r>
                        <w:rPr>
                          <w:rFonts w:ascii="Cambria Math" w:eastAsia="MS Mincho" w:hAnsi="Cambria Math"/>
                        </w:rPr>
                        <m:t>f-80</m:t>
                      </m:r>
                    </m:e>
                  </m:d>
                  <m:r>
                    <w:rPr>
                      <w:rFonts w:ascii="Cambria Math" w:eastAsia="MS Mincho" w:hAnsi="Cambria Math"/>
                    </w:rPr>
                    <m:t>-1.8+log(1/4)</m:t>
                  </m:r>
                </m:sup>
              </m:sSup>
            </m:oMath>
            <w:r w:rsidRPr="00C64ECB">
              <w:rPr>
                <w:rFonts w:hint="eastAsia"/>
              </w:rPr>
              <w:t xml:space="preserve"> mW</w:t>
            </w:r>
          </w:p>
        </w:tc>
      </w:tr>
      <w:tr w:rsidR="007C0B5A" w:rsidRPr="00C64ECB" w14:paraId="733D3321" w14:textId="77777777" w:rsidTr="00126681">
        <w:trPr>
          <w:jc w:val="center"/>
        </w:trPr>
        <w:tc>
          <w:tcPr>
            <w:tcW w:w="1357" w:type="dxa"/>
            <w:vMerge/>
            <w:vAlign w:val="center"/>
          </w:tcPr>
          <w:p w14:paraId="54E0F00B" w14:textId="77777777" w:rsidR="007C0B5A" w:rsidRPr="00C64ECB" w:rsidRDefault="007C0B5A" w:rsidP="00126681">
            <w:pPr>
              <w:pStyle w:val="TAC"/>
            </w:pPr>
          </w:p>
        </w:tc>
        <w:tc>
          <w:tcPr>
            <w:tcW w:w="1971" w:type="dxa"/>
            <w:vAlign w:val="center"/>
          </w:tcPr>
          <w:p w14:paraId="5465BEBF" w14:textId="77777777" w:rsidR="007C0B5A" w:rsidRPr="00C64ECB" w:rsidRDefault="007C0B5A" w:rsidP="00126681">
            <w:pPr>
              <w:pStyle w:val="TAC"/>
            </w:pPr>
            <w:r w:rsidRPr="00C64ECB">
              <w:rPr>
                <w:rFonts w:hint="eastAsia"/>
              </w:rPr>
              <w:t xml:space="preserve">5296.7 </w:t>
            </w:r>
            <w:r w:rsidRPr="00C64ECB">
              <w:t>≤</w:t>
            </w:r>
            <w:r w:rsidRPr="00C64ECB">
              <w:rPr>
                <w:rFonts w:hint="eastAsia"/>
              </w:rPr>
              <w:t xml:space="preserve"> f </w:t>
            </w:r>
            <w:r w:rsidRPr="00C64ECB">
              <w:t>≤</w:t>
            </w:r>
            <w:r w:rsidRPr="00C64ECB">
              <w:rPr>
                <w:rFonts w:hint="eastAsia"/>
              </w:rPr>
              <w:t xml:space="preserve"> 5480</w:t>
            </w:r>
          </w:p>
        </w:tc>
        <w:tc>
          <w:tcPr>
            <w:tcW w:w="3152" w:type="dxa"/>
            <w:vAlign w:val="center"/>
          </w:tcPr>
          <w:p w14:paraId="5E537CAD" w14:textId="77777777" w:rsidR="007C0B5A" w:rsidRPr="00C64ECB" w:rsidRDefault="007C0B5A" w:rsidP="00126681">
            <w:pPr>
              <w:pStyle w:val="TAC"/>
            </w:pPr>
            <w:r w:rsidRPr="00C64ECB">
              <w:t>≥</w:t>
            </w:r>
            <w:r w:rsidRPr="00C64ECB">
              <w:rPr>
                <w:rFonts w:hint="eastAsia"/>
              </w:rPr>
              <w:t xml:space="preserve"> 86.7 and </w:t>
            </w:r>
            <w:r w:rsidRPr="00C64ECB">
              <w:t>≤</w:t>
            </w:r>
            <w:r w:rsidRPr="00C64ECB">
              <w:rPr>
                <w:rFonts w:hint="eastAsia"/>
              </w:rPr>
              <w:t xml:space="preserve"> 270</w:t>
            </w:r>
          </w:p>
        </w:tc>
        <w:tc>
          <w:tcPr>
            <w:tcW w:w="2694" w:type="dxa"/>
            <w:vAlign w:val="center"/>
          </w:tcPr>
          <w:p w14:paraId="43E2EA24"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50902C2F" w14:textId="77777777" w:rsidTr="00126681">
        <w:trPr>
          <w:jc w:val="center"/>
        </w:trPr>
        <w:tc>
          <w:tcPr>
            <w:tcW w:w="1357" w:type="dxa"/>
            <w:vMerge w:val="restart"/>
            <w:vAlign w:val="center"/>
          </w:tcPr>
          <w:p w14:paraId="0DDF60D8" w14:textId="77777777" w:rsidR="007C0B5A" w:rsidRPr="00C64ECB" w:rsidRDefault="007C0B5A" w:rsidP="00126681">
            <w:pPr>
              <w:pStyle w:val="TAC"/>
            </w:pPr>
            <w:r w:rsidRPr="00C64ECB">
              <w:rPr>
                <w:rFonts w:hint="eastAsia"/>
              </w:rPr>
              <w:t>5290</w:t>
            </w:r>
          </w:p>
        </w:tc>
        <w:tc>
          <w:tcPr>
            <w:tcW w:w="1971" w:type="dxa"/>
            <w:vAlign w:val="center"/>
          </w:tcPr>
          <w:p w14:paraId="4D92E8A7" w14:textId="77777777" w:rsidR="007C0B5A" w:rsidRPr="00C64ECB" w:rsidRDefault="007C0B5A" w:rsidP="00126681">
            <w:pPr>
              <w:pStyle w:val="TAC"/>
            </w:pPr>
            <w:r w:rsidRPr="00C64ECB">
              <w:rPr>
                <w:rFonts w:hint="eastAsia"/>
              </w:rPr>
              <w:t xml:space="preserve">5020 </w:t>
            </w:r>
            <w:r w:rsidRPr="00C64ECB">
              <w:t>≤</w:t>
            </w:r>
            <w:r w:rsidRPr="00C64ECB">
              <w:rPr>
                <w:rFonts w:hint="eastAsia"/>
              </w:rPr>
              <w:t xml:space="preserve"> f </w:t>
            </w:r>
            <w:r w:rsidRPr="00C64ECB">
              <w:t>≤</w:t>
            </w:r>
            <w:r w:rsidRPr="00C64ECB">
              <w:rPr>
                <w:rFonts w:hint="eastAsia"/>
              </w:rPr>
              <w:t xml:space="preserve"> 5203.3</w:t>
            </w:r>
          </w:p>
        </w:tc>
        <w:tc>
          <w:tcPr>
            <w:tcW w:w="3152" w:type="dxa"/>
          </w:tcPr>
          <w:p w14:paraId="17F432A0" w14:textId="77777777" w:rsidR="007C0B5A" w:rsidRPr="00C64ECB" w:rsidRDefault="007C0B5A" w:rsidP="00126681">
            <w:pPr>
              <w:pStyle w:val="TAC"/>
            </w:pPr>
            <w:r w:rsidRPr="00C64ECB">
              <w:t>≥</w:t>
            </w:r>
            <w:r w:rsidRPr="00C64ECB">
              <w:rPr>
                <w:rFonts w:hint="eastAsia"/>
              </w:rPr>
              <w:t xml:space="preserve"> 86.7 and </w:t>
            </w:r>
            <w:r w:rsidRPr="00C64ECB">
              <w:t>≤</w:t>
            </w:r>
            <w:r w:rsidRPr="00C64ECB">
              <w:rPr>
                <w:rFonts w:hint="eastAsia"/>
              </w:rPr>
              <w:t xml:space="preserve"> 270</w:t>
            </w:r>
          </w:p>
        </w:tc>
        <w:tc>
          <w:tcPr>
            <w:tcW w:w="2694" w:type="dxa"/>
            <w:vAlign w:val="center"/>
          </w:tcPr>
          <w:p w14:paraId="0E46E371"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51BEAE8F" w14:textId="77777777" w:rsidTr="00126681">
        <w:trPr>
          <w:jc w:val="center"/>
        </w:trPr>
        <w:tc>
          <w:tcPr>
            <w:tcW w:w="1357" w:type="dxa"/>
            <w:vMerge/>
            <w:vAlign w:val="center"/>
          </w:tcPr>
          <w:p w14:paraId="45FBE183" w14:textId="77777777" w:rsidR="007C0B5A" w:rsidRPr="00C64ECB" w:rsidRDefault="007C0B5A" w:rsidP="00126681">
            <w:pPr>
              <w:pStyle w:val="TAC"/>
            </w:pPr>
          </w:p>
        </w:tc>
        <w:tc>
          <w:tcPr>
            <w:tcW w:w="1971" w:type="dxa"/>
            <w:vAlign w:val="center"/>
          </w:tcPr>
          <w:p w14:paraId="6B0741A5" w14:textId="77777777" w:rsidR="007C0B5A" w:rsidRPr="00C64ECB" w:rsidRDefault="007C0B5A" w:rsidP="00126681">
            <w:pPr>
              <w:pStyle w:val="TAC"/>
            </w:pPr>
            <w:r w:rsidRPr="00C64ECB">
              <w:rPr>
                <w:rFonts w:hint="eastAsia"/>
              </w:rPr>
              <w:t xml:space="preserve">5203.3 </w:t>
            </w:r>
            <w:r w:rsidRPr="00C64ECB">
              <w:t>&lt;</w:t>
            </w:r>
            <w:r w:rsidRPr="00C64ECB">
              <w:rPr>
                <w:rFonts w:hint="eastAsia"/>
              </w:rPr>
              <w:t xml:space="preserve"> f </w:t>
            </w:r>
            <w:r w:rsidRPr="00C64ECB">
              <w:t>≤</w:t>
            </w:r>
            <w:r w:rsidRPr="00C64ECB">
              <w:rPr>
                <w:rFonts w:hint="eastAsia"/>
              </w:rPr>
              <w:t xml:space="preserve"> 5210</w:t>
            </w:r>
          </w:p>
        </w:tc>
        <w:tc>
          <w:tcPr>
            <w:tcW w:w="3152" w:type="dxa"/>
          </w:tcPr>
          <w:p w14:paraId="106E35BB" w14:textId="77777777" w:rsidR="007C0B5A" w:rsidRPr="00C64ECB" w:rsidRDefault="007C0B5A" w:rsidP="00126681">
            <w:pPr>
              <w:pStyle w:val="TAC"/>
            </w:pPr>
            <w:r w:rsidRPr="00C64ECB">
              <w:t>≥</w:t>
            </w:r>
            <w:r w:rsidRPr="00C64ECB">
              <w:rPr>
                <w:rFonts w:hint="eastAsia"/>
              </w:rPr>
              <w:t xml:space="preserve"> 80 and </w:t>
            </w:r>
            <w:r w:rsidRPr="00C64ECB">
              <w:t>&lt;</w:t>
            </w:r>
            <w:r w:rsidRPr="00C64ECB">
              <w:rPr>
                <w:rFonts w:hint="eastAsia"/>
              </w:rPr>
              <w:t xml:space="preserve"> 86.7</w:t>
            </w:r>
          </w:p>
        </w:tc>
        <w:tc>
          <w:tcPr>
            <w:tcW w:w="2694" w:type="dxa"/>
            <w:vAlign w:val="center"/>
          </w:tcPr>
          <w:p w14:paraId="6F0FF1DD"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3</m:t>
                          </m:r>
                        </m:num>
                        <m:den>
                          <m:r>
                            <w:rPr>
                              <w:rFonts w:ascii="Cambria Math" w:eastAsia="MS Mincho" w:hAnsi="Cambria Math"/>
                            </w:rPr>
                            <m:t>100</m:t>
                          </m:r>
                        </m:den>
                      </m:f>
                    </m:e>
                  </m:d>
                  <m:d>
                    <m:dPr>
                      <m:ctrlPr>
                        <w:rPr>
                          <w:rFonts w:ascii="Cambria Math" w:eastAsia="MS Mincho" w:hAnsi="Cambria Math"/>
                          <w:i/>
                        </w:rPr>
                      </m:ctrlPr>
                    </m:dPr>
                    <m:e>
                      <m:r>
                        <w:rPr>
                          <w:rFonts w:ascii="Cambria Math" w:eastAsia="MS Mincho" w:hAnsi="Cambria Math"/>
                        </w:rPr>
                        <m:t>f-80</m:t>
                      </m:r>
                    </m:e>
                  </m:d>
                  <m:r>
                    <w:rPr>
                      <w:rFonts w:ascii="Cambria Math" w:eastAsia="MS Mincho" w:hAnsi="Cambria Math"/>
                    </w:rPr>
                    <m:t>-1.8+log(1/4)</m:t>
                  </m:r>
                </m:sup>
              </m:sSup>
            </m:oMath>
            <w:r w:rsidRPr="00C64ECB">
              <w:rPr>
                <w:rFonts w:hint="eastAsia"/>
              </w:rPr>
              <w:t xml:space="preserve"> mW</w:t>
            </w:r>
          </w:p>
        </w:tc>
      </w:tr>
      <w:tr w:rsidR="007C0B5A" w:rsidRPr="00C64ECB" w14:paraId="75273AE3" w14:textId="77777777" w:rsidTr="00126681">
        <w:trPr>
          <w:jc w:val="center"/>
        </w:trPr>
        <w:tc>
          <w:tcPr>
            <w:tcW w:w="1357" w:type="dxa"/>
            <w:vMerge/>
            <w:vAlign w:val="center"/>
          </w:tcPr>
          <w:p w14:paraId="1B3B86C8" w14:textId="77777777" w:rsidR="007C0B5A" w:rsidRPr="00C64ECB" w:rsidRDefault="007C0B5A" w:rsidP="00126681">
            <w:pPr>
              <w:pStyle w:val="TAC"/>
            </w:pPr>
          </w:p>
        </w:tc>
        <w:tc>
          <w:tcPr>
            <w:tcW w:w="1971" w:type="dxa"/>
            <w:vAlign w:val="center"/>
          </w:tcPr>
          <w:p w14:paraId="55AE7089" w14:textId="77777777" w:rsidR="007C0B5A" w:rsidRPr="00C64ECB" w:rsidRDefault="007C0B5A" w:rsidP="00126681">
            <w:pPr>
              <w:pStyle w:val="TAC"/>
            </w:pPr>
            <w:r w:rsidRPr="00C64ECB">
              <w:rPr>
                <w:rFonts w:hint="eastAsia"/>
              </w:rPr>
              <w:t xml:space="preserve">5210 </w:t>
            </w:r>
            <w:r w:rsidRPr="00C64ECB">
              <w:t>&lt;</w:t>
            </w:r>
            <w:r w:rsidRPr="00C64ECB">
              <w:rPr>
                <w:rFonts w:hint="eastAsia"/>
              </w:rPr>
              <w:t xml:space="preserve"> f </w:t>
            </w:r>
            <w:r w:rsidRPr="00C64ECB">
              <w:t>≤</w:t>
            </w:r>
            <w:r w:rsidRPr="00C64ECB">
              <w:rPr>
                <w:rFonts w:hint="eastAsia"/>
              </w:rPr>
              <w:t xml:space="preserve"> 5249</w:t>
            </w:r>
          </w:p>
        </w:tc>
        <w:tc>
          <w:tcPr>
            <w:tcW w:w="3152" w:type="dxa"/>
          </w:tcPr>
          <w:p w14:paraId="2020155B" w14:textId="77777777" w:rsidR="007C0B5A" w:rsidRPr="00C64ECB" w:rsidRDefault="007C0B5A" w:rsidP="00126681">
            <w:pPr>
              <w:pStyle w:val="TAC"/>
            </w:pPr>
            <w:r w:rsidRPr="00C64ECB">
              <w:t>≥</w:t>
            </w:r>
            <w:r w:rsidRPr="00C64ECB">
              <w:rPr>
                <w:rFonts w:hint="eastAsia"/>
              </w:rPr>
              <w:t xml:space="preserve"> 41 and </w:t>
            </w:r>
            <w:r w:rsidRPr="00C64ECB">
              <w:t>&lt;</w:t>
            </w:r>
            <w:r w:rsidRPr="00C64ECB">
              <w:rPr>
                <w:rFonts w:hint="eastAsia"/>
              </w:rPr>
              <w:t xml:space="preserve"> 80</w:t>
            </w:r>
          </w:p>
        </w:tc>
        <w:tc>
          <w:tcPr>
            <w:tcW w:w="2694" w:type="dxa"/>
            <w:vAlign w:val="center"/>
          </w:tcPr>
          <w:p w14:paraId="09E018E2"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8</m:t>
                          </m:r>
                        </m:num>
                        <m:den>
                          <m:r>
                            <w:rPr>
                              <w:rFonts w:ascii="Cambria Math" w:eastAsia="MS Mincho" w:hAnsi="Cambria Math"/>
                            </w:rPr>
                            <m:t>390</m:t>
                          </m:r>
                        </m:den>
                      </m:f>
                    </m:e>
                  </m:d>
                  <m:d>
                    <m:dPr>
                      <m:ctrlPr>
                        <w:rPr>
                          <w:rFonts w:ascii="Cambria Math" w:eastAsia="MS Mincho" w:hAnsi="Cambria Math"/>
                          <w:i/>
                        </w:rPr>
                      </m:ctrlPr>
                    </m:dPr>
                    <m:e>
                      <m:r>
                        <w:rPr>
                          <w:rFonts w:ascii="Cambria Math" w:eastAsia="MS Mincho" w:hAnsi="Cambria Math"/>
                        </w:rPr>
                        <m:t>f-41</m:t>
                      </m:r>
                    </m:e>
                  </m:d>
                  <m:r>
                    <w:rPr>
                      <w:rFonts w:ascii="Cambria Math" w:eastAsia="MS Mincho" w:hAnsi="Cambria Math"/>
                    </w:rPr>
                    <m:t>-1+log(1/4)</m:t>
                  </m:r>
                </m:sup>
              </m:sSup>
            </m:oMath>
            <w:r w:rsidRPr="00C64ECB">
              <w:rPr>
                <w:rFonts w:hint="eastAsia"/>
              </w:rPr>
              <w:t xml:space="preserve"> mW</w:t>
            </w:r>
          </w:p>
        </w:tc>
      </w:tr>
      <w:tr w:rsidR="007C0B5A" w:rsidRPr="00C64ECB" w14:paraId="49EF93A7" w14:textId="77777777" w:rsidTr="00126681">
        <w:trPr>
          <w:jc w:val="center"/>
        </w:trPr>
        <w:tc>
          <w:tcPr>
            <w:tcW w:w="1357" w:type="dxa"/>
            <w:vMerge/>
            <w:vAlign w:val="center"/>
          </w:tcPr>
          <w:p w14:paraId="7D0B1DC8" w14:textId="77777777" w:rsidR="007C0B5A" w:rsidRPr="00C64ECB" w:rsidRDefault="007C0B5A" w:rsidP="00126681">
            <w:pPr>
              <w:pStyle w:val="TAC"/>
            </w:pPr>
          </w:p>
        </w:tc>
        <w:tc>
          <w:tcPr>
            <w:tcW w:w="1971" w:type="dxa"/>
            <w:vAlign w:val="center"/>
          </w:tcPr>
          <w:p w14:paraId="2E8283A9" w14:textId="77777777" w:rsidR="007C0B5A" w:rsidRPr="00C64ECB" w:rsidRDefault="007C0B5A" w:rsidP="00126681">
            <w:pPr>
              <w:pStyle w:val="TAC"/>
            </w:pPr>
            <w:r w:rsidRPr="00C64ECB">
              <w:rPr>
                <w:rFonts w:hint="eastAsia"/>
              </w:rPr>
              <w:t xml:space="preserve">5249 </w:t>
            </w:r>
            <w:r w:rsidRPr="00C64ECB">
              <w:t>&lt;</w:t>
            </w:r>
            <w:r w:rsidRPr="00C64ECB">
              <w:rPr>
                <w:rFonts w:hint="eastAsia"/>
              </w:rPr>
              <w:t xml:space="preserve"> f </w:t>
            </w:r>
            <w:r w:rsidRPr="00C64ECB">
              <w:t>≤</w:t>
            </w:r>
            <w:r w:rsidRPr="00C64ECB">
              <w:rPr>
                <w:rFonts w:hint="eastAsia"/>
              </w:rPr>
              <w:t xml:space="preserve"> 5250</w:t>
            </w:r>
          </w:p>
        </w:tc>
        <w:tc>
          <w:tcPr>
            <w:tcW w:w="3152" w:type="dxa"/>
            <w:vAlign w:val="center"/>
          </w:tcPr>
          <w:p w14:paraId="6001A390" w14:textId="77777777" w:rsidR="007C0B5A" w:rsidRPr="00C64ECB" w:rsidRDefault="007C0B5A" w:rsidP="00126681">
            <w:pPr>
              <w:pStyle w:val="TAC"/>
            </w:pPr>
            <w:r w:rsidRPr="00C64ECB">
              <w:t>≥</w:t>
            </w:r>
            <w:r w:rsidRPr="00C64ECB">
              <w:rPr>
                <w:rFonts w:hint="eastAsia"/>
              </w:rPr>
              <w:t xml:space="preserve"> 40 and </w:t>
            </w:r>
            <w:r w:rsidRPr="00C64ECB">
              <w:t>&lt;</w:t>
            </w:r>
            <w:r w:rsidRPr="00C64ECB">
              <w:rPr>
                <w:rFonts w:hint="eastAsia"/>
              </w:rPr>
              <w:t xml:space="preserve"> 41</w:t>
            </w:r>
          </w:p>
        </w:tc>
        <w:tc>
          <w:tcPr>
            <w:tcW w:w="2694" w:type="dxa"/>
            <w:vAlign w:val="center"/>
          </w:tcPr>
          <w:p w14:paraId="39ECBBDB" w14:textId="77777777" w:rsidR="007C0B5A" w:rsidRPr="00C64ECB" w:rsidRDefault="007C0B5A" w:rsidP="00126681">
            <w:pPr>
              <w:pStyle w:val="TAC"/>
            </w:pPr>
            <w:r w:rsidRPr="00C64ECB">
              <w:t>≤</w:t>
            </w:r>
            <w:r w:rsidRPr="00C64ECB">
              <w:rPr>
                <w:rFonts w:hint="eastAsia"/>
              </w:rPr>
              <w:t xml:space="preserve"> </w:t>
            </w:r>
            <m:oMath>
              <m:sSup>
                <m:sSupPr>
                  <m:ctrlPr>
                    <w:rPr>
                      <w:rFonts w:ascii="Cambria Math" w:eastAsia="MS Mincho" w:hAnsi="Cambria Math"/>
                    </w:rPr>
                  </m:ctrlPr>
                </m:sSupPr>
                <m:e>
                  <m:r>
                    <w:rPr>
                      <w:rFonts w:ascii="Cambria Math" w:eastAsia="MS Mincho" w:hAnsi="Cambria Math"/>
                    </w:rPr>
                    <m:t>10</m:t>
                  </m:r>
                </m:e>
                <m:sup>
                  <m:r>
                    <w:rPr>
                      <w:rFonts w:ascii="Cambria Math" w:eastAsia="MS Mincho" w:hAnsi="Cambria Math"/>
                    </w:rPr>
                    <m:t>-</m:t>
                  </m:r>
                  <m:d>
                    <m:dPr>
                      <m:ctrlPr>
                        <w:rPr>
                          <w:rFonts w:ascii="Cambria Math" w:eastAsia="MS Mincho" w:hAnsi="Cambria Math"/>
                          <w:i/>
                        </w:rPr>
                      </m:ctrlPr>
                    </m:dPr>
                    <m:e>
                      <m:r>
                        <w:rPr>
                          <w:rFonts w:ascii="Cambria Math" w:eastAsia="MS Mincho" w:hAnsi="Cambria Math"/>
                        </w:rPr>
                        <m:t>f-40</m:t>
                      </m:r>
                    </m:e>
                  </m:d>
                  <m:r>
                    <w:rPr>
                      <w:rFonts w:ascii="Cambria Math" w:eastAsia="MS Mincho" w:hAnsi="Cambria Math"/>
                    </w:rPr>
                    <m:t>+log(1/4)</m:t>
                  </m:r>
                </m:sup>
              </m:sSup>
            </m:oMath>
            <w:r w:rsidRPr="00C64ECB">
              <w:rPr>
                <w:rFonts w:hint="eastAsia"/>
              </w:rPr>
              <w:t xml:space="preserve"> mW</w:t>
            </w:r>
          </w:p>
        </w:tc>
      </w:tr>
      <w:tr w:rsidR="007C0B5A" w:rsidRPr="00C64ECB" w14:paraId="28F147DB" w14:textId="77777777" w:rsidTr="00126681">
        <w:trPr>
          <w:jc w:val="center"/>
        </w:trPr>
        <w:tc>
          <w:tcPr>
            <w:tcW w:w="1357" w:type="dxa"/>
            <w:vMerge/>
            <w:vAlign w:val="center"/>
          </w:tcPr>
          <w:p w14:paraId="0700585F" w14:textId="77777777" w:rsidR="007C0B5A" w:rsidRPr="00C64ECB" w:rsidRDefault="007C0B5A" w:rsidP="00126681">
            <w:pPr>
              <w:pStyle w:val="TAC"/>
            </w:pPr>
          </w:p>
        </w:tc>
        <w:tc>
          <w:tcPr>
            <w:tcW w:w="1971" w:type="dxa"/>
            <w:vAlign w:val="center"/>
          </w:tcPr>
          <w:p w14:paraId="334ADACD" w14:textId="77777777" w:rsidR="007C0B5A" w:rsidRPr="00C64ECB" w:rsidRDefault="007C0B5A" w:rsidP="00126681">
            <w:pPr>
              <w:pStyle w:val="TAC"/>
            </w:pPr>
            <w:r w:rsidRPr="00C64ECB">
              <w:rPr>
                <w:rFonts w:hint="eastAsia"/>
              </w:rPr>
              <w:t xml:space="preserve">5350 </w:t>
            </w:r>
            <w:r w:rsidRPr="00C64ECB">
              <w:t>≤</w:t>
            </w:r>
            <w:r w:rsidRPr="00C64ECB">
              <w:rPr>
                <w:rFonts w:hint="eastAsia"/>
              </w:rPr>
              <w:t xml:space="preserve"> f </w:t>
            </w:r>
            <w:r w:rsidRPr="00C64ECB">
              <w:t>&lt;</w:t>
            </w:r>
            <w:r w:rsidRPr="00C64ECB">
              <w:rPr>
                <w:rFonts w:hint="eastAsia"/>
              </w:rPr>
              <w:t xml:space="preserve"> 5376.8</w:t>
            </w:r>
          </w:p>
        </w:tc>
        <w:tc>
          <w:tcPr>
            <w:tcW w:w="3152" w:type="dxa"/>
            <w:vAlign w:val="center"/>
          </w:tcPr>
          <w:p w14:paraId="59B8BD58" w14:textId="77777777" w:rsidR="007C0B5A" w:rsidRPr="00C64ECB" w:rsidRDefault="007C0B5A" w:rsidP="00126681">
            <w:pPr>
              <w:pStyle w:val="TAC"/>
            </w:pPr>
            <w:r w:rsidRPr="00C64ECB">
              <w:t>≥</w:t>
            </w:r>
            <w:r w:rsidRPr="00C64ECB">
              <w:rPr>
                <w:rFonts w:hint="eastAsia"/>
              </w:rPr>
              <w:t xml:space="preserve"> 60 and </w:t>
            </w:r>
            <w:r w:rsidRPr="00C64ECB">
              <w:t>&lt;</w:t>
            </w:r>
            <w:r w:rsidRPr="00C64ECB">
              <w:rPr>
                <w:rFonts w:hint="eastAsia"/>
              </w:rPr>
              <w:t xml:space="preserve"> 86.8</w:t>
            </w:r>
          </w:p>
        </w:tc>
        <w:tc>
          <w:tcPr>
            <w:tcW w:w="2694" w:type="dxa"/>
            <w:vAlign w:val="center"/>
          </w:tcPr>
          <w:p w14:paraId="1F44AEC4" w14:textId="77777777" w:rsidR="007C0B5A" w:rsidRPr="00C64ECB" w:rsidRDefault="007C0B5A" w:rsidP="00126681">
            <w:pPr>
              <w:pStyle w:val="TAC"/>
            </w:pPr>
            <w:r w:rsidRPr="00C64ECB">
              <w:t>≤</w:t>
            </w:r>
            <w:r w:rsidRPr="00C64ECB">
              <w:rPr>
                <w:rFonts w:hint="eastAsia"/>
              </w:rPr>
              <w:t xml:space="preserve"> 15 </w:t>
            </w:r>
            <w:r w:rsidRPr="00C64ECB">
              <w:rPr>
                <w:rFonts w:ascii="Symbol" w:hAnsi="Symbol"/>
              </w:rPr>
              <w:t></w:t>
            </w:r>
            <w:r w:rsidRPr="00C64ECB">
              <w:rPr>
                <w:rFonts w:hint="eastAsia"/>
              </w:rPr>
              <w:t>W</w:t>
            </w:r>
          </w:p>
        </w:tc>
      </w:tr>
      <w:tr w:rsidR="007C0B5A" w:rsidRPr="00C64ECB" w14:paraId="6DFB319E" w14:textId="77777777" w:rsidTr="00126681">
        <w:trPr>
          <w:jc w:val="center"/>
        </w:trPr>
        <w:tc>
          <w:tcPr>
            <w:tcW w:w="1357" w:type="dxa"/>
            <w:vMerge/>
            <w:vAlign w:val="center"/>
          </w:tcPr>
          <w:p w14:paraId="4B5E6E4E" w14:textId="77777777" w:rsidR="007C0B5A" w:rsidRPr="00C64ECB" w:rsidRDefault="007C0B5A" w:rsidP="00126681">
            <w:pPr>
              <w:pStyle w:val="TAC"/>
            </w:pPr>
          </w:p>
        </w:tc>
        <w:tc>
          <w:tcPr>
            <w:tcW w:w="1971" w:type="dxa"/>
            <w:vAlign w:val="center"/>
          </w:tcPr>
          <w:p w14:paraId="00BA86B3" w14:textId="77777777" w:rsidR="007C0B5A" w:rsidRPr="00C64ECB" w:rsidRDefault="007C0B5A" w:rsidP="00126681">
            <w:pPr>
              <w:pStyle w:val="TAC"/>
            </w:pPr>
            <w:r w:rsidRPr="00C64ECB">
              <w:rPr>
                <w:rFonts w:hint="eastAsia"/>
              </w:rPr>
              <w:t xml:space="preserve">5376.8 </w:t>
            </w:r>
            <w:r w:rsidRPr="00C64ECB">
              <w:t>≤</w:t>
            </w:r>
            <w:r w:rsidRPr="00C64ECB">
              <w:rPr>
                <w:rFonts w:hint="eastAsia"/>
              </w:rPr>
              <w:t xml:space="preserve"> f </w:t>
            </w:r>
            <w:r w:rsidRPr="00C64ECB">
              <w:t>≤</w:t>
            </w:r>
            <w:r w:rsidRPr="00C64ECB">
              <w:rPr>
                <w:rFonts w:hint="eastAsia"/>
              </w:rPr>
              <w:t xml:space="preserve"> 5480</w:t>
            </w:r>
          </w:p>
        </w:tc>
        <w:tc>
          <w:tcPr>
            <w:tcW w:w="3152" w:type="dxa"/>
            <w:vAlign w:val="center"/>
          </w:tcPr>
          <w:p w14:paraId="0ECE24C5" w14:textId="77777777" w:rsidR="007C0B5A" w:rsidRPr="00C64ECB" w:rsidRDefault="007C0B5A" w:rsidP="00126681">
            <w:pPr>
              <w:pStyle w:val="TAC"/>
            </w:pPr>
            <w:r w:rsidRPr="00C64ECB">
              <w:t>≥</w:t>
            </w:r>
            <w:r w:rsidRPr="00C64ECB">
              <w:rPr>
                <w:rFonts w:hint="eastAsia"/>
              </w:rPr>
              <w:t xml:space="preserve"> 86.8 and </w:t>
            </w:r>
            <w:r w:rsidRPr="00C64ECB">
              <w:t>≤</w:t>
            </w:r>
            <w:r w:rsidRPr="00C64ECB">
              <w:rPr>
                <w:rFonts w:hint="eastAsia"/>
              </w:rPr>
              <w:t xml:space="preserve"> 190</w:t>
            </w:r>
          </w:p>
        </w:tc>
        <w:tc>
          <w:tcPr>
            <w:tcW w:w="2694" w:type="dxa"/>
            <w:vAlign w:val="center"/>
          </w:tcPr>
          <w:p w14:paraId="156565B3"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bl>
    <w:p w14:paraId="58AB7BB0" w14:textId="77777777" w:rsidR="007C0B5A" w:rsidRPr="00C64ECB" w:rsidRDefault="007C0B5A" w:rsidP="007C0B5A">
      <w:pPr>
        <w:rPr>
          <w:rFonts w:eastAsia="MS Mincho"/>
        </w:rPr>
      </w:pPr>
    </w:p>
    <w:p w14:paraId="45B4E5C8" w14:textId="77777777" w:rsidR="007C0B5A" w:rsidRPr="00C64ECB" w:rsidRDefault="007C0B5A" w:rsidP="007C0B5A">
      <w:r w:rsidRPr="00C64ECB">
        <w:t>78 MHz &lt; Occupied bandwidth ≤ 158 MHz:</w:t>
      </w:r>
    </w:p>
    <w:p w14:paraId="47DFF123" w14:textId="77777777" w:rsidR="007C0B5A" w:rsidRPr="00C64ECB" w:rsidRDefault="007C0B5A" w:rsidP="007C0B5A">
      <w:pPr>
        <w:pStyle w:val="TH"/>
      </w:pPr>
      <w:r w:rsidRPr="00C64ECB">
        <w:t>Table 4.</w:t>
      </w:r>
      <w:r w:rsidR="000D7B67" w:rsidRPr="00C64ECB">
        <w:t>1.</w:t>
      </w:r>
      <w:r w:rsidRPr="00C64ECB">
        <w:t>3.2.1-7: SEM: 78 MHz &lt; Occupied bandwidth ≤ 158 MHz</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7"/>
        <w:gridCol w:w="1971"/>
        <w:gridCol w:w="3152"/>
        <w:gridCol w:w="2694"/>
      </w:tblGrid>
      <w:tr w:rsidR="007C0B5A" w:rsidRPr="00C64ECB" w14:paraId="72B7D34E" w14:textId="77777777" w:rsidTr="00126681">
        <w:trPr>
          <w:jc w:val="center"/>
        </w:trPr>
        <w:tc>
          <w:tcPr>
            <w:tcW w:w="1357" w:type="dxa"/>
          </w:tcPr>
          <w:p w14:paraId="7532B07E" w14:textId="77777777" w:rsidR="007C0B5A" w:rsidRPr="00C64ECB" w:rsidRDefault="007C0B5A" w:rsidP="00126681">
            <w:pPr>
              <w:pStyle w:val="TAH"/>
            </w:pPr>
            <w:r w:rsidRPr="00C64ECB">
              <w:rPr>
                <w:rFonts w:hint="eastAsia"/>
              </w:rPr>
              <w:t xml:space="preserve">Centre </w:t>
            </w:r>
          </w:p>
          <w:p w14:paraId="34A9B761" w14:textId="77777777" w:rsidR="007C0B5A" w:rsidRPr="00C64ECB" w:rsidRDefault="007C0B5A" w:rsidP="00126681">
            <w:pPr>
              <w:pStyle w:val="TAH"/>
            </w:pPr>
            <w:r w:rsidRPr="00C64ECB">
              <w:rPr>
                <w:rFonts w:hint="eastAsia"/>
              </w:rPr>
              <w:t xml:space="preserve">Frequency </w:t>
            </w:r>
          </w:p>
          <w:p w14:paraId="6DECC366" w14:textId="77777777" w:rsidR="007C0B5A" w:rsidRPr="00C64ECB" w:rsidRDefault="007C0B5A" w:rsidP="00126681">
            <w:pPr>
              <w:pStyle w:val="TAH"/>
            </w:pPr>
            <w:r w:rsidRPr="00C64ECB">
              <w:rPr>
                <w:rFonts w:hint="eastAsia"/>
              </w:rPr>
              <w:t>(MHz)</w:t>
            </w:r>
          </w:p>
        </w:tc>
        <w:tc>
          <w:tcPr>
            <w:tcW w:w="1971" w:type="dxa"/>
          </w:tcPr>
          <w:p w14:paraId="2F1124FB" w14:textId="77777777" w:rsidR="007C0B5A" w:rsidRPr="00C64ECB" w:rsidRDefault="007C0B5A" w:rsidP="00126681">
            <w:pPr>
              <w:pStyle w:val="TAH"/>
            </w:pPr>
            <w:r w:rsidRPr="00C64ECB">
              <w:rPr>
                <w:rFonts w:hint="eastAsia"/>
              </w:rPr>
              <w:t>Frequency range(f)</w:t>
            </w:r>
          </w:p>
          <w:p w14:paraId="3FC46DA7" w14:textId="77777777" w:rsidR="007C0B5A" w:rsidRPr="00C64ECB" w:rsidRDefault="007C0B5A" w:rsidP="00126681">
            <w:pPr>
              <w:pStyle w:val="TAH"/>
            </w:pPr>
            <w:r w:rsidRPr="00C64ECB">
              <w:rPr>
                <w:rFonts w:hint="eastAsia"/>
              </w:rPr>
              <w:t>(MHz)</w:t>
            </w:r>
          </w:p>
        </w:tc>
        <w:tc>
          <w:tcPr>
            <w:tcW w:w="3152" w:type="dxa"/>
          </w:tcPr>
          <w:p w14:paraId="6DAF698B" w14:textId="77777777" w:rsidR="007C0B5A" w:rsidRPr="00C64ECB" w:rsidRDefault="007C0B5A" w:rsidP="00126681">
            <w:pPr>
              <w:pStyle w:val="TAH"/>
            </w:pPr>
            <w:r w:rsidRPr="00C64ECB">
              <w:rPr>
                <w:rFonts w:hint="eastAsia"/>
              </w:rPr>
              <w:t xml:space="preserve">Frequency difference </w:t>
            </w:r>
            <w:r w:rsidRPr="00C64ECB">
              <w:t>between</w:t>
            </w:r>
            <w:r w:rsidRPr="00C64ECB">
              <w:rPr>
                <w:rFonts w:hint="eastAsia"/>
              </w:rPr>
              <w:t xml:space="preserve"> centre frequency </w:t>
            </w:r>
            <w:r w:rsidRPr="00C64ECB">
              <w:t>–</w:t>
            </w:r>
            <w:r w:rsidRPr="00C64ECB">
              <w:rPr>
                <w:rFonts w:hint="eastAsia"/>
              </w:rPr>
              <w:t xml:space="preserve"> the edges of frequency range(MHz)</w:t>
            </w:r>
          </w:p>
        </w:tc>
        <w:tc>
          <w:tcPr>
            <w:tcW w:w="2694" w:type="dxa"/>
          </w:tcPr>
          <w:p w14:paraId="7D70FD71" w14:textId="77777777" w:rsidR="007C0B5A" w:rsidRPr="00C64ECB" w:rsidRDefault="007C0B5A" w:rsidP="00126681">
            <w:pPr>
              <w:pStyle w:val="TAH"/>
            </w:pPr>
            <w:r w:rsidRPr="00C64ECB">
              <w:rPr>
                <w:rFonts w:hint="eastAsia"/>
              </w:rPr>
              <w:t>e.i.r.p/MHz</w:t>
            </w:r>
          </w:p>
        </w:tc>
      </w:tr>
      <w:tr w:rsidR="007C0B5A" w:rsidRPr="00C64ECB" w14:paraId="711CCCED" w14:textId="77777777" w:rsidTr="00126681">
        <w:trPr>
          <w:jc w:val="center"/>
        </w:trPr>
        <w:tc>
          <w:tcPr>
            <w:tcW w:w="1357" w:type="dxa"/>
            <w:vMerge w:val="restart"/>
            <w:vAlign w:val="center"/>
          </w:tcPr>
          <w:p w14:paraId="11324FE6" w14:textId="77777777" w:rsidR="007C0B5A" w:rsidRPr="00C64ECB" w:rsidRDefault="007C0B5A" w:rsidP="00126681">
            <w:pPr>
              <w:pStyle w:val="TAC"/>
            </w:pPr>
            <w:r w:rsidRPr="00C64ECB">
              <w:rPr>
                <w:rFonts w:hint="eastAsia"/>
              </w:rPr>
              <w:t>5250</w:t>
            </w:r>
          </w:p>
        </w:tc>
        <w:tc>
          <w:tcPr>
            <w:tcW w:w="1971" w:type="dxa"/>
            <w:vAlign w:val="center"/>
          </w:tcPr>
          <w:p w14:paraId="522FE812" w14:textId="77777777" w:rsidR="007C0B5A" w:rsidRPr="00C64ECB" w:rsidRDefault="007C0B5A" w:rsidP="00126681">
            <w:pPr>
              <w:pStyle w:val="TAC"/>
            </w:pPr>
            <w:r w:rsidRPr="00C64ECB">
              <w:rPr>
                <w:rFonts w:hint="eastAsia"/>
              </w:rPr>
              <w:t xml:space="preserve">4916 </w:t>
            </w:r>
            <w:r w:rsidRPr="00C64ECB">
              <w:t>≤</w:t>
            </w:r>
            <w:r w:rsidRPr="00C64ECB">
              <w:rPr>
                <w:rFonts w:hint="eastAsia"/>
              </w:rPr>
              <w:t xml:space="preserve"> f </w:t>
            </w:r>
            <w:r w:rsidRPr="00C64ECB">
              <w:t>≤</w:t>
            </w:r>
            <w:r w:rsidRPr="00C64ECB">
              <w:rPr>
                <w:rFonts w:hint="eastAsia"/>
              </w:rPr>
              <w:t xml:space="preserve"> 5099.6</w:t>
            </w:r>
          </w:p>
        </w:tc>
        <w:tc>
          <w:tcPr>
            <w:tcW w:w="3152" w:type="dxa"/>
          </w:tcPr>
          <w:p w14:paraId="12E6D940" w14:textId="77777777" w:rsidR="007C0B5A" w:rsidRPr="00C64ECB" w:rsidRDefault="007C0B5A" w:rsidP="00126681">
            <w:pPr>
              <w:pStyle w:val="TAC"/>
            </w:pPr>
            <w:r w:rsidRPr="00C64ECB">
              <w:t>≥</w:t>
            </w:r>
            <w:r w:rsidRPr="00C64ECB">
              <w:rPr>
                <w:rFonts w:hint="eastAsia"/>
              </w:rPr>
              <w:t xml:space="preserve"> 150.4 and </w:t>
            </w:r>
            <w:r w:rsidRPr="00C64ECB">
              <w:t>≤</w:t>
            </w:r>
            <w:r w:rsidRPr="00C64ECB">
              <w:rPr>
                <w:rFonts w:hint="eastAsia"/>
              </w:rPr>
              <w:t xml:space="preserve"> 334</w:t>
            </w:r>
          </w:p>
        </w:tc>
        <w:tc>
          <w:tcPr>
            <w:tcW w:w="2694" w:type="dxa"/>
            <w:vAlign w:val="center"/>
          </w:tcPr>
          <w:p w14:paraId="3D293681"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5C7A0A54" w14:textId="77777777" w:rsidTr="00126681">
        <w:trPr>
          <w:jc w:val="center"/>
        </w:trPr>
        <w:tc>
          <w:tcPr>
            <w:tcW w:w="1357" w:type="dxa"/>
            <w:vMerge/>
            <w:vAlign w:val="center"/>
          </w:tcPr>
          <w:p w14:paraId="78EE86AC" w14:textId="77777777" w:rsidR="007C0B5A" w:rsidRPr="00C64ECB" w:rsidRDefault="007C0B5A" w:rsidP="00126681">
            <w:pPr>
              <w:pStyle w:val="TAC"/>
            </w:pPr>
          </w:p>
        </w:tc>
        <w:tc>
          <w:tcPr>
            <w:tcW w:w="1971" w:type="dxa"/>
            <w:vAlign w:val="center"/>
          </w:tcPr>
          <w:p w14:paraId="71B167F2" w14:textId="77777777" w:rsidR="007C0B5A" w:rsidRPr="00C64ECB" w:rsidRDefault="007C0B5A" w:rsidP="00126681">
            <w:pPr>
              <w:pStyle w:val="TAC"/>
            </w:pPr>
            <w:r w:rsidRPr="00C64ECB">
              <w:rPr>
                <w:rFonts w:hint="eastAsia"/>
              </w:rPr>
              <w:t xml:space="preserve">5099.6 </w:t>
            </w:r>
            <w:r w:rsidRPr="00C64ECB">
              <w:t>&lt;</w:t>
            </w:r>
            <w:r w:rsidRPr="00C64ECB">
              <w:rPr>
                <w:rFonts w:hint="eastAsia"/>
              </w:rPr>
              <w:t xml:space="preserve"> f </w:t>
            </w:r>
            <w:r w:rsidRPr="00C64ECB">
              <w:t>≤</w:t>
            </w:r>
            <w:r w:rsidRPr="00C64ECB">
              <w:rPr>
                <w:rFonts w:hint="eastAsia"/>
              </w:rPr>
              <w:t xml:space="preserve"> 5150</w:t>
            </w:r>
          </w:p>
        </w:tc>
        <w:tc>
          <w:tcPr>
            <w:tcW w:w="3152" w:type="dxa"/>
          </w:tcPr>
          <w:p w14:paraId="3DEDABAC" w14:textId="77777777" w:rsidR="007C0B5A" w:rsidRPr="00C64ECB" w:rsidRDefault="007C0B5A" w:rsidP="00126681">
            <w:pPr>
              <w:pStyle w:val="TAC"/>
            </w:pPr>
            <w:r w:rsidRPr="00C64ECB">
              <w:t>≥</w:t>
            </w:r>
            <w:r w:rsidRPr="00C64ECB">
              <w:rPr>
                <w:rFonts w:hint="eastAsia"/>
              </w:rPr>
              <w:t xml:space="preserve"> 100 and </w:t>
            </w:r>
            <w:r w:rsidRPr="00C64ECB">
              <w:t>&lt;</w:t>
            </w:r>
            <w:r w:rsidRPr="00C64ECB">
              <w:rPr>
                <w:rFonts w:hint="eastAsia"/>
              </w:rPr>
              <w:t xml:space="preserve"> 150.4</w:t>
            </w:r>
          </w:p>
        </w:tc>
        <w:tc>
          <w:tcPr>
            <w:tcW w:w="2694" w:type="dxa"/>
            <w:vAlign w:val="center"/>
          </w:tcPr>
          <w:p w14:paraId="61DFA998" w14:textId="77777777" w:rsidR="007C0B5A" w:rsidRPr="00C64ECB" w:rsidRDefault="007C0B5A" w:rsidP="00126681">
            <w:pPr>
              <w:pStyle w:val="TAC"/>
            </w:pPr>
            <w:r w:rsidRPr="00C64ECB">
              <w:t>≤</w:t>
            </w:r>
            <w:r w:rsidRPr="00C64ECB">
              <w:rPr>
                <w:rFonts w:hint="eastAsia"/>
              </w:rPr>
              <w:t xml:space="preserve"> 15 </w:t>
            </w:r>
            <w:r w:rsidRPr="00C64ECB">
              <w:rPr>
                <w:rFonts w:ascii="Symbol" w:hAnsi="Symbol"/>
              </w:rPr>
              <w:t></w:t>
            </w:r>
            <w:r w:rsidRPr="00C64ECB">
              <w:rPr>
                <w:rFonts w:hint="eastAsia"/>
              </w:rPr>
              <w:t>W</w:t>
            </w:r>
          </w:p>
        </w:tc>
      </w:tr>
      <w:tr w:rsidR="007C0B5A" w:rsidRPr="00C64ECB" w14:paraId="22BD7A90" w14:textId="77777777" w:rsidTr="00126681">
        <w:trPr>
          <w:jc w:val="center"/>
        </w:trPr>
        <w:tc>
          <w:tcPr>
            <w:tcW w:w="1357" w:type="dxa"/>
            <w:vMerge/>
            <w:vAlign w:val="center"/>
          </w:tcPr>
          <w:p w14:paraId="50EB17C0" w14:textId="77777777" w:rsidR="007C0B5A" w:rsidRPr="00C64ECB" w:rsidRDefault="007C0B5A" w:rsidP="00126681">
            <w:pPr>
              <w:pStyle w:val="TAC"/>
            </w:pPr>
          </w:p>
        </w:tc>
        <w:tc>
          <w:tcPr>
            <w:tcW w:w="1971" w:type="dxa"/>
            <w:vAlign w:val="center"/>
          </w:tcPr>
          <w:p w14:paraId="65FAF56B" w14:textId="77777777" w:rsidR="007C0B5A" w:rsidRPr="00C64ECB" w:rsidRDefault="007C0B5A" w:rsidP="00126681">
            <w:pPr>
              <w:pStyle w:val="TAC"/>
            </w:pPr>
            <w:r w:rsidRPr="00C64ECB">
              <w:rPr>
                <w:rFonts w:hint="eastAsia"/>
              </w:rPr>
              <w:t xml:space="preserve">5350 </w:t>
            </w:r>
            <w:r w:rsidRPr="00C64ECB">
              <w:t>≤</w:t>
            </w:r>
            <w:r w:rsidRPr="00C64ECB">
              <w:rPr>
                <w:rFonts w:hint="eastAsia"/>
              </w:rPr>
              <w:t xml:space="preserve"> f </w:t>
            </w:r>
            <w:r w:rsidRPr="00C64ECB">
              <w:t>&lt;</w:t>
            </w:r>
            <w:r w:rsidRPr="00C64ECB">
              <w:rPr>
                <w:rFonts w:hint="eastAsia"/>
              </w:rPr>
              <w:t xml:space="preserve"> 5400.4</w:t>
            </w:r>
          </w:p>
        </w:tc>
        <w:tc>
          <w:tcPr>
            <w:tcW w:w="3152" w:type="dxa"/>
          </w:tcPr>
          <w:p w14:paraId="67A5ED73" w14:textId="77777777" w:rsidR="007C0B5A" w:rsidRPr="00C64ECB" w:rsidRDefault="007C0B5A" w:rsidP="00126681">
            <w:pPr>
              <w:pStyle w:val="TAC"/>
            </w:pPr>
            <w:r w:rsidRPr="00C64ECB">
              <w:t>≥</w:t>
            </w:r>
            <w:r w:rsidRPr="00C64ECB">
              <w:rPr>
                <w:rFonts w:hint="eastAsia"/>
              </w:rPr>
              <w:t xml:space="preserve"> 100 and </w:t>
            </w:r>
            <w:r w:rsidRPr="00C64ECB">
              <w:t>&lt;</w:t>
            </w:r>
            <w:r w:rsidRPr="00C64ECB">
              <w:rPr>
                <w:rFonts w:hint="eastAsia"/>
              </w:rPr>
              <w:t xml:space="preserve"> 150.4</w:t>
            </w:r>
          </w:p>
        </w:tc>
        <w:tc>
          <w:tcPr>
            <w:tcW w:w="2694" w:type="dxa"/>
            <w:vAlign w:val="center"/>
          </w:tcPr>
          <w:p w14:paraId="63933DFA" w14:textId="77777777" w:rsidR="007C0B5A" w:rsidRPr="00C64ECB" w:rsidRDefault="007C0B5A" w:rsidP="00126681">
            <w:pPr>
              <w:pStyle w:val="TAC"/>
            </w:pPr>
            <w:r w:rsidRPr="00C64ECB">
              <w:t>≤</w:t>
            </w:r>
            <w:r w:rsidRPr="00C64ECB">
              <w:rPr>
                <w:rFonts w:hint="eastAsia"/>
              </w:rPr>
              <w:t xml:space="preserve"> 15 </w:t>
            </w:r>
            <w:r w:rsidRPr="00C64ECB">
              <w:rPr>
                <w:rFonts w:ascii="Symbol" w:hAnsi="Symbol"/>
              </w:rPr>
              <w:t></w:t>
            </w:r>
            <w:r w:rsidRPr="00C64ECB">
              <w:rPr>
                <w:rFonts w:hint="eastAsia"/>
              </w:rPr>
              <w:t>W</w:t>
            </w:r>
          </w:p>
        </w:tc>
      </w:tr>
      <w:tr w:rsidR="007C0B5A" w:rsidRPr="00C64ECB" w14:paraId="2AC6D557" w14:textId="77777777" w:rsidTr="00126681">
        <w:trPr>
          <w:jc w:val="center"/>
        </w:trPr>
        <w:tc>
          <w:tcPr>
            <w:tcW w:w="1357" w:type="dxa"/>
            <w:vMerge/>
            <w:vAlign w:val="center"/>
          </w:tcPr>
          <w:p w14:paraId="5A139883" w14:textId="77777777" w:rsidR="007C0B5A" w:rsidRPr="00C64ECB" w:rsidRDefault="007C0B5A" w:rsidP="00126681">
            <w:pPr>
              <w:pStyle w:val="TAC"/>
            </w:pPr>
          </w:p>
        </w:tc>
        <w:tc>
          <w:tcPr>
            <w:tcW w:w="1971" w:type="dxa"/>
            <w:vAlign w:val="center"/>
          </w:tcPr>
          <w:p w14:paraId="3CCECE41" w14:textId="77777777" w:rsidR="007C0B5A" w:rsidRPr="00C64ECB" w:rsidRDefault="007C0B5A" w:rsidP="00126681">
            <w:pPr>
              <w:pStyle w:val="TAC"/>
            </w:pPr>
            <w:r w:rsidRPr="00C64ECB">
              <w:rPr>
                <w:rFonts w:hint="eastAsia"/>
              </w:rPr>
              <w:t xml:space="preserve">5400.4 </w:t>
            </w:r>
            <w:r w:rsidRPr="00C64ECB">
              <w:t>≤</w:t>
            </w:r>
            <w:r w:rsidRPr="00C64ECB">
              <w:rPr>
                <w:rFonts w:hint="eastAsia"/>
              </w:rPr>
              <w:t xml:space="preserve"> f </w:t>
            </w:r>
            <w:r w:rsidRPr="00C64ECB">
              <w:t>≤</w:t>
            </w:r>
            <w:r w:rsidRPr="00C64ECB">
              <w:rPr>
                <w:rFonts w:hint="eastAsia"/>
              </w:rPr>
              <w:t xml:space="preserve"> 5584</w:t>
            </w:r>
          </w:p>
        </w:tc>
        <w:tc>
          <w:tcPr>
            <w:tcW w:w="3152" w:type="dxa"/>
            <w:vAlign w:val="center"/>
          </w:tcPr>
          <w:p w14:paraId="64CB6655" w14:textId="77777777" w:rsidR="007C0B5A" w:rsidRPr="00C64ECB" w:rsidRDefault="007C0B5A" w:rsidP="00126681">
            <w:pPr>
              <w:pStyle w:val="TAC"/>
            </w:pPr>
            <w:r w:rsidRPr="00C64ECB">
              <w:t>≥</w:t>
            </w:r>
            <w:r w:rsidRPr="00C64ECB">
              <w:rPr>
                <w:rFonts w:hint="eastAsia"/>
              </w:rPr>
              <w:t xml:space="preserve"> 150.4 and </w:t>
            </w:r>
            <w:r w:rsidRPr="00C64ECB">
              <w:t>≤</w:t>
            </w:r>
            <w:r w:rsidRPr="00C64ECB">
              <w:rPr>
                <w:rFonts w:hint="eastAsia"/>
              </w:rPr>
              <w:t xml:space="preserve"> 334</w:t>
            </w:r>
          </w:p>
        </w:tc>
        <w:tc>
          <w:tcPr>
            <w:tcW w:w="2694" w:type="dxa"/>
            <w:vAlign w:val="center"/>
          </w:tcPr>
          <w:p w14:paraId="6A21B919"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bl>
    <w:p w14:paraId="28F33B9B" w14:textId="77777777" w:rsidR="007C0B5A" w:rsidRPr="00C64ECB" w:rsidRDefault="007C0B5A" w:rsidP="007C0B5A"/>
    <w:p w14:paraId="16426A59" w14:textId="77777777" w:rsidR="007C0B5A" w:rsidRPr="00C64ECB" w:rsidRDefault="007C0B5A" w:rsidP="007C0B5A">
      <w:pPr>
        <w:pStyle w:val="TH"/>
      </w:pPr>
      <w:r w:rsidRPr="00C64ECB">
        <w:t>Table 4.</w:t>
      </w:r>
      <w:r w:rsidR="000D7B67" w:rsidRPr="00C64ECB">
        <w:t>1.</w:t>
      </w:r>
      <w:r w:rsidRPr="00C64ECB">
        <w:t>3.2.1-8:</w:t>
      </w:r>
      <w:r w:rsidRPr="00C64ECB">
        <w:rPr>
          <w:rFonts w:eastAsia="MS Mincho"/>
        </w:rPr>
        <w:t xml:space="preserve"> Peak data rate </w:t>
      </w:r>
    </w:p>
    <w:tbl>
      <w:tblPr>
        <w:tblW w:w="5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56"/>
        <w:gridCol w:w="3152"/>
      </w:tblGrid>
      <w:tr w:rsidR="007C0B5A" w:rsidRPr="00C64ECB" w14:paraId="5895C83A" w14:textId="77777777" w:rsidTr="00126681">
        <w:trPr>
          <w:jc w:val="center"/>
        </w:trPr>
        <w:tc>
          <w:tcPr>
            <w:tcW w:w="2656" w:type="dxa"/>
          </w:tcPr>
          <w:p w14:paraId="0CF6A549" w14:textId="77777777" w:rsidR="007C0B5A" w:rsidRPr="00C64ECB" w:rsidRDefault="007C0B5A" w:rsidP="00126681">
            <w:pPr>
              <w:pStyle w:val="TAH"/>
            </w:pPr>
            <w:r w:rsidRPr="00C64ECB">
              <w:rPr>
                <w:rFonts w:hint="eastAsia"/>
              </w:rPr>
              <w:t>Occupied bandwidth(MHz)</w:t>
            </w:r>
          </w:p>
        </w:tc>
        <w:tc>
          <w:tcPr>
            <w:tcW w:w="3152" w:type="dxa"/>
          </w:tcPr>
          <w:p w14:paraId="6D2FA9E6" w14:textId="77777777" w:rsidR="007C0B5A" w:rsidRPr="00C64ECB" w:rsidRDefault="007C0B5A" w:rsidP="00126681">
            <w:pPr>
              <w:pStyle w:val="TAH"/>
            </w:pPr>
            <w:r w:rsidRPr="00C64ECB">
              <w:rPr>
                <w:rFonts w:hint="eastAsia"/>
              </w:rPr>
              <w:t>Peak data rate (Mbps)</w:t>
            </w:r>
          </w:p>
        </w:tc>
      </w:tr>
      <w:tr w:rsidR="007C0B5A" w:rsidRPr="00C64ECB" w14:paraId="1810ADBA" w14:textId="77777777" w:rsidTr="00126681">
        <w:trPr>
          <w:jc w:val="center"/>
        </w:trPr>
        <w:tc>
          <w:tcPr>
            <w:tcW w:w="2656" w:type="dxa"/>
            <w:vAlign w:val="center"/>
          </w:tcPr>
          <w:p w14:paraId="052F33AA" w14:textId="77777777" w:rsidR="007C0B5A" w:rsidRPr="00C64ECB" w:rsidRDefault="007C0B5A" w:rsidP="00126681">
            <w:pPr>
              <w:pStyle w:val="TAC"/>
            </w:pPr>
            <w:r w:rsidRPr="00C64ECB">
              <w:t>≤</w:t>
            </w:r>
            <w:r w:rsidRPr="00C64ECB">
              <w:rPr>
                <w:rFonts w:hint="eastAsia"/>
              </w:rPr>
              <w:t xml:space="preserve"> 19</w:t>
            </w:r>
          </w:p>
        </w:tc>
        <w:tc>
          <w:tcPr>
            <w:tcW w:w="3152" w:type="dxa"/>
          </w:tcPr>
          <w:p w14:paraId="7EDDA505" w14:textId="77777777" w:rsidR="007C0B5A" w:rsidRPr="00C64ECB" w:rsidRDefault="007C0B5A" w:rsidP="00126681">
            <w:pPr>
              <w:pStyle w:val="TAC"/>
            </w:pPr>
            <w:r w:rsidRPr="00C64ECB">
              <w:rPr>
                <w:rFonts w:eastAsia="MS Mincho"/>
              </w:rPr>
              <w:t>≥</w:t>
            </w:r>
            <w:r w:rsidRPr="00C64ECB">
              <w:rPr>
                <w:rFonts w:eastAsia="MS Mincho" w:hint="eastAsia"/>
              </w:rPr>
              <w:t xml:space="preserve"> </w:t>
            </w:r>
            <w:r w:rsidRPr="00C64ECB">
              <w:rPr>
                <w:rFonts w:hint="eastAsia"/>
              </w:rPr>
              <w:t>20</w:t>
            </w:r>
          </w:p>
        </w:tc>
      </w:tr>
      <w:tr w:rsidR="007C0B5A" w:rsidRPr="00C64ECB" w14:paraId="591439AA" w14:textId="77777777" w:rsidTr="00126681">
        <w:trPr>
          <w:jc w:val="center"/>
        </w:trPr>
        <w:tc>
          <w:tcPr>
            <w:tcW w:w="2656" w:type="dxa"/>
            <w:vAlign w:val="center"/>
          </w:tcPr>
          <w:p w14:paraId="52E56441" w14:textId="77777777" w:rsidR="007C0B5A" w:rsidRPr="00C64ECB" w:rsidRDefault="007C0B5A" w:rsidP="00126681">
            <w:pPr>
              <w:pStyle w:val="TAC"/>
            </w:pPr>
            <w:r w:rsidRPr="00C64ECB">
              <w:rPr>
                <w:rFonts w:eastAsia="MS Mincho"/>
              </w:rPr>
              <w:t>&gt;</w:t>
            </w:r>
            <w:r w:rsidRPr="00C64ECB">
              <w:rPr>
                <w:rFonts w:eastAsia="MS Mincho" w:hint="eastAsia"/>
              </w:rPr>
              <w:t xml:space="preserve"> 19 and </w:t>
            </w:r>
            <w:r w:rsidRPr="00C64ECB">
              <w:t>≤</w:t>
            </w:r>
            <w:r w:rsidRPr="00C64ECB">
              <w:rPr>
                <w:rFonts w:eastAsia="MS Mincho" w:hint="eastAsia"/>
              </w:rPr>
              <w:t xml:space="preserve"> 38</w:t>
            </w:r>
          </w:p>
        </w:tc>
        <w:tc>
          <w:tcPr>
            <w:tcW w:w="3152" w:type="dxa"/>
          </w:tcPr>
          <w:p w14:paraId="4543E77B" w14:textId="77777777" w:rsidR="007C0B5A" w:rsidRPr="00C64ECB" w:rsidRDefault="007C0B5A" w:rsidP="00126681">
            <w:pPr>
              <w:pStyle w:val="TAC"/>
            </w:pPr>
            <w:r w:rsidRPr="00C64ECB">
              <w:rPr>
                <w:rFonts w:eastAsia="MS Mincho"/>
              </w:rPr>
              <w:t>≥</w:t>
            </w:r>
            <w:r w:rsidRPr="00C64ECB">
              <w:rPr>
                <w:rFonts w:eastAsia="MS Mincho" w:hint="eastAsia"/>
              </w:rPr>
              <w:t xml:space="preserve"> </w:t>
            </w:r>
            <w:r w:rsidRPr="00C64ECB">
              <w:rPr>
                <w:rFonts w:hint="eastAsia"/>
              </w:rPr>
              <w:t>40</w:t>
            </w:r>
          </w:p>
        </w:tc>
      </w:tr>
      <w:tr w:rsidR="007C0B5A" w:rsidRPr="00C64ECB" w14:paraId="29B69DEC" w14:textId="77777777" w:rsidTr="00126681">
        <w:trPr>
          <w:jc w:val="center"/>
        </w:trPr>
        <w:tc>
          <w:tcPr>
            <w:tcW w:w="2656" w:type="dxa"/>
            <w:vAlign w:val="center"/>
          </w:tcPr>
          <w:p w14:paraId="77F522BE" w14:textId="77777777" w:rsidR="007C0B5A" w:rsidRPr="00C64ECB" w:rsidRDefault="007C0B5A" w:rsidP="00126681">
            <w:pPr>
              <w:pStyle w:val="TAC"/>
              <w:rPr>
                <w:rFonts w:eastAsia="MS Mincho"/>
              </w:rPr>
            </w:pPr>
            <w:r w:rsidRPr="00C64ECB">
              <w:rPr>
                <w:rFonts w:eastAsia="MS Mincho"/>
              </w:rPr>
              <w:t>&gt;</w:t>
            </w:r>
            <w:r w:rsidRPr="00C64ECB">
              <w:rPr>
                <w:rFonts w:eastAsia="MS Mincho" w:hint="eastAsia"/>
              </w:rPr>
              <w:t xml:space="preserve"> 38 and </w:t>
            </w:r>
            <w:r w:rsidRPr="00C64ECB">
              <w:t>≤</w:t>
            </w:r>
            <w:r w:rsidRPr="00C64ECB">
              <w:rPr>
                <w:rFonts w:eastAsia="MS Mincho" w:hint="eastAsia"/>
              </w:rPr>
              <w:t xml:space="preserve"> 78</w:t>
            </w:r>
          </w:p>
        </w:tc>
        <w:tc>
          <w:tcPr>
            <w:tcW w:w="3152" w:type="dxa"/>
          </w:tcPr>
          <w:p w14:paraId="1242DA1F" w14:textId="77777777" w:rsidR="007C0B5A" w:rsidRPr="00C64ECB" w:rsidRDefault="007C0B5A" w:rsidP="00126681">
            <w:pPr>
              <w:pStyle w:val="TAC"/>
            </w:pPr>
            <w:r w:rsidRPr="00C64ECB">
              <w:rPr>
                <w:rFonts w:eastAsia="MS Mincho"/>
              </w:rPr>
              <w:t>≥</w:t>
            </w:r>
            <w:r w:rsidRPr="00C64ECB">
              <w:rPr>
                <w:rFonts w:eastAsia="MS Mincho" w:hint="eastAsia"/>
              </w:rPr>
              <w:t xml:space="preserve"> </w:t>
            </w:r>
            <w:r w:rsidRPr="00C64ECB">
              <w:rPr>
                <w:rFonts w:hint="eastAsia"/>
              </w:rPr>
              <w:t>80</w:t>
            </w:r>
          </w:p>
        </w:tc>
      </w:tr>
      <w:tr w:rsidR="007C0B5A" w:rsidRPr="00C64ECB" w14:paraId="4538CD33" w14:textId="77777777" w:rsidTr="00126681">
        <w:trPr>
          <w:jc w:val="center"/>
        </w:trPr>
        <w:tc>
          <w:tcPr>
            <w:tcW w:w="2656" w:type="dxa"/>
            <w:vAlign w:val="center"/>
          </w:tcPr>
          <w:p w14:paraId="5DD52539" w14:textId="77777777" w:rsidR="007C0B5A" w:rsidRPr="00C64ECB" w:rsidRDefault="007C0B5A" w:rsidP="00126681">
            <w:pPr>
              <w:pStyle w:val="TAC"/>
            </w:pPr>
            <w:r w:rsidRPr="00C64ECB">
              <w:rPr>
                <w:rFonts w:eastAsia="MS Mincho"/>
              </w:rPr>
              <w:t>&gt;</w:t>
            </w:r>
            <w:r w:rsidRPr="00C64ECB">
              <w:rPr>
                <w:rFonts w:eastAsia="MS Mincho" w:hint="eastAsia"/>
              </w:rPr>
              <w:t xml:space="preserve"> 78 and </w:t>
            </w:r>
            <w:r w:rsidRPr="00C64ECB">
              <w:t>≤</w:t>
            </w:r>
            <w:r w:rsidRPr="00C64ECB">
              <w:rPr>
                <w:rFonts w:eastAsia="MS Mincho" w:hint="eastAsia"/>
              </w:rPr>
              <w:t xml:space="preserve"> 158</w:t>
            </w:r>
          </w:p>
        </w:tc>
        <w:tc>
          <w:tcPr>
            <w:tcW w:w="3152" w:type="dxa"/>
          </w:tcPr>
          <w:p w14:paraId="5501E847" w14:textId="77777777" w:rsidR="007C0B5A" w:rsidRPr="00C64ECB" w:rsidRDefault="007C0B5A" w:rsidP="00126681">
            <w:pPr>
              <w:pStyle w:val="TAC"/>
            </w:pPr>
            <w:r w:rsidRPr="00C64ECB">
              <w:rPr>
                <w:rFonts w:eastAsia="MS Mincho"/>
              </w:rPr>
              <w:t>≥</w:t>
            </w:r>
            <w:r w:rsidRPr="00C64ECB">
              <w:rPr>
                <w:rFonts w:eastAsia="MS Mincho" w:hint="eastAsia"/>
              </w:rPr>
              <w:t xml:space="preserve"> </w:t>
            </w:r>
            <w:r w:rsidRPr="00C64ECB">
              <w:rPr>
                <w:rFonts w:hint="eastAsia"/>
              </w:rPr>
              <w:t>160</w:t>
            </w:r>
          </w:p>
        </w:tc>
      </w:tr>
    </w:tbl>
    <w:p w14:paraId="2F24FC76" w14:textId="77777777" w:rsidR="007C0B5A" w:rsidRPr="00C64ECB" w:rsidRDefault="007C0B5A" w:rsidP="007C0B5A"/>
    <w:p w14:paraId="38F61A07" w14:textId="77777777" w:rsidR="007C0B5A" w:rsidRPr="00C64ECB" w:rsidRDefault="007C0B5A" w:rsidP="007C0B5A">
      <w:pPr>
        <w:pStyle w:val="Heading5"/>
      </w:pPr>
      <w:bookmarkStart w:id="37" w:name="_Toc531342993"/>
      <w:r w:rsidRPr="00C64ECB">
        <w:t>4.1.3.2.2</w:t>
      </w:r>
      <w:r w:rsidRPr="00C64ECB">
        <w:rPr>
          <w:rFonts w:hint="eastAsia"/>
        </w:rPr>
        <w:tab/>
      </w:r>
      <w:r w:rsidRPr="00C64ECB">
        <w:t>5</w:t>
      </w:r>
      <w:r w:rsidRPr="00C64ECB">
        <w:rPr>
          <w:rFonts w:hint="eastAsia"/>
        </w:rPr>
        <w:t>470</w:t>
      </w:r>
      <w:r w:rsidRPr="00C64ECB">
        <w:t>-5</w:t>
      </w:r>
      <w:r w:rsidRPr="00C64ECB">
        <w:rPr>
          <w:rFonts w:hint="eastAsia"/>
        </w:rPr>
        <w:t>725 M</w:t>
      </w:r>
      <w:r w:rsidRPr="00C64ECB">
        <w:t>Hz</w:t>
      </w:r>
      <w:bookmarkEnd w:id="37"/>
    </w:p>
    <w:p w14:paraId="54514C3E" w14:textId="77777777" w:rsidR="007C0B5A" w:rsidRPr="00C64ECB" w:rsidRDefault="007C0B5A" w:rsidP="007C0B5A">
      <w:pPr>
        <w:pStyle w:val="TH"/>
        <w:rPr>
          <w:rFonts w:cs="v5.0.0"/>
        </w:rPr>
      </w:pPr>
      <w:r w:rsidRPr="00C64ECB">
        <w:t>Table 4.</w:t>
      </w:r>
      <w:r w:rsidR="000D7B67" w:rsidRPr="00C64ECB">
        <w:t>1.</w:t>
      </w:r>
      <w:r w:rsidRPr="00C64ECB">
        <w:t>3.2.2-1:</w:t>
      </w:r>
      <w:r w:rsidRPr="00C64ECB">
        <w:rPr>
          <w:rFonts w:hint="eastAsia"/>
        </w:rPr>
        <w:t xml:space="preserve"> Adjacent Channel Leakage Ratio (ACLR) 1</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8"/>
        <w:gridCol w:w="1266"/>
        <w:gridCol w:w="2411"/>
        <w:gridCol w:w="2261"/>
      </w:tblGrid>
      <w:tr w:rsidR="007C0B5A" w:rsidRPr="00C64ECB" w14:paraId="4D7868E3" w14:textId="77777777" w:rsidTr="00126681">
        <w:trPr>
          <w:jc w:val="center"/>
        </w:trPr>
        <w:tc>
          <w:tcPr>
            <w:tcW w:w="2818" w:type="dxa"/>
          </w:tcPr>
          <w:p w14:paraId="4DE6CE39" w14:textId="77777777" w:rsidR="007C0B5A" w:rsidRPr="00C64ECB" w:rsidRDefault="007C0B5A" w:rsidP="00126681">
            <w:pPr>
              <w:pStyle w:val="TAH"/>
            </w:pPr>
            <w:r w:rsidRPr="00C64ECB">
              <w:rPr>
                <w:rFonts w:hint="eastAsia"/>
              </w:rPr>
              <w:t>Occupied bandwidth</w:t>
            </w:r>
          </w:p>
        </w:tc>
        <w:tc>
          <w:tcPr>
            <w:tcW w:w="1266" w:type="dxa"/>
          </w:tcPr>
          <w:p w14:paraId="2A824989" w14:textId="77777777" w:rsidR="007C0B5A" w:rsidRPr="00C64ECB" w:rsidRDefault="007C0B5A" w:rsidP="00126681">
            <w:pPr>
              <w:pStyle w:val="TAH"/>
            </w:pPr>
            <w:r w:rsidRPr="00C64ECB">
              <w:t>≤</w:t>
            </w:r>
            <w:r w:rsidRPr="00C64ECB">
              <w:rPr>
                <w:rFonts w:hint="eastAsia"/>
              </w:rPr>
              <w:t xml:space="preserve"> 19.7</w:t>
            </w:r>
            <w:r w:rsidRPr="00C64ECB">
              <w:t>MHz</w:t>
            </w:r>
          </w:p>
        </w:tc>
        <w:tc>
          <w:tcPr>
            <w:tcW w:w="2411" w:type="dxa"/>
          </w:tcPr>
          <w:p w14:paraId="634BC4AA" w14:textId="77777777" w:rsidR="007C0B5A" w:rsidRPr="00C64ECB" w:rsidRDefault="007C0B5A" w:rsidP="00126681">
            <w:pPr>
              <w:pStyle w:val="TAH"/>
            </w:pPr>
            <w:r w:rsidRPr="00C64ECB">
              <w:t>&gt;</w:t>
            </w:r>
            <w:r w:rsidRPr="00C64ECB">
              <w:rPr>
                <w:rFonts w:hint="eastAsia"/>
              </w:rPr>
              <w:t xml:space="preserve"> 19.7MHz and </w:t>
            </w:r>
            <w:r w:rsidRPr="00C64ECB">
              <w:t>≤</w:t>
            </w:r>
            <w:r w:rsidRPr="00C64ECB">
              <w:rPr>
                <w:rFonts w:hint="eastAsia"/>
              </w:rPr>
              <w:t xml:space="preserve"> 38</w:t>
            </w:r>
            <w:r w:rsidRPr="00C64ECB">
              <w:t>MHz</w:t>
            </w:r>
          </w:p>
        </w:tc>
        <w:tc>
          <w:tcPr>
            <w:tcW w:w="2261" w:type="dxa"/>
          </w:tcPr>
          <w:p w14:paraId="6CC49AED" w14:textId="77777777" w:rsidR="007C0B5A" w:rsidRPr="00C64ECB" w:rsidRDefault="007C0B5A" w:rsidP="00126681">
            <w:pPr>
              <w:pStyle w:val="TAH"/>
            </w:pPr>
            <w:r w:rsidRPr="00C64ECB">
              <w:t>&gt;</w:t>
            </w:r>
            <w:r w:rsidRPr="00C64ECB">
              <w:rPr>
                <w:rFonts w:hint="eastAsia"/>
              </w:rPr>
              <w:t xml:space="preserve"> 38MHz and </w:t>
            </w:r>
            <w:r w:rsidRPr="00C64ECB">
              <w:t>≤</w:t>
            </w:r>
            <w:r w:rsidRPr="00C64ECB">
              <w:rPr>
                <w:rFonts w:hint="eastAsia"/>
              </w:rPr>
              <w:t xml:space="preserve"> 78</w:t>
            </w:r>
            <w:r w:rsidRPr="00C64ECB">
              <w:t>MHz</w:t>
            </w:r>
          </w:p>
        </w:tc>
      </w:tr>
      <w:tr w:rsidR="007C0B5A" w:rsidRPr="00C64ECB" w14:paraId="62973E09" w14:textId="77777777" w:rsidTr="00126681">
        <w:trPr>
          <w:jc w:val="center"/>
        </w:trPr>
        <w:tc>
          <w:tcPr>
            <w:tcW w:w="2818" w:type="dxa"/>
            <w:vAlign w:val="center"/>
          </w:tcPr>
          <w:p w14:paraId="1F5CB0CC" w14:textId="77777777" w:rsidR="007C0B5A" w:rsidRPr="00C64ECB" w:rsidRDefault="007C0B5A" w:rsidP="00126681">
            <w:pPr>
              <w:pStyle w:val="TAC"/>
            </w:pPr>
            <w:r w:rsidRPr="00C64ECB">
              <w:rPr>
                <w:rFonts w:hint="eastAsia"/>
              </w:rPr>
              <w:t>ACLR 1</w:t>
            </w:r>
          </w:p>
        </w:tc>
        <w:tc>
          <w:tcPr>
            <w:tcW w:w="1266" w:type="dxa"/>
            <w:vAlign w:val="center"/>
          </w:tcPr>
          <w:p w14:paraId="41F73DE7" w14:textId="77777777" w:rsidR="007C0B5A" w:rsidRPr="00C64ECB" w:rsidRDefault="007C0B5A" w:rsidP="00126681">
            <w:pPr>
              <w:pStyle w:val="TAC"/>
            </w:pPr>
            <w:r w:rsidRPr="00C64ECB">
              <w:rPr>
                <w:rFonts w:ascii="Cambria" w:hAnsi="Cambria" w:cs="Cambria"/>
              </w:rPr>
              <w:t xml:space="preserve">≥ </w:t>
            </w:r>
            <w:r w:rsidRPr="00C64ECB">
              <w:rPr>
                <w:rFonts w:hint="eastAsia"/>
              </w:rPr>
              <w:t>25</w:t>
            </w:r>
            <w:r w:rsidRPr="00C64ECB">
              <w:t xml:space="preserve"> dB</w:t>
            </w:r>
          </w:p>
        </w:tc>
        <w:tc>
          <w:tcPr>
            <w:tcW w:w="2411" w:type="dxa"/>
            <w:vAlign w:val="center"/>
          </w:tcPr>
          <w:p w14:paraId="450E9ECF" w14:textId="77777777" w:rsidR="007C0B5A" w:rsidRPr="00C64ECB" w:rsidRDefault="007C0B5A" w:rsidP="00126681">
            <w:pPr>
              <w:pStyle w:val="TAC"/>
            </w:pPr>
            <w:r w:rsidRPr="00C64ECB">
              <w:rPr>
                <w:rFonts w:ascii="Cambria" w:hAnsi="Cambria" w:cs="Cambria"/>
              </w:rPr>
              <w:t xml:space="preserve">≥ </w:t>
            </w:r>
            <w:r w:rsidRPr="00C64ECB">
              <w:rPr>
                <w:rFonts w:hint="eastAsia"/>
              </w:rPr>
              <w:t>25</w:t>
            </w:r>
            <w:r w:rsidRPr="00C64ECB">
              <w:t xml:space="preserve"> dB</w:t>
            </w:r>
          </w:p>
        </w:tc>
        <w:tc>
          <w:tcPr>
            <w:tcW w:w="2261" w:type="dxa"/>
            <w:vAlign w:val="center"/>
          </w:tcPr>
          <w:p w14:paraId="5CEF4782" w14:textId="77777777" w:rsidR="007C0B5A" w:rsidRPr="00C64ECB" w:rsidRDefault="007C0B5A" w:rsidP="00126681">
            <w:pPr>
              <w:pStyle w:val="TAC"/>
            </w:pPr>
            <w:r w:rsidRPr="00C64ECB">
              <w:rPr>
                <w:rFonts w:ascii="Cambria" w:hAnsi="Cambria" w:cs="Cambria"/>
              </w:rPr>
              <w:t xml:space="preserve">≥ </w:t>
            </w:r>
            <w:r w:rsidRPr="00C64ECB">
              <w:rPr>
                <w:rFonts w:hint="eastAsia"/>
              </w:rPr>
              <w:t>25</w:t>
            </w:r>
            <w:r w:rsidRPr="00C64ECB">
              <w:t xml:space="preserve"> dB</w:t>
            </w:r>
          </w:p>
        </w:tc>
      </w:tr>
      <w:tr w:rsidR="007C0B5A" w:rsidRPr="00C64ECB" w14:paraId="1BE437B1" w14:textId="77777777" w:rsidTr="00126681">
        <w:trPr>
          <w:jc w:val="center"/>
        </w:trPr>
        <w:tc>
          <w:tcPr>
            <w:tcW w:w="2818" w:type="dxa"/>
            <w:vAlign w:val="center"/>
          </w:tcPr>
          <w:p w14:paraId="5F33CA1E" w14:textId="77777777" w:rsidR="007C0B5A" w:rsidRPr="00C64ECB" w:rsidRDefault="007C0B5A" w:rsidP="00126681">
            <w:pPr>
              <w:pStyle w:val="TAC"/>
            </w:pPr>
            <w:r w:rsidRPr="00C64ECB">
              <w:t>Measurement</w:t>
            </w:r>
          </w:p>
          <w:p w14:paraId="60DDBB7C" w14:textId="77777777" w:rsidR="007C0B5A" w:rsidRPr="00C64ECB" w:rsidRDefault="007C0B5A" w:rsidP="00126681">
            <w:pPr>
              <w:pStyle w:val="TAC"/>
            </w:pPr>
            <w:r w:rsidRPr="00C64ECB">
              <w:t>bandwidth</w:t>
            </w:r>
          </w:p>
        </w:tc>
        <w:tc>
          <w:tcPr>
            <w:tcW w:w="1266" w:type="dxa"/>
            <w:vAlign w:val="center"/>
          </w:tcPr>
          <w:p w14:paraId="356E750A" w14:textId="77777777" w:rsidR="007C0B5A" w:rsidRPr="00C64ECB" w:rsidRDefault="007C0B5A" w:rsidP="00126681">
            <w:pPr>
              <w:pStyle w:val="TAC"/>
            </w:pPr>
            <w:r w:rsidRPr="00C64ECB">
              <w:rPr>
                <w:rFonts w:hint="eastAsia"/>
              </w:rPr>
              <w:t>19</w:t>
            </w:r>
            <w:r w:rsidRPr="00C64ECB">
              <w:t xml:space="preserve"> MHz</w:t>
            </w:r>
          </w:p>
        </w:tc>
        <w:tc>
          <w:tcPr>
            <w:tcW w:w="2411" w:type="dxa"/>
            <w:vAlign w:val="center"/>
          </w:tcPr>
          <w:p w14:paraId="698CD72C" w14:textId="77777777" w:rsidR="007C0B5A" w:rsidRPr="00C64ECB" w:rsidRDefault="007C0B5A" w:rsidP="00126681">
            <w:pPr>
              <w:pStyle w:val="TAC"/>
            </w:pPr>
            <w:r w:rsidRPr="00C64ECB">
              <w:rPr>
                <w:rFonts w:hint="eastAsia"/>
              </w:rPr>
              <w:t>38</w:t>
            </w:r>
            <w:r w:rsidRPr="00C64ECB">
              <w:t xml:space="preserve"> MHz</w:t>
            </w:r>
          </w:p>
        </w:tc>
        <w:tc>
          <w:tcPr>
            <w:tcW w:w="2261" w:type="dxa"/>
            <w:vAlign w:val="center"/>
          </w:tcPr>
          <w:p w14:paraId="5B27AB51" w14:textId="77777777" w:rsidR="007C0B5A" w:rsidRPr="00C64ECB" w:rsidRDefault="007C0B5A" w:rsidP="00126681">
            <w:pPr>
              <w:pStyle w:val="TAC"/>
            </w:pPr>
            <w:r w:rsidRPr="00C64ECB">
              <w:rPr>
                <w:rFonts w:hint="eastAsia"/>
              </w:rPr>
              <w:t>78</w:t>
            </w:r>
            <w:r w:rsidRPr="00C64ECB">
              <w:t xml:space="preserve"> MHz</w:t>
            </w:r>
          </w:p>
        </w:tc>
      </w:tr>
      <w:tr w:rsidR="007C0B5A" w:rsidRPr="00C64ECB" w14:paraId="37D5774D" w14:textId="77777777" w:rsidTr="00126681">
        <w:trPr>
          <w:jc w:val="center"/>
        </w:trPr>
        <w:tc>
          <w:tcPr>
            <w:tcW w:w="2818" w:type="dxa"/>
            <w:vAlign w:val="center"/>
          </w:tcPr>
          <w:p w14:paraId="1D393F0B" w14:textId="77777777" w:rsidR="007C0B5A" w:rsidRPr="00C64ECB" w:rsidRDefault="007C0B5A" w:rsidP="00126681">
            <w:pPr>
              <w:pStyle w:val="TAC"/>
            </w:pPr>
            <w:r w:rsidRPr="00C64ECB">
              <w:t>Adjacent channel centre frequency offset [MHz]</w:t>
            </w:r>
          </w:p>
        </w:tc>
        <w:tc>
          <w:tcPr>
            <w:tcW w:w="1266" w:type="dxa"/>
            <w:vAlign w:val="center"/>
          </w:tcPr>
          <w:p w14:paraId="3834563F" w14:textId="77777777" w:rsidR="007C0B5A" w:rsidRPr="00C64ECB" w:rsidRDefault="007C0B5A" w:rsidP="00126681">
            <w:pPr>
              <w:pStyle w:val="TAC"/>
            </w:pPr>
            <w:r w:rsidRPr="00C64ECB">
              <w:t>+</w:t>
            </w:r>
            <w:r w:rsidRPr="00C64ECB">
              <w:rPr>
                <w:rFonts w:hint="eastAsia"/>
              </w:rPr>
              <w:t>20</w:t>
            </w:r>
          </w:p>
          <w:p w14:paraId="4ADD9324" w14:textId="77777777" w:rsidR="007C0B5A" w:rsidRPr="00C64ECB" w:rsidRDefault="007C0B5A" w:rsidP="00126681">
            <w:pPr>
              <w:pStyle w:val="TAC"/>
            </w:pPr>
            <w:r w:rsidRPr="00C64ECB">
              <w:t>/</w:t>
            </w:r>
          </w:p>
          <w:p w14:paraId="3162A744" w14:textId="77777777" w:rsidR="007C0B5A" w:rsidRPr="00C64ECB" w:rsidRDefault="007C0B5A" w:rsidP="00126681">
            <w:pPr>
              <w:pStyle w:val="TAC"/>
            </w:pPr>
            <w:r w:rsidRPr="00C64ECB">
              <w:t>-</w:t>
            </w:r>
            <w:r w:rsidRPr="00C64ECB">
              <w:rPr>
                <w:rFonts w:hint="eastAsia"/>
              </w:rPr>
              <w:t>20</w:t>
            </w:r>
          </w:p>
        </w:tc>
        <w:tc>
          <w:tcPr>
            <w:tcW w:w="2411" w:type="dxa"/>
            <w:vAlign w:val="center"/>
          </w:tcPr>
          <w:p w14:paraId="30B7B7B7" w14:textId="77777777" w:rsidR="007C0B5A" w:rsidRPr="00C64ECB" w:rsidRDefault="007C0B5A" w:rsidP="00126681">
            <w:pPr>
              <w:pStyle w:val="TAC"/>
            </w:pPr>
            <w:r w:rsidRPr="00C64ECB">
              <w:t>+</w:t>
            </w:r>
            <w:r w:rsidRPr="00C64ECB">
              <w:rPr>
                <w:rFonts w:hint="eastAsia"/>
              </w:rPr>
              <w:t>40</w:t>
            </w:r>
          </w:p>
          <w:p w14:paraId="130FC36C" w14:textId="77777777" w:rsidR="007C0B5A" w:rsidRPr="00C64ECB" w:rsidRDefault="007C0B5A" w:rsidP="00126681">
            <w:pPr>
              <w:pStyle w:val="TAC"/>
            </w:pPr>
            <w:r w:rsidRPr="00C64ECB">
              <w:t>/</w:t>
            </w:r>
          </w:p>
          <w:p w14:paraId="5EC8B4D7" w14:textId="77777777" w:rsidR="007C0B5A" w:rsidRPr="00C64ECB" w:rsidRDefault="007C0B5A" w:rsidP="00126681">
            <w:pPr>
              <w:pStyle w:val="TAC"/>
            </w:pPr>
            <w:r w:rsidRPr="00C64ECB">
              <w:t>-</w:t>
            </w:r>
            <w:r w:rsidRPr="00C64ECB">
              <w:rPr>
                <w:rFonts w:hint="eastAsia"/>
              </w:rPr>
              <w:t>40</w:t>
            </w:r>
          </w:p>
        </w:tc>
        <w:tc>
          <w:tcPr>
            <w:tcW w:w="2261" w:type="dxa"/>
            <w:vAlign w:val="center"/>
          </w:tcPr>
          <w:p w14:paraId="54CE7532" w14:textId="77777777" w:rsidR="007C0B5A" w:rsidRPr="00C64ECB" w:rsidRDefault="007C0B5A" w:rsidP="00126681">
            <w:pPr>
              <w:pStyle w:val="TAC"/>
            </w:pPr>
            <w:r w:rsidRPr="00C64ECB">
              <w:t>+</w:t>
            </w:r>
            <w:r w:rsidRPr="00C64ECB">
              <w:rPr>
                <w:rFonts w:hint="eastAsia"/>
              </w:rPr>
              <w:t>80</w:t>
            </w:r>
          </w:p>
          <w:p w14:paraId="0F72D7E2" w14:textId="77777777" w:rsidR="007C0B5A" w:rsidRPr="00C64ECB" w:rsidRDefault="007C0B5A" w:rsidP="00126681">
            <w:pPr>
              <w:pStyle w:val="TAC"/>
            </w:pPr>
            <w:r w:rsidRPr="00C64ECB">
              <w:t>/</w:t>
            </w:r>
          </w:p>
          <w:p w14:paraId="43D0AEFA" w14:textId="77777777" w:rsidR="007C0B5A" w:rsidRPr="00C64ECB" w:rsidRDefault="007C0B5A" w:rsidP="00126681">
            <w:pPr>
              <w:pStyle w:val="TAC"/>
            </w:pPr>
            <w:r w:rsidRPr="00C64ECB">
              <w:t>-</w:t>
            </w:r>
            <w:r w:rsidRPr="00C64ECB">
              <w:rPr>
                <w:rFonts w:hint="eastAsia"/>
              </w:rPr>
              <w:t>80</w:t>
            </w:r>
          </w:p>
        </w:tc>
      </w:tr>
    </w:tbl>
    <w:p w14:paraId="134E8D95" w14:textId="77777777" w:rsidR="007C0B5A" w:rsidRPr="00C64ECB" w:rsidRDefault="007C0B5A" w:rsidP="007C0B5A"/>
    <w:p w14:paraId="479A40FB" w14:textId="77777777" w:rsidR="007C0B5A" w:rsidRPr="00C64ECB" w:rsidRDefault="007C0B5A" w:rsidP="007C0B5A">
      <w:pPr>
        <w:pStyle w:val="TH"/>
        <w:rPr>
          <w:rFonts w:cs="v5.0.0"/>
        </w:rPr>
      </w:pPr>
      <w:r w:rsidRPr="00C64ECB">
        <w:t>Table 4.</w:t>
      </w:r>
      <w:r w:rsidR="000D7B67" w:rsidRPr="00C64ECB">
        <w:t>1.</w:t>
      </w:r>
      <w:r w:rsidRPr="00C64ECB">
        <w:t>3.2.2-2:</w:t>
      </w:r>
      <w:r w:rsidRPr="00C64ECB">
        <w:rPr>
          <w:rFonts w:hint="eastAsia"/>
        </w:rPr>
        <w:t xml:space="preserve"> Adjacent Channel Leakage Ratio (ACLR) 2</w:t>
      </w:r>
    </w:p>
    <w:tbl>
      <w:tblPr>
        <w:tblW w:w="8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8"/>
        <w:gridCol w:w="1216"/>
        <w:gridCol w:w="2411"/>
        <w:gridCol w:w="2207"/>
      </w:tblGrid>
      <w:tr w:rsidR="007C0B5A" w:rsidRPr="00C64ECB" w14:paraId="1CF4E709" w14:textId="77777777" w:rsidTr="00126681">
        <w:trPr>
          <w:jc w:val="center"/>
        </w:trPr>
        <w:tc>
          <w:tcPr>
            <w:tcW w:w="2418" w:type="dxa"/>
          </w:tcPr>
          <w:p w14:paraId="03BBAB56" w14:textId="77777777" w:rsidR="007C0B5A" w:rsidRPr="00C64ECB" w:rsidRDefault="007C0B5A" w:rsidP="00126681">
            <w:pPr>
              <w:pStyle w:val="TAH"/>
            </w:pPr>
            <w:r w:rsidRPr="00C64ECB">
              <w:rPr>
                <w:rFonts w:hint="eastAsia"/>
              </w:rPr>
              <w:t>Occupied bandwidth</w:t>
            </w:r>
          </w:p>
        </w:tc>
        <w:tc>
          <w:tcPr>
            <w:tcW w:w="1216" w:type="dxa"/>
          </w:tcPr>
          <w:p w14:paraId="51A8C707" w14:textId="77777777" w:rsidR="007C0B5A" w:rsidRPr="00C64ECB" w:rsidRDefault="007C0B5A" w:rsidP="00126681">
            <w:pPr>
              <w:pStyle w:val="TAH"/>
            </w:pPr>
            <w:r w:rsidRPr="00C64ECB">
              <w:t>≤</w:t>
            </w:r>
            <w:r w:rsidRPr="00C64ECB">
              <w:rPr>
                <w:rFonts w:hint="eastAsia"/>
              </w:rPr>
              <w:t>19.7</w:t>
            </w:r>
            <w:r w:rsidRPr="00C64ECB">
              <w:t>MHz</w:t>
            </w:r>
          </w:p>
        </w:tc>
        <w:tc>
          <w:tcPr>
            <w:tcW w:w="2411" w:type="dxa"/>
          </w:tcPr>
          <w:p w14:paraId="52E827A4" w14:textId="77777777" w:rsidR="007C0B5A" w:rsidRPr="00C64ECB" w:rsidRDefault="007C0B5A" w:rsidP="00126681">
            <w:pPr>
              <w:pStyle w:val="TAH"/>
            </w:pPr>
            <w:r w:rsidRPr="00C64ECB">
              <w:t>&gt;</w:t>
            </w:r>
            <w:r w:rsidRPr="00C64ECB">
              <w:rPr>
                <w:rFonts w:hint="eastAsia"/>
              </w:rPr>
              <w:t xml:space="preserve"> 19.7MHz and </w:t>
            </w:r>
            <w:r w:rsidRPr="00C64ECB">
              <w:t>≤</w:t>
            </w:r>
            <w:r w:rsidRPr="00C64ECB">
              <w:rPr>
                <w:rFonts w:hint="eastAsia"/>
              </w:rPr>
              <w:t xml:space="preserve"> 38</w:t>
            </w:r>
            <w:r w:rsidRPr="00C64ECB">
              <w:t>MHz</w:t>
            </w:r>
          </w:p>
        </w:tc>
        <w:tc>
          <w:tcPr>
            <w:tcW w:w="2207" w:type="dxa"/>
          </w:tcPr>
          <w:p w14:paraId="2F459F16" w14:textId="77777777" w:rsidR="007C0B5A" w:rsidRPr="00C64ECB" w:rsidRDefault="007C0B5A" w:rsidP="00126681">
            <w:pPr>
              <w:pStyle w:val="TAH"/>
            </w:pPr>
            <w:r w:rsidRPr="00C64ECB">
              <w:t>&gt;</w:t>
            </w:r>
            <w:r w:rsidRPr="00C64ECB">
              <w:rPr>
                <w:rFonts w:hint="eastAsia"/>
              </w:rPr>
              <w:t xml:space="preserve"> 38MHz and </w:t>
            </w:r>
            <w:r w:rsidRPr="00C64ECB">
              <w:t>≤</w:t>
            </w:r>
            <w:r w:rsidRPr="00C64ECB">
              <w:rPr>
                <w:rFonts w:hint="eastAsia"/>
              </w:rPr>
              <w:t xml:space="preserve"> 78</w:t>
            </w:r>
            <w:r w:rsidRPr="00C64ECB">
              <w:t>MHz</w:t>
            </w:r>
          </w:p>
        </w:tc>
      </w:tr>
      <w:tr w:rsidR="007C0B5A" w:rsidRPr="00C64ECB" w14:paraId="018CF235" w14:textId="77777777" w:rsidTr="00126681">
        <w:trPr>
          <w:jc w:val="center"/>
        </w:trPr>
        <w:tc>
          <w:tcPr>
            <w:tcW w:w="2418" w:type="dxa"/>
            <w:vAlign w:val="center"/>
          </w:tcPr>
          <w:p w14:paraId="7A500827" w14:textId="77777777" w:rsidR="007C0B5A" w:rsidRPr="00C64ECB" w:rsidRDefault="007C0B5A" w:rsidP="00126681">
            <w:pPr>
              <w:pStyle w:val="TAC"/>
            </w:pPr>
            <w:r w:rsidRPr="00C64ECB">
              <w:rPr>
                <w:rFonts w:hint="eastAsia"/>
              </w:rPr>
              <w:t>ACLR 2</w:t>
            </w:r>
          </w:p>
        </w:tc>
        <w:tc>
          <w:tcPr>
            <w:tcW w:w="1216" w:type="dxa"/>
            <w:vAlign w:val="center"/>
          </w:tcPr>
          <w:p w14:paraId="6B55AFBC" w14:textId="77777777" w:rsidR="007C0B5A" w:rsidRPr="00C64ECB" w:rsidRDefault="007C0B5A" w:rsidP="00126681">
            <w:pPr>
              <w:pStyle w:val="TAC"/>
            </w:pPr>
            <w:r w:rsidRPr="00C64ECB">
              <w:rPr>
                <w:rFonts w:ascii="Cambria" w:hAnsi="Cambria" w:cs="Cambria"/>
              </w:rPr>
              <w:t xml:space="preserve">≥ </w:t>
            </w:r>
            <w:r w:rsidRPr="00C64ECB">
              <w:rPr>
                <w:rFonts w:hint="eastAsia"/>
              </w:rPr>
              <w:t>40</w:t>
            </w:r>
            <w:r w:rsidRPr="00C64ECB">
              <w:t xml:space="preserve"> dB</w:t>
            </w:r>
          </w:p>
        </w:tc>
        <w:tc>
          <w:tcPr>
            <w:tcW w:w="2411" w:type="dxa"/>
          </w:tcPr>
          <w:p w14:paraId="5143AAF8" w14:textId="77777777" w:rsidR="007C0B5A" w:rsidRPr="00C64ECB" w:rsidRDefault="007C0B5A" w:rsidP="00126681">
            <w:pPr>
              <w:pStyle w:val="TAC"/>
            </w:pPr>
            <w:r w:rsidRPr="00C64ECB">
              <w:rPr>
                <w:rFonts w:ascii="Cambria" w:hAnsi="Cambria" w:cs="Cambria"/>
              </w:rPr>
              <w:t xml:space="preserve">≥ </w:t>
            </w:r>
            <w:r w:rsidRPr="00C64ECB">
              <w:rPr>
                <w:rFonts w:hint="eastAsia"/>
              </w:rPr>
              <w:t>40</w:t>
            </w:r>
            <w:r w:rsidRPr="00C64ECB">
              <w:t xml:space="preserve"> dB</w:t>
            </w:r>
          </w:p>
        </w:tc>
        <w:tc>
          <w:tcPr>
            <w:tcW w:w="2207" w:type="dxa"/>
            <w:vAlign w:val="center"/>
          </w:tcPr>
          <w:p w14:paraId="2C02C6AF" w14:textId="77777777" w:rsidR="007C0B5A" w:rsidRPr="00C64ECB" w:rsidRDefault="007C0B5A" w:rsidP="00126681">
            <w:pPr>
              <w:pStyle w:val="TAC"/>
            </w:pPr>
            <w:r w:rsidRPr="00C64ECB">
              <w:rPr>
                <w:rFonts w:hint="eastAsia"/>
              </w:rPr>
              <w:t>-</w:t>
            </w:r>
          </w:p>
        </w:tc>
      </w:tr>
      <w:tr w:rsidR="007C0B5A" w:rsidRPr="00C64ECB" w14:paraId="6FC1384F" w14:textId="77777777" w:rsidTr="00126681">
        <w:trPr>
          <w:jc w:val="center"/>
        </w:trPr>
        <w:tc>
          <w:tcPr>
            <w:tcW w:w="2418" w:type="dxa"/>
            <w:vAlign w:val="center"/>
          </w:tcPr>
          <w:p w14:paraId="17348B70" w14:textId="77777777" w:rsidR="007C0B5A" w:rsidRPr="00C64ECB" w:rsidRDefault="007C0B5A" w:rsidP="00126681">
            <w:pPr>
              <w:pStyle w:val="TAC"/>
            </w:pPr>
            <w:r w:rsidRPr="00C64ECB">
              <w:t>Measurement</w:t>
            </w:r>
          </w:p>
          <w:p w14:paraId="55D5F34C" w14:textId="77777777" w:rsidR="007C0B5A" w:rsidRPr="00C64ECB" w:rsidRDefault="007C0B5A" w:rsidP="00126681">
            <w:pPr>
              <w:pStyle w:val="TAC"/>
            </w:pPr>
            <w:r w:rsidRPr="00C64ECB">
              <w:t>bandwidth</w:t>
            </w:r>
          </w:p>
        </w:tc>
        <w:tc>
          <w:tcPr>
            <w:tcW w:w="1216" w:type="dxa"/>
            <w:vAlign w:val="center"/>
          </w:tcPr>
          <w:p w14:paraId="0BE38504" w14:textId="77777777" w:rsidR="007C0B5A" w:rsidRPr="00C64ECB" w:rsidRDefault="007C0B5A" w:rsidP="00126681">
            <w:pPr>
              <w:pStyle w:val="TAC"/>
            </w:pPr>
            <w:r w:rsidRPr="00C64ECB">
              <w:rPr>
                <w:rFonts w:hint="eastAsia"/>
              </w:rPr>
              <w:t>19</w:t>
            </w:r>
            <w:r w:rsidRPr="00C64ECB">
              <w:t xml:space="preserve"> MHz</w:t>
            </w:r>
          </w:p>
        </w:tc>
        <w:tc>
          <w:tcPr>
            <w:tcW w:w="2411" w:type="dxa"/>
            <w:vAlign w:val="center"/>
          </w:tcPr>
          <w:p w14:paraId="32729085" w14:textId="77777777" w:rsidR="007C0B5A" w:rsidRPr="00C64ECB" w:rsidRDefault="007C0B5A" w:rsidP="00126681">
            <w:pPr>
              <w:pStyle w:val="TAC"/>
            </w:pPr>
            <w:r w:rsidRPr="00C64ECB">
              <w:rPr>
                <w:rFonts w:hint="eastAsia"/>
              </w:rPr>
              <w:t>38</w:t>
            </w:r>
            <w:r w:rsidRPr="00C64ECB">
              <w:t xml:space="preserve"> MHz</w:t>
            </w:r>
          </w:p>
        </w:tc>
        <w:tc>
          <w:tcPr>
            <w:tcW w:w="2207" w:type="dxa"/>
            <w:vAlign w:val="center"/>
          </w:tcPr>
          <w:p w14:paraId="701EFC48" w14:textId="77777777" w:rsidR="007C0B5A" w:rsidRPr="00C64ECB" w:rsidRDefault="007C0B5A" w:rsidP="00126681">
            <w:pPr>
              <w:pStyle w:val="TAC"/>
            </w:pPr>
            <w:r w:rsidRPr="00C64ECB">
              <w:rPr>
                <w:rFonts w:hint="eastAsia"/>
              </w:rPr>
              <w:t>-</w:t>
            </w:r>
          </w:p>
        </w:tc>
      </w:tr>
      <w:tr w:rsidR="007C0B5A" w:rsidRPr="00C64ECB" w14:paraId="3B2F1DDB" w14:textId="77777777" w:rsidTr="00126681">
        <w:trPr>
          <w:jc w:val="center"/>
        </w:trPr>
        <w:tc>
          <w:tcPr>
            <w:tcW w:w="2418" w:type="dxa"/>
            <w:vAlign w:val="center"/>
          </w:tcPr>
          <w:p w14:paraId="629A2D1A" w14:textId="77777777" w:rsidR="007C0B5A" w:rsidRPr="00C64ECB" w:rsidRDefault="007C0B5A" w:rsidP="00126681">
            <w:pPr>
              <w:pStyle w:val="TAC"/>
            </w:pPr>
            <w:r w:rsidRPr="00C64ECB">
              <w:t xml:space="preserve">Adjacent channel centre </w:t>
            </w:r>
          </w:p>
          <w:p w14:paraId="4FC128C5" w14:textId="77777777" w:rsidR="007C0B5A" w:rsidRPr="00C64ECB" w:rsidRDefault="007C0B5A" w:rsidP="00126681">
            <w:pPr>
              <w:pStyle w:val="TAC"/>
            </w:pPr>
            <w:r w:rsidRPr="00C64ECB">
              <w:t>frequency offset [MHz]</w:t>
            </w:r>
          </w:p>
        </w:tc>
        <w:tc>
          <w:tcPr>
            <w:tcW w:w="1216" w:type="dxa"/>
            <w:vAlign w:val="center"/>
          </w:tcPr>
          <w:p w14:paraId="4045DDBD" w14:textId="77777777" w:rsidR="007C0B5A" w:rsidRPr="00C64ECB" w:rsidRDefault="007C0B5A" w:rsidP="00126681">
            <w:pPr>
              <w:pStyle w:val="TAC"/>
            </w:pPr>
            <w:r w:rsidRPr="00C64ECB">
              <w:t>+</w:t>
            </w:r>
            <w:r w:rsidRPr="00C64ECB">
              <w:rPr>
                <w:rFonts w:hint="eastAsia"/>
              </w:rPr>
              <w:t>40</w:t>
            </w:r>
          </w:p>
          <w:p w14:paraId="53588323" w14:textId="77777777" w:rsidR="007C0B5A" w:rsidRPr="00C64ECB" w:rsidRDefault="007C0B5A" w:rsidP="00126681">
            <w:pPr>
              <w:pStyle w:val="TAC"/>
            </w:pPr>
            <w:r w:rsidRPr="00C64ECB">
              <w:t>/</w:t>
            </w:r>
          </w:p>
          <w:p w14:paraId="05ABA9A3" w14:textId="77777777" w:rsidR="007C0B5A" w:rsidRPr="00C64ECB" w:rsidRDefault="007C0B5A" w:rsidP="00126681">
            <w:pPr>
              <w:pStyle w:val="TAC"/>
            </w:pPr>
            <w:r w:rsidRPr="00C64ECB">
              <w:t>-</w:t>
            </w:r>
            <w:r w:rsidRPr="00C64ECB">
              <w:rPr>
                <w:rFonts w:hint="eastAsia"/>
              </w:rPr>
              <w:t>40</w:t>
            </w:r>
          </w:p>
        </w:tc>
        <w:tc>
          <w:tcPr>
            <w:tcW w:w="2411" w:type="dxa"/>
            <w:vAlign w:val="center"/>
          </w:tcPr>
          <w:p w14:paraId="2597967A" w14:textId="77777777" w:rsidR="007C0B5A" w:rsidRPr="00C64ECB" w:rsidRDefault="007C0B5A" w:rsidP="00126681">
            <w:pPr>
              <w:pStyle w:val="TAC"/>
            </w:pPr>
            <w:r w:rsidRPr="00C64ECB">
              <w:t>+</w:t>
            </w:r>
            <w:r w:rsidRPr="00C64ECB">
              <w:rPr>
                <w:rFonts w:hint="eastAsia"/>
              </w:rPr>
              <w:t>80</w:t>
            </w:r>
          </w:p>
          <w:p w14:paraId="43748C01" w14:textId="77777777" w:rsidR="007C0B5A" w:rsidRPr="00C64ECB" w:rsidRDefault="007C0B5A" w:rsidP="00126681">
            <w:pPr>
              <w:pStyle w:val="TAC"/>
            </w:pPr>
            <w:r w:rsidRPr="00C64ECB">
              <w:t>/</w:t>
            </w:r>
          </w:p>
          <w:p w14:paraId="692BD95A" w14:textId="77777777" w:rsidR="007C0B5A" w:rsidRPr="00C64ECB" w:rsidRDefault="007C0B5A" w:rsidP="00126681">
            <w:pPr>
              <w:pStyle w:val="TAC"/>
            </w:pPr>
            <w:r w:rsidRPr="00C64ECB">
              <w:t>-</w:t>
            </w:r>
            <w:r w:rsidRPr="00C64ECB">
              <w:rPr>
                <w:rFonts w:hint="eastAsia"/>
              </w:rPr>
              <w:t>80</w:t>
            </w:r>
          </w:p>
        </w:tc>
        <w:tc>
          <w:tcPr>
            <w:tcW w:w="2207" w:type="dxa"/>
            <w:vAlign w:val="center"/>
          </w:tcPr>
          <w:p w14:paraId="523E4D7A" w14:textId="77777777" w:rsidR="007C0B5A" w:rsidRPr="00C64ECB" w:rsidRDefault="007C0B5A" w:rsidP="00126681">
            <w:pPr>
              <w:pStyle w:val="TAC"/>
            </w:pPr>
            <w:r w:rsidRPr="00C64ECB">
              <w:rPr>
                <w:rFonts w:hint="eastAsia"/>
              </w:rPr>
              <w:t>-</w:t>
            </w:r>
          </w:p>
        </w:tc>
      </w:tr>
    </w:tbl>
    <w:p w14:paraId="199940EA" w14:textId="77777777" w:rsidR="007C0B5A" w:rsidRPr="00C64ECB" w:rsidRDefault="007C0B5A" w:rsidP="007C0B5A">
      <w:pPr>
        <w:rPr>
          <w:rFonts w:eastAsia="MS Mincho"/>
        </w:rPr>
      </w:pPr>
    </w:p>
    <w:p w14:paraId="275C0922" w14:textId="77777777" w:rsidR="007C0B5A" w:rsidRPr="00C64ECB" w:rsidRDefault="007C0B5A" w:rsidP="007C0B5A">
      <w:pPr>
        <w:rPr>
          <w:rFonts w:eastAsia="MS Mincho"/>
        </w:rPr>
      </w:pPr>
      <w:r w:rsidRPr="00C64ECB">
        <w:rPr>
          <w:rFonts w:eastAsia="MS Mincho"/>
        </w:rPr>
        <w:lastRenderedPageBreak/>
        <w:t xml:space="preserve">Occupied bandwidth </w:t>
      </w:r>
      <w:r w:rsidRPr="00C64ECB">
        <w:t>≤</w:t>
      </w:r>
      <w:r w:rsidRPr="00C64ECB">
        <w:rPr>
          <w:rFonts w:eastAsia="MS Mincho"/>
        </w:rPr>
        <w:t xml:space="preserve"> 19.7 MHz:</w:t>
      </w:r>
    </w:p>
    <w:p w14:paraId="10D712B4" w14:textId="77777777" w:rsidR="007C0B5A" w:rsidRPr="00C64ECB" w:rsidRDefault="007C0B5A" w:rsidP="007C0B5A">
      <w:pPr>
        <w:pStyle w:val="TH"/>
      </w:pPr>
      <w:r w:rsidRPr="00C64ECB">
        <w:t>Table 4.</w:t>
      </w:r>
      <w:r w:rsidR="000D7B67" w:rsidRPr="00C64ECB">
        <w:t>1.</w:t>
      </w:r>
      <w:r w:rsidRPr="00C64ECB">
        <w:t>3.2.2-3: SEM: Occupied bandwidth ≤ 19.7 MHz</w:t>
      </w:r>
    </w:p>
    <w:tbl>
      <w:tblPr>
        <w:tblW w:w="4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1"/>
        <w:gridCol w:w="2126"/>
      </w:tblGrid>
      <w:tr w:rsidR="007C0B5A" w:rsidRPr="00C64ECB" w14:paraId="71E36000" w14:textId="77777777" w:rsidTr="00126681">
        <w:trPr>
          <w:jc w:val="center"/>
        </w:trPr>
        <w:tc>
          <w:tcPr>
            <w:tcW w:w="1971" w:type="dxa"/>
          </w:tcPr>
          <w:p w14:paraId="25F54375" w14:textId="77777777" w:rsidR="007C0B5A" w:rsidRPr="00C64ECB" w:rsidRDefault="007C0B5A" w:rsidP="00126681">
            <w:pPr>
              <w:pStyle w:val="TAH"/>
            </w:pPr>
            <w:r w:rsidRPr="00C64ECB">
              <w:rPr>
                <w:rFonts w:hint="eastAsia"/>
              </w:rPr>
              <w:t>Frequency range(f)</w:t>
            </w:r>
          </w:p>
          <w:p w14:paraId="4D299E98" w14:textId="77777777" w:rsidR="007C0B5A" w:rsidRPr="00C64ECB" w:rsidRDefault="007C0B5A" w:rsidP="00126681">
            <w:pPr>
              <w:pStyle w:val="TAH"/>
            </w:pPr>
            <w:r w:rsidRPr="00C64ECB">
              <w:rPr>
                <w:rFonts w:hint="eastAsia"/>
              </w:rPr>
              <w:t>(MHz)</w:t>
            </w:r>
          </w:p>
        </w:tc>
        <w:tc>
          <w:tcPr>
            <w:tcW w:w="2126" w:type="dxa"/>
          </w:tcPr>
          <w:p w14:paraId="50B604CF" w14:textId="77777777" w:rsidR="007C0B5A" w:rsidRPr="00C64ECB" w:rsidRDefault="007C0B5A" w:rsidP="00126681">
            <w:pPr>
              <w:pStyle w:val="TAH"/>
            </w:pPr>
            <w:r w:rsidRPr="00C64ECB">
              <w:rPr>
                <w:rFonts w:hint="eastAsia"/>
              </w:rPr>
              <w:t>e.i.r.p/MHz</w:t>
            </w:r>
          </w:p>
        </w:tc>
      </w:tr>
      <w:tr w:rsidR="007C0B5A" w:rsidRPr="00C64ECB" w14:paraId="4C50BDBF" w14:textId="77777777" w:rsidTr="00126681">
        <w:trPr>
          <w:jc w:val="center"/>
        </w:trPr>
        <w:tc>
          <w:tcPr>
            <w:tcW w:w="1971" w:type="dxa"/>
            <w:vAlign w:val="center"/>
          </w:tcPr>
          <w:p w14:paraId="3AE6C1EF" w14:textId="77777777" w:rsidR="007C0B5A" w:rsidRPr="00C64ECB" w:rsidRDefault="007C0B5A" w:rsidP="00126681">
            <w:pPr>
              <w:pStyle w:val="TAC"/>
            </w:pPr>
            <w:r w:rsidRPr="00C64ECB">
              <w:rPr>
                <w:rFonts w:hint="eastAsia"/>
              </w:rPr>
              <w:t xml:space="preserve">5455 </w:t>
            </w:r>
            <w:r w:rsidRPr="00C64ECB">
              <w:t>≤</w:t>
            </w:r>
            <w:r w:rsidRPr="00C64ECB">
              <w:rPr>
                <w:rFonts w:hint="eastAsia"/>
              </w:rPr>
              <w:t xml:space="preserve"> f </w:t>
            </w:r>
            <w:r w:rsidRPr="00C64ECB">
              <w:t>≤</w:t>
            </w:r>
            <w:r w:rsidRPr="00C64ECB">
              <w:rPr>
                <w:rFonts w:hint="eastAsia"/>
              </w:rPr>
              <w:t xml:space="preserve"> 5460</w:t>
            </w:r>
          </w:p>
        </w:tc>
        <w:tc>
          <w:tcPr>
            <w:tcW w:w="2126" w:type="dxa"/>
            <w:vAlign w:val="center"/>
          </w:tcPr>
          <w:p w14:paraId="41AAB0E3"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r w:rsidR="007C0B5A" w:rsidRPr="00C64ECB" w14:paraId="4E56F650" w14:textId="77777777" w:rsidTr="00126681">
        <w:trPr>
          <w:jc w:val="center"/>
        </w:trPr>
        <w:tc>
          <w:tcPr>
            <w:tcW w:w="1971" w:type="dxa"/>
            <w:vAlign w:val="center"/>
          </w:tcPr>
          <w:p w14:paraId="508C1497" w14:textId="77777777" w:rsidR="007C0B5A" w:rsidRPr="00C64ECB" w:rsidRDefault="007C0B5A" w:rsidP="00126681">
            <w:pPr>
              <w:pStyle w:val="TAC"/>
            </w:pPr>
            <w:r w:rsidRPr="00C64ECB">
              <w:rPr>
                <w:rFonts w:hint="eastAsia"/>
              </w:rPr>
              <w:t xml:space="preserve">5460 </w:t>
            </w:r>
            <w:r w:rsidRPr="00C64ECB">
              <w:t>&lt;</w:t>
            </w:r>
            <w:r w:rsidRPr="00C64ECB">
              <w:rPr>
                <w:rFonts w:hint="eastAsia"/>
              </w:rPr>
              <w:t xml:space="preserve"> f </w:t>
            </w:r>
            <w:r w:rsidRPr="00C64ECB">
              <w:t>≤</w:t>
            </w:r>
            <w:r w:rsidRPr="00C64ECB">
              <w:rPr>
                <w:rFonts w:hint="eastAsia"/>
              </w:rPr>
              <w:t xml:space="preserve"> 5470</w:t>
            </w:r>
          </w:p>
        </w:tc>
        <w:tc>
          <w:tcPr>
            <w:tcW w:w="2126" w:type="dxa"/>
            <w:vAlign w:val="center"/>
          </w:tcPr>
          <w:p w14:paraId="28FEB448" w14:textId="77777777" w:rsidR="007C0B5A" w:rsidRPr="00C64ECB" w:rsidRDefault="007C0B5A" w:rsidP="00126681">
            <w:pPr>
              <w:pStyle w:val="TAC"/>
            </w:pPr>
            <w:r w:rsidRPr="00C64ECB">
              <w:t>≤</w:t>
            </w:r>
            <w:r w:rsidRPr="00C64ECB">
              <w:rPr>
                <w:rFonts w:hint="eastAsia"/>
              </w:rPr>
              <w:t xml:space="preserve"> 12.5 </w:t>
            </w:r>
            <w:r w:rsidRPr="00C64ECB">
              <w:rPr>
                <w:rFonts w:ascii="Symbol" w:hAnsi="Symbol"/>
              </w:rPr>
              <w:t></w:t>
            </w:r>
            <w:r w:rsidRPr="00C64ECB">
              <w:rPr>
                <w:rFonts w:hint="eastAsia"/>
              </w:rPr>
              <w:t>W</w:t>
            </w:r>
            <w:r w:rsidRPr="00C64ECB" w:rsidDel="006F188B">
              <w:rPr>
                <w:rFonts w:hint="eastAsia"/>
              </w:rPr>
              <w:t xml:space="preserve"> </w:t>
            </w:r>
          </w:p>
        </w:tc>
      </w:tr>
      <w:tr w:rsidR="007C0B5A" w:rsidRPr="00C64ECB" w14:paraId="5CF2ABCD" w14:textId="77777777" w:rsidTr="00126681">
        <w:trPr>
          <w:jc w:val="center"/>
        </w:trPr>
        <w:tc>
          <w:tcPr>
            <w:tcW w:w="1971" w:type="dxa"/>
            <w:vAlign w:val="center"/>
          </w:tcPr>
          <w:p w14:paraId="793431D4" w14:textId="77777777" w:rsidR="007C0B5A" w:rsidRPr="00C64ECB" w:rsidRDefault="007C0B5A" w:rsidP="00126681">
            <w:pPr>
              <w:pStyle w:val="TAC"/>
            </w:pPr>
            <w:r w:rsidRPr="00C64ECB">
              <w:rPr>
                <w:rFonts w:hint="eastAsia"/>
              </w:rPr>
              <w:t xml:space="preserve">5725 </w:t>
            </w:r>
            <w:r w:rsidRPr="00C64ECB">
              <w:t>≤</w:t>
            </w:r>
            <w:r w:rsidRPr="00C64ECB">
              <w:rPr>
                <w:rFonts w:hint="eastAsia"/>
              </w:rPr>
              <w:t xml:space="preserve"> f </w:t>
            </w:r>
            <w:r w:rsidRPr="00C64ECB">
              <w:t>&lt;</w:t>
            </w:r>
            <w:r w:rsidRPr="00C64ECB">
              <w:rPr>
                <w:rFonts w:hint="eastAsia"/>
              </w:rPr>
              <w:t xml:space="preserve"> 5740</w:t>
            </w:r>
          </w:p>
        </w:tc>
        <w:tc>
          <w:tcPr>
            <w:tcW w:w="2126" w:type="dxa"/>
            <w:vAlign w:val="center"/>
          </w:tcPr>
          <w:p w14:paraId="626878E4" w14:textId="77777777" w:rsidR="007C0B5A" w:rsidRPr="00C64ECB" w:rsidRDefault="007C0B5A" w:rsidP="00126681">
            <w:pPr>
              <w:pStyle w:val="TAC"/>
            </w:pPr>
            <w:r w:rsidRPr="00C64ECB">
              <w:t>≤</w:t>
            </w:r>
            <w:r w:rsidRPr="00C64ECB">
              <w:rPr>
                <w:rFonts w:hint="eastAsia"/>
              </w:rPr>
              <w:t xml:space="preserve"> 12.5 </w:t>
            </w:r>
            <w:r w:rsidRPr="00C64ECB">
              <w:rPr>
                <w:rFonts w:ascii="Symbol" w:hAnsi="Symbol"/>
              </w:rPr>
              <w:t></w:t>
            </w:r>
            <w:r w:rsidRPr="00C64ECB">
              <w:rPr>
                <w:rFonts w:hint="eastAsia"/>
              </w:rPr>
              <w:t>W</w:t>
            </w:r>
          </w:p>
        </w:tc>
      </w:tr>
      <w:tr w:rsidR="007C0B5A" w:rsidRPr="00C64ECB" w14:paraId="70782BE5" w14:textId="77777777" w:rsidTr="00126681">
        <w:trPr>
          <w:jc w:val="center"/>
        </w:trPr>
        <w:tc>
          <w:tcPr>
            <w:tcW w:w="1971" w:type="dxa"/>
            <w:vAlign w:val="center"/>
          </w:tcPr>
          <w:p w14:paraId="64B5C3AB" w14:textId="77777777" w:rsidR="007C0B5A" w:rsidRPr="00C64ECB" w:rsidRDefault="007C0B5A" w:rsidP="00126681">
            <w:pPr>
              <w:pStyle w:val="TAC"/>
            </w:pPr>
            <w:r w:rsidRPr="00C64ECB">
              <w:rPr>
                <w:rFonts w:hint="eastAsia"/>
              </w:rPr>
              <w:t xml:space="preserve">5740 </w:t>
            </w:r>
            <w:r w:rsidRPr="00C64ECB">
              <w:t>≤</w:t>
            </w:r>
            <w:r w:rsidRPr="00C64ECB">
              <w:rPr>
                <w:rFonts w:hint="eastAsia"/>
              </w:rPr>
              <w:t xml:space="preserve"> f </w:t>
            </w:r>
            <w:r w:rsidRPr="00C64ECB">
              <w:t>≤</w:t>
            </w:r>
            <w:r w:rsidRPr="00C64ECB">
              <w:rPr>
                <w:rFonts w:hint="eastAsia"/>
              </w:rPr>
              <w:t xml:space="preserve"> 5745</w:t>
            </w:r>
          </w:p>
        </w:tc>
        <w:tc>
          <w:tcPr>
            <w:tcW w:w="2126" w:type="dxa"/>
            <w:vAlign w:val="center"/>
          </w:tcPr>
          <w:p w14:paraId="2C205C0D" w14:textId="77777777" w:rsidR="007C0B5A" w:rsidRPr="00C64ECB" w:rsidRDefault="007C0B5A" w:rsidP="00126681">
            <w:pPr>
              <w:pStyle w:val="TAC"/>
            </w:pPr>
            <w:r w:rsidRPr="00C64ECB">
              <w:t>≤</w:t>
            </w:r>
            <w:r w:rsidRPr="00C64ECB">
              <w:rPr>
                <w:rFonts w:hint="eastAsia"/>
              </w:rPr>
              <w:t xml:space="preserve"> 2.5 </w:t>
            </w:r>
            <w:r w:rsidRPr="00C64ECB">
              <w:rPr>
                <w:rFonts w:ascii="Symbol" w:hAnsi="Symbol"/>
              </w:rPr>
              <w:t></w:t>
            </w:r>
            <w:r w:rsidRPr="00C64ECB">
              <w:rPr>
                <w:rFonts w:hint="eastAsia"/>
              </w:rPr>
              <w:t>W</w:t>
            </w:r>
          </w:p>
        </w:tc>
      </w:tr>
    </w:tbl>
    <w:p w14:paraId="4D38F3D7" w14:textId="77777777" w:rsidR="007C0B5A" w:rsidRPr="00C64ECB" w:rsidRDefault="007C0B5A" w:rsidP="007C0B5A"/>
    <w:p w14:paraId="1CEF5E7E" w14:textId="77777777" w:rsidR="007C0B5A" w:rsidRPr="00C64ECB" w:rsidRDefault="007C0B5A" w:rsidP="007C0B5A">
      <w:pPr>
        <w:rPr>
          <w:rFonts w:eastAsia="MS Mincho"/>
        </w:rPr>
      </w:pPr>
      <w:r w:rsidRPr="00C64ECB">
        <w:rPr>
          <w:rFonts w:eastAsia="MS Mincho"/>
        </w:rPr>
        <w:t xml:space="preserve">19.7 MHz </w:t>
      </w:r>
      <w:r w:rsidRPr="00C64ECB">
        <w:t>&lt;</w:t>
      </w:r>
      <w:r w:rsidRPr="00C64ECB">
        <w:rPr>
          <w:rFonts w:eastAsia="MS Mincho"/>
        </w:rPr>
        <w:t xml:space="preserve"> Occupied bandwidth </w:t>
      </w:r>
      <w:r w:rsidRPr="00C64ECB">
        <w:t>≤</w:t>
      </w:r>
      <w:r w:rsidRPr="00C64ECB">
        <w:rPr>
          <w:rFonts w:eastAsia="MS Mincho"/>
        </w:rPr>
        <w:t xml:space="preserve"> 38 MHz:</w:t>
      </w:r>
    </w:p>
    <w:p w14:paraId="2608C405" w14:textId="77777777" w:rsidR="007C0B5A" w:rsidRPr="00C64ECB" w:rsidRDefault="007C0B5A" w:rsidP="007C0B5A">
      <w:pPr>
        <w:pStyle w:val="TH"/>
      </w:pPr>
      <w:r w:rsidRPr="00C64ECB">
        <w:t>Table 4.</w:t>
      </w:r>
      <w:r w:rsidR="000D7B67" w:rsidRPr="00C64ECB">
        <w:t>1.</w:t>
      </w:r>
      <w:r w:rsidRPr="00C64ECB">
        <w:t>3.2.2-4: SEM: 19.7 MHz &lt; Occupied bandwidth ≤ 38 MHz</w:t>
      </w:r>
    </w:p>
    <w:tbl>
      <w:tblPr>
        <w:tblW w:w="4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1"/>
        <w:gridCol w:w="2126"/>
      </w:tblGrid>
      <w:tr w:rsidR="007C0B5A" w:rsidRPr="00C64ECB" w14:paraId="404E5C32" w14:textId="77777777" w:rsidTr="00126681">
        <w:trPr>
          <w:jc w:val="center"/>
        </w:trPr>
        <w:tc>
          <w:tcPr>
            <w:tcW w:w="1971" w:type="dxa"/>
          </w:tcPr>
          <w:p w14:paraId="3954A8CB" w14:textId="77777777" w:rsidR="007C0B5A" w:rsidRPr="00C64ECB" w:rsidRDefault="007C0B5A" w:rsidP="00126681">
            <w:pPr>
              <w:pStyle w:val="TAH"/>
            </w:pPr>
            <w:r w:rsidRPr="00C64ECB">
              <w:rPr>
                <w:rFonts w:hint="eastAsia"/>
              </w:rPr>
              <w:t>Frequency range(f)</w:t>
            </w:r>
          </w:p>
          <w:p w14:paraId="7FDC3754" w14:textId="77777777" w:rsidR="007C0B5A" w:rsidRPr="00C64ECB" w:rsidRDefault="007C0B5A" w:rsidP="00126681">
            <w:pPr>
              <w:pStyle w:val="TAH"/>
            </w:pPr>
            <w:r w:rsidRPr="00C64ECB">
              <w:rPr>
                <w:rFonts w:hint="eastAsia"/>
              </w:rPr>
              <w:t>(MHz)</w:t>
            </w:r>
          </w:p>
        </w:tc>
        <w:tc>
          <w:tcPr>
            <w:tcW w:w="2126" w:type="dxa"/>
          </w:tcPr>
          <w:p w14:paraId="3E438B93" w14:textId="77777777" w:rsidR="007C0B5A" w:rsidRPr="00C64ECB" w:rsidRDefault="007C0B5A" w:rsidP="00126681">
            <w:pPr>
              <w:pStyle w:val="TAH"/>
            </w:pPr>
            <w:r w:rsidRPr="00C64ECB">
              <w:rPr>
                <w:rFonts w:hint="eastAsia"/>
              </w:rPr>
              <w:t>e.i.r.p/MHz</w:t>
            </w:r>
          </w:p>
        </w:tc>
      </w:tr>
      <w:tr w:rsidR="007C0B5A" w:rsidRPr="00C64ECB" w14:paraId="5BE6A1DC" w14:textId="77777777" w:rsidTr="00126681">
        <w:trPr>
          <w:jc w:val="center"/>
        </w:trPr>
        <w:tc>
          <w:tcPr>
            <w:tcW w:w="1971" w:type="dxa"/>
            <w:vAlign w:val="center"/>
          </w:tcPr>
          <w:p w14:paraId="1933C32E" w14:textId="77777777" w:rsidR="007C0B5A" w:rsidRPr="00C64ECB" w:rsidRDefault="007C0B5A" w:rsidP="00126681">
            <w:pPr>
              <w:pStyle w:val="TAC"/>
            </w:pPr>
            <w:r w:rsidRPr="00C64ECB">
              <w:rPr>
                <w:rFonts w:hint="eastAsia"/>
              </w:rPr>
              <w:t xml:space="preserve">5420 </w:t>
            </w:r>
            <w:r w:rsidRPr="00C64ECB">
              <w:t>≤</w:t>
            </w:r>
            <w:r w:rsidRPr="00C64ECB">
              <w:rPr>
                <w:rFonts w:hint="eastAsia"/>
              </w:rPr>
              <w:t xml:space="preserve"> f </w:t>
            </w:r>
            <w:r w:rsidRPr="00C64ECB">
              <w:t>≤</w:t>
            </w:r>
            <w:r w:rsidRPr="00C64ECB">
              <w:rPr>
                <w:rFonts w:hint="eastAsia"/>
              </w:rPr>
              <w:t xml:space="preserve"> 5460</w:t>
            </w:r>
          </w:p>
        </w:tc>
        <w:tc>
          <w:tcPr>
            <w:tcW w:w="2126" w:type="dxa"/>
            <w:vAlign w:val="center"/>
          </w:tcPr>
          <w:p w14:paraId="71D38D74" w14:textId="77777777" w:rsidR="007C0B5A" w:rsidRPr="00C64ECB" w:rsidRDefault="007C0B5A" w:rsidP="00126681">
            <w:pPr>
              <w:pStyle w:val="TAC"/>
            </w:pPr>
            <w:r w:rsidRPr="00C64ECB">
              <w:t>≤</w:t>
            </w:r>
            <w:r w:rsidRPr="00C64ECB">
              <w:rPr>
                <w:rFonts w:hint="eastAsia"/>
              </w:rPr>
              <w:t xml:space="preserve"> 12.5 </w:t>
            </w:r>
            <w:r w:rsidRPr="00C64ECB">
              <w:rPr>
                <w:rFonts w:ascii="Symbol" w:hAnsi="Symbol"/>
              </w:rPr>
              <w:t></w:t>
            </w:r>
            <w:r w:rsidRPr="00C64ECB">
              <w:rPr>
                <w:rFonts w:hint="eastAsia"/>
              </w:rPr>
              <w:t>W</w:t>
            </w:r>
          </w:p>
        </w:tc>
      </w:tr>
      <w:tr w:rsidR="007C0B5A" w:rsidRPr="00C64ECB" w14:paraId="700F19BD" w14:textId="77777777" w:rsidTr="00126681">
        <w:trPr>
          <w:jc w:val="center"/>
        </w:trPr>
        <w:tc>
          <w:tcPr>
            <w:tcW w:w="1971" w:type="dxa"/>
            <w:vAlign w:val="center"/>
          </w:tcPr>
          <w:p w14:paraId="39DC658A" w14:textId="77777777" w:rsidR="007C0B5A" w:rsidRPr="00C64ECB" w:rsidRDefault="007C0B5A" w:rsidP="00126681">
            <w:pPr>
              <w:pStyle w:val="TAC"/>
            </w:pPr>
            <w:r w:rsidRPr="00C64ECB">
              <w:rPr>
                <w:rFonts w:hint="eastAsia"/>
              </w:rPr>
              <w:t xml:space="preserve">5460 </w:t>
            </w:r>
            <w:r w:rsidRPr="00C64ECB">
              <w:t>&lt;</w:t>
            </w:r>
            <w:r w:rsidRPr="00C64ECB">
              <w:rPr>
                <w:rFonts w:hint="eastAsia"/>
              </w:rPr>
              <w:t xml:space="preserve"> f </w:t>
            </w:r>
            <w:r w:rsidRPr="00C64ECB">
              <w:t>≤</w:t>
            </w:r>
            <w:r w:rsidRPr="00C64ECB">
              <w:rPr>
                <w:rFonts w:hint="eastAsia"/>
              </w:rPr>
              <w:t xml:space="preserve"> 5470</w:t>
            </w:r>
          </w:p>
        </w:tc>
        <w:tc>
          <w:tcPr>
            <w:tcW w:w="2126" w:type="dxa"/>
            <w:vAlign w:val="center"/>
          </w:tcPr>
          <w:p w14:paraId="57303932" w14:textId="77777777" w:rsidR="007C0B5A" w:rsidRPr="00C64ECB" w:rsidRDefault="007C0B5A" w:rsidP="00126681">
            <w:pPr>
              <w:pStyle w:val="TAC"/>
            </w:pPr>
            <w:r w:rsidRPr="00C64ECB">
              <w:t>≤</w:t>
            </w:r>
            <w:r w:rsidRPr="00C64ECB">
              <w:rPr>
                <w:rFonts w:hint="eastAsia"/>
              </w:rPr>
              <w:t xml:space="preserve"> 50 </w:t>
            </w:r>
            <w:r w:rsidRPr="00C64ECB">
              <w:rPr>
                <w:rFonts w:ascii="Symbol" w:hAnsi="Symbol"/>
              </w:rPr>
              <w:t></w:t>
            </w:r>
            <w:r w:rsidRPr="00C64ECB">
              <w:rPr>
                <w:rFonts w:hint="eastAsia"/>
              </w:rPr>
              <w:t>W</w:t>
            </w:r>
          </w:p>
        </w:tc>
      </w:tr>
      <w:tr w:rsidR="007C0B5A" w:rsidRPr="00C64ECB" w14:paraId="3D218717" w14:textId="77777777" w:rsidTr="00126681">
        <w:trPr>
          <w:jc w:val="center"/>
        </w:trPr>
        <w:tc>
          <w:tcPr>
            <w:tcW w:w="1971" w:type="dxa"/>
            <w:vAlign w:val="center"/>
          </w:tcPr>
          <w:p w14:paraId="0E5B5B0E" w14:textId="77777777" w:rsidR="007C0B5A" w:rsidRPr="00C64ECB" w:rsidRDefault="007C0B5A" w:rsidP="00126681">
            <w:pPr>
              <w:pStyle w:val="TAC"/>
            </w:pPr>
            <w:r w:rsidRPr="00C64ECB">
              <w:rPr>
                <w:rFonts w:hint="eastAsia"/>
              </w:rPr>
              <w:t xml:space="preserve">5725 </w:t>
            </w:r>
            <w:r w:rsidRPr="00C64ECB">
              <w:t>≤</w:t>
            </w:r>
            <w:r w:rsidRPr="00C64ECB">
              <w:rPr>
                <w:rFonts w:hint="eastAsia"/>
              </w:rPr>
              <w:t xml:space="preserve"> f </w:t>
            </w:r>
            <w:r w:rsidRPr="00C64ECB">
              <w:t>≤</w:t>
            </w:r>
            <w:r w:rsidRPr="00C64ECB">
              <w:rPr>
                <w:rFonts w:hint="eastAsia"/>
              </w:rPr>
              <w:t xml:space="preserve"> 5760</w:t>
            </w:r>
          </w:p>
        </w:tc>
        <w:tc>
          <w:tcPr>
            <w:tcW w:w="2126" w:type="dxa"/>
            <w:vAlign w:val="center"/>
          </w:tcPr>
          <w:p w14:paraId="61C0D112" w14:textId="77777777" w:rsidR="007C0B5A" w:rsidRPr="00C64ECB" w:rsidRDefault="007C0B5A" w:rsidP="00126681">
            <w:pPr>
              <w:pStyle w:val="TAC"/>
            </w:pPr>
            <w:r w:rsidRPr="00C64ECB">
              <w:t>≤</w:t>
            </w:r>
            <w:r w:rsidRPr="00C64ECB">
              <w:rPr>
                <w:rFonts w:hint="eastAsia"/>
              </w:rPr>
              <w:t xml:space="preserve"> 12.5 </w:t>
            </w:r>
            <w:r w:rsidRPr="00C64ECB">
              <w:rPr>
                <w:rFonts w:ascii="Symbol" w:hAnsi="Symbol"/>
              </w:rPr>
              <w:t></w:t>
            </w:r>
            <w:r w:rsidRPr="00C64ECB">
              <w:rPr>
                <w:rFonts w:hint="eastAsia"/>
              </w:rPr>
              <w:t>W</w:t>
            </w:r>
          </w:p>
        </w:tc>
      </w:tr>
    </w:tbl>
    <w:p w14:paraId="4A48583E" w14:textId="77777777" w:rsidR="007C0B5A" w:rsidRPr="00C64ECB" w:rsidRDefault="007C0B5A" w:rsidP="007C0B5A">
      <w:pPr>
        <w:keepNext/>
        <w:keepLines/>
        <w:spacing w:before="60"/>
        <w:jc w:val="center"/>
      </w:pPr>
    </w:p>
    <w:p w14:paraId="546E2906" w14:textId="77777777" w:rsidR="007C0B5A" w:rsidRPr="00C64ECB" w:rsidRDefault="007C0B5A" w:rsidP="007C0B5A">
      <w:pPr>
        <w:rPr>
          <w:rFonts w:eastAsia="MS Mincho"/>
        </w:rPr>
      </w:pPr>
      <w:r w:rsidRPr="00C64ECB">
        <w:rPr>
          <w:rFonts w:eastAsia="MS Mincho"/>
        </w:rPr>
        <w:t xml:space="preserve">38 MHz </w:t>
      </w:r>
      <w:r w:rsidRPr="00C64ECB">
        <w:t>&lt;</w:t>
      </w:r>
      <w:r w:rsidRPr="00C64ECB">
        <w:rPr>
          <w:rFonts w:eastAsia="MS Mincho"/>
        </w:rPr>
        <w:t xml:space="preserve"> Occupied bandwidth </w:t>
      </w:r>
      <w:r w:rsidRPr="00C64ECB">
        <w:t>≤</w:t>
      </w:r>
      <w:r w:rsidRPr="00C64ECB">
        <w:rPr>
          <w:rFonts w:eastAsia="MS Mincho"/>
        </w:rPr>
        <w:t xml:space="preserve"> 78 MHz:</w:t>
      </w:r>
    </w:p>
    <w:p w14:paraId="2128B79A" w14:textId="77777777" w:rsidR="007C0B5A" w:rsidRPr="00C64ECB" w:rsidRDefault="007C0B5A" w:rsidP="007C0B5A">
      <w:pPr>
        <w:pStyle w:val="TH"/>
      </w:pPr>
      <w:r w:rsidRPr="00C64ECB">
        <w:t>Table 4.</w:t>
      </w:r>
      <w:r w:rsidR="000D7B67" w:rsidRPr="00C64ECB">
        <w:t>1.</w:t>
      </w:r>
      <w:r w:rsidRPr="00C64ECB">
        <w:t>3.2.2-5: SEM: 38 MHz &lt; Occupied bandwidth ≤ 78 MHz</w:t>
      </w:r>
    </w:p>
    <w:tbl>
      <w:tblPr>
        <w:tblW w:w="4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1"/>
        <w:gridCol w:w="2126"/>
      </w:tblGrid>
      <w:tr w:rsidR="007C0B5A" w:rsidRPr="00C64ECB" w14:paraId="13D8AE4B" w14:textId="77777777" w:rsidTr="00126681">
        <w:trPr>
          <w:jc w:val="center"/>
        </w:trPr>
        <w:tc>
          <w:tcPr>
            <w:tcW w:w="1971" w:type="dxa"/>
          </w:tcPr>
          <w:p w14:paraId="3218626B" w14:textId="77777777" w:rsidR="007C0B5A" w:rsidRPr="00C64ECB" w:rsidRDefault="007C0B5A" w:rsidP="00126681">
            <w:pPr>
              <w:pStyle w:val="TAH"/>
            </w:pPr>
            <w:r w:rsidRPr="00C64ECB">
              <w:rPr>
                <w:rFonts w:hint="eastAsia"/>
              </w:rPr>
              <w:t>Frequency range(f)</w:t>
            </w:r>
          </w:p>
          <w:p w14:paraId="6C8463AF" w14:textId="77777777" w:rsidR="007C0B5A" w:rsidRPr="00C64ECB" w:rsidRDefault="007C0B5A" w:rsidP="00126681">
            <w:pPr>
              <w:pStyle w:val="TAH"/>
            </w:pPr>
            <w:r w:rsidRPr="00C64ECB">
              <w:rPr>
                <w:rFonts w:hint="eastAsia"/>
              </w:rPr>
              <w:t>(MHz)</w:t>
            </w:r>
          </w:p>
        </w:tc>
        <w:tc>
          <w:tcPr>
            <w:tcW w:w="2126" w:type="dxa"/>
          </w:tcPr>
          <w:p w14:paraId="2DF10EFC" w14:textId="77777777" w:rsidR="007C0B5A" w:rsidRPr="00C64ECB" w:rsidRDefault="007C0B5A" w:rsidP="00126681">
            <w:pPr>
              <w:pStyle w:val="TAH"/>
            </w:pPr>
            <w:r w:rsidRPr="00C64ECB">
              <w:rPr>
                <w:rFonts w:hint="eastAsia"/>
              </w:rPr>
              <w:t>e.i.r.p/MHz</w:t>
            </w:r>
          </w:p>
        </w:tc>
      </w:tr>
      <w:tr w:rsidR="007C0B5A" w:rsidRPr="00C64ECB" w14:paraId="23E1C6D3" w14:textId="77777777" w:rsidTr="00126681">
        <w:trPr>
          <w:jc w:val="center"/>
        </w:trPr>
        <w:tc>
          <w:tcPr>
            <w:tcW w:w="1971" w:type="dxa"/>
            <w:vAlign w:val="center"/>
          </w:tcPr>
          <w:p w14:paraId="7AA3376D" w14:textId="77777777" w:rsidR="007C0B5A" w:rsidRPr="00C64ECB" w:rsidRDefault="007C0B5A" w:rsidP="00126681">
            <w:pPr>
              <w:pStyle w:val="TAC"/>
            </w:pPr>
            <w:r w:rsidRPr="00C64ECB">
              <w:rPr>
                <w:rFonts w:hint="eastAsia"/>
              </w:rPr>
              <w:t xml:space="preserve">5340 </w:t>
            </w:r>
            <w:r w:rsidRPr="00C64ECB">
              <w:t>≤</w:t>
            </w:r>
            <w:r w:rsidRPr="00C64ECB">
              <w:rPr>
                <w:rFonts w:hint="eastAsia"/>
              </w:rPr>
              <w:t xml:space="preserve"> f </w:t>
            </w:r>
            <w:r w:rsidRPr="00C64ECB">
              <w:t>≤</w:t>
            </w:r>
            <w:r w:rsidRPr="00C64ECB">
              <w:rPr>
                <w:rFonts w:hint="eastAsia"/>
              </w:rPr>
              <w:t xml:space="preserve"> 5460</w:t>
            </w:r>
          </w:p>
        </w:tc>
        <w:tc>
          <w:tcPr>
            <w:tcW w:w="2126" w:type="dxa"/>
            <w:vAlign w:val="center"/>
          </w:tcPr>
          <w:p w14:paraId="62925C0A" w14:textId="77777777" w:rsidR="007C0B5A" w:rsidRPr="00C64ECB" w:rsidRDefault="007C0B5A" w:rsidP="00126681">
            <w:pPr>
              <w:pStyle w:val="TAC"/>
            </w:pPr>
            <w:r w:rsidRPr="00C64ECB">
              <w:t>≤</w:t>
            </w:r>
            <w:r w:rsidRPr="00C64ECB">
              <w:rPr>
                <w:rFonts w:hint="eastAsia"/>
              </w:rPr>
              <w:t xml:space="preserve"> 12.5 </w:t>
            </w:r>
            <w:r w:rsidRPr="00C64ECB">
              <w:rPr>
                <w:rFonts w:ascii="Symbol" w:hAnsi="Symbol"/>
              </w:rPr>
              <w:t></w:t>
            </w:r>
            <w:r w:rsidRPr="00C64ECB">
              <w:rPr>
                <w:rFonts w:hint="eastAsia"/>
              </w:rPr>
              <w:t>W</w:t>
            </w:r>
          </w:p>
        </w:tc>
      </w:tr>
      <w:tr w:rsidR="007C0B5A" w:rsidRPr="00C64ECB" w14:paraId="15F5429E" w14:textId="77777777" w:rsidTr="00126681">
        <w:trPr>
          <w:jc w:val="center"/>
        </w:trPr>
        <w:tc>
          <w:tcPr>
            <w:tcW w:w="1971" w:type="dxa"/>
            <w:vAlign w:val="center"/>
          </w:tcPr>
          <w:p w14:paraId="2795424E" w14:textId="77777777" w:rsidR="007C0B5A" w:rsidRPr="00C64ECB" w:rsidRDefault="007C0B5A" w:rsidP="00126681">
            <w:pPr>
              <w:pStyle w:val="TAC"/>
            </w:pPr>
            <w:r w:rsidRPr="00C64ECB">
              <w:rPr>
                <w:rFonts w:hint="eastAsia"/>
              </w:rPr>
              <w:t xml:space="preserve">5460 </w:t>
            </w:r>
            <w:r w:rsidRPr="00C64ECB">
              <w:t>&lt;</w:t>
            </w:r>
            <w:r w:rsidRPr="00C64ECB">
              <w:rPr>
                <w:rFonts w:hint="eastAsia"/>
              </w:rPr>
              <w:t xml:space="preserve"> f </w:t>
            </w:r>
            <w:r w:rsidRPr="00C64ECB">
              <w:t>≤</w:t>
            </w:r>
            <w:r w:rsidRPr="00C64ECB">
              <w:rPr>
                <w:rFonts w:hint="eastAsia"/>
              </w:rPr>
              <w:t xml:space="preserve"> 5469.5</w:t>
            </w:r>
          </w:p>
        </w:tc>
        <w:tc>
          <w:tcPr>
            <w:tcW w:w="2126" w:type="dxa"/>
            <w:vAlign w:val="center"/>
          </w:tcPr>
          <w:p w14:paraId="241D5FE9" w14:textId="77777777" w:rsidR="007C0B5A" w:rsidRPr="00C64ECB" w:rsidRDefault="007C0B5A" w:rsidP="00126681">
            <w:pPr>
              <w:pStyle w:val="TAC"/>
            </w:pPr>
            <w:r w:rsidRPr="00C64ECB">
              <w:t>≤</w:t>
            </w:r>
            <w:r w:rsidRPr="00C64ECB">
              <w:rPr>
                <w:rFonts w:hint="eastAsia"/>
              </w:rPr>
              <w:t xml:space="preserve"> 50 </w:t>
            </w:r>
            <w:r w:rsidRPr="00C64ECB">
              <w:rPr>
                <w:rFonts w:ascii="Symbol" w:hAnsi="Symbol"/>
              </w:rPr>
              <w:t></w:t>
            </w:r>
            <w:r w:rsidRPr="00C64ECB">
              <w:rPr>
                <w:rFonts w:hint="eastAsia"/>
              </w:rPr>
              <w:t>W</w:t>
            </w:r>
          </w:p>
        </w:tc>
      </w:tr>
      <w:tr w:rsidR="007C0B5A" w:rsidRPr="00C64ECB" w14:paraId="48A423D8" w14:textId="77777777" w:rsidTr="00126681">
        <w:trPr>
          <w:jc w:val="center"/>
        </w:trPr>
        <w:tc>
          <w:tcPr>
            <w:tcW w:w="1971" w:type="dxa"/>
            <w:vAlign w:val="center"/>
          </w:tcPr>
          <w:p w14:paraId="7D095A1F" w14:textId="77777777" w:rsidR="007C0B5A" w:rsidRPr="00C64ECB" w:rsidRDefault="007C0B5A" w:rsidP="00126681">
            <w:pPr>
              <w:pStyle w:val="TAC"/>
            </w:pPr>
            <w:r w:rsidRPr="00C64ECB">
              <w:rPr>
                <w:rFonts w:hint="eastAsia"/>
              </w:rPr>
              <w:t xml:space="preserve">5469.5 </w:t>
            </w:r>
            <w:r w:rsidRPr="00C64ECB">
              <w:t>&lt;</w:t>
            </w:r>
            <w:r w:rsidRPr="00C64ECB">
              <w:rPr>
                <w:rFonts w:hint="eastAsia"/>
              </w:rPr>
              <w:t xml:space="preserve"> f </w:t>
            </w:r>
            <w:r w:rsidRPr="00C64ECB">
              <w:t>≤</w:t>
            </w:r>
            <w:r w:rsidRPr="00C64ECB">
              <w:rPr>
                <w:rFonts w:hint="eastAsia"/>
              </w:rPr>
              <w:t xml:space="preserve"> 5470</w:t>
            </w:r>
          </w:p>
        </w:tc>
        <w:tc>
          <w:tcPr>
            <w:tcW w:w="2126" w:type="dxa"/>
            <w:vAlign w:val="center"/>
          </w:tcPr>
          <w:p w14:paraId="6AD35656" w14:textId="77777777" w:rsidR="007C0B5A" w:rsidRPr="00C64ECB" w:rsidRDefault="007C0B5A" w:rsidP="00126681">
            <w:pPr>
              <w:pStyle w:val="TAC"/>
            </w:pPr>
            <w:r w:rsidRPr="00C64ECB">
              <w:t>≤</w:t>
            </w:r>
            <w:r w:rsidRPr="00C64ECB">
              <w:rPr>
                <w:rFonts w:hint="eastAsia"/>
              </w:rPr>
              <w:t xml:space="preserve"> 51.2 </w:t>
            </w:r>
            <w:r w:rsidRPr="00C64ECB">
              <w:rPr>
                <w:rFonts w:ascii="Symbol" w:hAnsi="Symbol"/>
              </w:rPr>
              <w:t></w:t>
            </w:r>
            <w:r w:rsidRPr="00C64ECB">
              <w:rPr>
                <w:rFonts w:hint="eastAsia"/>
              </w:rPr>
              <w:t>W</w:t>
            </w:r>
          </w:p>
        </w:tc>
      </w:tr>
      <w:tr w:rsidR="007C0B5A" w:rsidRPr="00C64ECB" w14:paraId="3C496335" w14:textId="77777777" w:rsidTr="00126681">
        <w:trPr>
          <w:jc w:val="center"/>
        </w:trPr>
        <w:tc>
          <w:tcPr>
            <w:tcW w:w="1971" w:type="dxa"/>
            <w:vAlign w:val="center"/>
          </w:tcPr>
          <w:p w14:paraId="5BFFE005" w14:textId="77777777" w:rsidR="007C0B5A" w:rsidRPr="00C64ECB" w:rsidRDefault="007C0B5A" w:rsidP="00126681">
            <w:pPr>
              <w:pStyle w:val="TAC"/>
            </w:pPr>
            <w:r w:rsidRPr="00C64ECB">
              <w:rPr>
                <w:rFonts w:hint="eastAsia"/>
              </w:rPr>
              <w:t xml:space="preserve">5725 </w:t>
            </w:r>
            <w:r w:rsidRPr="00C64ECB">
              <w:t>≤</w:t>
            </w:r>
            <w:r w:rsidRPr="00C64ECB">
              <w:rPr>
                <w:rFonts w:hint="eastAsia"/>
              </w:rPr>
              <w:t xml:space="preserve"> f </w:t>
            </w:r>
            <w:r w:rsidRPr="00C64ECB">
              <w:t>≤</w:t>
            </w:r>
            <w:r w:rsidRPr="00C64ECB">
              <w:rPr>
                <w:rFonts w:hint="eastAsia"/>
              </w:rPr>
              <w:t xml:space="preserve"> 5800</w:t>
            </w:r>
          </w:p>
        </w:tc>
        <w:tc>
          <w:tcPr>
            <w:tcW w:w="2126" w:type="dxa"/>
            <w:vAlign w:val="center"/>
          </w:tcPr>
          <w:p w14:paraId="024215C2" w14:textId="77777777" w:rsidR="007C0B5A" w:rsidRPr="00C64ECB" w:rsidRDefault="007C0B5A" w:rsidP="00126681">
            <w:pPr>
              <w:pStyle w:val="TAC"/>
            </w:pPr>
            <w:r w:rsidRPr="00C64ECB">
              <w:t>≤</w:t>
            </w:r>
            <w:r w:rsidRPr="00C64ECB">
              <w:rPr>
                <w:rFonts w:hint="eastAsia"/>
              </w:rPr>
              <w:t xml:space="preserve"> 12.5 </w:t>
            </w:r>
            <w:r w:rsidRPr="00C64ECB">
              <w:rPr>
                <w:rFonts w:ascii="Symbol" w:hAnsi="Symbol"/>
              </w:rPr>
              <w:t></w:t>
            </w:r>
            <w:r w:rsidRPr="00C64ECB">
              <w:rPr>
                <w:rFonts w:hint="eastAsia"/>
              </w:rPr>
              <w:t>W</w:t>
            </w:r>
          </w:p>
        </w:tc>
      </w:tr>
    </w:tbl>
    <w:p w14:paraId="666FB6C7" w14:textId="77777777" w:rsidR="007C0B5A" w:rsidRPr="00C64ECB" w:rsidRDefault="007C0B5A" w:rsidP="007C0B5A">
      <w:pPr>
        <w:keepNext/>
        <w:keepLines/>
        <w:spacing w:before="60"/>
        <w:jc w:val="center"/>
        <w:rPr>
          <w:rFonts w:ascii="Arial" w:hAnsi="Arial" w:cs="v5.0.0"/>
          <w:b/>
        </w:rPr>
      </w:pPr>
    </w:p>
    <w:p w14:paraId="66C3EEEB" w14:textId="77777777" w:rsidR="007C0B5A" w:rsidRPr="00C64ECB" w:rsidRDefault="007C0B5A" w:rsidP="007C0B5A">
      <w:pPr>
        <w:rPr>
          <w:rFonts w:eastAsia="MS Mincho"/>
        </w:rPr>
      </w:pPr>
      <w:r w:rsidRPr="00C64ECB">
        <w:rPr>
          <w:rFonts w:eastAsia="MS Mincho"/>
        </w:rPr>
        <w:t xml:space="preserve">78 MHz </w:t>
      </w:r>
      <w:r w:rsidRPr="00C64ECB">
        <w:t>&lt;</w:t>
      </w:r>
      <w:r w:rsidRPr="00C64ECB">
        <w:rPr>
          <w:rFonts w:eastAsia="MS Mincho"/>
        </w:rPr>
        <w:t xml:space="preserve"> Occupied bandwidth </w:t>
      </w:r>
      <w:r w:rsidRPr="00C64ECB">
        <w:t>≤</w:t>
      </w:r>
      <w:r w:rsidRPr="00C64ECB">
        <w:rPr>
          <w:rFonts w:eastAsia="MS Mincho"/>
        </w:rPr>
        <w:t xml:space="preserve"> 158 MHz:</w:t>
      </w:r>
    </w:p>
    <w:p w14:paraId="05B1AC87" w14:textId="77777777" w:rsidR="007C0B5A" w:rsidRPr="00C64ECB" w:rsidRDefault="007C0B5A" w:rsidP="007C0B5A">
      <w:pPr>
        <w:pStyle w:val="TH"/>
      </w:pPr>
      <w:r w:rsidRPr="00C64ECB">
        <w:t>Table 4.</w:t>
      </w:r>
      <w:r w:rsidR="000D7B67" w:rsidRPr="00C64ECB">
        <w:t>1.</w:t>
      </w:r>
      <w:r w:rsidRPr="00C64ECB">
        <w:t>3.2.2-6: SEM: 78 MHz &lt; Occupied bandwidth ≤ 158 MHz</w:t>
      </w:r>
    </w:p>
    <w:tbl>
      <w:tblPr>
        <w:tblW w:w="4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1"/>
        <w:gridCol w:w="2126"/>
      </w:tblGrid>
      <w:tr w:rsidR="007C0B5A" w:rsidRPr="00C64ECB" w14:paraId="2A4D618C" w14:textId="77777777" w:rsidTr="00126681">
        <w:trPr>
          <w:jc w:val="center"/>
        </w:trPr>
        <w:tc>
          <w:tcPr>
            <w:tcW w:w="1971" w:type="dxa"/>
          </w:tcPr>
          <w:p w14:paraId="0C3473E3" w14:textId="77777777" w:rsidR="007C0B5A" w:rsidRPr="00C64ECB" w:rsidRDefault="007C0B5A" w:rsidP="00126681">
            <w:pPr>
              <w:pStyle w:val="TAH"/>
            </w:pPr>
            <w:r w:rsidRPr="00C64ECB">
              <w:rPr>
                <w:rFonts w:hint="eastAsia"/>
              </w:rPr>
              <w:t>Frequency range(f)</w:t>
            </w:r>
          </w:p>
          <w:p w14:paraId="534E91D2" w14:textId="77777777" w:rsidR="007C0B5A" w:rsidRPr="00C64ECB" w:rsidRDefault="007C0B5A" w:rsidP="00126681">
            <w:pPr>
              <w:pStyle w:val="TAH"/>
            </w:pPr>
            <w:r w:rsidRPr="00C64ECB">
              <w:rPr>
                <w:rFonts w:hint="eastAsia"/>
              </w:rPr>
              <w:t>(MHz)</w:t>
            </w:r>
          </w:p>
        </w:tc>
        <w:tc>
          <w:tcPr>
            <w:tcW w:w="2126" w:type="dxa"/>
          </w:tcPr>
          <w:p w14:paraId="083D14A3" w14:textId="77777777" w:rsidR="007C0B5A" w:rsidRPr="00C64ECB" w:rsidRDefault="007C0B5A" w:rsidP="00126681">
            <w:pPr>
              <w:pStyle w:val="TAH"/>
            </w:pPr>
            <w:r w:rsidRPr="00C64ECB">
              <w:rPr>
                <w:rFonts w:hint="eastAsia"/>
              </w:rPr>
              <w:t>e.i.r.p/MHz</w:t>
            </w:r>
          </w:p>
        </w:tc>
      </w:tr>
      <w:tr w:rsidR="007C0B5A" w:rsidRPr="00C64ECB" w14:paraId="5FB8529D" w14:textId="77777777" w:rsidTr="00126681">
        <w:trPr>
          <w:jc w:val="center"/>
        </w:trPr>
        <w:tc>
          <w:tcPr>
            <w:tcW w:w="1971" w:type="dxa"/>
            <w:vAlign w:val="center"/>
          </w:tcPr>
          <w:p w14:paraId="75A3F167" w14:textId="77777777" w:rsidR="007C0B5A" w:rsidRPr="00C64ECB" w:rsidRDefault="007C0B5A" w:rsidP="00126681">
            <w:pPr>
              <w:pStyle w:val="TAC"/>
            </w:pPr>
            <w:r w:rsidRPr="00C64ECB">
              <w:rPr>
                <w:rFonts w:hint="eastAsia"/>
              </w:rPr>
              <w:t xml:space="preserve">5236 </w:t>
            </w:r>
            <w:r w:rsidRPr="00C64ECB">
              <w:t>≤</w:t>
            </w:r>
            <w:r w:rsidRPr="00C64ECB">
              <w:rPr>
                <w:rFonts w:hint="eastAsia"/>
              </w:rPr>
              <w:t xml:space="preserve"> f </w:t>
            </w:r>
            <w:r w:rsidRPr="00C64ECB">
              <w:t>≤</w:t>
            </w:r>
            <w:r w:rsidRPr="00C64ECB">
              <w:rPr>
                <w:rFonts w:hint="eastAsia"/>
              </w:rPr>
              <w:t xml:space="preserve"> 5419.6</w:t>
            </w:r>
          </w:p>
        </w:tc>
        <w:tc>
          <w:tcPr>
            <w:tcW w:w="2126" w:type="dxa"/>
            <w:vAlign w:val="center"/>
          </w:tcPr>
          <w:p w14:paraId="2D70E971" w14:textId="77777777" w:rsidR="007C0B5A" w:rsidRPr="00C64ECB" w:rsidRDefault="007C0B5A" w:rsidP="00126681">
            <w:pPr>
              <w:pStyle w:val="TAC"/>
            </w:pPr>
            <w:r w:rsidRPr="00C64ECB">
              <w:t>≤</w:t>
            </w:r>
            <w:r w:rsidRPr="00C64ECB">
              <w:rPr>
                <w:rFonts w:hint="eastAsia"/>
              </w:rPr>
              <w:t xml:space="preserve"> 12.5 </w:t>
            </w:r>
            <w:r w:rsidRPr="00C64ECB">
              <w:rPr>
                <w:rFonts w:ascii="Symbol" w:hAnsi="Symbol"/>
              </w:rPr>
              <w:t></w:t>
            </w:r>
            <w:r w:rsidRPr="00C64ECB">
              <w:rPr>
                <w:rFonts w:hint="eastAsia"/>
              </w:rPr>
              <w:t>W</w:t>
            </w:r>
          </w:p>
        </w:tc>
      </w:tr>
      <w:tr w:rsidR="007C0B5A" w:rsidRPr="00C64ECB" w14:paraId="5D0B773F" w14:textId="77777777" w:rsidTr="00126681">
        <w:trPr>
          <w:jc w:val="center"/>
        </w:trPr>
        <w:tc>
          <w:tcPr>
            <w:tcW w:w="1971" w:type="dxa"/>
            <w:vAlign w:val="center"/>
          </w:tcPr>
          <w:p w14:paraId="3D464493" w14:textId="77777777" w:rsidR="007C0B5A" w:rsidRPr="00C64ECB" w:rsidRDefault="007C0B5A" w:rsidP="00126681">
            <w:pPr>
              <w:pStyle w:val="TAC"/>
            </w:pPr>
            <w:r w:rsidRPr="00C64ECB">
              <w:rPr>
                <w:rFonts w:hint="eastAsia"/>
              </w:rPr>
              <w:t xml:space="preserve">5419.6 </w:t>
            </w:r>
            <w:r w:rsidRPr="00C64ECB">
              <w:t>&lt;</w:t>
            </w:r>
            <w:r w:rsidRPr="00C64ECB">
              <w:rPr>
                <w:rFonts w:hint="eastAsia"/>
              </w:rPr>
              <w:t xml:space="preserve"> f </w:t>
            </w:r>
            <w:r w:rsidRPr="00C64ECB">
              <w:t>≤</w:t>
            </w:r>
            <w:r w:rsidRPr="00C64ECB">
              <w:rPr>
                <w:rFonts w:hint="eastAsia"/>
              </w:rPr>
              <w:t xml:space="preserve"> 5470</w:t>
            </w:r>
          </w:p>
        </w:tc>
        <w:tc>
          <w:tcPr>
            <w:tcW w:w="2126" w:type="dxa"/>
            <w:vAlign w:val="center"/>
          </w:tcPr>
          <w:p w14:paraId="4BC198B0" w14:textId="77777777" w:rsidR="007C0B5A" w:rsidRPr="00C64ECB" w:rsidRDefault="007C0B5A" w:rsidP="00126681">
            <w:pPr>
              <w:pStyle w:val="TAC"/>
            </w:pPr>
            <w:r w:rsidRPr="00C64ECB">
              <w:t>≤</w:t>
            </w:r>
            <w:r w:rsidRPr="00C64ECB">
              <w:rPr>
                <w:rFonts w:hint="eastAsia"/>
              </w:rPr>
              <w:t xml:space="preserve"> 50 </w:t>
            </w:r>
            <w:r w:rsidRPr="00C64ECB">
              <w:rPr>
                <w:rFonts w:ascii="Symbol" w:hAnsi="Symbol"/>
              </w:rPr>
              <w:t></w:t>
            </w:r>
            <w:r w:rsidRPr="00C64ECB">
              <w:rPr>
                <w:rFonts w:hint="eastAsia"/>
              </w:rPr>
              <w:t>W</w:t>
            </w:r>
          </w:p>
        </w:tc>
      </w:tr>
      <w:tr w:rsidR="007C0B5A" w:rsidRPr="00C64ECB" w14:paraId="2411CB4A" w14:textId="77777777" w:rsidTr="00126681">
        <w:trPr>
          <w:jc w:val="center"/>
        </w:trPr>
        <w:tc>
          <w:tcPr>
            <w:tcW w:w="1971" w:type="dxa"/>
            <w:vAlign w:val="center"/>
          </w:tcPr>
          <w:p w14:paraId="1BEA8787" w14:textId="77777777" w:rsidR="007C0B5A" w:rsidRPr="00C64ECB" w:rsidRDefault="007C0B5A" w:rsidP="00126681">
            <w:pPr>
              <w:pStyle w:val="TAC"/>
            </w:pPr>
            <w:r w:rsidRPr="00C64ECB">
              <w:rPr>
                <w:rFonts w:hint="eastAsia"/>
              </w:rPr>
              <w:t xml:space="preserve">5725 </w:t>
            </w:r>
            <w:r w:rsidRPr="00C64ECB">
              <w:t>≤</w:t>
            </w:r>
            <w:r w:rsidRPr="00C64ECB">
              <w:rPr>
                <w:rFonts w:hint="eastAsia"/>
              </w:rPr>
              <w:t xml:space="preserve"> f </w:t>
            </w:r>
            <w:r w:rsidRPr="00C64ECB">
              <w:t>≤</w:t>
            </w:r>
            <w:r w:rsidRPr="00C64ECB">
              <w:rPr>
                <w:rFonts w:hint="eastAsia"/>
              </w:rPr>
              <w:t xml:space="preserve"> 5904</w:t>
            </w:r>
          </w:p>
        </w:tc>
        <w:tc>
          <w:tcPr>
            <w:tcW w:w="2126" w:type="dxa"/>
            <w:vAlign w:val="center"/>
          </w:tcPr>
          <w:p w14:paraId="0F5DFF24" w14:textId="77777777" w:rsidR="007C0B5A" w:rsidRPr="00C64ECB" w:rsidRDefault="007C0B5A" w:rsidP="00126681">
            <w:pPr>
              <w:pStyle w:val="TAC"/>
            </w:pPr>
            <w:r w:rsidRPr="00C64ECB">
              <w:t>≤</w:t>
            </w:r>
            <w:r w:rsidRPr="00C64ECB">
              <w:rPr>
                <w:rFonts w:hint="eastAsia"/>
              </w:rPr>
              <w:t xml:space="preserve"> 12.5 </w:t>
            </w:r>
            <w:r w:rsidRPr="00C64ECB">
              <w:rPr>
                <w:rFonts w:ascii="Symbol" w:hAnsi="Symbol"/>
              </w:rPr>
              <w:t></w:t>
            </w:r>
            <w:r w:rsidRPr="00C64ECB">
              <w:rPr>
                <w:rFonts w:hint="eastAsia"/>
              </w:rPr>
              <w:t>W</w:t>
            </w:r>
          </w:p>
        </w:tc>
      </w:tr>
    </w:tbl>
    <w:p w14:paraId="59B0AD19" w14:textId="77777777" w:rsidR="007C0B5A" w:rsidRPr="00C64ECB" w:rsidRDefault="007C0B5A" w:rsidP="007C0B5A">
      <w:pPr>
        <w:keepNext/>
        <w:keepLines/>
        <w:spacing w:before="60"/>
        <w:jc w:val="center"/>
        <w:rPr>
          <w:rFonts w:ascii="Arial" w:hAnsi="Arial" w:cs="v5.0.0"/>
          <w:b/>
        </w:rPr>
      </w:pPr>
    </w:p>
    <w:p w14:paraId="69ED8267" w14:textId="77777777" w:rsidR="007C0B5A" w:rsidRPr="00C64ECB" w:rsidRDefault="007C0B5A" w:rsidP="007C0B5A">
      <w:pPr>
        <w:pStyle w:val="TH"/>
        <w:rPr>
          <w:rFonts w:cs="v5.0.0"/>
        </w:rPr>
      </w:pPr>
      <w:r w:rsidRPr="00C64ECB">
        <w:t>Table 4.</w:t>
      </w:r>
      <w:r w:rsidR="000D7B67" w:rsidRPr="00C64ECB">
        <w:t>1.</w:t>
      </w:r>
      <w:r w:rsidRPr="00C64ECB">
        <w:t>3.2.2-7:</w:t>
      </w:r>
      <w:r w:rsidRPr="00C64ECB">
        <w:rPr>
          <w:rFonts w:hint="eastAsia"/>
        </w:rPr>
        <w:t xml:space="preserve"> Peak data rate </w:t>
      </w:r>
    </w:p>
    <w:tbl>
      <w:tblPr>
        <w:tblW w:w="5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56"/>
        <w:gridCol w:w="3152"/>
      </w:tblGrid>
      <w:tr w:rsidR="007C0B5A" w:rsidRPr="00C64ECB" w14:paraId="33E9C1D2" w14:textId="77777777" w:rsidTr="00126681">
        <w:trPr>
          <w:jc w:val="center"/>
        </w:trPr>
        <w:tc>
          <w:tcPr>
            <w:tcW w:w="2656" w:type="dxa"/>
          </w:tcPr>
          <w:p w14:paraId="57B09FF4" w14:textId="77777777" w:rsidR="007C0B5A" w:rsidRPr="00C64ECB" w:rsidRDefault="007C0B5A" w:rsidP="00126681">
            <w:pPr>
              <w:pStyle w:val="TAH"/>
            </w:pPr>
            <w:r w:rsidRPr="00C64ECB">
              <w:rPr>
                <w:rFonts w:hint="eastAsia"/>
              </w:rPr>
              <w:t>Occupied bandwidth(MHz)</w:t>
            </w:r>
          </w:p>
        </w:tc>
        <w:tc>
          <w:tcPr>
            <w:tcW w:w="3152" w:type="dxa"/>
          </w:tcPr>
          <w:p w14:paraId="2DF53B1E" w14:textId="77777777" w:rsidR="007C0B5A" w:rsidRPr="00C64ECB" w:rsidRDefault="007C0B5A" w:rsidP="00126681">
            <w:pPr>
              <w:pStyle w:val="TAH"/>
            </w:pPr>
            <w:r w:rsidRPr="00C64ECB">
              <w:rPr>
                <w:rFonts w:hint="eastAsia"/>
              </w:rPr>
              <w:t>Peak data rate (Mbps)</w:t>
            </w:r>
          </w:p>
        </w:tc>
      </w:tr>
      <w:tr w:rsidR="007C0B5A" w:rsidRPr="00C64ECB" w14:paraId="76040A45" w14:textId="77777777" w:rsidTr="00126681">
        <w:trPr>
          <w:jc w:val="center"/>
        </w:trPr>
        <w:tc>
          <w:tcPr>
            <w:tcW w:w="2656" w:type="dxa"/>
            <w:vAlign w:val="center"/>
          </w:tcPr>
          <w:p w14:paraId="29BD598D" w14:textId="77777777" w:rsidR="007C0B5A" w:rsidRPr="00C64ECB" w:rsidRDefault="007C0B5A" w:rsidP="00126681">
            <w:pPr>
              <w:pStyle w:val="TAC"/>
            </w:pPr>
            <w:r w:rsidRPr="00C64ECB">
              <w:t>≤</w:t>
            </w:r>
            <w:r w:rsidRPr="00C64ECB">
              <w:rPr>
                <w:rFonts w:hint="eastAsia"/>
              </w:rPr>
              <w:t xml:space="preserve"> 19.7</w:t>
            </w:r>
          </w:p>
        </w:tc>
        <w:tc>
          <w:tcPr>
            <w:tcW w:w="3152" w:type="dxa"/>
          </w:tcPr>
          <w:p w14:paraId="60213BE8" w14:textId="77777777" w:rsidR="007C0B5A" w:rsidRPr="00C64ECB" w:rsidRDefault="007C0B5A" w:rsidP="00126681">
            <w:pPr>
              <w:pStyle w:val="TAC"/>
            </w:pPr>
            <w:r w:rsidRPr="00C64ECB">
              <w:rPr>
                <w:rFonts w:eastAsia="MS Mincho"/>
              </w:rPr>
              <w:t>≥</w:t>
            </w:r>
            <w:r w:rsidRPr="00C64ECB">
              <w:rPr>
                <w:rFonts w:eastAsia="MS Mincho" w:hint="eastAsia"/>
              </w:rPr>
              <w:t xml:space="preserve"> </w:t>
            </w:r>
            <w:r w:rsidRPr="00C64ECB">
              <w:rPr>
                <w:rFonts w:hint="eastAsia"/>
              </w:rPr>
              <w:t>20</w:t>
            </w:r>
          </w:p>
        </w:tc>
      </w:tr>
      <w:tr w:rsidR="007C0B5A" w:rsidRPr="00C64ECB" w14:paraId="15BACD81" w14:textId="77777777" w:rsidTr="00126681">
        <w:trPr>
          <w:jc w:val="center"/>
        </w:trPr>
        <w:tc>
          <w:tcPr>
            <w:tcW w:w="2656" w:type="dxa"/>
            <w:vAlign w:val="center"/>
          </w:tcPr>
          <w:p w14:paraId="140AF4DA" w14:textId="77777777" w:rsidR="007C0B5A" w:rsidRPr="00C64ECB" w:rsidRDefault="007C0B5A" w:rsidP="00126681">
            <w:pPr>
              <w:pStyle w:val="TAC"/>
            </w:pPr>
            <w:r w:rsidRPr="00C64ECB">
              <w:rPr>
                <w:rFonts w:eastAsia="MS Mincho"/>
              </w:rPr>
              <w:t>&gt;</w:t>
            </w:r>
            <w:r w:rsidRPr="00C64ECB">
              <w:rPr>
                <w:rFonts w:eastAsia="MS Mincho" w:hint="eastAsia"/>
              </w:rPr>
              <w:t xml:space="preserve"> 19.7 </w:t>
            </w:r>
            <w:r w:rsidRPr="00C64ECB">
              <w:rPr>
                <w:rFonts w:hint="eastAsia"/>
              </w:rPr>
              <w:t>and</w:t>
            </w:r>
            <w:r w:rsidRPr="00C64ECB">
              <w:rPr>
                <w:rFonts w:eastAsia="MS Mincho" w:hint="eastAsia"/>
              </w:rPr>
              <w:t xml:space="preserve"> </w:t>
            </w:r>
            <w:r w:rsidRPr="00C64ECB">
              <w:t>≤</w:t>
            </w:r>
            <w:r w:rsidRPr="00C64ECB">
              <w:rPr>
                <w:rFonts w:eastAsia="MS Mincho" w:hint="eastAsia"/>
              </w:rPr>
              <w:t xml:space="preserve"> 38</w:t>
            </w:r>
          </w:p>
        </w:tc>
        <w:tc>
          <w:tcPr>
            <w:tcW w:w="3152" w:type="dxa"/>
          </w:tcPr>
          <w:p w14:paraId="0360055F" w14:textId="77777777" w:rsidR="007C0B5A" w:rsidRPr="00C64ECB" w:rsidRDefault="007C0B5A" w:rsidP="00126681">
            <w:pPr>
              <w:pStyle w:val="TAC"/>
            </w:pPr>
            <w:r w:rsidRPr="00C64ECB">
              <w:rPr>
                <w:rFonts w:eastAsia="MS Mincho"/>
              </w:rPr>
              <w:t>≥</w:t>
            </w:r>
            <w:r w:rsidRPr="00C64ECB">
              <w:rPr>
                <w:rFonts w:eastAsia="MS Mincho" w:hint="eastAsia"/>
              </w:rPr>
              <w:t xml:space="preserve"> </w:t>
            </w:r>
            <w:r w:rsidRPr="00C64ECB">
              <w:rPr>
                <w:rFonts w:hint="eastAsia"/>
              </w:rPr>
              <w:t>40</w:t>
            </w:r>
          </w:p>
        </w:tc>
      </w:tr>
      <w:tr w:rsidR="007C0B5A" w:rsidRPr="00C64ECB" w14:paraId="3CE7FA67" w14:textId="77777777" w:rsidTr="00126681">
        <w:trPr>
          <w:jc w:val="center"/>
        </w:trPr>
        <w:tc>
          <w:tcPr>
            <w:tcW w:w="2656" w:type="dxa"/>
            <w:vAlign w:val="center"/>
          </w:tcPr>
          <w:p w14:paraId="3A6A85FC" w14:textId="77777777" w:rsidR="007C0B5A" w:rsidRPr="00C64ECB" w:rsidRDefault="007C0B5A" w:rsidP="00126681">
            <w:pPr>
              <w:pStyle w:val="TAC"/>
              <w:rPr>
                <w:rFonts w:eastAsia="MS Mincho"/>
              </w:rPr>
            </w:pPr>
            <w:r w:rsidRPr="00C64ECB">
              <w:rPr>
                <w:rFonts w:eastAsia="MS Mincho"/>
              </w:rPr>
              <w:t>&gt;</w:t>
            </w:r>
            <w:r w:rsidRPr="00C64ECB">
              <w:rPr>
                <w:rFonts w:eastAsia="MS Mincho" w:hint="eastAsia"/>
              </w:rPr>
              <w:t xml:space="preserve"> 38 </w:t>
            </w:r>
            <w:r w:rsidRPr="00C64ECB">
              <w:rPr>
                <w:rFonts w:hint="eastAsia"/>
              </w:rPr>
              <w:t>and</w:t>
            </w:r>
            <w:r w:rsidRPr="00C64ECB">
              <w:rPr>
                <w:rFonts w:eastAsia="MS Mincho" w:hint="eastAsia"/>
              </w:rPr>
              <w:t xml:space="preserve"> </w:t>
            </w:r>
            <w:r w:rsidRPr="00C64ECB">
              <w:t>≤</w:t>
            </w:r>
            <w:r w:rsidRPr="00C64ECB">
              <w:rPr>
                <w:rFonts w:eastAsia="MS Mincho" w:hint="eastAsia"/>
              </w:rPr>
              <w:t xml:space="preserve"> 78</w:t>
            </w:r>
          </w:p>
        </w:tc>
        <w:tc>
          <w:tcPr>
            <w:tcW w:w="3152" w:type="dxa"/>
          </w:tcPr>
          <w:p w14:paraId="23A2F043" w14:textId="77777777" w:rsidR="007C0B5A" w:rsidRPr="00C64ECB" w:rsidRDefault="007C0B5A" w:rsidP="00126681">
            <w:pPr>
              <w:pStyle w:val="TAC"/>
            </w:pPr>
            <w:r w:rsidRPr="00C64ECB">
              <w:rPr>
                <w:rFonts w:eastAsia="MS Mincho"/>
              </w:rPr>
              <w:t>≥</w:t>
            </w:r>
            <w:r w:rsidRPr="00C64ECB">
              <w:rPr>
                <w:rFonts w:eastAsia="MS Mincho" w:hint="eastAsia"/>
              </w:rPr>
              <w:t xml:space="preserve"> </w:t>
            </w:r>
            <w:r w:rsidRPr="00C64ECB">
              <w:rPr>
                <w:rFonts w:hint="eastAsia"/>
              </w:rPr>
              <w:t>80</w:t>
            </w:r>
          </w:p>
        </w:tc>
      </w:tr>
      <w:tr w:rsidR="007C0B5A" w:rsidRPr="00C64ECB" w14:paraId="31D7CAC0" w14:textId="77777777" w:rsidTr="00126681">
        <w:trPr>
          <w:jc w:val="center"/>
        </w:trPr>
        <w:tc>
          <w:tcPr>
            <w:tcW w:w="2656" w:type="dxa"/>
            <w:vAlign w:val="center"/>
          </w:tcPr>
          <w:p w14:paraId="2A7E26DF" w14:textId="77777777" w:rsidR="007C0B5A" w:rsidRPr="00C64ECB" w:rsidRDefault="007C0B5A" w:rsidP="00126681">
            <w:pPr>
              <w:pStyle w:val="TAC"/>
            </w:pPr>
            <w:r w:rsidRPr="00C64ECB">
              <w:rPr>
                <w:rFonts w:eastAsia="MS Mincho"/>
              </w:rPr>
              <w:t>&gt;</w:t>
            </w:r>
            <w:r w:rsidRPr="00C64ECB">
              <w:rPr>
                <w:rFonts w:eastAsia="MS Mincho" w:hint="eastAsia"/>
              </w:rPr>
              <w:t xml:space="preserve"> 78 </w:t>
            </w:r>
            <w:r w:rsidRPr="00C64ECB">
              <w:rPr>
                <w:rFonts w:hint="eastAsia"/>
              </w:rPr>
              <w:t>and</w:t>
            </w:r>
            <w:r w:rsidRPr="00C64ECB">
              <w:rPr>
                <w:rFonts w:eastAsia="MS Mincho" w:hint="eastAsia"/>
              </w:rPr>
              <w:t xml:space="preserve"> </w:t>
            </w:r>
            <w:r w:rsidRPr="00C64ECB">
              <w:t>≤</w:t>
            </w:r>
            <w:r w:rsidRPr="00C64ECB">
              <w:rPr>
                <w:rFonts w:eastAsia="MS Mincho" w:hint="eastAsia"/>
              </w:rPr>
              <w:t xml:space="preserve"> 158</w:t>
            </w:r>
          </w:p>
        </w:tc>
        <w:tc>
          <w:tcPr>
            <w:tcW w:w="3152" w:type="dxa"/>
          </w:tcPr>
          <w:p w14:paraId="44A6109A" w14:textId="77777777" w:rsidR="007C0B5A" w:rsidRPr="00C64ECB" w:rsidRDefault="007C0B5A" w:rsidP="00126681">
            <w:pPr>
              <w:pStyle w:val="TAC"/>
            </w:pPr>
            <w:r w:rsidRPr="00C64ECB">
              <w:rPr>
                <w:rFonts w:eastAsia="MS Mincho"/>
              </w:rPr>
              <w:t>≥</w:t>
            </w:r>
            <w:r w:rsidRPr="00C64ECB">
              <w:rPr>
                <w:rFonts w:eastAsia="MS Mincho" w:hint="eastAsia"/>
              </w:rPr>
              <w:t xml:space="preserve"> </w:t>
            </w:r>
            <w:r w:rsidRPr="00C64ECB">
              <w:rPr>
                <w:rFonts w:hint="eastAsia"/>
              </w:rPr>
              <w:t>160</w:t>
            </w:r>
          </w:p>
        </w:tc>
      </w:tr>
    </w:tbl>
    <w:p w14:paraId="3E89E352" w14:textId="77777777" w:rsidR="007C0B5A" w:rsidRPr="00C64ECB" w:rsidRDefault="007C0B5A" w:rsidP="007C0B5A"/>
    <w:p w14:paraId="4AE283C6" w14:textId="77777777" w:rsidR="007C0B5A" w:rsidRPr="00C64ECB" w:rsidRDefault="007C0B5A" w:rsidP="007C0B5A">
      <w:pPr>
        <w:pStyle w:val="Heading5"/>
      </w:pPr>
      <w:bookmarkStart w:id="38" w:name="_Toc531342994"/>
      <w:r w:rsidRPr="00C64ECB">
        <w:t>4.1.</w:t>
      </w:r>
      <w:r w:rsidRPr="00C64ECB">
        <w:rPr>
          <w:rFonts w:hint="eastAsia"/>
        </w:rPr>
        <w:t>3.</w:t>
      </w:r>
      <w:r w:rsidRPr="00C64ECB">
        <w:t>2.3</w:t>
      </w:r>
      <w:r w:rsidRPr="00C64ECB">
        <w:rPr>
          <w:rFonts w:hint="eastAsia"/>
        </w:rPr>
        <w:tab/>
        <w:t xml:space="preserve">Simultaneous use of 5150-5250 and </w:t>
      </w:r>
      <w:r w:rsidRPr="00C64ECB">
        <w:t>5</w:t>
      </w:r>
      <w:r w:rsidRPr="00C64ECB">
        <w:rPr>
          <w:rFonts w:hint="eastAsia"/>
        </w:rPr>
        <w:t>470</w:t>
      </w:r>
      <w:r w:rsidRPr="00C64ECB">
        <w:t>-5</w:t>
      </w:r>
      <w:r w:rsidRPr="00C64ECB">
        <w:rPr>
          <w:rFonts w:hint="eastAsia"/>
        </w:rPr>
        <w:t>725 M</w:t>
      </w:r>
      <w:r w:rsidRPr="00C64ECB">
        <w:t>Hz</w:t>
      </w:r>
      <w:r w:rsidRPr="00C64ECB">
        <w:rPr>
          <w:rFonts w:hint="eastAsia"/>
        </w:rPr>
        <w:t xml:space="preserve"> / 5250-5350 and </w:t>
      </w:r>
      <w:r w:rsidRPr="00C64ECB">
        <w:t>5</w:t>
      </w:r>
      <w:r w:rsidRPr="00C64ECB">
        <w:rPr>
          <w:rFonts w:hint="eastAsia"/>
        </w:rPr>
        <w:t>470</w:t>
      </w:r>
      <w:r w:rsidRPr="00C64ECB">
        <w:t>-5</w:t>
      </w:r>
      <w:r w:rsidRPr="00C64ECB">
        <w:rPr>
          <w:rFonts w:hint="eastAsia"/>
        </w:rPr>
        <w:t>725 M</w:t>
      </w:r>
      <w:r w:rsidRPr="00C64ECB">
        <w:t>Hz</w:t>
      </w:r>
      <w:bookmarkEnd w:id="38"/>
    </w:p>
    <w:p w14:paraId="0F23A9A3" w14:textId="2CA047EF" w:rsidR="007C0B5A" w:rsidRPr="00C64ECB" w:rsidRDefault="007C0B5A" w:rsidP="001C2E15">
      <w:r w:rsidRPr="00C64ECB">
        <w:t>When simultaneous use of non-contiguous two channels in 5150-5250 and 5470-5725 MHz or that in 5250-5350 and 5470-5725MHz is employed, the following regulatory requirements are also applied. It should be note that total channel bandwidth is less and equal to 160 MHz in these usages.</w:t>
      </w:r>
    </w:p>
    <w:p w14:paraId="662F7AE6" w14:textId="77777777" w:rsidR="007C0B5A" w:rsidRPr="00C64ECB" w:rsidRDefault="007C0B5A" w:rsidP="007C0B5A">
      <w:pPr>
        <w:pStyle w:val="TH"/>
        <w:rPr>
          <w:rFonts w:cs="v5.0.0"/>
        </w:rPr>
      </w:pPr>
      <w:r w:rsidRPr="00C64ECB">
        <w:lastRenderedPageBreak/>
        <w:t>Table 4.</w:t>
      </w:r>
      <w:r w:rsidR="000D7B67" w:rsidRPr="00C64ECB">
        <w:t>1.</w:t>
      </w:r>
      <w:r w:rsidRPr="00C64ECB">
        <w:t>3.2.3-1:</w:t>
      </w:r>
      <w:r w:rsidRPr="00C64ECB">
        <w:rPr>
          <w:rFonts w:hint="eastAsia"/>
        </w:rPr>
        <w:t xml:space="preserve"> SEM: 78 MHz </w:t>
      </w:r>
      <w:r w:rsidRPr="00C64ECB">
        <w:t>&lt;</w:t>
      </w:r>
      <w:r w:rsidRPr="00C64ECB">
        <w:rPr>
          <w:rFonts w:hint="eastAsia"/>
        </w:rPr>
        <w:t xml:space="preserve"> Occupied bandwidth </w:t>
      </w:r>
      <w:r w:rsidRPr="00C64ECB">
        <w:t>≤</w:t>
      </w:r>
      <w:r w:rsidRPr="00C64ECB">
        <w:rPr>
          <w:rFonts w:hint="eastAsia"/>
        </w:rPr>
        <w:t xml:space="preserve"> 158 MHz</w:t>
      </w:r>
    </w:p>
    <w:tbl>
      <w:tblPr>
        <w:tblW w:w="6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7"/>
        <w:gridCol w:w="2617"/>
        <w:gridCol w:w="3210"/>
      </w:tblGrid>
      <w:tr w:rsidR="007C0B5A" w:rsidRPr="00C64ECB" w14:paraId="178302DD" w14:textId="77777777" w:rsidTr="00126681">
        <w:trPr>
          <w:jc w:val="center"/>
        </w:trPr>
        <w:tc>
          <w:tcPr>
            <w:tcW w:w="917" w:type="dxa"/>
            <w:vMerge w:val="restart"/>
            <w:vAlign w:val="center"/>
          </w:tcPr>
          <w:p w14:paraId="468ABB98" w14:textId="77777777" w:rsidR="007C0B5A" w:rsidRPr="00C64ECB" w:rsidRDefault="007C0B5A" w:rsidP="00126681">
            <w:pPr>
              <w:pStyle w:val="TAH"/>
            </w:pPr>
            <w:r w:rsidRPr="00C64ECB">
              <w:rPr>
                <w:rFonts w:hint="eastAsia"/>
              </w:rPr>
              <w:t>Case</w:t>
            </w:r>
          </w:p>
        </w:tc>
        <w:tc>
          <w:tcPr>
            <w:tcW w:w="5827" w:type="dxa"/>
            <w:gridSpan w:val="2"/>
          </w:tcPr>
          <w:p w14:paraId="534BA197" w14:textId="77777777" w:rsidR="007C0B5A" w:rsidRPr="00C64ECB" w:rsidRDefault="007C0B5A" w:rsidP="00126681">
            <w:pPr>
              <w:pStyle w:val="TAH"/>
            </w:pPr>
            <w:r w:rsidRPr="00C64ECB">
              <w:rPr>
                <w:rFonts w:hint="eastAsia"/>
              </w:rPr>
              <w:t>Combination of simultaneous transmission Centre Frequencies</w:t>
            </w:r>
          </w:p>
        </w:tc>
      </w:tr>
      <w:tr w:rsidR="007C0B5A" w:rsidRPr="00C64ECB" w14:paraId="5EC67F12" w14:textId="77777777" w:rsidTr="00126681">
        <w:trPr>
          <w:jc w:val="center"/>
        </w:trPr>
        <w:tc>
          <w:tcPr>
            <w:tcW w:w="917" w:type="dxa"/>
            <w:vMerge/>
          </w:tcPr>
          <w:p w14:paraId="18118612" w14:textId="77777777" w:rsidR="007C0B5A" w:rsidRPr="00C64ECB" w:rsidRDefault="007C0B5A" w:rsidP="00126681">
            <w:pPr>
              <w:pStyle w:val="TAH"/>
            </w:pPr>
          </w:p>
        </w:tc>
        <w:tc>
          <w:tcPr>
            <w:tcW w:w="2617" w:type="dxa"/>
          </w:tcPr>
          <w:p w14:paraId="73511356" w14:textId="77777777" w:rsidR="007C0B5A" w:rsidRPr="00C64ECB" w:rsidRDefault="007C0B5A" w:rsidP="00126681">
            <w:pPr>
              <w:pStyle w:val="TAH"/>
            </w:pPr>
            <w:r w:rsidRPr="00C64ECB">
              <w:rPr>
                <w:rFonts w:hint="eastAsia"/>
              </w:rPr>
              <w:t>Centre Frequency 1 (MHz)</w:t>
            </w:r>
          </w:p>
        </w:tc>
        <w:tc>
          <w:tcPr>
            <w:tcW w:w="3210" w:type="dxa"/>
          </w:tcPr>
          <w:p w14:paraId="085FD04B" w14:textId="77777777" w:rsidR="007C0B5A" w:rsidRPr="00C64ECB" w:rsidRDefault="007C0B5A" w:rsidP="00126681">
            <w:pPr>
              <w:pStyle w:val="TAH"/>
            </w:pPr>
            <w:r w:rsidRPr="00C64ECB">
              <w:rPr>
                <w:rFonts w:hint="eastAsia"/>
              </w:rPr>
              <w:t>Centre Frequency 2 (MHz)</w:t>
            </w:r>
          </w:p>
        </w:tc>
      </w:tr>
      <w:tr w:rsidR="007C0B5A" w:rsidRPr="00C64ECB" w14:paraId="17FB608E" w14:textId="77777777" w:rsidTr="00126681">
        <w:trPr>
          <w:trHeight w:val="207"/>
          <w:jc w:val="center"/>
        </w:trPr>
        <w:tc>
          <w:tcPr>
            <w:tcW w:w="917" w:type="dxa"/>
          </w:tcPr>
          <w:p w14:paraId="0005CDBA" w14:textId="77777777" w:rsidR="007C0B5A" w:rsidRPr="00C64ECB" w:rsidRDefault="007C0B5A" w:rsidP="00126681">
            <w:pPr>
              <w:pStyle w:val="TAC"/>
            </w:pPr>
            <w:r w:rsidRPr="00C64ECB">
              <w:rPr>
                <w:rFonts w:hint="eastAsia"/>
              </w:rPr>
              <w:t>1</w:t>
            </w:r>
          </w:p>
        </w:tc>
        <w:tc>
          <w:tcPr>
            <w:tcW w:w="2617" w:type="dxa"/>
            <w:vMerge w:val="restart"/>
            <w:vAlign w:val="center"/>
          </w:tcPr>
          <w:p w14:paraId="79B21988" w14:textId="77777777" w:rsidR="007C0B5A" w:rsidRPr="00C64ECB" w:rsidRDefault="007C0B5A" w:rsidP="00126681">
            <w:pPr>
              <w:pStyle w:val="TAC"/>
            </w:pPr>
            <w:r w:rsidRPr="00C64ECB">
              <w:rPr>
                <w:rFonts w:hint="eastAsia"/>
              </w:rPr>
              <w:t>5210</w:t>
            </w:r>
          </w:p>
        </w:tc>
        <w:tc>
          <w:tcPr>
            <w:tcW w:w="3210" w:type="dxa"/>
            <w:vAlign w:val="center"/>
          </w:tcPr>
          <w:p w14:paraId="408A62C1" w14:textId="77777777" w:rsidR="007C0B5A" w:rsidRPr="00C64ECB" w:rsidRDefault="007C0B5A" w:rsidP="00126681">
            <w:pPr>
              <w:pStyle w:val="TAC"/>
            </w:pPr>
            <w:r w:rsidRPr="00C64ECB">
              <w:rPr>
                <w:rFonts w:hint="eastAsia"/>
              </w:rPr>
              <w:t>5530</w:t>
            </w:r>
          </w:p>
        </w:tc>
      </w:tr>
      <w:tr w:rsidR="007C0B5A" w:rsidRPr="00C64ECB" w14:paraId="65AF8BDA" w14:textId="77777777" w:rsidTr="00126681">
        <w:trPr>
          <w:trHeight w:val="207"/>
          <w:jc w:val="center"/>
        </w:trPr>
        <w:tc>
          <w:tcPr>
            <w:tcW w:w="917" w:type="dxa"/>
          </w:tcPr>
          <w:p w14:paraId="21B3E448" w14:textId="77777777" w:rsidR="007C0B5A" w:rsidRPr="00C64ECB" w:rsidRDefault="007C0B5A" w:rsidP="00126681">
            <w:pPr>
              <w:pStyle w:val="TAC"/>
            </w:pPr>
            <w:r w:rsidRPr="00C64ECB">
              <w:rPr>
                <w:rFonts w:hint="eastAsia"/>
              </w:rPr>
              <w:t>2</w:t>
            </w:r>
          </w:p>
        </w:tc>
        <w:tc>
          <w:tcPr>
            <w:tcW w:w="2617" w:type="dxa"/>
            <w:vMerge/>
            <w:vAlign w:val="center"/>
          </w:tcPr>
          <w:p w14:paraId="0D495695" w14:textId="77777777" w:rsidR="007C0B5A" w:rsidRPr="00C64ECB" w:rsidRDefault="007C0B5A" w:rsidP="00126681">
            <w:pPr>
              <w:pStyle w:val="TAC"/>
            </w:pPr>
          </w:p>
        </w:tc>
        <w:tc>
          <w:tcPr>
            <w:tcW w:w="3210" w:type="dxa"/>
            <w:vAlign w:val="center"/>
          </w:tcPr>
          <w:p w14:paraId="518B3CFD" w14:textId="77777777" w:rsidR="007C0B5A" w:rsidRPr="00C64ECB" w:rsidRDefault="007C0B5A" w:rsidP="00126681">
            <w:pPr>
              <w:pStyle w:val="TAC"/>
            </w:pPr>
            <w:r w:rsidRPr="00C64ECB">
              <w:rPr>
                <w:rFonts w:hint="eastAsia"/>
              </w:rPr>
              <w:t>5610</w:t>
            </w:r>
          </w:p>
        </w:tc>
      </w:tr>
      <w:tr w:rsidR="007C0B5A" w:rsidRPr="00C64ECB" w14:paraId="46D32B43" w14:textId="77777777" w:rsidTr="00126681">
        <w:trPr>
          <w:trHeight w:val="207"/>
          <w:jc w:val="center"/>
        </w:trPr>
        <w:tc>
          <w:tcPr>
            <w:tcW w:w="917" w:type="dxa"/>
          </w:tcPr>
          <w:p w14:paraId="1A951126" w14:textId="77777777" w:rsidR="007C0B5A" w:rsidRPr="00C64ECB" w:rsidRDefault="007C0B5A" w:rsidP="00126681">
            <w:pPr>
              <w:pStyle w:val="TAC"/>
            </w:pPr>
            <w:r w:rsidRPr="00C64ECB">
              <w:rPr>
                <w:rFonts w:hint="eastAsia"/>
              </w:rPr>
              <w:t>3</w:t>
            </w:r>
          </w:p>
        </w:tc>
        <w:tc>
          <w:tcPr>
            <w:tcW w:w="2617" w:type="dxa"/>
            <w:vMerge w:val="restart"/>
            <w:vAlign w:val="center"/>
          </w:tcPr>
          <w:p w14:paraId="63BFA84F" w14:textId="77777777" w:rsidR="007C0B5A" w:rsidRPr="00C64ECB" w:rsidRDefault="007C0B5A" w:rsidP="00126681">
            <w:pPr>
              <w:pStyle w:val="TAC"/>
            </w:pPr>
            <w:r w:rsidRPr="00C64ECB">
              <w:rPr>
                <w:rFonts w:hint="eastAsia"/>
              </w:rPr>
              <w:t>5290</w:t>
            </w:r>
          </w:p>
        </w:tc>
        <w:tc>
          <w:tcPr>
            <w:tcW w:w="3210" w:type="dxa"/>
            <w:vAlign w:val="center"/>
          </w:tcPr>
          <w:p w14:paraId="4AA8BFCE" w14:textId="77777777" w:rsidR="007C0B5A" w:rsidRPr="00C64ECB" w:rsidRDefault="007C0B5A" w:rsidP="00126681">
            <w:pPr>
              <w:pStyle w:val="TAC"/>
            </w:pPr>
            <w:r w:rsidRPr="00C64ECB">
              <w:rPr>
                <w:rFonts w:hint="eastAsia"/>
              </w:rPr>
              <w:t>5530</w:t>
            </w:r>
          </w:p>
        </w:tc>
      </w:tr>
      <w:tr w:rsidR="007C0B5A" w:rsidRPr="00C64ECB" w14:paraId="499F7EB0" w14:textId="77777777" w:rsidTr="00126681">
        <w:trPr>
          <w:trHeight w:val="207"/>
          <w:jc w:val="center"/>
        </w:trPr>
        <w:tc>
          <w:tcPr>
            <w:tcW w:w="917" w:type="dxa"/>
          </w:tcPr>
          <w:p w14:paraId="2E2F729F" w14:textId="77777777" w:rsidR="007C0B5A" w:rsidRPr="00C64ECB" w:rsidRDefault="007C0B5A" w:rsidP="00126681">
            <w:pPr>
              <w:pStyle w:val="TAC"/>
            </w:pPr>
            <w:r w:rsidRPr="00C64ECB">
              <w:rPr>
                <w:rFonts w:hint="eastAsia"/>
              </w:rPr>
              <w:t>4</w:t>
            </w:r>
          </w:p>
        </w:tc>
        <w:tc>
          <w:tcPr>
            <w:tcW w:w="2617" w:type="dxa"/>
            <w:vMerge/>
            <w:vAlign w:val="center"/>
          </w:tcPr>
          <w:p w14:paraId="6D4D09F6" w14:textId="77777777" w:rsidR="007C0B5A" w:rsidRPr="00C64ECB" w:rsidRDefault="007C0B5A" w:rsidP="00126681">
            <w:pPr>
              <w:pStyle w:val="TAC"/>
            </w:pPr>
          </w:p>
        </w:tc>
        <w:tc>
          <w:tcPr>
            <w:tcW w:w="3210" w:type="dxa"/>
            <w:vAlign w:val="center"/>
          </w:tcPr>
          <w:p w14:paraId="3F841828" w14:textId="77777777" w:rsidR="007C0B5A" w:rsidRPr="00C64ECB" w:rsidRDefault="007C0B5A" w:rsidP="00126681">
            <w:pPr>
              <w:pStyle w:val="TAC"/>
            </w:pPr>
            <w:r w:rsidRPr="00C64ECB">
              <w:rPr>
                <w:rFonts w:hint="eastAsia"/>
              </w:rPr>
              <w:t>5610</w:t>
            </w:r>
          </w:p>
        </w:tc>
      </w:tr>
    </w:tbl>
    <w:p w14:paraId="06CBFCB5" w14:textId="77777777" w:rsidR="007C0B5A" w:rsidRPr="00C64ECB" w:rsidRDefault="007C0B5A" w:rsidP="007C0B5A"/>
    <w:p w14:paraId="5AAA6C44" w14:textId="77777777" w:rsidR="007C0B5A" w:rsidRPr="00C64ECB" w:rsidRDefault="007C0B5A" w:rsidP="007C0B5A">
      <w:r w:rsidRPr="00C64ECB">
        <w:t>Side conditions</w:t>
      </w:r>
    </w:p>
    <w:p w14:paraId="5708559A" w14:textId="77777777" w:rsidR="007C0B5A" w:rsidRPr="00C64ECB" w:rsidRDefault="007C0B5A" w:rsidP="007C0B5A">
      <w:pPr>
        <w:pStyle w:val="B1"/>
      </w:pPr>
      <w:r w:rsidRPr="00C64ECB">
        <w:t>-</w:t>
      </w:r>
      <w:r w:rsidRPr="00C64ECB">
        <w:tab/>
        <w:t>Occupied bandwidth for respective Carrier for Centre frequency is &gt; 38 MHz and ≤ 78 MHz.</w:t>
      </w:r>
    </w:p>
    <w:p w14:paraId="75C8DA2C" w14:textId="77777777" w:rsidR="007C0B5A" w:rsidRPr="00C64ECB" w:rsidRDefault="007C0B5A" w:rsidP="007C0B5A">
      <w:pPr>
        <w:pStyle w:val="B1"/>
      </w:pPr>
      <w:r w:rsidRPr="00C64ECB">
        <w:t>-</w:t>
      </w:r>
      <w:r w:rsidRPr="00C64ECB">
        <w:tab/>
        <w:t>Maximum Output power ≤ 1.25 mW</w:t>
      </w:r>
    </w:p>
    <w:p w14:paraId="3566B309" w14:textId="77777777" w:rsidR="007C0B5A" w:rsidRPr="00C64ECB" w:rsidRDefault="007C0B5A" w:rsidP="007C0B5A">
      <w:pPr>
        <w:pStyle w:val="B1"/>
      </w:pPr>
      <w:r w:rsidRPr="00C64ECB">
        <w:t>-</w:t>
      </w:r>
      <w:r w:rsidRPr="00C64ECB">
        <w:tab/>
        <w:t>e.i.r.p.≤ 1.25</w:t>
      </w:r>
      <m:oMath>
        <m:r>
          <m:rPr>
            <m:sty m:val="p"/>
          </m:rPr>
          <w:rPr>
            <w:rFonts w:ascii="Cambria Math" w:eastAsia="MS Mincho" w:hAnsi="Arial" w:cs="Arial"/>
          </w:rPr>
          <m:t xml:space="preserve"> </m:t>
        </m:r>
      </m:oMath>
      <w:r w:rsidRPr="00C64ECB">
        <w:t>mW</w:t>
      </w:r>
    </w:p>
    <w:p w14:paraId="3FEF2D39" w14:textId="77777777" w:rsidR="007C0B5A" w:rsidRPr="00C64ECB" w:rsidRDefault="007C0B5A" w:rsidP="007C0B5A"/>
    <w:p w14:paraId="55A6AC16" w14:textId="77777777" w:rsidR="007C0B5A" w:rsidRPr="00C64ECB" w:rsidRDefault="007C0B5A" w:rsidP="007C0B5A">
      <w:pPr>
        <w:pStyle w:val="TH"/>
        <w:rPr>
          <w:rFonts w:cs="v5.0.0"/>
        </w:rPr>
      </w:pPr>
      <w:r w:rsidRPr="00C64ECB">
        <w:t>Table 4.</w:t>
      </w:r>
      <w:r w:rsidR="000D7B67" w:rsidRPr="00C64ECB">
        <w:t>1.</w:t>
      </w:r>
      <w:r w:rsidRPr="00C64ECB">
        <w:t>3.2.3-2:</w:t>
      </w:r>
      <w:r w:rsidRPr="00C64ECB">
        <w:rPr>
          <w:rFonts w:hint="eastAsia"/>
        </w:rPr>
        <w:t xml:space="preserve"> Adjacent Channel Leakage Ratio (ACLR)</w:t>
      </w:r>
    </w:p>
    <w:tbl>
      <w:tblPr>
        <w:tblW w:w="4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8"/>
        <w:gridCol w:w="2261"/>
      </w:tblGrid>
      <w:tr w:rsidR="007C0B5A" w:rsidRPr="00C64ECB" w14:paraId="10735018" w14:textId="77777777" w:rsidTr="00126681">
        <w:trPr>
          <w:jc w:val="center"/>
        </w:trPr>
        <w:tc>
          <w:tcPr>
            <w:tcW w:w="2418" w:type="dxa"/>
          </w:tcPr>
          <w:p w14:paraId="7624B3A9" w14:textId="77777777" w:rsidR="007C0B5A" w:rsidRPr="00C64ECB" w:rsidRDefault="007C0B5A" w:rsidP="00126681">
            <w:pPr>
              <w:pStyle w:val="TAH"/>
            </w:pPr>
            <w:r w:rsidRPr="00C64ECB">
              <w:rPr>
                <w:rFonts w:hint="eastAsia"/>
              </w:rPr>
              <w:t>Occupied bandwidth</w:t>
            </w:r>
          </w:p>
        </w:tc>
        <w:tc>
          <w:tcPr>
            <w:tcW w:w="2261" w:type="dxa"/>
          </w:tcPr>
          <w:p w14:paraId="790D5B45" w14:textId="77777777" w:rsidR="007C0B5A" w:rsidRPr="00C64ECB" w:rsidRDefault="007C0B5A" w:rsidP="00126681">
            <w:pPr>
              <w:pStyle w:val="TAH"/>
            </w:pPr>
            <w:r w:rsidRPr="00C64ECB">
              <w:t>&gt;</w:t>
            </w:r>
            <w:r w:rsidRPr="00C64ECB">
              <w:rPr>
                <w:rFonts w:hint="eastAsia"/>
              </w:rPr>
              <w:t xml:space="preserve"> 38MHz and </w:t>
            </w:r>
            <w:r w:rsidRPr="00C64ECB">
              <w:t>≤</w:t>
            </w:r>
            <w:r w:rsidRPr="00C64ECB">
              <w:rPr>
                <w:rFonts w:hint="eastAsia"/>
              </w:rPr>
              <w:t xml:space="preserve"> 78</w:t>
            </w:r>
            <w:r w:rsidRPr="00C64ECB">
              <w:t>MHz</w:t>
            </w:r>
          </w:p>
        </w:tc>
      </w:tr>
      <w:tr w:rsidR="007C0B5A" w:rsidRPr="00C64ECB" w14:paraId="753CD0D1" w14:textId="77777777" w:rsidTr="00126681">
        <w:trPr>
          <w:jc w:val="center"/>
        </w:trPr>
        <w:tc>
          <w:tcPr>
            <w:tcW w:w="2418" w:type="dxa"/>
            <w:vAlign w:val="center"/>
          </w:tcPr>
          <w:p w14:paraId="32D45D18" w14:textId="77777777" w:rsidR="007C0B5A" w:rsidRPr="00C64ECB" w:rsidRDefault="007C0B5A" w:rsidP="00126681">
            <w:pPr>
              <w:pStyle w:val="TAC"/>
            </w:pPr>
            <w:r w:rsidRPr="00C64ECB">
              <w:rPr>
                <w:rFonts w:hint="eastAsia"/>
              </w:rPr>
              <w:t>ACLR</w:t>
            </w:r>
          </w:p>
        </w:tc>
        <w:tc>
          <w:tcPr>
            <w:tcW w:w="2261" w:type="dxa"/>
            <w:vAlign w:val="center"/>
          </w:tcPr>
          <w:p w14:paraId="18043A49" w14:textId="77777777" w:rsidR="007C0B5A" w:rsidRPr="00C64ECB" w:rsidRDefault="007C0B5A" w:rsidP="00126681">
            <w:pPr>
              <w:pStyle w:val="TAC"/>
            </w:pPr>
            <w:r w:rsidRPr="00C64ECB">
              <w:rPr>
                <w:rFonts w:ascii="Cambria" w:hAnsi="Cambria" w:cs="Cambria"/>
              </w:rPr>
              <w:t xml:space="preserve">≥ </w:t>
            </w:r>
            <w:r w:rsidRPr="00C64ECB">
              <w:rPr>
                <w:rFonts w:hint="eastAsia"/>
              </w:rPr>
              <w:t>25</w:t>
            </w:r>
            <w:r w:rsidRPr="00C64ECB">
              <w:t xml:space="preserve"> dB</w:t>
            </w:r>
          </w:p>
        </w:tc>
      </w:tr>
      <w:tr w:rsidR="007C0B5A" w:rsidRPr="00C64ECB" w14:paraId="306BAAFC" w14:textId="77777777" w:rsidTr="00126681">
        <w:trPr>
          <w:jc w:val="center"/>
        </w:trPr>
        <w:tc>
          <w:tcPr>
            <w:tcW w:w="2418" w:type="dxa"/>
            <w:vAlign w:val="center"/>
          </w:tcPr>
          <w:p w14:paraId="3923DB03" w14:textId="77777777" w:rsidR="007C0B5A" w:rsidRPr="00C64ECB" w:rsidRDefault="007C0B5A" w:rsidP="00126681">
            <w:pPr>
              <w:pStyle w:val="TAC"/>
            </w:pPr>
            <w:r w:rsidRPr="00C64ECB">
              <w:t>Measurement</w:t>
            </w:r>
          </w:p>
          <w:p w14:paraId="2F95C9F3" w14:textId="77777777" w:rsidR="007C0B5A" w:rsidRPr="00C64ECB" w:rsidRDefault="007C0B5A" w:rsidP="00126681">
            <w:pPr>
              <w:pStyle w:val="TAC"/>
            </w:pPr>
            <w:r w:rsidRPr="00C64ECB">
              <w:t>bandwidth</w:t>
            </w:r>
          </w:p>
        </w:tc>
        <w:tc>
          <w:tcPr>
            <w:tcW w:w="2261" w:type="dxa"/>
            <w:vAlign w:val="center"/>
          </w:tcPr>
          <w:p w14:paraId="20712A2C" w14:textId="77777777" w:rsidR="007C0B5A" w:rsidRPr="00C64ECB" w:rsidRDefault="007C0B5A" w:rsidP="00126681">
            <w:pPr>
              <w:pStyle w:val="TAC"/>
            </w:pPr>
            <w:r w:rsidRPr="00C64ECB">
              <w:rPr>
                <w:rFonts w:hint="eastAsia"/>
              </w:rPr>
              <w:t>78</w:t>
            </w:r>
            <w:r w:rsidRPr="00C64ECB">
              <w:t xml:space="preserve"> MHz</w:t>
            </w:r>
          </w:p>
        </w:tc>
      </w:tr>
      <w:tr w:rsidR="007C0B5A" w:rsidRPr="00C64ECB" w14:paraId="3D818CA1" w14:textId="77777777" w:rsidTr="00126681">
        <w:trPr>
          <w:jc w:val="center"/>
        </w:trPr>
        <w:tc>
          <w:tcPr>
            <w:tcW w:w="2418" w:type="dxa"/>
            <w:vAlign w:val="center"/>
          </w:tcPr>
          <w:p w14:paraId="2D8B4696" w14:textId="77777777" w:rsidR="007C0B5A" w:rsidRPr="00C64ECB" w:rsidRDefault="007C0B5A" w:rsidP="00126681">
            <w:pPr>
              <w:pStyle w:val="TAC"/>
            </w:pPr>
            <w:r w:rsidRPr="00C64ECB">
              <w:t xml:space="preserve">Adjacent channel centre </w:t>
            </w:r>
          </w:p>
          <w:p w14:paraId="531FB571" w14:textId="77777777" w:rsidR="007C0B5A" w:rsidRPr="00C64ECB" w:rsidRDefault="007C0B5A" w:rsidP="00126681">
            <w:pPr>
              <w:pStyle w:val="TAC"/>
            </w:pPr>
            <w:r w:rsidRPr="00C64ECB">
              <w:t>frequency offset [MHz]</w:t>
            </w:r>
          </w:p>
        </w:tc>
        <w:tc>
          <w:tcPr>
            <w:tcW w:w="2261" w:type="dxa"/>
            <w:vAlign w:val="center"/>
          </w:tcPr>
          <w:p w14:paraId="02809ECD" w14:textId="77777777" w:rsidR="007C0B5A" w:rsidRPr="00C64ECB" w:rsidRDefault="007C0B5A" w:rsidP="00126681">
            <w:pPr>
              <w:pStyle w:val="TAC"/>
            </w:pPr>
            <w:r w:rsidRPr="00C64ECB">
              <w:t>+</w:t>
            </w:r>
            <w:r w:rsidRPr="00C64ECB">
              <w:rPr>
                <w:rFonts w:hint="eastAsia"/>
              </w:rPr>
              <w:t>80</w:t>
            </w:r>
          </w:p>
          <w:p w14:paraId="1B58BD6C" w14:textId="77777777" w:rsidR="007C0B5A" w:rsidRPr="00C64ECB" w:rsidRDefault="007C0B5A" w:rsidP="00126681">
            <w:pPr>
              <w:pStyle w:val="TAC"/>
            </w:pPr>
            <w:r w:rsidRPr="00C64ECB">
              <w:t>/</w:t>
            </w:r>
          </w:p>
          <w:p w14:paraId="36678C63" w14:textId="77777777" w:rsidR="007C0B5A" w:rsidRPr="00C64ECB" w:rsidRDefault="007C0B5A" w:rsidP="00126681">
            <w:pPr>
              <w:pStyle w:val="TAC"/>
            </w:pPr>
            <w:r w:rsidRPr="00C64ECB">
              <w:t>-</w:t>
            </w:r>
            <w:r w:rsidRPr="00C64ECB">
              <w:rPr>
                <w:rFonts w:hint="eastAsia"/>
              </w:rPr>
              <w:t>80</w:t>
            </w:r>
          </w:p>
        </w:tc>
      </w:tr>
      <w:tr w:rsidR="007C0B5A" w:rsidRPr="00C64ECB" w14:paraId="567AF46A" w14:textId="77777777" w:rsidTr="00126681">
        <w:trPr>
          <w:jc w:val="center"/>
        </w:trPr>
        <w:tc>
          <w:tcPr>
            <w:tcW w:w="4679" w:type="dxa"/>
            <w:gridSpan w:val="2"/>
            <w:vAlign w:val="center"/>
          </w:tcPr>
          <w:p w14:paraId="2DFCCE16" w14:textId="77777777" w:rsidR="007C0B5A" w:rsidRPr="00C64ECB" w:rsidRDefault="007C0B5A" w:rsidP="00126681">
            <w:pPr>
              <w:pStyle w:val="NO"/>
            </w:pPr>
            <w:r w:rsidRPr="00C64ECB">
              <w:rPr>
                <w:rFonts w:hint="eastAsia"/>
              </w:rPr>
              <w:t>Note: Applicable to respective carrier</w:t>
            </w:r>
          </w:p>
        </w:tc>
      </w:tr>
    </w:tbl>
    <w:p w14:paraId="45FF58DB" w14:textId="77777777" w:rsidR="007C0B5A" w:rsidRPr="00C64ECB" w:rsidRDefault="007C0B5A" w:rsidP="007C0B5A">
      <w:pPr>
        <w:rPr>
          <w:rFonts w:eastAsia="MS Mincho"/>
        </w:rPr>
      </w:pPr>
    </w:p>
    <w:p w14:paraId="700094EF" w14:textId="77777777" w:rsidR="007C0B5A" w:rsidRPr="00C64ECB" w:rsidRDefault="007C0B5A" w:rsidP="007C0B5A">
      <w:pPr>
        <w:pStyle w:val="TH"/>
        <w:rPr>
          <w:rFonts w:cs="v5.0.0"/>
        </w:rPr>
      </w:pPr>
      <w:r w:rsidRPr="00C64ECB">
        <w:t>Table 4.</w:t>
      </w:r>
      <w:r w:rsidR="000D7B67" w:rsidRPr="00C64ECB">
        <w:t>1.</w:t>
      </w:r>
      <w:r w:rsidRPr="00C64ECB">
        <w:t>3.2.3-3:</w:t>
      </w:r>
      <w:r w:rsidRPr="00C64ECB">
        <w:rPr>
          <w:rFonts w:hint="eastAsia"/>
        </w:rPr>
        <w:t xml:space="preserve"> SEM: Case 1 and 2</w:t>
      </w:r>
    </w:p>
    <w:tbl>
      <w:tblPr>
        <w:tblW w:w="9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7"/>
        <w:gridCol w:w="1971"/>
        <w:gridCol w:w="3155"/>
        <w:gridCol w:w="2921"/>
      </w:tblGrid>
      <w:tr w:rsidR="007C0B5A" w:rsidRPr="00C64ECB" w14:paraId="109BB0E4" w14:textId="77777777" w:rsidTr="00126681">
        <w:trPr>
          <w:jc w:val="center"/>
        </w:trPr>
        <w:tc>
          <w:tcPr>
            <w:tcW w:w="1357" w:type="dxa"/>
          </w:tcPr>
          <w:p w14:paraId="615E8AAF" w14:textId="77777777" w:rsidR="007C0B5A" w:rsidRPr="00C64ECB" w:rsidRDefault="007C0B5A" w:rsidP="00126681">
            <w:pPr>
              <w:pStyle w:val="TAH"/>
            </w:pPr>
            <w:r w:rsidRPr="00C64ECB">
              <w:t xml:space="preserve">Centre </w:t>
            </w:r>
          </w:p>
          <w:p w14:paraId="02FB5124" w14:textId="77777777" w:rsidR="007C0B5A" w:rsidRPr="00C64ECB" w:rsidRDefault="007C0B5A" w:rsidP="00126681">
            <w:pPr>
              <w:pStyle w:val="TAH"/>
            </w:pPr>
            <w:r w:rsidRPr="00C64ECB">
              <w:t xml:space="preserve">Frequency </w:t>
            </w:r>
          </w:p>
          <w:p w14:paraId="7E648553" w14:textId="77777777" w:rsidR="007C0B5A" w:rsidRPr="00C64ECB" w:rsidRDefault="007C0B5A" w:rsidP="00126681">
            <w:pPr>
              <w:pStyle w:val="TAH"/>
            </w:pPr>
            <w:r w:rsidRPr="00C64ECB">
              <w:t>(MHz)</w:t>
            </w:r>
          </w:p>
        </w:tc>
        <w:tc>
          <w:tcPr>
            <w:tcW w:w="1971" w:type="dxa"/>
          </w:tcPr>
          <w:p w14:paraId="715BCAA5" w14:textId="77777777" w:rsidR="007C0B5A" w:rsidRPr="00C64ECB" w:rsidRDefault="007C0B5A" w:rsidP="00126681">
            <w:pPr>
              <w:pStyle w:val="TAH"/>
            </w:pPr>
            <w:r w:rsidRPr="00C64ECB">
              <w:t>Frequency range(f)</w:t>
            </w:r>
          </w:p>
          <w:p w14:paraId="697A18B2" w14:textId="77777777" w:rsidR="007C0B5A" w:rsidRPr="00C64ECB" w:rsidRDefault="007C0B5A" w:rsidP="00126681">
            <w:pPr>
              <w:pStyle w:val="TAH"/>
            </w:pPr>
            <w:r w:rsidRPr="00C64ECB">
              <w:t>(MHz)</w:t>
            </w:r>
          </w:p>
        </w:tc>
        <w:tc>
          <w:tcPr>
            <w:tcW w:w="3155" w:type="dxa"/>
          </w:tcPr>
          <w:p w14:paraId="0C124F24" w14:textId="77777777" w:rsidR="007C0B5A" w:rsidRPr="00C64ECB" w:rsidRDefault="007C0B5A" w:rsidP="00126681">
            <w:pPr>
              <w:pStyle w:val="TAH"/>
            </w:pPr>
            <w:r w:rsidRPr="00C64ECB">
              <w:t>Frequency difference between centre frequency – the edges of frequency range(MHz)</w:t>
            </w:r>
          </w:p>
        </w:tc>
        <w:tc>
          <w:tcPr>
            <w:tcW w:w="2921" w:type="dxa"/>
          </w:tcPr>
          <w:p w14:paraId="3572CFD3" w14:textId="77777777" w:rsidR="007C0B5A" w:rsidRPr="00C64ECB" w:rsidRDefault="007C0B5A" w:rsidP="00126681">
            <w:pPr>
              <w:pStyle w:val="TAH"/>
            </w:pPr>
            <w:r w:rsidRPr="00C64ECB">
              <w:t>e.i.r.p/MHz</w:t>
            </w:r>
          </w:p>
        </w:tc>
      </w:tr>
      <w:tr w:rsidR="007C0B5A" w:rsidRPr="00C64ECB" w14:paraId="79D111FD" w14:textId="77777777" w:rsidTr="00126681">
        <w:trPr>
          <w:jc w:val="center"/>
        </w:trPr>
        <w:tc>
          <w:tcPr>
            <w:tcW w:w="1357" w:type="dxa"/>
            <w:vMerge w:val="restart"/>
            <w:vAlign w:val="center"/>
          </w:tcPr>
          <w:p w14:paraId="3FDDC922" w14:textId="77777777" w:rsidR="007C0B5A" w:rsidRPr="00C64ECB" w:rsidRDefault="007C0B5A" w:rsidP="00126681">
            <w:pPr>
              <w:pStyle w:val="TAC"/>
            </w:pPr>
            <w:r w:rsidRPr="00C64ECB">
              <w:t>5,210</w:t>
            </w:r>
          </w:p>
        </w:tc>
        <w:tc>
          <w:tcPr>
            <w:tcW w:w="1971" w:type="dxa"/>
            <w:vAlign w:val="center"/>
          </w:tcPr>
          <w:p w14:paraId="3A7A00EF" w14:textId="77777777" w:rsidR="007C0B5A" w:rsidRPr="00C64ECB" w:rsidRDefault="007C0B5A" w:rsidP="00126681">
            <w:pPr>
              <w:pStyle w:val="TAC"/>
            </w:pPr>
            <w:r w:rsidRPr="00C64ECB">
              <w:t>5,020 ≤ f ≤ 5,134.8</w:t>
            </w:r>
          </w:p>
        </w:tc>
        <w:tc>
          <w:tcPr>
            <w:tcW w:w="3155" w:type="dxa"/>
          </w:tcPr>
          <w:p w14:paraId="758293A8" w14:textId="77777777" w:rsidR="007C0B5A" w:rsidRPr="00C64ECB" w:rsidRDefault="007C0B5A" w:rsidP="00126681">
            <w:pPr>
              <w:pStyle w:val="TAC"/>
            </w:pPr>
            <w:r w:rsidRPr="00C64ECB">
              <w:t>≥ 75.2 and ≤ 190</w:t>
            </w:r>
          </w:p>
        </w:tc>
        <w:tc>
          <w:tcPr>
            <w:tcW w:w="2921" w:type="dxa"/>
            <w:vAlign w:val="center"/>
          </w:tcPr>
          <w:p w14:paraId="2D679522" w14:textId="77777777" w:rsidR="007C0B5A" w:rsidRPr="00C64ECB" w:rsidRDefault="007C0B5A" w:rsidP="00126681">
            <w:pPr>
              <w:pStyle w:val="TAC"/>
            </w:pPr>
            <w:r w:rsidRPr="00C64ECB">
              <w:t xml:space="preserve">≤ 2.5 </w:t>
            </w:r>
            <w:r w:rsidRPr="00C64ECB">
              <w:t>W</w:t>
            </w:r>
          </w:p>
        </w:tc>
      </w:tr>
      <w:tr w:rsidR="007C0B5A" w:rsidRPr="00C64ECB" w14:paraId="2A852759" w14:textId="77777777" w:rsidTr="00126681">
        <w:trPr>
          <w:jc w:val="center"/>
        </w:trPr>
        <w:tc>
          <w:tcPr>
            <w:tcW w:w="1357" w:type="dxa"/>
            <w:vMerge/>
            <w:vAlign w:val="center"/>
          </w:tcPr>
          <w:p w14:paraId="64AC128A" w14:textId="77777777" w:rsidR="007C0B5A" w:rsidRPr="00C64ECB" w:rsidRDefault="007C0B5A" w:rsidP="00126681">
            <w:pPr>
              <w:pStyle w:val="TAC"/>
            </w:pPr>
          </w:p>
        </w:tc>
        <w:tc>
          <w:tcPr>
            <w:tcW w:w="1971" w:type="dxa"/>
            <w:vAlign w:val="center"/>
          </w:tcPr>
          <w:p w14:paraId="38502D3F" w14:textId="77777777" w:rsidR="007C0B5A" w:rsidRPr="00C64ECB" w:rsidRDefault="007C0B5A" w:rsidP="00126681">
            <w:pPr>
              <w:pStyle w:val="TAC"/>
            </w:pPr>
            <w:r w:rsidRPr="00C64ECB">
              <w:t>5,134.8 &lt; f ≤ 5,150</w:t>
            </w:r>
          </w:p>
        </w:tc>
        <w:tc>
          <w:tcPr>
            <w:tcW w:w="3155" w:type="dxa"/>
          </w:tcPr>
          <w:p w14:paraId="76E4A00D" w14:textId="77777777" w:rsidR="007C0B5A" w:rsidRPr="00C64ECB" w:rsidRDefault="007C0B5A" w:rsidP="00126681">
            <w:pPr>
              <w:pStyle w:val="TAC"/>
            </w:pPr>
            <w:r w:rsidRPr="00C64ECB">
              <w:t>≥ 60 and &lt; 75.2</w:t>
            </w:r>
          </w:p>
        </w:tc>
        <w:tc>
          <w:tcPr>
            <w:tcW w:w="2921" w:type="dxa"/>
            <w:vAlign w:val="center"/>
          </w:tcPr>
          <w:p w14:paraId="3BDD0E94" w14:textId="77777777" w:rsidR="007C0B5A" w:rsidRPr="00C64ECB" w:rsidRDefault="007C0B5A" w:rsidP="00126681">
            <w:pPr>
              <w:pStyle w:val="TAC"/>
            </w:pPr>
            <w:r w:rsidRPr="00C64ECB">
              <w:t xml:space="preserve">≤ 12.5 </w:t>
            </w:r>
            <w:r w:rsidRPr="00C64ECB">
              <w:t>W</w:t>
            </w:r>
          </w:p>
        </w:tc>
      </w:tr>
      <w:tr w:rsidR="007C0B5A" w:rsidRPr="00C64ECB" w14:paraId="3A9E2B57" w14:textId="77777777" w:rsidTr="00126681">
        <w:trPr>
          <w:jc w:val="center"/>
        </w:trPr>
        <w:tc>
          <w:tcPr>
            <w:tcW w:w="1357" w:type="dxa"/>
            <w:vMerge/>
            <w:vAlign w:val="center"/>
          </w:tcPr>
          <w:p w14:paraId="5143442B" w14:textId="77777777" w:rsidR="007C0B5A" w:rsidRPr="00C64ECB" w:rsidRDefault="007C0B5A" w:rsidP="00126681">
            <w:pPr>
              <w:pStyle w:val="TAC"/>
            </w:pPr>
          </w:p>
        </w:tc>
        <w:tc>
          <w:tcPr>
            <w:tcW w:w="1971" w:type="dxa"/>
            <w:vAlign w:val="center"/>
          </w:tcPr>
          <w:p w14:paraId="1C9B005D" w14:textId="77777777" w:rsidR="007C0B5A" w:rsidRPr="00C64ECB" w:rsidRDefault="007C0B5A" w:rsidP="00126681">
            <w:pPr>
              <w:pStyle w:val="TAC"/>
            </w:pPr>
            <w:r w:rsidRPr="00C64ECB">
              <w:t>5,250 ≤ f &lt; 5,251</w:t>
            </w:r>
          </w:p>
        </w:tc>
        <w:tc>
          <w:tcPr>
            <w:tcW w:w="3155" w:type="dxa"/>
          </w:tcPr>
          <w:p w14:paraId="0169A1FE" w14:textId="77777777" w:rsidR="007C0B5A" w:rsidRPr="00C64ECB" w:rsidRDefault="007C0B5A" w:rsidP="00126681">
            <w:pPr>
              <w:pStyle w:val="TAC"/>
            </w:pPr>
            <w:r w:rsidRPr="00C64ECB">
              <w:t>≥ 40 and &lt; 41</w:t>
            </w:r>
          </w:p>
        </w:tc>
        <w:tc>
          <w:tcPr>
            <w:tcW w:w="2921" w:type="dxa"/>
            <w:vAlign w:val="center"/>
          </w:tcPr>
          <w:p w14:paraId="4C783536" w14:textId="77777777" w:rsidR="007C0B5A" w:rsidRPr="00C64ECB" w:rsidRDefault="007C0B5A" w:rsidP="00126681">
            <w:pPr>
              <w:pStyle w:val="TAC"/>
            </w:pPr>
            <w:r w:rsidRPr="00C64ECB">
              <w:t xml:space="preserve">≤ </w:t>
            </w:r>
            <m:oMath>
              <m:sSup>
                <m:sSupPr>
                  <m:ctrlPr>
                    <w:rPr>
                      <w:rFonts w:ascii="Cambria Math" w:eastAsia="MS Mincho" w:hAnsi="Cambria Math" w:cs="Arial"/>
                    </w:rPr>
                  </m:ctrlPr>
                </m:sSupPr>
                <m:e>
                  <m:r>
                    <w:rPr>
                      <w:rFonts w:ascii="Cambria Math" w:eastAsia="MS Mincho" w:cs="Arial"/>
                    </w:rPr>
                    <m:t>10</m:t>
                  </m:r>
                </m:e>
                <m:sup>
                  <m:r>
                    <w:rPr>
                      <w:rFonts w:eastAsia="MS Mincho" w:cs="Arial"/>
                    </w:rPr>
                    <m:t>-</m:t>
                  </m:r>
                  <m:d>
                    <m:dPr>
                      <m:ctrlPr>
                        <w:rPr>
                          <w:rFonts w:ascii="Cambria Math" w:eastAsia="MS Mincho" w:hAnsi="Cambria Math" w:cs="Arial"/>
                          <w:i/>
                        </w:rPr>
                      </m:ctrlPr>
                    </m:dPr>
                    <m:e>
                      <m:r>
                        <w:rPr>
                          <w:rFonts w:ascii="Cambria Math" w:eastAsia="MS Mincho" w:hAnsi="Cambria Math" w:cs="Arial"/>
                        </w:rPr>
                        <m:t>f</m:t>
                      </m:r>
                      <m:r>
                        <w:rPr>
                          <w:rFonts w:eastAsia="MS Mincho" w:cs="Arial"/>
                        </w:rPr>
                        <m:t>-</m:t>
                      </m:r>
                      <m:r>
                        <w:rPr>
                          <w:rFonts w:ascii="Cambria Math" w:eastAsia="MS Mincho" w:cs="Arial"/>
                        </w:rPr>
                        <m:t>40</m:t>
                      </m:r>
                    </m:e>
                  </m:d>
                  <m:r>
                    <w:rPr>
                      <w:rFonts w:ascii="Cambria Math" w:eastAsia="MS Mincho" w:cs="Arial"/>
                    </w:rPr>
                    <m:t>+</m:t>
                  </m:r>
                  <m:r>
                    <m:rPr>
                      <m:sty m:val="p"/>
                    </m:rPr>
                    <w:rPr>
                      <w:rFonts w:ascii="Cambria Math" w:eastAsia="MS Mincho" w:cs="Arial"/>
                    </w:rPr>
                    <m:t>log</m:t>
                  </m:r>
                  <m:r>
                    <m:rPr>
                      <m:sty m:val="p"/>
                    </m:rPr>
                    <w:rPr>
                      <w:rFonts w:ascii="Cambria Math" w:eastAsia="MS Mincho" w:hAnsi="Cambria Math" w:cs="Arial"/>
                    </w:rPr>
                    <m:t>⁡</m:t>
                  </m:r>
                  <m:r>
                    <w:rPr>
                      <w:rFonts w:ascii="Cambria Math" w:eastAsia="MS Mincho" w:cs="Arial"/>
                    </w:rPr>
                    <m:t>(1/8)</m:t>
                  </m:r>
                </m:sup>
              </m:sSup>
            </m:oMath>
            <w:r w:rsidRPr="00C64ECB">
              <w:t xml:space="preserve"> mW</w:t>
            </w:r>
          </w:p>
        </w:tc>
      </w:tr>
      <w:tr w:rsidR="007C0B5A" w:rsidRPr="00C64ECB" w14:paraId="67927AAA" w14:textId="77777777" w:rsidTr="00126681">
        <w:trPr>
          <w:jc w:val="center"/>
        </w:trPr>
        <w:tc>
          <w:tcPr>
            <w:tcW w:w="1357" w:type="dxa"/>
            <w:vMerge/>
            <w:vAlign w:val="center"/>
          </w:tcPr>
          <w:p w14:paraId="60F17BED" w14:textId="77777777" w:rsidR="007C0B5A" w:rsidRPr="00C64ECB" w:rsidRDefault="007C0B5A" w:rsidP="00126681">
            <w:pPr>
              <w:pStyle w:val="TAC"/>
            </w:pPr>
          </w:p>
        </w:tc>
        <w:tc>
          <w:tcPr>
            <w:tcW w:w="1971" w:type="dxa"/>
            <w:vAlign w:val="center"/>
          </w:tcPr>
          <w:p w14:paraId="2B2C0C57" w14:textId="77777777" w:rsidR="007C0B5A" w:rsidRPr="00C64ECB" w:rsidRDefault="007C0B5A" w:rsidP="00126681">
            <w:pPr>
              <w:pStyle w:val="TAC"/>
            </w:pPr>
            <w:r w:rsidRPr="00C64ECB">
              <w:t>5,251 ≤ f &lt; 5,285.2</w:t>
            </w:r>
          </w:p>
        </w:tc>
        <w:tc>
          <w:tcPr>
            <w:tcW w:w="3155" w:type="dxa"/>
            <w:vAlign w:val="center"/>
          </w:tcPr>
          <w:p w14:paraId="53E225E5" w14:textId="77777777" w:rsidR="007C0B5A" w:rsidRPr="00C64ECB" w:rsidRDefault="007C0B5A" w:rsidP="00126681">
            <w:pPr>
              <w:pStyle w:val="TAC"/>
            </w:pPr>
            <w:r w:rsidRPr="00C64ECB">
              <w:t>≥ 41 and &lt; 75.2</w:t>
            </w:r>
          </w:p>
        </w:tc>
        <w:tc>
          <w:tcPr>
            <w:tcW w:w="2921" w:type="dxa"/>
            <w:vAlign w:val="center"/>
          </w:tcPr>
          <w:p w14:paraId="25D49630" w14:textId="77777777" w:rsidR="007C0B5A" w:rsidRPr="00C64ECB" w:rsidRDefault="007C0B5A" w:rsidP="00126681">
            <w:pPr>
              <w:pStyle w:val="TAC"/>
            </w:pPr>
            <w:r w:rsidRPr="00C64ECB">
              <w:t xml:space="preserve">≤ </w:t>
            </w:r>
            <m:oMath>
              <m:sSup>
                <m:sSupPr>
                  <m:ctrlPr>
                    <w:rPr>
                      <w:rFonts w:ascii="Cambria Math" w:eastAsia="MS Mincho" w:hAnsi="Cambria Math" w:cs="Arial"/>
                    </w:rPr>
                  </m:ctrlPr>
                </m:sSupPr>
                <m:e>
                  <m:r>
                    <w:rPr>
                      <w:rFonts w:ascii="Cambria Math" w:eastAsia="MS Mincho" w:cs="Arial"/>
                    </w:rPr>
                    <m:t>10</m:t>
                  </m:r>
                </m:e>
                <m:sup>
                  <m:r>
                    <w:rPr>
                      <w:rFonts w:eastAsia="MS Mincho" w:cs="Arial"/>
                    </w:rPr>
                    <m:t>-</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cs="Arial"/>
                            </w:rPr>
                            <m:t>8</m:t>
                          </m:r>
                        </m:num>
                        <m:den>
                          <m:r>
                            <w:rPr>
                              <w:rFonts w:ascii="Cambria Math" w:eastAsia="MS Mincho" w:cs="Arial"/>
                            </w:rPr>
                            <m:t>390</m:t>
                          </m:r>
                        </m:den>
                      </m:f>
                    </m:e>
                  </m:d>
                  <m:d>
                    <m:dPr>
                      <m:ctrlPr>
                        <w:rPr>
                          <w:rFonts w:ascii="Cambria Math" w:eastAsia="MS Mincho" w:hAnsi="Cambria Math" w:cs="Arial"/>
                          <w:i/>
                        </w:rPr>
                      </m:ctrlPr>
                    </m:dPr>
                    <m:e>
                      <m:r>
                        <w:rPr>
                          <w:rFonts w:ascii="Cambria Math" w:eastAsia="MS Mincho" w:hAnsi="Cambria Math" w:cs="Arial"/>
                        </w:rPr>
                        <m:t>f</m:t>
                      </m:r>
                      <m:r>
                        <w:rPr>
                          <w:rFonts w:eastAsia="MS Mincho" w:cs="Arial"/>
                        </w:rPr>
                        <m:t>-</m:t>
                      </m:r>
                      <m:r>
                        <w:rPr>
                          <w:rFonts w:ascii="Cambria Math" w:eastAsia="MS Mincho" w:cs="Arial"/>
                        </w:rPr>
                        <m:t>41</m:t>
                      </m:r>
                    </m:e>
                  </m:d>
                  <m:r>
                    <w:rPr>
                      <w:rFonts w:eastAsia="MS Mincho" w:cs="Arial"/>
                    </w:rPr>
                    <m:t>-</m:t>
                  </m:r>
                  <m:r>
                    <w:rPr>
                      <w:rFonts w:ascii="Cambria Math" w:eastAsia="MS Mincho" w:cs="Arial"/>
                    </w:rPr>
                    <m:t>1+</m:t>
                  </m:r>
                  <m:r>
                    <m:rPr>
                      <m:sty m:val="p"/>
                    </m:rPr>
                    <w:rPr>
                      <w:rFonts w:ascii="Cambria Math" w:eastAsia="MS Mincho" w:cs="Arial"/>
                    </w:rPr>
                    <m:t>log</m:t>
                  </m:r>
                  <m:r>
                    <m:rPr>
                      <m:sty m:val="p"/>
                    </m:rPr>
                    <w:rPr>
                      <w:rFonts w:ascii="Cambria Math" w:eastAsia="MS Mincho" w:hAnsi="Cambria Math" w:cs="Arial"/>
                    </w:rPr>
                    <m:t>⁡</m:t>
                  </m:r>
                  <m:r>
                    <w:rPr>
                      <w:rFonts w:ascii="Cambria Math" w:eastAsia="MS Mincho" w:cs="Arial"/>
                    </w:rPr>
                    <m:t>(1/8)</m:t>
                  </m:r>
                </m:sup>
              </m:sSup>
            </m:oMath>
            <w:r w:rsidRPr="00C64ECB">
              <w:t xml:space="preserve"> mW</w:t>
            </w:r>
          </w:p>
        </w:tc>
      </w:tr>
      <w:tr w:rsidR="007C0B5A" w:rsidRPr="00C64ECB" w14:paraId="68BF0CC2" w14:textId="77777777" w:rsidTr="00126681">
        <w:trPr>
          <w:jc w:val="center"/>
        </w:trPr>
        <w:tc>
          <w:tcPr>
            <w:tcW w:w="1357" w:type="dxa"/>
            <w:vMerge/>
            <w:vAlign w:val="center"/>
          </w:tcPr>
          <w:p w14:paraId="7978B3AE" w14:textId="77777777" w:rsidR="007C0B5A" w:rsidRPr="00C64ECB" w:rsidRDefault="007C0B5A" w:rsidP="00126681">
            <w:pPr>
              <w:pStyle w:val="TAC"/>
            </w:pPr>
          </w:p>
        </w:tc>
        <w:tc>
          <w:tcPr>
            <w:tcW w:w="1971" w:type="dxa"/>
            <w:vAlign w:val="center"/>
          </w:tcPr>
          <w:p w14:paraId="269217F1" w14:textId="77777777" w:rsidR="007C0B5A" w:rsidRPr="00C64ECB" w:rsidRDefault="007C0B5A" w:rsidP="00126681">
            <w:pPr>
              <w:pStyle w:val="TAC"/>
            </w:pPr>
            <w:r w:rsidRPr="00C64ECB">
              <w:t>5,285.2 ≤ f &lt; 5,370</w:t>
            </w:r>
          </w:p>
        </w:tc>
        <w:tc>
          <w:tcPr>
            <w:tcW w:w="3155" w:type="dxa"/>
            <w:vAlign w:val="center"/>
          </w:tcPr>
          <w:p w14:paraId="4DAD4A99" w14:textId="77777777" w:rsidR="007C0B5A" w:rsidRPr="00C64ECB" w:rsidRDefault="007C0B5A" w:rsidP="00126681">
            <w:pPr>
              <w:pStyle w:val="TAC"/>
            </w:pPr>
            <w:r w:rsidRPr="00C64ECB">
              <w:t>≥ 75.2 and &lt; 160</w:t>
            </w:r>
          </w:p>
        </w:tc>
        <w:tc>
          <w:tcPr>
            <w:tcW w:w="2921" w:type="dxa"/>
            <w:vAlign w:val="center"/>
          </w:tcPr>
          <w:p w14:paraId="0C13A574" w14:textId="77777777" w:rsidR="007C0B5A" w:rsidRPr="00C64ECB" w:rsidRDefault="007C0B5A" w:rsidP="00126681">
            <w:pPr>
              <w:pStyle w:val="TAC"/>
            </w:pPr>
            <w:r w:rsidRPr="00C64ECB">
              <w:t xml:space="preserve">≤ 2.5 </w:t>
            </w:r>
            <w:r w:rsidRPr="00C64ECB">
              <w:t>W</w:t>
            </w:r>
          </w:p>
        </w:tc>
      </w:tr>
      <w:tr w:rsidR="007C0B5A" w:rsidRPr="00C64ECB" w14:paraId="6D3C4B58" w14:textId="77777777" w:rsidTr="00126681">
        <w:trPr>
          <w:jc w:val="center"/>
        </w:trPr>
        <w:tc>
          <w:tcPr>
            <w:tcW w:w="1357" w:type="dxa"/>
            <w:vMerge w:val="restart"/>
            <w:vAlign w:val="center"/>
          </w:tcPr>
          <w:p w14:paraId="04596278" w14:textId="77777777" w:rsidR="007C0B5A" w:rsidRPr="00C64ECB" w:rsidRDefault="007C0B5A" w:rsidP="00126681">
            <w:pPr>
              <w:pStyle w:val="TAC"/>
            </w:pPr>
            <w:r w:rsidRPr="00C64ECB">
              <w:t>5,530</w:t>
            </w:r>
          </w:p>
        </w:tc>
        <w:tc>
          <w:tcPr>
            <w:tcW w:w="1971" w:type="dxa"/>
            <w:vAlign w:val="center"/>
          </w:tcPr>
          <w:p w14:paraId="74234FF6" w14:textId="77777777" w:rsidR="007C0B5A" w:rsidRPr="00C64ECB" w:rsidRDefault="007C0B5A" w:rsidP="00126681">
            <w:pPr>
              <w:pStyle w:val="TAC"/>
            </w:pPr>
            <w:r w:rsidRPr="00C64ECB">
              <w:t>5,370 ≤ f ≤ 5,454.8</w:t>
            </w:r>
          </w:p>
        </w:tc>
        <w:tc>
          <w:tcPr>
            <w:tcW w:w="3155" w:type="dxa"/>
          </w:tcPr>
          <w:p w14:paraId="09BF7D51" w14:textId="77777777" w:rsidR="007C0B5A" w:rsidRPr="00C64ECB" w:rsidRDefault="007C0B5A" w:rsidP="00126681">
            <w:pPr>
              <w:pStyle w:val="TAC"/>
            </w:pPr>
            <w:r w:rsidRPr="00C64ECB">
              <w:t>≥ 75.2 and ≤ 160</w:t>
            </w:r>
          </w:p>
        </w:tc>
        <w:tc>
          <w:tcPr>
            <w:tcW w:w="2921" w:type="dxa"/>
            <w:vAlign w:val="center"/>
          </w:tcPr>
          <w:p w14:paraId="1237441A" w14:textId="77777777" w:rsidR="007C0B5A" w:rsidRPr="00C64ECB" w:rsidRDefault="007C0B5A" w:rsidP="00126681">
            <w:pPr>
              <w:pStyle w:val="TAC"/>
            </w:pPr>
            <w:r w:rsidRPr="00C64ECB">
              <w:t xml:space="preserve">≤ 2.5 </w:t>
            </w:r>
            <w:r w:rsidRPr="00C64ECB">
              <w:t>W</w:t>
            </w:r>
          </w:p>
        </w:tc>
      </w:tr>
      <w:tr w:rsidR="007C0B5A" w:rsidRPr="00C64ECB" w14:paraId="0DFD4EA9" w14:textId="77777777" w:rsidTr="00126681">
        <w:trPr>
          <w:trHeight w:val="173"/>
          <w:jc w:val="center"/>
        </w:trPr>
        <w:tc>
          <w:tcPr>
            <w:tcW w:w="1357" w:type="dxa"/>
            <w:vMerge/>
            <w:vAlign w:val="center"/>
          </w:tcPr>
          <w:p w14:paraId="3D236E1F" w14:textId="77777777" w:rsidR="007C0B5A" w:rsidRPr="00C64ECB" w:rsidRDefault="007C0B5A" w:rsidP="00126681">
            <w:pPr>
              <w:pStyle w:val="TAC"/>
            </w:pPr>
          </w:p>
        </w:tc>
        <w:tc>
          <w:tcPr>
            <w:tcW w:w="1971" w:type="dxa"/>
            <w:vAlign w:val="center"/>
          </w:tcPr>
          <w:p w14:paraId="13447E8B" w14:textId="77777777" w:rsidR="007C0B5A" w:rsidRPr="00C64ECB" w:rsidRDefault="007C0B5A" w:rsidP="00126681">
            <w:pPr>
              <w:pStyle w:val="TAC"/>
            </w:pPr>
            <w:r w:rsidRPr="00C64ECB">
              <w:t>5,454.8 &lt; f ≤ 5,470</w:t>
            </w:r>
          </w:p>
        </w:tc>
        <w:tc>
          <w:tcPr>
            <w:tcW w:w="3155" w:type="dxa"/>
          </w:tcPr>
          <w:p w14:paraId="45B767D2" w14:textId="77777777" w:rsidR="007C0B5A" w:rsidRPr="00C64ECB" w:rsidRDefault="007C0B5A" w:rsidP="00126681">
            <w:pPr>
              <w:pStyle w:val="TAC"/>
            </w:pPr>
            <w:r w:rsidRPr="00C64ECB">
              <w:t>≥ 60 and &lt; 75.2</w:t>
            </w:r>
          </w:p>
        </w:tc>
        <w:tc>
          <w:tcPr>
            <w:tcW w:w="2921" w:type="dxa"/>
            <w:vAlign w:val="center"/>
          </w:tcPr>
          <w:p w14:paraId="2816CE83" w14:textId="77777777" w:rsidR="007C0B5A" w:rsidRPr="00C64ECB" w:rsidRDefault="007C0B5A" w:rsidP="00126681">
            <w:pPr>
              <w:pStyle w:val="TAC"/>
            </w:pPr>
            <w:r w:rsidRPr="00C64ECB">
              <w:t xml:space="preserve">≤ 15 </w:t>
            </w:r>
            <w:r w:rsidRPr="00C64ECB">
              <w:t>W</w:t>
            </w:r>
          </w:p>
        </w:tc>
      </w:tr>
      <w:tr w:rsidR="007C0B5A" w:rsidRPr="00C64ECB" w14:paraId="28A9744E" w14:textId="77777777" w:rsidTr="00126681">
        <w:trPr>
          <w:trHeight w:val="47"/>
          <w:jc w:val="center"/>
        </w:trPr>
        <w:tc>
          <w:tcPr>
            <w:tcW w:w="1357" w:type="dxa"/>
            <w:vAlign w:val="center"/>
          </w:tcPr>
          <w:p w14:paraId="49BF5F6B" w14:textId="77777777" w:rsidR="007C0B5A" w:rsidRPr="00C64ECB" w:rsidRDefault="007C0B5A" w:rsidP="00126681">
            <w:pPr>
              <w:pStyle w:val="TAC"/>
            </w:pPr>
            <w:r w:rsidRPr="00C64ECB">
              <w:t>5,610</w:t>
            </w:r>
          </w:p>
        </w:tc>
        <w:tc>
          <w:tcPr>
            <w:tcW w:w="1971" w:type="dxa"/>
            <w:vAlign w:val="center"/>
          </w:tcPr>
          <w:p w14:paraId="4DBC6449" w14:textId="77777777" w:rsidR="007C0B5A" w:rsidRPr="00C64ECB" w:rsidRDefault="007C0B5A" w:rsidP="00126681">
            <w:pPr>
              <w:pStyle w:val="TAC"/>
            </w:pPr>
            <w:r w:rsidRPr="00C64ECB">
              <w:t>5,725 ≤ f ≤ 5,800</w:t>
            </w:r>
          </w:p>
        </w:tc>
        <w:tc>
          <w:tcPr>
            <w:tcW w:w="3155" w:type="dxa"/>
          </w:tcPr>
          <w:p w14:paraId="4F602B3F" w14:textId="77777777" w:rsidR="007C0B5A" w:rsidRPr="00C64ECB" w:rsidRDefault="007C0B5A" w:rsidP="00126681">
            <w:pPr>
              <w:pStyle w:val="TAC"/>
            </w:pPr>
            <w:r w:rsidRPr="00C64ECB">
              <w:t>≥ 115 and ≤ 190</w:t>
            </w:r>
          </w:p>
        </w:tc>
        <w:tc>
          <w:tcPr>
            <w:tcW w:w="2921" w:type="dxa"/>
            <w:vAlign w:val="center"/>
          </w:tcPr>
          <w:p w14:paraId="3767EADA" w14:textId="77777777" w:rsidR="007C0B5A" w:rsidRPr="00C64ECB" w:rsidRDefault="007C0B5A" w:rsidP="00126681">
            <w:pPr>
              <w:pStyle w:val="TAC"/>
            </w:pPr>
            <w:r w:rsidRPr="00C64ECB">
              <w:t xml:space="preserve">≤ 15 </w:t>
            </w:r>
            <w:r w:rsidRPr="00C64ECB">
              <w:t>W</w:t>
            </w:r>
          </w:p>
        </w:tc>
      </w:tr>
    </w:tbl>
    <w:p w14:paraId="07DF9647" w14:textId="77777777" w:rsidR="007C0B5A" w:rsidRPr="00C64ECB" w:rsidRDefault="007C0B5A" w:rsidP="007C0B5A"/>
    <w:p w14:paraId="2794CF47" w14:textId="77777777" w:rsidR="007C0B5A" w:rsidRPr="00C64ECB" w:rsidRDefault="007C0B5A" w:rsidP="007C0B5A">
      <w:pPr>
        <w:pStyle w:val="TH"/>
        <w:rPr>
          <w:rFonts w:cs="v5.0.0"/>
        </w:rPr>
      </w:pPr>
      <w:r w:rsidRPr="00C64ECB">
        <w:t>Table 4.</w:t>
      </w:r>
      <w:r w:rsidR="000D7B67" w:rsidRPr="00C64ECB">
        <w:t>1.</w:t>
      </w:r>
      <w:r w:rsidRPr="00C64ECB">
        <w:t>3.2.3-4:</w:t>
      </w:r>
      <w:r w:rsidRPr="00C64ECB">
        <w:rPr>
          <w:rFonts w:hint="eastAsia"/>
        </w:rPr>
        <w:t xml:space="preserve"> SEM: Case 3 and 4</w:t>
      </w:r>
    </w:p>
    <w:tbl>
      <w:tblPr>
        <w:tblW w:w="9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7"/>
        <w:gridCol w:w="1971"/>
        <w:gridCol w:w="3155"/>
        <w:gridCol w:w="2921"/>
      </w:tblGrid>
      <w:tr w:rsidR="007C0B5A" w:rsidRPr="00C64ECB" w14:paraId="498C4CFE" w14:textId="77777777" w:rsidTr="00126681">
        <w:trPr>
          <w:jc w:val="center"/>
        </w:trPr>
        <w:tc>
          <w:tcPr>
            <w:tcW w:w="1357" w:type="dxa"/>
          </w:tcPr>
          <w:p w14:paraId="12E09416" w14:textId="77777777" w:rsidR="007C0B5A" w:rsidRPr="00C64ECB" w:rsidRDefault="007C0B5A" w:rsidP="00126681">
            <w:pPr>
              <w:pStyle w:val="TAH"/>
            </w:pPr>
            <w:r w:rsidRPr="00C64ECB">
              <w:t xml:space="preserve">Centre </w:t>
            </w:r>
          </w:p>
          <w:p w14:paraId="4C9DD9CC" w14:textId="77777777" w:rsidR="007C0B5A" w:rsidRPr="00C64ECB" w:rsidRDefault="007C0B5A" w:rsidP="00126681">
            <w:pPr>
              <w:pStyle w:val="TAH"/>
            </w:pPr>
            <w:r w:rsidRPr="00C64ECB">
              <w:t xml:space="preserve">Frequency </w:t>
            </w:r>
          </w:p>
          <w:p w14:paraId="5EB93DBA" w14:textId="77777777" w:rsidR="007C0B5A" w:rsidRPr="00C64ECB" w:rsidRDefault="007C0B5A" w:rsidP="00126681">
            <w:pPr>
              <w:pStyle w:val="TAH"/>
            </w:pPr>
            <w:r w:rsidRPr="00C64ECB">
              <w:t>(MHz)</w:t>
            </w:r>
          </w:p>
        </w:tc>
        <w:tc>
          <w:tcPr>
            <w:tcW w:w="1971" w:type="dxa"/>
          </w:tcPr>
          <w:p w14:paraId="0381E184" w14:textId="77777777" w:rsidR="007C0B5A" w:rsidRPr="00C64ECB" w:rsidRDefault="007C0B5A" w:rsidP="00126681">
            <w:pPr>
              <w:pStyle w:val="TAH"/>
            </w:pPr>
            <w:r w:rsidRPr="00C64ECB">
              <w:t>Frequency range(f)</w:t>
            </w:r>
          </w:p>
          <w:p w14:paraId="28B5295F" w14:textId="77777777" w:rsidR="007C0B5A" w:rsidRPr="00C64ECB" w:rsidRDefault="007C0B5A" w:rsidP="00126681">
            <w:pPr>
              <w:pStyle w:val="TAH"/>
            </w:pPr>
            <w:r w:rsidRPr="00C64ECB">
              <w:t>(MHz)</w:t>
            </w:r>
          </w:p>
        </w:tc>
        <w:tc>
          <w:tcPr>
            <w:tcW w:w="3155" w:type="dxa"/>
          </w:tcPr>
          <w:p w14:paraId="4900DFA1" w14:textId="77777777" w:rsidR="007C0B5A" w:rsidRPr="00C64ECB" w:rsidRDefault="007C0B5A" w:rsidP="00126681">
            <w:pPr>
              <w:pStyle w:val="TAH"/>
            </w:pPr>
            <w:r w:rsidRPr="00C64ECB">
              <w:t>Frequency difference between centre frequency – the edges of frequency range(MHz)</w:t>
            </w:r>
          </w:p>
        </w:tc>
        <w:tc>
          <w:tcPr>
            <w:tcW w:w="2921" w:type="dxa"/>
          </w:tcPr>
          <w:p w14:paraId="418FED38" w14:textId="77777777" w:rsidR="007C0B5A" w:rsidRPr="00C64ECB" w:rsidRDefault="007C0B5A" w:rsidP="00126681">
            <w:pPr>
              <w:pStyle w:val="TAH"/>
            </w:pPr>
            <w:r w:rsidRPr="00C64ECB">
              <w:t>e.i.r.p/MHz</w:t>
            </w:r>
          </w:p>
        </w:tc>
      </w:tr>
      <w:tr w:rsidR="007C0B5A" w:rsidRPr="00C64ECB" w14:paraId="3EEDA43E" w14:textId="77777777" w:rsidTr="00126681">
        <w:trPr>
          <w:jc w:val="center"/>
        </w:trPr>
        <w:tc>
          <w:tcPr>
            <w:tcW w:w="1357" w:type="dxa"/>
            <w:vMerge w:val="restart"/>
            <w:vAlign w:val="center"/>
          </w:tcPr>
          <w:p w14:paraId="26728956" w14:textId="77777777" w:rsidR="007C0B5A" w:rsidRPr="00C64ECB" w:rsidRDefault="007C0B5A" w:rsidP="00126681">
            <w:pPr>
              <w:pStyle w:val="TAC"/>
            </w:pPr>
            <w:r w:rsidRPr="00C64ECB">
              <w:t>5,290</w:t>
            </w:r>
          </w:p>
        </w:tc>
        <w:tc>
          <w:tcPr>
            <w:tcW w:w="1971" w:type="dxa"/>
            <w:vAlign w:val="center"/>
          </w:tcPr>
          <w:p w14:paraId="130B72A6" w14:textId="77777777" w:rsidR="007C0B5A" w:rsidRPr="00C64ECB" w:rsidRDefault="007C0B5A" w:rsidP="00126681">
            <w:pPr>
              <w:pStyle w:val="TAC"/>
            </w:pPr>
            <w:r w:rsidRPr="00C64ECB">
              <w:t>5,020 ≤ f ≤ 5,214.8</w:t>
            </w:r>
          </w:p>
        </w:tc>
        <w:tc>
          <w:tcPr>
            <w:tcW w:w="3155" w:type="dxa"/>
          </w:tcPr>
          <w:p w14:paraId="393A0BF1" w14:textId="77777777" w:rsidR="007C0B5A" w:rsidRPr="00C64ECB" w:rsidRDefault="007C0B5A" w:rsidP="00126681">
            <w:pPr>
              <w:pStyle w:val="TAC"/>
            </w:pPr>
            <w:r w:rsidRPr="00C64ECB">
              <w:t>≥ 75.2 and ≤ 270</w:t>
            </w:r>
          </w:p>
        </w:tc>
        <w:tc>
          <w:tcPr>
            <w:tcW w:w="2921" w:type="dxa"/>
            <w:vAlign w:val="center"/>
          </w:tcPr>
          <w:p w14:paraId="02E8FAE4" w14:textId="77777777" w:rsidR="007C0B5A" w:rsidRPr="00C64ECB" w:rsidRDefault="007C0B5A" w:rsidP="00126681">
            <w:pPr>
              <w:pStyle w:val="TAC"/>
            </w:pPr>
            <w:r w:rsidRPr="00C64ECB">
              <w:t xml:space="preserve">≤ 2.5 </w:t>
            </w:r>
            <w:r w:rsidRPr="00C64ECB">
              <w:t>W</w:t>
            </w:r>
          </w:p>
        </w:tc>
      </w:tr>
      <w:tr w:rsidR="007C0B5A" w:rsidRPr="00C64ECB" w14:paraId="3C1F4F45" w14:textId="77777777" w:rsidTr="00126681">
        <w:trPr>
          <w:jc w:val="center"/>
        </w:trPr>
        <w:tc>
          <w:tcPr>
            <w:tcW w:w="1357" w:type="dxa"/>
            <w:vMerge/>
            <w:vAlign w:val="center"/>
          </w:tcPr>
          <w:p w14:paraId="3DC2A6D5" w14:textId="77777777" w:rsidR="007C0B5A" w:rsidRPr="00C64ECB" w:rsidRDefault="007C0B5A" w:rsidP="00126681">
            <w:pPr>
              <w:pStyle w:val="TAC"/>
            </w:pPr>
          </w:p>
        </w:tc>
        <w:tc>
          <w:tcPr>
            <w:tcW w:w="1971" w:type="dxa"/>
            <w:vAlign w:val="center"/>
          </w:tcPr>
          <w:p w14:paraId="6F870EB8" w14:textId="77777777" w:rsidR="007C0B5A" w:rsidRPr="00C64ECB" w:rsidRDefault="007C0B5A" w:rsidP="00126681">
            <w:pPr>
              <w:pStyle w:val="TAC"/>
            </w:pPr>
            <w:r w:rsidRPr="00C64ECB">
              <w:t>5,214.8 &lt; f ≤ 5,249</w:t>
            </w:r>
          </w:p>
        </w:tc>
        <w:tc>
          <w:tcPr>
            <w:tcW w:w="3155" w:type="dxa"/>
          </w:tcPr>
          <w:p w14:paraId="2B4CA4C7" w14:textId="77777777" w:rsidR="007C0B5A" w:rsidRPr="00C64ECB" w:rsidRDefault="007C0B5A" w:rsidP="00126681">
            <w:pPr>
              <w:pStyle w:val="TAC"/>
            </w:pPr>
            <w:r w:rsidRPr="00C64ECB">
              <w:t>≥ 41 and &lt; 75.2</w:t>
            </w:r>
          </w:p>
        </w:tc>
        <w:tc>
          <w:tcPr>
            <w:tcW w:w="2921" w:type="dxa"/>
            <w:vAlign w:val="center"/>
          </w:tcPr>
          <w:p w14:paraId="365A2A8E" w14:textId="77777777" w:rsidR="007C0B5A" w:rsidRPr="00C64ECB" w:rsidRDefault="007C0B5A" w:rsidP="00126681">
            <w:pPr>
              <w:pStyle w:val="TAC"/>
            </w:pPr>
            <w:r w:rsidRPr="00C64ECB">
              <w:t xml:space="preserve">≤ </w:t>
            </w:r>
            <m:oMath>
              <m:sSup>
                <m:sSupPr>
                  <m:ctrlPr>
                    <w:rPr>
                      <w:rFonts w:ascii="Cambria Math" w:eastAsia="MS Mincho" w:hAnsi="Cambria Math" w:cs="Arial"/>
                    </w:rPr>
                  </m:ctrlPr>
                </m:sSupPr>
                <m:e>
                  <m:r>
                    <w:rPr>
                      <w:rFonts w:ascii="Cambria Math" w:eastAsia="MS Mincho" w:cs="Arial"/>
                    </w:rPr>
                    <m:t>10</m:t>
                  </m:r>
                </m:e>
                <m:sup>
                  <m:r>
                    <w:rPr>
                      <w:rFonts w:eastAsia="MS Mincho" w:cs="Arial"/>
                    </w:rPr>
                    <m:t>-</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cs="Arial"/>
                            </w:rPr>
                            <m:t>8</m:t>
                          </m:r>
                        </m:num>
                        <m:den>
                          <m:r>
                            <w:rPr>
                              <w:rFonts w:ascii="Cambria Math" w:eastAsia="MS Mincho" w:cs="Arial"/>
                            </w:rPr>
                            <m:t>390</m:t>
                          </m:r>
                        </m:den>
                      </m:f>
                    </m:e>
                  </m:d>
                  <m:d>
                    <m:dPr>
                      <m:ctrlPr>
                        <w:rPr>
                          <w:rFonts w:ascii="Cambria Math" w:eastAsia="MS Mincho" w:hAnsi="Cambria Math" w:cs="Arial"/>
                          <w:i/>
                        </w:rPr>
                      </m:ctrlPr>
                    </m:dPr>
                    <m:e>
                      <m:r>
                        <w:rPr>
                          <w:rFonts w:ascii="Cambria Math" w:eastAsia="MS Mincho" w:hAnsi="Cambria Math" w:cs="Arial"/>
                        </w:rPr>
                        <m:t>f</m:t>
                      </m:r>
                      <m:r>
                        <w:rPr>
                          <w:rFonts w:eastAsia="MS Mincho" w:cs="Arial"/>
                        </w:rPr>
                        <m:t>-</m:t>
                      </m:r>
                      <m:r>
                        <w:rPr>
                          <w:rFonts w:ascii="Cambria Math" w:eastAsia="MS Mincho" w:cs="Arial"/>
                        </w:rPr>
                        <m:t>41</m:t>
                      </m:r>
                    </m:e>
                  </m:d>
                  <m:r>
                    <w:rPr>
                      <w:rFonts w:eastAsia="MS Mincho" w:cs="Arial"/>
                    </w:rPr>
                    <m:t>-</m:t>
                  </m:r>
                  <m:r>
                    <w:rPr>
                      <w:rFonts w:ascii="Cambria Math" w:eastAsia="MS Mincho" w:cs="Arial"/>
                    </w:rPr>
                    <m:t>1+</m:t>
                  </m:r>
                  <m:r>
                    <m:rPr>
                      <m:sty m:val="p"/>
                    </m:rPr>
                    <w:rPr>
                      <w:rFonts w:ascii="Cambria Math" w:eastAsia="MS Mincho" w:cs="Arial"/>
                    </w:rPr>
                    <m:t>log</m:t>
                  </m:r>
                  <m:r>
                    <m:rPr>
                      <m:sty m:val="p"/>
                    </m:rPr>
                    <w:rPr>
                      <w:rFonts w:ascii="Cambria Math" w:eastAsia="MS Mincho" w:hAnsi="Cambria Math" w:cs="Arial"/>
                    </w:rPr>
                    <m:t>⁡</m:t>
                  </m:r>
                  <m:r>
                    <w:rPr>
                      <w:rFonts w:ascii="Cambria Math" w:eastAsia="MS Mincho" w:cs="Arial"/>
                    </w:rPr>
                    <m:t>(1/8)</m:t>
                  </m:r>
                </m:sup>
              </m:sSup>
            </m:oMath>
            <w:r w:rsidRPr="00C64ECB">
              <w:t xml:space="preserve"> mW</w:t>
            </w:r>
          </w:p>
        </w:tc>
      </w:tr>
      <w:tr w:rsidR="007C0B5A" w:rsidRPr="00C64ECB" w14:paraId="4110BF15" w14:textId="77777777" w:rsidTr="00126681">
        <w:trPr>
          <w:jc w:val="center"/>
        </w:trPr>
        <w:tc>
          <w:tcPr>
            <w:tcW w:w="1357" w:type="dxa"/>
            <w:vMerge/>
            <w:vAlign w:val="center"/>
          </w:tcPr>
          <w:p w14:paraId="1830E110" w14:textId="77777777" w:rsidR="007C0B5A" w:rsidRPr="00C64ECB" w:rsidRDefault="007C0B5A" w:rsidP="00126681">
            <w:pPr>
              <w:pStyle w:val="TAC"/>
            </w:pPr>
          </w:p>
        </w:tc>
        <w:tc>
          <w:tcPr>
            <w:tcW w:w="1971" w:type="dxa"/>
            <w:vAlign w:val="center"/>
          </w:tcPr>
          <w:p w14:paraId="2636D1DF" w14:textId="77777777" w:rsidR="007C0B5A" w:rsidRPr="00C64ECB" w:rsidRDefault="007C0B5A" w:rsidP="00126681">
            <w:pPr>
              <w:pStyle w:val="TAC"/>
            </w:pPr>
            <w:r w:rsidRPr="00C64ECB">
              <w:t>5,249 &lt; f ≤ 5,250</w:t>
            </w:r>
          </w:p>
        </w:tc>
        <w:tc>
          <w:tcPr>
            <w:tcW w:w="3155" w:type="dxa"/>
          </w:tcPr>
          <w:p w14:paraId="201E0E30" w14:textId="77777777" w:rsidR="007C0B5A" w:rsidRPr="00C64ECB" w:rsidRDefault="007C0B5A" w:rsidP="00126681">
            <w:pPr>
              <w:pStyle w:val="TAC"/>
            </w:pPr>
            <w:r w:rsidRPr="00C64ECB">
              <w:t>≥ 40 and &lt; 41</w:t>
            </w:r>
          </w:p>
        </w:tc>
        <w:tc>
          <w:tcPr>
            <w:tcW w:w="2921" w:type="dxa"/>
            <w:vAlign w:val="center"/>
          </w:tcPr>
          <w:p w14:paraId="3C13076D" w14:textId="77777777" w:rsidR="007C0B5A" w:rsidRPr="00C64ECB" w:rsidRDefault="007C0B5A" w:rsidP="00126681">
            <w:pPr>
              <w:pStyle w:val="TAC"/>
            </w:pPr>
            <w:r w:rsidRPr="00C64ECB">
              <w:t xml:space="preserve">≤ </w:t>
            </w:r>
            <m:oMath>
              <m:sSup>
                <m:sSupPr>
                  <m:ctrlPr>
                    <w:rPr>
                      <w:rFonts w:ascii="Cambria Math" w:eastAsia="MS Mincho" w:hAnsi="Cambria Math" w:cs="Arial"/>
                    </w:rPr>
                  </m:ctrlPr>
                </m:sSupPr>
                <m:e>
                  <m:r>
                    <w:rPr>
                      <w:rFonts w:ascii="Cambria Math" w:eastAsia="MS Mincho" w:cs="Arial"/>
                    </w:rPr>
                    <m:t>10</m:t>
                  </m:r>
                </m:e>
                <m:sup>
                  <m:r>
                    <w:rPr>
                      <w:rFonts w:eastAsia="MS Mincho" w:cs="Arial"/>
                    </w:rPr>
                    <m:t>-</m:t>
                  </m:r>
                  <m:d>
                    <m:dPr>
                      <m:ctrlPr>
                        <w:rPr>
                          <w:rFonts w:ascii="Cambria Math" w:eastAsia="MS Mincho" w:hAnsi="Cambria Math" w:cs="Arial"/>
                          <w:i/>
                        </w:rPr>
                      </m:ctrlPr>
                    </m:dPr>
                    <m:e>
                      <m:r>
                        <w:rPr>
                          <w:rFonts w:ascii="Cambria Math" w:eastAsia="MS Mincho" w:hAnsi="Cambria Math" w:cs="Arial"/>
                        </w:rPr>
                        <m:t>f</m:t>
                      </m:r>
                      <m:r>
                        <w:rPr>
                          <w:rFonts w:eastAsia="MS Mincho" w:cs="Arial"/>
                        </w:rPr>
                        <m:t>-</m:t>
                      </m:r>
                      <m:r>
                        <w:rPr>
                          <w:rFonts w:ascii="Cambria Math" w:eastAsia="MS Mincho" w:cs="Arial"/>
                        </w:rPr>
                        <m:t>40</m:t>
                      </m:r>
                    </m:e>
                  </m:d>
                  <m:r>
                    <w:rPr>
                      <w:rFonts w:ascii="Cambria Math" w:eastAsia="MS Mincho" w:cs="Arial"/>
                    </w:rPr>
                    <m:t>+</m:t>
                  </m:r>
                  <m:r>
                    <m:rPr>
                      <m:sty m:val="p"/>
                    </m:rPr>
                    <w:rPr>
                      <w:rFonts w:ascii="Cambria Math" w:eastAsia="MS Mincho" w:cs="Arial"/>
                    </w:rPr>
                    <m:t>log</m:t>
                  </m:r>
                  <m:r>
                    <m:rPr>
                      <m:sty m:val="p"/>
                    </m:rPr>
                    <w:rPr>
                      <w:rFonts w:ascii="Cambria Math" w:eastAsia="MS Mincho" w:hAnsi="Cambria Math" w:cs="Arial"/>
                    </w:rPr>
                    <m:t>⁡</m:t>
                  </m:r>
                  <m:r>
                    <w:rPr>
                      <w:rFonts w:ascii="Cambria Math" w:eastAsia="MS Mincho" w:cs="Arial"/>
                    </w:rPr>
                    <m:t>(1/8)</m:t>
                  </m:r>
                </m:sup>
              </m:sSup>
            </m:oMath>
            <w:r w:rsidRPr="00C64ECB">
              <w:t xml:space="preserve"> mW</w:t>
            </w:r>
          </w:p>
        </w:tc>
      </w:tr>
      <w:tr w:rsidR="007C0B5A" w:rsidRPr="00C64ECB" w14:paraId="13A702E5" w14:textId="77777777" w:rsidTr="00126681">
        <w:trPr>
          <w:jc w:val="center"/>
        </w:trPr>
        <w:tc>
          <w:tcPr>
            <w:tcW w:w="1357" w:type="dxa"/>
            <w:vMerge/>
            <w:vAlign w:val="center"/>
          </w:tcPr>
          <w:p w14:paraId="3A7F6458" w14:textId="77777777" w:rsidR="007C0B5A" w:rsidRPr="00C64ECB" w:rsidRDefault="007C0B5A" w:rsidP="00126681">
            <w:pPr>
              <w:pStyle w:val="TAC"/>
            </w:pPr>
          </w:p>
        </w:tc>
        <w:tc>
          <w:tcPr>
            <w:tcW w:w="1971" w:type="dxa"/>
            <w:vAlign w:val="center"/>
          </w:tcPr>
          <w:p w14:paraId="44394408" w14:textId="77777777" w:rsidR="007C0B5A" w:rsidRPr="00C64ECB" w:rsidRDefault="007C0B5A" w:rsidP="00126681">
            <w:pPr>
              <w:pStyle w:val="TAC"/>
            </w:pPr>
            <w:r w:rsidRPr="00C64ECB">
              <w:t>5,350 ≤ f &lt; 5,365.2</w:t>
            </w:r>
          </w:p>
        </w:tc>
        <w:tc>
          <w:tcPr>
            <w:tcW w:w="3155" w:type="dxa"/>
            <w:vAlign w:val="center"/>
          </w:tcPr>
          <w:p w14:paraId="63F3CC5B" w14:textId="77777777" w:rsidR="007C0B5A" w:rsidRPr="00C64ECB" w:rsidRDefault="007C0B5A" w:rsidP="00126681">
            <w:pPr>
              <w:pStyle w:val="TAC"/>
            </w:pPr>
            <w:r w:rsidRPr="00C64ECB">
              <w:t>≥ 60 and &lt; 75.2</w:t>
            </w:r>
          </w:p>
        </w:tc>
        <w:tc>
          <w:tcPr>
            <w:tcW w:w="2921" w:type="dxa"/>
            <w:vAlign w:val="center"/>
          </w:tcPr>
          <w:p w14:paraId="1AF3BD04" w14:textId="77777777" w:rsidR="007C0B5A" w:rsidRPr="00C64ECB" w:rsidRDefault="007C0B5A" w:rsidP="00126681">
            <w:pPr>
              <w:pStyle w:val="TAC"/>
            </w:pPr>
            <w:r w:rsidRPr="00C64ECB">
              <w:t xml:space="preserve">≤ 15 </w:t>
            </w:r>
            <w:r w:rsidRPr="00C64ECB">
              <w:t>W</w:t>
            </w:r>
          </w:p>
        </w:tc>
      </w:tr>
      <w:tr w:rsidR="007C0B5A" w:rsidRPr="00C64ECB" w14:paraId="2E67A128" w14:textId="77777777" w:rsidTr="00126681">
        <w:trPr>
          <w:jc w:val="center"/>
        </w:trPr>
        <w:tc>
          <w:tcPr>
            <w:tcW w:w="1357" w:type="dxa"/>
            <w:vMerge/>
            <w:vAlign w:val="center"/>
          </w:tcPr>
          <w:p w14:paraId="0926C6C3" w14:textId="77777777" w:rsidR="007C0B5A" w:rsidRPr="00C64ECB" w:rsidRDefault="007C0B5A" w:rsidP="00126681">
            <w:pPr>
              <w:pStyle w:val="TAC"/>
            </w:pPr>
          </w:p>
        </w:tc>
        <w:tc>
          <w:tcPr>
            <w:tcW w:w="1971" w:type="dxa"/>
            <w:vAlign w:val="center"/>
          </w:tcPr>
          <w:p w14:paraId="2FA3E9D4" w14:textId="77777777" w:rsidR="007C0B5A" w:rsidRPr="00C64ECB" w:rsidRDefault="007C0B5A" w:rsidP="00126681">
            <w:pPr>
              <w:pStyle w:val="TAC"/>
            </w:pPr>
            <w:r w:rsidRPr="00C64ECB">
              <w:t>5,365.2 ≤ f &lt; 5,410</w:t>
            </w:r>
          </w:p>
        </w:tc>
        <w:tc>
          <w:tcPr>
            <w:tcW w:w="3155" w:type="dxa"/>
            <w:vAlign w:val="center"/>
          </w:tcPr>
          <w:p w14:paraId="3E4E2C54" w14:textId="77777777" w:rsidR="007C0B5A" w:rsidRPr="00C64ECB" w:rsidRDefault="007C0B5A" w:rsidP="00126681">
            <w:pPr>
              <w:pStyle w:val="TAC"/>
            </w:pPr>
            <w:r w:rsidRPr="00C64ECB">
              <w:t>≥ 75.2 and &lt; 120</w:t>
            </w:r>
          </w:p>
        </w:tc>
        <w:tc>
          <w:tcPr>
            <w:tcW w:w="2921" w:type="dxa"/>
            <w:vAlign w:val="center"/>
          </w:tcPr>
          <w:p w14:paraId="580762D6" w14:textId="77777777" w:rsidR="007C0B5A" w:rsidRPr="00C64ECB" w:rsidRDefault="007C0B5A" w:rsidP="00126681">
            <w:pPr>
              <w:pStyle w:val="TAC"/>
            </w:pPr>
            <w:r w:rsidRPr="00C64ECB">
              <w:t xml:space="preserve">≤ 2.5 </w:t>
            </w:r>
            <w:r w:rsidRPr="00C64ECB">
              <w:t>W</w:t>
            </w:r>
          </w:p>
        </w:tc>
      </w:tr>
      <w:tr w:rsidR="007C0B5A" w:rsidRPr="00C64ECB" w14:paraId="0C923998" w14:textId="77777777" w:rsidTr="00126681">
        <w:trPr>
          <w:jc w:val="center"/>
        </w:trPr>
        <w:tc>
          <w:tcPr>
            <w:tcW w:w="1357" w:type="dxa"/>
            <w:vMerge w:val="restart"/>
            <w:vAlign w:val="center"/>
          </w:tcPr>
          <w:p w14:paraId="589E4735" w14:textId="77777777" w:rsidR="007C0B5A" w:rsidRPr="00C64ECB" w:rsidRDefault="007C0B5A" w:rsidP="00126681">
            <w:pPr>
              <w:pStyle w:val="TAC"/>
            </w:pPr>
            <w:r w:rsidRPr="00C64ECB">
              <w:t>5,530</w:t>
            </w:r>
          </w:p>
        </w:tc>
        <w:tc>
          <w:tcPr>
            <w:tcW w:w="1971" w:type="dxa"/>
            <w:vAlign w:val="center"/>
          </w:tcPr>
          <w:p w14:paraId="4B1EA7A0" w14:textId="77777777" w:rsidR="007C0B5A" w:rsidRPr="00C64ECB" w:rsidRDefault="007C0B5A" w:rsidP="00126681">
            <w:pPr>
              <w:pStyle w:val="TAC"/>
            </w:pPr>
            <w:r w:rsidRPr="00C64ECB">
              <w:t>5,410 ≤ f ≤ 5,454.8</w:t>
            </w:r>
          </w:p>
        </w:tc>
        <w:tc>
          <w:tcPr>
            <w:tcW w:w="3155" w:type="dxa"/>
          </w:tcPr>
          <w:p w14:paraId="72118A20" w14:textId="77777777" w:rsidR="007C0B5A" w:rsidRPr="00C64ECB" w:rsidRDefault="007C0B5A" w:rsidP="00126681">
            <w:pPr>
              <w:pStyle w:val="TAC"/>
            </w:pPr>
            <w:r w:rsidRPr="00C64ECB">
              <w:t>≥ 75.2 and ≤ 120</w:t>
            </w:r>
          </w:p>
        </w:tc>
        <w:tc>
          <w:tcPr>
            <w:tcW w:w="2921" w:type="dxa"/>
            <w:vAlign w:val="center"/>
          </w:tcPr>
          <w:p w14:paraId="25ECE822" w14:textId="77777777" w:rsidR="007C0B5A" w:rsidRPr="00C64ECB" w:rsidRDefault="007C0B5A" w:rsidP="00126681">
            <w:pPr>
              <w:pStyle w:val="TAC"/>
            </w:pPr>
            <w:r w:rsidRPr="00C64ECB">
              <w:t xml:space="preserve">≤ 2.5 </w:t>
            </w:r>
            <w:r w:rsidRPr="00C64ECB">
              <w:t>W</w:t>
            </w:r>
          </w:p>
        </w:tc>
      </w:tr>
      <w:tr w:rsidR="007C0B5A" w:rsidRPr="00C64ECB" w14:paraId="1E93B932" w14:textId="77777777" w:rsidTr="00126681">
        <w:trPr>
          <w:trHeight w:val="173"/>
          <w:jc w:val="center"/>
        </w:trPr>
        <w:tc>
          <w:tcPr>
            <w:tcW w:w="1357" w:type="dxa"/>
            <w:vMerge/>
            <w:vAlign w:val="center"/>
          </w:tcPr>
          <w:p w14:paraId="60B83C81" w14:textId="77777777" w:rsidR="007C0B5A" w:rsidRPr="00C64ECB" w:rsidRDefault="007C0B5A" w:rsidP="00126681">
            <w:pPr>
              <w:pStyle w:val="TAC"/>
            </w:pPr>
          </w:p>
        </w:tc>
        <w:tc>
          <w:tcPr>
            <w:tcW w:w="1971" w:type="dxa"/>
            <w:vAlign w:val="center"/>
          </w:tcPr>
          <w:p w14:paraId="16F61B39" w14:textId="77777777" w:rsidR="007C0B5A" w:rsidRPr="00C64ECB" w:rsidRDefault="007C0B5A" w:rsidP="00126681">
            <w:pPr>
              <w:pStyle w:val="TAC"/>
            </w:pPr>
            <w:r w:rsidRPr="00C64ECB">
              <w:t>5,454.8 &lt; f ≤ 5,470</w:t>
            </w:r>
          </w:p>
        </w:tc>
        <w:tc>
          <w:tcPr>
            <w:tcW w:w="3155" w:type="dxa"/>
          </w:tcPr>
          <w:p w14:paraId="7A7F24EF" w14:textId="77777777" w:rsidR="007C0B5A" w:rsidRPr="00C64ECB" w:rsidRDefault="007C0B5A" w:rsidP="00126681">
            <w:pPr>
              <w:pStyle w:val="TAC"/>
            </w:pPr>
            <w:r w:rsidRPr="00C64ECB">
              <w:t>≥ 60 and &lt; 75.2</w:t>
            </w:r>
          </w:p>
        </w:tc>
        <w:tc>
          <w:tcPr>
            <w:tcW w:w="2921" w:type="dxa"/>
            <w:vAlign w:val="center"/>
          </w:tcPr>
          <w:p w14:paraId="7AB8CCBF" w14:textId="77777777" w:rsidR="007C0B5A" w:rsidRPr="00C64ECB" w:rsidRDefault="007C0B5A" w:rsidP="00126681">
            <w:pPr>
              <w:pStyle w:val="TAC"/>
            </w:pPr>
            <w:r w:rsidRPr="00C64ECB">
              <w:t xml:space="preserve">≤ 15 </w:t>
            </w:r>
            <w:r w:rsidRPr="00C64ECB">
              <w:t>W</w:t>
            </w:r>
          </w:p>
        </w:tc>
      </w:tr>
      <w:tr w:rsidR="007C0B5A" w:rsidRPr="00C64ECB" w14:paraId="7B5DFE28" w14:textId="77777777" w:rsidTr="00126681">
        <w:trPr>
          <w:trHeight w:val="47"/>
          <w:jc w:val="center"/>
        </w:trPr>
        <w:tc>
          <w:tcPr>
            <w:tcW w:w="1357" w:type="dxa"/>
            <w:vAlign w:val="center"/>
          </w:tcPr>
          <w:p w14:paraId="243465BE" w14:textId="77777777" w:rsidR="007C0B5A" w:rsidRPr="00C64ECB" w:rsidRDefault="007C0B5A" w:rsidP="00126681">
            <w:pPr>
              <w:pStyle w:val="TAC"/>
            </w:pPr>
            <w:r w:rsidRPr="00C64ECB">
              <w:t>5,610</w:t>
            </w:r>
          </w:p>
        </w:tc>
        <w:tc>
          <w:tcPr>
            <w:tcW w:w="1971" w:type="dxa"/>
            <w:vAlign w:val="center"/>
          </w:tcPr>
          <w:p w14:paraId="092FF4CE" w14:textId="77777777" w:rsidR="007C0B5A" w:rsidRPr="00C64ECB" w:rsidRDefault="007C0B5A" w:rsidP="00126681">
            <w:pPr>
              <w:pStyle w:val="TAC"/>
            </w:pPr>
            <w:r w:rsidRPr="00C64ECB">
              <w:t>5,725 ≤ f ≤ 5,800</w:t>
            </w:r>
          </w:p>
        </w:tc>
        <w:tc>
          <w:tcPr>
            <w:tcW w:w="3155" w:type="dxa"/>
          </w:tcPr>
          <w:p w14:paraId="0FCF40F4" w14:textId="77777777" w:rsidR="007C0B5A" w:rsidRPr="00C64ECB" w:rsidRDefault="007C0B5A" w:rsidP="00126681">
            <w:pPr>
              <w:pStyle w:val="TAC"/>
            </w:pPr>
            <w:r w:rsidRPr="00C64ECB">
              <w:t>≥ 115 and ≤ 190</w:t>
            </w:r>
          </w:p>
        </w:tc>
        <w:tc>
          <w:tcPr>
            <w:tcW w:w="2921" w:type="dxa"/>
            <w:vAlign w:val="center"/>
          </w:tcPr>
          <w:p w14:paraId="1CFB9A5F" w14:textId="77777777" w:rsidR="007C0B5A" w:rsidRPr="00C64ECB" w:rsidRDefault="007C0B5A" w:rsidP="00126681">
            <w:pPr>
              <w:pStyle w:val="TAC"/>
            </w:pPr>
            <w:r w:rsidRPr="00C64ECB">
              <w:t xml:space="preserve">≤ 15 </w:t>
            </w:r>
            <w:r w:rsidRPr="00C64ECB">
              <w:t>W</w:t>
            </w:r>
          </w:p>
        </w:tc>
      </w:tr>
    </w:tbl>
    <w:p w14:paraId="5FEC47F4" w14:textId="77777777" w:rsidR="007C0B5A" w:rsidRPr="00C64ECB" w:rsidRDefault="007C0B5A" w:rsidP="007C0B5A">
      <w:pPr>
        <w:ind w:left="360"/>
        <w:rPr>
          <w:rFonts w:eastAsia="MS Mincho"/>
        </w:rPr>
      </w:pPr>
    </w:p>
    <w:p w14:paraId="06914C90" w14:textId="77777777" w:rsidR="007C0B5A" w:rsidRPr="00C64ECB" w:rsidRDefault="007C0B5A" w:rsidP="007C0B5A">
      <w:pPr>
        <w:pStyle w:val="TH"/>
        <w:rPr>
          <w:rFonts w:cs="v5.0.0"/>
        </w:rPr>
      </w:pPr>
      <w:r w:rsidRPr="00C64ECB">
        <w:lastRenderedPageBreak/>
        <w:t>Table 4.</w:t>
      </w:r>
      <w:r w:rsidR="000D7B67" w:rsidRPr="00C64ECB">
        <w:t>1.</w:t>
      </w:r>
      <w:r w:rsidRPr="00C64ECB">
        <w:t>3.2.3-5:</w:t>
      </w:r>
      <w:r w:rsidRPr="00C64ECB">
        <w:rPr>
          <w:rFonts w:eastAsia="MS Mincho" w:hint="eastAsia"/>
        </w:rPr>
        <w:t xml:space="preserve"> Peak data rate </w:t>
      </w:r>
    </w:p>
    <w:tbl>
      <w:tblPr>
        <w:tblW w:w="3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tblGrid>
      <w:tr w:rsidR="007C0B5A" w:rsidRPr="00C64ECB" w14:paraId="2CCFBFC6" w14:textId="77777777" w:rsidTr="00126681">
        <w:trPr>
          <w:jc w:val="center"/>
        </w:trPr>
        <w:tc>
          <w:tcPr>
            <w:tcW w:w="3152" w:type="dxa"/>
          </w:tcPr>
          <w:p w14:paraId="0F32D987" w14:textId="77777777" w:rsidR="007C0B5A" w:rsidRPr="00C64ECB" w:rsidRDefault="007C0B5A" w:rsidP="00126681">
            <w:pPr>
              <w:pStyle w:val="TAH"/>
            </w:pPr>
            <w:r w:rsidRPr="00C64ECB">
              <w:rPr>
                <w:rFonts w:hint="eastAsia"/>
              </w:rPr>
              <w:t>Peak data rate (Mbps)</w:t>
            </w:r>
          </w:p>
        </w:tc>
      </w:tr>
      <w:tr w:rsidR="007C0B5A" w:rsidRPr="00C64ECB" w14:paraId="57C892C4" w14:textId="77777777" w:rsidTr="00126681">
        <w:trPr>
          <w:jc w:val="center"/>
        </w:trPr>
        <w:tc>
          <w:tcPr>
            <w:tcW w:w="3152" w:type="dxa"/>
          </w:tcPr>
          <w:p w14:paraId="38FCDD75" w14:textId="77777777" w:rsidR="007C0B5A" w:rsidRPr="00C64ECB" w:rsidRDefault="007C0B5A" w:rsidP="00126681">
            <w:pPr>
              <w:pStyle w:val="TAC"/>
            </w:pPr>
            <w:r w:rsidRPr="00C64ECB">
              <w:rPr>
                <w:rFonts w:ascii="Cambria" w:hAnsi="Cambria" w:cs="Cambria"/>
              </w:rPr>
              <w:t xml:space="preserve">≥ </w:t>
            </w:r>
            <w:r w:rsidRPr="00C64ECB">
              <w:rPr>
                <w:rFonts w:hint="eastAsia"/>
              </w:rPr>
              <w:t>160</w:t>
            </w:r>
          </w:p>
        </w:tc>
      </w:tr>
    </w:tbl>
    <w:p w14:paraId="44B34B0F" w14:textId="77777777" w:rsidR="007C0B5A" w:rsidRPr="00C64ECB" w:rsidRDefault="007C0B5A" w:rsidP="007C0B5A"/>
    <w:p w14:paraId="2D5360D5" w14:textId="77777777" w:rsidR="007C0B5A" w:rsidRPr="00C64ECB" w:rsidRDefault="007C0B5A" w:rsidP="007C0B5A">
      <w:pPr>
        <w:pStyle w:val="Heading4"/>
      </w:pPr>
      <w:bookmarkStart w:id="39" w:name="_Toc531342995"/>
      <w:r w:rsidRPr="00C64ECB">
        <w:t>4.1.</w:t>
      </w:r>
      <w:r w:rsidRPr="00C64ECB">
        <w:rPr>
          <w:rFonts w:hint="eastAsia"/>
        </w:rPr>
        <w:t>3.3</w:t>
      </w:r>
      <w:r w:rsidRPr="00C64ECB">
        <w:tab/>
        <w:t>Korea</w:t>
      </w:r>
      <w:bookmarkEnd w:id="39"/>
    </w:p>
    <w:p w14:paraId="72B691CF" w14:textId="77777777" w:rsidR="007C0B5A" w:rsidRPr="00C64ECB" w:rsidRDefault="007C0B5A" w:rsidP="007C0B5A">
      <w:pPr>
        <w:pStyle w:val="TH"/>
      </w:pPr>
      <w:r w:rsidRPr="00C64ECB">
        <w:t>Table 4.</w:t>
      </w:r>
      <w:r w:rsidR="000D7B67" w:rsidRPr="00C64ECB">
        <w:t>1.</w:t>
      </w:r>
      <w:r w:rsidRPr="00C64ECB">
        <w:t>3.3-1: Transmit power requirements for 5GHz Devices</w:t>
      </w:r>
    </w:p>
    <w:tbl>
      <w:tblPr>
        <w:tblW w:w="10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10"/>
        <w:gridCol w:w="1256"/>
        <w:gridCol w:w="925"/>
        <w:gridCol w:w="1256"/>
        <w:gridCol w:w="685"/>
        <w:gridCol w:w="1256"/>
        <w:gridCol w:w="685"/>
        <w:gridCol w:w="1433"/>
        <w:gridCol w:w="1193"/>
      </w:tblGrid>
      <w:tr w:rsidR="007C0B5A" w:rsidRPr="00C64ECB" w14:paraId="0B725E71" w14:textId="77777777" w:rsidTr="00126681">
        <w:trPr>
          <w:jc w:val="center"/>
        </w:trPr>
        <w:tc>
          <w:tcPr>
            <w:tcW w:w="1510" w:type="dxa"/>
            <w:shd w:val="clear" w:color="auto" w:fill="D9D9D9"/>
            <w:vAlign w:val="center"/>
          </w:tcPr>
          <w:p w14:paraId="6104A882" w14:textId="77777777" w:rsidR="007C0B5A" w:rsidRPr="00C64ECB" w:rsidRDefault="007C0B5A" w:rsidP="001C2E15">
            <w:pPr>
              <w:pStyle w:val="TAH"/>
            </w:pPr>
            <w:r w:rsidRPr="00C64ECB">
              <w:t>Frequency Range(MHz)</w:t>
            </w:r>
          </w:p>
        </w:tc>
        <w:tc>
          <w:tcPr>
            <w:tcW w:w="2181" w:type="dxa"/>
            <w:gridSpan w:val="2"/>
            <w:shd w:val="clear" w:color="auto" w:fill="D9D9D9"/>
            <w:vAlign w:val="center"/>
          </w:tcPr>
          <w:p w14:paraId="0AC17C3D" w14:textId="77777777" w:rsidR="007C0B5A" w:rsidRPr="00C64ECB" w:rsidRDefault="007C0B5A" w:rsidP="001C2E15">
            <w:pPr>
              <w:pStyle w:val="TAH"/>
            </w:pPr>
            <w:r w:rsidRPr="00C64ECB">
              <w:t>5100-5250</w:t>
            </w:r>
          </w:p>
        </w:tc>
        <w:tc>
          <w:tcPr>
            <w:tcW w:w="1941" w:type="dxa"/>
            <w:gridSpan w:val="2"/>
            <w:shd w:val="clear" w:color="auto" w:fill="D9D9D9"/>
            <w:vAlign w:val="center"/>
          </w:tcPr>
          <w:p w14:paraId="3BC7F10C" w14:textId="77777777" w:rsidR="007C0B5A" w:rsidRPr="00C64ECB" w:rsidRDefault="007C0B5A" w:rsidP="001C2E15">
            <w:pPr>
              <w:pStyle w:val="TAH"/>
            </w:pPr>
            <w:r w:rsidRPr="00C64ECB">
              <w:t>5250-5350</w:t>
            </w:r>
          </w:p>
        </w:tc>
        <w:tc>
          <w:tcPr>
            <w:tcW w:w="1941" w:type="dxa"/>
            <w:gridSpan w:val="2"/>
            <w:shd w:val="clear" w:color="auto" w:fill="D9D9D9"/>
            <w:vAlign w:val="center"/>
          </w:tcPr>
          <w:p w14:paraId="00773EBE" w14:textId="77777777" w:rsidR="007C0B5A" w:rsidRPr="00C64ECB" w:rsidRDefault="007C0B5A" w:rsidP="001C2E15">
            <w:pPr>
              <w:pStyle w:val="TAH"/>
            </w:pPr>
            <w:r w:rsidRPr="00C64ECB">
              <w:t>5470-5650</w:t>
            </w:r>
          </w:p>
        </w:tc>
        <w:tc>
          <w:tcPr>
            <w:tcW w:w="2626" w:type="dxa"/>
            <w:gridSpan w:val="2"/>
            <w:shd w:val="clear" w:color="auto" w:fill="D9D9D9"/>
            <w:vAlign w:val="center"/>
          </w:tcPr>
          <w:p w14:paraId="79AEA948" w14:textId="77777777" w:rsidR="007C0B5A" w:rsidRPr="00C64ECB" w:rsidRDefault="007C0B5A" w:rsidP="001C2E15">
            <w:pPr>
              <w:pStyle w:val="TAH"/>
            </w:pPr>
            <w:r w:rsidRPr="00C64ECB">
              <w:t>5725-5825,</w:t>
            </w:r>
          </w:p>
          <w:p w14:paraId="3CA11A15" w14:textId="77777777" w:rsidR="007C0B5A" w:rsidRPr="00C64ECB" w:rsidRDefault="007C0B5A" w:rsidP="001C2E15">
            <w:pPr>
              <w:pStyle w:val="TAH"/>
            </w:pPr>
            <w:r w:rsidRPr="00C64ECB">
              <w:t>2400~2483.5 (Note 7)</w:t>
            </w:r>
          </w:p>
        </w:tc>
      </w:tr>
      <w:tr w:rsidR="007C0B5A" w:rsidRPr="00C64ECB" w14:paraId="72966D7E" w14:textId="77777777" w:rsidTr="00126681">
        <w:trPr>
          <w:jc w:val="center"/>
        </w:trPr>
        <w:tc>
          <w:tcPr>
            <w:tcW w:w="1510" w:type="dxa"/>
            <w:vMerge w:val="restart"/>
            <w:shd w:val="clear" w:color="auto" w:fill="D9D9D9"/>
            <w:vAlign w:val="center"/>
          </w:tcPr>
          <w:p w14:paraId="3D9DBB1D" w14:textId="77777777" w:rsidR="007C0B5A" w:rsidRPr="00C64ECB" w:rsidRDefault="007C0B5A" w:rsidP="00126681">
            <w:pPr>
              <w:pStyle w:val="TAH"/>
            </w:pPr>
            <w:r w:rsidRPr="00C64ECB">
              <w:t>Average PSD requirement (mW/MHz)</w:t>
            </w:r>
          </w:p>
        </w:tc>
        <w:tc>
          <w:tcPr>
            <w:tcW w:w="1256" w:type="dxa"/>
            <w:shd w:val="clear" w:color="auto" w:fill="FFFFFF"/>
            <w:vAlign w:val="center"/>
          </w:tcPr>
          <w:p w14:paraId="67202BDD" w14:textId="77777777" w:rsidR="007C0B5A" w:rsidRPr="00C64ECB" w:rsidRDefault="007C0B5A" w:rsidP="00126681">
            <w:pPr>
              <w:pStyle w:val="TAC"/>
            </w:pPr>
            <w:r w:rsidRPr="00C64ECB">
              <w:t>BW(MHz)</w:t>
            </w:r>
          </w:p>
        </w:tc>
        <w:tc>
          <w:tcPr>
            <w:tcW w:w="925" w:type="dxa"/>
            <w:shd w:val="clear" w:color="auto" w:fill="FFFFFF"/>
            <w:vAlign w:val="center"/>
          </w:tcPr>
          <w:p w14:paraId="583F9F71" w14:textId="77777777" w:rsidR="007C0B5A" w:rsidRPr="00C64ECB" w:rsidRDefault="007C0B5A" w:rsidP="00126681">
            <w:pPr>
              <w:pStyle w:val="TAC"/>
            </w:pPr>
            <w:r w:rsidRPr="00C64ECB">
              <w:t>PSD</w:t>
            </w:r>
          </w:p>
        </w:tc>
        <w:tc>
          <w:tcPr>
            <w:tcW w:w="1256" w:type="dxa"/>
            <w:shd w:val="clear" w:color="auto" w:fill="FFFFFF"/>
            <w:vAlign w:val="center"/>
          </w:tcPr>
          <w:p w14:paraId="1BD489F2" w14:textId="77777777" w:rsidR="007C0B5A" w:rsidRPr="00C64ECB" w:rsidRDefault="007C0B5A" w:rsidP="00126681">
            <w:pPr>
              <w:pStyle w:val="TAC"/>
            </w:pPr>
            <w:r w:rsidRPr="00C64ECB">
              <w:t>BW(MHz)</w:t>
            </w:r>
          </w:p>
        </w:tc>
        <w:tc>
          <w:tcPr>
            <w:tcW w:w="685" w:type="dxa"/>
            <w:shd w:val="clear" w:color="auto" w:fill="FFFFFF"/>
            <w:vAlign w:val="center"/>
          </w:tcPr>
          <w:p w14:paraId="43BCBEDD" w14:textId="77777777" w:rsidR="007C0B5A" w:rsidRPr="00C64ECB" w:rsidRDefault="007C0B5A" w:rsidP="00126681">
            <w:pPr>
              <w:pStyle w:val="TAC"/>
            </w:pPr>
            <w:r w:rsidRPr="00C64ECB">
              <w:t>PSD</w:t>
            </w:r>
          </w:p>
        </w:tc>
        <w:tc>
          <w:tcPr>
            <w:tcW w:w="1256" w:type="dxa"/>
            <w:shd w:val="clear" w:color="auto" w:fill="FFFFFF"/>
            <w:vAlign w:val="center"/>
          </w:tcPr>
          <w:p w14:paraId="3AF2F5BC" w14:textId="77777777" w:rsidR="007C0B5A" w:rsidRPr="00C64ECB" w:rsidRDefault="007C0B5A" w:rsidP="00126681">
            <w:pPr>
              <w:pStyle w:val="TAC"/>
            </w:pPr>
            <w:r w:rsidRPr="00C64ECB">
              <w:t>BW(MHz)</w:t>
            </w:r>
          </w:p>
        </w:tc>
        <w:tc>
          <w:tcPr>
            <w:tcW w:w="685" w:type="dxa"/>
            <w:shd w:val="clear" w:color="auto" w:fill="FFFFFF"/>
            <w:vAlign w:val="center"/>
          </w:tcPr>
          <w:p w14:paraId="15C9F1C9" w14:textId="77777777" w:rsidR="007C0B5A" w:rsidRPr="00C64ECB" w:rsidRDefault="007C0B5A" w:rsidP="00126681">
            <w:pPr>
              <w:pStyle w:val="TAC"/>
            </w:pPr>
            <w:r w:rsidRPr="00C64ECB">
              <w:t>PSD</w:t>
            </w:r>
          </w:p>
        </w:tc>
        <w:tc>
          <w:tcPr>
            <w:tcW w:w="1433" w:type="dxa"/>
            <w:shd w:val="clear" w:color="auto" w:fill="FFFFFF"/>
            <w:vAlign w:val="center"/>
          </w:tcPr>
          <w:p w14:paraId="7F4D603E" w14:textId="77777777" w:rsidR="007C0B5A" w:rsidRPr="00C64ECB" w:rsidRDefault="007C0B5A" w:rsidP="00126681">
            <w:pPr>
              <w:pStyle w:val="TAC"/>
            </w:pPr>
            <w:r w:rsidRPr="00C64ECB">
              <w:t>BW(MHz)</w:t>
            </w:r>
          </w:p>
        </w:tc>
        <w:tc>
          <w:tcPr>
            <w:tcW w:w="1193" w:type="dxa"/>
            <w:shd w:val="clear" w:color="auto" w:fill="FFFFFF"/>
            <w:vAlign w:val="center"/>
          </w:tcPr>
          <w:p w14:paraId="56721B84" w14:textId="77777777" w:rsidR="007C0B5A" w:rsidRPr="00C64ECB" w:rsidRDefault="007C0B5A" w:rsidP="00126681">
            <w:pPr>
              <w:pStyle w:val="TAC"/>
            </w:pPr>
            <w:r w:rsidRPr="00C64ECB">
              <w:t>PSD</w:t>
            </w:r>
          </w:p>
        </w:tc>
      </w:tr>
      <w:tr w:rsidR="007C0B5A" w:rsidRPr="00C64ECB" w14:paraId="32D6BE6D" w14:textId="77777777" w:rsidTr="00126681">
        <w:trPr>
          <w:jc w:val="center"/>
        </w:trPr>
        <w:tc>
          <w:tcPr>
            <w:tcW w:w="1510" w:type="dxa"/>
            <w:vMerge/>
            <w:shd w:val="clear" w:color="auto" w:fill="D9D9D9"/>
            <w:vAlign w:val="center"/>
          </w:tcPr>
          <w:p w14:paraId="0FF3731D" w14:textId="77777777" w:rsidR="007C0B5A" w:rsidRPr="00C64ECB" w:rsidRDefault="007C0B5A" w:rsidP="00126681">
            <w:pPr>
              <w:pStyle w:val="TAH"/>
            </w:pPr>
          </w:p>
        </w:tc>
        <w:tc>
          <w:tcPr>
            <w:tcW w:w="1256" w:type="dxa"/>
            <w:shd w:val="clear" w:color="auto" w:fill="FFFFFF"/>
            <w:vAlign w:val="center"/>
          </w:tcPr>
          <w:p w14:paraId="0993C83A" w14:textId="77777777" w:rsidR="007C0B5A" w:rsidRPr="00C64ECB" w:rsidRDefault="007C0B5A" w:rsidP="00126681">
            <w:pPr>
              <w:pStyle w:val="TAC"/>
            </w:pPr>
            <w:r w:rsidRPr="00C64ECB">
              <w:t>0.5-20</w:t>
            </w:r>
          </w:p>
        </w:tc>
        <w:tc>
          <w:tcPr>
            <w:tcW w:w="925" w:type="dxa"/>
            <w:shd w:val="clear" w:color="auto" w:fill="FFFFFF"/>
            <w:vAlign w:val="center"/>
          </w:tcPr>
          <w:p w14:paraId="0574FE63" w14:textId="77777777" w:rsidR="007C0B5A" w:rsidRPr="00C64ECB" w:rsidRDefault="007C0B5A" w:rsidP="00126681">
            <w:pPr>
              <w:pStyle w:val="TAC"/>
            </w:pPr>
            <w:r w:rsidRPr="00C64ECB">
              <w:t>≤2.5</w:t>
            </w:r>
          </w:p>
        </w:tc>
        <w:tc>
          <w:tcPr>
            <w:tcW w:w="1256" w:type="dxa"/>
            <w:shd w:val="clear" w:color="auto" w:fill="FFFFFF"/>
            <w:vAlign w:val="center"/>
          </w:tcPr>
          <w:p w14:paraId="744FE0F9" w14:textId="77777777" w:rsidR="007C0B5A" w:rsidRPr="00C64ECB" w:rsidRDefault="007C0B5A" w:rsidP="00126681">
            <w:pPr>
              <w:pStyle w:val="TAC"/>
            </w:pPr>
            <w:r w:rsidRPr="00C64ECB">
              <w:t>0.5-20</w:t>
            </w:r>
          </w:p>
        </w:tc>
        <w:tc>
          <w:tcPr>
            <w:tcW w:w="685" w:type="dxa"/>
            <w:shd w:val="clear" w:color="auto" w:fill="FFFFFF"/>
            <w:vAlign w:val="center"/>
          </w:tcPr>
          <w:p w14:paraId="37769576" w14:textId="77777777" w:rsidR="007C0B5A" w:rsidRPr="00C64ECB" w:rsidRDefault="007C0B5A" w:rsidP="00126681">
            <w:pPr>
              <w:pStyle w:val="TAC"/>
            </w:pPr>
            <w:r w:rsidRPr="00C64ECB">
              <w:t>≤10</w:t>
            </w:r>
          </w:p>
        </w:tc>
        <w:tc>
          <w:tcPr>
            <w:tcW w:w="1256" w:type="dxa"/>
            <w:shd w:val="clear" w:color="auto" w:fill="FFFFFF"/>
            <w:vAlign w:val="center"/>
          </w:tcPr>
          <w:p w14:paraId="5B50A403" w14:textId="77777777" w:rsidR="007C0B5A" w:rsidRPr="00C64ECB" w:rsidRDefault="007C0B5A" w:rsidP="00126681">
            <w:pPr>
              <w:pStyle w:val="TAC"/>
            </w:pPr>
            <w:r w:rsidRPr="00C64ECB">
              <w:t>0.5-20</w:t>
            </w:r>
          </w:p>
        </w:tc>
        <w:tc>
          <w:tcPr>
            <w:tcW w:w="685" w:type="dxa"/>
            <w:shd w:val="clear" w:color="auto" w:fill="FFFFFF"/>
            <w:vAlign w:val="center"/>
          </w:tcPr>
          <w:p w14:paraId="3FB0E041" w14:textId="77777777" w:rsidR="007C0B5A" w:rsidRPr="00C64ECB" w:rsidRDefault="007C0B5A" w:rsidP="00126681">
            <w:pPr>
              <w:pStyle w:val="TAC"/>
            </w:pPr>
            <w:r w:rsidRPr="00C64ECB">
              <w:t>≤10</w:t>
            </w:r>
          </w:p>
        </w:tc>
        <w:tc>
          <w:tcPr>
            <w:tcW w:w="1433" w:type="dxa"/>
            <w:shd w:val="clear" w:color="auto" w:fill="FFFFFF"/>
            <w:vAlign w:val="center"/>
          </w:tcPr>
          <w:p w14:paraId="7F97FD4B" w14:textId="77777777" w:rsidR="007C0B5A" w:rsidRPr="00C64ECB" w:rsidRDefault="007C0B5A" w:rsidP="00126681">
            <w:pPr>
              <w:pStyle w:val="TAC"/>
            </w:pPr>
            <w:r w:rsidRPr="00C64ECB">
              <w:t>0.5-26</w:t>
            </w:r>
          </w:p>
        </w:tc>
        <w:tc>
          <w:tcPr>
            <w:tcW w:w="1193" w:type="dxa"/>
            <w:shd w:val="clear" w:color="auto" w:fill="FFFFFF"/>
            <w:vAlign w:val="center"/>
          </w:tcPr>
          <w:p w14:paraId="04DD24BB" w14:textId="77777777" w:rsidR="007C0B5A" w:rsidRPr="00C64ECB" w:rsidRDefault="007C0B5A" w:rsidP="00126681">
            <w:pPr>
              <w:pStyle w:val="TAC"/>
            </w:pPr>
            <w:r w:rsidRPr="00C64ECB">
              <w:t>≤10</w:t>
            </w:r>
          </w:p>
        </w:tc>
      </w:tr>
      <w:tr w:rsidR="007C0B5A" w:rsidRPr="00C64ECB" w14:paraId="471719C1" w14:textId="77777777" w:rsidTr="00126681">
        <w:trPr>
          <w:jc w:val="center"/>
        </w:trPr>
        <w:tc>
          <w:tcPr>
            <w:tcW w:w="1510" w:type="dxa"/>
            <w:vMerge/>
            <w:shd w:val="clear" w:color="auto" w:fill="D9D9D9"/>
            <w:vAlign w:val="center"/>
          </w:tcPr>
          <w:p w14:paraId="735420AE" w14:textId="77777777" w:rsidR="007C0B5A" w:rsidRPr="00C64ECB" w:rsidRDefault="007C0B5A" w:rsidP="00126681">
            <w:pPr>
              <w:pStyle w:val="TAH"/>
            </w:pPr>
          </w:p>
        </w:tc>
        <w:tc>
          <w:tcPr>
            <w:tcW w:w="1256" w:type="dxa"/>
            <w:shd w:val="clear" w:color="auto" w:fill="FFFFFF"/>
            <w:vAlign w:val="center"/>
          </w:tcPr>
          <w:p w14:paraId="7D769F2E" w14:textId="77777777" w:rsidR="007C0B5A" w:rsidRPr="00C64ECB" w:rsidRDefault="007C0B5A" w:rsidP="00126681">
            <w:pPr>
              <w:pStyle w:val="TAC"/>
            </w:pPr>
            <w:r w:rsidRPr="00C64ECB">
              <w:t>20-40</w:t>
            </w:r>
          </w:p>
        </w:tc>
        <w:tc>
          <w:tcPr>
            <w:tcW w:w="925" w:type="dxa"/>
            <w:shd w:val="clear" w:color="auto" w:fill="FFFFFF"/>
            <w:vAlign w:val="center"/>
          </w:tcPr>
          <w:p w14:paraId="4AC59E2C" w14:textId="77777777" w:rsidR="007C0B5A" w:rsidRPr="00C64ECB" w:rsidRDefault="007C0B5A" w:rsidP="00126681">
            <w:pPr>
              <w:pStyle w:val="TAC"/>
            </w:pPr>
            <w:r w:rsidRPr="00C64ECB">
              <w:t>≤1.25</w:t>
            </w:r>
          </w:p>
        </w:tc>
        <w:tc>
          <w:tcPr>
            <w:tcW w:w="1256" w:type="dxa"/>
            <w:shd w:val="clear" w:color="auto" w:fill="FFFFFF"/>
            <w:vAlign w:val="center"/>
          </w:tcPr>
          <w:p w14:paraId="1A51DE92" w14:textId="77777777" w:rsidR="007C0B5A" w:rsidRPr="00C64ECB" w:rsidRDefault="007C0B5A" w:rsidP="00126681">
            <w:pPr>
              <w:pStyle w:val="TAC"/>
            </w:pPr>
            <w:r w:rsidRPr="00C64ECB">
              <w:t>20-40</w:t>
            </w:r>
          </w:p>
        </w:tc>
        <w:tc>
          <w:tcPr>
            <w:tcW w:w="685" w:type="dxa"/>
            <w:shd w:val="clear" w:color="auto" w:fill="FFFFFF"/>
            <w:vAlign w:val="center"/>
          </w:tcPr>
          <w:p w14:paraId="51D43FAF" w14:textId="77777777" w:rsidR="007C0B5A" w:rsidRPr="00C64ECB" w:rsidRDefault="007C0B5A" w:rsidP="00126681">
            <w:pPr>
              <w:pStyle w:val="TAC"/>
            </w:pPr>
            <w:r w:rsidRPr="00C64ECB">
              <w:t>≤5</w:t>
            </w:r>
          </w:p>
        </w:tc>
        <w:tc>
          <w:tcPr>
            <w:tcW w:w="1256" w:type="dxa"/>
            <w:shd w:val="clear" w:color="auto" w:fill="FFFFFF"/>
            <w:vAlign w:val="center"/>
          </w:tcPr>
          <w:p w14:paraId="569C02B3" w14:textId="77777777" w:rsidR="007C0B5A" w:rsidRPr="00C64ECB" w:rsidRDefault="007C0B5A" w:rsidP="00126681">
            <w:pPr>
              <w:pStyle w:val="TAC"/>
            </w:pPr>
            <w:r w:rsidRPr="00C64ECB">
              <w:t>20-40</w:t>
            </w:r>
          </w:p>
        </w:tc>
        <w:tc>
          <w:tcPr>
            <w:tcW w:w="685" w:type="dxa"/>
            <w:shd w:val="clear" w:color="auto" w:fill="FFFFFF"/>
            <w:vAlign w:val="center"/>
          </w:tcPr>
          <w:p w14:paraId="3A207CF9" w14:textId="77777777" w:rsidR="007C0B5A" w:rsidRPr="00C64ECB" w:rsidRDefault="007C0B5A" w:rsidP="00126681">
            <w:pPr>
              <w:pStyle w:val="TAC"/>
            </w:pPr>
            <w:r w:rsidRPr="00C64ECB">
              <w:t>≤5</w:t>
            </w:r>
          </w:p>
        </w:tc>
        <w:tc>
          <w:tcPr>
            <w:tcW w:w="1433" w:type="dxa"/>
            <w:shd w:val="clear" w:color="auto" w:fill="FFFFFF"/>
            <w:vAlign w:val="center"/>
          </w:tcPr>
          <w:p w14:paraId="0B671E2C" w14:textId="77777777" w:rsidR="007C0B5A" w:rsidRPr="00C64ECB" w:rsidRDefault="007C0B5A" w:rsidP="00126681">
            <w:pPr>
              <w:pStyle w:val="TAC"/>
            </w:pPr>
            <w:r w:rsidRPr="00C64ECB">
              <w:t>26-40</w:t>
            </w:r>
          </w:p>
        </w:tc>
        <w:tc>
          <w:tcPr>
            <w:tcW w:w="1193" w:type="dxa"/>
            <w:shd w:val="clear" w:color="auto" w:fill="FFFFFF"/>
            <w:vAlign w:val="center"/>
          </w:tcPr>
          <w:p w14:paraId="0DFD3CED" w14:textId="77777777" w:rsidR="007C0B5A" w:rsidRPr="00C64ECB" w:rsidRDefault="007C0B5A" w:rsidP="00126681">
            <w:pPr>
              <w:pStyle w:val="TAC"/>
            </w:pPr>
            <w:r w:rsidRPr="00C64ECB">
              <w:t>≤5</w:t>
            </w:r>
          </w:p>
        </w:tc>
      </w:tr>
      <w:tr w:rsidR="007C0B5A" w:rsidRPr="00C64ECB" w14:paraId="651F34F2" w14:textId="77777777" w:rsidTr="00126681">
        <w:trPr>
          <w:trHeight w:val="184"/>
          <w:jc w:val="center"/>
        </w:trPr>
        <w:tc>
          <w:tcPr>
            <w:tcW w:w="1510" w:type="dxa"/>
            <w:vMerge/>
            <w:shd w:val="clear" w:color="auto" w:fill="D9D9D9"/>
            <w:vAlign w:val="center"/>
          </w:tcPr>
          <w:p w14:paraId="5C43C9CB" w14:textId="77777777" w:rsidR="007C0B5A" w:rsidRPr="00C64ECB" w:rsidRDefault="007C0B5A" w:rsidP="00126681">
            <w:pPr>
              <w:pStyle w:val="TAH"/>
            </w:pPr>
          </w:p>
        </w:tc>
        <w:tc>
          <w:tcPr>
            <w:tcW w:w="1256" w:type="dxa"/>
            <w:vMerge w:val="restart"/>
            <w:shd w:val="clear" w:color="auto" w:fill="FFFFFF"/>
            <w:vAlign w:val="center"/>
          </w:tcPr>
          <w:p w14:paraId="2FA151EE" w14:textId="77777777" w:rsidR="007C0B5A" w:rsidRPr="00C64ECB" w:rsidRDefault="007C0B5A" w:rsidP="00126681">
            <w:pPr>
              <w:pStyle w:val="TAC"/>
            </w:pPr>
            <w:r w:rsidRPr="00C64ECB">
              <w:t>40-80</w:t>
            </w:r>
          </w:p>
        </w:tc>
        <w:tc>
          <w:tcPr>
            <w:tcW w:w="925" w:type="dxa"/>
            <w:vMerge w:val="restart"/>
            <w:shd w:val="clear" w:color="auto" w:fill="FFFFFF"/>
            <w:vAlign w:val="center"/>
          </w:tcPr>
          <w:p w14:paraId="5AD0E17D" w14:textId="77777777" w:rsidR="007C0B5A" w:rsidRPr="00C64ECB" w:rsidRDefault="007C0B5A" w:rsidP="00126681">
            <w:pPr>
              <w:pStyle w:val="TAC"/>
            </w:pPr>
            <w:r w:rsidRPr="00C64ECB">
              <w:t>≤0.625</w:t>
            </w:r>
          </w:p>
        </w:tc>
        <w:tc>
          <w:tcPr>
            <w:tcW w:w="1256" w:type="dxa"/>
            <w:vMerge w:val="restart"/>
            <w:shd w:val="clear" w:color="auto" w:fill="FFFFFF"/>
            <w:vAlign w:val="center"/>
          </w:tcPr>
          <w:p w14:paraId="1A6763EF" w14:textId="77777777" w:rsidR="007C0B5A" w:rsidRPr="00C64ECB" w:rsidRDefault="007C0B5A" w:rsidP="00126681">
            <w:pPr>
              <w:pStyle w:val="TAC"/>
            </w:pPr>
            <w:r w:rsidRPr="00C64ECB">
              <w:t>40-80</w:t>
            </w:r>
          </w:p>
        </w:tc>
        <w:tc>
          <w:tcPr>
            <w:tcW w:w="685" w:type="dxa"/>
            <w:vMerge w:val="restart"/>
            <w:shd w:val="clear" w:color="auto" w:fill="FFFFFF"/>
            <w:vAlign w:val="center"/>
          </w:tcPr>
          <w:p w14:paraId="0B719468" w14:textId="77777777" w:rsidR="007C0B5A" w:rsidRPr="00C64ECB" w:rsidRDefault="007C0B5A" w:rsidP="00126681">
            <w:pPr>
              <w:pStyle w:val="TAC"/>
            </w:pPr>
            <w:r w:rsidRPr="00C64ECB">
              <w:t>≤2.5</w:t>
            </w:r>
          </w:p>
        </w:tc>
        <w:tc>
          <w:tcPr>
            <w:tcW w:w="1256" w:type="dxa"/>
            <w:vMerge w:val="restart"/>
            <w:shd w:val="clear" w:color="auto" w:fill="FFFFFF"/>
            <w:vAlign w:val="center"/>
          </w:tcPr>
          <w:p w14:paraId="1F56FF53" w14:textId="77777777" w:rsidR="007C0B5A" w:rsidRPr="00C64ECB" w:rsidRDefault="007C0B5A" w:rsidP="00126681">
            <w:pPr>
              <w:pStyle w:val="TAC"/>
            </w:pPr>
            <w:r w:rsidRPr="00C64ECB">
              <w:t>40-80</w:t>
            </w:r>
          </w:p>
        </w:tc>
        <w:tc>
          <w:tcPr>
            <w:tcW w:w="685" w:type="dxa"/>
            <w:vMerge w:val="restart"/>
            <w:shd w:val="clear" w:color="auto" w:fill="FFFFFF"/>
            <w:vAlign w:val="center"/>
          </w:tcPr>
          <w:p w14:paraId="678DC6B3" w14:textId="77777777" w:rsidR="007C0B5A" w:rsidRPr="00C64ECB" w:rsidRDefault="007C0B5A" w:rsidP="00126681">
            <w:pPr>
              <w:pStyle w:val="TAC"/>
            </w:pPr>
            <w:r w:rsidRPr="00C64ECB">
              <w:t>≤2.5</w:t>
            </w:r>
          </w:p>
        </w:tc>
        <w:tc>
          <w:tcPr>
            <w:tcW w:w="1433" w:type="dxa"/>
            <w:shd w:val="clear" w:color="auto" w:fill="FFFFFF"/>
            <w:vAlign w:val="center"/>
          </w:tcPr>
          <w:p w14:paraId="450CC008" w14:textId="77777777" w:rsidR="007C0B5A" w:rsidRPr="00C64ECB" w:rsidRDefault="007C0B5A" w:rsidP="00126681">
            <w:pPr>
              <w:pStyle w:val="TAC"/>
            </w:pPr>
            <w:r w:rsidRPr="00C64ECB">
              <w:t>40-80</w:t>
            </w:r>
          </w:p>
        </w:tc>
        <w:tc>
          <w:tcPr>
            <w:tcW w:w="1193" w:type="dxa"/>
            <w:shd w:val="clear" w:color="auto" w:fill="FFFFFF"/>
            <w:vAlign w:val="center"/>
          </w:tcPr>
          <w:p w14:paraId="152FC82D" w14:textId="77777777" w:rsidR="007C0B5A" w:rsidRPr="00C64ECB" w:rsidRDefault="007C0B5A" w:rsidP="00126681">
            <w:pPr>
              <w:pStyle w:val="TAC"/>
            </w:pPr>
            <w:r w:rsidRPr="00C64ECB">
              <w:t>≤2.5</w:t>
            </w:r>
          </w:p>
        </w:tc>
      </w:tr>
      <w:tr w:rsidR="007C0B5A" w:rsidRPr="00C64ECB" w14:paraId="33D8C570" w14:textId="77777777" w:rsidTr="00126681">
        <w:trPr>
          <w:trHeight w:val="231"/>
          <w:jc w:val="center"/>
        </w:trPr>
        <w:tc>
          <w:tcPr>
            <w:tcW w:w="1510" w:type="dxa"/>
            <w:vMerge/>
            <w:shd w:val="clear" w:color="auto" w:fill="D9D9D9"/>
            <w:vAlign w:val="center"/>
          </w:tcPr>
          <w:p w14:paraId="793F1681" w14:textId="77777777" w:rsidR="007C0B5A" w:rsidRPr="00C64ECB" w:rsidRDefault="007C0B5A" w:rsidP="00126681">
            <w:pPr>
              <w:pStyle w:val="TAH"/>
            </w:pPr>
          </w:p>
        </w:tc>
        <w:tc>
          <w:tcPr>
            <w:tcW w:w="1256" w:type="dxa"/>
            <w:vMerge/>
            <w:shd w:val="clear" w:color="auto" w:fill="FFFFFF"/>
            <w:vAlign w:val="center"/>
          </w:tcPr>
          <w:p w14:paraId="044F56F7" w14:textId="77777777" w:rsidR="007C0B5A" w:rsidRPr="00C64ECB" w:rsidRDefault="007C0B5A" w:rsidP="00126681">
            <w:pPr>
              <w:pStyle w:val="TAC"/>
            </w:pPr>
          </w:p>
        </w:tc>
        <w:tc>
          <w:tcPr>
            <w:tcW w:w="925" w:type="dxa"/>
            <w:vMerge/>
            <w:shd w:val="clear" w:color="auto" w:fill="FFFFFF"/>
            <w:vAlign w:val="center"/>
          </w:tcPr>
          <w:p w14:paraId="72C7FE32" w14:textId="77777777" w:rsidR="007C0B5A" w:rsidRPr="00C64ECB" w:rsidRDefault="007C0B5A" w:rsidP="00126681">
            <w:pPr>
              <w:pStyle w:val="TAC"/>
            </w:pPr>
          </w:p>
        </w:tc>
        <w:tc>
          <w:tcPr>
            <w:tcW w:w="1256" w:type="dxa"/>
            <w:vMerge/>
            <w:shd w:val="clear" w:color="auto" w:fill="FFFFFF"/>
            <w:vAlign w:val="center"/>
          </w:tcPr>
          <w:p w14:paraId="7D6FB467" w14:textId="77777777" w:rsidR="007C0B5A" w:rsidRPr="00C64ECB" w:rsidRDefault="007C0B5A" w:rsidP="00126681">
            <w:pPr>
              <w:pStyle w:val="TAC"/>
            </w:pPr>
          </w:p>
        </w:tc>
        <w:tc>
          <w:tcPr>
            <w:tcW w:w="685" w:type="dxa"/>
            <w:vMerge/>
            <w:shd w:val="clear" w:color="auto" w:fill="FFFFFF"/>
            <w:vAlign w:val="center"/>
          </w:tcPr>
          <w:p w14:paraId="4168D784" w14:textId="77777777" w:rsidR="007C0B5A" w:rsidRPr="00C64ECB" w:rsidRDefault="007C0B5A" w:rsidP="00126681">
            <w:pPr>
              <w:pStyle w:val="TAC"/>
            </w:pPr>
          </w:p>
        </w:tc>
        <w:tc>
          <w:tcPr>
            <w:tcW w:w="1256" w:type="dxa"/>
            <w:vMerge/>
            <w:shd w:val="clear" w:color="auto" w:fill="FFFFFF"/>
            <w:vAlign w:val="center"/>
          </w:tcPr>
          <w:p w14:paraId="6E20C5C8" w14:textId="77777777" w:rsidR="007C0B5A" w:rsidRPr="00C64ECB" w:rsidRDefault="007C0B5A" w:rsidP="00126681">
            <w:pPr>
              <w:pStyle w:val="TAC"/>
            </w:pPr>
          </w:p>
        </w:tc>
        <w:tc>
          <w:tcPr>
            <w:tcW w:w="685" w:type="dxa"/>
            <w:vMerge/>
            <w:shd w:val="clear" w:color="auto" w:fill="FFFFFF"/>
            <w:vAlign w:val="center"/>
          </w:tcPr>
          <w:p w14:paraId="7A5079E5" w14:textId="77777777" w:rsidR="007C0B5A" w:rsidRPr="00C64ECB" w:rsidRDefault="007C0B5A" w:rsidP="00126681">
            <w:pPr>
              <w:pStyle w:val="TAC"/>
            </w:pPr>
          </w:p>
        </w:tc>
        <w:tc>
          <w:tcPr>
            <w:tcW w:w="1433" w:type="dxa"/>
            <w:shd w:val="clear" w:color="auto" w:fill="FFFFFF"/>
            <w:vAlign w:val="center"/>
          </w:tcPr>
          <w:p w14:paraId="7C614A49" w14:textId="77777777" w:rsidR="007C0B5A" w:rsidRPr="00C64ECB" w:rsidRDefault="007C0B5A" w:rsidP="00126681">
            <w:pPr>
              <w:pStyle w:val="TAC"/>
            </w:pPr>
            <w:r w:rsidRPr="00C64ECB">
              <w:t>40-60 (Note 1)</w:t>
            </w:r>
          </w:p>
        </w:tc>
        <w:tc>
          <w:tcPr>
            <w:tcW w:w="1193" w:type="dxa"/>
            <w:shd w:val="clear" w:color="auto" w:fill="FFFFFF"/>
            <w:vAlign w:val="center"/>
          </w:tcPr>
          <w:p w14:paraId="3B6BDBB7" w14:textId="77777777" w:rsidR="007C0B5A" w:rsidRPr="00C64ECB" w:rsidRDefault="007C0B5A" w:rsidP="00126681">
            <w:pPr>
              <w:pStyle w:val="TAC"/>
            </w:pPr>
            <w:r w:rsidRPr="00C64ECB">
              <w:t>≤0.1 (Note 1)</w:t>
            </w:r>
          </w:p>
        </w:tc>
      </w:tr>
      <w:tr w:rsidR="007C0B5A" w:rsidRPr="00C64ECB" w14:paraId="27BD5C83" w14:textId="77777777" w:rsidTr="00126681">
        <w:trPr>
          <w:jc w:val="center"/>
        </w:trPr>
        <w:tc>
          <w:tcPr>
            <w:tcW w:w="1510" w:type="dxa"/>
            <w:shd w:val="clear" w:color="auto" w:fill="D9D9D9"/>
            <w:vAlign w:val="center"/>
          </w:tcPr>
          <w:p w14:paraId="1E1B17E1" w14:textId="77777777" w:rsidR="007C0B5A" w:rsidRPr="00C64ECB" w:rsidRDefault="007C0B5A" w:rsidP="00126681">
            <w:pPr>
              <w:pStyle w:val="TAH"/>
            </w:pPr>
            <w:r w:rsidRPr="00C64ECB">
              <w:t>Assumed antenna gain G (dBi) (Note 4)</w:t>
            </w:r>
          </w:p>
        </w:tc>
        <w:tc>
          <w:tcPr>
            <w:tcW w:w="2181" w:type="dxa"/>
            <w:gridSpan w:val="2"/>
            <w:shd w:val="clear" w:color="auto" w:fill="FFFFFF"/>
            <w:vAlign w:val="center"/>
          </w:tcPr>
          <w:p w14:paraId="106FE370" w14:textId="77777777" w:rsidR="007C0B5A" w:rsidRPr="00C64ECB" w:rsidRDefault="007C0B5A" w:rsidP="00126681">
            <w:pPr>
              <w:pStyle w:val="TAC"/>
            </w:pPr>
            <w:r w:rsidRPr="00C64ECB">
              <w:t>6</w:t>
            </w:r>
          </w:p>
        </w:tc>
        <w:tc>
          <w:tcPr>
            <w:tcW w:w="1941" w:type="dxa"/>
            <w:gridSpan w:val="2"/>
            <w:shd w:val="clear" w:color="auto" w:fill="FFFFFF"/>
            <w:vAlign w:val="center"/>
          </w:tcPr>
          <w:p w14:paraId="2F750B37" w14:textId="77777777" w:rsidR="007C0B5A" w:rsidRPr="00C64ECB" w:rsidRDefault="007C0B5A" w:rsidP="00126681">
            <w:pPr>
              <w:pStyle w:val="TAC"/>
            </w:pPr>
            <w:r w:rsidRPr="00C64ECB">
              <w:t>7</w:t>
            </w:r>
          </w:p>
        </w:tc>
        <w:tc>
          <w:tcPr>
            <w:tcW w:w="1941" w:type="dxa"/>
            <w:gridSpan w:val="2"/>
            <w:shd w:val="clear" w:color="auto" w:fill="FFFFFF"/>
            <w:vAlign w:val="center"/>
          </w:tcPr>
          <w:p w14:paraId="383C1A6B" w14:textId="77777777" w:rsidR="007C0B5A" w:rsidRPr="00C64ECB" w:rsidRDefault="007C0B5A" w:rsidP="00126681">
            <w:pPr>
              <w:pStyle w:val="TAC"/>
            </w:pPr>
            <w:r w:rsidRPr="00C64ECB">
              <w:t>7</w:t>
            </w:r>
          </w:p>
        </w:tc>
        <w:tc>
          <w:tcPr>
            <w:tcW w:w="2626" w:type="dxa"/>
            <w:gridSpan w:val="2"/>
            <w:shd w:val="clear" w:color="auto" w:fill="FFFFFF"/>
            <w:vAlign w:val="center"/>
          </w:tcPr>
          <w:p w14:paraId="74CE41C0" w14:textId="77777777" w:rsidR="007C0B5A" w:rsidRPr="00C64ECB" w:rsidRDefault="007C0B5A" w:rsidP="00126681">
            <w:pPr>
              <w:pStyle w:val="TAC"/>
              <w:rPr>
                <w:sz w:val="20"/>
              </w:rPr>
            </w:pPr>
            <w:r w:rsidRPr="00C64ECB">
              <w:rPr>
                <w:sz w:val="20"/>
              </w:rPr>
              <w:t xml:space="preserve">6, 20 </w:t>
            </w:r>
            <w:r w:rsidRPr="00C64ECB">
              <w:rPr>
                <w:b/>
                <w:sz w:val="20"/>
              </w:rPr>
              <w:t xml:space="preserve"> </w:t>
            </w:r>
            <w:r w:rsidRPr="00C64ECB">
              <w:rPr>
                <w:sz w:val="20"/>
              </w:rPr>
              <w:t>(PTP) (Notes 2, 3)</w:t>
            </w:r>
          </w:p>
        </w:tc>
      </w:tr>
      <w:tr w:rsidR="007C0B5A" w:rsidRPr="00C64ECB" w14:paraId="5FD34030" w14:textId="77777777" w:rsidTr="00126681">
        <w:trPr>
          <w:jc w:val="center"/>
        </w:trPr>
        <w:tc>
          <w:tcPr>
            <w:tcW w:w="1510" w:type="dxa"/>
            <w:shd w:val="clear" w:color="auto" w:fill="D9D9D9"/>
            <w:vAlign w:val="center"/>
          </w:tcPr>
          <w:p w14:paraId="2692C783" w14:textId="77777777" w:rsidR="007C0B5A" w:rsidRPr="00C64ECB" w:rsidRDefault="007C0B5A" w:rsidP="00126681">
            <w:pPr>
              <w:pStyle w:val="TAH"/>
            </w:pPr>
            <w:r w:rsidRPr="00C64ECB">
              <w:t>Out of band emission, EIRP (dBm/MHz)</w:t>
            </w:r>
          </w:p>
        </w:tc>
        <w:tc>
          <w:tcPr>
            <w:tcW w:w="2181" w:type="dxa"/>
            <w:gridSpan w:val="2"/>
            <w:shd w:val="clear" w:color="auto" w:fill="FFFFFF"/>
            <w:vAlign w:val="center"/>
          </w:tcPr>
          <w:p w14:paraId="67FCAFB9" w14:textId="77777777" w:rsidR="007C0B5A" w:rsidRPr="00C64ECB" w:rsidRDefault="007C0B5A" w:rsidP="00126681">
            <w:pPr>
              <w:pStyle w:val="TAC"/>
            </w:pPr>
            <w:r w:rsidRPr="00C64ECB">
              <w:t>-27</w:t>
            </w:r>
          </w:p>
        </w:tc>
        <w:tc>
          <w:tcPr>
            <w:tcW w:w="1941" w:type="dxa"/>
            <w:gridSpan w:val="2"/>
            <w:shd w:val="clear" w:color="auto" w:fill="FFFFFF"/>
            <w:vAlign w:val="center"/>
          </w:tcPr>
          <w:p w14:paraId="63EE42D1" w14:textId="77777777" w:rsidR="007C0B5A" w:rsidRPr="00C64ECB" w:rsidRDefault="007C0B5A" w:rsidP="00126681">
            <w:pPr>
              <w:pStyle w:val="TAC"/>
            </w:pPr>
            <w:r w:rsidRPr="00C64ECB">
              <w:t>-27</w:t>
            </w:r>
          </w:p>
        </w:tc>
        <w:tc>
          <w:tcPr>
            <w:tcW w:w="1941" w:type="dxa"/>
            <w:gridSpan w:val="2"/>
            <w:shd w:val="clear" w:color="auto" w:fill="FFFFFF"/>
            <w:vAlign w:val="center"/>
          </w:tcPr>
          <w:p w14:paraId="46863A5F" w14:textId="77777777" w:rsidR="007C0B5A" w:rsidRPr="00C64ECB" w:rsidRDefault="007C0B5A" w:rsidP="00126681">
            <w:pPr>
              <w:pStyle w:val="TAC"/>
            </w:pPr>
            <w:r w:rsidRPr="00C64ECB">
              <w:t>-27</w:t>
            </w:r>
          </w:p>
        </w:tc>
        <w:tc>
          <w:tcPr>
            <w:tcW w:w="2626" w:type="dxa"/>
            <w:gridSpan w:val="2"/>
            <w:shd w:val="clear" w:color="auto" w:fill="FFFFFF"/>
            <w:vAlign w:val="center"/>
          </w:tcPr>
          <w:p w14:paraId="267A1E50" w14:textId="77777777" w:rsidR="007C0B5A" w:rsidRPr="00C64ECB" w:rsidRDefault="007C0B5A" w:rsidP="00126681">
            <w:pPr>
              <w:pStyle w:val="TAC"/>
              <w:rPr>
                <w:sz w:val="20"/>
              </w:rPr>
            </w:pPr>
            <w:r w:rsidRPr="00C64ECB">
              <w:rPr>
                <w:sz w:val="20"/>
              </w:rPr>
              <w:t>For any 100kHz in outside band, less than -30dBm(2400-2483.5MHz)</w:t>
            </w:r>
          </w:p>
          <w:p w14:paraId="35E9A7B3" w14:textId="77777777" w:rsidR="007C0B5A" w:rsidRPr="00C64ECB" w:rsidRDefault="007C0B5A" w:rsidP="00126681">
            <w:pPr>
              <w:pStyle w:val="TAC"/>
            </w:pPr>
            <w:r w:rsidRPr="00C64ECB">
              <w:t>-27dBm/MHz (5725-5825MHz)</w:t>
            </w:r>
          </w:p>
        </w:tc>
      </w:tr>
      <w:tr w:rsidR="007C0B5A" w:rsidRPr="00C64ECB" w14:paraId="5F93CC44" w14:textId="77777777" w:rsidTr="00126681">
        <w:trPr>
          <w:jc w:val="center"/>
        </w:trPr>
        <w:tc>
          <w:tcPr>
            <w:tcW w:w="1510" w:type="dxa"/>
            <w:shd w:val="clear" w:color="auto" w:fill="D9D9D9"/>
            <w:vAlign w:val="center"/>
          </w:tcPr>
          <w:p w14:paraId="46525A30" w14:textId="77777777" w:rsidR="007C0B5A" w:rsidRPr="00C64ECB" w:rsidRDefault="007C0B5A" w:rsidP="00126681">
            <w:pPr>
              <w:pStyle w:val="TAH"/>
            </w:pPr>
            <w:r w:rsidRPr="00C64ECB">
              <w:t>DFS (Note 5)</w:t>
            </w:r>
          </w:p>
        </w:tc>
        <w:tc>
          <w:tcPr>
            <w:tcW w:w="2181" w:type="dxa"/>
            <w:gridSpan w:val="2"/>
            <w:shd w:val="clear" w:color="auto" w:fill="FFFFFF"/>
            <w:vAlign w:val="center"/>
          </w:tcPr>
          <w:p w14:paraId="605ABABA" w14:textId="77777777" w:rsidR="007C0B5A" w:rsidRPr="00C64ECB" w:rsidRDefault="007C0B5A" w:rsidP="00126681">
            <w:pPr>
              <w:pStyle w:val="TAC"/>
            </w:pPr>
            <w:r w:rsidRPr="00C64ECB">
              <w:t>No</w:t>
            </w:r>
          </w:p>
        </w:tc>
        <w:tc>
          <w:tcPr>
            <w:tcW w:w="1941" w:type="dxa"/>
            <w:gridSpan w:val="2"/>
            <w:shd w:val="clear" w:color="auto" w:fill="FFFFFF"/>
            <w:vAlign w:val="center"/>
          </w:tcPr>
          <w:p w14:paraId="13BA62DD" w14:textId="77777777" w:rsidR="007C0B5A" w:rsidRPr="00C64ECB" w:rsidRDefault="007C0B5A" w:rsidP="00126681">
            <w:pPr>
              <w:pStyle w:val="TAC"/>
            </w:pPr>
            <w:r w:rsidRPr="00C64ECB">
              <w:t>Yes</w:t>
            </w:r>
          </w:p>
        </w:tc>
        <w:tc>
          <w:tcPr>
            <w:tcW w:w="1941" w:type="dxa"/>
            <w:gridSpan w:val="2"/>
            <w:shd w:val="clear" w:color="auto" w:fill="FFFFFF"/>
            <w:vAlign w:val="center"/>
          </w:tcPr>
          <w:p w14:paraId="706F8456" w14:textId="77777777" w:rsidR="007C0B5A" w:rsidRPr="00C64ECB" w:rsidRDefault="007C0B5A" w:rsidP="00126681">
            <w:pPr>
              <w:pStyle w:val="TAC"/>
            </w:pPr>
            <w:r w:rsidRPr="00C64ECB">
              <w:t>Yes</w:t>
            </w:r>
          </w:p>
        </w:tc>
        <w:tc>
          <w:tcPr>
            <w:tcW w:w="2626" w:type="dxa"/>
            <w:gridSpan w:val="2"/>
            <w:shd w:val="clear" w:color="auto" w:fill="FFFFFF"/>
            <w:vAlign w:val="center"/>
          </w:tcPr>
          <w:p w14:paraId="0134BF19" w14:textId="77777777" w:rsidR="007C0B5A" w:rsidRPr="00C64ECB" w:rsidRDefault="007C0B5A" w:rsidP="00126681">
            <w:pPr>
              <w:pStyle w:val="TAC"/>
            </w:pPr>
            <w:r w:rsidRPr="00C64ECB">
              <w:t>No</w:t>
            </w:r>
          </w:p>
        </w:tc>
      </w:tr>
      <w:tr w:rsidR="007C0B5A" w:rsidRPr="00C64ECB" w14:paraId="5E25B783" w14:textId="77777777" w:rsidTr="00126681">
        <w:trPr>
          <w:jc w:val="center"/>
        </w:trPr>
        <w:tc>
          <w:tcPr>
            <w:tcW w:w="1510" w:type="dxa"/>
            <w:shd w:val="clear" w:color="auto" w:fill="D9D9D9"/>
            <w:vAlign w:val="center"/>
          </w:tcPr>
          <w:p w14:paraId="441030A9" w14:textId="77777777" w:rsidR="007C0B5A" w:rsidRPr="00C64ECB" w:rsidRDefault="007C0B5A" w:rsidP="00126681">
            <w:pPr>
              <w:pStyle w:val="TAH"/>
            </w:pPr>
            <w:r w:rsidRPr="00C64ECB">
              <w:t>TPC (Note 6)</w:t>
            </w:r>
          </w:p>
        </w:tc>
        <w:tc>
          <w:tcPr>
            <w:tcW w:w="2181" w:type="dxa"/>
            <w:gridSpan w:val="2"/>
            <w:shd w:val="clear" w:color="auto" w:fill="FFFFFF"/>
            <w:vAlign w:val="center"/>
          </w:tcPr>
          <w:p w14:paraId="3C278E2C" w14:textId="77777777" w:rsidR="007C0B5A" w:rsidRPr="00C64ECB" w:rsidRDefault="007C0B5A" w:rsidP="00126681">
            <w:pPr>
              <w:pStyle w:val="TAC"/>
            </w:pPr>
            <w:r w:rsidRPr="00C64ECB">
              <w:t>No</w:t>
            </w:r>
          </w:p>
        </w:tc>
        <w:tc>
          <w:tcPr>
            <w:tcW w:w="1941" w:type="dxa"/>
            <w:gridSpan w:val="2"/>
            <w:shd w:val="clear" w:color="auto" w:fill="FFFFFF"/>
            <w:vAlign w:val="center"/>
          </w:tcPr>
          <w:p w14:paraId="54861276" w14:textId="77777777" w:rsidR="007C0B5A" w:rsidRPr="00C64ECB" w:rsidRDefault="007C0B5A" w:rsidP="00126681">
            <w:pPr>
              <w:pStyle w:val="TAC"/>
            </w:pPr>
            <w:r w:rsidRPr="00C64ECB">
              <w:t>Yes</w:t>
            </w:r>
          </w:p>
        </w:tc>
        <w:tc>
          <w:tcPr>
            <w:tcW w:w="1941" w:type="dxa"/>
            <w:gridSpan w:val="2"/>
            <w:shd w:val="clear" w:color="auto" w:fill="FFFFFF"/>
            <w:vAlign w:val="center"/>
          </w:tcPr>
          <w:p w14:paraId="367F28F6" w14:textId="77777777" w:rsidR="007C0B5A" w:rsidRPr="00C64ECB" w:rsidRDefault="007C0B5A" w:rsidP="00126681">
            <w:pPr>
              <w:pStyle w:val="TAC"/>
            </w:pPr>
            <w:r w:rsidRPr="00C64ECB">
              <w:t>Yes</w:t>
            </w:r>
          </w:p>
        </w:tc>
        <w:tc>
          <w:tcPr>
            <w:tcW w:w="2626" w:type="dxa"/>
            <w:gridSpan w:val="2"/>
            <w:shd w:val="clear" w:color="auto" w:fill="FFFFFF"/>
            <w:vAlign w:val="center"/>
          </w:tcPr>
          <w:p w14:paraId="47533504" w14:textId="77777777" w:rsidR="007C0B5A" w:rsidRPr="00C64ECB" w:rsidRDefault="007C0B5A" w:rsidP="00126681">
            <w:pPr>
              <w:pStyle w:val="TAC"/>
            </w:pPr>
            <w:r w:rsidRPr="00C64ECB">
              <w:t>No</w:t>
            </w:r>
          </w:p>
        </w:tc>
      </w:tr>
      <w:tr w:rsidR="007C0B5A" w:rsidRPr="00C64ECB" w14:paraId="2B8AF7D6" w14:textId="77777777" w:rsidTr="00126681">
        <w:trPr>
          <w:jc w:val="center"/>
        </w:trPr>
        <w:tc>
          <w:tcPr>
            <w:tcW w:w="10199" w:type="dxa"/>
            <w:gridSpan w:val="9"/>
            <w:shd w:val="clear" w:color="auto" w:fill="auto"/>
            <w:vAlign w:val="center"/>
          </w:tcPr>
          <w:p w14:paraId="67FE0D5B" w14:textId="77777777" w:rsidR="007C0B5A" w:rsidRPr="00C64ECB" w:rsidRDefault="007C0B5A" w:rsidP="00126681">
            <w:pPr>
              <w:pStyle w:val="TAN"/>
            </w:pPr>
            <w:r w:rsidRPr="00C64ECB">
              <w:t>NOTE 1:</w:t>
            </w:r>
            <w:r w:rsidRPr="00C64ECB">
              <w:tab/>
              <w:t>2400-2483.5MHz devices</w:t>
            </w:r>
          </w:p>
          <w:p w14:paraId="18534410" w14:textId="77777777" w:rsidR="007C0B5A" w:rsidRPr="00C64ECB" w:rsidRDefault="007C0B5A" w:rsidP="00126681">
            <w:pPr>
              <w:pStyle w:val="TAN"/>
            </w:pPr>
            <w:r w:rsidRPr="00C64ECB">
              <w:t>NOTE 2:</w:t>
            </w:r>
            <w:r w:rsidRPr="00C64ECB">
              <w:tab/>
              <w:t>Fixed point to point operation power scaling threshold is 20 dBi</w:t>
            </w:r>
          </w:p>
          <w:p w14:paraId="4D66D1C9" w14:textId="77777777" w:rsidR="007C0B5A" w:rsidRPr="00C64ECB" w:rsidRDefault="007C0B5A" w:rsidP="00126681">
            <w:pPr>
              <w:pStyle w:val="TAN"/>
            </w:pPr>
            <w:r w:rsidRPr="00C64ECB">
              <w:t>NOTE 3:</w:t>
            </w:r>
            <w:r w:rsidRPr="00C64ECB">
              <w:tab/>
              <w:t>PTP: Point to Point communication</w:t>
            </w:r>
          </w:p>
          <w:p w14:paraId="7C8AD9CB" w14:textId="77777777" w:rsidR="007C0B5A" w:rsidRPr="00C64ECB" w:rsidRDefault="007C0B5A" w:rsidP="00126681">
            <w:pPr>
              <w:pStyle w:val="TAN"/>
            </w:pPr>
            <w:r w:rsidRPr="00C64ECB">
              <w:t>NOTE 4:</w:t>
            </w:r>
            <w:r w:rsidRPr="00C64ECB">
              <w:tab/>
              <w:t>Peak power is reduced by G-THR dB for directional antennas with gain &gt; THR dBi (THR = 6 dBi for 51005250MHz and 5725-5825MHz or 7dBi for 5250-5350MHz and 5470-5650MHz)</w:t>
            </w:r>
          </w:p>
          <w:p w14:paraId="75D22F6A" w14:textId="77777777" w:rsidR="007C0B5A" w:rsidRPr="00C64ECB" w:rsidRDefault="007C0B5A" w:rsidP="00126681">
            <w:pPr>
              <w:pStyle w:val="TAN"/>
            </w:pPr>
            <w:r w:rsidRPr="00C64ECB">
              <w:t>NOTE 5:</w:t>
            </w:r>
            <w:r w:rsidRPr="00C64ECB">
              <w:tab/>
              <w:t>DFS: Dynamic Frequency Selection</w:t>
            </w:r>
          </w:p>
          <w:p w14:paraId="1B71DA4A" w14:textId="77777777" w:rsidR="007C0B5A" w:rsidRPr="00C64ECB" w:rsidRDefault="007C0B5A" w:rsidP="00126681">
            <w:pPr>
              <w:pStyle w:val="TAN"/>
            </w:pPr>
            <w:r w:rsidRPr="00C64ECB">
              <w:t>NOTE 6:</w:t>
            </w:r>
            <w:r w:rsidRPr="00C64ECB">
              <w:tab/>
              <w:t>TPC: Transmit Power Control</w:t>
            </w:r>
          </w:p>
          <w:p w14:paraId="79D00832" w14:textId="77777777" w:rsidR="007C0B5A" w:rsidRPr="00C64ECB" w:rsidRDefault="007C0B5A" w:rsidP="00126681">
            <w:pPr>
              <w:pStyle w:val="TAN"/>
            </w:pPr>
            <w:r w:rsidRPr="00C64ECB">
              <w:t>NOTE 7:</w:t>
            </w:r>
            <w:r w:rsidRPr="00C64ECB">
              <w:tab/>
              <w:t>5725-5825MHz, 2400-2483.5MHz are not allowed to be used for point-to-multipoint service for the same information and omni-directional electro-magnetic wave transmission</w:t>
            </w:r>
          </w:p>
          <w:p w14:paraId="3CD752A9" w14:textId="77777777" w:rsidR="007C0B5A" w:rsidRPr="00C64ECB" w:rsidRDefault="007C0B5A" w:rsidP="00126681">
            <w:pPr>
              <w:pStyle w:val="TAN"/>
            </w:pPr>
          </w:p>
        </w:tc>
      </w:tr>
    </w:tbl>
    <w:p w14:paraId="0D528970" w14:textId="77777777" w:rsidR="007C0B5A" w:rsidRPr="00C64ECB" w:rsidRDefault="007C0B5A" w:rsidP="007C0B5A">
      <w:pPr>
        <w:jc w:val="center"/>
        <w:rPr>
          <w:rFonts w:eastAsia="Malgun Gothic"/>
          <w:sz w:val="24"/>
          <w:szCs w:val="24"/>
          <w:lang w:eastAsia="ko-KR"/>
        </w:rPr>
      </w:pPr>
    </w:p>
    <w:p w14:paraId="326F461C" w14:textId="77777777" w:rsidR="007C0B5A" w:rsidRPr="00C64ECB" w:rsidRDefault="007C0B5A" w:rsidP="007C0B5A">
      <w:pPr>
        <w:pStyle w:val="TH"/>
      </w:pPr>
      <w:r w:rsidRPr="00C64ECB">
        <w:t>Table 4.</w:t>
      </w:r>
      <w:r w:rsidR="000D7B67" w:rsidRPr="00C64ECB">
        <w:t>1.</w:t>
      </w:r>
      <w:r w:rsidRPr="00C64ECB">
        <w:t>3.3-2: DFS requirements for 5GHz Devices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1791"/>
        <w:gridCol w:w="4394"/>
      </w:tblGrid>
      <w:tr w:rsidR="007C0B5A" w:rsidRPr="00C64ECB" w14:paraId="701ACE49" w14:textId="77777777" w:rsidTr="00126681">
        <w:tc>
          <w:tcPr>
            <w:tcW w:w="2745" w:type="dxa"/>
            <w:shd w:val="clear" w:color="auto" w:fill="D9D9D9"/>
            <w:vAlign w:val="center"/>
          </w:tcPr>
          <w:p w14:paraId="71E17164" w14:textId="77777777" w:rsidR="007C0B5A" w:rsidRPr="00C64ECB" w:rsidRDefault="007C0B5A" w:rsidP="00126681">
            <w:pPr>
              <w:pStyle w:val="TAH"/>
            </w:pPr>
          </w:p>
        </w:tc>
        <w:tc>
          <w:tcPr>
            <w:tcW w:w="1791" w:type="dxa"/>
            <w:shd w:val="clear" w:color="auto" w:fill="D9D9D9"/>
            <w:vAlign w:val="center"/>
          </w:tcPr>
          <w:p w14:paraId="70C805A2" w14:textId="77777777" w:rsidR="007C0B5A" w:rsidRPr="00C64ECB" w:rsidRDefault="007C0B5A" w:rsidP="00126681">
            <w:pPr>
              <w:pStyle w:val="TAH"/>
            </w:pPr>
            <w:r w:rsidRPr="00C64ECB">
              <w:t>Levels</w:t>
            </w:r>
          </w:p>
        </w:tc>
        <w:tc>
          <w:tcPr>
            <w:tcW w:w="4394" w:type="dxa"/>
            <w:shd w:val="clear" w:color="auto" w:fill="D9D9D9"/>
            <w:vAlign w:val="center"/>
          </w:tcPr>
          <w:p w14:paraId="448CFEE1" w14:textId="77777777" w:rsidR="007C0B5A" w:rsidRPr="00C64ECB" w:rsidRDefault="007C0B5A" w:rsidP="00126681">
            <w:pPr>
              <w:pStyle w:val="TAH"/>
            </w:pPr>
            <w:r w:rsidRPr="00C64ECB">
              <w:t>Comments</w:t>
            </w:r>
          </w:p>
        </w:tc>
      </w:tr>
      <w:tr w:rsidR="007C0B5A" w:rsidRPr="00C64ECB" w14:paraId="361F5CB4" w14:textId="77777777" w:rsidTr="00126681">
        <w:tc>
          <w:tcPr>
            <w:tcW w:w="2745" w:type="dxa"/>
            <w:vMerge w:val="restart"/>
            <w:shd w:val="clear" w:color="auto" w:fill="D9D9D9"/>
            <w:vAlign w:val="center"/>
          </w:tcPr>
          <w:p w14:paraId="4F68AA79" w14:textId="77777777" w:rsidR="007C0B5A" w:rsidRPr="00C64ECB" w:rsidRDefault="007C0B5A" w:rsidP="00126681">
            <w:pPr>
              <w:pStyle w:val="TAH"/>
            </w:pPr>
            <w:r w:rsidRPr="00C64ECB">
              <w:t>DFS Threshold (dBm) for interference detection</w:t>
            </w:r>
          </w:p>
        </w:tc>
        <w:tc>
          <w:tcPr>
            <w:tcW w:w="1791" w:type="dxa"/>
            <w:shd w:val="clear" w:color="auto" w:fill="auto"/>
            <w:vAlign w:val="center"/>
          </w:tcPr>
          <w:p w14:paraId="7D60C9C8" w14:textId="77777777" w:rsidR="007C0B5A" w:rsidRPr="00C64ECB" w:rsidRDefault="007C0B5A" w:rsidP="00126681">
            <w:pPr>
              <w:pStyle w:val="TAC"/>
            </w:pPr>
            <w:r w:rsidRPr="00C64ECB">
              <w:t>-62dBm</w:t>
            </w:r>
          </w:p>
        </w:tc>
        <w:tc>
          <w:tcPr>
            <w:tcW w:w="4394" w:type="dxa"/>
            <w:shd w:val="clear" w:color="auto" w:fill="auto"/>
            <w:vAlign w:val="center"/>
          </w:tcPr>
          <w:p w14:paraId="0529F818" w14:textId="77777777" w:rsidR="007C0B5A" w:rsidRPr="00C64ECB" w:rsidRDefault="007C0B5A" w:rsidP="00126681">
            <w:pPr>
              <w:pStyle w:val="TAC"/>
            </w:pPr>
            <w:r w:rsidRPr="00C64ECB">
              <w:t>Average power considering antenna gain: &lt;10mW/MHz</w:t>
            </w:r>
          </w:p>
        </w:tc>
      </w:tr>
      <w:tr w:rsidR="007C0B5A" w:rsidRPr="00C64ECB" w14:paraId="29B3F87E" w14:textId="77777777" w:rsidTr="00126681">
        <w:tc>
          <w:tcPr>
            <w:tcW w:w="2745" w:type="dxa"/>
            <w:vMerge/>
            <w:shd w:val="clear" w:color="auto" w:fill="D9D9D9"/>
            <w:vAlign w:val="center"/>
          </w:tcPr>
          <w:p w14:paraId="6C3430C4" w14:textId="77777777" w:rsidR="007C0B5A" w:rsidRPr="00C64ECB" w:rsidRDefault="007C0B5A" w:rsidP="00126681">
            <w:pPr>
              <w:pStyle w:val="TAH"/>
            </w:pPr>
          </w:p>
        </w:tc>
        <w:tc>
          <w:tcPr>
            <w:tcW w:w="1791" w:type="dxa"/>
            <w:shd w:val="clear" w:color="auto" w:fill="auto"/>
            <w:vAlign w:val="center"/>
          </w:tcPr>
          <w:p w14:paraId="293FC511" w14:textId="77777777" w:rsidR="007C0B5A" w:rsidRPr="00C64ECB" w:rsidRDefault="007C0B5A" w:rsidP="00126681">
            <w:pPr>
              <w:pStyle w:val="TAC"/>
            </w:pPr>
            <w:r w:rsidRPr="00C64ECB">
              <w:t>-64dBm</w:t>
            </w:r>
          </w:p>
        </w:tc>
        <w:tc>
          <w:tcPr>
            <w:tcW w:w="4394" w:type="dxa"/>
            <w:shd w:val="clear" w:color="auto" w:fill="auto"/>
            <w:vAlign w:val="center"/>
          </w:tcPr>
          <w:p w14:paraId="0E77EC61" w14:textId="77777777" w:rsidR="007C0B5A" w:rsidRPr="00C64ECB" w:rsidRDefault="007C0B5A" w:rsidP="00126681">
            <w:pPr>
              <w:pStyle w:val="TAC"/>
            </w:pPr>
            <w:r w:rsidRPr="00C64ECB">
              <w:t>Average power considering antenna gain: 10mW/MHz ~50mW/MHz</w:t>
            </w:r>
          </w:p>
        </w:tc>
      </w:tr>
      <w:tr w:rsidR="007C0B5A" w:rsidRPr="00C64ECB" w14:paraId="1BD736BD" w14:textId="77777777" w:rsidTr="00126681">
        <w:tc>
          <w:tcPr>
            <w:tcW w:w="2745" w:type="dxa"/>
            <w:shd w:val="clear" w:color="auto" w:fill="D9D9D9"/>
            <w:vAlign w:val="center"/>
          </w:tcPr>
          <w:p w14:paraId="7850B68A" w14:textId="77777777" w:rsidR="007C0B5A" w:rsidRPr="00C64ECB" w:rsidRDefault="007C0B5A" w:rsidP="00126681">
            <w:pPr>
              <w:pStyle w:val="TAH"/>
            </w:pPr>
            <w:r w:rsidRPr="00C64ECB">
              <w:t>Channel availability check time</w:t>
            </w:r>
          </w:p>
        </w:tc>
        <w:tc>
          <w:tcPr>
            <w:tcW w:w="1791" w:type="dxa"/>
            <w:shd w:val="clear" w:color="auto" w:fill="auto"/>
            <w:vAlign w:val="center"/>
          </w:tcPr>
          <w:p w14:paraId="4B77B1E3" w14:textId="77777777" w:rsidR="007C0B5A" w:rsidRPr="00C64ECB" w:rsidRDefault="007C0B5A" w:rsidP="00126681">
            <w:pPr>
              <w:pStyle w:val="TAC"/>
            </w:pPr>
            <w:r w:rsidRPr="00C64ECB">
              <w:t>&gt; 60 seconds</w:t>
            </w:r>
          </w:p>
        </w:tc>
        <w:tc>
          <w:tcPr>
            <w:tcW w:w="4394" w:type="dxa"/>
            <w:shd w:val="clear" w:color="auto" w:fill="auto"/>
            <w:vAlign w:val="center"/>
          </w:tcPr>
          <w:p w14:paraId="49F01EB7" w14:textId="77777777" w:rsidR="007C0B5A" w:rsidRPr="00C64ECB" w:rsidRDefault="007C0B5A" w:rsidP="00126681">
            <w:pPr>
              <w:pStyle w:val="TAC"/>
            </w:pPr>
          </w:p>
        </w:tc>
      </w:tr>
      <w:tr w:rsidR="007C0B5A" w:rsidRPr="00C64ECB" w14:paraId="6A696BEE" w14:textId="77777777" w:rsidTr="00126681">
        <w:tc>
          <w:tcPr>
            <w:tcW w:w="2745" w:type="dxa"/>
            <w:shd w:val="clear" w:color="auto" w:fill="D9D9D9"/>
            <w:vAlign w:val="center"/>
          </w:tcPr>
          <w:p w14:paraId="2A5BA57C" w14:textId="77777777" w:rsidR="007C0B5A" w:rsidRPr="00C64ECB" w:rsidRDefault="007C0B5A" w:rsidP="00126681">
            <w:pPr>
              <w:pStyle w:val="TAH"/>
            </w:pPr>
            <w:r w:rsidRPr="00C64ECB">
              <w:t>Channel move time</w:t>
            </w:r>
          </w:p>
        </w:tc>
        <w:tc>
          <w:tcPr>
            <w:tcW w:w="1791" w:type="dxa"/>
            <w:shd w:val="clear" w:color="auto" w:fill="auto"/>
            <w:vAlign w:val="center"/>
          </w:tcPr>
          <w:p w14:paraId="18E86210" w14:textId="77777777" w:rsidR="007C0B5A" w:rsidRPr="00C64ECB" w:rsidRDefault="007C0B5A" w:rsidP="00126681">
            <w:pPr>
              <w:pStyle w:val="TAC"/>
            </w:pPr>
            <w:r w:rsidRPr="00C64ECB">
              <w:t>&lt; 10 seconds</w:t>
            </w:r>
          </w:p>
        </w:tc>
        <w:tc>
          <w:tcPr>
            <w:tcW w:w="4394" w:type="dxa"/>
            <w:shd w:val="clear" w:color="auto" w:fill="auto"/>
            <w:vAlign w:val="center"/>
          </w:tcPr>
          <w:p w14:paraId="2606B563" w14:textId="77777777" w:rsidR="007C0B5A" w:rsidRPr="00C64ECB" w:rsidRDefault="007C0B5A" w:rsidP="00126681">
            <w:pPr>
              <w:pStyle w:val="TAC"/>
            </w:pPr>
          </w:p>
        </w:tc>
      </w:tr>
      <w:tr w:rsidR="007C0B5A" w:rsidRPr="00C64ECB" w14:paraId="0EB599E5" w14:textId="77777777" w:rsidTr="00126681">
        <w:tc>
          <w:tcPr>
            <w:tcW w:w="2745" w:type="dxa"/>
            <w:shd w:val="clear" w:color="auto" w:fill="D9D9D9"/>
            <w:vAlign w:val="center"/>
          </w:tcPr>
          <w:p w14:paraId="695E88E9" w14:textId="77777777" w:rsidR="007C0B5A" w:rsidRPr="00C64ECB" w:rsidRDefault="007C0B5A" w:rsidP="00126681">
            <w:pPr>
              <w:pStyle w:val="TAH"/>
            </w:pPr>
            <w:r w:rsidRPr="00C64ECB">
              <w:t>Non-occupancy time</w:t>
            </w:r>
          </w:p>
        </w:tc>
        <w:tc>
          <w:tcPr>
            <w:tcW w:w="1791" w:type="dxa"/>
            <w:shd w:val="clear" w:color="auto" w:fill="auto"/>
            <w:vAlign w:val="center"/>
          </w:tcPr>
          <w:p w14:paraId="6AB751B8" w14:textId="77777777" w:rsidR="007C0B5A" w:rsidRPr="00C64ECB" w:rsidRDefault="007C0B5A" w:rsidP="00126681">
            <w:pPr>
              <w:pStyle w:val="TAC"/>
            </w:pPr>
            <w:r w:rsidRPr="00C64ECB">
              <w:t>&gt; 30 minutes</w:t>
            </w:r>
          </w:p>
        </w:tc>
        <w:tc>
          <w:tcPr>
            <w:tcW w:w="4394" w:type="dxa"/>
            <w:shd w:val="clear" w:color="auto" w:fill="auto"/>
            <w:vAlign w:val="center"/>
          </w:tcPr>
          <w:p w14:paraId="15C70272" w14:textId="77777777" w:rsidR="007C0B5A" w:rsidRPr="00C64ECB" w:rsidRDefault="007C0B5A" w:rsidP="00126681">
            <w:pPr>
              <w:pStyle w:val="TAC"/>
            </w:pPr>
            <w:r w:rsidRPr="00C64ECB">
              <w:t>After radar detection in either channel availability check or in-service monitoring</w:t>
            </w:r>
          </w:p>
        </w:tc>
      </w:tr>
    </w:tbl>
    <w:p w14:paraId="67DDAECB" w14:textId="77777777" w:rsidR="007C0B5A" w:rsidRPr="00C64ECB" w:rsidRDefault="007C0B5A" w:rsidP="007C0B5A">
      <w:pPr>
        <w:rPr>
          <w:lang w:eastAsia="ko-KR"/>
        </w:rPr>
      </w:pPr>
    </w:p>
    <w:p w14:paraId="3E87A253" w14:textId="77777777" w:rsidR="007C0B5A" w:rsidRPr="00C64ECB" w:rsidRDefault="007C0B5A" w:rsidP="007C0B5A">
      <w:r w:rsidRPr="00C64ECB">
        <w:rPr>
          <w:lang w:eastAsia="ko-KR"/>
        </w:rPr>
        <w:t xml:space="preserve">Korean regulatory requirements </w:t>
      </w:r>
      <w:r w:rsidRPr="00C64ECB">
        <w:t xml:space="preserve">are summarized </w:t>
      </w:r>
      <w:r w:rsidRPr="00C64ECB">
        <w:rPr>
          <w:lang w:eastAsia="ko-KR"/>
        </w:rPr>
        <w:t>as follows</w:t>
      </w:r>
      <w:r w:rsidRPr="00C64ECB">
        <w:t>:</w:t>
      </w:r>
    </w:p>
    <w:p w14:paraId="746B184D" w14:textId="77777777" w:rsidR="007C0B5A" w:rsidRPr="00C64ECB" w:rsidRDefault="007C0B5A" w:rsidP="007C0B5A">
      <w:pPr>
        <w:pStyle w:val="B1"/>
      </w:pPr>
      <w:r w:rsidRPr="00C64ECB">
        <w:t>-</w:t>
      </w:r>
      <w:r w:rsidRPr="00C64ECB">
        <w:tab/>
        <w:t>Average PSD requirement (mW/MHz)</w:t>
      </w:r>
    </w:p>
    <w:p w14:paraId="4B902D1F" w14:textId="77777777" w:rsidR="007C0B5A" w:rsidRPr="00C64ECB" w:rsidRDefault="007C0B5A" w:rsidP="007C0B5A">
      <w:pPr>
        <w:pStyle w:val="B2"/>
      </w:pPr>
      <w:r w:rsidRPr="00C64ECB">
        <w:t>-</w:t>
      </w:r>
      <w:r w:rsidRPr="00C64ECB">
        <w:tab/>
        <w:t>It covers both power spectral density and Max transmission power</w:t>
      </w:r>
    </w:p>
    <w:p w14:paraId="751FCE82" w14:textId="77777777" w:rsidR="007C0B5A" w:rsidRPr="00C64ECB" w:rsidRDefault="007C0B5A" w:rsidP="007C0B5A">
      <w:pPr>
        <w:pStyle w:val="B2"/>
      </w:pPr>
      <w:r w:rsidRPr="00C64ECB">
        <w:t>-</w:t>
      </w:r>
      <w:r w:rsidRPr="00C64ECB">
        <w:tab/>
        <w:t>The maximum PSD is defined for a given spectrum range</w:t>
      </w:r>
    </w:p>
    <w:p w14:paraId="60423FAB" w14:textId="77777777" w:rsidR="007C0B5A" w:rsidRPr="00C64ECB" w:rsidRDefault="007C0B5A" w:rsidP="007C0B5A">
      <w:pPr>
        <w:pStyle w:val="B2"/>
      </w:pPr>
      <w:r w:rsidRPr="00C64ECB">
        <w:t>-</w:t>
      </w:r>
      <w:r w:rsidRPr="00C64ECB">
        <w:tab/>
        <w:t xml:space="preserve">Maximum transmission power : </w:t>
      </w:r>
    </w:p>
    <w:p w14:paraId="6891796E" w14:textId="77777777" w:rsidR="007C0B5A" w:rsidRPr="00C64ECB" w:rsidRDefault="007C0B5A" w:rsidP="007C0B5A">
      <w:pPr>
        <w:pStyle w:val="B3"/>
      </w:pPr>
      <w:r w:rsidRPr="00C64ECB">
        <w:lastRenderedPageBreak/>
        <w:t>-</w:t>
      </w:r>
      <w:r w:rsidRPr="00C64ECB">
        <w:tab/>
        <w:t>50mW, 200mW, 200mW and 200/260mW for 5150-5250, 5250-5350, 5470-5650, and 5725-5825 MHz band</w:t>
      </w:r>
      <w:r w:rsidRPr="00C64ECB" w:rsidDel="00506B3A">
        <w:t xml:space="preserve"> </w:t>
      </w:r>
      <w:r w:rsidRPr="00C64ECB">
        <w:t xml:space="preserve"> respectively</w:t>
      </w:r>
    </w:p>
    <w:p w14:paraId="2FEC69E6" w14:textId="77777777" w:rsidR="007C0B5A" w:rsidRPr="00C64ECB" w:rsidRDefault="007C0B5A" w:rsidP="007C0B5A">
      <w:pPr>
        <w:pStyle w:val="B1"/>
      </w:pPr>
      <w:r w:rsidRPr="00C64ECB">
        <w:t>-</w:t>
      </w:r>
      <w:r w:rsidRPr="00C64ECB">
        <w:tab/>
        <w:t>Antenna gain assumed:</w:t>
      </w:r>
    </w:p>
    <w:p w14:paraId="1BA7567A" w14:textId="77777777" w:rsidR="007C0B5A" w:rsidRPr="00C64ECB" w:rsidRDefault="007C0B5A" w:rsidP="007C0B5A">
      <w:pPr>
        <w:pStyle w:val="B2"/>
      </w:pPr>
      <w:r w:rsidRPr="00C64ECB">
        <w:t>-</w:t>
      </w:r>
      <w:r w:rsidRPr="00C64ECB">
        <w:tab/>
        <w:t xml:space="preserve">6 dBi for 5150-5250 and 5725-5825MHz band </w:t>
      </w:r>
    </w:p>
    <w:p w14:paraId="7DAD4974" w14:textId="77777777" w:rsidR="007C0B5A" w:rsidRPr="00C64ECB" w:rsidRDefault="007C0B5A" w:rsidP="007C0B5A">
      <w:pPr>
        <w:pStyle w:val="B2"/>
      </w:pPr>
      <w:r w:rsidRPr="00C64ECB">
        <w:t>-</w:t>
      </w:r>
      <w:r w:rsidRPr="00C64ECB">
        <w:tab/>
        <w:t>7 dBi for 52505350 and 5470-5650MHz band</w:t>
      </w:r>
    </w:p>
    <w:p w14:paraId="7BE7DDC0" w14:textId="77777777" w:rsidR="007C0B5A" w:rsidRPr="00C64ECB" w:rsidRDefault="007C0B5A" w:rsidP="007C0B5A">
      <w:pPr>
        <w:pStyle w:val="B1"/>
      </w:pPr>
      <w:r w:rsidRPr="00C64ECB">
        <w:t>-</w:t>
      </w:r>
      <w:r w:rsidRPr="00C64ECB">
        <w:tab/>
        <w:t>Out of Band Emission (EIRP (dBm/MHz) )</w:t>
      </w:r>
    </w:p>
    <w:p w14:paraId="0932FD46" w14:textId="77777777" w:rsidR="007C0B5A" w:rsidRPr="00C64ECB" w:rsidRDefault="007C0B5A" w:rsidP="007C0B5A">
      <w:pPr>
        <w:pStyle w:val="B2"/>
      </w:pPr>
      <w:r w:rsidRPr="00C64ECB">
        <w:t>-</w:t>
      </w:r>
      <w:r w:rsidRPr="00C64ECB">
        <w:tab/>
        <w:t xml:space="preserve">&lt;-27 dBm/MHz </w:t>
      </w:r>
    </w:p>
    <w:p w14:paraId="042B16EA" w14:textId="77777777" w:rsidR="007C0B5A" w:rsidRPr="00C64ECB" w:rsidRDefault="007C0B5A" w:rsidP="007C0B5A">
      <w:pPr>
        <w:pStyle w:val="B1"/>
      </w:pPr>
      <w:r w:rsidRPr="00C64ECB">
        <w:t>-</w:t>
      </w:r>
      <w:r w:rsidRPr="00C64ECB">
        <w:tab/>
        <w:t>DFS &amp; TPC</w:t>
      </w:r>
    </w:p>
    <w:p w14:paraId="041AB021" w14:textId="77777777" w:rsidR="007C0B5A" w:rsidRPr="00C64ECB" w:rsidRDefault="007C0B5A" w:rsidP="007C0B5A">
      <w:pPr>
        <w:pStyle w:val="B2"/>
      </w:pPr>
      <w:r w:rsidRPr="00C64ECB">
        <w:t>-</w:t>
      </w:r>
      <w:r w:rsidRPr="00C64ECB">
        <w:tab/>
        <w:t xml:space="preserve">DFS is defined for 5250-5350MHz and 5470-5650MHz </w:t>
      </w:r>
    </w:p>
    <w:p w14:paraId="0EE3A068" w14:textId="77777777" w:rsidR="007C0B5A" w:rsidRPr="00C64ECB" w:rsidRDefault="007C0B5A" w:rsidP="007C0B5A">
      <w:pPr>
        <w:pStyle w:val="B2"/>
      </w:pPr>
      <w:r w:rsidRPr="00C64ECB">
        <w:t>-</w:t>
      </w:r>
      <w:r w:rsidRPr="00C64ECB">
        <w:tab/>
        <w:t xml:space="preserve">TPC is defined for 5250-5350MHz and 5470-5650MHz </w:t>
      </w:r>
    </w:p>
    <w:p w14:paraId="4D8D7505" w14:textId="77777777" w:rsidR="007C0B5A" w:rsidRPr="00C64ECB" w:rsidRDefault="007C0B5A" w:rsidP="007C0B5A">
      <w:pPr>
        <w:pStyle w:val="B3"/>
      </w:pPr>
      <w:r w:rsidRPr="00C64ECB">
        <w:t>-</w:t>
      </w:r>
      <w:r w:rsidRPr="00C64ECB">
        <w:tab/>
        <w:t>TPC ensures wireless devices with average Tx power including antenna gain larger than 25mW/MHz can reduce its average Tx power by at least 3dB (below 12.5mW/MHz)</w:t>
      </w:r>
    </w:p>
    <w:p w14:paraId="46CF2658" w14:textId="77777777" w:rsidR="007C0B5A" w:rsidRPr="00C64ECB" w:rsidRDefault="007C0B5A" w:rsidP="007C0B5A">
      <w:pPr>
        <w:pStyle w:val="B1"/>
      </w:pPr>
      <w:r w:rsidRPr="00C64ECB">
        <w:t>-</w:t>
      </w:r>
      <w:r w:rsidRPr="00C64ECB">
        <w:tab/>
        <w:t>Maximum bandwidth occupancy</w:t>
      </w:r>
    </w:p>
    <w:p w14:paraId="13FEDC88" w14:textId="77777777" w:rsidR="007C0B5A" w:rsidRPr="00C64ECB" w:rsidRDefault="007C0B5A" w:rsidP="007C0B5A">
      <w:pPr>
        <w:pStyle w:val="B2"/>
      </w:pPr>
      <w:r w:rsidRPr="00C64ECB">
        <w:t>-</w:t>
      </w:r>
      <w:r w:rsidRPr="00C64ECB">
        <w:tab/>
        <w:t>&lt; 80MHz for 5GHz</w:t>
      </w:r>
    </w:p>
    <w:p w14:paraId="335F09BA" w14:textId="77777777" w:rsidR="007C0B5A" w:rsidRPr="00C64ECB" w:rsidRDefault="007C0B5A" w:rsidP="007C0B5A">
      <w:pPr>
        <w:pStyle w:val="B1"/>
      </w:pPr>
      <w:r w:rsidRPr="00C64ECB">
        <w:t>-</w:t>
      </w:r>
      <w:r w:rsidRPr="00C64ECB">
        <w:tab/>
        <w:t>Maximum power spectral density for bandwidth aggregation (contiguous or non-contiguous)</w:t>
      </w:r>
    </w:p>
    <w:p w14:paraId="6004E083" w14:textId="77777777" w:rsidR="007C0B5A" w:rsidRPr="00C64ECB" w:rsidRDefault="007C0B5A" w:rsidP="007C0B5A">
      <w:pPr>
        <w:pStyle w:val="B2"/>
      </w:pPr>
      <w:r w:rsidRPr="00C64ECB">
        <w:t>-</w:t>
      </w:r>
      <w:r w:rsidRPr="00C64ECB">
        <w:tab/>
        <w:t>Among 5150-5250, 5250-5350, 5470-5650, and 5725-5825 MHz bands, multiple of 80MHz bandwidth can be aggregated in contiguous or non-contiguous manner to form 160MHz bandwidth</w:t>
      </w:r>
    </w:p>
    <w:p w14:paraId="3625E76B" w14:textId="77777777" w:rsidR="007C0B5A" w:rsidRPr="00C64ECB" w:rsidRDefault="007C0B5A" w:rsidP="007C0B5A">
      <w:pPr>
        <w:pStyle w:val="B2"/>
      </w:pPr>
      <w:r w:rsidRPr="00C64ECB">
        <w:t>-</w:t>
      </w:r>
      <w:r w:rsidRPr="00C64ECB">
        <w:tab/>
        <w:t>In this case, maximum power spectral density for 5150-5250MHz should be lower than 0.625mW/MHz while it should be lower than 1.25mW/Hz in the other bands</w:t>
      </w:r>
    </w:p>
    <w:p w14:paraId="672BC7F0" w14:textId="77777777" w:rsidR="007C0B5A" w:rsidRPr="00C64ECB" w:rsidRDefault="007C0B5A" w:rsidP="007C0B5A">
      <w:pPr>
        <w:pStyle w:val="B1"/>
      </w:pPr>
      <w:r w:rsidRPr="00C64ECB">
        <w:t>-</w:t>
      </w:r>
      <w:r w:rsidRPr="00C64ECB">
        <w:tab/>
        <w:t>Modulation scheme</w:t>
      </w:r>
    </w:p>
    <w:p w14:paraId="15A23AC0" w14:textId="77777777" w:rsidR="007C0B5A" w:rsidRPr="00C64ECB" w:rsidRDefault="007C0B5A" w:rsidP="007C0B5A">
      <w:pPr>
        <w:pStyle w:val="B2"/>
      </w:pPr>
      <w:r w:rsidRPr="00C64ECB">
        <w:t>-</w:t>
      </w:r>
      <w:r w:rsidRPr="00C64ECB">
        <w:tab/>
        <w:t>Digital modulation for 5GHz</w:t>
      </w:r>
    </w:p>
    <w:p w14:paraId="0BB49532" w14:textId="77777777" w:rsidR="007C0B5A" w:rsidRPr="00C64ECB" w:rsidRDefault="007C0B5A" w:rsidP="007C0B5A">
      <w:pPr>
        <w:pStyle w:val="B1"/>
      </w:pPr>
      <w:r w:rsidRPr="00C64ECB">
        <w:t>-</w:t>
      </w:r>
      <w:r w:rsidRPr="00C64ECB">
        <w:tab/>
        <w:t xml:space="preserve">Difference from FCC regulation </w:t>
      </w:r>
    </w:p>
    <w:p w14:paraId="29CC508B" w14:textId="77777777" w:rsidR="007C0B5A" w:rsidRPr="00C64ECB" w:rsidRDefault="007C0B5A" w:rsidP="007C0B5A">
      <w:pPr>
        <w:pStyle w:val="B2"/>
      </w:pPr>
      <w:r w:rsidRPr="00C64ECB">
        <w:t>-</w:t>
      </w:r>
      <w:r w:rsidRPr="00C64ECB">
        <w:tab/>
        <w:t xml:space="preserve">Maximum transmission power in case of 5725 to 5825MHz is still 200mW for 20MHz bandwidth (a bit lower compared to 1W power in UNII-3) </w:t>
      </w:r>
    </w:p>
    <w:p w14:paraId="1E3AB2E0" w14:textId="77777777" w:rsidR="007C0B5A" w:rsidRPr="00C64ECB" w:rsidRDefault="007C0B5A" w:rsidP="007C0B5A">
      <w:pPr>
        <w:pStyle w:val="B2"/>
        <w:rPr>
          <w:rFonts w:ascii="Arial" w:hAnsi="Arial" w:cs="Arial"/>
        </w:rPr>
      </w:pPr>
      <w:r w:rsidRPr="00C64ECB">
        <w:t>-</w:t>
      </w:r>
      <w:r w:rsidRPr="00C64ECB">
        <w:tab/>
        <w:t>5825-5850MHz is not for WAS (Wireless Access System)</w:t>
      </w:r>
    </w:p>
    <w:p w14:paraId="4CECEEB3" w14:textId="77777777" w:rsidR="007C0B5A" w:rsidRPr="00C64ECB" w:rsidRDefault="007C0B5A" w:rsidP="007C0B5A">
      <w:pPr>
        <w:pStyle w:val="Heading4"/>
      </w:pPr>
      <w:bookmarkStart w:id="40" w:name="_Toc531342996"/>
      <w:r w:rsidRPr="00C64ECB">
        <w:t>4.1.</w:t>
      </w:r>
      <w:r w:rsidRPr="00C64ECB">
        <w:rPr>
          <w:rFonts w:hint="eastAsia"/>
        </w:rPr>
        <w:t>3.</w:t>
      </w:r>
      <w:r w:rsidRPr="00C64ECB">
        <w:t>4</w:t>
      </w:r>
      <w:r w:rsidRPr="00C64ECB">
        <w:tab/>
        <w:t>India</w:t>
      </w:r>
      <w:bookmarkEnd w:id="40"/>
    </w:p>
    <w:p w14:paraId="388E3320" w14:textId="1A7979B3" w:rsidR="007C0B5A" w:rsidRPr="00C64ECB" w:rsidRDefault="007C0B5A" w:rsidP="007C0B5A">
      <w:pPr>
        <w:rPr>
          <w:lang w:eastAsia="zh-CN"/>
        </w:rPr>
      </w:pPr>
      <w:r w:rsidRPr="00C64ECB">
        <w:t>In India the bands 5150-5250 MHz, 5250-5350 MHz, 5570-5725 MHz and 5725-5875 MHz are open to RLANs [22]</w:t>
      </w:r>
      <w:r w:rsidRPr="00C64ECB">
        <w:rPr>
          <w:lang w:eastAsia="zh-CN"/>
        </w:rPr>
        <w:t xml:space="preserve">, </w:t>
      </w:r>
      <w:r w:rsidRPr="00C64ECB">
        <w:rPr>
          <w:rFonts w:hint="eastAsia"/>
          <w:lang w:eastAsia="zh-CN"/>
        </w:rPr>
        <w:t>[</w:t>
      </w:r>
      <w:r w:rsidRPr="00C64ECB">
        <w:rPr>
          <w:lang w:eastAsia="zh-CN"/>
        </w:rPr>
        <w:t>3</w:t>
      </w:r>
      <w:r w:rsidRPr="00C64ECB">
        <w:rPr>
          <w:rFonts w:hint="eastAsia"/>
          <w:lang w:eastAsia="zh-CN"/>
        </w:rPr>
        <w:t>5]</w:t>
      </w:r>
      <w:r w:rsidRPr="00C64ECB">
        <w:rPr>
          <w:lang w:eastAsia="zh-CN"/>
        </w:rPr>
        <w:t xml:space="preserve">, </w:t>
      </w:r>
      <w:r w:rsidRPr="00C64ECB">
        <w:rPr>
          <w:rFonts w:hint="eastAsia"/>
          <w:lang w:eastAsia="zh-CN"/>
        </w:rPr>
        <w:t>[</w:t>
      </w:r>
      <w:r w:rsidRPr="00C64ECB">
        <w:rPr>
          <w:lang w:eastAsia="zh-CN"/>
        </w:rPr>
        <w:t>3</w:t>
      </w:r>
      <w:r w:rsidRPr="00C64ECB">
        <w:rPr>
          <w:rFonts w:hint="eastAsia"/>
          <w:lang w:eastAsia="zh-CN"/>
        </w:rPr>
        <w:t>6]</w:t>
      </w:r>
      <w:r w:rsidRPr="00C64ECB">
        <w:rPr>
          <w:lang w:eastAsia="zh-CN"/>
        </w:rPr>
        <w:t xml:space="preserve">, </w:t>
      </w:r>
      <w:r w:rsidRPr="00C64ECB">
        <w:rPr>
          <w:rFonts w:hint="eastAsia"/>
          <w:lang w:eastAsia="zh-CN"/>
        </w:rPr>
        <w:t>[</w:t>
      </w:r>
      <w:r w:rsidRPr="00C64ECB">
        <w:rPr>
          <w:lang w:eastAsia="zh-CN"/>
        </w:rPr>
        <w:t>3</w:t>
      </w:r>
      <w:r w:rsidRPr="00C64ECB">
        <w:rPr>
          <w:rFonts w:hint="eastAsia"/>
          <w:lang w:eastAsia="zh-CN"/>
        </w:rPr>
        <w:t>7]</w:t>
      </w:r>
      <w:r w:rsidRPr="00C64ECB">
        <w:t>.</w:t>
      </w:r>
      <w:r w:rsidRPr="00C64ECB">
        <w:rPr>
          <w:lang w:eastAsia="zh-CN"/>
        </w:rPr>
        <w:t xml:space="preserve"> Table 4.</w:t>
      </w:r>
      <w:r w:rsidR="000D7B67" w:rsidRPr="00C64ECB">
        <w:rPr>
          <w:lang w:eastAsia="zh-CN"/>
        </w:rPr>
        <w:t>1.</w:t>
      </w:r>
      <w:r w:rsidRPr="00C64ECB">
        <w:rPr>
          <w:lang w:eastAsia="zh-CN"/>
        </w:rPr>
        <w:t>3.</w:t>
      </w:r>
      <w:r w:rsidRPr="00C64ECB">
        <w:rPr>
          <w:rFonts w:hint="eastAsia"/>
          <w:lang w:eastAsia="zh-CN"/>
        </w:rPr>
        <w:t>4</w:t>
      </w:r>
      <w:r w:rsidRPr="00C64ECB">
        <w:rPr>
          <w:lang w:eastAsia="zh-CN"/>
        </w:rPr>
        <w:t xml:space="preserve">-1 </w:t>
      </w:r>
      <w:r w:rsidRPr="00C64ECB">
        <w:rPr>
          <w:rFonts w:hint="eastAsia"/>
          <w:lang w:eastAsia="zh-CN"/>
        </w:rPr>
        <w:t xml:space="preserve">and </w:t>
      </w:r>
      <w:r w:rsidRPr="00C64ECB">
        <w:rPr>
          <w:lang w:eastAsia="zh-CN"/>
        </w:rPr>
        <w:t>Table 4.</w:t>
      </w:r>
      <w:r w:rsidR="000D7B67" w:rsidRPr="00C64ECB">
        <w:rPr>
          <w:lang w:eastAsia="zh-CN"/>
        </w:rPr>
        <w:t>1.</w:t>
      </w:r>
      <w:r w:rsidRPr="00C64ECB">
        <w:rPr>
          <w:lang w:eastAsia="zh-CN"/>
        </w:rPr>
        <w:t>3.</w:t>
      </w:r>
      <w:r w:rsidRPr="00C64ECB">
        <w:rPr>
          <w:rFonts w:hint="eastAsia"/>
          <w:lang w:eastAsia="zh-CN"/>
        </w:rPr>
        <w:t>4</w:t>
      </w:r>
      <w:r w:rsidRPr="00C64ECB">
        <w:rPr>
          <w:lang w:eastAsia="zh-CN"/>
        </w:rPr>
        <w:t>-</w:t>
      </w:r>
      <w:r w:rsidRPr="00C64ECB">
        <w:rPr>
          <w:rFonts w:hint="eastAsia"/>
          <w:lang w:eastAsia="zh-CN"/>
        </w:rPr>
        <w:t xml:space="preserve">2 </w:t>
      </w:r>
      <w:r w:rsidRPr="00C64ECB">
        <w:rPr>
          <w:lang w:eastAsia="zh-CN"/>
        </w:rPr>
        <w:t>summarize</w:t>
      </w:r>
      <w:r w:rsidRPr="00C64ECB">
        <w:rPr>
          <w:rFonts w:hint="eastAsia"/>
          <w:lang w:eastAsia="zh-CN"/>
        </w:rPr>
        <w:t xml:space="preserve"> </w:t>
      </w:r>
      <w:r w:rsidRPr="00C64ECB">
        <w:rPr>
          <w:lang w:eastAsia="zh-CN"/>
        </w:rPr>
        <w:t>regulatory requirements</w:t>
      </w:r>
      <w:r w:rsidRPr="00C64ECB">
        <w:rPr>
          <w:rFonts w:hint="eastAsia"/>
          <w:lang w:eastAsia="zh-CN"/>
        </w:rPr>
        <w:t xml:space="preserve"> in India for indoor and outdoor deployments respectively.</w:t>
      </w:r>
      <w:r w:rsidRPr="00C64ECB">
        <w:rPr>
          <w:lang w:eastAsia="zh-CN"/>
        </w:rPr>
        <w:t xml:space="preserve"> Some parts of the 5 GHz band shall follow usage </w:t>
      </w:r>
      <w:r w:rsidR="00010CD8" w:rsidRPr="00C64ECB">
        <w:rPr>
          <w:lang w:eastAsia="zh-CN"/>
        </w:rPr>
        <w:t>"</w:t>
      </w:r>
      <w:r w:rsidRPr="00C64ECB">
        <w:rPr>
          <w:lang w:eastAsia="zh-CN"/>
        </w:rPr>
        <w:t>on non-interference, non-protection and shared (non-exclusive) basis</w:t>
      </w:r>
      <w:r w:rsidR="00010CD8" w:rsidRPr="00C64ECB">
        <w:rPr>
          <w:lang w:eastAsia="zh-CN"/>
        </w:rPr>
        <w:t>"</w:t>
      </w:r>
      <w:r w:rsidRPr="00C64ECB">
        <w:rPr>
          <w:lang w:eastAsia="zh-CN"/>
        </w:rPr>
        <w:t xml:space="preserve">. These are the </w:t>
      </w:r>
      <w:r w:rsidRPr="00C64ECB">
        <w:t>5725-58</w:t>
      </w:r>
      <w:r w:rsidRPr="00C64ECB">
        <w:rPr>
          <w:rFonts w:hint="eastAsia"/>
          <w:lang w:eastAsia="zh-CN"/>
        </w:rPr>
        <w:t>2</w:t>
      </w:r>
      <w:r w:rsidRPr="00C64ECB">
        <w:t xml:space="preserve">5 MHz band </w:t>
      </w:r>
      <w:r w:rsidRPr="00C64ECB">
        <w:rPr>
          <w:lang w:eastAsia="zh-CN"/>
        </w:rPr>
        <w:t xml:space="preserve">open to licensed WAS including RLANs, and the </w:t>
      </w:r>
      <w:r w:rsidRPr="00C64ECB">
        <w:t>5150-5</w:t>
      </w:r>
      <w:r w:rsidRPr="00C64ECB">
        <w:rPr>
          <w:rFonts w:hint="eastAsia"/>
          <w:lang w:eastAsia="zh-CN"/>
        </w:rPr>
        <w:t>3</w:t>
      </w:r>
      <w:r w:rsidRPr="00C64ECB">
        <w:t>50 MHz and</w:t>
      </w:r>
      <w:r w:rsidRPr="00C64ECB">
        <w:rPr>
          <w:rFonts w:hint="eastAsia"/>
          <w:lang w:eastAsia="zh-CN"/>
        </w:rPr>
        <w:t xml:space="preserve"> </w:t>
      </w:r>
      <w:r w:rsidRPr="00C64ECB">
        <w:t>5725-5875</w:t>
      </w:r>
      <w:r w:rsidRPr="00C64ECB">
        <w:rPr>
          <w:lang w:eastAsia="zh-CN"/>
        </w:rPr>
        <w:t xml:space="preserve"> MHz bands open for unlicensed WAS including RLANs for indoor deployment.</w:t>
      </w:r>
    </w:p>
    <w:p w14:paraId="424C3442" w14:textId="77777777" w:rsidR="007C0B5A" w:rsidRPr="00C64ECB" w:rsidRDefault="007C0B5A" w:rsidP="007C0B5A">
      <w:pPr>
        <w:pStyle w:val="TH"/>
      </w:pPr>
      <w:r w:rsidRPr="00C64ECB">
        <w:t>Table 4.</w:t>
      </w:r>
      <w:r w:rsidR="000D7B67" w:rsidRPr="00C64ECB">
        <w:t>1.</w:t>
      </w:r>
      <w:r w:rsidRPr="00C64ECB">
        <w:t>3.4-1: Summary of regulatory requirements for indoor deployment in India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3339"/>
        <w:gridCol w:w="2268"/>
      </w:tblGrid>
      <w:tr w:rsidR="007C0B5A" w:rsidRPr="00C64ECB" w14:paraId="0A2006C5" w14:textId="77777777" w:rsidTr="00126681">
        <w:trPr>
          <w:jc w:val="center"/>
        </w:trPr>
        <w:tc>
          <w:tcPr>
            <w:tcW w:w="2812" w:type="dxa"/>
          </w:tcPr>
          <w:p w14:paraId="007D9575" w14:textId="77777777" w:rsidR="007C0B5A" w:rsidRPr="00C64ECB" w:rsidRDefault="007C0B5A" w:rsidP="00126681">
            <w:pPr>
              <w:pStyle w:val="TAL"/>
            </w:pPr>
            <w:r w:rsidRPr="00C64ECB">
              <w:rPr>
                <w:rFonts w:hint="eastAsia"/>
              </w:rPr>
              <w:t>Regulation code</w:t>
            </w:r>
          </w:p>
        </w:tc>
        <w:tc>
          <w:tcPr>
            <w:tcW w:w="3339" w:type="dxa"/>
          </w:tcPr>
          <w:p w14:paraId="6CDB55EF" w14:textId="77777777" w:rsidR="007C0B5A" w:rsidRPr="00C64ECB" w:rsidRDefault="007C0B5A" w:rsidP="00126681">
            <w:pPr>
              <w:pStyle w:val="TAL"/>
              <w:rPr>
                <w:lang w:eastAsia="zh-CN"/>
              </w:rPr>
            </w:pPr>
            <w:r w:rsidRPr="00C64ECB">
              <w:rPr>
                <w:lang w:eastAsia="zh-CN"/>
              </w:rPr>
              <w:t>NFAP2011</w:t>
            </w:r>
            <w:r w:rsidRPr="00C64ECB">
              <w:rPr>
                <w:rFonts w:hint="eastAsia"/>
                <w:lang w:eastAsia="zh-CN"/>
              </w:rPr>
              <w:t>-</w:t>
            </w:r>
            <w:r w:rsidRPr="00C64ECB">
              <w:rPr>
                <w:lang w:eastAsia="zh-CN"/>
              </w:rPr>
              <w:t>IND 67</w:t>
            </w:r>
            <w:r w:rsidRPr="00C64ECB">
              <w:rPr>
                <w:rFonts w:hint="eastAsia"/>
                <w:lang w:eastAsia="zh-CN"/>
              </w:rPr>
              <w:t>, GSR No 46E, 37E</w:t>
            </w:r>
          </w:p>
        </w:tc>
        <w:tc>
          <w:tcPr>
            <w:tcW w:w="2268" w:type="dxa"/>
          </w:tcPr>
          <w:p w14:paraId="357CA704" w14:textId="77777777" w:rsidR="007C0B5A" w:rsidRPr="00C64ECB" w:rsidRDefault="007C0B5A" w:rsidP="00126681">
            <w:pPr>
              <w:pStyle w:val="TAL"/>
              <w:rPr>
                <w:lang w:eastAsia="zh-CN"/>
              </w:rPr>
            </w:pPr>
            <w:r w:rsidRPr="00C64ECB">
              <w:rPr>
                <w:lang w:eastAsia="zh-CN"/>
              </w:rPr>
              <w:t>NFAP2011</w:t>
            </w:r>
            <w:r w:rsidRPr="00C64ECB">
              <w:rPr>
                <w:rFonts w:hint="eastAsia"/>
                <w:lang w:eastAsia="zh-CN"/>
              </w:rPr>
              <w:t>-</w:t>
            </w:r>
            <w:r w:rsidRPr="00C64ECB">
              <w:rPr>
                <w:lang w:eastAsia="zh-CN"/>
              </w:rPr>
              <w:t>IND 6</w:t>
            </w:r>
            <w:r w:rsidRPr="00C64ECB">
              <w:rPr>
                <w:rFonts w:hint="eastAsia"/>
                <w:lang w:eastAsia="zh-CN"/>
              </w:rPr>
              <w:t>9</w:t>
            </w:r>
          </w:p>
        </w:tc>
      </w:tr>
      <w:tr w:rsidR="007C0B5A" w:rsidRPr="00C64ECB" w14:paraId="26550D11" w14:textId="77777777" w:rsidTr="00126681">
        <w:trPr>
          <w:jc w:val="center"/>
        </w:trPr>
        <w:tc>
          <w:tcPr>
            <w:tcW w:w="2812" w:type="dxa"/>
          </w:tcPr>
          <w:p w14:paraId="09B05D88" w14:textId="77777777" w:rsidR="007C0B5A" w:rsidRPr="00C64ECB" w:rsidRDefault="007C0B5A" w:rsidP="00126681">
            <w:pPr>
              <w:pStyle w:val="TAL"/>
            </w:pPr>
            <w:r w:rsidRPr="00C64ECB">
              <w:t>Band (MHz)</w:t>
            </w:r>
          </w:p>
        </w:tc>
        <w:tc>
          <w:tcPr>
            <w:tcW w:w="3339" w:type="dxa"/>
          </w:tcPr>
          <w:p w14:paraId="4E00D317" w14:textId="77777777" w:rsidR="007C0B5A" w:rsidRPr="00C64ECB" w:rsidRDefault="007C0B5A" w:rsidP="00126681">
            <w:pPr>
              <w:pStyle w:val="TAL"/>
              <w:rPr>
                <w:lang w:eastAsia="zh-CN"/>
              </w:rPr>
            </w:pPr>
            <w:r w:rsidRPr="00C64ECB">
              <w:t>5150-5</w:t>
            </w:r>
            <w:r w:rsidRPr="00C64ECB">
              <w:rPr>
                <w:rFonts w:hint="eastAsia"/>
                <w:lang w:eastAsia="zh-CN"/>
              </w:rPr>
              <w:t>3</w:t>
            </w:r>
            <w:r w:rsidRPr="00C64ECB">
              <w:t>50</w:t>
            </w:r>
            <w:r w:rsidRPr="00C64ECB">
              <w:rPr>
                <w:rFonts w:hint="eastAsia"/>
                <w:lang w:eastAsia="zh-CN"/>
              </w:rPr>
              <w:t xml:space="preserve">, </w:t>
            </w:r>
            <w:r w:rsidRPr="00C64ECB">
              <w:t>5725-5875</w:t>
            </w:r>
          </w:p>
        </w:tc>
        <w:tc>
          <w:tcPr>
            <w:tcW w:w="2268" w:type="dxa"/>
          </w:tcPr>
          <w:p w14:paraId="10AF0B66" w14:textId="77777777" w:rsidR="007C0B5A" w:rsidRPr="00C64ECB" w:rsidRDefault="007C0B5A" w:rsidP="00126681">
            <w:pPr>
              <w:pStyle w:val="TAL"/>
              <w:rPr>
                <w:lang w:eastAsia="zh-CN"/>
              </w:rPr>
            </w:pPr>
            <w:r w:rsidRPr="00C64ECB">
              <w:rPr>
                <w:lang w:eastAsia="zh-CN"/>
              </w:rPr>
              <w:t>5570-5725</w:t>
            </w:r>
          </w:p>
        </w:tc>
      </w:tr>
      <w:tr w:rsidR="007C0B5A" w:rsidRPr="00C64ECB" w14:paraId="20EE3D14" w14:textId="77777777" w:rsidTr="00126681">
        <w:trPr>
          <w:jc w:val="center"/>
        </w:trPr>
        <w:tc>
          <w:tcPr>
            <w:tcW w:w="2812" w:type="dxa"/>
          </w:tcPr>
          <w:p w14:paraId="27E303D1" w14:textId="77777777" w:rsidR="007C0B5A" w:rsidRPr="00C64ECB" w:rsidRDefault="007C0B5A" w:rsidP="00126681">
            <w:pPr>
              <w:pStyle w:val="TAL"/>
            </w:pPr>
            <w:r w:rsidRPr="00C64ECB">
              <w:rPr>
                <w:rFonts w:hint="eastAsia"/>
              </w:rPr>
              <w:t>License Type</w:t>
            </w:r>
          </w:p>
        </w:tc>
        <w:tc>
          <w:tcPr>
            <w:tcW w:w="3339" w:type="dxa"/>
          </w:tcPr>
          <w:p w14:paraId="4B163D12" w14:textId="77777777" w:rsidR="007C0B5A" w:rsidRPr="00C64ECB" w:rsidRDefault="007C0B5A" w:rsidP="00126681">
            <w:pPr>
              <w:pStyle w:val="TAL"/>
            </w:pPr>
            <w:r w:rsidRPr="00C64ECB">
              <w:rPr>
                <w:rFonts w:hint="eastAsia"/>
                <w:lang w:eastAsia="zh-CN"/>
              </w:rPr>
              <w:t>Unlicensed</w:t>
            </w:r>
          </w:p>
        </w:tc>
        <w:tc>
          <w:tcPr>
            <w:tcW w:w="2268" w:type="dxa"/>
          </w:tcPr>
          <w:p w14:paraId="2F31B4B5" w14:textId="77777777" w:rsidR="007C0B5A" w:rsidRPr="00C64ECB" w:rsidRDefault="007C0B5A" w:rsidP="00126681">
            <w:pPr>
              <w:pStyle w:val="TAL"/>
              <w:rPr>
                <w:lang w:eastAsia="zh-CN"/>
              </w:rPr>
            </w:pPr>
            <w:r w:rsidRPr="00C64ECB">
              <w:rPr>
                <w:rFonts w:hint="eastAsia"/>
                <w:lang w:eastAsia="zh-CN"/>
              </w:rPr>
              <w:t>Licensed</w:t>
            </w:r>
          </w:p>
        </w:tc>
      </w:tr>
      <w:tr w:rsidR="007C0B5A" w:rsidRPr="00C64ECB" w14:paraId="6CECA184" w14:textId="77777777" w:rsidTr="00126681">
        <w:trPr>
          <w:jc w:val="center"/>
        </w:trPr>
        <w:tc>
          <w:tcPr>
            <w:tcW w:w="2812" w:type="dxa"/>
          </w:tcPr>
          <w:p w14:paraId="6EA9DA04" w14:textId="77777777" w:rsidR="007C0B5A" w:rsidRPr="00C64ECB" w:rsidRDefault="007C0B5A" w:rsidP="00126681">
            <w:pPr>
              <w:pStyle w:val="TAL"/>
            </w:pPr>
            <w:r w:rsidRPr="00C64ECB">
              <w:rPr>
                <w:rFonts w:hint="eastAsia"/>
              </w:rPr>
              <w:t>M</w:t>
            </w:r>
            <w:r w:rsidRPr="00C64ECB">
              <w:t>aximum mean EIRP</w:t>
            </w:r>
          </w:p>
        </w:tc>
        <w:tc>
          <w:tcPr>
            <w:tcW w:w="3339" w:type="dxa"/>
          </w:tcPr>
          <w:p w14:paraId="051DBCAC" w14:textId="77777777" w:rsidR="007C0B5A" w:rsidRPr="00C64ECB" w:rsidRDefault="007C0B5A" w:rsidP="00126681">
            <w:pPr>
              <w:pStyle w:val="TAL"/>
              <w:rPr>
                <w:lang w:eastAsia="zh-CN"/>
              </w:rPr>
            </w:pPr>
            <w:r w:rsidRPr="00C64ECB">
              <w:rPr>
                <w:rFonts w:hint="eastAsia"/>
                <w:lang w:eastAsia="zh-CN"/>
              </w:rPr>
              <w:t xml:space="preserve">200mW </w:t>
            </w:r>
            <w:r w:rsidRPr="00C64ECB">
              <w:rPr>
                <w:lang w:eastAsia="zh-CN"/>
              </w:rPr>
              <w:t>(23dBm)</w:t>
            </w:r>
          </w:p>
        </w:tc>
        <w:tc>
          <w:tcPr>
            <w:tcW w:w="2268" w:type="dxa"/>
          </w:tcPr>
          <w:p w14:paraId="60DBD7A4" w14:textId="77777777" w:rsidR="007C0B5A" w:rsidRPr="00C64ECB" w:rsidRDefault="007C0B5A" w:rsidP="00126681">
            <w:pPr>
              <w:pStyle w:val="TAL"/>
              <w:rPr>
                <w:lang w:eastAsia="zh-CN"/>
              </w:rPr>
            </w:pPr>
            <w:r w:rsidRPr="00C64ECB">
              <w:rPr>
                <w:rFonts w:hint="eastAsia"/>
                <w:lang w:eastAsia="zh-CN"/>
              </w:rPr>
              <w:t xml:space="preserve">1W </w:t>
            </w:r>
            <w:r w:rsidRPr="00C64ECB">
              <w:rPr>
                <w:lang w:eastAsia="zh-CN"/>
              </w:rPr>
              <w:t>(3</w:t>
            </w:r>
            <w:r w:rsidRPr="00C64ECB">
              <w:rPr>
                <w:rFonts w:hint="eastAsia"/>
                <w:lang w:eastAsia="zh-CN"/>
              </w:rPr>
              <w:t>0</w:t>
            </w:r>
            <w:r w:rsidRPr="00C64ECB">
              <w:rPr>
                <w:lang w:eastAsia="zh-CN"/>
              </w:rPr>
              <w:t>dBm)</w:t>
            </w:r>
          </w:p>
        </w:tc>
      </w:tr>
      <w:tr w:rsidR="007C0B5A" w:rsidRPr="00C64ECB" w14:paraId="1DF2F98F" w14:textId="77777777" w:rsidTr="00126681">
        <w:trPr>
          <w:jc w:val="center"/>
        </w:trPr>
        <w:tc>
          <w:tcPr>
            <w:tcW w:w="2812" w:type="dxa"/>
          </w:tcPr>
          <w:p w14:paraId="4CFD3738" w14:textId="77777777" w:rsidR="007C0B5A" w:rsidRPr="00C64ECB" w:rsidRDefault="007C0B5A" w:rsidP="00126681">
            <w:pPr>
              <w:pStyle w:val="TAL"/>
            </w:pPr>
            <w:r w:rsidRPr="00C64ECB">
              <w:rPr>
                <w:rFonts w:hint="eastAsia"/>
              </w:rPr>
              <w:t>M</w:t>
            </w:r>
            <w:r w:rsidRPr="00C64ECB">
              <w:t>aximum mean EIRP</w:t>
            </w:r>
            <w:r w:rsidRPr="00C64ECB">
              <w:rPr>
                <w:rFonts w:hint="eastAsia"/>
              </w:rPr>
              <w:t xml:space="preserve"> density </w:t>
            </w:r>
          </w:p>
        </w:tc>
        <w:tc>
          <w:tcPr>
            <w:tcW w:w="3339" w:type="dxa"/>
          </w:tcPr>
          <w:p w14:paraId="293C3956" w14:textId="77777777" w:rsidR="007C0B5A" w:rsidRPr="00C64ECB" w:rsidRDefault="007C0B5A" w:rsidP="00126681">
            <w:pPr>
              <w:pStyle w:val="TAL"/>
              <w:rPr>
                <w:lang w:eastAsia="zh-CN"/>
              </w:rPr>
            </w:pPr>
            <w:r w:rsidRPr="00C64ECB">
              <w:rPr>
                <w:rFonts w:hint="eastAsia"/>
                <w:lang w:eastAsia="zh-CN"/>
              </w:rPr>
              <w:t>10 mW/MHz</w:t>
            </w:r>
          </w:p>
        </w:tc>
        <w:tc>
          <w:tcPr>
            <w:tcW w:w="2268" w:type="dxa"/>
          </w:tcPr>
          <w:p w14:paraId="0670517E" w14:textId="77777777" w:rsidR="007C0B5A" w:rsidRPr="00C64ECB" w:rsidRDefault="007C0B5A" w:rsidP="00126681">
            <w:pPr>
              <w:pStyle w:val="TAL"/>
              <w:rPr>
                <w:lang w:eastAsia="zh-CN"/>
              </w:rPr>
            </w:pPr>
            <w:r w:rsidRPr="00C64ECB">
              <w:rPr>
                <w:rFonts w:hint="eastAsia"/>
                <w:lang w:eastAsia="zh-CN"/>
              </w:rPr>
              <w:t>50 mW/MHz</w:t>
            </w:r>
          </w:p>
        </w:tc>
      </w:tr>
      <w:tr w:rsidR="007C0B5A" w:rsidRPr="00C64ECB" w14:paraId="40BF4E25" w14:textId="77777777" w:rsidTr="00126681">
        <w:trPr>
          <w:jc w:val="center"/>
        </w:trPr>
        <w:tc>
          <w:tcPr>
            <w:tcW w:w="2812" w:type="dxa"/>
          </w:tcPr>
          <w:p w14:paraId="0D5CB1ED" w14:textId="77777777" w:rsidR="007C0B5A" w:rsidRPr="00C64ECB" w:rsidRDefault="007C0B5A" w:rsidP="00126681">
            <w:pPr>
              <w:pStyle w:val="TAL"/>
            </w:pPr>
            <w:r w:rsidRPr="00C64ECB">
              <w:rPr>
                <w:rFonts w:hint="eastAsia"/>
              </w:rPr>
              <w:t>Band</w:t>
            </w:r>
            <w:r w:rsidRPr="00C64ECB">
              <w:t xml:space="preserve"> usage</w:t>
            </w:r>
          </w:p>
        </w:tc>
        <w:tc>
          <w:tcPr>
            <w:tcW w:w="3339" w:type="dxa"/>
          </w:tcPr>
          <w:p w14:paraId="382295CF" w14:textId="77777777" w:rsidR="007C0B5A" w:rsidRPr="00C64ECB" w:rsidRDefault="007C0B5A" w:rsidP="00126681">
            <w:pPr>
              <w:pStyle w:val="TAL"/>
              <w:rPr>
                <w:lang w:eastAsia="zh-CN"/>
              </w:rPr>
            </w:pPr>
            <w:r w:rsidRPr="00C64ECB">
              <w:rPr>
                <w:lang w:eastAsia="zh-CN"/>
              </w:rPr>
              <w:t xml:space="preserve">Low power WAS including RLAN </w:t>
            </w:r>
          </w:p>
        </w:tc>
        <w:tc>
          <w:tcPr>
            <w:tcW w:w="2268" w:type="dxa"/>
          </w:tcPr>
          <w:p w14:paraId="21D9EF55" w14:textId="77777777" w:rsidR="007C0B5A" w:rsidRPr="00C64ECB" w:rsidRDefault="007C0B5A" w:rsidP="00126681">
            <w:pPr>
              <w:pStyle w:val="TAL"/>
              <w:rPr>
                <w:lang w:eastAsia="zh-CN"/>
              </w:rPr>
            </w:pPr>
            <w:r w:rsidRPr="00C64ECB">
              <w:rPr>
                <w:lang w:eastAsia="zh-CN"/>
              </w:rPr>
              <w:t xml:space="preserve">Low power WAS including RLAN </w:t>
            </w:r>
          </w:p>
        </w:tc>
      </w:tr>
    </w:tbl>
    <w:p w14:paraId="0625B91D" w14:textId="77777777" w:rsidR="007C0B5A" w:rsidRPr="00C64ECB" w:rsidRDefault="007C0B5A" w:rsidP="007C0B5A">
      <w:pPr>
        <w:rPr>
          <w:lang w:eastAsia="zh-CN"/>
        </w:rPr>
      </w:pPr>
    </w:p>
    <w:p w14:paraId="703B2E93" w14:textId="77777777" w:rsidR="007C0B5A" w:rsidRPr="00C64ECB" w:rsidRDefault="007C0B5A" w:rsidP="007C0B5A">
      <w:pPr>
        <w:pStyle w:val="TH"/>
      </w:pPr>
      <w:r w:rsidRPr="00C64ECB">
        <w:lastRenderedPageBreak/>
        <w:t>Table 4.</w:t>
      </w:r>
      <w:r w:rsidR="000D7B67" w:rsidRPr="00C64ECB">
        <w:t>1.</w:t>
      </w:r>
      <w:r w:rsidRPr="00C64ECB">
        <w:t>3.4-2: Summary of regulatory requirements for outdoor deployment in India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1906"/>
        <w:gridCol w:w="1907"/>
        <w:gridCol w:w="1907"/>
        <w:gridCol w:w="1907"/>
      </w:tblGrid>
      <w:tr w:rsidR="007C0B5A" w:rsidRPr="00C64ECB" w14:paraId="2B0D2B8B" w14:textId="77777777" w:rsidTr="00126681">
        <w:tc>
          <w:tcPr>
            <w:tcW w:w="1906" w:type="dxa"/>
          </w:tcPr>
          <w:p w14:paraId="2976C194" w14:textId="77777777" w:rsidR="007C0B5A" w:rsidRPr="00C64ECB" w:rsidRDefault="007C0B5A" w:rsidP="00126681">
            <w:pPr>
              <w:pStyle w:val="TAL"/>
            </w:pPr>
            <w:r w:rsidRPr="00C64ECB">
              <w:rPr>
                <w:rFonts w:hint="eastAsia"/>
              </w:rPr>
              <w:t>Regulation code</w:t>
            </w:r>
          </w:p>
        </w:tc>
        <w:tc>
          <w:tcPr>
            <w:tcW w:w="1906" w:type="dxa"/>
          </w:tcPr>
          <w:p w14:paraId="4BED0E20" w14:textId="77777777" w:rsidR="007C0B5A" w:rsidRPr="00C64ECB" w:rsidRDefault="007C0B5A" w:rsidP="00126681">
            <w:pPr>
              <w:pStyle w:val="TAL"/>
            </w:pPr>
            <w:r w:rsidRPr="00C64ECB">
              <w:t>NFAP2011</w:t>
            </w:r>
            <w:r w:rsidRPr="00C64ECB">
              <w:rPr>
                <w:rFonts w:hint="eastAsia"/>
              </w:rPr>
              <w:t>-</w:t>
            </w:r>
            <w:r w:rsidRPr="00C64ECB">
              <w:t>IND 6</w:t>
            </w:r>
            <w:r w:rsidRPr="00C64ECB">
              <w:rPr>
                <w:rFonts w:hint="eastAsia"/>
              </w:rPr>
              <w:t>8</w:t>
            </w:r>
          </w:p>
        </w:tc>
        <w:tc>
          <w:tcPr>
            <w:tcW w:w="1907" w:type="dxa"/>
          </w:tcPr>
          <w:p w14:paraId="6043C6C7" w14:textId="77777777" w:rsidR="007C0B5A" w:rsidRPr="00C64ECB" w:rsidRDefault="007C0B5A" w:rsidP="00126681">
            <w:pPr>
              <w:pStyle w:val="TAL"/>
            </w:pPr>
            <w:r w:rsidRPr="00C64ECB">
              <w:t>NFAP2011</w:t>
            </w:r>
            <w:r w:rsidRPr="00C64ECB">
              <w:rPr>
                <w:rFonts w:hint="eastAsia"/>
              </w:rPr>
              <w:t>-</w:t>
            </w:r>
            <w:r w:rsidRPr="00C64ECB">
              <w:t>IND 6</w:t>
            </w:r>
            <w:r w:rsidRPr="00C64ECB">
              <w:rPr>
                <w:rFonts w:hint="eastAsia"/>
              </w:rPr>
              <w:t>9</w:t>
            </w:r>
          </w:p>
        </w:tc>
        <w:tc>
          <w:tcPr>
            <w:tcW w:w="1907" w:type="dxa"/>
          </w:tcPr>
          <w:p w14:paraId="232DA260" w14:textId="77777777" w:rsidR="007C0B5A" w:rsidRPr="00C64ECB" w:rsidRDefault="007C0B5A" w:rsidP="00126681">
            <w:pPr>
              <w:pStyle w:val="TAL"/>
            </w:pPr>
            <w:r w:rsidRPr="00C64ECB">
              <w:t>NFAP2011</w:t>
            </w:r>
            <w:r w:rsidRPr="00C64ECB">
              <w:rPr>
                <w:rFonts w:hint="eastAsia"/>
              </w:rPr>
              <w:t>-</w:t>
            </w:r>
            <w:r w:rsidRPr="00C64ECB">
              <w:t xml:space="preserve">IND </w:t>
            </w:r>
            <w:r w:rsidRPr="00C64ECB">
              <w:rPr>
                <w:rFonts w:hint="eastAsia"/>
              </w:rPr>
              <w:t>71</w:t>
            </w:r>
          </w:p>
        </w:tc>
        <w:tc>
          <w:tcPr>
            <w:tcW w:w="1907" w:type="dxa"/>
          </w:tcPr>
          <w:p w14:paraId="28BB0DCD" w14:textId="77777777" w:rsidR="007C0B5A" w:rsidRPr="00C64ECB" w:rsidRDefault="007C0B5A" w:rsidP="00126681">
            <w:pPr>
              <w:pStyle w:val="TAL"/>
            </w:pPr>
            <w:r w:rsidRPr="00C64ECB">
              <w:t>NFAP2011</w:t>
            </w:r>
            <w:r w:rsidRPr="00C64ECB">
              <w:rPr>
                <w:rFonts w:hint="eastAsia"/>
              </w:rPr>
              <w:t>-</w:t>
            </w:r>
            <w:r w:rsidRPr="00C64ECB">
              <w:t xml:space="preserve">IND </w:t>
            </w:r>
            <w:r w:rsidRPr="00C64ECB">
              <w:rPr>
                <w:rFonts w:hint="eastAsia"/>
              </w:rPr>
              <w:t>72, GSR No 38E</w:t>
            </w:r>
          </w:p>
        </w:tc>
      </w:tr>
      <w:tr w:rsidR="007C0B5A" w:rsidRPr="00C64ECB" w14:paraId="33850171" w14:textId="77777777" w:rsidTr="00126681">
        <w:tc>
          <w:tcPr>
            <w:tcW w:w="1906" w:type="dxa"/>
          </w:tcPr>
          <w:p w14:paraId="334C4492" w14:textId="77777777" w:rsidR="007C0B5A" w:rsidRPr="00C64ECB" w:rsidRDefault="007C0B5A" w:rsidP="00126681">
            <w:pPr>
              <w:pStyle w:val="TAL"/>
            </w:pPr>
            <w:r w:rsidRPr="00C64ECB">
              <w:t>Band (MHz)</w:t>
            </w:r>
          </w:p>
        </w:tc>
        <w:tc>
          <w:tcPr>
            <w:tcW w:w="1906" w:type="dxa"/>
          </w:tcPr>
          <w:p w14:paraId="0FEF5D0C" w14:textId="77777777" w:rsidR="007C0B5A" w:rsidRPr="00C64ECB" w:rsidRDefault="007C0B5A" w:rsidP="00126681">
            <w:pPr>
              <w:pStyle w:val="TAL"/>
            </w:pPr>
            <w:r w:rsidRPr="00C64ECB">
              <w:t>5150-5</w:t>
            </w:r>
            <w:r w:rsidRPr="00C64ECB">
              <w:rPr>
                <w:rFonts w:hint="eastAsia"/>
              </w:rPr>
              <w:t>2</w:t>
            </w:r>
            <w:r w:rsidRPr="00C64ECB">
              <w:t>50</w:t>
            </w:r>
          </w:p>
        </w:tc>
        <w:tc>
          <w:tcPr>
            <w:tcW w:w="1907" w:type="dxa"/>
          </w:tcPr>
          <w:p w14:paraId="6CD15E30" w14:textId="77777777" w:rsidR="007C0B5A" w:rsidRPr="00C64ECB" w:rsidRDefault="007C0B5A" w:rsidP="00126681">
            <w:pPr>
              <w:pStyle w:val="TAL"/>
            </w:pPr>
            <w:r w:rsidRPr="00C64ECB">
              <w:t>5570-5725</w:t>
            </w:r>
          </w:p>
        </w:tc>
        <w:tc>
          <w:tcPr>
            <w:tcW w:w="1907" w:type="dxa"/>
          </w:tcPr>
          <w:p w14:paraId="3717468F" w14:textId="77777777" w:rsidR="007C0B5A" w:rsidRPr="00C64ECB" w:rsidRDefault="007C0B5A" w:rsidP="00126681">
            <w:pPr>
              <w:pStyle w:val="TAL"/>
            </w:pPr>
            <w:r w:rsidRPr="00C64ECB">
              <w:t>5725-58</w:t>
            </w:r>
            <w:r w:rsidRPr="00C64ECB">
              <w:rPr>
                <w:rFonts w:hint="eastAsia"/>
              </w:rPr>
              <w:t>2</w:t>
            </w:r>
            <w:r w:rsidRPr="00C64ECB">
              <w:t>5</w:t>
            </w:r>
          </w:p>
        </w:tc>
        <w:tc>
          <w:tcPr>
            <w:tcW w:w="1907" w:type="dxa"/>
          </w:tcPr>
          <w:p w14:paraId="12FA9DD0" w14:textId="77777777" w:rsidR="007C0B5A" w:rsidRPr="00C64ECB" w:rsidRDefault="007C0B5A" w:rsidP="00126681">
            <w:pPr>
              <w:pStyle w:val="TAL"/>
            </w:pPr>
            <w:r w:rsidRPr="00C64ECB">
              <w:t>5</w:t>
            </w:r>
            <w:r w:rsidRPr="00C64ECB">
              <w:rPr>
                <w:rFonts w:hint="eastAsia"/>
              </w:rPr>
              <w:t>8</w:t>
            </w:r>
            <w:r w:rsidRPr="00C64ECB">
              <w:t>25-58</w:t>
            </w:r>
            <w:r w:rsidRPr="00C64ECB">
              <w:rPr>
                <w:rFonts w:hint="eastAsia"/>
              </w:rPr>
              <w:t>7</w:t>
            </w:r>
            <w:r w:rsidRPr="00C64ECB">
              <w:t>5</w:t>
            </w:r>
          </w:p>
        </w:tc>
      </w:tr>
      <w:tr w:rsidR="007C0B5A" w:rsidRPr="00C64ECB" w14:paraId="32024596" w14:textId="77777777" w:rsidTr="00126681">
        <w:tc>
          <w:tcPr>
            <w:tcW w:w="1906" w:type="dxa"/>
          </w:tcPr>
          <w:p w14:paraId="10950D77" w14:textId="77777777" w:rsidR="007C0B5A" w:rsidRPr="00C64ECB" w:rsidRDefault="007C0B5A" w:rsidP="00126681">
            <w:pPr>
              <w:pStyle w:val="TAL"/>
            </w:pPr>
            <w:r w:rsidRPr="00C64ECB">
              <w:rPr>
                <w:rFonts w:hint="eastAsia"/>
              </w:rPr>
              <w:t>License Type</w:t>
            </w:r>
          </w:p>
        </w:tc>
        <w:tc>
          <w:tcPr>
            <w:tcW w:w="1906" w:type="dxa"/>
          </w:tcPr>
          <w:p w14:paraId="413257A9" w14:textId="77777777" w:rsidR="007C0B5A" w:rsidRPr="00C64ECB" w:rsidRDefault="007C0B5A" w:rsidP="00126681">
            <w:pPr>
              <w:pStyle w:val="TAL"/>
            </w:pPr>
            <w:r w:rsidRPr="00C64ECB">
              <w:rPr>
                <w:rFonts w:hint="eastAsia"/>
              </w:rPr>
              <w:t>Licensed</w:t>
            </w:r>
          </w:p>
        </w:tc>
        <w:tc>
          <w:tcPr>
            <w:tcW w:w="1907" w:type="dxa"/>
          </w:tcPr>
          <w:p w14:paraId="4359C889" w14:textId="77777777" w:rsidR="007C0B5A" w:rsidRPr="00C64ECB" w:rsidRDefault="007C0B5A" w:rsidP="00126681">
            <w:pPr>
              <w:pStyle w:val="TAL"/>
            </w:pPr>
            <w:r w:rsidRPr="00C64ECB">
              <w:rPr>
                <w:rFonts w:hint="eastAsia"/>
              </w:rPr>
              <w:t>Licensed</w:t>
            </w:r>
          </w:p>
        </w:tc>
        <w:tc>
          <w:tcPr>
            <w:tcW w:w="1907" w:type="dxa"/>
          </w:tcPr>
          <w:p w14:paraId="666EF6F3" w14:textId="77777777" w:rsidR="007C0B5A" w:rsidRPr="00C64ECB" w:rsidRDefault="007C0B5A" w:rsidP="00126681">
            <w:pPr>
              <w:pStyle w:val="TAL"/>
            </w:pPr>
            <w:r w:rsidRPr="00C64ECB">
              <w:rPr>
                <w:rFonts w:hint="eastAsia"/>
              </w:rPr>
              <w:t>Licensed</w:t>
            </w:r>
          </w:p>
        </w:tc>
        <w:tc>
          <w:tcPr>
            <w:tcW w:w="1907" w:type="dxa"/>
          </w:tcPr>
          <w:p w14:paraId="4A04B78C" w14:textId="77777777" w:rsidR="007C0B5A" w:rsidRPr="00C64ECB" w:rsidRDefault="007C0B5A" w:rsidP="00126681">
            <w:pPr>
              <w:pStyle w:val="TAL"/>
            </w:pPr>
            <w:r w:rsidRPr="00C64ECB">
              <w:rPr>
                <w:rFonts w:hint="eastAsia"/>
              </w:rPr>
              <w:t>Unlicensed</w:t>
            </w:r>
          </w:p>
        </w:tc>
      </w:tr>
      <w:tr w:rsidR="007C0B5A" w:rsidRPr="00C64ECB" w14:paraId="12DBEBF4" w14:textId="77777777" w:rsidTr="00126681">
        <w:tc>
          <w:tcPr>
            <w:tcW w:w="1906" w:type="dxa"/>
          </w:tcPr>
          <w:p w14:paraId="1C344929" w14:textId="77777777" w:rsidR="007C0B5A" w:rsidRPr="00C64ECB" w:rsidRDefault="007C0B5A" w:rsidP="00126681">
            <w:pPr>
              <w:pStyle w:val="TAL"/>
            </w:pPr>
            <w:r w:rsidRPr="00C64ECB">
              <w:rPr>
                <w:rFonts w:hint="eastAsia"/>
              </w:rPr>
              <w:t>M</w:t>
            </w:r>
            <w:r w:rsidRPr="00C64ECB">
              <w:t>aximum transmitter output power</w:t>
            </w:r>
          </w:p>
        </w:tc>
        <w:tc>
          <w:tcPr>
            <w:tcW w:w="1906" w:type="dxa"/>
          </w:tcPr>
          <w:p w14:paraId="1CE7702E" w14:textId="77777777" w:rsidR="007C0B5A" w:rsidRPr="00C64ECB" w:rsidRDefault="007C0B5A" w:rsidP="00126681">
            <w:pPr>
              <w:pStyle w:val="TAL"/>
            </w:pPr>
          </w:p>
        </w:tc>
        <w:tc>
          <w:tcPr>
            <w:tcW w:w="1907" w:type="dxa"/>
          </w:tcPr>
          <w:p w14:paraId="75C756B8" w14:textId="77777777" w:rsidR="007C0B5A" w:rsidRPr="00C64ECB" w:rsidRDefault="007C0B5A" w:rsidP="00126681">
            <w:pPr>
              <w:pStyle w:val="TAL"/>
            </w:pPr>
          </w:p>
        </w:tc>
        <w:tc>
          <w:tcPr>
            <w:tcW w:w="1907" w:type="dxa"/>
          </w:tcPr>
          <w:p w14:paraId="7B56D204" w14:textId="77777777" w:rsidR="007C0B5A" w:rsidRPr="00C64ECB" w:rsidRDefault="007C0B5A" w:rsidP="00126681">
            <w:pPr>
              <w:pStyle w:val="TAL"/>
            </w:pPr>
            <w:r w:rsidRPr="00C64ECB">
              <w:t>1 W (30</w:t>
            </w:r>
            <w:r w:rsidRPr="00C64ECB">
              <w:rPr>
                <w:rFonts w:hint="eastAsia"/>
              </w:rPr>
              <w:t>dBm</w:t>
            </w:r>
            <w:r w:rsidRPr="00C64ECB">
              <w:t>) in spread of 10 MHz or higher</w:t>
            </w:r>
          </w:p>
        </w:tc>
        <w:tc>
          <w:tcPr>
            <w:tcW w:w="1907" w:type="dxa"/>
          </w:tcPr>
          <w:p w14:paraId="4CC3E959" w14:textId="77777777" w:rsidR="007C0B5A" w:rsidRPr="00C64ECB" w:rsidRDefault="007C0B5A" w:rsidP="00126681">
            <w:pPr>
              <w:pStyle w:val="TAL"/>
            </w:pPr>
            <w:r w:rsidRPr="00C64ECB">
              <w:t>1 W (30d</w:t>
            </w:r>
            <w:r w:rsidRPr="00C64ECB">
              <w:rPr>
                <w:rFonts w:hint="eastAsia"/>
              </w:rPr>
              <w:t>B</w:t>
            </w:r>
            <w:r w:rsidRPr="00C64ECB">
              <w:t>m) in spread of 10 MHz or higher</w:t>
            </w:r>
          </w:p>
        </w:tc>
      </w:tr>
      <w:tr w:rsidR="007C0B5A" w:rsidRPr="00C64ECB" w14:paraId="18FEC880" w14:textId="77777777" w:rsidTr="00126681">
        <w:tc>
          <w:tcPr>
            <w:tcW w:w="1906" w:type="dxa"/>
          </w:tcPr>
          <w:p w14:paraId="19F7A358" w14:textId="77777777" w:rsidR="007C0B5A" w:rsidRPr="00C64ECB" w:rsidRDefault="007C0B5A" w:rsidP="00126681">
            <w:pPr>
              <w:pStyle w:val="TAL"/>
            </w:pPr>
            <w:r w:rsidRPr="00C64ECB">
              <w:rPr>
                <w:rFonts w:hint="eastAsia"/>
              </w:rPr>
              <w:t>M</w:t>
            </w:r>
            <w:r w:rsidRPr="00C64ECB">
              <w:t>aximum mean EIRP</w:t>
            </w:r>
          </w:p>
        </w:tc>
        <w:tc>
          <w:tcPr>
            <w:tcW w:w="1906" w:type="dxa"/>
          </w:tcPr>
          <w:p w14:paraId="4C42272F" w14:textId="77777777" w:rsidR="007C0B5A" w:rsidRPr="00C64ECB" w:rsidRDefault="007C0B5A" w:rsidP="00126681">
            <w:pPr>
              <w:pStyle w:val="TAL"/>
            </w:pPr>
            <w:r w:rsidRPr="00C64ECB">
              <w:rPr>
                <w:rFonts w:hint="eastAsia"/>
              </w:rPr>
              <w:t>200mW (23dBm)</w:t>
            </w:r>
          </w:p>
        </w:tc>
        <w:tc>
          <w:tcPr>
            <w:tcW w:w="1907" w:type="dxa"/>
          </w:tcPr>
          <w:p w14:paraId="20E6031A" w14:textId="77777777" w:rsidR="007C0B5A" w:rsidRPr="00C64ECB" w:rsidRDefault="007C0B5A" w:rsidP="00126681">
            <w:pPr>
              <w:pStyle w:val="TAL"/>
            </w:pPr>
            <w:r w:rsidRPr="00C64ECB">
              <w:rPr>
                <w:rFonts w:hint="eastAsia"/>
              </w:rPr>
              <w:t>1W (30dBm)</w:t>
            </w:r>
          </w:p>
        </w:tc>
        <w:tc>
          <w:tcPr>
            <w:tcW w:w="1907" w:type="dxa"/>
          </w:tcPr>
          <w:p w14:paraId="3311CBCC" w14:textId="77777777" w:rsidR="007C0B5A" w:rsidRPr="00C64ECB" w:rsidRDefault="007C0B5A" w:rsidP="00126681">
            <w:pPr>
              <w:pStyle w:val="TAL"/>
            </w:pPr>
            <w:r w:rsidRPr="00C64ECB">
              <w:rPr>
                <w:rFonts w:hint="eastAsia"/>
              </w:rPr>
              <w:t>4W (36dBm)</w:t>
            </w:r>
          </w:p>
        </w:tc>
        <w:tc>
          <w:tcPr>
            <w:tcW w:w="1907" w:type="dxa"/>
          </w:tcPr>
          <w:p w14:paraId="4CC4124C" w14:textId="77777777" w:rsidR="007C0B5A" w:rsidRPr="00C64ECB" w:rsidRDefault="007C0B5A" w:rsidP="00126681">
            <w:pPr>
              <w:pStyle w:val="TAL"/>
            </w:pPr>
            <w:r w:rsidRPr="00C64ECB">
              <w:rPr>
                <w:rFonts w:hint="eastAsia"/>
              </w:rPr>
              <w:t>4W (36dBm)</w:t>
            </w:r>
          </w:p>
        </w:tc>
      </w:tr>
      <w:tr w:rsidR="007C0B5A" w:rsidRPr="00C64ECB" w14:paraId="3BDD62CB" w14:textId="77777777" w:rsidTr="00126681">
        <w:tc>
          <w:tcPr>
            <w:tcW w:w="1906" w:type="dxa"/>
          </w:tcPr>
          <w:p w14:paraId="015E96A5" w14:textId="77777777" w:rsidR="007C0B5A" w:rsidRPr="00C64ECB" w:rsidRDefault="007C0B5A" w:rsidP="00126681">
            <w:pPr>
              <w:pStyle w:val="TAL"/>
            </w:pPr>
            <w:r w:rsidRPr="00C64ECB">
              <w:rPr>
                <w:rFonts w:hint="eastAsia"/>
              </w:rPr>
              <w:t>M</w:t>
            </w:r>
            <w:r w:rsidRPr="00C64ECB">
              <w:t>aximum mean EIRP</w:t>
            </w:r>
            <w:r w:rsidRPr="00C64ECB">
              <w:rPr>
                <w:rFonts w:hint="eastAsia"/>
              </w:rPr>
              <w:t xml:space="preserve"> density</w:t>
            </w:r>
          </w:p>
        </w:tc>
        <w:tc>
          <w:tcPr>
            <w:tcW w:w="1906" w:type="dxa"/>
          </w:tcPr>
          <w:p w14:paraId="24C5D7A3" w14:textId="77777777" w:rsidR="007C0B5A" w:rsidRPr="00C64ECB" w:rsidRDefault="007C0B5A" w:rsidP="00126681">
            <w:pPr>
              <w:pStyle w:val="TAL"/>
            </w:pPr>
            <w:r w:rsidRPr="00C64ECB">
              <w:rPr>
                <w:rFonts w:hint="eastAsia"/>
              </w:rPr>
              <w:t>10 mW/MHz</w:t>
            </w:r>
          </w:p>
        </w:tc>
        <w:tc>
          <w:tcPr>
            <w:tcW w:w="1907" w:type="dxa"/>
          </w:tcPr>
          <w:p w14:paraId="54EE5BAF" w14:textId="77777777" w:rsidR="007C0B5A" w:rsidRPr="00C64ECB" w:rsidRDefault="007C0B5A" w:rsidP="00126681">
            <w:pPr>
              <w:pStyle w:val="TAL"/>
            </w:pPr>
            <w:r w:rsidRPr="00C64ECB">
              <w:rPr>
                <w:rFonts w:hint="eastAsia"/>
              </w:rPr>
              <w:t>50 mW/MHz</w:t>
            </w:r>
          </w:p>
        </w:tc>
        <w:tc>
          <w:tcPr>
            <w:tcW w:w="1907" w:type="dxa"/>
          </w:tcPr>
          <w:p w14:paraId="57403B40" w14:textId="77777777" w:rsidR="007C0B5A" w:rsidRPr="00C64ECB" w:rsidRDefault="007C0B5A" w:rsidP="00126681">
            <w:pPr>
              <w:pStyle w:val="TAL"/>
            </w:pPr>
          </w:p>
        </w:tc>
        <w:tc>
          <w:tcPr>
            <w:tcW w:w="1907" w:type="dxa"/>
          </w:tcPr>
          <w:p w14:paraId="562DF358" w14:textId="77777777" w:rsidR="007C0B5A" w:rsidRPr="00C64ECB" w:rsidRDefault="007C0B5A" w:rsidP="00126681">
            <w:pPr>
              <w:pStyle w:val="TAL"/>
            </w:pPr>
          </w:p>
        </w:tc>
      </w:tr>
      <w:tr w:rsidR="007C0B5A" w:rsidRPr="00C64ECB" w14:paraId="29174188" w14:textId="77777777" w:rsidTr="00126681">
        <w:tc>
          <w:tcPr>
            <w:tcW w:w="1906" w:type="dxa"/>
          </w:tcPr>
          <w:p w14:paraId="3723C7D5" w14:textId="77777777" w:rsidR="007C0B5A" w:rsidRPr="00C64ECB" w:rsidRDefault="007C0B5A" w:rsidP="00126681">
            <w:pPr>
              <w:pStyle w:val="TAL"/>
            </w:pPr>
            <w:r w:rsidRPr="00C64ECB">
              <w:rPr>
                <w:rFonts w:hint="eastAsia"/>
              </w:rPr>
              <w:t>Band</w:t>
            </w:r>
            <w:r w:rsidRPr="00C64ECB">
              <w:t xml:space="preserve"> usage</w:t>
            </w:r>
          </w:p>
        </w:tc>
        <w:tc>
          <w:tcPr>
            <w:tcW w:w="1906" w:type="dxa"/>
          </w:tcPr>
          <w:p w14:paraId="72B61828" w14:textId="77777777" w:rsidR="007C0B5A" w:rsidRPr="00C64ECB" w:rsidRDefault="007C0B5A" w:rsidP="00126681">
            <w:pPr>
              <w:pStyle w:val="TAL"/>
            </w:pPr>
            <w:r w:rsidRPr="00C64ECB">
              <w:t xml:space="preserve">Low power WAS including RLAN </w:t>
            </w:r>
          </w:p>
        </w:tc>
        <w:tc>
          <w:tcPr>
            <w:tcW w:w="1907" w:type="dxa"/>
          </w:tcPr>
          <w:p w14:paraId="4EC9B84E" w14:textId="77777777" w:rsidR="007C0B5A" w:rsidRPr="00C64ECB" w:rsidRDefault="007C0B5A" w:rsidP="00126681">
            <w:pPr>
              <w:pStyle w:val="TAL"/>
            </w:pPr>
            <w:r w:rsidRPr="00C64ECB">
              <w:t xml:space="preserve">Low power WAS including RLAN </w:t>
            </w:r>
          </w:p>
        </w:tc>
        <w:tc>
          <w:tcPr>
            <w:tcW w:w="1907" w:type="dxa"/>
          </w:tcPr>
          <w:p w14:paraId="2BB07941" w14:textId="77777777" w:rsidR="007C0B5A" w:rsidRPr="00C64ECB" w:rsidRDefault="007C0B5A" w:rsidP="00126681">
            <w:pPr>
              <w:pStyle w:val="TAL"/>
            </w:pPr>
            <w:r w:rsidRPr="00C64ECB">
              <w:t xml:space="preserve">Low power WAS including RLAN  and Dedicated Short Range Communications (DSRC) for Intelligent Transport Networks </w:t>
            </w:r>
          </w:p>
        </w:tc>
        <w:tc>
          <w:tcPr>
            <w:tcW w:w="1907" w:type="dxa"/>
          </w:tcPr>
          <w:p w14:paraId="2C288230" w14:textId="77777777" w:rsidR="007C0B5A" w:rsidRPr="00C64ECB" w:rsidRDefault="007C0B5A" w:rsidP="00126681">
            <w:pPr>
              <w:pStyle w:val="TAL"/>
            </w:pPr>
            <w:r w:rsidRPr="00C64ECB">
              <w:t xml:space="preserve">Low power WAS including RLAN </w:t>
            </w:r>
          </w:p>
        </w:tc>
      </w:tr>
    </w:tbl>
    <w:p w14:paraId="7C39CCEE" w14:textId="109C27D1" w:rsidR="007C0B5A" w:rsidRPr="00C64ECB" w:rsidRDefault="007C0B5A" w:rsidP="007C0B5A"/>
    <w:p w14:paraId="5077AE16" w14:textId="77777777" w:rsidR="007C0B5A" w:rsidRPr="00C64ECB" w:rsidRDefault="007C0B5A" w:rsidP="007C0B5A">
      <w:pPr>
        <w:pStyle w:val="Heading4"/>
      </w:pPr>
      <w:bookmarkStart w:id="41" w:name="_Toc531342997"/>
      <w:r w:rsidRPr="00C64ECB">
        <w:t>4.1.</w:t>
      </w:r>
      <w:r w:rsidRPr="00C64ECB">
        <w:rPr>
          <w:rFonts w:hint="eastAsia"/>
        </w:rPr>
        <w:t>3.</w:t>
      </w:r>
      <w:r w:rsidRPr="00C64ECB">
        <w:t>5</w:t>
      </w:r>
      <w:r w:rsidRPr="00C64ECB">
        <w:tab/>
        <w:t>Taiwan</w:t>
      </w:r>
      <w:bookmarkEnd w:id="41"/>
    </w:p>
    <w:p w14:paraId="1A5E63ED" w14:textId="77777777" w:rsidR="007C0B5A" w:rsidRPr="00C64ECB" w:rsidRDefault="007C0B5A" w:rsidP="007C0B5A">
      <w:pPr>
        <w:rPr>
          <w:rFonts w:eastAsia="PMingLiU"/>
          <w:lang w:eastAsia="zh-TW"/>
        </w:rPr>
      </w:pPr>
      <w:r w:rsidRPr="00C64ECB">
        <w:t>In Taiwan the bands 5250-5350 MHz, 5470-5600 MHz, 5650-5725 MHz and 5725-5850 MHz are allocated to RLANs [22]</w:t>
      </w:r>
      <w:r w:rsidRPr="00C64ECB">
        <w:rPr>
          <w:rFonts w:eastAsia="PMingLiU" w:hint="eastAsia"/>
          <w:lang w:eastAsia="zh-TW"/>
        </w:rPr>
        <w:t>[</w:t>
      </w:r>
      <w:r w:rsidRPr="00C64ECB">
        <w:rPr>
          <w:rFonts w:eastAsia="PMingLiU"/>
          <w:lang w:eastAsia="zh-TW"/>
        </w:rPr>
        <w:t>40</w:t>
      </w:r>
      <w:r w:rsidRPr="00C64ECB">
        <w:rPr>
          <w:rFonts w:eastAsia="PMingLiU" w:hint="eastAsia"/>
          <w:lang w:eastAsia="zh-TW"/>
        </w:rPr>
        <w:t>]</w:t>
      </w:r>
      <w:r w:rsidRPr="00C64ECB">
        <w:t xml:space="preserve">. </w:t>
      </w:r>
      <w:r w:rsidRPr="00C64ECB">
        <w:rPr>
          <w:rFonts w:eastAsia="PMingLiU"/>
          <w:lang w:eastAsia="zh-TW"/>
        </w:rPr>
        <w:t>T</w:t>
      </w:r>
      <w:r w:rsidRPr="00C64ECB">
        <w:rPr>
          <w:rFonts w:eastAsia="PMingLiU" w:hint="eastAsia"/>
          <w:lang w:eastAsia="zh-TW"/>
        </w:rPr>
        <w:t>able 4.</w:t>
      </w:r>
      <w:r w:rsidR="000D7B67" w:rsidRPr="00C64ECB">
        <w:rPr>
          <w:rFonts w:eastAsia="PMingLiU"/>
          <w:lang w:eastAsia="zh-TW"/>
        </w:rPr>
        <w:t>1.</w:t>
      </w:r>
      <w:r w:rsidRPr="00C64ECB">
        <w:rPr>
          <w:rFonts w:eastAsia="PMingLiU" w:hint="eastAsia"/>
          <w:lang w:eastAsia="zh-TW"/>
        </w:rPr>
        <w:t>3.5-1 and Table 4.</w:t>
      </w:r>
      <w:r w:rsidR="000D7B67" w:rsidRPr="00C64ECB">
        <w:rPr>
          <w:rFonts w:eastAsia="PMingLiU"/>
          <w:lang w:eastAsia="zh-TW"/>
        </w:rPr>
        <w:t>1.</w:t>
      </w:r>
      <w:r w:rsidRPr="00C64ECB">
        <w:rPr>
          <w:rFonts w:eastAsia="PMingLiU" w:hint="eastAsia"/>
          <w:lang w:eastAsia="zh-TW"/>
        </w:rPr>
        <w:t>3.5-2 summarize the current regulatory requirements for transmit power and DFS in Taiwan [</w:t>
      </w:r>
      <w:r w:rsidRPr="00C64ECB">
        <w:rPr>
          <w:rFonts w:eastAsia="PMingLiU"/>
          <w:lang w:eastAsia="zh-TW"/>
        </w:rPr>
        <w:t>40</w:t>
      </w:r>
      <w:r w:rsidRPr="00C64ECB">
        <w:rPr>
          <w:rFonts w:eastAsia="PMingLiU" w:hint="eastAsia"/>
          <w:lang w:eastAsia="zh-TW"/>
        </w:rPr>
        <w:t>].</w:t>
      </w:r>
      <w:r w:rsidRPr="00C64ECB">
        <w:rPr>
          <w:rFonts w:eastAsia="PMingLiU"/>
          <w:lang w:eastAsia="zh-TW"/>
        </w:rPr>
        <w:t xml:space="preserve"> </w:t>
      </w:r>
      <w:r w:rsidRPr="00C64ECB">
        <w:rPr>
          <w:rFonts w:eastAsia="PMingLiU" w:hint="eastAsia"/>
          <w:lang w:eastAsia="zh-TW"/>
        </w:rPr>
        <w:t xml:space="preserve">DFS </w:t>
      </w:r>
      <w:r w:rsidRPr="00C64ECB">
        <w:rPr>
          <w:rFonts w:eastAsia="PMingLiU"/>
          <w:lang w:eastAsia="zh-TW"/>
        </w:rPr>
        <w:t>is</w:t>
      </w:r>
      <w:r w:rsidRPr="00C64ECB">
        <w:rPr>
          <w:rFonts w:eastAsia="PMingLiU" w:hint="eastAsia"/>
          <w:lang w:eastAsia="zh-TW"/>
        </w:rPr>
        <w:t xml:space="preserve"> mandate</w:t>
      </w:r>
      <w:r w:rsidRPr="00C64ECB">
        <w:rPr>
          <w:rFonts w:eastAsia="PMingLiU"/>
          <w:lang w:eastAsia="zh-TW"/>
        </w:rPr>
        <w:t xml:space="preserve"> for</w:t>
      </w:r>
      <w:r w:rsidRPr="00C64ECB">
        <w:rPr>
          <w:rFonts w:eastAsia="PMingLiU" w:hint="eastAsia"/>
          <w:lang w:eastAsia="zh-TW"/>
        </w:rPr>
        <w:t xml:space="preserve"> 5470-5725 MHz [</w:t>
      </w:r>
      <w:r w:rsidRPr="00C64ECB">
        <w:rPr>
          <w:rFonts w:eastAsia="PMingLiU"/>
          <w:lang w:eastAsia="zh-TW"/>
        </w:rPr>
        <w:t>41</w:t>
      </w:r>
      <w:r w:rsidRPr="00C64ECB">
        <w:rPr>
          <w:rFonts w:eastAsia="PMingLiU" w:hint="eastAsia"/>
          <w:lang w:eastAsia="zh-TW"/>
        </w:rPr>
        <w:t>]</w:t>
      </w:r>
      <w:r w:rsidRPr="00C64ECB">
        <w:rPr>
          <w:rFonts w:eastAsia="PMingLiU"/>
          <w:lang w:eastAsia="zh-TW"/>
        </w:rPr>
        <w:t xml:space="preserve">. Recently, work for specifying requirements for allowing RLANs in </w:t>
      </w:r>
      <w:r w:rsidRPr="00C64ECB">
        <w:rPr>
          <w:rFonts w:eastAsia="PMingLiU" w:hint="eastAsia"/>
          <w:lang w:eastAsia="zh-TW"/>
        </w:rPr>
        <w:t>5150-5250 MHz and 5600-5650 MHz</w:t>
      </w:r>
      <w:r w:rsidRPr="00C64ECB">
        <w:rPr>
          <w:rFonts w:eastAsia="PMingLiU"/>
          <w:lang w:eastAsia="zh-TW"/>
        </w:rPr>
        <w:t xml:space="preserve"> has started but the detailed regulatory requirements for this has not yet been specified. Additionally specification work for allowing </w:t>
      </w:r>
      <w:r w:rsidRPr="00C64ECB">
        <w:rPr>
          <w:rFonts w:eastAsia="PMingLiU" w:hint="eastAsia"/>
          <w:lang w:eastAsia="zh-TW"/>
        </w:rPr>
        <w:t>5250-5350 MHz</w:t>
      </w:r>
      <w:r w:rsidRPr="00C64ECB">
        <w:rPr>
          <w:rFonts w:eastAsia="PMingLiU"/>
          <w:lang w:eastAsia="zh-TW"/>
        </w:rPr>
        <w:t xml:space="preserve"> outdoor has started, this assumes that DFS will be performed, but detailed requirements are not yet defined.</w:t>
      </w:r>
    </w:p>
    <w:p w14:paraId="322C3E16" w14:textId="77777777" w:rsidR="007C0B5A" w:rsidRPr="00C64ECB" w:rsidRDefault="007C0B5A" w:rsidP="007C0B5A">
      <w:pPr>
        <w:pStyle w:val="TH"/>
      </w:pPr>
      <w:bookmarkStart w:id="42" w:name="_Ref402972968"/>
      <w:r w:rsidRPr="00C64ECB">
        <w:lastRenderedPageBreak/>
        <w:t xml:space="preserve">Table </w:t>
      </w:r>
      <w:bookmarkEnd w:id="42"/>
      <w:r w:rsidRPr="00C64ECB">
        <w:t>4.</w:t>
      </w:r>
      <w:r w:rsidR="000D7B67" w:rsidRPr="00C64ECB">
        <w:t>1.</w:t>
      </w:r>
      <w:r w:rsidRPr="00C64ECB">
        <w:t>3.5-1 Transmit power requirements for 5GHz band in Taiwan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1"/>
        <w:gridCol w:w="1512"/>
        <w:gridCol w:w="1512"/>
        <w:gridCol w:w="1512"/>
        <w:gridCol w:w="1512"/>
        <w:gridCol w:w="1513"/>
      </w:tblGrid>
      <w:tr w:rsidR="007C0B5A" w:rsidRPr="00C64ECB" w14:paraId="201C2F8D" w14:textId="77777777" w:rsidTr="00126681">
        <w:tc>
          <w:tcPr>
            <w:tcW w:w="1511" w:type="dxa"/>
            <w:shd w:val="clear" w:color="auto" w:fill="D9D9D9"/>
          </w:tcPr>
          <w:p w14:paraId="6656944D" w14:textId="77777777" w:rsidR="007C0B5A" w:rsidRPr="00C64ECB" w:rsidRDefault="007C0B5A" w:rsidP="00126681">
            <w:pPr>
              <w:pStyle w:val="TAL"/>
            </w:pPr>
            <w:r w:rsidRPr="00C64ECB">
              <w:t>Frequency Range (GHz)</w:t>
            </w:r>
          </w:p>
        </w:tc>
        <w:tc>
          <w:tcPr>
            <w:tcW w:w="1512" w:type="dxa"/>
            <w:shd w:val="clear" w:color="auto" w:fill="auto"/>
          </w:tcPr>
          <w:p w14:paraId="228444A9" w14:textId="77777777" w:rsidR="007C0B5A" w:rsidRPr="00C64ECB" w:rsidRDefault="007C0B5A" w:rsidP="00126681">
            <w:pPr>
              <w:pStyle w:val="TAL"/>
            </w:pPr>
          </w:p>
        </w:tc>
        <w:tc>
          <w:tcPr>
            <w:tcW w:w="1512" w:type="dxa"/>
            <w:shd w:val="clear" w:color="auto" w:fill="auto"/>
          </w:tcPr>
          <w:p w14:paraId="474AD672" w14:textId="77777777" w:rsidR="007C0B5A" w:rsidRPr="00C64ECB" w:rsidRDefault="007C0B5A" w:rsidP="00126681">
            <w:pPr>
              <w:pStyle w:val="TAL"/>
              <w:rPr>
                <w:vertAlign w:val="superscript"/>
                <w:lang w:eastAsia="zh-TW"/>
              </w:rPr>
            </w:pPr>
            <w:r w:rsidRPr="00C64ECB">
              <w:t>5.25-5.35</w:t>
            </w:r>
            <w:r w:rsidRPr="00C64ECB">
              <w:rPr>
                <w:lang w:eastAsia="zh-TW"/>
              </w:rPr>
              <w:t xml:space="preserve"> *</w:t>
            </w:r>
          </w:p>
        </w:tc>
        <w:tc>
          <w:tcPr>
            <w:tcW w:w="1512" w:type="dxa"/>
            <w:shd w:val="clear" w:color="auto" w:fill="auto"/>
          </w:tcPr>
          <w:p w14:paraId="1D119F18" w14:textId="77777777" w:rsidR="007C0B5A" w:rsidRPr="00C64ECB" w:rsidRDefault="007C0B5A" w:rsidP="00126681">
            <w:pPr>
              <w:pStyle w:val="TAL"/>
            </w:pPr>
            <w:r w:rsidRPr="00C64ECB">
              <w:t xml:space="preserve">5.47-5.60 and 5.65-5.725 </w:t>
            </w:r>
          </w:p>
        </w:tc>
        <w:tc>
          <w:tcPr>
            <w:tcW w:w="1512" w:type="dxa"/>
            <w:shd w:val="clear" w:color="auto" w:fill="auto"/>
          </w:tcPr>
          <w:p w14:paraId="481120BA" w14:textId="77777777" w:rsidR="007C0B5A" w:rsidRPr="00C64ECB" w:rsidRDefault="007C0B5A" w:rsidP="00126681">
            <w:pPr>
              <w:pStyle w:val="TAL"/>
            </w:pPr>
            <w:r w:rsidRPr="00C64ECB">
              <w:t>5.725-5.825</w:t>
            </w:r>
          </w:p>
        </w:tc>
        <w:tc>
          <w:tcPr>
            <w:tcW w:w="1513" w:type="dxa"/>
            <w:shd w:val="clear" w:color="auto" w:fill="auto"/>
          </w:tcPr>
          <w:p w14:paraId="54216493" w14:textId="77777777" w:rsidR="007C0B5A" w:rsidRPr="00C64ECB" w:rsidRDefault="007C0B5A" w:rsidP="00126681">
            <w:pPr>
              <w:pStyle w:val="TAL"/>
            </w:pPr>
            <w:r w:rsidRPr="00C64ECB">
              <w:t>*For indoor use only</w:t>
            </w:r>
          </w:p>
        </w:tc>
      </w:tr>
      <w:tr w:rsidR="007C0B5A" w:rsidRPr="00C64ECB" w14:paraId="7BA82EB4" w14:textId="77777777" w:rsidTr="00126681">
        <w:tc>
          <w:tcPr>
            <w:tcW w:w="1511" w:type="dxa"/>
            <w:vMerge w:val="restart"/>
            <w:shd w:val="clear" w:color="auto" w:fill="D9D9D9"/>
          </w:tcPr>
          <w:p w14:paraId="7458E705" w14:textId="77777777" w:rsidR="007C0B5A" w:rsidRPr="00C64ECB" w:rsidRDefault="007C0B5A" w:rsidP="00126681">
            <w:pPr>
              <w:pStyle w:val="TAL"/>
              <w:rPr>
                <w:vertAlign w:val="superscript"/>
                <w:lang w:eastAsia="zh-TW"/>
              </w:rPr>
            </w:pPr>
            <w:r w:rsidRPr="00C64ECB">
              <w:rPr>
                <w:lang w:eastAsia="zh-TW"/>
              </w:rPr>
              <w:t>Peak</w:t>
            </w:r>
            <w:r w:rsidRPr="00C64ECB">
              <w:t xml:space="preserve"> </w:t>
            </w:r>
            <w:r w:rsidRPr="00C64ECB">
              <w:rPr>
                <w:lang w:eastAsia="zh-TW"/>
              </w:rPr>
              <w:t>transmit</w:t>
            </w:r>
            <w:r w:rsidRPr="00C64ECB">
              <w:t xml:space="preserve"> power &lt; min(a, b) (dBm)</w:t>
            </w:r>
            <w:r w:rsidRPr="00C64ECB">
              <w:rPr>
                <w:lang w:eastAsia="zh-TW"/>
              </w:rPr>
              <w:t xml:space="preserve"> </w:t>
            </w:r>
          </w:p>
        </w:tc>
        <w:tc>
          <w:tcPr>
            <w:tcW w:w="1512" w:type="dxa"/>
            <w:shd w:val="clear" w:color="auto" w:fill="auto"/>
          </w:tcPr>
          <w:p w14:paraId="11A3B0DE" w14:textId="77777777" w:rsidR="007C0B5A" w:rsidRPr="00C64ECB" w:rsidRDefault="007C0B5A" w:rsidP="00126681">
            <w:pPr>
              <w:pStyle w:val="TAL"/>
              <w:rPr>
                <w:lang w:eastAsia="zh-TW"/>
              </w:rPr>
            </w:pPr>
            <w:r w:rsidRPr="00C64ECB">
              <w:rPr>
                <w:lang w:eastAsia="zh-TW"/>
              </w:rPr>
              <w:t>A</w:t>
            </w:r>
          </w:p>
        </w:tc>
        <w:tc>
          <w:tcPr>
            <w:tcW w:w="1512" w:type="dxa"/>
            <w:shd w:val="clear" w:color="auto" w:fill="auto"/>
          </w:tcPr>
          <w:p w14:paraId="4FC4E67A" w14:textId="77777777" w:rsidR="007C0B5A" w:rsidRPr="00C64ECB" w:rsidRDefault="007C0B5A" w:rsidP="00126681">
            <w:pPr>
              <w:pStyle w:val="TAL"/>
              <w:rPr>
                <w:lang w:eastAsia="zh-TW"/>
              </w:rPr>
            </w:pPr>
            <w:r w:rsidRPr="00C64ECB">
              <w:rPr>
                <w:lang w:eastAsia="zh-TW"/>
              </w:rPr>
              <w:t>17</w:t>
            </w:r>
          </w:p>
        </w:tc>
        <w:tc>
          <w:tcPr>
            <w:tcW w:w="1512" w:type="dxa"/>
            <w:shd w:val="clear" w:color="auto" w:fill="auto"/>
          </w:tcPr>
          <w:p w14:paraId="4FCAA824" w14:textId="77777777" w:rsidR="007C0B5A" w:rsidRPr="00C64ECB" w:rsidRDefault="007C0B5A" w:rsidP="00126681">
            <w:pPr>
              <w:pStyle w:val="TAL"/>
            </w:pPr>
            <w:r w:rsidRPr="00C64ECB">
              <w:t>24</w:t>
            </w:r>
          </w:p>
        </w:tc>
        <w:tc>
          <w:tcPr>
            <w:tcW w:w="1512" w:type="dxa"/>
            <w:shd w:val="clear" w:color="auto" w:fill="auto"/>
          </w:tcPr>
          <w:p w14:paraId="2CA15468" w14:textId="77777777" w:rsidR="007C0B5A" w:rsidRPr="00C64ECB" w:rsidRDefault="007C0B5A" w:rsidP="00126681">
            <w:pPr>
              <w:pStyle w:val="TAL"/>
              <w:rPr>
                <w:vertAlign w:val="superscript"/>
                <w:lang w:eastAsia="zh-TW"/>
              </w:rPr>
            </w:pPr>
            <w:r w:rsidRPr="00C64ECB">
              <w:t>30</w:t>
            </w:r>
            <w:r w:rsidRPr="00C64ECB">
              <w:rPr>
                <w:lang w:eastAsia="zh-TW"/>
              </w:rPr>
              <w:t xml:space="preserve"> </w:t>
            </w:r>
          </w:p>
        </w:tc>
        <w:tc>
          <w:tcPr>
            <w:tcW w:w="1513" w:type="dxa"/>
            <w:shd w:val="clear" w:color="auto" w:fill="auto"/>
          </w:tcPr>
          <w:p w14:paraId="442FDFC4" w14:textId="77777777" w:rsidR="007C0B5A" w:rsidRPr="00C64ECB" w:rsidRDefault="007C0B5A" w:rsidP="00126681">
            <w:pPr>
              <w:pStyle w:val="TAL"/>
            </w:pPr>
          </w:p>
        </w:tc>
      </w:tr>
      <w:tr w:rsidR="007C0B5A" w:rsidRPr="00C64ECB" w14:paraId="0ACB6A92" w14:textId="77777777" w:rsidTr="00126681">
        <w:tc>
          <w:tcPr>
            <w:tcW w:w="1511" w:type="dxa"/>
            <w:vMerge/>
            <w:shd w:val="clear" w:color="auto" w:fill="D9D9D9"/>
          </w:tcPr>
          <w:p w14:paraId="7E149AAF" w14:textId="77777777" w:rsidR="007C0B5A" w:rsidRPr="00C64ECB" w:rsidRDefault="007C0B5A" w:rsidP="00126681">
            <w:pPr>
              <w:pStyle w:val="TAL"/>
            </w:pPr>
          </w:p>
        </w:tc>
        <w:tc>
          <w:tcPr>
            <w:tcW w:w="1512" w:type="dxa"/>
            <w:shd w:val="clear" w:color="auto" w:fill="auto"/>
          </w:tcPr>
          <w:p w14:paraId="777F2FF8" w14:textId="77777777" w:rsidR="007C0B5A" w:rsidRPr="00C64ECB" w:rsidRDefault="007C0B5A" w:rsidP="00126681">
            <w:pPr>
              <w:pStyle w:val="TAL"/>
              <w:rPr>
                <w:lang w:eastAsia="zh-TW"/>
              </w:rPr>
            </w:pPr>
            <w:r w:rsidRPr="00C64ECB">
              <w:rPr>
                <w:lang w:eastAsia="zh-TW"/>
              </w:rPr>
              <w:t>B</w:t>
            </w:r>
          </w:p>
        </w:tc>
        <w:tc>
          <w:tcPr>
            <w:tcW w:w="1512" w:type="dxa"/>
            <w:shd w:val="clear" w:color="auto" w:fill="auto"/>
          </w:tcPr>
          <w:p w14:paraId="65603BCC" w14:textId="77777777" w:rsidR="007C0B5A" w:rsidRPr="00C64ECB" w:rsidRDefault="007C0B5A" w:rsidP="00126681">
            <w:pPr>
              <w:pStyle w:val="TAL"/>
            </w:pPr>
            <w:r w:rsidRPr="00C64ECB">
              <w:rPr>
                <w:lang w:eastAsia="zh-TW"/>
              </w:rPr>
              <w:t>4</w:t>
            </w:r>
            <w:r w:rsidRPr="00C64ECB">
              <w:t>+10logB</w:t>
            </w:r>
          </w:p>
        </w:tc>
        <w:tc>
          <w:tcPr>
            <w:tcW w:w="1512" w:type="dxa"/>
            <w:shd w:val="clear" w:color="auto" w:fill="auto"/>
          </w:tcPr>
          <w:p w14:paraId="37E2E0F2" w14:textId="77777777" w:rsidR="007C0B5A" w:rsidRPr="00C64ECB" w:rsidRDefault="007C0B5A" w:rsidP="00126681">
            <w:pPr>
              <w:pStyle w:val="TAL"/>
            </w:pPr>
            <w:r w:rsidRPr="00C64ECB">
              <w:t>11+10logB</w:t>
            </w:r>
          </w:p>
        </w:tc>
        <w:tc>
          <w:tcPr>
            <w:tcW w:w="1512" w:type="dxa"/>
            <w:shd w:val="clear" w:color="auto" w:fill="auto"/>
          </w:tcPr>
          <w:p w14:paraId="15DC639B" w14:textId="77777777" w:rsidR="007C0B5A" w:rsidRPr="00C64ECB" w:rsidRDefault="007C0B5A" w:rsidP="00126681">
            <w:pPr>
              <w:pStyle w:val="TAL"/>
            </w:pPr>
            <w:r w:rsidRPr="00C64ECB">
              <w:t>17+10logB</w:t>
            </w:r>
          </w:p>
        </w:tc>
        <w:tc>
          <w:tcPr>
            <w:tcW w:w="1513" w:type="dxa"/>
            <w:shd w:val="clear" w:color="auto" w:fill="auto"/>
          </w:tcPr>
          <w:p w14:paraId="42E5F3EC" w14:textId="77777777" w:rsidR="007C0B5A" w:rsidRPr="00C64ECB" w:rsidRDefault="007C0B5A" w:rsidP="00126681">
            <w:pPr>
              <w:pStyle w:val="TAL"/>
            </w:pPr>
            <w:r w:rsidRPr="00C64ECB">
              <w:t>B is the 26-dB emission bandwidth in MHz</w:t>
            </w:r>
          </w:p>
        </w:tc>
      </w:tr>
      <w:tr w:rsidR="007C0B5A" w:rsidRPr="00C64ECB" w14:paraId="13D79200" w14:textId="77777777" w:rsidTr="00126681">
        <w:tc>
          <w:tcPr>
            <w:tcW w:w="1511" w:type="dxa"/>
            <w:shd w:val="clear" w:color="auto" w:fill="D9D9D9"/>
          </w:tcPr>
          <w:p w14:paraId="38C4219B" w14:textId="77777777" w:rsidR="007C0B5A" w:rsidRPr="00C64ECB" w:rsidRDefault="007C0B5A" w:rsidP="00126681">
            <w:pPr>
              <w:pStyle w:val="TAL"/>
            </w:pPr>
            <w:r w:rsidRPr="00C64ECB">
              <w:t>Peak PSD (dBm/MHz)</w:t>
            </w:r>
          </w:p>
        </w:tc>
        <w:tc>
          <w:tcPr>
            <w:tcW w:w="1512" w:type="dxa"/>
            <w:shd w:val="clear" w:color="auto" w:fill="auto"/>
          </w:tcPr>
          <w:p w14:paraId="574A047C" w14:textId="77777777" w:rsidR="007C0B5A" w:rsidRPr="00C64ECB" w:rsidRDefault="007C0B5A" w:rsidP="00126681">
            <w:pPr>
              <w:pStyle w:val="TAL"/>
            </w:pPr>
          </w:p>
        </w:tc>
        <w:tc>
          <w:tcPr>
            <w:tcW w:w="1512" w:type="dxa"/>
            <w:shd w:val="clear" w:color="auto" w:fill="auto"/>
          </w:tcPr>
          <w:p w14:paraId="4D9AE655" w14:textId="77777777" w:rsidR="007C0B5A" w:rsidRPr="00C64ECB" w:rsidRDefault="007C0B5A" w:rsidP="00126681">
            <w:pPr>
              <w:pStyle w:val="TAL"/>
              <w:rPr>
                <w:lang w:eastAsia="zh-TW"/>
              </w:rPr>
            </w:pPr>
            <w:r w:rsidRPr="00C64ECB">
              <w:rPr>
                <w:lang w:eastAsia="zh-TW"/>
              </w:rPr>
              <w:t>4</w:t>
            </w:r>
          </w:p>
        </w:tc>
        <w:tc>
          <w:tcPr>
            <w:tcW w:w="1512" w:type="dxa"/>
            <w:shd w:val="clear" w:color="auto" w:fill="auto"/>
          </w:tcPr>
          <w:p w14:paraId="4A832A30" w14:textId="77777777" w:rsidR="007C0B5A" w:rsidRPr="00C64ECB" w:rsidRDefault="007C0B5A" w:rsidP="00126681">
            <w:pPr>
              <w:pStyle w:val="TAL"/>
            </w:pPr>
            <w:r w:rsidRPr="00C64ECB">
              <w:t>11</w:t>
            </w:r>
          </w:p>
        </w:tc>
        <w:tc>
          <w:tcPr>
            <w:tcW w:w="1512" w:type="dxa"/>
            <w:shd w:val="clear" w:color="auto" w:fill="auto"/>
          </w:tcPr>
          <w:p w14:paraId="24F64F14" w14:textId="77777777" w:rsidR="007C0B5A" w:rsidRPr="00C64ECB" w:rsidRDefault="007C0B5A" w:rsidP="00126681">
            <w:pPr>
              <w:pStyle w:val="TAL"/>
            </w:pPr>
            <w:r w:rsidRPr="00C64ECB">
              <w:t>17</w:t>
            </w:r>
          </w:p>
        </w:tc>
        <w:tc>
          <w:tcPr>
            <w:tcW w:w="1513" w:type="dxa"/>
            <w:shd w:val="clear" w:color="auto" w:fill="auto"/>
          </w:tcPr>
          <w:p w14:paraId="18446B5D" w14:textId="77777777" w:rsidR="007C0B5A" w:rsidRPr="00C64ECB" w:rsidRDefault="007C0B5A" w:rsidP="00126681">
            <w:pPr>
              <w:pStyle w:val="TAL"/>
            </w:pPr>
            <w:r w:rsidRPr="00C64ECB">
              <w:t>Resolution bandwidth 1 MHz</w:t>
            </w:r>
          </w:p>
        </w:tc>
      </w:tr>
      <w:tr w:rsidR="007C0B5A" w:rsidRPr="00C64ECB" w14:paraId="2E4048B7" w14:textId="77777777" w:rsidTr="00126681">
        <w:tc>
          <w:tcPr>
            <w:tcW w:w="1511" w:type="dxa"/>
            <w:shd w:val="clear" w:color="auto" w:fill="D9D9D9"/>
          </w:tcPr>
          <w:p w14:paraId="5008BADA" w14:textId="77777777" w:rsidR="007C0B5A" w:rsidRPr="00C64ECB" w:rsidRDefault="007C0B5A" w:rsidP="00126681">
            <w:pPr>
              <w:pStyle w:val="TAL"/>
            </w:pPr>
            <w:r w:rsidRPr="00C64ECB">
              <w:t>Assumed Antenna Gain (dBi)</w:t>
            </w:r>
          </w:p>
        </w:tc>
        <w:tc>
          <w:tcPr>
            <w:tcW w:w="1512" w:type="dxa"/>
            <w:shd w:val="clear" w:color="auto" w:fill="auto"/>
          </w:tcPr>
          <w:p w14:paraId="79F52784" w14:textId="77777777" w:rsidR="007C0B5A" w:rsidRPr="00C64ECB" w:rsidRDefault="007C0B5A" w:rsidP="00126681">
            <w:pPr>
              <w:pStyle w:val="TAL"/>
            </w:pPr>
          </w:p>
        </w:tc>
        <w:tc>
          <w:tcPr>
            <w:tcW w:w="1512" w:type="dxa"/>
            <w:shd w:val="clear" w:color="auto" w:fill="auto"/>
          </w:tcPr>
          <w:p w14:paraId="4CF9E97D" w14:textId="77777777" w:rsidR="007C0B5A" w:rsidRPr="00C64ECB" w:rsidRDefault="007C0B5A" w:rsidP="00126681">
            <w:pPr>
              <w:pStyle w:val="TAL"/>
              <w:rPr>
                <w:lang w:eastAsia="zh-CN"/>
              </w:rPr>
            </w:pPr>
            <w:r w:rsidRPr="00C64ECB">
              <w:rPr>
                <w:lang w:eastAsia="zh-CN"/>
              </w:rPr>
              <w:t>6</w:t>
            </w:r>
          </w:p>
        </w:tc>
        <w:tc>
          <w:tcPr>
            <w:tcW w:w="1512" w:type="dxa"/>
            <w:shd w:val="clear" w:color="auto" w:fill="auto"/>
          </w:tcPr>
          <w:p w14:paraId="2A7F480A" w14:textId="77777777" w:rsidR="007C0B5A" w:rsidRPr="00C64ECB" w:rsidRDefault="007C0B5A" w:rsidP="00126681">
            <w:pPr>
              <w:pStyle w:val="TAL"/>
              <w:rPr>
                <w:lang w:eastAsia="zh-CN"/>
              </w:rPr>
            </w:pPr>
            <w:r w:rsidRPr="00C64ECB">
              <w:rPr>
                <w:lang w:eastAsia="zh-CN"/>
              </w:rPr>
              <w:t>6</w:t>
            </w:r>
          </w:p>
        </w:tc>
        <w:tc>
          <w:tcPr>
            <w:tcW w:w="1512" w:type="dxa"/>
            <w:shd w:val="clear" w:color="auto" w:fill="auto"/>
          </w:tcPr>
          <w:p w14:paraId="6FFB6320" w14:textId="77777777" w:rsidR="007C0B5A" w:rsidRPr="00C64ECB" w:rsidRDefault="007C0B5A" w:rsidP="00126681">
            <w:pPr>
              <w:pStyle w:val="TAL"/>
              <w:rPr>
                <w:lang w:eastAsia="zh-CN"/>
              </w:rPr>
            </w:pPr>
            <w:r w:rsidRPr="00C64ECB">
              <w:rPr>
                <w:lang w:eastAsia="zh-CN"/>
              </w:rPr>
              <w:t>6**</w:t>
            </w:r>
          </w:p>
        </w:tc>
        <w:tc>
          <w:tcPr>
            <w:tcW w:w="1513" w:type="dxa"/>
            <w:shd w:val="clear" w:color="auto" w:fill="auto"/>
          </w:tcPr>
          <w:p w14:paraId="1A16A502" w14:textId="77777777" w:rsidR="007C0B5A" w:rsidRPr="00C64ECB" w:rsidRDefault="007C0B5A" w:rsidP="00126681">
            <w:pPr>
              <w:pStyle w:val="TAL"/>
            </w:pPr>
            <w:r w:rsidRPr="00C64ECB">
              <w:t>Peak power is reduced by G-6 dB for directional antennas with gain &gt; 6 dBi;</w:t>
            </w:r>
          </w:p>
          <w:p w14:paraId="71C5043B" w14:textId="77777777" w:rsidR="007C0B5A" w:rsidRPr="00C64ECB" w:rsidRDefault="007C0B5A" w:rsidP="00126681">
            <w:pPr>
              <w:pStyle w:val="TAL"/>
            </w:pPr>
            <w:r w:rsidRPr="00C64ECB">
              <w:t>** Fixed point to point operation power scaling threshold is 23 dBi</w:t>
            </w:r>
          </w:p>
        </w:tc>
      </w:tr>
      <w:tr w:rsidR="007C0B5A" w:rsidRPr="00C64ECB" w14:paraId="787EBF9B" w14:textId="77777777" w:rsidTr="00126681">
        <w:tc>
          <w:tcPr>
            <w:tcW w:w="1511" w:type="dxa"/>
            <w:vMerge w:val="restart"/>
            <w:shd w:val="clear" w:color="auto" w:fill="D9D9D9"/>
          </w:tcPr>
          <w:p w14:paraId="733262ED" w14:textId="77777777" w:rsidR="007C0B5A" w:rsidRPr="00C64ECB" w:rsidRDefault="007C0B5A" w:rsidP="00126681">
            <w:pPr>
              <w:pStyle w:val="TAL"/>
            </w:pPr>
            <w:r w:rsidRPr="00C64ECB">
              <w:t>Out of band emission</w:t>
            </w:r>
          </w:p>
        </w:tc>
        <w:tc>
          <w:tcPr>
            <w:tcW w:w="1512" w:type="dxa"/>
            <w:shd w:val="clear" w:color="auto" w:fill="auto"/>
          </w:tcPr>
          <w:p w14:paraId="6F0A251E" w14:textId="77777777" w:rsidR="007C0B5A" w:rsidRPr="00C64ECB" w:rsidRDefault="007C0B5A" w:rsidP="00126681">
            <w:pPr>
              <w:pStyle w:val="TAL"/>
            </w:pPr>
            <w:r w:rsidRPr="00C64ECB">
              <w:t>Frequency Support (GHz)</w:t>
            </w:r>
          </w:p>
        </w:tc>
        <w:tc>
          <w:tcPr>
            <w:tcW w:w="1512" w:type="dxa"/>
            <w:shd w:val="clear" w:color="auto" w:fill="auto"/>
          </w:tcPr>
          <w:p w14:paraId="733ED606" w14:textId="77777777" w:rsidR="007C0B5A" w:rsidRPr="00C64ECB" w:rsidRDefault="007C0B5A" w:rsidP="00126681">
            <w:pPr>
              <w:pStyle w:val="TAL"/>
            </w:pPr>
            <w:r w:rsidRPr="00C64ECB">
              <w:t>Outside 5.25 – 5.35</w:t>
            </w:r>
          </w:p>
        </w:tc>
        <w:tc>
          <w:tcPr>
            <w:tcW w:w="1512" w:type="dxa"/>
            <w:shd w:val="clear" w:color="auto" w:fill="auto"/>
          </w:tcPr>
          <w:p w14:paraId="4CA59432" w14:textId="77777777" w:rsidR="007C0B5A" w:rsidRPr="00C64ECB" w:rsidRDefault="007C0B5A" w:rsidP="00126681">
            <w:pPr>
              <w:pStyle w:val="TAL"/>
            </w:pPr>
            <w:r w:rsidRPr="00C64ECB">
              <w:t>Outside 5.47-5.725</w:t>
            </w:r>
          </w:p>
        </w:tc>
        <w:tc>
          <w:tcPr>
            <w:tcW w:w="1512" w:type="dxa"/>
            <w:shd w:val="clear" w:color="auto" w:fill="auto"/>
          </w:tcPr>
          <w:p w14:paraId="07333149" w14:textId="77777777" w:rsidR="007C0B5A" w:rsidRPr="00C64ECB" w:rsidRDefault="007C0B5A" w:rsidP="00126681">
            <w:pPr>
              <w:pStyle w:val="TAL"/>
            </w:pPr>
            <w:r w:rsidRPr="00C64ECB">
              <w:t>Outside 5.7</w:t>
            </w:r>
            <w:r w:rsidRPr="00C64ECB">
              <w:rPr>
                <w:lang w:eastAsia="zh-CN"/>
              </w:rPr>
              <w:t>1</w:t>
            </w:r>
            <w:r w:rsidRPr="00C64ECB">
              <w:t>5-5.8</w:t>
            </w:r>
            <w:r w:rsidRPr="00C64ECB">
              <w:rPr>
                <w:lang w:eastAsia="zh-CN"/>
              </w:rPr>
              <w:t>3</w:t>
            </w:r>
            <w:r w:rsidRPr="00C64ECB">
              <w:t>5</w:t>
            </w:r>
          </w:p>
        </w:tc>
        <w:tc>
          <w:tcPr>
            <w:tcW w:w="1513" w:type="dxa"/>
            <w:shd w:val="clear" w:color="auto" w:fill="auto"/>
          </w:tcPr>
          <w:p w14:paraId="51F67F4E" w14:textId="77777777" w:rsidR="007C0B5A" w:rsidRPr="00C64ECB" w:rsidRDefault="007C0B5A" w:rsidP="00126681">
            <w:pPr>
              <w:pStyle w:val="TAL"/>
            </w:pPr>
          </w:p>
        </w:tc>
      </w:tr>
      <w:tr w:rsidR="007C0B5A" w:rsidRPr="00C64ECB" w14:paraId="4055702E" w14:textId="77777777" w:rsidTr="00126681">
        <w:trPr>
          <w:trHeight w:val="994"/>
        </w:trPr>
        <w:tc>
          <w:tcPr>
            <w:tcW w:w="1511" w:type="dxa"/>
            <w:vMerge/>
            <w:shd w:val="clear" w:color="auto" w:fill="D9D9D9"/>
          </w:tcPr>
          <w:p w14:paraId="31898935" w14:textId="77777777" w:rsidR="007C0B5A" w:rsidRPr="00C64ECB" w:rsidRDefault="007C0B5A" w:rsidP="00126681">
            <w:pPr>
              <w:pStyle w:val="TAL"/>
            </w:pPr>
          </w:p>
        </w:tc>
        <w:tc>
          <w:tcPr>
            <w:tcW w:w="1512" w:type="dxa"/>
            <w:shd w:val="clear" w:color="auto" w:fill="auto"/>
          </w:tcPr>
          <w:p w14:paraId="04617F50" w14:textId="77777777" w:rsidR="007C0B5A" w:rsidRPr="00C64ECB" w:rsidRDefault="007C0B5A" w:rsidP="00126681">
            <w:pPr>
              <w:pStyle w:val="TAL"/>
            </w:pPr>
            <w:r w:rsidRPr="00C64ECB">
              <w:t>EIRP (dBm/MHz)</w:t>
            </w:r>
          </w:p>
        </w:tc>
        <w:tc>
          <w:tcPr>
            <w:tcW w:w="1512" w:type="dxa"/>
            <w:shd w:val="clear" w:color="auto" w:fill="auto"/>
          </w:tcPr>
          <w:p w14:paraId="2B5DD75C" w14:textId="77777777" w:rsidR="007C0B5A" w:rsidRPr="00C64ECB" w:rsidRDefault="007C0B5A" w:rsidP="00126681">
            <w:pPr>
              <w:pStyle w:val="TAL"/>
            </w:pPr>
            <w:r w:rsidRPr="00C64ECB">
              <w:t>-27</w:t>
            </w:r>
          </w:p>
        </w:tc>
        <w:tc>
          <w:tcPr>
            <w:tcW w:w="1512" w:type="dxa"/>
            <w:shd w:val="clear" w:color="auto" w:fill="auto"/>
          </w:tcPr>
          <w:p w14:paraId="4A1BC035" w14:textId="77777777" w:rsidR="007C0B5A" w:rsidRPr="00C64ECB" w:rsidRDefault="007C0B5A" w:rsidP="00126681">
            <w:pPr>
              <w:pStyle w:val="TAL"/>
            </w:pPr>
            <w:r w:rsidRPr="00C64ECB">
              <w:t>-27</w:t>
            </w:r>
          </w:p>
        </w:tc>
        <w:tc>
          <w:tcPr>
            <w:tcW w:w="1512" w:type="dxa"/>
            <w:shd w:val="clear" w:color="auto" w:fill="auto"/>
          </w:tcPr>
          <w:p w14:paraId="25A99EA7" w14:textId="77777777" w:rsidR="007C0B5A" w:rsidRPr="00C64ECB" w:rsidRDefault="007C0B5A" w:rsidP="00126681">
            <w:pPr>
              <w:pStyle w:val="TAL"/>
            </w:pPr>
            <w:r w:rsidRPr="00C64ECB">
              <w:t xml:space="preserve">-27 </w:t>
            </w:r>
          </w:p>
        </w:tc>
        <w:tc>
          <w:tcPr>
            <w:tcW w:w="1513" w:type="dxa"/>
            <w:shd w:val="clear" w:color="auto" w:fill="auto"/>
          </w:tcPr>
          <w:p w14:paraId="773827A2" w14:textId="77777777" w:rsidR="007C0B5A" w:rsidRPr="00C64ECB" w:rsidRDefault="007C0B5A" w:rsidP="00126681">
            <w:pPr>
              <w:pStyle w:val="TAL"/>
            </w:pPr>
            <w:r w:rsidRPr="00C64ECB">
              <w:t>Resolution bandwidth 1 MHz</w:t>
            </w:r>
          </w:p>
        </w:tc>
      </w:tr>
      <w:tr w:rsidR="007C0B5A" w:rsidRPr="00C64ECB" w14:paraId="0BA60459" w14:textId="77777777" w:rsidTr="00126681">
        <w:trPr>
          <w:trHeight w:val="966"/>
        </w:trPr>
        <w:tc>
          <w:tcPr>
            <w:tcW w:w="1511" w:type="dxa"/>
            <w:vMerge/>
            <w:shd w:val="clear" w:color="auto" w:fill="D9D9D9"/>
          </w:tcPr>
          <w:p w14:paraId="28BD7824" w14:textId="77777777" w:rsidR="007C0B5A" w:rsidRPr="00C64ECB" w:rsidRDefault="007C0B5A" w:rsidP="00126681">
            <w:pPr>
              <w:pStyle w:val="TAL"/>
            </w:pPr>
          </w:p>
        </w:tc>
        <w:tc>
          <w:tcPr>
            <w:tcW w:w="1512" w:type="dxa"/>
            <w:shd w:val="clear" w:color="auto" w:fill="auto"/>
          </w:tcPr>
          <w:p w14:paraId="07B6D858" w14:textId="77777777" w:rsidR="007C0B5A" w:rsidRPr="00C64ECB" w:rsidRDefault="007C0B5A" w:rsidP="00126681">
            <w:pPr>
              <w:pStyle w:val="TAL"/>
            </w:pPr>
            <w:r w:rsidRPr="00C64ECB">
              <w:t>Frequency Support (GHz)</w:t>
            </w:r>
          </w:p>
        </w:tc>
        <w:tc>
          <w:tcPr>
            <w:tcW w:w="1512" w:type="dxa"/>
            <w:shd w:val="clear" w:color="auto" w:fill="auto"/>
          </w:tcPr>
          <w:p w14:paraId="0C966497" w14:textId="77777777" w:rsidR="007C0B5A" w:rsidRPr="00C64ECB" w:rsidRDefault="007C0B5A" w:rsidP="00126681">
            <w:pPr>
              <w:pStyle w:val="TAL"/>
            </w:pPr>
          </w:p>
        </w:tc>
        <w:tc>
          <w:tcPr>
            <w:tcW w:w="1512" w:type="dxa"/>
            <w:shd w:val="clear" w:color="auto" w:fill="auto"/>
          </w:tcPr>
          <w:p w14:paraId="009DA650" w14:textId="77777777" w:rsidR="007C0B5A" w:rsidRPr="00C64ECB" w:rsidRDefault="007C0B5A" w:rsidP="00126681">
            <w:pPr>
              <w:pStyle w:val="TAL"/>
            </w:pPr>
          </w:p>
        </w:tc>
        <w:tc>
          <w:tcPr>
            <w:tcW w:w="1512" w:type="dxa"/>
            <w:shd w:val="clear" w:color="auto" w:fill="auto"/>
          </w:tcPr>
          <w:p w14:paraId="3B01FA0B" w14:textId="77777777" w:rsidR="007C0B5A" w:rsidRPr="00C64ECB" w:rsidRDefault="007C0B5A" w:rsidP="00126681">
            <w:pPr>
              <w:pStyle w:val="TAL"/>
            </w:pPr>
            <w:r w:rsidRPr="00C64ECB">
              <w:t>5.715-5.725</w:t>
            </w:r>
          </w:p>
          <w:p w14:paraId="55E24D90" w14:textId="77777777" w:rsidR="007C0B5A" w:rsidRPr="00C64ECB" w:rsidRDefault="007C0B5A" w:rsidP="00126681">
            <w:pPr>
              <w:pStyle w:val="TAL"/>
            </w:pPr>
            <w:r w:rsidRPr="00C64ECB">
              <w:t>5.825-5.835</w:t>
            </w:r>
          </w:p>
        </w:tc>
        <w:tc>
          <w:tcPr>
            <w:tcW w:w="1513" w:type="dxa"/>
            <w:shd w:val="clear" w:color="auto" w:fill="auto"/>
          </w:tcPr>
          <w:p w14:paraId="65C6833F" w14:textId="77777777" w:rsidR="007C0B5A" w:rsidRPr="00C64ECB" w:rsidRDefault="007C0B5A" w:rsidP="00126681">
            <w:pPr>
              <w:pStyle w:val="TAL"/>
            </w:pPr>
          </w:p>
        </w:tc>
      </w:tr>
      <w:tr w:rsidR="007C0B5A" w:rsidRPr="00C64ECB" w14:paraId="0B344AC8" w14:textId="77777777" w:rsidTr="00126681">
        <w:trPr>
          <w:trHeight w:val="966"/>
        </w:trPr>
        <w:tc>
          <w:tcPr>
            <w:tcW w:w="1511" w:type="dxa"/>
            <w:vMerge/>
            <w:shd w:val="clear" w:color="auto" w:fill="D9D9D9"/>
          </w:tcPr>
          <w:p w14:paraId="7B01727E" w14:textId="77777777" w:rsidR="007C0B5A" w:rsidRPr="00C64ECB" w:rsidRDefault="007C0B5A" w:rsidP="00126681">
            <w:pPr>
              <w:pStyle w:val="TAL"/>
            </w:pPr>
          </w:p>
        </w:tc>
        <w:tc>
          <w:tcPr>
            <w:tcW w:w="1512" w:type="dxa"/>
            <w:shd w:val="clear" w:color="auto" w:fill="auto"/>
          </w:tcPr>
          <w:p w14:paraId="01923367" w14:textId="77777777" w:rsidR="007C0B5A" w:rsidRPr="00C64ECB" w:rsidRDefault="007C0B5A" w:rsidP="00126681">
            <w:pPr>
              <w:pStyle w:val="TAL"/>
            </w:pPr>
            <w:r w:rsidRPr="00C64ECB">
              <w:t>EIRP (dBm/MHz)</w:t>
            </w:r>
          </w:p>
        </w:tc>
        <w:tc>
          <w:tcPr>
            <w:tcW w:w="1512" w:type="dxa"/>
            <w:shd w:val="clear" w:color="auto" w:fill="auto"/>
          </w:tcPr>
          <w:p w14:paraId="60CAB1FC" w14:textId="77777777" w:rsidR="007C0B5A" w:rsidRPr="00C64ECB" w:rsidRDefault="007C0B5A" w:rsidP="00126681">
            <w:pPr>
              <w:pStyle w:val="TAL"/>
            </w:pPr>
          </w:p>
        </w:tc>
        <w:tc>
          <w:tcPr>
            <w:tcW w:w="1512" w:type="dxa"/>
            <w:shd w:val="clear" w:color="auto" w:fill="auto"/>
          </w:tcPr>
          <w:p w14:paraId="5B1AF9E5" w14:textId="77777777" w:rsidR="007C0B5A" w:rsidRPr="00C64ECB" w:rsidRDefault="007C0B5A" w:rsidP="00126681">
            <w:pPr>
              <w:pStyle w:val="TAL"/>
            </w:pPr>
          </w:p>
        </w:tc>
        <w:tc>
          <w:tcPr>
            <w:tcW w:w="1512" w:type="dxa"/>
            <w:shd w:val="clear" w:color="auto" w:fill="auto"/>
          </w:tcPr>
          <w:p w14:paraId="34F1BA55" w14:textId="77777777" w:rsidR="007C0B5A" w:rsidRPr="00C64ECB" w:rsidRDefault="007C0B5A" w:rsidP="00126681">
            <w:pPr>
              <w:pStyle w:val="TAL"/>
              <w:rPr>
                <w:lang w:eastAsia="zh-CN"/>
              </w:rPr>
            </w:pPr>
            <w:r w:rsidRPr="00C64ECB">
              <w:rPr>
                <w:lang w:eastAsia="zh-CN"/>
              </w:rPr>
              <w:t>-17</w:t>
            </w:r>
          </w:p>
        </w:tc>
        <w:tc>
          <w:tcPr>
            <w:tcW w:w="1513" w:type="dxa"/>
            <w:shd w:val="clear" w:color="auto" w:fill="auto"/>
          </w:tcPr>
          <w:p w14:paraId="3886172F" w14:textId="77777777" w:rsidR="007C0B5A" w:rsidRPr="00C64ECB" w:rsidRDefault="007C0B5A" w:rsidP="00126681">
            <w:pPr>
              <w:pStyle w:val="TAL"/>
            </w:pPr>
            <w:r w:rsidRPr="00C64ECB">
              <w:t>Resolution bandwidth 1 MHz</w:t>
            </w:r>
          </w:p>
        </w:tc>
      </w:tr>
      <w:tr w:rsidR="007C0B5A" w:rsidRPr="00C64ECB" w14:paraId="68675222" w14:textId="77777777" w:rsidTr="00126681">
        <w:tc>
          <w:tcPr>
            <w:tcW w:w="1511" w:type="dxa"/>
            <w:shd w:val="clear" w:color="auto" w:fill="D9D9D9"/>
          </w:tcPr>
          <w:p w14:paraId="702592ED" w14:textId="77777777" w:rsidR="007C0B5A" w:rsidRPr="00C64ECB" w:rsidRDefault="007C0B5A" w:rsidP="00126681">
            <w:pPr>
              <w:pStyle w:val="TAL"/>
            </w:pPr>
            <w:r w:rsidRPr="00C64ECB">
              <w:t>Transmit Power Control</w:t>
            </w:r>
          </w:p>
        </w:tc>
        <w:tc>
          <w:tcPr>
            <w:tcW w:w="1512" w:type="dxa"/>
            <w:shd w:val="clear" w:color="auto" w:fill="auto"/>
          </w:tcPr>
          <w:p w14:paraId="6C8277BF" w14:textId="77777777" w:rsidR="007C0B5A" w:rsidRPr="00C64ECB" w:rsidRDefault="007C0B5A" w:rsidP="00126681">
            <w:pPr>
              <w:pStyle w:val="TAL"/>
            </w:pPr>
          </w:p>
        </w:tc>
        <w:tc>
          <w:tcPr>
            <w:tcW w:w="1512" w:type="dxa"/>
            <w:shd w:val="clear" w:color="auto" w:fill="auto"/>
          </w:tcPr>
          <w:p w14:paraId="6438B8B8" w14:textId="77777777" w:rsidR="007C0B5A" w:rsidRPr="00C64ECB" w:rsidRDefault="007C0B5A" w:rsidP="00126681">
            <w:pPr>
              <w:pStyle w:val="TAL"/>
              <w:rPr>
                <w:lang w:eastAsia="zh-TW"/>
              </w:rPr>
            </w:pPr>
            <w:r w:rsidRPr="00C64ECB">
              <w:rPr>
                <w:lang w:eastAsia="zh-TW"/>
              </w:rPr>
              <w:t>N/A</w:t>
            </w:r>
          </w:p>
        </w:tc>
        <w:tc>
          <w:tcPr>
            <w:tcW w:w="1512" w:type="dxa"/>
            <w:shd w:val="clear" w:color="auto" w:fill="auto"/>
          </w:tcPr>
          <w:p w14:paraId="6F135F0E" w14:textId="77777777" w:rsidR="007C0B5A" w:rsidRPr="00C64ECB" w:rsidRDefault="007C0B5A" w:rsidP="00126681">
            <w:pPr>
              <w:pStyle w:val="TAL"/>
            </w:pPr>
            <w:r w:rsidRPr="00C64ECB">
              <w:t>TPC to 6 dB below a mean EIRP of 30 dBm. No TPC for mean EIRP &lt; 27 dBm</w:t>
            </w:r>
          </w:p>
        </w:tc>
        <w:tc>
          <w:tcPr>
            <w:tcW w:w="1512" w:type="dxa"/>
            <w:shd w:val="clear" w:color="auto" w:fill="auto"/>
          </w:tcPr>
          <w:p w14:paraId="553291B9" w14:textId="77777777" w:rsidR="007C0B5A" w:rsidRPr="00C64ECB" w:rsidRDefault="007C0B5A" w:rsidP="00126681">
            <w:pPr>
              <w:pStyle w:val="TAL"/>
              <w:rPr>
                <w:lang w:eastAsia="zh-TW"/>
              </w:rPr>
            </w:pPr>
            <w:r w:rsidRPr="00C64ECB">
              <w:rPr>
                <w:lang w:eastAsia="zh-TW"/>
              </w:rPr>
              <w:t>N/A</w:t>
            </w:r>
          </w:p>
        </w:tc>
        <w:tc>
          <w:tcPr>
            <w:tcW w:w="1513" w:type="dxa"/>
            <w:shd w:val="clear" w:color="auto" w:fill="auto"/>
          </w:tcPr>
          <w:p w14:paraId="100D46F1" w14:textId="77777777" w:rsidR="007C0B5A" w:rsidRPr="00C64ECB" w:rsidRDefault="007C0B5A" w:rsidP="00126681">
            <w:pPr>
              <w:pStyle w:val="TAL"/>
            </w:pPr>
          </w:p>
        </w:tc>
      </w:tr>
      <w:tr w:rsidR="007C0B5A" w:rsidRPr="00C64ECB" w14:paraId="2DF8C15F" w14:textId="77777777" w:rsidTr="00126681">
        <w:tc>
          <w:tcPr>
            <w:tcW w:w="1511" w:type="dxa"/>
            <w:shd w:val="clear" w:color="auto" w:fill="D9D9D9"/>
          </w:tcPr>
          <w:p w14:paraId="5EC6C03C" w14:textId="77777777" w:rsidR="007C0B5A" w:rsidRPr="00C64ECB" w:rsidRDefault="007C0B5A" w:rsidP="00126681">
            <w:pPr>
              <w:pStyle w:val="TAL"/>
            </w:pPr>
            <w:r w:rsidRPr="00C64ECB">
              <w:t>DFS</w:t>
            </w:r>
          </w:p>
        </w:tc>
        <w:tc>
          <w:tcPr>
            <w:tcW w:w="1512" w:type="dxa"/>
            <w:shd w:val="clear" w:color="auto" w:fill="auto"/>
          </w:tcPr>
          <w:p w14:paraId="09C9AE7E" w14:textId="77777777" w:rsidR="007C0B5A" w:rsidRPr="00C64ECB" w:rsidRDefault="007C0B5A" w:rsidP="00126681">
            <w:pPr>
              <w:pStyle w:val="TAL"/>
            </w:pPr>
          </w:p>
        </w:tc>
        <w:tc>
          <w:tcPr>
            <w:tcW w:w="1512" w:type="dxa"/>
            <w:shd w:val="clear" w:color="auto" w:fill="auto"/>
          </w:tcPr>
          <w:p w14:paraId="1937D272" w14:textId="77777777" w:rsidR="007C0B5A" w:rsidRPr="00C64ECB" w:rsidRDefault="007C0B5A" w:rsidP="00126681">
            <w:pPr>
              <w:pStyle w:val="TAL"/>
              <w:rPr>
                <w:lang w:eastAsia="zh-TW"/>
              </w:rPr>
            </w:pPr>
            <w:r w:rsidRPr="00C64ECB">
              <w:t xml:space="preserve"> Required</w:t>
            </w:r>
          </w:p>
        </w:tc>
        <w:tc>
          <w:tcPr>
            <w:tcW w:w="1512" w:type="dxa"/>
            <w:shd w:val="clear" w:color="auto" w:fill="auto"/>
          </w:tcPr>
          <w:p w14:paraId="0D911B83" w14:textId="77777777" w:rsidR="007C0B5A" w:rsidRPr="00C64ECB" w:rsidRDefault="007C0B5A" w:rsidP="00126681">
            <w:pPr>
              <w:pStyle w:val="TAL"/>
            </w:pPr>
            <w:r w:rsidRPr="00C64ECB">
              <w:t>Required</w:t>
            </w:r>
          </w:p>
        </w:tc>
        <w:tc>
          <w:tcPr>
            <w:tcW w:w="1512" w:type="dxa"/>
            <w:shd w:val="clear" w:color="auto" w:fill="auto"/>
          </w:tcPr>
          <w:p w14:paraId="12D917A1" w14:textId="77777777" w:rsidR="007C0B5A" w:rsidRPr="00C64ECB" w:rsidRDefault="007C0B5A" w:rsidP="00126681">
            <w:pPr>
              <w:pStyle w:val="TAL"/>
              <w:rPr>
                <w:lang w:eastAsia="zh-TW"/>
              </w:rPr>
            </w:pPr>
            <w:r w:rsidRPr="00C64ECB">
              <w:rPr>
                <w:lang w:eastAsia="zh-TW"/>
              </w:rPr>
              <w:t>N/A</w:t>
            </w:r>
          </w:p>
        </w:tc>
        <w:tc>
          <w:tcPr>
            <w:tcW w:w="1513" w:type="dxa"/>
            <w:shd w:val="clear" w:color="auto" w:fill="auto"/>
          </w:tcPr>
          <w:p w14:paraId="2D6C4751" w14:textId="77777777" w:rsidR="007C0B5A" w:rsidRPr="00C64ECB" w:rsidRDefault="007C0B5A" w:rsidP="00126681">
            <w:pPr>
              <w:pStyle w:val="TAL"/>
            </w:pPr>
          </w:p>
        </w:tc>
      </w:tr>
    </w:tbl>
    <w:p w14:paraId="3B1F3646" w14:textId="77777777" w:rsidR="007C0B5A" w:rsidRPr="00C64ECB" w:rsidRDefault="007C0B5A" w:rsidP="007C0B5A">
      <w:pPr>
        <w:rPr>
          <w:lang w:eastAsia="zh-TW"/>
        </w:rPr>
      </w:pPr>
    </w:p>
    <w:p w14:paraId="3771F053" w14:textId="77777777" w:rsidR="007C0B5A" w:rsidRPr="00C64ECB" w:rsidRDefault="007C0B5A" w:rsidP="007C0B5A">
      <w:pPr>
        <w:pStyle w:val="TH"/>
      </w:pPr>
      <w:r w:rsidRPr="00C64ECB">
        <w:lastRenderedPageBreak/>
        <w:t>Table 4.</w:t>
      </w:r>
      <w:r w:rsidR="000D7B67" w:rsidRPr="00C64ECB">
        <w:t>1.</w:t>
      </w:r>
      <w:r w:rsidRPr="00C64ECB">
        <w:t>3.5-2 DFS requirements for 5.470-5.725GHz band in Taiwan</w:t>
      </w:r>
    </w:p>
    <w:tbl>
      <w:tblPr>
        <w:tblW w:w="9072"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843"/>
        <w:gridCol w:w="2268"/>
        <w:gridCol w:w="4961"/>
      </w:tblGrid>
      <w:tr w:rsidR="007C0B5A" w:rsidRPr="00C64ECB" w14:paraId="4BB4C8AD" w14:textId="77777777" w:rsidTr="00126681">
        <w:tc>
          <w:tcPr>
            <w:tcW w:w="1843" w:type="dxa"/>
            <w:shd w:val="clear" w:color="auto" w:fill="D9D9D9"/>
          </w:tcPr>
          <w:p w14:paraId="291D7247" w14:textId="77777777" w:rsidR="007C0B5A" w:rsidRPr="00C64ECB" w:rsidRDefault="007C0B5A" w:rsidP="00126681">
            <w:pPr>
              <w:pStyle w:val="TAL"/>
            </w:pPr>
          </w:p>
        </w:tc>
        <w:tc>
          <w:tcPr>
            <w:tcW w:w="2268" w:type="dxa"/>
            <w:shd w:val="clear" w:color="auto" w:fill="D9D9D9"/>
          </w:tcPr>
          <w:p w14:paraId="69B5C443" w14:textId="77777777" w:rsidR="007C0B5A" w:rsidRPr="00C64ECB" w:rsidRDefault="007C0B5A" w:rsidP="00126681">
            <w:pPr>
              <w:pStyle w:val="TAL"/>
              <w:rPr>
                <w:lang w:eastAsia="zh-TW"/>
              </w:rPr>
            </w:pPr>
            <w:r w:rsidRPr="00C64ECB">
              <w:rPr>
                <w:lang w:eastAsia="zh-TW"/>
              </w:rPr>
              <w:t>Levels</w:t>
            </w:r>
          </w:p>
        </w:tc>
        <w:tc>
          <w:tcPr>
            <w:tcW w:w="4961" w:type="dxa"/>
            <w:shd w:val="clear" w:color="auto" w:fill="D9D9D9"/>
          </w:tcPr>
          <w:p w14:paraId="7D374090" w14:textId="77777777" w:rsidR="007C0B5A" w:rsidRPr="00C64ECB" w:rsidRDefault="007C0B5A" w:rsidP="00126681">
            <w:pPr>
              <w:pStyle w:val="TAL"/>
              <w:rPr>
                <w:lang w:eastAsia="zh-TW"/>
              </w:rPr>
            </w:pPr>
            <w:r w:rsidRPr="00C64ECB">
              <w:rPr>
                <w:lang w:eastAsia="zh-TW"/>
              </w:rPr>
              <w:t>Comments</w:t>
            </w:r>
          </w:p>
        </w:tc>
      </w:tr>
      <w:tr w:rsidR="007C0B5A" w:rsidRPr="00C64ECB" w14:paraId="0D112F5D" w14:textId="77777777" w:rsidTr="00126681">
        <w:trPr>
          <w:trHeight w:val="815"/>
        </w:trPr>
        <w:tc>
          <w:tcPr>
            <w:tcW w:w="1843" w:type="dxa"/>
            <w:vMerge w:val="restart"/>
            <w:shd w:val="clear" w:color="auto" w:fill="D9D9D9"/>
          </w:tcPr>
          <w:p w14:paraId="71837221" w14:textId="77777777" w:rsidR="007C0B5A" w:rsidRPr="00C64ECB" w:rsidRDefault="007C0B5A" w:rsidP="00126681">
            <w:pPr>
              <w:pStyle w:val="TAL"/>
            </w:pPr>
            <w:r w:rsidRPr="00C64ECB">
              <w:rPr>
                <w:lang w:eastAsia="zh-TW"/>
              </w:rPr>
              <w:t xml:space="preserve">DFS Detection Threshold </w:t>
            </w:r>
            <w:r w:rsidRPr="00C64ECB">
              <w:t>(</w:t>
            </w:r>
            <w:r w:rsidRPr="00C64ECB">
              <w:rPr>
                <w:lang w:eastAsia="zh-TW"/>
              </w:rPr>
              <w:t>dBm</w:t>
            </w:r>
            <w:r w:rsidRPr="00C64ECB">
              <w:t>)</w:t>
            </w:r>
          </w:p>
        </w:tc>
        <w:tc>
          <w:tcPr>
            <w:tcW w:w="2268" w:type="dxa"/>
            <w:shd w:val="clear" w:color="auto" w:fill="auto"/>
          </w:tcPr>
          <w:p w14:paraId="5ABE61A9" w14:textId="77777777" w:rsidR="007C0B5A" w:rsidRPr="00C64ECB" w:rsidRDefault="007C0B5A" w:rsidP="00126681">
            <w:pPr>
              <w:pStyle w:val="TAL"/>
              <w:rPr>
                <w:lang w:eastAsia="zh-TW"/>
              </w:rPr>
            </w:pPr>
            <w:r w:rsidRPr="00C64ECB">
              <w:rPr>
                <w:lang w:eastAsia="zh-TW"/>
              </w:rPr>
              <w:t>-64 for EIRP between 200mW and 1W</w:t>
            </w:r>
          </w:p>
        </w:tc>
        <w:tc>
          <w:tcPr>
            <w:tcW w:w="4961" w:type="dxa"/>
            <w:vMerge w:val="restart"/>
            <w:shd w:val="clear" w:color="auto" w:fill="auto"/>
          </w:tcPr>
          <w:p w14:paraId="54B56C08" w14:textId="77777777" w:rsidR="007C0B5A" w:rsidRPr="00C64ECB" w:rsidRDefault="007C0B5A" w:rsidP="00126681">
            <w:pPr>
              <w:pStyle w:val="TAL"/>
              <w:rPr>
                <w:lang w:eastAsia="zh-TW"/>
              </w:rPr>
            </w:pPr>
            <w:r w:rsidRPr="00C64ECB">
              <w:t xml:space="preserve"> </w:t>
            </w:r>
            <w:r w:rsidRPr="00C64ECB">
              <w:rPr>
                <w:lang w:eastAsia="zh-TW"/>
              </w:rPr>
              <w:t>DFS power is averaged in 1 micro-second for 0 dBi antenna.</w:t>
            </w:r>
          </w:p>
          <w:p w14:paraId="4EFE4E5D" w14:textId="77777777" w:rsidR="007C0B5A" w:rsidRPr="00C64ECB" w:rsidRDefault="007C0B5A" w:rsidP="00126681">
            <w:pPr>
              <w:pStyle w:val="TAL"/>
              <w:rPr>
                <w:lang w:eastAsia="zh-TW"/>
              </w:rPr>
            </w:pPr>
            <w:r w:rsidRPr="00C64ECB">
              <w:rPr>
                <w:lang w:eastAsia="zh-TW"/>
              </w:rPr>
              <w:t>Uniform spread over available channels.</w:t>
            </w:r>
          </w:p>
        </w:tc>
      </w:tr>
      <w:tr w:rsidR="007C0B5A" w:rsidRPr="00C64ECB" w14:paraId="62F92BCF" w14:textId="77777777" w:rsidTr="00126681">
        <w:trPr>
          <w:trHeight w:val="815"/>
        </w:trPr>
        <w:tc>
          <w:tcPr>
            <w:tcW w:w="1843" w:type="dxa"/>
            <w:vMerge/>
            <w:shd w:val="clear" w:color="auto" w:fill="D9D9D9"/>
          </w:tcPr>
          <w:p w14:paraId="6752B3A3" w14:textId="77777777" w:rsidR="007C0B5A" w:rsidRPr="00C64ECB" w:rsidRDefault="007C0B5A" w:rsidP="00126681">
            <w:pPr>
              <w:pStyle w:val="TAL"/>
              <w:rPr>
                <w:lang w:eastAsia="zh-TW"/>
              </w:rPr>
            </w:pPr>
          </w:p>
        </w:tc>
        <w:tc>
          <w:tcPr>
            <w:tcW w:w="2268" w:type="dxa"/>
            <w:shd w:val="clear" w:color="auto" w:fill="auto"/>
          </w:tcPr>
          <w:p w14:paraId="6AC25E89" w14:textId="77777777" w:rsidR="007C0B5A" w:rsidRPr="00C64ECB" w:rsidRDefault="007C0B5A" w:rsidP="00126681">
            <w:pPr>
              <w:pStyle w:val="TAL"/>
              <w:rPr>
                <w:lang w:eastAsia="zh-TW"/>
              </w:rPr>
            </w:pPr>
            <w:r w:rsidRPr="00C64ECB">
              <w:rPr>
                <w:lang w:eastAsia="zh-TW"/>
              </w:rPr>
              <w:t>-62 for EIRP &lt; 200mW</w:t>
            </w:r>
          </w:p>
        </w:tc>
        <w:tc>
          <w:tcPr>
            <w:tcW w:w="4961" w:type="dxa"/>
            <w:vMerge/>
            <w:shd w:val="clear" w:color="auto" w:fill="auto"/>
          </w:tcPr>
          <w:p w14:paraId="3DB1A44E" w14:textId="77777777" w:rsidR="007C0B5A" w:rsidRPr="00C64ECB" w:rsidRDefault="007C0B5A" w:rsidP="00126681">
            <w:pPr>
              <w:pStyle w:val="TAL"/>
            </w:pPr>
          </w:p>
        </w:tc>
      </w:tr>
      <w:tr w:rsidR="007C0B5A" w:rsidRPr="00C64ECB" w14:paraId="73532997" w14:textId="77777777" w:rsidTr="00126681">
        <w:trPr>
          <w:trHeight w:val="1095"/>
        </w:trPr>
        <w:tc>
          <w:tcPr>
            <w:tcW w:w="1843" w:type="dxa"/>
            <w:shd w:val="clear" w:color="auto" w:fill="D9D9D9"/>
          </w:tcPr>
          <w:p w14:paraId="0C129E7C" w14:textId="77777777" w:rsidR="007C0B5A" w:rsidRPr="00C64ECB" w:rsidRDefault="007C0B5A" w:rsidP="00126681">
            <w:pPr>
              <w:pStyle w:val="TAL"/>
              <w:rPr>
                <w:lang w:eastAsia="zh-TW"/>
              </w:rPr>
            </w:pPr>
            <w:r w:rsidRPr="00C64ECB">
              <w:rPr>
                <w:lang w:eastAsia="zh-TW"/>
              </w:rPr>
              <w:t>Channel availability check time</w:t>
            </w:r>
          </w:p>
        </w:tc>
        <w:tc>
          <w:tcPr>
            <w:tcW w:w="2268" w:type="dxa"/>
            <w:shd w:val="clear" w:color="auto" w:fill="auto"/>
          </w:tcPr>
          <w:p w14:paraId="4156BF4F" w14:textId="77777777" w:rsidR="007C0B5A" w:rsidRPr="00C64ECB" w:rsidRDefault="007C0B5A" w:rsidP="00126681">
            <w:pPr>
              <w:pStyle w:val="TAL"/>
              <w:rPr>
                <w:lang w:eastAsia="zh-TW"/>
              </w:rPr>
            </w:pPr>
            <w:r w:rsidRPr="00C64ECB">
              <w:rPr>
                <w:lang w:eastAsia="zh-TW"/>
              </w:rPr>
              <w:t>60 seconds</w:t>
            </w:r>
          </w:p>
        </w:tc>
        <w:tc>
          <w:tcPr>
            <w:tcW w:w="4961" w:type="dxa"/>
            <w:shd w:val="clear" w:color="auto" w:fill="auto"/>
          </w:tcPr>
          <w:p w14:paraId="37F5FF62" w14:textId="77777777" w:rsidR="007C0B5A" w:rsidRPr="00C64ECB" w:rsidRDefault="007C0B5A" w:rsidP="00126681">
            <w:pPr>
              <w:pStyle w:val="TAL"/>
              <w:rPr>
                <w:rFonts w:eastAsia="PMingLiU"/>
                <w:lang w:eastAsia="zh-TW"/>
              </w:rPr>
            </w:pPr>
            <w:r w:rsidRPr="00C64ECB">
              <w:rPr>
                <w:rFonts w:eastAsia="PMingLiU"/>
                <w:lang w:eastAsia="zh-TW"/>
              </w:rPr>
              <w:t>Master mode</w:t>
            </w:r>
          </w:p>
        </w:tc>
      </w:tr>
      <w:tr w:rsidR="007C0B5A" w:rsidRPr="00C64ECB" w14:paraId="295F42C9" w14:textId="77777777" w:rsidTr="00126681">
        <w:trPr>
          <w:trHeight w:val="1095"/>
        </w:trPr>
        <w:tc>
          <w:tcPr>
            <w:tcW w:w="1843" w:type="dxa"/>
            <w:shd w:val="clear" w:color="auto" w:fill="D9D9D9"/>
          </w:tcPr>
          <w:p w14:paraId="586F81A3" w14:textId="77777777" w:rsidR="007C0B5A" w:rsidRPr="00C64ECB" w:rsidRDefault="007C0B5A" w:rsidP="00126681">
            <w:pPr>
              <w:pStyle w:val="TAL"/>
              <w:rPr>
                <w:lang w:eastAsia="zh-TW"/>
              </w:rPr>
            </w:pPr>
            <w:r w:rsidRPr="00C64ECB">
              <w:rPr>
                <w:lang w:eastAsia="zh-TW"/>
              </w:rPr>
              <w:t>Channel move time</w:t>
            </w:r>
          </w:p>
        </w:tc>
        <w:tc>
          <w:tcPr>
            <w:tcW w:w="2268" w:type="dxa"/>
            <w:shd w:val="clear" w:color="auto" w:fill="auto"/>
          </w:tcPr>
          <w:p w14:paraId="48CD26C0" w14:textId="77777777" w:rsidR="007C0B5A" w:rsidRPr="00C64ECB" w:rsidRDefault="007C0B5A" w:rsidP="00126681">
            <w:pPr>
              <w:pStyle w:val="TAL"/>
              <w:rPr>
                <w:lang w:eastAsia="zh-TW"/>
              </w:rPr>
            </w:pPr>
            <w:r w:rsidRPr="00C64ECB">
              <w:rPr>
                <w:lang w:eastAsia="zh-TW"/>
              </w:rPr>
              <w:t>&lt;10 seconds</w:t>
            </w:r>
          </w:p>
        </w:tc>
        <w:tc>
          <w:tcPr>
            <w:tcW w:w="4961" w:type="dxa"/>
            <w:shd w:val="clear" w:color="auto" w:fill="auto"/>
          </w:tcPr>
          <w:p w14:paraId="01547A1B" w14:textId="77777777" w:rsidR="007C0B5A" w:rsidRPr="00C64ECB" w:rsidRDefault="007C0B5A" w:rsidP="00126681">
            <w:pPr>
              <w:pStyle w:val="TAL"/>
              <w:rPr>
                <w:lang w:eastAsia="zh-TW"/>
              </w:rPr>
            </w:pPr>
            <w:r w:rsidRPr="00C64ECB">
              <w:rPr>
                <w:lang w:eastAsia="zh-TW"/>
              </w:rPr>
              <w:t>Master and slave mode</w:t>
            </w:r>
          </w:p>
          <w:p w14:paraId="20DD15EF" w14:textId="77777777" w:rsidR="007C0B5A" w:rsidRPr="00C64ECB" w:rsidRDefault="007C0B5A" w:rsidP="00126681">
            <w:pPr>
              <w:pStyle w:val="TAL"/>
              <w:rPr>
                <w:lang w:eastAsia="zh-TW"/>
              </w:rPr>
            </w:pPr>
            <w:r w:rsidRPr="00C64ECB">
              <w:rPr>
                <w:lang w:eastAsia="zh-TW"/>
              </w:rPr>
              <w:t>After detection of radar signal:</w:t>
            </w:r>
          </w:p>
          <w:p w14:paraId="5C9F272C" w14:textId="77777777" w:rsidR="007C0B5A" w:rsidRPr="00C64ECB" w:rsidRDefault="007C0B5A" w:rsidP="00126681">
            <w:pPr>
              <w:pStyle w:val="TAL"/>
              <w:rPr>
                <w:lang w:eastAsia="zh-TW"/>
              </w:rPr>
            </w:pPr>
            <w:r w:rsidRPr="00C64ECB">
              <w:rPr>
                <w:lang w:eastAsia="zh-TW"/>
              </w:rPr>
              <w:t>at most 200ms for normal</w:t>
            </w:r>
            <w:r w:rsidRPr="00C64ECB">
              <w:rPr>
                <w:lang w:eastAsia="zh-CN"/>
              </w:rPr>
              <w:t xml:space="preserve"> </w:t>
            </w:r>
            <w:r w:rsidRPr="00C64ECB">
              <w:rPr>
                <w:lang w:eastAsia="zh-TW"/>
              </w:rPr>
              <w:t>communication</w:t>
            </w:r>
          </w:p>
          <w:p w14:paraId="60AEB4E9" w14:textId="77777777" w:rsidR="007C0B5A" w:rsidRPr="00C64ECB" w:rsidRDefault="007C0B5A" w:rsidP="00126681">
            <w:pPr>
              <w:pStyle w:val="TAL"/>
              <w:rPr>
                <w:lang w:eastAsia="zh-TW"/>
              </w:rPr>
            </w:pPr>
            <w:r w:rsidRPr="00C64ECB">
              <w:rPr>
                <w:lang w:eastAsia="zh-TW"/>
              </w:rPr>
              <w:t>manage and control signals can be transmitted discontinuously in the remaining time</w:t>
            </w:r>
            <w:r w:rsidRPr="00C64ECB">
              <w:t xml:space="preserve"> </w:t>
            </w:r>
            <w:r w:rsidRPr="00C64ECB">
              <w:rPr>
                <w:lang w:eastAsia="zh-TW"/>
              </w:rPr>
              <w:t>within 10 seconds</w:t>
            </w:r>
          </w:p>
        </w:tc>
      </w:tr>
      <w:tr w:rsidR="007C0B5A" w:rsidRPr="00C64ECB" w14:paraId="34558A73" w14:textId="77777777" w:rsidTr="00126681">
        <w:trPr>
          <w:trHeight w:val="1095"/>
        </w:trPr>
        <w:tc>
          <w:tcPr>
            <w:tcW w:w="1843" w:type="dxa"/>
            <w:shd w:val="clear" w:color="auto" w:fill="D9D9D9"/>
          </w:tcPr>
          <w:p w14:paraId="4691E153" w14:textId="77777777" w:rsidR="007C0B5A" w:rsidRPr="00C64ECB" w:rsidRDefault="007C0B5A" w:rsidP="00126681">
            <w:pPr>
              <w:pStyle w:val="TAL"/>
              <w:rPr>
                <w:lang w:eastAsia="zh-TW"/>
              </w:rPr>
            </w:pPr>
            <w:r w:rsidRPr="00C64ECB">
              <w:rPr>
                <w:lang w:eastAsia="zh-TW"/>
              </w:rPr>
              <w:t>Non-occupancy time</w:t>
            </w:r>
          </w:p>
        </w:tc>
        <w:tc>
          <w:tcPr>
            <w:tcW w:w="2268" w:type="dxa"/>
            <w:shd w:val="clear" w:color="auto" w:fill="auto"/>
          </w:tcPr>
          <w:p w14:paraId="657E11DB" w14:textId="77777777" w:rsidR="007C0B5A" w:rsidRPr="00C64ECB" w:rsidRDefault="007C0B5A" w:rsidP="00126681">
            <w:pPr>
              <w:pStyle w:val="TAL"/>
              <w:rPr>
                <w:lang w:eastAsia="zh-TW"/>
              </w:rPr>
            </w:pPr>
            <w:r w:rsidRPr="00C64ECB">
              <w:rPr>
                <w:lang w:eastAsia="zh-TW"/>
              </w:rPr>
              <w:t>&gt;30 minutes</w:t>
            </w:r>
          </w:p>
        </w:tc>
        <w:tc>
          <w:tcPr>
            <w:tcW w:w="4961" w:type="dxa"/>
            <w:shd w:val="clear" w:color="auto" w:fill="auto"/>
          </w:tcPr>
          <w:p w14:paraId="307FDD32" w14:textId="77777777" w:rsidR="007C0B5A" w:rsidRPr="00C64ECB" w:rsidRDefault="007C0B5A" w:rsidP="00126681">
            <w:pPr>
              <w:pStyle w:val="TAL"/>
              <w:rPr>
                <w:lang w:eastAsia="zh-TW"/>
              </w:rPr>
            </w:pPr>
            <w:r w:rsidRPr="00C64ECB">
              <w:rPr>
                <w:lang w:eastAsia="zh-TW"/>
              </w:rPr>
              <w:t>After radar detection in either channel availability check or in-service monitoring</w:t>
            </w:r>
          </w:p>
        </w:tc>
      </w:tr>
    </w:tbl>
    <w:p w14:paraId="50AD3BF6" w14:textId="77777777" w:rsidR="007C0B5A" w:rsidRPr="00C64ECB" w:rsidRDefault="007C0B5A" w:rsidP="007C0B5A"/>
    <w:p w14:paraId="20E23292" w14:textId="77777777" w:rsidR="007C0B5A" w:rsidRPr="00C64ECB" w:rsidRDefault="007C0B5A" w:rsidP="007C0B5A">
      <w:pPr>
        <w:pStyle w:val="Heading4"/>
      </w:pPr>
      <w:bookmarkStart w:id="43" w:name="_Toc531342998"/>
      <w:r w:rsidRPr="00C64ECB">
        <w:t>4.1.</w:t>
      </w:r>
      <w:r w:rsidRPr="00C64ECB">
        <w:rPr>
          <w:rFonts w:hint="eastAsia"/>
        </w:rPr>
        <w:t>3.</w:t>
      </w:r>
      <w:r w:rsidRPr="00C64ECB">
        <w:t>6</w:t>
      </w:r>
      <w:r w:rsidRPr="00C64ECB">
        <w:tab/>
        <w:t>Singapore</w:t>
      </w:r>
      <w:bookmarkEnd w:id="43"/>
    </w:p>
    <w:p w14:paraId="20BADB97" w14:textId="77777777" w:rsidR="007C0B5A" w:rsidRPr="00C64ECB" w:rsidRDefault="007C0B5A" w:rsidP="007C0B5A">
      <w:r w:rsidRPr="00C64ECB">
        <w:t>In Singapore the bands 5150-5250 MHz, 5250-5350 MHz, 5470-5725MHz and 5725-5850 MHz are open to RLANs.</w:t>
      </w:r>
    </w:p>
    <w:p w14:paraId="3B86ED72" w14:textId="77777777" w:rsidR="007C0B5A" w:rsidRPr="00C64ECB" w:rsidRDefault="007C0B5A" w:rsidP="007C0B5A">
      <w:pPr>
        <w:pStyle w:val="Heading4"/>
      </w:pPr>
      <w:bookmarkStart w:id="44" w:name="_Toc531342999"/>
      <w:r w:rsidRPr="00C64ECB">
        <w:t>4.1.</w:t>
      </w:r>
      <w:r w:rsidRPr="00C64ECB">
        <w:rPr>
          <w:rFonts w:hint="eastAsia"/>
        </w:rPr>
        <w:t>3.</w:t>
      </w:r>
      <w:r w:rsidRPr="00C64ECB">
        <w:t>7</w:t>
      </w:r>
      <w:r w:rsidRPr="00C64ECB">
        <w:tab/>
        <w:t>Australia</w:t>
      </w:r>
      <w:bookmarkEnd w:id="44"/>
    </w:p>
    <w:p w14:paraId="42501418" w14:textId="77777777" w:rsidR="007C0B5A" w:rsidRPr="00C64ECB" w:rsidRDefault="007C0B5A" w:rsidP="007C0B5A">
      <w:r w:rsidRPr="00C64ECB">
        <w:t>In Australia the band bands 5150-5250 MHz, 5250-5350 MHz and 5470-5725 MHz, except the sub-band 5600-5650 MHz, are open to RLANs. DFS and TPC are mandatory in the bands 5250-5350 MHz and 5470-5725 MHz.</w:t>
      </w:r>
    </w:p>
    <w:p w14:paraId="151FA2DB" w14:textId="77777777" w:rsidR="00776ED3" w:rsidRPr="00C64ECB" w:rsidRDefault="00776ED3" w:rsidP="00776ED3">
      <w:pPr>
        <w:pStyle w:val="Heading3"/>
        <w:rPr>
          <w:lang w:val="en-US"/>
        </w:rPr>
      </w:pPr>
      <w:bookmarkStart w:id="45" w:name="_Toc531343000"/>
      <w:r w:rsidRPr="00C64ECB">
        <w:rPr>
          <w:lang w:val="en-US"/>
        </w:rPr>
        <w:t>4.1.4</w:t>
      </w:r>
      <w:r w:rsidRPr="00C64ECB">
        <w:rPr>
          <w:lang w:val="en-US"/>
        </w:rPr>
        <w:tab/>
        <w:t>Applicability of DFS requirements</w:t>
      </w:r>
      <w:bookmarkEnd w:id="45"/>
    </w:p>
    <w:p w14:paraId="79B75FA1" w14:textId="77777777" w:rsidR="00776ED3" w:rsidRPr="00C64ECB" w:rsidRDefault="00776ED3" w:rsidP="00776ED3">
      <w:pPr>
        <w:rPr>
          <w:lang w:val="en-US"/>
        </w:rPr>
      </w:pPr>
      <w:r w:rsidRPr="00C64ECB">
        <w:rPr>
          <w:lang w:val="en-US"/>
        </w:rPr>
        <w:t xml:space="preserve">The concept surfaced around 2001 in the ECC for handling uniform spread of WLAN interference into satellite and radar services, but was soon extended to include methods for discovery and avoidance of frequencies used by the radar service in the preparation work for WRC 2003. </w:t>
      </w:r>
    </w:p>
    <w:p w14:paraId="0ADCACE9" w14:textId="77777777" w:rsidR="00776ED3" w:rsidRPr="00C64ECB" w:rsidRDefault="00776ED3" w:rsidP="00776ED3">
      <w:pPr>
        <w:rPr>
          <w:lang w:val="en-US"/>
        </w:rPr>
      </w:pPr>
      <w:r w:rsidRPr="00C64ECB">
        <w:rPr>
          <w:lang w:val="en-US"/>
        </w:rPr>
        <w:t>Use of DFS in accordance with Annex 1 of ITU-R Recommendation M.1652 [39] is mandated as per Resolution 229 [38]. The 5 GHz Harmonized European Standard developed by ETSI TC BRAN was the first to include these DFS rules (EN 301 893 V1.2.3 in 2003), the DFS test specification included in this standard therefore became the basis for the development of the FCC DFS test specification and other test specifications in other countries.</w:t>
      </w:r>
    </w:p>
    <w:p w14:paraId="4EE21F37" w14:textId="3132E008" w:rsidR="00776ED3" w:rsidRPr="00C64ECB" w:rsidRDefault="00776ED3" w:rsidP="00776ED3">
      <w:r w:rsidRPr="00C64ECB">
        <w:rPr>
          <w:lang w:val="en-US"/>
        </w:rPr>
        <w:t xml:space="preserve">For </w:t>
      </w:r>
      <w:r w:rsidR="007430C9" w:rsidRPr="00C64ECB">
        <w:rPr>
          <w:lang w:val="en-US"/>
        </w:rPr>
        <w:t>NR-U</w:t>
      </w:r>
      <w:r w:rsidRPr="00C64ECB">
        <w:rPr>
          <w:lang w:val="en-US"/>
        </w:rPr>
        <w:t xml:space="preserve">, it appears that conformance testing would only have to be performed for the BS. </w:t>
      </w:r>
      <w:r w:rsidRPr="00C64ECB">
        <w:t>Already at the outset in ITU-R M.1652 it was made clear that full DFS functionality may not have to be implemented in all devices, only those controlling the transmission [39]:</w:t>
      </w:r>
    </w:p>
    <w:p w14:paraId="53D46023" w14:textId="77777777" w:rsidR="00776ED3" w:rsidRPr="00C64ECB" w:rsidRDefault="00776ED3" w:rsidP="00776ED3">
      <w:pPr>
        <w:pStyle w:val="B1"/>
        <w:rPr>
          <w:b/>
          <w:lang w:val="en-US"/>
        </w:rPr>
      </w:pPr>
      <w:r w:rsidRPr="00C64ECB">
        <w:rPr>
          <w:b/>
          <w:lang w:val="en-US"/>
        </w:rPr>
        <w:t>2.1 Detection requirements</w:t>
      </w:r>
    </w:p>
    <w:p w14:paraId="157912C8" w14:textId="77777777" w:rsidR="00776ED3" w:rsidRPr="00C64ECB" w:rsidRDefault="00776ED3" w:rsidP="00776ED3">
      <w:pPr>
        <w:rPr>
          <w:lang w:val="en-US" w:eastAsia="sv-SE"/>
        </w:rPr>
      </w:pPr>
      <w:r w:rsidRPr="00C64ECB">
        <w:rPr>
          <w:lang w:val="en-US" w:eastAsia="sv-SE"/>
        </w:rPr>
        <w:t>The DFS mechanism should be able to detect interference signals above a minimum DFS detection threshold of –62 dBm for devices with a maximum e.i.r.p. of &lt; 200 mW and –64 dBm for devices with a maximum e.i.r.p. of 200 mW to 1 W</w:t>
      </w:r>
      <w:r w:rsidRPr="00C64ECB">
        <w:rPr>
          <w:sz w:val="14"/>
          <w:szCs w:val="18"/>
          <w:vertAlign w:val="superscript"/>
          <w:lang w:val="en-US" w:eastAsia="sv-SE"/>
        </w:rPr>
        <w:t>3</w:t>
      </w:r>
      <w:r w:rsidRPr="00C64ECB">
        <w:rPr>
          <w:sz w:val="14"/>
          <w:szCs w:val="18"/>
          <w:lang w:val="en-US" w:eastAsia="sv-SE"/>
        </w:rPr>
        <w:t xml:space="preserve"> </w:t>
      </w:r>
      <w:r w:rsidRPr="00C64ECB">
        <w:rPr>
          <w:lang w:val="en-US" w:eastAsia="sv-SE"/>
        </w:rPr>
        <w:t xml:space="preserve">averaged over 1 </w:t>
      </w:r>
      <w:r w:rsidRPr="00C64ECB">
        <w:rPr>
          <w:rFonts w:ascii="Symbol" w:hAnsi="Symbol" w:cs="Symbol"/>
          <w:lang w:val="sv-SE" w:eastAsia="sv-SE"/>
        </w:rPr>
        <w:t></w:t>
      </w:r>
      <w:r w:rsidRPr="00C64ECB">
        <w:rPr>
          <w:lang w:val="en-US" w:eastAsia="sv-SE"/>
        </w:rPr>
        <w:t>s.</w:t>
      </w:r>
    </w:p>
    <w:p w14:paraId="60D243FE" w14:textId="77777777" w:rsidR="00776ED3" w:rsidRPr="00C64ECB" w:rsidRDefault="00776ED3" w:rsidP="00776ED3">
      <w:pPr>
        <w:rPr>
          <w:lang w:val="en-US" w:eastAsia="sv-SE"/>
        </w:rPr>
      </w:pPr>
      <w:r w:rsidRPr="00C64ECB">
        <w:rPr>
          <w:lang w:val="en-US" w:eastAsia="sv-SE"/>
        </w:rPr>
        <w:t>This is defined as the received signal strength (RSS) (dBm), normalized to the output of a 0 dBi receive antenna, that is required to be detected within the WAS channel bandwidth.</w:t>
      </w:r>
    </w:p>
    <w:p w14:paraId="7D875018" w14:textId="77777777" w:rsidR="00776ED3" w:rsidRPr="00C64ECB" w:rsidRDefault="00776ED3" w:rsidP="00776ED3">
      <w:pPr>
        <w:pStyle w:val="B1"/>
        <w:rPr>
          <w:b/>
          <w:sz w:val="16"/>
          <w:lang w:val="en-US"/>
        </w:rPr>
      </w:pPr>
      <w:r w:rsidRPr="00C64ECB">
        <w:rPr>
          <w:b/>
          <w:lang w:val="en-US"/>
        </w:rPr>
        <w:t>2.2 Operational</w:t>
      </w:r>
      <w:r w:rsidRPr="00C64ECB">
        <w:rPr>
          <w:b/>
          <w:sz w:val="16"/>
          <w:lang w:val="en-US"/>
        </w:rPr>
        <w:t xml:space="preserve"> </w:t>
      </w:r>
    </w:p>
    <w:p w14:paraId="4B18AD57" w14:textId="77777777" w:rsidR="00776ED3" w:rsidRPr="00C64ECB" w:rsidRDefault="00776ED3" w:rsidP="00776ED3">
      <w:pPr>
        <w:rPr>
          <w:lang w:val="en-US"/>
        </w:rPr>
      </w:pPr>
      <w:r w:rsidRPr="00C64ECB">
        <w:rPr>
          <w:lang w:val="en-US"/>
        </w:rPr>
        <w:t>with the footnote 3 stating:</w:t>
      </w:r>
    </w:p>
    <w:p w14:paraId="0CBECFEE" w14:textId="77777777" w:rsidR="00776ED3" w:rsidRPr="00C64ECB" w:rsidRDefault="00776ED3" w:rsidP="00776ED3">
      <w:pPr>
        <w:rPr>
          <w:sz w:val="16"/>
          <w:lang w:val="en-US"/>
        </w:rPr>
      </w:pPr>
      <w:r w:rsidRPr="00C64ECB">
        <w:rPr>
          <w:lang w:val="en-US" w:eastAsia="sv-SE"/>
        </w:rPr>
        <w:lastRenderedPageBreak/>
        <w:t>In practice, it may not be necessary for each device to implement full DFS functionality, provided that such devices are only able to transmit under the control of a device that ensures that all DFS requirements are fulfilled.</w:t>
      </w:r>
    </w:p>
    <w:p w14:paraId="0F3B9177" w14:textId="77777777" w:rsidR="00776ED3" w:rsidRPr="00C64ECB" w:rsidRDefault="00776ED3" w:rsidP="00776ED3">
      <w:pPr>
        <w:rPr>
          <w:lang w:val="en-US"/>
        </w:rPr>
      </w:pPr>
      <w:r w:rsidRPr="00C64ECB">
        <w:rPr>
          <w:lang w:val="en-US"/>
        </w:rPr>
        <w:t>This is reflected in both regulation for Europe and the Part 15 rules by the FCC. The harmonized ETSI BRAN standard cited in the EC commission rules is also followed by many other countries outside Europe.</w:t>
      </w:r>
    </w:p>
    <w:p w14:paraId="7B4837F3" w14:textId="77777777" w:rsidR="00776ED3" w:rsidRPr="00C64ECB" w:rsidRDefault="00776ED3" w:rsidP="00776ED3">
      <w:pPr>
        <w:pStyle w:val="Heading4"/>
      </w:pPr>
      <w:bookmarkStart w:id="46" w:name="_Toc531343001"/>
      <w:r w:rsidRPr="00C64ECB">
        <w:t>4.1.4</w:t>
      </w:r>
      <w:r w:rsidRPr="00C64ECB">
        <w:rPr>
          <w:rFonts w:hint="eastAsia"/>
        </w:rPr>
        <w:t>.</w:t>
      </w:r>
      <w:r w:rsidRPr="00C64ECB">
        <w:t>1</w:t>
      </w:r>
      <w:r w:rsidRPr="00C64ECB">
        <w:tab/>
        <w:t>DFS according to ECC</w:t>
      </w:r>
      <w:bookmarkEnd w:id="46"/>
    </w:p>
    <w:p w14:paraId="1C976E8C" w14:textId="1936A5F2" w:rsidR="00776ED3" w:rsidRPr="00C64ECB" w:rsidRDefault="00776ED3" w:rsidP="00776ED3">
      <w:pPr>
        <w:rPr>
          <w:lang w:val="en-US"/>
        </w:rPr>
      </w:pPr>
      <w:r w:rsidRPr="00C64ECB">
        <w:rPr>
          <w:lang w:val="en-US"/>
        </w:rPr>
        <w:t xml:space="preserve">In accordance with the ECC Decision [10], </w:t>
      </w:r>
      <w:r w:rsidR="00010CD8" w:rsidRPr="00C64ECB">
        <w:rPr>
          <w:lang w:val="en-US"/>
        </w:rPr>
        <w:t>"</w:t>
      </w:r>
      <w:r w:rsidRPr="00C64ECB">
        <w:rPr>
          <w:lang w:val="en-US"/>
        </w:rPr>
        <w:t>Every Master Device will use the Radar Interference Detection function in order to check for any co-channel radar signal prior to use a channel but also during normal operation. In addition to this Radar Interference Detection function, every Master Device shall also implement a channel selection mechanism to ensure a near uniform spread of the loading of available spectrum.</w:t>
      </w:r>
      <w:r w:rsidR="00010CD8" w:rsidRPr="00C64ECB">
        <w:rPr>
          <w:lang w:val="en-US"/>
        </w:rPr>
        <w:t>"</w:t>
      </w:r>
      <w:r w:rsidRPr="00C64ECB">
        <w:rPr>
          <w:lang w:val="en-US"/>
        </w:rPr>
        <w:t xml:space="preserve"> In the latest version of the EN 301 893 [5], the applicability of the DFS requirements is listed as follows:</w:t>
      </w:r>
    </w:p>
    <w:p w14:paraId="7878C1B4" w14:textId="77777777" w:rsidR="00776ED3" w:rsidRPr="00C64ECB" w:rsidRDefault="00776ED3" w:rsidP="00776ED3">
      <w:r w:rsidRPr="00C64ECB">
        <w:t>Table 5 lists the DFS related technical requirements and their applicability for every operational mode. If the RLAN device is capable of operating in more than one operational mode then every operating mode shall be assessed separately.</w:t>
      </w:r>
    </w:p>
    <w:p w14:paraId="4BAC1638" w14:textId="77777777" w:rsidR="00776ED3" w:rsidRPr="00C64ECB" w:rsidRDefault="00776ED3" w:rsidP="00776ED3">
      <w:pPr>
        <w:pStyle w:val="TH"/>
      </w:pPr>
      <w:r w:rsidRPr="00C64ECB">
        <w:t>Table 5 (from EN 301 893): Applicability of DFS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98" w:type="dxa"/>
        </w:tblCellMar>
        <w:tblLook w:val="0000" w:firstRow="0" w:lastRow="0" w:firstColumn="0" w:lastColumn="0" w:noHBand="0" w:noVBand="0"/>
      </w:tblPr>
      <w:tblGrid>
        <w:gridCol w:w="2757"/>
        <w:gridCol w:w="821"/>
        <w:gridCol w:w="2566"/>
        <w:gridCol w:w="2201"/>
        <w:gridCol w:w="7"/>
      </w:tblGrid>
      <w:tr w:rsidR="00776ED3" w:rsidRPr="00C64ECB" w14:paraId="4D87AF56" w14:textId="77777777" w:rsidTr="003F2731">
        <w:trPr>
          <w:cantSplit/>
          <w:jc w:val="center"/>
        </w:trPr>
        <w:tc>
          <w:tcPr>
            <w:tcW w:w="2757" w:type="dxa"/>
            <w:vAlign w:val="center"/>
          </w:tcPr>
          <w:p w14:paraId="23DD37B0" w14:textId="77777777" w:rsidR="00776ED3" w:rsidRPr="00C64ECB" w:rsidRDefault="00776ED3" w:rsidP="003F2731">
            <w:pPr>
              <w:pStyle w:val="TAH"/>
            </w:pPr>
            <w:r w:rsidRPr="00C64ECB">
              <w:t>Requirement</w:t>
            </w:r>
          </w:p>
        </w:tc>
        <w:tc>
          <w:tcPr>
            <w:tcW w:w="5595" w:type="dxa"/>
            <w:gridSpan w:val="4"/>
          </w:tcPr>
          <w:p w14:paraId="78AE3081" w14:textId="77777777" w:rsidR="00776ED3" w:rsidRPr="00C64ECB" w:rsidRDefault="00776ED3" w:rsidP="003F2731">
            <w:pPr>
              <w:pStyle w:val="TAH"/>
            </w:pPr>
            <w:r w:rsidRPr="00C64ECB">
              <w:t>DFS Operational mode</w:t>
            </w:r>
          </w:p>
        </w:tc>
      </w:tr>
      <w:tr w:rsidR="00776ED3" w:rsidRPr="00C64ECB" w14:paraId="50B67341" w14:textId="77777777" w:rsidTr="003F2731">
        <w:trPr>
          <w:gridAfter w:val="1"/>
          <w:wAfter w:w="7" w:type="dxa"/>
          <w:cantSplit/>
          <w:jc w:val="center"/>
        </w:trPr>
        <w:tc>
          <w:tcPr>
            <w:tcW w:w="2757" w:type="dxa"/>
          </w:tcPr>
          <w:p w14:paraId="695E546D" w14:textId="77777777" w:rsidR="00776ED3" w:rsidRPr="00C64ECB" w:rsidRDefault="00776ED3" w:rsidP="003F2731">
            <w:pPr>
              <w:pStyle w:val="TAC"/>
            </w:pPr>
          </w:p>
        </w:tc>
        <w:tc>
          <w:tcPr>
            <w:tcW w:w="821" w:type="dxa"/>
          </w:tcPr>
          <w:p w14:paraId="62D9BFCC" w14:textId="77777777" w:rsidR="00776ED3" w:rsidRPr="00C64ECB" w:rsidRDefault="00776ED3" w:rsidP="003F2731">
            <w:pPr>
              <w:pStyle w:val="TAC"/>
              <w:rPr>
                <w:b/>
              </w:rPr>
            </w:pPr>
            <w:r w:rsidRPr="00C64ECB">
              <w:rPr>
                <w:b/>
              </w:rPr>
              <w:t>Master</w:t>
            </w:r>
          </w:p>
        </w:tc>
        <w:tc>
          <w:tcPr>
            <w:tcW w:w="2566" w:type="dxa"/>
            <w:tcBorders>
              <w:bottom w:val="single" w:sz="4" w:space="0" w:color="auto"/>
            </w:tcBorders>
          </w:tcPr>
          <w:p w14:paraId="569FEC05" w14:textId="77777777" w:rsidR="00776ED3" w:rsidRPr="00C64ECB" w:rsidRDefault="00776ED3" w:rsidP="003F2731">
            <w:pPr>
              <w:pStyle w:val="TAC"/>
              <w:rPr>
                <w:b/>
                <w:bCs/>
              </w:rPr>
            </w:pPr>
            <w:r w:rsidRPr="00C64ECB">
              <w:rPr>
                <w:b/>
              </w:rPr>
              <w:t xml:space="preserve">Slave </w:t>
            </w:r>
            <w:r w:rsidRPr="00C64ECB">
              <w:rPr>
                <w:b/>
                <w:bCs/>
              </w:rPr>
              <w:t xml:space="preserve">without radar detection </w:t>
            </w:r>
          </w:p>
          <w:p w14:paraId="502E5FC5" w14:textId="77777777" w:rsidR="00776ED3" w:rsidRPr="00C64ECB" w:rsidRDefault="00776ED3" w:rsidP="003F2731">
            <w:pPr>
              <w:pStyle w:val="TAC"/>
            </w:pPr>
            <w:r w:rsidRPr="00C64ECB">
              <w:rPr>
                <w:bCs/>
              </w:rPr>
              <w:t>(see table D.2, note 2)</w:t>
            </w:r>
          </w:p>
        </w:tc>
        <w:tc>
          <w:tcPr>
            <w:tcW w:w="2201" w:type="dxa"/>
            <w:tcBorders>
              <w:bottom w:val="single" w:sz="4" w:space="0" w:color="auto"/>
            </w:tcBorders>
          </w:tcPr>
          <w:p w14:paraId="1E1CEE3F" w14:textId="77777777" w:rsidR="00776ED3" w:rsidRPr="00C64ECB" w:rsidRDefault="00776ED3" w:rsidP="003F2731">
            <w:pPr>
              <w:pStyle w:val="TAC"/>
              <w:rPr>
                <w:b/>
              </w:rPr>
            </w:pPr>
            <w:r w:rsidRPr="00C64ECB">
              <w:rPr>
                <w:b/>
              </w:rPr>
              <w:t xml:space="preserve">Slave with radar detection </w:t>
            </w:r>
          </w:p>
          <w:p w14:paraId="56ECAD05" w14:textId="77777777" w:rsidR="00776ED3" w:rsidRPr="00C64ECB" w:rsidRDefault="00776ED3" w:rsidP="003F2731">
            <w:pPr>
              <w:pStyle w:val="TAC"/>
            </w:pPr>
            <w:r w:rsidRPr="00C64ECB">
              <w:rPr>
                <w:bCs/>
              </w:rPr>
              <w:t>(see table D.2, note 2)</w:t>
            </w:r>
          </w:p>
        </w:tc>
      </w:tr>
      <w:tr w:rsidR="00776ED3" w:rsidRPr="00C64ECB" w14:paraId="6F4C0A3B" w14:textId="77777777" w:rsidTr="003F2731">
        <w:trPr>
          <w:gridAfter w:val="1"/>
          <w:wAfter w:w="7" w:type="dxa"/>
          <w:cantSplit/>
          <w:jc w:val="center"/>
        </w:trPr>
        <w:tc>
          <w:tcPr>
            <w:tcW w:w="2757" w:type="dxa"/>
          </w:tcPr>
          <w:p w14:paraId="027067AC" w14:textId="77777777" w:rsidR="00776ED3" w:rsidRPr="00C64ECB" w:rsidRDefault="00776ED3" w:rsidP="003F2731">
            <w:pPr>
              <w:pStyle w:val="TAL"/>
            </w:pPr>
            <w:r w:rsidRPr="00C64ECB">
              <w:t>Channel Availability Check</w:t>
            </w:r>
          </w:p>
        </w:tc>
        <w:tc>
          <w:tcPr>
            <w:tcW w:w="821" w:type="dxa"/>
          </w:tcPr>
          <w:p w14:paraId="2D45E9E8" w14:textId="77777777" w:rsidR="00776ED3" w:rsidRPr="00C64ECB" w:rsidRDefault="00776ED3" w:rsidP="003F2731">
            <w:pPr>
              <w:keepNext/>
              <w:jc w:val="center"/>
              <w:rPr>
                <w:rFonts w:ascii="Arial" w:hAnsi="Arial"/>
                <w:sz w:val="18"/>
              </w:rPr>
            </w:pPr>
            <w:r w:rsidRPr="00C64ECB">
              <w:rPr>
                <w:rFonts w:ascii="Wingdings 2" w:hAnsi="Wingdings 2"/>
                <w:sz w:val="18"/>
                <w:szCs w:val="27"/>
              </w:rPr>
              <w:t></w:t>
            </w:r>
          </w:p>
        </w:tc>
        <w:tc>
          <w:tcPr>
            <w:tcW w:w="2566" w:type="dxa"/>
          </w:tcPr>
          <w:p w14:paraId="6E2B3A81" w14:textId="77777777" w:rsidR="00776ED3" w:rsidRPr="00C64ECB" w:rsidRDefault="00776ED3" w:rsidP="003F2731">
            <w:pPr>
              <w:pStyle w:val="TAC"/>
            </w:pPr>
            <w:r w:rsidRPr="00C64ECB">
              <w:t>Not required</w:t>
            </w:r>
          </w:p>
        </w:tc>
        <w:tc>
          <w:tcPr>
            <w:tcW w:w="2201" w:type="dxa"/>
          </w:tcPr>
          <w:p w14:paraId="0B7053D0" w14:textId="77777777" w:rsidR="00776ED3" w:rsidRPr="00C64ECB" w:rsidRDefault="00776ED3" w:rsidP="003F2731">
            <w:pPr>
              <w:pStyle w:val="TAC"/>
            </w:pPr>
            <w:r w:rsidRPr="00C64ECB">
              <w:rPr>
                <w:rFonts w:ascii="Wingdings 2" w:hAnsi="Wingdings 2"/>
                <w:szCs w:val="27"/>
              </w:rPr>
              <w:t></w:t>
            </w:r>
            <w:r w:rsidRPr="00C64ECB">
              <w:rPr>
                <w:rFonts w:ascii="Wingdings 2" w:hAnsi="Wingdings 2"/>
                <w:szCs w:val="27"/>
              </w:rPr>
              <w:t></w:t>
            </w:r>
            <w:r w:rsidRPr="00C64ECB">
              <w:t>(see note 2)</w:t>
            </w:r>
          </w:p>
        </w:tc>
      </w:tr>
      <w:tr w:rsidR="00776ED3" w:rsidRPr="00C64ECB" w14:paraId="3CF0276E" w14:textId="77777777" w:rsidTr="003F2731">
        <w:trPr>
          <w:gridAfter w:val="1"/>
          <w:wAfter w:w="7" w:type="dxa"/>
          <w:cantSplit/>
          <w:jc w:val="center"/>
        </w:trPr>
        <w:tc>
          <w:tcPr>
            <w:tcW w:w="2757" w:type="dxa"/>
          </w:tcPr>
          <w:p w14:paraId="53317810" w14:textId="77777777" w:rsidR="00776ED3" w:rsidRPr="00C64ECB" w:rsidRDefault="00776ED3" w:rsidP="003F2731">
            <w:pPr>
              <w:pStyle w:val="TAL"/>
            </w:pPr>
            <w:r w:rsidRPr="00C64ECB">
              <w:t>Off-Channel CAC (see note 1)</w:t>
            </w:r>
          </w:p>
        </w:tc>
        <w:tc>
          <w:tcPr>
            <w:tcW w:w="821" w:type="dxa"/>
          </w:tcPr>
          <w:p w14:paraId="2BD7D6C1" w14:textId="77777777" w:rsidR="00776ED3" w:rsidRPr="00C64ECB" w:rsidRDefault="00776ED3" w:rsidP="003F2731">
            <w:pPr>
              <w:keepNext/>
              <w:jc w:val="center"/>
              <w:rPr>
                <w:rFonts w:ascii="Arial" w:hAnsi="Arial" w:cs="Arial"/>
                <w:sz w:val="18"/>
                <w:szCs w:val="27"/>
              </w:rPr>
            </w:pPr>
            <w:r w:rsidRPr="00C64ECB">
              <w:rPr>
                <w:rFonts w:ascii="Wingdings 2" w:hAnsi="Wingdings 2"/>
                <w:sz w:val="18"/>
                <w:szCs w:val="27"/>
              </w:rPr>
              <w:t></w:t>
            </w:r>
          </w:p>
        </w:tc>
        <w:tc>
          <w:tcPr>
            <w:tcW w:w="2566" w:type="dxa"/>
          </w:tcPr>
          <w:p w14:paraId="125674E5" w14:textId="77777777" w:rsidR="00776ED3" w:rsidRPr="00C64ECB" w:rsidRDefault="00776ED3" w:rsidP="003F2731">
            <w:pPr>
              <w:pStyle w:val="TAC"/>
            </w:pPr>
            <w:r w:rsidRPr="00C64ECB">
              <w:t>Not required</w:t>
            </w:r>
          </w:p>
        </w:tc>
        <w:tc>
          <w:tcPr>
            <w:tcW w:w="2201" w:type="dxa"/>
          </w:tcPr>
          <w:p w14:paraId="19CF334F" w14:textId="77777777" w:rsidR="00776ED3" w:rsidRPr="00C64ECB" w:rsidRDefault="00776ED3" w:rsidP="003F2731">
            <w:pPr>
              <w:pStyle w:val="TAC"/>
            </w:pPr>
            <w:r w:rsidRPr="00C64ECB">
              <w:rPr>
                <w:rFonts w:ascii="Wingdings 2" w:hAnsi="Wingdings 2"/>
                <w:szCs w:val="27"/>
              </w:rPr>
              <w:t></w:t>
            </w:r>
            <w:r w:rsidRPr="00C64ECB">
              <w:rPr>
                <w:rFonts w:ascii="Wingdings 2" w:hAnsi="Wingdings 2"/>
                <w:szCs w:val="27"/>
              </w:rPr>
              <w:t></w:t>
            </w:r>
            <w:r w:rsidRPr="00C64ECB">
              <w:t>(see note 2)</w:t>
            </w:r>
          </w:p>
        </w:tc>
      </w:tr>
      <w:tr w:rsidR="00776ED3" w:rsidRPr="00C64ECB" w14:paraId="2C7286E1" w14:textId="77777777" w:rsidTr="003F2731">
        <w:trPr>
          <w:gridAfter w:val="1"/>
          <w:wAfter w:w="7" w:type="dxa"/>
          <w:cantSplit/>
          <w:jc w:val="center"/>
        </w:trPr>
        <w:tc>
          <w:tcPr>
            <w:tcW w:w="2757" w:type="dxa"/>
          </w:tcPr>
          <w:p w14:paraId="6425769C" w14:textId="77777777" w:rsidR="00776ED3" w:rsidRPr="00C64ECB" w:rsidRDefault="00776ED3" w:rsidP="003F2731">
            <w:pPr>
              <w:pStyle w:val="TAL"/>
            </w:pPr>
            <w:r w:rsidRPr="00C64ECB">
              <w:t>In-Service Monitoring</w:t>
            </w:r>
          </w:p>
        </w:tc>
        <w:tc>
          <w:tcPr>
            <w:tcW w:w="821" w:type="dxa"/>
          </w:tcPr>
          <w:p w14:paraId="0C441BBC" w14:textId="77777777" w:rsidR="00776ED3" w:rsidRPr="00C64ECB" w:rsidRDefault="00776ED3" w:rsidP="003F2731">
            <w:pPr>
              <w:keepNext/>
              <w:jc w:val="center"/>
              <w:rPr>
                <w:rFonts w:ascii="Arial" w:hAnsi="Arial"/>
                <w:sz w:val="18"/>
              </w:rPr>
            </w:pPr>
            <w:r w:rsidRPr="00C64ECB">
              <w:rPr>
                <w:rFonts w:ascii="Wingdings 2" w:hAnsi="Wingdings 2"/>
                <w:sz w:val="18"/>
                <w:szCs w:val="27"/>
              </w:rPr>
              <w:t></w:t>
            </w:r>
          </w:p>
        </w:tc>
        <w:tc>
          <w:tcPr>
            <w:tcW w:w="2566" w:type="dxa"/>
          </w:tcPr>
          <w:p w14:paraId="2BE8C5B4" w14:textId="77777777" w:rsidR="00776ED3" w:rsidRPr="00C64ECB" w:rsidRDefault="00776ED3" w:rsidP="003F2731">
            <w:pPr>
              <w:pStyle w:val="TAC"/>
            </w:pPr>
            <w:r w:rsidRPr="00C64ECB">
              <w:t>Not required</w:t>
            </w:r>
          </w:p>
        </w:tc>
        <w:tc>
          <w:tcPr>
            <w:tcW w:w="2201" w:type="dxa"/>
          </w:tcPr>
          <w:p w14:paraId="1BF54C08" w14:textId="77777777" w:rsidR="00776ED3" w:rsidRPr="00C64ECB" w:rsidRDefault="00776ED3" w:rsidP="003F2731">
            <w:pPr>
              <w:pStyle w:val="TAC"/>
            </w:pPr>
            <w:r w:rsidRPr="00C64ECB">
              <w:rPr>
                <w:rFonts w:ascii="Wingdings 2" w:hAnsi="Wingdings 2"/>
                <w:szCs w:val="27"/>
              </w:rPr>
              <w:t></w:t>
            </w:r>
          </w:p>
        </w:tc>
      </w:tr>
      <w:tr w:rsidR="00776ED3" w:rsidRPr="00C64ECB" w14:paraId="13B25032" w14:textId="77777777" w:rsidTr="003F2731">
        <w:trPr>
          <w:gridAfter w:val="1"/>
          <w:wAfter w:w="7" w:type="dxa"/>
          <w:cantSplit/>
          <w:jc w:val="center"/>
        </w:trPr>
        <w:tc>
          <w:tcPr>
            <w:tcW w:w="2757" w:type="dxa"/>
          </w:tcPr>
          <w:p w14:paraId="40AD3384" w14:textId="77777777" w:rsidR="00776ED3" w:rsidRPr="00C64ECB" w:rsidRDefault="00776ED3" w:rsidP="003F2731">
            <w:pPr>
              <w:pStyle w:val="TAL"/>
            </w:pPr>
            <w:r w:rsidRPr="00C64ECB">
              <w:t>Channel Shutdown</w:t>
            </w:r>
          </w:p>
        </w:tc>
        <w:tc>
          <w:tcPr>
            <w:tcW w:w="821" w:type="dxa"/>
          </w:tcPr>
          <w:p w14:paraId="4F9E1742" w14:textId="77777777" w:rsidR="00776ED3" w:rsidRPr="00C64ECB" w:rsidRDefault="00776ED3" w:rsidP="003F2731">
            <w:pPr>
              <w:keepNext/>
              <w:jc w:val="center"/>
              <w:rPr>
                <w:rFonts w:ascii="Wingdings 2" w:hAnsi="Wingdings 2"/>
                <w:sz w:val="18"/>
                <w:szCs w:val="27"/>
              </w:rPr>
            </w:pPr>
            <w:r w:rsidRPr="00C64ECB">
              <w:rPr>
                <w:rFonts w:ascii="Wingdings 2" w:hAnsi="Wingdings 2"/>
                <w:sz w:val="18"/>
                <w:szCs w:val="27"/>
              </w:rPr>
              <w:t></w:t>
            </w:r>
          </w:p>
        </w:tc>
        <w:tc>
          <w:tcPr>
            <w:tcW w:w="2566" w:type="dxa"/>
          </w:tcPr>
          <w:p w14:paraId="7EEF23AD" w14:textId="77777777" w:rsidR="00776ED3" w:rsidRPr="00C64ECB" w:rsidRDefault="00776ED3" w:rsidP="003F2731">
            <w:pPr>
              <w:pStyle w:val="TAC"/>
              <w:rPr>
                <w:rFonts w:ascii="Wingdings 2" w:hAnsi="Wingdings 2"/>
                <w:szCs w:val="27"/>
              </w:rPr>
            </w:pPr>
            <w:r w:rsidRPr="00C64ECB">
              <w:rPr>
                <w:rFonts w:ascii="Wingdings 2" w:hAnsi="Wingdings 2"/>
                <w:szCs w:val="27"/>
              </w:rPr>
              <w:t></w:t>
            </w:r>
          </w:p>
        </w:tc>
        <w:tc>
          <w:tcPr>
            <w:tcW w:w="2201" w:type="dxa"/>
          </w:tcPr>
          <w:p w14:paraId="3738A8D9" w14:textId="77777777" w:rsidR="00776ED3" w:rsidRPr="00C64ECB" w:rsidRDefault="00776ED3" w:rsidP="003F2731">
            <w:pPr>
              <w:pStyle w:val="TAC"/>
              <w:rPr>
                <w:rFonts w:ascii="Wingdings 2" w:hAnsi="Wingdings 2"/>
                <w:szCs w:val="27"/>
              </w:rPr>
            </w:pPr>
            <w:r w:rsidRPr="00C64ECB">
              <w:rPr>
                <w:rFonts w:ascii="Wingdings 2" w:hAnsi="Wingdings 2"/>
                <w:szCs w:val="27"/>
              </w:rPr>
              <w:t></w:t>
            </w:r>
          </w:p>
        </w:tc>
      </w:tr>
      <w:tr w:rsidR="00776ED3" w:rsidRPr="00C64ECB" w14:paraId="39FCEA62" w14:textId="77777777" w:rsidTr="003F2731">
        <w:trPr>
          <w:gridAfter w:val="1"/>
          <w:wAfter w:w="7" w:type="dxa"/>
          <w:cantSplit/>
          <w:jc w:val="center"/>
        </w:trPr>
        <w:tc>
          <w:tcPr>
            <w:tcW w:w="2757" w:type="dxa"/>
          </w:tcPr>
          <w:p w14:paraId="3ABB4CF4" w14:textId="77777777" w:rsidR="00776ED3" w:rsidRPr="00C64ECB" w:rsidRDefault="00776ED3" w:rsidP="003F2731">
            <w:pPr>
              <w:pStyle w:val="TAL"/>
            </w:pPr>
            <w:r w:rsidRPr="00C64ECB">
              <w:t>Non-Occupancy Period</w:t>
            </w:r>
          </w:p>
        </w:tc>
        <w:tc>
          <w:tcPr>
            <w:tcW w:w="821" w:type="dxa"/>
          </w:tcPr>
          <w:p w14:paraId="3E840EB9" w14:textId="77777777" w:rsidR="00776ED3" w:rsidRPr="00C64ECB" w:rsidRDefault="00776ED3" w:rsidP="003F2731">
            <w:pPr>
              <w:keepNext/>
              <w:jc w:val="center"/>
              <w:rPr>
                <w:rFonts w:ascii="Wingdings 2" w:hAnsi="Wingdings 2"/>
                <w:sz w:val="18"/>
                <w:szCs w:val="27"/>
              </w:rPr>
            </w:pPr>
            <w:r w:rsidRPr="00C64ECB">
              <w:rPr>
                <w:rFonts w:ascii="Wingdings 2" w:hAnsi="Wingdings 2"/>
                <w:sz w:val="18"/>
                <w:szCs w:val="27"/>
              </w:rPr>
              <w:t></w:t>
            </w:r>
          </w:p>
        </w:tc>
        <w:tc>
          <w:tcPr>
            <w:tcW w:w="2566" w:type="dxa"/>
          </w:tcPr>
          <w:p w14:paraId="6B35A021" w14:textId="77777777" w:rsidR="00776ED3" w:rsidRPr="00C64ECB" w:rsidRDefault="00776ED3" w:rsidP="003F2731">
            <w:pPr>
              <w:pStyle w:val="TAC"/>
              <w:rPr>
                <w:rFonts w:ascii="Wingdings 2" w:hAnsi="Wingdings 2"/>
                <w:szCs w:val="27"/>
              </w:rPr>
            </w:pPr>
            <w:r w:rsidRPr="00C64ECB">
              <w:t>Not required</w:t>
            </w:r>
          </w:p>
        </w:tc>
        <w:tc>
          <w:tcPr>
            <w:tcW w:w="2201" w:type="dxa"/>
          </w:tcPr>
          <w:p w14:paraId="034CF26D" w14:textId="77777777" w:rsidR="00776ED3" w:rsidRPr="00C64ECB" w:rsidRDefault="00776ED3" w:rsidP="003F2731">
            <w:pPr>
              <w:pStyle w:val="TAC"/>
              <w:rPr>
                <w:rFonts w:ascii="Wingdings 2" w:hAnsi="Wingdings 2"/>
                <w:szCs w:val="27"/>
              </w:rPr>
            </w:pPr>
            <w:r w:rsidRPr="00C64ECB">
              <w:rPr>
                <w:rFonts w:ascii="Wingdings 2" w:hAnsi="Wingdings 2"/>
                <w:szCs w:val="27"/>
              </w:rPr>
              <w:t></w:t>
            </w:r>
          </w:p>
        </w:tc>
      </w:tr>
      <w:tr w:rsidR="00776ED3" w:rsidRPr="00C64ECB" w14:paraId="7F22CEB1" w14:textId="77777777" w:rsidTr="003F2731">
        <w:trPr>
          <w:gridAfter w:val="1"/>
          <w:wAfter w:w="7" w:type="dxa"/>
          <w:cantSplit/>
          <w:jc w:val="center"/>
        </w:trPr>
        <w:tc>
          <w:tcPr>
            <w:tcW w:w="2757" w:type="dxa"/>
          </w:tcPr>
          <w:p w14:paraId="36B88094" w14:textId="77777777" w:rsidR="00776ED3" w:rsidRPr="00C64ECB" w:rsidRDefault="00776ED3" w:rsidP="003F2731">
            <w:pPr>
              <w:pStyle w:val="TAL"/>
            </w:pPr>
            <w:r w:rsidRPr="00C64ECB">
              <w:t>Uniform Spreading</w:t>
            </w:r>
          </w:p>
        </w:tc>
        <w:tc>
          <w:tcPr>
            <w:tcW w:w="821" w:type="dxa"/>
          </w:tcPr>
          <w:p w14:paraId="5F29897A" w14:textId="77777777" w:rsidR="00776ED3" w:rsidRPr="00C64ECB" w:rsidRDefault="00776ED3" w:rsidP="003F2731">
            <w:pPr>
              <w:keepNext/>
              <w:jc w:val="center"/>
              <w:rPr>
                <w:rFonts w:ascii="Wingdings 2" w:hAnsi="Wingdings 2"/>
                <w:sz w:val="18"/>
                <w:szCs w:val="27"/>
              </w:rPr>
            </w:pPr>
            <w:r w:rsidRPr="00C64ECB">
              <w:rPr>
                <w:rFonts w:ascii="Wingdings 2" w:hAnsi="Wingdings 2"/>
                <w:sz w:val="18"/>
                <w:szCs w:val="27"/>
              </w:rPr>
              <w:t></w:t>
            </w:r>
          </w:p>
        </w:tc>
        <w:tc>
          <w:tcPr>
            <w:tcW w:w="2566" w:type="dxa"/>
          </w:tcPr>
          <w:p w14:paraId="578BF3BF" w14:textId="77777777" w:rsidR="00776ED3" w:rsidRPr="00C64ECB" w:rsidRDefault="00776ED3" w:rsidP="003F2731">
            <w:pPr>
              <w:pStyle w:val="TAC"/>
              <w:rPr>
                <w:rFonts w:ascii="Wingdings 2" w:hAnsi="Wingdings 2"/>
                <w:szCs w:val="27"/>
              </w:rPr>
            </w:pPr>
            <w:r w:rsidRPr="00C64ECB">
              <w:t>Not required</w:t>
            </w:r>
          </w:p>
        </w:tc>
        <w:tc>
          <w:tcPr>
            <w:tcW w:w="2201" w:type="dxa"/>
          </w:tcPr>
          <w:p w14:paraId="2F12CBD7" w14:textId="77777777" w:rsidR="00776ED3" w:rsidRPr="00C64ECB" w:rsidRDefault="00776ED3" w:rsidP="003F2731">
            <w:pPr>
              <w:pStyle w:val="TAC"/>
              <w:rPr>
                <w:rFonts w:ascii="Wingdings 2" w:hAnsi="Wingdings 2"/>
                <w:szCs w:val="27"/>
              </w:rPr>
            </w:pPr>
            <w:r w:rsidRPr="00C64ECB">
              <w:t>Not required</w:t>
            </w:r>
          </w:p>
        </w:tc>
      </w:tr>
      <w:tr w:rsidR="00776ED3" w:rsidRPr="00C64ECB" w14:paraId="319CFA52" w14:textId="77777777" w:rsidTr="003F2731">
        <w:trPr>
          <w:gridAfter w:val="1"/>
          <w:wAfter w:w="7" w:type="dxa"/>
          <w:cantSplit/>
          <w:jc w:val="center"/>
        </w:trPr>
        <w:tc>
          <w:tcPr>
            <w:tcW w:w="8345" w:type="dxa"/>
            <w:gridSpan w:val="4"/>
          </w:tcPr>
          <w:p w14:paraId="75606976" w14:textId="77777777" w:rsidR="00776ED3" w:rsidRPr="00C64ECB" w:rsidRDefault="00776ED3" w:rsidP="003F2731">
            <w:pPr>
              <w:pStyle w:val="TAN"/>
            </w:pPr>
            <w:r w:rsidRPr="00C64ECB">
              <w:t>NOTE 1:</w:t>
            </w:r>
            <w:r w:rsidRPr="00C64ECB">
              <w:tab/>
              <w:t>Where implemented by the manufacturer.</w:t>
            </w:r>
          </w:p>
          <w:p w14:paraId="0EBADC2A" w14:textId="77777777" w:rsidR="00776ED3" w:rsidRPr="00C64ECB" w:rsidRDefault="00776ED3" w:rsidP="003F2731">
            <w:pPr>
              <w:pStyle w:val="TAN"/>
            </w:pPr>
            <w:r w:rsidRPr="00C64ECB">
              <w:t>NOTE 2:</w:t>
            </w:r>
            <w:r w:rsidRPr="00C64ECB">
              <w:tab/>
              <w:t xml:space="preserve">A slave with radar detection is not required to perform a CAC or </w:t>
            </w:r>
            <w:r w:rsidRPr="00C64ECB">
              <w:rPr>
                <w:i/>
              </w:rPr>
              <w:t>Off-Channel CAC</w:t>
            </w:r>
            <w:r w:rsidRPr="00C64ECB">
              <w:t xml:space="preserve"> at initial use of the channel but only after the slave has detected a radar signal on the </w:t>
            </w:r>
            <w:r w:rsidRPr="00C64ECB">
              <w:rPr>
                <w:i/>
              </w:rPr>
              <w:t>Operating Channel</w:t>
            </w:r>
            <w:r w:rsidRPr="00C64ECB">
              <w:t xml:space="preserve"> by </w:t>
            </w:r>
            <w:r w:rsidRPr="00C64ECB">
              <w:rPr>
                <w:i/>
              </w:rPr>
              <w:t>In-Service Monitoring.</w:t>
            </w:r>
          </w:p>
        </w:tc>
      </w:tr>
    </w:tbl>
    <w:p w14:paraId="6E3BE511" w14:textId="77777777" w:rsidR="00776ED3" w:rsidRPr="00C64ECB" w:rsidRDefault="00776ED3" w:rsidP="00776ED3"/>
    <w:p w14:paraId="0ACFAFBF" w14:textId="77777777" w:rsidR="00776ED3" w:rsidRPr="00C64ECB" w:rsidRDefault="00776ED3" w:rsidP="00776ED3">
      <w:r w:rsidRPr="00C64ECB">
        <w:t xml:space="preserve">The radar detection requirements specified in clauses 4.7.2.2 to 4.7.2.4 assume that the centre frequencies of the radar signals fall within the central 80 % of the </w:t>
      </w:r>
      <w:r w:rsidRPr="00C64ECB">
        <w:rPr>
          <w:i/>
        </w:rPr>
        <w:t>Occupied Channel Bandwidth</w:t>
      </w:r>
      <w:r w:rsidRPr="00C64ECB">
        <w:t xml:space="preserve"> of the RLAN channel (see clause 4.3).</w:t>
      </w:r>
    </w:p>
    <w:p w14:paraId="5C95DB85" w14:textId="77777777" w:rsidR="00776ED3" w:rsidRPr="00C64ECB" w:rsidRDefault="00776ED3" w:rsidP="00776ED3">
      <w:r w:rsidRPr="00C64ECB">
        <w:t xml:space="preserve">Notice also the assumption that the radar signal falls within 80% of the occupied bandwidth, which is linked to the requirements on occupied emission bandwidth in EN 801 893 (clause 4.7). </w:t>
      </w:r>
    </w:p>
    <w:p w14:paraId="7C1372CD" w14:textId="77777777" w:rsidR="00776ED3" w:rsidRPr="00C64ECB" w:rsidRDefault="00776ED3" w:rsidP="00776ED3">
      <w:pPr>
        <w:pStyle w:val="Heading4"/>
      </w:pPr>
      <w:bookmarkStart w:id="47" w:name="_Toc531343002"/>
      <w:r w:rsidRPr="00C64ECB">
        <w:t>4.1.4.2</w:t>
      </w:r>
      <w:r w:rsidRPr="00C64ECB">
        <w:tab/>
        <w:t>DFS in the Part 15 rules</w:t>
      </w:r>
      <w:bookmarkEnd w:id="47"/>
    </w:p>
    <w:p w14:paraId="11281B7C" w14:textId="77777777" w:rsidR="00776ED3" w:rsidRPr="00C64ECB" w:rsidRDefault="00776ED3" w:rsidP="00776ED3">
      <w:pPr>
        <w:spacing w:after="200" w:line="276" w:lineRule="auto"/>
        <w:rPr>
          <w:lang w:val="en-US"/>
        </w:rPr>
      </w:pPr>
      <w:r w:rsidRPr="00C64ECB">
        <w:rPr>
          <w:lang w:val="en-US"/>
        </w:rPr>
        <w:t>The rules with regard to implementation of DFS functionality are similar in the Part 15 rules [3]; the required functionality is limited for the slave,</w:t>
      </w:r>
    </w:p>
    <w:p w14:paraId="4AB32502" w14:textId="77777777" w:rsidR="00776ED3" w:rsidRPr="00C64ECB" w:rsidRDefault="00776ED3" w:rsidP="00776ED3">
      <w:pPr>
        <w:spacing w:after="200" w:line="276" w:lineRule="auto"/>
        <w:ind w:left="720"/>
        <w:rPr>
          <w:lang w:val="en-US"/>
        </w:rPr>
      </w:pPr>
      <w:r w:rsidRPr="00C64ECB">
        <w:rPr>
          <w:lang w:val="en-US"/>
        </w:rPr>
        <w:t>(2) Radar Detection Function of Dynamic Frequency Selection (DFS). U-NII devices operating with any part of its 26 dB emission bandwidth in the 5.25-5.35 GHz and 5.47-5.725 GHz bands shall employ a DFS radar detection mechanism to detect the presence of radar systems and to avoid co-channel operation with radar systems. Operators shall only use equipment with a DFS mechanism that is turned on when operating in these bands. The device must sense for radar signals at 100 percent of its emission bandwidth. The minimum DFS detection threshold for devices with a maximum e.i.r.p. […]</w:t>
      </w:r>
    </w:p>
    <w:p w14:paraId="559FAA12" w14:textId="77777777" w:rsidR="00776ED3" w:rsidRPr="00C64ECB" w:rsidRDefault="00776ED3" w:rsidP="00776ED3">
      <w:pPr>
        <w:spacing w:after="200" w:line="276" w:lineRule="auto"/>
        <w:ind w:left="720"/>
        <w:rPr>
          <w:lang w:val="en-US"/>
        </w:rPr>
      </w:pPr>
      <w:r w:rsidRPr="00C64ECB">
        <w:rPr>
          <w:lang w:val="en-US"/>
        </w:rPr>
        <w:t>(i) Operational Modes. The DFS requirement applies to the following operational modes:</w:t>
      </w:r>
    </w:p>
    <w:p w14:paraId="694C6767" w14:textId="77777777" w:rsidR="00776ED3" w:rsidRPr="00C64ECB" w:rsidRDefault="00776ED3" w:rsidP="00776ED3">
      <w:pPr>
        <w:spacing w:after="200" w:line="276" w:lineRule="auto"/>
        <w:ind w:left="720"/>
        <w:rPr>
          <w:lang w:val="en-US"/>
        </w:rPr>
      </w:pPr>
      <w:r w:rsidRPr="00C64ECB">
        <w:rPr>
          <w:lang w:val="en-US"/>
        </w:rPr>
        <w:t>(A) The requirement for channel availability check time applies in the master operational mode.</w:t>
      </w:r>
    </w:p>
    <w:p w14:paraId="3327C5B7" w14:textId="77777777" w:rsidR="00776ED3" w:rsidRPr="00C64ECB" w:rsidRDefault="00776ED3" w:rsidP="00776ED3">
      <w:pPr>
        <w:spacing w:after="200" w:line="276" w:lineRule="auto"/>
        <w:ind w:left="720"/>
        <w:rPr>
          <w:lang w:val="en-US"/>
        </w:rPr>
      </w:pPr>
      <w:r w:rsidRPr="00C64ECB">
        <w:rPr>
          <w:lang w:val="en-US"/>
        </w:rPr>
        <w:t>(B) The requirement for channel move time applies in both the master and slave operational modes.</w:t>
      </w:r>
    </w:p>
    <w:p w14:paraId="17D8DB85" w14:textId="77777777" w:rsidR="00776ED3" w:rsidRPr="00C64ECB" w:rsidRDefault="00776ED3" w:rsidP="00776ED3">
      <w:pPr>
        <w:spacing w:after="200" w:line="276" w:lineRule="auto"/>
        <w:ind w:left="720"/>
        <w:rPr>
          <w:lang w:val="en-US"/>
        </w:rPr>
      </w:pPr>
      <w:r w:rsidRPr="00C64ECB">
        <w:rPr>
          <w:lang w:val="en-US"/>
        </w:rPr>
        <w:lastRenderedPageBreak/>
        <w:t>(ii) Channel Availability Check Time. A U-NII device shall check if there is a radar system already operating on the channel before it can initiate a transmission on a channel and when it has to move to a new channel. The U-NII device may start using the channel if no radar signal with a power level greater than the interference threshold values listed in paragraph (h)(2) of this section, is detected within 60 seconds.</w:t>
      </w:r>
    </w:p>
    <w:p w14:paraId="756A2F37" w14:textId="77777777" w:rsidR="00776ED3" w:rsidRPr="00C64ECB" w:rsidRDefault="00776ED3" w:rsidP="00776ED3">
      <w:pPr>
        <w:spacing w:after="200" w:line="276" w:lineRule="auto"/>
        <w:ind w:left="720"/>
        <w:rPr>
          <w:lang w:val="en-US"/>
        </w:rPr>
      </w:pPr>
      <w:r w:rsidRPr="00C64ECB">
        <w:rPr>
          <w:lang w:val="en-US"/>
        </w:rPr>
        <w:t>(iii) Channel Move Time. After a radar's presence is detected, all transmissions shall cease on the operating channel within 10 seconds. Transmissions during this period shall consist of normal traffic for a maximum of 200 ms after detection of the radar signal. In addition, intermittent management and control signals can be sent during the remaining time to facilitate vacating the operating channel.</w:t>
      </w:r>
    </w:p>
    <w:p w14:paraId="3EE90BA2" w14:textId="6D4F2F44" w:rsidR="00776ED3" w:rsidRPr="00C64ECB" w:rsidRDefault="00776ED3" w:rsidP="007C0B5A">
      <w:r w:rsidRPr="00C64ECB">
        <w:rPr>
          <w:lang w:val="en-US"/>
        </w:rPr>
        <w:t xml:space="preserve">Similar to the ETSI BRAN harmonized standard, there is also a requirement that </w:t>
      </w:r>
      <w:r w:rsidR="00010CD8" w:rsidRPr="00C64ECB">
        <w:rPr>
          <w:lang w:val="en-US"/>
        </w:rPr>
        <w:t>"</w:t>
      </w:r>
      <w:r w:rsidRPr="00C64ECB">
        <w:rPr>
          <w:lang w:val="en-US"/>
        </w:rPr>
        <w:t>the device must sense for radar signals at 100 percent of its emission bandwidth</w:t>
      </w:r>
      <w:r w:rsidR="00010CD8" w:rsidRPr="00C64ECB">
        <w:rPr>
          <w:lang w:val="en-US"/>
        </w:rPr>
        <w:t>"</w:t>
      </w:r>
      <w:r w:rsidRPr="00C64ECB">
        <w:rPr>
          <w:lang w:val="en-US"/>
        </w:rPr>
        <w:t>. In deriving the minimum DFS detection threshold for the WAS receiver, it was assumed that above this threshold the emissions within the RLAN bandwidth would desensitize the radar receiver. Reciprocity was thus assumed, the WAS should be able to detect a radar within its emission bandwidth. The bandwidth of the WAS affects the probability of detecting a radar signal and its side lobes and the probability of causing interference (the WAS emissions).</w:t>
      </w:r>
    </w:p>
    <w:p w14:paraId="0D70132E" w14:textId="734A3AFB" w:rsidR="007C0B5A" w:rsidRPr="00C64ECB" w:rsidRDefault="007C0B5A" w:rsidP="007C0B5A">
      <w:pPr>
        <w:pStyle w:val="Heading2"/>
      </w:pPr>
      <w:bookmarkStart w:id="48" w:name="_Toc531343003"/>
      <w:r w:rsidRPr="00C64ECB">
        <w:t>4.2</w:t>
      </w:r>
      <w:r w:rsidRPr="00C64ECB">
        <w:tab/>
        <w:t xml:space="preserve">Regulatory requirements for </w:t>
      </w:r>
      <w:r w:rsidR="00AF4A15" w:rsidRPr="00C64ECB">
        <w:t>6</w:t>
      </w:r>
      <w:r w:rsidRPr="00C64ECB">
        <w:t>GHz band</w:t>
      </w:r>
      <w:bookmarkEnd w:id="48"/>
    </w:p>
    <w:p w14:paraId="1F9C9093" w14:textId="77D72786" w:rsidR="007C0B5A" w:rsidRPr="00C64ECB" w:rsidRDefault="00AF4A15" w:rsidP="007C0B5A">
      <w:r w:rsidRPr="00C64ECB">
        <w:t xml:space="preserve">Currently, CEPT and FCC have started initiatives to investigate potentialities for deployment of IMT services in the 5.925-7.125 GHz frequency range </w:t>
      </w:r>
      <w:r w:rsidRPr="00C64ECB">
        <w:rPr>
          <w:rFonts w:eastAsia="Times New Roman"/>
        </w:rPr>
        <w:t>(e.g. US 5925 – 7125 MHz, or European 5925 – 6425 MHz, or parts thereof)</w:t>
      </w:r>
      <w:r w:rsidRPr="00C64ECB">
        <w:t>, with considerations for all or part of this range being made available for unlicensed operation [32].</w:t>
      </w:r>
    </w:p>
    <w:p w14:paraId="5463081B" w14:textId="77777777" w:rsidR="008E72EE" w:rsidRPr="00C64ECB" w:rsidRDefault="00842F77" w:rsidP="006413C7">
      <w:pPr>
        <w:pStyle w:val="Heading1"/>
      </w:pPr>
      <w:bookmarkStart w:id="49" w:name="_Toc531343004"/>
      <w:r w:rsidRPr="00C64ECB">
        <w:t>5</w:t>
      </w:r>
      <w:r w:rsidR="00CA10EF" w:rsidRPr="00C64ECB">
        <w:tab/>
      </w:r>
      <w:r w:rsidR="001E3E67" w:rsidRPr="00C64ECB">
        <w:t>Spectrum considerations</w:t>
      </w:r>
      <w:bookmarkEnd w:id="49"/>
      <w:r w:rsidR="001E3E67" w:rsidRPr="00C64ECB">
        <w:t xml:space="preserve"> </w:t>
      </w:r>
    </w:p>
    <w:p w14:paraId="763AD031" w14:textId="4D8B3503" w:rsidR="00825542" w:rsidRPr="00C64ECB" w:rsidRDefault="00E44A41" w:rsidP="00825542">
      <w:r w:rsidRPr="00C64ECB">
        <w:t xml:space="preserve">For the NR-U study item, different unlicensed bands or shared bands have been discussed, such as 2.4 GHz band, 3.5 GHz band, 5 GHz band, </w:t>
      </w:r>
      <w:r w:rsidR="00E23E0E" w:rsidRPr="00C64ECB">
        <w:t xml:space="preserve">and </w:t>
      </w:r>
      <w:r w:rsidRPr="00C64ECB">
        <w:t>6 GHz band. Some bands are available globally and some bands are only available in some specific regions</w:t>
      </w:r>
      <w:r w:rsidR="00AF4A15" w:rsidRPr="00C64ECB">
        <w:t>, and some bands may be made available after the completion of this study [32]</w:t>
      </w:r>
      <w:r w:rsidRPr="00C64ECB">
        <w:t xml:space="preserve">. </w:t>
      </w:r>
    </w:p>
    <w:p w14:paraId="4951E694" w14:textId="518387F9" w:rsidR="00E44A41" w:rsidRPr="00C64ECB" w:rsidRDefault="00E44A41" w:rsidP="00825542">
      <w:r w:rsidRPr="00C64ECB">
        <w:t>Follow the NR design</w:t>
      </w:r>
      <w:r w:rsidR="009C490C" w:rsidRPr="00C64ECB">
        <w:t xml:space="preserve"> principles</w:t>
      </w:r>
      <w:r w:rsidRPr="00C64ECB">
        <w:t xml:space="preserve">, from RAN1 design perspective, this </w:t>
      </w:r>
      <w:r w:rsidR="009C490C" w:rsidRPr="00C64ECB">
        <w:t xml:space="preserve">NR-U </w:t>
      </w:r>
      <w:r w:rsidRPr="00C64ECB">
        <w:t>study</w:t>
      </w:r>
      <w:r w:rsidR="00795B31" w:rsidRPr="00C64ECB">
        <w:t xml:space="preserve"> is not limited to a particular </w:t>
      </w:r>
      <w:r w:rsidRPr="00C64ECB">
        <w:t xml:space="preserve">unlicensed band. </w:t>
      </w:r>
      <w:r w:rsidR="009C490C" w:rsidRPr="00C64ECB">
        <w:t>Instead, the target NR-U design is applicable to a set of frequency ranges to be further defined. There is no prioritization between unlicensed bands. On the other hand, the NR-U study does not target sub-1 GHz unlicensed bands, due to the lack of spectrum in the band to support efficient NR-U operation.</w:t>
      </w:r>
    </w:p>
    <w:p w14:paraId="6607A27E" w14:textId="77777777" w:rsidR="00E91463" w:rsidRPr="00C64ECB" w:rsidRDefault="00E91463" w:rsidP="006413C7">
      <w:pPr>
        <w:pStyle w:val="Heading1"/>
      </w:pPr>
      <w:bookmarkStart w:id="50" w:name="_Toc531343005"/>
      <w:r w:rsidRPr="00C64ECB">
        <w:t>6</w:t>
      </w:r>
      <w:r w:rsidRPr="00C64ECB">
        <w:tab/>
        <w:t>Deployment scenarios</w:t>
      </w:r>
      <w:bookmarkEnd w:id="50"/>
      <w:r w:rsidRPr="00C64ECB">
        <w:t xml:space="preserve"> </w:t>
      </w:r>
    </w:p>
    <w:p w14:paraId="4DF196BC" w14:textId="77777777" w:rsidR="00E44A41" w:rsidRPr="00C64ECB" w:rsidRDefault="00E44A41" w:rsidP="009C490C">
      <w:r w:rsidRPr="00C64ECB">
        <w:t>This section describes possible deployment scenarios for NR-U</w:t>
      </w:r>
      <w:r w:rsidR="009C490C" w:rsidRPr="00C64ECB">
        <w:t xml:space="preserve">. </w:t>
      </w:r>
    </w:p>
    <w:p w14:paraId="483097C4" w14:textId="77777777" w:rsidR="005D1856" w:rsidRPr="00C64ECB" w:rsidRDefault="005D1856" w:rsidP="009C490C">
      <w:r w:rsidRPr="00C64ECB">
        <w:t>Five deployment scenarios have been identified:</w:t>
      </w:r>
    </w:p>
    <w:p w14:paraId="0B3B2282" w14:textId="201FB097" w:rsidR="005D1856" w:rsidRPr="00C64ECB" w:rsidRDefault="00FC66AC" w:rsidP="00FC66AC">
      <w:pPr>
        <w:pStyle w:val="B1"/>
      </w:pPr>
      <w:r w:rsidRPr="00C64ECB">
        <w:t>-</w:t>
      </w:r>
      <w:r w:rsidRPr="00C64ECB">
        <w:tab/>
      </w:r>
      <w:r w:rsidR="005D1856" w:rsidRPr="00C64ECB">
        <w:t>Scenario A: Carrier aggregation between licensed band NR (PCell) and NR-U (SCell)</w:t>
      </w:r>
    </w:p>
    <w:p w14:paraId="76A782B4" w14:textId="25D8E44A" w:rsidR="005D1856" w:rsidRPr="00C64ECB" w:rsidRDefault="00FC66AC" w:rsidP="00FC66AC">
      <w:pPr>
        <w:pStyle w:val="B1"/>
        <w:ind w:left="852"/>
      </w:pPr>
      <w:r w:rsidRPr="00C64ECB">
        <w:t>-</w:t>
      </w:r>
      <w:r w:rsidRPr="00C64ECB">
        <w:tab/>
      </w:r>
      <w:r w:rsidR="005D1856" w:rsidRPr="00C64ECB">
        <w:t>NR-U SCell may have both DL and UL, or DL-only.</w:t>
      </w:r>
    </w:p>
    <w:p w14:paraId="134E3D69" w14:textId="733F48B4" w:rsidR="005D1856" w:rsidRPr="00C64ECB" w:rsidRDefault="00FC66AC" w:rsidP="00FC66AC">
      <w:pPr>
        <w:pStyle w:val="B1"/>
      </w:pPr>
      <w:r w:rsidRPr="00C64ECB">
        <w:t>-</w:t>
      </w:r>
      <w:r w:rsidRPr="00C64ECB">
        <w:tab/>
      </w:r>
      <w:r w:rsidR="005D1856" w:rsidRPr="00C64ECB">
        <w:t xml:space="preserve">Scenario B: Dual connectivity </w:t>
      </w:r>
      <w:bookmarkStart w:id="51" w:name="_Hlk500847868"/>
      <w:r w:rsidR="005D1856" w:rsidRPr="00C64ECB">
        <w:t>between licensed band LTE (PCell) and NR-U (PSCell)</w:t>
      </w:r>
      <w:bookmarkEnd w:id="51"/>
    </w:p>
    <w:p w14:paraId="3B96AF19" w14:textId="5556CBE1" w:rsidR="005D1856" w:rsidRPr="00C64ECB" w:rsidRDefault="00FC66AC" w:rsidP="00FC66AC">
      <w:pPr>
        <w:pStyle w:val="B1"/>
      </w:pPr>
      <w:r w:rsidRPr="00C64ECB">
        <w:t>-</w:t>
      </w:r>
      <w:r w:rsidRPr="00C64ECB">
        <w:tab/>
      </w:r>
      <w:r w:rsidR="005D1856" w:rsidRPr="00C64ECB">
        <w:t>Scenario C: Stand-alone NR-U</w:t>
      </w:r>
    </w:p>
    <w:p w14:paraId="1EC836A3" w14:textId="6D647D46" w:rsidR="005D1856" w:rsidRPr="00C64ECB" w:rsidRDefault="00FC66AC" w:rsidP="00FC66AC">
      <w:pPr>
        <w:pStyle w:val="B1"/>
      </w:pPr>
      <w:r w:rsidRPr="00C64ECB">
        <w:t>-</w:t>
      </w:r>
      <w:r w:rsidRPr="00C64ECB">
        <w:tab/>
      </w:r>
      <w:r w:rsidR="005D1856" w:rsidRPr="00C64ECB">
        <w:t>Scenario D: An NR cell with DL in unlicensed band and UL in licensed band</w:t>
      </w:r>
    </w:p>
    <w:p w14:paraId="01E4DBEB" w14:textId="4373C8BE" w:rsidR="005D1856" w:rsidRPr="00C64ECB" w:rsidRDefault="00FC66AC" w:rsidP="00FC66AC">
      <w:pPr>
        <w:pStyle w:val="B1"/>
      </w:pPr>
      <w:bookmarkStart w:id="52" w:name="_Hlk500847837"/>
      <w:r w:rsidRPr="00C64ECB">
        <w:t>-</w:t>
      </w:r>
      <w:r w:rsidRPr="00C64ECB">
        <w:tab/>
      </w:r>
      <w:r w:rsidR="005D1856" w:rsidRPr="00C64ECB">
        <w:t>Scenario E: Dual connectivity between licensed band NR (PCell) and NR-U (PSCell</w:t>
      </w:r>
      <w:bookmarkEnd w:id="52"/>
      <w:r w:rsidR="005D1856" w:rsidRPr="00C64ECB">
        <w:t>)</w:t>
      </w:r>
    </w:p>
    <w:p w14:paraId="6D8B4434" w14:textId="77777777" w:rsidR="00CB2721" w:rsidRPr="00C64ECB" w:rsidRDefault="00CB2721" w:rsidP="00CB2721"/>
    <w:p w14:paraId="12C48324" w14:textId="77777777" w:rsidR="00402BCB" w:rsidRPr="00C64ECB" w:rsidRDefault="00E91463" w:rsidP="002A099C">
      <w:pPr>
        <w:pStyle w:val="Heading1"/>
      </w:pPr>
      <w:bookmarkStart w:id="53" w:name="_Toc531343006"/>
      <w:r w:rsidRPr="00C64ECB">
        <w:t>7</w:t>
      </w:r>
      <w:r w:rsidR="00DF12B3" w:rsidRPr="00C64ECB">
        <w:tab/>
      </w:r>
      <w:r w:rsidR="008552BD" w:rsidRPr="00C64ECB">
        <w:t xml:space="preserve">Design targets, </w:t>
      </w:r>
      <w:r w:rsidR="005A3DA5" w:rsidRPr="00C64ECB">
        <w:t>functionalities</w:t>
      </w:r>
      <w:r w:rsidRPr="00C64ECB">
        <w:t xml:space="preserve"> and solutions</w:t>
      </w:r>
      <w:bookmarkEnd w:id="53"/>
    </w:p>
    <w:p w14:paraId="17E7C67C" w14:textId="77777777" w:rsidR="00CB2721" w:rsidRPr="00C64ECB" w:rsidRDefault="005D1856" w:rsidP="00CB2721">
      <w:r w:rsidRPr="00C64ECB">
        <w:t>In the discussions in the NR-U study item, references to sub-7 GHz are intended to include unlicensed bands in the 6 GHz region that are being discussed in regulatory discussions which may have some region exceeding 7 GHz (e.g., 7.125 GHz).</w:t>
      </w:r>
    </w:p>
    <w:p w14:paraId="31B644AF" w14:textId="77777777" w:rsidR="0059465D" w:rsidRPr="00C64ECB" w:rsidRDefault="00E91463" w:rsidP="002A099C">
      <w:pPr>
        <w:pStyle w:val="Heading2"/>
      </w:pPr>
      <w:bookmarkStart w:id="54" w:name="_Toc531343007"/>
      <w:r w:rsidRPr="00C64ECB">
        <w:lastRenderedPageBreak/>
        <w:t>7.1</w:t>
      </w:r>
      <w:r w:rsidRPr="00C64ECB">
        <w:tab/>
      </w:r>
      <w:r w:rsidR="008552BD" w:rsidRPr="00C64ECB">
        <w:t>Design targets and f</w:t>
      </w:r>
      <w:r w:rsidRPr="00C64ECB">
        <w:t>unctionalities</w:t>
      </w:r>
      <w:bookmarkEnd w:id="54"/>
    </w:p>
    <w:p w14:paraId="3875CBE9" w14:textId="77777777" w:rsidR="005D1856" w:rsidRPr="00C64ECB" w:rsidRDefault="005D1856" w:rsidP="005D1856">
      <w:r w:rsidRPr="00C64ECB">
        <w:t>The NR-U study targets identification of additional functionality needed for a PHY layer design (except channel access procedures) for operation in unlicensed spectrum that may be applicable over a particular frequency range (e.g., sub-7 GHz, 7-52.6 GHz, &gt; 52.6 GHz). The definition of the frequency ranges is to be further defined. On the other hand, the optimizations for a particular frequency band may be necessary due to different requirements, such as PSD limitation or OCB requirement, for each band. Channel bandwidths below 5 MHz are not targeted in this study.</w:t>
      </w:r>
    </w:p>
    <w:p w14:paraId="1A1C776C" w14:textId="77777777" w:rsidR="00825542" w:rsidRPr="00C64ECB" w:rsidRDefault="005D1856" w:rsidP="005D1856">
      <w:r w:rsidRPr="00C64ECB">
        <w:t>The study targets the design of channel access procedures for frequency bands based on coexistence and regulatory considerations applicable to the band. The study includes identification of procedures for technology neutral channel access for frequency bands that may become available subject to regulations. The study assumes regulation will provide the framework concerning the protection for the technologies not using unlicensed access in those bands.</w:t>
      </w:r>
    </w:p>
    <w:p w14:paraId="511E328A" w14:textId="77777777" w:rsidR="00DE7ACB" w:rsidRPr="00C64ECB" w:rsidRDefault="00E91463" w:rsidP="002A099C">
      <w:pPr>
        <w:pStyle w:val="Heading2"/>
      </w:pPr>
      <w:bookmarkStart w:id="55" w:name="_Toc531343008"/>
      <w:r w:rsidRPr="00C64ECB">
        <w:t>7</w:t>
      </w:r>
      <w:r w:rsidR="00946485" w:rsidRPr="00C64ECB">
        <w:rPr>
          <w:rFonts w:hint="eastAsia"/>
        </w:rPr>
        <w:t>.</w:t>
      </w:r>
      <w:r w:rsidRPr="00C64ECB">
        <w:t>2</w:t>
      </w:r>
      <w:r w:rsidR="00946485" w:rsidRPr="00C64ECB">
        <w:rPr>
          <w:rFonts w:hint="eastAsia"/>
        </w:rPr>
        <w:tab/>
      </w:r>
      <w:r w:rsidRPr="00C64ECB">
        <w:t>Solutions</w:t>
      </w:r>
      <w:r w:rsidR="00842F77" w:rsidRPr="00C64ECB">
        <w:t xml:space="preserve"> for operation in unlicensed spectrum</w:t>
      </w:r>
      <w:bookmarkEnd w:id="55"/>
    </w:p>
    <w:p w14:paraId="0E85BCD7" w14:textId="18CCBECC" w:rsidR="00C55266" w:rsidRPr="00C64ECB" w:rsidRDefault="0055788C" w:rsidP="00792D0D">
      <w:pPr>
        <w:pStyle w:val="Heading3"/>
        <w:tabs>
          <w:tab w:val="left" w:pos="-1530"/>
        </w:tabs>
        <w:ind w:left="1170" w:hanging="1170"/>
      </w:pPr>
      <w:bookmarkStart w:id="56" w:name="_Toc531343009"/>
      <w:r w:rsidRPr="00C64ECB">
        <w:t>7.2.1</w:t>
      </w:r>
      <w:r w:rsidR="006C1BE9" w:rsidRPr="00C64ECB">
        <w:tab/>
      </w:r>
      <w:r w:rsidR="00C55266" w:rsidRPr="00C64ECB">
        <w:t xml:space="preserve">Physical </w:t>
      </w:r>
      <w:r w:rsidR="00DB5C92" w:rsidRPr="00C64ECB">
        <w:t>layer aspects</w:t>
      </w:r>
      <w:bookmarkEnd w:id="56"/>
    </w:p>
    <w:p w14:paraId="01C06703" w14:textId="75965A6A" w:rsidR="00963416" w:rsidRPr="00C64ECB" w:rsidRDefault="00963416" w:rsidP="00963416">
      <w:pPr>
        <w:rPr>
          <w:lang w:val="en-US"/>
        </w:rPr>
      </w:pPr>
      <w:r w:rsidRPr="00C64ECB">
        <w:rPr>
          <w:lang w:eastAsia="x-none"/>
        </w:rPr>
        <w:t>According to the study item description [30], p</w:t>
      </w:r>
      <w:r w:rsidRPr="00C64ECB">
        <w:rPr>
          <w:lang w:val="en-US"/>
        </w:rPr>
        <w:t>hysical channels inheriting the choices of duplex mode, waveform, carrier bandwidth, subcarrier spacing, frame structure, and physical layer design made as part of the NR study and avoiding unnecessary divergence with decisions made in the NR WI.</w:t>
      </w:r>
    </w:p>
    <w:p w14:paraId="42253E79" w14:textId="2496E96F" w:rsidR="00963416" w:rsidRPr="00C64ECB" w:rsidRDefault="00963416" w:rsidP="00963416">
      <w:r w:rsidRPr="00C64ECB">
        <w:t xml:space="preserve">NR-U supports both Type-A and Type-B mapping already supported in NR. </w:t>
      </w:r>
    </w:p>
    <w:p w14:paraId="1FB5D607" w14:textId="43CC6AD3" w:rsidR="001B7B03" w:rsidRPr="00C64ECB" w:rsidRDefault="001B7B03" w:rsidP="001B7B03">
      <w:r w:rsidRPr="00C64ECB">
        <w:t>Initial active DL/UL BWP is approximately 20MHz for 5GHz band, though the final value will be quantized to number of PRBs. Initial active DL/UL BWP is approximately 20MHz for 6GHz band if similar channelization as 5GHz band is used for 6GHz band.</w:t>
      </w:r>
    </w:p>
    <w:p w14:paraId="45408715" w14:textId="6260E4D7" w:rsidR="00963416" w:rsidRPr="00C64ECB" w:rsidRDefault="00CB2721" w:rsidP="00FC66AC">
      <w:pPr>
        <w:pStyle w:val="Heading4"/>
      </w:pPr>
      <w:bookmarkStart w:id="57" w:name="_Toc531343010"/>
      <w:r w:rsidRPr="00C64ECB">
        <w:t>7.2.1.1</w:t>
      </w:r>
      <w:r w:rsidRPr="00C64ECB">
        <w:tab/>
        <w:t>Frame structure</w:t>
      </w:r>
      <w:bookmarkEnd w:id="57"/>
    </w:p>
    <w:p w14:paraId="5D35C805" w14:textId="7C56F38F" w:rsidR="00963416" w:rsidRPr="00C64ECB" w:rsidRDefault="00963416" w:rsidP="009F1639">
      <w:pPr>
        <w:widowControl w:val="0"/>
        <w:jc w:val="both"/>
      </w:pPr>
      <w:r w:rsidRPr="00C64ECB">
        <w:t>Single and multiple DL to UL and UL to DL switching</w:t>
      </w:r>
      <w:r w:rsidR="00800C75" w:rsidRPr="00C64ECB">
        <w:t xml:space="preserve"> point</w:t>
      </w:r>
      <w:r w:rsidRPr="00C64ECB">
        <w:t>s within a shared gNB COT is identified to be beneficial and can be supported.</w:t>
      </w:r>
      <w:r w:rsidR="00800C75" w:rsidRPr="00C64ECB">
        <w:t xml:space="preserve"> </w:t>
      </w:r>
      <w:r w:rsidRPr="00C64ECB">
        <w:rPr>
          <w:lang w:eastAsia="x-none"/>
        </w:rPr>
        <w:t>LBT requirements to support single or multiple switching points</w:t>
      </w:r>
      <w:r w:rsidR="00800C75" w:rsidRPr="00C64ECB">
        <w:rPr>
          <w:lang w:eastAsia="x-none"/>
        </w:rPr>
        <w:t xml:space="preserve"> </w:t>
      </w:r>
      <w:r w:rsidR="00FF3255" w:rsidRPr="00C64ECB">
        <w:rPr>
          <w:lang w:eastAsia="x-none"/>
        </w:rPr>
        <w:t>has been</w:t>
      </w:r>
      <w:r w:rsidR="00800C75" w:rsidRPr="00C64ECB">
        <w:rPr>
          <w:lang w:eastAsia="x-none"/>
        </w:rPr>
        <w:t xml:space="preserve"> identified</w:t>
      </w:r>
      <w:r w:rsidR="00FF3255" w:rsidRPr="00C64ECB">
        <w:rPr>
          <w:lang w:eastAsia="x-none"/>
        </w:rPr>
        <w:t xml:space="preserve"> (Section 7.2.1.3.1).</w:t>
      </w:r>
    </w:p>
    <w:p w14:paraId="19078A2D" w14:textId="77777777" w:rsidR="00EC7E4A" w:rsidRPr="00C64ECB" w:rsidRDefault="00EC7E4A" w:rsidP="00EC7E4A">
      <w:pPr>
        <w:widowControl w:val="0"/>
        <w:jc w:val="both"/>
      </w:pPr>
      <w:r w:rsidRPr="00C64ECB">
        <w:t>For NR-U DL operation, it is identified that being able to operate all DL signal/channels with the same numerology for a carrier and at least for intra-band CA on serving cells on unlicensed bands has at least the following benefits (at least for standalone operation)</w:t>
      </w:r>
    </w:p>
    <w:p w14:paraId="514CAC06" w14:textId="5ABE9250" w:rsidR="00EC7E4A" w:rsidRPr="00C64ECB" w:rsidRDefault="004848D5" w:rsidP="004848D5">
      <w:pPr>
        <w:pStyle w:val="B1"/>
      </w:pPr>
      <w:r w:rsidRPr="00C64ECB">
        <w:t>-</w:t>
      </w:r>
      <w:r w:rsidRPr="00C64ECB">
        <w:tab/>
      </w:r>
      <w:r w:rsidR="00EC7E4A" w:rsidRPr="00C64ECB">
        <w:t>Lower implementation complexity (e.g., a single FFT, no switching gaps)</w:t>
      </w:r>
    </w:p>
    <w:p w14:paraId="05704D8E" w14:textId="067D0064" w:rsidR="00EC7E4A" w:rsidRPr="00C64ECB" w:rsidRDefault="004848D5" w:rsidP="004848D5">
      <w:pPr>
        <w:pStyle w:val="B1"/>
      </w:pPr>
      <w:r w:rsidRPr="00C64ECB">
        <w:t>-</w:t>
      </w:r>
      <w:r w:rsidRPr="00C64ECB">
        <w:tab/>
      </w:r>
      <w:r w:rsidR="00EC7E4A" w:rsidRPr="00C64ECB">
        <w:t>Lower specification impact</w:t>
      </w:r>
    </w:p>
    <w:p w14:paraId="245B2838" w14:textId="7014721E" w:rsidR="00EC7E4A" w:rsidRPr="00C64ECB" w:rsidRDefault="004848D5" w:rsidP="004848D5">
      <w:pPr>
        <w:pStyle w:val="B1"/>
      </w:pPr>
      <w:r w:rsidRPr="00C64ECB">
        <w:t>-</w:t>
      </w:r>
      <w:r w:rsidRPr="00C64ECB">
        <w:tab/>
      </w:r>
      <w:r w:rsidR="00EC7E4A" w:rsidRPr="00C64ECB">
        <w:t>No need for gaps for measurements on frequencies with a configured serving cell in unlicensed bands</w:t>
      </w:r>
    </w:p>
    <w:p w14:paraId="58229F25" w14:textId="77777777" w:rsidR="00EC7E4A" w:rsidRPr="00C64ECB" w:rsidRDefault="00EC7E4A" w:rsidP="00EC7E4A">
      <w:pPr>
        <w:widowControl w:val="0"/>
        <w:jc w:val="both"/>
      </w:pPr>
      <w:r w:rsidRPr="00C64ECB">
        <w:t>For NR-U UL operation, it is identified that being able to operate all UL signal/channels (except PRACH) with the same numerology for a carrier and at least for intra-band CA on serving cells on unlicensed bands has at least the following benefits:</w:t>
      </w:r>
    </w:p>
    <w:p w14:paraId="43402E20" w14:textId="3BE6F936" w:rsidR="00EC7E4A" w:rsidRPr="00C64ECB" w:rsidRDefault="004848D5" w:rsidP="004848D5">
      <w:pPr>
        <w:pStyle w:val="B1"/>
      </w:pPr>
      <w:r w:rsidRPr="00C64ECB">
        <w:t>-</w:t>
      </w:r>
      <w:r w:rsidRPr="00C64ECB">
        <w:tab/>
      </w:r>
      <w:r w:rsidR="00EC7E4A" w:rsidRPr="00C64ECB">
        <w:t>Lower implementation complexity (e.g., a single FFT, no switching gaps)</w:t>
      </w:r>
    </w:p>
    <w:p w14:paraId="103659BE" w14:textId="5F7E0CE7" w:rsidR="00EC7E4A" w:rsidRPr="00C64ECB" w:rsidRDefault="004848D5" w:rsidP="004848D5">
      <w:pPr>
        <w:pStyle w:val="B1"/>
      </w:pPr>
      <w:r w:rsidRPr="00C64ECB">
        <w:t>-</w:t>
      </w:r>
      <w:r w:rsidRPr="00C64ECB">
        <w:tab/>
      </w:r>
      <w:r w:rsidR="00EC7E4A" w:rsidRPr="00C64ECB">
        <w:t>Lower specification impact</w:t>
      </w:r>
    </w:p>
    <w:p w14:paraId="101D98E1" w14:textId="06BFAA4E" w:rsidR="00EC7E4A" w:rsidRPr="00C64ECB" w:rsidRDefault="004848D5" w:rsidP="004848D5">
      <w:pPr>
        <w:pStyle w:val="B1"/>
      </w:pPr>
      <w:r w:rsidRPr="00C64ECB">
        <w:t>-</w:t>
      </w:r>
      <w:r w:rsidRPr="00C64ECB">
        <w:tab/>
      </w:r>
      <w:r w:rsidR="00EC7E4A" w:rsidRPr="00C64ECB">
        <w:t>Common interlace structure</w:t>
      </w:r>
    </w:p>
    <w:p w14:paraId="5A7EB4D2" w14:textId="330398E3" w:rsidR="00EC7E4A" w:rsidRPr="00C64ECB" w:rsidRDefault="004848D5" w:rsidP="004848D5">
      <w:pPr>
        <w:pStyle w:val="B1"/>
      </w:pPr>
      <w:r w:rsidRPr="00C64ECB">
        <w:t>-</w:t>
      </w:r>
      <w:r w:rsidRPr="00C64ECB">
        <w:tab/>
      </w:r>
      <w:r w:rsidR="00EC7E4A" w:rsidRPr="00C64ECB">
        <w:t>No need for gaps for transmission of SRS on a configured serving cell in unlicensed bands</w:t>
      </w:r>
    </w:p>
    <w:p w14:paraId="0DFC7457" w14:textId="426BCBAD" w:rsidR="00EC7E4A" w:rsidRPr="00C64ECB" w:rsidRDefault="00DF5FEA" w:rsidP="00643848">
      <w:r w:rsidRPr="00C64ECB">
        <w:t>For unlicensed PCell, the UE assumes single SSB numerology per band.</w:t>
      </w:r>
    </w:p>
    <w:p w14:paraId="01EB6612" w14:textId="1A51C1C0" w:rsidR="00DF5FEA" w:rsidRPr="00C64ECB" w:rsidRDefault="00DF5FEA" w:rsidP="00DF5FEA">
      <w:pPr>
        <w:rPr>
          <w:lang w:eastAsia="x-none"/>
        </w:rPr>
      </w:pPr>
      <w:r w:rsidRPr="00C64ECB">
        <w:rPr>
          <w:lang w:eastAsia="x-none"/>
        </w:rPr>
        <w:t>It has been identified to be beneficial for the NR-U design to not require the gNB to change a pre-determined TBS for a PDSCH transmission depending on the LBT outcome, at least when the PDSCH is transmitted at the beginning of the gNB</w:t>
      </w:r>
      <w:r w:rsidR="00E542E9" w:rsidRPr="00C64ECB">
        <w:rPr>
          <w:lang w:eastAsia="x-none"/>
        </w:rPr>
        <w:t>'</w:t>
      </w:r>
      <w:r w:rsidRPr="00C64ECB">
        <w:rPr>
          <w:lang w:eastAsia="x-none"/>
        </w:rPr>
        <w:t>s COT.</w:t>
      </w:r>
    </w:p>
    <w:p w14:paraId="1514CC2E" w14:textId="77777777" w:rsidR="00DF5FEA" w:rsidRPr="00C64ECB" w:rsidRDefault="00DF5FEA" w:rsidP="00DF5FEA">
      <w:pPr>
        <w:rPr>
          <w:lang w:eastAsia="x-none"/>
        </w:rPr>
      </w:pPr>
      <w:r w:rsidRPr="00C64ECB">
        <w:rPr>
          <w:lang w:eastAsia="x-none"/>
        </w:rPr>
        <w:t>The following options have been identified as possible candidates for PDSCH transmission in the partial slot at least for the first PDSCH(s) transmitted in the DL transmission burst. The options are not mutually exclusive.</w:t>
      </w:r>
    </w:p>
    <w:p w14:paraId="59E9B370" w14:textId="2221FB8F" w:rsidR="00DF5FEA" w:rsidRPr="00C64ECB" w:rsidRDefault="004848D5" w:rsidP="004848D5">
      <w:pPr>
        <w:pStyle w:val="B1"/>
      </w:pPr>
      <w:r w:rsidRPr="00C64ECB">
        <w:t>-</w:t>
      </w:r>
      <w:r w:rsidRPr="00C64ECB">
        <w:tab/>
      </w:r>
      <w:r w:rsidR="00DF5FEA" w:rsidRPr="00C64ECB">
        <w:t>Option 1: PDSCH(s) as in Rel-15 NR</w:t>
      </w:r>
    </w:p>
    <w:p w14:paraId="7595A866" w14:textId="3120E35B" w:rsidR="00DF5FEA" w:rsidRPr="00C64ECB" w:rsidRDefault="004848D5" w:rsidP="004848D5">
      <w:pPr>
        <w:pStyle w:val="B1"/>
      </w:pPr>
      <w:r w:rsidRPr="00C64ECB">
        <w:lastRenderedPageBreak/>
        <w:t>-</w:t>
      </w:r>
      <w:r w:rsidRPr="00C64ECB">
        <w:tab/>
      </w:r>
      <w:r w:rsidR="00DF5FEA" w:rsidRPr="00C64ECB">
        <w:t>Option 2: Punctured PDSCH depending on LBT outcome</w:t>
      </w:r>
    </w:p>
    <w:p w14:paraId="096A53A9" w14:textId="166F34F5" w:rsidR="00DF5FEA" w:rsidRPr="00C64ECB" w:rsidRDefault="004848D5" w:rsidP="004848D5">
      <w:pPr>
        <w:pStyle w:val="B1"/>
      </w:pPr>
      <w:r w:rsidRPr="00C64ECB">
        <w:t>-</w:t>
      </w:r>
      <w:r w:rsidRPr="00C64ECB">
        <w:tab/>
      </w:r>
      <w:r w:rsidR="00DF5FEA" w:rsidRPr="00C64ECB">
        <w:t>Option 3: PDSCH mapping type B with durations other than 2/4/7 symbols</w:t>
      </w:r>
    </w:p>
    <w:p w14:paraId="4F181E96" w14:textId="575CB581" w:rsidR="00DF5FEA" w:rsidRPr="00C64ECB" w:rsidRDefault="004848D5" w:rsidP="004848D5">
      <w:pPr>
        <w:pStyle w:val="B1"/>
      </w:pPr>
      <w:r w:rsidRPr="00C64ECB">
        <w:t>-</w:t>
      </w:r>
      <w:r w:rsidRPr="00C64ECB">
        <w:tab/>
      </w:r>
      <w:r w:rsidR="00DF5FEA" w:rsidRPr="00C64ECB">
        <w:t>Option 4: PDSCH across slot boundary</w:t>
      </w:r>
    </w:p>
    <w:p w14:paraId="675137B0" w14:textId="57F74C41" w:rsidR="00DF5FEA" w:rsidRPr="00C64ECB" w:rsidRDefault="00DF5FEA" w:rsidP="003E246E">
      <w:r w:rsidRPr="00C64ECB">
        <w:t>In addition to the functionalities provided by DCI format 2_0 in Rel-15 NR, indication of the COT structure in the time domain has been identified as being beneficial.</w:t>
      </w:r>
    </w:p>
    <w:p w14:paraId="604F3BCA" w14:textId="77777777" w:rsidR="00873401" w:rsidRPr="00C64ECB" w:rsidRDefault="00873401" w:rsidP="00873401">
      <w:pPr>
        <w:rPr>
          <w:lang w:eastAsia="x-none"/>
        </w:rPr>
      </w:pPr>
      <w:r w:rsidRPr="00C64ECB">
        <w:rPr>
          <w:lang w:eastAsia="x-none"/>
        </w:rPr>
        <w:t>It has been identified to be beneficial for the NR-U design to not require the UE to change a granted TBS for a PUSCH transmission depending on the LBT outcome.</w:t>
      </w:r>
    </w:p>
    <w:p w14:paraId="5AB59976" w14:textId="77777777" w:rsidR="00873401" w:rsidRPr="00C64ECB" w:rsidRDefault="00873401" w:rsidP="00873401">
      <w:pPr>
        <w:rPr>
          <w:lang w:eastAsia="x-none"/>
        </w:rPr>
      </w:pPr>
      <w:r w:rsidRPr="00C64ECB">
        <w:rPr>
          <w:lang w:eastAsia="x-none"/>
        </w:rPr>
        <w:t>The following options have been identified as possible candidate at least for the first PUSCH(s) transmitted in the UL transmission burst.</w:t>
      </w:r>
    </w:p>
    <w:p w14:paraId="03CD1EFC" w14:textId="74B1AA54" w:rsidR="00873401" w:rsidRPr="00C64ECB" w:rsidRDefault="00571BB8" w:rsidP="00571BB8">
      <w:pPr>
        <w:pStyle w:val="B1"/>
      </w:pPr>
      <w:r>
        <w:t>-</w:t>
      </w:r>
      <w:r>
        <w:tab/>
      </w:r>
      <w:r w:rsidR="00873401" w:rsidRPr="00C64ECB">
        <w:rPr>
          <w:rFonts w:hint="eastAsia"/>
        </w:rPr>
        <w:t>Option 1</w:t>
      </w:r>
      <w:r w:rsidR="00873401" w:rsidRPr="00C64ECB">
        <w:t>: PUSCH(s) as in Rel-15 NR</w:t>
      </w:r>
    </w:p>
    <w:p w14:paraId="6F2A583A" w14:textId="5DFAD08F" w:rsidR="00873401" w:rsidRPr="00C64ECB" w:rsidRDefault="00571BB8" w:rsidP="00571BB8">
      <w:pPr>
        <w:pStyle w:val="B1"/>
      </w:pPr>
      <w:r>
        <w:t>-</w:t>
      </w:r>
      <w:r>
        <w:tab/>
      </w:r>
      <w:r w:rsidR="00873401" w:rsidRPr="00C64ECB">
        <w:t xml:space="preserve">Option 2: Multiple starting positions in one or multiple slot(s) are allowed for PUSCH(s) scheduled by a single UL grant (i.e., not a configured grant) and one of the multiple PUSCH starting positions can be decided depending on LBT outcome. </w:t>
      </w:r>
    </w:p>
    <w:p w14:paraId="46878921" w14:textId="77777777" w:rsidR="00873401" w:rsidRPr="00C64ECB" w:rsidRDefault="00873401" w:rsidP="00873401">
      <w:pPr>
        <w:rPr>
          <w:lang w:eastAsia="x-none"/>
        </w:rPr>
      </w:pPr>
      <w:r w:rsidRPr="00C64ECB">
        <w:rPr>
          <w:lang w:eastAsia="x-none"/>
        </w:rPr>
        <w:t>It is noted that for above options, the ending position of the PUSCH is fixed as indicated by the UL grant.</w:t>
      </w:r>
    </w:p>
    <w:p w14:paraId="58A48BBB" w14:textId="77777777" w:rsidR="00873401" w:rsidRPr="00C64ECB" w:rsidRDefault="00873401" w:rsidP="00873401">
      <w:pPr>
        <w:rPr>
          <w:lang w:eastAsia="x-none"/>
        </w:rPr>
      </w:pPr>
      <w:r w:rsidRPr="00C64ECB">
        <w:rPr>
          <w:lang w:eastAsia="x-none"/>
        </w:rPr>
        <w:t>It is noted that above options are not mutually exclusive.</w:t>
      </w:r>
    </w:p>
    <w:p w14:paraId="4535315B" w14:textId="77777777" w:rsidR="00873401" w:rsidRPr="00C64ECB" w:rsidRDefault="00873401" w:rsidP="003E246E"/>
    <w:p w14:paraId="5F787EDF" w14:textId="27AB5047" w:rsidR="0079455F" w:rsidRPr="00C64ECB" w:rsidRDefault="0079455F" w:rsidP="003E246E">
      <w:pPr>
        <w:spacing w:after="0"/>
      </w:pPr>
      <w:r w:rsidRPr="00C64ECB">
        <w:rPr>
          <w:lang w:eastAsia="x-none"/>
        </w:rPr>
        <w:t>It has been identified that FBE operation for the scenario where it is guaranteed that LBE nodes are absent on a long term basis (e.g., by level of regulation) and FBE gNBs are synchro</w:t>
      </w:r>
      <w:r w:rsidR="004F4929" w:rsidRPr="00C64ECB">
        <w:rPr>
          <w:lang w:eastAsia="x-none"/>
        </w:rPr>
        <w:t xml:space="preserve">nized can achieve the following: </w:t>
      </w:r>
      <w:r w:rsidRPr="00C64ECB">
        <w:t>Ability to use frequency reuse factor 1</w:t>
      </w:r>
      <w:r w:rsidR="004F4929" w:rsidRPr="00C64ECB">
        <w:t xml:space="preserve">; </w:t>
      </w:r>
      <w:r w:rsidRPr="00C64ECB">
        <w:t>Lower complexity for channel access due to lack of necessity to perform random backoff</w:t>
      </w:r>
      <w:r w:rsidR="004F4929" w:rsidRPr="00C64ECB">
        <w:t xml:space="preserve">. </w:t>
      </w:r>
    </w:p>
    <w:p w14:paraId="34833823" w14:textId="0A4A6604" w:rsidR="00DF5FEA" w:rsidRPr="00C64ECB" w:rsidRDefault="004F4929" w:rsidP="00643848">
      <w:r w:rsidRPr="00C64ECB">
        <w:t>It is noted that t</w:t>
      </w:r>
      <w:r w:rsidR="0079455F" w:rsidRPr="00C64ECB">
        <w:t>his does not imply that LBE does not have benefits in similar scenarios although there are differences between the two modes of operation</w:t>
      </w:r>
      <w:r w:rsidRPr="00C64ECB">
        <w:t xml:space="preserve">. It is also noted that </w:t>
      </w:r>
      <w:r w:rsidR="0079455F" w:rsidRPr="00C64ECB">
        <w:t>FBE may also have some disadvantages compared to other modes of operation such as LBE, e.g., a fixed overhead for idle time during a frame.</w:t>
      </w:r>
    </w:p>
    <w:p w14:paraId="57D0601B" w14:textId="77777777" w:rsidR="00253DDC" w:rsidRPr="00C64ECB" w:rsidRDefault="00253DDC" w:rsidP="00253DDC">
      <w:pPr>
        <w:rPr>
          <w:rFonts w:eastAsia="Malgun Gothic"/>
          <w:lang w:eastAsia="ko-KR"/>
        </w:rPr>
      </w:pPr>
      <w:r w:rsidRPr="00C64ECB">
        <w:rPr>
          <w:rFonts w:eastAsia="Malgun Gothic" w:hint="eastAsia"/>
          <w:lang w:eastAsia="ko-KR"/>
        </w:rPr>
        <w:t>For</w:t>
      </w:r>
      <w:r w:rsidRPr="00C64ECB">
        <w:rPr>
          <w:rFonts w:eastAsia="Malgun Gothic"/>
          <w:lang w:eastAsia="ko-KR"/>
        </w:rPr>
        <w:t xml:space="preserve"> wideband operation for both DL and UL,</w:t>
      </w:r>
    </w:p>
    <w:p w14:paraId="7003C306" w14:textId="67CA7EB0" w:rsidR="00253DDC" w:rsidRPr="00C64ECB" w:rsidRDefault="00571BB8" w:rsidP="00571BB8">
      <w:pPr>
        <w:pStyle w:val="B1"/>
        <w:rPr>
          <w:lang w:val="en-US"/>
        </w:rPr>
      </w:pPr>
      <w:r>
        <w:rPr>
          <w:lang w:val="en-US"/>
        </w:rPr>
        <w:t>-</w:t>
      </w:r>
      <w:r>
        <w:rPr>
          <w:lang w:val="en-US"/>
        </w:rPr>
        <w:tab/>
      </w:r>
      <w:r w:rsidR="00253DDC" w:rsidRPr="00C64ECB">
        <w:rPr>
          <w:rFonts w:hint="eastAsia"/>
          <w:lang w:val="en-US"/>
        </w:rPr>
        <w:t>Bandwidth larger than 20 MHz can be supported with multiple serving cells.</w:t>
      </w:r>
    </w:p>
    <w:p w14:paraId="5B5DA780" w14:textId="4EF0CCC5" w:rsidR="00253DDC" w:rsidRPr="00C64ECB" w:rsidRDefault="00571BB8" w:rsidP="00571BB8">
      <w:pPr>
        <w:pStyle w:val="B1"/>
        <w:rPr>
          <w:lang w:val="en-US"/>
        </w:rPr>
      </w:pPr>
      <w:r>
        <w:rPr>
          <w:lang w:val="en-US"/>
        </w:rPr>
        <w:t>-</w:t>
      </w:r>
      <w:r>
        <w:rPr>
          <w:lang w:val="en-US"/>
        </w:rPr>
        <w:tab/>
      </w:r>
      <w:r w:rsidR="00253DDC" w:rsidRPr="00C64ECB">
        <w:rPr>
          <w:lang w:val="en-US"/>
        </w:rPr>
        <w:t xml:space="preserve">NR-U should support that a serving cell can be configured with bandwidth larger than 20 MHz. </w:t>
      </w:r>
    </w:p>
    <w:p w14:paraId="32EFD01D" w14:textId="77777777" w:rsidR="00253DDC" w:rsidRPr="00C64ECB" w:rsidRDefault="00253DDC" w:rsidP="00253DDC">
      <w:pPr>
        <w:rPr>
          <w:rFonts w:eastAsia="Malgun Gothic"/>
          <w:lang w:eastAsia="ko-KR"/>
        </w:rPr>
      </w:pPr>
      <w:r w:rsidRPr="00C64ECB">
        <w:rPr>
          <w:rFonts w:eastAsia="Malgun Gothic"/>
          <w:lang w:eastAsia="ko-KR"/>
        </w:rPr>
        <w:t>For DL operation, the following options for BWP-based operation within a carrier with bandwidth larger than 20 MHz can be considered.</w:t>
      </w:r>
    </w:p>
    <w:p w14:paraId="350FB09E" w14:textId="2E9B2235" w:rsidR="00253DDC" w:rsidRPr="00C64ECB" w:rsidRDefault="00571BB8" w:rsidP="00571BB8">
      <w:pPr>
        <w:pStyle w:val="B1"/>
        <w:rPr>
          <w:lang w:val="en-US"/>
        </w:rPr>
      </w:pPr>
      <w:r>
        <w:rPr>
          <w:lang w:val="en-US"/>
        </w:rPr>
        <w:t>-</w:t>
      </w:r>
      <w:r>
        <w:rPr>
          <w:lang w:val="en-US"/>
        </w:rPr>
        <w:tab/>
      </w:r>
      <w:r w:rsidR="00253DDC" w:rsidRPr="00C64ECB">
        <w:rPr>
          <w:lang w:val="en-US"/>
        </w:rPr>
        <w:t>Option 1a: Multiple BWPs configured, multiple BWPs activated, transmission of PDSCH on one or more BWPs</w:t>
      </w:r>
    </w:p>
    <w:p w14:paraId="35F76D33" w14:textId="02F5FA6F" w:rsidR="00253DDC" w:rsidRPr="00C64ECB" w:rsidRDefault="00571BB8" w:rsidP="00571BB8">
      <w:pPr>
        <w:pStyle w:val="B1"/>
        <w:rPr>
          <w:lang w:val="en-US"/>
        </w:rPr>
      </w:pPr>
      <w:r>
        <w:rPr>
          <w:lang w:val="en-US"/>
        </w:rPr>
        <w:t>-</w:t>
      </w:r>
      <w:r>
        <w:rPr>
          <w:lang w:val="en-US"/>
        </w:rPr>
        <w:tab/>
      </w:r>
      <w:r w:rsidR="00253DDC" w:rsidRPr="00C64ECB">
        <w:rPr>
          <w:lang w:val="en-US"/>
        </w:rPr>
        <w:t>Option 1b: Multiple BWPs configured, multiple BWPs activated, transmission of PDSCH on single BWP</w:t>
      </w:r>
    </w:p>
    <w:p w14:paraId="70250229" w14:textId="40D18468" w:rsidR="00253DDC" w:rsidRPr="00C64ECB" w:rsidRDefault="00571BB8" w:rsidP="00571BB8">
      <w:pPr>
        <w:pStyle w:val="B1"/>
        <w:rPr>
          <w:lang w:val="en-US"/>
        </w:rPr>
      </w:pPr>
      <w:r>
        <w:rPr>
          <w:lang w:val="en-US"/>
        </w:rPr>
        <w:t>-</w:t>
      </w:r>
      <w:r>
        <w:rPr>
          <w:lang w:val="en-US"/>
        </w:rPr>
        <w:tab/>
      </w:r>
      <w:r w:rsidR="00253DDC" w:rsidRPr="00C64ECB">
        <w:rPr>
          <w:lang w:val="en-US"/>
        </w:rPr>
        <w:t>Option 2: Multiple BWPs can be configured, single BWP activated, gNB transmits PDSCH on a single BWP if CCA is successful at gNB for the whole BWP</w:t>
      </w:r>
    </w:p>
    <w:p w14:paraId="56D0C76B" w14:textId="3D6BAAFA" w:rsidR="00253DDC" w:rsidRPr="00C64ECB" w:rsidRDefault="00571BB8" w:rsidP="00571BB8">
      <w:pPr>
        <w:pStyle w:val="B1"/>
        <w:rPr>
          <w:lang w:val="en-US"/>
        </w:rPr>
      </w:pPr>
      <w:r>
        <w:rPr>
          <w:lang w:val="en-US"/>
        </w:rPr>
        <w:t>-</w:t>
      </w:r>
      <w:r>
        <w:rPr>
          <w:lang w:val="en-US"/>
        </w:rPr>
        <w:tab/>
      </w:r>
      <w:r w:rsidR="00253DDC" w:rsidRPr="00C64ECB">
        <w:rPr>
          <w:lang w:val="en-US"/>
        </w:rPr>
        <w:t>Option 3: Multiple BWPs can be configured, single BWP activated, gNB transmits PDSCH on parts or whole of single BWP where CCA is successful at gNB</w:t>
      </w:r>
    </w:p>
    <w:p w14:paraId="227F3CB3" w14:textId="77777777" w:rsidR="00253DDC" w:rsidRPr="00C64ECB" w:rsidRDefault="00253DDC" w:rsidP="00253DDC">
      <w:pPr>
        <w:rPr>
          <w:rFonts w:eastAsia="Malgun Gothic"/>
          <w:lang w:eastAsia="ko-KR"/>
        </w:rPr>
      </w:pPr>
      <w:r w:rsidRPr="00C64ECB">
        <w:rPr>
          <w:lang w:val="en-US"/>
        </w:rPr>
        <w:t>For UL operation, the following options for BWP-based operation within a carrier with bandwidth larger than 20 MHz can be considered.</w:t>
      </w:r>
    </w:p>
    <w:p w14:paraId="064856ED" w14:textId="1A97C266" w:rsidR="00253DDC" w:rsidRPr="00C64ECB" w:rsidRDefault="00571BB8" w:rsidP="00571BB8">
      <w:pPr>
        <w:pStyle w:val="B1"/>
        <w:rPr>
          <w:lang w:val="en-US"/>
        </w:rPr>
      </w:pPr>
      <w:r>
        <w:rPr>
          <w:lang w:val="en-US"/>
        </w:rPr>
        <w:t>-</w:t>
      </w:r>
      <w:r>
        <w:rPr>
          <w:lang w:val="en-US"/>
        </w:rPr>
        <w:tab/>
      </w:r>
      <w:r w:rsidR="00253DDC" w:rsidRPr="00C64ECB">
        <w:rPr>
          <w:lang w:val="en-US"/>
        </w:rPr>
        <w:t>Option 1a: Multiple BWPs configured, multiple BWPs activated, transmission of PUSCH on one or more BWPs</w:t>
      </w:r>
    </w:p>
    <w:p w14:paraId="203B88E8" w14:textId="449F3661" w:rsidR="00253DDC" w:rsidRPr="00C64ECB" w:rsidRDefault="00571BB8" w:rsidP="00571BB8">
      <w:pPr>
        <w:pStyle w:val="B1"/>
        <w:rPr>
          <w:lang w:val="en-US"/>
        </w:rPr>
      </w:pPr>
      <w:r>
        <w:rPr>
          <w:lang w:val="en-US"/>
        </w:rPr>
        <w:t>-</w:t>
      </w:r>
      <w:r>
        <w:rPr>
          <w:lang w:val="en-US"/>
        </w:rPr>
        <w:tab/>
      </w:r>
      <w:r w:rsidR="00253DDC" w:rsidRPr="00C64ECB">
        <w:rPr>
          <w:lang w:val="en-US"/>
        </w:rPr>
        <w:t>Option 1b: Multiple BWPs configured, multiple BWPs activated, transmission of PUSCH on single BWP</w:t>
      </w:r>
    </w:p>
    <w:p w14:paraId="26FFF8B6" w14:textId="3CD5F3F2" w:rsidR="00253DDC" w:rsidRPr="00C64ECB" w:rsidRDefault="00571BB8" w:rsidP="00571BB8">
      <w:pPr>
        <w:pStyle w:val="B1"/>
        <w:rPr>
          <w:lang w:val="en-US"/>
        </w:rPr>
      </w:pPr>
      <w:r>
        <w:rPr>
          <w:lang w:val="en-US"/>
        </w:rPr>
        <w:t>-</w:t>
      </w:r>
      <w:r>
        <w:rPr>
          <w:lang w:val="en-US"/>
        </w:rPr>
        <w:tab/>
      </w:r>
      <w:r w:rsidR="00253DDC" w:rsidRPr="00C64ECB">
        <w:rPr>
          <w:lang w:val="en-US"/>
        </w:rPr>
        <w:t>Option 2: Multiple BWPs can be configured, single BWP activated, UE transmits PUSCH on a single BWP if CCA is successful at UE for the whole BWP</w:t>
      </w:r>
    </w:p>
    <w:p w14:paraId="44F51C15" w14:textId="4839D9BF" w:rsidR="00253DDC" w:rsidRPr="00C64ECB" w:rsidRDefault="00571BB8" w:rsidP="00571BB8">
      <w:pPr>
        <w:pStyle w:val="B1"/>
        <w:rPr>
          <w:lang w:val="en-US"/>
        </w:rPr>
      </w:pPr>
      <w:r>
        <w:rPr>
          <w:lang w:val="en-US"/>
        </w:rPr>
        <w:t>-</w:t>
      </w:r>
      <w:r>
        <w:rPr>
          <w:lang w:val="en-US"/>
        </w:rPr>
        <w:tab/>
      </w:r>
      <w:r w:rsidR="00253DDC" w:rsidRPr="00C64ECB">
        <w:rPr>
          <w:lang w:val="en-US"/>
        </w:rPr>
        <w:t>Option 3: Multiple BWPs can be configured, single BWP activated, UE transmits PUSCH on parts or whole of single BWP where CCA is successful at UE</w:t>
      </w:r>
    </w:p>
    <w:p w14:paraId="0A4333CA" w14:textId="77777777" w:rsidR="00253DDC" w:rsidRPr="00C64ECB" w:rsidRDefault="00253DDC" w:rsidP="00253DDC">
      <w:pPr>
        <w:rPr>
          <w:rFonts w:eastAsia="Malgun Gothic"/>
          <w:lang w:eastAsia="ko-KR"/>
        </w:rPr>
      </w:pPr>
      <w:r w:rsidRPr="00C64ECB">
        <w:rPr>
          <w:rFonts w:eastAsia="Malgun Gothic"/>
          <w:lang w:eastAsia="ko-KR"/>
        </w:rPr>
        <w:t>It is noted that CCA is declared to be successful or not in multiples of 20 MHz.</w:t>
      </w:r>
    </w:p>
    <w:p w14:paraId="4F267DE9" w14:textId="77777777" w:rsidR="00253DDC" w:rsidRPr="00C64ECB" w:rsidRDefault="00253DDC" w:rsidP="00253DDC">
      <w:pPr>
        <w:rPr>
          <w:rFonts w:eastAsia="Malgun Gothic"/>
          <w:lang w:eastAsia="ko-KR"/>
        </w:rPr>
      </w:pPr>
      <w:r w:rsidRPr="00C64ECB">
        <w:rPr>
          <w:rFonts w:eastAsia="Malgun Gothic"/>
          <w:lang w:eastAsia="ko-KR"/>
        </w:rPr>
        <w:lastRenderedPageBreak/>
        <w:t xml:space="preserve">Detailed design and potential selection from the above options can be further discussed when specifications are developed considering protocol and RF aspects. </w:t>
      </w:r>
    </w:p>
    <w:p w14:paraId="3200E800" w14:textId="77777777" w:rsidR="00CB2721" w:rsidRPr="00C64ECB" w:rsidRDefault="00CB2721" w:rsidP="00CB2721">
      <w:pPr>
        <w:pStyle w:val="Heading4"/>
      </w:pPr>
      <w:bookmarkStart w:id="58" w:name="_Toc531343011"/>
      <w:r w:rsidRPr="00C64ECB">
        <w:t>7.2.1.2</w:t>
      </w:r>
      <w:r w:rsidRPr="00C64ECB">
        <w:tab/>
        <w:t>Physical layer channel designs</w:t>
      </w:r>
      <w:bookmarkEnd w:id="58"/>
    </w:p>
    <w:p w14:paraId="67D1292E" w14:textId="77777777" w:rsidR="00016B62" w:rsidRPr="00C64ECB" w:rsidRDefault="00016B62" w:rsidP="00FC66AC">
      <w:r w:rsidRPr="00C64ECB">
        <w:t>For physical layer channel design, NR design will be used as baseline, and the following potential design changes are to be studied to support the following channels/signals in NR-U.</w:t>
      </w:r>
    </w:p>
    <w:p w14:paraId="5E25BA1A" w14:textId="565F6609" w:rsidR="00016B62" w:rsidRPr="00C64ECB" w:rsidRDefault="00FC66AC" w:rsidP="00FC66AC">
      <w:pPr>
        <w:pStyle w:val="B1"/>
      </w:pPr>
      <w:r w:rsidRPr="00C64ECB">
        <w:t>-</w:t>
      </w:r>
      <w:r w:rsidRPr="00C64ECB">
        <w:tab/>
      </w:r>
      <w:r w:rsidR="00016B62" w:rsidRPr="00C64ECB">
        <w:t>PDCCH/PDSCH</w:t>
      </w:r>
    </w:p>
    <w:p w14:paraId="686162F7" w14:textId="63096BF7" w:rsidR="00016B62" w:rsidRPr="00C64ECB" w:rsidRDefault="00FC66AC" w:rsidP="00FC66AC">
      <w:pPr>
        <w:pStyle w:val="B1"/>
      </w:pPr>
      <w:r w:rsidRPr="00C64ECB">
        <w:t>-</w:t>
      </w:r>
      <w:r w:rsidRPr="00C64ECB">
        <w:tab/>
      </w:r>
      <w:r w:rsidR="00016B62" w:rsidRPr="00C64ECB">
        <w:t>PUCCH/PUSCH</w:t>
      </w:r>
    </w:p>
    <w:p w14:paraId="7B1E90AB" w14:textId="6FBF6FB5" w:rsidR="00016B62" w:rsidRPr="00C64ECB" w:rsidRDefault="00FC66AC" w:rsidP="00FC66AC">
      <w:pPr>
        <w:pStyle w:val="B1"/>
      </w:pPr>
      <w:r w:rsidRPr="00C64ECB">
        <w:t>-</w:t>
      </w:r>
      <w:r w:rsidRPr="00C64ECB">
        <w:tab/>
      </w:r>
      <w:r w:rsidR="00016B62" w:rsidRPr="00C64ECB">
        <w:t>PSS/SSS/PBCH</w:t>
      </w:r>
    </w:p>
    <w:p w14:paraId="5EA0E263" w14:textId="4DEE11CA" w:rsidR="00016B62" w:rsidRPr="00C64ECB" w:rsidRDefault="00FC66AC" w:rsidP="00FC66AC">
      <w:pPr>
        <w:pStyle w:val="B1"/>
      </w:pPr>
      <w:r w:rsidRPr="00C64ECB">
        <w:t>-</w:t>
      </w:r>
      <w:r w:rsidRPr="00C64ECB">
        <w:tab/>
      </w:r>
      <w:r w:rsidR="00016B62" w:rsidRPr="00C64ECB">
        <w:t>PRACH</w:t>
      </w:r>
    </w:p>
    <w:p w14:paraId="5D19C9F4" w14:textId="018A1B9E" w:rsidR="00016B62" w:rsidRPr="00C64ECB" w:rsidRDefault="00FC66AC" w:rsidP="00FC66AC">
      <w:pPr>
        <w:pStyle w:val="B1"/>
      </w:pPr>
      <w:r w:rsidRPr="00C64ECB">
        <w:t>-</w:t>
      </w:r>
      <w:r w:rsidRPr="00C64ECB">
        <w:tab/>
      </w:r>
      <w:r w:rsidR="00016B62" w:rsidRPr="00C64ECB">
        <w:t>DL and UL reference signals applicable to the operational frequency range</w:t>
      </w:r>
    </w:p>
    <w:p w14:paraId="00D063DE" w14:textId="4EE56A70" w:rsidR="00DF5FEA" w:rsidRPr="00C64ECB" w:rsidRDefault="00DF5FEA" w:rsidP="000D5C5C">
      <w:r w:rsidRPr="00C64ECB">
        <w:t xml:space="preserve">For SS/PBCH block transmission, extended CP is not supported for NR-U operation. </w:t>
      </w:r>
    </w:p>
    <w:p w14:paraId="77D29733" w14:textId="1958DAD9" w:rsidR="00800C75" w:rsidRPr="00C64ECB" w:rsidRDefault="00800C75" w:rsidP="000D5C5C">
      <w:pPr>
        <w:rPr>
          <w:lang w:eastAsia="x-none"/>
        </w:rPr>
      </w:pPr>
      <w:r w:rsidRPr="00C64ECB">
        <w:t xml:space="preserve">For PSS/SSS/PBCH transmission, </w:t>
      </w:r>
      <w:r w:rsidRPr="00C64ECB">
        <w:rPr>
          <w:lang w:eastAsia="x-none"/>
        </w:rPr>
        <w:t>NR-U should have a signal that contains at least SS/PBCH block burst set transmission. The design of this signal should consider the following characteristics specific to unlicensed band operation:</w:t>
      </w:r>
    </w:p>
    <w:p w14:paraId="64FF7A8F" w14:textId="0FB8D50C" w:rsidR="00800C75" w:rsidRPr="00C64ECB" w:rsidRDefault="00FC66AC" w:rsidP="00FC66AC">
      <w:pPr>
        <w:pStyle w:val="B1"/>
      </w:pPr>
      <w:r w:rsidRPr="00C64ECB">
        <w:t>-</w:t>
      </w:r>
      <w:r w:rsidRPr="00C64ECB">
        <w:tab/>
      </w:r>
      <w:r w:rsidR="00800C75" w:rsidRPr="00C64ECB">
        <w:t>There are no gaps within the time span the signal is transmitted at least within a beam</w:t>
      </w:r>
    </w:p>
    <w:p w14:paraId="7E4D1AFB" w14:textId="4E692663" w:rsidR="00800C75" w:rsidRPr="00C64ECB" w:rsidRDefault="00FC66AC" w:rsidP="00FC66AC">
      <w:pPr>
        <w:pStyle w:val="B1"/>
      </w:pPr>
      <w:r w:rsidRPr="00C64ECB">
        <w:t>-</w:t>
      </w:r>
      <w:r w:rsidRPr="00C64ECB">
        <w:tab/>
      </w:r>
      <w:r w:rsidR="00800C75" w:rsidRPr="00C64ECB">
        <w:t>The occupied channel bandwidth is satisfied (although this may not be a requirement)</w:t>
      </w:r>
    </w:p>
    <w:p w14:paraId="6F11080A" w14:textId="1E749B1E" w:rsidR="00800C75" w:rsidRPr="00C64ECB" w:rsidRDefault="00FC66AC" w:rsidP="00FC66AC">
      <w:pPr>
        <w:pStyle w:val="B1"/>
      </w:pPr>
      <w:r w:rsidRPr="00C64ECB">
        <w:t>-</w:t>
      </w:r>
      <w:r w:rsidRPr="00C64ECB">
        <w:tab/>
      </w:r>
      <w:r w:rsidR="00800C75" w:rsidRPr="00C64ECB">
        <w:t>Strive to minimize the channel occupancy time of the signal</w:t>
      </w:r>
    </w:p>
    <w:p w14:paraId="7B6E6762" w14:textId="270A4047" w:rsidR="00800C75" w:rsidRPr="00C64ECB" w:rsidRDefault="00FC66AC" w:rsidP="00FC66AC">
      <w:pPr>
        <w:pStyle w:val="B1"/>
      </w:pPr>
      <w:r w:rsidRPr="00C64ECB">
        <w:t>-</w:t>
      </w:r>
      <w:r w:rsidRPr="00C64ECB">
        <w:tab/>
      </w:r>
      <w:r w:rsidR="00800C75" w:rsidRPr="00C64ECB">
        <w:t>Characteristics that may facilitate fast channel access</w:t>
      </w:r>
    </w:p>
    <w:p w14:paraId="16F9A08B" w14:textId="52312FC4" w:rsidR="00EC7E4A" w:rsidRPr="00C64ECB" w:rsidRDefault="00EC7E4A" w:rsidP="00EC7E4A">
      <w:r w:rsidRPr="00C64ECB">
        <w:t>Inclusion of the CSI-RS and RMSI-CORESET(s)+PDSCH(s) (carrying RMSI) associated with SS/PBCH block(s) in addition to the SS/PBCH burst set in one contiguous burst (referred to as the NR-U DRS) can be beneficial for</w:t>
      </w:r>
    </w:p>
    <w:p w14:paraId="0190B131" w14:textId="07A699A5" w:rsidR="00EC7E4A" w:rsidRPr="00C64ECB" w:rsidRDefault="00043FB2" w:rsidP="00043FB2">
      <w:pPr>
        <w:pStyle w:val="B1"/>
      </w:pPr>
      <w:r w:rsidRPr="00C64ECB">
        <w:t>-</w:t>
      </w:r>
      <w:r w:rsidRPr="00C64ECB">
        <w:tab/>
      </w:r>
      <w:r w:rsidR="00EC7E4A" w:rsidRPr="00C64ECB">
        <w:t>Meeting OCB requirement</w:t>
      </w:r>
    </w:p>
    <w:p w14:paraId="26EA5D39" w14:textId="2C8A0159" w:rsidR="00EC7E4A" w:rsidRPr="00C64ECB" w:rsidRDefault="00043FB2" w:rsidP="00043FB2">
      <w:pPr>
        <w:pStyle w:val="B1"/>
      </w:pPr>
      <w:r w:rsidRPr="00C64ECB">
        <w:t>-</w:t>
      </w:r>
      <w:r w:rsidRPr="00C64ECB">
        <w:tab/>
      </w:r>
      <w:r w:rsidR="00EC7E4A" w:rsidRPr="00C64ECB">
        <w:t>Compacting signals in time domain to limit the required number of channel access and for short channel occupancy</w:t>
      </w:r>
    </w:p>
    <w:p w14:paraId="080724EF" w14:textId="6EA3DB9D" w:rsidR="00EC7E4A" w:rsidRPr="00C64ECB" w:rsidRDefault="00043FB2" w:rsidP="00043FB2">
      <w:pPr>
        <w:pStyle w:val="B1"/>
      </w:pPr>
      <w:r w:rsidRPr="00C64ECB">
        <w:t>-</w:t>
      </w:r>
      <w:r w:rsidRPr="00C64ECB">
        <w:tab/>
      </w:r>
      <w:r w:rsidR="00EC7E4A" w:rsidRPr="00C64ECB">
        <w:t>Support of stand-alone NR-U deployments</w:t>
      </w:r>
    </w:p>
    <w:p w14:paraId="15209FE8" w14:textId="1E1FE654" w:rsidR="00EC7E4A" w:rsidRPr="00C64ECB" w:rsidRDefault="00043FB2" w:rsidP="00043FB2">
      <w:pPr>
        <w:pStyle w:val="B1"/>
      </w:pPr>
      <w:r w:rsidRPr="00C64ECB">
        <w:t>-</w:t>
      </w:r>
      <w:r w:rsidRPr="00C64ECB">
        <w:tab/>
      </w:r>
      <w:r w:rsidR="00EC7E4A" w:rsidRPr="00C64ECB">
        <w:t xml:space="preserve">Support of automatic neighbour relations (ANR) functionality in an NR-U deployment </w:t>
      </w:r>
    </w:p>
    <w:p w14:paraId="1FA35685" w14:textId="041485CD" w:rsidR="00EC7E4A" w:rsidRPr="00C64ECB" w:rsidRDefault="00043FB2" w:rsidP="00043FB2">
      <w:pPr>
        <w:pStyle w:val="B1"/>
      </w:pPr>
      <w:r w:rsidRPr="00C64ECB">
        <w:t>-</w:t>
      </w:r>
      <w:r w:rsidRPr="00C64ECB">
        <w:tab/>
      </w:r>
      <w:r w:rsidR="00EC7E4A" w:rsidRPr="00C64ECB">
        <w:t>Resolution of PCI confusion in an NR-U deployment</w:t>
      </w:r>
    </w:p>
    <w:p w14:paraId="690529AF" w14:textId="1C53569A" w:rsidR="00EC7E4A" w:rsidRPr="00C64ECB" w:rsidRDefault="00EC7E4A" w:rsidP="00EC7E4A">
      <w:r w:rsidRPr="00C64ECB">
        <w:t>The transmission of additional signals such as OSI and paging within the NR-U DRS is allowed and can be beneficial.</w:t>
      </w:r>
    </w:p>
    <w:p w14:paraId="2F8EC63D" w14:textId="09A7EE31" w:rsidR="00253DDC" w:rsidRPr="00C64ECB" w:rsidRDefault="00253DDC" w:rsidP="00253DDC">
      <w:r w:rsidRPr="00C64ECB">
        <w:t xml:space="preserve">Support of Pattern 1 is recommended for multiplexing of SS/PBCH block(s) and CORESET(s)#0 in NR-U, where Pattern 1 is understood as CORESET#0 and </w:t>
      </w:r>
      <w:r w:rsidR="00FF3255" w:rsidRPr="00C64ECB">
        <w:t xml:space="preserve">an </w:t>
      </w:r>
      <w:r w:rsidRPr="00C64ECB">
        <w:t>SS/PBCH block occur</w:t>
      </w:r>
      <w:r w:rsidR="00FF3255" w:rsidRPr="00C64ECB">
        <w:t>ing</w:t>
      </w:r>
      <w:r w:rsidRPr="00C64ECB">
        <w:t xml:space="preserve"> in different time instances, and </w:t>
      </w:r>
      <w:r w:rsidR="00FF3255" w:rsidRPr="00C64ECB">
        <w:t>the CORESET#0 bandwidth overlaping</w:t>
      </w:r>
      <w:r w:rsidRPr="00C64ECB">
        <w:t xml:space="preserve"> with the transmission bandwidth of the SS/PBCH block.</w:t>
      </w:r>
    </w:p>
    <w:p w14:paraId="442E25A4" w14:textId="22C81500" w:rsidR="00253DDC" w:rsidRPr="00C64ECB" w:rsidRDefault="00253DDC" w:rsidP="00253DDC">
      <w:r w:rsidRPr="00C64ECB">
        <w:t>As one element to facilitate a NR-U DRS design without gaps in the time domain, the CORESET#0 configuration(s) and/or Type0-PDCCH common search space configuration(s) may need enhancements compared to NR Rel-15, such as additional time domain configurations of the common search space</w:t>
      </w:r>
      <w:r w:rsidR="00FF3255" w:rsidRPr="00C64ECB">
        <w:t>(s)</w:t>
      </w:r>
      <w:r w:rsidRPr="00C64ECB">
        <w:t>.</w:t>
      </w:r>
    </w:p>
    <w:p w14:paraId="0B70EB6C" w14:textId="201CAD42" w:rsidR="00253DDC" w:rsidRPr="00C64ECB" w:rsidRDefault="00253DDC" w:rsidP="00253DDC">
      <w:r w:rsidRPr="00C64ECB">
        <w:t>The detection of a gNB</w:t>
      </w:r>
      <w:r w:rsidR="005C4862">
        <w:t>'</w:t>
      </w:r>
      <w:r w:rsidRPr="00C64ECB">
        <w:t>s transmission burst by the UE has been studied, and concerns on the UE power consumption required for Tx burst detection e.g. if the UE needs to frequently detect/monitor the PDCCH have been raised. The proposals that have been made by contributions regarding these topics include existing NR signal(s) with potential enhancement(s), a channel such as PDCCH with potential enhancement(s), and the 802.11a/802.11ax preamble with potential enhancement(s); consensus was not achieved on any of these proposals. The detection/decoding reliability of each of the proposals has not been sufficiently evaluated for a complete evaluation of the proposals against each other. The power consumption and detection/decoding complexity of each of the proposals have not been sufficiently evaluated for a complete evaluation of the proposals against each other. The relation of a proposal with C-DRX and/or measurement gap(s) may need further consideration when specifications are being developed.</w:t>
      </w:r>
    </w:p>
    <w:p w14:paraId="2CFEAA77" w14:textId="464F71E5" w:rsidR="00253DDC" w:rsidRPr="00C64ECB" w:rsidRDefault="00253DDC" w:rsidP="00253DDC">
      <w:r w:rsidRPr="00C64ECB">
        <w:lastRenderedPageBreak/>
        <w:t>Compared to NR Rel-15, it has been identified to be beneficial if the time domain instances in which the UE is expected to receive PDCCH can change dynamically, e.g. by implicit determination related to the gNB</w:t>
      </w:r>
      <w:r w:rsidR="005C4862">
        <w:t>'</w:t>
      </w:r>
      <w:r w:rsidRPr="00C64ECB">
        <w:t>s COT, or explicitly signalled by the gNB.</w:t>
      </w:r>
    </w:p>
    <w:p w14:paraId="0A60ABD9" w14:textId="3BB5C961" w:rsidR="000D5C5C" w:rsidRPr="00C64ECB" w:rsidRDefault="00800C75" w:rsidP="000D5C5C">
      <w:r w:rsidRPr="00C64ECB">
        <w:t>For UL waveform</w:t>
      </w:r>
      <w:r w:rsidR="003A6763" w:rsidRPr="00C64ECB">
        <w:t xml:space="preserve"> for PUSCH,</w:t>
      </w:r>
      <w:r w:rsidR="000D5C5C" w:rsidRPr="00C64ECB">
        <w:t xml:space="preserve"> PUCCH</w:t>
      </w:r>
      <w:r w:rsidR="003A6763" w:rsidRPr="00C64ECB">
        <w:t>, and PRACH</w:t>
      </w:r>
      <w:r w:rsidR="000D5C5C" w:rsidRPr="00C64ECB">
        <w:t>, it has been identified that a</w:t>
      </w:r>
      <w:r w:rsidR="003A6763" w:rsidRPr="00C64ECB">
        <w:t>n</w:t>
      </w:r>
      <w:r w:rsidR="000D5C5C" w:rsidRPr="00C64ECB">
        <w:t xml:space="preserve"> </w:t>
      </w:r>
      <w:r w:rsidRPr="00C64ECB">
        <w:rPr>
          <w:lang w:eastAsia="x-none"/>
        </w:rPr>
        <w:t>interlaced waveform can have benefits in some scenarios including l</w:t>
      </w:r>
      <w:r w:rsidRPr="00C64ECB">
        <w:t>ink budget limited cases with given PSD constraint, and as one option to efficiently meet the occupied</w:t>
      </w:r>
      <w:r w:rsidR="000D5C5C" w:rsidRPr="00C64ECB">
        <w:t xml:space="preserve"> channel bandwidth requirement. </w:t>
      </w:r>
    </w:p>
    <w:p w14:paraId="7B8D510C" w14:textId="2818F77C" w:rsidR="00800C75" w:rsidRPr="00C64ECB" w:rsidRDefault="00800C75" w:rsidP="000D5C5C">
      <w:r w:rsidRPr="00C64ECB">
        <w:t xml:space="preserve">On the other hand, </w:t>
      </w:r>
      <w:r w:rsidR="000D5C5C" w:rsidRPr="00C64ECB">
        <w:t>i</w:t>
      </w:r>
      <w:r w:rsidRPr="00C64ECB">
        <w:rPr>
          <w:lang w:eastAsia="x-none"/>
        </w:rPr>
        <w:t>t is RAN1</w:t>
      </w:r>
      <w:r w:rsidR="003F074D" w:rsidRPr="00C64ECB">
        <w:rPr>
          <w:lang w:eastAsia="x-none"/>
        </w:rPr>
        <w:t>'</w:t>
      </w:r>
      <w:r w:rsidRPr="00C64ECB">
        <w:rPr>
          <w:lang w:eastAsia="x-none"/>
        </w:rPr>
        <w:t>s understanding that the temporal allowance of not meeting occupied channel bandwidth by regulation can be exploited if the minimum bandwidth requirement, e.g., 2 MHz, is satisfied.</w:t>
      </w:r>
      <w:r w:rsidR="000D5C5C" w:rsidRPr="00C64ECB">
        <w:rPr>
          <w:lang w:eastAsia="x-none"/>
        </w:rPr>
        <w:t xml:space="preserve"> Therefore, </w:t>
      </w:r>
      <w:r w:rsidR="000D5C5C" w:rsidRPr="00C64ECB">
        <w:t>a</w:t>
      </w:r>
      <w:r w:rsidR="000D5C5C" w:rsidRPr="00C64ECB">
        <w:rPr>
          <w:lang w:eastAsia="x-none"/>
        </w:rPr>
        <w:t xml:space="preserve"> waveform contiguous in frequency may be adequate in some scenarios, which implies that Release 15 NR </w:t>
      </w:r>
      <w:r w:rsidR="000D5C5C" w:rsidRPr="00C64ECB">
        <w:t>contiguous allocation designs can be used for NR-U as well.</w:t>
      </w:r>
    </w:p>
    <w:p w14:paraId="2301DCE8" w14:textId="31DA08D1" w:rsidR="003A6763" w:rsidRPr="00C64ECB" w:rsidRDefault="003A6763" w:rsidP="000D5C5C">
      <w:r w:rsidRPr="00C64ECB">
        <w:t>Support for Rel-15 NR PUSCH can be considered. However, it has been identified that block-interlaced based PUSCH can be beneficial.</w:t>
      </w:r>
    </w:p>
    <w:p w14:paraId="733B73AB" w14:textId="5EC3A343" w:rsidR="000D5C5C" w:rsidRPr="00C64ECB" w:rsidRDefault="000D5C5C" w:rsidP="00873401">
      <w:r w:rsidRPr="00C64ECB">
        <w:t xml:space="preserve">Support for Rel-15 NR PUCCH formats can be considered, however, not necessarily all Release 15 NR PUCCH formats are applicable to NR-U. </w:t>
      </w:r>
      <w:r w:rsidR="00873401" w:rsidRPr="00C64ECB">
        <w:t>It has been identified that legacy PUCCH formats PF2 and PF3 are beneficial for NR-U for the scenario of contiguous allocations due to the fact that they may be configured with bandwidth that meets the minimum temporal allowance of 2 MHz (12/6/3 PRBs for 15/30/60 kHz SCS). It has been identified that legacy PUCCH formats PF0/1/4 are not well-suited for NR-U for the scenario of contiguous allocations since they support only single PRB.</w:t>
      </w:r>
    </w:p>
    <w:p w14:paraId="577FDA85" w14:textId="5F5EC32E" w:rsidR="000D5C5C" w:rsidRPr="00C64ECB" w:rsidRDefault="000D5C5C" w:rsidP="002B4804">
      <w:pPr>
        <w:spacing w:after="0"/>
      </w:pPr>
      <w:r w:rsidRPr="00C64ECB">
        <w:t>When new block interlace wavefor</w:t>
      </w:r>
      <w:r w:rsidR="003A6763" w:rsidRPr="00C64ECB">
        <w:t>m</w:t>
      </w:r>
      <w:r w:rsidRPr="00C64ECB">
        <w:t xml:space="preserve"> for PUCCH is to be defined, it is beneficial to use the same </w:t>
      </w:r>
      <w:r w:rsidR="003A6763" w:rsidRPr="00C64ECB">
        <w:t xml:space="preserve">block </w:t>
      </w:r>
      <w:r w:rsidRPr="00C64ECB">
        <w:t xml:space="preserve">interlace structure for PUCCH and PUSCH. </w:t>
      </w:r>
    </w:p>
    <w:p w14:paraId="4FCCBD44" w14:textId="77777777" w:rsidR="00802ABC" w:rsidRPr="00C64ECB" w:rsidRDefault="00802ABC" w:rsidP="00802ABC">
      <w:pPr>
        <w:snapToGrid w:val="0"/>
        <w:spacing w:after="120"/>
        <w:contextualSpacing/>
      </w:pPr>
      <w:r w:rsidRPr="00C64ECB">
        <w:t>It has been identified that enhancement of one or more legacy PUCCH formats is feasible to support block interlaced PUCCH transmission. There is consensus that enhanced PUCCH with both short and long duration is beneficial for NR-U; however, no consensus has been achieved about which legacy PUCCH format(s) should be the starting point for an enhanced PUCCH design. Some sources suggest introducing just one or two new enhanced PUCCH formats, while other sources suggest enhancing all or almost all legacy PUCCH formats (PF0,1,2,3,4). Regardless of which format(s) is(are) chosen as a starting point for enhancement, the following common aspects have been identified as important to consider in the detailed design of the enhanced PUCCH format(s) when specifications are developed:</w:t>
      </w:r>
    </w:p>
    <w:p w14:paraId="7C85B93C" w14:textId="7471E07D" w:rsidR="00802ABC" w:rsidRPr="00C64ECB" w:rsidRDefault="00802ABC" w:rsidP="00802ABC">
      <w:pPr>
        <w:pStyle w:val="B1"/>
      </w:pPr>
      <w:r w:rsidRPr="00C64ECB">
        <w:t>-</w:t>
      </w:r>
      <w:r w:rsidRPr="00C64ECB">
        <w:tab/>
        <w:t>Flexible number of OFDM symbols</w:t>
      </w:r>
    </w:p>
    <w:p w14:paraId="31202357" w14:textId="0867A62C" w:rsidR="00802ABC" w:rsidRPr="00C64ECB" w:rsidRDefault="00802ABC" w:rsidP="00802ABC">
      <w:pPr>
        <w:pStyle w:val="B2"/>
      </w:pPr>
      <w:r w:rsidRPr="00C64ECB">
        <w:t>-</w:t>
      </w:r>
      <w:r w:rsidRPr="00C64ECB">
        <w:tab/>
        <w:t>Short duration, e.g., 1 or 2 OFDM symbols</w:t>
      </w:r>
    </w:p>
    <w:p w14:paraId="38F893DA" w14:textId="4C864B26" w:rsidR="00802ABC" w:rsidRPr="00C64ECB" w:rsidRDefault="00802ABC" w:rsidP="00802ABC">
      <w:pPr>
        <w:pStyle w:val="B2"/>
      </w:pPr>
      <w:r w:rsidRPr="00C64ECB">
        <w:t>-</w:t>
      </w:r>
      <w:r w:rsidRPr="00C64ECB">
        <w:tab/>
        <w:t>Long duration, e.g., 4 – 14 OFDM symbols</w:t>
      </w:r>
    </w:p>
    <w:p w14:paraId="334CE478" w14:textId="48816F68" w:rsidR="00802ABC" w:rsidRPr="00C64ECB" w:rsidRDefault="00802ABC" w:rsidP="00802ABC">
      <w:pPr>
        <w:pStyle w:val="B1"/>
      </w:pPr>
      <w:r w:rsidRPr="00C64ECB">
        <w:t>-</w:t>
      </w:r>
      <w:r w:rsidRPr="00C64ECB">
        <w:tab/>
        <w:t>Flexible UCI payload</w:t>
      </w:r>
    </w:p>
    <w:p w14:paraId="27E59401" w14:textId="69ED145D" w:rsidR="00802ABC" w:rsidRPr="00C64ECB" w:rsidRDefault="00802ABC" w:rsidP="00802ABC">
      <w:pPr>
        <w:pStyle w:val="B2"/>
      </w:pPr>
      <w:r w:rsidRPr="00C64ECB">
        <w:t>-</w:t>
      </w:r>
      <w:r w:rsidRPr="00C64ECB">
        <w:tab/>
        <w:t>Small payload, e.g., 1 or 2 bit</w:t>
      </w:r>
    </w:p>
    <w:p w14:paraId="2D6BBDFC" w14:textId="5CCF4F76" w:rsidR="00802ABC" w:rsidRPr="00C64ECB" w:rsidRDefault="00802ABC" w:rsidP="00802ABC">
      <w:pPr>
        <w:pStyle w:val="B2"/>
      </w:pPr>
      <w:r w:rsidRPr="00C64ECB">
        <w:t>-</w:t>
      </w:r>
      <w:r w:rsidRPr="00C64ECB">
        <w:tab/>
        <w:t>Larger payloads, e.g., &gt; 2 bits</w:t>
      </w:r>
    </w:p>
    <w:p w14:paraId="19643B4D" w14:textId="0F4C1664" w:rsidR="00802ABC" w:rsidRPr="00C64ECB" w:rsidRDefault="00802ABC" w:rsidP="00802ABC">
      <w:pPr>
        <w:pStyle w:val="B1"/>
      </w:pPr>
      <w:r w:rsidRPr="00C64ECB">
        <w:t>-</w:t>
      </w:r>
      <w:r w:rsidRPr="00C64ECB">
        <w:tab/>
        <w:t>Coding of UCI payload, e.g.,</w:t>
      </w:r>
    </w:p>
    <w:p w14:paraId="3543A8C7" w14:textId="31D8827C" w:rsidR="00802ABC" w:rsidRPr="00C64ECB" w:rsidRDefault="00802ABC" w:rsidP="00802ABC">
      <w:pPr>
        <w:pStyle w:val="B2"/>
      </w:pPr>
      <w:r w:rsidRPr="00C64ECB">
        <w:t>-</w:t>
      </w:r>
      <w:r w:rsidRPr="00C64ECB">
        <w:tab/>
        <w:t>Extend legacy (NR Rel-15) PUCCH encoder to handle small payloads</w:t>
      </w:r>
    </w:p>
    <w:p w14:paraId="7FAEAFC8" w14:textId="05638B36" w:rsidR="00802ABC" w:rsidRPr="00C64ECB" w:rsidRDefault="00802ABC" w:rsidP="00802ABC">
      <w:pPr>
        <w:pStyle w:val="B2"/>
      </w:pPr>
      <w:r w:rsidRPr="00C64ECB">
        <w:t>-</w:t>
      </w:r>
      <w:r w:rsidRPr="00C64ECB">
        <w:tab/>
        <w:t>Repetition of coded UCI bits across PRBs of an interlace</w:t>
      </w:r>
    </w:p>
    <w:p w14:paraId="6B9A9586" w14:textId="43DDFA34" w:rsidR="00802ABC" w:rsidRPr="00C64ECB" w:rsidRDefault="00802ABC" w:rsidP="00802ABC">
      <w:pPr>
        <w:pStyle w:val="B2"/>
      </w:pPr>
      <w:r w:rsidRPr="00C64ECB">
        <w:t>-</w:t>
      </w:r>
      <w:r w:rsidRPr="00C64ECB">
        <w:tab/>
        <w:t>UCI Codebits over all PRBs, i.e. no repetition coding.</w:t>
      </w:r>
    </w:p>
    <w:p w14:paraId="246717EA" w14:textId="4ACBD3F4" w:rsidR="00802ABC" w:rsidRPr="00C64ECB" w:rsidRDefault="00802ABC" w:rsidP="00802ABC">
      <w:pPr>
        <w:pStyle w:val="B1"/>
      </w:pPr>
      <w:r w:rsidRPr="00C64ECB">
        <w:t>-</w:t>
      </w:r>
      <w:r w:rsidRPr="00C64ECB">
        <w:tab/>
        <w:t>Number of supported PUCCH formats</w:t>
      </w:r>
    </w:p>
    <w:p w14:paraId="220D2495" w14:textId="14CB5FCE" w:rsidR="00802ABC" w:rsidRPr="00C64ECB" w:rsidRDefault="00802ABC" w:rsidP="00802ABC">
      <w:pPr>
        <w:pStyle w:val="B1"/>
      </w:pPr>
      <w:r w:rsidRPr="00C64ECB">
        <w:t>-</w:t>
      </w:r>
      <w:r w:rsidRPr="00C64ECB">
        <w:tab/>
        <w:t>Support for user multiplexing of both UCI payload and DMRS on an interlace, e.g.,</w:t>
      </w:r>
    </w:p>
    <w:p w14:paraId="6D4120EC" w14:textId="1D6631FC" w:rsidR="00802ABC" w:rsidRPr="00C64ECB" w:rsidRDefault="00802ABC" w:rsidP="00802ABC">
      <w:pPr>
        <w:pStyle w:val="B2"/>
      </w:pPr>
      <w:r w:rsidRPr="00C64ECB">
        <w:t>-</w:t>
      </w:r>
      <w:r w:rsidRPr="00C64ECB">
        <w:tab/>
        <w:t>OCCs</w:t>
      </w:r>
    </w:p>
    <w:p w14:paraId="7698F1CC" w14:textId="0D12407A" w:rsidR="00802ABC" w:rsidRPr="00C64ECB" w:rsidRDefault="00802ABC" w:rsidP="00802ABC">
      <w:pPr>
        <w:pStyle w:val="B2"/>
      </w:pPr>
      <w:r w:rsidRPr="00C64ECB">
        <w:t>-</w:t>
      </w:r>
      <w:r w:rsidRPr="00C64ECB">
        <w:tab/>
        <w:t>Cyclic shifts</w:t>
      </w:r>
    </w:p>
    <w:p w14:paraId="648106E2" w14:textId="786924DE" w:rsidR="00802ABC" w:rsidRPr="00C64ECB" w:rsidRDefault="00802ABC" w:rsidP="00802ABC">
      <w:pPr>
        <w:pStyle w:val="B2"/>
      </w:pPr>
      <w:r w:rsidRPr="00C64ECB">
        <w:t>-</w:t>
      </w:r>
      <w:r w:rsidRPr="00C64ECB">
        <w:tab/>
        <w:t>FDM within an interlace</w:t>
      </w:r>
    </w:p>
    <w:p w14:paraId="44F1FBF8" w14:textId="63C0ED36" w:rsidR="00802ABC" w:rsidRPr="00C64ECB" w:rsidRDefault="00802ABC" w:rsidP="00802ABC">
      <w:pPr>
        <w:pStyle w:val="B1"/>
      </w:pPr>
      <w:r w:rsidRPr="00C64ECB">
        <w:t>-</w:t>
      </w:r>
      <w:r w:rsidRPr="00C64ECB">
        <w:tab/>
        <w:t>Multiplexing method of UCI payload and DMRS, e.g,</w:t>
      </w:r>
    </w:p>
    <w:p w14:paraId="125C3A34" w14:textId="73B3E1F7" w:rsidR="00802ABC" w:rsidRPr="00C64ECB" w:rsidRDefault="00802ABC" w:rsidP="00802ABC">
      <w:pPr>
        <w:pStyle w:val="B2"/>
      </w:pPr>
      <w:r w:rsidRPr="00C64ECB">
        <w:t>-</w:t>
      </w:r>
      <w:r w:rsidRPr="00C64ECB">
        <w:tab/>
        <w:t xml:space="preserve">TDM </w:t>
      </w:r>
    </w:p>
    <w:p w14:paraId="77319FF3" w14:textId="2D9ABF6A" w:rsidR="00802ABC" w:rsidRPr="00C64ECB" w:rsidRDefault="00802ABC" w:rsidP="00802ABC">
      <w:pPr>
        <w:pStyle w:val="B2"/>
      </w:pPr>
      <w:r w:rsidRPr="00C64ECB">
        <w:lastRenderedPageBreak/>
        <w:t>-</w:t>
      </w:r>
      <w:r w:rsidRPr="00C64ECB">
        <w:tab/>
        <w:t>FDM</w:t>
      </w:r>
    </w:p>
    <w:p w14:paraId="45D21CEC" w14:textId="5D49D624" w:rsidR="00802ABC" w:rsidRPr="00C64ECB" w:rsidRDefault="00802ABC" w:rsidP="00802ABC">
      <w:pPr>
        <w:pStyle w:val="B1"/>
      </w:pPr>
      <w:r w:rsidRPr="00C64ECB">
        <w:t>-</w:t>
      </w:r>
      <w:r w:rsidRPr="00C64ECB">
        <w:tab/>
        <w:t>Mechanism to control PAPR, e.g.,</w:t>
      </w:r>
    </w:p>
    <w:p w14:paraId="28AC5617" w14:textId="75893AFA" w:rsidR="00802ABC" w:rsidRPr="00C64ECB" w:rsidRDefault="00802ABC" w:rsidP="00802ABC">
      <w:pPr>
        <w:pStyle w:val="B2"/>
      </w:pPr>
      <w:r w:rsidRPr="00C64ECB">
        <w:t>-</w:t>
      </w:r>
      <w:r w:rsidRPr="00C64ECB">
        <w:tab/>
        <w:t>OCC cycling</w:t>
      </w:r>
    </w:p>
    <w:p w14:paraId="766F675A" w14:textId="52B42934" w:rsidR="00802ABC" w:rsidRPr="00C64ECB" w:rsidRDefault="00802ABC" w:rsidP="00802ABC">
      <w:pPr>
        <w:pStyle w:val="B2"/>
      </w:pPr>
      <w:r w:rsidRPr="00C64ECB">
        <w:t>-</w:t>
      </w:r>
      <w:r w:rsidRPr="00C64ECB">
        <w:tab/>
        <w:t>Bit level processing</w:t>
      </w:r>
    </w:p>
    <w:p w14:paraId="2ADCCDF9" w14:textId="1EA3677E" w:rsidR="00802ABC" w:rsidRPr="00C64ECB" w:rsidRDefault="00802ABC" w:rsidP="00802ABC">
      <w:pPr>
        <w:pStyle w:val="B2"/>
      </w:pPr>
      <w:r w:rsidRPr="00C64ECB">
        <w:t>-</w:t>
      </w:r>
      <w:r w:rsidRPr="00C64ECB">
        <w:tab/>
        <w:t>PRB level processing</w:t>
      </w:r>
    </w:p>
    <w:p w14:paraId="73D6A10C" w14:textId="07EA747C" w:rsidR="00802ABC" w:rsidRPr="00C64ECB" w:rsidRDefault="00802ABC" w:rsidP="00802ABC">
      <w:pPr>
        <w:pStyle w:val="B2"/>
      </w:pPr>
      <w:r w:rsidRPr="00C64ECB">
        <w:t>-</w:t>
      </w:r>
      <w:r w:rsidRPr="00C64ECB">
        <w:tab/>
        <w:t>Sequence hopping</w:t>
      </w:r>
    </w:p>
    <w:p w14:paraId="0BED302A" w14:textId="72914A35" w:rsidR="00802ABC" w:rsidRPr="00C64ECB" w:rsidRDefault="00802ABC" w:rsidP="00802ABC">
      <w:pPr>
        <w:pStyle w:val="B1"/>
      </w:pPr>
      <w:r w:rsidRPr="00C64ECB">
        <w:t>-</w:t>
      </w:r>
      <w:r w:rsidRPr="00C64ECB">
        <w:tab/>
        <w:t>PUCCH waveform, e.g.,</w:t>
      </w:r>
    </w:p>
    <w:p w14:paraId="255D76D4" w14:textId="726D1E2C" w:rsidR="00802ABC" w:rsidRPr="00C64ECB" w:rsidRDefault="00802ABC" w:rsidP="00802ABC">
      <w:pPr>
        <w:pStyle w:val="B2"/>
      </w:pPr>
      <w:r w:rsidRPr="00C64ECB">
        <w:t>-</w:t>
      </w:r>
      <w:r w:rsidRPr="00C64ECB">
        <w:tab/>
        <w:t>CP-OFDM</w:t>
      </w:r>
    </w:p>
    <w:p w14:paraId="0DA46601" w14:textId="1C3A244C" w:rsidR="00802ABC" w:rsidRPr="00C64ECB" w:rsidRDefault="00802ABC" w:rsidP="00802ABC">
      <w:pPr>
        <w:pStyle w:val="B2"/>
      </w:pPr>
      <w:r w:rsidRPr="00C64ECB">
        <w:t>-</w:t>
      </w:r>
      <w:r w:rsidRPr="00C64ECB">
        <w:tab/>
        <w:t>DFT-s-OFDM</w:t>
      </w:r>
    </w:p>
    <w:p w14:paraId="76E9F6AC" w14:textId="1280618B" w:rsidR="00802ABC" w:rsidRPr="00C64ECB" w:rsidRDefault="00802ABC" w:rsidP="00802ABC">
      <w:pPr>
        <w:pStyle w:val="B1"/>
      </w:pPr>
      <w:r w:rsidRPr="00C64ECB">
        <w:t>-</w:t>
      </w:r>
      <w:r w:rsidRPr="00C64ECB">
        <w:tab/>
        <w:t>Performance, e.g.,</w:t>
      </w:r>
    </w:p>
    <w:p w14:paraId="08A91B2D" w14:textId="1FA4CD64" w:rsidR="00802ABC" w:rsidRPr="00C64ECB" w:rsidRDefault="00802ABC" w:rsidP="00802ABC">
      <w:pPr>
        <w:pStyle w:val="B2"/>
      </w:pPr>
      <w:r w:rsidRPr="00C64ECB">
        <w:t>-</w:t>
      </w:r>
      <w:r w:rsidRPr="00C64ECB">
        <w:tab/>
        <w:t>Required SNR to achieve a target BLER</w:t>
      </w:r>
    </w:p>
    <w:p w14:paraId="5A843608" w14:textId="47C6EB2F" w:rsidR="00802ABC" w:rsidRPr="00C64ECB" w:rsidRDefault="00802ABC" w:rsidP="00802ABC">
      <w:pPr>
        <w:pStyle w:val="B2"/>
      </w:pPr>
      <w:r w:rsidRPr="00C64ECB">
        <w:t>-</w:t>
      </w:r>
      <w:r w:rsidRPr="00C64ECB">
        <w:tab/>
        <w:t>Required SNR to achieve target ACK to NACK rate, NACK to ACK rate and DTX to ACK rate</w:t>
      </w:r>
    </w:p>
    <w:p w14:paraId="1D19C2F3" w14:textId="72C94120" w:rsidR="00802ABC" w:rsidRPr="00C64ECB" w:rsidRDefault="00802ABC" w:rsidP="00802ABC">
      <w:pPr>
        <w:pStyle w:val="B2"/>
      </w:pPr>
      <w:r w:rsidRPr="00C64ECB">
        <w:t>-</w:t>
      </w:r>
      <w:r w:rsidRPr="00C64ECB">
        <w:tab/>
        <w:t>Coverage considering CM/PAPR</w:t>
      </w:r>
    </w:p>
    <w:p w14:paraId="640CFB92" w14:textId="77777777" w:rsidR="00802ABC" w:rsidRPr="00C64ECB" w:rsidRDefault="00802ABC" w:rsidP="00802ABC">
      <w:pPr>
        <w:spacing w:after="0"/>
      </w:pPr>
    </w:p>
    <w:p w14:paraId="01BEB59C" w14:textId="1D729DB3" w:rsidR="003A6763" w:rsidRPr="00C64ECB" w:rsidRDefault="003A6763" w:rsidP="00FC66AC">
      <w:r w:rsidRPr="00C64ECB">
        <w:t>Support for Rel-15 NR PRACH formats can be considered, however, not necessarily all Release 15 NR PRACH formats are applicable to NR-U. It is RAN1</w:t>
      </w:r>
      <w:r w:rsidR="003F074D" w:rsidRPr="00C64ECB">
        <w:t>'</w:t>
      </w:r>
      <w:r w:rsidRPr="00C64ECB">
        <w:t xml:space="preserve">s understanding that certain formats do not meet the minimum bandwidth requirement by regulation. Exclusion of the support of certain formats is to be identified. </w:t>
      </w:r>
    </w:p>
    <w:p w14:paraId="6C4FE965" w14:textId="3BA02569" w:rsidR="00CB2721" w:rsidRPr="00C64ECB" w:rsidRDefault="003A6763" w:rsidP="00802ABC">
      <w:r w:rsidRPr="00C64ECB">
        <w:t xml:space="preserve">It is identified that interlaced based PRACH can be beneficial. </w:t>
      </w:r>
    </w:p>
    <w:p w14:paraId="7715FB06" w14:textId="77777777" w:rsidR="00802ABC" w:rsidRPr="00C64ECB" w:rsidRDefault="00802ABC" w:rsidP="00802ABC">
      <w:pPr>
        <w:snapToGrid w:val="0"/>
        <w:spacing w:after="0"/>
      </w:pPr>
      <w:r w:rsidRPr="00C64ECB">
        <w:t>It has been identified that enhancement of one or more legacy PRACH formats is feasible for NR-U. Four potential design alternatives, including no interlacing, have been identified for the frequency mapping of PRACH sequences for NR-U, where consensus on which one(s) to support for NR-U has not yet been achieved:</w:t>
      </w:r>
    </w:p>
    <w:p w14:paraId="214BFAB6" w14:textId="52581F51" w:rsidR="00802ABC" w:rsidRPr="00C64ECB" w:rsidRDefault="00802ABC" w:rsidP="00802ABC">
      <w:pPr>
        <w:pStyle w:val="B1"/>
      </w:pPr>
      <w:r w:rsidRPr="00C64ECB">
        <w:t>-</w:t>
      </w:r>
      <w:r w:rsidRPr="00C64ECB">
        <w:tab/>
        <w:t>Alt-1: Uniform PRB-level interlace mapping</w:t>
      </w:r>
    </w:p>
    <w:p w14:paraId="7ADDD063" w14:textId="70B9262B" w:rsidR="00802ABC" w:rsidRPr="00C64ECB" w:rsidRDefault="00802ABC" w:rsidP="00802ABC">
      <w:pPr>
        <w:pStyle w:val="B2"/>
      </w:pPr>
      <w:r w:rsidRPr="00C64ECB">
        <w:t>-</w:t>
      </w:r>
      <w:r w:rsidRPr="00C64ECB">
        <w:tab/>
        <w:t>In this approach a PRACH sequence for a particular PRACH occasion is mapped to all of  the PRBs of one or more of the interlaces in the PRB-based block interlace structure. Within a PRB, either all or a subset of REs are used. Different PRACH occasions are defined using an orthogonal set of PRBs, or an orthogonal set of REs within the PRBs, from one or more same/different interlaces.</w:t>
      </w:r>
    </w:p>
    <w:p w14:paraId="2A904F9E" w14:textId="502D3DD9" w:rsidR="00802ABC" w:rsidRPr="005C4862" w:rsidRDefault="00802ABC" w:rsidP="00802ABC">
      <w:pPr>
        <w:pStyle w:val="B2"/>
        <w:rPr>
          <w:lang w:val="x-none"/>
        </w:rPr>
      </w:pPr>
      <w:r w:rsidRPr="005C4862">
        <w:t>-</w:t>
      </w:r>
      <w:r w:rsidRPr="005C4862">
        <w:tab/>
        <w:t>It has been identified that a uniform mapping (equal spacing of PRBs) in the frequency domain produces a zero-autocorrelation zone, of which the duration is inversely proportional to the frequency spacing between the PRBs.</w:t>
      </w:r>
    </w:p>
    <w:p w14:paraId="7D4B185E" w14:textId="00791CD3" w:rsidR="00802ABC" w:rsidRPr="00C64ECB" w:rsidRDefault="00802ABC" w:rsidP="00802ABC">
      <w:pPr>
        <w:pStyle w:val="B1"/>
      </w:pPr>
      <w:r w:rsidRPr="00C64ECB">
        <w:t>-</w:t>
      </w:r>
      <w:r w:rsidRPr="00C64ECB">
        <w:tab/>
        <w:t xml:space="preserve">Alt-2: Non-uniform PRB-level interlace mapping </w:t>
      </w:r>
    </w:p>
    <w:p w14:paraId="44F2C24A" w14:textId="6588300B" w:rsidR="00802ABC" w:rsidRPr="00C64ECB" w:rsidRDefault="00802ABC" w:rsidP="00802ABC">
      <w:pPr>
        <w:pStyle w:val="B2"/>
      </w:pPr>
      <w:r w:rsidRPr="00C64ECB">
        <w:t>-</w:t>
      </w:r>
      <w:r w:rsidRPr="00C64ECB">
        <w:tab/>
        <w:t>In this approach a PRACH sequence for a particular PRACH occasion is mapped to some or all of  the PRBs of one or more of the interlaces in the same PRB-based block interlace structure used for PUSCH/PUCCH. Within a PRB, either all or a subset of REs are used. Different PRACH occasions are defined using an orthogonal set of PRBs, or an orthogonal set of REs within the PRBs, from one or more same/different interlaces.</w:t>
      </w:r>
    </w:p>
    <w:p w14:paraId="30145957" w14:textId="676DE7BA" w:rsidR="00802ABC" w:rsidRPr="00C64ECB" w:rsidRDefault="00802ABC" w:rsidP="00802ABC">
      <w:pPr>
        <w:pStyle w:val="B2"/>
      </w:pPr>
      <w:r w:rsidRPr="00C64ECB">
        <w:t>-</w:t>
      </w:r>
      <w:r w:rsidRPr="00C64ECB">
        <w:tab/>
        <w:t>It has been identified that an irregular mapping (non-equal spacing of PRBs/REs) in the frequency domain reduces the false peaks in the PRACH preamble auto-correlation function.</w:t>
      </w:r>
    </w:p>
    <w:p w14:paraId="17B42AE3" w14:textId="7C27CF8B" w:rsidR="00802ABC" w:rsidRPr="00C64ECB" w:rsidRDefault="00802ABC" w:rsidP="00802ABC">
      <w:pPr>
        <w:pStyle w:val="B1"/>
      </w:pPr>
      <w:r w:rsidRPr="00C64ECB">
        <w:t>-</w:t>
      </w:r>
      <w:r w:rsidRPr="00C64ECB">
        <w:tab/>
        <w:t xml:space="preserve">Alt-3: Uniform RE-level interlace mapping </w:t>
      </w:r>
    </w:p>
    <w:p w14:paraId="75DDF67E" w14:textId="7C5D71C4" w:rsidR="00802ABC" w:rsidRPr="00C64ECB" w:rsidRDefault="00802ABC" w:rsidP="00802ABC">
      <w:pPr>
        <w:pStyle w:val="B2"/>
      </w:pPr>
      <w:r w:rsidRPr="00C64ECB">
        <w:t>-</w:t>
      </w:r>
      <w:r w:rsidRPr="00C64ECB">
        <w:tab/>
        <w:t xml:space="preserve">In this approach, a PRACH sequence for a particular PRACH occasion consists of a </w:t>
      </w:r>
      <w:r w:rsidR="005C4862">
        <w:t>"</w:t>
      </w:r>
      <w:r w:rsidRPr="00C64ECB">
        <w:t>comb-like</w:t>
      </w:r>
      <w:r w:rsidR="005C4862">
        <w:t>"</w:t>
      </w:r>
      <w:r w:rsidRPr="00C64ECB">
        <w:t xml:space="preserve"> mapping in the frequency domain with equal spacing between all used REs. Different PRACH occasions are defined by way of different comb offsets.</w:t>
      </w:r>
    </w:p>
    <w:p w14:paraId="5F462A2C" w14:textId="419087CF" w:rsidR="00802ABC" w:rsidRPr="00C64ECB" w:rsidRDefault="00802ABC" w:rsidP="00802ABC">
      <w:pPr>
        <w:pStyle w:val="B2"/>
      </w:pPr>
      <w:r w:rsidRPr="00C64ECB">
        <w:lastRenderedPageBreak/>
        <w:t>-</w:t>
      </w:r>
      <w:r w:rsidRPr="00C64ECB">
        <w:tab/>
        <w:t xml:space="preserve">Since this approach does not fit with the common PUSCH/PUCCH interlace structure, one source suggests that only TDM multiplexing of PUSCH/PUCCH and PRACH should be supported. Another source suggests that puncturing/rate matching PUSCH/PUCCH around the used PRACH REs may be used. </w:t>
      </w:r>
    </w:p>
    <w:p w14:paraId="21CCB121" w14:textId="0F18A51D" w:rsidR="00802ABC" w:rsidRPr="00C64ECB" w:rsidRDefault="00802ABC" w:rsidP="00802ABC">
      <w:pPr>
        <w:pStyle w:val="B1"/>
      </w:pPr>
      <w:r w:rsidRPr="00C64ECB">
        <w:t>-</w:t>
      </w:r>
      <w:r w:rsidRPr="00C64ECB">
        <w:tab/>
        <w:t xml:space="preserve">Alt-4: Non-interlaced mapping </w:t>
      </w:r>
    </w:p>
    <w:p w14:paraId="44B3FBFB" w14:textId="3B4BEE8D" w:rsidR="00802ABC" w:rsidRPr="00C64ECB" w:rsidRDefault="00802ABC" w:rsidP="00802ABC">
      <w:pPr>
        <w:pStyle w:val="B2"/>
      </w:pPr>
      <w:r w:rsidRPr="00C64ECB">
        <w:t>-</w:t>
      </w:r>
      <w:r w:rsidRPr="00C64ECB">
        <w:tab/>
        <w:t>In this approach, a PRACH sequence for a particular PRACH occasion is mapped to a number of contiguous PRBs, same or similar to NR Rel-15.</w:t>
      </w:r>
    </w:p>
    <w:p w14:paraId="47D6A07A" w14:textId="6EDCECBF" w:rsidR="00802ABC" w:rsidRPr="00C64ECB" w:rsidRDefault="00802ABC" w:rsidP="00802ABC">
      <w:pPr>
        <w:pStyle w:val="B2"/>
      </w:pPr>
      <w:r w:rsidRPr="00C64ECB">
        <w:t>-</w:t>
      </w:r>
      <w:r w:rsidRPr="00C64ECB">
        <w:tab/>
        <w:t>Some sources propose that to fulfill the minimum OCB requirement, that the PRACH sequence is mapped to a set of contiguous PRBs, and the PRACH sequence mapping is repeated across the frequency domain, potentially with guard RE(s)/PRB(s) between repetitions. For each repetition, a different cyclic shift or different base sequence may or may not be applied.</w:t>
      </w:r>
    </w:p>
    <w:p w14:paraId="520EB9AD" w14:textId="77777777" w:rsidR="00802ABC" w:rsidRPr="00C64ECB" w:rsidRDefault="00802ABC" w:rsidP="005C4862">
      <w:r w:rsidRPr="00C64ECB">
        <w:t>It has been identified that the long PRACH sequence length defined in NR Rel-15 (L = 839) is not beneficial for NR-U, since PRACH formats based on this length are tailored toward large cells not expected in an NR-U deployment. However, when it comes to shorter sequence lengths, some sources propose reusing the short sequence length (L = 139) defined in NR-Rel-15, whereas other sources propose defining new sequence lengths depending on which of the 4 alternatives above is supported.</w:t>
      </w:r>
    </w:p>
    <w:p w14:paraId="19F5FAB7" w14:textId="77777777" w:rsidR="00802ABC" w:rsidRPr="00C64ECB" w:rsidRDefault="00802ABC" w:rsidP="005C4862">
      <w:r w:rsidRPr="00C64ECB">
        <w:t>It has been identified that the following common design attributes need to be considered in the detailed design of an interlaced PRACH waveform for 4-step random access for NR-U when specifications are developed:</w:t>
      </w:r>
    </w:p>
    <w:p w14:paraId="0CA0024B" w14:textId="7CE0E234" w:rsidR="00802ABC" w:rsidRPr="00C64ECB" w:rsidRDefault="00802ABC" w:rsidP="00802ABC">
      <w:pPr>
        <w:pStyle w:val="B1"/>
      </w:pPr>
      <w:r w:rsidRPr="00C64ECB">
        <w:t>-</w:t>
      </w:r>
      <w:r w:rsidRPr="00C64ECB">
        <w:tab/>
        <w:t>Multiplexing of PRACH and PUSCH/PUCCH, considering block interlaced structure used for PUSCH/PUCCH, e.g.,</w:t>
      </w:r>
    </w:p>
    <w:p w14:paraId="7184B97B" w14:textId="01F8B7DE" w:rsidR="00802ABC" w:rsidRPr="00C64ECB" w:rsidRDefault="00802ABC" w:rsidP="00802ABC">
      <w:pPr>
        <w:pStyle w:val="B2"/>
      </w:pPr>
      <w:r w:rsidRPr="00C64ECB">
        <w:t>-</w:t>
      </w:r>
      <w:r w:rsidRPr="00C64ECB">
        <w:tab/>
        <w:t>FDM</w:t>
      </w:r>
    </w:p>
    <w:p w14:paraId="0BCC9368" w14:textId="4F572F51" w:rsidR="00802ABC" w:rsidRPr="00C64ECB" w:rsidRDefault="00802ABC" w:rsidP="00802ABC">
      <w:pPr>
        <w:pStyle w:val="B2"/>
      </w:pPr>
      <w:r w:rsidRPr="00C64ECB">
        <w:t>-</w:t>
      </w:r>
      <w:r w:rsidRPr="00C64ECB">
        <w:tab/>
        <w:t>TDM</w:t>
      </w:r>
    </w:p>
    <w:p w14:paraId="423FA9AA" w14:textId="5DB9D53B" w:rsidR="00802ABC" w:rsidRPr="00C64ECB" w:rsidRDefault="00802ABC" w:rsidP="00802ABC">
      <w:pPr>
        <w:pStyle w:val="B1"/>
      </w:pPr>
      <w:r w:rsidRPr="00C64ECB">
        <w:t>-</w:t>
      </w:r>
      <w:r w:rsidRPr="00C64ECB">
        <w:tab/>
        <w:t>Supported PRACH sequence and PRACH sequence length(s)</w:t>
      </w:r>
    </w:p>
    <w:p w14:paraId="1F5CB108" w14:textId="19FD2F6B" w:rsidR="00802ABC" w:rsidRPr="00C64ECB" w:rsidRDefault="00802ABC" w:rsidP="00802ABC">
      <w:pPr>
        <w:pStyle w:val="B1"/>
      </w:pPr>
      <w:r w:rsidRPr="00C64ECB">
        <w:t>-</w:t>
      </w:r>
      <w:r w:rsidRPr="00C64ECB">
        <w:tab/>
        <w:t>PRACH capacity</w:t>
      </w:r>
    </w:p>
    <w:p w14:paraId="42004451" w14:textId="68E00B9F" w:rsidR="00802ABC" w:rsidRPr="00C64ECB" w:rsidRDefault="00802ABC" w:rsidP="00802ABC">
      <w:pPr>
        <w:pStyle w:val="B2"/>
      </w:pPr>
      <w:r w:rsidRPr="00C64ECB">
        <w:t>-</w:t>
      </w:r>
      <w:r w:rsidRPr="00C64ECB">
        <w:tab/>
        <w:t>Number of PRACH preambles per cell</w:t>
      </w:r>
    </w:p>
    <w:p w14:paraId="1F49AB0C" w14:textId="7658AD2F" w:rsidR="00802ABC" w:rsidRPr="00C64ECB" w:rsidRDefault="00802ABC" w:rsidP="00802ABC">
      <w:pPr>
        <w:pStyle w:val="B2"/>
      </w:pPr>
      <w:r w:rsidRPr="00C64ECB">
        <w:t>-</w:t>
      </w:r>
      <w:r w:rsidRPr="00C64ECB">
        <w:tab/>
        <w:t>Number of root sequences</w:t>
      </w:r>
    </w:p>
    <w:p w14:paraId="6833BA1B" w14:textId="4622923A" w:rsidR="00802ABC" w:rsidRPr="00C64ECB" w:rsidRDefault="00802ABC" w:rsidP="00802ABC">
      <w:pPr>
        <w:pStyle w:val="B2"/>
      </w:pPr>
      <w:r w:rsidRPr="00C64ECB">
        <w:t>-</w:t>
      </w:r>
      <w:r w:rsidRPr="00C64ECB">
        <w:tab/>
        <w:t>Number of cyclic shifts</w:t>
      </w:r>
    </w:p>
    <w:p w14:paraId="23779A57" w14:textId="1C5E3F32" w:rsidR="00802ABC" w:rsidRPr="00C64ECB" w:rsidRDefault="00802ABC" w:rsidP="00802ABC">
      <w:pPr>
        <w:pStyle w:val="B2"/>
      </w:pPr>
      <w:r w:rsidRPr="00C64ECB">
        <w:t>-</w:t>
      </w:r>
      <w:r w:rsidRPr="00C64ECB">
        <w:tab/>
        <w:t>Number of PRACH occasions</w:t>
      </w:r>
    </w:p>
    <w:p w14:paraId="3E68D119" w14:textId="0508618B" w:rsidR="00802ABC" w:rsidRPr="00C64ECB" w:rsidRDefault="00802ABC" w:rsidP="00802ABC">
      <w:pPr>
        <w:pStyle w:val="B1"/>
      </w:pPr>
      <w:r w:rsidRPr="00C64ECB">
        <w:t>-</w:t>
      </w:r>
      <w:r w:rsidRPr="00C64ECB">
        <w:tab/>
        <w:t>Maximum supported Tx power</w:t>
      </w:r>
    </w:p>
    <w:p w14:paraId="562A8F96" w14:textId="179C1578" w:rsidR="00802ABC" w:rsidRPr="00C64ECB" w:rsidRDefault="00802ABC" w:rsidP="00802ABC">
      <w:pPr>
        <w:pStyle w:val="B1"/>
      </w:pPr>
      <w:r w:rsidRPr="00C64ECB">
        <w:t>-</w:t>
      </w:r>
      <w:r w:rsidRPr="00C64ECB">
        <w:tab/>
        <w:t>PAPR/CM</w:t>
      </w:r>
    </w:p>
    <w:p w14:paraId="39D34FB9" w14:textId="1A54D619" w:rsidR="00802ABC" w:rsidRPr="00C64ECB" w:rsidRDefault="00802ABC" w:rsidP="00802ABC">
      <w:pPr>
        <w:pStyle w:val="B1"/>
      </w:pPr>
      <w:r w:rsidRPr="00C64ECB">
        <w:t>-</w:t>
      </w:r>
      <w:r w:rsidRPr="00C64ECB">
        <w:tab/>
        <w:t>Number of PRACH formats</w:t>
      </w:r>
    </w:p>
    <w:p w14:paraId="7AA64B10" w14:textId="0967EC90" w:rsidR="00802ABC" w:rsidRPr="00C64ECB" w:rsidRDefault="00802ABC" w:rsidP="00802ABC">
      <w:pPr>
        <w:pStyle w:val="B1"/>
      </w:pPr>
      <w:r w:rsidRPr="00C64ECB">
        <w:t>-</w:t>
      </w:r>
      <w:r w:rsidRPr="00C64ECB">
        <w:tab/>
        <w:t>Simulation assumptions for evaluation of performance, e.g.,</w:t>
      </w:r>
    </w:p>
    <w:p w14:paraId="589AA35D" w14:textId="198A1B1C" w:rsidR="00802ABC" w:rsidRPr="00C64ECB" w:rsidRDefault="00802ABC" w:rsidP="00802ABC">
      <w:pPr>
        <w:pStyle w:val="B2"/>
      </w:pPr>
      <w:r w:rsidRPr="00C64ECB">
        <w:t>-</w:t>
      </w:r>
      <w:r w:rsidRPr="00C64ECB">
        <w:tab/>
        <w:t>Single vs. multi-cell assumptions</w:t>
      </w:r>
    </w:p>
    <w:p w14:paraId="3F7A1F0C" w14:textId="3095FECF" w:rsidR="00802ABC" w:rsidRPr="00C64ECB" w:rsidRDefault="00802ABC" w:rsidP="00802ABC">
      <w:pPr>
        <w:pStyle w:val="B1"/>
      </w:pPr>
      <w:r w:rsidRPr="00C64ECB">
        <w:t>-</w:t>
      </w:r>
      <w:r w:rsidRPr="00C64ECB">
        <w:tab/>
        <w:t>Performance metrics</w:t>
      </w:r>
    </w:p>
    <w:p w14:paraId="4B05D74A" w14:textId="185FFD85" w:rsidR="00802ABC" w:rsidRPr="00C64ECB" w:rsidRDefault="00802ABC" w:rsidP="00802ABC">
      <w:pPr>
        <w:pStyle w:val="B2"/>
      </w:pPr>
      <w:r w:rsidRPr="00C64ECB">
        <w:t>-</w:t>
      </w:r>
      <w:r w:rsidRPr="00C64ECB">
        <w:tab/>
        <w:t>Timing estimation error</w:t>
      </w:r>
    </w:p>
    <w:p w14:paraId="3A211A1C" w14:textId="1D87AFFD" w:rsidR="00802ABC" w:rsidRPr="00C64ECB" w:rsidRDefault="00802ABC" w:rsidP="00802ABC">
      <w:pPr>
        <w:pStyle w:val="B2"/>
      </w:pPr>
      <w:r w:rsidRPr="00C64ECB">
        <w:t>-</w:t>
      </w:r>
      <w:r w:rsidRPr="00C64ECB">
        <w:tab/>
        <w:t>Miss-detection probability</w:t>
      </w:r>
    </w:p>
    <w:p w14:paraId="22F3710D" w14:textId="5A491FA1" w:rsidR="00802ABC" w:rsidRPr="00C64ECB" w:rsidRDefault="00802ABC" w:rsidP="00802ABC">
      <w:pPr>
        <w:pStyle w:val="B2"/>
      </w:pPr>
      <w:r w:rsidRPr="00C64ECB">
        <w:t>-</w:t>
      </w:r>
      <w:r w:rsidRPr="00C64ECB">
        <w:tab/>
        <w:t>False-detection probability</w:t>
      </w:r>
    </w:p>
    <w:p w14:paraId="7044C122" w14:textId="4031F2A7" w:rsidR="00802ABC" w:rsidRPr="00C64ECB" w:rsidRDefault="00802ABC" w:rsidP="00802ABC">
      <w:pPr>
        <w:pStyle w:val="B2"/>
      </w:pPr>
      <w:r w:rsidRPr="00C64ECB">
        <w:t>-</w:t>
      </w:r>
      <w:r w:rsidRPr="00C64ECB">
        <w:tab/>
        <w:t>False-alarm probability</w:t>
      </w:r>
    </w:p>
    <w:p w14:paraId="79DB9B57" w14:textId="77777777" w:rsidR="00EC7E4A" w:rsidRPr="00C64ECB" w:rsidRDefault="00EC7E4A" w:rsidP="00EC7E4A">
      <w:pPr>
        <w:rPr>
          <w:lang w:eastAsia="x-none"/>
        </w:rPr>
      </w:pPr>
      <w:r w:rsidRPr="00C64ECB">
        <w:rPr>
          <w:lang w:eastAsia="x-none"/>
        </w:rPr>
        <w:t>For scenarios in which a block-interlaced waveform is used for PUCCH/PUSCH, it has been identified that from FDM-based user-multiplexing standpoint it can be beneficial to have UL channels on a common interlace structure, at least for PUSCH, PUCCH, associated DMRS, and potentially PRACH</w:t>
      </w:r>
    </w:p>
    <w:p w14:paraId="78E33FDB" w14:textId="77777777" w:rsidR="00EC7E4A" w:rsidRPr="00C64ECB" w:rsidRDefault="00EC7E4A" w:rsidP="00EC7E4A">
      <w:pPr>
        <w:rPr>
          <w:lang w:eastAsia="x-none"/>
        </w:rPr>
      </w:pPr>
      <w:r w:rsidRPr="00C64ECB">
        <w:rPr>
          <w:lang w:eastAsia="x-none"/>
        </w:rPr>
        <w:lastRenderedPageBreak/>
        <w:t>On the other hand, for scenarios in which a contiguous allocation for PUSCH and PUCCH is used, it is beneficial to use contiguous resource allocation for PRACH</w:t>
      </w:r>
    </w:p>
    <w:p w14:paraId="41159A16" w14:textId="77777777" w:rsidR="00EC7E4A" w:rsidRPr="00C64ECB" w:rsidRDefault="00EC7E4A" w:rsidP="00EC7E4A">
      <w:pPr>
        <w:rPr>
          <w:lang w:eastAsia="x-none"/>
        </w:rPr>
      </w:pPr>
      <w:r w:rsidRPr="00C64ECB">
        <w:rPr>
          <w:lang w:eastAsia="x-none"/>
        </w:rPr>
        <w:t>For scenarios in which a block-interlaced waveform is used for UL transmission, a PRB-based block-interlace design has been identified as beneficial at least for 15 and 30 kHz SCS, and potentially for 60 kHz SCS. One identified benefit is better link budget with given PSD constraint. However, it has been observed that power boosting gains decrease with increasing SCS. Another identified benefit is as one option to efficiently meet the occupied channel bandwidth requirement. Compared with sub-PRB interlace design, the PRB-based block-interlace design has comparatively less specification impact.</w:t>
      </w:r>
    </w:p>
    <w:p w14:paraId="74C51CA0" w14:textId="2B77BC65" w:rsidR="00EC7E4A" w:rsidRPr="00C64ECB" w:rsidRDefault="00EC7E4A" w:rsidP="00EC7E4A">
      <w:pPr>
        <w:rPr>
          <w:lang w:eastAsia="x-none"/>
        </w:rPr>
      </w:pPr>
      <w:r w:rsidRPr="00C64ECB">
        <w:rPr>
          <w:lang w:eastAsia="x-none"/>
        </w:rPr>
        <w:t>For sub-PRB block interlace designs, in some scenarios, sub-PRB block interlacing can be beneficial in terms of power boosting. However, the sub-PRB block interlace design has at least the following specification impacts: Reference signal design (e.g., DMRS); Channel estimation aspects; Resource allocation.</w:t>
      </w:r>
    </w:p>
    <w:p w14:paraId="5372AC4E" w14:textId="77777777" w:rsidR="00606ECB" w:rsidRPr="00C64ECB" w:rsidRDefault="00606ECB" w:rsidP="00606ECB">
      <w:pPr>
        <w:adjustRightInd w:val="0"/>
        <w:snapToGrid w:val="0"/>
        <w:spacing w:after="0"/>
        <w:contextualSpacing/>
        <w:jc w:val="both"/>
      </w:pPr>
      <w:r w:rsidRPr="00C64ECB">
        <w:t>Both PRB and sub-PRB interlacing for 60 kHz have been studied. For sub-PRB interlacing the following aspects have been considered:</w:t>
      </w:r>
    </w:p>
    <w:p w14:paraId="71491F0D" w14:textId="3C214DE9" w:rsidR="00606ECB" w:rsidRPr="00C64ECB" w:rsidRDefault="00043FB2" w:rsidP="00043FB2">
      <w:pPr>
        <w:pStyle w:val="B1"/>
      </w:pPr>
      <w:r w:rsidRPr="00C64ECB">
        <w:t>-</w:t>
      </w:r>
      <w:r w:rsidRPr="00C64ECB">
        <w:tab/>
      </w:r>
      <w:r w:rsidR="00606ECB" w:rsidRPr="00C64ECB">
        <w:t>Power boosting potential depending on resource allocation size</w:t>
      </w:r>
    </w:p>
    <w:p w14:paraId="1D392A17" w14:textId="514832F3" w:rsidR="00606ECB" w:rsidRPr="00C64ECB" w:rsidRDefault="00043FB2" w:rsidP="00043FB2">
      <w:pPr>
        <w:pStyle w:val="B1"/>
      </w:pPr>
      <w:r w:rsidRPr="00C64ECB">
        <w:t>-</w:t>
      </w:r>
      <w:r w:rsidRPr="00C64ECB">
        <w:tab/>
      </w:r>
      <w:r w:rsidR="00606ECB" w:rsidRPr="00C64ECB">
        <w:t>PUSCH DMRS configuration aspects</w:t>
      </w:r>
    </w:p>
    <w:p w14:paraId="35106B47" w14:textId="3C87F9F4" w:rsidR="00606ECB" w:rsidRPr="00C64ECB" w:rsidRDefault="00043FB2" w:rsidP="00043FB2">
      <w:pPr>
        <w:pStyle w:val="B1"/>
      </w:pPr>
      <w:r w:rsidRPr="00C64ECB">
        <w:t>-</w:t>
      </w:r>
      <w:r w:rsidRPr="00C64ECB">
        <w:tab/>
      </w:r>
      <w:r w:rsidR="00606ECB" w:rsidRPr="00C64ECB">
        <w:t>Channel estimation performance</w:t>
      </w:r>
    </w:p>
    <w:p w14:paraId="51F0621A" w14:textId="01FBE825" w:rsidR="00606ECB" w:rsidRPr="00C64ECB" w:rsidRDefault="00043FB2" w:rsidP="00043FB2">
      <w:pPr>
        <w:pStyle w:val="B1"/>
      </w:pPr>
      <w:r w:rsidRPr="00C64ECB">
        <w:t>-</w:t>
      </w:r>
      <w:r w:rsidRPr="00C64ECB">
        <w:tab/>
      </w:r>
      <w:r w:rsidR="00606ECB" w:rsidRPr="00C64ECB">
        <w:t>Number of REs per interlace unit</w:t>
      </w:r>
    </w:p>
    <w:p w14:paraId="48E80FC6" w14:textId="6D41C68F" w:rsidR="00EC7E4A" w:rsidRPr="00C64ECB" w:rsidRDefault="00EC7E4A" w:rsidP="00EC7E4A">
      <w:pPr>
        <w:rPr>
          <w:lang w:eastAsia="x-none"/>
        </w:rPr>
      </w:pPr>
      <w:r w:rsidRPr="00C64ECB">
        <w:rPr>
          <w:lang w:eastAsia="x-none"/>
        </w:rPr>
        <w:t>It has been identified as beneficial to support a block-interlaced structure in which the number of interlaces (M) decreases with increasing SCS, and the nominal number of PRBs per interlace (N) is similar for each SCS (in a given bandwidth) at least for 15 and 30 kHz SCS, and potentially 60 kHz depending on supported interlace design</w:t>
      </w:r>
      <w:r w:rsidR="00495657" w:rsidRPr="00C64ECB">
        <w:rPr>
          <w:lang w:eastAsia="x-none"/>
        </w:rPr>
        <w:t>.</w:t>
      </w:r>
    </w:p>
    <w:p w14:paraId="09B1FD45" w14:textId="74259692" w:rsidR="00EC7E4A" w:rsidRPr="00C64ECB" w:rsidRDefault="00EC7E4A" w:rsidP="00EC7E4A">
      <w:pPr>
        <w:rPr>
          <w:lang w:eastAsia="x-none"/>
        </w:rPr>
      </w:pPr>
      <w:r w:rsidRPr="00C64ECB">
        <w:rPr>
          <w:lang w:eastAsia="x-none"/>
        </w:rPr>
        <w:t>From a RAN1 perspective it has been identified that supporting a non-uniform interlace structure in which the number of PRBs per interlace is allowed to be different for different interlaces is beneficial from a spectrum utilization point of view.</w:t>
      </w:r>
      <w:r w:rsidR="004F4929" w:rsidRPr="00C64ECB">
        <w:rPr>
          <w:lang w:eastAsia="x-none"/>
        </w:rPr>
        <w:t xml:space="preserve"> It is up to RAN4 to investigate whether or not the non-uniform interlace structure has an impact on MPR/A-MPR requirements for PUSCH.</w:t>
      </w:r>
    </w:p>
    <w:p w14:paraId="3C9FCB66" w14:textId="5533B9A1" w:rsidR="004F4929" w:rsidRPr="00C64ECB" w:rsidRDefault="004F4929" w:rsidP="004F4929">
      <w:pPr>
        <w:rPr>
          <w:lang w:eastAsia="x-none"/>
        </w:rPr>
      </w:pPr>
      <w:r w:rsidRPr="00C64ECB">
        <w:rPr>
          <w:lang w:eastAsia="x-none"/>
        </w:rPr>
        <w:t>Within a 20 MHz bandwidth, the following candidate PRB-based interlace designs have been identified where M is the number of interlaces and N is the number of PRBs per interlace in a 20 MHz bandwidth. Where two values are listed for N, it means that some interlaces have one more PRB than others (non-uniform interlace design)</w:t>
      </w:r>
    </w:p>
    <w:p w14:paraId="3C653D57" w14:textId="77777777" w:rsidR="00643848" w:rsidRPr="00C64ECB" w:rsidRDefault="00643848" w:rsidP="00643848">
      <w:pPr>
        <w:pStyle w:val="TH"/>
      </w:pPr>
    </w:p>
    <w:tbl>
      <w:tblPr>
        <w:tblStyle w:val="TableGrid"/>
        <w:tblW w:w="0" w:type="auto"/>
        <w:jc w:val="center"/>
        <w:tblLook w:val="04A0" w:firstRow="1" w:lastRow="0" w:firstColumn="1" w:lastColumn="0" w:noHBand="0" w:noVBand="1"/>
      </w:tblPr>
      <w:tblGrid>
        <w:gridCol w:w="2605"/>
        <w:gridCol w:w="1530"/>
        <w:gridCol w:w="1481"/>
      </w:tblGrid>
      <w:tr w:rsidR="004F4929" w:rsidRPr="00C64ECB" w14:paraId="5B2A725D" w14:textId="77777777" w:rsidTr="00D674D2">
        <w:trPr>
          <w:jc w:val="center"/>
        </w:trPr>
        <w:tc>
          <w:tcPr>
            <w:tcW w:w="2605" w:type="dxa"/>
          </w:tcPr>
          <w:p w14:paraId="594AE9C3" w14:textId="77777777" w:rsidR="004F4929" w:rsidRPr="00C64ECB" w:rsidRDefault="004F4929" w:rsidP="00643848">
            <w:pPr>
              <w:pStyle w:val="TAH"/>
            </w:pPr>
            <w:r w:rsidRPr="00C64ECB">
              <w:t>SCS</w:t>
            </w:r>
          </w:p>
        </w:tc>
        <w:tc>
          <w:tcPr>
            <w:tcW w:w="1530" w:type="dxa"/>
          </w:tcPr>
          <w:p w14:paraId="29F6B249" w14:textId="77777777" w:rsidR="004F4929" w:rsidRPr="00C64ECB" w:rsidRDefault="004F4929" w:rsidP="00643848">
            <w:pPr>
              <w:pStyle w:val="TAH"/>
            </w:pPr>
            <w:r w:rsidRPr="00C64ECB">
              <w:t>M</w:t>
            </w:r>
          </w:p>
        </w:tc>
        <w:tc>
          <w:tcPr>
            <w:tcW w:w="1481" w:type="dxa"/>
          </w:tcPr>
          <w:p w14:paraId="78226931" w14:textId="77777777" w:rsidR="004F4929" w:rsidRPr="00C64ECB" w:rsidRDefault="004F4929" w:rsidP="00643848">
            <w:pPr>
              <w:pStyle w:val="TAH"/>
            </w:pPr>
            <w:r w:rsidRPr="00C64ECB">
              <w:t>N</w:t>
            </w:r>
          </w:p>
        </w:tc>
      </w:tr>
      <w:tr w:rsidR="004F4929" w:rsidRPr="00C64ECB" w14:paraId="35049D52" w14:textId="77777777" w:rsidTr="00D674D2">
        <w:trPr>
          <w:jc w:val="center"/>
        </w:trPr>
        <w:tc>
          <w:tcPr>
            <w:tcW w:w="2605" w:type="dxa"/>
            <w:vMerge w:val="restart"/>
          </w:tcPr>
          <w:p w14:paraId="0672337A" w14:textId="77777777" w:rsidR="004F4929" w:rsidRPr="00C64ECB" w:rsidRDefault="004F4929" w:rsidP="00643848">
            <w:pPr>
              <w:pStyle w:val="TAL"/>
            </w:pPr>
            <w:r w:rsidRPr="00C64ECB">
              <w:t>15 kHz</w:t>
            </w:r>
          </w:p>
        </w:tc>
        <w:tc>
          <w:tcPr>
            <w:tcW w:w="1530" w:type="dxa"/>
          </w:tcPr>
          <w:p w14:paraId="662D930E" w14:textId="77777777" w:rsidR="004F4929" w:rsidRPr="00C64ECB" w:rsidRDefault="004F4929" w:rsidP="00643848">
            <w:pPr>
              <w:pStyle w:val="TAL"/>
            </w:pPr>
            <w:r w:rsidRPr="00C64ECB">
              <w:t>12</w:t>
            </w:r>
          </w:p>
        </w:tc>
        <w:tc>
          <w:tcPr>
            <w:tcW w:w="1481" w:type="dxa"/>
          </w:tcPr>
          <w:p w14:paraId="7D6F61B7" w14:textId="77777777" w:rsidR="004F4929" w:rsidRPr="00C64ECB" w:rsidRDefault="004F4929" w:rsidP="00643848">
            <w:pPr>
              <w:pStyle w:val="TAL"/>
            </w:pPr>
            <w:r w:rsidRPr="00C64ECB">
              <w:t>8 or 9</w:t>
            </w:r>
          </w:p>
        </w:tc>
      </w:tr>
      <w:tr w:rsidR="004F4929" w:rsidRPr="00C64ECB" w14:paraId="7FB61016" w14:textId="77777777" w:rsidTr="00D674D2">
        <w:trPr>
          <w:jc w:val="center"/>
        </w:trPr>
        <w:tc>
          <w:tcPr>
            <w:tcW w:w="2605" w:type="dxa"/>
            <w:vMerge/>
          </w:tcPr>
          <w:p w14:paraId="0D1425BD" w14:textId="77777777" w:rsidR="004F4929" w:rsidRPr="00C64ECB" w:rsidRDefault="004F4929" w:rsidP="00643848">
            <w:pPr>
              <w:pStyle w:val="TAL"/>
            </w:pPr>
          </w:p>
        </w:tc>
        <w:tc>
          <w:tcPr>
            <w:tcW w:w="1530" w:type="dxa"/>
          </w:tcPr>
          <w:p w14:paraId="58F87A0F" w14:textId="77777777" w:rsidR="004F4929" w:rsidRPr="00C64ECB" w:rsidRDefault="004F4929" w:rsidP="00643848">
            <w:pPr>
              <w:pStyle w:val="TAL"/>
            </w:pPr>
            <w:r w:rsidRPr="00C64ECB">
              <w:t>10</w:t>
            </w:r>
          </w:p>
        </w:tc>
        <w:tc>
          <w:tcPr>
            <w:tcW w:w="1481" w:type="dxa"/>
          </w:tcPr>
          <w:p w14:paraId="4F6F6658" w14:textId="77777777" w:rsidR="004F4929" w:rsidRPr="00C64ECB" w:rsidRDefault="004F4929" w:rsidP="00643848">
            <w:pPr>
              <w:pStyle w:val="TAL"/>
            </w:pPr>
            <w:r w:rsidRPr="00C64ECB">
              <w:t>10 or 11</w:t>
            </w:r>
          </w:p>
        </w:tc>
      </w:tr>
      <w:tr w:rsidR="004F4929" w:rsidRPr="00C64ECB" w14:paraId="3481CABB" w14:textId="77777777" w:rsidTr="00D674D2">
        <w:trPr>
          <w:jc w:val="center"/>
        </w:trPr>
        <w:tc>
          <w:tcPr>
            <w:tcW w:w="2605" w:type="dxa"/>
            <w:vMerge/>
          </w:tcPr>
          <w:p w14:paraId="06941F32" w14:textId="77777777" w:rsidR="004F4929" w:rsidRPr="00C64ECB" w:rsidRDefault="004F4929" w:rsidP="00643848">
            <w:pPr>
              <w:pStyle w:val="TAL"/>
            </w:pPr>
          </w:p>
        </w:tc>
        <w:tc>
          <w:tcPr>
            <w:tcW w:w="1530" w:type="dxa"/>
          </w:tcPr>
          <w:p w14:paraId="7B7D76BC" w14:textId="77777777" w:rsidR="004F4929" w:rsidRPr="00C64ECB" w:rsidRDefault="004F4929" w:rsidP="00643848">
            <w:pPr>
              <w:pStyle w:val="TAL"/>
            </w:pPr>
            <w:r w:rsidRPr="00C64ECB">
              <w:t>8</w:t>
            </w:r>
          </w:p>
        </w:tc>
        <w:tc>
          <w:tcPr>
            <w:tcW w:w="1481" w:type="dxa"/>
          </w:tcPr>
          <w:p w14:paraId="174105A2" w14:textId="77777777" w:rsidR="004F4929" w:rsidRPr="00C64ECB" w:rsidRDefault="004F4929" w:rsidP="00643848">
            <w:pPr>
              <w:pStyle w:val="TAL"/>
            </w:pPr>
            <w:r w:rsidRPr="00C64ECB">
              <w:t>13 or 14</w:t>
            </w:r>
          </w:p>
        </w:tc>
      </w:tr>
      <w:tr w:rsidR="004F4929" w:rsidRPr="00C64ECB" w14:paraId="76963F31" w14:textId="77777777" w:rsidTr="00D674D2">
        <w:trPr>
          <w:jc w:val="center"/>
        </w:trPr>
        <w:tc>
          <w:tcPr>
            <w:tcW w:w="2605" w:type="dxa"/>
            <w:vMerge w:val="restart"/>
          </w:tcPr>
          <w:p w14:paraId="724B2838" w14:textId="77777777" w:rsidR="004F4929" w:rsidRPr="00C64ECB" w:rsidRDefault="004F4929" w:rsidP="00643848">
            <w:pPr>
              <w:pStyle w:val="TAL"/>
            </w:pPr>
            <w:r w:rsidRPr="00C64ECB">
              <w:t>30 kHz</w:t>
            </w:r>
          </w:p>
        </w:tc>
        <w:tc>
          <w:tcPr>
            <w:tcW w:w="1530" w:type="dxa"/>
          </w:tcPr>
          <w:p w14:paraId="4852E6B4" w14:textId="77777777" w:rsidR="004F4929" w:rsidRPr="00C64ECB" w:rsidRDefault="004F4929" w:rsidP="00643848">
            <w:pPr>
              <w:pStyle w:val="TAL"/>
            </w:pPr>
            <w:r w:rsidRPr="00C64ECB">
              <w:t>6</w:t>
            </w:r>
          </w:p>
        </w:tc>
        <w:tc>
          <w:tcPr>
            <w:tcW w:w="1481" w:type="dxa"/>
          </w:tcPr>
          <w:p w14:paraId="2F6952B2" w14:textId="77777777" w:rsidR="004F4929" w:rsidRPr="00C64ECB" w:rsidRDefault="004F4929" w:rsidP="00643848">
            <w:pPr>
              <w:pStyle w:val="TAL"/>
            </w:pPr>
            <w:r w:rsidRPr="00C64ECB">
              <w:t>8 or 9</w:t>
            </w:r>
          </w:p>
        </w:tc>
      </w:tr>
      <w:tr w:rsidR="004F4929" w:rsidRPr="00C64ECB" w14:paraId="4736E29D" w14:textId="77777777" w:rsidTr="00D674D2">
        <w:trPr>
          <w:jc w:val="center"/>
        </w:trPr>
        <w:tc>
          <w:tcPr>
            <w:tcW w:w="2605" w:type="dxa"/>
            <w:vMerge/>
          </w:tcPr>
          <w:p w14:paraId="7D033468" w14:textId="77777777" w:rsidR="004F4929" w:rsidRPr="00C64ECB" w:rsidRDefault="004F4929" w:rsidP="00643848">
            <w:pPr>
              <w:pStyle w:val="TAL"/>
            </w:pPr>
          </w:p>
        </w:tc>
        <w:tc>
          <w:tcPr>
            <w:tcW w:w="1530" w:type="dxa"/>
          </w:tcPr>
          <w:p w14:paraId="7EFE727D" w14:textId="77777777" w:rsidR="004F4929" w:rsidRPr="00C64ECB" w:rsidRDefault="004F4929" w:rsidP="00643848">
            <w:pPr>
              <w:pStyle w:val="TAL"/>
            </w:pPr>
            <w:r w:rsidRPr="00C64ECB">
              <w:t>5</w:t>
            </w:r>
          </w:p>
        </w:tc>
        <w:tc>
          <w:tcPr>
            <w:tcW w:w="1481" w:type="dxa"/>
          </w:tcPr>
          <w:p w14:paraId="027B173B" w14:textId="77777777" w:rsidR="004F4929" w:rsidRPr="00C64ECB" w:rsidRDefault="004F4929" w:rsidP="00643848">
            <w:pPr>
              <w:pStyle w:val="TAL"/>
            </w:pPr>
            <w:r w:rsidRPr="00C64ECB">
              <w:t>10 or 11</w:t>
            </w:r>
          </w:p>
        </w:tc>
      </w:tr>
      <w:tr w:rsidR="004F4929" w:rsidRPr="00C64ECB" w14:paraId="7F12B91D" w14:textId="77777777" w:rsidTr="00D674D2">
        <w:trPr>
          <w:jc w:val="center"/>
        </w:trPr>
        <w:tc>
          <w:tcPr>
            <w:tcW w:w="2605" w:type="dxa"/>
            <w:vMerge/>
          </w:tcPr>
          <w:p w14:paraId="1FA07303" w14:textId="77777777" w:rsidR="004F4929" w:rsidRPr="00C64ECB" w:rsidRDefault="004F4929" w:rsidP="00643848">
            <w:pPr>
              <w:pStyle w:val="TAL"/>
            </w:pPr>
          </w:p>
        </w:tc>
        <w:tc>
          <w:tcPr>
            <w:tcW w:w="1530" w:type="dxa"/>
          </w:tcPr>
          <w:p w14:paraId="6968F9A0" w14:textId="77777777" w:rsidR="004F4929" w:rsidRPr="00C64ECB" w:rsidRDefault="004F4929" w:rsidP="00643848">
            <w:pPr>
              <w:pStyle w:val="TAL"/>
            </w:pPr>
            <w:r w:rsidRPr="00C64ECB">
              <w:t>4</w:t>
            </w:r>
          </w:p>
        </w:tc>
        <w:tc>
          <w:tcPr>
            <w:tcW w:w="1481" w:type="dxa"/>
          </w:tcPr>
          <w:p w14:paraId="7B3D7086" w14:textId="77777777" w:rsidR="004F4929" w:rsidRPr="00C64ECB" w:rsidRDefault="004F4929" w:rsidP="00643848">
            <w:pPr>
              <w:pStyle w:val="TAL"/>
            </w:pPr>
            <w:r w:rsidRPr="00C64ECB">
              <w:t>12 or 13</w:t>
            </w:r>
          </w:p>
        </w:tc>
      </w:tr>
      <w:tr w:rsidR="004F4929" w:rsidRPr="00C64ECB" w14:paraId="0D58EE93" w14:textId="77777777" w:rsidTr="00D674D2">
        <w:trPr>
          <w:jc w:val="center"/>
        </w:trPr>
        <w:tc>
          <w:tcPr>
            <w:tcW w:w="2605" w:type="dxa"/>
            <w:vMerge w:val="restart"/>
          </w:tcPr>
          <w:p w14:paraId="0C54983B" w14:textId="77777777" w:rsidR="004F4929" w:rsidRPr="00C64ECB" w:rsidRDefault="004F4929" w:rsidP="00643848">
            <w:pPr>
              <w:pStyle w:val="TAL"/>
            </w:pPr>
            <w:r w:rsidRPr="00C64ECB">
              <w:t>60 kHz</w:t>
            </w:r>
          </w:p>
        </w:tc>
        <w:tc>
          <w:tcPr>
            <w:tcW w:w="1530" w:type="dxa"/>
          </w:tcPr>
          <w:p w14:paraId="2460CB4E" w14:textId="77777777" w:rsidR="004F4929" w:rsidRPr="00C64ECB" w:rsidRDefault="004F4929" w:rsidP="00643848">
            <w:pPr>
              <w:pStyle w:val="TAL"/>
            </w:pPr>
            <w:r w:rsidRPr="00C64ECB">
              <w:t>4</w:t>
            </w:r>
          </w:p>
        </w:tc>
        <w:tc>
          <w:tcPr>
            <w:tcW w:w="1481" w:type="dxa"/>
          </w:tcPr>
          <w:p w14:paraId="306427D5" w14:textId="77777777" w:rsidR="004F4929" w:rsidRPr="00C64ECB" w:rsidRDefault="004F4929" w:rsidP="00643848">
            <w:pPr>
              <w:pStyle w:val="TAL"/>
            </w:pPr>
            <w:r w:rsidRPr="00C64ECB">
              <w:t>6</w:t>
            </w:r>
          </w:p>
        </w:tc>
      </w:tr>
      <w:tr w:rsidR="004F4929" w:rsidRPr="00C64ECB" w14:paraId="1FC4724D" w14:textId="77777777" w:rsidTr="00D674D2">
        <w:trPr>
          <w:jc w:val="center"/>
        </w:trPr>
        <w:tc>
          <w:tcPr>
            <w:tcW w:w="2605" w:type="dxa"/>
            <w:vMerge/>
          </w:tcPr>
          <w:p w14:paraId="27C528DD" w14:textId="77777777" w:rsidR="004F4929" w:rsidRPr="00C64ECB" w:rsidRDefault="004F4929" w:rsidP="00643848">
            <w:pPr>
              <w:pStyle w:val="TAL"/>
            </w:pPr>
          </w:p>
        </w:tc>
        <w:tc>
          <w:tcPr>
            <w:tcW w:w="1530" w:type="dxa"/>
          </w:tcPr>
          <w:p w14:paraId="51BD673F" w14:textId="77777777" w:rsidR="004F4929" w:rsidRPr="00C64ECB" w:rsidRDefault="004F4929" w:rsidP="00643848">
            <w:pPr>
              <w:pStyle w:val="TAL"/>
            </w:pPr>
            <w:r w:rsidRPr="00C64ECB">
              <w:t>3</w:t>
            </w:r>
          </w:p>
        </w:tc>
        <w:tc>
          <w:tcPr>
            <w:tcW w:w="1481" w:type="dxa"/>
          </w:tcPr>
          <w:p w14:paraId="6A2EC83B" w14:textId="77777777" w:rsidR="004F4929" w:rsidRPr="00C64ECB" w:rsidRDefault="004F4929" w:rsidP="00643848">
            <w:pPr>
              <w:pStyle w:val="TAL"/>
            </w:pPr>
            <w:r w:rsidRPr="00C64ECB">
              <w:t>8</w:t>
            </w:r>
          </w:p>
        </w:tc>
      </w:tr>
      <w:tr w:rsidR="004F4929" w:rsidRPr="00C64ECB" w14:paraId="11255818" w14:textId="77777777" w:rsidTr="00D674D2">
        <w:trPr>
          <w:jc w:val="center"/>
        </w:trPr>
        <w:tc>
          <w:tcPr>
            <w:tcW w:w="2605" w:type="dxa"/>
            <w:vMerge/>
          </w:tcPr>
          <w:p w14:paraId="4E61B8E8" w14:textId="77777777" w:rsidR="004F4929" w:rsidRPr="00C64ECB" w:rsidRDefault="004F4929" w:rsidP="00643848">
            <w:pPr>
              <w:pStyle w:val="TAL"/>
            </w:pPr>
          </w:p>
        </w:tc>
        <w:tc>
          <w:tcPr>
            <w:tcW w:w="1530" w:type="dxa"/>
          </w:tcPr>
          <w:p w14:paraId="15FF7A52" w14:textId="77777777" w:rsidR="004F4929" w:rsidRPr="00C64ECB" w:rsidRDefault="004F4929" w:rsidP="00643848">
            <w:pPr>
              <w:pStyle w:val="TAL"/>
            </w:pPr>
            <w:r w:rsidRPr="00C64ECB">
              <w:t>2</w:t>
            </w:r>
          </w:p>
        </w:tc>
        <w:tc>
          <w:tcPr>
            <w:tcW w:w="1481" w:type="dxa"/>
          </w:tcPr>
          <w:p w14:paraId="05044DB2" w14:textId="77777777" w:rsidR="004F4929" w:rsidRPr="00C64ECB" w:rsidRDefault="004F4929" w:rsidP="00643848">
            <w:pPr>
              <w:pStyle w:val="TAL"/>
            </w:pPr>
            <w:r w:rsidRPr="00C64ECB">
              <w:t>12</w:t>
            </w:r>
          </w:p>
        </w:tc>
      </w:tr>
      <w:tr w:rsidR="004F4929" w:rsidRPr="00C64ECB" w14:paraId="6063C9EC" w14:textId="77777777" w:rsidTr="00D674D2">
        <w:trPr>
          <w:jc w:val="center"/>
        </w:trPr>
        <w:tc>
          <w:tcPr>
            <w:tcW w:w="2605" w:type="dxa"/>
            <w:vMerge w:val="restart"/>
          </w:tcPr>
          <w:p w14:paraId="60B14D8F" w14:textId="2F139C81" w:rsidR="004F4929" w:rsidRPr="00C64ECB" w:rsidRDefault="004F4929" w:rsidP="00643848">
            <w:pPr>
              <w:pStyle w:val="TAL"/>
            </w:pPr>
            <w:r w:rsidRPr="00C64ECB">
              <w:t>60 kHz (</w:t>
            </w:r>
            <w:r w:rsidR="007D1596" w:rsidRPr="00C64ECB">
              <w:t xml:space="preserve">if </w:t>
            </w:r>
            <w:r w:rsidRPr="00C64ECB">
              <w:t>26 PRBs is</w:t>
            </w:r>
            <w:r w:rsidR="00FE4A5E" w:rsidRPr="00C64ECB">
              <w:t xml:space="preserve"> </w:t>
            </w:r>
            <w:r w:rsidR="007F019E" w:rsidRPr="00C64ECB">
              <w:t>supported</w:t>
            </w:r>
            <w:r w:rsidR="00E92AF6" w:rsidRPr="00C64ECB">
              <w:t xml:space="preserve"> </w:t>
            </w:r>
            <w:r w:rsidRPr="00C64ECB">
              <w:t>in a 20 MHz bandwidth)</w:t>
            </w:r>
          </w:p>
        </w:tc>
        <w:tc>
          <w:tcPr>
            <w:tcW w:w="1530" w:type="dxa"/>
          </w:tcPr>
          <w:p w14:paraId="0CF953AC" w14:textId="77777777" w:rsidR="004F4929" w:rsidRPr="00C64ECB" w:rsidRDefault="004F4929" w:rsidP="00643848">
            <w:pPr>
              <w:pStyle w:val="TAL"/>
            </w:pPr>
            <w:r w:rsidRPr="00C64ECB">
              <w:t>4</w:t>
            </w:r>
          </w:p>
        </w:tc>
        <w:tc>
          <w:tcPr>
            <w:tcW w:w="1481" w:type="dxa"/>
          </w:tcPr>
          <w:p w14:paraId="540BB677" w14:textId="77777777" w:rsidR="004F4929" w:rsidRPr="00C64ECB" w:rsidRDefault="004F4929" w:rsidP="00643848">
            <w:pPr>
              <w:pStyle w:val="TAL"/>
            </w:pPr>
            <w:r w:rsidRPr="00C64ECB">
              <w:t>6 or 7</w:t>
            </w:r>
          </w:p>
        </w:tc>
      </w:tr>
      <w:tr w:rsidR="004F4929" w:rsidRPr="00C64ECB" w14:paraId="3E3082D7" w14:textId="77777777" w:rsidTr="00D674D2">
        <w:trPr>
          <w:jc w:val="center"/>
        </w:trPr>
        <w:tc>
          <w:tcPr>
            <w:tcW w:w="2605" w:type="dxa"/>
            <w:vMerge/>
          </w:tcPr>
          <w:p w14:paraId="6F4642A4" w14:textId="77777777" w:rsidR="004F4929" w:rsidRPr="00C64ECB" w:rsidRDefault="004F4929" w:rsidP="00D674D2">
            <w:pPr>
              <w:spacing w:after="0"/>
              <w:rPr>
                <w:lang w:eastAsia="x-none"/>
              </w:rPr>
            </w:pPr>
          </w:p>
        </w:tc>
        <w:tc>
          <w:tcPr>
            <w:tcW w:w="1530" w:type="dxa"/>
          </w:tcPr>
          <w:p w14:paraId="75777A99" w14:textId="77777777" w:rsidR="004F4929" w:rsidRPr="00C64ECB" w:rsidRDefault="004F4929" w:rsidP="00D674D2">
            <w:pPr>
              <w:tabs>
                <w:tab w:val="left" w:pos="806"/>
              </w:tabs>
              <w:spacing w:after="0"/>
              <w:rPr>
                <w:lang w:eastAsia="x-none"/>
              </w:rPr>
            </w:pPr>
            <w:r w:rsidRPr="00C64ECB">
              <w:rPr>
                <w:lang w:eastAsia="x-none"/>
              </w:rPr>
              <w:t>2</w:t>
            </w:r>
          </w:p>
        </w:tc>
        <w:tc>
          <w:tcPr>
            <w:tcW w:w="1481" w:type="dxa"/>
          </w:tcPr>
          <w:p w14:paraId="03A72484" w14:textId="77777777" w:rsidR="004F4929" w:rsidRPr="00C64ECB" w:rsidRDefault="004F4929" w:rsidP="00D674D2">
            <w:pPr>
              <w:spacing w:after="0"/>
              <w:rPr>
                <w:lang w:eastAsia="x-none"/>
              </w:rPr>
            </w:pPr>
            <w:r w:rsidRPr="00C64ECB">
              <w:rPr>
                <w:lang w:eastAsia="x-none"/>
              </w:rPr>
              <w:t>13</w:t>
            </w:r>
          </w:p>
        </w:tc>
      </w:tr>
      <w:tr w:rsidR="004F4929" w:rsidRPr="00C64ECB" w14:paraId="0AE15384" w14:textId="77777777" w:rsidTr="00D674D2">
        <w:trPr>
          <w:jc w:val="center"/>
        </w:trPr>
        <w:tc>
          <w:tcPr>
            <w:tcW w:w="2605" w:type="dxa"/>
            <w:vMerge/>
          </w:tcPr>
          <w:p w14:paraId="6618565C" w14:textId="77777777" w:rsidR="004F4929" w:rsidRPr="00C64ECB" w:rsidRDefault="004F4929" w:rsidP="00D674D2">
            <w:pPr>
              <w:spacing w:after="0"/>
              <w:rPr>
                <w:lang w:eastAsia="x-none"/>
              </w:rPr>
            </w:pPr>
          </w:p>
        </w:tc>
        <w:tc>
          <w:tcPr>
            <w:tcW w:w="1530" w:type="dxa"/>
          </w:tcPr>
          <w:p w14:paraId="4EB5E29C" w14:textId="77777777" w:rsidR="004F4929" w:rsidRPr="00C64ECB" w:rsidRDefault="004F4929" w:rsidP="00D674D2">
            <w:pPr>
              <w:tabs>
                <w:tab w:val="left" w:pos="806"/>
              </w:tabs>
              <w:spacing w:after="0"/>
              <w:rPr>
                <w:lang w:eastAsia="x-none"/>
              </w:rPr>
            </w:pPr>
            <w:r w:rsidRPr="00C64ECB">
              <w:rPr>
                <w:lang w:eastAsia="x-none"/>
              </w:rPr>
              <w:t>3</w:t>
            </w:r>
          </w:p>
        </w:tc>
        <w:tc>
          <w:tcPr>
            <w:tcW w:w="1481" w:type="dxa"/>
          </w:tcPr>
          <w:p w14:paraId="32C356AF" w14:textId="77777777" w:rsidR="004F4929" w:rsidRPr="00C64ECB" w:rsidRDefault="004F4929" w:rsidP="00D674D2">
            <w:pPr>
              <w:spacing w:after="0"/>
              <w:rPr>
                <w:lang w:eastAsia="x-none"/>
              </w:rPr>
            </w:pPr>
            <w:r w:rsidRPr="00C64ECB">
              <w:rPr>
                <w:lang w:eastAsia="x-none"/>
              </w:rPr>
              <w:t>8 or 9</w:t>
            </w:r>
          </w:p>
        </w:tc>
      </w:tr>
    </w:tbl>
    <w:p w14:paraId="467EF6F1" w14:textId="77777777" w:rsidR="004F4929" w:rsidRPr="00C64ECB" w:rsidRDefault="004F4929" w:rsidP="004F4929">
      <w:pPr>
        <w:rPr>
          <w:lang w:eastAsia="x-none"/>
        </w:rPr>
      </w:pPr>
    </w:p>
    <w:p w14:paraId="7A752493" w14:textId="77777777" w:rsidR="00606ECB" w:rsidRPr="00C64ECB" w:rsidRDefault="00606ECB" w:rsidP="00606ECB">
      <w:pPr>
        <w:rPr>
          <w:lang w:eastAsia="x-none"/>
        </w:rPr>
      </w:pPr>
      <w:r w:rsidRPr="00C64ECB">
        <w:rPr>
          <w:lang w:eastAsia="x-none"/>
        </w:rPr>
        <w:t>For carriers with bandwidth larger than 20 MHz, two candidate interlace designs have been identified:</w:t>
      </w:r>
    </w:p>
    <w:p w14:paraId="7B092411" w14:textId="1435B3C6" w:rsidR="00606ECB" w:rsidRPr="00C64ECB" w:rsidRDefault="00043FB2" w:rsidP="00043FB2">
      <w:pPr>
        <w:pStyle w:val="B1"/>
      </w:pPr>
      <w:r w:rsidRPr="00C64ECB">
        <w:t>-</w:t>
      </w:r>
      <w:r w:rsidRPr="00C64ECB">
        <w:tab/>
      </w:r>
      <w:r w:rsidR="00606ECB" w:rsidRPr="00C64ECB">
        <w:t>Alt-1: Same interlace spacing for all interlaces regardless of carrier BW. This alternative uses Point A as a reference for the interlace definition</w:t>
      </w:r>
    </w:p>
    <w:p w14:paraId="28B9AC5E" w14:textId="7F1100DF" w:rsidR="00606ECB" w:rsidRPr="00C64ECB" w:rsidRDefault="00043FB2" w:rsidP="00043FB2">
      <w:pPr>
        <w:pStyle w:val="B1"/>
      </w:pPr>
      <w:r w:rsidRPr="00C64ECB">
        <w:t>-</w:t>
      </w:r>
      <w:r w:rsidRPr="00C64ECB">
        <w:tab/>
      </w:r>
      <w:r w:rsidR="00606ECB" w:rsidRPr="00C64ECB">
        <w:t>Alt-2: Interlacing defined on a sub-band (20 MHz) basis. (Note: Possible interlace spacing discontinuity at edges of sub-band).</w:t>
      </w:r>
    </w:p>
    <w:p w14:paraId="4A5B71E2" w14:textId="27E7F1A1" w:rsidR="00704E12" w:rsidRPr="00C64ECB" w:rsidRDefault="00704E12" w:rsidP="00704E12">
      <w:r w:rsidRPr="00C64ECB">
        <w:rPr>
          <w:lang w:eastAsia="x-none"/>
        </w:rPr>
        <w:t xml:space="preserve">Additional candidates have been identified, but consensus has not been achieved, e.g., (1) for carriers with bandwidth larger than 20 MHz, retain the same number of PRBs per interlace (N) for all interlaces regardless of carrier BW; (2) </w:t>
      </w:r>
      <w:r w:rsidRPr="00C64ECB">
        <w:rPr>
          <w:lang w:eastAsia="x-none"/>
        </w:rPr>
        <w:lastRenderedPageBreak/>
        <w:t>Partial interlace allocation. Detailed design can be further discussed when specifications are developed taking RF aspects into account.</w:t>
      </w:r>
    </w:p>
    <w:p w14:paraId="38E70548" w14:textId="3147B3A9" w:rsidR="00C7175F" w:rsidRPr="00C64ECB" w:rsidRDefault="00C7175F" w:rsidP="00C7175F">
      <w:pPr>
        <w:rPr>
          <w:lang w:eastAsia="x-none"/>
        </w:rPr>
      </w:pPr>
      <w:r w:rsidRPr="00C64ECB">
        <w:rPr>
          <w:rFonts w:hint="eastAsia"/>
          <w:lang w:eastAsia="x-none"/>
        </w:rPr>
        <w:t xml:space="preserve">It has been identified that support of different numerology candidates at least has </w:t>
      </w:r>
      <w:r w:rsidRPr="00C64ECB">
        <w:rPr>
          <w:lang w:eastAsia="x-none"/>
        </w:rPr>
        <w:t xml:space="preserve">the </w:t>
      </w:r>
      <w:r w:rsidRPr="00C64ECB">
        <w:rPr>
          <w:rFonts w:hint="eastAsia"/>
          <w:lang w:eastAsia="x-none"/>
        </w:rPr>
        <w:t>following specification impacts:</w:t>
      </w:r>
    </w:p>
    <w:p w14:paraId="006B7BCC" w14:textId="0D0B9B9F" w:rsidR="00C7175F" w:rsidRPr="00C64ECB" w:rsidRDefault="00043FB2" w:rsidP="00043FB2">
      <w:pPr>
        <w:pStyle w:val="B1"/>
      </w:pPr>
      <w:r w:rsidRPr="00C64ECB">
        <w:t>-</w:t>
      </w:r>
      <w:r w:rsidRPr="00C64ECB">
        <w:tab/>
      </w:r>
      <w:r w:rsidR="00C7175F" w:rsidRPr="00C64ECB">
        <w:t>For PRB-based block-interlace design for 15, 30, and 60 kHz SCS, the following spec impacts have been identified: Number of interlaces and number of PRBs per interlace need to be defined; the resource allocation mechanism needs to be defined; channel estimation aspects need to be considered, such as impact on PRG. In addition to the above impact, for sub-PRB-based block-interlace design for 60 kHz SCS, reference signal design (such as DMRS) needs to be revisited and alternative resource allocation mechanism is needed.</w:t>
      </w:r>
    </w:p>
    <w:p w14:paraId="4436AD33" w14:textId="6E3F6AC6" w:rsidR="00EC7E4A" w:rsidRPr="00C64ECB" w:rsidRDefault="00043FB2" w:rsidP="00043FB2">
      <w:pPr>
        <w:pStyle w:val="B1"/>
      </w:pPr>
      <w:r w:rsidRPr="00C64ECB">
        <w:t>-</w:t>
      </w:r>
      <w:r w:rsidRPr="00C64ECB">
        <w:tab/>
      </w:r>
      <w:r w:rsidR="007800E6" w:rsidRPr="00C64ECB">
        <w:t>For NR-U DRS design for 15 and 30 kHz SCS, the SS/PBCH block time domain pattern is already supported in Rel-15. For 60 kHz SCS, there is no SS/PBCH block time domain pattern defined in Rel-15. SS/PBCH block to CORESET configuration tables (38.213 Section 13) need to be defined as well.</w:t>
      </w:r>
    </w:p>
    <w:p w14:paraId="4276AF44" w14:textId="72819584" w:rsidR="00873401" w:rsidRPr="00C64ECB" w:rsidRDefault="00AF4A15" w:rsidP="00253DDC">
      <w:pPr>
        <w:pStyle w:val="B1"/>
      </w:pPr>
      <w:r w:rsidRPr="00C64ECB">
        <w:t>-</w:t>
      </w:r>
      <w:r w:rsidRPr="00C64ECB">
        <w:tab/>
      </w:r>
      <w:r w:rsidR="00873401" w:rsidRPr="00C64ECB">
        <w:rPr>
          <w:rFonts w:hint="eastAsia"/>
        </w:rPr>
        <w:t xml:space="preserve">For </w:t>
      </w:r>
      <w:r w:rsidR="00873401" w:rsidRPr="00C64ECB">
        <w:t>PRACH design for 15, 30, and 60 kHz SCS, signalling mechanism of RACH configuration indicating PRACH numerology may need modification to support more than two numerologies for PRACH for NR-U.</w:t>
      </w:r>
    </w:p>
    <w:p w14:paraId="43F1E8C4" w14:textId="77777777" w:rsidR="00802ABC" w:rsidRPr="00C64ECB" w:rsidRDefault="00802ABC" w:rsidP="00802ABC">
      <w:r w:rsidRPr="00C64ECB">
        <w:t>It has been identified as beneficial for NR-U to introduce additional flexibility in configuring/triggering SRS compared to NR Rel-15. The following candidate enhancements have been discussed; design details can be further discussed when specifications are developed:</w:t>
      </w:r>
    </w:p>
    <w:p w14:paraId="327B77D4" w14:textId="1B3B5AEE" w:rsidR="00802ABC" w:rsidRPr="00C64ECB" w:rsidRDefault="00802ABC" w:rsidP="00802ABC">
      <w:pPr>
        <w:pStyle w:val="B1"/>
      </w:pPr>
      <w:r w:rsidRPr="00C64ECB">
        <w:t>-</w:t>
      </w:r>
      <w:r w:rsidRPr="00C64ECB">
        <w:tab/>
        <w:t>Additional OFDM symbol locations for an SRS resource within a slot other than the last 6 symbols</w:t>
      </w:r>
    </w:p>
    <w:p w14:paraId="45B0C493" w14:textId="37B05E3E" w:rsidR="00802ABC" w:rsidRPr="00C64ECB" w:rsidRDefault="00802ABC" w:rsidP="00802ABC">
      <w:pPr>
        <w:pStyle w:val="B1"/>
      </w:pPr>
      <w:r w:rsidRPr="00C64ECB">
        <w:t>-</w:t>
      </w:r>
      <w:r w:rsidRPr="00C64ECB">
        <w:tab/>
        <w:t>Interlaced waveform</w:t>
      </w:r>
    </w:p>
    <w:p w14:paraId="5481A7B5" w14:textId="0CEA260E" w:rsidR="00802ABC" w:rsidRPr="00C64ECB" w:rsidRDefault="00802ABC" w:rsidP="00802ABC">
      <w:pPr>
        <w:pStyle w:val="B1"/>
      </w:pPr>
      <w:r w:rsidRPr="00C64ECB">
        <w:t>-</w:t>
      </w:r>
      <w:r w:rsidRPr="00C64ECB">
        <w:tab/>
        <w:t>Additional flexibility in frequency domain configuration</w:t>
      </w:r>
    </w:p>
    <w:p w14:paraId="11F02598" w14:textId="63F1F645" w:rsidR="00873401" w:rsidRPr="00C64ECB" w:rsidRDefault="005F4E30" w:rsidP="005F4E30">
      <w:r w:rsidRPr="00C64ECB">
        <w:t>It may be beneficial to apply restrictions on the use of DFT-s-OFDM in NR-U to avoid significant design efforts specific to operation in unlicensed spectrum.</w:t>
      </w:r>
    </w:p>
    <w:p w14:paraId="50B9BD07" w14:textId="56E13794" w:rsidR="00CB2721" w:rsidRPr="00C64ECB" w:rsidRDefault="00CB2721" w:rsidP="00CB2721">
      <w:pPr>
        <w:pStyle w:val="Heading4"/>
      </w:pPr>
      <w:bookmarkStart w:id="59" w:name="_Toc531343012"/>
      <w:r w:rsidRPr="00C64ECB">
        <w:t>7.2.1.3</w:t>
      </w:r>
      <w:r w:rsidRPr="00C64ECB">
        <w:tab/>
        <w:t>Physical layer procedure designs</w:t>
      </w:r>
      <w:bookmarkEnd w:id="59"/>
    </w:p>
    <w:p w14:paraId="191E06E1" w14:textId="383646EF" w:rsidR="00E80E78" w:rsidRPr="00C64ECB" w:rsidRDefault="00E80E78" w:rsidP="00E80E78">
      <w:pPr>
        <w:pStyle w:val="Heading5"/>
      </w:pPr>
      <w:bookmarkStart w:id="60" w:name="_Toc531343013"/>
      <w:r w:rsidRPr="00C64ECB">
        <w:t>7.2.1.3.1</w:t>
      </w:r>
      <w:r w:rsidRPr="00C64ECB">
        <w:tab/>
        <w:t>Channel access procedures</w:t>
      </w:r>
      <w:bookmarkEnd w:id="60"/>
    </w:p>
    <w:p w14:paraId="0095A0C5" w14:textId="4113A535" w:rsidR="00DC26BB" w:rsidRPr="00C64ECB" w:rsidRDefault="00DC26BB" w:rsidP="00FC66AC">
      <w:r w:rsidRPr="00C64ECB">
        <w:t>If absence of Wi-Fi cannot be guaranteed (e.g. by regulation) in the band (sub-7 GHz) where NR-U is operating, the baseline assumption is, the NR-U operating bandwidth is an integer multiple of 20MHz.</w:t>
      </w:r>
    </w:p>
    <w:p w14:paraId="29B5C8D5" w14:textId="61DA84A0" w:rsidR="001B7B03" w:rsidRPr="00C64ECB" w:rsidRDefault="001B7B03" w:rsidP="00FC66AC">
      <w:r w:rsidRPr="00C64ECB">
        <w:t>Channel access mechanisms need to comply with regulations and may therefore need to be adapted for particular frequency ranges.</w:t>
      </w:r>
    </w:p>
    <w:p w14:paraId="19EC3395" w14:textId="75FB0420" w:rsidR="00DC26BB" w:rsidRPr="00C64ECB" w:rsidRDefault="00DC26BB" w:rsidP="00FC66AC">
      <w:r w:rsidRPr="00C64ECB" w:rsidDel="00E80E78">
        <w:t xml:space="preserve">For channel access mechanism, LTE-LAA LBT mechanism </w:t>
      </w:r>
      <w:r w:rsidR="001B7B03" w:rsidRPr="00C64ECB">
        <w:t>is adopted as baseline</w:t>
      </w:r>
      <w:r w:rsidRPr="00C64ECB" w:rsidDel="00E80E78">
        <w:t xml:space="preserve"> for 5GHz</w:t>
      </w:r>
      <w:r w:rsidR="001B7B03" w:rsidRPr="00C64ECB">
        <w:t xml:space="preserve"> band and adopted as the starting point of the design for 6GHz band</w:t>
      </w:r>
      <w:r w:rsidRPr="00C64ECB" w:rsidDel="00E80E78">
        <w:t xml:space="preserve">. At least for band where absence of Wi-Fi cannot be guaranteed (e.g. by regulation), LBT can be performed in units of 20 MHz. </w:t>
      </w:r>
    </w:p>
    <w:p w14:paraId="1D31A11F" w14:textId="1D317664" w:rsidR="009F72B7" w:rsidRPr="00C64ECB" w:rsidRDefault="001B7B03" w:rsidP="00FC66AC">
      <w:r w:rsidRPr="00C64ECB">
        <w:t xml:space="preserve">For 5GHz band, </w:t>
      </w:r>
      <w:r w:rsidR="009F72B7" w:rsidRPr="00C64ECB">
        <w:t xml:space="preserve">having a 16 µs gap to accommodate for the transceiver turnaround before the immediate transmission of the responding node </w:t>
      </w:r>
      <w:r w:rsidRPr="00C64ECB">
        <w:t xml:space="preserve">is beneficial for NR-U, such as for supporting fast A/N feedback, and is permitted per regulation. Restrictions/conditions on when </w:t>
      </w:r>
      <w:r w:rsidR="009F72B7" w:rsidRPr="00C64ECB">
        <w:t>this</w:t>
      </w:r>
      <w:r w:rsidRPr="00C64ECB">
        <w:t xml:space="preserve"> option can be used will be further identified, e.g., in consideration of fair coexistence. </w:t>
      </w:r>
    </w:p>
    <w:p w14:paraId="17A4D8CA" w14:textId="10C39047" w:rsidR="001B7B03" w:rsidRPr="00C64ECB" w:rsidRDefault="009F72B7" w:rsidP="00FC66AC">
      <w:r w:rsidRPr="00C64ECB">
        <w:t>A 16 µs gap to accommodate for the transceiver turnaround before the immediate transmission of the responding node</w:t>
      </w:r>
      <w:r w:rsidRPr="00C64ECB" w:rsidDel="009F72B7">
        <w:t xml:space="preserve"> </w:t>
      </w:r>
      <w:r w:rsidR="001B7B03" w:rsidRPr="00C64ECB">
        <w:t xml:space="preserve">can </w:t>
      </w:r>
      <w:r w:rsidRPr="00C64ECB">
        <w:t xml:space="preserve">also </w:t>
      </w:r>
      <w:r w:rsidR="001B7B03" w:rsidRPr="00C64ECB">
        <w:t>be applied to 6GHz band if allowed by regulation</w:t>
      </w:r>
      <w:r w:rsidRPr="00C64ECB">
        <w:t>, and</w:t>
      </w:r>
      <w:r w:rsidR="001B7B03" w:rsidRPr="00C64ECB">
        <w:t xml:space="preserve"> </w:t>
      </w:r>
      <w:r w:rsidRPr="00C64ECB">
        <w:t>r</w:t>
      </w:r>
      <w:r w:rsidR="001B7B03" w:rsidRPr="00C64ECB">
        <w:t xml:space="preserve">estrictions/conditions on when </w:t>
      </w:r>
      <w:r w:rsidRPr="00C64ECB">
        <w:t>this</w:t>
      </w:r>
      <w:r w:rsidR="001B7B03" w:rsidRPr="00C64ECB">
        <w:t xml:space="preserve"> option can be used will be further identified, if fair coexistence criterion is defined for 6GHz band.</w:t>
      </w:r>
    </w:p>
    <w:p w14:paraId="10D059A2" w14:textId="3E24D9FB" w:rsidR="00DC13C2" w:rsidRPr="00C64ECB" w:rsidRDefault="00EC7E4A" w:rsidP="00DC13C2">
      <w:r w:rsidRPr="00C64ECB">
        <w:rPr>
          <w:lang w:eastAsia="x-none"/>
        </w:rPr>
        <w:t>For CWS adjustment procedure in NR-U, in addition to aspects considered in LTE LAA, NR-U may additionally consider at least the following aspects: CBG based HARQ-ACK operation, NR scheduling and HARQ-feedback delays and processing times, wideband (&gt;20 MHz) operation including BWPs, Configured grant operation.</w:t>
      </w:r>
      <w:r w:rsidR="005F4E30" w:rsidRPr="00C64ECB">
        <w:t xml:space="preserve">For initiation of a COT by the gNB (operating as an LBE device), </w:t>
      </w:r>
      <w:r w:rsidR="00ED0EAD" w:rsidRPr="00C64ECB">
        <w:t xml:space="preserve">the channel access </w:t>
      </w:r>
      <w:r w:rsidR="005F4E30" w:rsidRPr="00C64ECB">
        <w:t>schemes</w:t>
      </w:r>
      <w:r w:rsidR="00ED0EAD" w:rsidRPr="00C64ECB">
        <w:t xml:space="preserve"> in Table 7.2.1.3.1-1</w:t>
      </w:r>
      <w:r w:rsidR="005F4E30" w:rsidRPr="00C64ECB">
        <w:t xml:space="preserve"> are used</w:t>
      </w:r>
      <w:r w:rsidR="00ED0EAD" w:rsidRPr="00C64ECB">
        <w:t>.</w:t>
      </w:r>
    </w:p>
    <w:p w14:paraId="6015D6BE" w14:textId="77777777" w:rsidR="00DC13C2" w:rsidRPr="00C64ECB" w:rsidRDefault="00DC13C2" w:rsidP="00DC13C2"/>
    <w:p w14:paraId="3251BA5D" w14:textId="3A339DCF" w:rsidR="00ED0EAD" w:rsidRPr="00C64ECB" w:rsidRDefault="00ED0EAD" w:rsidP="005C4862">
      <w:pPr>
        <w:pStyle w:val="TH"/>
      </w:pPr>
      <w:r w:rsidRPr="00C64ECB">
        <w:lastRenderedPageBreak/>
        <w:t>Table 7.2.1.3.1-1</w:t>
      </w:r>
      <w:r w:rsidR="005C4862">
        <w:t>:</w:t>
      </w:r>
      <w:r w:rsidRPr="00C64ECB">
        <w:t xml:space="preserve"> Channel access schemes for initiating a COT by gNB as LBE device</w:t>
      </w:r>
    </w:p>
    <w:tbl>
      <w:tblPr>
        <w:tblW w:w="43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2788"/>
        <w:gridCol w:w="2699"/>
      </w:tblGrid>
      <w:tr w:rsidR="004A5AC9" w:rsidRPr="00C64ECB" w14:paraId="78E90266" w14:textId="77777777" w:rsidTr="004A5AC9">
        <w:trPr>
          <w:jc w:val="center"/>
        </w:trPr>
        <w:tc>
          <w:tcPr>
            <w:tcW w:w="1755" w:type="pct"/>
            <w:shd w:val="clear" w:color="auto" w:fill="auto"/>
          </w:tcPr>
          <w:p w14:paraId="51B8C599" w14:textId="4465CD3C" w:rsidR="005F4E30" w:rsidRPr="00C64ECB" w:rsidRDefault="005F4E30" w:rsidP="005C4862">
            <w:pPr>
              <w:pStyle w:val="TAH"/>
            </w:pPr>
          </w:p>
        </w:tc>
        <w:tc>
          <w:tcPr>
            <w:tcW w:w="1649" w:type="pct"/>
            <w:shd w:val="clear" w:color="auto" w:fill="auto"/>
          </w:tcPr>
          <w:p w14:paraId="38816DDA" w14:textId="77777777" w:rsidR="005F4E30" w:rsidRPr="00C64ECB" w:rsidRDefault="005F4E30" w:rsidP="005C4862">
            <w:pPr>
              <w:pStyle w:val="TAH"/>
            </w:pPr>
            <w:r w:rsidRPr="00C64ECB">
              <w:t>Cat 2 LBT</w:t>
            </w:r>
          </w:p>
        </w:tc>
        <w:tc>
          <w:tcPr>
            <w:tcW w:w="1596" w:type="pct"/>
            <w:shd w:val="clear" w:color="auto" w:fill="auto"/>
          </w:tcPr>
          <w:p w14:paraId="586013EB" w14:textId="77777777" w:rsidR="005F4E30" w:rsidRPr="00C64ECB" w:rsidRDefault="005F4E30" w:rsidP="005C4862">
            <w:pPr>
              <w:pStyle w:val="TAH"/>
            </w:pPr>
            <w:r w:rsidRPr="00C64ECB">
              <w:t>Cat 4 LBT</w:t>
            </w:r>
          </w:p>
        </w:tc>
      </w:tr>
      <w:tr w:rsidR="004A5AC9" w:rsidRPr="00C64ECB" w14:paraId="46460333" w14:textId="77777777" w:rsidTr="004A5AC9">
        <w:trPr>
          <w:jc w:val="center"/>
        </w:trPr>
        <w:tc>
          <w:tcPr>
            <w:tcW w:w="1755" w:type="pct"/>
            <w:shd w:val="clear" w:color="auto" w:fill="auto"/>
          </w:tcPr>
          <w:p w14:paraId="17B18E8E" w14:textId="77777777" w:rsidR="004A5AC9" w:rsidRPr="00C64ECB" w:rsidRDefault="004A5AC9" w:rsidP="005C4862">
            <w:pPr>
              <w:pStyle w:val="TAL"/>
            </w:pPr>
            <w:r w:rsidRPr="00C64ECB">
              <w:t xml:space="preserve">DRS alone or multiplexed with non-unicast data (e.g. OSI, paging, RAR) </w:t>
            </w:r>
          </w:p>
        </w:tc>
        <w:tc>
          <w:tcPr>
            <w:tcW w:w="1649" w:type="pct"/>
            <w:shd w:val="clear" w:color="auto" w:fill="auto"/>
          </w:tcPr>
          <w:p w14:paraId="2623EAC0" w14:textId="0C50C110" w:rsidR="004A5AC9" w:rsidRPr="00C64ECB" w:rsidRDefault="005C4862" w:rsidP="005C4862">
            <w:pPr>
              <w:pStyle w:val="TAL"/>
              <w:rPr>
                <w:i/>
              </w:rPr>
            </w:pPr>
            <w:r>
              <w:t>W</w:t>
            </w:r>
            <w:r w:rsidR="004A5AC9" w:rsidRPr="00C64ECB">
              <w:t>hen the DRS duty cycle ≤1/20, and the total duration is up to 1 ms: 25 µs Cat 2 LBT is used (as in LAA)</w:t>
            </w:r>
          </w:p>
        </w:tc>
        <w:tc>
          <w:tcPr>
            <w:tcW w:w="1596" w:type="pct"/>
            <w:shd w:val="clear" w:color="auto" w:fill="auto"/>
          </w:tcPr>
          <w:p w14:paraId="5BC59730" w14:textId="1A00CC1A" w:rsidR="004A5AC9" w:rsidRPr="00C64ECB" w:rsidRDefault="004A5AC9" w:rsidP="005C4862">
            <w:pPr>
              <w:pStyle w:val="TAL"/>
            </w:pPr>
            <w:r w:rsidRPr="00C64ECB">
              <w:t>When DRS duty cycle is &gt; 1/20, or total duration &gt; 1 ms</w:t>
            </w:r>
          </w:p>
        </w:tc>
      </w:tr>
      <w:tr w:rsidR="004A5AC9" w:rsidRPr="00C64ECB" w14:paraId="1FEFD0AC" w14:textId="77777777" w:rsidTr="004A5AC9">
        <w:trPr>
          <w:jc w:val="center"/>
        </w:trPr>
        <w:tc>
          <w:tcPr>
            <w:tcW w:w="1755" w:type="pct"/>
            <w:shd w:val="clear" w:color="auto" w:fill="auto"/>
          </w:tcPr>
          <w:p w14:paraId="15DD6F6B" w14:textId="77777777" w:rsidR="004A5AC9" w:rsidRPr="00C64ECB" w:rsidRDefault="004A5AC9" w:rsidP="005C4862">
            <w:pPr>
              <w:pStyle w:val="TAL"/>
            </w:pPr>
            <w:r w:rsidRPr="00C64ECB">
              <w:t xml:space="preserve">DRS multiplexed with unicast data </w:t>
            </w:r>
          </w:p>
        </w:tc>
        <w:tc>
          <w:tcPr>
            <w:tcW w:w="1649" w:type="pct"/>
            <w:shd w:val="clear" w:color="auto" w:fill="auto"/>
          </w:tcPr>
          <w:p w14:paraId="6B082141" w14:textId="77777777" w:rsidR="004A5AC9" w:rsidRPr="00C64ECB" w:rsidRDefault="004A5AC9" w:rsidP="005C4862">
            <w:pPr>
              <w:pStyle w:val="TAL"/>
            </w:pPr>
            <w:r w:rsidRPr="00C64ECB">
              <w:t>N/A except for the cases discussed in the Note below</w:t>
            </w:r>
          </w:p>
        </w:tc>
        <w:tc>
          <w:tcPr>
            <w:tcW w:w="1596" w:type="pct"/>
            <w:shd w:val="clear" w:color="auto" w:fill="auto"/>
          </w:tcPr>
          <w:p w14:paraId="76A12AB1" w14:textId="081BFB0B" w:rsidR="004A5AC9" w:rsidRPr="00C64ECB" w:rsidRDefault="004A5AC9" w:rsidP="005C4862">
            <w:pPr>
              <w:pStyle w:val="TAL"/>
            </w:pPr>
            <w:r w:rsidRPr="00C64ECB">
              <w:t>Channel access priority class is selected according to the multiplexed data</w:t>
            </w:r>
          </w:p>
        </w:tc>
      </w:tr>
      <w:tr w:rsidR="004A5AC9" w:rsidRPr="00C64ECB" w14:paraId="61CFD8BB" w14:textId="77777777" w:rsidTr="004A5AC9">
        <w:trPr>
          <w:jc w:val="center"/>
        </w:trPr>
        <w:tc>
          <w:tcPr>
            <w:tcW w:w="1755" w:type="pct"/>
            <w:shd w:val="clear" w:color="auto" w:fill="auto"/>
          </w:tcPr>
          <w:p w14:paraId="015A4D3F" w14:textId="77777777" w:rsidR="004A5AC9" w:rsidRPr="00C64ECB" w:rsidRDefault="004A5AC9" w:rsidP="005C4862">
            <w:pPr>
              <w:pStyle w:val="TAL"/>
            </w:pPr>
            <w:r w:rsidRPr="00C64ECB">
              <w:t>PDCCH and PDSCH</w:t>
            </w:r>
          </w:p>
        </w:tc>
        <w:tc>
          <w:tcPr>
            <w:tcW w:w="1649" w:type="pct"/>
            <w:shd w:val="clear" w:color="auto" w:fill="auto"/>
          </w:tcPr>
          <w:p w14:paraId="0052143A" w14:textId="77777777" w:rsidR="004A5AC9" w:rsidRPr="00C64ECB" w:rsidRDefault="004A5AC9" w:rsidP="005C4862">
            <w:pPr>
              <w:pStyle w:val="TAL"/>
            </w:pPr>
            <w:r w:rsidRPr="00C64ECB">
              <w:t>N/A except for the cases discussed in the Note below</w:t>
            </w:r>
          </w:p>
        </w:tc>
        <w:tc>
          <w:tcPr>
            <w:tcW w:w="1596" w:type="pct"/>
            <w:shd w:val="clear" w:color="auto" w:fill="auto"/>
          </w:tcPr>
          <w:p w14:paraId="67DE9A3C" w14:textId="77777777" w:rsidR="004A5AC9" w:rsidRPr="00C64ECB" w:rsidRDefault="004A5AC9" w:rsidP="005C4862">
            <w:pPr>
              <w:pStyle w:val="TAL"/>
            </w:pPr>
            <w:r w:rsidRPr="00C64ECB">
              <w:t>Channel access priority class is selected according to the multiplexed data</w:t>
            </w:r>
          </w:p>
        </w:tc>
      </w:tr>
    </w:tbl>
    <w:p w14:paraId="5E514BF0" w14:textId="34F55D10" w:rsidR="00EC7E4A" w:rsidRPr="00C64ECB" w:rsidRDefault="005F4E30" w:rsidP="005C4862">
      <w:pPr>
        <w:pStyle w:val="NO"/>
      </w:pPr>
      <w:r w:rsidRPr="00C64ECB">
        <w:t xml:space="preserve">Note: Applicability of an LBT scheme other than Cat 4 </w:t>
      </w:r>
      <w:r w:rsidR="00ED0EAD" w:rsidRPr="00C64ECB">
        <w:t xml:space="preserve">LBT </w:t>
      </w:r>
      <w:r w:rsidRPr="00C64ECB">
        <w:t>for</w:t>
      </w:r>
      <w:r w:rsidRPr="00C64ECB">
        <w:rPr>
          <w:i/>
        </w:rPr>
        <w:t xml:space="preserve"> </w:t>
      </w:r>
      <w:r w:rsidRPr="00C64ECB">
        <w:t>control messages related to initial/random access, mobil</w:t>
      </w:r>
      <w:r w:rsidR="00ED0EAD" w:rsidRPr="00C64ECB">
        <w:t xml:space="preserve">ity, paging, reference signals </w:t>
      </w:r>
      <w:r w:rsidRPr="00C64ECB">
        <w:t xml:space="preserve">only, and PDCCH-only transmissions, e.g. </w:t>
      </w:r>
      <w:r w:rsidR="005C4862">
        <w:t>"</w:t>
      </w:r>
      <w:r w:rsidRPr="00C64ECB">
        <w:t>RACH message 4</w:t>
      </w:r>
      <w:r w:rsidR="005C4862">
        <w:t>"</w:t>
      </w:r>
      <w:r w:rsidRPr="00C64ECB">
        <w:t>, handover command, GC-PDCCH, or short message paging transmitted either alone or when multiplexed with DRS have been discussed.</w:t>
      </w:r>
      <w:r w:rsidRPr="00C64ECB">
        <w:rPr>
          <w:rFonts w:ascii="Arial" w:hAnsi="Arial"/>
          <w:sz w:val="24"/>
          <w:szCs w:val="32"/>
          <w:lang w:eastAsia="ko-KR"/>
        </w:rPr>
        <w:t xml:space="preserve"> </w:t>
      </w:r>
      <w:r w:rsidR="000468F4" w:rsidRPr="00C64ECB">
        <w:rPr>
          <w:rFonts w:eastAsia="Times New Roman"/>
        </w:rPr>
        <w:t xml:space="preserve">Further details related to exceptions in </w:t>
      </w:r>
      <w:r w:rsidR="00FF3255" w:rsidRPr="00C64ECB">
        <w:rPr>
          <w:rFonts w:eastAsia="Times New Roman"/>
        </w:rPr>
        <w:t>this</w:t>
      </w:r>
      <w:r w:rsidR="000468F4" w:rsidRPr="00C64ECB">
        <w:rPr>
          <w:rFonts w:eastAsia="Times New Roman"/>
        </w:rPr>
        <w:t xml:space="preserve"> note can be determined when specifications are developed</w:t>
      </w:r>
      <w:r w:rsidR="00ED0EAD" w:rsidRPr="00C64ECB">
        <w:t>.</w:t>
      </w:r>
    </w:p>
    <w:p w14:paraId="1E8B4914" w14:textId="55577654" w:rsidR="00B658FC" w:rsidRPr="00C64ECB" w:rsidRDefault="00B658FC" w:rsidP="00B658FC">
      <w:pPr>
        <w:rPr>
          <w:lang w:eastAsia="x-none"/>
        </w:rPr>
      </w:pPr>
      <w:r w:rsidRPr="00C64ECB">
        <w:rPr>
          <w:lang w:eastAsia="x-none"/>
        </w:rPr>
        <w:t xml:space="preserve">At least for the case where a DL burst follows a UL burst within a gNB-initiated COT and </w:t>
      </w:r>
      <w:r w:rsidR="00ED0EAD" w:rsidRPr="00C64ECB">
        <w:rPr>
          <w:lang w:eastAsia="x-none"/>
        </w:rPr>
        <w:t>there is no gap larger than 25 µ</w:t>
      </w:r>
      <w:r w:rsidRPr="00C64ECB">
        <w:rPr>
          <w:lang w:eastAsia="x-none"/>
        </w:rPr>
        <w:t xml:space="preserve">s between any two transmissions in the COT, the </w:t>
      </w:r>
      <w:r w:rsidR="00ED0EAD" w:rsidRPr="00C64ECB">
        <w:rPr>
          <w:lang w:eastAsia="x-none"/>
        </w:rPr>
        <w:t>channel access schemes in Table 7.2.1.3.1-2</w:t>
      </w:r>
      <w:r w:rsidRPr="00C64ECB">
        <w:rPr>
          <w:lang w:eastAsia="x-none"/>
        </w:rPr>
        <w:t xml:space="preserve"> apply for the DL burst following a UL burst</w:t>
      </w:r>
      <w:r w:rsidR="00ED0EAD" w:rsidRPr="00C64ECB">
        <w:rPr>
          <w:lang w:eastAsia="x-none"/>
        </w:rPr>
        <w:t>.</w:t>
      </w:r>
    </w:p>
    <w:p w14:paraId="17636882" w14:textId="26C2C2BD" w:rsidR="00ED0EAD" w:rsidRPr="00C64ECB" w:rsidRDefault="00ED0EAD" w:rsidP="005C4862">
      <w:pPr>
        <w:pStyle w:val="TH"/>
      </w:pPr>
      <w:r w:rsidRPr="00C64ECB">
        <w:t>Table 7.2.1.3.1-2</w:t>
      </w:r>
      <w:r w:rsidR="005C4862">
        <w:t>:</w:t>
      </w:r>
      <w:r w:rsidRPr="00C64ECB">
        <w:t xml:space="preserve"> Channel access schemes for a DL burst follows a UL burst within a gNB-initiated COT as LBE device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754"/>
      </w:tblGrid>
      <w:tr w:rsidR="00B658FC" w:rsidRPr="00C64ECB" w14:paraId="7CD78F44" w14:textId="77777777" w:rsidTr="004A5AC9">
        <w:trPr>
          <w:jc w:val="center"/>
        </w:trPr>
        <w:tc>
          <w:tcPr>
            <w:tcW w:w="3685" w:type="dxa"/>
            <w:shd w:val="clear" w:color="auto" w:fill="auto"/>
          </w:tcPr>
          <w:p w14:paraId="607F5078" w14:textId="77777777" w:rsidR="00B658FC" w:rsidRPr="00C64ECB" w:rsidRDefault="00B658FC" w:rsidP="005C4862">
            <w:pPr>
              <w:pStyle w:val="TAH"/>
            </w:pPr>
            <w:r w:rsidRPr="00C64ECB">
              <w:t xml:space="preserve">Cat 1 Immediate transmission </w:t>
            </w:r>
          </w:p>
        </w:tc>
        <w:tc>
          <w:tcPr>
            <w:tcW w:w="4754" w:type="dxa"/>
            <w:shd w:val="clear" w:color="auto" w:fill="auto"/>
          </w:tcPr>
          <w:p w14:paraId="0F3EF206" w14:textId="77777777" w:rsidR="00B658FC" w:rsidRPr="00C64ECB" w:rsidRDefault="00B658FC" w:rsidP="005C4862">
            <w:pPr>
              <w:pStyle w:val="TAH"/>
            </w:pPr>
            <w:r w:rsidRPr="00C64ECB">
              <w:t>Cat 2 LBT</w:t>
            </w:r>
          </w:p>
        </w:tc>
      </w:tr>
      <w:tr w:rsidR="00B658FC" w:rsidRPr="00C64ECB" w14:paraId="4D9CE32A" w14:textId="77777777" w:rsidTr="004A5AC9">
        <w:trPr>
          <w:jc w:val="center"/>
        </w:trPr>
        <w:tc>
          <w:tcPr>
            <w:tcW w:w="3685" w:type="dxa"/>
            <w:shd w:val="clear" w:color="auto" w:fill="auto"/>
          </w:tcPr>
          <w:p w14:paraId="74A021A8" w14:textId="77777777" w:rsidR="00B658FC" w:rsidRPr="00C64ECB" w:rsidRDefault="00B658FC" w:rsidP="005C4862">
            <w:pPr>
              <w:pStyle w:val="TAL"/>
            </w:pPr>
            <w:r w:rsidRPr="00C64ECB">
              <w:t xml:space="preserve">When the gap from the end of the scheduled UL transmission to the beginning of the DL burst is up to 16 </w:t>
            </w:r>
            <w:r w:rsidRPr="00C64ECB">
              <w:rPr>
                <w:rFonts w:ascii="Symbol" w:hAnsi="Symbol"/>
              </w:rPr>
              <w:t></w:t>
            </w:r>
            <w:r w:rsidRPr="00C64ECB">
              <w:t>sec</w:t>
            </w:r>
          </w:p>
        </w:tc>
        <w:tc>
          <w:tcPr>
            <w:tcW w:w="4754" w:type="dxa"/>
            <w:shd w:val="clear" w:color="auto" w:fill="auto"/>
          </w:tcPr>
          <w:p w14:paraId="213D7421" w14:textId="613B98A8" w:rsidR="00B658FC" w:rsidRPr="00C64ECB" w:rsidRDefault="00B658FC" w:rsidP="005C4862">
            <w:pPr>
              <w:pStyle w:val="TAL"/>
            </w:pPr>
            <w:r w:rsidRPr="00C64ECB">
              <w:t xml:space="preserve">When the gap from the end of the scheduled UL transmission to the beginning of the DL burst is larger than 16 </w:t>
            </w:r>
            <w:r w:rsidRPr="00C64ECB">
              <w:rPr>
                <w:rFonts w:ascii="Symbol" w:hAnsi="Symbol"/>
              </w:rPr>
              <w:t></w:t>
            </w:r>
            <w:r w:rsidR="00860357" w:rsidRPr="00C64ECB">
              <w:t>sec but not more than 25 µ</w:t>
            </w:r>
            <w:r w:rsidRPr="00C64ECB">
              <w:t>s</w:t>
            </w:r>
            <w:r w:rsidR="00860357" w:rsidRPr="00C64ECB">
              <w:t>ec</w:t>
            </w:r>
          </w:p>
        </w:tc>
      </w:tr>
    </w:tbl>
    <w:p w14:paraId="16C39F8C" w14:textId="535A5C63" w:rsidR="00B658FC" w:rsidRPr="00C64ECB" w:rsidRDefault="00B658FC" w:rsidP="005C4862">
      <w:pPr>
        <w:pStyle w:val="NO"/>
      </w:pPr>
      <w:r w:rsidRPr="00C64ECB">
        <w:t>Note: a DL burst is defined as a set of transmissions from a given gNB having no g</w:t>
      </w:r>
      <w:r w:rsidR="00860357" w:rsidRPr="00C64ECB">
        <w:t>aps or gaps of no more than 16 µ</w:t>
      </w:r>
      <w:r w:rsidRPr="00C64ECB">
        <w:t>s. Transmissions from a gN</w:t>
      </w:r>
      <w:r w:rsidR="00860357" w:rsidRPr="00C64ECB">
        <w:t>B having a gap of more than 16 µ</w:t>
      </w:r>
      <w:r w:rsidRPr="00C64ECB">
        <w:t>s are considered as separate DL bursts.</w:t>
      </w:r>
    </w:p>
    <w:p w14:paraId="50BC5970" w14:textId="1434DB09" w:rsidR="00B658FC" w:rsidRPr="00C64ECB" w:rsidRDefault="00B658FC" w:rsidP="00B658FC">
      <w:pPr>
        <w:rPr>
          <w:lang w:eastAsia="x-none"/>
        </w:rPr>
      </w:pPr>
      <w:r w:rsidRPr="00C64ECB">
        <w:rPr>
          <w:lang w:eastAsia="x-none"/>
        </w:rPr>
        <w:t xml:space="preserve">Within a gNB-initiated COT, an UL burst for a UE consisting of one or more of PUSCH, PUCCH, PRACH, and SRS follows the </w:t>
      </w:r>
      <w:r w:rsidR="00860357" w:rsidRPr="00C64ECB">
        <w:rPr>
          <w:lang w:eastAsia="x-none"/>
        </w:rPr>
        <w:t>channel access schemes in Table 7.2.1.3.1-3.</w:t>
      </w:r>
    </w:p>
    <w:p w14:paraId="60CD313D" w14:textId="263A922C" w:rsidR="00860357" w:rsidRPr="00C64ECB" w:rsidRDefault="00860357" w:rsidP="005C4862">
      <w:pPr>
        <w:pStyle w:val="TH"/>
      </w:pPr>
      <w:r w:rsidRPr="00C64ECB">
        <w:t>Table 7.2.1.3.1-</w:t>
      </w:r>
      <w:r w:rsidR="004D36A8" w:rsidRPr="00C64ECB">
        <w:t>3</w:t>
      </w:r>
      <w:r w:rsidR="005C4862">
        <w:t>:</w:t>
      </w:r>
      <w:r w:rsidRPr="00C64ECB">
        <w:t xml:space="preserve"> Channel access schemes for a UL burst within a gNB-initiated COT as LBE device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9"/>
        <w:gridCol w:w="4619"/>
        <w:gridCol w:w="2250"/>
      </w:tblGrid>
      <w:tr w:rsidR="00B658FC" w:rsidRPr="00C64ECB" w14:paraId="3472A19B" w14:textId="77777777" w:rsidTr="00860357">
        <w:trPr>
          <w:jc w:val="center"/>
        </w:trPr>
        <w:tc>
          <w:tcPr>
            <w:tcW w:w="2329" w:type="dxa"/>
            <w:shd w:val="clear" w:color="auto" w:fill="auto"/>
          </w:tcPr>
          <w:p w14:paraId="64C00C5B" w14:textId="77777777" w:rsidR="00B658FC" w:rsidRPr="00C64ECB" w:rsidRDefault="00B658FC" w:rsidP="005C4862">
            <w:pPr>
              <w:pStyle w:val="TAH"/>
            </w:pPr>
            <w:r w:rsidRPr="00C64ECB">
              <w:t xml:space="preserve">Cat 1 Immediate transmission </w:t>
            </w:r>
          </w:p>
        </w:tc>
        <w:tc>
          <w:tcPr>
            <w:tcW w:w="4619" w:type="dxa"/>
            <w:shd w:val="clear" w:color="auto" w:fill="auto"/>
          </w:tcPr>
          <w:p w14:paraId="36A6E3C3" w14:textId="77777777" w:rsidR="00B658FC" w:rsidRPr="00C64ECB" w:rsidRDefault="00B658FC" w:rsidP="005C4862">
            <w:pPr>
              <w:pStyle w:val="TAH"/>
            </w:pPr>
            <w:r w:rsidRPr="00C64ECB">
              <w:t>Cat 2 LBT</w:t>
            </w:r>
          </w:p>
        </w:tc>
        <w:tc>
          <w:tcPr>
            <w:tcW w:w="2250" w:type="dxa"/>
            <w:shd w:val="clear" w:color="auto" w:fill="auto"/>
          </w:tcPr>
          <w:p w14:paraId="3B7C8E7A" w14:textId="77777777" w:rsidR="00B658FC" w:rsidRPr="00C64ECB" w:rsidRDefault="00B658FC" w:rsidP="005C4862">
            <w:pPr>
              <w:pStyle w:val="TAH"/>
            </w:pPr>
            <w:r w:rsidRPr="00C64ECB">
              <w:t>Cat 4 LBT</w:t>
            </w:r>
          </w:p>
        </w:tc>
      </w:tr>
      <w:tr w:rsidR="00B658FC" w:rsidRPr="00C64ECB" w14:paraId="678E2DBF" w14:textId="77777777" w:rsidTr="00860357">
        <w:trPr>
          <w:jc w:val="center"/>
        </w:trPr>
        <w:tc>
          <w:tcPr>
            <w:tcW w:w="2329" w:type="dxa"/>
            <w:shd w:val="clear" w:color="auto" w:fill="auto"/>
          </w:tcPr>
          <w:p w14:paraId="2CAE957F" w14:textId="4ABFA14B" w:rsidR="00B658FC" w:rsidRPr="00C64ECB" w:rsidRDefault="00B658FC" w:rsidP="005C4862">
            <w:pPr>
              <w:pStyle w:val="TAL"/>
            </w:pPr>
            <w:r w:rsidRPr="00C64ECB">
              <w:t xml:space="preserve">When the gap from the end of the DL transmission to the beginning of the UL burst is not more than 16 </w:t>
            </w:r>
            <w:r w:rsidRPr="00C64ECB">
              <w:rPr>
                <w:rFonts w:ascii="Symbol" w:hAnsi="Symbol"/>
              </w:rPr>
              <w:t></w:t>
            </w:r>
            <w:r w:rsidRPr="00C64ECB">
              <w:t>sec</w:t>
            </w:r>
            <w:r w:rsidR="00704E12" w:rsidRPr="00C64ECB">
              <w:t>. Note: Maximum limits of the duration of the UL burst other than those already derived from MCOT duration limits should be further discussed when specifications are developed.</w:t>
            </w:r>
          </w:p>
        </w:tc>
        <w:tc>
          <w:tcPr>
            <w:tcW w:w="4619" w:type="dxa"/>
            <w:shd w:val="clear" w:color="auto" w:fill="auto"/>
          </w:tcPr>
          <w:p w14:paraId="40A9E8FA" w14:textId="77777777" w:rsidR="00B658FC" w:rsidRPr="00C64ECB" w:rsidRDefault="00B658FC" w:rsidP="005C4862">
            <w:pPr>
              <w:pStyle w:val="TAL"/>
            </w:pPr>
            <w:r w:rsidRPr="00C64ECB">
              <w:t>For any of the following cases:</w:t>
            </w:r>
          </w:p>
          <w:p w14:paraId="515B8F5E" w14:textId="114788ED" w:rsidR="00B658FC" w:rsidRPr="0054545A" w:rsidRDefault="0054545A" w:rsidP="0054545A">
            <w:pPr>
              <w:pStyle w:val="B1"/>
              <w:rPr>
                <w:rFonts w:ascii="Arial" w:hAnsi="Arial" w:cs="Arial"/>
                <w:sz w:val="18"/>
                <w:szCs w:val="18"/>
              </w:rPr>
            </w:pPr>
            <w:r w:rsidRPr="0054545A">
              <w:rPr>
                <w:rFonts w:ascii="Arial" w:hAnsi="Arial" w:cs="Arial"/>
                <w:sz w:val="18"/>
                <w:szCs w:val="18"/>
              </w:rPr>
              <w:t>-</w:t>
            </w:r>
            <w:r w:rsidRPr="0054545A">
              <w:rPr>
                <w:rFonts w:ascii="Arial" w:hAnsi="Arial" w:cs="Arial"/>
                <w:sz w:val="18"/>
                <w:szCs w:val="18"/>
              </w:rPr>
              <w:tab/>
            </w:r>
            <w:r w:rsidR="00B658FC" w:rsidRPr="0054545A">
              <w:rPr>
                <w:rFonts w:ascii="Arial" w:hAnsi="Arial" w:cs="Arial"/>
                <w:sz w:val="18"/>
                <w:szCs w:val="18"/>
              </w:rPr>
              <w:t xml:space="preserve">When the gap between any two successive scheduled/granted transmissions in </w:t>
            </w:r>
            <w:r w:rsidR="00536CFD">
              <w:rPr>
                <w:rFonts w:ascii="Arial" w:hAnsi="Arial" w:cs="Arial"/>
                <w:sz w:val="18"/>
                <w:szCs w:val="18"/>
              </w:rPr>
              <w:t xml:space="preserve">the COT is not greater than 25 </w:t>
            </w:r>
            <w:r w:rsidR="00536CFD" w:rsidRPr="00C64ECB">
              <w:rPr>
                <w:rFonts w:ascii="Symbol" w:hAnsi="Symbol"/>
              </w:rPr>
              <w:t></w:t>
            </w:r>
            <w:r w:rsidR="00B658FC" w:rsidRPr="0054545A">
              <w:rPr>
                <w:rFonts w:ascii="Arial" w:hAnsi="Arial" w:cs="Arial"/>
                <w:sz w:val="18"/>
                <w:szCs w:val="18"/>
              </w:rPr>
              <w:t>sec</w:t>
            </w:r>
          </w:p>
          <w:p w14:paraId="4097ED1A" w14:textId="4E387845" w:rsidR="00B658FC" w:rsidRPr="0054545A" w:rsidRDefault="0054545A" w:rsidP="0054545A">
            <w:pPr>
              <w:pStyle w:val="B1"/>
              <w:rPr>
                <w:rFonts w:ascii="Arial" w:hAnsi="Arial" w:cs="Arial"/>
                <w:sz w:val="18"/>
                <w:szCs w:val="18"/>
              </w:rPr>
            </w:pPr>
            <w:r w:rsidRPr="0054545A">
              <w:rPr>
                <w:rFonts w:ascii="Arial" w:hAnsi="Arial" w:cs="Arial"/>
                <w:sz w:val="18"/>
                <w:szCs w:val="18"/>
              </w:rPr>
              <w:t>-</w:t>
            </w:r>
            <w:r w:rsidRPr="0054545A">
              <w:rPr>
                <w:rFonts w:ascii="Arial" w:hAnsi="Arial" w:cs="Arial"/>
                <w:sz w:val="18"/>
                <w:szCs w:val="18"/>
              </w:rPr>
              <w:tab/>
            </w:r>
            <w:r w:rsidR="00B658FC" w:rsidRPr="0054545A">
              <w:rPr>
                <w:rFonts w:ascii="Arial" w:hAnsi="Arial" w:cs="Arial"/>
                <w:sz w:val="18"/>
                <w:szCs w:val="18"/>
              </w:rPr>
              <w:t>For the case where a UL transmission in the gNB initiated COT is not followed by a DL transmission in the same COT</w:t>
            </w:r>
          </w:p>
          <w:p w14:paraId="723F9DEA" w14:textId="07EC2F79" w:rsidR="00B658FC" w:rsidRPr="00C64ECB" w:rsidRDefault="0054545A" w:rsidP="0054545A">
            <w:pPr>
              <w:pStyle w:val="B2"/>
            </w:pPr>
            <w:r w:rsidRPr="0054545A">
              <w:t>-</w:t>
            </w:r>
            <w:r w:rsidRPr="0054545A">
              <w:tab/>
            </w:r>
            <w:r w:rsidR="00B658FC" w:rsidRPr="0054545A">
              <w:t>Note: the duration from the start of the first transmission within the channel occupancy until the end of the last transmission in the same channel occupancy shall not exceed 20 ms.</w:t>
            </w:r>
          </w:p>
        </w:tc>
        <w:tc>
          <w:tcPr>
            <w:tcW w:w="2250" w:type="dxa"/>
            <w:shd w:val="clear" w:color="auto" w:fill="auto"/>
          </w:tcPr>
          <w:p w14:paraId="0D99FD11" w14:textId="77777777" w:rsidR="00B658FC" w:rsidRPr="00C64ECB" w:rsidRDefault="00B658FC" w:rsidP="005C4862">
            <w:pPr>
              <w:pStyle w:val="TAL"/>
            </w:pPr>
            <w:r w:rsidRPr="00C64ECB">
              <w:t>N/A</w:t>
            </w:r>
          </w:p>
        </w:tc>
      </w:tr>
    </w:tbl>
    <w:p w14:paraId="7AC2E38F" w14:textId="3450A37B" w:rsidR="00B658FC" w:rsidRPr="00C64ECB" w:rsidRDefault="00B658FC" w:rsidP="0054545A">
      <w:pPr>
        <w:pStyle w:val="NO"/>
      </w:pPr>
      <w:r w:rsidRPr="00C64ECB">
        <w:t>Note: An UL burst is defined as a set of transmissions from a given UE having no g</w:t>
      </w:r>
      <w:r w:rsidR="00860357" w:rsidRPr="00C64ECB">
        <w:t>aps or gaps of no more than 16 µ</w:t>
      </w:r>
      <w:r w:rsidRPr="00C64ECB">
        <w:t>s. Transmissions from a U</w:t>
      </w:r>
      <w:r w:rsidR="00860357" w:rsidRPr="00C64ECB">
        <w:t>E having a gap of more than 16 µ</w:t>
      </w:r>
      <w:r w:rsidRPr="00C64ECB">
        <w:t>s are considered as separate UL bursts.</w:t>
      </w:r>
      <w:r w:rsidR="00860357" w:rsidRPr="00C64ECB">
        <w:t xml:space="preserve"> T</w:t>
      </w:r>
      <w:r w:rsidRPr="00C64ECB">
        <w:t xml:space="preserve">he number of LBT attempts within a COT should be </w:t>
      </w:r>
      <w:r w:rsidR="00860357" w:rsidRPr="00C64ECB">
        <w:t xml:space="preserve">determined when </w:t>
      </w:r>
      <w:r w:rsidR="000468F4" w:rsidRPr="00C64ECB">
        <w:t>specification</w:t>
      </w:r>
      <w:r w:rsidR="00860357" w:rsidRPr="00C64ECB">
        <w:t>s are developed</w:t>
      </w:r>
      <w:r w:rsidRPr="00C64ECB">
        <w:t>.</w:t>
      </w:r>
    </w:p>
    <w:p w14:paraId="02FC4A71" w14:textId="2CFFB52F" w:rsidR="00B658FC" w:rsidRPr="00C64ECB" w:rsidRDefault="00B658FC" w:rsidP="00B658FC">
      <w:pPr>
        <w:rPr>
          <w:lang w:eastAsia="x-none"/>
        </w:rPr>
      </w:pPr>
      <w:r w:rsidRPr="00C64ECB">
        <w:rPr>
          <w:lang w:eastAsia="x-none"/>
        </w:rPr>
        <w:t xml:space="preserve">For initiation of a COT by the UE, </w:t>
      </w:r>
      <w:r w:rsidR="00860357" w:rsidRPr="00C64ECB">
        <w:rPr>
          <w:lang w:eastAsia="x-none"/>
        </w:rPr>
        <w:t>the channel access</w:t>
      </w:r>
      <w:r w:rsidRPr="00C64ECB">
        <w:rPr>
          <w:lang w:eastAsia="x-none"/>
        </w:rPr>
        <w:t xml:space="preserve"> schemes </w:t>
      </w:r>
      <w:r w:rsidR="00860357" w:rsidRPr="00C64ECB">
        <w:rPr>
          <w:lang w:eastAsia="x-none"/>
        </w:rPr>
        <w:t>in Table 7.2.1.3.1-4 are used.</w:t>
      </w:r>
    </w:p>
    <w:p w14:paraId="367AA08E" w14:textId="7390663D" w:rsidR="00860357" w:rsidRPr="00C64ECB" w:rsidRDefault="004D36A8" w:rsidP="0054545A">
      <w:pPr>
        <w:pStyle w:val="TH"/>
      </w:pPr>
      <w:r w:rsidRPr="00C64ECB">
        <w:lastRenderedPageBreak/>
        <w:t>Table 7.2.1.3.1-4</w:t>
      </w:r>
      <w:r w:rsidR="0054545A">
        <w:t>:</w:t>
      </w:r>
      <w:r w:rsidR="00860357" w:rsidRPr="00C64ECB">
        <w:t xml:space="preserve"> Channel access schemes for initiating a COT by UE as LBE device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2087"/>
        <w:gridCol w:w="3074"/>
      </w:tblGrid>
      <w:tr w:rsidR="00B658FC" w:rsidRPr="00C64ECB" w14:paraId="06A84B67" w14:textId="77777777" w:rsidTr="004A5AC9">
        <w:trPr>
          <w:jc w:val="center"/>
        </w:trPr>
        <w:tc>
          <w:tcPr>
            <w:tcW w:w="2678" w:type="dxa"/>
            <w:shd w:val="clear" w:color="auto" w:fill="auto"/>
          </w:tcPr>
          <w:p w14:paraId="23C07611" w14:textId="43D0D73E" w:rsidR="00B658FC" w:rsidRPr="00C64ECB" w:rsidRDefault="00B658FC" w:rsidP="0054545A">
            <w:pPr>
              <w:pStyle w:val="TAH"/>
            </w:pPr>
          </w:p>
        </w:tc>
        <w:tc>
          <w:tcPr>
            <w:tcW w:w="2087" w:type="dxa"/>
            <w:shd w:val="clear" w:color="auto" w:fill="auto"/>
          </w:tcPr>
          <w:p w14:paraId="297E39AE" w14:textId="77777777" w:rsidR="00B658FC" w:rsidRPr="00C64ECB" w:rsidRDefault="00B658FC" w:rsidP="0054545A">
            <w:pPr>
              <w:pStyle w:val="TAH"/>
            </w:pPr>
            <w:r w:rsidRPr="00C64ECB">
              <w:t>Cat 2 LBT</w:t>
            </w:r>
          </w:p>
        </w:tc>
        <w:tc>
          <w:tcPr>
            <w:tcW w:w="3074" w:type="dxa"/>
            <w:shd w:val="clear" w:color="auto" w:fill="auto"/>
          </w:tcPr>
          <w:p w14:paraId="6A7787F9" w14:textId="77777777" w:rsidR="00B658FC" w:rsidRPr="00C64ECB" w:rsidRDefault="00B658FC" w:rsidP="0054545A">
            <w:pPr>
              <w:pStyle w:val="TAH"/>
            </w:pPr>
            <w:r w:rsidRPr="00C64ECB">
              <w:t>Cat 4 LBT</w:t>
            </w:r>
          </w:p>
        </w:tc>
      </w:tr>
      <w:tr w:rsidR="004A5AC9" w:rsidRPr="00C64ECB" w14:paraId="037171EB" w14:textId="77777777" w:rsidTr="004A5AC9">
        <w:trPr>
          <w:jc w:val="center"/>
        </w:trPr>
        <w:tc>
          <w:tcPr>
            <w:tcW w:w="2678" w:type="dxa"/>
            <w:shd w:val="clear" w:color="auto" w:fill="auto"/>
          </w:tcPr>
          <w:p w14:paraId="1217874B" w14:textId="77777777" w:rsidR="004A5AC9" w:rsidRPr="00C64ECB" w:rsidRDefault="004A5AC9" w:rsidP="0054545A">
            <w:pPr>
              <w:pStyle w:val="TAL"/>
            </w:pPr>
            <w:r w:rsidRPr="00C64ECB">
              <w:t>PUSCH (including at least UL-SCH with user plane data)</w:t>
            </w:r>
          </w:p>
        </w:tc>
        <w:tc>
          <w:tcPr>
            <w:tcW w:w="2087" w:type="dxa"/>
            <w:shd w:val="clear" w:color="auto" w:fill="auto"/>
          </w:tcPr>
          <w:p w14:paraId="2BAE11E7" w14:textId="77777777" w:rsidR="004A5AC9" w:rsidRPr="00C64ECB" w:rsidRDefault="004A5AC9" w:rsidP="0054545A">
            <w:pPr>
              <w:pStyle w:val="TAL"/>
            </w:pPr>
            <w:r w:rsidRPr="00C64ECB">
              <w:t>N/A except for the cases discussed in Note 2 below</w:t>
            </w:r>
          </w:p>
        </w:tc>
        <w:tc>
          <w:tcPr>
            <w:tcW w:w="3074" w:type="dxa"/>
            <w:shd w:val="clear" w:color="auto" w:fill="auto"/>
          </w:tcPr>
          <w:p w14:paraId="4FF19F19" w14:textId="77777777" w:rsidR="004A5AC9" w:rsidRPr="00C64ECB" w:rsidRDefault="004A5AC9" w:rsidP="0054545A">
            <w:pPr>
              <w:pStyle w:val="TAL"/>
            </w:pPr>
            <w:r w:rsidRPr="00C64ECB">
              <w:t>Channel access priority class is selected according to the data</w:t>
            </w:r>
          </w:p>
        </w:tc>
      </w:tr>
      <w:tr w:rsidR="004A5AC9" w:rsidRPr="00C64ECB" w14:paraId="37C57F37" w14:textId="77777777" w:rsidTr="004A5AC9">
        <w:trPr>
          <w:jc w:val="center"/>
        </w:trPr>
        <w:tc>
          <w:tcPr>
            <w:tcW w:w="2678" w:type="dxa"/>
            <w:shd w:val="clear" w:color="auto" w:fill="auto"/>
          </w:tcPr>
          <w:p w14:paraId="5982CC04" w14:textId="77777777" w:rsidR="004A5AC9" w:rsidRPr="00C64ECB" w:rsidRDefault="004A5AC9" w:rsidP="0054545A">
            <w:pPr>
              <w:pStyle w:val="TAL"/>
            </w:pPr>
            <w:r w:rsidRPr="00C64ECB">
              <w:t>SRS-only</w:t>
            </w:r>
          </w:p>
        </w:tc>
        <w:tc>
          <w:tcPr>
            <w:tcW w:w="2087" w:type="dxa"/>
            <w:shd w:val="clear" w:color="auto" w:fill="auto"/>
          </w:tcPr>
          <w:p w14:paraId="09D98FAC" w14:textId="77777777" w:rsidR="004A5AC9" w:rsidRPr="00C64ECB" w:rsidRDefault="004A5AC9" w:rsidP="0054545A">
            <w:pPr>
              <w:pStyle w:val="TAL"/>
            </w:pPr>
            <w:r w:rsidRPr="00C64ECB">
              <w:t>N/A</w:t>
            </w:r>
          </w:p>
        </w:tc>
        <w:tc>
          <w:tcPr>
            <w:tcW w:w="3074" w:type="dxa"/>
            <w:shd w:val="clear" w:color="auto" w:fill="auto"/>
          </w:tcPr>
          <w:p w14:paraId="7A696145" w14:textId="77777777" w:rsidR="004A5AC9" w:rsidRPr="00C64ECB" w:rsidRDefault="004A5AC9" w:rsidP="0054545A">
            <w:pPr>
              <w:pStyle w:val="TAL"/>
            </w:pPr>
            <w:r w:rsidRPr="00C64ECB">
              <w:t>Cat4 with lowest channel access priority class value (as in LTE eLAA)</w:t>
            </w:r>
          </w:p>
        </w:tc>
      </w:tr>
      <w:tr w:rsidR="004A5AC9" w:rsidRPr="00C64ECB" w14:paraId="791402DB" w14:textId="77777777" w:rsidTr="004A5AC9">
        <w:trPr>
          <w:jc w:val="center"/>
        </w:trPr>
        <w:tc>
          <w:tcPr>
            <w:tcW w:w="2678" w:type="dxa"/>
            <w:shd w:val="clear" w:color="auto" w:fill="auto"/>
          </w:tcPr>
          <w:p w14:paraId="6BA36C83" w14:textId="2666098E" w:rsidR="004A5AC9" w:rsidRPr="00C64ECB" w:rsidRDefault="004A5AC9" w:rsidP="0054545A">
            <w:pPr>
              <w:pStyle w:val="TAL"/>
            </w:pPr>
            <w:r w:rsidRPr="00C64ECB">
              <w:t>RACH-only</w:t>
            </w:r>
          </w:p>
        </w:tc>
        <w:tc>
          <w:tcPr>
            <w:tcW w:w="2087" w:type="dxa"/>
            <w:shd w:val="clear" w:color="auto" w:fill="auto"/>
          </w:tcPr>
          <w:p w14:paraId="7786D3C0" w14:textId="77777777" w:rsidR="004A5AC9" w:rsidRPr="00C64ECB" w:rsidRDefault="004A5AC9" w:rsidP="0054545A">
            <w:pPr>
              <w:pStyle w:val="TAL"/>
            </w:pPr>
            <w:r w:rsidRPr="00C64ECB">
              <w:t>(see Note 2)</w:t>
            </w:r>
          </w:p>
        </w:tc>
        <w:tc>
          <w:tcPr>
            <w:tcW w:w="3074" w:type="dxa"/>
            <w:shd w:val="clear" w:color="auto" w:fill="auto"/>
          </w:tcPr>
          <w:p w14:paraId="0A7657D3" w14:textId="77777777" w:rsidR="004A5AC9" w:rsidRPr="00C64ECB" w:rsidRDefault="004A5AC9" w:rsidP="0054545A">
            <w:pPr>
              <w:pStyle w:val="TAL"/>
            </w:pPr>
            <w:r w:rsidRPr="00C64ECB">
              <w:t>Cat4 with lowest channel access priority class value</w:t>
            </w:r>
          </w:p>
        </w:tc>
      </w:tr>
      <w:tr w:rsidR="004A5AC9" w:rsidRPr="00C64ECB" w14:paraId="28388380" w14:textId="77777777" w:rsidTr="004A5AC9">
        <w:trPr>
          <w:jc w:val="center"/>
        </w:trPr>
        <w:tc>
          <w:tcPr>
            <w:tcW w:w="2678" w:type="dxa"/>
            <w:shd w:val="clear" w:color="auto" w:fill="auto"/>
          </w:tcPr>
          <w:p w14:paraId="18EE0D14" w14:textId="70E7B124" w:rsidR="004A5AC9" w:rsidRPr="00C64ECB" w:rsidRDefault="004A5AC9" w:rsidP="0054545A">
            <w:pPr>
              <w:pStyle w:val="TAL"/>
            </w:pPr>
            <w:r w:rsidRPr="00C64ECB">
              <w:t>PUCCH-only</w:t>
            </w:r>
          </w:p>
        </w:tc>
        <w:tc>
          <w:tcPr>
            <w:tcW w:w="2087" w:type="dxa"/>
            <w:shd w:val="clear" w:color="auto" w:fill="auto"/>
          </w:tcPr>
          <w:p w14:paraId="7F78800B" w14:textId="77777777" w:rsidR="004A5AC9" w:rsidRPr="00C64ECB" w:rsidRDefault="004A5AC9" w:rsidP="0054545A">
            <w:pPr>
              <w:pStyle w:val="TAL"/>
            </w:pPr>
            <w:r w:rsidRPr="00C64ECB">
              <w:t>(see Note 2)</w:t>
            </w:r>
          </w:p>
        </w:tc>
        <w:tc>
          <w:tcPr>
            <w:tcW w:w="3074" w:type="dxa"/>
            <w:shd w:val="clear" w:color="auto" w:fill="auto"/>
          </w:tcPr>
          <w:p w14:paraId="4CD526A6" w14:textId="77777777" w:rsidR="004A5AC9" w:rsidRPr="00C64ECB" w:rsidRDefault="004A5AC9" w:rsidP="0054545A">
            <w:pPr>
              <w:pStyle w:val="TAL"/>
            </w:pPr>
            <w:r w:rsidRPr="00C64ECB">
              <w:t>Cat4 with lowest channel access priority class value</w:t>
            </w:r>
          </w:p>
        </w:tc>
      </w:tr>
    </w:tbl>
    <w:p w14:paraId="3E481DB4" w14:textId="77777777" w:rsidR="00B658FC" w:rsidRPr="00C64ECB" w:rsidRDefault="00B658FC" w:rsidP="0054545A">
      <w:pPr>
        <w:pStyle w:val="NO"/>
      </w:pPr>
      <w:r w:rsidRPr="00C64ECB">
        <w:t>Note 1: If the COT includes multiple signals/channels with different channel access categories / priority classes, the highest channel access priority class value and highest channel access category among the channel access priority classes and channel access categories corresponding to the multiple signals/channels applies.</w:t>
      </w:r>
    </w:p>
    <w:p w14:paraId="6FA85FC0" w14:textId="7772FBD4" w:rsidR="00B658FC" w:rsidRPr="00C64ECB" w:rsidRDefault="00CC518D" w:rsidP="0054545A">
      <w:pPr>
        <w:pStyle w:val="NO"/>
      </w:pPr>
      <w:r w:rsidRPr="00C64ECB">
        <w:t xml:space="preserve">Note 2: Applicability of a channel access </w:t>
      </w:r>
      <w:r w:rsidR="00B658FC" w:rsidRPr="00C64ECB">
        <w:t>scheme other than Cat 4 for</w:t>
      </w:r>
      <w:r w:rsidR="00B658FC" w:rsidRPr="00C64ECB">
        <w:rPr>
          <w:i/>
        </w:rPr>
        <w:t xml:space="preserve"> </w:t>
      </w:r>
      <w:r w:rsidR="00B658FC" w:rsidRPr="00C64ECB">
        <w:t>the following</w:t>
      </w:r>
      <w:r w:rsidR="00B658FC" w:rsidRPr="00C64ECB">
        <w:rPr>
          <w:i/>
        </w:rPr>
        <w:t xml:space="preserve"> </w:t>
      </w:r>
      <w:r w:rsidR="00B658FC" w:rsidRPr="00C64ECB">
        <w:t>signals / channels have been discu</w:t>
      </w:r>
      <w:r w:rsidRPr="00C64ECB">
        <w:t xml:space="preserve">ssed and details are to be determined when the </w:t>
      </w:r>
      <w:r w:rsidR="000468F4" w:rsidRPr="00C64ECB">
        <w:t>specification</w:t>
      </w:r>
      <w:r w:rsidRPr="00C64ECB">
        <w:t xml:space="preserve">s </w:t>
      </w:r>
      <w:r w:rsidR="00B97FE9" w:rsidRPr="00C64ECB">
        <w:t>are developed:</w:t>
      </w:r>
    </w:p>
    <w:p w14:paraId="58914C1A" w14:textId="4A8A383D" w:rsidR="00B658FC" w:rsidRPr="00C64ECB" w:rsidRDefault="00CC518D" w:rsidP="004A5AC9">
      <w:pPr>
        <w:pStyle w:val="B1"/>
      </w:pPr>
      <w:r w:rsidRPr="00C64ECB">
        <w:t>-</w:t>
      </w:r>
      <w:r w:rsidRPr="00C64ECB">
        <w:tab/>
      </w:r>
      <w:r w:rsidR="00B658FC" w:rsidRPr="00C64ECB">
        <w:t>UL control information including UCI only on PUSCH</w:t>
      </w:r>
      <w:r w:rsidR="004A5AC9" w:rsidRPr="00C64ECB">
        <w:t xml:space="preserve">, e.g. </w:t>
      </w:r>
      <w:r w:rsidR="00B658FC" w:rsidRPr="00C64ECB">
        <w:t>HARQ-ACK</w:t>
      </w:r>
      <w:r w:rsidR="004A5AC9" w:rsidRPr="00C64ECB">
        <w:t xml:space="preserve">, </w:t>
      </w:r>
      <w:r w:rsidR="00B658FC" w:rsidRPr="00C64ECB">
        <w:t>Scheduling Request</w:t>
      </w:r>
      <w:r w:rsidR="004A5AC9" w:rsidRPr="00C64ECB">
        <w:t xml:space="preserve">, and </w:t>
      </w:r>
      <w:r w:rsidR="00B658FC" w:rsidRPr="00C64ECB">
        <w:t>Channel State Information</w:t>
      </w:r>
    </w:p>
    <w:p w14:paraId="59215B6F" w14:textId="61DDCA66" w:rsidR="00B658FC" w:rsidRPr="00C64ECB" w:rsidRDefault="00CC518D" w:rsidP="00CC518D">
      <w:pPr>
        <w:pStyle w:val="B1"/>
      </w:pPr>
      <w:r w:rsidRPr="00C64ECB">
        <w:t>-</w:t>
      </w:r>
      <w:r w:rsidRPr="00C64ECB">
        <w:tab/>
      </w:r>
      <w:r w:rsidR="00B658FC" w:rsidRPr="00C64ECB">
        <w:t>Random Access</w:t>
      </w:r>
    </w:p>
    <w:p w14:paraId="743A8456" w14:textId="07FCF903" w:rsidR="00704E12" w:rsidRPr="00C64ECB" w:rsidRDefault="00704E12" w:rsidP="00704E12">
      <w:r w:rsidRPr="00C64ECB">
        <w:t xml:space="preserve">For FBE mode of operation, gNB acquires COT with Cat2 immediately prior to the fixed frame period. Within the gNB acquired COT, if a gap is &lt;= 16 </w:t>
      </w:r>
      <w:r w:rsidR="00200090" w:rsidRPr="00C64ECB">
        <w:rPr>
          <w:rFonts w:ascii="Symbol" w:hAnsi="Symbol"/>
        </w:rPr>
        <w:t></w:t>
      </w:r>
      <w:r w:rsidRPr="00C64ECB">
        <w:t xml:space="preserve">s, Cat 1 </w:t>
      </w:r>
      <w:r w:rsidR="00B97FE9" w:rsidRPr="00C64ECB">
        <w:t xml:space="preserve">channel access scheme </w:t>
      </w:r>
      <w:r w:rsidRPr="00C64ECB">
        <w:t xml:space="preserve">can be used by the gNB and associated UEs. Within the gNB </w:t>
      </w:r>
      <w:r w:rsidR="00200090">
        <w:t xml:space="preserve">acquired COT, if a gap is &gt; 16 </w:t>
      </w:r>
      <w:r w:rsidR="00200090" w:rsidRPr="00C64ECB">
        <w:rPr>
          <w:rFonts w:ascii="Symbol" w:hAnsi="Symbol"/>
        </w:rPr>
        <w:t></w:t>
      </w:r>
      <w:r w:rsidRPr="00C64ECB">
        <w:t xml:space="preserve">s, Cat 2 </w:t>
      </w:r>
      <w:r w:rsidR="00B97FE9" w:rsidRPr="00C64ECB">
        <w:t xml:space="preserve">channel access scheme </w:t>
      </w:r>
      <w:r w:rsidRPr="00C64ECB">
        <w:t>should be used by the gNB and associated UEs. Note this channel access mechanisms are  intended to be aligned with any regulations for FBE operation.</w:t>
      </w:r>
    </w:p>
    <w:p w14:paraId="26906309" w14:textId="793EAB32" w:rsidR="00B658FC" w:rsidRPr="00C64ECB" w:rsidRDefault="00704E12" w:rsidP="00704E12">
      <w:r w:rsidRPr="00C64ECB">
        <w:t>Means to reduce or mitigate the impact of interference e.g. from hidden nodes with UE assistance have been studied. Possible mechanisms include at least enhancements to L1 measurement and reporting of interference observed by a UE, and handshaking procedures between transmitter and the receiver. Further consideration is required regarding the detailed solutions and their benefits for mitigation of impact of interference on NR-U when the specifications are to be developed.</w:t>
      </w:r>
    </w:p>
    <w:p w14:paraId="43A45B89" w14:textId="4340DD6A" w:rsidR="00B658FC" w:rsidRPr="00C64ECB" w:rsidRDefault="00704E12" w:rsidP="00704E12">
      <w:r w:rsidRPr="00C64ECB">
        <w:t>Means to facilitate spatial reuse, or frequency reuse 1 operation of NR-U have been studied. Possible mechanisms include at least: alignment of starting points for transmission (and consequently time instances for at least the last CCA); exchange and coordination of LBT related parameters amongst different NR-U gNBs or UEs; means to determine whether interference originates from other NR-U nodes; enhancements to L1 measurement and reporting of interference observed by a UE; and adjustment of energy/signal detection thresholds. Further consideration is required regarding the detailed solutions and their benefits for facilitating spatial reuse in NR-U when the specifications are to be developed, taking into account regulations.</w:t>
      </w:r>
    </w:p>
    <w:p w14:paraId="22491108" w14:textId="00FE4DBD" w:rsidR="00B658FC" w:rsidRPr="00C64ECB" w:rsidDel="00E80E78" w:rsidRDefault="00704E12" w:rsidP="00704E12">
      <w:r w:rsidRPr="00C64ECB">
        <w:t>Channel access mechanisms for beamformed transmissions have been studied. It has been identified that omni-directional LBT should be supported. Using directional LBT for beamformed transmissions, i.e. LBT performed in the direction of the transmitted beam has also been studied. Further consideration is required regarding directional LBT and its benefits for beamformed transmissions when the specifications are to be developed, taking into account regulations and fair co-existence with other technologies.</w:t>
      </w:r>
    </w:p>
    <w:p w14:paraId="3175B3E2" w14:textId="53ADA702" w:rsidR="00CB2721" w:rsidRPr="00C64ECB" w:rsidRDefault="00E80E78" w:rsidP="00E80E78">
      <w:pPr>
        <w:pStyle w:val="Heading5"/>
      </w:pPr>
      <w:bookmarkStart w:id="61" w:name="_Toc531343014"/>
      <w:r w:rsidRPr="00C64ECB">
        <w:t>7.2.1.3.2</w:t>
      </w:r>
      <w:r w:rsidRPr="00C64ECB">
        <w:tab/>
        <w:t>Initial access and mobility</w:t>
      </w:r>
      <w:bookmarkEnd w:id="61"/>
    </w:p>
    <w:p w14:paraId="6145732C" w14:textId="64B3CF99" w:rsidR="002B2AC8" w:rsidRPr="00C64ECB" w:rsidRDefault="002B2AC8" w:rsidP="00FC66AC">
      <w:r w:rsidRPr="00C64ECB">
        <w:t>For initial access and mobi</w:t>
      </w:r>
      <w:r w:rsidR="00C12D1A" w:rsidRPr="00C64ECB">
        <w:t>lity procedures, the main issue</w:t>
      </w:r>
      <w:r w:rsidRPr="00C64ECB">
        <w:t xml:space="preserve"> identified </w:t>
      </w:r>
      <w:r w:rsidR="00C12D1A" w:rsidRPr="00C64ECB">
        <w:t xml:space="preserve">for NR operation in unlicensed band </w:t>
      </w:r>
      <w:r w:rsidRPr="00C64ECB">
        <w:t xml:space="preserve">is the reduced transmission opportunities for different </w:t>
      </w:r>
      <w:r w:rsidR="00E8347E" w:rsidRPr="00C64ECB">
        <w:t xml:space="preserve">signals and channels </w:t>
      </w:r>
      <w:r w:rsidRPr="00C64ECB">
        <w:t xml:space="preserve">due to LBT failure. </w:t>
      </w:r>
    </w:p>
    <w:p w14:paraId="773BDA24" w14:textId="781F3BC9" w:rsidR="001B7B03" w:rsidRPr="00C64ECB" w:rsidRDefault="001B7B03" w:rsidP="00FC66AC">
      <w:r w:rsidRPr="00C64ECB">
        <w:t xml:space="preserve">The following modifications </w:t>
      </w:r>
      <w:r w:rsidR="00605F37" w:rsidRPr="00C64ECB">
        <w:t>to initial access procedures have been identified as</w:t>
      </w:r>
      <w:r w:rsidRPr="00C64ECB">
        <w:t xml:space="preserve"> beneficial</w:t>
      </w:r>
      <w:r w:rsidR="00605F37" w:rsidRPr="00C64ECB">
        <w:t>:</w:t>
      </w:r>
    </w:p>
    <w:p w14:paraId="1CED4671" w14:textId="20777A79" w:rsidR="00605F37" w:rsidRPr="00C64ECB" w:rsidRDefault="00FC66AC" w:rsidP="00FC66AC">
      <w:pPr>
        <w:pStyle w:val="B1"/>
      </w:pPr>
      <w:r w:rsidRPr="00C64ECB">
        <w:t>-</w:t>
      </w:r>
      <w:r w:rsidRPr="00C64ECB">
        <w:tab/>
      </w:r>
      <w:r w:rsidR="001B7B03" w:rsidRPr="00C64ECB">
        <w:t>Modifications to initial access procedures considering limitations on access to the channel based on LBT</w:t>
      </w:r>
      <w:r w:rsidR="00605F37" w:rsidRPr="00C64ECB">
        <w:t>. NR-U needs to d</w:t>
      </w:r>
      <w:r w:rsidR="001B7B03" w:rsidRPr="00C64ECB">
        <w:t>evelop techniques to handle reduced SS/PBCH block and RMSI transmission opportunities due to LBT failure</w:t>
      </w:r>
      <w:r w:rsidR="00605F37" w:rsidRPr="00C64ECB">
        <w:t>.</w:t>
      </w:r>
    </w:p>
    <w:p w14:paraId="7D2C5199" w14:textId="42C6D3E0" w:rsidR="0085014F" w:rsidRPr="00C64ECB" w:rsidRDefault="00FC66AC" w:rsidP="00FC66AC">
      <w:pPr>
        <w:pStyle w:val="B1"/>
      </w:pPr>
      <w:r w:rsidRPr="00C64ECB">
        <w:t>-</w:t>
      </w:r>
      <w:r w:rsidRPr="00C64ECB">
        <w:tab/>
      </w:r>
      <w:r w:rsidR="001B7B03" w:rsidRPr="00C64ECB">
        <w:t>Enhancement to 4-step RACH</w:t>
      </w:r>
      <w:r w:rsidR="00605F37" w:rsidRPr="00C64ECB">
        <w:t>, including developing m</w:t>
      </w:r>
      <w:r w:rsidR="001B7B03" w:rsidRPr="00C64ECB">
        <w:t>echanisms to handle reduced msg 1/2/3/4 transmission opportunities due to LBT failure</w:t>
      </w:r>
      <w:r w:rsidR="00605F37" w:rsidRPr="00C64ECB">
        <w:t xml:space="preserve">. </w:t>
      </w:r>
    </w:p>
    <w:p w14:paraId="47ECE3FF" w14:textId="1D600B9D" w:rsidR="001B7B03" w:rsidRPr="00C64ECB" w:rsidRDefault="0085014F" w:rsidP="0054545A">
      <w:r w:rsidRPr="00C64ECB">
        <w:t xml:space="preserve">It is also identified </w:t>
      </w:r>
      <w:r w:rsidR="00E8347E" w:rsidRPr="00C64ECB">
        <w:t xml:space="preserve">that a </w:t>
      </w:r>
      <w:r w:rsidRPr="00C64ECB">
        <w:t xml:space="preserve">2-step RACH </w:t>
      </w:r>
      <w:r w:rsidR="00E8347E" w:rsidRPr="00C64ECB">
        <w:t xml:space="preserve">procedure </w:t>
      </w:r>
      <w:r w:rsidRPr="00C64ECB">
        <w:t>potentially has benefit for channel access.</w:t>
      </w:r>
    </w:p>
    <w:p w14:paraId="788FDAC1" w14:textId="7C868CD6" w:rsidR="00D25C6A" w:rsidRPr="00C64ECB" w:rsidRDefault="00D25C6A" w:rsidP="0054545A">
      <w:r w:rsidRPr="00C64ECB">
        <w:lastRenderedPageBreak/>
        <w:t>For SS/PBCH block transmission, it is recommended to define a mechanism to transmit SS/PBCH blocks dropped due to LBT failure. It is also recommended to define a mechanism</w:t>
      </w:r>
      <w:r w:rsidR="00E8347E" w:rsidRPr="00C64ECB">
        <w:t xml:space="preserve"> when specifications are developed</w:t>
      </w:r>
      <w:r w:rsidRPr="00C64ECB">
        <w:t xml:space="preserve"> for UE(s) to determine the </w:t>
      </w:r>
      <w:r w:rsidR="00E8347E" w:rsidRPr="00C64ECB">
        <w:t xml:space="preserve">frame </w:t>
      </w:r>
      <w:r w:rsidRPr="00C64ECB">
        <w:t>timing and QCL assumptions from the detected SS/PBCH block</w:t>
      </w:r>
      <w:r w:rsidR="005220B1" w:rsidRPr="00C64ECB">
        <w:t>. T</w:t>
      </w:r>
      <w:r w:rsidR="00E8347E" w:rsidRPr="00C64ECB">
        <w:t>he feasibility</w:t>
      </w:r>
      <w:r w:rsidR="005220B1" w:rsidRPr="00C64ECB">
        <w:t xml:space="preserve"> and benefits</w:t>
      </w:r>
      <w:r w:rsidR="00E8347E" w:rsidRPr="00C64ECB">
        <w:t xml:space="preserve"> of beam repetition for soft combining reception of SSBs within the same DRS transmission</w:t>
      </w:r>
      <w:r w:rsidR="005220B1" w:rsidRPr="00C64ECB">
        <w:t xml:space="preserve"> may be further considered</w:t>
      </w:r>
      <w:r w:rsidRPr="00C64ECB">
        <w:t>.</w:t>
      </w:r>
    </w:p>
    <w:p w14:paraId="7C794D99" w14:textId="599DD0C0" w:rsidR="00063EE1" w:rsidRPr="00C64ECB" w:rsidRDefault="00D25C6A" w:rsidP="0054545A">
      <w:pPr>
        <w:rPr>
          <w:rFonts w:eastAsia="Times New Roman"/>
          <w:sz w:val="24"/>
          <w:szCs w:val="24"/>
          <w:lang w:val="en-US" w:eastAsia="zh-CN"/>
        </w:rPr>
      </w:pPr>
      <w:r w:rsidRPr="00C64ECB">
        <w:rPr>
          <w:lang w:val="en-US"/>
        </w:rPr>
        <w:t>For SS/PBCH block</w:t>
      </w:r>
      <w:r w:rsidR="00B01865" w:rsidRPr="00C64ECB">
        <w:rPr>
          <w:lang w:val="en-US"/>
        </w:rPr>
        <w:t xml:space="preserve"> transmissions as part of DRS, </w:t>
      </w:r>
      <w:r w:rsidRPr="00C64ECB">
        <w:rPr>
          <w:lang w:val="en-US"/>
        </w:rPr>
        <w:t xml:space="preserve">it is considered beneficial to expand the maximum number of candidate SS/PBCH block positions within </w:t>
      </w:r>
      <w:r w:rsidR="005516BA" w:rsidRPr="00C64ECB">
        <w:rPr>
          <w:lang w:val="en-US"/>
        </w:rPr>
        <w:t xml:space="preserve">the </w:t>
      </w:r>
      <w:r w:rsidRPr="00C64ECB">
        <w:rPr>
          <w:lang w:val="en-US"/>
        </w:rPr>
        <w:t xml:space="preserve">DRS transmission window to Y, for e.g., Y </w:t>
      </w:r>
      <w:r w:rsidR="00063EE1" w:rsidRPr="00C64ECB">
        <w:rPr>
          <w:lang w:val="en-US"/>
        </w:rPr>
        <w:t>≤</w:t>
      </w:r>
      <w:r w:rsidRPr="00C64ECB">
        <w:rPr>
          <w:lang w:val="en-US"/>
        </w:rPr>
        <w:t xml:space="preserve"> 64</w:t>
      </w:r>
      <w:r w:rsidR="00063EE1" w:rsidRPr="00C64ECB">
        <w:rPr>
          <w:lang w:val="en-US"/>
        </w:rPr>
        <w:t>, where the choice of Y may depend on the numerology of the SS/PBCH blocks</w:t>
      </w:r>
      <w:r w:rsidRPr="00C64ECB">
        <w:rPr>
          <w:lang w:val="en-US"/>
        </w:rPr>
        <w:t xml:space="preserve">. The transmitted SS/PBCH blocks do not overlap and the maximum number of transmitted SS/PBCH blocks is X within DRS transmission window with X </w:t>
      </w:r>
      <w:r w:rsidR="00D109E0" w:rsidRPr="00C64ECB">
        <w:rPr>
          <w:lang w:val="en-US"/>
        </w:rPr>
        <w:t>≤</w:t>
      </w:r>
      <w:r w:rsidRPr="00C64ECB">
        <w:rPr>
          <w:lang w:val="en-US"/>
        </w:rPr>
        <w:t xml:space="preserve"> 8.</w:t>
      </w:r>
      <w:r w:rsidR="00063EE1" w:rsidRPr="00C64ECB">
        <w:rPr>
          <w:lang w:val="en-US"/>
        </w:rPr>
        <w:t xml:space="preserve"> </w:t>
      </w:r>
      <w:r w:rsidR="00063EE1" w:rsidRPr="00C64ECB">
        <w:t>The time-domain positions of the actually transmitted SS/PBCH blocks are selected from a set of Y candidate SS/PBCH block positions</w:t>
      </w:r>
      <w:r w:rsidR="00B27CD2" w:rsidRPr="00C64ECB">
        <w:t>.</w:t>
      </w:r>
      <w:r w:rsidR="00063EE1" w:rsidRPr="00C64ECB">
        <w:t xml:space="preserve"> Proposals for s</w:t>
      </w:r>
      <w:r w:rsidR="00063EE1" w:rsidRPr="00C64ECB">
        <w:rPr>
          <w:rFonts w:ascii="Times" w:eastAsia="Batang" w:hAnsi="Times"/>
          <w:szCs w:val="24"/>
        </w:rPr>
        <w:t xml:space="preserve">hift granularity between candidate </w:t>
      </w:r>
      <w:r w:rsidR="00B27CD2" w:rsidRPr="00C64ECB">
        <w:rPr>
          <w:rFonts w:ascii="Times" w:eastAsia="Batang" w:hAnsi="Times"/>
          <w:szCs w:val="24"/>
        </w:rPr>
        <w:t xml:space="preserve">time domain </w:t>
      </w:r>
      <w:r w:rsidR="00063EE1" w:rsidRPr="00C64ECB">
        <w:rPr>
          <w:rFonts w:ascii="Times" w:eastAsia="Batang" w:hAnsi="Times"/>
          <w:szCs w:val="24"/>
        </w:rPr>
        <w:t>SSB positions/candidate groups of SSBs, d</w:t>
      </w:r>
      <w:r w:rsidR="00063EE1" w:rsidRPr="00C64ECB">
        <w:t xml:space="preserve">uration of DRS transmission window, and duration of the transmitted DRS within the window including SSBs and other multiplexed signals/channels, were discussed without reaching consensus, and can be considered further when specifications are developed. </w:t>
      </w:r>
      <w:r w:rsidR="00063EE1" w:rsidRPr="00C64ECB">
        <w:rPr>
          <w:rFonts w:eastAsia="Times New Roman"/>
          <w:sz w:val="24"/>
          <w:szCs w:val="24"/>
        </w:rPr>
        <w:t xml:space="preserve"> </w:t>
      </w:r>
    </w:p>
    <w:p w14:paraId="69ABE4EE" w14:textId="4BEED810" w:rsidR="00D109E0" w:rsidRPr="00C64ECB" w:rsidRDefault="00D109E0" w:rsidP="0054545A">
      <w:pPr>
        <w:rPr>
          <w:lang w:val="en-US"/>
        </w:rPr>
      </w:pPr>
      <w:r w:rsidRPr="00C64ECB">
        <w:rPr>
          <w:lang w:val="en-US"/>
        </w:rPr>
        <w:t>Modifications to paging procedures due to reduced transmission opportunities for paging due to LBT failure are beneficial and have been identified and studied. It is therefore considered beneficial to enhance paging opportunities using the following mechanism:</w:t>
      </w:r>
    </w:p>
    <w:p w14:paraId="027A6A96" w14:textId="35604FB3" w:rsidR="00D109E0" w:rsidRPr="00C64ECB" w:rsidRDefault="0054545A" w:rsidP="0054545A">
      <w:pPr>
        <w:pStyle w:val="B1"/>
      </w:pPr>
      <w:r>
        <w:t>-</w:t>
      </w:r>
      <w:r>
        <w:tab/>
      </w:r>
      <w:r w:rsidR="00D109E0" w:rsidRPr="00C64ECB">
        <w:t>Increased time-domain paging occasions or paging monitoring occasions.</w:t>
      </w:r>
    </w:p>
    <w:p w14:paraId="2D57B417" w14:textId="653A9C4B" w:rsidR="00D109E0" w:rsidRPr="00C64ECB" w:rsidRDefault="0054545A" w:rsidP="0054545A">
      <w:pPr>
        <w:pStyle w:val="B2"/>
      </w:pPr>
      <w:r>
        <w:t>-</w:t>
      </w:r>
      <w:r>
        <w:tab/>
      </w:r>
      <w:r w:rsidR="00D109E0" w:rsidRPr="00C64ECB">
        <w:t>This can enable additional paging occasions outside of DRS.</w:t>
      </w:r>
    </w:p>
    <w:p w14:paraId="6EB557FE" w14:textId="18A4A7A8" w:rsidR="00D25C6A" w:rsidRPr="00C64ECB" w:rsidRDefault="00D109E0" w:rsidP="00D109E0">
      <w:pPr>
        <w:rPr>
          <w:lang w:val="en-US" w:eastAsia="x-none"/>
        </w:rPr>
      </w:pPr>
      <w:r w:rsidRPr="00C64ECB">
        <w:rPr>
          <w:lang w:val="en-US" w:eastAsia="x-none"/>
        </w:rPr>
        <w:t>Note: Parts or all of the above enhancement may fall under the purview of higher-layer enhancements and may not require any further study from a L1 perspective</w:t>
      </w:r>
    </w:p>
    <w:p w14:paraId="7CA348EC" w14:textId="3477828A" w:rsidR="00D25C6A" w:rsidRPr="00C64ECB" w:rsidRDefault="00D25C6A" w:rsidP="00D25C6A">
      <w:pPr>
        <w:rPr>
          <w:lang w:val="en-US" w:eastAsia="x-none"/>
        </w:rPr>
      </w:pPr>
      <w:r w:rsidRPr="00C64ECB">
        <w:rPr>
          <w:lang w:val="en-US" w:eastAsia="x-none"/>
        </w:rPr>
        <w:t>For potential RACH resource enhancement</w:t>
      </w:r>
      <w:r w:rsidR="00063EE1" w:rsidRPr="00C64ECB">
        <w:rPr>
          <w:lang w:val="en-US" w:eastAsia="x-none"/>
        </w:rPr>
        <w:t>s</w:t>
      </w:r>
      <w:r w:rsidRPr="00C64ECB">
        <w:rPr>
          <w:lang w:val="en-US" w:eastAsia="x-none"/>
        </w:rPr>
        <w:t>, the following options have been identified for NR-U, beyond the flexibility already available in Rel-15</w:t>
      </w:r>
      <w:r w:rsidR="00063EE1" w:rsidRPr="00C64ECB">
        <w:rPr>
          <w:lang w:eastAsia="x-none"/>
        </w:rPr>
        <w:t>, but consensus was not achieved. These options may be further considered when specifications are developed</w:t>
      </w:r>
      <w:r w:rsidRPr="00C64ECB">
        <w:rPr>
          <w:lang w:val="en-US" w:eastAsia="x-none"/>
        </w:rPr>
        <w:t>:</w:t>
      </w:r>
    </w:p>
    <w:p w14:paraId="4B9B4689" w14:textId="359F35BB" w:rsidR="00D25C6A" w:rsidRPr="00C64ECB" w:rsidRDefault="00D25C6A" w:rsidP="00643848">
      <w:pPr>
        <w:pStyle w:val="B1"/>
      </w:pPr>
      <w:r w:rsidRPr="00C64ECB">
        <w:t>-</w:t>
      </w:r>
      <w:r w:rsidRPr="00C64ECB">
        <w:tab/>
        <w:t>Frequency-domain enhancement: Multiple PRACH resources across multiple LBT sub-bands/carriers for both contention-free and contention-based RA</w:t>
      </w:r>
    </w:p>
    <w:p w14:paraId="1EEDD1C9" w14:textId="7FAB4BC6" w:rsidR="00D25C6A" w:rsidRPr="00C64ECB" w:rsidRDefault="00D25C6A" w:rsidP="00643848">
      <w:pPr>
        <w:pStyle w:val="B1"/>
      </w:pPr>
      <w:r w:rsidRPr="00C64ECB">
        <w:t>-</w:t>
      </w:r>
      <w:r w:rsidRPr="00C64ECB">
        <w:tab/>
        <w:t>Time-domain enhancements:</w:t>
      </w:r>
    </w:p>
    <w:p w14:paraId="2495C198" w14:textId="5E50264C" w:rsidR="00D25C6A" w:rsidRPr="00C64ECB" w:rsidRDefault="00D25C6A" w:rsidP="00643848">
      <w:pPr>
        <w:pStyle w:val="B2"/>
      </w:pPr>
      <w:r w:rsidRPr="00C64ECB">
        <w:t>-</w:t>
      </w:r>
      <w:r w:rsidRPr="00C64ECB">
        <w:tab/>
        <w:t xml:space="preserve">For connected mode UE, scheduling of PRACH resources via DCI. </w:t>
      </w:r>
    </w:p>
    <w:p w14:paraId="2030B931" w14:textId="165E3F7A" w:rsidR="00D25C6A" w:rsidRPr="00C64ECB" w:rsidRDefault="00D25C6A" w:rsidP="00643848">
      <w:pPr>
        <w:pStyle w:val="B3"/>
      </w:pPr>
      <w:r w:rsidRPr="00C64ECB">
        <w:t>-</w:t>
      </w:r>
      <w:r w:rsidRPr="00C64ECB">
        <w:tab/>
        <w:t xml:space="preserve">Triggered PRACH within </w:t>
      </w:r>
      <w:r w:rsidR="009D4A93" w:rsidRPr="00C64ECB">
        <w:t xml:space="preserve">gNB acquired COT </w:t>
      </w:r>
      <w:r w:rsidRPr="00C64ECB">
        <w:t>can use a new resource</w:t>
      </w:r>
      <w:r w:rsidR="00EB6D01" w:rsidRPr="00C64ECB">
        <w:t xml:space="preserve"> indicated by the DCI</w:t>
      </w:r>
    </w:p>
    <w:p w14:paraId="083D3F88" w14:textId="39D67136" w:rsidR="00D25C6A" w:rsidRPr="00C64ECB" w:rsidRDefault="00D25C6A" w:rsidP="00643848">
      <w:pPr>
        <w:pStyle w:val="B2"/>
      </w:pPr>
      <w:r w:rsidRPr="00C64ECB">
        <w:t>-</w:t>
      </w:r>
      <w:r w:rsidRPr="00C64ECB">
        <w:tab/>
        <w:t>For idle mode UE, scheduling of PRACH resources via paging</w:t>
      </w:r>
    </w:p>
    <w:p w14:paraId="30BAF6C2" w14:textId="5ACFA27F" w:rsidR="00D25C6A" w:rsidRPr="00C64ECB" w:rsidRDefault="00EB6D01" w:rsidP="00643848">
      <w:pPr>
        <w:pStyle w:val="B3"/>
      </w:pPr>
      <w:r w:rsidRPr="00C64ECB">
        <w:t>-</w:t>
      </w:r>
      <w:r w:rsidR="00D25C6A" w:rsidRPr="00C64ECB">
        <w:tab/>
        <w:t>Note: potential inefficiency in network resource due to paging across multiple cells</w:t>
      </w:r>
    </w:p>
    <w:p w14:paraId="0F994CB7" w14:textId="1609E81B" w:rsidR="00D25C6A" w:rsidRPr="00C64ECB" w:rsidRDefault="00EB6D01" w:rsidP="00643848">
      <w:pPr>
        <w:pStyle w:val="B2"/>
      </w:pPr>
      <w:r w:rsidRPr="00C64ECB">
        <w:t>-</w:t>
      </w:r>
      <w:r w:rsidR="00D25C6A" w:rsidRPr="00C64ECB">
        <w:tab/>
        <w:t>Additional, new RACH resources are used immediately following detection of DRS transmission</w:t>
      </w:r>
    </w:p>
    <w:p w14:paraId="0720D2F7" w14:textId="17C0F2C1" w:rsidR="00D25C6A" w:rsidRPr="00C64ECB" w:rsidRDefault="00EB6D01" w:rsidP="00643848">
      <w:pPr>
        <w:pStyle w:val="B2"/>
      </w:pPr>
      <w:r w:rsidRPr="00C64ECB">
        <w:t>-</w:t>
      </w:r>
      <w:r w:rsidR="00D25C6A" w:rsidRPr="00C64ECB">
        <w:tab/>
        <w:t>Multiple PRACH transmissions before Msg2 reception in RAR window for initial access</w:t>
      </w:r>
    </w:p>
    <w:p w14:paraId="1149EFFA" w14:textId="501A7794" w:rsidR="00D25C6A" w:rsidRPr="00C64ECB" w:rsidRDefault="00EB6D01" w:rsidP="00643848">
      <w:pPr>
        <w:pStyle w:val="B3"/>
      </w:pPr>
      <w:r w:rsidRPr="00C64ECB">
        <w:t>-</w:t>
      </w:r>
      <w:r w:rsidR="00D25C6A" w:rsidRPr="00C64ECB">
        <w:tab/>
        <w:t>Number of allowed transmissions is pre-defined or indicated, e.g., in RMSI</w:t>
      </w:r>
    </w:p>
    <w:p w14:paraId="5074656F" w14:textId="17B736BF" w:rsidR="00D25C6A" w:rsidRPr="00C64ECB" w:rsidRDefault="00EB6D01" w:rsidP="00643848">
      <w:pPr>
        <w:pStyle w:val="B2"/>
      </w:pPr>
      <w:r w:rsidRPr="00C64ECB">
        <w:t>-</w:t>
      </w:r>
      <w:r w:rsidR="00D25C6A" w:rsidRPr="00C64ECB">
        <w:tab/>
        <w:t>Group wise SSB-to-RO mapping by frequency first-time second manner, where grouping is in time domain</w:t>
      </w:r>
    </w:p>
    <w:p w14:paraId="6796E17E" w14:textId="671CA1B4" w:rsidR="00EC7E4A" w:rsidRPr="00C64ECB" w:rsidRDefault="00EC7E4A" w:rsidP="00EC7E4A">
      <w:pPr>
        <w:rPr>
          <w:lang w:eastAsia="x-none"/>
        </w:rPr>
      </w:pPr>
      <w:r w:rsidRPr="00C64ECB">
        <w:rPr>
          <w:lang w:eastAsia="x-none"/>
        </w:rPr>
        <w:t>For msg1 transmission of 4-step RACH procedure, if preamble transmissions are dropped due to LBT failure, then from RAN1 perspective, it is recommended that preamble power ramping is not performed and that the preamble transmission counter is not incremented.</w:t>
      </w:r>
    </w:p>
    <w:p w14:paraId="22558008" w14:textId="2BF14434" w:rsidR="00EC7E4A" w:rsidRPr="00C64ECB" w:rsidRDefault="00EC7E4A" w:rsidP="00EC7E4A">
      <w:r w:rsidRPr="00C64ECB">
        <w:t>For msg 2 transmission in the 4-step RACH procedure, in some scenarios it is beneficial for the maximum RAR window size to be extended beyond 10 ms to i</w:t>
      </w:r>
      <w:r w:rsidR="00E8347E" w:rsidRPr="00C64ECB">
        <w:t>m</w:t>
      </w:r>
      <w:r w:rsidRPr="00C64ECB">
        <w:t>prove robustness to DL LBT failure for RAR transmission.</w:t>
      </w:r>
      <w:r w:rsidR="00063EE1" w:rsidRPr="00C64ECB">
        <w:t xml:space="preserve"> Other candidate mechanisms that were identified without reaching consensus include </w:t>
      </w:r>
      <w:r w:rsidR="00D95B7B" w:rsidRPr="00C64ECB">
        <w:rPr>
          <w:lang w:val="en-US" w:eastAsia="x-none"/>
        </w:rPr>
        <w:t>preconfigured/pre-indicated/scheduled multiple opportunities in time and/or frequency domain in different LBT subbands for m</w:t>
      </w:r>
      <w:r w:rsidR="005220B1" w:rsidRPr="00C64ECB">
        <w:rPr>
          <w:lang w:val="en-US" w:eastAsia="x-none"/>
        </w:rPr>
        <w:t xml:space="preserve">essage </w:t>
      </w:r>
      <w:r w:rsidR="00D95B7B" w:rsidRPr="00C64ECB">
        <w:rPr>
          <w:lang w:val="en-US" w:eastAsia="x-none"/>
        </w:rPr>
        <w:t>2</w:t>
      </w:r>
      <w:r w:rsidR="005220B1" w:rsidRPr="00C64ECB">
        <w:rPr>
          <w:lang w:val="en-US" w:eastAsia="x-none"/>
        </w:rPr>
        <w:t>/3/4</w:t>
      </w:r>
      <w:r w:rsidR="00D95B7B" w:rsidRPr="00C64ECB">
        <w:rPr>
          <w:lang w:val="en-US" w:eastAsia="x-none"/>
        </w:rPr>
        <w:t xml:space="preserve"> transmissions and</w:t>
      </w:r>
      <w:r w:rsidR="005220B1" w:rsidRPr="00C64ECB">
        <w:rPr>
          <w:lang w:val="en-US" w:eastAsia="x-none"/>
        </w:rPr>
        <w:t>/or</w:t>
      </w:r>
      <w:r w:rsidR="00D95B7B" w:rsidRPr="00C64ECB">
        <w:rPr>
          <w:lang w:val="en-US" w:eastAsia="x-none"/>
        </w:rPr>
        <w:t xml:space="preserve"> red</w:t>
      </w:r>
      <w:r w:rsidR="005220B1" w:rsidRPr="00C64ECB">
        <w:rPr>
          <w:lang w:val="en-US" w:eastAsia="x-none"/>
        </w:rPr>
        <w:t>ucing the latency of the RACH procedure</w:t>
      </w:r>
      <w:r w:rsidR="00063EE1" w:rsidRPr="00C64ECB">
        <w:t xml:space="preserve"> and can be considered further when specifications are to be developed</w:t>
      </w:r>
      <w:r w:rsidR="005220B1" w:rsidRPr="00C64ECB">
        <w:t>.</w:t>
      </w:r>
    </w:p>
    <w:p w14:paraId="07E0A38F" w14:textId="61D24FF6" w:rsidR="001B7B03" w:rsidRPr="00C64ECB" w:rsidRDefault="001B7B03" w:rsidP="001B7B03">
      <w:pPr>
        <w:rPr>
          <w:lang w:eastAsia="x-none"/>
        </w:rPr>
      </w:pPr>
      <w:bookmarkStart w:id="62" w:name="_Hlk527056215"/>
      <w:r w:rsidRPr="00C64ECB">
        <w:rPr>
          <w:lang w:eastAsia="x-none"/>
        </w:rPr>
        <w:t>Potential modifications to RLM/RRM procedures due to reduced transmission opportunities for DL signals and channels due to LBT failure</w:t>
      </w:r>
      <w:r w:rsidR="00063EE1" w:rsidRPr="00C64ECB">
        <w:rPr>
          <w:lang w:eastAsia="x-none"/>
        </w:rPr>
        <w:t xml:space="preserve"> have been</w:t>
      </w:r>
      <w:r w:rsidRPr="00C64ECB">
        <w:rPr>
          <w:lang w:eastAsia="x-none"/>
        </w:rPr>
        <w:t xml:space="preserve"> identified and studied</w:t>
      </w:r>
      <w:r w:rsidR="00605F37" w:rsidRPr="00C64ECB">
        <w:rPr>
          <w:lang w:eastAsia="x-none"/>
        </w:rPr>
        <w:t>.</w:t>
      </w:r>
    </w:p>
    <w:bookmarkEnd w:id="62"/>
    <w:p w14:paraId="3BFF0B72" w14:textId="7F9BCAF7" w:rsidR="008039C8" w:rsidRPr="00C64ECB" w:rsidRDefault="00EB6D01" w:rsidP="008039C8">
      <w:pPr>
        <w:rPr>
          <w:lang w:val="en-US" w:eastAsia="x-none"/>
        </w:rPr>
      </w:pPr>
      <w:r w:rsidRPr="00C64ECB">
        <w:rPr>
          <w:lang w:eastAsia="x-none"/>
        </w:rPr>
        <w:lastRenderedPageBreak/>
        <w:t>For RLM</w:t>
      </w:r>
      <w:r w:rsidR="00D109E0" w:rsidRPr="00C64ECB">
        <w:rPr>
          <w:lang w:eastAsia="x-none"/>
        </w:rPr>
        <w:t xml:space="preserve"> on an unlicensed SpCell and </w:t>
      </w:r>
      <w:r w:rsidRPr="00C64ECB">
        <w:rPr>
          <w:lang w:eastAsia="x-none"/>
        </w:rPr>
        <w:t xml:space="preserve">RRM, it is considered beneficial to configure DMTCs (DRS Measurement Time Configuration) in which UEs can perform measurements. </w:t>
      </w:r>
      <w:r w:rsidR="00D109E0" w:rsidRPr="00C64ECB">
        <w:rPr>
          <w:lang w:eastAsia="x-none"/>
        </w:rPr>
        <w:t>It is considered beneficial that these time-domain measurement windows for</w:t>
      </w:r>
      <w:r w:rsidRPr="00C64ECB">
        <w:rPr>
          <w:lang w:eastAsia="x-none"/>
        </w:rPr>
        <w:t xml:space="preserve"> RRM measurements </w:t>
      </w:r>
      <w:r w:rsidR="00D109E0" w:rsidRPr="00C64ECB">
        <w:rPr>
          <w:lang w:eastAsia="x-none"/>
        </w:rPr>
        <w:t>and RLM can be different</w:t>
      </w:r>
      <w:r w:rsidRPr="00C64ECB">
        <w:rPr>
          <w:lang w:eastAsia="x-none"/>
        </w:rPr>
        <w:t xml:space="preserve">. RLM DMTC may coincide with DRS transmission window. </w:t>
      </w:r>
      <w:r w:rsidR="008039C8" w:rsidRPr="00C64ECB">
        <w:rPr>
          <w:lang w:val="en-US" w:eastAsia="x-none"/>
        </w:rPr>
        <w:t>For RLM, the following recommendations are considered beneficial for further design when the specifications are developed:</w:t>
      </w:r>
    </w:p>
    <w:p w14:paraId="02C63A2B" w14:textId="3A57DB0D" w:rsidR="008039C8" w:rsidRPr="00C64ECB" w:rsidRDefault="008039C8" w:rsidP="008039C8">
      <w:pPr>
        <w:pStyle w:val="B1"/>
      </w:pPr>
      <w:r w:rsidRPr="00C64ECB">
        <w:t>-</w:t>
      </w:r>
      <w:r w:rsidRPr="00C64ECB">
        <w:tab/>
        <w:t>Identifying a set of RLM-RS, e.g., DRS, SS/PBCH blocks, CSI-RS. The transmission of the RS in a COT may be subject to LBT.</w:t>
      </w:r>
    </w:p>
    <w:p w14:paraId="13889C50" w14:textId="12C80A4B" w:rsidR="008039C8" w:rsidRPr="00C64ECB" w:rsidRDefault="008039C8" w:rsidP="008039C8">
      <w:pPr>
        <w:pStyle w:val="B1"/>
      </w:pPr>
      <w:r w:rsidRPr="00C64ECB">
        <w:t>-</w:t>
      </w:r>
      <w:r w:rsidRPr="00C64ECB">
        <w:tab/>
        <w:t xml:space="preserve">Identifying which set(s) of RLM-RS are used for in-sync and out-of-sync evaluations. For example, determining which RLM-RS within or outside the RLM </w:t>
      </w:r>
      <w:r w:rsidR="00517E80" w:rsidRPr="00C64ECB">
        <w:t xml:space="preserve">measurement window </w:t>
      </w:r>
      <w:r w:rsidRPr="00C64ECB">
        <w:t>can be utilized for in-sync and out-of-sync evaluations.</w:t>
      </w:r>
    </w:p>
    <w:p w14:paraId="38E63628" w14:textId="4B1C21CD" w:rsidR="008039C8" w:rsidRPr="00C64ECB" w:rsidRDefault="008039C8" w:rsidP="008039C8">
      <w:pPr>
        <w:pStyle w:val="B1"/>
      </w:pPr>
      <w:r w:rsidRPr="00C64ECB">
        <w:t>-</w:t>
      </w:r>
      <w:r w:rsidRPr="00C64ECB">
        <w:tab/>
        <w:t>Potential definition of a metric, e.g., Rel-15 out-of-sync indication or new metric, to accurately identify instances of unsuccessful detection of RLM-RS. Whether/how to report such a metric to higher layers is determined when the specifications are developed.</w:t>
      </w:r>
    </w:p>
    <w:p w14:paraId="04CF4B34" w14:textId="271296EB" w:rsidR="005220B1" w:rsidRPr="00C64ECB" w:rsidRDefault="00EC7E4A" w:rsidP="00872625">
      <w:pPr>
        <w:rPr>
          <w:lang w:val="en-US" w:eastAsia="x-none"/>
        </w:rPr>
      </w:pPr>
      <w:r w:rsidRPr="00C64ECB">
        <w:t>It is beneficial to support reporting of RSSI.</w:t>
      </w:r>
      <w:r w:rsidR="008039C8" w:rsidRPr="00C64ECB">
        <w:t xml:space="preserve"> Furthermore, </w:t>
      </w:r>
      <w:r w:rsidR="008039C8" w:rsidRPr="00C64ECB">
        <w:rPr>
          <w:lang w:val="en-US"/>
        </w:rPr>
        <w:t>it is considered beneficial to report a metric to represent channel occupancy or medium contention in addition to RSSI</w:t>
      </w:r>
      <w:r w:rsidR="00517E80" w:rsidRPr="00C64ECB">
        <w:rPr>
          <w:lang w:val="en-US"/>
        </w:rPr>
        <w:t>, as also noted from a higher-layer perspective in Section 7.2.2.3.1</w:t>
      </w:r>
      <w:r w:rsidR="008039C8" w:rsidRPr="00C64ECB">
        <w:rPr>
          <w:lang w:val="en-US"/>
        </w:rPr>
        <w:t>. The exact definition of the metric(s) can be considered when specifications are developed.</w:t>
      </w:r>
    </w:p>
    <w:p w14:paraId="62B0225A" w14:textId="2A3F5455" w:rsidR="00E80E78" w:rsidRPr="00C64ECB" w:rsidRDefault="00E80E78" w:rsidP="00E80E78">
      <w:pPr>
        <w:pStyle w:val="Heading5"/>
      </w:pPr>
      <w:bookmarkStart w:id="63" w:name="_Toc531343015"/>
      <w:r w:rsidRPr="00C64ECB">
        <w:t>7.2.1.3.3</w:t>
      </w:r>
      <w:r w:rsidRPr="00C64ECB">
        <w:tab/>
        <w:t>Potential HARQ enhancements</w:t>
      </w:r>
      <w:bookmarkEnd w:id="63"/>
    </w:p>
    <w:p w14:paraId="3D1A9514" w14:textId="77777777" w:rsidR="00C12D1A" w:rsidRPr="00C64ECB" w:rsidRDefault="00C12D1A" w:rsidP="00C12D1A">
      <w:pPr>
        <w:rPr>
          <w:lang w:eastAsia="x-none"/>
        </w:rPr>
      </w:pPr>
      <w:r w:rsidRPr="00C64ECB">
        <w:rPr>
          <w:lang w:eastAsia="x-none"/>
        </w:rPr>
        <w:t xml:space="preserve">NR-U uses NR HARQ feedback mechanisms as baseline, and enhancements can be identified. </w:t>
      </w:r>
    </w:p>
    <w:p w14:paraId="475D8611" w14:textId="6DD3C220" w:rsidR="001E069F" w:rsidRPr="00C64ECB" w:rsidRDefault="00605F37" w:rsidP="001E069F">
      <w:pPr>
        <w:rPr>
          <w:lang w:val="en-US" w:eastAsia="x-none"/>
        </w:rPr>
      </w:pPr>
      <w:r w:rsidRPr="00C64ECB">
        <w:rPr>
          <w:lang w:eastAsia="x-none"/>
        </w:rPr>
        <w:t>Transmission of HARQ A/N for the corresponding data in the same shared COT is identified as beneficial</w:t>
      </w:r>
      <w:r w:rsidR="00C12D1A" w:rsidRPr="00C64ECB">
        <w:rPr>
          <w:lang w:eastAsia="x-none"/>
        </w:rPr>
        <w:t>. For NR-U, the design s</w:t>
      </w:r>
      <w:r w:rsidRPr="00C64ECB">
        <w:rPr>
          <w:lang w:eastAsia="x-none"/>
        </w:rPr>
        <w:t>trive</w:t>
      </w:r>
      <w:r w:rsidR="00C12D1A" w:rsidRPr="00C64ECB">
        <w:rPr>
          <w:lang w:eastAsia="x-none"/>
        </w:rPr>
        <w:t>s</w:t>
      </w:r>
      <w:r w:rsidRPr="00C64ECB">
        <w:rPr>
          <w:lang w:eastAsia="x-none"/>
        </w:rPr>
        <w:t xml:space="preserve"> to support transmitting all HARQ A/N for the corresponding data in the same shared COT, if possible, considering the current NR UE processing time required</w:t>
      </w:r>
      <w:r w:rsidR="00C12D1A" w:rsidRPr="00C64ECB">
        <w:rPr>
          <w:lang w:eastAsia="x-none"/>
        </w:rPr>
        <w:t xml:space="preserve">. </w:t>
      </w:r>
      <w:r w:rsidR="00EB6D01" w:rsidRPr="00C64ECB">
        <w:rPr>
          <w:lang w:eastAsia="x-none"/>
        </w:rPr>
        <w:t>A gap of up to</w:t>
      </w:r>
      <w:r w:rsidR="00200090">
        <w:rPr>
          <w:lang w:eastAsia="x-none"/>
        </w:rPr>
        <w:t xml:space="preserve"> 16 </w:t>
      </w:r>
      <w:r w:rsidR="00200090" w:rsidRPr="00C64ECB">
        <w:rPr>
          <w:rFonts w:ascii="Symbol" w:hAnsi="Symbol"/>
        </w:rPr>
        <w:t></w:t>
      </w:r>
      <w:r w:rsidR="00EB6D01" w:rsidRPr="00C64ECB">
        <w:rPr>
          <w:lang w:eastAsia="x-none"/>
        </w:rPr>
        <w:t xml:space="preserve">s should be allowed between the end of the DL transmission and the immediate transmission of feedback to accommodate for the hardware turnaround time. </w:t>
      </w:r>
      <w:r w:rsidR="001E069F" w:rsidRPr="00C64ECB">
        <w:rPr>
          <w:lang w:val="en-US" w:eastAsia="x-none"/>
        </w:rPr>
        <w:t>It is beneficial to be able to support transmissions (e.g. CSI reporting or SRS, or other PUSCH, or CSI-RS, or other PDSCH) in the time between one DL data transmission for a UE and the corresponding UL transmission of DL HARQ feedback for the same UE within a shared COT. Potential enhancements for such type of operation, e.g. by possibly pre-configured or pre-determined uplink transmissions for reducing signaling overhead for these transmissions, may be beneficial.</w:t>
      </w:r>
    </w:p>
    <w:p w14:paraId="5BA10FF7" w14:textId="7840EFB1" w:rsidR="00605F37" w:rsidRPr="00C64ECB" w:rsidRDefault="00C12D1A" w:rsidP="00605F37">
      <w:pPr>
        <w:rPr>
          <w:lang w:val="en-US" w:eastAsia="x-none"/>
        </w:rPr>
      </w:pPr>
      <w:r w:rsidRPr="00C64ECB">
        <w:rPr>
          <w:lang w:eastAsia="x-none"/>
        </w:rPr>
        <w:t>However, i</w:t>
      </w:r>
      <w:r w:rsidR="00605F37" w:rsidRPr="00C64ECB">
        <w:rPr>
          <w:lang w:eastAsia="x-none"/>
        </w:rPr>
        <w:t>t is understood in some cases, the HARQ A/N has to be transmitted in a separate COT from the one the corresponding data was transmitted</w:t>
      </w:r>
      <w:r w:rsidRPr="00C64ECB">
        <w:rPr>
          <w:lang w:eastAsia="x-none"/>
        </w:rPr>
        <w:t xml:space="preserve">. </w:t>
      </w:r>
      <w:r w:rsidR="00D84B1E" w:rsidRPr="00C64ECB">
        <w:rPr>
          <w:bCs/>
          <w:lang w:val="en-US" w:eastAsia="x-none"/>
        </w:rPr>
        <w:t>Introduce</w:t>
      </w:r>
      <w:r w:rsidR="00D84B1E" w:rsidRPr="00C64ECB">
        <w:rPr>
          <w:lang w:val="en-US" w:eastAsia="x-none"/>
        </w:rPr>
        <w:t xml:space="preserve"> signaling a value of the </w:t>
      </w:r>
      <w:r w:rsidR="00D84B1E" w:rsidRPr="00C64ECB">
        <w:rPr>
          <w:bCs/>
          <w:lang w:val="en-US" w:eastAsia="x-none"/>
        </w:rPr>
        <w:t>PDSCH-to-HARQ-timing-indicator in the DCI scheduling the PDSCH that tells the UE that the timing and resource for HARQ-ACK feedback for the corresponding PDSCH will be determined later.</w:t>
      </w:r>
    </w:p>
    <w:p w14:paraId="457CA6B2" w14:textId="1E684C52" w:rsidR="00605F37" w:rsidRPr="00C64ECB" w:rsidRDefault="00605F37" w:rsidP="00605F37">
      <w:pPr>
        <w:rPr>
          <w:lang w:eastAsia="x-none"/>
        </w:rPr>
      </w:pPr>
      <w:r w:rsidRPr="00C64ECB">
        <w:rPr>
          <w:lang w:eastAsia="x-none"/>
        </w:rPr>
        <w:t>Techniques to handle reduced HARQ A/N transmission opportunities for a given HARQ process due to LBT failure are identified as beneficial</w:t>
      </w:r>
      <w:r w:rsidR="00C12D1A" w:rsidRPr="00C64ECB">
        <w:rPr>
          <w:lang w:eastAsia="x-none"/>
        </w:rPr>
        <w:t xml:space="preserve">. </w:t>
      </w:r>
      <w:r w:rsidRPr="00C64ECB">
        <w:rPr>
          <w:lang w:eastAsia="x-none"/>
        </w:rPr>
        <w:t>Potential techniques include mechanisms to provide multiple and/or supplemental time and/or frequency domain transmission opportunities</w:t>
      </w:r>
      <w:r w:rsidR="00C12D1A" w:rsidRPr="00C64ECB">
        <w:rPr>
          <w:lang w:eastAsia="x-none"/>
        </w:rPr>
        <w:t>.</w:t>
      </w:r>
    </w:p>
    <w:p w14:paraId="4AD8E0E2" w14:textId="7A2FF792" w:rsidR="00605F37" w:rsidRPr="00C64ECB" w:rsidRDefault="00605F37" w:rsidP="00605F37">
      <w:pPr>
        <w:rPr>
          <w:lang w:eastAsia="x-none"/>
        </w:rPr>
      </w:pPr>
      <w:r w:rsidRPr="00C64ECB">
        <w:rPr>
          <w:lang w:eastAsia="x-none"/>
        </w:rPr>
        <w:t>When UL HARQ feedback is transmitted on unlicensed band, NR-U considers mechanisms to support flexible triggering and multiplexing of HARQ feedback for one or more DL HARQ processes</w:t>
      </w:r>
    </w:p>
    <w:p w14:paraId="2953597B" w14:textId="77777777" w:rsidR="00EC7E4A" w:rsidRPr="00C64ECB" w:rsidRDefault="00EC7E4A" w:rsidP="00EC7E4A">
      <w:bookmarkStart w:id="64" w:name="OLE_LINK20"/>
      <w:r w:rsidRPr="00C64ECB">
        <w:t>NR-U should support both the HARQ feedback corresponding to some or all the PDSCHs of a channel occupancy can be reported in the same channel occupancy</w:t>
      </w:r>
      <w:bookmarkEnd w:id="64"/>
      <w:r w:rsidRPr="00C64ECB">
        <w:t xml:space="preserve"> and HARQ feedback corresponding to PDSCHs of a channel occupancy can be reported outside of that channel occupancy. </w:t>
      </w:r>
    </w:p>
    <w:p w14:paraId="7D9C7D3A" w14:textId="77777777" w:rsidR="00EC7E4A" w:rsidRPr="00C64ECB" w:rsidRDefault="00EC7E4A" w:rsidP="00EC7E4A">
      <w:r w:rsidRPr="00C64ECB">
        <w:t xml:space="preserve">To support the HARQ feedback corresponding to some or all the PDSCHs of a channel occupancy to be reported in the same channel occupancy, </w:t>
      </w:r>
      <w:r w:rsidRPr="00C64ECB">
        <w:rPr>
          <w:bCs/>
        </w:rPr>
        <w:t>it is found beneficial to extend the PDSCH-to-HARQ-timing to support indicating timings up to the end of the longest COT allowed by regulations. One or more of the following would be needed: Allow values larger than 15 by RRC signalling; Allow more bits for the PDSCH-to-HARQ-timing-indicator.</w:t>
      </w:r>
    </w:p>
    <w:p w14:paraId="777D0717" w14:textId="77777777" w:rsidR="00EC7E4A" w:rsidRPr="00C64ECB" w:rsidRDefault="00EC7E4A" w:rsidP="00EC7E4A">
      <w:r w:rsidRPr="00C64ECB">
        <w:t>To support HARQ feedback corresponding to PDSCHs of a channel occupancy can be reported outside of that channel occupancy, the following possible candidate solutions can be considered:</w:t>
      </w:r>
    </w:p>
    <w:p w14:paraId="1285E249" w14:textId="3CAC3DB8" w:rsidR="00EC7E4A" w:rsidRPr="00C64ECB" w:rsidRDefault="009D3AF8" w:rsidP="009D3AF8">
      <w:pPr>
        <w:pStyle w:val="B1"/>
      </w:pPr>
      <w:r>
        <w:t>-</w:t>
      </w:r>
      <w:r>
        <w:tab/>
      </w:r>
      <w:r w:rsidR="00EC7E4A" w:rsidRPr="00C64ECB">
        <w:t>Alt1: gNB requests/triggers feedback for PDSCH from earlier COT(s)</w:t>
      </w:r>
    </w:p>
    <w:p w14:paraId="3546D7C6" w14:textId="4607649C" w:rsidR="00EC7E4A" w:rsidRPr="00C64ECB" w:rsidRDefault="009D3AF8" w:rsidP="009D3AF8">
      <w:pPr>
        <w:pStyle w:val="B1"/>
      </w:pPr>
      <w:r>
        <w:t>-</w:t>
      </w:r>
      <w:r>
        <w:tab/>
      </w:r>
      <w:r w:rsidR="00EC7E4A" w:rsidRPr="00C64ECB">
        <w:t>Alt2: UE is configured to report HARQ feedback for PDSCH from earlier COT(s) without an explicit request/trigger</w:t>
      </w:r>
    </w:p>
    <w:p w14:paraId="79D084D1" w14:textId="417EFB65" w:rsidR="00EC7E4A" w:rsidRPr="00C64ECB" w:rsidRDefault="009D3AF8" w:rsidP="009D3AF8">
      <w:pPr>
        <w:pStyle w:val="B1"/>
      </w:pPr>
      <w:r>
        <w:t>-</w:t>
      </w:r>
      <w:r>
        <w:tab/>
      </w:r>
      <w:r w:rsidR="00EC7E4A" w:rsidRPr="00C64ECB">
        <w:t>Alt3: by PDSCH-to-HARQ-timing-indicator in the DCI scheduling the PDSCH</w:t>
      </w:r>
    </w:p>
    <w:p w14:paraId="52EE009F" w14:textId="64FA6C2F" w:rsidR="001E069F" w:rsidRPr="00C64ECB" w:rsidRDefault="00EC7E4A" w:rsidP="00EC7E4A">
      <w:pPr>
        <w:rPr>
          <w:bCs/>
        </w:rPr>
      </w:pPr>
      <w:r w:rsidRPr="00C64ECB">
        <w:rPr>
          <w:bCs/>
        </w:rPr>
        <w:lastRenderedPageBreak/>
        <w:t>The alternatives above are at least applicable for the case where there is no HARQ feedback expected in the same channel occupancy as the PDSCH.</w:t>
      </w:r>
    </w:p>
    <w:p w14:paraId="761522B5" w14:textId="406CA9F8" w:rsidR="00C52DD5" w:rsidRPr="00C64ECB" w:rsidRDefault="00C52DD5" w:rsidP="00EC7E4A">
      <w:pPr>
        <w:rPr>
          <w:bCs/>
        </w:rPr>
      </w:pPr>
      <w:r w:rsidRPr="00C64ECB">
        <w:rPr>
          <w:lang w:eastAsia="x-none"/>
        </w:rPr>
        <w:t>Further details on</w:t>
      </w:r>
      <w:r w:rsidRPr="00C64ECB">
        <w:rPr>
          <w:lang w:val="en-US" w:eastAsia="x-none"/>
        </w:rPr>
        <w:t xml:space="preserve"> potential solutions to allow cross-COT HARQ-ACK feedback and multiple opportunities for HARQ-ACK feedback are provided in Table 7.2.1.3.3-1.</w:t>
      </w:r>
    </w:p>
    <w:p w14:paraId="2F6ADBCC" w14:textId="4C943BC4" w:rsidR="001E069F" w:rsidRPr="00C64ECB" w:rsidRDefault="001E069F" w:rsidP="009D3AF8">
      <w:pPr>
        <w:pStyle w:val="TH"/>
      </w:pPr>
      <w:r w:rsidRPr="00C64ECB">
        <w:t>Table 7.2.1.3.3-1</w:t>
      </w:r>
      <w:r w:rsidR="0050058B">
        <w:t>:</w:t>
      </w:r>
      <w:r w:rsidRPr="00C64ECB">
        <w:t xml:space="preserve"> </w:t>
      </w:r>
      <w:r w:rsidR="00775F3A" w:rsidRPr="00C64ECB">
        <w:t>Possible alternatives to support multiple HARQ-ACK opportunities</w:t>
      </w:r>
    </w:p>
    <w:tbl>
      <w:tblPr>
        <w:tblStyle w:val="TableGrid1"/>
        <w:tblW w:w="0" w:type="auto"/>
        <w:tblLook w:val="0420" w:firstRow="1" w:lastRow="0" w:firstColumn="0" w:lastColumn="0" w:noHBand="0" w:noVBand="1"/>
      </w:tblPr>
      <w:tblGrid>
        <w:gridCol w:w="3069"/>
        <w:gridCol w:w="3070"/>
        <w:gridCol w:w="3070"/>
      </w:tblGrid>
      <w:tr w:rsidR="007C27CB" w:rsidRPr="00C64ECB" w14:paraId="7A923FD4" w14:textId="77777777" w:rsidTr="007C27CB">
        <w:tc>
          <w:tcPr>
            <w:tcW w:w="3069" w:type="dxa"/>
          </w:tcPr>
          <w:p w14:paraId="5D5CD169" w14:textId="77777777" w:rsidR="001E069F" w:rsidRPr="00C64ECB" w:rsidRDefault="001E069F" w:rsidP="0050058B">
            <w:pPr>
              <w:pStyle w:val="TAH"/>
              <w:rPr>
                <w:lang w:val="en-US"/>
              </w:rPr>
            </w:pPr>
          </w:p>
        </w:tc>
        <w:tc>
          <w:tcPr>
            <w:tcW w:w="3070" w:type="dxa"/>
          </w:tcPr>
          <w:p w14:paraId="4CDA8BD3" w14:textId="77777777" w:rsidR="001E069F" w:rsidRPr="00C64ECB" w:rsidRDefault="001E069F" w:rsidP="0050058B">
            <w:pPr>
              <w:pStyle w:val="TAH"/>
              <w:rPr>
                <w:lang w:val="en-US"/>
              </w:rPr>
            </w:pPr>
            <w:r w:rsidRPr="00C64ECB">
              <w:rPr>
                <w:lang w:val="en-US"/>
              </w:rPr>
              <w:t>C</w:t>
            </w:r>
            <w:r w:rsidRPr="00C64ECB">
              <w:rPr>
                <w:rFonts w:hint="eastAsia"/>
                <w:lang w:val="en-US"/>
              </w:rPr>
              <w:t>ross-</w:t>
            </w:r>
            <w:r w:rsidRPr="00C64ECB">
              <w:rPr>
                <w:lang w:val="en-US"/>
              </w:rPr>
              <w:t>COT HARQ-ACK feedback</w:t>
            </w:r>
          </w:p>
        </w:tc>
        <w:tc>
          <w:tcPr>
            <w:tcW w:w="3070" w:type="dxa"/>
          </w:tcPr>
          <w:p w14:paraId="7732FFF5" w14:textId="77777777" w:rsidR="001E069F" w:rsidRPr="00C64ECB" w:rsidRDefault="001E069F" w:rsidP="0050058B">
            <w:pPr>
              <w:pStyle w:val="TAH"/>
              <w:rPr>
                <w:lang w:val="en-US"/>
              </w:rPr>
            </w:pPr>
            <w:r w:rsidRPr="00C64ECB">
              <w:rPr>
                <w:rFonts w:hint="eastAsia"/>
                <w:lang w:val="en-US"/>
              </w:rPr>
              <w:t xml:space="preserve">Multiple opportunities for </w:t>
            </w:r>
            <w:r w:rsidRPr="00C64ECB">
              <w:rPr>
                <w:lang w:val="en-US"/>
              </w:rPr>
              <w:t>HARQ-ACK feedback</w:t>
            </w:r>
          </w:p>
        </w:tc>
      </w:tr>
      <w:tr w:rsidR="007C27CB" w:rsidRPr="00C64ECB" w14:paraId="136F8C94" w14:textId="77777777" w:rsidTr="007C27CB">
        <w:trPr>
          <w:trHeight w:val="1575"/>
        </w:trPr>
        <w:tc>
          <w:tcPr>
            <w:tcW w:w="3069" w:type="dxa"/>
          </w:tcPr>
          <w:p w14:paraId="57A7A286" w14:textId="77777777" w:rsidR="001E069F" w:rsidRPr="00C64ECB" w:rsidRDefault="001E069F" w:rsidP="0050058B">
            <w:pPr>
              <w:pStyle w:val="TAL"/>
              <w:rPr>
                <w:lang w:val="en-US"/>
              </w:rPr>
            </w:pPr>
            <w:r w:rsidRPr="00C64ECB">
              <w:rPr>
                <w:b/>
                <w:lang w:val="en-US"/>
              </w:rPr>
              <w:t>A</w:t>
            </w:r>
            <w:r w:rsidRPr="00C64ECB">
              <w:rPr>
                <w:rFonts w:hint="eastAsia"/>
                <w:b/>
                <w:lang w:val="en-US"/>
              </w:rPr>
              <w:t>lt1</w:t>
            </w:r>
            <w:r w:rsidRPr="00C64ECB">
              <w:rPr>
                <w:lang w:val="en-US"/>
              </w:rPr>
              <w:t xml:space="preserve">: gNB requests/triggers feedback for PDSCH from earlier COT(s) or additional reporting of earlier HARQ feedback, where </w:t>
            </w:r>
            <w:r w:rsidRPr="00C64ECB">
              <w:rPr>
                <w:bCs/>
                <w:lang w:val="en-US"/>
              </w:rPr>
              <w:t>the exact HARQ feedback timing and resource is provided to the UE in another DCI (in the same or in another COT)</w:t>
            </w:r>
          </w:p>
        </w:tc>
        <w:tc>
          <w:tcPr>
            <w:tcW w:w="6140" w:type="dxa"/>
            <w:gridSpan w:val="2"/>
          </w:tcPr>
          <w:p w14:paraId="4C8C6906" w14:textId="4579982A" w:rsidR="001E069F" w:rsidRPr="00C64ECB" w:rsidRDefault="001E069F" w:rsidP="0050058B">
            <w:pPr>
              <w:pStyle w:val="TAL"/>
              <w:rPr>
                <w:lang w:val="en-US"/>
              </w:rPr>
            </w:pPr>
            <w:r w:rsidRPr="00C64ECB">
              <w:rPr>
                <w:b/>
                <w:lang w:val="en-US"/>
              </w:rPr>
              <w:t>Alt1a</w:t>
            </w:r>
            <w:r w:rsidRPr="00C64ECB">
              <w:rPr>
                <w:lang w:val="en-US"/>
              </w:rPr>
              <w:t>: request/trigger reporting of HARQ feedback for earlier COT(s) or additional reporting of earlier HARQ feedback without explicit signaling of HARQ process ID</w:t>
            </w:r>
            <w:r w:rsidRPr="00C64ECB">
              <w:rPr>
                <w:rFonts w:hint="eastAsia"/>
                <w:lang w:val="en-US"/>
              </w:rPr>
              <w:t xml:space="preserve">, </w:t>
            </w:r>
            <w:r w:rsidRPr="00C64ECB">
              <w:rPr>
                <w:lang w:val="en-US"/>
              </w:rPr>
              <w:t>possibly along with other HARQ feedback reports (e.g. for the current COT)</w:t>
            </w:r>
          </w:p>
          <w:p w14:paraId="41A5DF2D" w14:textId="77777777" w:rsidR="001E069F" w:rsidRPr="00C64ECB" w:rsidRDefault="001E069F" w:rsidP="0050058B">
            <w:pPr>
              <w:pStyle w:val="TAL"/>
              <w:rPr>
                <w:lang w:val="en-US"/>
              </w:rPr>
            </w:pPr>
            <w:r w:rsidRPr="00C64ECB">
              <w:rPr>
                <w:b/>
                <w:lang w:val="en-US"/>
              </w:rPr>
              <w:t>Alt1b</w:t>
            </w:r>
            <w:r w:rsidRPr="00C64ECB">
              <w:rPr>
                <w:lang w:val="en-US"/>
              </w:rPr>
              <w:t>: request/trigger reporting for a set of HARQ processes, either for all configured HARQ processes (e.g. group feedback), or for a set of HARQ process IDs or HARQ process ID groups</w:t>
            </w:r>
          </w:p>
        </w:tc>
      </w:tr>
      <w:tr w:rsidR="007C27CB" w:rsidRPr="00C64ECB" w14:paraId="0E07AC00" w14:textId="77777777" w:rsidTr="007C27CB">
        <w:trPr>
          <w:trHeight w:val="984"/>
        </w:trPr>
        <w:tc>
          <w:tcPr>
            <w:tcW w:w="3069" w:type="dxa"/>
          </w:tcPr>
          <w:p w14:paraId="3970CB54" w14:textId="77777777" w:rsidR="001E069F" w:rsidRPr="00C64ECB" w:rsidRDefault="001E069F" w:rsidP="0050058B">
            <w:pPr>
              <w:pStyle w:val="TAL"/>
              <w:rPr>
                <w:lang w:val="en-US"/>
              </w:rPr>
            </w:pPr>
            <w:r w:rsidRPr="00C64ECB">
              <w:rPr>
                <w:rFonts w:hint="eastAsia"/>
                <w:b/>
                <w:lang w:val="en-US"/>
              </w:rPr>
              <w:t>Alt2</w:t>
            </w:r>
            <w:r w:rsidRPr="00C64ECB">
              <w:rPr>
                <w:lang w:val="en-US"/>
              </w:rPr>
              <w:t xml:space="preserve">: UE is configured/allowed to report HARQ feedback for PDSCH from earlier COT(s) without an explicit request/trigger </w:t>
            </w:r>
          </w:p>
        </w:tc>
        <w:tc>
          <w:tcPr>
            <w:tcW w:w="6140" w:type="dxa"/>
            <w:gridSpan w:val="2"/>
          </w:tcPr>
          <w:p w14:paraId="37352CE2" w14:textId="77777777" w:rsidR="001E069F" w:rsidRPr="00C64ECB" w:rsidRDefault="001E069F" w:rsidP="0050058B">
            <w:pPr>
              <w:pStyle w:val="TAL"/>
              <w:rPr>
                <w:bCs/>
                <w:lang w:val="en-US"/>
              </w:rPr>
            </w:pPr>
            <w:r w:rsidRPr="00C64ECB">
              <w:rPr>
                <w:bCs/>
                <w:lang w:val="en-US"/>
              </w:rPr>
              <w:t>UE autonomously reports UCI with additional information about HARQ processes - e.g. corresponding to PDSCH from earlier COT(s) - that are reported in PUSCH [or PUCCH] along with the HARQ-ACK feedback.</w:t>
            </w:r>
          </w:p>
        </w:tc>
      </w:tr>
      <w:tr w:rsidR="007C27CB" w:rsidRPr="00C64ECB" w14:paraId="7E0B0056" w14:textId="77777777" w:rsidTr="007C27CB">
        <w:trPr>
          <w:trHeight w:val="1400"/>
        </w:trPr>
        <w:tc>
          <w:tcPr>
            <w:tcW w:w="3069" w:type="dxa"/>
          </w:tcPr>
          <w:p w14:paraId="575E43EE" w14:textId="77777777" w:rsidR="001E069F" w:rsidRPr="00C64ECB" w:rsidRDefault="001E069F" w:rsidP="0050058B">
            <w:pPr>
              <w:pStyle w:val="TAL"/>
              <w:rPr>
                <w:bCs/>
                <w:lang w:val="en-US"/>
              </w:rPr>
            </w:pPr>
            <w:r w:rsidRPr="00C64ECB">
              <w:rPr>
                <w:rFonts w:hint="eastAsia"/>
                <w:b/>
                <w:lang w:val="en-US"/>
              </w:rPr>
              <w:t>Alt3</w:t>
            </w:r>
            <w:r w:rsidRPr="00C64ECB">
              <w:rPr>
                <w:lang w:val="en-US"/>
              </w:rPr>
              <w:t xml:space="preserve">: gNB requests feedback outside the COT by </w:t>
            </w:r>
            <w:r w:rsidRPr="00C64ECB">
              <w:rPr>
                <w:bCs/>
                <w:lang w:val="en-US"/>
              </w:rPr>
              <w:t>PDSCH-to-HARQ-timing-indicator in the DCI scheduling the PDSCH</w:t>
            </w:r>
          </w:p>
        </w:tc>
        <w:tc>
          <w:tcPr>
            <w:tcW w:w="3070" w:type="dxa"/>
          </w:tcPr>
          <w:p w14:paraId="5660E9AF" w14:textId="77777777" w:rsidR="001E069F" w:rsidRPr="00C64ECB" w:rsidRDefault="001E069F" w:rsidP="0050058B">
            <w:pPr>
              <w:pStyle w:val="TAL"/>
              <w:rPr>
                <w:lang w:val="en-US"/>
              </w:rPr>
            </w:pPr>
            <w:r w:rsidRPr="00C64ECB">
              <w:rPr>
                <w:bCs/>
                <w:lang w:val="en-US"/>
              </w:rPr>
              <w:t>The UE will attempt reporting at the indicated time and resource (e.g. in a UE-initiated channel occupancy), even if the PDSCH-to-HARQ-timing-indicator indicates a slot that falls outside the gNB-initiated COT.</w:t>
            </w:r>
          </w:p>
        </w:tc>
        <w:tc>
          <w:tcPr>
            <w:tcW w:w="3070" w:type="dxa"/>
          </w:tcPr>
          <w:p w14:paraId="5EF1D1D0" w14:textId="77777777" w:rsidR="001E069F" w:rsidRPr="00C64ECB" w:rsidRDefault="001E069F" w:rsidP="0050058B">
            <w:pPr>
              <w:pStyle w:val="TAL"/>
              <w:rPr>
                <w:lang w:val="en-US"/>
              </w:rPr>
            </w:pPr>
            <w:r w:rsidRPr="00C64ECB">
              <w:rPr>
                <w:lang w:val="en-US"/>
              </w:rPr>
              <w:t xml:space="preserve">Not a solution if </w:t>
            </w:r>
            <w:r w:rsidRPr="00C64ECB">
              <w:rPr>
                <w:bCs/>
                <w:lang w:val="en-US"/>
              </w:rPr>
              <w:t>PDSCH-to-HARQ-timing-indicator can only indicate a single value</w:t>
            </w:r>
          </w:p>
        </w:tc>
      </w:tr>
      <w:tr w:rsidR="007C27CB" w:rsidRPr="00C64ECB" w14:paraId="6808206B" w14:textId="77777777" w:rsidTr="007C27CB">
        <w:trPr>
          <w:trHeight w:val="662"/>
        </w:trPr>
        <w:tc>
          <w:tcPr>
            <w:tcW w:w="3069" w:type="dxa"/>
          </w:tcPr>
          <w:p w14:paraId="0718D30A" w14:textId="77777777" w:rsidR="001E069F" w:rsidRPr="00C64ECB" w:rsidRDefault="001E069F" w:rsidP="0050058B">
            <w:pPr>
              <w:pStyle w:val="TAL"/>
              <w:rPr>
                <w:lang w:val="en-US"/>
              </w:rPr>
            </w:pPr>
            <w:r w:rsidRPr="00C64ECB">
              <w:rPr>
                <w:b/>
                <w:lang w:val="en-US"/>
              </w:rPr>
              <w:t>A</w:t>
            </w:r>
            <w:r w:rsidRPr="00C64ECB">
              <w:rPr>
                <w:rFonts w:hint="eastAsia"/>
                <w:b/>
                <w:lang w:val="en-US"/>
              </w:rPr>
              <w:t>lt4</w:t>
            </w:r>
            <w:r w:rsidRPr="00C64ECB">
              <w:rPr>
                <w:lang w:val="en-US"/>
              </w:rPr>
              <w:t>: preconfigured/pre-indicated multiple opportunities in frequency domain in different LBT subbands</w:t>
            </w:r>
          </w:p>
        </w:tc>
        <w:tc>
          <w:tcPr>
            <w:tcW w:w="3070" w:type="dxa"/>
          </w:tcPr>
          <w:p w14:paraId="5E64DA68" w14:textId="77777777" w:rsidR="001E069F" w:rsidRPr="00C64ECB" w:rsidRDefault="001E069F" w:rsidP="0050058B">
            <w:pPr>
              <w:pStyle w:val="TAL"/>
              <w:rPr>
                <w:lang w:val="en-US"/>
              </w:rPr>
            </w:pPr>
            <w:r w:rsidRPr="00C64ECB">
              <w:rPr>
                <w:rFonts w:hint="eastAsia"/>
                <w:lang w:val="en-US"/>
              </w:rPr>
              <w:t>Possible</w:t>
            </w:r>
            <w:r w:rsidRPr="00C64ECB">
              <w:rPr>
                <w:lang w:val="en-US"/>
              </w:rPr>
              <w:t xml:space="preserve"> if this is combined with Alt1 or Alt2 or Alt3</w:t>
            </w:r>
          </w:p>
        </w:tc>
        <w:tc>
          <w:tcPr>
            <w:tcW w:w="3070" w:type="dxa"/>
          </w:tcPr>
          <w:p w14:paraId="5E1BB553" w14:textId="77777777" w:rsidR="001E069F" w:rsidRPr="00C64ECB" w:rsidRDefault="001E069F" w:rsidP="0050058B">
            <w:pPr>
              <w:pStyle w:val="TAL"/>
              <w:rPr>
                <w:lang w:val="en-US"/>
              </w:rPr>
            </w:pPr>
            <w:r w:rsidRPr="00C64ECB">
              <w:rPr>
                <w:lang w:val="en-US"/>
              </w:rPr>
              <w:t>Possible for indicating multiple candidate PUCCH or PUSCH carrying HARQ-ACK feedback</w:t>
            </w:r>
          </w:p>
        </w:tc>
      </w:tr>
      <w:tr w:rsidR="007C27CB" w:rsidRPr="00C64ECB" w14:paraId="7CAF2739" w14:textId="77777777" w:rsidTr="007C27CB">
        <w:tc>
          <w:tcPr>
            <w:tcW w:w="3069" w:type="dxa"/>
          </w:tcPr>
          <w:p w14:paraId="1AD09EF6" w14:textId="77777777" w:rsidR="001E069F" w:rsidRPr="00C64ECB" w:rsidRDefault="001E069F" w:rsidP="0050058B">
            <w:pPr>
              <w:pStyle w:val="TAL"/>
              <w:rPr>
                <w:lang w:val="en-US"/>
              </w:rPr>
            </w:pPr>
            <w:r w:rsidRPr="00C64ECB">
              <w:rPr>
                <w:rFonts w:hint="eastAsia"/>
                <w:b/>
                <w:lang w:val="en-US"/>
              </w:rPr>
              <w:t>Alt5</w:t>
            </w:r>
            <w:r w:rsidRPr="00C64ECB">
              <w:rPr>
                <w:lang w:val="en-US"/>
              </w:rPr>
              <w:t>: preconfigured/pre-indicated multiple opportunities in time domain</w:t>
            </w:r>
          </w:p>
        </w:tc>
        <w:tc>
          <w:tcPr>
            <w:tcW w:w="3070" w:type="dxa"/>
          </w:tcPr>
          <w:p w14:paraId="506F0108" w14:textId="77777777" w:rsidR="001E069F" w:rsidRPr="00C64ECB" w:rsidRDefault="001E069F" w:rsidP="0050058B">
            <w:pPr>
              <w:pStyle w:val="TAL"/>
              <w:rPr>
                <w:lang w:val="en-US"/>
              </w:rPr>
            </w:pPr>
            <w:r w:rsidRPr="00C64ECB">
              <w:rPr>
                <w:bCs/>
                <w:lang w:val="en-US"/>
              </w:rPr>
              <w:t xml:space="preserve">The UE will attempt reporting at the </w:t>
            </w:r>
            <w:r w:rsidRPr="00C64ECB">
              <w:rPr>
                <w:lang w:val="en-US"/>
              </w:rPr>
              <w:t>preconfigured/pre-indicated</w:t>
            </w:r>
            <w:r w:rsidRPr="00C64ECB">
              <w:rPr>
                <w:bCs/>
                <w:lang w:val="en-US"/>
              </w:rPr>
              <w:t xml:space="preserve"> times and resources (e.g. in a UE-initiated channel occupancy)</w:t>
            </w:r>
          </w:p>
        </w:tc>
        <w:tc>
          <w:tcPr>
            <w:tcW w:w="3070" w:type="dxa"/>
          </w:tcPr>
          <w:p w14:paraId="61C21599" w14:textId="458DD1E3" w:rsidR="001E069F" w:rsidRPr="00C64ECB" w:rsidRDefault="001E069F" w:rsidP="0050058B">
            <w:pPr>
              <w:pStyle w:val="TAL"/>
              <w:rPr>
                <w:lang w:val="en-US"/>
              </w:rPr>
            </w:pPr>
            <w:r w:rsidRPr="00C64ECB">
              <w:rPr>
                <w:lang w:val="en-US"/>
              </w:rPr>
              <w:t>Alt5a: Multiple candidate opportunities by providing multiple timings in PDSCH-to-HARQ-timing-indicator and/or other DCI fields</w:t>
            </w:r>
          </w:p>
          <w:p w14:paraId="6DC36965" w14:textId="77777777" w:rsidR="001E069F" w:rsidRPr="00C64ECB" w:rsidRDefault="001E069F" w:rsidP="0050058B">
            <w:pPr>
              <w:pStyle w:val="TAL"/>
              <w:rPr>
                <w:lang w:val="en-US"/>
              </w:rPr>
            </w:pPr>
            <w:r w:rsidRPr="00C64ECB">
              <w:rPr>
                <w:lang w:val="en-US"/>
              </w:rPr>
              <w:t>Alt5b: Multiple candidate slots in a window with size configured by RRC. There could be some activation/deactivation by DCI</w:t>
            </w:r>
          </w:p>
        </w:tc>
      </w:tr>
    </w:tbl>
    <w:p w14:paraId="63C43310" w14:textId="77777777" w:rsidR="001E069F" w:rsidRPr="00C64ECB" w:rsidRDefault="001E069F" w:rsidP="0050058B"/>
    <w:p w14:paraId="348430D2" w14:textId="3EE471A4" w:rsidR="007766CA" w:rsidRPr="00C64ECB" w:rsidRDefault="007766CA" w:rsidP="0050058B">
      <w:pPr>
        <w:rPr>
          <w:bCs/>
          <w:lang w:eastAsia="x-none"/>
        </w:rPr>
      </w:pPr>
      <w:r w:rsidRPr="00C64ECB">
        <w:rPr>
          <w:bCs/>
          <w:lang w:eastAsia="x-none"/>
        </w:rPr>
        <w:t xml:space="preserve">A possible enhancement for dynamic HARQ codebook is to support a larger DAI field to accommodate for possibly missing more than 4 PDSCH transmissions, which is more likely to occur on unlicensed spectrum. </w:t>
      </w:r>
      <w:r w:rsidRPr="00C64ECB">
        <w:rPr>
          <w:lang w:eastAsia="x-none"/>
        </w:rPr>
        <w:t>Enhancements are necessary for aligning the dynamic HARQ codebook between UE and gNB</w:t>
      </w:r>
      <w:r w:rsidRPr="00C64ECB">
        <w:rPr>
          <w:bCs/>
          <w:lang w:eastAsia="x-none"/>
        </w:rPr>
        <w:t>. Alt. 1</w:t>
      </w:r>
      <w:r w:rsidRPr="00C64ECB">
        <w:rPr>
          <w:lang w:eastAsia="x-none"/>
        </w:rPr>
        <w:t xml:space="preserve"> in Table 7.2.1.3.3-1 allows triggering/requesting a report for missed or unreported HARQ-ACK feedback in case of LBT failure for PUCCH/PUSCH transmission, or in case of PUCCH/PUSCH detection failure at gNB, or in case of PDCCH detection failure at UE, </w:t>
      </w:r>
      <w:bookmarkStart w:id="65" w:name="OLE_LINK7"/>
      <w:bookmarkStart w:id="66" w:name="OLE_LINK9"/>
      <w:r w:rsidRPr="00C64ECB">
        <w:rPr>
          <w:lang w:eastAsia="x-none"/>
        </w:rPr>
        <w:t>or in case of HARQ-ACK feedback pending from earlier COT(s)</w:t>
      </w:r>
      <w:bookmarkEnd w:id="65"/>
      <w:bookmarkEnd w:id="66"/>
      <w:r w:rsidRPr="00C64ECB">
        <w:rPr>
          <w:bCs/>
          <w:lang w:eastAsia="x-none"/>
        </w:rPr>
        <w:t xml:space="preserve">. </w:t>
      </w:r>
      <w:r w:rsidRPr="00C64ECB">
        <w:rPr>
          <w:lang w:eastAsia="x-none"/>
        </w:rPr>
        <w:t>Alt. 2 in the table allows reporting unreported HARQ-ACK feedback in case of LBT failure for PUCCH/PUSCH transmission, or in case of HARQ-ACK feedback pending from earlier COT(s).</w:t>
      </w:r>
    </w:p>
    <w:p w14:paraId="5CE865E3" w14:textId="77777777" w:rsidR="007766CA" w:rsidRPr="00C64ECB" w:rsidRDefault="007766CA" w:rsidP="0050058B">
      <w:pPr>
        <w:rPr>
          <w:bCs/>
          <w:lang w:eastAsia="x-none"/>
        </w:rPr>
      </w:pPr>
    </w:p>
    <w:p w14:paraId="3DA14743" w14:textId="07D293FE" w:rsidR="001E069F" w:rsidRPr="00C64ECB" w:rsidRDefault="001E069F" w:rsidP="0050058B">
      <w:pPr>
        <w:rPr>
          <w:lang w:eastAsia="x-none"/>
        </w:rPr>
      </w:pPr>
      <w:r w:rsidRPr="00C64ECB">
        <w:rPr>
          <w:lang w:eastAsia="x-none"/>
        </w:rPr>
        <w:t>Scheduling multiple TTIs for PUSCH each using a separate UL grant in the same PDCCH monitoring occasion is identified as beneficial. Scheduling multiple TTIs for PUSCH</w:t>
      </w:r>
      <w:r w:rsidR="003770AC" w:rsidRPr="00C64ECB">
        <w:rPr>
          <w:lang w:eastAsia="x-none"/>
        </w:rPr>
        <w:t>, i.e., scheduling multiple TBs with different HARQ process IDs over multiple slots,</w:t>
      </w:r>
      <w:r w:rsidRPr="00C64ECB">
        <w:rPr>
          <w:lang w:eastAsia="x-none"/>
        </w:rPr>
        <w:t xml:space="preserve"> using a single UL grant</w:t>
      </w:r>
      <w:r w:rsidR="00E30DF7" w:rsidRPr="00C64ECB">
        <w:rPr>
          <w:lang w:eastAsia="x-none"/>
        </w:rPr>
        <w:t xml:space="preserve">, </w:t>
      </w:r>
      <w:r w:rsidRPr="00C64ECB">
        <w:rPr>
          <w:lang w:eastAsia="x-none"/>
        </w:rPr>
        <w:t>is identified as beneficial and should be supported in NR-U.</w:t>
      </w:r>
    </w:p>
    <w:p w14:paraId="7706051F" w14:textId="77777777" w:rsidR="001E069F" w:rsidRPr="00C64ECB" w:rsidRDefault="001E069F" w:rsidP="0050058B">
      <w:pPr>
        <w:rPr>
          <w:b/>
          <w:u w:val="single"/>
          <w:lang w:val="en-US" w:eastAsia="x-none"/>
        </w:rPr>
      </w:pPr>
      <w:r w:rsidRPr="00C64ECB">
        <w:rPr>
          <w:lang w:val="en-US" w:eastAsia="x-none"/>
        </w:rPr>
        <w:t>In case of CBG-based HARQ and LBT category 4, enhancements for defining how to adjust the contention window size (CWS) based on TB-level HARQ-ACK and CBG-level HARQ-ACK would be beneficial.</w:t>
      </w:r>
    </w:p>
    <w:p w14:paraId="4ED82617" w14:textId="1720585C" w:rsidR="00E80E78" w:rsidRPr="00C64ECB" w:rsidRDefault="00E80E78" w:rsidP="00E80E78">
      <w:pPr>
        <w:pStyle w:val="Heading5"/>
      </w:pPr>
      <w:bookmarkStart w:id="67" w:name="_Toc531343016"/>
      <w:r w:rsidRPr="00C64ECB">
        <w:t>7.2.1.3.4</w:t>
      </w:r>
      <w:r w:rsidRPr="00C64ECB">
        <w:tab/>
        <w:t>Potential enhancements to configured grant</w:t>
      </w:r>
      <w:bookmarkEnd w:id="67"/>
    </w:p>
    <w:p w14:paraId="5D31867E" w14:textId="77777777" w:rsidR="00EC7E4A" w:rsidRPr="00C64ECB" w:rsidRDefault="00EC7E4A" w:rsidP="00EC7E4A">
      <w:pPr>
        <w:rPr>
          <w:lang w:eastAsia="x-none"/>
        </w:rPr>
      </w:pPr>
      <w:r w:rsidRPr="00C64ECB">
        <w:rPr>
          <w:lang w:eastAsia="x-none"/>
        </w:rPr>
        <w:t>NR already defined Type-1 and Type-2 configured grant mechanism. For NR-U, there is no necessity to exclude Type-1 or Type-2 configured grant mechanism for operation of NR in unlicensed spectrum.</w:t>
      </w:r>
    </w:p>
    <w:p w14:paraId="2616277D" w14:textId="77777777" w:rsidR="00C12D1A" w:rsidRPr="00C64ECB" w:rsidRDefault="00605F37" w:rsidP="00FC66AC">
      <w:r w:rsidRPr="00C64ECB">
        <w:t>The following modifications to the configured grant procedures are beneficial</w:t>
      </w:r>
      <w:r w:rsidR="00C12D1A" w:rsidRPr="00C64ECB">
        <w:t xml:space="preserve">. </w:t>
      </w:r>
    </w:p>
    <w:p w14:paraId="5A4608BE" w14:textId="301F7001" w:rsidR="00C12D1A" w:rsidRPr="00C64ECB" w:rsidRDefault="00FC66AC" w:rsidP="00FC66AC">
      <w:pPr>
        <w:pStyle w:val="B1"/>
      </w:pPr>
      <w:r w:rsidRPr="00C64ECB">
        <w:lastRenderedPageBreak/>
        <w:t>-</w:t>
      </w:r>
      <w:r w:rsidRPr="00C64ECB">
        <w:tab/>
      </w:r>
      <w:r w:rsidR="00605F37" w:rsidRPr="00C64ECB">
        <w:t>Removing dependencies of HARQ process information to the timing</w:t>
      </w:r>
      <w:r w:rsidR="00C12D1A" w:rsidRPr="00C64ECB">
        <w:t>. This can be achieved by i</w:t>
      </w:r>
      <w:r w:rsidR="00605F37" w:rsidRPr="00C64ECB">
        <w:t>ntroducing UCI on PUSCH to carry HARQ process ID, NDI, RVID</w:t>
      </w:r>
    </w:p>
    <w:p w14:paraId="4118AC88" w14:textId="0AFA5BE0" w:rsidR="00522D85" w:rsidRPr="00C64ECB" w:rsidRDefault="0050058B" w:rsidP="0050058B">
      <w:pPr>
        <w:pStyle w:val="B2"/>
      </w:pPr>
      <w:r>
        <w:t>-</w:t>
      </w:r>
      <w:r>
        <w:tab/>
      </w:r>
      <w:r w:rsidR="00522D85" w:rsidRPr="00C64ECB">
        <w:t>Additional information fields can be considered to be included in the UCI, e.g. UE-ID, COT sharing information, PUSCH duration, etc.</w:t>
      </w:r>
    </w:p>
    <w:p w14:paraId="0C2B9CD4" w14:textId="2FF8D9B2" w:rsidR="001A4FB5" w:rsidRPr="00C64ECB" w:rsidRDefault="0050058B" w:rsidP="0050058B">
      <w:pPr>
        <w:pStyle w:val="B2"/>
      </w:pPr>
      <w:r>
        <w:t>-</w:t>
      </w:r>
      <w:r>
        <w:tab/>
      </w:r>
      <w:r w:rsidR="001A4FB5" w:rsidRPr="00C64ECB">
        <w:t xml:space="preserve">It was identified that the resources utilized by the UCI, and multiplexing of UCI and data information of PUSCH require consideration of DMRS placement and starting and ending symbols of the configured grant based transmissions. Details on multiplexing UCI and data information of configured grant PUSCH can be determined when </w:t>
      </w:r>
      <w:r w:rsidR="000468F4" w:rsidRPr="00C64ECB">
        <w:t>specification</w:t>
      </w:r>
      <w:r w:rsidR="001A4FB5" w:rsidRPr="00C64ECB">
        <w:t>s are developed.</w:t>
      </w:r>
    </w:p>
    <w:p w14:paraId="61B9F5B8" w14:textId="42A740D3" w:rsidR="00C12D1A" w:rsidRPr="00C64ECB" w:rsidRDefault="00FC66AC" w:rsidP="00FC66AC">
      <w:pPr>
        <w:pStyle w:val="B1"/>
      </w:pPr>
      <w:r w:rsidRPr="00C64ECB">
        <w:t>-</w:t>
      </w:r>
      <w:r w:rsidRPr="00C64ECB">
        <w:tab/>
      </w:r>
      <w:r w:rsidR="00605F37" w:rsidRPr="00C64ECB">
        <w:t>Introducing Downlink Feedback Information (DFI) including HARQ feedback for configured grant transmission</w:t>
      </w:r>
    </w:p>
    <w:p w14:paraId="26B09B23" w14:textId="4D66D713" w:rsidR="00C12D1A" w:rsidRPr="00C64ECB" w:rsidRDefault="00FC66AC" w:rsidP="00FC66AC">
      <w:pPr>
        <w:pStyle w:val="B1"/>
      </w:pPr>
      <w:r w:rsidRPr="00C64ECB">
        <w:t>-</w:t>
      </w:r>
      <w:r w:rsidRPr="00C64ECB">
        <w:tab/>
      </w:r>
      <w:r w:rsidR="00605F37" w:rsidRPr="00C64ECB">
        <w:t>Increased flexibility on time domain resource allocation for the configured grant transmissions</w:t>
      </w:r>
    </w:p>
    <w:p w14:paraId="4EEA91D2" w14:textId="6D89863F" w:rsidR="00605F37" w:rsidRPr="00C64ECB" w:rsidRDefault="00E30DF7" w:rsidP="00FC66AC">
      <w:pPr>
        <w:pStyle w:val="B1"/>
      </w:pPr>
      <w:r w:rsidRPr="00C64ECB">
        <w:t>-</w:t>
      </w:r>
      <w:r w:rsidRPr="00C64ECB">
        <w:tab/>
        <w:t>As for potential solutions to providing flexibility on time domain resource allocation, bitmap based approach and NR Rel-15 based time domain resource allocation approach, which includes {periodicity, offset in the frame, start symbol and length of PUSCH and K-repetition signaling}, are identified as potential candidates. Additional aspects such as finer granularity of resource allocation, and multiple resources within a period may be considered for enhancing flexibility on time domain resource allocation.</w:t>
      </w:r>
      <w:r w:rsidR="00FC66AC" w:rsidRPr="00C64ECB">
        <w:t>-</w:t>
      </w:r>
      <w:r w:rsidR="00FC66AC" w:rsidRPr="00C64ECB">
        <w:tab/>
      </w:r>
      <w:r w:rsidR="00605F37" w:rsidRPr="00C64ECB">
        <w:t>Supporting retransmissions without explicit UL grant</w:t>
      </w:r>
    </w:p>
    <w:p w14:paraId="3361AB55" w14:textId="77777777" w:rsidR="00EC7E4A" w:rsidRPr="00C64ECB" w:rsidRDefault="00EC7E4A" w:rsidP="00EC7E4A">
      <w:pPr>
        <w:rPr>
          <w:rFonts w:eastAsia="MS Mincho"/>
          <w:iCs/>
          <w:lang w:eastAsia="ja-JP"/>
        </w:rPr>
      </w:pPr>
      <w:r w:rsidRPr="00C64ECB">
        <w:rPr>
          <w:rFonts w:eastAsia="MS Mincho"/>
          <w:iCs/>
          <w:lang w:eastAsia="ja-JP"/>
        </w:rPr>
        <w:t>Allowing consecutive configured grant resources in time without any gaps in between the resources and non-consecutive configured grant resources (not necessarily periodic) with gaps in between the resources is beneficial and should be considered for NR in unlicensed spectrum</w:t>
      </w:r>
    </w:p>
    <w:p w14:paraId="44F6BB43" w14:textId="77777777" w:rsidR="00EC7E4A" w:rsidRPr="00C64ECB" w:rsidRDefault="00EC7E4A" w:rsidP="00EC7E4A">
      <w:pPr>
        <w:rPr>
          <w:lang w:eastAsia="x-none"/>
        </w:rPr>
      </w:pPr>
      <w:r w:rsidRPr="00C64ECB">
        <w:rPr>
          <w:lang w:eastAsia="x-none"/>
        </w:rPr>
        <w:t>UE selects the HARQ process ID from an RRC configured set of HARQ IDs for NR-unlicensed configured grant transmission.</w:t>
      </w:r>
    </w:p>
    <w:p w14:paraId="487ADBF2" w14:textId="4EBA36A3" w:rsidR="00EC7E4A" w:rsidRPr="00C64ECB" w:rsidRDefault="00EC7E4A" w:rsidP="00EC7E4A">
      <w:pPr>
        <w:rPr>
          <w:lang w:eastAsia="x-none"/>
        </w:rPr>
      </w:pPr>
      <w:r w:rsidRPr="00C64ECB">
        <w:rPr>
          <w:lang w:eastAsia="x-none"/>
        </w:rPr>
        <w:t xml:space="preserve">It is identified to be beneficial to support DFI to include pending HARQ ACK feedback for prior configured grant transmissions from the same UE. </w:t>
      </w:r>
    </w:p>
    <w:p w14:paraId="58CEE727" w14:textId="3BC34CD6" w:rsidR="00522D85" w:rsidRPr="00C64ECB" w:rsidRDefault="00522D85" w:rsidP="00EC7E4A">
      <w:pPr>
        <w:rPr>
          <w:lang w:eastAsia="x-none"/>
        </w:rPr>
      </w:pPr>
      <w:r w:rsidRPr="00C64ECB">
        <w:t>It was identified that it is problematic for the UE to assume ACK in absence of reception of feedback, which may include explicit feedback or feedback in the form of uplink grants. It was additionally identified that assuming NACK upon timer expiration can be a candidate solution to avoid LBT impact on reception of feedback. It was also identified that possible conflicts, with respect to NDI and RNTI for the same HARQ process, between configured grant transmission and scheduled grant transmission may have to be addressed. Details can be determined when specification</w:t>
      </w:r>
      <w:r w:rsidR="003770AC" w:rsidRPr="00C64ECB">
        <w:t>s</w:t>
      </w:r>
      <w:r w:rsidRPr="00C64ECB">
        <w:t xml:space="preserve"> are developed.</w:t>
      </w:r>
    </w:p>
    <w:p w14:paraId="2C54AE41" w14:textId="77777777" w:rsidR="00EC7E4A" w:rsidRPr="00C64ECB" w:rsidRDefault="00EC7E4A" w:rsidP="00EC7E4A">
      <w:r w:rsidRPr="00C64ECB">
        <w:t>For the retransmission of a HARQ process that was initially transmitted via configured grant resource, both retransmission via same configured grant resource and retransmission via resource scheduled by UL grant are supported.</w:t>
      </w:r>
    </w:p>
    <w:p w14:paraId="47ADB733" w14:textId="77777777" w:rsidR="00EC7E4A" w:rsidRPr="00C64ECB" w:rsidRDefault="00EC7E4A" w:rsidP="00EC7E4A">
      <w:pPr>
        <w:rPr>
          <w:lang w:eastAsia="x-none"/>
        </w:rPr>
      </w:pPr>
      <w:r w:rsidRPr="00C64ECB">
        <w:rPr>
          <w:lang w:eastAsia="x-none"/>
        </w:rPr>
        <w:t>UE may autonomously initiate retransmission for a HARQ process that was initially transmitted via configured grant mechanism for NR-unlicensed when it receives NACK feedback via DFI for the corresponding HARQ process.</w:t>
      </w:r>
    </w:p>
    <w:p w14:paraId="6E59F338" w14:textId="77777777" w:rsidR="00EC7E4A" w:rsidRPr="00C64ECB" w:rsidRDefault="00EC7E4A" w:rsidP="00EC7E4A">
      <w:pPr>
        <w:rPr>
          <w:lang w:eastAsia="x-none"/>
        </w:rPr>
      </w:pPr>
      <w:r w:rsidRPr="00C64ECB">
        <w:rPr>
          <w:lang w:eastAsia="x-none"/>
        </w:rPr>
        <w:t xml:space="preserve">It is identified to be beneficial to consider UE multiplexing and collision avoidance mechanisms between configured grant transmissions and between configured grant and scheduled grant transmissions. </w:t>
      </w:r>
    </w:p>
    <w:p w14:paraId="0BD4A76E" w14:textId="77777777" w:rsidR="00EC7E4A" w:rsidRPr="00C64ECB" w:rsidRDefault="00EC7E4A" w:rsidP="00EC7E4A">
      <w:pPr>
        <w:rPr>
          <w:lang w:eastAsia="x-none"/>
        </w:rPr>
      </w:pPr>
      <w:r w:rsidRPr="00C64ECB">
        <w:rPr>
          <w:lang w:eastAsia="x-none"/>
        </w:rPr>
        <w:t xml:space="preserve">NR-unlicensed configured grant transmission is not allowed during the time when it overlaps with occasions configured for potential NR-U DRS of the serving cell irrespective of the configured time domain resource for configured grant transmission.  </w:t>
      </w:r>
    </w:p>
    <w:p w14:paraId="15EAB17A" w14:textId="79BA2A27" w:rsidR="00E30DF7" w:rsidRPr="00C64ECB" w:rsidRDefault="00E30DF7" w:rsidP="00E30DF7">
      <w:pPr>
        <w:rPr>
          <w:lang w:eastAsia="x-none"/>
        </w:rPr>
      </w:pPr>
      <w:r w:rsidRPr="00C64ECB">
        <w:rPr>
          <w:lang w:eastAsia="x-none"/>
        </w:rPr>
        <w:t xml:space="preserve">It was identified that CBG based retransmissions for configured grant based transmissions is beneficial. Details on which CBG related control information is transmitted as part of DFI and UCI, and how such control information is conveyed through DFI and UCI can be determined when </w:t>
      </w:r>
      <w:r w:rsidR="000468F4" w:rsidRPr="00C64ECB">
        <w:rPr>
          <w:lang w:eastAsia="x-none"/>
        </w:rPr>
        <w:t>specification</w:t>
      </w:r>
      <w:r w:rsidRPr="00C64ECB">
        <w:rPr>
          <w:lang w:eastAsia="x-none"/>
        </w:rPr>
        <w:t>s are developed.</w:t>
      </w:r>
    </w:p>
    <w:p w14:paraId="327D5B09" w14:textId="1633ED9B" w:rsidR="00E30DF7" w:rsidRPr="00C64ECB" w:rsidRDefault="00E30DF7" w:rsidP="00E30DF7">
      <w:pPr>
        <w:rPr>
          <w:lang w:eastAsia="x-none"/>
        </w:rPr>
      </w:pPr>
      <w:r w:rsidRPr="00C64ECB">
        <w:rPr>
          <w:lang w:eastAsia="x-none"/>
        </w:rPr>
        <w:t xml:space="preserve">It was identified that collision avoidance between configured grant and scheduled grant based transmission can be achieved by management of starting point of the transmission for configured grant and scheduled grant based transmission. Further details on the management of the starting point of the transmission can be determined when </w:t>
      </w:r>
      <w:r w:rsidR="000468F4" w:rsidRPr="00C64ECB">
        <w:rPr>
          <w:lang w:eastAsia="x-none"/>
        </w:rPr>
        <w:t>specification</w:t>
      </w:r>
      <w:r w:rsidRPr="00C64ECB">
        <w:rPr>
          <w:lang w:eastAsia="x-none"/>
        </w:rPr>
        <w:t>s are developed.</w:t>
      </w:r>
    </w:p>
    <w:p w14:paraId="6CA3C379" w14:textId="27CA9975" w:rsidR="00EC7E4A" w:rsidRPr="00C64ECB" w:rsidRDefault="00522D85" w:rsidP="00522D85">
      <w:pPr>
        <w:pStyle w:val="B1"/>
        <w:ind w:left="0" w:firstLine="0"/>
      </w:pPr>
      <w:r w:rsidRPr="00C64ECB">
        <w:t xml:space="preserve">It was identified that sharing resources with gNB within COT(s) that is acquired by UE(s) as part of configured grant based transmissions should be supported. It was also identified that allowing configured grant based transmissions within a gNB acquired COT should be supported. Details of identification of situations when COT(s) sharing is possible </w:t>
      </w:r>
      <w:r w:rsidRPr="00C64ECB">
        <w:lastRenderedPageBreak/>
        <w:t>and the details of potential resource sharing mechanisms and rules can be determined when specifications are developed.</w:t>
      </w:r>
    </w:p>
    <w:p w14:paraId="0B82BE1F" w14:textId="3F92B498" w:rsidR="00DF1FFA" w:rsidRPr="00C64ECB" w:rsidRDefault="00273AEE" w:rsidP="00792D0D">
      <w:pPr>
        <w:pStyle w:val="Heading3"/>
      </w:pPr>
      <w:bookmarkStart w:id="68" w:name="_Toc531343017"/>
      <w:bookmarkStart w:id="69" w:name="OLE_LINK1"/>
      <w:bookmarkStart w:id="70" w:name="OLE_LINK2"/>
      <w:r w:rsidRPr="00C64ECB">
        <w:t>7.2.2</w:t>
      </w:r>
      <w:r w:rsidRPr="00C64ECB">
        <w:tab/>
      </w:r>
      <w:r w:rsidR="00DF1FFA" w:rsidRPr="00C64ECB">
        <w:t>Higher layer aspects</w:t>
      </w:r>
      <w:bookmarkEnd w:id="68"/>
    </w:p>
    <w:p w14:paraId="479EE1AB" w14:textId="5C9A4030" w:rsidR="00EC7E4A" w:rsidRPr="00C64ECB" w:rsidRDefault="00EC7E4A" w:rsidP="00EC7E4A">
      <w:pPr>
        <w:pStyle w:val="Heading4"/>
      </w:pPr>
      <w:bookmarkStart w:id="71" w:name="_Toc531343018"/>
      <w:r w:rsidRPr="00C64ECB">
        <w:t>7.2.2.1</w:t>
      </w:r>
      <w:r w:rsidRPr="00C64ECB">
        <w:tab/>
        <w:t>Inactive and Idle procedures (38.304 related)</w:t>
      </w:r>
      <w:bookmarkEnd w:id="71"/>
    </w:p>
    <w:p w14:paraId="2148F2F4" w14:textId="7CA3BD91" w:rsidR="0096499E" w:rsidRPr="00C64ECB" w:rsidRDefault="0096499E" w:rsidP="0096499E">
      <w:pPr>
        <w:rPr>
          <w:lang w:eastAsia="x-none"/>
        </w:rPr>
      </w:pPr>
      <w:r w:rsidRPr="00C64ECB">
        <w:rPr>
          <w:lang w:eastAsia="x-none"/>
        </w:rPr>
        <w:t>For Inactive and Idle mode procedures, Rel-15 NR design is consid</w:t>
      </w:r>
      <w:r w:rsidR="003F11F6" w:rsidRPr="00C64ECB">
        <w:rPr>
          <w:lang w:eastAsia="x-none"/>
        </w:rPr>
        <w:t xml:space="preserve">ered as the baseline. As such, </w:t>
      </w:r>
      <w:r w:rsidRPr="00C64ECB">
        <w:t>NR licensed measurement framework (cell and beam quality derivation for RSRP, RSRQ, and SINR, filtering and combining multiple beams) is also used as the baseline.</w:t>
      </w:r>
    </w:p>
    <w:p w14:paraId="069D4BF1" w14:textId="77777777" w:rsidR="0096499E" w:rsidRPr="00C64ECB" w:rsidRDefault="0096499E" w:rsidP="0096499E">
      <w:pPr>
        <w:rPr>
          <w:lang w:val="en-US"/>
        </w:rPr>
      </w:pPr>
      <w:r w:rsidRPr="00C64ECB">
        <w:rPr>
          <w:lang w:eastAsia="x-none"/>
        </w:rPr>
        <w:t xml:space="preserve">The UE measurements in Idle/Inactive mode will assume </w:t>
      </w:r>
      <w:r w:rsidRPr="00C64ECB">
        <w:t>recurring transmissions of SSB/PBCH and RMSI but possibly with reduced opportunities due to LBT. T</w:t>
      </w:r>
      <w:r w:rsidRPr="00C64ECB">
        <w:rPr>
          <w:lang w:val="en-US"/>
        </w:rPr>
        <w:t>he impact of LBT on Idle/Inactive measurement is not captured in RAN2 specifications.</w:t>
      </w:r>
    </w:p>
    <w:p w14:paraId="5B771319" w14:textId="77777777" w:rsidR="0096499E" w:rsidRPr="00C64ECB" w:rsidRDefault="0096499E" w:rsidP="0096499E">
      <w:pPr>
        <w:rPr>
          <w:lang w:val="en-US"/>
        </w:rPr>
      </w:pPr>
      <w:r w:rsidRPr="00C64ECB">
        <w:rPr>
          <w:lang w:val="en-US"/>
        </w:rPr>
        <w:t>In unlicensed bands, multiple PLMNs can use the same carriers without any coordination. Therefore, the best cell found by a UE on a frequency may not belong the registered PLMN. In this case, the UE should be enabled to camp on a non-best cell on a carrier if the best cell does not belong to the registered PLMN (or E-PLMN), where the non-best cell would still be the best cell of the registered PLMN.</w:t>
      </w:r>
    </w:p>
    <w:p w14:paraId="249D51F2" w14:textId="45A4180B" w:rsidR="0096499E" w:rsidRPr="00C64ECB" w:rsidRDefault="0096499E" w:rsidP="0096499E">
      <w:pPr>
        <w:rPr>
          <w:lang w:val="en-US" w:eastAsia="x-none"/>
        </w:rPr>
      </w:pPr>
      <w:r w:rsidRPr="00C64ECB">
        <w:rPr>
          <w:lang w:val="en-US"/>
        </w:rPr>
        <w:t xml:space="preserve">For paging, it may be beneficial to introduce more opportunities per DRX cycle for the UE to receive the page. The additional locations can be provided in time domain </w:t>
      </w:r>
      <w:r w:rsidR="003D6553" w:rsidRPr="00C64ECB">
        <w:rPr>
          <w:lang w:val="en-US"/>
        </w:rPr>
        <w:t xml:space="preserve">by configuring an extended paging occasion (i.e. a paging window) or configuring multiple paging occasions to a UE. In any specified solution(s) based on additional paging opportunities, the </w:t>
      </w:r>
      <w:r w:rsidR="003D6553" w:rsidRPr="00C64ECB">
        <w:t>UE power consumption should also be taken into account; to this end, it is beneficial that the paging occasions are transmitted in close time to or overlap with the reference signals.</w:t>
      </w:r>
    </w:p>
    <w:p w14:paraId="35443D8E" w14:textId="77777777" w:rsidR="00EC7E4A" w:rsidRPr="00C64ECB" w:rsidRDefault="00EC7E4A" w:rsidP="00EC7E4A">
      <w:pPr>
        <w:pStyle w:val="Heading4"/>
      </w:pPr>
      <w:bookmarkStart w:id="72" w:name="_Toc531343019"/>
      <w:r w:rsidRPr="00C64ECB">
        <w:t>7.2.2.2</w:t>
      </w:r>
      <w:r w:rsidRPr="00C64ECB">
        <w:tab/>
        <w:t>L2 impacts</w:t>
      </w:r>
      <w:bookmarkEnd w:id="72"/>
    </w:p>
    <w:p w14:paraId="15FA41A9" w14:textId="75DF2B33" w:rsidR="00EC7E4A" w:rsidRPr="00C64ECB" w:rsidRDefault="00EC7E4A" w:rsidP="00EC7E4A">
      <w:pPr>
        <w:pStyle w:val="Heading5"/>
      </w:pPr>
      <w:bookmarkStart w:id="73" w:name="_Toc531343020"/>
      <w:r w:rsidRPr="00C64ECB">
        <w:t>7.2.2.2.1</w:t>
      </w:r>
      <w:r w:rsidRPr="00C64ECB">
        <w:tab/>
        <w:t>RACH (4-step, 2-step)</w:t>
      </w:r>
      <w:bookmarkEnd w:id="73"/>
    </w:p>
    <w:p w14:paraId="3F480804" w14:textId="462118A0" w:rsidR="00261CED" w:rsidRPr="00C64ECB" w:rsidRDefault="00261CED" w:rsidP="0050058B">
      <w:r w:rsidRPr="00C64ECB">
        <w:t xml:space="preserve">Both 4-step and 2-step RACH will be supported for NR-U. Here 2-step RACH refers to the procedure which can complete </w:t>
      </w:r>
      <w:r w:rsidR="003D6553" w:rsidRPr="00C64ECB">
        <w:t>contention-based RACH (</w:t>
      </w:r>
      <w:r w:rsidRPr="00C64ECB">
        <w:t>CBRA</w:t>
      </w:r>
      <w:r w:rsidR="003D6553" w:rsidRPr="00C64ECB">
        <w:t>)</w:t>
      </w:r>
      <w:r w:rsidRPr="00C64ECB">
        <w:t xml:space="preserve"> in two steps</w:t>
      </w:r>
      <w:r w:rsidR="003D6553" w:rsidRPr="00C64ECB">
        <w:t xml:space="preserve"> as explained below</w:t>
      </w:r>
      <w:r w:rsidRPr="00C64ECB">
        <w:t xml:space="preserve">. One additional benefit of 2-step RACH is due to less LBT impact with the reduced number of messages. However, in order to alleviate the impact of LBT failures further, additional opportunities for the RACH messages may be introduced, e.g. in time or frequency domain, for both 4-step and 2-step RACH. </w:t>
      </w:r>
      <w:r w:rsidR="003D6553" w:rsidRPr="00C64ECB">
        <w:t xml:space="preserve"> The additional opportunities for 4-step RACH will be applicable to both msg1 and msg3.</w:t>
      </w:r>
    </w:p>
    <w:p w14:paraId="313EB1D4" w14:textId="1A10D99F" w:rsidR="003D6553" w:rsidRPr="00C64ECB" w:rsidRDefault="003D6553" w:rsidP="0050058B">
      <w:pPr>
        <w:rPr>
          <w:lang w:eastAsia="x-none"/>
        </w:rPr>
      </w:pPr>
      <w:r w:rsidRPr="00C64ECB">
        <w:rPr>
          <w:lang w:eastAsia="x-none"/>
        </w:rPr>
        <w:t>NR-U will support contention-free RACH (CFRA) and CBRA for both 2-step and 4-step RACH. On SCells, CFRA is supported as a baseline while both CBRA and CFRA are supported on SpCells.</w:t>
      </w:r>
    </w:p>
    <w:p w14:paraId="496868C7" w14:textId="77777777" w:rsidR="00261CED" w:rsidRPr="00C64ECB" w:rsidRDefault="00261CED" w:rsidP="0050058B">
      <w:pPr>
        <w:rPr>
          <w:lang w:eastAsia="x-none"/>
        </w:rPr>
      </w:pPr>
      <w:r w:rsidRPr="00C64ECB">
        <w:rPr>
          <w:lang w:eastAsia="x-none"/>
        </w:rPr>
        <w:t>For 4-step RACH, the messages in time order are named as msg1, msg2, msg3, msg4 and for 2-step RACH, they are named msgA and msgB.</w:t>
      </w:r>
    </w:p>
    <w:p w14:paraId="21A20E15" w14:textId="56C346F4" w:rsidR="00261CED" w:rsidRPr="00C64ECB" w:rsidRDefault="00261CED" w:rsidP="0050058B">
      <w:pPr>
        <w:rPr>
          <w:lang w:eastAsia="x-none"/>
        </w:rPr>
      </w:pPr>
      <w:r w:rsidRPr="00C64ECB">
        <w:rPr>
          <w:lang w:eastAsia="x-none"/>
        </w:rPr>
        <w:t>A single RACH procedure i</w:t>
      </w:r>
      <w:r w:rsidR="003D6553" w:rsidRPr="00C64ECB">
        <w:rPr>
          <w:lang w:eastAsia="x-none"/>
        </w:rPr>
        <w:t xml:space="preserve"> will be used and thus multiple RACH procedures in parallel will not be supported for NR-U.</w:t>
      </w:r>
      <w:r w:rsidRPr="00C64ECB">
        <w:rPr>
          <w:lang w:eastAsia="x-none"/>
        </w:rPr>
        <w:t>As a baseline, the random-access response to msg1 will be on SpCell and msg3 is assumed to use a predetermined HARQ ID.</w:t>
      </w:r>
    </w:p>
    <w:p w14:paraId="61030090" w14:textId="1AFF2E48" w:rsidR="00261CED" w:rsidRPr="00C64ECB" w:rsidRDefault="00261CED" w:rsidP="0050058B">
      <w:pPr>
        <w:rPr>
          <w:lang w:val="en-US" w:eastAsia="zh-CN"/>
        </w:rPr>
      </w:pPr>
      <w:r w:rsidRPr="00C64ECB">
        <w:rPr>
          <w:lang w:eastAsia="x-none"/>
        </w:rPr>
        <w:t>In legacy RACH, the counters for preamble transmission and power ramping are increased with every attempt. In NR-U, power ramping is not applied when preamble is not transmitted due to LBT failure. This will require an indication from the physical layer to the MAC.</w:t>
      </w:r>
      <w:r w:rsidR="003D6553" w:rsidRPr="00C64ECB">
        <w:rPr>
          <w:lang w:eastAsia="x-none"/>
        </w:rPr>
        <w:t xml:space="preserve"> In addition, </w:t>
      </w:r>
      <w:r w:rsidR="003D6553" w:rsidRPr="00C64ECB">
        <w:rPr>
          <w:lang w:eastAsia="ko-KR"/>
        </w:rPr>
        <w:t>ra-ResponseWindow</w:t>
      </w:r>
      <w:r w:rsidR="003D6553" w:rsidRPr="00C64ECB">
        <w:rPr>
          <w:lang w:val="en-US" w:eastAsia="zh-CN"/>
        </w:rPr>
        <w:t xml:space="preserve"> is not started when the preamble is not transmitted due to LBT failure.</w:t>
      </w:r>
    </w:p>
    <w:p w14:paraId="1E7FA961" w14:textId="77777777" w:rsidR="003D6553" w:rsidRPr="00C64ECB" w:rsidRDefault="003D6553" w:rsidP="0050058B">
      <w:pPr>
        <w:rPr>
          <w:lang w:val="en-US" w:eastAsia="zh-CN"/>
        </w:rPr>
      </w:pPr>
      <w:r w:rsidRPr="00C64ECB">
        <w:rPr>
          <w:lang w:val="en-US" w:eastAsia="zh-CN"/>
        </w:rPr>
        <w:t>It is assumed that ra-ContentionResolutionTimer may need to be extended with larger values to overcome the LBT impact.</w:t>
      </w:r>
    </w:p>
    <w:p w14:paraId="2291A59D" w14:textId="77777777" w:rsidR="003D6553" w:rsidRPr="00C64ECB" w:rsidRDefault="003D6553" w:rsidP="0050058B">
      <w:r w:rsidRPr="00C64ECB">
        <w:t xml:space="preserve">For 2-step RACH, the msgA is a signal to detect the UE and a payload while the second message is for contention resolution for CBRA with a possible payload. msgA will at least include the equivalent information which is transmitted in msg3 for 4-step RACH. </w:t>
      </w:r>
    </w:p>
    <w:p w14:paraId="488B346D" w14:textId="77777777" w:rsidR="003D6553" w:rsidRPr="00C64ECB" w:rsidRDefault="003D6553" w:rsidP="0050058B">
      <w:pPr>
        <w:pStyle w:val="NO"/>
      </w:pPr>
      <w:r w:rsidRPr="00C64ECB">
        <w:t>NOTE: Further input from RAN1 will be needed for the payload size of msgA.</w:t>
      </w:r>
    </w:p>
    <w:p w14:paraId="1F6722E0" w14:textId="77777777" w:rsidR="003D6553" w:rsidRPr="00C64ECB" w:rsidRDefault="003D6553" w:rsidP="0050058B">
      <w:r w:rsidRPr="00C64ECB">
        <w:t xml:space="preserve">As a baseline, all the triggers for 4-step RACH are also applicable to 2-step RACH; however further analysis is needed on SI request and BFR as well as how timing advance and grants can be obtained for msgA. </w:t>
      </w:r>
    </w:p>
    <w:p w14:paraId="52B1A6B8" w14:textId="77777777" w:rsidR="003D6553" w:rsidRPr="00C64ECB" w:rsidRDefault="003D6553" w:rsidP="0050058B">
      <w:r w:rsidRPr="00C64ECB">
        <w:lastRenderedPageBreak/>
        <w:t>The contention resolution in 2-step RACH will be performed by including a UE identifier in the first message which is echoed in the second message. The type of UE identifier(s) is FFS.</w:t>
      </w:r>
    </w:p>
    <w:p w14:paraId="0455B54B" w14:textId="1C85D197" w:rsidR="003D6553" w:rsidRPr="00C64ECB" w:rsidRDefault="003D6553" w:rsidP="0050058B">
      <w:r w:rsidRPr="00C64ECB">
        <w:t xml:space="preserve">Fall-back from 2-step RACH to 4-step RACH will be supported. The fallback after msgA transmission is feasible only if detection of the UE without the decoding of the payload is possible and thus relies on such support at the physical layer. </w:t>
      </w:r>
    </w:p>
    <w:p w14:paraId="6718A68E" w14:textId="77777777" w:rsidR="003D6553" w:rsidRPr="00C64ECB" w:rsidRDefault="003D6553" w:rsidP="0050058B">
      <w:pPr>
        <w:rPr>
          <w:lang w:val="en-US"/>
        </w:rPr>
      </w:pPr>
      <w:r w:rsidRPr="00C64ECB">
        <w:rPr>
          <w:lang w:val="en-US"/>
        </w:rPr>
        <w:t>If 2-step RACH is used for initial access, the parameters for 2-step RACH procedure including resources for msgA will be broadcasted.</w:t>
      </w:r>
    </w:p>
    <w:p w14:paraId="4A9F5294" w14:textId="46D68D69" w:rsidR="003D6553" w:rsidRPr="0050058B" w:rsidRDefault="003D6553" w:rsidP="0050058B">
      <w:pPr>
        <w:pStyle w:val="NO"/>
        <w:rPr>
          <w:lang w:val="en-US"/>
        </w:rPr>
      </w:pPr>
      <w:r w:rsidRPr="00C64ECB">
        <w:rPr>
          <w:lang w:val="en-US"/>
        </w:rPr>
        <w:t>NOTE: 2-step RACH if applied to licensed operation would not take into account LBT.</w:t>
      </w:r>
    </w:p>
    <w:p w14:paraId="3CB5B867" w14:textId="45A9D9F6" w:rsidR="00EC7E4A" w:rsidRPr="00C64ECB" w:rsidRDefault="00EC7E4A" w:rsidP="00EC7E4A">
      <w:pPr>
        <w:pStyle w:val="Heading5"/>
      </w:pPr>
      <w:bookmarkStart w:id="74" w:name="_Toc531343021"/>
      <w:r w:rsidRPr="00C64ECB">
        <w:t>7.2.2.2.2</w:t>
      </w:r>
      <w:r w:rsidRPr="00C64ECB">
        <w:tab/>
        <w:t>MAC (except RACH)</w:t>
      </w:r>
      <w:bookmarkEnd w:id="74"/>
    </w:p>
    <w:p w14:paraId="10D2BBD1" w14:textId="77777777" w:rsidR="0050058B" w:rsidRDefault="003D6553" w:rsidP="0050058B">
      <w:r w:rsidRPr="00C64ECB">
        <w:t>For scheduling request (SR), a prohibit timer as in NR licensed can be used. However, this should not prevent the UE from attempting to transmit an SR again if the triggered SR was not transmitted due to LBT failure.</w:t>
      </w:r>
    </w:p>
    <w:p w14:paraId="22701040" w14:textId="0FAD9250" w:rsidR="00EC7E4A" w:rsidRPr="00C64ECB" w:rsidRDefault="00EC7E4A" w:rsidP="00EC7E4A">
      <w:pPr>
        <w:pStyle w:val="Heading5"/>
      </w:pPr>
      <w:bookmarkStart w:id="75" w:name="_Toc531343022"/>
      <w:r w:rsidRPr="00C64ECB">
        <w:t>7.2.2.2.3</w:t>
      </w:r>
      <w:r w:rsidRPr="00C64ECB">
        <w:tab/>
        <w:t>Other</w:t>
      </w:r>
      <w:bookmarkEnd w:id="75"/>
    </w:p>
    <w:p w14:paraId="09C6C104" w14:textId="77777777" w:rsidR="003D6553" w:rsidRPr="00C64ECB" w:rsidRDefault="003D6553" w:rsidP="003D6553">
      <w:pPr>
        <w:spacing w:before="120"/>
      </w:pPr>
      <w:r w:rsidRPr="00C64ECB">
        <w:t>For channel access and transmissions in NR-U the mechanisms and associated signaling adopted by LTE LAA (e.g. standardized QCI to access priority mapping for DL and UL, how access priority per logical channel is determined for scheduled UL and AUL transmissions etc) are used as the baseline. Any changes due to new physical layer design and channel access mechanisms for NR-U (e.g. introduction of PRACH, support of FBE) can also be introduced.</w:t>
      </w:r>
    </w:p>
    <w:p w14:paraId="18645FC9" w14:textId="0C4C2C03" w:rsidR="003D6553" w:rsidRPr="00C64ECB" w:rsidRDefault="003D6553" w:rsidP="0050058B">
      <w:pPr>
        <w:spacing w:before="120"/>
      </w:pPr>
      <w:r w:rsidRPr="00C64ECB">
        <w:t>In addition, access priority for control signaling (transmissions over SRBs) over unlicensed carriers should be introduced for stand-alone and DC NR-U. In this case, it is assumed that control signaling will have the highest access priority.</w:t>
      </w:r>
    </w:p>
    <w:p w14:paraId="3C651F70" w14:textId="16A02723" w:rsidR="00261CED" w:rsidRPr="00C64ECB" w:rsidRDefault="00261CED" w:rsidP="00261CED">
      <w:pPr>
        <w:pStyle w:val="Heading4"/>
      </w:pPr>
      <w:bookmarkStart w:id="76" w:name="_Toc531343023"/>
      <w:r w:rsidRPr="00C64ECB">
        <w:t>7.2.2.3</w:t>
      </w:r>
      <w:r w:rsidR="00043FB2" w:rsidRPr="00C64ECB">
        <w:tab/>
      </w:r>
      <w:r w:rsidRPr="00C64ECB">
        <w:t xml:space="preserve">Control </w:t>
      </w:r>
      <w:r w:rsidR="006E7C76" w:rsidRPr="00C64ECB">
        <w:t>p</w:t>
      </w:r>
      <w:r w:rsidRPr="00C64ECB">
        <w:t xml:space="preserve">lane </w:t>
      </w:r>
      <w:r w:rsidR="006E7C76" w:rsidRPr="00C64ECB">
        <w:t>i</w:t>
      </w:r>
      <w:r w:rsidRPr="00C64ECB">
        <w:t>mpacts</w:t>
      </w:r>
      <w:bookmarkEnd w:id="76"/>
    </w:p>
    <w:p w14:paraId="0E73E71A" w14:textId="0175FA83" w:rsidR="00261CED" w:rsidRPr="00C64ECB" w:rsidRDefault="00261CED" w:rsidP="00261CED">
      <w:pPr>
        <w:pStyle w:val="Heading5"/>
      </w:pPr>
      <w:bookmarkStart w:id="77" w:name="_Toc531343024"/>
      <w:r w:rsidRPr="00C64ECB">
        <w:t>7.2.2.3.1</w:t>
      </w:r>
      <w:r w:rsidRPr="00C64ECB">
        <w:tab/>
      </w:r>
      <w:r w:rsidR="00EC718A" w:rsidRPr="00C64ECB">
        <w:t xml:space="preserve">RLM/RLF and </w:t>
      </w:r>
      <w:r w:rsidR="006E7C76" w:rsidRPr="00C64ECB">
        <w:t>m</w:t>
      </w:r>
      <w:r w:rsidR="00EC718A" w:rsidRPr="00C64ECB">
        <w:t>obility (conn mode)</w:t>
      </w:r>
      <w:bookmarkEnd w:id="77"/>
    </w:p>
    <w:p w14:paraId="0F759B01" w14:textId="77777777" w:rsidR="00261CED" w:rsidRPr="00C64ECB" w:rsidRDefault="00261CED" w:rsidP="00261CED">
      <w:pPr>
        <w:spacing w:before="120"/>
      </w:pPr>
      <w:r w:rsidRPr="00C64ECB">
        <w:t>For non-standalone NR-U deployments, connected mode mobility is supported on licensed spectrum using the baseline mobility procedure specified for the concerned licensed radio access technology (LTE or NR).</w:t>
      </w:r>
    </w:p>
    <w:p w14:paraId="2DC81E93" w14:textId="77777777" w:rsidR="00261CED" w:rsidRPr="00C64ECB" w:rsidRDefault="00261CED" w:rsidP="00261CED">
      <w:r w:rsidRPr="00C64ECB">
        <w:t>For standalone NR-U deployments, the following mobility scenarios shall be supported:</w:t>
      </w:r>
    </w:p>
    <w:p w14:paraId="7149C37E" w14:textId="49D77745" w:rsidR="00261CED" w:rsidRPr="00C64ECB" w:rsidRDefault="00E542E9" w:rsidP="00E542E9">
      <w:pPr>
        <w:pStyle w:val="B1"/>
      </w:pPr>
      <w:r w:rsidRPr="00C64ECB">
        <w:t>-</w:t>
      </w:r>
      <w:r w:rsidRPr="00C64ECB">
        <w:tab/>
      </w:r>
      <w:r w:rsidR="00261CED" w:rsidRPr="00C64ECB">
        <w:t>Inter-cell handover between NR-U and NR-U;</w:t>
      </w:r>
    </w:p>
    <w:p w14:paraId="35DDADAA" w14:textId="32472624" w:rsidR="00261CED" w:rsidRPr="00C64ECB" w:rsidRDefault="00E542E9" w:rsidP="00E542E9">
      <w:pPr>
        <w:pStyle w:val="B1"/>
      </w:pPr>
      <w:r w:rsidRPr="00C64ECB">
        <w:t>-</w:t>
      </w:r>
      <w:r w:rsidRPr="00C64ECB">
        <w:tab/>
      </w:r>
      <w:r w:rsidR="00261CED" w:rsidRPr="00C64ECB">
        <w:t>Inter-cell handover between NR-U and NR.</w:t>
      </w:r>
    </w:p>
    <w:p w14:paraId="145C1406" w14:textId="77777777" w:rsidR="00261CED" w:rsidRPr="00C64ECB" w:rsidRDefault="00261CED" w:rsidP="006E7C76">
      <w:r w:rsidRPr="00C64ECB">
        <w:t>In addition, the following mobility scenarios shall be supported based on the mobility between NR-U and NR and and the mobility between NR and (e)LTE, however further optimizations to this scenarios will be considered possibly with lower priority:</w:t>
      </w:r>
    </w:p>
    <w:p w14:paraId="2B78E5AD" w14:textId="4B134789" w:rsidR="00261CED" w:rsidRPr="00C64ECB" w:rsidRDefault="00E542E9" w:rsidP="00E542E9">
      <w:pPr>
        <w:pStyle w:val="B1"/>
      </w:pPr>
      <w:r w:rsidRPr="00C64ECB">
        <w:t>-</w:t>
      </w:r>
      <w:r w:rsidRPr="00C64ECB">
        <w:tab/>
      </w:r>
      <w:r w:rsidR="00261CED" w:rsidRPr="00C64ECB">
        <w:t>Inter-RAT handover between NR-U and LTE connected to EPC;</w:t>
      </w:r>
    </w:p>
    <w:p w14:paraId="580FD9DD" w14:textId="0EF94836" w:rsidR="00261CED" w:rsidRPr="00C64ECB" w:rsidRDefault="00E542E9" w:rsidP="00E542E9">
      <w:pPr>
        <w:pStyle w:val="B1"/>
      </w:pPr>
      <w:r w:rsidRPr="00C64ECB">
        <w:t>-</w:t>
      </w:r>
      <w:r w:rsidRPr="00C64ECB">
        <w:tab/>
      </w:r>
      <w:r w:rsidR="00261CED" w:rsidRPr="00C64ECB">
        <w:t>Inter-RAT handover between NR-U and LTE connected to 5GC.</w:t>
      </w:r>
    </w:p>
    <w:p w14:paraId="7325E014" w14:textId="77777777" w:rsidR="00261CED" w:rsidRPr="00C64ECB" w:rsidRDefault="00261CED" w:rsidP="00261CED">
      <w:r w:rsidRPr="00C64ECB">
        <w:t>For connected mode mobility, the main issue identified for NR operation in unlicensed band is the reduced transmission opportunities for different signalings due to LBT failure.</w:t>
      </w:r>
    </w:p>
    <w:p w14:paraId="0F125595" w14:textId="77777777" w:rsidR="00261CED" w:rsidRPr="00C64ECB" w:rsidRDefault="00261CED" w:rsidP="00261CED">
      <w:r w:rsidRPr="00C64ECB">
        <w:t>The following modifications to mobility-related procedures have been identified as beneficial to study:</w:t>
      </w:r>
    </w:p>
    <w:p w14:paraId="4D69E169" w14:textId="6B667809" w:rsidR="00261CED" w:rsidRPr="00C64ECB" w:rsidRDefault="00E542E9" w:rsidP="00E542E9">
      <w:pPr>
        <w:pStyle w:val="B1"/>
      </w:pPr>
      <w:r w:rsidRPr="00C64ECB">
        <w:t>-</w:t>
      </w:r>
      <w:r w:rsidRPr="00C64ECB">
        <w:tab/>
      </w:r>
      <w:r w:rsidR="00261CED" w:rsidRPr="00C64ECB">
        <w:t>Modifications to mobility-related measurements considering limitations to the transmission of reference signals due to LBT. NR-U needs to consider techniques to handle reduced RS (e.g. SS/PBCH block and CSI-RS) transmission opportunities due to LBT failure.</w:t>
      </w:r>
    </w:p>
    <w:p w14:paraId="71F96065" w14:textId="0F6CE52D" w:rsidR="00261CED" w:rsidRPr="00C64ECB" w:rsidRDefault="00E542E9" w:rsidP="00E542E9">
      <w:pPr>
        <w:pStyle w:val="B1"/>
      </w:pPr>
      <w:r w:rsidRPr="00C64ECB">
        <w:t>-</w:t>
      </w:r>
      <w:r w:rsidRPr="00C64ECB">
        <w:tab/>
      </w:r>
      <w:r w:rsidR="00261CED" w:rsidRPr="00C64ECB">
        <w:t>Modifications to mobility-related measurements and/or triggers considering limitations related to high channel occupancy. NR-U needs to consider techniques to handle increased interference levels in the unlicensed channel for mobility-related decisions.</w:t>
      </w:r>
    </w:p>
    <w:p w14:paraId="06F3E813" w14:textId="333C8BAD" w:rsidR="00261CED" w:rsidRPr="00C64ECB" w:rsidRDefault="00E542E9" w:rsidP="00E542E9">
      <w:pPr>
        <w:pStyle w:val="B1"/>
      </w:pPr>
      <w:r w:rsidRPr="00C64ECB">
        <w:t>-</w:t>
      </w:r>
      <w:r w:rsidRPr="00C64ECB">
        <w:tab/>
      </w:r>
      <w:r w:rsidR="00261CED" w:rsidRPr="00C64ECB">
        <w:t>Modifications to mobility-related procedures and/or triggers considering limitations related to the transmission of control plane signalling due to LBT. NR-U needs to consider whether NR-U specific techniques to handle additional signaling delays due to LBT failure are required, if not resolved by general mobility enhancement solutions [RP-181433].</w:t>
      </w:r>
    </w:p>
    <w:p w14:paraId="561ACB3C" w14:textId="751ABE57" w:rsidR="00261CED" w:rsidRPr="00C64ECB" w:rsidRDefault="00261CED" w:rsidP="00261CED">
      <w:pPr>
        <w:rPr>
          <w:lang w:eastAsia="x-none"/>
        </w:rPr>
      </w:pPr>
      <w:r w:rsidRPr="00C64ECB">
        <w:rPr>
          <w:lang w:eastAsia="x-none"/>
        </w:rPr>
        <w:lastRenderedPageBreak/>
        <w:t>Potential modifications to the measurement reporting quantities, to the measurement reporting triggers and to the condition used by the UE when delaying the time at which it applies a reconfiguration for mobility that are based at least on channel occupancy and RSSI should be studied.</w:t>
      </w:r>
    </w:p>
    <w:p w14:paraId="20D6E3A1" w14:textId="77777777" w:rsidR="00EC718A" w:rsidRPr="00C64ECB" w:rsidRDefault="00EC718A" w:rsidP="00EC718A">
      <w:pPr>
        <w:rPr>
          <w:lang w:eastAsia="x-none"/>
        </w:rPr>
      </w:pPr>
      <w:r w:rsidRPr="00C64ECB">
        <w:rPr>
          <w:lang w:eastAsia="x-none"/>
        </w:rPr>
        <w:t xml:space="preserve">For RRM, RLM, and mobility procedures, NR licensed specification in Rel-15 are considered as a baseline for NR-U. However, changes to these due to new physical layer design and LBT for the unlicensed operation can be introduced. These will support both synchronous and, except for LAA case, asynchronous deployments. </w:t>
      </w:r>
    </w:p>
    <w:p w14:paraId="6EE76A0F" w14:textId="28CC8C30" w:rsidR="00EC718A" w:rsidRPr="00C64ECB" w:rsidRDefault="00EC718A" w:rsidP="00EC718A">
      <w:pPr>
        <w:rPr>
          <w:lang w:eastAsia="x-none"/>
        </w:rPr>
      </w:pPr>
      <w:r w:rsidRPr="00C64ECB">
        <w:rPr>
          <w:lang w:eastAsia="x-none"/>
        </w:rPr>
        <w:t>The RRM and RLM framework for NR-U will also support multiple beam operation.</w:t>
      </w:r>
      <w:r w:rsidR="003D6553" w:rsidRPr="00C64ECB">
        <w:t xml:space="preserve"> The measurement of multiple beams in NR-U will use the framework in TS 38.300 Section 9.2.4 as a baseline and the measurement model captured in Figure 9.2.4-1 is also applicable for NR-U.</w:t>
      </w:r>
    </w:p>
    <w:p w14:paraId="3EDCA1BC" w14:textId="77777777" w:rsidR="00EC718A" w:rsidRPr="00C64ECB" w:rsidRDefault="00EC718A" w:rsidP="00EC718A">
      <w:pPr>
        <w:rPr>
          <w:lang w:eastAsia="x-none"/>
        </w:rPr>
      </w:pPr>
      <w:r w:rsidRPr="00C64ECB">
        <w:rPr>
          <w:lang w:eastAsia="x-none"/>
        </w:rPr>
        <w:t>For UE measurements, it is assumed that recurring transmissions of SSB/PBCH and RMSI will be available with possibly reduced opportunities due to LBT. The NR licensed measurement framework (cell and beam quality derivation for RSRP, RSRQ, and SINR, filtering and combining multiple beams) is used as a baseline. The handling of missing measurements due to LBT are expected to be captured at physical layer specifications.</w:t>
      </w:r>
    </w:p>
    <w:p w14:paraId="31356C82" w14:textId="77777777" w:rsidR="00EC718A" w:rsidRPr="00C64ECB" w:rsidRDefault="00EC718A" w:rsidP="00EC718A">
      <w:pPr>
        <w:rPr>
          <w:lang w:eastAsia="x-none"/>
        </w:rPr>
      </w:pPr>
      <w:r w:rsidRPr="00C64ECB">
        <w:rPr>
          <w:lang w:eastAsia="x-none"/>
        </w:rPr>
        <w:t xml:space="preserve">In addition to the existing measurement quantities, channel occupancy and RSSI, similar to adopted for LTE LAA, are considered useful. </w:t>
      </w:r>
    </w:p>
    <w:p w14:paraId="1E051009" w14:textId="36C6222B" w:rsidR="00EC718A" w:rsidRPr="00C64ECB" w:rsidRDefault="00EC718A" w:rsidP="00EC718A">
      <w:pPr>
        <w:rPr>
          <w:lang w:eastAsia="x-none"/>
        </w:rPr>
      </w:pPr>
      <w:r w:rsidRPr="00C64ECB">
        <w:rPr>
          <w:lang w:eastAsia="x-none"/>
        </w:rPr>
        <w:t>In unlicensed spectrum, multiple PLMNs from different operators can share the same channel and coordination between different operators may not happen. This may cause</w:t>
      </w:r>
      <w:r w:rsidR="00895A66" w:rsidRPr="00C64ECB">
        <w:rPr>
          <w:lang w:eastAsia="x-none"/>
        </w:rPr>
        <w:t xml:space="preserve"> PCI collisions or confusion. As one possible solution, the gNBs can scan different frequencies to identify the PCIs of neighbour cells and use this information in setting the PCIs of their own cells in order to avoid PCI collisions. In addition, ANR can be used, as in NR licensed, to detect and solve PCI collision and confusion.</w:t>
      </w:r>
    </w:p>
    <w:p w14:paraId="0B817360" w14:textId="40BBBA57" w:rsidR="00261CED" w:rsidRPr="00C64ECB" w:rsidRDefault="00261CED" w:rsidP="00261CED">
      <w:pPr>
        <w:pStyle w:val="Heading5"/>
      </w:pPr>
      <w:bookmarkStart w:id="78" w:name="_Toc531343025"/>
      <w:r w:rsidRPr="00C64ECB">
        <w:t>7.2.2.3.</w:t>
      </w:r>
      <w:r w:rsidR="00EC718A" w:rsidRPr="00C64ECB">
        <w:t>2</w:t>
      </w:r>
      <w:r w:rsidR="00EC718A" w:rsidRPr="00C64ECB">
        <w:tab/>
      </w:r>
      <w:r w:rsidRPr="00C64ECB">
        <w:t>Other</w:t>
      </w:r>
      <w:bookmarkEnd w:id="78"/>
    </w:p>
    <w:p w14:paraId="6ACC2EF6" w14:textId="77777777" w:rsidR="00895A66" w:rsidRPr="00C64ECB" w:rsidRDefault="00895A66" w:rsidP="0050058B">
      <w:r w:rsidRPr="00C64ECB">
        <w:t xml:space="preserve">Since System Information (SI) transmissions will be subject to LBT, it is beneficial to add more transmission opportunities in time domain for SI transmission, e.g. by configuring a longer SI window. </w:t>
      </w:r>
    </w:p>
    <w:p w14:paraId="363295E5" w14:textId="77777777" w:rsidR="00895A66" w:rsidRPr="00C64ECB" w:rsidRDefault="00895A66" w:rsidP="0050058B">
      <w:r w:rsidRPr="00C64ECB">
        <w:t>If there is need to have multiple SI messages then with existing NR design</w:t>
      </w:r>
      <w:r w:rsidRPr="00C64ECB">
        <w:rPr>
          <w:lang w:val="en-US"/>
        </w:rPr>
        <w:t>,</w:t>
      </w:r>
      <w:r w:rsidRPr="00C64ECB">
        <w:t xml:space="preserve"> different SI messages require separate LBT procedures. It may be beneficial not to require multiple LBTs for different SI messages to increase the success probability of the transmission. </w:t>
      </w:r>
    </w:p>
    <w:p w14:paraId="4DAD35DA" w14:textId="77777777" w:rsidR="00895A66" w:rsidRPr="00C64ECB" w:rsidRDefault="00895A66" w:rsidP="0050058B">
      <w:r w:rsidRPr="00C64ECB">
        <w:t>In response to a RAN2 LS requesting study of system level aspects of NR-U, SA2 has discussed this topic and concluded as follows:</w:t>
      </w:r>
    </w:p>
    <w:p w14:paraId="08F7C6DD" w14:textId="2C05ADA2" w:rsidR="00895A66" w:rsidRPr="00C64ECB" w:rsidRDefault="0050058B" w:rsidP="0050058B">
      <w:pPr>
        <w:pStyle w:val="B1"/>
      </w:pPr>
      <w:r>
        <w:t>-</w:t>
      </w:r>
      <w:r>
        <w:tab/>
      </w:r>
      <w:r w:rsidR="00895A66" w:rsidRPr="00C64ECB">
        <w:t xml:space="preserve">Based on SA2 analysis, only system impact identified specifically for NR-U is the need for introducing RAT type for NR-U, if desired, for </w:t>
      </w:r>
      <w:r w:rsidR="005C4862">
        <w:t>"</w:t>
      </w:r>
      <w:r w:rsidR="00895A66" w:rsidRPr="00C64ECB">
        <w:t>subscription based access restriction</w:t>
      </w:r>
      <w:r w:rsidR="005C4862">
        <w:t>"</w:t>
      </w:r>
      <w:r w:rsidR="00895A66" w:rsidRPr="00C64ECB">
        <w:t>, policy and charging purpose.</w:t>
      </w:r>
    </w:p>
    <w:p w14:paraId="2494B785" w14:textId="4D132233" w:rsidR="00895A66" w:rsidRPr="00C64ECB" w:rsidRDefault="0050058B" w:rsidP="0050058B">
      <w:pPr>
        <w:pStyle w:val="B1"/>
      </w:pPr>
      <w:r>
        <w:t>-</w:t>
      </w:r>
      <w:r>
        <w:tab/>
      </w:r>
      <w:r w:rsidR="00895A66" w:rsidRPr="00C64ECB">
        <w:t>If a non-public network operator wants to leverage NR-U, Network Identification &amp; Network selection aspects for operators with no globally unique PLMN ID are already being addressed within FS_Vertical_LAN study ongoing in SA2. Thus NR-U is not resulting in additional system impacts work.</w:t>
      </w:r>
    </w:p>
    <w:p w14:paraId="78513BBC" w14:textId="7D4C6C3B" w:rsidR="00895A66" w:rsidRPr="00C64ECB" w:rsidRDefault="0050058B" w:rsidP="0050058B">
      <w:pPr>
        <w:pStyle w:val="B1"/>
      </w:pPr>
      <w:r>
        <w:t>-</w:t>
      </w:r>
      <w:r>
        <w:tab/>
      </w:r>
      <w:r w:rsidR="00895A66" w:rsidRPr="00C64ECB">
        <w:t>The same impact identified for 5GS applies also for EPS. SA2 understanding is that for NR-U in EPS it is only for NR-U as secondary RAT (ENDC case) following similar approach in terms of subscription based access restriction, policy and charging as LAA/LWA. As such, similar solution can be adopted as the one that already exists in EPS.</w:t>
      </w:r>
    </w:p>
    <w:p w14:paraId="7A2709ED" w14:textId="75334255" w:rsidR="00EC7E4A" w:rsidRPr="00C64ECB" w:rsidRDefault="00895A66" w:rsidP="00977263">
      <w:r w:rsidRPr="00C64ECB">
        <w:t xml:space="preserve">Based on the SA2 analysis and response, there is no impact to RAN for the possible changes to 5GS and EPS for NR-U. The support for </w:t>
      </w:r>
      <w:r w:rsidR="005C4862">
        <w:t>"</w:t>
      </w:r>
      <w:r w:rsidRPr="00C64ECB">
        <w:t>subscription based access restriction</w:t>
      </w:r>
      <w:r w:rsidR="005C4862">
        <w:t>"</w:t>
      </w:r>
      <w:r w:rsidRPr="00C64ECB">
        <w:t>, policy and charging is contained to CN signalling and the support for non-public operator network identification will not result in additional work specific to NR-U.</w:t>
      </w:r>
    </w:p>
    <w:p w14:paraId="31C456A5" w14:textId="77777777" w:rsidR="00DE7ACB" w:rsidRPr="00C64ECB" w:rsidRDefault="00E91463" w:rsidP="002A099C">
      <w:pPr>
        <w:pStyle w:val="Heading1"/>
      </w:pPr>
      <w:bookmarkStart w:id="79" w:name="_Toc531343026"/>
      <w:r w:rsidRPr="00C64ECB">
        <w:t>8</w:t>
      </w:r>
      <w:r w:rsidR="00F8158D" w:rsidRPr="00C64ECB">
        <w:tab/>
      </w:r>
      <w:r w:rsidR="00314217" w:rsidRPr="00C64ECB">
        <w:t>Performance</w:t>
      </w:r>
      <w:r w:rsidR="00611A5D" w:rsidRPr="00C64ECB">
        <w:t xml:space="preserve"> </w:t>
      </w:r>
      <w:r w:rsidR="000D590D" w:rsidRPr="00C64ECB">
        <w:t>e</w:t>
      </w:r>
      <w:r w:rsidR="00F8158D" w:rsidRPr="00C64ECB">
        <w:t>valuations</w:t>
      </w:r>
      <w:bookmarkEnd w:id="79"/>
    </w:p>
    <w:p w14:paraId="543CD84C" w14:textId="2634DDB4" w:rsidR="00016B62" w:rsidRPr="00C64ECB" w:rsidRDefault="00016B62" w:rsidP="00016B62">
      <w:r w:rsidRPr="00C64ECB">
        <w:t>For performance evaluation, coexistence with other networks will be evaluation, such as Wi</w:t>
      </w:r>
      <w:r w:rsidR="002F7689" w:rsidRPr="00C64ECB">
        <w:t>-</w:t>
      </w:r>
      <w:r w:rsidRPr="00C64ECB">
        <w:t xml:space="preserve">Fi, LTE-LAA, or other NR-U network. </w:t>
      </w:r>
    </w:p>
    <w:p w14:paraId="3D42CC14" w14:textId="63DD2975" w:rsidR="00016B62" w:rsidRPr="00C64ECB" w:rsidRDefault="00016B62" w:rsidP="00016B62">
      <w:r w:rsidRPr="00C64ECB">
        <w:t>When coexistence with Wi</w:t>
      </w:r>
      <w:r w:rsidR="002F7689" w:rsidRPr="00C64ECB">
        <w:t>-</w:t>
      </w:r>
      <w:r w:rsidRPr="00C64ECB">
        <w:t xml:space="preserve">Fi is evaluated, following the study item description [2], NR-based operation in unlicensed spectrum should not impact deployed Wi-Fi services (data, video and voice services) more than an additional Wi-Fi network on the same carrier, where the deployed Wi-Fi includes 11ac in 5GHz band. </w:t>
      </w:r>
    </w:p>
    <w:p w14:paraId="76968D6C" w14:textId="62C09323" w:rsidR="005B3529" w:rsidRPr="00C64ECB" w:rsidRDefault="00016B62" w:rsidP="00016B62">
      <w:r w:rsidRPr="00C64ECB">
        <w:lastRenderedPageBreak/>
        <w:t>For sub-7 GHz bands</w:t>
      </w:r>
      <w:r w:rsidR="009D4A93" w:rsidRPr="00C64ECB">
        <w:t xml:space="preserve"> other than 5GHz band, though it is not in the scope of this study to define a fairness criterion with other RATs, a fairness criterion for coexistence has been discussed but no conclusions were reached.</w:t>
      </w:r>
      <w:r w:rsidRPr="00C64ECB">
        <w:t xml:space="preserve"> </w:t>
      </w:r>
      <w:r w:rsidR="009D4A93" w:rsidRPr="00C64ECB">
        <w:t>C</w:t>
      </w:r>
      <w:r w:rsidRPr="00C64ECB">
        <w:t xml:space="preserve">oexistence simulations </w:t>
      </w:r>
      <w:r w:rsidR="009D4A93" w:rsidRPr="00C64ECB">
        <w:t xml:space="preserve">with other RATs have been </w:t>
      </w:r>
      <w:r w:rsidRPr="00C64ECB">
        <w:t>performed using technology neutral assumptions (eg. channel access mechanism) at an arbitrary carrier frequency in 5GHz band for application to bands other than 5GHz which may become available subject to regulations. The study assumes regulation will provide the framework concerning the protection for the technologies not using unlicensed access in those bands.</w:t>
      </w:r>
      <w:r w:rsidR="00B84C11" w:rsidRPr="00C64ECB">
        <w:t xml:space="preserve"> For this coexistence evaluation, as the regulations on channel access is not yet available, c</w:t>
      </w:r>
      <w:r w:rsidR="005B3529" w:rsidRPr="00C64ECB">
        <w:t xml:space="preserve">ompanies </w:t>
      </w:r>
      <w:r w:rsidR="009D4A93" w:rsidRPr="00C64ECB">
        <w:t xml:space="preserve">have </w:t>
      </w:r>
      <w:r w:rsidR="00B84C11" w:rsidRPr="00C64ECB">
        <w:t>provide</w:t>
      </w:r>
      <w:r w:rsidR="009D4A93" w:rsidRPr="00C64ECB">
        <w:t>d</w:t>
      </w:r>
      <w:r w:rsidR="00B84C11" w:rsidRPr="00C64ECB">
        <w:t xml:space="preserve"> description on the </w:t>
      </w:r>
      <w:r w:rsidR="005B3529" w:rsidRPr="00C64ECB">
        <w:t>assumption</w:t>
      </w:r>
      <w:r w:rsidR="00B84C11" w:rsidRPr="00C64ECB">
        <w:t xml:space="preserve">s used for </w:t>
      </w:r>
      <w:r w:rsidR="005B3529" w:rsidRPr="00C64ECB">
        <w:t>technology neutral channel access mechanism</w:t>
      </w:r>
      <w:r w:rsidR="00B84C11" w:rsidRPr="00C64ECB">
        <w:t xml:space="preserve"> when providing simulation results.</w:t>
      </w:r>
    </w:p>
    <w:p w14:paraId="6608D625" w14:textId="77777777" w:rsidR="00DE7ACB" w:rsidRPr="00C64ECB" w:rsidRDefault="00E91463" w:rsidP="002A099C">
      <w:pPr>
        <w:pStyle w:val="Heading2"/>
      </w:pPr>
      <w:bookmarkStart w:id="80" w:name="_Toc531343027"/>
      <w:r w:rsidRPr="00C64ECB">
        <w:t>8</w:t>
      </w:r>
      <w:r w:rsidR="00DE7ACB" w:rsidRPr="00C64ECB">
        <w:t>.</w:t>
      </w:r>
      <w:r w:rsidR="00F8158D" w:rsidRPr="00C64ECB">
        <w:t>1</w:t>
      </w:r>
      <w:r w:rsidR="00DE7ACB" w:rsidRPr="00C64ECB">
        <w:tab/>
      </w:r>
      <w:r w:rsidR="00611A5D" w:rsidRPr="00C64ECB">
        <w:t>S</w:t>
      </w:r>
      <w:r w:rsidR="00F8158D" w:rsidRPr="00C64ECB">
        <w:t xml:space="preserve">cenarios and </w:t>
      </w:r>
      <w:r w:rsidR="00DE7ACB" w:rsidRPr="00C64ECB">
        <w:t>methodology</w:t>
      </w:r>
      <w:bookmarkEnd w:id="80"/>
    </w:p>
    <w:p w14:paraId="7C0C3C14" w14:textId="36653125" w:rsidR="005D1856" w:rsidRPr="00C64ECB" w:rsidRDefault="00B97D26" w:rsidP="00FC66AC">
      <w:r w:rsidRPr="00C64ECB">
        <w:t>For the NR-U study evaluation, to reuse the simulation platform already developed for NR study, the 5</w:t>
      </w:r>
      <w:r w:rsidR="005D1856" w:rsidRPr="00C64ECB">
        <w:t xml:space="preserve">GCM in </w:t>
      </w:r>
      <w:r w:rsidR="00B40FD8" w:rsidRPr="00C64ECB">
        <w:t>[29]</w:t>
      </w:r>
      <w:r w:rsidR="005D1856" w:rsidRPr="00C64ECB">
        <w:t xml:space="preserve"> is used for NR-U simulation evaluation</w:t>
      </w:r>
      <w:r w:rsidRPr="00C64ECB">
        <w:t xml:space="preserve">. </w:t>
      </w:r>
      <w:r w:rsidR="00B40FD8" w:rsidRPr="00C64ECB">
        <w:t>The evaluation deployment scenarios are derived from NR evaluation deployment scenarios as defined in [28] with proper modifications to introduce the second operator.</w:t>
      </w:r>
      <w:r w:rsidR="00EC7E4A" w:rsidRPr="00C64ECB">
        <w:t xml:space="preserve"> For coexistence evaluations below 7GHz, for parameters not provided in this section, the evaluations assumptions specified for LTE (e)LAA coexistence evaluations [31] apply. The base metrics for NR-U evaluation are the same as in LTE-LAA in [31].</w:t>
      </w:r>
    </w:p>
    <w:p w14:paraId="7C69C805" w14:textId="77777777" w:rsidR="005D1856" w:rsidRPr="00C64ECB" w:rsidRDefault="005D1856" w:rsidP="00FC66AC">
      <w:r w:rsidRPr="00C64ECB">
        <w:t>NR-</w:t>
      </w:r>
      <w:r w:rsidR="00B97D26" w:rsidRPr="00C64ECB">
        <w:t>U</w:t>
      </w:r>
      <w:r w:rsidRPr="00C64ECB">
        <w:t xml:space="preserve"> simulation evaluation considers the following </w:t>
      </w:r>
      <w:r w:rsidR="00B97D26" w:rsidRPr="00C64ECB">
        <w:t xml:space="preserve">layout </w:t>
      </w:r>
      <w:r w:rsidRPr="00C64ECB">
        <w:t>scenarios</w:t>
      </w:r>
      <w:r w:rsidR="00B97D26" w:rsidRPr="00C64ECB">
        <w:t>:</w:t>
      </w:r>
    </w:p>
    <w:p w14:paraId="012B524B" w14:textId="5C44F075" w:rsidR="005D1856" w:rsidRPr="00C64ECB" w:rsidRDefault="00FC66AC" w:rsidP="00FC66AC">
      <w:pPr>
        <w:pStyle w:val="B1"/>
      </w:pPr>
      <w:r w:rsidRPr="00C64ECB">
        <w:t>-</w:t>
      </w:r>
      <w:r w:rsidRPr="00C64ECB">
        <w:tab/>
      </w:r>
      <w:r w:rsidR="005D1856" w:rsidRPr="00C64ECB">
        <w:t>Indoor sub-7GHz, 2 operators</w:t>
      </w:r>
    </w:p>
    <w:p w14:paraId="7600BF11" w14:textId="5EBB0EBE" w:rsidR="005D1856" w:rsidRPr="00C64ECB" w:rsidRDefault="00FC66AC" w:rsidP="00FC66AC">
      <w:pPr>
        <w:pStyle w:val="B1"/>
      </w:pPr>
      <w:r w:rsidRPr="00C64ECB">
        <w:t>-</w:t>
      </w:r>
      <w:r w:rsidRPr="00C64ECB">
        <w:tab/>
      </w:r>
      <w:r w:rsidR="005D1856" w:rsidRPr="00C64ECB">
        <w:t>Outdoor Sub-7 GHz, 2 operators</w:t>
      </w:r>
    </w:p>
    <w:p w14:paraId="2479AD4D" w14:textId="0AD25275" w:rsidR="00B40FD8" w:rsidRPr="00C64ECB" w:rsidRDefault="00FC66AC" w:rsidP="00FC66AC">
      <w:pPr>
        <w:pStyle w:val="B1"/>
      </w:pPr>
      <w:r w:rsidRPr="00C64ECB">
        <w:t>-</w:t>
      </w:r>
      <w:r w:rsidRPr="00C64ECB">
        <w:tab/>
      </w:r>
      <w:r w:rsidR="005D1856" w:rsidRPr="00C64ECB">
        <w:t>Stadium scenario for sub-7GHz, 2 operators, can be optionally considered by interested companies.</w:t>
      </w:r>
    </w:p>
    <w:p w14:paraId="6AFA1612" w14:textId="77777777" w:rsidR="005D1856" w:rsidRPr="00C64ECB" w:rsidRDefault="00441682" w:rsidP="00FC66AC">
      <w:r w:rsidRPr="00C64ECB">
        <w:t>The following d</w:t>
      </w:r>
      <w:r w:rsidR="005D1856" w:rsidRPr="00C64ECB">
        <w:t>eployment scenarios</w:t>
      </w:r>
      <w:r w:rsidRPr="00C64ECB">
        <w:t xml:space="preserve"> for</w:t>
      </w:r>
      <w:r w:rsidR="005D1856" w:rsidRPr="00C64ECB">
        <w:t xml:space="preserve"> simulat</w:t>
      </w:r>
      <w:r w:rsidRPr="00C64ECB">
        <w:t>ion are identified:</w:t>
      </w:r>
    </w:p>
    <w:p w14:paraId="172DAC19" w14:textId="0368405B" w:rsidR="005D1856" w:rsidRPr="00C64ECB" w:rsidRDefault="00FC66AC" w:rsidP="00FC66AC">
      <w:pPr>
        <w:pStyle w:val="B1"/>
      </w:pPr>
      <w:r w:rsidRPr="00C64ECB">
        <w:t>-</w:t>
      </w:r>
      <w:r w:rsidRPr="00C64ECB">
        <w:tab/>
      </w:r>
      <w:r w:rsidR="005D1856" w:rsidRPr="00C64ECB">
        <w:t>CA between NR licensed cell and NR unlicensed cell</w:t>
      </w:r>
    </w:p>
    <w:p w14:paraId="4E3002CA" w14:textId="41F54768" w:rsidR="005D1856" w:rsidRPr="00C64ECB" w:rsidRDefault="00FC66AC" w:rsidP="00FC66AC">
      <w:pPr>
        <w:pStyle w:val="B1"/>
      </w:pPr>
      <w:r w:rsidRPr="00C64ECB">
        <w:t>-</w:t>
      </w:r>
      <w:r w:rsidRPr="00C64ECB">
        <w:tab/>
      </w:r>
      <w:r w:rsidR="005D1856" w:rsidRPr="00C64ECB">
        <w:t>DC (with LTE and with NR)</w:t>
      </w:r>
    </w:p>
    <w:p w14:paraId="22E7D2B5" w14:textId="030A0D6C" w:rsidR="005D1856" w:rsidRPr="00C64ECB" w:rsidRDefault="00FC66AC" w:rsidP="00FC66AC">
      <w:pPr>
        <w:pStyle w:val="B1"/>
      </w:pPr>
      <w:r w:rsidRPr="00C64ECB">
        <w:t>-</w:t>
      </w:r>
      <w:r w:rsidRPr="00C64ECB">
        <w:tab/>
      </w:r>
      <w:r w:rsidR="005D1856" w:rsidRPr="00C64ECB">
        <w:t>SA</w:t>
      </w:r>
    </w:p>
    <w:p w14:paraId="328B1CA2" w14:textId="411F563D" w:rsidR="005D1856" w:rsidRPr="00C64ECB" w:rsidRDefault="00FC66AC" w:rsidP="00FC66AC">
      <w:pPr>
        <w:pStyle w:val="B1"/>
      </w:pPr>
      <w:r w:rsidRPr="00C64ECB">
        <w:t>-</w:t>
      </w:r>
      <w:r w:rsidRPr="00C64ECB">
        <w:tab/>
      </w:r>
      <w:r w:rsidR="005D1856" w:rsidRPr="00C64ECB">
        <w:t>An NR cell with DL in unlicensed band and UL in licensed band</w:t>
      </w:r>
    </w:p>
    <w:p w14:paraId="1DD63324" w14:textId="77777777" w:rsidR="000134A8" w:rsidRPr="00C64ECB" w:rsidRDefault="00441682" w:rsidP="00441682">
      <w:r w:rsidRPr="00C64ECB">
        <w:t xml:space="preserve">In the simulations, only unlicensed cell(s) is to be simulated. </w:t>
      </w:r>
      <w:r w:rsidR="000134A8" w:rsidRPr="00C64ECB">
        <w:t>The licensed cell may not be explicitly modelled in the simulation. Necessary assumptions regarding the presence of the licensed carriers can be made and provided.</w:t>
      </w:r>
    </w:p>
    <w:p w14:paraId="3D74C013" w14:textId="77777777" w:rsidR="005D1856" w:rsidRPr="00C64ECB" w:rsidRDefault="00441682" w:rsidP="00441682">
      <w:r w:rsidRPr="00C64ECB">
        <w:t>It was also noted that a</w:t>
      </w:r>
      <w:r w:rsidR="005D1856" w:rsidRPr="00C64ECB">
        <w:t xml:space="preserve"> single set of evaluations may be applicable to multiple </w:t>
      </w:r>
      <w:r w:rsidRPr="00C64ECB">
        <w:t xml:space="preserve">deployment </w:t>
      </w:r>
      <w:r w:rsidR="005D1856" w:rsidRPr="00C64ECB">
        <w:t>scenarios</w:t>
      </w:r>
      <w:r w:rsidRPr="00C64ECB">
        <w:t>. For example, DC and SA deployment scenarios can share the same set of simulations, possibly with some minor differences on how the overhead (say for system information delivery) is captured in the result.</w:t>
      </w:r>
    </w:p>
    <w:p w14:paraId="42F96421" w14:textId="77777777" w:rsidR="00CB2721" w:rsidRPr="00C64ECB" w:rsidRDefault="00CB2721" w:rsidP="00CB2721">
      <w:pPr>
        <w:pStyle w:val="Heading3"/>
      </w:pPr>
      <w:bookmarkStart w:id="81" w:name="_Toc531343028"/>
      <w:r w:rsidRPr="00C64ECB">
        <w:t>8.1.1</w:t>
      </w:r>
      <w:r w:rsidRPr="00C64ECB">
        <w:tab/>
        <w:t>Sub7</w:t>
      </w:r>
      <w:r w:rsidR="00B40FD8" w:rsidRPr="00C64ECB">
        <w:t xml:space="preserve"> </w:t>
      </w:r>
      <w:r w:rsidRPr="00C64ECB">
        <w:t>GHz indoor scenario</w:t>
      </w:r>
      <w:bookmarkEnd w:id="81"/>
    </w:p>
    <w:p w14:paraId="0468A9A5" w14:textId="3458D634" w:rsidR="006F2128" w:rsidRPr="00C64ECB" w:rsidRDefault="00B40FD8" w:rsidP="00FC66AC">
      <w:r w:rsidRPr="00C64ECB">
        <w:t xml:space="preserve">For sub7 GHz indoor simulation evaluation, </w:t>
      </w:r>
      <w:r w:rsidR="00BE3470" w:rsidRPr="00C64ECB">
        <w:t>two operators each with 3 gNBs are deployed in a room of size 120 meters by 80 meters as shown in</w:t>
      </w:r>
      <w:r w:rsidR="007A1D2B" w:rsidRPr="00C64ECB">
        <w:t xml:space="preserve"> Figure 1</w:t>
      </w:r>
      <w:r w:rsidR="00BE3470" w:rsidRPr="00C64ECB">
        <w:t xml:space="preserve">. In the figure, the gNB of the same color belongs to the same operator. The parameters are of value a=20 meters, b=40 meters, c=20 meters, and d=40 meters. The deployment </w:t>
      </w:r>
      <w:r w:rsidR="00253EF9" w:rsidRPr="00C64ECB">
        <w:t>scenario is selected to achieve</w:t>
      </w:r>
      <w:r w:rsidR="00BE3470" w:rsidRPr="00C64ECB">
        <w:t xml:space="preserve"> a target serving link RSSI distribution with 10%-15% serving link below -72dBm.</w:t>
      </w:r>
    </w:p>
    <w:p w14:paraId="4F1E5C10" w14:textId="77777777" w:rsidR="005242A5" w:rsidRPr="00C64ECB" w:rsidRDefault="005242A5" w:rsidP="00E542E9">
      <w:pPr>
        <w:pStyle w:val="TH"/>
      </w:pPr>
    </w:p>
    <w:p w14:paraId="6785415F" w14:textId="7FB14156" w:rsidR="00BE3470" w:rsidRPr="00C64ECB" w:rsidRDefault="00AC58D0" w:rsidP="00E542E9">
      <w:pPr>
        <w:pStyle w:val="TH"/>
        <w:rPr>
          <w:rFonts w:ascii="Times New Roman" w:hAnsi="Times New Roman"/>
          <w:b w:val="0"/>
          <w:lang w:eastAsia="en-US"/>
        </w:rPr>
      </w:pPr>
      <w:r w:rsidRPr="00C64ECB">
        <w:rPr>
          <w:noProof/>
        </w:rPr>
        <w:fldChar w:fldCharType="begin"/>
      </w:r>
      <w:r w:rsidRPr="00C64ECB">
        <w:rPr>
          <w:noProof/>
        </w:rPr>
        <w:instrText xml:space="preserve"> INCLUDEPICTURE  "cid:image001.png@01D3E3E6.8A8631F0" \* MERGEFORMATINET </w:instrText>
      </w:r>
      <w:r w:rsidRPr="00C64ECB">
        <w:rPr>
          <w:noProof/>
        </w:rPr>
        <w:fldChar w:fldCharType="separate"/>
      </w:r>
      <w:r w:rsidR="00795B31" w:rsidRPr="00C64ECB">
        <w:rPr>
          <w:noProof/>
        </w:rPr>
        <w:fldChar w:fldCharType="begin"/>
      </w:r>
      <w:r w:rsidR="00795B31" w:rsidRPr="00C64ECB">
        <w:rPr>
          <w:noProof/>
        </w:rPr>
        <w:instrText xml:space="preserve"> INCLUDEPICTURE  "cid:image001.png@01D3E3E6.8A8631F0" \* MERGEFORMATINET </w:instrText>
      </w:r>
      <w:r w:rsidR="00795B31" w:rsidRPr="00C64ECB">
        <w:rPr>
          <w:noProof/>
        </w:rPr>
        <w:fldChar w:fldCharType="separate"/>
      </w:r>
      <w:r w:rsidR="00E76419" w:rsidRPr="00C64ECB">
        <w:rPr>
          <w:noProof/>
        </w:rPr>
        <w:fldChar w:fldCharType="begin"/>
      </w:r>
      <w:r w:rsidR="00E76419" w:rsidRPr="00C64ECB">
        <w:rPr>
          <w:noProof/>
        </w:rPr>
        <w:instrText xml:space="preserve"> INCLUDEPICTURE  "cid:image001.png@01D3E3E6.8A8631F0" \* MERGEFORMATINET </w:instrText>
      </w:r>
      <w:r w:rsidR="00E76419" w:rsidRPr="00C64ECB">
        <w:rPr>
          <w:noProof/>
        </w:rPr>
        <w:fldChar w:fldCharType="separate"/>
      </w:r>
      <w:r w:rsidR="00E7683E" w:rsidRPr="00C64ECB">
        <w:rPr>
          <w:noProof/>
        </w:rPr>
        <w:fldChar w:fldCharType="begin"/>
      </w:r>
      <w:r w:rsidR="00E7683E" w:rsidRPr="00C64ECB">
        <w:rPr>
          <w:noProof/>
        </w:rPr>
        <w:instrText xml:space="preserve"> INCLUDEPICTURE  "cid:image001.png@01D3E3E6.8A8631F0" \* MERGEFORMATINET </w:instrText>
      </w:r>
      <w:r w:rsidR="00E7683E" w:rsidRPr="00C64ECB">
        <w:rPr>
          <w:noProof/>
        </w:rPr>
        <w:fldChar w:fldCharType="separate"/>
      </w:r>
      <w:r w:rsidR="0085014F" w:rsidRPr="00C64ECB">
        <w:rPr>
          <w:noProof/>
        </w:rPr>
        <w:fldChar w:fldCharType="begin"/>
      </w:r>
      <w:r w:rsidR="0085014F" w:rsidRPr="00C64ECB">
        <w:rPr>
          <w:noProof/>
        </w:rPr>
        <w:instrText xml:space="preserve"> INCLUDEPICTURE  "cid:image001.png@01D3E3E6.8A8631F0" \* MERGEFORMATINET </w:instrText>
      </w:r>
      <w:r w:rsidR="0085014F" w:rsidRPr="00C64ECB">
        <w:rPr>
          <w:noProof/>
        </w:rPr>
        <w:fldChar w:fldCharType="separate"/>
      </w:r>
      <w:r w:rsidR="00010CD8" w:rsidRPr="00C64ECB">
        <w:rPr>
          <w:noProof/>
        </w:rPr>
        <w:fldChar w:fldCharType="begin"/>
      </w:r>
      <w:r w:rsidR="00010CD8" w:rsidRPr="00C64ECB">
        <w:rPr>
          <w:noProof/>
        </w:rPr>
        <w:instrText xml:space="preserve"> INCLUDEPICTURE  "cid:image001.png@01D3E3E6.8A8631F0" \* MERGEFORMATINET </w:instrText>
      </w:r>
      <w:r w:rsidR="00010CD8" w:rsidRPr="00C64ECB">
        <w:rPr>
          <w:noProof/>
        </w:rPr>
        <w:fldChar w:fldCharType="separate"/>
      </w:r>
      <w:r w:rsidR="00751B11" w:rsidRPr="00C64ECB">
        <w:rPr>
          <w:noProof/>
        </w:rPr>
        <w:fldChar w:fldCharType="begin"/>
      </w:r>
      <w:r w:rsidR="00751B11" w:rsidRPr="00C64ECB">
        <w:rPr>
          <w:noProof/>
        </w:rPr>
        <w:instrText xml:space="preserve"> INCLUDEPICTURE  "cid:image001.png@01D3E3E6.8A8631F0" \* MERGEFORMATINET </w:instrText>
      </w:r>
      <w:r w:rsidR="00751B11" w:rsidRPr="00C64ECB">
        <w:rPr>
          <w:noProof/>
        </w:rPr>
        <w:fldChar w:fldCharType="separate"/>
      </w:r>
      <w:r w:rsidR="00532666" w:rsidRPr="00C64ECB">
        <w:rPr>
          <w:noProof/>
        </w:rPr>
        <w:fldChar w:fldCharType="begin"/>
      </w:r>
      <w:r w:rsidR="00532666" w:rsidRPr="00C64ECB">
        <w:rPr>
          <w:noProof/>
        </w:rPr>
        <w:instrText xml:space="preserve"> INCLUDEPICTURE  "cid:image001.png@01D3E3E6.8A8631F0" \* MERGEFORMATINET </w:instrText>
      </w:r>
      <w:r w:rsidR="00532666" w:rsidRPr="00C64ECB">
        <w:rPr>
          <w:noProof/>
        </w:rPr>
        <w:fldChar w:fldCharType="separate"/>
      </w:r>
      <w:r w:rsidR="005B3529" w:rsidRPr="00C64ECB">
        <w:rPr>
          <w:noProof/>
        </w:rPr>
        <w:fldChar w:fldCharType="begin"/>
      </w:r>
      <w:r w:rsidR="005B3529" w:rsidRPr="00C64ECB">
        <w:rPr>
          <w:noProof/>
        </w:rPr>
        <w:instrText xml:space="preserve"> INCLUDEPICTURE  "cid:image001.png@01D3E3E6.8A8631F0" \* MERGEFORMATINET </w:instrText>
      </w:r>
      <w:r w:rsidR="005B3529" w:rsidRPr="00C64ECB">
        <w:rPr>
          <w:noProof/>
        </w:rPr>
        <w:fldChar w:fldCharType="separate"/>
      </w:r>
      <w:r w:rsidR="00DF5FEA" w:rsidRPr="00C64ECB">
        <w:rPr>
          <w:noProof/>
        </w:rPr>
        <w:fldChar w:fldCharType="begin"/>
      </w:r>
      <w:r w:rsidR="00DF5FEA" w:rsidRPr="00C64ECB">
        <w:rPr>
          <w:noProof/>
        </w:rPr>
        <w:instrText xml:space="preserve"> INCLUDEPICTURE  "cid:image001.png@01D3E3E6.8A8631F0" \* MERGEFORMATINET </w:instrText>
      </w:r>
      <w:r w:rsidR="00DF5FEA" w:rsidRPr="00C64ECB">
        <w:rPr>
          <w:noProof/>
        </w:rPr>
        <w:fldChar w:fldCharType="separate"/>
      </w:r>
      <w:r w:rsidR="0069683F" w:rsidRPr="00C64ECB">
        <w:rPr>
          <w:noProof/>
        </w:rPr>
        <w:fldChar w:fldCharType="begin"/>
      </w:r>
      <w:r w:rsidR="0069683F" w:rsidRPr="00C64ECB">
        <w:rPr>
          <w:noProof/>
        </w:rPr>
        <w:instrText xml:space="preserve"> INCLUDEPICTURE  "cid:image001.png@01D3E3E6.8A8631F0" \* MERGEFORMATINET </w:instrText>
      </w:r>
      <w:r w:rsidR="0069683F" w:rsidRPr="00C64ECB">
        <w:rPr>
          <w:noProof/>
        </w:rPr>
        <w:fldChar w:fldCharType="separate"/>
      </w:r>
      <w:r w:rsidR="00D674D2" w:rsidRPr="00C64ECB">
        <w:rPr>
          <w:noProof/>
        </w:rPr>
        <w:fldChar w:fldCharType="begin"/>
      </w:r>
      <w:r w:rsidR="00D674D2" w:rsidRPr="00C64ECB">
        <w:rPr>
          <w:noProof/>
        </w:rPr>
        <w:instrText xml:space="preserve"> INCLUDEPICTURE  "cid:image001.png@01D3E3E6.8A8631F0" \* MERGEFORMATINET </w:instrText>
      </w:r>
      <w:r w:rsidR="00D674D2" w:rsidRPr="00C64ECB">
        <w:rPr>
          <w:noProof/>
        </w:rPr>
        <w:fldChar w:fldCharType="separate"/>
      </w:r>
      <w:r w:rsidR="008D5995" w:rsidRPr="00C64ECB">
        <w:rPr>
          <w:noProof/>
        </w:rPr>
        <w:fldChar w:fldCharType="begin"/>
      </w:r>
      <w:r w:rsidR="008D5995" w:rsidRPr="00C64ECB">
        <w:rPr>
          <w:noProof/>
        </w:rPr>
        <w:instrText xml:space="preserve"> INCLUDEPICTURE  "cid:image001.png@01D3E3E6.8A8631F0" \* MERGEFORMATINET </w:instrText>
      </w:r>
      <w:r w:rsidR="008D5995" w:rsidRPr="00C64ECB">
        <w:rPr>
          <w:noProof/>
        </w:rPr>
        <w:fldChar w:fldCharType="separate"/>
      </w:r>
      <w:r w:rsidR="00643848" w:rsidRPr="00C64ECB">
        <w:rPr>
          <w:noProof/>
        </w:rPr>
        <w:fldChar w:fldCharType="begin"/>
      </w:r>
      <w:r w:rsidR="00643848" w:rsidRPr="00C64ECB">
        <w:rPr>
          <w:noProof/>
        </w:rPr>
        <w:instrText xml:space="preserve"> INCLUDEPICTURE  "cid:image001.png@01D3E3E6.8A8631F0" \* MERGEFORMATINET </w:instrText>
      </w:r>
      <w:r w:rsidR="00643848" w:rsidRPr="00C64ECB">
        <w:rPr>
          <w:noProof/>
        </w:rPr>
        <w:fldChar w:fldCharType="separate"/>
      </w:r>
      <w:r w:rsidR="00873401" w:rsidRPr="00C64ECB">
        <w:rPr>
          <w:noProof/>
        </w:rPr>
        <w:fldChar w:fldCharType="begin"/>
      </w:r>
      <w:r w:rsidR="00873401" w:rsidRPr="00C64ECB">
        <w:rPr>
          <w:noProof/>
        </w:rPr>
        <w:instrText xml:space="preserve"> INCLUDEPICTURE  "cid:image001.png@01D3E3E6.8A8631F0" \* MERGEFORMATINET </w:instrText>
      </w:r>
      <w:r w:rsidR="00873401" w:rsidRPr="00C64ECB">
        <w:rPr>
          <w:noProof/>
        </w:rPr>
        <w:fldChar w:fldCharType="separate"/>
      </w:r>
      <w:r w:rsidR="00522F67" w:rsidRPr="00C64ECB">
        <w:rPr>
          <w:noProof/>
        </w:rPr>
        <w:fldChar w:fldCharType="begin"/>
      </w:r>
      <w:r w:rsidR="00522F67" w:rsidRPr="00C64ECB">
        <w:rPr>
          <w:noProof/>
        </w:rPr>
        <w:instrText xml:space="preserve"> INCLUDEPICTURE  "cid:image001.png@01D3E3E6.8A8631F0" \* MERGEFORMATINET </w:instrText>
      </w:r>
      <w:r w:rsidR="00522F67" w:rsidRPr="00C64ECB">
        <w:rPr>
          <w:noProof/>
        </w:rPr>
        <w:fldChar w:fldCharType="separate"/>
      </w:r>
      <w:r w:rsidR="009F72B7" w:rsidRPr="00C64ECB">
        <w:rPr>
          <w:noProof/>
        </w:rPr>
        <w:fldChar w:fldCharType="begin"/>
      </w:r>
      <w:r w:rsidR="009F72B7" w:rsidRPr="00C64ECB">
        <w:rPr>
          <w:noProof/>
        </w:rPr>
        <w:instrText xml:space="preserve"> INCLUDEPICTURE  "cid:image001.png@01D3E3E6.8A8631F0" \* MERGEFORMATINET </w:instrText>
      </w:r>
      <w:r w:rsidR="009F72B7" w:rsidRPr="00C64ECB">
        <w:rPr>
          <w:noProof/>
        </w:rPr>
        <w:fldChar w:fldCharType="separate"/>
      </w:r>
      <w:r w:rsidR="006E6E4D" w:rsidRPr="00C64ECB">
        <w:rPr>
          <w:noProof/>
        </w:rPr>
        <w:fldChar w:fldCharType="begin"/>
      </w:r>
      <w:r w:rsidR="006E6E4D" w:rsidRPr="00C64ECB">
        <w:rPr>
          <w:noProof/>
        </w:rPr>
        <w:instrText xml:space="preserve"> INCLUDEPICTURE  "cid:image001.png@01D3E3E6.8A8631F0" \* MERGEFORMATINET </w:instrText>
      </w:r>
      <w:r w:rsidR="006E6E4D" w:rsidRPr="00C64ECB">
        <w:rPr>
          <w:noProof/>
        </w:rPr>
        <w:fldChar w:fldCharType="separate"/>
      </w:r>
      <w:r w:rsidR="000468F4" w:rsidRPr="00C64ECB">
        <w:rPr>
          <w:noProof/>
        </w:rPr>
        <w:fldChar w:fldCharType="begin"/>
      </w:r>
      <w:r w:rsidR="000468F4" w:rsidRPr="00C64ECB">
        <w:rPr>
          <w:noProof/>
        </w:rPr>
        <w:instrText xml:space="preserve"> INCLUDEPICTURE  "cid:image001.png@01D3E3E6.8A8631F0" \* MERGEFORMATINET </w:instrText>
      </w:r>
      <w:r w:rsidR="000468F4" w:rsidRPr="00C64ECB">
        <w:rPr>
          <w:noProof/>
        </w:rPr>
        <w:fldChar w:fldCharType="separate"/>
      </w:r>
      <w:r w:rsidR="00D109E0" w:rsidRPr="00C64ECB">
        <w:rPr>
          <w:noProof/>
        </w:rPr>
        <w:fldChar w:fldCharType="begin"/>
      </w:r>
      <w:r w:rsidR="00D109E0" w:rsidRPr="00C64ECB">
        <w:rPr>
          <w:noProof/>
        </w:rPr>
        <w:instrText xml:space="preserve"> INCLUDEPICTURE  "cid:image001.png@01D3E3E6.8A8631F0" \* MERGEFORMATINET </w:instrText>
      </w:r>
      <w:r w:rsidR="00D109E0" w:rsidRPr="00C64ECB">
        <w:rPr>
          <w:noProof/>
        </w:rPr>
        <w:fldChar w:fldCharType="separate"/>
      </w:r>
      <w:r w:rsidR="009F3B06" w:rsidRPr="00C64ECB">
        <w:rPr>
          <w:noProof/>
        </w:rPr>
        <w:fldChar w:fldCharType="begin"/>
      </w:r>
      <w:r w:rsidR="009F3B06" w:rsidRPr="00C64ECB">
        <w:rPr>
          <w:noProof/>
        </w:rPr>
        <w:instrText xml:space="preserve"> INCLUDEPICTURE  "cid:image001.png@01D3E3E6.8A8631F0" \* MERGEFORMATINET </w:instrText>
      </w:r>
      <w:r w:rsidR="009F3B06" w:rsidRPr="00C64ECB">
        <w:rPr>
          <w:noProof/>
        </w:rPr>
        <w:fldChar w:fldCharType="separate"/>
      </w:r>
      <w:r w:rsidR="00735733" w:rsidRPr="00C64ECB">
        <w:rPr>
          <w:noProof/>
        </w:rPr>
        <w:fldChar w:fldCharType="begin"/>
      </w:r>
      <w:r w:rsidR="00735733" w:rsidRPr="00C64ECB">
        <w:rPr>
          <w:noProof/>
        </w:rPr>
        <w:instrText xml:space="preserve"> INCLUDEPICTURE  "cid:image001.png@01D3E3E6.8A8631F0" \* MERGEFORMATINET </w:instrText>
      </w:r>
      <w:r w:rsidR="00735733" w:rsidRPr="00C64ECB">
        <w:rPr>
          <w:noProof/>
        </w:rPr>
        <w:fldChar w:fldCharType="separate"/>
      </w:r>
      <w:r w:rsidR="00AF4CEB" w:rsidRPr="00C64ECB">
        <w:rPr>
          <w:noProof/>
        </w:rPr>
        <w:fldChar w:fldCharType="begin"/>
      </w:r>
      <w:r w:rsidR="00AF4CEB" w:rsidRPr="00C64ECB">
        <w:rPr>
          <w:noProof/>
        </w:rPr>
        <w:instrText xml:space="preserve"> INCLUDEPICTURE  "cid:image001.png@01D3E3E6.8A8631F0" \* MERGEFORMATINET </w:instrText>
      </w:r>
      <w:r w:rsidR="00AF4CEB" w:rsidRPr="00C64ECB">
        <w:rPr>
          <w:noProof/>
        </w:rPr>
        <w:fldChar w:fldCharType="separate"/>
      </w:r>
      <w:r w:rsidR="0094285E" w:rsidRPr="00C64ECB">
        <w:rPr>
          <w:noProof/>
        </w:rPr>
        <w:fldChar w:fldCharType="begin"/>
      </w:r>
      <w:r w:rsidR="0094285E" w:rsidRPr="00C64ECB">
        <w:rPr>
          <w:noProof/>
        </w:rPr>
        <w:instrText xml:space="preserve"> INCLUDEPICTURE  "cid:image001.png@01D3E3E6.8A8631F0" \* MERGEFORMATINET </w:instrText>
      </w:r>
      <w:r w:rsidR="0094285E" w:rsidRPr="00C64ECB">
        <w:rPr>
          <w:noProof/>
        </w:rPr>
        <w:fldChar w:fldCharType="separate"/>
      </w:r>
      <w:r w:rsidR="00E55E72" w:rsidRPr="00C64ECB">
        <w:rPr>
          <w:noProof/>
        </w:rPr>
        <w:fldChar w:fldCharType="begin"/>
      </w:r>
      <w:r w:rsidR="00E55E72" w:rsidRPr="00C64ECB">
        <w:rPr>
          <w:noProof/>
        </w:rPr>
        <w:instrText xml:space="preserve"> INCLUDEPICTURE  "cid:image001.png@01D3E3E6.8A8631F0" \* MERGEFORMATINET </w:instrText>
      </w:r>
      <w:r w:rsidR="00E55E72" w:rsidRPr="00C64ECB">
        <w:rPr>
          <w:noProof/>
        </w:rPr>
        <w:fldChar w:fldCharType="separate"/>
      </w:r>
      <w:r w:rsidR="00625F05" w:rsidRPr="00C64ECB">
        <w:rPr>
          <w:noProof/>
        </w:rPr>
        <w:fldChar w:fldCharType="begin"/>
      </w:r>
      <w:r w:rsidR="00625F05" w:rsidRPr="00C64ECB">
        <w:rPr>
          <w:noProof/>
        </w:rPr>
        <w:instrText xml:space="preserve"> INCLUDEPICTURE  "cid:image001.png@01D3E3E6.8A8631F0" \* MERGEFORMATINET </w:instrText>
      </w:r>
      <w:r w:rsidR="00625F05" w:rsidRPr="00C64ECB">
        <w:rPr>
          <w:noProof/>
        </w:rPr>
        <w:fldChar w:fldCharType="separate"/>
      </w:r>
      <w:r w:rsidR="00711817" w:rsidRPr="00C64ECB">
        <w:rPr>
          <w:noProof/>
        </w:rPr>
        <w:fldChar w:fldCharType="begin"/>
      </w:r>
      <w:r w:rsidR="00711817" w:rsidRPr="00C64ECB">
        <w:rPr>
          <w:noProof/>
        </w:rPr>
        <w:instrText xml:space="preserve"> INCLUDEPICTURE  "cid:image001.png@01D3E3E6.8A8631F0" \* MERGEFORMATINET </w:instrText>
      </w:r>
      <w:r w:rsidR="00711817" w:rsidRPr="00C64ECB">
        <w:rPr>
          <w:noProof/>
        </w:rPr>
        <w:fldChar w:fldCharType="separate"/>
      </w:r>
      <w:r w:rsidR="008F7726" w:rsidRPr="00C64ECB">
        <w:rPr>
          <w:noProof/>
        </w:rPr>
        <w:fldChar w:fldCharType="begin"/>
      </w:r>
      <w:r w:rsidR="008F7726" w:rsidRPr="00C64ECB">
        <w:rPr>
          <w:noProof/>
        </w:rPr>
        <w:instrText xml:space="preserve"> INCLUDEPICTURE  "cid:image001.png@01D3E3E6.8A8631F0" \* MERGEFORMATINET </w:instrText>
      </w:r>
      <w:r w:rsidR="008F7726" w:rsidRPr="00C64ECB">
        <w:rPr>
          <w:noProof/>
        </w:rPr>
        <w:fldChar w:fldCharType="separate"/>
      </w:r>
      <w:r w:rsidR="00A25B67" w:rsidRPr="00C64ECB">
        <w:rPr>
          <w:noProof/>
        </w:rPr>
        <w:fldChar w:fldCharType="begin"/>
      </w:r>
      <w:r w:rsidR="00A25B67" w:rsidRPr="00C64ECB">
        <w:rPr>
          <w:noProof/>
        </w:rPr>
        <w:instrText xml:space="preserve"> INCLUDEPICTURE  "cid:image001.png@01D3E3E6.8A8631F0" \* MERGEFORMATINET </w:instrText>
      </w:r>
      <w:r w:rsidR="00A25B67" w:rsidRPr="00C64ECB">
        <w:rPr>
          <w:noProof/>
        </w:rPr>
        <w:fldChar w:fldCharType="separate"/>
      </w:r>
      <w:r w:rsidR="00D2297C" w:rsidRPr="00C64ECB">
        <w:rPr>
          <w:noProof/>
        </w:rPr>
        <w:fldChar w:fldCharType="begin"/>
      </w:r>
      <w:r w:rsidR="00D2297C" w:rsidRPr="00C64ECB">
        <w:rPr>
          <w:noProof/>
        </w:rPr>
        <w:instrText xml:space="preserve"> INCLUDEPICTURE  "cid:image001.png@01D3E3E6.8A8631F0" \* MERGEFORMATINET </w:instrText>
      </w:r>
      <w:r w:rsidR="00D2297C" w:rsidRPr="00C64ECB">
        <w:rPr>
          <w:noProof/>
        </w:rPr>
        <w:fldChar w:fldCharType="separate"/>
      </w:r>
      <w:r w:rsidR="00B77A43" w:rsidRPr="00C64ECB">
        <w:rPr>
          <w:noProof/>
        </w:rPr>
        <w:fldChar w:fldCharType="begin"/>
      </w:r>
      <w:r w:rsidR="00B77A43" w:rsidRPr="00C64ECB">
        <w:rPr>
          <w:noProof/>
        </w:rPr>
        <w:instrText xml:space="preserve"> INCLUDEPICTURE  "cid:image001.png@01D3E3E6.8A8631F0" \* MERGEFORMATINET </w:instrText>
      </w:r>
      <w:r w:rsidR="00B77A43" w:rsidRPr="00C64ECB">
        <w:rPr>
          <w:noProof/>
        </w:rPr>
        <w:fldChar w:fldCharType="separate"/>
      </w:r>
      <w:r w:rsidR="00A5514E" w:rsidRPr="00C64ECB">
        <w:rPr>
          <w:noProof/>
        </w:rPr>
        <w:fldChar w:fldCharType="begin"/>
      </w:r>
      <w:r w:rsidR="00A5514E" w:rsidRPr="00C64ECB">
        <w:rPr>
          <w:noProof/>
        </w:rPr>
        <w:instrText xml:space="preserve"> INCLUDEPICTURE  "cid:image001.png@01D3E3E6.8A8631F0" \* MERGEFORMATINET </w:instrText>
      </w:r>
      <w:r w:rsidR="00A5514E" w:rsidRPr="00C64ECB">
        <w:rPr>
          <w:noProof/>
        </w:rPr>
        <w:fldChar w:fldCharType="separate"/>
      </w:r>
      <w:r w:rsidR="00E57B61" w:rsidRPr="00C64ECB">
        <w:rPr>
          <w:noProof/>
        </w:rPr>
        <w:fldChar w:fldCharType="begin"/>
      </w:r>
      <w:r w:rsidR="00E57B61" w:rsidRPr="00C64ECB">
        <w:rPr>
          <w:noProof/>
        </w:rPr>
        <w:instrText xml:space="preserve"> INCLUDEPICTURE  "cid:image001.png@01D3E3E6.8A8631F0" \* MERGEFORMATINET </w:instrText>
      </w:r>
      <w:r w:rsidR="00E57B61" w:rsidRPr="00C64ECB">
        <w:rPr>
          <w:noProof/>
        </w:rPr>
        <w:fldChar w:fldCharType="separate"/>
      </w:r>
      <w:r w:rsidR="00C64ECB" w:rsidRPr="00C64ECB">
        <w:rPr>
          <w:noProof/>
        </w:rPr>
        <w:fldChar w:fldCharType="begin"/>
      </w:r>
      <w:r w:rsidR="00C64ECB" w:rsidRPr="00C64ECB">
        <w:rPr>
          <w:noProof/>
        </w:rPr>
        <w:instrText xml:space="preserve"> INCLUDEPICTURE  "cid:image001.png@01D3E3E6.8A8631F0" \* MERGEFORMATINET </w:instrText>
      </w:r>
      <w:r w:rsidR="00C64ECB" w:rsidRPr="00C64ECB">
        <w:rPr>
          <w:noProof/>
        </w:rPr>
        <w:fldChar w:fldCharType="separate"/>
      </w:r>
      <w:r w:rsidR="009220DC">
        <w:rPr>
          <w:noProof/>
        </w:rPr>
        <w:fldChar w:fldCharType="begin"/>
      </w:r>
      <w:r w:rsidR="009220DC">
        <w:rPr>
          <w:noProof/>
        </w:rPr>
        <w:instrText xml:space="preserve"> INCLUDEPICTURE  "cid:image001.png@01D3E3E6.8A8631F0" \* MERGEFORMATINET </w:instrText>
      </w:r>
      <w:r w:rsidR="009220DC">
        <w:rPr>
          <w:noProof/>
        </w:rPr>
        <w:fldChar w:fldCharType="separate"/>
      </w:r>
      <w:r w:rsidR="002E7265">
        <w:rPr>
          <w:noProof/>
        </w:rPr>
        <w:fldChar w:fldCharType="begin"/>
      </w:r>
      <w:r w:rsidR="002E7265">
        <w:rPr>
          <w:noProof/>
        </w:rPr>
        <w:instrText xml:space="preserve"> INCLUDEPICTURE  "cid:image001.png@01D3E3E6.8A8631F0" \* MERGEFORMATINET </w:instrText>
      </w:r>
      <w:r w:rsidR="002E7265">
        <w:rPr>
          <w:noProof/>
        </w:rPr>
        <w:fldChar w:fldCharType="separate"/>
      </w:r>
      <w:r w:rsidR="001A0DD8">
        <w:rPr>
          <w:noProof/>
        </w:rPr>
        <w:fldChar w:fldCharType="begin"/>
      </w:r>
      <w:r w:rsidR="001A0DD8">
        <w:rPr>
          <w:noProof/>
        </w:rPr>
        <w:instrText xml:space="preserve"> INCLUDEPICTURE  "cid:image001.png@01D3E3E6.8A8631F0" \* MERGEFORMATINET </w:instrText>
      </w:r>
      <w:r w:rsidR="001A0DD8">
        <w:rPr>
          <w:noProof/>
        </w:rPr>
        <w:fldChar w:fldCharType="separate"/>
      </w:r>
      <w:r w:rsidR="004730D7">
        <w:rPr>
          <w:noProof/>
        </w:rPr>
        <w:fldChar w:fldCharType="begin"/>
      </w:r>
      <w:r w:rsidR="004730D7">
        <w:rPr>
          <w:noProof/>
        </w:rPr>
        <w:instrText xml:space="preserve"> INCLUDEPICTURE  "cid:image001.png@01D3E3E6.8A8631F0" \* MERGEFORMATINET </w:instrText>
      </w:r>
      <w:r w:rsidR="004730D7">
        <w:rPr>
          <w:noProof/>
        </w:rPr>
        <w:fldChar w:fldCharType="separate"/>
      </w:r>
      <w:r w:rsidR="004D116C">
        <w:rPr>
          <w:noProof/>
        </w:rPr>
        <w:fldChar w:fldCharType="begin"/>
      </w:r>
      <w:r w:rsidR="004D116C">
        <w:rPr>
          <w:noProof/>
        </w:rPr>
        <w:instrText xml:space="preserve"> INCLUDEPICTURE  "cid:image001.png@01D3E3E6.8A8631F0" \* MERGEFORMATINET </w:instrText>
      </w:r>
      <w:r w:rsidR="004D116C">
        <w:rPr>
          <w:noProof/>
        </w:rPr>
        <w:fldChar w:fldCharType="separate"/>
      </w:r>
      <w:r w:rsidR="00C64C4D">
        <w:rPr>
          <w:noProof/>
        </w:rPr>
        <w:fldChar w:fldCharType="begin"/>
      </w:r>
      <w:r w:rsidR="00C64C4D">
        <w:rPr>
          <w:noProof/>
        </w:rPr>
        <w:instrText xml:space="preserve"> INCLUDEPICTURE  "cid:image001.png@01D3E3E6.8A8631F0" \* MERGEFORMATINET </w:instrText>
      </w:r>
      <w:r w:rsidR="00C64C4D">
        <w:rPr>
          <w:noProof/>
        </w:rPr>
        <w:fldChar w:fldCharType="separate"/>
      </w:r>
      <w:r w:rsidR="003C0826">
        <w:rPr>
          <w:noProof/>
        </w:rPr>
        <w:fldChar w:fldCharType="begin"/>
      </w:r>
      <w:r w:rsidR="003C0826">
        <w:rPr>
          <w:noProof/>
        </w:rPr>
        <w:instrText xml:space="preserve"> INCLUDEPICTURE  "cid:image001.png@01D3E3E6.8A8631F0" \* MERGEFORMATINET </w:instrText>
      </w:r>
      <w:r w:rsidR="003C0826">
        <w:rPr>
          <w:noProof/>
        </w:rPr>
        <w:fldChar w:fldCharType="separate"/>
      </w:r>
      <w:r w:rsidR="00863F30">
        <w:rPr>
          <w:noProof/>
        </w:rPr>
        <w:fldChar w:fldCharType="begin"/>
      </w:r>
      <w:r w:rsidR="00863F30">
        <w:rPr>
          <w:noProof/>
        </w:rPr>
        <w:instrText xml:space="preserve"> </w:instrText>
      </w:r>
      <w:r w:rsidR="00863F30">
        <w:rPr>
          <w:noProof/>
        </w:rPr>
        <w:instrText>INCLUDEPICTURE  "cid:image001.png@01D3E3E6.8A8631F0" \* MERGEFORMATINET</w:instrText>
      </w:r>
      <w:r w:rsidR="00863F30">
        <w:rPr>
          <w:noProof/>
        </w:rPr>
        <w:instrText xml:space="preserve"> </w:instrText>
      </w:r>
      <w:r w:rsidR="00863F30">
        <w:rPr>
          <w:noProof/>
        </w:rPr>
        <w:fldChar w:fldCharType="separate"/>
      </w:r>
      <w:r w:rsidR="004C4B0A">
        <w:rPr>
          <w:noProof/>
        </w:rPr>
        <w:pict w14:anchorId="73FA2BE2">
          <v:shape id="_x0000_i1026" type="#_x0000_t75" style="width:244.5pt;height:116.25pt;visibility:visible">
            <v:imagedata r:id="rId23" r:href="rId24" croptop="7127f" cropbottom="7531f" cropleft="3230f" cropright="3976f"/>
          </v:shape>
        </w:pict>
      </w:r>
      <w:r w:rsidR="00863F30">
        <w:rPr>
          <w:noProof/>
        </w:rPr>
        <w:fldChar w:fldCharType="end"/>
      </w:r>
      <w:r w:rsidR="003C0826">
        <w:rPr>
          <w:noProof/>
        </w:rPr>
        <w:fldChar w:fldCharType="end"/>
      </w:r>
      <w:r w:rsidR="00C64C4D">
        <w:rPr>
          <w:noProof/>
        </w:rPr>
        <w:fldChar w:fldCharType="end"/>
      </w:r>
      <w:r w:rsidR="004D116C">
        <w:rPr>
          <w:noProof/>
        </w:rPr>
        <w:fldChar w:fldCharType="end"/>
      </w:r>
      <w:r w:rsidR="004730D7">
        <w:rPr>
          <w:noProof/>
        </w:rPr>
        <w:fldChar w:fldCharType="end"/>
      </w:r>
      <w:r w:rsidR="001A0DD8">
        <w:rPr>
          <w:noProof/>
        </w:rPr>
        <w:fldChar w:fldCharType="end"/>
      </w:r>
      <w:r w:rsidR="002E7265">
        <w:rPr>
          <w:noProof/>
        </w:rPr>
        <w:fldChar w:fldCharType="end"/>
      </w:r>
      <w:r w:rsidR="009220DC">
        <w:rPr>
          <w:noProof/>
        </w:rPr>
        <w:fldChar w:fldCharType="end"/>
      </w:r>
      <w:r w:rsidR="00C64ECB" w:rsidRPr="00C64ECB">
        <w:rPr>
          <w:noProof/>
        </w:rPr>
        <w:fldChar w:fldCharType="end"/>
      </w:r>
      <w:r w:rsidR="00E57B61" w:rsidRPr="00C64ECB">
        <w:rPr>
          <w:noProof/>
        </w:rPr>
        <w:fldChar w:fldCharType="end"/>
      </w:r>
      <w:r w:rsidR="00A5514E" w:rsidRPr="00C64ECB">
        <w:rPr>
          <w:noProof/>
        </w:rPr>
        <w:fldChar w:fldCharType="end"/>
      </w:r>
      <w:r w:rsidR="00B77A43" w:rsidRPr="00C64ECB">
        <w:rPr>
          <w:noProof/>
        </w:rPr>
        <w:fldChar w:fldCharType="end"/>
      </w:r>
      <w:r w:rsidR="00D2297C" w:rsidRPr="00C64ECB">
        <w:rPr>
          <w:noProof/>
        </w:rPr>
        <w:fldChar w:fldCharType="end"/>
      </w:r>
      <w:r w:rsidR="00A25B67" w:rsidRPr="00C64ECB">
        <w:rPr>
          <w:noProof/>
        </w:rPr>
        <w:fldChar w:fldCharType="end"/>
      </w:r>
      <w:r w:rsidR="008F7726" w:rsidRPr="00C64ECB">
        <w:rPr>
          <w:noProof/>
        </w:rPr>
        <w:fldChar w:fldCharType="end"/>
      </w:r>
      <w:r w:rsidR="00711817" w:rsidRPr="00C64ECB">
        <w:rPr>
          <w:noProof/>
        </w:rPr>
        <w:fldChar w:fldCharType="end"/>
      </w:r>
      <w:r w:rsidR="00625F05" w:rsidRPr="00C64ECB">
        <w:rPr>
          <w:noProof/>
        </w:rPr>
        <w:fldChar w:fldCharType="end"/>
      </w:r>
      <w:r w:rsidR="00E55E72" w:rsidRPr="00C64ECB">
        <w:rPr>
          <w:noProof/>
        </w:rPr>
        <w:fldChar w:fldCharType="end"/>
      </w:r>
      <w:r w:rsidR="0094285E" w:rsidRPr="00C64ECB">
        <w:rPr>
          <w:noProof/>
        </w:rPr>
        <w:fldChar w:fldCharType="end"/>
      </w:r>
      <w:r w:rsidR="00AF4CEB" w:rsidRPr="00C64ECB">
        <w:rPr>
          <w:noProof/>
        </w:rPr>
        <w:fldChar w:fldCharType="end"/>
      </w:r>
      <w:r w:rsidR="00735733" w:rsidRPr="00C64ECB">
        <w:rPr>
          <w:noProof/>
        </w:rPr>
        <w:fldChar w:fldCharType="end"/>
      </w:r>
      <w:r w:rsidR="009F3B06" w:rsidRPr="00C64ECB">
        <w:rPr>
          <w:noProof/>
        </w:rPr>
        <w:fldChar w:fldCharType="end"/>
      </w:r>
      <w:r w:rsidR="00D109E0" w:rsidRPr="00C64ECB">
        <w:rPr>
          <w:noProof/>
        </w:rPr>
        <w:fldChar w:fldCharType="end"/>
      </w:r>
      <w:r w:rsidR="000468F4" w:rsidRPr="00C64ECB">
        <w:rPr>
          <w:noProof/>
        </w:rPr>
        <w:fldChar w:fldCharType="end"/>
      </w:r>
      <w:r w:rsidR="006E6E4D" w:rsidRPr="00C64ECB">
        <w:rPr>
          <w:noProof/>
        </w:rPr>
        <w:fldChar w:fldCharType="end"/>
      </w:r>
      <w:r w:rsidR="009F72B7" w:rsidRPr="00C64ECB">
        <w:rPr>
          <w:noProof/>
        </w:rPr>
        <w:fldChar w:fldCharType="end"/>
      </w:r>
      <w:r w:rsidR="00522F67" w:rsidRPr="00C64ECB">
        <w:rPr>
          <w:noProof/>
        </w:rPr>
        <w:fldChar w:fldCharType="end"/>
      </w:r>
      <w:r w:rsidR="00873401" w:rsidRPr="00C64ECB">
        <w:rPr>
          <w:noProof/>
        </w:rPr>
        <w:fldChar w:fldCharType="end"/>
      </w:r>
      <w:r w:rsidR="00643848" w:rsidRPr="00C64ECB">
        <w:rPr>
          <w:noProof/>
        </w:rPr>
        <w:fldChar w:fldCharType="end"/>
      </w:r>
      <w:r w:rsidR="008D5995" w:rsidRPr="00C64ECB">
        <w:rPr>
          <w:noProof/>
        </w:rPr>
        <w:fldChar w:fldCharType="end"/>
      </w:r>
      <w:r w:rsidR="00D674D2" w:rsidRPr="00C64ECB">
        <w:rPr>
          <w:noProof/>
        </w:rPr>
        <w:fldChar w:fldCharType="end"/>
      </w:r>
      <w:r w:rsidR="0069683F" w:rsidRPr="00C64ECB">
        <w:rPr>
          <w:noProof/>
        </w:rPr>
        <w:fldChar w:fldCharType="end"/>
      </w:r>
      <w:r w:rsidR="00DF5FEA" w:rsidRPr="00C64ECB">
        <w:rPr>
          <w:noProof/>
        </w:rPr>
        <w:fldChar w:fldCharType="end"/>
      </w:r>
      <w:r w:rsidR="005B3529" w:rsidRPr="00C64ECB">
        <w:rPr>
          <w:noProof/>
        </w:rPr>
        <w:fldChar w:fldCharType="end"/>
      </w:r>
      <w:r w:rsidR="00532666" w:rsidRPr="00C64ECB">
        <w:rPr>
          <w:noProof/>
        </w:rPr>
        <w:fldChar w:fldCharType="end"/>
      </w:r>
      <w:r w:rsidR="00751B11" w:rsidRPr="00C64ECB">
        <w:rPr>
          <w:noProof/>
        </w:rPr>
        <w:fldChar w:fldCharType="end"/>
      </w:r>
      <w:r w:rsidR="00010CD8" w:rsidRPr="00C64ECB">
        <w:rPr>
          <w:noProof/>
        </w:rPr>
        <w:fldChar w:fldCharType="end"/>
      </w:r>
      <w:r w:rsidR="0085014F" w:rsidRPr="00C64ECB">
        <w:rPr>
          <w:noProof/>
        </w:rPr>
        <w:fldChar w:fldCharType="end"/>
      </w:r>
      <w:r w:rsidR="00E7683E" w:rsidRPr="00C64ECB">
        <w:rPr>
          <w:noProof/>
        </w:rPr>
        <w:fldChar w:fldCharType="end"/>
      </w:r>
      <w:r w:rsidR="00E76419" w:rsidRPr="00C64ECB">
        <w:rPr>
          <w:noProof/>
        </w:rPr>
        <w:fldChar w:fldCharType="end"/>
      </w:r>
      <w:r w:rsidR="00795B31" w:rsidRPr="00C64ECB">
        <w:rPr>
          <w:noProof/>
        </w:rPr>
        <w:fldChar w:fldCharType="end"/>
      </w:r>
      <w:r w:rsidRPr="00C64ECB">
        <w:rPr>
          <w:noProof/>
        </w:rPr>
        <w:fldChar w:fldCharType="end"/>
      </w:r>
    </w:p>
    <w:p w14:paraId="7E29D1EB" w14:textId="66069629" w:rsidR="00B40FD8" w:rsidRPr="00C64ECB" w:rsidRDefault="00BE3470" w:rsidP="00E542E9">
      <w:pPr>
        <w:pStyle w:val="TF"/>
      </w:pPr>
      <w:bookmarkStart w:id="82" w:name="_Ref513631513"/>
      <w:r w:rsidRPr="00C64ECB">
        <w:t>Figure</w:t>
      </w:r>
      <w:r w:rsidR="007A1D2B" w:rsidRPr="00C64ECB">
        <w:t xml:space="preserve"> 1</w:t>
      </w:r>
      <w:bookmarkEnd w:id="82"/>
      <w:r w:rsidR="007A1D2B" w:rsidRPr="00C64ECB">
        <w:t>:</w:t>
      </w:r>
      <w:r w:rsidRPr="00C64ECB">
        <w:t xml:space="preserve"> Indoor sub7 simulation office layout</w:t>
      </w:r>
    </w:p>
    <w:p w14:paraId="4737F01D" w14:textId="77777777" w:rsidR="009D4A93" w:rsidRPr="00C64ECB" w:rsidRDefault="009D4A93" w:rsidP="009D4A93">
      <w:r w:rsidRPr="00C64ECB">
        <w:lastRenderedPageBreak/>
        <w:t>Additional evaluation parameters are provided in Annex A.1.1.</w:t>
      </w:r>
    </w:p>
    <w:p w14:paraId="4E01F904" w14:textId="77777777" w:rsidR="00CB2721" w:rsidRPr="00C64ECB" w:rsidRDefault="00CB2721" w:rsidP="00CB2721">
      <w:pPr>
        <w:pStyle w:val="Heading3"/>
      </w:pPr>
      <w:bookmarkStart w:id="83" w:name="_Toc531343029"/>
      <w:r w:rsidRPr="00C64ECB">
        <w:t>8.1.2</w:t>
      </w:r>
      <w:r w:rsidRPr="00C64ECB">
        <w:tab/>
        <w:t>Sub7GHz outdoor scenario</w:t>
      </w:r>
      <w:bookmarkEnd w:id="83"/>
    </w:p>
    <w:p w14:paraId="642B7C62" w14:textId="491F4966" w:rsidR="00101804" w:rsidRPr="00C64ECB" w:rsidRDefault="00101804" w:rsidP="001603EA">
      <w:r w:rsidRPr="00C64ECB">
        <w:t xml:space="preserve">For sub 7 GHz outdoor simulation evaluation, two scenarios are considered. The two scenarios differ in the inter-gNB distance within the same macro cell. </w:t>
      </w:r>
    </w:p>
    <w:p w14:paraId="0B673FD6" w14:textId="58267DF7" w:rsidR="00101804" w:rsidRPr="00C64ECB" w:rsidRDefault="001603EA" w:rsidP="001603EA">
      <w:pPr>
        <w:pStyle w:val="B1"/>
      </w:pPr>
      <w:r w:rsidRPr="00C64ECB">
        <w:t>-</w:t>
      </w:r>
      <w:r w:rsidRPr="00C64ECB">
        <w:tab/>
      </w:r>
      <w:r w:rsidR="00101804" w:rsidRPr="00C64ECB">
        <w:t>Scenario 1: Within each macro cell coverage, two operators each drop one micro gNB with a maximum distance of 30 meters between the gNBs</w:t>
      </w:r>
    </w:p>
    <w:p w14:paraId="7B1D2BA7" w14:textId="47D9BD4D" w:rsidR="00101804" w:rsidRPr="00C64ECB" w:rsidRDefault="001603EA" w:rsidP="001603EA">
      <w:pPr>
        <w:pStyle w:val="B1"/>
      </w:pPr>
      <w:r w:rsidRPr="00C64ECB">
        <w:t>-</w:t>
      </w:r>
      <w:r w:rsidRPr="00C64ECB">
        <w:tab/>
      </w:r>
      <w:r w:rsidR="00101804" w:rsidRPr="00C64ECB">
        <w:t>Scenario 2: Within each macro cell coverage, two operators each drop one micro gNB with no limitation on the inter-gNB distance.</w:t>
      </w:r>
    </w:p>
    <w:p w14:paraId="285AD7F0" w14:textId="29676C4D" w:rsidR="00101804" w:rsidRPr="00C64ECB" w:rsidRDefault="00101804" w:rsidP="001603EA">
      <w:r w:rsidRPr="00C64ECB">
        <w:t>The layout of the gNBs are defined as follows:</w:t>
      </w:r>
    </w:p>
    <w:p w14:paraId="45D47C2A" w14:textId="0C35E5CB" w:rsidR="00253EF9" w:rsidRPr="00C64ECB" w:rsidRDefault="001603EA" w:rsidP="001603EA">
      <w:pPr>
        <w:pStyle w:val="B1"/>
      </w:pPr>
      <w:r w:rsidRPr="00C64ECB">
        <w:t>-</w:t>
      </w:r>
      <w:r w:rsidRPr="00C64ECB">
        <w:tab/>
      </w:r>
      <w:r w:rsidR="00253EF9" w:rsidRPr="00C64ECB">
        <w:t>Macro deployment with ISD=200×A meters</w:t>
      </w:r>
    </w:p>
    <w:p w14:paraId="5AD5EE78" w14:textId="12837B2E" w:rsidR="00EC7E4A" w:rsidRPr="00C64ECB" w:rsidRDefault="00EC7E4A" w:rsidP="00977263">
      <w:pPr>
        <w:pStyle w:val="B2"/>
        <w:ind w:left="568" w:hanging="1"/>
      </w:pPr>
      <w:r w:rsidRPr="00C64ECB">
        <w:t>-</w:t>
      </w:r>
      <w:r w:rsidRPr="00C64ECB">
        <w:tab/>
        <w:t>A=1.0 for scenario 1</w:t>
      </w:r>
    </w:p>
    <w:p w14:paraId="03AC20B1" w14:textId="78632DF5" w:rsidR="00253EF9" w:rsidRPr="00C64ECB" w:rsidRDefault="00EC7E4A" w:rsidP="001603EA">
      <w:pPr>
        <w:pStyle w:val="B1"/>
        <w:rPr>
          <w:rFonts w:eastAsia="Times New Roman"/>
        </w:rPr>
      </w:pPr>
      <w:r w:rsidRPr="00C64ECB">
        <w:t>-</w:t>
      </w:r>
      <w:r w:rsidRPr="00C64ECB">
        <w:tab/>
        <w:t>A=1.5 for scenario 2</w:t>
      </w:r>
      <w:r w:rsidR="001603EA" w:rsidRPr="00C64ECB">
        <w:t>-</w:t>
      </w:r>
      <w:r w:rsidR="001603EA" w:rsidRPr="00C64ECB">
        <w:tab/>
      </w:r>
      <w:r w:rsidR="00253EF9" w:rsidRPr="00C64ECB">
        <w:t xml:space="preserve">Each </w:t>
      </w:r>
      <w:r w:rsidR="00253EF9" w:rsidRPr="00C64ECB">
        <w:rPr>
          <w:rFonts w:eastAsia="Times New Roman"/>
        </w:rPr>
        <w:t>operator randomly drops 1 micro-layer TRP within each macro cell sector with minimum distance between micro-layer TRPs equals 57.9</w:t>
      </w:r>
      <w:r w:rsidR="00253EF9" w:rsidRPr="00C64ECB">
        <w:t>×</w:t>
      </w:r>
      <w:r w:rsidR="00253EF9" w:rsidRPr="00C64ECB">
        <w:rPr>
          <w:rFonts w:eastAsia="Times New Roman"/>
        </w:rPr>
        <w:t>A meters</w:t>
      </w:r>
    </w:p>
    <w:p w14:paraId="7D6EDA13" w14:textId="5BA68581" w:rsidR="00253EF9" w:rsidRPr="00C64ECB" w:rsidRDefault="001603EA" w:rsidP="001603EA">
      <w:pPr>
        <w:pStyle w:val="B1"/>
        <w:rPr>
          <w:rFonts w:eastAsia="Times New Roman"/>
        </w:rPr>
      </w:pPr>
      <w:r w:rsidRPr="00C64ECB">
        <w:rPr>
          <w:rFonts w:eastAsia="Times New Roman"/>
        </w:rPr>
        <w:t>-</w:t>
      </w:r>
      <w:r w:rsidRPr="00C64ECB">
        <w:rPr>
          <w:rFonts w:eastAsia="Times New Roman"/>
        </w:rPr>
        <w:tab/>
      </w:r>
      <w:r w:rsidR="00253EF9" w:rsidRPr="00C64ECB">
        <w:rPr>
          <w:rFonts w:eastAsia="Times New Roman"/>
        </w:rPr>
        <w:t>Independent dropping between two operators</w:t>
      </w:r>
    </w:p>
    <w:p w14:paraId="20B0F873" w14:textId="5FAFB623" w:rsidR="00253EF9" w:rsidRPr="00C64ECB" w:rsidRDefault="001603EA" w:rsidP="001603EA">
      <w:pPr>
        <w:pStyle w:val="B2"/>
      </w:pPr>
      <w:r w:rsidRPr="00C64ECB">
        <w:t>-</w:t>
      </w:r>
      <w:r w:rsidRPr="00C64ECB">
        <w:tab/>
      </w:r>
      <w:r w:rsidR="00253EF9" w:rsidRPr="00C64ECB">
        <w:t>Use 10 meters as the inter-operator micro-layer TRP minimum distance</w:t>
      </w:r>
    </w:p>
    <w:p w14:paraId="40381CD5" w14:textId="45424FA1" w:rsidR="00253EF9" w:rsidRPr="00C64ECB" w:rsidRDefault="001603EA" w:rsidP="001603EA">
      <w:pPr>
        <w:pStyle w:val="B2"/>
      </w:pPr>
      <w:r w:rsidRPr="00C64ECB">
        <w:t>-</w:t>
      </w:r>
      <w:r w:rsidRPr="00C64ECB">
        <w:tab/>
      </w:r>
      <w:r w:rsidR="00253EF9" w:rsidRPr="00C64ECB">
        <w:t>For the inter-operator micro-layer TRP maximum distance</w:t>
      </w:r>
    </w:p>
    <w:p w14:paraId="43B6F50A" w14:textId="39079835" w:rsidR="00253EF9" w:rsidRPr="00C64ECB" w:rsidRDefault="001603EA" w:rsidP="001603EA">
      <w:pPr>
        <w:pStyle w:val="B3"/>
      </w:pPr>
      <w:r w:rsidRPr="00C64ECB">
        <w:t>-</w:t>
      </w:r>
      <w:r w:rsidRPr="00C64ECB">
        <w:tab/>
      </w:r>
      <w:r w:rsidR="00253EF9" w:rsidRPr="00C64ECB">
        <w:t>Outdoor scenario 1: 30</w:t>
      </w:r>
    </w:p>
    <w:p w14:paraId="5CE35C6B" w14:textId="528F7A26" w:rsidR="00253EF9" w:rsidRPr="00C64ECB" w:rsidRDefault="001603EA" w:rsidP="001603EA">
      <w:pPr>
        <w:pStyle w:val="B3"/>
      </w:pPr>
      <w:r w:rsidRPr="00C64ECB">
        <w:t>-</w:t>
      </w:r>
      <w:r w:rsidRPr="00C64ECB">
        <w:tab/>
      </w:r>
      <w:r w:rsidR="00253EF9" w:rsidRPr="00C64ECB">
        <w:t>Outdoor scenario 2: No limit as long as the TRP is within the macro cell</w:t>
      </w:r>
    </w:p>
    <w:p w14:paraId="1BC4B179" w14:textId="58FD5353" w:rsidR="00AD4806" w:rsidRPr="00C64ECB" w:rsidRDefault="00AD4806" w:rsidP="001603EA">
      <w:r w:rsidRPr="00C64ECB">
        <w:t>The layout of UEs are defined as follows:</w:t>
      </w:r>
    </w:p>
    <w:p w14:paraId="195D6245" w14:textId="03DC20C4" w:rsidR="00253EF9" w:rsidRPr="00C64ECB" w:rsidRDefault="001603EA" w:rsidP="001603EA">
      <w:pPr>
        <w:pStyle w:val="B1"/>
      </w:pPr>
      <w:r w:rsidRPr="00C64ECB">
        <w:t>-</w:t>
      </w:r>
      <w:r w:rsidRPr="00C64ECB">
        <w:tab/>
      </w:r>
      <w:r w:rsidR="00253EF9" w:rsidRPr="00C64ECB">
        <w:t>UE randomly dropped within macro cell sector with a minimum serving cell RSSI of -82dBm</w:t>
      </w:r>
    </w:p>
    <w:p w14:paraId="2E8FAC09" w14:textId="21012C5F" w:rsidR="00253EF9" w:rsidRPr="00C64ECB" w:rsidRDefault="001603EA" w:rsidP="001603EA">
      <w:pPr>
        <w:pStyle w:val="B1"/>
      </w:pPr>
      <w:r w:rsidRPr="00C64ECB">
        <w:t>-</w:t>
      </w:r>
      <w:r w:rsidRPr="00C64ECB">
        <w:tab/>
      </w:r>
      <w:r w:rsidR="00253EF9" w:rsidRPr="00C64ECB">
        <w:t>All UEs dropped outdoor</w:t>
      </w:r>
    </w:p>
    <w:p w14:paraId="1BFF8841" w14:textId="77777777" w:rsidR="009D4A93" w:rsidRPr="00C64ECB" w:rsidRDefault="009D4A93" w:rsidP="009D4A93">
      <w:r w:rsidRPr="00C64ECB">
        <w:t>Additional evaluation parameters are provided in Annex A.1.2.</w:t>
      </w:r>
    </w:p>
    <w:p w14:paraId="0E742FD4" w14:textId="3BD80AD0" w:rsidR="009052E1" w:rsidRPr="00C64ECB" w:rsidRDefault="009052E1" w:rsidP="009B4A5D">
      <w:pPr>
        <w:pStyle w:val="Heading2"/>
      </w:pPr>
      <w:bookmarkStart w:id="84" w:name="_Toc531343030"/>
      <w:r w:rsidRPr="00C64ECB">
        <w:t>8.2</w:t>
      </w:r>
      <w:r w:rsidRPr="00C64ECB">
        <w:tab/>
        <w:t>Channel access schemes</w:t>
      </w:r>
      <w:bookmarkEnd w:id="84"/>
    </w:p>
    <w:p w14:paraId="7B27BF87" w14:textId="77777777" w:rsidR="009D4A93" w:rsidRPr="00C64ECB" w:rsidRDefault="009D4A93" w:rsidP="009D4A93">
      <w:r w:rsidRPr="00C64ECB">
        <w:t xml:space="preserve">The </w:t>
      </w:r>
      <w:bookmarkStart w:id="85" w:name="OLE_LINK24"/>
      <w:r w:rsidRPr="00C64ECB">
        <w:t xml:space="preserve">channel access schemes </w:t>
      </w:r>
      <w:bookmarkEnd w:id="85"/>
      <w:r w:rsidRPr="00C64ECB">
        <w:t>for NR-based access for unlicensed spectrum can be classified into the following categories:</w:t>
      </w:r>
    </w:p>
    <w:p w14:paraId="3EEB8DB0" w14:textId="77777777" w:rsidR="009D4A93" w:rsidRPr="00C64ECB" w:rsidRDefault="009D4A93" w:rsidP="009D4A93">
      <w:pPr>
        <w:pStyle w:val="B1"/>
        <w:rPr>
          <w:i/>
        </w:rPr>
      </w:pPr>
      <w:r w:rsidRPr="00C64ECB">
        <w:rPr>
          <w:i/>
        </w:rPr>
        <w:t>-</w:t>
      </w:r>
      <w:r w:rsidRPr="00C64ECB">
        <w:rPr>
          <w:i/>
        </w:rPr>
        <w:tab/>
        <w:t xml:space="preserve">Category 1: Immediate transmission after a short switching gap </w:t>
      </w:r>
    </w:p>
    <w:p w14:paraId="6DA76549" w14:textId="77777777" w:rsidR="009D4A93" w:rsidRPr="00C64ECB" w:rsidRDefault="009D4A93" w:rsidP="009D4A93">
      <w:pPr>
        <w:pStyle w:val="B2"/>
      </w:pPr>
      <w:r w:rsidRPr="00C64ECB">
        <w:t>-</w:t>
      </w:r>
      <w:r w:rsidRPr="00C64ECB">
        <w:tab/>
        <w:t>This is used for a transmitter to immediately transmit after a switching gap inside a COT.</w:t>
      </w:r>
    </w:p>
    <w:p w14:paraId="49E5A53E" w14:textId="77777777" w:rsidR="009D4A93" w:rsidRPr="00C64ECB" w:rsidRDefault="009D4A93" w:rsidP="009D4A93">
      <w:pPr>
        <w:pStyle w:val="B2"/>
      </w:pPr>
      <w:r w:rsidRPr="00C64ECB">
        <w:t>-</w:t>
      </w:r>
      <w:r w:rsidRPr="00C64ECB">
        <w:tab/>
        <w:t>The switching gap from reception to transmission is to accommodate the transceiver turnaround time and is no longer than 16 µs.</w:t>
      </w:r>
    </w:p>
    <w:p w14:paraId="0A0121F4" w14:textId="77777777" w:rsidR="009D4A93" w:rsidRPr="00C64ECB" w:rsidRDefault="009D4A93" w:rsidP="009D4A93">
      <w:pPr>
        <w:pStyle w:val="B1"/>
        <w:rPr>
          <w:i/>
        </w:rPr>
      </w:pPr>
      <w:r w:rsidRPr="00C64ECB">
        <w:rPr>
          <w:i/>
        </w:rPr>
        <w:t>-</w:t>
      </w:r>
      <w:r w:rsidRPr="00C64ECB">
        <w:rPr>
          <w:i/>
        </w:rPr>
        <w:tab/>
        <w:t>Category 2: LBT without random back-off</w:t>
      </w:r>
    </w:p>
    <w:p w14:paraId="68804CBA" w14:textId="77777777" w:rsidR="009D4A93" w:rsidRPr="00C64ECB" w:rsidRDefault="009D4A93" w:rsidP="009D4A93">
      <w:pPr>
        <w:pStyle w:val="B2"/>
      </w:pPr>
      <w:r w:rsidRPr="00C64ECB">
        <w:t>-</w:t>
      </w:r>
      <w:r w:rsidRPr="00C64ECB">
        <w:tab/>
        <w:t>The duration of time that the channel is sensed to be idle before the transmitting entity transmits is deterministic.</w:t>
      </w:r>
    </w:p>
    <w:p w14:paraId="1D0C7987" w14:textId="77777777" w:rsidR="009D4A93" w:rsidRPr="00C64ECB" w:rsidRDefault="009D4A93" w:rsidP="009D4A93">
      <w:pPr>
        <w:pStyle w:val="B1"/>
        <w:rPr>
          <w:i/>
        </w:rPr>
      </w:pPr>
      <w:r w:rsidRPr="00C64ECB">
        <w:rPr>
          <w:i/>
        </w:rPr>
        <w:t>-</w:t>
      </w:r>
      <w:r w:rsidRPr="00C64ECB">
        <w:rPr>
          <w:i/>
        </w:rPr>
        <w:tab/>
        <w:t>Category 3: LBT with random back-off with a contention window of fixed size</w:t>
      </w:r>
    </w:p>
    <w:p w14:paraId="029EF07C" w14:textId="77777777" w:rsidR="009D4A93" w:rsidRPr="00C64ECB" w:rsidRDefault="009D4A93" w:rsidP="009D4A93">
      <w:pPr>
        <w:pStyle w:val="B2"/>
      </w:pPr>
      <w:r w:rsidRPr="00C64ECB">
        <w:t>-</w:t>
      </w:r>
      <w:r w:rsidRPr="00C64ECB">
        <w:tab/>
        <w:t xml:space="preserve">The LBT procedure has the following procedure as one of its components. The transmitting entity draws a random number N within a contention window. The size of the contention window is specified by the minimum and maximum value of N. The size of the contention window is fixed. The random number N is used in the LBT procedure to determine the duration of time that the channel is sensed to be idle before the transmitting entity transmits on the channel. </w:t>
      </w:r>
    </w:p>
    <w:p w14:paraId="267C809E" w14:textId="77777777" w:rsidR="009D4A93" w:rsidRPr="00C64ECB" w:rsidRDefault="009D4A93" w:rsidP="009D4A93">
      <w:pPr>
        <w:pStyle w:val="B1"/>
        <w:rPr>
          <w:i/>
        </w:rPr>
      </w:pPr>
      <w:r w:rsidRPr="00C64ECB">
        <w:rPr>
          <w:i/>
        </w:rPr>
        <w:t>-</w:t>
      </w:r>
      <w:r w:rsidRPr="00C64ECB">
        <w:rPr>
          <w:i/>
        </w:rPr>
        <w:tab/>
        <w:t>Category 4: LBT with random back-off with a contention window of variable size</w:t>
      </w:r>
    </w:p>
    <w:p w14:paraId="115EF064" w14:textId="77777777" w:rsidR="009D4A93" w:rsidRPr="00C64ECB" w:rsidRDefault="009D4A93" w:rsidP="009D4A93">
      <w:pPr>
        <w:pStyle w:val="B2"/>
      </w:pPr>
      <w:r w:rsidRPr="00C64ECB">
        <w:lastRenderedPageBreak/>
        <w:t>-</w:t>
      </w:r>
      <w:r w:rsidRPr="00C64ECB">
        <w:tab/>
        <w:t xml:space="preserve">The LBT procedure has the following as one of its components. The transmitting entity draws a random number N within a contention window. The size of contention window is specified by the minimum and maximum value of N. The transmitting entity can vary the size of the contention window when drawing the random number N. The random number N is used in the LBT procedure to determine the duration of time that the channel is sensed to be idle before the transmitting entity transmits on the channel. </w:t>
      </w:r>
    </w:p>
    <w:p w14:paraId="6A23A155" w14:textId="71CA79D1" w:rsidR="003F074D" w:rsidRPr="00C64ECB" w:rsidRDefault="009D4A93" w:rsidP="00DC2611">
      <w:pPr>
        <w:pStyle w:val="B2"/>
        <w:ind w:left="0" w:firstLine="0"/>
      </w:pPr>
      <w:r w:rsidRPr="00C64ECB">
        <w:t>For different transmissions in a COT and different channels/signals to be transmitted, different categories of channel access schemes can be used.</w:t>
      </w:r>
    </w:p>
    <w:p w14:paraId="1A5B7E9B" w14:textId="6415CB26" w:rsidR="000B60D8" w:rsidRPr="00C64ECB" w:rsidRDefault="00E91463" w:rsidP="00126789">
      <w:pPr>
        <w:pStyle w:val="Heading2"/>
      </w:pPr>
      <w:bookmarkStart w:id="86" w:name="_Toc531343031"/>
      <w:r w:rsidRPr="00C64ECB">
        <w:t>8</w:t>
      </w:r>
      <w:r w:rsidR="00F8158D" w:rsidRPr="00C64ECB">
        <w:t>.</w:t>
      </w:r>
      <w:r w:rsidR="009052E1" w:rsidRPr="00C64ECB">
        <w:t>3</w:t>
      </w:r>
      <w:r w:rsidR="000B60D8" w:rsidRPr="00C64ECB">
        <w:tab/>
      </w:r>
      <w:r w:rsidR="00314217" w:rsidRPr="00C64ECB">
        <w:t>Evaluation</w:t>
      </w:r>
      <w:r w:rsidR="00AC4EBE" w:rsidRPr="00C64ECB">
        <w:t xml:space="preserve"> r</w:t>
      </w:r>
      <w:r w:rsidR="000B60D8" w:rsidRPr="00C64ECB">
        <w:t>esults</w:t>
      </w:r>
      <w:bookmarkEnd w:id="86"/>
    </w:p>
    <w:p w14:paraId="760E65B7" w14:textId="01E87514" w:rsidR="00EC7E4A" w:rsidRPr="00C64ECB" w:rsidRDefault="00EC7E4A" w:rsidP="00EC7E4A">
      <w:pPr>
        <w:rPr>
          <w:lang w:eastAsia="ko-KR"/>
        </w:rPr>
      </w:pPr>
      <w:r w:rsidRPr="00C64ECB">
        <w:rPr>
          <w:lang w:eastAsia="ko-KR"/>
        </w:rPr>
        <w:t>For coexistence evaluation, WiFi+WiFi, WiFi+NR-U and NR-U+NR-U evaluations are baseline with equal priority.</w:t>
      </w:r>
    </w:p>
    <w:p w14:paraId="4DE02222" w14:textId="271517DE" w:rsidR="005B3529" w:rsidRPr="00C64ECB" w:rsidRDefault="005B3529" w:rsidP="00EC7E4A">
      <w:pPr>
        <w:rPr>
          <w:lang w:eastAsia="ko-KR"/>
        </w:rPr>
      </w:pPr>
      <w:r w:rsidRPr="00C64ECB">
        <w:rPr>
          <w:lang w:eastAsia="ko-KR"/>
        </w:rPr>
        <w:t>When submitting coexistence evaluation results, the following information should be reported</w:t>
      </w:r>
    </w:p>
    <w:p w14:paraId="40A5A92A" w14:textId="41C56954" w:rsidR="005B3529" w:rsidRPr="00C64ECB" w:rsidRDefault="005B3529" w:rsidP="005B3529">
      <w:pPr>
        <w:pStyle w:val="B1"/>
      </w:pPr>
      <w:r w:rsidRPr="00C64ECB">
        <w:t>-</w:t>
      </w:r>
      <w:r w:rsidRPr="00C64ECB">
        <w:tab/>
        <w:t xml:space="preserve">The </w:t>
      </w:r>
      <w:r w:rsidR="009D4A93" w:rsidRPr="00C64ECB">
        <w:t xml:space="preserve">COT </w:t>
      </w:r>
      <w:r w:rsidRPr="00C64ECB">
        <w:t>assumptions of Wi</w:t>
      </w:r>
      <w:r w:rsidR="002F7689" w:rsidRPr="00C64ECB">
        <w:t>-</w:t>
      </w:r>
      <w:r w:rsidRPr="00C64ECB">
        <w:t xml:space="preserve">Fi and NR-U </w:t>
      </w:r>
    </w:p>
    <w:p w14:paraId="2E5787B3" w14:textId="1AB22239" w:rsidR="005B3529" w:rsidRPr="00C64ECB" w:rsidRDefault="005B3529" w:rsidP="005B3529">
      <w:pPr>
        <w:pStyle w:val="B1"/>
      </w:pPr>
      <w:r w:rsidRPr="00C64ECB">
        <w:t>-</w:t>
      </w:r>
      <w:r w:rsidRPr="00C64ECB">
        <w:tab/>
        <w:t>Is RTS/CTS enabled for Wi</w:t>
      </w:r>
      <w:r w:rsidR="002F7689" w:rsidRPr="00C64ECB">
        <w:t>-</w:t>
      </w:r>
      <w:r w:rsidRPr="00C64ECB">
        <w:t>Fi</w:t>
      </w:r>
    </w:p>
    <w:p w14:paraId="6EFDB6E4" w14:textId="63F34B49" w:rsidR="005B3529" w:rsidRPr="00C64ECB" w:rsidRDefault="005B3529" w:rsidP="005B3529">
      <w:pPr>
        <w:pStyle w:val="B1"/>
      </w:pPr>
      <w:r w:rsidRPr="00C64ECB">
        <w:t>-</w:t>
      </w:r>
      <w:r w:rsidRPr="00C64ECB">
        <w:tab/>
        <w:t>PD/ED threshold assumptions</w:t>
      </w:r>
    </w:p>
    <w:p w14:paraId="165E3301" w14:textId="3967BC52" w:rsidR="005B3529" w:rsidRPr="00C64ECB" w:rsidRDefault="005B3529" w:rsidP="005B3529">
      <w:pPr>
        <w:pStyle w:val="B1"/>
      </w:pPr>
      <w:r w:rsidRPr="00C64ECB">
        <w:t>-</w:t>
      </w:r>
      <w:r w:rsidRPr="00C64ECB">
        <w:tab/>
        <w:t>Max modulation order supported in each technology</w:t>
      </w:r>
    </w:p>
    <w:p w14:paraId="36D76FAD" w14:textId="0A638018" w:rsidR="005B3529" w:rsidRPr="00C64ECB" w:rsidRDefault="005B3529" w:rsidP="005B3529">
      <w:pPr>
        <w:pStyle w:val="B1"/>
      </w:pPr>
      <w:r w:rsidRPr="00C64ECB">
        <w:t>-</w:t>
      </w:r>
      <w:r w:rsidRPr="00C64ECB">
        <w:tab/>
        <w:t>MIMO scheme and number of MIMO layers used for both technologies</w:t>
      </w:r>
    </w:p>
    <w:p w14:paraId="01E4102D" w14:textId="312B1420" w:rsidR="005B3529" w:rsidRPr="00C64ECB" w:rsidRDefault="005B3529" w:rsidP="005B3529">
      <w:pPr>
        <w:pStyle w:val="B1"/>
      </w:pPr>
      <w:r w:rsidRPr="00C64ECB">
        <w:t>-</w:t>
      </w:r>
      <w:r w:rsidRPr="00C64ECB">
        <w:tab/>
        <w:t>Wi</w:t>
      </w:r>
      <w:r w:rsidR="002F7689" w:rsidRPr="00C64ECB">
        <w:t>-</w:t>
      </w:r>
      <w:r w:rsidRPr="00C64ECB">
        <w:t xml:space="preserve">Fi MAC layer A-MPDU/A-MSDU aggregation level, MPDU size </w:t>
      </w:r>
    </w:p>
    <w:p w14:paraId="254D3709" w14:textId="22C39472" w:rsidR="005B3529" w:rsidRPr="00C64ECB" w:rsidRDefault="005B3529" w:rsidP="005B3529">
      <w:pPr>
        <w:pStyle w:val="B1"/>
      </w:pPr>
      <w:r w:rsidRPr="00C64ECB">
        <w:t>-</w:t>
      </w:r>
      <w:r w:rsidRPr="00C64ECB">
        <w:tab/>
        <w:t xml:space="preserve">NR-U SCS, </w:t>
      </w:r>
    </w:p>
    <w:p w14:paraId="1E451FF4" w14:textId="1EA962E6" w:rsidR="005B3529" w:rsidRPr="00C64ECB" w:rsidRDefault="005B3529" w:rsidP="005B3529">
      <w:pPr>
        <w:pStyle w:val="B1"/>
      </w:pPr>
      <w:r w:rsidRPr="00C64ECB">
        <w:t>-</w:t>
      </w:r>
      <w:r w:rsidRPr="00C64ECB">
        <w:tab/>
        <w:t>Wi</w:t>
      </w:r>
      <w:r w:rsidR="002F7689" w:rsidRPr="00C64ECB">
        <w:t>-</w:t>
      </w:r>
      <w:r w:rsidRPr="00C64ECB">
        <w:t>Fi guard interval</w:t>
      </w:r>
    </w:p>
    <w:p w14:paraId="5CE7894A" w14:textId="0519025D" w:rsidR="005B3529" w:rsidRPr="00C64ECB" w:rsidRDefault="005B3529" w:rsidP="005B3529">
      <w:pPr>
        <w:pStyle w:val="B1"/>
      </w:pPr>
      <w:r w:rsidRPr="00C64ECB">
        <w:t>-</w:t>
      </w:r>
      <w:r w:rsidRPr="00C64ECB">
        <w:tab/>
        <w:t>NR UE processing time capability (#1 or #2)</w:t>
      </w:r>
    </w:p>
    <w:p w14:paraId="398AB7D2" w14:textId="67861327" w:rsidR="005B3529" w:rsidRPr="00C64ECB" w:rsidRDefault="005B3529" w:rsidP="005B3529">
      <w:pPr>
        <w:pStyle w:val="B1"/>
      </w:pPr>
      <w:r w:rsidRPr="00C64ECB">
        <w:t>-</w:t>
      </w:r>
      <w:r w:rsidRPr="00C64ECB">
        <w:tab/>
        <w:t>NR PDSCH/PUSCH mapping type, PDCCH monitoring configuration</w:t>
      </w:r>
    </w:p>
    <w:p w14:paraId="19BAC843" w14:textId="688E580C" w:rsidR="005B3529" w:rsidRPr="00C64ECB" w:rsidRDefault="005B3529" w:rsidP="005B3529">
      <w:pPr>
        <w:pStyle w:val="B1"/>
      </w:pPr>
      <w:r w:rsidRPr="00C64ECB">
        <w:t>-</w:t>
      </w:r>
      <w:r w:rsidRPr="00C64ECB">
        <w:tab/>
        <w:t>Link adaptation assumptions</w:t>
      </w:r>
    </w:p>
    <w:p w14:paraId="2DA16511" w14:textId="6DCD366C" w:rsidR="005B3529" w:rsidRPr="00C64ECB" w:rsidRDefault="005B3529" w:rsidP="005B3529">
      <w:pPr>
        <w:pStyle w:val="B1"/>
      </w:pPr>
      <w:r w:rsidRPr="00C64ECB">
        <w:t>-</w:t>
      </w:r>
      <w:r w:rsidRPr="00C64ECB">
        <w:tab/>
        <w:t>NR assumption on self scheduling or using cross carrier scheduling</w:t>
      </w:r>
    </w:p>
    <w:p w14:paraId="6F417703" w14:textId="77777777" w:rsidR="005B3529" w:rsidRPr="00C64ECB" w:rsidRDefault="005B3529" w:rsidP="00EC7E4A"/>
    <w:p w14:paraId="21610EA0" w14:textId="77777777" w:rsidR="00EC7E4A" w:rsidRPr="00C64ECB" w:rsidRDefault="00EC7E4A" w:rsidP="00EC7E4A">
      <w:r w:rsidRPr="00C64ECB">
        <w:t>Evaluation results are included in Annex B.</w:t>
      </w:r>
    </w:p>
    <w:p w14:paraId="4161BFF5" w14:textId="77777777" w:rsidR="009D4A93" w:rsidRPr="00C64ECB" w:rsidRDefault="009D4A93" w:rsidP="009D4A93">
      <w:pPr>
        <w:pStyle w:val="Heading3"/>
      </w:pPr>
      <w:bookmarkStart w:id="87" w:name="_Toc531343032"/>
      <w:r w:rsidRPr="00C64ECB">
        <w:t>8.3.1</w:t>
      </w:r>
      <w:r w:rsidRPr="00C64ECB">
        <w:tab/>
        <w:t>Coexistence evaluation results for 5GHz</w:t>
      </w:r>
      <w:bookmarkEnd w:id="87"/>
    </w:p>
    <w:p w14:paraId="5E0DF45E" w14:textId="77777777" w:rsidR="009D4A93" w:rsidRPr="00C64ECB" w:rsidRDefault="009D4A93" w:rsidP="009D4A93">
      <w:r w:rsidRPr="00C64ECB">
        <w:t xml:space="preserve">Key findings of the evaluation results in Annex B.1 for 5GHz band are discussed in this section. The single carrier scenario with stand-alone deployment and LAA deployment for NR-U were both evaluated. </w:t>
      </w:r>
    </w:p>
    <w:p w14:paraId="5864963C" w14:textId="77777777" w:rsidR="009D4A93" w:rsidRPr="00C64ECB" w:rsidRDefault="009D4A93" w:rsidP="009D4A93">
      <w:pPr>
        <w:pStyle w:val="Heading4"/>
      </w:pPr>
      <w:bookmarkStart w:id="88" w:name="_Toc531343033"/>
      <w:r w:rsidRPr="00C64ECB">
        <w:t>8.3.1.1</w:t>
      </w:r>
      <w:r w:rsidRPr="00C64ECB">
        <w:tab/>
        <w:t>Detailed findings for indoor scenarios</w:t>
      </w:r>
      <w:bookmarkEnd w:id="88"/>
    </w:p>
    <w:p w14:paraId="25E45EB4" w14:textId="77777777" w:rsidR="009D4A93" w:rsidRPr="00C64ECB" w:rsidRDefault="009D4A93" w:rsidP="009D4A93">
      <w:r w:rsidRPr="00C64ECB">
        <w:t>Key findings from Tables in Annex B.1, which captured the results for an indoor deployment with one shared unlicensed carrier and FTP traffic are summarized below.</w:t>
      </w:r>
    </w:p>
    <w:p w14:paraId="4511F03D" w14:textId="574F07B1" w:rsidR="009D4A93" w:rsidRPr="00C64ECB" w:rsidRDefault="008D6C66" w:rsidP="008D6C66">
      <w:pPr>
        <w:pStyle w:val="B1"/>
      </w:pPr>
      <w:r>
        <w:t>-</w:t>
      </w:r>
      <w:r>
        <w:tab/>
      </w:r>
      <w:r w:rsidR="009D4A93" w:rsidRPr="00C64ECB">
        <w:t xml:space="preserve">Nine sources evaluated NR-U with a category 4 LBT scheme with CCA-ED threshold of -72dBm for NR-U. </w:t>
      </w:r>
    </w:p>
    <w:p w14:paraId="5C3A2DA0" w14:textId="3D90038F" w:rsidR="009D4A93" w:rsidRPr="00C64ECB" w:rsidRDefault="008D6C66" w:rsidP="00394CA4">
      <w:pPr>
        <w:pStyle w:val="B2"/>
      </w:pPr>
      <w:r>
        <w:t>-</w:t>
      </w:r>
      <w:r>
        <w:tab/>
      </w:r>
      <w:r w:rsidR="009D4A93" w:rsidRPr="00C64ECB">
        <w:t xml:space="preserve">Five sources evaluated licensed assisted access scheme.  </w:t>
      </w:r>
    </w:p>
    <w:p w14:paraId="3EF52852" w14:textId="703356EB" w:rsidR="009D4A93" w:rsidRPr="00C64ECB" w:rsidRDefault="008D6C66" w:rsidP="00394CA4">
      <w:pPr>
        <w:pStyle w:val="B3"/>
      </w:pPr>
      <w:r>
        <w:t>-</w:t>
      </w:r>
      <w:r>
        <w:tab/>
      </w:r>
      <w:r w:rsidR="009D4A93" w:rsidRPr="00C64ECB">
        <w:t xml:space="preserve">One source provided results for two subcarrier spacing settings and reported an improvement in all measured metrics for the non-replaced Wi-Fi operator. </w:t>
      </w:r>
    </w:p>
    <w:p w14:paraId="5E18996B" w14:textId="49953D11" w:rsidR="009D4A93" w:rsidRPr="00C64ECB" w:rsidRDefault="008D6C66" w:rsidP="00394CA4">
      <w:pPr>
        <w:pStyle w:val="B3"/>
      </w:pPr>
      <w:r>
        <w:t>-</w:t>
      </w:r>
      <w:r>
        <w:tab/>
      </w:r>
      <w:r w:rsidR="009D4A93" w:rsidRPr="00C64ECB">
        <w:t xml:space="preserve">Two sources reported an improvement in all measured metrics for the non-replaced Wi-Fi operator while one source reported an improvement in 44 of the 48 metrics for the non-replaced Wi-Fi operator.  </w:t>
      </w:r>
    </w:p>
    <w:p w14:paraId="70C29095" w14:textId="3102127D" w:rsidR="009D4A93" w:rsidRPr="00C64ECB" w:rsidRDefault="008D6C66" w:rsidP="00394CA4">
      <w:pPr>
        <w:pStyle w:val="B3"/>
      </w:pPr>
      <w:r>
        <w:t>-</w:t>
      </w:r>
      <w:r>
        <w:tab/>
      </w:r>
      <w:r w:rsidR="009D4A93" w:rsidRPr="00C64ECB">
        <w:t xml:space="preserve">One source also provided results for DL only traffic and UL only traffic on the unlicensed carrier and reported an improvement in all measured metrics for the non-replaced Wi-Fi operator. </w:t>
      </w:r>
    </w:p>
    <w:p w14:paraId="7331A7DA" w14:textId="11AF58EE" w:rsidR="009D4A93" w:rsidRPr="00C64ECB" w:rsidRDefault="008D6C66" w:rsidP="00394CA4">
      <w:pPr>
        <w:pStyle w:val="B3"/>
      </w:pPr>
      <w:r>
        <w:lastRenderedPageBreak/>
        <w:t>-</w:t>
      </w:r>
      <w:r>
        <w:tab/>
      </w:r>
      <w:r w:rsidR="009D4A93" w:rsidRPr="00C64ECB">
        <w:t>One source also provided results with mixed traffic for Wi-Fi operator and reported an improvement in all measured metrics for the non-replaced Wi-Fi operator. The source also reported improvement in VoIP performance for the non-replaced Wi-Fi operator.</w:t>
      </w:r>
    </w:p>
    <w:p w14:paraId="53013C9F" w14:textId="2A56D14A" w:rsidR="009D4A93" w:rsidRPr="00C64ECB" w:rsidRDefault="008D6C66" w:rsidP="00394CA4">
      <w:pPr>
        <w:pStyle w:val="B3"/>
      </w:pPr>
      <w:r>
        <w:t>-</w:t>
      </w:r>
      <w:r>
        <w:tab/>
      </w:r>
      <w:r w:rsidR="009D4A93" w:rsidRPr="00C64ECB">
        <w:t>One source  also provided results comparing coexistence performance for three cases, NR-U node using CCA-ED threshold of -72, -82 and third case where NR-U node  enables Wi-Fi preamble detection and reported that all 3 schemes co-exist fairly with Wi-Fi and that using ED threshold of -82dBm provides better coexistence performance for both NR-U and Wi-Fi nodes than enabling Wi-Fi preamble detection.</w:t>
      </w:r>
    </w:p>
    <w:p w14:paraId="717F8549" w14:textId="4384EFD0" w:rsidR="009D4A93" w:rsidRPr="00C64ECB" w:rsidRDefault="008D6C66" w:rsidP="00394CA4">
      <w:pPr>
        <w:pStyle w:val="B3"/>
      </w:pPr>
      <w:r>
        <w:t>-</w:t>
      </w:r>
      <w:r>
        <w:tab/>
      </w:r>
      <w:r w:rsidR="009D4A93" w:rsidRPr="00C64ECB">
        <w:t>One source provided results for mixed traffic with two LBT modes (category 1 immediate transmission and category 2 ) for scheduled UL in gNB acquired COT. The source provided results only for high buffer occupancy and reported a degradation in most metrics for the non-replaced Wi-Fi operator for both cases. The source also provided results with Wi-Fi preamble detection enabled a the NR-U node and reported an improvement in 15 out of  the16 metrics (only high buffer occupancy metrics)  for the non-replaced Wi-Fi operator. The source reported  a degradation in VoIP performance for the non-replaced Wi-Fi operator for all three cases.</w:t>
      </w:r>
    </w:p>
    <w:p w14:paraId="44294671" w14:textId="16800A08" w:rsidR="009D4A93" w:rsidRPr="00C64ECB" w:rsidRDefault="008D6C66" w:rsidP="008D6C66">
      <w:pPr>
        <w:pStyle w:val="B1"/>
      </w:pPr>
      <w:r>
        <w:t>-</w:t>
      </w:r>
      <w:r>
        <w:tab/>
      </w:r>
      <w:r w:rsidR="009D4A93" w:rsidRPr="00C64ECB">
        <w:t>Four sources evaluated for a stand-alone NR-U deployment on an unlicensed carrier.</w:t>
      </w:r>
    </w:p>
    <w:p w14:paraId="7E803FE1" w14:textId="2AFBBDD2" w:rsidR="009D4A93" w:rsidRPr="00C64ECB" w:rsidRDefault="008D6C66" w:rsidP="00394CA4">
      <w:pPr>
        <w:pStyle w:val="B2"/>
      </w:pPr>
      <w:r>
        <w:t>-</w:t>
      </w:r>
      <w:r>
        <w:tab/>
      </w:r>
      <w:r w:rsidR="009D4A93" w:rsidRPr="00C64ECB">
        <w:t>One source reported an improvement in 47 of the 48 measured metrics for the non-replaced Wi-Fi operator with a maximum degradation under 5%.</w:t>
      </w:r>
    </w:p>
    <w:p w14:paraId="191F8AFC" w14:textId="2AECB9A5" w:rsidR="009D4A93" w:rsidRPr="00C64ECB" w:rsidRDefault="008D6C66" w:rsidP="00394CA4">
      <w:pPr>
        <w:pStyle w:val="B2"/>
      </w:pPr>
      <w:r>
        <w:t>-</w:t>
      </w:r>
      <w:r>
        <w:tab/>
      </w:r>
      <w:r w:rsidR="009D4A93" w:rsidRPr="00C64ECB">
        <w:t>One source reported an improvement in 35 of the 48 measured metrics for the non-replaced Wi-Fi operator.</w:t>
      </w:r>
    </w:p>
    <w:p w14:paraId="6A239CEB" w14:textId="09DF004D" w:rsidR="009D4A93" w:rsidRPr="00C64ECB" w:rsidRDefault="008D6C66" w:rsidP="00394CA4">
      <w:pPr>
        <w:pStyle w:val="B2"/>
      </w:pPr>
      <w:r>
        <w:t>-</w:t>
      </w:r>
      <w:r>
        <w:tab/>
      </w:r>
      <w:r w:rsidR="009D4A93" w:rsidRPr="00C64ECB">
        <w:t>One source provided results with RTS/CTS enabled for Wi-Fi operator, DRS modelled with DRS using category 2 LBT for channel access in the DMTC window for the NR-U operator and reported an improvement in 40 of the 48 measured metrics for the non-replaced Wi-Fi operator with a maximum degradation under 10%. The source also provided results for the case where HARQ-ACK feedback is sent within a gap of 16us after the end of DL transmission and showed improvements in the coexistence performance compared to the case where the HARQ-ACK feedback is sent at a gap of 24us after the end of DL transmission using category 2 LBT.</w:t>
      </w:r>
    </w:p>
    <w:p w14:paraId="7347C620" w14:textId="6CB5919B" w:rsidR="009D4A93" w:rsidRPr="00C64ECB" w:rsidRDefault="008D6C66" w:rsidP="00394CA4">
      <w:pPr>
        <w:pStyle w:val="B2"/>
      </w:pPr>
      <w:r>
        <w:t>-</w:t>
      </w:r>
      <w:r>
        <w:tab/>
      </w:r>
      <w:r w:rsidR="009D4A93" w:rsidRPr="00C64ECB">
        <w:t>One source provided results with RTS/CTS enabled, DRS modelled with DRS using category 2 LBT for channel access in the DMTC window, and with multiple switching points with switching gaps no longer than 16 µs in the COT used for control information transmission and reported an improvement in all of the measured metrics for the non-replaced Wi-Fi operator. The source also provided results with RTS/CTS enabled and DRS modelling enabled for a second COT structure that utilized a preparation stage for fast CSI exchange and reported an improvement in all of the measured metrics for the non-replaced Wi-Fi operator.</w:t>
      </w:r>
    </w:p>
    <w:p w14:paraId="2388A2E7" w14:textId="6AE67C57" w:rsidR="009D4A93" w:rsidRPr="00C64ECB" w:rsidRDefault="008D6C66" w:rsidP="00394CA4">
      <w:pPr>
        <w:pStyle w:val="B2"/>
      </w:pPr>
      <w:r>
        <w:t>-</w:t>
      </w:r>
      <w:r>
        <w:tab/>
      </w:r>
      <w:r w:rsidR="009D4A93" w:rsidRPr="00C64ECB">
        <w:t>One source also provided results comparing NRU-WiFi coexistence performance for two cases, NR-U node using CCA-ED threshold of -77, and second case where NR-U node enables Wi-Fi preamble detection and reported that enabling Wi-Fi preamble detection degrades the coexistence  performance as compared to using ED threshold of -77dBm</w:t>
      </w:r>
    </w:p>
    <w:p w14:paraId="4BDE3356" w14:textId="6841D428" w:rsidR="009D4A93" w:rsidRPr="00C64ECB" w:rsidRDefault="008D6C66" w:rsidP="00394CA4">
      <w:pPr>
        <w:pStyle w:val="B2"/>
      </w:pPr>
      <w:r>
        <w:t>-</w:t>
      </w:r>
      <w:r>
        <w:tab/>
      </w:r>
      <w:r w:rsidR="009D4A93" w:rsidRPr="00C64ECB">
        <w:t>One source also provided results comparing NRU-NRU coexistence performance for two cases, NR-U node using CCA-ED threshold of -72, and second case where NR-U node enables Wi-Fi preamble detection and reported that enabling Wi-Fi preamble detection degrades the coexistence  performance as compared to  using ED threshold of -72dBm.</w:t>
      </w:r>
    </w:p>
    <w:p w14:paraId="266445A8" w14:textId="5FF48623" w:rsidR="009D4A93" w:rsidRPr="00C64ECB" w:rsidRDefault="008D6C66" w:rsidP="00394CA4">
      <w:pPr>
        <w:pStyle w:val="B2"/>
      </w:pPr>
      <w:r>
        <w:t>-</w:t>
      </w:r>
      <w:r>
        <w:tab/>
      </w:r>
      <w:r w:rsidR="009D4A93" w:rsidRPr="00C64ECB">
        <w:t xml:space="preserve">One source provided results with DRS with transmit duration of 1ms using category 2 LBT for channel access in the </w:t>
      </w:r>
      <w:r w:rsidR="00FE4A5E" w:rsidRPr="00C64ECB">
        <w:t>6</w:t>
      </w:r>
      <w:r w:rsidR="009D4A93" w:rsidRPr="00C64ECB">
        <w:t>ms DRS transmission window for the NR-U operator and reported an improvement in 47 of the 48 measured metrics for the non-replaced Wi-Fi operator.</w:t>
      </w:r>
    </w:p>
    <w:p w14:paraId="6FD10895" w14:textId="7A2150E2" w:rsidR="009D4A93" w:rsidRPr="00C64ECB" w:rsidRDefault="008D6C66" w:rsidP="00394CA4">
      <w:pPr>
        <w:pStyle w:val="B2"/>
      </w:pPr>
      <w:r>
        <w:t>-</w:t>
      </w:r>
      <w:r>
        <w:tab/>
      </w:r>
      <w:r w:rsidR="009D4A93" w:rsidRPr="00C64ECB">
        <w:t xml:space="preserve">One source provided results for the case where NR-U follows COT sharing procedure as permitted by EN 301 893 (category 1 LBT for gaps &lt;=16us, for gap of above 16us but does not exceed 25us, and gaps that exceed 25us category  LBT is used) and showed improvement in all measured metrics and in VoIP performance for the non-replaced Wi-Fi operator. </w:t>
      </w:r>
    </w:p>
    <w:p w14:paraId="41433211" w14:textId="18DE3F9B" w:rsidR="009D4A93" w:rsidRPr="00C64ECB" w:rsidRDefault="008D6C66" w:rsidP="00394CA4">
      <w:pPr>
        <w:pStyle w:val="B2"/>
      </w:pPr>
      <w:r>
        <w:t>-</w:t>
      </w:r>
      <w:r>
        <w:tab/>
      </w:r>
      <w:r w:rsidR="009D4A93" w:rsidRPr="00C64ECB">
        <w:t xml:space="preserve">One source provided results </w:t>
      </w:r>
      <w:r w:rsidR="009D4A93" w:rsidRPr="00C64ECB">
        <w:rPr>
          <w:lang w:val="en-US"/>
        </w:rPr>
        <w:t xml:space="preserve">where it is assumed that 20% of the UL transmissions are UL RACH transmissions with category 2 LBT </w:t>
      </w:r>
      <w:r w:rsidR="009D4A93" w:rsidRPr="00C64ECB">
        <w:t>and reported an improvement in 47 of the 48 measured metrics for the non-replaced Wi-Fi operator.</w:t>
      </w:r>
    </w:p>
    <w:p w14:paraId="5FEBC155" w14:textId="77777777" w:rsidR="009D4A93" w:rsidRPr="00C64ECB" w:rsidRDefault="009D4A93" w:rsidP="009D4A93">
      <w:pPr>
        <w:pStyle w:val="Heading4"/>
      </w:pPr>
      <w:bookmarkStart w:id="89" w:name="_Toc531343034"/>
      <w:r w:rsidRPr="00C64ECB">
        <w:lastRenderedPageBreak/>
        <w:t>8.3.1.2</w:t>
      </w:r>
      <w:r w:rsidRPr="00C64ECB">
        <w:tab/>
        <w:t>Detailed findings for outdoor scenario 1</w:t>
      </w:r>
      <w:bookmarkEnd w:id="89"/>
    </w:p>
    <w:p w14:paraId="7264B943" w14:textId="77777777" w:rsidR="009D4A93" w:rsidRPr="00C64ECB" w:rsidRDefault="009D4A93" w:rsidP="009D4A93">
      <w:r w:rsidRPr="00C64ECB">
        <w:t>Key findings from Tables in Annex B.2, which captured the results for an outdoor deployment scenario 1 with one shared unlicensed carrier and FTP traffic are summarized below.</w:t>
      </w:r>
    </w:p>
    <w:p w14:paraId="1D2421F3" w14:textId="5E282F99" w:rsidR="009D4A93" w:rsidRPr="00C64ECB" w:rsidRDefault="00394CA4" w:rsidP="00394CA4">
      <w:pPr>
        <w:pStyle w:val="B1"/>
      </w:pPr>
      <w:r>
        <w:t>-</w:t>
      </w:r>
      <w:r>
        <w:tab/>
      </w:r>
      <w:r w:rsidR="009D4A93" w:rsidRPr="00C64ECB">
        <w:t>Three sources evaluated NR-U with a category 4 LBT scheme with CCA-ED threshold of -72dBm for a stand-alone NR-U deployment on an unlicensed carrier</w:t>
      </w:r>
      <w:r w:rsidR="009D4A93" w:rsidRPr="00C64ECB">
        <w:rPr>
          <w:rFonts w:eastAsia="Batang"/>
        </w:rPr>
        <w:t>.</w:t>
      </w:r>
    </w:p>
    <w:p w14:paraId="0E371C41" w14:textId="73500B97" w:rsidR="009D4A93" w:rsidRPr="00C64ECB" w:rsidRDefault="00394CA4" w:rsidP="00394CA4">
      <w:pPr>
        <w:pStyle w:val="B2"/>
      </w:pPr>
      <w:r>
        <w:t>-</w:t>
      </w:r>
      <w:r>
        <w:tab/>
      </w:r>
      <w:r w:rsidR="009D4A93" w:rsidRPr="00C64ECB">
        <w:t>One source provided results with RTS/CTS enabled, DRS modelled with DRS using category 2 LBT for channel access in the DMTC window, and with multiple switching points with switching gaps no longer than 16 µs in the COT used for control information transmission and reported an improvement in all of the measured metrics for the non-replaced Wi-Fi operator. The source also provided results with RTS/CTS enabled and DRS modelling enabled for a second COT structure that utilized a preparation stage for fast CSI exchange and reported an improvement in 45 of the 48 measured metrics for the non-replaced Wi-Fi operator.</w:t>
      </w:r>
    </w:p>
    <w:p w14:paraId="7343AD32" w14:textId="14071D6E" w:rsidR="009D4A93" w:rsidRPr="00C64ECB" w:rsidRDefault="00394CA4" w:rsidP="00394CA4">
      <w:pPr>
        <w:pStyle w:val="B2"/>
      </w:pPr>
      <w:r>
        <w:t>-</w:t>
      </w:r>
      <w:r>
        <w:tab/>
      </w:r>
      <w:r w:rsidR="009D4A93" w:rsidRPr="00C64ECB">
        <w:t>One source reported an improvement in 45 of the 48 measured metrics for the non-replaced Wi-Fi operator.</w:t>
      </w:r>
    </w:p>
    <w:p w14:paraId="0658513A" w14:textId="66295870" w:rsidR="009D4A93" w:rsidRPr="00C64ECB" w:rsidRDefault="00394CA4" w:rsidP="00394CA4">
      <w:pPr>
        <w:pStyle w:val="B2"/>
      </w:pPr>
      <w:r>
        <w:t>-</w:t>
      </w:r>
      <w:r>
        <w:tab/>
      </w:r>
      <w:r w:rsidR="009D4A93" w:rsidRPr="00C64ECB">
        <w:t>One source reported an improvement in 47 of the 48 measured metrics for the non-replaced Wi-Fi operator with a maximum degradation under 0.3%.</w:t>
      </w:r>
    </w:p>
    <w:p w14:paraId="0530CD81" w14:textId="3F987C21" w:rsidR="009D4A93" w:rsidRPr="00C64ECB" w:rsidRDefault="00394CA4" w:rsidP="00394CA4">
      <w:pPr>
        <w:pStyle w:val="B2"/>
      </w:pPr>
      <w:r>
        <w:t>-</w:t>
      </w:r>
      <w:r>
        <w:tab/>
      </w:r>
      <w:r w:rsidR="009D4A93" w:rsidRPr="00C64ECB">
        <w:t>One source  also provided results comparing NRU-WiFi coexistence performance for two cases, NR-U node using CCA-ED threshold of -72, and second case where NR-U node enables Wi-Fi preamble detection and reported that enabling Wi-Fi preamble detection degrades the coexistence  performance as compared to  using ED threshold of -72dBm.</w:t>
      </w:r>
    </w:p>
    <w:p w14:paraId="3C488084" w14:textId="1A1EFC4B" w:rsidR="009D4A93" w:rsidRPr="00C64ECB" w:rsidRDefault="00394CA4" w:rsidP="00394CA4">
      <w:pPr>
        <w:pStyle w:val="B2"/>
      </w:pPr>
      <w:r>
        <w:t>-</w:t>
      </w:r>
      <w:r>
        <w:tab/>
      </w:r>
      <w:r w:rsidR="009D4A93" w:rsidRPr="00C64ECB">
        <w:t>One source also provided results comparing NRU-NRU coexistence performance for two cases, NR-U node using CCA-ED threshold of -72, and second case where NR-U node enables Wi-Fi preamble detection and reported that enabling Wi-Fi preamble detection degrades the coexistence  performance as compared to  using ED threshold of -72dBm</w:t>
      </w:r>
    </w:p>
    <w:p w14:paraId="447719B3" w14:textId="2B13D285" w:rsidR="009D4A93" w:rsidRPr="00C64ECB" w:rsidRDefault="00394CA4" w:rsidP="00394CA4">
      <w:pPr>
        <w:pStyle w:val="B1"/>
      </w:pPr>
      <w:r>
        <w:t>-</w:t>
      </w:r>
      <w:r>
        <w:tab/>
      </w:r>
      <w:r w:rsidR="009D4A93" w:rsidRPr="00C64ECB">
        <w:t>Two sources evaluated NR-U with a category 4 LBT scheme with CCA-ED threshold of -72dBm for an LAA NR-U deployment on an unlicensed carrier.</w:t>
      </w:r>
    </w:p>
    <w:p w14:paraId="2821C863" w14:textId="7473AF27" w:rsidR="009D4A93" w:rsidRPr="00C64ECB" w:rsidRDefault="00394CA4" w:rsidP="00394CA4">
      <w:pPr>
        <w:pStyle w:val="B2"/>
      </w:pPr>
      <w:r>
        <w:t>-</w:t>
      </w:r>
      <w:r>
        <w:tab/>
      </w:r>
      <w:r w:rsidR="009D4A93" w:rsidRPr="00C64ECB">
        <w:t xml:space="preserve">One source provided results for two subcarrier spacing settings and reported an improvement in all measured metrics for the non-replaced Wi-Fi operator. </w:t>
      </w:r>
    </w:p>
    <w:p w14:paraId="33114812" w14:textId="218A159C" w:rsidR="009D4A93" w:rsidRPr="00C64ECB" w:rsidRDefault="00394CA4" w:rsidP="00394CA4">
      <w:pPr>
        <w:pStyle w:val="B2"/>
      </w:pPr>
      <w:r>
        <w:t>-</w:t>
      </w:r>
      <w:r>
        <w:tab/>
      </w:r>
      <w:r w:rsidR="009D4A93" w:rsidRPr="00C64ECB">
        <w:t>One source provided coexistence results when both Wi</w:t>
      </w:r>
      <w:r w:rsidR="002F7689" w:rsidRPr="00C64ECB">
        <w:t>-</w:t>
      </w:r>
      <w:r w:rsidR="009D4A93" w:rsidRPr="00C64ECB">
        <w:t>Fi and NR-U have DL only traffic. The source reported an improvement in 23 of the 24 metrics for the non-replaced Wi</w:t>
      </w:r>
      <w:r w:rsidR="002F7689" w:rsidRPr="00C64ECB">
        <w:t>-</w:t>
      </w:r>
      <w:r w:rsidR="009D4A93" w:rsidRPr="00C64ECB">
        <w:t>Fi operator, with the maximum degradation under 5%.</w:t>
      </w:r>
    </w:p>
    <w:p w14:paraId="4F34B693" w14:textId="77777777" w:rsidR="009D4A93" w:rsidRPr="00C64ECB" w:rsidRDefault="009D4A93" w:rsidP="009D4A93">
      <w:pPr>
        <w:pStyle w:val="Heading4"/>
      </w:pPr>
      <w:bookmarkStart w:id="90" w:name="_Toc531343035"/>
      <w:r w:rsidRPr="00C64ECB">
        <w:t>8.3.1.3</w:t>
      </w:r>
      <w:r w:rsidRPr="00C64ECB">
        <w:tab/>
        <w:t>Detailed findings for outdoor scenario 2</w:t>
      </w:r>
      <w:bookmarkEnd w:id="90"/>
    </w:p>
    <w:p w14:paraId="344D180B" w14:textId="77777777" w:rsidR="009D4A93" w:rsidRPr="00C64ECB" w:rsidRDefault="009D4A93" w:rsidP="009D4A93">
      <w:r w:rsidRPr="00C64ECB">
        <w:t>Key findings from Tables in Annex B.3 which captured the results for an outdoor deployment scenario 2 with one shared unlicensed carrier and FTP traffic are summarized below.</w:t>
      </w:r>
    </w:p>
    <w:p w14:paraId="0CA03464" w14:textId="7907DA47" w:rsidR="009D4A93" w:rsidRPr="00C64ECB" w:rsidRDefault="00394CA4" w:rsidP="00394CA4">
      <w:pPr>
        <w:pStyle w:val="B1"/>
      </w:pPr>
      <w:r>
        <w:t>-</w:t>
      </w:r>
      <w:r>
        <w:tab/>
      </w:r>
      <w:r w:rsidR="009D4A93" w:rsidRPr="00C64ECB">
        <w:t>Three sources evaluated NR-U with a category 4 LBT scheme with CCA-ED threshold of -72dBm for a stand-alone NR-U deployment on an unlicensed carrier</w:t>
      </w:r>
      <w:r w:rsidR="009D4A93" w:rsidRPr="00C64ECB">
        <w:rPr>
          <w:rFonts w:eastAsia="Batang"/>
        </w:rPr>
        <w:t>.</w:t>
      </w:r>
    </w:p>
    <w:p w14:paraId="7906A45C" w14:textId="6BF26202" w:rsidR="009D4A93" w:rsidRPr="00C64ECB" w:rsidRDefault="00394CA4" w:rsidP="00394CA4">
      <w:pPr>
        <w:pStyle w:val="B2"/>
      </w:pPr>
      <w:r>
        <w:t>-</w:t>
      </w:r>
      <w:r>
        <w:tab/>
      </w:r>
      <w:r w:rsidR="009D4A93" w:rsidRPr="00C64ECB">
        <w:t>One source reported an improvement in all measured metrics for the non-replaced Wi-Fi operator.</w:t>
      </w:r>
    </w:p>
    <w:p w14:paraId="0EDC5AEE" w14:textId="371ECB01" w:rsidR="009D4A93" w:rsidRPr="00C64ECB" w:rsidRDefault="00394CA4" w:rsidP="00394CA4">
      <w:pPr>
        <w:pStyle w:val="B2"/>
      </w:pPr>
      <w:r>
        <w:t>-</w:t>
      </w:r>
      <w:r>
        <w:tab/>
      </w:r>
      <w:r w:rsidR="009D4A93" w:rsidRPr="00C64ECB">
        <w:t>One source reported an improvement in 47 of the 48 measured metrics for the non-replaced Wi-Fi operator with a maximum degradation under 3%.</w:t>
      </w:r>
    </w:p>
    <w:p w14:paraId="36991987" w14:textId="52253EBB" w:rsidR="009D4A93" w:rsidRPr="00C64ECB" w:rsidRDefault="00394CA4" w:rsidP="00394CA4">
      <w:pPr>
        <w:pStyle w:val="B2"/>
      </w:pPr>
      <w:r>
        <w:t>-</w:t>
      </w:r>
      <w:r>
        <w:tab/>
      </w:r>
      <w:r w:rsidR="009D4A93" w:rsidRPr="00C64ECB">
        <w:t>One source provided results with RTS/CTS enabled, DRS modelled with DRS using category 2 LBT for channel access in the DMTC window, and with multiple switching points with gaps no longer than 16 µs in the COT used for control information transmission and reported an improvement in all of the measured metrics for the non-replaced Wi-Fi operator. The source also provided results with RTS/CTS enabled and DRS modelling enabled for a second COT structure that utilized a preparation stage for fast CSI exchange and reported an improvement in all of the measured metrics for the non-replaced Wi-Fi operator.</w:t>
      </w:r>
    </w:p>
    <w:p w14:paraId="2A752B4F" w14:textId="52B1944C" w:rsidR="009D4A93" w:rsidRPr="00C64ECB" w:rsidRDefault="00394CA4" w:rsidP="00394CA4">
      <w:pPr>
        <w:pStyle w:val="B1"/>
      </w:pPr>
      <w:r>
        <w:t>-</w:t>
      </w:r>
      <w:r>
        <w:tab/>
      </w:r>
      <w:r w:rsidR="009D4A93" w:rsidRPr="00C64ECB">
        <w:t>Two sources evaluated NR-U with a category 4 LBT scheme with CCA-ED threshold of -72dBm for an LAA NR-U deployment on an unlicensed carrier</w:t>
      </w:r>
      <w:r w:rsidR="009D4A93" w:rsidRPr="00C64ECB">
        <w:rPr>
          <w:rFonts w:eastAsia="Batang"/>
        </w:rPr>
        <w:t>.</w:t>
      </w:r>
    </w:p>
    <w:p w14:paraId="6C0B3250" w14:textId="012F78FF" w:rsidR="009D4A93" w:rsidRPr="00C64ECB" w:rsidRDefault="00394CA4" w:rsidP="00394CA4">
      <w:pPr>
        <w:pStyle w:val="B2"/>
      </w:pPr>
      <w:r>
        <w:lastRenderedPageBreak/>
        <w:t>-</w:t>
      </w:r>
      <w:r>
        <w:tab/>
      </w:r>
      <w:r w:rsidR="009D4A93" w:rsidRPr="00C64ECB">
        <w:t>One source provided results for two subcarrier spacing settings and reported an improvement in all measured metrics for the non-replaced Wi-Fi operator.</w:t>
      </w:r>
    </w:p>
    <w:p w14:paraId="0496253F" w14:textId="0A3571B9" w:rsidR="009D4A93" w:rsidRPr="00C64ECB" w:rsidRDefault="00394CA4" w:rsidP="00394CA4">
      <w:pPr>
        <w:pStyle w:val="B2"/>
      </w:pPr>
      <w:r>
        <w:t>-</w:t>
      </w:r>
      <w:r>
        <w:tab/>
      </w:r>
      <w:r w:rsidR="009D4A93" w:rsidRPr="00C64ECB">
        <w:t>One source provided coexistence results when both Wi</w:t>
      </w:r>
      <w:r w:rsidR="002F7689" w:rsidRPr="00C64ECB">
        <w:t>-</w:t>
      </w:r>
      <w:r w:rsidR="009D4A93" w:rsidRPr="00C64ECB">
        <w:t>Fi and NR-U have  DL only traffic. The source reported an improvement in 22 of the 24 metrics for the non-replaced Wi</w:t>
      </w:r>
      <w:r w:rsidR="002F7689" w:rsidRPr="00C64ECB">
        <w:t>-</w:t>
      </w:r>
      <w:r w:rsidR="009D4A93" w:rsidRPr="00C64ECB">
        <w:t>Fi operator, with the maximum degradation under 5%.</w:t>
      </w:r>
    </w:p>
    <w:p w14:paraId="0F1F90DF" w14:textId="77777777" w:rsidR="009D4A93" w:rsidRPr="00C64ECB" w:rsidRDefault="009D4A93" w:rsidP="009D4A93">
      <w:pPr>
        <w:pStyle w:val="Heading4"/>
      </w:pPr>
      <w:bookmarkStart w:id="91" w:name="_Toc531343036"/>
      <w:r w:rsidRPr="00C64ECB">
        <w:t>8.3.1.4</w:t>
      </w:r>
      <w:r w:rsidRPr="00C64ECB">
        <w:tab/>
        <w:t>Summary of observations</w:t>
      </w:r>
      <w:bookmarkEnd w:id="91"/>
    </w:p>
    <w:p w14:paraId="49056A37" w14:textId="4DE57033" w:rsidR="009D4A93" w:rsidRPr="00C64ECB" w:rsidRDefault="009D4A93" w:rsidP="009D4A93">
      <w:r w:rsidRPr="00C64ECB">
        <w:t>In all evaluation results submitted, category 4 LBT with -72 dBm ED threshold was the primary scheme used in the evaluations for obtaining the COT. In all simulation when a Wi</w:t>
      </w:r>
      <w:r w:rsidR="002F7689" w:rsidRPr="00C64ECB">
        <w:t>-</w:t>
      </w:r>
      <w:r w:rsidRPr="00C64ECB">
        <w:t xml:space="preserve">Fi preamble was used, a fixed CCA-PD threshold of -82dBm was assumed. Other LBT schemes used in the evaluations include immediate transmission for switching of transmission direction with switching gap &lt; 16us and category 2 LBT for switching of transmission direction with gap &gt; 16us, for scheduled UL in gNB acquired COT, for DRS transmission, and for PRACH transmission. Companies evaluated the three agreed scenarios defined in Section 8.1. The parameters listed in Section 8.3 were left for companies to choose, and are provided together with the evaluation results in Annex B. </w:t>
      </w:r>
    </w:p>
    <w:p w14:paraId="6FC8AA73" w14:textId="5CE5CF39" w:rsidR="009D4A93" w:rsidRPr="00C64ECB" w:rsidRDefault="009D4A93" w:rsidP="009D4A93">
      <w:r w:rsidRPr="00C64ECB">
        <w:t>Eight out of nine sources showed combinations of DL and UL LBT schemes for NR-U with CCA-ED of -72dBm and no CCA-PD do not impact Wi-Fi more than another Wi-Fi network in any of the measured performance metrics in all three evaluated scenarios. One of nine sources indicated degradation of Wi</w:t>
      </w:r>
      <w:r w:rsidR="002F7689" w:rsidRPr="00C64ECB">
        <w:t>-</w:t>
      </w:r>
      <w:r w:rsidRPr="00C64ECB">
        <w:t>Fi performance when coexist with NR-U in some scenarios (Section 8.3.1.1).</w:t>
      </w:r>
    </w:p>
    <w:p w14:paraId="00400241" w14:textId="1A476BA4" w:rsidR="009D4A93" w:rsidRPr="00C64ECB" w:rsidRDefault="009D4A93" w:rsidP="009D4A93">
      <w:r w:rsidRPr="00C64ECB">
        <w:t>Three sources submitted results with NR-U transmitting and receiving Wi</w:t>
      </w:r>
      <w:r w:rsidR="002F7689" w:rsidRPr="00C64ECB">
        <w:t>-</w:t>
      </w:r>
      <w:r w:rsidRPr="00C64ECB">
        <w:t xml:space="preserve">Fi 802.11a preamble and showed combinations of DL and UL LBT schemes for NR-U with CCA-ED of -62dBm and CCA-PD of -82dBm do not impact Wi-Fi more than another Wi-Fi network in any of the measured performance metrics in all evaluated scenarios. </w:t>
      </w:r>
    </w:p>
    <w:p w14:paraId="32A3307C" w14:textId="1BE604AA" w:rsidR="009D4A93" w:rsidRPr="00C64ECB" w:rsidRDefault="009D4A93" w:rsidP="009D4A93">
      <w:r w:rsidRPr="00C64ECB">
        <w:t>Three sources submitted results with NR-U transmitting and receiving Wi</w:t>
      </w:r>
      <w:r w:rsidR="002F7689" w:rsidRPr="00C64ECB">
        <w:t>-</w:t>
      </w:r>
      <w:r w:rsidRPr="00C64ECB">
        <w:t>Fi 802.11a preamble. For indoor scenario, two sources indicated fair coexistence with mostly improved performance for both Wi</w:t>
      </w:r>
      <w:r w:rsidR="002F7689" w:rsidRPr="00C64ECB">
        <w:t>-</w:t>
      </w:r>
      <w:r w:rsidRPr="00C64ECB">
        <w:t>Fi and NR-U when NR-U with CCA-ED of -62dBm and CCA-PD of -82dBm compared with NR-U with CCA-ED of -72dBm and no Wi</w:t>
      </w:r>
      <w:r w:rsidR="002F7689" w:rsidRPr="00C64ECB">
        <w:t>-</w:t>
      </w:r>
      <w:r w:rsidRPr="00C64ECB">
        <w:t>Fi 802.11a preamble. For outdoor scenario 1, one source indicated fair coexistence with mostly degraded performance for both Wi</w:t>
      </w:r>
      <w:r w:rsidR="002F7689" w:rsidRPr="00C64ECB">
        <w:t>-</w:t>
      </w:r>
      <w:r w:rsidRPr="00C64ECB">
        <w:t>Fi and NR-U when NR-U with CCA-ED of -62dBm and CCA-PD of -82dBm compared with NR-U with CCA-ED of -72dBm and no Wi</w:t>
      </w:r>
      <w:r w:rsidR="002F7689" w:rsidRPr="00C64ECB">
        <w:t>-</w:t>
      </w:r>
      <w:r w:rsidRPr="00C64ECB">
        <w:t>Fi 802.11a preamble.</w:t>
      </w:r>
    </w:p>
    <w:p w14:paraId="3987D9B8" w14:textId="6A888E8F" w:rsidR="009D4A93" w:rsidRPr="00C64ECB" w:rsidRDefault="009D4A93" w:rsidP="009D4A93">
      <w:r w:rsidRPr="00C64ECB">
        <w:t>Two sources submitted results for indoor scenario and one source submitted results for outdoor scenario 1 with NR-U transmitting and receiving Wi</w:t>
      </w:r>
      <w:r w:rsidR="002F7689" w:rsidRPr="00C64ECB">
        <w:t>-</w:t>
      </w:r>
      <w:r w:rsidRPr="00C64ECB">
        <w:t>Fi 802.11a preamble for NR-U and NR-U coexistence in the absence of Wi</w:t>
      </w:r>
      <w:r w:rsidR="002F7689" w:rsidRPr="00C64ECB">
        <w:t>-</w:t>
      </w:r>
      <w:r w:rsidRPr="00C64ECB">
        <w:t>Fi, and showed combinations of DL and UL LBT schemes for NR-U with CCA-ED of -62dBm and CCA-PD of -82dBm degrades NR-U performance compared with NR-U with CCA-ED of -72dBm and no Wi</w:t>
      </w:r>
      <w:r w:rsidR="002F7689" w:rsidRPr="00C64ECB">
        <w:t>-</w:t>
      </w:r>
      <w:r w:rsidRPr="00C64ECB">
        <w:t>Fi 802.11a preamble.</w:t>
      </w:r>
    </w:p>
    <w:p w14:paraId="2BB83373" w14:textId="0F045931" w:rsidR="009D4A93" w:rsidRPr="00C64ECB" w:rsidRDefault="009D4A93" w:rsidP="009D4A93">
      <w:r w:rsidRPr="00C64ECB">
        <w:t>Two sources submitted results for indoor scenario with NR-U with CCA-ED reduced below -72dBm for all NR-U devices. The sources indicated fair coexistence with mostly improved performance for both Wi</w:t>
      </w:r>
      <w:r w:rsidR="002F7689" w:rsidRPr="00C64ECB">
        <w:t>-</w:t>
      </w:r>
      <w:r w:rsidRPr="00C64ECB">
        <w:t>Fi and NR-U when NR-U with CCA-ED reduced below -72dBm compared with NR-U with CCA-ED of -62dBm and CCA-PD of -82dBm Wi</w:t>
      </w:r>
      <w:r w:rsidR="002F7689" w:rsidRPr="00C64ECB">
        <w:t>-</w:t>
      </w:r>
      <w:r w:rsidRPr="00C64ECB">
        <w:t>Fi 802.11a preamble.</w:t>
      </w:r>
    </w:p>
    <w:p w14:paraId="66D4E9C5" w14:textId="50742AC1" w:rsidR="004346F3" w:rsidRPr="00C64ECB" w:rsidRDefault="004346F3" w:rsidP="009D4A93">
      <w:r w:rsidRPr="00C64ECB">
        <w:t>For the case where an NR-U network coexists with an 802.11ac network in the indoor scenario and a NR-U DL</w:t>
      </w:r>
      <w:r w:rsidR="00200090">
        <w:t xml:space="preserve">/UL switching gap less than 16 </w:t>
      </w:r>
      <w:r w:rsidR="00200090" w:rsidRPr="00C64ECB">
        <w:rPr>
          <w:rFonts w:ascii="Symbol" w:hAnsi="Symbol"/>
        </w:rPr>
        <w:t></w:t>
      </w:r>
      <w:r w:rsidRPr="00C64ECB">
        <w:t>s, and NR-U UL data transmission after the gap with Category 1 channel access without any additional restrictions on duration other than the MCOT limits, one source has shown that there is a degradation to the throughput and VoIP outage performance of 802.11ac, while another source has shown that the throughput and VoIP outage performance of 802.11ac improves, when compared to the case where two 802.11ac networks coexist.</w:t>
      </w:r>
    </w:p>
    <w:p w14:paraId="549A80D1" w14:textId="77777777" w:rsidR="009D4A93" w:rsidRPr="00C64ECB" w:rsidRDefault="009D4A93" w:rsidP="009D4A93">
      <w:pPr>
        <w:pStyle w:val="Heading3"/>
      </w:pPr>
      <w:bookmarkStart w:id="92" w:name="_Toc531343037"/>
      <w:r w:rsidRPr="00C64ECB">
        <w:t>8.3.2</w:t>
      </w:r>
      <w:r w:rsidRPr="00C64ECB">
        <w:tab/>
        <w:t>Coexistence evaluation results for 6GHz</w:t>
      </w:r>
      <w:bookmarkEnd w:id="92"/>
    </w:p>
    <w:p w14:paraId="464CBB0D" w14:textId="77777777" w:rsidR="009D4A93" w:rsidRPr="00C64ECB" w:rsidRDefault="009D4A93" w:rsidP="009D4A93">
      <w:r w:rsidRPr="00C64ECB">
        <w:t>Key findings of the evaluation results in Annex B.1 for 6GHz band are discussed in this section. Due to its greenfield nature, coexistence evaluations were performed using technology neutral assumptions (eg. channel access mechanism) and the companies provided simulation results along with their assumptions on technology neutral channel access schemes and coexistence performance metrics.</w:t>
      </w:r>
    </w:p>
    <w:p w14:paraId="08B0B57F" w14:textId="77777777" w:rsidR="009D4A93" w:rsidRPr="00C64ECB" w:rsidRDefault="009D4A93" w:rsidP="009D4A93">
      <w:pPr>
        <w:pStyle w:val="Heading4"/>
      </w:pPr>
      <w:bookmarkStart w:id="93" w:name="_Toc531343038"/>
      <w:r w:rsidRPr="00C64ECB">
        <w:t>8.3.2.1</w:t>
      </w:r>
      <w:r w:rsidRPr="00C64ECB">
        <w:tab/>
        <w:t>Detailed findings for indoor scenarios</w:t>
      </w:r>
      <w:bookmarkEnd w:id="93"/>
    </w:p>
    <w:p w14:paraId="7E2F7F75" w14:textId="77777777" w:rsidR="009D4A93" w:rsidRPr="00C64ECB" w:rsidRDefault="009D4A93" w:rsidP="009D4A93">
      <w:r w:rsidRPr="00C64ECB">
        <w:t>Key findings from Tables in Annex B.1 which captured the results for an indoor deployment with one shared unlicensed carrier and FTP traffic are summarized below.</w:t>
      </w:r>
    </w:p>
    <w:p w14:paraId="7F399FCA" w14:textId="253A3694" w:rsidR="009D4A93" w:rsidRPr="00C64ECB" w:rsidRDefault="00394CA4" w:rsidP="00394CA4">
      <w:pPr>
        <w:pStyle w:val="B1"/>
      </w:pPr>
      <w:r>
        <w:t>-</w:t>
      </w:r>
      <w:r>
        <w:tab/>
      </w:r>
      <w:r w:rsidR="009D4A93" w:rsidRPr="00C64ECB">
        <w:t xml:space="preserve">Two sources provided evaluation results for a stand-alone NR-U deployment on an unlicensed carrier specifically for 6GHz. </w:t>
      </w:r>
    </w:p>
    <w:p w14:paraId="60B404FD" w14:textId="27EA4373" w:rsidR="009D4A93" w:rsidRPr="00C64ECB" w:rsidRDefault="00394CA4" w:rsidP="00394CA4">
      <w:pPr>
        <w:pStyle w:val="B2"/>
      </w:pPr>
      <w:r>
        <w:lastRenderedPageBreak/>
        <w:t>-</w:t>
      </w:r>
      <w:r>
        <w:tab/>
      </w:r>
      <w:r w:rsidR="009D4A93" w:rsidRPr="00C64ECB">
        <w:t>One source provided results of Wi-Fi operator with RTS/CTS disabled using CCA-ED of -72dBm and PD of -82dBm and reported an improvement in 37 of the 48 metrics (agreed to be used for the 5GHz bands) for the non-replaced Wi-Fi operator with the maximum degradation being &lt; 4% compared to the case where the Wi-Fi operator was using CCA-ED of -62dBm and PD of -82dBm. In both these cases, all reported metrics for the non-replaced Wi-Fi operator are better with NR-U network as neighbour than Wi-Fi network as neighbour.</w:t>
      </w:r>
    </w:p>
    <w:p w14:paraId="75303A72" w14:textId="2FE6E57E" w:rsidR="009D4A93" w:rsidRPr="00C64ECB" w:rsidRDefault="00394CA4" w:rsidP="00394CA4">
      <w:pPr>
        <w:pStyle w:val="B2"/>
      </w:pPr>
      <w:r>
        <w:rPr>
          <w:rFonts w:eastAsia="Times New Roman"/>
        </w:rPr>
        <w:t>-</w:t>
      </w:r>
      <w:r>
        <w:rPr>
          <w:rFonts w:eastAsia="Times New Roman"/>
        </w:rPr>
        <w:tab/>
      </w:r>
      <w:r w:rsidR="009D4A93" w:rsidRPr="00C64ECB">
        <w:rPr>
          <w:rFonts w:eastAsia="Times New Roman"/>
        </w:rPr>
        <w:t xml:space="preserve">One source also provided results comparing NRU-WiFi coexistence performance for two cases: (Case 1) Wi-Fi node using CCA-ED threshold of -72 and PD of -82dBm; and NR-U node using CCA-ED threshold of -72 dBm, and (Case 2) Wi-Fi node using CCA-ED threshold of -62 and PD of -82dBm; and NR-U node using CCA-ED threshold of -72 dBm and reported that Case 1 provides better </w:t>
      </w:r>
      <w:r w:rsidR="009D4A93" w:rsidRPr="00C64ECB">
        <w:t>coexistence performance than Case 2 for both NRU and Wi</w:t>
      </w:r>
      <w:r w:rsidR="002F7689" w:rsidRPr="00C64ECB">
        <w:t>-</w:t>
      </w:r>
      <w:r w:rsidR="009D4A93" w:rsidRPr="00C64ECB">
        <w:t>Fi nodes.</w:t>
      </w:r>
    </w:p>
    <w:p w14:paraId="563F0DC4" w14:textId="3A569CA9" w:rsidR="009D4A93" w:rsidRPr="00C64ECB" w:rsidRDefault="00394CA4" w:rsidP="00394CA4">
      <w:pPr>
        <w:pStyle w:val="B1"/>
      </w:pPr>
      <w:r>
        <w:t>-</w:t>
      </w:r>
      <w:r>
        <w:tab/>
      </w:r>
      <w:r w:rsidR="009D4A93" w:rsidRPr="00C64ECB">
        <w:t xml:space="preserve">One source provided evaluation results for a non-stand-alone NR-U deployment on an unlicensed carrier specifically for 6GHz. </w:t>
      </w:r>
    </w:p>
    <w:p w14:paraId="4BFFF6D6" w14:textId="44B7D103" w:rsidR="009D4A93" w:rsidRPr="00C64ECB" w:rsidRDefault="00394CA4" w:rsidP="00394CA4">
      <w:pPr>
        <w:pStyle w:val="B2"/>
      </w:pPr>
      <w:r>
        <w:t>-</w:t>
      </w:r>
      <w:r>
        <w:tab/>
      </w:r>
      <w:r w:rsidR="009D4A93" w:rsidRPr="00C64ECB">
        <w:t>One source provided results for CCA-ED threshold varying between -62dBm to -82dBm for case when Wi-Fi operator uses the same CCA-ED and CCA-PD threshold and the NR-U operator uses the same CCA-ED threshold as the Wi-Fi operator and observed that the higher ED threshold of -62dBm provides the best performance. The results showed that Wi-Fi operator using CCA-ED -72 dBm and CCA-PD of -72 dBm gives better Wi-Fi UPT performance than Wi-Fi using CCA-ED -62 dBm and CCA-PD of -82 dBm  for the Wi-Fi operator, while NR-U operator uses CCA-ED -72 dBm. The results showed that Wi-Fi operator using CCA-ED -72 dBm and CCA-PD of -72 dBm while NR-U operator uses CCA-ED -72 dBm gives better Wi-Fi UPT performance than Wi-Fi using CCA-ED -82 dBm and CCA-PD of -82 dBm for the Wi-Fi operator while NR-U operator uses CCA-ED -82 dBm. The results showed that Wi-Fi operator using CCA-ED -72 dBm and CCA-PD of -72 dBm gives better Wi-Fi UPT performance than Wi-Fi using CCA-ED -62 dBm and CCA-PD of -82 dBm for the Wi-Fi operator, while NR-U operator uses CCA-ED of -62dBm and CCA-NRU-PD of -82dBm. The results showed that Wi</w:t>
      </w:r>
      <w:r w:rsidR="002F7689" w:rsidRPr="00C64ECB">
        <w:t>-</w:t>
      </w:r>
      <w:r w:rsidR="009D4A93" w:rsidRPr="00C64ECB">
        <w:t>Fi</w:t>
      </w:r>
      <w:r w:rsidR="002F7689" w:rsidRPr="00C64ECB">
        <w:t xml:space="preserve"> </w:t>
      </w:r>
      <w:r w:rsidR="009D4A93" w:rsidRPr="00C64ECB">
        <w:t>operator using CCA-PD of -82dBm and CCA-ED of -62dBm while NRU operator using CCA-ED of -62dBm gives better UPT performance for both Wi-Fi and NRU operator than Wi</w:t>
      </w:r>
      <w:r w:rsidR="002F7689" w:rsidRPr="00C64ECB">
        <w:t xml:space="preserve">-Fi </w:t>
      </w:r>
      <w:r w:rsidR="009D4A93" w:rsidRPr="00C64ECB">
        <w:t>operator using CCA-PD of -82dBm and CCA-ED of -72dBm while NRU operator using CCA-ED of -72dBm. In all these cases, all reported metrics for the non-replaced Wi-Fi operator are better with NR-U network as neighbour than Wi-Fi network as neighbour.</w:t>
      </w:r>
    </w:p>
    <w:p w14:paraId="564B2F83" w14:textId="77777777" w:rsidR="009D4A93" w:rsidRPr="00C64ECB" w:rsidRDefault="009D4A93" w:rsidP="009D4A93">
      <w:pPr>
        <w:pStyle w:val="Heading4"/>
      </w:pPr>
      <w:bookmarkStart w:id="94" w:name="_Toc531343039"/>
      <w:r w:rsidRPr="00C64ECB">
        <w:t>8.3.2.2</w:t>
      </w:r>
      <w:r w:rsidRPr="00C64ECB">
        <w:tab/>
        <w:t>Detailed findings for outdoor scenario 1</w:t>
      </w:r>
      <w:bookmarkEnd w:id="94"/>
    </w:p>
    <w:p w14:paraId="1D6A9ACB" w14:textId="77777777" w:rsidR="009D4A93" w:rsidRPr="00C64ECB" w:rsidRDefault="009D4A93" w:rsidP="009D4A93">
      <w:r w:rsidRPr="00C64ECB">
        <w:t>Key findings from Tables in Annex B.2 which captured the results for an indoor deployment with one shared unlicensed carrier and FTP traffic are summarized below.</w:t>
      </w:r>
    </w:p>
    <w:p w14:paraId="1DC12E4C" w14:textId="32DD8A6D" w:rsidR="009D4A93" w:rsidRPr="00C64ECB" w:rsidRDefault="00394CA4" w:rsidP="00394CA4">
      <w:pPr>
        <w:pStyle w:val="B1"/>
      </w:pPr>
      <w:r>
        <w:t>-</w:t>
      </w:r>
      <w:r>
        <w:tab/>
      </w:r>
      <w:r w:rsidR="009D4A93" w:rsidRPr="00C64ECB">
        <w:t xml:space="preserve">One source provided evaluation results for a stand-alone NR-U deployment on an unlicensed carrier specifically for 6GHz. </w:t>
      </w:r>
    </w:p>
    <w:p w14:paraId="1719D734" w14:textId="3D7C9342" w:rsidR="009D4A93" w:rsidRPr="00C64ECB" w:rsidRDefault="00394CA4" w:rsidP="00394CA4">
      <w:pPr>
        <w:pStyle w:val="B2"/>
      </w:pPr>
      <w:r>
        <w:t>-</w:t>
      </w:r>
      <w:r>
        <w:tab/>
      </w:r>
      <w:r w:rsidR="009D4A93" w:rsidRPr="00C64ECB">
        <w:t>One source provided results of Wi-Fi operator with RTS/CTS disabled using CCA-ED of -72dBm and PD of -82dBm and reported an improvement in 47 of the 48 metrics (agreed to be used for the 5GHz bands) for the non-replaced Wi-Fi operator with the maximum degradation being &lt; 0.2% compared to the case where the Wi-Fi operator was using CCA-ED of -62dBm and PD of -82dBm. In both these cases, all reported metrics for the non-replaced Wi-Fi operator are better with NR-U network as neighbour than Wi-Fi network as neighbour.</w:t>
      </w:r>
    </w:p>
    <w:p w14:paraId="5561A534" w14:textId="77777777" w:rsidR="009D4A93" w:rsidRPr="00C64ECB" w:rsidRDefault="009D4A93" w:rsidP="009D4A93">
      <w:pPr>
        <w:pStyle w:val="Heading4"/>
        <w:tabs>
          <w:tab w:val="num" w:pos="864"/>
        </w:tabs>
      </w:pPr>
      <w:bookmarkStart w:id="95" w:name="_Toc531343040"/>
      <w:r w:rsidRPr="00C64ECB">
        <w:t>8.3.2.3</w:t>
      </w:r>
      <w:r w:rsidRPr="00C64ECB">
        <w:tab/>
        <w:t>Summary of observations</w:t>
      </w:r>
      <w:bookmarkEnd w:id="95"/>
    </w:p>
    <w:p w14:paraId="1E0BA864" w14:textId="59C91E19" w:rsidR="009D4A93" w:rsidRPr="00C64ECB" w:rsidRDefault="009D4A93" w:rsidP="009D4A93">
      <w:pPr>
        <w:rPr>
          <w:lang w:eastAsia="x-none"/>
        </w:rPr>
      </w:pPr>
      <w:r w:rsidRPr="00C64ECB">
        <w:t xml:space="preserve">For 6 GHz bands, though it is not in the scope of this study to define a fairness criterion with other RATs, a fairness criterion for coexistence has been discussed but no conclusions were reached. </w:t>
      </w:r>
      <w:r w:rsidRPr="00C64ECB">
        <w:rPr>
          <w:lang w:eastAsia="x-none"/>
        </w:rPr>
        <w:t>For 6GHz coexistence evaluation, t</w:t>
      </w:r>
      <w:r w:rsidRPr="00C64ECB">
        <w:t>he parameters and behaviour of Wi</w:t>
      </w:r>
      <w:r w:rsidR="002F7689" w:rsidRPr="00C64ECB">
        <w:t>-</w:t>
      </w:r>
      <w:r w:rsidRPr="00C64ECB">
        <w:t>Fi 802.11ax system and the fairness criterion were left for companies to choose, and are provided together with the evaluation results in Annex B.</w:t>
      </w:r>
      <w:r w:rsidRPr="00C64ECB">
        <w:rPr>
          <w:lang w:eastAsia="x-none"/>
        </w:rPr>
        <w:t xml:space="preserve"> In the submitted evaluation results, the assumption on the technology neutral channel access mechanism is equal CCA-ED threshold.</w:t>
      </w:r>
    </w:p>
    <w:p w14:paraId="4047B867" w14:textId="760327FF" w:rsidR="009D4A93" w:rsidRPr="00C64ECB" w:rsidRDefault="009D4A93" w:rsidP="009D4A93">
      <w:r w:rsidRPr="00C64ECB">
        <w:t>Given the assumptions used in the evaluations, all three sources provided results that show that Wi-</w:t>
      </w:r>
      <w:r w:rsidR="00AF4A15" w:rsidRPr="00C64ECB">
        <w:t>Fi and NR-U performance is impro</w:t>
      </w:r>
      <w:r w:rsidRPr="00C64ECB">
        <w:t>ved when a common CCA-ED threshold is used between Wi-Fi and NR-U compared to when different CCA-ED thresholds are used between Wi</w:t>
      </w:r>
      <w:r w:rsidR="002F7689" w:rsidRPr="00C64ECB">
        <w:t>-</w:t>
      </w:r>
      <w:r w:rsidRPr="00C64ECB">
        <w:t xml:space="preserve">Fi and NR-U. </w:t>
      </w:r>
      <w:r w:rsidR="004346F3" w:rsidRPr="00C64ECB">
        <w:t xml:space="preserve">This was shown for the case where Wi-Fi uses CCA-PD at -82 dBm, and for the case where Wi-Fi uses CCA-PD at the same threshold as CCA-ED. </w:t>
      </w:r>
      <w:r w:rsidRPr="00C64ECB">
        <w:t xml:space="preserve">For indoor scenario, one source observed that Wi-Fi and NR-U performance is improved when a common CCA-ED threshold of -62dBm </w:t>
      </w:r>
      <w:r w:rsidR="00AF4A15" w:rsidRPr="00C64ECB">
        <w:t xml:space="preserve">is used </w:t>
      </w:r>
      <w:r w:rsidRPr="00C64ECB">
        <w:t>compared to when a common CCA-ED threshold of -72dBm is used.</w:t>
      </w:r>
    </w:p>
    <w:p w14:paraId="2EE8E60B" w14:textId="77777777" w:rsidR="007A3D00" w:rsidRPr="00C64ECB" w:rsidRDefault="007A3D00" w:rsidP="007A3D00">
      <w:pPr>
        <w:pStyle w:val="Heading2"/>
        <w:tabs>
          <w:tab w:val="left" w:pos="720"/>
        </w:tabs>
        <w:spacing w:after="240"/>
        <w:ind w:left="0" w:firstLine="0"/>
      </w:pPr>
      <w:bookmarkStart w:id="96" w:name="_Toc531343041"/>
      <w:r w:rsidRPr="00C64ECB">
        <w:lastRenderedPageBreak/>
        <w:t>8.4</w:t>
      </w:r>
      <w:r w:rsidRPr="00C64ECB">
        <w:tab/>
        <w:t>Adjacent channel interference analysis</w:t>
      </w:r>
      <w:bookmarkEnd w:id="96"/>
    </w:p>
    <w:p w14:paraId="37CE07EB" w14:textId="063B2BE2" w:rsidR="007A3D00" w:rsidRPr="00C64ECB" w:rsidRDefault="007A3D00" w:rsidP="007A3D00">
      <w:r w:rsidRPr="00C64ECB">
        <w:rPr>
          <w:lang w:eastAsia="zh-CN"/>
        </w:rPr>
        <w:t>The aim of this section is to evaluate the impact of Adjacent Channel Interference (ACI) on system performance. Therefore,</w:t>
      </w:r>
      <w:r w:rsidR="009F1639" w:rsidRPr="00C64ECB">
        <w:rPr>
          <w:lang w:eastAsia="zh-CN"/>
        </w:rPr>
        <w:t xml:space="preserve"> </w:t>
      </w:r>
      <w:r w:rsidRPr="00C64ECB">
        <w:rPr>
          <w:lang w:eastAsia="zh-CN"/>
        </w:rPr>
        <w:t>a generic scenario</w:t>
      </w:r>
      <w:r w:rsidR="009F1639" w:rsidRPr="00C64ECB">
        <w:rPr>
          <w:lang w:eastAsia="zh-CN"/>
        </w:rPr>
        <w:t xml:space="preserve"> is considered </w:t>
      </w:r>
      <w:r w:rsidRPr="00C64ECB">
        <w:rPr>
          <w:lang w:eastAsia="zh-CN"/>
        </w:rPr>
        <w:t xml:space="preserve">in which the aggressor system and the victim system use adjacent channels. 3GPP has a consolidated procedure to evaluate the impact of ACI. This methodology is based on modelling Adjacent Channel Interference Ratio (ACIR) as described in </w:t>
      </w:r>
      <w:r w:rsidRPr="00C64ECB">
        <w:t>[33].</w:t>
      </w:r>
    </w:p>
    <w:p w14:paraId="761286A1" w14:textId="5D44641E" w:rsidR="007A3D00" w:rsidRPr="00C64ECB" w:rsidRDefault="007A3D00" w:rsidP="007A3D00">
      <w:pPr>
        <w:rPr>
          <w:lang w:val="en-US"/>
        </w:rPr>
      </w:pPr>
      <w:r w:rsidRPr="00C64ECB">
        <w:rPr>
          <w:lang w:val="en-US"/>
        </w:rPr>
        <w:t>Numerous evaluations on adjacent channel coexistence with a similar setup as above</w:t>
      </w:r>
      <w:r w:rsidR="009F1639" w:rsidRPr="00C64ECB">
        <w:rPr>
          <w:lang w:val="en-US"/>
        </w:rPr>
        <w:t xml:space="preserve"> were</w:t>
      </w:r>
      <w:r w:rsidRPr="00C64ECB">
        <w:rPr>
          <w:lang w:val="en-US"/>
        </w:rPr>
        <w:t xml:space="preserve"> done under Rel-13 LAA SI. These results were extensively documented in [31].</w:t>
      </w:r>
    </w:p>
    <w:p w14:paraId="3FC3BA89" w14:textId="77777777" w:rsidR="007A3D00" w:rsidRPr="00C64ECB" w:rsidRDefault="007A3D00" w:rsidP="007A3D00">
      <w:pPr>
        <w:rPr>
          <w:lang w:val="en-US"/>
        </w:rPr>
      </w:pPr>
      <w:r w:rsidRPr="00C64ECB">
        <w:rPr>
          <w:lang w:val="en-US"/>
        </w:rPr>
        <w:t xml:space="preserve">Since similar deployment scenarios are also considered in NR-U compared to LAA, and similar output power levels are considered, then the previous adjacent channel coexistence evaluation between LAA and WiFi can be directly used for comparison between NR-U and WiFi. </w:t>
      </w:r>
    </w:p>
    <w:p w14:paraId="52D7F0E9" w14:textId="5A3CB9B8" w:rsidR="007A3D00" w:rsidRPr="00C64ECB" w:rsidRDefault="007A3D00" w:rsidP="007A3D00">
      <w:pPr>
        <w:rPr>
          <w:lang w:val="en-US"/>
        </w:rPr>
      </w:pPr>
      <w:r w:rsidRPr="00C64ECB">
        <w:rPr>
          <w:lang w:val="en-US"/>
        </w:rPr>
        <w:t xml:space="preserve">Note that, NR-U may have higher spectrum utilization compared to LAA. </w:t>
      </w:r>
      <w:r w:rsidR="009F1639" w:rsidRPr="00C64ECB">
        <w:rPr>
          <w:lang w:val="en-US"/>
        </w:rPr>
        <w:t xml:space="preserve">It is considered to define the </w:t>
      </w:r>
      <w:r w:rsidRPr="00C64ECB">
        <w:rPr>
          <w:lang w:val="en-US"/>
        </w:rPr>
        <w:t xml:space="preserve">same ACLR (and ACS) requirements for LAA and NR-U (in 5GHz as an example), since ACLR (and ACS) requirements for NR FR1 </w:t>
      </w:r>
      <w:r w:rsidR="009F1639" w:rsidRPr="00C64ECB">
        <w:rPr>
          <w:lang w:val="en-US"/>
        </w:rPr>
        <w:t xml:space="preserve">are the </w:t>
      </w:r>
      <w:r w:rsidRPr="00C64ECB">
        <w:rPr>
          <w:lang w:val="en-US"/>
        </w:rPr>
        <w:t xml:space="preserve">same as </w:t>
      </w:r>
      <w:r w:rsidR="009F1639" w:rsidRPr="00C64ECB">
        <w:rPr>
          <w:lang w:val="en-US"/>
        </w:rPr>
        <w:t xml:space="preserve">for </w:t>
      </w:r>
      <w:r w:rsidRPr="00C64ECB">
        <w:rPr>
          <w:lang w:val="en-US"/>
        </w:rPr>
        <w:t xml:space="preserve">LTE. So, regardless of the higher spectrum utilization in NR, the same ACLR has to be met by NR-U devices. </w:t>
      </w:r>
    </w:p>
    <w:p w14:paraId="4141FE00" w14:textId="1B397E93" w:rsidR="007A3D00" w:rsidRPr="00C64ECB" w:rsidRDefault="007A3D00" w:rsidP="007A3D00">
      <w:pPr>
        <w:rPr>
          <w:lang w:val="en-US"/>
        </w:rPr>
      </w:pPr>
      <w:r w:rsidRPr="00C64ECB">
        <w:rPr>
          <w:lang w:val="en-US"/>
        </w:rPr>
        <w:t xml:space="preserve">In NR-U, </w:t>
      </w:r>
      <w:r w:rsidR="009F1639" w:rsidRPr="00C64ECB">
        <w:rPr>
          <w:lang w:val="en-US"/>
        </w:rPr>
        <w:t>there will be</w:t>
      </w:r>
      <w:r w:rsidRPr="00C64ECB">
        <w:rPr>
          <w:lang w:val="en-US"/>
        </w:rPr>
        <w:t xml:space="preserve"> higher </w:t>
      </w:r>
      <w:r w:rsidR="009F1639" w:rsidRPr="00C64ECB">
        <w:rPr>
          <w:lang w:val="en-US"/>
        </w:rPr>
        <w:t>channel bandwidth (</w:t>
      </w:r>
      <w:r w:rsidRPr="00C64ECB">
        <w:rPr>
          <w:lang w:val="en-US"/>
        </w:rPr>
        <w:t>CBW</w:t>
      </w:r>
      <w:r w:rsidR="009F1639" w:rsidRPr="00C64ECB">
        <w:rPr>
          <w:lang w:val="en-US"/>
        </w:rPr>
        <w:t>)</w:t>
      </w:r>
      <w:r w:rsidRPr="00C64ECB">
        <w:rPr>
          <w:lang w:val="en-US"/>
        </w:rPr>
        <w:t xml:space="preserve"> than 20MHz. However, this will not change the already understood conclusions from LAA regarding ACLR and ACS, since the ACLR and ACS values specified in LAA are</w:t>
      </w:r>
      <w:r w:rsidR="009F1639" w:rsidRPr="00C64ECB">
        <w:rPr>
          <w:lang w:val="en-US"/>
        </w:rPr>
        <w:t xml:space="preserve"> the</w:t>
      </w:r>
      <w:r w:rsidR="0075222C" w:rsidRPr="00C64ECB">
        <w:rPr>
          <w:lang w:val="en-US"/>
        </w:rPr>
        <w:t xml:space="preserve"> </w:t>
      </w:r>
      <w:r w:rsidRPr="00C64ECB">
        <w:rPr>
          <w:lang w:val="en-US"/>
        </w:rPr>
        <w:t xml:space="preserve">same for single carrier operation and contiguous CA operation, meaning in both cases, an LAA BS has to satisfy 35dB ACLR outside its channel bandwidth. </w:t>
      </w:r>
    </w:p>
    <w:p w14:paraId="1BBA1A4C" w14:textId="7FB23F9C" w:rsidR="007A3D00" w:rsidRPr="00C64ECB" w:rsidRDefault="007A3D00" w:rsidP="007A3D00">
      <w:pPr>
        <w:rPr>
          <w:lang w:val="en-US"/>
        </w:rPr>
      </w:pPr>
      <w:r w:rsidRPr="00C64ECB">
        <w:rPr>
          <w:lang w:val="en-US"/>
        </w:rPr>
        <w:t>Thus the following</w:t>
      </w:r>
      <w:r w:rsidR="009F1639" w:rsidRPr="00C64ECB">
        <w:rPr>
          <w:lang w:val="en-US"/>
        </w:rPr>
        <w:t xml:space="preserve"> is concluded</w:t>
      </w:r>
      <w:r w:rsidRPr="00C64ECB">
        <w:rPr>
          <w:lang w:val="en-US"/>
        </w:rPr>
        <w:t xml:space="preserve">: </w:t>
      </w:r>
    </w:p>
    <w:p w14:paraId="4D8F9659" w14:textId="28024D21" w:rsidR="007A3D00" w:rsidRPr="00C64ECB" w:rsidRDefault="007A3D00" w:rsidP="00394CA4">
      <w:pPr>
        <w:pStyle w:val="B1"/>
      </w:pPr>
      <w:r w:rsidRPr="00C64ECB">
        <w:t>-</w:t>
      </w:r>
      <w:r w:rsidRPr="00C64ECB">
        <w:tab/>
        <w:t>The deployment scenario in Rel-15 NR-U is very similar to Rel-13 LAA deployment scenario and the regulatory requirements remain the same for 5GHz spectrum, so the conclusions of Rel-13 LAA adjacent channel coexistence evaluations are equally applicable to Rel-15 NR-U.</w:t>
      </w:r>
    </w:p>
    <w:p w14:paraId="331F4AF2" w14:textId="22D6F7EC" w:rsidR="003F074D" w:rsidRPr="00C64ECB" w:rsidRDefault="007A3D00" w:rsidP="00394CA4">
      <w:pPr>
        <w:pStyle w:val="B1"/>
      </w:pPr>
      <w:r w:rsidRPr="00C64ECB">
        <w:t>-</w:t>
      </w:r>
      <w:r w:rsidRPr="00C64ECB">
        <w:tab/>
        <w:t>It is possible to assume same ACLR (and ACS) requirements for LAA and NR-U (in 5GHz as an example), following the principle that, ACLR (and ACS) requirements for other NR FR1 bands are the same as LTE.</w:t>
      </w:r>
    </w:p>
    <w:p w14:paraId="4314C8B1" w14:textId="30240788" w:rsidR="00DE7ACB" w:rsidRPr="00C64ECB" w:rsidRDefault="00E91463" w:rsidP="00AF4A15">
      <w:pPr>
        <w:pStyle w:val="Heading1"/>
        <w:ind w:left="0" w:firstLine="0"/>
      </w:pPr>
      <w:bookmarkStart w:id="97" w:name="_Toc531343042"/>
      <w:r w:rsidRPr="00C64ECB">
        <w:t>9</w:t>
      </w:r>
      <w:r w:rsidR="00DE7ACB" w:rsidRPr="00C64ECB">
        <w:tab/>
        <w:t>Conclusions</w:t>
      </w:r>
      <w:bookmarkEnd w:id="97"/>
    </w:p>
    <w:p w14:paraId="7096EA28" w14:textId="77777777" w:rsidR="00842043" w:rsidRPr="00C64ECB" w:rsidRDefault="00842043" w:rsidP="00842043">
      <w:pPr>
        <w:rPr>
          <w:rFonts w:eastAsia="Times New Roman"/>
        </w:rPr>
      </w:pPr>
      <w:r w:rsidRPr="00C64ECB">
        <w:rPr>
          <w:rFonts w:eastAsia="Times New Roman"/>
        </w:rPr>
        <w:t>This technical report presents the results of a study on the operation of NR in sub 7 GHz unlicensed spectrum (NR-U). Multiple deployment scenarios for NR-U have been identified, including carrier aggregation (CA) with NR, dual connectivity (DC) with LTE or NR, stand-alone (SA), and SA with DL in unlicensed band and UL in licensed band.</w:t>
      </w:r>
    </w:p>
    <w:p w14:paraId="26850631" w14:textId="1502BAF9" w:rsidR="00842043" w:rsidRPr="00C64ECB" w:rsidRDefault="00842043" w:rsidP="00842043">
      <w:pPr>
        <w:rPr>
          <w:rFonts w:eastAsia="Times New Roman"/>
        </w:rPr>
      </w:pPr>
      <w:r w:rsidRPr="00C64ECB">
        <w:rPr>
          <w:rFonts w:eastAsia="Times New Roman"/>
        </w:rPr>
        <w:t>The modifications to NR needed to allow it to operate in unlicensed spectrum as a Secondary cell through carrier aggregation, as a PSCell through DC</w:t>
      </w:r>
      <w:r w:rsidRPr="00C64ECB">
        <w:rPr>
          <w:rFonts w:eastAsia="Times New Roman" w:hint="eastAsia"/>
          <w:lang w:eastAsia="zh-CN"/>
        </w:rPr>
        <w:t>,</w:t>
      </w:r>
      <w:r w:rsidRPr="00C64ECB">
        <w:rPr>
          <w:rFonts w:eastAsia="Times New Roman"/>
        </w:rPr>
        <w:t xml:space="preserve"> and as a primary cell in stand-alone deployment are studied and documented. The relevant regulatory requirements have been summarized in section 4. The study concludes that </w:t>
      </w:r>
      <w:r w:rsidR="00AE199E" w:rsidRPr="00C64ECB">
        <w:rPr>
          <w:rFonts w:eastAsia="Times New Roman"/>
        </w:rPr>
        <w:t>it is feasible to modify NR to operate in unlicensed spectrum in carrier aggregation (CA) with a licensed band NR carrier(s), dual connectivity (DC) with LTE or NR in a licensed band, stand-alone (SA) with DL and UL in unlicensed band, and SA with DL in unlicensed band and UL in licensed band.</w:t>
      </w:r>
    </w:p>
    <w:p w14:paraId="5B28B036" w14:textId="77777777" w:rsidR="00842043" w:rsidRPr="00C64ECB" w:rsidRDefault="00842043" w:rsidP="00842043">
      <w:pPr>
        <w:rPr>
          <w:rFonts w:eastAsia="Times New Roman"/>
        </w:rPr>
      </w:pPr>
      <w:r w:rsidRPr="00C64ECB">
        <w:rPr>
          <w:rFonts w:eastAsia="Times New Roman"/>
        </w:rPr>
        <w:t>When deployed in unlicensed bands, NR-U needs to coexist with other deployments with same or other RATs, and coexistence performance has been evaluated. For the coexistence evaluation, three scenarios (indoor, outdoor scenario 1, and outdoor scenario 2) have been defined, as documented in section 8.</w:t>
      </w:r>
    </w:p>
    <w:p w14:paraId="7B6D6B25" w14:textId="77777777" w:rsidR="00842043" w:rsidRPr="00C64ECB" w:rsidRDefault="00842043" w:rsidP="00842043">
      <w:pPr>
        <w:rPr>
          <w:rFonts w:eastAsia="Times New Roman"/>
        </w:rPr>
      </w:pPr>
      <w:r w:rsidRPr="00C64ECB">
        <w:rPr>
          <w:rFonts w:eastAsia="Times New Roman"/>
        </w:rPr>
        <w:t xml:space="preserve">For 5GHz band, where Wi-Fi 802.11ac has been widely deployed, the coexistence evaluation assumes two independent networks (e.g., NR-U+Wi-Fi or Wi-Fi+Wi-Fi) are deployed in the same area, and the fairness criterion is defined as the NR-U network not degrading Wi-Fi 802.11ac network performance when NR-U and Wi-Fi 802.11ac are deployed in the area compared to the case where two Wi-Fi 802.11ac networks are deployed in the area, i.e., the same fairness criterion as used in the LTE LAA studies [31]. </w:t>
      </w:r>
    </w:p>
    <w:p w14:paraId="37692DE5" w14:textId="77777777" w:rsidR="00842043" w:rsidRPr="00C64ECB" w:rsidRDefault="00842043" w:rsidP="00842043">
      <w:r w:rsidRPr="00C64ECB">
        <w:rPr>
          <w:rFonts w:eastAsia="Times New Roman"/>
        </w:rPr>
        <w:t xml:space="preserve">For 6GHz band (e.g. US 5925 – 7125 MHz, or European 5925 – 6425 MHz, or parts thereof), since both NR-U and Wi-Fi are new systems to be deployed in these bands (band definitions depending on regulations), a technology neutral fairness criterion is required for the coexistence evaluation. </w:t>
      </w:r>
      <w:r w:rsidRPr="00C64ECB">
        <w:t>Though it is not in the scope of this study to define a fairness criterion with other RATs, a fairness criterion for coexistence has been discussed but no conclusions were reached. For the 6 GHz coexistence evaluation in this study, the assumption of same CCA-ED threshold across technologies is applied as the technology neutral channel access mechanism.</w:t>
      </w:r>
    </w:p>
    <w:p w14:paraId="3343BC67" w14:textId="77777777" w:rsidR="00842043" w:rsidRPr="00C64ECB" w:rsidRDefault="00842043" w:rsidP="00842043">
      <w:pPr>
        <w:rPr>
          <w:rFonts w:eastAsia="Times New Roman"/>
        </w:rPr>
      </w:pPr>
      <w:r w:rsidRPr="00C64ECB">
        <w:rPr>
          <w:rFonts w:eastAsia="Times New Roman"/>
        </w:rPr>
        <w:lastRenderedPageBreak/>
        <w:t>The coexistence evaluations performed during the study item are documented in section 8.3. The 5GHz band coexistence evaluation results are listed in Section 8.3.1. The studies show that when the appropriate channel access schemes, as defined in Section 8.2, are used, it is feasible for NR-U to achieve fair coexistence with Wi-Fi, and for NR-U to coexist with itself, under conditions described in Section 8.3.1.4. The 6GHz band coexistence evaluation results are listed in Section 8.3.2.</w:t>
      </w:r>
    </w:p>
    <w:p w14:paraId="2BB54797" w14:textId="77777777" w:rsidR="00842043" w:rsidRPr="00C64ECB" w:rsidRDefault="00842043" w:rsidP="00842043">
      <w:pPr>
        <w:jc w:val="both"/>
        <w:rPr>
          <w:rFonts w:eastAsia="Times New Roman"/>
        </w:rPr>
      </w:pPr>
      <w:r w:rsidRPr="00C64ECB">
        <w:rPr>
          <w:rFonts w:eastAsia="Times New Roman"/>
        </w:rPr>
        <w:t>Wideband operation in integer multiple of 20MHz is supported in NR-U and channel access can be performed at least in units of 20MHz, at least for band where absence of Wi-Fi cannot be guaranteed. Options to support wideband operation have been identified (Section 7.2.1.1)</w:t>
      </w:r>
    </w:p>
    <w:p w14:paraId="5B3FAB53" w14:textId="77777777" w:rsidR="00842043" w:rsidRPr="00C64ECB" w:rsidRDefault="00842043" w:rsidP="00842043">
      <w:pPr>
        <w:jc w:val="both"/>
        <w:rPr>
          <w:rFonts w:eastAsia="Times New Roman"/>
        </w:rPr>
      </w:pPr>
      <w:r w:rsidRPr="00C64ECB">
        <w:rPr>
          <w:rFonts w:eastAsia="Times New Roman"/>
        </w:rPr>
        <w:t xml:space="preserve">For LBE mode of operation, it is recommended that NR-U supports single DL/UL switching point operation within a gNB initiated COT, as in LTE-LAA, as well as multiple DL/UL switching points within a gNB initiated COT. </w:t>
      </w:r>
      <w:bookmarkStart w:id="98" w:name="_Hlk529558929"/>
      <w:r w:rsidRPr="00C64ECB">
        <w:rPr>
          <w:rFonts w:eastAsia="Times New Roman"/>
        </w:rPr>
        <w:t>It is recommended that Cat 4 channel access is used for gNB or UE to initiate a COT for normal data transmissions, while gNB can use Cat 2 channel access for DRS transmission when DRS satisfies some conditions (Section 7.2.1.3.1). It is recommended that for a switching point gap of up to 16 µs, where the gap accommodates for the transceiver turnaround time, immediate transmission can take place within the same COT</w:t>
      </w:r>
      <w:bookmarkEnd w:id="98"/>
      <w:r w:rsidRPr="00C64ECB">
        <w:rPr>
          <w:rFonts w:eastAsia="Times New Roman"/>
        </w:rPr>
        <w:t xml:space="preserve">. It is recommended that for a gap of more than </w:t>
      </w:r>
      <w:bookmarkStart w:id="99" w:name="_Hlk529527873"/>
      <w:r w:rsidRPr="00C64ECB">
        <w:rPr>
          <w:rFonts w:eastAsia="Times New Roman"/>
        </w:rPr>
        <w:t>16 µs but less than 25 µs</w:t>
      </w:r>
      <w:bookmarkEnd w:id="99"/>
      <w:r w:rsidRPr="00C64ECB">
        <w:rPr>
          <w:rFonts w:eastAsia="Times New Roman"/>
        </w:rPr>
        <w:t xml:space="preserve">, Cat 2 LBT can be used within the same COT. It is also recommended that for the case of a single switching point within a COT, where the switching gap exceeds 25 µs, Cat 2 LBT can be used within the same COT (Section 7.2.1.3.1). Partial slot transmission at the beginning of the gNB or UE initiated COT is identified as beneficial and multiple techniques to support partial slot transmissions have been studied. </w:t>
      </w:r>
    </w:p>
    <w:p w14:paraId="733D5E5C" w14:textId="77777777" w:rsidR="00842043" w:rsidRPr="00C64ECB" w:rsidRDefault="00842043" w:rsidP="00842043">
      <w:pPr>
        <w:rPr>
          <w:rFonts w:eastAsia="Times New Roman"/>
        </w:rPr>
      </w:pPr>
      <w:r w:rsidRPr="00C64ECB">
        <w:rPr>
          <w:rFonts w:eastAsia="Times New Roman"/>
        </w:rPr>
        <w:t>For FBE mode of operation, according to regulation, the channel access of FBE is in unit of fixed frame periods. A Cat 2 LBT is used before each fixed frame period to determine if the fixed frame period can be occupied. Within an occupied fixed frame period, for a gap of up to 16 µs, Cat 1 channel access can be used. For a gap of more than 16 µs in an occupied fixed frame period, Cat 2 LBT should be used.</w:t>
      </w:r>
    </w:p>
    <w:p w14:paraId="58114D0B" w14:textId="77777777" w:rsidR="00842043" w:rsidRPr="00C64ECB" w:rsidRDefault="00842043" w:rsidP="00842043">
      <w:pPr>
        <w:rPr>
          <w:rFonts w:eastAsia="Times New Roman"/>
        </w:rPr>
      </w:pPr>
      <w:r w:rsidRPr="00C64ECB">
        <w:rPr>
          <w:rFonts w:eastAsia="Times New Roman"/>
        </w:rPr>
        <w:t xml:space="preserve">The enhancements needed for initial access and mobility procedures are captured in Section 7.2.1.3.2. The issue of reduced transmission opportunities due to LBT failure for SS/PBCH block transmission, message 1/2/3/4 transmission in 4-step RACH procedure, RLM/RRM, and paging has been identified, and some enhancements are described. </w:t>
      </w:r>
    </w:p>
    <w:p w14:paraId="75129767" w14:textId="77777777" w:rsidR="00842043" w:rsidRPr="00C64ECB" w:rsidRDefault="00842043" w:rsidP="00842043">
      <w:r w:rsidRPr="00C64ECB">
        <w:rPr>
          <w:rFonts w:eastAsia="Times New Roman"/>
        </w:rPr>
        <w:t xml:space="preserve">For HARQ, benefits of supporting the transmission of all HARQ A/N within the same shared COT as the PDSCH(s), have been identified. Multiple techniques to handle reduced HARQ A/N transmission opportunities due to LBT failure have been identified (Section 7.2.1.3.3). Furthermore, enhancements to UL scheduling, such as </w:t>
      </w:r>
      <w:r w:rsidRPr="00C64ECB">
        <w:t>scheduling multiple slots for PUSCH(s) using a single UL grant, as is possible for LTE-eLAA, were identified as beneficial.</w:t>
      </w:r>
    </w:p>
    <w:p w14:paraId="790F7E10" w14:textId="77777777" w:rsidR="00842043" w:rsidRPr="00C64ECB" w:rsidRDefault="00842043" w:rsidP="00842043">
      <w:pPr>
        <w:rPr>
          <w:rFonts w:eastAsia="Times New Roman"/>
        </w:rPr>
      </w:pPr>
      <w:r w:rsidRPr="00C64ECB">
        <w:rPr>
          <w:rFonts w:eastAsia="Times New Roman"/>
        </w:rPr>
        <w:t xml:space="preserve">For configured grant, benefits of enhancing the NR design for NR-U have been identified (Section 7.2.1.3.4). Introducing UCI on PUSCH to carry HARQ process ID, NDI, RVID has been identified as beneficial in removing dependencies of HARQ process information to the timing. The identified enhancements also include introducing Downlink Feedback Information (DFI) including HARQ feedback for configured grant transmission, increased flexibility on time domain resource allocation for the configured grant transmissions and supporting retransmissions without explicit UL grant. </w:t>
      </w:r>
    </w:p>
    <w:p w14:paraId="36C0155F" w14:textId="77777777" w:rsidR="00842043" w:rsidRPr="00C64ECB" w:rsidRDefault="00842043" w:rsidP="00842043">
      <w:pPr>
        <w:rPr>
          <w:rFonts w:eastAsia="Times New Roman"/>
        </w:rPr>
      </w:pPr>
      <w:r w:rsidRPr="00C64ECB">
        <w:rPr>
          <w:rFonts w:eastAsia="Times New Roman"/>
        </w:rPr>
        <w:t xml:space="preserve">The enhancements identified for physical layer signal and channels are captured in Section 7.2.1.2. For SS/PBCH block transmission in NR-U DRS, it has been identified as beneficial to include CSI-RS and RMSI-CORESET(s) and RMSI-PDSCH(s) in the same contiguous burst when transmission of CSI-RS/RMSI are configured. Optionally OSI and paging can be transmitted in the same DRS </w:t>
      </w:r>
      <w:r w:rsidRPr="00C64ECB">
        <w:t>if there are available resources</w:t>
      </w:r>
      <w:r w:rsidRPr="00C64ECB">
        <w:rPr>
          <w:rFonts w:eastAsia="Times New Roman"/>
        </w:rPr>
        <w:t xml:space="preserve">. For UL signals/channels, a study on the waveform design to satisfy the Occupied Channel Bandwidth requirement and Power Spectral Density requirements of unlicensed bands was conducted, and it was determined that it is feasible to introduce a block-interlaced waveform for PUCCH and PUSCH for UL as enhancements to existing NR UL waveforms to satisfy the requirements. </w:t>
      </w:r>
      <w:r w:rsidRPr="00C64ECB">
        <w:t>It has been identified that enhancement of one or more Rel.15 NR PRACH formats is feasible. Several enhancements to SRS design have been identified.</w:t>
      </w:r>
    </w:p>
    <w:p w14:paraId="550D6376" w14:textId="26568716" w:rsidR="00895A66" w:rsidRPr="00C64ECB" w:rsidRDefault="00895A66" w:rsidP="00895A66">
      <w:pPr>
        <w:rPr>
          <w:rFonts w:eastAsia="Times New Roman"/>
        </w:rPr>
      </w:pPr>
      <w:bookmarkStart w:id="100" w:name="_Hlk530028531"/>
      <w:r w:rsidRPr="00C64ECB">
        <w:rPr>
          <w:rFonts w:eastAsia="Times New Roman"/>
        </w:rPr>
        <w:t>From RAN2 perspective, the radio interface architecture and protocols between UE and RAN to support operation in unlicensed spectrum were studied. This included MAC, RLM, RRM, mobility, and other layer 2/3 user and control plane aspects. The recommended enhancements to NR baseline are of two types:</w:t>
      </w:r>
    </w:p>
    <w:p w14:paraId="7DAD7896" w14:textId="4B5C3360" w:rsidR="00895A66" w:rsidRPr="00C64ECB" w:rsidRDefault="00394CA4" w:rsidP="00394CA4">
      <w:pPr>
        <w:pStyle w:val="B1"/>
        <w:rPr>
          <w:rStyle w:val="CommentReference"/>
          <w:rFonts w:eastAsia="Times New Roman"/>
        </w:rPr>
      </w:pPr>
      <w:r>
        <w:t>-</w:t>
      </w:r>
      <w:r>
        <w:tab/>
      </w:r>
      <w:r w:rsidR="00895A66" w:rsidRPr="00C64ECB">
        <w:t xml:space="preserve">A set of enhancements to alleviate the impact of LBT </w:t>
      </w:r>
      <w:r w:rsidR="00895A66" w:rsidRPr="00C64ECB">
        <w:rPr>
          <w:rFonts w:hint="eastAsia"/>
          <w:lang w:eastAsia="zh-CN"/>
        </w:rPr>
        <w:t xml:space="preserve">(e.g., </w:t>
      </w:r>
      <w:r w:rsidR="00895A66" w:rsidRPr="00C64ECB">
        <w:rPr>
          <w:lang w:eastAsia="zh-CN"/>
        </w:rPr>
        <w:t xml:space="preserve">impacts of </w:t>
      </w:r>
      <w:r w:rsidR="00895A66" w:rsidRPr="00C64ECB">
        <w:t>reduced transmission opportunities</w:t>
      </w:r>
      <w:r w:rsidR="00895A66" w:rsidRPr="00C64ECB">
        <w:rPr>
          <w:rFonts w:hint="eastAsia"/>
          <w:lang w:eastAsia="zh-CN"/>
        </w:rPr>
        <w:t>)</w:t>
      </w:r>
      <w:r w:rsidR="00895A66" w:rsidRPr="00C64ECB">
        <w:rPr>
          <w:rStyle w:val="CommentReference"/>
          <w:lang w:val="en-US"/>
        </w:rPr>
        <w:t>;</w:t>
      </w:r>
    </w:p>
    <w:p w14:paraId="02F800B7" w14:textId="4C30706C" w:rsidR="00895A66" w:rsidRPr="00C64ECB" w:rsidRDefault="00394CA4" w:rsidP="00394CA4">
      <w:pPr>
        <w:pStyle w:val="B1"/>
      </w:pPr>
      <w:r>
        <w:t>-</w:t>
      </w:r>
      <w:r>
        <w:tab/>
      </w:r>
      <w:r w:rsidR="00895A66" w:rsidRPr="00C64ECB">
        <w:t xml:space="preserve">Enhancements needed due to the unique nature of operation in unlicensed spectrum (e.g. support for multiple operators in the same frequency). </w:t>
      </w:r>
    </w:p>
    <w:p w14:paraId="7F402772" w14:textId="77777777" w:rsidR="00895A66" w:rsidRPr="00C64ECB" w:rsidRDefault="00895A66" w:rsidP="00895A66">
      <w:pPr>
        <w:rPr>
          <w:rFonts w:eastAsia="Times New Roman"/>
        </w:rPr>
      </w:pPr>
      <w:r w:rsidRPr="00C64ECB">
        <w:rPr>
          <w:rFonts w:eastAsia="Times New Roman"/>
        </w:rPr>
        <w:t>It was concluded that the NR licensed baseline along with the enhancements captured in this TR can support NR-U operation in CA, DC, and stand-alone (SA) modes.</w:t>
      </w:r>
    </w:p>
    <w:p w14:paraId="5B363EBF" w14:textId="77777777" w:rsidR="00895A66" w:rsidRPr="00C64ECB" w:rsidRDefault="00895A66" w:rsidP="00895A66">
      <w:bookmarkStart w:id="101" w:name="_Hlk530027002"/>
      <w:r w:rsidRPr="00C64ECB">
        <w:lastRenderedPageBreak/>
        <w:t xml:space="preserve">The system level aspects of NR-U were also studied. It was concluded that, other than support of differentiated policy and charging, no other impact to EPS and 5GS is expected. Furthermore, it is expected that aspects associated with non-public networks will be covered under ongoing work in SA groups. </w:t>
      </w:r>
    </w:p>
    <w:bookmarkEnd w:id="100"/>
    <w:bookmarkEnd w:id="101"/>
    <w:p w14:paraId="7E72DD24" w14:textId="78481767" w:rsidR="007A3D00" w:rsidRPr="00C64ECB" w:rsidRDefault="007A3D00" w:rsidP="007A3D00">
      <w:r w:rsidRPr="00C64ECB">
        <w:t>From RAN4 perspective, based on the discussions in Section 8.4, it can be concluded that, if NR-U has similar adjacent channel leakage as LAA, then NR-U and Wi-Fi can coexist in adjacent channels. If NR-U has similar leakage and selectivity requirements as LAA, the LAA study can be used to conclude that NR-U will cause less adjacent channel interference to a Wi-Fi system compared to another Wi-Fi system.</w:t>
      </w:r>
    </w:p>
    <w:p w14:paraId="179AA30B" w14:textId="77777777" w:rsidR="007A3D00" w:rsidRPr="00C64ECB" w:rsidRDefault="007A3D00" w:rsidP="007A3D00">
      <w:r w:rsidRPr="00C64ECB">
        <w:t>It is feasible for UEs and BSs to operate in the 5GHz unlicensed spectrum as NR-U systems. Suitable RF requirements should be specified taking into account issues including implementation complexity and performance.</w:t>
      </w:r>
    </w:p>
    <w:p w14:paraId="7141BDA0" w14:textId="77777777" w:rsidR="001603EA" w:rsidRPr="00C64ECB" w:rsidRDefault="001603EA" w:rsidP="001603EA"/>
    <w:bookmarkEnd w:id="69"/>
    <w:bookmarkEnd w:id="70"/>
    <w:p w14:paraId="1087A8F7" w14:textId="77777777" w:rsidR="00842043" w:rsidRPr="00C64ECB" w:rsidRDefault="00842043">
      <w:pPr>
        <w:spacing w:after="0"/>
        <w:rPr>
          <w:rFonts w:ascii="Arial" w:hAnsi="Arial"/>
          <w:sz w:val="36"/>
          <w:lang w:eastAsia="x-none"/>
        </w:rPr>
      </w:pPr>
      <w:r w:rsidRPr="00C64ECB">
        <w:br w:type="page"/>
      </w:r>
    </w:p>
    <w:p w14:paraId="0F63F39D" w14:textId="2F19EC36" w:rsidR="00DE7ACB" w:rsidRPr="00C64ECB" w:rsidRDefault="00DE7ACB" w:rsidP="001603EA">
      <w:pPr>
        <w:pStyle w:val="Heading9"/>
      </w:pPr>
      <w:bookmarkStart w:id="102" w:name="_Toc531343043"/>
      <w:r w:rsidRPr="00C64ECB">
        <w:lastRenderedPageBreak/>
        <w:t>Annex A:</w:t>
      </w:r>
      <w:r w:rsidRPr="00C64ECB">
        <w:br/>
      </w:r>
      <w:r w:rsidR="00401EE9" w:rsidRPr="00C64ECB">
        <w:t>Evaluation methodology</w:t>
      </w:r>
      <w:bookmarkEnd w:id="102"/>
    </w:p>
    <w:p w14:paraId="08858230" w14:textId="77777777" w:rsidR="00B11515" w:rsidRPr="00C64ECB" w:rsidRDefault="00B11515" w:rsidP="001603EA">
      <w:pPr>
        <w:pStyle w:val="Heading1"/>
      </w:pPr>
      <w:bookmarkStart w:id="103" w:name="_Toc531343044"/>
      <w:r w:rsidRPr="00C64ECB">
        <w:t>A.1</w:t>
      </w:r>
      <w:r w:rsidRPr="00C64ECB">
        <w:tab/>
        <w:t>General evaluation assumptions</w:t>
      </w:r>
      <w:bookmarkEnd w:id="103"/>
    </w:p>
    <w:p w14:paraId="78F4AFE9" w14:textId="77777777" w:rsidR="009D4A93" w:rsidRPr="00C64ECB" w:rsidRDefault="009D4A93" w:rsidP="009D4A93">
      <w:pPr>
        <w:pStyle w:val="Heading3"/>
      </w:pPr>
      <w:bookmarkStart w:id="104" w:name="_Toc531343045"/>
      <w:r w:rsidRPr="00C64ECB">
        <w:t>A.1.1</w:t>
      </w:r>
      <w:r w:rsidRPr="00C64ECB">
        <w:tab/>
        <w:t>Evaluation assumptions for sub 7GHz indoor scenario</w:t>
      </w:r>
      <w:bookmarkEnd w:id="104"/>
    </w:p>
    <w:p w14:paraId="5E0D638C" w14:textId="77777777" w:rsidR="009D4A93" w:rsidRPr="00C64ECB" w:rsidRDefault="009D4A93" w:rsidP="009D4A93">
      <w:r w:rsidRPr="00C64ECB">
        <w:t>The evaluation parameters for sub7 GHz indoor scenario are as given in Table A.1.1-1. Other parameters not explicitly included in the table will use values defined in [28] and [29].</w:t>
      </w:r>
    </w:p>
    <w:p w14:paraId="42B0CCE6" w14:textId="77777777" w:rsidR="009D4A93" w:rsidRPr="00C64ECB" w:rsidRDefault="009D4A93" w:rsidP="00394CA4">
      <w:pPr>
        <w:pStyle w:val="TH"/>
      </w:pPr>
      <w:r w:rsidRPr="00C64ECB">
        <w:t>Table A.1.1-1: Evaluation parameters for sub7 GHz indoor scenario</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9"/>
        <w:gridCol w:w="6130"/>
      </w:tblGrid>
      <w:tr w:rsidR="009D4A93" w:rsidRPr="005234EA" w14:paraId="40131157" w14:textId="77777777" w:rsidTr="009D4A93">
        <w:trPr>
          <w:jc w:val="center"/>
        </w:trPr>
        <w:tc>
          <w:tcPr>
            <w:tcW w:w="3329" w:type="dxa"/>
            <w:shd w:val="clear" w:color="auto" w:fill="auto"/>
          </w:tcPr>
          <w:p w14:paraId="13B161A2" w14:textId="77777777" w:rsidR="009D4A93" w:rsidRPr="005234EA" w:rsidRDefault="009D4A93" w:rsidP="009D4A93">
            <w:pPr>
              <w:pStyle w:val="TAH"/>
              <w:rPr>
                <w:sz w:val="20"/>
              </w:rPr>
            </w:pPr>
            <w:r w:rsidRPr="005234EA">
              <w:rPr>
                <w:sz w:val="20"/>
              </w:rPr>
              <w:t>Parameter</w:t>
            </w:r>
          </w:p>
        </w:tc>
        <w:tc>
          <w:tcPr>
            <w:tcW w:w="6130" w:type="dxa"/>
            <w:shd w:val="clear" w:color="auto" w:fill="auto"/>
          </w:tcPr>
          <w:p w14:paraId="16FB41AC" w14:textId="77777777" w:rsidR="009D4A93" w:rsidRPr="005234EA" w:rsidRDefault="009D4A93" w:rsidP="009D4A93">
            <w:pPr>
              <w:pStyle w:val="TAH"/>
              <w:rPr>
                <w:sz w:val="20"/>
              </w:rPr>
            </w:pPr>
            <w:r w:rsidRPr="005234EA">
              <w:rPr>
                <w:sz w:val="20"/>
              </w:rPr>
              <w:t>Value</w:t>
            </w:r>
          </w:p>
        </w:tc>
      </w:tr>
      <w:tr w:rsidR="009D4A93" w:rsidRPr="005234EA" w14:paraId="7DE35F32" w14:textId="77777777" w:rsidTr="009D4A93">
        <w:trPr>
          <w:jc w:val="center"/>
        </w:trPr>
        <w:tc>
          <w:tcPr>
            <w:tcW w:w="3329" w:type="dxa"/>
            <w:shd w:val="clear" w:color="auto" w:fill="auto"/>
          </w:tcPr>
          <w:p w14:paraId="368D16BD" w14:textId="77777777" w:rsidR="009D4A93" w:rsidRPr="005234EA" w:rsidRDefault="009D4A93" w:rsidP="009D4A93">
            <w:pPr>
              <w:pStyle w:val="TAL"/>
              <w:rPr>
                <w:sz w:val="20"/>
              </w:rPr>
            </w:pPr>
            <w:r w:rsidRPr="005234EA">
              <w:rPr>
                <w:sz w:val="20"/>
              </w:rPr>
              <w:t>Carrier Frequency</w:t>
            </w:r>
          </w:p>
        </w:tc>
        <w:tc>
          <w:tcPr>
            <w:tcW w:w="6130" w:type="dxa"/>
            <w:shd w:val="clear" w:color="auto" w:fill="auto"/>
          </w:tcPr>
          <w:p w14:paraId="5DAE2C39" w14:textId="77777777" w:rsidR="009D4A93" w:rsidRPr="005234EA" w:rsidRDefault="009D4A93" w:rsidP="009D4A93">
            <w:pPr>
              <w:pStyle w:val="TAL"/>
              <w:rPr>
                <w:sz w:val="20"/>
              </w:rPr>
            </w:pPr>
            <w:r w:rsidRPr="005234EA">
              <w:rPr>
                <w:sz w:val="20"/>
              </w:rPr>
              <w:t>5GHz</w:t>
            </w:r>
          </w:p>
        </w:tc>
      </w:tr>
      <w:tr w:rsidR="009D4A93" w:rsidRPr="005234EA" w14:paraId="5711DAAF" w14:textId="77777777" w:rsidTr="009D4A93">
        <w:trPr>
          <w:jc w:val="center"/>
        </w:trPr>
        <w:tc>
          <w:tcPr>
            <w:tcW w:w="3329" w:type="dxa"/>
            <w:shd w:val="clear" w:color="auto" w:fill="auto"/>
          </w:tcPr>
          <w:p w14:paraId="16C7EEDD" w14:textId="77777777" w:rsidR="009D4A93" w:rsidRPr="005234EA" w:rsidRDefault="009D4A93" w:rsidP="009D4A93">
            <w:pPr>
              <w:pStyle w:val="TAL"/>
              <w:rPr>
                <w:sz w:val="20"/>
              </w:rPr>
            </w:pPr>
            <w:r w:rsidRPr="005234EA">
              <w:rPr>
                <w:sz w:val="20"/>
              </w:rPr>
              <w:t>Carrier Channel Bandwidth</w:t>
            </w:r>
          </w:p>
        </w:tc>
        <w:tc>
          <w:tcPr>
            <w:tcW w:w="6130" w:type="dxa"/>
            <w:shd w:val="clear" w:color="auto" w:fill="auto"/>
          </w:tcPr>
          <w:p w14:paraId="0F2344C4" w14:textId="77777777" w:rsidR="009D4A93" w:rsidRPr="005234EA" w:rsidRDefault="009D4A93" w:rsidP="009D4A93">
            <w:pPr>
              <w:pStyle w:val="TAL"/>
              <w:rPr>
                <w:sz w:val="20"/>
              </w:rPr>
            </w:pPr>
            <w:r w:rsidRPr="005234EA">
              <w:rPr>
                <w:sz w:val="20"/>
              </w:rPr>
              <w:t>20MHz baseline , 80MHz optional</w:t>
            </w:r>
          </w:p>
        </w:tc>
      </w:tr>
      <w:tr w:rsidR="009D4A93" w:rsidRPr="005234EA" w14:paraId="46BFB323" w14:textId="77777777" w:rsidTr="009D4A93">
        <w:trPr>
          <w:jc w:val="center"/>
        </w:trPr>
        <w:tc>
          <w:tcPr>
            <w:tcW w:w="3329" w:type="dxa"/>
            <w:shd w:val="clear" w:color="auto" w:fill="auto"/>
          </w:tcPr>
          <w:p w14:paraId="62FF505A" w14:textId="77777777" w:rsidR="009D4A93" w:rsidRPr="005234EA" w:rsidRDefault="009D4A93" w:rsidP="009D4A93">
            <w:pPr>
              <w:pStyle w:val="TAL"/>
              <w:rPr>
                <w:sz w:val="20"/>
              </w:rPr>
            </w:pPr>
            <w:r w:rsidRPr="005234EA">
              <w:rPr>
                <w:sz w:val="20"/>
              </w:rPr>
              <w:t>Number of carriers</w:t>
            </w:r>
          </w:p>
        </w:tc>
        <w:tc>
          <w:tcPr>
            <w:tcW w:w="6130" w:type="dxa"/>
            <w:shd w:val="clear" w:color="auto" w:fill="auto"/>
          </w:tcPr>
          <w:p w14:paraId="77BA724C" w14:textId="77777777" w:rsidR="009D4A93" w:rsidRPr="005234EA" w:rsidRDefault="009D4A93" w:rsidP="009D4A93">
            <w:pPr>
              <w:pStyle w:val="TAL"/>
              <w:rPr>
                <w:sz w:val="20"/>
              </w:rPr>
            </w:pPr>
            <w:r w:rsidRPr="005234EA">
              <w:rPr>
                <w:sz w:val="20"/>
              </w:rPr>
              <w:t>1</w:t>
            </w:r>
          </w:p>
        </w:tc>
      </w:tr>
      <w:tr w:rsidR="009D4A93" w:rsidRPr="005234EA" w14:paraId="4B4DA25E" w14:textId="77777777" w:rsidTr="009D4A93">
        <w:trPr>
          <w:jc w:val="center"/>
        </w:trPr>
        <w:tc>
          <w:tcPr>
            <w:tcW w:w="3329" w:type="dxa"/>
            <w:shd w:val="clear" w:color="auto" w:fill="auto"/>
          </w:tcPr>
          <w:p w14:paraId="43482459" w14:textId="77777777" w:rsidR="009D4A93" w:rsidRPr="005234EA" w:rsidRDefault="009D4A93" w:rsidP="009D4A93">
            <w:pPr>
              <w:pStyle w:val="TAL"/>
              <w:rPr>
                <w:sz w:val="20"/>
              </w:rPr>
            </w:pPr>
            <w:r w:rsidRPr="005234EA">
              <w:rPr>
                <w:sz w:val="20"/>
              </w:rPr>
              <w:t>Number of users per operator</w:t>
            </w:r>
          </w:p>
        </w:tc>
        <w:tc>
          <w:tcPr>
            <w:tcW w:w="6130" w:type="dxa"/>
            <w:shd w:val="clear" w:color="auto" w:fill="auto"/>
          </w:tcPr>
          <w:p w14:paraId="41A753FB" w14:textId="77777777" w:rsidR="009D4A93" w:rsidRPr="005234EA" w:rsidRDefault="009D4A93" w:rsidP="009D4A93">
            <w:pPr>
              <w:pStyle w:val="TAL"/>
              <w:rPr>
                <w:sz w:val="20"/>
              </w:rPr>
            </w:pPr>
            <w:r w:rsidRPr="005234EA">
              <w:rPr>
                <w:sz w:val="20"/>
              </w:rPr>
              <w:t>5 UEs associated with each gNB per 20MHz</w:t>
            </w:r>
          </w:p>
        </w:tc>
      </w:tr>
      <w:tr w:rsidR="009D4A93" w:rsidRPr="005234EA" w14:paraId="38622D8E" w14:textId="77777777" w:rsidTr="009D4A93">
        <w:trPr>
          <w:jc w:val="center"/>
        </w:trPr>
        <w:tc>
          <w:tcPr>
            <w:tcW w:w="3329" w:type="dxa"/>
            <w:shd w:val="clear" w:color="auto" w:fill="auto"/>
          </w:tcPr>
          <w:p w14:paraId="7C5AD659" w14:textId="77777777" w:rsidR="009D4A93" w:rsidRPr="005234EA" w:rsidRDefault="009D4A93" w:rsidP="009D4A93">
            <w:pPr>
              <w:pStyle w:val="TAL"/>
              <w:rPr>
                <w:sz w:val="20"/>
              </w:rPr>
            </w:pPr>
            <w:r w:rsidRPr="005234EA">
              <w:rPr>
                <w:sz w:val="20"/>
              </w:rPr>
              <w:t>SCS</w:t>
            </w:r>
          </w:p>
        </w:tc>
        <w:tc>
          <w:tcPr>
            <w:tcW w:w="6130" w:type="dxa"/>
            <w:shd w:val="clear" w:color="auto" w:fill="auto"/>
          </w:tcPr>
          <w:p w14:paraId="43DE0B3E" w14:textId="77777777" w:rsidR="009D4A93" w:rsidRPr="005234EA" w:rsidRDefault="009D4A93" w:rsidP="009D4A93">
            <w:pPr>
              <w:pStyle w:val="TAL"/>
              <w:rPr>
                <w:sz w:val="20"/>
              </w:rPr>
            </w:pPr>
            <w:r w:rsidRPr="005234EA">
              <w:rPr>
                <w:sz w:val="20"/>
              </w:rPr>
              <w:t>To be reported together simulation results</w:t>
            </w:r>
          </w:p>
        </w:tc>
      </w:tr>
      <w:tr w:rsidR="009D4A93" w:rsidRPr="005234EA" w14:paraId="5DEA2FFE" w14:textId="77777777" w:rsidTr="009D4A93">
        <w:trPr>
          <w:jc w:val="center"/>
        </w:trPr>
        <w:tc>
          <w:tcPr>
            <w:tcW w:w="3329" w:type="dxa"/>
            <w:shd w:val="clear" w:color="auto" w:fill="auto"/>
          </w:tcPr>
          <w:p w14:paraId="297A66DF" w14:textId="77777777" w:rsidR="009D4A93" w:rsidRPr="005234EA" w:rsidRDefault="009D4A93" w:rsidP="009D4A93">
            <w:pPr>
              <w:pStyle w:val="TAL"/>
              <w:rPr>
                <w:sz w:val="20"/>
              </w:rPr>
            </w:pPr>
            <w:r w:rsidRPr="005234EA">
              <w:rPr>
                <w:sz w:val="20"/>
              </w:rPr>
              <w:t>Channel Model</w:t>
            </w:r>
          </w:p>
        </w:tc>
        <w:tc>
          <w:tcPr>
            <w:tcW w:w="6130" w:type="dxa"/>
            <w:shd w:val="clear" w:color="auto" w:fill="auto"/>
          </w:tcPr>
          <w:p w14:paraId="57C93B06" w14:textId="77777777" w:rsidR="009D4A93" w:rsidRPr="005234EA" w:rsidRDefault="009D4A93" w:rsidP="009D4A93">
            <w:pPr>
              <w:pStyle w:val="TAL"/>
              <w:rPr>
                <w:sz w:val="20"/>
              </w:rPr>
            </w:pPr>
            <w:r w:rsidRPr="005234EA">
              <w:rPr>
                <w:sz w:val="20"/>
              </w:rPr>
              <w:t>NR InH Mixed Office model</w:t>
            </w:r>
          </w:p>
        </w:tc>
      </w:tr>
      <w:tr w:rsidR="009D4A93" w:rsidRPr="005234EA" w14:paraId="487B217C" w14:textId="77777777" w:rsidTr="009D4A93">
        <w:trPr>
          <w:jc w:val="center"/>
        </w:trPr>
        <w:tc>
          <w:tcPr>
            <w:tcW w:w="3329" w:type="dxa"/>
            <w:shd w:val="clear" w:color="auto" w:fill="auto"/>
          </w:tcPr>
          <w:p w14:paraId="7C4002CE" w14:textId="77777777" w:rsidR="009D4A93" w:rsidRPr="005234EA" w:rsidRDefault="009D4A93" w:rsidP="009D4A93">
            <w:pPr>
              <w:pStyle w:val="TAL"/>
              <w:rPr>
                <w:sz w:val="20"/>
              </w:rPr>
            </w:pPr>
            <w:r w:rsidRPr="005234EA">
              <w:rPr>
                <w:sz w:val="20"/>
              </w:rPr>
              <w:t>BS/AP Tx Power</w:t>
            </w:r>
          </w:p>
        </w:tc>
        <w:tc>
          <w:tcPr>
            <w:tcW w:w="6130" w:type="dxa"/>
            <w:shd w:val="clear" w:color="auto" w:fill="auto"/>
          </w:tcPr>
          <w:p w14:paraId="3EB88961" w14:textId="77777777" w:rsidR="009D4A93" w:rsidRPr="005234EA" w:rsidRDefault="009D4A93" w:rsidP="009D4A93">
            <w:pPr>
              <w:pStyle w:val="TAL"/>
              <w:rPr>
                <w:sz w:val="20"/>
              </w:rPr>
            </w:pPr>
            <w:r w:rsidRPr="005234EA">
              <w:rPr>
                <w:sz w:val="20"/>
              </w:rPr>
              <w:t>23dBm (total across all TX antennas)</w:t>
            </w:r>
          </w:p>
        </w:tc>
      </w:tr>
      <w:tr w:rsidR="009D4A93" w:rsidRPr="005234EA" w14:paraId="4E251226" w14:textId="77777777" w:rsidTr="009D4A93">
        <w:trPr>
          <w:jc w:val="center"/>
        </w:trPr>
        <w:tc>
          <w:tcPr>
            <w:tcW w:w="3329" w:type="dxa"/>
            <w:shd w:val="clear" w:color="auto" w:fill="auto"/>
          </w:tcPr>
          <w:p w14:paraId="36C06452" w14:textId="77777777" w:rsidR="009D4A93" w:rsidRPr="005234EA" w:rsidRDefault="009D4A93" w:rsidP="009D4A93">
            <w:pPr>
              <w:pStyle w:val="TAL"/>
              <w:rPr>
                <w:sz w:val="20"/>
              </w:rPr>
            </w:pPr>
            <w:r w:rsidRPr="005234EA">
              <w:rPr>
                <w:sz w:val="20"/>
              </w:rPr>
              <w:t>UE/STA Tx Power</w:t>
            </w:r>
          </w:p>
        </w:tc>
        <w:tc>
          <w:tcPr>
            <w:tcW w:w="6130" w:type="dxa"/>
            <w:shd w:val="clear" w:color="auto" w:fill="auto"/>
          </w:tcPr>
          <w:p w14:paraId="0DD56234" w14:textId="77777777" w:rsidR="009D4A93" w:rsidRPr="005234EA" w:rsidRDefault="009D4A93" w:rsidP="009D4A93">
            <w:pPr>
              <w:pStyle w:val="TAL"/>
              <w:rPr>
                <w:sz w:val="20"/>
              </w:rPr>
            </w:pPr>
            <w:r w:rsidRPr="005234EA">
              <w:rPr>
                <w:sz w:val="20"/>
              </w:rPr>
              <w:t>18dBm (total across all TX antennas)</w:t>
            </w:r>
          </w:p>
        </w:tc>
      </w:tr>
      <w:tr w:rsidR="009D4A93" w:rsidRPr="005234EA" w14:paraId="43AC24C2" w14:textId="77777777" w:rsidTr="009D4A93">
        <w:trPr>
          <w:jc w:val="center"/>
        </w:trPr>
        <w:tc>
          <w:tcPr>
            <w:tcW w:w="3329" w:type="dxa"/>
            <w:shd w:val="clear" w:color="auto" w:fill="auto"/>
          </w:tcPr>
          <w:p w14:paraId="7F360A8D" w14:textId="77777777" w:rsidR="009D4A93" w:rsidRPr="005234EA" w:rsidRDefault="009D4A93" w:rsidP="009D4A93">
            <w:pPr>
              <w:pStyle w:val="TAL"/>
              <w:rPr>
                <w:sz w:val="20"/>
              </w:rPr>
            </w:pPr>
            <w:r w:rsidRPr="005234EA">
              <w:rPr>
                <w:sz w:val="20"/>
              </w:rPr>
              <w:t>BS/AP Antenna gain</w:t>
            </w:r>
          </w:p>
        </w:tc>
        <w:tc>
          <w:tcPr>
            <w:tcW w:w="6130" w:type="dxa"/>
            <w:shd w:val="clear" w:color="auto" w:fill="auto"/>
          </w:tcPr>
          <w:p w14:paraId="573FBFC1" w14:textId="77777777" w:rsidR="009D4A93" w:rsidRPr="005234EA" w:rsidRDefault="009D4A93" w:rsidP="009D4A93">
            <w:pPr>
              <w:pStyle w:val="TAL"/>
              <w:rPr>
                <w:sz w:val="20"/>
              </w:rPr>
            </w:pPr>
            <w:r w:rsidRPr="005234EA">
              <w:rPr>
                <w:sz w:val="20"/>
              </w:rPr>
              <w:t xml:space="preserve">0dBi   </w:t>
            </w:r>
          </w:p>
        </w:tc>
      </w:tr>
      <w:tr w:rsidR="009D4A93" w:rsidRPr="005234EA" w14:paraId="20F31D03" w14:textId="77777777" w:rsidTr="009D4A93">
        <w:trPr>
          <w:jc w:val="center"/>
        </w:trPr>
        <w:tc>
          <w:tcPr>
            <w:tcW w:w="3329" w:type="dxa"/>
            <w:shd w:val="clear" w:color="auto" w:fill="auto"/>
          </w:tcPr>
          <w:p w14:paraId="3E0AF18E" w14:textId="77777777" w:rsidR="009D4A93" w:rsidRPr="005234EA" w:rsidRDefault="009D4A93" w:rsidP="009D4A93">
            <w:pPr>
              <w:pStyle w:val="TAL"/>
              <w:rPr>
                <w:sz w:val="20"/>
              </w:rPr>
            </w:pPr>
            <w:r w:rsidRPr="005234EA">
              <w:rPr>
                <w:sz w:val="20"/>
              </w:rPr>
              <w:t>UE/STA Antenna gain</w:t>
            </w:r>
          </w:p>
        </w:tc>
        <w:tc>
          <w:tcPr>
            <w:tcW w:w="6130" w:type="dxa"/>
            <w:shd w:val="clear" w:color="auto" w:fill="auto"/>
          </w:tcPr>
          <w:p w14:paraId="44E1AE93" w14:textId="77777777" w:rsidR="009D4A93" w:rsidRPr="005234EA" w:rsidRDefault="009D4A93" w:rsidP="009D4A93">
            <w:pPr>
              <w:pStyle w:val="TAL"/>
              <w:rPr>
                <w:sz w:val="20"/>
              </w:rPr>
            </w:pPr>
            <w:r w:rsidRPr="005234EA">
              <w:rPr>
                <w:sz w:val="20"/>
              </w:rPr>
              <w:t>0dBi</w:t>
            </w:r>
          </w:p>
        </w:tc>
      </w:tr>
      <w:tr w:rsidR="009D4A93" w:rsidRPr="005234EA" w14:paraId="73233F6C" w14:textId="77777777" w:rsidTr="009D4A93">
        <w:trPr>
          <w:jc w:val="center"/>
        </w:trPr>
        <w:tc>
          <w:tcPr>
            <w:tcW w:w="3329" w:type="dxa"/>
            <w:shd w:val="clear" w:color="auto" w:fill="auto"/>
          </w:tcPr>
          <w:p w14:paraId="29ACCD3D" w14:textId="77777777" w:rsidR="009D4A93" w:rsidRPr="005234EA" w:rsidRDefault="009D4A93" w:rsidP="009D4A93">
            <w:pPr>
              <w:pStyle w:val="TAL"/>
              <w:rPr>
                <w:sz w:val="20"/>
              </w:rPr>
            </w:pPr>
            <w:r w:rsidRPr="005234EA">
              <w:rPr>
                <w:sz w:val="20"/>
              </w:rPr>
              <w:t>BS/AP Noise Figure</w:t>
            </w:r>
          </w:p>
        </w:tc>
        <w:tc>
          <w:tcPr>
            <w:tcW w:w="6130" w:type="dxa"/>
            <w:shd w:val="clear" w:color="auto" w:fill="auto"/>
          </w:tcPr>
          <w:p w14:paraId="654A6C22" w14:textId="77777777" w:rsidR="009D4A93" w:rsidRPr="005234EA" w:rsidRDefault="009D4A93" w:rsidP="009D4A93">
            <w:pPr>
              <w:pStyle w:val="TAL"/>
              <w:rPr>
                <w:sz w:val="20"/>
              </w:rPr>
            </w:pPr>
            <w:r w:rsidRPr="005234EA">
              <w:rPr>
                <w:sz w:val="20"/>
              </w:rPr>
              <w:t>5dB</w:t>
            </w:r>
          </w:p>
        </w:tc>
      </w:tr>
      <w:tr w:rsidR="009D4A93" w:rsidRPr="005234EA" w14:paraId="66E67931" w14:textId="77777777" w:rsidTr="009D4A93">
        <w:trPr>
          <w:jc w:val="center"/>
        </w:trPr>
        <w:tc>
          <w:tcPr>
            <w:tcW w:w="3329" w:type="dxa"/>
            <w:shd w:val="clear" w:color="auto" w:fill="auto"/>
          </w:tcPr>
          <w:p w14:paraId="2A4501BB" w14:textId="77777777" w:rsidR="009D4A93" w:rsidRPr="005234EA" w:rsidRDefault="009D4A93" w:rsidP="009D4A93">
            <w:pPr>
              <w:pStyle w:val="TAL"/>
              <w:rPr>
                <w:sz w:val="20"/>
              </w:rPr>
            </w:pPr>
            <w:r w:rsidRPr="005234EA">
              <w:rPr>
                <w:sz w:val="20"/>
              </w:rPr>
              <w:t>UE/STA Receiver Noise Figure</w:t>
            </w:r>
          </w:p>
        </w:tc>
        <w:tc>
          <w:tcPr>
            <w:tcW w:w="6130" w:type="dxa"/>
            <w:shd w:val="clear" w:color="auto" w:fill="auto"/>
          </w:tcPr>
          <w:p w14:paraId="34602133" w14:textId="77777777" w:rsidR="009D4A93" w:rsidRPr="005234EA" w:rsidRDefault="009D4A93" w:rsidP="009D4A93">
            <w:pPr>
              <w:pStyle w:val="TAL"/>
              <w:rPr>
                <w:sz w:val="20"/>
              </w:rPr>
            </w:pPr>
            <w:r w:rsidRPr="005234EA">
              <w:rPr>
                <w:sz w:val="20"/>
              </w:rPr>
              <w:t>9dB</w:t>
            </w:r>
          </w:p>
        </w:tc>
      </w:tr>
      <w:tr w:rsidR="009D4A93" w:rsidRPr="005234EA" w14:paraId="1FE3FE8F" w14:textId="77777777" w:rsidTr="009D4A93">
        <w:trPr>
          <w:jc w:val="center"/>
        </w:trPr>
        <w:tc>
          <w:tcPr>
            <w:tcW w:w="3329" w:type="dxa"/>
            <w:shd w:val="clear" w:color="auto" w:fill="auto"/>
          </w:tcPr>
          <w:p w14:paraId="32C43A92" w14:textId="77777777" w:rsidR="009D4A93" w:rsidRPr="005234EA" w:rsidRDefault="009D4A93" w:rsidP="009D4A93">
            <w:pPr>
              <w:pStyle w:val="TAL"/>
              <w:rPr>
                <w:sz w:val="20"/>
              </w:rPr>
            </w:pPr>
            <w:r w:rsidRPr="005234EA">
              <w:rPr>
                <w:sz w:val="20"/>
              </w:rPr>
              <w:t>Minimum received power from serving cell for UE dropping</w:t>
            </w:r>
          </w:p>
        </w:tc>
        <w:tc>
          <w:tcPr>
            <w:tcW w:w="6130" w:type="dxa"/>
            <w:shd w:val="clear" w:color="auto" w:fill="auto"/>
          </w:tcPr>
          <w:p w14:paraId="2D07D0DA" w14:textId="77777777" w:rsidR="009D4A93" w:rsidRPr="005234EA" w:rsidRDefault="009D4A93" w:rsidP="009D4A93">
            <w:pPr>
              <w:pStyle w:val="TAL"/>
              <w:rPr>
                <w:sz w:val="20"/>
              </w:rPr>
            </w:pPr>
            <w:r w:rsidRPr="005234EA">
              <w:rPr>
                <w:sz w:val="20"/>
              </w:rPr>
              <w:t>-82dBm</w:t>
            </w:r>
          </w:p>
        </w:tc>
      </w:tr>
      <w:tr w:rsidR="009D4A93" w:rsidRPr="005234EA" w14:paraId="0B0DAFF3" w14:textId="77777777" w:rsidTr="009D4A93">
        <w:trPr>
          <w:jc w:val="center"/>
        </w:trPr>
        <w:tc>
          <w:tcPr>
            <w:tcW w:w="3329" w:type="dxa"/>
            <w:shd w:val="clear" w:color="auto" w:fill="auto"/>
          </w:tcPr>
          <w:p w14:paraId="08A972BE" w14:textId="77777777" w:rsidR="009D4A93" w:rsidRPr="005234EA" w:rsidRDefault="009D4A93" w:rsidP="009D4A93">
            <w:pPr>
              <w:pStyle w:val="TAL"/>
              <w:rPr>
                <w:sz w:val="20"/>
              </w:rPr>
            </w:pPr>
            <w:r w:rsidRPr="005234EA">
              <w:rPr>
                <w:sz w:val="20"/>
              </w:rPr>
              <w:t>UE receiver</w:t>
            </w:r>
          </w:p>
        </w:tc>
        <w:tc>
          <w:tcPr>
            <w:tcW w:w="6130" w:type="dxa"/>
            <w:shd w:val="clear" w:color="auto" w:fill="auto"/>
          </w:tcPr>
          <w:p w14:paraId="67A39EBD" w14:textId="77777777" w:rsidR="009D4A93" w:rsidRPr="005234EA" w:rsidRDefault="009D4A93" w:rsidP="009D4A93">
            <w:pPr>
              <w:pStyle w:val="TAL"/>
              <w:rPr>
                <w:sz w:val="20"/>
              </w:rPr>
            </w:pPr>
            <w:r w:rsidRPr="005234EA">
              <w:rPr>
                <w:sz w:val="20"/>
              </w:rPr>
              <w:t>MMSE-IRC as the baseline receiver</w:t>
            </w:r>
          </w:p>
        </w:tc>
      </w:tr>
      <w:tr w:rsidR="009D4A93" w:rsidRPr="005234EA" w14:paraId="778C37C9" w14:textId="77777777" w:rsidTr="009D4A93">
        <w:trPr>
          <w:jc w:val="center"/>
        </w:trPr>
        <w:tc>
          <w:tcPr>
            <w:tcW w:w="3329" w:type="dxa"/>
            <w:shd w:val="clear" w:color="auto" w:fill="auto"/>
          </w:tcPr>
          <w:p w14:paraId="2723B759" w14:textId="77777777" w:rsidR="009D4A93" w:rsidRPr="005234EA" w:rsidRDefault="009D4A93" w:rsidP="009D4A93">
            <w:pPr>
              <w:pStyle w:val="TAL"/>
              <w:rPr>
                <w:sz w:val="20"/>
              </w:rPr>
            </w:pPr>
            <w:r w:rsidRPr="005234EA">
              <w:rPr>
                <w:sz w:val="20"/>
              </w:rPr>
              <w:t>BS/AP antenna Array configuration</w:t>
            </w:r>
          </w:p>
        </w:tc>
        <w:tc>
          <w:tcPr>
            <w:tcW w:w="6130" w:type="dxa"/>
            <w:shd w:val="clear" w:color="auto" w:fill="auto"/>
          </w:tcPr>
          <w:p w14:paraId="203DA268" w14:textId="77777777" w:rsidR="009D4A93" w:rsidRPr="005234EA" w:rsidRDefault="009D4A93" w:rsidP="009D4A93">
            <w:pPr>
              <w:pStyle w:val="TAL"/>
              <w:rPr>
                <w:sz w:val="20"/>
              </w:rPr>
            </w:pPr>
            <w:r w:rsidRPr="005234EA">
              <w:rPr>
                <w:sz w:val="20"/>
              </w:rPr>
              <w:t>(M, N, P, M</w:t>
            </w:r>
            <w:r w:rsidRPr="005234EA">
              <w:rPr>
                <w:sz w:val="20"/>
                <w:vertAlign w:val="subscript"/>
              </w:rPr>
              <w:t>g</w:t>
            </w:r>
            <w:r w:rsidRPr="005234EA">
              <w:rPr>
                <w:sz w:val="20"/>
              </w:rPr>
              <w:t>, N</w:t>
            </w:r>
            <w:r w:rsidRPr="005234EA">
              <w:rPr>
                <w:sz w:val="20"/>
                <w:vertAlign w:val="subscript"/>
              </w:rPr>
              <w:t>g</w:t>
            </w:r>
            <w:r w:rsidRPr="005234EA">
              <w:rPr>
                <w:sz w:val="20"/>
              </w:rPr>
              <w:t>)  = (1, 2, 2, 1, 1), dH = dV = 0.5 λ</w:t>
            </w:r>
          </w:p>
        </w:tc>
      </w:tr>
      <w:tr w:rsidR="009D4A93" w:rsidRPr="005234EA" w14:paraId="6D5328AF" w14:textId="77777777" w:rsidTr="009D4A93">
        <w:trPr>
          <w:jc w:val="center"/>
        </w:trPr>
        <w:tc>
          <w:tcPr>
            <w:tcW w:w="3329" w:type="dxa"/>
            <w:shd w:val="clear" w:color="auto" w:fill="auto"/>
          </w:tcPr>
          <w:p w14:paraId="59450936" w14:textId="77777777" w:rsidR="009D4A93" w:rsidRPr="005234EA" w:rsidRDefault="009D4A93" w:rsidP="009D4A93">
            <w:pPr>
              <w:pStyle w:val="TAL"/>
              <w:rPr>
                <w:sz w:val="20"/>
              </w:rPr>
            </w:pPr>
            <w:r w:rsidRPr="005234EA">
              <w:rPr>
                <w:sz w:val="20"/>
              </w:rPr>
              <w:t>UE/STA antenna Array configuration</w:t>
            </w:r>
          </w:p>
        </w:tc>
        <w:tc>
          <w:tcPr>
            <w:tcW w:w="6130" w:type="dxa"/>
            <w:shd w:val="clear" w:color="auto" w:fill="auto"/>
          </w:tcPr>
          <w:p w14:paraId="487F4BBC" w14:textId="77777777" w:rsidR="009D4A93" w:rsidRPr="005234EA" w:rsidRDefault="009D4A93" w:rsidP="009D4A93">
            <w:pPr>
              <w:pStyle w:val="TAL"/>
              <w:rPr>
                <w:sz w:val="20"/>
              </w:rPr>
            </w:pPr>
            <w:r w:rsidRPr="005234EA">
              <w:rPr>
                <w:sz w:val="20"/>
              </w:rPr>
              <w:t>Baseline Tx/Rx: (M, N, P, Mg, Ng) = (1, 1, 2, 1, 1), dH = dV = 0.5 λ</w:t>
            </w:r>
          </w:p>
          <w:p w14:paraId="56895372" w14:textId="77777777" w:rsidR="009D4A93" w:rsidRPr="005234EA" w:rsidRDefault="009D4A93" w:rsidP="009D4A93">
            <w:pPr>
              <w:pStyle w:val="TAL"/>
              <w:rPr>
                <w:sz w:val="20"/>
              </w:rPr>
            </w:pPr>
            <w:r w:rsidRPr="005234EA">
              <w:rPr>
                <w:sz w:val="20"/>
              </w:rPr>
              <w:t>Optional Tx/Rx: (M, N, P, Mg, Ng) = (1, 2, 2, 1, 1), dH = dV = 0.5 λ</w:t>
            </w:r>
          </w:p>
        </w:tc>
      </w:tr>
      <w:tr w:rsidR="009D4A93" w:rsidRPr="005234EA" w14:paraId="2E4C958A" w14:textId="77777777" w:rsidTr="009D4A93">
        <w:trPr>
          <w:jc w:val="center"/>
        </w:trPr>
        <w:tc>
          <w:tcPr>
            <w:tcW w:w="3329" w:type="dxa"/>
            <w:shd w:val="clear" w:color="auto" w:fill="auto"/>
          </w:tcPr>
          <w:p w14:paraId="2A4CAD79" w14:textId="77777777" w:rsidR="009D4A93" w:rsidRPr="005234EA" w:rsidRDefault="009D4A93" w:rsidP="009D4A93">
            <w:pPr>
              <w:pStyle w:val="TAL"/>
              <w:rPr>
                <w:sz w:val="20"/>
              </w:rPr>
            </w:pPr>
            <w:r w:rsidRPr="005234EA">
              <w:rPr>
                <w:sz w:val="20"/>
              </w:rPr>
              <w:t>Traffic model</w:t>
            </w:r>
          </w:p>
        </w:tc>
        <w:tc>
          <w:tcPr>
            <w:tcW w:w="6130" w:type="dxa"/>
            <w:shd w:val="clear" w:color="auto" w:fill="auto"/>
          </w:tcPr>
          <w:p w14:paraId="5AA7C403" w14:textId="77777777" w:rsidR="009D4A93" w:rsidRPr="005234EA" w:rsidRDefault="009D4A93" w:rsidP="009D4A93">
            <w:pPr>
              <w:pStyle w:val="TAL"/>
              <w:rPr>
                <w:sz w:val="20"/>
              </w:rPr>
            </w:pPr>
            <w:r w:rsidRPr="005234EA">
              <w:rPr>
                <w:sz w:val="20"/>
              </w:rPr>
              <w:t xml:space="preserve">Use 36.889 Table A.1.1. </w:t>
            </w:r>
          </w:p>
          <w:p w14:paraId="711784BF" w14:textId="77777777" w:rsidR="009D4A93" w:rsidRPr="005234EA" w:rsidRDefault="009D4A93" w:rsidP="009D4A93">
            <w:pPr>
              <w:pStyle w:val="TAL"/>
              <w:rPr>
                <w:sz w:val="20"/>
              </w:rPr>
            </w:pPr>
            <w:r w:rsidRPr="005234EA">
              <w:rPr>
                <w:sz w:val="20"/>
              </w:rPr>
              <w:t>Note: Results based on the mixed traffic models can be used to determine the design.</w:t>
            </w:r>
          </w:p>
        </w:tc>
      </w:tr>
      <w:tr w:rsidR="009D4A93" w:rsidRPr="005234EA" w14:paraId="0E75A4B7" w14:textId="77777777" w:rsidTr="009D4A93">
        <w:trPr>
          <w:jc w:val="center"/>
        </w:trPr>
        <w:tc>
          <w:tcPr>
            <w:tcW w:w="3329" w:type="dxa"/>
            <w:shd w:val="clear" w:color="auto" w:fill="auto"/>
          </w:tcPr>
          <w:p w14:paraId="4B11963D" w14:textId="77777777" w:rsidR="009D4A93" w:rsidRPr="005234EA" w:rsidRDefault="009D4A93" w:rsidP="009D4A93">
            <w:pPr>
              <w:pStyle w:val="TAL"/>
              <w:rPr>
                <w:sz w:val="20"/>
              </w:rPr>
            </w:pPr>
            <w:r w:rsidRPr="005234EA">
              <w:rPr>
                <w:sz w:val="20"/>
              </w:rPr>
              <w:t>UE/STA to UE/STA link pathloss model</w:t>
            </w:r>
          </w:p>
        </w:tc>
        <w:tc>
          <w:tcPr>
            <w:tcW w:w="6130" w:type="dxa"/>
            <w:shd w:val="clear" w:color="auto" w:fill="auto"/>
          </w:tcPr>
          <w:p w14:paraId="7CBD8A75" w14:textId="77777777" w:rsidR="009D4A93" w:rsidRPr="005234EA" w:rsidRDefault="009D4A93" w:rsidP="009D4A93">
            <w:pPr>
              <w:pStyle w:val="TAL"/>
              <w:rPr>
                <w:sz w:val="20"/>
              </w:rPr>
            </w:pPr>
            <w:r w:rsidRPr="005234EA">
              <w:rPr>
                <w:sz w:val="20"/>
              </w:rPr>
              <w:t>Directly use InH office pathloss model with proper d_3D with indoor mixed office LOS probability</w:t>
            </w:r>
          </w:p>
        </w:tc>
      </w:tr>
      <w:tr w:rsidR="009D4A93" w:rsidRPr="005234EA" w14:paraId="217352CF" w14:textId="77777777" w:rsidTr="009D4A93">
        <w:trPr>
          <w:jc w:val="center"/>
        </w:trPr>
        <w:tc>
          <w:tcPr>
            <w:tcW w:w="3329" w:type="dxa"/>
            <w:shd w:val="clear" w:color="auto" w:fill="auto"/>
          </w:tcPr>
          <w:p w14:paraId="523CBDD9" w14:textId="77777777" w:rsidR="009D4A93" w:rsidRPr="005234EA" w:rsidRDefault="009D4A93" w:rsidP="009D4A93">
            <w:pPr>
              <w:pStyle w:val="TAL"/>
              <w:rPr>
                <w:sz w:val="20"/>
              </w:rPr>
            </w:pPr>
            <w:r w:rsidRPr="005234EA">
              <w:rPr>
                <w:sz w:val="20"/>
              </w:rPr>
              <w:t>gNB to gNB link pathloss model</w:t>
            </w:r>
          </w:p>
        </w:tc>
        <w:tc>
          <w:tcPr>
            <w:tcW w:w="6130" w:type="dxa"/>
            <w:shd w:val="clear" w:color="auto" w:fill="auto"/>
          </w:tcPr>
          <w:p w14:paraId="7F4BFE9A" w14:textId="77777777" w:rsidR="009D4A93" w:rsidRPr="005234EA" w:rsidRDefault="009D4A93" w:rsidP="009D4A93">
            <w:pPr>
              <w:pStyle w:val="TAL"/>
              <w:rPr>
                <w:sz w:val="20"/>
              </w:rPr>
            </w:pPr>
            <w:r w:rsidRPr="005234EA">
              <w:rPr>
                <w:sz w:val="20"/>
              </w:rPr>
              <w:t>Directly use InH office pathloss model with proper d_3D with indoor mixed office LOS probability</w:t>
            </w:r>
          </w:p>
        </w:tc>
      </w:tr>
    </w:tbl>
    <w:p w14:paraId="603C8239" w14:textId="77777777" w:rsidR="009D4A93" w:rsidRPr="00C64ECB" w:rsidRDefault="009D4A93" w:rsidP="009D4A93"/>
    <w:p w14:paraId="0C5CB94D" w14:textId="77777777" w:rsidR="009D4A93" w:rsidRPr="00C64ECB" w:rsidRDefault="009D4A93" w:rsidP="009D4A93">
      <w:pPr>
        <w:pStyle w:val="Heading3"/>
      </w:pPr>
      <w:bookmarkStart w:id="105" w:name="_Toc531343046"/>
      <w:r w:rsidRPr="00C64ECB">
        <w:t>A.1.2</w:t>
      </w:r>
      <w:r w:rsidRPr="00C64ECB">
        <w:tab/>
        <w:t>Evaluation assumptions for sub 7GHz outdoor scenarios</w:t>
      </w:r>
      <w:bookmarkEnd w:id="105"/>
    </w:p>
    <w:p w14:paraId="5C3D645C" w14:textId="77777777" w:rsidR="009D4A93" w:rsidRPr="00C64ECB" w:rsidRDefault="009D4A93" w:rsidP="009D4A93">
      <w:r w:rsidRPr="00C64ECB">
        <w:t>The evaluation parameters for sub7 GHz outdoor scenarios are as given in Table A.1.2-1. Other parameters not explicitly included in the table will use values defined in [28] and [29].</w:t>
      </w:r>
    </w:p>
    <w:p w14:paraId="3A400FC3" w14:textId="77777777" w:rsidR="009D4A93" w:rsidRPr="00C64ECB" w:rsidRDefault="009D4A93" w:rsidP="009D4A93">
      <w:pPr>
        <w:pStyle w:val="TH"/>
      </w:pPr>
      <w:r w:rsidRPr="00C64ECB">
        <w:lastRenderedPageBreak/>
        <w:t>Table A.1.2-1: Evaluation parameters for sub7 GHz outdoor scenario</w:t>
      </w:r>
    </w:p>
    <w:tbl>
      <w:tblPr>
        <w:tblW w:w="78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314"/>
      </w:tblGrid>
      <w:tr w:rsidR="009D4A93" w:rsidRPr="005234EA" w14:paraId="194CDA37" w14:textId="77777777" w:rsidTr="009D4A93">
        <w:trPr>
          <w:jc w:val="center"/>
        </w:trPr>
        <w:tc>
          <w:tcPr>
            <w:tcW w:w="2515" w:type="dxa"/>
            <w:shd w:val="clear" w:color="auto" w:fill="auto"/>
          </w:tcPr>
          <w:p w14:paraId="46A98CB9" w14:textId="77777777" w:rsidR="009D4A93" w:rsidRPr="005234EA" w:rsidRDefault="009D4A93" w:rsidP="009D4A93">
            <w:pPr>
              <w:pStyle w:val="TAH"/>
              <w:rPr>
                <w:sz w:val="20"/>
              </w:rPr>
            </w:pPr>
            <w:r w:rsidRPr="005234EA">
              <w:rPr>
                <w:sz w:val="20"/>
              </w:rPr>
              <w:t>Parameters</w:t>
            </w:r>
          </w:p>
        </w:tc>
        <w:tc>
          <w:tcPr>
            <w:tcW w:w="5314" w:type="dxa"/>
            <w:shd w:val="clear" w:color="auto" w:fill="auto"/>
          </w:tcPr>
          <w:p w14:paraId="718869B9" w14:textId="77777777" w:rsidR="009D4A93" w:rsidRPr="005234EA" w:rsidRDefault="009D4A93" w:rsidP="009D4A93">
            <w:pPr>
              <w:pStyle w:val="TAH"/>
              <w:rPr>
                <w:sz w:val="20"/>
              </w:rPr>
            </w:pPr>
            <w:r w:rsidRPr="005234EA">
              <w:rPr>
                <w:sz w:val="20"/>
              </w:rPr>
              <w:t>Outdoor Sub-7GHz</w:t>
            </w:r>
          </w:p>
        </w:tc>
      </w:tr>
      <w:tr w:rsidR="009D4A93" w:rsidRPr="005234EA" w14:paraId="548F7A30" w14:textId="77777777" w:rsidTr="009D4A93">
        <w:trPr>
          <w:jc w:val="center"/>
        </w:trPr>
        <w:tc>
          <w:tcPr>
            <w:tcW w:w="2515" w:type="dxa"/>
            <w:shd w:val="clear" w:color="auto" w:fill="auto"/>
          </w:tcPr>
          <w:p w14:paraId="345C3B22" w14:textId="77777777" w:rsidR="009D4A93" w:rsidRPr="005234EA" w:rsidRDefault="009D4A93" w:rsidP="009D4A93">
            <w:pPr>
              <w:pStyle w:val="TAL"/>
              <w:rPr>
                <w:sz w:val="20"/>
              </w:rPr>
            </w:pPr>
            <w:r w:rsidRPr="005234EA">
              <w:rPr>
                <w:sz w:val="20"/>
              </w:rPr>
              <w:t>Carrier Frequency</w:t>
            </w:r>
          </w:p>
        </w:tc>
        <w:tc>
          <w:tcPr>
            <w:tcW w:w="5314" w:type="dxa"/>
            <w:shd w:val="clear" w:color="auto" w:fill="auto"/>
          </w:tcPr>
          <w:p w14:paraId="5155684F" w14:textId="77777777" w:rsidR="009D4A93" w:rsidRPr="005234EA" w:rsidRDefault="009D4A93" w:rsidP="009D4A93">
            <w:pPr>
              <w:pStyle w:val="TAL"/>
              <w:rPr>
                <w:sz w:val="20"/>
              </w:rPr>
            </w:pPr>
            <w:r w:rsidRPr="005234EA">
              <w:rPr>
                <w:sz w:val="20"/>
              </w:rPr>
              <w:t>5GHz</w:t>
            </w:r>
          </w:p>
        </w:tc>
      </w:tr>
      <w:tr w:rsidR="009D4A93" w:rsidRPr="005234EA" w14:paraId="2D734AC2" w14:textId="77777777" w:rsidTr="009D4A93">
        <w:trPr>
          <w:jc w:val="center"/>
        </w:trPr>
        <w:tc>
          <w:tcPr>
            <w:tcW w:w="2515" w:type="dxa"/>
            <w:shd w:val="clear" w:color="auto" w:fill="auto"/>
          </w:tcPr>
          <w:p w14:paraId="1F4F54F6" w14:textId="77777777" w:rsidR="009D4A93" w:rsidRPr="005234EA" w:rsidRDefault="009D4A93" w:rsidP="009D4A93">
            <w:pPr>
              <w:pStyle w:val="TAL"/>
              <w:rPr>
                <w:sz w:val="20"/>
              </w:rPr>
            </w:pPr>
            <w:r w:rsidRPr="005234EA">
              <w:rPr>
                <w:sz w:val="20"/>
              </w:rPr>
              <w:t>Carrier Channel Bandwidth</w:t>
            </w:r>
          </w:p>
        </w:tc>
        <w:tc>
          <w:tcPr>
            <w:tcW w:w="5314" w:type="dxa"/>
            <w:shd w:val="clear" w:color="auto" w:fill="auto"/>
          </w:tcPr>
          <w:p w14:paraId="417B2CD2" w14:textId="77777777" w:rsidR="009D4A93" w:rsidRPr="005234EA" w:rsidRDefault="009D4A93" w:rsidP="009D4A93">
            <w:pPr>
              <w:pStyle w:val="TAL"/>
              <w:rPr>
                <w:sz w:val="20"/>
              </w:rPr>
            </w:pPr>
            <w:r w:rsidRPr="005234EA">
              <w:rPr>
                <w:sz w:val="20"/>
              </w:rPr>
              <w:t>20MHz baseline , 80MHz optional</w:t>
            </w:r>
          </w:p>
        </w:tc>
      </w:tr>
      <w:tr w:rsidR="009D4A93" w:rsidRPr="005234EA" w14:paraId="2B40711F" w14:textId="77777777" w:rsidTr="009D4A93">
        <w:trPr>
          <w:jc w:val="center"/>
        </w:trPr>
        <w:tc>
          <w:tcPr>
            <w:tcW w:w="2515" w:type="dxa"/>
            <w:shd w:val="clear" w:color="auto" w:fill="auto"/>
          </w:tcPr>
          <w:p w14:paraId="3B07BF7B" w14:textId="77777777" w:rsidR="009D4A93" w:rsidRPr="005234EA" w:rsidRDefault="009D4A93" w:rsidP="009D4A93">
            <w:pPr>
              <w:pStyle w:val="TAL"/>
              <w:rPr>
                <w:sz w:val="20"/>
              </w:rPr>
            </w:pPr>
            <w:r w:rsidRPr="005234EA">
              <w:rPr>
                <w:sz w:val="20"/>
              </w:rPr>
              <w:t>Number of carriers</w:t>
            </w:r>
          </w:p>
        </w:tc>
        <w:tc>
          <w:tcPr>
            <w:tcW w:w="5314" w:type="dxa"/>
            <w:shd w:val="clear" w:color="auto" w:fill="auto"/>
          </w:tcPr>
          <w:p w14:paraId="3349A4B5" w14:textId="77777777" w:rsidR="009D4A93" w:rsidRPr="005234EA" w:rsidRDefault="009D4A93" w:rsidP="009D4A93">
            <w:pPr>
              <w:pStyle w:val="TAL"/>
              <w:rPr>
                <w:sz w:val="20"/>
              </w:rPr>
            </w:pPr>
            <w:r w:rsidRPr="005234EA">
              <w:rPr>
                <w:sz w:val="20"/>
              </w:rPr>
              <w:t>1</w:t>
            </w:r>
          </w:p>
        </w:tc>
      </w:tr>
      <w:tr w:rsidR="009D4A93" w:rsidRPr="005234EA" w14:paraId="0C0FB285" w14:textId="77777777" w:rsidTr="009D4A93">
        <w:trPr>
          <w:jc w:val="center"/>
        </w:trPr>
        <w:tc>
          <w:tcPr>
            <w:tcW w:w="2515" w:type="dxa"/>
            <w:shd w:val="clear" w:color="auto" w:fill="auto"/>
          </w:tcPr>
          <w:p w14:paraId="62408308" w14:textId="77777777" w:rsidR="009D4A93" w:rsidRPr="005234EA" w:rsidRDefault="009D4A93" w:rsidP="009D4A93">
            <w:pPr>
              <w:pStyle w:val="TAL"/>
              <w:rPr>
                <w:sz w:val="20"/>
              </w:rPr>
            </w:pPr>
            <w:r w:rsidRPr="005234EA">
              <w:rPr>
                <w:sz w:val="20"/>
              </w:rPr>
              <w:t>Number of users per operator</w:t>
            </w:r>
          </w:p>
        </w:tc>
        <w:tc>
          <w:tcPr>
            <w:tcW w:w="5314" w:type="dxa"/>
            <w:shd w:val="clear" w:color="auto" w:fill="auto"/>
          </w:tcPr>
          <w:p w14:paraId="5FEFC2C4" w14:textId="77777777" w:rsidR="009D4A93" w:rsidRPr="005234EA" w:rsidRDefault="009D4A93" w:rsidP="009D4A93">
            <w:pPr>
              <w:pStyle w:val="TAL"/>
              <w:rPr>
                <w:sz w:val="20"/>
              </w:rPr>
            </w:pPr>
            <w:r w:rsidRPr="005234EA">
              <w:rPr>
                <w:sz w:val="20"/>
              </w:rPr>
              <w:t>5 UEs associated with each gNB per 20MHz</w:t>
            </w:r>
          </w:p>
        </w:tc>
      </w:tr>
      <w:tr w:rsidR="009D4A93" w:rsidRPr="005234EA" w14:paraId="55572165" w14:textId="77777777" w:rsidTr="009D4A93">
        <w:trPr>
          <w:jc w:val="center"/>
        </w:trPr>
        <w:tc>
          <w:tcPr>
            <w:tcW w:w="2515" w:type="dxa"/>
            <w:shd w:val="clear" w:color="auto" w:fill="auto"/>
          </w:tcPr>
          <w:p w14:paraId="51405F93" w14:textId="77777777" w:rsidR="009D4A93" w:rsidRPr="005234EA" w:rsidRDefault="009D4A93" w:rsidP="009D4A93">
            <w:pPr>
              <w:pStyle w:val="TAL"/>
              <w:rPr>
                <w:sz w:val="20"/>
              </w:rPr>
            </w:pPr>
            <w:r w:rsidRPr="005234EA">
              <w:rPr>
                <w:sz w:val="20"/>
              </w:rPr>
              <w:t>SCS</w:t>
            </w:r>
          </w:p>
        </w:tc>
        <w:tc>
          <w:tcPr>
            <w:tcW w:w="5314" w:type="dxa"/>
            <w:shd w:val="clear" w:color="auto" w:fill="auto"/>
          </w:tcPr>
          <w:p w14:paraId="2D9F5A47" w14:textId="77777777" w:rsidR="009D4A93" w:rsidRPr="005234EA" w:rsidRDefault="009D4A93" w:rsidP="009D4A93">
            <w:pPr>
              <w:pStyle w:val="TAL"/>
              <w:rPr>
                <w:sz w:val="20"/>
              </w:rPr>
            </w:pPr>
            <w:r w:rsidRPr="005234EA">
              <w:rPr>
                <w:sz w:val="20"/>
              </w:rPr>
              <w:t>To be reported together simulation results</w:t>
            </w:r>
          </w:p>
        </w:tc>
      </w:tr>
      <w:tr w:rsidR="009D4A93" w:rsidRPr="005234EA" w14:paraId="05FA333E" w14:textId="77777777" w:rsidTr="009D4A93">
        <w:trPr>
          <w:jc w:val="center"/>
        </w:trPr>
        <w:tc>
          <w:tcPr>
            <w:tcW w:w="2515" w:type="dxa"/>
            <w:shd w:val="clear" w:color="auto" w:fill="auto"/>
          </w:tcPr>
          <w:p w14:paraId="0AA90419" w14:textId="77777777" w:rsidR="009D4A93" w:rsidRPr="005234EA" w:rsidRDefault="009D4A93" w:rsidP="009D4A93">
            <w:pPr>
              <w:pStyle w:val="TAL"/>
              <w:rPr>
                <w:sz w:val="20"/>
              </w:rPr>
            </w:pPr>
            <w:r w:rsidRPr="005234EA">
              <w:rPr>
                <w:sz w:val="20"/>
              </w:rPr>
              <w:t>Channel Model</w:t>
            </w:r>
          </w:p>
        </w:tc>
        <w:tc>
          <w:tcPr>
            <w:tcW w:w="5314" w:type="dxa"/>
            <w:shd w:val="clear" w:color="auto" w:fill="auto"/>
          </w:tcPr>
          <w:p w14:paraId="110EF5D9" w14:textId="77777777" w:rsidR="009D4A93" w:rsidRPr="005234EA" w:rsidRDefault="009D4A93" w:rsidP="009D4A93">
            <w:pPr>
              <w:pStyle w:val="TAL"/>
              <w:rPr>
                <w:sz w:val="20"/>
              </w:rPr>
            </w:pPr>
            <w:r w:rsidRPr="005234EA">
              <w:rPr>
                <w:sz w:val="20"/>
              </w:rPr>
              <w:t>NR UMi street canyon</w:t>
            </w:r>
          </w:p>
        </w:tc>
      </w:tr>
      <w:tr w:rsidR="009D4A93" w:rsidRPr="005234EA" w14:paraId="55CDB1B8" w14:textId="77777777" w:rsidTr="009D4A93">
        <w:trPr>
          <w:jc w:val="center"/>
        </w:trPr>
        <w:tc>
          <w:tcPr>
            <w:tcW w:w="2515" w:type="dxa"/>
            <w:shd w:val="clear" w:color="auto" w:fill="auto"/>
          </w:tcPr>
          <w:p w14:paraId="6A8C87D8" w14:textId="77777777" w:rsidR="009D4A93" w:rsidRPr="005234EA" w:rsidRDefault="009D4A93" w:rsidP="009D4A93">
            <w:pPr>
              <w:pStyle w:val="TAL"/>
              <w:rPr>
                <w:sz w:val="20"/>
              </w:rPr>
            </w:pPr>
            <w:r w:rsidRPr="005234EA">
              <w:rPr>
                <w:sz w:val="20"/>
              </w:rPr>
              <w:t>BS/AP Tx Power</w:t>
            </w:r>
          </w:p>
        </w:tc>
        <w:tc>
          <w:tcPr>
            <w:tcW w:w="5314" w:type="dxa"/>
            <w:shd w:val="clear" w:color="auto" w:fill="auto"/>
          </w:tcPr>
          <w:p w14:paraId="2C445DC2" w14:textId="77777777" w:rsidR="009D4A93" w:rsidRPr="005234EA" w:rsidRDefault="009D4A93" w:rsidP="009D4A93">
            <w:pPr>
              <w:pStyle w:val="TAL"/>
              <w:rPr>
                <w:sz w:val="20"/>
              </w:rPr>
            </w:pPr>
            <w:r w:rsidRPr="005234EA">
              <w:rPr>
                <w:sz w:val="20"/>
              </w:rPr>
              <w:t>23dBm (total across all TX antennas)</w:t>
            </w:r>
          </w:p>
        </w:tc>
      </w:tr>
      <w:tr w:rsidR="009D4A93" w:rsidRPr="005234EA" w14:paraId="584D0473" w14:textId="77777777" w:rsidTr="009D4A93">
        <w:trPr>
          <w:jc w:val="center"/>
        </w:trPr>
        <w:tc>
          <w:tcPr>
            <w:tcW w:w="2515" w:type="dxa"/>
            <w:shd w:val="clear" w:color="auto" w:fill="auto"/>
          </w:tcPr>
          <w:p w14:paraId="4F27BC4E" w14:textId="77777777" w:rsidR="009D4A93" w:rsidRPr="005234EA" w:rsidRDefault="009D4A93" w:rsidP="009D4A93">
            <w:pPr>
              <w:pStyle w:val="TAL"/>
              <w:rPr>
                <w:sz w:val="20"/>
              </w:rPr>
            </w:pPr>
            <w:r w:rsidRPr="005234EA">
              <w:rPr>
                <w:sz w:val="20"/>
              </w:rPr>
              <w:t>UE/STA Tx Power</w:t>
            </w:r>
          </w:p>
        </w:tc>
        <w:tc>
          <w:tcPr>
            <w:tcW w:w="5314" w:type="dxa"/>
            <w:shd w:val="clear" w:color="auto" w:fill="auto"/>
          </w:tcPr>
          <w:p w14:paraId="426FDBB8" w14:textId="77777777" w:rsidR="009D4A93" w:rsidRPr="005234EA" w:rsidRDefault="009D4A93" w:rsidP="009D4A93">
            <w:pPr>
              <w:pStyle w:val="TAL"/>
              <w:rPr>
                <w:sz w:val="20"/>
              </w:rPr>
            </w:pPr>
            <w:r w:rsidRPr="005234EA">
              <w:rPr>
                <w:sz w:val="20"/>
              </w:rPr>
              <w:t>18dBm (total across all TX antennas)</w:t>
            </w:r>
          </w:p>
        </w:tc>
      </w:tr>
      <w:tr w:rsidR="009D4A93" w:rsidRPr="005234EA" w14:paraId="5B6C85BE" w14:textId="77777777" w:rsidTr="009D4A93">
        <w:trPr>
          <w:jc w:val="center"/>
        </w:trPr>
        <w:tc>
          <w:tcPr>
            <w:tcW w:w="2515" w:type="dxa"/>
            <w:shd w:val="clear" w:color="auto" w:fill="auto"/>
          </w:tcPr>
          <w:p w14:paraId="1DB08B1E" w14:textId="77777777" w:rsidR="009D4A93" w:rsidRPr="005234EA" w:rsidRDefault="009D4A93" w:rsidP="009D4A93">
            <w:pPr>
              <w:pStyle w:val="TAL"/>
              <w:rPr>
                <w:sz w:val="20"/>
              </w:rPr>
            </w:pPr>
            <w:r w:rsidRPr="005234EA">
              <w:rPr>
                <w:sz w:val="20"/>
              </w:rPr>
              <w:t>BS/AP Antenna gain</w:t>
            </w:r>
          </w:p>
        </w:tc>
        <w:tc>
          <w:tcPr>
            <w:tcW w:w="5314" w:type="dxa"/>
            <w:shd w:val="clear" w:color="auto" w:fill="auto"/>
          </w:tcPr>
          <w:p w14:paraId="18D5C17D" w14:textId="77777777" w:rsidR="009D4A93" w:rsidRPr="005234EA" w:rsidRDefault="009D4A93" w:rsidP="009D4A93">
            <w:pPr>
              <w:pStyle w:val="TAL"/>
              <w:rPr>
                <w:sz w:val="20"/>
              </w:rPr>
            </w:pPr>
            <w:r w:rsidRPr="005234EA">
              <w:rPr>
                <w:sz w:val="20"/>
              </w:rPr>
              <w:t xml:space="preserve">0 dBi   </w:t>
            </w:r>
          </w:p>
        </w:tc>
      </w:tr>
      <w:tr w:rsidR="009D4A93" w:rsidRPr="005234EA" w14:paraId="4E3C9E7B" w14:textId="77777777" w:rsidTr="009D4A93">
        <w:trPr>
          <w:jc w:val="center"/>
        </w:trPr>
        <w:tc>
          <w:tcPr>
            <w:tcW w:w="2515" w:type="dxa"/>
            <w:shd w:val="clear" w:color="auto" w:fill="auto"/>
          </w:tcPr>
          <w:p w14:paraId="6D539FBD" w14:textId="77777777" w:rsidR="009D4A93" w:rsidRPr="005234EA" w:rsidRDefault="009D4A93" w:rsidP="009D4A93">
            <w:pPr>
              <w:pStyle w:val="TAL"/>
              <w:rPr>
                <w:sz w:val="20"/>
              </w:rPr>
            </w:pPr>
            <w:r w:rsidRPr="005234EA">
              <w:rPr>
                <w:sz w:val="20"/>
              </w:rPr>
              <w:t>UE/STA Antenna gain</w:t>
            </w:r>
          </w:p>
        </w:tc>
        <w:tc>
          <w:tcPr>
            <w:tcW w:w="5314" w:type="dxa"/>
            <w:shd w:val="clear" w:color="auto" w:fill="auto"/>
          </w:tcPr>
          <w:p w14:paraId="3C240E12" w14:textId="77777777" w:rsidR="009D4A93" w:rsidRPr="005234EA" w:rsidRDefault="009D4A93" w:rsidP="009D4A93">
            <w:pPr>
              <w:pStyle w:val="TAL"/>
              <w:rPr>
                <w:sz w:val="20"/>
              </w:rPr>
            </w:pPr>
            <w:r w:rsidRPr="005234EA">
              <w:rPr>
                <w:sz w:val="20"/>
              </w:rPr>
              <w:t>0 dBi</w:t>
            </w:r>
          </w:p>
        </w:tc>
      </w:tr>
      <w:tr w:rsidR="009D4A93" w:rsidRPr="005234EA" w14:paraId="72AAE4F3" w14:textId="77777777" w:rsidTr="009D4A93">
        <w:trPr>
          <w:jc w:val="center"/>
        </w:trPr>
        <w:tc>
          <w:tcPr>
            <w:tcW w:w="2515" w:type="dxa"/>
            <w:shd w:val="clear" w:color="auto" w:fill="auto"/>
          </w:tcPr>
          <w:p w14:paraId="0698BBA4" w14:textId="77777777" w:rsidR="009D4A93" w:rsidRPr="005234EA" w:rsidRDefault="009D4A93" w:rsidP="009D4A93">
            <w:pPr>
              <w:pStyle w:val="TAL"/>
              <w:rPr>
                <w:sz w:val="20"/>
              </w:rPr>
            </w:pPr>
            <w:r w:rsidRPr="005234EA">
              <w:rPr>
                <w:sz w:val="20"/>
              </w:rPr>
              <w:t>BS/AP Noise Figure</w:t>
            </w:r>
          </w:p>
        </w:tc>
        <w:tc>
          <w:tcPr>
            <w:tcW w:w="5314" w:type="dxa"/>
            <w:shd w:val="clear" w:color="auto" w:fill="auto"/>
          </w:tcPr>
          <w:p w14:paraId="2C6325B9" w14:textId="77777777" w:rsidR="009D4A93" w:rsidRPr="005234EA" w:rsidRDefault="009D4A93" w:rsidP="009D4A93">
            <w:pPr>
              <w:pStyle w:val="TAL"/>
              <w:rPr>
                <w:sz w:val="20"/>
              </w:rPr>
            </w:pPr>
            <w:r w:rsidRPr="005234EA">
              <w:rPr>
                <w:sz w:val="20"/>
              </w:rPr>
              <w:t>5dB</w:t>
            </w:r>
          </w:p>
        </w:tc>
      </w:tr>
      <w:tr w:rsidR="009D4A93" w:rsidRPr="005234EA" w14:paraId="3BDE8B8F" w14:textId="77777777" w:rsidTr="009D4A93">
        <w:trPr>
          <w:jc w:val="center"/>
        </w:trPr>
        <w:tc>
          <w:tcPr>
            <w:tcW w:w="2515" w:type="dxa"/>
            <w:shd w:val="clear" w:color="auto" w:fill="auto"/>
          </w:tcPr>
          <w:p w14:paraId="211E27B4" w14:textId="77777777" w:rsidR="009D4A93" w:rsidRPr="005234EA" w:rsidRDefault="009D4A93" w:rsidP="009D4A93">
            <w:pPr>
              <w:pStyle w:val="TAL"/>
              <w:rPr>
                <w:sz w:val="20"/>
              </w:rPr>
            </w:pPr>
            <w:r w:rsidRPr="005234EA">
              <w:rPr>
                <w:sz w:val="20"/>
              </w:rPr>
              <w:t>UE/STA Receiver Noise Figure</w:t>
            </w:r>
          </w:p>
        </w:tc>
        <w:tc>
          <w:tcPr>
            <w:tcW w:w="5314" w:type="dxa"/>
            <w:shd w:val="clear" w:color="auto" w:fill="auto"/>
          </w:tcPr>
          <w:p w14:paraId="1CE5EDBF" w14:textId="77777777" w:rsidR="009D4A93" w:rsidRPr="005234EA" w:rsidRDefault="009D4A93" w:rsidP="009D4A93">
            <w:pPr>
              <w:pStyle w:val="TAL"/>
              <w:rPr>
                <w:sz w:val="20"/>
              </w:rPr>
            </w:pPr>
            <w:r w:rsidRPr="005234EA">
              <w:rPr>
                <w:sz w:val="20"/>
              </w:rPr>
              <w:t>9dB</w:t>
            </w:r>
          </w:p>
        </w:tc>
      </w:tr>
      <w:tr w:rsidR="009D4A93" w:rsidRPr="005234EA" w14:paraId="7C0984AF" w14:textId="77777777" w:rsidTr="009D4A93">
        <w:trPr>
          <w:jc w:val="center"/>
        </w:trPr>
        <w:tc>
          <w:tcPr>
            <w:tcW w:w="2515" w:type="dxa"/>
            <w:shd w:val="clear" w:color="auto" w:fill="auto"/>
          </w:tcPr>
          <w:p w14:paraId="639CB840" w14:textId="77777777" w:rsidR="009D4A93" w:rsidRPr="005234EA" w:rsidRDefault="009D4A93" w:rsidP="009D4A93">
            <w:pPr>
              <w:pStyle w:val="TAL"/>
              <w:rPr>
                <w:sz w:val="20"/>
              </w:rPr>
            </w:pPr>
            <w:r w:rsidRPr="005234EA">
              <w:rPr>
                <w:sz w:val="20"/>
              </w:rPr>
              <w:t>Minimum received power from serving cell for UE dropping</w:t>
            </w:r>
          </w:p>
        </w:tc>
        <w:tc>
          <w:tcPr>
            <w:tcW w:w="5314" w:type="dxa"/>
            <w:shd w:val="clear" w:color="auto" w:fill="auto"/>
          </w:tcPr>
          <w:p w14:paraId="0E555E26" w14:textId="77777777" w:rsidR="009D4A93" w:rsidRPr="005234EA" w:rsidRDefault="009D4A93" w:rsidP="009D4A93">
            <w:pPr>
              <w:pStyle w:val="TAL"/>
              <w:rPr>
                <w:sz w:val="20"/>
              </w:rPr>
            </w:pPr>
            <w:r w:rsidRPr="005234EA">
              <w:rPr>
                <w:sz w:val="20"/>
              </w:rPr>
              <w:t>-82dBm</w:t>
            </w:r>
          </w:p>
        </w:tc>
      </w:tr>
      <w:tr w:rsidR="009D4A93" w:rsidRPr="005234EA" w14:paraId="414F61E8" w14:textId="77777777" w:rsidTr="009D4A93">
        <w:trPr>
          <w:jc w:val="center"/>
        </w:trPr>
        <w:tc>
          <w:tcPr>
            <w:tcW w:w="2515" w:type="dxa"/>
            <w:shd w:val="clear" w:color="auto" w:fill="auto"/>
          </w:tcPr>
          <w:p w14:paraId="14342636" w14:textId="77777777" w:rsidR="009D4A93" w:rsidRPr="005234EA" w:rsidRDefault="009D4A93" w:rsidP="009D4A93">
            <w:pPr>
              <w:pStyle w:val="TAL"/>
              <w:rPr>
                <w:sz w:val="20"/>
              </w:rPr>
            </w:pPr>
            <w:r w:rsidRPr="005234EA">
              <w:rPr>
                <w:sz w:val="20"/>
              </w:rPr>
              <w:t>UE receiver</w:t>
            </w:r>
          </w:p>
        </w:tc>
        <w:tc>
          <w:tcPr>
            <w:tcW w:w="5314" w:type="dxa"/>
            <w:shd w:val="clear" w:color="auto" w:fill="auto"/>
          </w:tcPr>
          <w:p w14:paraId="2FAAAA2E" w14:textId="77777777" w:rsidR="009D4A93" w:rsidRPr="005234EA" w:rsidRDefault="009D4A93" w:rsidP="009D4A93">
            <w:pPr>
              <w:pStyle w:val="TAL"/>
              <w:rPr>
                <w:sz w:val="20"/>
              </w:rPr>
            </w:pPr>
            <w:r w:rsidRPr="005234EA">
              <w:rPr>
                <w:sz w:val="20"/>
              </w:rPr>
              <w:t>MMSE-IRC as the baseline receiver</w:t>
            </w:r>
          </w:p>
        </w:tc>
      </w:tr>
      <w:tr w:rsidR="009D4A93" w:rsidRPr="005234EA" w14:paraId="0473C36D" w14:textId="77777777" w:rsidTr="009D4A93">
        <w:trPr>
          <w:jc w:val="center"/>
        </w:trPr>
        <w:tc>
          <w:tcPr>
            <w:tcW w:w="2515" w:type="dxa"/>
            <w:shd w:val="clear" w:color="auto" w:fill="auto"/>
          </w:tcPr>
          <w:p w14:paraId="1D6BC7CB" w14:textId="77777777" w:rsidR="009D4A93" w:rsidRPr="005234EA" w:rsidRDefault="009D4A93" w:rsidP="009D4A93">
            <w:pPr>
              <w:pStyle w:val="TAL"/>
              <w:rPr>
                <w:sz w:val="20"/>
              </w:rPr>
            </w:pPr>
            <w:r w:rsidRPr="005234EA">
              <w:rPr>
                <w:sz w:val="20"/>
              </w:rPr>
              <w:t>BS/AP antenna Array configuration</w:t>
            </w:r>
          </w:p>
        </w:tc>
        <w:tc>
          <w:tcPr>
            <w:tcW w:w="5314" w:type="dxa"/>
            <w:shd w:val="clear" w:color="auto" w:fill="auto"/>
          </w:tcPr>
          <w:p w14:paraId="4ADC674D" w14:textId="77777777" w:rsidR="009D4A93" w:rsidRPr="005234EA" w:rsidRDefault="009D4A93" w:rsidP="009D4A93">
            <w:pPr>
              <w:pStyle w:val="TAL"/>
              <w:rPr>
                <w:sz w:val="20"/>
              </w:rPr>
            </w:pPr>
            <w:r w:rsidRPr="005234EA">
              <w:rPr>
                <w:sz w:val="20"/>
              </w:rPr>
              <w:t>(M, N, P, M</w:t>
            </w:r>
            <w:r w:rsidRPr="005234EA">
              <w:rPr>
                <w:sz w:val="20"/>
                <w:vertAlign w:val="subscript"/>
              </w:rPr>
              <w:t>g</w:t>
            </w:r>
            <w:r w:rsidRPr="005234EA">
              <w:rPr>
                <w:sz w:val="20"/>
              </w:rPr>
              <w:t>, N</w:t>
            </w:r>
            <w:r w:rsidRPr="005234EA">
              <w:rPr>
                <w:sz w:val="20"/>
                <w:vertAlign w:val="subscript"/>
              </w:rPr>
              <w:t>g</w:t>
            </w:r>
            <w:r w:rsidRPr="005234EA">
              <w:rPr>
                <w:sz w:val="20"/>
              </w:rPr>
              <w:t>)  = (1, 2, 2, 1, 1), dH = dV = 0.5 λ</w:t>
            </w:r>
          </w:p>
        </w:tc>
      </w:tr>
      <w:tr w:rsidR="009D4A93" w:rsidRPr="005234EA" w14:paraId="2D95F66D" w14:textId="77777777" w:rsidTr="009D4A93">
        <w:trPr>
          <w:jc w:val="center"/>
        </w:trPr>
        <w:tc>
          <w:tcPr>
            <w:tcW w:w="2515" w:type="dxa"/>
            <w:shd w:val="clear" w:color="auto" w:fill="auto"/>
          </w:tcPr>
          <w:p w14:paraId="681CE6E4" w14:textId="77777777" w:rsidR="009D4A93" w:rsidRPr="005234EA" w:rsidRDefault="009D4A93" w:rsidP="009D4A93">
            <w:pPr>
              <w:pStyle w:val="TAL"/>
              <w:rPr>
                <w:sz w:val="20"/>
              </w:rPr>
            </w:pPr>
            <w:r w:rsidRPr="005234EA">
              <w:rPr>
                <w:sz w:val="20"/>
              </w:rPr>
              <w:t>UE/STA antenna Array configuration</w:t>
            </w:r>
          </w:p>
        </w:tc>
        <w:tc>
          <w:tcPr>
            <w:tcW w:w="5314" w:type="dxa"/>
            <w:shd w:val="clear" w:color="auto" w:fill="auto"/>
          </w:tcPr>
          <w:p w14:paraId="37D29ECE" w14:textId="77777777" w:rsidR="009D4A93" w:rsidRPr="005234EA" w:rsidRDefault="009D4A93" w:rsidP="009D4A93">
            <w:pPr>
              <w:pStyle w:val="TAL"/>
              <w:rPr>
                <w:sz w:val="20"/>
              </w:rPr>
            </w:pPr>
            <w:r w:rsidRPr="005234EA">
              <w:rPr>
                <w:sz w:val="20"/>
              </w:rPr>
              <w:t>Baseline Tx/Rx: (M, N, P, Mg, Ng) = (1, 1, 2, 1, 1), dH = dV = 0.5 λ</w:t>
            </w:r>
          </w:p>
          <w:p w14:paraId="262326D8" w14:textId="77777777" w:rsidR="009D4A93" w:rsidRPr="005234EA" w:rsidRDefault="009D4A93" w:rsidP="009D4A93">
            <w:pPr>
              <w:pStyle w:val="TAL"/>
              <w:rPr>
                <w:sz w:val="20"/>
              </w:rPr>
            </w:pPr>
            <w:r w:rsidRPr="005234EA">
              <w:rPr>
                <w:sz w:val="20"/>
              </w:rPr>
              <w:t>Optional Tx/Rx: (M, N, P, Mg, Ng) = (1, 2, 2, 1, 1), dH = dV = 0.5 λ</w:t>
            </w:r>
          </w:p>
        </w:tc>
      </w:tr>
      <w:tr w:rsidR="009D4A93" w:rsidRPr="005234EA" w14:paraId="1089C3D7" w14:textId="77777777" w:rsidTr="009D4A93">
        <w:trPr>
          <w:jc w:val="center"/>
        </w:trPr>
        <w:tc>
          <w:tcPr>
            <w:tcW w:w="2515" w:type="dxa"/>
            <w:shd w:val="clear" w:color="auto" w:fill="auto"/>
          </w:tcPr>
          <w:p w14:paraId="6D1B71C9" w14:textId="77777777" w:rsidR="009D4A93" w:rsidRPr="005234EA" w:rsidRDefault="009D4A93" w:rsidP="009D4A93">
            <w:pPr>
              <w:pStyle w:val="TAL"/>
              <w:rPr>
                <w:sz w:val="20"/>
              </w:rPr>
            </w:pPr>
            <w:r w:rsidRPr="005234EA">
              <w:rPr>
                <w:sz w:val="20"/>
              </w:rPr>
              <w:t>Traffic model</w:t>
            </w:r>
          </w:p>
        </w:tc>
        <w:tc>
          <w:tcPr>
            <w:tcW w:w="5314" w:type="dxa"/>
            <w:shd w:val="clear" w:color="auto" w:fill="auto"/>
          </w:tcPr>
          <w:p w14:paraId="50E92314" w14:textId="77777777" w:rsidR="009D4A93" w:rsidRPr="005234EA" w:rsidRDefault="009D4A93" w:rsidP="009D4A93">
            <w:pPr>
              <w:pStyle w:val="TAL"/>
              <w:rPr>
                <w:sz w:val="20"/>
              </w:rPr>
            </w:pPr>
            <w:r w:rsidRPr="005234EA">
              <w:rPr>
                <w:sz w:val="20"/>
              </w:rPr>
              <w:t xml:space="preserve">Use 36.889 Table A.1.1. </w:t>
            </w:r>
          </w:p>
          <w:p w14:paraId="1AF3A83C" w14:textId="77777777" w:rsidR="009D4A93" w:rsidRPr="005234EA" w:rsidRDefault="009D4A93" w:rsidP="009D4A93">
            <w:pPr>
              <w:pStyle w:val="TAL"/>
              <w:rPr>
                <w:sz w:val="20"/>
              </w:rPr>
            </w:pPr>
            <w:r w:rsidRPr="005234EA">
              <w:rPr>
                <w:sz w:val="20"/>
              </w:rPr>
              <w:t>Note: Results based on the mixed traffic models can be used to determine the design.</w:t>
            </w:r>
          </w:p>
        </w:tc>
      </w:tr>
      <w:tr w:rsidR="009D4A93" w:rsidRPr="005234EA" w14:paraId="0F56B690" w14:textId="77777777" w:rsidTr="009D4A93">
        <w:trPr>
          <w:jc w:val="center"/>
        </w:trPr>
        <w:tc>
          <w:tcPr>
            <w:tcW w:w="2515" w:type="dxa"/>
            <w:shd w:val="clear" w:color="auto" w:fill="auto"/>
          </w:tcPr>
          <w:p w14:paraId="102AD1DF" w14:textId="77777777" w:rsidR="009D4A93" w:rsidRPr="005234EA" w:rsidRDefault="009D4A93" w:rsidP="009D4A93">
            <w:pPr>
              <w:pStyle w:val="TAL"/>
              <w:rPr>
                <w:sz w:val="20"/>
              </w:rPr>
            </w:pPr>
            <w:r w:rsidRPr="005234EA">
              <w:rPr>
                <w:sz w:val="20"/>
              </w:rPr>
              <w:t>UE/STA to UE/STA link pathloss model</w:t>
            </w:r>
          </w:p>
        </w:tc>
        <w:tc>
          <w:tcPr>
            <w:tcW w:w="5314" w:type="dxa"/>
            <w:shd w:val="clear" w:color="auto" w:fill="auto"/>
          </w:tcPr>
          <w:p w14:paraId="55C2056B" w14:textId="77777777" w:rsidR="009D4A93" w:rsidRPr="005234EA" w:rsidRDefault="009D4A93" w:rsidP="009D4A93">
            <w:pPr>
              <w:pStyle w:val="TAL"/>
              <w:rPr>
                <w:sz w:val="20"/>
              </w:rPr>
            </w:pPr>
            <w:r w:rsidRPr="005234EA">
              <w:rPr>
                <w:sz w:val="20"/>
              </w:rPr>
              <w:t>Directly use UMi street canyon pathloss model with proper d_3D with UMi street canyon LOS probability</w:t>
            </w:r>
          </w:p>
        </w:tc>
      </w:tr>
      <w:tr w:rsidR="009D4A93" w:rsidRPr="005234EA" w14:paraId="039AD5DD" w14:textId="77777777" w:rsidTr="009D4A93">
        <w:trPr>
          <w:jc w:val="center"/>
        </w:trPr>
        <w:tc>
          <w:tcPr>
            <w:tcW w:w="2515" w:type="dxa"/>
            <w:shd w:val="clear" w:color="auto" w:fill="auto"/>
          </w:tcPr>
          <w:p w14:paraId="0CA659E1" w14:textId="77777777" w:rsidR="009D4A93" w:rsidRPr="005234EA" w:rsidRDefault="009D4A93" w:rsidP="009D4A93">
            <w:pPr>
              <w:pStyle w:val="TAL"/>
              <w:rPr>
                <w:sz w:val="20"/>
              </w:rPr>
            </w:pPr>
            <w:r w:rsidRPr="005234EA">
              <w:rPr>
                <w:sz w:val="20"/>
              </w:rPr>
              <w:t>gNB to gNB link pathloss model</w:t>
            </w:r>
          </w:p>
        </w:tc>
        <w:tc>
          <w:tcPr>
            <w:tcW w:w="5314" w:type="dxa"/>
            <w:shd w:val="clear" w:color="auto" w:fill="auto"/>
          </w:tcPr>
          <w:p w14:paraId="64D2BC9E" w14:textId="77777777" w:rsidR="009D4A93" w:rsidRPr="005234EA" w:rsidRDefault="009D4A93" w:rsidP="009D4A93">
            <w:pPr>
              <w:pStyle w:val="TAL"/>
              <w:rPr>
                <w:sz w:val="20"/>
              </w:rPr>
            </w:pPr>
            <w:r w:rsidRPr="005234EA">
              <w:rPr>
                <w:sz w:val="20"/>
              </w:rPr>
              <w:t>Directly use UMi street canyon pathloss model with proper d_3D with UMi street canyon LOS probability</w:t>
            </w:r>
          </w:p>
        </w:tc>
      </w:tr>
    </w:tbl>
    <w:p w14:paraId="164F7A2E" w14:textId="762628CC" w:rsidR="00831ADB" w:rsidRPr="00C64ECB" w:rsidRDefault="00831ADB" w:rsidP="003F074D"/>
    <w:p w14:paraId="30F808C8" w14:textId="77777777" w:rsidR="00831ADB" w:rsidRPr="00C64ECB" w:rsidRDefault="00831ADB">
      <w:pPr>
        <w:spacing w:after="0"/>
      </w:pPr>
      <w:r w:rsidRPr="00C64ECB">
        <w:br w:type="page"/>
      </w:r>
    </w:p>
    <w:p w14:paraId="04E02F1A" w14:textId="7A6C6302" w:rsidR="00F467CF" w:rsidRPr="00C64ECB" w:rsidRDefault="003F074D" w:rsidP="003F074D">
      <w:pPr>
        <w:pStyle w:val="Heading9"/>
      </w:pPr>
      <w:bookmarkStart w:id="106" w:name="_Toc531343047"/>
      <w:r w:rsidRPr="00C64ECB">
        <w:lastRenderedPageBreak/>
        <w:t>Annex B:</w:t>
      </w:r>
      <w:r w:rsidR="00F467CF" w:rsidRPr="00C64ECB">
        <w:br/>
        <w:t>Evaluation results</w:t>
      </w:r>
      <w:bookmarkEnd w:id="106"/>
    </w:p>
    <w:p w14:paraId="7D6ED679" w14:textId="77777777" w:rsidR="00EC7E4A" w:rsidRPr="00C64ECB" w:rsidRDefault="00EC7E4A" w:rsidP="00EC7E4A">
      <w:pPr>
        <w:pStyle w:val="Heading2"/>
      </w:pPr>
      <w:bookmarkStart w:id="107" w:name="_Toc531343048"/>
      <w:r w:rsidRPr="00C64ECB">
        <w:t>B.1</w:t>
      </w:r>
      <w:r w:rsidRPr="00C64ECB">
        <w:tab/>
        <w:t>Evaluation results for sub7GHz indoor</w:t>
      </w:r>
      <w:bookmarkEnd w:id="107"/>
    </w:p>
    <w:p w14:paraId="2026E003" w14:textId="67777B9F" w:rsidR="00EC7E4A" w:rsidRPr="00C64ECB" w:rsidRDefault="00EC7E4A" w:rsidP="00EC7E4A">
      <w:pPr>
        <w:pStyle w:val="Heading3"/>
      </w:pPr>
      <w:bookmarkStart w:id="108" w:name="_Toc531343049"/>
      <w:r w:rsidRPr="00C64ECB">
        <w:t>B.1.1</w:t>
      </w:r>
      <w:r w:rsidRPr="00C64ECB">
        <w:tab/>
        <w:t>Wi-Fi and NR-U coexistence evaluation with 20MHz and FTP traffic</w:t>
      </w:r>
      <w:bookmarkEnd w:id="108"/>
    </w:p>
    <w:p w14:paraId="394F0FC6" w14:textId="77777777" w:rsidR="009D4A93" w:rsidRPr="00C64ECB" w:rsidRDefault="009D4A93" w:rsidP="00536CFD">
      <w:pPr>
        <w:pStyle w:val="TH"/>
        <w:pageBreakBefore/>
      </w:pPr>
      <w:r w:rsidRPr="00C64ECB">
        <w:lastRenderedPageBreak/>
        <w:t>Table B.1.1-1: Wi-Fi and NR-U coexistence evaluation with 20MHz and FTP traffic</w:t>
      </w:r>
    </w:p>
    <w:tbl>
      <w:tblPr>
        <w:tblStyle w:val="TableGrid"/>
        <w:tblW w:w="10440" w:type="dxa"/>
        <w:tblInd w:w="-5" w:type="dxa"/>
        <w:tblLayout w:type="fixed"/>
        <w:tblCellMar>
          <w:left w:w="0" w:type="dxa"/>
          <w:right w:w="0" w:type="dxa"/>
        </w:tblCellMar>
        <w:tblLook w:val="04A0" w:firstRow="1" w:lastRow="0" w:firstColumn="1" w:lastColumn="0" w:noHBand="0" w:noVBand="1"/>
      </w:tblPr>
      <w:tblGrid>
        <w:gridCol w:w="331"/>
        <w:gridCol w:w="535"/>
        <w:gridCol w:w="400"/>
        <w:gridCol w:w="714"/>
        <w:gridCol w:w="720"/>
        <w:gridCol w:w="720"/>
        <w:gridCol w:w="810"/>
        <w:gridCol w:w="810"/>
        <w:gridCol w:w="820"/>
        <w:gridCol w:w="800"/>
        <w:gridCol w:w="720"/>
        <w:gridCol w:w="724"/>
        <w:gridCol w:w="896"/>
        <w:gridCol w:w="720"/>
        <w:gridCol w:w="720"/>
      </w:tblGrid>
      <w:tr w:rsidR="009D4A93" w:rsidRPr="00536CFD" w14:paraId="5AE09616" w14:textId="77777777" w:rsidTr="009D4A93">
        <w:trPr>
          <w:cantSplit/>
          <w:trHeight w:val="22"/>
          <w:tblHeader/>
        </w:trPr>
        <w:tc>
          <w:tcPr>
            <w:tcW w:w="331"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14:paraId="291CE357" w14:textId="77777777" w:rsidR="009D4A93" w:rsidRPr="00536CFD" w:rsidRDefault="009D4A93" w:rsidP="009D4A93">
            <w:pPr>
              <w:spacing w:after="0" w:line="360" w:lineRule="auto"/>
              <w:ind w:left="113" w:right="113"/>
              <w:contextualSpacing/>
            </w:pPr>
            <w:r w:rsidRPr="00536CFD">
              <w:rPr>
                <w:lang w:val="en-US" w:bidi="ar"/>
              </w:rPr>
              <w:t>Tdoc/Source</w:t>
            </w:r>
          </w:p>
        </w:tc>
        <w:tc>
          <w:tcPr>
            <w:tcW w:w="935" w:type="dxa"/>
            <w:gridSpan w:val="2"/>
            <w:vMerge w:val="restart"/>
            <w:tcBorders>
              <w:top w:val="single" w:sz="4" w:space="0" w:color="auto"/>
              <w:left w:val="nil"/>
              <w:bottom w:val="single" w:sz="4" w:space="0" w:color="auto"/>
              <w:right w:val="single" w:sz="4" w:space="0" w:color="auto"/>
            </w:tcBorders>
            <w:shd w:val="clear" w:color="auto" w:fill="auto"/>
          </w:tcPr>
          <w:p w14:paraId="544A5439" w14:textId="77777777" w:rsidR="009D4A93" w:rsidRPr="00536CFD" w:rsidRDefault="009D4A93" w:rsidP="009D4A93">
            <w:pPr>
              <w:spacing w:after="0"/>
              <w:contextualSpacing/>
              <w:jc w:val="center"/>
            </w:pPr>
            <w:r w:rsidRPr="00536CFD">
              <w:rPr>
                <w:lang w:val="en-US" w:bidi="ar"/>
              </w:rPr>
              <w:t>Reported parameters</w:t>
            </w:r>
          </w:p>
        </w:tc>
        <w:tc>
          <w:tcPr>
            <w:tcW w:w="2964" w:type="dxa"/>
            <w:gridSpan w:val="4"/>
            <w:tcBorders>
              <w:top w:val="single" w:sz="4" w:space="0" w:color="auto"/>
              <w:left w:val="nil"/>
              <w:bottom w:val="single" w:sz="4" w:space="0" w:color="auto"/>
              <w:right w:val="single" w:sz="4" w:space="0" w:color="auto"/>
            </w:tcBorders>
            <w:shd w:val="clear" w:color="auto" w:fill="auto"/>
          </w:tcPr>
          <w:p w14:paraId="428E03D2" w14:textId="77777777" w:rsidR="009D4A93" w:rsidRPr="00536CFD" w:rsidRDefault="009D4A93" w:rsidP="009D4A93">
            <w:pPr>
              <w:spacing w:after="0"/>
              <w:contextualSpacing/>
              <w:jc w:val="center"/>
              <w:rPr>
                <w:b/>
                <w:bCs/>
                <w:u w:val="single"/>
              </w:rPr>
            </w:pPr>
            <w:r w:rsidRPr="00536CFD">
              <w:rPr>
                <w:b/>
                <w:bCs/>
                <w:u w:val="single"/>
                <w:lang w:val="en-US" w:bidi="ar"/>
              </w:rPr>
              <w:t>Low load</w:t>
            </w:r>
          </w:p>
          <w:p w14:paraId="5D356575" w14:textId="77777777" w:rsidR="009D4A93" w:rsidRPr="00536CFD" w:rsidRDefault="009D4A93" w:rsidP="009D4A93">
            <w:pPr>
              <w:spacing w:after="0"/>
              <w:contextualSpacing/>
              <w:jc w:val="center"/>
              <w:rPr>
                <w:u w:val="single"/>
              </w:rPr>
            </w:pPr>
            <w:r w:rsidRPr="00536CFD">
              <w:rPr>
                <w:lang w:val="en-US" w:bidi="ar"/>
              </w:rPr>
              <w:t xml:space="preserve">BO range for Wi-Fi in </w:t>
            </w:r>
            <w:r w:rsidRPr="00536CFD">
              <w:rPr>
                <w:lang w:val="en-US" w:bidi="ar"/>
              </w:rPr>
              <w:br/>
              <w:t xml:space="preserve">WiFi+WiFi: </w:t>
            </w:r>
            <w:r w:rsidRPr="00536CFD">
              <w:rPr>
                <w:rFonts w:eastAsia="MS Mincho"/>
                <w:lang w:val="en-US" w:bidi="ar"/>
              </w:rPr>
              <w:t>10%~25%</w:t>
            </w:r>
          </w:p>
        </w:tc>
        <w:tc>
          <w:tcPr>
            <w:tcW w:w="3150" w:type="dxa"/>
            <w:gridSpan w:val="4"/>
            <w:tcBorders>
              <w:top w:val="single" w:sz="4" w:space="0" w:color="auto"/>
              <w:left w:val="nil"/>
              <w:bottom w:val="single" w:sz="4" w:space="0" w:color="auto"/>
              <w:right w:val="single" w:sz="4" w:space="0" w:color="auto"/>
            </w:tcBorders>
            <w:shd w:val="clear" w:color="auto" w:fill="auto"/>
          </w:tcPr>
          <w:p w14:paraId="64820EFF" w14:textId="77777777" w:rsidR="009D4A93" w:rsidRPr="00536CFD" w:rsidRDefault="009D4A93" w:rsidP="009D4A93">
            <w:pPr>
              <w:spacing w:after="0"/>
              <w:contextualSpacing/>
              <w:jc w:val="center"/>
              <w:rPr>
                <w:b/>
                <w:bCs/>
                <w:u w:val="single"/>
              </w:rPr>
            </w:pPr>
            <w:r w:rsidRPr="00536CFD">
              <w:rPr>
                <w:b/>
                <w:bCs/>
                <w:u w:val="single"/>
                <w:lang w:val="en-US" w:bidi="ar"/>
              </w:rPr>
              <w:t>Medium load</w:t>
            </w:r>
          </w:p>
          <w:p w14:paraId="6C863024" w14:textId="77777777" w:rsidR="009D4A93" w:rsidRPr="00536CFD" w:rsidRDefault="009D4A93" w:rsidP="009D4A93">
            <w:pPr>
              <w:spacing w:after="0"/>
              <w:contextualSpacing/>
              <w:jc w:val="center"/>
              <w:rPr>
                <w:u w:val="single"/>
              </w:rPr>
            </w:pPr>
            <w:r w:rsidRPr="00536CFD">
              <w:rPr>
                <w:lang w:val="en-US" w:bidi="ar"/>
              </w:rPr>
              <w:t xml:space="preserve">BO range for Wi-Fi in </w:t>
            </w:r>
            <w:r w:rsidRPr="00536CFD">
              <w:rPr>
                <w:lang w:val="en-US" w:bidi="ar"/>
              </w:rPr>
              <w:br/>
              <w:t xml:space="preserve">WiFi+WiFi: </w:t>
            </w:r>
            <w:r w:rsidRPr="00536CFD">
              <w:rPr>
                <w:rFonts w:eastAsia="MS Mincho"/>
                <w:lang w:val="en-US" w:bidi="ar"/>
              </w:rPr>
              <w:t>35%~50%</w:t>
            </w:r>
          </w:p>
        </w:tc>
        <w:tc>
          <w:tcPr>
            <w:tcW w:w="3060" w:type="dxa"/>
            <w:gridSpan w:val="4"/>
            <w:tcBorders>
              <w:top w:val="single" w:sz="4" w:space="0" w:color="auto"/>
              <w:left w:val="nil"/>
              <w:bottom w:val="single" w:sz="4" w:space="0" w:color="auto"/>
              <w:right w:val="single" w:sz="4" w:space="0" w:color="auto"/>
            </w:tcBorders>
            <w:shd w:val="clear" w:color="auto" w:fill="auto"/>
          </w:tcPr>
          <w:p w14:paraId="72F1B74E" w14:textId="77777777" w:rsidR="009D4A93" w:rsidRPr="00536CFD" w:rsidRDefault="009D4A93" w:rsidP="009D4A93">
            <w:pPr>
              <w:spacing w:after="0"/>
              <w:contextualSpacing/>
              <w:jc w:val="center"/>
              <w:rPr>
                <w:b/>
                <w:bCs/>
                <w:u w:val="single"/>
              </w:rPr>
            </w:pPr>
            <w:r w:rsidRPr="00536CFD">
              <w:rPr>
                <w:b/>
                <w:bCs/>
                <w:u w:val="single"/>
                <w:lang w:val="en-US" w:bidi="ar"/>
              </w:rPr>
              <w:t>High load</w:t>
            </w:r>
          </w:p>
          <w:p w14:paraId="3E1230A2" w14:textId="77777777" w:rsidR="009D4A93" w:rsidRPr="00536CFD" w:rsidRDefault="009D4A93" w:rsidP="009D4A93">
            <w:pPr>
              <w:spacing w:after="0"/>
              <w:contextualSpacing/>
              <w:jc w:val="center"/>
              <w:rPr>
                <w:u w:val="single"/>
              </w:rPr>
            </w:pPr>
            <w:r w:rsidRPr="00536CFD">
              <w:rPr>
                <w:lang w:val="en-US" w:bidi="ar"/>
              </w:rPr>
              <w:t xml:space="preserve">BO range for Wi-Fi in </w:t>
            </w:r>
            <w:r w:rsidRPr="00536CFD">
              <w:rPr>
                <w:lang w:val="en-US" w:bidi="ar"/>
              </w:rPr>
              <w:br/>
              <w:t>WiFi+WiFi: above 55%</w:t>
            </w:r>
          </w:p>
        </w:tc>
      </w:tr>
      <w:tr w:rsidR="009D4A93" w:rsidRPr="00536CFD" w14:paraId="240B9277" w14:textId="77777777" w:rsidTr="009D4A93">
        <w:trPr>
          <w:cantSplit/>
          <w:trHeight w:val="22"/>
          <w:tblHeader/>
        </w:trPr>
        <w:tc>
          <w:tcPr>
            <w:tcW w:w="331" w:type="dxa"/>
            <w:vMerge/>
            <w:tcBorders>
              <w:top w:val="single" w:sz="4" w:space="0" w:color="auto"/>
              <w:left w:val="single" w:sz="4" w:space="0" w:color="auto"/>
              <w:bottom w:val="single" w:sz="4" w:space="0" w:color="auto"/>
              <w:right w:val="single" w:sz="4" w:space="0" w:color="auto"/>
            </w:tcBorders>
            <w:shd w:val="clear" w:color="auto" w:fill="auto"/>
            <w:textDirection w:val="btLr"/>
          </w:tcPr>
          <w:p w14:paraId="74EA9EA9" w14:textId="77777777" w:rsidR="009D4A93" w:rsidRPr="00536CFD" w:rsidRDefault="009D4A93" w:rsidP="009D4A93">
            <w:pPr>
              <w:spacing w:after="0"/>
              <w:ind w:left="113" w:right="113"/>
            </w:pPr>
          </w:p>
        </w:tc>
        <w:tc>
          <w:tcPr>
            <w:tcW w:w="935" w:type="dxa"/>
            <w:gridSpan w:val="2"/>
            <w:vMerge/>
            <w:tcBorders>
              <w:top w:val="single" w:sz="4" w:space="0" w:color="auto"/>
              <w:left w:val="nil"/>
              <w:bottom w:val="single" w:sz="4" w:space="0" w:color="auto"/>
              <w:right w:val="single" w:sz="4" w:space="0" w:color="auto"/>
            </w:tcBorders>
            <w:shd w:val="clear" w:color="auto" w:fill="auto"/>
          </w:tcPr>
          <w:p w14:paraId="67D59CF9" w14:textId="77777777" w:rsidR="009D4A93" w:rsidRPr="00536CFD" w:rsidRDefault="009D4A93" w:rsidP="009D4A93">
            <w:pPr>
              <w:spacing w:after="0"/>
            </w:pPr>
          </w:p>
        </w:tc>
        <w:tc>
          <w:tcPr>
            <w:tcW w:w="714" w:type="dxa"/>
            <w:tcBorders>
              <w:top w:val="single" w:sz="4" w:space="0" w:color="auto"/>
              <w:left w:val="nil"/>
              <w:bottom w:val="single" w:sz="4" w:space="0" w:color="auto"/>
              <w:right w:val="single" w:sz="4" w:space="0" w:color="auto"/>
            </w:tcBorders>
            <w:shd w:val="clear" w:color="auto" w:fill="auto"/>
          </w:tcPr>
          <w:p w14:paraId="08F3E5B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WiFi</w:t>
            </w:r>
          </w:p>
        </w:tc>
        <w:tc>
          <w:tcPr>
            <w:tcW w:w="720" w:type="dxa"/>
            <w:tcBorders>
              <w:top w:val="single" w:sz="4" w:space="0" w:color="auto"/>
              <w:left w:val="nil"/>
              <w:bottom w:val="single" w:sz="4" w:space="0" w:color="auto"/>
              <w:right w:val="single" w:sz="4" w:space="0" w:color="auto"/>
            </w:tcBorders>
            <w:shd w:val="clear" w:color="auto" w:fill="auto"/>
          </w:tcPr>
          <w:p w14:paraId="0FC118A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720" w:type="dxa"/>
            <w:tcBorders>
              <w:top w:val="single" w:sz="4" w:space="0" w:color="auto"/>
              <w:left w:val="nil"/>
              <w:bottom w:val="single" w:sz="4" w:space="0" w:color="auto"/>
              <w:right w:val="single" w:sz="4" w:space="0" w:color="auto"/>
            </w:tcBorders>
            <w:shd w:val="clear" w:color="auto" w:fill="auto"/>
          </w:tcPr>
          <w:p w14:paraId="7DDB200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810" w:type="dxa"/>
            <w:tcBorders>
              <w:top w:val="single" w:sz="4" w:space="0" w:color="auto"/>
              <w:left w:val="nil"/>
              <w:bottom w:val="single" w:sz="4" w:space="0" w:color="auto"/>
              <w:right w:val="single" w:sz="4" w:space="0" w:color="auto"/>
            </w:tcBorders>
            <w:shd w:val="clear" w:color="auto" w:fill="auto"/>
          </w:tcPr>
          <w:p w14:paraId="5A6854D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c>
          <w:tcPr>
            <w:tcW w:w="810" w:type="dxa"/>
            <w:tcBorders>
              <w:top w:val="single" w:sz="4" w:space="0" w:color="auto"/>
              <w:left w:val="nil"/>
              <w:bottom w:val="single" w:sz="4" w:space="0" w:color="auto"/>
              <w:right w:val="single" w:sz="4" w:space="0" w:color="auto"/>
            </w:tcBorders>
            <w:shd w:val="clear" w:color="auto" w:fill="auto"/>
          </w:tcPr>
          <w:p w14:paraId="6F8C24E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Wi-Fi in WiFi+ WiFi</w:t>
            </w:r>
          </w:p>
        </w:tc>
        <w:tc>
          <w:tcPr>
            <w:tcW w:w="820" w:type="dxa"/>
            <w:tcBorders>
              <w:top w:val="single" w:sz="4" w:space="0" w:color="auto"/>
              <w:left w:val="nil"/>
              <w:bottom w:val="single" w:sz="4" w:space="0" w:color="auto"/>
              <w:right w:val="single" w:sz="4" w:space="0" w:color="auto"/>
            </w:tcBorders>
            <w:shd w:val="clear" w:color="auto" w:fill="auto"/>
          </w:tcPr>
          <w:p w14:paraId="6E70BFD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800" w:type="dxa"/>
            <w:tcBorders>
              <w:top w:val="single" w:sz="4" w:space="0" w:color="auto"/>
              <w:left w:val="nil"/>
              <w:bottom w:val="single" w:sz="4" w:space="0" w:color="auto"/>
              <w:right w:val="single" w:sz="4" w:space="0" w:color="auto"/>
            </w:tcBorders>
            <w:shd w:val="clear" w:color="auto" w:fill="auto"/>
          </w:tcPr>
          <w:p w14:paraId="767C296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720" w:type="dxa"/>
            <w:tcBorders>
              <w:top w:val="single" w:sz="4" w:space="0" w:color="auto"/>
              <w:left w:val="nil"/>
              <w:bottom w:val="single" w:sz="4" w:space="0" w:color="auto"/>
              <w:right w:val="single" w:sz="4" w:space="0" w:color="auto"/>
            </w:tcBorders>
            <w:shd w:val="clear" w:color="auto" w:fill="auto"/>
          </w:tcPr>
          <w:p w14:paraId="144DBC0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c>
          <w:tcPr>
            <w:tcW w:w="724" w:type="dxa"/>
            <w:tcBorders>
              <w:top w:val="single" w:sz="4" w:space="0" w:color="auto"/>
              <w:left w:val="nil"/>
              <w:bottom w:val="single" w:sz="4" w:space="0" w:color="auto"/>
              <w:right w:val="single" w:sz="4" w:space="0" w:color="auto"/>
            </w:tcBorders>
            <w:shd w:val="clear" w:color="auto" w:fill="auto"/>
          </w:tcPr>
          <w:p w14:paraId="0532F70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WiFi</w:t>
            </w:r>
          </w:p>
        </w:tc>
        <w:tc>
          <w:tcPr>
            <w:tcW w:w="896" w:type="dxa"/>
            <w:tcBorders>
              <w:top w:val="single" w:sz="4" w:space="0" w:color="auto"/>
              <w:left w:val="nil"/>
              <w:bottom w:val="single" w:sz="4" w:space="0" w:color="auto"/>
              <w:right w:val="single" w:sz="4" w:space="0" w:color="auto"/>
            </w:tcBorders>
            <w:shd w:val="clear" w:color="auto" w:fill="auto"/>
          </w:tcPr>
          <w:p w14:paraId="0F3C11B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720" w:type="dxa"/>
            <w:tcBorders>
              <w:top w:val="single" w:sz="4" w:space="0" w:color="auto"/>
              <w:left w:val="nil"/>
              <w:bottom w:val="single" w:sz="4" w:space="0" w:color="auto"/>
              <w:right w:val="single" w:sz="4" w:space="0" w:color="auto"/>
            </w:tcBorders>
            <w:shd w:val="clear" w:color="auto" w:fill="auto"/>
          </w:tcPr>
          <w:p w14:paraId="0E7FDC6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720" w:type="dxa"/>
            <w:tcBorders>
              <w:top w:val="single" w:sz="4" w:space="0" w:color="auto"/>
              <w:left w:val="nil"/>
              <w:bottom w:val="single" w:sz="4" w:space="0" w:color="auto"/>
              <w:right w:val="single" w:sz="4" w:space="0" w:color="auto"/>
            </w:tcBorders>
            <w:shd w:val="clear" w:color="auto" w:fill="auto"/>
          </w:tcPr>
          <w:p w14:paraId="5A37A6E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r>
      <w:tr w:rsidR="009D4A93" w:rsidRPr="00536CFD" w14:paraId="710769D5"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6AFE93D4" w14:textId="77777777" w:rsidR="009D4A93" w:rsidRPr="00536CFD" w:rsidRDefault="009D4A93" w:rsidP="009D4A93">
            <w:pPr>
              <w:pStyle w:val="NormalWeb"/>
              <w:keepLines/>
              <w:spacing w:before="0" w:beforeAutospacing="0" w:after="0" w:afterAutospacing="0"/>
              <w:ind w:left="113" w:right="113"/>
              <w:jc w:val="center"/>
              <w:rPr>
                <w:rFonts w:eastAsia="SimSun"/>
                <w:sz w:val="20"/>
                <w:szCs w:val="20"/>
              </w:rPr>
            </w:pPr>
            <w:r w:rsidRPr="00536CFD">
              <w:rPr>
                <w:rFonts w:eastAsia="SimSun"/>
                <w:sz w:val="20"/>
                <w:szCs w:val="20"/>
                <w:lang w:bidi="ar"/>
              </w:rPr>
              <w:t>R1-1812431/ SOURCE 1</w:t>
            </w:r>
          </w:p>
        </w:tc>
        <w:tc>
          <w:tcPr>
            <w:tcW w:w="535" w:type="dxa"/>
            <w:vMerge w:val="restart"/>
            <w:tcBorders>
              <w:top w:val="nil"/>
              <w:left w:val="nil"/>
              <w:bottom w:val="single" w:sz="4" w:space="0" w:color="auto"/>
              <w:right w:val="single" w:sz="4" w:space="0" w:color="auto"/>
            </w:tcBorders>
            <w:shd w:val="clear" w:color="auto" w:fill="auto"/>
          </w:tcPr>
          <w:p w14:paraId="437A197C"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3E30926C"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686E140C" w14:textId="77777777" w:rsidR="009D4A93" w:rsidRPr="00536CFD" w:rsidRDefault="009D4A93" w:rsidP="009D4A93">
            <w:pPr>
              <w:keepLines/>
              <w:spacing w:after="0"/>
              <w:jc w:val="center"/>
            </w:pPr>
            <w:r w:rsidRPr="00536CFD">
              <w:rPr>
                <w:lang w:val="zh-CN"/>
              </w:rPr>
              <w:t>40.958</w:t>
            </w:r>
          </w:p>
        </w:tc>
        <w:tc>
          <w:tcPr>
            <w:tcW w:w="720" w:type="dxa"/>
            <w:tcBorders>
              <w:top w:val="single" w:sz="4" w:space="0" w:color="auto"/>
              <w:left w:val="nil"/>
              <w:bottom w:val="single" w:sz="4" w:space="0" w:color="auto"/>
              <w:right w:val="single" w:sz="4" w:space="0" w:color="auto"/>
            </w:tcBorders>
            <w:shd w:val="clear" w:color="auto" w:fill="auto"/>
          </w:tcPr>
          <w:p w14:paraId="6203EFE4" w14:textId="77777777" w:rsidR="009D4A93" w:rsidRPr="00536CFD" w:rsidRDefault="009D4A93" w:rsidP="009D4A93">
            <w:pPr>
              <w:keepLines/>
              <w:spacing w:after="0"/>
              <w:jc w:val="center"/>
            </w:pPr>
            <w:r w:rsidRPr="00536CFD">
              <w:rPr>
                <w:lang w:val="zh-CN"/>
              </w:rPr>
              <w:t>50.921</w:t>
            </w:r>
          </w:p>
        </w:tc>
        <w:tc>
          <w:tcPr>
            <w:tcW w:w="720" w:type="dxa"/>
            <w:tcBorders>
              <w:top w:val="single" w:sz="4" w:space="0" w:color="auto"/>
              <w:left w:val="nil"/>
              <w:bottom w:val="single" w:sz="4" w:space="0" w:color="auto"/>
              <w:right w:val="single" w:sz="4" w:space="0" w:color="auto"/>
            </w:tcBorders>
            <w:shd w:val="clear" w:color="auto" w:fill="auto"/>
          </w:tcPr>
          <w:p w14:paraId="4C16EE5F" w14:textId="77777777" w:rsidR="009D4A93" w:rsidRPr="00536CFD" w:rsidRDefault="009D4A93" w:rsidP="009D4A93">
            <w:pPr>
              <w:keepLines/>
              <w:spacing w:after="0"/>
              <w:jc w:val="center"/>
            </w:pPr>
            <w:r w:rsidRPr="00536CFD">
              <w:rPr>
                <w:lang w:val="zh-CN"/>
              </w:rPr>
              <w:t>12.749</w:t>
            </w:r>
          </w:p>
        </w:tc>
        <w:tc>
          <w:tcPr>
            <w:tcW w:w="810" w:type="dxa"/>
            <w:tcBorders>
              <w:top w:val="single" w:sz="4" w:space="0" w:color="auto"/>
              <w:left w:val="nil"/>
              <w:bottom w:val="single" w:sz="4" w:space="0" w:color="auto"/>
              <w:right w:val="single" w:sz="4" w:space="0" w:color="auto"/>
            </w:tcBorders>
            <w:shd w:val="clear" w:color="auto" w:fill="auto"/>
          </w:tcPr>
          <w:p w14:paraId="26C3859C" w14:textId="77777777" w:rsidR="009D4A93" w:rsidRPr="00536CFD" w:rsidRDefault="009D4A93" w:rsidP="009D4A93">
            <w:pPr>
              <w:keepLines/>
              <w:spacing w:after="0"/>
              <w:jc w:val="center"/>
            </w:pPr>
            <w:r w:rsidRPr="00536CFD">
              <w:rPr>
                <w:lang w:val="zh-CN"/>
              </w:rPr>
              <w:t>20.9086</w:t>
            </w:r>
          </w:p>
        </w:tc>
        <w:tc>
          <w:tcPr>
            <w:tcW w:w="810" w:type="dxa"/>
            <w:tcBorders>
              <w:top w:val="single" w:sz="4" w:space="0" w:color="auto"/>
              <w:left w:val="nil"/>
              <w:bottom w:val="single" w:sz="4" w:space="0" w:color="auto"/>
              <w:right w:val="single" w:sz="4" w:space="0" w:color="auto"/>
            </w:tcBorders>
            <w:shd w:val="clear" w:color="auto" w:fill="auto"/>
          </w:tcPr>
          <w:p w14:paraId="35E97602" w14:textId="77777777" w:rsidR="009D4A93" w:rsidRPr="00536CFD" w:rsidRDefault="009D4A93" w:rsidP="009D4A93">
            <w:pPr>
              <w:keepLines/>
              <w:spacing w:after="0"/>
              <w:jc w:val="center"/>
            </w:pPr>
            <w:r w:rsidRPr="00536CFD">
              <w:rPr>
                <w:lang w:val="zh-CN"/>
              </w:rPr>
              <w:t>19.582</w:t>
            </w:r>
          </w:p>
        </w:tc>
        <w:tc>
          <w:tcPr>
            <w:tcW w:w="820" w:type="dxa"/>
            <w:tcBorders>
              <w:top w:val="single" w:sz="4" w:space="0" w:color="auto"/>
              <w:left w:val="nil"/>
              <w:bottom w:val="single" w:sz="4" w:space="0" w:color="auto"/>
              <w:right w:val="single" w:sz="4" w:space="0" w:color="auto"/>
            </w:tcBorders>
            <w:shd w:val="clear" w:color="auto" w:fill="auto"/>
          </w:tcPr>
          <w:p w14:paraId="5860F761" w14:textId="77777777" w:rsidR="009D4A93" w:rsidRPr="00536CFD" w:rsidRDefault="009D4A93" w:rsidP="009D4A93">
            <w:pPr>
              <w:keepLines/>
              <w:spacing w:after="0"/>
              <w:jc w:val="center"/>
            </w:pPr>
            <w:r w:rsidRPr="00536CFD">
              <w:rPr>
                <w:lang w:val="zh-CN"/>
              </w:rPr>
              <w:t>42.015</w:t>
            </w:r>
          </w:p>
        </w:tc>
        <w:tc>
          <w:tcPr>
            <w:tcW w:w="800" w:type="dxa"/>
            <w:tcBorders>
              <w:top w:val="single" w:sz="4" w:space="0" w:color="auto"/>
              <w:left w:val="nil"/>
              <w:bottom w:val="single" w:sz="4" w:space="0" w:color="auto"/>
              <w:right w:val="single" w:sz="4" w:space="0" w:color="auto"/>
            </w:tcBorders>
            <w:shd w:val="clear" w:color="auto" w:fill="auto"/>
          </w:tcPr>
          <w:p w14:paraId="1AFF171D" w14:textId="77777777" w:rsidR="009D4A93" w:rsidRPr="00536CFD" w:rsidRDefault="009D4A93" w:rsidP="009D4A93">
            <w:pPr>
              <w:keepLines/>
              <w:spacing w:after="0"/>
              <w:jc w:val="center"/>
            </w:pPr>
            <w:r w:rsidRPr="00536CFD">
              <w:rPr>
                <w:lang w:val="zh-CN"/>
              </w:rPr>
              <w:t>6.059</w:t>
            </w:r>
          </w:p>
        </w:tc>
        <w:tc>
          <w:tcPr>
            <w:tcW w:w="720" w:type="dxa"/>
            <w:tcBorders>
              <w:top w:val="single" w:sz="4" w:space="0" w:color="auto"/>
              <w:left w:val="nil"/>
              <w:bottom w:val="single" w:sz="4" w:space="0" w:color="auto"/>
              <w:right w:val="single" w:sz="4" w:space="0" w:color="auto"/>
            </w:tcBorders>
            <w:shd w:val="clear" w:color="auto" w:fill="auto"/>
          </w:tcPr>
          <w:p w14:paraId="472662F7" w14:textId="77777777" w:rsidR="009D4A93" w:rsidRPr="00536CFD" w:rsidRDefault="009D4A93" w:rsidP="009D4A93">
            <w:pPr>
              <w:keepLines/>
              <w:spacing w:after="0"/>
              <w:jc w:val="center"/>
            </w:pPr>
            <w:r w:rsidRPr="00536CFD">
              <w:rPr>
                <w:lang w:val="zh-CN"/>
              </w:rPr>
              <w:t>24.4146</w:t>
            </w:r>
          </w:p>
        </w:tc>
        <w:tc>
          <w:tcPr>
            <w:tcW w:w="724" w:type="dxa"/>
            <w:tcBorders>
              <w:top w:val="single" w:sz="4" w:space="0" w:color="auto"/>
              <w:left w:val="nil"/>
              <w:bottom w:val="single" w:sz="4" w:space="0" w:color="auto"/>
              <w:right w:val="single" w:sz="4" w:space="0" w:color="auto"/>
            </w:tcBorders>
            <w:shd w:val="clear" w:color="auto" w:fill="auto"/>
          </w:tcPr>
          <w:p w14:paraId="26AF76BF" w14:textId="77777777" w:rsidR="009D4A93" w:rsidRPr="00536CFD" w:rsidRDefault="009D4A93" w:rsidP="009D4A93">
            <w:pPr>
              <w:keepLines/>
              <w:spacing w:after="0"/>
              <w:jc w:val="center"/>
            </w:pPr>
            <w:r w:rsidRPr="00536CFD">
              <w:rPr>
                <w:lang w:val="zh-CN"/>
              </w:rPr>
              <w:t>7.768</w:t>
            </w:r>
          </w:p>
        </w:tc>
        <w:tc>
          <w:tcPr>
            <w:tcW w:w="896" w:type="dxa"/>
            <w:tcBorders>
              <w:top w:val="single" w:sz="4" w:space="0" w:color="auto"/>
              <w:left w:val="nil"/>
              <w:bottom w:val="single" w:sz="4" w:space="0" w:color="auto"/>
              <w:right w:val="single" w:sz="4" w:space="0" w:color="auto"/>
            </w:tcBorders>
            <w:shd w:val="clear" w:color="auto" w:fill="auto"/>
          </w:tcPr>
          <w:p w14:paraId="346B4F22" w14:textId="77777777" w:rsidR="009D4A93" w:rsidRPr="00536CFD" w:rsidRDefault="009D4A93" w:rsidP="009D4A93">
            <w:pPr>
              <w:keepLines/>
              <w:spacing w:after="0"/>
              <w:jc w:val="center"/>
            </w:pPr>
            <w:r w:rsidRPr="00536CFD">
              <w:rPr>
                <w:lang w:val="zh-CN"/>
              </w:rPr>
              <w:t>42.348</w:t>
            </w:r>
          </w:p>
        </w:tc>
        <w:tc>
          <w:tcPr>
            <w:tcW w:w="720" w:type="dxa"/>
            <w:tcBorders>
              <w:top w:val="single" w:sz="4" w:space="0" w:color="auto"/>
              <w:left w:val="nil"/>
              <w:bottom w:val="single" w:sz="4" w:space="0" w:color="auto"/>
              <w:right w:val="single" w:sz="4" w:space="0" w:color="auto"/>
            </w:tcBorders>
            <w:shd w:val="clear" w:color="auto" w:fill="auto"/>
          </w:tcPr>
          <w:p w14:paraId="13C7ABB6" w14:textId="77777777" w:rsidR="009D4A93" w:rsidRPr="00536CFD" w:rsidRDefault="009D4A93" w:rsidP="009D4A93">
            <w:pPr>
              <w:keepLines/>
              <w:spacing w:after="0"/>
              <w:jc w:val="center"/>
            </w:pPr>
            <w:r w:rsidRPr="00536CFD">
              <w:rPr>
                <w:lang w:val="zh-CN"/>
              </w:rPr>
              <w:t>2.854</w:t>
            </w:r>
          </w:p>
        </w:tc>
        <w:tc>
          <w:tcPr>
            <w:tcW w:w="720" w:type="dxa"/>
            <w:tcBorders>
              <w:top w:val="single" w:sz="4" w:space="0" w:color="auto"/>
              <w:left w:val="nil"/>
              <w:bottom w:val="single" w:sz="4" w:space="0" w:color="auto"/>
              <w:right w:val="single" w:sz="4" w:space="0" w:color="auto"/>
            </w:tcBorders>
            <w:shd w:val="clear" w:color="auto" w:fill="auto"/>
          </w:tcPr>
          <w:p w14:paraId="6E132F38" w14:textId="77777777" w:rsidR="009D4A93" w:rsidRPr="00536CFD" w:rsidRDefault="009D4A93" w:rsidP="009D4A93">
            <w:pPr>
              <w:keepLines/>
              <w:spacing w:after="0"/>
              <w:jc w:val="center"/>
            </w:pPr>
            <w:r w:rsidRPr="00536CFD">
              <w:rPr>
                <w:lang w:val="zh-CN"/>
              </w:rPr>
              <w:t>24.2027</w:t>
            </w:r>
          </w:p>
        </w:tc>
      </w:tr>
      <w:tr w:rsidR="009D4A93" w:rsidRPr="00536CFD" w14:paraId="06A1CBB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473FF33"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11213E1"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1D917C1A"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7152B15B" w14:textId="77777777" w:rsidR="009D4A93" w:rsidRPr="00536CFD" w:rsidRDefault="009D4A93" w:rsidP="009D4A93">
            <w:pPr>
              <w:keepLines/>
              <w:spacing w:after="0"/>
              <w:jc w:val="center"/>
            </w:pPr>
            <w:r w:rsidRPr="00536CFD">
              <w:rPr>
                <w:lang w:val="zh-CN"/>
              </w:rPr>
              <w:t>51.341</w:t>
            </w:r>
          </w:p>
        </w:tc>
        <w:tc>
          <w:tcPr>
            <w:tcW w:w="720" w:type="dxa"/>
            <w:tcBorders>
              <w:top w:val="single" w:sz="4" w:space="0" w:color="auto"/>
              <w:left w:val="nil"/>
              <w:bottom w:val="single" w:sz="4" w:space="0" w:color="auto"/>
              <w:right w:val="single" w:sz="4" w:space="0" w:color="auto"/>
            </w:tcBorders>
            <w:shd w:val="clear" w:color="auto" w:fill="auto"/>
          </w:tcPr>
          <w:p w14:paraId="0C6AEDF1" w14:textId="77777777" w:rsidR="009D4A93" w:rsidRPr="00536CFD" w:rsidRDefault="009D4A93" w:rsidP="009D4A93">
            <w:pPr>
              <w:keepLines/>
              <w:spacing w:after="0"/>
              <w:jc w:val="center"/>
            </w:pPr>
            <w:r w:rsidRPr="00536CFD">
              <w:rPr>
                <w:lang w:val="zh-CN"/>
              </w:rPr>
              <w:t>58.429</w:t>
            </w:r>
          </w:p>
        </w:tc>
        <w:tc>
          <w:tcPr>
            <w:tcW w:w="720" w:type="dxa"/>
            <w:tcBorders>
              <w:top w:val="single" w:sz="4" w:space="0" w:color="auto"/>
              <w:left w:val="nil"/>
              <w:bottom w:val="single" w:sz="4" w:space="0" w:color="auto"/>
              <w:right w:val="single" w:sz="4" w:space="0" w:color="auto"/>
            </w:tcBorders>
            <w:shd w:val="clear" w:color="auto" w:fill="auto"/>
          </w:tcPr>
          <w:p w14:paraId="7D36F004" w14:textId="77777777" w:rsidR="009D4A93" w:rsidRPr="00536CFD" w:rsidRDefault="009D4A93" w:rsidP="009D4A93">
            <w:pPr>
              <w:keepLines/>
              <w:spacing w:after="0"/>
              <w:jc w:val="center"/>
            </w:pPr>
            <w:r w:rsidRPr="00536CFD">
              <w:rPr>
                <w:lang w:val="zh-CN"/>
              </w:rPr>
              <w:t>44.530</w:t>
            </w:r>
          </w:p>
        </w:tc>
        <w:tc>
          <w:tcPr>
            <w:tcW w:w="810" w:type="dxa"/>
            <w:tcBorders>
              <w:top w:val="single" w:sz="4" w:space="0" w:color="auto"/>
              <w:left w:val="nil"/>
              <w:bottom w:val="single" w:sz="4" w:space="0" w:color="auto"/>
              <w:right w:val="single" w:sz="4" w:space="0" w:color="auto"/>
            </w:tcBorders>
            <w:shd w:val="clear" w:color="auto" w:fill="auto"/>
          </w:tcPr>
          <w:p w14:paraId="3FA2D5DE" w14:textId="77777777" w:rsidR="009D4A93" w:rsidRPr="00536CFD" w:rsidRDefault="009D4A93" w:rsidP="009D4A93">
            <w:pPr>
              <w:keepLines/>
              <w:spacing w:after="0"/>
              <w:jc w:val="center"/>
            </w:pPr>
            <w:r w:rsidRPr="00536CFD">
              <w:rPr>
                <w:lang w:val="zh-CN"/>
              </w:rPr>
              <w:t>83.6427</w:t>
            </w:r>
          </w:p>
        </w:tc>
        <w:tc>
          <w:tcPr>
            <w:tcW w:w="810" w:type="dxa"/>
            <w:tcBorders>
              <w:top w:val="single" w:sz="4" w:space="0" w:color="auto"/>
              <w:left w:val="nil"/>
              <w:bottom w:val="single" w:sz="4" w:space="0" w:color="auto"/>
              <w:right w:val="single" w:sz="4" w:space="0" w:color="auto"/>
            </w:tcBorders>
            <w:shd w:val="clear" w:color="auto" w:fill="auto"/>
          </w:tcPr>
          <w:p w14:paraId="64F38EC5" w14:textId="77777777" w:rsidR="009D4A93" w:rsidRPr="00536CFD" w:rsidRDefault="009D4A93" w:rsidP="009D4A93">
            <w:pPr>
              <w:keepLines/>
              <w:spacing w:after="0"/>
              <w:jc w:val="center"/>
            </w:pPr>
            <w:r w:rsidRPr="00536CFD">
              <w:rPr>
                <w:lang w:val="zh-CN"/>
              </w:rPr>
              <w:t>32.045</w:t>
            </w:r>
          </w:p>
        </w:tc>
        <w:tc>
          <w:tcPr>
            <w:tcW w:w="820" w:type="dxa"/>
            <w:tcBorders>
              <w:top w:val="single" w:sz="4" w:space="0" w:color="auto"/>
              <w:left w:val="nil"/>
              <w:bottom w:val="single" w:sz="4" w:space="0" w:color="auto"/>
              <w:right w:val="single" w:sz="4" w:space="0" w:color="auto"/>
            </w:tcBorders>
            <w:shd w:val="clear" w:color="auto" w:fill="auto"/>
          </w:tcPr>
          <w:p w14:paraId="6EB915B2" w14:textId="77777777" w:rsidR="009D4A93" w:rsidRPr="00536CFD" w:rsidRDefault="009D4A93" w:rsidP="009D4A93">
            <w:pPr>
              <w:keepLines/>
              <w:spacing w:after="0"/>
              <w:jc w:val="center"/>
            </w:pPr>
            <w:r w:rsidRPr="00536CFD">
              <w:rPr>
                <w:lang w:val="zh-CN"/>
              </w:rPr>
              <w:t>51.229</w:t>
            </w:r>
          </w:p>
        </w:tc>
        <w:tc>
          <w:tcPr>
            <w:tcW w:w="800" w:type="dxa"/>
            <w:tcBorders>
              <w:top w:val="single" w:sz="4" w:space="0" w:color="auto"/>
              <w:left w:val="nil"/>
              <w:bottom w:val="single" w:sz="4" w:space="0" w:color="auto"/>
              <w:right w:val="single" w:sz="4" w:space="0" w:color="auto"/>
            </w:tcBorders>
            <w:shd w:val="clear" w:color="auto" w:fill="auto"/>
          </w:tcPr>
          <w:p w14:paraId="4D8250B7" w14:textId="77777777" w:rsidR="009D4A93" w:rsidRPr="00536CFD" w:rsidRDefault="009D4A93" w:rsidP="009D4A93">
            <w:pPr>
              <w:keepLines/>
              <w:spacing w:after="0"/>
              <w:jc w:val="center"/>
            </w:pPr>
            <w:r w:rsidRPr="00536CFD">
              <w:rPr>
                <w:lang w:val="zh-CN"/>
              </w:rPr>
              <w:t>30.037</w:t>
            </w:r>
          </w:p>
        </w:tc>
        <w:tc>
          <w:tcPr>
            <w:tcW w:w="720" w:type="dxa"/>
            <w:tcBorders>
              <w:top w:val="single" w:sz="4" w:space="0" w:color="auto"/>
              <w:left w:val="nil"/>
              <w:bottom w:val="single" w:sz="4" w:space="0" w:color="auto"/>
              <w:right w:val="single" w:sz="4" w:space="0" w:color="auto"/>
            </w:tcBorders>
            <w:shd w:val="clear" w:color="auto" w:fill="auto"/>
          </w:tcPr>
          <w:p w14:paraId="1B5F4A7C" w14:textId="77777777" w:rsidR="009D4A93" w:rsidRPr="00536CFD" w:rsidRDefault="009D4A93" w:rsidP="009D4A93">
            <w:pPr>
              <w:keepLines/>
              <w:spacing w:after="0"/>
              <w:jc w:val="center"/>
            </w:pPr>
            <w:r w:rsidRPr="00536CFD">
              <w:rPr>
                <w:lang w:val="zh-CN"/>
              </w:rPr>
              <w:t>78.1366</w:t>
            </w:r>
          </w:p>
        </w:tc>
        <w:tc>
          <w:tcPr>
            <w:tcW w:w="724" w:type="dxa"/>
            <w:tcBorders>
              <w:top w:val="single" w:sz="4" w:space="0" w:color="auto"/>
              <w:left w:val="nil"/>
              <w:bottom w:val="single" w:sz="4" w:space="0" w:color="auto"/>
              <w:right w:val="single" w:sz="4" w:space="0" w:color="auto"/>
            </w:tcBorders>
            <w:shd w:val="clear" w:color="auto" w:fill="auto"/>
          </w:tcPr>
          <w:p w14:paraId="31B92DE5" w14:textId="77777777" w:rsidR="009D4A93" w:rsidRPr="00536CFD" w:rsidRDefault="009D4A93" w:rsidP="009D4A93">
            <w:pPr>
              <w:keepLines/>
              <w:spacing w:after="0"/>
              <w:jc w:val="center"/>
            </w:pPr>
            <w:r w:rsidRPr="00536CFD">
              <w:rPr>
                <w:lang w:val="zh-CN"/>
              </w:rPr>
              <w:t>22.447</w:t>
            </w:r>
          </w:p>
        </w:tc>
        <w:tc>
          <w:tcPr>
            <w:tcW w:w="896" w:type="dxa"/>
            <w:tcBorders>
              <w:top w:val="single" w:sz="4" w:space="0" w:color="auto"/>
              <w:left w:val="nil"/>
              <w:bottom w:val="single" w:sz="4" w:space="0" w:color="auto"/>
              <w:right w:val="single" w:sz="4" w:space="0" w:color="auto"/>
            </w:tcBorders>
            <w:shd w:val="clear" w:color="auto" w:fill="auto"/>
          </w:tcPr>
          <w:p w14:paraId="28228289" w14:textId="77777777" w:rsidR="009D4A93" w:rsidRPr="00536CFD" w:rsidRDefault="009D4A93" w:rsidP="009D4A93">
            <w:pPr>
              <w:keepLines/>
              <w:spacing w:after="0"/>
              <w:jc w:val="center"/>
            </w:pPr>
            <w:r w:rsidRPr="00536CFD">
              <w:rPr>
                <w:lang w:val="zh-CN"/>
              </w:rPr>
              <w:t>49.634</w:t>
            </w:r>
          </w:p>
        </w:tc>
        <w:tc>
          <w:tcPr>
            <w:tcW w:w="720" w:type="dxa"/>
            <w:tcBorders>
              <w:top w:val="single" w:sz="4" w:space="0" w:color="auto"/>
              <w:left w:val="nil"/>
              <w:bottom w:val="single" w:sz="4" w:space="0" w:color="auto"/>
              <w:right w:val="single" w:sz="4" w:space="0" w:color="auto"/>
            </w:tcBorders>
            <w:shd w:val="clear" w:color="auto" w:fill="auto"/>
          </w:tcPr>
          <w:p w14:paraId="4EF67B2A" w14:textId="77777777" w:rsidR="009D4A93" w:rsidRPr="00536CFD" w:rsidRDefault="009D4A93" w:rsidP="009D4A93">
            <w:pPr>
              <w:keepLines/>
              <w:spacing w:after="0"/>
              <w:jc w:val="center"/>
            </w:pPr>
            <w:r w:rsidRPr="00536CFD">
              <w:rPr>
                <w:lang w:val="zh-CN"/>
              </w:rPr>
              <w:t>15.259</w:t>
            </w:r>
          </w:p>
        </w:tc>
        <w:tc>
          <w:tcPr>
            <w:tcW w:w="720" w:type="dxa"/>
            <w:tcBorders>
              <w:top w:val="single" w:sz="4" w:space="0" w:color="auto"/>
              <w:left w:val="nil"/>
              <w:bottom w:val="single" w:sz="4" w:space="0" w:color="auto"/>
              <w:right w:val="single" w:sz="4" w:space="0" w:color="auto"/>
            </w:tcBorders>
            <w:shd w:val="clear" w:color="auto" w:fill="auto"/>
          </w:tcPr>
          <w:p w14:paraId="60DFD957" w14:textId="77777777" w:rsidR="009D4A93" w:rsidRPr="00536CFD" w:rsidRDefault="009D4A93" w:rsidP="009D4A93">
            <w:pPr>
              <w:keepLines/>
              <w:spacing w:after="0"/>
              <w:jc w:val="center"/>
            </w:pPr>
            <w:r w:rsidRPr="00536CFD">
              <w:rPr>
                <w:lang w:val="zh-CN"/>
              </w:rPr>
              <w:t>75.6554</w:t>
            </w:r>
          </w:p>
        </w:tc>
      </w:tr>
      <w:tr w:rsidR="009D4A93" w:rsidRPr="00536CFD" w14:paraId="119DF10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8107DDA"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BB8D647"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7D0169EF"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3A49F7AD" w14:textId="77777777" w:rsidR="009D4A93" w:rsidRPr="00536CFD" w:rsidRDefault="009D4A93" w:rsidP="009D4A93">
            <w:pPr>
              <w:keepLines/>
              <w:spacing w:after="0"/>
              <w:jc w:val="center"/>
            </w:pPr>
            <w:r w:rsidRPr="00536CFD">
              <w:rPr>
                <w:lang w:val="zh-CN"/>
              </w:rPr>
              <w:t>61.063</w:t>
            </w:r>
          </w:p>
        </w:tc>
        <w:tc>
          <w:tcPr>
            <w:tcW w:w="720" w:type="dxa"/>
            <w:tcBorders>
              <w:top w:val="single" w:sz="4" w:space="0" w:color="auto"/>
              <w:left w:val="nil"/>
              <w:bottom w:val="single" w:sz="4" w:space="0" w:color="auto"/>
              <w:right w:val="single" w:sz="4" w:space="0" w:color="auto"/>
            </w:tcBorders>
            <w:shd w:val="clear" w:color="auto" w:fill="auto"/>
          </w:tcPr>
          <w:p w14:paraId="42AF7972" w14:textId="77777777" w:rsidR="009D4A93" w:rsidRPr="00536CFD" w:rsidRDefault="009D4A93" w:rsidP="009D4A93">
            <w:pPr>
              <w:keepLines/>
              <w:spacing w:after="0"/>
              <w:jc w:val="center"/>
            </w:pPr>
            <w:r w:rsidRPr="00536CFD">
              <w:rPr>
                <w:lang w:val="zh-CN"/>
              </w:rPr>
              <w:t>64.120</w:t>
            </w:r>
          </w:p>
        </w:tc>
        <w:tc>
          <w:tcPr>
            <w:tcW w:w="720" w:type="dxa"/>
            <w:tcBorders>
              <w:top w:val="single" w:sz="4" w:space="0" w:color="auto"/>
              <w:left w:val="nil"/>
              <w:bottom w:val="single" w:sz="4" w:space="0" w:color="auto"/>
              <w:right w:val="single" w:sz="4" w:space="0" w:color="auto"/>
            </w:tcBorders>
            <w:shd w:val="clear" w:color="auto" w:fill="auto"/>
          </w:tcPr>
          <w:p w14:paraId="60D2DCD5" w14:textId="77777777" w:rsidR="009D4A93" w:rsidRPr="00536CFD" w:rsidRDefault="009D4A93" w:rsidP="009D4A93">
            <w:pPr>
              <w:keepLines/>
              <w:spacing w:after="0"/>
              <w:jc w:val="center"/>
            </w:pPr>
            <w:r w:rsidRPr="00536CFD">
              <w:rPr>
                <w:lang w:val="zh-CN"/>
              </w:rPr>
              <w:t>63.951</w:t>
            </w:r>
          </w:p>
        </w:tc>
        <w:tc>
          <w:tcPr>
            <w:tcW w:w="810" w:type="dxa"/>
            <w:tcBorders>
              <w:top w:val="single" w:sz="4" w:space="0" w:color="auto"/>
              <w:left w:val="nil"/>
              <w:bottom w:val="single" w:sz="4" w:space="0" w:color="auto"/>
              <w:right w:val="single" w:sz="4" w:space="0" w:color="auto"/>
            </w:tcBorders>
            <w:shd w:val="clear" w:color="auto" w:fill="auto"/>
          </w:tcPr>
          <w:p w14:paraId="146ED017" w14:textId="77777777" w:rsidR="009D4A93" w:rsidRPr="00536CFD" w:rsidRDefault="009D4A93" w:rsidP="009D4A93">
            <w:pPr>
              <w:keepLines/>
              <w:spacing w:after="0"/>
              <w:jc w:val="center"/>
            </w:pPr>
            <w:r w:rsidRPr="00536CFD">
              <w:rPr>
                <w:lang w:val="zh-CN"/>
              </w:rPr>
              <w:t>114.0128</w:t>
            </w:r>
          </w:p>
        </w:tc>
        <w:tc>
          <w:tcPr>
            <w:tcW w:w="810" w:type="dxa"/>
            <w:tcBorders>
              <w:top w:val="single" w:sz="4" w:space="0" w:color="auto"/>
              <w:left w:val="nil"/>
              <w:bottom w:val="single" w:sz="4" w:space="0" w:color="auto"/>
              <w:right w:val="single" w:sz="4" w:space="0" w:color="auto"/>
            </w:tcBorders>
            <w:shd w:val="clear" w:color="auto" w:fill="auto"/>
          </w:tcPr>
          <w:p w14:paraId="7A31CDBB" w14:textId="77777777" w:rsidR="009D4A93" w:rsidRPr="00536CFD" w:rsidRDefault="009D4A93" w:rsidP="009D4A93">
            <w:pPr>
              <w:keepLines/>
              <w:spacing w:after="0"/>
              <w:jc w:val="center"/>
            </w:pPr>
            <w:r w:rsidRPr="00536CFD">
              <w:rPr>
                <w:lang w:val="zh-CN"/>
              </w:rPr>
              <w:t>40.058</w:t>
            </w:r>
          </w:p>
        </w:tc>
        <w:tc>
          <w:tcPr>
            <w:tcW w:w="820" w:type="dxa"/>
            <w:tcBorders>
              <w:top w:val="single" w:sz="4" w:space="0" w:color="auto"/>
              <w:left w:val="nil"/>
              <w:bottom w:val="single" w:sz="4" w:space="0" w:color="auto"/>
              <w:right w:val="single" w:sz="4" w:space="0" w:color="auto"/>
            </w:tcBorders>
            <w:shd w:val="clear" w:color="auto" w:fill="auto"/>
          </w:tcPr>
          <w:p w14:paraId="63AE74CB" w14:textId="77777777" w:rsidR="009D4A93" w:rsidRPr="00536CFD" w:rsidRDefault="009D4A93" w:rsidP="009D4A93">
            <w:pPr>
              <w:keepLines/>
              <w:spacing w:after="0"/>
              <w:jc w:val="center"/>
            </w:pPr>
            <w:r w:rsidRPr="00536CFD">
              <w:rPr>
                <w:lang w:val="zh-CN"/>
              </w:rPr>
              <w:t>58.609</w:t>
            </w:r>
          </w:p>
        </w:tc>
        <w:tc>
          <w:tcPr>
            <w:tcW w:w="800" w:type="dxa"/>
            <w:tcBorders>
              <w:top w:val="single" w:sz="4" w:space="0" w:color="auto"/>
              <w:left w:val="nil"/>
              <w:bottom w:val="single" w:sz="4" w:space="0" w:color="auto"/>
              <w:right w:val="single" w:sz="4" w:space="0" w:color="auto"/>
            </w:tcBorders>
            <w:shd w:val="clear" w:color="auto" w:fill="auto"/>
          </w:tcPr>
          <w:p w14:paraId="36C3854F" w14:textId="77777777" w:rsidR="009D4A93" w:rsidRPr="00536CFD" w:rsidRDefault="009D4A93" w:rsidP="009D4A93">
            <w:pPr>
              <w:keepLines/>
              <w:spacing w:after="0"/>
              <w:jc w:val="center"/>
            </w:pPr>
            <w:r w:rsidRPr="00536CFD">
              <w:rPr>
                <w:lang w:val="zh-CN"/>
              </w:rPr>
              <w:t>47.489</w:t>
            </w:r>
          </w:p>
        </w:tc>
        <w:tc>
          <w:tcPr>
            <w:tcW w:w="720" w:type="dxa"/>
            <w:tcBorders>
              <w:top w:val="single" w:sz="4" w:space="0" w:color="auto"/>
              <w:left w:val="nil"/>
              <w:bottom w:val="single" w:sz="4" w:space="0" w:color="auto"/>
              <w:right w:val="single" w:sz="4" w:space="0" w:color="auto"/>
            </w:tcBorders>
            <w:shd w:val="clear" w:color="auto" w:fill="auto"/>
          </w:tcPr>
          <w:p w14:paraId="05DE0151" w14:textId="77777777" w:rsidR="009D4A93" w:rsidRPr="00536CFD" w:rsidRDefault="009D4A93" w:rsidP="009D4A93">
            <w:pPr>
              <w:keepLines/>
              <w:spacing w:after="0"/>
              <w:jc w:val="center"/>
            </w:pPr>
            <w:r w:rsidRPr="00536CFD">
              <w:rPr>
                <w:lang w:val="zh-CN"/>
              </w:rPr>
              <w:t>99.3320</w:t>
            </w:r>
          </w:p>
        </w:tc>
        <w:tc>
          <w:tcPr>
            <w:tcW w:w="724" w:type="dxa"/>
            <w:tcBorders>
              <w:top w:val="single" w:sz="4" w:space="0" w:color="auto"/>
              <w:left w:val="nil"/>
              <w:bottom w:val="single" w:sz="4" w:space="0" w:color="auto"/>
              <w:right w:val="single" w:sz="4" w:space="0" w:color="auto"/>
            </w:tcBorders>
            <w:shd w:val="clear" w:color="auto" w:fill="auto"/>
          </w:tcPr>
          <w:p w14:paraId="30E53D32" w14:textId="77777777" w:rsidR="009D4A93" w:rsidRPr="00536CFD" w:rsidRDefault="009D4A93" w:rsidP="009D4A93">
            <w:pPr>
              <w:keepLines/>
              <w:spacing w:after="0"/>
              <w:jc w:val="center"/>
            </w:pPr>
            <w:r w:rsidRPr="00536CFD">
              <w:rPr>
                <w:lang w:val="zh-CN"/>
              </w:rPr>
              <w:t>28.934</w:t>
            </w:r>
          </w:p>
        </w:tc>
        <w:tc>
          <w:tcPr>
            <w:tcW w:w="896" w:type="dxa"/>
            <w:tcBorders>
              <w:top w:val="single" w:sz="4" w:space="0" w:color="auto"/>
              <w:left w:val="nil"/>
              <w:bottom w:val="single" w:sz="4" w:space="0" w:color="auto"/>
              <w:right w:val="single" w:sz="4" w:space="0" w:color="auto"/>
            </w:tcBorders>
            <w:shd w:val="clear" w:color="auto" w:fill="auto"/>
          </w:tcPr>
          <w:p w14:paraId="6569668D" w14:textId="77777777" w:rsidR="009D4A93" w:rsidRPr="00536CFD" w:rsidRDefault="009D4A93" w:rsidP="009D4A93">
            <w:pPr>
              <w:keepLines/>
              <w:spacing w:after="0"/>
              <w:jc w:val="center"/>
            </w:pPr>
            <w:r w:rsidRPr="00536CFD">
              <w:rPr>
                <w:lang w:val="zh-CN"/>
              </w:rPr>
              <w:t>55.007</w:t>
            </w:r>
          </w:p>
        </w:tc>
        <w:tc>
          <w:tcPr>
            <w:tcW w:w="720" w:type="dxa"/>
            <w:tcBorders>
              <w:top w:val="single" w:sz="4" w:space="0" w:color="auto"/>
              <w:left w:val="nil"/>
              <w:bottom w:val="single" w:sz="4" w:space="0" w:color="auto"/>
              <w:right w:val="single" w:sz="4" w:space="0" w:color="auto"/>
            </w:tcBorders>
            <w:shd w:val="clear" w:color="auto" w:fill="auto"/>
          </w:tcPr>
          <w:p w14:paraId="179022B1" w14:textId="77777777" w:rsidR="009D4A93" w:rsidRPr="00536CFD" w:rsidRDefault="009D4A93" w:rsidP="009D4A93">
            <w:pPr>
              <w:keepLines/>
              <w:spacing w:after="0"/>
              <w:jc w:val="center"/>
            </w:pPr>
            <w:r w:rsidRPr="00536CFD">
              <w:rPr>
                <w:lang w:val="zh-CN"/>
              </w:rPr>
              <w:t>36.573</w:t>
            </w:r>
          </w:p>
        </w:tc>
        <w:tc>
          <w:tcPr>
            <w:tcW w:w="720" w:type="dxa"/>
            <w:tcBorders>
              <w:top w:val="single" w:sz="4" w:space="0" w:color="auto"/>
              <w:left w:val="nil"/>
              <w:bottom w:val="single" w:sz="4" w:space="0" w:color="auto"/>
              <w:right w:val="single" w:sz="4" w:space="0" w:color="auto"/>
            </w:tcBorders>
            <w:shd w:val="clear" w:color="auto" w:fill="auto"/>
          </w:tcPr>
          <w:p w14:paraId="0F8F9042" w14:textId="77777777" w:rsidR="009D4A93" w:rsidRPr="00536CFD" w:rsidRDefault="009D4A93" w:rsidP="009D4A93">
            <w:pPr>
              <w:keepLines/>
              <w:spacing w:after="0"/>
              <w:jc w:val="center"/>
            </w:pPr>
            <w:r w:rsidRPr="00536CFD">
              <w:rPr>
                <w:lang w:val="zh-CN"/>
              </w:rPr>
              <w:t>100.7447</w:t>
            </w:r>
          </w:p>
        </w:tc>
      </w:tr>
      <w:tr w:rsidR="009D4A93" w:rsidRPr="00536CFD" w14:paraId="0F6510A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3350E42"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570DCF5"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65D97AE5"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634C7F80" w14:textId="77777777" w:rsidR="009D4A93" w:rsidRPr="00536CFD" w:rsidRDefault="009D4A93" w:rsidP="009D4A93">
            <w:pPr>
              <w:keepLines/>
              <w:spacing w:after="0"/>
              <w:jc w:val="center"/>
            </w:pPr>
            <w:r w:rsidRPr="00536CFD">
              <w:rPr>
                <w:lang w:val="zh-CN"/>
              </w:rPr>
              <w:t>51.903</w:t>
            </w:r>
          </w:p>
        </w:tc>
        <w:tc>
          <w:tcPr>
            <w:tcW w:w="720" w:type="dxa"/>
            <w:tcBorders>
              <w:top w:val="single" w:sz="4" w:space="0" w:color="auto"/>
              <w:left w:val="nil"/>
              <w:bottom w:val="single" w:sz="4" w:space="0" w:color="auto"/>
              <w:right w:val="single" w:sz="4" w:space="0" w:color="auto"/>
            </w:tcBorders>
            <w:shd w:val="clear" w:color="auto" w:fill="auto"/>
          </w:tcPr>
          <w:p w14:paraId="08C44950" w14:textId="77777777" w:rsidR="009D4A93" w:rsidRPr="00536CFD" w:rsidRDefault="009D4A93" w:rsidP="009D4A93">
            <w:pPr>
              <w:keepLines/>
              <w:spacing w:after="0"/>
              <w:jc w:val="center"/>
            </w:pPr>
            <w:r w:rsidRPr="00536CFD">
              <w:rPr>
                <w:lang w:val="zh-CN"/>
              </w:rPr>
              <w:t>59.083</w:t>
            </w:r>
          </w:p>
        </w:tc>
        <w:tc>
          <w:tcPr>
            <w:tcW w:w="720" w:type="dxa"/>
            <w:tcBorders>
              <w:top w:val="single" w:sz="4" w:space="0" w:color="auto"/>
              <w:left w:val="nil"/>
              <w:bottom w:val="single" w:sz="4" w:space="0" w:color="auto"/>
              <w:right w:val="single" w:sz="4" w:space="0" w:color="auto"/>
            </w:tcBorders>
            <w:shd w:val="clear" w:color="auto" w:fill="auto"/>
          </w:tcPr>
          <w:p w14:paraId="6D3D468B" w14:textId="77777777" w:rsidR="009D4A93" w:rsidRPr="00536CFD" w:rsidRDefault="009D4A93" w:rsidP="009D4A93">
            <w:pPr>
              <w:keepLines/>
              <w:spacing w:after="0"/>
              <w:jc w:val="center"/>
            </w:pPr>
            <w:r w:rsidRPr="00536CFD">
              <w:rPr>
                <w:lang w:val="zh-CN"/>
              </w:rPr>
              <w:t>47.601</w:t>
            </w:r>
          </w:p>
        </w:tc>
        <w:tc>
          <w:tcPr>
            <w:tcW w:w="810" w:type="dxa"/>
            <w:tcBorders>
              <w:top w:val="single" w:sz="4" w:space="0" w:color="auto"/>
              <w:left w:val="nil"/>
              <w:bottom w:val="single" w:sz="4" w:space="0" w:color="auto"/>
              <w:right w:val="single" w:sz="4" w:space="0" w:color="auto"/>
            </w:tcBorders>
            <w:shd w:val="clear" w:color="auto" w:fill="auto"/>
          </w:tcPr>
          <w:p w14:paraId="62C84372" w14:textId="77777777" w:rsidR="009D4A93" w:rsidRPr="00536CFD" w:rsidRDefault="009D4A93" w:rsidP="009D4A93">
            <w:pPr>
              <w:keepLines/>
              <w:spacing w:after="0"/>
              <w:jc w:val="center"/>
            </w:pPr>
            <w:r w:rsidRPr="00536CFD">
              <w:rPr>
                <w:lang w:val="zh-CN"/>
              </w:rPr>
              <w:t>76.3185</w:t>
            </w:r>
          </w:p>
        </w:tc>
        <w:tc>
          <w:tcPr>
            <w:tcW w:w="810" w:type="dxa"/>
            <w:tcBorders>
              <w:top w:val="single" w:sz="4" w:space="0" w:color="auto"/>
              <w:left w:val="nil"/>
              <w:bottom w:val="single" w:sz="4" w:space="0" w:color="auto"/>
              <w:right w:val="single" w:sz="4" w:space="0" w:color="auto"/>
            </w:tcBorders>
            <w:shd w:val="clear" w:color="auto" w:fill="auto"/>
          </w:tcPr>
          <w:p w14:paraId="37D05D7B" w14:textId="77777777" w:rsidR="009D4A93" w:rsidRPr="00536CFD" w:rsidRDefault="009D4A93" w:rsidP="009D4A93">
            <w:pPr>
              <w:keepLines/>
              <w:spacing w:after="0"/>
              <w:jc w:val="center"/>
            </w:pPr>
            <w:r w:rsidRPr="00536CFD">
              <w:rPr>
                <w:lang w:val="zh-CN"/>
              </w:rPr>
              <w:t>32.107</w:t>
            </w:r>
          </w:p>
        </w:tc>
        <w:tc>
          <w:tcPr>
            <w:tcW w:w="820" w:type="dxa"/>
            <w:tcBorders>
              <w:top w:val="single" w:sz="4" w:space="0" w:color="auto"/>
              <w:left w:val="nil"/>
              <w:bottom w:val="single" w:sz="4" w:space="0" w:color="auto"/>
              <w:right w:val="single" w:sz="4" w:space="0" w:color="auto"/>
            </w:tcBorders>
            <w:shd w:val="clear" w:color="auto" w:fill="auto"/>
          </w:tcPr>
          <w:p w14:paraId="4F9F1532" w14:textId="77777777" w:rsidR="009D4A93" w:rsidRPr="00536CFD" w:rsidRDefault="009D4A93" w:rsidP="009D4A93">
            <w:pPr>
              <w:keepLines/>
              <w:spacing w:after="0"/>
              <w:jc w:val="center"/>
            </w:pPr>
            <w:r w:rsidRPr="00536CFD">
              <w:rPr>
                <w:lang w:val="zh-CN"/>
              </w:rPr>
              <w:t>52.505</w:t>
            </w:r>
          </w:p>
        </w:tc>
        <w:tc>
          <w:tcPr>
            <w:tcW w:w="800" w:type="dxa"/>
            <w:tcBorders>
              <w:top w:val="single" w:sz="4" w:space="0" w:color="auto"/>
              <w:left w:val="nil"/>
              <w:bottom w:val="single" w:sz="4" w:space="0" w:color="auto"/>
              <w:right w:val="single" w:sz="4" w:space="0" w:color="auto"/>
            </w:tcBorders>
            <w:shd w:val="clear" w:color="auto" w:fill="auto"/>
          </w:tcPr>
          <w:p w14:paraId="24FCED04" w14:textId="77777777" w:rsidR="009D4A93" w:rsidRPr="00536CFD" w:rsidRDefault="009D4A93" w:rsidP="009D4A93">
            <w:pPr>
              <w:keepLines/>
              <w:spacing w:after="0"/>
              <w:jc w:val="center"/>
            </w:pPr>
            <w:r w:rsidRPr="00536CFD">
              <w:rPr>
                <w:lang w:val="zh-CN"/>
              </w:rPr>
              <w:t>32.781</w:t>
            </w:r>
          </w:p>
        </w:tc>
        <w:tc>
          <w:tcPr>
            <w:tcW w:w="720" w:type="dxa"/>
            <w:tcBorders>
              <w:top w:val="single" w:sz="4" w:space="0" w:color="auto"/>
              <w:left w:val="nil"/>
              <w:bottom w:val="single" w:sz="4" w:space="0" w:color="auto"/>
              <w:right w:val="single" w:sz="4" w:space="0" w:color="auto"/>
            </w:tcBorders>
            <w:shd w:val="clear" w:color="auto" w:fill="auto"/>
          </w:tcPr>
          <w:p w14:paraId="161D81BB" w14:textId="77777777" w:rsidR="009D4A93" w:rsidRPr="00536CFD" w:rsidRDefault="009D4A93" w:rsidP="009D4A93">
            <w:pPr>
              <w:keepLines/>
              <w:spacing w:after="0"/>
              <w:jc w:val="center"/>
            </w:pPr>
            <w:r w:rsidRPr="00536CFD">
              <w:rPr>
                <w:lang w:val="zh-CN"/>
              </w:rPr>
              <w:t>72.6793</w:t>
            </w:r>
          </w:p>
        </w:tc>
        <w:tc>
          <w:tcPr>
            <w:tcW w:w="724" w:type="dxa"/>
            <w:tcBorders>
              <w:top w:val="single" w:sz="4" w:space="0" w:color="auto"/>
              <w:left w:val="nil"/>
              <w:bottom w:val="single" w:sz="4" w:space="0" w:color="auto"/>
              <w:right w:val="single" w:sz="4" w:space="0" w:color="auto"/>
            </w:tcBorders>
            <w:shd w:val="clear" w:color="auto" w:fill="auto"/>
          </w:tcPr>
          <w:p w14:paraId="05069D28" w14:textId="77777777" w:rsidR="009D4A93" w:rsidRPr="00536CFD" w:rsidRDefault="009D4A93" w:rsidP="009D4A93">
            <w:pPr>
              <w:keepLines/>
              <w:spacing w:after="0"/>
              <w:jc w:val="center"/>
            </w:pPr>
            <w:r w:rsidRPr="00536CFD">
              <w:rPr>
                <w:lang w:val="zh-CN"/>
              </w:rPr>
              <w:t>21.242</w:t>
            </w:r>
          </w:p>
        </w:tc>
        <w:tc>
          <w:tcPr>
            <w:tcW w:w="896" w:type="dxa"/>
            <w:tcBorders>
              <w:top w:val="single" w:sz="4" w:space="0" w:color="auto"/>
              <w:left w:val="nil"/>
              <w:bottom w:val="single" w:sz="4" w:space="0" w:color="auto"/>
              <w:right w:val="single" w:sz="4" w:space="0" w:color="auto"/>
            </w:tcBorders>
            <w:shd w:val="clear" w:color="auto" w:fill="auto"/>
          </w:tcPr>
          <w:p w14:paraId="69C7C02D" w14:textId="77777777" w:rsidR="009D4A93" w:rsidRPr="00536CFD" w:rsidRDefault="009D4A93" w:rsidP="009D4A93">
            <w:pPr>
              <w:keepLines/>
              <w:spacing w:after="0"/>
              <w:jc w:val="center"/>
            </w:pPr>
            <w:r w:rsidRPr="00536CFD">
              <w:rPr>
                <w:lang w:val="zh-CN"/>
              </w:rPr>
              <w:t>49.544</w:t>
            </w:r>
          </w:p>
        </w:tc>
        <w:tc>
          <w:tcPr>
            <w:tcW w:w="720" w:type="dxa"/>
            <w:tcBorders>
              <w:top w:val="single" w:sz="4" w:space="0" w:color="auto"/>
              <w:left w:val="nil"/>
              <w:bottom w:val="single" w:sz="4" w:space="0" w:color="auto"/>
              <w:right w:val="single" w:sz="4" w:space="0" w:color="auto"/>
            </w:tcBorders>
            <w:shd w:val="clear" w:color="auto" w:fill="auto"/>
          </w:tcPr>
          <w:p w14:paraId="2F24647A" w14:textId="77777777" w:rsidR="009D4A93" w:rsidRPr="00536CFD" w:rsidRDefault="009D4A93" w:rsidP="009D4A93">
            <w:pPr>
              <w:keepLines/>
              <w:spacing w:after="0"/>
              <w:jc w:val="center"/>
            </w:pPr>
            <w:r w:rsidRPr="00536CFD">
              <w:rPr>
                <w:lang w:val="zh-CN"/>
              </w:rPr>
              <w:t>21.404</w:t>
            </w:r>
          </w:p>
        </w:tc>
        <w:tc>
          <w:tcPr>
            <w:tcW w:w="720" w:type="dxa"/>
            <w:tcBorders>
              <w:top w:val="single" w:sz="4" w:space="0" w:color="auto"/>
              <w:left w:val="nil"/>
              <w:bottom w:val="single" w:sz="4" w:space="0" w:color="auto"/>
              <w:right w:val="single" w:sz="4" w:space="0" w:color="auto"/>
            </w:tcBorders>
            <w:shd w:val="clear" w:color="auto" w:fill="auto"/>
          </w:tcPr>
          <w:p w14:paraId="222F65E7" w14:textId="77777777" w:rsidR="009D4A93" w:rsidRPr="00536CFD" w:rsidRDefault="009D4A93" w:rsidP="009D4A93">
            <w:pPr>
              <w:keepLines/>
              <w:spacing w:after="0"/>
              <w:jc w:val="center"/>
            </w:pPr>
            <w:r w:rsidRPr="00536CFD">
              <w:rPr>
                <w:lang w:val="zh-CN"/>
              </w:rPr>
              <w:t>70.5092</w:t>
            </w:r>
          </w:p>
        </w:tc>
      </w:tr>
      <w:tr w:rsidR="009D4A93" w:rsidRPr="00536CFD" w14:paraId="0639F25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33BD5CB" w14:textId="77777777" w:rsidR="009D4A93" w:rsidRPr="00536CFD" w:rsidRDefault="009D4A93" w:rsidP="009D4A93">
            <w:pPr>
              <w:keepLines/>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19859667"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34E7B619"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3841BE44"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4D2D00BB"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5281F174" w14:textId="77777777" w:rsidR="009D4A93" w:rsidRPr="00536CFD" w:rsidRDefault="009D4A93" w:rsidP="009D4A93">
            <w:pPr>
              <w:keepLines/>
              <w:spacing w:after="0"/>
              <w:jc w:val="center"/>
            </w:pPr>
            <w:r w:rsidRPr="00536CFD">
              <w:rPr>
                <w:lang w:val="zh-CN"/>
              </w:rPr>
              <w:t>0.047</w:t>
            </w:r>
          </w:p>
        </w:tc>
        <w:tc>
          <w:tcPr>
            <w:tcW w:w="810" w:type="dxa"/>
            <w:tcBorders>
              <w:top w:val="single" w:sz="4" w:space="0" w:color="auto"/>
              <w:left w:val="nil"/>
              <w:bottom w:val="single" w:sz="4" w:space="0" w:color="auto"/>
              <w:right w:val="single" w:sz="4" w:space="0" w:color="auto"/>
            </w:tcBorders>
            <w:shd w:val="clear" w:color="auto" w:fill="auto"/>
          </w:tcPr>
          <w:p w14:paraId="5E18E214" w14:textId="77777777" w:rsidR="009D4A93" w:rsidRPr="00536CFD" w:rsidRDefault="009D4A93" w:rsidP="009D4A93">
            <w:pPr>
              <w:keepLines/>
              <w:spacing w:after="0"/>
              <w:jc w:val="center"/>
            </w:pPr>
            <w:r w:rsidRPr="00536CFD">
              <w:rPr>
                <w:lang w:val="zh-CN"/>
              </w:rPr>
              <w:t>0.034</w:t>
            </w:r>
          </w:p>
        </w:tc>
        <w:tc>
          <w:tcPr>
            <w:tcW w:w="810" w:type="dxa"/>
            <w:tcBorders>
              <w:top w:val="single" w:sz="4" w:space="0" w:color="auto"/>
              <w:left w:val="nil"/>
              <w:bottom w:val="single" w:sz="4" w:space="0" w:color="auto"/>
              <w:right w:val="single" w:sz="4" w:space="0" w:color="auto"/>
            </w:tcBorders>
            <w:shd w:val="clear" w:color="auto" w:fill="auto"/>
          </w:tcPr>
          <w:p w14:paraId="7BA60B87" w14:textId="77777777" w:rsidR="009D4A93" w:rsidRPr="00536CFD" w:rsidRDefault="009D4A93" w:rsidP="009D4A93">
            <w:pPr>
              <w:keepLines/>
              <w:spacing w:after="0"/>
              <w:jc w:val="center"/>
            </w:pPr>
            <w:r w:rsidRPr="00536CFD">
              <w:rPr>
                <w:lang w:val="zh-CN"/>
              </w:rPr>
              <w:t>0.061</w:t>
            </w:r>
          </w:p>
        </w:tc>
        <w:tc>
          <w:tcPr>
            <w:tcW w:w="820" w:type="dxa"/>
            <w:tcBorders>
              <w:top w:val="single" w:sz="4" w:space="0" w:color="auto"/>
              <w:left w:val="nil"/>
              <w:bottom w:val="single" w:sz="4" w:space="0" w:color="auto"/>
              <w:right w:val="single" w:sz="4" w:space="0" w:color="auto"/>
            </w:tcBorders>
            <w:shd w:val="clear" w:color="auto" w:fill="auto"/>
          </w:tcPr>
          <w:p w14:paraId="2C153A52" w14:textId="77777777" w:rsidR="009D4A93" w:rsidRPr="00536CFD" w:rsidRDefault="009D4A93" w:rsidP="009D4A93">
            <w:pPr>
              <w:keepLines/>
              <w:spacing w:after="0"/>
              <w:jc w:val="center"/>
            </w:pPr>
            <w:r w:rsidRPr="00536CFD">
              <w:rPr>
                <w:lang w:val="zh-CN"/>
              </w:rPr>
              <w:t>0.060</w:t>
            </w:r>
          </w:p>
        </w:tc>
        <w:tc>
          <w:tcPr>
            <w:tcW w:w="800" w:type="dxa"/>
            <w:tcBorders>
              <w:top w:val="single" w:sz="4" w:space="0" w:color="auto"/>
              <w:left w:val="nil"/>
              <w:bottom w:val="single" w:sz="4" w:space="0" w:color="auto"/>
              <w:right w:val="single" w:sz="4" w:space="0" w:color="auto"/>
            </w:tcBorders>
            <w:shd w:val="clear" w:color="auto" w:fill="auto"/>
          </w:tcPr>
          <w:p w14:paraId="456B346E" w14:textId="77777777" w:rsidR="009D4A93" w:rsidRPr="00536CFD" w:rsidRDefault="009D4A93" w:rsidP="009D4A93">
            <w:pPr>
              <w:keepLines/>
              <w:spacing w:after="0"/>
              <w:jc w:val="center"/>
            </w:pPr>
            <w:r w:rsidRPr="00536CFD">
              <w:rPr>
                <w:lang w:val="zh-CN"/>
              </w:rPr>
              <w:t>0.051</w:t>
            </w:r>
          </w:p>
        </w:tc>
        <w:tc>
          <w:tcPr>
            <w:tcW w:w="720" w:type="dxa"/>
            <w:tcBorders>
              <w:top w:val="single" w:sz="4" w:space="0" w:color="auto"/>
              <w:left w:val="nil"/>
              <w:bottom w:val="single" w:sz="4" w:space="0" w:color="auto"/>
              <w:right w:val="single" w:sz="4" w:space="0" w:color="auto"/>
            </w:tcBorders>
            <w:shd w:val="clear" w:color="auto" w:fill="auto"/>
          </w:tcPr>
          <w:p w14:paraId="3CC7353B" w14:textId="77777777" w:rsidR="009D4A93" w:rsidRPr="00536CFD" w:rsidRDefault="009D4A93" w:rsidP="009D4A93">
            <w:pPr>
              <w:keepLines/>
              <w:spacing w:after="0"/>
              <w:jc w:val="center"/>
            </w:pPr>
            <w:r w:rsidRPr="00536CFD">
              <w:rPr>
                <w:lang w:val="zh-CN"/>
              </w:rPr>
              <w:t>0.035</w:t>
            </w:r>
          </w:p>
        </w:tc>
        <w:tc>
          <w:tcPr>
            <w:tcW w:w="724" w:type="dxa"/>
            <w:tcBorders>
              <w:top w:val="single" w:sz="4" w:space="0" w:color="auto"/>
              <w:left w:val="nil"/>
              <w:bottom w:val="single" w:sz="4" w:space="0" w:color="auto"/>
              <w:right w:val="single" w:sz="4" w:space="0" w:color="auto"/>
            </w:tcBorders>
            <w:shd w:val="clear" w:color="auto" w:fill="auto"/>
          </w:tcPr>
          <w:p w14:paraId="4151E709" w14:textId="77777777" w:rsidR="009D4A93" w:rsidRPr="00536CFD" w:rsidRDefault="009D4A93" w:rsidP="009D4A93">
            <w:pPr>
              <w:keepLines/>
              <w:spacing w:after="0"/>
              <w:jc w:val="center"/>
            </w:pPr>
            <w:r w:rsidRPr="00536CFD">
              <w:rPr>
                <w:lang w:val="zh-CN"/>
              </w:rPr>
              <w:t>0.073</w:t>
            </w:r>
          </w:p>
        </w:tc>
        <w:tc>
          <w:tcPr>
            <w:tcW w:w="896" w:type="dxa"/>
            <w:tcBorders>
              <w:top w:val="single" w:sz="4" w:space="0" w:color="auto"/>
              <w:left w:val="nil"/>
              <w:bottom w:val="single" w:sz="4" w:space="0" w:color="auto"/>
              <w:right w:val="single" w:sz="4" w:space="0" w:color="auto"/>
            </w:tcBorders>
            <w:shd w:val="clear" w:color="auto" w:fill="auto"/>
          </w:tcPr>
          <w:p w14:paraId="7E190C7F"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2201683D"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2B08A8A1" w14:textId="77777777" w:rsidR="009D4A93" w:rsidRPr="00536CFD" w:rsidRDefault="009D4A93" w:rsidP="009D4A93">
            <w:pPr>
              <w:keepLines/>
              <w:spacing w:after="0"/>
              <w:jc w:val="center"/>
            </w:pPr>
            <w:r w:rsidRPr="00536CFD">
              <w:rPr>
                <w:lang w:val="zh-CN"/>
              </w:rPr>
              <w:t>0.035</w:t>
            </w:r>
          </w:p>
        </w:tc>
      </w:tr>
      <w:tr w:rsidR="009D4A93" w:rsidRPr="00536CFD" w14:paraId="07B360D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813DDBB"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D2E4A1E"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63DE2C0D"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5D4CCFAE" w14:textId="77777777" w:rsidR="009D4A93" w:rsidRPr="00536CFD" w:rsidRDefault="009D4A93" w:rsidP="009D4A93">
            <w:pPr>
              <w:keepLines/>
              <w:spacing w:after="0"/>
              <w:jc w:val="center"/>
            </w:pPr>
            <w:r w:rsidRPr="00536CFD">
              <w:rPr>
                <w:lang w:val="zh-CN"/>
              </w:rPr>
              <w:t>0.066</w:t>
            </w:r>
          </w:p>
        </w:tc>
        <w:tc>
          <w:tcPr>
            <w:tcW w:w="720" w:type="dxa"/>
            <w:tcBorders>
              <w:top w:val="single" w:sz="4" w:space="0" w:color="auto"/>
              <w:left w:val="nil"/>
              <w:bottom w:val="single" w:sz="4" w:space="0" w:color="auto"/>
              <w:right w:val="single" w:sz="4" w:space="0" w:color="auto"/>
            </w:tcBorders>
            <w:shd w:val="clear" w:color="auto" w:fill="auto"/>
          </w:tcPr>
          <w:p w14:paraId="66C821B2" w14:textId="77777777" w:rsidR="009D4A93" w:rsidRPr="00536CFD" w:rsidRDefault="009D4A93" w:rsidP="009D4A93">
            <w:pPr>
              <w:keepLines/>
              <w:spacing w:after="0"/>
              <w:jc w:val="center"/>
            </w:pPr>
            <w:r w:rsidRPr="00536CFD">
              <w:rPr>
                <w:lang w:val="zh-CN"/>
              </w:rPr>
              <w:t>0.062</w:t>
            </w:r>
          </w:p>
        </w:tc>
        <w:tc>
          <w:tcPr>
            <w:tcW w:w="720" w:type="dxa"/>
            <w:tcBorders>
              <w:top w:val="single" w:sz="4" w:space="0" w:color="auto"/>
              <w:left w:val="nil"/>
              <w:bottom w:val="single" w:sz="4" w:space="0" w:color="auto"/>
              <w:right w:val="single" w:sz="4" w:space="0" w:color="auto"/>
            </w:tcBorders>
            <w:shd w:val="clear" w:color="auto" w:fill="auto"/>
          </w:tcPr>
          <w:p w14:paraId="26C1A18D" w14:textId="77777777" w:rsidR="009D4A93" w:rsidRPr="00536CFD" w:rsidRDefault="009D4A93" w:rsidP="009D4A93">
            <w:pPr>
              <w:keepLines/>
              <w:spacing w:after="0"/>
              <w:jc w:val="center"/>
            </w:pPr>
            <w:r w:rsidRPr="00536CFD">
              <w:rPr>
                <w:lang w:val="zh-CN"/>
              </w:rPr>
              <w:t>0.088</w:t>
            </w:r>
          </w:p>
        </w:tc>
        <w:tc>
          <w:tcPr>
            <w:tcW w:w="810" w:type="dxa"/>
            <w:tcBorders>
              <w:top w:val="single" w:sz="4" w:space="0" w:color="auto"/>
              <w:left w:val="nil"/>
              <w:bottom w:val="single" w:sz="4" w:space="0" w:color="auto"/>
              <w:right w:val="single" w:sz="4" w:space="0" w:color="auto"/>
            </w:tcBorders>
            <w:shd w:val="clear" w:color="auto" w:fill="auto"/>
          </w:tcPr>
          <w:p w14:paraId="6D5F69AC" w14:textId="77777777" w:rsidR="009D4A93" w:rsidRPr="00536CFD" w:rsidRDefault="009D4A93" w:rsidP="009D4A93">
            <w:pPr>
              <w:keepLines/>
              <w:spacing w:after="0"/>
              <w:jc w:val="center"/>
            </w:pPr>
            <w:r w:rsidRPr="00536CFD">
              <w:rPr>
                <w:lang w:val="zh-CN"/>
              </w:rPr>
              <w:t>0.047</w:t>
            </w:r>
          </w:p>
        </w:tc>
        <w:tc>
          <w:tcPr>
            <w:tcW w:w="810" w:type="dxa"/>
            <w:tcBorders>
              <w:top w:val="single" w:sz="4" w:space="0" w:color="auto"/>
              <w:left w:val="nil"/>
              <w:bottom w:val="single" w:sz="4" w:space="0" w:color="auto"/>
              <w:right w:val="single" w:sz="4" w:space="0" w:color="auto"/>
            </w:tcBorders>
            <w:shd w:val="clear" w:color="auto" w:fill="auto"/>
          </w:tcPr>
          <w:p w14:paraId="0065E852" w14:textId="77777777" w:rsidR="009D4A93" w:rsidRPr="00536CFD" w:rsidRDefault="009D4A93" w:rsidP="009D4A93">
            <w:pPr>
              <w:keepLines/>
              <w:spacing w:after="0"/>
              <w:jc w:val="center"/>
            </w:pPr>
            <w:r w:rsidRPr="00536CFD">
              <w:rPr>
                <w:lang w:val="zh-CN"/>
              </w:rPr>
              <w:t>0.142</w:t>
            </w:r>
          </w:p>
        </w:tc>
        <w:tc>
          <w:tcPr>
            <w:tcW w:w="820" w:type="dxa"/>
            <w:tcBorders>
              <w:top w:val="single" w:sz="4" w:space="0" w:color="auto"/>
              <w:left w:val="nil"/>
              <w:bottom w:val="single" w:sz="4" w:space="0" w:color="auto"/>
              <w:right w:val="single" w:sz="4" w:space="0" w:color="auto"/>
            </w:tcBorders>
            <w:shd w:val="clear" w:color="auto" w:fill="auto"/>
          </w:tcPr>
          <w:p w14:paraId="608E3694" w14:textId="77777777" w:rsidR="009D4A93" w:rsidRPr="00536CFD" w:rsidRDefault="009D4A93" w:rsidP="009D4A93">
            <w:pPr>
              <w:keepLines/>
              <w:spacing w:after="0"/>
              <w:jc w:val="center"/>
            </w:pPr>
            <w:r w:rsidRPr="00536CFD">
              <w:rPr>
                <w:lang w:val="zh-CN"/>
              </w:rPr>
              <w:t>0.065</w:t>
            </w:r>
          </w:p>
        </w:tc>
        <w:tc>
          <w:tcPr>
            <w:tcW w:w="800" w:type="dxa"/>
            <w:tcBorders>
              <w:top w:val="single" w:sz="4" w:space="0" w:color="auto"/>
              <w:left w:val="nil"/>
              <w:bottom w:val="single" w:sz="4" w:space="0" w:color="auto"/>
              <w:right w:val="single" w:sz="4" w:space="0" w:color="auto"/>
            </w:tcBorders>
            <w:shd w:val="clear" w:color="auto" w:fill="auto"/>
          </w:tcPr>
          <w:p w14:paraId="4AD0ACB9" w14:textId="77777777" w:rsidR="009D4A93" w:rsidRPr="00536CFD" w:rsidRDefault="009D4A93" w:rsidP="009D4A93">
            <w:pPr>
              <w:keepLines/>
              <w:spacing w:after="0"/>
              <w:jc w:val="center"/>
            </w:pPr>
            <w:r w:rsidRPr="00536CFD">
              <w:rPr>
                <w:lang w:val="zh-CN"/>
              </w:rPr>
              <w:t>0.153</w:t>
            </w:r>
          </w:p>
        </w:tc>
        <w:tc>
          <w:tcPr>
            <w:tcW w:w="720" w:type="dxa"/>
            <w:tcBorders>
              <w:top w:val="single" w:sz="4" w:space="0" w:color="auto"/>
              <w:left w:val="nil"/>
              <w:bottom w:val="single" w:sz="4" w:space="0" w:color="auto"/>
              <w:right w:val="single" w:sz="4" w:space="0" w:color="auto"/>
            </w:tcBorders>
            <w:shd w:val="clear" w:color="auto" w:fill="auto"/>
          </w:tcPr>
          <w:p w14:paraId="427F1F15" w14:textId="77777777" w:rsidR="009D4A93" w:rsidRPr="00536CFD" w:rsidRDefault="009D4A93" w:rsidP="009D4A93">
            <w:pPr>
              <w:keepLines/>
              <w:spacing w:after="0"/>
              <w:jc w:val="center"/>
            </w:pPr>
            <w:r w:rsidRPr="00536CFD">
              <w:rPr>
                <w:lang w:val="zh-CN"/>
              </w:rPr>
              <w:t>0.052</w:t>
            </w:r>
          </w:p>
        </w:tc>
        <w:tc>
          <w:tcPr>
            <w:tcW w:w="724" w:type="dxa"/>
            <w:tcBorders>
              <w:top w:val="single" w:sz="4" w:space="0" w:color="auto"/>
              <w:left w:val="nil"/>
              <w:bottom w:val="single" w:sz="4" w:space="0" w:color="auto"/>
              <w:right w:val="single" w:sz="4" w:space="0" w:color="auto"/>
            </w:tcBorders>
            <w:shd w:val="clear" w:color="auto" w:fill="auto"/>
          </w:tcPr>
          <w:p w14:paraId="21D8355C" w14:textId="77777777" w:rsidR="009D4A93" w:rsidRPr="00536CFD" w:rsidRDefault="009D4A93" w:rsidP="009D4A93">
            <w:pPr>
              <w:keepLines/>
              <w:spacing w:after="0"/>
              <w:jc w:val="center"/>
            </w:pPr>
            <w:r w:rsidRPr="00536CFD">
              <w:rPr>
                <w:lang w:val="zh-CN"/>
              </w:rPr>
              <w:t>0.297</w:t>
            </w:r>
          </w:p>
        </w:tc>
        <w:tc>
          <w:tcPr>
            <w:tcW w:w="896" w:type="dxa"/>
            <w:tcBorders>
              <w:top w:val="single" w:sz="4" w:space="0" w:color="auto"/>
              <w:left w:val="nil"/>
              <w:bottom w:val="single" w:sz="4" w:space="0" w:color="auto"/>
              <w:right w:val="single" w:sz="4" w:space="0" w:color="auto"/>
            </w:tcBorders>
            <w:shd w:val="clear" w:color="auto" w:fill="auto"/>
          </w:tcPr>
          <w:p w14:paraId="7E83BDE5" w14:textId="77777777" w:rsidR="009D4A93" w:rsidRPr="00536CFD" w:rsidRDefault="009D4A93" w:rsidP="009D4A93">
            <w:pPr>
              <w:keepLines/>
              <w:spacing w:after="0"/>
              <w:jc w:val="center"/>
            </w:pPr>
            <w:r w:rsidRPr="00536CFD">
              <w:rPr>
                <w:lang w:val="zh-CN"/>
              </w:rPr>
              <w:t>0.072</w:t>
            </w:r>
          </w:p>
        </w:tc>
        <w:tc>
          <w:tcPr>
            <w:tcW w:w="720" w:type="dxa"/>
            <w:tcBorders>
              <w:top w:val="single" w:sz="4" w:space="0" w:color="auto"/>
              <w:left w:val="nil"/>
              <w:bottom w:val="single" w:sz="4" w:space="0" w:color="auto"/>
              <w:right w:val="single" w:sz="4" w:space="0" w:color="auto"/>
            </w:tcBorders>
            <w:shd w:val="clear" w:color="auto" w:fill="auto"/>
          </w:tcPr>
          <w:p w14:paraId="1F18F23B" w14:textId="77777777" w:rsidR="009D4A93" w:rsidRPr="00536CFD" w:rsidRDefault="009D4A93" w:rsidP="009D4A93">
            <w:pPr>
              <w:keepLines/>
              <w:spacing w:after="0"/>
              <w:jc w:val="center"/>
            </w:pPr>
            <w:r w:rsidRPr="00536CFD">
              <w:rPr>
                <w:lang w:val="zh-CN"/>
              </w:rPr>
              <w:t>0.277</w:t>
            </w:r>
          </w:p>
        </w:tc>
        <w:tc>
          <w:tcPr>
            <w:tcW w:w="720" w:type="dxa"/>
            <w:tcBorders>
              <w:top w:val="single" w:sz="4" w:space="0" w:color="auto"/>
              <w:left w:val="nil"/>
              <w:bottom w:val="single" w:sz="4" w:space="0" w:color="auto"/>
              <w:right w:val="single" w:sz="4" w:space="0" w:color="auto"/>
            </w:tcBorders>
            <w:shd w:val="clear" w:color="auto" w:fill="auto"/>
          </w:tcPr>
          <w:p w14:paraId="1B11749D" w14:textId="77777777" w:rsidR="009D4A93" w:rsidRPr="00536CFD" w:rsidRDefault="009D4A93" w:rsidP="009D4A93">
            <w:pPr>
              <w:keepLines/>
              <w:spacing w:after="0"/>
              <w:jc w:val="center"/>
            </w:pPr>
            <w:r w:rsidRPr="00536CFD">
              <w:rPr>
                <w:lang w:val="zh-CN"/>
              </w:rPr>
              <w:t>0.053</w:t>
            </w:r>
          </w:p>
        </w:tc>
      </w:tr>
      <w:tr w:rsidR="009D4A93" w:rsidRPr="00536CFD" w14:paraId="59BE133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796B542"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BB44B57"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0EBB2273"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3C254116" w14:textId="77777777" w:rsidR="009D4A93" w:rsidRPr="00536CFD" w:rsidRDefault="009D4A93" w:rsidP="009D4A93">
            <w:pPr>
              <w:keepLines/>
              <w:spacing w:after="0"/>
              <w:jc w:val="center"/>
            </w:pPr>
            <w:r w:rsidRPr="00536CFD">
              <w:rPr>
                <w:lang w:val="zh-CN"/>
              </w:rPr>
              <w:t>0.207</w:t>
            </w:r>
          </w:p>
        </w:tc>
        <w:tc>
          <w:tcPr>
            <w:tcW w:w="720" w:type="dxa"/>
            <w:tcBorders>
              <w:top w:val="single" w:sz="4" w:space="0" w:color="auto"/>
              <w:left w:val="nil"/>
              <w:bottom w:val="single" w:sz="4" w:space="0" w:color="auto"/>
              <w:right w:val="single" w:sz="4" w:space="0" w:color="auto"/>
            </w:tcBorders>
            <w:shd w:val="clear" w:color="auto" w:fill="auto"/>
          </w:tcPr>
          <w:p w14:paraId="7C3EC261" w14:textId="77777777" w:rsidR="009D4A93" w:rsidRPr="00536CFD" w:rsidRDefault="009D4A93" w:rsidP="009D4A93">
            <w:pPr>
              <w:keepLines/>
              <w:spacing w:after="0"/>
              <w:jc w:val="center"/>
            </w:pPr>
            <w:r w:rsidRPr="00536CFD">
              <w:rPr>
                <w:lang w:val="zh-CN"/>
              </w:rPr>
              <w:t>0.112</w:t>
            </w:r>
          </w:p>
        </w:tc>
        <w:tc>
          <w:tcPr>
            <w:tcW w:w="720" w:type="dxa"/>
            <w:tcBorders>
              <w:top w:val="single" w:sz="4" w:space="0" w:color="auto"/>
              <w:left w:val="nil"/>
              <w:bottom w:val="single" w:sz="4" w:space="0" w:color="auto"/>
              <w:right w:val="single" w:sz="4" w:space="0" w:color="auto"/>
            </w:tcBorders>
            <w:shd w:val="clear" w:color="auto" w:fill="auto"/>
          </w:tcPr>
          <w:p w14:paraId="0EB3F7D4" w14:textId="77777777" w:rsidR="009D4A93" w:rsidRPr="00536CFD" w:rsidRDefault="009D4A93" w:rsidP="009D4A93">
            <w:pPr>
              <w:keepLines/>
              <w:spacing w:after="0"/>
              <w:jc w:val="center"/>
            </w:pPr>
            <w:r w:rsidRPr="00536CFD">
              <w:rPr>
                <w:lang w:val="zh-CN"/>
              </w:rPr>
              <w:t>0.333</w:t>
            </w:r>
          </w:p>
        </w:tc>
        <w:tc>
          <w:tcPr>
            <w:tcW w:w="810" w:type="dxa"/>
            <w:tcBorders>
              <w:top w:val="single" w:sz="4" w:space="0" w:color="auto"/>
              <w:left w:val="nil"/>
              <w:bottom w:val="single" w:sz="4" w:space="0" w:color="auto"/>
              <w:right w:val="single" w:sz="4" w:space="0" w:color="auto"/>
            </w:tcBorders>
            <w:shd w:val="clear" w:color="auto" w:fill="auto"/>
          </w:tcPr>
          <w:p w14:paraId="29374BC5" w14:textId="77777777" w:rsidR="009D4A93" w:rsidRPr="00536CFD" w:rsidRDefault="009D4A93" w:rsidP="009D4A93">
            <w:pPr>
              <w:keepLines/>
              <w:spacing w:after="0"/>
              <w:jc w:val="center"/>
            </w:pPr>
            <w:r w:rsidRPr="00536CFD">
              <w:rPr>
                <w:lang w:val="zh-CN"/>
              </w:rPr>
              <w:t>0.153</w:t>
            </w:r>
          </w:p>
        </w:tc>
        <w:tc>
          <w:tcPr>
            <w:tcW w:w="810" w:type="dxa"/>
            <w:tcBorders>
              <w:top w:val="single" w:sz="4" w:space="0" w:color="auto"/>
              <w:left w:val="nil"/>
              <w:bottom w:val="single" w:sz="4" w:space="0" w:color="auto"/>
              <w:right w:val="single" w:sz="4" w:space="0" w:color="auto"/>
            </w:tcBorders>
            <w:shd w:val="clear" w:color="auto" w:fill="auto"/>
          </w:tcPr>
          <w:p w14:paraId="4962908B" w14:textId="77777777" w:rsidR="009D4A93" w:rsidRPr="00536CFD" w:rsidRDefault="009D4A93" w:rsidP="009D4A93">
            <w:pPr>
              <w:keepLines/>
              <w:spacing w:after="0"/>
              <w:jc w:val="center"/>
            </w:pPr>
            <w:r w:rsidRPr="00536CFD">
              <w:rPr>
                <w:lang w:val="zh-CN"/>
              </w:rPr>
              <w:t>0.739</w:t>
            </w:r>
          </w:p>
        </w:tc>
        <w:tc>
          <w:tcPr>
            <w:tcW w:w="820" w:type="dxa"/>
            <w:tcBorders>
              <w:top w:val="single" w:sz="4" w:space="0" w:color="auto"/>
              <w:left w:val="nil"/>
              <w:bottom w:val="single" w:sz="4" w:space="0" w:color="auto"/>
              <w:right w:val="single" w:sz="4" w:space="0" w:color="auto"/>
            </w:tcBorders>
            <w:shd w:val="clear" w:color="auto" w:fill="auto"/>
          </w:tcPr>
          <w:p w14:paraId="65500560" w14:textId="77777777" w:rsidR="009D4A93" w:rsidRPr="00536CFD" w:rsidRDefault="009D4A93" w:rsidP="009D4A93">
            <w:pPr>
              <w:keepLines/>
              <w:spacing w:after="0"/>
              <w:jc w:val="center"/>
            </w:pPr>
            <w:r w:rsidRPr="00536CFD">
              <w:rPr>
                <w:lang w:val="zh-CN"/>
              </w:rPr>
              <w:t>0.163</w:t>
            </w:r>
          </w:p>
        </w:tc>
        <w:tc>
          <w:tcPr>
            <w:tcW w:w="800" w:type="dxa"/>
            <w:tcBorders>
              <w:top w:val="single" w:sz="4" w:space="0" w:color="auto"/>
              <w:left w:val="nil"/>
              <w:bottom w:val="single" w:sz="4" w:space="0" w:color="auto"/>
              <w:right w:val="single" w:sz="4" w:space="0" w:color="auto"/>
            </w:tcBorders>
            <w:shd w:val="clear" w:color="auto" w:fill="auto"/>
          </w:tcPr>
          <w:p w14:paraId="49EB2EC2" w14:textId="77777777" w:rsidR="009D4A93" w:rsidRPr="00536CFD" w:rsidRDefault="009D4A93" w:rsidP="009D4A93">
            <w:pPr>
              <w:keepLines/>
              <w:spacing w:after="0"/>
              <w:jc w:val="center"/>
            </w:pPr>
            <w:r w:rsidRPr="00536CFD">
              <w:rPr>
                <w:lang w:val="zh-CN"/>
              </w:rPr>
              <w:t>0.817</w:t>
            </w:r>
          </w:p>
        </w:tc>
        <w:tc>
          <w:tcPr>
            <w:tcW w:w="720" w:type="dxa"/>
            <w:tcBorders>
              <w:top w:val="single" w:sz="4" w:space="0" w:color="auto"/>
              <w:left w:val="nil"/>
              <w:bottom w:val="single" w:sz="4" w:space="0" w:color="auto"/>
              <w:right w:val="single" w:sz="4" w:space="0" w:color="auto"/>
            </w:tcBorders>
            <w:shd w:val="clear" w:color="auto" w:fill="auto"/>
          </w:tcPr>
          <w:p w14:paraId="5E6D9E1E" w14:textId="77777777" w:rsidR="009D4A93" w:rsidRPr="00536CFD" w:rsidRDefault="009D4A93" w:rsidP="009D4A93">
            <w:pPr>
              <w:keepLines/>
              <w:spacing w:after="0"/>
              <w:jc w:val="center"/>
            </w:pPr>
            <w:r w:rsidRPr="00536CFD">
              <w:rPr>
                <w:lang w:val="zh-CN"/>
              </w:rPr>
              <w:t>0.252</w:t>
            </w:r>
          </w:p>
        </w:tc>
        <w:tc>
          <w:tcPr>
            <w:tcW w:w="724" w:type="dxa"/>
            <w:tcBorders>
              <w:top w:val="single" w:sz="4" w:space="0" w:color="auto"/>
              <w:left w:val="nil"/>
              <w:bottom w:val="single" w:sz="4" w:space="0" w:color="auto"/>
              <w:right w:val="single" w:sz="4" w:space="0" w:color="auto"/>
            </w:tcBorders>
            <w:shd w:val="clear" w:color="auto" w:fill="auto"/>
          </w:tcPr>
          <w:p w14:paraId="2E57D657" w14:textId="77777777" w:rsidR="009D4A93" w:rsidRPr="00536CFD" w:rsidRDefault="009D4A93" w:rsidP="009D4A93">
            <w:pPr>
              <w:keepLines/>
              <w:spacing w:after="0"/>
              <w:jc w:val="center"/>
            </w:pPr>
            <w:r w:rsidRPr="00536CFD">
              <w:rPr>
                <w:lang w:val="zh-CN"/>
              </w:rPr>
              <w:t>3.268</w:t>
            </w:r>
          </w:p>
        </w:tc>
        <w:tc>
          <w:tcPr>
            <w:tcW w:w="896" w:type="dxa"/>
            <w:tcBorders>
              <w:top w:val="single" w:sz="4" w:space="0" w:color="auto"/>
              <w:left w:val="nil"/>
              <w:bottom w:val="single" w:sz="4" w:space="0" w:color="auto"/>
              <w:right w:val="single" w:sz="4" w:space="0" w:color="auto"/>
            </w:tcBorders>
            <w:shd w:val="clear" w:color="auto" w:fill="auto"/>
          </w:tcPr>
          <w:p w14:paraId="7AC6A197" w14:textId="77777777" w:rsidR="009D4A93" w:rsidRPr="00536CFD" w:rsidRDefault="009D4A93" w:rsidP="009D4A93">
            <w:pPr>
              <w:keepLines/>
              <w:spacing w:after="0"/>
              <w:jc w:val="center"/>
            </w:pPr>
            <w:r w:rsidRPr="00536CFD">
              <w:rPr>
                <w:lang w:val="zh-CN"/>
              </w:rPr>
              <w:t>0.211</w:t>
            </w:r>
          </w:p>
        </w:tc>
        <w:tc>
          <w:tcPr>
            <w:tcW w:w="720" w:type="dxa"/>
            <w:tcBorders>
              <w:top w:val="single" w:sz="4" w:space="0" w:color="auto"/>
              <w:left w:val="nil"/>
              <w:bottom w:val="single" w:sz="4" w:space="0" w:color="auto"/>
              <w:right w:val="single" w:sz="4" w:space="0" w:color="auto"/>
            </w:tcBorders>
            <w:shd w:val="clear" w:color="auto" w:fill="auto"/>
          </w:tcPr>
          <w:p w14:paraId="313223D4" w14:textId="77777777" w:rsidR="009D4A93" w:rsidRPr="00536CFD" w:rsidRDefault="009D4A93" w:rsidP="009D4A93">
            <w:pPr>
              <w:keepLines/>
              <w:spacing w:after="0"/>
              <w:jc w:val="center"/>
            </w:pPr>
            <w:r w:rsidRPr="00536CFD">
              <w:rPr>
                <w:lang w:val="zh-CN"/>
              </w:rPr>
              <w:t>1.933</w:t>
            </w:r>
          </w:p>
        </w:tc>
        <w:tc>
          <w:tcPr>
            <w:tcW w:w="720" w:type="dxa"/>
            <w:tcBorders>
              <w:top w:val="single" w:sz="4" w:space="0" w:color="auto"/>
              <w:left w:val="nil"/>
              <w:bottom w:val="single" w:sz="4" w:space="0" w:color="auto"/>
              <w:right w:val="single" w:sz="4" w:space="0" w:color="auto"/>
            </w:tcBorders>
            <w:shd w:val="clear" w:color="auto" w:fill="auto"/>
          </w:tcPr>
          <w:p w14:paraId="6B954D29" w14:textId="77777777" w:rsidR="009D4A93" w:rsidRPr="00536CFD" w:rsidRDefault="009D4A93" w:rsidP="009D4A93">
            <w:pPr>
              <w:keepLines/>
              <w:spacing w:after="0"/>
              <w:jc w:val="center"/>
            </w:pPr>
            <w:r w:rsidRPr="00536CFD">
              <w:rPr>
                <w:lang w:val="zh-CN"/>
              </w:rPr>
              <w:t>0.307</w:t>
            </w:r>
          </w:p>
        </w:tc>
      </w:tr>
      <w:tr w:rsidR="009D4A93" w:rsidRPr="00536CFD" w14:paraId="0769D7B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BF4A9A7"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41D691A"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1755C09F"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4FCB53C0" w14:textId="77777777" w:rsidR="009D4A93" w:rsidRPr="00536CFD" w:rsidRDefault="009D4A93" w:rsidP="009D4A93">
            <w:pPr>
              <w:keepLines/>
              <w:spacing w:after="0"/>
              <w:jc w:val="center"/>
            </w:pPr>
            <w:r w:rsidRPr="00536CFD">
              <w:rPr>
                <w:lang w:val="zh-CN"/>
              </w:rPr>
              <w:t>0.096</w:t>
            </w:r>
          </w:p>
        </w:tc>
        <w:tc>
          <w:tcPr>
            <w:tcW w:w="720" w:type="dxa"/>
            <w:tcBorders>
              <w:top w:val="single" w:sz="4" w:space="0" w:color="auto"/>
              <w:left w:val="nil"/>
              <w:bottom w:val="single" w:sz="4" w:space="0" w:color="auto"/>
              <w:right w:val="single" w:sz="4" w:space="0" w:color="auto"/>
            </w:tcBorders>
            <w:shd w:val="clear" w:color="auto" w:fill="auto"/>
          </w:tcPr>
          <w:p w14:paraId="4658CB3C" w14:textId="77777777" w:rsidR="009D4A93" w:rsidRPr="00536CFD" w:rsidRDefault="009D4A93" w:rsidP="009D4A93">
            <w:pPr>
              <w:keepLines/>
              <w:spacing w:after="0"/>
              <w:jc w:val="center"/>
            </w:pPr>
            <w:r w:rsidRPr="00536CFD">
              <w:rPr>
                <w:lang w:val="zh-CN"/>
              </w:rPr>
              <w:t>0.072</w:t>
            </w:r>
          </w:p>
        </w:tc>
        <w:tc>
          <w:tcPr>
            <w:tcW w:w="720" w:type="dxa"/>
            <w:tcBorders>
              <w:top w:val="single" w:sz="4" w:space="0" w:color="auto"/>
              <w:left w:val="nil"/>
              <w:bottom w:val="single" w:sz="4" w:space="0" w:color="auto"/>
              <w:right w:val="single" w:sz="4" w:space="0" w:color="auto"/>
            </w:tcBorders>
            <w:shd w:val="clear" w:color="auto" w:fill="auto"/>
          </w:tcPr>
          <w:p w14:paraId="57799882" w14:textId="77777777" w:rsidR="009D4A93" w:rsidRPr="00536CFD" w:rsidRDefault="009D4A93" w:rsidP="009D4A93">
            <w:pPr>
              <w:keepLines/>
              <w:spacing w:after="0"/>
              <w:jc w:val="center"/>
            </w:pPr>
            <w:r w:rsidRPr="00536CFD">
              <w:rPr>
                <w:lang w:val="zh-CN"/>
              </w:rPr>
              <w:t>0.130</w:t>
            </w:r>
          </w:p>
        </w:tc>
        <w:tc>
          <w:tcPr>
            <w:tcW w:w="810" w:type="dxa"/>
            <w:tcBorders>
              <w:top w:val="single" w:sz="4" w:space="0" w:color="auto"/>
              <w:left w:val="nil"/>
              <w:bottom w:val="single" w:sz="4" w:space="0" w:color="auto"/>
              <w:right w:val="single" w:sz="4" w:space="0" w:color="auto"/>
            </w:tcBorders>
            <w:shd w:val="clear" w:color="auto" w:fill="auto"/>
          </w:tcPr>
          <w:p w14:paraId="6EDC99A7" w14:textId="77777777" w:rsidR="009D4A93" w:rsidRPr="00536CFD" w:rsidRDefault="009D4A93" w:rsidP="009D4A93">
            <w:pPr>
              <w:keepLines/>
              <w:spacing w:after="0"/>
              <w:jc w:val="center"/>
            </w:pPr>
            <w:r w:rsidRPr="00536CFD">
              <w:rPr>
                <w:lang w:val="zh-CN"/>
              </w:rPr>
              <w:t>0.068</w:t>
            </w:r>
          </w:p>
        </w:tc>
        <w:tc>
          <w:tcPr>
            <w:tcW w:w="810" w:type="dxa"/>
            <w:tcBorders>
              <w:top w:val="single" w:sz="4" w:space="0" w:color="auto"/>
              <w:left w:val="nil"/>
              <w:bottom w:val="single" w:sz="4" w:space="0" w:color="auto"/>
              <w:right w:val="single" w:sz="4" w:space="0" w:color="auto"/>
            </w:tcBorders>
            <w:shd w:val="clear" w:color="auto" w:fill="auto"/>
          </w:tcPr>
          <w:p w14:paraId="1FFF8120" w14:textId="77777777" w:rsidR="009D4A93" w:rsidRPr="00536CFD" w:rsidRDefault="009D4A93" w:rsidP="009D4A93">
            <w:pPr>
              <w:keepLines/>
              <w:spacing w:after="0"/>
              <w:jc w:val="center"/>
            </w:pPr>
            <w:r w:rsidRPr="00536CFD">
              <w:rPr>
                <w:lang w:val="zh-CN"/>
              </w:rPr>
              <w:t>0.232</w:t>
            </w:r>
          </w:p>
        </w:tc>
        <w:tc>
          <w:tcPr>
            <w:tcW w:w="820" w:type="dxa"/>
            <w:tcBorders>
              <w:top w:val="single" w:sz="4" w:space="0" w:color="auto"/>
              <w:left w:val="nil"/>
              <w:bottom w:val="single" w:sz="4" w:space="0" w:color="auto"/>
              <w:right w:val="single" w:sz="4" w:space="0" w:color="auto"/>
            </w:tcBorders>
            <w:shd w:val="clear" w:color="auto" w:fill="auto"/>
          </w:tcPr>
          <w:p w14:paraId="28095A01" w14:textId="77777777" w:rsidR="009D4A93" w:rsidRPr="00536CFD" w:rsidRDefault="009D4A93" w:rsidP="009D4A93">
            <w:pPr>
              <w:keepLines/>
              <w:spacing w:after="0"/>
              <w:jc w:val="center"/>
            </w:pPr>
            <w:r w:rsidRPr="00536CFD">
              <w:rPr>
                <w:lang w:val="zh-CN"/>
              </w:rPr>
              <w:t>0.088</w:t>
            </w:r>
          </w:p>
        </w:tc>
        <w:tc>
          <w:tcPr>
            <w:tcW w:w="800" w:type="dxa"/>
            <w:tcBorders>
              <w:top w:val="single" w:sz="4" w:space="0" w:color="auto"/>
              <w:left w:val="nil"/>
              <w:bottom w:val="single" w:sz="4" w:space="0" w:color="auto"/>
              <w:right w:val="single" w:sz="4" w:space="0" w:color="auto"/>
            </w:tcBorders>
            <w:shd w:val="clear" w:color="auto" w:fill="auto"/>
          </w:tcPr>
          <w:p w14:paraId="09CEA6BE" w14:textId="77777777" w:rsidR="009D4A93" w:rsidRPr="00536CFD" w:rsidRDefault="009D4A93" w:rsidP="009D4A93">
            <w:pPr>
              <w:keepLines/>
              <w:spacing w:after="0"/>
              <w:jc w:val="center"/>
            </w:pPr>
            <w:r w:rsidRPr="00536CFD">
              <w:rPr>
                <w:lang w:val="zh-CN"/>
              </w:rPr>
              <w:t>0.276</w:t>
            </w:r>
          </w:p>
        </w:tc>
        <w:tc>
          <w:tcPr>
            <w:tcW w:w="720" w:type="dxa"/>
            <w:tcBorders>
              <w:top w:val="single" w:sz="4" w:space="0" w:color="auto"/>
              <w:left w:val="nil"/>
              <w:bottom w:val="single" w:sz="4" w:space="0" w:color="auto"/>
              <w:right w:val="single" w:sz="4" w:space="0" w:color="auto"/>
            </w:tcBorders>
            <w:shd w:val="clear" w:color="auto" w:fill="auto"/>
          </w:tcPr>
          <w:p w14:paraId="57DF7A59" w14:textId="77777777" w:rsidR="009D4A93" w:rsidRPr="00536CFD" w:rsidRDefault="009D4A93" w:rsidP="009D4A93">
            <w:pPr>
              <w:keepLines/>
              <w:spacing w:after="0"/>
              <w:jc w:val="center"/>
            </w:pPr>
            <w:r w:rsidRPr="00536CFD">
              <w:rPr>
                <w:lang w:val="zh-CN"/>
              </w:rPr>
              <w:t>0.083</w:t>
            </w:r>
          </w:p>
        </w:tc>
        <w:tc>
          <w:tcPr>
            <w:tcW w:w="724" w:type="dxa"/>
            <w:tcBorders>
              <w:top w:val="single" w:sz="4" w:space="0" w:color="auto"/>
              <w:left w:val="nil"/>
              <w:bottom w:val="single" w:sz="4" w:space="0" w:color="auto"/>
              <w:right w:val="single" w:sz="4" w:space="0" w:color="auto"/>
            </w:tcBorders>
            <w:shd w:val="clear" w:color="auto" w:fill="auto"/>
          </w:tcPr>
          <w:p w14:paraId="3365926E" w14:textId="77777777" w:rsidR="009D4A93" w:rsidRPr="00536CFD" w:rsidRDefault="009D4A93" w:rsidP="009D4A93">
            <w:pPr>
              <w:keepLines/>
              <w:spacing w:after="0"/>
              <w:jc w:val="center"/>
            </w:pPr>
            <w:r w:rsidRPr="00536CFD">
              <w:rPr>
                <w:lang w:val="zh-CN"/>
              </w:rPr>
              <w:t>0.817</w:t>
            </w:r>
          </w:p>
        </w:tc>
        <w:tc>
          <w:tcPr>
            <w:tcW w:w="896" w:type="dxa"/>
            <w:tcBorders>
              <w:top w:val="single" w:sz="4" w:space="0" w:color="auto"/>
              <w:left w:val="nil"/>
              <w:bottom w:val="single" w:sz="4" w:space="0" w:color="auto"/>
              <w:right w:val="single" w:sz="4" w:space="0" w:color="auto"/>
            </w:tcBorders>
            <w:shd w:val="clear" w:color="auto" w:fill="auto"/>
          </w:tcPr>
          <w:p w14:paraId="5AAF6797" w14:textId="77777777" w:rsidR="009D4A93" w:rsidRPr="00536CFD" w:rsidRDefault="009D4A93" w:rsidP="009D4A93">
            <w:pPr>
              <w:keepLines/>
              <w:spacing w:after="0"/>
              <w:jc w:val="center"/>
            </w:pPr>
            <w:r w:rsidRPr="00536CFD">
              <w:rPr>
                <w:lang w:val="zh-CN"/>
              </w:rPr>
              <w:t>0.096</w:t>
            </w:r>
          </w:p>
        </w:tc>
        <w:tc>
          <w:tcPr>
            <w:tcW w:w="720" w:type="dxa"/>
            <w:tcBorders>
              <w:top w:val="single" w:sz="4" w:space="0" w:color="auto"/>
              <w:left w:val="nil"/>
              <w:bottom w:val="single" w:sz="4" w:space="0" w:color="auto"/>
              <w:right w:val="single" w:sz="4" w:space="0" w:color="auto"/>
            </w:tcBorders>
            <w:shd w:val="clear" w:color="auto" w:fill="auto"/>
          </w:tcPr>
          <w:p w14:paraId="1625FFB3" w14:textId="77777777" w:rsidR="009D4A93" w:rsidRPr="00536CFD" w:rsidRDefault="009D4A93" w:rsidP="009D4A93">
            <w:pPr>
              <w:keepLines/>
              <w:spacing w:after="0"/>
              <w:jc w:val="center"/>
            </w:pPr>
            <w:r w:rsidRPr="00536CFD">
              <w:rPr>
                <w:lang w:val="zh-CN"/>
              </w:rPr>
              <w:t>0.527</w:t>
            </w:r>
          </w:p>
        </w:tc>
        <w:tc>
          <w:tcPr>
            <w:tcW w:w="720" w:type="dxa"/>
            <w:tcBorders>
              <w:top w:val="single" w:sz="4" w:space="0" w:color="auto"/>
              <w:left w:val="nil"/>
              <w:bottom w:val="single" w:sz="4" w:space="0" w:color="auto"/>
              <w:right w:val="single" w:sz="4" w:space="0" w:color="auto"/>
            </w:tcBorders>
            <w:shd w:val="clear" w:color="auto" w:fill="auto"/>
          </w:tcPr>
          <w:p w14:paraId="4ACF2276" w14:textId="77777777" w:rsidR="009D4A93" w:rsidRPr="00536CFD" w:rsidRDefault="009D4A93" w:rsidP="009D4A93">
            <w:pPr>
              <w:keepLines/>
              <w:spacing w:after="0"/>
              <w:jc w:val="center"/>
            </w:pPr>
            <w:r w:rsidRPr="00536CFD">
              <w:rPr>
                <w:lang w:val="zh-CN"/>
              </w:rPr>
              <w:t>0.087</w:t>
            </w:r>
          </w:p>
        </w:tc>
      </w:tr>
      <w:tr w:rsidR="009D4A93" w:rsidRPr="00536CFD" w14:paraId="26E4A1F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2847E71" w14:textId="77777777" w:rsidR="009D4A93" w:rsidRPr="00536CFD" w:rsidRDefault="009D4A93" w:rsidP="009D4A93">
            <w:pPr>
              <w:keepLines/>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2FF36010"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26B90355"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22C1A33B" w14:textId="77777777" w:rsidR="009D4A93" w:rsidRPr="00536CFD" w:rsidRDefault="009D4A93" w:rsidP="009D4A93">
            <w:pPr>
              <w:keepLines/>
              <w:spacing w:after="0"/>
              <w:jc w:val="center"/>
            </w:pPr>
            <w:r w:rsidRPr="00536CFD">
              <w:rPr>
                <w:lang w:val="zh-CN"/>
              </w:rPr>
              <w:t>40.245</w:t>
            </w:r>
          </w:p>
        </w:tc>
        <w:tc>
          <w:tcPr>
            <w:tcW w:w="720" w:type="dxa"/>
            <w:tcBorders>
              <w:top w:val="single" w:sz="4" w:space="0" w:color="auto"/>
              <w:left w:val="nil"/>
              <w:bottom w:val="single" w:sz="4" w:space="0" w:color="auto"/>
              <w:right w:val="single" w:sz="4" w:space="0" w:color="auto"/>
            </w:tcBorders>
            <w:shd w:val="clear" w:color="auto" w:fill="auto"/>
          </w:tcPr>
          <w:p w14:paraId="799FCF9E" w14:textId="77777777" w:rsidR="009D4A93" w:rsidRPr="00536CFD" w:rsidRDefault="009D4A93" w:rsidP="009D4A93">
            <w:pPr>
              <w:keepLines/>
              <w:spacing w:after="0"/>
              <w:jc w:val="center"/>
            </w:pPr>
            <w:r w:rsidRPr="00536CFD">
              <w:rPr>
                <w:lang w:val="zh-CN"/>
              </w:rPr>
              <w:t>49.152</w:t>
            </w:r>
          </w:p>
        </w:tc>
        <w:tc>
          <w:tcPr>
            <w:tcW w:w="720" w:type="dxa"/>
            <w:tcBorders>
              <w:top w:val="single" w:sz="4" w:space="0" w:color="auto"/>
              <w:left w:val="nil"/>
              <w:bottom w:val="single" w:sz="4" w:space="0" w:color="auto"/>
              <w:right w:val="single" w:sz="4" w:space="0" w:color="auto"/>
            </w:tcBorders>
            <w:shd w:val="clear" w:color="auto" w:fill="auto"/>
          </w:tcPr>
          <w:p w14:paraId="02ECE1A7" w14:textId="77777777" w:rsidR="009D4A93" w:rsidRPr="00536CFD" w:rsidRDefault="009D4A93" w:rsidP="009D4A93">
            <w:pPr>
              <w:keepLines/>
              <w:spacing w:after="0"/>
              <w:jc w:val="center"/>
            </w:pPr>
            <w:r w:rsidRPr="00536CFD">
              <w:rPr>
                <w:lang w:val="zh-CN"/>
              </w:rPr>
              <w:t>12.083</w:t>
            </w:r>
          </w:p>
        </w:tc>
        <w:tc>
          <w:tcPr>
            <w:tcW w:w="810" w:type="dxa"/>
            <w:tcBorders>
              <w:top w:val="single" w:sz="4" w:space="0" w:color="auto"/>
              <w:left w:val="nil"/>
              <w:bottom w:val="single" w:sz="4" w:space="0" w:color="auto"/>
              <w:right w:val="single" w:sz="4" w:space="0" w:color="auto"/>
            </w:tcBorders>
            <w:shd w:val="clear" w:color="auto" w:fill="auto"/>
          </w:tcPr>
          <w:p w14:paraId="549983E1" w14:textId="77777777" w:rsidR="009D4A93" w:rsidRPr="00536CFD" w:rsidRDefault="009D4A93" w:rsidP="009D4A93">
            <w:pPr>
              <w:keepLines/>
              <w:spacing w:after="0"/>
              <w:jc w:val="center"/>
            </w:pPr>
            <w:r w:rsidRPr="00536CFD">
              <w:rPr>
                <w:lang w:val="zh-CN"/>
              </w:rPr>
              <w:t>16.3911</w:t>
            </w:r>
          </w:p>
        </w:tc>
        <w:tc>
          <w:tcPr>
            <w:tcW w:w="810" w:type="dxa"/>
            <w:tcBorders>
              <w:top w:val="single" w:sz="4" w:space="0" w:color="auto"/>
              <w:left w:val="nil"/>
              <w:bottom w:val="single" w:sz="4" w:space="0" w:color="auto"/>
              <w:right w:val="single" w:sz="4" w:space="0" w:color="auto"/>
            </w:tcBorders>
            <w:shd w:val="clear" w:color="auto" w:fill="auto"/>
          </w:tcPr>
          <w:p w14:paraId="20654222" w14:textId="77777777" w:rsidR="009D4A93" w:rsidRPr="00536CFD" w:rsidRDefault="009D4A93" w:rsidP="009D4A93">
            <w:pPr>
              <w:keepLines/>
              <w:spacing w:after="0"/>
              <w:jc w:val="center"/>
            </w:pPr>
            <w:r w:rsidRPr="00536CFD">
              <w:rPr>
                <w:lang w:val="zh-CN"/>
              </w:rPr>
              <w:t>23.012</w:t>
            </w:r>
          </w:p>
        </w:tc>
        <w:tc>
          <w:tcPr>
            <w:tcW w:w="820" w:type="dxa"/>
            <w:tcBorders>
              <w:top w:val="single" w:sz="4" w:space="0" w:color="auto"/>
              <w:left w:val="nil"/>
              <w:bottom w:val="single" w:sz="4" w:space="0" w:color="auto"/>
              <w:right w:val="single" w:sz="4" w:space="0" w:color="auto"/>
            </w:tcBorders>
            <w:shd w:val="clear" w:color="auto" w:fill="auto"/>
          </w:tcPr>
          <w:p w14:paraId="67A6D257" w14:textId="77777777" w:rsidR="009D4A93" w:rsidRPr="00536CFD" w:rsidRDefault="009D4A93" w:rsidP="009D4A93">
            <w:pPr>
              <w:keepLines/>
              <w:spacing w:after="0"/>
              <w:jc w:val="center"/>
            </w:pPr>
            <w:r w:rsidRPr="00536CFD">
              <w:rPr>
                <w:lang w:val="zh-CN"/>
              </w:rPr>
              <w:t>48.127</w:t>
            </w:r>
          </w:p>
        </w:tc>
        <w:tc>
          <w:tcPr>
            <w:tcW w:w="800" w:type="dxa"/>
            <w:tcBorders>
              <w:top w:val="single" w:sz="4" w:space="0" w:color="auto"/>
              <w:left w:val="nil"/>
              <w:bottom w:val="single" w:sz="4" w:space="0" w:color="auto"/>
              <w:right w:val="single" w:sz="4" w:space="0" w:color="auto"/>
            </w:tcBorders>
            <w:shd w:val="clear" w:color="auto" w:fill="auto"/>
          </w:tcPr>
          <w:p w14:paraId="05E03218" w14:textId="77777777" w:rsidR="009D4A93" w:rsidRPr="00536CFD" w:rsidRDefault="009D4A93" w:rsidP="009D4A93">
            <w:pPr>
              <w:keepLines/>
              <w:spacing w:after="0"/>
              <w:jc w:val="center"/>
            </w:pPr>
            <w:r w:rsidRPr="00536CFD">
              <w:rPr>
                <w:lang w:val="zh-CN"/>
              </w:rPr>
              <w:t>4.081</w:t>
            </w:r>
          </w:p>
        </w:tc>
        <w:tc>
          <w:tcPr>
            <w:tcW w:w="720" w:type="dxa"/>
            <w:tcBorders>
              <w:top w:val="single" w:sz="4" w:space="0" w:color="auto"/>
              <w:left w:val="nil"/>
              <w:bottom w:val="single" w:sz="4" w:space="0" w:color="auto"/>
              <w:right w:val="single" w:sz="4" w:space="0" w:color="auto"/>
            </w:tcBorders>
            <w:shd w:val="clear" w:color="auto" w:fill="auto"/>
          </w:tcPr>
          <w:p w14:paraId="04EE7812" w14:textId="77777777" w:rsidR="009D4A93" w:rsidRPr="00536CFD" w:rsidRDefault="009D4A93" w:rsidP="009D4A93">
            <w:pPr>
              <w:keepLines/>
              <w:spacing w:after="0"/>
              <w:jc w:val="center"/>
            </w:pPr>
            <w:r w:rsidRPr="00536CFD">
              <w:rPr>
                <w:lang w:val="zh-CN"/>
              </w:rPr>
              <w:t>15.4290</w:t>
            </w:r>
          </w:p>
        </w:tc>
        <w:tc>
          <w:tcPr>
            <w:tcW w:w="724" w:type="dxa"/>
            <w:tcBorders>
              <w:top w:val="single" w:sz="4" w:space="0" w:color="auto"/>
              <w:left w:val="nil"/>
              <w:bottom w:val="single" w:sz="4" w:space="0" w:color="auto"/>
              <w:right w:val="single" w:sz="4" w:space="0" w:color="auto"/>
            </w:tcBorders>
            <w:shd w:val="clear" w:color="auto" w:fill="auto"/>
          </w:tcPr>
          <w:p w14:paraId="4B810A9A" w14:textId="77777777" w:rsidR="009D4A93" w:rsidRPr="00536CFD" w:rsidRDefault="009D4A93" w:rsidP="009D4A93">
            <w:pPr>
              <w:keepLines/>
              <w:spacing w:after="0"/>
              <w:jc w:val="center"/>
            </w:pPr>
            <w:r w:rsidRPr="00536CFD">
              <w:rPr>
                <w:lang w:val="zh-CN"/>
              </w:rPr>
              <w:t>13.400</w:t>
            </w:r>
          </w:p>
        </w:tc>
        <w:tc>
          <w:tcPr>
            <w:tcW w:w="896" w:type="dxa"/>
            <w:tcBorders>
              <w:top w:val="single" w:sz="4" w:space="0" w:color="auto"/>
              <w:left w:val="nil"/>
              <w:bottom w:val="single" w:sz="4" w:space="0" w:color="auto"/>
              <w:right w:val="single" w:sz="4" w:space="0" w:color="auto"/>
            </w:tcBorders>
            <w:shd w:val="clear" w:color="auto" w:fill="auto"/>
          </w:tcPr>
          <w:p w14:paraId="30809B66" w14:textId="77777777" w:rsidR="009D4A93" w:rsidRPr="00536CFD" w:rsidRDefault="009D4A93" w:rsidP="009D4A93">
            <w:pPr>
              <w:keepLines/>
              <w:spacing w:after="0"/>
              <w:jc w:val="center"/>
            </w:pPr>
            <w:r w:rsidRPr="00536CFD">
              <w:rPr>
                <w:lang w:val="zh-CN"/>
              </w:rPr>
              <w:t>40.174</w:t>
            </w:r>
          </w:p>
        </w:tc>
        <w:tc>
          <w:tcPr>
            <w:tcW w:w="720" w:type="dxa"/>
            <w:tcBorders>
              <w:top w:val="single" w:sz="4" w:space="0" w:color="auto"/>
              <w:left w:val="nil"/>
              <w:bottom w:val="single" w:sz="4" w:space="0" w:color="auto"/>
              <w:right w:val="single" w:sz="4" w:space="0" w:color="auto"/>
            </w:tcBorders>
            <w:shd w:val="clear" w:color="auto" w:fill="auto"/>
          </w:tcPr>
          <w:p w14:paraId="50D66FA5" w14:textId="77777777" w:rsidR="009D4A93" w:rsidRPr="00536CFD" w:rsidRDefault="009D4A93" w:rsidP="009D4A93">
            <w:pPr>
              <w:keepLines/>
              <w:spacing w:after="0"/>
              <w:jc w:val="center"/>
            </w:pPr>
            <w:r w:rsidRPr="00536CFD">
              <w:rPr>
                <w:lang w:val="zh-CN"/>
              </w:rPr>
              <w:t>3.018</w:t>
            </w:r>
          </w:p>
        </w:tc>
        <w:tc>
          <w:tcPr>
            <w:tcW w:w="720" w:type="dxa"/>
            <w:tcBorders>
              <w:top w:val="single" w:sz="4" w:space="0" w:color="auto"/>
              <w:left w:val="nil"/>
              <w:bottom w:val="single" w:sz="4" w:space="0" w:color="auto"/>
              <w:right w:val="single" w:sz="4" w:space="0" w:color="auto"/>
            </w:tcBorders>
            <w:shd w:val="clear" w:color="auto" w:fill="auto"/>
          </w:tcPr>
          <w:p w14:paraId="4D85F3BE" w14:textId="77777777" w:rsidR="009D4A93" w:rsidRPr="00536CFD" w:rsidRDefault="009D4A93" w:rsidP="009D4A93">
            <w:pPr>
              <w:keepLines/>
              <w:spacing w:after="0"/>
              <w:jc w:val="center"/>
            </w:pPr>
            <w:r w:rsidRPr="00536CFD">
              <w:rPr>
                <w:lang w:val="zh-CN"/>
              </w:rPr>
              <w:t>59.8555</w:t>
            </w:r>
          </w:p>
        </w:tc>
      </w:tr>
      <w:tr w:rsidR="009D4A93" w:rsidRPr="00536CFD" w14:paraId="30C68C4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C25F6FE"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7813096"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4231BAD1"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08D8B2FB" w14:textId="77777777" w:rsidR="009D4A93" w:rsidRPr="00536CFD" w:rsidRDefault="009D4A93" w:rsidP="009D4A93">
            <w:pPr>
              <w:keepLines/>
              <w:spacing w:after="0"/>
              <w:jc w:val="center"/>
            </w:pPr>
            <w:r w:rsidRPr="00536CFD">
              <w:rPr>
                <w:lang w:val="zh-CN"/>
              </w:rPr>
              <w:t>49.537</w:t>
            </w:r>
          </w:p>
        </w:tc>
        <w:tc>
          <w:tcPr>
            <w:tcW w:w="720" w:type="dxa"/>
            <w:tcBorders>
              <w:top w:val="single" w:sz="4" w:space="0" w:color="auto"/>
              <w:left w:val="nil"/>
              <w:bottom w:val="single" w:sz="4" w:space="0" w:color="auto"/>
              <w:right w:val="single" w:sz="4" w:space="0" w:color="auto"/>
            </w:tcBorders>
            <w:shd w:val="clear" w:color="auto" w:fill="auto"/>
          </w:tcPr>
          <w:p w14:paraId="7C56EC7F" w14:textId="77777777" w:rsidR="009D4A93" w:rsidRPr="00536CFD" w:rsidRDefault="009D4A93" w:rsidP="009D4A93">
            <w:pPr>
              <w:keepLines/>
              <w:spacing w:after="0"/>
              <w:jc w:val="center"/>
            </w:pPr>
            <w:r w:rsidRPr="00536CFD">
              <w:rPr>
                <w:lang w:val="zh-CN"/>
              </w:rPr>
              <w:t>58.413</w:t>
            </w:r>
          </w:p>
        </w:tc>
        <w:tc>
          <w:tcPr>
            <w:tcW w:w="720" w:type="dxa"/>
            <w:tcBorders>
              <w:top w:val="single" w:sz="4" w:space="0" w:color="auto"/>
              <w:left w:val="nil"/>
              <w:bottom w:val="single" w:sz="4" w:space="0" w:color="auto"/>
              <w:right w:val="single" w:sz="4" w:space="0" w:color="auto"/>
            </w:tcBorders>
            <w:shd w:val="clear" w:color="auto" w:fill="auto"/>
          </w:tcPr>
          <w:p w14:paraId="2DBBAF83" w14:textId="77777777" w:rsidR="009D4A93" w:rsidRPr="00536CFD" w:rsidRDefault="009D4A93" w:rsidP="009D4A93">
            <w:pPr>
              <w:keepLines/>
              <w:spacing w:after="0"/>
              <w:jc w:val="center"/>
            </w:pPr>
            <w:r w:rsidRPr="00536CFD">
              <w:rPr>
                <w:lang w:val="zh-CN"/>
              </w:rPr>
              <w:t>42.110</w:t>
            </w:r>
          </w:p>
        </w:tc>
        <w:tc>
          <w:tcPr>
            <w:tcW w:w="810" w:type="dxa"/>
            <w:tcBorders>
              <w:top w:val="single" w:sz="4" w:space="0" w:color="auto"/>
              <w:left w:val="nil"/>
              <w:bottom w:val="single" w:sz="4" w:space="0" w:color="auto"/>
              <w:right w:val="single" w:sz="4" w:space="0" w:color="auto"/>
            </w:tcBorders>
            <w:shd w:val="clear" w:color="auto" w:fill="auto"/>
          </w:tcPr>
          <w:p w14:paraId="1448F34F" w14:textId="77777777" w:rsidR="009D4A93" w:rsidRPr="00536CFD" w:rsidRDefault="009D4A93" w:rsidP="009D4A93">
            <w:pPr>
              <w:keepLines/>
              <w:spacing w:after="0"/>
              <w:jc w:val="center"/>
            </w:pPr>
            <w:r w:rsidRPr="00536CFD">
              <w:rPr>
                <w:lang w:val="zh-CN"/>
              </w:rPr>
              <w:t>74.4228</w:t>
            </w:r>
          </w:p>
        </w:tc>
        <w:tc>
          <w:tcPr>
            <w:tcW w:w="810" w:type="dxa"/>
            <w:tcBorders>
              <w:top w:val="single" w:sz="4" w:space="0" w:color="auto"/>
              <w:left w:val="nil"/>
              <w:bottom w:val="single" w:sz="4" w:space="0" w:color="auto"/>
              <w:right w:val="single" w:sz="4" w:space="0" w:color="auto"/>
            </w:tcBorders>
            <w:shd w:val="clear" w:color="auto" w:fill="auto"/>
          </w:tcPr>
          <w:p w14:paraId="4DAAD273" w14:textId="77777777" w:rsidR="009D4A93" w:rsidRPr="00536CFD" w:rsidRDefault="009D4A93" w:rsidP="009D4A93">
            <w:pPr>
              <w:keepLines/>
              <w:spacing w:after="0"/>
              <w:jc w:val="center"/>
            </w:pPr>
            <w:r w:rsidRPr="00536CFD">
              <w:rPr>
                <w:lang w:val="zh-CN"/>
              </w:rPr>
              <w:t>34.770</w:t>
            </w:r>
          </w:p>
        </w:tc>
        <w:tc>
          <w:tcPr>
            <w:tcW w:w="820" w:type="dxa"/>
            <w:tcBorders>
              <w:top w:val="single" w:sz="4" w:space="0" w:color="auto"/>
              <w:left w:val="nil"/>
              <w:bottom w:val="single" w:sz="4" w:space="0" w:color="auto"/>
              <w:right w:val="single" w:sz="4" w:space="0" w:color="auto"/>
            </w:tcBorders>
            <w:shd w:val="clear" w:color="auto" w:fill="auto"/>
          </w:tcPr>
          <w:p w14:paraId="2D585AD3" w14:textId="77777777" w:rsidR="009D4A93" w:rsidRPr="00536CFD" w:rsidRDefault="009D4A93" w:rsidP="009D4A93">
            <w:pPr>
              <w:keepLines/>
              <w:spacing w:after="0"/>
              <w:jc w:val="center"/>
            </w:pPr>
            <w:r w:rsidRPr="00536CFD">
              <w:rPr>
                <w:lang w:val="zh-CN"/>
              </w:rPr>
              <w:t>50.625</w:t>
            </w:r>
          </w:p>
        </w:tc>
        <w:tc>
          <w:tcPr>
            <w:tcW w:w="800" w:type="dxa"/>
            <w:tcBorders>
              <w:top w:val="single" w:sz="4" w:space="0" w:color="auto"/>
              <w:left w:val="nil"/>
              <w:bottom w:val="single" w:sz="4" w:space="0" w:color="auto"/>
              <w:right w:val="single" w:sz="4" w:space="0" w:color="auto"/>
            </w:tcBorders>
            <w:shd w:val="clear" w:color="auto" w:fill="auto"/>
          </w:tcPr>
          <w:p w14:paraId="31A10A59" w14:textId="77777777" w:rsidR="009D4A93" w:rsidRPr="00536CFD" w:rsidRDefault="009D4A93" w:rsidP="009D4A93">
            <w:pPr>
              <w:keepLines/>
              <w:spacing w:after="0"/>
              <w:jc w:val="center"/>
            </w:pPr>
            <w:r w:rsidRPr="00536CFD">
              <w:rPr>
                <w:lang w:val="zh-CN"/>
              </w:rPr>
              <w:t>29.733</w:t>
            </w:r>
          </w:p>
        </w:tc>
        <w:tc>
          <w:tcPr>
            <w:tcW w:w="720" w:type="dxa"/>
            <w:tcBorders>
              <w:top w:val="single" w:sz="4" w:space="0" w:color="auto"/>
              <w:left w:val="nil"/>
              <w:bottom w:val="single" w:sz="4" w:space="0" w:color="auto"/>
              <w:right w:val="single" w:sz="4" w:space="0" w:color="auto"/>
            </w:tcBorders>
            <w:shd w:val="clear" w:color="auto" w:fill="auto"/>
          </w:tcPr>
          <w:p w14:paraId="0A16CCEE" w14:textId="77777777" w:rsidR="009D4A93" w:rsidRPr="00536CFD" w:rsidRDefault="009D4A93" w:rsidP="009D4A93">
            <w:pPr>
              <w:keepLines/>
              <w:spacing w:after="0"/>
              <w:jc w:val="center"/>
            </w:pPr>
            <w:r w:rsidRPr="00536CFD">
              <w:rPr>
                <w:lang w:val="zh-CN"/>
              </w:rPr>
              <w:t>62.8715</w:t>
            </w:r>
          </w:p>
        </w:tc>
        <w:tc>
          <w:tcPr>
            <w:tcW w:w="724" w:type="dxa"/>
            <w:tcBorders>
              <w:top w:val="single" w:sz="4" w:space="0" w:color="auto"/>
              <w:left w:val="nil"/>
              <w:bottom w:val="single" w:sz="4" w:space="0" w:color="auto"/>
              <w:right w:val="single" w:sz="4" w:space="0" w:color="auto"/>
            </w:tcBorders>
            <w:shd w:val="clear" w:color="auto" w:fill="auto"/>
          </w:tcPr>
          <w:p w14:paraId="27C07CB6" w14:textId="77777777" w:rsidR="009D4A93" w:rsidRPr="00536CFD" w:rsidRDefault="009D4A93" w:rsidP="009D4A93">
            <w:pPr>
              <w:keepLines/>
              <w:spacing w:after="0"/>
              <w:jc w:val="center"/>
            </w:pPr>
            <w:r w:rsidRPr="00536CFD">
              <w:rPr>
                <w:lang w:val="zh-CN"/>
              </w:rPr>
              <w:t>23.108</w:t>
            </w:r>
          </w:p>
        </w:tc>
        <w:tc>
          <w:tcPr>
            <w:tcW w:w="896" w:type="dxa"/>
            <w:tcBorders>
              <w:top w:val="single" w:sz="4" w:space="0" w:color="auto"/>
              <w:left w:val="nil"/>
              <w:bottom w:val="single" w:sz="4" w:space="0" w:color="auto"/>
              <w:right w:val="single" w:sz="4" w:space="0" w:color="auto"/>
            </w:tcBorders>
            <w:shd w:val="clear" w:color="auto" w:fill="auto"/>
          </w:tcPr>
          <w:p w14:paraId="1E7D1914" w14:textId="77777777" w:rsidR="009D4A93" w:rsidRPr="00536CFD" w:rsidRDefault="009D4A93" w:rsidP="009D4A93">
            <w:pPr>
              <w:keepLines/>
              <w:spacing w:after="0"/>
              <w:jc w:val="center"/>
            </w:pPr>
            <w:r w:rsidRPr="00536CFD">
              <w:rPr>
                <w:lang w:val="zh-CN"/>
              </w:rPr>
              <w:t>49.411</w:t>
            </w:r>
          </w:p>
        </w:tc>
        <w:tc>
          <w:tcPr>
            <w:tcW w:w="720" w:type="dxa"/>
            <w:tcBorders>
              <w:top w:val="single" w:sz="4" w:space="0" w:color="auto"/>
              <w:left w:val="nil"/>
              <w:bottom w:val="single" w:sz="4" w:space="0" w:color="auto"/>
              <w:right w:val="single" w:sz="4" w:space="0" w:color="auto"/>
            </w:tcBorders>
            <w:shd w:val="clear" w:color="auto" w:fill="auto"/>
          </w:tcPr>
          <w:p w14:paraId="4037C844" w14:textId="77777777" w:rsidR="009D4A93" w:rsidRPr="00536CFD" w:rsidRDefault="009D4A93" w:rsidP="009D4A93">
            <w:pPr>
              <w:keepLines/>
              <w:spacing w:after="0"/>
              <w:jc w:val="center"/>
            </w:pPr>
            <w:r w:rsidRPr="00536CFD">
              <w:rPr>
                <w:lang w:val="zh-CN"/>
              </w:rPr>
              <w:t>17.757</w:t>
            </w:r>
          </w:p>
        </w:tc>
        <w:tc>
          <w:tcPr>
            <w:tcW w:w="720" w:type="dxa"/>
            <w:tcBorders>
              <w:top w:val="single" w:sz="4" w:space="0" w:color="auto"/>
              <w:left w:val="nil"/>
              <w:bottom w:val="single" w:sz="4" w:space="0" w:color="auto"/>
              <w:right w:val="single" w:sz="4" w:space="0" w:color="auto"/>
            </w:tcBorders>
            <w:shd w:val="clear" w:color="auto" w:fill="auto"/>
          </w:tcPr>
          <w:p w14:paraId="370AB4CA" w14:textId="77777777" w:rsidR="009D4A93" w:rsidRPr="00536CFD" w:rsidRDefault="009D4A93" w:rsidP="009D4A93">
            <w:pPr>
              <w:keepLines/>
              <w:spacing w:after="0"/>
              <w:jc w:val="center"/>
            </w:pPr>
            <w:r w:rsidRPr="00536CFD">
              <w:rPr>
                <w:lang w:val="zh-CN"/>
              </w:rPr>
              <w:t>16.4273</w:t>
            </w:r>
          </w:p>
        </w:tc>
      </w:tr>
      <w:tr w:rsidR="009D4A93" w:rsidRPr="00536CFD" w14:paraId="48572D9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C00C3BB"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461B666"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439F3C40"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4ED72AE2" w14:textId="77777777" w:rsidR="009D4A93" w:rsidRPr="00536CFD" w:rsidRDefault="009D4A93" w:rsidP="009D4A93">
            <w:pPr>
              <w:keepLines/>
              <w:spacing w:after="0"/>
              <w:jc w:val="center"/>
            </w:pPr>
            <w:r w:rsidRPr="00536CFD">
              <w:rPr>
                <w:lang w:val="zh-CN"/>
              </w:rPr>
              <w:t>60.993</w:t>
            </w:r>
          </w:p>
        </w:tc>
        <w:tc>
          <w:tcPr>
            <w:tcW w:w="720" w:type="dxa"/>
            <w:tcBorders>
              <w:top w:val="single" w:sz="4" w:space="0" w:color="auto"/>
              <w:left w:val="nil"/>
              <w:bottom w:val="single" w:sz="4" w:space="0" w:color="auto"/>
              <w:right w:val="single" w:sz="4" w:space="0" w:color="auto"/>
            </w:tcBorders>
            <w:shd w:val="clear" w:color="auto" w:fill="auto"/>
          </w:tcPr>
          <w:p w14:paraId="2F94EC74" w14:textId="77777777" w:rsidR="009D4A93" w:rsidRPr="00536CFD" w:rsidRDefault="009D4A93" w:rsidP="009D4A93">
            <w:pPr>
              <w:keepLines/>
              <w:spacing w:after="0"/>
              <w:jc w:val="center"/>
            </w:pPr>
            <w:r w:rsidRPr="00536CFD">
              <w:rPr>
                <w:lang w:val="zh-CN"/>
              </w:rPr>
              <w:t>64.496</w:t>
            </w:r>
          </w:p>
        </w:tc>
        <w:tc>
          <w:tcPr>
            <w:tcW w:w="720" w:type="dxa"/>
            <w:tcBorders>
              <w:top w:val="single" w:sz="4" w:space="0" w:color="auto"/>
              <w:left w:val="nil"/>
              <w:bottom w:val="single" w:sz="4" w:space="0" w:color="auto"/>
              <w:right w:val="single" w:sz="4" w:space="0" w:color="auto"/>
            </w:tcBorders>
            <w:shd w:val="clear" w:color="auto" w:fill="auto"/>
          </w:tcPr>
          <w:p w14:paraId="7F3FFB7F" w14:textId="77777777" w:rsidR="009D4A93" w:rsidRPr="00536CFD" w:rsidRDefault="009D4A93" w:rsidP="009D4A93">
            <w:pPr>
              <w:keepLines/>
              <w:spacing w:after="0"/>
              <w:jc w:val="center"/>
            </w:pPr>
            <w:r w:rsidRPr="00536CFD">
              <w:rPr>
                <w:lang w:val="zh-CN"/>
              </w:rPr>
              <w:t>76.645</w:t>
            </w:r>
          </w:p>
        </w:tc>
        <w:tc>
          <w:tcPr>
            <w:tcW w:w="810" w:type="dxa"/>
            <w:tcBorders>
              <w:top w:val="single" w:sz="4" w:space="0" w:color="auto"/>
              <w:left w:val="nil"/>
              <w:bottom w:val="single" w:sz="4" w:space="0" w:color="auto"/>
              <w:right w:val="single" w:sz="4" w:space="0" w:color="auto"/>
            </w:tcBorders>
            <w:shd w:val="clear" w:color="auto" w:fill="auto"/>
          </w:tcPr>
          <w:p w14:paraId="54A043C7" w14:textId="77777777" w:rsidR="009D4A93" w:rsidRPr="00536CFD" w:rsidRDefault="009D4A93" w:rsidP="009D4A93">
            <w:pPr>
              <w:keepLines/>
              <w:spacing w:after="0"/>
              <w:jc w:val="center"/>
            </w:pPr>
            <w:r w:rsidRPr="00536CFD">
              <w:rPr>
                <w:lang w:val="zh-CN"/>
              </w:rPr>
              <w:t>92.7418</w:t>
            </w:r>
          </w:p>
        </w:tc>
        <w:tc>
          <w:tcPr>
            <w:tcW w:w="810" w:type="dxa"/>
            <w:tcBorders>
              <w:top w:val="single" w:sz="4" w:space="0" w:color="auto"/>
              <w:left w:val="nil"/>
              <w:bottom w:val="single" w:sz="4" w:space="0" w:color="auto"/>
              <w:right w:val="single" w:sz="4" w:space="0" w:color="auto"/>
            </w:tcBorders>
            <w:shd w:val="clear" w:color="auto" w:fill="auto"/>
          </w:tcPr>
          <w:p w14:paraId="235500E3" w14:textId="77777777" w:rsidR="009D4A93" w:rsidRPr="00536CFD" w:rsidRDefault="009D4A93" w:rsidP="009D4A93">
            <w:pPr>
              <w:keepLines/>
              <w:spacing w:after="0"/>
              <w:jc w:val="center"/>
            </w:pPr>
            <w:r w:rsidRPr="00536CFD">
              <w:rPr>
                <w:lang w:val="zh-CN"/>
              </w:rPr>
              <w:t>39.682</w:t>
            </w:r>
          </w:p>
        </w:tc>
        <w:tc>
          <w:tcPr>
            <w:tcW w:w="820" w:type="dxa"/>
            <w:tcBorders>
              <w:top w:val="single" w:sz="4" w:space="0" w:color="auto"/>
              <w:left w:val="nil"/>
              <w:bottom w:val="single" w:sz="4" w:space="0" w:color="auto"/>
              <w:right w:val="single" w:sz="4" w:space="0" w:color="auto"/>
            </w:tcBorders>
            <w:shd w:val="clear" w:color="auto" w:fill="auto"/>
          </w:tcPr>
          <w:p w14:paraId="0F0FC4E8" w14:textId="77777777" w:rsidR="009D4A93" w:rsidRPr="00536CFD" w:rsidRDefault="009D4A93" w:rsidP="009D4A93">
            <w:pPr>
              <w:keepLines/>
              <w:spacing w:after="0"/>
              <w:jc w:val="center"/>
            </w:pPr>
            <w:r w:rsidRPr="00536CFD">
              <w:rPr>
                <w:lang w:val="zh-CN"/>
              </w:rPr>
              <w:t>54.735</w:t>
            </w:r>
          </w:p>
        </w:tc>
        <w:tc>
          <w:tcPr>
            <w:tcW w:w="800" w:type="dxa"/>
            <w:tcBorders>
              <w:top w:val="single" w:sz="4" w:space="0" w:color="auto"/>
              <w:left w:val="nil"/>
              <w:bottom w:val="single" w:sz="4" w:space="0" w:color="auto"/>
              <w:right w:val="single" w:sz="4" w:space="0" w:color="auto"/>
            </w:tcBorders>
            <w:shd w:val="clear" w:color="auto" w:fill="auto"/>
          </w:tcPr>
          <w:p w14:paraId="6B01B3D9" w14:textId="77777777" w:rsidR="009D4A93" w:rsidRPr="00536CFD" w:rsidRDefault="009D4A93" w:rsidP="009D4A93">
            <w:pPr>
              <w:keepLines/>
              <w:spacing w:after="0"/>
              <w:jc w:val="center"/>
            </w:pPr>
            <w:r w:rsidRPr="00536CFD">
              <w:rPr>
                <w:lang w:val="zh-CN"/>
              </w:rPr>
              <w:t>55.973</w:t>
            </w:r>
          </w:p>
        </w:tc>
        <w:tc>
          <w:tcPr>
            <w:tcW w:w="720" w:type="dxa"/>
            <w:tcBorders>
              <w:top w:val="single" w:sz="4" w:space="0" w:color="auto"/>
              <w:left w:val="nil"/>
              <w:bottom w:val="single" w:sz="4" w:space="0" w:color="auto"/>
              <w:right w:val="single" w:sz="4" w:space="0" w:color="auto"/>
            </w:tcBorders>
            <w:shd w:val="clear" w:color="auto" w:fill="auto"/>
          </w:tcPr>
          <w:p w14:paraId="3B5D752F" w14:textId="77777777" w:rsidR="009D4A93" w:rsidRPr="00536CFD" w:rsidRDefault="009D4A93" w:rsidP="009D4A93">
            <w:pPr>
              <w:keepLines/>
              <w:spacing w:after="0"/>
              <w:jc w:val="center"/>
            </w:pPr>
            <w:r w:rsidRPr="00536CFD">
              <w:rPr>
                <w:lang w:val="zh-CN"/>
              </w:rPr>
              <w:t>90.0290</w:t>
            </w:r>
          </w:p>
        </w:tc>
        <w:tc>
          <w:tcPr>
            <w:tcW w:w="724" w:type="dxa"/>
            <w:tcBorders>
              <w:top w:val="single" w:sz="4" w:space="0" w:color="auto"/>
              <w:left w:val="nil"/>
              <w:bottom w:val="single" w:sz="4" w:space="0" w:color="auto"/>
              <w:right w:val="single" w:sz="4" w:space="0" w:color="auto"/>
            </w:tcBorders>
            <w:shd w:val="clear" w:color="auto" w:fill="auto"/>
          </w:tcPr>
          <w:p w14:paraId="0B654E8A" w14:textId="77777777" w:rsidR="009D4A93" w:rsidRPr="00536CFD" w:rsidRDefault="009D4A93" w:rsidP="009D4A93">
            <w:pPr>
              <w:keepLines/>
              <w:spacing w:after="0"/>
              <w:jc w:val="center"/>
            </w:pPr>
            <w:r w:rsidRPr="00536CFD">
              <w:rPr>
                <w:lang w:val="zh-CN"/>
              </w:rPr>
              <w:t>36.185</w:t>
            </w:r>
          </w:p>
        </w:tc>
        <w:tc>
          <w:tcPr>
            <w:tcW w:w="896" w:type="dxa"/>
            <w:tcBorders>
              <w:top w:val="single" w:sz="4" w:space="0" w:color="auto"/>
              <w:left w:val="nil"/>
              <w:bottom w:val="single" w:sz="4" w:space="0" w:color="auto"/>
              <w:right w:val="single" w:sz="4" w:space="0" w:color="auto"/>
            </w:tcBorders>
            <w:shd w:val="clear" w:color="auto" w:fill="auto"/>
          </w:tcPr>
          <w:p w14:paraId="4882BC07" w14:textId="77777777" w:rsidR="009D4A93" w:rsidRPr="00536CFD" w:rsidRDefault="009D4A93" w:rsidP="009D4A93">
            <w:pPr>
              <w:keepLines/>
              <w:spacing w:after="0"/>
              <w:jc w:val="center"/>
            </w:pPr>
            <w:r w:rsidRPr="00536CFD">
              <w:rPr>
                <w:lang w:val="zh-CN"/>
              </w:rPr>
              <w:t>54.341</w:t>
            </w:r>
          </w:p>
        </w:tc>
        <w:tc>
          <w:tcPr>
            <w:tcW w:w="720" w:type="dxa"/>
            <w:tcBorders>
              <w:top w:val="single" w:sz="4" w:space="0" w:color="auto"/>
              <w:left w:val="nil"/>
              <w:bottom w:val="single" w:sz="4" w:space="0" w:color="auto"/>
              <w:right w:val="single" w:sz="4" w:space="0" w:color="auto"/>
            </w:tcBorders>
            <w:shd w:val="clear" w:color="auto" w:fill="auto"/>
          </w:tcPr>
          <w:p w14:paraId="5A7445B6" w14:textId="77777777" w:rsidR="009D4A93" w:rsidRPr="00536CFD" w:rsidRDefault="009D4A93" w:rsidP="009D4A93">
            <w:pPr>
              <w:keepLines/>
              <w:spacing w:after="0"/>
              <w:jc w:val="center"/>
            </w:pPr>
            <w:r w:rsidRPr="00536CFD">
              <w:rPr>
                <w:lang w:val="zh-CN"/>
              </w:rPr>
              <w:t>42.229</w:t>
            </w:r>
          </w:p>
        </w:tc>
        <w:tc>
          <w:tcPr>
            <w:tcW w:w="720" w:type="dxa"/>
            <w:tcBorders>
              <w:top w:val="single" w:sz="4" w:space="0" w:color="auto"/>
              <w:left w:val="nil"/>
              <w:bottom w:val="single" w:sz="4" w:space="0" w:color="auto"/>
              <w:right w:val="single" w:sz="4" w:space="0" w:color="auto"/>
            </w:tcBorders>
            <w:shd w:val="clear" w:color="auto" w:fill="auto"/>
          </w:tcPr>
          <w:p w14:paraId="39A349E8" w14:textId="77777777" w:rsidR="009D4A93" w:rsidRPr="00536CFD" w:rsidRDefault="009D4A93" w:rsidP="009D4A93">
            <w:pPr>
              <w:keepLines/>
              <w:spacing w:after="0"/>
              <w:jc w:val="center"/>
            </w:pPr>
            <w:r w:rsidRPr="00536CFD">
              <w:rPr>
                <w:lang w:val="zh-CN"/>
              </w:rPr>
              <w:t>62.9272</w:t>
            </w:r>
          </w:p>
        </w:tc>
      </w:tr>
      <w:tr w:rsidR="009D4A93" w:rsidRPr="00536CFD" w14:paraId="19C8997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37D9BD4"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4CFEBE9"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0799FF99"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39EF3BAB" w14:textId="77777777" w:rsidR="009D4A93" w:rsidRPr="00536CFD" w:rsidRDefault="009D4A93" w:rsidP="009D4A93">
            <w:pPr>
              <w:keepLines/>
              <w:spacing w:after="0"/>
              <w:jc w:val="center"/>
            </w:pPr>
            <w:r w:rsidRPr="00536CFD">
              <w:rPr>
                <w:lang w:val="zh-CN"/>
              </w:rPr>
              <w:t>50.859</w:t>
            </w:r>
          </w:p>
        </w:tc>
        <w:tc>
          <w:tcPr>
            <w:tcW w:w="720" w:type="dxa"/>
            <w:tcBorders>
              <w:top w:val="single" w:sz="4" w:space="0" w:color="auto"/>
              <w:left w:val="nil"/>
              <w:bottom w:val="single" w:sz="4" w:space="0" w:color="auto"/>
              <w:right w:val="single" w:sz="4" w:space="0" w:color="auto"/>
            </w:tcBorders>
            <w:shd w:val="clear" w:color="auto" w:fill="auto"/>
          </w:tcPr>
          <w:p w14:paraId="29D0D39B" w14:textId="77777777" w:rsidR="009D4A93" w:rsidRPr="00536CFD" w:rsidRDefault="009D4A93" w:rsidP="009D4A93">
            <w:pPr>
              <w:keepLines/>
              <w:spacing w:after="0"/>
              <w:jc w:val="center"/>
            </w:pPr>
            <w:r w:rsidRPr="00536CFD">
              <w:rPr>
                <w:lang w:val="zh-CN"/>
              </w:rPr>
              <w:t>58.871</w:t>
            </w:r>
          </w:p>
        </w:tc>
        <w:tc>
          <w:tcPr>
            <w:tcW w:w="720" w:type="dxa"/>
            <w:tcBorders>
              <w:top w:val="single" w:sz="4" w:space="0" w:color="auto"/>
              <w:left w:val="nil"/>
              <w:bottom w:val="single" w:sz="4" w:space="0" w:color="auto"/>
              <w:right w:val="single" w:sz="4" w:space="0" w:color="auto"/>
            </w:tcBorders>
            <w:shd w:val="clear" w:color="auto" w:fill="auto"/>
          </w:tcPr>
          <w:p w14:paraId="4B52BBE6" w14:textId="77777777" w:rsidR="009D4A93" w:rsidRPr="00536CFD" w:rsidRDefault="009D4A93" w:rsidP="009D4A93">
            <w:pPr>
              <w:keepLines/>
              <w:spacing w:after="0"/>
              <w:jc w:val="center"/>
            </w:pPr>
            <w:r w:rsidRPr="00536CFD">
              <w:rPr>
                <w:lang w:val="zh-CN"/>
              </w:rPr>
              <w:t>49.220</w:t>
            </w:r>
          </w:p>
        </w:tc>
        <w:tc>
          <w:tcPr>
            <w:tcW w:w="810" w:type="dxa"/>
            <w:tcBorders>
              <w:top w:val="single" w:sz="4" w:space="0" w:color="auto"/>
              <w:left w:val="nil"/>
              <w:bottom w:val="single" w:sz="4" w:space="0" w:color="auto"/>
              <w:right w:val="single" w:sz="4" w:space="0" w:color="auto"/>
            </w:tcBorders>
            <w:shd w:val="clear" w:color="auto" w:fill="auto"/>
          </w:tcPr>
          <w:p w14:paraId="3FFF312F" w14:textId="77777777" w:rsidR="009D4A93" w:rsidRPr="00536CFD" w:rsidRDefault="009D4A93" w:rsidP="009D4A93">
            <w:pPr>
              <w:keepLines/>
              <w:spacing w:after="0"/>
              <w:jc w:val="center"/>
            </w:pPr>
            <w:r w:rsidRPr="00536CFD">
              <w:rPr>
                <w:lang w:val="zh-CN"/>
              </w:rPr>
              <w:t>68.3392</w:t>
            </w:r>
          </w:p>
        </w:tc>
        <w:tc>
          <w:tcPr>
            <w:tcW w:w="810" w:type="dxa"/>
            <w:tcBorders>
              <w:top w:val="single" w:sz="4" w:space="0" w:color="auto"/>
              <w:left w:val="nil"/>
              <w:bottom w:val="single" w:sz="4" w:space="0" w:color="auto"/>
              <w:right w:val="single" w:sz="4" w:space="0" w:color="auto"/>
            </w:tcBorders>
            <w:shd w:val="clear" w:color="auto" w:fill="auto"/>
          </w:tcPr>
          <w:p w14:paraId="3C0EAE9E" w14:textId="77777777" w:rsidR="009D4A93" w:rsidRPr="00536CFD" w:rsidRDefault="009D4A93" w:rsidP="009D4A93">
            <w:pPr>
              <w:keepLines/>
              <w:spacing w:after="0"/>
              <w:jc w:val="center"/>
            </w:pPr>
            <w:r w:rsidRPr="00536CFD">
              <w:rPr>
                <w:lang w:val="zh-CN"/>
              </w:rPr>
              <w:t>34.875</w:t>
            </w:r>
          </w:p>
        </w:tc>
        <w:tc>
          <w:tcPr>
            <w:tcW w:w="820" w:type="dxa"/>
            <w:tcBorders>
              <w:top w:val="single" w:sz="4" w:space="0" w:color="auto"/>
              <w:left w:val="nil"/>
              <w:bottom w:val="single" w:sz="4" w:space="0" w:color="auto"/>
              <w:right w:val="single" w:sz="4" w:space="0" w:color="auto"/>
            </w:tcBorders>
            <w:shd w:val="clear" w:color="auto" w:fill="auto"/>
          </w:tcPr>
          <w:p w14:paraId="1A4DB55F" w14:textId="77777777" w:rsidR="009D4A93" w:rsidRPr="00536CFD" w:rsidRDefault="009D4A93" w:rsidP="009D4A93">
            <w:pPr>
              <w:keepLines/>
              <w:spacing w:after="0"/>
              <w:jc w:val="center"/>
            </w:pPr>
            <w:r w:rsidRPr="00536CFD">
              <w:rPr>
                <w:lang w:val="zh-CN"/>
              </w:rPr>
              <w:t>51.439</w:t>
            </w:r>
          </w:p>
        </w:tc>
        <w:tc>
          <w:tcPr>
            <w:tcW w:w="800" w:type="dxa"/>
            <w:tcBorders>
              <w:top w:val="single" w:sz="4" w:space="0" w:color="auto"/>
              <w:left w:val="nil"/>
              <w:bottom w:val="single" w:sz="4" w:space="0" w:color="auto"/>
              <w:right w:val="single" w:sz="4" w:space="0" w:color="auto"/>
            </w:tcBorders>
            <w:shd w:val="clear" w:color="auto" w:fill="auto"/>
          </w:tcPr>
          <w:p w14:paraId="3233CC6A" w14:textId="77777777" w:rsidR="009D4A93" w:rsidRPr="00536CFD" w:rsidRDefault="009D4A93" w:rsidP="009D4A93">
            <w:pPr>
              <w:keepLines/>
              <w:spacing w:after="0"/>
              <w:jc w:val="center"/>
            </w:pPr>
            <w:r w:rsidRPr="00536CFD">
              <w:rPr>
                <w:lang w:val="zh-CN"/>
              </w:rPr>
              <w:t>32.720</w:t>
            </w:r>
          </w:p>
        </w:tc>
        <w:tc>
          <w:tcPr>
            <w:tcW w:w="720" w:type="dxa"/>
            <w:tcBorders>
              <w:top w:val="single" w:sz="4" w:space="0" w:color="auto"/>
              <w:left w:val="nil"/>
              <w:bottom w:val="single" w:sz="4" w:space="0" w:color="auto"/>
              <w:right w:val="single" w:sz="4" w:space="0" w:color="auto"/>
            </w:tcBorders>
            <w:shd w:val="clear" w:color="auto" w:fill="auto"/>
          </w:tcPr>
          <w:p w14:paraId="0835BC41" w14:textId="77777777" w:rsidR="009D4A93" w:rsidRPr="00536CFD" w:rsidRDefault="009D4A93" w:rsidP="009D4A93">
            <w:pPr>
              <w:keepLines/>
              <w:spacing w:after="0"/>
              <w:jc w:val="center"/>
            </w:pPr>
            <w:r w:rsidRPr="00536CFD">
              <w:rPr>
                <w:lang w:val="zh-CN"/>
              </w:rPr>
              <w:t>62.3984</w:t>
            </w:r>
          </w:p>
        </w:tc>
        <w:tc>
          <w:tcPr>
            <w:tcW w:w="724" w:type="dxa"/>
            <w:tcBorders>
              <w:top w:val="single" w:sz="4" w:space="0" w:color="auto"/>
              <w:left w:val="nil"/>
              <w:bottom w:val="single" w:sz="4" w:space="0" w:color="auto"/>
              <w:right w:val="single" w:sz="4" w:space="0" w:color="auto"/>
            </w:tcBorders>
            <w:shd w:val="clear" w:color="auto" w:fill="auto"/>
          </w:tcPr>
          <w:p w14:paraId="1083B081" w14:textId="77777777" w:rsidR="009D4A93" w:rsidRPr="00536CFD" w:rsidRDefault="009D4A93" w:rsidP="009D4A93">
            <w:pPr>
              <w:keepLines/>
              <w:spacing w:after="0"/>
              <w:jc w:val="center"/>
            </w:pPr>
            <w:r w:rsidRPr="00536CFD">
              <w:rPr>
                <w:lang w:val="zh-CN"/>
              </w:rPr>
              <w:t>23.966</w:t>
            </w:r>
          </w:p>
        </w:tc>
        <w:tc>
          <w:tcPr>
            <w:tcW w:w="896" w:type="dxa"/>
            <w:tcBorders>
              <w:top w:val="single" w:sz="4" w:space="0" w:color="auto"/>
              <w:left w:val="nil"/>
              <w:bottom w:val="single" w:sz="4" w:space="0" w:color="auto"/>
              <w:right w:val="single" w:sz="4" w:space="0" w:color="auto"/>
            </w:tcBorders>
            <w:shd w:val="clear" w:color="auto" w:fill="auto"/>
          </w:tcPr>
          <w:p w14:paraId="271702C2" w14:textId="77777777" w:rsidR="009D4A93" w:rsidRPr="00536CFD" w:rsidRDefault="009D4A93" w:rsidP="009D4A93">
            <w:pPr>
              <w:keepLines/>
              <w:spacing w:after="0"/>
              <w:jc w:val="center"/>
            </w:pPr>
            <w:r w:rsidRPr="00536CFD">
              <w:rPr>
                <w:lang w:val="zh-CN"/>
              </w:rPr>
              <w:t>48.391</w:t>
            </w:r>
          </w:p>
        </w:tc>
        <w:tc>
          <w:tcPr>
            <w:tcW w:w="720" w:type="dxa"/>
            <w:tcBorders>
              <w:top w:val="single" w:sz="4" w:space="0" w:color="auto"/>
              <w:left w:val="nil"/>
              <w:bottom w:val="single" w:sz="4" w:space="0" w:color="auto"/>
              <w:right w:val="single" w:sz="4" w:space="0" w:color="auto"/>
            </w:tcBorders>
            <w:shd w:val="clear" w:color="auto" w:fill="auto"/>
          </w:tcPr>
          <w:p w14:paraId="38D1814D" w14:textId="77777777" w:rsidR="009D4A93" w:rsidRPr="00536CFD" w:rsidRDefault="009D4A93" w:rsidP="009D4A93">
            <w:pPr>
              <w:keepLines/>
              <w:spacing w:after="0"/>
              <w:jc w:val="center"/>
            </w:pPr>
            <w:r w:rsidRPr="00536CFD">
              <w:rPr>
                <w:lang w:val="zh-CN"/>
              </w:rPr>
              <w:t>22.963</w:t>
            </w:r>
          </w:p>
        </w:tc>
        <w:tc>
          <w:tcPr>
            <w:tcW w:w="720" w:type="dxa"/>
            <w:tcBorders>
              <w:top w:val="single" w:sz="4" w:space="0" w:color="auto"/>
              <w:left w:val="nil"/>
              <w:bottom w:val="single" w:sz="4" w:space="0" w:color="auto"/>
              <w:right w:val="single" w:sz="4" w:space="0" w:color="auto"/>
            </w:tcBorders>
            <w:shd w:val="clear" w:color="auto" w:fill="auto"/>
          </w:tcPr>
          <w:p w14:paraId="585A42FC" w14:textId="77777777" w:rsidR="009D4A93" w:rsidRPr="00536CFD" w:rsidRDefault="009D4A93" w:rsidP="009D4A93">
            <w:pPr>
              <w:keepLines/>
              <w:spacing w:after="0"/>
              <w:jc w:val="center"/>
            </w:pPr>
            <w:r w:rsidRPr="00536CFD">
              <w:rPr>
                <w:lang w:val="zh-CN"/>
              </w:rPr>
              <w:t>84.8273</w:t>
            </w:r>
          </w:p>
        </w:tc>
      </w:tr>
      <w:tr w:rsidR="009D4A93" w:rsidRPr="00536CFD" w14:paraId="1C8D142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FB4FF04" w14:textId="77777777" w:rsidR="009D4A93" w:rsidRPr="00536CFD" w:rsidRDefault="009D4A93" w:rsidP="009D4A93">
            <w:pPr>
              <w:keepLines/>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1DA8158C"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544F4E36"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017849DC"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7EB62109"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2C1E453E" w14:textId="77777777" w:rsidR="009D4A93" w:rsidRPr="00536CFD" w:rsidRDefault="009D4A93" w:rsidP="009D4A93">
            <w:pPr>
              <w:keepLines/>
              <w:spacing w:after="0"/>
              <w:jc w:val="center"/>
            </w:pPr>
            <w:r w:rsidRPr="00536CFD">
              <w:rPr>
                <w:lang w:val="zh-CN"/>
              </w:rPr>
              <w:t>0.042</w:t>
            </w:r>
          </w:p>
        </w:tc>
        <w:tc>
          <w:tcPr>
            <w:tcW w:w="810" w:type="dxa"/>
            <w:tcBorders>
              <w:top w:val="single" w:sz="4" w:space="0" w:color="auto"/>
              <w:left w:val="nil"/>
              <w:bottom w:val="single" w:sz="4" w:space="0" w:color="auto"/>
              <w:right w:val="single" w:sz="4" w:space="0" w:color="auto"/>
            </w:tcBorders>
            <w:shd w:val="clear" w:color="auto" w:fill="auto"/>
          </w:tcPr>
          <w:p w14:paraId="20531AFD" w14:textId="77777777" w:rsidR="009D4A93" w:rsidRPr="00536CFD" w:rsidRDefault="009D4A93" w:rsidP="009D4A93">
            <w:pPr>
              <w:keepLines/>
              <w:spacing w:after="0"/>
              <w:jc w:val="center"/>
            </w:pPr>
            <w:r w:rsidRPr="00536CFD">
              <w:rPr>
                <w:lang w:val="zh-CN"/>
              </w:rPr>
              <w:t>0.041</w:t>
            </w:r>
          </w:p>
        </w:tc>
        <w:tc>
          <w:tcPr>
            <w:tcW w:w="810" w:type="dxa"/>
            <w:tcBorders>
              <w:top w:val="single" w:sz="4" w:space="0" w:color="auto"/>
              <w:left w:val="nil"/>
              <w:bottom w:val="single" w:sz="4" w:space="0" w:color="auto"/>
              <w:right w:val="single" w:sz="4" w:space="0" w:color="auto"/>
            </w:tcBorders>
            <w:shd w:val="clear" w:color="auto" w:fill="auto"/>
          </w:tcPr>
          <w:p w14:paraId="2F3F2FFB" w14:textId="77777777" w:rsidR="009D4A93" w:rsidRPr="00536CFD" w:rsidRDefault="009D4A93" w:rsidP="009D4A93">
            <w:pPr>
              <w:keepLines/>
              <w:spacing w:after="0"/>
              <w:jc w:val="center"/>
            </w:pPr>
            <w:r w:rsidRPr="00536CFD">
              <w:rPr>
                <w:lang w:val="zh-CN"/>
              </w:rPr>
              <w:t>0.062</w:t>
            </w:r>
          </w:p>
        </w:tc>
        <w:tc>
          <w:tcPr>
            <w:tcW w:w="820" w:type="dxa"/>
            <w:tcBorders>
              <w:top w:val="single" w:sz="4" w:space="0" w:color="auto"/>
              <w:left w:val="nil"/>
              <w:bottom w:val="single" w:sz="4" w:space="0" w:color="auto"/>
              <w:right w:val="single" w:sz="4" w:space="0" w:color="auto"/>
            </w:tcBorders>
            <w:shd w:val="clear" w:color="auto" w:fill="auto"/>
          </w:tcPr>
          <w:p w14:paraId="26208262" w14:textId="77777777" w:rsidR="009D4A93" w:rsidRPr="00536CFD" w:rsidRDefault="009D4A93" w:rsidP="009D4A93">
            <w:pPr>
              <w:keepLines/>
              <w:spacing w:after="0"/>
              <w:jc w:val="center"/>
            </w:pPr>
            <w:r w:rsidRPr="00536CFD">
              <w:rPr>
                <w:lang w:val="zh-CN"/>
              </w:rPr>
              <w:t>0.060</w:t>
            </w:r>
          </w:p>
        </w:tc>
        <w:tc>
          <w:tcPr>
            <w:tcW w:w="800" w:type="dxa"/>
            <w:tcBorders>
              <w:top w:val="single" w:sz="4" w:space="0" w:color="auto"/>
              <w:left w:val="nil"/>
              <w:bottom w:val="single" w:sz="4" w:space="0" w:color="auto"/>
              <w:right w:val="single" w:sz="4" w:space="0" w:color="auto"/>
            </w:tcBorders>
            <w:shd w:val="clear" w:color="auto" w:fill="auto"/>
          </w:tcPr>
          <w:p w14:paraId="4836A70B" w14:textId="77777777" w:rsidR="009D4A93" w:rsidRPr="00536CFD" w:rsidRDefault="009D4A93" w:rsidP="009D4A93">
            <w:pPr>
              <w:keepLines/>
              <w:spacing w:after="0"/>
              <w:jc w:val="center"/>
            </w:pPr>
            <w:r w:rsidRPr="00536CFD">
              <w:rPr>
                <w:lang w:val="zh-CN"/>
              </w:rPr>
              <w:t>0.042</w:t>
            </w:r>
          </w:p>
        </w:tc>
        <w:tc>
          <w:tcPr>
            <w:tcW w:w="720" w:type="dxa"/>
            <w:tcBorders>
              <w:top w:val="single" w:sz="4" w:space="0" w:color="auto"/>
              <w:left w:val="nil"/>
              <w:bottom w:val="single" w:sz="4" w:space="0" w:color="auto"/>
              <w:right w:val="single" w:sz="4" w:space="0" w:color="auto"/>
            </w:tcBorders>
            <w:shd w:val="clear" w:color="auto" w:fill="auto"/>
          </w:tcPr>
          <w:p w14:paraId="73B328BC" w14:textId="77777777" w:rsidR="009D4A93" w:rsidRPr="00536CFD" w:rsidRDefault="009D4A93" w:rsidP="009D4A93">
            <w:pPr>
              <w:keepLines/>
              <w:spacing w:after="0"/>
              <w:jc w:val="center"/>
            </w:pPr>
            <w:r w:rsidRPr="00536CFD">
              <w:rPr>
                <w:lang w:val="zh-CN"/>
              </w:rPr>
              <w:t>0.041</w:t>
            </w:r>
          </w:p>
        </w:tc>
        <w:tc>
          <w:tcPr>
            <w:tcW w:w="724" w:type="dxa"/>
            <w:tcBorders>
              <w:top w:val="single" w:sz="4" w:space="0" w:color="auto"/>
              <w:left w:val="nil"/>
              <w:bottom w:val="single" w:sz="4" w:space="0" w:color="auto"/>
              <w:right w:val="single" w:sz="4" w:space="0" w:color="auto"/>
            </w:tcBorders>
            <w:shd w:val="clear" w:color="auto" w:fill="auto"/>
          </w:tcPr>
          <w:p w14:paraId="3B2EA909" w14:textId="77777777" w:rsidR="009D4A93" w:rsidRPr="00536CFD" w:rsidRDefault="009D4A93" w:rsidP="009D4A93">
            <w:pPr>
              <w:keepLines/>
              <w:spacing w:after="0"/>
              <w:jc w:val="center"/>
            </w:pPr>
            <w:r w:rsidRPr="00536CFD">
              <w:rPr>
                <w:lang w:val="zh-CN"/>
              </w:rPr>
              <w:t>0.065</w:t>
            </w:r>
          </w:p>
        </w:tc>
        <w:tc>
          <w:tcPr>
            <w:tcW w:w="896" w:type="dxa"/>
            <w:tcBorders>
              <w:top w:val="single" w:sz="4" w:space="0" w:color="auto"/>
              <w:left w:val="nil"/>
              <w:bottom w:val="single" w:sz="4" w:space="0" w:color="auto"/>
              <w:right w:val="single" w:sz="4" w:space="0" w:color="auto"/>
            </w:tcBorders>
            <w:shd w:val="clear" w:color="auto" w:fill="auto"/>
          </w:tcPr>
          <w:p w14:paraId="0817981D"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0C333BD9" w14:textId="77777777" w:rsidR="009D4A93" w:rsidRPr="00536CFD" w:rsidRDefault="009D4A93" w:rsidP="009D4A93">
            <w:pPr>
              <w:keepLines/>
              <w:spacing w:after="0"/>
              <w:jc w:val="center"/>
            </w:pPr>
            <w:r w:rsidRPr="00536CFD">
              <w:rPr>
                <w:lang w:val="zh-CN"/>
              </w:rPr>
              <w:t>0.047</w:t>
            </w:r>
          </w:p>
        </w:tc>
        <w:tc>
          <w:tcPr>
            <w:tcW w:w="720" w:type="dxa"/>
            <w:tcBorders>
              <w:top w:val="single" w:sz="4" w:space="0" w:color="auto"/>
              <w:left w:val="nil"/>
              <w:bottom w:val="single" w:sz="4" w:space="0" w:color="auto"/>
              <w:right w:val="single" w:sz="4" w:space="0" w:color="auto"/>
            </w:tcBorders>
            <w:shd w:val="clear" w:color="auto" w:fill="auto"/>
          </w:tcPr>
          <w:p w14:paraId="248BA6DC" w14:textId="77777777" w:rsidR="009D4A93" w:rsidRPr="00536CFD" w:rsidRDefault="009D4A93" w:rsidP="009D4A93">
            <w:pPr>
              <w:keepLines/>
              <w:spacing w:after="0"/>
              <w:jc w:val="center"/>
            </w:pPr>
            <w:r w:rsidRPr="00536CFD">
              <w:rPr>
                <w:lang w:val="zh-CN"/>
              </w:rPr>
              <w:t>0.041</w:t>
            </w:r>
          </w:p>
        </w:tc>
      </w:tr>
      <w:tr w:rsidR="009D4A93" w:rsidRPr="00536CFD" w14:paraId="52AEFE1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B4AC18E"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DF056EE"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7843A320"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55D60B71" w14:textId="77777777" w:rsidR="009D4A93" w:rsidRPr="00536CFD" w:rsidRDefault="009D4A93" w:rsidP="009D4A93">
            <w:pPr>
              <w:keepLines/>
              <w:spacing w:after="0"/>
              <w:jc w:val="center"/>
            </w:pPr>
            <w:r w:rsidRPr="00536CFD">
              <w:rPr>
                <w:lang w:val="zh-CN"/>
              </w:rPr>
              <w:t>0.068</w:t>
            </w:r>
          </w:p>
        </w:tc>
        <w:tc>
          <w:tcPr>
            <w:tcW w:w="720" w:type="dxa"/>
            <w:tcBorders>
              <w:top w:val="single" w:sz="4" w:space="0" w:color="auto"/>
              <w:left w:val="nil"/>
              <w:bottom w:val="single" w:sz="4" w:space="0" w:color="auto"/>
              <w:right w:val="single" w:sz="4" w:space="0" w:color="auto"/>
            </w:tcBorders>
            <w:shd w:val="clear" w:color="auto" w:fill="auto"/>
          </w:tcPr>
          <w:p w14:paraId="0F81E1F8" w14:textId="77777777" w:rsidR="009D4A93" w:rsidRPr="00536CFD" w:rsidRDefault="009D4A93" w:rsidP="009D4A93">
            <w:pPr>
              <w:keepLines/>
              <w:spacing w:after="0"/>
              <w:jc w:val="center"/>
            </w:pPr>
            <w:r w:rsidRPr="00536CFD">
              <w:rPr>
                <w:lang w:val="zh-CN"/>
              </w:rPr>
              <w:t>0.062</w:t>
            </w:r>
          </w:p>
        </w:tc>
        <w:tc>
          <w:tcPr>
            <w:tcW w:w="720" w:type="dxa"/>
            <w:tcBorders>
              <w:top w:val="single" w:sz="4" w:space="0" w:color="auto"/>
              <w:left w:val="nil"/>
              <w:bottom w:val="single" w:sz="4" w:space="0" w:color="auto"/>
              <w:right w:val="single" w:sz="4" w:space="0" w:color="auto"/>
            </w:tcBorders>
            <w:shd w:val="clear" w:color="auto" w:fill="auto"/>
          </w:tcPr>
          <w:p w14:paraId="04C69A80" w14:textId="77777777" w:rsidR="009D4A93" w:rsidRPr="00536CFD" w:rsidRDefault="009D4A93" w:rsidP="009D4A93">
            <w:pPr>
              <w:keepLines/>
              <w:spacing w:after="0"/>
              <w:jc w:val="center"/>
            </w:pPr>
            <w:r w:rsidRPr="00536CFD">
              <w:rPr>
                <w:lang w:val="zh-CN"/>
              </w:rPr>
              <w:t>0.082</w:t>
            </w:r>
          </w:p>
        </w:tc>
        <w:tc>
          <w:tcPr>
            <w:tcW w:w="810" w:type="dxa"/>
            <w:tcBorders>
              <w:top w:val="single" w:sz="4" w:space="0" w:color="auto"/>
              <w:left w:val="nil"/>
              <w:bottom w:val="single" w:sz="4" w:space="0" w:color="auto"/>
              <w:right w:val="single" w:sz="4" w:space="0" w:color="auto"/>
            </w:tcBorders>
            <w:shd w:val="clear" w:color="auto" w:fill="auto"/>
          </w:tcPr>
          <w:p w14:paraId="5221C4D7" w14:textId="77777777" w:rsidR="009D4A93" w:rsidRPr="00536CFD" w:rsidRDefault="009D4A93" w:rsidP="009D4A93">
            <w:pPr>
              <w:keepLines/>
              <w:spacing w:after="0"/>
              <w:jc w:val="center"/>
            </w:pPr>
            <w:r w:rsidRPr="00536CFD">
              <w:rPr>
                <w:lang w:val="zh-CN"/>
              </w:rPr>
              <w:t>0.054</w:t>
            </w:r>
          </w:p>
        </w:tc>
        <w:tc>
          <w:tcPr>
            <w:tcW w:w="810" w:type="dxa"/>
            <w:tcBorders>
              <w:top w:val="single" w:sz="4" w:space="0" w:color="auto"/>
              <w:left w:val="nil"/>
              <w:bottom w:val="single" w:sz="4" w:space="0" w:color="auto"/>
              <w:right w:val="single" w:sz="4" w:space="0" w:color="auto"/>
            </w:tcBorders>
            <w:shd w:val="clear" w:color="auto" w:fill="auto"/>
          </w:tcPr>
          <w:p w14:paraId="7489499D" w14:textId="77777777" w:rsidR="009D4A93" w:rsidRPr="00536CFD" w:rsidRDefault="009D4A93" w:rsidP="009D4A93">
            <w:pPr>
              <w:keepLines/>
              <w:spacing w:after="0"/>
              <w:jc w:val="center"/>
            </w:pPr>
            <w:r w:rsidRPr="00536CFD">
              <w:rPr>
                <w:lang w:val="zh-CN"/>
              </w:rPr>
              <w:t>0.127</w:t>
            </w:r>
          </w:p>
        </w:tc>
        <w:tc>
          <w:tcPr>
            <w:tcW w:w="820" w:type="dxa"/>
            <w:tcBorders>
              <w:top w:val="single" w:sz="4" w:space="0" w:color="auto"/>
              <w:left w:val="nil"/>
              <w:bottom w:val="single" w:sz="4" w:space="0" w:color="auto"/>
              <w:right w:val="single" w:sz="4" w:space="0" w:color="auto"/>
            </w:tcBorders>
            <w:shd w:val="clear" w:color="auto" w:fill="auto"/>
          </w:tcPr>
          <w:p w14:paraId="51DA0040" w14:textId="77777777" w:rsidR="009D4A93" w:rsidRPr="00536CFD" w:rsidRDefault="009D4A93" w:rsidP="009D4A93">
            <w:pPr>
              <w:keepLines/>
              <w:spacing w:after="0"/>
              <w:jc w:val="center"/>
            </w:pPr>
            <w:r w:rsidRPr="00536CFD">
              <w:rPr>
                <w:lang w:val="zh-CN"/>
              </w:rPr>
              <w:t>0.066</w:t>
            </w:r>
          </w:p>
        </w:tc>
        <w:tc>
          <w:tcPr>
            <w:tcW w:w="800" w:type="dxa"/>
            <w:tcBorders>
              <w:top w:val="single" w:sz="4" w:space="0" w:color="auto"/>
              <w:left w:val="nil"/>
              <w:bottom w:val="single" w:sz="4" w:space="0" w:color="auto"/>
              <w:right w:val="single" w:sz="4" w:space="0" w:color="auto"/>
            </w:tcBorders>
            <w:shd w:val="clear" w:color="auto" w:fill="auto"/>
          </w:tcPr>
          <w:p w14:paraId="3348669A" w14:textId="77777777" w:rsidR="009D4A93" w:rsidRPr="00536CFD" w:rsidRDefault="009D4A93" w:rsidP="009D4A93">
            <w:pPr>
              <w:keepLines/>
              <w:spacing w:after="0"/>
              <w:jc w:val="center"/>
            </w:pPr>
            <w:r w:rsidRPr="00536CFD">
              <w:rPr>
                <w:lang w:val="zh-CN"/>
              </w:rPr>
              <w:t>0.162</w:t>
            </w:r>
          </w:p>
        </w:tc>
        <w:tc>
          <w:tcPr>
            <w:tcW w:w="720" w:type="dxa"/>
            <w:tcBorders>
              <w:top w:val="single" w:sz="4" w:space="0" w:color="auto"/>
              <w:left w:val="nil"/>
              <w:bottom w:val="single" w:sz="4" w:space="0" w:color="auto"/>
              <w:right w:val="single" w:sz="4" w:space="0" w:color="auto"/>
            </w:tcBorders>
            <w:shd w:val="clear" w:color="auto" w:fill="auto"/>
          </w:tcPr>
          <w:p w14:paraId="7B94E321" w14:textId="77777777" w:rsidR="009D4A93" w:rsidRPr="00536CFD" w:rsidRDefault="009D4A93" w:rsidP="009D4A93">
            <w:pPr>
              <w:keepLines/>
              <w:spacing w:after="0"/>
              <w:jc w:val="center"/>
            </w:pPr>
            <w:r w:rsidRPr="00536CFD">
              <w:rPr>
                <w:lang w:val="zh-CN"/>
              </w:rPr>
              <w:t>0.061</w:t>
            </w:r>
          </w:p>
        </w:tc>
        <w:tc>
          <w:tcPr>
            <w:tcW w:w="724" w:type="dxa"/>
            <w:tcBorders>
              <w:top w:val="single" w:sz="4" w:space="0" w:color="auto"/>
              <w:left w:val="nil"/>
              <w:bottom w:val="single" w:sz="4" w:space="0" w:color="auto"/>
              <w:right w:val="single" w:sz="4" w:space="0" w:color="auto"/>
            </w:tcBorders>
            <w:shd w:val="clear" w:color="auto" w:fill="auto"/>
          </w:tcPr>
          <w:p w14:paraId="19DA6A3E" w14:textId="77777777" w:rsidR="009D4A93" w:rsidRPr="00536CFD" w:rsidRDefault="009D4A93" w:rsidP="009D4A93">
            <w:pPr>
              <w:keepLines/>
              <w:spacing w:after="0"/>
              <w:jc w:val="center"/>
            </w:pPr>
            <w:r w:rsidRPr="00536CFD">
              <w:rPr>
                <w:lang w:val="zh-CN"/>
              </w:rPr>
              <w:t>0.211</w:t>
            </w:r>
          </w:p>
        </w:tc>
        <w:tc>
          <w:tcPr>
            <w:tcW w:w="896" w:type="dxa"/>
            <w:tcBorders>
              <w:top w:val="single" w:sz="4" w:space="0" w:color="auto"/>
              <w:left w:val="nil"/>
              <w:bottom w:val="single" w:sz="4" w:space="0" w:color="auto"/>
              <w:right w:val="single" w:sz="4" w:space="0" w:color="auto"/>
            </w:tcBorders>
            <w:shd w:val="clear" w:color="auto" w:fill="auto"/>
          </w:tcPr>
          <w:p w14:paraId="6B2A8CBC" w14:textId="77777777" w:rsidR="009D4A93" w:rsidRPr="00536CFD" w:rsidRDefault="009D4A93" w:rsidP="009D4A93">
            <w:pPr>
              <w:keepLines/>
              <w:spacing w:after="0"/>
              <w:jc w:val="center"/>
            </w:pPr>
            <w:r w:rsidRPr="00536CFD">
              <w:rPr>
                <w:lang w:val="zh-CN"/>
              </w:rPr>
              <w:t>0.076</w:t>
            </w:r>
          </w:p>
        </w:tc>
        <w:tc>
          <w:tcPr>
            <w:tcW w:w="720" w:type="dxa"/>
            <w:tcBorders>
              <w:top w:val="single" w:sz="4" w:space="0" w:color="auto"/>
              <w:left w:val="nil"/>
              <w:bottom w:val="single" w:sz="4" w:space="0" w:color="auto"/>
              <w:right w:val="single" w:sz="4" w:space="0" w:color="auto"/>
            </w:tcBorders>
            <w:shd w:val="clear" w:color="auto" w:fill="auto"/>
          </w:tcPr>
          <w:p w14:paraId="5A65FBAF" w14:textId="77777777" w:rsidR="009D4A93" w:rsidRPr="00536CFD" w:rsidRDefault="009D4A93" w:rsidP="009D4A93">
            <w:pPr>
              <w:keepLines/>
              <w:spacing w:after="0"/>
              <w:jc w:val="center"/>
            </w:pPr>
            <w:r w:rsidRPr="00536CFD">
              <w:rPr>
                <w:lang w:val="zh-CN"/>
              </w:rPr>
              <w:t>0.248</w:t>
            </w:r>
          </w:p>
        </w:tc>
        <w:tc>
          <w:tcPr>
            <w:tcW w:w="720" w:type="dxa"/>
            <w:tcBorders>
              <w:top w:val="single" w:sz="4" w:space="0" w:color="auto"/>
              <w:left w:val="nil"/>
              <w:bottom w:val="single" w:sz="4" w:space="0" w:color="auto"/>
              <w:right w:val="single" w:sz="4" w:space="0" w:color="auto"/>
            </w:tcBorders>
            <w:shd w:val="clear" w:color="auto" w:fill="auto"/>
          </w:tcPr>
          <w:p w14:paraId="15755E4A" w14:textId="77777777" w:rsidR="009D4A93" w:rsidRPr="00536CFD" w:rsidRDefault="009D4A93" w:rsidP="009D4A93">
            <w:pPr>
              <w:keepLines/>
              <w:spacing w:after="0"/>
              <w:jc w:val="center"/>
            </w:pPr>
            <w:r w:rsidRPr="00536CFD">
              <w:rPr>
                <w:lang w:val="zh-CN"/>
              </w:rPr>
              <w:t>0.064</w:t>
            </w:r>
          </w:p>
        </w:tc>
      </w:tr>
      <w:tr w:rsidR="009D4A93" w:rsidRPr="00536CFD" w14:paraId="64F3306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E55D36E"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D9CE319"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66C12280"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1A558256" w14:textId="77777777" w:rsidR="009D4A93" w:rsidRPr="00536CFD" w:rsidRDefault="009D4A93" w:rsidP="009D4A93">
            <w:pPr>
              <w:keepLines/>
              <w:spacing w:after="0"/>
              <w:jc w:val="center"/>
            </w:pPr>
            <w:r w:rsidRPr="00536CFD">
              <w:rPr>
                <w:lang w:val="zh-CN"/>
              </w:rPr>
              <w:t>0.192</w:t>
            </w:r>
          </w:p>
        </w:tc>
        <w:tc>
          <w:tcPr>
            <w:tcW w:w="720" w:type="dxa"/>
            <w:tcBorders>
              <w:top w:val="single" w:sz="4" w:space="0" w:color="auto"/>
              <w:left w:val="nil"/>
              <w:bottom w:val="single" w:sz="4" w:space="0" w:color="auto"/>
              <w:right w:val="single" w:sz="4" w:space="0" w:color="auto"/>
            </w:tcBorders>
            <w:shd w:val="clear" w:color="auto" w:fill="auto"/>
          </w:tcPr>
          <w:p w14:paraId="5D75DE0E" w14:textId="77777777" w:rsidR="009D4A93" w:rsidRPr="00536CFD" w:rsidRDefault="009D4A93" w:rsidP="009D4A93">
            <w:pPr>
              <w:keepLines/>
              <w:spacing w:after="0"/>
              <w:jc w:val="center"/>
            </w:pPr>
            <w:r w:rsidRPr="00536CFD">
              <w:rPr>
                <w:lang w:val="zh-CN"/>
              </w:rPr>
              <w:t>0.132</w:t>
            </w:r>
          </w:p>
        </w:tc>
        <w:tc>
          <w:tcPr>
            <w:tcW w:w="720" w:type="dxa"/>
            <w:tcBorders>
              <w:top w:val="single" w:sz="4" w:space="0" w:color="auto"/>
              <w:left w:val="nil"/>
              <w:bottom w:val="single" w:sz="4" w:space="0" w:color="auto"/>
              <w:right w:val="single" w:sz="4" w:space="0" w:color="auto"/>
            </w:tcBorders>
            <w:shd w:val="clear" w:color="auto" w:fill="auto"/>
          </w:tcPr>
          <w:p w14:paraId="0DD49D80" w14:textId="77777777" w:rsidR="009D4A93" w:rsidRPr="00536CFD" w:rsidRDefault="009D4A93" w:rsidP="009D4A93">
            <w:pPr>
              <w:keepLines/>
              <w:spacing w:after="0"/>
              <w:jc w:val="center"/>
            </w:pPr>
            <w:r w:rsidRPr="00536CFD">
              <w:rPr>
                <w:lang w:val="zh-CN"/>
              </w:rPr>
              <w:t>0.363</w:t>
            </w:r>
          </w:p>
        </w:tc>
        <w:tc>
          <w:tcPr>
            <w:tcW w:w="810" w:type="dxa"/>
            <w:tcBorders>
              <w:top w:val="single" w:sz="4" w:space="0" w:color="auto"/>
              <w:left w:val="nil"/>
              <w:bottom w:val="single" w:sz="4" w:space="0" w:color="auto"/>
              <w:right w:val="single" w:sz="4" w:space="0" w:color="auto"/>
            </w:tcBorders>
            <w:shd w:val="clear" w:color="auto" w:fill="auto"/>
          </w:tcPr>
          <w:p w14:paraId="30AAE5E2" w14:textId="77777777" w:rsidR="009D4A93" w:rsidRPr="00536CFD" w:rsidRDefault="009D4A93" w:rsidP="009D4A93">
            <w:pPr>
              <w:keepLines/>
              <w:spacing w:after="0"/>
              <w:jc w:val="center"/>
            </w:pPr>
            <w:r w:rsidRPr="00536CFD">
              <w:rPr>
                <w:lang w:val="zh-CN"/>
              </w:rPr>
              <w:t>0.259</w:t>
            </w:r>
          </w:p>
        </w:tc>
        <w:tc>
          <w:tcPr>
            <w:tcW w:w="810" w:type="dxa"/>
            <w:tcBorders>
              <w:top w:val="single" w:sz="4" w:space="0" w:color="auto"/>
              <w:left w:val="nil"/>
              <w:bottom w:val="single" w:sz="4" w:space="0" w:color="auto"/>
              <w:right w:val="single" w:sz="4" w:space="0" w:color="auto"/>
            </w:tcBorders>
            <w:shd w:val="clear" w:color="auto" w:fill="auto"/>
          </w:tcPr>
          <w:p w14:paraId="2741D34A" w14:textId="77777777" w:rsidR="009D4A93" w:rsidRPr="00536CFD" w:rsidRDefault="009D4A93" w:rsidP="009D4A93">
            <w:pPr>
              <w:keepLines/>
              <w:spacing w:after="0"/>
              <w:jc w:val="center"/>
            </w:pPr>
            <w:r w:rsidRPr="00536CFD">
              <w:rPr>
                <w:lang w:val="zh-CN"/>
              </w:rPr>
              <w:t>0.454</w:t>
            </w:r>
          </w:p>
        </w:tc>
        <w:tc>
          <w:tcPr>
            <w:tcW w:w="820" w:type="dxa"/>
            <w:tcBorders>
              <w:top w:val="single" w:sz="4" w:space="0" w:color="auto"/>
              <w:left w:val="nil"/>
              <w:bottom w:val="single" w:sz="4" w:space="0" w:color="auto"/>
              <w:right w:val="single" w:sz="4" w:space="0" w:color="auto"/>
            </w:tcBorders>
            <w:shd w:val="clear" w:color="auto" w:fill="auto"/>
          </w:tcPr>
          <w:p w14:paraId="23537C9A" w14:textId="77777777" w:rsidR="009D4A93" w:rsidRPr="00536CFD" w:rsidRDefault="009D4A93" w:rsidP="009D4A93">
            <w:pPr>
              <w:keepLines/>
              <w:spacing w:after="0"/>
              <w:jc w:val="center"/>
            </w:pPr>
            <w:r w:rsidRPr="00536CFD">
              <w:rPr>
                <w:lang w:val="zh-CN"/>
              </w:rPr>
              <w:t>0.174</w:t>
            </w:r>
          </w:p>
        </w:tc>
        <w:tc>
          <w:tcPr>
            <w:tcW w:w="800" w:type="dxa"/>
            <w:tcBorders>
              <w:top w:val="single" w:sz="4" w:space="0" w:color="auto"/>
              <w:left w:val="nil"/>
              <w:bottom w:val="single" w:sz="4" w:space="0" w:color="auto"/>
              <w:right w:val="single" w:sz="4" w:space="0" w:color="auto"/>
            </w:tcBorders>
            <w:shd w:val="clear" w:color="auto" w:fill="auto"/>
          </w:tcPr>
          <w:p w14:paraId="54DFD4B2" w14:textId="77777777" w:rsidR="009D4A93" w:rsidRPr="00536CFD" w:rsidRDefault="009D4A93" w:rsidP="009D4A93">
            <w:pPr>
              <w:keepLines/>
              <w:spacing w:after="0"/>
              <w:jc w:val="center"/>
            </w:pPr>
            <w:r w:rsidRPr="00536CFD">
              <w:rPr>
                <w:lang w:val="zh-CN"/>
              </w:rPr>
              <w:t>0.792</w:t>
            </w:r>
          </w:p>
        </w:tc>
        <w:tc>
          <w:tcPr>
            <w:tcW w:w="720" w:type="dxa"/>
            <w:tcBorders>
              <w:top w:val="single" w:sz="4" w:space="0" w:color="auto"/>
              <w:left w:val="nil"/>
              <w:bottom w:val="single" w:sz="4" w:space="0" w:color="auto"/>
              <w:right w:val="single" w:sz="4" w:space="0" w:color="auto"/>
            </w:tcBorders>
            <w:shd w:val="clear" w:color="auto" w:fill="auto"/>
          </w:tcPr>
          <w:p w14:paraId="29EF85B6" w14:textId="77777777" w:rsidR="009D4A93" w:rsidRPr="00536CFD" w:rsidRDefault="009D4A93" w:rsidP="009D4A93">
            <w:pPr>
              <w:keepLines/>
              <w:spacing w:after="0"/>
              <w:jc w:val="center"/>
            </w:pPr>
            <w:r w:rsidRPr="00536CFD">
              <w:rPr>
                <w:lang w:val="zh-CN"/>
              </w:rPr>
              <w:t>0.274</w:t>
            </w:r>
          </w:p>
        </w:tc>
        <w:tc>
          <w:tcPr>
            <w:tcW w:w="724" w:type="dxa"/>
            <w:tcBorders>
              <w:top w:val="single" w:sz="4" w:space="0" w:color="auto"/>
              <w:left w:val="nil"/>
              <w:bottom w:val="single" w:sz="4" w:space="0" w:color="auto"/>
              <w:right w:val="single" w:sz="4" w:space="0" w:color="auto"/>
            </w:tcBorders>
            <w:shd w:val="clear" w:color="auto" w:fill="auto"/>
          </w:tcPr>
          <w:p w14:paraId="64E950CF" w14:textId="77777777" w:rsidR="009D4A93" w:rsidRPr="00536CFD" w:rsidRDefault="009D4A93" w:rsidP="009D4A93">
            <w:pPr>
              <w:keepLines/>
              <w:spacing w:after="0"/>
              <w:jc w:val="center"/>
            </w:pPr>
            <w:r w:rsidRPr="00536CFD">
              <w:rPr>
                <w:lang w:val="zh-CN"/>
              </w:rPr>
              <w:t>0.864</w:t>
            </w:r>
          </w:p>
        </w:tc>
        <w:tc>
          <w:tcPr>
            <w:tcW w:w="896" w:type="dxa"/>
            <w:tcBorders>
              <w:top w:val="single" w:sz="4" w:space="0" w:color="auto"/>
              <w:left w:val="nil"/>
              <w:bottom w:val="single" w:sz="4" w:space="0" w:color="auto"/>
              <w:right w:val="single" w:sz="4" w:space="0" w:color="auto"/>
            </w:tcBorders>
            <w:shd w:val="clear" w:color="auto" w:fill="auto"/>
          </w:tcPr>
          <w:p w14:paraId="65CE1028" w14:textId="77777777" w:rsidR="009D4A93" w:rsidRPr="00536CFD" w:rsidRDefault="009D4A93" w:rsidP="009D4A93">
            <w:pPr>
              <w:keepLines/>
              <w:spacing w:after="0"/>
              <w:jc w:val="center"/>
            </w:pPr>
            <w:r w:rsidRPr="00536CFD">
              <w:rPr>
                <w:lang w:val="zh-CN"/>
              </w:rPr>
              <w:t>0.187</w:t>
            </w:r>
          </w:p>
        </w:tc>
        <w:tc>
          <w:tcPr>
            <w:tcW w:w="720" w:type="dxa"/>
            <w:tcBorders>
              <w:top w:val="single" w:sz="4" w:space="0" w:color="auto"/>
              <w:left w:val="nil"/>
              <w:bottom w:val="single" w:sz="4" w:space="0" w:color="auto"/>
              <w:right w:val="single" w:sz="4" w:space="0" w:color="auto"/>
            </w:tcBorders>
            <w:shd w:val="clear" w:color="auto" w:fill="auto"/>
          </w:tcPr>
          <w:p w14:paraId="2D4EAB25" w14:textId="77777777" w:rsidR="009D4A93" w:rsidRPr="00536CFD" w:rsidRDefault="009D4A93" w:rsidP="009D4A93">
            <w:pPr>
              <w:keepLines/>
              <w:spacing w:after="0"/>
              <w:jc w:val="center"/>
            </w:pPr>
            <w:r w:rsidRPr="00536CFD">
              <w:rPr>
                <w:lang w:val="zh-CN"/>
              </w:rPr>
              <w:t>1.392</w:t>
            </w:r>
          </w:p>
        </w:tc>
        <w:tc>
          <w:tcPr>
            <w:tcW w:w="720" w:type="dxa"/>
            <w:tcBorders>
              <w:top w:val="single" w:sz="4" w:space="0" w:color="auto"/>
              <w:left w:val="nil"/>
              <w:bottom w:val="single" w:sz="4" w:space="0" w:color="auto"/>
              <w:right w:val="single" w:sz="4" w:space="0" w:color="auto"/>
            </w:tcBorders>
            <w:shd w:val="clear" w:color="auto" w:fill="auto"/>
          </w:tcPr>
          <w:p w14:paraId="3E087166" w14:textId="77777777" w:rsidR="009D4A93" w:rsidRPr="00536CFD" w:rsidRDefault="009D4A93" w:rsidP="009D4A93">
            <w:pPr>
              <w:keepLines/>
              <w:spacing w:after="0"/>
              <w:jc w:val="center"/>
            </w:pPr>
            <w:r w:rsidRPr="00536CFD">
              <w:rPr>
                <w:lang w:val="zh-CN"/>
              </w:rPr>
              <w:t>0.290</w:t>
            </w:r>
          </w:p>
        </w:tc>
      </w:tr>
      <w:tr w:rsidR="009D4A93" w:rsidRPr="00536CFD" w14:paraId="2A34AFB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09554F5"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BE91DE8"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192D447F"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78A96F3C" w14:textId="77777777" w:rsidR="009D4A93" w:rsidRPr="00536CFD" w:rsidRDefault="009D4A93" w:rsidP="009D4A93">
            <w:pPr>
              <w:keepLines/>
              <w:spacing w:after="0"/>
              <w:jc w:val="center"/>
            </w:pPr>
            <w:r w:rsidRPr="00536CFD">
              <w:rPr>
                <w:lang w:val="zh-CN"/>
              </w:rPr>
              <w:t>0.092</w:t>
            </w:r>
          </w:p>
        </w:tc>
        <w:tc>
          <w:tcPr>
            <w:tcW w:w="720" w:type="dxa"/>
            <w:tcBorders>
              <w:top w:val="single" w:sz="4" w:space="0" w:color="auto"/>
              <w:left w:val="nil"/>
              <w:bottom w:val="single" w:sz="4" w:space="0" w:color="auto"/>
              <w:right w:val="single" w:sz="4" w:space="0" w:color="auto"/>
            </w:tcBorders>
            <w:shd w:val="clear" w:color="auto" w:fill="auto"/>
          </w:tcPr>
          <w:p w14:paraId="171D4C5B" w14:textId="77777777" w:rsidR="009D4A93" w:rsidRPr="00536CFD" w:rsidRDefault="009D4A93" w:rsidP="009D4A93">
            <w:pPr>
              <w:keepLines/>
              <w:spacing w:after="0"/>
              <w:jc w:val="center"/>
            </w:pPr>
            <w:r w:rsidRPr="00536CFD">
              <w:rPr>
                <w:lang w:val="zh-CN"/>
              </w:rPr>
              <w:t>0.074</w:t>
            </w:r>
          </w:p>
        </w:tc>
        <w:tc>
          <w:tcPr>
            <w:tcW w:w="720" w:type="dxa"/>
            <w:tcBorders>
              <w:top w:val="single" w:sz="4" w:space="0" w:color="auto"/>
              <w:left w:val="nil"/>
              <w:bottom w:val="single" w:sz="4" w:space="0" w:color="auto"/>
              <w:right w:val="single" w:sz="4" w:space="0" w:color="auto"/>
            </w:tcBorders>
            <w:shd w:val="clear" w:color="auto" w:fill="auto"/>
          </w:tcPr>
          <w:p w14:paraId="5A0706C4" w14:textId="77777777" w:rsidR="009D4A93" w:rsidRPr="00536CFD" w:rsidRDefault="009D4A93" w:rsidP="009D4A93">
            <w:pPr>
              <w:keepLines/>
              <w:spacing w:after="0"/>
              <w:jc w:val="center"/>
            </w:pPr>
            <w:r w:rsidRPr="00536CFD">
              <w:rPr>
                <w:lang w:val="zh-CN"/>
              </w:rPr>
              <w:t>0.128</w:t>
            </w:r>
          </w:p>
        </w:tc>
        <w:tc>
          <w:tcPr>
            <w:tcW w:w="810" w:type="dxa"/>
            <w:tcBorders>
              <w:top w:val="single" w:sz="4" w:space="0" w:color="auto"/>
              <w:left w:val="nil"/>
              <w:bottom w:val="single" w:sz="4" w:space="0" w:color="auto"/>
              <w:right w:val="single" w:sz="4" w:space="0" w:color="auto"/>
            </w:tcBorders>
            <w:shd w:val="clear" w:color="auto" w:fill="auto"/>
          </w:tcPr>
          <w:p w14:paraId="5A9B6086" w14:textId="77777777" w:rsidR="009D4A93" w:rsidRPr="00536CFD" w:rsidRDefault="009D4A93" w:rsidP="009D4A93">
            <w:pPr>
              <w:keepLines/>
              <w:spacing w:after="0"/>
              <w:jc w:val="center"/>
            </w:pPr>
            <w:r w:rsidRPr="00536CFD">
              <w:rPr>
                <w:lang w:val="zh-CN"/>
              </w:rPr>
              <w:t>0.097</w:t>
            </w:r>
          </w:p>
        </w:tc>
        <w:tc>
          <w:tcPr>
            <w:tcW w:w="810" w:type="dxa"/>
            <w:tcBorders>
              <w:top w:val="single" w:sz="4" w:space="0" w:color="auto"/>
              <w:left w:val="nil"/>
              <w:bottom w:val="single" w:sz="4" w:space="0" w:color="auto"/>
              <w:right w:val="single" w:sz="4" w:space="0" w:color="auto"/>
            </w:tcBorders>
            <w:shd w:val="clear" w:color="auto" w:fill="auto"/>
          </w:tcPr>
          <w:p w14:paraId="15D2CDEC" w14:textId="77777777" w:rsidR="009D4A93" w:rsidRPr="00536CFD" w:rsidRDefault="009D4A93" w:rsidP="009D4A93">
            <w:pPr>
              <w:keepLines/>
              <w:spacing w:after="0"/>
              <w:jc w:val="center"/>
            </w:pPr>
            <w:r w:rsidRPr="00536CFD">
              <w:rPr>
                <w:lang w:val="zh-CN"/>
              </w:rPr>
              <w:t>0.173</w:t>
            </w:r>
          </w:p>
        </w:tc>
        <w:tc>
          <w:tcPr>
            <w:tcW w:w="820" w:type="dxa"/>
            <w:tcBorders>
              <w:top w:val="single" w:sz="4" w:space="0" w:color="auto"/>
              <w:left w:val="nil"/>
              <w:bottom w:val="single" w:sz="4" w:space="0" w:color="auto"/>
              <w:right w:val="single" w:sz="4" w:space="0" w:color="auto"/>
            </w:tcBorders>
            <w:shd w:val="clear" w:color="auto" w:fill="auto"/>
          </w:tcPr>
          <w:p w14:paraId="53329706" w14:textId="77777777" w:rsidR="009D4A93" w:rsidRPr="00536CFD" w:rsidRDefault="009D4A93" w:rsidP="009D4A93">
            <w:pPr>
              <w:keepLines/>
              <w:spacing w:after="0"/>
              <w:jc w:val="center"/>
            </w:pPr>
            <w:r w:rsidRPr="00536CFD">
              <w:rPr>
                <w:lang w:val="zh-CN"/>
              </w:rPr>
              <w:t>0.089</w:t>
            </w:r>
          </w:p>
        </w:tc>
        <w:tc>
          <w:tcPr>
            <w:tcW w:w="800" w:type="dxa"/>
            <w:tcBorders>
              <w:top w:val="single" w:sz="4" w:space="0" w:color="auto"/>
              <w:left w:val="nil"/>
              <w:bottom w:val="single" w:sz="4" w:space="0" w:color="auto"/>
              <w:right w:val="single" w:sz="4" w:space="0" w:color="auto"/>
            </w:tcBorders>
            <w:shd w:val="clear" w:color="auto" w:fill="auto"/>
          </w:tcPr>
          <w:p w14:paraId="56D8952C" w14:textId="77777777" w:rsidR="009D4A93" w:rsidRPr="00536CFD" w:rsidRDefault="009D4A93" w:rsidP="009D4A93">
            <w:pPr>
              <w:keepLines/>
              <w:spacing w:after="0"/>
              <w:jc w:val="center"/>
            </w:pPr>
            <w:r w:rsidRPr="00536CFD">
              <w:rPr>
                <w:lang w:val="zh-CN"/>
              </w:rPr>
              <w:t>0.282</w:t>
            </w:r>
          </w:p>
        </w:tc>
        <w:tc>
          <w:tcPr>
            <w:tcW w:w="720" w:type="dxa"/>
            <w:tcBorders>
              <w:top w:val="single" w:sz="4" w:space="0" w:color="auto"/>
              <w:left w:val="nil"/>
              <w:bottom w:val="single" w:sz="4" w:space="0" w:color="auto"/>
              <w:right w:val="single" w:sz="4" w:space="0" w:color="auto"/>
            </w:tcBorders>
            <w:shd w:val="clear" w:color="auto" w:fill="auto"/>
          </w:tcPr>
          <w:p w14:paraId="4DDFAA93" w14:textId="77777777" w:rsidR="009D4A93" w:rsidRPr="00536CFD" w:rsidRDefault="009D4A93" w:rsidP="009D4A93">
            <w:pPr>
              <w:keepLines/>
              <w:spacing w:after="0"/>
              <w:jc w:val="center"/>
            </w:pPr>
            <w:r w:rsidRPr="00536CFD">
              <w:rPr>
                <w:lang w:val="zh-CN"/>
              </w:rPr>
              <w:t>0.106</w:t>
            </w:r>
          </w:p>
        </w:tc>
        <w:tc>
          <w:tcPr>
            <w:tcW w:w="724" w:type="dxa"/>
            <w:tcBorders>
              <w:top w:val="single" w:sz="4" w:space="0" w:color="auto"/>
              <w:left w:val="nil"/>
              <w:bottom w:val="single" w:sz="4" w:space="0" w:color="auto"/>
              <w:right w:val="single" w:sz="4" w:space="0" w:color="auto"/>
            </w:tcBorders>
            <w:shd w:val="clear" w:color="auto" w:fill="auto"/>
          </w:tcPr>
          <w:p w14:paraId="189FB155" w14:textId="77777777" w:rsidR="009D4A93" w:rsidRPr="00536CFD" w:rsidRDefault="009D4A93" w:rsidP="009D4A93">
            <w:pPr>
              <w:keepLines/>
              <w:spacing w:after="0"/>
              <w:jc w:val="center"/>
            </w:pPr>
            <w:r w:rsidRPr="00536CFD">
              <w:rPr>
                <w:lang w:val="zh-CN"/>
              </w:rPr>
              <w:t>0.306</w:t>
            </w:r>
          </w:p>
        </w:tc>
        <w:tc>
          <w:tcPr>
            <w:tcW w:w="896" w:type="dxa"/>
            <w:tcBorders>
              <w:top w:val="single" w:sz="4" w:space="0" w:color="auto"/>
              <w:left w:val="nil"/>
              <w:bottom w:val="single" w:sz="4" w:space="0" w:color="auto"/>
              <w:right w:val="single" w:sz="4" w:space="0" w:color="auto"/>
            </w:tcBorders>
            <w:shd w:val="clear" w:color="auto" w:fill="auto"/>
          </w:tcPr>
          <w:p w14:paraId="4162BAE2" w14:textId="77777777" w:rsidR="009D4A93" w:rsidRPr="00536CFD" w:rsidRDefault="009D4A93" w:rsidP="009D4A93">
            <w:pPr>
              <w:keepLines/>
              <w:spacing w:after="0"/>
              <w:jc w:val="center"/>
            </w:pPr>
            <w:r w:rsidRPr="00536CFD">
              <w:rPr>
                <w:lang w:val="zh-CN"/>
              </w:rPr>
              <w:t>0.096</w:t>
            </w:r>
          </w:p>
        </w:tc>
        <w:tc>
          <w:tcPr>
            <w:tcW w:w="720" w:type="dxa"/>
            <w:tcBorders>
              <w:top w:val="single" w:sz="4" w:space="0" w:color="auto"/>
              <w:left w:val="nil"/>
              <w:bottom w:val="single" w:sz="4" w:space="0" w:color="auto"/>
              <w:right w:val="single" w:sz="4" w:space="0" w:color="auto"/>
            </w:tcBorders>
            <w:shd w:val="clear" w:color="auto" w:fill="auto"/>
          </w:tcPr>
          <w:p w14:paraId="03A84201" w14:textId="77777777" w:rsidR="009D4A93" w:rsidRPr="00536CFD" w:rsidRDefault="009D4A93" w:rsidP="009D4A93">
            <w:pPr>
              <w:keepLines/>
              <w:spacing w:after="0"/>
              <w:jc w:val="center"/>
            </w:pPr>
            <w:r w:rsidRPr="00536CFD">
              <w:rPr>
                <w:lang w:val="zh-CN"/>
              </w:rPr>
              <w:t>0.448</w:t>
            </w:r>
          </w:p>
        </w:tc>
        <w:tc>
          <w:tcPr>
            <w:tcW w:w="720" w:type="dxa"/>
            <w:tcBorders>
              <w:top w:val="single" w:sz="4" w:space="0" w:color="auto"/>
              <w:left w:val="nil"/>
              <w:bottom w:val="single" w:sz="4" w:space="0" w:color="auto"/>
              <w:right w:val="single" w:sz="4" w:space="0" w:color="auto"/>
            </w:tcBorders>
            <w:shd w:val="clear" w:color="auto" w:fill="auto"/>
          </w:tcPr>
          <w:p w14:paraId="68F8C1EE" w14:textId="77777777" w:rsidR="009D4A93" w:rsidRPr="00536CFD" w:rsidRDefault="009D4A93" w:rsidP="009D4A93">
            <w:pPr>
              <w:keepLines/>
              <w:spacing w:after="0"/>
              <w:jc w:val="center"/>
            </w:pPr>
            <w:r w:rsidRPr="00536CFD">
              <w:rPr>
                <w:lang w:val="zh-CN"/>
              </w:rPr>
              <w:t>0.113</w:t>
            </w:r>
          </w:p>
        </w:tc>
      </w:tr>
      <w:tr w:rsidR="009D4A93" w:rsidRPr="00536CFD" w14:paraId="3CBBC80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244BFD0"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627F7656" w14:textId="77777777" w:rsidR="009D4A93" w:rsidRPr="00536CFD" w:rsidRDefault="009D4A93" w:rsidP="009D4A93">
            <w:pPr>
              <w:pStyle w:val="NormalWeb"/>
              <w:keepLines/>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tcPr>
          <w:p w14:paraId="4EEBB109" w14:textId="77777777" w:rsidR="009D4A93" w:rsidRPr="00536CFD" w:rsidRDefault="009D4A93" w:rsidP="009D4A93">
            <w:pPr>
              <w:keepLines/>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42F38069" w14:textId="77777777" w:rsidR="009D4A93" w:rsidRPr="00536CFD" w:rsidRDefault="009D4A93" w:rsidP="009D4A93">
            <w:pPr>
              <w:keepLines/>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12920354" w14:textId="77777777" w:rsidR="009D4A93" w:rsidRPr="00536CFD" w:rsidRDefault="009D4A93" w:rsidP="009D4A93">
            <w:pPr>
              <w:keepLines/>
              <w:spacing w:after="0"/>
              <w:jc w:val="cente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0696766D" w14:textId="77777777" w:rsidR="009D4A93" w:rsidRPr="00536CFD" w:rsidRDefault="009D4A93" w:rsidP="009D4A93">
            <w:pPr>
              <w:keepLines/>
              <w:spacing w:after="0"/>
              <w:jc w:val="cente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5549DCF5" w14:textId="77777777" w:rsidR="009D4A93" w:rsidRPr="00536CFD" w:rsidRDefault="009D4A93" w:rsidP="009D4A93">
            <w:pPr>
              <w:keepLines/>
              <w:spacing w:after="0"/>
              <w:jc w:val="center"/>
            </w:pPr>
            <w:r w:rsidRPr="00536CFD">
              <w:rPr>
                <w:lang w:val="en-US"/>
              </w:rPr>
              <w:t>0.</w:t>
            </w:r>
            <w:r w:rsidRPr="00536CFD">
              <w:rPr>
                <w:lang w:val="zh-CN"/>
              </w:rPr>
              <w:t>99</w:t>
            </w:r>
          </w:p>
        </w:tc>
        <w:tc>
          <w:tcPr>
            <w:tcW w:w="820" w:type="dxa"/>
            <w:tcBorders>
              <w:top w:val="single" w:sz="4" w:space="0" w:color="auto"/>
              <w:left w:val="nil"/>
              <w:bottom w:val="single" w:sz="4" w:space="0" w:color="auto"/>
              <w:right w:val="single" w:sz="4" w:space="0" w:color="auto"/>
            </w:tcBorders>
            <w:shd w:val="clear" w:color="auto" w:fill="auto"/>
          </w:tcPr>
          <w:p w14:paraId="0DAE8709" w14:textId="77777777" w:rsidR="009D4A93" w:rsidRPr="00536CFD" w:rsidRDefault="009D4A93" w:rsidP="009D4A93">
            <w:pPr>
              <w:keepLines/>
              <w:spacing w:after="0"/>
              <w:jc w:val="center"/>
            </w:pPr>
            <w:r w:rsidRPr="00536CFD">
              <w:rPr>
                <w:lang w:val="zh-CN"/>
              </w:rPr>
              <w:t>0.93</w:t>
            </w:r>
          </w:p>
        </w:tc>
        <w:tc>
          <w:tcPr>
            <w:tcW w:w="800" w:type="dxa"/>
            <w:tcBorders>
              <w:top w:val="single" w:sz="4" w:space="0" w:color="auto"/>
              <w:left w:val="nil"/>
              <w:bottom w:val="single" w:sz="4" w:space="0" w:color="auto"/>
              <w:right w:val="single" w:sz="4" w:space="0" w:color="auto"/>
            </w:tcBorders>
            <w:shd w:val="clear" w:color="auto" w:fill="auto"/>
          </w:tcPr>
          <w:p w14:paraId="7B7F2A8D" w14:textId="77777777" w:rsidR="009D4A93" w:rsidRPr="00536CFD" w:rsidRDefault="009D4A93" w:rsidP="009D4A93">
            <w:pPr>
              <w:keepLines/>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58904B99" w14:textId="77777777" w:rsidR="009D4A93" w:rsidRPr="00536CFD" w:rsidRDefault="009D4A93" w:rsidP="009D4A93">
            <w:pPr>
              <w:keepLines/>
              <w:spacing w:after="0"/>
              <w:jc w:val="center"/>
            </w:pPr>
            <w:r w:rsidRPr="00536CFD">
              <w:rPr>
                <w:lang w:val="zh-CN"/>
              </w:rPr>
              <w:t>99.8339</w:t>
            </w:r>
          </w:p>
        </w:tc>
        <w:tc>
          <w:tcPr>
            <w:tcW w:w="724" w:type="dxa"/>
            <w:tcBorders>
              <w:top w:val="single" w:sz="4" w:space="0" w:color="auto"/>
              <w:left w:val="nil"/>
              <w:bottom w:val="single" w:sz="4" w:space="0" w:color="auto"/>
              <w:right w:val="single" w:sz="4" w:space="0" w:color="auto"/>
            </w:tcBorders>
            <w:shd w:val="clear" w:color="auto" w:fill="auto"/>
          </w:tcPr>
          <w:p w14:paraId="32B10779" w14:textId="77777777" w:rsidR="009D4A93" w:rsidRPr="00536CFD" w:rsidRDefault="009D4A93" w:rsidP="009D4A93">
            <w:pPr>
              <w:keepLines/>
              <w:spacing w:after="0"/>
              <w:jc w:val="center"/>
            </w:pPr>
            <w:r w:rsidRPr="00536CFD">
              <w:rPr>
                <w:lang w:val="zh-CN"/>
              </w:rPr>
              <w:t>0.96</w:t>
            </w:r>
          </w:p>
        </w:tc>
        <w:tc>
          <w:tcPr>
            <w:tcW w:w="896" w:type="dxa"/>
            <w:tcBorders>
              <w:top w:val="single" w:sz="4" w:space="0" w:color="auto"/>
              <w:left w:val="nil"/>
              <w:bottom w:val="single" w:sz="4" w:space="0" w:color="auto"/>
              <w:right w:val="single" w:sz="4" w:space="0" w:color="auto"/>
            </w:tcBorders>
            <w:shd w:val="clear" w:color="auto" w:fill="auto"/>
          </w:tcPr>
          <w:p w14:paraId="4C786D18" w14:textId="77777777" w:rsidR="009D4A93" w:rsidRPr="00536CFD" w:rsidRDefault="009D4A93" w:rsidP="009D4A93">
            <w:pPr>
              <w:keepLines/>
              <w:spacing w:after="0"/>
              <w:jc w:val="center"/>
            </w:pPr>
            <w:r w:rsidRPr="00536CFD">
              <w:rPr>
                <w:lang w:val="zh-CN"/>
              </w:rPr>
              <w:t>0.92</w:t>
            </w:r>
          </w:p>
        </w:tc>
        <w:tc>
          <w:tcPr>
            <w:tcW w:w="720" w:type="dxa"/>
            <w:tcBorders>
              <w:top w:val="single" w:sz="4" w:space="0" w:color="auto"/>
              <w:left w:val="nil"/>
              <w:bottom w:val="single" w:sz="4" w:space="0" w:color="auto"/>
              <w:right w:val="single" w:sz="4" w:space="0" w:color="auto"/>
            </w:tcBorders>
            <w:shd w:val="clear" w:color="auto" w:fill="auto"/>
          </w:tcPr>
          <w:p w14:paraId="42FE1E24" w14:textId="77777777" w:rsidR="009D4A93" w:rsidRPr="00536CFD" w:rsidRDefault="009D4A93" w:rsidP="009D4A93">
            <w:pPr>
              <w:keepLines/>
              <w:spacing w:after="0"/>
              <w:jc w:val="center"/>
            </w:pPr>
            <w:r w:rsidRPr="00536CFD">
              <w:rPr>
                <w:lang w:val="en-US"/>
              </w:rPr>
              <w:t>0.97</w:t>
            </w:r>
          </w:p>
        </w:tc>
        <w:tc>
          <w:tcPr>
            <w:tcW w:w="720" w:type="dxa"/>
            <w:tcBorders>
              <w:top w:val="single" w:sz="4" w:space="0" w:color="auto"/>
              <w:left w:val="nil"/>
              <w:bottom w:val="single" w:sz="4" w:space="0" w:color="auto"/>
              <w:right w:val="single" w:sz="4" w:space="0" w:color="auto"/>
            </w:tcBorders>
            <w:shd w:val="clear" w:color="auto" w:fill="auto"/>
          </w:tcPr>
          <w:p w14:paraId="29D71E8D" w14:textId="77777777" w:rsidR="009D4A93" w:rsidRPr="00536CFD" w:rsidRDefault="009D4A93" w:rsidP="009D4A93">
            <w:pPr>
              <w:keepLines/>
              <w:spacing w:after="0"/>
              <w:jc w:val="center"/>
            </w:pPr>
            <w:r w:rsidRPr="00536CFD">
              <w:rPr>
                <w:lang w:val="zh-CN"/>
              </w:rPr>
              <w:t>1.00</w:t>
            </w:r>
          </w:p>
        </w:tc>
      </w:tr>
      <w:tr w:rsidR="009D4A93" w:rsidRPr="00536CFD" w14:paraId="0EA55C5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AF5DFAF"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592EAF5" w14:textId="77777777" w:rsidR="009D4A93" w:rsidRPr="00536CFD" w:rsidRDefault="009D4A93" w:rsidP="009D4A93">
            <w:pPr>
              <w:pStyle w:val="NormalWeb"/>
              <w:keepLines/>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tcPr>
          <w:p w14:paraId="404C7D30" w14:textId="77777777" w:rsidR="009D4A93" w:rsidRPr="00536CFD" w:rsidRDefault="009D4A93" w:rsidP="009D4A93">
            <w:pPr>
              <w:keepLines/>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516B7F84" w14:textId="77777777" w:rsidR="009D4A93" w:rsidRPr="00536CFD" w:rsidRDefault="009D4A93" w:rsidP="009D4A93">
            <w:pPr>
              <w:keepLines/>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2407C611" w14:textId="77777777" w:rsidR="009D4A93" w:rsidRPr="00536CFD" w:rsidRDefault="009D4A93" w:rsidP="009D4A93">
            <w:pPr>
              <w:keepLines/>
              <w:spacing w:after="0"/>
              <w:jc w:val="cente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59464F38" w14:textId="77777777" w:rsidR="009D4A93" w:rsidRPr="00536CFD" w:rsidRDefault="009D4A93" w:rsidP="009D4A93">
            <w:pPr>
              <w:keepLines/>
              <w:spacing w:after="0"/>
              <w:jc w:val="cente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7959F766" w14:textId="77777777" w:rsidR="009D4A93" w:rsidRPr="00536CFD" w:rsidRDefault="009D4A93" w:rsidP="009D4A93">
            <w:pPr>
              <w:keepLines/>
              <w:spacing w:after="0"/>
              <w:jc w:val="center"/>
            </w:pPr>
            <w:r w:rsidRPr="00536CFD">
              <w:rPr>
                <w:lang w:val="zh-CN"/>
              </w:rPr>
              <w:t>1.00</w:t>
            </w:r>
          </w:p>
        </w:tc>
        <w:tc>
          <w:tcPr>
            <w:tcW w:w="820" w:type="dxa"/>
            <w:tcBorders>
              <w:top w:val="single" w:sz="4" w:space="0" w:color="auto"/>
              <w:left w:val="nil"/>
              <w:bottom w:val="single" w:sz="4" w:space="0" w:color="auto"/>
              <w:right w:val="single" w:sz="4" w:space="0" w:color="auto"/>
            </w:tcBorders>
            <w:shd w:val="clear" w:color="auto" w:fill="auto"/>
          </w:tcPr>
          <w:p w14:paraId="0B74FF04" w14:textId="77777777" w:rsidR="009D4A93" w:rsidRPr="00536CFD" w:rsidRDefault="009D4A93" w:rsidP="009D4A93">
            <w:pPr>
              <w:keepLines/>
              <w:spacing w:after="0"/>
              <w:jc w:val="center"/>
            </w:pPr>
            <w:r w:rsidRPr="00536CFD">
              <w:rPr>
                <w:lang w:val="zh-CN"/>
              </w:rPr>
              <w:t>0.93</w:t>
            </w:r>
          </w:p>
        </w:tc>
        <w:tc>
          <w:tcPr>
            <w:tcW w:w="800" w:type="dxa"/>
            <w:tcBorders>
              <w:top w:val="single" w:sz="4" w:space="0" w:color="auto"/>
              <w:left w:val="nil"/>
              <w:bottom w:val="single" w:sz="4" w:space="0" w:color="auto"/>
              <w:right w:val="single" w:sz="4" w:space="0" w:color="auto"/>
            </w:tcBorders>
            <w:shd w:val="clear" w:color="auto" w:fill="auto"/>
          </w:tcPr>
          <w:p w14:paraId="2267F2C7" w14:textId="77777777" w:rsidR="009D4A93" w:rsidRPr="00536CFD" w:rsidRDefault="009D4A93" w:rsidP="009D4A93">
            <w:pPr>
              <w:keepLines/>
              <w:spacing w:after="0"/>
              <w:jc w:val="center"/>
            </w:pPr>
            <w:r w:rsidRPr="00536CFD">
              <w:rPr>
                <w:lang w:val="en-US"/>
              </w:rPr>
              <w:t>0.98</w:t>
            </w:r>
          </w:p>
        </w:tc>
        <w:tc>
          <w:tcPr>
            <w:tcW w:w="720" w:type="dxa"/>
            <w:tcBorders>
              <w:top w:val="single" w:sz="4" w:space="0" w:color="auto"/>
              <w:left w:val="nil"/>
              <w:bottom w:val="single" w:sz="4" w:space="0" w:color="auto"/>
              <w:right w:val="single" w:sz="4" w:space="0" w:color="auto"/>
            </w:tcBorders>
            <w:shd w:val="clear" w:color="auto" w:fill="auto"/>
          </w:tcPr>
          <w:p w14:paraId="08D98A39" w14:textId="77777777" w:rsidR="009D4A93" w:rsidRPr="00536CFD" w:rsidRDefault="009D4A93" w:rsidP="009D4A93">
            <w:pPr>
              <w:keepLines/>
              <w:spacing w:after="0"/>
              <w:jc w:val="center"/>
            </w:pPr>
            <w:r w:rsidRPr="00536CFD">
              <w:rPr>
                <w:lang w:val="zh-CN"/>
              </w:rPr>
              <w:t>99.8333</w:t>
            </w:r>
          </w:p>
        </w:tc>
        <w:tc>
          <w:tcPr>
            <w:tcW w:w="724" w:type="dxa"/>
            <w:tcBorders>
              <w:top w:val="single" w:sz="4" w:space="0" w:color="auto"/>
              <w:left w:val="nil"/>
              <w:bottom w:val="single" w:sz="4" w:space="0" w:color="auto"/>
              <w:right w:val="single" w:sz="4" w:space="0" w:color="auto"/>
            </w:tcBorders>
            <w:shd w:val="clear" w:color="auto" w:fill="auto"/>
          </w:tcPr>
          <w:p w14:paraId="1C985C97" w14:textId="77777777" w:rsidR="009D4A93" w:rsidRPr="00536CFD" w:rsidRDefault="009D4A93" w:rsidP="009D4A93">
            <w:pPr>
              <w:keepLines/>
              <w:spacing w:after="0"/>
              <w:jc w:val="center"/>
            </w:pPr>
            <w:r w:rsidRPr="00536CFD">
              <w:rPr>
                <w:lang w:val="zh-CN"/>
              </w:rPr>
              <w:t>1.00</w:t>
            </w:r>
          </w:p>
        </w:tc>
        <w:tc>
          <w:tcPr>
            <w:tcW w:w="896" w:type="dxa"/>
            <w:tcBorders>
              <w:top w:val="single" w:sz="4" w:space="0" w:color="auto"/>
              <w:left w:val="nil"/>
              <w:bottom w:val="single" w:sz="4" w:space="0" w:color="auto"/>
              <w:right w:val="single" w:sz="4" w:space="0" w:color="auto"/>
            </w:tcBorders>
            <w:shd w:val="clear" w:color="auto" w:fill="auto"/>
          </w:tcPr>
          <w:p w14:paraId="1C24C2F5" w14:textId="77777777" w:rsidR="009D4A93" w:rsidRPr="00536CFD" w:rsidRDefault="009D4A93" w:rsidP="009D4A93">
            <w:pPr>
              <w:keepLines/>
              <w:spacing w:after="0"/>
              <w:jc w:val="center"/>
            </w:pPr>
            <w:r w:rsidRPr="00536CFD">
              <w:rPr>
                <w:lang w:val="zh-CN"/>
              </w:rPr>
              <w:t>0.92</w:t>
            </w:r>
          </w:p>
        </w:tc>
        <w:tc>
          <w:tcPr>
            <w:tcW w:w="720" w:type="dxa"/>
            <w:tcBorders>
              <w:top w:val="single" w:sz="4" w:space="0" w:color="auto"/>
              <w:left w:val="nil"/>
              <w:bottom w:val="single" w:sz="4" w:space="0" w:color="auto"/>
              <w:right w:val="single" w:sz="4" w:space="0" w:color="auto"/>
            </w:tcBorders>
            <w:shd w:val="clear" w:color="auto" w:fill="auto"/>
          </w:tcPr>
          <w:p w14:paraId="4957EA06" w14:textId="77777777" w:rsidR="009D4A93" w:rsidRPr="00536CFD" w:rsidRDefault="009D4A93" w:rsidP="009D4A93">
            <w:pPr>
              <w:keepLines/>
              <w:spacing w:after="0"/>
              <w:jc w:val="center"/>
            </w:pPr>
            <w:r w:rsidRPr="00536CFD">
              <w:rPr>
                <w:lang w:val="en-US"/>
              </w:rPr>
              <w:t>0.95</w:t>
            </w:r>
          </w:p>
        </w:tc>
        <w:tc>
          <w:tcPr>
            <w:tcW w:w="720" w:type="dxa"/>
            <w:tcBorders>
              <w:top w:val="single" w:sz="4" w:space="0" w:color="auto"/>
              <w:left w:val="nil"/>
              <w:bottom w:val="single" w:sz="4" w:space="0" w:color="auto"/>
              <w:right w:val="single" w:sz="4" w:space="0" w:color="auto"/>
            </w:tcBorders>
            <w:shd w:val="clear" w:color="auto" w:fill="auto"/>
          </w:tcPr>
          <w:p w14:paraId="4CB9CAC9" w14:textId="77777777" w:rsidR="009D4A93" w:rsidRPr="00536CFD" w:rsidRDefault="009D4A93" w:rsidP="009D4A93">
            <w:pPr>
              <w:keepLines/>
              <w:spacing w:after="0"/>
              <w:jc w:val="center"/>
            </w:pPr>
            <w:r w:rsidRPr="00536CFD">
              <w:rPr>
                <w:lang w:val="zh-CN"/>
              </w:rPr>
              <w:t>1.00</w:t>
            </w:r>
          </w:p>
        </w:tc>
      </w:tr>
      <w:tr w:rsidR="009D4A93" w:rsidRPr="00536CFD" w14:paraId="70B9CD0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8D4F901"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D61956D"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tcPr>
          <w:p w14:paraId="43AE2607" w14:textId="77777777" w:rsidR="009D4A93" w:rsidRPr="00536CFD" w:rsidRDefault="009D4A93" w:rsidP="009D4A93">
            <w:pPr>
              <w:keepLines/>
              <w:spacing w:after="0"/>
              <w:jc w:val="center"/>
            </w:pPr>
            <w:r w:rsidRPr="00536CFD">
              <w:rPr>
                <w:lang w:val="zh-CN"/>
              </w:rPr>
              <w:t>23.677</w:t>
            </w:r>
          </w:p>
        </w:tc>
        <w:tc>
          <w:tcPr>
            <w:tcW w:w="720" w:type="dxa"/>
            <w:tcBorders>
              <w:top w:val="single" w:sz="4" w:space="0" w:color="auto"/>
              <w:left w:val="nil"/>
              <w:bottom w:val="single" w:sz="4" w:space="0" w:color="auto"/>
              <w:right w:val="single" w:sz="4" w:space="0" w:color="auto"/>
            </w:tcBorders>
            <w:shd w:val="clear" w:color="auto" w:fill="auto"/>
          </w:tcPr>
          <w:p w14:paraId="0AF5B390" w14:textId="77777777" w:rsidR="009D4A93" w:rsidRPr="00536CFD" w:rsidRDefault="009D4A93" w:rsidP="009D4A93">
            <w:pPr>
              <w:keepLines/>
              <w:spacing w:after="0"/>
              <w:jc w:val="center"/>
            </w:pPr>
            <w:r w:rsidRPr="00536CFD">
              <w:rPr>
                <w:lang w:val="zh-CN"/>
              </w:rPr>
              <w:t>36.875</w:t>
            </w:r>
          </w:p>
        </w:tc>
        <w:tc>
          <w:tcPr>
            <w:tcW w:w="720" w:type="dxa"/>
            <w:tcBorders>
              <w:top w:val="single" w:sz="4" w:space="0" w:color="auto"/>
              <w:left w:val="nil"/>
              <w:bottom w:val="single" w:sz="4" w:space="0" w:color="auto"/>
              <w:right w:val="single" w:sz="4" w:space="0" w:color="auto"/>
            </w:tcBorders>
            <w:shd w:val="clear" w:color="auto" w:fill="auto"/>
          </w:tcPr>
          <w:p w14:paraId="0EF646B3" w14:textId="77777777" w:rsidR="009D4A93" w:rsidRPr="00536CFD" w:rsidRDefault="009D4A93" w:rsidP="009D4A93">
            <w:pPr>
              <w:keepLines/>
              <w:spacing w:after="0"/>
              <w:jc w:val="center"/>
            </w:pPr>
            <w:r w:rsidRPr="00536CFD">
              <w:rPr>
                <w:lang w:val="zh-CN"/>
              </w:rPr>
              <w:t>14.704</w:t>
            </w:r>
          </w:p>
        </w:tc>
        <w:tc>
          <w:tcPr>
            <w:tcW w:w="810" w:type="dxa"/>
            <w:tcBorders>
              <w:top w:val="single" w:sz="4" w:space="0" w:color="auto"/>
              <w:left w:val="nil"/>
              <w:bottom w:val="single" w:sz="4" w:space="0" w:color="auto"/>
              <w:right w:val="single" w:sz="4" w:space="0" w:color="auto"/>
            </w:tcBorders>
            <w:shd w:val="clear" w:color="auto" w:fill="auto"/>
          </w:tcPr>
          <w:p w14:paraId="1902FB06" w14:textId="77777777" w:rsidR="009D4A93" w:rsidRPr="00536CFD" w:rsidRDefault="009D4A93" w:rsidP="009D4A93">
            <w:pPr>
              <w:keepLines/>
              <w:spacing w:after="0"/>
              <w:jc w:val="center"/>
            </w:pPr>
            <w:r w:rsidRPr="00536CFD">
              <w:rPr>
                <w:lang w:val="zh-CN"/>
              </w:rPr>
              <w:t>5.260</w:t>
            </w:r>
          </w:p>
        </w:tc>
        <w:tc>
          <w:tcPr>
            <w:tcW w:w="810" w:type="dxa"/>
            <w:tcBorders>
              <w:top w:val="single" w:sz="4" w:space="0" w:color="auto"/>
              <w:left w:val="nil"/>
              <w:bottom w:val="single" w:sz="4" w:space="0" w:color="auto"/>
              <w:right w:val="single" w:sz="4" w:space="0" w:color="auto"/>
            </w:tcBorders>
            <w:shd w:val="clear" w:color="auto" w:fill="auto"/>
          </w:tcPr>
          <w:p w14:paraId="2264DF49" w14:textId="77777777" w:rsidR="009D4A93" w:rsidRPr="00536CFD" w:rsidRDefault="009D4A93" w:rsidP="009D4A93">
            <w:pPr>
              <w:keepLines/>
              <w:spacing w:after="0"/>
              <w:jc w:val="center"/>
            </w:pPr>
            <w:r w:rsidRPr="00536CFD">
              <w:rPr>
                <w:lang w:val="zh-CN"/>
              </w:rPr>
              <w:t>41.023</w:t>
            </w:r>
          </w:p>
        </w:tc>
        <w:tc>
          <w:tcPr>
            <w:tcW w:w="820" w:type="dxa"/>
            <w:tcBorders>
              <w:top w:val="single" w:sz="4" w:space="0" w:color="auto"/>
              <w:left w:val="nil"/>
              <w:bottom w:val="single" w:sz="4" w:space="0" w:color="auto"/>
              <w:right w:val="single" w:sz="4" w:space="0" w:color="auto"/>
            </w:tcBorders>
            <w:shd w:val="clear" w:color="auto" w:fill="auto"/>
          </w:tcPr>
          <w:p w14:paraId="12D6BFA6" w14:textId="77777777" w:rsidR="009D4A93" w:rsidRPr="00536CFD" w:rsidRDefault="009D4A93" w:rsidP="009D4A93">
            <w:pPr>
              <w:keepLines/>
              <w:spacing w:after="0"/>
              <w:jc w:val="center"/>
            </w:pPr>
            <w:r w:rsidRPr="00536CFD">
              <w:rPr>
                <w:lang w:val="zh-CN"/>
              </w:rPr>
              <w:t>40.448</w:t>
            </w:r>
          </w:p>
        </w:tc>
        <w:tc>
          <w:tcPr>
            <w:tcW w:w="800" w:type="dxa"/>
            <w:tcBorders>
              <w:top w:val="single" w:sz="4" w:space="0" w:color="auto"/>
              <w:left w:val="nil"/>
              <w:bottom w:val="single" w:sz="4" w:space="0" w:color="auto"/>
              <w:right w:val="single" w:sz="4" w:space="0" w:color="auto"/>
            </w:tcBorders>
            <w:shd w:val="clear" w:color="auto" w:fill="auto"/>
          </w:tcPr>
          <w:p w14:paraId="53830BC2" w14:textId="77777777" w:rsidR="009D4A93" w:rsidRPr="00536CFD" w:rsidRDefault="009D4A93" w:rsidP="009D4A93">
            <w:pPr>
              <w:keepLines/>
              <w:spacing w:after="0"/>
              <w:jc w:val="center"/>
            </w:pPr>
            <w:r w:rsidRPr="00536CFD">
              <w:rPr>
                <w:lang w:val="zh-CN"/>
              </w:rPr>
              <w:t>45.818</w:t>
            </w:r>
          </w:p>
        </w:tc>
        <w:tc>
          <w:tcPr>
            <w:tcW w:w="720" w:type="dxa"/>
            <w:tcBorders>
              <w:top w:val="single" w:sz="4" w:space="0" w:color="auto"/>
              <w:left w:val="nil"/>
              <w:bottom w:val="single" w:sz="4" w:space="0" w:color="auto"/>
              <w:right w:val="single" w:sz="4" w:space="0" w:color="auto"/>
            </w:tcBorders>
            <w:shd w:val="clear" w:color="auto" w:fill="auto"/>
          </w:tcPr>
          <w:p w14:paraId="6567041D" w14:textId="77777777" w:rsidR="009D4A93" w:rsidRPr="00536CFD" w:rsidRDefault="009D4A93" w:rsidP="009D4A93">
            <w:pPr>
              <w:keepLines/>
              <w:spacing w:after="0"/>
              <w:jc w:val="center"/>
            </w:pPr>
            <w:r w:rsidRPr="00536CFD">
              <w:rPr>
                <w:lang w:val="zh-CN"/>
              </w:rPr>
              <w:t>11.154</w:t>
            </w:r>
          </w:p>
        </w:tc>
        <w:tc>
          <w:tcPr>
            <w:tcW w:w="724" w:type="dxa"/>
            <w:tcBorders>
              <w:top w:val="single" w:sz="4" w:space="0" w:color="auto"/>
              <w:left w:val="nil"/>
              <w:bottom w:val="single" w:sz="4" w:space="0" w:color="auto"/>
              <w:right w:val="single" w:sz="4" w:space="0" w:color="auto"/>
            </w:tcBorders>
            <w:shd w:val="clear" w:color="auto" w:fill="auto"/>
          </w:tcPr>
          <w:p w14:paraId="3C15C94B" w14:textId="77777777" w:rsidR="009D4A93" w:rsidRPr="00536CFD" w:rsidRDefault="009D4A93" w:rsidP="009D4A93">
            <w:pPr>
              <w:keepLines/>
              <w:spacing w:after="0"/>
              <w:jc w:val="center"/>
            </w:pPr>
            <w:r w:rsidRPr="00536CFD">
              <w:rPr>
                <w:lang w:val="zh-CN"/>
              </w:rPr>
              <w:t>59.29</w:t>
            </w:r>
            <w:r w:rsidRPr="00536CFD">
              <w:rPr>
                <w:lang w:val="en-US"/>
              </w:rPr>
              <w:t>5</w:t>
            </w:r>
          </w:p>
        </w:tc>
        <w:tc>
          <w:tcPr>
            <w:tcW w:w="896" w:type="dxa"/>
            <w:tcBorders>
              <w:top w:val="single" w:sz="4" w:space="0" w:color="auto"/>
              <w:left w:val="nil"/>
              <w:bottom w:val="single" w:sz="4" w:space="0" w:color="auto"/>
              <w:right w:val="single" w:sz="4" w:space="0" w:color="auto"/>
            </w:tcBorders>
            <w:shd w:val="clear" w:color="auto" w:fill="auto"/>
          </w:tcPr>
          <w:p w14:paraId="2AD80648" w14:textId="77777777" w:rsidR="009D4A93" w:rsidRPr="00536CFD" w:rsidRDefault="009D4A93" w:rsidP="009D4A93">
            <w:pPr>
              <w:keepLines/>
              <w:spacing w:after="0"/>
              <w:jc w:val="center"/>
            </w:pPr>
            <w:r w:rsidRPr="00536CFD">
              <w:rPr>
                <w:lang w:val="zh-CN"/>
              </w:rPr>
              <w:t>45.374</w:t>
            </w:r>
          </w:p>
        </w:tc>
        <w:tc>
          <w:tcPr>
            <w:tcW w:w="720" w:type="dxa"/>
            <w:tcBorders>
              <w:top w:val="single" w:sz="4" w:space="0" w:color="auto"/>
              <w:left w:val="nil"/>
              <w:bottom w:val="single" w:sz="4" w:space="0" w:color="auto"/>
              <w:right w:val="single" w:sz="4" w:space="0" w:color="auto"/>
            </w:tcBorders>
            <w:shd w:val="clear" w:color="auto" w:fill="auto"/>
          </w:tcPr>
          <w:p w14:paraId="3C75CF4C" w14:textId="77777777" w:rsidR="009D4A93" w:rsidRPr="00536CFD" w:rsidRDefault="009D4A93" w:rsidP="009D4A93">
            <w:pPr>
              <w:keepLines/>
              <w:spacing w:after="0"/>
              <w:jc w:val="center"/>
            </w:pPr>
            <w:r w:rsidRPr="00536CFD">
              <w:rPr>
                <w:lang w:val="zh-CN"/>
              </w:rPr>
              <w:t>72.597</w:t>
            </w:r>
          </w:p>
        </w:tc>
        <w:tc>
          <w:tcPr>
            <w:tcW w:w="720" w:type="dxa"/>
            <w:tcBorders>
              <w:top w:val="single" w:sz="4" w:space="0" w:color="auto"/>
              <w:left w:val="nil"/>
              <w:bottom w:val="single" w:sz="4" w:space="0" w:color="auto"/>
              <w:right w:val="single" w:sz="4" w:space="0" w:color="auto"/>
            </w:tcBorders>
            <w:shd w:val="clear" w:color="auto" w:fill="auto"/>
          </w:tcPr>
          <w:p w14:paraId="0E9E79F8" w14:textId="77777777" w:rsidR="009D4A93" w:rsidRPr="00536CFD" w:rsidRDefault="009D4A93" w:rsidP="009D4A93">
            <w:pPr>
              <w:keepLines/>
              <w:spacing w:after="0"/>
              <w:jc w:val="center"/>
            </w:pPr>
            <w:r w:rsidRPr="00536CFD">
              <w:rPr>
                <w:lang w:val="zh-CN"/>
              </w:rPr>
              <w:t>15.094</w:t>
            </w:r>
          </w:p>
        </w:tc>
      </w:tr>
      <w:tr w:rsidR="009D4A93" w:rsidRPr="00536CFD" w14:paraId="1A6424AE" w14:textId="77777777" w:rsidTr="009D4A93">
        <w:trPr>
          <w:cantSplit/>
          <w:trHeight w:val="39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2FB4648"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CC40F9A" w14:textId="77777777" w:rsidR="009D4A93" w:rsidRPr="00536CFD" w:rsidRDefault="009D4A93" w:rsidP="009D4A93">
            <w:pPr>
              <w:keepLines/>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28973973" w14:textId="77777777" w:rsidR="009D4A93" w:rsidRPr="00536CFD" w:rsidRDefault="009D4A93" w:rsidP="009D4A93">
            <w:pPr>
              <w:keepLines/>
              <w:spacing w:after="0"/>
              <w:jc w:val="center"/>
              <w:rPr>
                <w:lang w:val="en-US"/>
              </w:rPr>
            </w:pPr>
            <w:r w:rsidRPr="00536CFD">
              <w:rPr>
                <w:lang w:val="en-US"/>
              </w:rPr>
              <w:t xml:space="preserve">DL:1Mbps; </w:t>
            </w:r>
          </w:p>
          <w:p w14:paraId="4C83B496" w14:textId="77777777" w:rsidR="009D4A93" w:rsidRPr="00536CFD" w:rsidRDefault="009D4A93" w:rsidP="009D4A93">
            <w:pPr>
              <w:keepLines/>
              <w:spacing w:after="0"/>
              <w:jc w:val="center"/>
              <w:rPr>
                <w:lang w:val="en-US"/>
              </w:rPr>
            </w:pPr>
            <w:r w:rsidRPr="00536CFD">
              <w:rPr>
                <w:lang w:val="en-US"/>
              </w:rPr>
              <w:t>UL:1Mbps</w:t>
            </w:r>
          </w:p>
        </w:tc>
        <w:tc>
          <w:tcPr>
            <w:tcW w:w="3150" w:type="dxa"/>
            <w:gridSpan w:val="4"/>
            <w:tcBorders>
              <w:top w:val="single" w:sz="4" w:space="0" w:color="auto"/>
              <w:left w:val="nil"/>
              <w:bottom w:val="single" w:sz="4" w:space="0" w:color="auto"/>
              <w:right w:val="single" w:sz="4" w:space="0" w:color="auto"/>
            </w:tcBorders>
            <w:shd w:val="clear" w:color="auto" w:fill="auto"/>
          </w:tcPr>
          <w:p w14:paraId="73B3C717" w14:textId="77777777" w:rsidR="009D4A93" w:rsidRPr="00536CFD" w:rsidRDefault="009D4A93" w:rsidP="009D4A93">
            <w:pPr>
              <w:keepLines/>
              <w:spacing w:after="0"/>
              <w:jc w:val="center"/>
              <w:rPr>
                <w:lang w:val="en-US"/>
              </w:rPr>
            </w:pPr>
            <w:r w:rsidRPr="00536CFD">
              <w:rPr>
                <w:lang w:val="en-US"/>
              </w:rPr>
              <w:t>DL:2Mbps;</w:t>
            </w:r>
          </w:p>
          <w:p w14:paraId="52E9AD13" w14:textId="77777777" w:rsidR="009D4A93" w:rsidRPr="00536CFD" w:rsidRDefault="009D4A93" w:rsidP="009D4A93">
            <w:pPr>
              <w:keepLines/>
              <w:spacing w:after="0"/>
              <w:jc w:val="center"/>
            </w:pPr>
            <w:r w:rsidRPr="00536CFD">
              <w:rPr>
                <w:lang w:val="en-US"/>
              </w:rPr>
              <w:t>UL:2Mbps</w:t>
            </w:r>
          </w:p>
        </w:tc>
        <w:tc>
          <w:tcPr>
            <w:tcW w:w="3060" w:type="dxa"/>
            <w:gridSpan w:val="4"/>
            <w:tcBorders>
              <w:top w:val="single" w:sz="4" w:space="0" w:color="auto"/>
              <w:left w:val="nil"/>
              <w:bottom w:val="single" w:sz="4" w:space="0" w:color="auto"/>
              <w:right w:val="single" w:sz="4" w:space="0" w:color="auto"/>
            </w:tcBorders>
            <w:shd w:val="clear" w:color="auto" w:fill="auto"/>
          </w:tcPr>
          <w:p w14:paraId="69A18525" w14:textId="77777777" w:rsidR="009D4A93" w:rsidRPr="00536CFD" w:rsidRDefault="009D4A93" w:rsidP="009D4A93">
            <w:pPr>
              <w:keepLines/>
              <w:spacing w:after="0"/>
              <w:jc w:val="center"/>
              <w:rPr>
                <w:lang w:val="en-US"/>
              </w:rPr>
            </w:pPr>
            <w:r w:rsidRPr="00536CFD">
              <w:rPr>
                <w:lang w:val="en-US"/>
              </w:rPr>
              <w:t xml:space="preserve">DL:2.5Mbps; </w:t>
            </w:r>
          </w:p>
          <w:p w14:paraId="747DD513" w14:textId="77777777" w:rsidR="009D4A93" w:rsidRPr="00536CFD" w:rsidRDefault="009D4A93" w:rsidP="009D4A93">
            <w:pPr>
              <w:keepLines/>
              <w:spacing w:after="0"/>
              <w:jc w:val="center"/>
            </w:pPr>
            <w:r w:rsidRPr="00536CFD">
              <w:rPr>
                <w:lang w:val="en-US"/>
              </w:rPr>
              <w:t>UL:2.5Mbps</w:t>
            </w:r>
          </w:p>
        </w:tc>
      </w:tr>
      <w:tr w:rsidR="009D4A93" w:rsidRPr="00536CFD" w14:paraId="39FA2E1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EDFD48C"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BE9AE37" w14:textId="77777777" w:rsidR="009D4A93" w:rsidRPr="00536CFD" w:rsidRDefault="009D4A93" w:rsidP="009D4A93">
            <w:pPr>
              <w:keepLines/>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0ECD4608" w14:textId="77777777" w:rsidR="009D4A93" w:rsidRPr="00536CFD" w:rsidRDefault="009D4A93" w:rsidP="009D4A93">
            <w:pPr>
              <w:keepLines/>
              <w:spacing w:after="0" w:line="360" w:lineRule="auto"/>
              <w:contextualSpacing/>
              <w:rPr>
                <w:lang w:val="en-US" w:bidi="ar"/>
              </w:rPr>
            </w:pPr>
            <w:r w:rsidRPr="00536CFD">
              <w:rPr>
                <w:lang w:val="en-US" w:bidi="ar"/>
              </w:rPr>
              <w:t>Additional comments:</w:t>
            </w:r>
          </w:p>
          <w:p w14:paraId="74045068" w14:textId="77777777" w:rsidR="009D4A93" w:rsidRPr="00536CFD" w:rsidRDefault="009D4A93" w:rsidP="009D4A93">
            <w:pPr>
              <w:keepLines/>
              <w:spacing w:after="0"/>
            </w:pPr>
            <w:r w:rsidRPr="00536CFD">
              <w:t>- TxOP assumptions of WiFi and NR-U: 4.096 ms TxOP for both DL/UL WiFi and upto 4ms DL/UL NR-U transmission</w:t>
            </w:r>
          </w:p>
          <w:p w14:paraId="648DAC20" w14:textId="77777777" w:rsidR="009D4A93" w:rsidRPr="00536CFD" w:rsidRDefault="009D4A93" w:rsidP="009D4A93">
            <w:pPr>
              <w:keepLines/>
              <w:spacing w:after="0"/>
            </w:pPr>
            <w:r w:rsidRPr="00536CFD">
              <w:t>- Is RTS/CTS enabled for WiFi: No</w:t>
            </w:r>
          </w:p>
          <w:p w14:paraId="2A113BB1" w14:textId="77777777" w:rsidR="009D4A93" w:rsidRPr="00536CFD" w:rsidRDefault="009D4A93" w:rsidP="009D4A93">
            <w:pPr>
              <w:keepLines/>
              <w:spacing w:after="0"/>
            </w:pPr>
            <w:r w:rsidRPr="00536CFD">
              <w:t>- PD/ED threshold assumptions: For WiFi, -82/62 dBm PD/ED threshold and for NR-U, -72 dBm ED threshold</w:t>
            </w:r>
          </w:p>
          <w:p w14:paraId="722BB6A3" w14:textId="77777777" w:rsidR="009D4A93" w:rsidRPr="00536CFD" w:rsidRDefault="009D4A93" w:rsidP="009D4A93">
            <w:pPr>
              <w:keepLines/>
              <w:spacing w:after="0"/>
            </w:pPr>
            <w:r w:rsidRPr="00536CFD">
              <w:t>- Max modulation order supported in each technology: 256 QAM for both WiFi and NR-U</w:t>
            </w:r>
          </w:p>
          <w:p w14:paraId="120A740B" w14:textId="77777777" w:rsidR="009D4A93" w:rsidRPr="00536CFD" w:rsidRDefault="009D4A93" w:rsidP="009D4A93">
            <w:pPr>
              <w:keepLines/>
              <w:spacing w:after="0"/>
            </w:pPr>
            <w:r w:rsidRPr="00536CFD">
              <w:t>- MIMO scheme and number of MIMO layers used for both technologies: 2Tx2Rx antenna configuration and 2 layer for both Wi-Fi and NR-U</w:t>
            </w:r>
          </w:p>
          <w:p w14:paraId="361281F8" w14:textId="77777777" w:rsidR="009D4A93" w:rsidRPr="00536CFD" w:rsidRDefault="009D4A93" w:rsidP="009D4A93">
            <w:pPr>
              <w:keepLines/>
              <w:spacing w:after="0"/>
            </w:pPr>
            <w:r w:rsidRPr="00536CFD">
              <w:t>- WiFi MAC layer A-MPDU/A-MSDU aggregation level, MPDU size: 802.11ac</w:t>
            </w:r>
          </w:p>
          <w:p w14:paraId="7F10D4DE" w14:textId="77777777" w:rsidR="009D4A93" w:rsidRPr="00536CFD" w:rsidRDefault="009D4A93" w:rsidP="009D4A93">
            <w:pPr>
              <w:keepLines/>
              <w:spacing w:after="0"/>
            </w:pPr>
            <w:r w:rsidRPr="00536CFD">
              <w:t>- NR-U SCS: 15 kHz</w:t>
            </w:r>
          </w:p>
          <w:p w14:paraId="43C33751" w14:textId="2B12BA0D" w:rsidR="009D4A93" w:rsidRPr="00536CFD" w:rsidRDefault="00200090" w:rsidP="009D4A93">
            <w:pPr>
              <w:keepLines/>
              <w:spacing w:after="0"/>
            </w:pPr>
            <w:r>
              <w:t xml:space="preserve">- WiFi guard interval: 0.8 </w:t>
            </w:r>
            <w:r w:rsidRPr="00C64ECB">
              <w:rPr>
                <w:rFonts w:ascii="Symbol" w:hAnsi="Symbol"/>
              </w:rPr>
              <w:t></w:t>
            </w:r>
            <w:r w:rsidR="009D4A93" w:rsidRPr="00536CFD">
              <w:t>sec</w:t>
            </w:r>
          </w:p>
          <w:p w14:paraId="332E0335" w14:textId="77777777" w:rsidR="009D4A93" w:rsidRPr="00536CFD" w:rsidRDefault="009D4A93" w:rsidP="009D4A93">
            <w:pPr>
              <w:keepLines/>
              <w:spacing w:after="0"/>
            </w:pPr>
            <w:r w:rsidRPr="00536CFD">
              <w:t>- NR UE processing time capability (#1 or #2): Processing time capability #1</w:t>
            </w:r>
          </w:p>
          <w:p w14:paraId="073DC77F" w14:textId="77777777" w:rsidR="009D4A93" w:rsidRPr="00536CFD" w:rsidRDefault="009D4A93" w:rsidP="009D4A93">
            <w:pPr>
              <w:keepLines/>
              <w:spacing w:after="0"/>
            </w:pPr>
            <w:r w:rsidRPr="00536CFD">
              <w:t>- NR PDSCH/PUSCH mapping type, PDCCH monitoring configuration: type A; monitoringSlotPeriodicityAndOffset: 1slot; coreset  duration: 2 symbol; monitoringSymbolswithinSlot: [1 0 0 0 0 0 0 0 0 0 0 0 0 0]</w:t>
            </w:r>
          </w:p>
          <w:p w14:paraId="681B124D" w14:textId="77777777" w:rsidR="009D4A93" w:rsidRPr="00536CFD" w:rsidRDefault="009D4A93" w:rsidP="009D4A93">
            <w:pPr>
              <w:keepLines/>
              <w:spacing w:after="0" w:line="360" w:lineRule="auto"/>
              <w:contextualSpacing/>
              <w:rPr>
                <w:lang w:val="en-US" w:bidi="ar"/>
              </w:rPr>
            </w:pPr>
            <w:r w:rsidRPr="00536CFD">
              <w:t>- Cross-carrier scheduling for NR-U</w:t>
            </w:r>
          </w:p>
          <w:p w14:paraId="7199F288" w14:textId="77777777" w:rsidR="009D4A93" w:rsidRPr="00536CFD" w:rsidRDefault="009D4A93" w:rsidP="009D4A93">
            <w:pPr>
              <w:keepLines/>
              <w:spacing w:after="0" w:line="360" w:lineRule="auto"/>
              <w:contextualSpacing/>
              <w:rPr>
                <w:lang w:val="en-US" w:bidi="ar"/>
              </w:rPr>
            </w:pPr>
            <w:r w:rsidRPr="00536CFD">
              <w:rPr>
                <w:b/>
                <w:bCs/>
                <w:lang w:val="en-US" w:bidi="ar"/>
              </w:rPr>
              <w:t>Note:</w:t>
            </w:r>
            <w:r w:rsidRPr="00536CFD">
              <w:rPr>
                <w:lang w:val="en-US" w:bidi="ar"/>
              </w:rPr>
              <w:t xml:space="preserve"> A fixed time slot ratio of downlink-uplink is used for NR-U, i.e. DL:UL = {5:5}.</w:t>
            </w:r>
          </w:p>
        </w:tc>
      </w:tr>
      <w:tr w:rsidR="009D4A93" w:rsidRPr="00536CFD" w14:paraId="0D3BB305"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4DC6E45F" w14:textId="77777777" w:rsidR="009D4A93" w:rsidRPr="00536CFD" w:rsidRDefault="009D4A93" w:rsidP="009D4A93">
            <w:pPr>
              <w:pStyle w:val="NormalWeb"/>
              <w:keepLines/>
              <w:pageBreakBefore/>
              <w:spacing w:before="0" w:beforeAutospacing="0" w:after="0" w:afterAutospacing="0"/>
              <w:ind w:left="113" w:right="113"/>
              <w:jc w:val="center"/>
              <w:rPr>
                <w:rFonts w:eastAsia="SimSun"/>
                <w:sz w:val="20"/>
                <w:szCs w:val="20"/>
              </w:rPr>
            </w:pPr>
            <w:r w:rsidRPr="00536CFD">
              <w:rPr>
                <w:rFonts w:eastAsia="SimSun"/>
                <w:sz w:val="20"/>
                <w:szCs w:val="20"/>
                <w:lang w:bidi="ar"/>
              </w:rPr>
              <w:lastRenderedPageBreak/>
              <w:t>R1-1812431/SOURCE 1</w:t>
            </w:r>
          </w:p>
        </w:tc>
        <w:tc>
          <w:tcPr>
            <w:tcW w:w="535" w:type="dxa"/>
            <w:vMerge w:val="restart"/>
            <w:tcBorders>
              <w:top w:val="nil"/>
              <w:left w:val="nil"/>
              <w:bottom w:val="single" w:sz="4" w:space="0" w:color="auto"/>
              <w:right w:val="single" w:sz="4" w:space="0" w:color="auto"/>
            </w:tcBorders>
            <w:shd w:val="clear" w:color="auto" w:fill="auto"/>
          </w:tcPr>
          <w:p w14:paraId="6233FD4E" w14:textId="77777777" w:rsidR="009D4A93" w:rsidRPr="00536CFD" w:rsidRDefault="009D4A93" w:rsidP="009D4A93">
            <w:pPr>
              <w:pStyle w:val="NormalWeb"/>
              <w:keepLines/>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7F898FA5" w14:textId="77777777" w:rsidR="009D4A93" w:rsidRPr="00536CFD" w:rsidRDefault="009D4A93" w:rsidP="009D4A93">
            <w:pPr>
              <w:pStyle w:val="NormalWeb"/>
              <w:keepLines/>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5B58A5E0" w14:textId="77777777" w:rsidR="009D4A93" w:rsidRPr="00536CFD" w:rsidRDefault="009D4A93" w:rsidP="009D4A93">
            <w:pPr>
              <w:keepLines/>
              <w:pageBreakBefore/>
              <w:spacing w:after="0"/>
              <w:jc w:val="center"/>
            </w:pPr>
            <w:r w:rsidRPr="00536CFD">
              <w:rPr>
                <w:lang w:val="zh-CN"/>
              </w:rPr>
              <w:t>40.958</w:t>
            </w:r>
          </w:p>
        </w:tc>
        <w:tc>
          <w:tcPr>
            <w:tcW w:w="720" w:type="dxa"/>
            <w:tcBorders>
              <w:top w:val="single" w:sz="4" w:space="0" w:color="auto"/>
              <w:left w:val="nil"/>
              <w:bottom w:val="single" w:sz="4" w:space="0" w:color="auto"/>
              <w:right w:val="single" w:sz="4" w:space="0" w:color="auto"/>
            </w:tcBorders>
            <w:shd w:val="clear" w:color="auto" w:fill="auto"/>
          </w:tcPr>
          <w:p w14:paraId="72E062CE" w14:textId="77777777" w:rsidR="009D4A93" w:rsidRPr="00536CFD" w:rsidRDefault="009D4A93" w:rsidP="009D4A93">
            <w:pPr>
              <w:keepLines/>
              <w:pageBreakBefore/>
              <w:spacing w:after="0"/>
              <w:jc w:val="center"/>
            </w:pPr>
            <w:r w:rsidRPr="00536CFD">
              <w:rPr>
                <w:lang w:val="zh-CN"/>
              </w:rPr>
              <w:t>50.315</w:t>
            </w:r>
          </w:p>
        </w:tc>
        <w:tc>
          <w:tcPr>
            <w:tcW w:w="720" w:type="dxa"/>
            <w:tcBorders>
              <w:top w:val="single" w:sz="4" w:space="0" w:color="auto"/>
              <w:left w:val="nil"/>
              <w:bottom w:val="single" w:sz="4" w:space="0" w:color="auto"/>
              <w:right w:val="single" w:sz="4" w:space="0" w:color="auto"/>
            </w:tcBorders>
            <w:shd w:val="clear" w:color="auto" w:fill="auto"/>
          </w:tcPr>
          <w:p w14:paraId="253B7046" w14:textId="77777777" w:rsidR="009D4A93" w:rsidRPr="00536CFD" w:rsidRDefault="009D4A93" w:rsidP="009D4A93">
            <w:pPr>
              <w:keepLines/>
              <w:pageBreakBefore/>
              <w:spacing w:after="0"/>
              <w:jc w:val="center"/>
            </w:pPr>
            <w:r w:rsidRPr="00536CFD">
              <w:rPr>
                <w:lang w:val="zh-CN"/>
              </w:rPr>
              <w:t>32.719</w:t>
            </w:r>
          </w:p>
        </w:tc>
        <w:tc>
          <w:tcPr>
            <w:tcW w:w="810" w:type="dxa"/>
            <w:tcBorders>
              <w:top w:val="single" w:sz="4" w:space="0" w:color="auto"/>
              <w:left w:val="nil"/>
              <w:bottom w:val="single" w:sz="4" w:space="0" w:color="auto"/>
              <w:right w:val="single" w:sz="4" w:space="0" w:color="auto"/>
            </w:tcBorders>
            <w:shd w:val="clear" w:color="auto" w:fill="auto"/>
          </w:tcPr>
          <w:p w14:paraId="744EF595" w14:textId="77777777" w:rsidR="009D4A93" w:rsidRPr="00536CFD" w:rsidRDefault="009D4A93" w:rsidP="009D4A93">
            <w:pPr>
              <w:keepLines/>
              <w:pageBreakBefore/>
              <w:spacing w:after="0"/>
            </w:pPr>
            <w:r w:rsidRPr="00536CFD">
              <w:rPr>
                <w:lang w:val="zh-CN"/>
              </w:rPr>
              <w:t xml:space="preserve">62.8229 </w:t>
            </w:r>
          </w:p>
        </w:tc>
        <w:tc>
          <w:tcPr>
            <w:tcW w:w="810" w:type="dxa"/>
            <w:tcBorders>
              <w:top w:val="single" w:sz="4" w:space="0" w:color="auto"/>
              <w:left w:val="nil"/>
              <w:bottom w:val="single" w:sz="4" w:space="0" w:color="auto"/>
              <w:right w:val="single" w:sz="4" w:space="0" w:color="auto"/>
            </w:tcBorders>
            <w:shd w:val="clear" w:color="auto" w:fill="auto"/>
          </w:tcPr>
          <w:p w14:paraId="14305243" w14:textId="77777777" w:rsidR="009D4A93" w:rsidRPr="00536CFD" w:rsidRDefault="009D4A93" w:rsidP="009D4A93">
            <w:pPr>
              <w:keepLines/>
              <w:pageBreakBefore/>
              <w:spacing w:after="0"/>
              <w:jc w:val="center"/>
            </w:pPr>
            <w:r w:rsidRPr="00536CFD">
              <w:rPr>
                <w:lang w:val="zh-CN"/>
              </w:rPr>
              <w:t>19.582</w:t>
            </w:r>
          </w:p>
        </w:tc>
        <w:tc>
          <w:tcPr>
            <w:tcW w:w="820" w:type="dxa"/>
            <w:tcBorders>
              <w:top w:val="single" w:sz="4" w:space="0" w:color="auto"/>
              <w:left w:val="nil"/>
              <w:bottom w:val="single" w:sz="4" w:space="0" w:color="auto"/>
              <w:right w:val="single" w:sz="4" w:space="0" w:color="auto"/>
            </w:tcBorders>
            <w:shd w:val="clear" w:color="auto" w:fill="auto"/>
          </w:tcPr>
          <w:p w14:paraId="1CD09501" w14:textId="77777777" w:rsidR="009D4A93" w:rsidRPr="00536CFD" w:rsidRDefault="009D4A93" w:rsidP="009D4A93">
            <w:pPr>
              <w:keepLines/>
              <w:pageBreakBefore/>
              <w:spacing w:after="0"/>
              <w:jc w:val="center"/>
            </w:pPr>
            <w:r w:rsidRPr="00536CFD">
              <w:rPr>
                <w:lang w:val="zh-CN"/>
              </w:rPr>
              <w:t>44.334</w:t>
            </w:r>
          </w:p>
        </w:tc>
        <w:tc>
          <w:tcPr>
            <w:tcW w:w="800" w:type="dxa"/>
            <w:tcBorders>
              <w:top w:val="single" w:sz="4" w:space="0" w:color="auto"/>
              <w:left w:val="nil"/>
              <w:bottom w:val="single" w:sz="4" w:space="0" w:color="auto"/>
              <w:right w:val="single" w:sz="4" w:space="0" w:color="auto"/>
            </w:tcBorders>
            <w:shd w:val="clear" w:color="auto" w:fill="auto"/>
          </w:tcPr>
          <w:p w14:paraId="08F117D7" w14:textId="77777777" w:rsidR="009D4A93" w:rsidRPr="00536CFD" w:rsidRDefault="009D4A93" w:rsidP="009D4A93">
            <w:pPr>
              <w:keepLines/>
              <w:pageBreakBefore/>
              <w:spacing w:after="0"/>
              <w:jc w:val="center"/>
            </w:pPr>
            <w:r w:rsidRPr="00536CFD">
              <w:rPr>
                <w:lang w:val="zh-CN"/>
              </w:rPr>
              <w:t>18.189</w:t>
            </w:r>
          </w:p>
        </w:tc>
        <w:tc>
          <w:tcPr>
            <w:tcW w:w="720" w:type="dxa"/>
            <w:tcBorders>
              <w:top w:val="single" w:sz="4" w:space="0" w:color="auto"/>
              <w:left w:val="nil"/>
              <w:bottom w:val="single" w:sz="4" w:space="0" w:color="auto"/>
              <w:right w:val="single" w:sz="4" w:space="0" w:color="auto"/>
            </w:tcBorders>
            <w:shd w:val="clear" w:color="auto" w:fill="auto"/>
          </w:tcPr>
          <w:p w14:paraId="242C49BB" w14:textId="77777777" w:rsidR="009D4A93" w:rsidRPr="00536CFD" w:rsidRDefault="009D4A93" w:rsidP="009D4A93">
            <w:pPr>
              <w:keepLines/>
              <w:pageBreakBefore/>
              <w:spacing w:after="0"/>
              <w:jc w:val="center"/>
            </w:pPr>
            <w:r w:rsidRPr="00536CFD">
              <w:rPr>
                <w:lang w:val="zh-CN"/>
              </w:rPr>
              <w:t>54.2921</w:t>
            </w:r>
          </w:p>
        </w:tc>
        <w:tc>
          <w:tcPr>
            <w:tcW w:w="724" w:type="dxa"/>
            <w:tcBorders>
              <w:top w:val="single" w:sz="4" w:space="0" w:color="auto"/>
              <w:left w:val="nil"/>
              <w:bottom w:val="single" w:sz="4" w:space="0" w:color="auto"/>
              <w:right w:val="single" w:sz="4" w:space="0" w:color="auto"/>
            </w:tcBorders>
            <w:shd w:val="clear" w:color="auto" w:fill="auto"/>
          </w:tcPr>
          <w:p w14:paraId="52154E5E" w14:textId="77777777" w:rsidR="009D4A93" w:rsidRPr="00536CFD" w:rsidRDefault="009D4A93" w:rsidP="009D4A93">
            <w:pPr>
              <w:keepLines/>
              <w:pageBreakBefore/>
              <w:spacing w:after="0"/>
              <w:jc w:val="center"/>
            </w:pPr>
            <w:r w:rsidRPr="00536CFD">
              <w:rPr>
                <w:lang w:val="zh-CN"/>
              </w:rPr>
              <w:t>7.768</w:t>
            </w:r>
          </w:p>
        </w:tc>
        <w:tc>
          <w:tcPr>
            <w:tcW w:w="896" w:type="dxa"/>
            <w:tcBorders>
              <w:top w:val="single" w:sz="4" w:space="0" w:color="auto"/>
              <w:left w:val="nil"/>
              <w:bottom w:val="single" w:sz="4" w:space="0" w:color="auto"/>
              <w:right w:val="single" w:sz="4" w:space="0" w:color="auto"/>
            </w:tcBorders>
            <w:shd w:val="clear" w:color="auto" w:fill="auto"/>
          </w:tcPr>
          <w:p w14:paraId="166C5846" w14:textId="77777777" w:rsidR="009D4A93" w:rsidRPr="00536CFD" w:rsidRDefault="009D4A93" w:rsidP="009D4A93">
            <w:pPr>
              <w:keepLines/>
              <w:pageBreakBefore/>
              <w:spacing w:after="0"/>
              <w:jc w:val="center"/>
            </w:pPr>
            <w:r w:rsidRPr="00536CFD">
              <w:rPr>
                <w:lang w:val="zh-CN"/>
              </w:rPr>
              <w:t>44.419</w:t>
            </w:r>
          </w:p>
        </w:tc>
        <w:tc>
          <w:tcPr>
            <w:tcW w:w="720" w:type="dxa"/>
            <w:tcBorders>
              <w:top w:val="single" w:sz="4" w:space="0" w:color="auto"/>
              <w:left w:val="nil"/>
              <w:bottom w:val="single" w:sz="4" w:space="0" w:color="auto"/>
              <w:right w:val="single" w:sz="4" w:space="0" w:color="auto"/>
            </w:tcBorders>
            <w:shd w:val="clear" w:color="auto" w:fill="auto"/>
          </w:tcPr>
          <w:p w14:paraId="55832D07" w14:textId="77777777" w:rsidR="009D4A93" w:rsidRPr="00536CFD" w:rsidRDefault="009D4A93" w:rsidP="009D4A93">
            <w:pPr>
              <w:keepLines/>
              <w:pageBreakBefore/>
              <w:spacing w:after="0"/>
              <w:jc w:val="center"/>
            </w:pPr>
            <w:r w:rsidRPr="00536CFD">
              <w:rPr>
                <w:lang w:val="zh-CN"/>
              </w:rPr>
              <w:t>11.733</w:t>
            </w:r>
          </w:p>
        </w:tc>
        <w:tc>
          <w:tcPr>
            <w:tcW w:w="720" w:type="dxa"/>
            <w:tcBorders>
              <w:top w:val="single" w:sz="4" w:space="0" w:color="auto"/>
              <w:left w:val="nil"/>
              <w:bottom w:val="single" w:sz="4" w:space="0" w:color="auto"/>
              <w:right w:val="single" w:sz="4" w:space="0" w:color="auto"/>
            </w:tcBorders>
            <w:shd w:val="clear" w:color="auto" w:fill="auto"/>
          </w:tcPr>
          <w:p w14:paraId="246336D8" w14:textId="77777777" w:rsidR="009D4A93" w:rsidRPr="00536CFD" w:rsidRDefault="009D4A93" w:rsidP="009D4A93">
            <w:pPr>
              <w:keepLines/>
              <w:pageBreakBefore/>
              <w:spacing w:after="0"/>
              <w:jc w:val="center"/>
            </w:pPr>
            <w:r w:rsidRPr="00536CFD">
              <w:rPr>
                <w:lang w:val="zh-CN"/>
              </w:rPr>
              <w:t>52.0858</w:t>
            </w:r>
          </w:p>
        </w:tc>
      </w:tr>
      <w:tr w:rsidR="009D4A93" w:rsidRPr="00536CFD" w14:paraId="5981C97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64F8349"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36C5165"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1D7B93A4"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28DBCF79" w14:textId="77777777" w:rsidR="009D4A93" w:rsidRPr="00536CFD" w:rsidRDefault="009D4A93" w:rsidP="009D4A93">
            <w:pPr>
              <w:keepLines/>
              <w:spacing w:after="0"/>
              <w:jc w:val="center"/>
            </w:pPr>
            <w:r w:rsidRPr="00536CFD">
              <w:rPr>
                <w:lang w:val="zh-CN"/>
              </w:rPr>
              <w:t>51.341</w:t>
            </w:r>
          </w:p>
        </w:tc>
        <w:tc>
          <w:tcPr>
            <w:tcW w:w="720" w:type="dxa"/>
            <w:tcBorders>
              <w:top w:val="single" w:sz="4" w:space="0" w:color="auto"/>
              <w:left w:val="nil"/>
              <w:bottom w:val="single" w:sz="4" w:space="0" w:color="auto"/>
              <w:right w:val="single" w:sz="4" w:space="0" w:color="auto"/>
            </w:tcBorders>
            <w:shd w:val="clear" w:color="auto" w:fill="auto"/>
          </w:tcPr>
          <w:p w14:paraId="13B32715" w14:textId="77777777" w:rsidR="009D4A93" w:rsidRPr="00536CFD" w:rsidRDefault="009D4A93" w:rsidP="009D4A93">
            <w:pPr>
              <w:keepLines/>
              <w:spacing w:after="0"/>
              <w:jc w:val="center"/>
            </w:pPr>
            <w:r w:rsidRPr="00536CFD">
              <w:rPr>
                <w:lang w:val="zh-CN"/>
              </w:rPr>
              <w:t>61.638</w:t>
            </w:r>
          </w:p>
        </w:tc>
        <w:tc>
          <w:tcPr>
            <w:tcW w:w="720" w:type="dxa"/>
            <w:tcBorders>
              <w:top w:val="single" w:sz="4" w:space="0" w:color="auto"/>
              <w:left w:val="nil"/>
              <w:bottom w:val="single" w:sz="4" w:space="0" w:color="auto"/>
              <w:right w:val="single" w:sz="4" w:space="0" w:color="auto"/>
            </w:tcBorders>
            <w:shd w:val="clear" w:color="auto" w:fill="auto"/>
          </w:tcPr>
          <w:p w14:paraId="5AEF071A" w14:textId="77777777" w:rsidR="009D4A93" w:rsidRPr="00536CFD" w:rsidRDefault="009D4A93" w:rsidP="009D4A93">
            <w:pPr>
              <w:keepLines/>
              <w:spacing w:after="0"/>
              <w:jc w:val="center"/>
            </w:pPr>
            <w:r w:rsidRPr="00536CFD">
              <w:rPr>
                <w:lang w:val="zh-CN"/>
              </w:rPr>
              <w:t>109.690</w:t>
            </w:r>
          </w:p>
        </w:tc>
        <w:tc>
          <w:tcPr>
            <w:tcW w:w="810" w:type="dxa"/>
            <w:tcBorders>
              <w:top w:val="single" w:sz="4" w:space="0" w:color="auto"/>
              <w:left w:val="nil"/>
              <w:bottom w:val="single" w:sz="4" w:space="0" w:color="auto"/>
              <w:right w:val="single" w:sz="4" w:space="0" w:color="auto"/>
            </w:tcBorders>
            <w:shd w:val="clear" w:color="auto" w:fill="auto"/>
          </w:tcPr>
          <w:p w14:paraId="1EF04C4F" w14:textId="77777777" w:rsidR="009D4A93" w:rsidRPr="00536CFD" w:rsidRDefault="009D4A93" w:rsidP="009D4A93">
            <w:pPr>
              <w:keepLines/>
              <w:spacing w:after="0"/>
              <w:jc w:val="center"/>
            </w:pPr>
            <w:r w:rsidRPr="00536CFD">
              <w:rPr>
                <w:lang w:val="zh-CN"/>
              </w:rPr>
              <w:t xml:space="preserve">179.0133 </w:t>
            </w:r>
          </w:p>
        </w:tc>
        <w:tc>
          <w:tcPr>
            <w:tcW w:w="810" w:type="dxa"/>
            <w:tcBorders>
              <w:top w:val="single" w:sz="4" w:space="0" w:color="auto"/>
              <w:left w:val="nil"/>
              <w:bottom w:val="single" w:sz="4" w:space="0" w:color="auto"/>
              <w:right w:val="single" w:sz="4" w:space="0" w:color="auto"/>
            </w:tcBorders>
            <w:shd w:val="clear" w:color="auto" w:fill="auto"/>
          </w:tcPr>
          <w:p w14:paraId="03AC40B4" w14:textId="77777777" w:rsidR="009D4A93" w:rsidRPr="00536CFD" w:rsidRDefault="009D4A93" w:rsidP="009D4A93">
            <w:pPr>
              <w:keepLines/>
              <w:spacing w:after="0"/>
              <w:jc w:val="center"/>
            </w:pPr>
            <w:r w:rsidRPr="00536CFD">
              <w:rPr>
                <w:lang w:val="zh-CN"/>
              </w:rPr>
              <w:t>32.045</w:t>
            </w:r>
          </w:p>
        </w:tc>
        <w:tc>
          <w:tcPr>
            <w:tcW w:w="820" w:type="dxa"/>
            <w:tcBorders>
              <w:top w:val="single" w:sz="4" w:space="0" w:color="auto"/>
              <w:left w:val="nil"/>
              <w:bottom w:val="single" w:sz="4" w:space="0" w:color="auto"/>
              <w:right w:val="single" w:sz="4" w:space="0" w:color="auto"/>
            </w:tcBorders>
            <w:shd w:val="clear" w:color="auto" w:fill="auto"/>
          </w:tcPr>
          <w:p w14:paraId="023AF03E" w14:textId="77777777" w:rsidR="009D4A93" w:rsidRPr="00536CFD" w:rsidRDefault="009D4A93" w:rsidP="009D4A93">
            <w:pPr>
              <w:keepLines/>
              <w:spacing w:after="0"/>
              <w:jc w:val="center"/>
            </w:pPr>
            <w:r w:rsidRPr="00536CFD">
              <w:rPr>
                <w:lang w:val="zh-CN"/>
              </w:rPr>
              <w:t>54.118</w:t>
            </w:r>
          </w:p>
        </w:tc>
        <w:tc>
          <w:tcPr>
            <w:tcW w:w="800" w:type="dxa"/>
            <w:tcBorders>
              <w:top w:val="single" w:sz="4" w:space="0" w:color="auto"/>
              <w:left w:val="nil"/>
              <w:bottom w:val="single" w:sz="4" w:space="0" w:color="auto"/>
              <w:right w:val="single" w:sz="4" w:space="0" w:color="auto"/>
            </w:tcBorders>
            <w:shd w:val="clear" w:color="auto" w:fill="auto"/>
          </w:tcPr>
          <w:p w14:paraId="2A1F2C81" w14:textId="77777777" w:rsidR="009D4A93" w:rsidRPr="00536CFD" w:rsidRDefault="009D4A93" w:rsidP="009D4A93">
            <w:pPr>
              <w:keepLines/>
              <w:spacing w:after="0"/>
              <w:jc w:val="center"/>
            </w:pPr>
            <w:r w:rsidRPr="00536CFD">
              <w:rPr>
                <w:lang w:val="zh-CN"/>
              </w:rPr>
              <w:t>75.648</w:t>
            </w:r>
          </w:p>
        </w:tc>
        <w:tc>
          <w:tcPr>
            <w:tcW w:w="720" w:type="dxa"/>
            <w:tcBorders>
              <w:top w:val="single" w:sz="4" w:space="0" w:color="auto"/>
              <w:left w:val="nil"/>
              <w:bottom w:val="single" w:sz="4" w:space="0" w:color="auto"/>
              <w:right w:val="single" w:sz="4" w:space="0" w:color="auto"/>
            </w:tcBorders>
            <w:shd w:val="clear" w:color="auto" w:fill="auto"/>
          </w:tcPr>
          <w:p w14:paraId="08FB0A44" w14:textId="77777777" w:rsidR="009D4A93" w:rsidRPr="00536CFD" w:rsidRDefault="009D4A93" w:rsidP="009D4A93">
            <w:pPr>
              <w:keepLines/>
              <w:spacing w:after="0"/>
              <w:jc w:val="center"/>
            </w:pPr>
            <w:r w:rsidRPr="00536CFD">
              <w:rPr>
                <w:lang w:val="zh-CN"/>
              </w:rPr>
              <w:t>164.9158</w:t>
            </w:r>
          </w:p>
        </w:tc>
        <w:tc>
          <w:tcPr>
            <w:tcW w:w="724" w:type="dxa"/>
            <w:tcBorders>
              <w:top w:val="single" w:sz="4" w:space="0" w:color="auto"/>
              <w:left w:val="nil"/>
              <w:bottom w:val="single" w:sz="4" w:space="0" w:color="auto"/>
              <w:right w:val="single" w:sz="4" w:space="0" w:color="auto"/>
            </w:tcBorders>
            <w:shd w:val="clear" w:color="auto" w:fill="auto"/>
          </w:tcPr>
          <w:p w14:paraId="21C57C11" w14:textId="77777777" w:rsidR="009D4A93" w:rsidRPr="00536CFD" w:rsidRDefault="009D4A93" w:rsidP="009D4A93">
            <w:pPr>
              <w:keepLines/>
              <w:spacing w:after="0"/>
              <w:jc w:val="center"/>
            </w:pPr>
            <w:r w:rsidRPr="00536CFD">
              <w:rPr>
                <w:lang w:val="zh-CN"/>
              </w:rPr>
              <w:t>22.447</w:t>
            </w:r>
          </w:p>
        </w:tc>
        <w:tc>
          <w:tcPr>
            <w:tcW w:w="896" w:type="dxa"/>
            <w:tcBorders>
              <w:top w:val="single" w:sz="4" w:space="0" w:color="auto"/>
              <w:left w:val="nil"/>
              <w:bottom w:val="single" w:sz="4" w:space="0" w:color="auto"/>
              <w:right w:val="single" w:sz="4" w:space="0" w:color="auto"/>
            </w:tcBorders>
            <w:shd w:val="clear" w:color="auto" w:fill="auto"/>
          </w:tcPr>
          <w:p w14:paraId="303555D8" w14:textId="77777777" w:rsidR="009D4A93" w:rsidRPr="00536CFD" w:rsidRDefault="009D4A93" w:rsidP="009D4A93">
            <w:pPr>
              <w:keepLines/>
              <w:spacing w:after="0"/>
              <w:jc w:val="center"/>
            </w:pPr>
            <w:r w:rsidRPr="00536CFD">
              <w:rPr>
                <w:lang w:val="zh-CN"/>
              </w:rPr>
              <w:t>49.424</w:t>
            </w:r>
          </w:p>
        </w:tc>
        <w:tc>
          <w:tcPr>
            <w:tcW w:w="720" w:type="dxa"/>
            <w:tcBorders>
              <w:top w:val="single" w:sz="4" w:space="0" w:color="auto"/>
              <w:left w:val="nil"/>
              <w:bottom w:val="single" w:sz="4" w:space="0" w:color="auto"/>
              <w:right w:val="single" w:sz="4" w:space="0" w:color="auto"/>
            </w:tcBorders>
            <w:shd w:val="clear" w:color="auto" w:fill="auto"/>
          </w:tcPr>
          <w:p w14:paraId="092B05C1" w14:textId="77777777" w:rsidR="009D4A93" w:rsidRPr="00536CFD" w:rsidRDefault="009D4A93" w:rsidP="009D4A93">
            <w:pPr>
              <w:keepLines/>
              <w:spacing w:after="0"/>
              <w:jc w:val="center"/>
            </w:pPr>
            <w:r w:rsidRPr="00536CFD">
              <w:rPr>
                <w:lang w:val="zh-CN"/>
              </w:rPr>
              <w:t>62.421</w:t>
            </w:r>
          </w:p>
        </w:tc>
        <w:tc>
          <w:tcPr>
            <w:tcW w:w="720" w:type="dxa"/>
            <w:tcBorders>
              <w:top w:val="single" w:sz="4" w:space="0" w:color="auto"/>
              <w:left w:val="nil"/>
              <w:bottom w:val="single" w:sz="4" w:space="0" w:color="auto"/>
              <w:right w:val="single" w:sz="4" w:space="0" w:color="auto"/>
            </w:tcBorders>
            <w:shd w:val="clear" w:color="auto" w:fill="auto"/>
          </w:tcPr>
          <w:p w14:paraId="52887F20" w14:textId="77777777" w:rsidR="009D4A93" w:rsidRPr="00536CFD" w:rsidRDefault="009D4A93" w:rsidP="009D4A93">
            <w:pPr>
              <w:keepLines/>
              <w:spacing w:after="0"/>
              <w:jc w:val="center"/>
            </w:pPr>
            <w:r w:rsidRPr="00536CFD">
              <w:rPr>
                <w:lang w:val="zh-CN"/>
              </w:rPr>
              <w:t>156.4768</w:t>
            </w:r>
          </w:p>
        </w:tc>
      </w:tr>
      <w:tr w:rsidR="009D4A93" w:rsidRPr="00536CFD" w14:paraId="4BA3F41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319AD38"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B172DE2"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7348308F"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337BC8B9" w14:textId="77777777" w:rsidR="009D4A93" w:rsidRPr="00536CFD" w:rsidRDefault="009D4A93" w:rsidP="009D4A93">
            <w:pPr>
              <w:keepLines/>
              <w:spacing w:after="0"/>
              <w:jc w:val="center"/>
            </w:pPr>
            <w:r w:rsidRPr="00536CFD">
              <w:rPr>
                <w:lang w:val="zh-CN"/>
              </w:rPr>
              <w:t>61.063</w:t>
            </w:r>
          </w:p>
        </w:tc>
        <w:tc>
          <w:tcPr>
            <w:tcW w:w="720" w:type="dxa"/>
            <w:tcBorders>
              <w:top w:val="single" w:sz="4" w:space="0" w:color="auto"/>
              <w:left w:val="nil"/>
              <w:bottom w:val="single" w:sz="4" w:space="0" w:color="auto"/>
              <w:right w:val="single" w:sz="4" w:space="0" w:color="auto"/>
            </w:tcBorders>
            <w:shd w:val="clear" w:color="auto" w:fill="auto"/>
          </w:tcPr>
          <w:p w14:paraId="2ED034E7" w14:textId="77777777" w:rsidR="009D4A93" w:rsidRPr="00536CFD" w:rsidRDefault="009D4A93" w:rsidP="009D4A93">
            <w:pPr>
              <w:keepLines/>
              <w:spacing w:after="0"/>
              <w:jc w:val="center"/>
            </w:pPr>
            <w:r w:rsidRPr="00536CFD">
              <w:rPr>
                <w:lang w:val="zh-CN"/>
              </w:rPr>
              <w:t>64.916</w:t>
            </w:r>
          </w:p>
        </w:tc>
        <w:tc>
          <w:tcPr>
            <w:tcW w:w="720" w:type="dxa"/>
            <w:tcBorders>
              <w:top w:val="single" w:sz="4" w:space="0" w:color="auto"/>
              <w:left w:val="nil"/>
              <w:bottom w:val="single" w:sz="4" w:space="0" w:color="auto"/>
              <w:right w:val="single" w:sz="4" w:space="0" w:color="auto"/>
            </w:tcBorders>
            <w:shd w:val="clear" w:color="auto" w:fill="auto"/>
          </w:tcPr>
          <w:p w14:paraId="048A57A4" w14:textId="77777777" w:rsidR="009D4A93" w:rsidRPr="00536CFD" w:rsidRDefault="009D4A93" w:rsidP="009D4A93">
            <w:pPr>
              <w:keepLines/>
              <w:spacing w:after="0"/>
              <w:jc w:val="center"/>
            </w:pPr>
            <w:r w:rsidRPr="00536CFD">
              <w:rPr>
                <w:lang w:val="zh-CN"/>
              </w:rPr>
              <w:t>136.431</w:t>
            </w:r>
          </w:p>
        </w:tc>
        <w:tc>
          <w:tcPr>
            <w:tcW w:w="810" w:type="dxa"/>
            <w:tcBorders>
              <w:top w:val="single" w:sz="4" w:space="0" w:color="auto"/>
              <w:left w:val="nil"/>
              <w:bottom w:val="single" w:sz="4" w:space="0" w:color="auto"/>
              <w:right w:val="single" w:sz="4" w:space="0" w:color="auto"/>
            </w:tcBorders>
            <w:shd w:val="clear" w:color="auto" w:fill="auto"/>
          </w:tcPr>
          <w:p w14:paraId="4A50DA43" w14:textId="77777777" w:rsidR="009D4A93" w:rsidRPr="00536CFD" w:rsidRDefault="009D4A93" w:rsidP="009D4A93">
            <w:pPr>
              <w:keepLines/>
              <w:spacing w:after="0"/>
              <w:jc w:val="center"/>
            </w:pPr>
            <w:r w:rsidRPr="00536CFD">
              <w:rPr>
                <w:lang w:val="zh-CN"/>
              </w:rPr>
              <w:t xml:space="preserve">207.9165 </w:t>
            </w:r>
          </w:p>
        </w:tc>
        <w:tc>
          <w:tcPr>
            <w:tcW w:w="810" w:type="dxa"/>
            <w:tcBorders>
              <w:top w:val="single" w:sz="4" w:space="0" w:color="auto"/>
              <w:left w:val="nil"/>
              <w:bottom w:val="single" w:sz="4" w:space="0" w:color="auto"/>
              <w:right w:val="single" w:sz="4" w:space="0" w:color="auto"/>
            </w:tcBorders>
            <w:shd w:val="clear" w:color="auto" w:fill="auto"/>
          </w:tcPr>
          <w:p w14:paraId="1AD21236" w14:textId="77777777" w:rsidR="009D4A93" w:rsidRPr="00536CFD" w:rsidRDefault="009D4A93" w:rsidP="009D4A93">
            <w:pPr>
              <w:keepLines/>
              <w:spacing w:after="0"/>
              <w:jc w:val="center"/>
            </w:pPr>
            <w:r w:rsidRPr="00536CFD">
              <w:rPr>
                <w:lang w:val="zh-CN"/>
              </w:rPr>
              <w:t>40.058</w:t>
            </w:r>
          </w:p>
        </w:tc>
        <w:tc>
          <w:tcPr>
            <w:tcW w:w="820" w:type="dxa"/>
            <w:tcBorders>
              <w:top w:val="single" w:sz="4" w:space="0" w:color="auto"/>
              <w:left w:val="nil"/>
              <w:bottom w:val="single" w:sz="4" w:space="0" w:color="auto"/>
              <w:right w:val="single" w:sz="4" w:space="0" w:color="auto"/>
            </w:tcBorders>
            <w:shd w:val="clear" w:color="auto" w:fill="auto"/>
          </w:tcPr>
          <w:p w14:paraId="08115B3E" w14:textId="77777777" w:rsidR="009D4A93" w:rsidRPr="00536CFD" w:rsidRDefault="009D4A93" w:rsidP="009D4A93">
            <w:pPr>
              <w:keepLines/>
              <w:spacing w:after="0"/>
              <w:jc w:val="center"/>
            </w:pPr>
            <w:r w:rsidRPr="00536CFD">
              <w:rPr>
                <w:lang w:val="zh-CN"/>
              </w:rPr>
              <w:t>59.754</w:t>
            </w:r>
          </w:p>
        </w:tc>
        <w:tc>
          <w:tcPr>
            <w:tcW w:w="800" w:type="dxa"/>
            <w:tcBorders>
              <w:top w:val="single" w:sz="4" w:space="0" w:color="auto"/>
              <w:left w:val="nil"/>
              <w:bottom w:val="single" w:sz="4" w:space="0" w:color="auto"/>
              <w:right w:val="single" w:sz="4" w:space="0" w:color="auto"/>
            </w:tcBorders>
            <w:shd w:val="clear" w:color="auto" w:fill="auto"/>
          </w:tcPr>
          <w:p w14:paraId="1CE600CA" w14:textId="77777777" w:rsidR="009D4A93" w:rsidRPr="00536CFD" w:rsidRDefault="009D4A93" w:rsidP="009D4A93">
            <w:pPr>
              <w:keepLines/>
              <w:spacing w:after="0"/>
              <w:jc w:val="center"/>
            </w:pPr>
            <w:r w:rsidRPr="00536CFD">
              <w:rPr>
                <w:lang w:val="zh-CN"/>
              </w:rPr>
              <w:t>105.746</w:t>
            </w:r>
          </w:p>
        </w:tc>
        <w:tc>
          <w:tcPr>
            <w:tcW w:w="720" w:type="dxa"/>
            <w:tcBorders>
              <w:top w:val="single" w:sz="4" w:space="0" w:color="auto"/>
              <w:left w:val="nil"/>
              <w:bottom w:val="single" w:sz="4" w:space="0" w:color="auto"/>
              <w:right w:val="single" w:sz="4" w:space="0" w:color="auto"/>
            </w:tcBorders>
            <w:shd w:val="clear" w:color="auto" w:fill="auto"/>
          </w:tcPr>
          <w:p w14:paraId="3EB8FFC1" w14:textId="77777777" w:rsidR="009D4A93" w:rsidRPr="00536CFD" w:rsidRDefault="009D4A93" w:rsidP="009D4A93">
            <w:pPr>
              <w:keepLines/>
              <w:spacing w:after="0"/>
              <w:jc w:val="center"/>
            </w:pPr>
            <w:r w:rsidRPr="00536CFD">
              <w:rPr>
                <w:lang w:val="zh-CN"/>
              </w:rPr>
              <w:t>202.6525</w:t>
            </w:r>
          </w:p>
        </w:tc>
        <w:tc>
          <w:tcPr>
            <w:tcW w:w="724" w:type="dxa"/>
            <w:tcBorders>
              <w:top w:val="single" w:sz="4" w:space="0" w:color="auto"/>
              <w:left w:val="nil"/>
              <w:bottom w:val="single" w:sz="4" w:space="0" w:color="auto"/>
              <w:right w:val="single" w:sz="4" w:space="0" w:color="auto"/>
            </w:tcBorders>
            <w:shd w:val="clear" w:color="auto" w:fill="auto"/>
          </w:tcPr>
          <w:p w14:paraId="5A3855B2" w14:textId="77777777" w:rsidR="009D4A93" w:rsidRPr="00536CFD" w:rsidRDefault="009D4A93" w:rsidP="009D4A93">
            <w:pPr>
              <w:keepLines/>
              <w:spacing w:after="0"/>
              <w:jc w:val="center"/>
            </w:pPr>
            <w:r w:rsidRPr="00536CFD">
              <w:rPr>
                <w:lang w:val="zh-CN"/>
              </w:rPr>
              <w:t>28.934</w:t>
            </w:r>
          </w:p>
        </w:tc>
        <w:tc>
          <w:tcPr>
            <w:tcW w:w="896" w:type="dxa"/>
            <w:tcBorders>
              <w:top w:val="single" w:sz="4" w:space="0" w:color="auto"/>
              <w:left w:val="nil"/>
              <w:bottom w:val="single" w:sz="4" w:space="0" w:color="auto"/>
              <w:right w:val="single" w:sz="4" w:space="0" w:color="auto"/>
            </w:tcBorders>
            <w:shd w:val="clear" w:color="auto" w:fill="auto"/>
          </w:tcPr>
          <w:p w14:paraId="3E3C6B8D" w14:textId="77777777" w:rsidR="009D4A93" w:rsidRPr="00536CFD" w:rsidRDefault="009D4A93" w:rsidP="009D4A93">
            <w:pPr>
              <w:keepLines/>
              <w:spacing w:after="0"/>
              <w:jc w:val="center"/>
            </w:pPr>
            <w:r w:rsidRPr="00536CFD">
              <w:rPr>
                <w:lang w:val="zh-CN"/>
              </w:rPr>
              <w:t>55.316</w:t>
            </w:r>
          </w:p>
        </w:tc>
        <w:tc>
          <w:tcPr>
            <w:tcW w:w="720" w:type="dxa"/>
            <w:tcBorders>
              <w:top w:val="single" w:sz="4" w:space="0" w:color="auto"/>
              <w:left w:val="nil"/>
              <w:bottom w:val="single" w:sz="4" w:space="0" w:color="auto"/>
              <w:right w:val="single" w:sz="4" w:space="0" w:color="auto"/>
            </w:tcBorders>
            <w:shd w:val="clear" w:color="auto" w:fill="auto"/>
          </w:tcPr>
          <w:p w14:paraId="2EF6CA8E" w14:textId="77777777" w:rsidR="009D4A93" w:rsidRPr="00536CFD" w:rsidRDefault="009D4A93" w:rsidP="009D4A93">
            <w:pPr>
              <w:keepLines/>
              <w:spacing w:after="0"/>
              <w:jc w:val="center"/>
            </w:pPr>
            <w:r w:rsidRPr="00536CFD">
              <w:rPr>
                <w:lang w:val="zh-CN"/>
              </w:rPr>
              <w:t>93.050</w:t>
            </w:r>
          </w:p>
        </w:tc>
        <w:tc>
          <w:tcPr>
            <w:tcW w:w="720" w:type="dxa"/>
            <w:tcBorders>
              <w:top w:val="single" w:sz="4" w:space="0" w:color="auto"/>
              <w:left w:val="nil"/>
              <w:bottom w:val="single" w:sz="4" w:space="0" w:color="auto"/>
              <w:right w:val="single" w:sz="4" w:space="0" w:color="auto"/>
            </w:tcBorders>
            <w:shd w:val="clear" w:color="auto" w:fill="auto"/>
          </w:tcPr>
          <w:p w14:paraId="4CC56441" w14:textId="77777777" w:rsidR="009D4A93" w:rsidRPr="00536CFD" w:rsidRDefault="009D4A93" w:rsidP="009D4A93">
            <w:pPr>
              <w:keepLines/>
              <w:spacing w:after="0"/>
              <w:jc w:val="center"/>
            </w:pPr>
            <w:r w:rsidRPr="00536CFD">
              <w:rPr>
                <w:lang w:val="zh-CN"/>
              </w:rPr>
              <w:t>204.5259</w:t>
            </w:r>
          </w:p>
        </w:tc>
      </w:tr>
      <w:tr w:rsidR="009D4A93" w:rsidRPr="00536CFD" w14:paraId="1829D5F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BD723F0"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78AA061"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5C377C2F"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57A3F3D6" w14:textId="77777777" w:rsidR="009D4A93" w:rsidRPr="00536CFD" w:rsidRDefault="009D4A93" w:rsidP="009D4A93">
            <w:pPr>
              <w:keepLines/>
              <w:spacing w:after="0"/>
              <w:jc w:val="center"/>
            </w:pPr>
            <w:r w:rsidRPr="00536CFD">
              <w:rPr>
                <w:lang w:val="zh-CN"/>
              </w:rPr>
              <w:t>51.903</w:t>
            </w:r>
          </w:p>
        </w:tc>
        <w:tc>
          <w:tcPr>
            <w:tcW w:w="720" w:type="dxa"/>
            <w:tcBorders>
              <w:top w:val="single" w:sz="4" w:space="0" w:color="auto"/>
              <w:left w:val="nil"/>
              <w:bottom w:val="single" w:sz="4" w:space="0" w:color="auto"/>
              <w:right w:val="single" w:sz="4" w:space="0" w:color="auto"/>
            </w:tcBorders>
            <w:shd w:val="clear" w:color="auto" w:fill="auto"/>
          </w:tcPr>
          <w:p w14:paraId="47CE2DA3" w14:textId="77777777" w:rsidR="009D4A93" w:rsidRPr="00536CFD" w:rsidRDefault="009D4A93" w:rsidP="009D4A93">
            <w:pPr>
              <w:keepLines/>
              <w:spacing w:after="0"/>
              <w:jc w:val="center"/>
            </w:pPr>
            <w:r w:rsidRPr="00536CFD">
              <w:rPr>
                <w:lang w:val="zh-CN"/>
              </w:rPr>
              <w:t>60.768</w:t>
            </w:r>
          </w:p>
        </w:tc>
        <w:tc>
          <w:tcPr>
            <w:tcW w:w="720" w:type="dxa"/>
            <w:tcBorders>
              <w:top w:val="single" w:sz="4" w:space="0" w:color="auto"/>
              <w:left w:val="nil"/>
              <w:bottom w:val="single" w:sz="4" w:space="0" w:color="auto"/>
              <w:right w:val="single" w:sz="4" w:space="0" w:color="auto"/>
            </w:tcBorders>
            <w:shd w:val="clear" w:color="auto" w:fill="auto"/>
          </w:tcPr>
          <w:p w14:paraId="4BB99856" w14:textId="77777777" w:rsidR="009D4A93" w:rsidRPr="00536CFD" w:rsidRDefault="009D4A93" w:rsidP="009D4A93">
            <w:pPr>
              <w:keepLines/>
              <w:spacing w:after="0"/>
              <w:jc w:val="center"/>
            </w:pPr>
            <w:r w:rsidRPr="00536CFD">
              <w:rPr>
                <w:lang w:val="zh-CN"/>
              </w:rPr>
              <w:t>96.879</w:t>
            </w:r>
          </w:p>
        </w:tc>
        <w:tc>
          <w:tcPr>
            <w:tcW w:w="810" w:type="dxa"/>
            <w:tcBorders>
              <w:top w:val="single" w:sz="4" w:space="0" w:color="auto"/>
              <w:left w:val="nil"/>
              <w:bottom w:val="single" w:sz="4" w:space="0" w:color="auto"/>
              <w:right w:val="single" w:sz="4" w:space="0" w:color="auto"/>
            </w:tcBorders>
            <w:shd w:val="clear" w:color="auto" w:fill="auto"/>
          </w:tcPr>
          <w:p w14:paraId="2A15F814" w14:textId="77777777" w:rsidR="009D4A93" w:rsidRPr="00536CFD" w:rsidRDefault="009D4A93" w:rsidP="009D4A93">
            <w:pPr>
              <w:keepLines/>
              <w:spacing w:after="0"/>
              <w:jc w:val="center"/>
            </w:pPr>
            <w:r w:rsidRPr="00536CFD">
              <w:rPr>
                <w:lang w:val="zh-CN"/>
              </w:rPr>
              <w:t xml:space="preserve">162.1622 </w:t>
            </w:r>
          </w:p>
        </w:tc>
        <w:tc>
          <w:tcPr>
            <w:tcW w:w="810" w:type="dxa"/>
            <w:tcBorders>
              <w:top w:val="single" w:sz="4" w:space="0" w:color="auto"/>
              <w:left w:val="nil"/>
              <w:bottom w:val="single" w:sz="4" w:space="0" w:color="auto"/>
              <w:right w:val="single" w:sz="4" w:space="0" w:color="auto"/>
            </w:tcBorders>
            <w:shd w:val="clear" w:color="auto" w:fill="auto"/>
          </w:tcPr>
          <w:p w14:paraId="27DAF321" w14:textId="77777777" w:rsidR="009D4A93" w:rsidRPr="00536CFD" w:rsidRDefault="009D4A93" w:rsidP="009D4A93">
            <w:pPr>
              <w:keepLines/>
              <w:spacing w:after="0"/>
              <w:jc w:val="center"/>
            </w:pPr>
            <w:r w:rsidRPr="00536CFD">
              <w:rPr>
                <w:lang w:val="zh-CN"/>
              </w:rPr>
              <w:t>32.107</w:t>
            </w:r>
          </w:p>
        </w:tc>
        <w:tc>
          <w:tcPr>
            <w:tcW w:w="820" w:type="dxa"/>
            <w:tcBorders>
              <w:top w:val="single" w:sz="4" w:space="0" w:color="auto"/>
              <w:left w:val="nil"/>
              <w:bottom w:val="single" w:sz="4" w:space="0" w:color="auto"/>
              <w:right w:val="single" w:sz="4" w:space="0" w:color="auto"/>
            </w:tcBorders>
            <w:shd w:val="clear" w:color="auto" w:fill="auto"/>
          </w:tcPr>
          <w:p w14:paraId="15AE06FE" w14:textId="77777777" w:rsidR="009D4A93" w:rsidRPr="00536CFD" w:rsidRDefault="009D4A93" w:rsidP="009D4A93">
            <w:pPr>
              <w:keepLines/>
              <w:spacing w:after="0"/>
              <w:jc w:val="center"/>
            </w:pPr>
            <w:r w:rsidRPr="00536CFD">
              <w:rPr>
                <w:lang w:val="zh-CN"/>
              </w:rPr>
              <w:t>54.513</w:t>
            </w:r>
          </w:p>
        </w:tc>
        <w:tc>
          <w:tcPr>
            <w:tcW w:w="800" w:type="dxa"/>
            <w:tcBorders>
              <w:top w:val="single" w:sz="4" w:space="0" w:color="auto"/>
              <w:left w:val="nil"/>
              <w:bottom w:val="single" w:sz="4" w:space="0" w:color="auto"/>
              <w:right w:val="single" w:sz="4" w:space="0" w:color="auto"/>
            </w:tcBorders>
            <w:shd w:val="clear" w:color="auto" w:fill="auto"/>
          </w:tcPr>
          <w:p w14:paraId="504EF51F" w14:textId="77777777" w:rsidR="009D4A93" w:rsidRPr="00536CFD" w:rsidRDefault="009D4A93" w:rsidP="009D4A93">
            <w:pPr>
              <w:keepLines/>
              <w:spacing w:after="0"/>
              <w:jc w:val="center"/>
            </w:pPr>
            <w:r w:rsidRPr="00536CFD">
              <w:rPr>
                <w:lang w:val="zh-CN"/>
              </w:rPr>
              <w:t>66.707</w:t>
            </w:r>
          </w:p>
        </w:tc>
        <w:tc>
          <w:tcPr>
            <w:tcW w:w="720" w:type="dxa"/>
            <w:tcBorders>
              <w:top w:val="single" w:sz="4" w:space="0" w:color="auto"/>
              <w:left w:val="nil"/>
              <w:bottom w:val="single" w:sz="4" w:space="0" w:color="auto"/>
              <w:right w:val="single" w:sz="4" w:space="0" w:color="auto"/>
            </w:tcBorders>
            <w:shd w:val="clear" w:color="auto" w:fill="auto"/>
          </w:tcPr>
          <w:p w14:paraId="001E7E9B" w14:textId="77777777" w:rsidR="009D4A93" w:rsidRPr="00536CFD" w:rsidRDefault="009D4A93" w:rsidP="009D4A93">
            <w:pPr>
              <w:keepLines/>
              <w:spacing w:after="0"/>
              <w:jc w:val="center"/>
            </w:pPr>
            <w:r w:rsidRPr="00536CFD">
              <w:rPr>
                <w:lang w:val="zh-CN"/>
              </w:rPr>
              <w:t>150.6907</w:t>
            </w:r>
          </w:p>
        </w:tc>
        <w:tc>
          <w:tcPr>
            <w:tcW w:w="724" w:type="dxa"/>
            <w:tcBorders>
              <w:top w:val="single" w:sz="4" w:space="0" w:color="auto"/>
              <w:left w:val="nil"/>
              <w:bottom w:val="single" w:sz="4" w:space="0" w:color="auto"/>
              <w:right w:val="single" w:sz="4" w:space="0" w:color="auto"/>
            </w:tcBorders>
            <w:shd w:val="clear" w:color="auto" w:fill="auto"/>
          </w:tcPr>
          <w:p w14:paraId="2CEBB9B5" w14:textId="77777777" w:rsidR="009D4A93" w:rsidRPr="00536CFD" w:rsidRDefault="009D4A93" w:rsidP="009D4A93">
            <w:pPr>
              <w:keepLines/>
              <w:spacing w:after="0"/>
              <w:jc w:val="center"/>
            </w:pPr>
            <w:r w:rsidRPr="00536CFD">
              <w:rPr>
                <w:lang w:val="zh-CN"/>
              </w:rPr>
              <w:t>21.242</w:t>
            </w:r>
          </w:p>
        </w:tc>
        <w:tc>
          <w:tcPr>
            <w:tcW w:w="896" w:type="dxa"/>
            <w:tcBorders>
              <w:top w:val="single" w:sz="4" w:space="0" w:color="auto"/>
              <w:left w:val="nil"/>
              <w:bottom w:val="single" w:sz="4" w:space="0" w:color="auto"/>
              <w:right w:val="single" w:sz="4" w:space="0" w:color="auto"/>
            </w:tcBorders>
            <w:shd w:val="clear" w:color="auto" w:fill="auto"/>
          </w:tcPr>
          <w:p w14:paraId="6A400D79" w14:textId="77777777" w:rsidR="009D4A93" w:rsidRPr="00536CFD" w:rsidRDefault="009D4A93" w:rsidP="009D4A93">
            <w:pPr>
              <w:keepLines/>
              <w:spacing w:after="0"/>
              <w:jc w:val="center"/>
            </w:pPr>
            <w:r w:rsidRPr="00536CFD">
              <w:rPr>
                <w:lang w:val="zh-CN"/>
              </w:rPr>
              <w:t>50.293</w:t>
            </w:r>
          </w:p>
        </w:tc>
        <w:tc>
          <w:tcPr>
            <w:tcW w:w="720" w:type="dxa"/>
            <w:tcBorders>
              <w:top w:val="single" w:sz="4" w:space="0" w:color="auto"/>
              <w:left w:val="nil"/>
              <w:bottom w:val="single" w:sz="4" w:space="0" w:color="auto"/>
              <w:right w:val="single" w:sz="4" w:space="0" w:color="auto"/>
            </w:tcBorders>
            <w:shd w:val="clear" w:color="auto" w:fill="auto"/>
          </w:tcPr>
          <w:p w14:paraId="3651D671" w14:textId="77777777" w:rsidR="009D4A93" w:rsidRPr="00536CFD" w:rsidRDefault="009D4A93" w:rsidP="009D4A93">
            <w:pPr>
              <w:keepLines/>
              <w:spacing w:after="0"/>
              <w:jc w:val="center"/>
            </w:pPr>
            <w:r w:rsidRPr="00536CFD">
              <w:rPr>
                <w:lang w:val="zh-CN"/>
              </w:rPr>
              <w:t>57.011</w:t>
            </w:r>
          </w:p>
        </w:tc>
        <w:tc>
          <w:tcPr>
            <w:tcW w:w="720" w:type="dxa"/>
            <w:tcBorders>
              <w:top w:val="single" w:sz="4" w:space="0" w:color="auto"/>
              <w:left w:val="nil"/>
              <w:bottom w:val="single" w:sz="4" w:space="0" w:color="auto"/>
              <w:right w:val="single" w:sz="4" w:space="0" w:color="auto"/>
            </w:tcBorders>
            <w:shd w:val="clear" w:color="auto" w:fill="auto"/>
          </w:tcPr>
          <w:p w14:paraId="7C9C6DB6" w14:textId="77777777" w:rsidR="009D4A93" w:rsidRPr="00536CFD" w:rsidRDefault="009D4A93" w:rsidP="009D4A93">
            <w:pPr>
              <w:keepLines/>
              <w:spacing w:after="0"/>
              <w:jc w:val="center"/>
            </w:pPr>
            <w:r w:rsidRPr="00536CFD">
              <w:rPr>
                <w:lang w:val="zh-CN"/>
              </w:rPr>
              <w:t>145.9356</w:t>
            </w:r>
          </w:p>
        </w:tc>
      </w:tr>
      <w:tr w:rsidR="009D4A93" w:rsidRPr="00536CFD" w14:paraId="4762D3F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801CEC7" w14:textId="77777777" w:rsidR="009D4A93" w:rsidRPr="00536CFD" w:rsidRDefault="009D4A93" w:rsidP="009D4A93">
            <w:pPr>
              <w:keepLines/>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186679AB"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2E5652A3"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40AD15ED"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4B2EEF5A"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62A129C2" w14:textId="77777777" w:rsidR="009D4A93" w:rsidRPr="00536CFD" w:rsidRDefault="009D4A93" w:rsidP="009D4A93">
            <w:pPr>
              <w:keepLines/>
              <w:spacing w:after="0"/>
              <w:jc w:val="center"/>
            </w:pPr>
            <w:r w:rsidRPr="00536CFD">
              <w:rPr>
                <w:lang w:val="zh-CN"/>
              </w:rPr>
              <w:t>0.026</w:t>
            </w:r>
          </w:p>
        </w:tc>
        <w:tc>
          <w:tcPr>
            <w:tcW w:w="810" w:type="dxa"/>
            <w:tcBorders>
              <w:top w:val="single" w:sz="4" w:space="0" w:color="auto"/>
              <w:left w:val="nil"/>
              <w:bottom w:val="single" w:sz="4" w:space="0" w:color="auto"/>
              <w:right w:val="single" w:sz="4" w:space="0" w:color="auto"/>
            </w:tcBorders>
            <w:shd w:val="clear" w:color="auto" w:fill="auto"/>
          </w:tcPr>
          <w:p w14:paraId="5BCBDE0D" w14:textId="77777777" w:rsidR="009D4A93" w:rsidRPr="00536CFD" w:rsidRDefault="009D4A93" w:rsidP="009D4A93">
            <w:pPr>
              <w:keepLines/>
              <w:spacing w:after="0"/>
              <w:jc w:val="center"/>
            </w:pPr>
            <w:r w:rsidRPr="00536CFD">
              <w:rPr>
                <w:lang w:val="zh-CN"/>
              </w:rPr>
              <w:t xml:space="preserve">0.019 </w:t>
            </w:r>
          </w:p>
        </w:tc>
        <w:tc>
          <w:tcPr>
            <w:tcW w:w="810" w:type="dxa"/>
            <w:tcBorders>
              <w:top w:val="single" w:sz="4" w:space="0" w:color="auto"/>
              <w:left w:val="nil"/>
              <w:bottom w:val="single" w:sz="4" w:space="0" w:color="auto"/>
              <w:right w:val="single" w:sz="4" w:space="0" w:color="auto"/>
            </w:tcBorders>
            <w:shd w:val="clear" w:color="auto" w:fill="auto"/>
          </w:tcPr>
          <w:p w14:paraId="37128C1D" w14:textId="77777777" w:rsidR="009D4A93" w:rsidRPr="00536CFD" w:rsidRDefault="009D4A93" w:rsidP="009D4A93">
            <w:pPr>
              <w:keepLines/>
              <w:spacing w:after="0"/>
              <w:jc w:val="center"/>
            </w:pPr>
            <w:r w:rsidRPr="00536CFD">
              <w:rPr>
                <w:lang w:val="zh-CN"/>
              </w:rPr>
              <w:t>0.061</w:t>
            </w:r>
          </w:p>
        </w:tc>
        <w:tc>
          <w:tcPr>
            <w:tcW w:w="820" w:type="dxa"/>
            <w:tcBorders>
              <w:top w:val="single" w:sz="4" w:space="0" w:color="auto"/>
              <w:left w:val="nil"/>
              <w:bottom w:val="single" w:sz="4" w:space="0" w:color="auto"/>
              <w:right w:val="single" w:sz="4" w:space="0" w:color="auto"/>
            </w:tcBorders>
            <w:shd w:val="clear" w:color="auto" w:fill="auto"/>
          </w:tcPr>
          <w:p w14:paraId="5D9603E2" w14:textId="77777777" w:rsidR="009D4A93" w:rsidRPr="00536CFD" w:rsidRDefault="009D4A93" w:rsidP="009D4A93">
            <w:pPr>
              <w:keepLines/>
              <w:spacing w:after="0"/>
              <w:jc w:val="center"/>
            </w:pPr>
            <w:r w:rsidRPr="00536CFD">
              <w:rPr>
                <w:lang w:val="zh-CN"/>
              </w:rPr>
              <w:t>0.060</w:t>
            </w:r>
          </w:p>
        </w:tc>
        <w:tc>
          <w:tcPr>
            <w:tcW w:w="800" w:type="dxa"/>
            <w:tcBorders>
              <w:top w:val="single" w:sz="4" w:space="0" w:color="auto"/>
              <w:left w:val="nil"/>
              <w:bottom w:val="single" w:sz="4" w:space="0" w:color="auto"/>
              <w:right w:val="single" w:sz="4" w:space="0" w:color="auto"/>
            </w:tcBorders>
            <w:shd w:val="clear" w:color="auto" w:fill="auto"/>
          </w:tcPr>
          <w:p w14:paraId="5F1FDCA7" w14:textId="77777777" w:rsidR="009D4A93" w:rsidRPr="00536CFD" w:rsidRDefault="009D4A93" w:rsidP="009D4A93">
            <w:pPr>
              <w:keepLines/>
              <w:spacing w:after="0"/>
              <w:jc w:val="center"/>
            </w:pPr>
            <w:r w:rsidRPr="00536CFD">
              <w:rPr>
                <w:lang w:val="zh-CN"/>
              </w:rPr>
              <w:t>0.026</w:t>
            </w:r>
          </w:p>
        </w:tc>
        <w:tc>
          <w:tcPr>
            <w:tcW w:w="720" w:type="dxa"/>
            <w:tcBorders>
              <w:top w:val="single" w:sz="4" w:space="0" w:color="auto"/>
              <w:left w:val="nil"/>
              <w:bottom w:val="single" w:sz="4" w:space="0" w:color="auto"/>
              <w:right w:val="single" w:sz="4" w:space="0" w:color="auto"/>
            </w:tcBorders>
            <w:shd w:val="clear" w:color="auto" w:fill="auto"/>
          </w:tcPr>
          <w:p w14:paraId="6460CD8E" w14:textId="77777777" w:rsidR="009D4A93" w:rsidRPr="00536CFD" w:rsidRDefault="009D4A93" w:rsidP="009D4A93">
            <w:pPr>
              <w:keepLines/>
              <w:spacing w:after="0"/>
              <w:jc w:val="center"/>
            </w:pPr>
            <w:r w:rsidRPr="00536CFD">
              <w:rPr>
                <w:lang w:val="zh-CN"/>
              </w:rPr>
              <w:t>0.019</w:t>
            </w:r>
          </w:p>
        </w:tc>
        <w:tc>
          <w:tcPr>
            <w:tcW w:w="724" w:type="dxa"/>
            <w:tcBorders>
              <w:top w:val="single" w:sz="4" w:space="0" w:color="auto"/>
              <w:left w:val="nil"/>
              <w:bottom w:val="single" w:sz="4" w:space="0" w:color="auto"/>
              <w:right w:val="single" w:sz="4" w:space="0" w:color="auto"/>
            </w:tcBorders>
            <w:shd w:val="clear" w:color="auto" w:fill="auto"/>
          </w:tcPr>
          <w:p w14:paraId="70BAA716" w14:textId="77777777" w:rsidR="009D4A93" w:rsidRPr="00536CFD" w:rsidRDefault="009D4A93" w:rsidP="009D4A93">
            <w:pPr>
              <w:keepLines/>
              <w:spacing w:after="0"/>
              <w:jc w:val="center"/>
            </w:pPr>
            <w:r w:rsidRPr="00536CFD">
              <w:rPr>
                <w:lang w:val="zh-CN"/>
              </w:rPr>
              <w:t>0.073</w:t>
            </w:r>
          </w:p>
        </w:tc>
        <w:tc>
          <w:tcPr>
            <w:tcW w:w="896" w:type="dxa"/>
            <w:tcBorders>
              <w:top w:val="single" w:sz="4" w:space="0" w:color="auto"/>
              <w:left w:val="nil"/>
              <w:bottom w:val="single" w:sz="4" w:space="0" w:color="auto"/>
              <w:right w:val="single" w:sz="4" w:space="0" w:color="auto"/>
            </w:tcBorders>
            <w:shd w:val="clear" w:color="auto" w:fill="auto"/>
          </w:tcPr>
          <w:p w14:paraId="43A8E36A"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41292D0E" w14:textId="77777777" w:rsidR="009D4A93" w:rsidRPr="00536CFD" w:rsidRDefault="009D4A93" w:rsidP="009D4A93">
            <w:pPr>
              <w:keepLines/>
              <w:spacing w:after="0"/>
              <w:jc w:val="center"/>
            </w:pPr>
            <w:r w:rsidRPr="00536CFD">
              <w:rPr>
                <w:lang w:val="zh-CN"/>
              </w:rPr>
              <w:t>0.026</w:t>
            </w:r>
          </w:p>
        </w:tc>
        <w:tc>
          <w:tcPr>
            <w:tcW w:w="720" w:type="dxa"/>
            <w:tcBorders>
              <w:top w:val="single" w:sz="4" w:space="0" w:color="auto"/>
              <w:left w:val="nil"/>
              <w:bottom w:val="single" w:sz="4" w:space="0" w:color="auto"/>
              <w:right w:val="single" w:sz="4" w:space="0" w:color="auto"/>
            </w:tcBorders>
            <w:shd w:val="clear" w:color="auto" w:fill="auto"/>
          </w:tcPr>
          <w:p w14:paraId="63B239DE" w14:textId="77777777" w:rsidR="009D4A93" w:rsidRPr="00536CFD" w:rsidRDefault="009D4A93" w:rsidP="009D4A93">
            <w:pPr>
              <w:keepLines/>
              <w:spacing w:after="0"/>
              <w:jc w:val="center"/>
            </w:pPr>
            <w:r w:rsidRPr="00536CFD">
              <w:rPr>
                <w:lang w:val="zh-CN"/>
              </w:rPr>
              <w:t>0.019</w:t>
            </w:r>
          </w:p>
        </w:tc>
      </w:tr>
      <w:tr w:rsidR="009D4A93" w:rsidRPr="00536CFD" w14:paraId="44268CE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569734F"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9795E5D"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3025E642"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38FF4EF7" w14:textId="77777777" w:rsidR="009D4A93" w:rsidRPr="00536CFD" w:rsidRDefault="009D4A93" w:rsidP="009D4A93">
            <w:pPr>
              <w:keepLines/>
              <w:spacing w:after="0"/>
              <w:jc w:val="center"/>
            </w:pPr>
            <w:r w:rsidRPr="00536CFD">
              <w:rPr>
                <w:lang w:val="zh-CN"/>
              </w:rPr>
              <w:t>0.066</w:t>
            </w:r>
          </w:p>
        </w:tc>
        <w:tc>
          <w:tcPr>
            <w:tcW w:w="720" w:type="dxa"/>
            <w:tcBorders>
              <w:top w:val="single" w:sz="4" w:space="0" w:color="auto"/>
              <w:left w:val="nil"/>
              <w:bottom w:val="single" w:sz="4" w:space="0" w:color="auto"/>
              <w:right w:val="single" w:sz="4" w:space="0" w:color="auto"/>
            </w:tcBorders>
            <w:shd w:val="clear" w:color="auto" w:fill="auto"/>
          </w:tcPr>
          <w:p w14:paraId="35851D2B" w14:textId="77777777" w:rsidR="009D4A93" w:rsidRPr="00536CFD" w:rsidRDefault="009D4A93" w:rsidP="009D4A93">
            <w:pPr>
              <w:keepLines/>
              <w:spacing w:after="0"/>
              <w:jc w:val="center"/>
            </w:pPr>
            <w:r w:rsidRPr="00536CFD">
              <w:rPr>
                <w:lang w:val="zh-CN"/>
              </w:rPr>
              <w:t>0.062</w:t>
            </w:r>
          </w:p>
        </w:tc>
        <w:tc>
          <w:tcPr>
            <w:tcW w:w="720" w:type="dxa"/>
            <w:tcBorders>
              <w:top w:val="single" w:sz="4" w:space="0" w:color="auto"/>
              <w:left w:val="nil"/>
              <w:bottom w:val="single" w:sz="4" w:space="0" w:color="auto"/>
              <w:right w:val="single" w:sz="4" w:space="0" w:color="auto"/>
            </w:tcBorders>
            <w:shd w:val="clear" w:color="auto" w:fill="auto"/>
          </w:tcPr>
          <w:p w14:paraId="4EBCC061" w14:textId="77777777" w:rsidR="009D4A93" w:rsidRPr="00536CFD" w:rsidRDefault="009D4A93" w:rsidP="009D4A93">
            <w:pPr>
              <w:keepLines/>
              <w:spacing w:after="0"/>
              <w:jc w:val="center"/>
            </w:pPr>
            <w:r w:rsidRPr="00536CFD">
              <w:rPr>
                <w:lang w:val="zh-CN"/>
              </w:rPr>
              <w:t>0.047</w:t>
            </w:r>
          </w:p>
        </w:tc>
        <w:tc>
          <w:tcPr>
            <w:tcW w:w="810" w:type="dxa"/>
            <w:tcBorders>
              <w:top w:val="single" w:sz="4" w:space="0" w:color="auto"/>
              <w:left w:val="nil"/>
              <w:bottom w:val="single" w:sz="4" w:space="0" w:color="auto"/>
              <w:right w:val="single" w:sz="4" w:space="0" w:color="auto"/>
            </w:tcBorders>
            <w:shd w:val="clear" w:color="auto" w:fill="auto"/>
          </w:tcPr>
          <w:p w14:paraId="3A2D2733" w14:textId="77777777" w:rsidR="009D4A93" w:rsidRPr="00536CFD" w:rsidRDefault="009D4A93" w:rsidP="009D4A93">
            <w:pPr>
              <w:keepLines/>
              <w:spacing w:after="0"/>
              <w:jc w:val="center"/>
            </w:pPr>
            <w:r w:rsidRPr="00536CFD">
              <w:rPr>
                <w:lang w:val="zh-CN"/>
              </w:rPr>
              <w:t xml:space="preserve">0.022 </w:t>
            </w:r>
          </w:p>
        </w:tc>
        <w:tc>
          <w:tcPr>
            <w:tcW w:w="810" w:type="dxa"/>
            <w:tcBorders>
              <w:top w:val="single" w:sz="4" w:space="0" w:color="auto"/>
              <w:left w:val="nil"/>
              <w:bottom w:val="single" w:sz="4" w:space="0" w:color="auto"/>
              <w:right w:val="single" w:sz="4" w:space="0" w:color="auto"/>
            </w:tcBorders>
            <w:shd w:val="clear" w:color="auto" w:fill="auto"/>
          </w:tcPr>
          <w:p w14:paraId="7145A0D2" w14:textId="77777777" w:rsidR="009D4A93" w:rsidRPr="00536CFD" w:rsidRDefault="009D4A93" w:rsidP="009D4A93">
            <w:pPr>
              <w:keepLines/>
              <w:spacing w:after="0"/>
              <w:jc w:val="center"/>
            </w:pPr>
            <w:r w:rsidRPr="00536CFD">
              <w:rPr>
                <w:lang w:val="zh-CN"/>
              </w:rPr>
              <w:t>0.142</w:t>
            </w:r>
          </w:p>
        </w:tc>
        <w:tc>
          <w:tcPr>
            <w:tcW w:w="820" w:type="dxa"/>
            <w:tcBorders>
              <w:top w:val="single" w:sz="4" w:space="0" w:color="auto"/>
              <w:left w:val="nil"/>
              <w:bottom w:val="single" w:sz="4" w:space="0" w:color="auto"/>
              <w:right w:val="single" w:sz="4" w:space="0" w:color="auto"/>
            </w:tcBorders>
            <w:shd w:val="clear" w:color="auto" w:fill="auto"/>
          </w:tcPr>
          <w:p w14:paraId="17379B91" w14:textId="77777777" w:rsidR="009D4A93" w:rsidRPr="00536CFD" w:rsidRDefault="009D4A93" w:rsidP="009D4A93">
            <w:pPr>
              <w:keepLines/>
              <w:spacing w:after="0"/>
              <w:jc w:val="center"/>
            </w:pPr>
            <w:r w:rsidRPr="00536CFD">
              <w:rPr>
                <w:lang w:val="zh-CN"/>
              </w:rPr>
              <w:t>0.063</w:t>
            </w:r>
          </w:p>
        </w:tc>
        <w:tc>
          <w:tcPr>
            <w:tcW w:w="800" w:type="dxa"/>
            <w:tcBorders>
              <w:top w:val="single" w:sz="4" w:space="0" w:color="auto"/>
              <w:left w:val="nil"/>
              <w:bottom w:val="single" w:sz="4" w:space="0" w:color="auto"/>
              <w:right w:val="single" w:sz="4" w:space="0" w:color="auto"/>
            </w:tcBorders>
            <w:shd w:val="clear" w:color="auto" w:fill="auto"/>
          </w:tcPr>
          <w:p w14:paraId="4B57C624" w14:textId="77777777" w:rsidR="009D4A93" w:rsidRPr="00536CFD" w:rsidRDefault="009D4A93" w:rsidP="009D4A93">
            <w:pPr>
              <w:keepLines/>
              <w:spacing w:after="0"/>
              <w:jc w:val="center"/>
            </w:pPr>
            <w:r w:rsidRPr="00536CFD">
              <w:rPr>
                <w:lang w:val="zh-CN"/>
              </w:rPr>
              <w:t>0.080</w:t>
            </w:r>
          </w:p>
        </w:tc>
        <w:tc>
          <w:tcPr>
            <w:tcW w:w="720" w:type="dxa"/>
            <w:tcBorders>
              <w:top w:val="single" w:sz="4" w:space="0" w:color="auto"/>
              <w:left w:val="nil"/>
              <w:bottom w:val="single" w:sz="4" w:space="0" w:color="auto"/>
              <w:right w:val="single" w:sz="4" w:space="0" w:color="auto"/>
            </w:tcBorders>
            <w:shd w:val="clear" w:color="auto" w:fill="auto"/>
          </w:tcPr>
          <w:p w14:paraId="01594353" w14:textId="77777777" w:rsidR="009D4A93" w:rsidRPr="00536CFD" w:rsidRDefault="009D4A93" w:rsidP="009D4A93">
            <w:pPr>
              <w:keepLines/>
              <w:spacing w:after="0"/>
              <w:jc w:val="center"/>
            </w:pPr>
            <w:r w:rsidRPr="00536CFD">
              <w:rPr>
                <w:lang w:val="zh-CN"/>
              </w:rPr>
              <w:t>0.024</w:t>
            </w:r>
          </w:p>
        </w:tc>
        <w:tc>
          <w:tcPr>
            <w:tcW w:w="724" w:type="dxa"/>
            <w:tcBorders>
              <w:top w:val="single" w:sz="4" w:space="0" w:color="auto"/>
              <w:left w:val="nil"/>
              <w:bottom w:val="single" w:sz="4" w:space="0" w:color="auto"/>
              <w:right w:val="single" w:sz="4" w:space="0" w:color="auto"/>
            </w:tcBorders>
            <w:shd w:val="clear" w:color="auto" w:fill="auto"/>
          </w:tcPr>
          <w:p w14:paraId="58787E60" w14:textId="77777777" w:rsidR="009D4A93" w:rsidRPr="00536CFD" w:rsidRDefault="009D4A93" w:rsidP="009D4A93">
            <w:pPr>
              <w:keepLines/>
              <w:spacing w:after="0"/>
              <w:jc w:val="center"/>
            </w:pPr>
            <w:r w:rsidRPr="00536CFD">
              <w:rPr>
                <w:lang w:val="zh-CN"/>
              </w:rPr>
              <w:t>0.297</w:t>
            </w:r>
          </w:p>
        </w:tc>
        <w:tc>
          <w:tcPr>
            <w:tcW w:w="896" w:type="dxa"/>
            <w:tcBorders>
              <w:top w:val="single" w:sz="4" w:space="0" w:color="auto"/>
              <w:left w:val="nil"/>
              <w:bottom w:val="single" w:sz="4" w:space="0" w:color="auto"/>
              <w:right w:val="single" w:sz="4" w:space="0" w:color="auto"/>
            </w:tcBorders>
            <w:shd w:val="clear" w:color="auto" w:fill="auto"/>
          </w:tcPr>
          <w:p w14:paraId="2194FDB2" w14:textId="77777777" w:rsidR="009D4A93" w:rsidRPr="00536CFD" w:rsidRDefault="009D4A93" w:rsidP="009D4A93">
            <w:pPr>
              <w:keepLines/>
              <w:spacing w:after="0"/>
              <w:jc w:val="center"/>
            </w:pPr>
            <w:r w:rsidRPr="00536CFD">
              <w:rPr>
                <w:lang w:val="zh-CN"/>
              </w:rPr>
              <w:t>0.069</w:t>
            </w:r>
          </w:p>
        </w:tc>
        <w:tc>
          <w:tcPr>
            <w:tcW w:w="720" w:type="dxa"/>
            <w:tcBorders>
              <w:top w:val="single" w:sz="4" w:space="0" w:color="auto"/>
              <w:left w:val="nil"/>
              <w:bottom w:val="single" w:sz="4" w:space="0" w:color="auto"/>
              <w:right w:val="single" w:sz="4" w:space="0" w:color="auto"/>
            </w:tcBorders>
            <w:shd w:val="clear" w:color="auto" w:fill="auto"/>
          </w:tcPr>
          <w:p w14:paraId="6BD56C47" w14:textId="77777777" w:rsidR="009D4A93" w:rsidRPr="00536CFD" w:rsidRDefault="009D4A93" w:rsidP="009D4A93">
            <w:pPr>
              <w:keepLines/>
              <w:spacing w:after="0"/>
              <w:jc w:val="center"/>
            </w:pPr>
            <w:r w:rsidRPr="00536CFD">
              <w:rPr>
                <w:lang w:val="zh-CN"/>
              </w:rPr>
              <w:t>0.097</w:t>
            </w:r>
          </w:p>
        </w:tc>
        <w:tc>
          <w:tcPr>
            <w:tcW w:w="720" w:type="dxa"/>
            <w:tcBorders>
              <w:top w:val="single" w:sz="4" w:space="0" w:color="auto"/>
              <w:left w:val="nil"/>
              <w:bottom w:val="single" w:sz="4" w:space="0" w:color="auto"/>
              <w:right w:val="single" w:sz="4" w:space="0" w:color="auto"/>
            </w:tcBorders>
            <w:shd w:val="clear" w:color="auto" w:fill="auto"/>
          </w:tcPr>
          <w:p w14:paraId="75A7DF18" w14:textId="77777777" w:rsidR="009D4A93" w:rsidRPr="00536CFD" w:rsidRDefault="009D4A93" w:rsidP="009D4A93">
            <w:pPr>
              <w:keepLines/>
              <w:spacing w:after="0"/>
              <w:jc w:val="center"/>
            </w:pPr>
            <w:r w:rsidRPr="00536CFD">
              <w:rPr>
                <w:lang w:val="zh-CN"/>
              </w:rPr>
              <w:t>0.024</w:t>
            </w:r>
          </w:p>
        </w:tc>
      </w:tr>
      <w:tr w:rsidR="009D4A93" w:rsidRPr="00536CFD" w14:paraId="02F83EC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5F99859"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3565AE9"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42EA688C"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35B99CC6" w14:textId="77777777" w:rsidR="009D4A93" w:rsidRPr="00536CFD" w:rsidRDefault="009D4A93" w:rsidP="009D4A93">
            <w:pPr>
              <w:keepLines/>
              <w:spacing w:after="0"/>
              <w:jc w:val="center"/>
            </w:pPr>
            <w:r w:rsidRPr="00536CFD">
              <w:rPr>
                <w:lang w:val="zh-CN"/>
              </w:rPr>
              <w:t>0.207</w:t>
            </w:r>
          </w:p>
        </w:tc>
        <w:tc>
          <w:tcPr>
            <w:tcW w:w="720" w:type="dxa"/>
            <w:tcBorders>
              <w:top w:val="single" w:sz="4" w:space="0" w:color="auto"/>
              <w:left w:val="nil"/>
              <w:bottom w:val="single" w:sz="4" w:space="0" w:color="auto"/>
              <w:right w:val="single" w:sz="4" w:space="0" w:color="auto"/>
            </w:tcBorders>
            <w:shd w:val="clear" w:color="auto" w:fill="auto"/>
          </w:tcPr>
          <w:p w14:paraId="2CC03092" w14:textId="77777777" w:rsidR="009D4A93" w:rsidRPr="00536CFD" w:rsidRDefault="009D4A93" w:rsidP="009D4A93">
            <w:pPr>
              <w:keepLines/>
              <w:spacing w:after="0"/>
              <w:jc w:val="center"/>
            </w:pPr>
            <w:r w:rsidRPr="00536CFD">
              <w:rPr>
                <w:lang w:val="zh-CN"/>
              </w:rPr>
              <w:t>0.110</w:t>
            </w:r>
          </w:p>
        </w:tc>
        <w:tc>
          <w:tcPr>
            <w:tcW w:w="720" w:type="dxa"/>
            <w:tcBorders>
              <w:top w:val="single" w:sz="4" w:space="0" w:color="auto"/>
              <w:left w:val="nil"/>
              <w:bottom w:val="single" w:sz="4" w:space="0" w:color="auto"/>
              <w:right w:val="single" w:sz="4" w:space="0" w:color="auto"/>
            </w:tcBorders>
            <w:shd w:val="clear" w:color="auto" w:fill="auto"/>
          </w:tcPr>
          <w:p w14:paraId="6414264E" w14:textId="77777777" w:rsidR="009D4A93" w:rsidRPr="00536CFD" w:rsidRDefault="009D4A93" w:rsidP="009D4A93">
            <w:pPr>
              <w:keepLines/>
              <w:spacing w:after="0"/>
              <w:jc w:val="center"/>
            </w:pPr>
            <w:r w:rsidRPr="00536CFD">
              <w:rPr>
                <w:lang w:val="zh-CN"/>
              </w:rPr>
              <w:t>0.156</w:t>
            </w:r>
          </w:p>
        </w:tc>
        <w:tc>
          <w:tcPr>
            <w:tcW w:w="810" w:type="dxa"/>
            <w:tcBorders>
              <w:top w:val="single" w:sz="4" w:space="0" w:color="auto"/>
              <w:left w:val="nil"/>
              <w:bottom w:val="single" w:sz="4" w:space="0" w:color="auto"/>
              <w:right w:val="single" w:sz="4" w:space="0" w:color="auto"/>
            </w:tcBorders>
            <w:shd w:val="clear" w:color="auto" w:fill="auto"/>
          </w:tcPr>
          <w:p w14:paraId="740E734C" w14:textId="77777777" w:rsidR="009D4A93" w:rsidRPr="00536CFD" w:rsidRDefault="009D4A93" w:rsidP="009D4A93">
            <w:pPr>
              <w:keepLines/>
              <w:spacing w:after="0"/>
              <w:jc w:val="center"/>
            </w:pPr>
            <w:r w:rsidRPr="00536CFD">
              <w:rPr>
                <w:lang w:val="zh-CN"/>
              </w:rPr>
              <w:t xml:space="preserve">0.077 </w:t>
            </w:r>
          </w:p>
        </w:tc>
        <w:tc>
          <w:tcPr>
            <w:tcW w:w="810" w:type="dxa"/>
            <w:tcBorders>
              <w:top w:val="single" w:sz="4" w:space="0" w:color="auto"/>
              <w:left w:val="nil"/>
              <w:bottom w:val="single" w:sz="4" w:space="0" w:color="auto"/>
              <w:right w:val="single" w:sz="4" w:space="0" w:color="auto"/>
            </w:tcBorders>
            <w:shd w:val="clear" w:color="auto" w:fill="auto"/>
          </w:tcPr>
          <w:p w14:paraId="696A1934" w14:textId="77777777" w:rsidR="009D4A93" w:rsidRPr="00536CFD" w:rsidRDefault="009D4A93" w:rsidP="009D4A93">
            <w:pPr>
              <w:keepLines/>
              <w:spacing w:after="0"/>
              <w:jc w:val="center"/>
            </w:pPr>
            <w:r w:rsidRPr="00536CFD">
              <w:rPr>
                <w:lang w:val="zh-CN"/>
              </w:rPr>
              <w:t>0.739</w:t>
            </w:r>
          </w:p>
        </w:tc>
        <w:tc>
          <w:tcPr>
            <w:tcW w:w="820" w:type="dxa"/>
            <w:tcBorders>
              <w:top w:val="single" w:sz="4" w:space="0" w:color="auto"/>
              <w:left w:val="nil"/>
              <w:bottom w:val="single" w:sz="4" w:space="0" w:color="auto"/>
              <w:right w:val="single" w:sz="4" w:space="0" w:color="auto"/>
            </w:tcBorders>
            <w:shd w:val="clear" w:color="auto" w:fill="auto"/>
          </w:tcPr>
          <w:p w14:paraId="2655BDA1" w14:textId="77777777" w:rsidR="009D4A93" w:rsidRPr="00536CFD" w:rsidRDefault="009D4A93" w:rsidP="009D4A93">
            <w:pPr>
              <w:keepLines/>
              <w:spacing w:after="0"/>
              <w:jc w:val="center"/>
            </w:pPr>
            <w:r w:rsidRPr="00536CFD">
              <w:rPr>
                <w:lang w:val="zh-CN"/>
              </w:rPr>
              <w:t>0.146</w:t>
            </w:r>
          </w:p>
        </w:tc>
        <w:tc>
          <w:tcPr>
            <w:tcW w:w="800" w:type="dxa"/>
            <w:tcBorders>
              <w:top w:val="single" w:sz="4" w:space="0" w:color="auto"/>
              <w:left w:val="nil"/>
              <w:bottom w:val="single" w:sz="4" w:space="0" w:color="auto"/>
              <w:right w:val="single" w:sz="4" w:space="0" w:color="auto"/>
            </w:tcBorders>
            <w:shd w:val="clear" w:color="auto" w:fill="auto"/>
          </w:tcPr>
          <w:p w14:paraId="425885E1" w14:textId="77777777" w:rsidR="009D4A93" w:rsidRPr="00536CFD" w:rsidRDefault="009D4A93" w:rsidP="009D4A93">
            <w:pPr>
              <w:keepLines/>
              <w:spacing w:after="0"/>
              <w:jc w:val="center"/>
            </w:pPr>
            <w:r w:rsidRPr="00536CFD">
              <w:rPr>
                <w:lang w:val="zh-CN"/>
              </w:rPr>
              <w:t>0.457</w:t>
            </w:r>
          </w:p>
        </w:tc>
        <w:tc>
          <w:tcPr>
            <w:tcW w:w="720" w:type="dxa"/>
            <w:tcBorders>
              <w:top w:val="single" w:sz="4" w:space="0" w:color="auto"/>
              <w:left w:val="nil"/>
              <w:bottom w:val="single" w:sz="4" w:space="0" w:color="auto"/>
              <w:right w:val="single" w:sz="4" w:space="0" w:color="auto"/>
            </w:tcBorders>
            <w:shd w:val="clear" w:color="auto" w:fill="auto"/>
          </w:tcPr>
          <w:p w14:paraId="5914F203" w14:textId="77777777" w:rsidR="009D4A93" w:rsidRPr="00536CFD" w:rsidRDefault="009D4A93" w:rsidP="009D4A93">
            <w:pPr>
              <w:keepLines/>
              <w:spacing w:after="0"/>
              <w:jc w:val="center"/>
            </w:pPr>
            <w:r w:rsidRPr="00536CFD">
              <w:rPr>
                <w:lang w:val="zh-CN"/>
              </w:rPr>
              <w:t>0.131</w:t>
            </w:r>
          </w:p>
        </w:tc>
        <w:tc>
          <w:tcPr>
            <w:tcW w:w="724" w:type="dxa"/>
            <w:tcBorders>
              <w:top w:val="single" w:sz="4" w:space="0" w:color="auto"/>
              <w:left w:val="nil"/>
              <w:bottom w:val="single" w:sz="4" w:space="0" w:color="auto"/>
              <w:right w:val="single" w:sz="4" w:space="0" w:color="auto"/>
            </w:tcBorders>
            <w:shd w:val="clear" w:color="auto" w:fill="auto"/>
          </w:tcPr>
          <w:p w14:paraId="13953ECD" w14:textId="77777777" w:rsidR="009D4A93" w:rsidRPr="00536CFD" w:rsidRDefault="009D4A93" w:rsidP="009D4A93">
            <w:pPr>
              <w:keepLines/>
              <w:spacing w:after="0"/>
              <w:jc w:val="center"/>
            </w:pPr>
            <w:r w:rsidRPr="00536CFD">
              <w:rPr>
                <w:lang w:val="zh-CN"/>
              </w:rPr>
              <w:t>3.268</w:t>
            </w:r>
          </w:p>
        </w:tc>
        <w:tc>
          <w:tcPr>
            <w:tcW w:w="896" w:type="dxa"/>
            <w:tcBorders>
              <w:top w:val="single" w:sz="4" w:space="0" w:color="auto"/>
              <w:left w:val="nil"/>
              <w:bottom w:val="single" w:sz="4" w:space="0" w:color="auto"/>
              <w:right w:val="single" w:sz="4" w:space="0" w:color="auto"/>
            </w:tcBorders>
            <w:shd w:val="clear" w:color="auto" w:fill="auto"/>
          </w:tcPr>
          <w:p w14:paraId="5F96EC8D" w14:textId="77777777" w:rsidR="009D4A93" w:rsidRPr="00536CFD" w:rsidRDefault="009D4A93" w:rsidP="009D4A93">
            <w:pPr>
              <w:keepLines/>
              <w:spacing w:after="0"/>
              <w:jc w:val="center"/>
            </w:pPr>
            <w:r w:rsidRPr="00536CFD">
              <w:rPr>
                <w:lang w:val="zh-CN"/>
              </w:rPr>
              <w:t>0.177</w:t>
            </w:r>
          </w:p>
        </w:tc>
        <w:tc>
          <w:tcPr>
            <w:tcW w:w="720" w:type="dxa"/>
            <w:tcBorders>
              <w:top w:val="single" w:sz="4" w:space="0" w:color="auto"/>
              <w:left w:val="nil"/>
              <w:bottom w:val="single" w:sz="4" w:space="0" w:color="auto"/>
              <w:right w:val="single" w:sz="4" w:space="0" w:color="auto"/>
            </w:tcBorders>
            <w:shd w:val="clear" w:color="auto" w:fill="auto"/>
          </w:tcPr>
          <w:p w14:paraId="3BFDD243" w14:textId="77777777" w:rsidR="009D4A93" w:rsidRPr="00536CFD" w:rsidRDefault="009D4A93" w:rsidP="009D4A93">
            <w:pPr>
              <w:keepLines/>
              <w:spacing w:after="0"/>
              <w:jc w:val="center"/>
            </w:pPr>
            <w:r w:rsidRPr="00536CFD">
              <w:rPr>
                <w:lang w:val="zh-CN"/>
              </w:rPr>
              <w:t>0.662</w:t>
            </w:r>
          </w:p>
        </w:tc>
        <w:tc>
          <w:tcPr>
            <w:tcW w:w="720" w:type="dxa"/>
            <w:tcBorders>
              <w:top w:val="single" w:sz="4" w:space="0" w:color="auto"/>
              <w:left w:val="nil"/>
              <w:bottom w:val="single" w:sz="4" w:space="0" w:color="auto"/>
              <w:right w:val="single" w:sz="4" w:space="0" w:color="auto"/>
            </w:tcBorders>
            <w:shd w:val="clear" w:color="auto" w:fill="auto"/>
          </w:tcPr>
          <w:p w14:paraId="1378238B" w14:textId="77777777" w:rsidR="009D4A93" w:rsidRPr="00536CFD" w:rsidRDefault="009D4A93" w:rsidP="009D4A93">
            <w:pPr>
              <w:keepLines/>
              <w:spacing w:after="0"/>
              <w:jc w:val="center"/>
            </w:pPr>
            <w:r w:rsidRPr="00536CFD">
              <w:rPr>
                <w:lang w:val="zh-CN"/>
              </w:rPr>
              <w:t>0.139</w:t>
            </w:r>
          </w:p>
        </w:tc>
      </w:tr>
      <w:tr w:rsidR="009D4A93" w:rsidRPr="00536CFD" w14:paraId="7F7209B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88C0885"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F2F95B4"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5F8F24D9"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11857D50" w14:textId="77777777" w:rsidR="009D4A93" w:rsidRPr="00536CFD" w:rsidRDefault="009D4A93" w:rsidP="009D4A93">
            <w:pPr>
              <w:keepLines/>
              <w:spacing w:after="0"/>
              <w:jc w:val="center"/>
            </w:pPr>
            <w:r w:rsidRPr="00536CFD">
              <w:rPr>
                <w:lang w:val="zh-CN"/>
              </w:rPr>
              <w:t>0.096</w:t>
            </w:r>
          </w:p>
        </w:tc>
        <w:tc>
          <w:tcPr>
            <w:tcW w:w="720" w:type="dxa"/>
            <w:tcBorders>
              <w:top w:val="single" w:sz="4" w:space="0" w:color="auto"/>
              <w:left w:val="nil"/>
              <w:bottom w:val="single" w:sz="4" w:space="0" w:color="auto"/>
              <w:right w:val="single" w:sz="4" w:space="0" w:color="auto"/>
            </w:tcBorders>
            <w:shd w:val="clear" w:color="auto" w:fill="auto"/>
          </w:tcPr>
          <w:p w14:paraId="49252FCB" w14:textId="77777777" w:rsidR="009D4A93" w:rsidRPr="00536CFD" w:rsidRDefault="009D4A93" w:rsidP="009D4A93">
            <w:pPr>
              <w:keepLines/>
              <w:spacing w:after="0"/>
              <w:jc w:val="center"/>
            </w:pPr>
            <w:r w:rsidRPr="00536CFD">
              <w:rPr>
                <w:lang w:val="zh-CN"/>
              </w:rPr>
              <w:t>0.069</w:t>
            </w:r>
          </w:p>
        </w:tc>
        <w:tc>
          <w:tcPr>
            <w:tcW w:w="720" w:type="dxa"/>
            <w:tcBorders>
              <w:top w:val="single" w:sz="4" w:space="0" w:color="auto"/>
              <w:left w:val="nil"/>
              <w:bottom w:val="single" w:sz="4" w:space="0" w:color="auto"/>
              <w:right w:val="single" w:sz="4" w:space="0" w:color="auto"/>
            </w:tcBorders>
            <w:shd w:val="clear" w:color="auto" w:fill="auto"/>
          </w:tcPr>
          <w:p w14:paraId="32A74E65" w14:textId="77777777" w:rsidR="009D4A93" w:rsidRPr="00536CFD" w:rsidRDefault="009D4A93" w:rsidP="009D4A93">
            <w:pPr>
              <w:keepLines/>
              <w:spacing w:after="0"/>
              <w:jc w:val="center"/>
            </w:pPr>
            <w:r w:rsidRPr="00536CFD">
              <w:rPr>
                <w:lang w:val="zh-CN"/>
              </w:rPr>
              <w:t>0.063</w:t>
            </w:r>
          </w:p>
        </w:tc>
        <w:tc>
          <w:tcPr>
            <w:tcW w:w="810" w:type="dxa"/>
            <w:tcBorders>
              <w:top w:val="single" w:sz="4" w:space="0" w:color="auto"/>
              <w:left w:val="nil"/>
              <w:bottom w:val="single" w:sz="4" w:space="0" w:color="auto"/>
              <w:right w:val="single" w:sz="4" w:space="0" w:color="auto"/>
            </w:tcBorders>
            <w:shd w:val="clear" w:color="auto" w:fill="auto"/>
          </w:tcPr>
          <w:p w14:paraId="577755C0" w14:textId="77777777" w:rsidR="009D4A93" w:rsidRPr="00536CFD" w:rsidRDefault="009D4A93" w:rsidP="009D4A93">
            <w:pPr>
              <w:keepLines/>
              <w:spacing w:after="0"/>
              <w:jc w:val="center"/>
            </w:pPr>
            <w:r w:rsidRPr="00536CFD">
              <w:rPr>
                <w:lang w:val="zh-CN"/>
              </w:rPr>
              <w:t xml:space="preserve">0.034 </w:t>
            </w:r>
          </w:p>
        </w:tc>
        <w:tc>
          <w:tcPr>
            <w:tcW w:w="810" w:type="dxa"/>
            <w:tcBorders>
              <w:top w:val="single" w:sz="4" w:space="0" w:color="auto"/>
              <w:left w:val="nil"/>
              <w:bottom w:val="single" w:sz="4" w:space="0" w:color="auto"/>
              <w:right w:val="single" w:sz="4" w:space="0" w:color="auto"/>
            </w:tcBorders>
            <w:shd w:val="clear" w:color="auto" w:fill="auto"/>
          </w:tcPr>
          <w:p w14:paraId="18219785" w14:textId="77777777" w:rsidR="009D4A93" w:rsidRPr="00536CFD" w:rsidRDefault="009D4A93" w:rsidP="009D4A93">
            <w:pPr>
              <w:keepLines/>
              <w:spacing w:after="0"/>
              <w:jc w:val="center"/>
            </w:pPr>
            <w:r w:rsidRPr="00536CFD">
              <w:rPr>
                <w:lang w:val="zh-CN"/>
              </w:rPr>
              <w:t>0.232</w:t>
            </w:r>
          </w:p>
        </w:tc>
        <w:tc>
          <w:tcPr>
            <w:tcW w:w="820" w:type="dxa"/>
            <w:tcBorders>
              <w:top w:val="single" w:sz="4" w:space="0" w:color="auto"/>
              <w:left w:val="nil"/>
              <w:bottom w:val="single" w:sz="4" w:space="0" w:color="auto"/>
              <w:right w:val="single" w:sz="4" w:space="0" w:color="auto"/>
            </w:tcBorders>
            <w:shd w:val="clear" w:color="auto" w:fill="auto"/>
          </w:tcPr>
          <w:p w14:paraId="5BBE8AF4" w14:textId="77777777" w:rsidR="009D4A93" w:rsidRPr="00536CFD" w:rsidRDefault="009D4A93" w:rsidP="009D4A93">
            <w:pPr>
              <w:keepLines/>
              <w:spacing w:after="0"/>
              <w:jc w:val="center"/>
            </w:pPr>
            <w:r w:rsidRPr="00536CFD">
              <w:rPr>
                <w:lang w:val="zh-CN"/>
              </w:rPr>
              <w:t>0.081</w:t>
            </w:r>
          </w:p>
        </w:tc>
        <w:tc>
          <w:tcPr>
            <w:tcW w:w="800" w:type="dxa"/>
            <w:tcBorders>
              <w:top w:val="single" w:sz="4" w:space="0" w:color="auto"/>
              <w:left w:val="nil"/>
              <w:bottom w:val="single" w:sz="4" w:space="0" w:color="auto"/>
              <w:right w:val="single" w:sz="4" w:space="0" w:color="auto"/>
            </w:tcBorders>
            <w:shd w:val="clear" w:color="auto" w:fill="auto"/>
          </w:tcPr>
          <w:p w14:paraId="37E590FA" w14:textId="77777777" w:rsidR="009D4A93" w:rsidRPr="00536CFD" w:rsidRDefault="009D4A93" w:rsidP="009D4A93">
            <w:pPr>
              <w:keepLines/>
              <w:spacing w:after="0"/>
              <w:jc w:val="center"/>
            </w:pPr>
            <w:r w:rsidRPr="00536CFD">
              <w:rPr>
                <w:lang w:val="zh-CN"/>
              </w:rPr>
              <w:t>0.137</w:t>
            </w:r>
          </w:p>
        </w:tc>
        <w:tc>
          <w:tcPr>
            <w:tcW w:w="720" w:type="dxa"/>
            <w:tcBorders>
              <w:top w:val="single" w:sz="4" w:space="0" w:color="auto"/>
              <w:left w:val="nil"/>
              <w:bottom w:val="single" w:sz="4" w:space="0" w:color="auto"/>
              <w:right w:val="single" w:sz="4" w:space="0" w:color="auto"/>
            </w:tcBorders>
            <w:shd w:val="clear" w:color="auto" w:fill="auto"/>
          </w:tcPr>
          <w:p w14:paraId="7CF79498" w14:textId="77777777" w:rsidR="009D4A93" w:rsidRPr="00536CFD" w:rsidRDefault="009D4A93" w:rsidP="009D4A93">
            <w:pPr>
              <w:keepLines/>
              <w:spacing w:after="0"/>
              <w:jc w:val="center"/>
            </w:pPr>
            <w:r w:rsidRPr="00536CFD">
              <w:rPr>
                <w:lang w:val="zh-CN"/>
              </w:rPr>
              <w:t>0.039</w:t>
            </w:r>
          </w:p>
        </w:tc>
        <w:tc>
          <w:tcPr>
            <w:tcW w:w="724" w:type="dxa"/>
            <w:tcBorders>
              <w:top w:val="single" w:sz="4" w:space="0" w:color="auto"/>
              <w:left w:val="nil"/>
              <w:bottom w:val="single" w:sz="4" w:space="0" w:color="auto"/>
              <w:right w:val="single" w:sz="4" w:space="0" w:color="auto"/>
            </w:tcBorders>
            <w:shd w:val="clear" w:color="auto" w:fill="auto"/>
          </w:tcPr>
          <w:p w14:paraId="410C79E3" w14:textId="77777777" w:rsidR="009D4A93" w:rsidRPr="00536CFD" w:rsidRDefault="009D4A93" w:rsidP="009D4A93">
            <w:pPr>
              <w:keepLines/>
              <w:spacing w:after="0"/>
              <w:jc w:val="center"/>
            </w:pPr>
            <w:r w:rsidRPr="00536CFD">
              <w:rPr>
                <w:lang w:val="zh-CN"/>
              </w:rPr>
              <w:t>0.817</w:t>
            </w:r>
          </w:p>
        </w:tc>
        <w:tc>
          <w:tcPr>
            <w:tcW w:w="896" w:type="dxa"/>
            <w:tcBorders>
              <w:top w:val="single" w:sz="4" w:space="0" w:color="auto"/>
              <w:left w:val="nil"/>
              <w:bottom w:val="single" w:sz="4" w:space="0" w:color="auto"/>
              <w:right w:val="single" w:sz="4" w:space="0" w:color="auto"/>
            </w:tcBorders>
            <w:shd w:val="clear" w:color="auto" w:fill="auto"/>
          </w:tcPr>
          <w:p w14:paraId="16ACDE3F" w14:textId="77777777" w:rsidR="009D4A93" w:rsidRPr="00536CFD" w:rsidRDefault="009D4A93" w:rsidP="009D4A93">
            <w:pPr>
              <w:keepLines/>
              <w:spacing w:after="0"/>
              <w:jc w:val="center"/>
            </w:pPr>
            <w:r w:rsidRPr="00536CFD">
              <w:rPr>
                <w:lang w:val="zh-CN"/>
              </w:rPr>
              <w:t>0.093</w:t>
            </w:r>
          </w:p>
        </w:tc>
        <w:tc>
          <w:tcPr>
            <w:tcW w:w="720" w:type="dxa"/>
            <w:tcBorders>
              <w:top w:val="single" w:sz="4" w:space="0" w:color="auto"/>
              <w:left w:val="nil"/>
              <w:bottom w:val="single" w:sz="4" w:space="0" w:color="auto"/>
              <w:right w:val="single" w:sz="4" w:space="0" w:color="auto"/>
            </w:tcBorders>
            <w:shd w:val="clear" w:color="auto" w:fill="auto"/>
          </w:tcPr>
          <w:p w14:paraId="00D6D621" w14:textId="77777777" w:rsidR="009D4A93" w:rsidRPr="00536CFD" w:rsidRDefault="009D4A93" w:rsidP="009D4A93">
            <w:pPr>
              <w:keepLines/>
              <w:spacing w:after="0"/>
              <w:jc w:val="center"/>
            </w:pPr>
            <w:r w:rsidRPr="00536CFD">
              <w:rPr>
                <w:lang w:val="zh-CN"/>
              </w:rPr>
              <w:t>0.197</w:t>
            </w:r>
          </w:p>
        </w:tc>
        <w:tc>
          <w:tcPr>
            <w:tcW w:w="720" w:type="dxa"/>
            <w:tcBorders>
              <w:top w:val="single" w:sz="4" w:space="0" w:color="auto"/>
              <w:left w:val="nil"/>
              <w:bottom w:val="single" w:sz="4" w:space="0" w:color="auto"/>
              <w:right w:val="single" w:sz="4" w:space="0" w:color="auto"/>
            </w:tcBorders>
            <w:shd w:val="clear" w:color="auto" w:fill="auto"/>
          </w:tcPr>
          <w:p w14:paraId="4CE16F27" w14:textId="77777777" w:rsidR="009D4A93" w:rsidRPr="00536CFD" w:rsidRDefault="009D4A93" w:rsidP="009D4A93">
            <w:pPr>
              <w:keepLines/>
              <w:spacing w:after="0"/>
              <w:jc w:val="center"/>
            </w:pPr>
            <w:r w:rsidRPr="00536CFD">
              <w:rPr>
                <w:lang w:val="zh-CN"/>
              </w:rPr>
              <w:t>0.041</w:t>
            </w:r>
          </w:p>
        </w:tc>
      </w:tr>
      <w:tr w:rsidR="009D4A93" w:rsidRPr="00536CFD" w14:paraId="6F42683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4EC12B7" w14:textId="77777777" w:rsidR="009D4A93" w:rsidRPr="00536CFD" w:rsidRDefault="009D4A93" w:rsidP="009D4A93">
            <w:pPr>
              <w:keepLines/>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7F96D0EA"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57D9AA6D"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546BF688" w14:textId="77777777" w:rsidR="009D4A93" w:rsidRPr="00536CFD" w:rsidRDefault="009D4A93" w:rsidP="009D4A93">
            <w:pPr>
              <w:keepLines/>
              <w:spacing w:after="0"/>
              <w:jc w:val="center"/>
            </w:pPr>
            <w:r w:rsidRPr="00536CFD">
              <w:rPr>
                <w:lang w:val="zh-CN"/>
              </w:rPr>
              <w:t>40.245</w:t>
            </w:r>
          </w:p>
        </w:tc>
        <w:tc>
          <w:tcPr>
            <w:tcW w:w="720" w:type="dxa"/>
            <w:tcBorders>
              <w:top w:val="single" w:sz="4" w:space="0" w:color="auto"/>
              <w:left w:val="nil"/>
              <w:bottom w:val="single" w:sz="4" w:space="0" w:color="auto"/>
              <w:right w:val="single" w:sz="4" w:space="0" w:color="auto"/>
            </w:tcBorders>
            <w:shd w:val="clear" w:color="auto" w:fill="auto"/>
          </w:tcPr>
          <w:p w14:paraId="4CDD9E91" w14:textId="77777777" w:rsidR="009D4A93" w:rsidRPr="00536CFD" w:rsidRDefault="009D4A93" w:rsidP="009D4A93">
            <w:pPr>
              <w:keepLines/>
              <w:spacing w:after="0"/>
              <w:jc w:val="center"/>
            </w:pPr>
            <w:r w:rsidRPr="00536CFD">
              <w:rPr>
                <w:lang w:val="zh-CN"/>
              </w:rPr>
              <w:t>50.386</w:t>
            </w:r>
          </w:p>
        </w:tc>
        <w:tc>
          <w:tcPr>
            <w:tcW w:w="720" w:type="dxa"/>
            <w:tcBorders>
              <w:top w:val="single" w:sz="4" w:space="0" w:color="auto"/>
              <w:left w:val="nil"/>
              <w:bottom w:val="single" w:sz="4" w:space="0" w:color="auto"/>
              <w:right w:val="single" w:sz="4" w:space="0" w:color="auto"/>
            </w:tcBorders>
            <w:shd w:val="clear" w:color="auto" w:fill="auto"/>
          </w:tcPr>
          <w:p w14:paraId="6D18EE60"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707DC093"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2351B03B" w14:textId="77777777" w:rsidR="009D4A93" w:rsidRPr="00536CFD" w:rsidRDefault="009D4A93" w:rsidP="009D4A93">
            <w:pPr>
              <w:keepLines/>
              <w:spacing w:after="0"/>
              <w:jc w:val="center"/>
            </w:pPr>
            <w:r w:rsidRPr="00536CFD">
              <w:rPr>
                <w:lang w:val="zh-CN"/>
              </w:rPr>
              <w:t>23.012</w:t>
            </w:r>
          </w:p>
        </w:tc>
        <w:tc>
          <w:tcPr>
            <w:tcW w:w="820" w:type="dxa"/>
            <w:tcBorders>
              <w:top w:val="single" w:sz="4" w:space="0" w:color="auto"/>
              <w:left w:val="nil"/>
              <w:bottom w:val="single" w:sz="4" w:space="0" w:color="auto"/>
              <w:right w:val="single" w:sz="4" w:space="0" w:color="auto"/>
            </w:tcBorders>
            <w:shd w:val="clear" w:color="auto" w:fill="auto"/>
          </w:tcPr>
          <w:p w14:paraId="0FE27F69" w14:textId="77777777" w:rsidR="009D4A93" w:rsidRPr="00536CFD" w:rsidRDefault="009D4A93" w:rsidP="009D4A93">
            <w:pPr>
              <w:keepLines/>
              <w:spacing w:after="0"/>
              <w:jc w:val="center"/>
            </w:pPr>
            <w:r w:rsidRPr="00536CFD">
              <w:rPr>
                <w:lang w:val="zh-CN"/>
              </w:rPr>
              <w:t>46.349</w:t>
            </w:r>
          </w:p>
        </w:tc>
        <w:tc>
          <w:tcPr>
            <w:tcW w:w="800" w:type="dxa"/>
            <w:tcBorders>
              <w:top w:val="single" w:sz="4" w:space="0" w:color="auto"/>
              <w:left w:val="nil"/>
              <w:bottom w:val="single" w:sz="4" w:space="0" w:color="auto"/>
              <w:right w:val="single" w:sz="4" w:space="0" w:color="auto"/>
            </w:tcBorders>
            <w:shd w:val="clear" w:color="auto" w:fill="auto"/>
          </w:tcPr>
          <w:p w14:paraId="7F3E868E"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1CBCE442"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158D7665" w14:textId="77777777" w:rsidR="009D4A93" w:rsidRPr="00536CFD" w:rsidRDefault="009D4A93" w:rsidP="009D4A93">
            <w:pPr>
              <w:keepLines/>
              <w:spacing w:after="0"/>
              <w:jc w:val="center"/>
            </w:pPr>
            <w:r w:rsidRPr="00536CFD">
              <w:rPr>
                <w:lang w:val="zh-CN"/>
              </w:rPr>
              <w:t>13.400</w:t>
            </w:r>
          </w:p>
        </w:tc>
        <w:tc>
          <w:tcPr>
            <w:tcW w:w="896" w:type="dxa"/>
            <w:tcBorders>
              <w:top w:val="single" w:sz="4" w:space="0" w:color="auto"/>
              <w:left w:val="nil"/>
              <w:bottom w:val="single" w:sz="4" w:space="0" w:color="auto"/>
              <w:right w:val="single" w:sz="4" w:space="0" w:color="auto"/>
            </w:tcBorders>
            <w:shd w:val="clear" w:color="auto" w:fill="auto"/>
          </w:tcPr>
          <w:p w14:paraId="6F03BFEE" w14:textId="77777777" w:rsidR="009D4A93" w:rsidRPr="00536CFD" w:rsidRDefault="009D4A93" w:rsidP="009D4A93">
            <w:pPr>
              <w:keepLines/>
              <w:spacing w:after="0"/>
              <w:jc w:val="center"/>
            </w:pPr>
            <w:r w:rsidRPr="00536CFD">
              <w:rPr>
                <w:lang w:val="zh-CN"/>
              </w:rPr>
              <w:t>45.585</w:t>
            </w:r>
          </w:p>
        </w:tc>
        <w:tc>
          <w:tcPr>
            <w:tcW w:w="720" w:type="dxa"/>
            <w:tcBorders>
              <w:top w:val="single" w:sz="4" w:space="0" w:color="auto"/>
              <w:left w:val="nil"/>
              <w:bottom w:val="single" w:sz="4" w:space="0" w:color="auto"/>
              <w:right w:val="single" w:sz="4" w:space="0" w:color="auto"/>
            </w:tcBorders>
            <w:shd w:val="clear" w:color="auto" w:fill="auto"/>
          </w:tcPr>
          <w:p w14:paraId="7DE6F2FC"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2004B28C" w14:textId="77777777" w:rsidR="009D4A93" w:rsidRPr="00536CFD" w:rsidRDefault="009D4A93" w:rsidP="009D4A93">
            <w:pPr>
              <w:keepLines/>
              <w:spacing w:after="0"/>
              <w:jc w:val="center"/>
            </w:pPr>
            <w:r w:rsidRPr="00536CFD">
              <w:rPr>
                <w:lang w:val="en-US"/>
              </w:rPr>
              <w:t>-</w:t>
            </w:r>
          </w:p>
        </w:tc>
      </w:tr>
      <w:tr w:rsidR="009D4A93" w:rsidRPr="00536CFD" w14:paraId="75BD3F7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1A5117F"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49D175F"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69965001"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468834EB" w14:textId="77777777" w:rsidR="009D4A93" w:rsidRPr="00536CFD" w:rsidRDefault="009D4A93" w:rsidP="009D4A93">
            <w:pPr>
              <w:keepLines/>
              <w:spacing w:after="0"/>
              <w:jc w:val="center"/>
            </w:pPr>
            <w:r w:rsidRPr="00536CFD">
              <w:rPr>
                <w:lang w:val="zh-CN"/>
              </w:rPr>
              <w:t>49.537</w:t>
            </w:r>
          </w:p>
        </w:tc>
        <w:tc>
          <w:tcPr>
            <w:tcW w:w="720" w:type="dxa"/>
            <w:tcBorders>
              <w:top w:val="single" w:sz="4" w:space="0" w:color="auto"/>
              <w:left w:val="nil"/>
              <w:bottom w:val="single" w:sz="4" w:space="0" w:color="auto"/>
              <w:right w:val="single" w:sz="4" w:space="0" w:color="auto"/>
            </w:tcBorders>
            <w:shd w:val="clear" w:color="auto" w:fill="auto"/>
          </w:tcPr>
          <w:p w14:paraId="7262ED31" w14:textId="77777777" w:rsidR="009D4A93" w:rsidRPr="00536CFD" w:rsidRDefault="009D4A93" w:rsidP="009D4A93">
            <w:pPr>
              <w:keepLines/>
              <w:spacing w:after="0"/>
              <w:jc w:val="center"/>
            </w:pPr>
            <w:r w:rsidRPr="00536CFD">
              <w:rPr>
                <w:lang w:val="zh-CN"/>
              </w:rPr>
              <w:t>60.834</w:t>
            </w:r>
          </w:p>
        </w:tc>
        <w:tc>
          <w:tcPr>
            <w:tcW w:w="720" w:type="dxa"/>
            <w:tcBorders>
              <w:top w:val="single" w:sz="4" w:space="0" w:color="auto"/>
              <w:left w:val="nil"/>
              <w:bottom w:val="single" w:sz="4" w:space="0" w:color="auto"/>
              <w:right w:val="single" w:sz="4" w:space="0" w:color="auto"/>
            </w:tcBorders>
            <w:shd w:val="clear" w:color="auto" w:fill="auto"/>
          </w:tcPr>
          <w:p w14:paraId="58325820"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1E6BB00C"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244D8FD5" w14:textId="77777777" w:rsidR="009D4A93" w:rsidRPr="00536CFD" w:rsidRDefault="009D4A93" w:rsidP="009D4A93">
            <w:pPr>
              <w:keepLines/>
              <w:spacing w:after="0"/>
              <w:jc w:val="center"/>
            </w:pPr>
            <w:r w:rsidRPr="00536CFD">
              <w:rPr>
                <w:lang w:val="zh-CN"/>
              </w:rPr>
              <w:t>34.770</w:t>
            </w:r>
          </w:p>
        </w:tc>
        <w:tc>
          <w:tcPr>
            <w:tcW w:w="820" w:type="dxa"/>
            <w:tcBorders>
              <w:top w:val="single" w:sz="4" w:space="0" w:color="auto"/>
              <w:left w:val="nil"/>
              <w:bottom w:val="single" w:sz="4" w:space="0" w:color="auto"/>
              <w:right w:val="single" w:sz="4" w:space="0" w:color="auto"/>
            </w:tcBorders>
            <w:shd w:val="clear" w:color="auto" w:fill="auto"/>
          </w:tcPr>
          <w:p w14:paraId="4E939F31" w14:textId="77777777" w:rsidR="009D4A93" w:rsidRPr="00536CFD" w:rsidRDefault="009D4A93" w:rsidP="009D4A93">
            <w:pPr>
              <w:keepLines/>
              <w:spacing w:after="0"/>
              <w:jc w:val="center"/>
            </w:pPr>
            <w:r w:rsidRPr="00536CFD">
              <w:rPr>
                <w:lang w:val="zh-CN"/>
              </w:rPr>
              <w:t>50.113</w:t>
            </w:r>
          </w:p>
        </w:tc>
        <w:tc>
          <w:tcPr>
            <w:tcW w:w="800" w:type="dxa"/>
            <w:tcBorders>
              <w:top w:val="single" w:sz="4" w:space="0" w:color="auto"/>
              <w:left w:val="nil"/>
              <w:bottom w:val="single" w:sz="4" w:space="0" w:color="auto"/>
              <w:right w:val="single" w:sz="4" w:space="0" w:color="auto"/>
            </w:tcBorders>
            <w:shd w:val="clear" w:color="auto" w:fill="auto"/>
          </w:tcPr>
          <w:p w14:paraId="104EF937"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40BB615D"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6F92F0F8" w14:textId="77777777" w:rsidR="009D4A93" w:rsidRPr="00536CFD" w:rsidRDefault="009D4A93" w:rsidP="009D4A93">
            <w:pPr>
              <w:keepLines/>
              <w:spacing w:after="0"/>
              <w:jc w:val="center"/>
            </w:pPr>
            <w:r w:rsidRPr="00536CFD">
              <w:rPr>
                <w:lang w:val="zh-CN"/>
              </w:rPr>
              <w:t>23.108</w:t>
            </w:r>
          </w:p>
        </w:tc>
        <w:tc>
          <w:tcPr>
            <w:tcW w:w="896" w:type="dxa"/>
            <w:tcBorders>
              <w:top w:val="single" w:sz="4" w:space="0" w:color="auto"/>
              <w:left w:val="nil"/>
              <w:bottom w:val="single" w:sz="4" w:space="0" w:color="auto"/>
              <w:right w:val="single" w:sz="4" w:space="0" w:color="auto"/>
            </w:tcBorders>
            <w:shd w:val="clear" w:color="auto" w:fill="auto"/>
          </w:tcPr>
          <w:p w14:paraId="73333F2B" w14:textId="77777777" w:rsidR="009D4A93" w:rsidRPr="00536CFD" w:rsidRDefault="009D4A93" w:rsidP="009D4A93">
            <w:pPr>
              <w:keepLines/>
              <w:spacing w:after="0"/>
              <w:jc w:val="center"/>
            </w:pPr>
            <w:r w:rsidRPr="00536CFD">
              <w:rPr>
                <w:lang w:val="zh-CN"/>
              </w:rPr>
              <w:t>50.104</w:t>
            </w:r>
          </w:p>
        </w:tc>
        <w:tc>
          <w:tcPr>
            <w:tcW w:w="720" w:type="dxa"/>
            <w:tcBorders>
              <w:top w:val="single" w:sz="4" w:space="0" w:color="auto"/>
              <w:left w:val="nil"/>
              <w:bottom w:val="single" w:sz="4" w:space="0" w:color="auto"/>
              <w:right w:val="single" w:sz="4" w:space="0" w:color="auto"/>
            </w:tcBorders>
            <w:shd w:val="clear" w:color="auto" w:fill="auto"/>
          </w:tcPr>
          <w:p w14:paraId="100B562D"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1DF5B213" w14:textId="77777777" w:rsidR="009D4A93" w:rsidRPr="00536CFD" w:rsidRDefault="009D4A93" w:rsidP="009D4A93">
            <w:pPr>
              <w:keepLines/>
              <w:spacing w:after="0"/>
              <w:jc w:val="center"/>
            </w:pPr>
            <w:r w:rsidRPr="00536CFD">
              <w:rPr>
                <w:lang w:val="en-US"/>
              </w:rPr>
              <w:t>-</w:t>
            </w:r>
          </w:p>
        </w:tc>
      </w:tr>
      <w:tr w:rsidR="009D4A93" w:rsidRPr="00536CFD" w14:paraId="0304F17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837C942"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F30E8E2"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6262DBF9"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059DD04E" w14:textId="77777777" w:rsidR="009D4A93" w:rsidRPr="00536CFD" w:rsidRDefault="009D4A93" w:rsidP="009D4A93">
            <w:pPr>
              <w:keepLines/>
              <w:spacing w:after="0"/>
              <w:jc w:val="center"/>
            </w:pPr>
            <w:r w:rsidRPr="00536CFD">
              <w:rPr>
                <w:lang w:val="zh-CN"/>
              </w:rPr>
              <w:t>60.993</w:t>
            </w:r>
          </w:p>
        </w:tc>
        <w:tc>
          <w:tcPr>
            <w:tcW w:w="720" w:type="dxa"/>
            <w:tcBorders>
              <w:top w:val="single" w:sz="4" w:space="0" w:color="auto"/>
              <w:left w:val="nil"/>
              <w:bottom w:val="single" w:sz="4" w:space="0" w:color="auto"/>
              <w:right w:val="single" w:sz="4" w:space="0" w:color="auto"/>
            </w:tcBorders>
            <w:shd w:val="clear" w:color="auto" w:fill="auto"/>
          </w:tcPr>
          <w:p w14:paraId="124CE295" w14:textId="77777777" w:rsidR="009D4A93" w:rsidRPr="00536CFD" w:rsidRDefault="009D4A93" w:rsidP="009D4A93">
            <w:pPr>
              <w:keepLines/>
              <w:spacing w:after="0"/>
              <w:jc w:val="center"/>
            </w:pPr>
            <w:r w:rsidRPr="00536CFD">
              <w:rPr>
                <w:lang w:val="zh-CN"/>
              </w:rPr>
              <w:t>65.066</w:t>
            </w:r>
          </w:p>
        </w:tc>
        <w:tc>
          <w:tcPr>
            <w:tcW w:w="720" w:type="dxa"/>
            <w:tcBorders>
              <w:top w:val="single" w:sz="4" w:space="0" w:color="auto"/>
              <w:left w:val="nil"/>
              <w:bottom w:val="single" w:sz="4" w:space="0" w:color="auto"/>
              <w:right w:val="single" w:sz="4" w:space="0" w:color="auto"/>
            </w:tcBorders>
            <w:shd w:val="clear" w:color="auto" w:fill="auto"/>
          </w:tcPr>
          <w:p w14:paraId="2A9D21FB"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692D6855"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0E087008" w14:textId="77777777" w:rsidR="009D4A93" w:rsidRPr="00536CFD" w:rsidRDefault="009D4A93" w:rsidP="009D4A93">
            <w:pPr>
              <w:keepLines/>
              <w:spacing w:after="0"/>
              <w:jc w:val="center"/>
            </w:pPr>
            <w:r w:rsidRPr="00536CFD">
              <w:rPr>
                <w:lang w:val="zh-CN"/>
              </w:rPr>
              <w:t>39.682</w:t>
            </w:r>
          </w:p>
        </w:tc>
        <w:tc>
          <w:tcPr>
            <w:tcW w:w="820" w:type="dxa"/>
            <w:tcBorders>
              <w:top w:val="single" w:sz="4" w:space="0" w:color="auto"/>
              <w:left w:val="nil"/>
              <w:bottom w:val="single" w:sz="4" w:space="0" w:color="auto"/>
              <w:right w:val="single" w:sz="4" w:space="0" w:color="auto"/>
            </w:tcBorders>
            <w:shd w:val="clear" w:color="auto" w:fill="auto"/>
          </w:tcPr>
          <w:p w14:paraId="74BE8CA3" w14:textId="77777777" w:rsidR="009D4A93" w:rsidRPr="00536CFD" w:rsidRDefault="009D4A93" w:rsidP="009D4A93">
            <w:pPr>
              <w:keepLines/>
              <w:spacing w:after="0"/>
              <w:jc w:val="center"/>
            </w:pPr>
            <w:r w:rsidRPr="00536CFD">
              <w:rPr>
                <w:lang w:val="zh-CN"/>
              </w:rPr>
              <w:t>57.205</w:t>
            </w:r>
          </w:p>
        </w:tc>
        <w:tc>
          <w:tcPr>
            <w:tcW w:w="800" w:type="dxa"/>
            <w:tcBorders>
              <w:top w:val="single" w:sz="4" w:space="0" w:color="auto"/>
              <w:left w:val="nil"/>
              <w:bottom w:val="single" w:sz="4" w:space="0" w:color="auto"/>
              <w:right w:val="single" w:sz="4" w:space="0" w:color="auto"/>
            </w:tcBorders>
            <w:shd w:val="clear" w:color="auto" w:fill="auto"/>
          </w:tcPr>
          <w:p w14:paraId="4D265016"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51DB3408"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61680127" w14:textId="77777777" w:rsidR="009D4A93" w:rsidRPr="00536CFD" w:rsidRDefault="009D4A93" w:rsidP="009D4A93">
            <w:pPr>
              <w:keepLines/>
              <w:spacing w:after="0"/>
              <w:jc w:val="center"/>
            </w:pPr>
            <w:r w:rsidRPr="00536CFD">
              <w:rPr>
                <w:lang w:val="zh-CN"/>
              </w:rPr>
              <w:t>36.185</w:t>
            </w:r>
          </w:p>
        </w:tc>
        <w:tc>
          <w:tcPr>
            <w:tcW w:w="896" w:type="dxa"/>
            <w:tcBorders>
              <w:top w:val="single" w:sz="4" w:space="0" w:color="auto"/>
              <w:left w:val="nil"/>
              <w:bottom w:val="single" w:sz="4" w:space="0" w:color="auto"/>
              <w:right w:val="single" w:sz="4" w:space="0" w:color="auto"/>
            </w:tcBorders>
            <w:shd w:val="clear" w:color="auto" w:fill="auto"/>
          </w:tcPr>
          <w:p w14:paraId="6E0124BC" w14:textId="77777777" w:rsidR="009D4A93" w:rsidRPr="00536CFD" w:rsidRDefault="009D4A93" w:rsidP="009D4A93">
            <w:pPr>
              <w:keepLines/>
              <w:spacing w:after="0"/>
              <w:jc w:val="center"/>
            </w:pPr>
            <w:r w:rsidRPr="00536CFD">
              <w:rPr>
                <w:lang w:val="zh-CN"/>
              </w:rPr>
              <w:t>55.314</w:t>
            </w:r>
          </w:p>
        </w:tc>
        <w:tc>
          <w:tcPr>
            <w:tcW w:w="720" w:type="dxa"/>
            <w:tcBorders>
              <w:top w:val="single" w:sz="4" w:space="0" w:color="auto"/>
              <w:left w:val="nil"/>
              <w:bottom w:val="single" w:sz="4" w:space="0" w:color="auto"/>
              <w:right w:val="single" w:sz="4" w:space="0" w:color="auto"/>
            </w:tcBorders>
            <w:shd w:val="clear" w:color="auto" w:fill="auto"/>
          </w:tcPr>
          <w:p w14:paraId="3CEB2BE5"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24FFC3BD" w14:textId="77777777" w:rsidR="009D4A93" w:rsidRPr="00536CFD" w:rsidRDefault="009D4A93" w:rsidP="009D4A93">
            <w:pPr>
              <w:keepLines/>
              <w:spacing w:after="0"/>
              <w:jc w:val="center"/>
            </w:pPr>
            <w:r w:rsidRPr="00536CFD">
              <w:rPr>
                <w:lang w:val="en-US"/>
              </w:rPr>
              <w:t>-</w:t>
            </w:r>
          </w:p>
        </w:tc>
      </w:tr>
      <w:tr w:rsidR="009D4A93" w:rsidRPr="00536CFD" w14:paraId="53A44B5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FAF5656"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4901CBA"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17AAE350"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11DF4271" w14:textId="77777777" w:rsidR="009D4A93" w:rsidRPr="00536CFD" w:rsidRDefault="009D4A93" w:rsidP="009D4A93">
            <w:pPr>
              <w:keepLines/>
              <w:spacing w:after="0"/>
              <w:jc w:val="center"/>
            </w:pPr>
            <w:r w:rsidRPr="00536CFD">
              <w:rPr>
                <w:lang w:val="zh-CN"/>
              </w:rPr>
              <w:t>50.859</w:t>
            </w:r>
          </w:p>
        </w:tc>
        <w:tc>
          <w:tcPr>
            <w:tcW w:w="720" w:type="dxa"/>
            <w:tcBorders>
              <w:top w:val="single" w:sz="4" w:space="0" w:color="auto"/>
              <w:left w:val="nil"/>
              <w:bottom w:val="single" w:sz="4" w:space="0" w:color="auto"/>
              <w:right w:val="single" w:sz="4" w:space="0" w:color="auto"/>
            </w:tcBorders>
            <w:shd w:val="clear" w:color="auto" w:fill="auto"/>
          </w:tcPr>
          <w:p w14:paraId="3D049C61" w14:textId="77777777" w:rsidR="009D4A93" w:rsidRPr="00536CFD" w:rsidRDefault="009D4A93" w:rsidP="009D4A93">
            <w:pPr>
              <w:keepLines/>
              <w:spacing w:after="0"/>
              <w:jc w:val="center"/>
            </w:pPr>
            <w:r w:rsidRPr="00536CFD">
              <w:rPr>
                <w:lang w:val="zh-CN"/>
              </w:rPr>
              <w:t>60.523</w:t>
            </w:r>
          </w:p>
        </w:tc>
        <w:tc>
          <w:tcPr>
            <w:tcW w:w="720" w:type="dxa"/>
            <w:tcBorders>
              <w:top w:val="single" w:sz="4" w:space="0" w:color="auto"/>
              <w:left w:val="nil"/>
              <w:bottom w:val="single" w:sz="4" w:space="0" w:color="auto"/>
              <w:right w:val="single" w:sz="4" w:space="0" w:color="auto"/>
            </w:tcBorders>
            <w:shd w:val="clear" w:color="auto" w:fill="auto"/>
          </w:tcPr>
          <w:p w14:paraId="74EFF8F8"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352F4A17"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723A21E7" w14:textId="77777777" w:rsidR="009D4A93" w:rsidRPr="00536CFD" w:rsidRDefault="009D4A93" w:rsidP="009D4A93">
            <w:pPr>
              <w:keepLines/>
              <w:spacing w:after="0"/>
              <w:jc w:val="center"/>
            </w:pPr>
            <w:r w:rsidRPr="00536CFD">
              <w:rPr>
                <w:lang w:val="zh-CN"/>
              </w:rPr>
              <w:t>34.875</w:t>
            </w:r>
          </w:p>
        </w:tc>
        <w:tc>
          <w:tcPr>
            <w:tcW w:w="820" w:type="dxa"/>
            <w:tcBorders>
              <w:top w:val="single" w:sz="4" w:space="0" w:color="auto"/>
              <w:left w:val="nil"/>
              <w:bottom w:val="single" w:sz="4" w:space="0" w:color="auto"/>
              <w:right w:val="single" w:sz="4" w:space="0" w:color="auto"/>
            </w:tcBorders>
            <w:shd w:val="clear" w:color="auto" w:fill="auto"/>
          </w:tcPr>
          <w:p w14:paraId="3B339B0C" w14:textId="77777777" w:rsidR="009D4A93" w:rsidRPr="00536CFD" w:rsidRDefault="009D4A93" w:rsidP="009D4A93">
            <w:pPr>
              <w:keepLines/>
              <w:spacing w:after="0"/>
              <w:jc w:val="center"/>
            </w:pPr>
            <w:r w:rsidRPr="00536CFD">
              <w:rPr>
                <w:lang w:val="zh-CN"/>
              </w:rPr>
              <w:t>52.000</w:t>
            </w:r>
          </w:p>
        </w:tc>
        <w:tc>
          <w:tcPr>
            <w:tcW w:w="800" w:type="dxa"/>
            <w:tcBorders>
              <w:top w:val="single" w:sz="4" w:space="0" w:color="auto"/>
              <w:left w:val="nil"/>
              <w:bottom w:val="single" w:sz="4" w:space="0" w:color="auto"/>
              <w:right w:val="single" w:sz="4" w:space="0" w:color="auto"/>
            </w:tcBorders>
            <w:shd w:val="clear" w:color="auto" w:fill="auto"/>
          </w:tcPr>
          <w:p w14:paraId="45CFE636"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53BF9110"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772CFEC8" w14:textId="77777777" w:rsidR="009D4A93" w:rsidRPr="00536CFD" w:rsidRDefault="009D4A93" w:rsidP="009D4A93">
            <w:pPr>
              <w:keepLines/>
              <w:spacing w:after="0"/>
              <w:jc w:val="center"/>
            </w:pPr>
            <w:r w:rsidRPr="00536CFD">
              <w:rPr>
                <w:lang w:val="zh-CN"/>
              </w:rPr>
              <w:t>23.966</w:t>
            </w:r>
          </w:p>
        </w:tc>
        <w:tc>
          <w:tcPr>
            <w:tcW w:w="896" w:type="dxa"/>
            <w:tcBorders>
              <w:top w:val="single" w:sz="4" w:space="0" w:color="auto"/>
              <w:left w:val="nil"/>
              <w:bottom w:val="single" w:sz="4" w:space="0" w:color="auto"/>
              <w:right w:val="single" w:sz="4" w:space="0" w:color="auto"/>
            </w:tcBorders>
            <w:shd w:val="clear" w:color="auto" w:fill="auto"/>
          </w:tcPr>
          <w:p w14:paraId="1437350C" w14:textId="77777777" w:rsidR="009D4A93" w:rsidRPr="00536CFD" w:rsidRDefault="009D4A93" w:rsidP="009D4A93">
            <w:pPr>
              <w:keepLines/>
              <w:spacing w:after="0"/>
              <w:jc w:val="center"/>
            </w:pPr>
            <w:r w:rsidRPr="00536CFD">
              <w:rPr>
                <w:lang w:val="zh-CN"/>
              </w:rPr>
              <w:t>51.155</w:t>
            </w:r>
          </w:p>
        </w:tc>
        <w:tc>
          <w:tcPr>
            <w:tcW w:w="720" w:type="dxa"/>
            <w:tcBorders>
              <w:top w:val="single" w:sz="4" w:space="0" w:color="auto"/>
              <w:left w:val="nil"/>
              <w:bottom w:val="single" w:sz="4" w:space="0" w:color="auto"/>
              <w:right w:val="single" w:sz="4" w:space="0" w:color="auto"/>
            </w:tcBorders>
            <w:shd w:val="clear" w:color="auto" w:fill="auto"/>
          </w:tcPr>
          <w:p w14:paraId="24FAC08A"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42B923EE" w14:textId="77777777" w:rsidR="009D4A93" w:rsidRPr="00536CFD" w:rsidRDefault="009D4A93" w:rsidP="009D4A93">
            <w:pPr>
              <w:keepLines/>
              <w:spacing w:after="0"/>
              <w:jc w:val="center"/>
            </w:pPr>
            <w:r w:rsidRPr="00536CFD">
              <w:rPr>
                <w:lang w:val="en-US"/>
              </w:rPr>
              <w:t>-</w:t>
            </w:r>
          </w:p>
        </w:tc>
      </w:tr>
      <w:tr w:rsidR="009D4A93" w:rsidRPr="00536CFD" w14:paraId="03217DD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0EAEEF8" w14:textId="77777777" w:rsidR="009D4A93" w:rsidRPr="00536CFD" w:rsidRDefault="009D4A93" w:rsidP="009D4A93">
            <w:pPr>
              <w:keepLines/>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2FDE79EF"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04F89780"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4FD8BC87"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48C55545"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556503D1"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1F505B45"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68CA2095" w14:textId="77777777" w:rsidR="009D4A93" w:rsidRPr="00536CFD" w:rsidRDefault="009D4A93" w:rsidP="009D4A93">
            <w:pPr>
              <w:keepLines/>
              <w:spacing w:after="0"/>
              <w:jc w:val="center"/>
            </w:pPr>
            <w:r w:rsidRPr="00536CFD">
              <w:rPr>
                <w:lang w:val="zh-CN"/>
              </w:rPr>
              <w:t>0.062</w:t>
            </w:r>
          </w:p>
        </w:tc>
        <w:tc>
          <w:tcPr>
            <w:tcW w:w="820" w:type="dxa"/>
            <w:tcBorders>
              <w:top w:val="single" w:sz="4" w:space="0" w:color="auto"/>
              <w:left w:val="nil"/>
              <w:bottom w:val="single" w:sz="4" w:space="0" w:color="auto"/>
              <w:right w:val="single" w:sz="4" w:space="0" w:color="auto"/>
            </w:tcBorders>
            <w:shd w:val="clear" w:color="auto" w:fill="auto"/>
          </w:tcPr>
          <w:p w14:paraId="2D50EF03" w14:textId="77777777" w:rsidR="009D4A93" w:rsidRPr="00536CFD" w:rsidRDefault="009D4A93" w:rsidP="009D4A93">
            <w:pPr>
              <w:keepLines/>
              <w:spacing w:after="0"/>
              <w:jc w:val="center"/>
            </w:pPr>
            <w:r w:rsidRPr="00536CFD">
              <w:rPr>
                <w:lang w:val="zh-CN"/>
              </w:rPr>
              <w:t>0.060</w:t>
            </w:r>
          </w:p>
        </w:tc>
        <w:tc>
          <w:tcPr>
            <w:tcW w:w="800" w:type="dxa"/>
            <w:tcBorders>
              <w:top w:val="single" w:sz="4" w:space="0" w:color="auto"/>
              <w:left w:val="nil"/>
              <w:bottom w:val="single" w:sz="4" w:space="0" w:color="auto"/>
              <w:right w:val="single" w:sz="4" w:space="0" w:color="auto"/>
            </w:tcBorders>
            <w:shd w:val="clear" w:color="auto" w:fill="auto"/>
          </w:tcPr>
          <w:p w14:paraId="14EE1BBC"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0DAAC661"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6B892ADD" w14:textId="77777777" w:rsidR="009D4A93" w:rsidRPr="00536CFD" w:rsidRDefault="009D4A93" w:rsidP="009D4A93">
            <w:pPr>
              <w:keepLines/>
              <w:spacing w:after="0"/>
              <w:jc w:val="center"/>
            </w:pPr>
            <w:r w:rsidRPr="00536CFD">
              <w:rPr>
                <w:lang w:val="zh-CN"/>
              </w:rPr>
              <w:t>0.065</w:t>
            </w:r>
          </w:p>
        </w:tc>
        <w:tc>
          <w:tcPr>
            <w:tcW w:w="896" w:type="dxa"/>
            <w:tcBorders>
              <w:top w:val="single" w:sz="4" w:space="0" w:color="auto"/>
              <w:left w:val="nil"/>
              <w:bottom w:val="single" w:sz="4" w:space="0" w:color="auto"/>
              <w:right w:val="single" w:sz="4" w:space="0" w:color="auto"/>
            </w:tcBorders>
            <w:shd w:val="clear" w:color="auto" w:fill="auto"/>
          </w:tcPr>
          <w:p w14:paraId="083E3FE6" w14:textId="77777777" w:rsidR="009D4A93" w:rsidRPr="00536CFD" w:rsidRDefault="009D4A93" w:rsidP="009D4A93">
            <w:pPr>
              <w:keepLines/>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57260556"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68A7A994" w14:textId="77777777" w:rsidR="009D4A93" w:rsidRPr="00536CFD" w:rsidRDefault="009D4A93" w:rsidP="009D4A93">
            <w:pPr>
              <w:keepLines/>
              <w:spacing w:after="0"/>
              <w:jc w:val="center"/>
            </w:pPr>
            <w:r w:rsidRPr="00536CFD">
              <w:rPr>
                <w:lang w:val="en-US"/>
              </w:rPr>
              <w:t>-</w:t>
            </w:r>
          </w:p>
        </w:tc>
      </w:tr>
      <w:tr w:rsidR="009D4A93" w:rsidRPr="00536CFD" w14:paraId="4C84706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6E56A3D"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A29646E"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40FE9844"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02244D69" w14:textId="77777777" w:rsidR="009D4A93" w:rsidRPr="00536CFD" w:rsidRDefault="009D4A93" w:rsidP="009D4A93">
            <w:pPr>
              <w:keepLines/>
              <w:spacing w:after="0"/>
              <w:jc w:val="center"/>
            </w:pPr>
            <w:r w:rsidRPr="00536CFD">
              <w:rPr>
                <w:lang w:val="zh-CN"/>
              </w:rPr>
              <w:t>0.068</w:t>
            </w:r>
          </w:p>
        </w:tc>
        <w:tc>
          <w:tcPr>
            <w:tcW w:w="720" w:type="dxa"/>
            <w:tcBorders>
              <w:top w:val="single" w:sz="4" w:space="0" w:color="auto"/>
              <w:left w:val="nil"/>
              <w:bottom w:val="single" w:sz="4" w:space="0" w:color="auto"/>
              <w:right w:val="single" w:sz="4" w:space="0" w:color="auto"/>
            </w:tcBorders>
            <w:shd w:val="clear" w:color="auto" w:fill="auto"/>
          </w:tcPr>
          <w:p w14:paraId="45BA6D6A" w14:textId="77777777" w:rsidR="009D4A93" w:rsidRPr="00536CFD" w:rsidRDefault="009D4A93" w:rsidP="009D4A93">
            <w:pPr>
              <w:keepLines/>
              <w:spacing w:after="0"/>
              <w:jc w:val="center"/>
            </w:pPr>
            <w:r w:rsidRPr="00536CFD">
              <w:rPr>
                <w:lang w:val="zh-CN"/>
              </w:rPr>
              <w:t>0.062</w:t>
            </w:r>
          </w:p>
        </w:tc>
        <w:tc>
          <w:tcPr>
            <w:tcW w:w="720" w:type="dxa"/>
            <w:tcBorders>
              <w:top w:val="single" w:sz="4" w:space="0" w:color="auto"/>
              <w:left w:val="nil"/>
              <w:bottom w:val="single" w:sz="4" w:space="0" w:color="auto"/>
              <w:right w:val="single" w:sz="4" w:space="0" w:color="auto"/>
            </w:tcBorders>
            <w:shd w:val="clear" w:color="auto" w:fill="auto"/>
          </w:tcPr>
          <w:p w14:paraId="1C046529"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6FA9A4B7"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5A2103FA" w14:textId="77777777" w:rsidR="009D4A93" w:rsidRPr="00536CFD" w:rsidRDefault="009D4A93" w:rsidP="009D4A93">
            <w:pPr>
              <w:keepLines/>
              <w:spacing w:after="0"/>
              <w:jc w:val="center"/>
            </w:pPr>
            <w:r w:rsidRPr="00536CFD">
              <w:rPr>
                <w:lang w:val="zh-CN"/>
              </w:rPr>
              <w:t>0.127</w:t>
            </w:r>
          </w:p>
        </w:tc>
        <w:tc>
          <w:tcPr>
            <w:tcW w:w="820" w:type="dxa"/>
            <w:tcBorders>
              <w:top w:val="single" w:sz="4" w:space="0" w:color="auto"/>
              <w:left w:val="nil"/>
              <w:bottom w:val="single" w:sz="4" w:space="0" w:color="auto"/>
              <w:right w:val="single" w:sz="4" w:space="0" w:color="auto"/>
            </w:tcBorders>
            <w:shd w:val="clear" w:color="auto" w:fill="auto"/>
          </w:tcPr>
          <w:p w14:paraId="3FA285A2" w14:textId="77777777" w:rsidR="009D4A93" w:rsidRPr="00536CFD" w:rsidRDefault="009D4A93" w:rsidP="009D4A93">
            <w:pPr>
              <w:keepLines/>
              <w:spacing w:after="0"/>
              <w:jc w:val="center"/>
            </w:pPr>
            <w:r w:rsidRPr="00536CFD">
              <w:rPr>
                <w:lang w:val="zh-CN"/>
              </w:rPr>
              <w:t>0.066</w:t>
            </w:r>
          </w:p>
        </w:tc>
        <w:tc>
          <w:tcPr>
            <w:tcW w:w="800" w:type="dxa"/>
            <w:tcBorders>
              <w:top w:val="single" w:sz="4" w:space="0" w:color="auto"/>
              <w:left w:val="nil"/>
              <w:bottom w:val="single" w:sz="4" w:space="0" w:color="auto"/>
              <w:right w:val="single" w:sz="4" w:space="0" w:color="auto"/>
            </w:tcBorders>
            <w:shd w:val="clear" w:color="auto" w:fill="auto"/>
          </w:tcPr>
          <w:p w14:paraId="58ED5C56"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24FC29D5"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78DD9B01" w14:textId="77777777" w:rsidR="009D4A93" w:rsidRPr="00536CFD" w:rsidRDefault="009D4A93" w:rsidP="009D4A93">
            <w:pPr>
              <w:keepLines/>
              <w:spacing w:after="0"/>
              <w:jc w:val="center"/>
            </w:pPr>
            <w:r w:rsidRPr="00536CFD">
              <w:rPr>
                <w:lang w:val="zh-CN"/>
              </w:rPr>
              <w:t>0.211</w:t>
            </w:r>
          </w:p>
        </w:tc>
        <w:tc>
          <w:tcPr>
            <w:tcW w:w="896" w:type="dxa"/>
            <w:tcBorders>
              <w:top w:val="single" w:sz="4" w:space="0" w:color="auto"/>
              <w:left w:val="nil"/>
              <w:bottom w:val="single" w:sz="4" w:space="0" w:color="auto"/>
              <w:right w:val="single" w:sz="4" w:space="0" w:color="auto"/>
            </w:tcBorders>
            <w:shd w:val="clear" w:color="auto" w:fill="auto"/>
          </w:tcPr>
          <w:p w14:paraId="68907244" w14:textId="77777777" w:rsidR="009D4A93" w:rsidRPr="00536CFD" w:rsidRDefault="009D4A93" w:rsidP="009D4A93">
            <w:pPr>
              <w:keepLines/>
              <w:spacing w:after="0"/>
              <w:jc w:val="center"/>
            </w:pPr>
            <w:r w:rsidRPr="00536CFD">
              <w:rPr>
                <w:lang w:val="zh-CN"/>
              </w:rPr>
              <w:t>0.069</w:t>
            </w:r>
          </w:p>
        </w:tc>
        <w:tc>
          <w:tcPr>
            <w:tcW w:w="720" w:type="dxa"/>
            <w:tcBorders>
              <w:top w:val="single" w:sz="4" w:space="0" w:color="auto"/>
              <w:left w:val="nil"/>
              <w:bottom w:val="single" w:sz="4" w:space="0" w:color="auto"/>
              <w:right w:val="single" w:sz="4" w:space="0" w:color="auto"/>
            </w:tcBorders>
            <w:shd w:val="clear" w:color="auto" w:fill="auto"/>
          </w:tcPr>
          <w:p w14:paraId="087C931E"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2E249568" w14:textId="77777777" w:rsidR="009D4A93" w:rsidRPr="00536CFD" w:rsidRDefault="009D4A93" w:rsidP="009D4A93">
            <w:pPr>
              <w:keepLines/>
              <w:spacing w:after="0"/>
              <w:jc w:val="center"/>
            </w:pPr>
            <w:r w:rsidRPr="00536CFD">
              <w:rPr>
                <w:lang w:val="en-US"/>
              </w:rPr>
              <w:t>-</w:t>
            </w:r>
          </w:p>
        </w:tc>
      </w:tr>
      <w:tr w:rsidR="009D4A93" w:rsidRPr="00536CFD" w14:paraId="69677B5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FD8ED0C"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00A9FBB"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029E8F85"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17F498D7" w14:textId="77777777" w:rsidR="009D4A93" w:rsidRPr="00536CFD" w:rsidRDefault="009D4A93" w:rsidP="009D4A93">
            <w:pPr>
              <w:keepLines/>
              <w:spacing w:after="0"/>
              <w:jc w:val="center"/>
            </w:pPr>
            <w:r w:rsidRPr="00536CFD">
              <w:rPr>
                <w:lang w:val="zh-CN"/>
              </w:rPr>
              <w:t>0.192</w:t>
            </w:r>
          </w:p>
        </w:tc>
        <w:tc>
          <w:tcPr>
            <w:tcW w:w="720" w:type="dxa"/>
            <w:tcBorders>
              <w:top w:val="single" w:sz="4" w:space="0" w:color="auto"/>
              <w:left w:val="nil"/>
              <w:bottom w:val="single" w:sz="4" w:space="0" w:color="auto"/>
              <w:right w:val="single" w:sz="4" w:space="0" w:color="auto"/>
            </w:tcBorders>
            <w:shd w:val="clear" w:color="auto" w:fill="auto"/>
          </w:tcPr>
          <w:p w14:paraId="1D983A70" w14:textId="77777777" w:rsidR="009D4A93" w:rsidRPr="00536CFD" w:rsidRDefault="009D4A93" w:rsidP="009D4A93">
            <w:pPr>
              <w:keepLines/>
              <w:spacing w:after="0"/>
              <w:jc w:val="center"/>
            </w:pPr>
            <w:r w:rsidRPr="00536CFD">
              <w:rPr>
                <w:lang w:val="zh-CN"/>
              </w:rPr>
              <w:t>0.106</w:t>
            </w:r>
          </w:p>
        </w:tc>
        <w:tc>
          <w:tcPr>
            <w:tcW w:w="720" w:type="dxa"/>
            <w:tcBorders>
              <w:top w:val="single" w:sz="4" w:space="0" w:color="auto"/>
              <w:left w:val="nil"/>
              <w:bottom w:val="single" w:sz="4" w:space="0" w:color="auto"/>
              <w:right w:val="single" w:sz="4" w:space="0" w:color="auto"/>
            </w:tcBorders>
            <w:shd w:val="clear" w:color="auto" w:fill="auto"/>
          </w:tcPr>
          <w:p w14:paraId="7406AC5B"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3F0F1ED0"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421DDFDD" w14:textId="77777777" w:rsidR="009D4A93" w:rsidRPr="00536CFD" w:rsidRDefault="009D4A93" w:rsidP="009D4A93">
            <w:pPr>
              <w:keepLines/>
              <w:spacing w:after="0"/>
              <w:jc w:val="center"/>
            </w:pPr>
            <w:r w:rsidRPr="00536CFD">
              <w:rPr>
                <w:lang w:val="zh-CN"/>
              </w:rPr>
              <w:t>0.454</w:t>
            </w:r>
          </w:p>
        </w:tc>
        <w:tc>
          <w:tcPr>
            <w:tcW w:w="820" w:type="dxa"/>
            <w:tcBorders>
              <w:top w:val="single" w:sz="4" w:space="0" w:color="auto"/>
              <w:left w:val="nil"/>
              <w:bottom w:val="single" w:sz="4" w:space="0" w:color="auto"/>
              <w:right w:val="single" w:sz="4" w:space="0" w:color="auto"/>
            </w:tcBorders>
            <w:shd w:val="clear" w:color="auto" w:fill="auto"/>
          </w:tcPr>
          <w:p w14:paraId="0F21F402" w14:textId="77777777" w:rsidR="009D4A93" w:rsidRPr="00536CFD" w:rsidRDefault="009D4A93" w:rsidP="009D4A93">
            <w:pPr>
              <w:keepLines/>
              <w:spacing w:after="0"/>
              <w:jc w:val="center"/>
            </w:pPr>
            <w:r w:rsidRPr="00536CFD">
              <w:rPr>
                <w:lang w:val="zh-CN"/>
              </w:rPr>
              <w:t>0.152</w:t>
            </w:r>
          </w:p>
        </w:tc>
        <w:tc>
          <w:tcPr>
            <w:tcW w:w="800" w:type="dxa"/>
            <w:tcBorders>
              <w:top w:val="single" w:sz="4" w:space="0" w:color="auto"/>
              <w:left w:val="nil"/>
              <w:bottom w:val="single" w:sz="4" w:space="0" w:color="auto"/>
              <w:right w:val="single" w:sz="4" w:space="0" w:color="auto"/>
            </w:tcBorders>
            <w:shd w:val="clear" w:color="auto" w:fill="auto"/>
          </w:tcPr>
          <w:p w14:paraId="249AB896"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5EA80D62"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70165FF6" w14:textId="77777777" w:rsidR="009D4A93" w:rsidRPr="00536CFD" w:rsidRDefault="009D4A93" w:rsidP="009D4A93">
            <w:pPr>
              <w:keepLines/>
              <w:spacing w:after="0"/>
              <w:jc w:val="center"/>
            </w:pPr>
            <w:r w:rsidRPr="00536CFD">
              <w:rPr>
                <w:lang w:val="zh-CN"/>
              </w:rPr>
              <w:t>0.864</w:t>
            </w:r>
          </w:p>
        </w:tc>
        <w:tc>
          <w:tcPr>
            <w:tcW w:w="896" w:type="dxa"/>
            <w:tcBorders>
              <w:top w:val="single" w:sz="4" w:space="0" w:color="auto"/>
              <w:left w:val="nil"/>
              <w:bottom w:val="single" w:sz="4" w:space="0" w:color="auto"/>
              <w:right w:val="single" w:sz="4" w:space="0" w:color="auto"/>
            </w:tcBorders>
            <w:shd w:val="clear" w:color="auto" w:fill="auto"/>
          </w:tcPr>
          <w:p w14:paraId="256C47C5" w14:textId="77777777" w:rsidR="009D4A93" w:rsidRPr="00536CFD" w:rsidRDefault="009D4A93" w:rsidP="009D4A93">
            <w:pPr>
              <w:keepLines/>
              <w:spacing w:after="0"/>
              <w:jc w:val="center"/>
            </w:pPr>
            <w:r w:rsidRPr="00536CFD">
              <w:rPr>
                <w:lang w:val="zh-CN"/>
              </w:rPr>
              <w:t>0.161</w:t>
            </w:r>
          </w:p>
        </w:tc>
        <w:tc>
          <w:tcPr>
            <w:tcW w:w="720" w:type="dxa"/>
            <w:tcBorders>
              <w:top w:val="single" w:sz="4" w:space="0" w:color="auto"/>
              <w:left w:val="nil"/>
              <w:bottom w:val="single" w:sz="4" w:space="0" w:color="auto"/>
              <w:right w:val="single" w:sz="4" w:space="0" w:color="auto"/>
            </w:tcBorders>
            <w:shd w:val="clear" w:color="auto" w:fill="auto"/>
          </w:tcPr>
          <w:p w14:paraId="460A1D85"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0D1B3FB3" w14:textId="77777777" w:rsidR="009D4A93" w:rsidRPr="00536CFD" w:rsidRDefault="009D4A93" w:rsidP="009D4A93">
            <w:pPr>
              <w:keepLines/>
              <w:spacing w:after="0"/>
              <w:jc w:val="center"/>
            </w:pPr>
            <w:r w:rsidRPr="00536CFD">
              <w:rPr>
                <w:lang w:val="en-US"/>
              </w:rPr>
              <w:t>-</w:t>
            </w:r>
          </w:p>
        </w:tc>
      </w:tr>
      <w:tr w:rsidR="009D4A93" w:rsidRPr="00536CFD" w14:paraId="7F446D7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1F36CC1" w14:textId="77777777" w:rsidR="009D4A93" w:rsidRPr="00536CFD" w:rsidRDefault="009D4A93" w:rsidP="009D4A93">
            <w:pPr>
              <w:keepLines/>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2A01223" w14:textId="77777777" w:rsidR="009D4A93" w:rsidRPr="00536CFD" w:rsidRDefault="009D4A93" w:rsidP="009D4A93">
            <w:pPr>
              <w:keepLines/>
              <w:spacing w:after="0"/>
            </w:pPr>
          </w:p>
        </w:tc>
        <w:tc>
          <w:tcPr>
            <w:tcW w:w="400" w:type="dxa"/>
            <w:tcBorders>
              <w:top w:val="single" w:sz="4" w:space="0" w:color="auto"/>
              <w:left w:val="nil"/>
              <w:bottom w:val="single" w:sz="4" w:space="0" w:color="auto"/>
              <w:right w:val="single" w:sz="4" w:space="0" w:color="auto"/>
            </w:tcBorders>
            <w:shd w:val="clear" w:color="auto" w:fill="auto"/>
          </w:tcPr>
          <w:p w14:paraId="41E4A361"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7B5C91D5" w14:textId="77777777" w:rsidR="009D4A93" w:rsidRPr="00536CFD" w:rsidRDefault="009D4A93" w:rsidP="009D4A93">
            <w:pPr>
              <w:keepLines/>
              <w:spacing w:after="0"/>
              <w:jc w:val="center"/>
            </w:pPr>
            <w:r w:rsidRPr="00536CFD">
              <w:rPr>
                <w:lang w:val="zh-CN"/>
              </w:rPr>
              <w:t>0.092</w:t>
            </w:r>
          </w:p>
        </w:tc>
        <w:tc>
          <w:tcPr>
            <w:tcW w:w="720" w:type="dxa"/>
            <w:tcBorders>
              <w:top w:val="single" w:sz="4" w:space="0" w:color="auto"/>
              <w:left w:val="nil"/>
              <w:bottom w:val="single" w:sz="4" w:space="0" w:color="auto"/>
              <w:right w:val="single" w:sz="4" w:space="0" w:color="auto"/>
            </w:tcBorders>
            <w:shd w:val="clear" w:color="auto" w:fill="auto"/>
          </w:tcPr>
          <w:p w14:paraId="2953912A" w14:textId="77777777" w:rsidR="009D4A93" w:rsidRPr="00536CFD" w:rsidRDefault="009D4A93" w:rsidP="009D4A93">
            <w:pPr>
              <w:keepLines/>
              <w:spacing w:after="0"/>
              <w:jc w:val="center"/>
            </w:pPr>
            <w:r w:rsidRPr="00536CFD">
              <w:rPr>
                <w:lang w:val="zh-CN"/>
              </w:rPr>
              <w:t>0.069</w:t>
            </w:r>
          </w:p>
        </w:tc>
        <w:tc>
          <w:tcPr>
            <w:tcW w:w="720" w:type="dxa"/>
            <w:tcBorders>
              <w:top w:val="single" w:sz="4" w:space="0" w:color="auto"/>
              <w:left w:val="nil"/>
              <w:bottom w:val="single" w:sz="4" w:space="0" w:color="auto"/>
              <w:right w:val="single" w:sz="4" w:space="0" w:color="auto"/>
            </w:tcBorders>
            <w:shd w:val="clear" w:color="auto" w:fill="auto"/>
          </w:tcPr>
          <w:p w14:paraId="05F4CA9C"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1B0D67B0"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6C4F9A6F" w14:textId="77777777" w:rsidR="009D4A93" w:rsidRPr="00536CFD" w:rsidRDefault="009D4A93" w:rsidP="009D4A93">
            <w:pPr>
              <w:keepLines/>
              <w:spacing w:after="0"/>
              <w:jc w:val="center"/>
            </w:pPr>
            <w:r w:rsidRPr="00536CFD">
              <w:rPr>
                <w:lang w:val="zh-CN"/>
              </w:rPr>
              <w:t>0.173</w:t>
            </w:r>
          </w:p>
        </w:tc>
        <w:tc>
          <w:tcPr>
            <w:tcW w:w="820" w:type="dxa"/>
            <w:tcBorders>
              <w:top w:val="single" w:sz="4" w:space="0" w:color="auto"/>
              <w:left w:val="nil"/>
              <w:bottom w:val="single" w:sz="4" w:space="0" w:color="auto"/>
              <w:right w:val="single" w:sz="4" w:space="0" w:color="auto"/>
            </w:tcBorders>
            <w:shd w:val="clear" w:color="auto" w:fill="auto"/>
          </w:tcPr>
          <w:p w14:paraId="44E489D0" w14:textId="77777777" w:rsidR="009D4A93" w:rsidRPr="00536CFD" w:rsidRDefault="009D4A93" w:rsidP="009D4A93">
            <w:pPr>
              <w:keepLines/>
              <w:spacing w:after="0"/>
              <w:jc w:val="center"/>
            </w:pPr>
            <w:r w:rsidRPr="00536CFD">
              <w:rPr>
                <w:lang w:val="zh-CN"/>
              </w:rPr>
              <w:t>0.086</w:t>
            </w:r>
          </w:p>
        </w:tc>
        <w:tc>
          <w:tcPr>
            <w:tcW w:w="800" w:type="dxa"/>
            <w:tcBorders>
              <w:top w:val="single" w:sz="4" w:space="0" w:color="auto"/>
              <w:left w:val="nil"/>
              <w:bottom w:val="single" w:sz="4" w:space="0" w:color="auto"/>
              <w:right w:val="single" w:sz="4" w:space="0" w:color="auto"/>
            </w:tcBorders>
            <w:shd w:val="clear" w:color="auto" w:fill="auto"/>
          </w:tcPr>
          <w:p w14:paraId="0E87C336"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0958AF82"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2A51CD3E" w14:textId="77777777" w:rsidR="009D4A93" w:rsidRPr="00536CFD" w:rsidRDefault="009D4A93" w:rsidP="009D4A93">
            <w:pPr>
              <w:keepLines/>
              <w:spacing w:after="0"/>
              <w:jc w:val="center"/>
            </w:pPr>
            <w:r w:rsidRPr="00536CFD">
              <w:rPr>
                <w:lang w:val="zh-CN"/>
              </w:rPr>
              <w:t>0.306</w:t>
            </w:r>
          </w:p>
        </w:tc>
        <w:tc>
          <w:tcPr>
            <w:tcW w:w="896" w:type="dxa"/>
            <w:tcBorders>
              <w:top w:val="single" w:sz="4" w:space="0" w:color="auto"/>
              <w:left w:val="nil"/>
              <w:bottom w:val="single" w:sz="4" w:space="0" w:color="auto"/>
              <w:right w:val="single" w:sz="4" w:space="0" w:color="auto"/>
            </w:tcBorders>
            <w:shd w:val="clear" w:color="auto" w:fill="auto"/>
          </w:tcPr>
          <w:p w14:paraId="1F3B9426" w14:textId="77777777" w:rsidR="009D4A93" w:rsidRPr="00536CFD" w:rsidRDefault="009D4A93" w:rsidP="009D4A93">
            <w:pPr>
              <w:keepLines/>
              <w:spacing w:after="0"/>
              <w:jc w:val="center"/>
            </w:pPr>
            <w:r w:rsidRPr="00536CFD">
              <w:rPr>
                <w:lang w:val="zh-CN"/>
              </w:rPr>
              <w:t>0.089</w:t>
            </w:r>
          </w:p>
        </w:tc>
        <w:tc>
          <w:tcPr>
            <w:tcW w:w="720" w:type="dxa"/>
            <w:tcBorders>
              <w:top w:val="single" w:sz="4" w:space="0" w:color="auto"/>
              <w:left w:val="nil"/>
              <w:bottom w:val="single" w:sz="4" w:space="0" w:color="auto"/>
              <w:right w:val="single" w:sz="4" w:space="0" w:color="auto"/>
            </w:tcBorders>
            <w:shd w:val="clear" w:color="auto" w:fill="auto"/>
          </w:tcPr>
          <w:p w14:paraId="4BAF3A5D"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1C5EE358" w14:textId="77777777" w:rsidR="009D4A93" w:rsidRPr="00536CFD" w:rsidRDefault="009D4A93" w:rsidP="009D4A93">
            <w:pPr>
              <w:keepLines/>
              <w:spacing w:after="0"/>
              <w:jc w:val="center"/>
            </w:pPr>
            <w:r w:rsidRPr="00536CFD">
              <w:rPr>
                <w:lang w:val="en-US"/>
              </w:rPr>
              <w:t>-</w:t>
            </w:r>
          </w:p>
        </w:tc>
      </w:tr>
      <w:tr w:rsidR="009D4A93" w:rsidRPr="00536CFD" w14:paraId="7D3BE2C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F28B83C"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5830CA9C" w14:textId="77777777" w:rsidR="009D4A93" w:rsidRPr="00536CFD" w:rsidRDefault="009D4A93" w:rsidP="009D4A93">
            <w:pPr>
              <w:pStyle w:val="NormalWeb"/>
              <w:keepLines/>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tcPr>
          <w:p w14:paraId="62D9A367" w14:textId="77777777" w:rsidR="009D4A93" w:rsidRPr="00536CFD" w:rsidRDefault="009D4A93" w:rsidP="009D4A93">
            <w:pPr>
              <w:keepLines/>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525E935D" w14:textId="77777777" w:rsidR="009D4A93" w:rsidRPr="00536CFD" w:rsidRDefault="009D4A93" w:rsidP="009D4A93">
            <w:pPr>
              <w:keepLines/>
              <w:spacing w:after="0"/>
              <w:jc w:val="center"/>
            </w:pPr>
            <w:r w:rsidRPr="00536CFD">
              <w:rPr>
                <w:lang w:val="en-US"/>
              </w:rPr>
              <w:t>0.95</w:t>
            </w:r>
          </w:p>
        </w:tc>
        <w:tc>
          <w:tcPr>
            <w:tcW w:w="720" w:type="dxa"/>
            <w:tcBorders>
              <w:top w:val="single" w:sz="4" w:space="0" w:color="auto"/>
              <w:left w:val="nil"/>
              <w:bottom w:val="single" w:sz="4" w:space="0" w:color="auto"/>
              <w:right w:val="single" w:sz="4" w:space="0" w:color="auto"/>
            </w:tcBorders>
            <w:shd w:val="clear" w:color="auto" w:fill="auto"/>
          </w:tcPr>
          <w:p w14:paraId="114834AC" w14:textId="77777777" w:rsidR="009D4A93" w:rsidRPr="00536CFD" w:rsidRDefault="009D4A93" w:rsidP="009D4A93">
            <w:pPr>
              <w:keepLines/>
              <w:spacing w:after="0"/>
              <w:jc w:val="cente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1A1974D1" w14:textId="77777777" w:rsidR="009D4A93" w:rsidRPr="00536CFD" w:rsidRDefault="009D4A93" w:rsidP="009D4A93">
            <w:pPr>
              <w:keepLines/>
              <w:spacing w:after="0"/>
              <w:jc w:val="cente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5DA33098" w14:textId="77777777" w:rsidR="009D4A93" w:rsidRPr="00536CFD" w:rsidRDefault="009D4A93" w:rsidP="009D4A93">
            <w:pPr>
              <w:keepLines/>
              <w:spacing w:after="0"/>
              <w:jc w:val="center"/>
            </w:pPr>
            <w:r w:rsidRPr="00536CFD">
              <w:rPr>
                <w:lang w:val="en-US"/>
              </w:rPr>
              <w:t>0.</w:t>
            </w:r>
            <w:r w:rsidRPr="00536CFD">
              <w:rPr>
                <w:lang w:val="zh-CN"/>
              </w:rPr>
              <w:t>99</w:t>
            </w:r>
          </w:p>
        </w:tc>
        <w:tc>
          <w:tcPr>
            <w:tcW w:w="820" w:type="dxa"/>
            <w:tcBorders>
              <w:top w:val="single" w:sz="4" w:space="0" w:color="auto"/>
              <w:left w:val="nil"/>
              <w:bottom w:val="single" w:sz="4" w:space="0" w:color="auto"/>
              <w:right w:val="single" w:sz="4" w:space="0" w:color="auto"/>
            </w:tcBorders>
            <w:shd w:val="clear" w:color="auto" w:fill="auto"/>
          </w:tcPr>
          <w:p w14:paraId="588C19AC" w14:textId="77777777" w:rsidR="009D4A93" w:rsidRPr="00536CFD" w:rsidRDefault="009D4A93" w:rsidP="009D4A93">
            <w:pPr>
              <w:keepLines/>
              <w:spacing w:after="0"/>
              <w:jc w:val="center"/>
            </w:pPr>
            <w:r w:rsidRPr="00536CFD">
              <w:rPr>
                <w:lang w:val="en-US"/>
              </w:rPr>
              <w:t>0.96</w:t>
            </w:r>
          </w:p>
        </w:tc>
        <w:tc>
          <w:tcPr>
            <w:tcW w:w="800" w:type="dxa"/>
            <w:tcBorders>
              <w:top w:val="single" w:sz="4" w:space="0" w:color="auto"/>
              <w:left w:val="nil"/>
              <w:bottom w:val="single" w:sz="4" w:space="0" w:color="auto"/>
              <w:right w:val="single" w:sz="4" w:space="0" w:color="auto"/>
            </w:tcBorders>
            <w:shd w:val="clear" w:color="auto" w:fill="auto"/>
          </w:tcPr>
          <w:p w14:paraId="11C1CF40" w14:textId="77777777" w:rsidR="009D4A93" w:rsidRPr="00536CFD" w:rsidRDefault="009D4A93" w:rsidP="009D4A93">
            <w:pPr>
              <w:keepLines/>
              <w:spacing w:after="0"/>
              <w:jc w:val="center"/>
            </w:pPr>
            <w:r w:rsidRPr="00536CFD">
              <w:rPr>
                <w:lang w:val="en-US"/>
              </w:rPr>
              <w:t>0.97</w:t>
            </w:r>
          </w:p>
        </w:tc>
        <w:tc>
          <w:tcPr>
            <w:tcW w:w="720" w:type="dxa"/>
            <w:tcBorders>
              <w:top w:val="single" w:sz="4" w:space="0" w:color="auto"/>
              <w:left w:val="nil"/>
              <w:bottom w:val="single" w:sz="4" w:space="0" w:color="auto"/>
              <w:right w:val="single" w:sz="4" w:space="0" w:color="auto"/>
            </w:tcBorders>
            <w:shd w:val="clear" w:color="auto" w:fill="auto"/>
          </w:tcPr>
          <w:p w14:paraId="53389614" w14:textId="77777777" w:rsidR="009D4A93" w:rsidRPr="00536CFD" w:rsidRDefault="009D4A93" w:rsidP="009D4A93">
            <w:pPr>
              <w:keepLines/>
              <w:spacing w:after="0"/>
              <w:jc w:val="center"/>
            </w:pPr>
            <w:r w:rsidRPr="00536CFD">
              <w:rPr>
                <w:lang w:val="en-US"/>
              </w:rPr>
              <w:t>1.00</w:t>
            </w:r>
          </w:p>
        </w:tc>
        <w:tc>
          <w:tcPr>
            <w:tcW w:w="724" w:type="dxa"/>
            <w:tcBorders>
              <w:top w:val="single" w:sz="4" w:space="0" w:color="auto"/>
              <w:left w:val="nil"/>
              <w:bottom w:val="single" w:sz="4" w:space="0" w:color="auto"/>
              <w:right w:val="single" w:sz="4" w:space="0" w:color="auto"/>
            </w:tcBorders>
            <w:shd w:val="clear" w:color="auto" w:fill="auto"/>
          </w:tcPr>
          <w:p w14:paraId="3CE25036" w14:textId="77777777" w:rsidR="009D4A93" w:rsidRPr="00536CFD" w:rsidRDefault="009D4A93" w:rsidP="009D4A93">
            <w:pPr>
              <w:keepLines/>
              <w:spacing w:after="0"/>
              <w:jc w:val="center"/>
            </w:pPr>
            <w:r w:rsidRPr="00536CFD">
              <w:rPr>
                <w:lang w:val="zh-CN"/>
              </w:rPr>
              <w:t>0.96</w:t>
            </w:r>
          </w:p>
        </w:tc>
        <w:tc>
          <w:tcPr>
            <w:tcW w:w="896" w:type="dxa"/>
            <w:tcBorders>
              <w:top w:val="single" w:sz="4" w:space="0" w:color="auto"/>
              <w:left w:val="nil"/>
              <w:bottom w:val="single" w:sz="4" w:space="0" w:color="auto"/>
              <w:right w:val="single" w:sz="4" w:space="0" w:color="auto"/>
            </w:tcBorders>
            <w:shd w:val="clear" w:color="auto" w:fill="auto"/>
          </w:tcPr>
          <w:p w14:paraId="512C0461" w14:textId="77777777" w:rsidR="009D4A93" w:rsidRPr="00536CFD" w:rsidRDefault="009D4A93" w:rsidP="009D4A93">
            <w:pPr>
              <w:keepLines/>
              <w:spacing w:after="0"/>
              <w:jc w:val="center"/>
            </w:pPr>
            <w:r w:rsidRPr="00536CFD">
              <w:rPr>
                <w:lang w:val="zh-CN"/>
              </w:rPr>
              <w:t>91.821</w:t>
            </w:r>
          </w:p>
        </w:tc>
        <w:tc>
          <w:tcPr>
            <w:tcW w:w="720" w:type="dxa"/>
            <w:tcBorders>
              <w:top w:val="single" w:sz="4" w:space="0" w:color="auto"/>
              <w:left w:val="nil"/>
              <w:bottom w:val="single" w:sz="4" w:space="0" w:color="auto"/>
              <w:right w:val="single" w:sz="4" w:space="0" w:color="auto"/>
            </w:tcBorders>
            <w:shd w:val="clear" w:color="auto" w:fill="auto"/>
          </w:tcPr>
          <w:p w14:paraId="20B0D222" w14:textId="77777777" w:rsidR="009D4A93" w:rsidRPr="00536CFD" w:rsidRDefault="009D4A93" w:rsidP="009D4A93">
            <w:pPr>
              <w:keepLines/>
              <w:spacing w:after="0"/>
              <w:jc w:val="center"/>
            </w:pPr>
            <w:r w:rsidRPr="00536CFD">
              <w:rPr>
                <w:lang w:val="en-US"/>
              </w:rPr>
              <w:t>0.97</w:t>
            </w:r>
          </w:p>
        </w:tc>
        <w:tc>
          <w:tcPr>
            <w:tcW w:w="720" w:type="dxa"/>
            <w:tcBorders>
              <w:top w:val="single" w:sz="4" w:space="0" w:color="auto"/>
              <w:left w:val="nil"/>
              <w:bottom w:val="single" w:sz="4" w:space="0" w:color="auto"/>
              <w:right w:val="single" w:sz="4" w:space="0" w:color="auto"/>
            </w:tcBorders>
            <w:shd w:val="clear" w:color="auto" w:fill="auto"/>
          </w:tcPr>
          <w:p w14:paraId="3A7A3479" w14:textId="77777777" w:rsidR="009D4A93" w:rsidRPr="00536CFD" w:rsidRDefault="009D4A93" w:rsidP="009D4A93">
            <w:pPr>
              <w:keepLines/>
              <w:spacing w:after="0"/>
              <w:jc w:val="center"/>
            </w:pPr>
            <w:r w:rsidRPr="00536CFD">
              <w:rPr>
                <w:lang w:val="en-US"/>
              </w:rPr>
              <w:t>1.00</w:t>
            </w:r>
          </w:p>
        </w:tc>
      </w:tr>
      <w:tr w:rsidR="009D4A93" w:rsidRPr="00536CFD" w14:paraId="57D4185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D78619B"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E456BD3" w14:textId="77777777" w:rsidR="009D4A93" w:rsidRPr="00536CFD" w:rsidRDefault="009D4A93" w:rsidP="009D4A93">
            <w:pPr>
              <w:pStyle w:val="NormalWeb"/>
              <w:keepLines/>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tcPr>
          <w:p w14:paraId="18464284" w14:textId="77777777" w:rsidR="009D4A93" w:rsidRPr="00536CFD" w:rsidRDefault="009D4A93" w:rsidP="009D4A93">
            <w:pPr>
              <w:keepLines/>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5A7272A8" w14:textId="77777777" w:rsidR="009D4A93" w:rsidRPr="00536CFD" w:rsidRDefault="009D4A93" w:rsidP="009D4A93">
            <w:pPr>
              <w:keepLines/>
              <w:spacing w:after="0"/>
              <w:jc w:val="center"/>
            </w:pPr>
            <w:r w:rsidRPr="00536CFD">
              <w:rPr>
                <w:lang w:val="en-US"/>
              </w:rPr>
              <w:t>0.96</w:t>
            </w:r>
          </w:p>
        </w:tc>
        <w:tc>
          <w:tcPr>
            <w:tcW w:w="720" w:type="dxa"/>
            <w:tcBorders>
              <w:top w:val="single" w:sz="4" w:space="0" w:color="auto"/>
              <w:left w:val="nil"/>
              <w:bottom w:val="single" w:sz="4" w:space="0" w:color="auto"/>
              <w:right w:val="single" w:sz="4" w:space="0" w:color="auto"/>
            </w:tcBorders>
            <w:shd w:val="clear" w:color="auto" w:fill="auto"/>
          </w:tcPr>
          <w:p w14:paraId="73A5736A"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2D49A84A" w14:textId="77777777" w:rsidR="009D4A93" w:rsidRPr="00536CFD" w:rsidRDefault="009D4A93" w:rsidP="009D4A93">
            <w:pPr>
              <w:keepLines/>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7DC9DF3E" w14:textId="77777777" w:rsidR="009D4A93" w:rsidRPr="00536CFD" w:rsidRDefault="009D4A93" w:rsidP="009D4A93">
            <w:pPr>
              <w:keepLines/>
              <w:spacing w:after="0"/>
              <w:jc w:val="center"/>
            </w:pPr>
            <w:r w:rsidRPr="00536CFD">
              <w:rPr>
                <w:lang w:val="zh-CN"/>
              </w:rPr>
              <w:t>1.00</w:t>
            </w:r>
          </w:p>
        </w:tc>
        <w:tc>
          <w:tcPr>
            <w:tcW w:w="820" w:type="dxa"/>
            <w:tcBorders>
              <w:top w:val="single" w:sz="4" w:space="0" w:color="auto"/>
              <w:left w:val="nil"/>
              <w:bottom w:val="single" w:sz="4" w:space="0" w:color="auto"/>
              <w:right w:val="single" w:sz="4" w:space="0" w:color="auto"/>
            </w:tcBorders>
            <w:shd w:val="clear" w:color="auto" w:fill="auto"/>
          </w:tcPr>
          <w:p w14:paraId="44864EDA" w14:textId="77777777" w:rsidR="009D4A93" w:rsidRPr="00536CFD" w:rsidRDefault="009D4A93" w:rsidP="009D4A93">
            <w:pPr>
              <w:keepLines/>
              <w:spacing w:after="0"/>
              <w:jc w:val="center"/>
            </w:pPr>
            <w:r w:rsidRPr="00536CFD">
              <w:rPr>
                <w:lang w:val="en-US"/>
              </w:rPr>
              <w:t>0.95</w:t>
            </w:r>
          </w:p>
        </w:tc>
        <w:tc>
          <w:tcPr>
            <w:tcW w:w="800" w:type="dxa"/>
            <w:tcBorders>
              <w:top w:val="single" w:sz="4" w:space="0" w:color="auto"/>
              <w:left w:val="nil"/>
              <w:bottom w:val="single" w:sz="4" w:space="0" w:color="auto"/>
              <w:right w:val="single" w:sz="4" w:space="0" w:color="auto"/>
            </w:tcBorders>
            <w:shd w:val="clear" w:color="auto" w:fill="auto"/>
          </w:tcPr>
          <w:p w14:paraId="6F8BC873"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6095DA03" w14:textId="77777777" w:rsidR="009D4A93" w:rsidRPr="00536CFD" w:rsidRDefault="009D4A93" w:rsidP="009D4A93">
            <w:pPr>
              <w:keepLines/>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6FD99734" w14:textId="77777777" w:rsidR="009D4A93" w:rsidRPr="00536CFD" w:rsidRDefault="009D4A93" w:rsidP="009D4A93">
            <w:pPr>
              <w:keepLines/>
              <w:spacing w:after="0"/>
              <w:jc w:val="center"/>
            </w:pPr>
            <w:r w:rsidRPr="00536CFD">
              <w:rPr>
                <w:lang w:val="zh-CN"/>
              </w:rPr>
              <w:t>1.00</w:t>
            </w:r>
          </w:p>
        </w:tc>
        <w:tc>
          <w:tcPr>
            <w:tcW w:w="896" w:type="dxa"/>
            <w:tcBorders>
              <w:top w:val="single" w:sz="4" w:space="0" w:color="auto"/>
              <w:left w:val="nil"/>
              <w:bottom w:val="single" w:sz="4" w:space="0" w:color="auto"/>
              <w:right w:val="single" w:sz="4" w:space="0" w:color="auto"/>
            </w:tcBorders>
            <w:shd w:val="clear" w:color="auto" w:fill="auto"/>
          </w:tcPr>
          <w:p w14:paraId="098A983C" w14:textId="77777777" w:rsidR="009D4A93" w:rsidRPr="00536CFD" w:rsidRDefault="009D4A93" w:rsidP="009D4A93">
            <w:pPr>
              <w:keepLines/>
              <w:spacing w:after="0"/>
              <w:jc w:val="center"/>
            </w:pPr>
            <w:r w:rsidRPr="00536CFD">
              <w:rPr>
                <w:lang w:val="zh-CN"/>
              </w:rPr>
              <w:t>93.255</w:t>
            </w:r>
          </w:p>
        </w:tc>
        <w:tc>
          <w:tcPr>
            <w:tcW w:w="720" w:type="dxa"/>
            <w:tcBorders>
              <w:top w:val="single" w:sz="4" w:space="0" w:color="auto"/>
              <w:left w:val="nil"/>
              <w:bottom w:val="single" w:sz="4" w:space="0" w:color="auto"/>
              <w:right w:val="single" w:sz="4" w:space="0" w:color="auto"/>
            </w:tcBorders>
            <w:shd w:val="clear" w:color="auto" w:fill="auto"/>
          </w:tcPr>
          <w:p w14:paraId="24FEF078" w14:textId="77777777" w:rsidR="009D4A93" w:rsidRPr="00536CFD" w:rsidRDefault="009D4A93" w:rsidP="009D4A93">
            <w:pPr>
              <w:keepLines/>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635BE7AF" w14:textId="77777777" w:rsidR="009D4A93" w:rsidRPr="00536CFD" w:rsidRDefault="009D4A93" w:rsidP="009D4A93">
            <w:pPr>
              <w:keepLines/>
              <w:spacing w:after="0"/>
              <w:jc w:val="center"/>
            </w:pPr>
          </w:p>
        </w:tc>
      </w:tr>
      <w:tr w:rsidR="009D4A93" w:rsidRPr="00536CFD" w14:paraId="2E7DA0B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EB68D6E"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C5CAE45" w14:textId="77777777" w:rsidR="009D4A93" w:rsidRPr="00536CFD" w:rsidRDefault="009D4A93" w:rsidP="009D4A93">
            <w:pPr>
              <w:pStyle w:val="NormalWeb"/>
              <w:keepLines/>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tcPr>
          <w:p w14:paraId="4A9669E7" w14:textId="77777777" w:rsidR="009D4A93" w:rsidRPr="00536CFD" w:rsidRDefault="009D4A93" w:rsidP="009D4A93">
            <w:pPr>
              <w:keepLines/>
              <w:spacing w:after="0"/>
              <w:jc w:val="center"/>
            </w:pPr>
            <w:r w:rsidRPr="00536CFD">
              <w:rPr>
                <w:lang w:val="zh-CN"/>
              </w:rPr>
              <w:t>23.677</w:t>
            </w:r>
          </w:p>
        </w:tc>
        <w:tc>
          <w:tcPr>
            <w:tcW w:w="720" w:type="dxa"/>
            <w:tcBorders>
              <w:top w:val="single" w:sz="4" w:space="0" w:color="auto"/>
              <w:left w:val="nil"/>
              <w:bottom w:val="single" w:sz="4" w:space="0" w:color="auto"/>
              <w:right w:val="single" w:sz="4" w:space="0" w:color="auto"/>
            </w:tcBorders>
            <w:shd w:val="clear" w:color="auto" w:fill="auto"/>
          </w:tcPr>
          <w:p w14:paraId="07699EC9" w14:textId="77777777" w:rsidR="009D4A93" w:rsidRPr="00536CFD" w:rsidRDefault="009D4A93" w:rsidP="009D4A93">
            <w:pPr>
              <w:keepLines/>
              <w:spacing w:after="0"/>
              <w:jc w:val="center"/>
            </w:pPr>
            <w:r w:rsidRPr="00536CFD">
              <w:rPr>
                <w:lang w:val="zh-CN"/>
              </w:rPr>
              <w:t>36.156</w:t>
            </w:r>
          </w:p>
        </w:tc>
        <w:tc>
          <w:tcPr>
            <w:tcW w:w="720" w:type="dxa"/>
            <w:tcBorders>
              <w:top w:val="single" w:sz="4" w:space="0" w:color="auto"/>
              <w:left w:val="nil"/>
              <w:bottom w:val="single" w:sz="4" w:space="0" w:color="auto"/>
              <w:right w:val="single" w:sz="4" w:space="0" w:color="auto"/>
            </w:tcBorders>
            <w:shd w:val="clear" w:color="auto" w:fill="auto"/>
          </w:tcPr>
          <w:p w14:paraId="79FD2CA7" w14:textId="77777777" w:rsidR="009D4A93" w:rsidRPr="00536CFD" w:rsidRDefault="009D4A93" w:rsidP="009D4A93">
            <w:pPr>
              <w:keepLines/>
              <w:spacing w:after="0"/>
              <w:jc w:val="center"/>
            </w:pPr>
            <w:r w:rsidRPr="00536CFD">
              <w:rPr>
                <w:lang w:val="zh-CN"/>
              </w:rPr>
              <w:t>6.923</w:t>
            </w:r>
          </w:p>
        </w:tc>
        <w:tc>
          <w:tcPr>
            <w:tcW w:w="810" w:type="dxa"/>
            <w:tcBorders>
              <w:top w:val="single" w:sz="4" w:space="0" w:color="auto"/>
              <w:left w:val="nil"/>
              <w:bottom w:val="single" w:sz="4" w:space="0" w:color="auto"/>
              <w:right w:val="single" w:sz="4" w:space="0" w:color="auto"/>
            </w:tcBorders>
            <w:shd w:val="clear" w:color="auto" w:fill="auto"/>
          </w:tcPr>
          <w:p w14:paraId="00A7063F" w14:textId="77777777" w:rsidR="009D4A93" w:rsidRPr="00536CFD" w:rsidRDefault="009D4A93" w:rsidP="009D4A93">
            <w:pPr>
              <w:keepLines/>
              <w:spacing w:after="0"/>
              <w:jc w:val="center"/>
            </w:pPr>
            <w:r w:rsidRPr="00536CFD">
              <w:rPr>
                <w:lang w:val="en-US"/>
              </w:rPr>
              <w:t>3</w:t>
            </w:r>
            <w:r w:rsidRPr="00536CFD">
              <w:rPr>
                <w:lang w:val="zh-CN"/>
              </w:rPr>
              <w:t>.952</w:t>
            </w:r>
          </w:p>
        </w:tc>
        <w:tc>
          <w:tcPr>
            <w:tcW w:w="810" w:type="dxa"/>
            <w:tcBorders>
              <w:top w:val="single" w:sz="4" w:space="0" w:color="auto"/>
              <w:left w:val="nil"/>
              <w:bottom w:val="single" w:sz="4" w:space="0" w:color="auto"/>
              <w:right w:val="single" w:sz="4" w:space="0" w:color="auto"/>
            </w:tcBorders>
            <w:shd w:val="clear" w:color="auto" w:fill="auto"/>
          </w:tcPr>
          <w:p w14:paraId="22A750DE" w14:textId="77777777" w:rsidR="009D4A93" w:rsidRPr="00536CFD" w:rsidRDefault="009D4A93" w:rsidP="009D4A93">
            <w:pPr>
              <w:keepLines/>
              <w:spacing w:after="0"/>
              <w:jc w:val="center"/>
            </w:pPr>
            <w:r w:rsidRPr="00536CFD">
              <w:rPr>
                <w:lang w:val="zh-CN"/>
              </w:rPr>
              <w:t>41.023</w:t>
            </w:r>
          </w:p>
        </w:tc>
        <w:tc>
          <w:tcPr>
            <w:tcW w:w="820" w:type="dxa"/>
            <w:tcBorders>
              <w:top w:val="single" w:sz="4" w:space="0" w:color="auto"/>
              <w:left w:val="nil"/>
              <w:bottom w:val="single" w:sz="4" w:space="0" w:color="auto"/>
              <w:right w:val="single" w:sz="4" w:space="0" w:color="auto"/>
            </w:tcBorders>
            <w:shd w:val="clear" w:color="auto" w:fill="auto"/>
          </w:tcPr>
          <w:p w14:paraId="07D60E0C" w14:textId="77777777" w:rsidR="009D4A93" w:rsidRPr="00536CFD" w:rsidRDefault="009D4A93" w:rsidP="009D4A93">
            <w:pPr>
              <w:keepLines/>
              <w:spacing w:after="0"/>
              <w:jc w:val="center"/>
            </w:pPr>
            <w:r w:rsidRPr="00536CFD">
              <w:rPr>
                <w:lang w:val="zh-CN"/>
              </w:rPr>
              <w:t>39.764</w:t>
            </w:r>
          </w:p>
        </w:tc>
        <w:tc>
          <w:tcPr>
            <w:tcW w:w="800" w:type="dxa"/>
            <w:tcBorders>
              <w:top w:val="single" w:sz="4" w:space="0" w:color="auto"/>
              <w:left w:val="nil"/>
              <w:bottom w:val="single" w:sz="4" w:space="0" w:color="auto"/>
              <w:right w:val="single" w:sz="4" w:space="0" w:color="auto"/>
            </w:tcBorders>
            <w:shd w:val="clear" w:color="auto" w:fill="auto"/>
          </w:tcPr>
          <w:p w14:paraId="39E5A695" w14:textId="77777777" w:rsidR="009D4A93" w:rsidRPr="00536CFD" w:rsidRDefault="009D4A93" w:rsidP="009D4A93">
            <w:pPr>
              <w:keepLines/>
              <w:spacing w:after="0"/>
              <w:jc w:val="center"/>
            </w:pPr>
            <w:r w:rsidRPr="00536CFD">
              <w:rPr>
                <w:lang w:val="zh-CN"/>
              </w:rPr>
              <w:t>26.174</w:t>
            </w:r>
          </w:p>
        </w:tc>
        <w:tc>
          <w:tcPr>
            <w:tcW w:w="720" w:type="dxa"/>
            <w:tcBorders>
              <w:top w:val="single" w:sz="4" w:space="0" w:color="auto"/>
              <w:left w:val="nil"/>
              <w:bottom w:val="single" w:sz="4" w:space="0" w:color="auto"/>
              <w:right w:val="single" w:sz="4" w:space="0" w:color="auto"/>
            </w:tcBorders>
            <w:shd w:val="clear" w:color="auto" w:fill="auto"/>
          </w:tcPr>
          <w:p w14:paraId="3A347783" w14:textId="77777777" w:rsidR="009D4A93" w:rsidRPr="00536CFD" w:rsidRDefault="009D4A93" w:rsidP="009D4A93">
            <w:pPr>
              <w:keepLines/>
              <w:spacing w:after="0"/>
              <w:jc w:val="center"/>
            </w:pPr>
            <w:r w:rsidRPr="00536CFD">
              <w:rPr>
                <w:lang w:val="zh-CN"/>
              </w:rPr>
              <w:t>8.783</w:t>
            </w:r>
          </w:p>
        </w:tc>
        <w:tc>
          <w:tcPr>
            <w:tcW w:w="724" w:type="dxa"/>
            <w:tcBorders>
              <w:top w:val="single" w:sz="4" w:space="0" w:color="auto"/>
              <w:left w:val="nil"/>
              <w:bottom w:val="single" w:sz="4" w:space="0" w:color="auto"/>
              <w:right w:val="single" w:sz="4" w:space="0" w:color="auto"/>
            </w:tcBorders>
            <w:shd w:val="clear" w:color="auto" w:fill="auto"/>
          </w:tcPr>
          <w:p w14:paraId="09D9A26D" w14:textId="77777777" w:rsidR="009D4A93" w:rsidRPr="00536CFD" w:rsidRDefault="009D4A93" w:rsidP="009D4A93">
            <w:pPr>
              <w:keepLines/>
              <w:spacing w:after="0"/>
              <w:jc w:val="center"/>
            </w:pPr>
            <w:r w:rsidRPr="00536CFD">
              <w:rPr>
                <w:lang w:val="zh-CN"/>
              </w:rPr>
              <w:t>59.29</w:t>
            </w:r>
            <w:r w:rsidRPr="00536CFD">
              <w:rPr>
                <w:lang w:val="en-US"/>
              </w:rPr>
              <w:t>5</w:t>
            </w:r>
          </w:p>
        </w:tc>
        <w:tc>
          <w:tcPr>
            <w:tcW w:w="896" w:type="dxa"/>
            <w:tcBorders>
              <w:top w:val="single" w:sz="4" w:space="0" w:color="auto"/>
              <w:left w:val="nil"/>
              <w:bottom w:val="single" w:sz="4" w:space="0" w:color="auto"/>
              <w:right w:val="single" w:sz="4" w:space="0" w:color="auto"/>
            </w:tcBorders>
            <w:shd w:val="clear" w:color="auto" w:fill="auto"/>
          </w:tcPr>
          <w:p w14:paraId="7D38EE29" w14:textId="77777777" w:rsidR="009D4A93" w:rsidRPr="00536CFD" w:rsidRDefault="009D4A93" w:rsidP="009D4A93">
            <w:pPr>
              <w:keepLines/>
              <w:spacing w:after="0"/>
              <w:jc w:val="center"/>
            </w:pPr>
            <w:r w:rsidRPr="00536CFD">
              <w:rPr>
                <w:lang w:val="zh-CN"/>
              </w:rPr>
              <w:t>44.171</w:t>
            </w:r>
          </w:p>
        </w:tc>
        <w:tc>
          <w:tcPr>
            <w:tcW w:w="720" w:type="dxa"/>
            <w:tcBorders>
              <w:top w:val="single" w:sz="4" w:space="0" w:color="auto"/>
              <w:left w:val="nil"/>
              <w:bottom w:val="single" w:sz="4" w:space="0" w:color="auto"/>
              <w:right w:val="single" w:sz="4" w:space="0" w:color="auto"/>
            </w:tcBorders>
            <w:shd w:val="clear" w:color="auto" w:fill="auto"/>
          </w:tcPr>
          <w:p w14:paraId="0C158E70" w14:textId="77777777" w:rsidR="009D4A93" w:rsidRPr="00536CFD" w:rsidRDefault="009D4A93" w:rsidP="009D4A93">
            <w:pPr>
              <w:keepLines/>
              <w:spacing w:after="0"/>
              <w:jc w:val="center"/>
            </w:pPr>
            <w:r w:rsidRPr="00536CFD">
              <w:rPr>
                <w:lang w:val="zh-CN"/>
              </w:rPr>
              <w:t>41.198</w:t>
            </w:r>
          </w:p>
        </w:tc>
        <w:tc>
          <w:tcPr>
            <w:tcW w:w="720" w:type="dxa"/>
            <w:tcBorders>
              <w:top w:val="single" w:sz="4" w:space="0" w:color="auto"/>
              <w:left w:val="nil"/>
              <w:bottom w:val="single" w:sz="4" w:space="0" w:color="auto"/>
              <w:right w:val="single" w:sz="4" w:space="0" w:color="auto"/>
            </w:tcBorders>
            <w:shd w:val="clear" w:color="auto" w:fill="auto"/>
          </w:tcPr>
          <w:p w14:paraId="320615C3" w14:textId="77777777" w:rsidR="009D4A93" w:rsidRPr="00536CFD" w:rsidRDefault="009D4A93" w:rsidP="009D4A93">
            <w:pPr>
              <w:keepLines/>
              <w:spacing w:after="0"/>
              <w:jc w:val="center"/>
            </w:pPr>
            <w:r w:rsidRPr="00536CFD">
              <w:rPr>
                <w:lang w:val="zh-CN"/>
              </w:rPr>
              <w:t>11.427</w:t>
            </w:r>
          </w:p>
        </w:tc>
      </w:tr>
      <w:tr w:rsidR="009D4A93" w:rsidRPr="00536CFD" w14:paraId="3600CCE7"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48BAC9B"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D697028" w14:textId="77777777" w:rsidR="009D4A93" w:rsidRPr="00536CFD" w:rsidRDefault="009D4A93" w:rsidP="009D4A93">
            <w:pPr>
              <w:keepLines/>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71006AB2" w14:textId="77777777" w:rsidR="009D4A93" w:rsidRPr="00536CFD" w:rsidRDefault="009D4A93" w:rsidP="009D4A93">
            <w:pPr>
              <w:keepLines/>
              <w:spacing w:after="0"/>
              <w:jc w:val="center"/>
              <w:rPr>
                <w:lang w:val="en-US"/>
              </w:rPr>
            </w:pPr>
            <w:r w:rsidRPr="00536CFD">
              <w:rPr>
                <w:lang w:val="en-US"/>
              </w:rPr>
              <w:t>DL:1Mbps; UL:1Mbps</w:t>
            </w:r>
          </w:p>
        </w:tc>
        <w:tc>
          <w:tcPr>
            <w:tcW w:w="3150" w:type="dxa"/>
            <w:gridSpan w:val="4"/>
            <w:tcBorders>
              <w:top w:val="single" w:sz="4" w:space="0" w:color="auto"/>
              <w:left w:val="nil"/>
              <w:bottom w:val="single" w:sz="4" w:space="0" w:color="auto"/>
              <w:right w:val="single" w:sz="4" w:space="0" w:color="auto"/>
            </w:tcBorders>
            <w:shd w:val="clear" w:color="auto" w:fill="auto"/>
          </w:tcPr>
          <w:p w14:paraId="380A2966" w14:textId="77777777" w:rsidR="009D4A93" w:rsidRPr="00536CFD" w:rsidRDefault="009D4A93" w:rsidP="009D4A93">
            <w:pPr>
              <w:keepLines/>
              <w:spacing w:after="0"/>
              <w:jc w:val="center"/>
            </w:pPr>
            <w:r w:rsidRPr="00536CFD">
              <w:rPr>
                <w:lang w:val="en-US"/>
              </w:rPr>
              <w:t xml:space="preserve">DL:2Mbps; </w:t>
            </w:r>
          </w:p>
        </w:tc>
        <w:tc>
          <w:tcPr>
            <w:tcW w:w="3060" w:type="dxa"/>
            <w:gridSpan w:val="4"/>
            <w:tcBorders>
              <w:top w:val="single" w:sz="4" w:space="0" w:color="auto"/>
              <w:left w:val="nil"/>
              <w:bottom w:val="single" w:sz="4" w:space="0" w:color="auto"/>
              <w:right w:val="single" w:sz="4" w:space="0" w:color="auto"/>
            </w:tcBorders>
            <w:shd w:val="clear" w:color="auto" w:fill="auto"/>
          </w:tcPr>
          <w:p w14:paraId="78E2F5E8" w14:textId="77777777" w:rsidR="009D4A93" w:rsidRPr="00536CFD" w:rsidRDefault="009D4A93" w:rsidP="009D4A93">
            <w:pPr>
              <w:keepLines/>
              <w:spacing w:after="0"/>
              <w:jc w:val="center"/>
            </w:pPr>
            <w:r w:rsidRPr="00536CFD">
              <w:rPr>
                <w:lang w:val="en-US"/>
              </w:rPr>
              <w:t>DL:2Mbps; UL:2Mbps</w:t>
            </w:r>
          </w:p>
        </w:tc>
      </w:tr>
      <w:tr w:rsidR="009D4A93" w:rsidRPr="00536CFD" w14:paraId="66F4F1F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7C18B10" w14:textId="77777777" w:rsidR="009D4A93" w:rsidRPr="00536CFD" w:rsidRDefault="009D4A93" w:rsidP="009D4A93">
            <w:pPr>
              <w:keepLines/>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700DA27" w14:textId="77777777" w:rsidR="009D4A93" w:rsidRPr="00536CFD" w:rsidRDefault="009D4A93" w:rsidP="009D4A93">
            <w:pPr>
              <w:keepLines/>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36BDCEE1" w14:textId="77777777" w:rsidR="009D4A93" w:rsidRPr="00536CFD" w:rsidRDefault="009D4A93" w:rsidP="009D4A93">
            <w:pPr>
              <w:keepLines/>
              <w:spacing w:after="0" w:line="360" w:lineRule="auto"/>
              <w:contextualSpacing/>
              <w:rPr>
                <w:u w:val="single"/>
                <w:lang w:bidi="ar"/>
              </w:rPr>
            </w:pPr>
            <w:r w:rsidRPr="00536CFD">
              <w:rPr>
                <w:u w:val="single"/>
                <w:lang w:bidi="ar"/>
              </w:rPr>
              <w:t>Additional comments:</w:t>
            </w:r>
          </w:p>
          <w:p w14:paraId="2AB656DF" w14:textId="77777777" w:rsidR="009D4A93" w:rsidRPr="00536CFD" w:rsidRDefault="009D4A93" w:rsidP="009D4A93">
            <w:pPr>
              <w:keepLines/>
              <w:spacing w:after="0"/>
            </w:pPr>
            <w:r w:rsidRPr="00536CFD">
              <w:t>- TxOP assumptions of WiFi and NR-U: 4.096 ms TxOP for both DL/UL WiFi and upto 4ms DL NR-U transmission</w:t>
            </w:r>
          </w:p>
          <w:p w14:paraId="302F6747" w14:textId="77777777" w:rsidR="009D4A93" w:rsidRPr="00536CFD" w:rsidRDefault="009D4A93" w:rsidP="009D4A93">
            <w:pPr>
              <w:keepLines/>
              <w:spacing w:after="0"/>
            </w:pPr>
            <w:r w:rsidRPr="00536CFD">
              <w:t>- Is RTS/CTS enabled for WiFi: No</w:t>
            </w:r>
          </w:p>
          <w:p w14:paraId="2599E676" w14:textId="77777777" w:rsidR="009D4A93" w:rsidRPr="00536CFD" w:rsidRDefault="009D4A93" w:rsidP="009D4A93">
            <w:pPr>
              <w:keepLines/>
              <w:spacing w:after="0"/>
            </w:pPr>
            <w:r w:rsidRPr="00536CFD">
              <w:t>- PD/ED threshold assumptions: For WiFi, -82/62 dBm PD/ED threshold and for NR-U, -72 dBm ED threshold</w:t>
            </w:r>
          </w:p>
          <w:p w14:paraId="1C2B0447" w14:textId="77777777" w:rsidR="009D4A93" w:rsidRPr="00536CFD" w:rsidRDefault="009D4A93" w:rsidP="009D4A93">
            <w:pPr>
              <w:keepLines/>
              <w:spacing w:after="0"/>
            </w:pPr>
            <w:r w:rsidRPr="00536CFD">
              <w:t>- Max modulation order supported in each technology: 256 QAM for both WiFi and NR-U</w:t>
            </w:r>
          </w:p>
          <w:p w14:paraId="394FCF3E" w14:textId="77777777" w:rsidR="009D4A93" w:rsidRPr="00536CFD" w:rsidRDefault="009D4A93" w:rsidP="009D4A93">
            <w:pPr>
              <w:keepLines/>
              <w:spacing w:after="0"/>
            </w:pPr>
            <w:r w:rsidRPr="00536CFD">
              <w:t>- MIMO scheme and number of MIMO layers used for both technologies: 2Tx2Rx antenna configuration and 2 layer for both Wi-Fi and NR-U</w:t>
            </w:r>
          </w:p>
          <w:p w14:paraId="45CE40E2" w14:textId="77777777" w:rsidR="009D4A93" w:rsidRPr="00536CFD" w:rsidRDefault="009D4A93" w:rsidP="009D4A93">
            <w:pPr>
              <w:keepLines/>
              <w:spacing w:after="0"/>
            </w:pPr>
            <w:r w:rsidRPr="00536CFD">
              <w:t>- WiFi MAC layer A-MPDU/A-MSDU aggregation level, MPDU size: 802.11ac</w:t>
            </w:r>
          </w:p>
          <w:p w14:paraId="149C0342" w14:textId="77777777" w:rsidR="009D4A93" w:rsidRPr="00536CFD" w:rsidRDefault="009D4A93" w:rsidP="009D4A93">
            <w:pPr>
              <w:keepLines/>
              <w:spacing w:after="0"/>
            </w:pPr>
            <w:r w:rsidRPr="00536CFD">
              <w:t>- NR-U SCS: 15 kHz</w:t>
            </w:r>
          </w:p>
          <w:p w14:paraId="4035B6B2" w14:textId="038CB78D" w:rsidR="009D4A93" w:rsidRPr="00536CFD" w:rsidRDefault="00200090" w:rsidP="009D4A93">
            <w:pPr>
              <w:keepLines/>
              <w:spacing w:after="0"/>
            </w:pPr>
            <w:r>
              <w:t xml:space="preserve">- WiFi guard interval: 0.8 </w:t>
            </w:r>
            <w:r w:rsidRPr="00C64ECB">
              <w:rPr>
                <w:rFonts w:ascii="Symbol" w:hAnsi="Symbol"/>
              </w:rPr>
              <w:t></w:t>
            </w:r>
            <w:r w:rsidR="009D4A93" w:rsidRPr="00536CFD">
              <w:t>sec</w:t>
            </w:r>
          </w:p>
          <w:p w14:paraId="67AE9B96" w14:textId="77777777" w:rsidR="009D4A93" w:rsidRPr="00536CFD" w:rsidRDefault="009D4A93" w:rsidP="009D4A93">
            <w:pPr>
              <w:keepLines/>
              <w:spacing w:after="0"/>
            </w:pPr>
            <w:r w:rsidRPr="00536CFD">
              <w:t>- NR UE processing time capability (#1 or #2): Processing time capability #1</w:t>
            </w:r>
          </w:p>
          <w:p w14:paraId="3093A9ED" w14:textId="77777777" w:rsidR="009D4A93" w:rsidRPr="00536CFD" w:rsidRDefault="009D4A93" w:rsidP="009D4A93">
            <w:pPr>
              <w:keepLines/>
              <w:spacing w:after="0"/>
            </w:pPr>
            <w:r w:rsidRPr="00536CFD">
              <w:t>- NR PDSCH/PUSCH mapping type, PDCCH monitoring configuration: type A; monitoringSlotPeriodicityAndOffset: 1slot; coreset  duration: 2 symbol; monitoringSymbolswithinSlot: [1 0 0 0 0 0 0 0 0 0 0 0 0 0]</w:t>
            </w:r>
          </w:p>
          <w:p w14:paraId="2BEABA2C" w14:textId="77777777" w:rsidR="009D4A93" w:rsidRPr="00536CFD" w:rsidRDefault="009D4A93" w:rsidP="009D4A93">
            <w:pPr>
              <w:keepLines/>
              <w:spacing w:after="0" w:line="360" w:lineRule="auto"/>
              <w:contextualSpacing/>
              <w:rPr>
                <w:u w:val="single"/>
                <w:lang w:val="en-US" w:bidi="ar"/>
              </w:rPr>
            </w:pPr>
            <w:r w:rsidRPr="00536CFD">
              <w:t>- Cross-carrier scheduling for NR-U</w:t>
            </w:r>
          </w:p>
        </w:tc>
      </w:tr>
      <w:tr w:rsidR="009D4A93" w:rsidRPr="00536CFD" w14:paraId="508C5E0C"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5DF4661A" w14:textId="77777777" w:rsidR="009D4A93" w:rsidRPr="00536CFD" w:rsidRDefault="009D4A93" w:rsidP="00536CFD">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R1-1812431/SOURCE 1</w:t>
            </w:r>
          </w:p>
        </w:tc>
        <w:tc>
          <w:tcPr>
            <w:tcW w:w="535" w:type="dxa"/>
            <w:vMerge w:val="restart"/>
            <w:tcBorders>
              <w:top w:val="nil"/>
              <w:left w:val="nil"/>
              <w:bottom w:val="single" w:sz="4" w:space="0" w:color="auto"/>
              <w:right w:val="single" w:sz="4" w:space="0" w:color="auto"/>
            </w:tcBorders>
            <w:shd w:val="clear" w:color="auto" w:fill="auto"/>
          </w:tcPr>
          <w:p w14:paraId="03FDE291"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3DE99677"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453E1923" w14:textId="77777777" w:rsidR="009D4A93" w:rsidRPr="00536CFD" w:rsidRDefault="009D4A93" w:rsidP="00536CFD">
            <w:pPr>
              <w:pageBreakBefore/>
              <w:spacing w:after="0"/>
              <w:jc w:val="center"/>
            </w:pPr>
            <w:r w:rsidRPr="00536CFD">
              <w:rPr>
                <w:lang w:val="zh-CN"/>
              </w:rPr>
              <w:t>40.958</w:t>
            </w:r>
          </w:p>
        </w:tc>
        <w:tc>
          <w:tcPr>
            <w:tcW w:w="720" w:type="dxa"/>
            <w:tcBorders>
              <w:top w:val="single" w:sz="4" w:space="0" w:color="auto"/>
              <w:left w:val="nil"/>
              <w:bottom w:val="single" w:sz="4" w:space="0" w:color="auto"/>
              <w:right w:val="single" w:sz="4" w:space="0" w:color="auto"/>
            </w:tcBorders>
            <w:shd w:val="clear" w:color="auto" w:fill="auto"/>
          </w:tcPr>
          <w:p w14:paraId="7A573F9C" w14:textId="77777777" w:rsidR="009D4A93" w:rsidRPr="00536CFD" w:rsidRDefault="009D4A93" w:rsidP="00536CFD">
            <w:pPr>
              <w:pageBreakBefore/>
              <w:spacing w:after="0"/>
              <w:jc w:val="center"/>
            </w:pPr>
            <w:r w:rsidRPr="00536CFD">
              <w:rPr>
                <w:lang w:val="zh-CN"/>
              </w:rPr>
              <w:t>47.276</w:t>
            </w:r>
          </w:p>
        </w:tc>
        <w:tc>
          <w:tcPr>
            <w:tcW w:w="720" w:type="dxa"/>
            <w:tcBorders>
              <w:top w:val="single" w:sz="4" w:space="0" w:color="auto"/>
              <w:left w:val="nil"/>
              <w:bottom w:val="single" w:sz="4" w:space="0" w:color="auto"/>
              <w:right w:val="single" w:sz="4" w:space="0" w:color="auto"/>
            </w:tcBorders>
            <w:shd w:val="clear" w:color="auto" w:fill="auto"/>
          </w:tcPr>
          <w:p w14:paraId="00303318" w14:textId="77777777" w:rsidR="009D4A93" w:rsidRPr="00536CFD" w:rsidRDefault="009D4A93" w:rsidP="00536CFD">
            <w:pPr>
              <w:pageBreakBefore/>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5424D717" w14:textId="77777777" w:rsidR="009D4A93" w:rsidRPr="00536CFD" w:rsidRDefault="009D4A93" w:rsidP="00536CFD">
            <w:pPr>
              <w:pageBreakBefore/>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245C701D" w14:textId="77777777" w:rsidR="009D4A93" w:rsidRPr="00536CFD" w:rsidRDefault="009D4A93" w:rsidP="00536CFD">
            <w:pPr>
              <w:pageBreakBefore/>
              <w:spacing w:after="0"/>
              <w:jc w:val="center"/>
            </w:pPr>
            <w:r w:rsidRPr="00536CFD">
              <w:rPr>
                <w:lang w:val="zh-CN"/>
              </w:rPr>
              <w:t>19.582</w:t>
            </w:r>
          </w:p>
        </w:tc>
        <w:tc>
          <w:tcPr>
            <w:tcW w:w="820" w:type="dxa"/>
            <w:tcBorders>
              <w:top w:val="single" w:sz="4" w:space="0" w:color="auto"/>
              <w:left w:val="nil"/>
              <w:bottom w:val="single" w:sz="4" w:space="0" w:color="auto"/>
              <w:right w:val="single" w:sz="4" w:space="0" w:color="auto"/>
            </w:tcBorders>
            <w:shd w:val="clear" w:color="auto" w:fill="auto"/>
          </w:tcPr>
          <w:p w14:paraId="0945D9D6" w14:textId="77777777" w:rsidR="009D4A93" w:rsidRPr="00536CFD" w:rsidRDefault="009D4A93" w:rsidP="00536CFD">
            <w:pPr>
              <w:pageBreakBefore/>
              <w:spacing w:after="0"/>
              <w:jc w:val="center"/>
            </w:pPr>
            <w:r w:rsidRPr="00536CFD">
              <w:rPr>
                <w:lang w:val="zh-CN"/>
              </w:rPr>
              <w:t>44.392</w:t>
            </w:r>
          </w:p>
        </w:tc>
        <w:tc>
          <w:tcPr>
            <w:tcW w:w="800" w:type="dxa"/>
            <w:tcBorders>
              <w:top w:val="single" w:sz="4" w:space="0" w:color="auto"/>
              <w:left w:val="nil"/>
              <w:bottom w:val="single" w:sz="4" w:space="0" w:color="auto"/>
              <w:right w:val="single" w:sz="4" w:space="0" w:color="auto"/>
            </w:tcBorders>
            <w:shd w:val="clear" w:color="auto" w:fill="auto"/>
          </w:tcPr>
          <w:p w14:paraId="57C29D4A" w14:textId="77777777" w:rsidR="009D4A93" w:rsidRPr="00536CFD" w:rsidRDefault="009D4A93" w:rsidP="00536CFD">
            <w:pPr>
              <w:pageBreakBefore/>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601902B6" w14:textId="77777777" w:rsidR="009D4A93" w:rsidRPr="00536CFD" w:rsidRDefault="009D4A93" w:rsidP="00536CFD">
            <w:pPr>
              <w:pageBreakBefore/>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3A89F05C" w14:textId="77777777" w:rsidR="009D4A93" w:rsidRPr="00536CFD" w:rsidRDefault="009D4A93" w:rsidP="00536CFD">
            <w:pPr>
              <w:pageBreakBefore/>
              <w:spacing w:after="0"/>
              <w:jc w:val="center"/>
            </w:pPr>
            <w:r w:rsidRPr="00536CFD">
              <w:rPr>
                <w:lang w:val="zh-CN"/>
              </w:rPr>
              <w:t>7.768</w:t>
            </w:r>
          </w:p>
        </w:tc>
        <w:tc>
          <w:tcPr>
            <w:tcW w:w="896" w:type="dxa"/>
            <w:tcBorders>
              <w:top w:val="single" w:sz="4" w:space="0" w:color="auto"/>
              <w:left w:val="nil"/>
              <w:bottom w:val="single" w:sz="4" w:space="0" w:color="auto"/>
              <w:right w:val="single" w:sz="4" w:space="0" w:color="auto"/>
            </w:tcBorders>
            <w:shd w:val="clear" w:color="auto" w:fill="auto"/>
          </w:tcPr>
          <w:p w14:paraId="58D6D702" w14:textId="77777777" w:rsidR="009D4A93" w:rsidRPr="00536CFD" w:rsidRDefault="009D4A93" w:rsidP="00536CFD">
            <w:pPr>
              <w:pageBreakBefore/>
              <w:spacing w:after="0"/>
              <w:jc w:val="center"/>
            </w:pPr>
            <w:r w:rsidRPr="00536CFD">
              <w:rPr>
                <w:lang w:val="zh-CN"/>
              </w:rPr>
              <w:t>41.229</w:t>
            </w:r>
          </w:p>
        </w:tc>
        <w:tc>
          <w:tcPr>
            <w:tcW w:w="720" w:type="dxa"/>
            <w:tcBorders>
              <w:top w:val="single" w:sz="4" w:space="0" w:color="auto"/>
              <w:left w:val="nil"/>
              <w:bottom w:val="single" w:sz="4" w:space="0" w:color="auto"/>
              <w:right w:val="single" w:sz="4" w:space="0" w:color="auto"/>
            </w:tcBorders>
            <w:shd w:val="clear" w:color="auto" w:fill="auto"/>
          </w:tcPr>
          <w:p w14:paraId="45033C8C" w14:textId="77777777" w:rsidR="009D4A93" w:rsidRPr="00536CFD" w:rsidRDefault="009D4A93" w:rsidP="00536CFD">
            <w:pPr>
              <w:pageBreakBefore/>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28369204" w14:textId="77777777" w:rsidR="009D4A93" w:rsidRPr="00536CFD" w:rsidRDefault="009D4A93" w:rsidP="00536CFD">
            <w:pPr>
              <w:pageBreakBefore/>
              <w:spacing w:after="0"/>
              <w:jc w:val="center"/>
            </w:pPr>
            <w:r w:rsidRPr="00536CFD">
              <w:rPr>
                <w:lang w:val="en-US"/>
              </w:rPr>
              <w:t>-</w:t>
            </w:r>
          </w:p>
        </w:tc>
      </w:tr>
      <w:tr w:rsidR="009D4A93" w:rsidRPr="00536CFD" w14:paraId="714785E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400CDD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DE5CF5B"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450A18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7450F50E" w14:textId="77777777" w:rsidR="009D4A93" w:rsidRPr="00536CFD" w:rsidRDefault="009D4A93" w:rsidP="009D4A93">
            <w:pPr>
              <w:spacing w:after="0"/>
              <w:jc w:val="center"/>
            </w:pPr>
            <w:r w:rsidRPr="00536CFD">
              <w:rPr>
                <w:lang w:val="zh-CN"/>
              </w:rPr>
              <w:t>51.341</w:t>
            </w:r>
          </w:p>
        </w:tc>
        <w:tc>
          <w:tcPr>
            <w:tcW w:w="720" w:type="dxa"/>
            <w:tcBorders>
              <w:top w:val="single" w:sz="4" w:space="0" w:color="auto"/>
              <w:left w:val="nil"/>
              <w:bottom w:val="single" w:sz="4" w:space="0" w:color="auto"/>
              <w:right w:val="single" w:sz="4" w:space="0" w:color="auto"/>
            </w:tcBorders>
            <w:shd w:val="clear" w:color="auto" w:fill="auto"/>
          </w:tcPr>
          <w:p w14:paraId="60D60B73" w14:textId="77777777" w:rsidR="009D4A93" w:rsidRPr="00536CFD" w:rsidRDefault="009D4A93" w:rsidP="009D4A93">
            <w:pPr>
              <w:spacing w:after="0"/>
              <w:jc w:val="center"/>
            </w:pPr>
            <w:r w:rsidRPr="00536CFD">
              <w:rPr>
                <w:lang w:val="zh-CN"/>
              </w:rPr>
              <w:t>60.190</w:t>
            </w:r>
          </w:p>
        </w:tc>
        <w:tc>
          <w:tcPr>
            <w:tcW w:w="720" w:type="dxa"/>
            <w:tcBorders>
              <w:top w:val="single" w:sz="4" w:space="0" w:color="auto"/>
              <w:left w:val="nil"/>
              <w:bottom w:val="single" w:sz="4" w:space="0" w:color="auto"/>
              <w:right w:val="single" w:sz="4" w:space="0" w:color="auto"/>
            </w:tcBorders>
            <w:shd w:val="clear" w:color="auto" w:fill="auto"/>
          </w:tcPr>
          <w:p w14:paraId="0E82343D"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341ACC7F"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0323F0CB" w14:textId="77777777" w:rsidR="009D4A93" w:rsidRPr="00536CFD" w:rsidRDefault="009D4A93" w:rsidP="009D4A93">
            <w:pPr>
              <w:spacing w:after="0"/>
              <w:jc w:val="center"/>
            </w:pPr>
            <w:r w:rsidRPr="00536CFD">
              <w:rPr>
                <w:lang w:val="zh-CN"/>
              </w:rPr>
              <w:t>32.045</w:t>
            </w:r>
          </w:p>
        </w:tc>
        <w:tc>
          <w:tcPr>
            <w:tcW w:w="820" w:type="dxa"/>
            <w:tcBorders>
              <w:top w:val="single" w:sz="4" w:space="0" w:color="auto"/>
              <w:left w:val="nil"/>
              <w:bottom w:val="single" w:sz="4" w:space="0" w:color="auto"/>
              <w:right w:val="single" w:sz="4" w:space="0" w:color="auto"/>
            </w:tcBorders>
            <w:shd w:val="clear" w:color="auto" w:fill="auto"/>
          </w:tcPr>
          <w:p w14:paraId="14D94842" w14:textId="77777777" w:rsidR="009D4A93" w:rsidRPr="00536CFD" w:rsidRDefault="009D4A93" w:rsidP="009D4A93">
            <w:pPr>
              <w:spacing w:after="0"/>
              <w:jc w:val="center"/>
            </w:pPr>
            <w:r w:rsidRPr="00536CFD">
              <w:rPr>
                <w:lang w:val="zh-CN"/>
              </w:rPr>
              <w:t>51.535</w:t>
            </w:r>
          </w:p>
        </w:tc>
        <w:tc>
          <w:tcPr>
            <w:tcW w:w="800" w:type="dxa"/>
            <w:tcBorders>
              <w:top w:val="single" w:sz="4" w:space="0" w:color="auto"/>
              <w:left w:val="nil"/>
              <w:bottom w:val="single" w:sz="4" w:space="0" w:color="auto"/>
              <w:right w:val="single" w:sz="4" w:space="0" w:color="auto"/>
            </w:tcBorders>
            <w:shd w:val="clear" w:color="auto" w:fill="auto"/>
          </w:tcPr>
          <w:p w14:paraId="6EB5BB68"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4CE374CC" w14:textId="77777777" w:rsidR="009D4A93" w:rsidRPr="00536CFD" w:rsidRDefault="009D4A93" w:rsidP="009D4A93">
            <w:pPr>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4D04A53A" w14:textId="77777777" w:rsidR="009D4A93" w:rsidRPr="00536CFD" w:rsidRDefault="009D4A93" w:rsidP="009D4A93">
            <w:pPr>
              <w:spacing w:after="0"/>
              <w:jc w:val="center"/>
            </w:pPr>
            <w:r w:rsidRPr="00536CFD">
              <w:rPr>
                <w:lang w:val="zh-CN"/>
              </w:rPr>
              <w:t>22.447</w:t>
            </w:r>
          </w:p>
        </w:tc>
        <w:tc>
          <w:tcPr>
            <w:tcW w:w="896" w:type="dxa"/>
            <w:tcBorders>
              <w:top w:val="single" w:sz="4" w:space="0" w:color="auto"/>
              <w:left w:val="nil"/>
              <w:bottom w:val="single" w:sz="4" w:space="0" w:color="auto"/>
              <w:right w:val="single" w:sz="4" w:space="0" w:color="auto"/>
            </w:tcBorders>
            <w:shd w:val="clear" w:color="auto" w:fill="auto"/>
          </w:tcPr>
          <w:p w14:paraId="46438A38" w14:textId="77777777" w:rsidR="009D4A93" w:rsidRPr="00536CFD" w:rsidRDefault="009D4A93" w:rsidP="009D4A93">
            <w:pPr>
              <w:spacing w:after="0"/>
              <w:jc w:val="center"/>
            </w:pPr>
            <w:r w:rsidRPr="00536CFD">
              <w:rPr>
                <w:lang w:val="zh-CN"/>
              </w:rPr>
              <w:t>48.156</w:t>
            </w:r>
          </w:p>
        </w:tc>
        <w:tc>
          <w:tcPr>
            <w:tcW w:w="720" w:type="dxa"/>
            <w:tcBorders>
              <w:top w:val="single" w:sz="4" w:space="0" w:color="auto"/>
              <w:left w:val="nil"/>
              <w:bottom w:val="single" w:sz="4" w:space="0" w:color="auto"/>
              <w:right w:val="single" w:sz="4" w:space="0" w:color="auto"/>
            </w:tcBorders>
            <w:shd w:val="clear" w:color="auto" w:fill="auto"/>
          </w:tcPr>
          <w:p w14:paraId="281A729E"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19ABDCEF" w14:textId="77777777" w:rsidR="009D4A93" w:rsidRPr="00536CFD" w:rsidRDefault="009D4A93" w:rsidP="009D4A93">
            <w:pPr>
              <w:spacing w:after="0"/>
              <w:jc w:val="center"/>
            </w:pPr>
            <w:r w:rsidRPr="00536CFD">
              <w:rPr>
                <w:lang w:val="en-US"/>
              </w:rPr>
              <w:t>-</w:t>
            </w:r>
          </w:p>
        </w:tc>
      </w:tr>
      <w:tr w:rsidR="009D4A93" w:rsidRPr="00536CFD" w14:paraId="31C309B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FE7E66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E7EB2F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DA58F3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1375169E" w14:textId="77777777" w:rsidR="009D4A93" w:rsidRPr="00536CFD" w:rsidRDefault="009D4A93" w:rsidP="009D4A93">
            <w:pPr>
              <w:spacing w:after="0"/>
              <w:jc w:val="center"/>
            </w:pPr>
            <w:r w:rsidRPr="00536CFD">
              <w:rPr>
                <w:lang w:val="zh-CN"/>
              </w:rPr>
              <w:t>61.063</w:t>
            </w:r>
          </w:p>
        </w:tc>
        <w:tc>
          <w:tcPr>
            <w:tcW w:w="720" w:type="dxa"/>
            <w:tcBorders>
              <w:top w:val="single" w:sz="4" w:space="0" w:color="auto"/>
              <w:left w:val="nil"/>
              <w:bottom w:val="single" w:sz="4" w:space="0" w:color="auto"/>
              <w:right w:val="single" w:sz="4" w:space="0" w:color="auto"/>
            </w:tcBorders>
            <w:shd w:val="clear" w:color="auto" w:fill="auto"/>
          </w:tcPr>
          <w:p w14:paraId="0DF15DC1" w14:textId="77777777" w:rsidR="009D4A93" w:rsidRPr="00536CFD" w:rsidRDefault="009D4A93" w:rsidP="009D4A93">
            <w:pPr>
              <w:spacing w:after="0"/>
              <w:jc w:val="center"/>
            </w:pPr>
            <w:r w:rsidRPr="00536CFD">
              <w:rPr>
                <w:lang w:val="zh-CN"/>
              </w:rPr>
              <w:t>64.231</w:t>
            </w:r>
          </w:p>
        </w:tc>
        <w:tc>
          <w:tcPr>
            <w:tcW w:w="720" w:type="dxa"/>
            <w:tcBorders>
              <w:top w:val="single" w:sz="4" w:space="0" w:color="auto"/>
              <w:left w:val="nil"/>
              <w:bottom w:val="single" w:sz="4" w:space="0" w:color="auto"/>
              <w:right w:val="single" w:sz="4" w:space="0" w:color="auto"/>
            </w:tcBorders>
            <w:shd w:val="clear" w:color="auto" w:fill="auto"/>
          </w:tcPr>
          <w:p w14:paraId="7FA66AFC"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2E633664"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2F2A6316" w14:textId="77777777" w:rsidR="009D4A93" w:rsidRPr="00536CFD" w:rsidRDefault="009D4A93" w:rsidP="009D4A93">
            <w:pPr>
              <w:spacing w:after="0"/>
              <w:jc w:val="center"/>
            </w:pPr>
            <w:r w:rsidRPr="00536CFD">
              <w:rPr>
                <w:lang w:val="zh-CN"/>
              </w:rPr>
              <w:t>40.058</w:t>
            </w:r>
          </w:p>
        </w:tc>
        <w:tc>
          <w:tcPr>
            <w:tcW w:w="820" w:type="dxa"/>
            <w:tcBorders>
              <w:top w:val="single" w:sz="4" w:space="0" w:color="auto"/>
              <w:left w:val="nil"/>
              <w:bottom w:val="single" w:sz="4" w:space="0" w:color="auto"/>
              <w:right w:val="single" w:sz="4" w:space="0" w:color="auto"/>
            </w:tcBorders>
            <w:shd w:val="clear" w:color="auto" w:fill="auto"/>
          </w:tcPr>
          <w:p w14:paraId="082804C8" w14:textId="77777777" w:rsidR="009D4A93" w:rsidRPr="00536CFD" w:rsidRDefault="009D4A93" w:rsidP="009D4A93">
            <w:pPr>
              <w:spacing w:after="0"/>
              <w:jc w:val="center"/>
            </w:pPr>
            <w:r w:rsidRPr="00536CFD">
              <w:rPr>
                <w:lang w:val="zh-CN"/>
              </w:rPr>
              <w:t>57.314</w:t>
            </w:r>
          </w:p>
        </w:tc>
        <w:tc>
          <w:tcPr>
            <w:tcW w:w="800" w:type="dxa"/>
            <w:tcBorders>
              <w:top w:val="single" w:sz="4" w:space="0" w:color="auto"/>
              <w:left w:val="nil"/>
              <w:bottom w:val="single" w:sz="4" w:space="0" w:color="auto"/>
              <w:right w:val="single" w:sz="4" w:space="0" w:color="auto"/>
            </w:tcBorders>
            <w:shd w:val="clear" w:color="auto" w:fill="auto"/>
          </w:tcPr>
          <w:p w14:paraId="024C3292"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403CAA36" w14:textId="77777777" w:rsidR="009D4A93" w:rsidRPr="00536CFD" w:rsidRDefault="009D4A93" w:rsidP="009D4A93">
            <w:pPr>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725AA2AC" w14:textId="77777777" w:rsidR="009D4A93" w:rsidRPr="00536CFD" w:rsidRDefault="009D4A93" w:rsidP="009D4A93">
            <w:pPr>
              <w:spacing w:after="0"/>
              <w:jc w:val="center"/>
            </w:pPr>
            <w:r w:rsidRPr="00536CFD">
              <w:rPr>
                <w:lang w:val="zh-CN"/>
              </w:rPr>
              <w:t>28.934</w:t>
            </w:r>
          </w:p>
        </w:tc>
        <w:tc>
          <w:tcPr>
            <w:tcW w:w="896" w:type="dxa"/>
            <w:tcBorders>
              <w:top w:val="single" w:sz="4" w:space="0" w:color="auto"/>
              <w:left w:val="nil"/>
              <w:bottom w:val="single" w:sz="4" w:space="0" w:color="auto"/>
              <w:right w:val="single" w:sz="4" w:space="0" w:color="auto"/>
            </w:tcBorders>
            <w:shd w:val="clear" w:color="auto" w:fill="auto"/>
          </w:tcPr>
          <w:p w14:paraId="1A1F9526" w14:textId="77777777" w:rsidR="009D4A93" w:rsidRPr="00536CFD" w:rsidRDefault="009D4A93" w:rsidP="009D4A93">
            <w:pPr>
              <w:spacing w:after="0"/>
              <w:jc w:val="center"/>
            </w:pPr>
            <w:r w:rsidRPr="00536CFD">
              <w:rPr>
                <w:lang w:val="zh-CN"/>
              </w:rPr>
              <w:t>50.807</w:t>
            </w:r>
          </w:p>
        </w:tc>
        <w:tc>
          <w:tcPr>
            <w:tcW w:w="720" w:type="dxa"/>
            <w:tcBorders>
              <w:top w:val="single" w:sz="4" w:space="0" w:color="auto"/>
              <w:left w:val="nil"/>
              <w:bottom w:val="single" w:sz="4" w:space="0" w:color="auto"/>
              <w:right w:val="single" w:sz="4" w:space="0" w:color="auto"/>
            </w:tcBorders>
            <w:shd w:val="clear" w:color="auto" w:fill="auto"/>
          </w:tcPr>
          <w:p w14:paraId="48A9A59A"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2F42D3C5" w14:textId="77777777" w:rsidR="009D4A93" w:rsidRPr="00536CFD" w:rsidRDefault="009D4A93" w:rsidP="009D4A93">
            <w:pPr>
              <w:spacing w:after="0"/>
              <w:jc w:val="center"/>
            </w:pPr>
            <w:r w:rsidRPr="00536CFD">
              <w:rPr>
                <w:lang w:val="en-US"/>
              </w:rPr>
              <w:t>-</w:t>
            </w:r>
          </w:p>
        </w:tc>
      </w:tr>
      <w:tr w:rsidR="009D4A93" w:rsidRPr="00536CFD" w14:paraId="781C8A4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2580FC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7618FB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4D3648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1CC565D8" w14:textId="77777777" w:rsidR="009D4A93" w:rsidRPr="00536CFD" w:rsidRDefault="009D4A93" w:rsidP="009D4A93">
            <w:pPr>
              <w:spacing w:after="0"/>
              <w:jc w:val="center"/>
            </w:pPr>
            <w:r w:rsidRPr="00536CFD">
              <w:rPr>
                <w:lang w:val="zh-CN"/>
              </w:rPr>
              <w:t>51.903</w:t>
            </w:r>
          </w:p>
        </w:tc>
        <w:tc>
          <w:tcPr>
            <w:tcW w:w="720" w:type="dxa"/>
            <w:tcBorders>
              <w:top w:val="single" w:sz="4" w:space="0" w:color="auto"/>
              <w:left w:val="nil"/>
              <w:bottom w:val="single" w:sz="4" w:space="0" w:color="auto"/>
              <w:right w:val="single" w:sz="4" w:space="0" w:color="auto"/>
            </w:tcBorders>
            <w:shd w:val="clear" w:color="auto" w:fill="auto"/>
          </w:tcPr>
          <w:p w14:paraId="5BE0C32B" w14:textId="77777777" w:rsidR="009D4A93" w:rsidRPr="00536CFD" w:rsidRDefault="009D4A93" w:rsidP="009D4A93">
            <w:pPr>
              <w:spacing w:after="0"/>
              <w:jc w:val="center"/>
            </w:pPr>
            <w:r w:rsidRPr="00536CFD">
              <w:rPr>
                <w:lang w:val="zh-CN"/>
              </w:rPr>
              <w:t>59.268</w:t>
            </w:r>
          </w:p>
        </w:tc>
        <w:tc>
          <w:tcPr>
            <w:tcW w:w="720" w:type="dxa"/>
            <w:tcBorders>
              <w:top w:val="single" w:sz="4" w:space="0" w:color="auto"/>
              <w:left w:val="nil"/>
              <w:bottom w:val="single" w:sz="4" w:space="0" w:color="auto"/>
              <w:right w:val="single" w:sz="4" w:space="0" w:color="auto"/>
            </w:tcBorders>
            <w:shd w:val="clear" w:color="auto" w:fill="auto"/>
          </w:tcPr>
          <w:p w14:paraId="58AC2F32"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609B848D"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49390AEF" w14:textId="77777777" w:rsidR="009D4A93" w:rsidRPr="00536CFD" w:rsidRDefault="009D4A93" w:rsidP="009D4A93">
            <w:pPr>
              <w:spacing w:after="0"/>
              <w:jc w:val="center"/>
            </w:pPr>
            <w:r w:rsidRPr="00536CFD">
              <w:rPr>
                <w:lang w:val="zh-CN"/>
              </w:rPr>
              <w:t>32.107</w:t>
            </w:r>
          </w:p>
        </w:tc>
        <w:tc>
          <w:tcPr>
            <w:tcW w:w="820" w:type="dxa"/>
            <w:tcBorders>
              <w:top w:val="single" w:sz="4" w:space="0" w:color="auto"/>
              <w:left w:val="nil"/>
              <w:bottom w:val="single" w:sz="4" w:space="0" w:color="auto"/>
              <w:right w:val="single" w:sz="4" w:space="0" w:color="auto"/>
            </w:tcBorders>
            <w:shd w:val="clear" w:color="auto" w:fill="auto"/>
          </w:tcPr>
          <w:p w14:paraId="2C655A60" w14:textId="77777777" w:rsidR="009D4A93" w:rsidRPr="00536CFD" w:rsidRDefault="009D4A93" w:rsidP="009D4A93">
            <w:pPr>
              <w:spacing w:after="0"/>
              <w:jc w:val="center"/>
            </w:pPr>
            <w:r w:rsidRPr="00536CFD">
              <w:rPr>
                <w:lang w:val="zh-CN"/>
              </w:rPr>
              <w:t>51.647</w:t>
            </w:r>
          </w:p>
        </w:tc>
        <w:tc>
          <w:tcPr>
            <w:tcW w:w="800" w:type="dxa"/>
            <w:tcBorders>
              <w:top w:val="single" w:sz="4" w:space="0" w:color="auto"/>
              <w:left w:val="nil"/>
              <w:bottom w:val="single" w:sz="4" w:space="0" w:color="auto"/>
              <w:right w:val="single" w:sz="4" w:space="0" w:color="auto"/>
            </w:tcBorders>
            <w:shd w:val="clear" w:color="auto" w:fill="auto"/>
          </w:tcPr>
          <w:p w14:paraId="4748EFC3"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5422F257" w14:textId="77777777" w:rsidR="009D4A93" w:rsidRPr="00536CFD" w:rsidRDefault="009D4A93" w:rsidP="009D4A93">
            <w:pPr>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5BB7E006" w14:textId="77777777" w:rsidR="009D4A93" w:rsidRPr="00536CFD" w:rsidRDefault="009D4A93" w:rsidP="009D4A93">
            <w:pPr>
              <w:spacing w:after="0"/>
              <w:jc w:val="center"/>
            </w:pPr>
            <w:r w:rsidRPr="00536CFD">
              <w:rPr>
                <w:lang w:val="zh-CN"/>
              </w:rPr>
              <w:t>21.242</w:t>
            </w:r>
          </w:p>
        </w:tc>
        <w:tc>
          <w:tcPr>
            <w:tcW w:w="896" w:type="dxa"/>
            <w:tcBorders>
              <w:top w:val="single" w:sz="4" w:space="0" w:color="auto"/>
              <w:left w:val="nil"/>
              <w:bottom w:val="single" w:sz="4" w:space="0" w:color="auto"/>
              <w:right w:val="single" w:sz="4" w:space="0" w:color="auto"/>
            </w:tcBorders>
            <w:shd w:val="clear" w:color="auto" w:fill="auto"/>
          </w:tcPr>
          <w:p w14:paraId="381A4004" w14:textId="77777777" w:rsidR="009D4A93" w:rsidRPr="00536CFD" w:rsidRDefault="009D4A93" w:rsidP="009D4A93">
            <w:pPr>
              <w:spacing w:after="0"/>
              <w:jc w:val="center"/>
            </w:pPr>
            <w:r w:rsidRPr="00536CFD">
              <w:rPr>
                <w:lang w:val="zh-CN"/>
              </w:rPr>
              <w:t>47.494</w:t>
            </w:r>
          </w:p>
        </w:tc>
        <w:tc>
          <w:tcPr>
            <w:tcW w:w="720" w:type="dxa"/>
            <w:tcBorders>
              <w:top w:val="single" w:sz="4" w:space="0" w:color="auto"/>
              <w:left w:val="nil"/>
              <w:bottom w:val="single" w:sz="4" w:space="0" w:color="auto"/>
              <w:right w:val="single" w:sz="4" w:space="0" w:color="auto"/>
            </w:tcBorders>
            <w:shd w:val="clear" w:color="auto" w:fill="auto"/>
          </w:tcPr>
          <w:p w14:paraId="62169A44"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1829011E" w14:textId="77777777" w:rsidR="009D4A93" w:rsidRPr="00536CFD" w:rsidRDefault="009D4A93" w:rsidP="009D4A93">
            <w:pPr>
              <w:spacing w:after="0"/>
              <w:jc w:val="center"/>
            </w:pPr>
            <w:r w:rsidRPr="00536CFD">
              <w:rPr>
                <w:lang w:val="en-US"/>
              </w:rPr>
              <w:t>-</w:t>
            </w:r>
          </w:p>
        </w:tc>
      </w:tr>
      <w:tr w:rsidR="009D4A93" w:rsidRPr="00536CFD" w14:paraId="7AF1FD5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9F1B056"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4806DED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4A9F7A8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632B7AA2" w14:textId="77777777" w:rsidR="009D4A93" w:rsidRPr="00536CFD" w:rsidRDefault="009D4A93" w:rsidP="009D4A93">
            <w:pPr>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160C758A" w14:textId="77777777" w:rsidR="009D4A93" w:rsidRPr="00536CFD" w:rsidRDefault="009D4A93" w:rsidP="009D4A93">
            <w:pPr>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7705FD0E"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3BC9FEB1"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4F3CA8D6" w14:textId="77777777" w:rsidR="009D4A93" w:rsidRPr="00536CFD" w:rsidRDefault="009D4A93" w:rsidP="009D4A93">
            <w:pPr>
              <w:spacing w:after="0"/>
              <w:jc w:val="center"/>
            </w:pPr>
            <w:r w:rsidRPr="00536CFD">
              <w:rPr>
                <w:lang w:val="zh-CN"/>
              </w:rPr>
              <w:t>0.061</w:t>
            </w:r>
          </w:p>
        </w:tc>
        <w:tc>
          <w:tcPr>
            <w:tcW w:w="820" w:type="dxa"/>
            <w:tcBorders>
              <w:top w:val="single" w:sz="4" w:space="0" w:color="auto"/>
              <w:left w:val="nil"/>
              <w:bottom w:val="single" w:sz="4" w:space="0" w:color="auto"/>
              <w:right w:val="single" w:sz="4" w:space="0" w:color="auto"/>
            </w:tcBorders>
            <w:shd w:val="clear" w:color="auto" w:fill="auto"/>
          </w:tcPr>
          <w:p w14:paraId="65260018" w14:textId="77777777" w:rsidR="009D4A93" w:rsidRPr="00536CFD" w:rsidRDefault="009D4A93" w:rsidP="009D4A93">
            <w:pPr>
              <w:spacing w:after="0"/>
              <w:jc w:val="center"/>
            </w:pPr>
            <w:r w:rsidRPr="00536CFD">
              <w:rPr>
                <w:lang w:val="zh-CN"/>
              </w:rPr>
              <w:t>0.060</w:t>
            </w:r>
          </w:p>
        </w:tc>
        <w:tc>
          <w:tcPr>
            <w:tcW w:w="800" w:type="dxa"/>
            <w:tcBorders>
              <w:top w:val="single" w:sz="4" w:space="0" w:color="auto"/>
              <w:left w:val="nil"/>
              <w:bottom w:val="single" w:sz="4" w:space="0" w:color="auto"/>
              <w:right w:val="single" w:sz="4" w:space="0" w:color="auto"/>
            </w:tcBorders>
            <w:shd w:val="clear" w:color="auto" w:fill="auto"/>
          </w:tcPr>
          <w:p w14:paraId="7DDE7733"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5A8FE19A" w14:textId="77777777" w:rsidR="009D4A93" w:rsidRPr="00536CFD" w:rsidRDefault="009D4A93" w:rsidP="009D4A93">
            <w:pPr>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5CCEB75F" w14:textId="77777777" w:rsidR="009D4A93" w:rsidRPr="00536CFD" w:rsidRDefault="009D4A93" w:rsidP="009D4A93">
            <w:pPr>
              <w:spacing w:after="0"/>
              <w:jc w:val="center"/>
            </w:pPr>
            <w:r w:rsidRPr="00536CFD">
              <w:rPr>
                <w:lang w:val="zh-CN"/>
              </w:rPr>
              <w:t>0.073</w:t>
            </w:r>
          </w:p>
        </w:tc>
        <w:tc>
          <w:tcPr>
            <w:tcW w:w="896" w:type="dxa"/>
            <w:tcBorders>
              <w:top w:val="single" w:sz="4" w:space="0" w:color="auto"/>
              <w:left w:val="nil"/>
              <w:bottom w:val="single" w:sz="4" w:space="0" w:color="auto"/>
              <w:right w:val="single" w:sz="4" w:space="0" w:color="auto"/>
            </w:tcBorders>
            <w:shd w:val="clear" w:color="auto" w:fill="auto"/>
          </w:tcPr>
          <w:p w14:paraId="015D9CF8" w14:textId="77777777" w:rsidR="009D4A93" w:rsidRPr="00536CFD" w:rsidRDefault="009D4A93" w:rsidP="009D4A93">
            <w:pPr>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7F5B8751"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75633B97" w14:textId="77777777" w:rsidR="009D4A93" w:rsidRPr="00536CFD" w:rsidRDefault="009D4A93" w:rsidP="009D4A93">
            <w:pPr>
              <w:spacing w:after="0"/>
              <w:jc w:val="center"/>
            </w:pPr>
            <w:r w:rsidRPr="00536CFD">
              <w:rPr>
                <w:lang w:val="en-US"/>
              </w:rPr>
              <w:t>-</w:t>
            </w:r>
          </w:p>
        </w:tc>
      </w:tr>
      <w:tr w:rsidR="009D4A93" w:rsidRPr="00536CFD" w14:paraId="5575C49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0904187"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92EB2E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F933AF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4E49DBCA" w14:textId="77777777" w:rsidR="009D4A93" w:rsidRPr="00536CFD" w:rsidRDefault="009D4A93" w:rsidP="009D4A93">
            <w:pPr>
              <w:spacing w:after="0"/>
              <w:jc w:val="center"/>
            </w:pPr>
            <w:r w:rsidRPr="00536CFD">
              <w:rPr>
                <w:lang w:val="zh-CN"/>
              </w:rPr>
              <w:t>0.066</w:t>
            </w:r>
          </w:p>
        </w:tc>
        <w:tc>
          <w:tcPr>
            <w:tcW w:w="720" w:type="dxa"/>
            <w:tcBorders>
              <w:top w:val="single" w:sz="4" w:space="0" w:color="auto"/>
              <w:left w:val="nil"/>
              <w:bottom w:val="single" w:sz="4" w:space="0" w:color="auto"/>
              <w:right w:val="single" w:sz="4" w:space="0" w:color="auto"/>
            </w:tcBorders>
            <w:shd w:val="clear" w:color="auto" w:fill="auto"/>
          </w:tcPr>
          <w:p w14:paraId="0281A7EF" w14:textId="77777777" w:rsidR="009D4A93" w:rsidRPr="00536CFD" w:rsidRDefault="009D4A93" w:rsidP="009D4A93">
            <w:pPr>
              <w:spacing w:after="0"/>
              <w:jc w:val="center"/>
            </w:pPr>
            <w:r w:rsidRPr="00536CFD">
              <w:rPr>
                <w:lang w:val="zh-CN"/>
              </w:rPr>
              <w:t>0.062</w:t>
            </w:r>
          </w:p>
        </w:tc>
        <w:tc>
          <w:tcPr>
            <w:tcW w:w="720" w:type="dxa"/>
            <w:tcBorders>
              <w:top w:val="single" w:sz="4" w:space="0" w:color="auto"/>
              <w:left w:val="nil"/>
              <w:bottom w:val="single" w:sz="4" w:space="0" w:color="auto"/>
              <w:right w:val="single" w:sz="4" w:space="0" w:color="auto"/>
            </w:tcBorders>
            <w:shd w:val="clear" w:color="auto" w:fill="auto"/>
          </w:tcPr>
          <w:p w14:paraId="43141D3E"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75B2ADD0"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62C2F0AF" w14:textId="77777777" w:rsidR="009D4A93" w:rsidRPr="00536CFD" w:rsidRDefault="009D4A93" w:rsidP="009D4A93">
            <w:pPr>
              <w:spacing w:after="0"/>
              <w:jc w:val="center"/>
            </w:pPr>
            <w:r w:rsidRPr="00536CFD">
              <w:rPr>
                <w:lang w:val="zh-CN"/>
              </w:rPr>
              <w:t>0.142</w:t>
            </w:r>
          </w:p>
        </w:tc>
        <w:tc>
          <w:tcPr>
            <w:tcW w:w="820" w:type="dxa"/>
            <w:tcBorders>
              <w:top w:val="single" w:sz="4" w:space="0" w:color="auto"/>
              <w:left w:val="nil"/>
              <w:bottom w:val="single" w:sz="4" w:space="0" w:color="auto"/>
              <w:right w:val="single" w:sz="4" w:space="0" w:color="auto"/>
            </w:tcBorders>
            <w:shd w:val="clear" w:color="auto" w:fill="auto"/>
          </w:tcPr>
          <w:p w14:paraId="6B98479B" w14:textId="77777777" w:rsidR="009D4A93" w:rsidRPr="00536CFD" w:rsidRDefault="009D4A93" w:rsidP="009D4A93">
            <w:pPr>
              <w:spacing w:after="0"/>
              <w:jc w:val="center"/>
            </w:pPr>
            <w:r w:rsidRPr="00536CFD">
              <w:rPr>
                <w:lang w:val="zh-CN"/>
              </w:rPr>
              <w:t>0.066</w:t>
            </w:r>
          </w:p>
        </w:tc>
        <w:tc>
          <w:tcPr>
            <w:tcW w:w="800" w:type="dxa"/>
            <w:tcBorders>
              <w:top w:val="single" w:sz="4" w:space="0" w:color="auto"/>
              <w:left w:val="nil"/>
              <w:bottom w:val="single" w:sz="4" w:space="0" w:color="auto"/>
              <w:right w:val="single" w:sz="4" w:space="0" w:color="auto"/>
            </w:tcBorders>
            <w:shd w:val="clear" w:color="auto" w:fill="auto"/>
          </w:tcPr>
          <w:p w14:paraId="4C0003F0"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37A3E721" w14:textId="77777777" w:rsidR="009D4A93" w:rsidRPr="00536CFD" w:rsidRDefault="009D4A93" w:rsidP="009D4A93">
            <w:pPr>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25E6A7C5" w14:textId="77777777" w:rsidR="009D4A93" w:rsidRPr="00536CFD" w:rsidRDefault="009D4A93" w:rsidP="009D4A93">
            <w:pPr>
              <w:spacing w:after="0"/>
              <w:jc w:val="center"/>
            </w:pPr>
            <w:r w:rsidRPr="00536CFD">
              <w:rPr>
                <w:lang w:val="zh-CN"/>
              </w:rPr>
              <w:t>0.297</w:t>
            </w:r>
          </w:p>
        </w:tc>
        <w:tc>
          <w:tcPr>
            <w:tcW w:w="896" w:type="dxa"/>
            <w:tcBorders>
              <w:top w:val="single" w:sz="4" w:space="0" w:color="auto"/>
              <w:left w:val="nil"/>
              <w:bottom w:val="single" w:sz="4" w:space="0" w:color="auto"/>
              <w:right w:val="single" w:sz="4" w:space="0" w:color="auto"/>
            </w:tcBorders>
            <w:shd w:val="clear" w:color="auto" w:fill="auto"/>
          </w:tcPr>
          <w:p w14:paraId="1CBEEEAF" w14:textId="77777777" w:rsidR="009D4A93" w:rsidRPr="00536CFD" w:rsidRDefault="009D4A93" w:rsidP="009D4A93">
            <w:pPr>
              <w:spacing w:after="0"/>
              <w:jc w:val="center"/>
            </w:pPr>
            <w:r w:rsidRPr="00536CFD">
              <w:rPr>
                <w:lang w:val="zh-CN"/>
              </w:rPr>
              <w:t>0.077</w:t>
            </w:r>
          </w:p>
        </w:tc>
        <w:tc>
          <w:tcPr>
            <w:tcW w:w="720" w:type="dxa"/>
            <w:tcBorders>
              <w:top w:val="single" w:sz="4" w:space="0" w:color="auto"/>
              <w:left w:val="nil"/>
              <w:bottom w:val="single" w:sz="4" w:space="0" w:color="auto"/>
              <w:right w:val="single" w:sz="4" w:space="0" w:color="auto"/>
            </w:tcBorders>
            <w:shd w:val="clear" w:color="auto" w:fill="auto"/>
          </w:tcPr>
          <w:p w14:paraId="63D7794D"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5C5574FC" w14:textId="77777777" w:rsidR="009D4A93" w:rsidRPr="00536CFD" w:rsidRDefault="009D4A93" w:rsidP="009D4A93">
            <w:pPr>
              <w:spacing w:after="0"/>
              <w:jc w:val="center"/>
            </w:pPr>
            <w:r w:rsidRPr="00536CFD">
              <w:rPr>
                <w:lang w:val="en-US"/>
              </w:rPr>
              <w:t>-</w:t>
            </w:r>
          </w:p>
        </w:tc>
      </w:tr>
      <w:tr w:rsidR="009D4A93" w:rsidRPr="00536CFD" w14:paraId="4AA6865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2045F1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CC043E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6F9D34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092A3264" w14:textId="77777777" w:rsidR="009D4A93" w:rsidRPr="00536CFD" w:rsidRDefault="009D4A93" w:rsidP="009D4A93">
            <w:pPr>
              <w:spacing w:after="0"/>
              <w:jc w:val="center"/>
            </w:pPr>
            <w:r w:rsidRPr="00536CFD">
              <w:rPr>
                <w:lang w:val="zh-CN"/>
              </w:rPr>
              <w:t>0.207</w:t>
            </w:r>
          </w:p>
        </w:tc>
        <w:tc>
          <w:tcPr>
            <w:tcW w:w="720" w:type="dxa"/>
            <w:tcBorders>
              <w:top w:val="single" w:sz="4" w:space="0" w:color="auto"/>
              <w:left w:val="nil"/>
              <w:bottom w:val="single" w:sz="4" w:space="0" w:color="auto"/>
              <w:right w:val="single" w:sz="4" w:space="0" w:color="auto"/>
            </w:tcBorders>
            <w:shd w:val="clear" w:color="auto" w:fill="auto"/>
          </w:tcPr>
          <w:p w14:paraId="32DBEEA3" w14:textId="77777777" w:rsidR="009D4A93" w:rsidRPr="00536CFD" w:rsidRDefault="009D4A93" w:rsidP="009D4A93">
            <w:pPr>
              <w:spacing w:after="0"/>
              <w:jc w:val="center"/>
            </w:pPr>
            <w:r w:rsidRPr="00536CFD">
              <w:rPr>
                <w:lang w:val="zh-CN"/>
              </w:rPr>
              <w:t>0.130</w:t>
            </w:r>
          </w:p>
        </w:tc>
        <w:tc>
          <w:tcPr>
            <w:tcW w:w="720" w:type="dxa"/>
            <w:tcBorders>
              <w:top w:val="single" w:sz="4" w:space="0" w:color="auto"/>
              <w:left w:val="nil"/>
              <w:bottom w:val="single" w:sz="4" w:space="0" w:color="auto"/>
              <w:right w:val="single" w:sz="4" w:space="0" w:color="auto"/>
            </w:tcBorders>
            <w:shd w:val="clear" w:color="auto" w:fill="auto"/>
          </w:tcPr>
          <w:p w14:paraId="3A5EA18E"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5B68A338"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584A84FE" w14:textId="77777777" w:rsidR="009D4A93" w:rsidRPr="00536CFD" w:rsidRDefault="009D4A93" w:rsidP="009D4A93">
            <w:pPr>
              <w:spacing w:after="0"/>
              <w:jc w:val="center"/>
            </w:pPr>
            <w:r w:rsidRPr="00536CFD">
              <w:rPr>
                <w:lang w:val="zh-CN"/>
              </w:rPr>
              <w:t>0.739</w:t>
            </w:r>
          </w:p>
        </w:tc>
        <w:tc>
          <w:tcPr>
            <w:tcW w:w="820" w:type="dxa"/>
            <w:tcBorders>
              <w:top w:val="single" w:sz="4" w:space="0" w:color="auto"/>
              <w:left w:val="nil"/>
              <w:bottom w:val="single" w:sz="4" w:space="0" w:color="auto"/>
              <w:right w:val="single" w:sz="4" w:space="0" w:color="auto"/>
            </w:tcBorders>
            <w:shd w:val="clear" w:color="auto" w:fill="auto"/>
          </w:tcPr>
          <w:p w14:paraId="3DDCE275" w14:textId="77777777" w:rsidR="009D4A93" w:rsidRPr="00536CFD" w:rsidRDefault="009D4A93" w:rsidP="009D4A93">
            <w:pPr>
              <w:spacing w:after="0"/>
              <w:jc w:val="center"/>
            </w:pPr>
            <w:r w:rsidRPr="00536CFD">
              <w:rPr>
                <w:lang w:val="zh-CN"/>
              </w:rPr>
              <w:t>0.170</w:t>
            </w:r>
          </w:p>
        </w:tc>
        <w:tc>
          <w:tcPr>
            <w:tcW w:w="800" w:type="dxa"/>
            <w:tcBorders>
              <w:top w:val="single" w:sz="4" w:space="0" w:color="auto"/>
              <w:left w:val="nil"/>
              <w:bottom w:val="single" w:sz="4" w:space="0" w:color="auto"/>
              <w:right w:val="single" w:sz="4" w:space="0" w:color="auto"/>
            </w:tcBorders>
            <w:shd w:val="clear" w:color="auto" w:fill="auto"/>
          </w:tcPr>
          <w:p w14:paraId="5DE888B4"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3CD1584D" w14:textId="77777777" w:rsidR="009D4A93" w:rsidRPr="00536CFD" w:rsidRDefault="009D4A93" w:rsidP="009D4A93">
            <w:pPr>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463565ED" w14:textId="77777777" w:rsidR="009D4A93" w:rsidRPr="00536CFD" w:rsidRDefault="009D4A93" w:rsidP="009D4A93">
            <w:pPr>
              <w:spacing w:after="0"/>
              <w:jc w:val="center"/>
            </w:pPr>
            <w:r w:rsidRPr="00536CFD">
              <w:rPr>
                <w:lang w:val="zh-CN"/>
              </w:rPr>
              <w:t>3.268</w:t>
            </w:r>
          </w:p>
        </w:tc>
        <w:tc>
          <w:tcPr>
            <w:tcW w:w="896" w:type="dxa"/>
            <w:tcBorders>
              <w:top w:val="single" w:sz="4" w:space="0" w:color="auto"/>
              <w:left w:val="nil"/>
              <w:bottom w:val="single" w:sz="4" w:space="0" w:color="auto"/>
              <w:right w:val="single" w:sz="4" w:space="0" w:color="auto"/>
            </w:tcBorders>
            <w:shd w:val="clear" w:color="auto" w:fill="auto"/>
          </w:tcPr>
          <w:p w14:paraId="09941AC7" w14:textId="77777777" w:rsidR="009D4A93" w:rsidRPr="00536CFD" w:rsidRDefault="009D4A93" w:rsidP="009D4A93">
            <w:pPr>
              <w:spacing w:after="0"/>
              <w:jc w:val="center"/>
            </w:pPr>
            <w:r w:rsidRPr="00536CFD">
              <w:rPr>
                <w:lang w:val="zh-CN"/>
              </w:rPr>
              <w:t>0.250</w:t>
            </w:r>
          </w:p>
        </w:tc>
        <w:tc>
          <w:tcPr>
            <w:tcW w:w="720" w:type="dxa"/>
            <w:tcBorders>
              <w:top w:val="single" w:sz="4" w:space="0" w:color="auto"/>
              <w:left w:val="nil"/>
              <w:bottom w:val="single" w:sz="4" w:space="0" w:color="auto"/>
              <w:right w:val="single" w:sz="4" w:space="0" w:color="auto"/>
            </w:tcBorders>
            <w:shd w:val="clear" w:color="auto" w:fill="auto"/>
          </w:tcPr>
          <w:p w14:paraId="11D40A6E"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0EA0D20A" w14:textId="77777777" w:rsidR="009D4A93" w:rsidRPr="00536CFD" w:rsidRDefault="009D4A93" w:rsidP="009D4A93">
            <w:pPr>
              <w:spacing w:after="0"/>
              <w:jc w:val="center"/>
            </w:pPr>
            <w:r w:rsidRPr="00536CFD">
              <w:rPr>
                <w:lang w:val="en-US"/>
              </w:rPr>
              <w:t>-</w:t>
            </w:r>
          </w:p>
        </w:tc>
      </w:tr>
      <w:tr w:rsidR="009D4A93" w:rsidRPr="00536CFD" w14:paraId="569BCE0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17BFCE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CA3546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0EA161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0F5E30F2" w14:textId="77777777" w:rsidR="009D4A93" w:rsidRPr="00536CFD" w:rsidRDefault="009D4A93" w:rsidP="009D4A93">
            <w:pPr>
              <w:spacing w:after="0"/>
              <w:jc w:val="center"/>
            </w:pPr>
            <w:r w:rsidRPr="00536CFD">
              <w:rPr>
                <w:lang w:val="zh-CN"/>
              </w:rPr>
              <w:t>0.096</w:t>
            </w:r>
          </w:p>
        </w:tc>
        <w:tc>
          <w:tcPr>
            <w:tcW w:w="720" w:type="dxa"/>
            <w:tcBorders>
              <w:top w:val="single" w:sz="4" w:space="0" w:color="auto"/>
              <w:left w:val="nil"/>
              <w:bottom w:val="single" w:sz="4" w:space="0" w:color="auto"/>
              <w:right w:val="single" w:sz="4" w:space="0" w:color="auto"/>
            </w:tcBorders>
            <w:shd w:val="clear" w:color="auto" w:fill="auto"/>
          </w:tcPr>
          <w:p w14:paraId="2B887D6C" w14:textId="77777777" w:rsidR="009D4A93" w:rsidRPr="00536CFD" w:rsidRDefault="009D4A93" w:rsidP="009D4A93">
            <w:pPr>
              <w:spacing w:after="0"/>
              <w:jc w:val="center"/>
            </w:pPr>
            <w:r w:rsidRPr="00536CFD">
              <w:rPr>
                <w:lang w:val="zh-CN"/>
              </w:rPr>
              <w:t>0.072</w:t>
            </w:r>
          </w:p>
        </w:tc>
        <w:tc>
          <w:tcPr>
            <w:tcW w:w="720" w:type="dxa"/>
            <w:tcBorders>
              <w:top w:val="single" w:sz="4" w:space="0" w:color="auto"/>
              <w:left w:val="nil"/>
              <w:bottom w:val="single" w:sz="4" w:space="0" w:color="auto"/>
              <w:right w:val="single" w:sz="4" w:space="0" w:color="auto"/>
            </w:tcBorders>
            <w:shd w:val="clear" w:color="auto" w:fill="auto"/>
          </w:tcPr>
          <w:p w14:paraId="2E4052FB"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74BC2A3E"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71AD7C2A" w14:textId="77777777" w:rsidR="009D4A93" w:rsidRPr="00536CFD" w:rsidRDefault="009D4A93" w:rsidP="009D4A93">
            <w:pPr>
              <w:spacing w:after="0"/>
              <w:jc w:val="center"/>
            </w:pPr>
            <w:r w:rsidRPr="00536CFD">
              <w:rPr>
                <w:lang w:val="zh-CN"/>
              </w:rPr>
              <w:t>0.232</w:t>
            </w:r>
          </w:p>
        </w:tc>
        <w:tc>
          <w:tcPr>
            <w:tcW w:w="820" w:type="dxa"/>
            <w:tcBorders>
              <w:top w:val="single" w:sz="4" w:space="0" w:color="auto"/>
              <w:left w:val="nil"/>
              <w:bottom w:val="single" w:sz="4" w:space="0" w:color="auto"/>
              <w:right w:val="single" w:sz="4" w:space="0" w:color="auto"/>
            </w:tcBorders>
            <w:shd w:val="clear" w:color="auto" w:fill="auto"/>
          </w:tcPr>
          <w:p w14:paraId="278149FA" w14:textId="77777777" w:rsidR="009D4A93" w:rsidRPr="00536CFD" w:rsidRDefault="009D4A93" w:rsidP="009D4A93">
            <w:pPr>
              <w:spacing w:after="0"/>
              <w:jc w:val="center"/>
            </w:pPr>
            <w:r w:rsidRPr="00536CFD">
              <w:rPr>
                <w:lang w:val="zh-CN"/>
              </w:rPr>
              <w:t>0.089</w:t>
            </w:r>
          </w:p>
        </w:tc>
        <w:tc>
          <w:tcPr>
            <w:tcW w:w="800" w:type="dxa"/>
            <w:tcBorders>
              <w:top w:val="single" w:sz="4" w:space="0" w:color="auto"/>
              <w:left w:val="nil"/>
              <w:bottom w:val="single" w:sz="4" w:space="0" w:color="auto"/>
              <w:right w:val="single" w:sz="4" w:space="0" w:color="auto"/>
            </w:tcBorders>
            <w:shd w:val="clear" w:color="auto" w:fill="auto"/>
          </w:tcPr>
          <w:p w14:paraId="25FFB2E5"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5D7EC212" w14:textId="77777777" w:rsidR="009D4A93" w:rsidRPr="00536CFD" w:rsidRDefault="009D4A93" w:rsidP="009D4A93">
            <w:pPr>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62E8264C" w14:textId="77777777" w:rsidR="009D4A93" w:rsidRPr="00536CFD" w:rsidRDefault="009D4A93" w:rsidP="009D4A93">
            <w:pPr>
              <w:spacing w:after="0"/>
              <w:jc w:val="center"/>
            </w:pPr>
            <w:r w:rsidRPr="00536CFD">
              <w:rPr>
                <w:lang w:val="zh-CN"/>
              </w:rPr>
              <w:t>0.817</w:t>
            </w:r>
          </w:p>
        </w:tc>
        <w:tc>
          <w:tcPr>
            <w:tcW w:w="896" w:type="dxa"/>
            <w:tcBorders>
              <w:top w:val="single" w:sz="4" w:space="0" w:color="auto"/>
              <w:left w:val="nil"/>
              <w:bottom w:val="single" w:sz="4" w:space="0" w:color="auto"/>
              <w:right w:val="single" w:sz="4" w:space="0" w:color="auto"/>
            </w:tcBorders>
            <w:shd w:val="clear" w:color="auto" w:fill="auto"/>
          </w:tcPr>
          <w:p w14:paraId="7F1211D0" w14:textId="77777777" w:rsidR="009D4A93" w:rsidRPr="00536CFD" w:rsidRDefault="009D4A93" w:rsidP="009D4A93">
            <w:pPr>
              <w:spacing w:after="0"/>
              <w:jc w:val="center"/>
            </w:pPr>
            <w:r w:rsidRPr="00536CFD">
              <w:rPr>
                <w:lang w:val="zh-CN"/>
              </w:rPr>
              <w:t>0.107</w:t>
            </w:r>
          </w:p>
        </w:tc>
        <w:tc>
          <w:tcPr>
            <w:tcW w:w="720" w:type="dxa"/>
            <w:tcBorders>
              <w:top w:val="single" w:sz="4" w:space="0" w:color="auto"/>
              <w:left w:val="nil"/>
              <w:bottom w:val="single" w:sz="4" w:space="0" w:color="auto"/>
              <w:right w:val="single" w:sz="4" w:space="0" w:color="auto"/>
            </w:tcBorders>
            <w:shd w:val="clear" w:color="auto" w:fill="auto"/>
          </w:tcPr>
          <w:p w14:paraId="73426174"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54A199F2" w14:textId="77777777" w:rsidR="009D4A93" w:rsidRPr="00536CFD" w:rsidRDefault="009D4A93" w:rsidP="009D4A93">
            <w:pPr>
              <w:spacing w:after="0"/>
              <w:jc w:val="center"/>
            </w:pPr>
            <w:r w:rsidRPr="00536CFD">
              <w:rPr>
                <w:lang w:val="en-US"/>
              </w:rPr>
              <w:t>-</w:t>
            </w:r>
          </w:p>
        </w:tc>
      </w:tr>
      <w:tr w:rsidR="009D4A93" w:rsidRPr="00536CFD" w14:paraId="2878F55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23BB8B6"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3829F39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3C738B2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37AF1F94" w14:textId="77777777" w:rsidR="009D4A93" w:rsidRPr="00536CFD" w:rsidRDefault="009D4A93" w:rsidP="009D4A93">
            <w:pPr>
              <w:spacing w:after="0"/>
              <w:jc w:val="center"/>
            </w:pPr>
            <w:r w:rsidRPr="00536CFD">
              <w:rPr>
                <w:lang w:val="zh-CN"/>
              </w:rPr>
              <w:t>40.245</w:t>
            </w:r>
          </w:p>
        </w:tc>
        <w:tc>
          <w:tcPr>
            <w:tcW w:w="720" w:type="dxa"/>
            <w:tcBorders>
              <w:top w:val="single" w:sz="4" w:space="0" w:color="auto"/>
              <w:left w:val="nil"/>
              <w:bottom w:val="single" w:sz="4" w:space="0" w:color="auto"/>
              <w:right w:val="single" w:sz="4" w:space="0" w:color="auto"/>
            </w:tcBorders>
            <w:shd w:val="clear" w:color="auto" w:fill="auto"/>
          </w:tcPr>
          <w:p w14:paraId="545B4FA0" w14:textId="77777777" w:rsidR="009D4A93" w:rsidRPr="00536CFD" w:rsidRDefault="009D4A93" w:rsidP="009D4A93">
            <w:pPr>
              <w:spacing w:after="0"/>
              <w:jc w:val="center"/>
            </w:pPr>
            <w:r w:rsidRPr="00536CFD">
              <w:rPr>
                <w:lang w:val="zh-CN"/>
              </w:rPr>
              <w:t>50.842</w:t>
            </w:r>
          </w:p>
        </w:tc>
        <w:tc>
          <w:tcPr>
            <w:tcW w:w="720" w:type="dxa"/>
            <w:tcBorders>
              <w:top w:val="single" w:sz="4" w:space="0" w:color="auto"/>
              <w:left w:val="nil"/>
              <w:bottom w:val="single" w:sz="4" w:space="0" w:color="auto"/>
              <w:right w:val="single" w:sz="4" w:space="0" w:color="auto"/>
            </w:tcBorders>
            <w:shd w:val="clear" w:color="auto" w:fill="auto"/>
          </w:tcPr>
          <w:p w14:paraId="4E0A8551" w14:textId="77777777" w:rsidR="009D4A93" w:rsidRPr="00536CFD" w:rsidRDefault="009D4A93" w:rsidP="009D4A93">
            <w:pPr>
              <w:spacing w:after="0"/>
              <w:jc w:val="center"/>
            </w:pPr>
            <w:r w:rsidRPr="00536CFD">
              <w:rPr>
                <w:lang w:val="zh-CN"/>
              </w:rPr>
              <w:t>26.834</w:t>
            </w:r>
          </w:p>
        </w:tc>
        <w:tc>
          <w:tcPr>
            <w:tcW w:w="810" w:type="dxa"/>
            <w:tcBorders>
              <w:top w:val="single" w:sz="4" w:space="0" w:color="auto"/>
              <w:left w:val="nil"/>
              <w:bottom w:val="single" w:sz="4" w:space="0" w:color="auto"/>
              <w:right w:val="single" w:sz="4" w:space="0" w:color="auto"/>
            </w:tcBorders>
            <w:shd w:val="clear" w:color="auto" w:fill="auto"/>
          </w:tcPr>
          <w:p w14:paraId="04A94640" w14:textId="77777777" w:rsidR="009D4A93" w:rsidRPr="00536CFD" w:rsidRDefault="009D4A93" w:rsidP="009D4A93">
            <w:pPr>
              <w:spacing w:after="0"/>
              <w:jc w:val="center"/>
            </w:pPr>
            <w:r w:rsidRPr="00536CFD">
              <w:rPr>
                <w:lang w:val="zh-CN"/>
              </w:rPr>
              <w:t>34.9247</w:t>
            </w:r>
          </w:p>
        </w:tc>
        <w:tc>
          <w:tcPr>
            <w:tcW w:w="810" w:type="dxa"/>
            <w:tcBorders>
              <w:top w:val="single" w:sz="4" w:space="0" w:color="auto"/>
              <w:left w:val="nil"/>
              <w:bottom w:val="single" w:sz="4" w:space="0" w:color="auto"/>
              <w:right w:val="single" w:sz="4" w:space="0" w:color="auto"/>
            </w:tcBorders>
            <w:shd w:val="clear" w:color="auto" w:fill="auto"/>
          </w:tcPr>
          <w:p w14:paraId="6CF8C636" w14:textId="77777777" w:rsidR="009D4A93" w:rsidRPr="00536CFD" w:rsidRDefault="009D4A93" w:rsidP="009D4A93">
            <w:pPr>
              <w:spacing w:after="0"/>
              <w:jc w:val="center"/>
            </w:pPr>
            <w:r w:rsidRPr="00536CFD">
              <w:rPr>
                <w:lang w:val="zh-CN"/>
              </w:rPr>
              <w:t>23.012</w:t>
            </w:r>
          </w:p>
        </w:tc>
        <w:tc>
          <w:tcPr>
            <w:tcW w:w="820" w:type="dxa"/>
            <w:tcBorders>
              <w:top w:val="single" w:sz="4" w:space="0" w:color="auto"/>
              <w:left w:val="nil"/>
              <w:bottom w:val="single" w:sz="4" w:space="0" w:color="auto"/>
              <w:right w:val="single" w:sz="4" w:space="0" w:color="auto"/>
            </w:tcBorders>
            <w:shd w:val="clear" w:color="auto" w:fill="auto"/>
          </w:tcPr>
          <w:p w14:paraId="1ED8F1F7" w14:textId="77777777" w:rsidR="009D4A93" w:rsidRPr="00536CFD" w:rsidRDefault="009D4A93" w:rsidP="009D4A93">
            <w:pPr>
              <w:spacing w:after="0"/>
              <w:jc w:val="center"/>
            </w:pPr>
            <w:r w:rsidRPr="00536CFD">
              <w:rPr>
                <w:lang w:val="zh-CN"/>
              </w:rPr>
              <w:t>42.962</w:t>
            </w:r>
          </w:p>
        </w:tc>
        <w:tc>
          <w:tcPr>
            <w:tcW w:w="800" w:type="dxa"/>
            <w:tcBorders>
              <w:top w:val="single" w:sz="4" w:space="0" w:color="auto"/>
              <w:left w:val="nil"/>
              <w:bottom w:val="single" w:sz="4" w:space="0" w:color="auto"/>
              <w:right w:val="single" w:sz="4" w:space="0" w:color="auto"/>
            </w:tcBorders>
            <w:shd w:val="clear" w:color="auto" w:fill="auto"/>
          </w:tcPr>
          <w:p w14:paraId="03C75D63" w14:textId="77777777" w:rsidR="009D4A93" w:rsidRPr="00536CFD" w:rsidRDefault="009D4A93" w:rsidP="009D4A93">
            <w:pPr>
              <w:spacing w:after="0"/>
              <w:jc w:val="center"/>
            </w:pPr>
            <w:r w:rsidRPr="00536CFD">
              <w:rPr>
                <w:lang w:val="zh-CN"/>
              </w:rPr>
              <w:t>14.354</w:t>
            </w:r>
          </w:p>
        </w:tc>
        <w:tc>
          <w:tcPr>
            <w:tcW w:w="720" w:type="dxa"/>
            <w:tcBorders>
              <w:top w:val="single" w:sz="4" w:space="0" w:color="auto"/>
              <w:left w:val="nil"/>
              <w:bottom w:val="single" w:sz="4" w:space="0" w:color="auto"/>
              <w:right w:val="single" w:sz="4" w:space="0" w:color="auto"/>
            </w:tcBorders>
            <w:shd w:val="clear" w:color="auto" w:fill="auto"/>
          </w:tcPr>
          <w:p w14:paraId="12564B7A" w14:textId="77777777" w:rsidR="009D4A93" w:rsidRPr="00536CFD" w:rsidRDefault="009D4A93" w:rsidP="009D4A93">
            <w:pPr>
              <w:spacing w:after="0"/>
              <w:jc w:val="center"/>
            </w:pPr>
            <w:r w:rsidRPr="00536CFD">
              <w:rPr>
                <w:lang w:val="zh-CN"/>
              </w:rPr>
              <w:t>33.1597</w:t>
            </w:r>
          </w:p>
        </w:tc>
        <w:tc>
          <w:tcPr>
            <w:tcW w:w="724" w:type="dxa"/>
            <w:tcBorders>
              <w:top w:val="single" w:sz="4" w:space="0" w:color="auto"/>
              <w:left w:val="nil"/>
              <w:bottom w:val="single" w:sz="4" w:space="0" w:color="auto"/>
              <w:right w:val="single" w:sz="4" w:space="0" w:color="auto"/>
            </w:tcBorders>
            <w:shd w:val="clear" w:color="auto" w:fill="auto"/>
          </w:tcPr>
          <w:p w14:paraId="139A36C1" w14:textId="77777777" w:rsidR="009D4A93" w:rsidRPr="00536CFD" w:rsidRDefault="009D4A93" w:rsidP="009D4A93">
            <w:pPr>
              <w:spacing w:after="0"/>
              <w:jc w:val="center"/>
            </w:pPr>
            <w:r w:rsidRPr="00536CFD">
              <w:rPr>
                <w:lang w:val="zh-CN"/>
              </w:rPr>
              <w:t>13.400</w:t>
            </w:r>
          </w:p>
        </w:tc>
        <w:tc>
          <w:tcPr>
            <w:tcW w:w="896" w:type="dxa"/>
            <w:tcBorders>
              <w:top w:val="single" w:sz="4" w:space="0" w:color="auto"/>
              <w:left w:val="nil"/>
              <w:bottom w:val="single" w:sz="4" w:space="0" w:color="auto"/>
              <w:right w:val="single" w:sz="4" w:space="0" w:color="auto"/>
            </w:tcBorders>
            <w:shd w:val="clear" w:color="auto" w:fill="auto"/>
          </w:tcPr>
          <w:p w14:paraId="1E333CC4" w14:textId="77777777" w:rsidR="009D4A93" w:rsidRPr="00536CFD" w:rsidRDefault="009D4A93" w:rsidP="009D4A93">
            <w:pPr>
              <w:spacing w:after="0"/>
              <w:jc w:val="center"/>
            </w:pPr>
            <w:r w:rsidRPr="00536CFD">
              <w:rPr>
                <w:lang w:val="zh-CN"/>
              </w:rPr>
              <w:t>38.706</w:t>
            </w:r>
          </w:p>
        </w:tc>
        <w:tc>
          <w:tcPr>
            <w:tcW w:w="720" w:type="dxa"/>
            <w:tcBorders>
              <w:top w:val="single" w:sz="4" w:space="0" w:color="auto"/>
              <w:left w:val="nil"/>
              <w:bottom w:val="single" w:sz="4" w:space="0" w:color="auto"/>
              <w:right w:val="single" w:sz="4" w:space="0" w:color="auto"/>
            </w:tcBorders>
            <w:shd w:val="clear" w:color="auto" w:fill="auto"/>
          </w:tcPr>
          <w:p w14:paraId="2EAEFCF4" w14:textId="77777777" w:rsidR="009D4A93" w:rsidRPr="00536CFD" w:rsidRDefault="009D4A93" w:rsidP="009D4A93">
            <w:pPr>
              <w:spacing w:after="0"/>
              <w:jc w:val="center"/>
            </w:pPr>
            <w:r w:rsidRPr="00536CFD">
              <w:rPr>
                <w:lang w:val="zh-CN"/>
              </w:rPr>
              <w:t>9.914</w:t>
            </w:r>
          </w:p>
        </w:tc>
        <w:tc>
          <w:tcPr>
            <w:tcW w:w="720" w:type="dxa"/>
            <w:tcBorders>
              <w:top w:val="single" w:sz="4" w:space="0" w:color="auto"/>
              <w:left w:val="nil"/>
              <w:bottom w:val="single" w:sz="4" w:space="0" w:color="auto"/>
              <w:right w:val="single" w:sz="4" w:space="0" w:color="auto"/>
            </w:tcBorders>
            <w:shd w:val="clear" w:color="auto" w:fill="auto"/>
          </w:tcPr>
          <w:p w14:paraId="0A2AD6A4" w14:textId="77777777" w:rsidR="009D4A93" w:rsidRPr="00536CFD" w:rsidRDefault="009D4A93" w:rsidP="009D4A93">
            <w:pPr>
              <w:spacing w:after="0"/>
              <w:jc w:val="center"/>
            </w:pPr>
            <w:r w:rsidRPr="00536CFD">
              <w:rPr>
                <w:lang w:val="zh-CN"/>
              </w:rPr>
              <w:t>32.3721</w:t>
            </w:r>
          </w:p>
        </w:tc>
      </w:tr>
      <w:tr w:rsidR="009D4A93" w:rsidRPr="00536CFD" w14:paraId="439790C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36816E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B43FDD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A6D7A4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64F965A3" w14:textId="77777777" w:rsidR="009D4A93" w:rsidRPr="00536CFD" w:rsidRDefault="009D4A93" w:rsidP="009D4A93">
            <w:pPr>
              <w:spacing w:after="0"/>
              <w:jc w:val="center"/>
            </w:pPr>
            <w:r w:rsidRPr="00536CFD">
              <w:rPr>
                <w:lang w:val="zh-CN"/>
              </w:rPr>
              <w:t>49.537</w:t>
            </w:r>
          </w:p>
        </w:tc>
        <w:tc>
          <w:tcPr>
            <w:tcW w:w="720" w:type="dxa"/>
            <w:tcBorders>
              <w:top w:val="single" w:sz="4" w:space="0" w:color="auto"/>
              <w:left w:val="nil"/>
              <w:bottom w:val="single" w:sz="4" w:space="0" w:color="auto"/>
              <w:right w:val="single" w:sz="4" w:space="0" w:color="auto"/>
            </w:tcBorders>
            <w:shd w:val="clear" w:color="auto" w:fill="auto"/>
          </w:tcPr>
          <w:p w14:paraId="4EBD089D" w14:textId="77777777" w:rsidR="009D4A93" w:rsidRPr="00536CFD" w:rsidRDefault="009D4A93" w:rsidP="009D4A93">
            <w:pPr>
              <w:spacing w:after="0"/>
              <w:jc w:val="center"/>
            </w:pPr>
            <w:r w:rsidRPr="00536CFD">
              <w:rPr>
                <w:lang w:val="zh-CN"/>
              </w:rPr>
              <w:t>61.343</w:t>
            </w:r>
          </w:p>
        </w:tc>
        <w:tc>
          <w:tcPr>
            <w:tcW w:w="720" w:type="dxa"/>
            <w:tcBorders>
              <w:top w:val="single" w:sz="4" w:space="0" w:color="auto"/>
              <w:left w:val="nil"/>
              <w:bottom w:val="single" w:sz="4" w:space="0" w:color="auto"/>
              <w:right w:val="single" w:sz="4" w:space="0" w:color="auto"/>
            </w:tcBorders>
            <w:shd w:val="clear" w:color="auto" w:fill="auto"/>
          </w:tcPr>
          <w:p w14:paraId="4500462D" w14:textId="77777777" w:rsidR="009D4A93" w:rsidRPr="00536CFD" w:rsidRDefault="009D4A93" w:rsidP="009D4A93">
            <w:pPr>
              <w:spacing w:after="0"/>
              <w:jc w:val="center"/>
            </w:pPr>
            <w:r w:rsidRPr="00536CFD">
              <w:rPr>
                <w:lang w:val="zh-CN"/>
              </w:rPr>
              <w:t>114.239</w:t>
            </w:r>
          </w:p>
        </w:tc>
        <w:tc>
          <w:tcPr>
            <w:tcW w:w="810" w:type="dxa"/>
            <w:tcBorders>
              <w:top w:val="single" w:sz="4" w:space="0" w:color="auto"/>
              <w:left w:val="nil"/>
              <w:bottom w:val="single" w:sz="4" w:space="0" w:color="auto"/>
              <w:right w:val="single" w:sz="4" w:space="0" w:color="auto"/>
            </w:tcBorders>
            <w:shd w:val="clear" w:color="auto" w:fill="auto"/>
          </w:tcPr>
          <w:p w14:paraId="36910FB4" w14:textId="77777777" w:rsidR="009D4A93" w:rsidRPr="00536CFD" w:rsidRDefault="009D4A93" w:rsidP="009D4A93">
            <w:pPr>
              <w:spacing w:after="0"/>
              <w:jc w:val="center"/>
            </w:pPr>
            <w:r w:rsidRPr="00536CFD">
              <w:rPr>
                <w:lang w:val="zh-CN"/>
              </w:rPr>
              <w:t>141.0299</w:t>
            </w:r>
          </w:p>
        </w:tc>
        <w:tc>
          <w:tcPr>
            <w:tcW w:w="810" w:type="dxa"/>
            <w:tcBorders>
              <w:top w:val="single" w:sz="4" w:space="0" w:color="auto"/>
              <w:left w:val="nil"/>
              <w:bottom w:val="single" w:sz="4" w:space="0" w:color="auto"/>
              <w:right w:val="single" w:sz="4" w:space="0" w:color="auto"/>
            </w:tcBorders>
            <w:shd w:val="clear" w:color="auto" w:fill="auto"/>
          </w:tcPr>
          <w:p w14:paraId="761440AF" w14:textId="77777777" w:rsidR="009D4A93" w:rsidRPr="00536CFD" w:rsidRDefault="009D4A93" w:rsidP="009D4A93">
            <w:pPr>
              <w:spacing w:after="0"/>
              <w:jc w:val="center"/>
            </w:pPr>
            <w:r w:rsidRPr="00536CFD">
              <w:rPr>
                <w:lang w:val="zh-CN"/>
              </w:rPr>
              <w:t>34.770</w:t>
            </w:r>
          </w:p>
        </w:tc>
        <w:tc>
          <w:tcPr>
            <w:tcW w:w="820" w:type="dxa"/>
            <w:tcBorders>
              <w:top w:val="single" w:sz="4" w:space="0" w:color="auto"/>
              <w:left w:val="nil"/>
              <w:bottom w:val="single" w:sz="4" w:space="0" w:color="auto"/>
              <w:right w:val="single" w:sz="4" w:space="0" w:color="auto"/>
            </w:tcBorders>
            <w:shd w:val="clear" w:color="auto" w:fill="auto"/>
          </w:tcPr>
          <w:p w14:paraId="020260AE" w14:textId="77777777" w:rsidR="009D4A93" w:rsidRPr="00536CFD" w:rsidRDefault="009D4A93" w:rsidP="009D4A93">
            <w:pPr>
              <w:spacing w:after="0"/>
              <w:jc w:val="center"/>
            </w:pPr>
            <w:r w:rsidRPr="00536CFD">
              <w:rPr>
                <w:lang w:val="zh-CN"/>
              </w:rPr>
              <w:t>48.151</w:t>
            </w:r>
          </w:p>
        </w:tc>
        <w:tc>
          <w:tcPr>
            <w:tcW w:w="800" w:type="dxa"/>
            <w:tcBorders>
              <w:top w:val="single" w:sz="4" w:space="0" w:color="auto"/>
              <w:left w:val="nil"/>
              <w:bottom w:val="single" w:sz="4" w:space="0" w:color="auto"/>
              <w:right w:val="single" w:sz="4" w:space="0" w:color="auto"/>
            </w:tcBorders>
            <w:shd w:val="clear" w:color="auto" w:fill="auto"/>
          </w:tcPr>
          <w:p w14:paraId="3043A44A" w14:textId="77777777" w:rsidR="009D4A93" w:rsidRPr="00536CFD" w:rsidRDefault="009D4A93" w:rsidP="009D4A93">
            <w:pPr>
              <w:spacing w:after="0"/>
              <w:jc w:val="center"/>
            </w:pPr>
            <w:r w:rsidRPr="00536CFD">
              <w:rPr>
                <w:lang w:val="zh-CN"/>
              </w:rPr>
              <w:t>72.546</w:t>
            </w:r>
          </w:p>
        </w:tc>
        <w:tc>
          <w:tcPr>
            <w:tcW w:w="720" w:type="dxa"/>
            <w:tcBorders>
              <w:top w:val="single" w:sz="4" w:space="0" w:color="auto"/>
              <w:left w:val="nil"/>
              <w:bottom w:val="single" w:sz="4" w:space="0" w:color="auto"/>
              <w:right w:val="single" w:sz="4" w:space="0" w:color="auto"/>
            </w:tcBorders>
            <w:shd w:val="clear" w:color="auto" w:fill="auto"/>
          </w:tcPr>
          <w:p w14:paraId="2E0283C0" w14:textId="77777777" w:rsidR="009D4A93" w:rsidRPr="00536CFD" w:rsidRDefault="009D4A93" w:rsidP="009D4A93">
            <w:pPr>
              <w:spacing w:after="0"/>
              <w:jc w:val="center"/>
            </w:pPr>
            <w:r w:rsidRPr="00536CFD">
              <w:rPr>
                <w:lang w:val="zh-CN"/>
              </w:rPr>
              <w:t>126.7055</w:t>
            </w:r>
          </w:p>
        </w:tc>
        <w:tc>
          <w:tcPr>
            <w:tcW w:w="724" w:type="dxa"/>
            <w:tcBorders>
              <w:top w:val="single" w:sz="4" w:space="0" w:color="auto"/>
              <w:left w:val="nil"/>
              <w:bottom w:val="single" w:sz="4" w:space="0" w:color="auto"/>
              <w:right w:val="single" w:sz="4" w:space="0" w:color="auto"/>
            </w:tcBorders>
            <w:shd w:val="clear" w:color="auto" w:fill="auto"/>
          </w:tcPr>
          <w:p w14:paraId="31853790" w14:textId="77777777" w:rsidR="009D4A93" w:rsidRPr="00536CFD" w:rsidRDefault="009D4A93" w:rsidP="009D4A93">
            <w:pPr>
              <w:spacing w:after="0"/>
              <w:jc w:val="center"/>
            </w:pPr>
            <w:r w:rsidRPr="00536CFD">
              <w:rPr>
                <w:lang w:val="zh-CN"/>
              </w:rPr>
              <w:t>23.108</w:t>
            </w:r>
          </w:p>
        </w:tc>
        <w:tc>
          <w:tcPr>
            <w:tcW w:w="896" w:type="dxa"/>
            <w:tcBorders>
              <w:top w:val="single" w:sz="4" w:space="0" w:color="auto"/>
              <w:left w:val="nil"/>
              <w:bottom w:val="single" w:sz="4" w:space="0" w:color="auto"/>
              <w:right w:val="single" w:sz="4" w:space="0" w:color="auto"/>
            </w:tcBorders>
            <w:shd w:val="clear" w:color="auto" w:fill="auto"/>
          </w:tcPr>
          <w:p w14:paraId="5EB16ED8" w14:textId="77777777" w:rsidR="009D4A93" w:rsidRPr="00536CFD" w:rsidRDefault="009D4A93" w:rsidP="009D4A93">
            <w:pPr>
              <w:spacing w:after="0"/>
              <w:jc w:val="center"/>
            </w:pPr>
            <w:r w:rsidRPr="00536CFD">
              <w:rPr>
                <w:lang w:val="zh-CN"/>
              </w:rPr>
              <w:t>48.265</w:t>
            </w:r>
          </w:p>
        </w:tc>
        <w:tc>
          <w:tcPr>
            <w:tcW w:w="720" w:type="dxa"/>
            <w:tcBorders>
              <w:top w:val="single" w:sz="4" w:space="0" w:color="auto"/>
              <w:left w:val="nil"/>
              <w:bottom w:val="single" w:sz="4" w:space="0" w:color="auto"/>
              <w:right w:val="single" w:sz="4" w:space="0" w:color="auto"/>
            </w:tcBorders>
            <w:shd w:val="clear" w:color="auto" w:fill="auto"/>
          </w:tcPr>
          <w:p w14:paraId="57F64503" w14:textId="77777777" w:rsidR="009D4A93" w:rsidRPr="00536CFD" w:rsidRDefault="009D4A93" w:rsidP="009D4A93">
            <w:pPr>
              <w:spacing w:after="0"/>
              <w:jc w:val="center"/>
            </w:pPr>
            <w:r w:rsidRPr="00536CFD">
              <w:rPr>
                <w:lang w:val="zh-CN"/>
              </w:rPr>
              <w:t>57.714</w:t>
            </w:r>
          </w:p>
        </w:tc>
        <w:tc>
          <w:tcPr>
            <w:tcW w:w="720" w:type="dxa"/>
            <w:tcBorders>
              <w:top w:val="single" w:sz="4" w:space="0" w:color="auto"/>
              <w:left w:val="nil"/>
              <w:bottom w:val="single" w:sz="4" w:space="0" w:color="auto"/>
              <w:right w:val="single" w:sz="4" w:space="0" w:color="auto"/>
            </w:tcBorders>
            <w:shd w:val="clear" w:color="auto" w:fill="auto"/>
          </w:tcPr>
          <w:p w14:paraId="1DC25730" w14:textId="77777777" w:rsidR="009D4A93" w:rsidRPr="00536CFD" w:rsidRDefault="009D4A93" w:rsidP="009D4A93">
            <w:pPr>
              <w:spacing w:after="0"/>
              <w:jc w:val="center"/>
            </w:pPr>
            <w:r w:rsidRPr="00536CFD">
              <w:rPr>
                <w:lang w:val="zh-CN"/>
              </w:rPr>
              <w:t>126.1715</w:t>
            </w:r>
          </w:p>
        </w:tc>
      </w:tr>
      <w:tr w:rsidR="009D4A93" w:rsidRPr="00536CFD" w14:paraId="5A47A69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899C89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EB0CF0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00208C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79182CC2" w14:textId="77777777" w:rsidR="009D4A93" w:rsidRPr="00536CFD" w:rsidRDefault="009D4A93" w:rsidP="009D4A93">
            <w:pPr>
              <w:spacing w:after="0"/>
              <w:jc w:val="center"/>
            </w:pPr>
            <w:r w:rsidRPr="00536CFD">
              <w:rPr>
                <w:lang w:val="zh-CN"/>
              </w:rPr>
              <w:t>60.993</w:t>
            </w:r>
          </w:p>
        </w:tc>
        <w:tc>
          <w:tcPr>
            <w:tcW w:w="720" w:type="dxa"/>
            <w:tcBorders>
              <w:top w:val="single" w:sz="4" w:space="0" w:color="auto"/>
              <w:left w:val="nil"/>
              <w:bottom w:val="single" w:sz="4" w:space="0" w:color="auto"/>
              <w:right w:val="single" w:sz="4" w:space="0" w:color="auto"/>
            </w:tcBorders>
            <w:shd w:val="clear" w:color="auto" w:fill="auto"/>
          </w:tcPr>
          <w:p w14:paraId="2F7A0697" w14:textId="77777777" w:rsidR="009D4A93" w:rsidRPr="00536CFD" w:rsidRDefault="009D4A93" w:rsidP="009D4A93">
            <w:pPr>
              <w:spacing w:after="0"/>
              <w:jc w:val="center"/>
            </w:pPr>
            <w:r w:rsidRPr="00536CFD">
              <w:rPr>
                <w:lang w:val="zh-CN"/>
              </w:rPr>
              <w:t>65.154</w:t>
            </w:r>
          </w:p>
        </w:tc>
        <w:tc>
          <w:tcPr>
            <w:tcW w:w="720" w:type="dxa"/>
            <w:tcBorders>
              <w:top w:val="single" w:sz="4" w:space="0" w:color="auto"/>
              <w:left w:val="nil"/>
              <w:bottom w:val="single" w:sz="4" w:space="0" w:color="auto"/>
              <w:right w:val="single" w:sz="4" w:space="0" w:color="auto"/>
            </w:tcBorders>
            <w:shd w:val="clear" w:color="auto" w:fill="auto"/>
          </w:tcPr>
          <w:p w14:paraId="775B88EC" w14:textId="77777777" w:rsidR="009D4A93" w:rsidRPr="00536CFD" w:rsidRDefault="009D4A93" w:rsidP="009D4A93">
            <w:pPr>
              <w:spacing w:after="0"/>
              <w:jc w:val="center"/>
            </w:pPr>
            <w:r w:rsidRPr="00536CFD">
              <w:rPr>
                <w:lang w:val="zh-CN"/>
              </w:rPr>
              <w:t>157.121</w:t>
            </w:r>
          </w:p>
        </w:tc>
        <w:tc>
          <w:tcPr>
            <w:tcW w:w="810" w:type="dxa"/>
            <w:tcBorders>
              <w:top w:val="single" w:sz="4" w:space="0" w:color="auto"/>
              <w:left w:val="nil"/>
              <w:bottom w:val="single" w:sz="4" w:space="0" w:color="auto"/>
              <w:right w:val="single" w:sz="4" w:space="0" w:color="auto"/>
            </w:tcBorders>
            <w:shd w:val="clear" w:color="auto" w:fill="auto"/>
          </w:tcPr>
          <w:p w14:paraId="0DA0BD2C" w14:textId="77777777" w:rsidR="009D4A93" w:rsidRPr="00536CFD" w:rsidRDefault="009D4A93" w:rsidP="009D4A93">
            <w:pPr>
              <w:spacing w:after="0"/>
              <w:jc w:val="center"/>
            </w:pPr>
            <w:r w:rsidRPr="00536CFD">
              <w:rPr>
                <w:lang w:val="zh-CN"/>
              </w:rPr>
              <w:t>185.7409</w:t>
            </w:r>
          </w:p>
        </w:tc>
        <w:tc>
          <w:tcPr>
            <w:tcW w:w="810" w:type="dxa"/>
            <w:tcBorders>
              <w:top w:val="single" w:sz="4" w:space="0" w:color="auto"/>
              <w:left w:val="nil"/>
              <w:bottom w:val="single" w:sz="4" w:space="0" w:color="auto"/>
              <w:right w:val="single" w:sz="4" w:space="0" w:color="auto"/>
            </w:tcBorders>
            <w:shd w:val="clear" w:color="auto" w:fill="auto"/>
          </w:tcPr>
          <w:p w14:paraId="6A860923" w14:textId="77777777" w:rsidR="009D4A93" w:rsidRPr="00536CFD" w:rsidRDefault="009D4A93" w:rsidP="009D4A93">
            <w:pPr>
              <w:spacing w:after="0"/>
              <w:jc w:val="center"/>
            </w:pPr>
            <w:r w:rsidRPr="00536CFD">
              <w:rPr>
                <w:lang w:val="zh-CN"/>
              </w:rPr>
              <w:t>39.682</w:t>
            </w:r>
          </w:p>
        </w:tc>
        <w:tc>
          <w:tcPr>
            <w:tcW w:w="820" w:type="dxa"/>
            <w:tcBorders>
              <w:top w:val="single" w:sz="4" w:space="0" w:color="auto"/>
              <w:left w:val="nil"/>
              <w:bottom w:val="single" w:sz="4" w:space="0" w:color="auto"/>
              <w:right w:val="single" w:sz="4" w:space="0" w:color="auto"/>
            </w:tcBorders>
            <w:shd w:val="clear" w:color="auto" w:fill="auto"/>
          </w:tcPr>
          <w:p w14:paraId="331980D9" w14:textId="77777777" w:rsidR="009D4A93" w:rsidRPr="00536CFD" w:rsidRDefault="009D4A93" w:rsidP="009D4A93">
            <w:pPr>
              <w:spacing w:after="0"/>
              <w:jc w:val="center"/>
            </w:pPr>
            <w:r w:rsidRPr="00536CFD">
              <w:rPr>
                <w:lang w:val="zh-CN"/>
              </w:rPr>
              <w:t>55.809</w:t>
            </w:r>
          </w:p>
        </w:tc>
        <w:tc>
          <w:tcPr>
            <w:tcW w:w="800" w:type="dxa"/>
            <w:tcBorders>
              <w:top w:val="single" w:sz="4" w:space="0" w:color="auto"/>
              <w:left w:val="nil"/>
              <w:bottom w:val="single" w:sz="4" w:space="0" w:color="auto"/>
              <w:right w:val="single" w:sz="4" w:space="0" w:color="auto"/>
            </w:tcBorders>
            <w:shd w:val="clear" w:color="auto" w:fill="auto"/>
          </w:tcPr>
          <w:p w14:paraId="7470C558" w14:textId="77777777" w:rsidR="009D4A93" w:rsidRPr="00536CFD" w:rsidRDefault="009D4A93" w:rsidP="009D4A93">
            <w:pPr>
              <w:spacing w:after="0"/>
              <w:jc w:val="center"/>
            </w:pPr>
            <w:r w:rsidRPr="00536CFD">
              <w:rPr>
                <w:lang w:val="zh-CN"/>
              </w:rPr>
              <w:t>112.481</w:t>
            </w:r>
          </w:p>
        </w:tc>
        <w:tc>
          <w:tcPr>
            <w:tcW w:w="720" w:type="dxa"/>
            <w:tcBorders>
              <w:top w:val="single" w:sz="4" w:space="0" w:color="auto"/>
              <w:left w:val="nil"/>
              <w:bottom w:val="single" w:sz="4" w:space="0" w:color="auto"/>
              <w:right w:val="single" w:sz="4" w:space="0" w:color="auto"/>
            </w:tcBorders>
            <w:shd w:val="clear" w:color="auto" w:fill="auto"/>
          </w:tcPr>
          <w:p w14:paraId="254FA9DF" w14:textId="77777777" w:rsidR="009D4A93" w:rsidRPr="00536CFD" w:rsidRDefault="009D4A93" w:rsidP="009D4A93">
            <w:pPr>
              <w:spacing w:after="0"/>
              <w:jc w:val="center"/>
            </w:pPr>
            <w:r w:rsidRPr="00536CFD">
              <w:rPr>
                <w:lang w:val="zh-CN"/>
              </w:rPr>
              <w:t>178.2521</w:t>
            </w:r>
          </w:p>
        </w:tc>
        <w:tc>
          <w:tcPr>
            <w:tcW w:w="724" w:type="dxa"/>
            <w:tcBorders>
              <w:top w:val="single" w:sz="4" w:space="0" w:color="auto"/>
              <w:left w:val="nil"/>
              <w:bottom w:val="single" w:sz="4" w:space="0" w:color="auto"/>
              <w:right w:val="single" w:sz="4" w:space="0" w:color="auto"/>
            </w:tcBorders>
            <w:shd w:val="clear" w:color="auto" w:fill="auto"/>
          </w:tcPr>
          <w:p w14:paraId="7C348EE0" w14:textId="77777777" w:rsidR="009D4A93" w:rsidRPr="00536CFD" w:rsidRDefault="009D4A93" w:rsidP="009D4A93">
            <w:pPr>
              <w:spacing w:after="0"/>
              <w:jc w:val="center"/>
            </w:pPr>
            <w:r w:rsidRPr="00536CFD">
              <w:rPr>
                <w:lang w:val="zh-CN"/>
              </w:rPr>
              <w:t>36.185</w:t>
            </w:r>
          </w:p>
        </w:tc>
        <w:tc>
          <w:tcPr>
            <w:tcW w:w="896" w:type="dxa"/>
            <w:tcBorders>
              <w:top w:val="single" w:sz="4" w:space="0" w:color="auto"/>
              <w:left w:val="nil"/>
              <w:bottom w:val="single" w:sz="4" w:space="0" w:color="auto"/>
              <w:right w:val="single" w:sz="4" w:space="0" w:color="auto"/>
            </w:tcBorders>
            <w:shd w:val="clear" w:color="auto" w:fill="auto"/>
          </w:tcPr>
          <w:p w14:paraId="075A106E" w14:textId="77777777" w:rsidR="009D4A93" w:rsidRPr="00536CFD" w:rsidRDefault="009D4A93" w:rsidP="009D4A93">
            <w:pPr>
              <w:spacing w:after="0"/>
              <w:jc w:val="center"/>
            </w:pPr>
            <w:r w:rsidRPr="00536CFD">
              <w:rPr>
                <w:lang w:val="zh-CN"/>
              </w:rPr>
              <w:t>54.055</w:t>
            </w:r>
          </w:p>
        </w:tc>
        <w:tc>
          <w:tcPr>
            <w:tcW w:w="720" w:type="dxa"/>
            <w:tcBorders>
              <w:top w:val="single" w:sz="4" w:space="0" w:color="auto"/>
              <w:left w:val="nil"/>
              <w:bottom w:val="single" w:sz="4" w:space="0" w:color="auto"/>
              <w:right w:val="single" w:sz="4" w:space="0" w:color="auto"/>
            </w:tcBorders>
            <w:shd w:val="clear" w:color="auto" w:fill="auto"/>
          </w:tcPr>
          <w:p w14:paraId="2534F28D" w14:textId="77777777" w:rsidR="009D4A93" w:rsidRPr="00536CFD" w:rsidRDefault="009D4A93" w:rsidP="009D4A93">
            <w:pPr>
              <w:spacing w:after="0"/>
              <w:jc w:val="center"/>
            </w:pPr>
            <w:r w:rsidRPr="00536CFD">
              <w:rPr>
                <w:lang w:val="zh-CN"/>
              </w:rPr>
              <w:t>98.468</w:t>
            </w:r>
          </w:p>
        </w:tc>
        <w:tc>
          <w:tcPr>
            <w:tcW w:w="720" w:type="dxa"/>
            <w:tcBorders>
              <w:top w:val="single" w:sz="4" w:space="0" w:color="auto"/>
              <w:left w:val="nil"/>
              <w:bottom w:val="single" w:sz="4" w:space="0" w:color="auto"/>
              <w:right w:val="single" w:sz="4" w:space="0" w:color="auto"/>
            </w:tcBorders>
            <w:shd w:val="clear" w:color="auto" w:fill="auto"/>
          </w:tcPr>
          <w:p w14:paraId="7B49D39A" w14:textId="77777777" w:rsidR="009D4A93" w:rsidRPr="00536CFD" w:rsidRDefault="009D4A93" w:rsidP="009D4A93">
            <w:pPr>
              <w:spacing w:after="0"/>
              <w:jc w:val="center"/>
            </w:pPr>
            <w:r w:rsidRPr="00536CFD">
              <w:rPr>
                <w:lang w:val="zh-CN"/>
              </w:rPr>
              <w:t>174.1342</w:t>
            </w:r>
          </w:p>
        </w:tc>
      </w:tr>
      <w:tr w:rsidR="009D4A93" w:rsidRPr="00536CFD" w14:paraId="600B348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9CFD5F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551158B"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2B425A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24162FD2" w14:textId="77777777" w:rsidR="009D4A93" w:rsidRPr="00536CFD" w:rsidRDefault="009D4A93" w:rsidP="009D4A93">
            <w:pPr>
              <w:spacing w:after="0"/>
              <w:jc w:val="center"/>
            </w:pPr>
            <w:r w:rsidRPr="00536CFD">
              <w:rPr>
                <w:lang w:val="zh-CN"/>
              </w:rPr>
              <w:t>50.859</w:t>
            </w:r>
          </w:p>
        </w:tc>
        <w:tc>
          <w:tcPr>
            <w:tcW w:w="720" w:type="dxa"/>
            <w:tcBorders>
              <w:top w:val="single" w:sz="4" w:space="0" w:color="auto"/>
              <w:left w:val="nil"/>
              <w:bottom w:val="single" w:sz="4" w:space="0" w:color="auto"/>
              <w:right w:val="single" w:sz="4" w:space="0" w:color="auto"/>
            </w:tcBorders>
            <w:shd w:val="clear" w:color="auto" w:fill="auto"/>
          </w:tcPr>
          <w:p w14:paraId="02355A31" w14:textId="77777777" w:rsidR="009D4A93" w:rsidRPr="00536CFD" w:rsidRDefault="009D4A93" w:rsidP="009D4A93">
            <w:pPr>
              <w:spacing w:after="0"/>
              <w:jc w:val="center"/>
            </w:pPr>
            <w:r w:rsidRPr="00536CFD">
              <w:rPr>
                <w:lang w:val="zh-CN"/>
              </w:rPr>
              <w:t>60.017</w:t>
            </w:r>
          </w:p>
        </w:tc>
        <w:tc>
          <w:tcPr>
            <w:tcW w:w="720" w:type="dxa"/>
            <w:tcBorders>
              <w:top w:val="single" w:sz="4" w:space="0" w:color="auto"/>
              <w:left w:val="nil"/>
              <w:bottom w:val="single" w:sz="4" w:space="0" w:color="auto"/>
              <w:right w:val="single" w:sz="4" w:space="0" w:color="auto"/>
            </w:tcBorders>
            <w:shd w:val="clear" w:color="auto" w:fill="auto"/>
          </w:tcPr>
          <w:p w14:paraId="53D1C78A" w14:textId="77777777" w:rsidR="009D4A93" w:rsidRPr="00536CFD" w:rsidRDefault="009D4A93" w:rsidP="009D4A93">
            <w:pPr>
              <w:spacing w:after="0"/>
              <w:jc w:val="center"/>
            </w:pPr>
            <w:r w:rsidRPr="00536CFD">
              <w:rPr>
                <w:lang w:val="zh-CN"/>
              </w:rPr>
              <w:t>102.352</w:t>
            </w:r>
          </w:p>
        </w:tc>
        <w:tc>
          <w:tcPr>
            <w:tcW w:w="810" w:type="dxa"/>
            <w:tcBorders>
              <w:top w:val="single" w:sz="4" w:space="0" w:color="auto"/>
              <w:left w:val="nil"/>
              <w:bottom w:val="single" w:sz="4" w:space="0" w:color="auto"/>
              <w:right w:val="single" w:sz="4" w:space="0" w:color="auto"/>
            </w:tcBorders>
            <w:shd w:val="clear" w:color="auto" w:fill="auto"/>
          </w:tcPr>
          <w:p w14:paraId="31E0ECC0" w14:textId="77777777" w:rsidR="009D4A93" w:rsidRPr="00536CFD" w:rsidRDefault="009D4A93" w:rsidP="009D4A93">
            <w:pPr>
              <w:spacing w:after="0"/>
              <w:jc w:val="center"/>
            </w:pPr>
            <w:r w:rsidRPr="00536CFD">
              <w:rPr>
                <w:lang w:val="zh-CN"/>
              </w:rPr>
              <w:t>135.9199</w:t>
            </w:r>
          </w:p>
        </w:tc>
        <w:tc>
          <w:tcPr>
            <w:tcW w:w="810" w:type="dxa"/>
            <w:tcBorders>
              <w:top w:val="single" w:sz="4" w:space="0" w:color="auto"/>
              <w:left w:val="nil"/>
              <w:bottom w:val="single" w:sz="4" w:space="0" w:color="auto"/>
              <w:right w:val="single" w:sz="4" w:space="0" w:color="auto"/>
            </w:tcBorders>
            <w:shd w:val="clear" w:color="auto" w:fill="auto"/>
          </w:tcPr>
          <w:p w14:paraId="1CE756A5" w14:textId="77777777" w:rsidR="009D4A93" w:rsidRPr="00536CFD" w:rsidRDefault="009D4A93" w:rsidP="009D4A93">
            <w:pPr>
              <w:spacing w:after="0"/>
              <w:jc w:val="center"/>
            </w:pPr>
            <w:r w:rsidRPr="00536CFD">
              <w:rPr>
                <w:lang w:val="zh-CN"/>
              </w:rPr>
              <w:t>34.875</w:t>
            </w:r>
          </w:p>
        </w:tc>
        <w:tc>
          <w:tcPr>
            <w:tcW w:w="820" w:type="dxa"/>
            <w:tcBorders>
              <w:top w:val="single" w:sz="4" w:space="0" w:color="auto"/>
              <w:left w:val="nil"/>
              <w:bottom w:val="single" w:sz="4" w:space="0" w:color="auto"/>
              <w:right w:val="single" w:sz="4" w:space="0" w:color="auto"/>
            </w:tcBorders>
            <w:shd w:val="clear" w:color="auto" w:fill="auto"/>
          </w:tcPr>
          <w:p w14:paraId="71F3CA0F" w14:textId="77777777" w:rsidR="009D4A93" w:rsidRPr="00536CFD" w:rsidRDefault="009D4A93" w:rsidP="009D4A93">
            <w:pPr>
              <w:spacing w:after="0"/>
              <w:jc w:val="center"/>
            </w:pPr>
            <w:r w:rsidRPr="00536CFD">
              <w:rPr>
                <w:lang w:val="zh-CN"/>
              </w:rPr>
              <w:t>49.242</w:t>
            </w:r>
          </w:p>
        </w:tc>
        <w:tc>
          <w:tcPr>
            <w:tcW w:w="800" w:type="dxa"/>
            <w:tcBorders>
              <w:top w:val="single" w:sz="4" w:space="0" w:color="auto"/>
              <w:left w:val="nil"/>
              <w:bottom w:val="single" w:sz="4" w:space="0" w:color="auto"/>
              <w:right w:val="single" w:sz="4" w:space="0" w:color="auto"/>
            </w:tcBorders>
            <w:shd w:val="clear" w:color="auto" w:fill="auto"/>
          </w:tcPr>
          <w:p w14:paraId="309BA4A6" w14:textId="77777777" w:rsidR="009D4A93" w:rsidRPr="00536CFD" w:rsidRDefault="009D4A93" w:rsidP="009D4A93">
            <w:pPr>
              <w:spacing w:after="0"/>
              <w:jc w:val="center"/>
            </w:pPr>
            <w:r w:rsidRPr="00536CFD">
              <w:rPr>
                <w:lang w:val="zh-CN"/>
              </w:rPr>
              <w:t>68.307</w:t>
            </w:r>
          </w:p>
        </w:tc>
        <w:tc>
          <w:tcPr>
            <w:tcW w:w="720" w:type="dxa"/>
            <w:tcBorders>
              <w:top w:val="single" w:sz="4" w:space="0" w:color="auto"/>
              <w:left w:val="nil"/>
              <w:bottom w:val="single" w:sz="4" w:space="0" w:color="auto"/>
              <w:right w:val="single" w:sz="4" w:space="0" w:color="auto"/>
            </w:tcBorders>
            <w:shd w:val="clear" w:color="auto" w:fill="auto"/>
          </w:tcPr>
          <w:p w14:paraId="5E08503D" w14:textId="77777777" w:rsidR="009D4A93" w:rsidRPr="00536CFD" w:rsidRDefault="009D4A93" w:rsidP="009D4A93">
            <w:pPr>
              <w:spacing w:after="0"/>
              <w:jc w:val="center"/>
            </w:pPr>
            <w:r w:rsidRPr="00536CFD">
              <w:rPr>
                <w:lang w:val="zh-CN"/>
              </w:rPr>
              <w:t>126.5704</w:t>
            </w:r>
          </w:p>
        </w:tc>
        <w:tc>
          <w:tcPr>
            <w:tcW w:w="724" w:type="dxa"/>
            <w:tcBorders>
              <w:top w:val="single" w:sz="4" w:space="0" w:color="auto"/>
              <w:left w:val="nil"/>
              <w:bottom w:val="single" w:sz="4" w:space="0" w:color="auto"/>
              <w:right w:val="single" w:sz="4" w:space="0" w:color="auto"/>
            </w:tcBorders>
            <w:shd w:val="clear" w:color="auto" w:fill="auto"/>
          </w:tcPr>
          <w:p w14:paraId="7FFB2F7D" w14:textId="77777777" w:rsidR="009D4A93" w:rsidRPr="00536CFD" w:rsidRDefault="009D4A93" w:rsidP="009D4A93">
            <w:pPr>
              <w:spacing w:after="0"/>
              <w:jc w:val="center"/>
            </w:pPr>
            <w:r w:rsidRPr="00536CFD">
              <w:rPr>
                <w:lang w:val="zh-CN"/>
              </w:rPr>
              <w:t>23.966</w:t>
            </w:r>
          </w:p>
        </w:tc>
        <w:tc>
          <w:tcPr>
            <w:tcW w:w="896" w:type="dxa"/>
            <w:tcBorders>
              <w:top w:val="single" w:sz="4" w:space="0" w:color="auto"/>
              <w:left w:val="nil"/>
              <w:bottom w:val="single" w:sz="4" w:space="0" w:color="auto"/>
              <w:right w:val="single" w:sz="4" w:space="0" w:color="auto"/>
            </w:tcBorders>
            <w:shd w:val="clear" w:color="auto" w:fill="auto"/>
          </w:tcPr>
          <w:p w14:paraId="6259CDDD" w14:textId="77777777" w:rsidR="009D4A93" w:rsidRPr="00536CFD" w:rsidRDefault="009D4A93" w:rsidP="009D4A93">
            <w:pPr>
              <w:spacing w:after="0"/>
              <w:jc w:val="center"/>
            </w:pPr>
            <w:r w:rsidRPr="00536CFD">
              <w:rPr>
                <w:lang w:val="zh-CN"/>
              </w:rPr>
              <w:t>48.418</w:t>
            </w:r>
          </w:p>
        </w:tc>
        <w:tc>
          <w:tcPr>
            <w:tcW w:w="720" w:type="dxa"/>
            <w:tcBorders>
              <w:top w:val="single" w:sz="4" w:space="0" w:color="auto"/>
              <w:left w:val="nil"/>
              <w:bottom w:val="single" w:sz="4" w:space="0" w:color="auto"/>
              <w:right w:val="single" w:sz="4" w:space="0" w:color="auto"/>
            </w:tcBorders>
            <w:shd w:val="clear" w:color="auto" w:fill="auto"/>
          </w:tcPr>
          <w:p w14:paraId="2A3B7014" w14:textId="77777777" w:rsidR="009D4A93" w:rsidRPr="00536CFD" w:rsidRDefault="009D4A93" w:rsidP="009D4A93">
            <w:pPr>
              <w:spacing w:after="0"/>
              <w:jc w:val="center"/>
            </w:pPr>
            <w:r w:rsidRPr="00536CFD">
              <w:rPr>
                <w:lang w:val="zh-CN"/>
              </w:rPr>
              <w:t>53.314</w:t>
            </w:r>
          </w:p>
        </w:tc>
        <w:tc>
          <w:tcPr>
            <w:tcW w:w="720" w:type="dxa"/>
            <w:tcBorders>
              <w:top w:val="single" w:sz="4" w:space="0" w:color="auto"/>
              <w:left w:val="nil"/>
              <w:bottom w:val="single" w:sz="4" w:space="0" w:color="auto"/>
              <w:right w:val="single" w:sz="4" w:space="0" w:color="auto"/>
            </w:tcBorders>
            <w:shd w:val="clear" w:color="auto" w:fill="auto"/>
          </w:tcPr>
          <w:p w14:paraId="45476C1B" w14:textId="77777777" w:rsidR="009D4A93" w:rsidRPr="00536CFD" w:rsidRDefault="009D4A93" w:rsidP="009D4A93">
            <w:pPr>
              <w:spacing w:after="0"/>
              <w:jc w:val="center"/>
            </w:pPr>
            <w:r w:rsidRPr="00536CFD">
              <w:rPr>
                <w:lang w:val="zh-CN"/>
              </w:rPr>
              <w:t>123.3722</w:t>
            </w:r>
          </w:p>
        </w:tc>
      </w:tr>
      <w:tr w:rsidR="009D4A93" w:rsidRPr="00536CFD" w14:paraId="0AAEFC6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8EB0E63"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5C93C2A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2B9F86F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22089236" w14:textId="77777777" w:rsidR="009D4A93" w:rsidRPr="00536CFD" w:rsidRDefault="009D4A93" w:rsidP="009D4A93">
            <w:pPr>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3DDDE01C" w14:textId="77777777" w:rsidR="009D4A93" w:rsidRPr="00536CFD" w:rsidRDefault="009D4A93" w:rsidP="009D4A93">
            <w:pPr>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03EB5862" w14:textId="77777777" w:rsidR="009D4A93" w:rsidRPr="00536CFD" w:rsidRDefault="009D4A93" w:rsidP="009D4A93">
            <w:pPr>
              <w:spacing w:after="0"/>
              <w:jc w:val="center"/>
            </w:pPr>
            <w:r w:rsidRPr="00536CFD">
              <w:rPr>
                <w:lang w:val="zh-CN"/>
              </w:rPr>
              <w:t>0.022</w:t>
            </w:r>
          </w:p>
        </w:tc>
        <w:tc>
          <w:tcPr>
            <w:tcW w:w="810" w:type="dxa"/>
            <w:tcBorders>
              <w:top w:val="single" w:sz="4" w:space="0" w:color="auto"/>
              <w:left w:val="nil"/>
              <w:bottom w:val="single" w:sz="4" w:space="0" w:color="auto"/>
              <w:right w:val="single" w:sz="4" w:space="0" w:color="auto"/>
            </w:tcBorders>
            <w:shd w:val="clear" w:color="auto" w:fill="auto"/>
          </w:tcPr>
          <w:p w14:paraId="76AA62A4" w14:textId="77777777" w:rsidR="009D4A93" w:rsidRPr="00536CFD" w:rsidRDefault="009D4A93" w:rsidP="009D4A93">
            <w:pPr>
              <w:spacing w:after="0"/>
              <w:jc w:val="cente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tcPr>
          <w:p w14:paraId="019732E1" w14:textId="77777777" w:rsidR="009D4A93" w:rsidRPr="00536CFD" w:rsidRDefault="009D4A93" w:rsidP="009D4A93">
            <w:pPr>
              <w:spacing w:after="0"/>
              <w:jc w:val="center"/>
            </w:pPr>
            <w:r w:rsidRPr="00536CFD">
              <w:rPr>
                <w:lang w:val="zh-CN"/>
              </w:rPr>
              <w:t>0.062</w:t>
            </w:r>
          </w:p>
        </w:tc>
        <w:tc>
          <w:tcPr>
            <w:tcW w:w="820" w:type="dxa"/>
            <w:tcBorders>
              <w:top w:val="single" w:sz="4" w:space="0" w:color="auto"/>
              <w:left w:val="nil"/>
              <w:bottom w:val="single" w:sz="4" w:space="0" w:color="auto"/>
              <w:right w:val="single" w:sz="4" w:space="0" w:color="auto"/>
            </w:tcBorders>
            <w:shd w:val="clear" w:color="auto" w:fill="auto"/>
          </w:tcPr>
          <w:p w14:paraId="20879A9C" w14:textId="77777777" w:rsidR="009D4A93" w:rsidRPr="00536CFD" w:rsidRDefault="009D4A93" w:rsidP="009D4A93">
            <w:pPr>
              <w:spacing w:after="0"/>
              <w:jc w:val="center"/>
            </w:pPr>
            <w:r w:rsidRPr="00536CFD">
              <w:rPr>
                <w:lang w:val="zh-CN"/>
              </w:rPr>
              <w:t>0.060</w:t>
            </w:r>
          </w:p>
        </w:tc>
        <w:tc>
          <w:tcPr>
            <w:tcW w:w="800" w:type="dxa"/>
            <w:tcBorders>
              <w:top w:val="single" w:sz="4" w:space="0" w:color="auto"/>
              <w:left w:val="nil"/>
              <w:bottom w:val="single" w:sz="4" w:space="0" w:color="auto"/>
              <w:right w:val="single" w:sz="4" w:space="0" w:color="auto"/>
            </w:tcBorders>
            <w:shd w:val="clear" w:color="auto" w:fill="auto"/>
          </w:tcPr>
          <w:p w14:paraId="0D432758" w14:textId="77777777" w:rsidR="009D4A93" w:rsidRPr="00536CFD" w:rsidRDefault="009D4A93" w:rsidP="009D4A93">
            <w:pPr>
              <w:spacing w:after="0"/>
              <w:jc w:val="center"/>
            </w:pPr>
            <w:r w:rsidRPr="00536CFD">
              <w:rPr>
                <w:lang w:val="zh-CN"/>
              </w:rPr>
              <w:t>0.022</w:t>
            </w:r>
          </w:p>
        </w:tc>
        <w:tc>
          <w:tcPr>
            <w:tcW w:w="720" w:type="dxa"/>
            <w:tcBorders>
              <w:top w:val="single" w:sz="4" w:space="0" w:color="auto"/>
              <w:left w:val="nil"/>
              <w:bottom w:val="single" w:sz="4" w:space="0" w:color="auto"/>
              <w:right w:val="single" w:sz="4" w:space="0" w:color="auto"/>
            </w:tcBorders>
            <w:shd w:val="clear" w:color="auto" w:fill="auto"/>
          </w:tcPr>
          <w:p w14:paraId="644923AF" w14:textId="77777777" w:rsidR="009D4A93" w:rsidRPr="00536CFD" w:rsidRDefault="009D4A93" w:rsidP="009D4A93">
            <w:pPr>
              <w:spacing w:after="0"/>
              <w:jc w:val="center"/>
            </w:pPr>
            <w:r w:rsidRPr="00536CFD">
              <w:rPr>
                <w:lang w:val="zh-CN"/>
              </w:rPr>
              <w:t>0.021</w:t>
            </w:r>
          </w:p>
        </w:tc>
        <w:tc>
          <w:tcPr>
            <w:tcW w:w="724" w:type="dxa"/>
            <w:tcBorders>
              <w:top w:val="single" w:sz="4" w:space="0" w:color="auto"/>
              <w:left w:val="nil"/>
              <w:bottom w:val="single" w:sz="4" w:space="0" w:color="auto"/>
              <w:right w:val="single" w:sz="4" w:space="0" w:color="auto"/>
            </w:tcBorders>
            <w:shd w:val="clear" w:color="auto" w:fill="auto"/>
          </w:tcPr>
          <w:p w14:paraId="64EAE86C" w14:textId="77777777" w:rsidR="009D4A93" w:rsidRPr="00536CFD" w:rsidRDefault="009D4A93" w:rsidP="009D4A93">
            <w:pPr>
              <w:spacing w:after="0"/>
              <w:jc w:val="center"/>
            </w:pPr>
            <w:r w:rsidRPr="00536CFD">
              <w:rPr>
                <w:lang w:val="zh-CN"/>
              </w:rPr>
              <w:t>0.065</w:t>
            </w:r>
          </w:p>
        </w:tc>
        <w:tc>
          <w:tcPr>
            <w:tcW w:w="896" w:type="dxa"/>
            <w:tcBorders>
              <w:top w:val="single" w:sz="4" w:space="0" w:color="auto"/>
              <w:left w:val="nil"/>
              <w:bottom w:val="single" w:sz="4" w:space="0" w:color="auto"/>
              <w:right w:val="single" w:sz="4" w:space="0" w:color="auto"/>
            </w:tcBorders>
            <w:shd w:val="clear" w:color="auto" w:fill="auto"/>
          </w:tcPr>
          <w:p w14:paraId="22E35259" w14:textId="77777777" w:rsidR="009D4A93" w:rsidRPr="00536CFD" w:rsidRDefault="009D4A93" w:rsidP="009D4A93">
            <w:pPr>
              <w:spacing w:after="0"/>
              <w:jc w:val="center"/>
            </w:pPr>
            <w:r w:rsidRPr="00536CFD">
              <w:rPr>
                <w:lang w:val="zh-CN"/>
              </w:rPr>
              <w:t>0.060</w:t>
            </w:r>
          </w:p>
        </w:tc>
        <w:tc>
          <w:tcPr>
            <w:tcW w:w="720" w:type="dxa"/>
            <w:tcBorders>
              <w:top w:val="single" w:sz="4" w:space="0" w:color="auto"/>
              <w:left w:val="nil"/>
              <w:bottom w:val="single" w:sz="4" w:space="0" w:color="auto"/>
              <w:right w:val="single" w:sz="4" w:space="0" w:color="auto"/>
            </w:tcBorders>
            <w:shd w:val="clear" w:color="auto" w:fill="auto"/>
          </w:tcPr>
          <w:p w14:paraId="05DAF561" w14:textId="77777777" w:rsidR="009D4A93" w:rsidRPr="00536CFD" w:rsidRDefault="009D4A93" w:rsidP="009D4A93">
            <w:pPr>
              <w:spacing w:after="0"/>
              <w:jc w:val="center"/>
            </w:pPr>
            <w:r w:rsidRPr="00536CFD">
              <w:rPr>
                <w:lang w:val="zh-CN"/>
              </w:rPr>
              <w:t>0.022</w:t>
            </w:r>
          </w:p>
        </w:tc>
        <w:tc>
          <w:tcPr>
            <w:tcW w:w="720" w:type="dxa"/>
            <w:tcBorders>
              <w:top w:val="single" w:sz="4" w:space="0" w:color="auto"/>
              <w:left w:val="nil"/>
              <w:bottom w:val="single" w:sz="4" w:space="0" w:color="auto"/>
              <w:right w:val="single" w:sz="4" w:space="0" w:color="auto"/>
            </w:tcBorders>
            <w:shd w:val="clear" w:color="auto" w:fill="auto"/>
          </w:tcPr>
          <w:p w14:paraId="3C0443EF" w14:textId="77777777" w:rsidR="009D4A93" w:rsidRPr="00536CFD" w:rsidRDefault="009D4A93" w:rsidP="009D4A93">
            <w:pPr>
              <w:spacing w:after="0"/>
              <w:jc w:val="center"/>
            </w:pPr>
            <w:r w:rsidRPr="00536CFD">
              <w:rPr>
                <w:lang w:val="zh-CN"/>
              </w:rPr>
              <w:t>0.021</w:t>
            </w:r>
          </w:p>
        </w:tc>
      </w:tr>
      <w:tr w:rsidR="009D4A93" w:rsidRPr="00536CFD" w14:paraId="1989EA2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616717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60C690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52525C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6D280C87" w14:textId="77777777" w:rsidR="009D4A93" w:rsidRPr="00536CFD" w:rsidRDefault="009D4A93" w:rsidP="009D4A93">
            <w:pPr>
              <w:spacing w:after="0"/>
              <w:jc w:val="center"/>
            </w:pPr>
            <w:r w:rsidRPr="00536CFD">
              <w:rPr>
                <w:lang w:val="zh-CN"/>
              </w:rPr>
              <w:t>0.068</w:t>
            </w:r>
          </w:p>
        </w:tc>
        <w:tc>
          <w:tcPr>
            <w:tcW w:w="720" w:type="dxa"/>
            <w:tcBorders>
              <w:top w:val="single" w:sz="4" w:space="0" w:color="auto"/>
              <w:left w:val="nil"/>
              <w:bottom w:val="single" w:sz="4" w:space="0" w:color="auto"/>
              <w:right w:val="single" w:sz="4" w:space="0" w:color="auto"/>
            </w:tcBorders>
            <w:shd w:val="clear" w:color="auto" w:fill="auto"/>
          </w:tcPr>
          <w:p w14:paraId="347575D4" w14:textId="77777777" w:rsidR="009D4A93" w:rsidRPr="00536CFD" w:rsidRDefault="009D4A93" w:rsidP="009D4A93">
            <w:pPr>
              <w:spacing w:after="0"/>
              <w:jc w:val="center"/>
            </w:pPr>
            <w:r w:rsidRPr="00536CFD">
              <w:rPr>
                <w:lang w:val="zh-CN"/>
              </w:rPr>
              <w:t>0.062</w:t>
            </w:r>
          </w:p>
        </w:tc>
        <w:tc>
          <w:tcPr>
            <w:tcW w:w="720" w:type="dxa"/>
            <w:tcBorders>
              <w:top w:val="single" w:sz="4" w:space="0" w:color="auto"/>
              <w:left w:val="nil"/>
              <w:bottom w:val="single" w:sz="4" w:space="0" w:color="auto"/>
              <w:right w:val="single" w:sz="4" w:space="0" w:color="auto"/>
            </w:tcBorders>
            <w:shd w:val="clear" w:color="auto" w:fill="auto"/>
          </w:tcPr>
          <w:p w14:paraId="19361751" w14:textId="77777777" w:rsidR="009D4A93" w:rsidRPr="00536CFD" w:rsidRDefault="009D4A93" w:rsidP="009D4A93">
            <w:pPr>
              <w:spacing w:after="0"/>
              <w:jc w:val="center"/>
            </w:pPr>
            <w:r w:rsidRPr="00536CFD">
              <w:rPr>
                <w:lang w:val="zh-CN"/>
              </w:rPr>
              <w:t>0.040</w:t>
            </w:r>
          </w:p>
        </w:tc>
        <w:tc>
          <w:tcPr>
            <w:tcW w:w="810" w:type="dxa"/>
            <w:tcBorders>
              <w:top w:val="single" w:sz="4" w:space="0" w:color="auto"/>
              <w:left w:val="nil"/>
              <w:bottom w:val="single" w:sz="4" w:space="0" w:color="auto"/>
              <w:right w:val="single" w:sz="4" w:space="0" w:color="auto"/>
            </w:tcBorders>
            <w:shd w:val="clear" w:color="auto" w:fill="auto"/>
          </w:tcPr>
          <w:p w14:paraId="4B2934F9" w14:textId="77777777" w:rsidR="009D4A93" w:rsidRPr="00536CFD" w:rsidRDefault="009D4A93" w:rsidP="009D4A93">
            <w:pPr>
              <w:spacing w:after="0"/>
              <w:jc w:val="center"/>
            </w:pPr>
            <w:r w:rsidRPr="00536CFD">
              <w:rPr>
                <w:lang w:val="zh-CN"/>
              </w:rPr>
              <w:t>0.027</w:t>
            </w:r>
          </w:p>
        </w:tc>
        <w:tc>
          <w:tcPr>
            <w:tcW w:w="810" w:type="dxa"/>
            <w:tcBorders>
              <w:top w:val="single" w:sz="4" w:space="0" w:color="auto"/>
              <w:left w:val="nil"/>
              <w:bottom w:val="single" w:sz="4" w:space="0" w:color="auto"/>
              <w:right w:val="single" w:sz="4" w:space="0" w:color="auto"/>
            </w:tcBorders>
            <w:shd w:val="clear" w:color="auto" w:fill="auto"/>
          </w:tcPr>
          <w:p w14:paraId="06E2174B" w14:textId="77777777" w:rsidR="009D4A93" w:rsidRPr="00536CFD" w:rsidRDefault="009D4A93" w:rsidP="009D4A93">
            <w:pPr>
              <w:spacing w:after="0"/>
              <w:jc w:val="center"/>
            </w:pPr>
            <w:r w:rsidRPr="00536CFD">
              <w:rPr>
                <w:lang w:val="zh-CN"/>
              </w:rPr>
              <w:t>0.127</w:t>
            </w:r>
          </w:p>
        </w:tc>
        <w:tc>
          <w:tcPr>
            <w:tcW w:w="820" w:type="dxa"/>
            <w:tcBorders>
              <w:top w:val="single" w:sz="4" w:space="0" w:color="auto"/>
              <w:left w:val="nil"/>
              <w:bottom w:val="single" w:sz="4" w:space="0" w:color="auto"/>
              <w:right w:val="single" w:sz="4" w:space="0" w:color="auto"/>
            </w:tcBorders>
            <w:shd w:val="clear" w:color="auto" w:fill="auto"/>
          </w:tcPr>
          <w:p w14:paraId="2AA43BC4" w14:textId="77777777" w:rsidR="009D4A93" w:rsidRPr="00536CFD" w:rsidRDefault="009D4A93" w:rsidP="009D4A93">
            <w:pPr>
              <w:spacing w:after="0"/>
              <w:jc w:val="center"/>
            </w:pPr>
            <w:r w:rsidRPr="00536CFD">
              <w:rPr>
                <w:lang w:val="zh-CN"/>
              </w:rPr>
              <w:t>0.071</w:t>
            </w:r>
          </w:p>
        </w:tc>
        <w:tc>
          <w:tcPr>
            <w:tcW w:w="800" w:type="dxa"/>
            <w:tcBorders>
              <w:top w:val="single" w:sz="4" w:space="0" w:color="auto"/>
              <w:left w:val="nil"/>
              <w:bottom w:val="single" w:sz="4" w:space="0" w:color="auto"/>
              <w:right w:val="single" w:sz="4" w:space="0" w:color="auto"/>
            </w:tcBorders>
            <w:shd w:val="clear" w:color="auto" w:fill="auto"/>
          </w:tcPr>
          <w:p w14:paraId="7995856C" w14:textId="77777777" w:rsidR="009D4A93" w:rsidRPr="00536CFD" w:rsidRDefault="009D4A93" w:rsidP="009D4A93">
            <w:pPr>
              <w:spacing w:after="0"/>
              <w:jc w:val="center"/>
            </w:pPr>
            <w:r w:rsidRPr="00536CFD">
              <w:rPr>
                <w:lang w:val="zh-CN"/>
              </w:rPr>
              <w:t>0.089</w:t>
            </w:r>
          </w:p>
        </w:tc>
        <w:tc>
          <w:tcPr>
            <w:tcW w:w="720" w:type="dxa"/>
            <w:tcBorders>
              <w:top w:val="single" w:sz="4" w:space="0" w:color="auto"/>
              <w:left w:val="nil"/>
              <w:bottom w:val="single" w:sz="4" w:space="0" w:color="auto"/>
              <w:right w:val="single" w:sz="4" w:space="0" w:color="auto"/>
            </w:tcBorders>
            <w:shd w:val="clear" w:color="auto" w:fill="auto"/>
          </w:tcPr>
          <w:p w14:paraId="782C7B6A" w14:textId="77777777" w:rsidR="009D4A93" w:rsidRPr="00536CFD" w:rsidRDefault="009D4A93" w:rsidP="009D4A93">
            <w:pPr>
              <w:spacing w:after="0"/>
              <w:jc w:val="center"/>
            </w:pPr>
            <w:r w:rsidRPr="00536CFD">
              <w:rPr>
                <w:lang w:val="zh-CN"/>
              </w:rPr>
              <w:t>0.030</w:t>
            </w:r>
          </w:p>
        </w:tc>
        <w:tc>
          <w:tcPr>
            <w:tcW w:w="724" w:type="dxa"/>
            <w:tcBorders>
              <w:top w:val="single" w:sz="4" w:space="0" w:color="auto"/>
              <w:left w:val="nil"/>
              <w:bottom w:val="single" w:sz="4" w:space="0" w:color="auto"/>
              <w:right w:val="single" w:sz="4" w:space="0" w:color="auto"/>
            </w:tcBorders>
            <w:shd w:val="clear" w:color="auto" w:fill="auto"/>
          </w:tcPr>
          <w:p w14:paraId="5D878306" w14:textId="77777777" w:rsidR="009D4A93" w:rsidRPr="00536CFD" w:rsidRDefault="009D4A93" w:rsidP="009D4A93">
            <w:pPr>
              <w:spacing w:after="0"/>
              <w:jc w:val="center"/>
            </w:pPr>
            <w:r w:rsidRPr="00536CFD">
              <w:rPr>
                <w:lang w:val="zh-CN"/>
              </w:rPr>
              <w:t>0.211</w:t>
            </w:r>
          </w:p>
        </w:tc>
        <w:tc>
          <w:tcPr>
            <w:tcW w:w="896" w:type="dxa"/>
            <w:tcBorders>
              <w:top w:val="single" w:sz="4" w:space="0" w:color="auto"/>
              <w:left w:val="nil"/>
              <w:bottom w:val="single" w:sz="4" w:space="0" w:color="auto"/>
              <w:right w:val="single" w:sz="4" w:space="0" w:color="auto"/>
            </w:tcBorders>
            <w:shd w:val="clear" w:color="auto" w:fill="auto"/>
          </w:tcPr>
          <w:p w14:paraId="32BA5E37" w14:textId="77777777" w:rsidR="009D4A93" w:rsidRPr="00536CFD" w:rsidRDefault="009D4A93" w:rsidP="009D4A93">
            <w:pPr>
              <w:spacing w:after="0"/>
              <w:jc w:val="center"/>
            </w:pPr>
            <w:r w:rsidRPr="00536CFD">
              <w:rPr>
                <w:lang w:val="zh-CN"/>
              </w:rPr>
              <w:t>0.077</w:t>
            </w:r>
          </w:p>
        </w:tc>
        <w:tc>
          <w:tcPr>
            <w:tcW w:w="720" w:type="dxa"/>
            <w:tcBorders>
              <w:top w:val="single" w:sz="4" w:space="0" w:color="auto"/>
              <w:left w:val="nil"/>
              <w:bottom w:val="single" w:sz="4" w:space="0" w:color="auto"/>
              <w:right w:val="single" w:sz="4" w:space="0" w:color="auto"/>
            </w:tcBorders>
            <w:shd w:val="clear" w:color="auto" w:fill="auto"/>
          </w:tcPr>
          <w:p w14:paraId="32BD2013" w14:textId="77777777" w:rsidR="009D4A93" w:rsidRPr="00536CFD" w:rsidRDefault="009D4A93" w:rsidP="009D4A93">
            <w:pPr>
              <w:spacing w:after="0"/>
              <w:jc w:val="center"/>
            </w:pPr>
            <w:r w:rsidRPr="00536CFD">
              <w:rPr>
                <w:lang w:val="zh-CN"/>
              </w:rPr>
              <w:t>0.128</w:t>
            </w:r>
          </w:p>
        </w:tc>
        <w:tc>
          <w:tcPr>
            <w:tcW w:w="720" w:type="dxa"/>
            <w:tcBorders>
              <w:top w:val="single" w:sz="4" w:space="0" w:color="auto"/>
              <w:left w:val="nil"/>
              <w:bottom w:val="single" w:sz="4" w:space="0" w:color="auto"/>
              <w:right w:val="single" w:sz="4" w:space="0" w:color="auto"/>
            </w:tcBorders>
            <w:shd w:val="clear" w:color="auto" w:fill="auto"/>
          </w:tcPr>
          <w:p w14:paraId="1C84464E" w14:textId="77777777" w:rsidR="009D4A93" w:rsidRPr="00536CFD" w:rsidRDefault="009D4A93" w:rsidP="009D4A93">
            <w:pPr>
              <w:spacing w:after="0"/>
              <w:jc w:val="center"/>
            </w:pPr>
            <w:r w:rsidRPr="00536CFD">
              <w:rPr>
                <w:lang w:val="zh-CN"/>
              </w:rPr>
              <w:t>0.031</w:t>
            </w:r>
          </w:p>
        </w:tc>
      </w:tr>
      <w:tr w:rsidR="009D4A93" w:rsidRPr="00536CFD" w14:paraId="27B3720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AE9203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C8547A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01AA68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7974B46E" w14:textId="77777777" w:rsidR="009D4A93" w:rsidRPr="00536CFD" w:rsidRDefault="009D4A93" w:rsidP="009D4A93">
            <w:pPr>
              <w:spacing w:after="0"/>
              <w:jc w:val="center"/>
            </w:pPr>
            <w:r w:rsidRPr="00536CFD">
              <w:rPr>
                <w:lang w:val="zh-CN"/>
              </w:rPr>
              <w:t>0.192</w:t>
            </w:r>
          </w:p>
        </w:tc>
        <w:tc>
          <w:tcPr>
            <w:tcW w:w="720" w:type="dxa"/>
            <w:tcBorders>
              <w:top w:val="single" w:sz="4" w:space="0" w:color="auto"/>
              <w:left w:val="nil"/>
              <w:bottom w:val="single" w:sz="4" w:space="0" w:color="auto"/>
              <w:right w:val="single" w:sz="4" w:space="0" w:color="auto"/>
            </w:tcBorders>
            <w:shd w:val="clear" w:color="auto" w:fill="auto"/>
          </w:tcPr>
          <w:p w14:paraId="0D3AE32A" w14:textId="77777777" w:rsidR="009D4A93" w:rsidRPr="00536CFD" w:rsidRDefault="009D4A93" w:rsidP="009D4A93">
            <w:pPr>
              <w:spacing w:after="0"/>
              <w:jc w:val="center"/>
            </w:pPr>
            <w:r w:rsidRPr="00536CFD">
              <w:rPr>
                <w:lang w:val="zh-CN"/>
              </w:rPr>
              <w:t>0.117</w:t>
            </w:r>
          </w:p>
        </w:tc>
        <w:tc>
          <w:tcPr>
            <w:tcW w:w="720" w:type="dxa"/>
            <w:tcBorders>
              <w:top w:val="single" w:sz="4" w:space="0" w:color="auto"/>
              <w:left w:val="nil"/>
              <w:bottom w:val="single" w:sz="4" w:space="0" w:color="auto"/>
              <w:right w:val="single" w:sz="4" w:space="0" w:color="auto"/>
            </w:tcBorders>
            <w:shd w:val="clear" w:color="auto" w:fill="auto"/>
          </w:tcPr>
          <w:p w14:paraId="272977D5" w14:textId="77777777" w:rsidR="009D4A93" w:rsidRPr="00536CFD" w:rsidRDefault="009D4A93" w:rsidP="009D4A93">
            <w:pPr>
              <w:spacing w:after="0"/>
              <w:jc w:val="center"/>
            </w:pPr>
            <w:r w:rsidRPr="00536CFD">
              <w:rPr>
                <w:lang w:val="zh-CN"/>
              </w:rPr>
              <w:t>0.193</w:t>
            </w:r>
          </w:p>
        </w:tc>
        <w:tc>
          <w:tcPr>
            <w:tcW w:w="810" w:type="dxa"/>
            <w:tcBorders>
              <w:top w:val="single" w:sz="4" w:space="0" w:color="auto"/>
              <w:left w:val="nil"/>
              <w:bottom w:val="single" w:sz="4" w:space="0" w:color="auto"/>
              <w:right w:val="single" w:sz="4" w:space="0" w:color="auto"/>
            </w:tcBorders>
            <w:shd w:val="clear" w:color="auto" w:fill="auto"/>
          </w:tcPr>
          <w:p w14:paraId="7CE6FB58" w14:textId="77777777" w:rsidR="009D4A93" w:rsidRPr="00536CFD" w:rsidRDefault="009D4A93" w:rsidP="009D4A93">
            <w:pPr>
              <w:spacing w:after="0"/>
              <w:jc w:val="center"/>
            </w:pPr>
            <w:r w:rsidRPr="00536CFD">
              <w:rPr>
                <w:lang w:val="zh-CN"/>
              </w:rPr>
              <w:t>0.111</w:t>
            </w:r>
          </w:p>
        </w:tc>
        <w:tc>
          <w:tcPr>
            <w:tcW w:w="810" w:type="dxa"/>
            <w:tcBorders>
              <w:top w:val="single" w:sz="4" w:space="0" w:color="auto"/>
              <w:left w:val="nil"/>
              <w:bottom w:val="single" w:sz="4" w:space="0" w:color="auto"/>
              <w:right w:val="single" w:sz="4" w:space="0" w:color="auto"/>
            </w:tcBorders>
            <w:shd w:val="clear" w:color="auto" w:fill="auto"/>
          </w:tcPr>
          <w:p w14:paraId="44455E6C" w14:textId="77777777" w:rsidR="009D4A93" w:rsidRPr="00536CFD" w:rsidRDefault="009D4A93" w:rsidP="009D4A93">
            <w:pPr>
              <w:spacing w:after="0"/>
              <w:jc w:val="center"/>
            </w:pPr>
            <w:r w:rsidRPr="00536CFD">
              <w:rPr>
                <w:lang w:val="zh-CN"/>
              </w:rPr>
              <w:t>0.454</w:t>
            </w:r>
          </w:p>
        </w:tc>
        <w:tc>
          <w:tcPr>
            <w:tcW w:w="820" w:type="dxa"/>
            <w:tcBorders>
              <w:top w:val="single" w:sz="4" w:space="0" w:color="auto"/>
              <w:left w:val="nil"/>
              <w:bottom w:val="single" w:sz="4" w:space="0" w:color="auto"/>
              <w:right w:val="single" w:sz="4" w:space="0" w:color="auto"/>
            </w:tcBorders>
            <w:shd w:val="clear" w:color="auto" w:fill="auto"/>
          </w:tcPr>
          <w:p w14:paraId="34442E07" w14:textId="77777777" w:rsidR="009D4A93" w:rsidRPr="00536CFD" w:rsidRDefault="009D4A93" w:rsidP="009D4A93">
            <w:pPr>
              <w:spacing w:after="0"/>
              <w:jc w:val="center"/>
            </w:pPr>
            <w:r w:rsidRPr="00536CFD">
              <w:rPr>
                <w:lang w:val="zh-CN"/>
              </w:rPr>
              <w:t>0.193</w:t>
            </w:r>
          </w:p>
        </w:tc>
        <w:tc>
          <w:tcPr>
            <w:tcW w:w="800" w:type="dxa"/>
            <w:tcBorders>
              <w:top w:val="single" w:sz="4" w:space="0" w:color="auto"/>
              <w:left w:val="nil"/>
              <w:bottom w:val="single" w:sz="4" w:space="0" w:color="auto"/>
              <w:right w:val="single" w:sz="4" w:space="0" w:color="auto"/>
            </w:tcBorders>
            <w:shd w:val="clear" w:color="auto" w:fill="auto"/>
          </w:tcPr>
          <w:p w14:paraId="36A67F63" w14:textId="77777777" w:rsidR="009D4A93" w:rsidRPr="00536CFD" w:rsidRDefault="009D4A93" w:rsidP="009D4A93">
            <w:pPr>
              <w:spacing w:after="0"/>
              <w:jc w:val="center"/>
            </w:pPr>
            <w:r w:rsidRPr="00536CFD">
              <w:rPr>
                <w:lang w:val="zh-CN"/>
              </w:rPr>
              <w:t>0.474</w:t>
            </w:r>
          </w:p>
        </w:tc>
        <w:tc>
          <w:tcPr>
            <w:tcW w:w="720" w:type="dxa"/>
            <w:tcBorders>
              <w:top w:val="single" w:sz="4" w:space="0" w:color="auto"/>
              <w:left w:val="nil"/>
              <w:bottom w:val="single" w:sz="4" w:space="0" w:color="auto"/>
              <w:right w:val="single" w:sz="4" w:space="0" w:color="auto"/>
            </w:tcBorders>
            <w:shd w:val="clear" w:color="auto" w:fill="auto"/>
          </w:tcPr>
          <w:p w14:paraId="2C71BF53" w14:textId="77777777" w:rsidR="009D4A93" w:rsidRPr="00536CFD" w:rsidRDefault="009D4A93" w:rsidP="009D4A93">
            <w:pPr>
              <w:spacing w:after="0"/>
              <w:jc w:val="center"/>
            </w:pPr>
            <w:r w:rsidRPr="00536CFD">
              <w:rPr>
                <w:lang w:val="zh-CN"/>
              </w:rPr>
              <w:t>0.125</w:t>
            </w:r>
          </w:p>
        </w:tc>
        <w:tc>
          <w:tcPr>
            <w:tcW w:w="724" w:type="dxa"/>
            <w:tcBorders>
              <w:top w:val="single" w:sz="4" w:space="0" w:color="auto"/>
              <w:left w:val="nil"/>
              <w:bottom w:val="single" w:sz="4" w:space="0" w:color="auto"/>
              <w:right w:val="single" w:sz="4" w:space="0" w:color="auto"/>
            </w:tcBorders>
            <w:shd w:val="clear" w:color="auto" w:fill="auto"/>
          </w:tcPr>
          <w:p w14:paraId="22C59C22" w14:textId="77777777" w:rsidR="009D4A93" w:rsidRPr="00536CFD" w:rsidRDefault="009D4A93" w:rsidP="009D4A93">
            <w:pPr>
              <w:spacing w:after="0"/>
              <w:jc w:val="center"/>
            </w:pPr>
            <w:r w:rsidRPr="00536CFD">
              <w:rPr>
                <w:lang w:val="zh-CN"/>
              </w:rPr>
              <w:t>0.864</w:t>
            </w:r>
          </w:p>
        </w:tc>
        <w:tc>
          <w:tcPr>
            <w:tcW w:w="896" w:type="dxa"/>
            <w:tcBorders>
              <w:top w:val="single" w:sz="4" w:space="0" w:color="auto"/>
              <w:left w:val="nil"/>
              <w:bottom w:val="single" w:sz="4" w:space="0" w:color="auto"/>
              <w:right w:val="single" w:sz="4" w:space="0" w:color="auto"/>
            </w:tcBorders>
            <w:shd w:val="clear" w:color="auto" w:fill="auto"/>
          </w:tcPr>
          <w:p w14:paraId="12039B0C" w14:textId="77777777" w:rsidR="009D4A93" w:rsidRPr="00536CFD" w:rsidRDefault="009D4A93" w:rsidP="009D4A93">
            <w:pPr>
              <w:spacing w:after="0"/>
              <w:jc w:val="center"/>
            </w:pPr>
            <w:r w:rsidRPr="00536CFD">
              <w:rPr>
                <w:lang w:val="zh-CN"/>
              </w:rPr>
              <w:t>0.187</w:t>
            </w:r>
          </w:p>
        </w:tc>
        <w:tc>
          <w:tcPr>
            <w:tcW w:w="720" w:type="dxa"/>
            <w:tcBorders>
              <w:top w:val="single" w:sz="4" w:space="0" w:color="auto"/>
              <w:left w:val="nil"/>
              <w:bottom w:val="single" w:sz="4" w:space="0" w:color="auto"/>
              <w:right w:val="single" w:sz="4" w:space="0" w:color="auto"/>
            </w:tcBorders>
            <w:shd w:val="clear" w:color="auto" w:fill="auto"/>
          </w:tcPr>
          <w:p w14:paraId="2F5FD4E8" w14:textId="77777777" w:rsidR="009D4A93" w:rsidRPr="00536CFD" w:rsidRDefault="009D4A93" w:rsidP="009D4A93">
            <w:pPr>
              <w:spacing w:after="0"/>
              <w:jc w:val="center"/>
            </w:pPr>
            <w:r w:rsidRPr="00536CFD">
              <w:rPr>
                <w:lang w:val="zh-CN"/>
              </w:rPr>
              <w:t>0.738</w:t>
            </w:r>
          </w:p>
        </w:tc>
        <w:tc>
          <w:tcPr>
            <w:tcW w:w="720" w:type="dxa"/>
            <w:tcBorders>
              <w:top w:val="single" w:sz="4" w:space="0" w:color="auto"/>
              <w:left w:val="nil"/>
              <w:bottom w:val="single" w:sz="4" w:space="0" w:color="auto"/>
              <w:right w:val="single" w:sz="4" w:space="0" w:color="auto"/>
            </w:tcBorders>
            <w:shd w:val="clear" w:color="auto" w:fill="auto"/>
          </w:tcPr>
          <w:p w14:paraId="0A778EF1" w14:textId="77777777" w:rsidR="009D4A93" w:rsidRPr="00536CFD" w:rsidRDefault="009D4A93" w:rsidP="009D4A93">
            <w:pPr>
              <w:spacing w:after="0"/>
              <w:jc w:val="center"/>
            </w:pPr>
            <w:r w:rsidRPr="00536CFD">
              <w:rPr>
                <w:lang w:val="zh-CN"/>
              </w:rPr>
              <w:t>0.137</w:t>
            </w:r>
          </w:p>
        </w:tc>
      </w:tr>
      <w:tr w:rsidR="009D4A93" w:rsidRPr="00536CFD" w14:paraId="535532F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A2AD63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8686A4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8C2C48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12FAE7A8" w14:textId="77777777" w:rsidR="009D4A93" w:rsidRPr="00536CFD" w:rsidRDefault="009D4A93" w:rsidP="009D4A93">
            <w:pPr>
              <w:spacing w:after="0"/>
              <w:jc w:val="center"/>
            </w:pPr>
            <w:r w:rsidRPr="00536CFD">
              <w:rPr>
                <w:lang w:val="zh-CN"/>
              </w:rPr>
              <w:t>0.092</w:t>
            </w:r>
          </w:p>
        </w:tc>
        <w:tc>
          <w:tcPr>
            <w:tcW w:w="720" w:type="dxa"/>
            <w:tcBorders>
              <w:top w:val="single" w:sz="4" w:space="0" w:color="auto"/>
              <w:left w:val="nil"/>
              <w:bottom w:val="single" w:sz="4" w:space="0" w:color="auto"/>
              <w:right w:val="single" w:sz="4" w:space="0" w:color="auto"/>
            </w:tcBorders>
            <w:shd w:val="clear" w:color="auto" w:fill="auto"/>
          </w:tcPr>
          <w:p w14:paraId="3E95E5BB" w14:textId="77777777" w:rsidR="009D4A93" w:rsidRPr="00536CFD" w:rsidRDefault="009D4A93" w:rsidP="009D4A93">
            <w:pPr>
              <w:spacing w:after="0"/>
              <w:jc w:val="center"/>
            </w:pPr>
            <w:r w:rsidRPr="00536CFD">
              <w:rPr>
                <w:lang w:val="zh-CN"/>
              </w:rPr>
              <w:t>0.071</w:t>
            </w:r>
          </w:p>
        </w:tc>
        <w:tc>
          <w:tcPr>
            <w:tcW w:w="720" w:type="dxa"/>
            <w:tcBorders>
              <w:top w:val="single" w:sz="4" w:space="0" w:color="auto"/>
              <w:left w:val="nil"/>
              <w:bottom w:val="single" w:sz="4" w:space="0" w:color="auto"/>
              <w:right w:val="single" w:sz="4" w:space="0" w:color="auto"/>
            </w:tcBorders>
            <w:shd w:val="clear" w:color="auto" w:fill="auto"/>
          </w:tcPr>
          <w:p w14:paraId="179B1EA3" w14:textId="77777777" w:rsidR="009D4A93" w:rsidRPr="00536CFD" w:rsidRDefault="009D4A93" w:rsidP="009D4A93">
            <w:pPr>
              <w:spacing w:after="0"/>
              <w:jc w:val="center"/>
            </w:pPr>
            <w:r w:rsidRPr="00536CFD">
              <w:rPr>
                <w:lang w:val="zh-CN"/>
              </w:rPr>
              <w:t>0.067</w:t>
            </w:r>
          </w:p>
        </w:tc>
        <w:tc>
          <w:tcPr>
            <w:tcW w:w="810" w:type="dxa"/>
            <w:tcBorders>
              <w:top w:val="single" w:sz="4" w:space="0" w:color="auto"/>
              <w:left w:val="nil"/>
              <w:bottom w:val="single" w:sz="4" w:space="0" w:color="auto"/>
              <w:right w:val="single" w:sz="4" w:space="0" w:color="auto"/>
            </w:tcBorders>
            <w:shd w:val="clear" w:color="auto" w:fill="auto"/>
          </w:tcPr>
          <w:p w14:paraId="34F315AD" w14:textId="77777777" w:rsidR="009D4A93" w:rsidRPr="00536CFD" w:rsidRDefault="009D4A93" w:rsidP="009D4A93">
            <w:pPr>
              <w:spacing w:after="0"/>
              <w:jc w:val="center"/>
            </w:pPr>
            <w:r w:rsidRPr="00536CFD">
              <w:rPr>
                <w:lang w:val="zh-CN"/>
              </w:rPr>
              <w:t>0.045</w:t>
            </w:r>
          </w:p>
        </w:tc>
        <w:tc>
          <w:tcPr>
            <w:tcW w:w="810" w:type="dxa"/>
            <w:tcBorders>
              <w:top w:val="single" w:sz="4" w:space="0" w:color="auto"/>
              <w:left w:val="nil"/>
              <w:bottom w:val="single" w:sz="4" w:space="0" w:color="auto"/>
              <w:right w:val="single" w:sz="4" w:space="0" w:color="auto"/>
            </w:tcBorders>
            <w:shd w:val="clear" w:color="auto" w:fill="auto"/>
          </w:tcPr>
          <w:p w14:paraId="6C936C1B" w14:textId="77777777" w:rsidR="009D4A93" w:rsidRPr="00536CFD" w:rsidRDefault="009D4A93" w:rsidP="009D4A93">
            <w:pPr>
              <w:spacing w:after="0"/>
              <w:jc w:val="center"/>
            </w:pPr>
            <w:r w:rsidRPr="00536CFD">
              <w:rPr>
                <w:lang w:val="zh-CN"/>
              </w:rPr>
              <w:t>0.173</w:t>
            </w:r>
          </w:p>
        </w:tc>
        <w:tc>
          <w:tcPr>
            <w:tcW w:w="820" w:type="dxa"/>
            <w:tcBorders>
              <w:top w:val="single" w:sz="4" w:space="0" w:color="auto"/>
              <w:left w:val="nil"/>
              <w:bottom w:val="single" w:sz="4" w:space="0" w:color="auto"/>
              <w:right w:val="single" w:sz="4" w:space="0" w:color="auto"/>
            </w:tcBorders>
            <w:shd w:val="clear" w:color="auto" w:fill="auto"/>
          </w:tcPr>
          <w:p w14:paraId="6EA734FA" w14:textId="77777777" w:rsidR="009D4A93" w:rsidRPr="00536CFD" w:rsidRDefault="009D4A93" w:rsidP="009D4A93">
            <w:pPr>
              <w:spacing w:after="0"/>
              <w:jc w:val="center"/>
            </w:pPr>
            <w:r w:rsidRPr="00536CFD">
              <w:rPr>
                <w:lang w:val="zh-CN"/>
              </w:rPr>
              <w:t>0.095</w:t>
            </w:r>
          </w:p>
        </w:tc>
        <w:tc>
          <w:tcPr>
            <w:tcW w:w="800" w:type="dxa"/>
            <w:tcBorders>
              <w:top w:val="single" w:sz="4" w:space="0" w:color="auto"/>
              <w:left w:val="nil"/>
              <w:bottom w:val="single" w:sz="4" w:space="0" w:color="auto"/>
              <w:right w:val="single" w:sz="4" w:space="0" w:color="auto"/>
            </w:tcBorders>
            <w:shd w:val="clear" w:color="auto" w:fill="auto"/>
          </w:tcPr>
          <w:p w14:paraId="1FA84DB0" w14:textId="77777777" w:rsidR="009D4A93" w:rsidRPr="00536CFD" w:rsidRDefault="009D4A93" w:rsidP="009D4A93">
            <w:pPr>
              <w:spacing w:after="0"/>
              <w:jc w:val="center"/>
            </w:pPr>
            <w:r w:rsidRPr="00536CFD">
              <w:rPr>
                <w:lang w:val="zh-CN"/>
              </w:rPr>
              <w:t>0.151</w:t>
            </w:r>
          </w:p>
        </w:tc>
        <w:tc>
          <w:tcPr>
            <w:tcW w:w="720" w:type="dxa"/>
            <w:tcBorders>
              <w:top w:val="single" w:sz="4" w:space="0" w:color="auto"/>
              <w:left w:val="nil"/>
              <w:bottom w:val="single" w:sz="4" w:space="0" w:color="auto"/>
              <w:right w:val="single" w:sz="4" w:space="0" w:color="auto"/>
            </w:tcBorders>
            <w:shd w:val="clear" w:color="auto" w:fill="auto"/>
          </w:tcPr>
          <w:p w14:paraId="16B91DF3" w14:textId="77777777" w:rsidR="009D4A93" w:rsidRPr="00536CFD" w:rsidRDefault="009D4A93" w:rsidP="009D4A93">
            <w:pPr>
              <w:spacing w:after="0"/>
              <w:jc w:val="center"/>
            </w:pPr>
            <w:r w:rsidRPr="00536CFD">
              <w:rPr>
                <w:lang w:val="zh-CN"/>
              </w:rPr>
              <w:t>0.052</w:t>
            </w:r>
          </w:p>
        </w:tc>
        <w:tc>
          <w:tcPr>
            <w:tcW w:w="724" w:type="dxa"/>
            <w:tcBorders>
              <w:top w:val="single" w:sz="4" w:space="0" w:color="auto"/>
              <w:left w:val="nil"/>
              <w:bottom w:val="single" w:sz="4" w:space="0" w:color="auto"/>
              <w:right w:val="single" w:sz="4" w:space="0" w:color="auto"/>
            </w:tcBorders>
            <w:shd w:val="clear" w:color="auto" w:fill="auto"/>
          </w:tcPr>
          <w:p w14:paraId="56BEB1EB" w14:textId="77777777" w:rsidR="009D4A93" w:rsidRPr="00536CFD" w:rsidRDefault="009D4A93" w:rsidP="009D4A93">
            <w:pPr>
              <w:spacing w:after="0"/>
              <w:jc w:val="center"/>
            </w:pPr>
            <w:r w:rsidRPr="00536CFD">
              <w:rPr>
                <w:lang w:val="zh-CN"/>
              </w:rPr>
              <w:t>0.306</w:t>
            </w:r>
          </w:p>
        </w:tc>
        <w:tc>
          <w:tcPr>
            <w:tcW w:w="896" w:type="dxa"/>
            <w:tcBorders>
              <w:top w:val="single" w:sz="4" w:space="0" w:color="auto"/>
              <w:left w:val="nil"/>
              <w:bottom w:val="single" w:sz="4" w:space="0" w:color="auto"/>
              <w:right w:val="single" w:sz="4" w:space="0" w:color="auto"/>
            </w:tcBorders>
            <w:shd w:val="clear" w:color="auto" w:fill="auto"/>
          </w:tcPr>
          <w:p w14:paraId="6CBC5883" w14:textId="77777777" w:rsidR="009D4A93" w:rsidRPr="00536CFD" w:rsidRDefault="009D4A93" w:rsidP="009D4A93">
            <w:pPr>
              <w:spacing w:after="0"/>
              <w:jc w:val="center"/>
            </w:pPr>
            <w:r w:rsidRPr="00536CFD">
              <w:rPr>
                <w:lang w:val="zh-CN"/>
              </w:rPr>
              <w:t>0.098</w:t>
            </w:r>
          </w:p>
        </w:tc>
        <w:tc>
          <w:tcPr>
            <w:tcW w:w="720" w:type="dxa"/>
            <w:tcBorders>
              <w:top w:val="single" w:sz="4" w:space="0" w:color="auto"/>
              <w:left w:val="nil"/>
              <w:bottom w:val="single" w:sz="4" w:space="0" w:color="auto"/>
              <w:right w:val="single" w:sz="4" w:space="0" w:color="auto"/>
            </w:tcBorders>
            <w:shd w:val="clear" w:color="auto" w:fill="auto"/>
          </w:tcPr>
          <w:p w14:paraId="109C991F" w14:textId="77777777" w:rsidR="009D4A93" w:rsidRPr="00536CFD" w:rsidRDefault="009D4A93" w:rsidP="009D4A93">
            <w:pPr>
              <w:spacing w:after="0"/>
              <w:jc w:val="center"/>
            </w:pPr>
            <w:r w:rsidRPr="00536CFD">
              <w:rPr>
                <w:lang w:val="zh-CN"/>
              </w:rPr>
              <w:t>0.224</w:t>
            </w:r>
          </w:p>
        </w:tc>
        <w:tc>
          <w:tcPr>
            <w:tcW w:w="720" w:type="dxa"/>
            <w:tcBorders>
              <w:top w:val="single" w:sz="4" w:space="0" w:color="auto"/>
              <w:left w:val="nil"/>
              <w:bottom w:val="single" w:sz="4" w:space="0" w:color="auto"/>
              <w:right w:val="single" w:sz="4" w:space="0" w:color="auto"/>
            </w:tcBorders>
            <w:shd w:val="clear" w:color="auto" w:fill="auto"/>
          </w:tcPr>
          <w:p w14:paraId="62AAF3BB" w14:textId="77777777" w:rsidR="009D4A93" w:rsidRPr="00536CFD" w:rsidRDefault="009D4A93" w:rsidP="009D4A93">
            <w:pPr>
              <w:spacing w:after="0"/>
              <w:jc w:val="center"/>
            </w:pPr>
            <w:r w:rsidRPr="00536CFD">
              <w:rPr>
                <w:lang w:val="zh-CN"/>
              </w:rPr>
              <w:t>0.056</w:t>
            </w:r>
          </w:p>
        </w:tc>
      </w:tr>
      <w:tr w:rsidR="009D4A93" w:rsidRPr="00536CFD" w14:paraId="11D6B4B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691D686"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3DF9884"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tcPr>
          <w:p w14:paraId="53EABE84" w14:textId="77777777" w:rsidR="009D4A93" w:rsidRPr="00536CFD" w:rsidRDefault="009D4A93" w:rsidP="009D4A93">
            <w:pPr>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6F9BC17D" w14:textId="77777777" w:rsidR="009D4A93" w:rsidRPr="00536CFD" w:rsidRDefault="009D4A93" w:rsidP="009D4A93">
            <w:pPr>
              <w:spacing w:after="0"/>
              <w:jc w:val="center"/>
            </w:pPr>
            <w:r w:rsidRPr="00536CFD">
              <w:rPr>
                <w:lang w:val="zh-CN"/>
              </w:rPr>
              <w:t>95.070</w:t>
            </w:r>
          </w:p>
        </w:tc>
        <w:tc>
          <w:tcPr>
            <w:tcW w:w="720" w:type="dxa"/>
            <w:tcBorders>
              <w:top w:val="single" w:sz="4" w:space="0" w:color="auto"/>
              <w:left w:val="nil"/>
              <w:bottom w:val="single" w:sz="4" w:space="0" w:color="auto"/>
              <w:right w:val="single" w:sz="4" w:space="0" w:color="auto"/>
            </w:tcBorders>
            <w:shd w:val="clear" w:color="auto" w:fill="auto"/>
          </w:tcPr>
          <w:p w14:paraId="455ADC0F"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49B90AD5" w14:textId="77777777" w:rsidR="009D4A93" w:rsidRPr="00536CFD" w:rsidRDefault="009D4A93" w:rsidP="009D4A93">
            <w:pPr>
              <w:spacing w:after="0"/>
              <w:jc w:val="center"/>
            </w:pPr>
            <w:r w:rsidRPr="00536CFD">
              <w:rPr>
                <w:lang w:val="en-US"/>
              </w:rPr>
              <w:t>-</w:t>
            </w:r>
          </w:p>
        </w:tc>
        <w:tc>
          <w:tcPr>
            <w:tcW w:w="810" w:type="dxa"/>
            <w:tcBorders>
              <w:top w:val="single" w:sz="4" w:space="0" w:color="auto"/>
              <w:left w:val="nil"/>
              <w:bottom w:val="single" w:sz="4" w:space="0" w:color="auto"/>
              <w:right w:val="single" w:sz="4" w:space="0" w:color="auto"/>
            </w:tcBorders>
            <w:shd w:val="clear" w:color="auto" w:fill="auto"/>
          </w:tcPr>
          <w:p w14:paraId="5AE16FFC" w14:textId="77777777" w:rsidR="009D4A93" w:rsidRPr="00536CFD" w:rsidRDefault="009D4A93" w:rsidP="009D4A93">
            <w:pPr>
              <w:spacing w:after="0"/>
              <w:jc w:val="center"/>
            </w:pPr>
            <w:r w:rsidRPr="00536CFD">
              <w:rPr>
                <w:lang w:val="en-US"/>
              </w:rPr>
              <w:t>0.</w:t>
            </w:r>
            <w:r w:rsidRPr="00536CFD">
              <w:rPr>
                <w:lang w:val="zh-CN"/>
              </w:rPr>
              <w:t>99</w:t>
            </w:r>
          </w:p>
        </w:tc>
        <w:tc>
          <w:tcPr>
            <w:tcW w:w="820" w:type="dxa"/>
            <w:tcBorders>
              <w:top w:val="single" w:sz="4" w:space="0" w:color="auto"/>
              <w:left w:val="nil"/>
              <w:bottom w:val="single" w:sz="4" w:space="0" w:color="auto"/>
              <w:right w:val="single" w:sz="4" w:space="0" w:color="auto"/>
            </w:tcBorders>
            <w:shd w:val="clear" w:color="auto" w:fill="auto"/>
          </w:tcPr>
          <w:p w14:paraId="1591F1E3" w14:textId="77777777" w:rsidR="009D4A93" w:rsidRPr="00536CFD" w:rsidRDefault="009D4A93" w:rsidP="009D4A93">
            <w:pPr>
              <w:spacing w:after="0"/>
              <w:jc w:val="center"/>
            </w:pPr>
            <w:r w:rsidRPr="00536CFD">
              <w:rPr>
                <w:lang w:val="en-US"/>
              </w:rPr>
              <w:t>0.96</w:t>
            </w:r>
          </w:p>
        </w:tc>
        <w:tc>
          <w:tcPr>
            <w:tcW w:w="800" w:type="dxa"/>
            <w:tcBorders>
              <w:top w:val="single" w:sz="4" w:space="0" w:color="auto"/>
              <w:left w:val="nil"/>
              <w:bottom w:val="single" w:sz="4" w:space="0" w:color="auto"/>
              <w:right w:val="single" w:sz="4" w:space="0" w:color="auto"/>
            </w:tcBorders>
            <w:shd w:val="clear" w:color="auto" w:fill="auto"/>
          </w:tcPr>
          <w:p w14:paraId="1AF9550E"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6A40A76A" w14:textId="77777777" w:rsidR="009D4A93" w:rsidRPr="00536CFD" w:rsidRDefault="009D4A93" w:rsidP="009D4A93">
            <w:pPr>
              <w:spacing w:after="0"/>
              <w:jc w:val="center"/>
            </w:pPr>
            <w:r w:rsidRPr="00536CFD">
              <w:rPr>
                <w:lang w:val="en-US"/>
              </w:rPr>
              <w:t>-</w:t>
            </w:r>
          </w:p>
        </w:tc>
        <w:tc>
          <w:tcPr>
            <w:tcW w:w="724" w:type="dxa"/>
            <w:tcBorders>
              <w:top w:val="single" w:sz="4" w:space="0" w:color="auto"/>
              <w:left w:val="nil"/>
              <w:bottom w:val="single" w:sz="4" w:space="0" w:color="auto"/>
              <w:right w:val="single" w:sz="4" w:space="0" w:color="auto"/>
            </w:tcBorders>
            <w:shd w:val="clear" w:color="auto" w:fill="auto"/>
          </w:tcPr>
          <w:p w14:paraId="4D638997" w14:textId="77777777" w:rsidR="009D4A93" w:rsidRPr="00536CFD" w:rsidRDefault="009D4A93" w:rsidP="009D4A93">
            <w:pPr>
              <w:spacing w:after="0"/>
              <w:jc w:val="center"/>
            </w:pPr>
            <w:r w:rsidRPr="00536CFD">
              <w:rPr>
                <w:lang w:val="zh-CN"/>
              </w:rPr>
              <w:t>0.96</w:t>
            </w:r>
          </w:p>
        </w:tc>
        <w:tc>
          <w:tcPr>
            <w:tcW w:w="896" w:type="dxa"/>
            <w:tcBorders>
              <w:top w:val="single" w:sz="4" w:space="0" w:color="auto"/>
              <w:left w:val="nil"/>
              <w:bottom w:val="single" w:sz="4" w:space="0" w:color="auto"/>
              <w:right w:val="single" w:sz="4" w:space="0" w:color="auto"/>
            </w:tcBorders>
            <w:shd w:val="clear" w:color="auto" w:fill="auto"/>
          </w:tcPr>
          <w:p w14:paraId="7EA237E6" w14:textId="77777777" w:rsidR="009D4A93" w:rsidRPr="00536CFD" w:rsidRDefault="009D4A93" w:rsidP="009D4A93">
            <w:pPr>
              <w:spacing w:after="0"/>
              <w:jc w:val="center"/>
            </w:pPr>
            <w:r w:rsidRPr="00536CFD">
              <w:rPr>
                <w:lang w:val="en-US"/>
              </w:rPr>
              <w:t>0.93</w:t>
            </w:r>
          </w:p>
        </w:tc>
        <w:tc>
          <w:tcPr>
            <w:tcW w:w="720" w:type="dxa"/>
            <w:tcBorders>
              <w:top w:val="single" w:sz="4" w:space="0" w:color="auto"/>
              <w:left w:val="nil"/>
              <w:bottom w:val="single" w:sz="4" w:space="0" w:color="auto"/>
              <w:right w:val="single" w:sz="4" w:space="0" w:color="auto"/>
            </w:tcBorders>
            <w:shd w:val="clear" w:color="auto" w:fill="auto"/>
          </w:tcPr>
          <w:p w14:paraId="30476EC9" w14:textId="77777777" w:rsidR="009D4A93" w:rsidRPr="00536CFD" w:rsidRDefault="009D4A93" w:rsidP="009D4A93">
            <w:pPr>
              <w:spacing w:after="0"/>
              <w:jc w:val="center"/>
            </w:pPr>
            <w:r w:rsidRPr="00536CFD">
              <w:rPr>
                <w:lang w:val="en-US"/>
              </w:rPr>
              <w:t>-</w:t>
            </w:r>
          </w:p>
        </w:tc>
        <w:tc>
          <w:tcPr>
            <w:tcW w:w="720" w:type="dxa"/>
            <w:tcBorders>
              <w:top w:val="single" w:sz="4" w:space="0" w:color="auto"/>
              <w:left w:val="nil"/>
              <w:bottom w:val="single" w:sz="4" w:space="0" w:color="auto"/>
              <w:right w:val="single" w:sz="4" w:space="0" w:color="auto"/>
            </w:tcBorders>
            <w:shd w:val="clear" w:color="auto" w:fill="auto"/>
          </w:tcPr>
          <w:p w14:paraId="3F71F527" w14:textId="77777777" w:rsidR="009D4A93" w:rsidRPr="00536CFD" w:rsidRDefault="009D4A93" w:rsidP="009D4A93">
            <w:pPr>
              <w:spacing w:after="0"/>
              <w:jc w:val="center"/>
            </w:pPr>
            <w:r w:rsidRPr="00536CFD">
              <w:rPr>
                <w:lang w:val="en-US"/>
              </w:rPr>
              <w:t>-</w:t>
            </w:r>
          </w:p>
        </w:tc>
      </w:tr>
      <w:tr w:rsidR="009D4A93" w:rsidRPr="00536CFD" w14:paraId="2D35499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4E0426C"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5A6116EE"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tcPr>
          <w:p w14:paraId="59B97F4D" w14:textId="77777777" w:rsidR="009D4A93" w:rsidRPr="00536CFD" w:rsidRDefault="009D4A93" w:rsidP="009D4A93">
            <w:pPr>
              <w:spacing w:after="0"/>
              <w:jc w:val="cente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3C559AD1" w14:textId="77777777" w:rsidR="009D4A93" w:rsidRPr="00536CFD" w:rsidRDefault="009D4A93" w:rsidP="009D4A93">
            <w:pPr>
              <w:spacing w:after="0"/>
              <w:jc w:val="center"/>
            </w:pPr>
            <w:r w:rsidRPr="00536CFD">
              <w:rPr>
                <w:lang w:val="zh-CN"/>
              </w:rPr>
              <w:t>95.620</w:t>
            </w:r>
          </w:p>
        </w:tc>
        <w:tc>
          <w:tcPr>
            <w:tcW w:w="720" w:type="dxa"/>
            <w:tcBorders>
              <w:top w:val="single" w:sz="4" w:space="0" w:color="auto"/>
              <w:left w:val="nil"/>
              <w:bottom w:val="single" w:sz="4" w:space="0" w:color="auto"/>
              <w:right w:val="single" w:sz="4" w:space="0" w:color="auto"/>
            </w:tcBorders>
            <w:shd w:val="clear" w:color="auto" w:fill="auto"/>
          </w:tcPr>
          <w:p w14:paraId="3B2128B4" w14:textId="77777777" w:rsidR="009D4A93" w:rsidRPr="00536CFD" w:rsidRDefault="009D4A93" w:rsidP="009D4A93">
            <w:pPr>
              <w:spacing w:after="0"/>
              <w:jc w:val="center"/>
            </w:pPr>
            <w:r w:rsidRPr="00536CFD">
              <w:rPr>
                <w:lang w:val="en-US"/>
              </w:rPr>
              <w:t>1.00</w:t>
            </w:r>
          </w:p>
        </w:tc>
        <w:tc>
          <w:tcPr>
            <w:tcW w:w="810" w:type="dxa"/>
            <w:tcBorders>
              <w:top w:val="single" w:sz="4" w:space="0" w:color="auto"/>
              <w:left w:val="nil"/>
              <w:bottom w:val="single" w:sz="4" w:space="0" w:color="auto"/>
              <w:right w:val="single" w:sz="4" w:space="0" w:color="auto"/>
            </w:tcBorders>
            <w:shd w:val="clear" w:color="auto" w:fill="auto"/>
          </w:tcPr>
          <w:p w14:paraId="022366FF" w14:textId="77777777" w:rsidR="009D4A93" w:rsidRPr="00536CFD" w:rsidRDefault="009D4A93" w:rsidP="009D4A93">
            <w:pPr>
              <w:spacing w:after="0"/>
              <w:jc w:val="center"/>
            </w:pPr>
            <w:r w:rsidRPr="00536CFD">
              <w:rPr>
                <w:lang w:val="en-US"/>
              </w:rPr>
              <w:t>1.00</w:t>
            </w:r>
          </w:p>
        </w:tc>
        <w:tc>
          <w:tcPr>
            <w:tcW w:w="810" w:type="dxa"/>
            <w:tcBorders>
              <w:top w:val="single" w:sz="4" w:space="0" w:color="auto"/>
              <w:left w:val="nil"/>
              <w:bottom w:val="single" w:sz="4" w:space="0" w:color="auto"/>
              <w:right w:val="single" w:sz="4" w:space="0" w:color="auto"/>
            </w:tcBorders>
            <w:shd w:val="clear" w:color="auto" w:fill="auto"/>
          </w:tcPr>
          <w:p w14:paraId="233303CE" w14:textId="77777777" w:rsidR="009D4A93" w:rsidRPr="00536CFD" w:rsidRDefault="009D4A93" w:rsidP="009D4A93">
            <w:pPr>
              <w:spacing w:after="0"/>
              <w:jc w:val="center"/>
            </w:pPr>
            <w:r w:rsidRPr="00536CFD">
              <w:rPr>
                <w:lang w:val="zh-CN"/>
              </w:rPr>
              <w:t>1.00</w:t>
            </w:r>
          </w:p>
        </w:tc>
        <w:tc>
          <w:tcPr>
            <w:tcW w:w="820" w:type="dxa"/>
            <w:tcBorders>
              <w:top w:val="single" w:sz="4" w:space="0" w:color="auto"/>
              <w:left w:val="nil"/>
              <w:bottom w:val="single" w:sz="4" w:space="0" w:color="auto"/>
              <w:right w:val="single" w:sz="4" w:space="0" w:color="auto"/>
            </w:tcBorders>
            <w:shd w:val="clear" w:color="auto" w:fill="auto"/>
          </w:tcPr>
          <w:p w14:paraId="7725AE08" w14:textId="77777777" w:rsidR="009D4A93" w:rsidRPr="00536CFD" w:rsidRDefault="009D4A93" w:rsidP="009D4A93">
            <w:pPr>
              <w:spacing w:after="0"/>
              <w:jc w:val="center"/>
            </w:pPr>
            <w:r w:rsidRPr="00536CFD">
              <w:rPr>
                <w:lang w:val="en-US"/>
              </w:rPr>
              <w:t>0.95</w:t>
            </w:r>
          </w:p>
        </w:tc>
        <w:tc>
          <w:tcPr>
            <w:tcW w:w="800" w:type="dxa"/>
            <w:tcBorders>
              <w:top w:val="single" w:sz="4" w:space="0" w:color="auto"/>
              <w:left w:val="nil"/>
              <w:bottom w:val="single" w:sz="4" w:space="0" w:color="auto"/>
              <w:right w:val="single" w:sz="4" w:space="0" w:color="auto"/>
            </w:tcBorders>
            <w:shd w:val="clear" w:color="auto" w:fill="auto"/>
          </w:tcPr>
          <w:p w14:paraId="7B926296" w14:textId="77777777" w:rsidR="009D4A93" w:rsidRPr="00536CFD" w:rsidRDefault="009D4A93" w:rsidP="009D4A93">
            <w:pPr>
              <w:spacing w:after="0"/>
              <w:jc w:val="center"/>
            </w:pPr>
            <w:r w:rsidRPr="00536CFD">
              <w:rPr>
                <w:lang w:val="en-US"/>
              </w:rPr>
              <w:t>0.98</w:t>
            </w:r>
          </w:p>
        </w:tc>
        <w:tc>
          <w:tcPr>
            <w:tcW w:w="720" w:type="dxa"/>
            <w:tcBorders>
              <w:top w:val="single" w:sz="4" w:space="0" w:color="auto"/>
              <w:left w:val="nil"/>
              <w:bottom w:val="single" w:sz="4" w:space="0" w:color="auto"/>
              <w:right w:val="single" w:sz="4" w:space="0" w:color="auto"/>
            </w:tcBorders>
            <w:shd w:val="clear" w:color="auto" w:fill="auto"/>
          </w:tcPr>
          <w:p w14:paraId="39DD1419" w14:textId="77777777" w:rsidR="009D4A93" w:rsidRPr="00536CFD" w:rsidRDefault="009D4A93" w:rsidP="009D4A93">
            <w:pPr>
              <w:spacing w:after="0"/>
              <w:jc w:val="center"/>
            </w:pPr>
            <w:r w:rsidRPr="00536CFD">
              <w:rPr>
                <w:lang w:val="en-US"/>
              </w:rPr>
              <w:t>1.00</w:t>
            </w:r>
          </w:p>
        </w:tc>
        <w:tc>
          <w:tcPr>
            <w:tcW w:w="724" w:type="dxa"/>
            <w:tcBorders>
              <w:top w:val="single" w:sz="4" w:space="0" w:color="auto"/>
              <w:left w:val="nil"/>
              <w:bottom w:val="single" w:sz="4" w:space="0" w:color="auto"/>
              <w:right w:val="single" w:sz="4" w:space="0" w:color="auto"/>
            </w:tcBorders>
            <w:shd w:val="clear" w:color="auto" w:fill="auto"/>
          </w:tcPr>
          <w:p w14:paraId="7158C371" w14:textId="77777777" w:rsidR="009D4A93" w:rsidRPr="00536CFD" w:rsidRDefault="009D4A93" w:rsidP="009D4A93">
            <w:pPr>
              <w:spacing w:after="0"/>
              <w:jc w:val="center"/>
            </w:pPr>
            <w:r w:rsidRPr="00536CFD">
              <w:rPr>
                <w:lang w:val="zh-CN"/>
              </w:rPr>
              <w:t>1.00</w:t>
            </w:r>
          </w:p>
        </w:tc>
        <w:tc>
          <w:tcPr>
            <w:tcW w:w="896" w:type="dxa"/>
            <w:tcBorders>
              <w:top w:val="single" w:sz="4" w:space="0" w:color="auto"/>
              <w:left w:val="nil"/>
              <w:bottom w:val="single" w:sz="4" w:space="0" w:color="auto"/>
              <w:right w:val="single" w:sz="4" w:space="0" w:color="auto"/>
            </w:tcBorders>
            <w:shd w:val="clear" w:color="auto" w:fill="auto"/>
          </w:tcPr>
          <w:p w14:paraId="754EC760" w14:textId="77777777" w:rsidR="009D4A93" w:rsidRPr="00536CFD" w:rsidRDefault="009D4A93" w:rsidP="009D4A93">
            <w:pPr>
              <w:spacing w:after="0"/>
              <w:jc w:val="center"/>
            </w:pPr>
            <w:r w:rsidRPr="00536CFD">
              <w:rPr>
                <w:lang w:val="en-US"/>
              </w:rPr>
              <w:t>0.92</w:t>
            </w:r>
          </w:p>
        </w:tc>
        <w:tc>
          <w:tcPr>
            <w:tcW w:w="720" w:type="dxa"/>
            <w:tcBorders>
              <w:top w:val="single" w:sz="4" w:space="0" w:color="auto"/>
              <w:left w:val="nil"/>
              <w:bottom w:val="single" w:sz="4" w:space="0" w:color="auto"/>
              <w:right w:val="single" w:sz="4" w:space="0" w:color="auto"/>
            </w:tcBorders>
            <w:shd w:val="clear" w:color="auto" w:fill="auto"/>
          </w:tcPr>
          <w:p w14:paraId="6A439B7E" w14:textId="77777777" w:rsidR="009D4A93" w:rsidRPr="00536CFD" w:rsidRDefault="009D4A93" w:rsidP="009D4A93">
            <w:pPr>
              <w:spacing w:after="0"/>
              <w:jc w:val="center"/>
            </w:pPr>
            <w:r w:rsidRPr="00536CFD">
              <w:rPr>
                <w:lang w:val="en-US"/>
              </w:rPr>
              <w:t>0.93</w:t>
            </w:r>
          </w:p>
        </w:tc>
        <w:tc>
          <w:tcPr>
            <w:tcW w:w="720" w:type="dxa"/>
            <w:tcBorders>
              <w:top w:val="single" w:sz="4" w:space="0" w:color="auto"/>
              <w:left w:val="nil"/>
              <w:bottom w:val="single" w:sz="4" w:space="0" w:color="auto"/>
              <w:right w:val="single" w:sz="4" w:space="0" w:color="auto"/>
            </w:tcBorders>
            <w:shd w:val="clear" w:color="auto" w:fill="auto"/>
          </w:tcPr>
          <w:p w14:paraId="3EB12716" w14:textId="77777777" w:rsidR="009D4A93" w:rsidRPr="00536CFD" w:rsidRDefault="009D4A93" w:rsidP="009D4A93">
            <w:pPr>
              <w:spacing w:after="0"/>
              <w:jc w:val="center"/>
            </w:pPr>
            <w:r w:rsidRPr="00536CFD">
              <w:rPr>
                <w:lang w:val="en-US"/>
              </w:rPr>
              <w:t>1.00</w:t>
            </w:r>
          </w:p>
        </w:tc>
      </w:tr>
      <w:tr w:rsidR="009D4A93" w:rsidRPr="00536CFD" w14:paraId="48317A1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053F998"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609B25B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tcPr>
          <w:p w14:paraId="3B02D418" w14:textId="77777777" w:rsidR="009D4A93" w:rsidRPr="00536CFD" w:rsidRDefault="009D4A93" w:rsidP="009D4A93">
            <w:pPr>
              <w:spacing w:after="0"/>
              <w:jc w:val="center"/>
            </w:pPr>
            <w:r w:rsidRPr="00536CFD">
              <w:rPr>
                <w:lang w:val="zh-CN"/>
              </w:rPr>
              <w:t>23.677</w:t>
            </w:r>
          </w:p>
        </w:tc>
        <w:tc>
          <w:tcPr>
            <w:tcW w:w="720" w:type="dxa"/>
            <w:tcBorders>
              <w:top w:val="single" w:sz="4" w:space="0" w:color="auto"/>
              <w:left w:val="nil"/>
              <w:bottom w:val="single" w:sz="4" w:space="0" w:color="auto"/>
              <w:right w:val="single" w:sz="4" w:space="0" w:color="auto"/>
            </w:tcBorders>
            <w:shd w:val="clear" w:color="auto" w:fill="auto"/>
          </w:tcPr>
          <w:p w14:paraId="768F64CC" w14:textId="77777777" w:rsidR="009D4A93" w:rsidRPr="00536CFD" w:rsidRDefault="009D4A93" w:rsidP="009D4A93">
            <w:pPr>
              <w:spacing w:after="0"/>
              <w:jc w:val="center"/>
            </w:pPr>
            <w:r w:rsidRPr="00536CFD">
              <w:rPr>
                <w:lang w:val="zh-CN"/>
              </w:rPr>
              <w:t>36.196</w:t>
            </w:r>
          </w:p>
        </w:tc>
        <w:tc>
          <w:tcPr>
            <w:tcW w:w="720" w:type="dxa"/>
            <w:tcBorders>
              <w:top w:val="single" w:sz="4" w:space="0" w:color="auto"/>
              <w:left w:val="nil"/>
              <w:bottom w:val="single" w:sz="4" w:space="0" w:color="auto"/>
              <w:right w:val="single" w:sz="4" w:space="0" w:color="auto"/>
            </w:tcBorders>
            <w:shd w:val="clear" w:color="auto" w:fill="auto"/>
          </w:tcPr>
          <w:p w14:paraId="761ADC45" w14:textId="77777777" w:rsidR="009D4A93" w:rsidRPr="00536CFD" w:rsidRDefault="009D4A93" w:rsidP="009D4A93">
            <w:pPr>
              <w:spacing w:after="0"/>
              <w:jc w:val="center"/>
            </w:pPr>
            <w:r w:rsidRPr="00536CFD">
              <w:rPr>
                <w:lang w:val="en-US"/>
              </w:rPr>
              <w:t>8.38</w:t>
            </w:r>
          </w:p>
        </w:tc>
        <w:tc>
          <w:tcPr>
            <w:tcW w:w="810" w:type="dxa"/>
            <w:tcBorders>
              <w:top w:val="single" w:sz="4" w:space="0" w:color="auto"/>
              <w:left w:val="nil"/>
              <w:bottom w:val="single" w:sz="4" w:space="0" w:color="auto"/>
              <w:right w:val="single" w:sz="4" w:space="0" w:color="auto"/>
            </w:tcBorders>
            <w:shd w:val="clear" w:color="auto" w:fill="auto"/>
          </w:tcPr>
          <w:p w14:paraId="7F812E23" w14:textId="77777777" w:rsidR="009D4A93" w:rsidRPr="00536CFD" w:rsidRDefault="009D4A93" w:rsidP="009D4A93">
            <w:pPr>
              <w:spacing w:after="0"/>
              <w:jc w:val="center"/>
            </w:pPr>
            <w:r w:rsidRPr="00536CFD">
              <w:rPr>
                <w:lang w:val="zh-CN"/>
              </w:rPr>
              <w:t>5.280</w:t>
            </w:r>
          </w:p>
        </w:tc>
        <w:tc>
          <w:tcPr>
            <w:tcW w:w="810" w:type="dxa"/>
            <w:tcBorders>
              <w:top w:val="single" w:sz="4" w:space="0" w:color="auto"/>
              <w:left w:val="nil"/>
              <w:bottom w:val="single" w:sz="4" w:space="0" w:color="auto"/>
              <w:right w:val="single" w:sz="4" w:space="0" w:color="auto"/>
            </w:tcBorders>
            <w:shd w:val="clear" w:color="auto" w:fill="auto"/>
          </w:tcPr>
          <w:p w14:paraId="19D3E449" w14:textId="77777777" w:rsidR="009D4A93" w:rsidRPr="00536CFD" w:rsidRDefault="009D4A93" w:rsidP="009D4A93">
            <w:pPr>
              <w:spacing w:after="0"/>
              <w:jc w:val="center"/>
            </w:pPr>
            <w:r w:rsidRPr="00536CFD">
              <w:rPr>
                <w:lang w:val="zh-CN"/>
              </w:rPr>
              <w:t>41.023</w:t>
            </w:r>
          </w:p>
        </w:tc>
        <w:tc>
          <w:tcPr>
            <w:tcW w:w="820" w:type="dxa"/>
            <w:tcBorders>
              <w:top w:val="single" w:sz="4" w:space="0" w:color="auto"/>
              <w:left w:val="nil"/>
              <w:bottom w:val="single" w:sz="4" w:space="0" w:color="auto"/>
              <w:right w:val="single" w:sz="4" w:space="0" w:color="auto"/>
            </w:tcBorders>
            <w:shd w:val="clear" w:color="auto" w:fill="auto"/>
          </w:tcPr>
          <w:p w14:paraId="70E989D3" w14:textId="77777777" w:rsidR="009D4A93" w:rsidRPr="00536CFD" w:rsidRDefault="009D4A93" w:rsidP="009D4A93">
            <w:pPr>
              <w:spacing w:after="0"/>
              <w:jc w:val="center"/>
            </w:pPr>
            <w:r w:rsidRPr="00536CFD">
              <w:rPr>
                <w:lang w:val="zh-CN"/>
              </w:rPr>
              <w:t>40.487</w:t>
            </w:r>
          </w:p>
        </w:tc>
        <w:tc>
          <w:tcPr>
            <w:tcW w:w="800" w:type="dxa"/>
            <w:tcBorders>
              <w:top w:val="single" w:sz="4" w:space="0" w:color="auto"/>
              <w:left w:val="nil"/>
              <w:bottom w:val="single" w:sz="4" w:space="0" w:color="auto"/>
              <w:right w:val="single" w:sz="4" w:space="0" w:color="auto"/>
            </w:tcBorders>
            <w:shd w:val="clear" w:color="auto" w:fill="auto"/>
          </w:tcPr>
          <w:p w14:paraId="4A596487" w14:textId="77777777" w:rsidR="009D4A93" w:rsidRPr="00536CFD" w:rsidRDefault="009D4A93" w:rsidP="009D4A93">
            <w:pPr>
              <w:spacing w:after="0"/>
              <w:jc w:val="center"/>
            </w:pPr>
            <w:r w:rsidRPr="00536CFD">
              <w:rPr>
                <w:lang w:val="en-US"/>
              </w:rPr>
              <w:t>36.885</w:t>
            </w:r>
          </w:p>
        </w:tc>
        <w:tc>
          <w:tcPr>
            <w:tcW w:w="720" w:type="dxa"/>
            <w:tcBorders>
              <w:top w:val="single" w:sz="4" w:space="0" w:color="auto"/>
              <w:left w:val="nil"/>
              <w:bottom w:val="single" w:sz="4" w:space="0" w:color="auto"/>
              <w:right w:val="single" w:sz="4" w:space="0" w:color="auto"/>
            </w:tcBorders>
            <w:shd w:val="clear" w:color="auto" w:fill="auto"/>
          </w:tcPr>
          <w:p w14:paraId="62727911" w14:textId="77777777" w:rsidR="009D4A93" w:rsidRPr="00536CFD" w:rsidRDefault="009D4A93" w:rsidP="009D4A93">
            <w:pPr>
              <w:spacing w:after="0"/>
              <w:jc w:val="center"/>
            </w:pPr>
            <w:r w:rsidRPr="00536CFD">
              <w:rPr>
                <w:lang w:val="zh-CN"/>
              </w:rPr>
              <w:t>11.545</w:t>
            </w:r>
          </w:p>
        </w:tc>
        <w:tc>
          <w:tcPr>
            <w:tcW w:w="724" w:type="dxa"/>
            <w:tcBorders>
              <w:top w:val="single" w:sz="4" w:space="0" w:color="auto"/>
              <w:left w:val="nil"/>
              <w:bottom w:val="single" w:sz="4" w:space="0" w:color="auto"/>
              <w:right w:val="single" w:sz="4" w:space="0" w:color="auto"/>
            </w:tcBorders>
            <w:shd w:val="clear" w:color="auto" w:fill="auto"/>
          </w:tcPr>
          <w:p w14:paraId="5C9B5BD6" w14:textId="77777777" w:rsidR="009D4A93" w:rsidRPr="00536CFD" w:rsidRDefault="009D4A93" w:rsidP="009D4A93">
            <w:pPr>
              <w:spacing w:after="0"/>
              <w:jc w:val="center"/>
            </w:pPr>
            <w:r w:rsidRPr="00536CFD">
              <w:rPr>
                <w:lang w:val="zh-CN"/>
              </w:rPr>
              <w:t>59.29</w:t>
            </w:r>
            <w:r w:rsidRPr="00536CFD">
              <w:rPr>
                <w:lang w:val="en-US"/>
              </w:rPr>
              <w:t>5</w:t>
            </w:r>
          </w:p>
        </w:tc>
        <w:tc>
          <w:tcPr>
            <w:tcW w:w="896" w:type="dxa"/>
            <w:tcBorders>
              <w:top w:val="single" w:sz="4" w:space="0" w:color="auto"/>
              <w:left w:val="nil"/>
              <w:bottom w:val="single" w:sz="4" w:space="0" w:color="auto"/>
              <w:right w:val="single" w:sz="4" w:space="0" w:color="auto"/>
            </w:tcBorders>
            <w:shd w:val="clear" w:color="auto" w:fill="auto"/>
          </w:tcPr>
          <w:p w14:paraId="4F1F18B4" w14:textId="77777777" w:rsidR="009D4A93" w:rsidRPr="00536CFD" w:rsidRDefault="009D4A93" w:rsidP="009D4A93">
            <w:pPr>
              <w:spacing w:after="0"/>
              <w:jc w:val="center"/>
            </w:pPr>
            <w:r w:rsidRPr="00536CFD">
              <w:rPr>
                <w:lang w:val="zh-CN"/>
              </w:rPr>
              <w:t>44.734</w:t>
            </w:r>
          </w:p>
        </w:tc>
        <w:tc>
          <w:tcPr>
            <w:tcW w:w="720" w:type="dxa"/>
            <w:tcBorders>
              <w:top w:val="single" w:sz="4" w:space="0" w:color="auto"/>
              <w:left w:val="nil"/>
              <w:bottom w:val="single" w:sz="4" w:space="0" w:color="auto"/>
              <w:right w:val="single" w:sz="4" w:space="0" w:color="auto"/>
            </w:tcBorders>
            <w:shd w:val="clear" w:color="auto" w:fill="auto"/>
          </w:tcPr>
          <w:p w14:paraId="770383CF" w14:textId="77777777" w:rsidR="009D4A93" w:rsidRPr="00536CFD" w:rsidRDefault="009D4A93" w:rsidP="009D4A93">
            <w:pPr>
              <w:spacing w:after="0"/>
              <w:jc w:val="center"/>
            </w:pPr>
            <w:r w:rsidRPr="00536CFD">
              <w:rPr>
                <w:lang w:val="en-US"/>
              </w:rPr>
              <w:t>40</w:t>
            </w:r>
            <w:r w:rsidRPr="00536CFD">
              <w:rPr>
                <w:lang w:val="zh-CN"/>
              </w:rPr>
              <w:t>.175</w:t>
            </w:r>
          </w:p>
        </w:tc>
        <w:tc>
          <w:tcPr>
            <w:tcW w:w="720" w:type="dxa"/>
            <w:tcBorders>
              <w:top w:val="single" w:sz="4" w:space="0" w:color="auto"/>
              <w:left w:val="nil"/>
              <w:bottom w:val="single" w:sz="4" w:space="0" w:color="auto"/>
              <w:right w:val="single" w:sz="4" w:space="0" w:color="auto"/>
            </w:tcBorders>
            <w:shd w:val="clear" w:color="auto" w:fill="auto"/>
          </w:tcPr>
          <w:p w14:paraId="5CE494E8" w14:textId="77777777" w:rsidR="009D4A93" w:rsidRPr="00536CFD" w:rsidRDefault="009D4A93" w:rsidP="009D4A93">
            <w:pPr>
              <w:spacing w:after="0"/>
              <w:jc w:val="center"/>
            </w:pPr>
            <w:r w:rsidRPr="00536CFD">
              <w:rPr>
                <w:lang w:val="zh-CN"/>
              </w:rPr>
              <w:t>14.749</w:t>
            </w:r>
          </w:p>
        </w:tc>
      </w:tr>
      <w:tr w:rsidR="009D4A93" w:rsidRPr="00536CFD" w14:paraId="6069FED9"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D25E78D"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230D73A"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46BD9F17" w14:textId="77777777" w:rsidR="009D4A93" w:rsidRPr="00536CFD" w:rsidRDefault="009D4A93" w:rsidP="009D4A93">
            <w:pPr>
              <w:spacing w:after="0"/>
              <w:jc w:val="center"/>
              <w:rPr>
                <w:lang w:val="en-US"/>
              </w:rPr>
            </w:pPr>
            <w:r w:rsidRPr="00536CFD">
              <w:rPr>
                <w:lang w:val="en-US"/>
              </w:rPr>
              <w:t>DL:1Mbps; UL:1Mbps</w:t>
            </w:r>
          </w:p>
        </w:tc>
        <w:tc>
          <w:tcPr>
            <w:tcW w:w="3150" w:type="dxa"/>
            <w:gridSpan w:val="4"/>
            <w:tcBorders>
              <w:top w:val="single" w:sz="4" w:space="0" w:color="auto"/>
              <w:left w:val="nil"/>
              <w:bottom w:val="single" w:sz="4" w:space="0" w:color="auto"/>
              <w:right w:val="single" w:sz="4" w:space="0" w:color="auto"/>
            </w:tcBorders>
            <w:shd w:val="clear" w:color="auto" w:fill="auto"/>
          </w:tcPr>
          <w:p w14:paraId="738D1915" w14:textId="77777777" w:rsidR="009D4A93" w:rsidRPr="00536CFD" w:rsidRDefault="009D4A93" w:rsidP="009D4A93">
            <w:pPr>
              <w:spacing w:after="0"/>
              <w:jc w:val="center"/>
            </w:pPr>
            <w:r w:rsidRPr="00536CFD">
              <w:rPr>
                <w:lang w:val="en-US"/>
              </w:rPr>
              <w:t>UL:2Mbps;</w:t>
            </w:r>
          </w:p>
        </w:tc>
        <w:tc>
          <w:tcPr>
            <w:tcW w:w="3060" w:type="dxa"/>
            <w:gridSpan w:val="4"/>
            <w:tcBorders>
              <w:top w:val="single" w:sz="4" w:space="0" w:color="auto"/>
              <w:left w:val="nil"/>
              <w:bottom w:val="single" w:sz="4" w:space="0" w:color="auto"/>
              <w:right w:val="single" w:sz="4" w:space="0" w:color="auto"/>
            </w:tcBorders>
            <w:shd w:val="clear" w:color="auto" w:fill="auto"/>
          </w:tcPr>
          <w:p w14:paraId="070831C5" w14:textId="77777777" w:rsidR="009D4A93" w:rsidRPr="00536CFD" w:rsidRDefault="009D4A93" w:rsidP="009D4A93">
            <w:pPr>
              <w:spacing w:after="0"/>
              <w:jc w:val="center"/>
            </w:pPr>
            <w:r w:rsidRPr="00536CFD">
              <w:rPr>
                <w:lang w:val="en-US"/>
              </w:rPr>
              <w:t>DL:2Mbps; UL:2Mbps</w:t>
            </w:r>
          </w:p>
        </w:tc>
      </w:tr>
      <w:tr w:rsidR="009D4A93" w:rsidRPr="00536CFD" w14:paraId="1805A71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D62B215"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E56B502"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4F6ADE59" w14:textId="77777777" w:rsidR="009D4A93" w:rsidRPr="00536CFD" w:rsidRDefault="009D4A93" w:rsidP="009D4A93">
            <w:pPr>
              <w:spacing w:after="0" w:line="360" w:lineRule="auto"/>
              <w:contextualSpacing/>
              <w:rPr>
                <w:u w:val="single"/>
                <w:lang w:bidi="ar"/>
              </w:rPr>
            </w:pPr>
            <w:r w:rsidRPr="00536CFD">
              <w:rPr>
                <w:u w:val="single"/>
                <w:lang w:bidi="ar"/>
              </w:rPr>
              <w:t>Additional comments:</w:t>
            </w:r>
          </w:p>
          <w:p w14:paraId="51E0E741" w14:textId="77777777" w:rsidR="009D4A93" w:rsidRPr="00536CFD" w:rsidRDefault="009D4A93" w:rsidP="009D4A93">
            <w:pPr>
              <w:spacing w:after="0"/>
            </w:pPr>
            <w:r w:rsidRPr="00536CFD">
              <w:t>- TxOP assumptions of WiFi and NR-U: 4.096 ms TxOP for both DL/UL WiFi and upto 4ms UL NR-U transmission</w:t>
            </w:r>
          </w:p>
          <w:p w14:paraId="3C148A2C" w14:textId="77777777" w:rsidR="009D4A93" w:rsidRPr="00536CFD" w:rsidRDefault="009D4A93" w:rsidP="009D4A93">
            <w:pPr>
              <w:spacing w:after="0"/>
            </w:pPr>
            <w:r w:rsidRPr="00536CFD">
              <w:t>- Is RTS/CTS enabled for WiFi: No</w:t>
            </w:r>
          </w:p>
          <w:p w14:paraId="7B05807D" w14:textId="77777777" w:rsidR="009D4A93" w:rsidRPr="00536CFD" w:rsidRDefault="009D4A93" w:rsidP="009D4A93">
            <w:pPr>
              <w:spacing w:after="0"/>
            </w:pPr>
            <w:r w:rsidRPr="00536CFD">
              <w:t>- PD/ED threshold assumptions: For WiFi, -82/62 dBm PD/ED threshold and for NR-U, -72 dBm ED threshold</w:t>
            </w:r>
          </w:p>
          <w:p w14:paraId="1D1F38B1" w14:textId="77777777" w:rsidR="009D4A93" w:rsidRPr="00536CFD" w:rsidRDefault="009D4A93" w:rsidP="009D4A93">
            <w:pPr>
              <w:spacing w:after="0"/>
            </w:pPr>
            <w:r w:rsidRPr="00536CFD">
              <w:t>- Max modulation order supported in each technology: 256 QAM for both WiFi and NR-U</w:t>
            </w:r>
          </w:p>
          <w:p w14:paraId="51CEACC0" w14:textId="77777777" w:rsidR="009D4A93" w:rsidRPr="00536CFD" w:rsidRDefault="009D4A93" w:rsidP="009D4A93">
            <w:pPr>
              <w:spacing w:after="0"/>
            </w:pPr>
            <w:r w:rsidRPr="00536CFD">
              <w:t>- MIMO scheme and number of MIMO layers used for both technologies: 2Tx2Rx antenna configuration and 2 layer for both Wi-Fi and NR-U</w:t>
            </w:r>
          </w:p>
          <w:p w14:paraId="00C62269" w14:textId="77777777" w:rsidR="009D4A93" w:rsidRPr="00536CFD" w:rsidRDefault="009D4A93" w:rsidP="009D4A93">
            <w:pPr>
              <w:spacing w:after="0"/>
            </w:pPr>
            <w:r w:rsidRPr="00536CFD">
              <w:t>- WiFi MAC layer A-MPDU/A-MSDU aggregation level, MPDU size: 802.11ac</w:t>
            </w:r>
          </w:p>
          <w:p w14:paraId="4C22D5C2" w14:textId="77777777" w:rsidR="009D4A93" w:rsidRPr="00536CFD" w:rsidRDefault="009D4A93" w:rsidP="009D4A93">
            <w:pPr>
              <w:spacing w:after="0"/>
            </w:pPr>
            <w:r w:rsidRPr="00536CFD">
              <w:t>- NR-U SCS: 15 kHz</w:t>
            </w:r>
          </w:p>
          <w:p w14:paraId="6F6F557B" w14:textId="7F12C1CF" w:rsidR="009D4A93" w:rsidRPr="00536CFD" w:rsidRDefault="00200090" w:rsidP="009D4A93">
            <w:pPr>
              <w:spacing w:after="0"/>
            </w:pPr>
            <w:r>
              <w:t xml:space="preserve">- WiFi guard interval: 0.8 </w:t>
            </w:r>
            <w:r w:rsidRPr="00C64ECB">
              <w:rPr>
                <w:rFonts w:ascii="Symbol" w:hAnsi="Symbol"/>
              </w:rPr>
              <w:t></w:t>
            </w:r>
            <w:r w:rsidR="009D4A93" w:rsidRPr="00536CFD">
              <w:t>sec</w:t>
            </w:r>
          </w:p>
          <w:p w14:paraId="1D2F4B78" w14:textId="77777777" w:rsidR="009D4A93" w:rsidRPr="00536CFD" w:rsidRDefault="009D4A93" w:rsidP="009D4A93">
            <w:pPr>
              <w:spacing w:after="0"/>
            </w:pPr>
            <w:r w:rsidRPr="00536CFD">
              <w:t>- NR UE processing time capability (#1 or #2): Processing time capability #1</w:t>
            </w:r>
          </w:p>
          <w:p w14:paraId="3A6EF0C4" w14:textId="77777777" w:rsidR="009D4A93" w:rsidRPr="00536CFD" w:rsidRDefault="009D4A93" w:rsidP="009D4A93">
            <w:pPr>
              <w:spacing w:after="0"/>
            </w:pPr>
            <w:r w:rsidRPr="00536CFD">
              <w:t>- NR PDSCH/PUSCH mapping type, PDCCH monitoring configuration: type A; monitoringSlotPeriodicityAndOffset: 1slot; coreset  duration: 2 symbol; monitoringSymbolswithinSlot: [1 0 0 0 0 0 0 0 0 0 0 0 0 0]</w:t>
            </w:r>
          </w:p>
          <w:p w14:paraId="4D17758E" w14:textId="77777777" w:rsidR="009D4A93" w:rsidRPr="00536CFD" w:rsidRDefault="009D4A93" w:rsidP="009D4A93">
            <w:pPr>
              <w:spacing w:after="0" w:line="360" w:lineRule="auto"/>
              <w:contextualSpacing/>
              <w:rPr>
                <w:u w:val="single"/>
                <w:lang w:val="en-US" w:bidi="ar"/>
              </w:rPr>
            </w:pPr>
            <w:r w:rsidRPr="00536CFD">
              <w:t>- Cross-carrier scheduling for NR-U</w:t>
            </w:r>
          </w:p>
        </w:tc>
      </w:tr>
      <w:tr w:rsidR="009D4A93" w:rsidRPr="00536CFD" w14:paraId="39039645"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2BE73941" w14:textId="77777777" w:rsidR="009D4A93" w:rsidRPr="00536CFD" w:rsidRDefault="009D4A93" w:rsidP="009D4A93">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R1- 1812659/ Source 3</w:t>
            </w:r>
          </w:p>
        </w:tc>
        <w:tc>
          <w:tcPr>
            <w:tcW w:w="535" w:type="dxa"/>
            <w:vMerge w:val="restart"/>
            <w:tcBorders>
              <w:top w:val="nil"/>
              <w:left w:val="nil"/>
              <w:bottom w:val="single" w:sz="4" w:space="0" w:color="auto"/>
              <w:right w:val="single" w:sz="4" w:space="0" w:color="auto"/>
            </w:tcBorders>
            <w:shd w:val="clear" w:color="auto" w:fill="auto"/>
          </w:tcPr>
          <w:p w14:paraId="608C32AD"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7D80FC4C"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585BED90" w14:textId="77777777" w:rsidR="009D4A93" w:rsidRPr="00536CFD" w:rsidRDefault="009D4A93" w:rsidP="009D4A93">
            <w:pPr>
              <w:pageBreakBefore/>
              <w:spacing w:after="0"/>
              <w:jc w:val="center"/>
              <w:rPr>
                <w:lang w:val="zh-CN"/>
              </w:rPr>
            </w:pPr>
            <w:r w:rsidRPr="00536CFD">
              <w:rPr>
                <w:lang w:val="zh-CN"/>
              </w:rPr>
              <w:t>6.89</w:t>
            </w:r>
          </w:p>
        </w:tc>
        <w:tc>
          <w:tcPr>
            <w:tcW w:w="720" w:type="dxa"/>
            <w:tcBorders>
              <w:top w:val="single" w:sz="4" w:space="0" w:color="auto"/>
              <w:left w:val="nil"/>
              <w:bottom w:val="single" w:sz="4" w:space="0" w:color="auto"/>
              <w:right w:val="single" w:sz="4" w:space="0" w:color="auto"/>
            </w:tcBorders>
            <w:shd w:val="clear" w:color="auto" w:fill="auto"/>
            <w:vAlign w:val="bottom"/>
          </w:tcPr>
          <w:p w14:paraId="59B59430" w14:textId="77777777" w:rsidR="009D4A93" w:rsidRPr="00536CFD" w:rsidRDefault="009D4A93" w:rsidP="009D4A93">
            <w:pPr>
              <w:pageBreakBefore/>
              <w:spacing w:after="0"/>
              <w:jc w:val="center"/>
              <w:rPr>
                <w:lang w:val="zh-CN"/>
              </w:rPr>
            </w:pPr>
            <w:r w:rsidRPr="00536CFD">
              <w:rPr>
                <w:lang w:val="zh-CN"/>
              </w:rPr>
              <w:t>7.59</w:t>
            </w:r>
          </w:p>
        </w:tc>
        <w:tc>
          <w:tcPr>
            <w:tcW w:w="720" w:type="dxa"/>
            <w:tcBorders>
              <w:top w:val="single" w:sz="4" w:space="0" w:color="auto"/>
              <w:left w:val="nil"/>
              <w:bottom w:val="single" w:sz="4" w:space="0" w:color="auto"/>
              <w:right w:val="single" w:sz="4" w:space="0" w:color="auto"/>
            </w:tcBorders>
            <w:shd w:val="clear" w:color="auto" w:fill="auto"/>
            <w:vAlign w:val="bottom"/>
          </w:tcPr>
          <w:p w14:paraId="2602DE57" w14:textId="77777777" w:rsidR="009D4A93" w:rsidRPr="00536CFD" w:rsidRDefault="009D4A93" w:rsidP="009D4A93">
            <w:pPr>
              <w:pageBreakBefore/>
              <w:spacing w:after="0"/>
              <w:jc w:val="center"/>
              <w:rPr>
                <w:lang w:val="zh-CN"/>
              </w:rPr>
            </w:pPr>
            <w:r w:rsidRPr="00536CFD">
              <w:rPr>
                <w:lang w:val="zh-CN"/>
              </w:rPr>
              <w:t>39.87</w:t>
            </w:r>
          </w:p>
        </w:tc>
        <w:tc>
          <w:tcPr>
            <w:tcW w:w="810" w:type="dxa"/>
            <w:tcBorders>
              <w:top w:val="single" w:sz="4" w:space="0" w:color="auto"/>
              <w:left w:val="nil"/>
              <w:bottom w:val="single" w:sz="4" w:space="0" w:color="auto"/>
              <w:right w:val="single" w:sz="4" w:space="0" w:color="auto"/>
            </w:tcBorders>
            <w:shd w:val="clear" w:color="auto" w:fill="auto"/>
            <w:vAlign w:val="bottom"/>
          </w:tcPr>
          <w:p w14:paraId="57186E78" w14:textId="77777777" w:rsidR="009D4A93" w:rsidRPr="00536CFD" w:rsidRDefault="009D4A93" w:rsidP="009D4A93">
            <w:pPr>
              <w:pageBreakBefore/>
              <w:spacing w:after="0"/>
              <w:jc w:val="center"/>
              <w:rPr>
                <w:lang w:val="zh-CN"/>
              </w:rPr>
            </w:pPr>
            <w:r w:rsidRPr="00536CFD">
              <w:rPr>
                <w:lang w:val="zh-CN"/>
              </w:rPr>
              <w:t>42.19</w:t>
            </w:r>
          </w:p>
        </w:tc>
        <w:tc>
          <w:tcPr>
            <w:tcW w:w="810" w:type="dxa"/>
            <w:tcBorders>
              <w:top w:val="single" w:sz="4" w:space="0" w:color="auto"/>
              <w:left w:val="nil"/>
              <w:bottom w:val="single" w:sz="4" w:space="0" w:color="auto"/>
              <w:right w:val="single" w:sz="4" w:space="0" w:color="auto"/>
            </w:tcBorders>
            <w:shd w:val="clear" w:color="auto" w:fill="auto"/>
            <w:vAlign w:val="bottom"/>
          </w:tcPr>
          <w:p w14:paraId="5F52DAA4" w14:textId="77777777" w:rsidR="009D4A93" w:rsidRPr="00536CFD" w:rsidRDefault="009D4A93" w:rsidP="009D4A93">
            <w:pPr>
              <w:pageBreakBefore/>
              <w:spacing w:after="0"/>
              <w:jc w:val="center"/>
              <w:rPr>
                <w:lang w:val="zh-CN"/>
              </w:rPr>
            </w:pPr>
            <w:r w:rsidRPr="00536CFD">
              <w:rPr>
                <w:lang w:val="zh-CN"/>
              </w:rPr>
              <w:t>3.38</w:t>
            </w:r>
          </w:p>
        </w:tc>
        <w:tc>
          <w:tcPr>
            <w:tcW w:w="820" w:type="dxa"/>
            <w:tcBorders>
              <w:top w:val="single" w:sz="4" w:space="0" w:color="auto"/>
              <w:left w:val="nil"/>
              <w:bottom w:val="single" w:sz="4" w:space="0" w:color="auto"/>
              <w:right w:val="single" w:sz="4" w:space="0" w:color="auto"/>
            </w:tcBorders>
            <w:shd w:val="clear" w:color="auto" w:fill="auto"/>
            <w:vAlign w:val="bottom"/>
          </w:tcPr>
          <w:p w14:paraId="089AB8BF" w14:textId="77777777" w:rsidR="009D4A93" w:rsidRPr="00536CFD" w:rsidRDefault="009D4A93" w:rsidP="009D4A93">
            <w:pPr>
              <w:pageBreakBefore/>
              <w:spacing w:after="0"/>
              <w:jc w:val="center"/>
              <w:rPr>
                <w:lang w:val="zh-CN"/>
              </w:rPr>
            </w:pPr>
            <w:r w:rsidRPr="00536CFD">
              <w:rPr>
                <w:lang w:val="zh-CN"/>
              </w:rPr>
              <w:t>3.23</w:t>
            </w:r>
          </w:p>
        </w:tc>
        <w:tc>
          <w:tcPr>
            <w:tcW w:w="800" w:type="dxa"/>
            <w:tcBorders>
              <w:top w:val="single" w:sz="4" w:space="0" w:color="auto"/>
              <w:left w:val="nil"/>
              <w:bottom w:val="single" w:sz="4" w:space="0" w:color="auto"/>
              <w:right w:val="single" w:sz="4" w:space="0" w:color="auto"/>
            </w:tcBorders>
            <w:shd w:val="clear" w:color="auto" w:fill="auto"/>
            <w:vAlign w:val="bottom"/>
          </w:tcPr>
          <w:p w14:paraId="32AE31D5" w14:textId="77777777" w:rsidR="009D4A93" w:rsidRPr="00536CFD" w:rsidRDefault="009D4A93" w:rsidP="009D4A93">
            <w:pPr>
              <w:pageBreakBefore/>
              <w:spacing w:after="0"/>
              <w:jc w:val="center"/>
              <w:rPr>
                <w:lang w:val="zh-CN"/>
              </w:rPr>
            </w:pPr>
            <w:r w:rsidRPr="00536CFD">
              <w:rPr>
                <w:lang w:val="zh-CN"/>
              </w:rPr>
              <w:t>23.87</w:t>
            </w:r>
          </w:p>
        </w:tc>
        <w:tc>
          <w:tcPr>
            <w:tcW w:w="720" w:type="dxa"/>
            <w:tcBorders>
              <w:top w:val="single" w:sz="4" w:space="0" w:color="auto"/>
              <w:left w:val="nil"/>
              <w:bottom w:val="single" w:sz="4" w:space="0" w:color="auto"/>
              <w:right w:val="single" w:sz="4" w:space="0" w:color="auto"/>
            </w:tcBorders>
            <w:shd w:val="clear" w:color="auto" w:fill="auto"/>
            <w:vAlign w:val="bottom"/>
          </w:tcPr>
          <w:p w14:paraId="5FBA85EE" w14:textId="77777777" w:rsidR="009D4A93" w:rsidRPr="00536CFD" w:rsidRDefault="009D4A93" w:rsidP="009D4A93">
            <w:pPr>
              <w:pageBreakBefore/>
              <w:spacing w:after="0"/>
              <w:jc w:val="center"/>
              <w:rPr>
                <w:lang w:val="zh-CN"/>
              </w:rPr>
            </w:pPr>
            <w:r w:rsidRPr="00536CFD">
              <w:rPr>
                <w:lang w:val="zh-CN"/>
              </w:rPr>
              <w:t>42.12</w:t>
            </w:r>
          </w:p>
        </w:tc>
        <w:tc>
          <w:tcPr>
            <w:tcW w:w="724" w:type="dxa"/>
            <w:tcBorders>
              <w:top w:val="single" w:sz="4" w:space="0" w:color="auto"/>
              <w:left w:val="nil"/>
              <w:bottom w:val="single" w:sz="4" w:space="0" w:color="auto"/>
              <w:right w:val="single" w:sz="4" w:space="0" w:color="auto"/>
            </w:tcBorders>
            <w:shd w:val="clear" w:color="auto" w:fill="auto"/>
            <w:vAlign w:val="bottom"/>
          </w:tcPr>
          <w:p w14:paraId="11B0D53A" w14:textId="77777777" w:rsidR="009D4A93" w:rsidRPr="00536CFD" w:rsidRDefault="009D4A93" w:rsidP="009D4A93">
            <w:pPr>
              <w:pageBreakBefore/>
              <w:spacing w:after="0"/>
              <w:jc w:val="center"/>
              <w:rPr>
                <w:lang w:val="zh-CN"/>
              </w:rPr>
            </w:pPr>
            <w:r w:rsidRPr="00536CFD">
              <w:rPr>
                <w:lang w:val="zh-CN"/>
              </w:rPr>
              <w:t>1.34</w:t>
            </w:r>
          </w:p>
        </w:tc>
        <w:tc>
          <w:tcPr>
            <w:tcW w:w="896" w:type="dxa"/>
            <w:tcBorders>
              <w:top w:val="single" w:sz="4" w:space="0" w:color="auto"/>
              <w:left w:val="nil"/>
              <w:bottom w:val="single" w:sz="4" w:space="0" w:color="auto"/>
              <w:right w:val="single" w:sz="4" w:space="0" w:color="auto"/>
            </w:tcBorders>
            <w:shd w:val="clear" w:color="auto" w:fill="auto"/>
            <w:vAlign w:val="bottom"/>
          </w:tcPr>
          <w:p w14:paraId="47F0DCC6" w14:textId="77777777" w:rsidR="009D4A93" w:rsidRPr="00536CFD" w:rsidRDefault="009D4A93" w:rsidP="009D4A93">
            <w:pPr>
              <w:pageBreakBefore/>
              <w:spacing w:after="0"/>
              <w:jc w:val="center"/>
              <w:rPr>
                <w:lang w:val="zh-CN"/>
              </w:rPr>
            </w:pPr>
            <w:r w:rsidRPr="00536CFD">
              <w:rPr>
                <w:lang w:val="zh-CN"/>
              </w:rPr>
              <w:t>1.49</w:t>
            </w:r>
          </w:p>
        </w:tc>
        <w:tc>
          <w:tcPr>
            <w:tcW w:w="720" w:type="dxa"/>
            <w:tcBorders>
              <w:top w:val="single" w:sz="4" w:space="0" w:color="auto"/>
              <w:left w:val="nil"/>
              <w:bottom w:val="single" w:sz="4" w:space="0" w:color="auto"/>
              <w:right w:val="single" w:sz="4" w:space="0" w:color="auto"/>
            </w:tcBorders>
            <w:shd w:val="clear" w:color="auto" w:fill="auto"/>
            <w:vAlign w:val="bottom"/>
          </w:tcPr>
          <w:p w14:paraId="7E527570" w14:textId="77777777" w:rsidR="009D4A93" w:rsidRPr="00536CFD" w:rsidRDefault="009D4A93" w:rsidP="009D4A93">
            <w:pPr>
              <w:pageBreakBefore/>
              <w:spacing w:after="0"/>
              <w:jc w:val="center"/>
              <w:rPr>
                <w:lang w:val="zh-CN"/>
              </w:rPr>
            </w:pPr>
            <w:r w:rsidRPr="00536CFD">
              <w:rPr>
                <w:lang w:val="zh-CN"/>
              </w:rPr>
              <w:t>7.05</w:t>
            </w:r>
          </w:p>
        </w:tc>
        <w:tc>
          <w:tcPr>
            <w:tcW w:w="720" w:type="dxa"/>
            <w:tcBorders>
              <w:top w:val="single" w:sz="4" w:space="0" w:color="auto"/>
              <w:left w:val="nil"/>
              <w:bottom w:val="single" w:sz="4" w:space="0" w:color="auto"/>
              <w:right w:val="single" w:sz="4" w:space="0" w:color="auto"/>
            </w:tcBorders>
            <w:shd w:val="clear" w:color="auto" w:fill="auto"/>
            <w:vAlign w:val="bottom"/>
          </w:tcPr>
          <w:p w14:paraId="3C703DE7" w14:textId="77777777" w:rsidR="009D4A93" w:rsidRPr="00536CFD" w:rsidRDefault="009D4A93" w:rsidP="009D4A93">
            <w:pPr>
              <w:pageBreakBefore/>
              <w:spacing w:after="0"/>
              <w:jc w:val="center"/>
              <w:rPr>
                <w:lang w:val="zh-CN"/>
              </w:rPr>
            </w:pPr>
            <w:r w:rsidRPr="00536CFD">
              <w:rPr>
                <w:lang w:val="zh-CN"/>
              </w:rPr>
              <w:t>36,50</w:t>
            </w:r>
          </w:p>
        </w:tc>
      </w:tr>
      <w:tr w:rsidR="009D4A93" w:rsidRPr="00536CFD" w14:paraId="35751F0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9A8964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399168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301130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2B42D36C" w14:textId="77777777" w:rsidR="009D4A93" w:rsidRPr="00536CFD" w:rsidRDefault="009D4A93" w:rsidP="009D4A93">
            <w:pPr>
              <w:spacing w:after="0"/>
              <w:jc w:val="center"/>
              <w:rPr>
                <w:lang w:val="zh-CN"/>
              </w:rPr>
            </w:pPr>
            <w:r w:rsidRPr="00536CFD">
              <w:rPr>
                <w:lang w:val="zh-CN"/>
              </w:rPr>
              <w:t>35.83</w:t>
            </w:r>
          </w:p>
        </w:tc>
        <w:tc>
          <w:tcPr>
            <w:tcW w:w="720" w:type="dxa"/>
            <w:tcBorders>
              <w:top w:val="single" w:sz="4" w:space="0" w:color="auto"/>
              <w:left w:val="nil"/>
              <w:bottom w:val="single" w:sz="4" w:space="0" w:color="auto"/>
              <w:right w:val="single" w:sz="4" w:space="0" w:color="auto"/>
            </w:tcBorders>
            <w:shd w:val="clear" w:color="auto" w:fill="auto"/>
            <w:vAlign w:val="bottom"/>
          </w:tcPr>
          <w:p w14:paraId="3DB5A9B4" w14:textId="77777777" w:rsidR="009D4A93" w:rsidRPr="00536CFD" w:rsidRDefault="009D4A93" w:rsidP="009D4A93">
            <w:pPr>
              <w:spacing w:after="0"/>
              <w:jc w:val="center"/>
              <w:rPr>
                <w:lang w:val="zh-CN"/>
              </w:rPr>
            </w:pPr>
            <w:r w:rsidRPr="00536CFD">
              <w:rPr>
                <w:lang w:val="zh-CN"/>
              </w:rPr>
              <w:t>36,97</w:t>
            </w:r>
          </w:p>
        </w:tc>
        <w:tc>
          <w:tcPr>
            <w:tcW w:w="720" w:type="dxa"/>
            <w:tcBorders>
              <w:top w:val="single" w:sz="4" w:space="0" w:color="auto"/>
              <w:left w:val="nil"/>
              <w:bottom w:val="single" w:sz="4" w:space="0" w:color="auto"/>
              <w:right w:val="single" w:sz="4" w:space="0" w:color="auto"/>
            </w:tcBorders>
            <w:shd w:val="clear" w:color="auto" w:fill="auto"/>
            <w:vAlign w:val="bottom"/>
          </w:tcPr>
          <w:p w14:paraId="7D3C4590" w14:textId="77777777" w:rsidR="009D4A93" w:rsidRPr="00536CFD" w:rsidRDefault="009D4A93" w:rsidP="009D4A93">
            <w:pPr>
              <w:spacing w:after="0"/>
              <w:jc w:val="center"/>
              <w:rPr>
                <w:lang w:val="zh-CN"/>
              </w:rPr>
            </w:pPr>
            <w:r w:rsidRPr="00536CFD">
              <w:rPr>
                <w:lang w:val="zh-CN"/>
              </w:rPr>
              <w:t>120,95</w:t>
            </w:r>
          </w:p>
        </w:tc>
        <w:tc>
          <w:tcPr>
            <w:tcW w:w="810" w:type="dxa"/>
            <w:tcBorders>
              <w:top w:val="single" w:sz="4" w:space="0" w:color="auto"/>
              <w:left w:val="nil"/>
              <w:bottom w:val="single" w:sz="4" w:space="0" w:color="auto"/>
              <w:right w:val="single" w:sz="4" w:space="0" w:color="auto"/>
            </w:tcBorders>
            <w:shd w:val="clear" w:color="auto" w:fill="auto"/>
            <w:vAlign w:val="bottom"/>
          </w:tcPr>
          <w:p w14:paraId="0C45AA17" w14:textId="77777777" w:rsidR="009D4A93" w:rsidRPr="00536CFD" w:rsidRDefault="009D4A93" w:rsidP="009D4A93">
            <w:pPr>
              <w:spacing w:after="0"/>
              <w:jc w:val="center"/>
              <w:rPr>
                <w:lang w:val="zh-CN"/>
              </w:rPr>
            </w:pPr>
            <w:r w:rsidRPr="00536CFD">
              <w:rPr>
                <w:lang w:val="zh-CN"/>
              </w:rPr>
              <w:t>97,80</w:t>
            </w:r>
          </w:p>
        </w:tc>
        <w:tc>
          <w:tcPr>
            <w:tcW w:w="810" w:type="dxa"/>
            <w:tcBorders>
              <w:top w:val="single" w:sz="4" w:space="0" w:color="auto"/>
              <w:left w:val="nil"/>
              <w:bottom w:val="single" w:sz="4" w:space="0" w:color="auto"/>
              <w:right w:val="single" w:sz="4" w:space="0" w:color="auto"/>
            </w:tcBorders>
            <w:shd w:val="clear" w:color="auto" w:fill="auto"/>
            <w:vAlign w:val="bottom"/>
          </w:tcPr>
          <w:p w14:paraId="679AE2BC" w14:textId="77777777" w:rsidR="009D4A93" w:rsidRPr="00536CFD" w:rsidRDefault="009D4A93" w:rsidP="009D4A93">
            <w:pPr>
              <w:spacing w:after="0"/>
              <w:jc w:val="center"/>
              <w:rPr>
                <w:lang w:val="zh-CN"/>
              </w:rPr>
            </w:pPr>
            <w:r w:rsidRPr="00536CFD">
              <w:rPr>
                <w:lang w:val="zh-CN"/>
              </w:rPr>
              <w:t>22,79</w:t>
            </w:r>
          </w:p>
        </w:tc>
        <w:tc>
          <w:tcPr>
            <w:tcW w:w="820" w:type="dxa"/>
            <w:tcBorders>
              <w:top w:val="single" w:sz="4" w:space="0" w:color="auto"/>
              <w:left w:val="nil"/>
              <w:bottom w:val="single" w:sz="4" w:space="0" w:color="auto"/>
              <w:right w:val="single" w:sz="4" w:space="0" w:color="auto"/>
            </w:tcBorders>
            <w:shd w:val="clear" w:color="auto" w:fill="auto"/>
            <w:vAlign w:val="bottom"/>
          </w:tcPr>
          <w:p w14:paraId="3BF930D8" w14:textId="77777777" w:rsidR="009D4A93" w:rsidRPr="00536CFD" w:rsidRDefault="009D4A93" w:rsidP="009D4A93">
            <w:pPr>
              <w:spacing w:after="0"/>
              <w:jc w:val="center"/>
              <w:rPr>
                <w:lang w:val="zh-CN"/>
              </w:rPr>
            </w:pPr>
            <w:r w:rsidRPr="00536CFD">
              <w:rPr>
                <w:lang w:val="zh-CN"/>
              </w:rPr>
              <w:t>24,96</w:t>
            </w:r>
          </w:p>
        </w:tc>
        <w:tc>
          <w:tcPr>
            <w:tcW w:w="800" w:type="dxa"/>
            <w:tcBorders>
              <w:top w:val="single" w:sz="4" w:space="0" w:color="auto"/>
              <w:left w:val="nil"/>
              <w:bottom w:val="single" w:sz="4" w:space="0" w:color="auto"/>
              <w:right w:val="single" w:sz="4" w:space="0" w:color="auto"/>
            </w:tcBorders>
            <w:shd w:val="clear" w:color="auto" w:fill="auto"/>
            <w:vAlign w:val="bottom"/>
          </w:tcPr>
          <w:p w14:paraId="61D3B38C" w14:textId="77777777" w:rsidR="009D4A93" w:rsidRPr="00536CFD" w:rsidRDefault="009D4A93" w:rsidP="009D4A93">
            <w:pPr>
              <w:spacing w:after="0"/>
              <w:jc w:val="center"/>
              <w:rPr>
                <w:lang w:val="zh-CN"/>
              </w:rPr>
            </w:pPr>
            <w:r w:rsidRPr="00536CFD">
              <w:rPr>
                <w:lang w:val="zh-CN"/>
              </w:rPr>
              <w:t>100,97</w:t>
            </w:r>
          </w:p>
        </w:tc>
        <w:tc>
          <w:tcPr>
            <w:tcW w:w="720" w:type="dxa"/>
            <w:tcBorders>
              <w:top w:val="single" w:sz="4" w:space="0" w:color="auto"/>
              <w:left w:val="nil"/>
              <w:bottom w:val="single" w:sz="4" w:space="0" w:color="auto"/>
              <w:right w:val="single" w:sz="4" w:space="0" w:color="auto"/>
            </w:tcBorders>
            <w:shd w:val="clear" w:color="auto" w:fill="auto"/>
            <w:vAlign w:val="bottom"/>
          </w:tcPr>
          <w:p w14:paraId="119BDCFA" w14:textId="77777777" w:rsidR="009D4A93" w:rsidRPr="00536CFD" w:rsidRDefault="009D4A93" w:rsidP="009D4A93">
            <w:pPr>
              <w:spacing w:after="0"/>
              <w:jc w:val="center"/>
              <w:rPr>
                <w:lang w:val="zh-CN"/>
              </w:rPr>
            </w:pPr>
            <w:r w:rsidRPr="00536CFD">
              <w:rPr>
                <w:lang w:val="zh-CN"/>
              </w:rPr>
              <w:t>94,25</w:t>
            </w:r>
          </w:p>
        </w:tc>
        <w:tc>
          <w:tcPr>
            <w:tcW w:w="724" w:type="dxa"/>
            <w:tcBorders>
              <w:top w:val="single" w:sz="4" w:space="0" w:color="auto"/>
              <w:left w:val="nil"/>
              <w:bottom w:val="single" w:sz="4" w:space="0" w:color="auto"/>
              <w:right w:val="single" w:sz="4" w:space="0" w:color="auto"/>
            </w:tcBorders>
            <w:shd w:val="clear" w:color="auto" w:fill="auto"/>
            <w:vAlign w:val="bottom"/>
          </w:tcPr>
          <w:p w14:paraId="23791181" w14:textId="77777777" w:rsidR="009D4A93" w:rsidRPr="00536CFD" w:rsidRDefault="009D4A93" w:rsidP="009D4A93">
            <w:pPr>
              <w:spacing w:after="0"/>
              <w:jc w:val="center"/>
              <w:rPr>
                <w:lang w:val="zh-CN"/>
              </w:rPr>
            </w:pPr>
            <w:r w:rsidRPr="00536CFD">
              <w:rPr>
                <w:lang w:val="zh-CN"/>
              </w:rPr>
              <w:t>11,26</w:t>
            </w:r>
          </w:p>
        </w:tc>
        <w:tc>
          <w:tcPr>
            <w:tcW w:w="896" w:type="dxa"/>
            <w:tcBorders>
              <w:top w:val="single" w:sz="4" w:space="0" w:color="auto"/>
              <w:left w:val="nil"/>
              <w:bottom w:val="single" w:sz="4" w:space="0" w:color="auto"/>
              <w:right w:val="single" w:sz="4" w:space="0" w:color="auto"/>
            </w:tcBorders>
            <w:shd w:val="clear" w:color="auto" w:fill="auto"/>
            <w:vAlign w:val="bottom"/>
          </w:tcPr>
          <w:p w14:paraId="76A13B8E" w14:textId="77777777" w:rsidR="009D4A93" w:rsidRPr="00536CFD" w:rsidRDefault="009D4A93" w:rsidP="009D4A93">
            <w:pPr>
              <w:spacing w:after="0"/>
              <w:jc w:val="center"/>
              <w:rPr>
                <w:lang w:val="zh-CN"/>
              </w:rPr>
            </w:pPr>
            <w:r w:rsidRPr="00536CFD">
              <w:rPr>
                <w:lang w:val="zh-CN"/>
              </w:rPr>
              <w:t>14,17</w:t>
            </w:r>
          </w:p>
        </w:tc>
        <w:tc>
          <w:tcPr>
            <w:tcW w:w="720" w:type="dxa"/>
            <w:tcBorders>
              <w:top w:val="single" w:sz="4" w:space="0" w:color="auto"/>
              <w:left w:val="nil"/>
              <w:bottom w:val="single" w:sz="4" w:space="0" w:color="auto"/>
              <w:right w:val="single" w:sz="4" w:space="0" w:color="auto"/>
            </w:tcBorders>
            <w:shd w:val="clear" w:color="auto" w:fill="auto"/>
            <w:vAlign w:val="bottom"/>
          </w:tcPr>
          <w:p w14:paraId="2276B18C" w14:textId="77777777" w:rsidR="009D4A93" w:rsidRPr="00536CFD" w:rsidRDefault="009D4A93" w:rsidP="009D4A93">
            <w:pPr>
              <w:spacing w:after="0"/>
              <w:jc w:val="center"/>
              <w:rPr>
                <w:lang w:val="zh-CN"/>
              </w:rPr>
            </w:pPr>
            <w:r w:rsidRPr="00536CFD">
              <w:rPr>
                <w:lang w:val="zh-CN"/>
              </w:rPr>
              <w:t>74,25</w:t>
            </w:r>
          </w:p>
        </w:tc>
        <w:tc>
          <w:tcPr>
            <w:tcW w:w="720" w:type="dxa"/>
            <w:tcBorders>
              <w:top w:val="single" w:sz="4" w:space="0" w:color="auto"/>
              <w:left w:val="nil"/>
              <w:bottom w:val="single" w:sz="4" w:space="0" w:color="auto"/>
              <w:right w:val="single" w:sz="4" w:space="0" w:color="auto"/>
            </w:tcBorders>
            <w:shd w:val="clear" w:color="auto" w:fill="auto"/>
            <w:vAlign w:val="bottom"/>
          </w:tcPr>
          <w:p w14:paraId="3E85FE2F" w14:textId="77777777" w:rsidR="009D4A93" w:rsidRPr="00536CFD" w:rsidRDefault="009D4A93" w:rsidP="009D4A93">
            <w:pPr>
              <w:spacing w:after="0"/>
              <w:jc w:val="center"/>
              <w:rPr>
                <w:lang w:val="zh-CN"/>
              </w:rPr>
            </w:pPr>
            <w:r w:rsidRPr="00536CFD">
              <w:rPr>
                <w:lang w:val="zh-CN"/>
              </w:rPr>
              <w:t>87,78</w:t>
            </w:r>
          </w:p>
        </w:tc>
      </w:tr>
      <w:tr w:rsidR="009D4A93" w:rsidRPr="00536CFD" w14:paraId="7DFE124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933193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85C3BF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57611E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0D9ABA12" w14:textId="77777777" w:rsidR="009D4A93" w:rsidRPr="00536CFD" w:rsidRDefault="009D4A93" w:rsidP="009D4A93">
            <w:pPr>
              <w:spacing w:after="0"/>
              <w:jc w:val="center"/>
              <w:rPr>
                <w:lang w:val="zh-CN"/>
              </w:rPr>
            </w:pPr>
            <w:r w:rsidRPr="00536CFD">
              <w:rPr>
                <w:lang w:val="zh-CN"/>
              </w:rPr>
              <w:t>77,98</w:t>
            </w:r>
          </w:p>
        </w:tc>
        <w:tc>
          <w:tcPr>
            <w:tcW w:w="720" w:type="dxa"/>
            <w:tcBorders>
              <w:top w:val="single" w:sz="4" w:space="0" w:color="auto"/>
              <w:left w:val="nil"/>
              <w:bottom w:val="single" w:sz="4" w:space="0" w:color="auto"/>
              <w:right w:val="single" w:sz="4" w:space="0" w:color="auto"/>
            </w:tcBorders>
            <w:shd w:val="clear" w:color="auto" w:fill="auto"/>
            <w:vAlign w:val="bottom"/>
          </w:tcPr>
          <w:p w14:paraId="03E0F984" w14:textId="77777777" w:rsidR="009D4A93" w:rsidRPr="00536CFD" w:rsidRDefault="009D4A93" w:rsidP="009D4A93">
            <w:pPr>
              <w:spacing w:after="0"/>
              <w:jc w:val="center"/>
              <w:rPr>
                <w:lang w:val="zh-CN"/>
              </w:rPr>
            </w:pPr>
            <w:r w:rsidRPr="00536CFD">
              <w:rPr>
                <w:lang w:val="zh-CN"/>
              </w:rPr>
              <w:t>79,51</w:t>
            </w:r>
          </w:p>
        </w:tc>
        <w:tc>
          <w:tcPr>
            <w:tcW w:w="720" w:type="dxa"/>
            <w:tcBorders>
              <w:top w:val="single" w:sz="4" w:space="0" w:color="auto"/>
              <w:left w:val="nil"/>
              <w:bottom w:val="single" w:sz="4" w:space="0" w:color="auto"/>
              <w:right w:val="single" w:sz="4" w:space="0" w:color="auto"/>
            </w:tcBorders>
            <w:shd w:val="clear" w:color="auto" w:fill="auto"/>
            <w:vAlign w:val="bottom"/>
          </w:tcPr>
          <w:p w14:paraId="68D10089" w14:textId="77777777" w:rsidR="009D4A93" w:rsidRPr="00536CFD" w:rsidRDefault="009D4A93" w:rsidP="009D4A93">
            <w:pPr>
              <w:spacing w:after="0"/>
              <w:jc w:val="center"/>
              <w:rPr>
                <w:lang w:val="zh-CN"/>
              </w:rPr>
            </w:pPr>
            <w:r w:rsidRPr="00536CFD">
              <w:rPr>
                <w:lang w:val="zh-CN"/>
              </w:rPr>
              <w:t>190,84</w:t>
            </w:r>
          </w:p>
        </w:tc>
        <w:tc>
          <w:tcPr>
            <w:tcW w:w="810" w:type="dxa"/>
            <w:tcBorders>
              <w:top w:val="single" w:sz="4" w:space="0" w:color="auto"/>
              <w:left w:val="nil"/>
              <w:bottom w:val="single" w:sz="4" w:space="0" w:color="auto"/>
              <w:right w:val="single" w:sz="4" w:space="0" w:color="auto"/>
            </w:tcBorders>
            <w:shd w:val="clear" w:color="auto" w:fill="auto"/>
            <w:vAlign w:val="bottom"/>
          </w:tcPr>
          <w:p w14:paraId="350E81D4" w14:textId="77777777" w:rsidR="009D4A93" w:rsidRPr="00536CFD" w:rsidRDefault="009D4A93" w:rsidP="009D4A93">
            <w:pPr>
              <w:spacing w:after="0"/>
              <w:jc w:val="center"/>
              <w:rPr>
                <w:lang w:val="zh-CN"/>
              </w:rPr>
            </w:pPr>
            <w:r w:rsidRPr="00536CFD">
              <w:rPr>
                <w:lang w:val="zh-CN"/>
              </w:rPr>
              <w:t>186,51</w:t>
            </w:r>
          </w:p>
        </w:tc>
        <w:tc>
          <w:tcPr>
            <w:tcW w:w="810" w:type="dxa"/>
            <w:tcBorders>
              <w:top w:val="single" w:sz="4" w:space="0" w:color="auto"/>
              <w:left w:val="nil"/>
              <w:bottom w:val="single" w:sz="4" w:space="0" w:color="auto"/>
              <w:right w:val="single" w:sz="4" w:space="0" w:color="auto"/>
            </w:tcBorders>
            <w:shd w:val="clear" w:color="auto" w:fill="auto"/>
            <w:vAlign w:val="bottom"/>
          </w:tcPr>
          <w:p w14:paraId="089777BD" w14:textId="77777777" w:rsidR="009D4A93" w:rsidRPr="00536CFD" w:rsidRDefault="009D4A93" w:rsidP="009D4A93">
            <w:pPr>
              <w:spacing w:after="0"/>
              <w:jc w:val="center"/>
              <w:rPr>
                <w:lang w:val="zh-CN"/>
              </w:rPr>
            </w:pPr>
            <w:r w:rsidRPr="00536CFD">
              <w:rPr>
                <w:lang w:val="zh-CN"/>
              </w:rPr>
              <w:t>61,50</w:t>
            </w:r>
          </w:p>
        </w:tc>
        <w:tc>
          <w:tcPr>
            <w:tcW w:w="820" w:type="dxa"/>
            <w:tcBorders>
              <w:top w:val="single" w:sz="4" w:space="0" w:color="auto"/>
              <w:left w:val="nil"/>
              <w:bottom w:val="single" w:sz="4" w:space="0" w:color="auto"/>
              <w:right w:val="single" w:sz="4" w:space="0" w:color="auto"/>
            </w:tcBorders>
            <w:shd w:val="clear" w:color="auto" w:fill="auto"/>
            <w:vAlign w:val="bottom"/>
          </w:tcPr>
          <w:p w14:paraId="35D93958" w14:textId="77777777" w:rsidR="009D4A93" w:rsidRPr="00536CFD" w:rsidRDefault="009D4A93" w:rsidP="009D4A93">
            <w:pPr>
              <w:spacing w:after="0"/>
              <w:jc w:val="center"/>
              <w:rPr>
                <w:lang w:val="zh-CN"/>
              </w:rPr>
            </w:pPr>
            <w:r w:rsidRPr="00536CFD">
              <w:rPr>
                <w:lang w:val="zh-CN"/>
              </w:rPr>
              <w:t>62,42</w:t>
            </w:r>
          </w:p>
        </w:tc>
        <w:tc>
          <w:tcPr>
            <w:tcW w:w="800" w:type="dxa"/>
            <w:tcBorders>
              <w:top w:val="single" w:sz="4" w:space="0" w:color="auto"/>
              <w:left w:val="nil"/>
              <w:bottom w:val="single" w:sz="4" w:space="0" w:color="auto"/>
              <w:right w:val="single" w:sz="4" w:space="0" w:color="auto"/>
            </w:tcBorders>
            <w:shd w:val="clear" w:color="auto" w:fill="auto"/>
            <w:vAlign w:val="bottom"/>
          </w:tcPr>
          <w:p w14:paraId="6979BAD6" w14:textId="77777777" w:rsidR="009D4A93" w:rsidRPr="00536CFD" w:rsidRDefault="009D4A93" w:rsidP="009D4A93">
            <w:pPr>
              <w:spacing w:after="0"/>
              <w:jc w:val="center"/>
              <w:rPr>
                <w:lang w:val="zh-CN"/>
              </w:rPr>
            </w:pPr>
            <w:r w:rsidRPr="00536CFD">
              <w:rPr>
                <w:lang w:val="zh-CN"/>
              </w:rPr>
              <w:t>172,75</w:t>
            </w:r>
          </w:p>
        </w:tc>
        <w:tc>
          <w:tcPr>
            <w:tcW w:w="720" w:type="dxa"/>
            <w:tcBorders>
              <w:top w:val="single" w:sz="4" w:space="0" w:color="auto"/>
              <w:left w:val="nil"/>
              <w:bottom w:val="single" w:sz="4" w:space="0" w:color="auto"/>
              <w:right w:val="single" w:sz="4" w:space="0" w:color="auto"/>
            </w:tcBorders>
            <w:shd w:val="clear" w:color="auto" w:fill="auto"/>
            <w:vAlign w:val="bottom"/>
          </w:tcPr>
          <w:p w14:paraId="7E0183B9" w14:textId="77777777" w:rsidR="009D4A93" w:rsidRPr="00536CFD" w:rsidRDefault="009D4A93" w:rsidP="009D4A93">
            <w:pPr>
              <w:spacing w:after="0"/>
              <w:jc w:val="center"/>
              <w:rPr>
                <w:lang w:val="zh-CN"/>
              </w:rPr>
            </w:pPr>
            <w:r w:rsidRPr="00536CFD">
              <w:rPr>
                <w:lang w:val="zh-CN"/>
              </w:rPr>
              <w:t>182,16</w:t>
            </w:r>
          </w:p>
        </w:tc>
        <w:tc>
          <w:tcPr>
            <w:tcW w:w="724" w:type="dxa"/>
            <w:tcBorders>
              <w:top w:val="single" w:sz="4" w:space="0" w:color="auto"/>
              <w:left w:val="nil"/>
              <w:bottom w:val="single" w:sz="4" w:space="0" w:color="auto"/>
              <w:right w:val="single" w:sz="4" w:space="0" w:color="auto"/>
            </w:tcBorders>
            <w:shd w:val="clear" w:color="auto" w:fill="auto"/>
            <w:vAlign w:val="bottom"/>
          </w:tcPr>
          <w:p w14:paraId="1B274433" w14:textId="77777777" w:rsidR="009D4A93" w:rsidRPr="00536CFD" w:rsidRDefault="009D4A93" w:rsidP="009D4A93">
            <w:pPr>
              <w:spacing w:after="0"/>
              <w:jc w:val="center"/>
              <w:rPr>
                <w:lang w:val="zh-CN"/>
              </w:rPr>
            </w:pPr>
            <w:r w:rsidRPr="00536CFD">
              <w:rPr>
                <w:lang w:val="zh-CN"/>
              </w:rPr>
              <w:t>40,72</w:t>
            </w:r>
          </w:p>
        </w:tc>
        <w:tc>
          <w:tcPr>
            <w:tcW w:w="896" w:type="dxa"/>
            <w:tcBorders>
              <w:top w:val="single" w:sz="4" w:space="0" w:color="auto"/>
              <w:left w:val="nil"/>
              <w:bottom w:val="single" w:sz="4" w:space="0" w:color="auto"/>
              <w:right w:val="single" w:sz="4" w:space="0" w:color="auto"/>
            </w:tcBorders>
            <w:shd w:val="clear" w:color="auto" w:fill="auto"/>
            <w:vAlign w:val="bottom"/>
          </w:tcPr>
          <w:p w14:paraId="4C7012E5" w14:textId="77777777" w:rsidR="009D4A93" w:rsidRPr="00536CFD" w:rsidRDefault="009D4A93" w:rsidP="009D4A93">
            <w:pPr>
              <w:spacing w:after="0"/>
              <w:jc w:val="center"/>
              <w:rPr>
                <w:lang w:val="zh-CN"/>
              </w:rPr>
            </w:pPr>
            <w:r w:rsidRPr="00536CFD">
              <w:rPr>
                <w:lang w:val="zh-CN"/>
              </w:rPr>
              <w:t>51,33</w:t>
            </w:r>
          </w:p>
        </w:tc>
        <w:tc>
          <w:tcPr>
            <w:tcW w:w="720" w:type="dxa"/>
            <w:tcBorders>
              <w:top w:val="single" w:sz="4" w:space="0" w:color="auto"/>
              <w:left w:val="nil"/>
              <w:bottom w:val="single" w:sz="4" w:space="0" w:color="auto"/>
              <w:right w:val="single" w:sz="4" w:space="0" w:color="auto"/>
            </w:tcBorders>
            <w:shd w:val="clear" w:color="auto" w:fill="auto"/>
            <w:vAlign w:val="bottom"/>
          </w:tcPr>
          <w:p w14:paraId="0291C824" w14:textId="77777777" w:rsidR="009D4A93" w:rsidRPr="00536CFD" w:rsidRDefault="009D4A93" w:rsidP="009D4A93">
            <w:pPr>
              <w:spacing w:after="0"/>
              <w:jc w:val="center"/>
              <w:rPr>
                <w:lang w:val="zh-CN"/>
              </w:rPr>
            </w:pPr>
            <w:r w:rsidRPr="00536CFD">
              <w:rPr>
                <w:lang w:val="zh-CN"/>
              </w:rPr>
              <w:t>143,82</w:t>
            </w:r>
          </w:p>
        </w:tc>
        <w:tc>
          <w:tcPr>
            <w:tcW w:w="720" w:type="dxa"/>
            <w:tcBorders>
              <w:top w:val="single" w:sz="4" w:space="0" w:color="auto"/>
              <w:left w:val="nil"/>
              <w:bottom w:val="single" w:sz="4" w:space="0" w:color="auto"/>
              <w:right w:val="single" w:sz="4" w:space="0" w:color="auto"/>
            </w:tcBorders>
            <w:shd w:val="clear" w:color="auto" w:fill="auto"/>
            <w:vAlign w:val="bottom"/>
          </w:tcPr>
          <w:p w14:paraId="2DB7C49A" w14:textId="77777777" w:rsidR="009D4A93" w:rsidRPr="00536CFD" w:rsidRDefault="009D4A93" w:rsidP="009D4A93">
            <w:pPr>
              <w:spacing w:after="0"/>
              <w:jc w:val="center"/>
              <w:rPr>
                <w:lang w:val="zh-CN"/>
              </w:rPr>
            </w:pPr>
            <w:r w:rsidRPr="00536CFD">
              <w:rPr>
                <w:lang w:val="zh-CN"/>
              </w:rPr>
              <w:t>177,31</w:t>
            </w:r>
          </w:p>
        </w:tc>
      </w:tr>
      <w:tr w:rsidR="009D4A93" w:rsidRPr="00536CFD" w14:paraId="1C12856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70FFF7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BC851C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EF5CEB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27089F72" w14:textId="77777777" w:rsidR="009D4A93" w:rsidRPr="00536CFD" w:rsidRDefault="009D4A93" w:rsidP="009D4A93">
            <w:pPr>
              <w:spacing w:after="0"/>
              <w:jc w:val="center"/>
              <w:rPr>
                <w:lang w:val="zh-CN"/>
              </w:rPr>
            </w:pPr>
            <w:r w:rsidRPr="00536CFD">
              <w:rPr>
                <w:lang w:val="zh-CN"/>
              </w:rPr>
              <w:t>39,91</w:t>
            </w:r>
          </w:p>
        </w:tc>
        <w:tc>
          <w:tcPr>
            <w:tcW w:w="720" w:type="dxa"/>
            <w:tcBorders>
              <w:top w:val="single" w:sz="4" w:space="0" w:color="auto"/>
              <w:left w:val="nil"/>
              <w:bottom w:val="single" w:sz="4" w:space="0" w:color="auto"/>
              <w:right w:val="single" w:sz="4" w:space="0" w:color="auto"/>
            </w:tcBorders>
            <w:shd w:val="clear" w:color="auto" w:fill="auto"/>
            <w:vAlign w:val="bottom"/>
          </w:tcPr>
          <w:p w14:paraId="10D9A525" w14:textId="77777777" w:rsidR="009D4A93" w:rsidRPr="00536CFD" w:rsidRDefault="009D4A93" w:rsidP="009D4A93">
            <w:pPr>
              <w:spacing w:after="0"/>
              <w:jc w:val="center"/>
              <w:rPr>
                <w:lang w:val="zh-CN"/>
              </w:rPr>
            </w:pPr>
            <w:r w:rsidRPr="00536CFD">
              <w:rPr>
                <w:lang w:val="zh-CN"/>
              </w:rPr>
              <w:t>37,63</w:t>
            </w:r>
          </w:p>
        </w:tc>
        <w:tc>
          <w:tcPr>
            <w:tcW w:w="720" w:type="dxa"/>
            <w:tcBorders>
              <w:top w:val="single" w:sz="4" w:space="0" w:color="auto"/>
              <w:left w:val="nil"/>
              <w:bottom w:val="single" w:sz="4" w:space="0" w:color="auto"/>
              <w:right w:val="single" w:sz="4" w:space="0" w:color="auto"/>
            </w:tcBorders>
            <w:shd w:val="clear" w:color="auto" w:fill="auto"/>
            <w:vAlign w:val="bottom"/>
          </w:tcPr>
          <w:p w14:paraId="08A12FEC" w14:textId="77777777" w:rsidR="009D4A93" w:rsidRPr="00536CFD" w:rsidRDefault="009D4A93" w:rsidP="009D4A93">
            <w:pPr>
              <w:spacing w:after="0"/>
              <w:jc w:val="center"/>
              <w:rPr>
                <w:lang w:val="zh-CN"/>
              </w:rPr>
            </w:pPr>
            <w:r w:rsidRPr="00536CFD">
              <w:rPr>
                <w:lang w:val="zh-CN"/>
              </w:rPr>
              <w:t>120,04</w:t>
            </w:r>
          </w:p>
        </w:tc>
        <w:tc>
          <w:tcPr>
            <w:tcW w:w="810" w:type="dxa"/>
            <w:tcBorders>
              <w:top w:val="single" w:sz="4" w:space="0" w:color="auto"/>
              <w:left w:val="nil"/>
              <w:bottom w:val="single" w:sz="4" w:space="0" w:color="auto"/>
              <w:right w:val="single" w:sz="4" w:space="0" w:color="auto"/>
            </w:tcBorders>
            <w:shd w:val="clear" w:color="auto" w:fill="auto"/>
            <w:vAlign w:val="bottom"/>
          </w:tcPr>
          <w:p w14:paraId="2AB81C0B" w14:textId="77777777" w:rsidR="009D4A93" w:rsidRPr="00536CFD" w:rsidRDefault="009D4A93" w:rsidP="009D4A93">
            <w:pPr>
              <w:spacing w:after="0"/>
              <w:jc w:val="center"/>
              <w:rPr>
                <w:lang w:val="zh-CN"/>
              </w:rPr>
            </w:pPr>
            <w:r w:rsidRPr="00536CFD">
              <w:rPr>
                <w:lang w:val="zh-CN"/>
              </w:rPr>
              <w:t>106,00</w:t>
            </w:r>
          </w:p>
        </w:tc>
        <w:tc>
          <w:tcPr>
            <w:tcW w:w="810" w:type="dxa"/>
            <w:tcBorders>
              <w:top w:val="single" w:sz="4" w:space="0" w:color="auto"/>
              <w:left w:val="nil"/>
              <w:bottom w:val="single" w:sz="4" w:space="0" w:color="auto"/>
              <w:right w:val="single" w:sz="4" w:space="0" w:color="auto"/>
            </w:tcBorders>
            <w:shd w:val="clear" w:color="auto" w:fill="auto"/>
            <w:vAlign w:val="bottom"/>
          </w:tcPr>
          <w:p w14:paraId="7418AB62" w14:textId="77777777" w:rsidR="009D4A93" w:rsidRPr="00536CFD" w:rsidRDefault="009D4A93" w:rsidP="009D4A93">
            <w:pPr>
              <w:spacing w:after="0"/>
              <w:jc w:val="center"/>
              <w:rPr>
                <w:lang w:val="zh-CN"/>
              </w:rPr>
            </w:pPr>
            <w:r w:rsidRPr="00536CFD">
              <w:rPr>
                <w:lang w:val="zh-CN"/>
              </w:rPr>
              <w:t>26,77</w:t>
            </w:r>
          </w:p>
        </w:tc>
        <w:tc>
          <w:tcPr>
            <w:tcW w:w="820" w:type="dxa"/>
            <w:tcBorders>
              <w:top w:val="single" w:sz="4" w:space="0" w:color="auto"/>
              <w:left w:val="nil"/>
              <w:bottom w:val="single" w:sz="4" w:space="0" w:color="auto"/>
              <w:right w:val="single" w:sz="4" w:space="0" w:color="auto"/>
            </w:tcBorders>
            <w:shd w:val="clear" w:color="auto" w:fill="auto"/>
            <w:vAlign w:val="bottom"/>
          </w:tcPr>
          <w:p w14:paraId="7173C330" w14:textId="77777777" w:rsidR="009D4A93" w:rsidRPr="00536CFD" w:rsidRDefault="009D4A93" w:rsidP="009D4A93">
            <w:pPr>
              <w:spacing w:after="0"/>
              <w:jc w:val="center"/>
              <w:rPr>
                <w:lang w:val="zh-CN"/>
              </w:rPr>
            </w:pPr>
            <w:r w:rsidRPr="00536CFD">
              <w:rPr>
                <w:lang w:val="zh-CN"/>
              </w:rPr>
              <w:t>28,10</w:t>
            </w:r>
          </w:p>
        </w:tc>
        <w:tc>
          <w:tcPr>
            <w:tcW w:w="800" w:type="dxa"/>
            <w:tcBorders>
              <w:top w:val="single" w:sz="4" w:space="0" w:color="auto"/>
              <w:left w:val="nil"/>
              <w:bottom w:val="single" w:sz="4" w:space="0" w:color="auto"/>
              <w:right w:val="single" w:sz="4" w:space="0" w:color="auto"/>
            </w:tcBorders>
            <w:shd w:val="clear" w:color="auto" w:fill="auto"/>
            <w:vAlign w:val="bottom"/>
          </w:tcPr>
          <w:p w14:paraId="0113FA8F" w14:textId="77777777" w:rsidR="009D4A93" w:rsidRPr="00536CFD" w:rsidRDefault="009D4A93" w:rsidP="009D4A93">
            <w:pPr>
              <w:spacing w:after="0"/>
              <w:jc w:val="center"/>
              <w:rPr>
                <w:lang w:val="zh-CN"/>
              </w:rPr>
            </w:pPr>
            <w:r w:rsidRPr="00536CFD">
              <w:rPr>
                <w:lang w:val="zh-CN"/>
              </w:rPr>
              <w:t>100,36</w:t>
            </w:r>
          </w:p>
        </w:tc>
        <w:tc>
          <w:tcPr>
            <w:tcW w:w="720" w:type="dxa"/>
            <w:tcBorders>
              <w:top w:val="single" w:sz="4" w:space="0" w:color="auto"/>
              <w:left w:val="nil"/>
              <w:bottom w:val="single" w:sz="4" w:space="0" w:color="auto"/>
              <w:right w:val="single" w:sz="4" w:space="0" w:color="auto"/>
            </w:tcBorders>
            <w:shd w:val="clear" w:color="auto" w:fill="auto"/>
            <w:vAlign w:val="bottom"/>
          </w:tcPr>
          <w:p w14:paraId="767FE5A3" w14:textId="77777777" w:rsidR="009D4A93" w:rsidRPr="00536CFD" w:rsidRDefault="009D4A93" w:rsidP="009D4A93">
            <w:pPr>
              <w:spacing w:after="0"/>
              <w:jc w:val="center"/>
              <w:rPr>
                <w:lang w:val="zh-CN"/>
              </w:rPr>
            </w:pPr>
            <w:r w:rsidRPr="00536CFD">
              <w:rPr>
                <w:lang w:val="zh-CN"/>
              </w:rPr>
              <w:t>102,11</w:t>
            </w:r>
          </w:p>
        </w:tc>
        <w:tc>
          <w:tcPr>
            <w:tcW w:w="724" w:type="dxa"/>
            <w:tcBorders>
              <w:top w:val="single" w:sz="4" w:space="0" w:color="auto"/>
              <w:left w:val="nil"/>
              <w:bottom w:val="single" w:sz="4" w:space="0" w:color="auto"/>
              <w:right w:val="single" w:sz="4" w:space="0" w:color="auto"/>
            </w:tcBorders>
            <w:shd w:val="clear" w:color="auto" w:fill="auto"/>
            <w:vAlign w:val="bottom"/>
          </w:tcPr>
          <w:p w14:paraId="23998612" w14:textId="77777777" w:rsidR="009D4A93" w:rsidRPr="00536CFD" w:rsidRDefault="009D4A93" w:rsidP="009D4A93">
            <w:pPr>
              <w:spacing w:after="0"/>
              <w:jc w:val="center"/>
              <w:rPr>
                <w:lang w:val="zh-CN"/>
              </w:rPr>
            </w:pPr>
            <w:r w:rsidRPr="00536CFD">
              <w:rPr>
                <w:lang w:val="zh-CN"/>
              </w:rPr>
              <w:t>14,91</w:t>
            </w:r>
          </w:p>
        </w:tc>
        <w:tc>
          <w:tcPr>
            <w:tcW w:w="896" w:type="dxa"/>
            <w:tcBorders>
              <w:top w:val="single" w:sz="4" w:space="0" w:color="auto"/>
              <w:left w:val="nil"/>
              <w:bottom w:val="single" w:sz="4" w:space="0" w:color="auto"/>
              <w:right w:val="single" w:sz="4" w:space="0" w:color="auto"/>
            </w:tcBorders>
            <w:shd w:val="clear" w:color="auto" w:fill="auto"/>
            <w:vAlign w:val="bottom"/>
          </w:tcPr>
          <w:p w14:paraId="53B9161D" w14:textId="77777777" w:rsidR="009D4A93" w:rsidRPr="00536CFD" w:rsidRDefault="009D4A93" w:rsidP="009D4A93">
            <w:pPr>
              <w:spacing w:after="0"/>
              <w:jc w:val="center"/>
              <w:rPr>
                <w:lang w:val="zh-CN"/>
              </w:rPr>
            </w:pPr>
            <w:r w:rsidRPr="00536CFD">
              <w:rPr>
                <w:lang w:val="zh-CN"/>
              </w:rPr>
              <w:t>18,57</w:t>
            </w:r>
          </w:p>
        </w:tc>
        <w:tc>
          <w:tcPr>
            <w:tcW w:w="720" w:type="dxa"/>
            <w:tcBorders>
              <w:top w:val="single" w:sz="4" w:space="0" w:color="auto"/>
              <w:left w:val="nil"/>
              <w:bottom w:val="single" w:sz="4" w:space="0" w:color="auto"/>
              <w:right w:val="single" w:sz="4" w:space="0" w:color="auto"/>
            </w:tcBorders>
            <w:shd w:val="clear" w:color="auto" w:fill="auto"/>
            <w:vAlign w:val="bottom"/>
          </w:tcPr>
          <w:p w14:paraId="7E922B80" w14:textId="77777777" w:rsidR="009D4A93" w:rsidRPr="00536CFD" w:rsidRDefault="009D4A93" w:rsidP="009D4A93">
            <w:pPr>
              <w:spacing w:after="0"/>
              <w:jc w:val="center"/>
              <w:rPr>
                <w:lang w:val="zh-CN"/>
              </w:rPr>
            </w:pPr>
            <w:r w:rsidRPr="00536CFD">
              <w:rPr>
                <w:lang w:val="zh-CN"/>
              </w:rPr>
              <w:t>75,30</w:t>
            </w:r>
          </w:p>
        </w:tc>
        <w:tc>
          <w:tcPr>
            <w:tcW w:w="720" w:type="dxa"/>
            <w:tcBorders>
              <w:top w:val="single" w:sz="4" w:space="0" w:color="auto"/>
              <w:left w:val="nil"/>
              <w:bottom w:val="single" w:sz="4" w:space="0" w:color="auto"/>
              <w:right w:val="single" w:sz="4" w:space="0" w:color="auto"/>
            </w:tcBorders>
            <w:shd w:val="clear" w:color="auto" w:fill="auto"/>
            <w:vAlign w:val="bottom"/>
          </w:tcPr>
          <w:p w14:paraId="489BCCF4" w14:textId="77777777" w:rsidR="009D4A93" w:rsidRPr="00536CFD" w:rsidRDefault="009D4A93" w:rsidP="009D4A93">
            <w:pPr>
              <w:spacing w:after="0"/>
              <w:jc w:val="center"/>
              <w:rPr>
                <w:lang w:val="zh-CN"/>
              </w:rPr>
            </w:pPr>
            <w:r w:rsidRPr="00536CFD">
              <w:rPr>
                <w:lang w:val="zh-CN"/>
              </w:rPr>
              <w:t>95,65</w:t>
            </w:r>
          </w:p>
        </w:tc>
      </w:tr>
      <w:tr w:rsidR="009D4A93" w:rsidRPr="00536CFD" w14:paraId="106D314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D95B02B"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429427F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48CE912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37A3CEF3" w14:textId="77777777" w:rsidR="009D4A93" w:rsidRPr="00536CFD" w:rsidRDefault="009D4A93" w:rsidP="009D4A93">
            <w:pPr>
              <w:spacing w:after="0"/>
              <w:jc w:val="center"/>
              <w:rPr>
                <w:lang w:val="zh-CN"/>
              </w:rPr>
            </w:pPr>
            <w:r w:rsidRPr="00536CFD">
              <w:rPr>
                <w:lang w:val="zh-CN"/>
              </w:rPr>
              <w:t>42,23</w:t>
            </w:r>
          </w:p>
        </w:tc>
        <w:tc>
          <w:tcPr>
            <w:tcW w:w="720" w:type="dxa"/>
            <w:tcBorders>
              <w:top w:val="single" w:sz="4" w:space="0" w:color="auto"/>
              <w:left w:val="nil"/>
              <w:bottom w:val="single" w:sz="4" w:space="0" w:color="auto"/>
              <w:right w:val="single" w:sz="4" w:space="0" w:color="auto"/>
            </w:tcBorders>
            <w:shd w:val="clear" w:color="auto" w:fill="auto"/>
            <w:vAlign w:val="bottom"/>
          </w:tcPr>
          <w:p w14:paraId="22472030" w14:textId="77777777" w:rsidR="009D4A93" w:rsidRPr="00536CFD" w:rsidRDefault="009D4A93" w:rsidP="009D4A93">
            <w:pPr>
              <w:spacing w:after="0"/>
              <w:jc w:val="center"/>
              <w:rPr>
                <w:lang w:val="zh-CN"/>
              </w:rPr>
            </w:pPr>
            <w:r w:rsidRPr="00536CFD">
              <w:rPr>
                <w:lang w:val="zh-CN"/>
              </w:rPr>
              <w:t>45,77</w:t>
            </w:r>
          </w:p>
        </w:tc>
        <w:tc>
          <w:tcPr>
            <w:tcW w:w="720" w:type="dxa"/>
            <w:tcBorders>
              <w:top w:val="single" w:sz="4" w:space="0" w:color="auto"/>
              <w:left w:val="nil"/>
              <w:bottom w:val="single" w:sz="4" w:space="0" w:color="auto"/>
              <w:right w:val="single" w:sz="4" w:space="0" w:color="auto"/>
            </w:tcBorders>
            <w:shd w:val="clear" w:color="auto" w:fill="auto"/>
            <w:vAlign w:val="bottom"/>
          </w:tcPr>
          <w:p w14:paraId="1DAA9819" w14:textId="77777777" w:rsidR="009D4A93" w:rsidRPr="00536CFD" w:rsidRDefault="009D4A93" w:rsidP="009D4A93">
            <w:pPr>
              <w:spacing w:after="0"/>
              <w:jc w:val="center"/>
              <w:rPr>
                <w:lang w:val="zh-CN"/>
              </w:rPr>
            </w:pPr>
            <w:r w:rsidRPr="00536CFD">
              <w:rPr>
                <w:lang w:val="zh-CN"/>
              </w:rPr>
              <w:t>19,76</w:t>
            </w:r>
          </w:p>
        </w:tc>
        <w:tc>
          <w:tcPr>
            <w:tcW w:w="810" w:type="dxa"/>
            <w:tcBorders>
              <w:top w:val="single" w:sz="4" w:space="0" w:color="auto"/>
              <w:left w:val="nil"/>
              <w:bottom w:val="single" w:sz="4" w:space="0" w:color="auto"/>
              <w:right w:val="single" w:sz="4" w:space="0" w:color="auto"/>
            </w:tcBorders>
            <w:shd w:val="clear" w:color="auto" w:fill="auto"/>
            <w:vAlign w:val="bottom"/>
          </w:tcPr>
          <w:p w14:paraId="3499B593" w14:textId="77777777" w:rsidR="009D4A93" w:rsidRPr="00536CFD" w:rsidRDefault="009D4A93" w:rsidP="009D4A93">
            <w:pPr>
              <w:spacing w:after="0"/>
              <w:jc w:val="center"/>
              <w:rPr>
                <w:lang w:val="zh-CN"/>
              </w:rPr>
            </w:pPr>
            <w:r w:rsidRPr="00536CFD">
              <w:rPr>
                <w:lang w:val="zh-CN"/>
              </w:rPr>
              <w:t>20,79</w:t>
            </w:r>
          </w:p>
        </w:tc>
        <w:tc>
          <w:tcPr>
            <w:tcW w:w="810" w:type="dxa"/>
            <w:tcBorders>
              <w:top w:val="single" w:sz="4" w:space="0" w:color="auto"/>
              <w:left w:val="nil"/>
              <w:bottom w:val="single" w:sz="4" w:space="0" w:color="auto"/>
              <w:right w:val="single" w:sz="4" w:space="0" w:color="auto"/>
            </w:tcBorders>
            <w:shd w:val="clear" w:color="auto" w:fill="auto"/>
            <w:vAlign w:val="bottom"/>
          </w:tcPr>
          <w:p w14:paraId="07D78E9D" w14:textId="77777777" w:rsidR="009D4A93" w:rsidRPr="00536CFD" w:rsidRDefault="009D4A93" w:rsidP="009D4A93">
            <w:pPr>
              <w:spacing w:after="0"/>
              <w:jc w:val="center"/>
              <w:rPr>
                <w:lang w:val="zh-CN"/>
              </w:rPr>
            </w:pPr>
            <w:r w:rsidRPr="00536CFD">
              <w:rPr>
                <w:lang w:val="zh-CN"/>
              </w:rPr>
              <w:t>49,01</w:t>
            </w:r>
          </w:p>
        </w:tc>
        <w:tc>
          <w:tcPr>
            <w:tcW w:w="820" w:type="dxa"/>
            <w:tcBorders>
              <w:top w:val="single" w:sz="4" w:space="0" w:color="auto"/>
              <w:left w:val="nil"/>
              <w:bottom w:val="single" w:sz="4" w:space="0" w:color="auto"/>
              <w:right w:val="single" w:sz="4" w:space="0" w:color="auto"/>
            </w:tcBorders>
            <w:shd w:val="clear" w:color="auto" w:fill="auto"/>
            <w:vAlign w:val="bottom"/>
          </w:tcPr>
          <w:p w14:paraId="7386D813" w14:textId="77777777" w:rsidR="009D4A93" w:rsidRPr="00536CFD" w:rsidRDefault="009D4A93" w:rsidP="009D4A93">
            <w:pPr>
              <w:spacing w:after="0"/>
              <w:jc w:val="center"/>
              <w:rPr>
                <w:lang w:val="zh-CN"/>
              </w:rPr>
            </w:pPr>
            <w:r w:rsidRPr="00536CFD">
              <w:rPr>
                <w:lang w:val="zh-CN"/>
              </w:rPr>
              <w:t>49,52</w:t>
            </w:r>
          </w:p>
        </w:tc>
        <w:tc>
          <w:tcPr>
            <w:tcW w:w="800" w:type="dxa"/>
            <w:tcBorders>
              <w:top w:val="single" w:sz="4" w:space="0" w:color="auto"/>
              <w:left w:val="nil"/>
              <w:bottom w:val="single" w:sz="4" w:space="0" w:color="auto"/>
              <w:right w:val="single" w:sz="4" w:space="0" w:color="auto"/>
            </w:tcBorders>
            <w:shd w:val="clear" w:color="auto" w:fill="auto"/>
            <w:vAlign w:val="bottom"/>
          </w:tcPr>
          <w:p w14:paraId="171C5634" w14:textId="77777777" w:rsidR="009D4A93" w:rsidRPr="00536CFD" w:rsidRDefault="009D4A93" w:rsidP="009D4A93">
            <w:pPr>
              <w:spacing w:after="0"/>
              <w:jc w:val="center"/>
              <w:rPr>
                <w:lang w:val="zh-CN"/>
              </w:rPr>
            </w:pPr>
            <w:r w:rsidRPr="00536CFD">
              <w:rPr>
                <w:lang w:val="zh-CN"/>
              </w:rPr>
              <w:t>20,67</w:t>
            </w:r>
          </w:p>
        </w:tc>
        <w:tc>
          <w:tcPr>
            <w:tcW w:w="720" w:type="dxa"/>
            <w:tcBorders>
              <w:top w:val="single" w:sz="4" w:space="0" w:color="auto"/>
              <w:left w:val="nil"/>
              <w:bottom w:val="single" w:sz="4" w:space="0" w:color="auto"/>
              <w:right w:val="single" w:sz="4" w:space="0" w:color="auto"/>
            </w:tcBorders>
            <w:shd w:val="clear" w:color="auto" w:fill="auto"/>
            <w:vAlign w:val="bottom"/>
          </w:tcPr>
          <w:p w14:paraId="3523C1C3" w14:textId="77777777" w:rsidR="009D4A93" w:rsidRPr="00536CFD" w:rsidRDefault="009D4A93" w:rsidP="009D4A93">
            <w:pPr>
              <w:spacing w:after="0"/>
              <w:jc w:val="center"/>
              <w:rPr>
                <w:lang w:val="zh-CN"/>
              </w:rPr>
            </w:pPr>
            <w:r w:rsidRPr="00536CFD">
              <w:rPr>
                <w:lang w:val="zh-CN"/>
              </w:rPr>
              <w:t>20,70</w:t>
            </w:r>
          </w:p>
        </w:tc>
        <w:tc>
          <w:tcPr>
            <w:tcW w:w="724" w:type="dxa"/>
            <w:tcBorders>
              <w:top w:val="single" w:sz="4" w:space="0" w:color="auto"/>
              <w:left w:val="nil"/>
              <w:bottom w:val="single" w:sz="4" w:space="0" w:color="auto"/>
              <w:right w:val="single" w:sz="4" w:space="0" w:color="auto"/>
            </w:tcBorders>
            <w:shd w:val="clear" w:color="auto" w:fill="auto"/>
            <w:vAlign w:val="bottom"/>
          </w:tcPr>
          <w:p w14:paraId="37CD2A82" w14:textId="77777777" w:rsidR="009D4A93" w:rsidRPr="00536CFD" w:rsidRDefault="009D4A93" w:rsidP="009D4A93">
            <w:pPr>
              <w:spacing w:after="0"/>
              <w:jc w:val="center"/>
              <w:rPr>
                <w:lang w:val="zh-CN"/>
              </w:rPr>
            </w:pPr>
            <w:r w:rsidRPr="00536CFD">
              <w:rPr>
                <w:lang w:val="zh-CN"/>
              </w:rPr>
              <w:t>68,97</w:t>
            </w:r>
          </w:p>
        </w:tc>
        <w:tc>
          <w:tcPr>
            <w:tcW w:w="896" w:type="dxa"/>
            <w:tcBorders>
              <w:top w:val="single" w:sz="4" w:space="0" w:color="auto"/>
              <w:left w:val="nil"/>
              <w:bottom w:val="single" w:sz="4" w:space="0" w:color="auto"/>
              <w:right w:val="single" w:sz="4" w:space="0" w:color="auto"/>
            </w:tcBorders>
            <w:shd w:val="clear" w:color="auto" w:fill="auto"/>
            <w:vAlign w:val="bottom"/>
          </w:tcPr>
          <w:p w14:paraId="54E4A0CE" w14:textId="77777777" w:rsidR="009D4A93" w:rsidRPr="00536CFD" w:rsidRDefault="009D4A93" w:rsidP="009D4A93">
            <w:pPr>
              <w:spacing w:after="0"/>
              <w:jc w:val="center"/>
              <w:rPr>
                <w:lang w:val="zh-CN"/>
              </w:rPr>
            </w:pPr>
            <w:r w:rsidRPr="00536CFD">
              <w:rPr>
                <w:lang w:val="zh-CN"/>
              </w:rPr>
              <w:t>59,83</w:t>
            </w:r>
          </w:p>
        </w:tc>
        <w:tc>
          <w:tcPr>
            <w:tcW w:w="720" w:type="dxa"/>
            <w:tcBorders>
              <w:top w:val="single" w:sz="4" w:space="0" w:color="auto"/>
              <w:left w:val="nil"/>
              <w:bottom w:val="single" w:sz="4" w:space="0" w:color="auto"/>
              <w:right w:val="single" w:sz="4" w:space="0" w:color="auto"/>
            </w:tcBorders>
            <w:shd w:val="clear" w:color="auto" w:fill="auto"/>
            <w:vAlign w:val="bottom"/>
          </w:tcPr>
          <w:p w14:paraId="61F9E809" w14:textId="77777777" w:rsidR="009D4A93" w:rsidRPr="00536CFD" w:rsidRDefault="009D4A93" w:rsidP="009D4A93">
            <w:pPr>
              <w:spacing w:after="0"/>
              <w:jc w:val="center"/>
              <w:rPr>
                <w:lang w:val="zh-CN"/>
              </w:rPr>
            </w:pPr>
            <w:r w:rsidRPr="00536CFD">
              <w:rPr>
                <w:lang w:val="zh-CN"/>
              </w:rPr>
              <w:t>21,84</w:t>
            </w:r>
          </w:p>
        </w:tc>
        <w:tc>
          <w:tcPr>
            <w:tcW w:w="720" w:type="dxa"/>
            <w:tcBorders>
              <w:top w:val="single" w:sz="4" w:space="0" w:color="auto"/>
              <w:left w:val="nil"/>
              <w:bottom w:val="single" w:sz="4" w:space="0" w:color="auto"/>
              <w:right w:val="single" w:sz="4" w:space="0" w:color="auto"/>
            </w:tcBorders>
            <w:shd w:val="clear" w:color="auto" w:fill="auto"/>
            <w:vAlign w:val="bottom"/>
          </w:tcPr>
          <w:p w14:paraId="4B477C02" w14:textId="77777777" w:rsidR="009D4A93" w:rsidRPr="00536CFD" w:rsidRDefault="009D4A93" w:rsidP="009D4A93">
            <w:pPr>
              <w:spacing w:after="0"/>
              <w:jc w:val="center"/>
              <w:rPr>
                <w:lang w:val="zh-CN"/>
              </w:rPr>
            </w:pPr>
            <w:r w:rsidRPr="00536CFD">
              <w:rPr>
                <w:lang w:val="zh-CN"/>
              </w:rPr>
              <w:t>21,03</w:t>
            </w:r>
          </w:p>
        </w:tc>
      </w:tr>
      <w:tr w:rsidR="009D4A93" w:rsidRPr="00536CFD" w14:paraId="2C4989C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808D88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668459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9422CF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3AC4A0CE" w14:textId="77777777" w:rsidR="009D4A93" w:rsidRPr="00536CFD" w:rsidRDefault="009D4A93" w:rsidP="009D4A93">
            <w:pPr>
              <w:spacing w:after="0"/>
              <w:jc w:val="center"/>
              <w:rPr>
                <w:lang w:val="zh-CN"/>
              </w:rPr>
            </w:pPr>
            <w:r w:rsidRPr="00536CFD">
              <w:rPr>
                <w:lang w:val="zh-CN"/>
              </w:rPr>
              <w:t>116,70</w:t>
            </w:r>
          </w:p>
        </w:tc>
        <w:tc>
          <w:tcPr>
            <w:tcW w:w="720" w:type="dxa"/>
            <w:tcBorders>
              <w:top w:val="single" w:sz="4" w:space="0" w:color="auto"/>
              <w:left w:val="nil"/>
              <w:bottom w:val="single" w:sz="4" w:space="0" w:color="auto"/>
              <w:right w:val="single" w:sz="4" w:space="0" w:color="auto"/>
            </w:tcBorders>
            <w:shd w:val="clear" w:color="auto" w:fill="auto"/>
            <w:vAlign w:val="bottom"/>
          </w:tcPr>
          <w:p w14:paraId="2459CFD6" w14:textId="77777777" w:rsidR="009D4A93" w:rsidRPr="00536CFD" w:rsidRDefault="009D4A93" w:rsidP="009D4A93">
            <w:pPr>
              <w:spacing w:after="0"/>
              <w:jc w:val="center"/>
              <w:rPr>
                <w:lang w:val="zh-CN"/>
              </w:rPr>
            </w:pPr>
            <w:r w:rsidRPr="00536CFD">
              <w:rPr>
                <w:lang w:val="zh-CN"/>
              </w:rPr>
              <w:t>112,65</w:t>
            </w:r>
          </w:p>
        </w:tc>
        <w:tc>
          <w:tcPr>
            <w:tcW w:w="720" w:type="dxa"/>
            <w:tcBorders>
              <w:top w:val="single" w:sz="4" w:space="0" w:color="auto"/>
              <w:left w:val="nil"/>
              <w:bottom w:val="single" w:sz="4" w:space="0" w:color="auto"/>
              <w:right w:val="single" w:sz="4" w:space="0" w:color="auto"/>
            </w:tcBorders>
            <w:shd w:val="clear" w:color="auto" w:fill="auto"/>
            <w:vAlign w:val="bottom"/>
          </w:tcPr>
          <w:p w14:paraId="248705C8" w14:textId="77777777" w:rsidR="009D4A93" w:rsidRPr="00536CFD" w:rsidRDefault="009D4A93" w:rsidP="009D4A93">
            <w:pPr>
              <w:spacing w:after="0"/>
              <w:jc w:val="center"/>
              <w:rPr>
                <w:lang w:val="zh-CN"/>
              </w:rPr>
            </w:pPr>
            <w:r w:rsidRPr="00536CFD">
              <w:rPr>
                <w:lang w:val="zh-CN"/>
              </w:rPr>
              <w:t>31,06</w:t>
            </w:r>
          </w:p>
        </w:tc>
        <w:tc>
          <w:tcPr>
            <w:tcW w:w="810" w:type="dxa"/>
            <w:tcBorders>
              <w:top w:val="single" w:sz="4" w:space="0" w:color="auto"/>
              <w:left w:val="nil"/>
              <w:bottom w:val="single" w:sz="4" w:space="0" w:color="auto"/>
              <w:right w:val="single" w:sz="4" w:space="0" w:color="auto"/>
            </w:tcBorders>
            <w:shd w:val="clear" w:color="auto" w:fill="auto"/>
            <w:vAlign w:val="bottom"/>
          </w:tcPr>
          <w:p w14:paraId="6AF5969B" w14:textId="77777777" w:rsidR="009D4A93" w:rsidRPr="00536CFD" w:rsidRDefault="009D4A93" w:rsidP="009D4A93">
            <w:pPr>
              <w:spacing w:after="0"/>
              <w:jc w:val="center"/>
              <w:rPr>
                <w:lang w:val="zh-CN"/>
              </w:rPr>
            </w:pPr>
            <w:r w:rsidRPr="00536CFD">
              <w:rPr>
                <w:lang w:val="zh-CN"/>
              </w:rPr>
              <w:t>42,11</w:t>
            </w:r>
          </w:p>
        </w:tc>
        <w:tc>
          <w:tcPr>
            <w:tcW w:w="810" w:type="dxa"/>
            <w:tcBorders>
              <w:top w:val="single" w:sz="4" w:space="0" w:color="auto"/>
              <w:left w:val="nil"/>
              <w:bottom w:val="single" w:sz="4" w:space="0" w:color="auto"/>
              <w:right w:val="single" w:sz="4" w:space="0" w:color="auto"/>
            </w:tcBorders>
            <w:shd w:val="clear" w:color="auto" w:fill="auto"/>
            <w:vAlign w:val="bottom"/>
          </w:tcPr>
          <w:p w14:paraId="6A9FA70D" w14:textId="77777777" w:rsidR="009D4A93" w:rsidRPr="00536CFD" w:rsidRDefault="009D4A93" w:rsidP="009D4A93">
            <w:pPr>
              <w:spacing w:after="0"/>
              <w:jc w:val="center"/>
              <w:rPr>
                <w:lang w:val="zh-CN"/>
              </w:rPr>
            </w:pPr>
            <w:r w:rsidRPr="00536CFD">
              <w:rPr>
                <w:lang w:val="zh-CN"/>
              </w:rPr>
              <w:t>211,95</w:t>
            </w:r>
          </w:p>
        </w:tc>
        <w:tc>
          <w:tcPr>
            <w:tcW w:w="820" w:type="dxa"/>
            <w:tcBorders>
              <w:top w:val="single" w:sz="4" w:space="0" w:color="auto"/>
              <w:left w:val="nil"/>
              <w:bottom w:val="single" w:sz="4" w:space="0" w:color="auto"/>
              <w:right w:val="single" w:sz="4" w:space="0" w:color="auto"/>
            </w:tcBorders>
            <w:shd w:val="clear" w:color="auto" w:fill="auto"/>
            <w:vAlign w:val="bottom"/>
          </w:tcPr>
          <w:p w14:paraId="09D8898C" w14:textId="77777777" w:rsidR="009D4A93" w:rsidRPr="00536CFD" w:rsidRDefault="009D4A93" w:rsidP="009D4A93">
            <w:pPr>
              <w:spacing w:after="0"/>
              <w:jc w:val="center"/>
              <w:rPr>
                <w:lang w:val="zh-CN"/>
              </w:rPr>
            </w:pPr>
            <w:r w:rsidRPr="00536CFD">
              <w:rPr>
                <w:lang w:val="zh-CN"/>
              </w:rPr>
              <w:t>183,95</w:t>
            </w:r>
          </w:p>
        </w:tc>
        <w:tc>
          <w:tcPr>
            <w:tcW w:w="800" w:type="dxa"/>
            <w:tcBorders>
              <w:top w:val="single" w:sz="4" w:space="0" w:color="auto"/>
              <w:left w:val="nil"/>
              <w:bottom w:val="single" w:sz="4" w:space="0" w:color="auto"/>
              <w:right w:val="single" w:sz="4" w:space="0" w:color="auto"/>
            </w:tcBorders>
            <w:shd w:val="clear" w:color="auto" w:fill="auto"/>
            <w:vAlign w:val="bottom"/>
          </w:tcPr>
          <w:p w14:paraId="532181F2" w14:textId="77777777" w:rsidR="009D4A93" w:rsidRPr="00536CFD" w:rsidRDefault="009D4A93" w:rsidP="009D4A93">
            <w:pPr>
              <w:spacing w:after="0"/>
              <w:jc w:val="center"/>
              <w:rPr>
                <w:lang w:val="zh-CN"/>
              </w:rPr>
            </w:pPr>
            <w:r w:rsidRPr="00536CFD">
              <w:rPr>
                <w:lang w:val="zh-CN"/>
              </w:rPr>
              <w:t>40,22</w:t>
            </w:r>
          </w:p>
        </w:tc>
        <w:tc>
          <w:tcPr>
            <w:tcW w:w="720" w:type="dxa"/>
            <w:tcBorders>
              <w:top w:val="single" w:sz="4" w:space="0" w:color="auto"/>
              <w:left w:val="nil"/>
              <w:bottom w:val="single" w:sz="4" w:space="0" w:color="auto"/>
              <w:right w:val="single" w:sz="4" w:space="0" w:color="auto"/>
            </w:tcBorders>
            <w:shd w:val="clear" w:color="auto" w:fill="auto"/>
            <w:vAlign w:val="bottom"/>
          </w:tcPr>
          <w:p w14:paraId="478302B2" w14:textId="77777777" w:rsidR="009D4A93" w:rsidRPr="00536CFD" w:rsidRDefault="009D4A93" w:rsidP="009D4A93">
            <w:pPr>
              <w:spacing w:after="0"/>
              <w:jc w:val="center"/>
              <w:rPr>
                <w:lang w:val="zh-CN"/>
              </w:rPr>
            </w:pPr>
            <w:r w:rsidRPr="00536CFD">
              <w:rPr>
                <w:lang w:val="zh-CN"/>
              </w:rPr>
              <w:t>43,36</w:t>
            </w:r>
          </w:p>
        </w:tc>
        <w:tc>
          <w:tcPr>
            <w:tcW w:w="724" w:type="dxa"/>
            <w:tcBorders>
              <w:top w:val="single" w:sz="4" w:space="0" w:color="auto"/>
              <w:left w:val="nil"/>
              <w:bottom w:val="single" w:sz="4" w:space="0" w:color="auto"/>
              <w:right w:val="single" w:sz="4" w:space="0" w:color="auto"/>
            </w:tcBorders>
            <w:shd w:val="clear" w:color="auto" w:fill="auto"/>
            <w:vAlign w:val="bottom"/>
          </w:tcPr>
          <w:p w14:paraId="080B4215" w14:textId="77777777" w:rsidR="009D4A93" w:rsidRPr="00536CFD" w:rsidRDefault="009D4A93" w:rsidP="009D4A93">
            <w:pPr>
              <w:spacing w:after="0"/>
              <w:jc w:val="center"/>
              <w:rPr>
                <w:lang w:val="zh-CN"/>
              </w:rPr>
            </w:pPr>
            <w:r w:rsidRPr="00536CFD">
              <w:rPr>
                <w:lang w:val="zh-CN"/>
              </w:rPr>
              <w:t>448,90</w:t>
            </w:r>
          </w:p>
        </w:tc>
        <w:tc>
          <w:tcPr>
            <w:tcW w:w="896" w:type="dxa"/>
            <w:tcBorders>
              <w:top w:val="single" w:sz="4" w:space="0" w:color="auto"/>
              <w:left w:val="nil"/>
              <w:bottom w:val="single" w:sz="4" w:space="0" w:color="auto"/>
              <w:right w:val="single" w:sz="4" w:space="0" w:color="auto"/>
            </w:tcBorders>
            <w:shd w:val="clear" w:color="auto" w:fill="auto"/>
            <w:vAlign w:val="bottom"/>
          </w:tcPr>
          <w:p w14:paraId="32F2C3D2" w14:textId="77777777" w:rsidR="009D4A93" w:rsidRPr="00536CFD" w:rsidRDefault="009D4A93" w:rsidP="009D4A93">
            <w:pPr>
              <w:spacing w:after="0"/>
              <w:jc w:val="center"/>
              <w:rPr>
                <w:lang w:val="zh-CN"/>
              </w:rPr>
            </w:pPr>
            <w:r w:rsidRPr="00536CFD">
              <w:rPr>
                <w:lang w:val="zh-CN"/>
              </w:rPr>
              <w:t>325,72</w:t>
            </w:r>
          </w:p>
        </w:tc>
        <w:tc>
          <w:tcPr>
            <w:tcW w:w="720" w:type="dxa"/>
            <w:tcBorders>
              <w:top w:val="single" w:sz="4" w:space="0" w:color="auto"/>
              <w:left w:val="nil"/>
              <w:bottom w:val="single" w:sz="4" w:space="0" w:color="auto"/>
              <w:right w:val="single" w:sz="4" w:space="0" w:color="auto"/>
            </w:tcBorders>
            <w:shd w:val="clear" w:color="auto" w:fill="auto"/>
            <w:vAlign w:val="bottom"/>
          </w:tcPr>
          <w:p w14:paraId="264F1EDD" w14:textId="77777777" w:rsidR="009D4A93" w:rsidRPr="00536CFD" w:rsidRDefault="009D4A93" w:rsidP="009D4A93">
            <w:pPr>
              <w:spacing w:after="0"/>
              <w:jc w:val="center"/>
              <w:rPr>
                <w:lang w:val="zh-CN"/>
              </w:rPr>
            </w:pPr>
            <w:r w:rsidRPr="00536CFD">
              <w:rPr>
                <w:lang w:val="zh-CN"/>
              </w:rPr>
              <w:t>57,77</w:t>
            </w:r>
          </w:p>
        </w:tc>
        <w:tc>
          <w:tcPr>
            <w:tcW w:w="720" w:type="dxa"/>
            <w:tcBorders>
              <w:top w:val="single" w:sz="4" w:space="0" w:color="auto"/>
              <w:left w:val="nil"/>
              <w:bottom w:val="single" w:sz="4" w:space="0" w:color="auto"/>
              <w:right w:val="single" w:sz="4" w:space="0" w:color="auto"/>
            </w:tcBorders>
            <w:shd w:val="clear" w:color="auto" w:fill="auto"/>
            <w:vAlign w:val="bottom"/>
          </w:tcPr>
          <w:p w14:paraId="445FDA61" w14:textId="77777777" w:rsidR="009D4A93" w:rsidRPr="00536CFD" w:rsidRDefault="009D4A93" w:rsidP="009D4A93">
            <w:pPr>
              <w:spacing w:after="0"/>
              <w:jc w:val="center"/>
              <w:rPr>
                <w:lang w:val="zh-CN"/>
              </w:rPr>
            </w:pPr>
            <w:r w:rsidRPr="00536CFD">
              <w:rPr>
                <w:lang w:val="zh-CN"/>
              </w:rPr>
              <w:t>45,74</w:t>
            </w:r>
          </w:p>
        </w:tc>
      </w:tr>
      <w:tr w:rsidR="009D4A93" w:rsidRPr="00536CFD" w14:paraId="56F1046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C36E57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10DE81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D8D766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07030750" w14:textId="77777777" w:rsidR="009D4A93" w:rsidRPr="00536CFD" w:rsidRDefault="009D4A93" w:rsidP="009D4A93">
            <w:pPr>
              <w:spacing w:after="0"/>
              <w:jc w:val="center"/>
              <w:rPr>
                <w:lang w:val="zh-CN"/>
              </w:rPr>
            </w:pPr>
            <w:r w:rsidRPr="00536CFD">
              <w:rPr>
                <w:lang w:val="zh-CN"/>
              </w:rPr>
              <w:t>577,53</w:t>
            </w:r>
          </w:p>
        </w:tc>
        <w:tc>
          <w:tcPr>
            <w:tcW w:w="720" w:type="dxa"/>
            <w:tcBorders>
              <w:top w:val="single" w:sz="4" w:space="0" w:color="auto"/>
              <w:left w:val="nil"/>
              <w:bottom w:val="single" w:sz="4" w:space="0" w:color="auto"/>
              <w:right w:val="single" w:sz="4" w:space="0" w:color="auto"/>
            </w:tcBorders>
            <w:shd w:val="clear" w:color="auto" w:fill="auto"/>
            <w:vAlign w:val="bottom"/>
          </w:tcPr>
          <w:p w14:paraId="1A3C3D27" w14:textId="77777777" w:rsidR="009D4A93" w:rsidRPr="00536CFD" w:rsidRDefault="009D4A93" w:rsidP="009D4A93">
            <w:pPr>
              <w:spacing w:after="0"/>
              <w:jc w:val="center"/>
              <w:rPr>
                <w:lang w:val="zh-CN"/>
              </w:rPr>
            </w:pPr>
            <w:r w:rsidRPr="00536CFD">
              <w:rPr>
                <w:lang w:val="zh-CN"/>
              </w:rPr>
              <w:t>521,78</w:t>
            </w:r>
          </w:p>
        </w:tc>
        <w:tc>
          <w:tcPr>
            <w:tcW w:w="720" w:type="dxa"/>
            <w:tcBorders>
              <w:top w:val="single" w:sz="4" w:space="0" w:color="auto"/>
              <w:left w:val="nil"/>
              <w:bottom w:val="single" w:sz="4" w:space="0" w:color="auto"/>
              <w:right w:val="single" w:sz="4" w:space="0" w:color="auto"/>
            </w:tcBorders>
            <w:shd w:val="clear" w:color="auto" w:fill="auto"/>
            <w:vAlign w:val="bottom"/>
          </w:tcPr>
          <w:p w14:paraId="1402BC07" w14:textId="77777777" w:rsidR="009D4A93" w:rsidRPr="00536CFD" w:rsidRDefault="009D4A93" w:rsidP="009D4A93">
            <w:pPr>
              <w:spacing w:after="0"/>
              <w:jc w:val="center"/>
              <w:rPr>
                <w:lang w:val="zh-CN"/>
              </w:rPr>
            </w:pPr>
            <w:r w:rsidRPr="00536CFD">
              <w:rPr>
                <w:lang w:val="zh-CN"/>
              </w:rPr>
              <w:t>101,94</w:t>
            </w:r>
          </w:p>
        </w:tc>
        <w:tc>
          <w:tcPr>
            <w:tcW w:w="810" w:type="dxa"/>
            <w:tcBorders>
              <w:top w:val="single" w:sz="4" w:space="0" w:color="auto"/>
              <w:left w:val="nil"/>
              <w:bottom w:val="single" w:sz="4" w:space="0" w:color="auto"/>
              <w:right w:val="single" w:sz="4" w:space="0" w:color="auto"/>
            </w:tcBorders>
            <w:shd w:val="clear" w:color="auto" w:fill="auto"/>
            <w:vAlign w:val="bottom"/>
          </w:tcPr>
          <w:p w14:paraId="47F412E0" w14:textId="77777777" w:rsidR="009D4A93" w:rsidRPr="00536CFD" w:rsidRDefault="009D4A93" w:rsidP="009D4A93">
            <w:pPr>
              <w:spacing w:after="0"/>
              <w:jc w:val="center"/>
              <w:rPr>
                <w:lang w:val="zh-CN"/>
              </w:rPr>
            </w:pPr>
            <w:r w:rsidRPr="00536CFD">
              <w:rPr>
                <w:lang w:val="zh-CN"/>
              </w:rPr>
              <w:t>111,14</w:t>
            </w:r>
          </w:p>
        </w:tc>
        <w:tc>
          <w:tcPr>
            <w:tcW w:w="810" w:type="dxa"/>
            <w:tcBorders>
              <w:top w:val="single" w:sz="4" w:space="0" w:color="auto"/>
              <w:left w:val="nil"/>
              <w:bottom w:val="single" w:sz="4" w:space="0" w:color="auto"/>
              <w:right w:val="single" w:sz="4" w:space="0" w:color="auto"/>
            </w:tcBorders>
            <w:shd w:val="clear" w:color="auto" w:fill="auto"/>
            <w:vAlign w:val="bottom"/>
          </w:tcPr>
          <w:p w14:paraId="7984F1A7" w14:textId="77777777" w:rsidR="009D4A93" w:rsidRPr="00536CFD" w:rsidRDefault="009D4A93" w:rsidP="009D4A93">
            <w:pPr>
              <w:spacing w:after="0"/>
              <w:jc w:val="center"/>
              <w:rPr>
                <w:lang w:val="zh-CN"/>
              </w:rPr>
            </w:pPr>
            <w:r w:rsidRPr="00536CFD">
              <w:rPr>
                <w:lang w:val="zh-CN"/>
              </w:rPr>
              <w:t>1234,80</w:t>
            </w:r>
          </w:p>
        </w:tc>
        <w:tc>
          <w:tcPr>
            <w:tcW w:w="820" w:type="dxa"/>
            <w:tcBorders>
              <w:top w:val="single" w:sz="4" w:space="0" w:color="auto"/>
              <w:left w:val="nil"/>
              <w:bottom w:val="single" w:sz="4" w:space="0" w:color="auto"/>
              <w:right w:val="single" w:sz="4" w:space="0" w:color="auto"/>
            </w:tcBorders>
            <w:shd w:val="clear" w:color="auto" w:fill="auto"/>
            <w:vAlign w:val="bottom"/>
          </w:tcPr>
          <w:p w14:paraId="7C3786C1" w14:textId="77777777" w:rsidR="009D4A93" w:rsidRPr="00536CFD" w:rsidRDefault="009D4A93" w:rsidP="009D4A93">
            <w:pPr>
              <w:spacing w:after="0"/>
              <w:jc w:val="center"/>
              <w:rPr>
                <w:lang w:val="zh-CN"/>
              </w:rPr>
            </w:pPr>
            <w:r w:rsidRPr="00536CFD">
              <w:rPr>
                <w:lang w:val="zh-CN"/>
              </w:rPr>
              <w:t>931,37</w:t>
            </w:r>
          </w:p>
        </w:tc>
        <w:tc>
          <w:tcPr>
            <w:tcW w:w="800" w:type="dxa"/>
            <w:tcBorders>
              <w:top w:val="single" w:sz="4" w:space="0" w:color="auto"/>
              <w:left w:val="nil"/>
              <w:bottom w:val="single" w:sz="4" w:space="0" w:color="auto"/>
              <w:right w:val="single" w:sz="4" w:space="0" w:color="auto"/>
            </w:tcBorders>
            <w:shd w:val="clear" w:color="auto" w:fill="auto"/>
            <w:vAlign w:val="bottom"/>
          </w:tcPr>
          <w:p w14:paraId="79399A50" w14:textId="77777777" w:rsidR="009D4A93" w:rsidRPr="00536CFD" w:rsidRDefault="009D4A93" w:rsidP="009D4A93">
            <w:pPr>
              <w:spacing w:after="0"/>
              <w:jc w:val="center"/>
              <w:rPr>
                <w:lang w:val="zh-CN"/>
              </w:rPr>
            </w:pPr>
            <w:r w:rsidRPr="00536CFD">
              <w:rPr>
                <w:lang w:val="zh-CN"/>
              </w:rPr>
              <w:t>205,60</w:t>
            </w:r>
          </w:p>
        </w:tc>
        <w:tc>
          <w:tcPr>
            <w:tcW w:w="720" w:type="dxa"/>
            <w:tcBorders>
              <w:top w:val="single" w:sz="4" w:space="0" w:color="auto"/>
              <w:left w:val="nil"/>
              <w:bottom w:val="single" w:sz="4" w:space="0" w:color="auto"/>
              <w:right w:val="single" w:sz="4" w:space="0" w:color="auto"/>
            </w:tcBorders>
            <w:shd w:val="clear" w:color="auto" w:fill="auto"/>
            <w:vAlign w:val="bottom"/>
          </w:tcPr>
          <w:p w14:paraId="31E1E72C" w14:textId="77777777" w:rsidR="009D4A93" w:rsidRPr="00536CFD" w:rsidRDefault="009D4A93" w:rsidP="009D4A93">
            <w:pPr>
              <w:spacing w:after="0"/>
              <w:jc w:val="center"/>
              <w:rPr>
                <w:lang w:val="zh-CN"/>
              </w:rPr>
            </w:pPr>
            <w:r w:rsidRPr="00536CFD">
              <w:rPr>
                <w:lang w:val="zh-CN"/>
              </w:rPr>
              <w:t>137,24</w:t>
            </w:r>
          </w:p>
        </w:tc>
        <w:tc>
          <w:tcPr>
            <w:tcW w:w="724" w:type="dxa"/>
            <w:tcBorders>
              <w:top w:val="single" w:sz="4" w:space="0" w:color="auto"/>
              <w:left w:val="nil"/>
              <w:bottom w:val="single" w:sz="4" w:space="0" w:color="auto"/>
              <w:right w:val="single" w:sz="4" w:space="0" w:color="auto"/>
            </w:tcBorders>
            <w:shd w:val="clear" w:color="auto" w:fill="auto"/>
            <w:vAlign w:val="bottom"/>
          </w:tcPr>
          <w:p w14:paraId="426E636B" w14:textId="77777777" w:rsidR="009D4A93" w:rsidRPr="00536CFD" w:rsidRDefault="009D4A93" w:rsidP="009D4A93">
            <w:pPr>
              <w:spacing w:after="0"/>
              <w:jc w:val="center"/>
              <w:rPr>
                <w:lang w:val="zh-CN"/>
              </w:rPr>
            </w:pPr>
            <w:r w:rsidRPr="00536CFD">
              <w:rPr>
                <w:lang w:val="zh-CN"/>
              </w:rPr>
              <w:t>2895,40</w:t>
            </w:r>
          </w:p>
        </w:tc>
        <w:tc>
          <w:tcPr>
            <w:tcW w:w="896" w:type="dxa"/>
            <w:tcBorders>
              <w:top w:val="single" w:sz="4" w:space="0" w:color="auto"/>
              <w:left w:val="nil"/>
              <w:bottom w:val="single" w:sz="4" w:space="0" w:color="auto"/>
              <w:right w:val="single" w:sz="4" w:space="0" w:color="auto"/>
            </w:tcBorders>
            <w:shd w:val="clear" w:color="auto" w:fill="auto"/>
            <w:vAlign w:val="bottom"/>
          </w:tcPr>
          <w:p w14:paraId="1FE8D0F2" w14:textId="77777777" w:rsidR="009D4A93" w:rsidRPr="00536CFD" w:rsidRDefault="009D4A93" w:rsidP="009D4A93">
            <w:pPr>
              <w:spacing w:after="0"/>
              <w:jc w:val="center"/>
              <w:rPr>
                <w:lang w:val="zh-CN"/>
              </w:rPr>
            </w:pPr>
            <w:r w:rsidRPr="00536CFD">
              <w:rPr>
                <w:lang w:val="zh-CN"/>
              </w:rPr>
              <w:t>2041,24</w:t>
            </w:r>
          </w:p>
        </w:tc>
        <w:tc>
          <w:tcPr>
            <w:tcW w:w="720" w:type="dxa"/>
            <w:tcBorders>
              <w:top w:val="single" w:sz="4" w:space="0" w:color="auto"/>
              <w:left w:val="nil"/>
              <w:bottom w:val="single" w:sz="4" w:space="0" w:color="auto"/>
              <w:right w:val="single" w:sz="4" w:space="0" w:color="auto"/>
            </w:tcBorders>
            <w:shd w:val="clear" w:color="auto" w:fill="auto"/>
            <w:vAlign w:val="bottom"/>
          </w:tcPr>
          <w:p w14:paraId="41A49BEC" w14:textId="77777777" w:rsidR="009D4A93" w:rsidRPr="00536CFD" w:rsidRDefault="009D4A93" w:rsidP="009D4A93">
            <w:pPr>
              <w:spacing w:after="0"/>
              <w:jc w:val="center"/>
              <w:rPr>
                <w:lang w:val="zh-CN"/>
              </w:rPr>
            </w:pPr>
            <w:r w:rsidRPr="00536CFD">
              <w:rPr>
                <w:lang w:val="zh-CN"/>
              </w:rPr>
              <w:t>430,25</w:t>
            </w:r>
          </w:p>
        </w:tc>
        <w:tc>
          <w:tcPr>
            <w:tcW w:w="720" w:type="dxa"/>
            <w:tcBorders>
              <w:top w:val="single" w:sz="4" w:space="0" w:color="auto"/>
              <w:left w:val="nil"/>
              <w:bottom w:val="single" w:sz="4" w:space="0" w:color="auto"/>
              <w:right w:val="single" w:sz="4" w:space="0" w:color="auto"/>
            </w:tcBorders>
            <w:shd w:val="clear" w:color="auto" w:fill="auto"/>
            <w:vAlign w:val="bottom"/>
          </w:tcPr>
          <w:p w14:paraId="62FE7590" w14:textId="77777777" w:rsidR="009D4A93" w:rsidRPr="00536CFD" w:rsidRDefault="009D4A93" w:rsidP="009D4A93">
            <w:pPr>
              <w:spacing w:after="0"/>
              <w:jc w:val="center"/>
              <w:rPr>
                <w:lang w:val="zh-CN"/>
              </w:rPr>
            </w:pPr>
            <w:r w:rsidRPr="00536CFD">
              <w:rPr>
                <w:lang w:val="zh-CN"/>
              </w:rPr>
              <w:t>181,75</w:t>
            </w:r>
          </w:p>
        </w:tc>
      </w:tr>
      <w:tr w:rsidR="009D4A93" w:rsidRPr="00536CFD" w14:paraId="73290F2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743D81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0C6967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D86590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06120B35" w14:textId="77777777" w:rsidR="009D4A93" w:rsidRPr="00536CFD" w:rsidRDefault="009D4A93" w:rsidP="009D4A93">
            <w:pPr>
              <w:spacing w:after="0"/>
              <w:jc w:val="center"/>
              <w:rPr>
                <w:lang w:val="zh-CN"/>
              </w:rPr>
            </w:pPr>
            <w:r w:rsidRPr="00536CFD">
              <w:rPr>
                <w:lang w:val="zh-CN"/>
              </w:rPr>
              <w:t>194,41</w:t>
            </w:r>
          </w:p>
        </w:tc>
        <w:tc>
          <w:tcPr>
            <w:tcW w:w="720" w:type="dxa"/>
            <w:tcBorders>
              <w:top w:val="single" w:sz="4" w:space="0" w:color="auto"/>
              <w:left w:val="nil"/>
              <w:bottom w:val="single" w:sz="4" w:space="0" w:color="auto"/>
              <w:right w:val="single" w:sz="4" w:space="0" w:color="auto"/>
            </w:tcBorders>
            <w:shd w:val="clear" w:color="auto" w:fill="auto"/>
            <w:vAlign w:val="bottom"/>
          </w:tcPr>
          <w:p w14:paraId="7D44AEE4" w14:textId="77777777" w:rsidR="009D4A93" w:rsidRPr="00536CFD" w:rsidRDefault="009D4A93" w:rsidP="009D4A93">
            <w:pPr>
              <w:spacing w:after="0"/>
              <w:jc w:val="center"/>
              <w:rPr>
                <w:lang w:val="zh-CN"/>
              </w:rPr>
            </w:pPr>
            <w:r w:rsidRPr="00536CFD">
              <w:rPr>
                <w:lang w:val="zh-CN"/>
              </w:rPr>
              <w:t>191,64</w:t>
            </w:r>
          </w:p>
        </w:tc>
        <w:tc>
          <w:tcPr>
            <w:tcW w:w="720" w:type="dxa"/>
            <w:tcBorders>
              <w:top w:val="single" w:sz="4" w:space="0" w:color="auto"/>
              <w:left w:val="nil"/>
              <w:bottom w:val="single" w:sz="4" w:space="0" w:color="auto"/>
              <w:right w:val="single" w:sz="4" w:space="0" w:color="auto"/>
            </w:tcBorders>
            <w:shd w:val="clear" w:color="auto" w:fill="auto"/>
            <w:vAlign w:val="bottom"/>
          </w:tcPr>
          <w:p w14:paraId="4EF65B56" w14:textId="77777777" w:rsidR="009D4A93" w:rsidRPr="00536CFD" w:rsidRDefault="009D4A93" w:rsidP="009D4A93">
            <w:pPr>
              <w:spacing w:after="0"/>
              <w:jc w:val="center"/>
              <w:rPr>
                <w:lang w:val="zh-CN"/>
              </w:rPr>
            </w:pPr>
            <w:r w:rsidRPr="00536CFD">
              <w:rPr>
                <w:lang w:val="zh-CN"/>
              </w:rPr>
              <w:t>43,98</w:t>
            </w:r>
          </w:p>
        </w:tc>
        <w:tc>
          <w:tcPr>
            <w:tcW w:w="810" w:type="dxa"/>
            <w:tcBorders>
              <w:top w:val="single" w:sz="4" w:space="0" w:color="auto"/>
              <w:left w:val="nil"/>
              <w:bottom w:val="single" w:sz="4" w:space="0" w:color="auto"/>
              <w:right w:val="single" w:sz="4" w:space="0" w:color="auto"/>
            </w:tcBorders>
            <w:shd w:val="clear" w:color="auto" w:fill="auto"/>
            <w:vAlign w:val="bottom"/>
          </w:tcPr>
          <w:p w14:paraId="5C1ACB7B" w14:textId="77777777" w:rsidR="009D4A93" w:rsidRPr="00536CFD" w:rsidRDefault="009D4A93" w:rsidP="009D4A93">
            <w:pPr>
              <w:spacing w:after="0"/>
              <w:jc w:val="center"/>
              <w:rPr>
                <w:lang w:val="zh-CN"/>
              </w:rPr>
            </w:pPr>
            <w:r w:rsidRPr="00536CFD">
              <w:rPr>
                <w:lang w:val="zh-CN"/>
              </w:rPr>
              <w:t>52,49</w:t>
            </w:r>
          </w:p>
        </w:tc>
        <w:tc>
          <w:tcPr>
            <w:tcW w:w="810" w:type="dxa"/>
            <w:tcBorders>
              <w:top w:val="single" w:sz="4" w:space="0" w:color="auto"/>
              <w:left w:val="nil"/>
              <w:bottom w:val="single" w:sz="4" w:space="0" w:color="auto"/>
              <w:right w:val="single" w:sz="4" w:space="0" w:color="auto"/>
            </w:tcBorders>
            <w:shd w:val="clear" w:color="auto" w:fill="auto"/>
            <w:vAlign w:val="bottom"/>
          </w:tcPr>
          <w:p w14:paraId="0AFD1457" w14:textId="77777777" w:rsidR="009D4A93" w:rsidRPr="00536CFD" w:rsidRDefault="009D4A93" w:rsidP="009D4A93">
            <w:pPr>
              <w:spacing w:after="0"/>
              <w:jc w:val="center"/>
              <w:rPr>
                <w:lang w:val="zh-CN"/>
              </w:rPr>
            </w:pPr>
            <w:r w:rsidRPr="00536CFD">
              <w:rPr>
                <w:lang w:val="zh-CN"/>
              </w:rPr>
              <w:t>370,92</w:t>
            </w:r>
          </w:p>
        </w:tc>
        <w:tc>
          <w:tcPr>
            <w:tcW w:w="820" w:type="dxa"/>
            <w:tcBorders>
              <w:top w:val="single" w:sz="4" w:space="0" w:color="auto"/>
              <w:left w:val="nil"/>
              <w:bottom w:val="single" w:sz="4" w:space="0" w:color="auto"/>
              <w:right w:val="single" w:sz="4" w:space="0" w:color="auto"/>
            </w:tcBorders>
            <w:shd w:val="clear" w:color="auto" w:fill="auto"/>
            <w:vAlign w:val="bottom"/>
          </w:tcPr>
          <w:p w14:paraId="2A01FB3D" w14:textId="77777777" w:rsidR="009D4A93" w:rsidRPr="00536CFD" w:rsidRDefault="009D4A93" w:rsidP="009D4A93">
            <w:pPr>
              <w:spacing w:after="0"/>
              <w:jc w:val="center"/>
              <w:rPr>
                <w:lang w:val="zh-CN"/>
              </w:rPr>
            </w:pPr>
            <w:r w:rsidRPr="00536CFD">
              <w:rPr>
                <w:lang w:val="zh-CN"/>
              </w:rPr>
              <w:t>306,45</w:t>
            </w:r>
          </w:p>
        </w:tc>
        <w:tc>
          <w:tcPr>
            <w:tcW w:w="800" w:type="dxa"/>
            <w:tcBorders>
              <w:top w:val="single" w:sz="4" w:space="0" w:color="auto"/>
              <w:left w:val="nil"/>
              <w:bottom w:val="single" w:sz="4" w:space="0" w:color="auto"/>
              <w:right w:val="single" w:sz="4" w:space="0" w:color="auto"/>
            </w:tcBorders>
            <w:shd w:val="clear" w:color="auto" w:fill="auto"/>
            <w:vAlign w:val="bottom"/>
          </w:tcPr>
          <w:p w14:paraId="29101E64" w14:textId="77777777" w:rsidR="009D4A93" w:rsidRPr="00536CFD" w:rsidRDefault="009D4A93" w:rsidP="009D4A93">
            <w:pPr>
              <w:spacing w:after="0"/>
              <w:jc w:val="center"/>
              <w:rPr>
                <w:lang w:val="zh-CN"/>
              </w:rPr>
            </w:pPr>
            <w:r w:rsidRPr="00536CFD">
              <w:rPr>
                <w:lang w:val="zh-CN"/>
              </w:rPr>
              <w:t>67,79</w:t>
            </w:r>
          </w:p>
        </w:tc>
        <w:tc>
          <w:tcPr>
            <w:tcW w:w="720" w:type="dxa"/>
            <w:tcBorders>
              <w:top w:val="single" w:sz="4" w:space="0" w:color="auto"/>
              <w:left w:val="nil"/>
              <w:bottom w:val="single" w:sz="4" w:space="0" w:color="auto"/>
              <w:right w:val="single" w:sz="4" w:space="0" w:color="auto"/>
            </w:tcBorders>
            <w:shd w:val="clear" w:color="auto" w:fill="auto"/>
            <w:vAlign w:val="bottom"/>
          </w:tcPr>
          <w:p w14:paraId="6A6AA3E3" w14:textId="77777777" w:rsidR="009D4A93" w:rsidRPr="00536CFD" w:rsidRDefault="009D4A93" w:rsidP="009D4A93">
            <w:pPr>
              <w:spacing w:after="0"/>
              <w:jc w:val="center"/>
              <w:rPr>
                <w:lang w:val="zh-CN"/>
              </w:rPr>
            </w:pPr>
            <w:r w:rsidRPr="00536CFD">
              <w:rPr>
                <w:lang w:val="zh-CN"/>
              </w:rPr>
              <w:t>58,06</w:t>
            </w:r>
          </w:p>
        </w:tc>
        <w:tc>
          <w:tcPr>
            <w:tcW w:w="724" w:type="dxa"/>
            <w:tcBorders>
              <w:top w:val="single" w:sz="4" w:space="0" w:color="auto"/>
              <w:left w:val="nil"/>
              <w:bottom w:val="single" w:sz="4" w:space="0" w:color="auto"/>
              <w:right w:val="single" w:sz="4" w:space="0" w:color="auto"/>
            </w:tcBorders>
            <w:shd w:val="clear" w:color="auto" w:fill="auto"/>
            <w:vAlign w:val="bottom"/>
          </w:tcPr>
          <w:p w14:paraId="181E3933" w14:textId="77777777" w:rsidR="009D4A93" w:rsidRPr="00536CFD" w:rsidRDefault="009D4A93" w:rsidP="009D4A93">
            <w:pPr>
              <w:spacing w:after="0"/>
              <w:jc w:val="center"/>
              <w:rPr>
                <w:lang w:val="zh-CN"/>
              </w:rPr>
            </w:pPr>
            <w:r w:rsidRPr="00536CFD">
              <w:rPr>
                <w:lang w:val="zh-CN"/>
              </w:rPr>
              <w:t>832,30</w:t>
            </w:r>
          </w:p>
        </w:tc>
        <w:tc>
          <w:tcPr>
            <w:tcW w:w="896" w:type="dxa"/>
            <w:tcBorders>
              <w:top w:val="single" w:sz="4" w:space="0" w:color="auto"/>
              <w:left w:val="nil"/>
              <w:bottom w:val="single" w:sz="4" w:space="0" w:color="auto"/>
              <w:right w:val="single" w:sz="4" w:space="0" w:color="auto"/>
            </w:tcBorders>
            <w:shd w:val="clear" w:color="auto" w:fill="auto"/>
            <w:vAlign w:val="bottom"/>
          </w:tcPr>
          <w:p w14:paraId="5A85050F" w14:textId="77777777" w:rsidR="009D4A93" w:rsidRPr="00536CFD" w:rsidRDefault="009D4A93" w:rsidP="009D4A93">
            <w:pPr>
              <w:spacing w:after="0"/>
              <w:jc w:val="center"/>
              <w:rPr>
                <w:lang w:val="zh-CN"/>
              </w:rPr>
            </w:pPr>
            <w:r w:rsidRPr="00536CFD">
              <w:rPr>
                <w:lang w:val="zh-CN"/>
              </w:rPr>
              <w:t>571,74</w:t>
            </w:r>
          </w:p>
        </w:tc>
        <w:tc>
          <w:tcPr>
            <w:tcW w:w="720" w:type="dxa"/>
            <w:tcBorders>
              <w:top w:val="single" w:sz="4" w:space="0" w:color="auto"/>
              <w:left w:val="nil"/>
              <w:bottom w:val="single" w:sz="4" w:space="0" w:color="auto"/>
              <w:right w:val="single" w:sz="4" w:space="0" w:color="auto"/>
            </w:tcBorders>
            <w:shd w:val="clear" w:color="auto" w:fill="auto"/>
            <w:vAlign w:val="bottom"/>
          </w:tcPr>
          <w:p w14:paraId="3C1FFEBF" w14:textId="77777777" w:rsidR="009D4A93" w:rsidRPr="00536CFD" w:rsidRDefault="009D4A93" w:rsidP="009D4A93">
            <w:pPr>
              <w:spacing w:after="0"/>
              <w:jc w:val="center"/>
              <w:rPr>
                <w:lang w:val="zh-CN"/>
              </w:rPr>
            </w:pPr>
            <w:r w:rsidRPr="00536CFD">
              <w:rPr>
                <w:lang w:val="zh-CN"/>
              </w:rPr>
              <w:t>114,17</w:t>
            </w:r>
          </w:p>
        </w:tc>
        <w:tc>
          <w:tcPr>
            <w:tcW w:w="720" w:type="dxa"/>
            <w:tcBorders>
              <w:top w:val="single" w:sz="4" w:space="0" w:color="auto"/>
              <w:left w:val="nil"/>
              <w:bottom w:val="single" w:sz="4" w:space="0" w:color="auto"/>
              <w:right w:val="single" w:sz="4" w:space="0" w:color="auto"/>
            </w:tcBorders>
            <w:shd w:val="clear" w:color="auto" w:fill="auto"/>
            <w:vAlign w:val="bottom"/>
          </w:tcPr>
          <w:p w14:paraId="327CA740" w14:textId="77777777" w:rsidR="009D4A93" w:rsidRPr="00536CFD" w:rsidRDefault="009D4A93" w:rsidP="009D4A93">
            <w:pPr>
              <w:spacing w:after="0"/>
              <w:jc w:val="center"/>
              <w:rPr>
                <w:lang w:val="zh-CN"/>
              </w:rPr>
            </w:pPr>
            <w:r w:rsidRPr="00536CFD">
              <w:rPr>
                <w:lang w:val="zh-CN"/>
              </w:rPr>
              <w:t>83,90</w:t>
            </w:r>
          </w:p>
        </w:tc>
      </w:tr>
      <w:tr w:rsidR="009D4A93" w:rsidRPr="00536CFD" w14:paraId="6A4ABA5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9362668"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7D6C06E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34526CD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59265D87" w14:textId="77777777" w:rsidR="009D4A93" w:rsidRPr="00536CFD" w:rsidRDefault="009D4A93" w:rsidP="009D4A93">
            <w:pPr>
              <w:spacing w:after="0"/>
              <w:jc w:val="center"/>
              <w:rPr>
                <w:lang w:val="zh-CN"/>
              </w:rPr>
            </w:pPr>
            <w:r w:rsidRPr="00536CFD">
              <w:rPr>
                <w:lang w:val="zh-CN"/>
              </w:rPr>
              <w:t>5,36</w:t>
            </w:r>
          </w:p>
        </w:tc>
        <w:tc>
          <w:tcPr>
            <w:tcW w:w="720" w:type="dxa"/>
            <w:tcBorders>
              <w:top w:val="single" w:sz="4" w:space="0" w:color="auto"/>
              <w:left w:val="nil"/>
              <w:bottom w:val="single" w:sz="4" w:space="0" w:color="auto"/>
              <w:right w:val="single" w:sz="4" w:space="0" w:color="auto"/>
            </w:tcBorders>
            <w:shd w:val="clear" w:color="auto" w:fill="auto"/>
            <w:vAlign w:val="bottom"/>
          </w:tcPr>
          <w:p w14:paraId="2FDEF3B0" w14:textId="77777777" w:rsidR="009D4A93" w:rsidRPr="00536CFD" w:rsidRDefault="009D4A93" w:rsidP="009D4A93">
            <w:pPr>
              <w:spacing w:after="0"/>
              <w:jc w:val="center"/>
              <w:rPr>
                <w:lang w:val="zh-CN"/>
              </w:rPr>
            </w:pPr>
            <w:r w:rsidRPr="00536CFD">
              <w:rPr>
                <w:lang w:val="zh-CN"/>
              </w:rPr>
              <w:t>5,86</w:t>
            </w:r>
          </w:p>
        </w:tc>
        <w:tc>
          <w:tcPr>
            <w:tcW w:w="720" w:type="dxa"/>
            <w:tcBorders>
              <w:top w:val="single" w:sz="4" w:space="0" w:color="auto"/>
              <w:left w:val="nil"/>
              <w:bottom w:val="single" w:sz="4" w:space="0" w:color="auto"/>
              <w:right w:val="single" w:sz="4" w:space="0" w:color="auto"/>
            </w:tcBorders>
            <w:shd w:val="clear" w:color="auto" w:fill="auto"/>
            <w:vAlign w:val="bottom"/>
          </w:tcPr>
          <w:p w14:paraId="17377324" w14:textId="77777777" w:rsidR="009D4A93" w:rsidRPr="00536CFD" w:rsidRDefault="009D4A93" w:rsidP="009D4A93">
            <w:pPr>
              <w:spacing w:after="0"/>
              <w:jc w:val="center"/>
              <w:rPr>
                <w:lang w:val="zh-CN"/>
              </w:rPr>
            </w:pPr>
            <w:r w:rsidRPr="00536CFD">
              <w:rPr>
                <w:lang w:val="zh-CN"/>
              </w:rPr>
              <w:t>6,00</w:t>
            </w:r>
          </w:p>
        </w:tc>
        <w:tc>
          <w:tcPr>
            <w:tcW w:w="810" w:type="dxa"/>
            <w:tcBorders>
              <w:top w:val="single" w:sz="4" w:space="0" w:color="auto"/>
              <w:left w:val="nil"/>
              <w:bottom w:val="single" w:sz="4" w:space="0" w:color="auto"/>
              <w:right w:val="single" w:sz="4" w:space="0" w:color="auto"/>
            </w:tcBorders>
            <w:shd w:val="clear" w:color="auto" w:fill="auto"/>
            <w:vAlign w:val="bottom"/>
          </w:tcPr>
          <w:p w14:paraId="4548FB81" w14:textId="77777777" w:rsidR="009D4A93" w:rsidRPr="00536CFD" w:rsidRDefault="009D4A93" w:rsidP="009D4A93">
            <w:pPr>
              <w:spacing w:after="0"/>
              <w:jc w:val="center"/>
              <w:rPr>
                <w:lang w:val="zh-CN"/>
              </w:rPr>
            </w:pPr>
            <w:r w:rsidRPr="00536CFD">
              <w:rPr>
                <w:lang w:val="zh-CN"/>
              </w:rPr>
              <w:t>15,49</w:t>
            </w:r>
          </w:p>
        </w:tc>
        <w:tc>
          <w:tcPr>
            <w:tcW w:w="810" w:type="dxa"/>
            <w:tcBorders>
              <w:top w:val="single" w:sz="4" w:space="0" w:color="auto"/>
              <w:left w:val="nil"/>
              <w:bottom w:val="single" w:sz="4" w:space="0" w:color="auto"/>
              <w:right w:val="single" w:sz="4" w:space="0" w:color="auto"/>
            </w:tcBorders>
            <w:shd w:val="clear" w:color="auto" w:fill="auto"/>
            <w:vAlign w:val="bottom"/>
          </w:tcPr>
          <w:p w14:paraId="1BE54C06" w14:textId="77777777" w:rsidR="009D4A93" w:rsidRPr="00536CFD" w:rsidRDefault="009D4A93" w:rsidP="009D4A93">
            <w:pPr>
              <w:spacing w:after="0"/>
              <w:jc w:val="center"/>
              <w:rPr>
                <w:lang w:val="zh-CN"/>
              </w:rPr>
            </w:pPr>
            <w:r w:rsidRPr="00536CFD">
              <w:rPr>
                <w:lang w:val="zh-CN"/>
              </w:rPr>
              <w:t>2,29</w:t>
            </w:r>
          </w:p>
        </w:tc>
        <w:tc>
          <w:tcPr>
            <w:tcW w:w="820" w:type="dxa"/>
            <w:tcBorders>
              <w:top w:val="single" w:sz="4" w:space="0" w:color="auto"/>
              <w:left w:val="nil"/>
              <w:bottom w:val="single" w:sz="4" w:space="0" w:color="auto"/>
              <w:right w:val="single" w:sz="4" w:space="0" w:color="auto"/>
            </w:tcBorders>
            <w:shd w:val="clear" w:color="auto" w:fill="auto"/>
            <w:vAlign w:val="bottom"/>
          </w:tcPr>
          <w:p w14:paraId="46A23295" w14:textId="77777777" w:rsidR="009D4A93" w:rsidRPr="00536CFD" w:rsidRDefault="009D4A93" w:rsidP="009D4A93">
            <w:pPr>
              <w:spacing w:after="0"/>
              <w:jc w:val="center"/>
              <w:rPr>
                <w:lang w:val="zh-CN"/>
              </w:rPr>
            </w:pPr>
            <w:r w:rsidRPr="00536CFD">
              <w:rPr>
                <w:lang w:val="zh-CN"/>
              </w:rPr>
              <w:t>2,59</w:t>
            </w:r>
          </w:p>
        </w:tc>
        <w:tc>
          <w:tcPr>
            <w:tcW w:w="800" w:type="dxa"/>
            <w:tcBorders>
              <w:top w:val="single" w:sz="4" w:space="0" w:color="auto"/>
              <w:left w:val="nil"/>
              <w:bottom w:val="single" w:sz="4" w:space="0" w:color="auto"/>
              <w:right w:val="single" w:sz="4" w:space="0" w:color="auto"/>
            </w:tcBorders>
            <w:shd w:val="clear" w:color="auto" w:fill="auto"/>
            <w:vAlign w:val="bottom"/>
          </w:tcPr>
          <w:p w14:paraId="577B6501" w14:textId="77777777" w:rsidR="009D4A93" w:rsidRPr="00536CFD" w:rsidRDefault="009D4A93" w:rsidP="009D4A93">
            <w:pPr>
              <w:spacing w:after="0"/>
              <w:jc w:val="center"/>
              <w:rPr>
                <w:lang w:val="zh-CN"/>
              </w:rPr>
            </w:pPr>
            <w:r w:rsidRPr="00536CFD">
              <w:rPr>
                <w:lang w:val="zh-CN"/>
              </w:rPr>
              <w:t>4,46</w:t>
            </w:r>
          </w:p>
        </w:tc>
        <w:tc>
          <w:tcPr>
            <w:tcW w:w="720" w:type="dxa"/>
            <w:tcBorders>
              <w:top w:val="single" w:sz="4" w:space="0" w:color="auto"/>
              <w:left w:val="nil"/>
              <w:bottom w:val="single" w:sz="4" w:space="0" w:color="auto"/>
              <w:right w:val="single" w:sz="4" w:space="0" w:color="auto"/>
            </w:tcBorders>
            <w:shd w:val="clear" w:color="auto" w:fill="auto"/>
            <w:vAlign w:val="bottom"/>
          </w:tcPr>
          <w:p w14:paraId="33DEC044" w14:textId="77777777" w:rsidR="009D4A93" w:rsidRPr="00536CFD" w:rsidRDefault="009D4A93" w:rsidP="009D4A93">
            <w:pPr>
              <w:spacing w:after="0"/>
              <w:jc w:val="center"/>
              <w:rPr>
                <w:lang w:val="zh-CN"/>
              </w:rPr>
            </w:pPr>
            <w:r w:rsidRPr="00536CFD">
              <w:rPr>
                <w:lang w:val="zh-CN"/>
              </w:rPr>
              <w:t>16,07</w:t>
            </w:r>
          </w:p>
        </w:tc>
        <w:tc>
          <w:tcPr>
            <w:tcW w:w="724" w:type="dxa"/>
            <w:tcBorders>
              <w:top w:val="single" w:sz="4" w:space="0" w:color="auto"/>
              <w:left w:val="nil"/>
              <w:bottom w:val="single" w:sz="4" w:space="0" w:color="auto"/>
              <w:right w:val="single" w:sz="4" w:space="0" w:color="auto"/>
            </w:tcBorders>
            <w:shd w:val="clear" w:color="auto" w:fill="auto"/>
            <w:vAlign w:val="bottom"/>
          </w:tcPr>
          <w:p w14:paraId="0382AF92" w14:textId="77777777" w:rsidR="009D4A93" w:rsidRPr="00536CFD" w:rsidRDefault="009D4A93" w:rsidP="009D4A93">
            <w:pPr>
              <w:spacing w:after="0"/>
              <w:jc w:val="center"/>
              <w:rPr>
                <w:lang w:val="zh-CN"/>
              </w:rPr>
            </w:pPr>
            <w:r w:rsidRPr="00536CFD">
              <w:rPr>
                <w:lang w:val="zh-CN"/>
              </w:rPr>
              <w:t>0,19</w:t>
            </w:r>
          </w:p>
        </w:tc>
        <w:tc>
          <w:tcPr>
            <w:tcW w:w="896" w:type="dxa"/>
            <w:tcBorders>
              <w:top w:val="single" w:sz="4" w:space="0" w:color="auto"/>
              <w:left w:val="nil"/>
              <w:bottom w:val="single" w:sz="4" w:space="0" w:color="auto"/>
              <w:right w:val="single" w:sz="4" w:space="0" w:color="auto"/>
            </w:tcBorders>
            <w:shd w:val="clear" w:color="auto" w:fill="auto"/>
            <w:vAlign w:val="bottom"/>
          </w:tcPr>
          <w:p w14:paraId="479636BA" w14:textId="77777777" w:rsidR="009D4A93" w:rsidRPr="00536CFD" w:rsidRDefault="009D4A93" w:rsidP="009D4A93">
            <w:pPr>
              <w:spacing w:after="0"/>
              <w:jc w:val="center"/>
              <w:rPr>
                <w:lang w:val="zh-CN"/>
              </w:rPr>
            </w:pPr>
            <w:r w:rsidRPr="00536CFD">
              <w:rPr>
                <w:lang w:val="zh-CN"/>
              </w:rPr>
              <w:t>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68BE4A5F" w14:textId="77777777" w:rsidR="009D4A93" w:rsidRPr="00536CFD" w:rsidRDefault="009D4A93" w:rsidP="009D4A93">
            <w:pPr>
              <w:spacing w:after="0"/>
              <w:jc w:val="center"/>
              <w:rPr>
                <w:lang w:val="zh-CN"/>
              </w:rPr>
            </w:pPr>
            <w:r w:rsidRPr="00536CFD">
              <w:rPr>
                <w:lang w:val="zh-CN"/>
              </w:rPr>
              <w:t>0,87</w:t>
            </w:r>
          </w:p>
        </w:tc>
        <w:tc>
          <w:tcPr>
            <w:tcW w:w="720" w:type="dxa"/>
            <w:tcBorders>
              <w:top w:val="single" w:sz="4" w:space="0" w:color="auto"/>
              <w:left w:val="nil"/>
              <w:bottom w:val="single" w:sz="4" w:space="0" w:color="auto"/>
              <w:right w:val="single" w:sz="4" w:space="0" w:color="auto"/>
            </w:tcBorders>
            <w:shd w:val="clear" w:color="auto" w:fill="auto"/>
            <w:vAlign w:val="bottom"/>
          </w:tcPr>
          <w:p w14:paraId="6737FF51" w14:textId="77777777" w:rsidR="009D4A93" w:rsidRPr="00536CFD" w:rsidRDefault="009D4A93" w:rsidP="009D4A93">
            <w:pPr>
              <w:spacing w:after="0"/>
              <w:jc w:val="center"/>
              <w:rPr>
                <w:lang w:val="zh-CN"/>
              </w:rPr>
            </w:pPr>
            <w:r w:rsidRPr="00536CFD">
              <w:rPr>
                <w:lang w:val="zh-CN"/>
              </w:rPr>
              <w:t>13,38</w:t>
            </w:r>
          </w:p>
        </w:tc>
      </w:tr>
      <w:tr w:rsidR="009D4A93" w:rsidRPr="00536CFD" w14:paraId="4C87CD1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FDB755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132883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AA0837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7AE1469F" w14:textId="77777777" w:rsidR="009D4A93" w:rsidRPr="00536CFD" w:rsidRDefault="009D4A93" w:rsidP="009D4A93">
            <w:pPr>
              <w:spacing w:after="0"/>
              <w:jc w:val="center"/>
              <w:rPr>
                <w:lang w:val="zh-CN"/>
              </w:rPr>
            </w:pPr>
            <w:r w:rsidRPr="00536CFD">
              <w:rPr>
                <w:lang w:val="zh-CN"/>
              </w:rPr>
              <w:t>32,30</w:t>
            </w:r>
          </w:p>
        </w:tc>
        <w:tc>
          <w:tcPr>
            <w:tcW w:w="720" w:type="dxa"/>
            <w:tcBorders>
              <w:top w:val="single" w:sz="4" w:space="0" w:color="auto"/>
              <w:left w:val="nil"/>
              <w:bottom w:val="single" w:sz="4" w:space="0" w:color="auto"/>
              <w:right w:val="single" w:sz="4" w:space="0" w:color="auto"/>
            </w:tcBorders>
            <w:shd w:val="clear" w:color="auto" w:fill="auto"/>
            <w:vAlign w:val="bottom"/>
          </w:tcPr>
          <w:p w14:paraId="2F5F377A" w14:textId="77777777" w:rsidR="009D4A93" w:rsidRPr="00536CFD" w:rsidRDefault="009D4A93" w:rsidP="009D4A93">
            <w:pPr>
              <w:spacing w:after="0"/>
              <w:jc w:val="center"/>
              <w:rPr>
                <w:lang w:val="zh-CN"/>
              </w:rPr>
            </w:pPr>
            <w:r w:rsidRPr="00536CFD">
              <w:rPr>
                <w:lang w:val="zh-CN"/>
              </w:rPr>
              <w:t>33,15</w:t>
            </w:r>
          </w:p>
        </w:tc>
        <w:tc>
          <w:tcPr>
            <w:tcW w:w="720" w:type="dxa"/>
            <w:tcBorders>
              <w:top w:val="single" w:sz="4" w:space="0" w:color="auto"/>
              <w:left w:val="nil"/>
              <w:bottom w:val="single" w:sz="4" w:space="0" w:color="auto"/>
              <w:right w:val="single" w:sz="4" w:space="0" w:color="auto"/>
            </w:tcBorders>
            <w:shd w:val="clear" w:color="auto" w:fill="auto"/>
            <w:vAlign w:val="bottom"/>
          </w:tcPr>
          <w:p w14:paraId="72E00494" w14:textId="77777777" w:rsidR="009D4A93" w:rsidRPr="00536CFD" w:rsidRDefault="009D4A93" w:rsidP="009D4A93">
            <w:pPr>
              <w:spacing w:after="0"/>
              <w:jc w:val="center"/>
              <w:rPr>
                <w:lang w:val="zh-CN"/>
              </w:rPr>
            </w:pPr>
            <w:r w:rsidRPr="00536CFD">
              <w:rPr>
                <w:lang w:val="zh-CN"/>
              </w:rPr>
              <w:t>33,98</w:t>
            </w:r>
          </w:p>
        </w:tc>
        <w:tc>
          <w:tcPr>
            <w:tcW w:w="810" w:type="dxa"/>
            <w:tcBorders>
              <w:top w:val="single" w:sz="4" w:space="0" w:color="auto"/>
              <w:left w:val="nil"/>
              <w:bottom w:val="single" w:sz="4" w:space="0" w:color="auto"/>
              <w:right w:val="single" w:sz="4" w:space="0" w:color="auto"/>
            </w:tcBorders>
            <w:shd w:val="clear" w:color="auto" w:fill="auto"/>
            <w:vAlign w:val="bottom"/>
          </w:tcPr>
          <w:p w14:paraId="171CA9FD" w14:textId="77777777" w:rsidR="009D4A93" w:rsidRPr="00536CFD" w:rsidRDefault="009D4A93" w:rsidP="009D4A93">
            <w:pPr>
              <w:spacing w:after="0"/>
              <w:jc w:val="center"/>
              <w:rPr>
                <w:lang w:val="zh-CN"/>
              </w:rPr>
            </w:pPr>
            <w:r w:rsidRPr="00536CFD">
              <w:rPr>
                <w:lang w:val="zh-CN"/>
              </w:rPr>
              <w:t>33,30</w:t>
            </w:r>
          </w:p>
        </w:tc>
        <w:tc>
          <w:tcPr>
            <w:tcW w:w="810" w:type="dxa"/>
            <w:tcBorders>
              <w:top w:val="single" w:sz="4" w:space="0" w:color="auto"/>
              <w:left w:val="nil"/>
              <w:bottom w:val="single" w:sz="4" w:space="0" w:color="auto"/>
              <w:right w:val="single" w:sz="4" w:space="0" w:color="auto"/>
            </w:tcBorders>
            <w:shd w:val="clear" w:color="auto" w:fill="auto"/>
            <w:vAlign w:val="bottom"/>
          </w:tcPr>
          <w:p w14:paraId="41B20B14" w14:textId="77777777" w:rsidR="009D4A93" w:rsidRPr="00536CFD" w:rsidRDefault="009D4A93" w:rsidP="009D4A93">
            <w:pPr>
              <w:spacing w:after="0"/>
              <w:jc w:val="center"/>
              <w:rPr>
                <w:lang w:val="zh-CN"/>
              </w:rPr>
            </w:pPr>
            <w:r w:rsidRPr="00536CFD">
              <w:rPr>
                <w:lang w:val="zh-CN"/>
              </w:rPr>
              <w:t>22,48</w:t>
            </w:r>
          </w:p>
        </w:tc>
        <w:tc>
          <w:tcPr>
            <w:tcW w:w="820" w:type="dxa"/>
            <w:tcBorders>
              <w:top w:val="single" w:sz="4" w:space="0" w:color="auto"/>
              <w:left w:val="nil"/>
              <w:bottom w:val="single" w:sz="4" w:space="0" w:color="auto"/>
              <w:right w:val="single" w:sz="4" w:space="0" w:color="auto"/>
            </w:tcBorders>
            <w:shd w:val="clear" w:color="auto" w:fill="auto"/>
            <w:vAlign w:val="bottom"/>
          </w:tcPr>
          <w:p w14:paraId="665FD2A2" w14:textId="77777777" w:rsidR="009D4A93" w:rsidRPr="00536CFD" w:rsidRDefault="009D4A93" w:rsidP="009D4A93">
            <w:pPr>
              <w:spacing w:after="0"/>
              <w:jc w:val="center"/>
              <w:rPr>
                <w:lang w:val="zh-CN"/>
              </w:rPr>
            </w:pPr>
            <w:r w:rsidRPr="00536CFD">
              <w:rPr>
                <w:lang w:val="zh-CN"/>
              </w:rPr>
              <w:t>23,60</w:t>
            </w:r>
          </w:p>
        </w:tc>
        <w:tc>
          <w:tcPr>
            <w:tcW w:w="800" w:type="dxa"/>
            <w:tcBorders>
              <w:top w:val="single" w:sz="4" w:space="0" w:color="auto"/>
              <w:left w:val="nil"/>
              <w:bottom w:val="single" w:sz="4" w:space="0" w:color="auto"/>
              <w:right w:val="single" w:sz="4" w:space="0" w:color="auto"/>
            </w:tcBorders>
            <w:shd w:val="clear" w:color="auto" w:fill="auto"/>
            <w:vAlign w:val="bottom"/>
          </w:tcPr>
          <w:p w14:paraId="05207EED" w14:textId="77777777" w:rsidR="009D4A93" w:rsidRPr="00536CFD" w:rsidRDefault="009D4A93" w:rsidP="009D4A93">
            <w:pPr>
              <w:spacing w:after="0"/>
              <w:jc w:val="center"/>
              <w:rPr>
                <w:lang w:val="zh-CN"/>
              </w:rPr>
            </w:pPr>
            <w:r w:rsidRPr="00536CFD">
              <w:rPr>
                <w:lang w:val="zh-CN"/>
              </w:rPr>
              <w:t>24,10</w:t>
            </w:r>
          </w:p>
        </w:tc>
        <w:tc>
          <w:tcPr>
            <w:tcW w:w="720" w:type="dxa"/>
            <w:tcBorders>
              <w:top w:val="single" w:sz="4" w:space="0" w:color="auto"/>
              <w:left w:val="nil"/>
              <w:bottom w:val="single" w:sz="4" w:space="0" w:color="auto"/>
              <w:right w:val="single" w:sz="4" w:space="0" w:color="auto"/>
            </w:tcBorders>
            <w:shd w:val="clear" w:color="auto" w:fill="auto"/>
            <w:vAlign w:val="bottom"/>
          </w:tcPr>
          <w:p w14:paraId="4AB1F70E" w14:textId="77777777" w:rsidR="009D4A93" w:rsidRPr="00536CFD" w:rsidRDefault="009D4A93" w:rsidP="009D4A93">
            <w:pPr>
              <w:spacing w:after="0"/>
              <w:jc w:val="center"/>
              <w:rPr>
                <w:lang w:val="zh-CN"/>
              </w:rPr>
            </w:pPr>
            <w:r w:rsidRPr="00536CFD">
              <w:rPr>
                <w:lang w:val="zh-CN"/>
              </w:rPr>
              <w:t>30,82</w:t>
            </w:r>
          </w:p>
        </w:tc>
        <w:tc>
          <w:tcPr>
            <w:tcW w:w="724" w:type="dxa"/>
            <w:tcBorders>
              <w:top w:val="single" w:sz="4" w:space="0" w:color="auto"/>
              <w:left w:val="nil"/>
              <w:bottom w:val="single" w:sz="4" w:space="0" w:color="auto"/>
              <w:right w:val="single" w:sz="4" w:space="0" w:color="auto"/>
            </w:tcBorders>
            <w:shd w:val="clear" w:color="auto" w:fill="auto"/>
            <w:vAlign w:val="bottom"/>
          </w:tcPr>
          <w:p w14:paraId="285FAD54" w14:textId="77777777" w:rsidR="009D4A93" w:rsidRPr="00536CFD" w:rsidRDefault="009D4A93" w:rsidP="009D4A93">
            <w:pPr>
              <w:spacing w:after="0"/>
              <w:jc w:val="center"/>
              <w:rPr>
                <w:lang w:val="zh-CN"/>
              </w:rPr>
            </w:pPr>
            <w:r w:rsidRPr="00536CFD">
              <w:rPr>
                <w:lang w:val="zh-CN"/>
              </w:rPr>
              <w:t>12,00</w:t>
            </w:r>
          </w:p>
        </w:tc>
        <w:tc>
          <w:tcPr>
            <w:tcW w:w="896" w:type="dxa"/>
            <w:tcBorders>
              <w:top w:val="single" w:sz="4" w:space="0" w:color="auto"/>
              <w:left w:val="nil"/>
              <w:bottom w:val="single" w:sz="4" w:space="0" w:color="auto"/>
              <w:right w:val="single" w:sz="4" w:space="0" w:color="auto"/>
            </w:tcBorders>
            <w:shd w:val="clear" w:color="auto" w:fill="auto"/>
            <w:vAlign w:val="bottom"/>
          </w:tcPr>
          <w:p w14:paraId="79892FCD" w14:textId="77777777" w:rsidR="009D4A93" w:rsidRPr="00536CFD" w:rsidRDefault="009D4A93" w:rsidP="009D4A93">
            <w:pPr>
              <w:spacing w:after="0"/>
              <w:jc w:val="center"/>
              <w:rPr>
                <w:lang w:val="zh-CN"/>
              </w:rPr>
            </w:pPr>
            <w:r w:rsidRPr="00536CFD">
              <w:rPr>
                <w:lang w:val="zh-CN"/>
              </w:rPr>
              <w:t>14,19</w:t>
            </w:r>
          </w:p>
        </w:tc>
        <w:tc>
          <w:tcPr>
            <w:tcW w:w="720" w:type="dxa"/>
            <w:tcBorders>
              <w:top w:val="single" w:sz="4" w:space="0" w:color="auto"/>
              <w:left w:val="nil"/>
              <w:bottom w:val="single" w:sz="4" w:space="0" w:color="auto"/>
              <w:right w:val="single" w:sz="4" w:space="0" w:color="auto"/>
            </w:tcBorders>
            <w:shd w:val="clear" w:color="auto" w:fill="auto"/>
            <w:vAlign w:val="bottom"/>
          </w:tcPr>
          <w:p w14:paraId="1EFBC5D5" w14:textId="77777777" w:rsidR="009D4A93" w:rsidRPr="00536CFD" w:rsidRDefault="009D4A93" w:rsidP="009D4A93">
            <w:pPr>
              <w:spacing w:after="0"/>
              <w:jc w:val="center"/>
              <w:rPr>
                <w:lang w:val="zh-CN"/>
              </w:rPr>
            </w:pPr>
            <w:r w:rsidRPr="00536CFD">
              <w:rPr>
                <w:lang w:val="zh-CN"/>
              </w:rPr>
              <w:t>14,97</w:t>
            </w:r>
          </w:p>
        </w:tc>
        <w:tc>
          <w:tcPr>
            <w:tcW w:w="720" w:type="dxa"/>
            <w:tcBorders>
              <w:top w:val="single" w:sz="4" w:space="0" w:color="auto"/>
              <w:left w:val="nil"/>
              <w:bottom w:val="single" w:sz="4" w:space="0" w:color="auto"/>
              <w:right w:val="single" w:sz="4" w:space="0" w:color="auto"/>
            </w:tcBorders>
            <w:shd w:val="clear" w:color="auto" w:fill="auto"/>
            <w:vAlign w:val="bottom"/>
          </w:tcPr>
          <w:p w14:paraId="3BE147AF" w14:textId="77777777" w:rsidR="009D4A93" w:rsidRPr="00536CFD" w:rsidRDefault="009D4A93" w:rsidP="009D4A93">
            <w:pPr>
              <w:spacing w:after="0"/>
              <w:jc w:val="center"/>
              <w:rPr>
                <w:lang w:val="zh-CN"/>
              </w:rPr>
            </w:pPr>
            <w:r w:rsidRPr="00536CFD">
              <w:rPr>
                <w:lang w:val="zh-CN"/>
              </w:rPr>
              <w:t>28,35</w:t>
            </w:r>
          </w:p>
        </w:tc>
      </w:tr>
      <w:tr w:rsidR="009D4A93" w:rsidRPr="00536CFD" w14:paraId="0B90C0B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0D4580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D42E35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A1904D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3CDB3300" w14:textId="77777777" w:rsidR="009D4A93" w:rsidRPr="00536CFD" w:rsidRDefault="009D4A93" w:rsidP="009D4A93">
            <w:pPr>
              <w:spacing w:after="0"/>
              <w:jc w:val="center"/>
              <w:rPr>
                <w:lang w:val="zh-CN"/>
              </w:rPr>
            </w:pPr>
            <w:r w:rsidRPr="00536CFD">
              <w:rPr>
                <w:lang w:val="zh-CN"/>
              </w:rPr>
              <w:t>48,09</w:t>
            </w:r>
          </w:p>
        </w:tc>
        <w:tc>
          <w:tcPr>
            <w:tcW w:w="720" w:type="dxa"/>
            <w:tcBorders>
              <w:top w:val="single" w:sz="4" w:space="0" w:color="auto"/>
              <w:left w:val="nil"/>
              <w:bottom w:val="single" w:sz="4" w:space="0" w:color="auto"/>
              <w:right w:val="single" w:sz="4" w:space="0" w:color="auto"/>
            </w:tcBorders>
            <w:shd w:val="clear" w:color="auto" w:fill="auto"/>
            <w:vAlign w:val="bottom"/>
          </w:tcPr>
          <w:p w14:paraId="404055C0" w14:textId="77777777" w:rsidR="009D4A93" w:rsidRPr="00536CFD" w:rsidRDefault="009D4A93" w:rsidP="009D4A93">
            <w:pPr>
              <w:spacing w:after="0"/>
              <w:jc w:val="center"/>
              <w:rPr>
                <w:lang w:val="zh-CN"/>
              </w:rPr>
            </w:pPr>
            <w:r w:rsidRPr="00536CFD">
              <w:rPr>
                <w:lang w:val="zh-CN"/>
              </w:rPr>
              <w:t>49,77</w:t>
            </w:r>
          </w:p>
        </w:tc>
        <w:tc>
          <w:tcPr>
            <w:tcW w:w="720" w:type="dxa"/>
            <w:tcBorders>
              <w:top w:val="single" w:sz="4" w:space="0" w:color="auto"/>
              <w:left w:val="nil"/>
              <w:bottom w:val="single" w:sz="4" w:space="0" w:color="auto"/>
              <w:right w:val="single" w:sz="4" w:space="0" w:color="auto"/>
            </w:tcBorders>
            <w:shd w:val="clear" w:color="auto" w:fill="auto"/>
            <w:vAlign w:val="bottom"/>
          </w:tcPr>
          <w:p w14:paraId="7F267CEA" w14:textId="77777777" w:rsidR="009D4A93" w:rsidRPr="00536CFD" w:rsidRDefault="009D4A93" w:rsidP="009D4A93">
            <w:pPr>
              <w:spacing w:after="0"/>
              <w:jc w:val="center"/>
              <w:rPr>
                <w:lang w:val="zh-CN"/>
              </w:rPr>
            </w:pPr>
            <w:r w:rsidRPr="00536CFD">
              <w:rPr>
                <w:lang w:val="zh-CN"/>
              </w:rPr>
              <w:t>51,90</w:t>
            </w:r>
          </w:p>
        </w:tc>
        <w:tc>
          <w:tcPr>
            <w:tcW w:w="810" w:type="dxa"/>
            <w:tcBorders>
              <w:top w:val="single" w:sz="4" w:space="0" w:color="auto"/>
              <w:left w:val="nil"/>
              <w:bottom w:val="single" w:sz="4" w:space="0" w:color="auto"/>
              <w:right w:val="single" w:sz="4" w:space="0" w:color="auto"/>
            </w:tcBorders>
            <w:shd w:val="clear" w:color="auto" w:fill="auto"/>
            <w:vAlign w:val="bottom"/>
          </w:tcPr>
          <w:p w14:paraId="029318DE" w14:textId="77777777" w:rsidR="009D4A93" w:rsidRPr="00536CFD" w:rsidRDefault="009D4A93" w:rsidP="009D4A93">
            <w:pPr>
              <w:spacing w:after="0"/>
              <w:jc w:val="center"/>
              <w:rPr>
                <w:lang w:val="zh-CN"/>
              </w:rPr>
            </w:pPr>
            <w:r w:rsidRPr="00536CFD">
              <w:rPr>
                <w:lang w:val="zh-CN"/>
              </w:rPr>
              <w:t>52,79</w:t>
            </w:r>
          </w:p>
        </w:tc>
        <w:tc>
          <w:tcPr>
            <w:tcW w:w="810" w:type="dxa"/>
            <w:tcBorders>
              <w:top w:val="single" w:sz="4" w:space="0" w:color="auto"/>
              <w:left w:val="nil"/>
              <w:bottom w:val="single" w:sz="4" w:space="0" w:color="auto"/>
              <w:right w:val="single" w:sz="4" w:space="0" w:color="auto"/>
            </w:tcBorders>
            <w:shd w:val="clear" w:color="auto" w:fill="auto"/>
            <w:vAlign w:val="bottom"/>
          </w:tcPr>
          <w:p w14:paraId="602DB9DD" w14:textId="77777777" w:rsidR="009D4A93" w:rsidRPr="00536CFD" w:rsidRDefault="009D4A93" w:rsidP="009D4A93">
            <w:pPr>
              <w:spacing w:after="0"/>
              <w:jc w:val="center"/>
              <w:rPr>
                <w:lang w:val="zh-CN"/>
              </w:rPr>
            </w:pPr>
            <w:r w:rsidRPr="00536CFD">
              <w:rPr>
                <w:lang w:val="zh-CN"/>
              </w:rPr>
              <w:t>41,25</w:t>
            </w:r>
          </w:p>
        </w:tc>
        <w:tc>
          <w:tcPr>
            <w:tcW w:w="820" w:type="dxa"/>
            <w:tcBorders>
              <w:top w:val="single" w:sz="4" w:space="0" w:color="auto"/>
              <w:left w:val="nil"/>
              <w:bottom w:val="single" w:sz="4" w:space="0" w:color="auto"/>
              <w:right w:val="single" w:sz="4" w:space="0" w:color="auto"/>
            </w:tcBorders>
            <w:shd w:val="clear" w:color="auto" w:fill="auto"/>
            <w:vAlign w:val="bottom"/>
          </w:tcPr>
          <w:p w14:paraId="55403C7C" w14:textId="77777777" w:rsidR="009D4A93" w:rsidRPr="00536CFD" w:rsidRDefault="009D4A93" w:rsidP="009D4A93">
            <w:pPr>
              <w:spacing w:after="0"/>
              <w:jc w:val="center"/>
              <w:rPr>
                <w:lang w:val="zh-CN"/>
              </w:rPr>
            </w:pPr>
            <w:r w:rsidRPr="00536CFD">
              <w:rPr>
                <w:lang w:val="zh-CN"/>
              </w:rPr>
              <w:t>42,11</w:t>
            </w:r>
          </w:p>
        </w:tc>
        <w:tc>
          <w:tcPr>
            <w:tcW w:w="800" w:type="dxa"/>
            <w:tcBorders>
              <w:top w:val="single" w:sz="4" w:space="0" w:color="auto"/>
              <w:left w:val="nil"/>
              <w:bottom w:val="single" w:sz="4" w:space="0" w:color="auto"/>
              <w:right w:val="single" w:sz="4" w:space="0" w:color="auto"/>
            </w:tcBorders>
            <w:shd w:val="clear" w:color="auto" w:fill="auto"/>
            <w:vAlign w:val="bottom"/>
          </w:tcPr>
          <w:p w14:paraId="1C5D52CA" w14:textId="77777777" w:rsidR="009D4A93" w:rsidRPr="00536CFD" w:rsidRDefault="009D4A93" w:rsidP="009D4A93">
            <w:pPr>
              <w:spacing w:after="0"/>
              <w:jc w:val="center"/>
              <w:rPr>
                <w:lang w:val="zh-CN"/>
              </w:rPr>
            </w:pPr>
            <w:r w:rsidRPr="00536CFD">
              <w:rPr>
                <w:lang w:val="zh-CN"/>
              </w:rPr>
              <w:t>46,86</w:t>
            </w:r>
          </w:p>
        </w:tc>
        <w:tc>
          <w:tcPr>
            <w:tcW w:w="720" w:type="dxa"/>
            <w:tcBorders>
              <w:top w:val="single" w:sz="4" w:space="0" w:color="auto"/>
              <w:left w:val="nil"/>
              <w:bottom w:val="single" w:sz="4" w:space="0" w:color="auto"/>
              <w:right w:val="single" w:sz="4" w:space="0" w:color="auto"/>
            </w:tcBorders>
            <w:shd w:val="clear" w:color="auto" w:fill="auto"/>
            <w:vAlign w:val="bottom"/>
          </w:tcPr>
          <w:p w14:paraId="433DDEE2" w14:textId="77777777" w:rsidR="009D4A93" w:rsidRPr="00536CFD" w:rsidRDefault="009D4A93" w:rsidP="009D4A93">
            <w:pPr>
              <w:spacing w:after="0"/>
              <w:jc w:val="center"/>
              <w:rPr>
                <w:lang w:val="zh-CN"/>
              </w:rPr>
            </w:pPr>
            <w:r w:rsidRPr="00536CFD">
              <w:rPr>
                <w:lang w:val="zh-CN"/>
              </w:rPr>
              <w:t>49,24</w:t>
            </w:r>
          </w:p>
        </w:tc>
        <w:tc>
          <w:tcPr>
            <w:tcW w:w="724" w:type="dxa"/>
            <w:tcBorders>
              <w:top w:val="single" w:sz="4" w:space="0" w:color="auto"/>
              <w:left w:val="nil"/>
              <w:bottom w:val="single" w:sz="4" w:space="0" w:color="auto"/>
              <w:right w:val="single" w:sz="4" w:space="0" w:color="auto"/>
            </w:tcBorders>
            <w:shd w:val="clear" w:color="auto" w:fill="auto"/>
            <w:vAlign w:val="bottom"/>
          </w:tcPr>
          <w:p w14:paraId="379C533A" w14:textId="77777777" w:rsidR="009D4A93" w:rsidRPr="00536CFD" w:rsidRDefault="009D4A93" w:rsidP="009D4A93">
            <w:pPr>
              <w:spacing w:after="0"/>
              <w:jc w:val="center"/>
              <w:rPr>
                <w:lang w:val="zh-CN"/>
              </w:rPr>
            </w:pPr>
            <w:r w:rsidRPr="00536CFD">
              <w:rPr>
                <w:lang w:val="zh-CN"/>
              </w:rPr>
              <w:t>30,34</w:t>
            </w:r>
          </w:p>
        </w:tc>
        <w:tc>
          <w:tcPr>
            <w:tcW w:w="896" w:type="dxa"/>
            <w:tcBorders>
              <w:top w:val="single" w:sz="4" w:space="0" w:color="auto"/>
              <w:left w:val="nil"/>
              <w:bottom w:val="single" w:sz="4" w:space="0" w:color="auto"/>
              <w:right w:val="single" w:sz="4" w:space="0" w:color="auto"/>
            </w:tcBorders>
            <w:shd w:val="clear" w:color="auto" w:fill="auto"/>
            <w:vAlign w:val="bottom"/>
          </w:tcPr>
          <w:p w14:paraId="0331AAB8" w14:textId="77777777" w:rsidR="009D4A93" w:rsidRPr="00536CFD" w:rsidRDefault="009D4A93" w:rsidP="009D4A93">
            <w:pPr>
              <w:spacing w:after="0"/>
              <w:jc w:val="center"/>
              <w:rPr>
                <w:lang w:val="zh-CN"/>
              </w:rPr>
            </w:pPr>
            <w:r w:rsidRPr="00536CFD">
              <w:rPr>
                <w:lang w:val="zh-CN"/>
              </w:rPr>
              <w:t>34,02</w:t>
            </w:r>
          </w:p>
        </w:tc>
        <w:tc>
          <w:tcPr>
            <w:tcW w:w="720" w:type="dxa"/>
            <w:tcBorders>
              <w:top w:val="single" w:sz="4" w:space="0" w:color="auto"/>
              <w:left w:val="nil"/>
              <w:bottom w:val="single" w:sz="4" w:space="0" w:color="auto"/>
              <w:right w:val="single" w:sz="4" w:space="0" w:color="auto"/>
            </w:tcBorders>
            <w:shd w:val="clear" w:color="auto" w:fill="auto"/>
            <w:vAlign w:val="bottom"/>
          </w:tcPr>
          <w:p w14:paraId="236F15BC" w14:textId="77777777" w:rsidR="009D4A93" w:rsidRPr="00536CFD" w:rsidRDefault="009D4A93" w:rsidP="009D4A93">
            <w:pPr>
              <w:spacing w:after="0"/>
              <w:jc w:val="center"/>
              <w:rPr>
                <w:lang w:val="zh-CN"/>
              </w:rPr>
            </w:pPr>
            <w:r w:rsidRPr="00536CFD">
              <w:rPr>
                <w:lang w:val="zh-CN"/>
              </w:rPr>
              <w:t>36,36</w:t>
            </w:r>
          </w:p>
        </w:tc>
        <w:tc>
          <w:tcPr>
            <w:tcW w:w="720" w:type="dxa"/>
            <w:tcBorders>
              <w:top w:val="single" w:sz="4" w:space="0" w:color="auto"/>
              <w:left w:val="nil"/>
              <w:bottom w:val="single" w:sz="4" w:space="0" w:color="auto"/>
              <w:right w:val="single" w:sz="4" w:space="0" w:color="auto"/>
            </w:tcBorders>
            <w:shd w:val="clear" w:color="auto" w:fill="auto"/>
            <w:vAlign w:val="bottom"/>
          </w:tcPr>
          <w:p w14:paraId="77A18C50" w14:textId="77777777" w:rsidR="009D4A93" w:rsidRPr="00536CFD" w:rsidRDefault="009D4A93" w:rsidP="009D4A93">
            <w:pPr>
              <w:spacing w:after="0"/>
              <w:jc w:val="center"/>
              <w:rPr>
                <w:lang w:val="zh-CN"/>
              </w:rPr>
            </w:pPr>
            <w:r w:rsidRPr="00536CFD">
              <w:rPr>
                <w:lang w:val="zh-CN"/>
              </w:rPr>
              <w:t>47,76</w:t>
            </w:r>
          </w:p>
        </w:tc>
      </w:tr>
      <w:tr w:rsidR="009D4A93" w:rsidRPr="00536CFD" w14:paraId="15FBDB8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B3D01D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E7D8AF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14A415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08B86A77" w14:textId="77777777" w:rsidR="009D4A93" w:rsidRPr="00536CFD" w:rsidRDefault="009D4A93" w:rsidP="009D4A93">
            <w:pPr>
              <w:spacing w:after="0"/>
              <w:jc w:val="center"/>
              <w:rPr>
                <w:lang w:val="zh-CN"/>
              </w:rPr>
            </w:pPr>
            <w:r w:rsidRPr="00536CFD">
              <w:rPr>
                <w:lang w:val="zh-CN"/>
              </w:rPr>
              <w:t>32,44</w:t>
            </w:r>
          </w:p>
        </w:tc>
        <w:tc>
          <w:tcPr>
            <w:tcW w:w="720" w:type="dxa"/>
            <w:tcBorders>
              <w:top w:val="single" w:sz="4" w:space="0" w:color="auto"/>
              <w:left w:val="nil"/>
              <w:bottom w:val="single" w:sz="4" w:space="0" w:color="auto"/>
              <w:right w:val="single" w:sz="4" w:space="0" w:color="auto"/>
            </w:tcBorders>
            <w:shd w:val="clear" w:color="auto" w:fill="auto"/>
            <w:vAlign w:val="bottom"/>
          </w:tcPr>
          <w:p w14:paraId="25D906E3" w14:textId="77777777" w:rsidR="009D4A93" w:rsidRPr="00536CFD" w:rsidRDefault="009D4A93" w:rsidP="009D4A93">
            <w:pPr>
              <w:spacing w:after="0"/>
              <w:jc w:val="center"/>
              <w:rPr>
                <w:lang w:val="zh-CN"/>
              </w:rPr>
            </w:pPr>
            <w:r w:rsidRPr="00536CFD">
              <w:rPr>
                <w:lang w:val="zh-CN"/>
              </w:rPr>
              <w:t>31,29</w:t>
            </w:r>
          </w:p>
        </w:tc>
        <w:tc>
          <w:tcPr>
            <w:tcW w:w="720" w:type="dxa"/>
            <w:tcBorders>
              <w:top w:val="single" w:sz="4" w:space="0" w:color="auto"/>
              <w:left w:val="nil"/>
              <w:bottom w:val="single" w:sz="4" w:space="0" w:color="auto"/>
              <w:right w:val="single" w:sz="4" w:space="0" w:color="auto"/>
            </w:tcBorders>
            <w:shd w:val="clear" w:color="auto" w:fill="auto"/>
            <w:vAlign w:val="bottom"/>
          </w:tcPr>
          <w:p w14:paraId="11E9FA06" w14:textId="77777777" w:rsidR="009D4A93" w:rsidRPr="00536CFD" w:rsidRDefault="009D4A93" w:rsidP="009D4A93">
            <w:pPr>
              <w:spacing w:after="0"/>
              <w:jc w:val="center"/>
              <w:rPr>
                <w:lang w:val="zh-CN"/>
              </w:rPr>
            </w:pPr>
            <w:r w:rsidRPr="00536CFD">
              <w:rPr>
                <w:lang w:val="zh-CN"/>
              </w:rPr>
              <w:t>32,51</w:t>
            </w:r>
          </w:p>
        </w:tc>
        <w:tc>
          <w:tcPr>
            <w:tcW w:w="810" w:type="dxa"/>
            <w:tcBorders>
              <w:top w:val="single" w:sz="4" w:space="0" w:color="auto"/>
              <w:left w:val="nil"/>
              <w:bottom w:val="single" w:sz="4" w:space="0" w:color="auto"/>
              <w:right w:val="single" w:sz="4" w:space="0" w:color="auto"/>
            </w:tcBorders>
            <w:shd w:val="clear" w:color="auto" w:fill="auto"/>
            <w:vAlign w:val="bottom"/>
          </w:tcPr>
          <w:p w14:paraId="58297D90" w14:textId="77777777" w:rsidR="009D4A93" w:rsidRPr="00536CFD" w:rsidRDefault="009D4A93" w:rsidP="009D4A93">
            <w:pPr>
              <w:spacing w:after="0"/>
              <w:jc w:val="center"/>
              <w:rPr>
                <w:lang w:val="zh-CN"/>
              </w:rPr>
            </w:pPr>
            <w:r w:rsidRPr="00536CFD">
              <w:rPr>
                <w:lang w:val="zh-CN"/>
              </w:rPr>
              <w:t>33,53</w:t>
            </w:r>
          </w:p>
        </w:tc>
        <w:tc>
          <w:tcPr>
            <w:tcW w:w="810" w:type="dxa"/>
            <w:tcBorders>
              <w:top w:val="single" w:sz="4" w:space="0" w:color="auto"/>
              <w:left w:val="nil"/>
              <w:bottom w:val="single" w:sz="4" w:space="0" w:color="auto"/>
              <w:right w:val="single" w:sz="4" w:space="0" w:color="auto"/>
            </w:tcBorders>
            <w:shd w:val="clear" w:color="auto" w:fill="auto"/>
            <w:vAlign w:val="bottom"/>
          </w:tcPr>
          <w:p w14:paraId="4AC2DECB" w14:textId="77777777" w:rsidR="009D4A93" w:rsidRPr="00536CFD" w:rsidRDefault="009D4A93" w:rsidP="009D4A93">
            <w:pPr>
              <w:spacing w:after="0"/>
              <w:jc w:val="center"/>
              <w:rPr>
                <w:lang w:val="zh-CN"/>
              </w:rPr>
            </w:pPr>
            <w:r w:rsidRPr="00536CFD">
              <w:rPr>
                <w:lang w:val="zh-CN"/>
              </w:rPr>
              <w:t>22,68</w:t>
            </w:r>
          </w:p>
        </w:tc>
        <w:tc>
          <w:tcPr>
            <w:tcW w:w="820" w:type="dxa"/>
            <w:tcBorders>
              <w:top w:val="single" w:sz="4" w:space="0" w:color="auto"/>
              <w:left w:val="nil"/>
              <w:bottom w:val="single" w:sz="4" w:space="0" w:color="auto"/>
              <w:right w:val="single" w:sz="4" w:space="0" w:color="auto"/>
            </w:tcBorders>
            <w:shd w:val="clear" w:color="auto" w:fill="auto"/>
            <w:vAlign w:val="bottom"/>
          </w:tcPr>
          <w:p w14:paraId="30E9F7A6" w14:textId="77777777" w:rsidR="009D4A93" w:rsidRPr="00536CFD" w:rsidRDefault="009D4A93" w:rsidP="009D4A93">
            <w:pPr>
              <w:spacing w:after="0"/>
              <w:jc w:val="center"/>
              <w:rPr>
                <w:lang w:val="zh-CN"/>
              </w:rPr>
            </w:pPr>
            <w:r w:rsidRPr="00536CFD">
              <w:rPr>
                <w:lang w:val="zh-CN"/>
              </w:rPr>
              <w:t>23,22</w:t>
            </w:r>
          </w:p>
        </w:tc>
        <w:tc>
          <w:tcPr>
            <w:tcW w:w="800" w:type="dxa"/>
            <w:tcBorders>
              <w:top w:val="single" w:sz="4" w:space="0" w:color="auto"/>
              <w:left w:val="nil"/>
              <w:bottom w:val="single" w:sz="4" w:space="0" w:color="auto"/>
              <w:right w:val="single" w:sz="4" w:space="0" w:color="auto"/>
            </w:tcBorders>
            <w:shd w:val="clear" w:color="auto" w:fill="auto"/>
            <w:vAlign w:val="bottom"/>
          </w:tcPr>
          <w:p w14:paraId="1ACE7658" w14:textId="77777777" w:rsidR="009D4A93" w:rsidRPr="00536CFD" w:rsidRDefault="009D4A93" w:rsidP="009D4A93">
            <w:pPr>
              <w:spacing w:after="0"/>
              <w:jc w:val="center"/>
              <w:rPr>
                <w:lang w:val="zh-CN"/>
              </w:rPr>
            </w:pPr>
            <w:r w:rsidRPr="00536CFD">
              <w:rPr>
                <w:lang w:val="zh-CN"/>
              </w:rPr>
              <w:t>24,68</w:t>
            </w:r>
          </w:p>
        </w:tc>
        <w:tc>
          <w:tcPr>
            <w:tcW w:w="720" w:type="dxa"/>
            <w:tcBorders>
              <w:top w:val="single" w:sz="4" w:space="0" w:color="auto"/>
              <w:left w:val="nil"/>
              <w:bottom w:val="single" w:sz="4" w:space="0" w:color="auto"/>
              <w:right w:val="single" w:sz="4" w:space="0" w:color="auto"/>
            </w:tcBorders>
            <w:shd w:val="clear" w:color="auto" w:fill="auto"/>
            <w:vAlign w:val="bottom"/>
          </w:tcPr>
          <w:p w14:paraId="7D9EDC0A" w14:textId="77777777" w:rsidR="009D4A93" w:rsidRPr="00536CFD" w:rsidRDefault="009D4A93" w:rsidP="009D4A93">
            <w:pPr>
              <w:spacing w:after="0"/>
              <w:jc w:val="center"/>
              <w:rPr>
                <w:lang w:val="zh-CN"/>
              </w:rPr>
            </w:pPr>
            <w:r w:rsidRPr="00536CFD">
              <w:rPr>
                <w:lang w:val="zh-CN"/>
              </w:rPr>
              <w:t>31,51</w:t>
            </w:r>
          </w:p>
        </w:tc>
        <w:tc>
          <w:tcPr>
            <w:tcW w:w="724" w:type="dxa"/>
            <w:tcBorders>
              <w:top w:val="single" w:sz="4" w:space="0" w:color="auto"/>
              <w:left w:val="nil"/>
              <w:bottom w:val="single" w:sz="4" w:space="0" w:color="auto"/>
              <w:right w:val="single" w:sz="4" w:space="0" w:color="auto"/>
            </w:tcBorders>
            <w:shd w:val="clear" w:color="auto" w:fill="auto"/>
            <w:vAlign w:val="bottom"/>
          </w:tcPr>
          <w:p w14:paraId="526C762D" w14:textId="77777777" w:rsidR="009D4A93" w:rsidRPr="00536CFD" w:rsidRDefault="009D4A93" w:rsidP="009D4A93">
            <w:pPr>
              <w:spacing w:after="0"/>
              <w:jc w:val="center"/>
              <w:rPr>
                <w:lang w:val="zh-CN"/>
              </w:rPr>
            </w:pPr>
            <w:r w:rsidRPr="00536CFD">
              <w:rPr>
                <w:lang w:val="zh-CN"/>
              </w:rPr>
              <w:t>13,32</w:t>
            </w:r>
          </w:p>
        </w:tc>
        <w:tc>
          <w:tcPr>
            <w:tcW w:w="896" w:type="dxa"/>
            <w:tcBorders>
              <w:top w:val="single" w:sz="4" w:space="0" w:color="auto"/>
              <w:left w:val="nil"/>
              <w:bottom w:val="single" w:sz="4" w:space="0" w:color="auto"/>
              <w:right w:val="single" w:sz="4" w:space="0" w:color="auto"/>
            </w:tcBorders>
            <w:shd w:val="clear" w:color="auto" w:fill="auto"/>
            <w:vAlign w:val="bottom"/>
          </w:tcPr>
          <w:p w14:paraId="25FE70A5" w14:textId="77777777" w:rsidR="009D4A93" w:rsidRPr="00536CFD" w:rsidRDefault="009D4A93" w:rsidP="009D4A93">
            <w:pPr>
              <w:spacing w:after="0"/>
              <w:jc w:val="center"/>
              <w:rPr>
                <w:lang w:val="zh-CN"/>
              </w:rPr>
            </w:pPr>
            <w:r w:rsidRPr="00536CFD">
              <w:rPr>
                <w:lang w:val="zh-CN"/>
              </w:rPr>
              <w:t>15,27</w:t>
            </w:r>
          </w:p>
        </w:tc>
        <w:tc>
          <w:tcPr>
            <w:tcW w:w="720" w:type="dxa"/>
            <w:tcBorders>
              <w:top w:val="single" w:sz="4" w:space="0" w:color="auto"/>
              <w:left w:val="nil"/>
              <w:bottom w:val="single" w:sz="4" w:space="0" w:color="auto"/>
              <w:right w:val="single" w:sz="4" w:space="0" w:color="auto"/>
            </w:tcBorders>
            <w:shd w:val="clear" w:color="auto" w:fill="auto"/>
            <w:vAlign w:val="bottom"/>
          </w:tcPr>
          <w:p w14:paraId="2D342AAE" w14:textId="77777777" w:rsidR="009D4A93" w:rsidRPr="00536CFD" w:rsidRDefault="009D4A93" w:rsidP="009D4A93">
            <w:pPr>
              <w:spacing w:after="0"/>
              <w:jc w:val="center"/>
              <w:rPr>
                <w:lang w:val="zh-CN"/>
              </w:rPr>
            </w:pPr>
            <w:r w:rsidRPr="00536CFD">
              <w:rPr>
                <w:lang w:val="zh-CN"/>
              </w:rPr>
              <w:t>16,65</w:t>
            </w:r>
          </w:p>
        </w:tc>
        <w:tc>
          <w:tcPr>
            <w:tcW w:w="720" w:type="dxa"/>
            <w:tcBorders>
              <w:top w:val="single" w:sz="4" w:space="0" w:color="auto"/>
              <w:left w:val="nil"/>
              <w:bottom w:val="single" w:sz="4" w:space="0" w:color="auto"/>
              <w:right w:val="single" w:sz="4" w:space="0" w:color="auto"/>
            </w:tcBorders>
            <w:shd w:val="clear" w:color="auto" w:fill="auto"/>
            <w:vAlign w:val="bottom"/>
          </w:tcPr>
          <w:p w14:paraId="45562CA7" w14:textId="77777777" w:rsidR="009D4A93" w:rsidRPr="00536CFD" w:rsidRDefault="009D4A93" w:rsidP="009D4A93">
            <w:pPr>
              <w:spacing w:after="0"/>
              <w:jc w:val="center"/>
              <w:rPr>
                <w:lang w:val="zh-CN"/>
              </w:rPr>
            </w:pPr>
            <w:r w:rsidRPr="00536CFD">
              <w:rPr>
                <w:lang w:val="zh-CN"/>
              </w:rPr>
              <w:t>29,13</w:t>
            </w:r>
          </w:p>
        </w:tc>
      </w:tr>
      <w:tr w:rsidR="009D4A93" w:rsidRPr="00536CFD" w14:paraId="6A3FC70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A21DA94"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7FCB485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34A4078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13C0B31D" w14:textId="77777777" w:rsidR="009D4A93" w:rsidRPr="00536CFD" w:rsidRDefault="009D4A93" w:rsidP="009D4A93">
            <w:pPr>
              <w:spacing w:after="0"/>
              <w:jc w:val="center"/>
              <w:rPr>
                <w:lang w:val="zh-CN"/>
              </w:rPr>
            </w:pPr>
            <w:r w:rsidRPr="00536CFD">
              <w:rPr>
                <w:lang w:val="zh-CN"/>
              </w:rPr>
              <w:t>74,44</w:t>
            </w:r>
          </w:p>
        </w:tc>
        <w:tc>
          <w:tcPr>
            <w:tcW w:w="720" w:type="dxa"/>
            <w:tcBorders>
              <w:top w:val="single" w:sz="4" w:space="0" w:color="auto"/>
              <w:left w:val="nil"/>
              <w:bottom w:val="single" w:sz="4" w:space="0" w:color="auto"/>
              <w:right w:val="single" w:sz="4" w:space="0" w:color="auto"/>
            </w:tcBorders>
            <w:shd w:val="clear" w:color="auto" w:fill="auto"/>
            <w:vAlign w:val="bottom"/>
          </w:tcPr>
          <w:p w14:paraId="62A40B71" w14:textId="77777777" w:rsidR="009D4A93" w:rsidRPr="00536CFD" w:rsidRDefault="009D4A93" w:rsidP="009D4A93">
            <w:pPr>
              <w:spacing w:after="0"/>
              <w:jc w:val="center"/>
              <w:rPr>
                <w:lang w:val="zh-CN"/>
              </w:rPr>
            </w:pPr>
            <w:r w:rsidRPr="00536CFD">
              <w:rPr>
                <w:lang w:val="zh-CN"/>
              </w:rPr>
              <w:t>77,59</w:t>
            </w:r>
          </w:p>
        </w:tc>
        <w:tc>
          <w:tcPr>
            <w:tcW w:w="720" w:type="dxa"/>
            <w:tcBorders>
              <w:top w:val="single" w:sz="4" w:space="0" w:color="auto"/>
              <w:left w:val="nil"/>
              <w:bottom w:val="single" w:sz="4" w:space="0" w:color="auto"/>
              <w:right w:val="single" w:sz="4" w:space="0" w:color="auto"/>
            </w:tcBorders>
            <w:shd w:val="clear" w:color="auto" w:fill="auto"/>
            <w:vAlign w:val="bottom"/>
          </w:tcPr>
          <w:p w14:paraId="4A57D8D3" w14:textId="77777777" w:rsidR="009D4A93" w:rsidRPr="00536CFD" w:rsidRDefault="009D4A93" w:rsidP="009D4A93">
            <w:pPr>
              <w:spacing w:after="0"/>
              <w:jc w:val="center"/>
              <w:rPr>
                <w:lang w:val="zh-CN"/>
              </w:rPr>
            </w:pPr>
            <w:r w:rsidRPr="00536CFD">
              <w:rPr>
                <w:lang w:val="zh-CN"/>
              </w:rPr>
              <w:t>67,16</w:t>
            </w:r>
          </w:p>
        </w:tc>
        <w:tc>
          <w:tcPr>
            <w:tcW w:w="810" w:type="dxa"/>
            <w:tcBorders>
              <w:top w:val="single" w:sz="4" w:space="0" w:color="auto"/>
              <w:left w:val="nil"/>
              <w:bottom w:val="single" w:sz="4" w:space="0" w:color="auto"/>
              <w:right w:val="single" w:sz="4" w:space="0" w:color="auto"/>
            </w:tcBorders>
            <w:shd w:val="clear" w:color="auto" w:fill="auto"/>
            <w:vAlign w:val="bottom"/>
          </w:tcPr>
          <w:p w14:paraId="2725EA46" w14:textId="77777777" w:rsidR="009D4A93" w:rsidRPr="00536CFD" w:rsidRDefault="009D4A93" w:rsidP="009D4A93">
            <w:pPr>
              <w:spacing w:after="0"/>
              <w:jc w:val="center"/>
              <w:rPr>
                <w:lang w:val="zh-CN"/>
              </w:rPr>
            </w:pPr>
            <w:r w:rsidRPr="00536CFD">
              <w:rPr>
                <w:lang w:val="zh-CN"/>
              </w:rPr>
              <w:t>68,58</w:t>
            </w:r>
          </w:p>
        </w:tc>
        <w:tc>
          <w:tcPr>
            <w:tcW w:w="810" w:type="dxa"/>
            <w:tcBorders>
              <w:top w:val="single" w:sz="4" w:space="0" w:color="auto"/>
              <w:left w:val="nil"/>
              <w:bottom w:val="single" w:sz="4" w:space="0" w:color="auto"/>
              <w:right w:val="single" w:sz="4" w:space="0" w:color="auto"/>
            </w:tcBorders>
            <w:shd w:val="clear" w:color="auto" w:fill="auto"/>
            <w:vAlign w:val="bottom"/>
          </w:tcPr>
          <w:p w14:paraId="74994E2D" w14:textId="77777777" w:rsidR="009D4A93" w:rsidRPr="00536CFD" w:rsidRDefault="009D4A93" w:rsidP="009D4A93">
            <w:pPr>
              <w:spacing w:after="0"/>
              <w:jc w:val="center"/>
              <w:rPr>
                <w:lang w:val="zh-CN"/>
              </w:rPr>
            </w:pPr>
            <w:r w:rsidRPr="00536CFD">
              <w:rPr>
                <w:lang w:val="zh-CN"/>
              </w:rPr>
              <w:t>77,41</w:t>
            </w:r>
          </w:p>
        </w:tc>
        <w:tc>
          <w:tcPr>
            <w:tcW w:w="820" w:type="dxa"/>
            <w:tcBorders>
              <w:top w:val="single" w:sz="4" w:space="0" w:color="auto"/>
              <w:left w:val="nil"/>
              <w:bottom w:val="single" w:sz="4" w:space="0" w:color="auto"/>
              <w:right w:val="single" w:sz="4" w:space="0" w:color="auto"/>
            </w:tcBorders>
            <w:shd w:val="clear" w:color="auto" w:fill="auto"/>
            <w:vAlign w:val="bottom"/>
          </w:tcPr>
          <w:p w14:paraId="385910E1" w14:textId="77777777" w:rsidR="009D4A93" w:rsidRPr="00536CFD" w:rsidRDefault="009D4A93" w:rsidP="009D4A93">
            <w:pPr>
              <w:spacing w:after="0"/>
              <w:jc w:val="center"/>
              <w:rPr>
                <w:lang w:val="zh-CN"/>
              </w:rPr>
            </w:pPr>
            <w:r w:rsidRPr="00536CFD">
              <w:rPr>
                <w:lang w:val="zh-CN"/>
              </w:rPr>
              <w:t>81,41</w:t>
            </w:r>
          </w:p>
        </w:tc>
        <w:tc>
          <w:tcPr>
            <w:tcW w:w="800" w:type="dxa"/>
            <w:tcBorders>
              <w:top w:val="single" w:sz="4" w:space="0" w:color="auto"/>
              <w:left w:val="nil"/>
              <w:bottom w:val="single" w:sz="4" w:space="0" w:color="auto"/>
              <w:right w:val="single" w:sz="4" w:space="0" w:color="auto"/>
            </w:tcBorders>
            <w:shd w:val="clear" w:color="auto" w:fill="auto"/>
            <w:vAlign w:val="bottom"/>
          </w:tcPr>
          <w:p w14:paraId="4BE95D62" w14:textId="77777777" w:rsidR="009D4A93" w:rsidRPr="00536CFD" w:rsidRDefault="009D4A93" w:rsidP="009D4A93">
            <w:pPr>
              <w:spacing w:after="0"/>
              <w:jc w:val="center"/>
              <w:rPr>
                <w:lang w:val="zh-CN"/>
              </w:rPr>
            </w:pPr>
            <w:r w:rsidRPr="00536CFD">
              <w:rPr>
                <w:lang w:val="zh-CN"/>
              </w:rPr>
              <w:t>69,98</w:t>
            </w:r>
          </w:p>
        </w:tc>
        <w:tc>
          <w:tcPr>
            <w:tcW w:w="720" w:type="dxa"/>
            <w:tcBorders>
              <w:top w:val="single" w:sz="4" w:space="0" w:color="auto"/>
              <w:left w:val="nil"/>
              <w:bottom w:val="single" w:sz="4" w:space="0" w:color="auto"/>
              <w:right w:val="single" w:sz="4" w:space="0" w:color="auto"/>
            </w:tcBorders>
            <w:shd w:val="clear" w:color="auto" w:fill="auto"/>
            <w:vAlign w:val="bottom"/>
          </w:tcPr>
          <w:p w14:paraId="52B043AE" w14:textId="77777777" w:rsidR="009D4A93" w:rsidRPr="00536CFD" w:rsidRDefault="009D4A93" w:rsidP="009D4A93">
            <w:pPr>
              <w:spacing w:after="0"/>
              <w:jc w:val="center"/>
              <w:rPr>
                <w:lang w:val="zh-CN"/>
              </w:rPr>
            </w:pPr>
            <w:r w:rsidRPr="00536CFD">
              <w:rPr>
                <w:lang w:val="zh-CN"/>
              </w:rPr>
              <w:t>69,75</w:t>
            </w:r>
          </w:p>
        </w:tc>
        <w:tc>
          <w:tcPr>
            <w:tcW w:w="724" w:type="dxa"/>
            <w:tcBorders>
              <w:top w:val="single" w:sz="4" w:space="0" w:color="auto"/>
              <w:left w:val="nil"/>
              <w:bottom w:val="single" w:sz="4" w:space="0" w:color="auto"/>
              <w:right w:val="single" w:sz="4" w:space="0" w:color="auto"/>
            </w:tcBorders>
            <w:shd w:val="clear" w:color="auto" w:fill="auto"/>
            <w:vAlign w:val="bottom"/>
          </w:tcPr>
          <w:p w14:paraId="4F214433" w14:textId="77777777" w:rsidR="009D4A93" w:rsidRPr="00536CFD" w:rsidRDefault="009D4A93" w:rsidP="009D4A93">
            <w:pPr>
              <w:spacing w:after="0"/>
              <w:jc w:val="center"/>
              <w:rPr>
                <w:lang w:val="zh-CN"/>
              </w:rPr>
            </w:pPr>
            <w:r w:rsidRPr="00536CFD">
              <w:rPr>
                <w:lang w:val="zh-CN"/>
              </w:rPr>
              <w:t>91,63</w:t>
            </w:r>
          </w:p>
        </w:tc>
        <w:tc>
          <w:tcPr>
            <w:tcW w:w="896" w:type="dxa"/>
            <w:tcBorders>
              <w:top w:val="single" w:sz="4" w:space="0" w:color="auto"/>
              <w:left w:val="nil"/>
              <w:bottom w:val="single" w:sz="4" w:space="0" w:color="auto"/>
              <w:right w:val="single" w:sz="4" w:space="0" w:color="auto"/>
            </w:tcBorders>
            <w:shd w:val="clear" w:color="auto" w:fill="auto"/>
            <w:vAlign w:val="bottom"/>
          </w:tcPr>
          <w:p w14:paraId="4A423823" w14:textId="77777777" w:rsidR="009D4A93" w:rsidRPr="00536CFD" w:rsidRDefault="009D4A93" w:rsidP="009D4A93">
            <w:pPr>
              <w:spacing w:after="0"/>
              <w:jc w:val="center"/>
              <w:rPr>
                <w:lang w:val="zh-CN"/>
              </w:rPr>
            </w:pPr>
            <w:r w:rsidRPr="00536CFD">
              <w:rPr>
                <w:lang w:val="zh-CN"/>
              </w:rPr>
              <w:t>87,31</w:t>
            </w:r>
          </w:p>
        </w:tc>
        <w:tc>
          <w:tcPr>
            <w:tcW w:w="720" w:type="dxa"/>
            <w:tcBorders>
              <w:top w:val="single" w:sz="4" w:space="0" w:color="auto"/>
              <w:left w:val="nil"/>
              <w:bottom w:val="single" w:sz="4" w:space="0" w:color="auto"/>
              <w:right w:val="single" w:sz="4" w:space="0" w:color="auto"/>
            </w:tcBorders>
            <w:shd w:val="clear" w:color="auto" w:fill="auto"/>
            <w:vAlign w:val="bottom"/>
          </w:tcPr>
          <w:p w14:paraId="697067DC" w14:textId="77777777" w:rsidR="009D4A93" w:rsidRPr="00536CFD" w:rsidRDefault="009D4A93" w:rsidP="009D4A93">
            <w:pPr>
              <w:spacing w:after="0"/>
              <w:jc w:val="center"/>
              <w:rPr>
                <w:lang w:val="zh-CN"/>
              </w:rPr>
            </w:pPr>
            <w:r w:rsidRPr="00536CFD">
              <w:rPr>
                <w:lang w:val="zh-CN"/>
              </w:rPr>
              <w:t>76,77</w:t>
            </w:r>
          </w:p>
        </w:tc>
        <w:tc>
          <w:tcPr>
            <w:tcW w:w="720" w:type="dxa"/>
            <w:tcBorders>
              <w:top w:val="single" w:sz="4" w:space="0" w:color="auto"/>
              <w:left w:val="nil"/>
              <w:bottom w:val="single" w:sz="4" w:space="0" w:color="auto"/>
              <w:right w:val="single" w:sz="4" w:space="0" w:color="auto"/>
            </w:tcBorders>
            <w:shd w:val="clear" w:color="auto" w:fill="auto"/>
            <w:vAlign w:val="bottom"/>
          </w:tcPr>
          <w:p w14:paraId="184D5843" w14:textId="77777777" w:rsidR="009D4A93" w:rsidRPr="00536CFD" w:rsidRDefault="009D4A93" w:rsidP="009D4A93">
            <w:pPr>
              <w:spacing w:after="0"/>
              <w:jc w:val="center"/>
              <w:rPr>
                <w:lang w:val="zh-CN"/>
              </w:rPr>
            </w:pPr>
            <w:r w:rsidRPr="00536CFD">
              <w:rPr>
                <w:lang w:val="zh-CN"/>
              </w:rPr>
              <w:t>70,20</w:t>
            </w:r>
          </w:p>
        </w:tc>
      </w:tr>
      <w:tr w:rsidR="009D4A93" w:rsidRPr="00536CFD" w14:paraId="03C31AB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BC406D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A47BDD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D4A1F5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2FA05432" w14:textId="77777777" w:rsidR="009D4A93" w:rsidRPr="00536CFD" w:rsidRDefault="009D4A93" w:rsidP="009D4A93">
            <w:pPr>
              <w:spacing w:after="0"/>
              <w:jc w:val="center"/>
              <w:rPr>
                <w:lang w:val="zh-CN"/>
              </w:rPr>
            </w:pPr>
            <w:r w:rsidRPr="00536CFD">
              <w:rPr>
                <w:lang w:val="zh-CN"/>
              </w:rPr>
              <w:t>124,75</w:t>
            </w:r>
          </w:p>
        </w:tc>
        <w:tc>
          <w:tcPr>
            <w:tcW w:w="720" w:type="dxa"/>
            <w:tcBorders>
              <w:top w:val="single" w:sz="4" w:space="0" w:color="auto"/>
              <w:left w:val="nil"/>
              <w:bottom w:val="single" w:sz="4" w:space="0" w:color="auto"/>
              <w:right w:val="single" w:sz="4" w:space="0" w:color="auto"/>
            </w:tcBorders>
            <w:shd w:val="clear" w:color="auto" w:fill="auto"/>
            <w:vAlign w:val="bottom"/>
          </w:tcPr>
          <w:p w14:paraId="34CADFFA" w14:textId="77777777" w:rsidR="009D4A93" w:rsidRPr="00536CFD" w:rsidRDefault="009D4A93" w:rsidP="009D4A93">
            <w:pPr>
              <w:spacing w:after="0"/>
              <w:jc w:val="center"/>
              <w:rPr>
                <w:lang w:val="zh-CN"/>
              </w:rPr>
            </w:pPr>
            <w:r w:rsidRPr="00536CFD">
              <w:rPr>
                <w:lang w:val="zh-CN"/>
              </w:rPr>
              <w:t>116,30</w:t>
            </w:r>
          </w:p>
        </w:tc>
        <w:tc>
          <w:tcPr>
            <w:tcW w:w="720" w:type="dxa"/>
            <w:tcBorders>
              <w:top w:val="single" w:sz="4" w:space="0" w:color="auto"/>
              <w:left w:val="nil"/>
              <w:bottom w:val="single" w:sz="4" w:space="0" w:color="auto"/>
              <w:right w:val="single" w:sz="4" w:space="0" w:color="auto"/>
            </w:tcBorders>
            <w:shd w:val="clear" w:color="auto" w:fill="auto"/>
            <w:vAlign w:val="bottom"/>
          </w:tcPr>
          <w:p w14:paraId="65FF3D2E" w14:textId="77777777" w:rsidR="009D4A93" w:rsidRPr="00536CFD" w:rsidRDefault="009D4A93" w:rsidP="009D4A93">
            <w:pPr>
              <w:spacing w:after="0"/>
              <w:jc w:val="center"/>
              <w:rPr>
                <w:lang w:val="zh-CN"/>
              </w:rPr>
            </w:pPr>
            <w:r w:rsidRPr="00536CFD">
              <w:rPr>
                <w:lang w:val="zh-CN"/>
              </w:rPr>
              <w:t>108,33</w:t>
            </w:r>
          </w:p>
        </w:tc>
        <w:tc>
          <w:tcPr>
            <w:tcW w:w="810" w:type="dxa"/>
            <w:tcBorders>
              <w:top w:val="single" w:sz="4" w:space="0" w:color="auto"/>
              <w:left w:val="nil"/>
              <w:bottom w:val="single" w:sz="4" w:space="0" w:color="auto"/>
              <w:right w:val="single" w:sz="4" w:space="0" w:color="auto"/>
            </w:tcBorders>
            <w:shd w:val="clear" w:color="auto" w:fill="auto"/>
            <w:vAlign w:val="bottom"/>
          </w:tcPr>
          <w:p w14:paraId="0BDAF2DE" w14:textId="77777777" w:rsidR="009D4A93" w:rsidRPr="00536CFD" w:rsidRDefault="009D4A93" w:rsidP="009D4A93">
            <w:pPr>
              <w:spacing w:after="0"/>
              <w:jc w:val="center"/>
              <w:rPr>
                <w:lang w:val="zh-CN"/>
              </w:rPr>
            </w:pPr>
            <w:r w:rsidRPr="00536CFD">
              <w:rPr>
                <w:lang w:val="zh-CN"/>
              </w:rPr>
              <w:t>116,65</w:t>
            </w:r>
          </w:p>
        </w:tc>
        <w:tc>
          <w:tcPr>
            <w:tcW w:w="810" w:type="dxa"/>
            <w:tcBorders>
              <w:top w:val="single" w:sz="4" w:space="0" w:color="auto"/>
              <w:left w:val="nil"/>
              <w:bottom w:val="single" w:sz="4" w:space="0" w:color="auto"/>
              <w:right w:val="single" w:sz="4" w:space="0" w:color="auto"/>
            </w:tcBorders>
            <w:shd w:val="clear" w:color="auto" w:fill="auto"/>
            <w:vAlign w:val="bottom"/>
          </w:tcPr>
          <w:p w14:paraId="69A3EA5D" w14:textId="77777777" w:rsidR="009D4A93" w:rsidRPr="00536CFD" w:rsidRDefault="009D4A93" w:rsidP="009D4A93">
            <w:pPr>
              <w:spacing w:after="0"/>
              <w:jc w:val="center"/>
              <w:rPr>
                <w:lang w:val="zh-CN"/>
              </w:rPr>
            </w:pPr>
            <w:r w:rsidRPr="00536CFD">
              <w:rPr>
                <w:lang w:val="zh-CN"/>
              </w:rPr>
              <w:t>201,97</w:t>
            </w:r>
          </w:p>
        </w:tc>
        <w:tc>
          <w:tcPr>
            <w:tcW w:w="820" w:type="dxa"/>
            <w:tcBorders>
              <w:top w:val="single" w:sz="4" w:space="0" w:color="auto"/>
              <w:left w:val="nil"/>
              <w:bottom w:val="single" w:sz="4" w:space="0" w:color="auto"/>
              <w:right w:val="single" w:sz="4" w:space="0" w:color="auto"/>
            </w:tcBorders>
            <w:shd w:val="clear" w:color="auto" w:fill="auto"/>
            <w:vAlign w:val="bottom"/>
          </w:tcPr>
          <w:p w14:paraId="5062E912" w14:textId="77777777" w:rsidR="009D4A93" w:rsidRPr="00536CFD" w:rsidRDefault="009D4A93" w:rsidP="009D4A93">
            <w:pPr>
              <w:spacing w:after="0"/>
              <w:jc w:val="center"/>
              <w:rPr>
                <w:lang w:val="zh-CN"/>
              </w:rPr>
            </w:pPr>
            <w:r w:rsidRPr="00536CFD">
              <w:rPr>
                <w:lang w:val="zh-CN"/>
              </w:rPr>
              <w:t>178,00</w:t>
            </w:r>
          </w:p>
        </w:tc>
        <w:tc>
          <w:tcPr>
            <w:tcW w:w="800" w:type="dxa"/>
            <w:tcBorders>
              <w:top w:val="single" w:sz="4" w:space="0" w:color="auto"/>
              <w:left w:val="nil"/>
              <w:bottom w:val="single" w:sz="4" w:space="0" w:color="auto"/>
              <w:right w:val="single" w:sz="4" w:space="0" w:color="auto"/>
            </w:tcBorders>
            <w:shd w:val="clear" w:color="auto" w:fill="auto"/>
            <w:vAlign w:val="bottom"/>
          </w:tcPr>
          <w:p w14:paraId="7D9437F8" w14:textId="77777777" w:rsidR="009D4A93" w:rsidRPr="00536CFD" w:rsidRDefault="009D4A93" w:rsidP="009D4A93">
            <w:pPr>
              <w:spacing w:after="0"/>
              <w:jc w:val="center"/>
              <w:rPr>
                <w:lang w:val="zh-CN"/>
              </w:rPr>
            </w:pPr>
            <w:r w:rsidRPr="00536CFD">
              <w:rPr>
                <w:lang w:val="zh-CN"/>
              </w:rPr>
              <w:t>172,55</w:t>
            </w:r>
          </w:p>
        </w:tc>
        <w:tc>
          <w:tcPr>
            <w:tcW w:w="720" w:type="dxa"/>
            <w:tcBorders>
              <w:top w:val="single" w:sz="4" w:space="0" w:color="auto"/>
              <w:left w:val="nil"/>
              <w:bottom w:val="single" w:sz="4" w:space="0" w:color="auto"/>
              <w:right w:val="single" w:sz="4" w:space="0" w:color="auto"/>
            </w:tcBorders>
            <w:shd w:val="clear" w:color="auto" w:fill="auto"/>
            <w:vAlign w:val="bottom"/>
          </w:tcPr>
          <w:p w14:paraId="3A341C88" w14:textId="77777777" w:rsidR="009D4A93" w:rsidRPr="00536CFD" w:rsidRDefault="009D4A93" w:rsidP="009D4A93">
            <w:pPr>
              <w:spacing w:after="0"/>
              <w:jc w:val="center"/>
              <w:rPr>
                <w:lang w:val="zh-CN"/>
              </w:rPr>
            </w:pPr>
            <w:r w:rsidRPr="00536CFD">
              <w:rPr>
                <w:lang w:val="zh-CN"/>
              </w:rPr>
              <w:t>129,67</w:t>
            </w:r>
          </w:p>
        </w:tc>
        <w:tc>
          <w:tcPr>
            <w:tcW w:w="724" w:type="dxa"/>
            <w:tcBorders>
              <w:top w:val="single" w:sz="4" w:space="0" w:color="auto"/>
              <w:left w:val="nil"/>
              <w:bottom w:val="single" w:sz="4" w:space="0" w:color="auto"/>
              <w:right w:val="single" w:sz="4" w:space="0" w:color="auto"/>
            </w:tcBorders>
            <w:shd w:val="clear" w:color="auto" w:fill="auto"/>
            <w:vAlign w:val="bottom"/>
          </w:tcPr>
          <w:p w14:paraId="7C37558F" w14:textId="77777777" w:rsidR="009D4A93" w:rsidRPr="00536CFD" w:rsidRDefault="009D4A93" w:rsidP="009D4A93">
            <w:pPr>
              <w:spacing w:after="0"/>
              <w:jc w:val="center"/>
              <w:rPr>
                <w:lang w:val="zh-CN"/>
              </w:rPr>
            </w:pPr>
            <w:r w:rsidRPr="00536CFD">
              <w:rPr>
                <w:lang w:val="zh-CN"/>
              </w:rPr>
              <w:t>398,35</w:t>
            </w:r>
          </w:p>
        </w:tc>
        <w:tc>
          <w:tcPr>
            <w:tcW w:w="896" w:type="dxa"/>
            <w:tcBorders>
              <w:top w:val="single" w:sz="4" w:space="0" w:color="auto"/>
              <w:left w:val="nil"/>
              <w:bottom w:val="single" w:sz="4" w:space="0" w:color="auto"/>
              <w:right w:val="single" w:sz="4" w:space="0" w:color="auto"/>
            </w:tcBorders>
            <w:shd w:val="clear" w:color="auto" w:fill="auto"/>
            <w:vAlign w:val="bottom"/>
          </w:tcPr>
          <w:p w14:paraId="71DA4C14" w14:textId="77777777" w:rsidR="009D4A93" w:rsidRPr="00536CFD" w:rsidRDefault="009D4A93" w:rsidP="009D4A93">
            <w:pPr>
              <w:spacing w:after="0"/>
              <w:jc w:val="center"/>
              <w:rPr>
                <w:lang w:val="zh-CN"/>
              </w:rPr>
            </w:pPr>
            <w:r w:rsidRPr="00536CFD">
              <w:rPr>
                <w:lang w:val="zh-CN"/>
              </w:rPr>
              <w:t>304,75</w:t>
            </w:r>
          </w:p>
        </w:tc>
        <w:tc>
          <w:tcPr>
            <w:tcW w:w="720" w:type="dxa"/>
            <w:tcBorders>
              <w:top w:val="single" w:sz="4" w:space="0" w:color="auto"/>
              <w:left w:val="nil"/>
              <w:bottom w:val="single" w:sz="4" w:space="0" w:color="auto"/>
              <w:right w:val="single" w:sz="4" w:space="0" w:color="auto"/>
            </w:tcBorders>
            <w:shd w:val="clear" w:color="auto" w:fill="auto"/>
            <w:vAlign w:val="bottom"/>
          </w:tcPr>
          <w:p w14:paraId="5EA5824A" w14:textId="77777777" w:rsidR="009D4A93" w:rsidRPr="00536CFD" w:rsidRDefault="009D4A93" w:rsidP="009D4A93">
            <w:pPr>
              <w:spacing w:after="0"/>
              <w:jc w:val="center"/>
              <w:rPr>
                <w:lang w:val="zh-CN"/>
              </w:rPr>
            </w:pPr>
            <w:r w:rsidRPr="00536CFD">
              <w:rPr>
                <w:lang w:val="zh-CN"/>
              </w:rPr>
              <w:t>274,75</w:t>
            </w:r>
          </w:p>
        </w:tc>
        <w:tc>
          <w:tcPr>
            <w:tcW w:w="720" w:type="dxa"/>
            <w:tcBorders>
              <w:top w:val="single" w:sz="4" w:space="0" w:color="auto"/>
              <w:left w:val="nil"/>
              <w:bottom w:val="single" w:sz="4" w:space="0" w:color="auto"/>
              <w:right w:val="single" w:sz="4" w:space="0" w:color="auto"/>
            </w:tcBorders>
            <w:shd w:val="clear" w:color="auto" w:fill="auto"/>
            <w:vAlign w:val="bottom"/>
          </w:tcPr>
          <w:p w14:paraId="0E8447CC" w14:textId="77777777" w:rsidR="009D4A93" w:rsidRPr="00536CFD" w:rsidRDefault="009D4A93" w:rsidP="009D4A93">
            <w:pPr>
              <w:spacing w:after="0"/>
              <w:jc w:val="center"/>
              <w:rPr>
                <w:lang w:val="zh-CN"/>
              </w:rPr>
            </w:pPr>
            <w:r w:rsidRPr="00536CFD">
              <w:rPr>
                <w:lang w:val="zh-CN"/>
              </w:rPr>
              <w:t>138,97</w:t>
            </w:r>
          </w:p>
        </w:tc>
      </w:tr>
      <w:tr w:rsidR="009D4A93" w:rsidRPr="00536CFD" w14:paraId="762AB5B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EE42AB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24727E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ED209E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1AD2C5FA" w14:textId="77777777" w:rsidR="009D4A93" w:rsidRPr="00536CFD" w:rsidRDefault="009D4A93" w:rsidP="009D4A93">
            <w:pPr>
              <w:spacing w:after="0"/>
              <w:jc w:val="center"/>
              <w:rPr>
                <w:lang w:val="zh-CN"/>
              </w:rPr>
            </w:pPr>
            <w:r w:rsidRPr="00536CFD">
              <w:rPr>
                <w:lang w:val="zh-CN"/>
              </w:rPr>
              <w:t>550,71</w:t>
            </w:r>
          </w:p>
        </w:tc>
        <w:tc>
          <w:tcPr>
            <w:tcW w:w="720" w:type="dxa"/>
            <w:tcBorders>
              <w:top w:val="single" w:sz="4" w:space="0" w:color="auto"/>
              <w:left w:val="nil"/>
              <w:bottom w:val="single" w:sz="4" w:space="0" w:color="auto"/>
              <w:right w:val="single" w:sz="4" w:space="0" w:color="auto"/>
            </w:tcBorders>
            <w:shd w:val="clear" w:color="auto" w:fill="auto"/>
            <w:vAlign w:val="bottom"/>
          </w:tcPr>
          <w:p w14:paraId="2301C03E" w14:textId="77777777" w:rsidR="009D4A93" w:rsidRPr="00536CFD" w:rsidRDefault="009D4A93" w:rsidP="009D4A93">
            <w:pPr>
              <w:spacing w:after="0"/>
              <w:jc w:val="center"/>
              <w:rPr>
                <w:lang w:val="zh-CN"/>
              </w:rPr>
            </w:pPr>
            <w:r w:rsidRPr="00536CFD">
              <w:rPr>
                <w:lang w:val="zh-CN"/>
              </w:rPr>
              <w:t>548,54</w:t>
            </w:r>
          </w:p>
        </w:tc>
        <w:tc>
          <w:tcPr>
            <w:tcW w:w="720" w:type="dxa"/>
            <w:tcBorders>
              <w:top w:val="single" w:sz="4" w:space="0" w:color="auto"/>
              <w:left w:val="nil"/>
              <w:bottom w:val="single" w:sz="4" w:space="0" w:color="auto"/>
              <w:right w:val="single" w:sz="4" w:space="0" w:color="auto"/>
            </w:tcBorders>
            <w:shd w:val="clear" w:color="auto" w:fill="auto"/>
            <w:vAlign w:val="bottom"/>
          </w:tcPr>
          <w:p w14:paraId="1538DBC0" w14:textId="77777777" w:rsidR="009D4A93" w:rsidRPr="00536CFD" w:rsidRDefault="009D4A93" w:rsidP="009D4A93">
            <w:pPr>
              <w:spacing w:after="0"/>
              <w:jc w:val="center"/>
              <w:rPr>
                <w:lang w:val="zh-CN"/>
              </w:rPr>
            </w:pPr>
            <w:r w:rsidRPr="00536CFD">
              <w:rPr>
                <w:lang w:val="zh-CN"/>
              </w:rPr>
              <w:t>496,94</w:t>
            </w:r>
          </w:p>
        </w:tc>
        <w:tc>
          <w:tcPr>
            <w:tcW w:w="810" w:type="dxa"/>
            <w:tcBorders>
              <w:top w:val="single" w:sz="4" w:space="0" w:color="auto"/>
              <w:left w:val="nil"/>
              <w:bottom w:val="single" w:sz="4" w:space="0" w:color="auto"/>
              <w:right w:val="single" w:sz="4" w:space="0" w:color="auto"/>
            </w:tcBorders>
            <w:shd w:val="clear" w:color="auto" w:fill="auto"/>
            <w:vAlign w:val="bottom"/>
          </w:tcPr>
          <w:p w14:paraId="41530454" w14:textId="77777777" w:rsidR="009D4A93" w:rsidRPr="00536CFD" w:rsidRDefault="009D4A93" w:rsidP="009D4A93">
            <w:pPr>
              <w:spacing w:after="0"/>
              <w:jc w:val="center"/>
              <w:rPr>
                <w:lang w:val="zh-CN"/>
              </w:rPr>
            </w:pPr>
            <w:r w:rsidRPr="00536CFD">
              <w:rPr>
                <w:lang w:val="zh-CN"/>
              </w:rPr>
              <w:t>269,00</w:t>
            </w:r>
          </w:p>
        </w:tc>
        <w:tc>
          <w:tcPr>
            <w:tcW w:w="810" w:type="dxa"/>
            <w:tcBorders>
              <w:top w:val="single" w:sz="4" w:space="0" w:color="auto"/>
              <w:left w:val="nil"/>
              <w:bottom w:val="single" w:sz="4" w:space="0" w:color="auto"/>
              <w:right w:val="single" w:sz="4" w:space="0" w:color="auto"/>
            </w:tcBorders>
            <w:shd w:val="clear" w:color="auto" w:fill="auto"/>
            <w:vAlign w:val="bottom"/>
          </w:tcPr>
          <w:p w14:paraId="28D9F178" w14:textId="77777777" w:rsidR="009D4A93" w:rsidRPr="00536CFD" w:rsidRDefault="009D4A93" w:rsidP="009D4A93">
            <w:pPr>
              <w:spacing w:after="0"/>
              <w:jc w:val="center"/>
              <w:rPr>
                <w:lang w:val="zh-CN"/>
              </w:rPr>
            </w:pPr>
            <w:r w:rsidRPr="00536CFD">
              <w:rPr>
                <w:lang w:val="zh-CN"/>
              </w:rPr>
              <w:t>1301,15</w:t>
            </w:r>
          </w:p>
        </w:tc>
        <w:tc>
          <w:tcPr>
            <w:tcW w:w="820" w:type="dxa"/>
            <w:tcBorders>
              <w:top w:val="single" w:sz="4" w:space="0" w:color="auto"/>
              <w:left w:val="nil"/>
              <w:bottom w:val="single" w:sz="4" w:space="0" w:color="auto"/>
              <w:right w:val="single" w:sz="4" w:space="0" w:color="auto"/>
            </w:tcBorders>
            <w:shd w:val="clear" w:color="auto" w:fill="auto"/>
            <w:vAlign w:val="bottom"/>
          </w:tcPr>
          <w:p w14:paraId="4C115219" w14:textId="77777777" w:rsidR="009D4A93" w:rsidRPr="00536CFD" w:rsidRDefault="009D4A93" w:rsidP="009D4A93">
            <w:pPr>
              <w:spacing w:after="0"/>
              <w:jc w:val="center"/>
              <w:rPr>
                <w:lang w:val="zh-CN"/>
              </w:rPr>
            </w:pPr>
            <w:r w:rsidRPr="00536CFD">
              <w:rPr>
                <w:lang w:val="zh-CN"/>
              </w:rPr>
              <w:t>1140,48</w:t>
            </w:r>
          </w:p>
        </w:tc>
        <w:tc>
          <w:tcPr>
            <w:tcW w:w="800" w:type="dxa"/>
            <w:tcBorders>
              <w:top w:val="single" w:sz="4" w:space="0" w:color="auto"/>
              <w:left w:val="nil"/>
              <w:bottom w:val="single" w:sz="4" w:space="0" w:color="auto"/>
              <w:right w:val="single" w:sz="4" w:space="0" w:color="auto"/>
            </w:tcBorders>
            <w:shd w:val="clear" w:color="auto" w:fill="auto"/>
            <w:vAlign w:val="bottom"/>
          </w:tcPr>
          <w:p w14:paraId="4F876A30" w14:textId="77777777" w:rsidR="009D4A93" w:rsidRPr="00536CFD" w:rsidRDefault="009D4A93" w:rsidP="009D4A93">
            <w:pPr>
              <w:spacing w:after="0"/>
              <w:jc w:val="center"/>
              <w:rPr>
                <w:lang w:val="zh-CN"/>
              </w:rPr>
            </w:pPr>
            <w:r w:rsidRPr="00536CFD">
              <w:rPr>
                <w:lang w:val="zh-CN"/>
              </w:rPr>
              <w:t>824,32</w:t>
            </w:r>
          </w:p>
        </w:tc>
        <w:tc>
          <w:tcPr>
            <w:tcW w:w="720" w:type="dxa"/>
            <w:tcBorders>
              <w:top w:val="single" w:sz="4" w:space="0" w:color="auto"/>
              <w:left w:val="nil"/>
              <w:bottom w:val="single" w:sz="4" w:space="0" w:color="auto"/>
              <w:right w:val="single" w:sz="4" w:space="0" w:color="auto"/>
            </w:tcBorders>
            <w:shd w:val="clear" w:color="auto" w:fill="auto"/>
            <w:vAlign w:val="bottom"/>
          </w:tcPr>
          <w:p w14:paraId="19019CDD" w14:textId="77777777" w:rsidR="009D4A93" w:rsidRPr="00536CFD" w:rsidRDefault="009D4A93" w:rsidP="009D4A93">
            <w:pPr>
              <w:spacing w:after="0"/>
              <w:jc w:val="center"/>
              <w:rPr>
                <w:lang w:val="zh-CN"/>
              </w:rPr>
            </w:pPr>
            <w:r w:rsidRPr="00536CFD">
              <w:rPr>
                <w:lang w:val="zh-CN"/>
              </w:rPr>
              <w:t>292,93</w:t>
            </w:r>
          </w:p>
        </w:tc>
        <w:tc>
          <w:tcPr>
            <w:tcW w:w="724" w:type="dxa"/>
            <w:tcBorders>
              <w:top w:val="single" w:sz="4" w:space="0" w:color="auto"/>
              <w:left w:val="nil"/>
              <w:bottom w:val="single" w:sz="4" w:space="0" w:color="auto"/>
              <w:right w:val="single" w:sz="4" w:space="0" w:color="auto"/>
            </w:tcBorders>
            <w:shd w:val="clear" w:color="auto" w:fill="auto"/>
            <w:vAlign w:val="bottom"/>
          </w:tcPr>
          <w:p w14:paraId="6DEB9390" w14:textId="77777777" w:rsidR="009D4A93" w:rsidRPr="00536CFD" w:rsidRDefault="009D4A93" w:rsidP="009D4A93">
            <w:pPr>
              <w:spacing w:after="0"/>
              <w:jc w:val="center"/>
              <w:rPr>
                <w:lang w:val="zh-CN"/>
              </w:rPr>
            </w:pPr>
            <w:r w:rsidRPr="00536CFD">
              <w:rPr>
                <w:lang w:val="zh-CN"/>
              </w:rPr>
              <w:t>3245,64</w:t>
            </w:r>
          </w:p>
        </w:tc>
        <w:tc>
          <w:tcPr>
            <w:tcW w:w="896" w:type="dxa"/>
            <w:tcBorders>
              <w:top w:val="single" w:sz="4" w:space="0" w:color="auto"/>
              <w:left w:val="nil"/>
              <w:bottom w:val="single" w:sz="4" w:space="0" w:color="auto"/>
              <w:right w:val="single" w:sz="4" w:space="0" w:color="auto"/>
            </w:tcBorders>
            <w:shd w:val="clear" w:color="auto" w:fill="auto"/>
            <w:vAlign w:val="bottom"/>
          </w:tcPr>
          <w:p w14:paraId="0188EDE2" w14:textId="77777777" w:rsidR="009D4A93" w:rsidRPr="00536CFD" w:rsidRDefault="009D4A93" w:rsidP="009D4A93">
            <w:pPr>
              <w:spacing w:after="0"/>
              <w:jc w:val="center"/>
              <w:rPr>
                <w:lang w:val="zh-CN"/>
              </w:rPr>
            </w:pPr>
            <w:r w:rsidRPr="00536CFD">
              <w:rPr>
                <w:lang w:val="zh-CN"/>
              </w:rPr>
              <w:t>2660,31</w:t>
            </w:r>
          </w:p>
        </w:tc>
        <w:tc>
          <w:tcPr>
            <w:tcW w:w="720" w:type="dxa"/>
            <w:tcBorders>
              <w:top w:val="single" w:sz="4" w:space="0" w:color="auto"/>
              <w:left w:val="nil"/>
              <w:bottom w:val="single" w:sz="4" w:space="0" w:color="auto"/>
              <w:right w:val="single" w:sz="4" w:space="0" w:color="auto"/>
            </w:tcBorders>
            <w:shd w:val="clear" w:color="auto" w:fill="auto"/>
            <w:vAlign w:val="bottom"/>
          </w:tcPr>
          <w:p w14:paraId="7D1AA03C" w14:textId="77777777" w:rsidR="009D4A93" w:rsidRPr="00536CFD" w:rsidRDefault="009D4A93" w:rsidP="009D4A93">
            <w:pPr>
              <w:spacing w:after="0"/>
              <w:jc w:val="center"/>
              <w:rPr>
                <w:lang w:val="zh-CN"/>
              </w:rPr>
            </w:pPr>
            <w:r w:rsidRPr="00536CFD">
              <w:rPr>
                <w:lang w:val="zh-CN"/>
              </w:rPr>
              <w:t>1694,62</w:t>
            </w:r>
          </w:p>
        </w:tc>
        <w:tc>
          <w:tcPr>
            <w:tcW w:w="720" w:type="dxa"/>
            <w:tcBorders>
              <w:top w:val="single" w:sz="4" w:space="0" w:color="auto"/>
              <w:left w:val="nil"/>
              <w:bottom w:val="single" w:sz="4" w:space="0" w:color="auto"/>
              <w:right w:val="single" w:sz="4" w:space="0" w:color="auto"/>
            </w:tcBorders>
            <w:shd w:val="clear" w:color="auto" w:fill="auto"/>
            <w:vAlign w:val="bottom"/>
          </w:tcPr>
          <w:p w14:paraId="0182134A" w14:textId="77777777" w:rsidR="009D4A93" w:rsidRPr="00536CFD" w:rsidRDefault="009D4A93" w:rsidP="009D4A93">
            <w:pPr>
              <w:spacing w:after="0"/>
              <w:jc w:val="center"/>
              <w:rPr>
                <w:lang w:val="zh-CN"/>
              </w:rPr>
            </w:pPr>
            <w:r w:rsidRPr="00536CFD">
              <w:rPr>
                <w:lang w:val="zh-CN"/>
              </w:rPr>
              <w:t>376,14</w:t>
            </w:r>
          </w:p>
        </w:tc>
      </w:tr>
      <w:tr w:rsidR="009D4A93" w:rsidRPr="00536CFD" w14:paraId="0EFB668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F89A09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DE2C34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F6B6A3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16D79D60" w14:textId="77777777" w:rsidR="009D4A93" w:rsidRPr="00536CFD" w:rsidRDefault="009D4A93" w:rsidP="009D4A93">
            <w:pPr>
              <w:spacing w:after="0"/>
              <w:jc w:val="center"/>
              <w:rPr>
                <w:lang w:val="zh-CN"/>
              </w:rPr>
            </w:pPr>
            <w:r w:rsidRPr="00536CFD">
              <w:rPr>
                <w:lang w:val="zh-CN"/>
              </w:rPr>
              <w:t>190,20</w:t>
            </w:r>
          </w:p>
        </w:tc>
        <w:tc>
          <w:tcPr>
            <w:tcW w:w="720" w:type="dxa"/>
            <w:tcBorders>
              <w:top w:val="single" w:sz="4" w:space="0" w:color="auto"/>
              <w:left w:val="nil"/>
              <w:bottom w:val="single" w:sz="4" w:space="0" w:color="auto"/>
              <w:right w:val="single" w:sz="4" w:space="0" w:color="auto"/>
            </w:tcBorders>
            <w:shd w:val="clear" w:color="auto" w:fill="auto"/>
            <w:vAlign w:val="bottom"/>
          </w:tcPr>
          <w:p w14:paraId="68BD1EF9" w14:textId="77777777" w:rsidR="009D4A93" w:rsidRPr="00536CFD" w:rsidRDefault="009D4A93" w:rsidP="009D4A93">
            <w:pPr>
              <w:spacing w:after="0"/>
              <w:jc w:val="center"/>
              <w:rPr>
                <w:lang w:val="zh-CN"/>
              </w:rPr>
            </w:pPr>
            <w:r w:rsidRPr="00536CFD">
              <w:rPr>
                <w:lang w:val="zh-CN"/>
              </w:rPr>
              <w:t>192,89</w:t>
            </w:r>
          </w:p>
        </w:tc>
        <w:tc>
          <w:tcPr>
            <w:tcW w:w="720" w:type="dxa"/>
            <w:tcBorders>
              <w:top w:val="single" w:sz="4" w:space="0" w:color="auto"/>
              <w:left w:val="nil"/>
              <w:bottom w:val="single" w:sz="4" w:space="0" w:color="auto"/>
              <w:right w:val="single" w:sz="4" w:space="0" w:color="auto"/>
            </w:tcBorders>
            <w:shd w:val="clear" w:color="auto" w:fill="auto"/>
            <w:vAlign w:val="bottom"/>
          </w:tcPr>
          <w:p w14:paraId="3A5A3204" w14:textId="77777777" w:rsidR="009D4A93" w:rsidRPr="00536CFD" w:rsidRDefault="009D4A93" w:rsidP="009D4A93">
            <w:pPr>
              <w:spacing w:after="0"/>
              <w:jc w:val="center"/>
              <w:rPr>
                <w:lang w:val="zh-CN"/>
              </w:rPr>
            </w:pPr>
            <w:r w:rsidRPr="00536CFD">
              <w:rPr>
                <w:lang w:val="zh-CN"/>
              </w:rPr>
              <w:t>197,54</w:t>
            </w:r>
          </w:p>
        </w:tc>
        <w:tc>
          <w:tcPr>
            <w:tcW w:w="810" w:type="dxa"/>
            <w:tcBorders>
              <w:top w:val="single" w:sz="4" w:space="0" w:color="auto"/>
              <w:left w:val="nil"/>
              <w:bottom w:val="single" w:sz="4" w:space="0" w:color="auto"/>
              <w:right w:val="single" w:sz="4" w:space="0" w:color="auto"/>
            </w:tcBorders>
            <w:shd w:val="clear" w:color="auto" w:fill="auto"/>
            <w:vAlign w:val="bottom"/>
          </w:tcPr>
          <w:p w14:paraId="313D8B16" w14:textId="77777777" w:rsidR="009D4A93" w:rsidRPr="00536CFD" w:rsidRDefault="009D4A93" w:rsidP="009D4A93">
            <w:pPr>
              <w:spacing w:after="0"/>
              <w:jc w:val="center"/>
              <w:rPr>
                <w:lang w:val="zh-CN"/>
              </w:rPr>
            </w:pPr>
            <w:r w:rsidRPr="00536CFD">
              <w:rPr>
                <w:lang w:val="zh-CN"/>
              </w:rPr>
              <w:t>186,67</w:t>
            </w:r>
          </w:p>
        </w:tc>
        <w:tc>
          <w:tcPr>
            <w:tcW w:w="810" w:type="dxa"/>
            <w:tcBorders>
              <w:top w:val="single" w:sz="4" w:space="0" w:color="auto"/>
              <w:left w:val="nil"/>
              <w:bottom w:val="single" w:sz="4" w:space="0" w:color="auto"/>
              <w:right w:val="single" w:sz="4" w:space="0" w:color="auto"/>
            </w:tcBorders>
            <w:shd w:val="clear" w:color="auto" w:fill="auto"/>
            <w:vAlign w:val="bottom"/>
          </w:tcPr>
          <w:p w14:paraId="210D9759" w14:textId="77777777" w:rsidR="009D4A93" w:rsidRPr="00536CFD" w:rsidRDefault="009D4A93" w:rsidP="009D4A93">
            <w:pPr>
              <w:spacing w:after="0"/>
              <w:jc w:val="center"/>
              <w:rPr>
                <w:lang w:val="zh-CN"/>
              </w:rPr>
            </w:pPr>
            <w:r w:rsidRPr="00536CFD">
              <w:rPr>
                <w:lang w:val="zh-CN"/>
              </w:rPr>
              <w:t>379,81</w:t>
            </w:r>
          </w:p>
        </w:tc>
        <w:tc>
          <w:tcPr>
            <w:tcW w:w="820" w:type="dxa"/>
            <w:tcBorders>
              <w:top w:val="single" w:sz="4" w:space="0" w:color="auto"/>
              <w:left w:val="nil"/>
              <w:bottom w:val="single" w:sz="4" w:space="0" w:color="auto"/>
              <w:right w:val="single" w:sz="4" w:space="0" w:color="auto"/>
            </w:tcBorders>
            <w:shd w:val="clear" w:color="auto" w:fill="auto"/>
            <w:vAlign w:val="bottom"/>
          </w:tcPr>
          <w:p w14:paraId="2173E855" w14:textId="77777777" w:rsidR="009D4A93" w:rsidRPr="00536CFD" w:rsidRDefault="009D4A93" w:rsidP="009D4A93">
            <w:pPr>
              <w:spacing w:after="0"/>
              <w:jc w:val="center"/>
              <w:rPr>
                <w:lang w:val="zh-CN"/>
              </w:rPr>
            </w:pPr>
            <w:r w:rsidRPr="00536CFD">
              <w:rPr>
                <w:lang w:val="zh-CN"/>
              </w:rPr>
              <w:t>352,00</w:t>
            </w:r>
          </w:p>
        </w:tc>
        <w:tc>
          <w:tcPr>
            <w:tcW w:w="800" w:type="dxa"/>
            <w:tcBorders>
              <w:top w:val="single" w:sz="4" w:space="0" w:color="auto"/>
              <w:left w:val="nil"/>
              <w:bottom w:val="single" w:sz="4" w:space="0" w:color="auto"/>
              <w:right w:val="single" w:sz="4" w:space="0" w:color="auto"/>
            </w:tcBorders>
            <w:shd w:val="clear" w:color="auto" w:fill="auto"/>
            <w:vAlign w:val="bottom"/>
          </w:tcPr>
          <w:p w14:paraId="76A4C4CA" w14:textId="77777777" w:rsidR="009D4A93" w:rsidRPr="00536CFD" w:rsidRDefault="009D4A93" w:rsidP="009D4A93">
            <w:pPr>
              <w:spacing w:after="0"/>
              <w:jc w:val="center"/>
              <w:rPr>
                <w:lang w:val="zh-CN"/>
              </w:rPr>
            </w:pPr>
            <w:r w:rsidRPr="00536CFD">
              <w:rPr>
                <w:lang w:val="zh-CN"/>
              </w:rPr>
              <w:t>301,40</w:t>
            </w:r>
          </w:p>
        </w:tc>
        <w:tc>
          <w:tcPr>
            <w:tcW w:w="720" w:type="dxa"/>
            <w:tcBorders>
              <w:top w:val="single" w:sz="4" w:space="0" w:color="auto"/>
              <w:left w:val="nil"/>
              <w:bottom w:val="single" w:sz="4" w:space="0" w:color="auto"/>
              <w:right w:val="single" w:sz="4" w:space="0" w:color="auto"/>
            </w:tcBorders>
            <w:shd w:val="clear" w:color="auto" w:fill="auto"/>
            <w:vAlign w:val="bottom"/>
          </w:tcPr>
          <w:p w14:paraId="2A1E7744" w14:textId="77777777" w:rsidR="009D4A93" w:rsidRPr="00536CFD" w:rsidRDefault="009D4A93" w:rsidP="009D4A93">
            <w:pPr>
              <w:spacing w:after="0"/>
              <w:jc w:val="center"/>
              <w:rPr>
                <w:lang w:val="zh-CN"/>
              </w:rPr>
            </w:pPr>
            <w:r w:rsidRPr="00536CFD">
              <w:rPr>
                <w:lang w:val="zh-CN"/>
              </w:rPr>
              <w:t>172,35</w:t>
            </w:r>
          </w:p>
        </w:tc>
        <w:tc>
          <w:tcPr>
            <w:tcW w:w="724" w:type="dxa"/>
            <w:tcBorders>
              <w:top w:val="single" w:sz="4" w:space="0" w:color="auto"/>
              <w:left w:val="nil"/>
              <w:bottom w:val="single" w:sz="4" w:space="0" w:color="auto"/>
              <w:right w:val="single" w:sz="4" w:space="0" w:color="auto"/>
            </w:tcBorders>
            <w:shd w:val="clear" w:color="auto" w:fill="auto"/>
            <w:vAlign w:val="bottom"/>
          </w:tcPr>
          <w:p w14:paraId="6DD2252C" w14:textId="77777777" w:rsidR="009D4A93" w:rsidRPr="00536CFD" w:rsidRDefault="009D4A93" w:rsidP="009D4A93">
            <w:pPr>
              <w:spacing w:after="0"/>
              <w:jc w:val="center"/>
              <w:rPr>
                <w:lang w:val="zh-CN"/>
              </w:rPr>
            </w:pPr>
            <w:r w:rsidRPr="00536CFD">
              <w:rPr>
                <w:lang w:val="zh-CN"/>
              </w:rPr>
              <w:t>869,47</w:t>
            </w:r>
          </w:p>
        </w:tc>
        <w:tc>
          <w:tcPr>
            <w:tcW w:w="896" w:type="dxa"/>
            <w:tcBorders>
              <w:top w:val="single" w:sz="4" w:space="0" w:color="auto"/>
              <w:left w:val="nil"/>
              <w:bottom w:val="single" w:sz="4" w:space="0" w:color="auto"/>
              <w:right w:val="single" w:sz="4" w:space="0" w:color="auto"/>
            </w:tcBorders>
            <w:shd w:val="clear" w:color="auto" w:fill="auto"/>
            <w:vAlign w:val="bottom"/>
          </w:tcPr>
          <w:p w14:paraId="31E8EF0A" w14:textId="77777777" w:rsidR="009D4A93" w:rsidRPr="00536CFD" w:rsidRDefault="009D4A93" w:rsidP="009D4A93">
            <w:pPr>
              <w:spacing w:after="0"/>
              <w:jc w:val="center"/>
              <w:rPr>
                <w:lang w:val="zh-CN"/>
              </w:rPr>
            </w:pPr>
            <w:r w:rsidRPr="00536CFD">
              <w:rPr>
                <w:lang w:val="zh-CN"/>
              </w:rPr>
              <w:t>700,39</w:t>
            </w:r>
          </w:p>
        </w:tc>
        <w:tc>
          <w:tcPr>
            <w:tcW w:w="720" w:type="dxa"/>
            <w:tcBorders>
              <w:top w:val="single" w:sz="4" w:space="0" w:color="auto"/>
              <w:left w:val="nil"/>
              <w:bottom w:val="single" w:sz="4" w:space="0" w:color="auto"/>
              <w:right w:val="single" w:sz="4" w:space="0" w:color="auto"/>
            </w:tcBorders>
            <w:shd w:val="clear" w:color="auto" w:fill="auto"/>
            <w:vAlign w:val="bottom"/>
          </w:tcPr>
          <w:p w14:paraId="50271565" w14:textId="77777777" w:rsidR="009D4A93" w:rsidRPr="00536CFD" w:rsidRDefault="009D4A93" w:rsidP="009D4A93">
            <w:pPr>
              <w:spacing w:after="0"/>
              <w:jc w:val="center"/>
              <w:rPr>
                <w:lang w:val="zh-CN"/>
              </w:rPr>
            </w:pPr>
            <w:r w:rsidRPr="00536CFD">
              <w:rPr>
                <w:lang w:val="zh-CN"/>
              </w:rPr>
              <w:t>517,89</w:t>
            </w:r>
          </w:p>
        </w:tc>
        <w:tc>
          <w:tcPr>
            <w:tcW w:w="720" w:type="dxa"/>
            <w:tcBorders>
              <w:top w:val="single" w:sz="4" w:space="0" w:color="auto"/>
              <w:left w:val="nil"/>
              <w:bottom w:val="single" w:sz="4" w:space="0" w:color="auto"/>
              <w:right w:val="single" w:sz="4" w:space="0" w:color="auto"/>
            </w:tcBorders>
            <w:shd w:val="clear" w:color="auto" w:fill="auto"/>
            <w:vAlign w:val="bottom"/>
          </w:tcPr>
          <w:p w14:paraId="066C9777" w14:textId="77777777" w:rsidR="009D4A93" w:rsidRPr="00536CFD" w:rsidRDefault="009D4A93" w:rsidP="009D4A93">
            <w:pPr>
              <w:spacing w:after="0"/>
              <w:jc w:val="center"/>
              <w:rPr>
                <w:lang w:val="zh-CN"/>
              </w:rPr>
            </w:pPr>
            <w:r w:rsidRPr="00536CFD">
              <w:rPr>
                <w:lang w:val="zh-CN"/>
              </w:rPr>
              <w:t>202,12</w:t>
            </w:r>
          </w:p>
        </w:tc>
      </w:tr>
      <w:tr w:rsidR="009D4A93" w:rsidRPr="00536CFD" w14:paraId="7D457AC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D9A238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D512ED4"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vAlign w:val="bottom"/>
          </w:tcPr>
          <w:p w14:paraId="2E7E7DD8" w14:textId="77777777" w:rsidR="009D4A93" w:rsidRPr="00536CFD" w:rsidRDefault="009D4A93" w:rsidP="009D4A93">
            <w:pPr>
              <w:spacing w:after="0"/>
              <w:jc w:val="center"/>
              <w:rPr>
                <w:lang w:val="zh-CN"/>
              </w:rPr>
            </w:pPr>
            <w:r w:rsidRPr="00536CFD">
              <w:rPr>
                <w:lang w:val="zh-CN"/>
              </w:rPr>
              <w:t>0,92</w:t>
            </w:r>
          </w:p>
        </w:tc>
        <w:tc>
          <w:tcPr>
            <w:tcW w:w="720" w:type="dxa"/>
            <w:tcBorders>
              <w:top w:val="single" w:sz="4" w:space="0" w:color="auto"/>
              <w:left w:val="nil"/>
              <w:bottom w:val="single" w:sz="4" w:space="0" w:color="auto"/>
              <w:right w:val="single" w:sz="4" w:space="0" w:color="auto"/>
            </w:tcBorders>
            <w:shd w:val="clear" w:color="auto" w:fill="auto"/>
            <w:vAlign w:val="bottom"/>
          </w:tcPr>
          <w:p w14:paraId="45AE80A4" w14:textId="77777777" w:rsidR="009D4A93" w:rsidRPr="00536CFD" w:rsidRDefault="009D4A93" w:rsidP="009D4A93">
            <w:pPr>
              <w:spacing w:after="0"/>
              <w:jc w:val="center"/>
              <w:rPr>
                <w:lang w:val="zh-CN"/>
              </w:rPr>
            </w:pPr>
            <w:r w:rsidRPr="00536CFD">
              <w:rPr>
                <w:lang w:val="zh-CN"/>
              </w:rPr>
              <w:t>0,88</w:t>
            </w:r>
          </w:p>
        </w:tc>
        <w:tc>
          <w:tcPr>
            <w:tcW w:w="720" w:type="dxa"/>
            <w:tcBorders>
              <w:top w:val="single" w:sz="4" w:space="0" w:color="auto"/>
              <w:left w:val="nil"/>
              <w:bottom w:val="single" w:sz="4" w:space="0" w:color="auto"/>
              <w:right w:val="single" w:sz="4" w:space="0" w:color="auto"/>
            </w:tcBorders>
            <w:shd w:val="clear" w:color="auto" w:fill="auto"/>
            <w:vAlign w:val="bottom"/>
          </w:tcPr>
          <w:p w14:paraId="5289DDC2" w14:textId="77777777" w:rsidR="009D4A93" w:rsidRPr="00536CFD" w:rsidRDefault="009D4A93" w:rsidP="009D4A93">
            <w:pPr>
              <w:spacing w:after="0"/>
              <w:jc w:val="center"/>
              <w:rPr>
                <w:lang w:val="zh-CN"/>
              </w:rPr>
            </w:pPr>
            <w:r w:rsidRPr="00536CFD">
              <w:rPr>
                <w:lang w:val="zh-CN"/>
              </w:rPr>
              <w:t>0,97</w:t>
            </w:r>
          </w:p>
        </w:tc>
        <w:tc>
          <w:tcPr>
            <w:tcW w:w="810" w:type="dxa"/>
            <w:tcBorders>
              <w:top w:val="single" w:sz="4" w:space="0" w:color="auto"/>
              <w:left w:val="nil"/>
              <w:bottom w:val="single" w:sz="4" w:space="0" w:color="auto"/>
              <w:right w:val="single" w:sz="4" w:space="0" w:color="auto"/>
            </w:tcBorders>
            <w:shd w:val="clear" w:color="auto" w:fill="auto"/>
            <w:vAlign w:val="bottom"/>
          </w:tcPr>
          <w:p w14:paraId="0E0D2E93"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2AC081BD" w14:textId="77777777" w:rsidR="009D4A93" w:rsidRPr="00536CFD" w:rsidRDefault="009D4A93" w:rsidP="009D4A93">
            <w:pPr>
              <w:spacing w:after="0"/>
              <w:jc w:val="center"/>
              <w:rPr>
                <w:lang w:val="zh-CN"/>
              </w:rPr>
            </w:pPr>
            <w:r w:rsidRPr="00536CFD">
              <w:rPr>
                <w:lang w:val="zh-CN"/>
              </w:rPr>
              <w:t>0,89</w:t>
            </w:r>
          </w:p>
        </w:tc>
        <w:tc>
          <w:tcPr>
            <w:tcW w:w="820" w:type="dxa"/>
            <w:tcBorders>
              <w:top w:val="single" w:sz="4" w:space="0" w:color="auto"/>
              <w:left w:val="nil"/>
              <w:bottom w:val="single" w:sz="4" w:space="0" w:color="auto"/>
              <w:right w:val="single" w:sz="4" w:space="0" w:color="auto"/>
            </w:tcBorders>
            <w:shd w:val="clear" w:color="auto" w:fill="auto"/>
            <w:vAlign w:val="bottom"/>
          </w:tcPr>
          <w:p w14:paraId="363DFC50" w14:textId="77777777" w:rsidR="009D4A93" w:rsidRPr="00536CFD" w:rsidRDefault="009D4A93" w:rsidP="009D4A93">
            <w:pPr>
              <w:spacing w:after="0"/>
              <w:jc w:val="center"/>
              <w:rPr>
                <w:lang w:val="zh-CN"/>
              </w:rPr>
            </w:pPr>
            <w:r w:rsidRPr="00536CFD">
              <w:rPr>
                <w:lang w:val="zh-CN"/>
              </w:rPr>
              <w:t>0,85</w:t>
            </w:r>
          </w:p>
        </w:tc>
        <w:tc>
          <w:tcPr>
            <w:tcW w:w="800" w:type="dxa"/>
            <w:tcBorders>
              <w:top w:val="single" w:sz="4" w:space="0" w:color="auto"/>
              <w:left w:val="nil"/>
              <w:bottom w:val="single" w:sz="4" w:space="0" w:color="auto"/>
              <w:right w:val="single" w:sz="4" w:space="0" w:color="auto"/>
            </w:tcBorders>
            <w:shd w:val="clear" w:color="auto" w:fill="auto"/>
            <w:vAlign w:val="bottom"/>
          </w:tcPr>
          <w:p w14:paraId="03055BF0" w14:textId="77777777" w:rsidR="009D4A93" w:rsidRPr="00536CFD" w:rsidRDefault="009D4A93" w:rsidP="009D4A93">
            <w:pPr>
              <w:spacing w:after="0"/>
              <w:jc w:val="center"/>
              <w:rPr>
                <w:lang w:val="zh-CN"/>
              </w:rPr>
            </w:pPr>
            <w:r w:rsidRPr="00536CFD">
              <w:rPr>
                <w:lang w:val="zh-CN"/>
              </w:rPr>
              <w:t>0,96</w:t>
            </w:r>
          </w:p>
        </w:tc>
        <w:tc>
          <w:tcPr>
            <w:tcW w:w="720" w:type="dxa"/>
            <w:tcBorders>
              <w:top w:val="single" w:sz="4" w:space="0" w:color="auto"/>
              <w:left w:val="nil"/>
              <w:bottom w:val="single" w:sz="4" w:space="0" w:color="auto"/>
              <w:right w:val="single" w:sz="4" w:space="0" w:color="auto"/>
            </w:tcBorders>
            <w:shd w:val="clear" w:color="auto" w:fill="auto"/>
            <w:vAlign w:val="bottom"/>
          </w:tcPr>
          <w:p w14:paraId="7FA4B59D"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6CD8476A" w14:textId="77777777" w:rsidR="009D4A93" w:rsidRPr="00536CFD" w:rsidRDefault="009D4A93" w:rsidP="009D4A93">
            <w:pPr>
              <w:spacing w:after="0"/>
              <w:jc w:val="center"/>
              <w:rPr>
                <w:lang w:val="zh-CN"/>
              </w:rPr>
            </w:pPr>
            <w:r w:rsidRPr="00536CFD">
              <w:rPr>
                <w:lang w:val="zh-CN"/>
              </w:rPr>
              <w:t>0,85</w:t>
            </w:r>
          </w:p>
        </w:tc>
        <w:tc>
          <w:tcPr>
            <w:tcW w:w="896" w:type="dxa"/>
            <w:tcBorders>
              <w:top w:val="single" w:sz="4" w:space="0" w:color="auto"/>
              <w:left w:val="nil"/>
              <w:bottom w:val="single" w:sz="4" w:space="0" w:color="auto"/>
              <w:right w:val="single" w:sz="4" w:space="0" w:color="auto"/>
            </w:tcBorders>
            <w:shd w:val="clear" w:color="auto" w:fill="auto"/>
            <w:vAlign w:val="bottom"/>
          </w:tcPr>
          <w:p w14:paraId="40389655" w14:textId="77777777" w:rsidR="009D4A93" w:rsidRPr="00536CFD" w:rsidRDefault="009D4A93" w:rsidP="009D4A93">
            <w:pPr>
              <w:spacing w:after="0"/>
              <w:jc w:val="center"/>
              <w:rPr>
                <w:lang w:val="zh-CN"/>
              </w:rPr>
            </w:pPr>
            <w:r w:rsidRPr="00536CFD">
              <w:rPr>
                <w:lang w:val="zh-CN"/>
              </w:rPr>
              <w:t>0,78</w:t>
            </w:r>
          </w:p>
        </w:tc>
        <w:tc>
          <w:tcPr>
            <w:tcW w:w="720" w:type="dxa"/>
            <w:tcBorders>
              <w:top w:val="single" w:sz="4" w:space="0" w:color="auto"/>
              <w:left w:val="nil"/>
              <w:bottom w:val="single" w:sz="4" w:space="0" w:color="auto"/>
              <w:right w:val="single" w:sz="4" w:space="0" w:color="auto"/>
            </w:tcBorders>
            <w:shd w:val="clear" w:color="auto" w:fill="auto"/>
            <w:vAlign w:val="bottom"/>
          </w:tcPr>
          <w:p w14:paraId="55EC1936" w14:textId="77777777" w:rsidR="009D4A93" w:rsidRPr="00536CFD" w:rsidRDefault="009D4A93" w:rsidP="009D4A93">
            <w:pPr>
              <w:spacing w:after="0"/>
              <w:jc w:val="center"/>
              <w:rPr>
                <w:lang w:val="zh-CN"/>
              </w:rPr>
            </w:pPr>
            <w:r w:rsidRPr="00536CFD">
              <w:rPr>
                <w:lang w:val="zh-CN"/>
              </w:rPr>
              <w:t>0,93</w:t>
            </w:r>
          </w:p>
        </w:tc>
        <w:tc>
          <w:tcPr>
            <w:tcW w:w="720" w:type="dxa"/>
            <w:tcBorders>
              <w:top w:val="single" w:sz="4" w:space="0" w:color="auto"/>
              <w:left w:val="nil"/>
              <w:bottom w:val="single" w:sz="4" w:space="0" w:color="auto"/>
              <w:right w:val="single" w:sz="4" w:space="0" w:color="auto"/>
            </w:tcBorders>
            <w:shd w:val="clear" w:color="auto" w:fill="auto"/>
            <w:vAlign w:val="bottom"/>
          </w:tcPr>
          <w:p w14:paraId="5D9020C1" w14:textId="77777777" w:rsidR="009D4A93" w:rsidRPr="00536CFD" w:rsidRDefault="009D4A93" w:rsidP="009D4A93">
            <w:pPr>
              <w:spacing w:after="0"/>
              <w:jc w:val="center"/>
              <w:rPr>
                <w:lang w:val="zh-CN"/>
              </w:rPr>
            </w:pPr>
            <w:r w:rsidRPr="00536CFD">
              <w:rPr>
                <w:lang w:val="zh-CN"/>
              </w:rPr>
              <w:t>0,99</w:t>
            </w:r>
          </w:p>
        </w:tc>
      </w:tr>
      <w:tr w:rsidR="009D4A93" w:rsidRPr="00536CFD" w14:paraId="5BCCC75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D842F5B"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319BB0F"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vAlign w:val="bottom"/>
          </w:tcPr>
          <w:p w14:paraId="0D29F1D0" w14:textId="77777777" w:rsidR="009D4A93" w:rsidRPr="00536CFD" w:rsidRDefault="009D4A93" w:rsidP="009D4A93">
            <w:pPr>
              <w:spacing w:after="0"/>
              <w:jc w:val="center"/>
              <w:rPr>
                <w:lang w:val="zh-CN"/>
              </w:rPr>
            </w:pPr>
            <w:r w:rsidRPr="00536CFD">
              <w:rPr>
                <w:lang w:val="zh-CN"/>
              </w:rPr>
              <w:t>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1D2E775B" w14:textId="77777777" w:rsidR="009D4A93" w:rsidRPr="00536CFD" w:rsidRDefault="009D4A93" w:rsidP="009D4A93">
            <w:pPr>
              <w:spacing w:after="0"/>
              <w:jc w:val="center"/>
              <w:rPr>
                <w:lang w:val="zh-CN"/>
              </w:rPr>
            </w:pPr>
            <w:r w:rsidRPr="00536CFD">
              <w:rPr>
                <w:lang w:val="zh-CN"/>
              </w:rPr>
              <w:t>0,95</w:t>
            </w:r>
          </w:p>
        </w:tc>
        <w:tc>
          <w:tcPr>
            <w:tcW w:w="720" w:type="dxa"/>
            <w:tcBorders>
              <w:top w:val="single" w:sz="4" w:space="0" w:color="auto"/>
              <w:left w:val="nil"/>
              <w:bottom w:val="single" w:sz="4" w:space="0" w:color="auto"/>
              <w:right w:val="single" w:sz="4" w:space="0" w:color="auto"/>
            </w:tcBorders>
            <w:shd w:val="clear" w:color="auto" w:fill="auto"/>
            <w:vAlign w:val="bottom"/>
          </w:tcPr>
          <w:p w14:paraId="1AA5B0C6" w14:textId="77777777" w:rsidR="009D4A93" w:rsidRPr="00536CFD" w:rsidRDefault="009D4A93" w:rsidP="009D4A93">
            <w:pPr>
              <w:spacing w:after="0"/>
              <w:jc w:val="center"/>
              <w:rPr>
                <w:lang w:val="zh-CN"/>
              </w:rPr>
            </w:pPr>
            <w:r w:rsidRPr="00536CFD">
              <w:rPr>
                <w:lang w:val="zh-CN"/>
              </w:rPr>
              <w:t>0,93</w:t>
            </w:r>
          </w:p>
        </w:tc>
        <w:tc>
          <w:tcPr>
            <w:tcW w:w="810" w:type="dxa"/>
            <w:tcBorders>
              <w:top w:val="single" w:sz="4" w:space="0" w:color="auto"/>
              <w:left w:val="nil"/>
              <w:bottom w:val="single" w:sz="4" w:space="0" w:color="auto"/>
              <w:right w:val="single" w:sz="4" w:space="0" w:color="auto"/>
            </w:tcBorders>
            <w:shd w:val="clear" w:color="auto" w:fill="auto"/>
            <w:vAlign w:val="bottom"/>
          </w:tcPr>
          <w:p w14:paraId="617B5489" w14:textId="77777777" w:rsidR="009D4A93" w:rsidRPr="00536CFD" w:rsidRDefault="009D4A93" w:rsidP="009D4A93">
            <w:pPr>
              <w:spacing w:after="0"/>
              <w:jc w:val="center"/>
              <w:rPr>
                <w:lang w:val="zh-CN"/>
              </w:rPr>
            </w:pPr>
            <w:r w:rsidRPr="00536CFD">
              <w:rPr>
                <w:lang w:val="zh-CN"/>
              </w:rPr>
              <w:t>0,99</w:t>
            </w:r>
          </w:p>
        </w:tc>
        <w:tc>
          <w:tcPr>
            <w:tcW w:w="810" w:type="dxa"/>
            <w:tcBorders>
              <w:top w:val="single" w:sz="4" w:space="0" w:color="auto"/>
              <w:left w:val="nil"/>
              <w:bottom w:val="single" w:sz="4" w:space="0" w:color="auto"/>
              <w:right w:val="single" w:sz="4" w:space="0" w:color="auto"/>
            </w:tcBorders>
            <w:shd w:val="clear" w:color="auto" w:fill="auto"/>
            <w:vAlign w:val="bottom"/>
          </w:tcPr>
          <w:p w14:paraId="53670198" w14:textId="77777777" w:rsidR="009D4A93" w:rsidRPr="00536CFD" w:rsidRDefault="009D4A93" w:rsidP="009D4A93">
            <w:pPr>
              <w:spacing w:after="0"/>
              <w:jc w:val="center"/>
              <w:rPr>
                <w:lang w:val="zh-CN"/>
              </w:rPr>
            </w:pPr>
            <w:r w:rsidRPr="00536CFD">
              <w:rPr>
                <w:lang w:val="zh-CN"/>
              </w:rPr>
              <w:t>0,98</w:t>
            </w:r>
          </w:p>
        </w:tc>
        <w:tc>
          <w:tcPr>
            <w:tcW w:w="820" w:type="dxa"/>
            <w:tcBorders>
              <w:top w:val="single" w:sz="4" w:space="0" w:color="auto"/>
              <w:left w:val="nil"/>
              <w:bottom w:val="single" w:sz="4" w:space="0" w:color="auto"/>
              <w:right w:val="single" w:sz="4" w:space="0" w:color="auto"/>
            </w:tcBorders>
            <w:shd w:val="clear" w:color="auto" w:fill="auto"/>
            <w:vAlign w:val="bottom"/>
          </w:tcPr>
          <w:p w14:paraId="31B50314" w14:textId="77777777" w:rsidR="009D4A93" w:rsidRPr="00536CFD" w:rsidRDefault="009D4A93" w:rsidP="009D4A93">
            <w:pPr>
              <w:spacing w:after="0"/>
              <w:jc w:val="center"/>
              <w:rPr>
                <w:lang w:val="zh-CN"/>
              </w:rPr>
            </w:pPr>
            <w:r w:rsidRPr="00536CFD">
              <w:rPr>
                <w:lang w:val="zh-CN"/>
              </w:rPr>
              <w:t>0,94</w:t>
            </w:r>
          </w:p>
        </w:tc>
        <w:tc>
          <w:tcPr>
            <w:tcW w:w="800" w:type="dxa"/>
            <w:tcBorders>
              <w:top w:val="single" w:sz="4" w:space="0" w:color="auto"/>
              <w:left w:val="nil"/>
              <w:bottom w:val="single" w:sz="4" w:space="0" w:color="auto"/>
              <w:right w:val="single" w:sz="4" w:space="0" w:color="auto"/>
            </w:tcBorders>
            <w:shd w:val="clear" w:color="auto" w:fill="auto"/>
            <w:vAlign w:val="bottom"/>
          </w:tcPr>
          <w:p w14:paraId="0843EE76" w14:textId="77777777" w:rsidR="009D4A93" w:rsidRPr="00536CFD" w:rsidRDefault="009D4A93" w:rsidP="009D4A93">
            <w:pPr>
              <w:spacing w:after="0"/>
              <w:jc w:val="center"/>
              <w:rPr>
                <w:lang w:val="zh-CN"/>
              </w:rPr>
            </w:pPr>
            <w:r w:rsidRPr="00536CFD">
              <w:rPr>
                <w:lang w:val="zh-CN"/>
              </w:rPr>
              <w:t>0,88</w:t>
            </w:r>
          </w:p>
        </w:tc>
        <w:tc>
          <w:tcPr>
            <w:tcW w:w="720" w:type="dxa"/>
            <w:tcBorders>
              <w:top w:val="single" w:sz="4" w:space="0" w:color="auto"/>
              <w:left w:val="nil"/>
              <w:bottom w:val="single" w:sz="4" w:space="0" w:color="auto"/>
              <w:right w:val="single" w:sz="4" w:space="0" w:color="auto"/>
            </w:tcBorders>
            <w:shd w:val="clear" w:color="auto" w:fill="auto"/>
            <w:vAlign w:val="bottom"/>
          </w:tcPr>
          <w:p w14:paraId="311FD054" w14:textId="77777777" w:rsidR="009D4A93" w:rsidRPr="00536CFD" w:rsidRDefault="009D4A93" w:rsidP="009D4A93">
            <w:pPr>
              <w:spacing w:after="0"/>
              <w:jc w:val="center"/>
              <w:rPr>
                <w:lang w:val="zh-CN"/>
              </w:rPr>
            </w:pPr>
            <w:r w:rsidRPr="00536CFD">
              <w:rPr>
                <w:lang w:val="zh-CN"/>
              </w:rPr>
              <w:t>0,98</w:t>
            </w:r>
          </w:p>
        </w:tc>
        <w:tc>
          <w:tcPr>
            <w:tcW w:w="724" w:type="dxa"/>
            <w:tcBorders>
              <w:top w:val="single" w:sz="4" w:space="0" w:color="auto"/>
              <w:left w:val="nil"/>
              <w:bottom w:val="single" w:sz="4" w:space="0" w:color="auto"/>
              <w:right w:val="single" w:sz="4" w:space="0" w:color="auto"/>
            </w:tcBorders>
            <w:shd w:val="clear" w:color="auto" w:fill="auto"/>
            <w:vAlign w:val="bottom"/>
          </w:tcPr>
          <w:p w14:paraId="2C87E77B" w14:textId="77777777" w:rsidR="009D4A93" w:rsidRPr="00536CFD" w:rsidRDefault="009D4A93" w:rsidP="009D4A93">
            <w:pPr>
              <w:spacing w:after="0"/>
              <w:jc w:val="center"/>
              <w:rPr>
                <w:lang w:val="zh-CN"/>
              </w:rPr>
            </w:pPr>
            <w:r w:rsidRPr="00536CFD">
              <w:rPr>
                <w:lang w:val="zh-CN"/>
              </w:rPr>
              <w:t>0,93</w:t>
            </w:r>
          </w:p>
        </w:tc>
        <w:tc>
          <w:tcPr>
            <w:tcW w:w="896" w:type="dxa"/>
            <w:tcBorders>
              <w:top w:val="single" w:sz="4" w:space="0" w:color="auto"/>
              <w:left w:val="nil"/>
              <w:bottom w:val="single" w:sz="4" w:space="0" w:color="auto"/>
              <w:right w:val="single" w:sz="4" w:space="0" w:color="auto"/>
            </w:tcBorders>
            <w:shd w:val="clear" w:color="auto" w:fill="auto"/>
            <w:vAlign w:val="bottom"/>
          </w:tcPr>
          <w:p w14:paraId="74C81FAA" w14:textId="77777777" w:rsidR="009D4A93" w:rsidRPr="00536CFD" w:rsidRDefault="009D4A93" w:rsidP="009D4A93">
            <w:pPr>
              <w:spacing w:after="0"/>
              <w:jc w:val="center"/>
              <w:rPr>
                <w:lang w:val="zh-CN"/>
              </w:rPr>
            </w:pPr>
            <w:r w:rsidRPr="00536CFD">
              <w:rPr>
                <w:lang w:val="zh-CN"/>
              </w:rPr>
              <w:t>0,87</w:t>
            </w:r>
          </w:p>
        </w:tc>
        <w:tc>
          <w:tcPr>
            <w:tcW w:w="720" w:type="dxa"/>
            <w:tcBorders>
              <w:top w:val="single" w:sz="4" w:space="0" w:color="auto"/>
              <w:left w:val="nil"/>
              <w:bottom w:val="single" w:sz="4" w:space="0" w:color="auto"/>
              <w:right w:val="single" w:sz="4" w:space="0" w:color="auto"/>
            </w:tcBorders>
            <w:shd w:val="clear" w:color="auto" w:fill="auto"/>
            <w:vAlign w:val="bottom"/>
          </w:tcPr>
          <w:p w14:paraId="3C73AFA0" w14:textId="77777777" w:rsidR="009D4A93" w:rsidRPr="00536CFD" w:rsidRDefault="009D4A93" w:rsidP="009D4A93">
            <w:pPr>
              <w:spacing w:after="0"/>
              <w:jc w:val="center"/>
              <w:rPr>
                <w:lang w:val="zh-CN"/>
              </w:rPr>
            </w:pPr>
            <w:r w:rsidRPr="00536CFD">
              <w:rPr>
                <w:lang w:val="zh-CN"/>
              </w:rPr>
              <w:t>0,82</w:t>
            </w:r>
          </w:p>
        </w:tc>
        <w:tc>
          <w:tcPr>
            <w:tcW w:w="720" w:type="dxa"/>
            <w:tcBorders>
              <w:top w:val="single" w:sz="4" w:space="0" w:color="auto"/>
              <w:left w:val="nil"/>
              <w:bottom w:val="single" w:sz="4" w:space="0" w:color="auto"/>
              <w:right w:val="single" w:sz="4" w:space="0" w:color="auto"/>
            </w:tcBorders>
            <w:shd w:val="clear" w:color="auto" w:fill="auto"/>
            <w:vAlign w:val="bottom"/>
          </w:tcPr>
          <w:p w14:paraId="3D255222" w14:textId="77777777" w:rsidR="009D4A93" w:rsidRPr="00536CFD" w:rsidRDefault="009D4A93" w:rsidP="009D4A93">
            <w:pPr>
              <w:spacing w:after="0"/>
              <w:jc w:val="center"/>
              <w:rPr>
                <w:lang w:val="zh-CN"/>
              </w:rPr>
            </w:pPr>
            <w:r w:rsidRPr="00536CFD">
              <w:rPr>
                <w:lang w:val="zh-CN"/>
              </w:rPr>
              <w:t>0,96</w:t>
            </w:r>
          </w:p>
        </w:tc>
      </w:tr>
      <w:tr w:rsidR="009D4A93" w:rsidRPr="00536CFD" w14:paraId="160E720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A08C234"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D0F1E0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vAlign w:val="bottom"/>
          </w:tcPr>
          <w:p w14:paraId="6800DEC4" w14:textId="77777777" w:rsidR="009D4A93" w:rsidRPr="00536CFD" w:rsidRDefault="009D4A93" w:rsidP="009D4A93">
            <w:pPr>
              <w:spacing w:after="0"/>
              <w:jc w:val="center"/>
              <w:rPr>
                <w:lang w:val="zh-CN"/>
              </w:rPr>
            </w:pPr>
            <w:r w:rsidRPr="00536CFD">
              <w:rPr>
                <w:lang w:val="zh-CN"/>
              </w:rPr>
              <w:t>15,15</w:t>
            </w:r>
          </w:p>
        </w:tc>
        <w:tc>
          <w:tcPr>
            <w:tcW w:w="720" w:type="dxa"/>
            <w:tcBorders>
              <w:top w:val="single" w:sz="4" w:space="0" w:color="auto"/>
              <w:left w:val="nil"/>
              <w:bottom w:val="single" w:sz="4" w:space="0" w:color="auto"/>
              <w:right w:val="single" w:sz="4" w:space="0" w:color="auto"/>
            </w:tcBorders>
            <w:shd w:val="clear" w:color="auto" w:fill="auto"/>
            <w:vAlign w:val="bottom"/>
          </w:tcPr>
          <w:p w14:paraId="046F03B0" w14:textId="77777777" w:rsidR="009D4A93" w:rsidRPr="00536CFD" w:rsidRDefault="009D4A93" w:rsidP="009D4A93">
            <w:pPr>
              <w:spacing w:after="0"/>
              <w:jc w:val="center"/>
              <w:rPr>
                <w:lang w:val="zh-CN"/>
              </w:rPr>
            </w:pPr>
            <w:r w:rsidRPr="00536CFD">
              <w:rPr>
                <w:lang w:val="zh-CN"/>
              </w:rPr>
              <w:t>17,12</w:t>
            </w:r>
          </w:p>
        </w:tc>
        <w:tc>
          <w:tcPr>
            <w:tcW w:w="720" w:type="dxa"/>
            <w:tcBorders>
              <w:top w:val="single" w:sz="4" w:space="0" w:color="auto"/>
              <w:left w:val="nil"/>
              <w:bottom w:val="single" w:sz="4" w:space="0" w:color="auto"/>
              <w:right w:val="single" w:sz="4" w:space="0" w:color="auto"/>
            </w:tcBorders>
            <w:shd w:val="clear" w:color="auto" w:fill="auto"/>
            <w:vAlign w:val="bottom"/>
          </w:tcPr>
          <w:p w14:paraId="31ED1B6E" w14:textId="77777777" w:rsidR="009D4A93" w:rsidRPr="00536CFD" w:rsidRDefault="009D4A93" w:rsidP="009D4A93">
            <w:pPr>
              <w:spacing w:after="0"/>
              <w:jc w:val="center"/>
              <w:rPr>
                <w:lang w:val="zh-CN"/>
              </w:rPr>
            </w:pPr>
            <w:r w:rsidRPr="00536CFD">
              <w:rPr>
                <w:lang w:val="zh-CN"/>
              </w:rPr>
              <w:t>11,14</w:t>
            </w:r>
          </w:p>
        </w:tc>
        <w:tc>
          <w:tcPr>
            <w:tcW w:w="810" w:type="dxa"/>
            <w:tcBorders>
              <w:top w:val="single" w:sz="4" w:space="0" w:color="auto"/>
              <w:left w:val="nil"/>
              <w:bottom w:val="single" w:sz="4" w:space="0" w:color="auto"/>
              <w:right w:val="single" w:sz="4" w:space="0" w:color="auto"/>
            </w:tcBorders>
            <w:shd w:val="clear" w:color="auto" w:fill="auto"/>
            <w:vAlign w:val="bottom"/>
          </w:tcPr>
          <w:p w14:paraId="7042100B" w14:textId="77777777" w:rsidR="009D4A93" w:rsidRPr="00536CFD" w:rsidRDefault="009D4A93" w:rsidP="009D4A93">
            <w:pPr>
              <w:spacing w:after="0"/>
              <w:jc w:val="center"/>
              <w:rPr>
                <w:lang w:val="zh-CN"/>
              </w:rPr>
            </w:pPr>
            <w:r w:rsidRPr="00536CFD">
              <w:rPr>
                <w:lang w:val="zh-CN"/>
              </w:rPr>
              <w:t>6,70</w:t>
            </w:r>
          </w:p>
        </w:tc>
        <w:tc>
          <w:tcPr>
            <w:tcW w:w="810" w:type="dxa"/>
            <w:tcBorders>
              <w:top w:val="single" w:sz="4" w:space="0" w:color="auto"/>
              <w:left w:val="nil"/>
              <w:bottom w:val="single" w:sz="4" w:space="0" w:color="auto"/>
              <w:right w:val="single" w:sz="4" w:space="0" w:color="auto"/>
            </w:tcBorders>
            <w:shd w:val="clear" w:color="auto" w:fill="auto"/>
            <w:vAlign w:val="bottom"/>
          </w:tcPr>
          <w:p w14:paraId="316E61F8" w14:textId="77777777" w:rsidR="009D4A93" w:rsidRPr="00536CFD" w:rsidRDefault="009D4A93" w:rsidP="009D4A93">
            <w:pPr>
              <w:spacing w:after="0"/>
              <w:jc w:val="center"/>
              <w:rPr>
                <w:lang w:val="zh-CN"/>
              </w:rPr>
            </w:pPr>
            <w:r w:rsidRPr="00536CFD">
              <w:rPr>
                <w:lang w:val="zh-CN"/>
              </w:rPr>
              <w:t>34,80</w:t>
            </w:r>
          </w:p>
        </w:tc>
        <w:tc>
          <w:tcPr>
            <w:tcW w:w="820" w:type="dxa"/>
            <w:tcBorders>
              <w:top w:val="single" w:sz="4" w:space="0" w:color="auto"/>
              <w:left w:val="nil"/>
              <w:bottom w:val="single" w:sz="4" w:space="0" w:color="auto"/>
              <w:right w:val="single" w:sz="4" w:space="0" w:color="auto"/>
            </w:tcBorders>
            <w:shd w:val="clear" w:color="auto" w:fill="auto"/>
            <w:vAlign w:val="bottom"/>
          </w:tcPr>
          <w:p w14:paraId="72B13730" w14:textId="77777777" w:rsidR="009D4A93" w:rsidRPr="00536CFD" w:rsidRDefault="009D4A93" w:rsidP="009D4A93">
            <w:pPr>
              <w:spacing w:after="0"/>
              <w:jc w:val="center"/>
              <w:rPr>
                <w:lang w:val="zh-CN"/>
              </w:rPr>
            </w:pPr>
            <w:r w:rsidRPr="00536CFD">
              <w:rPr>
                <w:lang w:val="zh-CN"/>
              </w:rPr>
              <w:t>33,12</w:t>
            </w:r>
          </w:p>
        </w:tc>
        <w:tc>
          <w:tcPr>
            <w:tcW w:w="800" w:type="dxa"/>
            <w:tcBorders>
              <w:top w:val="single" w:sz="4" w:space="0" w:color="auto"/>
              <w:left w:val="nil"/>
              <w:bottom w:val="single" w:sz="4" w:space="0" w:color="auto"/>
              <w:right w:val="single" w:sz="4" w:space="0" w:color="auto"/>
            </w:tcBorders>
            <w:shd w:val="clear" w:color="auto" w:fill="auto"/>
            <w:vAlign w:val="bottom"/>
          </w:tcPr>
          <w:p w14:paraId="139F3350" w14:textId="77777777" w:rsidR="009D4A93" w:rsidRPr="00536CFD" w:rsidRDefault="009D4A93" w:rsidP="009D4A93">
            <w:pPr>
              <w:spacing w:after="0"/>
              <w:jc w:val="center"/>
              <w:rPr>
                <w:lang w:val="zh-CN"/>
              </w:rPr>
            </w:pPr>
            <w:r w:rsidRPr="00536CFD">
              <w:rPr>
                <w:lang w:val="zh-CN"/>
              </w:rPr>
              <w:t>21,72</w:t>
            </w:r>
          </w:p>
        </w:tc>
        <w:tc>
          <w:tcPr>
            <w:tcW w:w="720" w:type="dxa"/>
            <w:tcBorders>
              <w:top w:val="single" w:sz="4" w:space="0" w:color="auto"/>
              <w:left w:val="nil"/>
              <w:bottom w:val="single" w:sz="4" w:space="0" w:color="auto"/>
              <w:right w:val="single" w:sz="4" w:space="0" w:color="auto"/>
            </w:tcBorders>
            <w:shd w:val="clear" w:color="auto" w:fill="auto"/>
            <w:vAlign w:val="bottom"/>
          </w:tcPr>
          <w:p w14:paraId="5D8035BD" w14:textId="77777777" w:rsidR="009D4A93" w:rsidRPr="00536CFD" w:rsidRDefault="009D4A93" w:rsidP="009D4A93">
            <w:pPr>
              <w:spacing w:after="0"/>
              <w:jc w:val="center"/>
              <w:rPr>
                <w:lang w:val="zh-CN"/>
              </w:rPr>
            </w:pPr>
            <w:r w:rsidRPr="00536CFD">
              <w:rPr>
                <w:lang w:val="zh-CN"/>
              </w:rPr>
              <w:t>11,06</w:t>
            </w:r>
          </w:p>
        </w:tc>
        <w:tc>
          <w:tcPr>
            <w:tcW w:w="724" w:type="dxa"/>
            <w:tcBorders>
              <w:top w:val="single" w:sz="4" w:space="0" w:color="auto"/>
              <w:left w:val="nil"/>
              <w:bottom w:val="single" w:sz="4" w:space="0" w:color="auto"/>
              <w:right w:val="single" w:sz="4" w:space="0" w:color="auto"/>
            </w:tcBorders>
            <w:shd w:val="clear" w:color="auto" w:fill="auto"/>
            <w:vAlign w:val="bottom"/>
          </w:tcPr>
          <w:p w14:paraId="1A9A7DE9" w14:textId="77777777" w:rsidR="009D4A93" w:rsidRPr="00536CFD" w:rsidRDefault="009D4A93" w:rsidP="009D4A93">
            <w:pPr>
              <w:spacing w:after="0"/>
              <w:jc w:val="center"/>
              <w:rPr>
                <w:lang w:val="zh-CN"/>
              </w:rPr>
            </w:pPr>
            <w:r w:rsidRPr="00536CFD">
              <w:rPr>
                <w:lang w:val="zh-CN"/>
              </w:rPr>
              <w:t>61,52</w:t>
            </w:r>
          </w:p>
        </w:tc>
        <w:tc>
          <w:tcPr>
            <w:tcW w:w="896" w:type="dxa"/>
            <w:tcBorders>
              <w:top w:val="single" w:sz="4" w:space="0" w:color="auto"/>
              <w:left w:val="nil"/>
              <w:bottom w:val="single" w:sz="4" w:space="0" w:color="auto"/>
              <w:right w:val="single" w:sz="4" w:space="0" w:color="auto"/>
            </w:tcBorders>
            <w:shd w:val="clear" w:color="auto" w:fill="auto"/>
            <w:vAlign w:val="bottom"/>
          </w:tcPr>
          <w:p w14:paraId="33DD1CDA" w14:textId="77777777" w:rsidR="009D4A93" w:rsidRPr="00536CFD" w:rsidRDefault="009D4A93" w:rsidP="009D4A93">
            <w:pPr>
              <w:spacing w:after="0"/>
              <w:jc w:val="center"/>
              <w:rPr>
                <w:lang w:val="zh-CN"/>
              </w:rPr>
            </w:pPr>
            <w:r w:rsidRPr="00536CFD">
              <w:rPr>
                <w:lang w:val="zh-CN"/>
              </w:rPr>
              <w:t>54,18</w:t>
            </w:r>
          </w:p>
        </w:tc>
        <w:tc>
          <w:tcPr>
            <w:tcW w:w="720" w:type="dxa"/>
            <w:tcBorders>
              <w:top w:val="single" w:sz="4" w:space="0" w:color="auto"/>
              <w:left w:val="nil"/>
              <w:bottom w:val="single" w:sz="4" w:space="0" w:color="auto"/>
              <w:right w:val="single" w:sz="4" w:space="0" w:color="auto"/>
            </w:tcBorders>
            <w:shd w:val="clear" w:color="auto" w:fill="auto"/>
            <w:vAlign w:val="bottom"/>
          </w:tcPr>
          <w:p w14:paraId="44A89C6E" w14:textId="77777777" w:rsidR="009D4A93" w:rsidRPr="00536CFD" w:rsidRDefault="009D4A93" w:rsidP="009D4A93">
            <w:pPr>
              <w:spacing w:after="0"/>
              <w:jc w:val="center"/>
              <w:rPr>
                <w:lang w:val="zh-CN"/>
              </w:rPr>
            </w:pPr>
            <w:r w:rsidRPr="00536CFD">
              <w:rPr>
                <w:lang w:val="zh-CN"/>
              </w:rPr>
              <w:t>37,67</w:t>
            </w:r>
          </w:p>
        </w:tc>
        <w:tc>
          <w:tcPr>
            <w:tcW w:w="720" w:type="dxa"/>
            <w:tcBorders>
              <w:top w:val="single" w:sz="4" w:space="0" w:color="auto"/>
              <w:left w:val="nil"/>
              <w:bottom w:val="single" w:sz="4" w:space="0" w:color="auto"/>
              <w:right w:val="single" w:sz="4" w:space="0" w:color="auto"/>
            </w:tcBorders>
            <w:shd w:val="clear" w:color="auto" w:fill="auto"/>
            <w:vAlign w:val="bottom"/>
          </w:tcPr>
          <w:p w14:paraId="1385FB82" w14:textId="77777777" w:rsidR="009D4A93" w:rsidRPr="00536CFD" w:rsidRDefault="009D4A93" w:rsidP="009D4A93">
            <w:pPr>
              <w:spacing w:after="0"/>
              <w:jc w:val="center"/>
              <w:rPr>
                <w:lang w:val="zh-CN"/>
              </w:rPr>
            </w:pPr>
            <w:r w:rsidRPr="00536CFD">
              <w:rPr>
                <w:lang w:val="zh-CN"/>
              </w:rPr>
              <w:t>16,32</w:t>
            </w:r>
          </w:p>
        </w:tc>
      </w:tr>
      <w:tr w:rsidR="009D4A93" w:rsidRPr="00536CFD" w14:paraId="571E4292"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3389104"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6C201B92"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26CE9711" w14:textId="77777777" w:rsidR="009D4A93" w:rsidRPr="00536CFD" w:rsidRDefault="009D4A93" w:rsidP="009D4A93">
            <w:pPr>
              <w:spacing w:after="0"/>
              <w:jc w:val="center"/>
              <w:rPr>
                <w:lang w:val="en-US"/>
              </w:rPr>
            </w:pPr>
          </w:p>
        </w:tc>
        <w:tc>
          <w:tcPr>
            <w:tcW w:w="3150" w:type="dxa"/>
            <w:gridSpan w:val="4"/>
            <w:tcBorders>
              <w:top w:val="single" w:sz="4" w:space="0" w:color="auto"/>
              <w:left w:val="nil"/>
              <w:bottom w:val="single" w:sz="4" w:space="0" w:color="auto"/>
              <w:right w:val="single" w:sz="4" w:space="0" w:color="auto"/>
            </w:tcBorders>
            <w:shd w:val="clear" w:color="auto" w:fill="auto"/>
          </w:tcPr>
          <w:p w14:paraId="5E8637B9" w14:textId="77777777" w:rsidR="009D4A93" w:rsidRPr="00536CFD" w:rsidRDefault="009D4A93" w:rsidP="009D4A93">
            <w:pPr>
              <w:spacing w:after="0"/>
              <w:jc w:val="center"/>
            </w:pPr>
          </w:p>
        </w:tc>
        <w:tc>
          <w:tcPr>
            <w:tcW w:w="3060" w:type="dxa"/>
            <w:gridSpan w:val="4"/>
            <w:tcBorders>
              <w:top w:val="single" w:sz="4" w:space="0" w:color="auto"/>
              <w:left w:val="nil"/>
              <w:bottom w:val="single" w:sz="4" w:space="0" w:color="auto"/>
              <w:right w:val="single" w:sz="4" w:space="0" w:color="auto"/>
            </w:tcBorders>
            <w:shd w:val="clear" w:color="auto" w:fill="auto"/>
          </w:tcPr>
          <w:p w14:paraId="5E149829" w14:textId="77777777" w:rsidR="009D4A93" w:rsidRPr="00536CFD" w:rsidRDefault="009D4A93" w:rsidP="009D4A93">
            <w:pPr>
              <w:spacing w:after="0"/>
              <w:jc w:val="center"/>
            </w:pPr>
          </w:p>
        </w:tc>
      </w:tr>
      <w:tr w:rsidR="009D4A93" w:rsidRPr="00536CFD" w14:paraId="536BFC4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EECC789"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CAFAD36"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1A94AD50" w14:textId="362C7157" w:rsidR="009D4A93" w:rsidRPr="00536CFD" w:rsidRDefault="009D4A93" w:rsidP="009D4A93">
            <w:pPr>
              <w:spacing w:after="0"/>
              <w:contextualSpacing/>
              <w:rPr>
                <w:lang w:val="en-US" w:bidi="ar"/>
              </w:rPr>
            </w:pPr>
            <w:r w:rsidRPr="00536CFD">
              <w:rPr>
                <w:lang w:val="en-US" w:bidi="ar"/>
              </w:rPr>
              <w:t>Additional comments:</w:t>
            </w:r>
            <w:r w:rsidR="005C4862" w:rsidRPr="00536CFD">
              <w:rPr>
                <w:lang w:val="en-US" w:bidi="ar"/>
              </w:rPr>
              <w:tab/>
            </w:r>
          </w:p>
          <w:p w14:paraId="54C98E7C" w14:textId="77777777" w:rsidR="009D4A93" w:rsidRPr="00536CFD" w:rsidRDefault="009D4A93" w:rsidP="009D4A93">
            <w:pPr>
              <w:spacing w:after="0"/>
              <w:contextualSpacing/>
              <w:rPr>
                <w:lang w:eastAsia="ja-JP"/>
              </w:rPr>
            </w:pPr>
            <w:r w:rsidRPr="00536CFD">
              <w:rPr>
                <w:b/>
                <w:bCs/>
                <w:lang w:eastAsia="ja-JP"/>
              </w:rPr>
              <w:t>Common assumptions</w:t>
            </w:r>
            <w:r w:rsidRPr="00536CFD">
              <w:rPr>
                <w:b/>
                <w:bCs/>
                <w:lang w:eastAsia="x-none"/>
              </w:rPr>
              <w:t>:</w:t>
            </w:r>
            <w:r w:rsidRPr="00536CFD">
              <w:rPr>
                <w:lang w:eastAsia="x-none"/>
              </w:rPr>
              <w:t xml:space="preserve"> </w:t>
            </w:r>
            <w:r w:rsidRPr="00536CFD">
              <w:rPr>
                <w:lang w:eastAsia="ja-JP"/>
              </w:rPr>
              <w:t>2Tx, 2Rx,</w:t>
            </w:r>
            <w:r w:rsidRPr="00536CFD">
              <w:rPr>
                <w:lang w:eastAsia="x-none"/>
              </w:rPr>
              <w:t xml:space="preserve"> </w:t>
            </w:r>
            <w:r w:rsidRPr="00536CFD">
              <w:rPr>
                <w:lang w:eastAsia="ja-JP"/>
              </w:rPr>
              <w:t>Primary LBT : Cat-4 LBT with exponential CW backoff, Max modulation supported 256 QAM, MIMO scheme with Tx BF upto rank 2 in the DL, Rank 1 in the UL</w:t>
            </w:r>
            <w:r w:rsidRPr="00536CFD">
              <w:rPr>
                <w:lang w:eastAsia="x-none"/>
              </w:rPr>
              <w:br/>
            </w:r>
            <w:r w:rsidRPr="00536CFD">
              <w:rPr>
                <w:b/>
                <w:bCs/>
                <w:lang w:eastAsia="ja-JP"/>
              </w:rPr>
              <w:t>Wi-Fi assumptions:</w:t>
            </w:r>
            <w:r w:rsidRPr="00536CFD">
              <w:rPr>
                <w:lang w:eastAsia="ja-JP"/>
              </w:rPr>
              <w:t xml:space="preserve"> RTS/CTS enabled, ED/PD threshold -62/-82 dBm, Wi-Fi Guard Interval short, Minstrel Algorithm for rate prediction, max TXOP duration 4.096 ms</w:t>
            </w:r>
            <w:r w:rsidRPr="00536CFD">
              <w:rPr>
                <w:lang w:eastAsia="x-none"/>
              </w:rPr>
              <w:br/>
            </w:r>
            <w:r w:rsidRPr="00536CFD">
              <w:rPr>
                <w:b/>
                <w:bCs/>
                <w:lang w:eastAsia="ja-JP"/>
              </w:rPr>
              <w:t>NRU assumptions:</w:t>
            </w:r>
            <w:r w:rsidRPr="00536CFD">
              <w:rPr>
                <w:lang w:eastAsia="ja-JP"/>
              </w:rPr>
              <w:t xml:space="preserve"> ED threshold  -72 dBm, SCS 30 kHz, UE processing time capability #1, NR PDCCH monitoring is 4 times per slot (slot size = 0.5ms), realistic modelling of delays for HARQ, realistic delays in CSI reports, stand-alone operation with self-scheduling, asynchronous nodes, UL LBT in gNB acquired COT: Cat-2 LBT with granularity of 0.5ms prior to data slot, Cat-2 or Cat-1 LBT prior to PUCCH at the beginning of the UL burst, 1 symbol DMRS overhead, 4 symbols for ACK/CQI feedback at the beginning of UL burst, UL grant modelled. DRS transmission with a periodicity 40 ms, DRS duration of 1 slot.</w:t>
            </w:r>
          </w:p>
        </w:tc>
      </w:tr>
      <w:tr w:rsidR="009D4A93" w:rsidRPr="00536CFD" w14:paraId="77D9D398"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70B9B902" w14:textId="77777777" w:rsidR="009D4A93" w:rsidRPr="00536CFD" w:rsidRDefault="009D4A93" w:rsidP="00536CFD">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R1-1814085/ Source 4</w:t>
            </w:r>
          </w:p>
        </w:tc>
        <w:tc>
          <w:tcPr>
            <w:tcW w:w="535" w:type="dxa"/>
            <w:vMerge w:val="restart"/>
            <w:tcBorders>
              <w:top w:val="nil"/>
              <w:left w:val="nil"/>
              <w:bottom w:val="single" w:sz="4" w:space="0" w:color="auto"/>
              <w:right w:val="single" w:sz="4" w:space="0" w:color="auto"/>
            </w:tcBorders>
            <w:shd w:val="clear" w:color="auto" w:fill="auto"/>
          </w:tcPr>
          <w:p w14:paraId="1FFB68AE"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0AEBA4DE"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0D20A155" w14:textId="77777777" w:rsidR="009D4A93" w:rsidRPr="00536CFD" w:rsidRDefault="009D4A93" w:rsidP="00536CFD">
            <w:pPr>
              <w:pageBreakBefore/>
              <w:spacing w:after="0"/>
              <w:jc w:val="center"/>
              <w:rPr>
                <w:lang w:val="zh-CN"/>
              </w:rPr>
            </w:pPr>
            <w:r w:rsidRPr="00536CFD">
              <w:rPr>
                <w:lang w:val="zh-CN"/>
              </w:rPr>
              <w:t>15.66</w:t>
            </w:r>
          </w:p>
        </w:tc>
        <w:tc>
          <w:tcPr>
            <w:tcW w:w="720" w:type="dxa"/>
            <w:tcBorders>
              <w:top w:val="single" w:sz="4" w:space="0" w:color="auto"/>
              <w:left w:val="nil"/>
              <w:bottom w:val="single" w:sz="4" w:space="0" w:color="auto"/>
              <w:right w:val="single" w:sz="4" w:space="0" w:color="auto"/>
            </w:tcBorders>
            <w:shd w:val="clear" w:color="auto" w:fill="auto"/>
          </w:tcPr>
          <w:p w14:paraId="37D9F4B3" w14:textId="77777777" w:rsidR="009D4A93" w:rsidRPr="00536CFD" w:rsidRDefault="009D4A93" w:rsidP="00536CFD">
            <w:pPr>
              <w:pageBreakBefore/>
              <w:spacing w:after="0"/>
              <w:jc w:val="center"/>
              <w:rPr>
                <w:lang w:val="zh-CN"/>
              </w:rPr>
            </w:pPr>
            <w:r w:rsidRPr="00536CFD">
              <w:rPr>
                <w:lang w:val="zh-CN"/>
              </w:rPr>
              <w:t>21.56</w:t>
            </w:r>
          </w:p>
        </w:tc>
        <w:tc>
          <w:tcPr>
            <w:tcW w:w="720" w:type="dxa"/>
            <w:tcBorders>
              <w:top w:val="single" w:sz="4" w:space="0" w:color="auto"/>
              <w:left w:val="nil"/>
              <w:bottom w:val="single" w:sz="4" w:space="0" w:color="auto"/>
              <w:right w:val="single" w:sz="4" w:space="0" w:color="auto"/>
            </w:tcBorders>
            <w:shd w:val="clear" w:color="auto" w:fill="auto"/>
          </w:tcPr>
          <w:p w14:paraId="3F8D410F" w14:textId="77777777" w:rsidR="009D4A93" w:rsidRPr="00536CFD" w:rsidRDefault="009D4A93" w:rsidP="00536CFD">
            <w:pPr>
              <w:pageBreakBefore/>
              <w:spacing w:after="0"/>
              <w:jc w:val="center"/>
              <w:rPr>
                <w:lang w:val="zh-CN"/>
              </w:rPr>
            </w:pPr>
            <w:r w:rsidRPr="00536CFD">
              <w:rPr>
                <w:lang w:val="zh-CN"/>
              </w:rPr>
              <w:t>31.42</w:t>
            </w:r>
          </w:p>
        </w:tc>
        <w:tc>
          <w:tcPr>
            <w:tcW w:w="810" w:type="dxa"/>
            <w:tcBorders>
              <w:top w:val="single" w:sz="4" w:space="0" w:color="auto"/>
              <w:left w:val="nil"/>
              <w:bottom w:val="single" w:sz="4" w:space="0" w:color="auto"/>
              <w:right w:val="single" w:sz="4" w:space="0" w:color="auto"/>
            </w:tcBorders>
            <w:shd w:val="clear" w:color="auto" w:fill="auto"/>
          </w:tcPr>
          <w:p w14:paraId="2905A19C" w14:textId="77777777" w:rsidR="009D4A93" w:rsidRPr="00536CFD" w:rsidRDefault="009D4A93" w:rsidP="00536CFD">
            <w:pPr>
              <w:pageBreakBefore/>
              <w:spacing w:after="0"/>
              <w:jc w:val="center"/>
              <w:rPr>
                <w:lang w:val="zh-CN"/>
              </w:rPr>
            </w:pPr>
            <w:r w:rsidRPr="00536CFD">
              <w:rPr>
                <w:lang w:val="zh-CN"/>
              </w:rPr>
              <w:t>36.39</w:t>
            </w:r>
          </w:p>
        </w:tc>
        <w:tc>
          <w:tcPr>
            <w:tcW w:w="810" w:type="dxa"/>
            <w:tcBorders>
              <w:top w:val="single" w:sz="4" w:space="0" w:color="auto"/>
              <w:left w:val="nil"/>
              <w:bottom w:val="single" w:sz="4" w:space="0" w:color="auto"/>
              <w:right w:val="single" w:sz="4" w:space="0" w:color="auto"/>
            </w:tcBorders>
            <w:shd w:val="clear" w:color="auto" w:fill="auto"/>
          </w:tcPr>
          <w:p w14:paraId="5815AA3F" w14:textId="77777777" w:rsidR="009D4A93" w:rsidRPr="00536CFD" w:rsidRDefault="009D4A93" w:rsidP="00536CFD">
            <w:pPr>
              <w:pageBreakBefore/>
              <w:spacing w:after="0"/>
              <w:jc w:val="center"/>
              <w:rPr>
                <w:lang w:val="zh-CN"/>
              </w:rPr>
            </w:pPr>
            <w:r w:rsidRPr="00536CFD">
              <w:rPr>
                <w:lang w:val="zh-CN"/>
              </w:rPr>
              <w:t>7.53</w:t>
            </w:r>
          </w:p>
        </w:tc>
        <w:tc>
          <w:tcPr>
            <w:tcW w:w="820" w:type="dxa"/>
            <w:tcBorders>
              <w:top w:val="single" w:sz="4" w:space="0" w:color="auto"/>
              <w:left w:val="nil"/>
              <w:bottom w:val="single" w:sz="4" w:space="0" w:color="auto"/>
              <w:right w:val="single" w:sz="4" w:space="0" w:color="auto"/>
            </w:tcBorders>
            <w:shd w:val="clear" w:color="auto" w:fill="auto"/>
          </w:tcPr>
          <w:p w14:paraId="52312527" w14:textId="77777777" w:rsidR="009D4A93" w:rsidRPr="00536CFD" w:rsidRDefault="009D4A93" w:rsidP="00536CFD">
            <w:pPr>
              <w:pageBreakBefore/>
              <w:spacing w:after="0"/>
              <w:jc w:val="center"/>
              <w:rPr>
                <w:lang w:val="zh-CN"/>
              </w:rPr>
            </w:pPr>
            <w:r w:rsidRPr="00536CFD">
              <w:rPr>
                <w:lang w:val="zh-CN"/>
              </w:rPr>
              <w:t>15.89</w:t>
            </w:r>
          </w:p>
        </w:tc>
        <w:tc>
          <w:tcPr>
            <w:tcW w:w="800" w:type="dxa"/>
            <w:tcBorders>
              <w:top w:val="single" w:sz="4" w:space="0" w:color="auto"/>
              <w:left w:val="nil"/>
              <w:bottom w:val="single" w:sz="4" w:space="0" w:color="auto"/>
              <w:right w:val="single" w:sz="4" w:space="0" w:color="auto"/>
            </w:tcBorders>
            <w:shd w:val="clear" w:color="auto" w:fill="auto"/>
          </w:tcPr>
          <w:p w14:paraId="426B2315" w14:textId="77777777" w:rsidR="009D4A93" w:rsidRPr="00536CFD" w:rsidRDefault="009D4A93" w:rsidP="00536CFD">
            <w:pPr>
              <w:pageBreakBefore/>
              <w:spacing w:after="0"/>
              <w:jc w:val="center"/>
              <w:rPr>
                <w:lang w:val="zh-CN"/>
              </w:rPr>
            </w:pPr>
            <w:r w:rsidRPr="00536CFD">
              <w:rPr>
                <w:lang w:val="zh-CN"/>
              </w:rPr>
              <w:t>26.17</w:t>
            </w:r>
          </w:p>
        </w:tc>
        <w:tc>
          <w:tcPr>
            <w:tcW w:w="720" w:type="dxa"/>
            <w:tcBorders>
              <w:top w:val="single" w:sz="4" w:space="0" w:color="auto"/>
              <w:left w:val="nil"/>
              <w:bottom w:val="single" w:sz="4" w:space="0" w:color="auto"/>
              <w:right w:val="single" w:sz="4" w:space="0" w:color="auto"/>
            </w:tcBorders>
            <w:shd w:val="clear" w:color="auto" w:fill="auto"/>
          </w:tcPr>
          <w:p w14:paraId="232DB545" w14:textId="77777777" w:rsidR="009D4A93" w:rsidRPr="00536CFD" w:rsidRDefault="009D4A93" w:rsidP="00536CFD">
            <w:pPr>
              <w:pageBreakBefore/>
              <w:spacing w:after="0"/>
              <w:jc w:val="center"/>
              <w:rPr>
                <w:lang w:val="zh-CN"/>
              </w:rPr>
            </w:pPr>
            <w:r w:rsidRPr="00536CFD">
              <w:rPr>
                <w:lang w:val="zh-CN"/>
              </w:rPr>
              <w:t>30.57</w:t>
            </w:r>
          </w:p>
        </w:tc>
        <w:tc>
          <w:tcPr>
            <w:tcW w:w="724" w:type="dxa"/>
            <w:tcBorders>
              <w:top w:val="single" w:sz="4" w:space="0" w:color="auto"/>
              <w:left w:val="nil"/>
              <w:bottom w:val="single" w:sz="4" w:space="0" w:color="auto"/>
              <w:right w:val="single" w:sz="4" w:space="0" w:color="auto"/>
            </w:tcBorders>
            <w:shd w:val="clear" w:color="auto" w:fill="auto"/>
          </w:tcPr>
          <w:p w14:paraId="2B8FED56" w14:textId="77777777" w:rsidR="009D4A93" w:rsidRPr="00536CFD" w:rsidRDefault="009D4A93" w:rsidP="00536CFD">
            <w:pPr>
              <w:pageBreakBefore/>
              <w:spacing w:after="0"/>
              <w:jc w:val="center"/>
              <w:rPr>
                <w:lang w:val="zh-CN"/>
              </w:rPr>
            </w:pPr>
            <w:r w:rsidRPr="00536CFD">
              <w:rPr>
                <w:lang w:val="zh-CN"/>
              </w:rPr>
              <w:t>3.11</w:t>
            </w:r>
          </w:p>
        </w:tc>
        <w:tc>
          <w:tcPr>
            <w:tcW w:w="896" w:type="dxa"/>
            <w:tcBorders>
              <w:top w:val="single" w:sz="4" w:space="0" w:color="auto"/>
              <w:left w:val="nil"/>
              <w:bottom w:val="single" w:sz="4" w:space="0" w:color="auto"/>
              <w:right w:val="single" w:sz="4" w:space="0" w:color="auto"/>
            </w:tcBorders>
            <w:shd w:val="clear" w:color="auto" w:fill="auto"/>
          </w:tcPr>
          <w:p w14:paraId="4B90CAD7" w14:textId="77777777" w:rsidR="009D4A93" w:rsidRPr="00536CFD" w:rsidRDefault="009D4A93" w:rsidP="00536CFD">
            <w:pPr>
              <w:pageBreakBefore/>
              <w:spacing w:after="0"/>
              <w:jc w:val="center"/>
              <w:rPr>
                <w:lang w:val="zh-CN"/>
              </w:rPr>
            </w:pPr>
            <w:r w:rsidRPr="00536CFD">
              <w:rPr>
                <w:lang w:val="zh-CN"/>
              </w:rPr>
              <w:t>13.19</w:t>
            </w:r>
          </w:p>
        </w:tc>
        <w:tc>
          <w:tcPr>
            <w:tcW w:w="720" w:type="dxa"/>
            <w:tcBorders>
              <w:top w:val="single" w:sz="4" w:space="0" w:color="auto"/>
              <w:left w:val="nil"/>
              <w:bottom w:val="single" w:sz="4" w:space="0" w:color="auto"/>
              <w:right w:val="single" w:sz="4" w:space="0" w:color="auto"/>
            </w:tcBorders>
            <w:shd w:val="clear" w:color="auto" w:fill="auto"/>
          </w:tcPr>
          <w:p w14:paraId="0CC288B4" w14:textId="77777777" w:rsidR="009D4A93" w:rsidRPr="00536CFD" w:rsidRDefault="009D4A93" w:rsidP="00536CFD">
            <w:pPr>
              <w:pageBreakBefore/>
              <w:spacing w:after="0"/>
              <w:jc w:val="center"/>
              <w:rPr>
                <w:lang w:val="zh-CN"/>
              </w:rPr>
            </w:pPr>
            <w:r w:rsidRPr="00536CFD">
              <w:rPr>
                <w:lang w:val="zh-CN"/>
              </w:rPr>
              <w:t>23.9</w:t>
            </w:r>
          </w:p>
        </w:tc>
        <w:tc>
          <w:tcPr>
            <w:tcW w:w="720" w:type="dxa"/>
            <w:tcBorders>
              <w:top w:val="single" w:sz="4" w:space="0" w:color="auto"/>
              <w:left w:val="nil"/>
              <w:bottom w:val="single" w:sz="4" w:space="0" w:color="auto"/>
              <w:right w:val="single" w:sz="4" w:space="0" w:color="auto"/>
            </w:tcBorders>
            <w:shd w:val="clear" w:color="auto" w:fill="auto"/>
          </w:tcPr>
          <w:p w14:paraId="1E0318C4" w14:textId="77777777" w:rsidR="009D4A93" w:rsidRPr="00536CFD" w:rsidRDefault="009D4A93" w:rsidP="00536CFD">
            <w:pPr>
              <w:pageBreakBefore/>
              <w:spacing w:after="0"/>
              <w:jc w:val="center"/>
              <w:rPr>
                <w:lang w:val="zh-CN"/>
              </w:rPr>
            </w:pPr>
            <w:r w:rsidRPr="00536CFD">
              <w:rPr>
                <w:lang w:val="zh-CN"/>
              </w:rPr>
              <w:t>26.84</w:t>
            </w:r>
          </w:p>
        </w:tc>
      </w:tr>
      <w:tr w:rsidR="009D4A93" w:rsidRPr="00536CFD" w14:paraId="5C4F466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A97577D"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B045E8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1AC491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197C2F6D" w14:textId="77777777" w:rsidR="009D4A93" w:rsidRPr="00536CFD" w:rsidRDefault="009D4A93" w:rsidP="009D4A93">
            <w:pPr>
              <w:spacing w:after="0"/>
              <w:jc w:val="center"/>
              <w:rPr>
                <w:lang w:val="zh-CN"/>
              </w:rPr>
            </w:pPr>
            <w:r w:rsidRPr="00536CFD">
              <w:rPr>
                <w:lang w:val="zh-CN"/>
              </w:rPr>
              <w:t>48.84</w:t>
            </w:r>
          </w:p>
        </w:tc>
        <w:tc>
          <w:tcPr>
            <w:tcW w:w="720" w:type="dxa"/>
            <w:tcBorders>
              <w:top w:val="single" w:sz="4" w:space="0" w:color="auto"/>
              <w:left w:val="nil"/>
              <w:bottom w:val="single" w:sz="4" w:space="0" w:color="auto"/>
              <w:right w:val="single" w:sz="4" w:space="0" w:color="auto"/>
            </w:tcBorders>
            <w:shd w:val="clear" w:color="auto" w:fill="auto"/>
          </w:tcPr>
          <w:p w14:paraId="4C34340D" w14:textId="77777777" w:rsidR="009D4A93" w:rsidRPr="00536CFD" w:rsidRDefault="009D4A93" w:rsidP="009D4A93">
            <w:pPr>
              <w:spacing w:after="0"/>
              <w:jc w:val="center"/>
              <w:rPr>
                <w:lang w:val="zh-CN"/>
              </w:rPr>
            </w:pPr>
            <w:r w:rsidRPr="00536CFD">
              <w:rPr>
                <w:lang w:val="zh-CN"/>
              </w:rPr>
              <w:t>66.4</w:t>
            </w:r>
          </w:p>
        </w:tc>
        <w:tc>
          <w:tcPr>
            <w:tcW w:w="720" w:type="dxa"/>
            <w:tcBorders>
              <w:top w:val="single" w:sz="4" w:space="0" w:color="auto"/>
              <w:left w:val="nil"/>
              <w:bottom w:val="single" w:sz="4" w:space="0" w:color="auto"/>
              <w:right w:val="single" w:sz="4" w:space="0" w:color="auto"/>
            </w:tcBorders>
            <w:shd w:val="clear" w:color="auto" w:fill="auto"/>
          </w:tcPr>
          <w:p w14:paraId="09BDAD32" w14:textId="77777777" w:rsidR="009D4A93" w:rsidRPr="00536CFD" w:rsidRDefault="009D4A93" w:rsidP="009D4A93">
            <w:pPr>
              <w:spacing w:after="0"/>
              <w:jc w:val="center"/>
              <w:rPr>
                <w:lang w:val="zh-CN"/>
              </w:rPr>
            </w:pPr>
            <w:r w:rsidRPr="00536CFD">
              <w:rPr>
                <w:lang w:val="zh-CN"/>
              </w:rPr>
              <w:t>87.54</w:t>
            </w:r>
          </w:p>
        </w:tc>
        <w:tc>
          <w:tcPr>
            <w:tcW w:w="810" w:type="dxa"/>
            <w:tcBorders>
              <w:top w:val="single" w:sz="4" w:space="0" w:color="auto"/>
              <w:left w:val="nil"/>
              <w:bottom w:val="single" w:sz="4" w:space="0" w:color="auto"/>
              <w:right w:val="single" w:sz="4" w:space="0" w:color="auto"/>
            </w:tcBorders>
            <w:shd w:val="clear" w:color="auto" w:fill="auto"/>
          </w:tcPr>
          <w:p w14:paraId="4CA9FBCE" w14:textId="77777777" w:rsidR="009D4A93" w:rsidRPr="00536CFD" w:rsidRDefault="009D4A93" w:rsidP="009D4A93">
            <w:pPr>
              <w:spacing w:after="0"/>
              <w:jc w:val="center"/>
              <w:rPr>
                <w:lang w:val="zh-CN"/>
              </w:rPr>
            </w:pPr>
            <w:r w:rsidRPr="00536CFD">
              <w:rPr>
                <w:lang w:val="zh-CN"/>
              </w:rPr>
              <w:t>97.08</w:t>
            </w:r>
          </w:p>
        </w:tc>
        <w:tc>
          <w:tcPr>
            <w:tcW w:w="810" w:type="dxa"/>
            <w:tcBorders>
              <w:top w:val="single" w:sz="4" w:space="0" w:color="auto"/>
              <w:left w:val="nil"/>
              <w:bottom w:val="single" w:sz="4" w:space="0" w:color="auto"/>
              <w:right w:val="single" w:sz="4" w:space="0" w:color="auto"/>
            </w:tcBorders>
            <w:shd w:val="clear" w:color="auto" w:fill="auto"/>
          </w:tcPr>
          <w:p w14:paraId="302DE0DC" w14:textId="77777777" w:rsidR="009D4A93" w:rsidRPr="00536CFD" w:rsidRDefault="009D4A93" w:rsidP="009D4A93">
            <w:pPr>
              <w:spacing w:after="0"/>
              <w:jc w:val="center"/>
              <w:rPr>
                <w:lang w:val="zh-CN"/>
              </w:rPr>
            </w:pPr>
            <w:r w:rsidRPr="00536CFD">
              <w:rPr>
                <w:lang w:val="zh-CN"/>
              </w:rPr>
              <w:t>35.61</w:t>
            </w:r>
          </w:p>
        </w:tc>
        <w:tc>
          <w:tcPr>
            <w:tcW w:w="820" w:type="dxa"/>
            <w:tcBorders>
              <w:top w:val="single" w:sz="4" w:space="0" w:color="auto"/>
              <w:left w:val="nil"/>
              <w:bottom w:val="single" w:sz="4" w:space="0" w:color="auto"/>
              <w:right w:val="single" w:sz="4" w:space="0" w:color="auto"/>
            </w:tcBorders>
            <w:shd w:val="clear" w:color="auto" w:fill="auto"/>
          </w:tcPr>
          <w:p w14:paraId="6B181549" w14:textId="77777777" w:rsidR="009D4A93" w:rsidRPr="00536CFD" w:rsidRDefault="009D4A93" w:rsidP="009D4A93">
            <w:pPr>
              <w:spacing w:after="0"/>
              <w:jc w:val="center"/>
              <w:rPr>
                <w:lang w:val="zh-CN"/>
              </w:rPr>
            </w:pPr>
            <w:r w:rsidRPr="00536CFD">
              <w:rPr>
                <w:lang w:val="zh-CN"/>
              </w:rPr>
              <w:t>56.64</w:t>
            </w:r>
          </w:p>
        </w:tc>
        <w:tc>
          <w:tcPr>
            <w:tcW w:w="800" w:type="dxa"/>
            <w:tcBorders>
              <w:top w:val="single" w:sz="4" w:space="0" w:color="auto"/>
              <w:left w:val="nil"/>
              <w:bottom w:val="single" w:sz="4" w:space="0" w:color="auto"/>
              <w:right w:val="single" w:sz="4" w:space="0" w:color="auto"/>
            </w:tcBorders>
            <w:shd w:val="clear" w:color="auto" w:fill="auto"/>
          </w:tcPr>
          <w:p w14:paraId="15F588A9" w14:textId="77777777" w:rsidR="009D4A93" w:rsidRPr="00536CFD" w:rsidRDefault="009D4A93" w:rsidP="009D4A93">
            <w:pPr>
              <w:spacing w:after="0"/>
              <w:jc w:val="center"/>
              <w:rPr>
                <w:lang w:val="zh-CN"/>
              </w:rPr>
            </w:pPr>
            <w:r w:rsidRPr="00536CFD">
              <w:rPr>
                <w:lang w:val="zh-CN"/>
              </w:rPr>
              <w:t>75.05</w:t>
            </w:r>
          </w:p>
        </w:tc>
        <w:tc>
          <w:tcPr>
            <w:tcW w:w="720" w:type="dxa"/>
            <w:tcBorders>
              <w:top w:val="single" w:sz="4" w:space="0" w:color="auto"/>
              <w:left w:val="nil"/>
              <w:bottom w:val="single" w:sz="4" w:space="0" w:color="auto"/>
              <w:right w:val="single" w:sz="4" w:space="0" w:color="auto"/>
            </w:tcBorders>
            <w:shd w:val="clear" w:color="auto" w:fill="auto"/>
          </w:tcPr>
          <w:p w14:paraId="078867AE" w14:textId="77777777" w:rsidR="009D4A93" w:rsidRPr="00536CFD" w:rsidRDefault="009D4A93" w:rsidP="009D4A93">
            <w:pPr>
              <w:spacing w:after="0"/>
              <w:jc w:val="center"/>
              <w:rPr>
                <w:lang w:val="zh-CN"/>
              </w:rPr>
            </w:pPr>
            <w:r w:rsidRPr="00536CFD">
              <w:rPr>
                <w:lang w:val="zh-CN"/>
              </w:rPr>
              <w:t>87.45</w:t>
            </w:r>
          </w:p>
        </w:tc>
        <w:tc>
          <w:tcPr>
            <w:tcW w:w="724" w:type="dxa"/>
            <w:tcBorders>
              <w:top w:val="single" w:sz="4" w:space="0" w:color="auto"/>
              <w:left w:val="nil"/>
              <w:bottom w:val="single" w:sz="4" w:space="0" w:color="auto"/>
              <w:right w:val="single" w:sz="4" w:space="0" w:color="auto"/>
            </w:tcBorders>
            <w:shd w:val="clear" w:color="auto" w:fill="auto"/>
          </w:tcPr>
          <w:p w14:paraId="16FE3F1A" w14:textId="77777777" w:rsidR="009D4A93" w:rsidRPr="00536CFD" w:rsidRDefault="009D4A93" w:rsidP="009D4A93">
            <w:pPr>
              <w:spacing w:after="0"/>
              <w:jc w:val="center"/>
              <w:rPr>
                <w:lang w:val="zh-CN"/>
              </w:rPr>
            </w:pPr>
            <w:r w:rsidRPr="00536CFD">
              <w:rPr>
                <w:lang w:val="zh-CN"/>
              </w:rPr>
              <w:t>27.16</w:t>
            </w:r>
          </w:p>
        </w:tc>
        <w:tc>
          <w:tcPr>
            <w:tcW w:w="896" w:type="dxa"/>
            <w:tcBorders>
              <w:top w:val="single" w:sz="4" w:space="0" w:color="auto"/>
              <w:left w:val="nil"/>
              <w:bottom w:val="single" w:sz="4" w:space="0" w:color="auto"/>
              <w:right w:val="single" w:sz="4" w:space="0" w:color="auto"/>
            </w:tcBorders>
            <w:shd w:val="clear" w:color="auto" w:fill="auto"/>
          </w:tcPr>
          <w:p w14:paraId="32C78776" w14:textId="77777777" w:rsidR="009D4A93" w:rsidRPr="00536CFD" w:rsidRDefault="009D4A93" w:rsidP="009D4A93">
            <w:pPr>
              <w:spacing w:after="0"/>
              <w:jc w:val="center"/>
              <w:rPr>
                <w:lang w:val="zh-CN"/>
              </w:rPr>
            </w:pPr>
            <w:r w:rsidRPr="00536CFD">
              <w:rPr>
                <w:lang w:val="zh-CN"/>
              </w:rPr>
              <w:t>51.13</w:t>
            </w:r>
          </w:p>
        </w:tc>
        <w:tc>
          <w:tcPr>
            <w:tcW w:w="720" w:type="dxa"/>
            <w:tcBorders>
              <w:top w:val="single" w:sz="4" w:space="0" w:color="auto"/>
              <w:left w:val="nil"/>
              <w:bottom w:val="single" w:sz="4" w:space="0" w:color="auto"/>
              <w:right w:val="single" w:sz="4" w:space="0" w:color="auto"/>
            </w:tcBorders>
            <w:shd w:val="clear" w:color="auto" w:fill="auto"/>
          </w:tcPr>
          <w:p w14:paraId="2BA48A7E" w14:textId="77777777" w:rsidR="009D4A93" w:rsidRPr="00536CFD" w:rsidRDefault="009D4A93" w:rsidP="009D4A93">
            <w:pPr>
              <w:spacing w:after="0"/>
              <w:jc w:val="center"/>
              <w:rPr>
                <w:lang w:val="zh-CN"/>
              </w:rPr>
            </w:pPr>
            <w:r w:rsidRPr="00536CFD">
              <w:rPr>
                <w:lang w:val="zh-CN"/>
              </w:rPr>
              <w:t>67.41</w:t>
            </w:r>
          </w:p>
        </w:tc>
        <w:tc>
          <w:tcPr>
            <w:tcW w:w="720" w:type="dxa"/>
            <w:tcBorders>
              <w:top w:val="single" w:sz="4" w:space="0" w:color="auto"/>
              <w:left w:val="nil"/>
              <w:bottom w:val="single" w:sz="4" w:space="0" w:color="auto"/>
              <w:right w:val="single" w:sz="4" w:space="0" w:color="auto"/>
            </w:tcBorders>
            <w:shd w:val="clear" w:color="auto" w:fill="auto"/>
          </w:tcPr>
          <w:p w14:paraId="6261C855" w14:textId="77777777" w:rsidR="009D4A93" w:rsidRPr="00536CFD" w:rsidRDefault="009D4A93" w:rsidP="009D4A93">
            <w:pPr>
              <w:spacing w:after="0"/>
              <w:jc w:val="center"/>
              <w:rPr>
                <w:lang w:val="zh-CN"/>
              </w:rPr>
            </w:pPr>
            <w:r w:rsidRPr="00536CFD">
              <w:rPr>
                <w:lang w:val="zh-CN"/>
              </w:rPr>
              <w:t>81.65</w:t>
            </w:r>
          </w:p>
        </w:tc>
      </w:tr>
      <w:tr w:rsidR="009D4A93" w:rsidRPr="00536CFD" w14:paraId="0EDBBA5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84DFD3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2F73E1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2157A1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7CF931EB" w14:textId="77777777" w:rsidR="009D4A93" w:rsidRPr="00536CFD" w:rsidRDefault="009D4A93" w:rsidP="009D4A93">
            <w:pPr>
              <w:spacing w:after="0"/>
              <w:jc w:val="center"/>
              <w:rPr>
                <w:lang w:val="zh-CN"/>
              </w:rPr>
            </w:pPr>
            <w:r w:rsidRPr="00536CFD">
              <w:rPr>
                <w:lang w:val="zh-CN"/>
              </w:rPr>
              <w:t>77.93</w:t>
            </w:r>
          </w:p>
        </w:tc>
        <w:tc>
          <w:tcPr>
            <w:tcW w:w="720" w:type="dxa"/>
            <w:tcBorders>
              <w:top w:val="single" w:sz="4" w:space="0" w:color="auto"/>
              <w:left w:val="nil"/>
              <w:bottom w:val="single" w:sz="4" w:space="0" w:color="auto"/>
              <w:right w:val="single" w:sz="4" w:space="0" w:color="auto"/>
            </w:tcBorders>
            <w:shd w:val="clear" w:color="auto" w:fill="auto"/>
          </w:tcPr>
          <w:p w14:paraId="7EFD10B5" w14:textId="77777777" w:rsidR="009D4A93" w:rsidRPr="00536CFD" w:rsidRDefault="009D4A93" w:rsidP="009D4A93">
            <w:pPr>
              <w:spacing w:after="0"/>
              <w:jc w:val="center"/>
              <w:rPr>
                <w:lang w:val="zh-CN"/>
              </w:rPr>
            </w:pPr>
            <w:r w:rsidRPr="00536CFD">
              <w:rPr>
                <w:lang w:val="zh-CN"/>
              </w:rPr>
              <w:t>78.23</w:t>
            </w:r>
          </w:p>
        </w:tc>
        <w:tc>
          <w:tcPr>
            <w:tcW w:w="720" w:type="dxa"/>
            <w:tcBorders>
              <w:top w:val="single" w:sz="4" w:space="0" w:color="auto"/>
              <w:left w:val="nil"/>
              <w:bottom w:val="single" w:sz="4" w:space="0" w:color="auto"/>
              <w:right w:val="single" w:sz="4" w:space="0" w:color="auto"/>
            </w:tcBorders>
            <w:shd w:val="clear" w:color="auto" w:fill="auto"/>
          </w:tcPr>
          <w:p w14:paraId="4D76F833" w14:textId="77777777" w:rsidR="009D4A93" w:rsidRPr="00536CFD" w:rsidRDefault="009D4A93" w:rsidP="009D4A93">
            <w:pPr>
              <w:spacing w:after="0"/>
              <w:jc w:val="center"/>
              <w:rPr>
                <w:lang w:val="zh-CN"/>
              </w:rPr>
            </w:pPr>
            <w:r w:rsidRPr="00536CFD">
              <w:rPr>
                <w:lang w:val="zh-CN"/>
              </w:rPr>
              <w:t>103.9</w:t>
            </w:r>
          </w:p>
        </w:tc>
        <w:tc>
          <w:tcPr>
            <w:tcW w:w="810" w:type="dxa"/>
            <w:tcBorders>
              <w:top w:val="single" w:sz="4" w:space="0" w:color="auto"/>
              <w:left w:val="nil"/>
              <w:bottom w:val="single" w:sz="4" w:space="0" w:color="auto"/>
              <w:right w:val="single" w:sz="4" w:space="0" w:color="auto"/>
            </w:tcBorders>
            <w:shd w:val="clear" w:color="auto" w:fill="auto"/>
          </w:tcPr>
          <w:p w14:paraId="681C8D86" w14:textId="77777777" w:rsidR="009D4A93" w:rsidRPr="00536CFD" w:rsidRDefault="009D4A93" w:rsidP="009D4A93">
            <w:pPr>
              <w:spacing w:after="0"/>
              <w:jc w:val="center"/>
              <w:rPr>
                <w:lang w:val="zh-CN"/>
              </w:rPr>
            </w:pPr>
            <w:r w:rsidRPr="00536CFD">
              <w:rPr>
                <w:lang w:val="zh-CN"/>
              </w:rPr>
              <w:t>104.8</w:t>
            </w:r>
          </w:p>
        </w:tc>
        <w:tc>
          <w:tcPr>
            <w:tcW w:w="810" w:type="dxa"/>
            <w:tcBorders>
              <w:top w:val="single" w:sz="4" w:space="0" w:color="auto"/>
              <w:left w:val="nil"/>
              <w:bottom w:val="single" w:sz="4" w:space="0" w:color="auto"/>
              <w:right w:val="single" w:sz="4" w:space="0" w:color="auto"/>
            </w:tcBorders>
            <w:shd w:val="clear" w:color="auto" w:fill="auto"/>
          </w:tcPr>
          <w:p w14:paraId="2A6E3515" w14:textId="77777777" w:rsidR="009D4A93" w:rsidRPr="00536CFD" w:rsidRDefault="009D4A93" w:rsidP="009D4A93">
            <w:pPr>
              <w:spacing w:after="0"/>
              <w:jc w:val="center"/>
              <w:rPr>
                <w:lang w:val="zh-CN"/>
              </w:rPr>
            </w:pPr>
            <w:r w:rsidRPr="00536CFD">
              <w:rPr>
                <w:lang w:val="zh-CN"/>
              </w:rPr>
              <w:t>77.3</w:t>
            </w:r>
          </w:p>
        </w:tc>
        <w:tc>
          <w:tcPr>
            <w:tcW w:w="820" w:type="dxa"/>
            <w:tcBorders>
              <w:top w:val="single" w:sz="4" w:space="0" w:color="auto"/>
              <w:left w:val="nil"/>
              <w:bottom w:val="single" w:sz="4" w:space="0" w:color="auto"/>
              <w:right w:val="single" w:sz="4" w:space="0" w:color="auto"/>
            </w:tcBorders>
            <w:shd w:val="clear" w:color="auto" w:fill="auto"/>
          </w:tcPr>
          <w:p w14:paraId="60F73394" w14:textId="77777777" w:rsidR="009D4A93" w:rsidRPr="00536CFD" w:rsidRDefault="009D4A93" w:rsidP="009D4A93">
            <w:pPr>
              <w:spacing w:after="0"/>
              <w:jc w:val="center"/>
              <w:rPr>
                <w:lang w:val="zh-CN"/>
              </w:rPr>
            </w:pPr>
            <w:r w:rsidRPr="00536CFD">
              <w:rPr>
                <w:lang w:val="zh-CN"/>
              </w:rPr>
              <w:t>78.02</w:t>
            </w:r>
          </w:p>
        </w:tc>
        <w:tc>
          <w:tcPr>
            <w:tcW w:w="800" w:type="dxa"/>
            <w:tcBorders>
              <w:top w:val="single" w:sz="4" w:space="0" w:color="auto"/>
              <w:left w:val="nil"/>
              <w:bottom w:val="single" w:sz="4" w:space="0" w:color="auto"/>
              <w:right w:val="single" w:sz="4" w:space="0" w:color="auto"/>
            </w:tcBorders>
            <w:shd w:val="clear" w:color="auto" w:fill="auto"/>
          </w:tcPr>
          <w:p w14:paraId="0682A383" w14:textId="77777777" w:rsidR="009D4A93" w:rsidRPr="00536CFD" w:rsidRDefault="009D4A93" w:rsidP="009D4A93">
            <w:pPr>
              <w:spacing w:after="0"/>
              <w:jc w:val="center"/>
              <w:rPr>
                <w:lang w:val="zh-CN"/>
              </w:rPr>
            </w:pPr>
            <w:r w:rsidRPr="00536CFD">
              <w:rPr>
                <w:lang w:val="zh-CN"/>
              </w:rPr>
              <w:t>103.9</w:t>
            </w:r>
          </w:p>
        </w:tc>
        <w:tc>
          <w:tcPr>
            <w:tcW w:w="720" w:type="dxa"/>
            <w:tcBorders>
              <w:top w:val="single" w:sz="4" w:space="0" w:color="auto"/>
              <w:left w:val="nil"/>
              <w:bottom w:val="single" w:sz="4" w:space="0" w:color="auto"/>
              <w:right w:val="single" w:sz="4" w:space="0" w:color="auto"/>
            </w:tcBorders>
            <w:shd w:val="clear" w:color="auto" w:fill="auto"/>
          </w:tcPr>
          <w:p w14:paraId="5CC79DE6" w14:textId="77777777" w:rsidR="009D4A93" w:rsidRPr="00536CFD" w:rsidRDefault="009D4A93" w:rsidP="009D4A93">
            <w:pPr>
              <w:spacing w:after="0"/>
              <w:jc w:val="center"/>
              <w:rPr>
                <w:lang w:val="zh-CN"/>
              </w:rPr>
            </w:pPr>
            <w:r w:rsidRPr="00536CFD">
              <w:rPr>
                <w:lang w:val="zh-CN"/>
              </w:rPr>
              <w:t>104.8</w:t>
            </w:r>
          </w:p>
        </w:tc>
        <w:tc>
          <w:tcPr>
            <w:tcW w:w="724" w:type="dxa"/>
            <w:tcBorders>
              <w:top w:val="single" w:sz="4" w:space="0" w:color="auto"/>
              <w:left w:val="nil"/>
              <w:bottom w:val="single" w:sz="4" w:space="0" w:color="auto"/>
              <w:right w:val="single" w:sz="4" w:space="0" w:color="auto"/>
            </w:tcBorders>
            <w:shd w:val="clear" w:color="auto" w:fill="auto"/>
          </w:tcPr>
          <w:p w14:paraId="71015B11" w14:textId="77777777" w:rsidR="009D4A93" w:rsidRPr="00536CFD" w:rsidRDefault="009D4A93" w:rsidP="009D4A93">
            <w:pPr>
              <w:spacing w:after="0"/>
              <w:jc w:val="center"/>
              <w:rPr>
                <w:lang w:val="zh-CN"/>
              </w:rPr>
            </w:pPr>
            <w:r w:rsidRPr="00536CFD">
              <w:rPr>
                <w:lang w:val="zh-CN"/>
              </w:rPr>
              <w:t>75.23</w:t>
            </w:r>
          </w:p>
        </w:tc>
        <w:tc>
          <w:tcPr>
            <w:tcW w:w="896" w:type="dxa"/>
            <w:tcBorders>
              <w:top w:val="single" w:sz="4" w:space="0" w:color="auto"/>
              <w:left w:val="nil"/>
              <w:bottom w:val="single" w:sz="4" w:space="0" w:color="auto"/>
              <w:right w:val="single" w:sz="4" w:space="0" w:color="auto"/>
            </w:tcBorders>
            <w:shd w:val="clear" w:color="auto" w:fill="auto"/>
          </w:tcPr>
          <w:p w14:paraId="5C0F8533" w14:textId="77777777" w:rsidR="009D4A93" w:rsidRPr="00536CFD" w:rsidRDefault="009D4A93" w:rsidP="009D4A93">
            <w:pPr>
              <w:spacing w:after="0"/>
              <w:jc w:val="center"/>
              <w:rPr>
                <w:lang w:val="zh-CN"/>
              </w:rPr>
            </w:pPr>
            <w:r w:rsidRPr="00536CFD">
              <w:rPr>
                <w:lang w:val="zh-CN"/>
              </w:rPr>
              <w:t>77.93</w:t>
            </w:r>
          </w:p>
        </w:tc>
        <w:tc>
          <w:tcPr>
            <w:tcW w:w="720" w:type="dxa"/>
            <w:tcBorders>
              <w:top w:val="single" w:sz="4" w:space="0" w:color="auto"/>
              <w:left w:val="nil"/>
              <w:bottom w:val="single" w:sz="4" w:space="0" w:color="auto"/>
              <w:right w:val="single" w:sz="4" w:space="0" w:color="auto"/>
            </w:tcBorders>
            <w:shd w:val="clear" w:color="auto" w:fill="auto"/>
          </w:tcPr>
          <w:p w14:paraId="5A75D044" w14:textId="77777777" w:rsidR="009D4A93" w:rsidRPr="00536CFD" w:rsidRDefault="009D4A93" w:rsidP="009D4A93">
            <w:pPr>
              <w:spacing w:after="0"/>
              <w:jc w:val="center"/>
              <w:rPr>
                <w:lang w:val="zh-CN"/>
              </w:rPr>
            </w:pPr>
            <w:r w:rsidRPr="00536CFD">
              <w:rPr>
                <w:lang w:val="zh-CN"/>
              </w:rPr>
              <w:t>103.7</w:t>
            </w:r>
          </w:p>
        </w:tc>
        <w:tc>
          <w:tcPr>
            <w:tcW w:w="720" w:type="dxa"/>
            <w:tcBorders>
              <w:top w:val="single" w:sz="4" w:space="0" w:color="auto"/>
              <w:left w:val="nil"/>
              <w:bottom w:val="single" w:sz="4" w:space="0" w:color="auto"/>
              <w:right w:val="single" w:sz="4" w:space="0" w:color="auto"/>
            </w:tcBorders>
            <w:shd w:val="clear" w:color="auto" w:fill="auto"/>
          </w:tcPr>
          <w:p w14:paraId="74C39944" w14:textId="77777777" w:rsidR="009D4A93" w:rsidRPr="00536CFD" w:rsidRDefault="009D4A93" w:rsidP="009D4A93">
            <w:pPr>
              <w:spacing w:after="0"/>
              <w:jc w:val="center"/>
              <w:rPr>
                <w:lang w:val="zh-CN"/>
              </w:rPr>
            </w:pPr>
            <w:r w:rsidRPr="00536CFD">
              <w:rPr>
                <w:lang w:val="zh-CN"/>
              </w:rPr>
              <w:t>104.8</w:t>
            </w:r>
          </w:p>
        </w:tc>
      </w:tr>
      <w:tr w:rsidR="009D4A93" w:rsidRPr="00536CFD" w14:paraId="0201027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E897AF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B3E64B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3AB83C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25EBFA7C" w14:textId="77777777" w:rsidR="009D4A93" w:rsidRPr="00536CFD" w:rsidRDefault="009D4A93" w:rsidP="009D4A93">
            <w:pPr>
              <w:spacing w:after="0"/>
              <w:jc w:val="center"/>
              <w:rPr>
                <w:lang w:val="zh-CN"/>
              </w:rPr>
            </w:pPr>
            <w:r w:rsidRPr="00536CFD">
              <w:rPr>
                <w:lang w:val="zh-CN"/>
              </w:rPr>
              <w:t>49.69</w:t>
            </w:r>
          </w:p>
        </w:tc>
        <w:tc>
          <w:tcPr>
            <w:tcW w:w="720" w:type="dxa"/>
            <w:tcBorders>
              <w:top w:val="single" w:sz="4" w:space="0" w:color="auto"/>
              <w:left w:val="nil"/>
              <w:bottom w:val="single" w:sz="4" w:space="0" w:color="auto"/>
              <w:right w:val="single" w:sz="4" w:space="0" w:color="auto"/>
            </w:tcBorders>
            <w:shd w:val="clear" w:color="auto" w:fill="auto"/>
          </w:tcPr>
          <w:p w14:paraId="68F52490" w14:textId="77777777" w:rsidR="009D4A93" w:rsidRPr="00536CFD" w:rsidRDefault="009D4A93" w:rsidP="009D4A93">
            <w:pPr>
              <w:spacing w:after="0"/>
              <w:jc w:val="center"/>
              <w:rPr>
                <w:lang w:val="zh-CN"/>
              </w:rPr>
            </w:pPr>
            <w:r w:rsidRPr="00536CFD">
              <w:rPr>
                <w:lang w:val="zh-CN"/>
              </w:rPr>
              <w:t>59.5</w:t>
            </w:r>
          </w:p>
        </w:tc>
        <w:tc>
          <w:tcPr>
            <w:tcW w:w="720" w:type="dxa"/>
            <w:tcBorders>
              <w:top w:val="single" w:sz="4" w:space="0" w:color="auto"/>
              <w:left w:val="nil"/>
              <w:bottom w:val="single" w:sz="4" w:space="0" w:color="auto"/>
              <w:right w:val="single" w:sz="4" w:space="0" w:color="auto"/>
            </w:tcBorders>
            <w:shd w:val="clear" w:color="auto" w:fill="auto"/>
          </w:tcPr>
          <w:p w14:paraId="1F888706" w14:textId="77777777" w:rsidR="009D4A93" w:rsidRPr="00536CFD" w:rsidRDefault="009D4A93" w:rsidP="009D4A93">
            <w:pPr>
              <w:spacing w:after="0"/>
              <w:jc w:val="center"/>
              <w:rPr>
                <w:lang w:val="zh-CN"/>
              </w:rPr>
            </w:pPr>
            <w:r w:rsidRPr="00536CFD">
              <w:rPr>
                <w:lang w:val="zh-CN"/>
              </w:rPr>
              <w:t>78.05</w:t>
            </w:r>
          </w:p>
        </w:tc>
        <w:tc>
          <w:tcPr>
            <w:tcW w:w="810" w:type="dxa"/>
            <w:tcBorders>
              <w:top w:val="single" w:sz="4" w:space="0" w:color="auto"/>
              <w:left w:val="nil"/>
              <w:bottom w:val="single" w:sz="4" w:space="0" w:color="auto"/>
              <w:right w:val="single" w:sz="4" w:space="0" w:color="auto"/>
            </w:tcBorders>
            <w:shd w:val="clear" w:color="auto" w:fill="auto"/>
          </w:tcPr>
          <w:p w14:paraId="53B0BB6F" w14:textId="77777777" w:rsidR="009D4A93" w:rsidRPr="00536CFD" w:rsidRDefault="009D4A93" w:rsidP="009D4A93">
            <w:pPr>
              <w:spacing w:after="0"/>
              <w:jc w:val="center"/>
              <w:rPr>
                <w:lang w:val="zh-CN"/>
              </w:rPr>
            </w:pPr>
            <w:r w:rsidRPr="00536CFD">
              <w:rPr>
                <w:lang w:val="zh-CN"/>
              </w:rPr>
              <w:t>83.71</w:t>
            </w:r>
          </w:p>
        </w:tc>
        <w:tc>
          <w:tcPr>
            <w:tcW w:w="810" w:type="dxa"/>
            <w:tcBorders>
              <w:top w:val="single" w:sz="4" w:space="0" w:color="auto"/>
              <w:left w:val="nil"/>
              <w:bottom w:val="single" w:sz="4" w:space="0" w:color="auto"/>
              <w:right w:val="single" w:sz="4" w:space="0" w:color="auto"/>
            </w:tcBorders>
            <w:shd w:val="clear" w:color="auto" w:fill="auto"/>
          </w:tcPr>
          <w:p w14:paraId="3E136B63" w14:textId="77777777" w:rsidR="009D4A93" w:rsidRPr="00536CFD" w:rsidRDefault="009D4A93" w:rsidP="009D4A93">
            <w:pPr>
              <w:spacing w:after="0"/>
              <w:jc w:val="center"/>
              <w:rPr>
                <w:lang w:val="zh-CN"/>
              </w:rPr>
            </w:pPr>
            <w:r w:rsidRPr="00536CFD">
              <w:rPr>
                <w:lang w:val="zh-CN"/>
              </w:rPr>
              <w:t>38.52</w:t>
            </w:r>
          </w:p>
        </w:tc>
        <w:tc>
          <w:tcPr>
            <w:tcW w:w="820" w:type="dxa"/>
            <w:tcBorders>
              <w:top w:val="single" w:sz="4" w:space="0" w:color="auto"/>
              <w:left w:val="nil"/>
              <w:bottom w:val="single" w:sz="4" w:space="0" w:color="auto"/>
              <w:right w:val="single" w:sz="4" w:space="0" w:color="auto"/>
            </w:tcBorders>
            <w:shd w:val="clear" w:color="auto" w:fill="auto"/>
          </w:tcPr>
          <w:p w14:paraId="0A0B9B8C" w14:textId="77777777" w:rsidR="009D4A93" w:rsidRPr="00536CFD" w:rsidRDefault="009D4A93" w:rsidP="009D4A93">
            <w:pPr>
              <w:spacing w:after="0"/>
              <w:jc w:val="center"/>
              <w:rPr>
                <w:lang w:val="zh-CN"/>
              </w:rPr>
            </w:pPr>
            <w:r w:rsidRPr="00536CFD">
              <w:rPr>
                <w:lang w:val="zh-CN"/>
              </w:rPr>
              <w:t>53.61</w:t>
            </w:r>
          </w:p>
        </w:tc>
        <w:tc>
          <w:tcPr>
            <w:tcW w:w="800" w:type="dxa"/>
            <w:tcBorders>
              <w:top w:val="single" w:sz="4" w:space="0" w:color="auto"/>
              <w:left w:val="nil"/>
              <w:bottom w:val="single" w:sz="4" w:space="0" w:color="auto"/>
              <w:right w:val="single" w:sz="4" w:space="0" w:color="auto"/>
            </w:tcBorders>
            <w:shd w:val="clear" w:color="auto" w:fill="auto"/>
          </w:tcPr>
          <w:p w14:paraId="7A5AF085" w14:textId="77777777" w:rsidR="009D4A93" w:rsidRPr="00536CFD" w:rsidRDefault="009D4A93" w:rsidP="009D4A93">
            <w:pPr>
              <w:spacing w:after="0"/>
              <w:jc w:val="center"/>
              <w:rPr>
                <w:lang w:val="zh-CN"/>
              </w:rPr>
            </w:pPr>
            <w:r w:rsidRPr="00536CFD">
              <w:rPr>
                <w:lang w:val="zh-CN"/>
              </w:rPr>
              <w:t>71.56</w:t>
            </w:r>
          </w:p>
        </w:tc>
        <w:tc>
          <w:tcPr>
            <w:tcW w:w="720" w:type="dxa"/>
            <w:tcBorders>
              <w:top w:val="single" w:sz="4" w:space="0" w:color="auto"/>
              <w:left w:val="nil"/>
              <w:bottom w:val="single" w:sz="4" w:space="0" w:color="auto"/>
              <w:right w:val="single" w:sz="4" w:space="0" w:color="auto"/>
            </w:tcBorders>
            <w:shd w:val="clear" w:color="auto" w:fill="auto"/>
          </w:tcPr>
          <w:p w14:paraId="0DCA1408" w14:textId="77777777" w:rsidR="009D4A93" w:rsidRPr="00536CFD" w:rsidRDefault="009D4A93" w:rsidP="009D4A93">
            <w:pPr>
              <w:spacing w:after="0"/>
              <w:jc w:val="center"/>
              <w:rPr>
                <w:lang w:val="zh-CN"/>
              </w:rPr>
            </w:pPr>
            <w:r w:rsidRPr="00536CFD">
              <w:rPr>
                <w:lang w:val="zh-CN"/>
              </w:rPr>
              <w:t>78.44</w:t>
            </w:r>
          </w:p>
        </w:tc>
        <w:tc>
          <w:tcPr>
            <w:tcW w:w="724" w:type="dxa"/>
            <w:tcBorders>
              <w:top w:val="single" w:sz="4" w:space="0" w:color="auto"/>
              <w:left w:val="nil"/>
              <w:bottom w:val="single" w:sz="4" w:space="0" w:color="auto"/>
              <w:right w:val="single" w:sz="4" w:space="0" w:color="auto"/>
            </w:tcBorders>
            <w:shd w:val="clear" w:color="auto" w:fill="auto"/>
          </w:tcPr>
          <w:p w14:paraId="1C6F382C" w14:textId="77777777" w:rsidR="009D4A93" w:rsidRPr="00536CFD" w:rsidRDefault="009D4A93" w:rsidP="009D4A93">
            <w:pPr>
              <w:spacing w:after="0"/>
              <w:jc w:val="center"/>
              <w:rPr>
                <w:lang w:val="zh-CN"/>
              </w:rPr>
            </w:pPr>
            <w:r w:rsidRPr="00536CFD">
              <w:rPr>
                <w:lang w:val="zh-CN"/>
              </w:rPr>
              <w:t>30.88</w:t>
            </w:r>
          </w:p>
        </w:tc>
        <w:tc>
          <w:tcPr>
            <w:tcW w:w="896" w:type="dxa"/>
            <w:tcBorders>
              <w:top w:val="single" w:sz="4" w:space="0" w:color="auto"/>
              <w:left w:val="nil"/>
              <w:bottom w:val="single" w:sz="4" w:space="0" w:color="auto"/>
              <w:right w:val="single" w:sz="4" w:space="0" w:color="auto"/>
            </w:tcBorders>
            <w:shd w:val="clear" w:color="auto" w:fill="auto"/>
          </w:tcPr>
          <w:p w14:paraId="71CAAB7A" w14:textId="77777777" w:rsidR="009D4A93" w:rsidRPr="00536CFD" w:rsidRDefault="009D4A93" w:rsidP="009D4A93">
            <w:pPr>
              <w:spacing w:after="0"/>
              <w:jc w:val="center"/>
              <w:rPr>
                <w:lang w:val="zh-CN"/>
              </w:rPr>
            </w:pPr>
            <w:r w:rsidRPr="00536CFD">
              <w:rPr>
                <w:lang w:val="zh-CN"/>
              </w:rPr>
              <w:t>50.07</w:t>
            </w:r>
          </w:p>
        </w:tc>
        <w:tc>
          <w:tcPr>
            <w:tcW w:w="720" w:type="dxa"/>
            <w:tcBorders>
              <w:top w:val="single" w:sz="4" w:space="0" w:color="auto"/>
              <w:left w:val="nil"/>
              <w:bottom w:val="single" w:sz="4" w:space="0" w:color="auto"/>
              <w:right w:val="single" w:sz="4" w:space="0" w:color="auto"/>
            </w:tcBorders>
            <w:shd w:val="clear" w:color="auto" w:fill="auto"/>
          </w:tcPr>
          <w:p w14:paraId="072149B4" w14:textId="77777777" w:rsidR="009D4A93" w:rsidRPr="00536CFD" w:rsidRDefault="009D4A93" w:rsidP="009D4A93">
            <w:pPr>
              <w:spacing w:after="0"/>
              <w:jc w:val="center"/>
              <w:rPr>
                <w:lang w:val="zh-CN"/>
              </w:rPr>
            </w:pPr>
            <w:r w:rsidRPr="00536CFD">
              <w:rPr>
                <w:lang w:val="zh-CN"/>
              </w:rPr>
              <w:t>67.9</w:t>
            </w:r>
          </w:p>
        </w:tc>
        <w:tc>
          <w:tcPr>
            <w:tcW w:w="720" w:type="dxa"/>
            <w:tcBorders>
              <w:top w:val="single" w:sz="4" w:space="0" w:color="auto"/>
              <w:left w:val="nil"/>
              <w:bottom w:val="single" w:sz="4" w:space="0" w:color="auto"/>
              <w:right w:val="single" w:sz="4" w:space="0" w:color="auto"/>
            </w:tcBorders>
            <w:shd w:val="clear" w:color="auto" w:fill="auto"/>
          </w:tcPr>
          <w:p w14:paraId="231544E6" w14:textId="77777777" w:rsidR="009D4A93" w:rsidRPr="00536CFD" w:rsidRDefault="009D4A93" w:rsidP="009D4A93">
            <w:pPr>
              <w:spacing w:after="0"/>
              <w:jc w:val="center"/>
              <w:rPr>
                <w:lang w:val="zh-CN"/>
              </w:rPr>
            </w:pPr>
            <w:r w:rsidRPr="00536CFD">
              <w:rPr>
                <w:lang w:val="zh-CN"/>
              </w:rPr>
              <w:t>75.28</w:t>
            </w:r>
          </w:p>
        </w:tc>
      </w:tr>
      <w:tr w:rsidR="009D4A93" w:rsidRPr="00536CFD" w14:paraId="4495C14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BC8AA67"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5C3E387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5A081DB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0469E1F0"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6D0D547B"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336ED78A"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tcPr>
          <w:p w14:paraId="3E4F8F7E"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tcPr>
          <w:p w14:paraId="0D409DC2" w14:textId="77777777" w:rsidR="009D4A93" w:rsidRPr="00536CFD" w:rsidRDefault="009D4A93" w:rsidP="009D4A93">
            <w:pPr>
              <w:spacing w:after="0"/>
              <w:jc w:val="center"/>
              <w:rPr>
                <w:lang w:val="zh-CN"/>
              </w:rPr>
            </w:pPr>
            <w:r w:rsidRPr="00536CFD">
              <w:rPr>
                <w:lang w:val="zh-CN"/>
              </w:rPr>
              <w:t>0.05</w:t>
            </w:r>
          </w:p>
        </w:tc>
        <w:tc>
          <w:tcPr>
            <w:tcW w:w="820" w:type="dxa"/>
            <w:tcBorders>
              <w:top w:val="single" w:sz="4" w:space="0" w:color="auto"/>
              <w:left w:val="nil"/>
              <w:bottom w:val="single" w:sz="4" w:space="0" w:color="auto"/>
              <w:right w:val="single" w:sz="4" w:space="0" w:color="auto"/>
            </w:tcBorders>
            <w:shd w:val="clear" w:color="auto" w:fill="auto"/>
          </w:tcPr>
          <w:p w14:paraId="02F0CBCF" w14:textId="77777777" w:rsidR="009D4A93" w:rsidRPr="00536CFD" w:rsidRDefault="009D4A93" w:rsidP="009D4A93">
            <w:pPr>
              <w:spacing w:after="0"/>
              <w:jc w:val="center"/>
              <w:rPr>
                <w:lang w:val="zh-CN"/>
              </w:rPr>
            </w:pPr>
            <w:r w:rsidRPr="00536CFD">
              <w:rPr>
                <w:lang w:val="zh-CN"/>
              </w:rPr>
              <w:t>0.05</w:t>
            </w:r>
          </w:p>
        </w:tc>
        <w:tc>
          <w:tcPr>
            <w:tcW w:w="800" w:type="dxa"/>
            <w:tcBorders>
              <w:top w:val="single" w:sz="4" w:space="0" w:color="auto"/>
              <w:left w:val="nil"/>
              <w:bottom w:val="single" w:sz="4" w:space="0" w:color="auto"/>
              <w:right w:val="single" w:sz="4" w:space="0" w:color="auto"/>
            </w:tcBorders>
            <w:shd w:val="clear" w:color="auto" w:fill="auto"/>
          </w:tcPr>
          <w:p w14:paraId="6AC77DBE" w14:textId="77777777" w:rsidR="009D4A93" w:rsidRPr="00536CFD" w:rsidRDefault="009D4A93" w:rsidP="009D4A93">
            <w:pPr>
              <w:spacing w:after="0"/>
              <w:jc w:val="center"/>
              <w:rPr>
                <w:lang w:val="zh-CN"/>
              </w:rPr>
            </w:pPr>
            <w:r w:rsidRPr="00536CFD">
              <w:rPr>
                <w:lang w:val="zh-CN"/>
              </w:rPr>
              <w:t>0.04</w:t>
            </w:r>
          </w:p>
        </w:tc>
        <w:tc>
          <w:tcPr>
            <w:tcW w:w="720" w:type="dxa"/>
            <w:tcBorders>
              <w:top w:val="single" w:sz="4" w:space="0" w:color="auto"/>
              <w:left w:val="nil"/>
              <w:bottom w:val="single" w:sz="4" w:space="0" w:color="auto"/>
              <w:right w:val="single" w:sz="4" w:space="0" w:color="auto"/>
            </w:tcBorders>
            <w:shd w:val="clear" w:color="auto" w:fill="auto"/>
          </w:tcPr>
          <w:p w14:paraId="022FCF0D" w14:textId="77777777" w:rsidR="009D4A93" w:rsidRPr="00536CFD" w:rsidRDefault="009D4A93" w:rsidP="009D4A93">
            <w:pPr>
              <w:spacing w:after="0"/>
              <w:jc w:val="center"/>
              <w:rPr>
                <w:lang w:val="zh-CN"/>
              </w:rPr>
            </w:pPr>
            <w:r w:rsidRPr="00536CFD">
              <w:rPr>
                <w:lang w:val="zh-CN"/>
              </w:rPr>
              <w:t>0.04</w:t>
            </w:r>
          </w:p>
        </w:tc>
        <w:tc>
          <w:tcPr>
            <w:tcW w:w="724" w:type="dxa"/>
            <w:tcBorders>
              <w:top w:val="single" w:sz="4" w:space="0" w:color="auto"/>
              <w:left w:val="nil"/>
              <w:bottom w:val="single" w:sz="4" w:space="0" w:color="auto"/>
              <w:right w:val="single" w:sz="4" w:space="0" w:color="auto"/>
            </w:tcBorders>
            <w:shd w:val="clear" w:color="auto" w:fill="auto"/>
          </w:tcPr>
          <w:p w14:paraId="7F26D4D9" w14:textId="77777777" w:rsidR="009D4A93" w:rsidRPr="00536CFD" w:rsidRDefault="009D4A93" w:rsidP="009D4A93">
            <w:pPr>
              <w:spacing w:after="0"/>
              <w:jc w:val="center"/>
              <w:rPr>
                <w:lang w:val="zh-CN"/>
              </w:rPr>
            </w:pPr>
            <w:r w:rsidRPr="00536CFD">
              <w:rPr>
                <w:lang w:val="zh-CN"/>
              </w:rPr>
              <w:t>0.05</w:t>
            </w:r>
          </w:p>
        </w:tc>
        <w:tc>
          <w:tcPr>
            <w:tcW w:w="896" w:type="dxa"/>
            <w:tcBorders>
              <w:top w:val="single" w:sz="4" w:space="0" w:color="auto"/>
              <w:left w:val="nil"/>
              <w:bottom w:val="single" w:sz="4" w:space="0" w:color="auto"/>
              <w:right w:val="single" w:sz="4" w:space="0" w:color="auto"/>
            </w:tcBorders>
            <w:shd w:val="clear" w:color="auto" w:fill="auto"/>
          </w:tcPr>
          <w:p w14:paraId="0FC092B5"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69C8D656" w14:textId="77777777" w:rsidR="009D4A93" w:rsidRPr="00536CFD" w:rsidRDefault="009D4A93" w:rsidP="009D4A93">
            <w:pPr>
              <w:spacing w:after="0"/>
              <w:jc w:val="center"/>
              <w:rPr>
                <w:lang w:val="zh-CN"/>
              </w:rPr>
            </w:pPr>
            <w:r w:rsidRPr="00536CFD">
              <w:rPr>
                <w:lang w:val="zh-CN"/>
              </w:rPr>
              <w:t>0.04</w:t>
            </w:r>
          </w:p>
        </w:tc>
        <w:tc>
          <w:tcPr>
            <w:tcW w:w="720" w:type="dxa"/>
            <w:tcBorders>
              <w:top w:val="single" w:sz="4" w:space="0" w:color="auto"/>
              <w:left w:val="nil"/>
              <w:bottom w:val="single" w:sz="4" w:space="0" w:color="auto"/>
              <w:right w:val="single" w:sz="4" w:space="0" w:color="auto"/>
            </w:tcBorders>
            <w:shd w:val="clear" w:color="auto" w:fill="auto"/>
          </w:tcPr>
          <w:p w14:paraId="58D37E01" w14:textId="77777777" w:rsidR="009D4A93" w:rsidRPr="00536CFD" w:rsidRDefault="009D4A93" w:rsidP="009D4A93">
            <w:pPr>
              <w:spacing w:after="0"/>
              <w:jc w:val="center"/>
              <w:rPr>
                <w:lang w:val="zh-CN"/>
              </w:rPr>
            </w:pPr>
            <w:r w:rsidRPr="00536CFD">
              <w:rPr>
                <w:lang w:val="zh-CN"/>
              </w:rPr>
              <w:t>0.04</w:t>
            </w:r>
          </w:p>
        </w:tc>
      </w:tr>
      <w:tr w:rsidR="009D4A93" w:rsidRPr="00536CFD" w14:paraId="59F4F59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023D31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96642EB"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3220D3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6C6284CB" w14:textId="77777777" w:rsidR="009D4A93" w:rsidRPr="00536CFD" w:rsidRDefault="009D4A93" w:rsidP="009D4A93">
            <w:pPr>
              <w:spacing w:after="0"/>
              <w:jc w:val="center"/>
              <w:rPr>
                <w:lang w:val="zh-CN"/>
              </w:rPr>
            </w:pPr>
            <w:r w:rsidRPr="00536CFD">
              <w:rPr>
                <w:lang w:val="zh-CN"/>
              </w:rPr>
              <w:t>0.08</w:t>
            </w:r>
          </w:p>
        </w:tc>
        <w:tc>
          <w:tcPr>
            <w:tcW w:w="720" w:type="dxa"/>
            <w:tcBorders>
              <w:top w:val="single" w:sz="4" w:space="0" w:color="auto"/>
              <w:left w:val="nil"/>
              <w:bottom w:val="single" w:sz="4" w:space="0" w:color="auto"/>
              <w:right w:val="single" w:sz="4" w:space="0" w:color="auto"/>
            </w:tcBorders>
            <w:shd w:val="clear" w:color="auto" w:fill="auto"/>
          </w:tcPr>
          <w:p w14:paraId="1A8D6353"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tcPr>
          <w:p w14:paraId="3D281921" w14:textId="77777777" w:rsidR="009D4A93" w:rsidRPr="00536CFD" w:rsidRDefault="009D4A93" w:rsidP="009D4A93">
            <w:pPr>
              <w:spacing w:after="0"/>
              <w:jc w:val="center"/>
              <w:rPr>
                <w:lang w:val="zh-CN"/>
              </w:rPr>
            </w:pPr>
            <w:r w:rsidRPr="00536CFD">
              <w:rPr>
                <w:lang w:val="zh-CN"/>
              </w:rPr>
              <w:t>0.05</w:t>
            </w:r>
          </w:p>
        </w:tc>
        <w:tc>
          <w:tcPr>
            <w:tcW w:w="810" w:type="dxa"/>
            <w:tcBorders>
              <w:top w:val="single" w:sz="4" w:space="0" w:color="auto"/>
              <w:left w:val="nil"/>
              <w:bottom w:val="single" w:sz="4" w:space="0" w:color="auto"/>
              <w:right w:val="single" w:sz="4" w:space="0" w:color="auto"/>
            </w:tcBorders>
            <w:shd w:val="clear" w:color="auto" w:fill="auto"/>
          </w:tcPr>
          <w:p w14:paraId="4658E6BF"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tcPr>
          <w:p w14:paraId="5B990C78" w14:textId="77777777" w:rsidR="009D4A93" w:rsidRPr="00536CFD" w:rsidRDefault="009D4A93" w:rsidP="009D4A93">
            <w:pPr>
              <w:spacing w:after="0"/>
              <w:jc w:val="center"/>
              <w:rPr>
                <w:lang w:val="zh-CN"/>
              </w:rPr>
            </w:pPr>
            <w:r w:rsidRPr="00536CFD">
              <w:rPr>
                <w:lang w:val="zh-CN"/>
              </w:rPr>
              <w:t>0.11</w:t>
            </w:r>
          </w:p>
        </w:tc>
        <w:tc>
          <w:tcPr>
            <w:tcW w:w="820" w:type="dxa"/>
            <w:tcBorders>
              <w:top w:val="single" w:sz="4" w:space="0" w:color="auto"/>
              <w:left w:val="nil"/>
              <w:bottom w:val="single" w:sz="4" w:space="0" w:color="auto"/>
              <w:right w:val="single" w:sz="4" w:space="0" w:color="auto"/>
            </w:tcBorders>
            <w:shd w:val="clear" w:color="auto" w:fill="auto"/>
          </w:tcPr>
          <w:p w14:paraId="198044B1" w14:textId="77777777" w:rsidR="009D4A93" w:rsidRPr="00536CFD" w:rsidRDefault="009D4A93" w:rsidP="009D4A93">
            <w:pPr>
              <w:spacing w:after="0"/>
              <w:jc w:val="center"/>
              <w:rPr>
                <w:lang w:val="zh-CN"/>
              </w:rPr>
            </w:pPr>
            <w:r w:rsidRPr="00536CFD">
              <w:rPr>
                <w:lang w:val="zh-CN"/>
              </w:rPr>
              <w:t>0.08</w:t>
            </w:r>
          </w:p>
        </w:tc>
        <w:tc>
          <w:tcPr>
            <w:tcW w:w="800" w:type="dxa"/>
            <w:tcBorders>
              <w:top w:val="single" w:sz="4" w:space="0" w:color="auto"/>
              <w:left w:val="nil"/>
              <w:bottom w:val="single" w:sz="4" w:space="0" w:color="auto"/>
              <w:right w:val="single" w:sz="4" w:space="0" w:color="auto"/>
            </w:tcBorders>
            <w:shd w:val="clear" w:color="auto" w:fill="auto"/>
          </w:tcPr>
          <w:p w14:paraId="68D7FFC2"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417B9DED" w14:textId="77777777" w:rsidR="009D4A93" w:rsidRPr="00536CFD" w:rsidRDefault="009D4A93" w:rsidP="009D4A93">
            <w:pPr>
              <w:spacing w:after="0"/>
              <w:jc w:val="center"/>
              <w:rPr>
                <w:lang w:val="zh-CN"/>
              </w:rPr>
            </w:pPr>
            <w:r w:rsidRPr="00536CFD">
              <w:rPr>
                <w:lang w:val="zh-CN"/>
              </w:rPr>
              <w:t>0.05</w:t>
            </w:r>
          </w:p>
        </w:tc>
        <w:tc>
          <w:tcPr>
            <w:tcW w:w="724" w:type="dxa"/>
            <w:tcBorders>
              <w:top w:val="single" w:sz="4" w:space="0" w:color="auto"/>
              <w:left w:val="nil"/>
              <w:bottom w:val="single" w:sz="4" w:space="0" w:color="auto"/>
              <w:right w:val="single" w:sz="4" w:space="0" w:color="auto"/>
            </w:tcBorders>
            <w:shd w:val="clear" w:color="auto" w:fill="auto"/>
          </w:tcPr>
          <w:p w14:paraId="3E666EE1" w14:textId="77777777" w:rsidR="009D4A93" w:rsidRPr="00536CFD" w:rsidRDefault="009D4A93" w:rsidP="009D4A93">
            <w:pPr>
              <w:spacing w:after="0"/>
              <w:jc w:val="center"/>
              <w:rPr>
                <w:lang w:val="zh-CN"/>
              </w:rPr>
            </w:pPr>
            <w:r w:rsidRPr="00536CFD">
              <w:rPr>
                <w:lang w:val="zh-CN"/>
              </w:rPr>
              <w:t>0.15</w:t>
            </w:r>
          </w:p>
        </w:tc>
        <w:tc>
          <w:tcPr>
            <w:tcW w:w="896" w:type="dxa"/>
            <w:tcBorders>
              <w:top w:val="single" w:sz="4" w:space="0" w:color="auto"/>
              <w:left w:val="nil"/>
              <w:bottom w:val="single" w:sz="4" w:space="0" w:color="auto"/>
              <w:right w:val="single" w:sz="4" w:space="0" w:color="auto"/>
            </w:tcBorders>
            <w:shd w:val="clear" w:color="auto" w:fill="auto"/>
          </w:tcPr>
          <w:p w14:paraId="7AB88926" w14:textId="77777777" w:rsidR="009D4A93" w:rsidRPr="00536CFD" w:rsidRDefault="009D4A93" w:rsidP="009D4A93">
            <w:pPr>
              <w:spacing w:after="0"/>
              <w:jc w:val="center"/>
              <w:rPr>
                <w:lang w:val="zh-CN"/>
              </w:rPr>
            </w:pPr>
            <w:r w:rsidRPr="00536CFD">
              <w:rPr>
                <w:lang w:val="zh-CN"/>
              </w:rPr>
              <w:t>0.08</w:t>
            </w:r>
          </w:p>
        </w:tc>
        <w:tc>
          <w:tcPr>
            <w:tcW w:w="720" w:type="dxa"/>
            <w:tcBorders>
              <w:top w:val="single" w:sz="4" w:space="0" w:color="auto"/>
              <w:left w:val="nil"/>
              <w:bottom w:val="single" w:sz="4" w:space="0" w:color="auto"/>
              <w:right w:val="single" w:sz="4" w:space="0" w:color="auto"/>
            </w:tcBorders>
            <w:shd w:val="clear" w:color="auto" w:fill="auto"/>
          </w:tcPr>
          <w:p w14:paraId="147267BA"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tcPr>
          <w:p w14:paraId="0401F3DC" w14:textId="77777777" w:rsidR="009D4A93" w:rsidRPr="00536CFD" w:rsidRDefault="009D4A93" w:rsidP="009D4A93">
            <w:pPr>
              <w:spacing w:after="0"/>
              <w:jc w:val="center"/>
              <w:rPr>
                <w:lang w:val="zh-CN"/>
              </w:rPr>
            </w:pPr>
            <w:r w:rsidRPr="00536CFD">
              <w:rPr>
                <w:lang w:val="zh-CN"/>
              </w:rPr>
              <w:t>0.05</w:t>
            </w:r>
          </w:p>
        </w:tc>
      </w:tr>
      <w:tr w:rsidR="009D4A93" w:rsidRPr="00536CFD" w14:paraId="14EF80A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57F9F2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C09F64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539205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4B996AD6" w14:textId="77777777" w:rsidR="009D4A93" w:rsidRPr="00536CFD" w:rsidRDefault="009D4A93" w:rsidP="009D4A93">
            <w:pPr>
              <w:spacing w:after="0"/>
              <w:jc w:val="center"/>
              <w:rPr>
                <w:lang w:val="zh-CN"/>
              </w:rPr>
            </w:pPr>
            <w:r w:rsidRPr="00536CFD">
              <w:rPr>
                <w:lang w:val="zh-CN"/>
              </w:rPr>
              <w:t>0.25</w:t>
            </w:r>
          </w:p>
        </w:tc>
        <w:tc>
          <w:tcPr>
            <w:tcW w:w="720" w:type="dxa"/>
            <w:tcBorders>
              <w:top w:val="single" w:sz="4" w:space="0" w:color="auto"/>
              <w:left w:val="nil"/>
              <w:bottom w:val="single" w:sz="4" w:space="0" w:color="auto"/>
              <w:right w:val="single" w:sz="4" w:space="0" w:color="auto"/>
            </w:tcBorders>
            <w:shd w:val="clear" w:color="auto" w:fill="auto"/>
          </w:tcPr>
          <w:p w14:paraId="57A48269" w14:textId="77777777" w:rsidR="009D4A93" w:rsidRPr="00536CFD" w:rsidRDefault="009D4A93" w:rsidP="009D4A93">
            <w:pPr>
              <w:spacing w:after="0"/>
              <w:jc w:val="center"/>
              <w:rPr>
                <w:lang w:val="zh-CN"/>
              </w:rPr>
            </w:pPr>
            <w:r w:rsidRPr="00536CFD">
              <w:rPr>
                <w:lang w:val="zh-CN"/>
              </w:rPr>
              <w:t>0.19</w:t>
            </w:r>
          </w:p>
        </w:tc>
        <w:tc>
          <w:tcPr>
            <w:tcW w:w="720" w:type="dxa"/>
            <w:tcBorders>
              <w:top w:val="single" w:sz="4" w:space="0" w:color="auto"/>
              <w:left w:val="nil"/>
              <w:bottom w:val="single" w:sz="4" w:space="0" w:color="auto"/>
              <w:right w:val="single" w:sz="4" w:space="0" w:color="auto"/>
            </w:tcBorders>
            <w:shd w:val="clear" w:color="auto" w:fill="auto"/>
          </w:tcPr>
          <w:p w14:paraId="5D2BDAD9" w14:textId="77777777" w:rsidR="009D4A93" w:rsidRPr="00536CFD" w:rsidRDefault="009D4A93" w:rsidP="009D4A93">
            <w:pPr>
              <w:spacing w:after="0"/>
              <w:jc w:val="center"/>
              <w:rPr>
                <w:lang w:val="zh-CN"/>
              </w:rPr>
            </w:pPr>
            <w:r w:rsidRPr="00536CFD">
              <w:rPr>
                <w:lang w:val="zh-CN"/>
              </w:rPr>
              <w:t>0.13</w:t>
            </w:r>
          </w:p>
        </w:tc>
        <w:tc>
          <w:tcPr>
            <w:tcW w:w="810" w:type="dxa"/>
            <w:tcBorders>
              <w:top w:val="single" w:sz="4" w:space="0" w:color="auto"/>
              <w:left w:val="nil"/>
              <w:bottom w:val="single" w:sz="4" w:space="0" w:color="auto"/>
              <w:right w:val="single" w:sz="4" w:space="0" w:color="auto"/>
            </w:tcBorders>
            <w:shd w:val="clear" w:color="auto" w:fill="auto"/>
          </w:tcPr>
          <w:p w14:paraId="76779577" w14:textId="77777777" w:rsidR="009D4A93" w:rsidRPr="00536CFD" w:rsidRDefault="009D4A93" w:rsidP="009D4A93">
            <w:pPr>
              <w:spacing w:after="0"/>
              <w:jc w:val="center"/>
              <w:rPr>
                <w:lang w:val="zh-CN"/>
              </w:rPr>
            </w:pPr>
            <w:r w:rsidRPr="00536CFD">
              <w:rPr>
                <w:lang w:val="zh-CN"/>
              </w:rPr>
              <w:t>0.11</w:t>
            </w:r>
          </w:p>
        </w:tc>
        <w:tc>
          <w:tcPr>
            <w:tcW w:w="810" w:type="dxa"/>
            <w:tcBorders>
              <w:top w:val="single" w:sz="4" w:space="0" w:color="auto"/>
              <w:left w:val="nil"/>
              <w:bottom w:val="single" w:sz="4" w:space="0" w:color="auto"/>
              <w:right w:val="single" w:sz="4" w:space="0" w:color="auto"/>
            </w:tcBorders>
            <w:shd w:val="clear" w:color="auto" w:fill="auto"/>
          </w:tcPr>
          <w:p w14:paraId="64ADDFE1" w14:textId="77777777" w:rsidR="009D4A93" w:rsidRPr="00536CFD" w:rsidRDefault="009D4A93" w:rsidP="009D4A93">
            <w:pPr>
              <w:spacing w:after="0"/>
              <w:jc w:val="center"/>
              <w:rPr>
                <w:lang w:val="zh-CN"/>
              </w:rPr>
            </w:pPr>
            <w:r w:rsidRPr="00536CFD">
              <w:rPr>
                <w:lang w:val="zh-CN"/>
              </w:rPr>
              <w:t>0.51</w:t>
            </w:r>
          </w:p>
        </w:tc>
        <w:tc>
          <w:tcPr>
            <w:tcW w:w="820" w:type="dxa"/>
            <w:tcBorders>
              <w:top w:val="single" w:sz="4" w:space="0" w:color="auto"/>
              <w:left w:val="nil"/>
              <w:bottom w:val="single" w:sz="4" w:space="0" w:color="auto"/>
              <w:right w:val="single" w:sz="4" w:space="0" w:color="auto"/>
            </w:tcBorders>
            <w:shd w:val="clear" w:color="auto" w:fill="auto"/>
          </w:tcPr>
          <w:p w14:paraId="7D729912" w14:textId="77777777" w:rsidR="009D4A93" w:rsidRPr="00536CFD" w:rsidRDefault="009D4A93" w:rsidP="009D4A93">
            <w:pPr>
              <w:spacing w:after="0"/>
              <w:jc w:val="center"/>
              <w:rPr>
                <w:lang w:val="zh-CN"/>
              </w:rPr>
            </w:pPr>
            <w:r w:rsidRPr="00536CFD">
              <w:rPr>
                <w:lang w:val="zh-CN"/>
              </w:rPr>
              <w:t>0.25</w:t>
            </w:r>
          </w:p>
        </w:tc>
        <w:tc>
          <w:tcPr>
            <w:tcW w:w="800" w:type="dxa"/>
            <w:tcBorders>
              <w:top w:val="single" w:sz="4" w:space="0" w:color="auto"/>
              <w:left w:val="nil"/>
              <w:bottom w:val="single" w:sz="4" w:space="0" w:color="auto"/>
              <w:right w:val="single" w:sz="4" w:space="0" w:color="auto"/>
            </w:tcBorders>
            <w:shd w:val="clear" w:color="auto" w:fill="auto"/>
          </w:tcPr>
          <w:p w14:paraId="30673BAE" w14:textId="77777777" w:rsidR="009D4A93" w:rsidRPr="00536CFD" w:rsidRDefault="009D4A93" w:rsidP="009D4A93">
            <w:pPr>
              <w:spacing w:after="0"/>
              <w:jc w:val="center"/>
              <w:rPr>
                <w:lang w:val="zh-CN"/>
              </w:rPr>
            </w:pPr>
            <w:r w:rsidRPr="00536CFD">
              <w:rPr>
                <w:lang w:val="zh-CN"/>
              </w:rPr>
              <w:t>0.15</w:t>
            </w:r>
          </w:p>
        </w:tc>
        <w:tc>
          <w:tcPr>
            <w:tcW w:w="720" w:type="dxa"/>
            <w:tcBorders>
              <w:top w:val="single" w:sz="4" w:space="0" w:color="auto"/>
              <w:left w:val="nil"/>
              <w:bottom w:val="single" w:sz="4" w:space="0" w:color="auto"/>
              <w:right w:val="single" w:sz="4" w:space="0" w:color="auto"/>
            </w:tcBorders>
            <w:shd w:val="clear" w:color="auto" w:fill="auto"/>
          </w:tcPr>
          <w:p w14:paraId="03694AAC" w14:textId="77777777" w:rsidR="009D4A93" w:rsidRPr="00536CFD" w:rsidRDefault="009D4A93" w:rsidP="009D4A93">
            <w:pPr>
              <w:spacing w:after="0"/>
              <w:jc w:val="center"/>
              <w:rPr>
                <w:lang w:val="zh-CN"/>
              </w:rPr>
            </w:pPr>
            <w:r w:rsidRPr="00536CFD">
              <w:rPr>
                <w:lang w:val="zh-CN"/>
              </w:rPr>
              <w:t>0.13</w:t>
            </w:r>
          </w:p>
        </w:tc>
        <w:tc>
          <w:tcPr>
            <w:tcW w:w="724" w:type="dxa"/>
            <w:tcBorders>
              <w:top w:val="single" w:sz="4" w:space="0" w:color="auto"/>
              <w:left w:val="nil"/>
              <w:bottom w:val="single" w:sz="4" w:space="0" w:color="auto"/>
              <w:right w:val="single" w:sz="4" w:space="0" w:color="auto"/>
            </w:tcBorders>
            <w:shd w:val="clear" w:color="auto" w:fill="auto"/>
          </w:tcPr>
          <w:p w14:paraId="79624E65" w14:textId="77777777" w:rsidR="009D4A93" w:rsidRPr="00536CFD" w:rsidRDefault="009D4A93" w:rsidP="009D4A93">
            <w:pPr>
              <w:spacing w:after="0"/>
              <w:jc w:val="center"/>
              <w:rPr>
                <w:lang w:val="zh-CN"/>
              </w:rPr>
            </w:pPr>
            <w:r w:rsidRPr="00536CFD">
              <w:rPr>
                <w:lang w:val="zh-CN"/>
              </w:rPr>
              <w:t>1.13</w:t>
            </w:r>
          </w:p>
        </w:tc>
        <w:tc>
          <w:tcPr>
            <w:tcW w:w="896" w:type="dxa"/>
            <w:tcBorders>
              <w:top w:val="single" w:sz="4" w:space="0" w:color="auto"/>
              <w:left w:val="nil"/>
              <w:bottom w:val="single" w:sz="4" w:space="0" w:color="auto"/>
              <w:right w:val="single" w:sz="4" w:space="0" w:color="auto"/>
            </w:tcBorders>
            <w:shd w:val="clear" w:color="auto" w:fill="auto"/>
          </w:tcPr>
          <w:p w14:paraId="4B667572" w14:textId="77777777" w:rsidR="009D4A93" w:rsidRPr="00536CFD" w:rsidRDefault="009D4A93" w:rsidP="009D4A93">
            <w:pPr>
              <w:spacing w:after="0"/>
              <w:jc w:val="center"/>
              <w:rPr>
                <w:lang w:val="zh-CN"/>
              </w:rPr>
            </w:pPr>
            <w:r w:rsidRPr="00536CFD">
              <w:rPr>
                <w:lang w:val="zh-CN"/>
              </w:rPr>
              <w:t>0.30</w:t>
            </w:r>
          </w:p>
        </w:tc>
        <w:tc>
          <w:tcPr>
            <w:tcW w:w="720" w:type="dxa"/>
            <w:tcBorders>
              <w:top w:val="single" w:sz="4" w:space="0" w:color="auto"/>
              <w:left w:val="nil"/>
              <w:bottom w:val="single" w:sz="4" w:space="0" w:color="auto"/>
              <w:right w:val="single" w:sz="4" w:space="0" w:color="auto"/>
            </w:tcBorders>
            <w:shd w:val="clear" w:color="auto" w:fill="auto"/>
          </w:tcPr>
          <w:p w14:paraId="34B480E3" w14:textId="77777777" w:rsidR="009D4A93" w:rsidRPr="00536CFD" w:rsidRDefault="009D4A93" w:rsidP="009D4A93">
            <w:pPr>
              <w:spacing w:after="0"/>
              <w:jc w:val="center"/>
              <w:rPr>
                <w:lang w:val="zh-CN"/>
              </w:rPr>
            </w:pPr>
            <w:r w:rsidRPr="00536CFD">
              <w:rPr>
                <w:lang w:val="zh-CN"/>
              </w:rPr>
              <w:t>0.17</w:t>
            </w:r>
          </w:p>
        </w:tc>
        <w:tc>
          <w:tcPr>
            <w:tcW w:w="720" w:type="dxa"/>
            <w:tcBorders>
              <w:top w:val="single" w:sz="4" w:space="0" w:color="auto"/>
              <w:left w:val="nil"/>
              <w:bottom w:val="single" w:sz="4" w:space="0" w:color="auto"/>
              <w:right w:val="single" w:sz="4" w:space="0" w:color="auto"/>
            </w:tcBorders>
            <w:shd w:val="clear" w:color="auto" w:fill="auto"/>
          </w:tcPr>
          <w:p w14:paraId="0BC16294" w14:textId="77777777" w:rsidR="009D4A93" w:rsidRPr="00536CFD" w:rsidRDefault="009D4A93" w:rsidP="009D4A93">
            <w:pPr>
              <w:spacing w:after="0"/>
              <w:jc w:val="center"/>
              <w:rPr>
                <w:lang w:val="zh-CN"/>
              </w:rPr>
            </w:pPr>
            <w:r w:rsidRPr="00536CFD">
              <w:rPr>
                <w:lang w:val="zh-CN"/>
              </w:rPr>
              <w:t>0.15</w:t>
            </w:r>
          </w:p>
        </w:tc>
      </w:tr>
      <w:tr w:rsidR="009D4A93" w:rsidRPr="00536CFD" w14:paraId="2DF5D24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326C1E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0E8DEA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0B3A26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466A70E2" w14:textId="77777777" w:rsidR="009D4A93" w:rsidRPr="00536CFD" w:rsidRDefault="009D4A93" w:rsidP="009D4A93">
            <w:pPr>
              <w:spacing w:after="0"/>
              <w:jc w:val="center"/>
              <w:rPr>
                <w:lang w:val="zh-CN"/>
              </w:rPr>
            </w:pPr>
            <w:r w:rsidRPr="00536CFD">
              <w:rPr>
                <w:lang w:val="zh-CN"/>
              </w:rPr>
              <w:t>0.11</w:t>
            </w:r>
          </w:p>
        </w:tc>
        <w:tc>
          <w:tcPr>
            <w:tcW w:w="720" w:type="dxa"/>
            <w:tcBorders>
              <w:top w:val="single" w:sz="4" w:space="0" w:color="auto"/>
              <w:left w:val="nil"/>
              <w:bottom w:val="single" w:sz="4" w:space="0" w:color="auto"/>
              <w:right w:val="single" w:sz="4" w:space="0" w:color="auto"/>
            </w:tcBorders>
            <w:shd w:val="clear" w:color="auto" w:fill="auto"/>
          </w:tcPr>
          <w:p w14:paraId="7C7966AA" w14:textId="77777777" w:rsidR="009D4A93" w:rsidRPr="00536CFD" w:rsidRDefault="009D4A93" w:rsidP="009D4A93">
            <w:pPr>
              <w:spacing w:after="0"/>
              <w:jc w:val="center"/>
              <w:rPr>
                <w:lang w:val="zh-CN"/>
              </w:rPr>
            </w:pPr>
            <w:r w:rsidRPr="00536CFD">
              <w:rPr>
                <w:lang w:val="zh-CN"/>
              </w:rPr>
              <w:t>0.08</w:t>
            </w:r>
          </w:p>
        </w:tc>
        <w:tc>
          <w:tcPr>
            <w:tcW w:w="720" w:type="dxa"/>
            <w:tcBorders>
              <w:top w:val="single" w:sz="4" w:space="0" w:color="auto"/>
              <w:left w:val="nil"/>
              <w:bottom w:val="single" w:sz="4" w:space="0" w:color="auto"/>
              <w:right w:val="single" w:sz="4" w:space="0" w:color="auto"/>
            </w:tcBorders>
            <w:shd w:val="clear" w:color="auto" w:fill="auto"/>
          </w:tcPr>
          <w:p w14:paraId="58647C6C" w14:textId="77777777" w:rsidR="009D4A93" w:rsidRPr="00536CFD" w:rsidRDefault="009D4A93" w:rsidP="009D4A93">
            <w:pPr>
              <w:spacing w:after="0"/>
              <w:jc w:val="center"/>
              <w:rPr>
                <w:lang w:val="zh-CN"/>
              </w:rPr>
            </w:pPr>
            <w:r w:rsidRPr="00536CFD">
              <w:rPr>
                <w:lang w:val="zh-CN"/>
              </w:rPr>
              <w:t>0.06</w:t>
            </w:r>
          </w:p>
        </w:tc>
        <w:tc>
          <w:tcPr>
            <w:tcW w:w="810" w:type="dxa"/>
            <w:tcBorders>
              <w:top w:val="single" w:sz="4" w:space="0" w:color="auto"/>
              <w:left w:val="nil"/>
              <w:bottom w:val="single" w:sz="4" w:space="0" w:color="auto"/>
              <w:right w:val="single" w:sz="4" w:space="0" w:color="auto"/>
            </w:tcBorders>
            <w:shd w:val="clear" w:color="auto" w:fill="auto"/>
          </w:tcPr>
          <w:p w14:paraId="22060E08" w14:textId="77777777" w:rsidR="009D4A93" w:rsidRPr="00536CFD" w:rsidRDefault="009D4A93" w:rsidP="009D4A93">
            <w:pPr>
              <w:spacing w:after="0"/>
              <w:jc w:val="center"/>
              <w:rPr>
                <w:lang w:val="zh-CN"/>
              </w:rPr>
            </w:pPr>
            <w:r w:rsidRPr="00536CFD">
              <w:rPr>
                <w:lang w:val="zh-CN"/>
              </w:rPr>
              <w:t>0.05</w:t>
            </w:r>
          </w:p>
        </w:tc>
        <w:tc>
          <w:tcPr>
            <w:tcW w:w="810" w:type="dxa"/>
            <w:tcBorders>
              <w:top w:val="single" w:sz="4" w:space="0" w:color="auto"/>
              <w:left w:val="nil"/>
              <w:bottom w:val="single" w:sz="4" w:space="0" w:color="auto"/>
              <w:right w:val="single" w:sz="4" w:space="0" w:color="auto"/>
            </w:tcBorders>
            <w:shd w:val="clear" w:color="auto" w:fill="auto"/>
          </w:tcPr>
          <w:p w14:paraId="5D5517BB" w14:textId="77777777" w:rsidR="009D4A93" w:rsidRPr="00536CFD" w:rsidRDefault="009D4A93" w:rsidP="009D4A93">
            <w:pPr>
              <w:spacing w:after="0"/>
              <w:jc w:val="center"/>
              <w:rPr>
                <w:lang w:val="zh-CN"/>
              </w:rPr>
            </w:pPr>
            <w:r w:rsidRPr="00536CFD">
              <w:rPr>
                <w:lang w:val="zh-CN"/>
              </w:rPr>
              <w:t>0.18</w:t>
            </w:r>
          </w:p>
        </w:tc>
        <w:tc>
          <w:tcPr>
            <w:tcW w:w="820" w:type="dxa"/>
            <w:tcBorders>
              <w:top w:val="single" w:sz="4" w:space="0" w:color="auto"/>
              <w:left w:val="nil"/>
              <w:bottom w:val="single" w:sz="4" w:space="0" w:color="auto"/>
              <w:right w:val="single" w:sz="4" w:space="0" w:color="auto"/>
            </w:tcBorders>
            <w:shd w:val="clear" w:color="auto" w:fill="auto"/>
          </w:tcPr>
          <w:p w14:paraId="247C3E12" w14:textId="77777777" w:rsidR="009D4A93" w:rsidRPr="00536CFD" w:rsidRDefault="009D4A93" w:rsidP="009D4A93">
            <w:pPr>
              <w:spacing w:after="0"/>
              <w:jc w:val="center"/>
              <w:rPr>
                <w:lang w:val="zh-CN"/>
              </w:rPr>
            </w:pPr>
            <w:r w:rsidRPr="00536CFD">
              <w:rPr>
                <w:lang w:val="zh-CN"/>
              </w:rPr>
              <w:t>0.10</w:t>
            </w:r>
          </w:p>
        </w:tc>
        <w:tc>
          <w:tcPr>
            <w:tcW w:w="800" w:type="dxa"/>
            <w:tcBorders>
              <w:top w:val="single" w:sz="4" w:space="0" w:color="auto"/>
              <w:left w:val="nil"/>
              <w:bottom w:val="single" w:sz="4" w:space="0" w:color="auto"/>
              <w:right w:val="single" w:sz="4" w:space="0" w:color="auto"/>
            </w:tcBorders>
            <w:shd w:val="clear" w:color="auto" w:fill="auto"/>
          </w:tcPr>
          <w:p w14:paraId="4D6609E9"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5E971386" w14:textId="77777777" w:rsidR="009D4A93" w:rsidRPr="00536CFD" w:rsidRDefault="009D4A93" w:rsidP="009D4A93">
            <w:pPr>
              <w:spacing w:after="0"/>
              <w:jc w:val="center"/>
              <w:rPr>
                <w:lang w:val="zh-CN"/>
              </w:rPr>
            </w:pPr>
            <w:r w:rsidRPr="00536CFD">
              <w:rPr>
                <w:lang w:val="zh-CN"/>
              </w:rPr>
              <w:t>0.06</w:t>
            </w:r>
          </w:p>
        </w:tc>
        <w:tc>
          <w:tcPr>
            <w:tcW w:w="724" w:type="dxa"/>
            <w:tcBorders>
              <w:top w:val="single" w:sz="4" w:space="0" w:color="auto"/>
              <w:left w:val="nil"/>
              <w:bottom w:val="single" w:sz="4" w:space="0" w:color="auto"/>
              <w:right w:val="single" w:sz="4" w:space="0" w:color="auto"/>
            </w:tcBorders>
            <w:shd w:val="clear" w:color="auto" w:fill="auto"/>
          </w:tcPr>
          <w:p w14:paraId="64D4DA63" w14:textId="77777777" w:rsidR="009D4A93" w:rsidRPr="00536CFD" w:rsidRDefault="009D4A93" w:rsidP="009D4A93">
            <w:pPr>
              <w:spacing w:after="0"/>
              <w:jc w:val="center"/>
              <w:rPr>
                <w:lang w:val="zh-CN"/>
              </w:rPr>
            </w:pPr>
            <w:r w:rsidRPr="00536CFD">
              <w:rPr>
                <w:lang w:val="zh-CN"/>
              </w:rPr>
              <w:t>0.32</w:t>
            </w:r>
          </w:p>
        </w:tc>
        <w:tc>
          <w:tcPr>
            <w:tcW w:w="896" w:type="dxa"/>
            <w:tcBorders>
              <w:top w:val="single" w:sz="4" w:space="0" w:color="auto"/>
              <w:left w:val="nil"/>
              <w:bottom w:val="single" w:sz="4" w:space="0" w:color="auto"/>
              <w:right w:val="single" w:sz="4" w:space="0" w:color="auto"/>
            </w:tcBorders>
            <w:shd w:val="clear" w:color="auto" w:fill="auto"/>
          </w:tcPr>
          <w:p w14:paraId="54CAF895" w14:textId="77777777" w:rsidR="009D4A93" w:rsidRPr="00536CFD" w:rsidRDefault="009D4A93" w:rsidP="009D4A93">
            <w:pPr>
              <w:spacing w:after="0"/>
              <w:jc w:val="center"/>
              <w:rPr>
                <w:lang w:val="zh-CN"/>
              </w:rPr>
            </w:pPr>
            <w:r w:rsidRPr="00536CFD">
              <w:rPr>
                <w:lang w:val="zh-CN"/>
              </w:rPr>
              <w:t>0.11</w:t>
            </w:r>
          </w:p>
        </w:tc>
        <w:tc>
          <w:tcPr>
            <w:tcW w:w="720" w:type="dxa"/>
            <w:tcBorders>
              <w:top w:val="single" w:sz="4" w:space="0" w:color="auto"/>
              <w:left w:val="nil"/>
              <w:bottom w:val="single" w:sz="4" w:space="0" w:color="auto"/>
              <w:right w:val="single" w:sz="4" w:space="0" w:color="auto"/>
            </w:tcBorders>
            <w:shd w:val="clear" w:color="auto" w:fill="auto"/>
          </w:tcPr>
          <w:p w14:paraId="09AF4632"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2424AC61" w14:textId="77777777" w:rsidR="009D4A93" w:rsidRPr="00536CFD" w:rsidRDefault="009D4A93" w:rsidP="009D4A93">
            <w:pPr>
              <w:spacing w:after="0"/>
              <w:jc w:val="center"/>
              <w:rPr>
                <w:lang w:val="zh-CN"/>
              </w:rPr>
            </w:pPr>
            <w:r w:rsidRPr="00536CFD">
              <w:rPr>
                <w:lang w:val="zh-CN"/>
              </w:rPr>
              <w:t>0.07</w:t>
            </w:r>
          </w:p>
        </w:tc>
      </w:tr>
      <w:tr w:rsidR="009D4A93" w:rsidRPr="00536CFD" w14:paraId="4ECC839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A904A0D"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1C75BC4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6BC4A45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71E09DED" w14:textId="77777777" w:rsidR="009D4A93" w:rsidRPr="00536CFD" w:rsidRDefault="009D4A93" w:rsidP="009D4A93">
            <w:pPr>
              <w:spacing w:after="0"/>
              <w:jc w:val="center"/>
              <w:rPr>
                <w:lang w:val="zh-CN"/>
              </w:rPr>
            </w:pPr>
            <w:r w:rsidRPr="00536CFD">
              <w:rPr>
                <w:lang w:val="zh-CN"/>
              </w:rPr>
              <w:t>18.43</w:t>
            </w:r>
          </w:p>
        </w:tc>
        <w:tc>
          <w:tcPr>
            <w:tcW w:w="720" w:type="dxa"/>
            <w:tcBorders>
              <w:top w:val="single" w:sz="4" w:space="0" w:color="auto"/>
              <w:left w:val="nil"/>
              <w:bottom w:val="single" w:sz="4" w:space="0" w:color="auto"/>
              <w:right w:val="single" w:sz="4" w:space="0" w:color="auto"/>
            </w:tcBorders>
            <w:shd w:val="clear" w:color="auto" w:fill="auto"/>
          </w:tcPr>
          <w:p w14:paraId="51177985" w14:textId="77777777" w:rsidR="009D4A93" w:rsidRPr="00536CFD" w:rsidRDefault="009D4A93" w:rsidP="009D4A93">
            <w:pPr>
              <w:spacing w:after="0"/>
              <w:jc w:val="center"/>
              <w:rPr>
                <w:lang w:val="zh-CN"/>
              </w:rPr>
            </w:pPr>
            <w:r w:rsidRPr="00536CFD">
              <w:rPr>
                <w:lang w:val="zh-CN"/>
              </w:rPr>
              <w:t>26.83</w:t>
            </w:r>
          </w:p>
        </w:tc>
        <w:tc>
          <w:tcPr>
            <w:tcW w:w="720" w:type="dxa"/>
            <w:tcBorders>
              <w:top w:val="single" w:sz="4" w:space="0" w:color="auto"/>
              <w:left w:val="nil"/>
              <w:bottom w:val="single" w:sz="4" w:space="0" w:color="auto"/>
              <w:right w:val="single" w:sz="4" w:space="0" w:color="auto"/>
            </w:tcBorders>
            <w:shd w:val="clear" w:color="auto" w:fill="auto"/>
          </w:tcPr>
          <w:p w14:paraId="0C9DB6DD" w14:textId="77777777" w:rsidR="009D4A93" w:rsidRPr="00536CFD" w:rsidRDefault="009D4A93" w:rsidP="009D4A93">
            <w:pPr>
              <w:spacing w:after="0"/>
              <w:jc w:val="center"/>
              <w:rPr>
                <w:lang w:val="zh-CN"/>
              </w:rPr>
            </w:pPr>
            <w:r w:rsidRPr="00536CFD">
              <w:rPr>
                <w:lang w:val="zh-CN"/>
              </w:rPr>
              <w:t>18.46</w:t>
            </w:r>
          </w:p>
        </w:tc>
        <w:tc>
          <w:tcPr>
            <w:tcW w:w="810" w:type="dxa"/>
            <w:tcBorders>
              <w:top w:val="single" w:sz="4" w:space="0" w:color="auto"/>
              <w:left w:val="nil"/>
              <w:bottom w:val="single" w:sz="4" w:space="0" w:color="auto"/>
              <w:right w:val="single" w:sz="4" w:space="0" w:color="auto"/>
            </w:tcBorders>
            <w:shd w:val="clear" w:color="auto" w:fill="auto"/>
          </w:tcPr>
          <w:p w14:paraId="197D0412" w14:textId="77777777" w:rsidR="009D4A93" w:rsidRPr="00536CFD" w:rsidRDefault="009D4A93" w:rsidP="009D4A93">
            <w:pPr>
              <w:spacing w:after="0"/>
              <w:jc w:val="center"/>
              <w:rPr>
                <w:lang w:val="zh-CN"/>
              </w:rPr>
            </w:pPr>
            <w:r w:rsidRPr="00536CFD">
              <w:rPr>
                <w:lang w:val="zh-CN"/>
              </w:rPr>
              <w:t>29.85</w:t>
            </w:r>
          </w:p>
        </w:tc>
        <w:tc>
          <w:tcPr>
            <w:tcW w:w="810" w:type="dxa"/>
            <w:tcBorders>
              <w:top w:val="single" w:sz="4" w:space="0" w:color="auto"/>
              <w:left w:val="nil"/>
              <w:bottom w:val="single" w:sz="4" w:space="0" w:color="auto"/>
              <w:right w:val="single" w:sz="4" w:space="0" w:color="auto"/>
            </w:tcBorders>
            <w:shd w:val="clear" w:color="auto" w:fill="auto"/>
          </w:tcPr>
          <w:p w14:paraId="6C11DA76" w14:textId="77777777" w:rsidR="009D4A93" w:rsidRPr="00536CFD" w:rsidRDefault="009D4A93" w:rsidP="009D4A93">
            <w:pPr>
              <w:spacing w:after="0"/>
              <w:jc w:val="center"/>
              <w:rPr>
                <w:lang w:val="zh-CN"/>
              </w:rPr>
            </w:pPr>
            <w:r w:rsidRPr="00536CFD">
              <w:rPr>
                <w:lang w:val="zh-CN"/>
              </w:rPr>
              <w:t>6.98</w:t>
            </w:r>
          </w:p>
        </w:tc>
        <w:tc>
          <w:tcPr>
            <w:tcW w:w="820" w:type="dxa"/>
            <w:tcBorders>
              <w:top w:val="single" w:sz="4" w:space="0" w:color="auto"/>
              <w:left w:val="nil"/>
              <w:bottom w:val="single" w:sz="4" w:space="0" w:color="auto"/>
              <w:right w:val="single" w:sz="4" w:space="0" w:color="auto"/>
            </w:tcBorders>
            <w:shd w:val="clear" w:color="auto" w:fill="auto"/>
          </w:tcPr>
          <w:p w14:paraId="03F6DC5A" w14:textId="77777777" w:rsidR="009D4A93" w:rsidRPr="00536CFD" w:rsidRDefault="009D4A93" w:rsidP="009D4A93">
            <w:pPr>
              <w:spacing w:after="0"/>
              <w:jc w:val="center"/>
              <w:rPr>
                <w:lang w:val="zh-CN"/>
              </w:rPr>
            </w:pPr>
            <w:r w:rsidRPr="00536CFD">
              <w:rPr>
                <w:lang w:val="zh-CN"/>
              </w:rPr>
              <w:t>18.39</w:t>
            </w:r>
          </w:p>
        </w:tc>
        <w:tc>
          <w:tcPr>
            <w:tcW w:w="800" w:type="dxa"/>
            <w:tcBorders>
              <w:top w:val="single" w:sz="4" w:space="0" w:color="auto"/>
              <w:left w:val="nil"/>
              <w:bottom w:val="single" w:sz="4" w:space="0" w:color="auto"/>
              <w:right w:val="single" w:sz="4" w:space="0" w:color="auto"/>
            </w:tcBorders>
            <w:shd w:val="clear" w:color="auto" w:fill="auto"/>
          </w:tcPr>
          <w:p w14:paraId="3070295C" w14:textId="77777777" w:rsidR="009D4A93" w:rsidRPr="00536CFD" w:rsidRDefault="009D4A93" w:rsidP="009D4A93">
            <w:pPr>
              <w:spacing w:after="0"/>
              <w:jc w:val="center"/>
              <w:rPr>
                <w:lang w:val="zh-CN"/>
              </w:rPr>
            </w:pPr>
            <w:r w:rsidRPr="00536CFD">
              <w:rPr>
                <w:lang w:val="zh-CN"/>
              </w:rPr>
              <w:t>13.13</w:t>
            </w:r>
          </w:p>
        </w:tc>
        <w:tc>
          <w:tcPr>
            <w:tcW w:w="720" w:type="dxa"/>
            <w:tcBorders>
              <w:top w:val="single" w:sz="4" w:space="0" w:color="auto"/>
              <w:left w:val="nil"/>
              <w:bottom w:val="single" w:sz="4" w:space="0" w:color="auto"/>
              <w:right w:val="single" w:sz="4" w:space="0" w:color="auto"/>
            </w:tcBorders>
            <w:shd w:val="clear" w:color="auto" w:fill="auto"/>
          </w:tcPr>
          <w:p w14:paraId="59EF7EE5" w14:textId="77777777" w:rsidR="009D4A93" w:rsidRPr="00536CFD" w:rsidRDefault="009D4A93" w:rsidP="009D4A93">
            <w:pPr>
              <w:spacing w:after="0"/>
              <w:jc w:val="center"/>
              <w:rPr>
                <w:lang w:val="zh-CN"/>
              </w:rPr>
            </w:pPr>
            <w:r w:rsidRPr="00536CFD">
              <w:rPr>
                <w:lang w:val="zh-CN"/>
              </w:rPr>
              <w:t>24</w:t>
            </w:r>
          </w:p>
        </w:tc>
        <w:tc>
          <w:tcPr>
            <w:tcW w:w="724" w:type="dxa"/>
            <w:tcBorders>
              <w:top w:val="single" w:sz="4" w:space="0" w:color="auto"/>
              <w:left w:val="nil"/>
              <w:bottom w:val="single" w:sz="4" w:space="0" w:color="auto"/>
              <w:right w:val="single" w:sz="4" w:space="0" w:color="auto"/>
            </w:tcBorders>
            <w:shd w:val="clear" w:color="auto" w:fill="auto"/>
          </w:tcPr>
          <w:p w14:paraId="53E3F42D" w14:textId="77777777" w:rsidR="009D4A93" w:rsidRPr="00536CFD" w:rsidRDefault="009D4A93" w:rsidP="009D4A93">
            <w:pPr>
              <w:spacing w:after="0"/>
              <w:jc w:val="center"/>
              <w:rPr>
                <w:lang w:val="zh-CN"/>
              </w:rPr>
            </w:pPr>
            <w:r w:rsidRPr="00536CFD">
              <w:rPr>
                <w:lang w:val="zh-CN"/>
              </w:rPr>
              <w:t>1.49</w:t>
            </w:r>
          </w:p>
        </w:tc>
        <w:tc>
          <w:tcPr>
            <w:tcW w:w="896" w:type="dxa"/>
            <w:tcBorders>
              <w:top w:val="single" w:sz="4" w:space="0" w:color="auto"/>
              <w:left w:val="nil"/>
              <w:bottom w:val="single" w:sz="4" w:space="0" w:color="auto"/>
              <w:right w:val="single" w:sz="4" w:space="0" w:color="auto"/>
            </w:tcBorders>
            <w:shd w:val="clear" w:color="auto" w:fill="auto"/>
          </w:tcPr>
          <w:p w14:paraId="6B1B4C25" w14:textId="77777777" w:rsidR="009D4A93" w:rsidRPr="00536CFD" w:rsidRDefault="009D4A93" w:rsidP="009D4A93">
            <w:pPr>
              <w:spacing w:after="0"/>
              <w:jc w:val="center"/>
              <w:rPr>
                <w:lang w:val="zh-CN"/>
              </w:rPr>
            </w:pPr>
            <w:r w:rsidRPr="00536CFD">
              <w:rPr>
                <w:lang w:val="zh-CN"/>
              </w:rPr>
              <w:t>13.13</w:t>
            </w:r>
          </w:p>
        </w:tc>
        <w:tc>
          <w:tcPr>
            <w:tcW w:w="720" w:type="dxa"/>
            <w:tcBorders>
              <w:top w:val="single" w:sz="4" w:space="0" w:color="auto"/>
              <w:left w:val="nil"/>
              <w:bottom w:val="single" w:sz="4" w:space="0" w:color="auto"/>
              <w:right w:val="single" w:sz="4" w:space="0" w:color="auto"/>
            </w:tcBorders>
            <w:shd w:val="clear" w:color="auto" w:fill="auto"/>
          </w:tcPr>
          <w:p w14:paraId="11451391" w14:textId="77777777" w:rsidR="009D4A93" w:rsidRPr="00536CFD" w:rsidRDefault="009D4A93" w:rsidP="009D4A93">
            <w:pPr>
              <w:spacing w:after="0"/>
              <w:jc w:val="center"/>
              <w:rPr>
                <w:lang w:val="zh-CN"/>
              </w:rPr>
            </w:pPr>
            <w:r w:rsidRPr="00536CFD">
              <w:rPr>
                <w:lang w:val="zh-CN"/>
              </w:rPr>
              <w:t>9.97</w:t>
            </w:r>
          </w:p>
        </w:tc>
        <w:tc>
          <w:tcPr>
            <w:tcW w:w="720" w:type="dxa"/>
            <w:tcBorders>
              <w:top w:val="single" w:sz="4" w:space="0" w:color="auto"/>
              <w:left w:val="nil"/>
              <w:bottom w:val="single" w:sz="4" w:space="0" w:color="auto"/>
              <w:right w:val="single" w:sz="4" w:space="0" w:color="auto"/>
            </w:tcBorders>
            <w:shd w:val="clear" w:color="auto" w:fill="auto"/>
          </w:tcPr>
          <w:p w14:paraId="220C595A" w14:textId="77777777" w:rsidR="009D4A93" w:rsidRPr="00536CFD" w:rsidRDefault="009D4A93" w:rsidP="009D4A93">
            <w:pPr>
              <w:spacing w:after="0"/>
              <w:jc w:val="center"/>
              <w:rPr>
                <w:lang w:val="zh-CN"/>
              </w:rPr>
            </w:pPr>
            <w:r w:rsidRPr="00536CFD">
              <w:rPr>
                <w:lang w:val="zh-CN"/>
              </w:rPr>
              <w:t>20.6</w:t>
            </w:r>
          </w:p>
        </w:tc>
      </w:tr>
      <w:tr w:rsidR="009D4A93" w:rsidRPr="00536CFD" w14:paraId="358A8D8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6E15D60"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EC7E8B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637A13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0F3010E0" w14:textId="77777777" w:rsidR="009D4A93" w:rsidRPr="00536CFD" w:rsidRDefault="009D4A93" w:rsidP="009D4A93">
            <w:pPr>
              <w:spacing w:after="0"/>
              <w:jc w:val="center"/>
              <w:rPr>
                <w:lang w:val="zh-CN"/>
              </w:rPr>
            </w:pPr>
            <w:r w:rsidRPr="00536CFD">
              <w:rPr>
                <w:lang w:val="zh-CN"/>
              </w:rPr>
              <w:t>53.63</w:t>
            </w:r>
          </w:p>
        </w:tc>
        <w:tc>
          <w:tcPr>
            <w:tcW w:w="720" w:type="dxa"/>
            <w:tcBorders>
              <w:top w:val="single" w:sz="4" w:space="0" w:color="auto"/>
              <w:left w:val="nil"/>
              <w:bottom w:val="single" w:sz="4" w:space="0" w:color="auto"/>
              <w:right w:val="single" w:sz="4" w:space="0" w:color="auto"/>
            </w:tcBorders>
            <w:shd w:val="clear" w:color="auto" w:fill="auto"/>
          </w:tcPr>
          <w:p w14:paraId="420411B4" w14:textId="77777777" w:rsidR="009D4A93" w:rsidRPr="00536CFD" w:rsidRDefault="009D4A93" w:rsidP="009D4A93">
            <w:pPr>
              <w:spacing w:after="0"/>
              <w:jc w:val="center"/>
              <w:rPr>
                <w:lang w:val="zh-CN"/>
              </w:rPr>
            </w:pPr>
            <w:r w:rsidRPr="00536CFD">
              <w:rPr>
                <w:lang w:val="zh-CN"/>
              </w:rPr>
              <w:t>72.26</w:t>
            </w:r>
          </w:p>
        </w:tc>
        <w:tc>
          <w:tcPr>
            <w:tcW w:w="720" w:type="dxa"/>
            <w:tcBorders>
              <w:top w:val="single" w:sz="4" w:space="0" w:color="auto"/>
              <w:left w:val="nil"/>
              <w:bottom w:val="single" w:sz="4" w:space="0" w:color="auto"/>
              <w:right w:val="single" w:sz="4" w:space="0" w:color="auto"/>
            </w:tcBorders>
            <w:shd w:val="clear" w:color="auto" w:fill="auto"/>
          </w:tcPr>
          <w:p w14:paraId="3128064D" w14:textId="77777777" w:rsidR="009D4A93" w:rsidRPr="00536CFD" w:rsidRDefault="009D4A93" w:rsidP="009D4A93">
            <w:pPr>
              <w:spacing w:after="0"/>
              <w:jc w:val="center"/>
              <w:rPr>
                <w:lang w:val="zh-CN"/>
              </w:rPr>
            </w:pPr>
            <w:r w:rsidRPr="00536CFD">
              <w:rPr>
                <w:lang w:val="zh-CN"/>
              </w:rPr>
              <w:t>56.06</w:t>
            </w:r>
          </w:p>
        </w:tc>
        <w:tc>
          <w:tcPr>
            <w:tcW w:w="810" w:type="dxa"/>
            <w:tcBorders>
              <w:top w:val="single" w:sz="4" w:space="0" w:color="auto"/>
              <w:left w:val="nil"/>
              <w:bottom w:val="single" w:sz="4" w:space="0" w:color="auto"/>
              <w:right w:val="single" w:sz="4" w:space="0" w:color="auto"/>
            </w:tcBorders>
            <w:shd w:val="clear" w:color="auto" w:fill="auto"/>
          </w:tcPr>
          <w:p w14:paraId="67867EA1" w14:textId="77777777" w:rsidR="009D4A93" w:rsidRPr="00536CFD" w:rsidRDefault="009D4A93" w:rsidP="009D4A93">
            <w:pPr>
              <w:spacing w:after="0"/>
              <w:jc w:val="center"/>
              <w:rPr>
                <w:lang w:val="zh-CN"/>
              </w:rPr>
            </w:pPr>
            <w:r w:rsidRPr="00536CFD">
              <w:rPr>
                <w:lang w:val="zh-CN"/>
              </w:rPr>
              <w:t>76.68</w:t>
            </w:r>
          </w:p>
        </w:tc>
        <w:tc>
          <w:tcPr>
            <w:tcW w:w="810" w:type="dxa"/>
            <w:tcBorders>
              <w:top w:val="single" w:sz="4" w:space="0" w:color="auto"/>
              <w:left w:val="nil"/>
              <w:bottom w:val="single" w:sz="4" w:space="0" w:color="auto"/>
              <w:right w:val="single" w:sz="4" w:space="0" w:color="auto"/>
            </w:tcBorders>
            <w:shd w:val="clear" w:color="auto" w:fill="auto"/>
          </w:tcPr>
          <w:p w14:paraId="2DB4CB58" w14:textId="77777777" w:rsidR="009D4A93" w:rsidRPr="00536CFD" w:rsidRDefault="009D4A93" w:rsidP="009D4A93">
            <w:pPr>
              <w:spacing w:after="0"/>
              <w:jc w:val="center"/>
              <w:rPr>
                <w:lang w:val="zh-CN"/>
              </w:rPr>
            </w:pPr>
            <w:r w:rsidRPr="00536CFD">
              <w:rPr>
                <w:lang w:val="zh-CN"/>
              </w:rPr>
              <w:t>38.48</w:t>
            </w:r>
          </w:p>
        </w:tc>
        <w:tc>
          <w:tcPr>
            <w:tcW w:w="820" w:type="dxa"/>
            <w:tcBorders>
              <w:top w:val="single" w:sz="4" w:space="0" w:color="auto"/>
              <w:left w:val="nil"/>
              <w:bottom w:val="single" w:sz="4" w:space="0" w:color="auto"/>
              <w:right w:val="single" w:sz="4" w:space="0" w:color="auto"/>
            </w:tcBorders>
            <w:shd w:val="clear" w:color="auto" w:fill="auto"/>
          </w:tcPr>
          <w:p w14:paraId="0BE9B52E" w14:textId="77777777" w:rsidR="009D4A93" w:rsidRPr="00536CFD" w:rsidRDefault="009D4A93" w:rsidP="009D4A93">
            <w:pPr>
              <w:spacing w:after="0"/>
              <w:jc w:val="center"/>
              <w:rPr>
                <w:lang w:val="zh-CN"/>
              </w:rPr>
            </w:pPr>
            <w:r w:rsidRPr="00536CFD">
              <w:rPr>
                <w:lang w:val="zh-CN"/>
              </w:rPr>
              <w:t>59.77</w:t>
            </w:r>
          </w:p>
        </w:tc>
        <w:tc>
          <w:tcPr>
            <w:tcW w:w="800" w:type="dxa"/>
            <w:tcBorders>
              <w:top w:val="single" w:sz="4" w:space="0" w:color="auto"/>
              <w:left w:val="nil"/>
              <w:bottom w:val="single" w:sz="4" w:space="0" w:color="auto"/>
              <w:right w:val="single" w:sz="4" w:space="0" w:color="auto"/>
            </w:tcBorders>
            <w:shd w:val="clear" w:color="auto" w:fill="auto"/>
          </w:tcPr>
          <w:p w14:paraId="1FD860C2" w14:textId="77777777" w:rsidR="009D4A93" w:rsidRPr="00536CFD" w:rsidRDefault="009D4A93" w:rsidP="009D4A93">
            <w:pPr>
              <w:spacing w:after="0"/>
              <w:jc w:val="center"/>
              <w:rPr>
                <w:lang w:val="zh-CN"/>
              </w:rPr>
            </w:pPr>
            <w:r w:rsidRPr="00536CFD">
              <w:rPr>
                <w:lang w:val="zh-CN"/>
              </w:rPr>
              <w:t>42.8</w:t>
            </w:r>
          </w:p>
        </w:tc>
        <w:tc>
          <w:tcPr>
            <w:tcW w:w="720" w:type="dxa"/>
            <w:tcBorders>
              <w:top w:val="single" w:sz="4" w:space="0" w:color="auto"/>
              <w:left w:val="nil"/>
              <w:bottom w:val="single" w:sz="4" w:space="0" w:color="auto"/>
              <w:right w:val="single" w:sz="4" w:space="0" w:color="auto"/>
            </w:tcBorders>
            <w:shd w:val="clear" w:color="auto" w:fill="auto"/>
          </w:tcPr>
          <w:p w14:paraId="4B04AB0C" w14:textId="77777777" w:rsidR="009D4A93" w:rsidRPr="00536CFD" w:rsidRDefault="009D4A93" w:rsidP="009D4A93">
            <w:pPr>
              <w:spacing w:after="0"/>
              <w:jc w:val="center"/>
              <w:rPr>
                <w:lang w:val="zh-CN"/>
              </w:rPr>
            </w:pPr>
            <w:r w:rsidRPr="00536CFD">
              <w:rPr>
                <w:lang w:val="zh-CN"/>
              </w:rPr>
              <w:t>66.15</w:t>
            </w:r>
          </w:p>
        </w:tc>
        <w:tc>
          <w:tcPr>
            <w:tcW w:w="724" w:type="dxa"/>
            <w:tcBorders>
              <w:top w:val="single" w:sz="4" w:space="0" w:color="auto"/>
              <w:left w:val="nil"/>
              <w:bottom w:val="single" w:sz="4" w:space="0" w:color="auto"/>
              <w:right w:val="single" w:sz="4" w:space="0" w:color="auto"/>
            </w:tcBorders>
            <w:shd w:val="clear" w:color="auto" w:fill="auto"/>
          </w:tcPr>
          <w:p w14:paraId="0D22CA86" w14:textId="77777777" w:rsidR="009D4A93" w:rsidRPr="00536CFD" w:rsidRDefault="009D4A93" w:rsidP="009D4A93">
            <w:pPr>
              <w:spacing w:after="0"/>
              <w:jc w:val="center"/>
              <w:rPr>
                <w:lang w:val="zh-CN"/>
              </w:rPr>
            </w:pPr>
            <w:r w:rsidRPr="00536CFD">
              <w:rPr>
                <w:lang w:val="zh-CN"/>
              </w:rPr>
              <w:t>29.2</w:t>
            </w:r>
          </w:p>
        </w:tc>
        <w:tc>
          <w:tcPr>
            <w:tcW w:w="896" w:type="dxa"/>
            <w:tcBorders>
              <w:top w:val="single" w:sz="4" w:space="0" w:color="auto"/>
              <w:left w:val="nil"/>
              <w:bottom w:val="single" w:sz="4" w:space="0" w:color="auto"/>
              <w:right w:val="single" w:sz="4" w:space="0" w:color="auto"/>
            </w:tcBorders>
            <w:shd w:val="clear" w:color="auto" w:fill="auto"/>
          </w:tcPr>
          <w:p w14:paraId="0AC01E05" w14:textId="77777777" w:rsidR="009D4A93" w:rsidRPr="00536CFD" w:rsidRDefault="009D4A93" w:rsidP="009D4A93">
            <w:pPr>
              <w:spacing w:after="0"/>
              <w:jc w:val="center"/>
              <w:rPr>
                <w:lang w:val="zh-CN"/>
              </w:rPr>
            </w:pPr>
            <w:r w:rsidRPr="00536CFD">
              <w:rPr>
                <w:lang w:val="zh-CN"/>
              </w:rPr>
              <w:t>56.98</w:t>
            </w:r>
          </w:p>
        </w:tc>
        <w:tc>
          <w:tcPr>
            <w:tcW w:w="720" w:type="dxa"/>
            <w:tcBorders>
              <w:top w:val="single" w:sz="4" w:space="0" w:color="auto"/>
              <w:left w:val="nil"/>
              <w:bottom w:val="single" w:sz="4" w:space="0" w:color="auto"/>
              <w:right w:val="single" w:sz="4" w:space="0" w:color="auto"/>
            </w:tcBorders>
            <w:shd w:val="clear" w:color="auto" w:fill="auto"/>
          </w:tcPr>
          <w:p w14:paraId="074C6728" w14:textId="77777777" w:rsidR="009D4A93" w:rsidRPr="00536CFD" w:rsidRDefault="009D4A93" w:rsidP="009D4A93">
            <w:pPr>
              <w:spacing w:after="0"/>
              <w:jc w:val="center"/>
              <w:rPr>
                <w:lang w:val="zh-CN"/>
              </w:rPr>
            </w:pPr>
            <w:r w:rsidRPr="00536CFD">
              <w:rPr>
                <w:lang w:val="zh-CN"/>
              </w:rPr>
              <w:t>37.55</w:t>
            </w:r>
          </w:p>
        </w:tc>
        <w:tc>
          <w:tcPr>
            <w:tcW w:w="720" w:type="dxa"/>
            <w:tcBorders>
              <w:top w:val="single" w:sz="4" w:space="0" w:color="auto"/>
              <w:left w:val="nil"/>
              <w:bottom w:val="single" w:sz="4" w:space="0" w:color="auto"/>
              <w:right w:val="single" w:sz="4" w:space="0" w:color="auto"/>
            </w:tcBorders>
            <w:shd w:val="clear" w:color="auto" w:fill="auto"/>
          </w:tcPr>
          <w:p w14:paraId="191E2BFF" w14:textId="77777777" w:rsidR="009D4A93" w:rsidRPr="00536CFD" w:rsidRDefault="009D4A93" w:rsidP="009D4A93">
            <w:pPr>
              <w:spacing w:after="0"/>
              <w:jc w:val="center"/>
              <w:rPr>
                <w:lang w:val="zh-CN"/>
              </w:rPr>
            </w:pPr>
            <w:r w:rsidRPr="00536CFD">
              <w:rPr>
                <w:lang w:val="zh-CN"/>
              </w:rPr>
              <w:t>60.15</w:t>
            </w:r>
          </w:p>
        </w:tc>
      </w:tr>
      <w:tr w:rsidR="009D4A93" w:rsidRPr="00536CFD" w14:paraId="1669F92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F64879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EB2053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E7E0D2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04CA8D39" w14:textId="77777777" w:rsidR="009D4A93" w:rsidRPr="00536CFD" w:rsidRDefault="009D4A93" w:rsidP="009D4A93">
            <w:pPr>
              <w:spacing w:after="0"/>
              <w:jc w:val="center"/>
              <w:rPr>
                <w:lang w:val="zh-CN"/>
              </w:rPr>
            </w:pPr>
            <w:r w:rsidRPr="00536CFD">
              <w:rPr>
                <w:lang w:val="zh-CN"/>
              </w:rPr>
              <w:t>79.2</w:t>
            </w:r>
          </w:p>
        </w:tc>
        <w:tc>
          <w:tcPr>
            <w:tcW w:w="720" w:type="dxa"/>
            <w:tcBorders>
              <w:top w:val="single" w:sz="4" w:space="0" w:color="auto"/>
              <w:left w:val="nil"/>
              <w:bottom w:val="single" w:sz="4" w:space="0" w:color="auto"/>
              <w:right w:val="single" w:sz="4" w:space="0" w:color="auto"/>
            </w:tcBorders>
            <w:shd w:val="clear" w:color="auto" w:fill="auto"/>
          </w:tcPr>
          <w:p w14:paraId="69987C33" w14:textId="77777777" w:rsidR="009D4A93" w:rsidRPr="00536CFD" w:rsidRDefault="009D4A93" w:rsidP="009D4A93">
            <w:pPr>
              <w:spacing w:after="0"/>
              <w:jc w:val="center"/>
              <w:rPr>
                <w:lang w:val="zh-CN"/>
              </w:rPr>
            </w:pPr>
            <w:r w:rsidRPr="00536CFD">
              <w:rPr>
                <w:lang w:val="zh-CN"/>
              </w:rPr>
              <w:t>79.44</w:t>
            </w:r>
          </w:p>
        </w:tc>
        <w:tc>
          <w:tcPr>
            <w:tcW w:w="720" w:type="dxa"/>
            <w:tcBorders>
              <w:top w:val="single" w:sz="4" w:space="0" w:color="auto"/>
              <w:left w:val="nil"/>
              <w:bottom w:val="single" w:sz="4" w:space="0" w:color="auto"/>
              <w:right w:val="single" w:sz="4" w:space="0" w:color="auto"/>
            </w:tcBorders>
            <w:shd w:val="clear" w:color="auto" w:fill="auto"/>
          </w:tcPr>
          <w:p w14:paraId="19E1AF15" w14:textId="77777777" w:rsidR="009D4A93" w:rsidRPr="00536CFD" w:rsidRDefault="009D4A93" w:rsidP="009D4A93">
            <w:pPr>
              <w:spacing w:after="0"/>
              <w:jc w:val="center"/>
              <w:rPr>
                <w:lang w:val="zh-CN"/>
              </w:rPr>
            </w:pPr>
            <w:r w:rsidRPr="00536CFD">
              <w:rPr>
                <w:lang w:val="zh-CN"/>
              </w:rPr>
              <w:t>72.22</w:t>
            </w:r>
          </w:p>
        </w:tc>
        <w:tc>
          <w:tcPr>
            <w:tcW w:w="810" w:type="dxa"/>
            <w:tcBorders>
              <w:top w:val="single" w:sz="4" w:space="0" w:color="auto"/>
              <w:left w:val="nil"/>
              <w:bottom w:val="single" w:sz="4" w:space="0" w:color="auto"/>
              <w:right w:val="single" w:sz="4" w:space="0" w:color="auto"/>
            </w:tcBorders>
            <w:shd w:val="clear" w:color="auto" w:fill="auto"/>
          </w:tcPr>
          <w:p w14:paraId="02068A74" w14:textId="77777777" w:rsidR="009D4A93" w:rsidRPr="00536CFD" w:rsidRDefault="009D4A93" w:rsidP="009D4A93">
            <w:pPr>
              <w:spacing w:after="0"/>
              <w:jc w:val="center"/>
              <w:rPr>
                <w:lang w:val="zh-CN"/>
              </w:rPr>
            </w:pPr>
            <w:r w:rsidRPr="00536CFD">
              <w:rPr>
                <w:lang w:val="zh-CN"/>
              </w:rPr>
              <w:t>83.73</w:t>
            </w:r>
          </w:p>
        </w:tc>
        <w:tc>
          <w:tcPr>
            <w:tcW w:w="810" w:type="dxa"/>
            <w:tcBorders>
              <w:top w:val="single" w:sz="4" w:space="0" w:color="auto"/>
              <w:left w:val="nil"/>
              <w:bottom w:val="single" w:sz="4" w:space="0" w:color="auto"/>
              <w:right w:val="single" w:sz="4" w:space="0" w:color="auto"/>
            </w:tcBorders>
            <w:shd w:val="clear" w:color="auto" w:fill="auto"/>
          </w:tcPr>
          <w:p w14:paraId="4FFA451A" w14:textId="77777777" w:rsidR="009D4A93" w:rsidRPr="00536CFD" w:rsidRDefault="009D4A93" w:rsidP="009D4A93">
            <w:pPr>
              <w:spacing w:after="0"/>
              <w:jc w:val="center"/>
              <w:rPr>
                <w:lang w:val="zh-CN"/>
              </w:rPr>
            </w:pPr>
            <w:r w:rsidRPr="00536CFD">
              <w:rPr>
                <w:lang w:val="zh-CN"/>
              </w:rPr>
              <w:t>78.72</w:t>
            </w:r>
          </w:p>
        </w:tc>
        <w:tc>
          <w:tcPr>
            <w:tcW w:w="820" w:type="dxa"/>
            <w:tcBorders>
              <w:top w:val="single" w:sz="4" w:space="0" w:color="auto"/>
              <w:left w:val="nil"/>
              <w:bottom w:val="single" w:sz="4" w:space="0" w:color="auto"/>
              <w:right w:val="single" w:sz="4" w:space="0" w:color="auto"/>
            </w:tcBorders>
            <w:shd w:val="clear" w:color="auto" w:fill="auto"/>
          </w:tcPr>
          <w:p w14:paraId="4F39E2CB" w14:textId="77777777" w:rsidR="009D4A93" w:rsidRPr="00536CFD" w:rsidRDefault="009D4A93" w:rsidP="009D4A93">
            <w:pPr>
              <w:spacing w:after="0"/>
              <w:jc w:val="center"/>
              <w:rPr>
                <w:lang w:val="zh-CN"/>
              </w:rPr>
            </w:pPr>
            <w:r w:rsidRPr="00536CFD">
              <w:rPr>
                <w:lang w:val="zh-CN"/>
              </w:rPr>
              <w:t>79.32</w:t>
            </w:r>
          </w:p>
        </w:tc>
        <w:tc>
          <w:tcPr>
            <w:tcW w:w="800" w:type="dxa"/>
            <w:tcBorders>
              <w:top w:val="single" w:sz="4" w:space="0" w:color="auto"/>
              <w:left w:val="nil"/>
              <w:bottom w:val="single" w:sz="4" w:space="0" w:color="auto"/>
              <w:right w:val="single" w:sz="4" w:space="0" w:color="auto"/>
            </w:tcBorders>
            <w:shd w:val="clear" w:color="auto" w:fill="auto"/>
          </w:tcPr>
          <w:p w14:paraId="7ABE693F" w14:textId="77777777" w:rsidR="009D4A93" w:rsidRPr="00536CFD" w:rsidRDefault="009D4A93" w:rsidP="009D4A93">
            <w:pPr>
              <w:spacing w:after="0"/>
              <w:jc w:val="center"/>
              <w:rPr>
                <w:lang w:val="zh-CN"/>
              </w:rPr>
            </w:pPr>
            <w:r w:rsidRPr="00536CFD">
              <w:rPr>
                <w:lang w:val="zh-CN"/>
              </w:rPr>
              <w:t>72.1</w:t>
            </w:r>
          </w:p>
        </w:tc>
        <w:tc>
          <w:tcPr>
            <w:tcW w:w="720" w:type="dxa"/>
            <w:tcBorders>
              <w:top w:val="single" w:sz="4" w:space="0" w:color="auto"/>
              <w:left w:val="nil"/>
              <w:bottom w:val="single" w:sz="4" w:space="0" w:color="auto"/>
              <w:right w:val="single" w:sz="4" w:space="0" w:color="auto"/>
            </w:tcBorders>
            <w:shd w:val="clear" w:color="auto" w:fill="auto"/>
          </w:tcPr>
          <w:p w14:paraId="75D89E7A" w14:textId="77777777" w:rsidR="009D4A93" w:rsidRPr="00536CFD" w:rsidRDefault="009D4A93" w:rsidP="009D4A93">
            <w:pPr>
              <w:spacing w:after="0"/>
              <w:jc w:val="center"/>
              <w:rPr>
                <w:lang w:val="zh-CN"/>
              </w:rPr>
            </w:pPr>
            <w:r w:rsidRPr="00536CFD">
              <w:rPr>
                <w:lang w:val="zh-CN"/>
              </w:rPr>
              <w:t>83.56</w:t>
            </w:r>
          </w:p>
        </w:tc>
        <w:tc>
          <w:tcPr>
            <w:tcW w:w="724" w:type="dxa"/>
            <w:tcBorders>
              <w:top w:val="single" w:sz="4" w:space="0" w:color="auto"/>
              <w:left w:val="nil"/>
              <w:bottom w:val="single" w:sz="4" w:space="0" w:color="auto"/>
              <w:right w:val="single" w:sz="4" w:space="0" w:color="auto"/>
            </w:tcBorders>
            <w:shd w:val="clear" w:color="auto" w:fill="auto"/>
          </w:tcPr>
          <w:p w14:paraId="1244B39F" w14:textId="77777777" w:rsidR="009D4A93" w:rsidRPr="00536CFD" w:rsidRDefault="009D4A93" w:rsidP="009D4A93">
            <w:pPr>
              <w:spacing w:after="0"/>
              <w:jc w:val="center"/>
              <w:rPr>
                <w:lang w:val="zh-CN"/>
              </w:rPr>
            </w:pPr>
            <w:r w:rsidRPr="00536CFD">
              <w:rPr>
                <w:lang w:val="zh-CN"/>
              </w:rPr>
              <w:t>77.61</w:t>
            </w:r>
          </w:p>
        </w:tc>
        <w:tc>
          <w:tcPr>
            <w:tcW w:w="896" w:type="dxa"/>
            <w:tcBorders>
              <w:top w:val="single" w:sz="4" w:space="0" w:color="auto"/>
              <w:left w:val="nil"/>
              <w:bottom w:val="single" w:sz="4" w:space="0" w:color="auto"/>
              <w:right w:val="single" w:sz="4" w:space="0" w:color="auto"/>
            </w:tcBorders>
            <w:shd w:val="clear" w:color="auto" w:fill="auto"/>
          </w:tcPr>
          <w:p w14:paraId="70AB93A1" w14:textId="77777777" w:rsidR="009D4A93" w:rsidRPr="00536CFD" w:rsidRDefault="009D4A93" w:rsidP="009D4A93">
            <w:pPr>
              <w:spacing w:after="0"/>
              <w:jc w:val="center"/>
              <w:rPr>
                <w:lang w:val="zh-CN"/>
              </w:rPr>
            </w:pPr>
            <w:r w:rsidRPr="00536CFD">
              <w:rPr>
                <w:lang w:val="zh-CN"/>
              </w:rPr>
              <w:t>79.34</w:t>
            </w:r>
          </w:p>
        </w:tc>
        <w:tc>
          <w:tcPr>
            <w:tcW w:w="720" w:type="dxa"/>
            <w:tcBorders>
              <w:top w:val="single" w:sz="4" w:space="0" w:color="auto"/>
              <w:left w:val="nil"/>
              <w:bottom w:val="single" w:sz="4" w:space="0" w:color="auto"/>
              <w:right w:val="single" w:sz="4" w:space="0" w:color="auto"/>
            </w:tcBorders>
            <w:shd w:val="clear" w:color="auto" w:fill="auto"/>
          </w:tcPr>
          <w:p w14:paraId="014B8286" w14:textId="77777777" w:rsidR="009D4A93" w:rsidRPr="00536CFD" w:rsidRDefault="009D4A93" w:rsidP="009D4A93">
            <w:pPr>
              <w:spacing w:after="0"/>
              <w:jc w:val="center"/>
              <w:rPr>
                <w:lang w:val="zh-CN"/>
              </w:rPr>
            </w:pPr>
            <w:r w:rsidRPr="00536CFD">
              <w:rPr>
                <w:lang w:val="zh-CN"/>
              </w:rPr>
              <w:t>71.91</w:t>
            </w:r>
          </w:p>
        </w:tc>
        <w:tc>
          <w:tcPr>
            <w:tcW w:w="720" w:type="dxa"/>
            <w:tcBorders>
              <w:top w:val="single" w:sz="4" w:space="0" w:color="auto"/>
              <w:left w:val="nil"/>
              <w:bottom w:val="single" w:sz="4" w:space="0" w:color="auto"/>
              <w:right w:val="single" w:sz="4" w:space="0" w:color="auto"/>
            </w:tcBorders>
            <w:shd w:val="clear" w:color="auto" w:fill="auto"/>
          </w:tcPr>
          <w:p w14:paraId="48DB0C0C" w14:textId="77777777" w:rsidR="009D4A93" w:rsidRPr="00536CFD" w:rsidRDefault="009D4A93" w:rsidP="009D4A93">
            <w:pPr>
              <w:spacing w:after="0"/>
              <w:jc w:val="center"/>
              <w:rPr>
                <w:lang w:val="zh-CN"/>
              </w:rPr>
            </w:pPr>
            <w:r w:rsidRPr="00536CFD">
              <w:rPr>
                <w:lang w:val="zh-CN"/>
              </w:rPr>
              <w:t>83.5</w:t>
            </w:r>
          </w:p>
        </w:tc>
      </w:tr>
      <w:tr w:rsidR="009D4A93" w:rsidRPr="00536CFD" w14:paraId="307280E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A876B4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82CAD5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5037F6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123BA295" w14:textId="77777777" w:rsidR="009D4A93" w:rsidRPr="00536CFD" w:rsidRDefault="009D4A93" w:rsidP="009D4A93">
            <w:pPr>
              <w:spacing w:after="0"/>
              <w:jc w:val="center"/>
              <w:rPr>
                <w:lang w:val="zh-CN"/>
              </w:rPr>
            </w:pPr>
            <w:r w:rsidRPr="00536CFD">
              <w:rPr>
                <w:lang w:val="zh-CN"/>
              </w:rPr>
              <w:t>53.4</w:t>
            </w:r>
          </w:p>
        </w:tc>
        <w:tc>
          <w:tcPr>
            <w:tcW w:w="720" w:type="dxa"/>
            <w:tcBorders>
              <w:top w:val="single" w:sz="4" w:space="0" w:color="auto"/>
              <w:left w:val="nil"/>
              <w:bottom w:val="single" w:sz="4" w:space="0" w:color="auto"/>
              <w:right w:val="single" w:sz="4" w:space="0" w:color="auto"/>
            </w:tcBorders>
            <w:shd w:val="clear" w:color="auto" w:fill="auto"/>
          </w:tcPr>
          <w:p w14:paraId="14D8F3E4" w14:textId="77777777" w:rsidR="009D4A93" w:rsidRPr="00536CFD" w:rsidRDefault="009D4A93" w:rsidP="009D4A93">
            <w:pPr>
              <w:spacing w:after="0"/>
              <w:jc w:val="center"/>
              <w:rPr>
                <w:lang w:val="zh-CN"/>
              </w:rPr>
            </w:pPr>
            <w:r w:rsidRPr="00536CFD">
              <w:rPr>
                <w:lang w:val="zh-CN"/>
              </w:rPr>
              <w:t>62.72</w:t>
            </w:r>
          </w:p>
        </w:tc>
        <w:tc>
          <w:tcPr>
            <w:tcW w:w="720" w:type="dxa"/>
            <w:tcBorders>
              <w:top w:val="single" w:sz="4" w:space="0" w:color="auto"/>
              <w:left w:val="nil"/>
              <w:bottom w:val="single" w:sz="4" w:space="0" w:color="auto"/>
              <w:right w:val="single" w:sz="4" w:space="0" w:color="auto"/>
            </w:tcBorders>
            <w:shd w:val="clear" w:color="auto" w:fill="auto"/>
          </w:tcPr>
          <w:p w14:paraId="6211296C" w14:textId="77777777" w:rsidR="009D4A93" w:rsidRPr="00536CFD" w:rsidRDefault="009D4A93" w:rsidP="009D4A93">
            <w:pPr>
              <w:spacing w:after="0"/>
              <w:jc w:val="center"/>
              <w:rPr>
                <w:lang w:val="zh-CN"/>
              </w:rPr>
            </w:pPr>
            <w:r w:rsidRPr="00536CFD">
              <w:rPr>
                <w:lang w:val="zh-CN"/>
              </w:rPr>
              <w:t>51.35</w:t>
            </w:r>
          </w:p>
        </w:tc>
        <w:tc>
          <w:tcPr>
            <w:tcW w:w="810" w:type="dxa"/>
            <w:tcBorders>
              <w:top w:val="single" w:sz="4" w:space="0" w:color="auto"/>
              <w:left w:val="nil"/>
              <w:bottom w:val="single" w:sz="4" w:space="0" w:color="auto"/>
              <w:right w:val="single" w:sz="4" w:space="0" w:color="auto"/>
            </w:tcBorders>
            <w:shd w:val="clear" w:color="auto" w:fill="auto"/>
          </w:tcPr>
          <w:p w14:paraId="476F0BE5" w14:textId="77777777" w:rsidR="009D4A93" w:rsidRPr="00536CFD" w:rsidRDefault="009D4A93" w:rsidP="009D4A93">
            <w:pPr>
              <w:spacing w:after="0"/>
              <w:jc w:val="center"/>
              <w:rPr>
                <w:lang w:val="zh-CN"/>
              </w:rPr>
            </w:pPr>
            <w:r w:rsidRPr="00536CFD">
              <w:rPr>
                <w:lang w:val="zh-CN"/>
              </w:rPr>
              <w:t>66.81</w:t>
            </w:r>
          </w:p>
        </w:tc>
        <w:tc>
          <w:tcPr>
            <w:tcW w:w="810" w:type="dxa"/>
            <w:tcBorders>
              <w:top w:val="single" w:sz="4" w:space="0" w:color="auto"/>
              <w:left w:val="nil"/>
              <w:bottom w:val="single" w:sz="4" w:space="0" w:color="auto"/>
              <w:right w:val="single" w:sz="4" w:space="0" w:color="auto"/>
            </w:tcBorders>
            <w:shd w:val="clear" w:color="auto" w:fill="auto"/>
          </w:tcPr>
          <w:p w14:paraId="0A282D1B" w14:textId="77777777" w:rsidR="009D4A93" w:rsidRPr="00536CFD" w:rsidRDefault="009D4A93" w:rsidP="009D4A93">
            <w:pPr>
              <w:spacing w:after="0"/>
              <w:jc w:val="center"/>
              <w:rPr>
                <w:lang w:val="zh-CN"/>
              </w:rPr>
            </w:pPr>
            <w:r w:rsidRPr="00536CFD">
              <w:rPr>
                <w:lang w:val="zh-CN"/>
              </w:rPr>
              <w:t>40.75</w:t>
            </w:r>
          </w:p>
        </w:tc>
        <w:tc>
          <w:tcPr>
            <w:tcW w:w="820" w:type="dxa"/>
            <w:tcBorders>
              <w:top w:val="single" w:sz="4" w:space="0" w:color="auto"/>
              <w:left w:val="nil"/>
              <w:bottom w:val="single" w:sz="4" w:space="0" w:color="auto"/>
              <w:right w:val="single" w:sz="4" w:space="0" w:color="auto"/>
            </w:tcBorders>
            <w:shd w:val="clear" w:color="auto" w:fill="auto"/>
          </w:tcPr>
          <w:p w14:paraId="42572147" w14:textId="77777777" w:rsidR="009D4A93" w:rsidRPr="00536CFD" w:rsidRDefault="009D4A93" w:rsidP="009D4A93">
            <w:pPr>
              <w:spacing w:after="0"/>
              <w:jc w:val="center"/>
              <w:rPr>
                <w:lang w:val="zh-CN"/>
              </w:rPr>
            </w:pPr>
            <w:r w:rsidRPr="00536CFD">
              <w:rPr>
                <w:lang w:val="zh-CN"/>
              </w:rPr>
              <w:t>56.58</w:t>
            </w:r>
          </w:p>
        </w:tc>
        <w:tc>
          <w:tcPr>
            <w:tcW w:w="800" w:type="dxa"/>
            <w:tcBorders>
              <w:top w:val="single" w:sz="4" w:space="0" w:color="auto"/>
              <w:left w:val="nil"/>
              <w:bottom w:val="single" w:sz="4" w:space="0" w:color="auto"/>
              <w:right w:val="single" w:sz="4" w:space="0" w:color="auto"/>
            </w:tcBorders>
            <w:shd w:val="clear" w:color="auto" w:fill="auto"/>
          </w:tcPr>
          <w:p w14:paraId="23A46AAD" w14:textId="77777777" w:rsidR="009D4A93" w:rsidRPr="00536CFD" w:rsidRDefault="009D4A93" w:rsidP="009D4A93">
            <w:pPr>
              <w:spacing w:after="0"/>
              <w:jc w:val="center"/>
              <w:rPr>
                <w:lang w:val="zh-CN"/>
              </w:rPr>
            </w:pPr>
            <w:r w:rsidRPr="00536CFD">
              <w:rPr>
                <w:lang w:val="zh-CN"/>
              </w:rPr>
              <w:t>44.75</w:t>
            </w:r>
          </w:p>
        </w:tc>
        <w:tc>
          <w:tcPr>
            <w:tcW w:w="720" w:type="dxa"/>
            <w:tcBorders>
              <w:top w:val="single" w:sz="4" w:space="0" w:color="auto"/>
              <w:left w:val="nil"/>
              <w:bottom w:val="single" w:sz="4" w:space="0" w:color="auto"/>
              <w:right w:val="single" w:sz="4" w:space="0" w:color="auto"/>
            </w:tcBorders>
            <w:shd w:val="clear" w:color="auto" w:fill="auto"/>
          </w:tcPr>
          <w:p w14:paraId="759D2611" w14:textId="77777777" w:rsidR="009D4A93" w:rsidRPr="00536CFD" w:rsidRDefault="009D4A93" w:rsidP="009D4A93">
            <w:pPr>
              <w:spacing w:after="0"/>
              <w:jc w:val="center"/>
              <w:rPr>
                <w:lang w:val="zh-CN"/>
              </w:rPr>
            </w:pPr>
            <w:r w:rsidRPr="00536CFD">
              <w:rPr>
                <w:lang w:val="zh-CN"/>
              </w:rPr>
              <w:t>61.31</w:t>
            </w:r>
          </w:p>
        </w:tc>
        <w:tc>
          <w:tcPr>
            <w:tcW w:w="724" w:type="dxa"/>
            <w:tcBorders>
              <w:top w:val="single" w:sz="4" w:space="0" w:color="auto"/>
              <w:left w:val="nil"/>
              <w:bottom w:val="single" w:sz="4" w:space="0" w:color="auto"/>
              <w:right w:val="single" w:sz="4" w:space="0" w:color="auto"/>
            </w:tcBorders>
            <w:shd w:val="clear" w:color="auto" w:fill="auto"/>
          </w:tcPr>
          <w:p w14:paraId="28CA555C" w14:textId="77777777" w:rsidR="009D4A93" w:rsidRPr="00536CFD" w:rsidRDefault="009D4A93" w:rsidP="009D4A93">
            <w:pPr>
              <w:spacing w:after="0"/>
              <w:jc w:val="center"/>
              <w:rPr>
                <w:lang w:val="zh-CN"/>
              </w:rPr>
            </w:pPr>
            <w:r w:rsidRPr="00536CFD">
              <w:rPr>
                <w:lang w:val="zh-CN"/>
              </w:rPr>
              <w:t>31.98</w:t>
            </w:r>
          </w:p>
        </w:tc>
        <w:tc>
          <w:tcPr>
            <w:tcW w:w="896" w:type="dxa"/>
            <w:tcBorders>
              <w:top w:val="single" w:sz="4" w:space="0" w:color="auto"/>
              <w:left w:val="nil"/>
              <w:bottom w:val="single" w:sz="4" w:space="0" w:color="auto"/>
              <w:right w:val="single" w:sz="4" w:space="0" w:color="auto"/>
            </w:tcBorders>
            <w:shd w:val="clear" w:color="auto" w:fill="auto"/>
          </w:tcPr>
          <w:p w14:paraId="75397592" w14:textId="77777777" w:rsidR="009D4A93" w:rsidRPr="00536CFD" w:rsidRDefault="009D4A93" w:rsidP="009D4A93">
            <w:pPr>
              <w:spacing w:after="0"/>
              <w:jc w:val="center"/>
              <w:rPr>
                <w:lang w:val="zh-CN"/>
              </w:rPr>
            </w:pPr>
            <w:r w:rsidRPr="00536CFD">
              <w:rPr>
                <w:lang w:val="zh-CN"/>
              </w:rPr>
              <w:t>53.54</w:t>
            </w:r>
          </w:p>
        </w:tc>
        <w:tc>
          <w:tcPr>
            <w:tcW w:w="720" w:type="dxa"/>
            <w:tcBorders>
              <w:top w:val="single" w:sz="4" w:space="0" w:color="auto"/>
              <w:left w:val="nil"/>
              <w:bottom w:val="single" w:sz="4" w:space="0" w:color="auto"/>
              <w:right w:val="single" w:sz="4" w:space="0" w:color="auto"/>
            </w:tcBorders>
            <w:shd w:val="clear" w:color="auto" w:fill="auto"/>
          </w:tcPr>
          <w:p w14:paraId="3860695C" w14:textId="77777777" w:rsidR="009D4A93" w:rsidRPr="00536CFD" w:rsidRDefault="009D4A93" w:rsidP="009D4A93">
            <w:pPr>
              <w:spacing w:after="0"/>
              <w:jc w:val="center"/>
              <w:rPr>
                <w:lang w:val="zh-CN"/>
              </w:rPr>
            </w:pPr>
            <w:r w:rsidRPr="00536CFD">
              <w:rPr>
                <w:lang w:val="zh-CN"/>
              </w:rPr>
              <w:t>40.72</w:t>
            </w:r>
          </w:p>
        </w:tc>
        <w:tc>
          <w:tcPr>
            <w:tcW w:w="720" w:type="dxa"/>
            <w:tcBorders>
              <w:top w:val="single" w:sz="4" w:space="0" w:color="auto"/>
              <w:left w:val="nil"/>
              <w:bottom w:val="single" w:sz="4" w:space="0" w:color="auto"/>
              <w:right w:val="single" w:sz="4" w:space="0" w:color="auto"/>
            </w:tcBorders>
            <w:shd w:val="clear" w:color="auto" w:fill="auto"/>
          </w:tcPr>
          <w:p w14:paraId="65B6CA0F" w14:textId="77777777" w:rsidR="009D4A93" w:rsidRPr="00536CFD" w:rsidRDefault="009D4A93" w:rsidP="009D4A93">
            <w:pPr>
              <w:spacing w:after="0"/>
              <w:jc w:val="center"/>
              <w:rPr>
                <w:lang w:val="zh-CN"/>
              </w:rPr>
            </w:pPr>
            <w:r w:rsidRPr="00536CFD">
              <w:rPr>
                <w:lang w:val="zh-CN"/>
              </w:rPr>
              <w:t>58.36</w:t>
            </w:r>
          </w:p>
        </w:tc>
      </w:tr>
      <w:tr w:rsidR="009D4A93" w:rsidRPr="00536CFD" w14:paraId="38EA57B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3C82DDB"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219401C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4614F34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2CC4D4CA"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16240A80"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7FB37E0E" w14:textId="77777777" w:rsidR="009D4A93" w:rsidRPr="00536CFD" w:rsidRDefault="009D4A93" w:rsidP="009D4A93">
            <w:pPr>
              <w:spacing w:after="0"/>
              <w:jc w:val="center"/>
              <w:rPr>
                <w:lang w:val="zh-CN"/>
              </w:rPr>
            </w:pPr>
            <w:r w:rsidRPr="00536CFD">
              <w:rPr>
                <w:lang w:val="zh-CN"/>
              </w:rPr>
              <w:t>0.06</w:t>
            </w:r>
          </w:p>
        </w:tc>
        <w:tc>
          <w:tcPr>
            <w:tcW w:w="810" w:type="dxa"/>
            <w:tcBorders>
              <w:top w:val="single" w:sz="4" w:space="0" w:color="auto"/>
              <w:left w:val="nil"/>
              <w:bottom w:val="single" w:sz="4" w:space="0" w:color="auto"/>
              <w:right w:val="single" w:sz="4" w:space="0" w:color="auto"/>
            </w:tcBorders>
            <w:shd w:val="clear" w:color="auto" w:fill="auto"/>
          </w:tcPr>
          <w:p w14:paraId="23F7C9B6" w14:textId="77777777" w:rsidR="009D4A93" w:rsidRPr="00536CFD" w:rsidRDefault="009D4A93" w:rsidP="009D4A93">
            <w:pPr>
              <w:spacing w:after="0"/>
              <w:jc w:val="center"/>
              <w:rPr>
                <w:lang w:val="zh-CN"/>
              </w:rPr>
            </w:pPr>
            <w:r w:rsidRPr="00536CFD">
              <w:rPr>
                <w:lang w:val="zh-CN"/>
              </w:rPr>
              <w:t>0.05</w:t>
            </w:r>
          </w:p>
        </w:tc>
        <w:tc>
          <w:tcPr>
            <w:tcW w:w="810" w:type="dxa"/>
            <w:tcBorders>
              <w:top w:val="single" w:sz="4" w:space="0" w:color="auto"/>
              <w:left w:val="nil"/>
              <w:bottom w:val="single" w:sz="4" w:space="0" w:color="auto"/>
              <w:right w:val="single" w:sz="4" w:space="0" w:color="auto"/>
            </w:tcBorders>
            <w:shd w:val="clear" w:color="auto" w:fill="auto"/>
          </w:tcPr>
          <w:p w14:paraId="740210DF" w14:textId="77777777" w:rsidR="009D4A93" w:rsidRPr="00536CFD" w:rsidRDefault="009D4A93" w:rsidP="009D4A93">
            <w:pPr>
              <w:spacing w:after="0"/>
              <w:jc w:val="center"/>
              <w:rPr>
                <w:lang w:val="zh-CN"/>
              </w:rPr>
            </w:pPr>
            <w:r w:rsidRPr="00536CFD">
              <w:rPr>
                <w:lang w:val="zh-CN"/>
              </w:rPr>
              <w:t>0.05</w:t>
            </w:r>
          </w:p>
        </w:tc>
        <w:tc>
          <w:tcPr>
            <w:tcW w:w="820" w:type="dxa"/>
            <w:tcBorders>
              <w:top w:val="single" w:sz="4" w:space="0" w:color="auto"/>
              <w:left w:val="nil"/>
              <w:bottom w:val="single" w:sz="4" w:space="0" w:color="auto"/>
              <w:right w:val="single" w:sz="4" w:space="0" w:color="auto"/>
            </w:tcBorders>
            <w:shd w:val="clear" w:color="auto" w:fill="auto"/>
          </w:tcPr>
          <w:p w14:paraId="0E4E3F57" w14:textId="77777777" w:rsidR="009D4A93" w:rsidRPr="00536CFD" w:rsidRDefault="009D4A93" w:rsidP="009D4A93">
            <w:pPr>
              <w:spacing w:after="0"/>
              <w:jc w:val="center"/>
              <w:rPr>
                <w:lang w:val="zh-CN"/>
              </w:rPr>
            </w:pPr>
            <w:r w:rsidRPr="00536CFD">
              <w:rPr>
                <w:lang w:val="zh-CN"/>
              </w:rPr>
              <w:t>0.05</w:t>
            </w:r>
          </w:p>
        </w:tc>
        <w:tc>
          <w:tcPr>
            <w:tcW w:w="800" w:type="dxa"/>
            <w:tcBorders>
              <w:top w:val="single" w:sz="4" w:space="0" w:color="auto"/>
              <w:left w:val="nil"/>
              <w:bottom w:val="single" w:sz="4" w:space="0" w:color="auto"/>
              <w:right w:val="single" w:sz="4" w:space="0" w:color="auto"/>
            </w:tcBorders>
            <w:shd w:val="clear" w:color="auto" w:fill="auto"/>
          </w:tcPr>
          <w:p w14:paraId="6AE097B0"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tcPr>
          <w:p w14:paraId="452825C9" w14:textId="77777777" w:rsidR="009D4A93" w:rsidRPr="00536CFD" w:rsidRDefault="009D4A93" w:rsidP="009D4A93">
            <w:pPr>
              <w:spacing w:after="0"/>
              <w:jc w:val="center"/>
              <w:rPr>
                <w:lang w:val="zh-CN"/>
              </w:rPr>
            </w:pPr>
            <w:r w:rsidRPr="00536CFD">
              <w:rPr>
                <w:lang w:val="zh-CN"/>
              </w:rPr>
              <w:t>0.05</w:t>
            </w:r>
          </w:p>
        </w:tc>
        <w:tc>
          <w:tcPr>
            <w:tcW w:w="724" w:type="dxa"/>
            <w:tcBorders>
              <w:top w:val="single" w:sz="4" w:space="0" w:color="auto"/>
              <w:left w:val="nil"/>
              <w:bottom w:val="single" w:sz="4" w:space="0" w:color="auto"/>
              <w:right w:val="single" w:sz="4" w:space="0" w:color="auto"/>
            </w:tcBorders>
            <w:shd w:val="clear" w:color="auto" w:fill="auto"/>
          </w:tcPr>
          <w:p w14:paraId="303E6AC2" w14:textId="77777777" w:rsidR="009D4A93" w:rsidRPr="00536CFD" w:rsidRDefault="009D4A93" w:rsidP="009D4A93">
            <w:pPr>
              <w:spacing w:after="0"/>
              <w:jc w:val="center"/>
              <w:rPr>
                <w:lang w:val="zh-CN"/>
              </w:rPr>
            </w:pPr>
            <w:r w:rsidRPr="00536CFD">
              <w:rPr>
                <w:lang w:val="zh-CN"/>
              </w:rPr>
              <w:t>0.05</w:t>
            </w:r>
          </w:p>
        </w:tc>
        <w:tc>
          <w:tcPr>
            <w:tcW w:w="896" w:type="dxa"/>
            <w:tcBorders>
              <w:top w:val="single" w:sz="4" w:space="0" w:color="auto"/>
              <w:left w:val="nil"/>
              <w:bottom w:val="single" w:sz="4" w:space="0" w:color="auto"/>
              <w:right w:val="single" w:sz="4" w:space="0" w:color="auto"/>
            </w:tcBorders>
            <w:shd w:val="clear" w:color="auto" w:fill="auto"/>
          </w:tcPr>
          <w:p w14:paraId="65926D0A"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3D6E0D4C"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tcPr>
          <w:p w14:paraId="4200EF55" w14:textId="77777777" w:rsidR="009D4A93" w:rsidRPr="00536CFD" w:rsidRDefault="009D4A93" w:rsidP="009D4A93">
            <w:pPr>
              <w:spacing w:after="0"/>
              <w:jc w:val="center"/>
              <w:rPr>
                <w:lang w:val="zh-CN"/>
              </w:rPr>
            </w:pPr>
            <w:r w:rsidRPr="00536CFD">
              <w:rPr>
                <w:lang w:val="zh-CN"/>
              </w:rPr>
              <w:t>0.05</w:t>
            </w:r>
          </w:p>
        </w:tc>
      </w:tr>
      <w:tr w:rsidR="009D4A93" w:rsidRPr="00536CFD" w14:paraId="166832E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134A88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C33209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075DB8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0473BD5D"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67343ACD"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tcPr>
          <w:p w14:paraId="59C0B625" w14:textId="77777777" w:rsidR="009D4A93" w:rsidRPr="00536CFD" w:rsidRDefault="009D4A93" w:rsidP="009D4A93">
            <w:pPr>
              <w:spacing w:after="0"/>
              <w:jc w:val="center"/>
              <w:rPr>
                <w:lang w:val="zh-CN"/>
              </w:rPr>
            </w:pPr>
            <w:r w:rsidRPr="00536CFD">
              <w:rPr>
                <w:lang w:val="zh-CN"/>
              </w:rPr>
              <w:t>0.07</w:t>
            </w:r>
          </w:p>
        </w:tc>
        <w:tc>
          <w:tcPr>
            <w:tcW w:w="810" w:type="dxa"/>
            <w:tcBorders>
              <w:top w:val="single" w:sz="4" w:space="0" w:color="auto"/>
              <w:left w:val="nil"/>
              <w:bottom w:val="single" w:sz="4" w:space="0" w:color="auto"/>
              <w:right w:val="single" w:sz="4" w:space="0" w:color="auto"/>
            </w:tcBorders>
            <w:shd w:val="clear" w:color="auto" w:fill="auto"/>
          </w:tcPr>
          <w:p w14:paraId="511883F4" w14:textId="77777777" w:rsidR="009D4A93" w:rsidRPr="00536CFD" w:rsidRDefault="009D4A93" w:rsidP="009D4A93">
            <w:pPr>
              <w:spacing w:after="0"/>
              <w:jc w:val="center"/>
              <w:rPr>
                <w:lang w:val="zh-CN"/>
              </w:rPr>
            </w:pPr>
            <w:r w:rsidRPr="00536CFD">
              <w:rPr>
                <w:lang w:val="zh-CN"/>
              </w:rPr>
              <w:t>0.05</w:t>
            </w:r>
          </w:p>
        </w:tc>
        <w:tc>
          <w:tcPr>
            <w:tcW w:w="810" w:type="dxa"/>
            <w:tcBorders>
              <w:top w:val="single" w:sz="4" w:space="0" w:color="auto"/>
              <w:left w:val="nil"/>
              <w:bottom w:val="single" w:sz="4" w:space="0" w:color="auto"/>
              <w:right w:val="single" w:sz="4" w:space="0" w:color="auto"/>
            </w:tcBorders>
            <w:shd w:val="clear" w:color="auto" w:fill="auto"/>
          </w:tcPr>
          <w:p w14:paraId="348B11AA" w14:textId="77777777" w:rsidR="009D4A93" w:rsidRPr="00536CFD" w:rsidRDefault="009D4A93" w:rsidP="009D4A93">
            <w:pPr>
              <w:spacing w:after="0"/>
              <w:jc w:val="center"/>
              <w:rPr>
                <w:lang w:val="zh-CN"/>
              </w:rPr>
            </w:pPr>
            <w:r w:rsidRPr="00536CFD">
              <w:rPr>
                <w:lang w:val="zh-CN"/>
              </w:rPr>
              <w:t>0.10</w:t>
            </w:r>
          </w:p>
        </w:tc>
        <w:tc>
          <w:tcPr>
            <w:tcW w:w="820" w:type="dxa"/>
            <w:tcBorders>
              <w:top w:val="single" w:sz="4" w:space="0" w:color="auto"/>
              <w:left w:val="nil"/>
              <w:bottom w:val="single" w:sz="4" w:space="0" w:color="auto"/>
              <w:right w:val="single" w:sz="4" w:space="0" w:color="auto"/>
            </w:tcBorders>
            <w:shd w:val="clear" w:color="auto" w:fill="auto"/>
          </w:tcPr>
          <w:p w14:paraId="5631816C" w14:textId="77777777" w:rsidR="009D4A93" w:rsidRPr="00536CFD" w:rsidRDefault="009D4A93" w:rsidP="009D4A93">
            <w:pPr>
              <w:spacing w:after="0"/>
              <w:jc w:val="center"/>
              <w:rPr>
                <w:lang w:val="zh-CN"/>
              </w:rPr>
            </w:pPr>
            <w:r w:rsidRPr="00536CFD">
              <w:rPr>
                <w:lang w:val="zh-CN"/>
              </w:rPr>
              <w:t>0.07</w:t>
            </w:r>
          </w:p>
        </w:tc>
        <w:tc>
          <w:tcPr>
            <w:tcW w:w="800" w:type="dxa"/>
            <w:tcBorders>
              <w:top w:val="single" w:sz="4" w:space="0" w:color="auto"/>
              <w:left w:val="nil"/>
              <w:bottom w:val="single" w:sz="4" w:space="0" w:color="auto"/>
              <w:right w:val="single" w:sz="4" w:space="0" w:color="auto"/>
            </w:tcBorders>
            <w:shd w:val="clear" w:color="auto" w:fill="auto"/>
          </w:tcPr>
          <w:p w14:paraId="443EDDD5" w14:textId="77777777" w:rsidR="009D4A93" w:rsidRPr="00536CFD" w:rsidRDefault="009D4A93" w:rsidP="009D4A93">
            <w:pPr>
              <w:spacing w:after="0"/>
              <w:jc w:val="center"/>
              <w:rPr>
                <w:lang w:val="zh-CN"/>
              </w:rPr>
            </w:pPr>
            <w:r w:rsidRPr="00536CFD">
              <w:rPr>
                <w:lang w:val="zh-CN"/>
              </w:rPr>
              <w:t>0.09</w:t>
            </w:r>
          </w:p>
        </w:tc>
        <w:tc>
          <w:tcPr>
            <w:tcW w:w="720" w:type="dxa"/>
            <w:tcBorders>
              <w:top w:val="single" w:sz="4" w:space="0" w:color="auto"/>
              <w:left w:val="nil"/>
              <w:bottom w:val="single" w:sz="4" w:space="0" w:color="auto"/>
              <w:right w:val="single" w:sz="4" w:space="0" w:color="auto"/>
            </w:tcBorders>
            <w:shd w:val="clear" w:color="auto" w:fill="auto"/>
          </w:tcPr>
          <w:p w14:paraId="3AD106CD" w14:textId="77777777" w:rsidR="009D4A93" w:rsidRPr="00536CFD" w:rsidRDefault="009D4A93" w:rsidP="009D4A93">
            <w:pPr>
              <w:spacing w:after="0"/>
              <w:jc w:val="center"/>
              <w:rPr>
                <w:lang w:val="zh-CN"/>
              </w:rPr>
            </w:pPr>
            <w:r w:rsidRPr="00536CFD">
              <w:rPr>
                <w:lang w:val="zh-CN"/>
              </w:rPr>
              <w:t>0.06</w:t>
            </w:r>
          </w:p>
        </w:tc>
        <w:tc>
          <w:tcPr>
            <w:tcW w:w="724" w:type="dxa"/>
            <w:tcBorders>
              <w:top w:val="single" w:sz="4" w:space="0" w:color="auto"/>
              <w:left w:val="nil"/>
              <w:bottom w:val="single" w:sz="4" w:space="0" w:color="auto"/>
              <w:right w:val="single" w:sz="4" w:space="0" w:color="auto"/>
            </w:tcBorders>
            <w:shd w:val="clear" w:color="auto" w:fill="auto"/>
          </w:tcPr>
          <w:p w14:paraId="7FFEB8D1" w14:textId="77777777" w:rsidR="009D4A93" w:rsidRPr="00536CFD" w:rsidRDefault="009D4A93" w:rsidP="009D4A93">
            <w:pPr>
              <w:spacing w:after="0"/>
              <w:jc w:val="center"/>
              <w:rPr>
                <w:lang w:val="zh-CN"/>
              </w:rPr>
            </w:pPr>
            <w:r w:rsidRPr="00536CFD">
              <w:rPr>
                <w:lang w:val="zh-CN"/>
              </w:rPr>
              <w:t>0.14</w:t>
            </w:r>
          </w:p>
        </w:tc>
        <w:tc>
          <w:tcPr>
            <w:tcW w:w="896" w:type="dxa"/>
            <w:tcBorders>
              <w:top w:val="single" w:sz="4" w:space="0" w:color="auto"/>
              <w:left w:val="nil"/>
              <w:bottom w:val="single" w:sz="4" w:space="0" w:color="auto"/>
              <w:right w:val="single" w:sz="4" w:space="0" w:color="auto"/>
            </w:tcBorders>
            <w:shd w:val="clear" w:color="auto" w:fill="auto"/>
          </w:tcPr>
          <w:p w14:paraId="6A051BAA"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61033EC5" w14:textId="77777777" w:rsidR="009D4A93" w:rsidRPr="00536CFD" w:rsidRDefault="009D4A93" w:rsidP="009D4A93">
            <w:pPr>
              <w:spacing w:after="0"/>
              <w:jc w:val="center"/>
              <w:rPr>
                <w:lang w:val="zh-CN"/>
              </w:rPr>
            </w:pPr>
            <w:r w:rsidRPr="00536CFD">
              <w:rPr>
                <w:lang w:val="zh-CN"/>
              </w:rPr>
              <w:t>0.10</w:t>
            </w:r>
          </w:p>
        </w:tc>
        <w:tc>
          <w:tcPr>
            <w:tcW w:w="720" w:type="dxa"/>
            <w:tcBorders>
              <w:top w:val="single" w:sz="4" w:space="0" w:color="auto"/>
              <w:left w:val="nil"/>
              <w:bottom w:val="single" w:sz="4" w:space="0" w:color="auto"/>
              <w:right w:val="single" w:sz="4" w:space="0" w:color="auto"/>
            </w:tcBorders>
            <w:shd w:val="clear" w:color="auto" w:fill="auto"/>
          </w:tcPr>
          <w:p w14:paraId="548BE8A0" w14:textId="77777777" w:rsidR="009D4A93" w:rsidRPr="00536CFD" w:rsidRDefault="009D4A93" w:rsidP="009D4A93">
            <w:pPr>
              <w:spacing w:after="0"/>
              <w:jc w:val="center"/>
              <w:rPr>
                <w:lang w:val="zh-CN"/>
              </w:rPr>
            </w:pPr>
            <w:r w:rsidRPr="00536CFD">
              <w:rPr>
                <w:lang w:val="zh-CN"/>
              </w:rPr>
              <w:t>0.07</w:t>
            </w:r>
          </w:p>
        </w:tc>
      </w:tr>
      <w:tr w:rsidR="009D4A93" w:rsidRPr="00536CFD" w14:paraId="177D626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6753CD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AAB6F5A"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DDB9D7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5D34F343" w14:textId="77777777" w:rsidR="009D4A93" w:rsidRPr="00536CFD" w:rsidRDefault="009D4A93" w:rsidP="009D4A93">
            <w:pPr>
              <w:spacing w:after="0"/>
              <w:jc w:val="center"/>
              <w:rPr>
                <w:lang w:val="zh-CN"/>
              </w:rPr>
            </w:pPr>
            <w:r w:rsidRPr="00536CFD">
              <w:rPr>
                <w:lang w:val="zh-CN"/>
              </w:rPr>
              <w:t>0.21</w:t>
            </w:r>
          </w:p>
        </w:tc>
        <w:tc>
          <w:tcPr>
            <w:tcW w:w="720" w:type="dxa"/>
            <w:tcBorders>
              <w:top w:val="single" w:sz="4" w:space="0" w:color="auto"/>
              <w:left w:val="nil"/>
              <w:bottom w:val="single" w:sz="4" w:space="0" w:color="auto"/>
              <w:right w:val="single" w:sz="4" w:space="0" w:color="auto"/>
            </w:tcBorders>
            <w:shd w:val="clear" w:color="auto" w:fill="auto"/>
          </w:tcPr>
          <w:p w14:paraId="5365360B" w14:textId="77777777" w:rsidR="009D4A93" w:rsidRPr="00536CFD" w:rsidRDefault="009D4A93" w:rsidP="009D4A93">
            <w:pPr>
              <w:spacing w:after="0"/>
              <w:jc w:val="center"/>
              <w:rPr>
                <w:lang w:val="zh-CN"/>
              </w:rPr>
            </w:pPr>
            <w:r w:rsidRPr="00536CFD">
              <w:rPr>
                <w:lang w:val="zh-CN"/>
              </w:rPr>
              <w:t>0.15</w:t>
            </w:r>
          </w:p>
        </w:tc>
        <w:tc>
          <w:tcPr>
            <w:tcW w:w="720" w:type="dxa"/>
            <w:tcBorders>
              <w:top w:val="single" w:sz="4" w:space="0" w:color="auto"/>
              <w:left w:val="nil"/>
              <w:bottom w:val="single" w:sz="4" w:space="0" w:color="auto"/>
              <w:right w:val="single" w:sz="4" w:space="0" w:color="auto"/>
            </w:tcBorders>
            <w:shd w:val="clear" w:color="auto" w:fill="auto"/>
          </w:tcPr>
          <w:p w14:paraId="6CD722A1" w14:textId="77777777" w:rsidR="009D4A93" w:rsidRPr="00536CFD" w:rsidRDefault="009D4A93" w:rsidP="009D4A93">
            <w:pPr>
              <w:spacing w:after="0"/>
              <w:jc w:val="center"/>
              <w:rPr>
                <w:lang w:val="zh-CN"/>
              </w:rPr>
            </w:pPr>
            <w:r w:rsidRPr="00536CFD">
              <w:rPr>
                <w:lang w:val="zh-CN"/>
              </w:rPr>
              <w:t>0.21</w:t>
            </w:r>
          </w:p>
        </w:tc>
        <w:tc>
          <w:tcPr>
            <w:tcW w:w="810" w:type="dxa"/>
            <w:tcBorders>
              <w:top w:val="single" w:sz="4" w:space="0" w:color="auto"/>
              <w:left w:val="nil"/>
              <w:bottom w:val="single" w:sz="4" w:space="0" w:color="auto"/>
              <w:right w:val="single" w:sz="4" w:space="0" w:color="auto"/>
            </w:tcBorders>
            <w:shd w:val="clear" w:color="auto" w:fill="auto"/>
          </w:tcPr>
          <w:p w14:paraId="14586424" w14:textId="77777777" w:rsidR="009D4A93" w:rsidRPr="00536CFD" w:rsidRDefault="009D4A93" w:rsidP="009D4A93">
            <w:pPr>
              <w:spacing w:after="0"/>
              <w:jc w:val="center"/>
              <w:rPr>
                <w:lang w:val="zh-CN"/>
              </w:rPr>
            </w:pPr>
            <w:r w:rsidRPr="00536CFD">
              <w:rPr>
                <w:lang w:val="zh-CN"/>
              </w:rPr>
              <w:t>0.13</w:t>
            </w:r>
          </w:p>
        </w:tc>
        <w:tc>
          <w:tcPr>
            <w:tcW w:w="810" w:type="dxa"/>
            <w:tcBorders>
              <w:top w:val="single" w:sz="4" w:space="0" w:color="auto"/>
              <w:left w:val="nil"/>
              <w:bottom w:val="single" w:sz="4" w:space="0" w:color="auto"/>
              <w:right w:val="single" w:sz="4" w:space="0" w:color="auto"/>
            </w:tcBorders>
            <w:shd w:val="clear" w:color="auto" w:fill="auto"/>
          </w:tcPr>
          <w:p w14:paraId="1E06710D" w14:textId="77777777" w:rsidR="009D4A93" w:rsidRPr="00536CFD" w:rsidRDefault="009D4A93" w:rsidP="009D4A93">
            <w:pPr>
              <w:spacing w:after="0"/>
              <w:jc w:val="center"/>
              <w:rPr>
                <w:lang w:val="zh-CN"/>
              </w:rPr>
            </w:pPr>
            <w:r w:rsidRPr="00536CFD">
              <w:rPr>
                <w:lang w:val="zh-CN"/>
              </w:rPr>
              <w:t>0.56</w:t>
            </w:r>
          </w:p>
        </w:tc>
        <w:tc>
          <w:tcPr>
            <w:tcW w:w="820" w:type="dxa"/>
            <w:tcBorders>
              <w:top w:val="single" w:sz="4" w:space="0" w:color="auto"/>
              <w:left w:val="nil"/>
              <w:bottom w:val="single" w:sz="4" w:space="0" w:color="auto"/>
              <w:right w:val="single" w:sz="4" w:space="0" w:color="auto"/>
            </w:tcBorders>
            <w:shd w:val="clear" w:color="auto" w:fill="auto"/>
          </w:tcPr>
          <w:p w14:paraId="782BCD7F" w14:textId="77777777" w:rsidR="009D4A93" w:rsidRPr="00536CFD" w:rsidRDefault="009D4A93" w:rsidP="009D4A93">
            <w:pPr>
              <w:spacing w:after="0"/>
              <w:jc w:val="center"/>
              <w:rPr>
                <w:lang w:val="zh-CN"/>
              </w:rPr>
            </w:pPr>
            <w:r w:rsidRPr="00536CFD">
              <w:rPr>
                <w:lang w:val="zh-CN"/>
              </w:rPr>
              <w:t>0.22</w:t>
            </w:r>
          </w:p>
        </w:tc>
        <w:tc>
          <w:tcPr>
            <w:tcW w:w="800" w:type="dxa"/>
            <w:tcBorders>
              <w:top w:val="single" w:sz="4" w:space="0" w:color="auto"/>
              <w:left w:val="nil"/>
              <w:bottom w:val="single" w:sz="4" w:space="0" w:color="auto"/>
              <w:right w:val="single" w:sz="4" w:space="0" w:color="auto"/>
            </w:tcBorders>
            <w:shd w:val="clear" w:color="auto" w:fill="auto"/>
          </w:tcPr>
          <w:p w14:paraId="43776FCE" w14:textId="77777777" w:rsidR="009D4A93" w:rsidRPr="00536CFD" w:rsidRDefault="009D4A93" w:rsidP="009D4A93">
            <w:pPr>
              <w:spacing w:after="0"/>
              <w:jc w:val="center"/>
              <w:rPr>
                <w:lang w:val="zh-CN"/>
              </w:rPr>
            </w:pPr>
            <w:r w:rsidRPr="00536CFD">
              <w:rPr>
                <w:lang w:val="zh-CN"/>
              </w:rPr>
              <w:t>0.30</w:t>
            </w:r>
          </w:p>
        </w:tc>
        <w:tc>
          <w:tcPr>
            <w:tcW w:w="720" w:type="dxa"/>
            <w:tcBorders>
              <w:top w:val="single" w:sz="4" w:space="0" w:color="auto"/>
              <w:left w:val="nil"/>
              <w:bottom w:val="single" w:sz="4" w:space="0" w:color="auto"/>
              <w:right w:val="single" w:sz="4" w:space="0" w:color="auto"/>
            </w:tcBorders>
            <w:shd w:val="clear" w:color="auto" w:fill="auto"/>
          </w:tcPr>
          <w:p w14:paraId="5809169D" w14:textId="77777777" w:rsidR="009D4A93" w:rsidRPr="00536CFD" w:rsidRDefault="009D4A93" w:rsidP="009D4A93">
            <w:pPr>
              <w:spacing w:after="0"/>
              <w:jc w:val="center"/>
              <w:rPr>
                <w:lang w:val="zh-CN"/>
              </w:rPr>
            </w:pPr>
            <w:r w:rsidRPr="00536CFD">
              <w:rPr>
                <w:lang w:val="zh-CN"/>
              </w:rPr>
              <w:t>0.17</w:t>
            </w:r>
          </w:p>
        </w:tc>
        <w:tc>
          <w:tcPr>
            <w:tcW w:w="724" w:type="dxa"/>
            <w:tcBorders>
              <w:top w:val="single" w:sz="4" w:space="0" w:color="auto"/>
              <w:left w:val="nil"/>
              <w:bottom w:val="single" w:sz="4" w:space="0" w:color="auto"/>
              <w:right w:val="single" w:sz="4" w:space="0" w:color="auto"/>
            </w:tcBorders>
            <w:shd w:val="clear" w:color="auto" w:fill="auto"/>
          </w:tcPr>
          <w:p w14:paraId="6FB56AA3" w14:textId="77777777" w:rsidR="009D4A93" w:rsidRPr="00536CFD" w:rsidRDefault="009D4A93" w:rsidP="009D4A93">
            <w:pPr>
              <w:spacing w:after="0"/>
              <w:jc w:val="center"/>
              <w:rPr>
                <w:lang w:val="zh-CN"/>
              </w:rPr>
            </w:pPr>
            <w:r w:rsidRPr="00536CFD">
              <w:rPr>
                <w:lang w:val="zh-CN"/>
              </w:rPr>
              <w:t>1.89</w:t>
            </w:r>
          </w:p>
        </w:tc>
        <w:tc>
          <w:tcPr>
            <w:tcW w:w="896" w:type="dxa"/>
            <w:tcBorders>
              <w:top w:val="single" w:sz="4" w:space="0" w:color="auto"/>
              <w:left w:val="nil"/>
              <w:bottom w:val="single" w:sz="4" w:space="0" w:color="auto"/>
              <w:right w:val="single" w:sz="4" w:space="0" w:color="auto"/>
            </w:tcBorders>
            <w:shd w:val="clear" w:color="auto" w:fill="auto"/>
          </w:tcPr>
          <w:p w14:paraId="1DC8D4BF" w14:textId="77777777" w:rsidR="009D4A93" w:rsidRPr="00536CFD" w:rsidRDefault="009D4A93" w:rsidP="009D4A93">
            <w:pPr>
              <w:spacing w:after="0"/>
              <w:jc w:val="center"/>
              <w:rPr>
                <w:lang w:val="zh-CN"/>
              </w:rPr>
            </w:pPr>
            <w:r w:rsidRPr="00536CFD">
              <w:rPr>
                <w:lang w:val="zh-CN"/>
              </w:rPr>
              <w:t>0.28</w:t>
            </w:r>
          </w:p>
        </w:tc>
        <w:tc>
          <w:tcPr>
            <w:tcW w:w="720" w:type="dxa"/>
            <w:tcBorders>
              <w:top w:val="single" w:sz="4" w:space="0" w:color="auto"/>
              <w:left w:val="nil"/>
              <w:bottom w:val="single" w:sz="4" w:space="0" w:color="auto"/>
              <w:right w:val="single" w:sz="4" w:space="0" w:color="auto"/>
            </w:tcBorders>
            <w:shd w:val="clear" w:color="auto" w:fill="auto"/>
          </w:tcPr>
          <w:p w14:paraId="3C965BA9" w14:textId="77777777" w:rsidR="009D4A93" w:rsidRPr="00536CFD" w:rsidRDefault="009D4A93" w:rsidP="009D4A93">
            <w:pPr>
              <w:spacing w:after="0"/>
              <w:jc w:val="center"/>
              <w:rPr>
                <w:lang w:val="zh-CN"/>
              </w:rPr>
            </w:pPr>
            <w:r w:rsidRPr="00536CFD">
              <w:rPr>
                <w:lang w:val="zh-CN"/>
              </w:rPr>
              <w:t>0.39</w:t>
            </w:r>
          </w:p>
        </w:tc>
        <w:tc>
          <w:tcPr>
            <w:tcW w:w="720" w:type="dxa"/>
            <w:tcBorders>
              <w:top w:val="single" w:sz="4" w:space="0" w:color="auto"/>
              <w:left w:val="nil"/>
              <w:bottom w:val="single" w:sz="4" w:space="0" w:color="auto"/>
              <w:right w:val="single" w:sz="4" w:space="0" w:color="auto"/>
            </w:tcBorders>
            <w:shd w:val="clear" w:color="auto" w:fill="auto"/>
          </w:tcPr>
          <w:p w14:paraId="6F4725AD" w14:textId="77777777" w:rsidR="009D4A93" w:rsidRPr="00536CFD" w:rsidRDefault="009D4A93" w:rsidP="009D4A93">
            <w:pPr>
              <w:spacing w:after="0"/>
              <w:jc w:val="center"/>
              <w:rPr>
                <w:lang w:val="zh-CN"/>
              </w:rPr>
            </w:pPr>
            <w:r w:rsidRPr="00536CFD">
              <w:rPr>
                <w:lang w:val="zh-CN"/>
              </w:rPr>
              <w:t>0.19</w:t>
            </w:r>
          </w:p>
        </w:tc>
      </w:tr>
      <w:tr w:rsidR="009D4A93" w:rsidRPr="00536CFD" w14:paraId="039180B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034A2F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E5CDB9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B61CF8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42626DEA" w14:textId="77777777" w:rsidR="009D4A93" w:rsidRPr="00536CFD" w:rsidRDefault="009D4A93" w:rsidP="009D4A93">
            <w:pPr>
              <w:spacing w:after="0"/>
              <w:jc w:val="center"/>
              <w:rPr>
                <w:lang w:val="zh-CN"/>
              </w:rPr>
            </w:pPr>
            <w:r w:rsidRPr="00536CFD">
              <w:rPr>
                <w:lang w:val="zh-CN"/>
              </w:rPr>
              <w:t>0.10</w:t>
            </w:r>
          </w:p>
        </w:tc>
        <w:tc>
          <w:tcPr>
            <w:tcW w:w="720" w:type="dxa"/>
            <w:tcBorders>
              <w:top w:val="single" w:sz="4" w:space="0" w:color="auto"/>
              <w:left w:val="nil"/>
              <w:bottom w:val="single" w:sz="4" w:space="0" w:color="auto"/>
              <w:right w:val="single" w:sz="4" w:space="0" w:color="auto"/>
            </w:tcBorders>
            <w:shd w:val="clear" w:color="auto" w:fill="auto"/>
          </w:tcPr>
          <w:p w14:paraId="551F92FB"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37569362" w14:textId="77777777" w:rsidR="009D4A93" w:rsidRPr="00536CFD" w:rsidRDefault="009D4A93" w:rsidP="009D4A93">
            <w:pPr>
              <w:spacing w:after="0"/>
              <w:jc w:val="center"/>
              <w:rPr>
                <w:lang w:val="zh-CN"/>
              </w:rPr>
            </w:pPr>
            <w:r w:rsidRPr="00536CFD">
              <w:rPr>
                <w:lang w:val="zh-CN"/>
              </w:rPr>
              <w:t>0.09</w:t>
            </w:r>
          </w:p>
        </w:tc>
        <w:tc>
          <w:tcPr>
            <w:tcW w:w="810" w:type="dxa"/>
            <w:tcBorders>
              <w:top w:val="single" w:sz="4" w:space="0" w:color="auto"/>
              <w:left w:val="nil"/>
              <w:bottom w:val="single" w:sz="4" w:space="0" w:color="auto"/>
              <w:right w:val="single" w:sz="4" w:space="0" w:color="auto"/>
            </w:tcBorders>
            <w:shd w:val="clear" w:color="auto" w:fill="auto"/>
          </w:tcPr>
          <w:p w14:paraId="0F60D52C" w14:textId="77777777" w:rsidR="009D4A93" w:rsidRPr="00536CFD" w:rsidRDefault="009D4A93" w:rsidP="009D4A93">
            <w:pPr>
              <w:spacing w:after="0"/>
              <w:jc w:val="center"/>
              <w:rPr>
                <w:lang w:val="zh-CN"/>
              </w:rPr>
            </w:pPr>
            <w:r w:rsidRPr="00536CFD">
              <w:rPr>
                <w:lang w:val="zh-CN"/>
              </w:rPr>
              <w:t>0.07</w:t>
            </w:r>
          </w:p>
        </w:tc>
        <w:tc>
          <w:tcPr>
            <w:tcW w:w="810" w:type="dxa"/>
            <w:tcBorders>
              <w:top w:val="single" w:sz="4" w:space="0" w:color="auto"/>
              <w:left w:val="nil"/>
              <w:bottom w:val="single" w:sz="4" w:space="0" w:color="auto"/>
              <w:right w:val="single" w:sz="4" w:space="0" w:color="auto"/>
            </w:tcBorders>
            <w:shd w:val="clear" w:color="auto" w:fill="auto"/>
          </w:tcPr>
          <w:p w14:paraId="10DE9FCD" w14:textId="77777777" w:rsidR="009D4A93" w:rsidRPr="00536CFD" w:rsidRDefault="009D4A93" w:rsidP="009D4A93">
            <w:pPr>
              <w:spacing w:after="0"/>
              <w:jc w:val="center"/>
              <w:rPr>
                <w:lang w:val="zh-CN"/>
              </w:rPr>
            </w:pPr>
            <w:r w:rsidRPr="00536CFD">
              <w:rPr>
                <w:lang w:val="zh-CN"/>
              </w:rPr>
              <w:t>0.18</w:t>
            </w:r>
          </w:p>
        </w:tc>
        <w:tc>
          <w:tcPr>
            <w:tcW w:w="820" w:type="dxa"/>
            <w:tcBorders>
              <w:top w:val="single" w:sz="4" w:space="0" w:color="auto"/>
              <w:left w:val="nil"/>
              <w:bottom w:val="single" w:sz="4" w:space="0" w:color="auto"/>
              <w:right w:val="single" w:sz="4" w:space="0" w:color="auto"/>
            </w:tcBorders>
            <w:shd w:val="clear" w:color="auto" w:fill="auto"/>
          </w:tcPr>
          <w:p w14:paraId="47A53265" w14:textId="77777777" w:rsidR="009D4A93" w:rsidRPr="00536CFD" w:rsidRDefault="009D4A93" w:rsidP="009D4A93">
            <w:pPr>
              <w:spacing w:after="0"/>
              <w:jc w:val="center"/>
              <w:rPr>
                <w:lang w:val="zh-CN"/>
              </w:rPr>
            </w:pPr>
            <w:r w:rsidRPr="00536CFD">
              <w:rPr>
                <w:lang w:val="zh-CN"/>
              </w:rPr>
              <w:t>0.09</w:t>
            </w:r>
          </w:p>
        </w:tc>
        <w:tc>
          <w:tcPr>
            <w:tcW w:w="800" w:type="dxa"/>
            <w:tcBorders>
              <w:top w:val="single" w:sz="4" w:space="0" w:color="auto"/>
              <w:left w:val="nil"/>
              <w:bottom w:val="single" w:sz="4" w:space="0" w:color="auto"/>
              <w:right w:val="single" w:sz="4" w:space="0" w:color="auto"/>
            </w:tcBorders>
            <w:shd w:val="clear" w:color="auto" w:fill="auto"/>
          </w:tcPr>
          <w:p w14:paraId="278B2C01" w14:textId="77777777" w:rsidR="009D4A93" w:rsidRPr="00536CFD" w:rsidRDefault="009D4A93" w:rsidP="009D4A93">
            <w:pPr>
              <w:spacing w:after="0"/>
              <w:jc w:val="center"/>
              <w:rPr>
                <w:lang w:val="zh-CN"/>
              </w:rPr>
            </w:pPr>
            <w:r w:rsidRPr="00536CFD">
              <w:rPr>
                <w:lang w:val="zh-CN"/>
              </w:rPr>
              <w:t>0.12</w:t>
            </w:r>
          </w:p>
        </w:tc>
        <w:tc>
          <w:tcPr>
            <w:tcW w:w="720" w:type="dxa"/>
            <w:tcBorders>
              <w:top w:val="single" w:sz="4" w:space="0" w:color="auto"/>
              <w:left w:val="nil"/>
              <w:bottom w:val="single" w:sz="4" w:space="0" w:color="auto"/>
              <w:right w:val="single" w:sz="4" w:space="0" w:color="auto"/>
            </w:tcBorders>
            <w:shd w:val="clear" w:color="auto" w:fill="auto"/>
          </w:tcPr>
          <w:p w14:paraId="2123D7A4" w14:textId="77777777" w:rsidR="009D4A93" w:rsidRPr="00536CFD" w:rsidRDefault="009D4A93" w:rsidP="009D4A93">
            <w:pPr>
              <w:spacing w:after="0"/>
              <w:jc w:val="center"/>
              <w:rPr>
                <w:lang w:val="zh-CN"/>
              </w:rPr>
            </w:pPr>
            <w:r w:rsidRPr="00536CFD">
              <w:rPr>
                <w:lang w:val="zh-CN"/>
              </w:rPr>
              <w:t>0.08</w:t>
            </w:r>
          </w:p>
        </w:tc>
        <w:tc>
          <w:tcPr>
            <w:tcW w:w="724" w:type="dxa"/>
            <w:tcBorders>
              <w:top w:val="single" w:sz="4" w:space="0" w:color="auto"/>
              <w:left w:val="nil"/>
              <w:bottom w:val="single" w:sz="4" w:space="0" w:color="auto"/>
              <w:right w:val="single" w:sz="4" w:space="0" w:color="auto"/>
            </w:tcBorders>
            <w:shd w:val="clear" w:color="auto" w:fill="auto"/>
          </w:tcPr>
          <w:p w14:paraId="771467AC" w14:textId="77777777" w:rsidR="009D4A93" w:rsidRPr="00536CFD" w:rsidRDefault="009D4A93" w:rsidP="009D4A93">
            <w:pPr>
              <w:spacing w:after="0"/>
              <w:jc w:val="center"/>
              <w:rPr>
                <w:lang w:val="zh-CN"/>
              </w:rPr>
            </w:pPr>
            <w:r w:rsidRPr="00536CFD">
              <w:rPr>
                <w:lang w:val="zh-CN"/>
              </w:rPr>
              <w:t>0.43</w:t>
            </w:r>
          </w:p>
        </w:tc>
        <w:tc>
          <w:tcPr>
            <w:tcW w:w="896" w:type="dxa"/>
            <w:tcBorders>
              <w:top w:val="single" w:sz="4" w:space="0" w:color="auto"/>
              <w:left w:val="nil"/>
              <w:bottom w:val="single" w:sz="4" w:space="0" w:color="auto"/>
              <w:right w:val="single" w:sz="4" w:space="0" w:color="auto"/>
            </w:tcBorders>
            <w:shd w:val="clear" w:color="auto" w:fill="auto"/>
          </w:tcPr>
          <w:p w14:paraId="64DA1B0E" w14:textId="77777777" w:rsidR="009D4A93" w:rsidRPr="00536CFD" w:rsidRDefault="009D4A93" w:rsidP="009D4A93">
            <w:pPr>
              <w:spacing w:after="0"/>
              <w:jc w:val="center"/>
              <w:rPr>
                <w:lang w:val="zh-CN"/>
              </w:rPr>
            </w:pPr>
            <w:r w:rsidRPr="00536CFD">
              <w:rPr>
                <w:lang w:val="zh-CN"/>
              </w:rPr>
              <w:t>0.11</w:t>
            </w:r>
          </w:p>
        </w:tc>
        <w:tc>
          <w:tcPr>
            <w:tcW w:w="720" w:type="dxa"/>
            <w:tcBorders>
              <w:top w:val="single" w:sz="4" w:space="0" w:color="auto"/>
              <w:left w:val="nil"/>
              <w:bottom w:val="single" w:sz="4" w:space="0" w:color="auto"/>
              <w:right w:val="single" w:sz="4" w:space="0" w:color="auto"/>
            </w:tcBorders>
            <w:shd w:val="clear" w:color="auto" w:fill="auto"/>
          </w:tcPr>
          <w:p w14:paraId="1E4CE5BE" w14:textId="77777777" w:rsidR="009D4A93" w:rsidRPr="00536CFD" w:rsidRDefault="009D4A93" w:rsidP="009D4A93">
            <w:pPr>
              <w:spacing w:after="0"/>
              <w:jc w:val="center"/>
              <w:rPr>
                <w:lang w:val="zh-CN"/>
              </w:rPr>
            </w:pPr>
            <w:r w:rsidRPr="00536CFD">
              <w:rPr>
                <w:lang w:val="zh-CN"/>
              </w:rPr>
              <w:t>0.15</w:t>
            </w:r>
          </w:p>
        </w:tc>
        <w:tc>
          <w:tcPr>
            <w:tcW w:w="720" w:type="dxa"/>
            <w:tcBorders>
              <w:top w:val="single" w:sz="4" w:space="0" w:color="auto"/>
              <w:left w:val="nil"/>
              <w:bottom w:val="single" w:sz="4" w:space="0" w:color="auto"/>
              <w:right w:val="single" w:sz="4" w:space="0" w:color="auto"/>
            </w:tcBorders>
            <w:shd w:val="clear" w:color="auto" w:fill="auto"/>
          </w:tcPr>
          <w:p w14:paraId="071674F5" w14:textId="77777777" w:rsidR="009D4A93" w:rsidRPr="00536CFD" w:rsidRDefault="009D4A93" w:rsidP="009D4A93">
            <w:pPr>
              <w:spacing w:after="0"/>
              <w:jc w:val="center"/>
              <w:rPr>
                <w:lang w:val="zh-CN"/>
              </w:rPr>
            </w:pPr>
            <w:r w:rsidRPr="00536CFD">
              <w:rPr>
                <w:lang w:val="zh-CN"/>
              </w:rPr>
              <w:t>0.09</w:t>
            </w:r>
          </w:p>
        </w:tc>
      </w:tr>
      <w:tr w:rsidR="009D4A93" w:rsidRPr="00536CFD" w14:paraId="7C6E23C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002EE28"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B771E92"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tcPr>
          <w:p w14:paraId="73DC76B1" w14:textId="77777777" w:rsidR="009D4A93" w:rsidRPr="00536CFD" w:rsidRDefault="009D4A93" w:rsidP="009D4A93">
            <w:pPr>
              <w:spacing w:after="0"/>
              <w:jc w:val="center"/>
              <w:rPr>
                <w:lang w:val="zh-CN"/>
              </w:rPr>
            </w:pPr>
            <w:r w:rsidRPr="00536CFD">
              <w:rPr>
                <w:lang w:val="zh-CN"/>
              </w:rPr>
              <w:t>99.68%</w:t>
            </w:r>
          </w:p>
        </w:tc>
        <w:tc>
          <w:tcPr>
            <w:tcW w:w="720" w:type="dxa"/>
            <w:tcBorders>
              <w:top w:val="single" w:sz="4" w:space="0" w:color="auto"/>
              <w:left w:val="nil"/>
              <w:bottom w:val="single" w:sz="4" w:space="0" w:color="auto"/>
              <w:right w:val="single" w:sz="4" w:space="0" w:color="auto"/>
            </w:tcBorders>
            <w:shd w:val="clear" w:color="auto" w:fill="auto"/>
          </w:tcPr>
          <w:p w14:paraId="6BC2600D" w14:textId="77777777" w:rsidR="009D4A93" w:rsidRPr="00536CFD" w:rsidRDefault="009D4A93" w:rsidP="009D4A93">
            <w:pPr>
              <w:spacing w:after="0"/>
              <w:jc w:val="center"/>
              <w:rPr>
                <w:lang w:val="zh-CN"/>
              </w:rPr>
            </w:pPr>
            <w:r w:rsidRPr="00536CFD">
              <w:rPr>
                <w:lang w:val="zh-CN"/>
              </w:rPr>
              <w:t>99.74%</w:t>
            </w:r>
          </w:p>
        </w:tc>
        <w:tc>
          <w:tcPr>
            <w:tcW w:w="720" w:type="dxa"/>
            <w:tcBorders>
              <w:top w:val="single" w:sz="4" w:space="0" w:color="auto"/>
              <w:left w:val="nil"/>
              <w:bottom w:val="single" w:sz="4" w:space="0" w:color="auto"/>
              <w:right w:val="single" w:sz="4" w:space="0" w:color="auto"/>
            </w:tcBorders>
            <w:shd w:val="clear" w:color="auto" w:fill="auto"/>
          </w:tcPr>
          <w:p w14:paraId="1AEBCE48" w14:textId="77777777" w:rsidR="009D4A93" w:rsidRPr="00536CFD" w:rsidRDefault="009D4A93" w:rsidP="009D4A93">
            <w:pPr>
              <w:spacing w:after="0"/>
              <w:jc w:val="center"/>
              <w:rPr>
                <w:lang w:val="zh-CN"/>
              </w:rPr>
            </w:pPr>
            <w:r w:rsidRPr="00536CFD">
              <w:rPr>
                <w:lang w:val="zh-CN"/>
              </w:rPr>
              <w:t>99.73%</w:t>
            </w:r>
          </w:p>
        </w:tc>
        <w:tc>
          <w:tcPr>
            <w:tcW w:w="810" w:type="dxa"/>
            <w:tcBorders>
              <w:top w:val="single" w:sz="4" w:space="0" w:color="auto"/>
              <w:left w:val="nil"/>
              <w:bottom w:val="single" w:sz="4" w:space="0" w:color="auto"/>
              <w:right w:val="single" w:sz="4" w:space="0" w:color="auto"/>
            </w:tcBorders>
            <w:shd w:val="clear" w:color="auto" w:fill="auto"/>
          </w:tcPr>
          <w:p w14:paraId="635567DC"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5E7E5C9B" w14:textId="77777777" w:rsidR="009D4A93" w:rsidRPr="00536CFD" w:rsidRDefault="009D4A93" w:rsidP="009D4A93">
            <w:pPr>
              <w:spacing w:after="0"/>
              <w:jc w:val="center"/>
              <w:rPr>
                <w:lang w:val="zh-CN"/>
              </w:rPr>
            </w:pPr>
            <w:r w:rsidRPr="00536CFD">
              <w:rPr>
                <w:lang w:val="zh-CN"/>
              </w:rPr>
              <w:t>99.64%</w:t>
            </w:r>
          </w:p>
        </w:tc>
        <w:tc>
          <w:tcPr>
            <w:tcW w:w="820" w:type="dxa"/>
            <w:tcBorders>
              <w:top w:val="single" w:sz="4" w:space="0" w:color="auto"/>
              <w:left w:val="nil"/>
              <w:bottom w:val="single" w:sz="4" w:space="0" w:color="auto"/>
              <w:right w:val="single" w:sz="4" w:space="0" w:color="auto"/>
            </w:tcBorders>
            <w:shd w:val="clear" w:color="auto" w:fill="auto"/>
          </w:tcPr>
          <w:p w14:paraId="30B37F8D" w14:textId="77777777" w:rsidR="009D4A93" w:rsidRPr="00536CFD" w:rsidRDefault="009D4A93" w:rsidP="009D4A93">
            <w:pPr>
              <w:spacing w:after="0"/>
              <w:jc w:val="center"/>
              <w:rPr>
                <w:lang w:val="zh-CN"/>
              </w:rPr>
            </w:pPr>
            <w:r w:rsidRPr="00536CFD">
              <w:rPr>
                <w:lang w:val="zh-CN"/>
              </w:rPr>
              <w:t>99.69%</w:t>
            </w:r>
          </w:p>
        </w:tc>
        <w:tc>
          <w:tcPr>
            <w:tcW w:w="800" w:type="dxa"/>
            <w:tcBorders>
              <w:top w:val="single" w:sz="4" w:space="0" w:color="auto"/>
              <w:left w:val="nil"/>
              <w:bottom w:val="single" w:sz="4" w:space="0" w:color="auto"/>
              <w:right w:val="single" w:sz="4" w:space="0" w:color="auto"/>
            </w:tcBorders>
            <w:shd w:val="clear" w:color="auto" w:fill="auto"/>
          </w:tcPr>
          <w:p w14:paraId="71310482"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0086E997" w14:textId="77777777" w:rsidR="009D4A93" w:rsidRPr="00536CFD" w:rsidRDefault="009D4A93" w:rsidP="009D4A93">
            <w:pPr>
              <w:spacing w:after="0"/>
              <w:jc w:val="center"/>
              <w:rPr>
                <w:lang w:val="zh-CN"/>
              </w:rPr>
            </w:pPr>
            <w:r w:rsidRPr="00536CFD">
              <w:rPr>
                <w:lang w:val="zh-CN"/>
              </w:rPr>
              <w:t>99.91%</w:t>
            </w:r>
          </w:p>
        </w:tc>
        <w:tc>
          <w:tcPr>
            <w:tcW w:w="724" w:type="dxa"/>
            <w:tcBorders>
              <w:top w:val="single" w:sz="4" w:space="0" w:color="auto"/>
              <w:left w:val="nil"/>
              <w:bottom w:val="single" w:sz="4" w:space="0" w:color="auto"/>
              <w:right w:val="single" w:sz="4" w:space="0" w:color="auto"/>
            </w:tcBorders>
            <w:shd w:val="clear" w:color="auto" w:fill="auto"/>
          </w:tcPr>
          <w:p w14:paraId="52BBEACB" w14:textId="77777777" w:rsidR="009D4A93" w:rsidRPr="00536CFD" w:rsidRDefault="009D4A93" w:rsidP="009D4A93">
            <w:pPr>
              <w:spacing w:after="0"/>
              <w:jc w:val="center"/>
              <w:rPr>
                <w:lang w:val="zh-CN"/>
              </w:rPr>
            </w:pPr>
            <w:r w:rsidRPr="00536CFD">
              <w:rPr>
                <w:lang w:val="zh-CN"/>
              </w:rPr>
              <w:t>98.46%</w:t>
            </w:r>
          </w:p>
        </w:tc>
        <w:tc>
          <w:tcPr>
            <w:tcW w:w="896" w:type="dxa"/>
            <w:tcBorders>
              <w:top w:val="single" w:sz="4" w:space="0" w:color="auto"/>
              <w:left w:val="nil"/>
              <w:bottom w:val="single" w:sz="4" w:space="0" w:color="auto"/>
              <w:right w:val="single" w:sz="4" w:space="0" w:color="auto"/>
            </w:tcBorders>
            <w:shd w:val="clear" w:color="auto" w:fill="auto"/>
          </w:tcPr>
          <w:p w14:paraId="0E2B5CA5" w14:textId="77777777" w:rsidR="009D4A93" w:rsidRPr="00536CFD" w:rsidRDefault="009D4A93" w:rsidP="009D4A93">
            <w:pPr>
              <w:spacing w:after="0"/>
              <w:jc w:val="center"/>
              <w:rPr>
                <w:lang w:val="zh-CN"/>
              </w:rPr>
            </w:pPr>
            <w:r w:rsidRPr="00536CFD">
              <w:rPr>
                <w:lang w:val="zh-CN"/>
              </w:rPr>
              <w:t>99.70%</w:t>
            </w:r>
          </w:p>
        </w:tc>
        <w:tc>
          <w:tcPr>
            <w:tcW w:w="720" w:type="dxa"/>
            <w:tcBorders>
              <w:top w:val="single" w:sz="4" w:space="0" w:color="auto"/>
              <w:left w:val="nil"/>
              <w:bottom w:val="single" w:sz="4" w:space="0" w:color="auto"/>
              <w:right w:val="single" w:sz="4" w:space="0" w:color="auto"/>
            </w:tcBorders>
            <w:shd w:val="clear" w:color="auto" w:fill="auto"/>
          </w:tcPr>
          <w:p w14:paraId="308DDE4A" w14:textId="77777777" w:rsidR="009D4A93" w:rsidRPr="00536CFD" w:rsidRDefault="009D4A93" w:rsidP="009D4A93">
            <w:pPr>
              <w:spacing w:after="0"/>
              <w:jc w:val="center"/>
              <w:rPr>
                <w:lang w:val="zh-CN"/>
              </w:rPr>
            </w:pPr>
            <w:r w:rsidRPr="00536CFD">
              <w:rPr>
                <w:lang w:val="zh-CN"/>
              </w:rPr>
              <w:t>99.80%</w:t>
            </w:r>
          </w:p>
        </w:tc>
        <w:tc>
          <w:tcPr>
            <w:tcW w:w="720" w:type="dxa"/>
            <w:tcBorders>
              <w:top w:val="single" w:sz="4" w:space="0" w:color="auto"/>
              <w:left w:val="nil"/>
              <w:bottom w:val="single" w:sz="4" w:space="0" w:color="auto"/>
              <w:right w:val="single" w:sz="4" w:space="0" w:color="auto"/>
            </w:tcBorders>
            <w:shd w:val="clear" w:color="auto" w:fill="auto"/>
          </w:tcPr>
          <w:p w14:paraId="4D958723" w14:textId="77777777" w:rsidR="009D4A93" w:rsidRPr="00536CFD" w:rsidRDefault="009D4A93" w:rsidP="009D4A93">
            <w:pPr>
              <w:spacing w:after="0"/>
              <w:jc w:val="center"/>
              <w:rPr>
                <w:lang w:val="zh-CN"/>
              </w:rPr>
            </w:pPr>
            <w:r w:rsidRPr="00536CFD">
              <w:rPr>
                <w:lang w:val="zh-CN"/>
              </w:rPr>
              <w:t>99.86%</w:t>
            </w:r>
          </w:p>
        </w:tc>
      </w:tr>
      <w:tr w:rsidR="009D4A93" w:rsidRPr="00536CFD" w14:paraId="6087B41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85F6FDF"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0538B1C"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tcPr>
          <w:p w14:paraId="500CADDA" w14:textId="77777777" w:rsidR="009D4A93" w:rsidRPr="00536CFD" w:rsidRDefault="009D4A93" w:rsidP="009D4A93">
            <w:pPr>
              <w:spacing w:after="0"/>
              <w:jc w:val="center"/>
              <w:rPr>
                <w:lang w:val="zh-CN"/>
              </w:rPr>
            </w:pPr>
            <w:r w:rsidRPr="00536CFD">
              <w:rPr>
                <w:lang w:val="zh-CN"/>
              </w:rPr>
              <w:t>99.60%</w:t>
            </w:r>
          </w:p>
        </w:tc>
        <w:tc>
          <w:tcPr>
            <w:tcW w:w="720" w:type="dxa"/>
            <w:tcBorders>
              <w:top w:val="single" w:sz="4" w:space="0" w:color="auto"/>
              <w:left w:val="nil"/>
              <w:bottom w:val="single" w:sz="4" w:space="0" w:color="auto"/>
              <w:right w:val="single" w:sz="4" w:space="0" w:color="auto"/>
            </w:tcBorders>
            <w:shd w:val="clear" w:color="auto" w:fill="auto"/>
          </w:tcPr>
          <w:p w14:paraId="117667A1" w14:textId="77777777" w:rsidR="009D4A93" w:rsidRPr="00536CFD" w:rsidRDefault="009D4A93" w:rsidP="009D4A93">
            <w:pPr>
              <w:spacing w:after="0"/>
              <w:jc w:val="center"/>
              <w:rPr>
                <w:lang w:val="zh-CN"/>
              </w:rPr>
            </w:pPr>
            <w:r w:rsidRPr="00536CFD">
              <w:rPr>
                <w:lang w:val="zh-CN"/>
              </w:rPr>
              <w:t>99.87%</w:t>
            </w:r>
          </w:p>
        </w:tc>
        <w:tc>
          <w:tcPr>
            <w:tcW w:w="720" w:type="dxa"/>
            <w:tcBorders>
              <w:top w:val="single" w:sz="4" w:space="0" w:color="auto"/>
              <w:left w:val="nil"/>
              <w:bottom w:val="single" w:sz="4" w:space="0" w:color="auto"/>
              <w:right w:val="single" w:sz="4" w:space="0" w:color="auto"/>
            </w:tcBorders>
            <w:shd w:val="clear" w:color="auto" w:fill="auto"/>
          </w:tcPr>
          <w:p w14:paraId="06724064" w14:textId="77777777" w:rsidR="009D4A93" w:rsidRPr="00536CFD" w:rsidRDefault="009D4A93" w:rsidP="009D4A93">
            <w:pPr>
              <w:spacing w:after="0"/>
              <w:jc w:val="center"/>
              <w:rPr>
                <w:lang w:val="zh-CN"/>
              </w:rPr>
            </w:pPr>
            <w:r w:rsidRPr="00536CFD">
              <w:rPr>
                <w:lang w:val="zh-CN"/>
              </w:rPr>
              <w:t>99.52%</w:t>
            </w:r>
          </w:p>
        </w:tc>
        <w:tc>
          <w:tcPr>
            <w:tcW w:w="810" w:type="dxa"/>
            <w:tcBorders>
              <w:top w:val="single" w:sz="4" w:space="0" w:color="auto"/>
              <w:left w:val="nil"/>
              <w:bottom w:val="single" w:sz="4" w:space="0" w:color="auto"/>
              <w:right w:val="single" w:sz="4" w:space="0" w:color="auto"/>
            </w:tcBorders>
            <w:shd w:val="clear" w:color="auto" w:fill="auto"/>
          </w:tcPr>
          <w:p w14:paraId="681CF8F1"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3A8733BB" w14:textId="77777777" w:rsidR="009D4A93" w:rsidRPr="00536CFD" w:rsidRDefault="009D4A93" w:rsidP="009D4A93">
            <w:pPr>
              <w:spacing w:after="0"/>
              <w:jc w:val="center"/>
              <w:rPr>
                <w:lang w:val="zh-CN"/>
              </w:rPr>
            </w:pPr>
            <w:r w:rsidRPr="00536CFD">
              <w:rPr>
                <w:lang w:val="zh-CN"/>
              </w:rPr>
              <w:t>99.56%</w:t>
            </w:r>
          </w:p>
        </w:tc>
        <w:tc>
          <w:tcPr>
            <w:tcW w:w="820" w:type="dxa"/>
            <w:tcBorders>
              <w:top w:val="single" w:sz="4" w:space="0" w:color="auto"/>
              <w:left w:val="nil"/>
              <w:bottom w:val="single" w:sz="4" w:space="0" w:color="auto"/>
              <w:right w:val="single" w:sz="4" w:space="0" w:color="auto"/>
            </w:tcBorders>
            <w:shd w:val="clear" w:color="auto" w:fill="auto"/>
          </w:tcPr>
          <w:p w14:paraId="6FD86246" w14:textId="77777777" w:rsidR="009D4A93" w:rsidRPr="00536CFD" w:rsidRDefault="009D4A93" w:rsidP="009D4A93">
            <w:pPr>
              <w:spacing w:after="0"/>
              <w:jc w:val="center"/>
              <w:rPr>
                <w:lang w:val="zh-CN"/>
              </w:rPr>
            </w:pPr>
            <w:r w:rsidRPr="00536CFD">
              <w:rPr>
                <w:lang w:val="zh-CN"/>
              </w:rPr>
              <w:t>99.64%</w:t>
            </w:r>
          </w:p>
        </w:tc>
        <w:tc>
          <w:tcPr>
            <w:tcW w:w="800" w:type="dxa"/>
            <w:tcBorders>
              <w:top w:val="single" w:sz="4" w:space="0" w:color="auto"/>
              <w:left w:val="nil"/>
              <w:bottom w:val="single" w:sz="4" w:space="0" w:color="auto"/>
              <w:right w:val="single" w:sz="4" w:space="0" w:color="auto"/>
            </w:tcBorders>
            <w:shd w:val="clear" w:color="auto" w:fill="auto"/>
          </w:tcPr>
          <w:p w14:paraId="5B3F135C" w14:textId="77777777" w:rsidR="009D4A93" w:rsidRPr="00536CFD" w:rsidRDefault="009D4A93" w:rsidP="009D4A93">
            <w:pPr>
              <w:spacing w:after="0"/>
              <w:jc w:val="center"/>
              <w:rPr>
                <w:lang w:val="zh-CN"/>
              </w:rPr>
            </w:pPr>
            <w:r w:rsidRPr="00536CFD">
              <w:rPr>
                <w:lang w:val="zh-CN"/>
              </w:rPr>
              <w:t>99.63%</w:t>
            </w:r>
          </w:p>
        </w:tc>
        <w:tc>
          <w:tcPr>
            <w:tcW w:w="720" w:type="dxa"/>
            <w:tcBorders>
              <w:top w:val="single" w:sz="4" w:space="0" w:color="auto"/>
              <w:left w:val="nil"/>
              <w:bottom w:val="single" w:sz="4" w:space="0" w:color="auto"/>
              <w:right w:val="single" w:sz="4" w:space="0" w:color="auto"/>
            </w:tcBorders>
            <w:shd w:val="clear" w:color="auto" w:fill="auto"/>
          </w:tcPr>
          <w:p w14:paraId="1DD69B0C" w14:textId="77777777" w:rsidR="009D4A93" w:rsidRPr="00536CFD" w:rsidRDefault="009D4A93" w:rsidP="009D4A93">
            <w:pPr>
              <w:spacing w:after="0"/>
              <w:jc w:val="center"/>
              <w:rPr>
                <w:lang w:val="zh-CN"/>
              </w:rPr>
            </w:pPr>
            <w:r w:rsidRPr="00536CFD">
              <w:rPr>
                <w:lang w:val="zh-CN"/>
              </w:rPr>
              <w:t>99.73%</w:t>
            </w:r>
          </w:p>
        </w:tc>
        <w:tc>
          <w:tcPr>
            <w:tcW w:w="724" w:type="dxa"/>
            <w:tcBorders>
              <w:top w:val="single" w:sz="4" w:space="0" w:color="auto"/>
              <w:left w:val="nil"/>
              <w:bottom w:val="single" w:sz="4" w:space="0" w:color="auto"/>
              <w:right w:val="single" w:sz="4" w:space="0" w:color="auto"/>
            </w:tcBorders>
            <w:shd w:val="clear" w:color="auto" w:fill="auto"/>
          </w:tcPr>
          <w:p w14:paraId="4D06E10B" w14:textId="77777777" w:rsidR="009D4A93" w:rsidRPr="00536CFD" w:rsidRDefault="009D4A93" w:rsidP="009D4A93">
            <w:pPr>
              <w:spacing w:after="0"/>
              <w:jc w:val="center"/>
              <w:rPr>
                <w:lang w:val="zh-CN"/>
              </w:rPr>
            </w:pPr>
            <w:r w:rsidRPr="00536CFD">
              <w:rPr>
                <w:lang w:val="zh-CN"/>
              </w:rPr>
              <w:t>96.78%</w:t>
            </w:r>
          </w:p>
        </w:tc>
        <w:tc>
          <w:tcPr>
            <w:tcW w:w="896" w:type="dxa"/>
            <w:tcBorders>
              <w:top w:val="single" w:sz="4" w:space="0" w:color="auto"/>
              <w:left w:val="nil"/>
              <w:bottom w:val="single" w:sz="4" w:space="0" w:color="auto"/>
              <w:right w:val="single" w:sz="4" w:space="0" w:color="auto"/>
            </w:tcBorders>
            <w:shd w:val="clear" w:color="auto" w:fill="auto"/>
          </w:tcPr>
          <w:p w14:paraId="1BF439FE" w14:textId="77777777" w:rsidR="009D4A93" w:rsidRPr="00536CFD" w:rsidRDefault="009D4A93" w:rsidP="009D4A93">
            <w:pPr>
              <w:spacing w:after="0"/>
              <w:jc w:val="center"/>
              <w:rPr>
                <w:lang w:val="zh-CN"/>
              </w:rPr>
            </w:pPr>
            <w:r w:rsidRPr="00536CFD">
              <w:rPr>
                <w:lang w:val="zh-CN"/>
              </w:rPr>
              <w:t>99.56%</w:t>
            </w:r>
          </w:p>
        </w:tc>
        <w:tc>
          <w:tcPr>
            <w:tcW w:w="720" w:type="dxa"/>
            <w:tcBorders>
              <w:top w:val="single" w:sz="4" w:space="0" w:color="auto"/>
              <w:left w:val="nil"/>
              <w:bottom w:val="single" w:sz="4" w:space="0" w:color="auto"/>
              <w:right w:val="single" w:sz="4" w:space="0" w:color="auto"/>
            </w:tcBorders>
            <w:shd w:val="clear" w:color="auto" w:fill="auto"/>
          </w:tcPr>
          <w:p w14:paraId="03617455" w14:textId="77777777" w:rsidR="009D4A93" w:rsidRPr="00536CFD" w:rsidRDefault="009D4A93" w:rsidP="009D4A93">
            <w:pPr>
              <w:spacing w:after="0"/>
              <w:jc w:val="center"/>
              <w:rPr>
                <w:lang w:val="zh-CN"/>
              </w:rPr>
            </w:pPr>
            <w:r w:rsidRPr="00536CFD">
              <w:rPr>
                <w:lang w:val="zh-CN"/>
              </w:rPr>
              <w:t>99.52%</w:t>
            </w:r>
          </w:p>
        </w:tc>
        <w:tc>
          <w:tcPr>
            <w:tcW w:w="720" w:type="dxa"/>
            <w:tcBorders>
              <w:top w:val="single" w:sz="4" w:space="0" w:color="auto"/>
              <w:left w:val="nil"/>
              <w:bottom w:val="single" w:sz="4" w:space="0" w:color="auto"/>
              <w:right w:val="single" w:sz="4" w:space="0" w:color="auto"/>
            </w:tcBorders>
            <w:shd w:val="clear" w:color="auto" w:fill="auto"/>
          </w:tcPr>
          <w:p w14:paraId="4CB8970D" w14:textId="77777777" w:rsidR="009D4A93" w:rsidRPr="00536CFD" w:rsidRDefault="009D4A93" w:rsidP="009D4A93">
            <w:pPr>
              <w:spacing w:after="0"/>
              <w:jc w:val="center"/>
              <w:rPr>
                <w:lang w:val="zh-CN"/>
              </w:rPr>
            </w:pPr>
            <w:r w:rsidRPr="00536CFD">
              <w:rPr>
                <w:lang w:val="zh-CN"/>
              </w:rPr>
              <w:t>99.69%</w:t>
            </w:r>
          </w:p>
        </w:tc>
      </w:tr>
      <w:tr w:rsidR="009D4A93" w:rsidRPr="00536CFD" w14:paraId="1BCC3EA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1141B6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B6B80A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vAlign w:val="center"/>
          </w:tcPr>
          <w:p w14:paraId="36345347" w14:textId="77777777" w:rsidR="009D4A93" w:rsidRPr="00536CFD" w:rsidRDefault="009D4A93" w:rsidP="009D4A93">
            <w:pPr>
              <w:spacing w:after="0"/>
              <w:jc w:val="center"/>
              <w:rPr>
                <w:lang w:val="zh-CN"/>
              </w:rPr>
            </w:pPr>
            <w:r w:rsidRPr="00536CFD">
              <w:rPr>
                <w:lang w:val="zh-CN"/>
              </w:rPr>
              <w:t>17%</w:t>
            </w:r>
          </w:p>
        </w:tc>
        <w:tc>
          <w:tcPr>
            <w:tcW w:w="720" w:type="dxa"/>
            <w:tcBorders>
              <w:top w:val="single" w:sz="4" w:space="0" w:color="auto"/>
              <w:left w:val="nil"/>
              <w:bottom w:val="single" w:sz="4" w:space="0" w:color="auto"/>
              <w:right w:val="single" w:sz="4" w:space="0" w:color="auto"/>
            </w:tcBorders>
            <w:shd w:val="clear" w:color="auto" w:fill="auto"/>
            <w:vAlign w:val="center"/>
          </w:tcPr>
          <w:p w14:paraId="106B89E3" w14:textId="77777777" w:rsidR="009D4A93" w:rsidRPr="00536CFD" w:rsidRDefault="009D4A93" w:rsidP="009D4A93">
            <w:pPr>
              <w:spacing w:after="0"/>
              <w:jc w:val="center"/>
              <w:rPr>
                <w:lang w:val="zh-CN"/>
              </w:rPr>
            </w:pPr>
            <w:r w:rsidRPr="00536CFD">
              <w:rPr>
                <w:lang w:val="zh-CN"/>
              </w:rPr>
              <w:t>13.00%</w:t>
            </w:r>
          </w:p>
        </w:tc>
        <w:tc>
          <w:tcPr>
            <w:tcW w:w="720" w:type="dxa"/>
            <w:tcBorders>
              <w:top w:val="single" w:sz="4" w:space="0" w:color="auto"/>
              <w:left w:val="nil"/>
              <w:bottom w:val="single" w:sz="4" w:space="0" w:color="auto"/>
              <w:right w:val="single" w:sz="4" w:space="0" w:color="auto"/>
            </w:tcBorders>
            <w:shd w:val="clear" w:color="auto" w:fill="auto"/>
            <w:vAlign w:val="center"/>
          </w:tcPr>
          <w:p w14:paraId="08957AB2" w14:textId="77777777" w:rsidR="009D4A93" w:rsidRPr="00536CFD" w:rsidRDefault="009D4A93" w:rsidP="009D4A93">
            <w:pPr>
              <w:spacing w:after="0"/>
              <w:jc w:val="center"/>
              <w:rPr>
                <w:lang w:val="zh-CN"/>
              </w:rPr>
            </w:pPr>
            <w:r w:rsidRPr="00536CFD">
              <w:rPr>
                <w:lang w:val="zh-CN"/>
              </w:rPr>
              <w:t>13.00%</w:t>
            </w:r>
          </w:p>
        </w:tc>
        <w:tc>
          <w:tcPr>
            <w:tcW w:w="810" w:type="dxa"/>
            <w:tcBorders>
              <w:top w:val="single" w:sz="4" w:space="0" w:color="auto"/>
              <w:left w:val="nil"/>
              <w:bottom w:val="single" w:sz="4" w:space="0" w:color="auto"/>
              <w:right w:val="single" w:sz="4" w:space="0" w:color="auto"/>
            </w:tcBorders>
            <w:shd w:val="clear" w:color="auto" w:fill="auto"/>
            <w:vAlign w:val="center"/>
          </w:tcPr>
          <w:p w14:paraId="6990BF1A" w14:textId="77777777" w:rsidR="009D4A93" w:rsidRPr="00536CFD" w:rsidRDefault="009D4A93" w:rsidP="009D4A93">
            <w:pPr>
              <w:spacing w:after="0"/>
              <w:jc w:val="center"/>
              <w:rPr>
                <w:lang w:val="zh-CN"/>
              </w:rPr>
            </w:pPr>
            <w:r w:rsidRPr="00536CFD">
              <w:rPr>
                <w:lang w:val="zh-CN"/>
              </w:rPr>
              <w:t>11.00%</w:t>
            </w:r>
          </w:p>
        </w:tc>
        <w:tc>
          <w:tcPr>
            <w:tcW w:w="810" w:type="dxa"/>
            <w:tcBorders>
              <w:top w:val="single" w:sz="4" w:space="0" w:color="auto"/>
              <w:left w:val="nil"/>
              <w:bottom w:val="single" w:sz="4" w:space="0" w:color="auto"/>
              <w:right w:val="single" w:sz="4" w:space="0" w:color="auto"/>
            </w:tcBorders>
            <w:shd w:val="clear" w:color="auto" w:fill="auto"/>
            <w:vAlign w:val="center"/>
          </w:tcPr>
          <w:p w14:paraId="71002A60" w14:textId="77777777" w:rsidR="009D4A93" w:rsidRPr="00536CFD" w:rsidRDefault="009D4A93" w:rsidP="009D4A93">
            <w:pPr>
              <w:spacing w:after="0"/>
              <w:jc w:val="center"/>
              <w:rPr>
                <w:lang w:val="zh-CN"/>
              </w:rPr>
            </w:pPr>
            <w:r w:rsidRPr="00536CFD">
              <w:rPr>
                <w:lang w:val="zh-CN"/>
              </w:rPr>
              <w:t>35%</w:t>
            </w:r>
          </w:p>
        </w:tc>
        <w:tc>
          <w:tcPr>
            <w:tcW w:w="820" w:type="dxa"/>
            <w:tcBorders>
              <w:top w:val="single" w:sz="4" w:space="0" w:color="auto"/>
              <w:left w:val="nil"/>
              <w:bottom w:val="single" w:sz="4" w:space="0" w:color="auto"/>
              <w:right w:val="single" w:sz="4" w:space="0" w:color="auto"/>
            </w:tcBorders>
            <w:shd w:val="clear" w:color="auto" w:fill="auto"/>
            <w:vAlign w:val="center"/>
          </w:tcPr>
          <w:p w14:paraId="2E668E3A" w14:textId="77777777" w:rsidR="009D4A93" w:rsidRPr="00536CFD" w:rsidRDefault="009D4A93" w:rsidP="009D4A93">
            <w:pPr>
              <w:spacing w:after="0"/>
              <w:jc w:val="center"/>
              <w:rPr>
                <w:lang w:val="zh-CN"/>
              </w:rPr>
            </w:pPr>
            <w:r w:rsidRPr="00536CFD">
              <w:rPr>
                <w:lang w:val="zh-CN"/>
              </w:rPr>
              <w:t>22.00%</w:t>
            </w:r>
          </w:p>
        </w:tc>
        <w:tc>
          <w:tcPr>
            <w:tcW w:w="800" w:type="dxa"/>
            <w:tcBorders>
              <w:top w:val="single" w:sz="4" w:space="0" w:color="auto"/>
              <w:left w:val="nil"/>
              <w:bottom w:val="single" w:sz="4" w:space="0" w:color="auto"/>
              <w:right w:val="single" w:sz="4" w:space="0" w:color="auto"/>
            </w:tcBorders>
            <w:shd w:val="clear" w:color="auto" w:fill="auto"/>
            <w:vAlign w:val="center"/>
          </w:tcPr>
          <w:p w14:paraId="2F6B0988" w14:textId="77777777" w:rsidR="009D4A93" w:rsidRPr="00536CFD" w:rsidRDefault="009D4A93" w:rsidP="009D4A93">
            <w:pPr>
              <w:spacing w:after="0"/>
              <w:jc w:val="center"/>
              <w:rPr>
                <w:lang w:val="zh-CN"/>
              </w:rPr>
            </w:pPr>
            <w:r w:rsidRPr="00536CFD">
              <w:rPr>
                <w:lang w:val="zh-CN"/>
              </w:rPr>
              <w:t>22.00%</w:t>
            </w:r>
          </w:p>
        </w:tc>
        <w:tc>
          <w:tcPr>
            <w:tcW w:w="720" w:type="dxa"/>
            <w:tcBorders>
              <w:top w:val="single" w:sz="4" w:space="0" w:color="auto"/>
              <w:left w:val="nil"/>
              <w:bottom w:val="single" w:sz="4" w:space="0" w:color="auto"/>
              <w:right w:val="single" w:sz="4" w:space="0" w:color="auto"/>
            </w:tcBorders>
            <w:shd w:val="clear" w:color="auto" w:fill="auto"/>
            <w:vAlign w:val="center"/>
          </w:tcPr>
          <w:p w14:paraId="385984AB" w14:textId="77777777" w:rsidR="009D4A93" w:rsidRPr="00536CFD" w:rsidRDefault="009D4A93" w:rsidP="009D4A93">
            <w:pPr>
              <w:spacing w:after="0"/>
              <w:jc w:val="center"/>
              <w:rPr>
                <w:lang w:val="zh-CN"/>
              </w:rPr>
            </w:pPr>
            <w:r w:rsidRPr="00536CFD">
              <w:rPr>
                <w:lang w:val="zh-CN"/>
              </w:rPr>
              <w:t>17.00%</w:t>
            </w:r>
          </w:p>
        </w:tc>
        <w:tc>
          <w:tcPr>
            <w:tcW w:w="724" w:type="dxa"/>
            <w:tcBorders>
              <w:top w:val="single" w:sz="4" w:space="0" w:color="auto"/>
              <w:left w:val="nil"/>
              <w:bottom w:val="single" w:sz="4" w:space="0" w:color="auto"/>
              <w:right w:val="single" w:sz="4" w:space="0" w:color="auto"/>
            </w:tcBorders>
            <w:shd w:val="clear" w:color="auto" w:fill="auto"/>
            <w:vAlign w:val="center"/>
          </w:tcPr>
          <w:p w14:paraId="5D435AED" w14:textId="77777777" w:rsidR="009D4A93" w:rsidRPr="00536CFD" w:rsidRDefault="009D4A93" w:rsidP="009D4A93">
            <w:pPr>
              <w:spacing w:after="0"/>
              <w:jc w:val="center"/>
              <w:rPr>
                <w:lang w:val="zh-CN"/>
              </w:rPr>
            </w:pPr>
            <w:r w:rsidRPr="00536CFD">
              <w:rPr>
                <w:lang w:val="zh-CN"/>
              </w:rPr>
              <w:t>55%</w:t>
            </w:r>
          </w:p>
        </w:tc>
        <w:tc>
          <w:tcPr>
            <w:tcW w:w="896" w:type="dxa"/>
            <w:tcBorders>
              <w:top w:val="single" w:sz="4" w:space="0" w:color="auto"/>
              <w:left w:val="nil"/>
              <w:bottom w:val="single" w:sz="4" w:space="0" w:color="auto"/>
              <w:right w:val="single" w:sz="4" w:space="0" w:color="auto"/>
            </w:tcBorders>
            <w:shd w:val="clear" w:color="auto" w:fill="auto"/>
            <w:vAlign w:val="center"/>
          </w:tcPr>
          <w:p w14:paraId="7C0428E2" w14:textId="77777777" w:rsidR="009D4A93" w:rsidRPr="00536CFD" w:rsidRDefault="009D4A93" w:rsidP="009D4A93">
            <w:pPr>
              <w:spacing w:after="0"/>
              <w:jc w:val="center"/>
              <w:rPr>
                <w:lang w:val="zh-CN"/>
              </w:rPr>
            </w:pPr>
            <w:r w:rsidRPr="00536CFD">
              <w:rPr>
                <w:lang w:val="zh-CN"/>
              </w:rPr>
              <w:t>28.00%</w:t>
            </w:r>
          </w:p>
        </w:tc>
        <w:tc>
          <w:tcPr>
            <w:tcW w:w="720" w:type="dxa"/>
            <w:tcBorders>
              <w:top w:val="single" w:sz="4" w:space="0" w:color="auto"/>
              <w:left w:val="nil"/>
              <w:bottom w:val="single" w:sz="4" w:space="0" w:color="auto"/>
              <w:right w:val="single" w:sz="4" w:space="0" w:color="auto"/>
            </w:tcBorders>
            <w:shd w:val="clear" w:color="auto" w:fill="auto"/>
            <w:vAlign w:val="center"/>
          </w:tcPr>
          <w:p w14:paraId="46A170CB" w14:textId="77777777" w:rsidR="009D4A93" w:rsidRPr="00536CFD" w:rsidRDefault="009D4A93" w:rsidP="009D4A93">
            <w:pPr>
              <w:spacing w:after="0"/>
              <w:jc w:val="center"/>
              <w:rPr>
                <w:lang w:val="zh-CN"/>
              </w:rPr>
            </w:pPr>
            <w:r w:rsidRPr="00536CFD">
              <w:rPr>
                <w:lang w:val="zh-CN"/>
              </w:rPr>
              <w:t>28.00%</w:t>
            </w:r>
          </w:p>
        </w:tc>
        <w:tc>
          <w:tcPr>
            <w:tcW w:w="720" w:type="dxa"/>
            <w:tcBorders>
              <w:top w:val="single" w:sz="4" w:space="0" w:color="auto"/>
              <w:left w:val="nil"/>
              <w:bottom w:val="single" w:sz="4" w:space="0" w:color="auto"/>
              <w:right w:val="single" w:sz="4" w:space="0" w:color="auto"/>
            </w:tcBorders>
            <w:shd w:val="clear" w:color="auto" w:fill="auto"/>
            <w:vAlign w:val="center"/>
          </w:tcPr>
          <w:p w14:paraId="3A70FDFA" w14:textId="77777777" w:rsidR="009D4A93" w:rsidRPr="00536CFD" w:rsidRDefault="009D4A93" w:rsidP="009D4A93">
            <w:pPr>
              <w:spacing w:after="0"/>
              <w:jc w:val="center"/>
              <w:rPr>
                <w:lang w:val="zh-CN"/>
              </w:rPr>
            </w:pPr>
            <w:r w:rsidRPr="00536CFD">
              <w:rPr>
                <w:lang w:val="zh-CN"/>
              </w:rPr>
              <w:t>21.00%</w:t>
            </w:r>
          </w:p>
        </w:tc>
      </w:tr>
      <w:tr w:rsidR="009D4A93" w:rsidRPr="00536CFD" w14:paraId="28D9441A"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58D7168"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E444E3E"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vAlign w:val="center"/>
          </w:tcPr>
          <w:p w14:paraId="3D7A617D" w14:textId="77777777" w:rsidR="009D4A93" w:rsidRPr="00536CFD" w:rsidRDefault="009D4A93" w:rsidP="009D4A93">
            <w:pPr>
              <w:spacing w:after="0"/>
              <w:jc w:val="center"/>
              <w:rPr>
                <w:lang w:eastAsia="x-none"/>
              </w:rPr>
            </w:pPr>
            <w:r w:rsidRPr="00536CFD">
              <w:rPr>
                <w:lang w:eastAsia="x-none"/>
              </w:rPr>
              <w:t>0.2 files/s</w:t>
            </w:r>
          </w:p>
        </w:tc>
        <w:tc>
          <w:tcPr>
            <w:tcW w:w="3150" w:type="dxa"/>
            <w:gridSpan w:val="4"/>
            <w:tcBorders>
              <w:top w:val="single" w:sz="4" w:space="0" w:color="auto"/>
              <w:left w:val="nil"/>
              <w:bottom w:val="single" w:sz="4" w:space="0" w:color="auto"/>
              <w:right w:val="single" w:sz="4" w:space="0" w:color="auto"/>
            </w:tcBorders>
            <w:shd w:val="clear" w:color="auto" w:fill="auto"/>
            <w:vAlign w:val="center"/>
          </w:tcPr>
          <w:p w14:paraId="1AFABE65" w14:textId="77777777" w:rsidR="009D4A93" w:rsidRPr="00536CFD" w:rsidRDefault="009D4A93" w:rsidP="009D4A93">
            <w:pPr>
              <w:spacing w:after="0"/>
              <w:jc w:val="center"/>
              <w:rPr>
                <w:lang w:eastAsia="x-none"/>
              </w:rPr>
            </w:pPr>
            <w:r w:rsidRPr="00536CFD">
              <w:rPr>
                <w:lang w:eastAsia="x-none"/>
              </w:rPr>
              <w:t>0.3 files/s</w:t>
            </w:r>
          </w:p>
        </w:tc>
        <w:tc>
          <w:tcPr>
            <w:tcW w:w="3060" w:type="dxa"/>
            <w:gridSpan w:val="4"/>
            <w:tcBorders>
              <w:top w:val="single" w:sz="4" w:space="0" w:color="auto"/>
              <w:left w:val="nil"/>
              <w:bottom w:val="single" w:sz="4" w:space="0" w:color="auto"/>
              <w:right w:val="single" w:sz="4" w:space="0" w:color="auto"/>
            </w:tcBorders>
            <w:shd w:val="clear" w:color="auto" w:fill="auto"/>
            <w:vAlign w:val="center"/>
          </w:tcPr>
          <w:p w14:paraId="2066F532" w14:textId="77777777" w:rsidR="009D4A93" w:rsidRPr="00536CFD" w:rsidRDefault="009D4A93" w:rsidP="009D4A93">
            <w:pPr>
              <w:spacing w:after="0"/>
              <w:jc w:val="center"/>
              <w:rPr>
                <w:lang w:eastAsia="x-none"/>
              </w:rPr>
            </w:pPr>
            <w:r w:rsidRPr="00536CFD">
              <w:rPr>
                <w:lang w:eastAsia="x-none"/>
              </w:rPr>
              <w:t>0.35 files/s</w:t>
            </w:r>
          </w:p>
        </w:tc>
      </w:tr>
      <w:tr w:rsidR="009D4A93" w:rsidRPr="00536CFD" w14:paraId="21A933D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216511E"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D32C42B"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3F9C580C" w14:textId="77777777" w:rsidR="009D4A93" w:rsidRPr="00536CFD" w:rsidRDefault="009D4A93" w:rsidP="009D4A93">
            <w:pPr>
              <w:spacing w:after="0"/>
              <w:contextualSpacing/>
              <w:rPr>
                <w:lang w:val="en-US" w:bidi="ar"/>
              </w:rPr>
            </w:pPr>
            <w:r w:rsidRPr="00536CFD">
              <w:rPr>
                <w:lang w:val="en-US" w:bidi="ar"/>
              </w:rPr>
              <w:t xml:space="preserve">Additional comments: </w:t>
            </w:r>
          </w:p>
          <w:p w14:paraId="6BEAA790" w14:textId="77777777" w:rsidR="009D4A93" w:rsidRPr="00536CFD" w:rsidRDefault="009D4A93" w:rsidP="009D4A93">
            <w:pPr>
              <w:spacing w:after="0"/>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242B2C09" w14:textId="77777777" w:rsidR="009D4A93" w:rsidRPr="00536CFD" w:rsidRDefault="009D4A93" w:rsidP="009D4A93">
            <w:pPr>
              <w:spacing w:after="0"/>
              <w:contextualSpacing/>
              <w:rPr>
                <w:lang w:val="en-US" w:bidi="ar"/>
              </w:rPr>
            </w:pPr>
            <w:r w:rsidRPr="00536CFD">
              <w:rPr>
                <w:b/>
                <w:lang w:val="en-US" w:bidi="ar"/>
              </w:rPr>
              <w:t>NRU assumption:</w:t>
            </w:r>
            <w:r w:rsidRPr="00536CFD">
              <w:rPr>
                <w:lang w:val="en-US" w:bidi="ar"/>
              </w:rPr>
              <w:t xml:space="preserve"> 8ms MCOT;  ED=-72dBm; 256 QAM LDPC; 30 kHz SCS NCP; UE processing time capability #1; NR type B for PDSCH, type A for PUSCH</w:t>
            </w:r>
          </w:p>
          <w:p w14:paraId="27451E54" w14:textId="77777777" w:rsidR="009D4A93" w:rsidRPr="00536CFD" w:rsidRDefault="009D4A93" w:rsidP="009D4A93">
            <w:pPr>
              <w:spacing w:after="0"/>
              <w:contextualSpacing/>
              <w:rPr>
                <w:lang w:val="en-US" w:bidi="ar"/>
              </w:rPr>
            </w:pPr>
            <w:r w:rsidRPr="00536CFD">
              <w:rPr>
                <w:b/>
                <w:lang w:val="en-US" w:bidi="ar"/>
              </w:rPr>
              <w:t>802.11ac assumption:</w:t>
            </w:r>
            <w:r w:rsidRPr="00536CFD">
              <w:rPr>
                <w:lang w:val="en-US" w:bidi="ar"/>
              </w:rPr>
              <w:t xml:space="preserve"> 4ms TXOP; RTS/CTS disabled for WiFi, NAV set based on L-SIG; PD=-82dBm/ED=-62dBm EDCA; 256 QAM BCC; A-MPDU, 1500B MSDU + 14 B header; Immediate ACK,312.5kHz SCS GI= 0.8us</w:t>
            </w:r>
          </w:p>
        </w:tc>
      </w:tr>
      <w:tr w:rsidR="009D4A93" w:rsidRPr="00536CFD" w14:paraId="03FE5202"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73358E59" w14:textId="77777777" w:rsidR="009D4A93" w:rsidRPr="00536CFD" w:rsidRDefault="009D4A93" w:rsidP="009D4A93">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R1-1814085/Source 4</w:t>
            </w:r>
          </w:p>
        </w:tc>
        <w:tc>
          <w:tcPr>
            <w:tcW w:w="535" w:type="dxa"/>
            <w:vMerge w:val="restart"/>
            <w:tcBorders>
              <w:top w:val="nil"/>
              <w:left w:val="nil"/>
              <w:bottom w:val="single" w:sz="4" w:space="0" w:color="auto"/>
              <w:right w:val="single" w:sz="4" w:space="0" w:color="auto"/>
            </w:tcBorders>
            <w:shd w:val="clear" w:color="auto" w:fill="auto"/>
          </w:tcPr>
          <w:p w14:paraId="68A2D9BA"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4A8795E7"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center"/>
          </w:tcPr>
          <w:p w14:paraId="4E8E96E2" w14:textId="77777777" w:rsidR="009D4A93" w:rsidRPr="00536CFD" w:rsidRDefault="009D4A93" w:rsidP="009D4A93">
            <w:pPr>
              <w:pageBreakBefore/>
              <w:spacing w:after="0"/>
              <w:jc w:val="center"/>
              <w:rPr>
                <w:lang w:val="zh-CN"/>
              </w:rPr>
            </w:pPr>
            <w:r w:rsidRPr="00536CFD">
              <w:rPr>
                <w:lang w:val="zh-CN"/>
              </w:rPr>
              <w:t>15.66</w:t>
            </w:r>
          </w:p>
        </w:tc>
        <w:tc>
          <w:tcPr>
            <w:tcW w:w="720" w:type="dxa"/>
            <w:tcBorders>
              <w:top w:val="single" w:sz="4" w:space="0" w:color="auto"/>
              <w:left w:val="nil"/>
              <w:bottom w:val="single" w:sz="4" w:space="0" w:color="auto"/>
              <w:right w:val="single" w:sz="4" w:space="0" w:color="auto"/>
            </w:tcBorders>
            <w:shd w:val="clear" w:color="auto" w:fill="auto"/>
            <w:vAlign w:val="center"/>
          </w:tcPr>
          <w:p w14:paraId="4F3F3F62" w14:textId="77777777" w:rsidR="009D4A93" w:rsidRPr="00536CFD" w:rsidRDefault="009D4A93" w:rsidP="009D4A93">
            <w:pPr>
              <w:pageBreakBefore/>
              <w:spacing w:after="0"/>
              <w:jc w:val="center"/>
              <w:rPr>
                <w:lang w:val="zh-CN"/>
              </w:rPr>
            </w:pPr>
            <w:r w:rsidRPr="00536CFD">
              <w:rPr>
                <w:lang w:val="zh-CN"/>
              </w:rPr>
              <w:t>19.43</w:t>
            </w:r>
          </w:p>
        </w:tc>
        <w:tc>
          <w:tcPr>
            <w:tcW w:w="720" w:type="dxa"/>
            <w:tcBorders>
              <w:top w:val="single" w:sz="4" w:space="0" w:color="auto"/>
              <w:left w:val="nil"/>
              <w:bottom w:val="single" w:sz="4" w:space="0" w:color="auto"/>
              <w:right w:val="single" w:sz="4" w:space="0" w:color="auto"/>
            </w:tcBorders>
            <w:shd w:val="clear" w:color="auto" w:fill="auto"/>
            <w:vAlign w:val="center"/>
          </w:tcPr>
          <w:p w14:paraId="486F5FED" w14:textId="77777777" w:rsidR="009D4A93" w:rsidRPr="00536CFD" w:rsidRDefault="009D4A93" w:rsidP="009D4A93">
            <w:pPr>
              <w:pageBreakBefore/>
              <w:spacing w:after="0"/>
              <w:jc w:val="center"/>
              <w:rPr>
                <w:lang w:val="zh-CN"/>
              </w:rPr>
            </w:pPr>
            <w:r w:rsidRPr="00536CFD">
              <w:rPr>
                <w:lang w:val="zh-CN"/>
              </w:rPr>
              <w:t>36.84</w:t>
            </w:r>
          </w:p>
        </w:tc>
        <w:tc>
          <w:tcPr>
            <w:tcW w:w="810" w:type="dxa"/>
            <w:tcBorders>
              <w:top w:val="single" w:sz="4" w:space="0" w:color="auto"/>
              <w:left w:val="nil"/>
              <w:bottom w:val="single" w:sz="4" w:space="0" w:color="auto"/>
              <w:right w:val="single" w:sz="4" w:space="0" w:color="auto"/>
            </w:tcBorders>
            <w:shd w:val="clear" w:color="auto" w:fill="auto"/>
            <w:vAlign w:val="center"/>
          </w:tcPr>
          <w:p w14:paraId="73BFF251" w14:textId="77777777" w:rsidR="009D4A93" w:rsidRPr="00536CFD" w:rsidRDefault="009D4A93" w:rsidP="009D4A93">
            <w:pPr>
              <w:pageBreakBefore/>
              <w:spacing w:after="0"/>
              <w:jc w:val="center"/>
              <w:rPr>
                <w:lang w:val="zh-CN"/>
              </w:rPr>
            </w:pPr>
            <w:r w:rsidRPr="00536CFD">
              <w:rPr>
                <w:lang w:val="zh-CN"/>
              </w:rPr>
              <w:t>41.97</w:t>
            </w:r>
          </w:p>
        </w:tc>
        <w:tc>
          <w:tcPr>
            <w:tcW w:w="810" w:type="dxa"/>
            <w:tcBorders>
              <w:top w:val="single" w:sz="4" w:space="0" w:color="auto"/>
              <w:left w:val="nil"/>
              <w:bottom w:val="single" w:sz="4" w:space="0" w:color="auto"/>
              <w:right w:val="single" w:sz="4" w:space="0" w:color="auto"/>
            </w:tcBorders>
            <w:shd w:val="clear" w:color="auto" w:fill="auto"/>
            <w:vAlign w:val="center"/>
          </w:tcPr>
          <w:p w14:paraId="25C00ADC" w14:textId="77777777" w:rsidR="009D4A93" w:rsidRPr="00536CFD" w:rsidRDefault="009D4A93" w:rsidP="009D4A93">
            <w:pPr>
              <w:pageBreakBefore/>
              <w:spacing w:after="0"/>
              <w:jc w:val="center"/>
              <w:rPr>
                <w:lang w:val="zh-CN"/>
              </w:rPr>
            </w:pPr>
            <w:r w:rsidRPr="00536CFD">
              <w:rPr>
                <w:lang w:val="zh-CN"/>
              </w:rPr>
              <w:t>7.53</w:t>
            </w:r>
          </w:p>
        </w:tc>
        <w:tc>
          <w:tcPr>
            <w:tcW w:w="820" w:type="dxa"/>
            <w:tcBorders>
              <w:top w:val="single" w:sz="4" w:space="0" w:color="auto"/>
              <w:left w:val="nil"/>
              <w:bottom w:val="single" w:sz="4" w:space="0" w:color="auto"/>
              <w:right w:val="single" w:sz="4" w:space="0" w:color="auto"/>
            </w:tcBorders>
            <w:shd w:val="clear" w:color="auto" w:fill="auto"/>
            <w:vAlign w:val="center"/>
          </w:tcPr>
          <w:p w14:paraId="536D5018" w14:textId="77777777" w:rsidR="009D4A93" w:rsidRPr="00536CFD" w:rsidRDefault="009D4A93" w:rsidP="009D4A93">
            <w:pPr>
              <w:pageBreakBefore/>
              <w:spacing w:after="0"/>
              <w:jc w:val="center"/>
              <w:rPr>
                <w:lang w:val="zh-CN"/>
              </w:rPr>
            </w:pPr>
            <w:r w:rsidRPr="00536CFD">
              <w:rPr>
                <w:lang w:val="zh-CN"/>
              </w:rPr>
              <w:t>14.67</w:t>
            </w:r>
          </w:p>
        </w:tc>
        <w:tc>
          <w:tcPr>
            <w:tcW w:w="800" w:type="dxa"/>
            <w:tcBorders>
              <w:top w:val="single" w:sz="4" w:space="0" w:color="auto"/>
              <w:left w:val="nil"/>
              <w:bottom w:val="single" w:sz="4" w:space="0" w:color="auto"/>
              <w:right w:val="single" w:sz="4" w:space="0" w:color="auto"/>
            </w:tcBorders>
            <w:shd w:val="clear" w:color="auto" w:fill="auto"/>
            <w:vAlign w:val="center"/>
          </w:tcPr>
          <w:p w14:paraId="23A68F13" w14:textId="77777777" w:rsidR="009D4A93" w:rsidRPr="00536CFD" w:rsidRDefault="009D4A93" w:rsidP="009D4A93">
            <w:pPr>
              <w:pageBreakBefore/>
              <w:spacing w:after="0"/>
              <w:jc w:val="center"/>
              <w:rPr>
                <w:lang w:val="zh-CN"/>
              </w:rPr>
            </w:pPr>
            <w:r w:rsidRPr="00536CFD">
              <w:rPr>
                <w:lang w:val="zh-CN"/>
              </w:rPr>
              <w:t>29</w:t>
            </w:r>
          </w:p>
        </w:tc>
        <w:tc>
          <w:tcPr>
            <w:tcW w:w="720" w:type="dxa"/>
            <w:tcBorders>
              <w:top w:val="single" w:sz="4" w:space="0" w:color="auto"/>
              <w:left w:val="nil"/>
              <w:bottom w:val="single" w:sz="4" w:space="0" w:color="auto"/>
              <w:right w:val="single" w:sz="4" w:space="0" w:color="auto"/>
            </w:tcBorders>
            <w:shd w:val="clear" w:color="auto" w:fill="auto"/>
            <w:vAlign w:val="center"/>
          </w:tcPr>
          <w:p w14:paraId="47CB8406" w14:textId="77777777" w:rsidR="009D4A93" w:rsidRPr="00536CFD" w:rsidRDefault="009D4A93" w:rsidP="009D4A93">
            <w:pPr>
              <w:pageBreakBefore/>
              <w:spacing w:after="0"/>
              <w:jc w:val="center"/>
              <w:rPr>
                <w:lang w:val="zh-CN"/>
              </w:rPr>
            </w:pPr>
            <w:r w:rsidRPr="00536CFD">
              <w:rPr>
                <w:lang w:val="zh-CN"/>
              </w:rPr>
              <w:t>34.94</w:t>
            </w:r>
          </w:p>
        </w:tc>
        <w:tc>
          <w:tcPr>
            <w:tcW w:w="724" w:type="dxa"/>
            <w:tcBorders>
              <w:top w:val="single" w:sz="4" w:space="0" w:color="auto"/>
              <w:left w:val="nil"/>
              <w:bottom w:val="single" w:sz="4" w:space="0" w:color="auto"/>
              <w:right w:val="single" w:sz="4" w:space="0" w:color="auto"/>
            </w:tcBorders>
            <w:shd w:val="clear" w:color="auto" w:fill="auto"/>
            <w:vAlign w:val="center"/>
          </w:tcPr>
          <w:p w14:paraId="6594B5E4" w14:textId="77777777" w:rsidR="009D4A93" w:rsidRPr="00536CFD" w:rsidRDefault="009D4A93" w:rsidP="009D4A93">
            <w:pPr>
              <w:pageBreakBefore/>
              <w:spacing w:after="0"/>
              <w:jc w:val="center"/>
              <w:rPr>
                <w:lang w:val="zh-CN"/>
              </w:rPr>
            </w:pPr>
            <w:r w:rsidRPr="00536CFD">
              <w:rPr>
                <w:lang w:val="zh-CN"/>
              </w:rPr>
              <w:t>3.11</w:t>
            </w:r>
          </w:p>
        </w:tc>
        <w:tc>
          <w:tcPr>
            <w:tcW w:w="896" w:type="dxa"/>
            <w:tcBorders>
              <w:top w:val="single" w:sz="4" w:space="0" w:color="auto"/>
              <w:left w:val="nil"/>
              <w:bottom w:val="single" w:sz="4" w:space="0" w:color="auto"/>
              <w:right w:val="single" w:sz="4" w:space="0" w:color="auto"/>
            </w:tcBorders>
            <w:shd w:val="clear" w:color="auto" w:fill="auto"/>
            <w:vAlign w:val="center"/>
          </w:tcPr>
          <w:p w14:paraId="1512D242" w14:textId="77777777" w:rsidR="009D4A93" w:rsidRPr="00536CFD" w:rsidRDefault="009D4A93" w:rsidP="009D4A93">
            <w:pPr>
              <w:pageBreakBefore/>
              <w:spacing w:after="0"/>
              <w:jc w:val="center"/>
              <w:rPr>
                <w:lang w:val="zh-CN"/>
              </w:rPr>
            </w:pPr>
            <w:r w:rsidRPr="00536CFD">
              <w:rPr>
                <w:lang w:val="zh-CN"/>
              </w:rPr>
              <w:t>10.98</w:t>
            </w:r>
          </w:p>
        </w:tc>
        <w:tc>
          <w:tcPr>
            <w:tcW w:w="720" w:type="dxa"/>
            <w:tcBorders>
              <w:top w:val="single" w:sz="4" w:space="0" w:color="auto"/>
              <w:left w:val="nil"/>
              <w:bottom w:val="single" w:sz="4" w:space="0" w:color="auto"/>
              <w:right w:val="single" w:sz="4" w:space="0" w:color="auto"/>
            </w:tcBorders>
            <w:shd w:val="clear" w:color="auto" w:fill="auto"/>
            <w:vAlign w:val="center"/>
          </w:tcPr>
          <w:p w14:paraId="0E18ED12" w14:textId="77777777" w:rsidR="009D4A93" w:rsidRPr="00536CFD" w:rsidRDefault="009D4A93" w:rsidP="009D4A93">
            <w:pPr>
              <w:pageBreakBefore/>
              <w:spacing w:after="0"/>
              <w:jc w:val="center"/>
              <w:rPr>
                <w:lang w:val="zh-CN"/>
              </w:rPr>
            </w:pPr>
            <w:r w:rsidRPr="00536CFD">
              <w:rPr>
                <w:lang w:val="zh-CN"/>
              </w:rPr>
              <w:t>24.29</w:t>
            </w:r>
          </w:p>
        </w:tc>
        <w:tc>
          <w:tcPr>
            <w:tcW w:w="720" w:type="dxa"/>
            <w:tcBorders>
              <w:top w:val="single" w:sz="4" w:space="0" w:color="auto"/>
              <w:left w:val="nil"/>
              <w:bottom w:val="single" w:sz="4" w:space="0" w:color="auto"/>
              <w:right w:val="single" w:sz="4" w:space="0" w:color="auto"/>
            </w:tcBorders>
            <w:shd w:val="clear" w:color="auto" w:fill="auto"/>
            <w:vAlign w:val="center"/>
          </w:tcPr>
          <w:p w14:paraId="6D4B7CC4" w14:textId="77777777" w:rsidR="009D4A93" w:rsidRPr="00536CFD" w:rsidRDefault="009D4A93" w:rsidP="009D4A93">
            <w:pPr>
              <w:pageBreakBefore/>
              <w:spacing w:after="0"/>
              <w:jc w:val="center"/>
              <w:rPr>
                <w:lang w:val="zh-CN"/>
              </w:rPr>
            </w:pPr>
            <w:r w:rsidRPr="00536CFD">
              <w:rPr>
                <w:lang w:val="zh-CN"/>
              </w:rPr>
              <w:t>30.57</w:t>
            </w:r>
          </w:p>
        </w:tc>
      </w:tr>
      <w:tr w:rsidR="009D4A93" w:rsidRPr="00536CFD" w14:paraId="232AE26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E9CD24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13C709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6B85FE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center"/>
          </w:tcPr>
          <w:p w14:paraId="5A43A497" w14:textId="77777777" w:rsidR="009D4A93" w:rsidRPr="00536CFD" w:rsidRDefault="009D4A93" w:rsidP="009D4A93">
            <w:pPr>
              <w:spacing w:after="0"/>
              <w:jc w:val="center"/>
              <w:rPr>
                <w:lang w:val="zh-CN"/>
              </w:rPr>
            </w:pPr>
            <w:r w:rsidRPr="00536CFD">
              <w:rPr>
                <w:lang w:val="zh-CN"/>
              </w:rPr>
              <w:t>48.84</w:t>
            </w:r>
          </w:p>
        </w:tc>
        <w:tc>
          <w:tcPr>
            <w:tcW w:w="720" w:type="dxa"/>
            <w:tcBorders>
              <w:top w:val="single" w:sz="4" w:space="0" w:color="auto"/>
              <w:left w:val="nil"/>
              <w:bottom w:val="single" w:sz="4" w:space="0" w:color="auto"/>
              <w:right w:val="single" w:sz="4" w:space="0" w:color="auto"/>
            </w:tcBorders>
            <w:shd w:val="clear" w:color="auto" w:fill="auto"/>
            <w:vAlign w:val="center"/>
          </w:tcPr>
          <w:p w14:paraId="700E0ADF" w14:textId="77777777" w:rsidR="009D4A93" w:rsidRPr="00536CFD" w:rsidRDefault="009D4A93" w:rsidP="009D4A93">
            <w:pPr>
              <w:spacing w:after="0"/>
              <w:jc w:val="center"/>
              <w:rPr>
                <w:lang w:val="zh-CN"/>
              </w:rPr>
            </w:pPr>
            <w:r w:rsidRPr="00536CFD">
              <w:rPr>
                <w:lang w:val="zh-CN"/>
              </w:rPr>
              <w:t>61.14</w:t>
            </w:r>
          </w:p>
        </w:tc>
        <w:tc>
          <w:tcPr>
            <w:tcW w:w="720" w:type="dxa"/>
            <w:tcBorders>
              <w:top w:val="single" w:sz="4" w:space="0" w:color="auto"/>
              <w:left w:val="nil"/>
              <w:bottom w:val="single" w:sz="4" w:space="0" w:color="auto"/>
              <w:right w:val="single" w:sz="4" w:space="0" w:color="auto"/>
            </w:tcBorders>
            <w:shd w:val="clear" w:color="auto" w:fill="auto"/>
            <w:vAlign w:val="center"/>
          </w:tcPr>
          <w:p w14:paraId="65C3FAEE" w14:textId="77777777" w:rsidR="009D4A93" w:rsidRPr="00536CFD" w:rsidRDefault="009D4A93" w:rsidP="009D4A93">
            <w:pPr>
              <w:spacing w:after="0"/>
              <w:jc w:val="center"/>
              <w:rPr>
                <w:lang w:val="zh-CN"/>
              </w:rPr>
            </w:pPr>
            <w:r w:rsidRPr="00536CFD">
              <w:rPr>
                <w:lang w:val="zh-CN"/>
              </w:rPr>
              <w:t>95.91</w:t>
            </w:r>
          </w:p>
        </w:tc>
        <w:tc>
          <w:tcPr>
            <w:tcW w:w="810" w:type="dxa"/>
            <w:tcBorders>
              <w:top w:val="single" w:sz="4" w:space="0" w:color="auto"/>
              <w:left w:val="nil"/>
              <w:bottom w:val="single" w:sz="4" w:space="0" w:color="auto"/>
              <w:right w:val="single" w:sz="4" w:space="0" w:color="auto"/>
            </w:tcBorders>
            <w:shd w:val="clear" w:color="auto" w:fill="auto"/>
            <w:vAlign w:val="center"/>
          </w:tcPr>
          <w:p w14:paraId="2A7E6849" w14:textId="77777777" w:rsidR="009D4A93" w:rsidRPr="00536CFD" w:rsidRDefault="009D4A93" w:rsidP="009D4A93">
            <w:pPr>
              <w:spacing w:after="0"/>
              <w:jc w:val="center"/>
              <w:rPr>
                <w:lang w:val="zh-CN"/>
              </w:rPr>
            </w:pPr>
            <w:r w:rsidRPr="00536CFD">
              <w:rPr>
                <w:lang w:val="zh-CN"/>
              </w:rPr>
              <w:t>101.8</w:t>
            </w:r>
          </w:p>
        </w:tc>
        <w:tc>
          <w:tcPr>
            <w:tcW w:w="810" w:type="dxa"/>
            <w:tcBorders>
              <w:top w:val="single" w:sz="4" w:space="0" w:color="auto"/>
              <w:left w:val="nil"/>
              <w:bottom w:val="single" w:sz="4" w:space="0" w:color="auto"/>
              <w:right w:val="single" w:sz="4" w:space="0" w:color="auto"/>
            </w:tcBorders>
            <w:shd w:val="clear" w:color="auto" w:fill="auto"/>
            <w:vAlign w:val="center"/>
          </w:tcPr>
          <w:p w14:paraId="4E737A9B" w14:textId="77777777" w:rsidR="009D4A93" w:rsidRPr="00536CFD" w:rsidRDefault="009D4A93" w:rsidP="009D4A93">
            <w:pPr>
              <w:spacing w:after="0"/>
              <w:jc w:val="center"/>
              <w:rPr>
                <w:lang w:val="zh-CN"/>
              </w:rPr>
            </w:pPr>
            <w:r w:rsidRPr="00536CFD">
              <w:rPr>
                <w:lang w:val="zh-CN"/>
              </w:rPr>
              <w:t>35.61</w:t>
            </w:r>
          </w:p>
        </w:tc>
        <w:tc>
          <w:tcPr>
            <w:tcW w:w="820" w:type="dxa"/>
            <w:tcBorders>
              <w:top w:val="single" w:sz="4" w:space="0" w:color="auto"/>
              <w:left w:val="nil"/>
              <w:bottom w:val="single" w:sz="4" w:space="0" w:color="auto"/>
              <w:right w:val="single" w:sz="4" w:space="0" w:color="auto"/>
            </w:tcBorders>
            <w:shd w:val="clear" w:color="auto" w:fill="auto"/>
            <w:vAlign w:val="center"/>
          </w:tcPr>
          <w:p w14:paraId="3F336E17" w14:textId="77777777" w:rsidR="009D4A93" w:rsidRPr="00536CFD" w:rsidRDefault="009D4A93" w:rsidP="009D4A93">
            <w:pPr>
              <w:spacing w:after="0"/>
              <w:jc w:val="center"/>
              <w:rPr>
                <w:lang w:val="zh-CN"/>
              </w:rPr>
            </w:pPr>
            <w:r w:rsidRPr="00536CFD">
              <w:rPr>
                <w:lang w:val="zh-CN"/>
              </w:rPr>
              <w:t>53.78</w:t>
            </w:r>
          </w:p>
        </w:tc>
        <w:tc>
          <w:tcPr>
            <w:tcW w:w="800" w:type="dxa"/>
            <w:tcBorders>
              <w:top w:val="single" w:sz="4" w:space="0" w:color="auto"/>
              <w:left w:val="nil"/>
              <w:bottom w:val="single" w:sz="4" w:space="0" w:color="auto"/>
              <w:right w:val="single" w:sz="4" w:space="0" w:color="auto"/>
            </w:tcBorders>
            <w:shd w:val="clear" w:color="auto" w:fill="auto"/>
            <w:vAlign w:val="center"/>
          </w:tcPr>
          <w:p w14:paraId="331343C5" w14:textId="77777777" w:rsidR="009D4A93" w:rsidRPr="00536CFD" w:rsidRDefault="009D4A93" w:rsidP="009D4A93">
            <w:pPr>
              <w:spacing w:after="0"/>
              <w:jc w:val="center"/>
              <w:rPr>
                <w:lang w:val="zh-CN"/>
              </w:rPr>
            </w:pPr>
            <w:r w:rsidRPr="00536CFD">
              <w:rPr>
                <w:lang w:val="zh-CN"/>
              </w:rPr>
              <w:t>83.89</w:t>
            </w:r>
          </w:p>
        </w:tc>
        <w:tc>
          <w:tcPr>
            <w:tcW w:w="720" w:type="dxa"/>
            <w:tcBorders>
              <w:top w:val="single" w:sz="4" w:space="0" w:color="auto"/>
              <w:left w:val="nil"/>
              <w:bottom w:val="single" w:sz="4" w:space="0" w:color="auto"/>
              <w:right w:val="single" w:sz="4" w:space="0" w:color="auto"/>
            </w:tcBorders>
            <w:shd w:val="clear" w:color="auto" w:fill="auto"/>
            <w:vAlign w:val="center"/>
          </w:tcPr>
          <w:p w14:paraId="051BA720" w14:textId="77777777" w:rsidR="009D4A93" w:rsidRPr="00536CFD" w:rsidRDefault="009D4A93" w:rsidP="009D4A93">
            <w:pPr>
              <w:spacing w:after="0"/>
              <w:jc w:val="center"/>
              <w:rPr>
                <w:lang w:val="zh-CN"/>
              </w:rPr>
            </w:pPr>
            <w:r w:rsidRPr="00536CFD">
              <w:rPr>
                <w:lang w:val="zh-CN"/>
              </w:rPr>
              <w:t>91.97</w:t>
            </w:r>
          </w:p>
        </w:tc>
        <w:tc>
          <w:tcPr>
            <w:tcW w:w="724" w:type="dxa"/>
            <w:tcBorders>
              <w:top w:val="single" w:sz="4" w:space="0" w:color="auto"/>
              <w:left w:val="nil"/>
              <w:bottom w:val="single" w:sz="4" w:space="0" w:color="auto"/>
              <w:right w:val="single" w:sz="4" w:space="0" w:color="auto"/>
            </w:tcBorders>
            <w:shd w:val="clear" w:color="auto" w:fill="auto"/>
            <w:vAlign w:val="center"/>
          </w:tcPr>
          <w:p w14:paraId="10E71FD7" w14:textId="77777777" w:rsidR="009D4A93" w:rsidRPr="00536CFD" w:rsidRDefault="009D4A93" w:rsidP="009D4A93">
            <w:pPr>
              <w:spacing w:after="0"/>
              <w:jc w:val="center"/>
              <w:rPr>
                <w:lang w:val="zh-CN"/>
              </w:rPr>
            </w:pPr>
            <w:r w:rsidRPr="00536CFD">
              <w:rPr>
                <w:lang w:val="zh-CN"/>
              </w:rPr>
              <w:t>27.16</w:t>
            </w:r>
          </w:p>
        </w:tc>
        <w:tc>
          <w:tcPr>
            <w:tcW w:w="896" w:type="dxa"/>
            <w:tcBorders>
              <w:top w:val="single" w:sz="4" w:space="0" w:color="auto"/>
              <w:left w:val="nil"/>
              <w:bottom w:val="single" w:sz="4" w:space="0" w:color="auto"/>
              <w:right w:val="single" w:sz="4" w:space="0" w:color="auto"/>
            </w:tcBorders>
            <w:shd w:val="clear" w:color="auto" w:fill="auto"/>
            <w:vAlign w:val="center"/>
          </w:tcPr>
          <w:p w14:paraId="0DBD2AD7" w14:textId="77777777" w:rsidR="009D4A93" w:rsidRPr="00536CFD" w:rsidRDefault="009D4A93" w:rsidP="009D4A93">
            <w:pPr>
              <w:spacing w:after="0"/>
              <w:jc w:val="center"/>
              <w:rPr>
                <w:lang w:val="zh-CN"/>
              </w:rPr>
            </w:pPr>
            <w:r w:rsidRPr="00536CFD">
              <w:rPr>
                <w:lang w:val="zh-CN"/>
              </w:rPr>
              <w:t>47.46</w:t>
            </w:r>
          </w:p>
        </w:tc>
        <w:tc>
          <w:tcPr>
            <w:tcW w:w="720" w:type="dxa"/>
            <w:tcBorders>
              <w:top w:val="single" w:sz="4" w:space="0" w:color="auto"/>
              <w:left w:val="nil"/>
              <w:bottom w:val="single" w:sz="4" w:space="0" w:color="auto"/>
              <w:right w:val="single" w:sz="4" w:space="0" w:color="auto"/>
            </w:tcBorders>
            <w:shd w:val="clear" w:color="auto" w:fill="auto"/>
            <w:vAlign w:val="center"/>
          </w:tcPr>
          <w:p w14:paraId="2D212245" w14:textId="77777777" w:rsidR="009D4A93" w:rsidRPr="00536CFD" w:rsidRDefault="009D4A93" w:rsidP="009D4A93">
            <w:pPr>
              <w:spacing w:after="0"/>
              <w:jc w:val="center"/>
              <w:rPr>
                <w:lang w:val="zh-CN"/>
              </w:rPr>
            </w:pPr>
            <w:r w:rsidRPr="00536CFD">
              <w:rPr>
                <w:lang w:val="zh-CN"/>
              </w:rPr>
              <w:t>76</w:t>
            </w:r>
          </w:p>
        </w:tc>
        <w:tc>
          <w:tcPr>
            <w:tcW w:w="720" w:type="dxa"/>
            <w:tcBorders>
              <w:top w:val="single" w:sz="4" w:space="0" w:color="auto"/>
              <w:left w:val="nil"/>
              <w:bottom w:val="single" w:sz="4" w:space="0" w:color="auto"/>
              <w:right w:val="single" w:sz="4" w:space="0" w:color="auto"/>
            </w:tcBorders>
            <w:shd w:val="clear" w:color="auto" w:fill="auto"/>
            <w:vAlign w:val="center"/>
          </w:tcPr>
          <w:p w14:paraId="6B2C7254" w14:textId="77777777" w:rsidR="009D4A93" w:rsidRPr="00536CFD" w:rsidRDefault="009D4A93" w:rsidP="009D4A93">
            <w:pPr>
              <w:spacing w:after="0"/>
              <w:jc w:val="center"/>
              <w:rPr>
                <w:lang w:val="zh-CN"/>
              </w:rPr>
            </w:pPr>
            <w:r w:rsidRPr="00536CFD">
              <w:rPr>
                <w:lang w:val="zh-CN"/>
              </w:rPr>
              <w:t>87.3</w:t>
            </w:r>
          </w:p>
        </w:tc>
      </w:tr>
      <w:tr w:rsidR="009D4A93" w:rsidRPr="00536CFD" w14:paraId="0CF8A33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F3B390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E082F5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B0DF0D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center"/>
          </w:tcPr>
          <w:p w14:paraId="60DDD4E1" w14:textId="77777777" w:rsidR="009D4A93" w:rsidRPr="00536CFD" w:rsidRDefault="009D4A93" w:rsidP="009D4A93">
            <w:pPr>
              <w:spacing w:after="0"/>
              <w:jc w:val="center"/>
              <w:rPr>
                <w:lang w:val="zh-CN"/>
              </w:rPr>
            </w:pPr>
            <w:r w:rsidRPr="00536CFD">
              <w:rPr>
                <w:lang w:val="zh-CN"/>
              </w:rPr>
              <w:t>77.93</w:t>
            </w:r>
          </w:p>
        </w:tc>
        <w:tc>
          <w:tcPr>
            <w:tcW w:w="720" w:type="dxa"/>
            <w:tcBorders>
              <w:top w:val="single" w:sz="4" w:space="0" w:color="auto"/>
              <w:left w:val="nil"/>
              <w:bottom w:val="single" w:sz="4" w:space="0" w:color="auto"/>
              <w:right w:val="single" w:sz="4" w:space="0" w:color="auto"/>
            </w:tcBorders>
            <w:shd w:val="clear" w:color="auto" w:fill="auto"/>
            <w:vAlign w:val="center"/>
          </w:tcPr>
          <w:p w14:paraId="393C94FB" w14:textId="77777777" w:rsidR="009D4A93" w:rsidRPr="00536CFD" w:rsidRDefault="009D4A93" w:rsidP="009D4A93">
            <w:pPr>
              <w:spacing w:after="0"/>
              <w:jc w:val="center"/>
              <w:rPr>
                <w:lang w:val="zh-CN"/>
              </w:rPr>
            </w:pPr>
            <w:r w:rsidRPr="00536CFD">
              <w:rPr>
                <w:lang w:val="zh-CN"/>
              </w:rPr>
              <w:t>78.16</w:t>
            </w:r>
          </w:p>
        </w:tc>
        <w:tc>
          <w:tcPr>
            <w:tcW w:w="720" w:type="dxa"/>
            <w:tcBorders>
              <w:top w:val="single" w:sz="4" w:space="0" w:color="auto"/>
              <w:left w:val="nil"/>
              <w:bottom w:val="single" w:sz="4" w:space="0" w:color="auto"/>
              <w:right w:val="single" w:sz="4" w:space="0" w:color="auto"/>
            </w:tcBorders>
            <w:shd w:val="clear" w:color="auto" w:fill="auto"/>
            <w:vAlign w:val="center"/>
          </w:tcPr>
          <w:p w14:paraId="642C2178" w14:textId="77777777" w:rsidR="009D4A93" w:rsidRPr="00536CFD" w:rsidRDefault="009D4A93" w:rsidP="009D4A93">
            <w:pPr>
              <w:spacing w:after="0"/>
              <w:jc w:val="center"/>
              <w:rPr>
                <w:lang w:val="zh-CN"/>
              </w:rPr>
            </w:pPr>
            <w:r w:rsidRPr="00536CFD">
              <w:rPr>
                <w:lang w:val="zh-CN"/>
              </w:rPr>
              <w:t>107.1</w:t>
            </w:r>
          </w:p>
        </w:tc>
        <w:tc>
          <w:tcPr>
            <w:tcW w:w="810" w:type="dxa"/>
            <w:tcBorders>
              <w:top w:val="single" w:sz="4" w:space="0" w:color="auto"/>
              <w:left w:val="nil"/>
              <w:bottom w:val="single" w:sz="4" w:space="0" w:color="auto"/>
              <w:right w:val="single" w:sz="4" w:space="0" w:color="auto"/>
            </w:tcBorders>
            <w:shd w:val="clear" w:color="auto" w:fill="auto"/>
            <w:vAlign w:val="center"/>
          </w:tcPr>
          <w:p w14:paraId="0C0CF2F5" w14:textId="77777777" w:rsidR="009D4A93" w:rsidRPr="00536CFD" w:rsidRDefault="009D4A93" w:rsidP="009D4A93">
            <w:pPr>
              <w:spacing w:after="0"/>
              <w:jc w:val="center"/>
              <w:rPr>
                <w:lang w:val="zh-CN"/>
              </w:rPr>
            </w:pPr>
            <w:r w:rsidRPr="00536CFD">
              <w:rPr>
                <w:lang w:val="zh-CN"/>
              </w:rPr>
              <w:t>107.2</w:t>
            </w:r>
          </w:p>
        </w:tc>
        <w:tc>
          <w:tcPr>
            <w:tcW w:w="810" w:type="dxa"/>
            <w:tcBorders>
              <w:top w:val="single" w:sz="4" w:space="0" w:color="auto"/>
              <w:left w:val="nil"/>
              <w:bottom w:val="single" w:sz="4" w:space="0" w:color="auto"/>
              <w:right w:val="single" w:sz="4" w:space="0" w:color="auto"/>
            </w:tcBorders>
            <w:shd w:val="clear" w:color="auto" w:fill="auto"/>
            <w:vAlign w:val="center"/>
          </w:tcPr>
          <w:p w14:paraId="67D145DE" w14:textId="77777777" w:rsidR="009D4A93" w:rsidRPr="00536CFD" w:rsidRDefault="009D4A93" w:rsidP="009D4A93">
            <w:pPr>
              <w:spacing w:after="0"/>
              <w:jc w:val="center"/>
              <w:rPr>
                <w:lang w:val="zh-CN"/>
              </w:rPr>
            </w:pPr>
            <w:r w:rsidRPr="00536CFD">
              <w:rPr>
                <w:lang w:val="zh-CN"/>
              </w:rPr>
              <w:t>77.3</w:t>
            </w:r>
          </w:p>
        </w:tc>
        <w:tc>
          <w:tcPr>
            <w:tcW w:w="820" w:type="dxa"/>
            <w:tcBorders>
              <w:top w:val="single" w:sz="4" w:space="0" w:color="auto"/>
              <w:left w:val="nil"/>
              <w:bottom w:val="single" w:sz="4" w:space="0" w:color="auto"/>
              <w:right w:val="single" w:sz="4" w:space="0" w:color="auto"/>
            </w:tcBorders>
            <w:shd w:val="clear" w:color="auto" w:fill="auto"/>
            <w:vAlign w:val="center"/>
          </w:tcPr>
          <w:p w14:paraId="62723D92" w14:textId="77777777" w:rsidR="009D4A93" w:rsidRPr="00536CFD" w:rsidRDefault="009D4A93" w:rsidP="009D4A93">
            <w:pPr>
              <w:spacing w:after="0"/>
              <w:jc w:val="center"/>
              <w:rPr>
                <w:lang w:val="zh-CN"/>
              </w:rPr>
            </w:pPr>
            <w:r w:rsidRPr="00536CFD">
              <w:rPr>
                <w:lang w:val="zh-CN"/>
              </w:rPr>
              <w:t>78</w:t>
            </w:r>
          </w:p>
        </w:tc>
        <w:tc>
          <w:tcPr>
            <w:tcW w:w="800" w:type="dxa"/>
            <w:tcBorders>
              <w:top w:val="single" w:sz="4" w:space="0" w:color="auto"/>
              <w:left w:val="nil"/>
              <w:bottom w:val="single" w:sz="4" w:space="0" w:color="auto"/>
              <w:right w:val="single" w:sz="4" w:space="0" w:color="auto"/>
            </w:tcBorders>
            <w:shd w:val="clear" w:color="auto" w:fill="auto"/>
            <w:vAlign w:val="center"/>
          </w:tcPr>
          <w:p w14:paraId="53B107C5" w14:textId="77777777" w:rsidR="009D4A93" w:rsidRPr="00536CFD" w:rsidRDefault="009D4A93" w:rsidP="009D4A93">
            <w:pPr>
              <w:spacing w:after="0"/>
              <w:jc w:val="center"/>
              <w:rPr>
                <w:lang w:val="zh-CN"/>
              </w:rPr>
            </w:pPr>
            <w:r w:rsidRPr="00536CFD">
              <w:rPr>
                <w:lang w:val="zh-CN"/>
              </w:rPr>
              <w:t>107.2</w:t>
            </w:r>
          </w:p>
        </w:tc>
        <w:tc>
          <w:tcPr>
            <w:tcW w:w="720" w:type="dxa"/>
            <w:tcBorders>
              <w:top w:val="single" w:sz="4" w:space="0" w:color="auto"/>
              <w:left w:val="nil"/>
              <w:bottom w:val="single" w:sz="4" w:space="0" w:color="auto"/>
              <w:right w:val="single" w:sz="4" w:space="0" w:color="auto"/>
            </w:tcBorders>
            <w:shd w:val="clear" w:color="auto" w:fill="auto"/>
            <w:vAlign w:val="center"/>
          </w:tcPr>
          <w:p w14:paraId="4983E276" w14:textId="77777777" w:rsidR="009D4A93" w:rsidRPr="00536CFD" w:rsidRDefault="009D4A93" w:rsidP="009D4A93">
            <w:pPr>
              <w:spacing w:after="0"/>
              <w:jc w:val="center"/>
              <w:rPr>
                <w:lang w:val="zh-CN"/>
              </w:rPr>
            </w:pPr>
            <w:r w:rsidRPr="00536CFD">
              <w:rPr>
                <w:lang w:val="zh-CN"/>
              </w:rPr>
              <w:t>107.2</w:t>
            </w:r>
          </w:p>
        </w:tc>
        <w:tc>
          <w:tcPr>
            <w:tcW w:w="724" w:type="dxa"/>
            <w:tcBorders>
              <w:top w:val="single" w:sz="4" w:space="0" w:color="auto"/>
              <w:left w:val="nil"/>
              <w:bottom w:val="single" w:sz="4" w:space="0" w:color="auto"/>
              <w:right w:val="single" w:sz="4" w:space="0" w:color="auto"/>
            </w:tcBorders>
            <w:shd w:val="clear" w:color="auto" w:fill="auto"/>
            <w:vAlign w:val="center"/>
          </w:tcPr>
          <w:p w14:paraId="6393B729" w14:textId="77777777" w:rsidR="009D4A93" w:rsidRPr="00536CFD" w:rsidRDefault="009D4A93" w:rsidP="009D4A93">
            <w:pPr>
              <w:spacing w:after="0"/>
              <w:jc w:val="center"/>
              <w:rPr>
                <w:lang w:val="zh-CN"/>
              </w:rPr>
            </w:pPr>
            <w:r w:rsidRPr="00536CFD">
              <w:rPr>
                <w:lang w:val="zh-CN"/>
              </w:rPr>
              <w:t>75.23</w:t>
            </w:r>
          </w:p>
        </w:tc>
        <w:tc>
          <w:tcPr>
            <w:tcW w:w="896" w:type="dxa"/>
            <w:tcBorders>
              <w:top w:val="single" w:sz="4" w:space="0" w:color="auto"/>
              <w:left w:val="nil"/>
              <w:bottom w:val="single" w:sz="4" w:space="0" w:color="auto"/>
              <w:right w:val="single" w:sz="4" w:space="0" w:color="auto"/>
            </w:tcBorders>
            <w:shd w:val="clear" w:color="auto" w:fill="auto"/>
            <w:vAlign w:val="center"/>
          </w:tcPr>
          <w:p w14:paraId="34E6881F" w14:textId="77777777" w:rsidR="009D4A93" w:rsidRPr="00536CFD" w:rsidRDefault="009D4A93" w:rsidP="009D4A93">
            <w:pPr>
              <w:spacing w:after="0"/>
              <w:jc w:val="center"/>
              <w:rPr>
                <w:lang w:val="zh-CN"/>
              </w:rPr>
            </w:pPr>
            <w:r w:rsidRPr="00536CFD">
              <w:rPr>
                <w:lang w:val="zh-CN"/>
              </w:rPr>
              <w:t>77.83</w:t>
            </w:r>
          </w:p>
        </w:tc>
        <w:tc>
          <w:tcPr>
            <w:tcW w:w="720" w:type="dxa"/>
            <w:tcBorders>
              <w:top w:val="single" w:sz="4" w:space="0" w:color="auto"/>
              <w:left w:val="nil"/>
              <w:bottom w:val="single" w:sz="4" w:space="0" w:color="auto"/>
              <w:right w:val="single" w:sz="4" w:space="0" w:color="auto"/>
            </w:tcBorders>
            <w:shd w:val="clear" w:color="auto" w:fill="auto"/>
            <w:vAlign w:val="center"/>
          </w:tcPr>
          <w:p w14:paraId="0B00DA24" w14:textId="77777777" w:rsidR="009D4A93" w:rsidRPr="00536CFD" w:rsidRDefault="009D4A93" w:rsidP="009D4A93">
            <w:pPr>
              <w:spacing w:after="0"/>
              <w:jc w:val="center"/>
              <w:rPr>
                <w:lang w:val="zh-CN"/>
              </w:rPr>
            </w:pPr>
            <w:r w:rsidRPr="00536CFD">
              <w:rPr>
                <w:lang w:val="zh-CN"/>
              </w:rPr>
              <w:t>107.1</w:t>
            </w:r>
          </w:p>
        </w:tc>
        <w:tc>
          <w:tcPr>
            <w:tcW w:w="720" w:type="dxa"/>
            <w:tcBorders>
              <w:top w:val="single" w:sz="4" w:space="0" w:color="auto"/>
              <w:left w:val="nil"/>
              <w:bottom w:val="single" w:sz="4" w:space="0" w:color="auto"/>
              <w:right w:val="single" w:sz="4" w:space="0" w:color="auto"/>
            </w:tcBorders>
            <w:shd w:val="clear" w:color="auto" w:fill="auto"/>
            <w:vAlign w:val="center"/>
          </w:tcPr>
          <w:p w14:paraId="3ABD587E" w14:textId="77777777" w:rsidR="009D4A93" w:rsidRPr="00536CFD" w:rsidRDefault="009D4A93" w:rsidP="009D4A93">
            <w:pPr>
              <w:spacing w:after="0"/>
              <w:jc w:val="center"/>
              <w:rPr>
                <w:lang w:val="zh-CN"/>
              </w:rPr>
            </w:pPr>
            <w:r w:rsidRPr="00536CFD">
              <w:rPr>
                <w:lang w:val="zh-CN"/>
              </w:rPr>
              <w:t>107.2</w:t>
            </w:r>
          </w:p>
        </w:tc>
      </w:tr>
      <w:tr w:rsidR="009D4A93" w:rsidRPr="00536CFD" w14:paraId="404B9DA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999DC0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E9AE61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779C94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center"/>
          </w:tcPr>
          <w:p w14:paraId="162ADF11" w14:textId="77777777" w:rsidR="009D4A93" w:rsidRPr="00536CFD" w:rsidRDefault="009D4A93" w:rsidP="009D4A93">
            <w:pPr>
              <w:spacing w:after="0"/>
              <w:jc w:val="center"/>
              <w:rPr>
                <w:lang w:val="zh-CN"/>
              </w:rPr>
            </w:pPr>
            <w:r w:rsidRPr="00536CFD">
              <w:rPr>
                <w:lang w:val="zh-CN"/>
              </w:rPr>
              <w:t>49.69</w:t>
            </w:r>
          </w:p>
        </w:tc>
        <w:tc>
          <w:tcPr>
            <w:tcW w:w="720" w:type="dxa"/>
            <w:tcBorders>
              <w:top w:val="single" w:sz="4" w:space="0" w:color="auto"/>
              <w:left w:val="nil"/>
              <w:bottom w:val="single" w:sz="4" w:space="0" w:color="auto"/>
              <w:right w:val="single" w:sz="4" w:space="0" w:color="auto"/>
            </w:tcBorders>
            <w:shd w:val="clear" w:color="auto" w:fill="auto"/>
            <w:vAlign w:val="center"/>
          </w:tcPr>
          <w:p w14:paraId="05BC4CD8" w14:textId="77777777" w:rsidR="009D4A93" w:rsidRPr="00536CFD" w:rsidRDefault="009D4A93" w:rsidP="009D4A93">
            <w:pPr>
              <w:spacing w:after="0"/>
              <w:jc w:val="center"/>
              <w:rPr>
                <w:lang w:val="zh-CN"/>
              </w:rPr>
            </w:pPr>
            <w:r w:rsidRPr="00536CFD">
              <w:rPr>
                <w:lang w:val="zh-CN"/>
              </w:rPr>
              <w:t>57.19</w:t>
            </w:r>
          </w:p>
        </w:tc>
        <w:tc>
          <w:tcPr>
            <w:tcW w:w="720" w:type="dxa"/>
            <w:tcBorders>
              <w:top w:val="single" w:sz="4" w:space="0" w:color="auto"/>
              <w:left w:val="nil"/>
              <w:bottom w:val="single" w:sz="4" w:space="0" w:color="auto"/>
              <w:right w:val="single" w:sz="4" w:space="0" w:color="auto"/>
            </w:tcBorders>
            <w:shd w:val="clear" w:color="auto" w:fill="auto"/>
            <w:vAlign w:val="center"/>
          </w:tcPr>
          <w:p w14:paraId="23DCC0C1" w14:textId="77777777" w:rsidR="009D4A93" w:rsidRPr="00536CFD" w:rsidRDefault="009D4A93" w:rsidP="009D4A93">
            <w:pPr>
              <w:spacing w:after="0"/>
              <w:jc w:val="center"/>
              <w:rPr>
                <w:lang w:val="zh-CN"/>
              </w:rPr>
            </w:pPr>
            <w:r w:rsidRPr="00536CFD">
              <w:rPr>
                <w:lang w:val="zh-CN"/>
              </w:rPr>
              <w:t>85.24</w:t>
            </w:r>
          </w:p>
        </w:tc>
        <w:tc>
          <w:tcPr>
            <w:tcW w:w="810" w:type="dxa"/>
            <w:tcBorders>
              <w:top w:val="single" w:sz="4" w:space="0" w:color="auto"/>
              <w:left w:val="nil"/>
              <w:bottom w:val="single" w:sz="4" w:space="0" w:color="auto"/>
              <w:right w:val="single" w:sz="4" w:space="0" w:color="auto"/>
            </w:tcBorders>
            <w:shd w:val="clear" w:color="auto" w:fill="auto"/>
            <w:vAlign w:val="center"/>
          </w:tcPr>
          <w:p w14:paraId="66DB6E20" w14:textId="77777777" w:rsidR="009D4A93" w:rsidRPr="00536CFD" w:rsidRDefault="009D4A93" w:rsidP="009D4A93">
            <w:pPr>
              <w:spacing w:after="0"/>
              <w:jc w:val="center"/>
              <w:rPr>
                <w:lang w:val="zh-CN"/>
              </w:rPr>
            </w:pPr>
            <w:r w:rsidRPr="00536CFD">
              <w:rPr>
                <w:lang w:val="zh-CN"/>
              </w:rPr>
              <w:t>88.05</w:t>
            </w:r>
          </w:p>
        </w:tc>
        <w:tc>
          <w:tcPr>
            <w:tcW w:w="810" w:type="dxa"/>
            <w:tcBorders>
              <w:top w:val="single" w:sz="4" w:space="0" w:color="auto"/>
              <w:left w:val="nil"/>
              <w:bottom w:val="single" w:sz="4" w:space="0" w:color="auto"/>
              <w:right w:val="single" w:sz="4" w:space="0" w:color="auto"/>
            </w:tcBorders>
            <w:shd w:val="clear" w:color="auto" w:fill="auto"/>
            <w:vAlign w:val="center"/>
          </w:tcPr>
          <w:p w14:paraId="0B1C9C71" w14:textId="77777777" w:rsidR="009D4A93" w:rsidRPr="00536CFD" w:rsidRDefault="009D4A93" w:rsidP="009D4A93">
            <w:pPr>
              <w:spacing w:after="0"/>
              <w:jc w:val="center"/>
              <w:rPr>
                <w:lang w:val="zh-CN"/>
              </w:rPr>
            </w:pPr>
            <w:r w:rsidRPr="00536CFD">
              <w:rPr>
                <w:lang w:val="zh-CN"/>
              </w:rPr>
              <w:t>38.52</w:t>
            </w:r>
          </w:p>
        </w:tc>
        <w:tc>
          <w:tcPr>
            <w:tcW w:w="820" w:type="dxa"/>
            <w:tcBorders>
              <w:top w:val="single" w:sz="4" w:space="0" w:color="auto"/>
              <w:left w:val="nil"/>
              <w:bottom w:val="single" w:sz="4" w:space="0" w:color="auto"/>
              <w:right w:val="single" w:sz="4" w:space="0" w:color="auto"/>
            </w:tcBorders>
            <w:shd w:val="clear" w:color="auto" w:fill="auto"/>
            <w:vAlign w:val="center"/>
          </w:tcPr>
          <w:p w14:paraId="63AA5438" w14:textId="77777777" w:rsidR="009D4A93" w:rsidRPr="00536CFD" w:rsidRDefault="009D4A93" w:rsidP="009D4A93">
            <w:pPr>
              <w:spacing w:after="0"/>
              <w:jc w:val="center"/>
              <w:rPr>
                <w:lang w:val="zh-CN"/>
              </w:rPr>
            </w:pPr>
            <w:r w:rsidRPr="00536CFD">
              <w:rPr>
                <w:lang w:val="zh-CN"/>
              </w:rPr>
              <w:t>51.51</w:t>
            </w:r>
          </w:p>
        </w:tc>
        <w:tc>
          <w:tcPr>
            <w:tcW w:w="800" w:type="dxa"/>
            <w:tcBorders>
              <w:top w:val="single" w:sz="4" w:space="0" w:color="auto"/>
              <w:left w:val="nil"/>
              <w:bottom w:val="single" w:sz="4" w:space="0" w:color="auto"/>
              <w:right w:val="single" w:sz="4" w:space="0" w:color="auto"/>
            </w:tcBorders>
            <w:shd w:val="clear" w:color="auto" w:fill="auto"/>
            <w:vAlign w:val="center"/>
          </w:tcPr>
          <w:p w14:paraId="186DD8E4" w14:textId="77777777" w:rsidR="009D4A93" w:rsidRPr="00536CFD" w:rsidRDefault="009D4A93" w:rsidP="009D4A93">
            <w:pPr>
              <w:spacing w:after="0"/>
              <w:jc w:val="center"/>
              <w:rPr>
                <w:lang w:val="zh-CN"/>
              </w:rPr>
            </w:pPr>
            <w:r w:rsidRPr="00536CFD">
              <w:rPr>
                <w:lang w:val="zh-CN"/>
              </w:rPr>
              <w:t>77.5</w:t>
            </w:r>
          </w:p>
        </w:tc>
        <w:tc>
          <w:tcPr>
            <w:tcW w:w="720" w:type="dxa"/>
            <w:tcBorders>
              <w:top w:val="single" w:sz="4" w:space="0" w:color="auto"/>
              <w:left w:val="nil"/>
              <w:bottom w:val="single" w:sz="4" w:space="0" w:color="auto"/>
              <w:right w:val="single" w:sz="4" w:space="0" w:color="auto"/>
            </w:tcBorders>
            <w:shd w:val="clear" w:color="auto" w:fill="auto"/>
            <w:vAlign w:val="center"/>
          </w:tcPr>
          <w:p w14:paraId="49264F8F" w14:textId="77777777" w:rsidR="009D4A93" w:rsidRPr="00536CFD" w:rsidRDefault="009D4A93" w:rsidP="009D4A93">
            <w:pPr>
              <w:spacing w:after="0"/>
              <w:jc w:val="center"/>
              <w:rPr>
                <w:lang w:val="zh-CN"/>
              </w:rPr>
            </w:pPr>
            <w:r w:rsidRPr="00536CFD">
              <w:rPr>
                <w:lang w:val="zh-CN"/>
              </w:rPr>
              <w:t>82.54</w:t>
            </w:r>
          </w:p>
        </w:tc>
        <w:tc>
          <w:tcPr>
            <w:tcW w:w="724" w:type="dxa"/>
            <w:tcBorders>
              <w:top w:val="single" w:sz="4" w:space="0" w:color="auto"/>
              <w:left w:val="nil"/>
              <w:bottom w:val="single" w:sz="4" w:space="0" w:color="auto"/>
              <w:right w:val="single" w:sz="4" w:space="0" w:color="auto"/>
            </w:tcBorders>
            <w:shd w:val="clear" w:color="auto" w:fill="auto"/>
            <w:vAlign w:val="center"/>
          </w:tcPr>
          <w:p w14:paraId="5DC70BA5" w14:textId="77777777" w:rsidR="009D4A93" w:rsidRPr="00536CFD" w:rsidRDefault="009D4A93" w:rsidP="009D4A93">
            <w:pPr>
              <w:spacing w:after="0"/>
              <w:jc w:val="center"/>
              <w:rPr>
                <w:lang w:val="zh-CN"/>
              </w:rPr>
            </w:pPr>
            <w:r w:rsidRPr="00536CFD">
              <w:rPr>
                <w:lang w:val="zh-CN"/>
              </w:rPr>
              <w:t>30.88</w:t>
            </w:r>
          </w:p>
        </w:tc>
        <w:tc>
          <w:tcPr>
            <w:tcW w:w="896" w:type="dxa"/>
            <w:tcBorders>
              <w:top w:val="single" w:sz="4" w:space="0" w:color="auto"/>
              <w:left w:val="nil"/>
              <w:bottom w:val="single" w:sz="4" w:space="0" w:color="auto"/>
              <w:right w:val="single" w:sz="4" w:space="0" w:color="auto"/>
            </w:tcBorders>
            <w:shd w:val="clear" w:color="auto" w:fill="auto"/>
            <w:vAlign w:val="center"/>
          </w:tcPr>
          <w:p w14:paraId="3816ABF5" w14:textId="77777777" w:rsidR="009D4A93" w:rsidRPr="00536CFD" w:rsidRDefault="009D4A93" w:rsidP="009D4A93">
            <w:pPr>
              <w:spacing w:after="0"/>
              <w:jc w:val="center"/>
              <w:rPr>
                <w:lang w:val="zh-CN"/>
              </w:rPr>
            </w:pPr>
            <w:r w:rsidRPr="00536CFD">
              <w:rPr>
                <w:lang w:val="zh-CN"/>
              </w:rPr>
              <w:t>47.84</w:t>
            </w:r>
          </w:p>
        </w:tc>
        <w:tc>
          <w:tcPr>
            <w:tcW w:w="720" w:type="dxa"/>
            <w:tcBorders>
              <w:top w:val="single" w:sz="4" w:space="0" w:color="auto"/>
              <w:left w:val="nil"/>
              <w:bottom w:val="single" w:sz="4" w:space="0" w:color="auto"/>
              <w:right w:val="single" w:sz="4" w:space="0" w:color="auto"/>
            </w:tcBorders>
            <w:shd w:val="clear" w:color="auto" w:fill="auto"/>
            <w:vAlign w:val="center"/>
          </w:tcPr>
          <w:p w14:paraId="58CFA8E0" w14:textId="77777777" w:rsidR="009D4A93" w:rsidRPr="00536CFD" w:rsidRDefault="009D4A93" w:rsidP="009D4A93">
            <w:pPr>
              <w:spacing w:after="0"/>
              <w:jc w:val="center"/>
              <w:rPr>
                <w:lang w:val="zh-CN"/>
              </w:rPr>
            </w:pPr>
            <w:r w:rsidRPr="00536CFD">
              <w:rPr>
                <w:lang w:val="zh-CN"/>
              </w:rPr>
              <w:t>72.89</w:t>
            </w:r>
          </w:p>
        </w:tc>
        <w:tc>
          <w:tcPr>
            <w:tcW w:w="720" w:type="dxa"/>
            <w:tcBorders>
              <w:top w:val="single" w:sz="4" w:space="0" w:color="auto"/>
              <w:left w:val="nil"/>
              <w:bottom w:val="single" w:sz="4" w:space="0" w:color="auto"/>
              <w:right w:val="single" w:sz="4" w:space="0" w:color="auto"/>
            </w:tcBorders>
            <w:shd w:val="clear" w:color="auto" w:fill="auto"/>
            <w:vAlign w:val="center"/>
          </w:tcPr>
          <w:p w14:paraId="318E6F2B" w14:textId="77777777" w:rsidR="009D4A93" w:rsidRPr="00536CFD" w:rsidRDefault="009D4A93" w:rsidP="009D4A93">
            <w:pPr>
              <w:spacing w:after="0"/>
              <w:jc w:val="center"/>
              <w:rPr>
                <w:lang w:val="zh-CN"/>
              </w:rPr>
            </w:pPr>
            <w:r w:rsidRPr="00536CFD">
              <w:rPr>
                <w:lang w:val="zh-CN"/>
              </w:rPr>
              <w:t>79.57</w:t>
            </w:r>
          </w:p>
        </w:tc>
      </w:tr>
      <w:tr w:rsidR="009D4A93" w:rsidRPr="00536CFD" w14:paraId="4BCB7F8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FEB47F7"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703488B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2A6E11A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center"/>
          </w:tcPr>
          <w:p w14:paraId="5BA8E60C"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vAlign w:val="center"/>
          </w:tcPr>
          <w:p w14:paraId="798E5025"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vAlign w:val="center"/>
          </w:tcPr>
          <w:p w14:paraId="63A589F5"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tcPr>
          <w:p w14:paraId="60AA7935"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vAlign w:val="center"/>
          </w:tcPr>
          <w:p w14:paraId="06F8D41A" w14:textId="77777777" w:rsidR="009D4A93" w:rsidRPr="00536CFD" w:rsidRDefault="009D4A93" w:rsidP="009D4A93">
            <w:pPr>
              <w:spacing w:after="0"/>
              <w:jc w:val="center"/>
              <w:rPr>
                <w:lang w:val="zh-CN"/>
              </w:rPr>
            </w:pPr>
            <w:r w:rsidRPr="00536CFD">
              <w:rPr>
                <w:lang w:val="zh-CN"/>
              </w:rPr>
              <w:t>0.05</w:t>
            </w:r>
          </w:p>
        </w:tc>
        <w:tc>
          <w:tcPr>
            <w:tcW w:w="820" w:type="dxa"/>
            <w:tcBorders>
              <w:top w:val="single" w:sz="4" w:space="0" w:color="auto"/>
              <w:left w:val="nil"/>
              <w:bottom w:val="single" w:sz="4" w:space="0" w:color="auto"/>
              <w:right w:val="single" w:sz="4" w:space="0" w:color="auto"/>
            </w:tcBorders>
            <w:shd w:val="clear" w:color="auto" w:fill="auto"/>
            <w:vAlign w:val="center"/>
          </w:tcPr>
          <w:p w14:paraId="12EDA7DD" w14:textId="77777777" w:rsidR="009D4A93" w:rsidRPr="00536CFD" w:rsidRDefault="009D4A93" w:rsidP="009D4A93">
            <w:pPr>
              <w:spacing w:after="0"/>
              <w:jc w:val="center"/>
              <w:rPr>
                <w:lang w:val="zh-CN"/>
              </w:rPr>
            </w:pPr>
            <w:r w:rsidRPr="00536CFD">
              <w:rPr>
                <w:lang w:val="zh-CN"/>
              </w:rPr>
              <w:t>0.05</w:t>
            </w:r>
          </w:p>
        </w:tc>
        <w:tc>
          <w:tcPr>
            <w:tcW w:w="800" w:type="dxa"/>
            <w:tcBorders>
              <w:top w:val="single" w:sz="4" w:space="0" w:color="auto"/>
              <w:left w:val="nil"/>
              <w:bottom w:val="single" w:sz="4" w:space="0" w:color="auto"/>
              <w:right w:val="single" w:sz="4" w:space="0" w:color="auto"/>
            </w:tcBorders>
            <w:shd w:val="clear" w:color="auto" w:fill="auto"/>
            <w:vAlign w:val="center"/>
          </w:tcPr>
          <w:p w14:paraId="424D8886" w14:textId="77777777" w:rsidR="009D4A93" w:rsidRPr="00536CFD" w:rsidRDefault="009D4A93" w:rsidP="009D4A93">
            <w:pPr>
              <w:spacing w:after="0"/>
              <w:jc w:val="center"/>
              <w:rPr>
                <w:lang w:val="zh-CN"/>
              </w:rPr>
            </w:pPr>
            <w:r w:rsidRPr="00536CFD">
              <w:rPr>
                <w:lang w:val="zh-CN"/>
              </w:rPr>
              <w:t>0.04</w:t>
            </w:r>
          </w:p>
        </w:tc>
        <w:tc>
          <w:tcPr>
            <w:tcW w:w="720" w:type="dxa"/>
            <w:tcBorders>
              <w:top w:val="single" w:sz="4" w:space="0" w:color="auto"/>
              <w:left w:val="nil"/>
              <w:bottom w:val="single" w:sz="4" w:space="0" w:color="auto"/>
              <w:right w:val="single" w:sz="4" w:space="0" w:color="auto"/>
            </w:tcBorders>
            <w:shd w:val="clear" w:color="auto" w:fill="auto"/>
          </w:tcPr>
          <w:p w14:paraId="337B6235" w14:textId="77777777" w:rsidR="009D4A93" w:rsidRPr="00536CFD" w:rsidRDefault="009D4A93" w:rsidP="009D4A93">
            <w:pPr>
              <w:spacing w:after="0"/>
              <w:jc w:val="center"/>
              <w:rPr>
                <w:lang w:val="zh-CN"/>
              </w:rPr>
            </w:pPr>
            <w:r w:rsidRPr="00536CFD">
              <w:rPr>
                <w:lang w:val="zh-CN"/>
              </w:rPr>
              <w:t>0.04</w:t>
            </w:r>
          </w:p>
        </w:tc>
        <w:tc>
          <w:tcPr>
            <w:tcW w:w="724" w:type="dxa"/>
            <w:tcBorders>
              <w:top w:val="single" w:sz="4" w:space="0" w:color="auto"/>
              <w:left w:val="nil"/>
              <w:bottom w:val="single" w:sz="4" w:space="0" w:color="auto"/>
              <w:right w:val="single" w:sz="4" w:space="0" w:color="auto"/>
            </w:tcBorders>
            <w:shd w:val="clear" w:color="auto" w:fill="auto"/>
            <w:vAlign w:val="center"/>
          </w:tcPr>
          <w:p w14:paraId="1F7369D1" w14:textId="77777777" w:rsidR="009D4A93" w:rsidRPr="00536CFD" w:rsidRDefault="009D4A93" w:rsidP="009D4A93">
            <w:pPr>
              <w:spacing w:after="0"/>
              <w:jc w:val="center"/>
              <w:rPr>
                <w:lang w:val="zh-CN"/>
              </w:rPr>
            </w:pPr>
            <w:r w:rsidRPr="00536CFD">
              <w:rPr>
                <w:lang w:val="zh-CN"/>
              </w:rPr>
              <w:t>0.05</w:t>
            </w:r>
          </w:p>
        </w:tc>
        <w:tc>
          <w:tcPr>
            <w:tcW w:w="896" w:type="dxa"/>
            <w:tcBorders>
              <w:top w:val="single" w:sz="4" w:space="0" w:color="auto"/>
              <w:left w:val="nil"/>
              <w:bottom w:val="single" w:sz="4" w:space="0" w:color="auto"/>
              <w:right w:val="single" w:sz="4" w:space="0" w:color="auto"/>
            </w:tcBorders>
            <w:shd w:val="clear" w:color="auto" w:fill="auto"/>
            <w:vAlign w:val="center"/>
          </w:tcPr>
          <w:p w14:paraId="29AF333F"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vAlign w:val="center"/>
          </w:tcPr>
          <w:p w14:paraId="414DB3D4" w14:textId="77777777" w:rsidR="009D4A93" w:rsidRPr="00536CFD" w:rsidRDefault="009D4A93" w:rsidP="009D4A93">
            <w:pPr>
              <w:spacing w:after="0"/>
              <w:jc w:val="center"/>
              <w:rPr>
                <w:lang w:val="zh-CN"/>
              </w:rPr>
            </w:pPr>
            <w:r w:rsidRPr="00536CFD">
              <w:rPr>
                <w:lang w:val="zh-CN"/>
              </w:rPr>
              <w:t>0.04</w:t>
            </w:r>
          </w:p>
        </w:tc>
        <w:tc>
          <w:tcPr>
            <w:tcW w:w="720" w:type="dxa"/>
            <w:tcBorders>
              <w:top w:val="single" w:sz="4" w:space="0" w:color="auto"/>
              <w:left w:val="nil"/>
              <w:bottom w:val="single" w:sz="4" w:space="0" w:color="auto"/>
              <w:right w:val="single" w:sz="4" w:space="0" w:color="auto"/>
            </w:tcBorders>
            <w:shd w:val="clear" w:color="auto" w:fill="auto"/>
          </w:tcPr>
          <w:p w14:paraId="5CF8B1D7" w14:textId="77777777" w:rsidR="009D4A93" w:rsidRPr="00536CFD" w:rsidRDefault="009D4A93" w:rsidP="009D4A93">
            <w:pPr>
              <w:spacing w:after="0"/>
              <w:jc w:val="center"/>
              <w:rPr>
                <w:lang w:val="zh-CN"/>
              </w:rPr>
            </w:pPr>
            <w:r w:rsidRPr="00536CFD">
              <w:rPr>
                <w:lang w:val="zh-CN"/>
              </w:rPr>
              <w:t>0.04</w:t>
            </w:r>
          </w:p>
        </w:tc>
      </w:tr>
      <w:tr w:rsidR="009D4A93" w:rsidRPr="00536CFD" w14:paraId="06E8F70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8E8A35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FCEB15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7756E8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center"/>
          </w:tcPr>
          <w:p w14:paraId="1F1E25DC" w14:textId="77777777" w:rsidR="009D4A93" w:rsidRPr="00536CFD" w:rsidRDefault="009D4A93" w:rsidP="009D4A93">
            <w:pPr>
              <w:spacing w:after="0"/>
              <w:jc w:val="center"/>
              <w:rPr>
                <w:lang w:val="zh-CN"/>
              </w:rPr>
            </w:pPr>
            <w:r w:rsidRPr="00536CFD">
              <w:rPr>
                <w:lang w:val="zh-CN"/>
              </w:rPr>
              <w:t>0.08</w:t>
            </w:r>
          </w:p>
        </w:tc>
        <w:tc>
          <w:tcPr>
            <w:tcW w:w="720" w:type="dxa"/>
            <w:tcBorders>
              <w:top w:val="single" w:sz="4" w:space="0" w:color="auto"/>
              <w:left w:val="nil"/>
              <w:bottom w:val="single" w:sz="4" w:space="0" w:color="auto"/>
              <w:right w:val="single" w:sz="4" w:space="0" w:color="auto"/>
            </w:tcBorders>
            <w:shd w:val="clear" w:color="auto" w:fill="auto"/>
            <w:vAlign w:val="center"/>
          </w:tcPr>
          <w:p w14:paraId="629F2337"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vAlign w:val="center"/>
          </w:tcPr>
          <w:p w14:paraId="0E16DAF6"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tcPr>
          <w:p w14:paraId="1DDACB03"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vAlign w:val="center"/>
          </w:tcPr>
          <w:p w14:paraId="6DAAFC0B" w14:textId="77777777" w:rsidR="009D4A93" w:rsidRPr="00536CFD" w:rsidRDefault="009D4A93" w:rsidP="009D4A93">
            <w:pPr>
              <w:spacing w:after="0"/>
              <w:jc w:val="center"/>
              <w:rPr>
                <w:lang w:val="zh-CN"/>
              </w:rPr>
            </w:pPr>
            <w:r w:rsidRPr="00536CFD">
              <w:rPr>
                <w:lang w:val="zh-CN"/>
              </w:rPr>
              <w:t>0.11</w:t>
            </w:r>
          </w:p>
        </w:tc>
        <w:tc>
          <w:tcPr>
            <w:tcW w:w="820" w:type="dxa"/>
            <w:tcBorders>
              <w:top w:val="single" w:sz="4" w:space="0" w:color="auto"/>
              <w:left w:val="nil"/>
              <w:bottom w:val="single" w:sz="4" w:space="0" w:color="auto"/>
              <w:right w:val="single" w:sz="4" w:space="0" w:color="auto"/>
            </w:tcBorders>
            <w:shd w:val="clear" w:color="auto" w:fill="auto"/>
            <w:vAlign w:val="center"/>
          </w:tcPr>
          <w:p w14:paraId="5394168D" w14:textId="77777777" w:rsidR="009D4A93" w:rsidRPr="00536CFD" w:rsidRDefault="009D4A93" w:rsidP="009D4A93">
            <w:pPr>
              <w:spacing w:after="0"/>
              <w:jc w:val="center"/>
              <w:rPr>
                <w:lang w:val="zh-CN"/>
              </w:rPr>
            </w:pPr>
            <w:r w:rsidRPr="00536CFD">
              <w:rPr>
                <w:lang w:val="zh-CN"/>
              </w:rPr>
              <w:t>0.07</w:t>
            </w:r>
          </w:p>
        </w:tc>
        <w:tc>
          <w:tcPr>
            <w:tcW w:w="800" w:type="dxa"/>
            <w:tcBorders>
              <w:top w:val="single" w:sz="4" w:space="0" w:color="auto"/>
              <w:left w:val="nil"/>
              <w:bottom w:val="single" w:sz="4" w:space="0" w:color="auto"/>
              <w:right w:val="single" w:sz="4" w:space="0" w:color="auto"/>
            </w:tcBorders>
            <w:shd w:val="clear" w:color="auto" w:fill="auto"/>
            <w:vAlign w:val="center"/>
          </w:tcPr>
          <w:p w14:paraId="7331F011"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5DD3BC01" w14:textId="77777777" w:rsidR="009D4A93" w:rsidRPr="00536CFD" w:rsidRDefault="009D4A93" w:rsidP="009D4A93">
            <w:pPr>
              <w:spacing w:after="0"/>
              <w:jc w:val="center"/>
              <w:rPr>
                <w:lang w:val="zh-CN"/>
              </w:rPr>
            </w:pPr>
            <w:r w:rsidRPr="00536CFD">
              <w:rPr>
                <w:lang w:val="zh-CN"/>
              </w:rPr>
              <w:t>0.04</w:t>
            </w:r>
          </w:p>
        </w:tc>
        <w:tc>
          <w:tcPr>
            <w:tcW w:w="724" w:type="dxa"/>
            <w:tcBorders>
              <w:top w:val="single" w:sz="4" w:space="0" w:color="auto"/>
              <w:left w:val="nil"/>
              <w:bottom w:val="single" w:sz="4" w:space="0" w:color="auto"/>
              <w:right w:val="single" w:sz="4" w:space="0" w:color="auto"/>
            </w:tcBorders>
            <w:shd w:val="clear" w:color="auto" w:fill="auto"/>
            <w:vAlign w:val="center"/>
          </w:tcPr>
          <w:p w14:paraId="1EE047B5" w14:textId="77777777" w:rsidR="009D4A93" w:rsidRPr="00536CFD" w:rsidRDefault="009D4A93" w:rsidP="009D4A93">
            <w:pPr>
              <w:spacing w:after="0"/>
              <w:jc w:val="center"/>
              <w:rPr>
                <w:lang w:val="zh-CN"/>
              </w:rPr>
            </w:pPr>
            <w:r w:rsidRPr="00536CFD">
              <w:rPr>
                <w:lang w:val="zh-CN"/>
              </w:rPr>
              <w:t>0.15</w:t>
            </w:r>
          </w:p>
        </w:tc>
        <w:tc>
          <w:tcPr>
            <w:tcW w:w="896" w:type="dxa"/>
            <w:tcBorders>
              <w:top w:val="single" w:sz="4" w:space="0" w:color="auto"/>
              <w:left w:val="nil"/>
              <w:bottom w:val="single" w:sz="4" w:space="0" w:color="auto"/>
              <w:right w:val="single" w:sz="4" w:space="0" w:color="auto"/>
            </w:tcBorders>
            <w:shd w:val="clear" w:color="auto" w:fill="auto"/>
            <w:vAlign w:val="center"/>
          </w:tcPr>
          <w:p w14:paraId="1D2BC053" w14:textId="77777777" w:rsidR="009D4A93" w:rsidRPr="00536CFD" w:rsidRDefault="009D4A93" w:rsidP="009D4A93">
            <w:pPr>
              <w:spacing w:after="0"/>
              <w:jc w:val="center"/>
              <w:rPr>
                <w:lang w:val="zh-CN"/>
              </w:rPr>
            </w:pPr>
            <w:r w:rsidRPr="00536CFD">
              <w:rPr>
                <w:lang w:val="zh-CN"/>
              </w:rPr>
              <w:t>0.08</w:t>
            </w:r>
          </w:p>
        </w:tc>
        <w:tc>
          <w:tcPr>
            <w:tcW w:w="720" w:type="dxa"/>
            <w:tcBorders>
              <w:top w:val="single" w:sz="4" w:space="0" w:color="auto"/>
              <w:left w:val="nil"/>
              <w:bottom w:val="single" w:sz="4" w:space="0" w:color="auto"/>
              <w:right w:val="single" w:sz="4" w:space="0" w:color="auto"/>
            </w:tcBorders>
            <w:shd w:val="clear" w:color="auto" w:fill="auto"/>
            <w:vAlign w:val="center"/>
          </w:tcPr>
          <w:p w14:paraId="327DF443"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25108C74" w14:textId="77777777" w:rsidR="009D4A93" w:rsidRPr="00536CFD" w:rsidRDefault="009D4A93" w:rsidP="009D4A93">
            <w:pPr>
              <w:spacing w:after="0"/>
              <w:jc w:val="center"/>
              <w:rPr>
                <w:lang w:val="zh-CN"/>
              </w:rPr>
            </w:pPr>
            <w:r w:rsidRPr="00536CFD">
              <w:rPr>
                <w:lang w:val="zh-CN"/>
              </w:rPr>
              <w:t>0.05</w:t>
            </w:r>
          </w:p>
        </w:tc>
      </w:tr>
      <w:tr w:rsidR="009D4A93" w:rsidRPr="00536CFD" w14:paraId="210AEF8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25902C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BCBB00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02DF24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center"/>
          </w:tcPr>
          <w:p w14:paraId="2DB4B542" w14:textId="77777777" w:rsidR="009D4A93" w:rsidRPr="00536CFD" w:rsidRDefault="009D4A93" w:rsidP="009D4A93">
            <w:pPr>
              <w:spacing w:after="0"/>
              <w:jc w:val="center"/>
              <w:rPr>
                <w:lang w:val="zh-CN"/>
              </w:rPr>
            </w:pPr>
            <w:r w:rsidRPr="00536CFD">
              <w:rPr>
                <w:lang w:val="zh-CN"/>
              </w:rPr>
              <w:t>0.25</w:t>
            </w:r>
          </w:p>
        </w:tc>
        <w:tc>
          <w:tcPr>
            <w:tcW w:w="720" w:type="dxa"/>
            <w:tcBorders>
              <w:top w:val="single" w:sz="4" w:space="0" w:color="auto"/>
              <w:left w:val="nil"/>
              <w:bottom w:val="single" w:sz="4" w:space="0" w:color="auto"/>
              <w:right w:val="single" w:sz="4" w:space="0" w:color="auto"/>
            </w:tcBorders>
            <w:shd w:val="clear" w:color="auto" w:fill="auto"/>
            <w:vAlign w:val="center"/>
          </w:tcPr>
          <w:p w14:paraId="089A7D9F" w14:textId="77777777" w:rsidR="009D4A93" w:rsidRPr="00536CFD" w:rsidRDefault="009D4A93" w:rsidP="009D4A93">
            <w:pPr>
              <w:spacing w:after="0"/>
              <w:jc w:val="center"/>
              <w:rPr>
                <w:lang w:val="zh-CN"/>
              </w:rPr>
            </w:pPr>
            <w:r w:rsidRPr="00536CFD">
              <w:rPr>
                <w:lang w:val="zh-CN"/>
              </w:rPr>
              <w:t>0.21</w:t>
            </w:r>
          </w:p>
        </w:tc>
        <w:tc>
          <w:tcPr>
            <w:tcW w:w="720" w:type="dxa"/>
            <w:tcBorders>
              <w:top w:val="single" w:sz="4" w:space="0" w:color="auto"/>
              <w:left w:val="nil"/>
              <w:bottom w:val="single" w:sz="4" w:space="0" w:color="auto"/>
              <w:right w:val="single" w:sz="4" w:space="0" w:color="auto"/>
            </w:tcBorders>
            <w:shd w:val="clear" w:color="auto" w:fill="auto"/>
            <w:vAlign w:val="center"/>
          </w:tcPr>
          <w:p w14:paraId="29D1EBAB" w14:textId="77777777" w:rsidR="009D4A93" w:rsidRPr="00536CFD" w:rsidRDefault="009D4A93" w:rsidP="009D4A93">
            <w:pPr>
              <w:spacing w:after="0"/>
              <w:jc w:val="center"/>
              <w:rPr>
                <w:lang w:val="zh-CN"/>
              </w:rPr>
            </w:pPr>
            <w:r w:rsidRPr="00536CFD">
              <w:rPr>
                <w:lang w:val="zh-CN"/>
              </w:rPr>
              <w:t>0.11</w:t>
            </w:r>
          </w:p>
        </w:tc>
        <w:tc>
          <w:tcPr>
            <w:tcW w:w="810" w:type="dxa"/>
            <w:tcBorders>
              <w:top w:val="single" w:sz="4" w:space="0" w:color="auto"/>
              <w:left w:val="nil"/>
              <w:bottom w:val="single" w:sz="4" w:space="0" w:color="auto"/>
              <w:right w:val="single" w:sz="4" w:space="0" w:color="auto"/>
            </w:tcBorders>
            <w:shd w:val="clear" w:color="auto" w:fill="auto"/>
          </w:tcPr>
          <w:p w14:paraId="754ACDB8" w14:textId="77777777" w:rsidR="009D4A93" w:rsidRPr="00536CFD" w:rsidRDefault="009D4A93" w:rsidP="009D4A93">
            <w:pPr>
              <w:spacing w:after="0"/>
              <w:jc w:val="center"/>
              <w:rPr>
                <w:lang w:val="zh-CN"/>
              </w:rPr>
            </w:pPr>
            <w:r w:rsidRPr="00536CFD">
              <w:rPr>
                <w:lang w:val="zh-CN"/>
              </w:rPr>
              <w:t>0.10</w:t>
            </w:r>
          </w:p>
        </w:tc>
        <w:tc>
          <w:tcPr>
            <w:tcW w:w="810" w:type="dxa"/>
            <w:tcBorders>
              <w:top w:val="single" w:sz="4" w:space="0" w:color="auto"/>
              <w:left w:val="nil"/>
              <w:bottom w:val="single" w:sz="4" w:space="0" w:color="auto"/>
              <w:right w:val="single" w:sz="4" w:space="0" w:color="auto"/>
            </w:tcBorders>
            <w:shd w:val="clear" w:color="auto" w:fill="auto"/>
            <w:vAlign w:val="center"/>
          </w:tcPr>
          <w:p w14:paraId="51C2FA70" w14:textId="77777777" w:rsidR="009D4A93" w:rsidRPr="00536CFD" w:rsidRDefault="009D4A93" w:rsidP="009D4A93">
            <w:pPr>
              <w:spacing w:after="0"/>
              <w:jc w:val="center"/>
              <w:rPr>
                <w:lang w:val="zh-CN"/>
              </w:rPr>
            </w:pPr>
            <w:r w:rsidRPr="00536CFD">
              <w:rPr>
                <w:lang w:val="zh-CN"/>
              </w:rPr>
              <w:t>0.51</w:t>
            </w:r>
          </w:p>
        </w:tc>
        <w:tc>
          <w:tcPr>
            <w:tcW w:w="820" w:type="dxa"/>
            <w:tcBorders>
              <w:top w:val="single" w:sz="4" w:space="0" w:color="auto"/>
              <w:left w:val="nil"/>
              <w:bottom w:val="single" w:sz="4" w:space="0" w:color="auto"/>
              <w:right w:val="single" w:sz="4" w:space="0" w:color="auto"/>
            </w:tcBorders>
            <w:shd w:val="clear" w:color="auto" w:fill="auto"/>
            <w:vAlign w:val="center"/>
          </w:tcPr>
          <w:p w14:paraId="400E786C" w14:textId="77777777" w:rsidR="009D4A93" w:rsidRPr="00536CFD" w:rsidRDefault="009D4A93" w:rsidP="009D4A93">
            <w:pPr>
              <w:spacing w:after="0"/>
              <w:jc w:val="center"/>
              <w:rPr>
                <w:lang w:val="zh-CN"/>
              </w:rPr>
            </w:pPr>
            <w:r w:rsidRPr="00536CFD">
              <w:rPr>
                <w:lang w:val="zh-CN"/>
              </w:rPr>
              <w:t>0.27</w:t>
            </w:r>
          </w:p>
        </w:tc>
        <w:tc>
          <w:tcPr>
            <w:tcW w:w="800" w:type="dxa"/>
            <w:tcBorders>
              <w:top w:val="single" w:sz="4" w:space="0" w:color="auto"/>
              <w:left w:val="nil"/>
              <w:bottom w:val="single" w:sz="4" w:space="0" w:color="auto"/>
              <w:right w:val="single" w:sz="4" w:space="0" w:color="auto"/>
            </w:tcBorders>
            <w:shd w:val="clear" w:color="auto" w:fill="auto"/>
            <w:vAlign w:val="center"/>
          </w:tcPr>
          <w:p w14:paraId="062EA9FE" w14:textId="77777777" w:rsidR="009D4A93" w:rsidRPr="00536CFD" w:rsidRDefault="009D4A93" w:rsidP="009D4A93">
            <w:pPr>
              <w:spacing w:after="0"/>
              <w:jc w:val="center"/>
              <w:rPr>
                <w:lang w:val="zh-CN"/>
              </w:rPr>
            </w:pPr>
            <w:r w:rsidRPr="00536CFD">
              <w:rPr>
                <w:lang w:val="zh-CN"/>
              </w:rPr>
              <w:t>0.14</w:t>
            </w:r>
          </w:p>
        </w:tc>
        <w:tc>
          <w:tcPr>
            <w:tcW w:w="720" w:type="dxa"/>
            <w:tcBorders>
              <w:top w:val="single" w:sz="4" w:space="0" w:color="auto"/>
              <w:left w:val="nil"/>
              <w:bottom w:val="single" w:sz="4" w:space="0" w:color="auto"/>
              <w:right w:val="single" w:sz="4" w:space="0" w:color="auto"/>
            </w:tcBorders>
            <w:shd w:val="clear" w:color="auto" w:fill="auto"/>
          </w:tcPr>
          <w:p w14:paraId="473C382F" w14:textId="77777777" w:rsidR="009D4A93" w:rsidRPr="00536CFD" w:rsidRDefault="009D4A93" w:rsidP="009D4A93">
            <w:pPr>
              <w:spacing w:after="0"/>
              <w:jc w:val="center"/>
              <w:rPr>
                <w:lang w:val="zh-CN"/>
              </w:rPr>
            </w:pPr>
            <w:r w:rsidRPr="00536CFD">
              <w:rPr>
                <w:lang w:val="zh-CN"/>
              </w:rPr>
              <w:t>0.11</w:t>
            </w:r>
          </w:p>
        </w:tc>
        <w:tc>
          <w:tcPr>
            <w:tcW w:w="724" w:type="dxa"/>
            <w:tcBorders>
              <w:top w:val="single" w:sz="4" w:space="0" w:color="auto"/>
              <w:left w:val="nil"/>
              <w:bottom w:val="single" w:sz="4" w:space="0" w:color="auto"/>
              <w:right w:val="single" w:sz="4" w:space="0" w:color="auto"/>
            </w:tcBorders>
            <w:shd w:val="clear" w:color="auto" w:fill="auto"/>
            <w:vAlign w:val="center"/>
          </w:tcPr>
          <w:p w14:paraId="6C4444C7" w14:textId="77777777" w:rsidR="009D4A93" w:rsidRPr="00536CFD" w:rsidRDefault="009D4A93" w:rsidP="009D4A93">
            <w:pPr>
              <w:spacing w:after="0"/>
              <w:jc w:val="center"/>
              <w:rPr>
                <w:lang w:val="zh-CN"/>
              </w:rPr>
            </w:pPr>
            <w:r w:rsidRPr="00536CFD">
              <w:rPr>
                <w:lang w:val="zh-CN"/>
              </w:rPr>
              <w:t>1.13</w:t>
            </w:r>
          </w:p>
        </w:tc>
        <w:tc>
          <w:tcPr>
            <w:tcW w:w="896" w:type="dxa"/>
            <w:tcBorders>
              <w:top w:val="single" w:sz="4" w:space="0" w:color="auto"/>
              <w:left w:val="nil"/>
              <w:bottom w:val="single" w:sz="4" w:space="0" w:color="auto"/>
              <w:right w:val="single" w:sz="4" w:space="0" w:color="auto"/>
            </w:tcBorders>
            <w:shd w:val="clear" w:color="auto" w:fill="auto"/>
            <w:vAlign w:val="center"/>
          </w:tcPr>
          <w:p w14:paraId="120F811B" w14:textId="77777777" w:rsidR="009D4A93" w:rsidRPr="00536CFD" w:rsidRDefault="009D4A93" w:rsidP="009D4A93">
            <w:pPr>
              <w:spacing w:after="0"/>
              <w:jc w:val="center"/>
              <w:rPr>
                <w:lang w:val="zh-CN"/>
              </w:rPr>
            </w:pPr>
            <w:r w:rsidRPr="00536CFD">
              <w:rPr>
                <w:lang w:val="zh-CN"/>
              </w:rPr>
              <w:t>0.34</w:t>
            </w:r>
          </w:p>
        </w:tc>
        <w:tc>
          <w:tcPr>
            <w:tcW w:w="720" w:type="dxa"/>
            <w:tcBorders>
              <w:top w:val="single" w:sz="4" w:space="0" w:color="auto"/>
              <w:left w:val="nil"/>
              <w:bottom w:val="single" w:sz="4" w:space="0" w:color="auto"/>
              <w:right w:val="single" w:sz="4" w:space="0" w:color="auto"/>
            </w:tcBorders>
            <w:shd w:val="clear" w:color="auto" w:fill="auto"/>
            <w:vAlign w:val="center"/>
          </w:tcPr>
          <w:p w14:paraId="77D89131" w14:textId="77777777" w:rsidR="009D4A93" w:rsidRPr="00536CFD" w:rsidRDefault="009D4A93" w:rsidP="009D4A93">
            <w:pPr>
              <w:spacing w:after="0"/>
              <w:jc w:val="center"/>
              <w:rPr>
                <w:lang w:val="zh-CN"/>
              </w:rPr>
            </w:pPr>
            <w:r w:rsidRPr="00536CFD">
              <w:rPr>
                <w:lang w:val="zh-CN"/>
              </w:rPr>
              <w:t>0.16</w:t>
            </w:r>
          </w:p>
        </w:tc>
        <w:tc>
          <w:tcPr>
            <w:tcW w:w="720" w:type="dxa"/>
            <w:tcBorders>
              <w:top w:val="single" w:sz="4" w:space="0" w:color="auto"/>
              <w:left w:val="nil"/>
              <w:bottom w:val="single" w:sz="4" w:space="0" w:color="auto"/>
              <w:right w:val="single" w:sz="4" w:space="0" w:color="auto"/>
            </w:tcBorders>
            <w:shd w:val="clear" w:color="auto" w:fill="auto"/>
          </w:tcPr>
          <w:p w14:paraId="4A470155" w14:textId="77777777" w:rsidR="009D4A93" w:rsidRPr="00536CFD" w:rsidRDefault="009D4A93" w:rsidP="009D4A93">
            <w:pPr>
              <w:spacing w:after="0"/>
              <w:jc w:val="center"/>
              <w:rPr>
                <w:lang w:val="zh-CN"/>
              </w:rPr>
            </w:pPr>
            <w:r w:rsidRPr="00536CFD">
              <w:rPr>
                <w:lang w:val="zh-CN"/>
              </w:rPr>
              <w:t>0.13</w:t>
            </w:r>
          </w:p>
        </w:tc>
      </w:tr>
      <w:tr w:rsidR="009D4A93" w:rsidRPr="00536CFD" w14:paraId="59EC1AE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B93B2C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C3D967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1C232D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22253341" w14:textId="77777777" w:rsidR="009D4A93" w:rsidRPr="00536CFD" w:rsidRDefault="009D4A93" w:rsidP="009D4A93">
            <w:pPr>
              <w:spacing w:after="0"/>
              <w:jc w:val="center"/>
              <w:rPr>
                <w:lang w:val="zh-CN"/>
              </w:rPr>
            </w:pPr>
            <w:r w:rsidRPr="00536CFD">
              <w:rPr>
                <w:lang w:val="zh-CN"/>
              </w:rPr>
              <w:t>0.11</w:t>
            </w:r>
          </w:p>
        </w:tc>
        <w:tc>
          <w:tcPr>
            <w:tcW w:w="720" w:type="dxa"/>
            <w:tcBorders>
              <w:top w:val="single" w:sz="4" w:space="0" w:color="auto"/>
              <w:left w:val="nil"/>
              <w:bottom w:val="single" w:sz="4" w:space="0" w:color="auto"/>
              <w:right w:val="single" w:sz="4" w:space="0" w:color="auto"/>
            </w:tcBorders>
            <w:shd w:val="clear" w:color="auto" w:fill="auto"/>
          </w:tcPr>
          <w:p w14:paraId="082C1397" w14:textId="77777777" w:rsidR="009D4A93" w:rsidRPr="00536CFD" w:rsidRDefault="009D4A93" w:rsidP="009D4A93">
            <w:pPr>
              <w:spacing w:after="0"/>
              <w:jc w:val="center"/>
              <w:rPr>
                <w:lang w:val="zh-CN"/>
              </w:rPr>
            </w:pPr>
            <w:r w:rsidRPr="00536CFD">
              <w:rPr>
                <w:lang w:val="zh-CN"/>
              </w:rPr>
              <w:t>0.09</w:t>
            </w:r>
          </w:p>
        </w:tc>
        <w:tc>
          <w:tcPr>
            <w:tcW w:w="720" w:type="dxa"/>
            <w:tcBorders>
              <w:top w:val="single" w:sz="4" w:space="0" w:color="auto"/>
              <w:left w:val="nil"/>
              <w:bottom w:val="single" w:sz="4" w:space="0" w:color="auto"/>
              <w:right w:val="single" w:sz="4" w:space="0" w:color="auto"/>
            </w:tcBorders>
            <w:shd w:val="clear" w:color="auto" w:fill="auto"/>
          </w:tcPr>
          <w:p w14:paraId="1DF84C91" w14:textId="77777777" w:rsidR="009D4A93" w:rsidRPr="00536CFD" w:rsidRDefault="009D4A93" w:rsidP="009D4A93">
            <w:pPr>
              <w:spacing w:after="0"/>
              <w:jc w:val="center"/>
              <w:rPr>
                <w:lang w:val="zh-CN"/>
              </w:rPr>
            </w:pPr>
            <w:r w:rsidRPr="00536CFD">
              <w:rPr>
                <w:lang w:val="zh-CN"/>
              </w:rPr>
              <w:t>0.05</w:t>
            </w:r>
          </w:p>
        </w:tc>
        <w:tc>
          <w:tcPr>
            <w:tcW w:w="810" w:type="dxa"/>
            <w:tcBorders>
              <w:top w:val="single" w:sz="4" w:space="0" w:color="auto"/>
              <w:left w:val="nil"/>
              <w:bottom w:val="single" w:sz="4" w:space="0" w:color="auto"/>
              <w:right w:val="single" w:sz="4" w:space="0" w:color="auto"/>
            </w:tcBorders>
            <w:shd w:val="clear" w:color="auto" w:fill="auto"/>
          </w:tcPr>
          <w:p w14:paraId="599E1FCE" w14:textId="77777777" w:rsidR="009D4A93" w:rsidRPr="00536CFD" w:rsidRDefault="009D4A93" w:rsidP="009D4A93">
            <w:pPr>
              <w:spacing w:after="0"/>
              <w:jc w:val="center"/>
              <w:rPr>
                <w:lang w:val="zh-CN"/>
              </w:rPr>
            </w:pPr>
            <w:r w:rsidRPr="00536CFD">
              <w:rPr>
                <w:lang w:val="zh-CN"/>
              </w:rPr>
              <w:t>0.05</w:t>
            </w:r>
          </w:p>
        </w:tc>
        <w:tc>
          <w:tcPr>
            <w:tcW w:w="810" w:type="dxa"/>
            <w:tcBorders>
              <w:top w:val="single" w:sz="4" w:space="0" w:color="auto"/>
              <w:left w:val="nil"/>
              <w:bottom w:val="single" w:sz="4" w:space="0" w:color="auto"/>
              <w:right w:val="single" w:sz="4" w:space="0" w:color="auto"/>
            </w:tcBorders>
            <w:shd w:val="clear" w:color="auto" w:fill="auto"/>
          </w:tcPr>
          <w:p w14:paraId="22370677" w14:textId="77777777" w:rsidR="009D4A93" w:rsidRPr="00536CFD" w:rsidRDefault="009D4A93" w:rsidP="009D4A93">
            <w:pPr>
              <w:spacing w:after="0"/>
              <w:jc w:val="center"/>
              <w:rPr>
                <w:lang w:val="zh-CN"/>
              </w:rPr>
            </w:pPr>
            <w:r w:rsidRPr="00536CFD">
              <w:rPr>
                <w:lang w:val="zh-CN"/>
              </w:rPr>
              <w:t>0.18</w:t>
            </w:r>
          </w:p>
        </w:tc>
        <w:tc>
          <w:tcPr>
            <w:tcW w:w="820" w:type="dxa"/>
            <w:tcBorders>
              <w:top w:val="single" w:sz="4" w:space="0" w:color="auto"/>
              <w:left w:val="nil"/>
              <w:bottom w:val="single" w:sz="4" w:space="0" w:color="auto"/>
              <w:right w:val="single" w:sz="4" w:space="0" w:color="auto"/>
            </w:tcBorders>
            <w:shd w:val="clear" w:color="auto" w:fill="auto"/>
          </w:tcPr>
          <w:p w14:paraId="33FFDAE6" w14:textId="77777777" w:rsidR="009D4A93" w:rsidRPr="00536CFD" w:rsidRDefault="009D4A93" w:rsidP="009D4A93">
            <w:pPr>
              <w:spacing w:after="0"/>
              <w:jc w:val="center"/>
              <w:rPr>
                <w:lang w:val="zh-CN"/>
              </w:rPr>
            </w:pPr>
            <w:r w:rsidRPr="00536CFD">
              <w:rPr>
                <w:lang w:val="zh-CN"/>
              </w:rPr>
              <w:t>0.11</w:t>
            </w:r>
          </w:p>
        </w:tc>
        <w:tc>
          <w:tcPr>
            <w:tcW w:w="800" w:type="dxa"/>
            <w:tcBorders>
              <w:top w:val="single" w:sz="4" w:space="0" w:color="auto"/>
              <w:left w:val="nil"/>
              <w:bottom w:val="single" w:sz="4" w:space="0" w:color="auto"/>
              <w:right w:val="single" w:sz="4" w:space="0" w:color="auto"/>
            </w:tcBorders>
            <w:shd w:val="clear" w:color="auto" w:fill="auto"/>
          </w:tcPr>
          <w:p w14:paraId="797D70F5"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tcPr>
          <w:p w14:paraId="5C636B2D" w14:textId="77777777" w:rsidR="009D4A93" w:rsidRPr="00536CFD" w:rsidRDefault="009D4A93" w:rsidP="009D4A93">
            <w:pPr>
              <w:spacing w:after="0"/>
              <w:jc w:val="center"/>
              <w:rPr>
                <w:lang w:val="zh-CN"/>
              </w:rPr>
            </w:pPr>
            <w:r w:rsidRPr="00536CFD">
              <w:rPr>
                <w:lang w:val="zh-CN"/>
              </w:rPr>
              <w:t>0.06</w:t>
            </w:r>
          </w:p>
        </w:tc>
        <w:tc>
          <w:tcPr>
            <w:tcW w:w="724" w:type="dxa"/>
            <w:tcBorders>
              <w:top w:val="single" w:sz="4" w:space="0" w:color="auto"/>
              <w:left w:val="nil"/>
              <w:bottom w:val="single" w:sz="4" w:space="0" w:color="auto"/>
              <w:right w:val="single" w:sz="4" w:space="0" w:color="auto"/>
            </w:tcBorders>
            <w:shd w:val="clear" w:color="auto" w:fill="auto"/>
          </w:tcPr>
          <w:p w14:paraId="6D138712" w14:textId="77777777" w:rsidR="009D4A93" w:rsidRPr="00536CFD" w:rsidRDefault="009D4A93" w:rsidP="009D4A93">
            <w:pPr>
              <w:spacing w:after="0"/>
              <w:jc w:val="center"/>
              <w:rPr>
                <w:lang w:val="zh-CN"/>
              </w:rPr>
            </w:pPr>
            <w:r w:rsidRPr="00536CFD">
              <w:rPr>
                <w:lang w:val="zh-CN"/>
              </w:rPr>
              <w:t>0.32</w:t>
            </w:r>
          </w:p>
        </w:tc>
        <w:tc>
          <w:tcPr>
            <w:tcW w:w="896" w:type="dxa"/>
            <w:tcBorders>
              <w:top w:val="single" w:sz="4" w:space="0" w:color="auto"/>
              <w:left w:val="nil"/>
              <w:bottom w:val="single" w:sz="4" w:space="0" w:color="auto"/>
              <w:right w:val="single" w:sz="4" w:space="0" w:color="auto"/>
            </w:tcBorders>
            <w:shd w:val="clear" w:color="auto" w:fill="auto"/>
          </w:tcPr>
          <w:p w14:paraId="2131A2B2" w14:textId="77777777" w:rsidR="009D4A93" w:rsidRPr="00536CFD" w:rsidRDefault="009D4A93" w:rsidP="009D4A93">
            <w:pPr>
              <w:spacing w:after="0"/>
              <w:jc w:val="center"/>
              <w:rPr>
                <w:lang w:val="zh-CN"/>
              </w:rPr>
            </w:pPr>
            <w:r w:rsidRPr="00536CFD">
              <w:rPr>
                <w:lang w:val="zh-CN"/>
              </w:rPr>
              <w:t>0.12</w:t>
            </w:r>
          </w:p>
        </w:tc>
        <w:tc>
          <w:tcPr>
            <w:tcW w:w="720" w:type="dxa"/>
            <w:tcBorders>
              <w:top w:val="single" w:sz="4" w:space="0" w:color="auto"/>
              <w:left w:val="nil"/>
              <w:bottom w:val="single" w:sz="4" w:space="0" w:color="auto"/>
              <w:right w:val="single" w:sz="4" w:space="0" w:color="auto"/>
            </w:tcBorders>
            <w:shd w:val="clear" w:color="auto" w:fill="auto"/>
          </w:tcPr>
          <w:p w14:paraId="083B4289"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64743A43" w14:textId="77777777" w:rsidR="009D4A93" w:rsidRPr="00536CFD" w:rsidRDefault="009D4A93" w:rsidP="009D4A93">
            <w:pPr>
              <w:spacing w:after="0"/>
              <w:jc w:val="center"/>
              <w:rPr>
                <w:lang w:val="zh-CN"/>
              </w:rPr>
            </w:pPr>
            <w:r w:rsidRPr="00536CFD">
              <w:rPr>
                <w:lang w:val="zh-CN"/>
              </w:rPr>
              <w:t>0.06</w:t>
            </w:r>
          </w:p>
        </w:tc>
      </w:tr>
      <w:tr w:rsidR="009D4A93" w:rsidRPr="00536CFD" w14:paraId="62707F7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1D09503"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49F17B6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50187DD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center"/>
          </w:tcPr>
          <w:p w14:paraId="56A1070F" w14:textId="77777777" w:rsidR="009D4A93" w:rsidRPr="00536CFD" w:rsidRDefault="009D4A93" w:rsidP="009D4A93">
            <w:pPr>
              <w:spacing w:after="0"/>
              <w:jc w:val="center"/>
              <w:rPr>
                <w:lang w:val="zh-CN"/>
              </w:rPr>
            </w:pPr>
            <w:r w:rsidRPr="00536CFD">
              <w:rPr>
                <w:lang w:val="zh-CN"/>
              </w:rPr>
              <w:t>18.43</w:t>
            </w:r>
          </w:p>
        </w:tc>
        <w:tc>
          <w:tcPr>
            <w:tcW w:w="720" w:type="dxa"/>
            <w:tcBorders>
              <w:top w:val="single" w:sz="4" w:space="0" w:color="auto"/>
              <w:left w:val="nil"/>
              <w:bottom w:val="single" w:sz="4" w:space="0" w:color="auto"/>
              <w:right w:val="single" w:sz="4" w:space="0" w:color="auto"/>
            </w:tcBorders>
            <w:shd w:val="clear" w:color="auto" w:fill="auto"/>
            <w:vAlign w:val="center"/>
          </w:tcPr>
          <w:p w14:paraId="7A98B5BE" w14:textId="77777777" w:rsidR="009D4A93" w:rsidRPr="00536CFD" w:rsidRDefault="009D4A93" w:rsidP="009D4A93">
            <w:pPr>
              <w:spacing w:after="0"/>
              <w:jc w:val="center"/>
              <w:rPr>
                <w:lang w:val="zh-CN"/>
              </w:rPr>
            </w:pPr>
            <w:r w:rsidRPr="00536CFD">
              <w:rPr>
                <w:lang w:val="zh-CN"/>
              </w:rPr>
              <w:t>25.52</w:t>
            </w:r>
          </w:p>
        </w:tc>
        <w:tc>
          <w:tcPr>
            <w:tcW w:w="720" w:type="dxa"/>
            <w:tcBorders>
              <w:top w:val="single" w:sz="4" w:space="0" w:color="auto"/>
              <w:left w:val="nil"/>
              <w:bottom w:val="single" w:sz="4" w:space="0" w:color="auto"/>
              <w:right w:val="single" w:sz="4" w:space="0" w:color="auto"/>
            </w:tcBorders>
            <w:shd w:val="clear" w:color="auto" w:fill="auto"/>
            <w:vAlign w:val="center"/>
          </w:tcPr>
          <w:p w14:paraId="4F813E6C" w14:textId="77777777" w:rsidR="009D4A93" w:rsidRPr="00536CFD" w:rsidRDefault="009D4A93" w:rsidP="009D4A93">
            <w:pPr>
              <w:spacing w:after="0"/>
              <w:jc w:val="center"/>
              <w:rPr>
                <w:lang w:val="zh-CN"/>
              </w:rPr>
            </w:pPr>
            <w:r w:rsidRPr="00536CFD">
              <w:rPr>
                <w:lang w:val="zh-CN"/>
              </w:rPr>
              <w:t>27.56</w:t>
            </w:r>
          </w:p>
        </w:tc>
        <w:tc>
          <w:tcPr>
            <w:tcW w:w="810" w:type="dxa"/>
            <w:tcBorders>
              <w:top w:val="single" w:sz="4" w:space="0" w:color="auto"/>
              <w:left w:val="nil"/>
              <w:bottom w:val="single" w:sz="4" w:space="0" w:color="auto"/>
              <w:right w:val="single" w:sz="4" w:space="0" w:color="auto"/>
            </w:tcBorders>
            <w:shd w:val="clear" w:color="auto" w:fill="auto"/>
            <w:vAlign w:val="center"/>
          </w:tcPr>
          <w:p w14:paraId="2C448D94" w14:textId="77777777" w:rsidR="009D4A93" w:rsidRPr="00536CFD" w:rsidRDefault="009D4A93" w:rsidP="009D4A93">
            <w:pPr>
              <w:spacing w:after="0"/>
              <w:jc w:val="center"/>
              <w:rPr>
                <w:lang w:val="zh-CN"/>
              </w:rPr>
            </w:pPr>
            <w:r w:rsidRPr="00536CFD">
              <w:rPr>
                <w:lang w:val="zh-CN"/>
              </w:rPr>
              <w:t>34.53</w:t>
            </w:r>
          </w:p>
        </w:tc>
        <w:tc>
          <w:tcPr>
            <w:tcW w:w="810" w:type="dxa"/>
            <w:tcBorders>
              <w:top w:val="single" w:sz="4" w:space="0" w:color="auto"/>
              <w:left w:val="nil"/>
              <w:bottom w:val="single" w:sz="4" w:space="0" w:color="auto"/>
              <w:right w:val="single" w:sz="4" w:space="0" w:color="auto"/>
            </w:tcBorders>
            <w:shd w:val="clear" w:color="auto" w:fill="auto"/>
            <w:vAlign w:val="center"/>
          </w:tcPr>
          <w:p w14:paraId="5CF82029" w14:textId="77777777" w:rsidR="009D4A93" w:rsidRPr="00536CFD" w:rsidRDefault="009D4A93" w:rsidP="009D4A93">
            <w:pPr>
              <w:spacing w:after="0"/>
              <w:jc w:val="center"/>
              <w:rPr>
                <w:lang w:val="zh-CN"/>
              </w:rPr>
            </w:pPr>
            <w:r w:rsidRPr="00536CFD">
              <w:rPr>
                <w:lang w:val="zh-CN"/>
              </w:rPr>
              <w:t>6.98</w:t>
            </w:r>
          </w:p>
        </w:tc>
        <w:tc>
          <w:tcPr>
            <w:tcW w:w="820" w:type="dxa"/>
            <w:tcBorders>
              <w:top w:val="single" w:sz="4" w:space="0" w:color="auto"/>
              <w:left w:val="nil"/>
              <w:bottom w:val="single" w:sz="4" w:space="0" w:color="auto"/>
              <w:right w:val="single" w:sz="4" w:space="0" w:color="auto"/>
            </w:tcBorders>
            <w:shd w:val="clear" w:color="auto" w:fill="auto"/>
            <w:vAlign w:val="center"/>
          </w:tcPr>
          <w:p w14:paraId="35F6A3FB" w14:textId="77777777" w:rsidR="009D4A93" w:rsidRPr="00536CFD" w:rsidRDefault="009D4A93" w:rsidP="009D4A93">
            <w:pPr>
              <w:spacing w:after="0"/>
              <w:jc w:val="center"/>
              <w:rPr>
                <w:lang w:val="zh-CN"/>
              </w:rPr>
            </w:pPr>
            <w:r w:rsidRPr="00536CFD">
              <w:rPr>
                <w:lang w:val="zh-CN"/>
              </w:rPr>
              <w:t>17.7</w:t>
            </w:r>
          </w:p>
        </w:tc>
        <w:tc>
          <w:tcPr>
            <w:tcW w:w="800" w:type="dxa"/>
            <w:tcBorders>
              <w:top w:val="single" w:sz="4" w:space="0" w:color="auto"/>
              <w:left w:val="nil"/>
              <w:bottom w:val="single" w:sz="4" w:space="0" w:color="auto"/>
              <w:right w:val="single" w:sz="4" w:space="0" w:color="auto"/>
            </w:tcBorders>
            <w:shd w:val="clear" w:color="auto" w:fill="auto"/>
            <w:vAlign w:val="center"/>
          </w:tcPr>
          <w:p w14:paraId="51FD9AEA" w14:textId="77777777" w:rsidR="009D4A93" w:rsidRPr="00536CFD" w:rsidRDefault="009D4A93" w:rsidP="009D4A93">
            <w:pPr>
              <w:spacing w:after="0"/>
              <w:jc w:val="center"/>
              <w:rPr>
                <w:lang w:val="zh-CN"/>
              </w:rPr>
            </w:pPr>
            <w:r w:rsidRPr="00536CFD">
              <w:rPr>
                <w:lang w:val="zh-CN"/>
              </w:rPr>
              <w:t>19.27</w:t>
            </w:r>
          </w:p>
        </w:tc>
        <w:tc>
          <w:tcPr>
            <w:tcW w:w="720" w:type="dxa"/>
            <w:tcBorders>
              <w:top w:val="single" w:sz="4" w:space="0" w:color="auto"/>
              <w:left w:val="nil"/>
              <w:bottom w:val="single" w:sz="4" w:space="0" w:color="auto"/>
              <w:right w:val="single" w:sz="4" w:space="0" w:color="auto"/>
            </w:tcBorders>
            <w:shd w:val="clear" w:color="auto" w:fill="auto"/>
            <w:vAlign w:val="center"/>
          </w:tcPr>
          <w:p w14:paraId="092CEED5" w14:textId="77777777" w:rsidR="009D4A93" w:rsidRPr="00536CFD" w:rsidRDefault="009D4A93" w:rsidP="009D4A93">
            <w:pPr>
              <w:spacing w:after="0"/>
              <w:jc w:val="center"/>
              <w:rPr>
                <w:lang w:val="zh-CN"/>
              </w:rPr>
            </w:pPr>
            <w:r w:rsidRPr="00536CFD">
              <w:rPr>
                <w:lang w:val="zh-CN"/>
              </w:rPr>
              <w:t>27.88</w:t>
            </w:r>
          </w:p>
        </w:tc>
        <w:tc>
          <w:tcPr>
            <w:tcW w:w="724" w:type="dxa"/>
            <w:tcBorders>
              <w:top w:val="single" w:sz="4" w:space="0" w:color="auto"/>
              <w:left w:val="nil"/>
              <w:bottom w:val="single" w:sz="4" w:space="0" w:color="auto"/>
              <w:right w:val="single" w:sz="4" w:space="0" w:color="auto"/>
            </w:tcBorders>
            <w:shd w:val="clear" w:color="auto" w:fill="auto"/>
            <w:vAlign w:val="center"/>
          </w:tcPr>
          <w:p w14:paraId="1BD32378" w14:textId="77777777" w:rsidR="009D4A93" w:rsidRPr="00536CFD" w:rsidRDefault="009D4A93" w:rsidP="009D4A93">
            <w:pPr>
              <w:spacing w:after="0"/>
              <w:jc w:val="center"/>
              <w:rPr>
                <w:lang w:val="zh-CN"/>
              </w:rPr>
            </w:pPr>
            <w:r w:rsidRPr="00536CFD">
              <w:rPr>
                <w:lang w:val="zh-CN"/>
              </w:rPr>
              <w:t>1.49</w:t>
            </w:r>
          </w:p>
        </w:tc>
        <w:tc>
          <w:tcPr>
            <w:tcW w:w="896" w:type="dxa"/>
            <w:tcBorders>
              <w:top w:val="single" w:sz="4" w:space="0" w:color="auto"/>
              <w:left w:val="nil"/>
              <w:bottom w:val="single" w:sz="4" w:space="0" w:color="auto"/>
              <w:right w:val="single" w:sz="4" w:space="0" w:color="auto"/>
            </w:tcBorders>
            <w:shd w:val="clear" w:color="auto" w:fill="auto"/>
            <w:vAlign w:val="center"/>
          </w:tcPr>
          <w:p w14:paraId="0E046E04" w14:textId="77777777" w:rsidR="009D4A93" w:rsidRPr="00536CFD" w:rsidRDefault="009D4A93" w:rsidP="009D4A93">
            <w:pPr>
              <w:spacing w:after="0"/>
              <w:jc w:val="center"/>
              <w:rPr>
                <w:lang w:val="zh-CN"/>
              </w:rPr>
            </w:pPr>
            <w:r w:rsidRPr="00536CFD">
              <w:rPr>
                <w:lang w:val="zh-CN"/>
              </w:rPr>
              <w:t>12.15</w:t>
            </w:r>
          </w:p>
        </w:tc>
        <w:tc>
          <w:tcPr>
            <w:tcW w:w="720" w:type="dxa"/>
            <w:tcBorders>
              <w:top w:val="single" w:sz="4" w:space="0" w:color="auto"/>
              <w:left w:val="nil"/>
              <w:bottom w:val="single" w:sz="4" w:space="0" w:color="auto"/>
              <w:right w:val="single" w:sz="4" w:space="0" w:color="auto"/>
            </w:tcBorders>
            <w:shd w:val="clear" w:color="auto" w:fill="auto"/>
            <w:vAlign w:val="center"/>
          </w:tcPr>
          <w:p w14:paraId="5AFD4480" w14:textId="77777777" w:rsidR="009D4A93" w:rsidRPr="00536CFD" w:rsidRDefault="009D4A93" w:rsidP="009D4A93">
            <w:pPr>
              <w:spacing w:after="0"/>
              <w:jc w:val="center"/>
              <w:rPr>
                <w:lang w:val="zh-CN"/>
              </w:rPr>
            </w:pPr>
            <w:r w:rsidRPr="00536CFD">
              <w:rPr>
                <w:lang w:val="zh-CN"/>
              </w:rPr>
              <w:t>15.54</w:t>
            </w:r>
          </w:p>
        </w:tc>
        <w:tc>
          <w:tcPr>
            <w:tcW w:w="720" w:type="dxa"/>
            <w:tcBorders>
              <w:top w:val="single" w:sz="4" w:space="0" w:color="auto"/>
              <w:left w:val="nil"/>
              <w:bottom w:val="single" w:sz="4" w:space="0" w:color="auto"/>
              <w:right w:val="single" w:sz="4" w:space="0" w:color="auto"/>
            </w:tcBorders>
            <w:shd w:val="clear" w:color="auto" w:fill="auto"/>
            <w:vAlign w:val="center"/>
          </w:tcPr>
          <w:p w14:paraId="4139D36B" w14:textId="77777777" w:rsidR="009D4A93" w:rsidRPr="00536CFD" w:rsidRDefault="009D4A93" w:rsidP="009D4A93">
            <w:pPr>
              <w:spacing w:after="0"/>
              <w:jc w:val="center"/>
              <w:rPr>
                <w:lang w:val="zh-CN"/>
              </w:rPr>
            </w:pPr>
            <w:r w:rsidRPr="00536CFD">
              <w:rPr>
                <w:lang w:val="zh-CN"/>
              </w:rPr>
              <w:t>24.38</w:t>
            </w:r>
          </w:p>
        </w:tc>
      </w:tr>
      <w:tr w:rsidR="009D4A93" w:rsidRPr="00536CFD" w14:paraId="11BCD11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0D60E8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EF75FB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321305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center"/>
          </w:tcPr>
          <w:p w14:paraId="5B49B4CE" w14:textId="77777777" w:rsidR="009D4A93" w:rsidRPr="00536CFD" w:rsidRDefault="009D4A93" w:rsidP="009D4A93">
            <w:pPr>
              <w:spacing w:after="0"/>
              <w:jc w:val="center"/>
              <w:rPr>
                <w:lang w:val="zh-CN"/>
              </w:rPr>
            </w:pPr>
            <w:r w:rsidRPr="00536CFD">
              <w:rPr>
                <w:lang w:val="zh-CN"/>
              </w:rPr>
              <w:t>53.63</w:t>
            </w:r>
          </w:p>
        </w:tc>
        <w:tc>
          <w:tcPr>
            <w:tcW w:w="720" w:type="dxa"/>
            <w:tcBorders>
              <w:top w:val="single" w:sz="4" w:space="0" w:color="auto"/>
              <w:left w:val="nil"/>
              <w:bottom w:val="single" w:sz="4" w:space="0" w:color="auto"/>
              <w:right w:val="single" w:sz="4" w:space="0" w:color="auto"/>
            </w:tcBorders>
            <w:shd w:val="clear" w:color="auto" w:fill="auto"/>
            <w:vAlign w:val="center"/>
          </w:tcPr>
          <w:p w14:paraId="35AA2C43" w14:textId="77777777" w:rsidR="009D4A93" w:rsidRPr="00536CFD" w:rsidRDefault="009D4A93" w:rsidP="009D4A93">
            <w:pPr>
              <w:spacing w:after="0"/>
              <w:jc w:val="center"/>
              <w:rPr>
                <w:lang w:val="zh-CN"/>
              </w:rPr>
            </w:pPr>
            <w:r w:rsidRPr="00536CFD">
              <w:rPr>
                <w:lang w:val="zh-CN"/>
              </w:rPr>
              <w:t>70.6</w:t>
            </w:r>
          </w:p>
        </w:tc>
        <w:tc>
          <w:tcPr>
            <w:tcW w:w="720" w:type="dxa"/>
            <w:tcBorders>
              <w:top w:val="single" w:sz="4" w:space="0" w:color="auto"/>
              <w:left w:val="nil"/>
              <w:bottom w:val="single" w:sz="4" w:space="0" w:color="auto"/>
              <w:right w:val="single" w:sz="4" w:space="0" w:color="auto"/>
            </w:tcBorders>
            <w:shd w:val="clear" w:color="auto" w:fill="auto"/>
            <w:vAlign w:val="center"/>
          </w:tcPr>
          <w:p w14:paraId="5C70CF9E" w14:textId="77777777" w:rsidR="009D4A93" w:rsidRPr="00536CFD" w:rsidRDefault="009D4A93" w:rsidP="009D4A93">
            <w:pPr>
              <w:spacing w:after="0"/>
              <w:jc w:val="center"/>
              <w:rPr>
                <w:lang w:val="zh-CN"/>
              </w:rPr>
            </w:pPr>
            <w:r w:rsidRPr="00536CFD">
              <w:rPr>
                <w:lang w:val="zh-CN"/>
              </w:rPr>
              <w:t>78.99</w:t>
            </w:r>
          </w:p>
        </w:tc>
        <w:tc>
          <w:tcPr>
            <w:tcW w:w="810" w:type="dxa"/>
            <w:tcBorders>
              <w:top w:val="single" w:sz="4" w:space="0" w:color="auto"/>
              <w:left w:val="nil"/>
              <w:bottom w:val="single" w:sz="4" w:space="0" w:color="auto"/>
              <w:right w:val="single" w:sz="4" w:space="0" w:color="auto"/>
            </w:tcBorders>
            <w:shd w:val="clear" w:color="auto" w:fill="auto"/>
            <w:vAlign w:val="center"/>
          </w:tcPr>
          <w:p w14:paraId="6ED9D2F6" w14:textId="77777777" w:rsidR="009D4A93" w:rsidRPr="00536CFD" w:rsidRDefault="009D4A93" w:rsidP="009D4A93">
            <w:pPr>
              <w:spacing w:after="0"/>
              <w:jc w:val="center"/>
              <w:rPr>
                <w:lang w:val="zh-CN"/>
              </w:rPr>
            </w:pPr>
            <w:r w:rsidRPr="00536CFD">
              <w:rPr>
                <w:lang w:val="zh-CN"/>
              </w:rPr>
              <w:t>85.97</w:t>
            </w:r>
          </w:p>
        </w:tc>
        <w:tc>
          <w:tcPr>
            <w:tcW w:w="810" w:type="dxa"/>
            <w:tcBorders>
              <w:top w:val="single" w:sz="4" w:space="0" w:color="auto"/>
              <w:left w:val="nil"/>
              <w:bottom w:val="single" w:sz="4" w:space="0" w:color="auto"/>
              <w:right w:val="single" w:sz="4" w:space="0" w:color="auto"/>
            </w:tcBorders>
            <w:shd w:val="clear" w:color="auto" w:fill="auto"/>
            <w:vAlign w:val="center"/>
          </w:tcPr>
          <w:p w14:paraId="357F1D28" w14:textId="77777777" w:rsidR="009D4A93" w:rsidRPr="00536CFD" w:rsidRDefault="009D4A93" w:rsidP="009D4A93">
            <w:pPr>
              <w:spacing w:after="0"/>
              <w:jc w:val="center"/>
              <w:rPr>
                <w:lang w:val="zh-CN"/>
              </w:rPr>
            </w:pPr>
            <w:r w:rsidRPr="00536CFD">
              <w:rPr>
                <w:lang w:val="zh-CN"/>
              </w:rPr>
              <w:t>38.48</w:t>
            </w:r>
          </w:p>
        </w:tc>
        <w:tc>
          <w:tcPr>
            <w:tcW w:w="820" w:type="dxa"/>
            <w:tcBorders>
              <w:top w:val="single" w:sz="4" w:space="0" w:color="auto"/>
              <w:left w:val="nil"/>
              <w:bottom w:val="single" w:sz="4" w:space="0" w:color="auto"/>
              <w:right w:val="single" w:sz="4" w:space="0" w:color="auto"/>
            </w:tcBorders>
            <w:shd w:val="clear" w:color="auto" w:fill="auto"/>
            <w:vAlign w:val="center"/>
          </w:tcPr>
          <w:p w14:paraId="688E4FAF" w14:textId="77777777" w:rsidR="009D4A93" w:rsidRPr="00536CFD" w:rsidRDefault="009D4A93" w:rsidP="009D4A93">
            <w:pPr>
              <w:spacing w:after="0"/>
              <w:jc w:val="center"/>
              <w:rPr>
                <w:lang w:val="zh-CN"/>
              </w:rPr>
            </w:pPr>
            <w:r w:rsidRPr="00536CFD">
              <w:rPr>
                <w:lang w:val="zh-CN"/>
              </w:rPr>
              <w:t>58.61</w:t>
            </w:r>
          </w:p>
        </w:tc>
        <w:tc>
          <w:tcPr>
            <w:tcW w:w="800" w:type="dxa"/>
            <w:tcBorders>
              <w:top w:val="single" w:sz="4" w:space="0" w:color="auto"/>
              <w:left w:val="nil"/>
              <w:bottom w:val="single" w:sz="4" w:space="0" w:color="auto"/>
              <w:right w:val="single" w:sz="4" w:space="0" w:color="auto"/>
            </w:tcBorders>
            <w:shd w:val="clear" w:color="auto" w:fill="auto"/>
            <w:vAlign w:val="center"/>
          </w:tcPr>
          <w:p w14:paraId="3693E9B5" w14:textId="77777777" w:rsidR="009D4A93" w:rsidRPr="00536CFD" w:rsidRDefault="009D4A93" w:rsidP="009D4A93">
            <w:pPr>
              <w:spacing w:after="0"/>
              <w:jc w:val="center"/>
              <w:rPr>
                <w:lang w:val="zh-CN"/>
              </w:rPr>
            </w:pPr>
            <w:r w:rsidRPr="00536CFD">
              <w:rPr>
                <w:lang w:val="zh-CN"/>
              </w:rPr>
              <w:t>63.04</w:t>
            </w:r>
          </w:p>
        </w:tc>
        <w:tc>
          <w:tcPr>
            <w:tcW w:w="720" w:type="dxa"/>
            <w:tcBorders>
              <w:top w:val="single" w:sz="4" w:space="0" w:color="auto"/>
              <w:left w:val="nil"/>
              <w:bottom w:val="single" w:sz="4" w:space="0" w:color="auto"/>
              <w:right w:val="single" w:sz="4" w:space="0" w:color="auto"/>
            </w:tcBorders>
            <w:shd w:val="clear" w:color="auto" w:fill="auto"/>
            <w:vAlign w:val="center"/>
          </w:tcPr>
          <w:p w14:paraId="63798544" w14:textId="77777777" w:rsidR="009D4A93" w:rsidRPr="00536CFD" w:rsidRDefault="009D4A93" w:rsidP="009D4A93">
            <w:pPr>
              <w:spacing w:after="0"/>
              <w:jc w:val="center"/>
              <w:rPr>
                <w:lang w:val="zh-CN"/>
              </w:rPr>
            </w:pPr>
            <w:r w:rsidRPr="00536CFD">
              <w:rPr>
                <w:lang w:val="zh-CN"/>
              </w:rPr>
              <w:t>77.35</w:t>
            </w:r>
          </w:p>
        </w:tc>
        <w:tc>
          <w:tcPr>
            <w:tcW w:w="724" w:type="dxa"/>
            <w:tcBorders>
              <w:top w:val="single" w:sz="4" w:space="0" w:color="auto"/>
              <w:left w:val="nil"/>
              <w:bottom w:val="single" w:sz="4" w:space="0" w:color="auto"/>
              <w:right w:val="single" w:sz="4" w:space="0" w:color="auto"/>
            </w:tcBorders>
            <w:shd w:val="clear" w:color="auto" w:fill="auto"/>
            <w:vAlign w:val="center"/>
          </w:tcPr>
          <w:p w14:paraId="47FA6A9A" w14:textId="77777777" w:rsidR="009D4A93" w:rsidRPr="00536CFD" w:rsidRDefault="009D4A93" w:rsidP="009D4A93">
            <w:pPr>
              <w:spacing w:after="0"/>
              <w:jc w:val="center"/>
              <w:rPr>
                <w:lang w:val="zh-CN"/>
              </w:rPr>
            </w:pPr>
            <w:r w:rsidRPr="00536CFD">
              <w:rPr>
                <w:lang w:val="zh-CN"/>
              </w:rPr>
              <w:t>29.2</w:t>
            </w:r>
          </w:p>
        </w:tc>
        <w:tc>
          <w:tcPr>
            <w:tcW w:w="896" w:type="dxa"/>
            <w:tcBorders>
              <w:top w:val="single" w:sz="4" w:space="0" w:color="auto"/>
              <w:left w:val="nil"/>
              <w:bottom w:val="single" w:sz="4" w:space="0" w:color="auto"/>
              <w:right w:val="single" w:sz="4" w:space="0" w:color="auto"/>
            </w:tcBorders>
            <w:shd w:val="clear" w:color="auto" w:fill="auto"/>
            <w:vAlign w:val="center"/>
          </w:tcPr>
          <w:p w14:paraId="6CD87B2C" w14:textId="77777777" w:rsidR="009D4A93" w:rsidRPr="00536CFD" w:rsidRDefault="009D4A93" w:rsidP="009D4A93">
            <w:pPr>
              <w:spacing w:after="0"/>
              <w:jc w:val="center"/>
              <w:rPr>
                <w:lang w:val="zh-CN"/>
              </w:rPr>
            </w:pPr>
            <w:r w:rsidRPr="00536CFD">
              <w:rPr>
                <w:lang w:val="zh-CN"/>
              </w:rPr>
              <w:t>53.89</w:t>
            </w:r>
          </w:p>
        </w:tc>
        <w:tc>
          <w:tcPr>
            <w:tcW w:w="720" w:type="dxa"/>
            <w:tcBorders>
              <w:top w:val="single" w:sz="4" w:space="0" w:color="auto"/>
              <w:left w:val="nil"/>
              <w:bottom w:val="single" w:sz="4" w:space="0" w:color="auto"/>
              <w:right w:val="single" w:sz="4" w:space="0" w:color="auto"/>
            </w:tcBorders>
            <w:shd w:val="clear" w:color="auto" w:fill="auto"/>
            <w:vAlign w:val="center"/>
          </w:tcPr>
          <w:p w14:paraId="47FA3009" w14:textId="77777777" w:rsidR="009D4A93" w:rsidRPr="00536CFD" w:rsidRDefault="009D4A93" w:rsidP="009D4A93">
            <w:pPr>
              <w:spacing w:after="0"/>
              <w:jc w:val="center"/>
              <w:rPr>
                <w:lang w:val="zh-CN"/>
              </w:rPr>
            </w:pPr>
            <w:r w:rsidRPr="00536CFD">
              <w:rPr>
                <w:lang w:val="zh-CN"/>
              </w:rPr>
              <w:t>55.19</w:t>
            </w:r>
          </w:p>
        </w:tc>
        <w:tc>
          <w:tcPr>
            <w:tcW w:w="720" w:type="dxa"/>
            <w:tcBorders>
              <w:top w:val="single" w:sz="4" w:space="0" w:color="auto"/>
              <w:left w:val="nil"/>
              <w:bottom w:val="single" w:sz="4" w:space="0" w:color="auto"/>
              <w:right w:val="single" w:sz="4" w:space="0" w:color="auto"/>
            </w:tcBorders>
            <w:shd w:val="clear" w:color="auto" w:fill="auto"/>
            <w:vAlign w:val="center"/>
          </w:tcPr>
          <w:p w14:paraId="64119638" w14:textId="77777777" w:rsidR="009D4A93" w:rsidRPr="00536CFD" w:rsidRDefault="009D4A93" w:rsidP="009D4A93">
            <w:pPr>
              <w:spacing w:after="0"/>
              <w:jc w:val="center"/>
              <w:rPr>
                <w:lang w:val="zh-CN"/>
              </w:rPr>
            </w:pPr>
            <w:r w:rsidRPr="00536CFD">
              <w:rPr>
                <w:lang w:val="zh-CN"/>
              </w:rPr>
              <w:t>70.51</w:t>
            </w:r>
          </w:p>
        </w:tc>
      </w:tr>
      <w:tr w:rsidR="009D4A93" w:rsidRPr="00536CFD" w14:paraId="4B50FB9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3AE24A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AC1684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8CA091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center"/>
          </w:tcPr>
          <w:p w14:paraId="49CB9205" w14:textId="77777777" w:rsidR="009D4A93" w:rsidRPr="00536CFD" w:rsidRDefault="009D4A93" w:rsidP="009D4A93">
            <w:pPr>
              <w:spacing w:after="0"/>
              <w:jc w:val="center"/>
              <w:rPr>
                <w:lang w:val="zh-CN"/>
              </w:rPr>
            </w:pPr>
            <w:r w:rsidRPr="00536CFD">
              <w:rPr>
                <w:lang w:val="zh-CN"/>
              </w:rPr>
              <w:t>79.2</w:t>
            </w:r>
          </w:p>
        </w:tc>
        <w:tc>
          <w:tcPr>
            <w:tcW w:w="720" w:type="dxa"/>
            <w:tcBorders>
              <w:top w:val="single" w:sz="4" w:space="0" w:color="auto"/>
              <w:left w:val="nil"/>
              <w:bottom w:val="single" w:sz="4" w:space="0" w:color="auto"/>
              <w:right w:val="single" w:sz="4" w:space="0" w:color="auto"/>
            </w:tcBorders>
            <w:shd w:val="clear" w:color="auto" w:fill="auto"/>
            <w:vAlign w:val="center"/>
          </w:tcPr>
          <w:p w14:paraId="21AD9B6A" w14:textId="77777777" w:rsidR="009D4A93" w:rsidRPr="00536CFD" w:rsidRDefault="009D4A93" w:rsidP="009D4A93">
            <w:pPr>
              <w:spacing w:after="0"/>
              <w:jc w:val="center"/>
              <w:rPr>
                <w:lang w:val="zh-CN"/>
              </w:rPr>
            </w:pPr>
            <w:r w:rsidRPr="00536CFD">
              <w:rPr>
                <w:lang w:val="zh-CN"/>
              </w:rPr>
              <w:t>79.41</w:t>
            </w:r>
          </w:p>
        </w:tc>
        <w:tc>
          <w:tcPr>
            <w:tcW w:w="720" w:type="dxa"/>
            <w:tcBorders>
              <w:top w:val="single" w:sz="4" w:space="0" w:color="auto"/>
              <w:left w:val="nil"/>
              <w:bottom w:val="single" w:sz="4" w:space="0" w:color="auto"/>
              <w:right w:val="single" w:sz="4" w:space="0" w:color="auto"/>
            </w:tcBorders>
            <w:shd w:val="clear" w:color="auto" w:fill="auto"/>
            <w:vAlign w:val="center"/>
          </w:tcPr>
          <w:p w14:paraId="1C3003EE" w14:textId="77777777" w:rsidR="009D4A93" w:rsidRPr="00536CFD" w:rsidRDefault="009D4A93" w:rsidP="009D4A93">
            <w:pPr>
              <w:spacing w:after="0"/>
              <w:jc w:val="center"/>
              <w:rPr>
                <w:lang w:val="zh-CN"/>
              </w:rPr>
            </w:pPr>
            <w:r w:rsidRPr="00536CFD">
              <w:rPr>
                <w:lang w:val="zh-CN"/>
              </w:rPr>
              <w:t>93.45</w:t>
            </w:r>
          </w:p>
        </w:tc>
        <w:tc>
          <w:tcPr>
            <w:tcW w:w="810" w:type="dxa"/>
            <w:tcBorders>
              <w:top w:val="single" w:sz="4" w:space="0" w:color="auto"/>
              <w:left w:val="nil"/>
              <w:bottom w:val="single" w:sz="4" w:space="0" w:color="auto"/>
              <w:right w:val="single" w:sz="4" w:space="0" w:color="auto"/>
            </w:tcBorders>
            <w:shd w:val="clear" w:color="auto" w:fill="auto"/>
            <w:vAlign w:val="center"/>
          </w:tcPr>
          <w:p w14:paraId="791393CE" w14:textId="77777777" w:rsidR="009D4A93" w:rsidRPr="00536CFD" w:rsidRDefault="009D4A93" w:rsidP="009D4A93">
            <w:pPr>
              <w:spacing w:after="0"/>
              <w:jc w:val="center"/>
              <w:rPr>
                <w:lang w:val="zh-CN"/>
              </w:rPr>
            </w:pPr>
            <w:r w:rsidRPr="00536CFD">
              <w:rPr>
                <w:lang w:val="zh-CN"/>
              </w:rPr>
              <w:t>93.47</w:t>
            </w:r>
          </w:p>
        </w:tc>
        <w:tc>
          <w:tcPr>
            <w:tcW w:w="810" w:type="dxa"/>
            <w:tcBorders>
              <w:top w:val="single" w:sz="4" w:space="0" w:color="auto"/>
              <w:left w:val="nil"/>
              <w:bottom w:val="single" w:sz="4" w:space="0" w:color="auto"/>
              <w:right w:val="single" w:sz="4" w:space="0" w:color="auto"/>
            </w:tcBorders>
            <w:shd w:val="clear" w:color="auto" w:fill="auto"/>
            <w:vAlign w:val="center"/>
          </w:tcPr>
          <w:p w14:paraId="7F1A3793" w14:textId="77777777" w:rsidR="009D4A93" w:rsidRPr="00536CFD" w:rsidRDefault="009D4A93" w:rsidP="009D4A93">
            <w:pPr>
              <w:spacing w:after="0"/>
              <w:jc w:val="center"/>
              <w:rPr>
                <w:lang w:val="zh-CN"/>
              </w:rPr>
            </w:pPr>
            <w:r w:rsidRPr="00536CFD">
              <w:rPr>
                <w:lang w:val="zh-CN"/>
              </w:rPr>
              <w:t>78.72</w:t>
            </w:r>
          </w:p>
        </w:tc>
        <w:tc>
          <w:tcPr>
            <w:tcW w:w="820" w:type="dxa"/>
            <w:tcBorders>
              <w:top w:val="single" w:sz="4" w:space="0" w:color="auto"/>
              <w:left w:val="nil"/>
              <w:bottom w:val="single" w:sz="4" w:space="0" w:color="auto"/>
              <w:right w:val="single" w:sz="4" w:space="0" w:color="auto"/>
            </w:tcBorders>
            <w:shd w:val="clear" w:color="auto" w:fill="auto"/>
            <w:vAlign w:val="center"/>
          </w:tcPr>
          <w:p w14:paraId="2BD2F86A" w14:textId="77777777" w:rsidR="009D4A93" w:rsidRPr="00536CFD" w:rsidRDefault="009D4A93" w:rsidP="009D4A93">
            <w:pPr>
              <w:spacing w:after="0"/>
              <w:jc w:val="center"/>
              <w:rPr>
                <w:lang w:val="zh-CN"/>
              </w:rPr>
            </w:pPr>
            <w:r w:rsidRPr="00536CFD">
              <w:rPr>
                <w:lang w:val="zh-CN"/>
              </w:rPr>
              <w:t>79.34</w:t>
            </w:r>
          </w:p>
        </w:tc>
        <w:tc>
          <w:tcPr>
            <w:tcW w:w="800" w:type="dxa"/>
            <w:tcBorders>
              <w:top w:val="single" w:sz="4" w:space="0" w:color="auto"/>
              <w:left w:val="nil"/>
              <w:bottom w:val="single" w:sz="4" w:space="0" w:color="auto"/>
              <w:right w:val="single" w:sz="4" w:space="0" w:color="auto"/>
            </w:tcBorders>
            <w:shd w:val="clear" w:color="auto" w:fill="auto"/>
            <w:vAlign w:val="center"/>
          </w:tcPr>
          <w:p w14:paraId="5790D7A4" w14:textId="77777777" w:rsidR="009D4A93" w:rsidRPr="00536CFD" w:rsidRDefault="009D4A93" w:rsidP="009D4A93">
            <w:pPr>
              <w:spacing w:after="0"/>
              <w:jc w:val="center"/>
              <w:rPr>
                <w:lang w:val="zh-CN"/>
              </w:rPr>
            </w:pPr>
            <w:r w:rsidRPr="00536CFD">
              <w:rPr>
                <w:lang w:val="zh-CN"/>
              </w:rPr>
              <w:t>93.44</w:t>
            </w:r>
          </w:p>
        </w:tc>
        <w:tc>
          <w:tcPr>
            <w:tcW w:w="720" w:type="dxa"/>
            <w:tcBorders>
              <w:top w:val="single" w:sz="4" w:space="0" w:color="auto"/>
              <w:left w:val="nil"/>
              <w:bottom w:val="single" w:sz="4" w:space="0" w:color="auto"/>
              <w:right w:val="single" w:sz="4" w:space="0" w:color="auto"/>
            </w:tcBorders>
            <w:shd w:val="clear" w:color="auto" w:fill="auto"/>
            <w:vAlign w:val="center"/>
          </w:tcPr>
          <w:p w14:paraId="6AADA650" w14:textId="77777777" w:rsidR="009D4A93" w:rsidRPr="00536CFD" w:rsidRDefault="009D4A93" w:rsidP="009D4A93">
            <w:pPr>
              <w:spacing w:after="0"/>
              <w:jc w:val="center"/>
              <w:rPr>
                <w:lang w:val="zh-CN"/>
              </w:rPr>
            </w:pPr>
            <w:r w:rsidRPr="00536CFD">
              <w:rPr>
                <w:lang w:val="zh-CN"/>
              </w:rPr>
              <w:t>93.46</w:t>
            </w:r>
          </w:p>
        </w:tc>
        <w:tc>
          <w:tcPr>
            <w:tcW w:w="724" w:type="dxa"/>
            <w:tcBorders>
              <w:top w:val="single" w:sz="4" w:space="0" w:color="auto"/>
              <w:left w:val="nil"/>
              <w:bottom w:val="single" w:sz="4" w:space="0" w:color="auto"/>
              <w:right w:val="single" w:sz="4" w:space="0" w:color="auto"/>
            </w:tcBorders>
            <w:shd w:val="clear" w:color="auto" w:fill="auto"/>
            <w:vAlign w:val="center"/>
          </w:tcPr>
          <w:p w14:paraId="22D22EF2" w14:textId="77777777" w:rsidR="009D4A93" w:rsidRPr="00536CFD" w:rsidRDefault="009D4A93" w:rsidP="009D4A93">
            <w:pPr>
              <w:spacing w:after="0"/>
              <w:jc w:val="center"/>
              <w:rPr>
                <w:lang w:val="zh-CN"/>
              </w:rPr>
            </w:pPr>
            <w:r w:rsidRPr="00536CFD">
              <w:rPr>
                <w:lang w:val="zh-CN"/>
              </w:rPr>
              <w:t>77.61</w:t>
            </w:r>
          </w:p>
        </w:tc>
        <w:tc>
          <w:tcPr>
            <w:tcW w:w="896" w:type="dxa"/>
            <w:tcBorders>
              <w:top w:val="single" w:sz="4" w:space="0" w:color="auto"/>
              <w:left w:val="nil"/>
              <w:bottom w:val="single" w:sz="4" w:space="0" w:color="auto"/>
              <w:right w:val="single" w:sz="4" w:space="0" w:color="auto"/>
            </w:tcBorders>
            <w:shd w:val="clear" w:color="auto" w:fill="auto"/>
            <w:vAlign w:val="center"/>
          </w:tcPr>
          <w:p w14:paraId="745FB242" w14:textId="77777777" w:rsidR="009D4A93" w:rsidRPr="00536CFD" w:rsidRDefault="009D4A93" w:rsidP="009D4A93">
            <w:pPr>
              <w:spacing w:after="0"/>
              <w:jc w:val="center"/>
              <w:rPr>
                <w:lang w:val="zh-CN"/>
              </w:rPr>
            </w:pPr>
            <w:r w:rsidRPr="00536CFD">
              <w:rPr>
                <w:lang w:val="zh-CN"/>
              </w:rPr>
              <w:t>79.23</w:t>
            </w:r>
          </w:p>
        </w:tc>
        <w:tc>
          <w:tcPr>
            <w:tcW w:w="720" w:type="dxa"/>
            <w:tcBorders>
              <w:top w:val="single" w:sz="4" w:space="0" w:color="auto"/>
              <w:left w:val="nil"/>
              <w:bottom w:val="single" w:sz="4" w:space="0" w:color="auto"/>
              <w:right w:val="single" w:sz="4" w:space="0" w:color="auto"/>
            </w:tcBorders>
            <w:shd w:val="clear" w:color="auto" w:fill="auto"/>
            <w:vAlign w:val="center"/>
          </w:tcPr>
          <w:p w14:paraId="16467E99" w14:textId="77777777" w:rsidR="009D4A93" w:rsidRPr="00536CFD" w:rsidRDefault="009D4A93" w:rsidP="009D4A93">
            <w:pPr>
              <w:spacing w:after="0"/>
              <w:jc w:val="center"/>
              <w:rPr>
                <w:lang w:val="zh-CN"/>
              </w:rPr>
            </w:pPr>
            <w:r w:rsidRPr="00536CFD">
              <w:rPr>
                <w:lang w:val="zh-CN"/>
              </w:rPr>
              <w:t>93.38</w:t>
            </w:r>
          </w:p>
        </w:tc>
        <w:tc>
          <w:tcPr>
            <w:tcW w:w="720" w:type="dxa"/>
            <w:tcBorders>
              <w:top w:val="single" w:sz="4" w:space="0" w:color="auto"/>
              <w:left w:val="nil"/>
              <w:bottom w:val="single" w:sz="4" w:space="0" w:color="auto"/>
              <w:right w:val="single" w:sz="4" w:space="0" w:color="auto"/>
            </w:tcBorders>
            <w:shd w:val="clear" w:color="auto" w:fill="auto"/>
            <w:vAlign w:val="center"/>
          </w:tcPr>
          <w:p w14:paraId="2973675C" w14:textId="77777777" w:rsidR="009D4A93" w:rsidRPr="00536CFD" w:rsidRDefault="009D4A93" w:rsidP="009D4A93">
            <w:pPr>
              <w:spacing w:after="0"/>
              <w:jc w:val="center"/>
              <w:rPr>
                <w:lang w:val="zh-CN"/>
              </w:rPr>
            </w:pPr>
            <w:r w:rsidRPr="00536CFD">
              <w:rPr>
                <w:lang w:val="zh-CN"/>
              </w:rPr>
              <w:t>93.44</w:t>
            </w:r>
          </w:p>
        </w:tc>
      </w:tr>
      <w:tr w:rsidR="009D4A93" w:rsidRPr="00536CFD" w14:paraId="222E6D4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CD1323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08037B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1E5D86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center"/>
          </w:tcPr>
          <w:p w14:paraId="79AC6D84" w14:textId="77777777" w:rsidR="009D4A93" w:rsidRPr="00536CFD" w:rsidRDefault="009D4A93" w:rsidP="009D4A93">
            <w:pPr>
              <w:spacing w:after="0"/>
              <w:jc w:val="center"/>
              <w:rPr>
                <w:lang w:val="zh-CN"/>
              </w:rPr>
            </w:pPr>
            <w:r w:rsidRPr="00536CFD">
              <w:rPr>
                <w:lang w:val="zh-CN"/>
              </w:rPr>
              <w:t>53.4</w:t>
            </w:r>
          </w:p>
        </w:tc>
        <w:tc>
          <w:tcPr>
            <w:tcW w:w="720" w:type="dxa"/>
            <w:tcBorders>
              <w:top w:val="single" w:sz="4" w:space="0" w:color="auto"/>
              <w:left w:val="nil"/>
              <w:bottom w:val="single" w:sz="4" w:space="0" w:color="auto"/>
              <w:right w:val="single" w:sz="4" w:space="0" w:color="auto"/>
            </w:tcBorders>
            <w:shd w:val="clear" w:color="auto" w:fill="auto"/>
            <w:vAlign w:val="center"/>
          </w:tcPr>
          <w:p w14:paraId="66F254CA" w14:textId="77777777" w:rsidR="009D4A93" w:rsidRPr="00536CFD" w:rsidRDefault="009D4A93" w:rsidP="009D4A93">
            <w:pPr>
              <w:spacing w:after="0"/>
              <w:jc w:val="center"/>
              <w:rPr>
                <w:lang w:val="zh-CN"/>
              </w:rPr>
            </w:pPr>
            <w:r w:rsidRPr="00536CFD">
              <w:rPr>
                <w:lang w:val="zh-CN"/>
              </w:rPr>
              <w:t>62</w:t>
            </w:r>
          </w:p>
        </w:tc>
        <w:tc>
          <w:tcPr>
            <w:tcW w:w="720" w:type="dxa"/>
            <w:tcBorders>
              <w:top w:val="single" w:sz="4" w:space="0" w:color="auto"/>
              <w:left w:val="nil"/>
              <w:bottom w:val="single" w:sz="4" w:space="0" w:color="auto"/>
              <w:right w:val="single" w:sz="4" w:space="0" w:color="auto"/>
            </w:tcBorders>
            <w:shd w:val="clear" w:color="auto" w:fill="auto"/>
            <w:vAlign w:val="center"/>
          </w:tcPr>
          <w:p w14:paraId="79ABC2B0" w14:textId="77777777" w:rsidR="009D4A93" w:rsidRPr="00536CFD" w:rsidRDefault="009D4A93" w:rsidP="009D4A93">
            <w:pPr>
              <w:spacing w:after="0"/>
              <w:jc w:val="center"/>
              <w:rPr>
                <w:lang w:val="zh-CN"/>
              </w:rPr>
            </w:pPr>
            <w:r w:rsidRPr="00536CFD">
              <w:rPr>
                <w:lang w:val="zh-CN"/>
              </w:rPr>
              <w:t>71.19</w:t>
            </w:r>
          </w:p>
        </w:tc>
        <w:tc>
          <w:tcPr>
            <w:tcW w:w="810" w:type="dxa"/>
            <w:tcBorders>
              <w:top w:val="single" w:sz="4" w:space="0" w:color="auto"/>
              <w:left w:val="nil"/>
              <w:bottom w:val="single" w:sz="4" w:space="0" w:color="auto"/>
              <w:right w:val="single" w:sz="4" w:space="0" w:color="auto"/>
            </w:tcBorders>
            <w:shd w:val="clear" w:color="auto" w:fill="auto"/>
            <w:vAlign w:val="center"/>
          </w:tcPr>
          <w:p w14:paraId="4D58DD10" w14:textId="77777777" w:rsidR="009D4A93" w:rsidRPr="00536CFD" w:rsidRDefault="009D4A93" w:rsidP="009D4A93">
            <w:pPr>
              <w:spacing w:after="0"/>
              <w:jc w:val="center"/>
              <w:rPr>
                <w:lang w:val="zh-CN"/>
              </w:rPr>
            </w:pPr>
            <w:r w:rsidRPr="00536CFD">
              <w:rPr>
                <w:lang w:val="zh-CN"/>
              </w:rPr>
              <w:t>75.7</w:t>
            </w:r>
          </w:p>
        </w:tc>
        <w:tc>
          <w:tcPr>
            <w:tcW w:w="810" w:type="dxa"/>
            <w:tcBorders>
              <w:top w:val="single" w:sz="4" w:space="0" w:color="auto"/>
              <w:left w:val="nil"/>
              <w:bottom w:val="single" w:sz="4" w:space="0" w:color="auto"/>
              <w:right w:val="single" w:sz="4" w:space="0" w:color="auto"/>
            </w:tcBorders>
            <w:shd w:val="clear" w:color="auto" w:fill="auto"/>
            <w:vAlign w:val="center"/>
          </w:tcPr>
          <w:p w14:paraId="652583DB" w14:textId="77777777" w:rsidR="009D4A93" w:rsidRPr="00536CFD" w:rsidRDefault="009D4A93" w:rsidP="009D4A93">
            <w:pPr>
              <w:spacing w:after="0"/>
              <w:jc w:val="center"/>
              <w:rPr>
                <w:lang w:val="zh-CN"/>
              </w:rPr>
            </w:pPr>
            <w:r w:rsidRPr="00536CFD">
              <w:rPr>
                <w:lang w:val="zh-CN"/>
              </w:rPr>
              <w:t>40.75</w:t>
            </w:r>
          </w:p>
        </w:tc>
        <w:tc>
          <w:tcPr>
            <w:tcW w:w="820" w:type="dxa"/>
            <w:tcBorders>
              <w:top w:val="single" w:sz="4" w:space="0" w:color="auto"/>
              <w:left w:val="nil"/>
              <w:bottom w:val="single" w:sz="4" w:space="0" w:color="auto"/>
              <w:right w:val="single" w:sz="4" w:space="0" w:color="auto"/>
            </w:tcBorders>
            <w:shd w:val="clear" w:color="auto" w:fill="auto"/>
            <w:vAlign w:val="center"/>
          </w:tcPr>
          <w:p w14:paraId="6B40489D" w14:textId="77777777" w:rsidR="009D4A93" w:rsidRPr="00536CFD" w:rsidRDefault="009D4A93" w:rsidP="009D4A93">
            <w:pPr>
              <w:spacing w:after="0"/>
              <w:jc w:val="center"/>
              <w:rPr>
                <w:lang w:val="zh-CN"/>
              </w:rPr>
            </w:pPr>
            <w:r w:rsidRPr="00536CFD">
              <w:rPr>
                <w:lang w:val="zh-CN"/>
              </w:rPr>
              <w:t>55.84</w:t>
            </w:r>
          </w:p>
        </w:tc>
        <w:tc>
          <w:tcPr>
            <w:tcW w:w="800" w:type="dxa"/>
            <w:tcBorders>
              <w:top w:val="single" w:sz="4" w:space="0" w:color="auto"/>
              <w:left w:val="nil"/>
              <w:bottom w:val="single" w:sz="4" w:space="0" w:color="auto"/>
              <w:right w:val="single" w:sz="4" w:space="0" w:color="auto"/>
            </w:tcBorders>
            <w:shd w:val="clear" w:color="auto" w:fill="auto"/>
            <w:vAlign w:val="center"/>
          </w:tcPr>
          <w:p w14:paraId="1C2EA9FF" w14:textId="77777777" w:rsidR="009D4A93" w:rsidRPr="00536CFD" w:rsidRDefault="009D4A93" w:rsidP="009D4A93">
            <w:pPr>
              <w:spacing w:after="0"/>
              <w:jc w:val="center"/>
              <w:rPr>
                <w:lang w:val="zh-CN"/>
              </w:rPr>
            </w:pPr>
            <w:r w:rsidRPr="00536CFD">
              <w:rPr>
                <w:lang w:val="zh-CN"/>
              </w:rPr>
              <w:t>62.69</w:t>
            </w:r>
          </w:p>
        </w:tc>
        <w:tc>
          <w:tcPr>
            <w:tcW w:w="720" w:type="dxa"/>
            <w:tcBorders>
              <w:top w:val="single" w:sz="4" w:space="0" w:color="auto"/>
              <w:left w:val="nil"/>
              <w:bottom w:val="single" w:sz="4" w:space="0" w:color="auto"/>
              <w:right w:val="single" w:sz="4" w:space="0" w:color="auto"/>
            </w:tcBorders>
            <w:shd w:val="clear" w:color="auto" w:fill="auto"/>
            <w:vAlign w:val="center"/>
          </w:tcPr>
          <w:p w14:paraId="453C51F6" w14:textId="77777777" w:rsidR="009D4A93" w:rsidRPr="00536CFD" w:rsidRDefault="009D4A93" w:rsidP="009D4A93">
            <w:pPr>
              <w:spacing w:after="0"/>
              <w:jc w:val="center"/>
              <w:rPr>
                <w:lang w:val="zh-CN"/>
              </w:rPr>
            </w:pPr>
            <w:r w:rsidRPr="00536CFD">
              <w:rPr>
                <w:lang w:val="zh-CN"/>
              </w:rPr>
              <w:t>69.87</w:t>
            </w:r>
          </w:p>
        </w:tc>
        <w:tc>
          <w:tcPr>
            <w:tcW w:w="724" w:type="dxa"/>
            <w:tcBorders>
              <w:top w:val="single" w:sz="4" w:space="0" w:color="auto"/>
              <w:left w:val="nil"/>
              <w:bottom w:val="single" w:sz="4" w:space="0" w:color="auto"/>
              <w:right w:val="single" w:sz="4" w:space="0" w:color="auto"/>
            </w:tcBorders>
            <w:shd w:val="clear" w:color="auto" w:fill="auto"/>
            <w:vAlign w:val="center"/>
          </w:tcPr>
          <w:p w14:paraId="3621184B" w14:textId="77777777" w:rsidR="009D4A93" w:rsidRPr="00536CFD" w:rsidRDefault="009D4A93" w:rsidP="009D4A93">
            <w:pPr>
              <w:spacing w:after="0"/>
              <w:jc w:val="center"/>
              <w:rPr>
                <w:lang w:val="zh-CN"/>
              </w:rPr>
            </w:pPr>
            <w:r w:rsidRPr="00536CFD">
              <w:rPr>
                <w:lang w:val="zh-CN"/>
              </w:rPr>
              <w:t>31.98</w:t>
            </w:r>
          </w:p>
        </w:tc>
        <w:tc>
          <w:tcPr>
            <w:tcW w:w="896" w:type="dxa"/>
            <w:tcBorders>
              <w:top w:val="single" w:sz="4" w:space="0" w:color="auto"/>
              <w:left w:val="nil"/>
              <w:bottom w:val="single" w:sz="4" w:space="0" w:color="auto"/>
              <w:right w:val="single" w:sz="4" w:space="0" w:color="auto"/>
            </w:tcBorders>
            <w:shd w:val="clear" w:color="auto" w:fill="auto"/>
            <w:vAlign w:val="center"/>
          </w:tcPr>
          <w:p w14:paraId="2EADCB7D" w14:textId="77777777" w:rsidR="009D4A93" w:rsidRPr="00536CFD" w:rsidRDefault="009D4A93" w:rsidP="009D4A93">
            <w:pPr>
              <w:spacing w:after="0"/>
              <w:jc w:val="center"/>
              <w:rPr>
                <w:lang w:val="zh-CN"/>
              </w:rPr>
            </w:pPr>
            <w:r w:rsidRPr="00536CFD">
              <w:rPr>
                <w:lang w:val="zh-CN"/>
              </w:rPr>
              <w:t>52.07</w:t>
            </w:r>
          </w:p>
        </w:tc>
        <w:tc>
          <w:tcPr>
            <w:tcW w:w="720" w:type="dxa"/>
            <w:tcBorders>
              <w:top w:val="single" w:sz="4" w:space="0" w:color="auto"/>
              <w:left w:val="nil"/>
              <w:bottom w:val="single" w:sz="4" w:space="0" w:color="auto"/>
              <w:right w:val="single" w:sz="4" w:space="0" w:color="auto"/>
            </w:tcBorders>
            <w:shd w:val="clear" w:color="auto" w:fill="auto"/>
            <w:vAlign w:val="center"/>
          </w:tcPr>
          <w:p w14:paraId="5C6456DF" w14:textId="77777777" w:rsidR="009D4A93" w:rsidRPr="00536CFD" w:rsidRDefault="009D4A93" w:rsidP="009D4A93">
            <w:pPr>
              <w:spacing w:after="0"/>
              <w:jc w:val="center"/>
              <w:rPr>
                <w:lang w:val="zh-CN"/>
              </w:rPr>
            </w:pPr>
            <w:r w:rsidRPr="00536CFD">
              <w:rPr>
                <w:lang w:val="zh-CN"/>
              </w:rPr>
              <w:t>57.53</w:t>
            </w:r>
          </w:p>
        </w:tc>
        <w:tc>
          <w:tcPr>
            <w:tcW w:w="720" w:type="dxa"/>
            <w:tcBorders>
              <w:top w:val="single" w:sz="4" w:space="0" w:color="auto"/>
              <w:left w:val="nil"/>
              <w:bottom w:val="single" w:sz="4" w:space="0" w:color="auto"/>
              <w:right w:val="single" w:sz="4" w:space="0" w:color="auto"/>
            </w:tcBorders>
            <w:shd w:val="clear" w:color="auto" w:fill="auto"/>
            <w:vAlign w:val="center"/>
          </w:tcPr>
          <w:p w14:paraId="10658866" w14:textId="77777777" w:rsidR="009D4A93" w:rsidRPr="00536CFD" w:rsidRDefault="009D4A93" w:rsidP="009D4A93">
            <w:pPr>
              <w:spacing w:after="0"/>
              <w:jc w:val="center"/>
              <w:rPr>
                <w:lang w:val="zh-CN"/>
              </w:rPr>
            </w:pPr>
            <w:r w:rsidRPr="00536CFD">
              <w:rPr>
                <w:lang w:val="zh-CN"/>
              </w:rPr>
              <w:t>66.71</w:t>
            </w:r>
          </w:p>
        </w:tc>
      </w:tr>
      <w:tr w:rsidR="009D4A93" w:rsidRPr="00536CFD" w14:paraId="0EAC466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A23D7F2"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7C2048D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7D9819F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4F2987FA"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07525AEA"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7D76755B"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tcPr>
          <w:p w14:paraId="448126A9" w14:textId="77777777" w:rsidR="009D4A93" w:rsidRPr="00536CFD" w:rsidRDefault="009D4A93" w:rsidP="009D4A93">
            <w:pPr>
              <w:spacing w:after="0"/>
              <w:jc w:val="center"/>
              <w:rPr>
                <w:lang w:val="zh-CN"/>
              </w:rPr>
            </w:pPr>
            <w:r w:rsidRPr="00536CFD">
              <w:rPr>
                <w:lang w:val="zh-CN"/>
              </w:rPr>
              <w:t>0.04</w:t>
            </w:r>
          </w:p>
        </w:tc>
        <w:tc>
          <w:tcPr>
            <w:tcW w:w="810" w:type="dxa"/>
            <w:tcBorders>
              <w:top w:val="single" w:sz="4" w:space="0" w:color="auto"/>
              <w:left w:val="nil"/>
              <w:bottom w:val="single" w:sz="4" w:space="0" w:color="auto"/>
              <w:right w:val="single" w:sz="4" w:space="0" w:color="auto"/>
            </w:tcBorders>
            <w:shd w:val="clear" w:color="auto" w:fill="auto"/>
          </w:tcPr>
          <w:p w14:paraId="29B4EBF3" w14:textId="77777777" w:rsidR="009D4A93" w:rsidRPr="00536CFD" w:rsidRDefault="009D4A93" w:rsidP="009D4A93">
            <w:pPr>
              <w:spacing w:after="0"/>
              <w:jc w:val="center"/>
              <w:rPr>
                <w:lang w:val="zh-CN"/>
              </w:rPr>
            </w:pPr>
            <w:r w:rsidRPr="00536CFD">
              <w:rPr>
                <w:lang w:val="zh-CN"/>
              </w:rPr>
              <w:t>0.05</w:t>
            </w:r>
          </w:p>
        </w:tc>
        <w:tc>
          <w:tcPr>
            <w:tcW w:w="820" w:type="dxa"/>
            <w:tcBorders>
              <w:top w:val="single" w:sz="4" w:space="0" w:color="auto"/>
              <w:left w:val="nil"/>
              <w:bottom w:val="single" w:sz="4" w:space="0" w:color="auto"/>
              <w:right w:val="single" w:sz="4" w:space="0" w:color="auto"/>
            </w:tcBorders>
            <w:shd w:val="clear" w:color="auto" w:fill="auto"/>
          </w:tcPr>
          <w:p w14:paraId="1CCC98DB" w14:textId="77777777" w:rsidR="009D4A93" w:rsidRPr="00536CFD" w:rsidRDefault="009D4A93" w:rsidP="009D4A93">
            <w:pPr>
              <w:spacing w:after="0"/>
              <w:jc w:val="center"/>
              <w:rPr>
                <w:lang w:val="zh-CN"/>
              </w:rPr>
            </w:pPr>
            <w:r w:rsidRPr="00536CFD">
              <w:rPr>
                <w:lang w:val="zh-CN"/>
              </w:rPr>
              <w:t>0.05</w:t>
            </w:r>
          </w:p>
        </w:tc>
        <w:tc>
          <w:tcPr>
            <w:tcW w:w="800" w:type="dxa"/>
            <w:tcBorders>
              <w:top w:val="single" w:sz="4" w:space="0" w:color="auto"/>
              <w:left w:val="nil"/>
              <w:bottom w:val="single" w:sz="4" w:space="0" w:color="auto"/>
              <w:right w:val="single" w:sz="4" w:space="0" w:color="auto"/>
            </w:tcBorders>
            <w:shd w:val="clear" w:color="auto" w:fill="auto"/>
          </w:tcPr>
          <w:p w14:paraId="7010B949" w14:textId="77777777" w:rsidR="009D4A93" w:rsidRPr="00536CFD" w:rsidRDefault="009D4A93" w:rsidP="009D4A93">
            <w:pPr>
              <w:spacing w:after="0"/>
              <w:jc w:val="center"/>
              <w:rPr>
                <w:lang w:val="zh-CN"/>
              </w:rPr>
            </w:pPr>
            <w:r w:rsidRPr="00536CFD">
              <w:rPr>
                <w:lang w:val="zh-CN"/>
              </w:rPr>
              <w:t>0.04</w:t>
            </w:r>
          </w:p>
        </w:tc>
        <w:tc>
          <w:tcPr>
            <w:tcW w:w="720" w:type="dxa"/>
            <w:tcBorders>
              <w:top w:val="single" w:sz="4" w:space="0" w:color="auto"/>
              <w:left w:val="nil"/>
              <w:bottom w:val="single" w:sz="4" w:space="0" w:color="auto"/>
              <w:right w:val="single" w:sz="4" w:space="0" w:color="auto"/>
            </w:tcBorders>
            <w:shd w:val="clear" w:color="auto" w:fill="auto"/>
          </w:tcPr>
          <w:p w14:paraId="4CA11A68" w14:textId="77777777" w:rsidR="009D4A93" w:rsidRPr="00536CFD" w:rsidRDefault="009D4A93" w:rsidP="009D4A93">
            <w:pPr>
              <w:spacing w:after="0"/>
              <w:jc w:val="center"/>
              <w:rPr>
                <w:lang w:val="zh-CN"/>
              </w:rPr>
            </w:pPr>
            <w:r w:rsidRPr="00536CFD">
              <w:rPr>
                <w:lang w:val="zh-CN"/>
              </w:rPr>
              <w:t>0.04</w:t>
            </w:r>
          </w:p>
        </w:tc>
        <w:tc>
          <w:tcPr>
            <w:tcW w:w="724" w:type="dxa"/>
            <w:tcBorders>
              <w:top w:val="single" w:sz="4" w:space="0" w:color="auto"/>
              <w:left w:val="nil"/>
              <w:bottom w:val="single" w:sz="4" w:space="0" w:color="auto"/>
              <w:right w:val="single" w:sz="4" w:space="0" w:color="auto"/>
            </w:tcBorders>
            <w:shd w:val="clear" w:color="auto" w:fill="auto"/>
          </w:tcPr>
          <w:p w14:paraId="5B7EEF68" w14:textId="77777777" w:rsidR="009D4A93" w:rsidRPr="00536CFD" w:rsidRDefault="009D4A93" w:rsidP="009D4A93">
            <w:pPr>
              <w:spacing w:after="0"/>
              <w:jc w:val="center"/>
              <w:rPr>
                <w:lang w:val="zh-CN"/>
              </w:rPr>
            </w:pPr>
            <w:r w:rsidRPr="00536CFD">
              <w:rPr>
                <w:lang w:val="zh-CN"/>
              </w:rPr>
              <w:t>0.05</w:t>
            </w:r>
          </w:p>
        </w:tc>
        <w:tc>
          <w:tcPr>
            <w:tcW w:w="896" w:type="dxa"/>
            <w:tcBorders>
              <w:top w:val="single" w:sz="4" w:space="0" w:color="auto"/>
              <w:left w:val="nil"/>
              <w:bottom w:val="single" w:sz="4" w:space="0" w:color="auto"/>
              <w:right w:val="single" w:sz="4" w:space="0" w:color="auto"/>
            </w:tcBorders>
            <w:shd w:val="clear" w:color="auto" w:fill="auto"/>
          </w:tcPr>
          <w:p w14:paraId="2FB34AA4"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0C433199" w14:textId="77777777" w:rsidR="009D4A93" w:rsidRPr="00536CFD" w:rsidRDefault="009D4A93" w:rsidP="009D4A93">
            <w:pPr>
              <w:spacing w:after="0"/>
              <w:jc w:val="center"/>
              <w:rPr>
                <w:lang w:val="zh-CN"/>
              </w:rPr>
            </w:pPr>
            <w:r w:rsidRPr="00536CFD">
              <w:rPr>
                <w:lang w:val="zh-CN"/>
              </w:rPr>
              <w:t>0.04</w:t>
            </w:r>
          </w:p>
        </w:tc>
        <w:tc>
          <w:tcPr>
            <w:tcW w:w="720" w:type="dxa"/>
            <w:tcBorders>
              <w:top w:val="single" w:sz="4" w:space="0" w:color="auto"/>
              <w:left w:val="nil"/>
              <w:bottom w:val="single" w:sz="4" w:space="0" w:color="auto"/>
              <w:right w:val="single" w:sz="4" w:space="0" w:color="auto"/>
            </w:tcBorders>
            <w:shd w:val="clear" w:color="auto" w:fill="auto"/>
          </w:tcPr>
          <w:p w14:paraId="08D28105" w14:textId="77777777" w:rsidR="009D4A93" w:rsidRPr="00536CFD" w:rsidRDefault="009D4A93" w:rsidP="009D4A93">
            <w:pPr>
              <w:spacing w:after="0"/>
              <w:jc w:val="center"/>
              <w:rPr>
                <w:lang w:val="zh-CN"/>
              </w:rPr>
            </w:pPr>
            <w:r w:rsidRPr="00536CFD">
              <w:rPr>
                <w:lang w:val="zh-CN"/>
              </w:rPr>
              <w:t>0.04</w:t>
            </w:r>
          </w:p>
        </w:tc>
      </w:tr>
      <w:tr w:rsidR="009D4A93" w:rsidRPr="00536CFD" w14:paraId="1281DDE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215AFF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50D5D3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CBD0A4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3B411339"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4A8B5716"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tcPr>
          <w:p w14:paraId="5E98B79D" w14:textId="77777777" w:rsidR="009D4A93" w:rsidRPr="00536CFD" w:rsidRDefault="009D4A93" w:rsidP="009D4A93">
            <w:pPr>
              <w:spacing w:after="0"/>
              <w:jc w:val="center"/>
              <w:rPr>
                <w:lang w:val="zh-CN"/>
              </w:rPr>
            </w:pPr>
            <w:r w:rsidRPr="00536CFD">
              <w:rPr>
                <w:lang w:val="zh-CN"/>
              </w:rPr>
              <w:t>0.05</w:t>
            </w:r>
          </w:p>
        </w:tc>
        <w:tc>
          <w:tcPr>
            <w:tcW w:w="810" w:type="dxa"/>
            <w:tcBorders>
              <w:top w:val="single" w:sz="4" w:space="0" w:color="auto"/>
              <w:left w:val="nil"/>
              <w:bottom w:val="single" w:sz="4" w:space="0" w:color="auto"/>
              <w:right w:val="single" w:sz="4" w:space="0" w:color="auto"/>
            </w:tcBorders>
            <w:shd w:val="clear" w:color="auto" w:fill="auto"/>
          </w:tcPr>
          <w:p w14:paraId="23C8ECF6" w14:textId="77777777" w:rsidR="009D4A93" w:rsidRPr="00536CFD" w:rsidRDefault="009D4A93" w:rsidP="009D4A93">
            <w:pPr>
              <w:spacing w:after="0"/>
              <w:jc w:val="center"/>
              <w:rPr>
                <w:lang w:val="zh-CN"/>
              </w:rPr>
            </w:pPr>
            <w:r w:rsidRPr="00536CFD">
              <w:rPr>
                <w:lang w:val="zh-CN"/>
              </w:rPr>
              <w:t>0.05</w:t>
            </w:r>
          </w:p>
        </w:tc>
        <w:tc>
          <w:tcPr>
            <w:tcW w:w="810" w:type="dxa"/>
            <w:tcBorders>
              <w:top w:val="single" w:sz="4" w:space="0" w:color="auto"/>
              <w:left w:val="nil"/>
              <w:bottom w:val="single" w:sz="4" w:space="0" w:color="auto"/>
              <w:right w:val="single" w:sz="4" w:space="0" w:color="auto"/>
            </w:tcBorders>
            <w:shd w:val="clear" w:color="auto" w:fill="auto"/>
          </w:tcPr>
          <w:p w14:paraId="6E37548F" w14:textId="77777777" w:rsidR="009D4A93" w:rsidRPr="00536CFD" w:rsidRDefault="009D4A93" w:rsidP="009D4A93">
            <w:pPr>
              <w:spacing w:after="0"/>
              <w:jc w:val="center"/>
              <w:rPr>
                <w:lang w:val="zh-CN"/>
              </w:rPr>
            </w:pPr>
            <w:r w:rsidRPr="00536CFD">
              <w:rPr>
                <w:lang w:val="zh-CN"/>
              </w:rPr>
              <w:t>0.10</w:t>
            </w:r>
          </w:p>
        </w:tc>
        <w:tc>
          <w:tcPr>
            <w:tcW w:w="820" w:type="dxa"/>
            <w:tcBorders>
              <w:top w:val="single" w:sz="4" w:space="0" w:color="auto"/>
              <w:left w:val="nil"/>
              <w:bottom w:val="single" w:sz="4" w:space="0" w:color="auto"/>
              <w:right w:val="single" w:sz="4" w:space="0" w:color="auto"/>
            </w:tcBorders>
            <w:shd w:val="clear" w:color="auto" w:fill="auto"/>
          </w:tcPr>
          <w:p w14:paraId="5BB3DED2" w14:textId="77777777" w:rsidR="009D4A93" w:rsidRPr="00536CFD" w:rsidRDefault="009D4A93" w:rsidP="009D4A93">
            <w:pPr>
              <w:spacing w:after="0"/>
              <w:jc w:val="center"/>
              <w:rPr>
                <w:lang w:val="zh-CN"/>
              </w:rPr>
            </w:pPr>
            <w:r w:rsidRPr="00536CFD">
              <w:rPr>
                <w:lang w:val="zh-CN"/>
              </w:rPr>
              <w:t>0.07</w:t>
            </w:r>
          </w:p>
        </w:tc>
        <w:tc>
          <w:tcPr>
            <w:tcW w:w="800" w:type="dxa"/>
            <w:tcBorders>
              <w:top w:val="single" w:sz="4" w:space="0" w:color="auto"/>
              <w:left w:val="nil"/>
              <w:bottom w:val="single" w:sz="4" w:space="0" w:color="auto"/>
              <w:right w:val="single" w:sz="4" w:space="0" w:color="auto"/>
            </w:tcBorders>
            <w:shd w:val="clear" w:color="auto" w:fill="auto"/>
          </w:tcPr>
          <w:p w14:paraId="1E77F548" w14:textId="77777777" w:rsidR="009D4A93" w:rsidRPr="00536CFD" w:rsidRDefault="009D4A93" w:rsidP="009D4A93">
            <w:pPr>
              <w:spacing w:after="0"/>
              <w:jc w:val="center"/>
              <w:rPr>
                <w:lang w:val="zh-CN"/>
              </w:rPr>
            </w:pPr>
            <w:r w:rsidRPr="00536CFD">
              <w:rPr>
                <w:lang w:val="zh-CN"/>
              </w:rPr>
              <w:t>0.06</w:t>
            </w:r>
          </w:p>
        </w:tc>
        <w:tc>
          <w:tcPr>
            <w:tcW w:w="720" w:type="dxa"/>
            <w:tcBorders>
              <w:top w:val="single" w:sz="4" w:space="0" w:color="auto"/>
              <w:left w:val="nil"/>
              <w:bottom w:val="single" w:sz="4" w:space="0" w:color="auto"/>
              <w:right w:val="single" w:sz="4" w:space="0" w:color="auto"/>
            </w:tcBorders>
            <w:shd w:val="clear" w:color="auto" w:fill="auto"/>
          </w:tcPr>
          <w:p w14:paraId="7B09A092" w14:textId="77777777" w:rsidR="009D4A93" w:rsidRPr="00536CFD" w:rsidRDefault="009D4A93" w:rsidP="009D4A93">
            <w:pPr>
              <w:spacing w:after="0"/>
              <w:jc w:val="center"/>
              <w:rPr>
                <w:lang w:val="zh-CN"/>
              </w:rPr>
            </w:pPr>
            <w:r w:rsidRPr="00536CFD">
              <w:rPr>
                <w:lang w:val="zh-CN"/>
              </w:rPr>
              <w:t>0.05</w:t>
            </w:r>
          </w:p>
        </w:tc>
        <w:tc>
          <w:tcPr>
            <w:tcW w:w="724" w:type="dxa"/>
            <w:tcBorders>
              <w:top w:val="single" w:sz="4" w:space="0" w:color="auto"/>
              <w:left w:val="nil"/>
              <w:bottom w:val="single" w:sz="4" w:space="0" w:color="auto"/>
              <w:right w:val="single" w:sz="4" w:space="0" w:color="auto"/>
            </w:tcBorders>
            <w:shd w:val="clear" w:color="auto" w:fill="auto"/>
          </w:tcPr>
          <w:p w14:paraId="3B6203F0" w14:textId="77777777" w:rsidR="009D4A93" w:rsidRPr="00536CFD" w:rsidRDefault="009D4A93" w:rsidP="009D4A93">
            <w:pPr>
              <w:spacing w:after="0"/>
              <w:jc w:val="center"/>
              <w:rPr>
                <w:lang w:val="zh-CN"/>
              </w:rPr>
            </w:pPr>
            <w:r w:rsidRPr="00536CFD">
              <w:rPr>
                <w:lang w:val="zh-CN"/>
              </w:rPr>
              <w:t>0.14</w:t>
            </w:r>
          </w:p>
        </w:tc>
        <w:tc>
          <w:tcPr>
            <w:tcW w:w="896" w:type="dxa"/>
            <w:tcBorders>
              <w:top w:val="single" w:sz="4" w:space="0" w:color="auto"/>
              <w:left w:val="nil"/>
              <w:bottom w:val="single" w:sz="4" w:space="0" w:color="auto"/>
              <w:right w:val="single" w:sz="4" w:space="0" w:color="auto"/>
            </w:tcBorders>
            <w:shd w:val="clear" w:color="auto" w:fill="auto"/>
          </w:tcPr>
          <w:p w14:paraId="3A3DF49D"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75DE107C" w14:textId="77777777" w:rsidR="009D4A93" w:rsidRPr="00536CFD" w:rsidRDefault="009D4A93" w:rsidP="009D4A93">
            <w:pPr>
              <w:spacing w:after="0"/>
              <w:jc w:val="center"/>
              <w:rPr>
                <w:lang w:val="zh-CN"/>
              </w:rPr>
            </w:pPr>
            <w:r w:rsidRPr="00536CFD">
              <w:rPr>
                <w:lang w:val="zh-CN"/>
              </w:rPr>
              <w:t>0.07</w:t>
            </w:r>
          </w:p>
        </w:tc>
        <w:tc>
          <w:tcPr>
            <w:tcW w:w="720" w:type="dxa"/>
            <w:tcBorders>
              <w:top w:val="single" w:sz="4" w:space="0" w:color="auto"/>
              <w:left w:val="nil"/>
              <w:bottom w:val="single" w:sz="4" w:space="0" w:color="auto"/>
              <w:right w:val="single" w:sz="4" w:space="0" w:color="auto"/>
            </w:tcBorders>
            <w:shd w:val="clear" w:color="auto" w:fill="auto"/>
          </w:tcPr>
          <w:p w14:paraId="632B6300" w14:textId="77777777" w:rsidR="009D4A93" w:rsidRPr="00536CFD" w:rsidRDefault="009D4A93" w:rsidP="009D4A93">
            <w:pPr>
              <w:spacing w:after="0"/>
              <w:jc w:val="center"/>
              <w:rPr>
                <w:lang w:val="zh-CN"/>
              </w:rPr>
            </w:pPr>
            <w:r w:rsidRPr="00536CFD">
              <w:rPr>
                <w:lang w:val="zh-CN"/>
              </w:rPr>
              <w:t>0.06</w:t>
            </w:r>
          </w:p>
        </w:tc>
      </w:tr>
      <w:tr w:rsidR="009D4A93" w:rsidRPr="00536CFD" w14:paraId="4353581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B29C347"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C3539A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0F1CB1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2708B16F" w14:textId="77777777" w:rsidR="009D4A93" w:rsidRPr="00536CFD" w:rsidRDefault="009D4A93" w:rsidP="009D4A93">
            <w:pPr>
              <w:spacing w:after="0"/>
              <w:jc w:val="center"/>
              <w:rPr>
                <w:lang w:val="zh-CN"/>
              </w:rPr>
            </w:pPr>
            <w:r w:rsidRPr="00536CFD">
              <w:rPr>
                <w:lang w:val="zh-CN"/>
              </w:rPr>
              <w:t>0.21</w:t>
            </w:r>
          </w:p>
        </w:tc>
        <w:tc>
          <w:tcPr>
            <w:tcW w:w="720" w:type="dxa"/>
            <w:tcBorders>
              <w:top w:val="single" w:sz="4" w:space="0" w:color="auto"/>
              <w:left w:val="nil"/>
              <w:bottom w:val="single" w:sz="4" w:space="0" w:color="auto"/>
              <w:right w:val="single" w:sz="4" w:space="0" w:color="auto"/>
            </w:tcBorders>
            <w:shd w:val="clear" w:color="auto" w:fill="auto"/>
          </w:tcPr>
          <w:p w14:paraId="138BA9C5" w14:textId="77777777" w:rsidR="009D4A93" w:rsidRPr="00536CFD" w:rsidRDefault="009D4A93" w:rsidP="009D4A93">
            <w:pPr>
              <w:spacing w:after="0"/>
              <w:jc w:val="center"/>
              <w:rPr>
                <w:lang w:val="zh-CN"/>
              </w:rPr>
            </w:pPr>
            <w:r w:rsidRPr="00536CFD">
              <w:rPr>
                <w:lang w:val="zh-CN"/>
              </w:rPr>
              <w:t>0.16</w:t>
            </w:r>
          </w:p>
        </w:tc>
        <w:tc>
          <w:tcPr>
            <w:tcW w:w="720" w:type="dxa"/>
            <w:tcBorders>
              <w:top w:val="single" w:sz="4" w:space="0" w:color="auto"/>
              <w:left w:val="nil"/>
              <w:bottom w:val="single" w:sz="4" w:space="0" w:color="auto"/>
              <w:right w:val="single" w:sz="4" w:space="0" w:color="auto"/>
            </w:tcBorders>
            <w:shd w:val="clear" w:color="auto" w:fill="auto"/>
          </w:tcPr>
          <w:p w14:paraId="6FFCB81D" w14:textId="77777777" w:rsidR="009D4A93" w:rsidRPr="00536CFD" w:rsidRDefault="009D4A93" w:rsidP="009D4A93">
            <w:pPr>
              <w:spacing w:after="0"/>
              <w:jc w:val="center"/>
              <w:rPr>
                <w:lang w:val="zh-CN"/>
              </w:rPr>
            </w:pPr>
            <w:r w:rsidRPr="00536CFD">
              <w:rPr>
                <w:lang w:val="zh-CN"/>
              </w:rPr>
              <w:t>0.14</w:t>
            </w:r>
          </w:p>
        </w:tc>
        <w:tc>
          <w:tcPr>
            <w:tcW w:w="810" w:type="dxa"/>
            <w:tcBorders>
              <w:top w:val="single" w:sz="4" w:space="0" w:color="auto"/>
              <w:left w:val="nil"/>
              <w:bottom w:val="single" w:sz="4" w:space="0" w:color="auto"/>
              <w:right w:val="single" w:sz="4" w:space="0" w:color="auto"/>
            </w:tcBorders>
            <w:shd w:val="clear" w:color="auto" w:fill="auto"/>
          </w:tcPr>
          <w:p w14:paraId="4D3030A9" w14:textId="77777777" w:rsidR="009D4A93" w:rsidRPr="00536CFD" w:rsidRDefault="009D4A93" w:rsidP="009D4A93">
            <w:pPr>
              <w:spacing w:after="0"/>
              <w:jc w:val="center"/>
              <w:rPr>
                <w:lang w:val="zh-CN"/>
              </w:rPr>
            </w:pPr>
            <w:r w:rsidRPr="00536CFD">
              <w:rPr>
                <w:lang w:val="zh-CN"/>
              </w:rPr>
              <w:t>0.12</w:t>
            </w:r>
          </w:p>
        </w:tc>
        <w:tc>
          <w:tcPr>
            <w:tcW w:w="810" w:type="dxa"/>
            <w:tcBorders>
              <w:top w:val="single" w:sz="4" w:space="0" w:color="auto"/>
              <w:left w:val="nil"/>
              <w:bottom w:val="single" w:sz="4" w:space="0" w:color="auto"/>
              <w:right w:val="single" w:sz="4" w:space="0" w:color="auto"/>
            </w:tcBorders>
            <w:shd w:val="clear" w:color="auto" w:fill="auto"/>
          </w:tcPr>
          <w:p w14:paraId="4CC7B49C" w14:textId="77777777" w:rsidR="009D4A93" w:rsidRPr="00536CFD" w:rsidRDefault="009D4A93" w:rsidP="009D4A93">
            <w:pPr>
              <w:spacing w:after="0"/>
              <w:jc w:val="center"/>
              <w:rPr>
                <w:lang w:val="zh-CN"/>
              </w:rPr>
            </w:pPr>
            <w:r w:rsidRPr="00536CFD">
              <w:rPr>
                <w:lang w:val="zh-CN"/>
              </w:rPr>
              <w:t>0.56</w:t>
            </w:r>
          </w:p>
        </w:tc>
        <w:tc>
          <w:tcPr>
            <w:tcW w:w="820" w:type="dxa"/>
            <w:tcBorders>
              <w:top w:val="single" w:sz="4" w:space="0" w:color="auto"/>
              <w:left w:val="nil"/>
              <w:bottom w:val="single" w:sz="4" w:space="0" w:color="auto"/>
              <w:right w:val="single" w:sz="4" w:space="0" w:color="auto"/>
            </w:tcBorders>
            <w:shd w:val="clear" w:color="auto" w:fill="auto"/>
          </w:tcPr>
          <w:p w14:paraId="2468B01F" w14:textId="77777777" w:rsidR="009D4A93" w:rsidRPr="00536CFD" w:rsidRDefault="009D4A93" w:rsidP="009D4A93">
            <w:pPr>
              <w:spacing w:after="0"/>
              <w:jc w:val="center"/>
              <w:rPr>
                <w:lang w:val="zh-CN"/>
              </w:rPr>
            </w:pPr>
            <w:r w:rsidRPr="00536CFD">
              <w:rPr>
                <w:lang w:val="zh-CN"/>
              </w:rPr>
              <w:t>0.22</w:t>
            </w:r>
          </w:p>
        </w:tc>
        <w:tc>
          <w:tcPr>
            <w:tcW w:w="800" w:type="dxa"/>
            <w:tcBorders>
              <w:top w:val="single" w:sz="4" w:space="0" w:color="auto"/>
              <w:left w:val="nil"/>
              <w:bottom w:val="single" w:sz="4" w:space="0" w:color="auto"/>
              <w:right w:val="single" w:sz="4" w:space="0" w:color="auto"/>
            </w:tcBorders>
            <w:shd w:val="clear" w:color="auto" w:fill="auto"/>
          </w:tcPr>
          <w:p w14:paraId="5F395ADE" w14:textId="77777777" w:rsidR="009D4A93" w:rsidRPr="00536CFD" w:rsidRDefault="009D4A93" w:rsidP="009D4A93">
            <w:pPr>
              <w:spacing w:after="0"/>
              <w:jc w:val="center"/>
              <w:rPr>
                <w:lang w:val="zh-CN"/>
              </w:rPr>
            </w:pPr>
            <w:r w:rsidRPr="00536CFD">
              <w:rPr>
                <w:lang w:val="zh-CN"/>
              </w:rPr>
              <w:t>0.20</w:t>
            </w:r>
          </w:p>
        </w:tc>
        <w:tc>
          <w:tcPr>
            <w:tcW w:w="720" w:type="dxa"/>
            <w:tcBorders>
              <w:top w:val="single" w:sz="4" w:space="0" w:color="auto"/>
              <w:left w:val="nil"/>
              <w:bottom w:val="single" w:sz="4" w:space="0" w:color="auto"/>
              <w:right w:val="single" w:sz="4" w:space="0" w:color="auto"/>
            </w:tcBorders>
            <w:shd w:val="clear" w:color="auto" w:fill="auto"/>
          </w:tcPr>
          <w:p w14:paraId="365FED09" w14:textId="77777777" w:rsidR="009D4A93" w:rsidRPr="00536CFD" w:rsidRDefault="009D4A93" w:rsidP="009D4A93">
            <w:pPr>
              <w:spacing w:after="0"/>
              <w:jc w:val="center"/>
              <w:rPr>
                <w:lang w:val="zh-CN"/>
              </w:rPr>
            </w:pPr>
            <w:r w:rsidRPr="00536CFD">
              <w:rPr>
                <w:lang w:val="zh-CN"/>
              </w:rPr>
              <w:t>0.14</w:t>
            </w:r>
          </w:p>
        </w:tc>
        <w:tc>
          <w:tcPr>
            <w:tcW w:w="724" w:type="dxa"/>
            <w:tcBorders>
              <w:top w:val="single" w:sz="4" w:space="0" w:color="auto"/>
              <w:left w:val="nil"/>
              <w:bottom w:val="single" w:sz="4" w:space="0" w:color="auto"/>
              <w:right w:val="single" w:sz="4" w:space="0" w:color="auto"/>
            </w:tcBorders>
            <w:shd w:val="clear" w:color="auto" w:fill="auto"/>
          </w:tcPr>
          <w:p w14:paraId="19154BD0" w14:textId="77777777" w:rsidR="009D4A93" w:rsidRPr="00536CFD" w:rsidRDefault="009D4A93" w:rsidP="009D4A93">
            <w:pPr>
              <w:spacing w:after="0"/>
              <w:jc w:val="center"/>
              <w:rPr>
                <w:lang w:val="zh-CN"/>
              </w:rPr>
            </w:pPr>
            <w:r w:rsidRPr="00536CFD">
              <w:rPr>
                <w:lang w:val="zh-CN"/>
              </w:rPr>
              <w:t>1.89</w:t>
            </w:r>
          </w:p>
        </w:tc>
        <w:tc>
          <w:tcPr>
            <w:tcW w:w="896" w:type="dxa"/>
            <w:tcBorders>
              <w:top w:val="single" w:sz="4" w:space="0" w:color="auto"/>
              <w:left w:val="nil"/>
              <w:bottom w:val="single" w:sz="4" w:space="0" w:color="auto"/>
              <w:right w:val="single" w:sz="4" w:space="0" w:color="auto"/>
            </w:tcBorders>
            <w:shd w:val="clear" w:color="auto" w:fill="auto"/>
          </w:tcPr>
          <w:p w14:paraId="610A205C" w14:textId="77777777" w:rsidR="009D4A93" w:rsidRPr="00536CFD" w:rsidRDefault="009D4A93" w:rsidP="009D4A93">
            <w:pPr>
              <w:spacing w:after="0"/>
              <w:jc w:val="center"/>
              <w:rPr>
                <w:lang w:val="zh-CN"/>
              </w:rPr>
            </w:pPr>
            <w:r w:rsidRPr="00536CFD">
              <w:rPr>
                <w:lang w:val="zh-CN"/>
              </w:rPr>
              <w:t>0.31</w:t>
            </w:r>
          </w:p>
        </w:tc>
        <w:tc>
          <w:tcPr>
            <w:tcW w:w="720" w:type="dxa"/>
            <w:tcBorders>
              <w:top w:val="single" w:sz="4" w:space="0" w:color="auto"/>
              <w:left w:val="nil"/>
              <w:bottom w:val="single" w:sz="4" w:space="0" w:color="auto"/>
              <w:right w:val="single" w:sz="4" w:space="0" w:color="auto"/>
            </w:tcBorders>
            <w:shd w:val="clear" w:color="auto" w:fill="auto"/>
          </w:tcPr>
          <w:p w14:paraId="5C88534B" w14:textId="77777777" w:rsidR="009D4A93" w:rsidRPr="00536CFD" w:rsidRDefault="009D4A93" w:rsidP="009D4A93">
            <w:pPr>
              <w:spacing w:after="0"/>
              <w:jc w:val="center"/>
              <w:rPr>
                <w:lang w:val="zh-CN"/>
              </w:rPr>
            </w:pPr>
            <w:r w:rsidRPr="00536CFD">
              <w:rPr>
                <w:lang w:val="zh-CN"/>
              </w:rPr>
              <w:t>0.25</w:t>
            </w:r>
          </w:p>
        </w:tc>
        <w:tc>
          <w:tcPr>
            <w:tcW w:w="720" w:type="dxa"/>
            <w:tcBorders>
              <w:top w:val="single" w:sz="4" w:space="0" w:color="auto"/>
              <w:left w:val="nil"/>
              <w:bottom w:val="single" w:sz="4" w:space="0" w:color="auto"/>
              <w:right w:val="single" w:sz="4" w:space="0" w:color="auto"/>
            </w:tcBorders>
            <w:shd w:val="clear" w:color="auto" w:fill="auto"/>
          </w:tcPr>
          <w:p w14:paraId="74F05755" w14:textId="77777777" w:rsidR="009D4A93" w:rsidRPr="00536CFD" w:rsidRDefault="009D4A93" w:rsidP="009D4A93">
            <w:pPr>
              <w:spacing w:after="0"/>
              <w:jc w:val="center"/>
              <w:rPr>
                <w:lang w:val="zh-CN"/>
              </w:rPr>
            </w:pPr>
            <w:r w:rsidRPr="00536CFD">
              <w:rPr>
                <w:lang w:val="zh-CN"/>
              </w:rPr>
              <w:t>0.16</w:t>
            </w:r>
          </w:p>
        </w:tc>
      </w:tr>
      <w:tr w:rsidR="009D4A93" w:rsidRPr="00536CFD" w14:paraId="5A6CF92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F66EF60"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AFA163B"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733C60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2841BACA" w14:textId="77777777" w:rsidR="009D4A93" w:rsidRPr="00536CFD" w:rsidRDefault="009D4A93" w:rsidP="009D4A93">
            <w:pPr>
              <w:spacing w:after="0"/>
              <w:jc w:val="center"/>
              <w:rPr>
                <w:lang w:val="zh-CN"/>
              </w:rPr>
            </w:pPr>
            <w:r w:rsidRPr="00536CFD">
              <w:rPr>
                <w:lang w:val="zh-CN"/>
              </w:rPr>
              <w:t>0.10</w:t>
            </w:r>
          </w:p>
        </w:tc>
        <w:tc>
          <w:tcPr>
            <w:tcW w:w="720" w:type="dxa"/>
            <w:tcBorders>
              <w:top w:val="single" w:sz="4" w:space="0" w:color="auto"/>
              <w:left w:val="nil"/>
              <w:bottom w:val="single" w:sz="4" w:space="0" w:color="auto"/>
              <w:right w:val="single" w:sz="4" w:space="0" w:color="auto"/>
            </w:tcBorders>
            <w:shd w:val="clear" w:color="auto" w:fill="auto"/>
          </w:tcPr>
          <w:p w14:paraId="7CA79798" w14:textId="77777777" w:rsidR="009D4A93" w:rsidRPr="00536CFD" w:rsidRDefault="009D4A93" w:rsidP="009D4A93">
            <w:pPr>
              <w:spacing w:after="0"/>
              <w:jc w:val="center"/>
              <w:rPr>
                <w:lang w:val="zh-CN"/>
              </w:rPr>
            </w:pPr>
            <w:r w:rsidRPr="00536CFD">
              <w:rPr>
                <w:lang w:val="zh-CN"/>
              </w:rPr>
              <w:t>0.08</w:t>
            </w:r>
          </w:p>
        </w:tc>
        <w:tc>
          <w:tcPr>
            <w:tcW w:w="720" w:type="dxa"/>
            <w:tcBorders>
              <w:top w:val="single" w:sz="4" w:space="0" w:color="auto"/>
              <w:left w:val="nil"/>
              <w:bottom w:val="single" w:sz="4" w:space="0" w:color="auto"/>
              <w:right w:val="single" w:sz="4" w:space="0" w:color="auto"/>
            </w:tcBorders>
            <w:shd w:val="clear" w:color="auto" w:fill="auto"/>
          </w:tcPr>
          <w:p w14:paraId="446F959C" w14:textId="77777777" w:rsidR="009D4A93" w:rsidRPr="00536CFD" w:rsidRDefault="009D4A93" w:rsidP="009D4A93">
            <w:pPr>
              <w:spacing w:after="0"/>
              <w:jc w:val="center"/>
              <w:rPr>
                <w:lang w:val="zh-CN"/>
              </w:rPr>
            </w:pPr>
            <w:r w:rsidRPr="00536CFD">
              <w:rPr>
                <w:lang w:val="zh-CN"/>
              </w:rPr>
              <w:t>0.07</w:t>
            </w:r>
          </w:p>
        </w:tc>
        <w:tc>
          <w:tcPr>
            <w:tcW w:w="810" w:type="dxa"/>
            <w:tcBorders>
              <w:top w:val="single" w:sz="4" w:space="0" w:color="auto"/>
              <w:left w:val="nil"/>
              <w:bottom w:val="single" w:sz="4" w:space="0" w:color="auto"/>
              <w:right w:val="single" w:sz="4" w:space="0" w:color="auto"/>
            </w:tcBorders>
            <w:shd w:val="clear" w:color="auto" w:fill="auto"/>
          </w:tcPr>
          <w:p w14:paraId="07CB5106" w14:textId="77777777" w:rsidR="009D4A93" w:rsidRPr="00536CFD" w:rsidRDefault="009D4A93" w:rsidP="009D4A93">
            <w:pPr>
              <w:spacing w:after="0"/>
              <w:jc w:val="center"/>
              <w:rPr>
                <w:lang w:val="zh-CN"/>
              </w:rPr>
            </w:pPr>
            <w:r w:rsidRPr="00536CFD">
              <w:rPr>
                <w:lang w:val="zh-CN"/>
              </w:rPr>
              <w:t>0.06</w:t>
            </w:r>
          </w:p>
        </w:tc>
        <w:tc>
          <w:tcPr>
            <w:tcW w:w="810" w:type="dxa"/>
            <w:tcBorders>
              <w:top w:val="single" w:sz="4" w:space="0" w:color="auto"/>
              <w:left w:val="nil"/>
              <w:bottom w:val="single" w:sz="4" w:space="0" w:color="auto"/>
              <w:right w:val="single" w:sz="4" w:space="0" w:color="auto"/>
            </w:tcBorders>
            <w:shd w:val="clear" w:color="auto" w:fill="auto"/>
          </w:tcPr>
          <w:p w14:paraId="1DF0145F" w14:textId="77777777" w:rsidR="009D4A93" w:rsidRPr="00536CFD" w:rsidRDefault="009D4A93" w:rsidP="009D4A93">
            <w:pPr>
              <w:spacing w:after="0"/>
              <w:jc w:val="center"/>
              <w:rPr>
                <w:lang w:val="zh-CN"/>
              </w:rPr>
            </w:pPr>
            <w:r w:rsidRPr="00536CFD">
              <w:rPr>
                <w:lang w:val="zh-CN"/>
              </w:rPr>
              <w:t>0.18</w:t>
            </w:r>
          </w:p>
        </w:tc>
        <w:tc>
          <w:tcPr>
            <w:tcW w:w="820" w:type="dxa"/>
            <w:tcBorders>
              <w:top w:val="single" w:sz="4" w:space="0" w:color="auto"/>
              <w:left w:val="nil"/>
              <w:bottom w:val="single" w:sz="4" w:space="0" w:color="auto"/>
              <w:right w:val="single" w:sz="4" w:space="0" w:color="auto"/>
            </w:tcBorders>
            <w:shd w:val="clear" w:color="auto" w:fill="auto"/>
          </w:tcPr>
          <w:p w14:paraId="1E4A350A" w14:textId="77777777" w:rsidR="009D4A93" w:rsidRPr="00536CFD" w:rsidRDefault="009D4A93" w:rsidP="009D4A93">
            <w:pPr>
              <w:spacing w:after="0"/>
              <w:jc w:val="center"/>
              <w:rPr>
                <w:lang w:val="zh-CN"/>
              </w:rPr>
            </w:pPr>
            <w:r w:rsidRPr="00536CFD">
              <w:rPr>
                <w:lang w:val="zh-CN"/>
              </w:rPr>
              <w:t>0.09</w:t>
            </w:r>
          </w:p>
        </w:tc>
        <w:tc>
          <w:tcPr>
            <w:tcW w:w="800" w:type="dxa"/>
            <w:tcBorders>
              <w:top w:val="single" w:sz="4" w:space="0" w:color="auto"/>
              <w:left w:val="nil"/>
              <w:bottom w:val="single" w:sz="4" w:space="0" w:color="auto"/>
              <w:right w:val="single" w:sz="4" w:space="0" w:color="auto"/>
            </w:tcBorders>
            <w:shd w:val="clear" w:color="auto" w:fill="auto"/>
          </w:tcPr>
          <w:p w14:paraId="1FE180C6" w14:textId="77777777" w:rsidR="009D4A93" w:rsidRPr="00536CFD" w:rsidRDefault="009D4A93" w:rsidP="009D4A93">
            <w:pPr>
              <w:spacing w:after="0"/>
              <w:jc w:val="center"/>
              <w:rPr>
                <w:lang w:val="zh-CN"/>
              </w:rPr>
            </w:pPr>
            <w:r w:rsidRPr="00536CFD">
              <w:rPr>
                <w:lang w:val="zh-CN"/>
              </w:rPr>
              <w:t>0.08</w:t>
            </w:r>
          </w:p>
        </w:tc>
        <w:tc>
          <w:tcPr>
            <w:tcW w:w="720" w:type="dxa"/>
            <w:tcBorders>
              <w:top w:val="single" w:sz="4" w:space="0" w:color="auto"/>
              <w:left w:val="nil"/>
              <w:bottom w:val="single" w:sz="4" w:space="0" w:color="auto"/>
              <w:right w:val="single" w:sz="4" w:space="0" w:color="auto"/>
            </w:tcBorders>
            <w:shd w:val="clear" w:color="auto" w:fill="auto"/>
          </w:tcPr>
          <w:p w14:paraId="2915F1FD" w14:textId="77777777" w:rsidR="009D4A93" w:rsidRPr="00536CFD" w:rsidRDefault="009D4A93" w:rsidP="009D4A93">
            <w:pPr>
              <w:spacing w:after="0"/>
              <w:jc w:val="center"/>
              <w:rPr>
                <w:lang w:val="zh-CN"/>
              </w:rPr>
            </w:pPr>
            <w:r w:rsidRPr="00536CFD">
              <w:rPr>
                <w:lang w:val="zh-CN"/>
              </w:rPr>
              <w:t>0.07</w:t>
            </w:r>
          </w:p>
        </w:tc>
        <w:tc>
          <w:tcPr>
            <w:tcW w:w="724" w:type="dxa"/>
            <w:tcBorders>
              <w:top w:val="single" w:sz="4" w:space="0" w:color="auto"/>
              <w:left w:val="nil"/>
              <w:bottom w:val="single" w:sz="4" w:space="0" w:color="auto"/>
              <w:right w:val="single" w:sz="4" w:space="0" w:color="auto"/>
            </w:tcBorders>
            <w:shd w:val="clear" w:color="auto" w:fill="auto"/>
          </w:tcPr>
          <w:p w14:paraId="49F14A61" w14:textId="77777777" w:rsidR="009D4A93" w:rsidRPr="00536CFD" w:rsidRDefault="009D4A93" w:rsidP="009D4A93">
            <w:pPr>
              <w:spacing w:after="0"/>
              <w:jc w:val="center"/>
              <w:rPr>
                <w:lang w:val="zh-CN"/>
              </w:rPr>
            </w:pPr>
            <w:r w:rsidRPr="00536CFD">
              <w:rPr>
                <w:lang w:val="zh-CN"/>
              </w:rPr>
              <w:t>0.43</w:t>
            </w:r>
          </w:p>
        </w:tc>
        <w:tc>
          <w:tcPr>
            <w:tcW w:w="896" w:type="dxa"/>
            <w:tcBorders>
              <w:top w:val="single" w:sz="4" w:space="0" w:color="auto"/>
              <w:left w:val="nil"/>
              <w:bottom w:val="single" w:sz="4" w:space="0" w:color="auto"/>
              <w:right w:val="single" w:sz="4" w:space="0" w:color="auto"/>
            </w:tcBorders>
            <w:shd w:val="clear" w:color="auto" w:fill="auto"/>
          </w:tcPr>
          <w:p w14:paraId="48BF526A" w14:textId="77777777" w:rsidR="009D4A93" w:rsidRPr="00536CFD" w:rsidRDefault="009D4A93" w:rsidP="009D4A93">
            <w:pPr>
              <w:spacing w:after="0"/>
              <w:jc w:val="center"/>
              <w:rPr>
                <w:lang w:val="zh-CN"/>
              </w:rPr>
            </w:pPr>
            <w:r w:rsidRPr="00536CFD">
              <w:rPr>
                <w:lang w:val="zh-CN"/>
              </w:rPr>
              <w:t>0.11</w:t>
            </w:r>
          </w:p>
        </w:tc>
        <w:tc>
          <w:tcPr>
            <w:tcW w:w="720" w:type="dxa"/>
            <w:tcBorders>
              <w:top w:val="single" w:sz="4" w:space="0" w:color="auto"/>
              <w:left w:val="nil"/>
              <w:bottom w:val="single" w:sz="4" w:space="0" w:color="auto"/>
              <w:right w:val="single" w:sz="4" w:space="0" w:color="auto"/>
            </w:tcBorders>
            <w:shd w:val="clear" w:color="auto" w:fill="auto"/>
          </w:tcPr>
          <w:p w14:paraId="6EC98AEA" w14:textId="77777777" w:rsidR="009D4A93" w:rsidRPr="00536CFD" w:rsidRDefault="009D4A93" w:rsidP="009D4A93">
            <w:pPr>
              <w:spacing w:after="0"/>
              <w:jc w:val="center"/>
              <w:rPr>
                <w:lang w:val="zh-CN"/>
              </w:rPr>
            </w:pPr>
            <w:r w:rsidRPr="00536CFD">
              <w:rPr>
                <w:lang w:val="zh-CN"/>
              </w:rPr>
              <w:t>0.10</w:t>
            </w:r>
          </w:p>
        </w:tc>
        <w:tc>
          <w:tcPr>
            <w:tcW w:w="720" w:type="dxa"/>
            <w:tcBorders>
              <w:top w:val="single" w:sz="4" w:space="0" w:color="auto"/>
              <w:left w:val="nil"/>
              <w:bottom w:val="single" w:sz="4" w:space="0" w:color="auto"/>
              <w:right w:val="single" w:sz="4" w:space="0" w:color="auto"/>
            </w:tcBorders>
            <w:shd w:val="clear" w:color="auto" w:fill="auto"/>
          </w:tcPr>
          <w:p w14:paraId="44E32E1D" w14:textId="77777777" w:rsidR="009D4A93" w:rsidRPr="00536CFD" w:rsidRDefault="009D4A93" w:rsidP="009D4A93">
            <w:pPr>
              <w:spacing w:after="0"/>
              <w:jc w:val="center"/>
              <w:rPr>
                <w:lang w:val="zh-CN"/>
              </w:rPr>
            </w:pPr>
            <w:r w:rsidRPr="00536CFD">
              <w:rPr>
                <w:lang w:val="zh-CN"/>
              </w:rPr>
              <w:t>0.07</w:t>
            </w:r>
          </w:p>
        </w:tc>
      </w:tr>
      <w:tr w:rsidR="009D4A93" w:rsidRPr="00536CFD" w14:paraId="7B0554A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19F5F94"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A2287C1"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tcPr>
          <w:p w14:paraId="19BEF2E6" w14:textId="77777777" w:rsidR="009D4A93" w:rsidRPr="00536CFD" w:rsidRDefault="009D4A93" w:rsidP="009D4A93">
            <w:pPr>
              <w:spacing w:after="0"/>
              <w:jc w:val="center"/>
              <w:rPr>
                <w:lang w:val="zh-CN"/>
              </w:rPr>
            </w:pPr>
            <w:r w:rsidRPr="00536CFD">
              <w:rPr>
                <w:lang w:val="zh-CN"/>
              </w:rPr>
              <w:t>99.68%</w:t>
            </w:r>
          </w:p>
        </w:tc>
        <w:tc>
          <w:tcPr>
            <w:tcW w:w="720" w:type="dxa"/>
            <w:tcBorders>
              <w:top w:val="single" w:sz="4" w:space="0" w:color="auto"/>
              <w:left w:val="nil"/>
              <w:bottom w:val="single" w:sz="4" w:space="0" w:color="auto"/>
              <w:right w:val="single" w:sz="4" w:space="0" w:color="auto"/>
            </w:tcBorders>
            <w:shd w:val="clear" w:color="auto" w:fill="auto"/>
          </w:tcPr>
          <w:p w14:paraId="4D7917BA" w14:textId="77777777" w:rsidR="009D4A93" w:rsidRPr="00536CFD" w:rsidRDefault="009D4A93" w:rsidP="009D4A93">
            <w:pPr>
              <w:spacing w:after="0"/>
              <w:jc w:val="center"/>
              <w:rPr>
                <w:lang w:val="zh-CN"/>
              </w:rPr>
            </w:pPr>
            <w:r w:rsidRPr="00536CFD">
              <w:rPr>
                <w:lang w:val="zh-CN"/>
              </w:rPr>
              <w:t>99.69%</w:t>
            </w:r>
          </w:p>
        </w:tc>
        <w:tc>
          <w:tcPr>
            <w:tcW w:w="720" w:type="dxa"/>
            <w:tcBorders>
              <w:top w:val="single" w:sz="4" w:space="0" w:color="auto"/>
              <w:left w:val="nil"/>
              <w:bottom w:val="single" w:sz="4" w:space="0" w:color="auto"/>
              <w:right w:val="single" w:sz="4" w:space="0" w:color="auto"/>
            </w:tcBorders>
            <w:shd w:val="clear" w:color="auto" w:fill="auto"/>
          </w:tcPr>
          <w:p w14:paraId="399020EC" w14:textId="77777777" w:rsidR="009D4A93" w:rsidRPr="00536CFD" w:rsidRDefault="009D4A93" w:rsidP="009D4A93">
            <w:pPr>
              <w:spacing w:after="0"/>
              <w:jc w:val="center"/>
              <w:rPr>
                <w:lang w:val="zh-CN"/>
              </w:rPr>
            </w:pPr>
            <w:r w:rsidRPr="00536CFD">
              <w:rPr>
                <w:lang w:val="zh-CN"/>
              </w:rPr>
              <w:t>99.72%</w:t>
            </w:r>
          </w:p>
        </w:tc>
        <w:tc>
          <w:tcPr>
            <w:tcW w:w="810" w:type="dxa"/>
            <w:tcBorders>
              <w:top w:val="single" w:sz="4" w:space="0" w:color="auto"/>
              <w:left w:val="nil"/>
              <w:bottom w:val="single" w:sz="4" w:space="0" w:color="auto"/>
              <w:right w:val="single" w:sz="4" w:space="0" w:color="auto"/>
            </w:tcBorders>
            <w:shd w:val="clear" w:color="auto" w:fill="auto"/>
          </w:tcPr>
          <w:p w14:paraId="694BDC37"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1E4C2C0F" w14:textId="77777777" w:rsidR="009D4A93" w:rsidRPr="00536CFD" w:rsidRDefault="009D4A93" w:rsidP="009D4A93">
            <w:pPr>
              <w:spacing w:after="0"/>
              <w:jc w:val="center"/>
              <w:rPr>
                <w:lang w:val="zh-CN"/>
              </w:rPr>
            </w:pPr>
            <w:r w:rsidRPr="00536CFD">
              <w:rPr>
                <w:lang w:val="zh-CN"/>
              </w:rPr>
              <w:t>99.64%</w:t>
            </w:r>
          </w:p>
        </w:tc>
        <w:tc>
          <w:tcPr>
            <w:tcW w:w="820" w:type="dxa"/>
            <w:tcBorders>
              <w:top w:val="single" w:sz="4" w:space="0" w:color="auto"/>
              <w:left w:val="nil"/>
              <w:bottom w:val="single" w:sz="4" w:space="0" w:color="auto"/>
              <w:right w:val="single" w:sz="4" w:space="0" w:color="auto"/>
            </w:tcBorders>
            <w:shd w:val="clear" w:color="auto" w:fill="auto"/>
          </w:tcPr>
          <w:p w14:paraId="6B42FB83" w14:textId="77777777" w:rsidR="009D4A93" w:rsidRPr="00536CFD" w:rsidRDefault="009D4A93" w:rsidP="009D4A93">
            <w:pPr>
              <w:spacing w:after="0"/>
              <w:jc w:val="center"/>
              <w:rPr>
                <w:lang w:val="zh-CN"/>
              </w:rPr>
            </w:pPr>
            <w:r w:rsidRPr="00536CFD">
              <w:rPr>
                <w:lang w:val="zh-CN"/>
              </w:rPr>
              <w:t>99.67%</w:t>
            </w:r>
          </w:p>
        </w:tc>
        <w:tc>
          <w:tcPr>
            <w:tcW w:w="800" w:type="dxa"/>
            <w:tcBorders>
              <w:top w:val="single" w:sz="4" w:space="0" w:color="auto"/>
              <w:left w:val="nil"/>
              <w:bottom w:val="single" w:sz="4" w:space="0" w:color="auto"/>
              <w:right w:val="single" w:sz="4" w:space="0" w:color="auto"/>
            </w:tcBorders>
            <w:shd w:val="clear" w:color="auto" w:fill="auto"/>
          </w:tcPr>
          <w:p w14:paraId="03B7B60C" w14:textId="77777777" w:rsidR="009D4A93" w:rsidRPr="00536CFD" w:rsidRDefault="009D4A93" w:rsidP="009D4A93">
            <w:pPr>
              <w:spacing w:after="0"/>
              <w:jc w:val="center"/>
              <w:rPr>
                <w:lang w:val="zh-CN"/>
              </w:rPr>
            </w:pPr>
            <w:r w:rsidRPr="00536CFD">
              <w:rPr>
                <w:lang w:val="zh-CN"/>
              </w:rPr>
              <w:t>99.99%</w:t>
            </w:r>
          </w:p>
        </w:tc>
        <w:tc>
          <w:tcPr>
            <w:tcW w:w="720" w:type="dxa"/>
            <w:tcBorders>
              <w:top w:val="single" w:sz="4" w:space="0" w:color="auto"/>
              <w:left w:val="nil"/>
              <w:bottom w:val="single" w:sz="4" w:space="0" w:color="auto"/>
              <w:right w:val="single" w:sz="4" w:space="0" w:color="auto"/>
            </w:tcBorders>
            <w:shd w:val="clear" w:color="auto" w:fill="auto"/>
          </w:tcPr>
          <w:p w14:paraId="39CF9BBD" w14:textId="77777777" w:rsidR="009D4A93" w:rsidRPr="00536CFD" w:rsidRDefault="009D4A93" w:rsidP="009D4A93">
            <w:pPr>
              <w:spacing w:after="0"/>
              <w:jc w:val="center"/>
              <w:rPr>
                <w:lang w:val="zh-CN"/>
              </w:rPr>
            </w:pPr>
            <w:r w:rsidRPr="00536CFD">
              <w:rPr>
                <w:lang w:val="zh-CN"/>
              </w:rPr>
              <w:t>99.89%</w:t>
            </w:r>
          </w:p>
        </w:tc>
        <w:tc>
          <w:tcPr>
            <w:tcW w:w="724" w:type="dxa"/>
            <w:tcBorders>
              <w:top w:val="single" w:sz="4" w:space="0" w:color="auto"/>
              <w:left w:val="nil"/>
              <w:bottom w:val="single" w:sz="4" w:space="0" w:color="auto"/>
              <w:right w:val="single" w:sz="4" w:space="0" w:color="auto"/>
            </w:tcBorders>
            <w:shd w:val="clear" w:color="auto" w:fill="auto"/>
          </w:tcPr>
          <w:p w14:paraId="6C967008" w14:textId="77777777" w:rsidR="009D4A93" w:rsidRPr="00536CFD" w:rsidRDefault="009D4A93" w:rsidP="009D4A93">
            <w:pPr>
              <w:spacing w:after="0"/>
              <w:jc w:val="center"/>
              <w:rPr>
                <w:lang w:val="zh-CN"/>
              </w:rPr>
            </w:pPr>
            <w:r w:rsidRPr="00536CFD">
              <w:rPr>
                <w:lang w:val="zh-CN"/>
              </w:rPr>
              <w:t>98.46%</w:t>
            </w:r>
          </w:p>
        </w:tc>
        <w:tc>
          <w:tcPr>
            <w:tcW w:w="896" w:type="dxa"/>
            <w:tcBorders>
              <w:top w:val="single" w:sz="4" w:space="0" w:color="auto"/>
              <w:left w:val="nil"/>
              <w:bottom w:val="single" w:sz="4" w:space="0" w:color="auto"/>
              <w:right w:val="single" w:sz="4" w:space="0" w:color="auto"/>
            </w:tcBorders>
            <w:shd w:val="clear" w:color="auto" w:fill="auto"/>
          </w:tcPr>
          <w:p w14:paraId="6254E2F5" w14:textId="77777777" w:rsidR="009D4A93" w:rsidRPr="00536CFD" w:rsidRDefault="009D4A93" w:rsidP="009D4A93">
            <w:pPr>
              <w:spacing w:after="0"/>
              <w:jc w:val="center"/>
              <w:rPr>
                <w:lang w:val="zh-CN"/>
              </w:rPr>
            </w:pPr>
            <w:r w:rsidRPr="00536CFD">
              <w:rPr>
                <w:lang w:val="zh-CN"/>
              </w:rPr>
              <w:t>99.72%</w:t>
            </w:r>
          </w:p>
        </w:tc>
        <w:tc>
          <w:tcPr>
            <w:tcW w:w="720" w:type="dxa"/>
            <w:tcBorders>
              <w:top w:val="single" w:sz="4" w:space="0" w:color="auto"/>
              <w:left w:val="nil"/>
              <w:bottom w:val="single" w:sz="4" w:space="0" w:color="auto"/>
              <w:right w:val="single" w:sz="4" w:space="0" w:color="auto"/>
            </w:tcBorders>
            <w:shd w:val="clear" w:color="auto" w:fill="auto"/>
          </w:tcPr>
          <w:p w14:paraId="6D93BB2D" w14:textId="77777777" w:rsidR="009D4A93" w:rsidRPr="00536CFD" w:rsidRDefault="009D4A93" w:rsidP="009D4A93">
            <w:pPr>
              <w:spacing w:after="0"/>
              <w:jc w:val="center"/>
              <w:rPr>
                <w:lang w:val="zh-CN"/>
              </w:rPr>
            </w:pPr>
            <w:r w:rsidRPr="00536CFD">
              <w:rPr>
                <w:lang w:val="zh-CN"/>
              </w:rPr>
              <w:t>99.75%</w:t>
            </w:r>
          </w:p>
        </w:tc>
        <w:tc>
          <w:tcPr>
            <w:tcW w:w="720" w:type="dxa"/>
            <w:tcBorders>
              <w:top w:val="single" w:sz="4" w:space="0" w:color="auto"/>
              <w:left w:val="nil"/>
              <w:bottom w:val="single" w:sz="4" w:space="0" w:color="auto"/>
              <w:right w:val="single" w:sz="4" w:space="0" w:color="auto"/>
            </w:tcBorders>
            <w:shd w:val="clear" w:color="auto" w:fill="auto"/>
          </w:tcPr>
          <w:p w14:paraId="578095F2" w14:textId="77777777" w:rsidR="009D4A93" w:rsidRPr="00536CFD" w:rsidRDefault="009D4A93" w:rsidP="009D4A93">
            <w:pPr>
              <w:spacing w:after="0"/>
              <w:jc w:val="center"/>
              <w:rPr>
                <w:lang w:val="zh-CN"/>
              </w:rPr>
            </w:pPr>
            <w:r w:rsidRPr="00536CFD">
              <w:rPr>
                <w:lang w:val="zh-CN"/>
              </w:rPr>
              <w:t>99.83%</w:t>
            </w:r>
          </w:p>
        </w:tc>
      </w:tr>
      <w:tr w:rsidR="009D4A93" w:rsidRPr="00536CFD" w14:paraId="6530CFF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68C9E06"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B9717A2"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tcPr>
          <w:p w14:paraId="5E727851" w14:textId="77777777" w:rsidR="009D4A93" w:rsidRPr="00536CFD" w:rsidRDefault="009D4A93" w:rsidP="009D4A93">
            <w:pPr>
              <w:spacing w:after="0"/>
              <w:jc w:val="center"/>
              <w:rPr>
                <w:lang w:val="zh-CN"/>
              </w:rPr>
            </w:pPr>
            <w:r w:rsidRPr="00536CFD">
              <w:rPr>
                <w:lang w:val="zh-CN"/>
              </w:rPr>
              <w:t>99.60%</w:t>
            </w:r>
          </w:p>
        </w:tc>
        <w:tc>
          <w:tcPr>
            <w:tcW w:w="720" w:type="dxa"/>
            <w:tcBorders>
              <w:top w:val="single" w:sz="4" w:space="0" w:color="auto"/>
              <w:left w:val="nil"/>
              <w:bottom w:val="single" w:sz="4" w:space="0" w:color="auto"/>
              <w:right w:val="single" w:sz="4" w:space="0" w:color="auto"/>
            </w:tcBorders>
            <w:shd w:val="clear" w:color="auto" w:fill="auto"/>
          </w:tcPr>
          <w:p w14:paraId="687EACCA" w14:textId="77777777" w:rsidR="009D4A93" w:rsidRPr="00536CFD" w:rsidRDefault="009D4A93" w:rsidP="009D4A93">
            <w:pPr>
              <w:spacing w:after="0"/>
              <w:jc w:val="center"/>
              <w:rPr>
                <w:lang w:val="zh-CN"/>
              </w:rPr>
            </w:pPr>
            <w:r w:rsidRPr="00536CFD">
              <w:rPr>
                <w:lang w:val="zh-CN"/>
              </w:rPr>
              <w:t>99.85%</w:t>
            </w:r>
          </w:p>
        </w:tc>
        <w:tc>
          <w:tcPr>
            <w:tcW w:w="720" w:type="dxa"/>
            <w:tcBorders>
              <w:top w:val="single" w:sz="4" w:space="0" w:color="auto"/>
              <w:left w:val="nil"/>
              <w:bottom w:val="single" w:sz="4" w:space="0" w:color="auto"/>
              <w:right w:val="single" w:sz="4" w:space="0" w:color="auto"/>
            </w:tcBorders>
            <w:shd w:val="clear" w:color="auto" w:fill="auto"/>
          </w:tcPr>
          <w:p w14:paraId="5EB7BAC4" w14:textId="77777777" w:rsidR="009D4A93" w:rsidRPr="00536CFD" w:rsidRDefault="009D4A93" w:rsidP="009D4A93">
            <w:pPr>
              <w:spacing w:after="0"/>
              <w:jc w:val="center"/>
              <w:rPr>
                <w:lang w:val="zh-CN"/>
              </w:rPr>
            </w:pPr>
            <w:r w:rsidRPr="00536CFD">
              <w:rPr>
                <w:lang w:val="zh-CN"/>
              </w:rPr>
              <w:t>99.61%</w:t>
            </w:r>
          </w:p>
        </w:tc>
        <w:tc>
          <w:tcPr>
            <w:tcW w:w="810" w:type="dxa"/>
            <w:tcBorders>
              <w:top w:val="single" w:sz="4" w:space="0" w:color="auto"/>
              <w:left w:val="nil"/>
              <w:bottom w:val="single" w:sz="4" w:space="0" w:color="auto"/>
              <w:right w:val="single" w:sz="4" w:space="0" w:color="auto"/>
            </w:tcBorders>
            <w:shd w:val="clear" w:color="auto" w:fill="auto"/>
          </w:tcPr>
          <w:p w14:paraId="4984D4EF"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07E9A59A" w14:textId="77777777" w:rsidR="009D4A93" w:rsidRPr="00536CFD" w:rsidRDefault="009D4A93" w:rsidP="009D4A93">
            <w:pPr>
              <w:spacing w:after="0"/>
              <w:jc w:val="center"/>
              <w:rPr>
                <w:lang w:val="zh-CN"/>
              </w:rPr>
            </w:pPr>
            <w:r w:rsidRPr="00536CFD">
              <w:rPr>
                <w:lang w:val="zh-CN"/>
              </w:rPr>
              <w:t>99.56%</w:t>
            </w:r>
          </w:p>
        </w:tc>
        <w:tc>
          <w:tcPr>
            <w:tcW w:w="820" w:type="dxa"/>
            <w:tcBorders>
              <w:top w:val="single" w:sz="4" w:space="0" w:color="auto"/>
              <w:left w:val="nil"/>
              <w:bottom w:val="single" w:sz="4" w:space="0" w:color="auto"/>
              <w:right w:val="single" w:sz="4" w:space="0" w:color="auto"/>
            </w:tcBorders>
            <w:shd w:val="clear" w:color="auto" w:fill="auto"/>
          </w:tcPr>
          <w:p w14:paraId="2982B114" w14:textId="77777777" w:rsidR="009D4A93" w:rsidRPr="00536CFD" w:rsidRDefault="009D4A93" w:rsidP="009D4A93">
            <w:pPr>
              <w:spacing w:after="0"/>
              <w:jc w:val="center"/>
              <w:rPr>
                <w:lang w:val="zh-CN"/>
              </w:rPr>
            </w:pPr>
            <w:r w:rsidRPr="00536CFD">
              <w:rPr>
                <w:lang w:val="zh-CN"/>
              </w:rPr>
              <w:t>99.61%</w:t>
            </w:r>
          </w:p>
        </w:tc>
        <w:tc>
          <w:tcPr>
            <w:tcW w:w="800" w:type="dxa"/>
            <w:tcBorders>
              <w:top w:val="single" w:sz="4" w:space="0" w:color="auto"/>
              <w:left w:val="nil"/>
              <w:bottom w:val="single" w:sz="4" w:space="0" w:color="auto"/>
              <w:right w:val="single" w:sz="4" w:space="0" w:color="auto"/>
            </w:tcBorders>
            <w:shd w:val="clear" w:color="auto" w:fill="auto"/>
          </w:tcPr>
          <w:p w14:paraId="15D02595" w14:textId="77777777" w:rsidR="009D4A93" w:rsidRPr="00536CFD" w:rsidRDefault="009D4A93" w:rsidP="009D4A93">
            <w:pPr>
              <w:spacing w:after="0"/>
              <w:jc w:val="center"/>
              <w:rPr>
                <w:lang w:val="zh-CN"/>
              </w:rPr>
            </w:pPr>
            <w:r w:rsidRPr="00536CFD">
              <w:rPr>
                <w:lang w:val="zh-CN"/>
              </w:rPr>
              <w:t>99.74%</w:t>
            </w:r>
          </w:p>
        </w:tc>
        <w:tc>
          <w:tcPr>
            <w:tcW w:w="720" w:type="dxa"/>
            <w:tcBorders>
              <w:top w:val="single" w:sz="4" w:space="0" w:color="auto"/>
              <w:left w:val="nil"/>
              <w:bottom w:val="single" w:sz="4" w:space="0" w:color="auto"/>
              <w:right w:val="single" w:sz="4" w:space="0" w:color="auto"/>
            </w:tcBorders>
            <w:shd w:val="clear" w:color="auto" w:fill="auto"/>
          </w:tcPr>
          <w:p w14:paraId="6D3E8C62" w14:textId="77777777" w:rsidR="009D4A93" w:rsidRPr="00536CFD" w:rsidRDefault="009D4A93" w:rsidP="009D4A93">
            <w:pPr>
              <w:spacing w:after="0"/>
              <w:jc w:val="center"/>
              <w:rPr>
                <w:lang w:val="zh-CN"/>
              </w:rPr>
            </w:pPr>
            <w:r w:rsidRPr="00536CFD">
              <w:rPr>
                <w:lang w:val="zh-CN"/>
              </w:rPr>
              <w:t>99.76%</w:t>
            </w:r>
          </w:p>
        </w:tc>
        <w:tc>
          <w:tcPr>
            <w:tcW w:w="724" w:type="dxa"/>
            <w:tcBorders>
              <w:top w:val="single" w:sz="4" w:space="0" w:color="auto"/>
              <w:left w:val="nil"/>
              <w:bottom w:val="single" w:sz="4" w:space="0" w:color="auto"/>
              <w:right w:val="single" w:sz="4" w:space="0" w:color="auto"/>
            </w:tcBorders>
            <w:shd w:val="clear" w:color="auto" w:fill="auto"/>
          </w:tcPr>
          <w:p w14:paraId="139C81D7" w14:textId="77777777" w:rsidR="009D4A93" w:rsidRPr="00536CFD" w:rsidRDefault="009D4A93" w:rsidP="009D4A93">
            <w:pPr>
              <w:spacing w:after="0"/>
              <w:jc w:val="center"/>
              <w:rPr>
                <w:lang w:val="zh-CN"/>
              </w:rPr>
            </w:pPr>
            <w:r w:rsidRPr="00536CFD">
              <w:rPr>
                <w:lang w:val="zh-CN"/>
              </w:rPr>
              <w:t>96.78%</w:t>
            </w:r>
          </w:p>
        </w:tc>
        <w:tc>
          <w:tcPr>
            <w:tcW w:w="896" w:type="dxa"/>
            <w:tcBorders>
              <w:top w:val="single" w:sz="4" w:space="0" w:color="auto"/>
              <w:left w:val="nil"/>
              <w:bottom w:val="single" w:sz="4" w:space="0" w:color="auto"/>
              <w:right w:val="single" w:sz="4" w:space="0" w:color="auto"/>
            </w:tcBorders>
            <w:shd w:val="clear" w:color="auto" w:fill="auto"/>
          </w:tcPr>
          <w:p w14:paraId="762DE0DB" w14:textId="77777777" w:rsidR="009D4A93" w:rsidRPr="00536CFD" w:rsidRDefault="009D4A93" w:rsidP="009D4A93">
            <w:pPr>
              <w:spacing w:after="0"/>
              <w:jc w:val="center"/>
              <w:rPr>
                <w:lang w:val="zh-CN"/>
              </w:rPr>
            </w:pPr>
            <w:r w:rsidRPr="00536CFD">
              <w:rPr>
                <w:lang w:val="zh-CN"/>
              </w:rPr>
              <w:t>99.55%</w:t>
            </w:r>
          </w:p>
        </w:tc>
        <w:tc>
          <w:tcPr>
            <w:tcW w:w="720" w:type="dxa"/>
            <w:tcBorders>
              <w:top w:val="single" w:sz="4" w:space="0" w:color="auto"/>
              <w:left w:val="nil"/>
              <w:bottom w:val="single" w:sz="4" w:space="0" w:color="auto"/>
              <w:right w:val="single" w:sz="4" w:space="0" w:color="auto"/>
            </w:tcBorders>
            <w:shd w:val="clear" w:color="auto" w:fill="auto"/>
          </w:tcPr>
          <w:p w14:paraId="591823E6" w14:textId="77777777" w:rsidR="009D4A93" w:rsidRPr="00536CFD" w:rsidRDefault="009D4A93" w:rsidP="009D4A93">
            <w:pPr>
              <w:spacing w:after="0"/>
              <w:jc w:val="center"/>
              <w:rPr>
                <w:lang w:val="zh-CN"/>
              </w:rPr>
            </w:pPr>
            <w:r w:rsidRPr="00536CFD">
              <w:rPr>
                <w:lang w:val="zh-CN"/>
              </w:rPr>
              <w:t>99.63%</w:t>
            </w:r>
          </w:p>
        </w:tc>
        <w:tc>
          <w:tcPr>
            <w:tcW w:w="720" w:type="dxa"/>
            <w:tcBorders>
              <w:top w:val="single" w:sz="4" w:space="0" w:color="auto"/>
              <w:left w:val="nil"/>
              <w:bottom w:val="single" w:sz="4" w:space="0" w:color="auto"/>
              <w:right w:val="single" w:sz="4" w:space="0" w:color="auto"/>
            </w:tcBorders>
            <w:shd w:val="clear" w:color="auto" w:fill="auto"/>
          </w:tcPr>
          <w:p w14:paraId="0E260F97" w14:textId="77777777" w:rsidR="009D4A93" w:rsidRPr="00536CFD" w:rsidRDefault="009D4A93" w:rsidP="009D4A93">
            <w:pPr>
              <w:spacing w:after="0"/>
              <w:jc w:val="center"/>
              <w:rPr>
                <w:lang w:val="zh-CN"/>
              </w:rPr>
            </w:pPr>
            <w:r w:rsidRPr="00536CFD">
              <w:rPr>
                <w:lang w:val="zh-CN"/>
              </w:rPr>
              <w:t>99.73%</w:t>
            </w:r>
          </w:p>
        </w:tc>
      </w:tr>
      <w:tr w:rsidR="009D4A93" w:rsidRPr="00536CFD" w14:paraId="66F8002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CA66AAE"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757610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vAlign w:val="center"/>
          </w:tcPr>
          <w:p w14:paraId="2E328F94" w14:textId="77777777" w:rsidR="009D4A93" w:rsidRPr="00536CFD" w:rsidRDefault="009D4A93" w:rsidP="009D4A93">
            <w:pPr>
              <w:spacing w:after="0"/>
              <w:jc w:val="center"/>
              <w:rPr>
                <w:lang w:val="zh-CN"/>
              </w:rPr>
            </w:pPr>
            <w:r w:rsidRPr="00536CFD">
              <w:rPr>
                <w:lang w:val="zh-CN"/>
              </w:rPr>
              <w:t>17%</w:t>
            </w:r>
          </w:p>
        </w:tc>
        <w:tc>
          <w:tcPr>
            <w:tcW w:w="720" w:type="dxa"/>
            <w:tcBorders>
              <w:top w:val="single" w:sz="4" w:space="0" w:color="auto"/>
              <w:left w:val="nil"/>
              <w:bottom w:val="single" w:sz="4" w:space="0" w:color="auto"/>
              <w:right w:val="single" w:sz="4" w:space="0" w:color="auto"/>
            </w:tcBorders>
            <w:shd w:val="clear" w:color="auto" w:fill="auto"/>
            <w:vAlign w:val="center"/>
          </w:tcPr>
          <w:p w14:paraId="64BAFD86" w14:textId="77777777" w:rsidR="009D4A93" w:rsidRPr="00536CFD" w:rsidRDefault="009D4A93" w:rsidP="009D4A93">
            <w:pPr>
              <w:spacing w:after="0"/>
              <w:jc w:val="center"/>
              <w:rPr>
                <w:lang w:val="zh-CN"/>
              </w:rPr>
            </w:pPr>
            <w:r w:rsidRPr="00536CFD">
              <w:rPr>
                <w:lang w:val="zh-CN"/>
              </w:rPr>
              <w:t>14.00%</w:t>
            </w:r>
          </w:p>
        </w:tc>
        <w:tc>
          <w:tcPr>
            <w:tcW w:w="720" w:type="dxa"/>
            <w:tcBorders>
              <w:top w:val="single" w:sz="4" w:space="0" w:color="auto"/>
              <w:left w:val="nil"/>
              <w:bottom w:val="single" w:sz="4" w:space="0" w:color="auto"/>
              <w:right w:val="single" w:sz="4" w:space="0" w:color="auto"/>
            </w:tcBorders>
            <w:shd w:val="clear" w:color="auto" w:fill="auto"/>
            <w:vAlign w:val="center"/>
          </w:tcPr>
          <w:p w14:paraId="749CF8EF" w14:textId="77777777" w:rsidR="009D4A93" w:rsidRPr="00536CFD" w:rsidRDefault="009D4A93" w:rsidP="009D4A93">
            <w:pPr>
              <w:spacing w:after="0"/>
              <w:jc w:val="center"/>
              <w:rPr>
                <w:lang w:val="zh-CN"/>
              </w:rPr>
            </w:pPr>
            <w:r w:rsidRPr="00536CFD">
              <w:rPr>
                <w:lang w:val="zh-CN"/>
              </w:rPr>
              <w:t>11.00%</w:t>
            </w:r>
          </w:p>
        </w:tc>
        <w:tc>
          <w:tcPr>
            <w:tcW w:w="810" w:type="dxa"/>
            <w:tcBorders>
              <w:top w:val="single" w:sz="4" w:space="0" w:color="auto"/>
              <w:left w:val="nil"/>
              <w:bottom w:val="single" w:sz="4" w:space="0" w:color="auto"/>
              <w:right w:val="single" w:sz="4" w:space="0" w:color="auto"/>
            </w:tcBorders>
            <w:shd w:val="clear" w:color="auto" w:fill="auto"/>
            <w:vAlign w:val="center"/>
          </w:tcPr>
          <w:p w14:paraId="4506E14F" w14:textId="77777777" w:rsidR="009D4A93" w:rsidRPr="00536CFD" w:rsidRDefault="009D4A93" w:rsidP="009D4A93">
            <w:pPr>
              <w:spacing w:after="0"/>
              <w:jc w:val="center"/>
              <w:rPr>
                <w:lang w:val="zh-CN"/>
              </w:rPr>
            </w:pPr>
            <w:r w:rsidRPr="00536CFD">
              <w:rPr>
                <w:lang w:val="zh-CN"/>
              </w:rPr>
              <w:t>10.00%</w:t>
            </w:r>
          </w:p>
        </w:tc>
        <w:tc>
          <w:tcPr>
            <w:tcW w:w="810" w:type="dxa"/>
            <w:tcBorders>
              <w:top w:val="single" w:sz="4" w:space="0" w:color="auto"/>
              <w:left w:val="nil"/>
              <w:bottom w:val="single" w:sz="4" w:space="0" w:color="auto"/>
              <w:right w:val="single" w:sz="4" w:space="0" w:color="auto"/>
            </w:tcBorders>
            <w:shd w:val="clear" w:color="auto" w:fill="auto"/>
            <w:vAlign w:val="center"/>
          </w:tcPr>
          <w:p w14:paraId="33FE7089" w14:textId="77777777" w:rsidR="009D4A93" w:rsidRPr="00536CFD" w:rsidRDefault="009D4A93" w:rsidP="009D4A93">
            <w:pPr>
              <w:spacing w:after="0"/>
              <w:jc w:val="center"/>
              <w:rPr>
                <w:lang w:val="zh-CN"/>
              </w:rPr>
            </w:pPr>
            <w:r w:rsidRPr="00536CFD">
              <w:rPr>
                <w:lang w:val="zh-CN"/>
              </w:rPr>
              <w:t>35%</w:t>
            </w:r>
          </w:p>
        </w:tc>
        <w:tc>
          <w:tcPr>
            <w:tcW w:w="820" w:type="dxa"/>
            <w:tcBorders>
              <w:top w:val="single" w:sz="4" w:space="0" w:color="auto"/>
              <w:left w:val="nil"/>
              <w:bottom w:val="single" w:sz="4" w:space="0" w:color="auto"/>
              <w:right w:val="single" w:sz="4" w:space="0" w:color="auto"/>
            </w:tcBorders>
            <w:shd w:val="clear" w:color="auto" w:fill="auto"/>
            <w:vAlign w:val="center"/>
          </w:tcPr>
          <w:p w14:paraId="433013A2" w14:textId="77777777" w:rsidR="009D4A93" w:rsidRPr="00536CFD" w:rsidRDefault="009D4A93" w:rsidP="009D4A93">
            <w:pPr>
              <w:spacing w:after="0"/>
              <w:jc w:val="center"/>
              <w:rPr>
                <w:lang w:val="zh-CN"/>
              </w:rPr>
            </w:pPr>
            <w:r w:rsidRPr="00536CFD">
              <w:rPr>
                <w:lang w:val="zh-CN"/>
              </w:rPr>
              <w:t>23.00%</w:t>
            </w:r>
          </w:p>
        </w:tc>
        <w:tc>
          <w:tcPr>
            <w:tcW w:w="800" w:type="dxa"/>
            <w:tcBorders>
              <w:top w:val="single" w:sz="4" w:space="0" w:color="auto"/>
              <w:left w:val="nil"/>
              <w:bottom w:val="single" w:sz="4" w:space="0" w:color="auto"/>
              <w:right w:val="single" w:sz="4" w:space="0" w:color="auto"/>
            </w:tcBorders>
            <w:shd w:val="clear" w:color="auto" w:fill="auto"/>
            <w:vAlign w:val="center"/>
          </w:tcPr>
          <w:p w14:paraId="266DFBDB" w14:textId="77777777" w:rsidR="009D4A93" w:rsidRPr="00536CFD" w:rsidRDefault="009D4A93" w:rsidP="009D4A93">
            <w:pPr>
              <w:spacing w:after="0"/>
              <w:jc w:val="center"/>
              <w:rPr>
                <w:lang w:val="zh-CN"/>
              </w:rPr>
            </w:pPr>
            <w:r w:rsidRPr="00536CFD">
              <w:rPr>
                <w:lang w:val="zh-CN"/>
              </w:rPr>
              <w:t>18.00%</w:t>
            </w:r>
          </w:p>
        </w:tc>
        <w:tc>
          <w:tcPr>
            <w:tcW w:w="720" w:type="dxa"/>
            <w:tcBorders>
              <w:top w:val="single" w:sz="4" w:space="0" w:color="auto"/>
              <w:left w:val="nil"/>
              <w:bottom w:val="single" w:sz="4" w:space="0" w:color="auto"/>
              <w:right w:val="single" w:sz="4" w:space="0" w:color="auto"/>
            </w:tcBorders>
            <w:shd w:val="clear" w:color="auto" w:fill="auto"/>
            <w:vAlign w:val="center"/>
          </w:tcPr>
          <w:p w14:paraId="6463B767" w14:textId="77777777" w:rsidR="009D4A93" w:rsidRPr="00536CFD" w:rsidRDefault="009D4A93" w:rsidP="009D4A93">
            <w:pPr>
              <w:spacing w:after="0"/>
              <w:jc w:val="center"/>
              <w:rPr>
                <w:lang w:val="zh-CN"/>
              </w:rPr>
            </w:pPr>
            <w:r w:rsidRPr="00536CFD">
              <w:rPr>
                <w:lang w:val="zh-CN"/>
              </w:rPr>
              <w:t>16.00%</w:t>
            </w:r>
          </w:p>
        </w:tc>
        <w:tc>
          <w:tcPr>
            <w:tcW w:w="724" w:type="dxa"/>
            <w:tcBorders>
              <w:top w:val="single" w:sz="4" w:space="0" w:color="auto"/>
              <w:left w:val="nil"/>
              <w:bottom w:val="single" w:sz="4" w:space="0" w:color="auto"/>
              <w:right w:val="single" w:sz="4" w:space="0" w:color="auto"/>
            </w:tcBorders>
            <w:shd w:val="clear" w:color="auto" w:fill="auto"/>
            <w:vAlign w:val="center"/>
          </w:tcPr>
          <w:p w14:paraId="607FE91F" w14:textId="77777777" w:rsidR="009D4A93" w:rsidRPr="00536CFD" w:rsidRDefault="009D4A93" w:rsidP="009D4A93">
            <w:pPr>
              <w:spacing w:after="0"/>
              <w:jc w:val="center"/>
              <w:rPr>
                <w:lang w:val="zh-CN"/>
              </w:rPr>
            </w:pPr>
            <w:r w:rsidRPr="00536CFD">
              <w:rPr>
                <w:lang w:val="zh-CN"/>
              </w:rPr>
              <w:t>55%</w:t>
            </w:r>
          </w:p>
        </w:tc>
        <w:tc>
          <w:tcPr>
            <w:tcW w:w="896" w:type="dxa"/>
            <w:tcBorders>
              <w:top w:val="single" w:sz="4" w:space="0" w:color="auto"/>
              <w:left w:val="nil"/>
              <w:bottom w:val="single" w:sz="4" w:space="0" w:color="auto"/>
              <w:right w:val="single" w:sz="4" w:space="0" w:color="auto"/>
            </w:tcBorders>
            <w:shd w:val="clear" w:color="auto" w:fill="auto"/>
            <w:vAlign w:val="center"/>
          </w:tcPr>
          <w:p w14:paraId="261F2A06" w14:textId="77777777" w:rsidR="009D4A93" w:rsidRPr="00536CFD" w:rsidRDefault="009D4A93" w:rsidP="009D4A93">
            <w:pPr>
              <w:spacing w:after="0"/>
              <w:jc w:val="center"/>
              <w:rPr>
                <w:lang w:val="zh-CN"/>
              </w:rPr>
            </w:pPr>
            <w:r w:rsidRPr="00536CFD">
              <w:rPr>
                <w:lang w:val="zh-CN"/>
              </w:rPr>
              <w:t>29.00%</w:t>
            </w:r>
          </w:p>
        </w:tc>
        <w:tc>
          <w:tcPr>
            <w:tcW w:w="720" w:type="dxa"/>
            <w:tcBorders>
              <w:top w:val="single" w:sz="4" w:space="0" w:color="auto"/>
              <w:left w:val="nil"/>
              <w:bottom w:val="single" w:sz="4" w:space="0" w:color="auto"/>
              <w:right w:val="single" w:sz="4" w:space="0" w:color="auto"/>
            </w:tcBorders>
            <w:shd w:val="clear" w:color="auto" w:fill="auto"/>
            <w:vAlign w:val="center"/>
          </w:tcPr>
          <w:p w14:paraId="149BE0E7" w14:textId="77777777" w:rsidR="009D4A93" w:rsidRPr="00536CFD" w:rsidRDefault="009D4A93" w:rsidP="009D4A93">
            <w:pPr>
              <w:spacing w:after="0"/>
              <w:jc w:val="center"/>
              <w:rPr>
                <w:lang w:val="zh-CN"/>
              </w:rPr>
            </w:pPr>
            <w:r w:rsidRPr="00536CFD">
              <w:rPr>
                <w:lang w:val="zh-CN"/>
              </w:rPr>
              <w:t>23.00%</w:t>
            </w:r>
          </w:p>
        </w:tc>
        <w:tc>
          <w:tcPr>
            <w:tcW w:w="720" w:type="dxa"/>
            <w:tcBorders>
              <w:top w:val="single" w:sz="4" w:space="0" w:color="auto"/>
              <w:left w:val="nil"/>
              <w:bottom w:val="single" w:sz="4" w:space="0" w:color="auto"/>
              <w:right w:val="single" w:sz="4" w:space="0" w:color="auto"/>
            </w:tcBorders>
            <w:shd w:val="clear" w:color="auto" w:fill="auto"/>
            <w:vAlign w:val="center"/>
          </w:tcPr>
          <w:p w14:paraId="3B0FC4A7" w14:textId="77777777" w:rsidR="009D4A93" w:rsidRPr="00536CFD" w:rsidRDefault="009D4A93" w:rsidP="009D4A93">
            <w:pPr>
              <w:spacing w:after="0"/>
              <w:jc w:val="center"/>
              <w:rPr>
                <w:lang w:val="zh-CN"/>
              </w:rPr>
            </w:pPr>
            <w:r w:rsidRPr="00536CFD">
              <w:rPr>
                <w:lang w:val="zh-CN"/>
              </w:rPr>
              <w:t>19.00%</w:t>
            </w:r>
          </w:p>
        </w:tc>
      </w:tr>
      <w:tr w:rsidR="009D4A93" w:rsidRPr="00536CFD" w14:paraId="47A6F74D"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329B41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1EE1EB0"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vAlign w:val="center"/>
          </w:tcPr>
          <w:p w14:paraId="271BFAFD" w14:textId="77777777" w:rsidR="009D4A93" w:rsidRPr="00536CFD" w:rsidRDefault="009D4A93" w:rsidP="009D4A93">
            <w:pPr>
              <w:spacing w:after="0"/>
              <w:jc w:val="center"/>
              <w:rPr>
                <w:lang w:eastAsia="x-none"/>
              </w:rPr>
            </w:pPr>
            <w:r w:rsidRPr="00536CFD">
              <w:rPr>
                <w:lang w:eastAsia="x-none"/>
              </w:rPr>
              <w:t>0.2 files/s</w:t>
            </w:r>
          </w:p>
        </w:tc>
        <w:tc>
          <w:tcPr>
            <w:tcW w:w="3150" w:type="dxa"/>
            <w:gridSpan w:val="4"/>
            <w:tcBorders>
              <w:top w:val="single" w:sz="4" w:space="0" w:color="auto"/>
              <w:left w:val="nil"/>
              <w:bottom w:val="single" w:sz="4" w:space="0" w:color="auto"/>
              <w:right w:val="single" w:sz="4" w:space="0" w:color="auto"/>
            </w:tcBorders>
            <w:shd w:val="clear" w:color="auto" w:fill="auto"/>
            <w:vAlign w:val="center"/>
          </w:tcPr>
          <w:p w14:paraId="77788677" w14:textId="77777777" w:rsidR="009D4A93" w:rsidRPr="00536CFD" w:rsidRDefault="009D4A93" w:rsidP="009D4A93">
            <w:pPr>
              <w:spacing w:after="0"/>
              <w:jc w:val="center"/>
              <w:rPr>
                <w:lang w:eastAsia="x-none"/>
              </w:rPr>
            </w:pPr>
            <w:r w:rsidRPr="00536CFD">
              <w:rPr>
                <w:lang w:eastAsia="x-none"/>
              </w:rPr>
              <w:t>0.3 files/s</w:t>
            </w:r>
          </w:p>
        </w:tc>
        <w:tc>
          <w:tcPr>
            <w:tcW w:w="3060" w:type="dxa"/>
            <w:gridSpan w:val="4"/>
            <w:tcBorders>
              <w:top w:val="single" w:sz="4" w:space="0" w:color="auto"/>
              <w:left w:val="nil"/>
              <w:bottom w:val="single" w:sz="4" w:space="0" w:color="auto"/>
              <w:right w:val="single" w:sz="4" w:space="0" w:color="auto"/>
            </w:tcBorders>
            <w:shd w:val="clear" w:color="auto" w:fill="auto"/>
            <w:vAlign w:val="center"/>
          </w:tcPr>
          <w:p w14:paraId="65CB69CE" w14:textId="77777777" w:rsidR="009D4A93" w:rsidRPr="00536CFD" w:rsidRDefault="009D4A93" w:rsidP="009D4A93">
            <w:pPr>
              <w:spacing w:after="0"/>
              <w:jc w:val="center"/>
              <w:rPr>
                <w:lang w:eastAsia="x-none"/>
              </w:rPr>
            </w:pPr>
            <w:r w:rsidRPr="00536CFD">
              <w:rPr>
                <w:lang w:eastAsia="x-none"/>
              </w:rPr>
              <w:t>0.35 files/s</w:t>
            </w:r>
          </w:p>
        </w:tc>
      </w:tr>
      <w:tr w:rsidR="009D4A93" w:rsidRPr="00536CFD" w14:paraId="121A9AA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B6A1B4A"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60A5C950"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5328DD66" w14:textId="77777777" w:rsidR="009D4A93" w:rsidRPr="00536CFD" w:rsidRDefault="009D4A93" w:rsidP="009D4A93">
            <w:pPr>
              <w:spacing w:after="0"/>
              <w:contextualSpacing/>
              <w:rPr>
                <w:lang w:val="en-US" w:bidi="ar"/>
              </w:rPr>
            </w:pPr>
            <w:r w:rsidRPr="00536CFD">
              <w:rPr>
                <w:lang w:val="en-US" w:bidi="ar"/>
              </w:rPr>
              <w:t xml:space="preserve">Additional comments: </w:t>
            </w:r>
          </w:p>
          <w:p w14:paraId="61C27C00" w14:textId="77777777" w:rsidR="009D4A93" w:rsidRPr="00536CFD" w:rsidRDefault="009D4A93" w:rsidP="009D4A93">
            <w:pPr>
              <w:spacing w:after="0"/>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7D1C060E" w14:textId="77777777" w:rsidR="009D4A93" w:rsidRPr="00536CFD" w:rsidRDefault="009D4A93" w:rsidP="009D4A93">
            <w:pPr>
              <w:spacing w:after="0"/>
              <w:contextualSpacing/>
              <w:rPr>
                <w:lang w:val="en-US" w:bidi="ar"/>
              </w:rPr>
            </w:pPr>
            <w:r w:rsidRPr="00536CFD">
              <w:rPr>
                <w:b/>
                <w:lang w:val="en-US" w:bidi="ar"/>
              </w:rPr>
              <w:t>NRU assumption:</w:t>
            </w:r>
            <w:r w:rsidRPr="00536CFD">
              <w:rPr>
                <w:lang w:val="en-US" w:bidi="ar"/>
              </w:rPr>
              <w:t xml:space="preserve"> 8ms MCOT;  ED=-72dBm; 256 QAM LDPC; 60 kHz SCS NCP; UE processing time capability #1; NR type B for PDSCH, type A for PUSCH</w:t>
            </w:r>
          </w:p>
          <w:p w14:paraId="3721432B" w14:textId="77777777" w:rsidR="009D4A93" w:rsidRPr="00536CFD" w:rsidRDefault="009D4A93" w:rsidP="009D4A93">
            <w:pPr>
              <w:spacing w:after="0"/>
              <w:contextualSpacing/>
              <w:rPr>
                <w:lang w:val="en-US" w:bidi="ar"/>
              </w:rPr>
            </w:pPr>
            <w:r w:rsidRPr="00536CFD">
              <w:rPr>
                <w:b/>
                <w:lang w:val="en-US" w:bidi="ar"/>
              </w:rPr>
              <w:t>802.11ac assumption:</w:t>
            </w:r>
            <w:r w:rsidRPr="00536CFD">
              <w:rPr>
                <w:lang w:val="en-US" w:bidi="ar"/>
              </w:rPr>
              <w:t xml:space="preserve"> 4ms TXOP; RTS/CTS disabled for WiFi, NAV set based on L-SIG; PD=-82dBm/ED=-62dBm EDCA; 256 QAM BCC; A-MPDU, 1500B MSDU + 14 B header; Immediate ACK,312.5kHz SCS GI= 0.8us</w:t>
            </w:r>
          </w:p>
        </w:tc>
      </w:tr>
      <w:tr w:rsidR="009D4A93" w:rsidRPr="00536CFD" w14:paraId="21A7A131"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21AC67FE" w14:textId="77777777" w:rsidR="009D4A93" w:rsidRPr="00536CFD" w:rsidRDefault="009D4A93" w:rsidP="00536CFD">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R1-1814074 / Source 5</w:t>
            </w:r>
          </w:p>
        </w:tc>
        <w:tc>
          <w:tcPr>
            <w:tcW w:w="535" w:type="dxa"/>
            <w:vMerge w:val="restart"/>
            <w:tcBorders>
              <w:top w:val="nil"/>
              <w:left w:val="nil"/>
              <w:bottom w:val="single" w:sz="4" w:space="0" w:color="auto"/>
              <w:right w:val="single" w:sz="4" w:space="0" w:color="auto"/>
            </w:tcBorders>
            <w:shd w:val="clear" w:color="auto" w:fill="auto"/>
          </w:tcPr>
          <w:p w14:paraId="6E1E34E4"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17E002D2"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center"/>
          </w:tcPr>
          <w:p w14:paraId="07D8ECA9" w14:textId="77777777" w:rsidR="009D4A93" w:rsidRPr="00536CFD" w:rsidRDefault="009D4A93" w:rsidP="00536CFD">
            <w:pPr>
              <w:pageBreakBefore/>
              <w:spacing w:after="0"/>
              <w:jc w:val="center"/>
              <w:rPr>
                <w:lang w:val="zh-CN"/>
              </w:rPr>
            </w:pPr>
            <w:r w:rsidRPr="00536CFD">
              <w:rPr>
                <w:lang w:val="zh-CN"/>
              </w:rPr>
              <w:t>2.077</w:t>
            </w:r>
          </w:p>
        </w:tc>
        <w:tc>
          <w:tcPr>
            <w:tcW w:w="720" w:type="dxa"/>
            <w:tcBorders>
              <w:top w:val="single" w:sz="4" w:space="0" w:color="auto"/>
              <w:left w:val="nil"/>
              <w:bottom w:val="single" w:sz="4" w:space="0" w:color="auto"/>
              <w:right w:val="single" w:sz="4" w:space="0" w:color="auto"/>
            </w:tcBorders>
            <w:shd w:val="clear" w:color="auto" w:fill="auto"/>
            <w:vAlign w:val="center"/>
          </w:tcPr>
          <w:p w14:paraId="27FBD5FB" w14:textId="77777777" w:rsidR="009D4A93" w:rsidRPr="00536CFD" w:rsidRDefault="009D4A93" w:rsidP="00536CFD">
            <w:pPr>
              <w:pageBreakBefore/>
              <w:spacing w:after="0"/>
              <w:jc w:val="center"/>
              <w:rPr>
                <w:lang w:val="zh-CN"/>
              </w:rPr>
            </w:pPr>
            <w:r w:rsidRPr="00536CFD">
              <w:rPr>
                <w:lang w:val="zh-CN"/>
              </w:rPr>
              <w:t>2.086</w:t>
            </w:r>
          </w:p>
        </w:tc>
        <w:tc>
          <w:tcPr>
            <w:tcW w:w="720" w:type="dxa"/>
            <w:tcBorders>
              <w:top w:val="single" w:sz="4" w:space="0" w:color="auto"/>
              <w:left w:val="nil"/>
              <w:bottom w:val="single" w:sz="4" w:space="0" w:color="auto"/>
              <w:right w:val="single" w:sz="4" w:space="0" w:color="auto"/>
            </w:tcBorders>
            <w:shd w:val="clear" w:color="auto" w:fill="auto"/>
            <w:vAlign w:val="center"/>
          </w:tcPr>
          <w:p w14:paraId="034CB5B6" w14:textId="77777777" w:rsidR="009D4A93" w:rsidRPr="00536CFD" w:rsidRDefault="009D4A93" w:rsidP="00536CFD">
            <w:pPr>
              <w:pageBreakBefore/>
              <w:spacing w:after="0"/>
              <w:jc w:val="center"/>
              <w:rPr>
                <w:lang w:val="zh-CN"/>
              </w:rPr>
            </w:pPr>
            <w:r w:rsidRPr="00536CFD">
              <w:rPr>
                <w:lang w:val="zh-CN"/>
              </w:rPr>
              <w:t>3.529</w:t>
            </w:r>
          </w:p>
        </w:tc>
        <w:tc>
          <w:tcPr>
            <w:tcW w:w="810" w:type="dxa"/>
            <w:tcBorders>
              <w:top w:val="single" w:sz="4" w:space="0" w:color="auto"/>
              <w:left w:val="nil"/>
              <w:bottom w:val="single" w:sz="4" w:space="0" w:color="auto"/>
              <w:right w:val="single" w:sz="4" w:space="0" w:color="auto"/>
            </w:tcBorders>
            <w:shd w:val="clear" w:color="auto" w:fill="auto"/>
          </w:tcPr>
          <w:p w14:paraId="30E3AB16" w14:textId="77777777" w:rsidR="009D4A93" w:rsidRPr="00536CFD" w:rsidRDefault="009D4A93" w:rsidP="00536CFD">
            <w:pPr>
              <w:pageBreakBefore/>
              <w:spacing w:after="0"/>
              <w:jc w:val="center"/>
              <w:rPr>
                <w:lang w:val="zh-CN"/>
              </w:rPr>
            </w:pPr>
            <w:r w:rsidRPr="00536CFD">
              <w:rPr>
                <w:lang w:val="zh-CN"/>
              </w:rPr>
              <w:t>12.000</w:t>
            </w:r>
          </w:p>
        </w:tc>
        <w:tc>
          <w:tcPr>
            <w:tcW w:w="810" w:type="dxa"/>
            <w:tcBorders>
              <w:top w:val="single" w:sz="4" w:space="0" w:color="auto"/>
              <w:left w:val="nil"/>
              <w:bottom w:val="single" w:sz="4" w:space="0" w:color="auto"/>
              <w:right w:val="single" w:sz="4" w:space="0" w:color="auto"/>
            </w:tcBorders>
            <w:shd w:val="clear" w:color="auto" w:fill="auto"/>
            <w:vAlign w:val="center"/>
          </w:tcPr>
          <w:p w14:paraId="292725AA" w14:textId="77777777" w:rsidR="009D4A93" w:rsidRPr="00536CFD" w:rsidRDefault="009D4A93" w:rsidP="00536CFD">
            <w:pPr>
              <w:pageBreakBefore/>
              <w:spacing w:after="0"/>
              <w:jc w:val="center"/>
              <w:rPr>
                <w:lang w:val="zh-CN"/>
              </w:rPr>
            </w:pPr>
            <w:r w:rsidRPr="00536CFD">
              <w:rPr>
                <w:lang w:val="zh-CN"/>
              </w:rPr>
              <w:t>0.103</w:t>
            </w:r>
          </w:p>
        </w:tc>
        <w:tc>
          <w:tcPr>
            <w:tcW w:w="820" w:type="dxa"/>
            <w:tcBorders>
              <w:top w:val="single" w:sz="4" w:space="0" w:color="auto"/>
              <w:left w:val="nil"/>
              <w:bottom w:val="single" w:sz="4" w:space="0" w:color="auto"/>
              <w:right w:val="single" w:sz="4" w:space="0" w:color="auto"/>
            </w:tcBorders>
            <w:shd w:val="clear" w:color="auto" w:fill="auto"/>
            <w:vAlign w:val="center"/>
          </w:tcPr>
          <w:p w14:paraId="5DDCBDDA" w14:textId="77777777" w:rsidR="009D4A93" w:rsidRPr="00536CFD" w:rsidRDefault="009D4A93" w:rsidP="00536CFD">
            <w:pPr>
              <w:pageBreakBefore/>
              <w:spacing w:after="0"/>
              <w:jc w:val="center"/>
              <w:rPr>
                <w:lang w:val="zh-CN"/>
              </w:rPr>
            </w:pPr>
            <w:r w:rsidRPr="00536CFD">
              <w:rPr>
                <w:lang w:val="zh-CN"/>
              </w:rPr>
              <w:t>0.436</w:t>
            </w:r>
          </w:p>
        </w:tc>
        <w:tc>
          <w:tcPr>
            <w:tcW w:w="800" w:type="dxa"/>
            <w:tcBorders>
              <w:top w:val="single" w:sz="4" w:space="0" w:color="auto"/>
              <w:left w:val="nil"/>
              <w:bottom w:val="single" w:sz="4" w:space="0" w:color="auto"/>
              <w:right w:val="single" w:sz="4" w:space="0" w:color="auto"/>
            </w:tcBorders>
            <w:shd w:val="clear" w:color="auto" w:fill="auto"/>
            <w:vAlign w:val="center"/>
          </w:tcPr>
          <w:p w14:paraId="786C3EE4" w14:textId="77777777" w:rsidR="009D4A93" w:rsidRPr="00536CFD" w:rsidRDefault="009D4A93" w:rsidP="00536CFD">
            <w:pPr>
              <w:pageBreakBefore/>
              <w:spacing w:after="0"/>
              <w:jc w:val="center"/>
              <w:rPr>
                <w:lang w:val="zh-CN"/>
              </w:rPr>
            </w:pPr>
            <w:r w:rsidRPr="00536CFD">
              <w:rPr>
                <w:lang w:val="zh-CN"/>
              </w:rPr>
              <w:t>4.184</w:t>
            </w:r>
          </w:p>
        </w:tc>
        <w:tc>
          <w:tcPr>
            <w:tcW w:w="720" w:type="dxa"/>
            <w:tcBorders>
              <w:top w:val="single" w:sz="4" w:space="0" w:color="auto"/>
              <w:left w:val="nil"/>
              <w:bottom w:val="single" w:sz="4" w:space="0" w:color="auto"/>
              <w:right w:val="single" w:sz="4" w:space="0" w:color="auto"/>
            </w:tcBorders>
            <w:shd w:val="clear" w:color="auto" w:fill="auto"/>
          </w:tcPr>
          <w:p w14:paraId="6BB5A3D7" w14:textId="77777777" w:rsidR="009D4A93" w:rsidRPr="00536CFD" w:rsidRDefault="009D4A93" w:rsidP="00536CFD">
            <w:pPr>
              <w:pageBreakBefore/>
              <w:spacing w:after="0"/>
              <w:jc w:val="center"/>
              <w:rPr>
                <w:lang w:val="zh-CN"/>
              </w:rPr>
            </w:pPr>
            <w:r w:rsidRPr="00536CFD">
              <w:rPr>
                <w:lang w:val="zh-CN"/>
              </w:rPr>
              <w:t>4.700</w:t>
            </w:r>
          </w:p>
        </w:tc>
        <w:tc>
          <w:tcPr>
            <w:tcW w:w="724" w:type="dxa"/>
            <w:tcBorders>
              <w:top w:val="single" w:sz="4" w:space="0" w:color="auto"/>
              <w:left w:val="nil"/>
              <w:bottom w:val="single" w:sz="4" w:space="0" w:color="auto"/>
              <w:right w:val="single" w:sz="4" w:space="0" w:color="auto"/>
            </w:tcBorders>
            <w:shd w:val="clear" w:color="auto" w:fill="auto"/>
            <w:vAlign w:val="center"/>
          </w:tcPr>
          <w:p w14:paraId="325B686A" w14:textId="77777777" w:rsidR="009D4A93" w:rsidRPr="00536CFD" w:rsidRDefault="009D4A93" w:rsidP="00536CFD">
            <w:pPr>
              <w:pageBreakBefore/>
              <w:spacing w:after="0"/>
              <w:jc w:val="center"/>
              <w:rPr>
                <w:lang w:val="zh-CN"/>
              </w:rPr>
            </w:pPr>
            <w:r w:rsidRPr="00536CFD">
              <w:rPr>
                <w:lang w:val="zh-CN"/>
              </w:rPr>
              <w:t>0.04</w:t>
            </w:r>
          </w:p>
        </w:tc>
        <w:tc>
          <w:tcPr>
            <w:tcW w:w="896" w:type="dxa"/>
            <w:tcBorders>
              <w:top w:val="single" w:sz="4" w:space="0" w:color="auto"/>
              <w:left w:val="nil"/>
              <w:bottom w:val="single" w:sz="4" w:space="0" w:color="auto"/>
              <w:right w:val="single" w:sz="4" w:space="0" w:color="auto"/>
            </w:tcBorders>
            <w:shd w:val="clear" w:color="auto" w:fill="auto"/>
            <w:vAlign w:val="center"/>
          </w:tcPr>
          <w:p w14:paraId="77C18757" w14:textId="77777777" w:rsidR="009D4A93" w:rsidRPr="00536CFD" w:rsidRDefault="009D4A93" w:rsidP="00536CFD">
            <w:pPr>
              <w:pageBreakBefore/>
              <w:spacing w:after="0"/>
              <w:jc w:val="center"/>
              <w:rPr>
                <w:lang w:val="zh-CN"/>
              </w:rPr>
            </w:pPr>
            <w:r w:rsidRPr="00536CFD">
              <w:rPr>
                <w:lang w:val="zh-CN"/>
              </w:rPr>
              <w:t>0.267</w:t>
            </w:r>
          </w:p>
        </w:tc>
        <w:tc>
          <w:tcPr>
            <w:tcW w:w="720" w:type="dxa"/>
            <w:tcBorders>
              <w:top w:val="single" w:sz="4" w:space="0" w:color="auto"/>
              <w:left w:val="nil"/>
              <w:bottom w:val="single" w:sz="4" w:space="0" w:color="auto"/>
              <w:right w:val="single" w:sz="4" w:space="0" w:color="auto"/>
            </w:tcBorders>
            <w:shd w:val="clear" w:color="auto" w:fill="auto"/>
            <w:vAlign w:val="center"/>
          </w:tcPr>
          <w:p w14:paraId="567216D4" w14:textId="77777777" w:rsidR="009D4A93" w:rsidRPr="00536CFD" w:rsidRDefault="009D4A93" w:rsidP="00536CFD">
            <w:pPr>
              <w:pageBreakBefore/>
              <w:spacing w:after="0"/>
              <w:jc w:val="center"/>
              <w:rPr>
                <w:lang w:val="zh-CN"/>
              </w:rPr>
            </w:pPr>
            <w:r w:rsidRPr="00536CFD">
              <w:rPr>
                <w:lang w:val="zh-CN"/>
              </w:rPr>
              <w:t>0.057</w:t>
            </w:r>
          </w:p>
        </w:tc>
        <w:tc>
          <w:tcPr>
            <w:tcW w:w="720" w:type="dxa"/>
            <w:tcBorders>
              <w:top w:val="single" w:sz="4" w:space="0" w:color="auto"/>
              <w:left w:val="nil"/>
              <w:bottom w:val="single" w:sz="4" w:space="0" w:color="auto"/>
              <w:right w:val="single" w:sz="4" w:space="0" w:color="auto"/>
            </w:tcBorders>
            <w:shd w:val="clear" w:color="auto" w:fill="auto"/>
          </w:tcPr>
          <w:p w14:paraId="71E2B787" w14:textId="77777777" w:rsidR="009D4A93" w:rsidRPr="00536CFD" w:rsidRDefault="009D4A93" w:rsidP="00536CFD">
            <w:pPr>
              <w:pageBreakBefore/>
              <w:spacing w:after="0"/>
              <w:jc w:val="center"/>
              <w:rPr>
                <w:lang w:val="zh-CN"/>
              </w:rPr>
            </w:pPr>
            <w:r w:rsidRPr="00536CFD">
              <w:rPr>
                <w:lang w:val="zh-CN"/>
              </w:rPr>
              <w:t>0.797</w:t>
            </w:r>
          </w:p>
        </w:tc>
      </w:tr>
      <w:tr w:rsidR="009D4A93" w:rsidRPr="00536CFD" w14:paraId="26E3928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6DFA50D"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CCBABC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C8ACDA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center"/>
          </w:tcPr>
          <w:p w14:paraId="23FFAADA" w14:textId="77777777" w:rsidR="009D4A93" w:rsidRPr="00536CFD" w:rsidRDefault="009D4A93" w:rsidP="009D4A93">
            <w:pPr>
              <w:spacing w:after="0"/>
              <w:jc w:val="center"/>
              <w:rPr>
                <w:lang w:val="zh-CN"/>
              </w:rPr>
            </w:pPr>
            <w:r w:rsidRPr="00536CFD">
              <w:rPr>
                <w:lang w:val="zh-CN"/>
              </w:rPr>
              <w:t>30.508</w:t>
            </w:r>
          </w:p>
        </w:tc>
        <w:tc>
          <w:tcPr>
            <w:tcW w:w="720" w:type="dxa"/>
            <w:tcBorders>
              <w:top w:val="single" w:sz="4" w:space="0" w:color="auto"/>
              <w:left w:val="nil"/>
              <w:bottom w:val="single" w:sz="4" w:space="0" w:color="auto"/>
              <w:right w:val="single" w:sz="4" w:space="0" w:color="auto"/>
            </w:tcBorders>
            <w:shd w:val="clear" w:color="auto" w:fill="auto"/>
            <w:vAlign w:val="center"/>
          </w:tcPr>
          <w:p w14:paraId="224A2F5C" w14:textId="77777777" w:rsidR="009D4A93" w:rsidRPr="00536CFD" w:rsidRDefault="009D4A93" w:rsidP="009D4A93">
            <w:pPr>
              <w:spacing w:after="0"/>
              <w:jc w:val="center"/>
              <w:rPr>
                <w:lang w:val="zh-CN"/>
              </w:rPr>
            </w:pPr>
            <w:r w:rsidRPr="00536CFD">
              <w:rPr>
                <w:lang w:val="zh-CN"/>
              </w:rPr>
              <w:t>35.679</w:t>
            </w:r>
          </w:p>
        </w:tc>
        <w:tc>
          <w:tcPr>
            <w:tcW w:w="720" w:type="dxa"/>
            <w:tcBorders>
              <w:top w:val="single" w:sz="4" w:space="0" w:color="auto"/>
              <w:left w:val="nil"/>
              <w:bottom w:val="single" w:sz="4" w:space="0" w:color="auto"/>
              <w:right w:val="single" w:sz="4" w:space="0" w:color="auto"/>
            </w:tcBorders>
            <w:shd w:val="clear" w:color="auto" w:fill="auto"/>
            <w:vAlign w:val="center"/>
          </w:tcPr>
          <w:p w14:paraId="13079ED0" w14:textId="77777777" w:rsidR="009D4A93" w:rsidRPr="00536CFD" w:rsidRDefault="009D4A93" w:rsidP="009D4A93">
            <w:pPr>
              <w:spacing w:after="0"/>
              <w:jc w:val="center"/>
              <w:rPr>
                <w:lang w:val="zh-CN"/>
              </w:rPr>
            </w:pPr>
            <w:r w:rsidRPr="00536CFD">
              <w:rPr>
                <w:lang w:val="zh-CN"/>
              </w:rPr>
              <w:t>63.412</w:t>
            </w:r>
          </w:p>
        </w:tc>
        <w:tc>
          <w:tcPr>
            <w:tcW w:w="810" w:type="dxa"/>
            <w:tcBorders>
              <w:top w:val="single" w:sz="4" w:space="0" w:color="auto"/>
              <w:left w:val="nil"/>
              <w:bottom w:val="single" w:sz="4" w:space="0" w:color="auto"/>
              <w:right w:val="single" w:sz="4" w:space="0" w:color="auto"/>
            </w:tcBorders>
            <w:shd w:val="clear" w:color="auto" w:fill="auto"/>
          </w:tcPr>
          <w:p w14:paraId="2664427E" w14:textId="77777777" w:rsidR="009D4A93" w:rsidRPr="00536CFD" w:rsidRDefault="009D4A93" w:rsidP="009D4A93">
            <w:pPr>
              <w:spacing w:after="0"/>
              <w:jc w:val="center"/>
              <w:rPr>
                <w:lang w:val="zh-CN"/>
              </w:rPr>
            </w:pPr>
            <w:r w:rsidRPr="00536CFD">
              <w:rPr>
                <w:lang w:val="zh-CN"/>
              </w:rPr>
              <w:t>63.704</w:t>
            </w:r>
          </w:p>
        </w:tc>
        <w:tc>
          <w:tcPr>
            <w:tcW w:w="810" w:type="dxa"/>
            <w:tcBorders>
              <w:top w:val="single" w:sz="4" w:space="0" w:color="auto"/>
              <w:left w:val="nil"/>
              <w:bottom w:val="single" w:sz="4" w:space="0" w:color="auto"/>
              <w:right w:val="single" w:sz="4" w:space="0" w:color="auto"/>
            </w:tcBorders>
            <w:shd w:val="clear" w:color="auto" w:fill="auto"/>
            <w:vAlign w:val="center"/>
          </w:tcPr>
          <w:p w14:paraId="6F57A6B3" w14:textId="77777777" w:rsidR="009D4A93" w:rsidRPr="00536CFD" w:rsidRDefault="009D4A93" w:rsidP="009D4A93">
            <w:pPr>
              <w:spacing w:after="0"/>
              <w:jc w:val="center"/>
              <w:rPr>
                <w:lang w:val="zh-CN"/>
              </w:rPr>
            </w:pPr>
            <w:r w:rsidRPr="00536CFD">
              <w:rPr>
                <w:lang w:val="zh-CN"/>
              </w:rPr>
              <w:t>12.735</w:t>
            </w:r>
          </w:p>
        </w:tc>
        <w:tc>
          <w:tcPr>
            <w:tcW w:w="820" w:type="dxa"/>
            <w:tcBorders>
              <w:top w:val="single" w:sz="4" w:space="0" w:color="auto"/>
              <w:left w:val="nil"/>
              <w:bottom w:val="single" w:sz="4" w:space="0" w:color="auto"/>
              <w:right w:val="single" w:sz="4" w:space="0" w:color="auto"/>
            </w:tcBorders>
            <w:shd w:val="clear" w:color="auto" w:fill="auto"/>
            <w:vAlign w:val="center"/>
          </w:tcPr>
          <w:p w14:paraId="10A31372" w14:textId="77777777" w:rsidR="009D4A93" w:rsidRPr="00536CFD" w:rsidRDefault="009D4A93" w:rsidP="009D4A93">
            <w:pPr>
              <w:spacing w:after="0"/>
              <w:jc w:val="center"/>
              <w:rPr>
                <w:lang w:val="zh-CN"/>
              </w:rPr>
            </w:pPr>
            <w:r w:rsidRPr="00536CFD">
              <w:rPr>
                <w:lang w:val="zh-CN"/>
              </w:rPr>
              <w:t>21.654</w:t>
            </w:r>
          </w:p>
        </w:tc>
        <w:tc>
          <w:tcPr>
            <w:tcW w:w="800" w:type="dxa"/>
            <w:tcBorders>
              <w:top w:val="single" w:sz="4" w:space="0" w:color="auto"/>
              <w:left w:val="nil"/>
              <w:bottom w:val="single" w:sz="4" w:space="0" w:color="auto"/>
              <w:right w:val="single" w:sz="4" w:space="0" w:color="auto"/>
            </w:tcBorders>
            <w:shd w:val="clear" w:color="auto" w:fill="auto"/>
            <w:vAlign w:val="center"/>
          </w:tcPr>
          <w:p w14:paraId="5B2DBDFA" w14:textId="77777777" w:rsidR="009D4A93" w:rsidRPr="00536CFD" w:rsidRDefault="009D4A93" w:rsidP="009D4A93">
            <w:pPr>
              <w:spacing w:after="0"/>
              <w:jc w:val="center"/>
              <w:rPr>
                <w:lang w:val="zh-CN"/>
              </w:rPr>
            </w:pPr>
            <w:r w:rsidRPr="00536CFD">
              <w:rPr>
                <w:lang w:val="zh-CN"/>
              </w:rPr>
              <w:t>38.000</w:t>
            </w:r>
          </w:p>
        </w:tc>
        <w:tc>
          <w:tcPr>
            <w:tcW w:w="720" w:type="dxa"/>
            <w:tcBorders>
              <w:top w:val="single" w:sz="4" w:space="0" w:color="auto"/>
              <w:left w:val="nil"/>
              <w:bottom w:val="single" w:sz="4" w:space="0" w:color="auto"/>
              <w:right w:val="single" w:sz="4" w:space="0" w:color="auto"/>
            </w:tcBorders>
            <w:shd w:val="clear" w:color="auto" w:fill="auto"/>
          </w:tcPr>
          <w:p w14:paraId="04DDF731" w14:textId="77777777" w:rsidR="009D4A93" w:rsidRPr="00536CFD" w:rsidRDefault="009D4A93" w:rsidP="009D4A93">
            <w:pPr>
              <w:spacing w:after="0"/>
              <w:jc w:val="center"/>
              <w:rPr>
                <w:lang w:val="zh-CN"/>
              </w:rPr>
            </w:pPr>
            <w:r w:rsidRPr="00536CFD">
              <w:rPr>
                <w:lang w:val="zh-CN"/>
              </w:rPr>
              <w:t>39.07</w:t>
            </w:r>
          </w:p>
        </w:tc>
        <w:tc>
          <w:tcPr>
            <w:tcW w:w="724" w:type="dxa"/>
            <w:tcBorders>
              <w:top w:val="single" w:sz="4" w:space="0" w:color="auto"/>
              <w:left w:val="nil"/>
              <w:bottom w:val="single" w:sz="4" w:space="0" w:color="auto"/>
              <w:right w:val="single" w:sz="4" w:space="0" w:color="auto"/>
            </w:tcBorders>
            <w:shd w:val="clear" w:color="auto" w:fill="auto"/>
            <w:vAlign w:val="center"/>
          </w:tcPr>
          <w:p w14:paraId="5260BE55" w14:textId="77777777" w:rsidR="009D4A93" w:rsidRPr="00536CFD" w:rsidRDefault="009D4A93" w:rsidP="009D4A93">
            <w:pPr>
              <w:spacing w:after="0"/>
              <w:jc w:val="center"/>
              <w:rPr>
                <w:lang w:val="zh-CN"/>
              </w:rPr>
            </w:pPr>
            <w:r w:rsidRPr="00536CFD">
              <w:rPr>
                <w:lang w:val="zh-CN"/>
              </w:rPr>
              <w:t>1.62</w:t>
            </w:r>
          </w:p>
        </w:tc>
        <w:tc>
          <w:tcPr>
            <w:tcW w:w="896" w:type="dxa"/>
            <w:tcBorders>
              <w:top w:val="single" w:sz="4" w:space="0" w:color="auto"/>
              <w:left w:val="nil"/>
              <w:bottom w:val="single" w:sz="4" w:space="0" w:color="auto"/>
              <w:right w:val="single" w:sz="4" w:space="0" w:color="auto"/>
            </w:tcBorders>
            <w:shd w:val="clear" w:color="auto" w:fill="auto"/>
            <w:vAlign w:val="center"/>
          </w:tcPr>
          <w:p w14:paraId="6472B12C" w14:textId="77777777" w:rsidR="009D4A93" w:rsidRPr="00536CFD" w:rsidRDefault="009D4A93" w:rsidP="009D4A93">
            <w:pPr>
              <w:spacing w:after="0"/>
              <w:jc w:val="center"/>
              <w:rPr>
                <w:lang w:val="zh-CN"/>
              </w:rPr>
            </w:pPr>
            <w:r w:rsidRPr="00536CFD">
              <w:rPr>
                <w:lang w:val="zh-CN"/>
              </w:rPr>
              <w:t>4.936</w:t>
            </w:r>
          </w:p>
        </w:tc>
        <w:tc>
          <w:tcPr>
            <w:tcW w:w="720" w:type="dxa"/>
            <w:tcBorders>
              <w:top w:val="single" w:sz="4" w:space="0" w:color="auto"/>
              <w:left w:val="nil"/>
              <w:bottom w:val="single" w:sz="4" w:space="0" w:color="auto"/>
              <w:right w:val="single" w:sz="4" w:space="0" w:color="auto"/>
            </w:tcBorders>
            <w:shd w:val="clear" w:color="auto" w:fill="auto"/>
            <w:vAlign w:val="center"/>
          </w:tcPr>
          <w:p w14:paraId="1F03CD36" w14:textId="77777777" w:rsidR="009D4A93" w:rsidRPr="00536CFD" w:rsidRDefault="009D4A93" w:rsidP="009D4A93">
            <w:pPr>
              <w:spacing w:after="0"/>
              <w:jc w:val="center"/>
              <w:rPr>
                <w:lang w:val="zh-CN"/>
              </w:rPr>
            </w:pPr>
            <w:r w:rsidRPr="00536CFD">
              <w:rPr>
                <w:lang w:val="zh-CN"/>
              </w:rPr>
              <w:t>14.045</w:t>
            </w:r>
          </w:p>
        </w:tc>
        <w:tc>
          <w:tcPr>
            <w:tcW w:w="720" w:type="dxa"/>
            <w:tcBorders>
              <w:top w:val="single" w:sz="4" w:space="0" w:color="auto"/>
              <w:left w:val="nil"/>
              <w:bottom w:val="single" w:sz="4" w:space="0" w:color="auto"/>
              <w:right w:val="single" w:sz="4" w:space="0" w:color="auto"/>
            </w:tcBorders>
            <w:shd w:val="clear" w:color="auto" w:fill="auto"/>
          </w:tcPr>
          <w:p w14:paraId="6FE45D7E" w14:textId="77777777" w:rsidR="009D4A93" w:rsidRPr="00536CFD" w:rsidRDefault="009D4A93" w:rsidP="009D4A93">
            <w:pPr>
              <w:spacing w:after="0"/>
              <w:jc w:val="center"/>
              <w:rPr>
                <w:lang w:val="zh-CN"/>
              </w:rPr>
            </w:pPr>
            <w:r w:rsidRPr="00536CFD">
              <w:rPr>
                <w:lang w:val="zh-CN"/>
              </w:rPr>
              <w:t>20.731</w:t>
            </w:r>
          </w:p>
        </w:tc>
      </w:tr>
      <w:tr w:rsidR="009D4A93" w:rsidRPr="00536CFD" w14:paraId="2C14B26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379F4B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8AE64A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5592A4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center"/>
          </w:tcPr>
          <w:p w14:paraId="58B788C9" w14:textId="77777777" w:rsidR="009D4A93" w:rsidRPr="00536CFD" w:rsidRDefault="009D4A93" w:rsidP="009D4A93">
            <w:pPr>
              <w:spacing w:after="0"/>
              <w:jc w:val="center"/>
              <w:rPr>
                <w:lang w:val="zh-CN"/>
              </w:rPr>
            </w:pPr>
            <w:r w:rsidRPr="00536CFD">
              <w:rPr>
                <w:lang w:val="zh-CN"/>
              </w:rPr>
              <w:t>52.927</w:t>
            </w:r>
          </w:p>
        </w:tc>
        <w:tc>
          <w:tcPr>
            <w:tcW w:w="720" w:type="dxa"/>
            <w:tcBorders>
              <w:top w:val="single" w:sz="4" w:space="0" w:color="auto"/>
              <w:left w:val="nil"/>
              <w:bottom w:val="single" w:sz="4" w:space="0" w:color="auto"/>
              <w:right w:val="single" w:sz="4" w:space="0" w:color="auto"/>
            </w:tcBorders>
            <w:shd w:val="clear" w:color="auto" w:fill="auto"/>
            <w:vAlign w:val="center"/>
          </w:tcPr>
          <w:p w14:paraId="14075A31" w14:textId="77777777" w:rsidR="009D4A93" w:rsidRPr="00536CFD" w:rsidRDefault="009D4A93" w:rsidP="009D4A93">
            <w:pPr>
              <w:spacing w:after="0"/>
              <w:jc w:val="center"/>
              <w:rPr>
                <w:lang w:val="zh-CN"/>
              </w:rPr>
            </w:pPr>
            <w:r w:rsidRPr="00536CFD">
              <w:rPr>
                <w:lang w:val="zh-CN"/>
              </w:rPr>
              <w:t>56.945</w:t>
            </w:r>
          </w:p>
        </w:tc>
        <w:tc>
          <w:tcPr>
            <w:tcW w:w="720" w:type="dxa"/>
            <w:tcBorders>
              <w:top w:val="single" w:sz="4" w:space="0" w:color="auto"/>
              <w:left w:val="nil"/>
              <w:bottom w:val="single" w:sz="4" w:space="0" w:color="auto"/>
              <w:right w:val="single" w:sz="4" w:space="0" w:color="auto"/>
            </w:tcBorders>
            <w:shd w:val="clear" w:color="auto" w:fill="auto"/>
            <w:vAlign w:val="center"/>
          </w:tcPr>
          <w:p w14:paraId="791BD51A" w14:textId="77777777" w:rsidR="009D4A93" w:rsidRPr="00536CFD" w:rsidRDefault="009D4A93" w:rsidP="009D4A93">
            <w:pPr>
              <w:spacing w:after="0"/>
              <w:jc w:val="center"/>
              <w:rPr>
                <w:lang w:val="zh-CN"/>
              </w:rPr>
            </w:pPr>
            <w:r w:rsidRPr="00536CFD">
              <w:rPr>
                <w:lang w:val="zh-CN"/>
              </w:rPr>
              <w:t>74.133</w:t>
            </w:r>
          </w:p>
        </w:tc>
        <w:tc>
          <w:tcPr>
            <w:tcW w:w="810" w:type="dxa"/>
            <w:tcBorders>
              <w:top w:val="single" w:sz="4" w:space="0" w:color="auto"/>
              <w:left w:val="nil"/>
              <w:bottom w:val="single" w:sz="4" w:space="0" w:color="auto"/>
              <w:right w:val="single" w:sz="4" w:space="0" w:color="auto"/>
            </w:tcBorders>
            <w:shd w:val="clear" w:color="auto" w:fill="auto"/>
          </w:tcPr>
          <w:p w14:paraId="3BCB3557" w14:textId="77777777" w:rsidR="009D4A93" w:rsidRPr="00536CFD" w:rsidRDefault="009D4A93" w:rsidP="009D4A93">
            <w:pPr>
              <w:spacing w:after="0"/>
              <w:jc w:val="center"/>
              <w:rPr>
                <w:lang w:val="zh-CN"/>
              </w:rPr>
            </w:pPr>
            <w:r w:rsidRPr="00536CFD">
              <w:rPr>
                <w:lang w:val="zh-CN"/>
              </w:rPr>
              <w:t>74.078</w:t>
            </w:r>
          </w:p>
        </w:tc>
        <w:tc>
          <w:tcPr>
            <w:tcW w:w="810" w:type="dxa"/>
            <w:tcBorders>
              <w:top w:val="single" w:sz="4" w:space="0" w:color="auto"/>
              <w:left w:val="nil"/>
              <w:bottom w:val="single" w:sz="4" w:space="0" w:color="auto"/>
              <w:right w:val="single" w:sz="4" w:space="0" w:color="auto"/>
            </w:tcBorders>
            <w:shd w:val="clear" w:color="auto" w:fill="auto"/>
            <w:vAlign w:val="center"/>
          </w:tcPr>
          <w:p w14:paraId="7DCA1DD9" w14:textId="77777777" w:rsidR="009D4A93" w:rsidRPr="00536CFD" w:rsidRDefault="009D4A93" w:rsidP="009D4A93">
            <w:pPr>
              <w:spacing w:after="0"/>
              <w:jc w:val="center"/>
              <w:rPr>
                <w:lang w:val="zh-CN"/>
              </w:rPr>
            </w:pPr>
            <w:r w:rsidRPr="00536CFD">
              <w:rPr>
                <w:lang w:val="zh-CN"/>
              </w:rPr>
              <w:t>49.774</w:t>
            </w:r>
          </w:p>
        </w:tc>
        <w:tc>
          <w:tcPr>
            <w:tcW w:w="820" w:type="dxa"/>
            <w:tcBorders>
              <w:top w:val="single" w:sz="4" w:space="0" w:color="auto"/>
              <w:left w:val="nil"/>
              <w:bottom w:val="single" w:sz="4" w:space="0" w:color="auto"/>
              <w:right w:val="single" w:sz="4" w:space="0" w:color="auto"/>
            </w:tcBorders>
            <w:shd w:val="clear" w:color="auto" w:fill="auto"/>
            <w:vAlign w:val="center"/>
          </w:tcPr>
          <w:p w14:paraId="4DE80677" w14:textId="77777777" w:rsidR="009D4A93" w:rsidRPr="00536CFD" w:rsidRDefault="009D4A93" w:rsidP="009D4A93">
            <w:pPr>
              <w:spacing w:after="0"/>
              <w:jc w:val="center"/>
              <w:rPr>
                <w:lang w:val="zh-CN"/>
              </w:rPr>
            </w:pPr>
            <w:r w:rsidRPr="00536CFD">
              <w:rPr>
                <w:lang w:val="zh-CN"/>
              </w:rPr>
              <w:t>53.152</w:t>
            </w:r>
          </w:p>
        </w:tc>
        <w:tc>
          <w:tcPr>
            <w:tcW w:w="800" w:type="dxa"/>
            <w:tcBorders>
              <w:top w:val="single" w:sz="4" w:space="0" w:color="auto"/>
              <w:left w:val="nil"/>
              <w:bottom w:val="single" w:sz="4" w:space="0" w:color="auto"/>
              <w:right w:val="single" w:sz="4" w:space="0" w:color="auto"/>
            </w:tcBorders>
            <w:shd w:val="clear" w:color="auto" w:fill="auto"/>
            <w:vAlign w:val="center"/>
          </w:tcPr>
          <w:p w14:paraId="594CEE27" w14:textId="77777777" w:rsidR="009D4A93" w:rsidRPr="00536CFD" w:rsidRDefault="009D4A93" w:rsidP="009D4A93">
            <w:pPr>
              <w:spacing w:after="0"/>
              <w:jc w:val="center"/>
              <w:rPr>
                <w:lang w:val="zh-CN"/>
              </w:rPr>
            </w:pPr>
            <w:r w:rsidRPr="00536CFD">
              <w:rPr>
                <w:lang w:val="zh-CN"/>
              </w:rPr>
              <w:t>73.624</w:t>
            </w:r>
          </w:p>
        </w:tc>
        <w:tc>
          <w:tcPr>
            <w:tcW w:w="720" w:type="dxa"/>
            <w:tcBorders>
              <w:top w:val="single" w:sz="4" w:space="0" w:color="auto"/>
              <w:left w:val="nil"/>
              <w:bottom w:val="single" w:sz="4" w:space="0" w:color="auto"/>
              <w:right w:val="single" w:sz="4" w:space="0" w:color="auto"/>
            </w:tcBorders>
            <w:shd w:val="clear" w:color="auto" w:fill="auto"/>
          </w:tcPr>
          <w:p w14:paraId="77592FB9" w14:textId="77777777" w:rsidR="009D4A93" w:rsidRPr="00536CFD" w:rsidRDefault="009D4A93" w:rsidP="009D4A93">
            <w:pPr>
              <w:spacing w:after="0"/>
              <w:jc w:val="center"/>
              <w:rPr>
                <w:lang w:val="zh-CN"/>
              </w:rPr>
            </w:pPr>
            <w:r w:rsidRPr="00536CFD">
              <w:rPr>
                <w:lang w:val="zh-CN"/>
              </w:rPr>
              <w:t>74.058</w:t>
            </w:r>
          </w:p>
        </w:tc>
        <w:tc>
          <w:tcPr>
            <w:tcW w:w="724" w:type="dxa"/>
            <w:tcBorders>
              <w:top w:val="single" w:sz="4" w:space="0" w:color="auto"/>
              <w:left w:val="nil"/>
              <w:bottom w:val="single" w:sz="4" w:space="0" w:color="auto"/>
              <w:right w:val="single" w:sz="4" w:space="0" w:color="auto"/>
            </w:tcBorders>
            <w:shd w:val="clear" w:color="auto" w:fill="auto"/>
            <w:vAlign w:val="center"/>
          </w:tcPr>
          <w:p w14:paraId="3388B914" w14:textId="77777777" w:rsidR="009D4A93" w:rsidRPr="00536CFD" w:rsidRDefault="009D4A93" w:rsidP="009D4A93">
            <w:pPr>
              <w:spacing w:after="0"/>
              <w:jc w:val="center"/>
              <w:rPr>
                <w:lang w:val="zh-CN"/>
              </w:rPr>
            </w:pPr>
            <w:r w:rsidRPr="00536CFD">
              <w:rPr>
                <w:lang w:val="zh-CN"/>
              </w:rPr>
              <w:t>33.656</w:t>
            </w:r>
          </w:p>
        </w:tc>
        <w:tc>
          <w:tcPr>
            <w:tcW w:w="896" w:type="dxa"/>
            <w:tcBorders>
              <w:top w:val="single" w:sz="4" w:space="0" w:color="auto"/>
              <w:left w:val="nil"/>
              <w:bottom w:val="single" w:sz="4" w:space="0" w:color="auto"/>
              <w:right w:val="single" w:sz="4" w:space="0" w:color="auto"/>
            </w:tcBorders>
            <w:shd w:val="clear" w:color="auto" w:fill="auto"/>
            <w:vAlign w:val="center"/>
          </w:tcPr>
          <w:p w14:paraId="1F310B42" w14:textId="77777777" w:rsidR="009D4A93" w:rsidRPr="00536CFD" w:rsidRDefault="009D4A93" w:rsidP="009D4A93">
            <w:pPr>
              <w:spacing w:after="0"/>
              <w:jc w:val="center"/>
              <w:rPr>
                <w:lang w:val="zh-CN"/>
              </w:rPr>
            </w:pPr>
            <w:r w:rsidRPr="00536CFD">
              <w:rPr>
                <w:lang w:val="zh-CN"/>
              </w:rPr>
              <w:t>32.256</w:t>
            </w:r>
          </w:p>
        </w:tc>
        <w:tc>
          <w:tcPr>
            <w:tcW w:w="720" w:type="dxa"/>
            <w:tcBorders>
              <w:top w:val="single" w:sz="4" w:space="0" w:color="auto"/>
              <w:left w:val="nil"/>
              <w:bottom w:val="single" w:sz="4" w:space="0" w:color="auto"/>
              <w:right w:val="single" w:sz="4" w:space="0" w:color="auto"/>
            </w:tcBorders>
            <w:shd w:val="clear" w:color="auto" w:fill="auto"/>
            <w:vAlign w:val="center"/>
          </w:tcPr>
          <w:p w14:paraId="3789B865" w14:textId="77777777" w:rsidR="009D4A93" w:rsidRPr="00536CFD" w:rsidRDefault="009D4A93" w:rsidP="009D4A93">
            <w:pPr>
              <w:spacing w:after="0"/>
              <w:jc w:val="center"/>
              <w:rPr>
                <w:lang w:val="zh-CN"/>
              </w:rPr>
            </w:pPr>
            <w:r w:rsidRPr="00536CFD">
              <w:rPr>
                <w:lang w:val="zh-CN"/>
              </w:rPr>
              <w:t>42.991</w:t>
            </w:r>
          </w:p>
        </w:tc>
        <w:tc>
          <w:tcPr>
            <w:tcW w:w="720" w:type="dxa"/>
            <w:tcBorders>
              <w:top w:val="single" w:sz="4" w:space="0" w:color="auto"/>
              <w:left w:val="nil"/>
              <w:bottom w:val="single" w:sz="4" w:space="0" w:color="auto"/>
              <w:right w:val="single" w:sz="4" w:space="0" w:color="auto"/>
            </w:tcBorders>
            <w:shd w:val="clear" w:color="auto" w:fill="auto"/>
          </w:tcPr>
          <w:p w14:paraId="3973D73B" w14:textId="77777777" w:rsidR="009D4A93" w:rsidRPr="00536CFD" w:rsidRDefault="009D4A93" w:rsidP="009D4A93">
            <w:pPr>
              <w:spacing w:after="0"/>
              <w:jc w:val="center"/>
              <w:rPr>
                <w:lang w:val="zh-CN"/>
              </w:rPr>
            </w:pPr>
            <w:r w:rsidRPr="00536CFD">
              <w:rPr>
                <w:lang w:val="zh-CN"/>
              </w:rPr>
              <w:t>66.636</w:t>
            </w:r>
          </w:p>
        </w:tc>
      </w:tr>
      <w:tr w:rsidR="009D4A93" w:rsidRPr="00536CFD" w14:paraId="17917AE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10DB7B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64DE98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605D30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487CFF9E" w14:textId="77777777" w:rsidR="009D4A93" w:rsidRPr="00536CFD" w:rsidRDefault="009D4A93" w:rsidP="009D4A93">
            <w:pPr>
              <w:spacing w:after="0"/>
              <w:jc w:val="center"/>
              <w:rPr>
                <w:lang w:val="zh-CN"/>
              </w:rPr>
            </w:pPr>
            <w:r w:rsidRPr="00536CFD">
              <w:rPr>
                <w:lang w:val="zh-CN"/>
              </w:rPr>
              <w:t>28.461</w:t>
            </w:r>
          </w:p>
        </w:tc>
        <w:tc>
          <w:tcPr>
            <w:tcW w:w="720" w:type="dxa"/>
            <w:tcBorders>
              <w:top w:val="single" w:sz="4" w:space="0" w:color="auto"/>
              <w:left w:val="nil"/>
              <w:bottom w:val="single" w:sz="4" w:space="0" w:color="auto"/>
              <w:right w:val="single" w:sz="4" w:space="0" w:color="auto"/>
            </w:tcBorders>
            <w:shd w:val="clear" w:color="auto" w:fill="auto"/>
          </w:tcPr>
          <w:p w14:paraId="7E672EF4" w14:textId="77777777" w:rsidR="009D4A93" w:rsidRPr="00536CFD" w:rsidRDefault="009D4A93" w:rsidP="009D4A93">
            <w:pPr>
              <w:spacing w:after="0"/>
              <w:jc w:val="center"/>
              <w:rPr>
                <w:lang w:val="zh-CN"/>
              </w:rPr>
            </w:pPr>
            <w:r w:rsidRPr="00536CFD">
              <w:rPr>
                <w:lang w:val="zh-CN"/>
              </w:rPr>
              <w:t>31.821</w:t>
            </w:r>
          </w:p>
        </w:tc>
        <w:tc>
          <w:tcPr>
            <w:tcW w:w="720" w:type="dxa"/>
            <w:tcBorders>
              <w:top w:val="single" w:sz="4" w:space="0" w:color="auto"/>
              <w:left w:val="nil"/>
              <w:bottom w:val="single" w:sz="4" w:space="0" w:color="auto"/>
              <w:right w:val="single" w:sz="4" w:space="0" w:color="auto"/>
            </w:tcBorders>
            <w:shd w:val="clear" w:color="auto" w:fill="auto"/>
          </w:tcPr>
          <w:p w14:paraId="57814FAF" w14:textId="77777777" w:rsidR="009D4A93" w:rsidRPr="00536CFD" w:rsidRDefault="009D4A93" w:rsidP="009D4A93">
            <w:pPr>
              <w:spacing w:after="0"/>
              <w:jc w:val="center"/>
              <w:rPr>
                <w:lang w:val="zh-CN"/>
              </w:rPr>
            </w:pPr>
            <w:r w:rsidRPr="00536CFD">
              <w:rPr>
                <w:lang w:val="zh-CN"/>
              </w:rPr>
              <w:t>54.791</w:t>
            </w:r>
          </w:p>
        </w:tc>
        <w:tc>
          <w:tcPr>
            <w:tcW w:w="810" w:type="dxa"/>
            <w:tcBorders>
              <w:top w:val="single" w:sz="4" w:space="0" w:color="auto"/>
              <w:left w:val="nil"/>
              <w:bottom w:val="single" w:sz="4" w:space="0" w:color="auto"/>
              <w:right w:val="single" w:sz="4" w:space="0" w:color="auto"/>
            </w:tcBorders>
            <w:shd w:val="clear" w:color="auto" w:fill="auto"/>
          </w:tcPr>
          <w:p w14:paraId="16DACEF5" w14:textId="77777777" w:rsidR="009D4A93" w:rsidRPr="00536CFD" w:rsidRDefault="009D4A93" w:rsidP="009D4A93">
            <w:pPr>
              <w:spacing w:after="0"/>
              <w:jc w:val="center"/>
              <w:rPr>
                <w:lang w:val="zh-CN"/>
              </w:rPr>
            </w:pPr>
            <w:r w:rsidRPr="00536CFD">
              <w:rPr>
                <w:lang w:val="zh-CN"/>
              </w:rPr>
              <w:t>55.576</w:t>
            </w:r>
          </w:p>
        </w:tc>
        <w:tc>
          <w:tcPr>
            <w:tcW w:w="810" w:type="dxa"/>
            <w:tcBorders>
              <w:top w:val="single" w:sz="4" w:space="0" w:color="auto"/>
              <w:left w:val="nil"/>
              <w:bottom w:val="single" w:sz="4" w:space="0" w:color="auto"/>
              <w:right w:val="single" w:sz="4" w:space="0" w:color="auto"/>
            </w:tcBorders>
            <w:shd w:val="clear" w:color="auto" w:fill="auto"/>
          </w:tcPr>
          <w:p w14:paraId="6342536F" w14:textId="77777777" w:rsidR="009D4A93" w:rsidRPr="00536CFD" w:rsidRDefault="009D4A93" w:rsidP="009D4A93">
            <w:pPr>
              <w:spacing w:after="0"/>
              <w:jc w:val="center"/>
              <w:rPr>
                <w:lang w:val="zh-CN"/>
              </w:rPr>
            </w:pPr>
            <w:r w:rsidRPr="00536CFD">
              <w:rPr>
                <w:lang w:val="zh-CN"/>
              </w:rPr>
              <w:t>17.523</w:t>
            </w:r>
          </w:p>
        </w:tc>
        <w:tc>
          <w:tcPr>
            <w:tcW w:w="820" w:type="dxa"/>
            <w:tcBorders>
              <w:top w:val="single" w:sz="4" w:space="0" w:color="auto"/>
              <w:left w:val="nil"/>
              <w:bottom w:val="single" w:sz="4" w:space="0" w:color="auto"/>
              <w:right w:val="single" w:sz="4" w:space="0" w:color="auto"/>
            </w:tcBorders>
            <w:shd w:val="clear" w:color="auto" w:fill="auto"/>
          </w:tcPr>
          <w:p w14:paraId="0287BFA4" w14:textId="77777777" w:rsidR="009D4A93" w:rsidRPr="00536CFD" w:rsidRDefault="009D4A93" w:rsidP="009D4A93">
            <w:pPr>
              <w:spacing w:after="0"/>
              <w:jc w:val="center"/>
              <w:rPr>
                <w:lang w:val="zh-CN"/>
              </w:rPr>
            </w:pPr>
            <w:r w:rsidRPr="00536CFD">
              <w:rPr>
                <w:lang w:val="zh-CN"/>
              </w:rPr>
              <w:t>22.865</w:t>
            </w:r>
          </w:p>
        </w:tc>
        <w:tc>
          <w:tcPr>
            <w:tcW w:w="800" w:type="dxa"/>
            <w:tcBorders>
              <w:top w:val="single" w:sz="4" w:space="0" w:color="auto"/>
              <w:left w:val="nil"/>
              <w:bottom w:val="single" w:sz="4" w:space="0" w:color="auto"/>
              <w:right w:val="single" w:sz="4" w:space="0" w:color="auto"/>
            </w:tcBorders>
            <w:shd w:val="clear" w:color="auto" w:fill="auto"/>
          </w:tcPr>
          <w:p w14:paraId="2CCFA2CA" w14:textId="77777777" w:rsidR="009D4A93" w:rsidRPr="00536CFD" w:rsidRDefault="009D4A93" w:rsidP="009D4A93">
            <w:pPr>
              <w:spacing w:after="0"/>
              <w:jc w:val="center"/>
              <w:rPr>
                <w:lang w:val="zh-CN"/>
              </w:rPr>
            </w:pPr>
            <w:r w:rsidRPr="00536CFD">
              <w:rPr>
                <w:lang w:val="zh-CN"/>
              </w:rPr>
              <w:t>36.523</w:t>
            </w:r>
          </w:p>
        </w:tc>
        <w:tc>
          <w:tcPr>
            <w:tcW w:w="720" w:type="dxa"/>
            <w:tcBorders>
              <w:top w:val="single" w:sz="4" w:space="0" w:color="auto"/>
              <w:left w:val="nil"/>
              <w:bottom w:val="single" w:sz="4" w:space="0" w:color="auto"/>
              <w:right w:val="single" w:sz="4" w:space="0" w:color="auto"/>
            </w:tcBorders>
            <w:shd w:val="clear" w:color="auto" w:fill="auto"/>
          </w:tcPr>
          <w:p w14:paraId="34A4D94E" w14:textId="77777777" w:rsidR="009D4A93" w:rsidRPr="00536CFD" w:rsidRDefault="009D4A93" w:rsidP="009D4A93">
            <w:pPr>
              <w:spacing w:after="0"/>
              <w:jc w:val="center"/>
              <w:rPr>
                <w:lang w:val="zh-CN"/>
              </w:rPr>
            </w:pPr>
            <w:r w:rsidRPr="00536CFD">
              <w:rPr>
                <w:lang w:val="zh-CN"/>
              </w:rPr>
              <w:t>39.550</w:t>
            </w:r>
          </w:p>
        </w:tc>
        <w:tc>
          <w:tcPr>
            <w:tcW w:w="724" w:type="dxa"/>
            <w:tcBorders>
              <w:top w:val="single" w:sz="4" w:space="0" w:color="auto"/>
              <w:left w:val="nil"/>
              <w:bottom w:val="single" w:sz="4" w:space="0" w:color="auto"/>
              <w:right w:val="single" w:sz="4" w:space="0" w:color="auto"/>
            </w:tcBorders>
            <w:shd w:val="clear" w:color="auto" w:fill="auto"/>
          </w:tcPr>
          <w:p w14:paraId="33315F7A" w14:textId="77777777" w:rsidR="009D4A93" w:rsidRPr="00536CFD" w:rsidRDefault="009D4A93" w:rsidP="009D4A93">
            <w:pPr>
              <w:spacing w:after="0"/>
              <w:jc w:val="center"/>
              <w:rPr>
                <w:lang w:val="zh-CN"/>
              </w:rPr>
            </w:pPr>
            <w:r w:rsidRPr="00536CFD">
              <w:rPr>
                <w:lang w:val="zh-CN"/>
              </w:rPr>
              <w:t>8.016</w:t>
            </w:r>
          </w:p>
        </w:tc>
        <w:tc>
          <w:tcPr>
            <w:tcW w:w="896" w:type="dxa"/>
            <w:tcBorders>
              <w:top w:val="single" w:sz="4" w:space="0" w:color="auto"/>
              <w:left w:val="nil"/>
              <w:bottom w:val="single" w:sz="4" w:space="0" w:color="auto"/>
              <w:right w:val="single" w:sz="4" w:space="0" w:color="auto"/>
            </w:tcBorders>
            <w:shd w:val="clear" w:color="auto" w:fill="auto"/>
          </w:tcPr>
          <w:p w14:paraId="08289282" w14:textId="77777777" w:rsidR="009D4A93" w:rsidRPr="00536CFD" w:rsidRDefault="009D4A93" w:rsidP="009D4A93">
            <w:pPr>
              <w:spacing w:after="0"/>
              <w:jc w:val="center"/>
              <w:rPr>
                <w:lang w:val="zh-CN"/>
              </w:rPr>
            </w:pPr>
            <w:r w:rsidRPr="00536CFD">
              <w:rPr>
                <w:lang w:val="zh-CN"/>
              </w:rPr>
              <w:t>9.708</w:t>
            </w:r>
          </w:p>
        </w:tc>
        <w:tc>
          <w:tcPr>
            <w:tcW w:w="720" w:type="dxa"/>
            <w:tcBorders>
              <w:top w:val="single" w:sz="4" w:space="0" w:color="auto"/>
              <w:left w:val="nil"/>
              <w:bottom w:val="single" w:sz="4" w:space="0" w:color="auto"/>
              <w:right w:val="single" w:sz="4" w:space="0" w:color="auto"/>
            </w:tcBorders>
            <w:shd w:val="clear" w:color="auto" w:fill="auto"/>
          </w:tcPr>
          <w:p w14:paraId="178927C5" w14:textId="77777777" w:rsidR="009D4A93" w:rsidRPr="00536CFD" w:rsidRDefault="009D4A93" w:rsidP="009D4A93">
            <w:pPr>
              <w:spacing w:after="0"/>
              <w:jc w:val="center"/>
              <w:rPr>
                <w:lang w:val="zh-CN"/>
              </w:rPr>
            </w:pPr>
            <w:r w:rsidRPr="00536CFD">
              <w:rPr>
                <w:lang w:val="zh-CN"/>
              </w:rPr>
              <w:t>16.644</w:t>
            </w:r>
          </w:p>
        </w:tc>
        <w:tc>
          <w:tcPr>
            <w:tcW w:w="720" w:type="dxa"/>
            <w:tcBorders>
              <w:top w:val="single" w:sz="4" w:space="0" w:color="auto"/>
              <w:left w:val="nil"/>
              <w:bottom w:val="single" w:sz="4" w:space="0" w:color="auto"/>
              <w:right w:val="single" w:sz="4" w:space="0" w:color="auto"/>
            </w:tcBorders>
            <w:shd w:val="clear" w:color="auto" w:fill="auto"/>
          </w:tcPr>
          <w:p w14:paraId="03C7804B" w14:textId="77777777" w:rsidR="009D4A93" w:rsidRPr="00536CFD" w:rsidRDefault="009D4A93" w:rsidP="009D4A93">
            <w:pPr>
              <w:spacing w:after="0"/>
              <w:jc w:val="center"/>
              <w:rPr>
                <w:lang w:val="zh-CN"/>
              </w:rPr>
            </w:pPr>
            <w:r w:rsidRPr="00536CFD">
              <w:rPr>
                <w:lang w:val="zh-CN"/>
              </w:rPr>
              <w:t>23.482</w:t>
            </w:r>
          </w:p>
        </w:tc>
      </w:tr>
      <w:tr w:rsidR="009D4A93" w:rsidRPr="00536CFD" w14:paraId="24CCAAC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325294A"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03ADE44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411A92C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center"/>
          </w:tcPr>
          <w:p w14:paraId="337E2EEB" w14:textId="77777777" w:rsidR="009D4A93" w:rsidRPr="00536CFD" w:rsidRDefault="009D4A93" w:rsidP="009D4A93">
            <w:pPr>
              <w:spacing w:after="0"/>
              <w:jc w:val="center"/>
              <w:rPr>
                <w:lang w:val="zh-CN"/>
              </w:rPr>
            </w:pPr>
            <w:r w:rsidRPr="00536CFD">
              <w:rPr>
                <w:lang w:val="zh-CN"/>
              </w:rPr>
              <w:t>0.050</w:t>
            </w:r>
          </w:p>
        </w:tc>
        <w:tc>
          <w:tcPr>
            <w:tcW w:w="720" w:type="dxa"/>
            <w:tcBorders>
              <w:top w:val="single" w:sz="4" w:space="0" w:color="auto"/>
              <w:left w:val="nil"/>
              <w:bottom w:val="single" w:sz="4" w:space="0" w:color="auto"/>
              <w:right w:val="single" w:sz="4" w:space="0" w:color="auto"/>
            </w:tcBorders>
            <w:shd w:val="clear" w:color="auto" w:fill="auto"/>
            <w:vAlign w:val="center"/>
          </w:tcPr>
          <w:p w14:paraId="0ADAB78E"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vAlign w:val="center"/>
          </w:tcPr>
          <w:p w14:paraId="03C06F52" w14:textId="77777777" w:rsidR="009D4A93" w:rsidRPr="00536CFD" w:rsidRDefault="009D4A93" w:rsidP="009D4A93">
            <w:pPr>
              <w:spacing w:after="0"/>
              <w:jc w:val="center"/>
              <w:rPr>
                <w:lang w:val="zh-CN"/>
              </w:rPr>
            </w:pPr>
            <w:r w:rsidRPr="00536CFD">
              <w:rPr>
                <w:lang w:val="zh-CN"/>
              </w:rPr>
              <w:t>0.054</w:t>
            </w:r>
          </w:p>
        </w:tc>
        <w:tc>
          <w:tcPr>
            <w:tcW w:w="810" w:type="dxa"/>
            <w:tcBorders>
              <w:top w:val="single" w:sz="4" w:space="0" w:color="auto"/>
              <w:left w:val="nil"/>
              <w:bottom w:val="single" w:sz="4" w:space="0" w:color="auto"/>
              <w:right w:val="single" w:sz="4" w:space="0" w:color="auto"/>
            </w:tcBorders>
            <w:shd w:val="clear" w:color="auto" w:fill="auto"/>
          </w:tcPr>
          <w:p w14:paraId="087B6121" w14:textId="77777777" w:rsidR="009D4A93" w:rsidRPr="00536CFD" w:rsidRDefault="009D4A93" w:rsidP="009D4A93">
            <w:pPr>
              <w:spacing w:after="0"/>
              <w:jc w:val="center"/>
              <w:rPr>
                <w:lang w:val="zh-CN"/>
              </w:rPr>
            </w:pPr>
            <w:r w:rsidRPr="00536CFD">
              <w:rPr>
                <w:lang w:val="zh-CN"/>
              </w:rPr>
              <w:t>0.054</w:t>
            </w:r>
          </w:p>
        </w:tc>
        <w:tc>
          <w:tcPr>
            <w:tcW w:w="810" w:type="dxa"/>
            <w:tcBorders>
              <w:top w:val="single" w:sz="4" w:space="0" w:color="auto"/>
              <w:left w:val="nil"/>
              <w:bottom w:val="single" w:sz="4" w:space="0" w:color="auto"/>
              <w:right w:val="single" w:sz="4" w:space="0" w:color="auto"/>
            </w:tcBorders>
            <w:shd w:val="clear" w:color="auto" w:fill="auto"/>
            <w:vAlign w:val="center"/>
          </w:tcPr>
          <w:p w14:paraId="0049D548" w14:textId="77777777" w:rsidR="009D4A93" w:rsidRPr="00536CFD" w:rsidRDefault="009D4A93" w:rsidP="009D4A93">
            <w:pPr>
              <w:spacing w:after="0"/>
              <w:jc w:val="center"/>
              <w:rPr>
                <w:lang w:val="zh-CN"/>
              </w:rPr>
            </w:pPr>
            <w:r w:rsidRPr="00536CFD">
              <w:rPr>
                <w:lang w:val="zh-CN"/>
              </w:rPr>
              <w:t>0.050</w:t>
            </w:r>
          </w:p>
        </w:tc>
        <w:tc>
          <w:tcPr>
            <w:tcW w:w="820" w:type="dxa"/>
            <w:tcBorders>
              <w:top w:val="single" w:sz="4" w:space="0" w:color="auto"/>
              <w:left w:val="nil"/>
              <w:bottom w:val="single" w:sz="4" w:space="0" w:color="auto"/>
              <w:right w:val="single" w:sz="4" w:space="0" w:color="auto"/>
            </w:tcBorders>
            <w:shd w:val="clear" w:color="auto" w:fill="auto"/>
            <w:vAlign w:val="center"/>
          </w:tcPr>
          <w:p w14:paraId="2B87D7AA" w14:textId="77777777" w:rsidR="009D4A93" w:rsidRPr="00536CFD" w:rsidRDefault="009D4A93" w:rsidP="009D4A93">
            <w:pPr>
              <w:spacing w:after="0"/>
              <w:jc w:val="center"/>
              <w:rPr>
                <w:lang w:val="zh-CN"/>
              </w:rPr>
            </w:pPr>
            <w:r w:rsidRPr="00536CFD">
              <w:rPr>
                <w:lang w:val="zh-CN"/>
              </w:rPr>
              <w:t>0.050</w:t>
            </w:r>
          </w:p>
        </w:tc>
        <w:tc>
          <w:tcPr>
            <w:tcW w:w="800" w:type="dxa"/>
            <w:tcBorders>
              <w:top w:val="single" w:sz="4" w:space="0" w:color="auto"/>
              <w:left w:val="nil"/>
              <w:bottom w:val="single" w:sz="4" w:space="0" w:color="auto"/>
              <w:right w:val="single" w:sz="4" w:space="0" w:color="auto"/>
            </w:tcBorders>
            <w:shd w:val="clear" w:color="auto" w:fill="auto"/>
            <w:vAlign w:val="center"/>
          </w:tcPr>
          <w:p w14:paraId="15696A8E" w14:textId="77777777" w:rsidR="009D4A93" w:rsidRPr="00536CFD" w:rsidRDefault="009D4A93" w:rsidP="009D4A93">
            <w:pPr>
              <w:spacing w:after="0"/>
              <w:jc w:val="center"/>
              <w:rPr>
                <w:lang w:val="zh-CN"/>
              </w:rPr>
            </w:pPr>
            <w:r w:rsidRPr="00536CFD">
              <w:rPr>
                <w:lang w:val="zh-CN"/>
              </w:rPr>
              <w:t>0.054</w:t>
            </w:r>
          </w:p>
        </w:tc>
        <w:tc>
          <w:tcPr>
            <w:tcW w:w="720" w:type="dxa"/>
            <w:tcBorders>
              <w:top w:val="single" w:sz="4" w:space="0" w:color="auto"/>
              <w:left w:val="nil"/>
              <w:bottom w:val="single" w:sz="4" w:space="0" w:color="auto"/>
              <w:right w:val="single" w:sz="4" w:space="0" w:color="auto"/>
            </w:tcBorders>
            <w:shd w:val="clear" w:color="auto" w:fill="auto"/>
          </w:tcPr>
          <w:p w14:paraId="08298AA1" w14:textId="77777777" w:rsidR="009D4A93" w:rsidRPr="00536CFD" w:rsidRDefault="009D4A93" w:rsidP="009D4A93">
            <w:pPr>
              <w:spacing w:after="0"/>
              <w:jc w:val="center"/>
              <w:rPr>
                <w:lang w:val="zh-CN"/>
              </w:rPr>
            </w:pPr>
            <w:r w:rsidRPr="00536CFD">
              <w:rPr>
                <w:lang w:val="zh-CN"/>
              </w:rPr>
              <w:t>0.054</w:t>
            </w:r>
          </w:p>
        </w:tc>
        <w:tc>
          <w:tcPr>
            <w:tcW w:w="724" w:type="dxa"/>
            <w:tcBorders>
              <w:top w:val="single" w:sz="4" w:space="0" w:color="auto"/>
              <w:left w:val="nil"/>
              <w:bottom w:val="single" w:sz="4" w:space="0" w:color="auto"/>
              <w:right w:val="single" w:sz="4" w:space="0" w:color="auto"/>
            </w:tcBorders>
            <w:shd w:val="clear" w:color="auto" w:fill="auto"/>
            <w:vAlign w:val="center"/>
          </w:tcPr>
          <w:p w14:paraId="3CB7E914" w14:textId="77777777" w:rsidR="009D4A93" w:rsidRPr="00536CFD" w:rsidRDefault="009D4A93" w:rsidP="009D4A93">
            <w:pPr>
              <w:spacing w:after="0"/>
              <w:jc w:val="center"/>
              <w:rPr>
                <w:lang w:val="zh-CN"/>
              </w:rPr>
            </w:pPr>
            <w:r w:rsidRPr="00536CFD">
              <w:rPr>
                <w:lang w:val="zh-CN"/>
              </w:rPr>
              <w:t>0.050</w:t>
            </w:r>
          </w:p>
        </w:tc>
        <w:tc>
          <w:tcPr>
            <w:tcW w:w="896" w:type="dxa"/>
            <w:tcBorders>
              <w:top w:val="single" w:sz="4" w:space="0" w:color="auto"/>
              <w:left w:val="nil"/>
              <w:bottom w:val="single" w:sz="4" w:space="0" w:color="auto"/>
              <w:right w:val="single" w:sz="4" w:space="0" w:color="auto"/>
            </w:tcBorders>
            <w:shd w:val="clear" w:color="auto" w:fill="auto"/>
            <w:vAlign w:val="center"/>
          </w:tcPr>
          <w:p w14:paraId="76756CA5"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vAlign w:val="center"/>
          </w:tcPr>
          <w:p w14:paraId="11D5E19E" w14:textId="77777777" w:rsidR="009D4A93" w:rsidRPr="00536CFD" w:rsidRDefault="009D4A93" w:rsidP="009D4A93">
            <w:pPr>
              <w:spacing w:after="0"/>
              <w:jc w:val="center"/>
              <w:rPr>
                <w:lang w:val="zh-CN"/>
              </w:rPr>
            </w:pPr>
            <w:r w:rsidRPr="00536CFD">
              <w:rPr>
                <w:lang w:val="zh-CN"/>
              </w:rPr>
              <w:t>0.054</w:t>
            </w:r>
          </w:p>
        </w:tc>
        <w:tc>
          <w:tcPr>
            <w:tcW w:w="720" w:type="dxa"/>
            <w:tcBorders>
              <w:top w:val="single" w:sz="4" w:space="0" w:color="auto"/>
              <w:left w:val="nil"/>
              <w:bottom w:val="single" w:sz="4" w:space="0" w:color="auto"/>
              <w:right w:val="single" w:sz="4" w:space="0" w:color="auto"/>
            </w:tcBorders>
            <w:shd w:val="clear" w:color="auto" w:fill="auto"/>
          </w:tcPr>
          <w:p w14:paraId="553D1E9F" w14:textId="77777777" w:rsidR="009D4A93" w:rsidRPr="00536CFD" w:rsidRDefault="009D4A93" w:rsidP="009D4A93">
            <w:pPr>
              <w:spacing w:after="0"/>
              <w:jc w:val="center"/>
              <w:rPr>
                <w:lang w:val="zh-CN"/>
              </w:rPr>
            </w:pPr>
            <w:r w:rsidRPr="00536CFD">
              <w:rPr>
                <w:lang w:val="zh-CN"/>
              </w:rPr>
              <w:t>0.054</w:t>
            </w:r>
          </w:p>
        </w:tc>
      </w:tr>
      <w:tr w:rsidR="009D4A93" w:rsidRPr="00536CFD" w14:paraId="6B5D631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ABF84A7"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050F30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C873C4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center"/>
          </w:tcPr>
          <w:p w14:paraId="2B1FBA72" w14:textId="77777777" w:rsidR="009D4A93" w:rsidRPr="00536CFD" w:rsidRDefault="009D4A93" w:rsidP="009D4A93">
            <w:pPr>
              <w:spacing w:after="0"/>
              <w:jc w:val="center"/>
              <w:rPr>
                <w:lang w:val="zh-CN"/>
              </w:rPr>
            </w:pPr>
            <w:r w:rsidRPr="00536CFD">
              <w:rPr>
                <w:lang w:val="zh-CN"/>
              </w:rPr>
              <w:t>0.086</w:t>
            </w:r>
          </w:p>
        </w:tc>
        <w:tc>
          <w:tcPr>
            <w:tcW w:w="720" w:type="dxa"/>
            <w:tcBorders>
              <w:top w:val="single" w:sz="4" w:space="0" w:color="auto"/>
              <w:left w:val="nil"/>
              <w:bottom w:val="single" w:sz="4" w:space="0" w:color="auto"/>
              <w:right w:val="single" w:sz="4" w:space="0" w:color="auto"/>
            </w:tcBorders>
            <w:shd w:val="clear" w:color="auto" w:fill="auto"/>
            <w:vAlign w:val="center"/>
          </w:tcPr>
          <w:p w14:paraId="7B40830C" w14:textId="77777777" w:rsidR="009D4A93" w:rsidRPr="00536CFD" w:rsidRDefault="009D4A93" w:rsidP="009D4A93">
            <w:pPr>
              <w:spacing w:after="0"/>
              <w:jc w:val="center"/>
              <w:rPr>
                <w:lang w:val="zh-CN"/>
              </w:rPr>
            </w:pPr>
            <w:r w:rsidRPr="00536CFD">
              <w:rPr>
                <w:lang w:val="zh-CN"/>
              </w:rPr>
              <w:t>0.056</w:t>
            </w:r>
          </w:p>
        </w:tc>
        <w:tc>
          <w:tcPr>
            <w:tcW w:w="720" w:type="dxa"/>
            <w:tcBorders>
              <w:top w:val="single" w:sz="4" w:space="0" w:color="auto"/>
              <w:left w:val="nil"/>
              <w:bottom w:val="single" w:sz="4" w:space="0" w:color="auto"/>
              <w:right w:val="single" w:sz="4" w:space="0" w:color="auto"/>
            </w:tcBorders>
            <w:shd w:val="clear" w:color="auto" w:fill="auto"/>
            <w:vAlign w:val="center"/>
          </w:tcPr>
          <w:p w14:paraId="74F0692E" w14:textId="77777777" w:rsidR="009D4A93" w:rsidRPr="00536CFD" w:rsidRDefault="009D4A93" w:rsidP="009D4A93">
            <w:pPr>
              <w:spacing w:after="0"/>
              <w:jc w:val="center"/>
              <w:rPr>
                <w:lang w:val="zh-CN"/>
              </w:rPr>
            </w:pPr>
            <w:r w:rsidRPr="00536CFD">
              <w:rPr>
                <w:lang w:val="zh-CN"/>
              </w:rPr>
              <w:t>0.058</w:t>
            </w:r>
          </w:p>
        </w:tc>
        <w:tc>
          <w:tcPr>
            <w:tcW w:w="810" w:type="dxa"/>
            <w:tcBorders>
              <w:top w:val="single" w:sz="4" w:space="0" w:color="auto"/>
              <w:left w:val="nil"/>
              <w:bottom w:val="single" w:sz="4" w:space="0" w:color="auto"/>
              <w:right w:val="single" w:sz="4" w:space="0" w:color="auto"/>
            </w:tcBorders>
            <w:shd w:val="clear" w:color="auto" w:fill="auto"/>
          </w:tcPr>
          <w:p w14:paraId="45FFF36F" w14:textId="77777777" w:rsidR="009D4A93" w:rsidRPr="00536CFD" w:rsidRDefault="009D4A93" w:rsidP="009D4A93">
            <w:pPr>
              <w:spacing w:after="0"/>
              <w:jc w:val="center"/>
              <w:rPr>
                <w:lang w:val="zh-CN"/>
              </w:rPr>
            </w:pPr>
            <w:r w:rsidRPr="00536CFD">
              <w:rPr>
                <w:lang w:val="zh-CN"/>
              </w:rPr>
              <w:t>0.058</w:t>
            </w:r>
          </w:p>
        </w:tc>
        <w:tc>
          <w:tcPr>
            <w:tcW w:w="810" w:type="dxa"/>
            <w:tcBorders>
              <w:top w:val="single" w:sz="4" w:space="0" w:color="auto"/>
              <w:left w:val="nil"/>
              <w:bottom w:val="single" w:sz="4" w:space="0" w:color="auto"/>
              <w:right w:val="single" w:sz="4" w:space="0" w:color="auto"/>
            </w:tcBorders>
            <w:shd w:val="clear" w:color="auto" w:fill="auto"/>
            <w:vAlign w:val="center"/>
          </w:tcPr>
          <w:p w14:paraId="072ACE8E" w14:textId="77777777" w:rsidR="009D4A93" w:rsidRPr="00536CFD" w:rsidRDefault="009D4A93" w:rsidP="009D4A93">
            <w:pPr>
              <w:spacing w:after="0"/>
              <w:jc w:val="center"/>
              <w:rPr>
                <w:lang w:val="zh-CN"/>
              </w:rPr>
            </w:pPr>
            <w:r w:rsidRPr="00536CFD">
              <w:rPr>
                <w:lang w:val="zh-CN"/>
              </w:rPr>
              <w:t>0.183</w:t>
            </w:r>
          </w:p>
        </w:tc>
        <w:tc>
          <w:tcPr>
            <w:tcW w:w="820" w:type="dxa"/>
            <w:tcBorders>
              <w:top w:val="single" w:sz="4" w:space="0" w:color="auto"/>
              <w:left w:val="nil"/>
              <w:bottom w:val="single" w:sz="4" w:space="0" w:color="auto"/>
              <w:right w:val="single" w:sz="4" w:space="0" w:color="auto"/>
            </w:tcBorders>
            <w:shd w:val="clear" w:color="auto" w:fill="auto"/>
            <w:vAlign w:val="center"/>
          </w:tcPr>
          <w:p w14:paraId="1042E046" w14:textId="77777777" w:rsidR="009D4A93" w:rsidRPr="00536CFD" w:rsidRDefault="009D4A93" w:rsidP="009D4A93">
            <w:pPr>
              <w:spacing w:after="0"/>
              <w:jc w:val="center"/>
              <w:rPr>
                <w:lang w:val="zh-CN"/>
              </w:rPr>
            </w:pPr>
            <w:r w:rsidRPr="00536CFD">
              <w:rPr>
                <w:lang w:val="zh-CN"/>
              </w:rPr>
              <w:t>0.100</w:t>
            </w:r>
          </w:p>
        </w:tc>
        <w:tc>
          <w:tcPr>
            <w:tcW w:w="800" w:type="dxa"/>
            <w:tcBorders>
              <w:top w:val="single" w:sz="4" w:space="0" w:color="auto"/>
              <w:left w:val="nil"/>
              <w:bottom w:val="single" w:sz="4" w:space="0" w:color="auto"/>
              <w:right w:val="single" w:sz="4" w:space="0" w:color="auto"/>
            </w:tcBorders>
            <w:shd w:val="clear" w:color="auto" w:fill="auto"/>
            <w:vAlign w:val="center"/>
          </w:tcPr>
          <w:p w14:paraId="70A2AA3B" w14:textId="77777777" w:rsidR="009D4A93" w:rsidRPr="00536CFD" w:rsidRDefault="009D4A93" w:rsidP="009D4A93">
            <w:pPr>
              <w:spacing w:after="0"/>
              <w:jc w:val="center"/>
              <w:rPr>
                <w:lang w:val="zh-CN"/>
              </w:rPr>
            </w:pPr>
            <w:r w:rsidRPr="00536CFD">
              <w:rPr>
                <w:lang w:val="zh-CN"/>
              </w:rPr>
              <w:t>0.100</w:t>
            </w:r>
          </w:p>
        </w:tc>
        <w:tc>
          <w:tcPr>
            <w:tcW w:w="720" w:type="dxa"/>
            <w:tcBorders>
              <w:top w:val="single" w:sz="4" w:space="0" w:color="auto"/>
              <w:left w:val="nil"/>
              <w:bottom w:val="single" w:sz="4" w:space="0" w:color="auto"/>
              <w:right w:val="single" w:sz="4" w:space="0" w:color="auto"/>
            </w:tcBorders>
            <w:shd w:val="clear" w:color="auto" w:fill="auto"/>
          </w:tcPr>
          <w:p w14:paraId="2B697A3E" w14:textId="77777777" w:rsidR="009D4A93" w:rsidRPr="00536CFD" w:rsidRDefault="009D4A93" w:rsidP="009D4A93">
            <w:pPr>
              <w:spacing w:after="0"/>
              <w:jc w:val="center"/>
              <w:rPr>
                <w:lang w:val="zh-CN"/>
              </w:rPr>
            </w:pPr>
            <w:r w:rsidRPr="00536CFD">
              <w:rPr>
                <w:lang w:val="zh-CN"/>
              </w:rPr>
              <w:t>0.106</w:t>
            </w:r>
          </w:p>
        </w:tc>
        <w:tc>
          <w:tcPr>
            <w:tcW w:w="724" w:type="dxa"/>
            <w:tcBorders>
              <w:top w:val="single" w:sz="4" w:space="0" w:color="auto"/>
              <w:left w:val="nil"/>
              <w:bottom w:val="single" w:sz="4" w:space="0" w:color="auto"/>
              <w:right w:val="single" w:sz="4" w:space="0" w:color="auto"/>
            </w:tcBorders>
            <w:shd w:val="clear" w:color="auto" w:fill="auto"/>
            <w:vAlign w:val="center"/>
          </w:tcPr>
          <w:p w14:paraId="08836A14" w14:textId="77777777" w:rsidR="009D4A93" w:rsidRPr="00536CFD" w:rsidRDefault="009D4A93" w:rsidP="009D4A93">
            <w:pPr>
              <w:spacing w:after="0"/>
              <w:jc w:val="center"/>
              <w:rPr>
                <w:lang w:val="zh-CN"/>
              </w:rPr>
            </w:pPr>
            <w:r w:rsidRPr="00536CFD">
              <w:rPr>
                <w:lang w:val="zh-CN"/>
              </w:rPr>
              <w:t>0.800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48934AB" w14:textId="77777777" w:rsidR="009D4A93" w:rsidRPr="00536CFD" w:rsidRDefault="009D4A93" w:rsidP="009D4A93">
            <w:pPr>
              <w:spacing w:after="0"/>
              <w:jc w:val="center"/>
              <w:rPr>
                <w:lang w:val="zh-CN"/>
              </w:rPr>
            </w:pPr>
            <w:r w:rsidRPr="00536CFD">
              <w:rPr>
                <w:lang w:val="zh-CN"/>
              </w:rPr>
              <w:t>0.624</w:t>
            </w:r>
          </w:p>
        </w:tc>
        <w:tc>
          <w:tcPr>
            <w:tcW w:w="720" w:type="dxa"/>
            <w:tcBorders>
              <w:top w:val="single" w:sz="4" w:space="0" w:color="auto"/>
              <w:left w:val="nil"/>
              <w:bottom w:val="single" w:sz="4" w:space="0" w:color="auto"/>
              <w:right w:val="single" w:sz="4" w:space="0" w:color="auto"/>
            </w:tcBorders>
            <w:shd w:val="clear" w:color="auto" w:fill="auto"/>
            <w:vAlign w:val="center"/>
          </w:tcPr>
          <w:p w14:paraId="0EB64ED4" w14:textId="77777777" w:rsidR="009D4A93" w:rsidRPr="00536CFD" w:rsidRDefault="009D4A93" w:rsidP="009D4A93">
            <w:pPr>
              <w:spacing w:after="0"/>
              <w:jc w:val="center"/>
              <w:rPr>
                <w:lang w:val="zh-CN"/>
              </w:rPr>
            </w:pPr>
            <w:r w:rsidRPr="00536CFD">
              <w:rPr>
                <w:lang w:val="zh-CN"/>
              </w:rPr>
              <w:t>0.333</w:t>
            </w:r>
          </w:p>
        </w:tc>
        <w:tc>
          <w:tcPr>
            <w:tcW w:w="720" w:type="dxa"/>
            <w:tcBorders>
              <w:top w:val="single" w:sz="4" w:space="0" w:color="auto"/>
              <w:left w:val="nil"/>
              <w:bottom w:val="single" w:sz="4" w:space="0" w:color="auto"/>
              <w:right w:val="single" w:sz="4" w:space="0" w:color="auto"/>
            </w:tcBorders>
            <w:shd w:val="clear" w:color="auto" w:fill="auto"/>
          </w:tcPr>
          <w:p w14:paraId="02FAD22B" w14:textId="77777777" w:rsidR="009D4A93" w:rsidRPr="00536CFD" w:rsidRDefault="009D4A93" w:rsidP="009D4A93">
            <w:pPr>
              <w:spacing w:after="0"/>
              <w:jc w:val="center"/>
              <w:rPr>
                <w:lang w:val="zh-CN"/>
              </w:rPr>
            </w:pPr>
            <w:r w:rsidRPr="00536CFD">
              <w:rPr>
                <w:lang w:val="zh-CN"/>
              </w:rPr>
              <w:t>0.219</w:t>
            </w:r>
          </w:p>
        </w:tc>
      </w:tr>
      <w:tr w:rsidR="009D4A93" w:rsidRPr="00536CFD" w14:paraId="5D343F4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8AFF87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1DB251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F2A26E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center"/>
          </w:tcPr>
          <w:p w14:paraId="2F22BC44" w14:textId="77777777" w:rsidR="009D4A93" w:rsidRPr="00536CFD" w:rsidRDefault="009D4A93" w:rsidP="009D4A93">
            <w:pPr>
              <w:spacing w:after="0"/>
              <w:jc w:val="center"/>
              <w:rPr>
                <w:lang w:val="zh-CN"/>
              </w:rPr>
            </w:pPr>
            <w:r w:rsidRPr="00536CFD">
              <w:rPr>
                <w:lang w:val="zh-CN"/>
              </w:rPr>
              <w:t>1.760</w:t>
            </w:r>
          </w:p>
        </w:tc>
        <w:tc>
          <w:tcPr>
            <w:tcW w:w="720" w:type="dxa"/>
            <w:tcBorders>
              <w:top w:val="single" w:sz="4" w:space="0" w:color="auto"/>
              <w:left w:val="nil"/>
              <w:bottom w:val="single" w:sz="4" w:space="0" w:color="auto"/>
              <w:right w:val="single" w:sz="4" w:space="0" w:color="auto"/>
            </w:tcBorders>
            <w:shd w:val="clear" w:color="auto" w:fill="auto"/>
            <w:vAlign w:val="center"/>
          </w:tcPr>
          <w:p w14:paraId="629D4276" w14:textId="77777777" w:rsidR="009D4A93" w:rsidRPr="00536CFD" w:rsidRDefault="009D4A93" w:rsidP="009D4A93">
            <w:pPr>
              <w:spacing w:after="0"/>
              <w:jc w:val="center"/>
              <w:rPr>
                <w:lang w:val="zh-CN"/>
              </w:rPr>
            </w:pPr>
            <w:r w:rsidRPr="00536CFD">
              <w:rPr>
                <w:lang w:val="zh-CN"/>
              </w:rPr>
              <w:t>1.121</w:t>
            </w:r>
          </w:p>
        </w:tc>
        <w:tc>
          <w:tcPr>
            <w:tcW w:w="720" w:type="dxa"/>
            <w:tcBorders>
              <w:top w:val="single" w:sz="4" w:space="0" w:color="auto"/>
              <w:left w:val="nil"/>
              <w:bottom w:val="single" w:sz="4" w:space="0" w:color="auto"/>
              <w:right w:val="single" w:sz="4" w:space="0" w:color="auto"/>
            </w:tcBorders>
            <w:shd w:val="clear" w:color="auto" w:fill="auto"/>
            <w:vAlign w:val="center"/>
          </w:tcPr>
          <w:p w14:paraId="460B86D4" w14:textId="77777777" w:rsidR="009D4A93" w:rsidRPr="00536CFD" w:rsidRDefault="009D4A93" w:rsidP="009D4A93">
            <w:pPr>
              <w:spacing w:after="0"/>
              <w:jc w:val="center"/>
              <w:rPr>
                <w:lang w:val="zh-CN"/>
              </w:rPr>
            </w:pPr>
            <w:r w:rsidRPr="00536CFD">
              <w:rPr>
                <w:lang w:val="zh-CN"/>
              </w:rPr>
              <w:t>0.308</w:t>
            </w:r>
          </w:p>
        </w:tc>
        <w:tc>
          <w:tcPr>
            <w:tcW w:w="810" w:type="dxa"/>
            <w:tcBorders>
              <w:top w:val="single" w:sz="4" w:space="0" w:color="auto"/>
              <w:left w:val="nil"/>
              <w:bottom w:val="single" w:sz="4" w:space="0" w:color="auto"/>
              <w:right w:val="single" w:sz="4" w:space="0" w:color="auto"/>
            </w:tcBorders>
            <w:shd w:val="clear" w:color="auto" w:fill="auto"/>
          </w:tcPr>
          <w:p w14:paraId="43404450" w14:textId="77777777" w:rsidR="009D4A93" w:rsidRPr="00536CFD" w:rsidRDefault="009D4A93" w:rsidP="009D4A93">
            <w:pPr>
              <w:spacing w:after="0"/>
              <w:jc w:val="center"/>
              <w:rPr>
                <w:lang w:val="zh-CN"/>
              </w:rPr>
            </w:pPr>
            <w:r w:rsidRPr="00536CFD">
              <w:rPr>
                <w:lang w:val="zh-CN"/>
              </w:rPr>
              <w:t>0.378</w:t>
            </w:r>
          </w:p>
        </w:tc>
        <w:tc>
          <w:tcPr>
            <w:tcW w:w="810" w:type="dxa"/>
            <w:tcBorders>
              <w:top w:val="single" w:sz="4" w:space="0" w:color="auto"/>
              <w:left w:val="nil"/>
              <w:bottom w:val="single" w:sz="4" w:space="0" w:color="auto"/>
              <w:right w:val="single" w:sz="4" w:space="0" w:color="auto"/>
            </w:tcBorders>
            <w:shd w:val="clear" w:color="auto" w:fill="auto"/>
            <w:vAlign w:val="center"/>
          </w:tcPr>
          <w:p w14:paraId="13898DFA" w14:textId="77777777" w:rsidR="009D4A93" w:rsidRPr="00536CFD" w:rsidRDefault="009D4A93" w:rsidP="009D4A93">
            <w:pPr>
              <w:spacing w:after="0"/>
              <w:jc w:val="center"/>
              <w:rPr>
                <w:lang w:val="zh-CN"/>
              </w:rPr>
            </w:pPr>
            <w:r w:rsidRPr="00536CFD">
              <w:rPr>
                <w:lang w:val="zh-CN"/>
              </w:rPr>
              <w:t>5.535</w:t>
            </w:r>
          </w:p>
        </w:tc>
        <w:tc>
          <w:tcPr>
            <w:tcW w:w="820" w:type="dxa"/>
            <w:tcBorders>
              <w:top w:val="single" w:sz="4" w:space="0" w:color="auto"/>
              <w:left w:val="nil"/>
              <w:bottom w:val="single" w:sz="4" w:space="0" w:color="auto"/>
              <w:right w:val="single" w:sz="4" w:space="0" w:color="auto"/>
            </w:tcBorders>
            <w:shd w:val="clear" w:color="auto" w:fill="auto"/>
            <w:vAlign w:val="center"/>
          </w:tcPr>
          <w:p w14:paraId="1F186C4A" w14:textId="77777777" w:rsidR="009D4A93" w:rsidRPr="00536CFD" w:rsidRDefault="009D4A93" w:rsidP="009D4A93">
            <w:pPr>
              <w:spacing w:after="0"/>
              <w:jc w:val="center"/>
              <w:rPr>
                <w:lang w:val="zh-CN"/>
              </w:rPr>
            </w:pPr>
            <w:r w:rsidRPr="00536CFD">
              <w:rPr>
                <w:lang w:val="zh-CN"/>
              </w:rPr>
              <w:t>1.913</w:t>
            </w:r>
          </w:p>
        </w:tc>
        <w:tc>
          <w:tcPr>
            <w:tcW w:w="800" w:type="dxa"/>
            <w:tcBorders>
              <w:top w:val="single" w:sz="4" w:space="0" w:color="auto"/>
              <w:left w:val="nil"/>
              <w:bottom w:val="single" w:sz="4" w:space="0" w:color="auto"/>
              <w:right w:val="single" w:sz="4" w:space="0" w:color="auto"/>
            </w:tcBorders>
            <w:shd w:val="clear" w:color="auto" w:fill="auto"/>
            <w:vAlign w:val="center"/>
          </w:tcPr>
          <w:p w14:paraId="06FF1CC4" w14:textId="77777777" w:rsidR="009D4A93" w:rsidRPr="00536CFD" w:rsidRDefault="009D4A93" w:rsidP="009D4A93">
            <w:pPr>
              <w:spacing w:after="0"/>
              <w:jc w:val="center"/>
              <w:rPr>
                <w:lang w:val="zh-CN"/>
              </w:rPr>
            </w:pPr>
            <w:r w:rsidRPr="00536CFD">
              <w:rPr>
                <w:lang w:val="zh-CN"/>
              </w:rPr>
              <w:t>0.801</w:t>
            </w:r>
          </w:p>
        </w:tc>
        <w:tc>
          <w:tcPr>
            <w:tcW w:w="720" w:type="dxa"/>
            <w:tcBorders>
              <w:top w:val="single" w:sz="4" w:space="0" w:color="auto"/>
              <w:left w:val="nil"/>
              <w:bottom w:val="single" w:sz="4" w:space="0" w:color="auto"/>
              <w:right w:val="single" w:sz="4" w:space="0" w:color="auto"/>
            </w:tcBorders>
            <w:shd w:val="clear" w:color="auto" w:fill="auto"/>
          </w:tcPr>
          <w:p w14:paraId="03FF426E" w14:textId="77777777" w:rsidR="009D4A93" w:rsidRPr="00536CFD" w:rsidRDefault="009D4A93" w:rsidP="009D4A93">
            <w:pPr>
              <w:spacing w:after="0"/>
              <w:jc w:val="center"/>
              <w:rPr>
                <w:lang w:val="zh-CN"/>
              </w:rPr>
            </w:pPr>
            <w:r w:rsidRPr="00536CFD">
              <w:rPr>
                <w:lang w:val="zh-CN"/>
              </w:rPr>
              <w:t>0.698</w:t>
            </w:r>
          </w:p>
        </w:tc>
        <w:tc>
          <w:tcPr>
            <w:tcW w:w="724" w:type="dxa"/>
            <w:tcBorders>
              <w:top w:val="single" w:sz="4" w:space="0" w:color="auto"/>
              <w:left w:val="nil"/>
              <w:bottom w:val="single" w:sz="4" w:space="0" w:color="auto"/>
              <w:right w:val="single" w:sz="4" w:space="0" w:color="auto"/>
            </w:tcBorders>
            <w:shd w:val="clear" w:color="auto" w:fill="auto"/>
            <w:vAlign w:val="center"/>
          </w:tcPr>
          <w:p w14:paraId="72A4246A" w14:textId="77777777" w:rsidR="009D4A93" w:rsidRPr="00536CFD" w:rsidRDefault="009D4A93" w:rsidP="009D4A93">
            <w:pPr>
              <w:spacing w:after="0"/>
              <w:jc w:val="center"/>
              <w:rPr>
                <w:lang w:val="zh-CN"/>
              </w:rPr>
            </w:pPr>
            <w:r w:rsidRPr="00536CFD">
              <w:rPr>
                <w:lang w:val="zh-CN"/>
              </w:rPr>
              <w:t>6.56</w:t>
            </w:r>
          </w:p>
        </w:tc>
        <w:tc>
          <w:tcPr>
            <w:tcW w:w="896" w:type="dxa"/>
            <w:tcBorders>
              <w:top w:val="single" w:sz="4" w:space="0" w:color="auto"/>
              <w:left w:val="nil"/>
              <w:bottom w:val="single" w:sz="4" w:space="0" w:color="auto"/>
              <w:right w:val="single" w:sz="4" w:space="0" w:color="auto"/>
            </w:tcBorders>
            <w:shd w:val="clear" w:color="auto" w:fill="auto"/>
            <w:vAlign w:val="center"/>
          </w:tcPr>
          <w:p w14:paraId="1E15E807" w14:textId="77777777" w:rsidR="009D4A93" w:rsidRPr="00536CFD" w:rsidRDefault="009D4A93" w:rsidP="009D4A93">
            <w:pPr>
              <w:spacing w:after="0"/>
              <w:jc w:val="center"/>
              <w:rPr>
                <w:lang w:val="zh-CN"/>
              </w:rPr>
            </w:pPr>
            <w:r w:rsidRPr="00536CFD">
              <w:rPr>
                <w:lang w:val="zh-CN"/>
              </w:rPr>
              <w:t>5.244</w:t>
            </w:r>
          </w:p>
        </w:tc>
        <w:tc>
          <w:tcPr>
            <w:tcW w:w="720" w:type="dxa"/>
            <w:tcBorders>
              <w:top w:val="single" w:sz="4" w:space="0" w:color="auto"/>
              <w:left w:val="nil"/>
              <w:bottom w:val="single" w:sz="4" w:space="0" w:color="auto"/>
              <w:right w:val="single" w:sz="4" w:space="0" w:color="auto"/>
            </w:tcBorders>
            <w:shd w:val="clear" w:color="auto" w:fill="auto"/>
            <w:vAlign w:val="center"/>
          </w:tcPr>
          <w:p w14:paraId="49730F36" w14:textId="77777777" w:rsidR="009D4A93" w:rsidRPr="00536CFD" w:rsidRDefault="009D4A93" w:rsidP="009D4A93">
            <w:pPr>
              <w:spacing w:after="0"/>
              <w:jc w:val="center"/>
              <w:rPr>
                <w:lang w:val="zh-CN"/>
              </w:rPr>
            </w:pPr>
            <w:r w:rsidRPr="00536CFD">
              <w:rPr>
                <w:lang w:val="zh-CN"/>
              </w:rPr>
              <w:t>1.787</w:t>
            </w:r>
          </w:p>
        </w:tc>
        <w:tc>
          <w:tcPr>
            <w:tcW w:w="720" w:type="dxa"/>
            <w:tcBorders>
              <w:top w:val="single" w:sz="4" w:space="0" w:color="auto"/>
              <w:left w:val="nil"/>
              <w:bottom w:val="single" w:sz="4" w:space="0" w:color="auto"/>
              <w:right w:val="single" w:sz="4" w:space="0" w:color="auto"/>
            </w:tcBorders>
            <w:shd w:val="clear" w:color="auto" w:fill="auto"/>
          </w:tcPr>
          <w:p w14:paraId="5E1B6D12" w14:textId="77777777" w:rsidR="009D4A93" w:rsidRPr="00536CFD" w:rsidRDefault="009D4A93" w:rsidP="009D4A93">
            <w:pPr>
              <w:spacing w:after="0"/>
              <w:jc w:val="center"/>
              <w:rPr>
                <w:lang w:val="zh-CN"/>
              </w:rPr>
            </w:pPr>
            <w:r w:rsidRPr="00536CFD">
              <w:rPr>
                <w:lang w:val="zh-CN"/>
              </w:rPr>
              <w:t>1.403</w:t>
            </w:r>
          </w:p>
        </w:tc>
      </w:tr>
      <w:tr w:rsidR="009D4A93" w:rsidRPr="00536CFD" w14:paraId="79A23B4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86D5F2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6E8A13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57D24A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1CF3EF90" w14:textId="77777777" w:rsidR="009D4A93" w:rsidRPr="00536CFD" w:rsidRDefault="009D4A93" w:rsidP="009D4A93">
            <w:pPr>
              <w:spacing w:after="0"/>
              <w:jc w:val="center"/>
              <w:rPr>
                <w:lang w:val="zh-CN"/>
              </w:rPr>
            </w:pPr>
            <w:r w:rsidRPr="00536CFD">
              <w:rPr>
                <w:lang w:val="zh-CN"/>
              </w:rPr>
              <w:t>0.362</w:t>
            </w:r>
          </w:p>
        </w:tc>
        <w:tc>
          <w:tcPr>
            <w:tcW w:w="720" w:type="dxa"/>
            <w:tcBorders>
              <w:top w:val="single" w:sz="4" w:space="0" w:color="auto"/>
              <w:left w:val="nil"/>
              <w:bottom w:val="single" w:sz="4" w:space="0" w:color="auto"/>
              <w:right w:val="single" w:sz="4" w:space="0" w:color="auto"/>
            </w:tcBorders>
            <w:shd w:val="clear" w:color="auto" w:fill="auto"/>
          </w:tcPr>
          <w:p w14:paraId="553A396F" w14:textId="77777777" w:rsidR="009D4A93" w:rsidRPr="00536CFD" w:rsidRDefault="009D4A93" w:rsidP="009D4A93">
            <w:pPr>
              <w:spacing w:after="0"/>
              <w:jc w:val="center"/>
              <w:rPr>
                <w:lang w:val="zh-CN"/>
              </w:rPr>
            </w:pPr>
            <w:r w:rsidRPr="00536CFD">
              <w:rPr>
                <w:lang w:val="zh-CN"/>
              </w:rPr>
              <w:t>0.289</w:t>
            </w:r>
          </w:p>
        </w:tc>
        <w:tc>
          <w:tcPr>
            <w:tcW w:w="720" w:type="dxa"/>
            <w:tcBorders>
              <w:top w:val="single" w:sz="4" w:space="0" w:color="auto"/>
              <w:left w:val="nil"/>
              <w:bottom w:val="single" w:sz="4" w:space="0" w:color="auto"/>
              <w:right w:val="single" w:sz="4" w:space="0" w:color="auto"/>
            </w:tcBorders>
            <w:shd w:val="clear" w:color="auto" w:fill="auto"/>
          </w:tcPr>
          <w:p w14:paraId="35BA3429" w14:textId="77777777" w:rsidR="009D4A93" w:rsidRPr="00536CFD" w:rsidRDefault="009D4A93" w:rsidP="009D4A93">
            <w:pPr>
              <w:spacing w:after="0"/>
              <w:jc w:val="center"/>
              <w:rPr>
                <w:lang w:val="zh-CN"/>
              </w:rPr>
            </w:pPr>
            <w:r w:rsidRPr="00536CFD">
              <w:rPr>
                <w:lang w:val="zh-CN"/>
              </w:rPr>
              <w:t>0.131</w:t>
            </w:r>
          </w:p>
        </w:tc>
        <w:tc>
          <w:tcPr>
            <w:tcW w:w="810" w:type="dxa"/>
            <w:tcBorders>
              <w:top w:val="single" w:sz="4" w:space="0" w:color="auto"/>
              <w:left w:val="nil"/>
              <w:bottom w:val="single" w:sz="4" w:space="0" w:color="auto"/>
              <w:right w:val="single" w:sz="4" w:space="0" w:color="auto"/>
            </w:tcBorders>
            <w:shd w:val="clear" w:color="auto" w:fill="auto"/>
          </w:tcPr>
          <w:p w14:paraId="436FE4C2" w14:textId="77777777" w:rsidR="009D4A93" w:rsidRPr="00536CFD" w:rsidRDefault="009D4A93" w:rsidP="009D4A93">
            <w:pPr>
              <w:spacing w:after="0"/>
              <w:jc w:val="center"/>
              <w:rPr>
                <w:lang w:val="zh-CN"/>
              </w:rPr>
            </w:pPr>
            <w:r w:rsidRPr="00536CFD">
              <w:rPr>
                <w:lang w:val="zh-CN"/>
              </w:rPr>
              <w:t>0.112</w:t>
            </w:r>
          </w:p>
        </w:tc>
        <w:tc>
          <w:tcPr>
            <w:tcW w:w="810" w:type="dxa"/>
            <w:tcBorders>
              <w:top w:val="single" w:sz="4" w:space="0" w:color="auto"/>
              <w:left w:val="nil"/>
              <w:bottom w:val="single" w:sz="4" w:space="0" w:color="auto"/>
              <w:right w:val="single" w:sz="4" w:space="0" w:color="auto"/>
            </w:tcBorders>
            <w:shd w:val="clear" w:color="auto" w:fill="auto"/>
          </w:tcPr>
          <w:p w14:paraId="36A7B47A" w14:textId="77777777" w:rsidR="009D4A93" w:rsidRPr="00536CFD" w:rsidRDefault="009D4A93" w:rsidP="009D4A93">
            <w:pPr>
              <w:spacing w:after="0"/>
              <w:jc w:val="center"/>
              <w:rPr>
                <w:lang w:val="zh-CN"/>
              </w:rPr>
            </w:pPr>
            <w:r w:rsidRPr="00536CFD">
              <w:rPr>
                <w:lang w:val="zh-CN"/>
              </w:rPr>
              <w:t>1.060</w:t>
            </w:r>
          </w:p>
        </w:tc>
        <w:tc>
          <w:tcPr>
            <w:tcW w:w="820" w:type="dxa"/>
            <w:tcBorders>
              <w:top w:val="single" w:sz="4" w:space="0" w:color="auto"/>
              <w:left w:val="nil"/>
              <w:bottom w:val="single" w:sz="4" w:space="0" w:color="auto"/>
              <w:right w:val="single" w:sz="4" w:space="0" w:color="auto"/>
            </w:tcBorders>
            <w:shd w:val="clear" w:color="auto" w:fill="auto"/>
          </w:tcPr>
          <w:p w14:paraId="5AC38988" w14:textId="77777777" w:rsidR="009D4A93" w:rsidRPr="00536CFD" w:rsidRDefault="009D4A93" w:rsidP="009D4A93">
            <w:pPr>
              <w:spacing w:after="0"/>
              <w:jc w:val="center"/>
              <w:rPr>
                <w:lang w:val="zh-CN"/>
              </w:rPr>
            </w:pPr>
            <w:r w:rsidRPr="00536CFD">
              <w:rPr>
                <w:lang w:val="zh-CN"/>
              </w:rPr>
              <w:t>0.418</w:t>
            </w:r>
          </w:p>
        </w:tc>
        <w:tc>
          <w:tcPr>
            <w:tcW w:w="800" w:type="dxa"/>
            <w:tcBorders>
              <w:top w:val="single" w:sz="4" w:space="0" w:color="auto"/>
              <w:left w:val="nil"/>
              <w:bottom w:val="single" w:sz="4" w:space="0" w:color="auto"/>
              <w:right w:val="single" w:sz="4" w:space="0" w:color="auto"/>
            </w:tcBorders>
            <w:shd w:val="clear" w:color="auto" w:fill="auto"/>
          </w:tcPr>
          <w:p w14:paraId="1A7FFEC0" w14:textId="77777777" w:rsidR="009D4A93" w:rsidRPr="00536CFD" w:rsidRDefault="009D4A93" w:rsidP="009D4A93">
            <w:pPr>
              <w:spacing w:after="0"/>
              <w:jc w:val="center"/>
              <w:rPr>
                <w:lang w:val="zh-CN"/>
              </w:rPr>
            </w:pPr>
            <w:r w:rsidRPr="00536CFD">
              <w:rPr>
                <w:lang w:val="zh-CN"/>
              </w:rPr>
              <w:t>0.206</w:t>
            </w:r>
          </w:p>
        </w:tc>
        <w:tc>
          <w:tcPr>
            <w:tcW w:w="720" w:type="dxa"/>
            <w:tcBorders>
              <w:top w:val="single" w:sz="4" w:space="0" w:color="auto"/>
              <w:left w:val="nil"/>
              <w:bottom w:val="single" w:sz="4" w:space="0" w:color="auto"/>
              <w:right w:val="single" w:sz="4" w:space="0" w:color="auto"/>
            </w:tcBorders>
            <w:shd w:val="clear" w:color="auto" w:fill="auto"/>
          </w:tcPr>
          <w:p w14:paraId="3B5CC525" w14:textId="77777777" w:rsidR="009D4A93" w:rsidRPr="00536CFD" w:rsidRDefault="009D4A93" w:rsidP="009D4A93">
            <w:pPr>
              <w:spacing w:after="0"/>
              <w:jc w:val="center"/>
              <w:rPr>
                <w:lang w:val="zh-CN"/>
              </w:rPr>
            </w:pPr>
            <w:r w:rsidRPr="00536CFD">
              <w:rPr>
                <w:lang w:val="zh-CN"/>
              </w:rPr>
              <w:t>0.194</w:t>
            </w:r>
          </w:p>
        </w:tc>
        <w:tc>
          <w:tcPr>
            <w:tcW w:w="724" w:type="dxa"/>
            <w:tcBorders>
              <w:top w:val="single" w:sz="4" w:space="0" w:color="auto"/>
              <w:left w:val="nil"/>
              <w:bottom w:val="single" w:sz="4" w:space="0" w:color="auto"/>
              <w:right w:val="single" w:sz="4" w:space="0" w:color="auto"/>
            </w:tcBorders>
            <w:shd w:val="clear" w:color="auto" w:fill="auto"/>
          </w:tcPr>
          <w:p w14:paraId="7103FB86" w14:textId="77777777" w:rsidR="009D4A93" w:rsidRPr="00536CFD" w:rsidRDefault="009D4A93" w:rsidP="009D4A93">
            <w:pPr>
              <w:spacing w:after="0"/>
              <w:jc w:val="center"/>
              <w:rPr>
                <w:lang w:val="zh-CN"/>
              </w:rPr>
            </w:pPr>
            <w:r w:rsidRPr="00536CFD">
              <w:rPr>
                <w:lang w:val="zh-CN"/>
              </w:rPr>
              <w:t>1.809</w:t>
            </w:r>
          </w:p>
        </w:tc>
        <w:tc>
          <w:tcPr>
            <w:tcW w:w="896" w:type="dxa"/>
            <w:tcBorders>
              <w:top w:val="single" w:sz="4" w:space="0" w:color="auto"/>
              <w:left w:val="nil"/>
              <w:bottom w:val="single" w:sz="4" w:space="0" w:color="auto"/>
              <w:right w:val="single" w:sz="4" w:space="0" w:color="auto"/>
            </w:tcBorders>
            <w:shd w:val="clear" w:color="auto" w:fill="auto"/>
          </w:tcPr>
          <w:p w14:paraId="40D530C7" w14:textId="77777777" w:rsidR="009D4A93" w:rsidRPr="00536CFD" w:rsidRDefault="009D4A93" w:rsidP="009D4A93">
            <w:pPr>
              <w:spacing w:after="0"/>
              <w:jc w:val="center"/>
              <w:rPr>
                <w:lang w:val="zh-CN"/>
              </w:rPr>
            </w:pPr>
            <w:r w:rsidRPr="00536CFD">
              <w:rPr>
                <w:lang w:val="zh-CN"/>
              </w:rPr>
              <w:t>1.301</w:t>
            </w:r>
          </w:p>
        </w:tc>
        <w:tc>
          <w:tcPr>
            <w:tcW w:w="720" w:type="dxa"/>
            <w:tcBorders>
              <w:top w:val="single" w:sz="4" w:space="0" w:color="auto"/>
              <w:left w:val="nil"/>
              <w:bottom w:val="single" w:sz="4" w:space="0" w:color="auto"/>
              <w:right w:val="single" w:sz="4" w:space="0" w:color="auto"/>
            </w:tcBorders>
            <w:shd w:val="clear" w:color="auto" w:fill="auto"/>
          </w:tcPr>
          <w:p w14:paraId="4DBD07C0" w14:textId="77777777" w:rsidR="009D4A93" w:rsidRPr="00536CFD" w:rsidRDefault="009D4A93" w:rsidP="009D4A93">
            <w:pPr>
              <w:spacing w:after="0"/>
              <w:jc w:val="center"/>
              <w:rPr>
                <w:lang w:val="zh-CN"/>
              </w:rPr>
            </w:pPr>
            <w:r w:rsidRPr="00536CFD">
              <w:rPr>
                <w:lang w:val="zh-CN"/>
              </w:rPr>
              <w:t>0.516</w:t>
            </w:r>
          </w:p>
        </w:tc>
        <w:tc>
          <w:tcPr>
            <w:tcW w:w="720" w:type="dxa"/>
            <w:tcBorders>
              <w:top w:val="single" w:sz="4" w:space="0" w:color="auto"/>
              <w:left w:val="nil"/>
              <w:bottom w:val="single" w:sz="4" w:space="0" w:color="auto"/>
              <w:right w:val="single" w:sz="4" w:space="0" w:color="auto"/>
            </w:tcBorders>
            <w:shd w:val="clear" w:color="auto" w:fill="auto"/>
          </w:tcPr>
          <w:p w14:paraId="67DF3933" w14:textId="77777777" w:rsidR="009D4A93" w:rsidRPr="00536CFD" w:rsidRDefault="009D4A93" w:rsidP="009D4A93">
            <w:pPr>
              <w:spacing w:after="0"/>
              <w:jc w:val="center"/>
              <w:rPr>
                <w:lang w:val="zh-CN"/>
              </w:rPr>
            </w:pPr>
            <w:r w:rsidRPr="00536CFD">
              <w:rPr>
                <w:lang w:val="zh-CN"/>
              </w:rPr>
              <w:t>0.392</w:t>
            </w:r>
          </w:p>
        </w:tc>
      </w:tr>
      <w:tr w:rsidR="009D4A93" w:rsidRPr="00536CFD" w14:paraId="1F23051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FCA211C"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865201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0A8CE1E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59C43D8D" w14:textId="77777777" w:rsidR="009D4A93" w:rsidRPr="00536CFD" w:rsidRDefault="009D4A93" w:rsidP="009D4A93">
            <w:pPr>
              <w:spacing w:after="0"/>
              <w:jc w:val="center"/>
              <w:rPr>
                <w:lang w:val="zh-CN"/>
              </w:rPr>
            </w:pPr>
            <w:r w:rsidRPr="00536CFD">
              <w:rPr>
                <w:lang w:val="zh-CN"/>
              </w:rPr>
              <w:t>1.450</w:t>
            </w:r>
          </w:p>
        </w:tc>
        <w:tc>
          <w:tcPr>
            <w:tcW w:w="720" w:type="dxa"/>
            <w:tcBorders>
              <w:top w:val="single" w:sz="4" w:space="0" w:color="auto"/>
              <w:left w:val="nil"/>
              <w:bottom w:val="single" w:sz="4" w:space="0" w:color="auto"/>
              <w:right w:val="single" w:sz="4" w:space="0" w:color="auto"/>
            </w:tcBorders>
            <w:shd w:val="clear" w:color="auto" w:fill="auto"/>
          </w:tcPr>
          <w:p w14:paraId="587A3F1C" w14:textId="77777777" w:rsidR="009D4A93" w:rsidRPr="00536CFD" w:rsidRDefault="009D4A93" w:rsidP="009D4A93">
            <w:pPr>
              <w:spacing w:after="0"/>
              <w:jc w:val="center"/>
              <w:rPr>
                <w:lang w:val="zh-CN"/>
              </w:rPr>
            </w:pPr>
            <w:r w:rsidRPr="00536CFD">
              <w:rPr>
                <w:lang w:val="zh-CN"/>
              </w:rPr>
              <w:t>1.895</w:t>
            </w:r>
          </w:p>
        </w:tc>
        <w:tc>
          <w:tcPr>
            <w:tcW w:w="720" w:type="dxa"/>
            <w:tcBorders>
              <w:top w:val="single" w:sz="4" w:space="0" w:color="auto"/>
              <w:left w:val="nil"/>
              <w:bottom w:val="single" w:sz="4" w:space="0" w:color="auto"/>
              <w:right w:val="single" w:sz="4" w:space="0" w:color="auto"/>
            </w:tcBorders>
            <w:shd w:val="clear" w:color="auto" w:fill="auto"/>
          </w:tcPr>
          <w:p w14:paraId="64D3FCCC" w14:textId="77777777" w:rsidR="009D4A93" w:rsidRPr="00536CFD" w:rsidRDefault="009D4A93" w:rsidP="009D4A93">
            <w:pPr>
              <w:spacing w:after="0"/>
              <w:jc w:val="center"/>
              <w:rPr>
                <w:lang w:val="zh-CN"/>
              </w:rPr>
            </w:pPr>
            <w:r w:rsidRPr="00536CFD">
              <w:rPr>
                <w:lang w:val="zh-CN"/>
              </w:rPr>
              <w:t>8.945</w:t>
            </w:r>
          </w:p>
        </w:tc>
        <w:tc>
          <w:tcPr>
            <w:tcW w:w="810" w:type="dxa"/>
            <w:tcBorders>
              <w:top w:val="single" w:sz="4" w:space="0" w:color="auto"/>
              <w:left w:val="nil"/>
              <w:bottom w:val="single" w:sz="4" w:space="0" w:color="auto"/>
              <w:right w:val="single" w:sz="4" w:space="0" w:color="auto"/>
            </w:tcBorders>
            <w:shd w:val="clear" w:color="auto" w:fill="auto"/>
          </w:tcPr>
          <w:p w14:paraId="3395FFF8" w14:textId="77777777" w:rsidR="009D4A93" w:rsidRPr="00536CFD" w:rsidRDefault="009D4A93" w:rsidP="009D4A93">
            <w:pPr>
              <w:spacing w:after="0"/>
              <w:jc w:val="center"/>
              <w:rPr>
                <w:lang w:val="zh-CN"/>
              </w:rPr>
            </w:pPr>
            <w:r w:rsidRPr="00536CFD">
              <w:rPr>
                <w:lang w:val="zh-CN"/>
              </w:rPr>
              <w:t>19.057</w:t>
            </w:r>
          </w:p>
        </w:tc>
        <w:tc>
          <w:tcPr>
            <w:tcW w:w="810" w:type="dxa"/>
            <w:tcBorders>
              <w:top w:val="single" w:sz="4" w:space="0" w:color="auto"/>
              <w:left w:val="nil"/>
              <w:bottom w:val="single" w:sz="4" w:space="0" w:color="auto"/>
              <w:right w:val="single" w:sz="4" w:space="0" w:color="auto"/>
            </w:tcBorders>
            <w:shd w:val="clear" w:color="auto" w:fill="auto"/>
          </w:tcPr>
          <w:p w14:paraId="1C89891D" w14:textId="77777777" w:rsidR="009D4A93" w:rsidRPr="00536CFD" w:rsidRDefault="009D4A93" w:rsidP="009D4A93">
            <w:pPr>
              <w:spacing w:after="0"/>
              <w:jc w:val="center"/>
              <w:rPr>
                <w:lang w:val="zh-CN"/>
              </w:rPr>
            </w:pPr>
            <w:r w:rsidRPr="00536CFD">
              <w:rPr>
                <w:lang w:val="zh-CN"/>
              </w:rPr>
              <w:t>0.216</w:t>
            </w:r>
          </w:p>
        </w:tc>
        <w:tc>
          <w:tcPr>
            <w:tcW w:w="820" w:type="dxa"/>
            <w:tcBorders>
              <w:top w:val="single" w:sz="4" w:space="0" w:color="auto"/>
              <w:left w:val="nil"/>
              <w:bottom w:val="single" w:sz="4" w:space="0" w:color="auto"/>
              <w:right w:val="single" w:sz="4" w:space="0" w:color="auto"/>
            </w:tcBorders>
            <w:shd w:val="clear" w:color="auto" w:fill="auto"/>
          </w:tcPr>
          <w:p w14:paraId="635DE3F7" w14:textId="77777777" w:rsidR="009D4A93" w:rsidRPr="00536CFD" w:rsidRDefault="009D4A93" w:rsidP="009D4A93">
            <w:pPr>
              <w:spacing w:after="0"/>
              <w:jc w:val="center"/>
              <w:rPr>
                <w:lang w:val="zh-CN"/>
              </w:rPr>
            </w:pPr>
            <w:r w:rsidRPr="00536CFD">
              <w:rPr>
                <w:lang w:val="zh-CN"/>
              </w:rPr>
              <w:t>0.396</w:t>
            </w:r>
          </w:p>
        </w:tc>
        <w:tc>
          <w:tcPr>
            <w:tcW w:w="800" w:type="dxa"/>
            <w:tcBorders>
              <w:top w:val="single" w:sz="4" w:space="0" w:color="auto"/>
              <w:left w:val="nil"/>
              <w:bottom w:val="single" w:sz="4" w:space="0" w:color="auto"/>
              <w:right w:val="single" w:sz="4" w:space="0" w:color="auto"/>
            </w:tcBorders>
            <w:shd w:val="clear" w:color="auto" w:fill="auto"/>
          </w:tcPr>
          <w:p w14:paraId="23FF710B" w14:textId="77777777" w:rsidR="009D4A93" w:rsidRPr="00536CFD" w:rsidRDefault="009D4A93" w:rsidP="009D4A93">
            <w:pPr>
              <w:spacing w:after="0"/>
              <w:jc w:val="center"/>
              <w:rPr>
                <w:lang w:val="zh-CN"/>
              </w:rPr>
            </w:pPr>
            <w:r w:rsidRPr="00536CFD">
              <w:rPr>
                <w:lang w:val="zh-CN"/>
              </w:rPr>
              <w:t>2.490</w:t>
            </w:r>
          </w:p>
        </w:tc>
        <w:tc>
          <w:tcPr>
            <w:tcW w:w="720" w:type="dxa"/>
            <w:tcBorders>
              <w:top w:val="single" w:sz="4" w:space="0" w:color="auto"/>
              <w:left w:val="nil"/>
              <w:bottom w:val="single" w:sz="4" w:space="0" w:color="auto"/>
              <w:right w:val="single" w:sz="4" w:space="0" w:color="auto"/>
            </w:tcBorders>
            <w:shd w:val="clear" w:color="auto" w:fill="auto"/>
          </w:tcPr>
          <w:p w14:paraId="19A08592" w14:textId="77777777" w:rsidR="009D4A93" w:rsidRPr="00536CFD" w:rsidRDefault="009D4A93" w:rsidP="009D4A93">
            <w:pPr>
              <w:spacing w:after="0"/>
              <w:jc w:val="center"/>
              <w:rPr>
                <w:lang w:val="zh-CN"/>
              </w:rPr>
            </w:pPr>
            <w:r w:rsidRPr="00536CFD">
              <w:rPr>
                <w:lang w:val="zh-CN"/>
              </w:rPr>
              <w:t>5.646</w:t>
            </w:r>
          </w:p>
        </w:tc>
        <w:tc>
          <w:tcPr>
            <w:tcW w:w="724" w:type="dxa"/>
            <w:tcBorders>
              <w:top w:val="single" w:sz="4" w:space="0" w:color="auto"/>
              <w:left w:val="nil"/>
              <w:bottom w:val="single" w:sz="4" w:space="0" w:color="auto"/>
              <w:right w:val="single" w:sz="4" w:space="0" w:color="auto"/>
            </w:tcBorders>
            <w:shd w:val="clear" w:color="auto" w:fill="auto"/>
          </w:tcPr>
          <w:p w14:paraId="3E30EBF6" w14:textId="77777777" w:rsidR="009D4A93" w:rsidRPr="00536CFD" w:rsidRDefault="009D4A93" w:rsidP="009D4A93">
            <w:pPr>
              <w:spacing w:after="0"/>
              <w:jc w:val="center"/>
              <w:rPr>
                <w:lang w:val="zh-CN"/>
              </w:rPr>
            </w:pPr>
            <w:r w:rsidRPr="00536CFD">
              <w:rPr>
                <w:lang w:val="zh-CN"/>
              </w:rPr>
              <w:t>0.022</w:t>
            </w:r>
          </w:p>
        </w:tc>
        <w:tc>
          <w:tcPr>
            <w:tcW w:w="896" w:type="dxa"/>
            <w:tcBorders>
              <w:top w:val="single" w:sz="4" w:space="0" w:color="auto"/>
              <w:left w:val="nil"/>
              <w:bottom w:val="single" w:sz="4" w:space="0" w:color="auto"/>
              <w:right w:val="single" w:sz="4" w:space="0" w:color="auto"/>
            </w:tcBorders>
            <w:shd w:val="clear" w:color="auto" w:fill="auto"/>
          </w:tcPr>
          <w:p w14:paraId="75D8FF80" w14:textId="77777777" w:rsidR="009D4A93" w:rsidRPr="00536CFD" w:rsidRDefault="009D4A93" w:rsidP="009D4A93">
            <w:pPr>
              <w:spacing w:after="0"/>
              <w:jc w:val="center"/>
              <w:rPr>
                <w:lang w:val="zh-CN"/>
              </w:rPr>
            </w:pPr>
            <w:r w:rsidRPr="00536CFD">
              <w:rPr>
                <w:lang w:val="zh-CN"/>
              </w:rPr>
              <w:t>0.018</w:t>
            </w:r>
          </w:p>
        </w:tc>
        <w:tc>
          <w:tcPr>
            <w:tcW w:w="720" w:type="dxa"/>
            <w:tcBorders>
              <w:top w:val="single" w:sz="4" w:space="0" w:color="auto"/>
              <w:left w:val="nil"/>
              <w:bottom w:val="single" w:sz="4" w:space="0" w:color="auto"/>
              <w:right w:val="single" w:sz="4" w:space="0" w:color="auto"/>
            </w:tcBorders>
            <w:shd w:val="clear" w:color="auto" w:fill="auto"/>
          </w:tcPr>
          <w:p w14:paraId="20CEC81D" w14:textId="77777777" w:rsidR="009D4A93" w:rsidRPr="00536CFD" w:rsidRDefault="009D4A93" w:rsidP="009D4A93">
            <w:pPr>
              <w:spacing w:after="0"/>
              <w:jc w:val="center"/>
              <w:rPr>
                <w:lang w:val="zh-CN"/>
              </w:rPr>
            </w:pPr>
            <w:r w:rsidRPr="00536CFD">
              <w:rPr>
                <w:lang w:val="zh-CN"/>
              </w:rPr>
              <w:t>1.738</w:t>
            </w:r>
          </w:p>
        </w:tc>
        <w:tc>
          <w:tcPr>
            <w:tcW w:w="720" w:type="dxa"/>
            <w:tcBorders>
              <w:top w:val="single" w:sz="4" w:space="0" w:color="auto"/>
              <w:left w:val="nil"/>
              <w:bottom w:val="single" w:sz="4" w:space="0" w:color="auto"/>
              <w:right w:val="single" w:sz="4" w:space="0" w:color="auto"/>
            </w:tcBorders>
            <w:shd w:val="clear" w:color="auto" w:fill="auto"/>
          </w:tcPr>
          <w:p w14:paraId="37DFC8B1" w14:textId="77777777" w:rsidR="009D4A93" w:rsidRPr="00536CFD" w:rsidRDefault="009D4A93" w:rsidP="009D4A93">
            <w:pPr>
              <w:spacing w:after="0"/>
              <w:jc w:val="center"/>
              <w:rPr>
                <w:lang w:val="zh-CN"/>
              </w:rPr>
            </w:pPr>
            <w:r w:rsidRPr="00536CFD">
              <w:rPr>
                <w:lang w:val="zh-CN"/>
              </w:rPr>
              <w:t>2.071</w:t>
            </w:r>
          </w:p>
        </w:tc>
      </w:tr>
      <w:tr w:rsidR="009D4A93" w:rsidRPr="00536CFD" w14:paraId="565E88E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D86440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2ED8F9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EABABF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0AF1F1F7" w14:textId="77777777" w:rsidR="009D4A93" w:rsidRPr="00536CFD" w:rsidRDefault="009D4A93" w:rsidP="009D4A93">
            <w:pPr>
              <w:spacing w:after="0"/>
              <w:jc w:val="center"/>
              <w:rPr>
                <w:lang w:val="zh-CN"/>
              </w:rPr>
            </w:pPr>
            <w:r w:rsidRPr="00536CFD">
              <w:rPr>
                <w:lang w:val="zh-CN"/>
              </w:rPr>
              <w:t>35.542</w:t>
            </w:r>
          </w:p>
        </w:tc>
        <w:tc>
          <w:tcPr>
            <w:tcW w:w="720" w:type="dxa"/>
            <w:tcBorders>
              <w:top w:val="single" w:sz="4" w:space="0" w:color="auto"/>
              <w:left w:val="nil"/>
              <w:bottom w:val="single" w:sz="4" w:space="0" w:color="auto"/>
              <w:right w:val="single" w:sz="4" w:space="0" w:color="auto"/>
            </w:tcBorders>
            <w:shd w:val="clear" w:color="auto" w:fill="auto"/>
          </w:tcPr>
          <w:p w14:paraId="7EDC372A" w14:textId="77777777" w:rsidR="009D4A93" w:rsidRPr="00536CFD" w:rsidRDefault="009D4A93" w:rsidP="009D4A93">
            <w:pPr>
              <w:spacing w:after="0"/>
              <w:jc w:val="center"/>
              <w:rPr>
                <w:lang w:val="zh-CN"/>
              </w:rPr>
            </w:pPr>
            <w:r w:rsidRPr="00536CFD">
              <w:rPr>
                <w:lang w:val="zh-CN"/>
              </w:rPr>
              <w:t>39.754</w:t>
            </w:r>
          </w:p>
        </w:tc>
        <w:tc>
          <w:tcPr>
            <w:tcW w:w="720" w:type="dxa"/>
            <w:tcBorders>
              <w:top w:val="single" w:sz="4" w:space="0" w:color="auto"/>
              <w:left w:val="nil"/>
              <w:bottom w:val="single" w:sz="4" w:space="0" w:color="auto"/>
              <w:right w:val="single" w:sz="4" w:space="0" w:color="auto"/>
            </w:tcBorders>
            <w:shd w:val="clear" w:color="auto" w:fill="auto"/>
          </w:tcPr>
          <w:p w14:paraId="613D4D6D" w14:textId="77777777" w:rsidR="009D4A93" w:rsidRPr="00536CFD" w:rsidRDefault="009D4A93" w:rsidP="009D4A93">
            <w:pPr>
              <w:spacing w:after="0"/>
              <w:jc w:val="center"/>
              <w:rPr>
                <w:lang w:val="zh-CN"/>
              </w:rPr>
            </w:pPr>
            <w:r w:rsidRPr="00536CFD">
              <w:rPr>
                <w:lang w:val="zh-CN"/>
              </w:rPr>
              <w:t>57.249</w:t>
            </w:r>
          </w:p>
        </w:tc>
        <w:tc>
          <w:tcPr>
            <w:tcW w:w="810" w:type="dxa"/>
            <w:tcBorders>
              <w:top w:val="single" w:sz="4" w:space="0" w:color="auto"/>
              <w:left w:val="nil"/>
              <w:bottom w:val="single" w:sz="4" w:space="0" w:color="auto"/>
              <w:right w:val="single" w:sz="4" w:space="0" w:color="auto"/>
            </w:tcBorders>
            <w:shd w:val="clear" w:color="auto" w:fill="auto"/>
          </w:tcPr>
          <w:p w14:paraId="07D04284" w14:textId="77777777" w:rsidR="009D4A93" w:rsidRPr="00536CFD" w:rsidRDefault="009D4A93" w:rsidP="009D4A93">
            <w:pPr>
              <w:spacing w:after="0"/>
              <w:jc w:val="center"/>
              <w:rPr>
                <w:lang w:val="zh-CN"/>
              </w:rPr>
            </w:pPr>
            <w:r w:rsidRPr="00536CFD">
              <w:rPr>
                <w:lang w:val="zh-CN"/>
              </w:rPr>
              <w:t>57.542</w:t>
            </w:r>
          </w:p>
        </w:tc>
        <w:tc>
          <w:tcPr>
            <w:tcW w:w="810" w:type="dxa"/>
            <w:tcBorders>
              <w:top w:val="single" w:sz="4" w:space="0" w:color="auto"/>
              <w:left w:val="nil"/>
              <w:bottom w:val="single" w:sz="4" w:space="0" w:color="auto"/>
              <w:right w:val="single" w:sz="4" w:space="0" w:color="auto"/>
            </w:tcBorders>
            <w:shd w:val="clear" w:color="auto" w:fill="auto"/>
          </w:tcPr>
          <w:p w14:paraId="5B94755A" w14:textId="77777777" w:rsidR="009D4A93" w:rsidRPr="00536CFD" w:rsidRDefault="009D4A93" w:rsidP="009D4A93">
            <w:pPr>
              <w:spacing w:after="0"/>
              <w:jc w:val="center"/>
              <w:rPr>
                <w:lang w:val="zh-CN"/>
              </w:rPr>
            </w:pPr>
            <w:r w:rsidRPr="00536CFD">
              <w:rPr>
                <w:lang w:val="zh-CN"/>
              </w:rPr>
              <w:t>16.897</w:t>
            </w:r>
          </w:p>
        </w:tc>
        <w:tc>
          <w:tcPr>
            <w:tcW w:w="820" w:type="dxa"/>
            <w:tcBorders>
              <w:top w:val="single" w:sz="4" w:space="0" w:color="auto"/>
              <w:left w:val="nil"/>
              <w:bottom w:val="single" w:sz="4" w:space="0" w:color="auto"/>
              <w:right w:val="single" w:sz="4" w:space="0" w:color="auto"/>
            </w:tcBorders>
            <w:shd w:val="clear" w:color="auto" w:fill="auto"/>
          </w:tcPr>
          <w:p w14:paraId="6966EEC3" w14:textId="77777777" w:rsidR="009D4A93" w:rsidRPr="00536CFD" w:rsidRDefault="009D4A93" w:rsidP="009D4A93">
            <w:pPr>
              <w:spacing w:after="0"/>
              <w:jc w:val="center"/>
              <w:rPr>
                <w:lang w:val="zh-CN"/>
              </w:rPr>
            </w:pPr>
            <w:r w:rsidRPr="00536CFD">
              <w:rPr>
                <w:lang w:val="zh-CN"/>
              </w:rPr>
              <w:t>23.044</w:t>
            </w:r>
          </w:p>
        </w:tc>
        <w:tc>
          <w:tcPr>
            <w:tcW w:w="800" w:type="dxa"/>
            <w:tcBorders>
              <w:top w:val="single" w:sz="4" w:space="0" w:color="auto"/>
              <w:left w:val="nil"/>
              <w:bottom w:val="single" w:sz="4" w:space="0" w:color="auto"/>
              <w:right w:val="single" w:sz="4" w:space="0" w:color="auto"/>
            </w:tcBorders>
            <w:shd w:val="clear" w:color="auto" w:fill="auto"/>
          </w:tcPr>
          <w:p w14:paraId="2CE28C5A" w14:textId="77777777" w:rsidR="009D4A93" w:rsidRPr="00536CFD" w:rsidRDefault="009D4A93" w:rsidP="009D4A93">
            <w:pPr>
              <w:spacing w:after="0"/>
              <w:jc w:val="center"/>
              <w:rPr>
                <w:lang w:val="zh-CN"/>
              </w:rPr>
            </w:pPr>
            <w:r w:rsidRPr="00536CFD">
              <w:rPr>
                <w:lang w:val="zh-CN"/>
              </w:rPr>
              <w:t>31.288</w:t>
            </w:r>
          </w:p>
        </w:tc>
        <w:tc>
          <w:tcPr>
            <w:tcW w:w="720" w:type="dxa"/>
            <w:tcBorders>
              <w:top w:val="single" w:sz="4" w:space="0" w:color="auto"/>
              <w:left w:val="nil"/>
              <w:bottom w:val="single" w:sz="4" w:space="0" w:color="auto"/>
              <w:right w:val="single" w:sz="4" w:space="0" w:color="auto"/>
            </w:tcBorders>
            <w:shd w:val="clear" w:color="auto" w:fill="auto"/>
          </w:tcPr>
          <w:p w14:paraId="0A2F268D" w14:textId="77777777" w:rsidR="009D4A93" w:rsidRPr="00536CFD" w:rsidRDefault="009D4A93" w:rsidP="009D4A93">
            <w:pPr>
              <w:spacing w:after="0"/>
              <w:jc w:val="center"/>
              <w:rPr>
                <w:lang w:val="zh-CN"/>
              </w:rPr>
            </w:pPr>
            <w:r w:rsidRPr="00536CFD">
              <w:rPr>
                <w:lang w:val="zh-CN"/>
              </w:rPr>
              <w:t>38.075</w:t>
            </w:r>
          </w:p>
        </w:tc>
        <w:tc>
          <w:tcPr>
            <w:tcW w:w="724" w:type="dxa"/>
            <w:tcBorders>
              <w:top w:val="single" w:sz="4" w:space="0" w:color="auto"/>
              <w:left w:val="nil"/>
              <w:bottom w:val="single" w:sz="4" w:space="0" w:color="auto"/>
              <w:right w:val="single" w:sz="4" w:space="0" w:color="auto"/>
            </w:tcBorders>
            <w:shd w:val="clear" w:color="auto" w:fill="auto"/>
          </w:tcPr>
          <w:p w14:paraId="4DE69822" w14:textId="77777777" w:rsidR="009D4A93" w:rsidRPr="00536CFD" w:rsidRDefault="009D4A93" w:rsidP="009D4A93">
            <w:pPr>
              <w:spacing w:after="0"/>
              <w:jc w:val="center"/>
              <w:rPr>
                <w:lang w:val="zh-CN"/>
              </w:rPr>
            </w:pPr>
            <w:r w:rsidRPr="00536CFD">
              <w:rPr>
                <w:lang w:val="zh-CN"/>
              </w:rPr>
              <w:t>3.016</w:t>
            </w:r>
          </w:p>
        </w:tc>
        <w:tc>
          <w:tcPr>
            <w:tcW w:w="896" w:type="dxa"/>
            <w:tcBorders>
              <w:top w:val="single" w:sz="4" w:space="0" w:color="auto"/>
              <w:left w:val="nil"/>
              <w:bottom w:val="single" w:sz="4" w:space="0" w:color="auto"/>
              <w:right w:val="single" w:sz="4" w:space="0" w:color="auto"/>
            </w:tcBorders>
            <w:shd w:val="clear" w:color="auto" w:fill="auto"/>
          </w:tcPr>
          <w:p w14:paraId="226730F0" w14:textId="77777777" w:rsidR="009D4A93" w:rsidRPr="00536CFD" w:rsidRDefault="009D4A93" w:rsidP="009D4A93">
            <w:pPr>
              <w:spacing w:after="0"/>
              <w:jc w:val="center"/>
              <w:rPr>
                <w:lang w:val="zh-CN"/>
              </w:rPr>
            </w:pPr>
            <w:r w:rsidRPr="00536CFD">
              <w:rPr>
                <w:lang w:val="zh-CN"/>
              </w:rPr>
              <w:t>4.215</w:t>
            </w:r>
          </w:p>
        </w:tc>
        <w:tc>
          <w:tcPr>
            <w:tcW w:w="720" w:type="dxa"/>
            <w:tcBorders>
              <w:top w:val="single" w:sz="4" w:space="0" w:color="auto"/>
              <w:left w:val="nil"/>
              <w:bottom w:val="single" w:sz="4" w:space="0" w:color="auto"/>
              <w:right w:val="single" w:sz="4" w:space="0" w:color="auto"/>
            </w:tcBorders>
            <w:shd w:val="clear" w:color="auto" w:fill="auto"/>
          </w:tcPr>
          <w:p w14:paraId="6BCD1FD5" w14:textId="77777777" w:rsidR="009D4A93" w:rsidRPr="00536CFD" w:rsidRDefault="009D4A93" w:rsidP="009D4A93">
            <w:pPr>
              <w:spacing w:after="0"/>
              <w:jc w:val="center"/>
              <w:rPr>
                <w:lang w:val="zh-CN"/>
              </w:rPr>
            </w:pPr>
            <w:r w:rsidRPr="00536CFD">
              <w:rPr>
                <w:lang w:val="zh-CN"/>
              </w:rPr>
              <w:t>14.792</w:t>
            </w:r>
          </w:p>
        </w:tc>
        <w:tc>
          <w:tcPr>
            <w:tcW w:w="720" w:type="dxa"/>
            <w:tcBorders>
              <w:top w:val="single" w:sz="4" w:space="0" w:color="auto"/>
              <w:left w:val="nil"/>
              <w:bottom w:val="single" w:sz="4" w:space="0" w:color="auto"/>
              <w:right w:val="single" w:sz="4" w:space="0" w:color="auto"/>
            </w:tcBorders>
            <w:shd w:val="clear" w:color="auto" w:fill="auto"/>
          </w:tcPr>
          <w:p w14:paraId="374B1482" w14:textId="77777777" w:rsidR="009D4A93" w:rsidRPr="00536CFD" w:rsidRDefault="009D4A93" w:rsidP="009D4A93">
            <w:pPr>
              <w:spacing w:after="0"/>
              <w:jc w:val="center"/>
              <w:rPr>
                <w:lang w:val="zh-CN"/>
              </w:rPr>
            </w:pPr>
            <w:r w:rsidRPr="00536CFD">
              <w:rPr>
                <w:lang w:val="zh-CN"/>
              </w:rPr>
              <w:t>21.480</w:t>
            </w:r>
          </w:p>
        </w:tc>
      </w:tr>
      <w:tr w:rsidR="009D4A93" w:rsidRPr="00536CFD" w14:paraId="0BF7E50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3B60EC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A61EFD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A3AD52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5E0F64DF" w14:textId="77777777" w:rsidR="009D4A93" w:rsidRPr="00536CFD" w:rsidRDefault="009D4A93" w:rsidP="009D4A93">
            <w:pPr>
              <w:spacing w:after="0"/>
              <w:jc w:val="center"/>
              <w:rPr>
                <w:lang w:val="zh-CN"/>
              </w:rPr>
            </w:pPr>
            <w:r w:rsidRPr="00536CFD">
              <w:rPr>
                <w:lang w:val="zh-CN"/>
              </w:rPr>
              <w:t>53.493</w:t>
            </w:r>
          </w:p>
        </w:tc>
        <w:tc>
          <w:tcPr>
            <w:tcW w:w="720" w:type="dxa"/>
            <w:tcBorders>
              <w:top w:val="single" w:sz="4" w:space="0" w:color="auto"/>
              <w:left w:val="nil"/>
              <w:bottom w:val="single" w:sz="4" w:space="0" w:color="auto"/>
              <w:right w:val="single" w:sz="4" w:space="0" w:color="auto"/>
            </w:tcBorders>
            <w:shd w:val="clear" w:color="auto" w:fill="auto"/>
          </w:tcPr>
          <w:p w14:paraId="0F9DB1F4" w14:textId="77777777" w:rsidR="009D4A93" w:rsidRPr="00536CFD" w:rsidRDefault="009D4A93" w:rsidP="009D4A93">
            <w:pPr>
              <w:spacing w:after="0"/>
              <w:jc w:val="center"/>
              <w:rPr>
                <w:lang w:val="zh-CN"/>
              </w:rPr>
            </w:pPr>
            <w:r w:rsidRPr="00536CFD">
              <w:rPr>
                <w:lang w:val="zh-CN"/>
              </w:rPr>
              <w:t>53.399</w:t>
            </w:r>
          </w:p>
        </w:tc>
        <w:tc>
          <w:tcPr>
            <w:tcW w:w="720" w:type="dxa"/>
            <w:tcBorders>
              <w:top w:val="single" w:sz="4" w:space="0" w:color="auto"/>
              <w:left w:val="nil"/>
              <w:bottom w:val="single" w:sz="4" w:space="0" w:color="auto"/>
              <w:right w:val="single" w:sz="4" w:space="0" w:color="auto"/>
            </w:tcBorders>
            <w:shd w:val="clear" w:color="auto" w:fill="auto"/>
          </w:tcPr>
          <w:p w14:paraId="2FC0A98B" w14:textId="77777777" w:rsidR="009D4A93" w:rsidRPr="00536CFD" w:rsidRDefault="009D4A93" w:rsidP="009D4A93">
            <w:pPr>
              <w:spacing w:after="0"/>
              <w:jc w:val="center"/>
              <w:rPr>
                <w:lang w:val="zh-CN"/>
              </w:rPr>
            </w:pPr>
            <w:r w:rsidRPr="00536CFD">
              <w:rPr>
                <w:lang w:val="zh-CN"/>
              </w:rPr>
              <w:t>73.471</w:t>
            </w:r>
          </w:p>
        </w:tc>
        <w:tc>
          <w:tcPr>
            <w:tcW w:w="810" w:type="dxa"/>
            <w:tcBorders>
              <w:top w:val="single" w:sz="4" w:space="0" w:color="auto"/>
              <w:left w:val="nil"/>
              <w:bottom w:val="single" w:sz="4" w:space="0" w:color="auto"/>
              <w:right w:val="single" w:sz="4" w:space="0" w:color="auto"/>
            </w:tcBorders>
            <w:shd w:val="clear" w:color="auto" w:fill="auto"/>
          </w:tcPr>
          <w:p w14:paraId="0D35136A" w14:textId="77777777" w:rsidR="009D4A93" w:rsidRPr="00536CFD" w:rsidRDefault="009D4A93" w:rsidP="009D4A93">
            <w:pPr>
              <w:spacing w:after="0"/>
              <w:jc w:val="center"/>
              <w:rPr>
                <w:lang w:val="zh-CN"/>
              </w:rPr>
            </w:pPr>
            <w:r w:rsidRPr="00536CFD">
              <w:rPr>
                <w:lang w:val="zh-CN"/>
              </w:rPr>
              <w:t>73.5533</w:t>
            </w:r>
          </w:p>
        </w:tc>
        <w:tc>
          <w:tcPr>
            <w:tcW w:w="810" w:type="dxa"/>
            <w:tcBorders>
              <w:top w:val="single" w:sz="4" w:space="0" w:color="auto"/>
              <w:left w:val="nil"/>
              <w:bottom w:val="single" w:sz="4" w:space="0" w:color="auto"/>
              <w:right w:val="single" w:sz="4" w:space="0" w:color="auto"/>
            </w:tcBorders>
            <w:shd w:val="clear" w:color="auto" w:fill="auto"/>
          </w:tcPr>
          <w:p w14:paraId="48367BC9" w14:textId="77777777" w:rsidR="009D4A93" w:rsidRPr="00536CFD" w:rsidRDefault="009D4A93" w:rsidP="009D4A93">
            <w:pPr>
              <w:spacing w:after="0"/>
              <w:jc w:val="center"/>
              <w:rPr>
                <w:lang w:val="zh-CN"/>
              </w:rPr>
            </w:pPr>
            <w:r w:rsidRPr="00536CFD">
              <w:rPr>
                <w:lang w:val="zh-CN"/>
              </w:rPr>
              <w:t>53.622</w:t>
            </w:r>
          </w:p>
        </w:tc>
        <w:tc>
          <w:tcPr>
            <w:tcW w:w="820" w:type="dxa"/>
            <w:tcBorders>
              <w:top w:val="single" w:sz="4" w:space="0" w:color="auto"/>
              <w:left w:val="nil"/>
              <w:bottom w:val="single" w:sz="4" w:space="0" w:color="auto"/>
              <w:right w:val="single" w:sz="4" w:space="0" w:color="auto"/>
            </w:tcBorders>
            <w:shd w:val="clear" w:color="auto" w:fill="auto"/>
          </w:tcPr>
          <w:p w14:paraId="6D37A349" w14:textId="77777777" w:rsidR="009D4A93" w:rsidRPr="00536CFD" w:rsidRDefault="009D4A93" w:rsidP="009D4A93">
            <w:pPr>
              <w:spacing w:after="0"/>
              <w:jc w:val="center"/>
              <w:rPr>
                <w:lang w:val="zh-CN"/>
              </w:rPr>
            </w:pPr>
            <w:r w:rsidRPr="00536CFD">
              <w:rPr>
                <w:lang w:val="zh-CN"/>
              </w:rPr>
              <w:t>48.525</w:t>
            </w:r>
          </w:p>
        </w:tc>
        <w:tc>
          <w:tcPr>
            <w:tcW w:w="800" w:type="dxa"/>
            <w:tcBorders>
              <w:top w:val="single" w:sz="4" w:space="0" w:color="auto"/>
              <w:left w:val="nil"/>
              <w:bottom w:val="single" w:sz="4" w:space="0" w:color="auto"/>
              <w:right w:val="single" w:sz="4" w:space="0" w:color="auto"/>
            </w:tcBorders>
            <w:shd w:val="clear" w:color="auto" w:fill="auto"/>
          </w:tcPr>
          <w:p w14:paraId="0A801C7C" w14:textId="77777777" w:rsidR="009D4A93" w:rsidRPr="00536CFD" w:rsidRDefault="009D4A93" w:rsidP="009D4A93">
            <w:pPr>
              <w:spacing w:after="0"/>
              <w:jc w:val="center"/>
              <w:rPr>
                <w:lang w:val="zh-CN"/>
              </w:rPr>
            </w:pPr>
            <w:r w:rsidRPr="00536CFD">
              <w:rPr>
                <w:lang w:val="zh-CN"/>
              </w:rPr>
              <w:t>72.538</w:t>
            </w:r>
          </w:p>
        </w:tc>
        <w:tc>
          <w:tcPr>
            <w:tcW w:w="720" w:type="dxa"/>
            <w:tcBorders>
              <w:top w:val="single" w:sz="4" w:space="0" w:color="auto"/>
              <w:left w:val="nil"/>
              <w:bottom w:val="single" w:sz="4" w:space="0" w:color="auto"/>
              <w:right w:val="single" w:sz="4" w:space="0" w:color="auto"/>
            </w:tcBorders>
            <w:shd w:val="clear" w:color="auto" w:fill="auto"/>
          </w:tcPr>
          <w:p w14:paraId="6FD1895A" w14:textId="77777777" w:rsidR="009D4A93" w:rsidRPr="00536CFD" w:rsidRDefault="009D4A93" w:rsidP="009D4A93">
            <w:pPr>
              <w:spacing w:after="0"/>
              <w:jc w:val="center"/>
              <w:rPr>
                <w:lang w:val="zh-CN"/>
              </w:rPr>
            </w:pPr>
            <w:r w:rsidRPr="00536CFD">
              <w:rPr>
                <w:lang w:val="zh-CN"/>
              </w:rPr>
              <w:t>73.230</w:t>
            </w:r>
          </w:p>
        </w:tc>
        <w:tc>
          <w:tcPr>
            <w:tcW w:w="724" w:type="dxa"/>
            <w:tcBorders>
              <w:top w:val="single" w:sz="4" w:space="0" w:color="auto"/>
              <w:left w:val="nil"/>
              <w:bottom w:val="single" w:sz="4" w:space="0" w:color="auto"/>
              <w:right w:val="single" w:sz="4" w:space="0" w:color="auto"/>
            </w:tcBorders>
            <w:shd w:val="clear" w:color="auto" w:fill="auto"/>
          </w:tcPr>
          <w:p w14:paraId="548F2666" w14:textId="77777777" w:rsidR="009D4A93" w:rsidRPr="00536CFD" w:rsidRDefault="009D4A93" w:rsidP="009D4A93">
            <w:pPr>
              <w:spacing w:after="0"/>
              <w:jc w:val="center"/>
              <w:rPr>
                <w:lang w:val="zh-CN"/>
              </w:rPr>
            </w:pPr>
            <w:r w:rsidRPr="00536CFD">
              <w:rPr>
                <w:lang w:val="zh-CN"/>
              </w:rPr>
              <w:t>32.975</w:t>
            </w:r>
          </w:p>
        </w:tc>
        <w:tc>
          <w:tcPr>
            <w:tcW w:w="896" w:type="dxa"/>
            <w:tcBorders>
              <w:top w:val="single" w:sz="4" w:space="0" w:color="auto"/>
              <w:left w:val="nil"/>
              <w:bottom w:val="single" w:sz="4" w:space="0" w:color="auto"/>
              <w:right w:val="single" w:sz="4" w:space="0" w:color="auto"/>
            </w:tcBorders>
            <w:shd w:val="clear" w:color="auto" w:fill="auto"/>
          </w:tcPr>
          <w:p w14:paraId="12C0F5B1" w14:textId="77777777" w:rsidR="009D4A93" w:rsidRPr="00536CFD" w:rsidRDefault="009D4A93" w:rsidP="009D4A93">
            <w:pPr>
              <w:spacing w:after="0"/>
              <w:jc w:val="center"/>
              <w:rPr>
                <w:lang w:val="zh-CN"/>
              </w:rPr>
            </w:pPr>
            <w:r w:rsidRPr="00536CFD">
              <w:rPr>
                <w:lang w:val="zh-CN"/>
              </w:rPr>
              <w:t>40.011</w:t>
            </w:r>
          </w:p>
        </w:tc>
        <w:tc>
          <w:tcPr>
            <w:tcW w:w="720" w:type="dxa"/>
            <w:tcBorders>
              <w:top w:val="single" w:sz="4" w:space="0" w:color="auto"/>
              <w:left w:val="nil"/>
              <w:bottom w:val="single" w:sz="4" w:space="0" w:color="auto"/>
              <w:right w:val="single" w:sz="4" w:space="0" w:color="auto"/>
            </w:tcBorders>
            <w:shd w:val="clear" w:color="auto" w:fill="auto"/>
          </w:tcPr>
          <w:p w14:paraId="0F9E4A97" w14:textId="77777777" w:rsidR="009D4A93" w:rsidRPr="00536CFD" w:rsidRDefault="009D4A93" w:rsidP="009D4A93">
            <w:pPr>
              <w:spacing w:after="0"/>
              <w:jc w:val="center"/>
              <w:rPr>
                <w:lang w:val="zh-CN"/>
              </w:rPr>
            </w:pPr>
            <w:r w:rsidRPr="00536CFD">
              <w:rPr>
                <w:lang w:val="zh-CN"/>
              </w:rPr>
              <w:t>43.120</w:t>
            </w:r>
          </w:p>
        </w:tc>
        <w:tc>
          <w:tcPr>
            <w:tcW w:w="720" w:type="dxa"/>
            <w:tcBorders>
              <w:top w:val="single" w:sz="4" w:space="0" w:color="auto"/>
              <w:left w:val="nil"/>
              <w:bottom w:val="single" w:sz="4" w:space="0" w:color="auto"/>
              <w:right w:val="single" w:sz="4" w:space="0" w:color="auto"/>
            </w:tcBorders>
            <w:shd w:val="clear" w:color="auto" w:fill="auto"/>
          </w:tcPr>
          <w:p w14:paraId="46A03AAD" w14:textId="77777777" w:rsidR="009D4A93" w:rsidRPr="00536CFD" w:rsidRDefault="009D4A93" w:rsidP="009D4A93">
            <w:pPr>
              <w:spacing w:after="0"/>
              <w:jc w:val="center"/>
              <w:rPr>
                <w:lang w:val="zh-CN"/>
              </w:rPr>
            </w:pPr>
            <w:r w:rsidRPr="00536CFD">
              <w:rPr>
                <w:lang w:val="zh-CN"/>
              </w:rPr>
              <w:t>59.95</w:t>
            </w:r>
          </w:p>
        </w:tc>
      </w:tr>
      <w:tr w:rsidR="009D4A93" w:rsidRPr="00536CFD" w14:paraId="1C385D9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01AF44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519DF0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C8DA87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5185D645" w14:textId="77777777" w:rsidR="009D4A93" w:rsidRPr="00536CFD" w:rsidRDefault="009D4A93" w:rsidP="009D4A93">
            <w:pPr>
              <w:spacing w:after="0"/>
              <w:jc w:val="center"/>
              <w:rPr>
                <w:lang w:val="zh-CN"/>
              </w:rPr>
            </w:pPr>
            <w:r w:rsidRPr="00536CFD">
              <w:rPr>
                <w:lang w:val="zh-CN"/>
              </w:rPr>
              <w:t>30.904</w:t>
            </w:r>
          </w:p>
        </w:tc>
        <w:tc>
          <w:tcPr>
            <w:tcW w:w="720" w:type="dxa"/>
            <w:tcBorders>
              <w:top w:val="single" w:sz="4" w:space="0" w:color="auto"/>
              <w:left w:val="nil"/>
              <w:bottom w:val="single" w:sz="4" w:space="0" w:color="auto"/>
              <w:right w:val="single" w:sz="4" w:space="0" w:color="auto"/>
            </w:tcBorders>
            <w:shd w:val="clear" w:color="auto" w:fill="auto"/>
          </w:tcPr>
          <w:p w14:paraId="1679EF82" w14:textId="77777777" w:rsidR="009D4A93" w:rsidRPr="00536CFD" w:rsidRDefault="009D4A93" w:rsidP="009D4A93">
            <w:pPr>
              <w:spacing w:after="0"/>
              <w:jc w:val="center"/>
              <w:rPr>
                <w:lang w:val="zh-CN"/>
              </w:rPr>
            </w:pPr>
            <w:r w:rsidRPr="00536CFD">
              <w:rPr>
                <w:lang w:val="zh-CN"/>
              </w:rPr>
              <w:t>33.153</w:t>
            </w:r>
          </w:p>
        </w:tc>
        <w:tc>
          <w:tcPr>
            <w:tcW w:w="720" w:type="dxa"/>
            <w:tcBorders>
              <w:top w:val="single" w:sz="4" w:space="0" w:color="auto"/>
              <w:left w:val="nil"/>
              <w:bottom w:val="single" w:sz="4" w:space="0" w:color="auto"/>
              <w:right w:val="single" w:sz="4" w:space="0" w:color="auto"/>
            </w:tcBorders>
            <w:shd w:val="clear" w:color="auto" w:fill="auto"/>
          </w:tcPr>
          <w:p w14:paraId="5EE60AEB" w14:textId="77777777" w:rsidR="009D4A93" w:rsidRPr="00536CFD" w:rsidRDefault="009D4A93" w:rsidP="009D4A93">
            <w:pPr>
              <w:spacing w:after="0"/>
              <w:jc w:val="center"/>
              <w:rPr>
                <w:lang w:val="zh-CN"/>
              </w:rPr>
            </w:pPr>
            <w:r w:rsidRPr="00536CFD">
              <w:rPr>
                <w:lang w:val="zh-CN"/>
              </w:rPr>
              <w:t>51.827</w:t>
            </w:r>
          </w:p>
        </w:tc>
        <w:tc>
          <w:tcPr>
            <w:tcW w:w="810" w:type="dxa"/>
            <w:tcBorders>
              <w:top w:val="single" w:sz="4" w:space="0" w:color="auto"/>
              <w:left w:val="nil"/>
              <w:bottom w:val="single" w:sz="4" w:space="0" w:color="auto"/>
              <w:right w:val="single" w:sz="4" w:space="0" w:color="auto"/>
            </w:tcBorders>
            <w:shd w:val="clear" w:color="auto" w:fill="auto"/>
          </w:tcPr>
          <w:p w14:paraId="3A3DB828" w14:textId="77777777" w:rsidR="009D4A93" w:rsidRPr="00536CFD" w:rsidRDefault="009D4A93" w:rsidP="009D4A93">
            <w:pPr>
              <w:spacing w:after="0"/>
              <w:jc w:val="center"/>
              <w:rPr>
                <w:lang w:val="zh-CN"/>
              </w:rPr>
            </w:pPr>
            <w:r w:rsidRPr="00536CFD">
              <w:rPr>
                <w:lang w:val="zh-CN"/>
              </w:rPr>
              <w:t>54.91</w:t>
            </w:r>
          </w:p>
        </w:tc>
        <w:tc>
          <w:tcPr>
            <w:tcW w:w="810" w:type="dxa"/>
            <w:tcBorders>
              <w:top w:val="single" w:sz="4" w:space="0" w:color="auto"/>
              <w:left w:val="nil"/>
              <w:bottom w:val="single" w:sz="4" w:space="0" w:color="auto"/>
              <w:right w:val="single" w:sz="4" w:space="0" w:color="auto"/>
            </w:tcBorders>
            <w:shd w:val="clear" w:color="auto" w:fill="auto"/>
          </w:tcPr>
          <w:p w14:paraId="6CCEA7C0" w14:textId="77777777" w:rsidR="009D4A93" w:rsidRPr="00536CFD" w:rsidRDefault="009D4A93" w:rsidP="009D4A93">
            <w:pPr>
              <w:spacing w:after="0"/>
              <w:jc w:val="center"/>
              <w:rPr>
                <w:lang w:val="zh-CN"/>
              </w:rPr>
            </w:pPr>
            <w:r w:rsidRPr="00536CFD">
              <w:rPr>
                <w:lang w:val="zh-CN"/>
              </w:rPr>
              <w:t>20.958</w:t>
            </w:r>
          </w:p>
        </w:tc>
        <w:tc>
          <w:tcPr>
            <w:tcW w:w="820" w:type="dxa"/>
            <w:tcBorders>
              <w:top w:val="single" w:sz="4" w:space="0" w:color="auto"/>
              <w:left w:val="nil"/>
              <w:bottom w:val="single" w:sz="4" w:space="0" w:color="auto"/>
              <w:right w:val="single" w:sz="4" w:space="0" w:color="auto"/>
            </w:tcBorders>
            <w:shd w:val="clear" w:color="auto" w:fill="auto"/>
          </w:tcPr>
          <w:p w14:paraId="4F066D0E" w14:textId="77777777" w:rsidR="009D4A93" w:rsidRPr="00536CFD" w:rsidRDefault="009D4A93" w:rsidP="009D4A93">
            <w:pPr>
              <w:spacing w:after="0"/>
              <w:jc w:val="center"/>
              <w:rPr>
                <w:lang w:val="zh-CN"/>
              </w:rPr>
            </w:pPr>
            <w:r w:rsidRPr="00536CFD">
              <w:rPr>
                <w:lang w:val="zh-CN"/>
              </w:rPr>
              <w:t>23.444</w:t>
            </w:r>
          </w:p>
        </w:tc>
        <w:tc>
          <w:tcPr>
            <w:tcW w:w="800" w:type="dxa"/>
            <w:tcBorders>
              <w:top w:val="single" w:sz="4" w:space="0" w:color="auto"/>
              <w:left w:val="nil"/>
              <w:bottom w:val="single" w:sz="4" w:space="0" w:color="auto"/>
              <w:right w:val="single" w:sz="4" w:space="0" w:color="auto"/>
            </w:tcBorders>
            <w:shd w:val="clear" w:color="auto" w:fill="auto"/>
          </w:tcPr>
          <w:p w14:paraId="4492991D" w14:textId="77777777" w:rsidR="009D4A93" w:rsidRPr="00536CFD" w:rsidRDefault="009D4A93" w:rsidP="009D4A93">
            <w:pPr>
              <w:spacing w:after="0"/>
              <w:jc w:val="center"/>
              <w:rPr>
                <w:lang w:val="zh-CN"/>
              </w:rPr>
            </w:pPr>
            <w:r w:rsidRPr="00536CFD">
              <w:rPr>
                <w:lang w:val="zh-CN"/>
              </w:rPr>
              <w:t>33.162</w:t>
            </w:r>
          </w:p>
        </w:tc>
        <w:tc>
          <w:tcPr>
            <w:tcW w:w="720" w:type="dxa"/>
            <w:tcBorders>
              <w:top w:val="single" w:sz="4" w:space="0" w:color="auto"/>
              <w:left w:val="nil"/>
              <w:bottom w:val="single" w:sz="4" w:space="0" w:color="auto"/>
              <w:right w:val="single" w:sz="4" w:space="0" w:color="auto"/>
            </w:tcBorders>
            <w:shd w:val="clear" w:color="auto" w:fill="auto"/>
          </w:tcPr>
          <w:p w14:paraId="4708BE02" w14:textId="77777777" w:rsidR="009D4A93" w:rsidRPr="00536CFD" w:rsidRDefault="009D4A93" w:rsidP="009D4A93">
            <w:pPr>
              <w:spacing w:after="0"/>
              <w:jc w:val="center"/>
              <w:rPr>
                <w:lang w:val="zh-CN"/>
              </w:rPr>
            </w:pPr>
            <w:r w:rsidRPr="00536CFD">
              <w:rPr>
                <w:lang w:val="zh-CN"/>
              </w:rPr>
              <w:t>39.735</w:t>
            </w:r>
          </w:p>
        </w:tc>
        <w:tc>
          <w:tcPr>
            <w:tcW w:w="724" w:type="dxa"/>
            <w:tcBorders>
              <w:top w:val="single" w:sz="4" w:space="0" w:color="auto"/>
              <w:left w:val="nil"/>
              <w:bottom w:val="single" w:sz="4" w:space="0" w:color="auto"/>
              <w:right w:val="single" w:sz="4" w:space="0" w:color="auto"/>
            </w:tcBorders>
            <w:shd w:val="clear" w:color="auto" w:fill="auto"/>
          </w:tcPr>
          <w:p w14:paraId="356E2FB7" w14:textId="77777777" w:rsidR="009D4A93" w:rsidRPr="00536CFD" w:rsidRDefault="009D4A93" w:rsidP="009D4A93">
            <w:pPr>
              <w:spacing w:after="0"/>
              <w:jc w:val="center"/>
              <w:rPr>
                <w:lang w:val="zh-CN"/>
              </w:rPr>
            </w:pPr>
            <w:r w:rsidRPr="00536CFD">
              <w:rPr>
                <w:lang w:val="zh-CN"/>
              </w:rPr>
              <w:t>9.049</w:t>
            </w:r>
          </w:p>
        </w:tc>
        <w:tc>
          <w:tcPr>
            <w:tcW w:w="896" w:type="dxa"/>
            <w:tcBorders>
              <w:top w:val="single" w:sz="4" w:space="0" w:color="auto"/>
              <w:left w:val="nil"/>
              <w:bottom w:val="single" w:sz="4" w:space="0" w:color="auto"/>
              <w:right w:val="single" w:sz="4" w:space="0" w:color="auto"/>
            </w:tcBorders>
            <w:shd w:val="clear" w:color="auto" w:fill="auto"/>
          </w:tcPr>
          <w:p w14:paraId="5F2942EA" w14:textId="77777777" w:rsidR="009D4A93" w:rsidRPr="00536CFD" w:rsidRDefault="009D4A93" w:rsidP="009D4A93">
            <w:pPr>
              <w:spacing w:after="0"/>
              <w:jc w:val="center"/>
              <w:rPr>
                <w:lang w:val="zh-CN"/>
              </w:rPr>
            </w:pPr>
            <w:r w:rsidRPr="00536CFD">
              <w:rPr>
                <w:lang w:val="zh-CN"/>
              </w:rPr>
              <w:t>10.498</w:t>
            </w:r>
          </w:p>
        </w:tc>
        <w:tc>
          <w:tcPr>
            <w:tcW w:w="720" w:type="dxa"/>
            <w:tcBorders>
              <w:top w:val="single" w:sz="4" w:space="0" w:color="auto"/>
              <w:left w:val="nil"/>
              <w:bottom w:val="single" w:sz="4" w:space="0" w:color="auto"/>
              <w:right w:val="single" w:sz="4" w:space="0" w:color="auto"/>
            </w:tcBorders>
            <w:shd w:val="clear" w:color="auto" w:fill="auto"/>
          </w:tcPr>
          <w:p w14:paraId="4CF8F721" w14:textId="77777777" w:rsidR="009D4A93" w:rsidRPr="00536CFD" w:rsidRDefault="009D4A93" w:rsidP="009D4A93">
            <w:pPr>
              <w:spacing w:after="0"/>
              <w:jc w:val="center"/>
              <w:rPr>
                <w:lang w:val="zh-CN"/>
              </w:rPr>
            </w:pPr>
            <w:r w:rsidRPr="00536CFD">
              <w:rPr>
                <w:lang w:val="zh-CN"/>
              </w:rPr>
              <w:t>18.290</w:t>
            </w:r>
          </w:p>
        </w:tc>
        <w:tc>
          <w:tcPr>
            <w:tcW w:w="720" w:type="dxa"/>
            <w:tcBorders>
              <w:top w:val="single" w:sz="4" w:space="0" w:color="auto"/>
              <w:left w:val="nil"/>
              <w:bottom w:val="single" w:sz="4" w:space="0" w:color="auto"/>
              <w:right w:val="single" w:sz="4" w:space="0" w:color="auto"/>
            </w:tcBorders>
            <w:shd w:val="clear" w:color="auto" w:fill="auto"/>
          </w:tcPr>
          <w:p w14:paraId="062D8AF4" w14:textId="77777777" w:rsidR="009D4A93" w:rsidRPr="00536CFD" w:rsidRDefault="009D4A93" w:rsidP="009D4A93">
            <w:pPr>
              <w:spacing w:after="0"/>
              <w:jc w:val="center"/>
              <w:rPr>
                <w:lang w:val="zh-CN"/>
              </w:rPr>
            </w:pPr>
            <w:r w:rsidRPr="00536CFD">
              <w:rPr>
                <w:lang w:val="zh-CN"/>
              </w:rPr>
              <w:t>24.595</w:t>
            </w:r>
          </w:p>
        </w:tc>
      </w:tr>
      <w:tr w:rsidR="009D4A93" w:rsidRPr="00536CFD" w14:paraId="081DC92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96AAD50"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4C87B8E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0DCCF31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0A95D721" w14:textId="77777777" w:rsidR="009D4A93" w:rsidRPr="00536CFD" w:rsidRDefault="009D4A93" w:rsidP="009D4A93">
            <w:pPr>
              <w:spacing w:after="0"/>
              <w:jc w:val="center"/>
              <w:rPr>
                <w:lang w:val="zh-CN"/>
              </w:rPr>
            </w:pPr>
            <w:r w:rsidRPr="00536CFD">
              <w:rPr>
                <w:lang w:val="zh-CN"/>
              </w:rPr>
              <w:t>0.050</w:t>
            </w:r>
          </w:p>
        </w:tc>
        <w:tc>
          <w:tcPr>
            <w:tcW w:w="720" w:type="dxa"/>
            <w:tcBorders>
              <w:top w:val="single" w:sz="4" w:space="0" w:color="auto"/>
              <w:left w:val="nil"/>
              <w:bottom w:val="single" w:sz="4" w:space="0" w:color="auto"/>
              <w:right w:val="single" w:sz="4" w:space="0" w:color="auto"/>
            </w:tcBorders>
            <w:shd w:val="clear" w:color="auto" w:fill="auto"/>
          </w:tcPr>
          <w:p w14:paraId="316ABB72" w14:textId="77777777" w:rsidR="009D4A93" w:rsidRPr="00536CFD" w:rsidRDefault="009D4A93" w:rsidP="009D4A93">
            <w:pPr>
              <w:spacing w:after="0"/>
              <w:jc w:val="center"/>
              <w:rPr>
                <w:lang w:val="zh-CN"/>
              </w:rPr>
            </w:pPr>
            <w:r w:rsidRPr="00536CFD">
              <w:rPr>
                <w:lang w:val="zh-CN"/>
              </w:rPr>
              <w:t>0.050</w:t>
            </w:r>
          </w:p>
        </w:tc>
        <w:tc>
          <w:tcPr>
            <w:tcW w:w="720" w:type="dxa"/>
            <w:tcBorders>
              <w:top w:val="single" w:sz="4" w:space="0" w:color="auto"/>
              <w:left w:val="nil"/>
              <w:bottom w:val="single" w:sz="4" w:space="0" w:color="auto"/>
              <w:right w:val="single" w:sz="4" w:space="0" w:color="auto"/>
            </w:tcBorders>
            <w:shd w:val="clear" w:color="auto" w:fill="auto"/>
          </w:tcPr>
          <w:p w14:paraId="66A5CF91" w14:textId="77777777" w:rsidR="009D4A93" w:rsidRPr="00536CFD" w:rsidRDefault="009D4A93" w:rsidP="009D4A93">
            <w:pPr>
              <w:spacing w:after="0"/>
              <w:jc w:val="center"/>
              <w:rPr>
                <w:lang w:val="zh-CN"/>
              </w:rPr>
            </w:pPr>
            <w:r w:rsidRPr="00536CFD">
              <w:rPr>
                <w:lang w:val="zh-CN"/>
              </w:rPr>
              <w:t>0.054</w:t>
            </w:r>
          </w:p>
        </w:tc>
        <w:tc>
          <w:tcPr>
            <w:tcW w:w="810" w:type="dxa"/>
            <w:tcBorders>
              <w:top w:val="single" w:sz="4" w:space="0" w:color="auto"/>
              <w:left w:val="nil"/>
              <w:bottom w:val="single" w:sz="4" w:space="0" w:color="auto"/>
              <w:right w:val="single" w:sz="4" w:space="0" w:color="auto"/>
            </w:tcBorders>
            <w:shd w:val="clear" w:color="auto" w:fill="auto"/>
          </w:tcPr>
          <w:p w14:paraId="0218CEA3" w14:textId="77777777" w:rsidR="009D4A93" w:rsidRPr="00536CFD" w:rsidRDefault="009D4A93" w:rsidP="009D4A93">
            <w:pPr>
              <w:spacing w:after="0"/>
              <w:jc w:val="center"/>
              <w:rPr>
                <w:lang w:val="zh-CN"/>
              </w:rPr>
            </w:pPr>
            <w:r w:rsidRPr="00536CFD">
              <w:rPr>
                <w:lang w:val="zh-CN"/>
              </w:rPr>
              <w:t>0.054</w:t>
            </w:r>
          </w:p>
        </w:tc>
        <w:tc>
          <w:tcPr>
            <w:tcW w:w="810" w:type="dxa"/>
            <w:tcBorders>
              <w:top w:val="single" w:sz="4" w:space="0" w:color="auto"/>
              <w:left w:val="nil"/>
              <w:bottom w:val="single" w:sz="4" w:space="0" w:color="auto"/>
              <w:right w:val="single" w:sz="4" w:space="0" w:color="auto"/>
            </w:tcBorders>
            <w:shd w:val="clear" w:color="auto" w:fill="auto"/>
          </w:tcPr>
          <w:p w14:paraId="0CBBF858" w14:textId="77777777" w:rsidR="009D4A93" w:rsidRPr="00536CFD" w:rsidRDefault="009D4A93" w:rsidP="009D4A93">
            <w:pPr>
              <w:spacing w:after="0"/>
              <w:jc w:val="center"/>
              <w:rPr>
                <w:lang w:val="zh-CN"/>
              </w:rPr>
            </w:pPr>
            <w:r w:rsidRPr="00536CFD">
              <w:rPr>
                <w:lang w:val="zh-CN"/>
              </w:rPr>
              <w:t>0.050</w:t>
            </w:r>
          </w:p>
        </w:tc>
        <w:tc>
          <w:tcPr>
            <w:tcW w:w="820" w:type="dxa"/>
            <w:tcBorders>
              <w:top w:val="single" w:sz="4" w:space="0" w:color="auto"/>
              <w:left w:val="nil"/>
              <w:bottom w:val="single" w:sz="4" w:space="0" w:color="auto"/>
              <w:right w:val="single" w:sz="4" w:space="0" w:color="auto"/>
            </w:tcBorders>
            <w:shd w:val="clear" w:color="auto" w:fill="auto"/>
          </w:tcPr>
          <w:p w14:paraId="2232F322" w14:textId="77777777" w:rsidR="009D4A93" w:rsidRPr="00536CFD" w:rsidRDefault="009D4A93" w:rsidP="009D4A93">
            <w:pPr>
              <w:spacing w:after="0"/>
              <w:jc w:val="center"/>
              <w:rPr>
                <w:lang w:val="zh-CN"/>
              </w:rPr>
            </w:pPr>
            <w:r w:rsidRPr="00536CFD">
              <w:rPr>
                <w:lang w:val="zh-CN"/>
              </w:rPr>
              <w:t>0.050</w:t>
            </w:r>
          </w:p>
        </w:tc>
        <w:tc>
          <w:tcPr>
            <w:tcW w:w="800" w:type="dxa"/>
            <w:tcBorders>
              <w:top w:val="single" w:sz="4" w:space="0" w:color="auto"/>
              <w:left w:val="nil"/>
              <w:bottom w:val="single" w:sz="4" w:space="0" w:color="auto"/>
              <w:right w:val="single" w:sz="4" w:space="0" w:color="auto"/>
            </w:tcBorders>
            <w:shd w:val="clear" w:color="auto" w:fill="auto"/>
          </w:tcPr>
          <w:p w14:paraId="17A61B70" w14:textId="77777777" w:rsidR="009D4A93" w:rsidRPr="00536CFD" w:rsidRDefault="009D4A93" w:rsidP="009D4A93">
            <w:pPr>
              <w:spacing w:after="0"/>
              <w:jc w:val="center"/>
              <w:rPr>
                <w:lang w:val="zh-CN"/>
              </w:rPr>
            </w:pPr>
            <w:r w:rsidRPr="00536CFD">
              <w:rPr>
                <w:lang w:val="zh-CN"/>
              </w:rPr>
              <w:t>0.054</w:t>
            </w:r>
          </w:p>
        </w:tc>
        <w:tc>
          <w:tcPr>
            <w:tcW w:w="720" w:type="dxa"/>
            <w:tcBorders>
              <w:top w:val="single" w:sz="4" w:space="0" w:color="auto"/>
              <w:left w:val="nil"/>
              <w:bottom w:val="single" w:sz="4" w:space="0" w:color="auto"/>
              <w:right w:val="single" w:sz="4" w:space="0" w:color="auto"/>
            </w:tcBorders>
            <w:shd w:val="clear" w:color="auto" w:fill="auto"/>
          </w:tcPr>
          <w:p w14:paraId="5A7755D7" w14:textId="77777777" w:rsidR="009D4A93" w:rsidRPr="00536CFD" w:rsidRDefault="009D4A93" w:rsidP="009D4A93">
            <w:pPr>
              <w:spacing w:after="0"/>
              <w:jc w:val="center"/>
              <w:rPr>
                <w:lang w:val="zh-CN"/>
              </w:rPr>
            </w:pPr>
            <w:r w:rsidRPr="00536CFD">
              <w:rPr>
                <w:lang w:val="zh-CN"/>
              </w:rPr>
              <w:t>0.054</w:t>
            </w:r>
          </w:p>
        </w:tc>
        <w:tc>
          <w:tcPr>
            <w:tcW w:w="724" w:type="dxa"/>
            <w:tcBorders>
              <w:top w:val="single" w:sz="4" w:space="0" w:color="auto"/>
              <w:left w:val="nil"/>
              <w:bottom w:val="single" w:sz="4" w:space="0" w:color="auto"/>
              <w:right w:val="single" w:sz="4" w:space="0" w:color="auto"/>
            </w:tcBorders>
            <w:shd w:val="clear" w:color="auto" w:fill="auto"/>
          </w:tcPr>
          <w:p w14:paraId="2F24F981" w14:textId="77777777" w:rsidR="009D4A93" w:rsidRPr="00536CFD" w:rsidRDefault="009D4A93" w:rsidP="009D4A93">
            <w:pPr>
              <w:spacing w:after="0"/>
              <w:jc w:val="center"/>
              <w:rPr>
                <w:lang w:val="zh-CN"/>
              </w:rPr>
            </w:pPr>
            <w:r w:rsidRPr="00536CFD">
              <w:rPr>
                <w:lang w:val="zh-CN"/>
              </w:rPr>
              <w:t>0.050</w:t>
            </w:r>
          </w:p>
        </w:tc>
        <w:tc>
          <w:tcPr>
            <w:tcW w:w="896" w:type="dxa"/>
            <w:tcBorders>
              <w:top w:val="single" w:sz="4" w:space="0" w:color="auto"/>
              <w:left w:val="nil"/>
              <w:bottom w:val="single" w:sz="4" w:space="0" w:color="auto"/>
              <w:right w:val="single" w:sz="4" w:space="0" w:color="auto"/>
            </w:tcBorders>
            <w:shd w:val="clear" w:color="auto" w:fill="auto"/>
          </w:tcPr>
          <w:p w14:paraId="3884844F" w14:textId="77777777" w:rsidR="009D4A93" w:rsidRPr="00536CFD" w:rsidRDefault="009D4A93" w:rsidP="009D4A93">
            <w:pPr>
              <w:spacing w:after="0"/>
              <w:jc w:val="center"/>
              <w:rPr>
                <w:lang w:val="zh-CN"/>
              </w:rPr>
            </w:pPr>
            <w:r w:rsidRPr="00536CFD">
              <w:rPr>
                <w:lang w:val="zh-CN"/>
              </w:rPr>
              <w:t>0.05</w:t>
            </w:r>
          </w:p>
        </w:tc>
        <w:tc>
          <w:tcPr>
            <w:tcW w:w="720" w:type="dxa"/>
            <w:tcBorders>
              <w:top w:val="single" w:sz="4" w:space="0" w:color="auto"/>
              <w:left w:val="nil"/>
              <w:bottom w:val="single" w:sz="4" w:space="0" w:color="auto"/>
              <w:right w:val="single" w:sz="4" w:space="0" w:color="auto"/>
            </w:tcBorders>
            <w:shd w:val="clear" w:color="auto" w:fill="auto"/>
          </w:tcPr>
          <w:p w14:paraId="4ED49840" w14:textId="77777777" w:rsidR="009D4A93" w:rsidRPr="00536CFD" w:rsidRDefault="009D4A93" w:rsidP="009D4A93">
            <w:pPr>
              <w:spacing w:after="0"/>
              <w:jc w:val="center"/>
              <w:rPr>
                <w:lang w:val="zh-CN"/>
              </w:rPr>
            </w:pPr>
            <w:r w:rsidRPr="00536CFD">
              <w:rPr>
                <w:lang w:val="zh-CN"/>
              </w:rPr>
              <w:t>0.055</w:t>
            </w:r>
          </w:p>
        </w:tc>
        <w:tc>
          <w:tcPr>
            <w:tcW w:w="720" w:type="dxa"/>
            <w:tcBorders>
              <w:top w:val="single" w:sz="4" w:space="0" w:color="auto"/>
              <w:left w:val="nil"/>
              <w:bottom w:val="single" w:sz="4" w:space="0" w:color="auto"/>
              <w:right w:val="single" w:sz="4" w:space="0" w:color="auto"/>
            </w:tcBorders>
            <w:shd w:val="clear" w:color="auto" w:fill="auto"/>
          </w:tcPr>
          <w:p w14:paraId="4CE1A903" w14:textId="77777777" w:rsidR="009D4A93" w:rsidRPr="00536CFD" w:rsidRDefault="009D4A93" w:rsidP="009D4A93">
            <w:pPr>
              <w:spacing w:after="0"/>
              <w:jc w:val="center"/>
              <w:rPr>
                <w:lang w:val="zh-CN"/>
              </w:rPr>
            </w:pPr>
            <w:r w:rsidRPr="00536CFD">
              <w:rPr>
                <w:lang w:val="zh-CN"/>
              </w:rPr>
              <w:t>0.054</w:t>
            </w:r>
          </w:p>
        </w:tc>
      </w:tr>
      <w:tr w:rsidR="009D4A93" w:rsidRPr="00536CFD" w14:paraId="2D0D447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9BAE10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15830DA"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F56C42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3EB10043" w14:textId="77777777" w:rsidR="009D4A93" w:rsidRPr="00536CFD" w:rsidRDefault="009D4A93" w:rsidP="009D4A93">
            <w:pPr>
              <w:spacing w:after="0"/>
              <w:jc w:val="center"/>
              <w:rPr>
                <w:lang w:val="zh-CN"/>
              </w:rPr>
            </w:pPr>
            <w:r w:rsidRPr="00536CFD">
              <w:rPr>
                <w:lang w:val="zh-CN"/>
              </w:rPr>
              <w:t>0.070</w:t>
            </w:r>
          </w:p>
        </w:tc>
        <w:tc>
          <w:tcPr>
            <w:tcW w:w="720" w:type="dxa"/>
            <w:tcBorders>
              <w:top w:val="single" w:sz="4" w:space="0" w:color="auto"/>
              <w:left w:val="nil"/>
              <w:bottom w:val="single" w:sz="4" w:space="0" w:color="auto"/>
              <w:right w:val="single" w:sz="4" w:space="0" w:color="auto"/>
            </w:tcBorders>
            <w:shd w:val="clear" w:color="auto" w:fill="auto"/>
          </w:tcPr>
          <w:p w14:paraId="2763E561" w14:textId="77777777" w:rsidR="009D4A93" w:rsidRPr="00536CFD" w:rsidRDefault="009D4A93" w:rsidP="009D4A93">
            <w:pPr>
              <w:spacing w:after="0"/>
              <w:jc w:val="center"/>
              <w:rPr>
                <w:lang w:val="zh-CN"/>
              </w:rPr>
            </w:pPr>
            <w:r w:rsidRPr="00536CFD">
              <w:rPr>
                <w:lang w:val="zh-CN"/>
              </w:rPr>
              <w:t>0.059</w:t>
            </w:r>
          </w:p>
        </w:tc>
        <w:tc>
          <w:tcPr>
            <w:tcW w:w="720" w:type="dxa"/>
            <w:tcBorders>
              <w:top w:val="single" w:sz="4" w:space="0" w:color="auto"/>
              <w:left w:val="nil"/>
              <w:bottom w:val="single" w:sz="4" w:space="0" w:color="auto"/>
              <w:right w:val="single" w:sz="4" w:space="0" w:color="auto"/>
            </w:tcBorders>
            <w:shd w:val="clear" w:color="auto" w:fill="auto"/>
          </w:tcPr>
          <w:p w14:paraId="3E638850" w14:textId="77777777" w:rsidR="009D4A93" w:rsidRPr="00536CFD" w:rsidRDefault="009D4A93" w:rsidP="009D4A93">
            <w:pPr>
              <w:spacing w:after="0"/>
              <w:jc w:val="center"/>
              <w:rPr>
                <w:lang w:val="zh-CN"/>
              </w:rPr>
            </w:pPr>
            <w:r w:rsidRPr="00536CFD">
              <w:rPr>
                <w:lang w:val="zh-CN"/>
              </w:rPr>
              <w:t>0.070</w:t>
            </w:r>
          </w:p>
        </w:tc>
        <w:tc>
          <w:tcPr>
            <w:tcW w:w="810" w:type="dxa"/>
            <w:tcBorders>
              <w:top w:val="single" w:sz="4" w:space="0" w:color="auto"/>
              <w:left w:val="nil"/>
              <w:bottom w:val="single" w:sz="4" w:space="0" w:color="auto"/>
              <w:right w:val="single" w:sz="4" w:space="0" w:color="auto"/>
            </w:tcBorders>
            <w:shd w:val="clear" w:color="auto" w:fill="auto"/>
          </w:tcPr>
          <w:p w14:paraId="0B71493F" w14:textId="77777777" w:rsidR="009D4A93" w:rsidRPr="00536CFD" w:rsidRDefault="009D4A93" w:rsidP="009D4A93">
            <w:pPr>
              <w:spacing w:after="0"/>
              <w:jc w:val="center"/>
              <w:rPr>
                <w:lang w:val="zh-CN"/>
              </w:rPr>
            </w:pPr>
            <w:r w:rsidRPr="00536CFD">
              <w:rPr>
                <w:lang w:val="zh-CN"/>
              </w:rPr>
              <w:t>0.064</w:t>
            </w:r>
          </w:p>
        </w:tc>
        <w:tc>
          <w:tcPr>
            <w:tcW w:w="810" w:type="dxa"/>
            <w:tcBorders>
              <w:top w:val="single" w:sz="4" w:space="0" w:color="auto"/>
              <w:left w:val="nil"/>
              <w:bottom w:val="single" w:sz="4" w:space="0" w:color="auto"/>
              <w:right w:val="single" w:sz="4" w:space="0" w:color="auto"/>
            </w:tcBorders>
            <w:shd w:val="clear" w:color="auto" w:fill="auto"/>
          </w:tcPr>
          <w:p w14:paraId="1413A3BF" w14:textId="77777777" w:rsidR="009D4A93" w:rsidRPr="00536CFD" w:rsidRDefault="009D4A93" w:rsidP="009D4A93">
            <w:pPr>
              <w:spacing w:after="0"/>
              <w:jc w:val="center"/>
              <w:rPr>
                <w:lang w:val="zh-CN"/>
              </w:rPr>
            </w:pPr>
            <w:r w:rsidRPr="00536CFD">
              <w:rPr>
                <w:lang w:val="zh-CN"/>
              </w:rPr>
              <w:t>0.132</w:t>
            </w:r>
          </w:p>
        </w:tc>
        <w:tc>
          <w:tcPr>
            <w:tcW w:w="820" w:type="dxa"/>
            <w:tcBorders>
              <w:top w:val="single" w:sz="4" w:space="0" w:color="auto"/>
              <w:left w:val="nil"/>
              <w:bottom w:val="single" w:sz="4" w:space="0" w:color="auto"/>
              <w:right w:val="single" w:sz="4" w:space="0" w:color="auto"/>
            </w:tcBorders>
            <w:shd w:val="clear" w:color="auto" w:fill="auto"/>
          </w:tcPr>
          <w:p w14:paraId="507D9028" w14:textId="77777777" w:rsidR="009D4A93" w:rsidRPr="00536CFD" w:rsidRDefault="009D4A93" w:rsidP="009D4A93">
            <w:pPr>
              <w:spacing w:after="0"/>
              <w:jc w:val="center"/>
              <w:rPr>
                <w:lang w:val="zh-CN"/>
              </w:rPr>
            </w:pPr>
            <w:r w:rsidRPr="00536CFD">
              <w:rPr>
                <w:lang w:val="zh-CN"/>
              </w:rPr>
              <w:t>0.111</w:t>
            </w:r>
          </w:p>
        </w:tc>
        <w:tc>
          <w:tcPr>
            <w:tcW w:w="800" w:type="dxa"/>
            <w:tcBorders>
              <w:top w:val="single" w:sz="4" w:space="0" w:color="auto"/>
              <w:left w:val="nil"/>
              <w:bottom w:val="single" w:sz="4" w:space="0" w:color="auto"/>
              <w:right w:val="single" w:sz="4" w:space="0" w:color="auto"/>
            </w:tcBorders>
            <w:shd w:val="clear" w:color="auto" w:fill="auto"/>
          </w:tcPr>
          <w:p w14:paraId="7C102A17" w14:textId="77777777" w:rsidR="009D4A93" w:rsidRPr="00536CFD" w:rsidRDefault="009D4A93" w:rsidP="009D4A93">
            <w:pPr>
              <w:spacing w:after="0"/>
              <w:jc w:val="center"/>
              <w:rPr>
                <w:lang w:val="zh-CN"/>
              </w:rPr>
            </w:pPr>
            <w:r w:rsidRPr="00536CFD">
              <w:rPr>
                <w:lang w:val="zh-CN"/>
              </w:rPr>
              <w:t>0.130</w:t>
            </w:r>
          </w:p>
        </w:tc>
        <w:tc>
          <w:tcPr>
            <w:tcW w:w="720" w:type="dxa"/>
            <w:tcBorders>
              <w:top w:val="single" w:sz="4" w:space="0" w:color="auto"/>
              <w:left w:val="nil"/>
              <w:bottom w:val="single" w:sz="4" w:space="0" w:color="auto"/>
              <w:right w:val="single" w:sz="4" w:space="0" w:color="auto"/>
            </w:tcBorders>
            <w:shd w:val="clear" w:color="auto" w:fill="auto"/>
          </w:tcPr>
          <w:p w14:paraId="132BB336" w14:textId="77777777" w:rsidR="009D4A93" w:rsidRPr="00536CFD" w:rsidRDefault="009D4A93" w:rsidP="009D4A93">
            <w:pPr>
              <w:spacing w:after="0"/>
              <w:jc w:val="center"/>
              <w:rPr>
                <w:lang w:val="zh-CN"/>
              </w:rPr>
            </w:pPr>
            <w:r w:rsidRPr="00536CFD">
              <w:rPr>
                <w:lang w:val="zh-CN"/>
              </w:rPr>
              <w:t>0.103</w:t>
            </w:r>
          </w:p>
        </w:tc>
        <w:tc>
          <w:tcPr>
            <w:tcW w:w="724" w:type="dxa"/>
            <w:tcBorders>
              <w:top w:val="single" w:sz="4" w:space="0" w:color="auto"/>
              <w:left w:val="nil"/>
              <w:bottom w:val="single" w:sz="4" w:space="0" w:color="auto"/>
              <w:right w:val="single" w:sz="4" w:space="0" w:color="auto"/>
            </w:tcBorders>
            <w:shd w:val="clear" w:color="auto" w:fill="auto"/>
          </w:tcPr>
          <w:p w14:paraId="0E86E607" w14:textId="77777777" w:rsidR="009D4A93" w:rsidRPr="00536CFD" w:rsidRDefault="009D4A93" w:rsidP="009D4A93">
            <w:pPr>
              <w:spacing w:after="0"/>
              <w:jc w:val="center"/>
              <w:rPr>
                <w:lang w:val="zh-CN"/>
              </w:rPr>
            </w:pPr>
            <w:r w:rsidRPr="00536CFD">
              <w:rPr>
                <w:lang w:val="zh-CN"/>
              </w:rPr>
              <w:t>0.805</w:t>
            </w:r>
          </w:p>
        </w:tc>
        <w:tc>
          <w:tcPr>
            <w:tcW w:w="896" w:type="dxa"/>
            <w:tcBorders>
              <w:top w:val="single" w:sz="4" w:space="0" w:color="auto"/>
              <w:left w:val="nil"/>
              <w:bottom w:val="single" w:sz="4" w:space="0" w:color="auto"/>
              <w:right w:val="single" w:sz="4" w:space="0" w:color="auto"/>
            </w:tcBorders>
            <w:shd w:val="clear" w:color="auto" w:fill="auto"/>
          </w:tcPr>
          <w:p w14:paraId="683351FD" w14:textId="77777777" w:rsidR="009D4A93" w:rsidRPr="00536CFD" w:rsidRDefault="009D4A93" w:rsidP="009D4A93">
            <w:pPr>
              <w:spacing w:after="0"/>
              <w:jc w:val="center"/>
              <w:rPr>
                <w:lang w:val="zh-CN"/>
              </w:rPr>
            </w:pPr>
            <w:r w:rsidRPr="00536CFD">
              <w:rPr>
                <w:lang w:val="zh-CN"/>
              </w:rPr>
              <w:t>0.754</w:t>
            </w:r>
          </w:p>
        </w:tc>
        <w:tc>
          <w:tcPr>
            <w:tcW w:w="720" w:type="dxa"/>
            <w:tcBorders>
              <w:top w:val="single" w:sz="4" w:space="0" w:color="auto"/>
              <w:left w:val="nil"/>
              <w:bottom w:val="single" w:sz="4" w:space="0" w:color="auto"/>
              <w:right w:val="single" w:sz="4" w:space="0" w:color="auto"/>
            </w:tcBorders>
            <w:shd w:val="clear" w:color="auto" w:fill="auto"/>
          </w:tcPr>
          <w:p w14:paraId="13DD40A3" w14:textId="77777777" w:rsidR="009D4A93" w:rsidRPr="00536CFD" w:rsidRDefault="009D4A93" w:rsidP="009D4A93">
            <w:pPr>
              <w:spacing w:after="0"/>
              <w:jc w:val="center"/>
              <w:rPr>
                <w:lang w:val="zh-CN"/>
              </w:rPr>
            </w:pPr>
            <w:r w:rsidRPr="00536CFD">
              <w:rPr>
                <w:lang w:val="zh-CN"/>
              </w:rPr>
              <w:t>0.279</w:t>
            </w:r>
          </w:p>
        </w:tc>
        <w:tc>
          <w:tcPr>
            <w:tcW w:w="720" w:type="dxa"/>
            <w:tcBorders>
              <w:top w:val="single" w:sz="4" w:space="0" w:color="auto"/>
              <w:left w:val="nil"/>
              <w:bottom w:val="single" w:sz="4" w:space="0" w:color="auto"/>
              <w:right w:val="single" w:sz="4" w:space="0" w:color="auto"/>
            </w:tcBorders>
            <w:shd w:val="clear" w:color="auto" w:fill="auto"/>
          </w:tcPr>
          <w:p w14:paraId="2A056C02" w14:textId="77777777" w:rsidR="009D4A93" w:rsidRPr="00536CFD" w:rsidRDefault="009D4A93" w:rsidP="009D4A93">
            <w:pPr>
              <w:spacing w:after="0"/>
              <w:jc w:val="center"/>
              <w:rPr>
                <w:lang w:val="zh-CN"/>
              </w:rPr>
            </w:pPr>
            <w:r w:rsidRPr="00536CFD">
              <w:rPr>
                <w:lang w:val="zh-CN"/>
              </w:rPr>
              <w:t>0.209</w:t>
            </w:r>
          </w:p>
        </w:tc>
      </w:tr>
      <w:tr w:rsidR="009D4A93" w:rsidRPr="00536CFD" w14:paraId="2E13E10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1079A5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BB8B5A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81E7F0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14FACB9D" w14:textId="77777777" w:rsidR="009D4A93" w:rsidRPr="00536CFD" w:rsidRDefault="009D4A93" w:rsidP="009D4A93">
            <w:pPr>
              <w:spacing w:after="0"/>
              <w:jc w:val="center"/>
              <w:rPr>
                <w:lang w:val="zh-CN"/>
              </w:rPr>
            </w:pPr>
            <w:r w:rsidRPr="00536CFD">
              <w:rPr>
                <w:lang w:val="zh-CN"/>
              </w:rPr>
              <w:t>2.165</w:t>
            </w:r>
          </w:p>
        </w:tc>
        <w:tc>
          <w:tcPr>
            <w:tcW w:w="720" w:type="dxa"/>
            <w:tcBorders>
              <w:top w:val="single" w:sz="4" w:space="0" w:color="auto"/>
              <w:left w:val="nil"/>
              <w:bottom w:val="single" w:sz="4" w:space="0" w:color="auto"/>
              <w:right w:val="single" w:sz="4" w:space="0" w:color="auto"/>
            </w:tcBorders>
            <w:shd w:val="clear" w:color="auto" w:fill="auto"/>
          </w:tcPr>
          <w:p w14:paraId="74620ABE" w14:textId="77777777" w:rsidR="009D4A93" w:rsidRPr="00536CFD" w:rsidRDefault="009D4A93" w:rsidP="009D4A93">
            <w:pPr>
              <w:spacing w:after="0"/>
              <w:jc w:val="center"/>
              <w:rPr>
                <w:lang w:val="zh-CN"/>
              </w:rPr>
            </w:pPr>
            <w:r w:rsidRPr="00536CFD">
              <w:rPr>
                <w:lang w:val="zh-CN"/>
              </w:rPr>
              <w:t>1.334</w:t>
            </w:r>
          </w:p>
        </w:tc>
        <w:tc>
          <w:tcPr>
            <w:tcW w:w="720" w:type="dxa"/>
            <w:tcBorders>
              <w:top w:val="single" w:sz="4" w:space="0" w:color="auto"/>
              <w:left w:val="nil"/>
              <w:bottom w:val="single" w:sz="4" w:space="0" w:color="auto"/>
              <w:right w:val="single" w:sz="4" w:space="0" w:color="auto"/>
            </w:tcBorders>
            <w:shd w:val="clear" w:color="auto" w:fill="auto"/>
          </w:tcPr>
          <w:p w14:paraId="70430A84" w14:textId="77777777" w:rsidR="009D4A93" w:rsidRPr="00536CFD" w:rsidRDefault="009D4A93" w:rsidP="009D4A93">
            <w:pPr>
              <w:spacing w:after="0"/>
              <w:jc w:val="center"/>
              <w:rPr>
                <w:lang w:val="zh-CN"/>
              </w:rPr>
            </w:pPr>
            <w:r w:rsidRPr="00536CFD">
              <w:rPr>
                <w:lang w:val="zh-CN"/>
              </w:rPr>
              <w:t>0.434</w:t>
            </w:r>
          </w:p>
        </w:tc>
        <w:tc>
          <w:tcPr>
            <w:tcW w:w="810" w:type="dxa"/>
            <w:tcBorders>
              <w:top w:val="single" w:sz="4" w:space="0" w:color="auto"/>
              <w:left w:val="nil"/>
              <w:bottom w:val="single" w:sz="4" w:space="0" w:color="auto"/>
              <w:right w:val="single" w:sz="4" w:space="0" w:color="auto"/>
            </w:tcBorders>
            <w:shd w:val="clear" w:color="auto" w:fill="auto"/>
          </w:tcPr>
          <w:p w14:paraId="56F74E95" w14:textId="77777777" w:rsidR="009D4A93" w:rsidRPr="00536CFD" w:rsidRDefault="009D4A93" w:rsidP="009D4A93">
            <w:pPr>
              <w:spacing w:after="0"/>
              <w:jc w:val="center"/>
              <w:rPr>
                <w:lang w:val="zh-CN"/>
              </w:rPr>
            </w:pPr>
            <w:r w:rsidRPr="00536CFD">
              <w:rPr>
                <w:lang w:val="zh-CN"/>
              </w:rPr>
              <w:t>0.204</w:t>
            </w:r>
          </w:p>
        </w:tc>
        <w:tc>
          <w:tcPr>
            <w:tcW w:w="810" w:type="dxa"/>
            <w:tcBorders>
              <w:top w:val="single" w:sz="4" w:space="0" w:color="auto"/>
              <w:left w:val="nil"/>
              <w:bottom w:val="single" w:sz="4" w:space="0" w:color="auto"/>
              <w:right w:val="single" w:sz="4" w:space="0" w:color="auto"/>
            </w:tcBorders>
            <w:shd w:val="clear" w:color="auto" w:fill="auto"/>
          </w:tcPr>
          <w:p w14:paraId="688E81DE" w14:textId="77777777" w:rsidR="009D4A93" w:rsidRPr="00536CFD" w:rsidRDefault="009D4A93" w:rsidP="009D4A93">
            <w:pPr>
              <w:spacing w:after="0"/>
              <w:jc w:val="center"/>
              <w:rPr>
                <w:lang w:val="zh-CN"/>
              </w:rPr>
            </w:pPr>
            <w:r w:rsidRPr="00536CFD">
              <w:rPr>
                <w:lang w:val="zh-CN"/>
              </w:rPr>
              <w:t>5.584</w:t>
            </w:r>
          </w:p>
        </w:tc>
        <w:tc>
          <w:tcPr>
            <w:tcW w:w="820" w:type="dxa"/>
            <w:tcBorders>
              <w:top w:val="single" w:sz="4" w:space="0" w:color="auto"/>
              <w:left w:val="nil"/>
              <w:bottom w:val="single" w:sz="4" w:space="0" w:color="auto"/>
              <w:right w:val="single" w:sz="4" w:space="0" w:color="auto"/>
            </w:tcBorders>
            <w:shd w:val="clear" w:color="auto" w:fill="auto"/>
          </w:tcPr>
          <w:p w14:paraId="3E191663" w14:textId="77777777" w:rsidR="009D4A93" w:rsidRPr="00536CFD" w:rsidRDefault="009D4A93" w:rsidP="009D4A93">
            <w:pPr>
              <w:spacing w:after="0"/>
              <w:jc w:val="center"/>
              <w:rPr>
                <w:lang w:val="zh-CN"/>
              </w:rPr>
            </w:pPr>
            <w:r w:rsidRPr="00536CFD">
              <w:rPr>
                <w:lang w:val="zh-CN"/>
              </w:rPr>
              <w:t>3.672</w:t>
            </w:r>
          </w:p>
        </w:tc>
        <w:tc>
          <w:tcPr>
            <w:tcW w:w="800" w:type="dxa"/>
            <w:tcBorders>
              <w:top w:val="single" w:sz="4" w:space="0" w:color="auto"/>
              <w:left w:val="nil"/>
              <w:bottom w:val="single" w:sz="4" w:space="0" w:color="auto"/>
              <w:right w:val="single" w:sz="4" w:space="0" w:color="auto"/>
            </w:tcBorders>
            <w:shd w:val="clear" w:color="auto" w:fill="auto"/>
          </w:tcPr>
          <w:p w14:paraId="637CADA7" w14:textId="77777777" w:rsidR="009D4A93" w:rsidRPr="00536CFD" w:rsidRDefault="009D4A93" w:rsidP="009D4A93">
            <w:pPr>
              <w:spacing w:after="0"/>
              <w:jc w:val="center"/>
              <w:rPr>
                <w:lang w:val="zh-CN"/>
              </w:rPr>
            </w:pPr>
            <w:r w:rsidRPr="00536CFD">
              <w:rPr>
                <w:lang w:val="zh-CN"/>
              </w:rPr>
              <w:t>1.309</w:t>
            </w:r>
          </w:p>
        </w:tc>
        <w:tc>
          <w:tcPr>
            <w:tcW w:w="720" w:type="dxa"/>
            <w:tcBorders>
              <w:top w:val="single" w:sz="4" w:space="0" w:color="auto"/>
              <w:left w:val="nil"/>
              <w:bottom w:val="single" w:sz="4" w:space="0" w:color="auto"/>
              <w:right w:val="single" w:sz="4" w:space="0" w:color="auto"/>
            </w:tcBorders>
            <w:shd w:val="clear" w:color="auto" w:fill="auto"/>
          </w:tcPr>
          <w:p w14:paraId="411EC9C4" w14:textId="77777777" w:rsidR="009D4A93" w:rsidRPr="00536CFD" w:rsidRDefault="009D4A93" w:rsidP="009D4A93">
            <w:pPr>
              <w:spacing w:after="0"/>
              <w:jc w:val="center"/>
              <w:rPr>
                <w:lang w:val="zh-CN"/>
              </w:rPr>
            </w:pPr>
            <w:r w:rsidRPr="00536CFD">
              <w:rPr>
                <w:lang w:val="zh-CN"/>
              </w:rPr>
              <w:t>0.739</w:t>
            </w:r>
          </w:p>
        </w:tc>
        <w:tc>
          <w:tcPr>
            <w:tcW w:w="724" w:type="dxa"/>
            <w:tcBorders>
              <w:top w:val="single" w:sz="4" w:space="0" w:color="auto"/>
              <w:left w:val="nil"/>
              <w:bottom w:val="single" w:sz="4" w:space="0" w:color="auto"/>
              <w:right w:val="single" w:sz="4" w:space="0" w:color="auto"/>
            </w:tcBorders>
            <w:shd w:val="clear" w:color="auto" w:fill="auto"/>
          </w:tcPr>
          <w:p w14:paraId="552F45D5" w14:textId="77777777" w:rsidR="009D4A93" w:rsidRPr="00536CFD" w:rsidRDefault="009D4A93" w:rsidP="009D4A93">
            <w:pPr>
              <w:spacing w:after="0"/>
              <w:jc w:val="center"/>
              <w:rPr>
                <w:lang w:val="zh-CN"/>
              </w:rPr>
            </w:pPr>
            <w:r w:rsidRPr="00536CFD">
              <w:rPr>
                <w:lang w:val="zh-CN"/>
              </w:rPr>
              <w:t>5.748</w:t>
            </w:r>
          </w:p>
        </w:tc>
        <w:tc>
          <w:tcPr>
            <w:tcW w:w="896" w:type="dxa"/>
            <w:tcBorders>
              <w:top w:val="single" w:sz="4" w:space="0" w:color="auto"/>
              <w:left w:val="nil"/>
              <w:bottom w:val="single" w:sz="4" w:space="0" w:color="auto"/>
              <w:right w:val="single" w:sz="4" w:space="0" w:color="auto"/>
            </w:tcBorders>
            <w:shd w:val="clear" w:color="auto" w:fill="auto"/>
          </w:tcPr>
          <w:p w14:paraId="1196F039" w14:textId="77777777" w:rsidR="009D4A93" w:rsidRPr="00536CFD" w:rsidRDefault="009D4A93" w:rsidP="009D4A93">
            <w:pPr>
              <w:spacing w:after="0"/>
              <w:jc w:val="center"/>
              <w:rPr>
                <w:lang w:val="zh-CN"/>
              </w:rPr>
            </w:pPr>
            <w:r w:rsidRPr="00536CFD">
              <w:rPr>
                <w:lang w:val="zh-CN"/>
              </w:rPr>
              <w:t>5.106</w:t>
            </w:r>
          </w:p>
        </w:tc>
        <w:tc>
          <w:tcPr>
            <w:tcW w:w="720" w:type="dxa"/>
            <w:tcBorders>
              <w:top w:val="single" w:sz="4" w:space="0" w:color="auto"/>
              <w:left w:val="nil"/>
              <w:bottom w:val="single" w:sz="4" w:space="0" w:color="auto"/>
              <w:right w:val="single" w:sz="4" w:space="0" w:color="auto"/>
            </w:tcBorders>
            <w:shd w:val="clear" w:color="auto" w:fill="auto"/>
          </w:tcPr>
          <w:p w14:paraId="668A6723" w14:textId="77777777" w:rsidR="009D4A93" w:rsidRPr="00536CFD" w:rsidRDefault="009D4A93" w:rsidP="009D4A93">
            <w:pPr>
              <w:spacing w:after="0"/>
              <w:jc w:val="center"/>
              <w:rPr>
                <w:lang w:val="zh-CN"/>
              </w:rPr>
            </w:pPr>
            <w:r w:rsidRPr="00536CFD">
              <w:rPr>
                <w:lang w:val="zh-CN"/>
              </w:rPr>
              <w:t>1.563</w:t>
            </w:r>
          </w:p>
        </w:tc>
        <w:tc>
          <w:tcPr>
            <w:tcW w:w="720" w:type="dxa"/>
            <w:tcBorders>
              <w:top w:val="single" w:sz="4" w:space="0" w:color="auto"/>
              <w:left w:val="nil"/>
              <w:bottom w:val="single" w:sz="4" w:space="0" w:color="auto"/>
              <w:right w:val="single" w:sz="4" w:space="0" w:color="auto"/>
            </w:tcBorders>
            <w:shd w:val="clear" w:color="auto" w:fill="auto"/>
          </w:tcPr>
          <w:p w14:paraId="66A39EE7" w14:textId="77777777" w:rsidR="009D4A93" w:rsidRPr="00536CFD" w:rsidRDefault="009D4A93" w:rsidP="009D4A93">
            <w:pPr>
              <w:spacing w:after="0"/>
              <w:jc w:val="center"/>
              <w:rPr>
                <w:lang w:val="zh-CN"/>
              </w:rPr>
            </w:pPr>
            <w:r w:rsidRPr="00536CFD">
              <w:rPr>
                <w:lang w:val="zh-CN"/>
              </w:rPr>
              <w:t>1.388</w:t>
            </w:r>
          </w:p>
        </w:tc>
      </w:tr>
      <w:tr w:rsidR="009D4A93" w:rsidRPr="00536CFD" w14:paraId="07AB1A7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BADA77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FFE176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1D3E95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29AA6C51" w14:textId="77777777" w:rsidR="009D4A93" w:rsidRPr="00536CFD" w:rsidRDefault="009D4A93" w:rsidP="009D4A93">
            <w:pPr>
              <w:spacing w:after="0"/>
              <w:jc w:val="center"/>
              <w:rPr>
                <w:lang w:val="zh-CN"/>
              </w:rPr>
            </w:pPr>
            <w:r w:rsidRPr="00536CFD">
              <w:rPr>
                <w:lang w:val="zh-CN"/>
              </w:rPr>
              <w:t>0.360</w:t>
            </w:r>
          </w:p>
        </w:tc>
        <w:tc>
          <w:tcPr>
            <w:tcW w:w="720" w:type="dxa"/>
            <w:tcBorders>
              <w:top w:val="single" w:sz="4" w:space="0" w:color="auto"/>
              <w:left w:val="nil"/>
              <w:bottom w:val="single" w:sz="4" w:space="0" w:color="auto"/>
              <w:right w:val="single" w:sz="4" w:space="0" w:color="auto"/>
            </w:tcBorders>
            <w:shd w:val="clear" w:color="auto" w:fill="auto"/>
          </w:tcPr>
          <w:p w14:paraId="0A0A397E" w14:textId="77777777" w:rsidR="009D4A93" w:rsidRPr="00536CFD" w:rsidRDefault="009D4A93" w:rsidP="009D4A93">
            <w:pPr>
              <w:spacing w:after="0"/>
              <w:jc w:val="center"/>
              <w:rPr>
                <w:lang w:val="zh-CN"/>
              </w:rPr>
            </w:pPr>
            <w:r w:rsidRPr="00536CFD">
              <w:rPr>
                <w:lang w:val="zh-CN"/>
              </w:rPr>
              <w:t>0.295</w:t>
            </w:r>
          </w:p>
        </w:tc>
        <w:tc>
          <w:tcPr>
            <w:tcW w:w="720" w:type="dxa"/>
            <w:tcBorders>
              <w:top w:val="single" w:sz="4" w:space="0" w:color="auto"/>
              <w:left w:val="nil"/>
              <w:bottom w:val="single" w:sz="4" w:space="0" w:color="auto"/>
              <w:right w:val="single" w:sz="4" w:space="0" w:color="auto"/>
            </w:tcBorders>
            <w:shd w:val="clear" w:color="auto" w:fill="auto"/>
          </w:tcPr>
          <w:p w14:paraId="454C56FD" w14:textId="77777777" w:rsidR="009D4A93" w:rsidRPr="00536CFD" w:rsidRDefault="009D4A93" w:rsidP="009D4A93">
            <w:pPr>
              <w:spacing w:after="0"/>
              <w:jc w:val="center"/>
              <w:rPr>
                <w:lang w:val="zh-CN"/>
              </w:rPr>
            </w:pPr>
            <w:r w:rsidRPr="00536CFD">
              <w:rPr>
                <w:lang w:val="zh-CN"/>
              </w:rPr>
              <w:t>0.128</w:t>
            </w:r>
          </w:p>
        </w:tc>
        <w:tc>
          <w:tcPr>
            <w:tcW w:w="810" w:type="dxa"/>
            <w:tcBorders>
              <w:top w:val="single" w:sz="4" w:space="0" w:color="auto"/>
              <w:left w:val="nil"/>
              <w:bottom w:val="single" w:sz="4" w:space="0" w:color="auto"/>
              <w:right w:val="single" w:sz="4" w:space="0" w:color="auto"/>
            </w:tcBorders>
            <w:shd w:val="clear" w:color="auto" w:fill="auto"/>
          </w:tcPr>
          <w:p w14:paraId="1CB1F4F0" w14:textId="77777777" w:rsidR="009D4A93" w:rsidRPr="00536CFD" w:rsidRDefault="009D4A93" w:rsidP="009D4A93">
            <w:pPr>
              <w:spacing w:after="0"/>
              <w:jc w:val="center"/>
              <w:rPr>
                <w:lang w:val="zh-CN"/>
              </w:rPr>
            </w:pPr>
            <w:r w:rsidRPr="00536CFD">
              <w:rPr>
                <w:lang w:val="zh-CN"/>
              </w:rPr>
              <w:t>0.092</w:t>
            </w:r>
          </w:p>
        </w:tc>
        <w:tc>
          <w:tcPr>
            <w:tcW w:w="810" w:type="dxa"/>
            <w:tcBorders>
              <w:top w:val="single" w:sz="4" w:space="0" w:color="auto"/>
              <w:left w:val="nil"/>
              <w:bottom w:val="single" w:sz="4" w:space="0" w:color="auto"/>
              <w:right w:val="single" w:sz="4" w:space="0" w:color="auto"/>
            </w:tcBorders>
            <w:shd w:val="clear" w:color="auto" w:fill="auto"/>
          </w:tcPr>
          <w:p w14:paraId="720E6A89" w14:textId="77777777" w:rsidR="009D4A93" w:rsidRPr="00536CFD" w:rsidRDefault="009D4A93" w:rsidP="009D4A93">
            <w:pPr>
              <w:spacing w:after="0"/>
              <w:jc w:val="center"/>
              <w:rPr>
                <w:lang w:val="zh-CN"/>
              </w:rPr>
            </w:pPr>
            <w:r w:rsidRPr="00536CFD">
              <w:rPr>
                <w:lang w:val="zh-CN"/>
              </w:rPr>
              <w:t>1.04</w:t>
            </w:r>
          </w:p>
        </w:tc>
        <w:tc>
          <w:tcPr>
            <w:tcW w:w="820" w:type="dxa"/>
            <w:tcBorders>
              <w:top w:val="single" w:sz="4" w:space="0" w:color="auto"/>
              <w:left w:val="nil"/>
              <w:bottom w:val="single" w:sz="4" w:space="0" w:color="auto"/>
              <w:right w:val="single" w:sz="4" w:space="0" w:color="auto"/>
            </w:tcBorders>
            <w:shd w:val="clear" w:color="auto" w:fill="auto"/>
          </w:tcPr>
          <w:p w14:paraId="2E19F152" w14:textId="77777777" w:rsidR="009D4A93" w:rsidRPr="00536CFD" w:rsidRDefault="009D4A93" w:rsidP="009D4A93">
            <w:pPr>
              <w:spacing w:after="0"/>
              <w:jc w:val="center"/>
              <w:rPr>
                <w:lang w:val="zh-CN"/>
              </w:rPr>
            </w:pPr>
            <w:r w:rsidRPr="00536CFD">
              <w:rPr>
                <w:lang w:val="zh-CN"/>
              </w:rPr>
              <w:t>0.647</w:t>
            </w:r>
          </w:p>
        </w:tc>
        <w:tc>
          <w:tcPr>
            <w:tcW w:w="800" w:type="dxa"/>
            <w:tcBorders>
              <w:top w:val="single" w:sz="4" w:space="0" w:color="auto"/>
              <w:left w:val="nil"/>
              <w:bottom w:val="single" w:sz="4" w:space="0" w:color="auto"/>
              <w:right w:val="single" w:sz="4" w:space="0" w:color="auto"/>
            </w:tcBorders>
            <w:shd w:val="clear" w:color="auto" w:fill="auto"/>
          </w:tcPr>
          <w:p w14:paraId="344BB1D4" w14:textId="77777777" w:rsidR="009D4A93" w:rsidRPr="00536CFD" w:rsidRDefault="009D4A93" w:rsidP="009D4A93">
            <w:pPr>
              <w:spacing w:after="0"/>
              <w:jc w:val="center"/>
              <w:rPr>
                <w:lang w:val="zh-CN"/>
              </w:rPr>
            </w:pPr>
            <w:r w:rsidRPr="00536CFD">
              <w:rPr>
                <w:lang w:val="zh-CN"/>
              </w:rPr>
              <w:t>0.299</w:t>
            </w:r>
          </w:p>
        </w:tc>
        <w:tc>
          <w:tcPr>
            <w:tcW w:w="720" w:type="dxa"/>
            <w:tcBorders>
              <w:top w:val="single" w:sz="4" w:space="0" w:color="auto"/>
              <w:left w:val="nil"/>
              <w:bottom w:val="single" w:sz="4" w:space="0" w:color="auto"/>
              <w:right w:val="single" w:sz="4" w:space="0" w:color="auto"/>
            </w:tcBorders>
            <w:shd w:val="clear" w:color="auto" w:fill="auto"/>
          </w:tcPr>
          <w:p w14:paraId="56F1E017" w14:textId="77777777" w:rsidR="009D4A93" w:rsidRPr="00536CFD" w:rsidRDefault="009D4A93" w:rsidP="009D4A93">
            <w:pPr>
              <w:spacing w:after="0"/>
              <w:jc w:val="center"/>
              <w:rPr>
                <w:lang w:val="zh-CN"/>
              </w:rPr>
            </w:pPr>
            <w:r w:rsidRPr="00536CFD">
              <w:rPr>
                <w:lang w:val="zh-CN"/>
              </w:rPr>
              <w:t>0.203</w:t>
            </w:r>
          </w:p>
        </w:tc>
        <w:tc>
          <w:tcPr>
            <w:tcW w:w="724" w:type="dxa"/>
            <w:tcBorders>
              <w:top w:val="single" w:sz="4" w:space="0" w:color="auto"/>
              <w:left w:val="nil"/>
              <w:bottom w:val="single" w:sz="4" w:space="0" w:color="auto"/>
              <w:right w:val="single" w:sz="4" w:space="0" w:color="auto"/>
            </w:tcBorders>
            <w:shd w:val="clear" w:color="auto" w:fill="auto"/>
          </w:tcPr>
          <w:p w14:paraId="182EB68A" w14:textId="77777777" w:rsidR="009D4A93" w:rsidRPr="00536CFD" w:rsidRDefault="009D4A93" w:rsidP="009D4A93">
            <w:pPr>
              <w:spacing w:after="0"/>
              <w:jc w:val="center"/>
              <w:rPr>
                <w:lang w:val="zh-CN"/>
              </w:rPr>
            </w:pPr>
            <w:r w:rsidRPr="00536CFD">
              <w:rPr>
                <w:lang w:val="zh-CN"/>
              </w:rPr>
              <w:t>1.505</w:t>
            </w:r>
          </w:p>
        </w:tc>
        <w:tc>
          <w:tcPr>
            <w:tcW w:w="896" w:type="dxa"/>
            <w:tcBorders>
              <w:top w:val="single" w:sz="4" w:space="0" w:color="auto"/>
              <w:left w:val="nil"/>
              <w:bottom w:val="single" w:sz="4" w:space="0" w:color="auto"/>
              <w:right w:val="single" w:sz="4" w:space="0" w:color="auto"/>
            </w:tcBorders>
            <w:shd w:val="clear" w:color="auto" w:fill="auto"/>
          </w:tcPr>
          <w:p w14:paraId="531D79FD" w14:textId="77777777" w:rsidR="009D4A93" w:rsidRPr="00536CFD" w:rsidRDefault="009D4A93" w:rsidP="009D4A93">
            <w:pPr>
              <w:spacing w:after="0"/>
              <w:jc w:val="center"/>
              <w:rPr>
                <w:lang w:val="zh-CN"/>
              </w:rPr>
            </w:pPr>
            <w:r w:rsidRPr="00536CFD">
              <w:rPr>
                <w:lang w:val="zh-CN"/>
              </w:rPr>
              <w:t>1.4</w:t>
            </w:r>
          </w:p>
        </w:tc>
        <w:tc>
          <w:tcPr>
            <w:tcW w:w="720" w:type="dxa"/>
            <w:tcBorders>
              <w:top w:val="single" w:sz="4" w:space="0" w:color="auto"/>
              <w:left w:val="nil"/>
              <w:bottom w:val="single" w:sz="4" w:space="0" w:color="auto"/>
              <w:right w:val="single" w:sz="4" w:space="0" w:color="auto"/>
            </w:tcBorders>
            <w:shd w:val="clear" w:color="auto" w:fill="auto"/>
          </w:tcPr>
          <w:p w14:paraId="2CDDBF0B" w14:textId="77777777" w:rsidR="009D4A93" w:rsidRPr="00536CFD" w:rsidRDefault="009D4A93" w:rsidP="009D4A93">
            <w:pPr>
              <w:spacing w:after="0"/>
              <w:jc w:val="center"/>
              <w:rPr>
                <w:lang w:val="zh-CN"/>
              </w:rPr>
            </w:pPr>
            <w:r w:rsidRPr="00536CFD">
              <w:rPr>
                <w:lang w:val="zh-CN"/>
              </w:rPr>
              <w:t>0.474</w:t>
            </w:r>
          </w:p>
        </w:tc>
        <w:tc>
          <w:tcPr>
            <w:tcW w:w="720" w:type="dxa"/>
            <w:tcBorders>
              <w:top w:val="single" w:sz="4" w:space="0" w:color="auto"/>
              <w:left w:val="nil"/>
              <w:bottom w:val="single" w:sz="4" w:space="0" w:color="auto"/>
              <w:right w:val="single" w:sz="4" w:space="0" w:color="auto"/>
            </w:tcBorders>
            <w:shd w:val="clear" w:color="auto" w:fill="auto"/>
          </w:tcPr>
          <w:p w14:paraId="51F6E48F" w14:textId="77777777" w:rsidR="009D4A93" w:rsidRPr="00536CFD" w:rsidRDefault="009D4A93" w:rsidP="009D4A93">
            <w:pPr>
              <w:spacing w:after="0"/>
              <w:jc w:val="center"/>
              <w:rPr>
                <w:lang w:val="zh-CN"/>
              </w:rPr>
            </w:pPr>
            <w:r w:rsidRPr="00536CFD">
              <w:rPr>
                <w:lang w:val="zh-CN"/>
              </w:rPr>
              <w:t>0.426</w:t>
            </w:r>
          </w:p>
        </w:tc>
      </w:tr>
      <w:tr w:rsidR="009D4A93" w:rsidRPr="00536CFD" w14:paraId="4887043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A222862"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B740E72"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Pr>
          <w:p w14:paraId="4E5AF2E5" w14:textId="77777777" w:rsidR="009D4A93" w:rsidRPr="00536CFD" w:rsidRDefault="009D4A93" w:rsidP="009D4A93">
            <w:pPr>
              <w:spacing w:after="0"/>
              <w:jc w:val="center"/>
              <w:rPr>
                <w:lang w:val="zh-CN"/>
              </w:rPr>
            </w:pPr>
            <w:r w:rsidRPr="00536CFD">
              <w:t>0.988</w:t>
            </w:r>
          </w:p>
        </w:tc>
        <w:tc>
          <w:tcPr>
            <w:tcW w:w="720" w:type="dxa"/>
          </w:tcPr>
          <w:p w14:paraId="12251FF9" w14:textId="77777777" w:rsidR="009D4A93" w:rsidRPr="00536CFD" w:rsidRDefault="009D4A93" w:rsidP="009D4A93">
            <w:pPr>
              <w:spacing w:after="0"/>
              <w:jc w:val="center"/>
              <w:rPr>
                <w:lang w:val="zh-CN"/>
              </w:rPr>
            </w:pPr>
            <w:r w:rsidRPr="00536CFD">
              <w:t>0.993</w:t>
            </w:r>
          </w:p>
        </w:tc>
        <w:tc>
          <w:tcPr>
            <w:tcW w:w="720" w:type="dxa"/>
          </w:tcPr>
          <w:p w14:paraId="354852B3" w14:textId="77777777" w:rsidR="009D4A93" w:rsidRPr="00536CFD" w:rsidRDefault="009D4A93" w:rsidP="009D4A93">
            <w:pPr>
              <w:spacing w:after="0"/>
              <w:jc w:val="center"/>
              <w:rPr>
                <w:lang w:val="zh-CN"/>
              </w:rPr>
            </w:pPr>
            <w:r w:rsidRPr="00536CFD">
              <w:t>0.992</w:t>
            </w:r>
          </w:p>
        </w:tc>
        <w:tc>
          <w:tcPr>
            <w:tcW w:w="810" w:type="dxa"/>
          </w:tcPr>
          <w:p w14:paraId="32995C31" w14:textId="77777777" w:rsidR="009D4A93" w:rsidRPr="00536CFD" w:rsidRDefault="009D4A93" w:rsidP="009D4A93">
            <w:pPr>
              <w:spacing w:after="0"/>
              <w:jc w:val="center"/>
              <w:rPr>
                <w:lang w:val="zh-CN"/>
              </w:rPr>
            </w:pPr>
            <w:r w:rsidRPr="00536CFD">
              <w:t>0.997</w:t>
            </w:r>
          </w:p>
        </w:tc>
        <w:tc>
          <w:tcPr>
            <w:tcW w:w="810" w:type="dxa"/>
          </w:tcPr>
          <w:p w14:paraId="4072A25C" w14:textId="77777777" w:rsidR="009D4A93" w:rsidRPr="00536CFD" w:rsidRDefault="009D4A93" w:rsidP="009D4A93">
            <w:pPr>
              <w:spacing w:after="0"/>
              <w:jc w:val="center"/>
              <w:rPr>
                <w:lang w:val="zh-CN"/>
              </w:rPr>
            </w:pPr>
            <w:r w:rsidRPr="00536CFD">
              <w:t>0.874</w:t>
            </w:r>
          </w:p>
        </w:tc>
        <w:tc>
          <w:tcPr>
            <w:tcW w:w="820" w:type="dxa"/>
          </w:tcPr>
          <w:p w14:paraId="08CB861B" w14:textId="77777777" w:rsidR="009D4A93" w:rsidRPr="00536CFD" w:rsidRDefault="009D4A93" w:rsidP="009D4A93">
            <w:pPr>
              <w:spacing w:after="0"/>
              <w:jc w:val="center"/>
              <w:rPr>
                <w:lang w:val="zh-CN"/>
              </w:rPr>
            </w:pPr>
            <w:r w:rsidRPr="00536CFD">
              <w:t>0.944</w:t>
            </w:r>
          </w:p>
        </w:tc>
        <w:tc>
          <w:tcPr>
            <w:tcW w:w="800" w:type="dxa"/>
          </w:tcPr>
          <w:p w14:paraId="02E475C1" w14:textId="77777777" w:rsidR="009D4A93" w:rsidRPr="00536CFD" w:rsidRDefault="009D4A93" w:rsidP="009D4A93">
            <w:pPr>
              <w:spacing w:after="0"/>
              <w:jc w:val="center"/>
              <w:rPr>
                <w:lang w:val="zh-CN"/>
              </w:rPr>
            </w:pPr>
            <w:r w:rsidRPr="00536CFD">
              <w:t>0.945</w:t>
            </w:r>
          </w:p>
        </w:tc>
        <w:tc>
          <w:tcPr>
            <w:tcW w:w="720" w:type="dxa"/>
          </w:tcPr>
          <w:p w14:paraId="11862C95" w14:textId="77777777" w:rsidR="009D4A93" w:rsidRPr="00536CFD" w:rsidRDefault="009D4A93" w:rsidP="009D4A93">
            <w:pPr>
              <w:spacing w:after="0"/>
              <w:jc w:val="center"/>
              <w:rPr>
                <w:lang w:val="zh-CN"/>
              </w:rPr>
            </w:pPr>
            <w:r w:rsidRPr="00536CFD">
              <w:t>0.962</w:t>
            </w:r>
          </w:p>
        </w:tc>
        <w:tc>
          <w:tcPr>
            <w:tcW w:w="724" w:type="dxa"/>
          </w:tcPr>
          <w:p w14:paraId="6368FDD6" w14:textId="77777777" w:rsidR="009D4A93" w:rsidRPr="00536CFD" w:rsidRDefault="009D4A93" w:rsidP="009D4A93">
            <w:pPr>
              <w:spacing w:after="0"/>
              <w:jc w:val="center"/>
              <w:rPr>
                <w:lang w:val="zh-CN"/>
              </w:rPr>
            </w:pPr>
            <w:r w:rsidRPr="00536CFD">
              <w:t>0.733</w:t>
            </w:r>
          </w:p>
        </w:tc>
        <w:tc>
          <w:tcPr>
            <w:tcW w:w="896" w:type="dxa"/>
          </w:tcPr>
          <w:p w14:paraId="4DDEE3F1" w14:textId="77777777" w:rsidR="009D4A93" w:rsidRPr="00536CFD" w:rsidRDefault="009D4A93" w:rsidP="009D4A93">
            <w:pPr>
              <w:spacing w:after="0"/>
              <w:jc w:val="center"/>
              <w:rPr>
                <w:lang w:val="zh-CN"/>
              </w:rPr>
            </w:pPr>
            <w:r w:rsidRPr="00536CFD">
              <w:t>0.8385</w:t>
            </w:r>
          </w:p>
        </w:tc>
        <w:tc>
          <w:tcPr>
            <w:tcW w:w="720" w:type="dxa"/>
          </w:tcPr>
          <w:p w14:paraId="7ADB6F49" w14:textId="77777777" w:rsidR="009D4A93" w:rsidRPr="00536CFD" w:rsidRDefault="009D4A93" w:rsidP="009D4A93">
            <w:pPr>
              <w:spacing w:after="0"/>
              <w:jc w:val="center"/>
              <w:rPr>
                <w:lang w:val="zh-CN"/>
              </w:rPr>
            </w:pPr>
            <w:r w:rsidRPr="00536CFD">
              <w:t>0.870</w:t>
            </w:r>
          </w:p>
        </w:tc>
        <w:tc>
          <w:tcPr>
            <w:tcW w:w="720" w:type="dxa"/>
          </w:tcPr>
          <w:p w14:paraId="4F494273" w14:textId="77777777" w:rsidR="009D4A93" w:rsidRPr="00536CFD" w:rsidRDefault="009D4A93" w:rsidP="009D4A93">
            <w:pPr>
              <w:spacing w:after="0"/>
              <w:jc w:val="center"/>
              <w:rPr>
                <w:lang w:val="zh-CN"/>
              </w:rPr>
            </w:pPr>
            <w:r w:rsidRPr="00536CFD">
              <w:t>0.932</w:t>
            </w:r>
          </w:p>
        </w:tc>
      </w:tr>
      <w:tr w:rsidR="009D4A93" w:rsidRPr="00536CFD" w14:paraId="6AD03B6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EBA05B9"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17A968C"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Pr>
          <w:p w14:paraId="16EE5AF1" w14:textId="77777777" w:rsidR="009D4A93" w:rsidRPr="00536CFD" w:rsidRDefault="009D4A93" w:rsidP="009D4A93">
            <w:pPr>
              <w:spacing w:after="0"/>
              <w:jc w:val="center"/>
              <w:rPr>
                <w:lang w:val="zh-CN"/>
              </w:rPr>
            </w:pPr>
            <w:r w:rsidRPr="00536CFD">
              <w:t>0.99</w:t>
            </w:r>
          </w:p>
        </w:tc>
        <w:tc>
          <w:tcPr>
            <w:tcW w:w="720" w:type="dxa"/>
          </w:tcPr>
          <w:p w14:paraId="5123A079" w14:textId="77777777" w:rsidR="009D4A93" w:rsidRPr="00536CFD" w:rsidRDefault="009D4A93" w:rsidP="009D4A93">
            <w:pPr>
              <w:spacing w:after="0"/>
              <w:jc w:val="center"/>
              <w:rPr>
                <w:lang w:val="zh-CN"/>
              </w:rPr>
            </w:pPr>
            <w:r w:rsidRPr="00536CFD">
              <w:t>0.99</w:t>
            </w:r>
          </w:p>
        </w:tc>
        <w:tc>
          <w:tcPr>
            <w:tcW w:w="720" w:type="dxa"/>
          </w:tcPr>
          <w:p w14:paraId="5ED02263" w14:textId="77777777" w:rsidR="009D4A93" w:rsidRPr="00536CFD" w:rsidRDefault="009D4A93" w:rsidP="009D4A93">
            <w:pPr>
              <w:spacing w:after="0"/>
              <w:jc w:val="center"/>
              <w:rPr>
                <w:lang w:val="zh-CN"/>
              </w:rPr>
            </w:pPr>
            <w:r w:rsidRPr="00536CFD">
              <w:t>0.986</w:t>
            </w:r>
          </w:p>
        </w:tc>
        <w:tc>
          <w:tcPr>
            <w:tcW w:w="810" w:type="dxa"/>
          </w:tcPr>
          <w:p w14:paraId="71C42766" w14:textId="77777777" w:rsidR="009D4A93" w:rsidRPr="00536CFD" w:rsidRDefault="009D4A93" w:rsidP="009D4A93">
            <w:pPr>
              <w:spacing w:after="0"/>
              <w:jc w:val="center"/>
              <w:rPr>
                <w:lang w:val="zh-CN"/>
              </w:rPr>
            </w:pPr>
            <w:r w:rsidRPr="00536CFD">
              <w:t>0.988</w:t>
            </w:r>
          </w:p>
        </w:tc>
        <w:tc>
          <w:tcPr>
            <w:tcW w:w="810" w:type="dxa"/>
          </w:tcPr>
          <w:p w14:paraId="0D28626D" w14:textId="77777777" w:rsidR="009D4A93" w:rsidRPr="00536CFD" w:rsidRDefault="009D4A93" w:rsidP="009D4A93">
            <w:pPr>
              <w:spacing w:after="0"/>
              <w:jc w:val="center"/>
              <w:rPr>
                <w:lang w:val="zh-CN"/>
              </w:rPr>
            </w:pPr>
            <w:r w:rsidRPr="00536CFD">
              <w:t>0.894</w:t>
            </w:r>
          </w:p>
        </w:tc>
        <w:tc>
          <w:tcPr>
            <w:tcW w:w="820" w:type="dxa"/>
          </w:tcPr>
          <w:p w14:paraId="6154B880" w14:textId="77777777" w:rsidR="009D4A93" w:rsidRPr="00536CFD" w:rsidRDefault="009D4A93" w:rsidP="009D4A93">
            <w:pPr>
              <w:spacing w:after="0"/>
              <w:jc w:val="center"/>
              <w:rPr>
                <w:lang w:val="zh-CN"/>
              </w:rPr>
            </w:pPr>
            <w:r w:rsidRPr="00536CFD">
              <w:t>0.940</w:t>
            </w:r>
          </w:p>
        </w:tc>
        <w:tc>
          <w:tcPr>
            <w:tcW w:w="800" w:type="dxa"/>
          </w:tcPr>
          <w:p w14:paraId="0A36FC97" w14:textId="77777777" w:rsidR="009D4A93" w:rsidRPr="00536CFD" w:rsidRDefault="009D4A93" w:rsidP="009D4A93">
            <w:pPr>
              <w:spacing w:after="0"/>
              <w:jc w:val="center"/>
              <w:rPr>
                <w:lang w:val="zh-CN"/>
              </w:rPr>
            </w:pPr>
            <w:r w:rsidRPr="00536CFD">
              <w:t>0.936</w:t>
            </w:r>
          </w:p>
        </w:tc>
        <w:tc>
          <w:tcPr>
            <w:tcW w:w="720" w:type="dxa"/>
          </w:tcPr>
          <w:p w14:paraId="7A84EA85" w14:textId="77777777" w:rsidR="009D4A93" w:rsidRPr="00536CFD" w:rsidRDefault="009D4A93" w:rsidP="009D4A93">
            <w:pPr>
              <w:spacing w:after="0"/>
              <w:jc w:val="center"/>
              <w:rPr>
                <w:lang w:val="zh-CN"/>
              </w:rPr>
            </w:pPr>
            <w:r w:rsidRPr="00536CFD">
              <w:t>0.977</w:t>
            </w:r>
          </w:p>
        </w:tc>
        <w:tc>
          <w:tcPr>
            <w:tcW w:w="724" w:type="dxa"/>
          </w:tcPr>
          <w:p w14:paraId="5825DCF6" w14:textId="77777777" w:rsidR="009D4A93" w:rsidRPr="00536CFD" w:rsidRDefault="009D4A93" w:rsidP="009D4A93">
            <w:pPr>
              <w:spacing w:after="0"/>
              <w:jc w:val="center"/>
              <w:rPr>
                <w:lang w:val="zh-CN"/>
              </w:rPr>
            </w:pPr>
            <w:r w:rsidRPr="00536CFD">
              <w:t>0.747</w:t>
            </w:r>
          </w:p>
        </w:tc>
        <w:tc>
          <w:tcPr>
            <w:tcW w:w="896" w:type="dxa"/>
          </w:tcPr>
          <w:p w14:paraId="3F9AB1E4" w14:textId="77777777" w:rsidR="009D4A93" w:rsidRPr="00536CFD" w:rsidRDefault="009D4A93" w:rsidP="009D4A93">
            <w:pPr>
              <w:spacing w:after="0"/>
              <w:jc w:val="center"/>
              <w:rPr>
                <w:lang w:val="zh-CN"/>
              </w:rPr>
            </w:pPr>
            <w:r w:rsidRPr="00536CFD">
              <w:t>0.771</w:t>
            </w:r>
          </w:p>
        </w:tc>
        <w:tc>
          <w:tcPr>
            <w:tcW w:w="720" w:type="dxa"/>
          </w:tcPr>
          <w:p w14:paraId="2CA76094" w14:textId="77777777" w:rsidR="009D4A93" w:rsidRPr="00536CFD" w:rsidRDefault="009D4A93" w:rsidP="009D4A93">
            <w:pPr>
              <w:spacing w:after="0"/>
              <w:jc w:val="center"/>
              <w:rPr>
                <w:lang w:val="zh-CN"/>
              </w:rPr>
            </w:pPr>
            <w:r w:rsidRPr="00536CFD">
              <w:t>0.944</w:t>
            </w:r>
          </w:p>
        </w:tc>
        <w:tc>
          <w:tcPr>
            <w:tcW w:w="720" w:type="dxa"/>
          </w:tcPr>
          <w:p w14:paraId="2C30E50F" w14:textId="77777777" w:rsidR="009D4A93" w:rsidRPr="00536CFD" w:rsidRDefault="009D4A93" w:rsidP="009D4A93">
            <w:pPr>
              <w:spacing w:after="0"/>
              <w:jc w:val="center"/>
              <w:rPr>
                <w:lang w:val="zh-CN"/>
              </w:rPr>
            </w:pPr>
            <w:r w:rsidRPr="00536CFD">
              <w:t>0.969</w:t>
            </w:r>
          </w:p>
        </w:tc>
      </w:tr>
      <w:tr w:rsidR="009D4A93" w:rsidRPr="00536CFD" w14:paraId="7C5DBAB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182C44A"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0B132D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Pr>
          <w:p w14:paraId="48F70691" w14:textId="77777777" w:rsidR="009D4A93" w:rsidRPr="00536CFD" w:rsidRDefault="009D4A93" w:rsidP="009D4A93">
            <w:pPr>
              <w:spacing w:after="0"/>
              <w:jc w:val="center"/>
              <w:rPr>
                <w:lang w:val="zh-CN"/>
              </w:rPr>
            </w:pPr>
            <w:r w:rsidRPr="00536CFD">
              <w:t>16.5%</w:t>
            </w:r>
          </w:p>
        </w:tc>
        <w:tc>
          <w:tcPr>
            <w:tcW w:w="720" w:type="dxa"/>
          </w:tcPr>
          <w:p w14:paraId="47C3BA92" w14:textId="77777777" w:rsidR="009D4A93" w:rsidRPr="00536CFD" w:rsidRDefault="009D4A93" w:rsidP="009D4A93">
            <w:pPr>
              <w:spacing w:after="0"/>
              <w:jc w:val="center"/>
              <w:rPr>
                <w:lang w:val="zh-CN"/>
              </w:rPr>
            </w:pPr>
            <w:r w:rsidRPr="00536CFD">
              <w:t>13.4%</w:t>
            </w:r>
          </w:p>
        </w:tc>
        <w:tc>
          <w:tcPr>
            <w:tcW w:w="720" w:type="dxa"/>
          </w:tcPr>
          <w:p w14:paraId="3AD96156" w14:textId="77777777" w:rsidR="009D4A93" w:rsidRPr="00536CFD" w:rsidRDefault="009D4A93" w:rsidP="009D4A93">
            <w:pPr>
              <w:spacing w:after="0"/>
              <w:jc w:val="center"/>
              <w:rPr>
                <w:lang w:val="zh-CN"/>
              </w:rPr>
            </w:pPr>
            <w:r w:rsidRPr="00536CFD">
              <w:t>12.2%</w:t>
            </w:r>
          </w:p>
        </w:tc>
        <w:tc>
          <w:tcPr>
            <w:tcW w:w="810" w:type="dxa"/>
          </w:tcPr>
          <w:p w14:paraId="4077E21B" w14:textId="77777777" w:rsidR="009D4A93" w:rsidRPr="00536CFD" w:rsidRDefault="009D4A93" w:rsidP="009D4A93">
            <w:pPr>
              <w:spacing w:after="0"/>
              <w:jc w:val="center"/>
              <w:rPr>
                <w:lang w:val="zh-CN"/>
              </w:rPr>
            </w:pPr>
            <w:r w:rsidRPr="00536CFD">
              <w:t>7.1%</w:t>
            </w:r>
          </w:p>
        </w:tc>
        <w:tc>
          <w:tcPr>
            <w:tcW w:w="810" w:type="dxa"/>
          </w:tcPr>
          <w:p w14:paraId="5229F2AF" w14:textId="77777777" w:rsidR="009D4A93" w:rsidRPr="00536CFD" w:rsidRDefault="009D4A93" w:rsidP="009D4A93">
            <w:pPr>
              <w:spacing w:after="0"/>
              <w:jc w:val="center"/>
              <w:rPr>
                <w:lang w:val="zh-CN"/>
              </w:rPr>
            </w:pPr>
            <w:r w:rsidRPr="00536CFD">
              <w:t>48.6%</w:t>
            </w:r>
          </w:p>
        </w:tc>
        <w:tc>
          <w:tcPr>
            <w:tcW w:w="820" w:type="dxa"/>
          </w:tcPr>
          <w:p w14:paraId="2E500B5A" w14:textId="77777777" w:rsidR="009D4A93" w:rsidRPr="00536CFD" w:rsidRDefault="009D4A93" w:rsidP="009D4A93">
            <w:pPr>
              <w:spacing w:after="0"/>
              <w:jc w:val="center"/>
              <w:rPr>
                <w:lang w:val="zh-CN"/>
              </w:rPr>
            </w:pPr>
            <w:r w:rsidRPr="00536CFD">
              <w:t>34.5%</w:t>
            </w:r>
          </w:p>
        </w:tc>
        <w:tc>
          <w:tcPr>
            <w:tcW w:w="800" w:type="dxa"/>
          </w:tcPr>
          <w:p w14:paraId="4FD04520" w14:textId="77777777" w:rsidR="009D4A93" w:rsidRPr="00536CFD" w:rsidRDefault="009D4A93" w:rsidP="009D4A93">
            <w:pPr>
              <w:spacing w:after="0"/>
              <w:jc w:val="center"/>
              <w:rPr>
                <w:lang w:val="zh-CN"/>
              </w:rPr>
            </w:pPr>
            <w:r w:rsidRPr="00536CFD">
              <w:t>37%</w:t>
            </w:r>
          </w:p>
        </w:tc>
        <w:tc>
          <w:tcPr>
            <w:tcW w:w="720" w:type="dxa"/>
          </w:tcPr>
          <w:p w14:paraId="03F8B6C5" w14:textId="77777777" w:rsidR="009D4A93" w:rsidRPr="00536CFD" w:rsidRDefault="009D4A93" w:rsidP="009D4A93">
            <w:pPr>
              <w:spacing w:after="0"/>
              <w:jc w:val="center"/>
              <w:rPr>
                <w:lang w:val="zh-CN"/>
              </w:rPr>
            </w:pPr>
            <w:r w:rsidRPr="00536CFD">
              <w:t>26.3%</w:t>
            </w:r>
          </w:p>
        </w:tc>
        <w:tc>
          <w:tcPr>
            <w:tcW w:w="724" w:type="dxa"/>
          </w:tcPr>
          <w:p w14:paraId="77884462" w14:textId="77777777" w:rsidR="009D4A93" w:rsidRPr="00536CFD" w:rsidRDefault="009D4A93" w:rsidP="009D4A93">
            <w:pPr>
              <w:spacing w:after="0"/>
              <w:jc w:val="center"/>
              <w:rPr>
                <w:lang w:val="zh-CN"/>
              </w:rPr>
            </w:pPr>
            <w:r w:rsidRPr="00536CFD">
              <w:t>76%</w:t>
            </w:r>
          </w:p>
        </w:tc>
        <w:tc>
          <w:tcPr>
            <w:tcW w:w="896" w:type="dxa"/>
          </w:tcPr>
          <w:p w14:paraId="41B452DF" w14:textId="77777777" w:rsidR="009D4A93" w:rsidRPr="00536CFD" w:rsidRDefault="009D4A93" w:rsidP="009D4A93">
            <w:pPr>
              <w:spacing w:after="0"/>
              <w:jc w:val="center"/>
              <w:rPr>
                <w:lang w:val="zh-CN"/>
              </w:rPr>
            </w:pPr>
            <w:r w:rsidRPr="00536CFD">
              <w:t>70.5%</w:t>
            </w:r>
          </w:p>
        </w:tc>
        <w:tc>
          <w:tcPr>
            <w:tcW w:w="720" w:type="dxa"/>
          </w:tcPr>
          <w:p w14:paraId="3DDC04D0" w14:textId="77777777" w:rsidR="009D4A93" w:rsidRPr="00536CFD" w:rsidRDefault="009D4A93" w:rsidP="009D4A93">
            <w:pPr>
              <w:spacing w:after="0"/>
              <w:jc w:val="center"/>
              <w:rPr>
                <w:lang w:val="zh-CN"/>
              </w:rPr>
            </w:pPr>
            <w:r w:rsidRPr="00536CFD">
              <w:t>65.4%</w:t>
            </w:r>
          </w:p>
        </w:tc>
        <w:tc>
          <w:tcPr>
            <w:tcW w:w="720" w:type="dxa"/>
          </w:tcPr>
          <w:p w14:paraId="3CB16433" w14:textId="77777777" w:rsidR="009D4A93" w:rsidRPr="00536CFD" w:rsidRDefault="009D4A93" w:rsidP="009D4A93">
            <w:pPr>
              <w:spacing w:after="0"/>
              <w:jc w:val="center"/>
              <w:rPr>
                <w:lang w:val="zh-CN"/>
              </w:rPr>
            </w:pPr>
            <w:r w:rsidRPr="00536CFD">
              <w:t>52.1%</w:t>
            </w:r>
          </w:p>
        </w:tc>
      </w:tr>
      <w:tr w:rsidR="009D4A93" w:rsidRPr="00536CFD" w14:paraId="3AF04523"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2CFDAB0"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6B056960"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49A8871A" w14:textId="77777777" w:rsidR="009D4A93" w:rsidRPr="00536CFD" w:rsidRDefault="009D4A93" w:rsidP="009D4A93">
            <w:pPr>
              <w:spacing w:after="0"/>
              <w:jc w:val="center"/>
              <w:rPr>
                <w:lang w:val="zh-CN"/>
              </w:rPr>
            </w:pPr>
            <w:r w:rsidRPr="00536CFD">
              <w:rPr>
                <w:lang w:val="zh-CN"/>
              </w:rPr>
              <w:t>0.15</w:t>
            </w:r>
          </w:p>
        </w:tc>
        <w:tc>
          <w:tcPr>
            <w:tcW w:w="3150" w:type="dxa"/>
            <w:gridSpan w:val="4"/>
            <w:tcBorders>
              <w:top w:val="single" w:sz="4" w:space="0" w:color="auto"/>
              <w:left w:val="nil"/>
              <w:bottom w:val="single" w:sz="4" w:space="0" w:color="auto"/>
              <w:right w:val="single" w:sz="4" w:space="0" w:color="auto"/>
            </w:tcBorders>
            <w:shd w:val="clear" w:color="auto" w:fill="auto"/>
          </w:tcPr>
          <w:p w14:paraId="6153DAC4" w14:textId="77777777" w:rsidR="009D4A93" w:rsidRPr="00536CFD" w:rsidRDefault="009D4A93" w:rsidP="009D4A93">
            <w:pPr>
              <w:spacing w:after="0"/>
              <w:jc w:val="center"/>
              <w:rPr>
                <w:lang w:val="zh-CN"/>
              </w:rPr>
            </w:pPr>
            <w:r w:rsidRPr="00536CFD">
              <w:rPr>
                <w:lang w:val="zh-CN"/>
              </w:rPr>
              <w:t>0.22</w:t>
            </w:r>
          </w:p>
        </w:tc>
        <w:tc>
          <w:tcPr>
            <w:tcW w:w="3060" w:type="dxa"/>
            <w:gridSpan w:val="4"/>
            <w:tcBorders>
              <w:top w:val="single" w:sz="4" w:space="0" w:color="auto"/>
              <w:left w:val="nil"/>
              <w:bottom w:val="single" w:sz="4" w:space="0" w:color="auto"/>
              <w:right w:val="single" w:sz="4" w:space="0" w:color="auto"/>
            </w:tcBorders>
            <w:shd w:val="clear" w:color="auto" w:fill="auto"/>
          </w:tcPr>
          <w:p w14:paraId="68FC87BD" w14:textId="77777777" w:rsidR="009D4A93" w:rsidRPr="00536CFD" w:rsidRDefault="009D4A93" w:rsidP="009D4A93">
            <w:pPr>
              <w:spacing w:after="0"/>
              <w:jc w:val="center"/>
              <w:rPr>
                <w:lang w:val="zh-CN"/>
              </w:rPr>
            </w:pPr>
            <w:r w:rsidRPr="00536CFD">
              <w:rPr>
                <w:lang w:val="zh-CN"/>
              </w:rPr>
              <w:t>0.3</w:t>
            </w:r>
          </w:p>
        </w:tc>
      </w:tr>
      <w:tr w:rsidR="009D4A93" w:rsidRPr="00536CFD" w14:paraId="15A8237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E9923A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3F8E879"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3EFB5601" w14:textId="77777777" w:rsidR="009D4A93" w:rsidRPr="00536CFD" w:rsidRDefault="009D4A93" w:rsidP="009D4A93">
            <w:pPr>
              <w:pStyle w:val="ListParagraph"/>
              <w:spacing w:after="0"/>
              <w:ind w:firstLineChars="0" w:firstLine="0"/>
              <w:jc w:val="both"/>
              <w:rPr>
                <w:lang w:val="en-US"/>
              </w:rPr>
            </w:pPr>
            <w:r w:rsidRPr="00536CFD">
              <w:t>Additional comments:</w:t>
            </w:r>
          </w:p>
          <w:p w14:paraId="4B1F3B5B" w14:textId="5B35E496" w:rsidR="009D4A93" w:rsidRPr="00536CFD" w:rsidRDefault="00571BB8" w:rsidP="00571BB8">
            <w:pPr>
              <w:pStyle w:val="B1"/>
              <w:spacing w:after="0"/>
            </w:pPr>
            <w:r w:rsidRPr="00536CFD">
              <w:t>-</w:t>
            </w:r>
            <w:r w:rsidRPr="00536CFD">
              <w:tab/>
            </w:r>
            <w:r w:rsidR="009D4A93" w:rsidRPr="00536CFD">
              <w:t>4ms for both Wi-Fi and NR-U</w:t>
            </w:r>
          </w:p>
          <w:p w14:paraId="0834E77B" w14:textId="39AF0436" w:rsidR="009D4A93" w:rsidRPr="00536CFD" w:rsidRDefault="00571BB8" w:rsidP="00571BB8">
            <w:pPr>
              <w:pStyle w:val="B1"/>
              <w:spacing w:after="0"/>
            </w:pPr>
            <w:r w:rsidRPr="00536CFD">
              <w:t>-</w:t>
            </w:r>
            <w:r w:rsidRPr="00536CFD">
              <w:tab/>
            </w:r>
            <w:r w:rsidR="009D4A93" w:rsidRPr="00536CFD">
              <w:t>No</w:t>
            </w:r>
          </w:p>
          <w:p w14:paraId="70A10FDB" w14:textId="6733EBA9" w:rsidR="009D4A93" w:rsidRPr="00536CFD" w:rsidRDefault="00571BB8" w:rsidP="00571BB8">
            <w:pPr>
              <w:pStyle w:val="B1"/>
              <w:spacing w:after="0"/>
            </w:pPr>
            <w:r w:rsidRPr="00536CFD">
              <w:t>-</w:t>
            </w:r>
            <w:r w:rsidRPr="00536CFD">
              <w:tab/>
            </w:r>
            <w:r w:rsidR="009D4A93" w:rsidRPr="00536CFD">
              <w:t>For Wi-Fi, PDT = -82 dBm, EDT = -62 dBm; for NR-U EDT = -72 dBm (baseline)</w:t>
            </w:r>
          </w:p>
          <w:p w14:paraId="6DEA2AE8" w14:textId="06167F8F" w:rsidR="009D4A93" w:rsidRPr="00536CFD" w:rsidRDefault="00571BB8" w:rsidP="00571BB8">
            <w:pPr>
              <w:pStyle w:val="B1"/>
              <w:spacing w:after="0"/>
            </w:pPr>
            <w:r w:rsidRPr="00536CFD">
              <w:t>-</w:t>
            </w:r>
            <w:r w:rsidRPr="00536CFD">
              <w:tab/>
            </w:r>
            <w:r w:rsidR="009D4A93" w:rsidRPr="00536CFD">
              <w:t>256 QAM for both Wi-Fi and NR-U</w:t>
            </w:r>
          </w:p>
          <w:p w14:paraId="4B7D0B47" w14:textId="6591CC39" w:rsidR="009D4A93" w:rsidRPr="00536CFD" w:rsidRDefault="00571BB8" w:rsidP="00571BB8">
            <w:pPr>
              <w:pStyle w:val="B1"/>
              <w:spacing w:after="0"/>
            </w:pPr>
            <w:r w:rsidRPr="00536CFD">
              <w:t>-</w:t>
            </w:r>
            <w:r w:rsidRPr="00536CFD">
              <w:tab/>
            </w:r>
            <w:r w:rsidR="009D4A93" w:rsidRPr="00536CFD">
              <w:t>NR-U with array radiation pattern according to TR38.802 and max BF gain of 5 dBi; omni-directional for Wi-Fi</w:t>
            </w:r>
          </w:p>
          <w:p w14:paraId="17268C85" w14:textId="044EF999" w:rsidR="009D4A93" w:rsidRPr="00536CFD" w:rsidRDefault="00571BB8" w:rsidP="00571BB8">
            <w:pPr>
              <w:pStyle w:val="B1"/>
              <w:spacing w:after="0"/>
            </w:pPr>
            <w:r w:rsidRPr="00536CFD">
              <w:t>-</w:t>
            </w:r>
            <w:r w:rsidRPr="00536CFD">
              <w:tab/>
            </w:r>
            <w:r w:rsidR="009D4A93" w:rsidRPr="00536CFD">
              <w:t xml:space="preserve">MPDU size = 3250 bytes by default, 1ms per MPDU </w:t>
            </w:r>
          </w:p>
          <w:p w14:paraId="3CE9891B" w14:textId="29E76284" w:rsidR="009D4A93" w:rsidRPr="00536CFD" w:rsidRDefault="00571BB8" w:rsidP="00571BB8">
            <w:pPr>
              <w:pStyle w:val="B1"/>
              <w:spacing w:after="0"/>
            </w:pPr>
            <w:r w:rsidRPr="00536CFD">
              <w:t>-</w:t>
            </w:r>
            <w:r w:rsidRPr="00536CFD">
              <w:tab/>
            </w:r>
            <w:r w:rsidR="009D4A93" w:rsidRPr="00536CFD">
              <w:t>30 kHz</w:t>
            </w:r>
          </w:p>
          <w:p w14:paraId="663DB2E3" w14:textId="5DBB70C5" w:rsidR="009D4A93" w:rsidRPr="00536CFD" w:rsidRDefault="00571BB8" w:rsidP="00571BB8">
            <w:pPr>
              <w:pStyle w:val="B1"/>
              <w:spacing w:after="0"/>
            </w:pPr>
            <w:r w:rsidRPr="00536CFD">
              <w:t>-</w:t>
            </w:r>
            <w:r w:rsidRPr="00536CFD">
              <w:tab/>
            </w:r>
            <w:r w:rsidR="00200090">
              <w:t xml:space="preserve">0.8 </w:t>
            </w:r>
            <w:r w:rsidR="00200090" w:rsidRPr="00C64ECB">
              <w:rPr>
                <w:rFonts w:ascii="Symbol" w:hAnsi="Symbol"/>
              </w:rPr>
              <w:t></w:t>
            </w:r>
            <w:r w:rsidR="009D4A93" w:rsidRPr="00536CFD">
              <w:t>s</w:t>
            </w:r>
          </w:p>
          <w:p w14:paraId="6804A5C0" w14:textId="49047C5B" w:rsidR="009D4A93" w:rsidRPr="00536CFD" w:rsidRDefault="00571BB8" w:rsidP="00571BB8">
            <w:pPr>
              <w:pStyle w:val="B1"/>
              <w:spacing w:after="0"/>
            </w:pPr>
            <w:r w:rsidRPr="00536CFD">
              <w:t>-</w:t>
            </w:r>
            <w:r w:rsidRPr="00536CFD">
              <w:tab/>
            </w:r>
            <w:r w:rsidR="009D4A93" w:rsidRPr="00536CFD">
              <w:t>Capability #1</w:t>
            </w:r>
          </w:p>
          <w:p w14:paraId="15579730" w14:textId="4C0DDE6E" w:rsidR="009D4A93" w:rsidRPr="00536CFD" w:rsidRDefault="00571BB8" w:rsidP="00571BB8">
            <w:pPr>
              <w:pStyle w:val="B1"/>
              <w:spacing w:after="0"/>
            </w:pPr>
            <w:r w:rsidRPr="00536CFD">
              <w:t>-</w:t>
            </w:r>
            <w:r w:rsidRPr="00536CFD">
              <w:tab/>
            </w:r>
            <w:r w:rsidR="009D4A93" w:rsidRPr="00536CFD">
              <w:t>Mapping type B in the starting slot of TxOP; per-symbol PDCCH monitoring for flexible starting position</w:t>
            </w:r>
          </w:p>
          <w:p w14:paraId="5C4FB725" w14:textId="677E9FA1" w:rsidR="009D4A93" w:rsidRPr="00536CFD" w:rsidRDefault="00571BB8" w:rsidP="00571BB8">
            <w:pPr>
              <w:pStyle w:val="B1"/>
              <w:spacing w:after="0"/>
            </w:pPr>
            <w:r w:rsidRPr="00536CFD">
              <w:t>-</w:t>
            </w:r>
            <w:r w:rsidRPr="00536CFD">
              <w:tab/>
            </w:r>
            <w:r w:rsidR="009D4A93" w:rsidRPr="00536CFD">
              <w:t>No fast link adaptation utilizing multiple switching points within COT for NR-U</w:t>
            </w:r>
          </w:p>
          <w:p w14:paraId="0C899865" w14:textId="1EC3E22C" w:rsidR="009D4A93" w:rsidRPr="00536CFD" w:rsidRDefault="00571BB8" w:rsidP="00571BB8">
            <w:pPr>
              <w:pStyle w:val="B1"/>
              <w:spacing w:after="0"/>
              <w:rPr>
                <w:lang w:val="en-US" w:bidi="ar"/>
              </w:rPr>
            </w:pPr>
            <w:r w:rsidRPr="00536CFD">
              <w:t>-</w:t>
            </w:r>
            <w:r w:rsidRPr="00536CFD">
              <w:tab/>
            </w:r>
            <w:r w:rsidR="009D4A93" w:rsidRPr="00536CFD">
              <w:t>Cross-carrier scheduling in UL</w:t>
            </w:r>
          </w:p>
        </w:tc>
      </w:tr>
      <w:tr w:rsidR="009D4A93" w:rsidRPr="00536CFD" w14:paraId="13F39D21"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6E64B490" w14:textId="77777777" w:rsidR="009D4A93" w:rsidRPr="00536CFD" w:rsidRDefault="009D4A93" w:rsidP="009D4A93">
            <w:pPr>
              <w:pStyle w:val="NormalWeb"/>
              <w:pageBreakBefore/>
              <w:spacing w:before="0" w:beforeAutospacing="0" w:after="0" w:afterAutospacing="0"/>
              <w:ind w:left="113" w:right="113"/>
              <w:jc w:val="center"/>
              <w:rPr>
                <w:rFonts w:eastAsia="SimSun"/>
                <w:sz w:val="20"/>
                <w:szCs w:val="20"/>
              </w:rPr>
            </w:pPr>
            <w:r w:rsidRPr="00536CFD">
              <w:rPr>
                <w:sz w:val="20"/>
                <w:szCs w:val="20"/>
              </w:rPr>
              <w:t>R1- 1814062 /Source 6</w:t>
            </w:r>
          </w:p>
        </w:tc>
        <w:tc>
          <w:tcPr>
            <w:tcW w:w="535" w:type="dxa"/>
            <w:vMerge w:val="restart"/>
            <w:tcBorders>
              <w:top w:val="nil"/>
              <w:left w:val="nil"/>
              <w:bottom w:val="single" w:sz="4" w:space="0" w:color="auto"/>
              <w:right w:val="single" w:sz="4" w:space="0" w:color="auto"/>
            </w:tcBorders>
            <w:shd w:val="clear" w:color="auto" w:fill="auto"/>
          </w:tcPr>
          <w:p w14:paraId="286FE496"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67A11419"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298CF978" w14:textId="77777777" w:rsidR="009D4A93" w:rsidRPr="00536CFD" w:rsidRDefault="009D4A93" w:rsidP="009D4A93">
            <w:pPr>
              <w:pageBreakBefore/>
              <w:spacing w:after="0"/>
              <w:jc w:val="center"/>
              <w:rPr>
                <w:lang w:val="zh-CN"/>
              </w:rPr>
            </w:pPr>
            <w:r w:rsidRPr="00536CFD">
              <w:rPr>
                <w:lang w:val="zh-CN"/>
              </w:rPr>
              <w:t>17.154</w:t>
            </w:r>
          </w:p>
        </w:tc>
        <w:tc>
          <w:tcPr>
            <w:tcW w:w="720" w:type="dxa"/>
            <w:tcBorders>
              <w:top w:val="single" w:sz="4" w:space="0" w:color="auto"/>
              <w:left w:val="nil"/>
              <w:bottom w:val="single" w:sz="4" w:space="0" w:color="auto"/>
              <w:right w:val="single" w:sz="4" w:space="0" w:color="auto"/>
            </w:tcBorders>
            <w:shd w:val="clear" w:color="auto" w:fill="auto"/>
            <w:vAlign w:val="bottom"/>
          </w:tcPr>
          <w:p w14:paraId="204B4A23" w14:textId="77777777" w:rsidR="009D4A93" w:rsidRPr="00536CFD" w:rsidRDefault="009D4A93" w:rsidP="009D4A93">
            <w:pPr>
              <w:pageBreakBefore/>
              <w:spacing w:after="0"/>
              <w:jc w:val="center"/>
              <w:rPr>
                <w:lang w:val="zh-CN"/>
              </w:rPr>
            </w:pPr>
            <w:r w:rsidRPr="00536CFD">
              <w:rPr>
                <w:lang w:val="zh-CN"/>
              </w:rPr>
              <w:t>17.711</w:t>
            </w:r>
          </w:p>
        </w:tc>
        <w:tc>
          <w:tcPr>
            <w:tcW w:w="720" w:type="dxa"/>
            <w:tcBorders>
              <w:top w:val="single" w:sz="4" w:space="0" w:color="auto"/>
              <w:left w:val="nil"/>
              <w:bottom w:val="single" w:sz="4" w:space="0" w:color="auto"/>
              <w:right w:val="single" w:sz="4" w:space="0" w:color="auto"/>
            </w:tcBorders>
            <w:shd w:val="clear" w:color="auto" w:fill="auto"/>
            <w:vAlign w:val="bottom"/>
          </w:tcPr>
          <w:p w14:paraId="0367D684" w14:textId="77777777" w:rsidR="009D4A93" w:rsidRPr="00536CFD" w:rsidRDefault="009D4A93" w:rsidP="009D4A93">
            <w:pPr>
              <w:pageBreakBefore/>
              <w:spacing w:after="0"/>
              <w:jc w:val="center"/>
              <w:rPr>
                <w:lang w:val="zh-CN"/>
              </w:rPr>
            </w:pPr>
            <w:r w:rsidRPr="00536CFD">
              <w:rPr>
                <w:lang w:val="zh-CN"/>
              </w:rPr>
              <w:t>41.850</w:t>
            </w:r>
          </w:p>
        </w:tc>
        <w:tc>
          <w:tcPr>
            <w:tcW w:w="810" w:type="dxa"/>
            <w:tcBorders>
              <w:top w:val="single" w:sz="4" w:space="0" w:color="auto"/>
              <w:left w:val="nil"/>
              <w:bottom w:val="single" w:sz="4" w:space="0" w:color="auto"/>
              <w:right w:val="single" w:sz="4" w:space="0" w:color="auto"/>
            </w:tcBorders>
            <w:shd w:val="clear" w:color="auto" w:fill="auto"/>
            <w:vAlign w:val="bottom"/>
          </w:tcPr>
          <w:p w14:paraId="419D4977" w14:textId="77777777" w:rsidR="009D4A93" w:rsidRPr="00536CFD" w:rsidRDefault="009D4A93" w:rsidP="009D4A93">
            <w:pPr>
              <w:pageBreakBefore/>
              <w:spacing w:after="0"/>
              <w:jc w:val="center"/>
              <w:rPr>
                <w:lang w:val="zh-CN"/>
              </w:rPr>
            </w:pPr>
            <w:r w:rsidRPr="00536CFD">
              <w:rPr>
                <w:lang w:val="zh-CN"/>
              </w:rPr>
              <w:t>63.416</w:t>
            </w:r>
          </w:p>
        </w:tc>
        <w:tc>
          <w:tcPr>
            <w:tcW w:w="810" w:type="dxa"/>
            <w:tcBorders>
              <w:top w:val="single" w:sz="4" w:space="0" w:color="auto"/>
              <w:left w:val="nil"/>
              <w:bottom w:val="single" w:sz="4" w:space="0" w:color="auto"/>
              <w:right w:val="single" w:sz="4" w:space="0" w:color="auto"/>
            </w:tcBorders>
            <w:shd w:val="clear" w:color="auto" w:fill="auto"/>
            <w:vAlign w:val="bottom"/>
          </w:tcPr>
          <w:p w14:paraId="4A1826F5" w14:textId="77777777" w:rsidR="009D4A93" w:rsidRPr="00536CFD" w:rsidRDefault="009D4A93" w:rsidP="009D4A93">
            <w:pPr>
              <w:pageBreakBefore/>
              <w:spacing w:after="0"/>
              <w:jc w:val="center"/>
              <w:rPr>
                <w:lang w:val="zh-CN"/>
              </w:rPr>
            </w:pPr>
            <w:r w:rsidRPr="00536CFD">
              <w:rPr>
                <w:lang w:val="zh-CN"/>
              </w:rPr>
              <w:t>3.943</w:t>
            </w:r>
          </w:p>
        </w:tc>
        <w:tc>
          <w:tcPr>
            <w:tcW w:w="820" w:type="dxa"/>
            <w:tcBorders>
              <w:top w:val="single" w:sz="4" w:space="0" w:color="auto"/>
              <w:left w:val="nil"/>
              <w:bottom w:val="single" w:sz="4" w:space="0" w:color="auto"/>
              <w:right w:val="single" w:sz="4" w:space="0" w:color="auto"/>
            </w:tcBorders>
            <w:shd w:val="clear" w:color="auto" w:fill="auto"/>
            <w:vAlign w:val="bottom"/>
          </w:tcPr>
          <w:p w14:paraId="1B9B5ED8" w14:textId="77777777" w:rsidR="009D4A93" w:rsidRPr="00536CFD" w:rsidRDefault="009D4A93" w:rsidP="009D4A93">
            <w:pPr>
              <w:pageBreakBefore/>
              <w:spacing w:after="0"/>
              <w:jc w:val="center"/>
              <w:rPr>
                <w:lang w:val="zh-CN"/>
              </w:rPr>
            </w:pPr>
            <w:r w:rsidRPr="00536CFD">
              <w:rPr>
                <w:lang w:val="zh-CN"/>
              </w:rPr>
              <w:t>4.645</w:t>
            </w:r>
          </w:p>
        </w:tc>
        <w:tc>
          <w:tcPr>
            <w:tcW w:w="800" w:type="dxa"/>
            <w:tcBorders>
              <w:top w:val="single" w:sz="4" w:space="0" w:color="auto"/>
              <w:left w:val="nil"/>
              <w:bottom w:val="single" w:sz="4" w:space="0" w:color="auto"/>
              <w:right w:val="single" w:sz="4" w:space="0" w:color="auto"/>
            </w:tcBorders>
            <w:shd w:val="clear" w:color="auto" w:fill="auto"/>
            <w:vAlign w:val="bottom"/>
          </w:tcPr>
          <w:p w14:paraId="32925624" w14:textId="77777777" w:rsidR="009D4A93" w:rsidRPr="00536CFD" w:rsidRDefault="009D4A93" w:rsidP="009D4A93">
            <w:pPr>
              <w:pageBreakBefore/>
              <w:spacing w:after="0"/>
              <w:jc w:val="center"/>
              <w:rPr>
                <w:lang w:val="zh-CN"/>
              </w:rPr>
            </w:pPr>
            <w:r w:rsidRPr="00536CFD">
              <w:rPr>
                <w:lang w:val="zh-CN"/>
              </w:rPr>
              <w:t>9.842</w:t>
            </w:r>
          </w:p>
        </w:tc>
        <w:tc>
          <w:tcPr>
            <w:tcW w:w="720" w:type="dxa"/>
            <w:tcBorders>
              <w:top w:val="single" w:sz="4" w:space="0" w:color="auto"/>
              <w:left w:val="nil"/>
              <w:bottom w:val="single" w:sz="4" w:space="0" w:color="auto"/>
              <w:right w:val="single" w:sz="4" w:space="0" w:color="auto"/>
            </w:tcBorders>
            <w:shd w:val="clear" w:color="auto" w:fill="auto"/>
            <w:vAlign w:val="bottom"/>
          </w:tcPr>
          <w:p w14:paraId="32FF7C78" w14:textId="77777777" w:rsidR="009D4A93" w:rsidRPr="00536CFD" w:rsidRDefault="009D4A93" w:rsidP="009D4A93">
            <w:pPr>
              <w:pageBreakBefore/>
              <w:spacing w:after="0"/>
              <w:jc w:val="center"/>
              <w:rPr>
                <w:lang w:val="zh-CN"/>
              </w:rPr>
            </w:pPr>
            <w:r w:rsidRPr="00536CFD">
              <w:rPr>
                <w:lang w:val="zh-CN"/>
              </w:rPr>
              <w:t>22.380</w:t>
            </w:r>
          </w:p>
        </w:tc>
        <w:tc>
          <w:tcPr>
            <w:tcW w:w="724" w:type="dxa"/>
            <w:tcBorders>
              <w:top w:val="single" w:sz="4" w:space="0" w:color="auto"/>
              <w:left w:val="nil"/>
              <w:bottom w:val="single" w:sz="4" w:space="0" w:color="auto"/>
              <w:right w:val="single" w:sz="4" w:space="0" w:color="auto"/>
            </w:tcBorders>
            <w:shd w:val="clear" w:color="auto" w:fill="auto"/>
            <w:vAlign w:val="bottom"/>
          </w:tcPr>
          <w:p w14:paraId="0E56D5D2" w14:textId="77777777" w:rsidR="009D4A93" w:rsidRPr="00536CFD" w:rsidRDefault="009D4A93" w:rsidP="009D4A93">
            <w:pPr>
              <w:pageBreakBefore/>
              <w:spacing w:after="0"/>
              <w:jc w:val="center"/>
              <w:rPr>
                <w:lang w:val="zh-CN"/>
              </w:rPr>
            </w:pPr>
            <w:r w:rsidRPr="00536CFD">
              <w:rPr>
                <w:lang w:val="zh-CN"/>
              </w:rPr>
              <w:t>1.500</w:t>
            </w:r>
          </w:p>
        </w:tc>
        <w:tc>
          <w:tcPr>
            <w:tcW w:w="896" w:type="dxa"/>
            <w:tcBorders>
              <w:top w:val="single" w:sz="4" w:space="0" w:color="auto"/>
              <w:left w:val="nil"/>
              <w:bottom w:val="single" w:sz="4" w:space="0" w:color="auto"/>
              <w:right w:val="single" w:sz="4" w:space="0" w:color="auto"/>
            </w:tcBorders>
            <w:shd w:val="clear" w:color="auto" w:fill="auto"/>
            <w:vAlign w:val="bottom"/>
          </w:tcPr>
          <w:p w14:paraId="3455A50B" w14:textId="77777777" w:rsidR="009D4A93" w:rsidRPr="00536CFD" w:rsidRDefault="009D4A93" w:rsidP="009D4A93">
            <w:pPr>
              <w:pageBreakBefore/>
              <w:spacing w:after="0"/>
              <w:jc w:val="center"/>
              <w:rPr>
                <w:lang w:val="zh-CN"/>
              </w:rPr>
            </w:pPr>
            <w:r w:rsidRPr="00536CFD">
              <w:rPr>
                <w:lang w:val="zh-CN"/>
              </w:rPr>
              <w:t>1.402</w:t>
            </w:r>
          </w:p>
        </w:tc>
        <w:tc>
          <w:tcPr>
            <w:tcW w:w="720" w:type="dxa"/>
            <w:tcBorders>
              <w:top w:val="single" w:sz="4" w:space="0" w:color="auto"/>
              <w:left w:val="nil"/>
              <w:bottom w:val="single" w:sz="4" w:space="0" w:color="auto"/>
              <w:right w:val="single" w:sz="4" w:space="0" w:color="auto"/>
            </w:tcBorders>
            <w:shd w:val="clear" w:color="auto" w:fill="auto"/>
            <w:vAlign w:val="bottom"/>
          </w:tcPr>
          <w:p w14:paraId="54A962F9" w14:textId="77777777" w:rsidR="009D4A93" w:rsidRPr="00536CFD" w:rsidRDefault="009D4A93" w:rsidP="009D4A93">
            <w:pPr>
              <w:pageBreakBefore/>
              <w:spacing w:after="0"/>
              <w:jc w:val="center"/>
              <w:rPr>
                <w:lang w:val="zh-CN"/>
              </w:rPr>
            </w:pPr>
            <w:r w:rsidRPr="00536CFD">
              <w:rPr>
                <w:lang w:val="zh-CN"/>
              </w:rPr>
              <w:t>2.691</w:t>
            </w:r>
          </w:p>
        </w:tc>
        <w:tc>
          <w:tcPr>
            <w:tcW w:w="720" w:type="dxa"/>
            <w:tcBorders>
              <w:top w:val="single" w:sz="4" w:space="0" w:color="auto"/>
              <w:left w:val="nil"/>
              <w:bottom w:val="single" w:sz="4" w:space="0" w:color="auto"/>
              <w:right w:val="single" w:sz="4" w:space="0" w:color="auto"/>
            </w:tcBorders>
            <w:shd w:val="clear" w:color="auto" w:fill="auto"/>
            <w:vAlign w:val="bottom"/>
          </w:tcPr>
          <w:p w14:paraId="0146CB58" w14:textId="77777777" w:rsidR="009D4A93" w:rsidRPr="00536CFD" w:rsidRDefault="009D4A93" w:rsidP="009D4A93">
            <w:pPr>
              <w:pageBreakBefore/>
              <w:spacing w:after="0"/>
              <w:jc w:val="center"/>
              <w:rPr>
                <w:lang w:val="zh-CN"/>
              </w:rPr>
            </w:pPr>
            <w:r w:rsidRPr="00536CFD">
              <w:rPr>
                <w:lang w:val="zh-CN"/>
              </w:rPr>
              <w:t>23.185</w:t>
            </w:r>
          </w:p>
        </w:tc>
      </w:tr>
      <w:tr w:rsidR="009D4A93" w:rsidRPr="00536CFD" w14:paraId="0140F10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3DFAA4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693EFA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45D759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70748ED2" w14:textId="77777777" w:rsidR="009D4A93" w:rsidRPr="00536CFD" w:rsidRDefault="009D4A93" w:rsidP="009D4A93">
            <w:pPr>
              <w:spacing w:after="0"/>
              <w:jc w:val="center"/>
              <w:rPr>
                <w:lang w:val="zh-CN"/>
              </w:rPr>
            </w:pPr>
            <w:r w:rsidRPr="00536CFD">
              <w:rPr>
                <w:lang w:val="zh-CN"/>
              </w:rPr>
              <w:t>77.534</w:t>
            </w:r>
          </w:p>
        </w:tc>
        <w:tc>
          <w:tcPr>
            <w:tcW w:w="720" w:type="dxa"/>
            <w:tcBorders>
              <w:top w:val="single" w:sz="4" w:space="0" w:color="auto"/>
              <w:left w:val="nil"/>
              <w:bottom w:val="single" w:sz="4" w:space="0" w:color="auto"/>
              <w:right w:val="single" w:sz="4" w:space="0" w:color="auto"/>
            </w:tcBorders>
            <w:shd w:val="clear" w:color="auto" w:fill="auto"/>
            <w:vAlign w:val="bottom"/>
          </w:tcPr>
          <w:p w14:paraId="4298093F" w14:textId="77777777" w:rsidR="009D4A93" w:rsidRPr="00536CFD" w:rsidRDefault="009D4A93" w:rsidP="009D4A93">
            <w:pPr>
              <w:spacing w:after="0"/>
              <w:jc w:val="center"/>
              <w:rPr>
                <w:lang w:val="zh-CN"/>
              </w:rPr>
            </w:pPr>
            <w:r w:rsidRPr="00536CFD">
              <w:rPr>
                <w:lang w:val="zh-CN"/>
              </w:rPr>
              <w:t>86.665</w:t>
            </w:r>
          </w:p>
        </w:tc>
        <w:tc>
          <w:tcPr>
            <w:tcW w:w="720" w:type="dxa"/>
            <w:tcBorders>
              <w:top w:val="single" w:sz="4" w:space="0" w:color="auto"/>
              <w:left w:val="nil"/>
              <w:bottom w:val="single" w:sz="4" w:space="0" w:color="auto"/>
              <w:right w:val="single" w:sz="4" w:space="0" w:color="auto"/>
            </w:tcBorders>
            <w:shd w:val="clear" w:color="auto" w:fill="auto"/>
            <w:vAlign w:val="bottom"/>
          </w:tcPr>
          <w:p w14:paraId="5DA79292" w14:textId="77777777" w:rsidR="009D4A93" w:rsidRPr="00536CFD" w:rsidRDefault="009D4A93" w:rsidP="009D4A93">
            <w:pPr>
              <w:spacing w:after="0"/>
              <w:jc w:val="center"/>
              <w:rPr>
                <w:lang w:val="zh-CN"/>
              </w:rPr>
            </w:pPr>
            <w:r w:rsidRPr="00536CFD">
              <w:rPr>
                <w:lang w:val="zh-CN"/>
              </w:rPr>
              <w:t>148.551</w:t>
            </w:r>
          </w:p>
        </w:tc>
        <w:tc>
          <w:tcPr>
            <w:tcW w:w="810" w:type="dxa"/>
            <w:tcBorders>
              <w:top w:val="single" w:sz="4" w:space="0" w:color="auto"/>
              <w:left w:val="nil"/>
              <w:bottom w:val="single" w:sz="4" w:space="0" w:color="auto"/>
              <w:right w:val="single" w:sz="4" w:space="0" w:color="auto"/>
            </w:tcBorders>
            <w:shd w:val="clear" w:color="auto" w:fill="auto"/>
            <w:vAlign w:val="bottom"/>
          </w:tcPr>
          <w:p w14:paraId="00AEDF55" w14:textId="77777777" w:rsidR="009D4A93" w:rsidRPr="00536CFD" w:rsidRDefault="009D4A93" w:rsidP="009D4A93">
            <w:pPr>
              <w:spacing w:after="0"/>
              <w:jc w:val="center"/>
              <w:rPr>
                <w:lang w:val="zh-CN"/>
              </w:rPr>
            </w:pPr>
            <w:r w:rsidRPr="00536CFD">
              <w:rPr>
                <w:lang w:val="zh-CN"/>
              </w:rPr>
              <w:t>171.191</w:t>
            </w:r>
          </w:p>
        </w:tc>
        <w:tc>
          <w:tcPr>
            <w:tcW w:w="810" w:type="dxa"/>
            <w:tcBorders>
              <w:top w:val="single" w:sz="4" w:space="0" w:color="auto"/>
              <w:left w:val="nil"/>
              <w:bottom w:val="single" w:sz="4" w:space="0" w:color="auto"/>
              <w:right w:val="single" w:sz="4" w:space="0" w:color="auto"/>
            </w:tcBorders>
            <w:shd w:val="clear" w:color="auto" w:fill="auto"/>
            <w:vAlign w:val="bottom"/>
          </w:tcPr>
          <w:p w14:paraId="4FBA6FC2" w14:textId="77777777" w:rsidR="009D4A93" w:rsidRPr="00536CFD" w:rsidRDefault="009D4A93" w:rsidP="009D4A93">
            <w:pPr>
              <w:spacing w:after="0"/>
              <w:jc w:val="center"/>
              <w:rPr>
                <w:lang w:val="zh-CN"/>
              </w:rPr>
            </w:pPr>
            <w:r w:rsidRPr="00536CFD">
              <w:rPr>
                <w:lang w:val="zh-CN"/>
              </w:rPr>
              <w:t>32.930</w:t>
            </w:r>
          </w:p>
        </w:tc>
        <w:tc>
          <w:tcPr>
            <w:tcW w:w="820" w:type="dxa"/>
            <w:tcBorders>
              <w:top w:val="single" w:sz="4" w:space="0" w:color="auto"/>
              <w:left w:val="nil"/>
              <w:bottom w:val="single" w:sz="4" w:space="0" w:color="auto"/>
              <w:right w:val="single" w:sz="4" w:space="0" w:color="auto"/>
            </w:tcBorders>
            <w:shd w:val="clear" w:color="auto" w:fill="auto"/>
            <w:vAlign w:val="bottom"/>
          </w:tcPr>
          <w:p w14:paraId="3E5E41F1" w14:textId="77777777" w:rsidR="009D4A93" w:rsidRPr="00536CFD" w:rsidRDefault="009D4A93" w:rsidP="009D4A93">
            <w:pPr>
              <w:spacing w:after="0"/>
              <w:jc w:val="center"/>
              <w:rPr>
                <w:lang w:val="zh-CN"/>
              </w:rPr>
            </w:pPr>
            <w:r w:rsidRPr="00536CFD">
              <w:rPr>
                <w:lang w:val="zh-CN"/>
              </w:rPr>
              <w:t>36.844</w:t>
            </w:r>
          </w:p>
        </w:tc>
        <w:tc>
          <w:tcPr>
            <w:tcW w:w="800" w:type="dxa"/>
            <w:tcBorders>
              <w:top w:val="single" w:sz="4" w:space="0" w:color="auto"/>
              <w:left w:val="nil"/>
              <w:bottom w:val="single" w:sz="4" w:space="0" w:color="auto"/>
              <w:right w:val="single" w:sz="4" w:space="0" w:color="auto"/>
            </w:tcBorders>
            <w:shd w:val="clear" w:color="auto" w:fill="auto"/>
            <w:vAlign w:val="bottom"/>
          </w:tcPr>
          <w:p w14:paraId="41147F09" w14:textId="77777777" w:rsidR="009D4A93" w:rsidRPr="00536CFD" w:rsidRDefault="009D4A93" w:rsidP="009D4A93">
            <w:pPr>
              <w:spacing w:after="0"/>
              <w:jc w:val="center"/>
              <w:rPr>
                <w:lang w:val="zh-CN"/>
              </w:rPr>
            </w:pPr>
            <w:r w:rsidRPr="00536CFD">
              <w:rPr>
                <w:lang w:val="zh-CN"/>
              </w:rPr>
              <w:t>82.630</w:t>
            </w:r>
          </w:p>
        </w:tc>
        <w:tc>
          <w:tcPr>
            <w:tcW w:w="720" w:type="dxa"/>
            <w:tcBorders>
              <w:top w:val="single" w:sz="4" w:space="0" w:color="auto"/>
              <w:left w:val="nil"/>
              <w:bottom w:val="single" w:sz="4" w:space="0" w:color="auto"/>
              <w:right w:val="single" w:sz="4" w:space="0" w:color="auto"/>
            </w:tcBorders>
            <w:shd w:val="clear" w:color="auto" w:fill="auto"/>
            <w:vAlign w:val="bottom"/>
          </w:tcPr>
          <w:p w14:paraId="4A5A56DC" w14:textId="77777777" w:rsidR="009D4A93" w:rsidRPr="00536CFD" w:rsidRDefault="009D4A93" w:rsidP="009D4A93">
            <w:pPr>
              <w:spacing w:after="0"/>
              <w:jc w:val="center"/>
              <w:rPr>
                <w:lang w:val="zh-CN"/>
              </w:rPr>
            </w:pPr>
            <w:r w:rsidRPr="00536CFD">
              <w:rPr>
                <w:lang w:val="zh-CN"/>
              </w:rPr>
              <w:t>146.557</w:t>
            </w:r>
          </w:p>
        </w:tc>
        <w:tc>
          <w:tcPr>
            <w:tcW w:w="724" w:type="dxa"/>
            <w:tcBorders>
              <w:top w:val="single" w:sz="4" w:space="0" w:color="auto"/>
              <w:left w:val="nil"/>
              <w:bottom w:val="single" w:sz="4" w:space="0" w:color="auto"/>
              <w:right w:val="single" w:sz="4" w:space="0" w:color="auto"/>
            </w:tcBorders>
            <w:shd w:val="clear" w:color="auto" w:fill="auto"/>
            <w:vAlign w:val="bottom"/>
          </w:tcPr>
          <w:p w14:paraId="06C3008E" w14:textId="77777777" w:rsidR="009D4A93" w:rsidRPr="00536CFD" w:rsidRDefault="009D4A93" w:rsidP="009D4A93">
            <w:pPr>
              <w:spacing w:after="0"/>
              <w:jc w:val="center"/>
              <w:rPr>
                <w:lang w:val="zh-CN"/>
              </w:rPr>
            </w:pPr>
            <w:r w:rsidRPr="00536CFD">
              <w:rPr>
                <w:lang w:val="zh-CN"/>
              </w:rPr>
              <w:t>13.770</w:t>
            </w:r>
          </w:p>
        </w:tc>
        <w:tc>
          <w:tcPr>
            <w:tcW w:w="896" w:type="dxa"/>
            <w:tcBorders>
              <w:top w:val="single" w:sz="4" w:space="0" w:color="auto"/>
              <w:left w:val="nil"/>
              <w:bottom w:val="single" w:sz="4" w:space="0" w:color="auto"/>
              <w:right w:val="single" w:sz="4" w:space="0" w:color="auto"/>
            </w:tcBorders>
            <w:shd w:val="clear" w:color="auto" w:fill="auto"/>
            <w:vAlign w:val="bottom"/>
          </w:tcPr>
          <w:p w14:paraId="01F8F7C5" w14:textId="77777777" w:rsidR="009D4A93" w:rsidRPr="00536CFD" w:rsidRDefault="009D4A93" w:rsidP="009D4A93">
            <w:pPr>
              <w:spacing w:after="0"/>
              <w:jc w:val="center"/>
              <w:rPr>
                <w:lang w:val="zh-CN"/>
              </w:rPr>
            </w:pPr>
            <w:r w:rsidRPr="00536CFD">
              <w:rPr>
                <w:lang w:val="zh-CN"/>
              </w:rPr>
              <w:t>19.858</w:t>
            </w:r>
          </w:p>
        </w:tc>
        <w:tc>
          <w:tcPr>
            <w:tcW w:w="720" w:type="dxa"/>
            <w:tcBorders>
              <w:top w:val="single" w:sz="4" w:space="0" w:color="auto"/>
              <w:left w:val="nil"/>
              <w:bottom w:val="single" w:sz="4" w:space="0" w:color="auto"/>
              <w:right w:val="single" w:sz="4" w:space="0" w:color="auto"/>
            </w:tcBorders>
            <w:shd w:val="clear" w:color="auto" w:fill="auto"/>
            <w:vAlign w:val="bottom"/>
          </w:tcPr>
          <w:p w14:paraId="4745EC2D" w14:textId="77777777" w:rsidR="009D4A93" w:rsidRPr="00536CFD" w:rsidRDefault="009D4A93" w:rsidP="009D4A93">
            <w:pPr>
              <w:spacing w:after="0"/>
              <w:jc w:val="center"/>
              <w:rPr>
                <w:lang w:val="zh-CN"/>
              </w:rPr>
            </w:pPr>
            <w:r w:rsidRPr="00536CFD">
              <w:rPr>
                <w:lang w:val="zh-CN"/>
              </w:rPr>
              <w:t>53.544</w:t>
            </w:r>
          </w:p>
        </w:tc>
        <w:tc>
          <w:tcPr>
            <w:tcW w:w="720" w:type="dxa"/>
            <w:tcBorders>
              <w:top w:val="single" w:sz="4" w:space="0" w:color="auto"/>
              <w:left w:val="nil"/>
              <w:bottom w:val="single" w:sz="4" w:space="0" w:color="auto"/>
              <w:right w:val="single" w:sz="4" w:space="0" w:color="auto"/>
            </w:tcBorders>
            <w:shd w:val="clear" w:color="auto" w:fill="auto"/>
            <w:vAlign w:val="bottom"/>
          </w:tcPr>
          <w:p w14:paraId="6082493F" w14:textId="77777777" w:rsidR="009D4A93" w:rsidRPr="00536CFD" w:rsidRDefault="009D4A93" w:rsidP="009D4A93">
            <w:pPr>
              <w:spacing w:after="0"/>
              <w:jc w:val="center"/>
              <w:rPr>
                <w:lang w:val="zh-CN"/>
              </w:rPr>
            </w:pPr>
            <w:r w:rsidRPr="00536CFD">
              <w:rPr>
                <w:lang w:val="zh-CN"/>
              </w:rPr>
              <w:t>122.645</w:t>
            </w:r>
          </w:p>
        </w:tc>
      </w:tr>
      <w:tr w:rsidR="009D4A93" w:rsidRPr="00536CFD" w14:paraId="2A53787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36A2AD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AF99F5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563BFC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7EC07F87" w14:textId="77777777" w:rsidR="009D4A93" w:rsidRPr="00536CFD" w:rsidRDefault="009D4A93" w:rsidP="009D4A93">
            <w:pPr>
              <w:spacing w:after="0"/>
              <w:jc w:val="center"/>
              <w:rPr>
                <w:lang w:val="zh-CN"/>
              </w:rPr>
            </w:pPr>
            <w:r w:rsidRPr="00536CFD">
              <w:rPr>
                <w:lang w:val="zh-CN"/>
              </w:rPr>
              <w:t>128.170</w:t>
            </w:r>
          </w:p>
        </w:tc>
        <w:tc>
          <w:tcPr>
            <w:tcW w:w="720" w:type="dxa"/>
            <w:tcBorders>
              <w:top w:val="single" w:sz="4" w:space="0" w:color="auto"/>
              <w:left w:val="nil"/>
              <w:bottom w:val="single" w:sz="4" w:space="0" w:color="auto"/>
              <w:right w:val="single" w:sz="4" w:space="0" w:color="auto"/>
            </w:tcBorders>
            <w:shd w:val="clear" w:color="auto" w:fill="auto"/>
            <w:vAlign w:val="bottom"/>
          </w:tcPr>
          <w:p w14:paraId="39E964E1" w14:textId="77777777" w:rsidR="009D4A93" w:rsidRPr="00536CFD" w:rsidRDefault="009D4A93" w:rsidP="009D4A93">
            <w:pPr>
              <w:spacing w:after="0"/>
              <w:jc w:val="center"/>
              <w:rPr>
                <w:lang w:val="zh-CN"/>
              </w:rPr>
            </w:pPr>
            <w:r w:rsidRPr="00536CFD">
              <w:rPr>
                <w:lang w:val="zh-CN"/>
              </w:rPr>
              <w:t>133.654</w:t>
            </w:r>
          </w:p>
        </w:tc>
        <w:tc>
          <w:tcPr>
            <w:tcW w:w="720" w:type="dxa"/>
            <w:tcBorders>
              <w:top w:val="single" w:sz="4" w:space="0" w:color="auto"/>
              <w:left w:val="nil"/>
              <w:bottom w:val="single" w:sz="4" w:space="0" w:color="auto"/>
              <w:right w:val="single" w:sz="4" w:space="0" w:color="auto"/>
            </w:tcBorders>
            <w:shd w:val="clear" w:color="auto" w:fill="auto"/>
            <w:vAlign w:val="bottom"/>
          </w:tcPr>
          <w:p w14:paraId="49CFCD27" w14:textId="77777777" w:rsidR="009D4A93" w:rsidRPr="00536CFD" w:rsidRDefault="009D4A93" w:rsidP="009D4A93">
            <w:pPr>
              <w:spacing w:after="0"/>
              <w:jc w:val="center"/>
              <w:rPr>
                <w:lang w:val="zh-CN"/>
              </w:rPr>
            </w:pPr>
            <w:r w:rsidRPr="00536CFD">
              <w:rPr>
                <w:lang w:val="zh-CN"/>
              </w:rPr>
              <w:t>198.427</w:t>
            </w:r>
          </w:p>
        </w:tc>
        <w:tc>
          <w:tcPr>
            <w:tcW w:w="810" w:type="dxa"/>
            <w:tcBorders>
              <w:top w:val="single" w:sz="4" w:space="0" w:color="auto"/>
              <w:left w:val="nil"/>
              <w:bottom w:val="single" w:sz="4" w:space="0" w:color="auto"/>
              <w:right w:val="single" w:sz="4" w:space="0" w:color="auto"/>
            </w:tcBorders>
            <w:shd w:val="clear" w:color="auto" w:fill="auto"/>
            <w:vAlign w:val="bottom"/>
          </w:tcPr>
          <w:p w14:paraId="43FE1A99" w14:textId="77777777" w:rsidR="009D4A93" w:rsidRPr="00536CFD" w:rsidRDefault="009D4A93" w:rsidP="009D4A93">
            <w:pPr>
              <w:spacing w:after="0"/>
              <w:jc w:val="center"/>
              <w:rPr>
                <w:lang w:val="zh-CN"/>
              </w:rPr>
            </w:pPr>
            <w:r w:rsidRPr="00536CFD">
              <w:rPr>
                <w:lang w:val="zh-CN"/>
              </w:rPr>
              <w:t>198.431</w:t>
            </w:r>
          </w:p>
        </w:tc>
        <w:tc>
          <w:tcPr>
            <w:tcW w:w="810" w:type="dxa"/>
            <w:tcBorders>
              <w:top w:val="single" w:sz="4" w:space="0" w:color="auto"/>
              <w:left w:val="nil"/>
              <w:bottom w:val="single" w:sz="4" w:space="0" w:color="auto"/>
              <w:right w:val="single" w:sz="4" w:space="0" w:color="auto"/>
            </w:tcBorders>
            <w:shd w:val="clear" w:color="auto" w:fill="auto"/>
            <w:vAlign w:val="bottom"/>
          </w:tcPr>
          <w:p w14:paraId="064F39BA" w14:textId="77777777" w:rsidR="009D4A93" w:rsidRPr="00536CFD" w:rsidRDefault="009D4A93" w:rsidP="009D4A93">
            <w:pPr>
              <w:spacing w:after="0"/>
              <w:jc w:val="center"/>
              <w:rPr>
                <w:lang w:val="zh-CN"/>
              </w:rPr>
            </w:pPr>
            <w:r w:rsidRPr="00536CFD">
              <w:rPr>
                <w:lang w:val="zh-CN"/>
              </w:rPr>
              <w:t>110.541</w:t>
            </w:r>
          </w:p>
        </w:tc>
        <w:tc>
          <w:tcPr>
            <w:tcW w:w="820" w:type="dxa"/>
            <w:tcBorders>
              <w:top w:val="single" w:sz="4" w:space="0" w:color="auto"/>
              <w:left w:val="nil"/>
              <w:bottom w:val="single" w:sz="4" w:space="0" w:color="auto"/>
              <w:right w:val="single" w:sz="4" w:space="0" w:color="auto"/>
            </w:tcBorders>
            <w:shd w:val="clear" w:color="auto" w:fill="auto"/>
            <w:vAlign w:val="bottom"/>
          </w:tcPr>
          <w:p w14:paraId="28663564" w14:textId="77777777" w:rsidR="009D4A93" w:rsidRPr="00536CFD" w:rsidRDefault="009D4A93" w:rsidP="009D4A93">
            <w:pPr>
              <w:spacing w:after="0"/>
              <w:jc w:val="center"/>
              <w:rPr>
                <w:lang w:val="zh-CN"/>
              </w:rPr>
            </w:pPr>
            <w:r w:rsidRPr="00536CFD">
              <w:rPr>
                <w:lang w:val="zh-CN"/>
              </w:rPr>
              <w:t>113.586</w:t>
            </w:r>
          </w:p>
        </w:tc>
        <w:tc>
          <w:tcPr>
            <w:tcW w:w="800" w:type="dxa"/>
            <w:tcBorders>
              <w:top w:val="single" w:sz="4" w:space="0" w:color="auto"/>
              <w:left w:val="nil"/>
              <w:bottom w:val="single" w:sz="4" w:space="0" w:color="auto"/>
              <w:right w:val="single" w:sz="4" w:space="0" w:color="auto"/>
            </w:tcBorders>
            <w:shd w:val="clear" w:color="auto" w:fill="auto"/>
            <w:vAlign w:val="bottom"/>
          </w:tcPr>
          <w:p w14:paraId="741B063B" w14:textId="77777777" w:rsidR="009D4A93" w:rsidRPr="00536CFD" w:rsidRDefault="009D4A93" w:rsidP="009D4A93">
            <w:pPr>
              <w:spacing w:after="0"/>
              <w:jc w:val="center"/>
              <w:rPr>
                <w:lang w:val="zh-CN"/>
              </w:rPr>
            </w:pPr>
            <w:r w:rsidRPr="00536CFD">
              <w:rPr>
                <w:lang w:val="zh-CN"/>
              </w:rPr>
              <w:t>197.805</w:t>
            </w:r>
          </w:p>
        </w:tc>
        <w:tc>
          <w:tcPr>
            <w:tcW w:w="720" w:type="dxa"/>
            <w:tcBorders>
              <w:top w:val="single" w:sz="4" w:space="0" w:color="auto"/>
              <w:left w:val="nil"/>
              <w:bottom w:val="single" w:sz="4" w:space="0" w:color="auto"/>
              <w:right w:val="single" w:sz="4" w:space="0" w:color="auto"/>
            </w:tcBorders>
            <w:shd w:val="clear" w:color="auto" w:fill="auto"/>
            <w:vAlign w:val="bottom"/>
          </w:tcPr>
          <w:p w14:paraId="4BCAFB85" w14:textId="77777777" w:rsidR="009D4A93" w:rsidRPr="00536CFD" w:rsidRDefault="009D4A93" w:rsidP="009D4A93">
            <w:pPr>
              <w:spacing w:after="0"/>
              <w:jc w:val="center"/>
              <w:rPr>
                <w:lang w:val="zh-CN"/>
              </w:rPr>
            </w:pPr>
            <w:r w:rsidRPr="00536CFD">
              <w:rPr>
                <w:lang w:val="zh-CN"/>
              </w:rPr>
              <w:t>198.370</w:t>
            </w:r>
          </w:p>
        </w:tc>
        <w:tc>
          <w:tcPr>
            <w:tcW w:w="724" w:type="dxa"/>
            <w:tcBorders>
              <w:top w:val="single" w:sz="4" w:space="0" w:color="auto"/>
              <w:left w:val="nil"/>
              <w:bottom w:val="single" w:sz="4" w:space="0" w:color="auto"/>
              <w:right w:val="single" w:sz="4" w:space="0" w:color="auto"/>
            </w:tcBorders>
            <w:shd w:val="clear" w:color="auto" w:fill="auto"/>
            <w:vAlign w:val="bottom"/>
          </w:tcPr>
          <w:p w14:paraId="45200158" w14:textId="77777777" w:rsidR="009D4A93" w:rsidRPr="00536CFD" w:rsidRDefault="009D4A93" w:rsidP="009D4A93">
            <w:pPr>
              <w:spacing w:after="0"/>
              <w:jc w:val="center"/>
              <w:rPr>
                <w:lang w:val="zh-CN"/>
              </w:rPr>
            </w:pPr>
            <w:r w:rsidRPr="00536CFD">
              <w:rPr>
                <w:lang w:val="zh-CN"/>
              </w:rPr>
              <w:t>73.161</w:t>
            </w:r>
          </w:p>
        </w:tc>
        <w:tc>
          <w:tcPr>
            <w:tcW w:w="896" w:type="dxa"/>
            <w:tcBorders>
              <w:top w:val="single" w:sz="4" w:space="0" w:color="auto"/>
              <w:left w:val="nil"/>
              <w:bottom w:val="single" w:sz="4" w:space="0" w:color="auto"/>
              <w:right w:val="single" w:sz="4" w:space="0" w:color="auto"/>
            </w:tcBorders>
            <w:shd w:val="clear" w:color="auto" w:fill="auto"/>
            <w:vAlign w:val="bottom"/>
          </w:tcPr>
          <w:p w14:paraId="77E0799D" w14:textId="77777777" w:rsidR="009D4A93" w:rsidRPr="00536CFD" w:rsidRDefault="009D4A93" w:rsidP="009D4A93">
            <w:pPr>
              <w:spacing w:after="0"/>
              <w:jc w:val="center"/>
              <w:rPr>
                <w:lang w:val="zh-CN"/>
              </w:rPr>
            </w:pPr>
            <w:r w:rsidRPr="00536CFD">
              <w:rPr>
                <w:lang w:val="zh-CN"/>
              </w:rPr>
              <w:t>97.293</w:t>
            </w:r>
          </w:p>
        </w:tc>
        <w:tc>
          <w:tcPr>
            <w:tcW w:w="720" w:type="dxa"/>
            <w:tcBorders>
              <w:top w:val="single" w:sz="4" w:space="0" w:color="auto"/>
              <w:left w:val="nil"/>
              <w:bottom w:val="single" w:sz="4" w:space="0" w:color="auto"/>
              <w:right w:val="single" w:sz="4" w:space="0" w:color="auto"/>
            </w:tcBorders>
            <w:shd w:val="clear" w:color="auto" w:fill="auto"/>
            <w:vAlign w:val="bottom"/>
          </w:tcPr>
          <w:p w14:paraId="79A66468" w14:textId="77777777" w:rsidR="009D4A93" w:rsidRPr="00536CFD" w:rsidRDefault="009D4A93" w:rsidP="009D4A93">
            <w:pPr>
              <w:spacing w:after="0"/>
              <w:jc w:val="center"/>
              <w:rPr>
                <w:lang w:val="zh-CN"/>
              </w:rPr>
            </w:pPr>
            <w:r w:rsidRPr="00536CFD">
              <w:rPr>
                <w:lang w:val="zh-CN"/>
              </w:rPr>
              <w:t>194.578</w:t>
            </w:r>
          </w:p>
        </w:tc>
        <w:tc>
          <w:tcPr>
            <w:tcW w:w="720" w:type="dxa"/>
            <w:tcBorders>
              <w:top w:val="single" w:sz="4" w:space="0" w:color="auto"/>
              <w:left w:val="nil"/>
              <w:bottom w:val="single" w:sz="4" w:space="0" w:color="auto"/>
              <w:right w:val="single" w:sz="4" w:space="0" w:color="auto"/>
            </w:tcBorders>
            <w:shd w:val="clear" w:color="auto" w:fill="auto"/>
            <w:vAlign w:val="bottom"/>
          </w:tcPr>
          <w:p w14:paraId="7F66EB07" w14:textId="77777777" w:rsidR="009D4A93" w:rsidRPr="00536CFD" w:rsidRDefault="009D4A93" w:rsidP="009D4A93">
            <w:pPr>
              <w:spacing w:after="0"/>
              <w:jc w:val="center"/>
              <w:rPr>
                <w:lang w:val="zh-CN"/>
              </w:rPr>
            </w:pPr>
            <w:r w:rsidRPr="00536CFD">
              <w:rPr>
                <w:lang w:val="zh-CN"/>
              </w:rPr>
              <w:t>197.587</w:t>
            </w:r>
          </w:p>
        </w:tc>
      </w:tr>
      <w:tr w:rsidR="009D4A93" w:rsidRPr="00536CFD" w14:paraId="4C52ED5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F41FA2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1265A2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75C3AB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68447390" w14:textId="77777777" w:rsidR="009D4A93" w:rsidRPr="00536CFD" w:rsidRDefault="009D4A93" w:rsidP="009D4A93">
            <w:pPr>
              <w:spacing w:after="0"/>
              <w:jc w:val="center"/>
              <w:rPr>
                <w:lang w:val="zh-CN"/>
              </w:rPr>
            </w:pPr>
            <w:r w:rsidRPr="00536CFD">
              <w:rPr>
                <w:lang w:val="zh-CN"/>
              </w:rPr>
              <w:t>76.170</w:t>
            </w:r>
          </w:p>
        </w:tc>
        <w:tc>
          <w:tcPr>
            <w:tcW w:w="720" w:type="dxa"/>
            <w:tcBorders>
              <w:top w:val="single" w:sz="4" w:space="0" w:color="auto"/>
              <w:left w:val="nil"/>
              <w:bottom w:val="single" w:sz="4" w:space="0" w:color="auto"/>
              <w:right w:val="single" w:sz="4" w:space="0" w:color="auto"/>
            </w:tcBorders>
            <w:shd w:val="clear" w:color="auto" w:fill="auto"/>
            <w:vAlign w:val="bottom"/>
          </w:tcPr>
          <w:p w14:paraId="251249C2" w14:textId="77777777" w:rsidR="009D4A93" w:rsidRPr="00536CFD" w:rsidRDefault="009D4A93" w:rsidP="009D4A93">
            <w:pPr>
              <w:spacing w:after="0"/>
              <w:jc w:val="center"/>
              <w:rPr>
                <w:lang w:val="zh-CN"/>
              </w:rPr>
            </w:pPr>
            <w:r w:rsidRPr="00536CFD">
              <w:rPr>
                <w:lang w:val="zh-CN"/>
              </w:rPr>
              <w:t>80.257</w:t>
            </w:r>
          </w:p>
        </w:tc>
        <w:tc>
          <w:tcPr>
            <w:tcW w:w="720" w:type="dxa"/>
            <w:tcBorders>
              <w:top w:val="single" w:sz="4" w:space="0" w:color="auto"/>
              <w:left w:val="nil"/>
              <w:bottom w:val="single" w:sz="4" w:space="0" w:color="auto"/>
              <w:right w:val="single" w:sz="4" w:space="0" w:color="auto"/>
            </w:tcBorders>
            <w:shd w:val="clear" w:color="auto" w:fill="auto"/>
          </w:tcPr>
          <w:p w14:paraId="49A46746" w14:textId="77777777" w:rsidR="009D4A93" w:rsidRPr="00536CFD" w:rsidRDefault="009D4A93" w:rsidP="009D4A93">
            <w:pPr>
              <w:spacing w:after="0"/>
              <w:jc w:val="center"/>
              <w:rPr>
                <w:lang w:val="zh-CN"/>
              </w:rPr>
            </w:pPr>
            <w:r w:rsidRPr="00536CFD">
              <w:rPr>
                <w:lang w:val="zh-CN"/>
              </w:rPr>
              <w:t>140.165</w:t>
            </w:r>
          </w:p>
        </w:tc>
        <w:tc>
          <w:tcPr>
            <w:tcW w:w="810" w:type="dxa"/>
            <w:tcBorders>
              <w:top w:val="single" w:sz="4" w:space="0" w:color="auto"/>
              <w:left w:val="nil"/>
              <w:bottom w:val="single" w:sz="4" w:space="0" w:color="auto"/>
              <w:right w:val="single" w:sz="4" w:space="0" w:color="auto"/>
            </w:tcBorders>
            <w:shd w:val="clear" w:color="auto" w:fill="auto"/>
            <w:vAlign w:val="bottom"/>
          </w:tcPr>
          <w:p w14:paraId="431AD36D" w14:textId="77777777" w:rsidR="009D4A93" w:rsidRPr="00536CFD" w:rsidRDefault="009D4A93" w:rsidP="009D4A93">
            <w:pPr>
              <w:spacing w:after="0"/>
              <w:jc w:val="center"/>
              <w:rPr>
                <w:lang w:val="zh-CN"/>
              </w:rPr>
            </w:pPr>
            <w:r w:rsidRPr="00536CFD">
              <w:rPr>
                <w:lang w:val="zh-CN"/>
              </w:rPr>
              <w:t>155.393</w:t>
            </w:r>
          </w:p>
        </w:tc>
        <w:tc>
          <w:tcPr>
            <w:tcW w:w="810" w:type="dxa"/>
            <w:tcBorders>
              <w:top w:val="single" w:sz="4" w:space="0" w:color="auto"/>
              <w:left w:val="nil"/>
              <w:bottom w:val="single" w:sz="4" w:space="0" w:color="auto"/>
              <w:right w:val="single" w:sz="4" w:space="0" w:color="auto"/>
            </w:tcBorders>
            <w:shd w:val="clear" w:color="auto" w:fill="auto"/>
            <w:vAlign w:val="bottom"/>
          </w:tcPr>
          <w:p w14:paraId="772DE51F" w14:textId="77777777" w:rsidR="009D4A93" w:rsidRPr="00536CFD" w:rsidRDefault="009D4A93" w:rsidP="009D4A93">
            <w:pPr>
              <w:spacing w:after="0"/>
              <w:jc w:val="center"/>
              <w:rPr>
                <w:lang w:val="zh-CN"/>
              </w:rPr>
            </w:pPr>
            <w:r w:rsidRPr="00536CFD">
              <w:rPr>
                <w:lang w:val="zh-CN"/>
              </w:rPr>
              <w:t>42.386</w:t>
            </w:r>
          </w:p>
        </w:tc>
        <w:tc>
          <w:tcPr>
            <w:tcW w:w="820" w:type="dxa"/>
            <w:tcBorders>
              <w:top w:val="single" w:sz="4" w:space="0" w:color="auto"/>
              <w:left w:val="nil"/>
              <w:bottom w:val="single" w:sz="4" w:space="0" w:color="auto"/>
              <w:right w:val="single" w:sz="4" w:space="0" w:color="auto"/>
            </w:tcBorders>
            <w:shd w:val="clear" w:color="auto" w:fill="auto"/>
            <w:vAlign w:val="bottom"/>
          </w:tcPr>
          <w:p w14:paraId="36BBBF03" w14:textId="77777777" w:rsidR="009D4A93" w:rsidRPr="00536CFD" w:rsidRDefault="009D4A93" w:rsidP="009D4A93">
            <w:pPr>
              <w:spacing w:after="0"/>
              <w:jc w:val="center"/>
              <w:rPr>
                <w:lang w:val="zh-CN"/>
              </w:rPr>
            </w:pPr>
            <w:r w:rsidRPr="00536CFD">
              <w:rPr>
                <w:lang w:val="zh-CN"/>
              </w:rPr>
              <w:t>47.433</w:t>
            </w:r>
          </w:p>
        </w:tc>
        <w:tc>
          <w:tcPr>
            <w:tcW w:w="800" w:type="dxa"/>
            <w:tcBorders>
              <w:top w:val="single" w:sz="4" w:space="0" w:color="auto"/>
              <w:left w:val="nil"/>
              <w:bottom w:val="single" w:sz="4" w:space="0" w:color="auto"/>
              <w:right w:val="single" w:sz="4" w:space="0" w:color="auto"/>
            </w:tcBorders>
            <w:shd w:val="clear" w:color="auto" w:fill="auto"/>
            <w:vAlign w:val="bottom"/>
          </w:tcPr>
          <w:p w14:paraId="5B9BAD88" w14:textId="77777777" w:rsidR="009D4A93" w:rsidRPr="00536CFD" w:rsidRDefault="009D4A93" w:rsidP="009D4A93">
            <w:pPr>
              <w:spacing w:after="0"/>
              <w:jc w:val="center"/>
              <w:rPr>
                <w:lang w:val="zh-CN"/>
              </w:rPr>
            </w:pPr>
            <w:r w:rsidRPr="00536CFD">
              <w:rPr>
                <w:lang w:val="zh-CN"/>
              </w:rPr>
              <w:t>94.770</w:t>
            </w:r>
          </w:p>
        </w:tc>
        <w:tc>
          <w:tcPr>
            <w:tcW w:w="720" w:type="dxa"/>
            <w:tcBorders>
              <w:top w:val="single" w:sz="4" w:space="0" w:color="auto"/>
              <w:left w:val="nil"/>
              <w:bottom w:val="single" w:sz="4" w:space="0" w:color="auto"/>
              <w:right w:val="single" w:sz="4" w:space="0" w:color="auto"/>
            </w:tcBorders>
            <w:shd w:val="clear" w:color="auto" w:fill="auto"/>
            <w:vAlign w:val="bottom"/>
          </w:tcPr>
          <w:p w14:paraId="7E5D1345" w14:textId="77777777" w:rsidR="009D4A93" w:rsidRPr="00536CFD" w:rsidRDefault="009D4A93" w:rsidP="009D4A93">
            <w:pPr>
              <w:spacing w:after="0"/>
              <w:jc w:val="center"/>
              <w:rPr>
                <w:lang w:val="zh-CN"/>
              </w:rPr>
            </w:pPr>
            <w:r w:rsidRPr="00536CFD">
              <w:rPr>
                <w:lang w:val="zh-CN"/>
              </w:rPr>
              <w:t>131.612</w:t>
            </w:r>
          </w:p>
        </w:tc>
        <w:tc>
          <w:tcPr>
            <w:tcW w:w="724" w:type="dxa"/>
            <w:tcBorders>
              <w:top w:val="single" w:sz="4" w:space="0" w:color="auto"/>
              <w:left w:val="nil"/>
              <w:bottom w:val="single" w:sz="4" w:space="0" w:color="auto"/>
              <w:right w:val="single" w:sz="4" w:space="0" w:color="auto"/>
            </w:tcBorders>
            <w:shd w:val="clear" w:color="auto" w:fill="auto"/>
            <w:vAlign w:val="bottom"/>
          </w:tcPr>
          <w:p w14:paraId="53B9283D" w14:textId="77777777" w:rsidR="009D4A93" w:rsidRPr="00536CFD" w:rsidRDefault="009D4A93" w:rsidP="009D4A93">
            <w:pPr>
              <w:spacing w:after="0"/>
              <w:jc w:val="center"/>
              <w:rPr>
                <w:lang w:val="zh-CN"/>
              </w:rPr>
            </w:pPr>
            <w:r w:rsidRPr="00536CFD">
              <w:rPr>
                <w:lang w:val="zh-CN"/>
              </w:rPr>
              <w:t>21.862</w:t>
            </w:r>
          </w:p>
        </w:tc>
        <w:tc>
          <w:tcPr>
            <w:tcW w:w="896" w:type="dxa"/>
            <w:tcBorders>
              <w:top w:val="single" w:sz="4" w:space="0" w:color="auto"/>
              <w:left w:val="nil"/>
              <w:bottom w:val="single" w:sz="4" w:space="0" w:color="auto"/>
              <w:right w:val="single" w:sz="4" w:space="0" w:color="auto"/>
            </w:tcBorders>
            <w:shd w:val="clear" w:color="auto" w:fill="auto"/>
            <w:vAlign w:val="bottom"/>
          </w:tcPr>
          <w:p w14:paraId="014994D7" w14:textId="77777777" w:rsidR="009D4A93" w:rsidRPr="00536CFD" w:rsidRDefault="009D4A93" w:rsidP="009D4A93">
            <w:pPr>
              <w:spacing w:after="0"/>
              <w:jc w:val="center"/>
              <w:rPr>
                <w:lang w:val="zh-CN"/>
              </w:rPr>
            </w:pPr>
            <w:r w:rsidRPr="00536CFD">
              <w:rPr>
                <w:lang w:val="zh-CN"/>
              </w:rPr>
              <w:t>31.864</w:t>
            </w:r>
          </w:p>
        </w:tc>
        <w:tc>
          <w:tcPr>
            <w:tcW w:w="720" w:type="dxa"/>
            <w:tcBorders>
              <w:top w:val="single" w:sz="4" w:space="0" w:color="auto"/>
              <w:left w:val="nil"/>
              <w:bottom w:val="single" w:sz="4" w:space="0" w:color="auto"/>
              <w:right w:val="single" w:sz="4" w:space="0" w:color="auto"/>
            </w:tcBorders>
            <w:shd w:val="clear" w:color="auto" w:fill="auto"/>
            <w:vAlign w:val="bottom"/>
          </w:tcPr>
          <w:p w14:paraId="7EDFA610" w14:textId="77777777" w:rsidR="009D4A93" w:rsidRPr="00536CFD" w:rsidRDefault="009D4A93" w:rsidP="009D4A93">
            <w:pPr>
              <w:spacing w:after="0"/>
              <w:jc w:val="center"/>
              <w:rPr>
                <w:lang w:val="zh-CN"/>
              </w:rPr>
            </w:pPr>
            <w:r w:rsidRPr="00536CFD">
              <w:rPr>
                <w:lang w:val="zh-CN"/>
              </w:rPr>
              <w:t>75.520</w:t>
            </w:r>
          </w:p>
        </w:tc>
        <w:tc>
          <w:tcPr>
            <w:tcW w:w="720" w:type="dxa"/>
            <w:tcBorders>
              <w:top w:val="single" w:sz="4" w:space="0" w:color="auto"/>
              <w:left w:val="nil"/>
              <w:bottom w:val="single" w:sz="4" w:space="0" w:color="auto"/>
              <w:right w:val="single" w:sz="4" w:space="0" w:color="auto"/>
            </w:tcBorders>
            <w:shd w:val="clear" w:color="auto" w:fill="auto"/>
            <w:vAlign w:val="bottom"/>
          </w:tcPr>
          <w:p w14:paraId="64F2A939" w14:textId="77777777" w:rsidR="009D4A93" w:rsidRPr="00536CFD" w:rsidRDefault="009D4A93" w:rsidP="009D4A93">
            <w:pPr>
              <w:spacing w:after="0"/>
              <w:jc w:val="center"/>
              <w:rPr>
                <w:lang w:val="zh-CN"/>
              </w:rPr>
            </w:pPr>
            <w:r w:rsidRPr="00536CFD">
              <w:rPr>
                <w:lang w:val="zh-CN"/>
              </w:rPr>
              <w:t>120.925</w:t>
            </w:r>
          </w:p>
        </w:tc>
      </w:tr>
      <w:tr w:rsidR="009D4A93" w:rsidRPr="00536CFD" w14:paraId="4474C08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468D3B7"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48EDF8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58224C4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36D45060" w14:textId="77777777" w:rsidR="009D4A93" w:rsidRPr="00536CFD" w:rsidRDefault="009D4A93" w:rsidP="009D4A93">
            <w:pPr>
              <w:spacing w:after="0"/>
              <w:jc w:val="center"/>
              <w:rPr>
                <w:lang w:val="zh-CN"/>
              </w:rPr>
            </w:pPr>
            <w:r w:rsidRPr="00536CFD">
              <w:rPr>
                <w:lang w:val="zh-CN"/>
              </w:rPr>
              <w:t>0.032</w:t>
            </w:r>
          </w:p>
        </w:tc>
        <w:tc>
          <w:tcPr>
            <w:tcW w:w="720" w:type="dxa"/>
            <w:tcBorders>
              <w:top w:val="single" w:sz="4" w:space="0" w:color="auto"/>
              <w:left w:val="nil"/>
              <w:bottom w:val="single" w:sz="4" w:space="0" w:color="auto"/>
              <w:right w:val="single" w:sz="4" w:space="0" w:color="auto"/>
            </w:tcBorders>
            <w:shd w:val="clear" w:color="auto" w:fill="auto"/>
          </w:tcPr>
          <w:p w14:paraId="0A1C48E5" w14:textId="77777777" w:rsidR="009D4A93" w:rsidRPr="00536CFD" w:rsidRDefault="009D4A93" w:rsidP="009D4A93">
            <w:pPr>
              <w:spacing w:after="0"/>
              <w:jc w:val="center"/>
              <w:rPr>
                <w:lang w:val="zh-CN"/>
              </w:rPr>
            </w:pPr>
            <w:r w:rsidRPr="00536CFD">
              <w:rPr>
                <w:lang w:val="zh-CN"/>
              </w:rPr>
              <w:t>0.031</w:t>
            </w:r>
          </w:p>
        </w:tc>
        <w:tc>
          <w:tcPr>
            <w:tcW w:w="720" w:type="dxa"/>
            <w:tcBorders>
              <w:top w:val="single" w:sz="4" w:space="0" w:color="auto"/>
              <w:left w:val="nil"/>
              <w:bottom w:val="single" w:sz="4" w:space="0" w:color="auto"/>
              <w:right w:val="single" w:sz="4" w:space="0" w:color="auto"/>
            </w:tcBorders>
            <w:shd w:val="clear" w:color="auto" w:fill="auto"/>
          </w:tcPr>
          <w:p w14:paraId="7A2540BF"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tcPr>
          <w:p w14:paraId="0231CB23"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tcPr>
          <w:p w14:paraId="4B4AB8FC" w14:textId="77777777" w:rsidR="009D4A93" w:rsidRPr="00536CFD" w:rsidRDefault="009D4A93" w:rsidP="009D4A93">
            <w:pPr>
              <w:spacing w:after="0"/>
              <w:jc w:val="center"/>
              <w:rPr>
                <w:lang w:val="zh-CN"/>
              </w:rPr>
            </w:pPr>
            <w:r w:rsidRPr="00536CFD">
              <w:rPr>
                <w:lang w:val="zh-CN"/>
              </w:rPr>
              <w:t>0.036</w:t>
            </w:r>
          </w:p>
        </w:tc>
        <w:tc>
          <w:tcPr>
            <w:tcW w:w="820" w:type="dxa"/>
            <w:tcBorders>
              <w:top w:val="single" w:sz="4" w:space="0" w:color="auto"/>
              <w:left w:val="nil"/>
              <w:bottom w:val="single" w:sz="4" w:space="0" w:color="auto"/>
              <w:right w:val="single" w:sz="4" w:space="0" w:color="auto"/>
            </w:tcBorders>
            <w:shd w:val="clear" w:color="auto" w:fill="auto"/>
          </w:tcPr>
          <w:p w14:paraId="0CA76907" w14:textId="77777777" w:rsidR="009D4A93" w:rsidRPr="00536CFD" w:rsidRDefault="009D4A93" w:rsidP="009D4A93">
            <w:pPr>
              <w:spacing w:after="0"/>
              <w:jc w:val="center"/>
              <w:rPr>
                <w:lang w:val="zh-CN"/>
              </w:rPr>
            </w:pPr>
            <w:r w:rsidRPr="00536CFD">
              <w:rPr>
                <w:lang w:val="zh-CN"/>
              </w:rPr>
              <w:t>0.036</w:t>
            </w:r>
          </w:p>
        </w:tc>
        <w:tc>
          <w:tcPr>
            <w:tcW w:w="800" w:type="dxa"/>
            <w:tcBorders>
              <w:top w:val="single" w:sz="4" w:space="0" w:color="auto"/>
              <w:left w:val="nil"/>
              <w:bottom w:val="single" w:sz="4" w:space="0" w:color="auto"/>
              <w:right w:val="single" w:sz="4" w:space="0" w:color="auto"/>
            </w:tcBorders>
            <w:shd w:val="clear" w:color="auto" w:fill="auto"/>
          </w:tcPr>
          <w:p w14:paraId="0D74F4FB"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tcPr>
          <w:p w14:paraId="5AE706F1" w14:textId="77777777" w:rsidR="009D4A93" w:rsidRPr="00536CFD" w:rsidRDefault="009D4A93" w:rsidP="009D4A93">
            <w:pPr>
              <w:spacing w:after="0"/>
              <w:jc w:val="center"/>
              <w:rPr>
                <w:lang w:val="zh-CN"/>
              </w:rPr>
            </w:pPr>
            <w:r w:rsidRPr="00536CFD">
              <w:rPr>
                <w:lang w:val="zh-CN"/>
              </w:rPr>
              <w:t>0.021</w:t>
            </w:r>
          </w:p>
        </w:tc>
        <w:tc>
          <w:tcPr>
            <w:tcW w:w="724" w:type="dxa"/>
            <w:tcBorders>
              <w:top w:val="single" w:sz="4" w:space="0" w:color="auto"/>
              <w:left w:val="nil"/>
              <w:bottom w:val="single" w:sz="4" w:space="0" w:color="auto"/>
              <w:right w:val="single" w:sz="4" w:space="0" w:color="auto"/>
            </w:tcBorders>
            <w:shd w:val="clear" w:color="auto" w:fill="auto"/>
          </w:tcPr>
          <w:p w14:paraId="6C022982" w14:textId="77777777" w:rsidR="009D4A93" w:rsidRPr="00536CFD" w:rsidRDefault="009D4A93" w:rsidP="009D4A93">
            <w:pPr>
              <w:spacing w:after="0"/>
              <w:jc w:val="center"/>
              <w:rPr>
                <w:lang w:val="zh-CN"/>
              </w:rPr>
            </w:pPr>
            <w:r w:rsidRPr="00536CFD">
              <w:rPr>
                <w:lang w:val="zh-CN"/>
              </w:rPr>
              <w:t>0.063</w:t>
            </w:r>
          </w:p>
        </w:tc>
        <w:tc>
          <w:tcPr>
            <w:tcW w:w="896" w:type="dxa"/>
            <w:tcBorders>
              <w:top w:val="single" w:sz="4" w:space="0" w:color="auto"/>
              <w:left w:val="nil"/>
              <w:bottom w:val="single" w:sz="4" w:space="0" w:color="auto"/>
              <w:right w:val="single" w:sz="4" w:space="0" w:color="auto"/>
            </w:tcBorders>
            <w:shd w:val="clear" w:color="auto" w:fill="auto"/>
          </w:tcPr>
          <w:p w14:paraId="29FF57E4" w14:textId="77777777" w:rsidR="009D4A93" w:rsidRPr="00536CFD" w:rsidRDefault="009D4A93" w:rsidP="009D4A93">
            <w:pPr>
              <w:spacing w:after="0"/>
              <w:jc w:val="center"/>
              <w:rPr>
                <w:lang w:val="zh-CN"/>
              </w:rPr>
            </w:pPr>
            <w:r w:rsidRPr="00536CFD">
              <w:rPr>
                <w:lang w:val="zh-CN"/>
              </w:rPr>
              <w:t>0.044</w:t>
            </w:r>
          </w:p>
        </w:tc>
        <w:tc>
          <w:tcPr>
            <w:tcW w:w="720" w:type="dxa"/>
            <w:tcBorders>
              <w:top w:val="single" w:sz="4" w:space="0" w:color="auto"/>
              <w:left w:val="nil"/>
              <w:bottom w:val="single" w:sz="4" w:space="0" w:color="auto"/>
              <w:right w:val="single" w:sz="4" w:space="0" w:color="auto"/>
            </w:tcBorders>
            <w:shd w:val="clear" w:color="auto" w:fill="auto"/>
          </w:tcPr>
          <w:p w14:paraId="43DB7C73"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tcPr>
          <w:p w14:paraId="56423193" w14:textId="77777777" w:rsidR="009D4A93" w:rsidRPr="00536CFD" w:rsidRDefault="009D4A93" w:rsidP="009D4A93">
            <w:pPr>
              <w:spacing w:after="0"/>
              <w:jc w:val="center"/>
              <w:rPr>
                <w:lang w:val="zh-CN"/>
              </w:rPr>
            </w:pPr>
            <w:r w:rsidRPr="00536CFD">
              <w:rPr>
                <w:lang w:val="zh-CN"/>
              </w:rPr>
              <w:t>0.021</w:t>
            </w:r>
          </w:p>
        </w:tc>
      </w:tr>
      <w:tr w:rsidR="009D4A93" w:rsidRPr="00536CFD" w14:paraId="1CC2BF9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E0AB2A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B740EE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E6B844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7DBEC759" w14:textId="77777777" w:rsidR="009D4A93" w:rsidRPr="00536CFD" w:rsidRDefault="009D4A93" w:rsidP="009D4A93">
            <w:pPr>
              <w:spacing w:after="0"/>
              <w:jc w:val="center"/>
              <w:rPr>
                <w:lang w:val="zh-CN"/>
              </w:rPr>
            </w:pPr>
            <w:r w:rsidRPr="00536CFD">
              <w:rPr>
                <w:lang w:val="zh-CN"/>
              </w:rPr>
              <w:t>0.056</w:t>
            </w:r>
          </w:p>
        </w:tc>
        <w:tc>
          <w:tcPr>
            <w:tcW w:w="720" w:type="dxa"/>
            <w:tcBorders>
              <w:top w:val="single" w:sz="4" w:space="0" w:color="auto"/>
              <w:left w:val="nil"/>
              <w:bottom w:val="single" w:sz="4" w:space="0" w:color="auto"/>
              <w:right w:val="single" w:sz="4" w:space="0" w:color="auto"/>
            </w:tcBorders>
            <w:shd w:val="clear" w:color="auto" w:fill="auto"/>
          </w:tcPr>
          <w:p w14:paraId="1AF291A7" w14:textId="77777777" w:rsidR="009D4A93" w:rsidRPr="00536CFD" w:rsidRDefault="009D4A93" w:rsidP="009D4A93">
            <w:pPr>
              <w:spacing w:after="0"/>
              <w:jc w:val="center"/>
              <w:rPr>
                <w:lang w:val="zh-CN"/>
              </w:rPr>
            </w:pPr>
            <w:r w:rsidRPr="00536CFD">
              <w:rPr>
                <w:lang w:val="zh-CN"/>
              </w:rPr>
              <w:t>0.050</w:t>
            </w:r>
          </w:p>
        </w:tc>
        <w:tc>
          <w:tcPr>
            <w:tcW w:w="720" w:type="dxa"/>
            <w:tcBorders>
              <w:top w:val="single" w:sz="4" w:space="0" w:color="auto"/>
              <w:left w:val="nil"/>
              <w:bottom w:val="single" w:sz="4" w:space="0" w:color="auto"/>
              <w:right w:val="single" w:sz="4" w:space="0" w:color="auto"/>
            </w:tcBorders>
            <w:shd w:val="clear" w:color="auto" w:fill="auto"/>
          </w:tcPr>
          <w:p w14:paraId="66CA71EE" w14:textId="77777777" w:rsidR="009D4A93" w:rsidRPr="00536CFD" w:rsidRDefault="009D4A93" w:rsidP="009D4A93">
            <w:pPr>
              <w:spacing w:after="0"/>
              <w:jc w:val="center"/>
              <w:rPr>
                <w:lang w:val="zh-CN"/>
              </w:rPr>
            </w:pPr>
            <w:r w:rsidRPr="00536CFD">
              <w:rPr>
                <w:lang w:val="zh-CN"/>
              </w:rPr>
              <w:t>0.027</w:t>
            </w:r>
          </w:p>
        </w:tc>
        <w:tc>
          <w:tcPr>
            <w:tcW w:w="810" w:type="dxa"/>
            <w:tcBorders>
              <w:top w:val="single" w:sz="4" w:space="0" w:color="auto"/>
              <w:left w:val="nil"/>
              <w:bottom w:val="single" w:sz="4" w:space="0" w:color="auto"/>
              <w:right w:val="single" w:sz="4" w:space="0" w:color="auto"/>
            </w:tcBorders>
            <w:shd w:val="clear" w:color="auto" w:fill="auto"/>
          </w:tcPr>
          <w:p w14:paraId="7F81B57D" w14:textId="77777777" w:rsidR="009D4A93" w:rsidRPr="00536CFD" w:rsidRDefault="009D4A93" w:rsidP="009D4A93">
            <w:pPr>
              <w:spacing w:after="0"/>
              <w:jc w:val="center"/>
              <w:rPr>
                <w:lang w:val="zh-CN"/>
              </w:rPr>
            </w:pPr>
            <w:r w:rsidRPr="00536CFD">
              <w:rPr>
                <w:lang w:val="zh-CN"/>
              </w:rPr>
              <w:t>0.025</w:t>
            </w:r>
          </w:p>
        </w:tc>
        <w:tc>
          <w:tcPr>
            <w:tcW w:w="810" w:type="dxa"/>
            <w:tcBorders>
              <w:top w:val="single" w:sz="4" w:space="0" w:color="auto"/>
              <w:left w:val="nil"/>
              <w:bottom w:val="single" w:sz="4" w:space="0" w:color="auto"/>
              <w:right w:val="single" w:sz="4" w:space="0" w:color="auto"/>
            </w:tcBorders>
            <w:shd w:val="clear" w:color="auto" w:fill="auto"/>
          </w:tcPr>
          <w:p w14:paraId="2E1C6A2E" w14:textId="77777777" w:rsidR="009D4A93" w:rsidRPr="00536CFD" w:rsidRDefault="009D4A93" w:rsidP="009D4A93">
            <w:pPr>
              <w:spacing w:after="0"/>
              <w:jc w:val="center"/>
              <w:rPr>
                <w:lang w:val="zh-CN"/>
              </w:rPr>
            </w:pPr>
            <w:r w:rsidRPr="00536CFD">
              <w:rPr>
                <w:lang w:val="zh-CN"/>
              </w:rPr>
              <w:t>0.133</w:t>
            </w:r>
          </w:p>
        </w:tc>
        <w:tc>
          <w:tcPr>
            <w:tcW w:w="820" w:type="dxa"/>
            <w:tcBorders>
              <w:top w:val="single" w:sz="4" w:space="0" w:color="auto"/>
              <w:left w:val="nil"/>
              <w:bottom w:val="single" w:sz="4" w:space="0" w:color="auto"/>
              <w:right w:val="single" w:sz="4" w:space="0" w:color="auto"/>
            </w:tcBorders>
            <w:shd w:val="clear" w:color="auto" w:fill="auto"/>
          </w:tcPr>
          <w:p w14:paraId="13224499" w14:textId="77777777" w:rsidR="009D4A93" w:rsidRPr="00536CFD" w:rsidRDefault="009D4A93" w:rsidP="009D4A93">
            <w:pPr>
              <w:spacing w:after="0"/>
              <w:jc w:val="center"/>
              <w:rPr>
                <w:lang w:val="zh-CN"/>
              </w:rPr>
            </w:pPr>
            <w:r w:rsidRPr="00536CFD">
              <w:rPr>
                <w:lang w:val="zh-CN"/>
              </w:rPr>
              <w:t>0.129</w:t>
            </w:r>
          </w:p>
        </w:tc>
        <w:tc>
          <w:tcPr>
            <w:tcW w:w="800" w:type="dxa"/>
            <w:tcBorders>
              <w:top w:val="single" w:sz="4" w:space="0" w:color="auto"/>
              <w:left w:val="nil"/>
              <w:bottom w:val="single" w:sz="4" w:space="0" w:color="auto"/>
              <w:right w:val="single" w:sz="4" w:space="0" w:color="auto"/>
            </w:tcBorders>
            <w:shd w:val="clear" w:color="auto" w:fill="auto"/>
          </w:tcPr>
          <w:p w14:paraId="24AE6BEA" w14:textId="77777777" w:rsidR="009D4A93" w:rsidRPr="00536CFD" w:rsidRDefault="009D4A93" w:rsidP="009D4A93">
            <w:pPr>
              <w:spacing w:after="0"/>
              <w:jc w:val="center"/>
              <w:rPr>
                <w:lang w:val="zh-CN"/>
              </w:rPr>
            </w:pPr>
            <w:r w:rsidRPr="00536CFD">
              <w:rPr>
                <w:lang w:val="zh-CN"/>
              </w:rPr>
              <w:t>0.055</w:t>
            </w:r>
          </w:p>
        </w:tc>
        <w:tc>
          <w:tcPr>
            <w:tcW w:w="720" w:type="dxa"/>
            <w:tcBorders>
              <w:top w:val="single" w:sz="4" w:space="0" w:color="auto"/>
              <w:left w:val="nil"/>
              <w:bottom w:val="single" w:sz="4" w:space="0" w:color="auto"/>
              <w:right w:val="single" w:sz="4" w:space="0" w:color="auto"/>
            </w:tcBorders>
            <w:shd w:val="clear" w:color="auto" w:fill="auto"/>
          </w:tcPr>
          <w:p w14:paraId="526EAAAD" w14:textId="77777777" w:rsidR="009D4A93" w:rsidRPr="00536CFD" w:rsidRDefault="009D4A93" w:rsidP="009D4A93">
            <w:pPr>
              <w:spacing w:after="0"/>
              <w:jc w:val="center"/>
              <w:rPr>
                <w:lang w:val="zh-CN"/>
              </w:rPr>
            </w:pPr>
            <w:r w:rsidRPr="00536CFD">
              <w:rPr>
                <w:lang w:val="zh-CN"/>
              </w:rPr>
              <w:t>0.30</w:t>
            </w:r>
          </w:p>
        </w:tc>
        <w:tc>
          <w:tcPr>
            <w:tcW w:w="724" w:type="dxa"/>
            <w:tcBorders>
              <w:top w:val="single" w:sz="4" w:space="0" w:color="auto"/>
              <w:left w:val="nil"/>
              <w:bottom w:val="single" w:sz="4" w:space="0" w:color="auto"/>
              <w:right w:val="single" w:sz="4" w:space="0" w:color="auto"/>
            </w:tcBorders>
            <w:shd w:val="clear" w:color="auto" w:fill="auto"/>
          </w:tcPr>
          <w:p w14:paraId="7A96914D" w14:textId="77777777" w:rsidR="009D4A93" w:rsidRPr="00536CFD" w:rsidRDefault="009D4A93" w:rsidP="009D4A93">
            <w:pPr>
              <w:spacing w:after="0"/>
              <w:jc w:val="center"/>
              <w:rPr>
                <w:lang w:val="zh-CN"/>
              </w:rPr>
            </w:pPr>
            <w:r w:rsidRPr="00536CFD">
              <w:rPr>
                <w:lang w:val="zh-CN"/>
              </w:rPr>
              <w:t>0.385</w:t>
            </w:r>
          </w:p>
        </w:tc>
        <w:tc>
          <w:tcPr>
            <w:tcW w:w="896" w:type="dxa"/>
            <w:tcBorders>
              <w:top w:val="single" w:sz="4" w:space="0" w:color="auto"/>
              <w:left w:val="nil"/>
              <w:bottom w:val="single" w:sz="4" w:space="0" w:color="auto"/>
              <w:right w:val="single" w:sz="4" w:space="0" w:color="auto"/>
            </w:tcBorders>
            <w:shd w:val="clear" w:color="auto" w:fill="auto"/>
          </w:tcPr>
          <w:p w14:paraId="7D512ABC" w14:textId="77777777" w:rsidR="009D4A93" w:rsidRPr="00536CFD" w:rsidRDefault="009D4A93" w:rsidP="009D4A93">
            <w:pPr>
              <w:spacing w:after="0"/>
              <w:jc w:val="center"/>
              <w:rPr>
                <w:lang w:val="zh-CN"/>
              </w:rPr>
            </w:pPr>
            <w:r w:rsidRPr="00536CFD">
              <w:rPr>
                <w:lang w:val="zh-CN"/>
              </w:rPr>
              <w:t>0.280</w:t>
            </w:r>
          </w:p>
        </w:tc>
        <w:tc>
          <w:tcPr>
            <w:tcW w:w="720" w:type="dxa"/>
            <w:tcBorders>
              <w:top w:val="single" w:sz="4" w:space="0" w:color="auto"/>
              <w:left w:val="nil"/>
              <w:bottom w:val="single" w:sz="4" w:space="0" w:color="auto"/>
              <w:right w:val="single" w:sz="4" w:space="0" w:color="auto"/>
            </w:tcBorders>
            <w:shd w:val="clear" w:color="auto" w:fill="auto"/>
          </w:tcPr>
          <w:p w14:paraId="2DE16090" w14:textId="77777777" w:rsidR="009D4A93" w:rsidRPr="00536CFD" w:rsidRDefault="009D4A93" w:rsidP="009D4A93">
            <w:pPr>
              <w:spacing w:after="0"/>
              <w:jc w:val="center"/>
              <w:rPr>
                <w:lang w:val="zh-CN"/>
              </w:rPr>
            </w:pPr>
            <w:r w:rsidRPr="00536CFD">
              <w:rPr>
                <w:lang w:val="zh-CN"/>
              </w:rPr>
              <w:t>0.094</w:t>
            </w:r>
          </w:p>
        </w:tc>
        <w:tc>
          <w:tcPr>
            <w:tcW w:w="720" w:type="dxa"/>
            <w:tcBorders>
              <w:top w:val="single" w:sz="4" w:space="0" w:color="auto"/>
              <w:left w:val="nil"/>
              <w:bottom w:val="single" w:sz="4" w:space="0" w:color="auto"/>
              <w:right w:val="single" w:sz="4" w:space="0" w:color="auto"/>
            </w:tcBorders>
            <w:shd w:val="clear" w:color="auto" w:fill="auto"/>
          </w:tcPr>
          <w:p w14:paraId="3A424E4D" w14:textId="77777777" w:rsidR="009D4A93" w:rsidRPr="00536CFD" w:rsidRDefault="009D4A93" w:rsidP="009D4A93">
            <w:pPr>
              <w:spacing w:after="0"/>
              <w:jc w:val="center"/>
              <w:rPr>
                <w:lang w:val="zh-CN"/>
              </w:rPr>
            </w:pPr>
            <w:r w:rsidRPr="00536CFD">
              <w:rPr>
                <w:lang w:val="zh-CN"/>
              </w:rPr>
              <w:t>0.034</w:t>
            </w:r>
          </w:p>
        </w:tc>
      </w:tr>
      <w:tr w:rsidR="009D4A93" w:rsidRPr="00536CFD" w14:paraId="3DF3593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63C884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B44DAC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B897C6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147738AB" w14:textId="77777777" w:rsidR="009D4A93" w:rsidRPr="00536CFD" w:rsidRDefault="009D4A93" w:rsidP="009D4A93">
            <w:pPr>
              <w:spacing w:after="0"/>
              <w:jc w:val="center"/>
              <w:rPr>
                <w:lang w:val="zh-CN"/>
              </w:rPr>
            </w:pPr>
            <w:r w:rsidRPr="00536CFD">
              <w:rPr>
                <w:lang w:val="zh-CN"/>
              </w:rPr>
              <w:t>0.215</w:t>
            </w:r>
          </w:p>
        </w:tc>
        <w:tc>
          <w:tcPr>
            <w:tcW w:w="720" w:type="dxa"/>
            <w:tcBorders>
              <w:top w:val="single" w:sz="4" w:space="0" w:color="auto"/>
              <w:left w:val="nil"/>
              <w:bottom w:val="single" w:sz="4" w:space="0" w:color="auto"/>
              <w:right w:val="single" w:sz="4" w:space="0" w:color="auto"/>
            </w:tcBorders>
            <w:shd w:val="clear" w:color="auto" w:fill="auto"/>
          </w:tcPr>
          <w:p w14:paraId="3CC5AE4B" w14:textId="77777777" w:rsidR="009D4A93" w:rsidRPr="00536CFD" w:rsidRDefault="009D4A93" w:rsidP="009D4A93">
            <w:pPr>
              <w:spacing w:after="0"/>
              <w:jc w:val="center"/>
              <w:rPr>
                <w:lang w:val="zh-CN"/>
              </w:rPr>
            </w:pPr>
            <w:r w:rsidRPr="00536CFD">
              <w:rPr>
                <w:lang w:val="zh-CN"/>
              </w:rPr>
              <w:t>0.232</w:t>
            </w:r>
          </w:p>
        </w:tc>
        <w:tc>
          <w:tcPr>
            <w:tcW w:w="720" w:type="dxa"/>
            <w:tcBorders>
              <w:top w:val="single" w:sz="4" w:space="0" w:color="auto"/>
              <w:left w:val="nil"/>
              <w:bottom w:val="single" w:sz="4" w:space="0" w:color="auto"/>
              <w:right w:val="single" w:sz="4" w:space="0" w:color="auto"/>
            </w:tcBorders>
            <w:shd w:val="clear" w:color="auto" w:fill="auto"/>
          </w:tcPr>
          <w:p w14:paraId="06BC599A" w14:textId="77777777" w:rsidR="009D4A93" w:rsidRPr="00536CFD" w:rsidRDefault="009D4A93" w:rsidP="009D4A93">
            <w:pPr>
              <w:spacing w:after="0"/>
              <w:jc w:val="center"/>
              <w:rPr>
                <w:lang w:val="zh-CN"/>
              </w:rPr>
            </w:pPr>
            <w:r w:rsidRPr="00536CFD">
              <w:rPr>
                <w:lang w:val="zh-CN"/>
              </w:rPr>
              <w:t>0.094</w:t>
            </w:r>
          </w:p>
        </w:tc>
        <w:tc>
          <w:tcPr>
            <w:tcW w:w="810" w:type="dxa"/>
            <w:tcBorders>
              <w:top w:val="single" w:sz="4" w:space="0" w:color="auto"/>
              <w:left w:val="nil"/>
              <w:bottom w:val="single" w:sz="4" w:space="0" w:color="auto"/>
              <w:right w:val="single" w:sz="4" w:space="0" w:color="auto"/>
            </w:tcBorders>
            <w:shd w:val="clear" w:color="auto" w:fill="auto"/>
          </w:tcPr>
          <w:p w14:paraId="02C62112" w14:textId="77777777" w:rsidR="009D4A93" w:rsidRPr="00536CFD" w:rsidRDefault="009D4A93" w:rsidP="009D4A93">
            <w:pPr>
              <w:spacing w:after="0"/>
              <w:jc w:val="center"/>
              <w:rPr>
                <w:lang w:val="zh-CN"/>
              </w:rPr>
            </w:pPr>
            <w:r w:rsidRPr="00536CFD">
              <w:rPr>
                <w:lang w:val="zh-CN"/>
              </w:rPr>
              <w:t>0.064</w:t>
            </w:r>
          </w:p>
        </w:tc>
        <w:tc>
          <w:tcPr>
            <w:tcW w:w="810" w:type="dxa"/>
            <w:tcBorders>
              <w:top w:val="single" w:sz="4" w:space="0" w:color="auto"/>
              <w:left w:val="nil"/>
              <w:bottom w:val="single" w:sz="4" w:space="0" w:color="auto"/>
              <w:right w:val="single" w:sz="4" w:space="0" w:color="auto"/>
            </w:tcBorders>
            <w:shd w:val="clear" w:color="auto" w:fill="auto"/>
          </w:tcPr>
          <w:p w14:paraId="05EF64E4" w14:textId="77777777" w:rsidR="009D4A93" w:rsidRPr="00536CFD" w:rsidRDefault="009D4A93" w:rsidP="009D4A93">
            <w:pPr>
              <w:spacing w:after="0"/>
              <w:jc w:val="center"/>
              <w:rPr>
                <w:lang w:val="zh-CN"/>
              </w:rPr>
            </w:pPr>
            <w:r w:rsidRPr="00536CFD">
              <w:rPr>
                <w:lang w:val="zh-CN"/>
              </w:rPr>
              <w:t>1.063</w:t>
            </w:r>
          </w:p>
        </w:tc>
        <w:tc>
          <w:tcPr>
            <w:tcW w:w="820" w:type="dxa"/>
            <w:tcBorders>
              <w:top w:val="single" w:sz="4" w:space="0" w:color="auto"/>
              <w:left w:val="nil"/>
              <w:bottom w:val="single" w:sz="4" w:space="0" w:color="auto"/>
              <w:right w:val="single" w:sz="4" w:space="0" w:color="auto"/>
            </w:tcBorders>
            <w:shd w:val="clear" w:color="auto" w:fill="auto"/>
          </w:tcPr>
          <w:p w14:paraId="4BFE3EE5" w14:textId="77777777" w:rsidR="009D4A93" w:rsidRPr="00536CFD" w:rsidRDefault="009D4A93" w:rsidP="009D4A93">
            <w:pPr>
              <w:spacing w:after="0"/>
              <w:jc w:val="center"/>
              <w:rPr>
                <w:lang w:val="zh-CN"/>
              </w:rPr>
            </w:pPr>
            <w:r w:rsidRPr="00536CFD">
              <w:rPr>
                <w:lang w:val="zh-CN"/>
              </w:rPr>
              <w:t>1.391</w:t>
            </w:r>
          </w:p>
        </w:tc>
        <w:tc>
          <w:tcPr>
            <w:tcW w:w="800" w:type="dxa"/>
            <w:tcBorders>
              <w:top w:val="single" w:sz="4" w:space="0" w:color="auto"/>
              <w:left w:val="nil"/>
              <w:bottom w:val="single" w:sz="4" w:space="0" w:color="auto"/>
              <w:right w:val="single" w:sz="4" w:space="0" w:color="auto"/>
            </w:tcBorders>
            <w:shd w:val="clear" w:color="auto" w:fill="auto"/>
          </w:tcPr>
          <w:p w14:paraId="73BFAD46" w14:textId="77777777" w:rsidR="009D4A93" w:rsidRPr="00536CFD" w:rsidRDefault="009D4A93" w:rsidP="009D4A93">
            <w:pPr>
              <w:spacing w:after="0"/>
              <w:jc w:val="center"/>
              <w:rPr>
                <w:lang w:val="zh-CN"/>
              </w:rPr>
            </w:pPr>
            <w:r w:rsidRPr="00536CFD">
              <w:rPr>
                <w:lang w:val="zh-CN"/>
              </w:rPr>
              <w:t>1.116</w:t>
            </w:r>
          </w:p>
        </w:tc>
        <w:tc>
          <w:tcPr>
            <w:tcW w:w="720" w:type="dxa"/>
            <w:tcBorders>
              <w:top w:val="single" w:sz="4" w:space="0" w:color="auto"/>
              <w:left w:val="nil"/>
              <w:bottom w:val="single" w:sz="4" w:space="0" w:color="auto"/>
              <w:right w:val="single" w:sz="4" w:space="0" w:color="auto"/>
            </w:tcBorders>
            <w:shd w:val="clear" w:color="auto" w:fill="auto"/>
          </w:tcPr>
          <w:p w14:paraId="1B673C09" w14:textId="77777777" w:rsidR="009D4A93" w:rsidRPr="00536CFD" w:rsidRDefault="009D4A93" w:rsidP="009D4A93">
            <w:pPr>
              <w:spacing w:after="0"/>
              <w:jc w:val="center"/>
              <w:rPr>
                <w:lang w:val="zh-CN"/>
              </w:rPr>
            </w:pPr>
            <w:r w:rsidRPr="00536CFD">
              <w:rPr>
                <w:lang w:val="zh-CN"/>
              </w:rPr>
              <w:t>0.187</w:t>
            </w:r>
          </w:p>
        </w:tc>
        <w:tc>
          <w:tcPr>
            <w:tcW w:w="724" w:type="dxa"/>
            <w:tcBorders>
              <w:top w:val="single" w:sz="4" w:space="0" w:color="auto"/>
              <w:left w:val="nil"/>
              <w:bottom w:val="single" w:sz="4" w:space="0" w:color="auto"/>
              <w:right w:val="single" w:sz="4" w:space="0" w:color="auto"/>
            </w:tcBorders>
            <w:shd w:val="clear" w:color="auto" w:fill="auto"/>
          </w:tcPr>
          <w:p w14:paraId="6276E46F" w14:textId="77777777" w:rsidR="009D4A93" w:rsidRPr="00536CFD" w:rsidRDefault="009D4A93" w:rsidP="009D4A93">
            <w:pPr>
              <w:spacing w:after="0"/>
              <w:jc w:val="center"/>
              <w:rPr>
                <w:lang w:val="zh-CN"/>
              </w:rPr>
            </w:pPr>
            <w:r w:rsidRPr="00536CFD">
              <w:rPr>
                <w:lang w:val="zh-CN"/>
              </w:rPr>
              <w:t>2.866</w:t>
            </w:r>
          </w:p>
        </w:tc>
        <w:tc>
          <w:tcPr>
            <w:tcW w:w="896" w:type="dxa"/>
            <w:tcBorders>
              <w:top w:val="single" w:sz="4" w:space="0" w:color="auto"/>
              <w:left w:val="nil"/>
              <w:bottom w:val="single" w:sz="4" w:space="0" w:color="auto"/>
              <w:right w:val="single" w:sz="4" w:space="0" w:color="auto"/>
            </w:tcBorders>
            <w:shd w:val="clear" w:color="auto" w:fill="auto"/>
          </w:tcPr>
          <w:p w14:paraId="062654E3" w14:textId="77777777" w:rsidR="009D4A93" w:rsidRPr="00536CFD" w:rsidRDefault="009D4A93" w:rsidP="009D4A93">
            <w:pPr>
              <w:spacing w:after="0"/>
              <w:jc w:val="center"/>
              <w:rPr>
                <w:lang w:val="zh-CN"/>
              </w:rPr>
            </w:pPr>
            <w:r w:rsidRPr="00536CFD">
              <w:rPr>
                <w:lang w:val="zh-CN"/>
              </w:rPr>
              <w:t>2.908</w:t>
            </w:r>
          </w:p>
        </w:tc>
        <w:tc>
          <w:tcPr>
            <w:tcW w:w="720" w:type="dxa"/>
            <w:tcBorders>
              <w:top w:val="single" w:sz="4" w:space="0" w:color="auto"/>
              <w:left w:val="nil"/>
              <w:bottom w:val="single" w:sz="4" w:space="0" w:color="auto"/>
              <w:right w:val="single" w:sz="4" w:space="0" w:color="auto"/>
            </w:tcBorders>
            <w:shd w:val="clear" w:color="auto" w:fill="auto"/>
          </w:tcPr>
          <w:p w14:paraId="079344C9" w14:textId="77777777" w:rsidR="009D4A93" w:rsidRPr="00536CFD" w:rsidRDefault="009D4A93" w:rsidP="009D4A93">
            <w:pPr>
              <w:spacing w:after="0"/>
              <w:jc w:val="center"/>
              <w:rPr>
                <w:lang w:val="zh-CN"/>
              </w:rPr>
            </w:pPr>
            <w:r w:rsidRPr="00536CFD">
              <w:rPr>
                <w:lang w:val="zh-CN"/>
              </w:rPr>
              <w:t>2.647</w:t>
            </w:r>
          </w:p>
        </w:tc>
        <w:tc>
          <w:tcPr>
            <w:tcW w:w="720" w:type="dxa"/>
            <w:tcBorders>
              <w:top w:val="single" w:sz="4" w:space="0" w:color="auto"/>
              <w:left w:val="nil"/>
              <w:bottom w:val="single" w:sz="4" w:space="0" w:color="auto"/>
              <w:right w:val="single" w:sz="4" w:space="0" w:color="auto"/>
            </w:tcBorders>
            <w:shd w:val="clear" w:color="auto" w:fill="auto"/>
          </w:tcPr>
          <w:p w14:paraId="37C28EF7" w14:textId="77777777" w:rsidR="009D4A93" w:rsidRPr="00536CFD" w:rsidRDefault="009D4A93" w:rsidP="009D4A93">
            <w:pPr>
              <w:spacing w:after="0"/>
              <w:jc w:val="center"/>
              <w:rPr>
                <w:lang w:val="zh-CN"/>
              </w:rPr>
            </w:pPr>
            <w:r w:rsidRPr="00536CFD">
              <w:rPr>
                <w:lang w:val="zh-CN"/>
              </w:rPr>
              <w:t>0.191</w:t>
            </w:r>
          </w:p>
        </w:tc>
      </w:tr>
      <w:tr w:rsidR="009D4A93" w:rsidRPr="00536CFD" w14:paraId="1F95E94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BB1A73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9697AF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EA0461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75AD4501" w14:textId="77777777" w:rsidR="009D4A93" w:rsidRPr="00536CFD" w:rsidRDefault="009D4A93" w:rsidP="009D4A93">
            <w:pPr>
              <w:spacing w:after="0"/>
              <w:jc w:val="center"/>
              <w:rPr>
                <w:lang w:val="zh-CN"/>
              </w:rPr>
            </w:pPr>
            <w:r w:rsidRPr="00536CFD">
              <w:rPr>
                <w:lang w:val="zh-CN"/>
              </w:rPr>
              <w:t>0.085</w:t>
            </w:r>
          </w:p>
        </w:tc>
        <w:tc>
          <w:tcPr>
            <w:tcW w:w="720" w:type="dxa"/>
            <w:tcBorders>
              <w:top w:val="single" w:sz="4" w:space="0" w:color="auto"/>
              <w:left w:val="nil"/>
              <w:bottom w:val="single" w:sz="4" w:space="0" w:color="auto"/>
              <w:right w:val="single" w:sz="4" w:space="0" w:color="auto"/>
            </w:tcBorders>
            <w:shd w:val="clear" w:color="auto" w:fill="auto"/>
          </w:tcPr>
          <w:p w14:paraId="133D2C1B" w14:textId="77777777" w:rsidR="009D4A93" w:rsidRPr="00536CFD" w:rsidRDefault="009D4A93" w:rsidP="009D4A93">
            <w:pPr>
              <w:spacing w:after="0"/>
              <w:jc w:val="center"/>
              <w:rPr>
                <w:lang w:val="zh-CN"/>
              </w:rPr>
            </w:pPr>
            <w:r w:rsidRPr="00536CFD">
              <w:rPr>
                <w:lang w:val="zh-CN"/>
              </w:rPr>
              <w:t>0.081</w:t>
            </w:r>
          </w:p>
        </w:tc>
        <w:tc>
          <w:tcPr>
            <w:tcW w:w="720" w:type="dxa"/>
            <w:tcBorders>
              <w:top w:val="single" w:sz="4" w:space="0" w:color="auto"/>
              <w:left w:val="nil"/>
              <w:bottom w:val="single" w:sz="4" w:space="0" w:color="auto"/>
              <w:right w:val="single" w:sz="4" w:space="0" w:color="auto"/>
            </w:tcBorders>
            <w:shd w:val="clear" w:color="auto" w:fill="auto"/>
          </w:tcPr>
          <w:p w14:paraId="2CD1BB49" w14:textId="77777777" w:rsidR="009D4A93" w:rsidRPr="00536CFD" w:rsidRDefault="009D4A93" w:rsidP="009D4A93">
            <w:pPr>
              <w:spacing w:after="0"/>
              <w:jc w:val="center"/>
              <w:rPr>
                <w:lang w:val="zh-CN"/>
              </w:rPr>
            </w:pPr>
            <w:r w:rsidRPr="00536CFD">
              <w:rPr>
                <w:lang w:val="zh-CN"/>
              </w:rPr>
              <w:t>0.043</w:t>
            </w:r>
          </w:p>
        </w:tc>
        <w:tc>
          <w:tcPr>
            <w:tcW w:w="810" w:type="dxa"/>
            <w:tcBorders>
              <w:top w:val="single" w:sz="4" w:space="0" w:color="auto"/>
              <w:left w:val="nil"/>
              <w:bottom w:val="single" w:sz="4" w:space="0" w:color="auto"/>
              <w:right w:val="single" w:sz="4" w:space="0" w:color="auto"/>
            </w:tcBorders>
            <w:shd w:val="clear" w:color="auto" w:fill="auto"/>
          </w:tcPr>
          <w:p w14:paraId="050AB132" w14:textId="77777777" w:rsidR="009D4A93" w:rsidRPr="00536CFD" w:rsidRDefault="009D4A93" w:rsidP="009D4A93">
            <w:pPr>
              <w:spacing w:after="0"/>
              <w:jc w:val="center"/>
              <w:rPr>
                <w:lang w:val="zh-CN"/>
              </w:rPr>
            </w:pPr>
            <w:r w:rsidRPr="00536CFD">
              <w:rPr>
                <w:lang w:val="zh-CN"/>
              </w:rPr>
              <w:t>0.037</w:t>
            </w:r>
          </w:p>
        </w:tc>
        <w:tc>
          <w:tcPr>
            <w:tcW w:w="810" w:type="dxa"/>
            <w:tcBorders>
              <w:top w:val="single" w:sz="4" w:space="0" w:color="auto"/>
              <w:left w:val="nil"/>
              <w:bottom w:val="single" w:sz="4" w:space="0" w:color="auto"/>
              <w:right w:val="single" w:sz="4" w:space="0" w:color="auto"/>
            </w:tcBorders>
            <w:shd w:val="clear" w:color="auto" w:fill="auto"/>
          </w:tcPr>
          <w:p w14:paraId="063C7E32" w14:textId="77777777" w:rsidR="009D4A93" w:rsidRPr="00536CFD" w:rsidRDefault="009D4A93" w:rsidP="009D4A93">
            <w:pPr>
              <w:spacing w:after="0"/>
              <w:jc w:val="center"/>
              <w:rPr>
                <w:lang w:val="zh-CN"/>
              </w:rPr>
            </w:pPr>
            <w:r w:rsidRPr="00536CFD">
              <w:rPr>
                <w:lang w:val="zh-CN"/>
              </w:rPr>
              <w:t>0.278</w:t>
            </w:r>
          </w:p>
        </w:tc>
        <w:tc>
          <w:tcPr>
            <w:tcW w:w="820" w:type="dxa"/>
            <w:tcBorders>
              <w:top w:val="single" w:sz="4" w:space="0" w:color="auto"/>
              <w:left w:val="nil"/>
              <w:bottom w:val="single" w:sz="4" w:space="0" w:color="auto"/>
              <w:right w:val="single" w:sz="4" w:space="0" w:color="auto"/>
            </w:tcBorders>
            <w:shd w:val="clear" w:color="auto" w:fill="auto"/>
          </w:tcPr>
          <w:p w14:paraId="59C1EC06" w14:textId="77777777" w:rsidR="009D4A93" w:rsidRPr="00536CFD" w:rsidRDefault="009D4A93" w:rsidP="009D4A93">
            <w:pPr>
              <w:spacing w:after="0"/>
              <w:jc w:val="center"/>
              <w:rPr>
                <w:lang w:val="zh-CN"/>
              </w:rPr>
            </w:pPr>
            <w:r w:rsidRPr="00536CFD">
              <w:rPr>
                <w:lang w:val="zh-CN"/>
              </w:rPr>
              <w:t>0.325</w:t>
            </w:r>
          </w:p>
        </w:tc>
        <w:tc>
          <w:tcPr>
            <w:tcW w:w="800" w:type="dxa"/>
            <w:tcBorders>
              <w:top w:val="single" w:sz="4" w:space="0" w:color="auto"/>
              <w:left w:val="nil"/>
              <w:bottom w:val="single" w:sz="4" w:space="0" w:color="auto"/>
              <w:right w:val="single" w:sz="4" w:space="0" w:color="auto"/>
            </w:tcBorders>
            <w:shd w:val="clear" w:color="auto" w:fill="auto"/>
          </w:tcPr>
          <w:p w14:paraId="7F88944B" w14:textId="77777777" w:rsidR="009D4A93" w:rsidRPr="00536CFD" w:rsidRDefault="009D4A93" w:rsidP="009D4A93">
            <w:pPr>
              <w:spacing w:after="0"/>
              <w:jc w:val="center"/>
              <w:rPr>
                <w:lang w:val="zh-CN"/>
              </w:rPr>
            </w:pPr>
            <w:r w:rsidRPr="00536CFD">
              <w:rPr>
                <w:lang w:val="zh-CN"/>
              </w:rPr>
              <w:t>0.225</w:t>
            </w:r>
          </w:p>
        </w:tc>
        <w:tc>
          <w:tcPr>
            <w:tcW w:w="720" w:type="dxa"/>
            <w:tcBorders>
              <w:top w:val="single" w:sz="4" w:space="0" w:color="auto"/>
              <w:left w:val="nil"/>
              <w:bottom w:val="single" w:sz="4" w:space="0" w:color="auto"/>
              <w:right w:val="single" w:sz="4" w:space="0" w:color="auto"/>
            </w:tcBorders>
            <w:shd w:val="clear" w:color="auto" w:fill="auto"/>
          </w:tcPr>
          <w:p w14:paraId="35ADF396" w14:textId="77777777" w:rsidR="009D4A93" w:rsidRPr="00536CFD" w:rsidRDefault="009D4A93" w:rsidP="009D4A93">
            <w:pPr>
              <w:spacing w:after="0"/>
              <w:jc w:val="center"/>
              <w:rPr>
                <w:lang w:val="zh-CN"/>
              </w:rPr>
            </w:pPr>
            <w:r w:rsidRPr="00536CFD">
              <w:rPr>
                <w:lang w:val="zh-CN"/>
              </w:rPr>
              <w:t>0.055</w:t>
            </w:r>
          </w:p>
        </w:tc>
        <w:tc>
          <w:tcPr>
            <w:tcW w:w="724" w:type="dxa"/>
            <w:tcBorders>
              <w:top w:val="single" w:sz="4" w:space="0" w:color="auto"/>
              <w:left w:val="nil"/>
              <w:bottom w:val="single" w:sz="4" w:space="0" w:color="auto"/>
              <w:right w:val="single" w:sz="4" w:space="0" w:color="auto"/>
            </w:tcBorders>
            <w:shd w:val="clear" w:color="auto" w:fill="auto"/>
          </w:tcPr>
          <w:p w14:paraId="6D66A286" w14:textId="77777777" w:rsidR="009D4A93" w:rsidRPr="00536CFD" w:rsidRDefault="009D4A93" w:rsidP="009D4A93">
            <w:pPr>
              <w:spacing w:after="0"/>
              <w:jc w:val="center"/>
              <w:rPr>
                <w:lang w:val="zh-CN"/>
              </w:rPr>
            </w:pPr>
            <w:r w:rsidRPr="00536CFD">
              <w:rPr>
                <w:lang w:val="zh-CN"/>
              </w:rPr>
              <w:t>0.782</w:t>
            </w:r>
          </w:p>
        </w:tc>
        <w:tc>
          <w:tcPr>
            <w:tcW w:w="896" w:type="dxa"/>
            <w:tcBorders>
              <w:top w:val="single" w:sz="4" w:space="0" w:color="auto"/>
              <w:left w:val="nil"/>
              <w:bottom w:val="single" w:sz="4" w:space="0" w:color="auto"/>
              <w:right w:val="single" w:sz="4" w:space="0" w:color="auto"/>
            </w:tcBorders>
            <w:shd w:val="clear" w:color="auto" w:fill="auto"/>
          </w:tcPr>
          <w:p w14:paraId="1575D123" w14:textId="77777777" w:rsidR="009D4A93" w:rsidRPr="00536CFD" w:rsidRDefault="009D4A93" w:rsidP="009D4A93">
            <w:pPr>
              <w:spacing w:after="0"/>
              <w:jc w:val="center"/>
              <w:rPr>
                <w:lang w:val="zh-CN"/>
              </w:rPr>
            </w:pPr>
            <w:r w:rsidRPr="00536CFD">
              <w:rPr>
                <w:lang w:val="zh-CN"/>
              </w:rPr>
              <w:t>0.658</w:t>
            </w:r>
          </w:p>
        </w:tc>
        <w:tc>
          <w:tcPr>
            <w:tcW w:w="720" w:type="dxa"/>
            <w:tcBorders>
              <w:top w:val="single" w:sz="4" w:space="0" w:color="auto"/>
              <w:left w:val="nil"/>
              <w:bottom w:val="single" w:sz="4" w:space="0" w:color="auto"/>
              <w:right w:val="single" w:sz="4" w:space="0" w:color="auto"/>
            </w:tcBorders>
            <w:shd w:val="clear" w:color="auto" w:fill="auto"/>
          </w:tcPr>
          <w:p w14:paraId="63E4F944" w14:textId="77777777" w:rsidR="009D4A93" w:rsidRPr="00536CFD" w:rsidRDefault="009D4A93" w:rsidP="009D4A93">
            <w:pPr>
              <w:spacing w:after="0"/>
              <w:jc w:val="center"/>
              <w:rPr>
                <w:lang w:val="zh-CN"/>
              </w:rPr>
            </w:pPr>
            <w:r w:rsidRPr="00536CFD">
              <w:rPr>
                <w:lang w:val="zh-CN"/>
              </w:rPr>
              <w:t>0.505</w:t>
            </w:r>
          </w:p>
        </w:tc>
        <w:tc>
          <w:tcPr>
            <w:tcW w:w="720" w:type="dxa"/>
            <w:tcBorders>
              <w:top w:val="single" w:sz="4" w:space="0" w:color="auto"/>
              <w:left w:val="nil"/>
              <w:bottom w:val="single" w:sz="4" w:space="0" w:color="auto"/>
              <w:right w:val="single" w:sz="4" w:space="0" w:color="auto"/>
            </w:tcBorders>
            <w:shd w:val="clear" w:color="auto" w:fill="auto"/>
          </w:tcPr>
          <w:p w14:paraId="623B7F77" w14:textId="77777777" w:rsidR="009D4A93" w:rsidRPr="00536CFD" w:rsidRDefault="009D4A93" w:rsidP="009D4A93">
            <w:pPr>
              <w:spacing w:after="0"/>
              <w:jc w:val="center"/>
              <w:rPr>
                <w:lang w:val="zh-CN"/>
              </w:rPr>
            </w:pPr>
            <w:r w:rsidRPr="00536CFD">
              <w:rPr>
                <w:lang w:val="zh-CN"/>
              </w:rPr>
              <w:t>0.062</w:t>
            </w:r>
          </w:p>
        </w:tc>
      </w:tr>
      <w:tr w:rsidR="009D4A93" w:rsidRPr="00536CFD" w14:paraId="7D83E22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523E61E"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5D40011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7B7784C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332ED9C8" w14:textId="77777777" w:rsidR="009D4A93" w:rsidRPr="00536CFD" w:rsidRDefault="009D4A93" w:rsidP="009D4A93">
            <w:pPr>
              <w:spacing w:after="0"/>
              <w:jc w:val="center"/>
              <w:rPr>
                <w:lang w:val="zh-CN"/>
              </w:rPr>
            </w:pPr>
            <w:r w:rsidRPr="00536CFD">
              <w:rPr>
                <w:lang w:val="zh-CN"/>
              </w:rPr>
              <w:t>28.220</w:t>
            </w:r>
          </w:p>
        </w:tc>
        <w:tc>
          <w:tcPr>
            <w:tcW w:w="720" w:type="dxa"/>
            <w:tcBorders>
              <w:top w:val="single" w:sz="4" w:space="0" w:color="auto"/>
              <w:left w:val="nil"/>
              <w:bottom w:val="single" w:sz="4" w:space="0" w:color="auto"/>
              <w:right w:val="single" w:sz="4" w:space="0" w:color="auto"/>
            </w:tcBorders>
            <w:shd w:val="clear" w:color="auto" w:fill="auto"/>
            <w:vAlign w:val="bottom"/>
          </w:tcPr>
          <w:p w14:paraId="2765ACBE" w14:textId="77777777" w:rsidR="009D4A93" w:rsidRPr="00536CFD" w:rsidRDefault="009D4A93" w:rsidP="009D4A93">
            <w:pPr>
              <w:spacing w:after="0"/>
              <w:jc w:val="center"/>
              <w:rPr>
                <w:lang w:val="zh-CN"/>
              </w:rPr>
            </w:pPr>
            <w:r w:rsidRPr="00536CFD">
              <w:rPr>
                <w:lang w:val="zh-CN"/>
              </w:rPr>
              <w:t>31.549</w:t>
            </w:r>
          </w:p>
        </w:tc>
        <w:tc>
          <w:tcPr>
            <w:tcW w:w="720" w:type="dxa"/>
            <w:tcBorders>
              <w:top w:val="single" w:sz="4" w:space="0" w:color="auto"/>
              <w:left w:val="nil"/>
              <w:bottom w:val="single" w:sz="4" w:space="0" w:color="auto"/>
              <w:right w:val="single" w:sz="4" w:space="0" w:color="auto"/>
            </w:tcBorders>
            <w:shd w:val="clear" w:color="auto" w:fill="auto"/>
            <w:vAlign w:val="bottom"/>
          </w:tcPr>
          <w:p w14:paraId="02A0BBC3" w14:textId="77777777" w:rsidR="009D4A93" w:rsidRPr="00536CFD" w:rsidRDefault="009D4A93" w:rsidP="009D4A93">
            <w:pPr>
              <w:spacing w:after="0"/>
              <w:jc w:val="center"/>
              <w:rPr>
                <w:lang w:val="zh-CN"/>
              </w:rPr>
            </w:pPr>
            <w:r w:rsidRPr="00536CFD">
              <w:rPr>
                <w:lang w:val="zh-CN"/>
              </w:rPr>
              <w:t>30.852</w:t>
            </w:r>
          </w:p>
        </w:tc>
        <w:tc>
          <w:tcPr>
            <w:tcW w:w="810" w:type="dxa"/>
            <w:tcBorders>
              <w:top w:val="single" w:sz="4" w:space="0" w:color="auto"/>
              <w:left w:val="nil"/>
              <w:bottom w:val="single" w:sz="4" w:space="0" w:color="auto"/>
              <w:right w:val="single" w:sz="4" w:space="0" w:color="auto"/>
            </w:tcBorders>
            <w:shd w:val="clear" w:color="auto" w:fill="auto"/>
            <w:vAlign w:val="bottom"/>
          </w:tcPr>
          <w:p w14:paraId="6B4FC6EF" w14:textId="77777777" w:rsidR="009D4A93" w:rsidRPr="00536CFD" w:rsidRDefault="009D4A93" w:rsidP="009D4A93">
            <w:pPr>
              <w:spacing w:after="0"/>
              <w:jc w:val="center"/>
              <w:rPr>
                <w:lang w:val="zh-CN"/>
              </w:rPr>
            </w:pPr>
            <w:r w:rsidRPr="00536CFD">
              <w:rPr>
                <w:lang w:val="zh-CN"/>
              </w:rPr>
              <w:t>26.097</w:t>
            </w:r>
          </w:p>
        </w:tc>
        <w:tc>
          <w:tcPr>
            <w:tcW w:w="810" w:type="dxa"/>
            <w:tcBorders>
              <w:top w:val="single" w:sz="4" w:space="0" w:color="auto"/>
              <w:left w:val="nil"/>
              <w:bottom w:val="single" w:sz="4" w:space="0" w:color="auto"/>
              <w:right w:val="single" w:sz="4" w:space="0" w:color="auto"/>
            </w:tcBorders>
            <w:shd w:val="clear" w:color="auto" w:fill="auto"/>
            <w:vAlign w:val="bottom"/>
          </w:tcPr>
          <w:p w14:paraId="6E8FA746" w14:textId="77777777" w:rsidR="009D4A93" w:rsidRPr="00536CFD" w:rsidRDefault="009D4A93" w:rsidP="009D4A93">
            <w:pPr>
              <w:spacing w:after="0"/>
              <w:jc w:val="center"/>
              <w:rPr>
                <w:lang w:val="zh-CN"/>
              </w:rPr>
            </w:pPr>
            <w:r w:rsidRPr="00536CFD">
              <w:rPr>
                <w:lang w:val="zh-CN"/>
              </w:rPr>
              <w:t>13.497</w:t>
            </w:r>
          </w:p>
        </w:tc>
        <w:tc>
          <w:tcPr>
            <w:tcW w:w="820" w:type="dxa"/>
            <w:tcBorders>
              <w:top w:val="single" w:sz="4" w:space="0" w:color="auto"/>
              <w:left w:val="nil"/>
              <w:bottom w:val="single" w:sz="4" w:space="0" w:color="auto"/>
              <w:right w:val="single" w:sz="4" w:space="0" w:color="auto"/>
            </w:tcBorders>
            <w:shd w:val="clear" w:color="auto" w:fill="auto"/>
            <w:vAlign w:val="bottom"/>
          </w:tcPr>
          <w:p w14:paraId="1811214B" w14:textId="77777777" w:rsidR="009D4A93" w:rsidRPr="00536CFD" w:rsidRDefault="009D4A93" w:rsidP="009D4A93">
            <w:pPr>
              <w:spacing w:after="0"/>
              <w:jc w:val="center"/>
              <w:rPr>
                <w:lang w:val="zh-CN"/>
              </w:rPr>
            </w:pPr>
            <w:r w:rsidRPr="00536CFD">
              <w:rPr>
                <w:lang w:val="zh-CN"/>
              </w:rPr>
              <w:t>10.113</w:t>
            </w:r>
          </w:p>
        </w:tc>
        <w:tc>
          <w:tcPr>
            <w:tcW w:w="800" w:type="dxa"/>
            <w:tcBorders>
              <w:top w:val="single" w:sz="4" w:space="0" w:color="auto"/>
              <w:left w:val="nil"/>
              <w:bottom w:val="single" w:sz="4" w:space="0" w:color="auto"/>
              <w:right w:val="single" w:sz="4" w:space="0" w:color="auto"/>
            </w:tcBorders>
            <w:shd w:val="clear" w:color="auto" w:fill="auto"/>
            <w:vAlign w:val="bottom"/>
          </w:tcPr>
          <w:p w14:paraId="6436ED45" w14:textId="77777777" w:rsidR="009D4A93" w:rsidRPr="00536CFD" w:rsidRDefault="009D4A93" w:rsidP="009D4A93">
            <w:pPr>
              <w:spacing w:after="0"/>
              <w:jc w:val="center"/>
              <w:rPr>
                <w:lang w:val="zh-CN"/>
              </w:rPr>
            </w:pPr>
            <w:r w:rsidRPr="00536CFD">
              <w:rPr>
                <w:lang w:val="zh-CN"/>
              </w:rPr>
              <w:t>7.552</w:t>
            </w:r>
          </w:p>
        </w:tc>
        <w:tc>
          <w:tcPr>
            <w:tcW w:w="720" w:type="dxa"/>
            <w:tcBorders>
              <w:top w:val="single" w:sz="4" w:space="0" w:color="auto"/>
              <w:left w:val="nil"/>
              <w:bottom w:val="single" w:sz="4" w:space="0" w:color="auto"/>
              <w:right w:val="single" w:sz="4" w:space="0" w:color="auto"/>
            </w:tcBorders>
            <w:shd w:val="clear" w:color="auto" w:fill="auto"/>
            <w:vAlign w:val="bottom"/>
          </w:tcPr>
          <w:p w14:paraId="2A3964A8" w14:textId="77777777" w:rsidR="009D4A93" w:rsidRPr="00536CFD" w:rsidRDefault="009D4A93" w:rsidP="009D4A93">
            <w:pPr>
              <w:spacing w:after="0"/>
              <w:jc w:val="center"/>
              <w:rPr>
                <w:lang w:val="zh-CN"/>
              </w:rPr>
            </w:pPr>
            <w:r w:rsidRPr="00536CFD">
              <w:rPr>
                <w:lang w:val="zh-CN"/>
              </w:rPr>
              <w:t>18.442</w:t>
            </w:r>
          </w:p>
        </w:tc>
        <w:tc>
          <w:tcPr>
            <w:tcW w:w="724" w:type="dxa"/>
            <w:tcBorders>
              <w:top w:val="single" w:sz="4" w:space="0" w:color="auto"/>
              <w:left w:val="nil"/>
              <w:bottom w:val="single" w:sz="4" w:space="0" w:color="auto"/>
              <w:right w:val="single" w:sz="4" w:space="0" w:color="auto"/>
            </w:tcBorders>
            <w:shd w:val="clear" w:color="auto" w:fill="auto"/>
            <w:vAlign w:val="bottom"/>
          </w:tcPr>
          <w:p w14:paraId="76D74CC8" w14:textId="77777777" w:rsidR="009D4A93" w:rsidRPr="00536CFD" w:rsidRDefault="009D4A93" w:rsidP="009D4A93">
            <w:pPr>
              <w:spacing w:after="0"/>
              <w:jc w:val="center"/>
              <w:rPr>
                <w:lang w:val="zh-CN"/>
              </w:rPr>
            </w:pPr>
            <w:r w:rsidRPr="00536CFD">
              <w:rPr>
                <w:lang w:val="zh-CN"/>
              </w:rPr>
              <w:t>7.330</w:t>
            </w:r>
          </w:p>
        </w:tc>
        <w:tc>
          <w:tcPr>
            <w:tcW w:w="896" w:type="dxa"/>
            <w:tcBorders>
              <w:top w:val="single" w:sz="4" w:space="0" w:color="auto"/>
              <w:left w:val="nil"/>
              <w:bottom w:val="single" w:sz="4" w:space="0" w:color="auto"/>
              <w:right w:val="single" w:sz="4" w:space="0" w:color="auto"/>
            </w:tcBorders>
            <w:shd w:val="clear" w:color="auto" w:fill="auto"/>
            <w:vAlign w:val="bottom"/>
          </w:tcPr>
          <w:p w14:paraId="3CA986FF" w14:textId="77777777" w:rsidR="009D4A93" w:rsidRPr="00536CFD" w:rsidRDefault="009D4A93" w:rsidP="009D4A93">
            <w:pPr>
              <w:spacing w:after="0"/>
              <w:jc w:val="center"/>
              <w:rPr>
                <w:lang w:val="zh-CN"/>
              </w:rPr>
            </w:pPr>
            <w:r w:rsidRPr="00536CFD">
              <w:rPr>
                <w:lang w:val="zh-CN"/>
              </w:rPr>
              <w:t>3.494</w:t>
            </w:r>
          </w:p>
        </w:tc>
        <w:tc>
          <w:tcPr>
            <w:tcW w:w="720" w:type="dxa"/>
            <w:tcBorders>
              <w:top w:val="single" w:sz="4" w:space="0" w:color="auto"/>
              <w:left w:val="nil"/>
              <w:bottom w:val="single" w:sz="4" w:space="0" w:color="auto"/>
              <w:right w:val="single" w:sz="4" w:space="0" w:color="auto"/>
            </w:tcBorders>
            <w:shd w:val="clear" w:color="auto" w:fill="auto"/>
            <w:vAlign w:val="bottom"/>
          </w:tcPr>
          <w:p w14:paraId="4EACC5AB" w14:textId="77777777" w:rsidR="009D4A93" w:rsidRPr="00536CFD" w:rsidRDefault="009D4A93" w:rsidP="009D4A93">
            <w:pPr>
              <w:spacing w:after="0"/>
              <w:jc w:val="center"/>
              <w:rPr>
                <w:lang w:val="zh-CN"/>
              </w:rPr>
            </w:pPr>
            <w:r w:rsidRPr="00536CFD">
              <w:rPr>
                <w:lang w:val="zh-CN"/>
              </w:rPr>
              <w:t>4.978</w:t>
            </w:r>
          </w:p>
        </w:tc>
        <w:tc>
          <w:tcPr>
            <w:tcW w:w="720" w:type="dxa"/>
            <w:tcBorders>
              <w:top w:val="single" w:sz="4" w:space="0" w:color="auto"/>
              <w:left w:val="nil"/>
              <w:bottom w:val="single" w:sz="4" w:space="0" w:color="auto"/>
              <w:right w:val="single" w:sz="4" w:space="0" w:color="auto"/>
            </w:tcBorders>
            <w:shd w:val="clear" w:color="auto" w:fill="auto"/>
            <w:vAlign w:val="bottom"/>
          </w:tcPr>
          <w:p w14:paraId="55281393" w14:textId="77777777" w:rsidR="009D4A93" w:rsidRPr="00536CFD" w:rsidRDefault="009D4A93" w:rsidP="009D4A93">
            <w:pPr>
              <w:spacing w:after="0"/>
              <w:jc w:val="center"/>
              <w:rPr>
                <w:lang w:val="zh-CN"/>
              </w:rPr>
            </w:pPr>
            <w:r w:rsidRPr="00536CFD">
              <w:rPr>
                <w:lang w:val="zh-CN"/>
              </w:rPr>
              <w:t>16.160</w:t>
            </w:r>
          </w:p>
        </w:tc>
      </w:tr>
      <w:tr w:rsidR="009D4A93" w:rsidRPr="00536CFD" w14:paraId="1430B66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788577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48FA9B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66EFAF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0A9ED0FE" w14:textId="77777777" w:rsidR="009D4A93" w:rsidRPr="00536CFD" w:rsidRDefault="009D4A93" w:rsidP="009D4A93">
            <w:pPr>
              <w:spacing w:after="0"/>
              <w:jc w:val="center"/>
              <w:rPr>
                <w:lang w:val="zh-CN"/>
              </w:rPr>
            </w:pPr>
            <w:r w:rsidRPr="00536CFD">
              <w:rPr>
                <w:lang w:val="zh-CN"/>
              </w:rPr>
              <w:t>81.430</w:t>
            </w:r>
          </w:p>
        </w:tc>
        <w:tc>
          <w:tcPr>
            <w:tcW w:w="720" w:type="dxa"/>
            <w:tcBorders>
              <w:top w:val="single" w:sz="4" w:space="0" w:color="auto"/>
              <w:left w:val="nil"/>
              <w:bottom w:val="single" w:sz="4" w:space="0" w:color="auto"/>
              <w:right w:val="single" w:sz="4" w:space="0" w:color="auto"/>
            </w:tcBorders>
            <w:shd w:val="clear" w:color="auto" w:fill="auto"/>
            <w:vAlign w:val="bottom"/>
          </w:tcPr>
          <w:p w14:paraId="09C44C09" w14:textId="77777777" w:rsidR="009D4A93" w:rsidRPr="00536CFD" w:rsidRDefault="009D4A93" w:rsidP="009D4A93">
            <w:pPr>
              <w:spacing w:after="0"/>
              <w:jc w:val="center"/>
              <w:rPr>
                <w:lang w:val="zh-CN"/>
              </w:rPr>
            </w:pPr>
            <w:r w:rsidRPr="00536CFD">
              <w:rPr>
                <w:lang w:val="zh-CN"/>
              </w:rPr>
              <w:t>95.070</w:t>
            </w:r>
          </w:p>
        </w:tc>
        <w:tc>
          <w:tcPr>
            <w:tcW w:w="720" w:type="dxa"/>
            <w:tcBorders>
              <w:top w:val="single" w:sz="4" w:space="0" w:color="auto"/>
              <w:left w:val="nil"/>
              <w:bottom w:val="single" w:sz="4" w:space="0" w:color="auto"/>
              <w:right w:val="single" w:sz="4" w:space="0" w:color="auto"/>
            </w:tcBorders>
            <w:shd w:val="clear" w:color="auto" w:fill="auto"/>
            <w:vAlign w:val="bottom"/>
          </w:tcPr>
          <w:p w14:paraId="4AA5ABBE" w14:textId="77777777" w:rsidR="009D4A93" w:rsidRPr="00536CFD" w:rsidRDefault="009D4A93" w:rsidP="009D4A93">
            <w:pPr>
              <w:spacing w:after="0"/>
              <w:jc w:val="center"/>
              <w:rPr>
                <w:lang w:val="zh-CN"/>
              </w:rPr>
            </w:pPr>
            <w:r w:rsidRPr="00536CFD">
              <w:rPr>
                <w:lang w:val="zh-CN"/>
              </w:rPr>
              <w:t>147.554</w:t>
            </w:r>
          </w:p>
        </w:tc>
        <w:tc>
          <w:tcPr>
            <w:tcW w:w="810" w:type="dxa"/>
            <w:tcBorders>
              <w:top w:val="single" w:sz="4" w:space="0" w:color="auto"/>
              <w:left w:val="nil"/>
              <w:bottom w:val="single" w:sz="4" w:space="0" w:color="auto"/>
              <w:right w:val="single" w:sz="4" w:space="0" w:color="auto"/>
            </w:tcBorders>
            <w:shd w:val="clear" w:color="auto" w:fill="auto"/>
            <w:vAlign w:val="bottom"/>
          </w:tcPr>
          <w:p w14:paraId="50BA73E3" w14:textId="77777777" w:rsidR="009D4A93" w:rsidRPr="00536CFD" w:rsidRDefault="009D4A93" w:rsidP="009D4A93">
            <w:pPr>
              <w:spacing w:after="0"/>
              <w:jc w:val="center"/>
              <w:rPr>
                <w:lang w:val="zh-CN"/>
              </w:rPr>
            </w:pPr>
            <w:r w:rsidRPr="00536CFD">
              <w:rPr>
                <w:lang w:val="zh-CN"/>
              </w:rPr>
              <w:t>157.696</w:t>
            </w:r>
          </w:p>
        </w:tc>
        <w:tc>
          <w:tcPr>
            <w:tcW w:w="810" w:type="dxa"/>
            <w:tcBorders>
              <w:top w:val="single" w:sz="4" w:space="0" w:color="auto"/>
              <w:left w:val="nil"/>
              <w:bottom w:val="single" w:sz="4" w:space="0" w:color="auto"/>
              <w:right w:val="single" w:sz="4" w:space="0" w:color="auto"/>
            </w:tcBorders>
            <w:shd w:val="clear" w:color="auto" w:fill="auto"/>
            <w:vAlign w:val="bottom"/>
          </w:tcPr>
          <w:p w14:paraId="1BFC9978" w14:textId="77777777" w:rsidR="009D4A93" w:rsidRPr="00536CFD" w:rsidRDefault="009D4A93" w:rsidP="009D4A93">
            <w:pPr>
              <w:spacing w:after="0"/>
              <w:jc w:val="center"/>
              <w:rPr>
                <w:lang w:val="zh-CN"/>
              </w:rPr>
            </w:pPr>
            <w:r w:rsidRPr="00536CFD">
              <w:rPr>
                <w:lang w:val="zh-CN"/>
              </w:rPr>
              <w:t>44.765</w:t>
            </w:r>
          </w:p>
        </w:tc>
        <w:tc>
          <w:tcPr>
            <w:tcW w:w="820" w:type="dxa"/>
            <w:tcBorders>
              <w:top w:val="single" w:sz="4" w:space="0" w:color="auto"/>
              <w:left w:val="nil"/>
              <w:bottom w:val="single" w:sz="4" w:space="0" w:color="auto"/>
              <w:right w:val="single" w:sz="4" w:space="0" w:color="auto"/>
            </w:tcBorders>
            <w:shd w:val="clear" w:color="auto" w:fill="auto"/>
            <w:vAlign w:val="bottom"/>
          </w:tcPr>
          <w:p w14:paraId="44984771" w14:textId="77777777" w:rsidR="009D4A93" w:rsidRPr="00536CFD" w:rsidRDefault="009D4A93" w:rsidP="009D4A93">
            <w:pPr>
              <w:spacing w:after="0"/>
              <w:jc w:val="center"/>
              <w:rPr>
                <w:lang w:val="zh-CN"/>
              </w:rPr>
            </w:pPr>
            <w:r w:rsidRPr="00536CFD">
              <w:rPr>
                <w:lang w:val="zh-CN"/>
              </w:rPr>
              <w:t>52.213</w:t>
            </w:r>
          </w:p>
        </w:tc>
        <w:tc>
          <w:tcPr>
            <w:tcW w:w="800" w:type="dxa"/>
            <w:tcBorders>
              <w:top w:val="single" w:sz="4" w:space="0" w:color="auto"/>
              <w:left w:val="nil"/>
              <w:bottom w:val="single" w:sz="4" w:space="0" w:color="auto"/>
              <w:right w:val="single" w:sz="4" w:space="0" w:color="auto"/>
            </w:tcBorders>
            <w:shd w:val="clear" w:color="auto" w:fill="auto"/>
            <w:vAlign w:val="bottom"/>
          </w:tcPr>
          <w:p w14:paraId="20F99265" w14:textId="77777777" w:rsidR="009D4A93" w:rsidRPr="00536CFD" w:rsidRDefault="009D4A93" w:rsidP="009D4A93">
            <w:pPr>
              <w:spacing w:after="0"/>
              <w:jc w:val="center"/>
              <w:rPr>
                <w:lang w:val="zh-CN"/>
              </w:rPr>
            </w:pPr>
            <w:r w:rsidRPr="00536CFD">
              <w:rPr>
                <w:lang w:val="zh-CN"/>
              </w:rPr>
              <w:t>66.107</w:t>
            </w:r>
          </w:p>
        </w:tc>
        <w:tc>
          <w:tcPr>
            <w:tcW w:w="720" w:type="dxa"/>
            <w:tcBorders>
              <w:top w:val="single" w:sz="4" w:space="0" w:color="auto"/>
              <w:left w:val="nil"/>
              <w:bottom w:val="single" w:sz="4" w:space="0" w:color="auto"/>
              <w:right w:val="single" w:sz="4" w:space="0" w:color="auto"/>
            </w:tcBorders>
            <w:shd w:val="clear" w:color="auto" w:fill="auto"/>
            <w:vAlign w:val="bottom"/>
          </w:tcPr>
          <w:p w14:paraId="2171E617" w14:textId="77777777" w:rsidR="009D4A93" w:rsidRPr="00536CFD" w:rsidRDefault="009D4A93" w:rsidP="009D4A93">
            <w:pPr>
              <w:spacing w:after="0"/>
              <w:jc w:val="center"/>
              <w:rPr>
                <w:lang w:val="zh-CN"/>
              </w:rPr>
            </w:pPr>
            <w:r w:rsidRPr="00536CFD">
              <w:rPr>
                <w:lang w:val="zh-CN"/>
              </w:rPr>
              <w:t>67.717</w:t>
            </w:r>
          </w:p>
        </w:tc>
        <w:tc>
          <w:tcPr>
            <w:tcW w:w="724" w:type="dxa"/>
            <w:tcBorders>
              <w:top w:val="single" w:sz="4" w:space="0" w:color="auto"/>
              <w:left w:val="nil"/>
              <w:bottom w:val="single" w:sz="4" w:space="0" w:color="auto"/>
              <w:right w:val="single" w:sz="4" w:space="0" w:color="auto"/>
            </w:tcBorders>
            <w:shd w:val="clear" w:color="auto" w:fill="auto"/>
            <w:vAlign w:val="bottom"/>
          </w:tcPr>
          <w:p w14:paraId="2994B914" w14:textId="77777777" w:rsidR="009D4A93" w:rsidRPr="00536CFD" w:rsidRDefault="009D4A93" w:rsidP="009D4A93">
            <w:pPr>
              <w:spacing w:after="0"/>
              <w:jc w:val="center"/>
              <w:rPr>
                <w:lang w:val="zh-CN"/>
              </w:rPr>
            </w:pPr>
            <w:r w:rsidRPr="00536CFD">
              <w:rPr>
                <w:lang w:val="zh-CN"/>
              </w:rPr>
              <w:t>28.108</w:t>
            </w:r>
          </w:p>
        </w:tc>
        <w:tc>
          <w:tcPr>
            <w:tcW w:w="896" w:type="dxa"/>
            <w:tcBorders>
              <w:top w:val="single" w:sz="4" w:space="0" w:color="auto"/>
              <w:left w:val="nil"/>
              <w:bottom w:val="single" w:sz="4" w:space="0" w:color="auto"/>
              <w:right w:val="single" w:sz="4" w:space="0" w:color="auto"/>
            </w:tcBorders>
            <w:shd w:val="clear" w:color="auto" w:fill="auto"/>
            <w:vAlign w:val="bottom"/>
          </w:tcPr>
          <w:p w14:paraId="498CFAFF" w14:textId="77777777" w:rsidR="009D4A93" w:rsidRPr="00536CFD" w:rsidRDefault="009D4A93" w:rsidP="009D4A93">
            <w:pPr>
              <w:spacing w:after="0"/>
              <w:jc w:val="center"/>
              <w:rPr>
                <w:lang w:val="zh-CN"/>
              </w:rPr>
            </w:pPr>
            <w:r w:rsidRPr="00536CFD">
              <w:rPr>
                <w:lang w:val="zh-CN"/>
              </w:rPr>
              <w:t>31.130</w:t>
            </w:r>
          </w:p>
        </w:tc>
        <w:tc>
          <w:tcPr>
            <w:tcW w:w="720" w:type="dxa"/>
            <w:tcBorders>
              <w:top w:val="single" w:sz="4" w:space="0" w:color="auto"/>
              <w:left w:val="nil"/>
              <w:bottom w:val="single" w:sz="4" w:space="0" w:color="auto"/>
              <w:right w:val="single" w:sz="4" w:space="0" w:color="auto"/>
            </w:tcBorders>
            <w:shd w:val="clear" w:color="auto" w:fill="auto"/>
            <w:vAlign w:val="bottom"/>
          </w:tcPr>
          <w:p w14:paraId="4085F475" w14:textId="77777777" w:rsidR="009D4A93" w:rsidRPr="00536CFD" w:rsidRDefault="009D4A93" w:rsidP="009D4A93">
            <w:pPr>
              <w:spacing w:after="0"/>
              <w:jc w:val="center"/>
              <w:rPr>
                <w:lang w:val="zh-CN"/>
              </w:rPr>
            </w:pPr>
            <w:r w:rsidRPr="00536CFD">
              <w:rPr>
                <w:lang w:val="zh-CN"/>
              </w:rPr>
              <w:t>40.481</w:t>
            </w:r>
          </w:p>
        </w:tc>
        <w:tc>
          <w:tcPr>
            <w:tcW w:w="720" w:type="dxa"/>
            <w:tcBorders>
              <w:top w:val="single" w:sz="4" w:space="0" w:color="auto"/>
              <w:left w:val="nil"/>
              <w:bottom w:val="single" w:sz="4" w:space="0" w:color="auto"/>
              <w:right w:val="single" w:sz="4" w:space="0" w:color="auto"/>
            </w:tcBorders>
            <w:shd w:val="clear" w:color="auto" w:fill="auto"/>
            <w:vAlign w:val="bottom"/>
          </w:tcPr>
          <w:p w14:paraId="6E0014F4" w14:textId="77777777" w:rsidR="009D4A93" w:rsidRPr="00536CFD" w:rsidRDefault="009D4A93" w:rsidP="009D4A93">
            <w:pPr>
              <w:spacing w:after="0"/>
              <w:jc w:val="center"/>
              <w:rPr>
                <w:lang w:val="zh-CN"/>
              </w:rPr>
            </w:pPr>
            <w:r w:rsidRPr="00536CFD">
              <w:rPr>
                <w:lang w:val="zh-CN"/>
              </w:rPr>
              <w:t>65.771</w:t>
            </w:r>
          </w:p>
        </w:tc>
      </w:tr>
      <w:tr w:rsidR="009D4A93" w:rsidRPr="00536CFD" w14:paraId="4829C9C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BD328B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ECE12BA"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2B15B6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090BBB70" w14:textId="77777777" w:rsidR="009D4A93" w:rsidRPr="00536CFD" w:rsidRDefault="009D4A93" w:rsidP="009D4A93">
            <w:pPr>
              <w:spacing w:after="0"/>
              <w:jc w:val="center"/>
              <w:rPr>
                <w:lang w:val="zh-CN"/>
              </w:rPr>
            </w:pPr>
            <w:r w:rsidRPr="00536CFD">
              <w:rPr>
                <w:lang w:val="zh-CN"/>
              </w:rPr>
              <w:t>125.537</w:t>
            </w:r>
          </w:p>
        </w:tc>
        <w:tc>
          <w:tcPr>
            <w:tcW w:w="720" w:type="dxa"/>
            <w:tcBorders>
              <w:top w:val="single" w:sz="4" w:space="0" w:color="auto"/>
              <w:left w:val="nil"/>
              <w:bottom w:val="single" w:sz="4" w:space="0" w:color="auto"/>
              <w:right w:val="single" w:sz="4" w:space="0" w:color="auto"/>
            </w:tcBorders>
            <w:shd w:val="clear" w:color="auto" w:fill="auto"/>
            <w:vAlign w:val="bottom"/>
          </w:tcPr>
          <w:p w14:paraId="22225C54" w14:textId="77777777" w:rsidR="009D4A93" w:rsidRPr="00536CFD" w:rsidRDefault="009D4A93" w:rsidP="009D4A93">
            <w:pPr>
              <w:spacing w:after="0"/>
              <w:jc w:val="center"/>
              <w:rPr>
                <w:lang w:val="zh-CN"/>
              </w:rPr>
            </w:pPr>
            <w:r w:rsidRPr="00536CFD">
              <w:rPr>
                <w:lang w:val="zh-CN"/>
              </w:rPr>
              <w:t>129.270</w:t>
            </w:r>
          </w:p>
        </w:tc>
        <w:tc>
          <w:tcPr>
            <w:tcW w:w="720" w:type="dxa"/>
            <w:tcBorders>
              <w:top w:val="single" w:sz="4" w:space="0" w:color="auto"/>
              <w:left w:val="nil"/>
              <w:bottom w:val="single" w:sz="4" w:space="0" w:color="auto"/>
              <w:right w:val="single" w:sz="4" w:space="0" w:color="auto"/>
            </w:tcBorders>
            <w:shd w:val="clear" w:color="auto" w:fill="auto"/>
            <w:vAlign w:val="bottom"/>
          </w:tcPr>
          <w:p w14:paraId="1B3CD58A" w14:textId="77777777" w:rsidR="009D4A93" w:rsidRPr="00536CFD" w:rsidRDefault="009D4A93" w:rsidP="009D4A93">
            <w:pPr>
              <w:spacing w:after="0"/>
              <w:jc w:val="center"/>
              <w:rPr>
                <w:lang w:val="zh-CN"/>
              </w:rPr>
            </w:pPr>
            <w:r w:rsidRPr="00536CFD">
              <w:rPr>
                <w:lang w:val="zh-CN"/>
              </w:rPr>
              <w:t>198.879</w:t>
            </w:r>
          </w:p>
        </w:tc>
        <w:tc>
          <w:tcPr>
            <w:tcW w:w="810" w:type="dxa"/>
            <w:tcBorders>
              <w:top w:val="single" w:sz="4" w:space="0" w:color="auto"/>
              <w:left w:val="nil"/>
              <w:bottom w:val="single" w:sz="4" w:space="0" w:color="auto"/>
              <w:right w:val="single" w:sz="4" w:space="0" w:color="auto"/>
            </w:tcBorders>
            <w:shd w:val="clear" w:color="auto" w:fill="auto"/>
            <w:vAlign w:val="bottom"/>
          </w:tcPr>
          <w:p w14:paraId="07D8CC81" w14:textId="77777777" w:rsidR="009D4A93" w:rsidRPr="00536CFD" w:rsidRDefault="009D4A93" w:rsidP="009D4A93">
            <w:pPr>
              <w:spacing w:after="0"/>
              <w:jc w:val="center"/>
              <w:rPr>
                <w:lang w:val="zh-CN"/>
              </w:rPr>
            </w:pPr>
            <w:r w:rsidRPr="00536CFD">
              <w:rPr>
                <w:lang w:val="zh-CN"/>
              </w:rPr>
              <w:t>198.460</w:t>
            </w:r>
          </w:p>
        </w:tc>
        <w:tc>
          <w:tcPr>
            <w:tcW w:w="810" w:type="dxa"/>
            <w:tcBorders>
              <w:top w:val="single" w:sz="4" w:space="0" w:color="auto"/>
              <w:left w:val="nil"/>
              <w:bottom w:val="single" w:sz="4" w:space="0" w:color="auto"/>
              <w:right w:val="single" w:sz="4" w:space="0" w:color="auto"/>
            </w:tcBorders>
            <w:shd w:val="clear" w:color="auto" w:fill="auto"/>
            <w:vAlign w:val="bottom"/>
          </w:tcPr>
          <w:p w14:paraId="232A1B46" w14:textId="77777777" w:rsidR="009D4A93" w:rsidRPr="00536CFD" w:rsidRDefault="009D4A93" w:rsidP="009D4A93">
            <w:pPr>
              <w:spacing w:after="0"/>
              <w:jc w:val="center"/>
              <w:rPr>
                <w:lang w:val="zh-CN"/>
              </w:rPr>
            </w:pPr>
            <w:r w:rsidRPr="00536CFD">
              <w:rPr>
                <w:lang w:val="zh-CN"/>
              </w:rPr>
              <w:t>113.807</w:t>
            </w:r>
          </w:p>
        </w:tc>
        <w:tc>
          <w:tcPr>
            <w:tcW w:w="820" w:type="dxa"/>
            <w:tcBorders>
              <w:top w:val="single" w:sz="4" w:space="0" w:color="auto"/>
              <w:left w:val="nil"/>
              <w:bottom w:val="single" w:sz="4" w:space="0" w:color="auto"/>
              <w:right w:val="single" w:sz="4" w:space="0" w:color="auto"/>
            </w:tcBorders>
            <w:shd w:val="clear" w:color="auto" w:fill="auto"/>
            <w:vAlign w:val="bottom"/>
          </w:tcPr>
          <w:p w14:paraId="21651EEE" w14:textId="77777777" w:rsidR="009D4A93" w:rsidRPr="00536CFD" w:rsidRDefault="009D4A93" w:rsidP="009D4A93">
            <w:pPr>
              <w:spacing w:after="0"/>
              <w:jc w:val="center"/>
              <w:rPr>
                <w:lang w:val="zh-CN"/>
              </w:rPr>
            </w:pPr>
            <w:r w:rsidRPr="00536CFD">
              <w:rPr>
                <w:lang w:val="zh-CN"/>
              </w:rPr>
              <w:t>116.741</w:t>
            </w:r>
          </w:p>
        </w:tc>
        <w:tc>
          <w:tcPr>
            <w:tcW w:w="800" w:type="dxa"/>
            <w:tcBorders>
              <w:top w:val="single" w:sz="4" w:space="0" w:color="auto"/>
              <w:left w:val="nil"/>
              <w:bottom w:val="single" w:sz="4" w:space="0" w:color="auto"/>
              <w:right w:val="single" w:sz="4" w:space="0" w:color="auto"/>
            </w:tcBorders>
            <w:shd w:val="clear" w:color="auto" w:fill="auto"/>
            <w:vAlign w:val="bottom"/>
          </w:tcPr>
          <w:p w14:paraId="3F60436A" w14:textId="77777777" w:rsidR="009D4A93" w:rsidRPr="00536CFD" w:rsidRDefault="009D4A93" w:rsidP="009D4A93">
            <w:pPr>
              <w:spacing w:after="0"/>
              <w:jc w:val="center"/>
              <w:rPr>
                <w:lang w:val="zh-CN"/>
              </w:rPr>
            </w:pPr>
            <w:r w:rsidRPr="00536CFD">
              <w:rPr>
                <w:lang w:val="zh-CN"/>
              </w:rPr>
              <w:t>167.788</w:t>
            </w:r>
          </w:p>
        </w:tc>
        <w:tc>
          <w:tcPr>
            <w:tcW w:w="720" w:type="dxa"/>
            <w:tcBorders>
              <w:top w:val="single" w:sz="4" w:space="0" w:color="auto"/>
              <w:left w:val="nil"/>
              <w:bottom w:val="single" w:sz="4" w:space="0" w:color="auto"/>
              <w:right w:val="single" w:sz="4" w:space="0" w:color="auto"/>
            </w:tcBorders>
            <w:shd w:val="clear" w:color="auto" w:fill="auto"/>
            <w:vAlign w:val="bottom"/>
          </w:tcPr>
          <w:p w14:paraId="6B0700C3" w14:textId="77777777" w:rsidR="009D4A93" w:rsidRPr="00536CFD" w:rsidRDefault="009D4A93" w:rsidP="009D4A93">
            <w:pPr>
              <w:spacing w:after="0"/>
              <w:jc w:val="center"/>
              <w:rPr>
                <w:lang w:val="zh-CN"/>
              </w:rPr>
            </w:pPr>
            <w:r w:rsidRPr="00536CFD">
              <w:rPr>
                <w:lang w:val="zh-CN"/>
              </w:rPr>
              <w:t>171.151</w:t>
            </w:r>
          </w:p>
        </w:tc>
        <w:tc>
          <w:tcPr>
            <w:tcW w:w="724" w:type="dxa"/>
            <w:tcBorders>
              <w:top w:val="single" w:sz="4" w:space="0" w:color="auto"/>
              <w:left w:val="nil"/>
              <w:bottom w:val="single" w:sz="4" w:space="0" w:color="auto"/>
              <w:right w:val="single" w:sz="4" w:space="0" w:color="auto"/>
            </w:tcBorders>
            <w:shd w:val="clear" w:color="auto" w:fill="auto"/>
            <w:vAlign w:val="bottom"/>
          </w:tcPr>
          <w:p w14:paraId="06B52F15" w14:textId="77777777" w:rsidR="009D4A93" w:rsidRPr="00536CFD" w:rsidRDefault="009D4A93" w:rsidP="009D4A93">
            <w:pPr>
              <w:spacing w:after="0"/>
              <w:jc w:val="center"/>
              <w:rPr>
                <w:lang w:val="zh-CN"/>
              </w:rPr>
            </w:pPr>
            <w:r w:rsidRPr="00536CFD">
              <w:rPr>
                <w:lang w:val="zh-CN"/>
              </w:rPr>
              <w:t>77.057</w:t>
            </w:r>
          </w:p>
        </w:tc>
        <w:tc>
          <w:tcPr>
            <w:tcW w:w="896" w:type="dxa"/>
            <w:tcBorders>
              <w:top w:val="single" w:sz="4" w:space="0" w:color="auto"/>
              <w:left w:val="nil"/>
              <w:bottom w:val="single" w:sz="4" w:space="0" w:color="auto"/>
              <w:right w:val="single" w:sz="4" w:space="0" w:color="auto"/>
            </w:tcBorders>
            <w:shd w:val="clear" w:color="auto" w:fill="auto"/>
            <w:vAlign w:val="bottom"/>
          </w:tcPr>
          <w:p w14:paraId="6FDBDE04" w14:textId="77777777" w:rsidR="009D4A93" w:rsidRPr="00536CFD" w:rsidRDefault="009D4A93" w:rsidP="009D4A93">
            <w:pPr>
              <w:spacing w:after="0"/>
              <w:jc w:val="center"/>
              <w:rPr>
                <w:lang w:val="zh-CN"/>
              </w:rPr>
            </w:pPr>
            <w:r w:rsidRPr="00536CFD">
              <w:rPr>
                <w:lang w:val="zh-CN"/>
              </w:rPr>
              <w:t>109.554</w:t>
            </w:r>
          </w:p>
        </w:tc>
        <w:tc>
          <w:tcPr>
            <w:tcW w:w="720" w:type="dxa"/>
            <w:tcBorders>
              <w:top w:val="single" w:sz="4" w:space="0" w:color="auto"/>
              <w:left w:val="nil"/>
              <w:bottom w:val="single" w:sz="4" w:space="0" w:color="auto"/>
              <w:right w:val="single" w:sz="4" w:space="0" w:color="auto"/>
            </w:tcBorders>
            <w:shd w:val="clear" w:color="auto" w:fill="auto"/>
            <w:vAlign w:val="bottom"/>
          </w:tcPr>
          <w:p w14:paraId="60E131CB" w14:textId="77777777" w:rsidR="009D4A93" w:rsidRPr="00536CFD" w:rsidRDefault="009D4A93" w:rsidP="009D4A93">
            <w:pPr>
              <w:spacing w:after="0"/>
              <w:jc w:val="center"/>
              <w:rPr>
                <w:lang w:val="zh-CN"/>
              </w:rPr>
            </w:pPr>
            <w:r w:rsidRPr="00536CFD">
              <w:rPr>
                <w:lang w:val="zh-CN"/>
              </w:rPr>
              <w:t>162.036</w:t>
            </w:r>
          </w:p>
        </w:tc>
        <w:tc>
          <w:tcPr>
            <w:tcW w:w="720" w:type="dxa"/>
            <w:tcBorders>
              <w:top w:val="single" w:sz="4" w:space="0" w:color="auto"/>
              <w:left w:val="nil"/>
              <w:bottom w:val="single" w:sz="4" w:space="0" w:color="auto"/>
              <w:right w:val="single" w:sz="4" w:space="0" w:color="auto"/>
            </w:tcBorders>
            <w:shd w:val="clear" w:color="auto" w:fill="auto"/>
            <w:vAlign w:val="bottom"/>
          </w:tcPr>
          <w:p w14:paraId="3A4019C7" w14:textId="77777777" w:rsidR="009D4A93" w:rsidRPr="00536CFD" w:rsidRDefault="009D4A93" w:rsidP="009D4A93">
            <w:pPr>
              <w:spacing w:after="0"/>
              <w:jc w:val="center"/>
              <w:rPr>
                <w:lang w:val="zh-CN"/>
              </w:rPr>
            </w:pPr>
            <w:r w:rsidRPr="00536CFD">
              <w:rPr>
                <w:lang w:val="zh-CN"/>
              </w:rPr>
              <w:t>170.362</w:t>
            </w:r>
          </w:p>
        </w:tc>
      </w:tr>
      <w:tr w:rsidR="009D4A93" w:rsidRPr="00536CFD" w14:paraId="5F51928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62D982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E32DBF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02E989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36A068E4" w14:textId="77777777" w:rsidR="009D4A93" w:rsidRPr="00536CFD" w:rsidRDefault="009D4A93" w:rsidP="009D4A93">
            <w:pPr>
              <w:spacing w:after="0"/>
              <w:jc w:val="center"/>
              <w:rPr>
                <w:lang w:val="zh-CN"/>
              </w:rPr>
            </w:pPr>
            <w:r w:rsidRPr="00536CFD">
              <w:rPr>
                <w:lang w:val="zh-CN"/>
              </w:rPr>
              <w:t>80.987</w:t>
            </w:r>
          </w:p>
        </w:tc>
        <w:tc>
          <w:tcPr>
            <w:tcW w:w="720" w:type="dxa"/>
            <w:tcBorders>
              <w:top w:val="single" w:sz="4" w:space="0" w:color="auto"/>
              <w:left w:val="nil"/>
              <w:bottom w:val="single" w:sz="4" w:space="0" w:color="auto"/>
              <w:right w:val="single" w:sz="4" w:space="0" w:color="auto"/>
            </w:tcBorders>
            <w:shd w:val="clear" w:color="auto" w:fill="auto"/>
            <w:vAlign w:val="bottom"/>
          </w:tcPr>
          <w:p w14:paraId="42E4C7B9" w14:textId="77777777" w:rsidR="009D4A93" w:rsidRPr="00536CFD" w:rsidRDefault="009D4A93" w:rsidP="009D4A93">
            <w:pPr>
              <w:spacing w:after="0"/>
              <w:jc w:val="center"/>
              <w:rPr>
                <w:lang w:val="zh-CN"/>
              </w:rPr>
            </w:pPr>
            <w:r w:rsidRPr="00536CFD">
              <w:rPr>
                <w:lang w:val="zh-CN"/>
              </w:rPr>
              <w:t>89.301</w:t>
            </w:r>
          </w:p>
        </w:tc>
        <w:tc>
          <w:tcPr>
            <w:tcW w:w="720" w:type="dxa"/>
            <w:tcBorders>
              <w:top w:val="single" w:sz="4" w:space="0" w:color="auto"/>
              <w:left w:val="nil"/>
              <w:bottom w:val="single" w:sz="4" w:space="0" w:color="auto"/>
              <w:right w:val="single" w:sz="4" w:space="0" w:color="auto"/>
            </w:tcBorders>
            <w:shd w:val="clear" w:color="auto" w:fill="auto"/>
            <w:vAlign w:val="bottom"/>
          </w:tcPr>
          <w:p w14:paraId="5DCED654" w14:textId="77777777" w:rsidR="009D4A93" w:rsidRPr="00536CFD" w:rsidRDefault="009D4A93" w:rsidP="009D4A93">
            <w:pPr>
              <w:spacing w:after="0"/>
              <w:jc w:val="center"/>
              <w:rPr>
                <w:lang w:val="zh-CN"/>
              </w:rPr>
            </w:pPr>
            <w:r w:rsidRPr="00536CFD">
              <w:rPr>
                <w:lang w:val="zh-CN"/>
              </w:rPr>
              <w:t>133.846</w:t>
            </w:r>
          </w:p>
        </w:tc>
        <w:tc>
          <w:tcPr>
            <w:tcW w:w="810" w:type="dxa"/>
            <w:tcBorders>
              <w:top w:val="single" w:sz="4" w:space="0" w:color="auto"/>
              <w:left w:val="nil"/>
              <w:bottom w:val="single" w:sz="4" w:space="0" w:color="auto"/>
              <w:right w:val="single" w:sz="4" w:space="0" w:color="auto"/>
            </w:tcBorders>
            <w:shd w:val="clear" w:color="auto" w:fill="auto"/>
            <w:vAlign w:val="bottom"/>
          </w:tcPr>
          <w:p w14:paraId="6301315A" w14:textId="77777777" w:rsidR="009D4A93" w:rsidRPr="00536CFD" w:rsidRDefault="009D4A93" w:rsidP="009D4A93">
            <w:pPr>
              <w:spacing w:after="0"/>
              <w:jc w:val="center"/>
              <w:rPr>
                <w:lang w:val="zh-CN"/>
              </w:rPr>
            </w:pPr>
            <w:r w:rsidRPr="00536CFD">
              <w:rPr>
                <w:lang w:val="zh-CN"/>
              </w:rPr>
              <w:t>141.838</w:t>
            </w:r>
          </w:p>
        </w:tc>
        <w:tc>
          <w:tcPr>
            <w:tcW w:w="810" w:type="dxa"/>
            <w:tcBorders>
              <w:top w:val="single" w:sz="4" w:space="0" w:color="auto"/>
              <w:left w:val="nil"/>
              <w:bottom w:val="single" w:sz="4" w:space="0" w:color="auto"/>
              <w:right w:val="single" w:sz="4" w:space="0" w:color="auto"/>
            </w:tcBorders>
            <w:shd w:val="clear" w:color="auto" w:fill="auto"/>
            <w:vAlign w:val="bottom"/>
          </w:tcPr>
          <w:p w14:paraId="3FCF258F" w14:textId="77777777" w:rsidR="009D4A93" w:rsidRPr="00536CFD" w:rsidRDefault="009D4A93" w:rsidP="009D4A93">
            <w:pPr>
              <w:spacing w:after="0"/>
              <w:jc w:val="center"/>
              <w:rPr>
                <w:lang w:val="zh-CN"/>
              </w:rPr>
            </w:pPr>
            <w:r w:rsidRPr="00536CFD">
              <w:rPr>
                <w:lang w:val="zh-CN"/>
              </w:rPr>
              <w:t>53.162</w:t>
            </w:r>
          </w:p>
        </w:tc>
        <w:tc>
          <w:tcPr>
            <w:tcW w:w="820" w:type="dxa"/>
            <w:tcBorders>
              <w:top w:val="single" w:sz="4" w:space="0" w:color="auto"/>
              <w:left w:val="nil"/>
              <w:bottom w:val="single" w:sz="4" w:space="0" w:color="auto"/>
              <w:right w:val="single" w:sz="4" w:space="0" w:color="auto"/>
            </w:tcBorders>
            <w:shd w:val="clear" w:color="auto" w:fill="auto"/>
            <w:vAlign w:val="bottom"/>
          </w:tcPr>
          <w:p w14:paraId="08E0ACF4" w14:textId="77777777" w:rsidR="009D4A93" w:rsidRPr="00536CFD" w:rsidRDefault="009D4A93" w:rsidP="009D4A93">
            <w:pPr>
              <w:spacing w:after="0"/>
              <w:jc w:val="center"/>
              <w:rPr>
                <w:lang w:val="zh-CN"/>
              </w:rPr>
            </w:pPr>
            <w:r w:rsidRPr="00536CFD">
              <w:rPr>
                <w:lang w:val="zh-CN"/>
              </w:rPr>
              <w:t>56.365</w:t>
            </w:r>
          </w:p>
        </w:tc>
        <w:tc>
          <w:tcPr>
            <w:tcW w:w="800" w:type="dxa"/>
            <w:tcBorders>
              <w:top w:val="single" w:sz="4" w:space="0" w:color="auto"/>
              <w:left w:val="nil"/>
              <w:bottom w:val="single" w:sz="4" w:space="0" w:color="auto"/>
              <w:right w:val="single" w:sz="4" w:space="0" w:color="auto"/>
            </w:tcBorders>
            <w:shd w:val="clear" w:color="auto" w:fill="auto"/>
            <w:vAlign w:val="bottom"/>
          </w:tcPr>
          <w:p w14:paraId="2E57C37D" w14:textId="77777777" w:rsidR="009D4A93" w:rsidRPr="00536CFD" w:rsidRDefault="009D4A93" w:rsidP="009D4A93">
            <w:pPr>
              <w:spacing w:after="0"/>
              <w:jc w:val="center"/>
              <w:rPr>
                <w:lang w:val="zh-CN"/>
              </w:rPr>
            </w:pPr>
            <w:r w:rsidRPr="00536CFD">
              <w:rPr>
                <w:lang w:val="zh-CN"/>
              </w:rPr>
              <w:t>75.220</w:t>
            </w:r>
          </w:p>
        </w:tc>
        <w:tc>
          <w:tcPr>
            <w:tcW w:w="720" w:type="dxa"/>
            <w:tcBorders>
              <w:top w:val="single" w:sz="4" w:space="0" w:color="auto"/>
              <w:left w:val="nil"/>
              <w:bottom w:val="single" w:sz="4" w:space="0" w:color="auto"/>
              <w:right w:val="single" w:sz="4" w:space="0" w:color="auto"/>
            </w:tcBorders>
            <w:shd w:val="clear" w:color="auto" w:fill="auto"/>
            <w:vAlign w:val="bottom"/>
          </w:tcPr>
          <w:p w14:paraId="77F36ABF" w14:textId="77777777" w:rsidR="009D4A93" w:rsidRPr="00536CFD" w:rsidRDefault="009D4A93" w:rsidP="009D4A93">
            <w:pPr>
              <w:spacing w:after="0"/>
              <w:jc w:val="center"/>
              <w:rPr>
                <w:lang w:val="zh-CN"/>
              </w:rPr>
            </w:pPr>
            <w:r w:rsidRPr="00536CFD">
              <w:rPr>
                <w:lang w:val="zh-CN"/>
              </w:rPr>
              <w:t>79.673</w:t>
            </w:r>
          </w:p>
        </w:tc>
        <w:tc>
          <w:tcPr>
            <w:tcW w:w="724" w:type="dxa"/>
            <w:tcBorders>
              <w:top w:val="single" w:sz="4" w:space="0" w:color="auto"/>
              <w:left w:val="nil"/>
              <w:bottom w:val="single" w:sz="4" w:space="0" w:color="auto"/>
              <w:right w:val="single" w:sz="4" w:space="0" w:color="auto"/>
            </w:tcBorders>
            <w:shd w:val="clear" w:color="auto" w:fill="auto"/>
            <w:vAlign w:val="bottom"/>
          </w:tcPr>
          <w:p w14:paraId="50532782" w14:textId="77777777" w:rsidR="009D4A93" w:rsidRPr="00536CFD" w:rsidRDefault="009D4A93" w:rsidP="009D4A93">
            <w:pPr>
              <w:spacing w:after="0"/>
              <w:jc w:val="center"/>
              <w:rPr>
                <w:lang w:val="zh-CN"/>
              </w:rPr>
            </w:pPr>
            <w:r w:rsidRPr="00536CFD">
              <w:rPr>
                <w:lang w:val="zh-CN"/>
              </w:rPr>
              <w:t>33.345</w:t>
            </w:r>
          </w:p>
        </w:tc>
        <w:tc>
          <w:tcPr>
            <w:tcW w:w="896" w:type="dxa"/>
            <w:tcBorders>
              <w:top w:val="single" w:sz="4" w:space="0" w:color="auto"/>
              <w:left w:val="nil"/>
              <w:bottom w:val="single" w:sz="4" w:space="0" w:color="auto"/>
              <w:right w:val="single" w:sz="4" w:space="0" w:color="auto"/>
            </w:tcBorders>
            <w:shd w:val="clear" w:color="auto" w:fill="auto"/>
            <w:vAlign w:val="bottom"/>
          </w:tcPr>
          <w:p w14:paraId="211F8576" w14:textId="77777777" w:rsidR="009D4A93" w:rsidRPr="00536CFD" w:rsidRDefault="009D4A93" w:rsidP="009D4A93">
            <w:pPr>
              <w:spacing w:after="0"/>
              <w:jc w:val="center"/>
              <w:rPr>
                <w:lang w:val="zh-CN"/>
              </w:rPr>
            </w:pPr>
            <w:r w:rsidRPr="00536CFD">
              <w:rPr>
                <w:lang w:val="zh-CN"/>
              </w:rPr>
              <w:t>41.111</w:t>
            </w:r>
          </w:p>
        </w:tc>
        <w:tc>
          <w:tcPr>
            <w:tcW w:w="720" w:type="dxa"/>
            <w:tcBorders>
              <w:top w:val="single" w:sz="4" w:space="0" w:color="auto"/>
              <w:left w:val="nil"/>
              <w:bottom w:val="single" w:sz="4" w:space="0" w:color="auto"/>
              <w:right w:val="single" w:sz="4" w:space="0" w:color="auto"/>
            </w:tcBorders>
            <w:shd w:val="clear" w:color="auto" w:fill="auto"/>
            <w:vAlign w:val="bottom"/>
          </w:tcPr>
          <w:p w14:paraId="514FD489" w14:textId="77777777" w:rsidR="009D4A93" w:rsidRPr="00536CFD" w:rsidRDefault="009D4A93" w:rsidP="009D4A93">
            <w:pPr>
              <w:spacing w:after="0"/>
              <w:jc w:val="center"/>
              <w:rPr>
                <w:lang w:val="zh-CN"/>
              </w:rPr>
            </w:pPr>
            <w:r w:rsidRPr="00536CFD">
              <w:rPr>
                <w:lang w:val="zh-CN"/>
              </w:rPr>
              <w:t>59.763</w:t>
            </w:r>
          </w:p>
        </w:tc>
        <w:tc>
          <w:tcPr>
            <w:tcW w:w="720" w:type="dxa"/>
            <w:tcBorders>
              <w:top w:val="single" w:sz="4" w:space="0" w:color="auto"/>
              <w:left w:val="nil"/>
              <w:bottom w:val="single" w:sz="4" w:space="0" w:color="auto"/>
              <w:right w:val="single" w:sz="4" w:space="0" w:color="auto"/>
            </w:tcBorders>
            <w:shd w:val="clear" w:color="auto" w:fill="auto"/>
            <w:vAlign w:val="bottom"/>
          </w:tcPr>
          <w:p w14:paraId="7E996F59" w14:textId="77777777" w:rsidR="009D4A93" w:rsidRPr="00536CFD" w:rsidRDefault="009D4A93" w:rsidP="009D4A93">
            <w:pPr>
              <w:spacing w:after="0"/>
              <w:jc w:val="center"/>
              <w:rPr>
                <w:lang w:val="zh-CN"/>
              </w:rPr>
            </w:pPr>
            <w:r w:rsidRPr="00536CFD">
              <w:rPr>
                <w:lang w:val="zh-CN"/>
              </w:rPr>
              <w:t>78.704</w:t>
            </w:r>
          </w:p>
        </w:tc>
      </w:tr>
      <w:tr w:rsidR="009D4A93" w:rsidRPr="00536CFD" w14:paraId="5F1DE2D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76F4625"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2E2D20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329F650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27F39044" w14:textId="77777777" w:rsidR="009D4A93" w:rsidRPr="00536CFD" w:rsidRDefault="009D4A93" w:rsidP="009D4A93">
            <w:pPr>
              <w:spacing w:after="0"/>
              <w:jc w:val="center"/>
              <w:rPr>
                <w:lang w:val="zh-CN"/>
              </w:rPr>
            </w:pPr>
            <w:r w:rsidRPr="00536CFD">
              <w:rPr>
                <w:lang w:val="zh-CN"/>
              </w:rPr>
              <w:t>0.033</w:t>
            </w:r>
          </w:p>
        </w:tc>
        <w:tc>
          <w:tcPr>
            <w:tcW w:w="720" w:type="dxa"/>
            <w:tcBorders>
              <w:top w:val="single" w:sz="4" w:space="0" w:color="auto"/>
              <w:left w:val="nil"/>
              <w:bottom w:val="single" w:sz="4" w:space="0" w:color="auto"/>
              <w:right w:val="single" w:sz="4" w:space="0" w:color="auto"/>
            </w:tcBorders>
            <w:shd w:val="clear" w:color="auto" w:fill="auto"/>
          </w:tcPr>
          <w:p w14:paraId="45F2488F" w14:textId="77777777" w:rsidR="009D4A93" w:rsidRPr="00536CFD" w:rsidRDefault="009D4A93" w:rsidP="009D4A93">
            <w:pPr>
              <w:spacing w:after="0"/>
              <w:jc w:val="center"/>
              <w:rPr>
                <w:lang w:val="zh-CN"/>
              </w:rPr>
            </w:pPr>
            <w:r w:rsidRPr="00536CFD">
              <w:rPr>
                <w:lang w:val="zh-CN"/>
              </w:rPr>
              <w:t>0.031</w:t>
            </w:r>
          </w:p>
        </w:tc>
        <w:tc>
          <w:tcPr>
            <w:tcW w:w="720" w:type="dxa"/>
            <w:tcBorders>
              <w:top w:val="single" w:sz="4" w:space="0" w:color="auto"/>
              <w:left w:val="nil"/>
              <w:bottom w:val="single" w:sz="4" w:space="0" w:color="auto"/>
              <w:right w:val="single" w:sz="4" w:space="0" w:color="auto"/>
            </w:tcBorders>
            <w:shd w:val="clear" w:color="auto" w:fill="auto"/>
          </w:tcPr>
          <w:p w14:paraId="7AD67734"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tcPr>
          <w:p w14:paraId="10A7FD41" w14:textId="77777777" w:rsidR="009D4A93" w:rsidRPr="00536CFD" w:rsidRDefault="009D4A93" w:rsidP="009D4A93">
            <w:pPr>
              <w:spacing w:after="0"/>
              <w:jc w:val="center"/>
              <w:rPr>
                <w:lang w:val="zh-CN"/>
              </w:rPr>
            </w:pPr>
            <w:r w:rsidRPr="00536CFD">
              <w:rPr>
                <w:lang w:val="zh-CN"/>
              </w:rPr>
              <w:t>0.032</w:t>
            </w:r>
          </w:p>
        </w:tc>
        <w:tc>
          <w:tcPr>
            <w:tcW w:w="810" w:type="dxa"/>
            <w:tcBorders>
              <w:top w:val="single" w:sz="4" w:space="0" w:color="auto"/>
              <w:left w:val="nil"/>
              <w:bottom w:val="single" w:sz="4" w:space="0" w:color="auto"/>
              <w:right w:val="single" w:sz="4" w:space="0" w:color="auto"/>
            </w:tcBorders>
            <w:shd w:val="clear" w:color="auto" w:fill="auto"/>
          </w:tcPr>
          <w:p w14:paraId="17AB67BB" w14:textId="77777777" w:rsidR="009D4A93" w:rsidRPr="00536CFD" w:rsidRDefault="009D4A93" w:rsidP="009D4A93">
            <w:pPr>
              <w:spacing w:after="0"/>
              <w:jc w:val="center"/>
              <w:rPr>
                <w:lang w:val="zh-CN"/>
              </w:rPr>
            </w:pPr>
            <w:r w:rsidRPr="00536CFD">
              <w:rPr>
                <w:lang w:val="zh-CN"/>
              </w:rPr>
              <w:t>0.035</w:t>
            </w:r>
          </w:p>
        </w:tc>
        <w:tc>
          <w:tcPr>
            <w:tcW w:w="820" w:type="dxa"/>
            <w:tcBorders>
              <w:top w:val="single" w:sz="4" w:space="0" w:color="auto"/>
              <w:left w:val="nil"/>
              <w:bottom w:val="single" w:sz="4" w:space="0" w:color="auto"/>
              <w:right w:val="single" w:sz="4" w:space="0" w:color="auto"/>
            </w:tcBorders>
            <w:shd w:val="clear" w:color="auto" w:fill="auto"/>
          </w:tcPr>
          <w:p w14:paraId="25B71E7E" w14:textId="77777777" w:rsidR="009D4A93" w:rsidRPr="00536CFD" w:rsidRDefault="009D4A93" w:rsidP="009D4A93">
            <w:pPr>
              <w:spacing w:after="0"/>
              <w:jc w:val="center"/>
              <w:rPr>
                <w:lang w:val="zh-CN"/>
              </w:rPr>
            </w:pPr>
            <w:r w:rsidRPr="00536CFD">
              <w:rPr>
                <w:lang w:val="zh-CN"/>
              </w:rPr>
              <w:t>0.036</w:t>
            </w:r>
          </w:p>
        </w:tc>
        <w:tc>
          <w:tcPr>
            <w:tcW w:w="800" w:type="dxa"/>
            <w:tcBorders>
              <w:top w:val="single" w:sz="4" w:space="0" w:color="auto"/>
              <w:left w:val="nil"/>
              <w:bottom w:val="single" w:sz="4" w:space="0" w:color="auto"/>
              <w:right w:val="single" w:sz="4" w:space="0" w:color="auto"/>
            </w:tcBorders>
            <w:shd w:val="clear" w:color="auto" w:fill="auto"/>
          </w:tcPr>
          <w:p w14:paraId="7D198C08" w14:textId="77777777" w:rsidR="009D4A93" w:rsidRPr="00536CFD" w:rsidRDefault="009D4A93" w:rsidP="009D4A93">
            <w:pPr>
              <w:spacing w:after="0"/>
              <w:jc w:val="center"/>
              <w:rPr>
                <w:lang w:val="zh-CN"/>
              </w:rPr>
            </w:pPr>
            <w:r w:rsidRPr="00536CFD">
              <w:rPr>
                <w:lang w:val="zh-CN"/>
              </w:rPr>
              <w:t>0.026</w:t>
            </w:r>
          </w:p>
        </w:tc>
        <w:tc>
          <w:tcPr>
            <w:tcW w:w="720" w:type="dxa"/>
            <w:tcBorders>
              <w:top w:val="single" w:sz="4" w:space="0" w:color="auto"/>
              <w:left w:val="nil"/>
              <w:bottom w:val="single" w:sz="4" w:space="0" w:color="auto"/>
              <w:right w:val="single" w:sz="4" w:space="0" w:color="auto"/>
            </w:tcBorders>
            <w:shd w:val="clear" w:color="auto" w:fill="auto"/>
          </w:tcPr>
          <w:p w14:paraId="581DFAF4" w14:textId="77777777" w:rsidR="009D4A93" w:rsidRPr="00536CFD" w:rsidRDefault="009D4A93" w:rsidP="009D4A93">
            <w:pPr>
              <w:spacing w:after="0"/>
              <w:jc w:val="center"/>
              <w:rPr>
                <w:lang w:val="zh-CN"/>
              </w:rPr>
            </w:pPr>
            <w:r w:rsidRPr="00536CFD">
              <w:rPr>
                <w:lang w:val="zh-CN"/>
              </w:rPr>
              <w:t>0.024</w:t>
            </w:r>
          </w:p>
        </w:tc>
        <w:tc>
          <w:tcPr>
            <w:tcW w:w="724" w:type="dxa"/>
            <w:tcBorders>
              <w:top w:val="single" w:sz="4" w:space="0" w:color="auto"/>
              <w:left w:val="nil"/>
              <w:bottom w:val="single" w:sz="4" w:space="0" w:color="auto"/>
              <w:right w:val="single" w:sz="4" w:space="0" w:color="auto"/>
            </w:tcBorders>
            <w:shd w:val="clear" w:color="auto" w:fill="auto"/>
          </w:tcPr>
          <w:p w14:paraId="113139C9" w14:textId="77777777" w:rsidR="009D4A93" w:rsidRPr="00536CFD" w:rsidRDefault="009D4A93" w:rsidP="009D4A93">
            <w:pPr>
              <w:spacing w:after="0"/>
              <w:jc w:val="center"/>
              <w:rPr>
                <w:lang w:val="zh-CN"/>
              </w:rPr>
            </w:pPr>
            <w:r w:rsidRPr="00536CFD">
              <w:rPr>
                <w:lang w:val="zh-CN"/>
              </w:rPr>
              <w:t>0.060</w:t>
            </w:r>
          </w:p>
        </w:tc>
        <w:tc>
          <w:tcPr>
            <w:tcW w:w="896" w:type="dxa"/>
            <w:tcBorders>
              <w:top w:val="single" w:sz="4" w:space="0" w:color="auto"/>
              <w:left w:val="nil"/>
              <w:bottom w:val="single" w:sz="4" w:space="0" w:color="auto"/>
              <w:right w:val="single" w:sz="4" w:space="0" w:color="auto"/>
            </w:tcBorders>
            <w:shd w:val="clear" w:color="auto" w:fill="auto"/>
          </w:tcPr>
          <w:p w14:paraId="28829103" w14:textId="77777777" w:rsidR="009D4A93" w:rsidRPr="00536CFD" w:rsidRDefault="009D4A93" w:rsidP="009D4A93">
            <w:pPr>
              <w:spacing w:after="0"/>
              <w:jc w:val="center"/>
              <w:rPr>
                <w:lang w:val="zh-CN"/>
              </w:rPr>
            </w:pPr>
            <w:r w:rsidRPr="00536CFD">
              <w:rPr>
                <w:lang w:val="zh-CN"/>
              </w:rPr>
              <w:t>0.038</w:t>
            </w:r>
          </w:p>
        </w:tc>
        <w:tc>
          <w:tcPr>
            <w:tcW w:w="720" w:type="dxa"/>
            <w:tcBorders>
              <w:top w:val="single" w:sz="4" w:space="0" w:color="auto"/>
              <w:left w:val="nil"/>
              <w:bottom w:val="single" w:sz="4" w:space="0" w:color="auto"/>
              <w:right w:val="single" w:sz="4" w:space="0" w:color="auto"/>
            </w:tcBorders>
            <w:shd w:val="clear" w:color="auto" w:fill="auto"/>
          </w:tcPr>
          <w:p w14:paraId="3401F463" w14:textId="77777777" w:rsidR="009D4A93" w:rsidRPr="00536CFD" w:rsidRDefault="009D4A93" w:rsidP="009D4A93">
            <w:pPr>
              <w:spacing w:after="0"/>
              <w:jc w:val="center"/>
              <w:rPr>
                <w:lang w:val="zh-CN"/>
              </w:rPr>
            </w:pPr>
            <w:r w:rsidRPr="00536CFD">
              <w:rPr>
                <w:lang w:val="zh-CN"/>
              </w:rPr>
              <w:t>0.030</w:t>
            </w:r>
          </w:p>
        </w:tc>
        <w:tc>
          <w:tcPr>
            <w:tcW w:w="720" w:type="dxa"/>
            <w:tcBorders>
              <w:top w:val="single" w:sz="4" w:space="0" w:color="auto"/>
              <w:left w:val="nil"/>
              <w:bottom w:val="single" w:sz="4" w:space="0" w:color="auto"/>
              <w:right w:val="single" w:sz="4" w:space="0" w:color="auto"/>
            </w:tcBorders>
            <w:shd w:val="clear" w:color="auto" w:fill="auto"/>
          </w:tcPr>
          <w:p w14:paraId="4A093AB4" w14:textId="77777777" w:rsidR="009D4A93" w:rsidRPr="00536CFD" w:rsidRDefault="009D4A93" w:rsidP="009D4A93">
            <w:pPr>
              <w:spacing w:after="0"/>
              <w:jc w:val="center"/>
              <w:rPr>
                <w:lang w:val="zh-CN"/>
              </w:rPr>
            </w:pPr>
            <w:r w:rsidRPr="00536CFD">
              <w:rPr>
                <w:lang w:val="zh-CN"/>
              </w:rPr>
              <w:t>0.024</w:t>
            </w:r>
          </w:p>
        </w:tc>
      </w:tr>
      <w:tr w:rsidR="009D4A93" w:rsidRPr="00536CFD" w14:paraId="562928A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893DE3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BC1DAB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6EFC74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47BC450F" w14:textId="77777777" w:rsidR="009D4A93" w:rsidRPr="00536CFD" w:rsidRDefault="009D4A93" w:rsidP="009D4A93">
            <w:pPr>
              <w:spacing w:after="0"/>
              <w:jc w:val="center"/>
              <w:rPr>
                <w:lang w:val="zh-CN"/>
              </w:rPr>
            </w:pPr>
            <w:r w:rsidRPr="00536CFD">
              <w:rPr>
                <w:lang w:val="zh-CN"/>
              </w:rPr>
              <w:t>0.050</w:t>
            </w:r>
          </w:p>
        </w:tc>
        <w:tc>
          <w:tcPr>
            <w:tcW w:w="720" w:type="dxa"/>
            <w:tcBorders>
              <w:top w:val="single" w:sz="4" w:space="0" w:color="auto"/>
              <w:left w:val="nil"/>
              <w:bottom w:val="single" w:sz="4" w:space="0" w:color="auto"/>
              <w:right w:val="single" w:sz="4" w:space="0" w:color="auto"/>
            </w:tcBorders>
            <w:shd w:val="clear" w:color="auto" w:fill="auto"/>
          </w:tcPr>
          <w:p w14:paraId="1CB2239F" w14:textId="77777777" w:rsidR="009D4A93" w:rsidRPr="00536CFD" w:rsidRDefault="009D4A93" w:rsidP="009D4A93">
            <w:pPr>
              <w:spacing w:after="0"/>
              <w:jc w:val="center"/>
              <w:rPr>
                <w:lang w:val="zh-CN"/>
              </w:rPr>
            </w:pPr>
            <w:r w:rsidRPr="00536CFD">
              <w:rPr>
                <w:lang w:val="zh-CN"/>
              </w:rPr>
              <w:t>0.044</w:t>
            </w:r>
          </w:p>
        </w:tc>
        <w:tc>
          <w:tcPr>
            <w:tcW w:w="720" w:type="dxa"/>
            <w:tcBorders>
              <w:top w:val="single" w:sz="4" w:space="0" w:color="auto"/>
              <w:left w:val="nil"/>
              <w:bottom w:val="single" w:sz="4" w:space="0" w:color="auto"/>
              <w:right w:val="single" w:sz="4" w:space="0" w:color="auto"/>
            </w:tcBorders>
            <w:shd w:val="clear" w:color="auto" w:fill="auto"/>
          </w:tcPr>
          <w:p w14:paraId="790D5610" w14:textId="77777777" w:rsidR="009D4A93" w:rsidRPr="00536CFD" w:rsidRDefault="009D4A93" w:rsidP="009D4A93">
            <w:pPr>
              <w:spacing w:after="0"/>
              <w:jc w:val="center"/>
              <w:rPr>
                <w:lang w:val="zh-CN"/>
              </w:rPr>
            </w:pPr>
            <w:r w:rsidRPr="00536CFD">
              <w:rPr>
                <w:lang w:val="zh-CN"/>
              </w:rPr>
              <w:t>0.027</w:t>
            </w:r>
          </w:p>
        </w:tc>
        <w:tc>
          <w:tcPr>
            <w:tcW w:w="810" w:type="dxa"/>
            <w:tcBorders>
              <w:top w:val="single" w:sz="4" w:space="0" w:color="auto"/>
              <w:left w:val="nil"/>
              <w:bottom w:val="single" w:sz="4" w:space="0" w:color="auto"/>
              <w:right w:val="single" w:sz="4" w:space="0" w:color="auto"/>
            </w:tcBorders>
            <w:shd w:val="clear" w:color="auto" w:fill="auto"/>
          </w:tcPr>
          <w:p w14:paraId="0FAB92B6" w14:textId="77777777" w:rsidR="009D4A93" w:rsidRPr="00536CFD" w:rsidRDefault="009D4A93" w:rsidP="009D4A93">
            <w:pPr>
              <w:spacing w:after="0"/>
              <w:jc w:val="center"/>
              <w:rPr>
                <w:lang w:val="zh-CN"/>
              </w:rPr>
            </w:pPr>
            <w:r w:rsidRPr="00536CFD">
              <w:rPr>
                <w:lang w:val="zh-CN"/>
              </w:rPr>
              <w:t>0.024</w:t>
            </w:r>
          </w:p>
        </w:tc>
        <w:tc>
          <w:tcPr>
            <w:tcW w:w="810" w:type="dxa"/>
            <w:tcBorders>
              <w:top w:val="single" w:sz="4" w:space="0" w:color="auto"/>
              <w:left w:val="nil"/>
              <w:bottom w:val="single" w:sz="4" w:space="0" w:color="auto"/>
              <w:right w:val="single" w:sz="4" w:space="0" w:color="auto"/>
            </w:tcBorders>
            <w:shd w:val="clear" w:color="auto" w:fill="auto"/>
          </w:tcPr>
          <w:p w14:paraId="4427FD00" w14:textId="77777777" w:rsidR="009D4A93" w:rsidRPr="00536CFD" w:rsidRDefault="009D4A93" w:rsidP="009D4A93">
            <w:pPr>
              <w:spacing w:after="0"/>
              <w:jc w:val="center"/>
              <w:rPr>
                <w:lang w:val="zh-CN"/>
              </w:rPr>
            </w:pPr>
            <w:r w:rsidRPr="00536CFD">
              <w:rPr>
                <w:lang w:val="zh-CN"/>
              </w:rPr>
              <w:t>0.095</w:t>
            </w:r>
          </w:p>
        </w:tc>
        <w:tc>
          <w:tcPr>
            <w:tcW w:w="820" w:type="dxa"/>
            <w:tcBorders>
              <w:top w:val="single" w:sz="4" w:space="0" w:color="auto"/>
              <w:left w:val="nil"/>
              <w:bottom w:val="single" w:sz="4" w:space="0" w:color="auto"/>
              <w:right w:val="single" w:sz="4" w:space="0" w:color="auto"/>
            </w:tcBorders>
            <w:shd w:val="clear" w:color="auto" w:fill="auto"/>
          </w:tcPr>
          <w:p w14:paraId="4D21BB45" w14:textId="77777777" w:rsidR="009D4A93" w:rsidRPr="00536CFD" w:rsidRDefault="009D4A93" w:rsidP="009D4A93">
            <w:pPr>
              <w:spacing w:after="0"/>
              <w:jc w:val="center"/>
              <w:rPr>
                <w:lang w:val="zh-CN"/>
              </w:rPr>
            </w:pPr>
            <w:r w:rsidRPr="00536CFD">
              <w:rPr>
                <w:lang w:val="zh-CN"/>
              </w:rPr>
              <w:t>0.085</w:t>
            </w:r>
          </w:p>
        </w:tc>
        <w:tc>
          <w:tcPr>
            <w:tcW w:w="800" w:type="dxa"/>
            <w:tcBorders>
              <w:top w:val="single" w:sz="4" w:space="0" w:color="auto"/>
              <w:left w:val="nil"/>
              <w:bottom w:val="single" w:sz="4" w:space="0" w:color="auto"/>
              <w:right w:val="single" w:sz="4" w:space="0" w:color="auto"/>
            </w:tcBorders>
            <w:shd w:val="clear" w:color="auto" w:fill="auto"/>
          </w:tcPr>
          <w:p w14:paraId="221A30D7" w14:textId="77777777" w:rsidR="009D4A93" w:rsidRPr="00536CFD" w:rsidRDefault="009D4A93" w:rsidP="009D4A93">
            <w:pPr>
              <w:spacing w:after="0"/>
              <w:jc w:val="center"/>
              <w:rPr>
                <w:lang w:val="zh-CN"/>
              </w:rPr>
            </w:pPr>
            <w:r w:rsidRPr="00536CFD">
              <w:rPr>
                <w:lang w:val="zh-CN"/>
              </w:rPr>
              <w:t>0.072</w:t>
            </w:r>
          </w:p>
        </w:tc>
        <w:tc>
          <w:tcPr>
            <w:tcW w:w="720" w:type="dxa"/>
            <w:tcBorders>
              <w:top w:val="single" w:sz="4" w:space="0" w:color="auto"/>
              <w:left w:val="nil"/>
              <w:bottom w:val="single" w:sz="4" w:space="0" w:color="auto"/>
              <w:right w:val="single" w:sz="4" w:space="0" w:color="auto"/>
            </w:tcBorders>
            <w:shd w:val="clear" w:color="auto" w:fill="auto"/>
          </w:tcPr>
          <w:p w14:paraId="61D07BB9" w14:textId="77777777" w:rsidR="009D4A93" w:rsidRPr="00536CFD" w:rsidRDefault="009D4A93" w:rsidP="009D4A93">
            <w:pPr>
              <w:spacing w:after="0"/>
              <w:jc w:val="center"/>
              <w:rPr>
                <w:lang w:val="zh-CN"/>
              </w:rPr>
            </w:pPr>
            <w:r w:rsidRPr="00536CFD">
              <w:rPr>
                <w:lang w:val="zh-CN"/>
              </w:rPr>
              <w:t>0.063</w:t>
            </w:r>
          </w:p>
        </w:tc>
        <w:tc>
          <w:tcPr>
            <w:tcW w:w="724" w:type="dxa"/>
            <w:tcBorders>
              <w:top w:val="single" w:sz="4" w:space="0" w:color="auto"/>
              <w:left w:val="nil"/>
              <w:bottom w:val="single" w:sz="4" w:space="0" w:color="auto"/>
              <w:right w:val="single" w:sz="4" w:space="0" w:color="auto"/>
            </w:tcBorders>
            <w:shd w:val="clear" w:color="auto" w:fill="auto"/>
          </w:tcPr>
          <w:p w14:paraId="16275D53" w14:textId="77777777" w:rsidR="009D4A93" w:rsidRPr="00536CFD" w:rsidRDefault="009D4A93" w:rsidP="009D4A93">
            <w:pPr>
              <w:spacing w:after="0"/>
              <w:jc w:val="center"/>
              <w:rPr>
                <w:lang w:val="zh-CN"/>
              </w:rPr>
            </w:pPr>
            <w:r w:rsidRPr="00536CFD">
              <w:rPr>
                <w:lang w:val="zh-CN"/>
              </w:rPr>
              <w:t>0.150</w:t>
            </w:r>
          </w:p>
        </w:tc>
        <w:tc>
          <w:tcPr>
            <w:tcW w:w="896" w:type="dxa"/>
            <w:tcBorders>
              <w:top w:val="single" w:sz="4" w:space="0" w:color="auto"/>
              <w:left w:val="nil"/>
              <w:bottom w:val="single" w:sz="4" w:space="0" w:color="auto"/>
              <w:right w:val="single" w:sz="4" w:space="0" w:color="auto"/>
            </w:tcBorders>
            <w:shd w:val="clear" w:color="auto" w:fill="auto"/>
          </w:tcPr>
          <w:p w14:paraId="7F33E8F4" w14:textId="77777777" w:rsidR="009D4A93" w:rsidRPr="00536CFD" w:rsidRDefault="009D4A93" w:rsidP="009D4A93">
            <w:pPr>
              <w:spacing w:after="0"/>
              <w:jc w:val="center"/>
              <w:rPr>
                <w:lang w:val="zh-CN"/>
              </w:rPr>
            </w:pPr>
            <w:r w:rsidRPr="00536CFD">
              <w:rPr>
                <w:lang w:val="zh-CN"/>
              </w:rPr>
              <w:t>0.160</w:t>
            </w:r>
          </w:p>
        </w:tc>
        <w:tc>
          <w:tcPr>
            <w:tcW w:w="720" w:type="dxa"/>
            <w:tcBorders>
              <w:top w:val="single" w:sz="4" w:space="0" w:color="auto"/>
              <w:left w:val="nil"/>
              <w:bottom w:val="single" w:sz="4" w:space="0" w:color="auto"/>
              <w:right w:val="single" w:sz="4" w:space="0" w:color="auto"/>
            </w:tcBorders>
            <w:shd w:val="clear" w:color="auto" w:fill="auto"/>
          </w:tcPr>
          <w:p w14:paraId="057CD480" w14:textId="77777777" w:rsidR="009D4A93" w:rsidRPr="00536CFD" w:rsidRDefault="009D4A93" w:rsidP="009D4A93">
            <w:pPr>
              <w:spacing w:after="0"/>
              <w:jc w:val="center"/>
              <w:rPr>
                <w:lang w:val="zh-CN"/>
              </w:rPr>
            </w:pPr>
            <w:r w:rsidRPr="00536CFD">
              <w:rPr>
                <w:lang w:val="zh-CN"/>
              </w:rPr>
              <w:t>0.160</w:t>
            </w:r>
          </w:p>
        </w:tc>
        <w:tc>
          <w:tcPr>
            <w:tcW w:w="720" w:type="dxa"/>
            <w:tcBorders>
              <w:top w:val="single" w:sz="4" w:space="0" w:color="auto"/>
              <w:left w:val="nil"/>
              <w:bottom w:val="single" w:sz="4" w:space="0" w:color="auto"/>
              <w:right w:val="single" w:sz="4" w:space="0" w:color="auto"/>
            </w:tcBorders>
            <w:shd w:val="clear" w:color="auto" w:fill="auto"/>
          </w:tcPr>
          <w:p w14:paraId="20F0EFB8" w14:textId="77777777" w:rsidR="009D4A93" w:rsidRPr="00536CFD" w:rsidRDefault="009D4A93" w:rsidP="009D4A93">
            <w:pPr>
              <w:spacing w:after="0"/>
              <w:jc w:val="center"/>
              <w:rPr>
                <w:lang w:val="zh-CN"/>
              </w:rPr>
            </w:pPr>
            <w:r w:rsidRPr="00536CFD">
              <w:rPr>
                <w:lang w:val="zh-CN"/>
              </w:rPr>
              <w:t>0.063</w:t>
            </w:r>
          </w:p>
        </w:tc>
      </w:tr>
      <w:tr w:rsidR="009D4A93" w:rsidRPr="00536CFD" w14:paraId="399B2F5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40A75F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05BC3D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B7503C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531E6F49" w14:textId="77777777" w:rsidR="009D4A93" w:rsidRPr="00536CFD" w:rsidRDefault="009D4A93" w:rsidP="009D4A93">
            <w:pPr>
              <w:spacing w:after="0"/>
              <w:jc w:val="center"/>
              <w:rPr>
                <w:lang w:val="zh-CN"/>
              </w:rPr>
            </w:pPr>
            <w:r w:rsidRPr="00536CFD">
              <w:rPr>
                <w:lang w:val="zh-CN"/>
              </w:rPr>
              <w:t>0.128</w:t>
            </w:r>
          </w:p>
        </w:tc>
        <w:tc>
          <w:tcPr>
            <w:tcW w:w="720" w:type="dxa"/>
            <w:tcBorders>
              <w:top w:val="single" w:sz="4" w:space="0" w:color="auto"/>
              <w:left w:val="nil"/>
              <w:bottom w:val="single" w:sz="4" w:space="0" w:color="auto"/>
              <w:right w:val="single" w:sz="4" w:space="0" w:color="auto"/>
            </w:tcBorders>
            <w:shd w:val="clear" w:color="auto" w:fill="auto"/>
          </w:tcPr>
          <w:p w14:paraId="51A031BD" w14:textId="77777777" w:rsidR="009D4A93" w:rsidRPr="00536CFD" w:rsidRDefault="009D4A93" w:rsidP="009D4A93">
            <w:pPr>
              <w:spacing w:after="0"/>
              <w:jc w:val="center"/>
              <w:rPr>
                <w:lang w:val="zh-CN"/>
              </w:rPr>
            </w:pPr>
            <w:r w:rsidRPr="00536CFD">
              <w:rPr>
                <w:lang w:val="zh-CN"/>
              </w:rPr>
              <w:t>0.127</w:t>
            </w:r>
          </w:p>
        </w:tc>
        <w:tc>
          <w:tcPr>
            <w:tcW w:w="720" w:type="dxa"/>
            <w:tcBorders>
              <w:top w:val="single" w:sz="4" w:space="0" w:color="auto"/>
              <w:left w:val="nil"/>
              <w:bottom w:val="single" w:sz="4" w:space="0" w:color="auto"/>
              <w:right w:val="single" w:sz="4" w:space="0" w:color="auto"/>
            </w:tcBorders>
            <w:shd w:val="clear" w:color="auto" w:fill="auto"/>
          </w:tcPr>
          <w:p w14:paraId="09A100EC" w14:textId="77777777" w:rsidR="009D4A93" w:rsidRPr="00536CFD" w:rsidRDefault="009D4A93" w:rsidP="009D4A93">
            <w:pPr>
              <w:spacing w:after="0"/>
              <w:jc w:val="center"/>
              <w:rPr>
                <w:lang w:val="zh-CN"/>
              </w:rPr>
            </w:pPr>
            <w:r w:rsidRPr="00536CFD">
              <w:rPr>
                <w:lang w:val="zh-CN"/>
              </w:rPr>
              <w:t>0.134</w:t>
            </w:r>
          </w:p>
        </w:tc>
        <w:tc>
          <w:tcPr>
            <w:tcW w:w="810" w:type="dxa"/>
            <w:tcBorders>
              <w:top w:val="single" w:sz="4" w:space="0" w:color="auto"/>
              <w:left w:val="nil"/>
              <w:bottom w:val="single" w:sz="4" w:space="0" w:color="auto"/>
              <w:right w:val="single" w:sz="4" w:space="0" w:color="auto"/>
            </w:tcBorders>
            <w:shd w:val="clear" w:color="auto" w:fill="auto"/>
          </w:tcPr>
          <w:p w14:paraId="00AD085F" w14:textId="77777777" w:rsidR="009D4A93" w:rsidRPr="00536CFD" w:rsidRDefault="009D4A93" w:rsidP="009D4A93">
            <w:pPr>
              <w:spacing w:after="0"/>
              <w:jc w:val="center"/>
              <w:rPr>
                <w:lang w:val="zh-CN"/>
              </w:rPr>
            </w:pPr>
            <w:r w:rsidRPr="00536CFD">
              <w:rPr>
                <w:lang w:val="zh-CN"/>
              </w:rPr>
              <w:t>0.122</w:t>
            </w:r>
          </w:p>
        </w:tc>
        <w:tc>
          <w:tcPr>
            <w:tcW w:w="810" w:type="dxa"/>
            <w:tcBorders>
              <w:top w:val="single" w:sz="4" w:space="0" w:color="auto"/>
              <w:left w:val="nil"/>
              <w:bottom w:val="single" w:sz="4" w:space="0" w:color="auto"/>
              <w:right w:val="single" w:sz="4" w:space="0" w:color="auto"/>
            </w:tcBorders>
            <w:shd w:val="clear" w:color="auto" w:fill="auto"/>
          </w:tcPr>
          <w:p w14:paraId="0926E58E" w14:textId="77777777" w:rsidR="009D4A93" w:rsidRPr="00536CFD" w:rsidRDefault="009D4A93" w:rsidP="009D4A93">
            <w:pPr>
              <w:spacing w:after="0"/>
              <w:jc w:val="center"/>
              <w:rPr>
                <w:lang w:val="zh-CN"/>
              </w:rPr>
            </w:pPr>
            <w:r w:rsidRPr="00536CFD">
              <w:rPr>
                <w:lang w:val="zh-CN"/>
              </w:rPr>
              <w:t>0.306</w:t>
            </w:r>
          </w:p>
        </w:tc>
        <w:tc>
          <w:tcPr>
            <w:tcW w:w="820" w:type="dxa"/>
            <w:tcBorders>
              <w:top w:val="single" w:sz="4" w:space="0" w:color="auto"/>
              <w:left w:val="nil"/>
              <w:bottom w:val="single" w:sz="4" w:space="0" w:color="auto"/>
              <w:right w:val="single" w:sz="4" w:space="0" w:color="auto"/>
            </w:tcBorders>
            <w:shd w:val="clear" w:color="auto" w:fill="auto"/>
          </w:tcPr>
          <w:p w14:paraId="34411F2D" w14:textId="77777777" w:rsidR="009D4A93" w:rsidRPr="00536CFD" w:rsidRDefault="009D4A93" w:rsidP="009D4A93">
            <w:pPr>
              <w:spacing w:after="0"/>
              <w:jc w:val="center"/>
              <w:rPr>
                <w:lang w:val="zh-CN"/>
              </w:rPr>
            </w:pPr>
            <w:r w:rsidRPr="00536CFD">
              <w:rPr>
                <w:lang w:val="zh-CN"/>
              </w:rPr>
              <w:t>0.913</w:t>
            </w:r>
          </w:p>
        </w:tc>
        <w:tc>
          <w:tcPr>
            <w:tcW w:w="800" w:type="dxa"/>
            <w:tcBorders>
              <w:top w:val="single" w:sz="4" w:space="0" w:color="auto"/>
              <w:left w:val="nil"/>
              <w:bottom w:val="single" w:sz="4" w:space="0" w:color="auto"/>
              <w:right w:val="single" w:sz="4" w:space="0" w:color="auto"/>
            </w:tcBorders>
            <w:shd w:val="clear" w:color="auto" w:fill="auto"/>
          </w:tcPr>
          <w:p w14:paraId="4155D53B" w14:textId="77777777" w:rsidR="009D4A93" w:rsidRPr="00536CFD" w:rsidRDefault="009D4A93" w:rsidP="009D4A93">
            <w:pPr>
              <w:spacing w:after="0"/>
              <w:jc w:val="center"/>
              <w:rPr>
                <w:lang w:val="zh-CN"/>
              </w:rPr>
            </w:pPr>
            <w:r w:rsidRPr="00536CFD">
              <w:rPr>
                <w:lang w:val="zh-CN"/>
              </w:rPr>
              <w:t>0.726</w:t>
            </w:r>
          </w:p>
        </w:tc>
        <w:tc>
          <w:tcPr>
            <w:tcW w:w="720" w:type="dxa"/>
            <w:tcBorders>
              <w:top w:val="single" w:sz="4" w:space="0" w:color="auto"/>
              <w:left w:val="nil"/>
              <w:bottom w:val="single" w:sz="4" w:space="0" w:color="auto"/>
              <w:right w:val="single" w:sz="4" w:space="0" w:color="auto"/>
            </w:tcBorders>
            <w:shd w:val="clear" w:color="auto" w:fill="auto"/>
          </w:tcPr>
          <w:p w14:paraId="14E20C65" w14:textId="77777777" w:rsidR="009D4A93" w:rsidRPr="00536CFD" w:rsidRDefault="009D4A93" w:rsidP="009D4A93">
            <w:pPr>
              <w:spacing w:after="0"/>
              <w:jc w:val="center"/>
              <w:rPr>
                <w:lang w:val="zh-CN"/>
              </w:rPr>
            </w:pPr>
            <w:r w:rsidRPr="00536CFD">
              <w:rPr>
                <w:lang w:val="zh-CN"/>
              </w:rPr>
              <w:t>0.224</w:t>
            </w:r>
          </w:p>
        </w:tc>
        <w:tc>
          <w:tcPr>
            <w:tcW w:w="724" w:type="dxa"/>
            <w:tcBorders>
              <w:top w:val="single" w:sz="4" w:space="0" w:color="auto"/>
              <w:left w:val="nil"/>
              <w:bottom w:val="single" w:sz="4" w:space="0" w:color="auto"/>
              <w:right w:val="single" w:sz="4" w:space="0" w:color="auto"/>
            </w:tcBorders>
            <w:shd w:val="clear" w:color="auto" w:fill="auto"/>
          </w:tcPr>
          <w:p w14:paraId="3F02334B" w14:textId="77777777" w:rsidR="009D4A93" w:rsidRPr="00536CFD" w:rsidRDefault="009D4A93" w:rsidP="009D4A93">
            <w:pPr>
              <w:spacing w:after="0"/>
              <w:jc w:val="center"/>
              <w:rPr>
                <w:lang w:val="zh-CN"/>
              </w:rPr>
            </w:pPr>
            <w:r w:rsidRPr="00536CFD">
              <w:rPr>
                <w:lang w:val="zh-CN"/>
              </w:rPr>
              <w:t>0.659</w:t>
            </w:r>
          </w:p>
        </w:tc>
        <w:tc>
          <w:tcPr>
            <w:tcW w:w="896" w:type="dxa"/>
            <w:tcBorders>
              <w:top w:val="single" w:sz="4" w:space="0" w:color="auto"/>
              <w:left w:val="nil"/>
              <w:bottom w:val="single" w:sz="4" w:space="0" w:color="auto"/>
              <w:right w:val="single" w:sz="4" w:space="0" w:color="auto"/>
            </w:tcBorders>
            <w:shd w:val="clear" w:color="auto" w:fill="auto"/>
          </w:tcPr>
          <w:p w14:paraId="52768B5A" w14:textId="77777777" w:rsidR="009D4A93" w:rsidRPr="00536CFD" w:rsidRDefault="009D4A93" w:rsidP="009D4A93">
            <w:pPr>
              <w:spacing w:after="0"/>
              <w:jc w:val="center"/>
              <w:rPr>
                <w:lang w:val="zh-CN"/>
              </w:rPr>
            </w:pPr>
            <w:r w:rsidRPr="00536CFD">
              <w:rPr>
                <w:lang w:val="zh-CN"/>
              </w:rPr>
              <w:t>1.241</w:t>
            </w:r>
          </w:p>
        </w:tc>
        <w:tc>
          <w:tcPr>
            <w:tcW w:w="720" w:type="dxa"/>
            <w:tcBorders>
              <w:top w:val="single" w:sz="4" w:space="0" w:color="auto"/>
              <w:left w:val="nil"/>
              <w:bottom w:val="single" w:sz="4" w:space="0" w:color="auto"/>
              <w:right w:val="single" w:sz="4" w:space="0" w:color="auto"/>
            </w:tcBorders>
            <w:shd w:val="clear" w:color="auto" w:fill="auto"/>
          </w:tcPr>
          <w:p w14:paraId="28CCE3FF" w14:textId="77777777" w:rsidR="009D4A93" w:rsidRPr="00536CFD" w:rsidRDefault="009D4A93" w:rsidP="009D4A93">
            <w:pPr>
              <w:spacing w:after="0"/>
              <w:jc w:val="center"/>
              <w:rPr>
                <w:lang w:val="zh-CN"/>
              </w:rPr>
            </w:pPr>
            <w:r w:rsidRPr="00536CFD">
              <w:rPr>
                <w:lang w:val="zh-CN"/>
              </w:rPr>
              <w:t>1.241</w:t>
            </w:r>
          </w:p>
        </w:tc>
        <w:tc>
          <w:tcPr>
            <w:tcW w:w="720" w:type="dxa"/>
            <w:tcBorders>
              <w:top w:val="single" w:sz="4" w:space="0" w:color="auto"/>
              <w:left w:val="nil"/>
              <w:bottom w:val="single" w:sz="4" w:space="0" w:color="auto"/>
              <w:right w:val="single" w:sz="4" w:space="0" w:color="auto"/>
            </w:tcBorders>
            <w:shd w:val="clear" w:color="auto" w:fill="auto"/>
          </w:tcPr>
          <w:p w14:paraId="5753817B" w14:textId="77777777" w:rsidR="009D4A93" w:rsidRPr="00536CFD" w:rsidRDefault="009D4A93" w:rsidP="009D4A93">
            <w:pPr>
              <w:spacing w:after="0"/>
              <w:jc w:val="center"/>
              <w:rPr>
                <w:lang w:val="zh-CN"/>
              </w:rPr>
            </w:pPr>
            <w:r w:rsidRPr="00536CFD">
              <w:rPr>
                <w:lang w:val="zh-CN"/>
              </w:rPr>
              <w:t>0.226</w:t>
            </w:r>
          </w:p>
        </w:tc>
      </w:tr>
      <w:tr w:rsidR="009D4A93" w:rsidRPr="00536CFD" w14:paraId="65BB0FF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173E66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65B20C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104B1C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7C25106E" w14:textId="77777777" w:rsidR="009D4A93" w:rsidRPr="00536CFD" w:rsidRDefault="009D4A93" w:rsidP="009D4A93">
            <w:pPr>
              <w:spacing w:after="0"/>
              <w:jc w:val="center"/>
              <w:rPr>
                <w:lang w:val="zh-CN"/>
              </w:rPr>
            </w:pPr>
            <w:r w:rsidRPr="00536CFD">
              <w:rPr>
                <w:lang w:val="zh-CN"/>
              </w:rPr>
              <w:t>0.064</w:t>
            </w:r>
          </w:p>
        </w:tc>
        <w:tc>
          <w:tcPr>
            <w:tcW w:w="720" w:type="dxa"/>
            <w:tcBorders>
              <w:top w:val="single" w:sz="4" w:space="0" w:color="auto"/>
              <w:left w:val="nil"/>
              <w:bottom w:val="single" w:sz="4" w:space="0" w:color="auto"/>
              <w:right w:val="single" w:sz="4" w:space="0" w:color="auto"/>
            </w:tcBorders>
            <w:shd w:val="clear" w:color="auto" w:fill="auto"/>
          </w:tcPr>
          <w:p w14:paraId="34F456CE" w14:textId="77777777" w:rsidR="009D4A93" w:rsidRPr="00536CFD" w:rsidRDefault="009D4A93" w:rsidP="009D4A93">
            <w:pPr>
              <w:spacing w:after="0"/>
              <w:jc w:val="center"/>
              <w:rPr>
                <w:lang w:val="zh-CN"/>
              </w:rPr>
            </w:pPr>
            <w:r w:rsidRPr="00536CFD">
              <w:rPr>
                <w:lang w:val="zh-CN"/>
              </w:rPr>
              <w:t>0.058</w:t>
            </w:r>
          </w:p>
        </w:tc>
        <w:tc>
          <w:tcPr>
            <w:tcW w:w="720" w:type="dxa"/>
            <w:tcBorders>
              <w:top w:val="single" w:sz="4" w:space="0" w:color="auto"/>
              <w:left w:val="nil"/>
              <w:bottom w:val="single" w:sz="4" w:space="0" w:color="auto"/>
              <w:right w:val="single" w:sz="4" w:space="0" w:color="auto"/>
            </w:tcBorders>
            <w:shd w:val="clear" w:color="auto" w:fill="auto"/>
          </w:tcPr>
          <w:p w14:paraId="1CB2E6A5" w14:textId="77777777" w:rsidR="009D4A93" w:rsidRPr="00536CFD" w:rsidRDefault="009D4A93" w:rsidP="009D4A93">
            <w:pPr>
              <w:spacing w:after="0"/>
              <w:jc w:val="center"/>
              <w:rPr>
                <w:lang w:val="zh-CN"/>
              </w:rPr>
            </w:pPr>
            <w:r w:rsidRPr="00536CFD">
              <w:rPr>
                <w:lang w:val="zh-CN"/>
              </w:rPr>
              <w:t>0.044</w:t>
            </w:r>
          </w:p>
        </w:tc>
        <w:tc>
          <w:tcPr>
            <w:tcW w:w="810" w:type="dxa"/>
            <w:tcBorders>
              <w:top w:val="single" w:sz="4" w:space="0" w:color="auto"/>
              <w:left w:val="nil"/>
              <w:bottom w:val="single" w:sz="4" w:space="0" w:color="auto"/>
              <w:right w:val="single" w:sz="4" w:space="0" w:color="auto"/>
            </w:tcBorders>
            <w:shd w:val="clear" w:color="auto" w:fill="auto"/>
          </w:tcPr>
          <w:p w14:paraId="1646F833" w14:textId="77777777" w:rsidR="009D4A93" w:rsidRPr="00536CFD" w:rsidRDefault="009D4A93" w:rsidP="009D4A93">
            <w:pPr>
              <w:spacing w:after="0"/>
              <w:jc w:val="center"/>
              <w:rPr>
                <w:lang w:val="zh-CN"/>
              </w:rPr>
            </w:pPr>
            <w:r w:rsidRPr="00536CFD">
              <w:rPr>
                <w:lang w:val="zh-CN"/>
              </w:rPr>
              <w:t>0.044</w:t>
            </w:r>
          </w:p>
        </w:tc>
        <w:tc>
          <w:tcPr>
            <w:tcW w:w="810" w:type="dxa"/>
            <w:tcBorders>
              <w:top w:val="single" w:sz="4" w:space="0" w:color="auto"/>
              <w:left w:val="nil"/>
              <w:bottom w:val="single" w:sz="4" w:space="0" w:color="auto"/>
              <w:right w:val="single" w:sz="4" w:space="0" w:color="auto"/>
            </w:tcBorders>
            <w:shd w:val="clear" w:color="auto" w:fill="auto"/>
          </w:tcPr>
          <w:p w14:paraId="3BAC6F1B" w14:textId="77777777" w:rsidR="009D4A93" w:rsidRPr="00536CFD" w:rsidRDefault="009D4A93" w:rsidP="009D4A93">
            <w:pPr>
              <w:spacing w:after="0"/>
              <w:jc w:val="center"/>
              <w:rPr>
                <w:lang w:val="zh-CN"/>
              </w:rPr>
            </w:pPr>
            <w:r w:rsidRPr="00536CFD">
              <w:rPr>
                <w:lang w:val="zh-CN"/>
              </w:rPr>
              <w:t>0.125</w:t>
            </w:r>
          </w:p>
        </w:tc>
        <w:tc>
          <w:tcPr>
            <w:tcW w:w="820" w:type="dxa"/>
            <w:tcBorders>
              <w:top w:val="single" w:sz="4" w:space="0" w:color="auto"/>
              <w:left w:val="nil"/>
              <w:bottom w:val="single" w:sz="4" w:space="0" w:color="auto"/>
              <w:right w:val="single" w:sz="4" w:space="0" w:color="auto"/>
            </w:tcBorders>
            <w:shd w:val="clear" w:color="auto" w:fill="auto"/>
          </w:tcPr>
          <w:p w14:paraId="612F2996" w14:textId="77777777" w:rsidR="009D4A93" w:rsidRPr="00536CFD" w:rsidRDefault="009D4A93" w:rsidP="009D4A93">
            <w:pPr>
              <w:spacing w:after="0"/>
              <w:jc w:val="center"/>
              <w:rPr>
                <w:lang w:val="zh-CN"/>
              </w:rPr>
            </w:pPr>
            <w:r w:rsidRPr="00536CFD">
              <w:rPr>
                <w:lang w:val="zh-CN"/>
              </w:rPr>
              <w:t>0.223</w:t>
            </w:r>
          </w:p>
        </w:tc>
        <w:tc>
          <w:tcPr>
            <w:tcW w:w="800" w:type="dxa"/>
            <w:tcBorders>
              <w:top w:val="single" w:sz="4" w:space="0" w:color="auto"/>
              <w:left w:val="nil"/>
              <w:bottom w:val="single" w:sz="4" w:space="0" w:color="auto"/>
              <w:right w:val="single" w:sz="4" w:space="0" w:color="auto"/>
            </w:tcBorders>
            <w:shd w:val="clear" w:color="auto" w:fill="auto"/>
          </w:tcPr>
          <w:p w14:paraId="695B43F8" w14:textId="77777777" w:rsidR="009D4A93" w:rsidRPr="00536CFD" w:rsidRDefault="009D4A93" w:rsidP="009D4A93">
            <w:pPr>
              <w:spacing w:after="0"/>
              <w:jc w:val="center"/>
              <w:rPr>
                <w:lang w:val="zh-CN"/>
              </w:rPr>
            </w:pPr>
            <w:r w:rsidRPr="00536CFD">
              <w:rPr>
                <w:lang w:val="zh-CN"/>
              </w:rPr>
              <w:t>0.203</w:t>
            </w:r>
          </w:p>
        </w:tc>
        <w:tc>
          <w:tcPr>
            <w:tcW w:w="720" w:type="dxa"/>
            <w:tcBorders>
              <w:top w:val="single" w:sz="4" w:space="0" w:color="auto"/>
              <w:left w:val="nil"/>
              <w:bottom w:val="single" w:sz="4" w:space="0" w:color="auto"/>
              <w:right w:val="single" w:sz="4" w:space="0" w:color="auto"/>
            </w:tcBorders>
            <w:shd w:val="clear" w:color="auto" w:fill="auto"/>
          </w:tcPr>
          <w:p w14:paraId="6D4B712F" w14:textId="77777777" w:rsidR="009D4A93" w:rsidRPr="00536CFD" w:rsidRDefault="009D4A93" w:rsidP="009D4A93">
            <w:pPr>
              <w:spacing w:after="0"/>
              <w:jc w:val="center"/>
              <w:rPr>
                <w:lang w:val="zh-CN"/>
              </w:rPr>
            </w:pPr>
            <w:r w:rsidRPr="00536CFD">
              <w:rPr>
                <w:lang w:val="zh-CN"/>
              </w:rPr>
              <w:t>0.086</w:t>
            </w:r>
          </w:p>
        </w:tc>
        <w:tc>
          <w:tcPr>
            <w:tcW w:w="724" w:type="dxa"/>
            <w:tcBorders>
              <w:top w:val="single" w:sz="4" w:space="0" w:color="auto"/>
              <w:left w:val="nil"/>
              <w:bottom w:val="single" w:sz="4" w:space="0" w:color="auto"/>
              <w:right w:val="single" w:sz="4" w:space="0" w:color="auto"/>
            </w:tcBorders>
            <w:shd w:val="clear" w:color="auto" w:fill="auto"/>
          </w:tcPr>
          <w:p w14:paraId="02420E17" w14:textId="77777777" w:rsidR="009D4A93" w:rsidRPr="00536CFD" w:rsidRDefault="009D4A93" w:rsidP="009D4A93">
            <w:pPr>
              <w:spacing w:after="0"/>
              <w:jc w:val="center"/>
              <w:rPr>
                <w:lang w:val="zh-CN"/>
              </w:rPr>
            </w:pPr>
            <w:r w:rsidRPr="00536CFD">
              <w:rPr>
                <w:lang w:val="zh-CN"/>
              </w:rPr>
              <w:t>0.227</w:t>
            </w:r>
          </w:p>
        </w:tc>
        <w:tc>
          <w:tcPr>
            <w:tcW w:w="896" w:type="dxa"/>
            <w:tcBorders>
              <w:top w:val="single" w:sz="4" w:space="0" w:color="auto"/>
              <w:left w:val="nil"/>
              <w:bottom w:val="single" w:sz="4" w:space="0" w:color="auto"/>
              <w:right w:val="single" w:sz="4" w:space="0" w:color="auto"/>
            </w:tcBorders>
            <w:shd w:val="clear" w:color="auto" w:fill="auto"/>
          </w:tcPr>
          <w:p w14:paraId="3B233F21" w14:textId="77777777" w:rsidR="009D4A93" w:rsidRPr="00536CFD" w:rsidRDefault="009D4A93" w:rsidP="009D4A93">
            <w:pPr>
              <w:spacing w:after="0"/>
              <w:jc w:val="center"/>
              <w:rPr>
                <w:lang w:val="zh-CN"/>
              </w:rPr>
            </w:pPr>
            <w:r w:rsidRPr="00536CFD">
              <w:rPr>
                <w:lang w:val="zh-CN"/>
              </w:rPr>
              <w:t>0.338</w:t>
            </w:r>
          </w:p>
        </w:tc>
        <w:tc>
          <w:tcPr>
            <w:tcW w:w="720" w:type="dxa"/>
            <w:tcBorders>
              <w:top w:val="single" w:sz="4" w:space="0" w:color="auto"/>
              <w:left w:val="nil"/>
              <w:bottom w:val="single" w:sz="4" w:space="0" w:color="auto"/>
              <w:right w:val="single" w:sz="4" w:space="0" w:color="auto"/>
            </w:tcBorders>
            <w:shd w:val="clear" w:color="auto" w:fill="auto"/>
          </w:tcPr>
          <w:p w14:paraId="5239A65D" w14:textId="77777777" w:rsidR="009D4A93" w:rsidRPr="00536CFD" w:rsidRDefault="009D4A93" w:rsidP="009D4A93">
            <w:pPr>
              <w:spacing w:after="0"/>
              <w:jc w:val="center"/>
              <w:rPr>
                <w:lang w:val="zh-CN"/>
              </w:rPr>
            </w:pPr>
            <w:r w:rsidRPr="00536CFD">
              <w:rPr>
                <w:lang w:val="zh-CN"/>
              </w:rPr>
              <w:t>0.338</w:t>
            </w:r>
          </w:p>
        </w:tc>
        <w:tc>
          <w:tcPr>
            <w:tcW w:w="720" w:type="dxa"/>
            <w:tcBorders>
              <w:top w:val="single" w:sz="4" w:space="0" w:color="auto"/>
              <w:left w:val="nil"/>
              <w:bottom w:val="single" w:sz="4" w:space="0" w:color="auto"/>
              <w:right w:val="single" w:sz="4" w:space="0" w:color="auto"/>
            </w:tcBorders>
            <w:shd w:val="clear" w:color="auto" w:fill="auto"/>
          </w:tcPr>
          <w:p w14:paraId="08B0124F" w14:textId="77777777" w:rsidR="009D4A93" w:rsidRPr="00536CFD" w:rsidRDefault="009D4A93" w:rsidP="009D4A93">
            <w:pPr>
              <w:spacing w:after="0"/>
              <w:jc w:val="center"/>
              <w:rPr>
                <w:lang w:val="zh-CN"/>
              </w:rPr>
            </w:pPr>
            <w:r w:rsidRPr="00536CFD">
              <w:rPr>
                <w:lang w:val="zh-CN"/>
              </w:rPr>
              <w:t>0.084</w:t>
            </w:r>
          </w:p>
        </w:tc>
      </w:tr>
      <w:tr w:rsidR="009D4A93" w:rsidRPr="00536CFD" w14:paraId="0FE58FC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460DB4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2C87355"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tcPr>
          <w:p w14:paraId="7EFD3D1F" w14:textId="77777777" w:rsidR="009D4A93" w:rsidRPr="00536CFD" w:rsidRDefault="009D4A93" w:rsidP="009D4A93">
            <w:pPr>
              <w:spacing w:after="0"/>
              <w:jc w:val="center"/>
              <w:rPr>
                <w:lang w:val="zh-CN"/>
              </w:rPr>
            </w:pPr>
            <w:r w:rsidRPr="00536CFD">
              <w:rPr>
                <w:lang w:val="zh-CN"/>
              </w:rPr>
              <w:t>0.9990</w:t>
            </w:r>
          </w:p>
        </w:tc>
        <w:tc>
          <w:tcPr>
            <w:tcW w:w="720" w:type="dxa"/>
            <w:tcBorders>
              <w:top w:val="single" w:sz="4" w:space="0" w:color="auto"/>
              <w:left w:val="nil"/>
              <w:bottom w:val="single" w:sz="4" w:space="0" w:color="auto"/>
              <w:right w:val="single" w:sz="4" w:space="0" w:color="auto"/>
            </w:tcBorders>
            <w:shd w:val="clear" w:color="auto" w:fill="auto"/>
          </w:tcPr>
          <w:p w14:paraId="541EC5C5" w14:textId="77777777" w:rsidR="009D4A93" w:rsidRPr="00536CFD" w:rsidRDefault="009D4A93" w:rsidP="009D4A93">
            <w:pPr>
              <w:spacing w:after="0"/>
              <w:jc w:val="center"/>
              <w:rPr>
                <w:lang w:val="zh-CN"/>
              </w:rPr>
            </w:pPr>
            <w:r w:rsidRPr="00536CFD">
              <w:rPr>
                <w:lang w:val="zh-CN"/>
              </w:rPr>
              <w:t>0.9994</w:t>
            </w:r>
          </w:p>
        </w:tc>
        <w:tc>
          <w:tcPr>
            <w:tcW w:w="720" w:type="dxa"/>
            <w:tcBorders>
              <w:top w:val="single" w:sz="4" w:space="0" w:color="auto"/>
              <w:left w:val="nil"/>
              <w:bottom w:val="single" w:sz="4" w:space="0" w:color="auto"/>
              <w:right w:val="single" w:sz="4" w:space="0" w:color="auto"/>
            </w:tcBorders>
            <w:shd w:val="clear" w:color="auto" w:fill="auto"/>
          </w:tcPr>
          <w:p w14:paraId="3B960BFB" w14:textId="77777777" w:rsidR="009D4A93" w:rsidRPr="00536CFD" w:rsidRDefault="009D4A93" w:rsidP="009D4A93">
            <w:pPr>
              <w:spacing w:after="0"/>
              <w:jc w:val="center"/>
              <w:rPr>
                <w:lang w:val="zh-CN"/>
              </w:rPr>
            </w:pPr>
            <w:r w:rsidRPr="00536CFD">
              <w:rPr>
                <w:lang w:val="zh-CN"/>
              </w:rPr>
              <w:t>0.9994</w:t>
            </w:r>
          </w:p>
        </w:tc>
        <w:tc>
          <w:tcPr>
            <w:tcW w:w="810" w:type="dxa"/>
            <w:tcBorders>
              <w:top w:val="single" w:sz="4" w:space="0" w:color="auto"/>
              <w:left w:val="nil"/>
              <w:bottom w:val="single" w:sz="4" w:space="0" w:color="auto"/>
              <w:right w:val="single" w:sz="4" w:space="0" w:color="auto"/>
            </w:tcBorders>
            <w:shd w:val="clear" w:color="auto" w:fill="auto"/>
          </w:tcPr>
          <w:p w14:paraId="065667DD"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3BDB4E4B" w14:textId="77777777" w:rsidR="009D4A93" w:rsidRPr="00536CFD" w:rsidRDefault="009D4A93" w:rsidP="009D4A93">
            <w:pPr>
              <w:spacing w:after="0"/>
              <w:jc w:val="center"/>
              <w:rPr>
                <w:lang w:val="zh-CN"/>
              </w:rPr>
            </w:pPr>
            <w:r w:rsidRPr="00536CFD">
              <w:rPr>
                <w:lang w:val="zh-CN"/>
              </w:rPr>
              <w:t>0.9916</w:t>
            </w:r>
          </w:p>
        </w:tc>
        <w:tc>
          <w:tcPr>
            <w:tcW w:w="820" w:type="dxa"/>
            <w:tcBorders>
              <w:top w:val="single" w:sz="4" w:space="0" w:color="auto"/>
              <w:left w:val="nil"/>
              <w:bottom w:val="single" w:sz="4" w:space="0" w:color="auto"/>
              <w:right w:val="single" w:sz="4" w:space="0" w:color="auto"/>
            </w:tcBorders>
            <w:shd w:val="clear" w:color="auto" w:fill="auto"/>
          </w:tcPr>
          <w:p w14:paraId="6757783F" w14:textId="77777777" w:rsidR="009D4A93" w:rsidRPr="00536CFD" w:rsidRDefault="009D4A93" w:rsidP="009D4A93">
            <w:pPr>
              <w:spacing w:after="0"/>
              <w:jc w:val="center"/>
              <w:rPr>
                <w:lang w:val="zh-CN"/>
              </w:rPr>
            </w:pPr>
            <w:r w:rsidRPr="00536CFD">
              <w:rPr>
                <w:lang w:val="zh-CN"/>
              </w:rPr>
              <w:t>0.9960</w:t>
            </w:r>
          </w:p>
        </w:tc>
        <w:tc>
          <w:tcPr>
            <w:tcW w:w="800" w:type="dxa"/>
            <w:tcBorders>
              <w:top w:val="single" w:sz="4" w:space="0" w:color="auto"/>
              <w:left w:val="nil"/>
              <w:bottom w:val="single" w:sz="4" w:space="0" w:color="auto"/>
              <w:right w:val="single" w:sz="4" w:space="0" w:color="auto"/>
            </w:tcBorders>
            <w:shd w:val="clear" w:color="auto" w:fill="auto"/>
          </w:tcPr>
          <w:p w14:paraId="21AD0366" w14:textId="77777777" w:rsidR="009D4A93" w:rsidRPr="00536CFD" w:rsidRDefault="009D4A93" w:rsidP="009D4A93">
            <w:pPr>
              <w:spacing w:after="0"/>
              <w:jc w:val="center"/>
              <w:rPr>
                <w:lang w:val="zh-CN"/>
              </w:rPr>
            </w:pPr>
            <w:r w:rsidRPr="00536CFD">
              <w:rPr>
                <w:lang w:val="zh-CN"/>
              </w:rPr>
              <w:t>0.9960</w:t>
            </w:r>
          </w:p>
        </w:tc>
        <w:tc>
          <w:tcPr>
            <w:tcW w:w="720" w:type="dxa"/>
            <w:tcBorders>
              <w:top w:val="single" w:sz="4" w:space="0" w:color="auto"/>
              <w:left w:val="nil"/>
              <w:bottom w:val="single" w:sz="4" w:space="0" w:color="auto"/>
              <w:right w:val="single" w:sz="4" w:space="0" w:color="auto"/>
            </w:tcBorders>
            <w:shd w:val="clear" w:color="auto" w:fill="auto"/>
          </w:tcPr>
          <w:p w14:paraId="056812DC"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tcPr>
          <w:p w14:paraId="04A83B3F" w14:textId="77777777" w:rsidR="009D4A93" w:rsidRPr="00536CFD" w:rsidRDefault="009D4A93" w:rsidP="009D4A93">
            <w:pPr>
              <w:spacing w:after="0"/>
              <w:jc w:val="center"/>
              <w:rPr>
                <w:lang w:val="zh-CN"/>
              </w:rPr>
            </w:pPr>
            <w:r w:rsidRPr="00536CFD">
              <w:rPr>
                <w:lang w:val="zh-CN"/>
              </w:rPr>
              <w:t>0.9786</w:t>
            </w:r>
          </w:p>
        </w:tc>
        <w:tc>
          <w:tcPr>
            <w:tcW w:w="896" w:type="dxa"/>
            <w:tcBorders>
              <w:top w:val="single" w:sz="4" w:space="0" w:color="auto"/>
              <w:left w:val="nil"/>
              <w:bottom w:val="single" w:sz="4" w:space="0" w:color="auto"/>
              <w:right w:val="single" w:sz="4" w:space="0" w:color="auto"/>
            </w:tcBorders>
            <w:shd w:val="clear" w:color="auto" w:fill="auto"/>
          </w:tcPr>
          <w:p w14:paraId="44F591A4" w14:textId="77777777" w:rsidR="009D4A93" w:rsidRPr="00536CFD" w:rsidRDefault="009D4A93" w:rsidP="009D4A93">
            <w:pPr>
              <w:spacing w:after="0"/>
              <w:jc w:val="center"/>
              <w:rPr>
                <w:lang w:val="zh-CN"/>
              </w:rPr>
            </w:pPr>
            <w:r w:rsidRPr="00536CFD">
              <w:rPr>
                <w:lang w:val="zh-CN"/>
              </w:rPr>
              <w:t>0.967</w:t>
            </w:r>
          </w:p>
        </w:tc>
        <w:tc>
          <w:tcPr>
            <w:tcW w:w="720" w:type="dxa"/>
            <w:tcBorders>
              <w:top w:val="single" w:sz="4" w:space="0" w:color="auto"/>
              <w:left w:val="nil"/>
              <w:bottom w:val="single" w:sz="4" w:space="0" w:color="auto"/>
              <w:right w:val="single" w:sz="4" w:space="0" w:color="auto"/>
            </w:tcBorders>
            <w:shd w:val="clear" w:color="auto" w:fill="auto"/>
          </w:tcPr>
          <w:p w14:paraId="1BE10B6F" w14:textId="77777777" w:rsidR="009D4A93" w:rsidRPr="00536CFD" w:rsidRDefault="009D4A93" w:rsidP="009D4A93">
            <w:pPr>
              <w:spacing w:after="0"/>
              <w:jc w:val="center"/>
              <w:rPr>
                <w:lang w:val="zh-CN"/>
              </w:rPr>
            </w:pPr>
            <w:r w:rsidRPr="00536CFD">
              <w:rPr>
                <w:lang w:val="zh-CN"/>
              </w:rPr>
              <w:t>0.9760</w:t>
            </w:r>
          </w:p>
        </w:tc>
        <w:tc>
          <w:tcPr>
            <w:tcW w:w="720" w:type="dxa"/>
            <w:tcBorders>
              <w:top w:val="single" w:sz="4" w:space="0" w:color="auto"/>
              <w:left w:val="nil"/>
              <w:bottom w:val="single" w:sz="4" w:space="0" w:color="auto"/>
              <w:right w:val="single" w:sz="4" w:space="0" w:color="auto"/>
            </w:tcBorders>
            <w:shd w:val="clear" w:color="auto" w:fill="auto"/>
          </w:tcPr>
          <w:p w14:paraId="23806669" w14:textId="77777777" w:rsidR="009D4A93" w:rsidRPr="00536CFD" w:rsidRDefault="009D4A93" w:rsidP="009D4A93">
            <w:pPr>
              <w:spacing w:after="0"/>
              <w:jc w:val="center"/>
              <w:rPr>
                <w:lang w:val="zh-CN"/>
              </w:rPr>
            </w:pPr>
            <w:r w:rsidRPr="00536CFD">
              <w:rPr>
                <w:lang w:val="zh-CN"/>
              </w:rPr>
              <w:t>1.00</w:t>
            </w:r>
          </w:p>
        </w:tc>
      </w:tr>
      <w:tr w:rsidR="009D4A93" w:rsidRPr="00536CFD" w14:paraId="77E1029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4C8AF22"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51F3AB41"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tcPr>
          <w:p w14:paraId="0BFDB8DA" w14:textId="77777777" w:rsidR="009D4A93" w:rsidRPr="00536CFD" w:rsidRDefault="009D4A93" w:rsidP="009D4A93">
            <w:pPr>
              <w:spacing w:after="0"/>
              <w:jc w:val="center"/>
              <w:rPr>
                <w:lang w:val="zh-CN"/>
              </w:rPr>
            </w:pPr>
            <w:r w:rsidRPr="00536CFD">
              <w:rPr>
                <w:lang w:val="zh-CN"/>
              </w:rPr>
              <w:t>0.9984</w:t>
            </w:r>
          </w:p>
        </w:tc>
        <w:tc>
          <w:tcPr>
            <w:tcW w:w="720" w:type="dxa"/>
            <w:tcBorders>
              <w:top w:val="single" w:sz="4" w:space="0" w:color="auto"/>
              <w:left w:val="nil"/>
              <w:bottom w:val="single" w:sz="4" w:space="0" w:color="auto"/>
              <w:right w:val="single" w:sz="4" w:space="0" w:color="auto"/>
            </w:tcBorders>
            <w:shd w:val="clear" w:color="auto" w:fill="auto"/>
          </w:tcPr>
          <w:p w14:paraId="1FA94DAD" w14:textId="77777777" w:rsidR="009D4A93" w:rsidRPr="00536CFD" w:rsidRDefault="009D4A93" w:rsidP="009D4A93">
            <w:pPr>
              <w:spacing w:after="0"/>
              <w:jc w:val="center"/>
              <w:rPr>
                <w:lang w:val="zh-CN"/>
              </w:rPr>
            </w:pPr>
            <w:r w:rsidRPr="00536CFD">
              <w:rPr>
                <w:lang w:val="zh-CN"/>
              </w:rPr>
              <w:t>0.9995</w:t>
            </w:r>
          </w:p>
        </w:tc>
        <w:tc>
          <w:tcPr>
            <w:tcW w:w="720" w:type="dxa"/>
            <w:tcBorders>
              <w:top w:val="single" w:sz="4" w:space="0" w:color="auto"/>
              <w:left w:val="nil"/>
              <w:bottom w:val="single" w:sz="4" w:space="0" w:color="auto"/>
              <w:right w:val="single" w:sz="4" w:space="0" w:color="auto"/>
            </w:tcBorders>
            <w:shd w:val="clear" w:color="auto" w:fill="auto"/>
          </w:tcPr>
          <w:p w14:paraId="3D15AE74"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03D2725C"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tcPr>
          <w:p w14:paraId="3B79DB36" w14:textId="77777777" w:rsidR="009D4A93" w:rsidRPr="00536CFD" w:rsidRDefault="009D4A93" w:rsidP="009D4A93">
            <w:pPr>
              <w:spacing w:after="0"/>
              <w:jc w:val="center"/>
              <w:rPr>
                <w:lang w:val="zh-CN"/>
              </w:rPr>
            </w:pPr>
            <w:r w:rsidRPr="00536CFD">
              <w:rPr>
                <w:lang w:val="zh-CN"/>
              </w:rPr>
              <w:t>0.9980</w:t>
            </w:r>
          </w:p>
        </w:tc>
        <w:tc>
          <w:tcPr>
            <w:tcW w:w="820" w:type="dxa"/>
            <w:tcBorders>
              <w:top w:val="single" w:sz="4" w:space="0" w:color="auto"/>
              <w:left w:val="nil"/>
              <w:bottom w:val="single" w:sz="4" w:space="0" w:color="auto"/>
              <w:right w:val="single" w:sz="4" w:space="0" w:color="auto"/>
            </w:tcBorders>
            <w:shd w:val="clear" w:color="auto" w:fill="auto"/>
          </w:tcPr>
          <w:p w14:paraId="4CDB6B67" w14:textId="77777777" w:rsidR="009D4A93" w:rsidRPr="00536CFD" w:rsidRDefault="009D4A93" w:rsidP="009D4A93">
            <w:pPr>
              <w:spacing w:after="0"/>
              <w:jc w:val="center"/>
              <w:rPr>
                <w:lang w:val="zh-CN"/>
              </w:rPr>
            </w:pPr>
            <w:r w:rsidRPr="00536CFD">
              <w:rPr>
                <w:lang w:val="zh-CN"/>
              </w:rPr>
              <w:t>0.9974</w:t>
            </w:r>
          </w:p>
        </w:tc>
        <w:tc>
          <w:tcPr>
            <w:tcW w:w="800" w:type="dxa"/>
            <w:tcBorders>
              <w:top w:val="single" w:sz="4" w:space="0" w:color="auto"/>
              <w:left w:val="nil"/>
              <w:bottom w:val="single" w:sz="4" w:space="0" w:color="auto"/>
              <w:right w:val="single" w:sz="4" w:space="0" w:color="auto"/>
            </w:tcBorders>
            <w:shd w:val="clear" w:color="auto" w:fill="auto"/>
          </w:tcPr>
          <w:p w14:paraId="18B41E85"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tcPr>
          <w:p w14:paraId="51038E76"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tcPr>
          <w:p w14:paraId="107D1CE9" w14:textId="77777777" w:rsidR="009D4A93" w:rsidRPr="00536CFD" w:rsidRDefault="009D4A93" w:rsidP="009D4A93">
            <w:pPr>
              <w:spacing w:after="0"/>
              <w:jc w:val="center"/>
              <w:rPr>
                <w:lang w:val="zh-CN"/>
              </w:rPr>
            </w:pPr>
            <w:r w:rsidRPr="00536CFD">
              <w:rPr>
                <w:lang w:val="zh-CN"/>
              </w:rPr>
              <w:t>0.9957</w:t>
            </w:r>
          </w:p>
        </w:tc>
        <w:tc>
          <w:tcPr>
            <w:tcW w:w="896" w:type="dxa"/>
            <w:tcBorders>
              <w:top w:val="single" w:sz="4" w:space="0" w:color="auto"/>
              <w:left w:val="nil"/>
              <w:bottom w:val="single" w:sz="4" w:space="0" w:color="auto"/>
              <w:right w:val="single" w:sz="4" w:space="0" w:color="auto"/>
            </w:tcBorders>
            <w:shd w:val="clear" w:color="auto" w:fill="auto"/>
          </w:tcPr>
          <w:p w14:paraId="2ACADA88" w14:textId="77777777" w:rsidR="009D4A93" w:rsidRPr="00536CFD" w:rsidRDefault="009D4A93" w:rsidP="009D4A93">
            <w:pPr>
              <w:spacing w:after="0"/>
              <w:jc w:val="center"/>
              <w:rPr>
                <w:lang w:val="zh-CN"/>
              </w:rPr>
            </w:pPr>
            <w:r w:rsidRPr="00536CFD">
              <w:rPr>
                <w:lang w:val="zh-CN"/>
              </w:rPr>
              <w:t>0.976</w:t>
            </w:r>
          </w:p>
        </w:tc>
        <w:tc>
          <w:tcPr>
            <w:tcW w:w="720" w:type="dxa"/>
            <w:tcBorders>
              <w:top w:val="single" w:sz="4" w:space="0" w:color="auto"/>
              <w:left w:val="nil"/>
              <w:bottom w:val="single" w:sz="4" w:space="0" w:color="auto"/>
              <w:right w:val="single" w:sz="4" w:space="0" w:color="auto"/>
            </w:tcBorders>
            <w:shd w:val="clear" w:color="auto" w:fill="auto"/>
          </w:tcPr>
          <w:p w14:paraId="432E5C9C" w14:textId="77777777" w:rsidR="009D4A93" w:rsidRPr="00536CFD" w:rsidRDefault="009D4A93" w:rsidP="009D4A93">
            <w:pPr>
              <w:spacing w:after="0"/>
              <w:jc w:val="center"/>
              <w:rPr>
                <w:lang w:val="zh-CN"/>
              </w:rPr>
            </w:pPr>
            <w:r w:rsidRPr="00536CFD">
              <w:rPr>
                <w:lang w:val="zh-CN"/>
              </w:rPr>
              <w:t>0.9673</w:t>
            </w:r>
          </w:p>
        </w:tc>
        <w:tc>
          <w:tcPr>
            <w:tcW w:w="720" w:type="dxa"/>
            <w:tcBorders>
              <w:top w:val="single" w:sz="4" w:space="0" w:color="auto"/>
              <w:left w:val="nil"/>
              <w:bottom w:val="single" w:sz="4" w:space="0" w:color="auto"/>
              <w:right w:val="single" w:sz="4" w:space="0" w:color="auto"/>
            </w:tcBorders>
            <w:shd w:val="clear" w:color="auto" w:fill="auto"/>
          </w:tcPr>
          <w:p w14:paraId="64A3B844" w14:textId="77777777" w:rsidR="009D4A93" w:rsidRPr="00536CFD" w:rsidRDefault="009D4A93" w:rsidP="009D4A93">
            <w:pPr>
              <w:spacing w:after="0"/>
              <w:jc w:val="center"/>
              <w:rPr>
                <w:lang w:val="zh-CN"/>
              </w:rPr>
            </w:pPr>
            <w:r w:rsidRPr="00536CFD">
              <w:rPr>
                <w:lang w:val="zh-CN"/>
              </w:rPr>
              <w:t>0.9870</w:t>
            </w:r>
          </w:p>
        </w:tc>
      </w:tr>
      <w:tr w:rsidR="009D4A93" w:rsidRPr="00536CFD" w14:paraId="2C186E4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E2E08D2"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715145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tcPr>
          <w:p w14:paraId="1EBB16D8" w14:textId="77777777" w:rsidR="009D4A93" w:rsidRPr="00536CFD" w:rsidRDefault="009D4A93" w:rsidP="009D4A93">
            <w:pPr>
              <w:spacing w:after="0"/>
              <w:jc w:val="center"/>
              <w:rPr>
                <w:lang w:val="zh-CN"/>
              </w:rPr>
            </w:pPr>
            <w:r w:rsidRPr="00536CFD">
              <w:rPr>
                <w:lang w:val="zh-CN"/>
              </w:rPr>
              <w:t>11.00</w:t>
            </w:r>
          </w:p>
        </w:tc>
        <w:tc>
          <w:tcPr>
            <w:tcW w:w="720" w:type="dxa"/>
            <w:tcBorders>
              <w:top w:val="single" w:sz="4" w:space="0" w:color="auto"/>
              <w:left w:val="nil"/>
              <w:bottom w:val="single" w:sz="4" w:space="0" w:color="auto"/>
              <w:right w:val="single" w:sz="4" w:space="0" w:color="auto"/>
            </w:tcBorders>
            <w:shd w:val="clear" w:color="auto" w:fill="auto"/>
          </w:tcPr>
          <w:p w14:paraId="0A6814E5" w14:textId="77777777" w:rsidR="009D4A93" w:rsidRPr="00536CFD" w:rsidRDefault="009D4A93" w:rsidP="009D4A93">
            <w:pPr>
              <w:spacing w:after="0"/>
              <w:jc w:val="center"/>
              <w:rPr>
                <w:lang w:val="zh-CN"/>
              </w:rPr>
            </w:pPr>
            <w:r w:rsidRPr="00536CFD">
              <w:rPr>
                <w:lang w:val="zh-CN"/>
              </w:rPr>
              <w:t>10.4</w:t>
            </w:r>
          </w:p>
        </w:tc>
        <w:tc>
          <w:tcPr>
            <w:tcW w:w="720" w:type="dxa"/>
            <w:tcBorders>
              <w:top w:val="single" w:sz="4" w:space="0" w:color="auto"/>
              <w:left w:val="nil"/>
              <w:bottom w:val="single" w:sz="4" w:space="0" w:color="auto"/>
              <w:right w:val="single" w:sz="4" w:space="0" w:color="auto"/>
            </w:tcBorders>
            <w:shd w:val="clear" w:color="auto" w:fill="auto"/>
          </w:tcPr>
          <w:p w14:paraId="55F6400D" w14:textId="77777777" w:rsidR="009D4A93" w:rsidRPr="00536CFD" w:rsidRDefault="009D4A93" w:rsidP="009D4A93">
            <w:pPr>
              <w:spacing w:after="0"/>
              <w:jc w:val="center"/>
              <w:rPr>
                <w:lang w:val="zh-CN"/>
              </w:rPr>
            </w:pPr>
            <w:r w:rsidRPr="00536CFD">
              <w:rPr>
                <w:lang w:val="zh-CN"/>
              </w:rPr>
              <w:t>5.83</w:t>
            </w:r>
          </w:p>
        </w:tc>
        <w:tc>
          <w:tcPr>
            <w:tcW w:w="810" w:type="dxa"/>
            <w:tcBorders>
              <w:top w:val="single" w:sz="4" w:space="0" w:color="auto"/>
              <w:left w:val="nil"/>
              <w:bottom w:val="single" w:sz="4" w:space="0" w:color="auto"/>
              <w:right w:val="single" w:sz="4" w:space="0" w:color="auto"/>
            </w:tcBorders>
            <w:shd w:val="clear" w:color="auto" w:fill="auto"/>
          </w:tcPr>
          <w:p w14:paraId="630408AA" w14:textId="77777777" w:rsidR="009D4A93" w:rsidRPr="00536CFD" w:rsidRDefault="009D4A93" w:rsidP="009D4A93">
            <w:pPr>
              <w:spacing w:after="0"/>
              <w:jc w:val="center"/>
              <w:rPr>
                <w:lang w:val="zh-CN"/>
              </w:rPr>
            </w:pPr>
            <w:r w:rsidRPr="00536CFD">
              <w:rPr>
                <w:lang w:val="zh-CN"/>
              </w:rPr>
              <w:t>4.68</w:t>
            </w:r>
          </w:p>
        </w:tc>
        <w:tc>
          <w:tcPr>
            <w:tcW w:w="810" w:type="dxa"/>
            <w:tcBorders>
              <w:top w:val="single" w:sz="4" w:space="0" w:color="auto"/>
              <w:left w:val="nil"/>
              <w:bottom w:val="single" w:sz="4" w:space="0" w:color="auto"/>
              <w:right w:val="single" w:sz="4" w:space="0" w:color="auto"/>
            </w:tcBorders>
            <w:shd w:val="clear" w:color="auto" w:fill="auto"/>
          </w:tcPr>
          <w:p w14:paraId="2CCD48B6" w14:textId="77777777" w:rsidR="009D4A93" w:rsidRPr="00536CFD" w:rsidRDefault="009D4A93" w:rsidP="009D4A93">
            <w:pPr>
              <w:spacing w:after="0"/>
              <w:jc w:val="center"/>
              <w:rPr>
                <w:lang w:val="zh-CN"/>
              </w:rPr>
            </w:pPr>
            <w:r w:rsidRPr="00536CFD">
              <w:rPr>
                <w:lang w:val="zh-CN"/>
              </w:rPr>
              <w:t>39.50</w:t>
            </w:r>
          </w:p>
        </w:tc>
        <w:tc>
          <w:tcPr>
            <w:tcW w:w="820" w:type="dxa"/>
            <w:tcBorders>
              <w:top w:val="single" w:sz="4" w:space="0" w:color="auto"/>
              <w:left w:val="nil"/>
              <w:bottom w:val="single" w:sz="4" w:space="0" w:color="auto"/>
              <w:right w:val="single" w:sz="4" w:space="0" w:color="auto"/>
            </w:tcBorders>
            <w:shd w:val="clear" w:color="auto" w:fill="auto"/>
          </w:tcPr>
          <w:p w14:paraId="5A6B379F" w14:textId="77777777" w:rsidR="009D4A93" w:rsidRPr="00536CFD" w:rsidRDefault="009D4A93" w:rsidP="009D4A93">
            <w:pPr>
              <w:spacing w:after="0"/>
              <w:jc w:val="center"/>
              <w:rPr>
                <w:lang w:val="zh-CN"/>
              </w:rPr>
            </w:pPr>
            <w:r w:rsidRPr="00536CFD">
              <w:rPr>
                <w:lang w:val="zh-CN"/>
              </w:rPr>
              <w:t>42.00</w:t>
            </w:r>
          </w:p>
        </w:tc>
        <w:tc>
          <w:tcPr>
            <w:tcW w:w="800" w:type="dxa"/>
            <w:tcBorders>
              <w:top w:val="single" w:sz="4" w:space="0" w:color="auto"/>
              <w:left w:val="nil"/>
              <w:bottom w:val="single" w:sz="4" w:space="0" w:color="auto"/>
              <w:right w:val="single" w:sz="4" w:space="0" w:color="auto"/>
            </w:tcBorders>
            <w:shd w:val="clear" w:color="auto" w:fill="auto"/>
          </w:tcPr>
          <w:p w14:paraId="5E41AFDE" w14:textId="77777777" w:rsidR="009D4A93" w:rsidRPr="00536CFD" w:rsidRDefault="009D4A93" w:rsidP="009D4A93">
            <w:pPr>
              <w:spacing w:after="0"/>
              <w:jc w:val="center"/>
              <w:rPr>
                <w:lang w:val="zh-CN"/>
              </w:rPr>
            </w:pPr>
            <w:r w:rsidRPr="00536CFD">
              <w:rPr>
                <w:lang w:val="zh-CN"/>
              </w:rPr>
              <w:t>28.60</w:t>
            </w:r>
          </w:p>
        </w:tc>
        <w:tc>
          <w:tcPr>
            <w:tcW w:w="720" w:type="dxa"/>
            <w:tcBorders>
              <w:top w:val="single" w:sz="4" w:space="0" w:color="auto"/>
              <w:left w:val="nil"/>
              <w:bottom w:val="single" w:sz="4" w:space="0" w:color="auto"/>
              <w:right w:val="single" w:sz="4" w:space="0" w:color="auto"/>
            </w:tcBorders>
            <w:shd w:val="clear" w:color="auto" w:fill="auto"/>
          </w:tcPr>
          <w:p w14:paraId="1904C113" w14:textId="77777777" w:rsidR="009D4A93" w:rsidRPr="00536CFD" w:rsidRDefault="009D4A93" w:rsidP="009D4A93">
            <w:pPr>
              <w:spacing w:after="0"/>
              <w:jc w:val="center"/>
              <w:rPr>
                <w:lang w:val="zh-CN"/>
              </w:rPr>
            </w:pPr>
            <w:r w:rsidRPr="00536CFD">
              <w:rPr>
                <w:lang w:val="zh-CN"/>
              </w:rPr>
              <w:t>16.6</w:t>
            </w:r>
          </w:p>
        </w:tc>
        <w:tc>
          <w:tcPr>
            <w:tcW w:w="724" w:type="dxa"/>
            <w:tcBorders>
              <w:top w:val="single" w:sz="4" w:space="0" w:color="auto"/>
              <w:left w:val="nil"/>
              <w:bottom w:val="single" w:sz="4" w:space="0" w:color="auto"/>
              <w:right w:val="single" w:sz="4" w:space="0" w:color="auto"/>
            </w:tcBorders>
            <w:shd w:val="clear" w:color="auto" w:fill="auto"/>
          </w:tcPr>
          <w:p w14:paraId="666FBF2E" w14:textId="77777777" w:rsidR="009D4A93" w:rsidRPr="00536CFD" w:rsidRDefault="009D4A93" w:rsidP="009D4A93">
            <w:pPr>
              <w:spacing w:after="0"/>
              <w:jc w:val="center"/>
              <w:rPr>
                <w:lang w:val="zh-CN"/>
              </w:rPr>
            </w:pPr>
            <w:r w:rsidRPr="00536CFD">
              <w:rPr>
                <w:lang w:val="zh-CN"/>
              </w:rPr>
              <w:t>67.88</w:t>
            </w:r>
          </w:p>
        </w:tc>
        <w:tc>
          <w:tcPr>
            <w:tcW w:w="896" w:type="dxa"/>
            <w:tcBorders>
              <w:top w:val="single" w:sz="4" w:space="0" w:color="auto"/>
              <w:left w:val="nil"/>
              <w:bottom w:val="single" w:sz="4" w:space="0" w:color="auto"/>
              <w:right w:val="single" w:sz="4" w:space="0" w:color="auto"/>
            </w:tcBorders>
            <w:shd w:val="clear" w:color="auto" w:fill="auto"/>
          </w:tcPr>
          <w:p w14:paraId="68063A46" w14:textId="77777777" w:rsidR="009D4A93" w:rsidRPr="00536CFD" w:rsidRDefault="009D4A93" w:rsidP="009D4A93">
            <w:pPr>
              <w:spacing w:after="0"/>
              <w:jc w:val="center"/>
              <w:rPr>
                <w:lang w:val="zh-CN"/>
              </w:rPr>
            </w:pPr>
            <w:r w:rsidRPr="00536CFD">
              <w:rPr>
                <w:lang w:val="zh-CN"/>
              </w:rPr>
              <w:t>62.00</w:t>
            </w:r>
          </w:p>
        </w:tc>
        <w:tc>
          <w:tcPr>
            <w:tcW w:w="720" w:type="dxa"/>
            <w:tcBorders>
              <w:top w:val="single" w:sz="4" w:space="0" w:color="auto"/>
              <w:left w:val="nil"/>
              <w:bottom w:val="single" w:sz="4" w:space="0" w:color="auto"/>
              <w:right w:val="single" w:sz="4" w:space="0" w:color="auto"/>
            </w:tcBorders>
            <w:shd w:val="clear" w:color="auto" w:fill="auto"/>
          </w:tcPr>
          <w:p w14:paraId="51F68537" w14:textId="77777777" w:rsidR="009D4A93" w:rsidRPr="00536CFD" w:rsidRDefault="009D4A93" w:rsidP="009D4A93">
            <w:pPr>
              <w:spacing w:after="0"/>
              <w:jc w:val="center"/>
              <w:rPr>
                <w:lang w:val="zh-CN"/>
              </w:rPr>
            </w:pPr>
            <w:r w:rsidRPr="00536CFD">
              <w:rPr>
                <w:lang w:val="zh-CN"/>
              </w:rPr>
              <w:t>40.60</w:t>
            </w:r>
          </w:p>
        </w:tc>
        <w:tc>
          <w:tcPr>
            <w:tcW w:w="720" w:type="dxa"/>
            <w:tcBorders>
              <w:top w:val="single" w:sz="4" w:space="0" w:color="auto"/>
              <w:left w:val="nil"/>
              <w:bottom w:val="single" w:sz="4" w:space="0" w:color="auto"/>
              <w:right w:val="single" w:sz="4" w:space="0" w:color="auto"/>
            </w:tcBorders>
            <w:shd w:val="clear" w:color="auto" w:fill="auto"/>
          </w:tcPr>
          <w:p w14:paraId="79617D7F" w14:textId="77777777" w:rsidR="009D4A93" w:rsidRPr="00536CFD" w:rsidRDefault="009D4A93" w:rsidP="009D4A93">
            <w:pPr>
              <w:spacing w:after="0"/>
              <w:jc w:val="center"/>
              <w:rPr>
                <w:lang w:val="zh-CN"/>
              </w:rPr>
            </w:pPr>
            <w:r w:rsidRPr="00536CFD">
              <w:rPr>
                <w:lang w:val="zh-CN"/>
              </w:rPr>
              <w:t>18.00</w:t>
            </w:r>
          </w:p>
        </w:tc>
      </w:tr>
      <w:tr w:rsidR="009D4A93" w:rsidRPr="00536CFD" w14:paraId="66F9894B"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04B0DBB"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A5A8F69"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1F3C65C5" w14:textId="77777777" w:rsidR="009D4A93" w:rsidRPr="00536CFD" w:rsidRDefault="009D4A93" w:rsidP="009D4A93">
            <w:pPr>
              <w:spacing w:after="0"/>
              <w:jc w:val="center"/>
              <w:rPr>
                <w:lang w:val="zh-CN"/>
              </w:rPr>
            </w:pPr>
            <w:r w:rsidRPr="00536CFD">
              <w:rPr>
                <w:lang w:val="zh-CN"/>
              </w:rPr>
              <w:t>0.167/0.167</w:t>
            </w:r>
          </w:p>
        </w:tc>
        <w:tc>
          <w:tcPr>
            <w:tcW w:w="3150" w:type="dxa"/>
            <w:gridSpan w:val="4"/>
            <w:tcBorders>
              <w:top w:val="single" w:sz="4" w:space="0" w:color="auto"/>
              <w:left w:val="nil"/>
              <w:bottom w:val="single" w:sz="4" w:space="0" w:color="auto"/>
              <w:right w:val="single" w:sz="4" w:space="0" w:color="auto"/>
            </w:tcBorders>
            <w:shd w:val="clear" w:color="auto" w:fill="auto"/>
          </w:tcPr>
          <w:p w14:paraId="6B18FA00" w14:textId="77777777" w:rsidR="009D4A93" w:rsidRPr="00536CFD" w:rsidRDefault="009D4A93" w:rsidP="009D4A93">
            <w:pPr>
              <w:spacing w:after="0"/>
              <w:jc w:val="center"/>
              <w:rPr>
                <w:lang w:val="zh-CN"/>
              </w:rPr>
            </w:pPr>
            <w:r w:rsidRPr="00536CFD">
              <w:rPr>
                <w:lang w:val="zh-CN"/>
              </w:rPr>
              <w:t>0.3/0.3</w:t>
            </w:r>
          </w:p>
        </w:tc>
        <w:tc>
          <w:tcPr>
            <w:tcW w:w="3060" w:type="dxa"/>
            <w:gridSpan w:val="4"/>
            <w:tcBorders>
              <w:top w:val="single" w:sz="4" w:space="0" w:color="auto"/>
              <w:left w:val="nil"/>
              <w:bottom w:val="single" w:sz="4" w:space="0" w:color="auto"/>
              <w:right w:val="single" w:sz="4" w:space="0" w:color="auto"/>
            </w:tcBorders>
            <w:shd w:val="clear" w:color="auto" w:fill="auto"/>
          </w:tcPr>
          <w:p w14:paraId="383BBE1F" w14:textId="77777777" w:rsidR="009D4A93" w:rsidRPr="00536CFD" w:rsidRDefault="009D4A93" w:rsidP="009D4A93">
            <w:pPr>
              <w:spacing w:after="0"/>
              <w:jc w:val="center"/>
              <w:rPr>
                <w:lang w:val="zh-CN"/>
              </w:rPr>
            </w:pPr>
            <w:r w:rsidRPr="00536CFD">
              <w:rPr>
                <w:lang w:val="zh-CN"/>
              </w:rPr>
              <w:t>0.4/0.4</w:t>
            </w:r>
          </w:p>
        </w:tc>
      </w:tr>
      <w:tr w:rsidR="009D4A93" w:rsidRPr="00536CFD" w14:paraId="4165104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E1500E1"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56CF6A2A"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6E28B076" w14:textId="77777777" w:rsidR="009D4A93" w:rsidRPr="00536CFD" w:rsidRDefault="009D4A93" w:rsidP="009D4A93">
            <w:pPr>
              <w:spacing w:after="0"/>
            </w:pPr>
            <w:r w:rsidRPr="00536CFD">
              <w:t>Additional comments: Laypout and parameters for Indoor Sub-7GHz deployment Scenario are from R1-1807384.</w:t>
            </w:r>
          </w:p>
          <w:p w14:paraId="2A068B97" w14:textId="77777777" w:rsidR="009D4A93" w:rsidRPr="00536CFD" w:rsidRDefault="009D4A93" w:rsidP="009D4A93">
            <w:pPr>
              <w:spacing w:after="0"/>
            </w:pPr>
            <w:r w:rsidRPr="00536CFD">
              <w:t>WiFi settings: 802.11ac MCS table including 256 QAM, 2Tx2Rx in DL (cross-polarized, open loop), 2Tx2Rx in UL, 2 streams in both DL and UL. GI:0.8 µs, TXOP=4 ms, LDPC, A-MPDU enabled, RTS/CTS enabled, link adaptation: Minstrel algorithm, CWS: DL{15,63} and UL{15,1023}, CCA: CS=-82dBm, ED=-62dBm.</w:t>
            </w:r>
          </w:p>
          <w:p w14:paraId="5825E8E9" w14:textId="77777777" w:rsidR="009D4A93" w:rsidRPr="00536CFD" w:rsidRDefault="009D4A93" w:rsidP="009D4A93">
            <w:pPr>
              <w:spacing w:after="0"/>
              <w:contextualSpacing/>
              <w:rPr>
                <w:lang w:val="en-US" w:bidi="ar"/>
              </w:rPr>
            </w:pPr>
            <w:r w:rsidRPr="00536CFD">
              <w:t>NR-U settings: 4Tx2Rx in DL, Cross-polarized. MCS=4/16/64/256QAM, scheduling: proportional fair, link adaptation realistic, ED=-72 dBm, CP=Normal, SCS=30KHz, TXOP=4 ms, UE Capability #1, MCS: DL{15,63} and UL{15,1023}, COT sharing enabled, COT details: flexible DL/UL only and mixed DL/UL based on traffic needs, 3/11 DL control/data symbols, 3/11 symbols UL control/data.</w:t>
            </w:r>
          </w:p>
        </w:tc>
      </w:tr>
      <w:tr w:rsidR="009D4A93" w:rsidRPr="00536CFD" w14:paraId="3A0268FD"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5D2F5C1F" w14:textId="77777777" w:rsidR="009D4A93" w:rsidRPr="00536CFD" w:rsidRDefault="009D4A93" w:rsidP="00536CFD">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/Source 7</w:t>
            </w:r>
          </w:p>
        </w:tc>
        <w:tc>
          <w:tcPr>
            <w:tcW w:w="535" w:type="dxa"/>
            <w:vMerge w:val="restart"/>
            <w:tcBorders>
              <w:top w:val="nil"/>
              <w:left w:val="nil"/>
              <w:bottom w:val="single" w:sz="4" w:space="0" w:color="auto"/>
              <w:right w:val="single" w:sz="4" w:space="0" w:color="auto"/>
            </w:tcBorders>
            <w:shd w:val="clear" w:color="auto" w:fill="auto"/>
          </w:tcPr>
          <w:p w14:paraId="7CEDFEA7"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514F545D"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6B644BD3" w14:textId="77777777" w:rsidR="009D4A93" w:rsidRPr="00536CFD" w:rsidRDefault="009D4A93" w:rsidP="00536CFD">
            <w:pPr>
              <w:pageBreakBefore/>
              <w:spacing w:after="0"/>
              <w:jc w:val="center"/>
              <w:rPr>
                <w:lang w:val="zh-CN"/>
              </w:rPr>
            </w:pPr>
            <w:r w:rsidRPr="00536CFD">
              <w:rPr>
                <w:lang w:val="zh-CN"/>
              </w:rPr>
              <w:t>31.00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01BDC7E8" w14:textId="77777777" w:rsidR="009D4A93" w:rsidRPr="00536CFD" w:rsidRDefault="009D4A93" w:rsidP="00536CFD">
            <w:pPr>
              <w:pageBreakBefore/>
              <w:spacing w:after="0"/>
              <w:jc w:val="center"/>
              <w:rPr>
                <w:lang w:val="zh-CN"/>
              </w:rPr>
            </w:pPr>
            <w:r w:rsidRPr="00536CFD">
              <w:rPr>
                <w:lang w:val="zh-CN"/>
              </w:rPr>
              <w:t>36.97</w:t>
            </w:r>
          </w:p>
        </w:tc>
        <w:tc>
          <w:tcPr>
            <w:tcW w:w="720" w:type="dxa"/>
            <w:tcBorders>
              <w:top w:val="single" w:sz="4" w:space="0" w:color="auto"/>
              <w:left w:val="nil"/>
              <w:bottom w:val="single" w:sz="4" w:space="0" w:color="auto"/>
              <w:right w:val="single" w:sz="4" w:space="0" w:color="auto"/>
            </w:tcBorders>
            <w:shd w:val="clear" w:color="auto" w:fill="auto"/>
            <w:vAlign w:val="bottom"/>
          </w:tcPr>
          <w:p w14:paraId="68AAB245" w14:textId="77777777" w:rsidR="009D4A93" w:rsidRPr="00536CFD" w:rsidRDefault="009D4A93" w:rsidP="00536CFD">
            <w:pPr>
              <w:pageBreakBefore/>
              <w:spacing w:after="0"/>
              <w:jc w:val="center"/>
              <w:rPr>
                <w:lang w:val="zh-CN"/>
              </w:rPr>
            </w:pPr>
            <w:r w:rsidRPr="00536CFD">
              <w:rPr>
                <w:lang w:val="zh-CN"/>
              </w:rPr>
              <w:t>67.65</w:t>
            </w:r>
          </w:p>
        </w:tc>
        <w:tc>
          <w:tcPr>
            <w:tcW w:w="810" w:type="dxa"/>
            <w:tcBorders>
              <w:top w:val="single" w:sz="4" w:space="0" w:color="auto"/>
              <w:left w:val="nil"/>
              <w:bottom w:val="single" w:sz="4" w:space="0" w:color="auto"/>
              <w:right w:val="single" w:sz="4" w:space="0" w:color="auto"/>
            </w:tcBorders>
            <w:shd w:val="clear" w:color="auto" w:fill="auto"/>
            <w:vAlign w:val="bottom"/>
          </w:tcPr>
          <w:p w14:paraId="7785FA99" w14:textId="77777777" w:rsidR="009D4A93" w:rsidRPr="00536CFD" w:rsidRDefault="009D4A93" w:rsidP="00536CFD">
            <w:pPr>
              <w:pageBreakBefore/>
              <w:spacing w:after="0"/>
              <w:jc w:val="center"/>
              <w:rPr>
                <w:lang w:val="zh-CN"/>
              </w:rPr>
            </w:pPr>
            <w:r w:rsidRPr="00536CFD">
              <w:rPr>
                <w:lang w:val="zh-CN"/>
              </w:rPr>
              <w:t>80.12</w:t>
            </w:r>
          </w:p>
        </w:tc>
        <w:tc>
          <w:tcPr>
            <w:tcW w:w="810" w:type="dxa"/>
            <w:tcBorders>
              <w:top w:val="single" w:sz="4" w:space="0" w:color="auto"/>
              <w:left w:val="nil"/>
              <w:bottom w:val="single" w:sz="4" w:space="0" w:color="auto"/>
              <w:right w:val="single" w:sz="4" w:space="0" w:color="auto"/>
            </w:tcBorders>
            <w:shd w:val="clear" w:color="auto" w:fill="auto"/>
            <w:vAlign w:val="bottom"/>
          </w:tcPr>
          <w:p w14:paraId="69EBC840" w14:textId="77777777" w:rsidR="009D4A93" w:rsidRPr="00536CFD" w:rsidRDefault="009D4A93" w:rsidP="00536CFD">
            <w:pPr>
              <w:pageBreakBefore/>
              <w:spacing w:after="0"/>
              <w:jc w:val="center"/>
              <w:rPr>
                <w:lang w:val="zh-CN"/>
              </w:rPr>
            </w:pPr>
            <w:r w:rsidRPr="00536CFD">
              <w:rPr>
                <w:lang w:val="zh-CN"/>
              </w:rPr>
              <w:t>3.56</w:t>
            </w:r>
          </w:p>
        </w:tc>
        <w:tc>
          <w:tcPr>
            <w:tcW w:w="820" w:type="dxa"/>
            <w:tcBorders>
              <w:top w:val="single" w:sz="4" w:space="0" w:color="auto"/>
              <w:left w:val="nil"/>
              <w:bottom w:val="single" w:sz="4" w:space="0" w:color="auto"/>
              <w:right w:val="single" w:sz="4" w:space="0" w:color="auto"/>
            </w:tcBorders>
            <w:shd w:val="clear" w:color="auto" w:fill="auto"/>
            <w:vAlign w:val="bottom"/>
          </w:tcPr>
          <w:p w14:paraId="156E2515" w14:textId="77777777" w:rsidR="009D4A93" w:rsidRPr="00536CFD" w:rsidRDefault="009D4A93" w:rsidP="00536CFD">
            <w:pPr>
              <w:pageBreakBefore/>
              <w:spacing w:after="0"/>
              <w:jc w:val="center"/>
              <w:rPr>
                <w:lang w:val="zh-CN"/>
              </w:rPr>
            </w:pPr>
            <w:r w:rsidRPr="00536CFD">
              <w:rPr>
                <w:lang w:val="zh-CN"/>
              </w:rPr>
              <w:t>17.46</w:t>
            </w:r>
          </w:p>
        </w:tc>
        <w:tc>
          <w:tcPr>
            <w:tcW w:w="800" w:type="dxa"/>
            <w:tcBorders>
              <w:top w:val="single" w:sz="4" w:space="0" w:color="auto"/>
              <w:left w:val="nil"/>
              <w:bottom w:val="single" w:sz="4" w:space="0" w:color="auto"/>
              <w:right w:val="single" w:sz="4" w:space="0" w:color="auto"/>
            </w:tcBorders>
            <w:shd w:val="clear" w:color="auto" w:fill="auto"/>
            <w:vAlign w:val="bottom"/>
          </w:tcPr>
          <w:p w14:paraId="3D914456" w14:textId="77777777" w:rsidR="009D4A93" w:rsidRPr="00536CFD" w:rsidRDefault="009D4A93" w:rsidP="00536CFD">
            <w:pPr>
              <w:pageBreakBefore/>
              <w:spacing w:after="0"/>
              <w:jc w:val="center"/>
              <w:rPr>
                <w:lang w:val="zh-CN"/>
              </w:rPr>
            </w:pPr>
            <w:r w:rsidRPr="00536CFD">
              <w:rPr>
                <w:lang w:val="zh-CN"/>
              </w:rPr>
              <w:t>42.46</w:t>
            </w:r>
          </w:p>
        </w:tc>
        <w:tc>
          <w:tcPr>
            <w:tcW w:w="720" w:type="dxa"/>
            <w:tcBorders>
              <w:top w:val="single" w:sz="4" w:space="0" w:color="auto"/>
              <w:left w:val="nil"/>
              <w:bottom w:val="single" w:sz="4" w:space="0" w:color="auto"/>
              <w:right w:val="single" w:sz="4" w:space="0" w:color="auto"/>
            </w:tcBorders>
            <w:shd w:val="clear" w:color="auto" w:fill="auto"/>
            <w:vAlign w:val="bottom"/>
          </w:tcPr>
          <w:p w14:paraId="08F76971" w14:textId="77777777" w:rsidR="009D4A93" w:rsidRPr="00536CFD" w:rsidRDefault="009D4A93" w:rsidP="00536CFD">
            <w:pPr>
              <w:pageBreakBefore/>
              <w:spacing w:after="0"/>
              <w:jc w:val="center"/>
              <w:rPr>
                <w:lang w:val="zh-CN"/>
              </w:rPr>
            </w:pPr>
            <w:r w:rsidRPr="00536CFD">
              <w:rPr>
                <w:lang w:val="zh-CN"/>
              </w:rPr>
              <w:t>70.49</w:t>
            </w:r>
          </w:p>
        </w:tc>
        <w:tc>
          <w:tcPr>
            <w:tcW w:w="724" w:type="dxa"/>
            <w:tcBorders>
              <w:top w:val="single" w:sz="4" w:space="0" w:color="auto"/>
              <w:left w:val="nil"/>
              <w:bottom w:val="single" w:sz="4" w:space="0" w:color="auto"/>
              <w:right w:val="single" w:sz="4" w:space="0" w:color="auto"/>
            </w:tcBorders>
            <w:shd w:val="clear" w:color="auto" w:fill="auto"/>
            <w:vAlign w:val="bottom"/>
          </w:tcPr>
          <w:p w14:paraId="1694D17F" w14:textId="77777777" w:rsidR="009D4A93" w:rsidRPr="00536CFD" w:rsidRDefault="009D4A93" w:rsidP="00536CFD">
            <w:pPr>
              <w:pageBreakBefore/>
              <w:spacing w:after="0"/>
              <w:jc w:val="center"/>
              <w:rPr>
                <w:lang w:val="zh-CN"/>
              </w:rPr>
            </w:pPr>
            <w:r w:rsidRPr="00536CFD">
              <w:rPr>
                <w:lang w:val="zh-CN"/>
              </w:rPr>
              <w:t>0.12</w:t>
            </w:r>
          </w:p>
        </w:tc>
        <w:tc>
          <w:tcPr>
            <w:tcW w:w="896" w:type="dxa"/>
            <w:tcBorders>
              <w:top w:val="single" w:sz="4" w:space="0" w:color="auto"/>
              <w:left w:val="nil"/>
              <w:bottom w:val="single" w:sz="4" w:space="0" w:color="auto"/>
              <w:right w:val="single" w:sz="4" w:space="0" w:color="auto"/>
            </w:tcBorders>
            <w:shd w:val="clear" w:color="auto" w:fill="auto"/>
            <w:vAlign w:val="bottom"/>
          </w:tcPr>
          <w:p w14:paraId="6635A683" w14:textId="77777777" w:rsidR="009D4A93" w:rsidRPr="00536CFD" w:rsidRDefault="009D4A93" w:rsidP="00536CFD">
            <w:pPr>
              <w:pageBreakBefore/>
              <w:spacing w:after="0"/>
              <w:jc w:val="center"/>
              <w:rPr>
                <w:lang w:val="zh-CN"/>
              </w:rPr>
            </w:pPr>
            <w:r w:rsidRPr="00536CFD">
              <w:rPr>
                <w:lang w:val="zh-CN"/>
              </w:rPr>
              <w:t>3.16</w:t>
            </w:r>
          </w:p>
        </w:tc>
        <w:tc>
          <w:tcPr>
            <w:tcW w:w="720" w:type="dxa"/>
            <w:tcBorders>
              <w:top w:val="single" w:sz="4" w:space="0" w:color="auto"/>
              <w:left w:val="nil"/>
              <w:bottom w:val="single" w:sz="4" w:space="0" w:color="auto"/>
              <w:right w:val="single" w:sz="4" w:space="0" w:color="auto"/>
            </w:tcBorders>
            <w:shd w:val="clear" w:color="auto" w:fill="auto"/>
            <w:vAlign w:val="bottom"/>
          </w:tcPr>
          <w:p w14:paraId="3341E454" w14:textId="77777777" w:rsidR="009D4A93" w:rsidRPr="00536CFD" w:rsidRDefault="009D4A93" w:rsidP="00536CFD">
            <w:pPr>
              <w:pageBreakBefore/>
              <w:spacing w:after="0"/>
              <w:jc w:val="center"/>
              <w:rPr>
                <w:lang w:val="zh-CN"/>
              </w:rPr>
            </w:pPr>
            <w:r w:rsidRPr="00536CFD">
              <w:rPr>
                <w:lang w:val="zh-CN"/>
              </w:rPr>
              <w:t>28.4</w:t>
            </w:r>
          </w:p>
        </w:tc>
        <w:tc>
          <w:tcPr>
            <w:tcW w:w="720" w:type="dxa"/>
            <w:tcBorders>
              <w:top w:val="single" w:sz="4" w:space="0" w:color="auto"/>
              <w:left w:val="nil"/>
              <w:bottom w:val="single" w:sz="4" w:space="0" w:color="auto"/>
              <w:right w:val="single" w:sz="4" w:space="0" w:color="auto"/>
            </w:tcBorders>
            <w:shd w:val="clear" w:color="auto" w:fill="auto"/>
            <w:vAlign w:val="bottom"/>
          </w:tcPr>
          <w:p w14:paraId="01E14435" w14:textId="77777777" w:rsidR="009D4A93" w:rsidRPr="00536CFD" w:rsidRDefault="009D4A93" w:rsidP="00536CFD">
            <w:pPr>
              <w:pageBreakBefore/>
              <w:spacing w:after="0"/>
              <w:jc w:val="center"/>
              <w:rPr>
                <w:lang w:val="zh-CN"/>
              </w:rPr>
            </w:pPr>
            <w:r w:rsidRPr="00536CFD">
              <w:rPr>
                <w:lang w:val="zh-CN"/>
              </w:rPr>
              <w:t>61.97</w:t>
            </w:r>
          </w:p>
        </w:tc>
      </w:tr>
      <w:tr w:rsidR="009D4A93" w:rsidRPr="00536CFD" w14:paraId="7F8B116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982938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1631FF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2CE838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479987DF" w14:textId="77777777" w:rsidR="009D4A93" w:rsidRPr="00536CFD" w:rsidRDefault="009D4A93" w:rsidP="009D4A93">
            <w:pPr>
              <w:spacing w:after="0"/>
              <w:jc w:val="center"/>
              <w:rPr>
                <w:lang w:val="zh-CN"/>
              </w:rPr>
            </w:pPr>
            <w:r w:rsidRPr="00536CFD">
              <w:rPr>
                <w:lang w:val="zh-CN"/>
              </w:rPr>
              <w:t>70.47</w:t>
            </w:r>
          </w:p>
        </w:tc>
        <w:tc>
          <w:tcPr>
            <w:tcW w:w="720" w:type="dxa"/>
            <w:tcBorders>
              <w:top w:val="single" w:sz="4" w:space="0" w:color="auto"/>
              <w:left w:val="nil"/>
              <w:bottom w:val="single" w:sz="4" w:space="0" w:color="auto"/>
              <w:right w:val="single" w:sz="4" w:space="0" w:color="auto"/>
            </w:tcBorders>
            <w:shd w:val="clear" w:color="auto" w:fill="auto"/>
            <w:vAlign w:val="bottom"/>
          </w:tcPr>
          <w:p w14:paraId="67FE5313" w14:textId="77777777" w:rsidR="009D4A93" w:rsidRPr="00536CFD" w:rsidRDefault="009D4A93" w:rsidP="009D4A93">
            <w:pPr>
              <w:spacing w:after="0"/>
              <w:jc w:val="center"/>
              <w:rPr>
                <w:lang w:val="zh-CN"/>
              </w:rPr>
            </w:pPr>
            <w:r w:rsidRPr="00536CFD">
              <w:rPr>
                <w:lang w:val="zh-CN"/>
              </w:rPr>
              <w:t>81.84</w:t>
            </w:r>
          </w:p>
        </w:tc>
        <w:tc>
          <w:tcPr>
            <w:tcW w:w="720" w:type="dxa"/>
            <w:tcBorders>
              <w:top w:val="single" w:sz="4" w:space="0" w:color="auto"/>
              <w:left w:val="nil"/>
              <w:bottom w:val="single" w:sz="4" w:space="0" w:color="auto"/>
              <w:right w:val="single" w:sz="4" w:space="0" w:color="auto"/>
            </w:tcBorders>
            <w:shd w:val="clear" w:color="auto" w:fill="auto"/>
            <w:vAlign w:val="bottom"/>
          </w:tcPr>
          <w:p w14:paraId="22C5E150" w14:textId="77777777" w:rsidR="009D4A93" w:rsidRPr="00536CFD" w:rsidRDefault="009D4A93" w:rsidP="009D4A93">
            <w:pPr>
              <w:spacing w:after="0"/>
              <w:jc w:val="center"/>
              <w:rPr>
                <w:lang w:val="zh-CN"/>
              </w:rPr>
            </w:pPr>
            <w:r w:rsidRPr="00536CFD">
              <w:rPr>
                <w:lang w:val="zh-CN"/>
              </w:rPr>
              <w:t>129.98</w:t>
            </w:r>
          </w:p>
        </w:tc>
        <w:tc>
          <w:tcPr>
            <w:tcW w:w="810" w:type="dxa"/>
            <w:tcBorders>
              <w:top w:val="single" w:sz="4" w:space="0" w:color="auto"/>
              <w:left w:val="nil"/>
              <w:bottom w:val="single" w:sz="4" w:space="0" w:color="auto"/>
              <w:right w:val="single" w:sz="4" w:space="0" w:color="auto"/>
            </w:tcBorders>
            <w:shd w:val="clear" w:color="auto" w:fill="auto"/>
            <w:vAlign w:val="bottom"/>
          </w:tcPr>
          <w:p w14:paraId="1C6172A3" w14:textId="77777777" w:rsidR="009D4A93" w:rsidRPr="00536CFD" w:rsidRDefault="009D4A93" w:rsidP="009D4A93">
            <w:pPr>
              <w:spacing w:after="0"/>
              <w:jc w:val="center"/>
              <w:rPr>
                <w:lang w:val="zh-CN"/>
              </w:rPr>
            </w:pPr>
            <w:r w:rsidRPr="00536CFD">
              <w:rPr>
                <w:lang w:val="zh-CN"/>
              </w:rPr>
              <w:t>146.32</w:t>
            </w:r>
          </w:p>
        </w:tc>
        <w:tc>
          <w:tcPr>
            <w:tcW w:w="810" w:type="dxa"/>
            <w:tcBorders>
              <w:top w:val="single" w:sz="4" w:space="0" w:color="auto"/>
              <w:left w:val="nil"/>
              <w:bottom w:val="single" w:sz="4" w:space="0" w:color="auto"/>
              <w:right w:val="single" w:sz="4" w:space="0" w:color="auto"/>
            </w:tcBorders>
            <w:shd w:val="clear" w:color="auto" w:fill="auto"/>
            <w:vAlign w:val="bottom"/>
          </w:tcPr>
          <w:p w14:paraId="61779002" w14:textId="77777777" w:rsidR="009D4A93" w:rsidRPr="00536CFD" w:rsidRDefault="009D4A93" w:rsidP="009D4A93">
            <w:pPr>
              <w:spacing w:after="0"/>
              <w:jc w:val="center"/>
              <w:rPr>
                <w:lang w:val="zh-CN"/>
              </w:rPr>
            </w:pPr>
            <w:r w:rsidRPr="00536CFD">
              <w:rPr>
                <w:lang w:val="zh-CN"/>
              </w:rPr>
              <w:t>42.25</w:t>
            </w:r>
          </w:p>
        </w:tc>
        <w:tc>
          <w:tcPr>
            <w:tcW w:w="820" w:type="dxa"/>
            <w:tcBorders>
              <w:top w:val="single" w:sz="4" w:space="0" w:color="auto"/>
              <w:left w:val="nil"/>
              <w:bottom w:val="single" w:sz="4" w:space="0" w:color="auto"/>
              <w:right w:val="single" w:sz="4" w:space="0" w:color="auto"/>
            </w:tcBorders>
            <w:shd w:val="clear" w:color="auto" w:fill="auto"/>
            <w:vAlign w:val="bottom"/>
          </w:tcPr>
          <w:p w14:paraId="42DC90CA" w14:textId="77777777" w:rsidR="009D4A93" w:rsidRPr="00536CFD" w:rsidRDefault="009D4A93" w:rsidP="009D4A93">
            <w:pPr>
              <w:spacing w:after="0"/>
              <w:jc w:val="center"/>
              <w:rPr>
                <w:lang w:val="zh-CN"/>
              </w:rPr>
            </w:pPr>
            <w:r w:rsidRPr="00536CFD">
              <w:rPr>
                <w:lang w:val="zh-CN"/>
              </w:rPr>
              <w:t>59.81</w:t>
            </w:r>
          </w:p>
        </w:tc>
        <w:tc>
          <w:tcPr>
            <w:tcW w:w="800" w:type="dxa"/>
            <w:tcBorders>
              <w:top w:val="single" w:sz="4" w:space="0" w:color="auto"/>
              <w:left w:val="nil"/>
              <w:bottom w:val="single" w:sz="4" w:space="0" w:color="auto"/>
              <w:right w:val="single" w:sz="4" w:space="0" w:color="auto"/>
            </w:tcBorders>
            <w:shd w:val="clear" w:color="auto" w:fill="auto"/>
            <w:vAlign w:val="bottom"/>
          </w:tcPr>
          <w:p w14:paraId="22AB7D16" w14:textId="77777777" w:rsidR="009D4A93" w:rsidRPr="00536CFD" w:rsidRDefault="009D4A93" w:rsidP="009D4A93">
            <w:pPr>
              <w:spacing w:after="0"/>
              <w:jc w:val="center"/>
              <w:rPr>
                <w:lang w:val="zh-CN"/>
              </w:rPr>
            </w:pPr>
            <w:r w:rsidRPr="00536CFD">
              <w:rPr>
                <w:lang w:val="zh-CN"/>
              </w:rPr>
              <w:t>96.86</w:t>
            </w:r>
          </w:p>
        </w:tc>
        <w:tc>
          <w:tcPr>
            <w:tcW w:w="720" w:type="dxa"/>
            <w:tcBorders>
              <w:top w:val="single" w:sz="4" w:space="0" w:color="auto"/>
              <w:left w:val="nil"/>
              <w:bottom w:val="single" w:sz="4" w:space="0" w:color="auto"/>
              <w:right w:val="single" w:sz="4" w:space="0" w:color="auto"/>
            </w:tcBorders>
            <w:shd w:val="clear" w:color="auto" w:fill="auto"/>
            <w:vAlign w:val="bottom"/>
          </w:tcPr>
          <w:p w14:paraId="27EA7775" w14:textId="77777777" w:rsidR="009D4A93" w:rsidRPr="00536CFD" w:rsidRDefault="009D4A93" w:rsidP="009D4A93">
            <w:pPr>
              <w:spacing w:after="0"/>
              <w:jc w:val="center"/>
              <w:rPr>
                <w:lang w:val="zh-CN"/>
              </w:rPr>
            </w:pPr>
            <w:r w:rsidRPr="00536CFD">
              <w:rPr>
                <w:lang w:val="zh-CN"/>
              </w:rPr>
              <w:t>132.4</w:t>
            </w:r>
          </w:p>
        </w:tc>
        <w:tc>
          <w:tcPr>
            <w:tcW w:w="724" w:type="dxa"/>
            <w:tcBorders>
              <w:top w:val="single" w:sz="4" w:space="0" w:color="auto"/>
              <w:left w:val="nil"/>
              <w:bottom w:val="single" w:sz="4" w:space="0" w:color="auto"/>
              <w:right w:val="single" w:sz="4" w:space="0" w:color="auto"/>
            </w:tcBorders>
            <w:shd w:val="clear" w:color="auto" w:fill="auto"/>
            <w:vAlign w:val="bottom"/>
          </w:tcPr>
          <w:p w14:paraId="68F57B66" w14:textId="77777777" w:rsidR="009D4A93" w:rsidRPr="00536CFD" w:rsidRDefault="009D4A93" w:rsidP="009D4A93">
            <w:pPr>
              <w:spacing w:after="0"/>
              <w:jc w:val="center"/>
              <w:rPr>
                <w:lang w:val="zh-CN"/>
              </w:rPr>
            </w:pPr>
            <w:r w:rsidRPr="00536CFD">
              <w:rPr>
                <w:lang w:val="zh-CN"/>
              </w:rPr>
              <w:t>30.03</w:t>
            </w:r>
          </w:p>
        </w:tc>
        <w:tc>
          <w:tcPr>
            <w:tcW w:w="896" w:type="dxa"/>
            <w:tcBorders>
              <w:top w:val="single" w:sz="4" w:space="0" w:color="auto"/>
              <w:left w:val="nil"/>
              <w:bottom w:val="single" w:sz="4" w:space="0" w:color="auto"/>
              <w:right w:val="single" w:sz="4" w:space="0" w:color="auto"/>
            </w:tcBorders>
            <w:shd w:val="clear" w:color="auto" w:fill="auto"/>
            <w:vAlign w:val="bottom"/>
          </w:tcPr>
          <w:p w14:paraId="2C8BE53A" w14:textId="77777777" w:rsidR="009D4A93" w:rsidRPr="00536CFD" w:rsidRDefault="009D4A93" w:rsidP="009D4A93">
            <w:pPr>
              <w:spacing w:after="0"/>
              <w:jc w:val="center"/>
              <w:rPr>
                <w:lang w:val="zh-CN"/>
              </w:rPr>
            </w:pPr>
            <w:r w:rsidRPr="00536CFD">
              <w:rPr>
                <w:lang w:val="zh-CN"/>
              </w:rPr>
              <w:t>48.11</w:t>
            </w:r>
          </w:p>
        </w:tc>
        <w:tc>
          <w:tcPr>
            <w:tcW w:w="720" w:type="dxa"/>
            <w:tcBorders>
              <w:top w:val="single" w:sz="4" w:space="0" w:color="auto"/>
              <w:left w:val="nil"/>
              <w:bottom w:val="single" w:sz="4" w:space="0" w:color="auto"/>
              <w:right w:val="single" w:sz="4" w:space="0" w:color="auto"/>
            </w:tcBorders>
            <w:shd w:val="clear" w:color="auto" w:fill="auto"/>
            <w:vAlign w:val="bottom"/>
          </w:tcPr>
          <w:p w14:paraId="0DE5AE80" w14:textId="77777777" w:rsidR="009D4A93" w:rsidRPr="00536CFD" w:rsidRDefault="009D4A93" w:rsidP="009D4A93">
            <w:pPr>
              <w:spacing w:after="0"/>
              <w:jc w:val="center"/>
              <w:rPr>
                <w:lang w:val="zh-CN"/>
              </w:rPr>
            </w:pPr>
            <w:r w:rsidRPr="00536CFD">
              <w:rPr>
                <w:lang w:val="zh-CN"/>
              </w:rPr>
              <w:t>75.5</w:t>
            </w:r>
          </w:p>
        </w:tc>
        <w:tc>
          <w:tcPr>
            <w:tcW w:w="720" w:type="dxa"/>
            <w:tcBorders>
              <w:top w:val="single" w:sz="4" w:space="0" w:color="auto"/>
              <w:left w:val="nil"/>
              <w:bottom w:val="single" w:sz="4" w:space="0" w:color="auto"/>
              <w:right w:val="single" w:sz="4" w:space="0" w:color="auto"/>
            </w:tcBorders>
            <w:shd w:val="clear" w:color="auto" w:fill="auto"/>
            <w:vAlign w:val="bottom"/>
          </w:tcPr>
          <w:p w14:paraId="3F642277" w14:textId="77777777" w:rsidR="009D4A93" w:rsidRPr="00536CFD" w:rsidRDefault="009D4A93" w:rsidP="009D4A93">
            <w:pPr>
              <w:spacing w:after="0"/>
              <w:jc w:val="center"/>
              <w:rPr>
                <w:lang w:val="zh-CN"/>
              </w:rPr>
            </w:pPr>
            <w:r w:rsidRPr="00536CFD">
              <w:rPr>
                <w:lang w:val="zh-CN"/>
              </w:rPr>
              <w:t>123.69</w:t>
            </w:r>
          </w:p>
        </w:tc>
      </w:tr>
      <w:tr w:rsidR="009D4A93" w:rsidRPr="00536CFD" w14:paraId="4E060AD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526DAD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EA6DFF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2EA1F5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5AC0C03E" w14:textId="77777777" w:rsidR="009D4A93" w:rsidRPr="00536CFD" w:rsidRDefault="009D4A93" w:rsidP="009D4A93">
            <w:pPr>
              <w:spacing w:after="0"/>
              <w:jc w:val="center"/>
              <w:rPr>
                <w:lang w:val="zh-CN"/>
              </w:rPr>
            </w:pPr>
            <w:r w:rsidRPr="00536CFD">
              <w:rPr>
                <w:lang w:val="zh-CN"/>
              </w:rPr>
              <w:t>109.34</w:t>
            </w:r>
          </w:p>
        </w:tc>
        <w:tc>
          <w:tcPr>
            <w:tcW w:w="720" w:type="dxa"/>
            <w:tcBorders>
              <w:top w:val="single" w:sz="4" w:space="0" w:color="auto"/>
              <w:left w:val="nil"/>
              <w:bottom w:val="single" w:sz="4" w:space="0" w:color="auto"/>
              <w:right w:val="single" w:sz="4" w:space="0" w:color="auto"/>
            </w:tcBorders>
            <w:shd w:val="clear" w:color="auto" w:fill="auto"/>
            <w:vAlign w:val="bottom"/>
          </w:tcPr>
          <w:p w14:paraId="2F9BE57D" w14:textId="77777777" w:rsidR="009D4A93" w:rsidRPr="00536CFD" w:rsidRDefault="009D4A93" w:rsidP="009D4A93">
            <w:pPr>
              <w:spacing w:after="0"/>
              <w:jc w:val="center"/>
              <w:rPr>
                <w:lang w:val="zh-CN"/>
              </w:rPr>
            </w:pPr>
            <w:r w:rsidRPr="00536CFD">
              <w:rPr>
                <w:lang w:val="zh-CN"/>
              </w:rPr>
              <w:t>126.11</w:t>
            </w:r>
          </w:p>
        </w:tc>
        <w:tc>
          <w:tcPr>
            <w:tcW w:w="720" w:type="dxa"/>
            <w:tcBorders>
              <w:top w:val="single" w:sz="4" w:space="0" w:color="auto"/>
              <w:left w:val="nil"/>
              <w:bottom w:val="single" w:sz="4" w:space="0" w:color="auto"/>
              <w:right w:val="single" w:sz="4" w:space="0" w:color="auto"/>
            </w:tcBorders>
            <w:shd w:val="clear" w:color="auto" w:fill="auto"/>
            <w:vAlign w:val="bottom"/>
          </w:tcPr>
          <w:p w14:paraId="0ABFB385" w14:textId="77777777" w:rsidR="009D4A93" w:rsidRPr="00536CFD" w:rsidRDefault="009D4A93" w:rsidP="009D4A93">
            <w:pPr>
              <w:spacing w:after="0"/>
              <w:jc w:val="center"/>
              <w:rPr>
                <w:lang w:val="zh-CN"/>
              </w:rPr>
            </w:pPr>
            <w:r w:rsidRPr="00536CFD">
              <w:rPr>
                <w:lang w:val="zh-CN"/>
              </w:rPr>
              <w:t>160.27</w:t>
            </w:r>
          </w:p>
        </w:tc>
        <w:tc>
          <w:tcPr>
            <w:tcW w:w="810" w:type="dxa"/>
            <w:tcBorders>
              <w:top w:val="single" w:sz="4" w:space="0" w:color="auto"/>
              <w:left w:val="nil"/>
              <w:bottom w:val="single" w:sz="4" w:space="0" w:color="auto"/>
              <w:right w:val="single" w:sz="4" w:space="0" w:color="auto"/>
            </w:tcBorders>
            <w:shd w:val="clear" w:color="auto" w:fill="auto"/>
            <w:vAlign w:val="bottom"/>
          </w:tcPr>
          <w:p w14:paraId="7756B740" w14:textId="77777777" w:rsidR="009D4A93" w:rsidRPr="00536CFD" w:rsidRDefault="009D4A93" w:rsidP="009D4A93">
            <w:pPr>
              <w:spacing w:after="0"/>
              <w:jc w:val="center"/>
              <w:rPr>
                <w:lang w:val="zh-CN"/>
              </w:rPr>
            </w:pPr>
            <w:r w:rsidRPr="00536CFD">
              <w:rPr>
                <w:lang w:val="zh-CN"/>
              </w:rPr>
              <w:t>167.33</w:t>
            </w:r>
          </w:p>
        </w:tc>
        <w:tc>
          <w:tcPr>
            <w:tcW w:w="810" w:type="dxa"/>
            <w:tcBorders>
              <w:top w:val="single" w:sz="4" w:space="0" w:color="auto"/>
              <w:left w:val="nil"/>
              <w:bottom w:val="single" w:sz="4" w:space="0" w:color="auto"/>
              <w:right w:val="single" w:sz="4" w:space="0" w:color="auto"/>
            </w:tcBorders>
            <w:shd w:val="clear" w:color="auto" w:fill="auto"/>
            <w:vAlign w:val="bottom"/>
          </w:tcPr>
          <w:p w14:paraId="54C10C75" w14:textId="77777777" w:rsidR="009D4A93" w:rsidRPr="00536CFD" w:rsidRDefault="009D4A93" w:rsidP="009D4A93">
            <w:pPr>
              <w:spacing w:after="0"/>
              <w:jc w:val="center"/>
              <w:rPr>
                <w:lang w:val="zh-CN"/>
              </w:rPr>
            </w:pPr>
            <w:r w:rsidRPr="00536CFD">
              <w:rPr>
                <w:lang w:val="zh-CN"/>
              </w:rPr>
              <w:t>81.53</w:t>
            </w:r>
          </w:p>
        </w:tc>
        <w:tc>
          <w:tcPr>
            <w:tcW w:w="820" w:type="dxa"/>
            <w:tcBorders>
              <w:top w:val="single" w:sz="4" w:space="0" w:color="auto"/>
              <w:left w:val="nil"/>
              <w:bottom w:val="single" w:sz="4" w:space="0" w:color="auto"/>
              <w:right w:val="single" w:sz="4" w:space="0" w:color="auto"/>
            </w:tcBorders>
            <w:shd w:val="clear" w:color="auto" w:fill="auto"/>
            <w:vAlign w:val="bottom"/>
          </w:tcPr>
          <w:p w14:paraId="0D07C83D" w14:textId="77777777" w:rsidR="009D4A93" w:rsidRPr="00536CFD" w:rsidRDefault="009D4A93" w:rsidP="009D4A93">
            <w:pPr>
              <w:spacing w:after="0"/>
              <w:jc w:val="center"/>
              <w:rPr>
                <w:lang w:val="zh-CN"/>
              </w:rPr>
            </w:pPr>
            <w:r w:rsidRPr="00536CFD">
              <w:rPr>
                <w:lang w:val="zh-CN"/>
              </w:rPr>
              <w:t>103.99</w:t>
            </w:r>
          </w:p>
        </w:tc>
        <w:tc>
          <w:tcPr>
            <w:tcW w:w="800" w:type="dxa"/>
            <w:tcBorders>
              <w:top w:val="single" w:sz="4" w:space="0" w:color="auto"/>
              <w:left w:val="nil"/>
              <w:bottom w:val="single" w:sz="4" w:space="0" w:color="auto"/>
              <w:right w:val="single" w:sz="4" w:space="0" w:color="auto"/>
            </w:tcBorders>
            <w:shd w:val="clear" w:color="auto" w:fill="auto"/>
            <w:vAlign w:val="bottom"/>
          </w:tcPr>
          <w:p w14:paraId="7E997691" w14:textId="77777777" w:rsidR="009D4A93" w:rsidRPr="00536CFD" w:rsidRDefault="009D4A93" w:rsidP="009D4A93">
            <w:pPr>
              <w:spacing w:after="0"/>
              <w:jc w:val="center"/>
              <w:rPr>
                <w:lang w:val="zh-CN"/>
              </w:rPr>
            </w:pPr>
            <w:r w:rsidRPr="00536CFD">
              <w:rPr>
                <w:lang w:val="zh-CN"/>
              </w:rPr>
              <w:t>144.27</w:t>
            </w:r>
          </w:p>
        </w:tc>
        <w:tc>
          <w:tcPr>
            <w:tcW w:w="720" w:type="dxa"/>
            <w:tcBorders>
              <w:top w:val="single" w:sz="4" w:space="0" w:color="auto"/>
              <w:left w:val="nil"/>
              <w:bottom w:val="single" w:sz="4" w:space="0" w:color="auto"/>
              <w:right w:val="single" w:sz="4" w:space="0" w:color="auto"/>
            </w:tcBorders>
            <w:shd w:val="clear" w:color="auto" w:fill="auto"/>
            <w:vAlign w:val="bottom"/>
          </w:tcPr>
          <w:p w14:paraId="60669189" w14:textId="77777777" w:rsidR="009D4A93" w:rsidRPr="00536CFD" w:rsidRDefault="009D4A93" w:rsidP="009D4A93">
            <w:pPr>
              <w:spacing w:after="0"/>
              <w:jc w:val="center"/>
              <w:rPr>
                <w:lang w:val="zh-CN"/>
              </w:rPr>
            </w:pPr>
            <w:r w:rsidRPr="00536CFD">
              <w:rPr>
                <w:lang w:val="zh-CN"/>
              </w:rPr>
              <w:t>162.31</w:t>
            </w:r>
          </w:p>
        </w:tc>
        <w:tc>
          <w:tcPr>
            <w:tcW w:w="724" w:type="dxa"/>
            <w:tcBorders>
              <w:top w:val="single" w:sz="4" w:space="0" w:color="auto"/>
              <w:left w:val="nil"/>
              <w:bottom w:val="single" w:sz="4" w:space="0" w:color="auto"/>
              <w:right w:val="single" w:sz="4" w:space="0" w:color="auto"/>
            </w:tcBorders>
            <w:shd w:val="clear" w:color="auto" w:fill="auto"/>
            <w:vAlign w:val="bottom"/>
          </w:tcPr>
          <w:p w14:paraId="59EA0E28" w14:textId="77777777" w:rsidR="009D4A93" w:rsidRPr="00536CFD" w:rsidRDefault="009D4A93" w:rsidP="009D4A93">
            <w:pPr>
              <w:spacing w:after="0"/>
              <w:jc w:val="center"/>
              <w:rPr>
                <w:lang w:val="zh-CN"/>
              </w:rPr>
            </w:pPr>
            <w:r w:rsidRPr="00536CFD">
              <w:rPr>
                <w:lang w:val="zh-CN"/>
              </w:rPr>
              <w:t>67.07</w:t>
            </w:r>
          </w:p>
        </w:tc>
        <w:tc>
          <w:tcPr>
            <w:tcW w:w="896" w:type="dxa"/>
            <w:tcBorders>
              <w:top w:val="single" w:sz="4" w:space="0" w:color="auto"/>
              <w:left w:val="nil"/>
              <w:bottom w:val="single" w:sz="4" w:space="0" w:color="auto"/>
              <w:right w:val="single" w:sz="4" w:space="0" w:color="auto"/>
            </w:tcBorders>
            <w:shd w:val="clear" w:color="auto" w:fill="auto"/>
            <w:vAlign w:val="bottom"/>
          </w:tcPr>
          <w:p w14:paraId="032E0920" w14:textId="77777777" w:rsidR="009D4A93" w:rsidRPr="00536CFD" w:rsidRDefault="009D4A93" w:rsidP="009D4A93">
            <w:pPr>
              <w:spacing w:after="0"/>
              <w:jc w:val="center"/>
              <w:rPr>
                <w:lang w:val="zh-CN"/>
              </w:rPr>
            </w:pPr>
            <w:r w:rsidRPr="00536CFD">
              <w:rPr>
                <w:lang w:val="zh-CN"/>
              </w:rPr>
              <w:t>96.02</w:t>
            </w:r>
          </w:p>
        </w:tc>
        <w:tc>
          <w:tcPr>
            <w:tcW w:w="720" w:type="dxa"/>
            <w:tcBorders>
              <w:top w:val="single" w:sz="4" w:space="0" w:color="auto"/>
              <w:left w:val="nil"/>
              <w:bottom w:val="single" w:sz="4" w:space="0" w:color="auto"/>
              <w:right w:val="single" w:sz="4" w:space="0" w:color="auto"/>
            </w:tcBorders>
            <w:shd w:val="clear" w:color="auto" w:fill="auto"/>
            <w:vAlign w:val="bottom"/>
          </w:tcPr>
          <w:p w14:paraId="1820B604" w14:textId="77777777" w:rsidR="009D4A93" w:rsidRPr="00536CFD" w:rsidRDefault="009D4A93" w:rsidP="009D4A93">
            <w:pPr>
              <w:spacing w:after="0"/>
              <w:jc w:val="center"/>
              <w:rPr>
                <w:lang w:val="zh-CN"/>
              </w:rPr>
            </w:pPr>
            <w:r w:rsidRPr="00536CFD">
              <w:rPr>
                <w:lang w:val="zh-CN"/>
              </w:rPr>
              <w:t>135.97</w:t>
            </w:r>
          </w:p>
        </w:tc>
        <w:tc>
          <w:tcPr>
            <w:tcW w:w="720" w:type="dxa"/>
            <w:tcBorders>
              <w:top w:val="single" w:sz="4" w:space="0" w:color="auto"/>
              <w:left w:val="nil"/>
              <w:bottom w:val="single" w:sz="4" w:space="0" w:color="auto"/>
              <w:right w:val="single" w:sz="4" w:space="0" w:color="auto"/>
            </w:tcBorders>
            <w:shd w:val="clear" w:color="auto" w:fill="auto"/>
            <w:vAlign w:val="bottom"/>
          </w:tcPr>
          <w:p w14:paraId="39F3836F" w14:textId="77777777" w:rsidR="009D4A93" w:rsidRPr="00536CFD" w:rsidRDefault="009D4A93" w:rsidP="009D4A93">
            <w:pPr>
              <w:spacing w:after="0"/>
              <w:jc w:val="center"/>
              <w:rPr>
                <w:lang w:val="zh-CN"/>
              </w:rPr>
            </w:pPr>
            <w:r w:rsidRPr="00536CFD">
              <w:rPr>
                <w:lang w:val="zh-CN"/>
              </w:rPr>
              <w:t>158.18</w:t>
            </w:r>
          </w:p>
        </w:tc>
      </w:tr>
      <w:tr w:rsidR="009D4A93" w:rsidRPr="00536CFD" w14:paraId="491A2B6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8DAF24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28DB0F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0CBA4E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4F827807" w14:textId="77777777" w:rsidR="009D4A93" w:rsidRPr="00536CFD" w:rsidRDefault="009D4A93" w:rsidP="009D4A93">
            <w:pPr>
              <w:spacing w:after="0"/>
              <w:jc w:val="center"/>
              <w:rPr>
                <w:lang w:val="zh-CN"/>
              </w:rPr>
            </w:pPr>
            <w:r w:rsidRPr="00536CFD">
              <w:rPr>
                <w:lang w:val="zh-CN"/>
              </w:rPr>
              <w:t>70.45</w:t>
            </w:r>
          </w:p>
        </w:tc>
        <w:tc>
          <w:tcPr>
            <w:tcW w:w="720" w:type="dxa"/>
            <w:tcBorders>
              <w:top w:val="single" w:sz="4" w:space="0" w:color="auto"/>
              <w:left w:val="nil"/>
              <w:bottom w:val="single" w:sz="4" w:space="0" w:color="auto"/>
              <w:right w:val="single" w:sz="4" w:space="0" w:color="auto"/>
            </w:tcBorders>
            <w:shd w:val="clear" w:color="auto" w:fill="auto"/>
            <w:vAlign w:val="bottom"/>
          </w:tcPr>
          <w:p w14:paraId="5B438845" w14:textId="77777777" w:rsidR="009D4A93" w:rsidRPr="00536CFD" w:rsidRDefault="009D4A93" w:rsidP="009D4A93">
            <w:pPr>
              <w:spacing w:after="0"/>
              <w:jc w:val="center"/>
              <w:rPr>
                <w:lang w:val="zh-CN"/>
              </w:rPr>
            </w:pPr>
            <w:r w:rsidRPr="00536CFD">
              <w:rPr>
                <w:lang w:val="zh-CN"/>
              </w:rPr>
              <w:t>80.54</w:t>
            </w:r>
          </w:p>
        </w:tc>
        <w:tc>
          <w:tcPr>
            <w:tcW w:w="720" w:type="dxa"/>
            <w:tcBorders>
              <w:top w:val="single" w:sz="4" w:space="0" w:color="auto"/>
              <w:left w:val="nil"/>
              <w:bottom w:val="single" w:sz="4" w:space="0" w:color="auto"/>
              <w:right w:val="single" w:sz="4" w:space="0" w:color="auto"/>
            </w:tcBorders>
            <w:shd w:val="clear" w:color="auto" w:fill="auto"/>
            <w:vAlign w:val="bottom"/>
          </w:tcPr>
          <w:p w14:paraId="48CFB634" w14:textId="77777777" w:rsidR="009D4A93" w:rsidRPr="00536CFD" w:rsidRDefault="009D4A93" w:rsidP="009D4A93">
            <w:pPr>
              <w:spacing w:after="0"/>
              <w:jc w:val="center"/>
              <w:rPr>
                <w:lang w:val="zh-CN"/>
              </w:rPr>
            </w:pPr>
            <w:r w:rsidRPr="00536CFD">
              <w:rPr>
                <w:lang w:val="zh-CN"/>
              </w:rPr>
              <w:t>124.22</w:t>
            </w:r>
          </w:p>
        </w:tc>
        <w:tc>
          <w:tcPr>
            <w:tcW w:w="810" w:type="dxa"/>
            <w:tcBorders>
              <w:top w:val="single" w:sz="4" w:space="0" w:color="auto"/>
              <w:left w:val="nil"/>
              <w:bottom w:val="single" w:sz="4" w:space="0" w:color="auto"/>
              <w:right w:val="single" w:sz="4" w:space="0" w:color="auto"/>
            </w:tcBorders>
            <w:shd w:val="clear" w:color="auto" w:fill="auto"/>
            <w:vAlign w:val="bottom"/>
          </w:tcPr>
          <w:p w14:paraId="638DBB63" w14:textId="77777777" w:rsidR="009D4A93" w:rsidRPr="00536CFD" w:rsidRDefault="009D4A93" w:rsidP="009D4A93">
            <w:pPr>
              <w:spacing w:after="0"/>
              <w:jc w:val="center"/>
              <w:rPr>
                <w:lang w:val="zh-CN"/>
              </w:rPr>
            </w:pPr>
            <w:r w:rsidRPr="00536CFD">
              <w:rPr>
                <w:lang w:val="zh-CN"/>
              </w:rPr>
              <w:t>138.4</w:t>
            </w:r>
          </w:p>
        </w:tc>
        <w:tc>
          <w:tcPr>
            <w:tcW w:w="810" w:type="dxa"/>
            <w:tcBorders>
              <w:top w:val="single" w:sz="4" w:space="0" w:color="auto"/>
              <w:left w:val="nil"/>
              <w:bottom w:val="single" w:sz="4" w:space="0" w:color="auto"/>
              <w:right w:val="single" w:sz="4" w:space="0" w:color="auto"/>
            </w:tcBorders>
            <w:shd w:val="clear" w:color="auto" w:fill="auto"/>
            <w:vAlign w:val="bottom"/>
          </w:tcPr>
          <w:p w14:paraId="4F5A9E47" w14:textId="77777777" w:rsidR="009D4A93" w:rsidRPr="00536CFD" w:rsidRDefault="009D4A93" w:rsidP="009D4A93">
            <w:pPr>
              <w:spacing w:after="0"/>
              <w:jc w:val="center"/>
              <w:rPr>
                <w:lang w:val="zh-CN"/>
              </w:rPr>
            </w:pPr>
            <w:r w:rsidRPr="00536CFD">
              <w:rPr>
                <w:lang w:val="zh-CN"/>
              </w:rPr>
              <w:t>43.61</w:t>
            </w:r>
          </w:p>
        </w:tc>
        <w:tc>
          <w:tcPr>
            <w:tcW w:w="820" w:type="dxa"/>
            <w:tcBorders>
              <w:top w:val="single" w:sz="4" w:space="0" w:color="auto"/>
              <w:left w:val="nil"/>
              <w:bottom w:val="single" w:sz="4" w:space="0" w:color="auto"/>
              <w:right w:val="single" w:sz="4" w:space="0" w:color="auto"/>
            </w:tcBorders>
            <w:shd w:val="clear" w:color="auto" w:fill="auto"/>
            <w:vAlign w:val="bottom"/>
          </w:tcPr>
          <w:p w14:paraId="6276F769" w14:textId="77777777" w:rsidR="009D4A93" w:rsidRPr="00536CFD" w:rsidRDefault="009D4A93" w:rsidP="009D4A93">
            <w:pPr>
              <w:spacing w:after="0"/>
              <w:jc w:val="center"/>
              <w:rPr>
                <w:lang w:val="zh-CN"/>
              </w:rPr>
            </w:pPr>
            <w:r w:rsidRPr="00536CFD">
              <w:rPr>
                <w:lang w:val="zh-CN"/>
              </w:rPr>
              <w:t>61.02</w:t>
            </w:r>
          </w:p>
        </w:tc>
        <w:tc>
          <w:tcPr>
            <w:tcW w:w="800" w:type="dxa"/>
            <w:tcBorders>
              <w:top w:val="single" w:sz="4" w:space="0" w:color="auto"/>
              <w:left w:val="nil"/>
              <w:bottom w:val="single" w:sz="4" w:space="0" w:color="auto"/>
              <w:right w:val="single" w:sz="4" w:space="0" w:color="auto"/>
            </w:tcBorders>
            <w:shd w:val="clear" w:color="auto" w:fill="auto"/>
            <w:vAlign w:val="bottom"/>
          </w:tcPr>
          <w:p w14:paraId="08FE6D63" w14:textId="77777777" w:rsidR="009D4A93" w:rsidRPr="00536CFD" w:rsidRDefault="009D4A93" w:rsidP="009D4A93">
            <w:pPr>
              <w:spacing w:after="0"/>
              <w:jc w:val="center"/>
              <w:rPr>
                <w:lang w:val="zh-CN"/>
              </w:rPr>
            </w:pPr>
            <w:r w:rsidRPr="00536CFD">
              <w:rPr>
                <w:lang w:val="zh-CN"/>
              </w:rPr>
              <w:t>95.74</w:t>
            </w:r>
          </w:p>
        </w:tc>
        <w:tc>
          <w:tcPr>
            <w:tcW w:w="720" w:type="dxa"/>
            <w:tcBorders>
              <w:top w:val="single" w:sz="4" w:space="0" w:color="auto"/>
              <w:left w:val="nil"/>
              <w:bottom w:val="single" w:sz="4" w:space="0" w:color="auto"/>
              <w:right w:val="single" w:sz="4" w:space="0" w:color="auto"/>
            </w:tcBorders>
            <w:shd w:val="clear" w:color="auto" w:fill="auto"/>
            <w:vAlign w:val="bottom"/>
          </w:tcPr>
          <w:p w14:paraId="23B71435" w14:textId="77777777" w:rsidR="009D4A93" w:rsidRPr="00536CFD" w:rsidRDefault="009D4A93" w:rsidP="009D4A93">
            <w:pPr>
              <w:spacing w:after="0"/>
              <w:jc w:val="center"/>
              <w:rPr>
                <w:lang w:val="zh-CN"/>
              </w:rPr>
            </w:pPr>
            <w:r w:rsidRPr="00536CFD">
              <w:rPr>
                <w:lang w:val="zh-CN"/>
              </w:rPr>
              <w:t>126.42</w:t>
            </w:r>
          </w:p>
        </w:tc>
        <w:tc>
          <w:tcPr>
            <w:tcW w:w="724" w:type="dxa"/>
            <w:tcBorders>
              <w:top w:val="single" w:sz="4" w:space="0" w:color="auto"/>
              <w:left w:val="nil"/>
              <w:bottom w:val="single" w:sz="4" w:space="0" w:color="auto"/>
              <w:right w:val="single" w:sz="4" w:space="0" w:color="auto"/>
            </w:tcBorders>
            <w:shd w:val="clear" w:color="auto" w:fill="auto"/>
            <w:vAlign w:val="bottom"/>
          </w:tcPr>
          <w:p w14:paraId="418EF34B" w14:textId="77777777" w:rsidR="009D4A93" w:rsidRPr="00536CFD" w:rsidRDefault="009D4A93" w:rsidP="009D4A93">
            <w:pPr>
              <w:spacing w:after="0"/>
              <w:jc w:val="center"/>
              <w:rPr>
                <w:lang w:val="zh-CN"/>
              </w:rPr>
            </w:pPr>
            <w:r w:rsidRPr="00536CFD">
              <w:rPr>
                <w:lang w:val="zh-CN"/>
              </w:rPr>
              <w:t>30.79</w:t>
            </w:r>
          </w:p>
        </w:tc>
        <w:tc>
          <w:tcPr>
            <w:tcW w:w="896" w:type="dxa"/>
            <w:tcBorders>
              <w:top w:val="single" w:sz="4" w:space="0" w:color="auto"/>
              <w:left w:val="nil"/>
              <w:bottom w:val="single" w:sz="4" w:space="0" w:color="auto"/>
              <w:right w:val="single" w:sz="4" w:space="0" w:color="auto"/>
            </w:tcBorders>
            <w:shd w:val="clear" w:color="auto" w:fill="auto"/>
            <w:vAlign w:val="bottom"/>
          </w:tcPr>
          <w:p w14:paraId="24186D5F" w14:textId="77777777" w:rsidR="009D4A93" w:rsidRPr="00536CFD" w:rsidRDefault="009D4A93" w:rsidP="009D4A93">
            <w:pPr>
              <w:spacing w:after="0"/>
              <w:jc w:val="center"/>
              <w:rPr>
                <w:lang w:val="zh-CN"/>
              </w:rPr>
            </w:pPr>
            <w:r w:rsidRPr="00536CFD">
              <w:rPr>
                <w:lang w:val="zh-CN"/>
              </w:rPr>
              <w:t>49.75</w:t>
            </w:r>
          </w:p>
        </w:tc>
        <w:tc>
          <w:tcPr>
            <w:tcW w:w="720" w:type="dxa"/>
            <w:tcBorders>
              <w:top w:val="single" w:sz="4" w:space="0" w:color="auto"/>
              <w:left w:val="nil"/>
              <w:bottom w:val="single" w:sz="4" w:space="0" w:color="auto"/>
              <w:right w:val="single" w:sz="4" w:space="0" w:color="auto"/>
            </w:tcBorders>
            <w:shd w:val="clear" w:color="auto" w:fill="auto"/>
            <w:vAlign w:val="bottom"/>
          </w:tcPr>
          <w:p w14:paraId="5828A948" w14:textId="77777777" w:rsidR="009D4A93" w:rsidRPr="00536CFD" w:rsidRDefault="009D4A93" w:rsidP="009D4A93">
            <w:pPr>
              <w:spacing w:after="0"/>
              <w:jc w:val="center"/>
              <w:rPr>
                <w:lang w:val="zh-CN"/>
              </w:rPr>
            </w:pPr>
            <w:r w:rsidRPr="00536CFD">
              <w:rPr>
                <w:lang w:val="zh-CN"/>
              </w:rPr>
              <w:t>78.81</w:t>
            </w:r>
          </w:p>
        </w:tc>
        <w:tc>
          <w:tcPr>
            <w:tcW w:w="720" w:type="dxa"/>
            <w:tcBorders>
              <w:top w:val="single" w:sz="4" w:space="0" w:color="auto"/>
              <w:left w:val="nil"/>
              <w:bottom w:val="single" w:sz="4" w:space="0" w:color="auto"/>
              <w:right w:val="single" w:sz="4" w:space="0" w:color="auto"/>
            </w:tcBorders>
            <w:shd w:val="clear" w:color="auto" w:fill="auto"/>
            <w:vAlign w:val="bottom"/>
          </w:tcPr>
          <w:p w14:paraId="2AF30BD8" w14:textId="77777777" w:rsidR="009D4A93" w:rsidRPr="00536CFD" w:rsidRDefault="009D4A93" w:rsidP="009D4A93">
            <w:pPr>
              <w:spacing w:after="0"/>
              <w:jc w:val="center"/>
              <w:rPr>
                <w:lang w:val="zh-CN"/>
              </w:rPr>
            </w:pPr>
            <w:r w:rsidRPr="00536CFD">
              <w:rPr>
                <w:lang w:val="zh-CN"/>
              </w:rPr>
              <w:t>119.78</w:t>
            </w:r>
          </w:p>
        </w:tc>
      </w:tr>
      <w:tr w:rsidR="009D4A93" w:rsidRPr="00536CFD" w14:paraId="07AC19F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BFF97F0"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774884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7C9D37E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36767B86" w14:textId="77777777" w:rsidR="009D4A93" w:rsidRPr="00536CFD" w:rsidRDefault="009D4A93" w:rsidP="009D4A93">
            <w:pPr>
              <w:spacing w:after="0"/>
              <w:jc w:val="center"/>
              <w:rPr>
                <w:lang w:val="zh-CN"/>
              </w:rPr>
            </w:pPr>
            <w:r w:rsidRPr="00536CFD">
              <w:rPr>
                <w:lang w:val="zh-CN"/>
              </w:rPr>
              <w:t>0.028</w:t>
            </w:r>
          </w:p>
        </w:tc>
        <w:tc>
          <w:tcPr>
            <w:tcW w:w="720" w:type="dxa"/>
            <w:tcBorders>
              <w:top w:val="single" w:sz="4" w:space="0" w:color="auto"/>
              <w:left w:val="nil"/>
              <w:bottom w:val="single" w:sz="4" w:space="0" w:color="auto"/>
              <w:right w:val="single" w:sz="4" w:space="0" w:color="auto"/>
            </w:tcBorders>
            <w:shd w:val="clear" w:color="auto" w:fill="auto"/>
            <w:vAlign w:val="bottom"/>
          </w:tcPr>
          <w:p w14:paraId="7A6D9F04" w14:textId="77777777" w:rsidR="009D4A93" w:rsidRPr="00536CFD" w:rsidRDefault="009D4A93" w:rsidP="009D4A93">
            <w:pPr>
              <w:spacing w:after="0"/>
              <w:jc w:val="center"/>
              <w:rPr>
                <w:lang w:val="zh-CN"/>
              </w:rPr>
            </w:pPr>
            <w:r w:rsidRPr="00536CFD">
              <w:rPr>
                <w:lang w:val="zh-CN"/>
              </w:rPr>
              <w:t>0.024</w:t>
            </w:r>
          </w:p>
        </w:tc>
        <w:tc>
          <w:tcPr>
            <w:tcW w:w="720" w:type="dxa"/>
            <w:tcBorders>
              <w:top w:val="single" w:sz="4" w:space="0" w:color="auto"/>
              <w:left w:val="nil"/>
              <w:bottom w:val="single" w:sz="4" w:space="0" w:color="auto"/>
              <w:right w:val="single" w:sz="4" w:space="0" w:color="auto"/>
            </w:tcBorders>
            <w:shd w:val="clear" w:color="auto" w:fill="auto"/>
            <w:vAlign w:val="bottom"/>
          </w:tcPr>
          <w:p w14:paraId="5A7A4667"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1FEBB144"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2FFC3AFF" w14:textId="77777777" w:rsidR="009D4A93" w:rsidRPr="00536CFD" w:rsidRDefault="009D4A93" w:rsidP="009D4A93">
            <w:pPr>
              <w:spacing w:after="0"/>
              <w:jc w:val="center"/>
              <w:rPr>
                <w:lang w:val="zh-CN"/>
              </w:rPr>
            </w:pPr>
            <w:r w:rsidRPr="00536CFD">
              <w:rPr>
                <w:lang w:val="zh-CN"/>
              </w:rPr>
              <w:t>0.031</w:t>
            </w:r>
          </w:p>
        </w:tc>
        <w:tc>
          <w:tcPr>
            <w:tcW w:w="820" w:type="dxa"/>
            <w:tcBorders>
              <w:top w:val="single" w:sz="4" w:space="0" w:color="auto"/>
              <w:left w:val="nil"/>
              <w:bottom w:val="single" w:sz="4" w:space="0" w:color="auto"/>
              <w:right w:val="single" w:sz="4" w:space="0" w:color="auto"/>
            </w:tcBorders>
            <w:shd w:val="clear" w:color="auto" w:fill="auto"/>
            <w:vAlign w:val="bottom"/>
          </w:tcPr>
          <w:p w14:paraId="7A701270" w14:textId="77777777" w:rsidR="009D4A93" w:rsidRPr="00536CFD" w:rsidRDefault="009D4A93" w:rsidP="009D4A93">
            <w:pPr>
              <w:spacing w:after="0"/>
              <w:jc w:val="center"/>
              <w:rPr>
                <w:lang w:val="zh-CN"/>
              </w:rPr>
            </w:pPr>
            <w:r w:rsidRPr="00536CFD">
              <w:rPr>
                <w:lang w:val="zh-CN"/>
              </w:rPr>
              <w:t>0.029</w:t>
            </w:r>
          </w:p>
        </w:tc>
        <w:tc>
          <w:tcPr>
            <w:tcW w:w="800" w:type="dxa"/>
            <w:tcBorders>
              <w:top w:val="single" w:sz="4" w:space="0" w:color="auto"/>
              <w:left w:val="nil"/>
              <w:bottom w:val="single" w:sz="4" w:space="0" w:color="auto"/>
              <w:right w:val="single" w:sz="4" w:space="0" w:color="auto"/>
            </w:tcBorders>
            <w:shd w:val="clear" w:color="auto" w:fill="auto"/>
            <w:vAlign w:val="bottom"/>
          </w:tcPr>
          <w:p w14:paraId="38804FAB"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2D7D2C10" w14:textId="77777777" w:rsidR="009D4A93" w:rsidRPr="00536CFD" w:rsidRDefault="009D4A93" w:rsidP="009D4A93">
            <w:pPr>
              <w:spacing w:after="0"/>
              <w:jc w:val="center"/>
              <w:rPr>
                <w:lang w:val="zh-CN"/>
              </w:rPr>
            </w:pPr>
            <w:r w:rsidRPr="00536CFD">
              <w:rPr>
                <w:lang w:val="zh-CN"/>
              </w:rPr>
              <w:t>0.02</w:t>
            </w:r>
          </w:p>
        </w:tc>
        <w:tc>
          <w:tcPr>
            <w:tcW w:w="724" w:type="dxa"/>
            <w:tcBorders>
              <w:top w:val="single" w:sz="4" w:space="0" w:color="auto"/>
              <w:left w:val="nil"/>
              <w:bottom w:val="single" w:sz="4" w:space="0" w:color="auto"/>
              <w:right w:val="single" w:sz="4" w:space="0" w:color="auto"/>
            </w:tcBorders>
            <w:shd w:val="clear" w:color="auto" w:fill="auto"/>
            <w:vAlign w:val="bottom"/>
          </w:tcPr>
          <w:p w14:paraId="36102C98" w14:textId="77777777" w:rsidR="009D4A93" w:rsidRPr="00536CFD" w:rsidRDefault="009D4A93" w:rsidP="009D4A93">
            <w:pPr>
              <w:spacing w:after="0"/>
              <w:jc w:val="center"/>
              <w:rPr>
                <w:lang w:val="zh-CN"/>
              </w:rPr>
            </w:pPr>
            <w:r w:rsidRPr="00536CFD">
              <w:rPr>
                <w:lang w:val="zh-CN"/>
              </w:rPr>
              <w:t>0.04</w:t>
            </w:r>
          </w:p>
        </w:tc>
        <w:tc>
          <w:tcPr>
            <w:tcW w:w="896" w:type="dxa"/>
            <w:tcBorders>
              <w:top w:val="single" w:sz="4" w:space="0" w:color="auto"/>
              <w:left w:val="nil"/>
              <w:bottom w:val="single" w:sz="4" w:space="0" w:color="auto"/>
              <w:right w:val="single" w:sz="4" w:space="0" w:color="auto"/>
            </w:tcBorders>
            <w:shd w:val="clear" w:color="auto" w:fill="auto"/>
            <w:vAlign w:val="bottom"/>
          </w:tcPr>
          <w:p w14:paraId="258B8156" w14:textId="77777777" w:rsidR="009D4A93" w:rsidRPr="00536CFD" w:rsidRDefault="009D4A93" w:rsidP="009D4A93">
            <w:pPr>
              <w:spacing w:after="0"/>
              <w:jc w:val="center"/>
              <w:rPr>
                <w:lang w:val="zh-CN"/>
              </w:rPr>
            </w:pPr>
            <w:r w:rsidRPr="00536CFD">
              <w:rPr>
                <w:lang w:val="zh-CN"/>
              </w:rPr>
              <w:t>0.03</w:t>
            </w:r>
          </w:p>
        </w:tc>
        <w:tc>
          <w:tcPr>
            <w:tcW w:w="720" w:type="dxa"/>
            <w:tcBorders>
              <w:top w:val="single" w:sz="4" w:space="0" w:color="auto"/>
              <w:left w:val="nil"/>
              <w:bottom w:val="single" w:sz="4" w:space="0" w:color="auto"/>
              <w:right w:val="single" w:sz="4" w:space="0" w:color="auto"/>
            </w:tcBorders>
            <w:shd w:val="clear" w:color="auto" w:fill="auto"/>
            <w:vAlign w:val="bottom"/>
          </w:tcPr>
          <w:p w14:paraId="73ED89F8" w14:textId="77777777" w:rsidR="009D4A93" w:rsidRPr="00536CFD" w:rsidRDefault="009D4A93" w:rsidP="009D4A93">
            <w:pPr>
              <w:spacing w:after="0"/>
              <w:jc w:val="center"/>
              <w:rPr>
                <w:lang w:val="zh-CN"/>
              </w:rPr>
            </w:pPr>
            <w:r w:rsidRPr="00536CFD">
              <w:rPr>
                <w:lang w:val="zh-CN"/>
              </w:rPr>
              <w:t>0.022</w:t>
            </w:r>
          </w:p>
        </w:tc>
        <w:tc>
          <w:tcPr>
            <w:tcW w:w="720" w:type="dxa"/>
            <w:tcBorders>
              <w:top w:val="single" w:sz="4" w:space="0" w:color="auto"/>
              <w:left w:val="nil"/>
              <w:bottom w:val="single" w:sz="4" w:space="0" w:color="auto"/>
              <w:right w:val="single" w:sz="4" w:space="0" w:color="auto"/>
            </w:tcBorders>
            <w:shd w:val="clear" w:color="auto" w:fill="auto"/>
            <w:vAlign w:val="bottom"/>
          </w:tcPr>
          <w:p w14:paraId="7AD2E51A" w14:textId="77777777" w:rsidR="009D4A93" w:rsidRPr="00536CFD" w:rsidRDefault="009D4A93" w:rsidP="009D4A93">
            <w:pPr>
              <w:spacing w:after="0"/>
              <w:jc w:val="center"/>
              <w:rPr>
                <w:lang w:val="zh-CN"/>
              </w:rPr>
            </w:pPr>
            <w:r w:rsidRPr="00536CFD">
              <w:rPr>
                <w:lang w:val="zh-CN"/>
              </w:rPr>
              <w:t>0.021</w:t>
            </w:r>
          </w:p>
        </w:tc>
      </w:tr>
      <w:tr w:rsidR="009D4A93" w:rsidRPr="00536CFD" w14:paraId="544BAAC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06C2A5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0A1F64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0718FC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7FA6AA66" w14:textId="77777777" w:rsidR="009D4A93" w:rsidRPr="00536CFD" w:rsidRDefault="009D4A93" w:rsidP="009D4A93">
            <w:pPr>
              <w:spacing w:after="0"/>
              <w:jc w:val="center"/>
              <w:rPr>
                <w:lang w:val="zh-CN"/>
              </w:rPr>
            </w:pPr>
            <w:r w:rsidRPr="00536CFD">
              <w:rPr>
                <w:lang w:val="zh-CN"/>
              </w:rPr>
              <w:t>0.061</w:t>
            </w:r>
          </w:p>
        </w:tc>
        <w:tc>
          <w:tcPr>
            <w:tcW w:w="720" w:type="dxa"/>
            <w:tcBorders>
              <w:top w:val="single" w:sz="4" w:space="0" w:color="auto"/>
              <w:left w:val="nil"/>
              <w:bottom w:val="single" w:sz="4" w:space="0" w:color="auto"/>
              <w:right w:val="single" w:sz="4" w:space="0" w:color="auto"/>
            </w:tcBorders>
            <w:shd w:val="clear" w:color="auto" w:fill="auto"/>
            <w:vAlign w:val="bottom"/>
          </w:tcPr>
          <w:p w14:paraId="37E40B2F" w14:textId="77777777" w:rsidR="009D4A93" w:rsidRPr="00536CFD" w:rsidRDefault="009D4A93" w:rsidP="009D4A93">
            <w:pPr>
              <w:spacing w:after="0"/>
              <w:jc w:val="center"/>
              <w:rPr>
                <w:lang w:val="zh-CN"/>
              </w:rPr>
            </w:pPr>
            <w:r w:rsidRPr="00536CFD">
              <w:rPr>
                <w:lang w:val="zh-CN"/>
              </w:rPr>
              <w:t>0.051</w:t>
            </w:r>
          </w:p>
        </w:tc>
        <w:tc>
          <w:tcPr>
            <w:tcW w:w="720" w:type="dxa"/>
            <w:tcBorders>
              <w:top w:val="single" w:sz="4" w:space="0" w:color="auto"/>
              <w:left w:val="nil"/>
              <w:bottom w:val="single" w:sz="4" w:space="0" w:color="auto"/>
              <w:right w:val="single" w:sz="4" w:space="0" w:color="auto"/>
            </w:tcBorders>
            <w:shd w:val="clear" w:color="auto" w:fill="auto"/>
            <w:vAlign w:val="bottom"/>
          </w:tcPr>
          <w:p w14:paraId="428DD4EE" w14:textId="77777777" w:rsidR="009D4A93" w:rsidRPr="00536CFD" w:rsidRDefault="009D4A93" w:rsidP="009D4A93">
            <w:pPr>
              <w:spacing w:after="0"/>
              <w:jc w:val="center"/>
              <w:rPr>
                <w:lang w:val="zh-CN"/>
              </w:rPr>
            </w:pPr>
            <w:r w:rsidRPr="00536CFD">
              <w:rPr>
                <w:lang w:val="zh-CN"/>
              </w:rPr>
              <w:t>0.028</w:t>
            </w:r>
          </w:p>
        </w:tc>
        <w:tc>
          <w:tcPr>
            <w:tcW w:w="810" w:type="dxa"/>
            <w:tcBorders>
              <w:top w:val="single" w:sz="4" w:space="0" w:color="auto"/>
              <w:left w:val="nil"/>
              <w:bottom w:val="single" w:sz="4" w:space="0" w:color="auto"/>
              <w:right w:val="single" w:sz="4" w:space="0" w:color="auto"/>
            </w:tcBorders>
            <w:shd w:val="clear" w:color="auto" w:fill="auto"/>
            <w:vAlign w:val="bottom"/>
          </w:tcPr>
          <w:p w14:paraId="562E738B" w14:textId="77777777" w:rsidR="009D4A93" w:rsidRPr="00536CFD" w:rsidRDefault="009D4A93" w:rsidP="009D4A93">
            <w:pPr>
              <w:spacing w:after="0"/>
              <w:jc w:val="center"/>
              <w:rPr>
                <w:lang w:val="zh-CN"/>
              </w:rPr>
            </w:pPr>
            <w:r w:rsidRPr="00536CFD">
              <w:rPr>
                <w:lang w:val="zh-CN"/>
              </w:rPr>
              <w:t>0.026</w:t>
            </w:r>
          </w:p>
        </w:tc>
        <w:tc>
          <w:tcPr>
            <w:tcW w:w="810" w:type="dxa"/>
            <w:tcBorders>
              <w:top w:val="single" w:sz="4" w:space="0" w:color="auto"/>
              <w:left w:val="nil"/>
              <w:bottom w:val="single" w:sz="4" w:space="0" w:color="auto"/>
              <w:right w:val="single" w:sz="4" w:space="0" w:color="auto"/>
            </w:tcBorders>
            <w:shd w:val="clear" w:color="auto" w:fill="auto"/>
            <w:vAlign w:val="bottom"/>
          </w:tcPr>
          <w:p w14:paraId="4F138778" w14:textId="77777777" w:rsidR="009D4A93" w:rsidRPr="00536CFD" w:rsidRDefault="009D4A93" w:rsidP="009D4A93">
            <w:pPr>
              <w:spacing w:after="0"/>
              <w:jc w:val="center"/>
              <w:rPr>
                <w:lang w:val="zh-CN"/>
              </w:rPr>
            </w:pPr>
            <w:r w:rsidRPr="00536CFD">
              <w:rPr>
                <w:lang w:val="zh-CN"/>
              </w:rPr>
              <w:t>0.123</w:t>
            </w:r>
          </w:p>
        </w:tc>
        <w:tc>
          <w:tcPr>
            <w:tcW w:w="820" w:type="dxa"/>
            <w:tcBorders>
              <w:top w:val="single" w:sz="4" w:space="0" w:color="auto"/>
              <w:left w:val="nil"/>
              <w:bottom w:val="single" w:sz="4" w:space="0" w:color="auto"/>
              <w:right w:val="single" w:sz="4" w:space="0" w:color="auto"/>
            </w:tcBorders>
            <w:shd w:val="clear" w:color="auto" w:fill="auto"/>
            <w:vAlign w:val="bottom"/>
          </w:tcPr>
          <w:p w14:paraId="3B40D69E" w14:textId="77777777" w:rsidR="009D4A93" w:rsidRPr="00536CFD" w:rsidRDefault="009D4A93" w:rsidP="009D4A93">
            <w:pPr>
              <w:spacing w:after="0"/>
              <w:jc w:val="center"/>
              <w:rPr>
                <w:lang w:val="zh-CN"/>
              </w:rPr>
            </w:pPr>
            <w:r w:rsidRPr="00536CFD">
              <w:rPr>
                <w:lang w:val="zh-CN"/>
              </w:rPr>
              <w:t>0.074</w:t>
            </w:r>
          </w:p>
        </w:tc>
        <w:tc>
          <w:tcPr>
            <w:tcW w:w="800" w:type="dxa"/>
            <w:tcBorders>
              <w:top w:val="single" w:sz="4" w:space="0" w:color="auto"/>
              <w:left w:val="nil"/>
              <w:bottom w:val="single" w:sz="4" w:space="0" w:color="auto"/>
              <w:right w:val="single" w:sz="4" w:space="0" w:color="auto"/>
            </w:tcBorders>
            <w:shd w:val="clear" w:color="auto" w:fill="auto"/>
            <w:vAlign w:val="bottom"/>
          </w:tcPr>
          <w:p w14:paraId="417644F0" w14:textId="77777777" w:rsidR="009D4A93" w:rsidRPr="00536CFD" w:rsidRDefault="009D4A93" w:rsidP="009D4A93">
            <w:pPr>
              <w:spacing w:after="0"/>
              <w:jc w:val="center"/>
              <w:rPr>
                <w:lang w:val="zh-CN"/>
              </w:rPr>
            </w:pPr>
            <w:r w:rsidRPr="00536CFD">
              <w:rPr>
                <w:lang w:val="zh-CN"/>
              </w:rPr>
              <w:t>0.043</w:t>
            </w:r>
          </w:p>
        </w:tc>
        <w:tc>
          <w:tcPr>
            <w:tcW w:w="720" w:type="dxa"/>
            <w:tcBorders>
              <w:top w:val="single" w:sz="4" w:space="0" w:color="auto"/>
              <w:left w:val="nil"/>
              <w:bottom w:val="single" w:sz="4" w:space="0" w:color="auto"/>
              <w:right w:val="single" w:sz="4" w:space="0" w:color="auto"/>
            </w:tcBorders>
            <w:shd w:val="clear" w:color="auto" w:fill="auto"/>
            <w:vAlign w:val="bottom"/>
          </w:tcPr>
          <w:p w14:paraId="713F8759" w14:textId="77777777" w:rsidR="009D4A93" w:rsidRPr="00536CFD" w:rsidRDefault="009D4A93" w:rsidP="009D4A93">
            <w:pPr>
              <w:spacing w:after="0"/>
              <w:jc w:val="center"/>
              <w:rPr>
                <w:lang w:val="zh-CN"/>
              </w:rPr>
            </w:pPr>
            <w:r w:rsidRPr="00536CFD">
              <w:rPr>
                <w:lang w:val="zh-CN"/>
              </w:rPr>
              <w:t>0.028</w:t>
            </w:r>
          </w:p>
        </w:tc>
        <w:tc>
          <w:tcPr>
            <w:tcW w:w="724" w:type="dxa"/>
            <w:tcBorders>
              <w:top w:val="single" w:sz="4" w:space="0" w:color="auto"/>
              <w:left w:val="nil"/>
              <w:bottom w:val="single" w:sz="4" w:space="0" w:color="auto"/>
              <w:right w:val="single" w:sz="4" w:space="0" w:color="auto"/>
            </w:tcBorders>
            <w:shd w:val="clear" w:color="auto" w:fill="auto"/>
            <w:vAlign w:val="bottom"/>
          </w:tcPr>
          <w:p w14:paraId="2D384B35" w14:textId="77777777" w:rsidR="009D4A93" w:rsidRPr="00536CFD" w:rsidRDefault="009D4A93" w:rsidP="009D4A93">
            <w:pPr>
              <w:spacing w:after="0"/>
              <w:jc w:val="center"/>
              <w:rPr>
                <w:lang w:val="zh-CN"/>
              </w:rPr>
            </w:pPr>
            <w:r w:rsidRPr="00536CFD">
              <w:rPr>
                <w:lang w:val="zh-CN"/>
              </w:rPr>
              <w:t>0.198</w:t>
            </w:r>
          </w:p>
        </w:tc>
        <w:tc>
          <w:tcPr>
            <w:tcW w:w="896" w:type="dxa"/>
            <w:tcBorders>
              <w:top w:val="single" w:sz="4" w:space="0" w:color="auto"/>
              <w:left w:val="nil"/>
              <w:bottom w:val="single" w:sz="4" w:space="0" w:color="auto"/>
              <w:right w:val="single" w:sz="4" w:space="0" w:color="auto"/>
            </w:tcBorders>
            <w:shd w:val="clear" w:color="auto" w:fill="auto"/>
            <w:vAlign w:val="bottom"/>
          </w:tcPr>
          <w:p w14:paraId="63A9FD0E" w14:textId="77777777" w:rsidR="009D4A93" w:rsidRPr="00536CFD" w:rsidRDefault="009D4A93" w:rsidP="009D4A93">
            <w:pPr>
              <w:spacing w:after="0"/>
              <w:jc w:val="center"/>
              <w:rPr>
                <w:lang w:val="zh-CN"/>
              </w:rPr>
            </w:pPr>
            <w:r w:rsidRPr="00536CFD">
              <w:rPr>
                <w:lang w:val="zh-CN"/>
              </w:rPr>
              <w:t>0.098</w:t>
            </w:r>
          </w:p>
        </w:tc>
        <w:tc>
          <w:tcPr>
            <w:tcW w:w="720" w:type="dxa"/>
            <w:tcBorders>
              <w:top w:val="single" w:sz="4" w:space="0" w:color="auto"/>
              <w:left w:val="nil"/>
              <w:bottom w:val="single" w:sz="4" w:space="0" w:color="auto"/>
              <w:right w:val="single" w:sz="4" w:space="0" w:color="auto"/>
            </w:tcBorders>
            <w:shd w:val="clear" w:color="auto" w:fill="auto"/>
            <w:vAlign w:val="bottom"/>
          </w:tcPr>
          <w:p w14:paraId="0B5DE2E6" w14:textId="77777777" w:rsidR="009D4A93" w:rsidRPr="00536CFD" w:rsidRDefault="009D4A93" w:rsidP="009D4A93">
            <w:pPr>
              <w:spacing w:after="0"/>
              <w:jc w:val="center"/>
              <w:rPr>
                <w:lang w:val="zh-CN"/>
              </w:rPr>
            </w:pPr>
            <w:r w:rsidRPr="00536CFD">
              <w:rPr>
                <w:lang w:val="zh-CN"/>
              </w:rPr>
              <w:t>0.058</w:t>
            </w:r>
          </w:p>
        </w:tc>
        <w:tc>
          <w:tcPr>
            <w:tcW w:w="720" w:type="dxa"/>
            <w:tcBorders>
              <w:top w:val="single" w:sz="4" w:space="0" w:color="auto"/>
              <w:left w:val="nil"/>
              <w:bottom w:val="single" w:sz="4" w:space="0" w:color="auto"/>
              <w:right w:val="single" w:sz="4" w:space="0" w:color="auto"/>
            </w:tcBorders>
            <w:shd w:val="clear" w:color="auto" w:fill="auto"/>
            <w:vAlign w:val="bottom"/>
          </w:tcPr>
          <w:p w14:paraId="2BD638BE" w14:textId="77777777" w:rsidR="009D4A93" w:rsidRPr="00536CFD" w:rsidRDefault="009D4A93" w:rsidP="009D4A93">
            <w:pPr>
              <w:spacing w:after="0"/>
              <w:jc w:val="center"/>
              <w:rPr>
                <w:lang w:val="zh-CN"/>
              </w:rPr>
            </w:pPr>
            <w:r w:rsidRPr="00536CFD">
              <w:rPr>
                <w:lang w:val="zh-CN"/>
              </w:rPr>
              <w:t>0.03</w:t>
            </w:r>
          </w:p>
        </w:tc>
      </w:tr>
      <w:tr w:rsidR="009D4A93" w:rsidRPr="00536CFD" w14:paraId="7F5E422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5E3D21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FFF738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5FEE9B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5F58E0C1" w14:textId="77777777" w:rsidR="009D4A93" w:rsidRPr="00536CFD" w:rsidRDefault="009D4A93" w:rsidP="009D4A93">
            <w:pPr>
              <w:spacing w:after="0"/>
              <w:jc w:val="center"/>
              <w:rPr>
                <w:lang w:val="zh-CN"/>
              </w:rPr>
            </w:pPr>
            <w:r w:rsidRPr="00536CFD">
              <w:rPr>
                <w:lang w:val="zh-CN"/>
              </w:rPr>
              <w:t>0.25</w:t>
            </w:r>
          </w:p>
        </w:tc>
        <w:tc>
          <w:tcPr>
            <w:tcW w:w="720" w:type="dxa"/>
            <w:tcBorders>
              <w:top w:val="single" w:sz="4" w:space="0" w:color="auto"/>
              <w:left w:val="nil"/>
              <w:bottom w:val="single" w:sz="4" w:space="0" w:color="auto"/>
              <w:right w:val="single" w:sz="4" w:space="0" w:color="auto"/>
            </w:tcBorders>
            <w:shd w:val="clear" w:color="auto" w:fill="auto"/>
            <w:vAlign w:val="bottom"/>
          </w:tcPr>
          <w:p w14:paraId="6FB32CB1" w14:textId="77777777" w:rsidR="009D4A93" w:rsidRPr="00536CFD" w:rsidRDefault="009D4A93" w:rsidP="009D4A93">
            <w:pPr>
              <w:spacing w:after="0"/>
              <w:jc w:val="center"/>
              <w:rPr>
                <w:lang w:val="zh-CN"/>
              </w:rPr>
            </w:pPr>
            <w:r w:rsidRPr="00536CFD">
              <w:rPr>
                <w:lang w:val="zh-CN"/>
              </w:rPr>
              <w:t>0.197</w:t>
            </w:r>
          </w:p>
        </w:tc>
        <w:tc>
          <w:tcPr>
            <w:tcW w:w="720" w:type="dxa"/>
            <w:tcBorders>
              <w:top w:val="single" w:sz="4" w:space="0" w:color="auto"/>
              <w:left w:val="nil"/>
              <w:bottom w:val="single" w:sz="4" w:space="0" w:color="auto"/>
              <w:right w:val="single" w:sz="4" w:space="0" w:color="auto"/>
            </w:tcBorders>
            <w:shd w:val="clear" w:color="auto" w:fill="auto"/>
            <w:vAlign w:val="bottom"/>
          </w:tcPr>
          <w:p w14:paraId="47C687AC" w14:textId="77777777" w:rsidR="009D4A93" w:rsidRPr="00536CFD" w:rsidRDefault="009D4A93" w:rsidP="009D4A93">
            <w:pPr>
              <w:spacing w:after="0"/>
              <w:jc w:val="center"/>
              <w:rPr>
                <w:lang w:val="zh-CN"/>
              </w:rPr>
            </w:pPr>
            <w:r w:rsidRPr="00536CFD">
              <w:rPr>
                <w:lang w:val="zh-CN"/>
              </w:rPr>
              <w:t>0.117</w:t>
            </w:r>
          </w:p>
        </w:tc>
        <w:tc>
          <w:tcPr>
            <w:tcW w:w="810" w:type="dxa"/>
            <w:tcBorders>
              <w:top w:val="single" w:sz="4" w:space="0" w:color="auto"/>
              <w:left w:val="nil"/>
              <w:bottom w:val="single" w:sz="4" w:space="0" w:color="auto"/>
              <w:right w:val="single" w:sz="4" w:space="0" w:color="auto"/>
            </w:tcBorders>
            <w:shd w:val="clear" w:color="auto" w:fill="auto"/>
            <w:vAlign w:val="bottom"/>
          </w:tcPr>
          <w:p w14:paraId="264FB79D" w14:textId="77777777" w:rsidR="009D4A93" w:rsidRPr="00536CFD" w:rsidRDefault="009D4A93" w:rsidP="009D4A93">
            <w:pPr>
              <w:spacing w:after="0"/>
              <w:jc w:val="center"/>
              <w:rPr>
                <w:lang w:val="zh-CN"/>
              </w:rPr>
            </w:pPr>
            <w:r w:rsidRPr="00536CFD">
              <w:rPr>
                <w:lang w:val="zh-CN"/>
              </w:rPr>
              <w:t>0.064</w:t>
            </w:r>
          </w:p>
        </w:tc>
        <w:tc>
          <w:tcPr>
            <w:tcW w:w="810" w:type="dxa"/>
            <w:tcBorders>
              <w:top w:val="single" w:sz="4" w:space="0" w:color="auto"/>
              <w:left w:val="nil"/>
              <w:bottom w:val="single" w:sz="4" w:space="0" w:color="auto"/>
              <w:right w:val="single" w:sz="4" w:space="0" w:color="auto"/>
            </w:tcBorders>
            <w:shd w:val="clear" w:color="auto" w:fill="auto"/>
            <w:vAlign w:val="bottom"/>
          </w:tcPr>
          <w:p w14:paraId="5B43CB9D" w14:textId="77777777" w:rsidR="009D4A93" w:rsidRPr="00536CFD" w:rsidRDefault="009D4A93" w:rsidP="009D4A93">
            <w:pPr>
              <w:spacing w:after="0"/>
              <w:jc w:val="center"/>
              <w:rPr>
                <w:lang w:val="zh-CN"/>
              </w:rPr>
            </w:pPr>
            <w:r w:rsidRPr="00536CFD">
              <w:rPr>
                <w:lang w:val="zh-CN"/>
              </w:rPr>
              <w:t>2.287</w:t>
            </w:r>
          </w:p>
        </w:tc>
        <w:tc>
          <w:tcPr>
            <w:tcW w:w="820" w:type="dxa"/>
            <w:tcBorders>
              <w:top w:val="single" w:sz="4" w:space="0" w:color="auto"/>
              <w:left w:val="nil"/>
              <w:bottom w:val="single" w:sz="4" w:space="0" w:color="auto"/>
              <w:right w:val="single" w:sz="4" w:space="0" w:color="auto"/>
            </w:tcBorders>
            <w:shd w:val="clear" w:color="auto" w:fill="auto"/>
            <w:vAlign w:val="bottom"/>
          </w:tcPr>
          <w:p w14:paraId="52E72E1C" w14:textId="77777777" w:rsidR="009D4A93" w:rsidRPr="00536CFD" w:rsidRDefault="009D4A93" w:rsidP="009D4A93">
            <w:pPr>
              <w:spacing w:after="0"/>
              <w:jc w:val="center"/>
              <w:rPr>
                <w:lang w:val="zh-CN"/>
              </w:rPr>
            </w:pPr>
            <w:r w:rsidRPr="00536CFD">
              <w:rPr>
                <w:lang w:val="zh-CN"/>
              </w:rPr>
              <w:t>0.544</w:t>
            </w:r>
          </w:p>
        </w:tc>
        <w:tc>
          <w:tcPr>
            <w:tcW w:w="800" w:type="dxa"/>
            <w:tcBorders>
              <w:top w:val="single" w:sz="4" w:space="0" w:color="auto"/>
              <w:left w:val="nil"/>
              <w:bottom w:val="single" w:sz="4" w:space="0" w:color="auto"/>
              <w:right w:val="single" w:sz="4" w:space="0" w:color="auto"/>
            </w:tcBorders>
            <w:shd w:val="clear" w:color="auto" w:fill="auto"/>
            <w:vAlign w:val="bottom"/>
          </w:tcPr>
          <w:p w14:paraId="09E0CD7B" w14:textId="77777777" w:rsidR="009D4A93" w:rsidRPr="00536CFD" w:rsidRDefault="009D4A93" w:rsidP="009D4A93">
            <w:pPr>
              <w:spacing w:after="0"/>
              <w:jc w:val="center"/>
              <w:rPr>
                <w:lang w:val="zh-CN"/>
              </w:rPr>
            </w:pPr>
            <w:r w:rsidRPr="00536CFD">
              <w:rPr>
                <w:lang w:val="zh-CN"/>
              </w:rPr>
              <w:t>0.263</w:t>
            </w:r>
          </w:p>
        </w:tc>
        <w:tc>
          <w:tcPr>
            <w:tcW w:w="720" w:type="dxa"/>
            <w:tcBorders>
              <w:top w:val="single" w:sz="4" w:space="0" w:color="auto"/>
              <w:left w:val="nil"/>
              <w:bottom w:val="single" w:sz="4" w:space="0" w:color="auto"/>
              <w:right w:val="single" w:sz="4" w:space="0" w:color="auto"/>
            </w:tcBorders>
            <w:shd w:val="clear" w:color="auto" w:fill="auto"/>
            <w:vAlign w:val="bottom"/>
          </w:tcPr>
          <w:p w14:paraId="10378AFA" w14:textId="77777777" w:rsidR="009D4A93" w:rsidRPr="00536CFD" w:rsidRDefault="009D4A93" w:rsidP="009D4A93">
            <w:pPr>
              <w:spacing w:after="0"/>
              <w:jc w:val="center"/>
              <w:rPr>
                <w:lang w:val="zh-CN"/>
              </w:rPr>
            </w:pPr>
            <w:r w:rsidRPr="00536CFD">
              <w:rPr>
                <w:lang w:val="zh-CN"/>
              </w:rPr>
              <w:t>0.088</w:t>
            </w:r>
          </w:p>
        </w:tc>
        <w:tc>
          <w:tcPr>
            <w:tcW w:w="724" w:type="dxa"/>
            <w:tcBorders>
              <w:top w:val="single" w:sz="4" w:space="0" w:color="auto"/>
              <w:left w:val="nil"/>
              <w:bottom w:val="single" w:sz="4" w:space="0" w:color="auto"/>
              <w:right w:val="single" w:sz="4" w:space="0" w:color="auto"/>
            </w:tcBorders>
            <w:shd w:val="clear" w:color="auto" w:fill="auto"/>
            <w:vAlign w:val="bottom"/>
          </w:tcPr>
          <w:p w14:paraId="3DDB6180" w14:textId="77777777" w:rsidR="009D4A93" w:rsidRPr="00536CFD" w:rsidRDefault="009D4A93" w:rsidP="009D4A93">
            <w:pPr>
              <w:spacing w:after="0"/>
              <w:jc w:val="center"/>
              <w:rPr>
                <w:lang w:val="zh-CN"/>
              </w:rPr>
            </w:pPr>
            <w:r w:rsidRPr="00536CFD">
              <w:rPr>
                <w:lang w:val="zh-CN"/>
              </w:rPr>
              <w:t>54.959</w:t>
            </w:r>
          </w:p>
        </w:tc>
        <w:tc>
          <w:tcPr>
            <w:tcW w:w="896" w:type="dxa"/>
            <w:tcBorders>
              <w:top w:val="single" w:sz="4" w:space="0" w:color="auto"/>
              <w:left w:val="nil"/>
              <w:bottom w:val="single" w:sz="4" w:space="0" w:color="auto"/>
              <w:right w:val="single" w:sz="4" w:space="0" w:color="auto"/>
            </w:tcBorders>
            <w:shd w:val="clear" w:color="auto" w:fill="auto"/>
            <w:vAlign w:val="bottom"/>
          </w:tcPr>
          <w:p w14:paraId="24384CAF" w14:textId="77777777" w:rsidR="009D4A93" w:rsidRPr="00536CFD" w:rsidRDefault="009D4A93" w:rsidP="009D4A93">
            <w:pPr>
              <w:spacing w:after="0"/>
              <w:jc w:val="center"/>
              <w:rPr>
                <w:lang w:val="zh-CN"/>
              </w:rPr>
            </w:pPr>
            <w:r w:rsidRPr="00536CFD">
              <w:rPr>
                <w:lang w:val="zh-CN"/>
              </w:rPr>
              <w:t>1.929</w:t>
            </w:r>
          </w:p>
        </w:tc>
        <w:tc>
          <w:tcPr>
            <w:tcW w:w="720" w:type="dxa"/>
            <w:tcBorders>
              <w:top w:val="single" w:sz="4" w:space="0" w:color="auto"/>
              <w:left w:val="nil"/>
              <w:bottom w:val="single" w:sz="4" w:space="0" w:color="auto"/>
              <w:right w:val="single" w:sz="4" w:space="0" w:color="auto"/>
            </w:tcBorders>
            <w:shd w:val="clear" w:color="auto" w:fill="auto"/>
            <w:vAlign w:val="bottom"/>
          </w:tcPr>
          <w:p w14:paraId="1EE29F9B" w14:textId="77777777" w:rsidR="009D4A93" w:rsidRPr="00536CFD" w:rsidRDefault="009D4A93" w:rsidP="009D4A93">
            <w:pPr>
              <w:spacing w:after="0"/>
              <w:jc w:val="center"/>
              <w:rPr>
                <w:lang w:val="zh-CN"/>
              </w:rPr>
            </w:pPr>
            <w:r w:rsidRPr="00536CFD">
              <w:rPr>
                <w:lang w:val="zh-CN"/>
              </w:rPr>
              <w:t>0.54</w:t>
            </w:r>
          </w:p>
        </w:tc>
        <w:tc>
          <w:tcPr>
            <w:tcW w:w="720" w:type="dxa"/>
            <w:tcBorders>
              <w:top w:val="single" w:sz="4" w:space="0" w:color="auto"/>
              <w:left w:val="nil"/>
              <w:bottom w:val="single" w:sz="4" w:space="0" w:color="auto"/>
              <w:right w:val="single" w:sz="4" w:space="0" w:color="auto"/>
            </w:tcBorders>
            <w:shd w:val="clear" w:color="auto" w:fill="auto"/>
            <w:vAlign w:val="bottom"/>
          </w:tcPr>
          <w:p w14:paraId="7711C277" w14:textId="77777777" w:rsidR="009D4A93" w:rsidRPr="00536CFD" w:rsidRDefault="009D4A93" w:rsidP="009D4A93">
            <w:pPr>
              <w:spacing w:after="0"/>
              <w:jc w:val="center"/>
              <w:rPr>
                <w:lang w:val="zh-CN"/>
              </w:rPr>
            </w:pPr>
            <w:r w:rsidRPr="00536CFD">
              <w:rPr>
                <w:lang w:val="zh-CN"/>
              </w:rPr>
              <w:t>0.107</w:t>
            </w:r>
          </w:p>
        </w:tc>
      </w:tr>
      <w:tr w:rsidR="009D4A93" w:rsidRPr="00536CFD" w14:paraId="42BE8A6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E1D5E0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7AD673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25CC08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7B52F34D" w14:textId="77777777" w:rsidR="009D4A93" w:rsidRPr="00536CFD" w:rsidRDefault="009D4A93" w:rsidP="009D4A93">
            <w:pPr>
              <w:spacing w:after="0"/>
              <w:jc w:val="center"/>
              <w:rPr>
                <w:lang w:val="zh-CN"/>
              </w:rPr>
            </w:pPr>
            <w:r w:rsidRPr="00536CFD">
              <w:rPr>
                <w:lang w:val="zh-CN"/>
              </w:rPr>
              <w:t>0.092</w:t>
            </w:r>
          </w:p>
        </w:tc>
        <w:tc>
          <w:tcPr>
            <w:tcW w:w="720" w:type="dxa"/>
            <w:tcBorders>
              <w:top w:val="single" w:sz="4" w:space="0" w:color="auto"/>
              <w:left w:val="nil"/>
              <w:bottom w:val="single" w:sz="4" w:space="0" w:color="auto"/>
              <w:right w:val="single" w:sz="4" w:space="0" w:color="auto"/>
            </w:tcBorders>
            <w:shd w:val="clear" w:color="auto" w:fill="auto"/>
            <w:vAlign w:val="bottom"/>
          </w:tcPr>
          <w:p w14:paraId="384CBF45" w14:textId="77777777" w:rsidR="009D4A93" w:rsidRPr="00536CFD" w:rsidRDefault="009D4A93" w:rsidP="009D4A93">
            <w:pPr>
              <w:spacing w:after="0"/>
              <w:jc w:val="center"/>
              <w:rPr>
                <w:lang w:val="zh-CN"/>
              </w:rPr>
            </w:pPr>
            <w:r w:rsidRPr="00536CFD">
              <w:rPr>
                <w:lang w:val="zh-CN"/>
              </w:rPr>
              <w:t>0.074</w:t>
            </w:r>
          </w:p>
        </w:tc>
        <w:tc>
          <w:tcPr>
            <w:tcW w:w="720" w:type="dxa"/>
            <w:tcBorders>
              <w:top w:val="single" w:sz="4" w:space="0" w:color="auto"/>
              <w:left w:val="nil"/>
              <w:bottom w:val="single" w:sz="4" w:space="0" w:color="auto"/>
              <w:right w:val="single" w:sz="4" w:space="0" w:color="auto"/>
            </w:tcBorders>
            <w:shd w:val="clear" w:color="auto" w:fill="auto"/>
            <w:vAlign w:val="bottom"/>
          </w:tcPr>
          <w:p w14:paraId="73527BED" w14:textId="77777777" w:rsidR="009D4A93" w:rsidRPr="00536CFD" w:rsidRDefault="009D4A93" w:rsidP="009D4A93">
            <w:pPr>
              <w:spacing w:after="0"/>
              <w:jc w:val="center"/>
              <w:rPr>
                <w:lang w:val="zh-CN"/>
              </w:rPr>
            </w:pPr>
            <w:r w:rsidRPr="00536CFD">
              <w:rPr>
                <w:lang w:val="zh-CN"/>
              </w:rPr>
              <w:t>0.044</w:t>
            </w:r>
          </w:p>
        </w:tc>
        <w:tc>
          <w:tcPr>
            <w:tcW w:w="810" w:type="dxa"/>
            <w:tcBorders>
              <w:top w:val="single" w:sz="4" w:space="0" w:color="auto"/>
              <w:left w:val="nil"/>
              <w:bottom w:val="single" w:sz="4" w:space="0" w:color="auto"/>
              <w:right w:val="single" w:sz="4" w:space="0" w:color="auto"/>
            </w:tcBorders>
            <w:shd w:val="clear" w:color="auto" w:fill="auto"/>
            <w:vAlign w:val="bottom"/>
          </w:tcPr>
          <w:p w14:paraId="3E692656" w14:textId="77777777" w:rsidR="009D4A93" w:rsidRPr="00536CFD" w:rsidRDefault="009D4A93" w:rsidP="009D4A93">
            <w:pPr>
              <w:spacing w:after="0"/>
              <w:jc w:val="center"/>
              <w:rPr>
                <w:lang w:val="zh-CN"/>
              </w:rPr>
            </w:pPr>
            <w:r w:rsidRPr="00536CFD">
              <w:rPr>
                <w:lang w:val="zh-CN"/>
              </w:rPr>
              <w:t>0.032</w:t>
            </w:r>
          </w:p>
        </w:tc>
        <w:tc>
          <w:tcPr>
            <w:tcW w:w="810" w:type="dxa"/>
            <w:tcBorders>
              <w:top w:val="single" w:sz="4" w:space="0" w:color="auto"/>
              <w:left w:val="nil"/>
              <w:bottom w:val="single" w:sz="4" w:space="0" w:color="auto"/>
              <w:right w:val="single" w:sz="4" w:space="0" w:color="auto"/>
            </w:tcBorders>
            <w:shd w:val="clear" w:color="auto" w:fill="auto"/>
            <w:vAlign w:val="bottom"/>
          </w:tcPr>
          <w:p w14:paraId="62F0992A" w14:textId="77777777" w:rsidR="009D4A93" w:rsidRPr="00536CFD" w:rsidRDefault="009D4A93" w:rsidP="009D4A93">
            <w:pPr>
              <w:spacing w:after="0"/>
              <w:jc w:val="center"/>
              <w:rPr>
                <w:lang w:val="zh-CN"/>
              </w:rPr>
            </w:pPr>
            <w:r w:rsidRPr="00536CFD">
              <w:rPr>
                <w:lang w:val="zh-CN"/>
              </w:rPr>
              <w:t>3.348</w:t>
            </w:r>
          </w:p>
        </w:tc>
        <w:tc>
          <w:tcPr>
            <w:tcW w:w="820" w:type="dxa"/>
            <w:tcBorders>
              <w:top w:val="single" w:sz="4" w:space="0" w:color="auto"/>
              <w:left w:val="nil"/>
              <w:bottom w:val="single" w:sz="4" w:space="0" w:color="auto"/>
              <w:right w:val="single" w:sz="4" w:space="0" w:color="auto"/>
            </w:tcBorders>
            <w:shd w:val="clear" w:color="auto" w:fill="auto"/>
            <w:vAlign w:val="bottom"/>
          </w:tcPr>
          <w:p w14:paraId="4330DDFD" w14:textId="77777777" w:rsidR="009D4A93" w:rsidRPr="00536CFD" w:rsidRDefault="009D4A93" w:rsidP="009D4A93">
            <w:pPr>
              <w:spacing w:after="0"/>
              <w:jc w:val="center"/>
              <w:rPr>
                <w:lang w:val="zh-CN"/>
              </w:rPr>
            </w:pPr>
            <w:r w:rsidRPr="00536CFD">
              <w:rPr>
                <w:lang w:val="zh-CN"/>
              </w:rPr>
              <w:t>0.819</w:t>
            </w:r>
          </w:p>
        </w:tc>
        <w:tc>
          <w:tcPr>
            <w:tcW w:w="800" w:type="dxa"/>
            <w:tcBorders>
              <w:top w:val="single" w:sz="4" w:space="0" w:color="auto"/>
              <w:left w:val="nil"/>
              <w:bottom w:val="single" w:sz="4" w:space="0" w:color="auto"/>
              <w:right w:val="single" w:sz="4" w:space="0" w:color="auto"/>
            </w:tcBorders>
            <w:shd w:val="clear" w:color="auto" w:fill="auto"/>
            <w:vAlign w:val="bottom"/>
          </w:tcPr>
          <w:p w14:paraId="44C104CF" w14:textId="77777777" w:rsidR="009D4A93" w:rsidRPr="00536CFD" w:rsidRDefault="009D4A93" w:rsidP="009D4A93">
            <w:pPr>
              <w:spacing w:after="0"/>
              <w:jc w:val="center"/>
              <w:rPr>
                <w:lang w:val="zh-CN"/>
              </w:rPr>
            </w:pPr>
            <w:r w:rsidRPr="00536CFD">
              <w:rPr>
                <w:lang w:val="zh-CN"/>
              </w:rPr>
              <w:t>0.083</w:t>
            </w:r>
          </w:p>
        </w:tc>
        <w:tc>
          <w:tcPr>
            <w:tcW w:w="720" w:type="dxa"/>
            <w:tcBorders>
              <w:top w:val="single" w:sz="4" w:space="0" w:color="auto"/>
              <w:left w:val="nil"/>
              <w:bottom w:val="single" w:sz="4" w:space="0" w:color="auto"/>
              <w:right w:val="single" w:sz="4" w:space="0" w:color="auto"/>
            </w:tcBorders>
            <w:shd w:val="clear" w:color="auto" w:fill="auto"/>
            <w:vAlign w:val="bottom"/>
          </w:tcPr>
          <w:p w14:paraId="3BE24122" w14:textId="77777777" w:rsidR="009D4A93" w:rsidRPr="00536CFD" w:rsidRDefault="009D4A93" w:rsidP="009D4A93">
            <w:pPr>
              <w:spacing w:after="0"/>
              <w:jc w:val="center"/>
              <w:rPr>
                <w:lang w:val="zh-CN"/>
              </w:rPr>
            </w:pPr>
            <w:r w:rsidRPr="00536CFD">
              <w:rPr>
                <w:lang w:val="zh-CN"/>
              </w:rPr>
              <w:t>0.039</w:t>
            </w:r>
          </w:p>
        </w:tc>
        <w:tc>
          <w:tcPr>
            <w:tcW w:w="724" w:type="dxa"/>
            <w:tcBorders>
              <w:top w:val="single" w:sz="4" w:space="0" w:color="auto"/>
              <w:left w:val="nil"/>
              <w:bottom w:val="single" w:sz="4" w:space="0" w:color="auto"/>
              <w:right w:val="single" w:sz="4" w:space="0" w:color="auto"/>
            </w:tcBorders>
            <w:shd w:val="clear" w:color="auto" w:fill="auto"/>
            <w:vAlign w:val="bottom"/>
          </w:tcPr>
          <w:p w14:paraId="71E97736" w14:textId="77777777" w:rsidR="009D4A93" w:rsidRPr="00536CFD" w:rsidRDefault="009D4A93" w:rsidP="009D4A93">
            <w:pPr>
              <w:spacing w:after="0"/>
              <w:jc w:val="center"/>
              <w:rPr>
                <w:lang w:val="zh-CN"/>
              </w:rPr>
            </w:pPr>
            <w:r w:rsidRPr="00536CFD">
              <w:rPr>
                <w:lang w:val="zh-CN"/>
              </w:rPr>
              <w:t>10.506</w:t>
            </w:r>
          </w:p>
        </w:tc>
        <w:tc>
          <w:tcPr>
            <w:tcW w:w="896" w:type="dxa"/>
            <w:tcBorders>
              <w:top w:val="single" w:sz="4" w:space="0" w:color="auto"/>
              <w:left w:val="nil"/>
              <w:bottom w:val="single" w:sz="4" w:space="0" w:color="auto"/>
              <w:right w:val="single" w:sz="4" w:space="0" w:color="auto"/>
            </w:tcBorders>
            <w:shd w:val="clear" w:color="auto" w:fill="auto"/>
            <w:vAlign w:val="bottom"/>
          </w:tcPr>
          <w:p w14:paraId="248F45DC" w14:textId="77777777" w:rsidR="009D4A93" w:rsidRPr="00536CFD" w:rsidRDefault="009D4A93" w:rsidP="009D4A93">
            <w:pPr>
              <w:spacing w:after="0"/>
              <w:jc w:val="center"/>
              <w:rPr>
                <w:lang w:val="zh-CN"/>
              </w:rPr>
            </w:pPr>
            <w:r w:rsidRPr="00536CFD">
              <w:rPr>
                <w:lang w:val="zh-CN"/>
              </w:rPr>
              <w:t>5.201</w:t>
            </w:r>
          </w:p>
        </w:tc>
        <w:tc>
          <w:tcPr>
            <w:tcW w:w="720" w:type="dxa"/>
            <w:tcBorders>
              <w:top w:val="single" w:sz="4" w:space="0" w:color="auto"/>
              <w:left w:val="nil"/>
              <w:bottom w:val="single" w:sz="4" w:space="0" w:color="auto"/>
              <w:right w:val="single" w:sz="4" w:space="0" w:color="auto"/>
            </w:tcBorders>
            <w:shd w:val="clear" w:color="auto" w:fill="auto"/>
            <w:vAlign w:val="bottom"/>
          </w:tcPr>
          <w:p w14:paraId="2777CA7C" w14:textId="77777777" w:rsidR="009D4A93" w:rsidRPr="00536CFD" w:rsidRDefault="009D4A93" w:rsidP="009D4A93">
            <w:pPr>
              <w:spacing w:after="0"/>
              <w:jc w:val="center"/>
              <w:rPr>
                <w:lang w:val="zh-CN"/>
              </w:rPr>
            </w:pPr>
            <w:r w:rsidRPr="00536CFD">
              <w:rPr>
                <w:lang w:val="zh-CN"/>
              </w:rPr>
              <w:t>0.165</w:t>
            </w:r>
          </w:p>
        </w:tc>
        <w:tc>
          <w:tcPr>
            <w:tcW w:w="720" w:type="dxa"/>
            <w:tcBorders>
              <w:top w:val="single" w:sz="4" w:space="0" w:color="auto"/>
              <w:left w:val="nil"/>
              <w:bottom w:val="single" w:sz="4" w:space="0" w:color="auto"/>
              <w:right w:val="single" w:sz="4" w:space="0" w:color="auto"/>
            </w:tcBorders>
            <w:shd w:val="clear" w:color="auto" w:fill="auto"/>
            <w:vAlign w:val="bottom"/>
          </w:tcPr>
          <w:p w14:paraId="399FCE6A" w14:textId="77777777" w:rsidR="009D4A93" w:rsidRPr="00536CFD" w:rsidRDefault="009D4A93" w:rsidP="009D4A93">
            <w:pPr>
              <w:spacing w:after="0"/>
              <w:jc w:val="center"/>
              <w:rPr>
                <w:lang w:val="zh-CN"/>
              </w:rPr>
            </w:pPr>
            <w:r w:rsidRPr="00536CFD">
              <w:rPr>
                <w:lang w:val="zh-CN"/>
              </w:rPr>
              <w:t>0.044</w:t>
            </w:r>
          </w:p>
        </w:tc>
      </w:tr>
      <w:tr w:rsidR="009D4A93" w:rsidRPr="00536CFD" w14:paraId="0ED14A1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2D07FB7"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33C0515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73FD69D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5BD26B3E" w14:textId="77777777" w:rsidR="009D4A93" w:rsidRPr="00536CFD" w:rsidRDefault="009D4A93" w:rsidP="009D4A93">
            <w:pPr>
              <w:spacing w:after="0"/>
              <w:jc w:val="center"/>
              <w:rPr>
                <w:lang w:val="zh-CN"/>
              </w:rPr>
            </w:pPr>
            <w:r w:rsidRPr="00536CFD">
              <w:rPr>
                <w:lang w:val="zh-CN"/>
              </w:rPr>
              <w:t>17.13</w:t>
            </w:r>
          </w:p>
        </w:tc>
        <w:tc>
          <w:tcPr>
            <w:tcW w:w="720" w:type="dxa"/>
            <w:tcBorders>
              <w:top w:val="single" w:sz="4" w:space="0" w:color="auto"/>
              <w:left w:val="nil"/>
              <w:bottom w:val="single" w:sz="4" w:space="0" w:color="auto"/>
              <w:right w:val="single" w:sz="4" w:space="0" w:color="auto"/>
            </w:tcBorders>
            <w:shd w:val="clear" w:color="auto" w:fill="auto"/>
            <w:vAlign w:val="bottom"/>
          </w:tcPr>
          <w:p w14:paraId="32691964" w14:textId="77777777" w:rsidR="009D4A93" w:rsidRPr="00536CFD" w:rsidRDefault="009D4A93" w:rsidP="009D4A93">
            <w:pPr>
              <w:spacing w:after="0"/>
              <w:jc w:val="center"/>
              <w:rPr>
                <w:lang w:val="zh-CN"/>
              </w:rPr>
            </w:pPr>
            <w:r w:rsidRPr="00536CFD">
              <w:rPr>
                <w:lang w:val="zh-CN"/>
              </w:rPr>
              <w:t>20.95</w:t>
            </w:r>
          </w:p>
        </w:tc>
        <w:tc>
          <w:tcPr>
            <w:tcW w:w="720" w:type="dxa"/>
            <w:tcBorders>
              <w:top w:val="single" w:sz="4" w:space="0" w:color="auto"/>
              <w:left w:val="nil"/>
              <w:bottom w:val="single" w:sz="4" w:space="0" w:color="auto"/>
              <w:right w:val="single" w:sz="4" w:space="0" w:color="auto"/>
            </w:tcBorders>
            <w:shd w:val="clear" w:color="auto" w:fill="auto"/>
            <w:vAlign w:val="bottom"/>
          </w:tcPr>
          <w:p w14:paraId="04FFF270" w14:textId="77777777" w:rsidR="009D4A93" w:rsidRPr="00536CFD" w:rsidRDefault="009D4A93" w:rsidP="009D4A93">
            <w:pPr>
              <w:spacing w:after="0"/>
              <w:jc w:val="center"/>
              <w:rPr>
                <w:lang w:val="zh-CN"/>
              </w:rPr>
            </w:pPr>
            <w:r w:rsidRPr="00536CFD">
              <w:rPr>
                <w:lang w:val="zh-CN"/>
              </w:rPr>
              <w:t>41.54</w:t>
            </w:r>
          </w:p>
        </w:tc>
        <w:tc>
          <w:tcPr>
            <w:tcW w:w="810" w:type="dxa"/>
            <w:tcBorders>
              <w:top w:val="single" w:sz="4" w:space="0" w:color="auto"/>
              <w:left w:val="nil"/>
              <w:bottom w:val="single" w:sz="4" w:space="0" w:color="auto"/>
              <w:right w:val="single" w:sz="4" w:space="0" w:color="auto"/>
            </w:tcBorders>
            <w:shd w:val="clear" w:color="auto" w:fill="auto"/>
            <w:vAlign w:val="bottom"/>
          </w:tcPr>
          <w:p w14:paraId="6A0475BF" w14:textId="77777777" w:rsidR="009D4A93" w:rsidRPr="00536CFD" w:rsidRDefault="009D4A93" w:rsidP="009D4A93">
            <w:pPr>
              <w:spacing w:after="0"/>
              <w:jc w:val="center"/>
              <w:rPr>
                <w:lang w:val="zh-CN"/>
              </w:rPr>
            </w:pPr>
            <w:r w:rsidRPr="00536CFD">
              <w:rPr>
                <w:lang w:val="zh-CN"/>
              </w:rPr>
              <w:t>50.06</w:t>
            </w:r>
          </w:p>
        </w:tc>
        <w:tc>
          <w:tcPr>
            <w:tcW w:w="810" w:type="dxa"/>
            <w:tcBorders>
              <w:top w:val="single" w:sz="4" w:space="0" w:color="auto"/>
              <w:left w:val="nil"/>
              <w:bottom w:val="single" w:sz="4" w:space="0" w:color="auto"/>
              <w:right w:val="single" w:sz="4" w:space="0" w:color="auto"/>
            </w:tcBorders>
            <w:shd w:val="clear" w:color="auto" w:fill="auto"/>
            <w:vAlign w:val="bottom"/>
          </w:tcPr>
          <w:p w14:paraId="48261008" w14:textId="77777777" w:rsidR="009D4A93" w:rsidRPr="00536CFD" w:rsidRDefault="009D4A93" w:rsidP="009D4A93">
            <w:pPr>
              <w:spacing w:after="0"/>
              <w:jc w:val="center"/>
              <w:rPr>
                <w:lang w:val="zh-CN"/>
              </w:rPr>
            </w:pPr>
            <w:r w:rsidRPr="00536CFD">
              <w:rPr>
                <w:lang w:val="zh-CN"/>
              </w:rPr>
              <w:t>0.39</w:t>
            </w:r>
          </w:p>
        </w:tc>
        <w:tc>
          <w:tcPr>
            <w:tcW w:w="820" w:type="dxa"/>
            <w:tcBorders>
              <w:top w:val="single" w:sz="4" w:space="0" w:color="auto"/>
              <w:left w:val="nil"/>
              <w:bottom w:val="single" w:sz="4" w:space="0" w:color="auto"/>
              <w:right w:val="single" w:sz="4" w:space="0" w:color="auto"/>
            </w:tcBorders>
            <w:shd w:val="clear" w:color="auto" w:fill="auto"/>
            <w:vAlign w:val="bottom"/>
          </w:tcPr>
          <w:p w14:paraId="7741CF1B" w14:textId="77777777" w:rsidR="009D4A93" w:rsidRPr="00536CFD" w:rsidRDefault="009D4A93" w:rsidP="009D4A93">
            <w:pPr>
              <w:spacing w:after="0"/>
              <w:jc w:val="center"/>
              <w:rPr>
                <w:lang w:val="zh-CN"/>
              </w:rPr>
            </w:pPr>
            <w:r w:rsidRPr="00536CFD">
              <w:rPr>
                <w:lang w:val="zh-CN"/>
              </w:rPr>
              <w:t>9.6</w:t>
            </w:r>
          </w:p>
        </w:tc>
        <w:tc>
          <w:tcPr>
            <w:tcW w:w="800" w:type="dxa"/>
            <w:tcBorders>
              <w:top w:val="single" w:sz="4" w:space="0" w:color="auto"/>
              <w:left w:val="nil"/>
              <w:bottom w:val="single" w:sz="4" w:space="0" w:color="auto"/>
              <w:right w:val="single" w:sz="4" w:space="0" w:color="auto"/>
            </w:tcBorders>
            <w:shd w:val="clear" w:color="auto" w:fill="auto"/>
            <w:vAlign w:val="bottom"/>
          </w:tcPr>
          <w:p w14:paraId="32B33499" w14:textId="77777777" w:rsidR="009D4A93" w:rsidRPr="00536CFD" w:rsidRDefault="009D4A93" w:rsidP="009D4A93">
            <w:pPr>
              <w:spacing w:after="0"/>
              <w:jc w:val="center"/>
              <w:rPr>
                <w:lang w:val="zh-CN"/>
              </w:rPr>
            </w:pPr>
            <w:r w:rsidRPr="00536CFD">
              <w:rPr>
                <w:lang w:val="zh-CN"/>
              </w:rPr>
              <w:t>22.67</w:t>
            </w:r>
          </w:p>
        </w:tc>
        <w:tc>
          <w:tcPr>
            <w:tcW w:w="720" w:type="dxa"/>
            <w:tcBorders>
              <w:top w:val="single" w:sz="4" w:space="0" w:color="auto"/>
              <w:left w:val="nil"/>
              <w:bottom w:val="single" w:sz="4" w:space="0" w:color="auto"/>
              <w:right w:val="single" w:sz="4" w:space="0" w:color="auto"/>
            </w:tcBorders>
            <w:shd w:val="clear" w:color="auto" w:fill="auto"/>
            <w:vAlign w:val="bottom"/>
          </w:tcPr>
          <w:p w14:paraId="1FF599BE" w14:textId="77777777" w:rsidR="009D4A93" w:rsidRPr="00536CFD" w:rsidRDefault="009D4A93" w:rsidP="009D4A93">
            <w:pPr>
              <w:spacing w:after="0"/>
              <w:jc w:val="center"/>
              <w:rPr>
                <w:lang w:val="zh-CN"/>
              </w:rPr>
            </w:pPr>
            <w:r w:rsidRPr="00536CFD">
              <w:rPr>
                <w:lang w:val="zh-CN"/>
              </w:rPr>
              <w:t>38.81</w:t>
            </w:r>
          </w:p>
        </w:tc>
        <w:tc>
          <w:tcPr>
            <w:tcW w:w="724" w:type="dxa"/>
            <w:tcBorders>
              <w:top w:val="single" w:sz="4" w:space="0" w:color="auto"/>
              <w:left w:val="nil"/>
              <w:bottom w:val="single" w:sz="4" w:space="0" w:color="auto"/>
              <w:right w:val="single" w:sz="4" w:space="0" w:color="auto"/>
            </w:tcBorders>
            <w:shd w:val="clear" w:color="auto" w:fill="auto"/>
            <w:vAlign w:val="bottom"/>
          </w:tcPr>
          <w:p w14:paraId="2C17BE6E" w14:textId="77777777" w:rsidR="009D4A93" w:rsidRPr="00536CFD" w:rsidRDefault="009D4A93" w:rsidP="009D4A93">
            <w:pPr>
              <w:spacing w:after="0"/>
              <w:jc w:val="center"/>
              <w:rPr>
                <w:lang w:val="zh-CN"/>
              </w:rPr>
            </w:pPr>
            <w:r w:rsidRPr="00536CFD">
              <w:rPr>
                <w:lang w:val="zh-CN"/>
              </w:rPr>
              <w:t>0.03</w:t>
            </w:r>
          </w:p>
        </w:tc>
        <w:tc>
          <w:tcPr>
            <w:tcW w:w="896" w:type="dxa"/>
            <w:tcBorders>
              <w:top w:val="single" w:sz="4" w:space="0" w:color="auto"/>
              <w:left w:val="nil"/>
              <w:bottom w:val="single" w:sz="4" w:space="0" w:color="auto"/>
              <w:right w:val="single" w:sz="4" w:space="0" w:color="auto"/>
            </w:tcBorders>
            <w:shd w:val="clear" w:color="auto" w:fill="auto"/>
            <w:vAlign w:val="bottom"/>
          </w:tcPr>
          <w:p w14:paraId="25F1427A" w14:textId="77777777" w:rsidR="009D4A93" w:rsidRPr="00536CFD" w:rsidRDefault="009D4A93" w:rsidP="009D4A93">
            <w:pPr>
              <w:spacing w:after="0"/>
              <w:jc w:val="center"/>
              <w:rPr>
                <w:lang w:val="zh-CN"/>
              </w:rPr>
            </w:pPr>
            <w:r w:rsidRPr="00536CFD">
              <w:rPr>
                <w:lang w:val="zh-CN"/>
              </w:rPr>
              <w:t>0.1</w:t>
            </w:r>
          </w:p>
        </w:tc>
        <w:tc>
          <w:tcPr>
            <w:tcW w:w="720" w:type="dxa"/>
            <w:tcBorders>
              <w:top w:val="single" w:sz="4" w:space="0" w:color="auto"/>
              <w:left w:val="nil"/>
              <w:bottom w:val="single" w:sz="4" w:space="0" w:color="auto"/>
              <w:right w:val="single" w:sz="4" w:space="0" w:color="auto"/>
            </w:tcBorders>
            <w:shd w:val="clear" w:color="auto" w:fill="auto"/>
            <w:vAlign w:val="bottom"/>
          </w:tcPr>
          <w:p w14:paraId="339004DC" w14:textId="77777777" w:rsidR="009D4A93" w:rsidRPr="00536CFD" w:rsidRDefault="009D4A93" w:rsidP="009D4A93">
            <w:pPr>
              <w:spacing w:after="0"/>
              <w:jc w:val="center"/>
              <w:rPr>
                <w:lang w:val="zh-CN"/>
              </w:rPr>
            </w:pPr>
            <w:r w:rsidRPr="00536CFD">
              <w:rPr>
                <w:lang w:val="zh-CN"/>
              </w:rPr>
              <w:t>10.98</w:t>
            </w:r>
          </w:p>
        </w:tc>
        <w:tc>
          <w:tcPr>
            <w:tcW w:w="720" w:type="dxa"/>
            <w:tcBorders>
              <w:top w:val="single" w:sz="4" w:space="0" w:color="auto"/>
              <w:left w:val="nil"/>
              <w:bottom w:val="single" w:sz="4" w:space="0" w:color="auto"/>
              <w:right w:val="single" w:sz="4" w:space="0" w:color="auto"/>
            </w:tcBorders>
            <w:shd w:val="clear" w:color="auto" w:fill="auto"/>
            <w:vAlign w:val="bottom"/>
          </w:tcPr>
          <w:p w14:paraId="37172ACA" w14:textId="77777777" w:rsidR="009D4A93" w:rsidRPr="00536CFD" w:rsidRDefault="009D4A93" w:rsidP="009D4A93">
            <w:pPr>
              <w:spacing w:after="0"/>
              <w:jc w:val="center"/>
              <w:rPr>
                <w:lang w:val="zh-CN"/>
              </w:rPr>
            </w:pPr>
            <w:r w:rsidRPr="00536CFD">
              <w:rPr>
                <w:lang w:val="zh-CN"/>
              </w:rPr>
              <w:t>33.44</w:t>
            </w:r>
          </w:p>
        </w:tc>
      </w:tr>
      <w:tr w:rsidR="009D4A93" w:rsidRPr="00536CFD" w14:paraId="5FFDCC8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E13615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88A276A"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716DB1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12DEA837" w14:textId="77777777" w:rsidR="009D4A93" w:rsidRPr="00536CFD" w:rsidRDefault="009D4A93" w:rsidP="009D4A93">
            <w:pPr>
              <w:spacing w:after="0"/>
              <w:jc w:val="center"/>
              <w:rPr>
                <w:lang w:val="zh-CN"/>
              </w:rPr>
            </w:pPr>
            <w:r w:rsidRPr="00536CFD">
              <w:rPr>
                <w:lang w:val="zh-CN"/>
              </w:rPr>
              <w:t>62.13</w:t>
            </w:r>
          </w:p>
        </w:tc>
        <w:tc>
          <w:tcPr>
            <w:tcW w:w="720" w:type="dxa"/>
            <w:tcBorders>
              <w:top w:val="single" w:sz="4" w:space="0" w:color="auto"/>
              <w:left w:val="nil"/>
              <w:bottom w:val="single" w:sz="4" w:space="0" w:color="auto"/>
              <w:right w:val="single" w:sz="4" w:space="0" w:color="auto"/>
            </w:tcBorders>
            <w:shd w:val="clear" w:color="auto" w:fill="auto"/>
            <w:vAlign w:val="bottom"/>
          </w:tcPr>
          <w:p w14:paraId="02E810B0" w14:textId="77777777" w:rsidR="009D4A93" w:rsidRPr="00536CFD" w:rsidRDefault="009D4A93" w:rsidP="009D4A93">
            <w:pPr>
              <w:spacing w:after="0"/>
              <w:jc w:val="center"/>
              <w:rPr>
                <w:lang w:val="zh-CN"/>
              </w:rPr>
            </w:pPr>
            <w:r w:rsidRPr="00536CFD">
              <w:rPr>
                <w:lang w:val="zh-CN"/>
              </w:rPr>
              <w:t>69.72</w:t>
            </w:r>
          </w:p>
        </w:tc>
        <w:tc>
          <w:tcPr>
            <w:tcW w:w="720" w:type="dxa"/>
            <w:tcBorders>
              <w:top w:val="single" w:sz="4" w:space="0" w:color="auto"/>
              <w:left w:val="nil"/>
              <w:bottom w:val="single" w:sz="4" w:space="0" w:color="auto"/>
              <w:right w:val="single" w:sz="4" w:space="0" w:color="auto"/>
            </w:tcBorders>
            <w:shd w:val="clear" w:color="auto" w:fill="auto"/>
            <w:vAlign w:val="bottom"/>
          </w:tcPr>
          <w:p w14:paraId="1BD4E716" w14:textId="77777777" w:rsidR="009D4A93" w:rsidRPr="00536CFD" w:rsidRDefault="009D4A93" w:rsidP="009D4A93">
            <w:pPr>
              <w:spacing w:after="0"/>
              <w:jc w:val="center"/>
              <w:rPr>
                <w:lang w:val="zh-CN"/>
              </w:rPr>
            </w:pPr>
            <w:r w:rsidRPr="00536CFD">
              <w:rPr>
                <w:lang w:val="zh-CN"/>
              </w:rPr>
              <w:t>112.84</w:t>
            </w:r>
          </w:p>
        </w:tc>
        <w:tc>
          <w:tcPr>
            <w:tcW w:w="810" w:type="dxa"/>
            <w:tcBorders>
              <w:top w:val="single" w:sz="4" w:space="0" w:color="auto"/>
              <w:left w:val="nil"/>
              <w:bottom w:val="single" w:sz="4" w:space="0" w:color="auto"/>
              <w:right w:val="single" w:sz="4" w:space="0" w:color="auto"/>
            </w:tcBorders>
            <w:shd w:val="clear" w:color="auto" w:fill="auto"/>
            <w:vAlign w:val="bottom"/>
          </w:tcPr>
          <w:p w14:paraId="51B204D8" w14:textId="77777777" w:rsidR="009D4A93" w:rsidRPr="00536CFD" w:rsidRDefault="009D4A93" w:rsidP="009D4A93">
            <w:pPr>
              <w:spacing w:after="0"/>
              <w:jc w:val="center"/>
              <w:rPr>
                <w:lang w:val="zh-CN"/>
              </w:rPr>
            </w:pPr>
            <w:r w:rsidRPr="00536CFD">
              <w:rPr>
                <w:lang w:val="zh-CN"/>
              </w:rPr>
              <w:t>131.13</w:t>
            </w:r>
          </w:p>
        </w:tc>
        <w:tc>
          <w:tcPr>
            <w:tcW w:w="810" w:type="dxa"/>
            <w:tcBorders>
              <w:top w:val="single" w:sz="4" w:space="0" w:color="auto"/>
              <w:left w:val="nil"/>
              <w:bottom w:val="single" w:sz="4" w:space="0" w:color="auto"/>
              <w:right w:val="single" w:sz="4" w:space="0" w:color="auto"/>
            </w:tcBorders>
            <w:shd w:val="clear" w:color="auto" w:fill="auto"/>
            <w:vAlign w:val="bottom"/>
          </w:tcPr>
          <w:p w14:paraId="3570B8BF" w14:textId="77777777" w:rsidR="009D4A93" w:rsidRPr="00536CFD" w:rsidRDefault="009D4A93" w:rsidP="009D4A93">
            <w:pPr>
              <w:spacing w:after="0"/>
              <w:jc w:val="center"/>
              <w:rPr>
                <w:lang w:val="zh-CN"/>
              </w:rPr>
            </w:pPr>
            <w:r w:rsidRPr="00536CFD">
              <w:rPr>
                <w:lang w:val="zh-CN"/>
              </w:rPr>
              <w:t>33.93</w:t>
            </w:r>
          </w:p>
        </w:tc>
        <w:tc>
          <w:tcPr>
            <w:tcW w:w="820" w:type="dxa"/>
            <w:tcBorders>
              <w:top w:val="single" w:sz="4" w:space="0" w:color="auto"/>
              <w:left w:val="nil"/>
              <w:bottom w:val="single" w:sz="4" w:space="0" w:color="auto"/>
              <w:right w:val="single" w:sz="4" w:space="0" w:color="auto"/>
            </w:tcBorders>
            <w:shd w:val="clear" w:color="auto" w:fill="auto"/>
            <w:vAlign w:val="bottom"/>
          </w:tcPr>
          <w:p w14:paraId="406C4EE7" w14:textId="77777777" w:rsidR="009D4A93" w:rsidRPr="00536CFD" w:rsidRDefault="009D4A93" w:rsidP="009D4A93">
            <w:pPr>
              <w:spacing w:after="0"/>
              <w:jc w:val="center"/>
              <w:rPr>
                <w:lang w:val="zh-CN"/>
              </w:rPr>
            </w:pPr>
            <w:r w:rsidRPr="00536CFD">
              <w:rPr>
                <w:lang w:val="zh-CN"/>
              </w:rPr>
              <w:t>49.09</w:t>
            </w:r>
          </w:p>
        </w:tc>
        <w:tc>
          <w:tcPr>
            <w:tcW w:w="800" w:type="dxa"/>
            <w:tcBorders>
              <w:top w:val="single" w:sz="4" w:space="0" w:color="auto"/>
              <w:left w:val="nil"/>
              <w:bottom w:val="single" w:sz="4" w:space="0" w:color="auto"/>
              <w:right w:val="single" w:sz="4" w:space="0" w:color="auto"/>
            </w:tcBorders>
            <w:shd w:val="clear" w:color="auto" w:fill="auto"/>
            <w:vAlign w:val="bottom"/>
          </w:tcPr>
          <w:p w14:paraId="161BD3C1" w14:textId="77777777" w:rsidR="009D4A93" w:rsidRPr="00536CFD" w:rsidRDefault="009D4A93" w:rsidP="009D4A93">
            <w:pPr>
              <w:spacing w:after="0"/>
              <w:jc w:val="center"/>
              <w:rPr>
                <w:lang w:val="zh-CN"/>
              </w:rPr>
            </w:pPr>
            <w:r w:rsidRPr="00536CFD">
              <w:rPr>
                <w:lang w:val="zh-CN"/>
              </w:rPr>
              <w:t>73.86</w:t>
            </w:r>
          </w:p>
        </w:tc>
        <w:tc>
          <w:tcPr>
            <w:tcW w:w="720" w:type="dxa"/>
            <w:tcBorders>
              <w:top w:val="single" w:sz="4" w:space="0" w:color="auto"/>
              <w:left w:val="nil"/>
              <w:bottom w:val="single" w:sz="4" w:space="0" w:color="auto"/>
              <w:right w:val="single" w:sz="4" w:space="0" w:color="auto"/>
            </w:tcBorders>
            <w:shd w:val="clear" w:color="auto" w:fill="auto"/>
            <w:vAlign w:val="bottom"/>
          </w:tcPr>
          <w:p w14:paraId="449752CD" w14:textId="77777777" w:rsidR="009D4A93" w:rsidRPr="00536CFD" w:rsidRDefault="009D4A93" w:rsidP="009D4A93">
            <w:pPr>
              <w:spacing w:after="0"/>
              <w:jc w:val="center"/>
              <w:rPr>
                <w:lang w:val="zh-CN"/>
              </w:rPr>
            </w:pPr>
            <w:r w:rsidRPr="00536CFD">
              <w:rPr>
                <w:lang w:val="zh-CN"/>
              </w:rPr>
              <w:t>112.6</w:t>
            </w:r>
          </w:p>
        </w:tc>
        <w:tc>
          <w:tcPr>
            <w:tcW w:w="724" w:type="dxa"/>
            <w:tcBorders>
              <w:top w:val="single" w:sz="4" w:space="0" w:color="auto"/>
              <w:left w:val="nil"/>
              <w:bottom w:val="single" w:sz="4" w:space="0" w:color="auto"/>
              <w:right w:val="single" w:sz="4" w:space="0" w:color="auto"/>
            </w:tcBorders>
            <w:shd w:val="clear" w:color="auto" w:fill="auto"/>
            <w:vAlign w:val="bottom"/>
          </w:tcPr>
          <w:p w14:paraId="7C506B72" w14:textId="77777777" w:rsidR="009D4A93" w:rsidRPr="00536CFD" w:rsidRDefault="009D4A93" w:rsidP="009D4A93">
            <w:pPr>
              <w:spacing w:after="0"/>
              <w:jc w:val="center"/>
              <w:rPr>
                <w:lang w:val="zh-CN"/>
              </w:rPr>
            </w:pPr>
            <w:r w:rsidRPr="00536CFD">
              <w:rPr>
                <w:lang w:val="zh-CN"/>
              </w:rPr>
              <w:t>24.07</w:t>
            </w:r>
          </w:p>
        </w:tc>
        <w:tc>
          <w:tcPr>
            <w:tcW w:w="896" w:type="dxa"/>
            <w:tcBorders>
              <w:top w:val="single" w:sz="4" w:space="0" w:color="auto"/>
              <w:left w:val="nil"/>
              <w:bottom w:val="single" w:sz="4" w:space="0" w:color="auto"/>
              <w:right w:val="single" w:sz="4" w:space="0" w:color="auto"/>
            </w:tcBorders>
            <w:shd w:val="clear" w:color="auto" w:fill="auto"/>
            <w:vAlign w:val="bottom"/>
          </w:tcPr>
          <w:p w14:paraId="3436E09D" w14:textId="77777777" w:rsidR="009D4A93" w:rsidRPr="00536CFD" w:rsidRDefault="009D4A93" w:rsidP="009D4A93">
            <w:pPr>
              <w:spacing w:after="0"/>
              <w:jc w:val="center"/>
              <w:rPr>
                <w:lang w:val="zh-CN"/>
              </w:rPr>
            </w:pPr>
            <w:r w:rsidRPr="00536CFD">
              <w:rPr>
                <w:lang w:val="zh-CN"/>
              </w:rPr>
              <w:t>37.17</w:t>
            </w:r>
          </w:p>
        </w:tc>
        <w:tc>
          <w:tcPr>
            <w:tcW w:w="720" w:type="dxa"/>
            <w:tcBorders>
              <w:top w:val="single" w:sz="4" w:space="0" w:color="auto"/>
              <w:left w:val="nil"/>
              <w:bottom w:val="single" w:sz="4" w:space="0" w:color="auto"/>
              <w:right w:val="single" w:sz="4" w:space="0" w:color="auto"/>
            </w:tcBorders>
            <w:shd w:val="clear" w:color="auto" w:fill="auto"/>
            <w:vAlign w:val="bottom"/>
          </w:tcPr>
          <w:p w14:paraId="3853A59A" w14:textId="77777777" w:rsidR="009D4A93" w:rsidRPr="00536CFD" w:rsidRDefault="009D4A93" w:rsidP="009D4A93">
            <w:pPr>
              <w:spacing w:after="0"/>
              <w:jc w:val="center"/>
              <w:rPr>
                <w:lang w:val="zh-CN"/>
              </w:rPr>
            </w:pPr>
            <w:r w:rsidRPr="00536CFD">
              <w:rPr>
                <w:lang w:val="zh-CN"/>
              </w:rPr>
              <w:t>52.94</w:t>
            </w:r>
          </w:p>
        </w:tc>
        <w:tc>
          <w:tcPr>
            <w:tcW w:w="720" w:type="dxa"/>
            <w:tcBorders>
              <w:top w:val="single" w:sz="4" w:space="0" w:color="auto"/>
              <w:left w:val="nil"/>
              <w:bottom w:val="single" w:sz="4" w:space="0" w:color="auto"/>
              <w:right w:val="single" w:sz="4" w:space="0" w:color="auto"/>
            </w:tcBorders>
            <w:shd w:val="clear" w:color="auto" w:fill="auto"/>
            <w:vAlign w:val="bottom"/>
          </w:tcPr>
          <w:p w14:paraId="7C04D21E" w14:textId="77777777" w:rsidR="009D4A93" w:rsidRPr="00536CFD" w:rsidRDefault="009D4A93" w:rsidP="009D4A93">
            <w:pPr>
              <w:spacing w:after="0"/>
              <w:jc w:val="center"/>
              <w:rPr>
                <w:lang w:val="zh-CN"/>
              </w:rPr>
            </w:pPr>
            <w:r w:rsidRPr="00536CFD">
              <w:rPr>
                <w:lang w:val="zh-CN"/>
              </w:rPr>
              <w:t>100.38</w:t>
            </w:r>
          </w:p>
        </w:tc>
      </w:tr>
      <w:tr w:rsidR="009D4A93" w:rsidRPr="00536CFD" w14:paraId="5CEC997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69CF63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E9F8B2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9A94C5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6EE1F62C" w14:textId="77777777" w:rsidR="009D4A93" w:rsidRPr="00536CFD" w:rsidRDefault="009D4A93" w:rsidP="009D4A93">
            <w:pPr>
              <w:spacing w:after="0"/>
              <w:jc w:val="center"/>
              <w:rPr>
                <w:lang w:val="zh-CN"/>
              </w:rPr>
            </w:pPr>
            <w:r w:rsidRPr="00536CFD">
              <w:rPr>
                <w:lang w:val="zh-CN"/>
              </w:rPr>
              <w:t>103.57</w:t>
            </w:r>
          </w:p>
        </w:tc>
        <w:tc>
          <w:tcPr>
            <w:tcW w:w="720" w:type="dxa"/>
            <w:tcBorders>
              <w:top w:val="single" w:sz="4" w:space="0" w:color="auto"/>
              <w:left w:val="nil"/>
              <w:bottom w:val="single" w:sz="4" w:space="0" w:color="auto"/>
              <w:right w:val="single" w:sz="4" w:space="0" w:color="auto"/>
            </w:tcBorders>
            <w:shd w:val="clear" w:color="auto" w:fill="auto"/>
            <w:vAlign w:val="bottom"/>
          </w:tcPr>
          <w:p w14:paraId="6DADF715" w14:textId="77777777" w:rsidR="009D4A93" w:rsidRPr="00536CFD" w:rsidRDefault="009D4A93" w:rsidP="009D4A93">
            <w:pPr>
              <w:spacing w:after="0"/>
              <w:jc w:val="center"/>
              <w:rPr>
                <w:lang w:val="zh-CN"/>
              </w:rPr>
            </w:pPr>
            <w:r w:rsidRPr="00536CFD">
              <w:rPr>
                <w:lang w:val="zh-CN"/>
              </w:rPr>
              <w:t>117.82</w:t>
            </w:r>
          </w:p>
        </w:tc>
        <w:tc>
          <w:tcPr>
            <w:tcW w:w="720" w:type="dxa"/>
            <w:tcBorders>
              <w:top w:val="single" w:sz="4" w:space="0" w:color="auto"/>
              <w:left w:val="nil"/>
              <w:bottom w:val="single" w:sz="4" w:space="0" w:color="auto"/>
              <w:right w:val="single" w:sz="4" w:space="0" w:color="auto"/>
            </w:tcBorders>
            <w:shd w:val="clear" w:color="auto" w:fill="auto"/>
            <w:vAlign w:val="bottom"/>
          </w:tcPr>
          <w:p w14:paraId="45ECDFA2" w14:textId="77777777" w:rsidR="009D4A93" w:rsidRPr="00536CFD" w:rsidRDefault="009D4A93" w:rsidP="009D4A93">
            <w:pPr>
              <w:spacing w:after="0"/>
              <w:jc w:val="center"/>
              <w:rPr>
                <w:lang w:val="zh-CN"/>
              </w:rPr>
            </w:pPr>
            <w:r w:rsidRPr="00536CFD">
              <w:rPr>
                <w:lang w:val="zh-CN"/>
              </w:rPr>
              <w:t>150.09</w:t>
            </w:r>
          </w:p>
        </w:tc>
        <w:tc>
          <w:tcPr>
            <w:tcW w:w="810" w:type="dxa"/>
            <w:tcBorders>
              <w:top w:val="single" w:sz="4" w:space="0" w:color="auto"/>
              <w:left w:val="nil"/>
              <w:bottom w:val="single" w:sz="4" w:space="0" w:color="auto"/>
              <w:right w:val="single" w:sz="4" w:space="0" w:color="auto"/>
            </w:tcBorders>
            <w:shd w:val="clear" w:color="auto" w:fill="auto"/>
            <w:vAlign w:val="bottom"/>
          </w:tcPr>
          <w:p w14:paraId="2B4C1F32" w14:textId="77777777" w:rsidR="009D4A93" w:rsidRPr="00536CFD" w:rsidRDefault="009D4A93" w:rsidP="009D4A93">
            <w:pPr>
              <w:spacing w:after="0"/>
              <w:jc w:val="center"/>
              <w:rPr>
                <w:lang w:val="zh-CN"/>
              </w:rPr>
            </w:pPr>
            <w:r w:rsidRPr="00536CFD">
              <w:rPr>
                <w:lang w:val="zh-CN"/>
              </w:rPr>
              <w:t>160.99</w:t>
            </w:r>
          </w:p>
        </w:tc>
        <w:tc>
          <w:tcPr>
            <w:tcW w:w="810" w:type="dxa"/>
            <w:tcBorders>
              <w:top w:val="single" w:sz="4" w:space="0" w:color="auto"/>
              <w:left w:val="nil"/>
              <w:bottom w:val="single" w:sz="4" w:space="0" w:color="auto"/>
              <w:right w:val="single" w:sz="4" w:space="0" w:color="auto"/>
            </w:tcBorders>
            <w:shd w:val="clear" w:color="auto" w:fill="auto"/>
            <w:vAlign w:val="bottom"/>
          </w:tcPr>
          <w:p w14:paraId="225596BC" w14:textId="77777777" w:rsidR="009D4A93" w:rsidRPr="00536CFD" w:rsidRDefault="009D4A93" w:rsidP="009D4A93">
            <w:pPr>
              <w:spacing w:after="0"/>
              <w:jc w:val="center"/>
              <w:rPr>
                <w:lang w:val="zh-CN"/>
              </w:rPr>
            </w:pPr>
            <w:r w:rsidRPr="00536CFD">
              <w:rPr>
                <w:lang w:val="zh-CN"/>
              </w:rPr>
              <w:t>73.5</w:t>
            </w:r>
          </w:p>
        </w:tc>
        <w:tc>
          <w:tcPr>
            <w:tcW w:w="820" w:type="dxa"/>
            <w:tcBorders>
              <w:top w:val="single" w:sz="4" w:space="0" w:color="auto"/>
              <w:left w:val="nil"/>
              <w:bottom w:val="single" w:sz="4" w:space="0" w:color="auto"/>
              <w:right w:val="single" w:sz="4" w:space="0" w:color="auto"/>
            </w:tcBorders>
            <w:shd w:val="clear" w:color="auto" w:fill="auto"/>
            <w:vAlign w:val="bottom"/>
          </w:tcPr>
          <w:p w14:paraId="48846E68" w14:textId="77777777" w:rsidR="009D4A93" w:rsidRPr="00536CFD" w:rsidRDefault="009D4A93" w:rsidP="009D4A93">
            <w:pPr>
              <w:spacing w:after="0"/>
              <w:jc w:val="center"/>
              <w:rPr>
                <w:lang w:val="zh-CN"/>
              </w:rPr>
            </w:pPr>
            <w:r w:rsidRPr="00536CFD">
              <w:rPr>
                <w:lang w:val="zh-CN"/>
              </w:rPr>
              <w:t>95.04</w:t>
            </w:r>
          </w:p>
        </w:tc>
        <w:tc>
          <w:tcPr>
            <w:tcW w:w="800" w:type="dxa"/>
            <w:tcBorders>
              <w:top w:val="single" w:sz="4" w:space="0" w:color="auto"/>
              <w:left w:val="nil"/>
              <w:bottom w:val="single" w:sz="4" w:space="0" w:color="auto"/>
              <w:right w:val="single" w:sz="4" w:space="0" w:color="auto"/>
            </w:tcBorders>
            <w:shd w:val="clear" w:color="auto" w:fill="auto"/>
            <w:vAlign w:val="bottom"/>
          </w:tcPr>
          <w:p w14:paraId="1B8C69E5" w14:textId="77777777" w:rsidR="009D4A93" w:rsidRPr="00536CFD" w:rsidRDefault="009D4A93" w:rsidP="009D4A93">
            <w:pPr>
              <w:spacing w:after="0"/>
              <w:jc w:val="center"/>
              <w:rPr>
                <w:lang w:val="zh-CN"/>
              </w:rPr>
            </w:pPr>
            <w:r w:rsidRPr="00536CFD">
              <w:rPr>
                <w:lang w:val="zh-CN"/>
              </w:rPr>
              <w:t>129.4</w:t>
            </w:r>
          </w:p>
        </w:tc>
        <w:tc>
          <w:tcPr>
            <w:tcW w:w="720" w:type="dxa"/>
            <w:tcBorders>
              <w:top w:val="single" w:sz="4" w:space="0" w:color="auto"/>
              <w:left w:val="nil"/>
              <w:bottom w:val="single" w:sz="4" w:space="0" w:color="auto"/>
              <w:right w:val="single" w:sz="4" w:space="0" w:color="auto"/>
            </w:tcBorders>
            <w:shd w:val="clear" w:color="auto" w:fill="auto"/>
            <w:vAlign w:val="bottom"/>
          </w:tcPr>
          <w:p w14:paraId="74C72F0F" w14:textId="77777777" w:rsidR="009D4A93" w:rsidRPr="00536CFD" w:rsidRDefault="009D4A93" w:rsidP="009D4A93">
            <w:pPr>
              <w:spacing w:after="0"/>
              <w:jc w:val="center"/>
              <w:rPr>
                <w:lang w:val="zh-CN"/>
              </w:rPr>
            </w:pPr>
            <w:r w:rsidRPr="00536CFD">
              <w:rPr>
                <w:lang w:val="zh-CN"/>
              </w:rPr>
              <w:t>148.55</w:t>
            </w:r>
          </w:p>
        </w:tc>
        <w:tc>
          <w:tcPr>
            <w:tcW w:w="724" w:type="dxa"/>
            <w:tcBorders>
              <w:top w:val="single" w:sz="4" w:space="0" w:color="auto"/>
              <w:left w:val="nil"/>
              <w:bottom w:val="single" w:sz="4" w:space="0" w:color="auto"/>
              <w:right w:val="single" w:sz="4" w:space="0" w:color="auto"/>
            </w:tcBorders>
            <w:shd w:val="clear" w:color="auto" w:fill="auto"/>
            <w:vAlign w:val="bottom"/>
          </w:tcPr>
          <w:p w14:paraId="18654D7C" w14:textId="77777777" w:rsidR="009D4A93" w:rsidRPr="00536CFD" w:rsidRDefault="009D4A93" w:rsidP="009D4A93">
            <w:pPr>
              <w:spacing w:after="0"/>
              <w:jc w:val="center"/>
              <w:rPr>
                <w:lang w:val="zh-CN"/>
              </w:rPr>
            </w:pPr>
            <w:r w:rsidRPr="00536CFD">
              <w:rPr>
                <w:lang w:val="zh-CN"/>
              </w:rPr>
              <w:t>61.69</w:t>
            </w:r>
          </w:p>
        </w:tc>
        <w:tc>
          <w:tcPr>
            <w:tcW w:w="896" w:type="dxa"/>
            <w:tcBorders>
              <w:top w:val="single" w:sz="4" w:space="0" w:color="auto"/>
              <w:left w:val="nil"/>
              <w:bottom w:val="single" w:sz="4" w:space="0" w:color="auto"/>
              <w:right w:val="single" w:sz="4" w:space="0" w:color="auto"/>
            </w:tcBorders>
            <w:shd w:val="clear" w:color="auto" w:fill="auto"/>
            <w:vAlign w:val="bottom"/>
          </w:tcPr>
          <w:p w14:paraId="015A4B6B" w14:textId="77777777" w:rsidR="009D4A93" w:rsidRPr="00536CFD" w:rsidRDefault="009D4A93" w:rsidP="009D4A93">
            <w:pPr>
              <w:spacing w:after="0"/>
              <w:jc w:val="center"/>
              <w:rPr>
                <w:lang w:val="zh-CN"/>
              </w:rPr>
            </w:pPr>
            <w:r w:rsidRPr="00536CFD">
              <w:rPr>
                <w:lang w:val="zh-CN"/>
              </w:rPr>
              <w:t>88.23</w:t>
            </w:r>
          </w:p>
        </w:tc>
        <w:tc>
          <w:tcPr>
            <w:tcW w:w="720" w:type="dxa"/>
            <w:tcBorders>
              <w:top w:val="single" w:sz="4" w:space="0" w:color="auto"/>
              <w:left w:val="nil"/>
              <w:bottom w:val="single" w:sz="4" w:space="0" w:color="auto"/>
              <w:right w:val="single" w:sz="4" w:space="0" w:color="auto"/>
            </w:tcBorders>
            <w:shd w:val="clear" w:color="auto" w:fill="auto"/>
            <w:vAlign w:val="bottom"/>
          </w:tcPr>
          <w:p w14:paraId="000BF249" w14:textId="77777777" w:rsidR="009D4A93" w:rsidRPr="00536CFD" w:rsidRDefault="009D4A93" w:rsidP="009D4A93">
            <w:pPr>
              <w:spacing w:after="0"/>
              <w:jc w:val="center"/>
              <w:rPr>
                <w:lang w:val="zh-CN"/>
              </w:rPr>
            </w:pPr>
            <w:r w:rsidRPr="00536CFD">
              <w:rPr>
                <w:lang w:val="zh-CN"/>
              </w:rPr>
              <w:t>113.94</w:t>
            </w:r>
          </w:p>
        </w:tc>
        <w:tc>
          <w:tcPr>
            <w:tcW w:w="720" w:type="dxa"/>
            <w:tcBorders>
              <w:top w:val="single" w:sz="4" w:space="0" w:color="auto"/>
              <w:left w:val="nil"/>
              <w:bottom w:val="single" w:sz="4" w:space="0" w:color="auto"/>
              <w:right w:val="single" w:sz="4" w:space="0" w:color="auto"/>
            </w:tcBorders>
            <w:shd w:val="clear" w:color="auto" w:fill="auto"/>
            <w:vAlign w:val="bottom"/>
          </w:tcPr>
          <w:p w14:paraId="655A86A7" w14:textId="77777777" w:rsidR="009D4A93" w:rsidRPr="00536CFD" w:rsidRDefault="009D4A93" w:rsidP="009D4A93">
            <w:pPr>
              <w:spacing w:after="0"/>
              <w:jc w:val="center"/>
              <w:rPr>
                <w:lang w:val="zh-CN"/>
              </w:rPr>
            </w:pPr>
            <w:r w:rsidRPr="00536CFD">
              <w:rPr>
                <w:lang w:val="zh-CN"/>
              </w:rPr>
              <w:t>140.78</w:t>
            </w:r>
          </w:p>
        </w:tc>
      </w:tr>
      <w:tr w:rsidR="009D4A93" w:rsidRPr="00536CFD" w14:paraId="518B124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BC8EB1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5EF77F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ED9475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6093D3C9" w14:textId="77777777" w:rsidR="009D4A93" w:rsidRPr="00536CFD" w:rsidRDefault="009D4A93" w:rsidP="009D4A93">
            <w:pPr>
              <w:spacing w:after="0"/>
              <w:jc w:val="center"/>
              <w:rPr>
                <w:lang w:val="zh-CN"/>
              </w:rPr>
            </w:pPr>
            <w:r w:rsidRPr="00536CFD">
              <w:rPr>
                <w:lang w:val="zh-CN"/>
              </w:rPr>
              <w:t>61.52</w:t>
            </w:r>
          </w:p>
        </w:tc>
        <w:tc>
          <w:tcPr>
            <w:tcW w:w="720" w:type="dxa"/>
            <w:tcBorders>
              <w:top w:val="single" w:sz="4" w:space="0" w:color="auto"/>
              <w:left w:val="nil"/>
              <w:bottom w:val="single" w:sz="4" w:space="0" w:color="auto"/>
              <w:right w:val="single" w:sz="4" w:space="0" w:color="auto"/>
            </w:tcBorders>
            <w:shd w:val="clear" w:color="auto" w:fill="auto"/>
            <w:vAlign w:val="bottom"/>
          </w:tcPr>
          <w:p w14:paraId="2230C2C7" w14:textId="77777777" w:rsidR="009D4A93" w:rsidRPr="00536CFD" w:rsidRDefault="009D4A93" w:rsidP="009D4A93">
            <w:pPr>
              <w:spacing w:after="0"/>
              <w:jc w:val="center"/>
              <w:rPr>
                <w:lang w:val="zh-CN"/>
              </w:rPr>
            </w:pPr>
            <w:r w:rsidRPr="00536CFD">
              <w:rPr>
                <w:lang w:val="zh-CN"/>
              </w:rPr>
              <w:t>70.21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43AD1054" w14:textId="77777777" w:rsidR="009D4A93" w:rsidRPr="00536CFD" w:rsidRDefault="009D4A93" w:rsidP="009D4A93">
            <w:pPr>
              <w:spacing w:after="0"/>
              <w:jc w:val="center"/>
              <w:rPr>
                <w:lang w:val="zh-CN"/>
              </w:rPr>
            </w:pPr>
            <w:r w:rsidRPr="00536CFD">
              <w:rPr>
                <w:lang w:val="zh-CN"/>
              </w:rPr>
              <w:t>107.6</w:t>
            </w:r>
          </w:p>
        </w:tc>
        <w:tc>
          <w:tcPr>
            <w:tcW w:w="810" w:type="dxa"/>
            <w:tcBorders>
              <w:top w:val="single" w:sz="4" w:space="0" w:color="auto"/>
              <w:left w:val="nil"/>
              <w:bottom w:val="single" w:sz="4" w:space="0" w:color="auto"/>
              <w:right w:val="single" w:sz="4" w:space="0" w:color="auto"/>
            </w:tcBorders>
            <w:shd w:val="clear" w:color="auto" w:fill="auto"/>
            <w:vAlign w:val="bottom"/>
          </w:tcPr>
          <w:p w14:paraId="61583DA8" w14:textId="77777777" w:rsidR="009D4A93" w:rsidRPr="00536CFD" w:rsidRDefault="009D4A93" w:rsidP="009D4A93">
            <w:pPr>
              <w:spacing w:after="0"/>
              <w:jc w:val="center"/>
              <w:rPr>
                <w:lang w:val="zh-CN"/>
              </w:rPr>
            </w:pPr>
            <w:r w:rsidRPr="00536CFD">
              <w:rPr>
                <w:lang w:val="zh-CN"/>
              </w:rPr>
              <w:t>121.67</w:t>
            </w:r>
          </w:p>
        </w:tc>
        <w:tc>
          <w:tcPr>
            <w:tcW w:w="810" w:type="dxa"/>
            <w:tcBorders>
              <w:top w:val="single" w:sz="4" w:space="0" w:color="auto"/>
              <w:left w:val="nil"/>
              <w:bottom w:val="single" w:sz="4" w:space="0" w:color="auto"/>
              <w:right w:val="single" w:sz="4" w:space="0" w:color="auto"/>
            </w:tcBorders>
            <w:shd w:val="clear" w:color="auto" w:fill="auto"/>
            <w:vAlign w:val="bottom"/>
          </w:tcPr>
          <w:p w14:paraId="11423964" w14:textId="77777777" w:rsidR="009D4A93" w:rsidRPr="00536CFD" w:rsidRDefault="009D4A93" w:rsidP="009D4A93">
            <w:pPr>
              <w:spacing w:after="0"/>
              <w:jc w:val="center"/>
              <w:rPr>
                <w:lang w:val="zh-CN"/>
              </w:rPr>
            </w:pPr>
            <w:r w:rsidRPr="00536CFD">
              <w:rPr>
                <w:lang w:val="zh-CN"/>
              </w:rPr>
              <w:t>36.78</w:t>
            </w:r>
          </w:p>
        </w:tc>
        <w:tc>
          <w:tcPr>
            <w:tcW w:w="820" w:type="dxa"/>
            <w:tcBorders>
              <w:top w:val="single" w:sz="4" w:space="0" w:color="auto"/>
              <w:left w:val="nil"/>
              <w:bottom w:val="single" w:sz="4" w:space="0" w:color="auto"/>
              <w:right w:val="single" w:sz="4" w:space="0" w:color="auto"/>
            </w:tcBorders>
            <w:shd w:val="clear" w:color="auto" w:fill="auto"/>
            <w:vAlign w:val="bottom"/>
          </w:tcPr>
          <w:p w14:paraId="34A05F43" w14:textId="77777777" w:rsidR="009D4A93" w:rsidRPr="00536CFD" w:rsidRDefault="009D4A93" w:rsidP="009D4A93">
            <w:pPr>
              <w:spacing w:after="0"/>
              <w:jc w:val="center"/>
              <w:rPr>
                <w:lang w:val="zh-CN"/>
              </w:rPr>
            </w:pPr>
            <w:r w:rsidRPr="00536CFD">
              <w:rPr>
                <w:lang w:val="zh-CN"/>
              </w:rPr>
              <w:t>50.85</w:t>
            </w:r>
          </w:p>
        </w:tc>
        <w:tc>
          <w:tcPr>
            <w:tcW w:w="800" w:type="dxa"/>
            <w:tcBorders>
              <w:top w:val="single" w:sz="4" w:space="0" w:color="auto"/>
              <w:left w:val="nil"/>
              <w:bottom w:val="single" w:sz="4" w:space="0" w:color="auto"/>
              <w:right w:val="single" w:sz="4" w:space="0" w:color="auto"/>
            </w:tcBorders>
            <w:shd w:val="clear" w:color="auto" w:fill="auto"/>
            <w:vAlign w:val="bottom"/>
          </w:tcPr>
          <w:p w14:paraId="07734E15" w14:textId="77777777" w:rsidR="009D4A93" w:rsidRPr="00536CFD" w:rsidRDefault="009D4A93" w:rsidP="009D4A93">
            <w:pPr>
              <w:spacing w:after="0"/>
              <w:jc w:val="center"/>
              <w:rPr>
                <w:lang w:val="zh-CN"/>
              </w:rPr>
            </w:pPr>
            <w:r w:rsidRPr="00536CFD">
              <w:rPr>
                <w:lang w:val="zh-CN"/>
              </w:rPr>
              <w:t>73.52</w:t>
            </w:r>
          </w:p>
        </w:tc>
        <w:tc>
          <w:tcPr>
            <w:tcW w:w="720" w:type="dxa"/>
            <w:tcBorders>
              <w:top w:val="single" w:sz="4" w:space="0" w:color="auto"/>
              <w:left w:val="nil"/>
              <w:bottom w:val="single" w:sz="4" w:space="0" w:color="auto"/>
              <w:right w:val="single" w:sz="4" w:space="0" w:color="auto"/>
            </w:tcBorders>
            <w:shd w:val="clear" w:color="auto" w:fill="auto"/>
            <w:vAlign w:val="bottom"/>
          </w:tcPr>
          <w:p w14:paraId="6D872CB4" w14:textId="77777777" w:rsidR="009D4A93" w:rsidRPr="00536CFD" w:rsidRDefault="009D4A93" w:rsidP="009D4A93">
            <w:pPr>
              <w:spacing w:after="0"/>
              <w:jc w:val="center"/>
              <w:rPr>
                <w:lang w:val="zh-CN"/>
              </w:rPr>
            </w:pPr>
            <w:r w:rsidRPr="00536CFD">
              <w:rPr>
                <w:lang w:val="zh-CN"/>
              </w:rPr>
              <w:t>105.14</w:t>
            </w:r>
          </w:p>
        </w:tc>
        <w:tc>
          <w:tcPr>
            <w:tcW w:w="724" w:type="dxa"/>
            <w:tcBorders>
              <w:top w:val="single" w:sz="4" w:space="0" w:color="auto"/>
              <w:left w:val="nil"/>
              <w:bottom w:val="single" w:sz="4" w:space="0" w:color="auto"/>
              <w:right w:val="single" w:sz="4" w:space="0" w:color="auto"/>
            </w:tcBorders>
            <w:shd w:val="clear" w:color="auto" w:fill="auto"/>
            <w:vAlign w:val="bottom"/>
          </w:tcPr>
          <w:p w14:paraId="75CAF49E" w14:textId="77777777" w:rsidR="009D4A93" w:rsidRPr="00536CFD" w:rsidRDefault="009D4A93" w:rsidP="009D4A93">
            <w:pPr>
              <w:spacing w:after="0"/>
              <w:jc w:val="center"/>
              <w:rPr>
                <w:lang w:val="zh-CN"/>
              </w:rPr>
            </w:pPr>
            <w:r w:rsidRPr="00536CFD">
              <w:rPr>
                <w:lang w:val="zh-CN"/>
              </w:rPr>
              <w:t>26.02</w:t>
            </w:r>
          </w:p>
        </w:tc>
        <w:tc>
          <w:tcPr>
            <w:tcW w:w="896" w:type="dxa"/>
            <w:tcBorders>
              <w:top w:val="single" w:sz="4" w:space="0" w:color="auto"/>
              <w:left w:val="nil"/>
              <w:bottom w:val="single" w:sz="4" w:space="0" w:color="auto"/>
              <w:right w:val="single" w:sz="4" w:space="0" w:color="auto"/>
            </w:tcBorders>
            <w:shd w:val="clear" w:color="auto" w:fill="auto"/>
            <w:vAlign w:val="bottom"/>
          </w:tcPr>
          <w:p w14:paraId="06173BBA" w14:textId="77777777" w:rsidR="009D4A93" w:rsidRPr="00536CFD" w:rsidRDefault="009D4A93" w:rsidP="009D4A93">
            <w:pPr>
              <w:spacing w:after="0"/>
              <w:jc w:val="center"/>
              <w:rPr>
                <w:lang w:val="zh-CN"/>
              </w:rPr>
            </w:pPr>
            <w:r w:rsidRPr="00536CFD">
              <w:rPr>
                <w:lang w:val="zh-CN"/>
              </w:rPr>
              <w:t>41.08</w:t>
            </w:r>
          </w:p>
        </w:tc>
        <w:tc>
          <w:tcPr>
            <w:tcW w:w="720" w:type="dxa"/>
            <w:tcBorders>
              <w:top w:val="single" w:sz="4" w:space="0" w:color="auto"/>
              <w:left w:val="nil"/>
              <w:bottom w:val="single" w:sz="4" w:space="0" w:color="auto"/>
              <w:right w:val="single" w:sz="4" w:space="0" w:color="auto"/>
            </w:tcBorders>
            <w:shd w:val="clear" w:color="auto" w:fill="auto"/>
            <w:vAlign w:val="bottom"/>
          </w:tcPr>
          <w:p w14:paraId="445AF875" w14:textId="77777777" w:rsidR="009D4A93" w:rsidRPr="00536CFD" w:rsidRDefault="009D4A93" w:rsidP="009D4A93">
            <w:pPr>
              <w:spacing w:after="0"/>
              <w:jc w:val="center"/>
              <w:rPr>
                <w:lang w:val="zh-CN"/>
              </w:rPr>
            </w:pPr>
            <w:r w:rsidRPr="00536CFD">
              <w:rPr>
                <w:lang w:val="zh-CN"/>
              </w:rPr>
              <w:t>56.19</w:t>
            </w:r>
          </w:p>
        </w:tc>
        <w:tc>
          <w:tcPr>
            <w:tcW w:w="720" w:type="dxa"/>
            <w:tcBorders>
              <w:top w:val="single" w:sz="4" w:space="0" w:color="auto"/>
              <w:left w:val="nil"/>
              <w:bottom w:val="single" w:sz="4" w:space="0" w:color="auto"/>
              <w:right w:val="single" w:sz="4" w:space="0" w:color="auto"/>
            </w:tcBorders>
            <w:shd w:val="clear" w:color="auto" w:fill="auto"/>
            <w:vAlign w:val="bottom"/>
          </w:tcPr>
          <w:p w14:paraId="70FA6895" w14:textId="77777777" w:rsidR="009D4A93" w:rsidRPr="00536CFD" w:rsidRDefault="009D4A93" w:rsidP="009D4A93">
            <w:pPr>
              <w:spacing w:after="0"/>
              <w:jc w:val="center"/>
              <w:rPr>
                <w:lang w:val="zh-CN"/>
              </w:rPr>
            </w:pPr>
            <w:r w:rsidRPr="00536CFD">
              <w:rPr>
                <w:lang w:val="zh-CN"/>
              </w:rPr>
              <w:t>96.02</w:t>
            </w:r>
          </w:p>
        </w:tc>
      </w:tr>
      <w:tr w:rsidR="009D4A93" w:rsidRPr="00536CFD" w14:paraId="2C3E85F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F498BF4"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238AFF2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266A9FF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638837D9"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7BD36D99" w14:textId="77777777" w:rsidR="009D4A93" w:rsidRPr="00536CFD" w:rsidRDefault="009D4A93" w:rsidP="009D4A93">
            <w:pPr>
              <w:spacing w:after="0"/>
              <w:jc w:val="center"/>
              <w:rPr>
                <w:lang w:val="zh-CN"/>
              </w:rPr>
            </w:pPr>
            <w:r w:rsidRPr="00536CFD">
              <w:rPr>
                <w:lang w:val="zh-CN"/>
              </w:rPr>
              <w:t>0.026</w:t>
            </w:r>
          </w:p>
        </w:tc>
        <w:tc>
          <w:tcPr>
            <w:tcW w:w="720" w:type="dxa"/>
            <w:tcBorders>
              <w:top w:val="single" w:sz="4" w:space="0" w:color="auto"/>
              <w:left w:val="nil"/>
              <w:bottom w:val="single" w:sz="4" w:space="0" w:color="auto"/>
              <w:right w:val="single" w:sz="4" w:space="0" w:color="auto"/>
            </w:tcBorders>
            <w:shd w:val="clear" w:color="auto" w:fill="auto"/>
            <w:vAlign w:val="bottom"/>
          </w:tcPr>
          <w:p w14:paraId="79208AC1"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vAlign w:val="bottom"/>
          </w:tcPr>
          <w:p w14:paraId="7077F7D6"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vAlign w:val="bottom"/>
          </w:tcPr>
          <w:p w14:paraId="456BB1F8" w14:textId="77777777" w:rsidR="009D4A93" w:rsidRPr="00536CFD" w:rsidRDefault="009D4A93" w:rsidP="009D4A93">
            <w:pPr>
              <w:spacing w:after="0"/>
              <w:jc w:val="center"/>
              <w:rPr>
                <w:lang w:val="zh-CN"/>
              </w:rPr>
            </w:pPr>
            <w:r w:rsidRPr="00536CFD">
              <w:rPr>
                <w:lang w:val="zh-CN"/>
              </w:rPr>
              <w:t>0.034</w:t>
            </w:r>
          </w:p>
        </w:tc>
        <w:tc>
          <w:tcPr>
            <w:tcW w:w="820" w:type="dxa"/>
            <w:tcBorders>
              <w:top w:val="single" w:sz="4" w:space="0" w:color="auto"/>
              <w:left w:val="nil"/>
              <w:bottom w:val="single" w:sz="4" w:space="0" w:color="auto"/>
              <w:right w:val="single" w:sz="4" w:space="0" w:color="auto"/>
            </w:tcBorders>
            <w:shd w:val="clear" w:color="auto" w:fill="auto"/>
            <w:vAlign w:val="bottom"/>
          </w:tcPr>
          <w:p w14:paraId="4F976038" w14:textId="77777777" w:rsidR="009D4A93" w:rsidRPr="00536CFD" w:rsidRDefault="009D4A93" w:rsidP="009D4A93">
            <w:pPr>
              <w:spacing w:after="0"/>
              <w:jc w:val="center"/>
              <w:rPr>
                <w:lang w:val="zh-CN"/>
              </w:rPr>
            </w:pPr>
            <w:r w:rsidRPr="00536CFD">
              <w:rPr>
                <w:lang w:val="zh-CN"/>
              </w:rPr>
              <w:t>0.03</w:t>
            </w:r>
          </w:p>
        </w:tc>
        <w:tc>
          <w:tcPr>
            <w:tcW w:w="800" w:type="dxa"/>
            <w:tcBorders>
              <w:top w:val="single" w:sz="4" w:space="0" w:color="auto"/>
              <w:left w:val="nil"/>
              <w:bottom w:val="single" w:sz="4" w:space="0" w:color="auto"/>
              <w:right w:val="single" w:sz="4" w:space="0" w:color="auto"/>
            </w:tcBorders>
            <w:shd w:val="clear" w:color="auto" w:fill="auto"/>
            <w:vAlign w:val="bottom"/>
          </w:tcPr>
          <w:p w14:paraId="7D53181C"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77D0ED38" w14:textId="77777777" w:rsidR="009D4A93" w:rsidRPr="00536CFD" w:rsidRDefault="009D4A93" w:rsidP="009D4A93">
            <w:pPr>
              <w:spacing w:after="0"/>
              <w:jc w:val="center"/>
              <w:rPr>
                <w:lang w:val="zh-CN"/>
              </w:rPr>
            </w:pPr>
            <w:r w:rsidRPr="00536CFD">
              <w:rPr>
                <w:lang w:val="zh-CN"/>
              </w:rPr>
              <w:t>0.021</w:t>
            </w:r>
          </w:p>
        </w:tc>
        <w:tc>
          <w:tcPr>
            <w:tcW w:w="724" w:type="dxa"/>
            <w:tcBorders>
              <w:top w:val="single" w:sz="4" w:space="0" w:color="auto"/>
              <w:left w:val="nil"/>
              <w:bottom w:val="single" w:sz="4" w:space="0" w:color="auto"/>
              <w:right w:val="single" w:sz="4" w:space="0" w:color="auto"/>
            </w:tcBorders>
            <w:shd w:val="clear" w:color="auto" w:fill="auto"/>
            <w:vAlign w:val="bottom"/>
          </w:tcPr>
          <w:p w14:paraId="252971B6" w14:textId="77777777" w:rsidR="009D4A93" w:rsidRPr="00536CFD" w:rsidRDefault="009D4A93" w:rsidP="009D4A93">
            <w:pPr>
              <w:spacing w:after="0"/>
              <w:jc w:val="center"/>
              <w:rPr>
                <w:lang w:val="zh-CN"/>
              </w:rPr>
            </w:pPr>
            <w:r w:rsidRPr="00536CFD">
              <w:rPr>
                <w:lang w:val="zh-CN"/>
              </w:rPr>
              <w:t>0.042</w:t>
            </w:r>
          </w:p>
        </w:tc>
        <w:tc>
          <w:tcPr>
            <w:tcW w:w="896" w:type="dxa"/>
            <w:tcBorders>
              <w:top w:val="single" w:sz="4" w:space="0" w:color="auto"/>
              <w:left w:val="nil"/>
              <w:bottom w:val="single" w:sz="4" w:space="0" w:color="auto"/>
              <w:right w:val="single" w:sz="4" w:space="0" w:color="auto"/>
            </w:tcBorders>
            <w:shd w:val="clear" w:color="auto" w:fill="auto"/>
            <w:vAlign w:val="bottom"/>
          </w:tcPr>
          <w:p w14:paraId="41FC0A0A" w14:textId="77777777" w:rsidR="009D4A93" w:rsidRPr="00536CFD" w:rsidRDefault="009D4A93" w:rsidP="009D4A93">
            <w:pPr>
              <w:spacing w:after="0"/>
              <w:jc w:val="center"/>
              <w:rPr>
                <w:lang w:val="zh-CN"/>
              </w:rPr>
            </w:pPr>
            <w:r w:rsidRPr="00536CFD">
              <w:rPr>
                <w:lang w:val="zh-CN"/>
              </w:rPr>
              <w:t>0.032</w:t>
            </w:r>
          </w:p>
        </w:tc>
        <w:tc>
          <w:tcPr>
            <w:tcW w:w="720" w:type="dxa"/>
            <w:tcBorders>
              <w:top w:val="single" w:sz="4" w:space="0" w:color="auto"/>
              <w:left w:val="nil"/>
              <w:bottom w:val="single" w:sz="4" w:space="0" w:color="auto"/>
              <w:right w:val="single" w:sz="4" w:space="0" w:color="auto"/>
            </w:tcBorders>
            <w:shd w:val="clear" w:color="auto" w:fill="auto"/>
            <w:vAlign w:val="bottom"/>
          </w:tcPr>
          <w:p w14:paraId="7D1A00F0" w14:textId="77777777" w:rsidR="009D4A93" w:rsidRPr="00536CFD" w:rsidRDefault="009D4A93" w:rsidP="009D4A93">
            <w:pPr>
              <w:spacing w:after="0"/>
              <w:jc w:val="center"/>
              <w:rPr>
                <w:lang w:val="zh-CN"/>
              </w:rPr>
            </w:pPr>
            <w:r w:rsidRPr="00536CFD">
              <w:rPr>
                <w:lang w:val="zh-CN"/>
              </w:rPr>
              <w:t>0.022</w:t>
            </w:r>
          </w:p>
        </w:tc>
        <w:tc>
          <w:tcPr>
            <w:tcW w:w="720" w:type="dxa"/>
            <w:tcBorders>
              <w:top w:val="single" w:sz="4" w:space="0" w:color="auto"/>
              <w:left w:val="nil"/>
              <w:bottom w:val="single" w:sz="4" w:space="0" w:color="auto"/>
              <w:right w:val="single" w:sz="4" w:space="0" w:color="auto"/>
            </w:tcBorders>
            <w:shd w:val="clear" w:color="auto" w:fill="auto"/>
            <w:vAlign w:val="bottom"/>
          </w:tcPr>
          <w:p w14:paraId="69A2F930" w14:textId="77777777" w:rsidR="009D4A93" w:rsidRPr="00536CFD" w:rsidRDefault="009D4A93" w:rsidP="009D4A93">
            <w:pPr>
              <w:spacing w:after="0"/>
              <w:jc w:val="center"/>
              <w:rPr>
                <w:lang w:val="zh-CN"/>
              </w:rPr>
            </w:pPr>
            <w:r w:rsidRPr="00536CFD">
              <w:rPr>
                <w:lang w:val="zh-CN"/>
              </w:rPr>
              <w:t>0.021</w:t>
            </w:r>
          </w:p>
        </w:tc>
      </w:tr>
      <w:tr w:rsidR="009D4A93" w:rsidRPr="00536CFD" w14:paraId="056A13C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5A66BA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C7C1F5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0CA047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311A6994" w14:textId="77777777" w:rsidR="009D4A93" w:rsidRPr="00536CFD" w:rsidRDefault="009D4A93" w:rsidP="009D4A93">
            <w:pPr>
              <w:spacing w:after="0"/>
              <w:jc w:val="center"/>
              <w:rPr>
                <w:lang w:val="zh-CN"/>
              </w:rPr>
            </w:pPr>
            <w:r w:rsidRPr="00536CFD">
              <w:rPr>
                <w:lang w:val="zh-CN"/>
              </w:rPr>
              <w:t>0.074</w:t>
            </w:r>
          </w:p>
        </w:tc>
        <w:tc>
          <w:tcPr>
            <w:tcW w:w="720" w:type="dxa"/>
            <w:tcBorders>
              <w:top w:val="single" w:sz="4" w:space="0" w:color="auto"/>
              <w:left w:val="nil"/>
              <w:bottom w:val="single" w:sz="4" w:space="0" w:color="auto"/>
              <w:right w:val="single" w:sz="4" w:space="0" w:color="auto"/>
            </w:tcBorders>
            <w:shd w:val="clear" w:color="auto" w:fill="auto"/>
            <w:vAlign w:val="bottom"/>
          </w:tcPr>
          <w:p w14:paraId="5D512184" w14:textId="77777777" w:rsidR="009D4A93" w:rsidRPr="00536CFD" w:rsidRDefault="009D4A93" w:rsidP="009D4A93">
            <w:pPr>
              <w:spacing w:after="0"/>
              <w:jc w:val="center"/>
              <w:rPr>
                <w:lang w:val="zh-CN"/>
              </w:rPr>
            </w:pPr>
            <w:r w:rsidRPr="00536CFD">
              <w:rPr>
                <w:lang w:val="zh-CN"/>
              </w:rPr>
              <w:t>0.063</w:t>
            </w:r>
          </w:p>
        </w:tc>
        <w:tc>
          <w:tcPr>
            <w:tcW w:w="720" w:type="dxa"/>
            <w:tcBorders>
              <w:top w:val="single" w:sz="4" w:space="0" w:color="auto"/>
              <w:left w:val="nil"/>
              <w:bottom w:val="single" w:sz="4" w:space="0" w:color="auto"/>
              <w:right w:val="single" w:sz="4" w:space="0" w:color="auto"/>
            </w:tcBorders>
            <w:shd w:val="clear" w:color="auto" w:fill="auto"/>
            <w:vAlign w:val="bottom"/>
          </w:tcPr>
          <w:p w14:paraId="0C7F9B20" w14:textId="77777777" w:rsidR="009D4A93" w:rsidRPr="00536CFD" w:rsidRDefault="009D4A93" w:rsidP="009D4A93">
            <w:pPr>
              <w:spacing w:after="0"/>
              <w:jc w:val="center"/>
              <w:rPr>
                <w:lang w:val="zh-CN"/>
              </w:rPr>
            </w:pPr>
            <w:r w:rsidRPr="00536CFD">
              <w:rPr>
                <w:lang w:val="zh-CN"/>
              </w:rPr>
              <w:t>0.034</w:t>
            </w:r>
          </w:p>
        </w:tc>
        <w:tc>
          <w:tcPr>
            <w:tcW w:w="810" w:type="dxa"/>
            <w:tcBorders>
              <w:top w:val="single" w:sz="4" w:space="0" w:color="auto"/>
              <w:left w:val="nil"/>
              <w:bottom w:val="single" w:sz="4" w:space="0" w:color="auto"/>
              <w:right w:val="single" w:sz="4" w:space="0" w:color="auto"/>
            </w:tcBorders>
            <w:shd w:val="clear" w:color="auto" w:fill="auto"/>
            <w:vAlign w:val="bottom"/>
          </w:tcPr>
          <w:p w14:paraId="166EC9C2" w14:textId="77777777" w:rsidR="009D4A93" w:rsidRPr="00536CFD" w:rsidRDefault="009D4A93" w:rsidP="009D4A93">
            <w:pPr>
              <w:spacing w:after="0"/>
              <w:jc w:val="center"/>
              <w:rPr>
                <w:lang w:val="zh-CN"/>
              </w:rPr>
            </w:pPr>
            <w:r w:rsidRPr="00536CFD">
              <w:rPr>
                <w:lang w:val="zh-CN"/>
              </w:rPr>
              <w:t>0.029</w:t>
            </w:r>
          </w:p>
        </w:tc>
        <w:tc>
          <w:tcPr>
            <w:tcW w:w="810" w:type="dxa"/>
            <w:tcBorders>
              <w:top w:val="single" w:sz="4" w:space="0" w:color="auto"/>
              <w:left w:val="nil"/>
              <w:bottom w:val="single" w:sz="4" w:space="0" w:color="auto"/>
              <w:right w:val="single" w:sz="4" w:space="0" w:color="auto"/>
            </w:tcBorders>
            <w:shd w:val="clear" w:color="auto" w:fill="auto"/>
            <w:vAlign w:val="bottom"/>
          </w:tcPr>
          <w:p w14:paraId="333ED49F" w14:textId="77777777" w:rsidR="009D4A93" w:rsidRPr="00536CFD" w:rsidRDefault="009D4A93" w:rsidP="009D4A93">
            <w:pPr>
              <w:spacing w:after="0"/>
              <w:jc w:val="center"/>
              <w:rPr>
                <w:lang w:val="zh-CN"/>
              </w:rPr>
            </w:pPr>
            <w:r w:rsidRPr="00536CFD">
              <w:rPr>
                <w:lang w:val="zh-CN"/>
              </w:rPr>
              <w:t>0.162</w:t>
            </w:r>
          </w:p>
        </w:tc>
        <w:tc>
          <w:tcPr>
            <w:tcW w:w="820" w:type="dxa"/>
            <w:tcBorders>
              <w:top w:val="single" w:sz="4" w:space="0" w:color="auto"/>
              <w:left w:val="nil"/>
              <w:bottom w:val="single" w:sz="4" w:space="0" w:color="auto"/>
              <w:right w:val="single" w:sz="4" w:space="0" w:color="auto"/>
            </w:tcBorders>
            <w:shd w:val="clear" w:color="auto" w:fill="auto"/>
            <w:vAlign w:val="bottom"/>
          </w:tcPr>
          <w:p w14:paraId="0C6F93A2" w14:textId="77777777" w:rsidR="009D4A93" w:rsidRPr="00536CFD" w:rsidRDefault="009D4A93" w:rsidP="009D4A93">
            <w:pPr>
              <w:spacing w:after="0"/>
              <w:jc w:val="center"/>
              <w:rPr>
                <w:lang w:val="zh-CN"/>
              </w:rPr>
            </w:pPr>
            <w:r w:rsidRPr="00536CFD">
              <w:rPr>
                <w:lang w:val="zh-CN"/>
              </w:rPr>
              <w:t>0.1</w:t>
            </w:r>
          </w:p>
        </w:tc>
        <w:tc>
          <w:tcPr>
            <w:tcW w:w="800" w:type="dxa"/>
            <w:tcBorders>
              <w:top w:val="single" w:sz="4" w:space="0" w:color="auto"/>
              <w:left w:val="nil"/>
              <w:bottom w:val="single" w:sz="4" w:space="0" w:color="auto"/>
              <w:right w:val="single" w:sz="4" w:space="0" w:color="auto"/>
            </w:tcBorders>
            <w:shd w:val="clear" w:color="auto" w:fill="auto"/>
            <w:vAlign w:val="bottom"/>
          </w:tcPr>
          <w:p w14:paraId="2F7F6659" w14:textId="77777777" w:rsidR="009D4A93" w:rsidRPr="00536CFD" w:rsidRDefault="009D4A93" w:rsidP="009D4A93">
            <w:pPr>
              <w:spacing w:after="0"/>
              <w:jc w:val="center"/>
              <w:rPr>
                <w:lang w:val="zh-CN"/>
              </w:rPr>
            </w:pPr>
            <w:r w:rsidRPr="00536CFD">
              <w:rPr>
                <w:lang w:val="zh-CN"/>
              </w:rPr>
              <w:t>0.073</w:t>
            </w:r>
          </w:p>
        </w:tc>
        <w:tc>
          <w:tcPr>
            <w:tcW w:w="720" w:type="dxa"/>
            <w:tcBorders>
              <w:top w:val="single" w:sz="4" w:space="0" w:color="auto"/>
              <w:left w:val="nil"/>
              <w:bottom w:val="single" w:sz="4" w:space="0" w:color="auto"/>
              <w:right w:val="single" w:sz="4" w:space="0" w:color="auto"/>
            </w:tcBorders>
            <w:shd w:val="clear" w:color="auto" w:fill="auto"/>
            <w:vAlign w:val="bottom"/>
          </w:tcPr>
          <w:p w14:paraId="45863C86" w14:textId="77777777" w:rsidR="009D4A93" w:rsidRPr="00536CFD" w:rsidRDefault="009D4A93" w:rsidP="009D4A93">
            <w:pPr>
              <w:spacing w:after="0"/>
              <w:jc w:val="center"/>
              <w:rPr>
                <w:lang w:val="zh-CN"/>
              </w:rPr>
            </w:pPr>
            <w:r w:rsidRPr="00536CFD">
              <w:rPr>
                <w:lang w:val="zh-CN"/>
              </w:rPr>
              <w:t>0.036</w:t>
            </w:r>
          </w:p>
        </w:tc>
        <w:tc>
          <w:tcPr>
            <w:tcW w:w="724" w:type="dxa"/>
            <w:tcBorders>
              <w:top w:val="single" w:sz="4" w:space="0" w:color="auto"/>
              <w:left w:val="nil"/>
              <w:bottom w:val="single" w:sz="4" w:space="0" w:color="auto"/>
              <w:right w:val="single" w:sz="4" w:space="0" w:color="auto"/>
            </w:tcBorders>
            <w:shd w:val="clear" w:color="auto" w:fill="auto"/>
            <w:vAlign w:val="bottom"/>
          </w:tcPr>
          <w:p w14:paraId="49CCB280" w14:textId="77777777" w:rsidR="009D4A93" w:rsidRPr="00536CFD" w:rsidRDefault="009D4A93" w:rsidP="009D4A93">
            <w:pPr>
              <w:spacing w:after="0"/>
              <w:jc w:val="center"/>
              <w:rPr>
                <w:lang w:val="zh-CN"/>
              </w:rPr>
            </w:pPr>
            <w:r w:rsidRPr="00536CFD">
              <w:rPr>
                <w:lang w:val="zh-CN"/>
              </w:rPr>
              <w:t>0.254</w:t>
            </w:r>
          </w:p>
        </w:tc>
        <w:tc>
          <w:tcPr>
            <w:tcW w:w="896" w:type="dxa"/>
            <w:tcBorders>
              <w:top w:val="single" w:sz="4" w:space="0" w:color="auto"/>
              <w:left w:val="nil"/>
              <w:bottom w:val="single" w:sz="4" w:space="0" w:color="auto"/>
              <w:right w:val="single" w:sz="4" w:space="0" w:color="auto"/>
            </w:tcBorders>
            <w:shd w:val="clear" w:color="auto" w:fill="auto"/>
            <w:vAlign w:val="bottom"/>
          </w:tcPr>
          <w:p w14:paraId="4CE8BFD3" w14:textId="77777777" w:rsidR="009D4A93" w:rsidRPr="00536CFD" w:rsidRDefault="009D4A93" w:rsidP="009D4A93">
            <w:pPr>
              <w:spacing w:after="0"/>
              <w:jc w:val="center"/>
              <w:rPr>
                <w:lang w:val="zh-CN"/>
              </w:rPr>
            </w:pPr>
            <w:r w:rsidRPr="00536CFD">
              <w:rPr>
                <w:lang w:val="zh-CN"/>
              </w:rPr>
              <w:t>0.13</w:t>
            </w:r>
          </w:p>
        </w:tc>
        <w:tc>
          <w:tcPr>
            <w:tcW w:w="720" w:type="dxa"/>
            <w:tcBorders>
              <w:top w:val="single" w:sz="4" w:space="0" w:color="auto"/>
              <w:left w:val="nil"/>
              <w:bottom w:val="single" w:sz="4" w:space="0" w:color="auto"/>
              <w:right w:val="single" w:sz="4" w:space="0" w:color="auto"/>
            </w:tcBorders>
            <w:shd w:val="clear" w:color="auto" w:fill="auto"/>
            <w:vAlign w:val="bottom"/>
          </w:tcPr>
          <w:p w14:paraId="1813EE00" w14:textId="77777777" w:rsidR="009D4A93" w:rsidRPr="00536CFD" w:rsidRDefault="009D4A93" w:rsidP="009D4A93">
            <w:pPr>
              <w:spacing w:after="0"/>
              <w:jc w:val="center"/>
              <w:rPr>
                <w:lang w:val="zh-CN"/>
              </w:rPr>
            </w:pPr>
            <w:r w:rsidRPr="00536CFD">
              <w:rPr>
                <w:lang w:val="zh-CN"/>
              </w:rPr>
              <w:t>0.115</w:t>
            </w:r>
          </w:p>
        </w:tc>
        <w:tc>
          <w:tcPr>
            <w:tcW w:w="720" w:type="dxa"/>
            <w:tcBorders>
              <w:top w:val="single" w:sz="4" w:space="0" w:color="auto"/>
              <w:left w:val="nil"/>
              <w:bottom w:val="single" w:sz="4" w:space="0" w:color="auto"/>
              <w:right w:val="single" w:sz="4" w:space="0" w:color="auto"/>
            </w:tcBorders>
            <w:shd w:val="clear" w:color="auto" w:fill="auto"/>
            <w:vAlign w:val="bottom"/>
          </w:tcPr>
          <w:p w14:paraId="4F9E4280" w14:textId="77777777" w:rsidR="009D4A93" w:rsidRPr="00536CFD" w:rsidRDefault="009D4A93" w:rsidP="009D4A93">
            <w:pPr>
              <w:spacing w:after="0"/>
              <w:jc w:val="center"/>
              <w:rPr>
                <w:lang w:val="zh-CN"/>
              </w:rPr>
            </w:pPr>
            <w:r w:rsidRPr="00536CFD">
              <w:rPr>
                <w:lang w:val="zh-CN"/>
              </w:rPr>
              <w:t>0.043</w:t>
            </w:r>
          </w:p>
        </w:tc>
      </w:tr>
      <w:tr w:rsidR="009D4A93" w:rsidRPr="00536CFD" w14:paraId="0FCF39C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186572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9C9FEB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53D3E8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59953DB3" w14:textId="77777777" w:rsidR="009D4A93" w:rsidRPr="00536CFD" w:rsidRDefault="009D4A93" w:rsidP="009D4A93">
            <w:pPr>
              <w:spacing w:after="0"/>
              <w:jc w:val="center"/>
              <w:rPr>
                <w:lang w:val="zh-CN"/>
              </w:rPr>
            </w:pPr>
            <w:r w:rsidRPr="00536CFD">
              <w:rPr>
                <w:lang w:val="zh-CN"/>
              </w:rPr>
              <w:t>0.411</w:t>
            </w:r>
          </w:p>
        </w:tc>
        <w:tc>
          <w:tcPr>
            <w:tcW w:w="720" w:type="dxa"/>
            <w:tcBorders>
              <w:top w:val="single" w:sz="4" w:space="0" w:color="auto"/>
              <w:left w:val="nil"/>
              <w:bottom w:val="single" w:sz="4" w:space="0" w:color="auto"/>
              <w:right w:val="single" w:sz="4" w:space="0" w:color="auto"/>
            </w:tcBorders>
            <w:shd w:val="clear" w:color="auto" w:fill="auto"/>
            <w:vAlign w:val="bottom"/>
          </w:tcPr>
          <w:p w14:paraId="4D6CE8BF" w14:textId="77777777" w:rsidR="009D4A93" w:rsidRPr="00536CFD" w:rsidRDefault="009D4A93" w:rsidP="009D4A93">
            <w:pPr>
              <w:spacing w:after="0"/>
              <w:jc w:val="center"/>
              <w:rPr>
                <w:lang w:val="zh-CN"/>
              </w:rPr>
            </w:pPr>
            <w:r w:rsidRPr="00536CFD">
              <w:rPr>
                <w:lang w:val="zh-CN"/>
              </w:rPr>
              <w:t>0.307</w:t>
            </w:r>
          </w:p>
        </w:tc>
        <w:tc>
          <w:tcPr>
            <w:tcW w:w="720" w:type="dxa"/>
            <w:tcBorders>
              <w:top w:val="single" w:sz="4" w:space="0" w:color="auto"/>
              <w:left w:val="nil"/>
              <w:bottom w:val="single" w:sz="4" w:space="0" w:color="auto"/>
              <w:right w:val="single" w:sz="4" w:space="0" w:color="auto"/>
            </w:tcBorders>
            <w:shd w:val="clear" w:color="auto" w:fill="auto"/>
            <w:vAlign w:val="bottom"/>
          </w:tcPr>
          <w:p w14:paraId="6629D6BA" w14:textId="77777777" w:rsidR="009D4A93" w:rsidRPr="00536CFD" w:rsidRDefault="009D4A93" w:rsidP="009D4A93">
            <w:pPr>
              <w:spacing w:after="0"/>
              <w:jc w:val="center"/>
              <w:rPr>
                <w:lang w:val="zh-CN"/>
              </w:rPr>
            </w:pPr>
            <w:r w:rsidRPr="00536CFD">
              <w:rPr>
                <w:lang w:val="zh-CN"/>
              </w:rPr>
              <w:t>0.196</w:t>
            </w:r>
          </w:p>
        </w:tc>
        <w:tc>
          <w:tcPr>
            <w:tcW w:w="810" w:type="dxa"/>
            <w:tcBorders>
              <w:top w:val="single" w:sz="4" w:space="0" w:color="auto"/>
              <w:left w:val="nil"/>
              <w:bottom w:val="single" w:sz="4" w:space="0" w:color="auto"/>
              <w:right w:val="single" w:sz="4" w:space="0" w:color="auto"/>
            </w:tcBorders>
            <w:shd w:val="clear" w:color="auto" w:fill="auto"/>
            <w:vAlign w:val="bottom"/>
          </w:tcPr>
          <w:p w14:paraId="6E1F9AA0" w14:textId="77777777" w:rsidR="009D4A93" w:rsidRPr="00536CFD" w:rsidRDefault="009D4A93" w:rsidP="009D4A93">
            <w:pPr>
              <w:spacing w:after="0"/>
              <w:jc w:val="center"/>
              <w:rPr>
                <w:lang w:val="zh-CN"/>
              </w:rPr>
            </w:pPr>
            <w:r w:rsidRPr="00536CFD">
              <w:rPr>
                <w:lang w:val="zh-CN"/>
              </w:rPr>
              <w:t>0.108</w:t>
            </w:r>
          </w:p>
        </w:tc>
        <w:tc>
          <w:tcPr>
            <w:tcW w:w="810" w:type="dxa"/>
            <w:tcBorders>
              <w:top w:val="single" w:sz="4" w:space="0" w:color="auto"/>
              <w:left w:val="nil"/>
              <w:bottom w:val="single" w:sz="4" w:space="0" w:color="auto"/>
              <w:right w:val="single" w:sz="4" w:space="0" w:color="auto"/>
            </w:tcBorders>
            <w:shd w:val="clear" w:color="auto" w:fill="auto"/>
            <w:vAlign w:val="bottom"/>
          </w:tcPr>
          <w:p w14:paraId="4D7BCC08" w14:textId="77777777" w:rsidR="009D4A93" w:rsidRPr="00536CFD" w:rsidRDefault="009D4A93" w:rsidP="009D4A93">
            <w:pPr>
              <w:spacing w:after="0"/>
              <w:jc w:val="center"/>
              <w:rPr>
                <w:lang w:val="zh-CN"/>
              </w:rPr>
            </w:pPr>
            <w:r w:rsidRPr="00536CFD">
              <w:rPr>
                <w:lang w:val="zh-CN"/>
              </w:rPr>
              <w:t>7.523</w:t>
            </w:r>
          </w:p>
        </w:tc>
        <w:tc>
          <w:tcPr>
            <w:tcW w:w="820" w:type="dxa"/>
            <w:tcBorders>
              <w:top w:val="single" w:sz="4" w:space="0" w:color="auto"/>
              <w:left w:val="nil"/>
              <w:bottom w:val="single" w:sz="4" w:space="0" w:color="auto"/>
              <w:right w:val="single" w:sz="4" w:space="0" w:color="auto"/>
            </w:tcBorders>
            <w:shd w:val="clear" w:color="auto" w:fill="auto"/>
            <w:vAlign w:val="bottom"/>
          </w:tcPr>
          <w:p w14:paraId="214F3BEE" w14:textId="77777777" w:rsidR="009D4A93" w:rsidRPr="00536CFD" w:rsidRDefault="009D4A93" w:rsidP="009D4A93">
            <w:pPr>
              <w:spacing w:after="0"/>
              <w:jc w:val="center"/>
              <w:rPr>
                <w:lang w:val="zh-CN"/>
              </w:rPr>
            </w:pPr>
            <w:r w:rsidRPr="00536CFD">
              <w:rPr>
                <w:lang w:val="zh-CN"/>
              </w:rPr>
              <w:t>1.026</w:t>
            </w:r>
          </w:p>
        </w:tc>
        <w:tc>
          <w:tcPr>
            <w:tcW w:w="800" w:type="dxa"/>
            <w:tcBorders>
              <w:top w:val="single" w:sz="4" w:space="0" w:color="auto"/>
              <w:left w:val="nil"/>
              <w:bottom w:val="single" w:sz="4" w:space="0" w:color="auto"/>
              <w:right w:val="single" w:sz="4" w:space="0" w:color="auto"/>
            </w:tcBorders>
            <w:shd w:val="clear" w:color="auto" w:fill="auto"/>
            <w:vAlign w:val="bottom"/>
          </w:tcPr>
          <w:p w14:paraId="77BAD7F3" w14:textId="77777777" w:rsidR="009D4A93" w:rsidRPr="00536CFD" w:rsidRDefault="009D4A93" w:rsidP="009D4A93">
            <w:pPr>
              <w:spacing w:after="0"/>
              <w:jc w:val="center"/>
              <w:rPr>
                <w:lang w:val="zh-CN"/>
              </w:rPr>
            </w:pPr>
            <w:r w:rsidRPr="00536CFD">
              <w:rPr>
                <w:lang w:val="zh-CN"/>
              </w:rPr>
              <w:t>0.615</w:t>
            </w:r>
          </w:p>
        </w:tc>
        <w:tc>
          <w:tcPr>
            <w:tcW w:w="720" w:type="dxa"/>
            <w:tcBorders>
              <w:top w:val="single" w:sz="4" w:space="0" w:color="auto"/>
              <w:left w:val="nil"/>
              <w:bottom w:val="single" w:sz="4" w:space="0" w:color="auto"/>
              <w:right w:val="single" w:sz="4" w:space="0" w:color="auto"/>
            </w:tcBorders>
            <w:shd w:val="clear" w:color="auto" w:fill="auto"/>
            <w:vAlign w:val="bottom"/>
          </w:tcPr>
          <w:p w14:paraId="55FB71D9" w14:textId="77777777" w:rsidR="009D4A93" w:rsidRPr="00536CFD" w:rsidRDefault="009D4A93" w:rsidP="009D4A93">
            <w:pPr>
              <w:spacing w:after="0"/>
              <w:jc w:val="center"/>
              <w:rPr>
                <w:lang w:val="zh-CN"/>
              </w:rPr>
            </w:pPr>
            <w:r w:rsidRPr="00536CFD">
              <w:rPr>
                <w:lang w:val="zh-CN"/>
              </w:rPr>
              <w:t>0.179</w:t>
            </w:r>
          </w:p>
        </w:tc>
        <w:tc>
          <w:tcPr>
            <w:tcW w:w="724" w:type="dxa"/>
            <w:tcBorders>
              <w:top w:val="single" w:sz="4" w:space="0" w:color="auto"/>
              <w:left w:val="nil"/>
              <w:bottom w:val="single" w:sz="4" w:space="0" w:color="auto"/>
              <w:right w:val="single" w:sz="4" w:space="0" w:color="auto"/>
            </w:tcBorders>
            <w:shd w:val="clear" w:color="auto" w:fill="auto"/>
            <w:vAlign w:val="bottom"/>
          </w:tcPr>
          <w:p w14:paraId="2A4B7351" w14:textId="77777777" w:rsidR="009D4A93" w:rsidRPr="00536CFD" w:rsidRDefault="009D4A93" w:rsidP="009D4A93">
            <w:pPr>
              <w:spacing w:after="0"/>
              <w:jc w:val="center"/>
              <w:rPr>
                <w:lang w:val="zh-CN"/>
              </w:rPr>
            </w:pPr>
            <w:r w:rsidRPr="00536CFD">
              <w:rPr>
                <w:lang w:val="zh-CN"/>
              </w:rPr>
              <w:t>108.027</w:t>
            </w:r>
          </w:p>
        </w:tc>
        <w:tc>
          <w:tcPr>
            <w:tcW w:w="896" w:type="dxa"/>
            <w:tcBorders>
              <w:top w:val="single" w:sz="4" w:space="0" w:color="auto"/>
              <w:left w:val="nil"/>
              <w:bottom w:val="single" w:sz="4" w:space="0" w:color="auto"/>
              <w:right w:val="single" w:sz="4" w:space="0" w:color="auto"/>
            </w:tcBorders>
            <w:shd w:val="clear" w:color="auto" w:fill="auto"/>
            <w:vAlign w:val="bottom"/>
          </w:tcPr>
          <w:p w14:paraId="2B93A9F7" w14:textId="77777777" w:rsidR="009D4A93" w:rsidRPr="00536CFD" w:rsidRDefault="009D4A93" w:rsidP="009D4A93">
            <w:pPr>
              <w:spacing w:after="0"/>
              <w:jc w:val="center"/>
              <w:rPr>
                <w:lang w:val="zh-CN"/>
              </w:rPr>
            </w:pPr>
            <w:r w:rsidRPr="00536CFD">
              <w:rPr>
                <w:lang w:val="zh-CN"/>
              </w:rPr>
              <w:t>3.7</w:t>
            </w:r>
          </w:p>
        </w:tc>
        <w:tc>
          <w:tcPr>
            <w:tcW w:w="720" w:type="dxa"/>
            <w:tcBorders>
              <w:top w:val="single" w:sz="4" w:space="0" w:color="auto"/>
              <w:left w:val="nil"/>
              <w:bottom w:val="single" w:sz="4" w:space="0" w:color="auto"/>
              <w:right w:val="single" w:sz="4" w:space="0" w:color="auto"/>
            </w:tcBorders>
            <w:shd w:val="clear" w:color="auto" w:fill="auto"/>
            <w:vAlign w:val="bottom"/>
          </w:tcPr>
          <w:p w14:paraId="5AEC43C4" w14:textId="77777777" w:rsidR="009D4A93" w:rsidRPr="00536CFD" w:rsidRDefault="009D4A93" w:rsidP="009D4A93">
            <w:pPr>
              <w:spacing w:after="0"/>
              <w:jc w:val="center"/>
              <w:rPr>
                <w:lang w:val="zh-CN"/>
              </w:rPr>
            </w:pPr>
            <w:r w:rsidRPr="00536CFD">
              <w:rPr>
                <w:lang w:val="zh-CN"/>
              </w:rPr>
              <w:t>1.417</w:t>
            </w:r>
          </w:p>
        </w:tc>
        <w:tc>
          <w:tcPr>
            <w:tcW w:w="720" w:type="dxa"/>
            <w:tcBorders>
              <w:top w:val="single" w:sz="4" w:space="0" w:color="auto"/>
              <w:left w:val="nil"/>
              <w:bottom w:val="single" w:sz="4" w:space="0" w:color="auto"/>
              <w:right w:val="single" w:sz="4" w:space="0" w:color="auto"/>
            </w:tcBorders>
            <w:shd w:val="clear" w:color="auto" w:fill="auto"/>
            <w:vAlign w:val="bottom"/>
          </w:tcPr>
          <w:p w14:paraId="34F0AAA5" w14:textId="77777777" w:rsidR="009D4A93" w:rsidRPr="00536CFD" w:rsidRDefault="009D4A93" w:rsidP="009D4A93">
            <w:pPr>
              <w:spacing w:after="0"/>
              <w:jc w:val="center"/>
              <w:rPr>
                <w:lang w:val="zh-CN"/>
              </w:rPr>
            </w:pPr>
            <w:r w:rsidRPr="00536CFD">
              <w:rPr>
                <w:lang w:val="zh-CN"/>
              </w:rPr>
              <w:t>0.24</w:t>
            </w:r>
          </w:p>
        </w:tc>
      </w:tr>
      <w:tr w:rsidR="009D4A93" w:rsidRPr="00536CFD" w14:paraId="1A15CB6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BE79BB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F4CDBC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298FCA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22222AFA" w14:textId="77777777" w:rsidR="009D4A93" w:rsidRPr="00536CFD" w:rsidRDefault="009D4A93" w:rsidP="009D4A93">
            <w:pPr>
              <w:spacing w:after="0"/>
              <w:jc w:val="center"/>
              <w:rPr>
                <w:lang w:val="zh-CN"/>
              </w:rPr>
            </w:pPr>
            <w:r w:rsidRPr="00536CFD">
              <w:rPr>
                <w:lang w:val="zh-CN"/>
              </w:rPr>
              <w:t>0.131</w:t>
            </w:r>
          </w:p>
        </w:tc>
        <w:tc>
          <w:tcPr>
            <w:tcW w:w="720" w:type="dxa"/>
            <w:tcBorders>
              <w:top w:val="single" w:sz="4" w:space="0" w:color="auto"/>
              <w:left w:val="nil"/>
              <w:bottom w:val="single" w:sz="4" w:space="0" w:color="auto"/>
              <w:right w:val="single" w:sz="4" w:space="0" w:color="auto"/>
            </w:tcBorders>
            <w:shd w:val="clear" w:color="auto" w:fill="auto"/>
            <w:vAlign w:val="bottom"/>
          </w:tcPr>
          <w:p w14:paraId="13D78028" w14:textId="77777777" w:rsidR="009D4A93" w:rsidRPr="00536CFD" w:rsidRDefault="009D4A93" w:rsidP="009D4A93">
            <w:pPr>
              <w:spacing w:after="0"/>
              <w:jc w:val="center"/>
              <w:rPr>
                <w:lang w:val="zh-CN"/>
              </w:rPr>
            </w:pPr>
            <w:r w:rsidRPr="00536CFD">
              <w:rPr>
                <w:lang w:val="zh-CN"/>
              </w:rPr>
              <w:t>0.103</w:t>
            </w:r>
          </w:p>
        </w:tc>
        <w:tc>
          <w:tcPr>
            <w:tcW w:w="720" w:type="dxa"/>
            <w:tcBorders>
              <w:top w:val="single" w:sz="4" w:space="0" w:color="auto"/>
              <w:left w:val="nil"/>
              <w:bottom w:val="single" w:sz="4" w:space="0" w:color="auto"/>
              <w:right w:val="single" w:sz="4" w:space="0" w:color="auto"/>
            </w:tcBorders>
            <w:shd w:val="clear" w:color="auto" w:fill="auto"/>
            <w:vAlign w:val="bottom"/>
          </w:tcPr>
          <w:p w14:paraId="4D5C2F02" w14:textId="77777777" w:rsidR="009D4A93" w:rsidRPr="00536CFD" w:rsidRDefault="009D4A93" w:rsidP="009D4A93">
            <w:pPr>
              <w:spacing w:after="0"/>
              <w:jc w:val="center"/>
              <w:rPr>
                <w:lang w:val="zh-CN"/>
              </w:rPr>
            </w:pPr>
            <w:r w:rsidRPr="00536CFD">
              <w:rPr>
                <w:lang w:val="zh-CN"/>
              </w:rPr>
              <w:t>0.063</w:t>
            </w:r>
          </w:p>
        </w:tc>
        <w:tc>
          <w:tcPr>
            <w:tcW w:w="810" w:type="dxa"/>
            <w:tcBorders>
              <w:top w:val="single" w:sz="4" w:space="0" w:color="auto"/>
              <w:left w:val="nil"/>
              <w:bottom w:val="single" w:sz="4" w:space="0" w:color="auto"/>
              <w:right w:val="single" w:sz="4" w:space="0" w:color="auto"/>
            </w:tcBorders>
            <w:shd w:val="clear" w:color="auto" w:fill="auto"/>
            <w:vAlign w:val="bottom"/>
          </w:tcPr>
          <w:p w14:paraId="64844D92" w14:textId="77777777" w:rsidR="009D4A93" w:rsidRPr="00536CFD" w:rsidRDefault="009D4A93" w:rsidP="009D4A93">
            <w:pPr>
              <w:spacing w:after="0"/>
              <w:jc w:val="center"/>
              <w:rPr>
                <w:lang w:val="zh-CN"/>
              </w:rPr>
            </w:pPr>
            <w:r w:rsidRPr="00536CFD">
              <w:rPr>
                <w:lang w:val="zh-CN"/>
              </w:rPr>
              <w:t>0.043</w:t>
            </w:r>
          </w:p>
        </w:tc>
        <w:tc>
          <w:tcPr>
            <w:tcW w:w="810" w:type="dxa"/>
            <w:tcBorders>
              <w:top w:val="single" w:sz="4" w:space="0" w:color="auto"/>
              <w:left w:val="nil"/>
              <w:bottom w:val="single" w:sz="4" w:space="0" w:color="auto"/>
              <w:right w:val="single" w:sz="4" w:space="0" w:color="auto"/>
            </w:tcBorders>
            <w:shd w:val="clear" w:color="auto" w:fill="auto"/>
            <w:vAlign w:val="bottom"/>
          </w:tcPr>
          <w:p w14:paraId="42A0BED1" w14:textId="77777777" w:rsidR="009D4A93" w:rsidRPr="00536CFD" w:rsidRDefault="009D4A93" w:rsidP="009D4A93">
            <w:pPr>
              <w:spacing w:after="0"/>
              <w:jc w:val="center"/>
              <w:rPr>
                <w:lang w:val="zh-CN"/>
              </w:rPr>
            </w:pPr>
            <w:r w:rsidRPr="00536CFD">
              <w:rPr>
                <w:lang w:val="zh-CN"/>
              </w:rPr>
              <w:t>7.214</w:t>
            </w:r>
          </w:p>
        </w:tc>
        <w:tc>
          <w:tcPr>
            <w:tcW w:w="820" w:type="dxa"/>
            <w:tcBorders>
              <w:top w:val="single" w:sz="4" w:space="0" w:color="auto"/>
              <w:left w:val="nil"/>
              <w:bottom w:val="single" w:sz="4" w:space="0" w:color="auto"/>
              <w:right w:val="single" w:sz="4" w:space="0" w:color="auto"/>
            </w:tcBorders>
            <w:shd w:val="clear" w:color="auto" w:fill="auto"/>
            <w:vAlign w:val="bottom"/>
          </w:tcPr>
          <w:p w14:paraId="2BC53D88" w14:textId="77777777" w:rsidR="009D4A93" w:rsidRPr="00536CFD" w:rsidRDefault="009D4A93" w:rsidP="009D4A93">
            <w:pPr>
              <w:spacing w:after="0"/>
              <w:jc w:val="center"/>
              <w:rPr>
                <w:lang w:val="zh-CN"/>
              </w:rPr>
            </w:pPr>
            <w:r w:rsidRPr="00536CFD">
              <w:rPr>
                <w:lang w:val="zh-CN"/>
              </w:rPr>
              <w:t>1.713</w:t>
            </w:r>
          </w:p>
        </w:tc>
        <w:tc>
          <w:tcPr>
            <w:tcW w:w="800" w:type="dxa"/>
            <w:tcBorders>
              <w:top w:val="single" w:sz="4" w:space="0" w:color="auto"/>
              <w:left w:val="nil"/>
              <w:bottom w:val="single" w:sz="4" w:space="0" w:color="auto"/>
              <w:right w:val="single" w:sz="4" w:space="0" w:color="auto"/>
            </w:tcBorders>
            <w:shd w:val="clear" w:color="auto" w:fill="auto"/>
            <w:vAlign w:val="bottom"/>
          </w:tcPr>
          <w:p w14:paraId="48D64992" w14:textId="77777777" w:rsidR="009D4A93" w:rsidRPr="00536CFD" w:rsidRDefault="009D4A93" w:rsidP="009D4A93">
            <w:pPr>
              <w:spacing w:after="0"/>
              <w:jc w:val="center"/>
              <w:rPr>
                <w:lang w:val="zh-CN"/>
              </w:rPr>
            </w:pPr>
            <w:r w:rsidRPr="00536CFD">
              <w:rPr>
                <w:lang w:val="zh-CN"/>
              </w:rPr>
              <w:t>0.169</w:t>
            </w:r>
          </w:p>
        </w:tc>
        <w:tc>
          <w:tcPr>
            <w:tcW w:w="720" w:type="dxa"/>
            <w:tcBorders>
              <w:top w:val="single" w:sz="4" w:space="0" w:color="auto"/>
              <w:left w:val="nil"/>
              <w:bottom w:val="single" w:sz="4" w:space="0" w:color="auto"/>
              <w:right w:val="single" w:sz="4" w:space="0" w:color="auto"/>
            </w:tcBorders>
            <w:shd w:val="clear" w:color="auto" w:fill="auto"/>
            <w:vAlign w:val="bottom"/>
          </w:tcPr>
          <w:p w14:paraId="5FD14499" w14:textId="77777777" w:rsidR="009D4A93" w:rsidRPr="00536CFD" w:rsidRDefault="009D4A93" w:rsidP="009D4A93">
            <w:pPr>
              <w:spacing w:after="0"/>
              <w:jc w:val="center"/>
              <w:rPr>
                <w:lang w:val="zh-CN"/>
              </w:rPr>
            </w:pPr>
            <w:r w:rsidRPr="00536CFD">
              <w:rPr>
                <w:lang w:val="zh-CN"/>
              </w:rPr>
              <w:t>0.061</w:t>
            </w:r>
          </w:p>
        </w:tc>
        <w:tc>
          <w:tcPr>
            <w:tcW w:w="724" w:type="dxa"/>
            <w:tcBorders>
              <w:top w:val="single" w:sz="4" w:space="0" w:color="auto"/>
              <w:left w:val="nil"/>
              <w:bottom w:val="single" w:sz="4" w:space="0" w:color="auto"/>
              <w:right w:val="single" w:sz="4" w:space="0" w:color="auto"/>
            </w:tcBorders>
            <w:shd w:val="clear" w:color="auto" w:fill="auto"/>
            <w:vAlign w:val="bottom"/>
          </w:tcPr>
          <w:p w14:paraId="7A418442" w14:textId="77777777" w:rsidR="009D4A93" w:rsidRPr="00536CFD" w:rsidRDefault="009D4A93" w:rsidP="009D4A93">
            <w:pPr>
              <w:spacing w:after="0"/>
              <w:jc w:val="center"/>
              <w:rPr>
                <w:lang w:val="zh-CN"/>
              </w:rPr>
            </w:pPr>
            <w:r w:rsidRPr="00536CFD">
              <w:rPr>
                <w:lang w:val="zh-CN"/>
              </w:rPr>
              <w:t>16.787</w:t>
            </w:r>
          </w:p>
        </w:tc>
        <w:tc>
          <w:tcPr>
            <w:tcW w:w="896" w:type="dxa"/>
            <w:tcBorders>
              <w:top w:val="single" w:sz="4" w:space="0" w:color="auto"/>
              <w:left w:val="nil"/>
              <w:bottom w:val="single" w:sz="4" w:space="0" w:color="auto"/>
              <w:right w:val="single" w:sz="4" w:space="0" w:color="auto"/>
            </w:tcBorders>
            <w:shd w:val="clear" w:color="auto" w:fill="auto"/>
            <w:vAlign w:val="bottom"/>
          </w:tcPr>
          <w:p w14:paraId="3E7BE0A5" w14:textId="77777777" w:rsidR="009D4A93" w:rsidRPr="00536CFD" w:rsidRDefault="009D4A93" w:rsidP="009D4A93">
            <w:pPr>
              <w:spacing w:after="0"/>
              <w:jc w:val="center"/>
              <w:rPr>
                <w:lang w:val="zh-CN"/>
              </w:rPr>
            </w:pPr>
            <w:r w:rsidRPr="00536CFD">
              <w:rPr>
                <w:lang w:val="zh-CN"/>
              </w:rPr>
              <w:t>8.03</w:t>
            </w:r>
          </w:p>
        </w:tc>
        <w:tc>
          <w:tcPr>
            <w:tcW w:w="720" w:type="dxa"/>
            <w:tcBorders>
              <w:top w:val="single" w:sz="4" w:space="0" w:color="auto"/>
              <w:left w:val="nil"/>
              <w:bottom w:val="single" w:sz="4" w:space="0" w:color="auto"/>
              <w:right w:val="single" w:sz="4" w:space="0" w:color="auto"/>
            </w:tcBorders>
            <w:shd w:val="clear" w:color="auto" w:fill="auto"/>
            <w:vAlign w:val="bottom"/>
          </w:tcPr>
          <w:p w14:paraId="3165FFC5" w14:textId="77777777" w:rsidR="009D4A93" w:rsidRPr="00536CFD" w:rsidRDefault="009D4A93" w:rsidP="009D4A93">
            <w:pPr>
              <w:spacing w:after="0"/>
              <w:jc w:val="center"/>
              <w:rPr>
                <w:lang w:val="zh-CN"/>
              </w:rPr>
            </w:pPr>
            <w:r w:rsidRPr="00536CFD">
              <w:rPr>
                <w:lang w:val="zh-CN"/>
              </w:rPr>
              <w:t>0.378</w:t>
            </w:r>
          </w:p>
        </w:tc>
        <w:tc>
          <w:tcPr>
            <w:tcW w:w="720" w:type="dxa"/>
            <w:tcBorders>
              <w:top w:val="single" w:sz="4" w:space="0" w:color="auto"/>
              <w:left w:val="nil"/>
              <w:bottom w:val="single" w:sz="4" w:space="0" w:color="auto"/>
              <w:right w:val="single" w:sz="4" w:space="0" w:color="auto"/>
            </w:tcBorders>
            <w:shd w:val="clear" w:color="auto" w:fill="auto"/>
            <w:vAlign w:val="bottom"/>
          </w:tcPr>
          <w:p w14:paraId="3111FCA3" w14:textId="77777777" w:rsidR="009D4A93" w:rsidRPr="00536CFD" w:rsidRDefault="009D4A93" w:rsidP="009D4A93">
            <w:pPr>
              <w:spacing w:after="0"/>
              <w:jc w:val="center"/>
              <w:rPr>
                <w:lang w:val="zh-CN"/>
              </w:rPr>
            </w:pPr>
            <w:r w:rsidRPr="00536CFD">
              <w:rPr>
                <w:lang w:val="zh-CN"/>
              </w:rPr>
              <w:t>0.076</w:t>
            </w:r>
          </w:p>
        </w:tc>
      </w:tr>
      <w:tr w:rsidR="009D4A93" w:rsidRPr="00536CFD" w14:paraId="76A71F9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1295EF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B2C6805"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vAlign w:val="bottom"/>
          </w:tcPr>
          <w:p w14:paraId="319F5631"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48BA6F7D"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3353F882"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377174DC"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169CE967" w14:textId="77777777" w:rsidR="009D4A93" w:rsidRPr="00536CFD" w:rsidRDefault="009D4A93" w:rsidP="009D4A93">
            <w:pPr>
              <w:spacing w:after="0"/>
              <w:jc w:val="center"/>
              <w:rPr>
                <w:lang w:val="zh-CN"/>
              </w:rPr>
            </w:pPr>
            <w:r w:rsidRPr="00536CFD">
              <w:rPr>
                <w:lang w:val="zh-CN"/>
              </w:rPr>
              <w:t>0.99</w:t>
            </w:r>
          </w:p>
        </w:tc>
        <w:tc>
          <w:tcPr>
            <w:tcW w:w="820" w:type="dxa"/>
            <w:tcBorders>
              <w:top w:val="single" w:sz="4" w:space="0" w:color="auto"/>
              <w:left w:val="nil"/>
              <w:bottom w:val="single" w:sz="4" w:space="0" w:color="auto"/>
              <w:right w:val="single" w:sz="4" w:space="0" w:color="auto"/>
            </w:tcBorders>
            <w:shd w:val="clear" w:color="auto" w:fill="auto"/>
            <w:vAlign w:val="bottom"/>
          </w:tcPr>
          <w:p w14:paraId="1CB2C0DA" w14:textId="77777777" w:rsidR="009D4A93" w:rsidRPr="00536CFD" w:rsidRDefault="009D4A93" w:rsidP="009D4A93">
            <w:pPr>
              <w:spacing w:after="0"/>
              <w:jc w:val="center"/>
              <w:rPr>
                <w:lang w:val="zh-CN"/>
              </w:rPr>
            </w:pPr>
            <w:r w:rsidRPr="00536CFD">
              <w:rPr>
                <w:lang w:val="zh-CN"/>
              </w:rPr>
              <w:t>1.00</w:t>
            </w:r>
          </w:p>
        </w:tc>
        <w:tc>
          <w:tcPr>
            <w:tcW w:w="800" w:type="dxa"/>
            <w:tcBorders>
              <w:top w:val="single" w:sz="4" w:space="0" w:color="auto"/>
              <w:left w:val="nil"/>
              <w:bottom w:val="single" w:sz="4" w:space="0" w:color="auto"/>
              <w:right w:val="single" w:sz="4" w:space="0" w:color="auto"/>
            </w:tcBorders>
            <w:shd w:val="clear" w:color="auto" w:fill="auto"/>
            <w:vAlign w:val="bottom"/>
          </w:tcPr>
          <w:p w14:paraId="109D3A06"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7AC7AEF3"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598F9803" w14:textId="77777777" w:rsidR="009D4A93" w:rsidRPr="00536CFD" w:rsidRDefault="009D4A93" w:rsidP="009D4A93">
            <w:pPr>
              <w:spacing w:after="0"/>
              <w:jc w:val="center"/>
              <w:rPr>
                <w:lang w:val="zh-CN"/>
              </w:rPr>
            </w:pPr>
            <w:r w:rsidRPr="00536CFD">
              <w:rPr>
                <w:lang w:val="zh-CN"/>
              </w:rPr>
              <w:t>0.97</w:t>
            </w:r>
          </w:p>
        </w:tc>
        <w:tc>
          <w:tcPr>
            <w:tcW w:w="896" w:type="dxa"/>
            <w:tcBorders>
              <w:top w:val="single" w:sz="4" w:space="0" w:color="auto"/>
              <w:left w:val="nil"/>
              <w:bottom w:val="single" w:sz="4" w:space="0" w:color="auto"/>
              <w:right w:val="single" w:sz="4" w:space="0" w:color="auto"/>
            </w:tcBorders>
            <w:shd w:val="clear" w:color="auto" w:fill="auto"/>
            <w:vAlign w:val="bottom"/>
          </w:tcPr>
          <w:p w14:paraId="74C78F1E" w14:textId="77777777" w:rsidR="009D4A93" w:rsidRPr="00536CFD" w:rsidRDefault="009D4A93" w:rsidP="009D4A93">
            <w:pPr>
              <w:spacing w:after="0"/>
              <w:jc w:val="center"/>
              <w:rPr>
                <w:lang w:val="zh-CN"/>
              </w:rPr>
            </w:pPr>
            <w:r w:rsidRPr="00536CFD">
              <w:rPr>
                <w:lang w:val="zh-CN"/>
              </w:rPr>
              <w:t>0.98</w:t>
            </w:r>
          </w:p>
        </w:tc>
        <w:tc>
          <w:tcPr>
            <w:tcW w:w="720" w:type="dxa"/>
            <w:tcBorders>
              <w:top w:val="single" w:sz="4" w:space="0" w:color="auto"/>
              <w:left w:val="nil"/>
              <w:bottom w:val="single" w:sz="4" w:space="0" w:color="auto"/>
              <w:right w:val="single" w:sz="4" w:space="0" w:color="auto"/>
            </w:tcBorders>
            <w:shd w:val="clear" w:color="auto" w:fill="auto"/>
            <w:vAlign w:val="bottom"/>
          </w:tcPr>
          <w:p w14:paraId="26CA5E8C"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3C99E306" w14:textId="77777777" w:rsidR="009D4A93" w:rsidRPr="00536CFD" w:rsidRDefault="009D4A93" w:rsidP="009D4A93">
            <w:pPr>
              <w:spacing w:after="0"/>
              <w:jc w:val="center"/>
              <w:rPr>
                <w:lang w:val="zh-CN"/>
              </w:rPr>
            </w:pPr>
            <w:r w:rsidRPr="00536CFD">
              <w:rPr>
                <w:lang w:val="zh-CN"/>
              </w:rPr>
              <w:t>1.00</w:t>
            </w:r>
          </w:p>
        </w:tc>
      </w:tr>
      <w:tr w:rsidR="009D4A93" w:rsidRPr="00536CFD" w14:paraId="0183315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472D4F9"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460F919"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vAlign w:val="bottom"/>
          </w:tcPr>
          <w:p w14:paraId="5741071A"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74BA542C" w14:textId="77777777" w:rsidR="009D4A93" w:rsidRPr="00536CFD" w:rsidRDefault="009D4A93" w:rsidP="009D4A93">
            <w:pPr>
              <w:spacing w:after="0"/>
              <w:jc w:val="center"/>
              <w:rPr>
                <w:lang w:val="zh-CN"/>
              </w:rPr>
            </w:pPr>
            <w:r w:rsidRPr="00536CFD">
              <w:rPr>
                <w:lang w:val="zh-CN"/>
              </w:rPr>
              <w:t>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2B3C131F"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3AB65EE9"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0163D189" w14:textId="77777777" w:rsidR="009D4A93" w:rsidRPr="00536CFD" w:rsidRDefault="009D4A93" w:rsidP="009D4A93">
            <w:pPr>
              <w:spacing w:after="0"/>
              <w:jc w:val="center"/>
              <w:rPr>
                <w:lang w:val="zh-CN"/>
              </w:rPr>
            </w:pPr>
            <w:r w:rsidRPr="00536CFD">
              <w:rPr>
                <w:lang w:val="zh-CN"/>
              </w:rPr>
              <w:t>0.98</w:t>
            </w:r>
          </w:p>
        </w:tc>
        <w:tc>
          <w:tcPr>
            <w:tcW w:w="820" w:type="dxa"/>
            <w:tcBorders>
              <w:top w:val="single" w:sz="4" w:space="0" w:color="auto"/>
              <w:left w:val="nil"/>
              <w:bottom w:val="single" w:sz="4" w:space="0" w:color="auto"/>
              <w:right w:val="single" w:sz="4" w:space="0" w:color="auto"/>
            </w:tcBorders>
            <w:shd w:val="clear" w:color="auto" w:fill="auto"/>
            <w:vAlign w:val="bottom"/>
          </w:tcPr>
          <w:p w14:paraId="6D6A33C8" w14:textId="77777777" w:rsidR="009D4A93" w:rsidRPr="00536CFD" w:rsidRDefault="009D4A93" w:rsidP="009D4A93">
            <w:pPr>
              <w:spacing w:after="0"/>
              <w:jc w:val="center"/>
              <w:rPr>
                <w:lang w:val="zh-CN"/>
              </w:rPr>
            </w:pPr>
            <w:r w:rsidRPr="00536CFD">
              <w:rPr>
                <w:lang w:val="zh-CN"/>
              </w:rPr>
              <w:t>1.00</w:t>
            </w:r>
          </w:p>
        </w:tc>
        <w:tc>
          <w:tcPr>
            <w:tcW w:w="800" w:type="dxa"/>
            <w:tcBorders>
              <w:top w:val="single" w:sz="4" w:space="0" w:color="auto"/>
              <w:left w:val="nil"/>
              <w:bottom w:val="single" w:sz="4" w:space="0" w:color="auto"/>
              <w:right w:val="single" w:sz="4" w:space="0" w:color="auto"/>
            </w:tcBorders>
            <w:shd w:val="clear" w:color="auto" w:fill="auto"/>
            <w:vAlign w:val="bottom"/>
          </w:tcPr>
          <w:p w14:paraId="1E5176A5"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3641680A"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06412825" w14:textId="77777777" w:rsidR="009D4A93" w:rsidRPr="00536CFD" w:rsidRDefault="009D4A93" w:rsidP="009D4A93">
            <w:pPr>
              <w:spacing w:after="0"/>
              <w:jc w:val="center"/>
              <w:rPr>
                <w:lang w:val="zh-CN"/>
              </w:rPr>
            </w:pPr>
            <w:r w:rsidRPr="00536CFD">
              <w:rPr>
                <w:lang w:val="zh-CN"/>
              </w:rPr>
              <w:t>0.94</w:t>
            </w:r>
          </w:p>
        </w:tc>
        <w:tc>
          <w:tcPr>
            <w:tcW w:w="896" w:type="dxa"/>
            <w:tcBorders>
              <w:top w:val="single" w:sz="4" w:space="0" w:color="auto"/>
              <w:left w:val="nil"/>
              <w:bottom w:val="single" w:sz="4" w:space="0" w:color="auto"/>
              <w:right w:val="single" w:sz="4" w:space="0" w:color="auto"/>
            </w:tcBorders>
            <w:shd w:val="clear" w:color="auto" w:fill="auto"/>
            <w:vAlign w:val="bottom"/>
          </w:tcPr>
          <w:p w14:paraId="0CADC51F" w14:textId="77777777" w:rsidR="009D4A93" w:rsidRPr="00536CFD" w:rsidRDefault="009D4A93" w:rsidP="009D4A93">
            <w:pPr>
              <w:spacing w:after="0"/>
              <w:jc w:val="center"/>
              <w:rPr>
                <w:lang w:val="zh-CN"/>
              </w:rPr>
            </w:pPr>
            <w:r w:rsidRPr="00536CFD">
              <w:rPr>
                <w:lang w:val="zh-CN"/>
              </w:rPr>
              <w:t>0.98</w:t>
            </w:r>
          </w:p>
        </w:tc>
        <w:tc>
          <w:tcPr>
            <w:tcW w:w="720" w:type="dxa"/>
            <w:tcBorders>
              <w:top w:val="single" w:sz="4" w:space="0" w:color="auto"/>
              <w:left w:val="nil"/>
              <w:bottom w:val="single" w:sz="4" w:space="0" w:color="auto"/>
              <w:right w:val="single" w:sz="4" w:space="0" w:color="auto"/>
            </w:tcBorders>
            <w:shd w:val="clear" w:color="auto" w:fill="auto"/>
            <w:vAlign w:val="bottom"/>
          </w:tcPr>
          <w:p w14:paraId="016FFA27"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3FDC4D03" w14:textId="77777777" w:rsidR="009D4A93" w:rsidRPr="00536CFD" w:rsidRDefault="009D4A93" w:rsidP="009D4A93">
            <w:pPr>
              <w:spacing w:after="0"/>
              <w:jc w:val="center"/>
              <w:rPr>
                <w:lang w:val="zh-CN"/>
              </w:rPr>
            </w:pPr>
            <w:r w:rsidRPr="00536CFD">
              <w:rPr>
                <w:lang w:val="zh-CN"/>
              </w:rPr>
              <w:t>0.99</w:t>
            </w:r>
          </w:p>
        </w:tc>
      </w:tr>
      <w:tr w:rsidR="009D4A93" w:rsidRPr="00536CFD" w14:paraId="4D21624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1081C2A"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F2D370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vAlign w:val="bottom"/>
          </w:tcPr>
          <w:p w14:paraId="14A4B644" w14:textId="77777777" w:rsidR="009D4A93" w:rsidRPr="00536CFD" w:rsidRDefault="009D4A93" w:rsidP="009D4A93">
            <w:pPr>
              <w:spacing w:after="0"/>
              <w:jc w:val="center"/>
              <w:rPr>
                <w:lang w:val="zh-CN"/>
              </w:rPr>
            </w:pPr>
            <w:r w:rsidRPr="00536CFD">
              <w:rPr>
                <w:lang w:val="zh-CN"/>
              </w:rPr>
              <w:t>0.17</w:t>
            </w:r>
          </w:p>
        </w:tc>
        <w:tc>
          <w:tcPr>
            <w:tcW w:w="720" w:type="dxa"/>
            <w:tcBorders>
              <w:top w:val="single" w:sz="4" w:space="0" w:color="auto"/>
              <w:left w:val="nil"/>
              <w:bottom w:val="single" w:sz="4" w:space="0" w:color="auto"/>
              <w:right w:val="single" w:sz="4" w:space="0" w:color="auto"/>
            </w:tcBorders>
            <w:shd w:val="clear" w:color="auto" w:fill="auto"/>
            <w:vAlign w:val="bottom"/>
          </w:tcPr>
          <w:p w14:paraId="0DF0F8AB" w14:textId="77777777" w:rsidR="009D4A93" w:rsidRPr="00536CFD" w:rsidRDefault="009D4A93" w:rsidP="009D4A93">
            <w:pPr>
              <w:spacing w:after="0"/>
              <w:jc w:val="center"/>
              <w:rPr>
                <w:lang w:val="zh-CN"/>
              </w:rPr>
            </w:pPr>
            <w:r w:rsidRPr="00536CFD">
              <w:rPr>
                <w:lang w:val="zh-CN"/>
              </w:rPr>
              <w:t>0.14</w:t>
            </w:r>
          </w:p>
        </w:tc>
        <w:tc>
          <w:tcPr>
            <w:tcW w:w="720" w:type="dxa"/>
            <w:tcBorders>
              <w:top w:val="single" w:sz="4" w:space="0" w:color="auto"/>
              <w:left w:val="nil"/>
              <w:bottom w:val="single" w:sz="4" w:space="0" w:color="auto"/>
              <w:right w:val="single" w:sz="4" w:space="0" w:color="auto"/>
            </w:tcBorders>
            <w:shd w:val="clear" w:color="auto" w:fill="auto"/>
            <w:vAlign w:val="bottom"/>
          </w:tcPr>
          <w:p w14:paraId="708060CE" w14:textId="77777777" w:rsidR="009D4A93" w:rsidRPr="00536CFD" w:rsidRDefault="009D4A93" w:rsidP="009D4A93">
            <w:pPr>
              <w:spacing w:after="0"/>
              <w:jc w:val="center"/>
              <w:rPr>
                <w:lang w:val="zh-CN"/>
              </w:rPr>
            </w:pPr>
            <w:r w:rsidRPr="00536CFD">
              <w:rPr>
                <w:lang w:val="zh-CN"/>
              </w:rPr>
              <w:t>0.09</w:t>
            </w:r>
          </w:p>
        </w:tc>
        <w:tc>
          <w:tcPr>
            <w:tcW w:w="810" w:type="dxa"/>
            <w:tcBorders>
              <w:top w:val="single" w:sz="4" w:space="0" w:color="auto"/>
              <w:left w:val="nil"/>
              <w:bottom w:val="single" w:sz="4" w:space="0" w:color="auto"/>
              <w:right w:val="single" w:sz="4" w:space="0" w:color="auto"/>
            </w:tcBorders>
            <w:shd w:val="clear" w:color="auto" w:fill="auto"/>
            <w:vAlign w:val="bottom"/>
          </w:tcPr>
          <w:p w14:paraId="080EB0E1" w14:textId="77777777" w:rsidR="009D4A93" w:rsidRPr="00536CFD" w:rsidRDefault="009D4A93" w:rsidP="009D4A93">
            <w:pPr>
              <w:spacing w:after="0"/>
              <w:jc w:val="center"/>
              <w:rPr>
                <w:lang w:val="zh-CN"/>
              </w:rPr>
            </w:pPr>
            <w:r w:rsidRPr="00536CFD">
              <w:rPr>
                <w:lang w:val="zh-CN"/>
              </w:rPr>
              <w:t>0.06</w:t>
            </w:r>
          </w:p>
        </w:tc>
        <w:tc>
          <w:tcPr>
            <w:tcW w:w="810" w:type="dxa"/>
            <w:tcBorders>
              <w:top w:val="single" w:sz="4" w:space="0" w:color="auto"/>
              <w:left w:val="nil"/>
              <w:bottom w:val="single" w:sz="4" w:space="0" w:color="auto"/>
              <w:right w:val="single" w:sz="4" w:space="0" w:color="auto"/>
            </w:tcBorders>
            <w:shd w:val="clear" w:color="auto" w:fill="auto"/>
            <w:vAlign w:val="bottom"/>
          </w:tcPr>
          <w:p w14:paraId="36A46CE6" w14:textId="77777777" w:rsidR="009D4A93" w:rsidRPr="00536CFD" w:rsidRDefault="009D4A93" w:rsidP="009D4A93">
            <w:pPr>
              <w:spacing w:after="0"/>
              <w:jc w:val="center"/>
              <w:rPr>
                <w:lang w:val="zh-CN"/>
              </w:rPr>
            </w:pPr>
            <w:r w:rsidRPr="00536CFD">
              <w:rPr>
                <w:lang w:val="zh-CN"/>
              </w:rPr>
              <w:t>0.50</w:t>
            </w:r>
          </w:p>
        </w:tc>
        <w:tc>
          <w:tcPr>
            <w:tcW w:w="820" w:type="dxa"/>
            <w:tcBorders>
              <w:top w:val="single" w:sz="4" w:space="0" w:color="auto"/>
              <w:left w:val="nil"/>
              <w:bottom w:val="single" w:sz="4" w:space="0" w:color="auto"/>
              <w:right w:val="single" w:sz="4" w:space="0" w:color="auto"/>
            </w:tcBorders>
            <w:shd w:val="clear" w:color="auto" w:fill="auto"/>
            <w:vAlign w:val="bottom"/>
          </w:tcPr>
          <w:p w14:paraId="5CF28021" w14:textId="77777777" w:rsidR="009D4A93" w:rsidRPr="00536CFD" w:rsidRDefault="009D4A93" w:rsidP="009D4A93">
            <w:pPr>
              <w:spacing w:after="0"/>
              <w:jc w:val="center"/>
              <w:rPr>
                <w:lang w:val="zh-CN"/>
              </w:rPr>
            </w:pPr>
            <w:r w:rsidRPr="00536CFD">
              <w:rPr>
                <w:lang w:val="zh-CN"/>
              </w:rPr>
              <w:t>0.36</w:t>
            </w:r>
          </w:p>
        </w:tc>
        <w:tc>
          <w:tcPr>
            <w:tcW w:w="800" w:type="dxa"/>
            <w:tcBorders>
              <w:top w:val="single" w:sz="4" w:space="0" w:color="auto"/>
              <w:left w:val="nil"/>
              <w:bottom w:val="single" w:sz="4" w:space="0" w:color="auto"/>
              <w:right w:val="single" w:sz="4" w:space="0" w:color="auto"/>
            </w:tcBorders>
            <w:shd w:val="clear" w:color="auto" w:fill="auto"/>
            <w:vAlign w:val="bottom"/>
          </w:tcPr>
          <w:p w14:paraId="5E2A6441" w14:textId="77777777" w:rsidR="009D4A93" w:rsidRPr="00536CFD" w:rsidRDefault="009D4A93" w:rsidP="009D4A93">
            <w:pPr>
              <w:spacing w:after="0"/>
              <w:jc w:val="center"/>
              <w:rPr>
                <w:lang w:val="zh-CN"/>
              </w:rPr>
            </w:pPr>
            <w:r w:rsidRPr="00536CFD">
              <w:rPr>
                <w:lang w:val="zh-CN"/>
              </w:rPr>
              <w:t>0.26</w:t>
            </w:r>
          </w:p>
        </w:tc>
        <w:tc>
          <w:tcPr>
            <w:tcW w:w="720" w:type="dxa"/>
            <w:tcBorders>
              <w:top w:val="single" w:sz="4" w:space="0" w:color="auto"/>
              <w:left w:val="nil"/>
              <w:bottom w:val="single" w:sz="4" w:space="0" w:color="auto"/>
              <w:right w:val="single" w:sz="4" w:space="0" w:color="auto"/>
            </w:tcBorders>
            <w:shd w:val="clear" w:color="auto" w:fill="auto"/>
            <w:vAlign w:val="bottom"/>
          </w:tcPr>
          <w:p w14:paraId="1B54EB88" w14:textId="77777777" w:rsidR="009D4A93" w:rsidRPr="00536CFD" w:rsidRDefault="009D4A93" w:rsidP="009D4A93">
            <w:pPr>
              <w:spacing w:after="0"/>
              <w:jc w:val="center"/>
              <w:rPr>
                <w:lang w:val="zh-CN"/>
              </w:rPr>
            </w:pPr>
            <w:r w:rsidRPr="00536CFD">
              <w:rPr>
                <w:lang w:val="zh-CN"/>
              </w:rPr>
              <w:t>0.13</w:t>
            </w:r>
          </w:p>
        </w:tc>
        <w:tc>
          <w:tcPr>
            <w:tcW w:w="724" w:type="dxa"/>
            <w:tcBorders>
              <w:top w:val="single" w:sz="4" w:space="0" w:color="auto"/>
              <w:left w:val="nil"/>
              <w:bottom w:val="single" w:sz="4" w:space="0" w:color="auto"/>
              <w:right w:val="single" w:sz="4" w:space="0" w:color="auto"/>
            </w:tcBorders>
            <w:shd w:val="clear" w:color="auto" w:fill="auto"/>
            <w:vAlign w:val="bottom"/>
          </w:tcPr>
          <w:p w14:paraId="23DC72AF" w14:textId="77777777" w:rsidR="009D4A93" w:rsidRPr="00536CFD" w:rsidRDefault="009D4A93" w:rsidP="009D4A93">
            <w:pPr>
              <w:spacing w:after="0"/>
              <w:jc w:val="center"/>
              <w:rPr>
                <w:lang w:val="zh-CN"/>
              </w:rPr>
            </w:pPr>
            <w:r w:rsidRPr="00536CFD">
              <w:rPr>
                <w:lang w:val="zh-CN"/>
              </w:rPr>
              <w:t>0.70</w:t>
            </w:r>
          </w:p>
        </w:tc>
        <w:tc>
          <w:tcPr>
            <w:tcW w:w="896" w:type="dxa"/>
            <w:tcBorders>
              <w:top w:val="single" w:sz="4" w:space="0" w:color="auto"/>
              <w:left w:val="nil"/>
              <w:bottom w:val="single" w:sz="4" w:space="0" w:color="auto"/>
              <w:right w:val="single" w:sz="4" w:space="0" w:color="auto"/>
            </w:tcBorders>
            <w:shd w:val="clear" w:color="auto" w:fill="auto"/>
            <w:vAlign w:val="bottom"/>
          </w:tcPr>
          <w:p w14:paraId="5B2878D7" w14:textId="77777777" w:rsidR="009D4A93" w:rsidRPr="00536CFD" w:rsidRDefault="009D4A93" w:rsidP="009D4A93">
            <w:pPr>
              <w:spacing w:after="0"/>
              <w:jc w:val="center"/>
              <w:rPr>
                <w:lang w:val="zh-CN"/>
              </w:rPr>
            </w:pPr>
            <w:r w:rsidRPr="00536CFD">
              <w:rPr>
                <w:lang w:val="zh-CN"/>
              </w:rPr>
              <w:t>0.52</w:t>
            </w:r>
          </w:p>
        </w:tc>
        <w:tc>
          <w:tcPr>
            <w:tcW w:w="720" w:type="dxa"/>
            <w:tcBorders>
              <w:top w:val="single" w:sz="4" w:space="0" w:color="auto"/>
              <w:left w:val="nil"/>
              <w:bottom w:val="single" w:sz="4" w:space="0" w:color="auto"/>
              <w:right w:val="single" w:sz="4" w:space="0" w:color="auto"/>
            </w:tcBorders>
            <w:shd w:val="clear" w:color="auto" w:fill="auto"/>
            <w:vAlign w:val="bottom"/>
          </w:tcPr>
          <w:p w14:paraId="3AB0C512" w14:textId="77777777" w:rsidR="009D4A93" w:rsidRPr="00536CFD" w:rsidRDefault="009D4A93" w:rsidP="009D4A93">
            <w:pPr>
              <w:spacing w:after="0"/>
              <w:jc w:val="center"/>
              <w:rPr>
                <w:lang w:val="zh-CN"/>
              </w:rPr>
            </w:pPr>
            <w:r w:rsidRPr="00536CFD">
              <w:rPr>
                <w:lang w:val="zh-CN"/>
              </w:rPr>
              <w:t>0.41</w:t>
            </w:r>
          </w:p>
        </w:tc>
        <w:tc>
          <w:tcPr>
            <w:tcW w:w="720" w:type="dxa"/>
            <w:tcBorders>
              <w:top w:val="single" w:sz="4" w:space="0" w:color="auto"/>
              <w:left w:val="nil"/>
              <w:bottom w:val="single" w:sz="4" w:space="0" w:color="auto"/>
              <w:right w:val="single" w:sz="4" w:space="0" w:color="auto"/>
            </w:tcBorders>
            <w:shd w:val="clear" w:color="auto" w:fill="auto"/>
            <w:vAlign w:val="bottom"/>
          </w:tcPr>
          <w:p w14:paraId="2A850BC6" w14:textId="77777777" w:rsidR="009D4A93" w:rsidRPr="00536CFD" w:rsidRDefault="009D4A93" w:rsidP="009D4A93">
            <w:pPr>
              <w:spacing w:after="0"/>
              <w:jc w:val="center"/>
              <w:rPr>
                <w:lang w:val="zh-CN"/>
              </w:rPr>
            </w:pPr>
            <w:r w:rsidRPr="00536CFD">
              <w:rPr>
                <w:lang w:val="zh-CN"/>
              </w:rPr>
              <w:t>0.18</w:t>
            </w:r>
          </w:p>
        </w:tc>
      </w:tr>
      <w:tr w:rsidR="009D4A93" w:rsidRPr="00536CFD" w14:paraId="3D08C86F"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4C506BB"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659FF6D8"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44CD9E2D" w14:textId="77777777" w:rsidR="009D4A93" w:rsidRPr="00536CFD" w:rsidRDefault="009D4A93" w:rsidP="009D4A93">
            <w:pPr>
              <w:spacing w:after="0"/>
              <w:jc w:val="center"/>
              <w:rPr>
                <w:lang w:val="zh-CN"/>
              </w:rPr>
            </w:pPr>
            <w:r w:rsidRPr="00536CFD">
              <w:rPr>
                <w:lang w:val="zh-CN"/>
              </w:rPr>
              <w:t>1.5 Mbps</w:t>
            </w:r>
          </w:p>
        </w:tc>
        <w:tc>
          <w:tcPr>
            <w:tcW w:w="3150" w:type="dxa"/>
            <w:gridSpan w:val="4"/>
            <w:tcBorders>
              <w:top w:val="single" w:sz="4" w:space="0" w:color="auto"/>
              <w:left w:val="nil"/>
              <w:bottom w:val="single" w:sz="4" w:space="0" w:color="auto"/>
              <w:right w:val="single" w:sz="4" w:space="0" w:color="auto"/>
            </w:tcBorders>
            <w:shd w:val="clear" w:color="auto" w:fill="auto"/>
          </w:tcPr>
          <w:p w14:paraId="1F39F8CB" w14:textId="77777777" w:rsidR="009D4A93" w:rsidRPr="00536CFD" w:rsidRDefault="009D4A93" w:rsidP="009D4A93">
            <w:pPr>
              <w:spacing w:after="0"/>
              <w:jc w:val="center"/>
              <w:rPr>
                <w:lang w:val="zh-CN"/>
              </w:rPr>
            </w:pPr>
            <w:r w:rsidRPr="00536CFD">
              <w:rPr>
                <w:lang w:val="zh-CN"/>
              </w:rPr>
              <w:t>2.5 Mbps</w:t>
            </w:r>
          </w:p>
        </w:tc>
        <w:tc>
          <w:tcPr>
            <w:tcW w:w="3060" w:type="dxa"/>
            <w:gridSpan w:val="4"/>
            <w:tcBorders>
              <w:top w:val="single" w:sz="4" w:space="0" w:color="auto"/>
              <w:left w:val="nil"/>
              <w:bottom w:val="single" w:sz="4" w:space="0" w:color="auto"/>
              <w:right w:val="single" w:sz="4" w:space="0" w:color="auto"/>
            </w:tcBorders>
            <w:shd w:val="clear" w:color="auto" w:fill="auto"/>
          </w:tcPr>
          <w:p w14:paraId="0E0A526D" w14:textId="77777777" w:rsidR="009D4A93" w:rsidRPr="00536CFD" w:rsidRDefault="009D4A93" w:rsidP="009D4A93">
            <w:pPr>
              <w:spacing w:after="0"/>
              <w:jc w:val="center"/>
              <w:rPr>
                <w:lang w:val="zh-CN"/>
              </w:rPr>
            </w:pPr>
            <w:r w:rsidRPr="00536CFD">
              <w:rPr>
                <w:lang w:val="zh-CN"/>
              </w:rPr>
              <w:t>3.0 Mbps</w:t>
            </w:r>
          </w:p>
        </w:tc>
      </w:tr>
      <w:tr w:rsidR="009D4A93" w:rsidRPr="00536CFD" w14:paraId="081DCFF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4FE23F1"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4B59151"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7494B62D" w14:textId="77777777" w:rsidR="009D4A93" w:rsidRPr="00536CFD" w:rsidRDefault="009D4A93" w:rsidP="009D4A93">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enabled, ED/PD threshold -62/-82 dBm, A-MPDU size is chosen to get MPDU duration of 1ms, Wi-Fi Guard Interval short,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Switching points no longer than 16 µs every 2ms for CSI feedback, UL grant update.</w:t>
            </w:r>
          </w:p>
        </w:tc>
      </w:tr>
      <w:tr w:rsidR="009D4A93" w:rsidRPr="00536CFD" w14:paraId="68EA3C04"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7ABFF4B1" w14:textId="77777777" w:rsidR="009D4A93" w:rsidRPr="00536CFD" w:rsidRDefault="009D4A93" w:rsidP="009D4A93">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535" w:type="dxa"/>
            <w:vMerge w:val="restart"/>
            <w:tcBorders>
              <w:top w:val="nil"/>
              <w:left w:val="nil"/>
              <w:bottom w:val="single" w:sz="4" w:space="0" w:color="auto"/>
              <w:right w:val="single" w:sz="4" w:space="0" w:color="auto"/>
            </w:tcBorders>
            <w:shd w:val="clear" w:color="auto" w:fill="auto"/>
          </w:tcPr>
          <w:p w14:paraId="311B32D2"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7B797A54"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7E56D2C3" w14:textId="77777777" w:rsidR="009D4A93" w:rsidRPr="00536CFD" w:rsidRDefault="009D4A93" w:rsidP="009D4A93">
            <w:pPr>
              <w:pageBreakBefore/>
              <w:spacing w:after="0"/>
              <w:jc w:val="center"/>
              <w:rPr>
                <w:lang w:val="zh-CN"/>
              </w:rPr>
            </w:pPr>
            <w:r w:rsidRPr="00536CFD">
              <w:rPr>
                <w:lang w:val="zh-CN"/>
              </w:rPr>
              <w:t>31.00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63E0728E" w14:textId="77777777" w:rsidR="009D4A93" w:rsidRPr="00536CFD" w:rsidRDefault="009D4A93" w:rsidP="009D4A93">
            <w:pPr>
              <w:pageBreakBefore/>
              <w:spacing w:after="0"/>
              <w:jc w:val="center"/>
              <w:rPr>
                <w:lang w:val="zh-CN"/>
              </w:rPr>
            </w:pPr>
            <w:r w:rsidRPr="00536CFD">
              <w:rPr>
                <w:lang w:val="zh-CN"/>
              </w:rPr>
              <w:t>34.36</w:t>
            </w:r>
          </w:p>
        </w:tc>
        <w:tc>
          <w:tcPr>
            <w:tcW w:w="720" w:type="dxa"/>
            <w:tcBorders>
              <w:top w:val="single" w:sz="4" w:space="0" w:color="auto"/>
              <w:left w:val="nil"/>
              <w:bottom w:val="single" w:sz="4" w:space="0" w:color="auto"/>
              <w:right w:val="single" w:sz="4" w:space="0" w:color="auto"/>
            </w:tcBorders>
            <w:shd w:val="clear" w:color="auto" w:fill="auto"/>
            <w:vAlign w:val="bottom"/>
          </w:tcPr>
          <w:p w14:paraId="3497AB32" w14:textId="77777777" w:rsidR="009D4A93" w:rsidRPr="00536CFD" w:rsidRDefault="009D4A93" w:rsidP="009D4A93">
            <w:pPr>
              <w:pageBreakBefore/>
              <w:spacing w:after="0"/>
              <w:jc w:val="center"/>
              <w:rPr>
                <w:lang w:val="zh-CN"/>
              </w:rPr>
            </w:pPr>
            <w:r w:rsidRPr="00536CFD">
              <w:rPr>
                <w:lang w:val="zh-CN"/>
              </w:rPr>
              <w:t>64.17</w:t>
            </w:r>
          </w:p>
        </w:tc>
        <w:tc>
          <w:tcPr>
            <w:tcW w:w="810" w:type="dxa"/>
            <w:tcBorders>
              <w:top w:val="single" w:sz="4" w:space="0" w:color="auto"/>
              <w:left w:val="nil"/>
              <w:bottom w:val="single" w:sz="4" w:space="0" w:color="auto"/>
              <w:right w:val="single" w:sz="4" w:space="0" w:color="auto"/>
            </w:tcBorders>
            <w:shd w:val="clear" w:color="auto" w:fill="auto"/>
            <w:vAlign w:val="bottom"/>
          </w:tcPr>
          <w:p w14:paraId="398F6F70" w14:textId="77777777" w:rsidR="009D4A93" w:rsidRPr="00536CFD" w:rsidRDefault="009D4A93" w:rsidP="009D4A93">
            <w:pPr>
              <w:pageBreakBefore/>
              <w:spacing w:after="0"/>
              <w:jc w:val="center"/>
              <w:rPr>
                <w:lang w:val="zh-CN"/>
              </w:rPr>
            </w:pPr>
            <w:r w:rsidRPr="00536CFD">
              <w:rPr>
                <w:lang w:val="zh-CN"/>
              </w:rPr>
              <w:t>77.4</w:t>
            </w:r>
          </w:p>
        </w:tc>
        <w:tc>
          <w:tcPr>
            <w:tcW w:w="810" w:type="dxa"/>
            <w:tcBorders>
              <w:top w:val="single" w:sz="4" w:space="0" w:color="auto"/>
              <w:left w:val="nil"/>
              <w:bottom w:val="single" w:sz="4" w:space="0" w:color="auto"/>
              <w:right w:val="single" w:sz="4" w:space="0" w:color="auto"/>
            </w:tcBorders>
            <w:shd w:val="clear" w:color="auto" w:fill="auto"/>
            <w:vAlign w:val="bottom"/>
          </w:tcPr>
          <w:p w14:paraId="4EB2E019" w14:textId="77777777" w:rsidR="009D4A93" w:rsidRPr="00536CFD" w:rsidRDefault="009D4A93" w:rsidP="009D4A93">
            <w:pPr>
              <w:pageBreakBefore/>
              <w:spacing w:after="0"/>
              <w:jc w:val="center"/>
              <w:rPr>
                <w:lang w:val="zh-CN"/>
              </w:rPr>
            </w:pPr>
            <w:r w:rsidRPr="00536CFD">
              <w:rPr>
                <w:lang w:val="zh-CN"/>
              </w:rPr>
              <w:t>3.56</w:t>
            </w:r>
          </w:p>
        </w:tc>
        <w:tc>
          <w:tcPr>
            <w:tcW w:w="820" w:type="dxa"/>
            <w:tcBorders>
              <w:top w:val="single" w:sz="4" w:space="0" w:color="auto"/>
              <w:left w:val="nil"/>
              <w:bottom w:val="single" w:sz="4" w:space="0" w:color="auto"/>
              <w:right w:val="single" w:sz="4" w:space="0" w:color="auto"/>
            </w:tcBorders>
            <w:shd w:val="clear" w:color="auto" w:fill="auto"/>
            <w:vAlign w:val="bottom"/>
          </w:tcPr>
          <w:p w14:paraId="3F4BF2B4" w14:textId="77777777" w:rsidR="009D4A93" w:rsidRPr="00536CFD" w:rsidRDefault="009D4A93" w:rsidP="009D4A93">
            <w:pPr>
              <w:pageBreakBefore/>
              <w:spacing w:after="0"/>
              <w:jc w:val="center"/>
              <w:rPr>
                <w:lang w:val="zh-CN"/>
              </w:rPr>
            </w:pPr>
            <w:r w:rsidRPr="00536CFD">
              <w:rPr>
                <w:lang w:val="zh-CN"/>
              </w:rPr>
              <w:t>16.93</w:t>
            </w:r>
          </w:p>
        </w:tc>
        <w:tc>
          <w:tcPr>
            <w:tcW w:w="800" w:type="dxa"/>
            <w:tcBorders>
              <w:top w:val="single" w:sz="4" w:space="0" w:color="auto"/>
              <w:left w:val="nil"/>
              <w:bottom w:val="single" w:sz="4" w:space="0" w:color="auto"/>
              <w:right w:val="single" w:sz="4" w:space="0" w:color="auto"/>
            </w:tcBorders>
            <w:shd w:val="clear" w:color="auto" w:fill="auto"/>
            <w:vAlign w:val="bottom"/>
          </w:tcPr>
          <w:p w14:paraId="5FAAB223" w14:textId="77777777" w:rsidR="009D4A93" w:rsidRPr="00536CFD" w:rsidRDefault="009D4A93" w:rsidP="009D4A93">
            <w:pPr>
              <w:pageBreakBefore/>
              <w:spacing w:after="0"/>
              <w:jc w:val="center"/>
              <w:rPr>
                <w:lang w:val="zh-CN"/>
              </w:rPr>
            </w:pPr>
            <w:r w:rsidRPr="00536CFD">
              <w:rPr>
                <w:lang w:val="zh-CN"/>
              </w:rPr>
              <w:t>38.99</w:t>
            </w:r>
          </w:p>
        </w:tc>
        <w:tc>
          <w:tcPr>
            <w:tcW w:w="720" w:type="dxa"/>
            <w:tcBorders>
              <w:top w:val="single" w:sz="4" w:space="0" w:color="auto"/>
              <w:left w:val="nil"/>
              <w:bottom w:val="single" w:sz="4" w:space="0" w:color="auto"/>
              <w:right w:val="single" w:sz="4" w:space="0" w:color="auto"/>
            </w:tcBorders>
            <w:shd w:val="clear" w:color="auto" w:fill="auto"/>
            <w:vAlign w:val="bottom"/>
          </w:tcPr>
          <w:p w14:paraId="3280E53F" w14:textId="77777777" w:rsidR="009D4A93" w:rsidRPr="00536CFD" w:rsidRDefault="009D4A93" w:rsidP="009D4A93">
            <w:pPr>
              <w:pageBreakBefore/>
              <w:spacing w:after="0"/>
              <w:jc w:val="center"/>
              <w:rPr>
                <w:lang w:val="zh-CN"/>
              </w:rPr>
            </w:pPr>
            <w:r w:rsidRPr="00536CFD">
              <w:rPr>
                <w:lang w:val="zh-CN"/>
              </w:rPr>
              <w:t>65.54</w:t>
            </w:r>
          </w:p>
        </w:tc>
        <w:tc>
          <w:tcPr>
            <w:tcW w:w="724" w:type="dxa"/>
            <w:tcBorders>
              <w:top w:val="single" w:sz="4" w:space="0" w:color="auto"/>
              <w:left w:val="nil"/>
              <w:bottom w:val="single" w:sz="4" w:space="0" w:color="auto"/>
              <w:right w:val="single" w:sz="4" w:space="0" w:color="auto"/>
            </w:tcBorders>
            <w:shd w:val="clear" w:color="auto" w:fill="auto"/>
            <w:vAlign w:val="bottom"/>
          </w:tcPr>
          <w:p w14:paraId="15E77762" w14:textId="77777777" w:rsidR="009D4A93" w:rsidRPr="00536CFD" w:rsidRDefault="009D4A93" w:rsidP="009D4A93">
            <w:pPr>
              <w:pageBreakBefore/>
              <w:spacing w:after="0"/>
              <w:jc w:val="center"/>
              <w:rPr>
                <w:lang w:val="zh-CN"/>
              </w:rPr>
            </w:pPr>
            <w:r w:rsidRPr="00536CFD">
              <w:rPr>
                <w:lang w:val="zh-CN"/>
              </w:rPr>
              <w:t>0.12</w:t>
            </w:r>
          </w:p>
        </w:tc>
        <w:tc>
          <w:tcPr>
            <w:tcW w:w="896" w:type="dxa"/>
            <w:tcBorders>
              <w:top w:val="single" w:sz="4" w:space="0" w:color="auto"/>
              <w:left w:val="nil"/>
              <w:bottom w:val="single" w:sz="4" w:space="0" w:color="auto"/>
              <w:right w:val="single" w:sz="4" w:space="0" w:color="auto"/>
            </w:tcBorders>
            <w:shd w:val="clear" w:color="auto" w:fill="auto"/>
            <w:vAlign w:val="bottom"/>
          </w:tcPr>
          <w:p w14:paraId="6BDBA7BE" w14:textId="77777777" w:rsidR="009D4A93" w:rsidRPr="00536CFD" w:rsidRDefault="009D4A93" w:rsidP="009D4A93">
            <w:pPr>
              <w:pageBreakBefore/>
              <w:spacing w:after="0"/>
              <w:jc w:val="center"/>
              <w:rPr>
                <w:lang w:val="zh-CN"/>
              </w:rPr>
            </w:pPr>
            <w:r w:rsidRPr="00536CFD">
              <w:rPr>
                <w:lang w:val="zh-CN"/>
              </w:rPr>
              <w:t>1.74</w:t>
            </w:r>
          </w:p>
        </w:tc>
        <w:tc>
          <w:tcPr>
            <w:tcW w:w="720" w:type="dxa"/>
            <w:tcBorders>
              <w:top w:val="single" w:sz="4" w:space="0" w:color="auto"/>
              <w:left w:val="nil"/>
              <w:bottom w:val="single" w:sz="4" w:space="0" w:color="auto"/>
              <w:right w:val="single" w:sz="4" w:space="0" w:color="auto"/>
            </w:tcBorders>
            <w:shd w:val="clear" w:color="auto" w:fill="auto"/>
            <w:vAlign w:val="bottom"/>
          </w:tcPr>
          <w:p w14:paraId="64BF0641" w14:textId="77777777" w:rsidR="009D4A93" w:rsidRPr="00536CFD" w:rsidRDefault="009D4A93" w:rsidP="009D4A93">
            <w:pPr>
              <w:pageBreakBefore/>
              <w:spacing w:after="0"/>
              <w:jc w:val="center"/>
              <w:rPr>
                <w:lang w:val="zh-CN"/>
              </w:rPr>
            </w:pPr>
            <w:r w:rsidRPr="00536CFD">
              <w:rPr>
                <w:lang w:val="zh-CN"/>
              </w:rPr>
              <w:t>24.3</w:t>
            </w:r>
          </w:p>
        </w:tc>
        <w:tc>
          <w:tcPr>
            <w:tcW w:w="720" w:type="dxa"/>
            <w:tcBorders>
              <w:top w:val="single" w:sz="4" w:space="0" w:color="auto"/>
              <w:left w:val="nil"/>
              <w:bottom w:val="single" w:sz="4" w:space="0" w:color="auto"/>
              <w:right w:val="single" w:sz="4" w:space="0" w:color="auto"/>
            </w:tcBorders>
            <w:shd w:val="clear" w:color="auto" w:fill="auto"/>
            <w:vAlign w:val="bottom"/>
          </w:tcPr>
          <w:p w14:paraId="0F5FCA8D" w14:textId="77777777" w:rsidR="009D4A93" w:rsidRPr="00536CFD" w:rsidRDefault="009D4A93" w:rsidP="009D4A93">
            <w:pPr>
              <w:pageBreakBefore/>
              <w:spacing w:after="0"/>
              <w:jc w:val="center"/>
              <w:rPr>
                <w:lang w:val="zh-CN"/>
              </w:rPr>
            </w:pPr>
            <w:r w:rsidRPr="00536CFD">
              <w:rPr>
                <w:lang w:val="zh-CN"/>
              </w:rPr>
              <w:t>59.97</w:t>
            </w:r>
          </w:p>
        </w:tc>
      </w:tr>
      <w:tr w:rsidR="009D4A93" w:rsidRPr="00536CFD" w14:paraId="237EE2F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D0D598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43004A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12F637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5208B708" w14:textId="77777777" w:rsidR="009D4A93" w:rsidRPr="00536CFD" w:rsidRDefault="009D4A93" w:rsidP="009D4A93">
            <w:pPr>
              <w:spacing w:after="0"/>
              <w:jc w:val="center"/>
              <w:rPr>
                <w:lang w:val="zh-CN"/>
              </w:rPr>
            </w:pPr>
            <w:r w:rsidRPr="00536CFD">
              <w:rPr>
                <w:lang w:val="zh-CN"/>
              </w:rPr>
              <w:t>70.47</w:t>
            </w:r>
          </w:p>
        </w:tc>
        <w:tc>
          <w:tcPr>
            <w:tcW w:w="720" w:type="dxa"/>
            <w:tcBorders>
              <w:top w:val="single" w:sz="4" w:space="0" w:color="auto"/>
              <w:left w:val="nil"/>
              <w:bottom w:val="single" w:sz="4" w:space="0" w:color="auto"/>
              <w:right w:val="single" w:sz="4" w:space="0" w:color="auto"/>
            </w:tcBorders>
            <w:shd w:val="clear" w:color="auto" w:fill="auto"/>
            <w:vAlign w:val="bottom"/>
          </w:tcPr>
          <w:p w14:paraId="33629B14" w14:textId="77777777" w:rsidR="009D4A93" w:rsidRPr="00536CFD" w:rsidRDefault="009D4A93" w:rsidP="009D4A93">
            <w:pPr>
              <w:spacing w:after="0"/>
              <w:jc w:val="center"/>
              <w:rPr>
                <w:lang w:val="zh-CN"/>
              </w:rPr>
            </w:pPr>
            <w:r w:rsidRPr="00536CFD">
              <w:rPr>
                <w:lang w:val="zh-CN"/>
              </w:rPr>
              <w:t>79.89</w:t>
            </w:r>
          </w:p>
        </w:tc>
        <w:tc>
          <w:tcPr>
            <w:tcW w:w="720" w:type="dxa"/>
            <w:tcBorders>
              <w:top w:val="single" w:sz="4" w:space="0" w:color="auto"/>
              <w:left w:val="nil"/>
              <w:bottom w:val="single" w:sz="4" w:space="0" w:color="auto"/>
              <w:right w:val="single" w:sz="4" w:space="0" w:color="auto"/>
            </w:tcBorders>
            <w:shd w:val="clear" w:color="auto" w:fill="auto"/>
            <w:vAlign w:val="bottom"/>
          </w:tcPr>
          <w:p w14:paraId="68E41AB1" w14:textId="77777777" w:rsidR="009D4A93" w:rsidRPr="00536CFD" w:rsidRDefault="009D4A93" w:rsidP="009D4A93">
            <w:pPr>
              <w:spacing w:after="0"/>
              <w:jc w:val="center"/>
              <w:rPr>
                <w:lang w:val="zh-CN"/>
              </w:rPr>
            </w:pPr>
            <w:r w:rsidRPr="00536CFD">
              <w:rPr>
                <w:lang w:val="zh-CN"/>
              </w:rPr>
              <w:t>123.64</w:t>
            </w:r>
          </w:p>
        </w:tc>
        <w:tc>
          <w:tcPr>
            <w:tcW w:w="810" w:type="dxa"/>
            <w:tcBorders>
              <w:top w:val="single" w:sz="4" w:space="0" w:color="auto"/>
              <w:left w:val="nil"/>
              <w:bottom w:val="single" w:sz="4" w:space="0" w:color="auto"/>
              <w:right w:val="single" w:sz="4" w:space="0" w:color="auto"/>
            </w:tcBorders>
            <w:shd w:val="clear" w:color="auto" w:fill="auto"/>
            <w:vAlign w:val="bottom"/>
          </w:tcPr>
          <w:p w14:paraId="11E0DCA2" w14:textId="77777777" w:rsidR="009D4A93" w:rsidRPr="00536CFD" w:rsidRDefault="009D4A93" w:rsidP="009D4A93">
            <w:pPr>
              <w:spacing w:after="0"/>
              <w:jc w:val="center"/>
              <w:rPr>
                <w:lang w:val="zh-CN"/>
              </w:rPr>
            </w:pPr>
            <w:r w:rsidRPr="00536CFD">
              <w:rPr>
                <w:lang w:val="zh-CN"/>
              </w:rPr>
              <w:t>142.29</w:t>
            </w:r>
          </w:p>
        </w:tc>
        <w:tc>
          <w:tcPr>
            <w:tcW w:w="810" w:type="dxa"/>
            <w:tcBorders>
              <w:top w:val="single" w:sz="4" w:space="0" w:color="auto"/>
              <w:left w:val="nil"/>
              <w:bottom w:val="single" w:sz="4" w:space="0" w:color="auto"/>
              <w:right w:val="single" w:sz="4" w:space="0" w:color="auto"/>
            </w:tcBorders>
            <w:shd w:val="clear" w:color="auto" w:fill="auto"/>
            <w:vAlign w:val="bottom"/>
          </w:tcPr>
          <w:p w14:paraId="7A7CEEA4" w14:textId="77777777" w:rsidR="009D4A93" w:rsidRPr="00536CFD" w:rsidRDefault="009D4A93" w:rsidP="009D4A93">
            <w:pPr>
              <w:spacing w:after="0"/>
              <w:jc w:val="center"/>
              <w:rPr>
                <w:lang w:val="zh-CN"/>
              </w:rPr>
            </w:pPr>
            <w:r w:rsidRPr="00536CFD">
              <w:rPr>
                <w:lang w:val="zh-CN"/>
              </w:rPr>
              <w:t>42.25</w:t>
            </w:r>
          </w:p>
        </w:tc>
        <w:tc>
          <w:tcPr>
            <w:tcW w:w="820" w:type="dxa"/>
            <w:tcBorders>
              <w:top w:val="single" w:sz="4" w:space="0" w:color="auto"/>
              <w:left w:val="nil"/>
              <w:bottom w:val="single" w:sz="4" w:space="0" w:color="auto"/>
              <w:right w:val="single" w:sz="4" w:space="0" w:color="auto"/>
            </w:tcBorders>
            <w:shd w:val="clear" w:color="auto" w:fill="auto"/>
            <w:vAlign w:val="bottom"/>
          </w:tcPr>
          <w:p w14:paraId="25DC07D6" w14:textId="77777777" w:rsidR="009D4A93" w:rsidRPr="00536CFD" w:rsidRDefault="009D4A93" w:rsidP="009D4A93">
            <w:pPr>
              <w:spacing w:after="0"/>
              <w:jc w:val="center"/>
              <w:rPr>
                <w:lang w:val="zh-CN"/>
              </w:rPr>
            </w:pPr>
            <w:r w:rsidRPr="00536CFD">
              <w:rPr>
                <w:lang w:val="zh-CN"/>
              </w:rPr>
              <w:t>58.61</w:t>
            </w:r>
          </w:p>
        </w:tc>
        <w:tc>
          <w:tcPr>
            <w:tcW w:w="800" w:type="dxa"/>
            <w:tcBorders>
              <w:top w:val="single" w:sz="4" w:space="0" w:color="auto"/>
              <w:left w:val="nil"/>
              <w:bottom w:val="single" w:sz="4" w:space="0" w:color="auto"/>
              <w:right w:val="single" w:sz="4" w:space="0" w:color="auto"/>
            </w:tcBorders>
            <w:shd w:val="clear" w:color="auto" w:fill="auto"/>
            <w:vAlign w:val="bottom"/>
          </w:tcPr>
          <w:p w14:paraId="052552C5" w14:textId="77777777" w:rsidR="009D4A93" w:rsidRPr="00536CFD" w:rsidRDefault="009D4A93" w:rsidP="009D4A93">
            <w:pPr>
              <w:spacing w:after="0"/>
              <w:jc w:val="center"/>
              <w:rPr>
                <w:lang w:val="zh-CN"/>
              </w:rPr>
            </w:pPr>
            <w:r w:rsidRPr="00536CFD">
              <w:rPr>
                <w:lang w:val="zh-CN"/>
              </w:rPr>
              <w:t>91.44</w:t>
            </w:r>
          </w:p>
        </w:tc>
        <w:tc>
          <w:tcPr>
            <w:tcW w:w="720" w:type="dxa"/>
            <w:tcBorders>
              <w:top w:val="single" w:sz="4" w:space="0" w:color="auto"/>
              <w:left w:val="nil"/>
              <w:bottom w:val="single" w:sz="4" w:space="0" w:color="auto"/>
              <w:right w:val="single" w:sz="4" w:space="0" w:color="auto"/>
            </w:tcBorders>
            <w:shd w:val="clear" w:color="auto" w:fill="auto"/>
            <w:vAlign w:val="bottom"/>
          </w:tcPr>
          <w:p w14:paraId="03E5019F" w14:textId="77777777" w:rsidR="009D4A93" w:rsidRPr="00536CFD" w:rsidRDefault="009D4A93" w:rsidP="009D4A93">
            <w:pPr>
              <w:spacing w:after="0"/>
              <w:jc w:val="center"/>
              <w:rPr>
                <w:lang w:val="zh-CN"/>
              </w:rPr>
            </w:pPr>
            <w:r w:rsidRPr="00536CFD">
              <w:rPr>
                <w:lang w:val="zh-CN"/>
              </w:rPr>
              <w:t>128.66</w:t>
            </w:r>
          </w:p>
        </w:tc>
        <w:tc>
          <w:tcPr>
            <w:tcW w:w="724" w:type="dxa"/>
            <w:tcBorders>
              <w:top w:val="single" w:sz="4" w:space="0" w:color="auto"/>
              <w:left w:val="nil"/>
              <w:bottom w:val="single" w:sz="4" w:space="0" w:color="auto"/>
              <w:right w:val="single" w:sz="4" w:space="0" w:color="auto"/>
            </w:tcBorders>
            <w:shd w:val="clear" w:color="auto" w:fill="auto"/>
            <w:vAlign w:val="bottom"/>
          </w:tcPr>
          <w:p w14:paraId="037BF121" w14:textId="77777777" w:rsidR="009D4A93" w:rsidRPr="00536CFD" w:rsidRDefault="009D4A93" w:rsidP="009D4A93">
            <w:pPr>
              <w:spacing w:after="0"/>
              <w:jc w:val="center"/>
              <w:rPr>
                <w:lang w:val="zh-CN"/>
              </w:rPr>
            </w:pPr>
            <w:r w:rsidRPr="00536CFD">
              <w:rPr>
                <w:lang w:val="zh-CN"/>
              </w:rPr>
              <w:t>30.03</w:t>
            </w:r>
          </w:p>
        </w:tc>
        <w:tc>
          <w:tcPr>
            <w:tcW w:w="896" w:type="dxa"/>
            <w:tcBorders>
              <w:top w:val="single" w:sz="4" w:space="0" w:color="auto"/>
              <w:left w:val="nil"/>
              <w:bottom w:val="single" w:sz="4" w:space="0" w:color="auto"/>
              <w:right w:val="single" w:sz="4" w:space="0" w:color="auto"/>
            </w:tcBorders>
            <w:shd w:val="clear" w:color="auto" w:fill="auto"/>
            <w:vAlign w:val="bottom"/>
          </w:tcPr>
          <w:p w14:paraId="44DE3397" w14:textId="77777777" w:rsidR="009D4A93" w:rsidRPr="00536CFD" w:rsidRDefault="009D4A93" w:rsidP="009D4A93">
            <w:pPr>
              <w:spacing w:after="0"/>
              <w:jc w:val="center"/>
              <w:rPr>
                <w:lang w:val="zh-CN"/>
              </w:rPr>
            </w:pPr>
            <w:r w:rsidRPr="00536CFD">
              <w:rPr>
                <w:lang w:val="zh-CN"/>
              </w:rPr>
              <w:t>45.96</w:t>
            </w:r>
          </w:p>
        </w:tc>
        <w:tc>
          <w:tcPr>
            <w:tcW w:w="720" w:type="dxa"/>
            <w:tcBorders>
              <w:top w:val="single" w:sz="4" w:space="0" w:color="auto"/>
              <w:left w:val="nil"/>
              <w:bottom w:val="single" w:sz="4" w:space="0" w:color="auto"/>
              <w:right w:val="single" w:sz="4" w:space="0" w:color="auto"/>
            </w:tcBorders>
            <w:shd w:val="clear" w:color="auto" w:fill="auto"/>
            <w:vAlign w:val="bottom"/>
          </w:tcPr>
          <w:p w14:paraId="1B6DEEF7" w14:textId="77777777" w:rsidR="009D4A93" w:rsidRPr="00536CFD" w:rsidRDefault="009D4A93" w:rsidP="009D4A93">
            <w:pPr>
              <w:spacing w:after="0"/>
              <w:jc w:val="center"/>
              <w:rPr>
                <w:lang w:val="zh-CN"/>
              </w:rPr>
            </w:pPr>
            <w:r w:rsidRPr="00536CFD">
              <w:rPr>
                <w:lang w:val="zh-CN"/>
              </w:rPr>
              <w:t>70.35</w:t>
            </w:r>
          </w:p>
        </w:tc>
        <w:tc>
          <w:tcPr>
            <w:tcW w:w="720" w:type="dxa"/>
            <w:tcBorders>
              <w:top w:val="single" w:sz="4" w:space="0" w:color="auto"/>
              <w:left w:val="nil"/>
              <w:bottom w:val="single" w:sz="4" w:space="0" w:color="auto"/>
              <w:right w:val="single" w:sz="4" w:space="0" w:color="auto"/>
            </w:tcBorders>
            <w:shd w:val="clear" w:color="auto" w:fill="auto"/>
            <w:vAlign w:val="bottom"/>
          </w:tcPr>
          <w:p w14:paraId="63753BAA" w14:textId="77777777" w:rsidR="009D4A93" w:rsidRPr="00536CFD" w:rsidRDefault="009D4A93" w:rsidP="009D4A93">
            <w:pPr>
              <w:spacing w:after="0"/>
              <w:jc w:val="center"/>
              <w:rPr>
                <w:lang w:val="zh-CN"/>
              </w:rPr>
            </w:pPr>
            <w:r w:rsidRPr="00536CFD">
              <w:rPr>
                <w:lang w:val="zh-CN"/>
              </w:rPr>
              <w:t>119.53</w:t>
            </w:r>
          </w:p>
        </w:tc>
      </w:tr>
      <w:tr w:rsidR="009D4A93" w:rsidRPr="00536CFD" w14:paraId="20B231B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5D6016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DFFFCC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090E82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42282C04" w14:textId="77777777" w:rsidR="009D4A93" w:rsidRPr="00536CFD" w:rsidRDefault="009D4A93" w:rsidP="009D4A93">
            <w:pPr>
              <w:spacing w:after="0"/>
              <w:jc w:val="center"/>
              <w:rPr>
                <w:lang w:val="zh-CN"/>
              </w:rPr>
            </w:pPr>
            <w:r w:rsidRPr="00536CFD">
              <w:rPr>
                <w:lang w:val="zh-CN"/>
              </w:rPr>
              <w:t>109.34</w:t>
            </w:r>
          </w:p>
        </w:tc>
        <w:tc>
          <w:tcPr>
            <w:tcW w:w="720" w:type="dxa"/>
            <w:tcBorders>
              <w:top w:val="single" w:sz="4" w:space="0" w:color="auto"/>
              <w:left w:val="nil"/>
              <w:bottom w:val="single" w:sz="4" w:space="0" w:color="auto"/>
              <w:right w:val="single" w:sz="4" w:space="0" w:color="auto"/>
            </w:tcBorders>
            <w:shd w:val="clear" w:color="auto" w:fill="auto"/>
            <w:vAlign w:val="bottom"/>
          </w:tcPr>
          <w:p w14:paraId="1A2D603C" w14:textId="77777777" w:rsidR="009D4A93" w:rsidRPr="00536CFD" w:rsidRDefault="009D4A93" w:rsidP="009D4A93">
            <w:pPr>
              <w:spacing w:after="0"/>
              <w:jc w:val="center"/>
              <w:rPr>
                <w:lang w:val="zh-CN"/>
              </w:rPr>
            </w:pPr>
            <w:r w:rsidRPr="00536CFD">
              <w:rPr>
                <w:lang w:val="zh-CN"/>
              </w:rPr>
              <w:t>124.51</w:t>
            </w:r>
          </w:p>
        </w:tc>
        <w:tc>
          <w:tcPr>
            <w:tcW w:w="720" w:type="dxa"/>
            <w:tcBorders>
              <w:top w:val="single" w:sz="4" w:space="0" w:color="auto"/>
              <w:left w:val="nil"/>
              <w:bottom w:val="single" w:sz="4" w:space="0" w:color="auto"/>
              <w:right w:val="single" w:sz="4" w:space="0" w:color="auto"/>
            </w:tcBorders>
            <w:shd w:val="clear" w:color="auto" w:fill="auto"/>
            <w:vAlign w:val="bottom"/>
          </w:tcPr>
          <w:p w14:paraId="59D19BE9" w14:textId="77777777" w:rsidR="009D4A93" w:rsidRPr="00536CFD" w:rsidRDefault="009D4A93" w:rsidP="009D4A93">
            <w:pPr>
              <w:spacing w:after="0"/>
              <w:jc w:val="center"/>
              <w:rPr>
                <w:lang w:val="zh-CN"/>
              </w:rPr>
            </w:pPr>
            <w:r w:rsidRPr="00536CFD">
              <w:rPr>
                <w:lang w:val="zh-CN"/>
              </w:rPr>
              <w:t>156.48</w:t>
            </w:r>
          </w:p>
        </w:tc>
        <w:tc>
          <w:tcPr>
            <w:tcW w:w="810" w:type="dxa"/>
            <w:tcBorders>
              <w:top w:val="single" w:sz="4" w:space="0" w:color="auto"/>
              <w:left w:val="nil"/>
              <w:bottom w:val="single" w:sz="4" w:space="0" w:color="auto"/>
              <w:right w:val="single" w:sz="4" w:space="0" w:color="auto"/>
            </w:tcBorders>
            <w:shd w:val="clear" w:color="auto" w:fill="auto"/>
            <w:vAlign w:val="bottom"/>
          </w:tcPr>
          <w:p w14:paraId="595729BC" w14:textId="77777777" w:rsidR="009D4A93" w:rsidRPr="00536CFD" w:rsidRDefault="009D4A93" w:rsidP="009D4A93">
            <w:pPr>
              <w:spacing w:after="0"/>
              <w:jc w:val="center"/>
              <w:rPr>
                <w:lang w:val="zh-CN"/>
              </w:rPr>
            </w:pPr>
            <w:r w:rsidRPr="00536CFD">
              <w:rPr>
                <w:lang w:val="zh-CN"/>
              </w:rPr>
              <w:t>163.03</w:t>
            </w:r>
          </w:p>
        </w:tc>
        <w:tc>
          <w:tcPr>
            <w:tcW w:w="810" w:type="dxa"/>
            <w:tcBorders>
              <w:top w:val="single" w:sz="4" w:space="0" w:color="auto"/>
              <w:left w:val="nil"/>
              <w:bottom w:val="single" w:sz="4" w:space="0" w:color="auto"/>
              <w:right w:val="single" w:sz="4" w:space="0" w:color="auto"/>
            </w:tcBorders>
            <w:shd w:val="clear" w:color="auto" w:fill="auto"/>
            <w:vAlign w:val="bottom"/>
          </w:tcPr>
          <w:p w14:paraId="7FE9074E" w14:textId="77777777" w:rsidR="009D4A93" w:rsidRPr="00536CFD" w:rsidRDefault="009D4A93" w:rsidP="009D4A93">
            <w:pPr>
              <w:spacing w:after="0"/>
              <w:jc w:val="center"/>
              <w:rPr>
                <w:lang w:val="zh-CN"/>
              </w:rPr>
            </w:pPr>
            <w:r w:rsidRPr="00536CFD">
              <w:rPr>
                <w:lang w:val="zh-CN"/>
              </w:rPr>
              <w:t>81.53</w:t>
            </w:r>
          </w:p>
        </w:tc>
        <w:tc>
          <w:tcPr>
            <w:tcW w:w="820" w:type="dxa"/>
            <w:tcBorders>
              <w:top w:val="single" w:sz="4" w:space="0" w:color="auto"/>
              <w:left w:val="nil"/>
              <w:bottom w:val="single" w:sz="4" w:space="0" w:color="auto"/>
              <w:right w:val="single" w:sz="4" w:space="0" w:color="auto"/>
            </w:tcBorders>
            <w:shd w:val="clear" w:color="auto" w:fill="auto"/>
            <w:vAlign w:val="bottom"/>
          </w:tcPr>
          <w:p w14:paraId="29CA3EC3" w14:textId="77777777" w:rsidR="009D4A93" w:rsidRPr="00536CFD" w:rsidRDefault="009D4A93" w:rsidP="009D4A93">
            <w:pPr>
              <w:spacing w:after="0"/>
              <w:jc w:val="center"/>
              <w:rPr>
                <w:lang w:val="zh-CN"/>
              </w:rPr>
            </w:pPr>
            <w:r w:rsidRPr="00536CFD">
              <w:rPr>
                <w:lang w:val="zh-CN"/>
              </w:rPr>
              <w:t>101.14</w:t>
            </w:r>
          </w:p>
        </w:tc>
        <w:tc>
          <w:tcPr>
            <w:tcW w:w="800" w:type="dxa"/>
            <w:tcBorders>
              <w:top w:val="single" w:sz="4" w:space="0" w:color="auto"/>
              <w:left w:val="nil"/>
              <w:bottom w:val="single" w:sz="4" w:space="0" w:color="auto"/>
              <w:right w:val="single" w:sz="4" w:space="0" w:color="auto"/>
            </w:tcBorders>
            <w:shd w:val="clear" w:color="auto" w:fill="auto"/>
            <w:vAlign w:val="bottom"/>
          </w:tcPr>
          <w:p w14:paraId="4ED68965" w14:textId="77777777" w:rsidR="009D4A93" w:rsidRPr="00536CFD" w:rsidRDefault="009D4A93" w:rsidP="009D4A93">
            <w:pPr>
              <w:spacing w:after="0"/>
              <w:jc w:val="center"/>
              <w:rPr>
                <w:lang w:val="zh-CN"/>
              </w:rPr>
            </w:pPr>
            <w:r w:rsidRPr="00536CFD">
              <w:rPr>
                <w:lang w:val="zh-CN"/>
              </w:rPr>
              <w:t>140.5</w:t>
            </w:r>
          </w:p>
        </w:tc>
        <w:tc>
          <w:tcPr>
            <w:tcW w:w="720" w:type="dxa"/>
            <w:tcBorders>
              <w:top w:val="single" w:sz="4" w:space="0" w:color="auto"/>
              <w:left w:val="nil"/>
              <w:bottom w:val="single" w:sz="4" w:space="0" w:color="auto"/>
              <w:right w:val="single" w:sz="4" w:space="0" w:color="auto"/>
            </w:tcBorders>
            <w:shd w:val="clear" w:color="auto" w:fill="auto"/>
            <w:vAlign w:val="bottom"/>
          </w:tcPr>
          <w:p w14:paraId="1761B745" w14:textId="77777777" w:rsidR="009D4A93" w:rsidRPr="00536CFD" w:rsidRDefault="009D4A93" w:rsidP="009D4A93">
            <w:pPr>
              <w:spacing w:after="0"/>
              <w:jc w:val="center"/>
              <w:rPr>
                <w:lang w:val="zh-CN"/>
              </w:rPr>
            </w:pPr>
            <w:r w:rsidRPr="00536CFD">
              <w:rPr>
                <w:lang w:val="zh-CN"/>
              </w:rPr>
              <w:t>156.6</w:t>
            </w:r>
          </w:p>
        </w:tc>
        <w:tc>
          <w:tcPr>
            <w:tcW w:w="724" w:type="dxa"/>
            <w:tcBorders>
              <w:top w:val="single" w:sz="4" w:space="0" w:color="auto"/>
              <w:left w:val="nil"/>
              <w:bottom w:val="single" w:sz="4" w:space="0" w:color="auto"/>
              <w:right w:val="single" w:sz="4" w:space="0" w:color="auto"/>
            </w:tcBorders>
            <w:shd w:val="clear" w:color="auto" w:fill="auto"/>
            <w:vAlign w:val="bottom"/>
          </w:tcPr>
          <w:p w14:paraId="1AC081CC" w14:textId="77777777" w:rsidR="009D4A93" w:rsidRPr="00536CFD" w:rsidRDefault="009D4A93" w:rsidP="009D4A93">
            <w:pPr>
              <w:spacing w:after="0"/>
              <w:jc w:val="center"/>
              <w:rPr>
                <w:lang w:val="zh-CN"/>
              </w:rPr>
            </w:pPr>
            <w:r w:rsidRPr="00536CFD">
              <w:rPr>
                <w:lang w:val="zh-CN"/>
              </w:rPr>
              <w:t>67.07</w:t>
            </w:r>
          </w:p>
        </w:tc>
        <w:tc>
          <w:tcPr>
            <w:tcW w:w="896" w:type="dxa"/>
            <w:tcBorders>
              <w:top w:val="single" w:sz="4" w:space="0" w:color="auto"/>
              <w:left w:val="nil"/>
              <w:bottom w:val="single" w:sz="4" w:space="0" w:color="auto"/>
              <w:right w:val="single" w:sz="4" w:space="0" w:color="auto"/>
            </w:tcBorders>
            <w:shd w:val="clear" w:color="auto" w:fill="auto"/>
            <w:vAlign w:val="bottom"/>
          </w:tcPr>
          <w:p w14:paraId="66403DA2" w14:textId="77777777" w:rsidR="009D4A93" w:rsidRPr="00536CFD" w:rsidRDefault="009D4A93" w:rsidP="009D4A93">
            <w:pPr>
              <w:spacing w:after="0"/>
              <w:jc w:val="center"/>
              <w:rPr>
                <w:lang w:val="zh-CN"/>
              </w:rPr>
            </w:pPr>
            <w:r w:rsidRPr="00536CFD">
              <w:rPr>
                <w:lang w:val="zh-CN"/>
              </w:rPr>
              <w:t>96.64</w:t>
            </w:r>
          </w:p>
        </w:tc>
        <w:tc>
          <w:tcPr>
            <w:tcW w:w="720" w:type="dxa"/>
            <w:tcBorders>
              <w:top w:val="single" w:sz="4" w:space="0" w:color="auto"/>
              <w:left w:val="nil"/>
              <w:bottom w:val="single" w:sz="4" w:space="0" w:color="auto"/>
              <w:right w:val="single" w:sz="4" w:space="0" w:color="auto"/>
            </w:tcBorders>
            <w:shd w:val="clear" w:color="auto" w:fill="auto"/>
            <w:vAlign w:val="bottom"/>
          </w:tcPr>
          <w:p w14:paraId="4989577A" w14:textId="77777777" w:rsidR="009D4A93" w:rsidRPr="00536CFD" w:rsidRDefault="009D4A93" w:rsidP="009D4A93">
            <w:pPr>
              <w:spacing w:after="0"/>
              <w:jc w:val="center"/>
              <w:rPr>
                <w:lang w:val="zh-CN"/>
              </w:rPr>
            </w:pPr>
            <w:r w:rsidRPr="00536CFD">
              <w:rPr>
                <w:lang w:val="zh-CN"/>
              </w:rPr>
              <w:t>131.88</w:t>
            </w:r>
          </w:p>
        </w:tc>
        <w:tc>
          <w:tcPr>
            <w:tcW w:w="720" w:type="dxa"/>
            <w:tcBorders>
              <w:top w:val="single" w:sz="4" w:space="0" w:color="auto"/>
              <w:left w:val="nil"/>
              <w:bottom w:val="single" w:sz="4" w:space="0" w:color="auto"/>
              <w:right w:val="single" w:sz="4" w:space="0" w:color="auto"/>
            </w:tcBorders>
            <w:shd w:val="clear" w:color="auto" w:fill="auto"/>
            <w:vAlign w:val="bottom"/>
          </w:tcPr>
          <w:p w14:paraId="34EDC52D" w14:textId="77777777" w:rsidR="009D4A93" w:rsidRPr="00536CFD" w:rsidRDefault="009D4A93" w:rsidP="009D4A93">
            <w:pPr>
              <w:spacing w:after="0"/>
              <w:jc w:val="center"/>
              <w:rPr>
                <w:lang w:val="zh-CN"/>
              </w:rPr>
            </w:pPr>
            <w:r w:rsidRPr="00536CFD">
              <w:rPr>
                <w:lang w:val="zh-CN"/>
              </w:rPr>
              <w:t>153.45</w:t>
            </w:r>
          </w:p>
        </w:tc>
      </w:tr>
      <w:tr w:rsidR="009D4A93" w:rsidRPr="00536CFD" w14:paraId="0A9025F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F2A995D"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04A7B1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46140B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31FD06D3" w14:textId="77777777" w:rsidR="009D4A93" w:rsidRPr="00536CFD" w:rsidRDefault="009D4A93" w:rsidP="009D4A93">
            <w:pPr>
              <w:spacing w:after="0"/>
              <w:jc w:val="center"/>
              <w:rPr>
                <w:lang w:val="zh-CN"/>
              </w:rPr>
            </w:pPr>
            <w:r w:rsidRPr="00536CFD">
              <w:rPr>
                <w:lang w:val="zh-CN"/>
              </w:rPr>
              <w:t>70.45</w:t>
            </w:r>
          </w:p>
        </w:tc>
        <w:tc>
          <w:tcPr>
            <w:tcW w:w="720" w:type="dxa"/>
            <w:tcBorders>
              <w:top w:val="single" w:sz="4" w:space="0" w:color="auto"/>
              <w:left w:val="nil"/>
              <w:bottom w:val="single" w:sz="4" w:space="0" w:color="auto"/>
              <w:right w:val="single" w:sz="4" w:space="0" w:color="auto"/>
            </w:tcBorders>
            <w:shd w:val="clear" w:color="auto" w:fill="auto"/>
            <w:vAlign w:val="bottom"/>
          </w:tcPr>
          <w:p w14:paraId="52FB8BAB" w14:textId="77777777" w:rsidR="009D4A93" w:rsidRPr="00536CFD" w:rsidRDefault="009D4A93" w:rsidP="009D4A93">
            <w:pPr>
              <w:spacing w:after="0"/>
              <w:jc w:val="center"/>
              <w:rPr>
                <w:lang w:val="zh-CN"/>
              </w:rPr>
            </w:pPr>
            <w:r w:rsidRPr="00536CFD">
              <w:rPr>
                <w:lang w:val="zh-CN"/>
              </w:rPr>
              <w:t>78.99</w:t>
            </w:r>
          </w:p>
        </w:tc>
        <w:tc>
          <w:tcPr>
            <w:tcW w:w="720" w:type="dxa"/>
            <w:tcBorders>
              <w:top w:val="single" w:sz="4" w:space="0" w:color="auto"/>
              <w:left w:val="nil"/>
              <w:bottom w:val="single" w:sz="4" w:space="0" w:color="auto"/>
              <w:right w:val="single" w:sz="4" w:space="0" w:color="auto"/>
            </w:tcBorders>
            <w:shd w:val="clear" w:color="auto" w:fill="auto"/>
            <w:vAlign w:val="bottom"/>
          </w:tcPr>
          <w:p w14:paraId="1729EFBF" w14:textId="77777777" w:rsidR="009D4A93" w:rsidRPr="00536CFD" w:rsidRDefault="009D4A93" w:rsidP="009D4A93">
            <w:pPr>
              <w:spacing w:after="0"/>
              <w:jc w:val="center"/>
              <w:rPr>
                <w:lang w:val="zh-CN"/>
              </w:rPr>
            </w:pPr>
            <w:r w:rsidRPr="00536CFD">
              <w:rPr>
                <w:lang w:val="zh-CN"/>
              </w:rPr>
              <w:t>119.81</w:t>
            </w:r>
          </w:p>
        </w:tc>
        <w:tc>
          <w:tcPr>
            <w:tcW w:w="810" w:type="dxa"/>
            <w:tcBorders>
              <w:top w:val="single" w:sz="4" w:space="0" w:color="auto"/>
              <w:left w:val="nil"/>
              <w:bottom w:val="single" w:sz="4" w:space="0" w:color="auto"/>
              <w:right w:val="single" w:sz="4" w:space="0" w:color="auto"/>
            </w:tcBorders>
            <w:shd w:val="clear" w:color="auto" w:fill="auto"/>
            <w:vAlign w:val="bottom"/>
          </w:tcPr>
          <w:p w14:paraId="3EDF36F2" w14:textId="77777777" w:rsidR="009D4A93" w:rsidRPr="00536CFD" w:rsidRDefault="009D4A93" w:rsidP="009D4A93">
            <w:pPr>
              <w:spacing w:after="0"/>
              <w:jc w:val="center"/>
              <w:rPr>
                <w:lang w:val="zh-CN"/>
              </w:rPr>
            </w:pPr>
            <w:r w:rsidRPr="00536CFD">
              <w:rPr>
                <w:lang w:val="zh-CN"/>
              </w:rPr>
              <w:t>134.46</w:t>
            </w:r>
          </w:p>
        </w:tc>
        <w:tc>
          <w:tcPr>
            <w:tcW w:w="810" w:type="dxa"/>
            <w:tcBorders>
              <w:top w:val="single" w:sz="4" w:space="0" w:color="auto"/>
              <w:left w:val="nil"/>
              <w:bottom w:val="single" w:sz="4" w:space="0" w:color="auto"/>
              <w:right w:val="single" w:sz="4" w:space="0" w:color="auto"/>
            </w:tcBorders>
            <w:shd w:val="clear" w:color="auto" w:fill="auto"/>
            <w:vAlign w:val="bottom"/>
          </w:tcPr>
          <w:p w14:paraId="144BC379" w14:textId="77777777" w:rsidR="009D4A93" w:rsidRPr="00536CFD" w:rsidRDefault="009D4A93" w:rsidP="009D4A93">
            <w:pPr>
              <w:spacing w:after="0"/>
              <w:jc w:val="center"/>
              <w:rPr>
                <w:lang w:val="zh-CN"/>
              </w:rPr>
            </w:pPr>
            <w:r w:rsidRPr="00536CFD">
              <w:rPr>
                <w:lang w:val="zh-CN"/>
              </w:rPr>
              <w:t>43.61</w:t>
            </w:r>
          </w:p>
        </w:tc>
        <w:tc>
          <w:tcPr>
            <w:tcW w:w="820" w:type="dxa"/>
            <w:tcBorders>
              <w:top w:val="single" w:sz="4" w:space="0" w:color="auto"/>
              <w:left w:val="nil"/>
              <w:bottom w:val="single" w:sz="4" w:space="0" w:color="auto"/>
              <w:right w:val="single" w:sz="4" w:space="0" w:color="auto"/>
            </w:tcBorders>
            <w:shd w:val="clear" w:color="auto" w:fill="auto"/>
            <w:vAlign w:val="bottom"/>
          </w:tcPr>
          <w:p w14:paraId="3996BF77" w14:textId="77777777" w:rsidR="009D4A93" w:rsidRPr="00536CFD" w:rsidRDefault="009D4A93" w:rsidP="009D4A93">
            <w:pPr>
              <w:spacing w:after="0"/>
              <w:jc w:val="center"/>
              <w:rPr>
                <w:lang w:val="zh-CN"/>
              </w:rPr>
            </w:pPr>
            <w:r w:rsidRPr="00536CFD">
              <w:rPr>
                <w:lang w:val="zh-CN"/>
              </w:rPr>
              <w:t>59.61</w:t>
            </w:r>
          </w:p>
        </w:tc>
        <w:tc>
          <w:tcPr>
            <w:tcW w:w="800" w:type="dxa"/>
            <w:tcBorders>
              <w:top w:val="single" w:sz="4" w:space="0" w:color="auto"/>
              <w:left w:val="nil"/>
              <w:bottom w:val="single" w:sz="4" w:space="0" w:color="auto"/>
              <w:right w:val="single" w:sz="4" w:space="0" w:color="auto"/>
            </w:tcBorders>
            <w:shd w:val="clear" w:color="auto" w:fill="auto"/>
            <w:vAlign w:val="bottom"/>
          </w:tcPr>
          <w:p w14:paraId="673C0F25" w14:textId="77777777" w:rsidR="009D4A93" w:rsidRPr="00536CFD" w:rsidRDefault="009D4A93" w:rsidP="009D4A93">
            <w:pPr>
              <w:spacing w:after="0"/>
              <w:jc w:val="center"/>
              <w:rPr>
                <w:lang w:val="zh-CN"/>
              </w:rPr>
            </w:pPr>
            <w:r w:rsidRPr="00536CFD">
              <w:rPr>
                <w:lang w:val="zh-CN"/>
              </w:rPr>
              <w:t>90.96</w:t>
            </w:r>
          </w:p>
        </w:tc>
        <w:tc>
          <w:tcPr>
            <w:tcW w:w="720" w:type="dxa"/>
            <w:tcBorders>
              <w:top w:val="single" w:sz="4" w:space="0" w:color="auto"/>
              <w:left w:val="nil"/>
              <w:bottom w:val="single" w:sz="4" w:space="0" w:color="auto"/>
              <w:right w:val="single" w:sz="4" w:space="0" w:color="auto"/>
            </w:tcBorders>
            <w:shd w:val="clear" w:color="auto" w:fill="auto"/>
            <w:vAlign w:val="bottom"/>
          </w:tcPr>
          <w:p w14:paraId="061DF342" w14:textId="77777777" w:rsidR="009D4A93" w:rsidRPr="00536CFD" w:rsidRDefault="009D4A93" w:rsidP="009D4A93">
            <w:pPr>
              <w:spacing w:after="0"/>
              <w:jc w:val="center"/>
              <w:rPr>
                <w:lang w:val="zh-CN"/>
              </w:rPr>
            </w:pPr>
            <w:r w:rsidRPr="00536CFD">
              <w:rPr>
                <w:lang w:val="zh-CN"/>
              </w:rPr>
              <w:t>122.27</w:t>
            </w:r>
          </w:p>
        </w:tc>
        <w:tc>
          <w:tcPr>
            <w:tcW w:w="724" w:type="dxa"/>
            <w:tcBorders>
              <w:top w:val="single" w:sz="4" w:space="0" w:color="auto"/>
              <w:left w:val="nil"/>
              <w:bottom w:val="single" w:sz="4" w:space="0" w:color="auto"/>
              <w:right w:val="single" w:sz="4" w:space="0" w:color="auto"/>
            </w:tcBorders>
            <w:shd w:val="clear" w:color="auto" w:fill="auto"/>
            <w:vAlign w:val="bottom"/>
          </w:tcPr>
          <w:p w14:paraId="4609E545" w14:textId="77777777" w:rsidR="009D4A93" w:rsidRPr="00536CFD" w:rsidRDefault="009D4A93" w:rsidP="009D4A93">
            <w:pPr>
              <w:spacing w:after="0"/>
              <w:jc w:val="center"/>
              <w:rPr>
                <w:lang w:val="zh-CN"/>
              </w:rPr>
            </w:pPr>
            <w:r w:rsidRPr="00536CFD">
              <w:rPr>
                <w:lang w:val="zh-CN"/>
              </w:rPr>
              <w:t>30.79</w:t>
            </w:r>
          </w:p>
        </w:tc>
        <w:tc>
          <w:tcPr>
            <w:tcW w:w="896" w:type="dxa"/>
            <w:tcBorders>
              <w:top w:val="single" w:sz="4" w:space="0" w:color="auto"/>
              <w:left w:val="nil"/>
              <w:bottom w:val="single" w:sz="4" w:space="0" w:color="auto"/>
              <w:right w:val="single" w:sz="4" w:space="0" w:color="auto"/>
            </w:tcBorders>
            <w:shd w:val="clear" w:color="auto" w:fill="auto"/>
            <w:vAlign w:val="bottom"/>
          </w:tcPr>
          <w:p w14:paraId="04AD6E0C" w14:textId="77777777" w:rsidR="009D4A93" w:rsidRPr="00536CFD" w:rsidRDefault="009D4A93" w:rsidP="009D4A93">
            <w:pPr>
              <w:spacing w:after="0"/>
              <w:jc w:val="center"/>
              <w:rPr>
                <w:lang w:val="zh-CN"/>
              </w:rPr>
            </w:pPr>
            <w:r w:rsidRPr="00536CFD">
              <w:rPr>
                <w:lang w:val="zh-CN"/>
              </w:rPr>
              <w:t>49.41</w:t>
            </w:r>
          </w:p>
        </w:tc>
        <w:tc>
          <w:tcPr>
            <w:tcW w:w="720" w:type="dxa"/>
            <w:tcBorders>
              <w:top w:val="single" w:sz="4" w:space="0" w:color="auto"/>
              <w:left w:val="nil"/>
              <w:bottom w:val="single" w:sz="4" w:space="0" w:color="auto"/>
              <w:right w:val="single" w:sz="4" w:space="0" w:color="auto"/>
            </w:tcBorders>
            <w:shd w:val="clear" w:color="auto" w:fill="auto"/>
            <w:vAlign w:val="bottom"/>
          </w:tcPr>
          <w:p w14:paraId="0C637E01" w14:textId="77777777" w:rsidR="009D4A93" w:rsidRPr="00536CFD" w:rsidRDefault="009D4A93" w:rsidP="009D4A93">
            <w:pPr>
              <w:spacing w:after="0"/>
              <w:jc w:val="center"/>
              <w:rPr>
                <w:lang w:val="zh-CN"/>
              </w:rPr>
            </w:pPr>
            <w:r w:rsidRPr="00536CFD">
              <w:rPr>
                <w:lang w:val="zh-CN"/>
              </w:rPr>
              <w:t>74.28</w:t>
            </w:r>
          </w:p>
        </w:tc>
        <w:tc>
          <w:tcPr>
            <w:tcW w:w="720" w:type="dxa"/>
            <w:tcBorders>
              <w:top w:val="single" w:sz="4" w:space="0" w:color="auto"/>
              <w:left w:val="nil"/>
              <w:bottom w:val="single" w:sz="4" w:space="0" w:color="auto"/>
              <w:right w:val="single" w:sz="4" w:space="0" w:color="auto"/>
            </w:tcBorders>
            <w:shd w:val="clear" w:color="auto" w:fill="auto"/>
            <w:vAlign w:val="bottom"/>
          </w:tcPr>
          <w:p w14:paraId="5FE5B651" w14:textId="77777777" w:rsidR="009D4A93" w:rsidRPr="00536CFD" w:rsidRDefault="009D4A93" w:rsidP="009D4A93">
            <w:pPr>
              <w:spacing w:after="0"/>
              <w:jc w:val="center"/>
              <w:rPr>
                <w:lang w:val="zh-CN"/>
              </w:rPr>
            </w:pPr>
            <w:r w:rsidRPr="00536CFD">
              <w:rPr>
                <w:lang w:val="zh-CN"/>
              </w:rPr>
              <w:t>114.92</w:t>
            </w:r>
          </w:p>
        </w:tc>
      </w:tr>
      <w:tr w:rsidR="009D4A93" w:rsidRPr="00536CFD" w14:paraId="2CE5A21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70DDEE1"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4A2C4FA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20F7B0E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594B3AFB" w14:textId="77777777" w:rsidR="009D4A93" w:rsidRPr="00536CFD" w:rsidRDefault="009D4A93" w:rsidP="009D4A93">
            <w:pPr>
              <w:spacing w:after="0"/>
              <w:jc w:val="center"/>
              <w:rPr>
                <w:lang w:val="zh-CN"/>
              </w:rPr>
            </w:pPr>
            <w:r w:rsidRPr="00536CFD">
              <w:rPr>
                <w:lang w:val="zh-CN"/>
              </w:rPr>
              <w:t>0.028</w:t>
            </w:r>
          </w:p>
        </w:tc>
        <w:tc>
          <w:tcPr>
            <w:tcW w:w="720" w:type="dxa"/>
            <w:tcBorders>
              <w:top w:val="single" w:sz="4" w:space="0" w:color="auto"/>
              <w:left w:val="nil"/>
              <w:bottom w:val="single" w:sz="4" w:space="0" w:color="auto"/>
              <w:right w:val="single" w:sz="4" w:space="0" w:color="auto"/>
            </w:tcBorders>
            <w:shd w:val="clear" w:color="auto" w:fill="auto"/>
            <w:vAlign w:val="bottom"/>
          </w:tcPr>
          <w:p w14:paraId="36228294" w14:textId="77777777" w:rsidR="009D4A93" w:rsidRPr="00536CFD" w:rsidRDefault="009D4A93" w:rsidP="009D4A93">
            <w:pPr>
              <w:spacing w:after="0"/>
              <w:jc w:val="center"/>
              <w:rPr>
                <w:lang w:val="zh-CN"/>
              </w:rPr>
            </w:pPr>
            <w:r w:rsidRPr="00536CFD">
              <w:rPr>
                <w:lang w:val="zh-CN"/>
              </w:rPr>
              <w:t>0.025</w:t>
            </w:r>
          </w:p>
        </w:tc>
        <w:tc>
          <w:tcPr>
            <w:tcW w:w="720" w:type="dxa"/>
            <w:tcBorders>
              <w:top w:val="single" w:sz="4" w:space="0" w:color="auto"/>
              <w:left w:val="nil"/>
              <w:bottom w:val="single" w:sz="4" w:space="0" w:color="auto"/>
              <w:right w:val="single" w:sz="4" w:space="0" w:color="auto"/>
            </w:tcBorders>
            <w:shd w:val="clear" w:color="auto" w:fill="auto"/>
            <w:vAlign w:val="bottom"/>
          </w:tcPr>
          <w:p w14:paraId="64F847F9"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23EDFDFD"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7C35A747" w14:textId="77777777" w:rsidR="009D4A93" w:rsidRPr="00536CFD" w:rsidRDefault="009D4A93" w:rsidP="009D4A93">
            <w:pPr>
              <w:spacing w:after="0"/>
              <w:jc w:val="center"/>
              <w:rPr>
                <w:lang w:val="zh-CN"/>
              </w:rPr>
            </w:pPr>
            <w:r w:rsidRPr="00536CFD">
              <w:rPr>
                <w:lang w:val="zh-CN"/>
              </w:rPr>
              <w:t>0.031</w:t>
            </w:r>
          </w:p>
        </w:tc>
        <w:tc>
          <w:tcPr>
            <w:tcW w:w="820" w:type="dxa"/>
            <w:tcBorders>
              <w:top w:val="single" w:sz="4" w:space="0" w:color="auto"/>
              <w:left w:val="nil"/>
              <w:bottom w:val="single" w:sz="4" w:space="0" w:color="auto"/>
              <w:right w:val="single" w:sz="4" w:space="0" w:color="auto"/>
            </w:tcBorders>
            <w:shd w:val="clear" w:color="auto" w:fill="auto"/>
            <w:vAlign w:val="bottom"/>
          </w:tcPr>
          <w:p w14:paraId="315F3CDD" w14:textId="77777777" w:rsidR="009D4A93" w:rsidRPr="00536CFD" w:rsidRDefault="009D4A93" w:rsidP="009D4A93">
            <w:pPr>
              <w:spacing w:after="0"/>
              <w:jc w:val="center"/>
              <w:rPr>
                <w:lang w:val="zh-CN"/>
              </w:rPr>
            </w:pPr>
            <w:r w:rsidRPr="00536CFD">
              <w:rPr>
                <w:lang w:val="zh-CN"/>
              </w:rPr>
              <w:t>0.029</w:t>
            </w:r>
          </w:p>
        </w:tc>
        <w:tc>
          <w:tcPr>
            <w:tcW w:w="800" w:type="dxa"/>
            <w:tcBorders>
              <w:top w:val="single" w:sz="4" w:space="0" w:color="auto"/>
              <w:left w:val="nil"/>
              <w:bottom w:val="single" w:sz="4" w:space="0" w:color="auto"/>
              <w:right w:val="single" w:sz="4" w:space="0" w:color="auto"/>
            </w:tcBorders>
            <w:shd w:val="clear" w:color="auto" w:fill="auto"/>
            <w:vAlign w:val="bottom"/>
          </w:tcPr>
          <w:p w14:paraId="2DAEBDAF" w14:textId="77777777" w:rsidR="009D4A93" w:rsidRPr="00536CFD" w:rsidRDefault="009D4A93" w:rsidP="009D4A93">
            <w:pPr>
              <w:spacing w:after="0"/>
              <w:jc w:val="center"/>
              <w:rPr>
                <w:lang w:val="zh-CN"/>
              </w:rPr>
            </w:pPr>
            <w:r w:rsidRPr="00536CFD">
              <w:rPr>
                <w:lang w:val="zh-CN"/>
              </w:rPr>
              <w:t>0.02</w:t>
            </w:r>
          </w:p>
        </w:tc>
        <w:tc>
          <w:tcPr>
            <w:tcW w:w="720" w:type="dxa"/>
            <w:tcBorders>
              <w:top w:val="single" w:sz="4" w:space="0" w:color="auto"/>
              <w:left w:val="nil"/>
              <w:bottom w:val="single" w:sz="4" w:space="0" w:color="auto"/>
              <w:right w:val="single" w:sz="4" w:space="0" w:color="auto"/>
            </w:tcBorders>
            <w:shd w:val="clear" w:color="auto" w:fill="auto"/>
            <w:vAlign w:val="bottom"/>
          </w:tcPr>
          <w:p w14:paraId="23AF9C6C" w14:textId="77777777" w:rsidR="009D4A93" w:rsidRPr="00536CFD" w:rsidRDefault="009D4A93" w:rsidP="009D4A93">
            <w:pPr>
              <w:spacing w:after="0"/>
              <w:jc w:val="center"/>
              <w:rPr>
                <w:lang w:val="zh-CN"/>
              </w:rPr>
            </w:pPr>
            <w:r w:rsidRPr="00536CFD">
              <w:rPr>
                <w:lang w:val="zh-CN"/>
              </w:rPr>
              <w:t>0.02</w:t>
            </w:r>
          </w:p>
        </w:tc>
        <w:tc>
          <w:tcPr>
            <w:tcW w:w="724" w:type="dxa"/>
            <w:tcBorders>
              <w:top w:val="single" w:sz="4" w:space="0" w:color="auto"/>
              <w:left w:val="nil"/>
              <w:bottom w:val="single" w:sz="4" w:space="0" w:color="auto"/>
              <w:right w:val="single" w:sz="4" w:space="0" w:color="auto"/>
            </w:tcBorders>
            <w:shd w:val="clear" w:color="auto" w:fill="auto"/>
            <w:vAlign w:val="bottom"/>
          </w:tcPr>
          <w:p w14:paraId="23109767" w14:textId="77777777" w:rsidR="009D4A93" w:rsidRPr="00536CFD" w:rsidRDefault="009D4A93" w:rsidP="009D4A93">
            <w:pPr>
              <w:spacing w:after="0"/>
              <w:jc w:val="center"/>
              <w:rPr>
                <w:lang w:val="zh-CN"/>
              </w:rPr>
            </w:pPr>
            <w:r w:rsidRPr="00536CFD">
              <w:rPr>
                <w:lang w:val="zh-CN"/>
              </w:rPr>
              <w:t>0.04</w:t>
            </w:r>
          </w:p>
        </w:tc>
        <w:tc>
          <w:tcPr>
            <w:tcW w:w="896" w:type="dxa"/>
            <w:tcBorders>
              <w:top w:val="single" w:sz="4" w:space="0" w:color="auto"/>
              <w:left w:val="nil"/>
              <w:bottom w:val="single" w:sz="4" w:space="0" w:color="auto"/>
              <w:right w:val="single" w:sz="4" w:space="0" w:color="auto"/>
            </w:tcBorders>
            <w:shd w:val="clear" w:color="auto" w:fill="auto"/>
            <w:vAlign w:val="bottom"/>
          </w:tcPr>
          <w:p w14:paraId="4E8D1EC9" w14:textId="77777777" w:rsidR="009D4A93" w:rsidRPr="00536CFD" w:rsidRDefault="009D4A93" w:rsidP="009D4A93">
            <w:pPr>
              <w:spacing w:after="0"/>
              <w:jc w:val="center"/>
              <w:rPr>
                <w:lang w:val="zh-CN"/>
              </w:rPr>
            </w:pPr>
            <w:r w:rsidRPr="00536CFD">
              <w:rPr>
                <w:lang w:val="zh-CN"/>
              </w:rPr>
              <w:t>0.03</w:t>
            </w:r>
          </w:p>
        </w:tc>
        <w:tc>
          <w:tcPr>
            <w:tcW w:w="720" w:type="dxa"/>
            <w:tcBorders>
              <w:top w:val="single" w:sz="4" w:space="0" w:color="auto"/>
              <w:left w:val="nil"/>
              <w:bottom w:val="single" w:sz="4" w:space="0" w:color="auto"/>
              <w:right w:val="single" w:sz="4" w:space="0" w:color="auto"/>
            </w:tcBorders>
            <w:shd w:val="clear" w:color="auto" w:fill="auto"/>
            <w:vAlign w:val="bottom"/>
          </w:tcPr>
          <w:p w14:paraId="16E2F318" w14:textId="77777777" w:rsidR="009D4A93" w:rsidRPr="00536CFD" w:rsidRDefault="009D4A93" w:rsidP="009D4A93">
            <w:pPr>
              <w:spacing w:after="0"/>
              <w:jc w:val="center"/>
              <w:rPr>
                <w:lang w:val="zh-CN"/>
              </w:rPr>
            </w:pPr>
            <w:r w:rsidRPr="00536CFD">
              <w:rPr>
                <w:lang w:val="zh-CN"/>
              </w:rPr>
              <w:t>0.022</w:t>
            </w:r>
          </w:p>
        </w:tc>
        <w:tc>
          <w:tcPr>
            <w:tcW w:w="720" w:type="dxa"/>
            <w:tcBorders>
              <w:top w:val="single" w:sz="4" w:space="0" w:color="auto"/>
              <w:left w:val="nil"/>
              <w:bottom w:val="single" w:sz="4" w:space="0" w:color="auto"/>
              <w:right w:val="single" w:sz="4" w:space="0" w:color="auto"/>
            </w:tcBorders>
            <w:shd w:val="clear" w:color="auto" w:fill="auto"/>
            <w:vAlign w:val="bottom"/>
          </w:tcPr>
          <w:p w14:paraId="1B948CAE" w14:textId="77777777" w:rsidR="009D4A93" w:rsidRPr="00536CFD" w:rsidRDefault="009D4A93" w:rsidP="009D4A93">
            <w:pPr>
              <w:spacing w:after="0"/>
              <w:jc w:val="center"/>
              <w:rPr>
                <w:lang w:val="zh-CN"/>
              </w:rPr>
            </w:pPr>
            <w:r w:rsidRPr="00536CFD">
              <w:rPr>
                <w:lang w:val="zh-CN"/>
              </w:rPr>
              <w:t>0.02</w:t>
            </w:r>
          </w:p>
        </w:tc>
      </w:tr>
      <w:tr w:rsidR="009D4A93" w:rsidRPr="00536CFD" w14:paraId="45BE22F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0880CA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E59E9E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A70676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253C40F9" w14:textId="77777777" w:rsidR="009D4A93" w:rsidRPr="00536CFD" w:rsidRDefault="009D4A93" w:rsidP="009D4A93">
            <w:pPr>
              <w:spacing w:after="0"/>
              <w:jc w:val="center"/>
              <w:rPr>
                <w:lang w:val="zh-CN"/>
              </w:rPr>
            </w:pPr>
            <w:r w:rsidRPr="00536CFD">
              <w:rPr>
                <w:lang w:val="zh-CN"/>
              </w:rPr>
              <w:t>0.061</w:t>
            </w:r>
          </w:p>
        </w:tc>
        <w:tc>
          <w:tcPr>
            <w:tcW w:w="720" w:type="dxa"/>
            <w:tcBorders>
              <w:top w:val="single" w:sz="4" w:space="0" w:color="auto"/>
              <w:left w:val="nil"/>
              <w:bottom w:val="single" w:sz="4" w:space="0" w:color="auto"/>
              <w:right w:val="single" w:sz="4" w:space="0" w:color="auto"/>
            </w:tcBorders>
            <w:shd w:val="clear" w:color="auto" w:fill="auto"/>
            <w:vAlign w:val="bottom"/>
          </w:tcPr>
          <w:p w14:paraId="139566C7" w14:textId="77777777" w:rsidR="009D4A93" w:rsidRPr="00536CFD" w:rsidRDefault="009D4A93" w:rsidP="009D4A93">
            <w:pPr>
              <w:spacing w:after="0"/>
              <w:jc w:val="center"/>
              <w:rPr>
                <w:lang w:val="zh-CN"/>
              </w:rPr>
            </w:pPr>
            <w:r w:rsidRPr="00536CFD">
              <w:rPr>
                <w:lang w:val="zh-CN"/>
              </w:rPr>
              <w:t>0.053</w:t>
            </w:r>
          </w:p>
        </w:tc>
        <w:tc>
          <w:tcPr>
            <w:tcW w:w="720" w:type="dxa"/>
            <w:tcBorders>
              <w:top w:val="single" w:sz="4" w:space="0" w:color="auto"/>
              <w:left w:val="nil"/>
              <w:bottom w:val="single" w:sz="4" w:space="0" w:color="auto"/>
              <w:right w:val="single" w:sz="4" w:space="0" w:color="auto"/>
            </w:tcBorders>
            <w:shd w:val="clear" w:color="auto" w:fill="auto"/>
            <w:vAlign w:val="bottom"/>
          </w:tcPr>
          <w:p w14:paraId="65949D5C" w14:textId="77777777" w:rsidR="009D4A93" w:rsidRPr="00536CFD" w:rsidRDefault="009D4A93" w:rsidP="009D4A93">
            <w:pPr>
              <w:spacing w:after="0"/>
              <w:jc w:val="center"/>
              <w:rPr>
                <w:lang w:val="zh-CN"/>
              </w:rPr>
            </w:pPr>
            <w:r w:rsidRPr="00536CFD">
              <w:rPr>
                <w:lang w:val="zh-CN"/>
              </w:rPr>
              <w:t>0.029</w:t>
            </w:r>
          </w:p>
        </w:tc>
        <w:tc>
          <w:tcPr>
            <w:tcW w:w="810" w:type="dxa"/>
            <w:tcBorders>
              <w:top w:val="single" w:sz="4" w:space="0" w:color="auto"/>
              <w:left w:val="nil"/>
              <w:bottom w:val="single" w:sz="4" w:space="0" w:color="auto"/>
              <w:right w:val="single" w:sz="4" w:space="0" w:color="auto"/>
            </w:tcBorders>
            <w:shd w:val="clear" w:color="auto" w:fill="auto"/>
            <w:vAlign w:val="bottom"/>
          </w:tcPr>
          <w:p w14:paraId="1165ADB0" w14:textId="77777777" w:rsidR="009D4A93" w:rsidRPr="00536CFD" w:rsidRDefault="009D4A93" w:rsidP="009D4A93">
            <w:pPr>
              <w:spacing w:after="0"/>
              <w:jc w:val="center"/>
              <w:rPr>
                <w:lang w:val="zh-CN"/>
              </w:rPr>
            </w:pPr>
            <w:r w:rsidRPr="00536CFD">
              <w:rPr>
                <w:lang w:val="zh-CN"/>
              </w:rPr>
              <w:t>0.027</w:t>
            </w:r>
          </w:p>
        </w:tc>
        <w:tc>
          <w:tcPr>
            <w:tcW w:w="810" w:type="dxa"/>
            <w:tcBorders>
              <w:top w:val="single" w:sz="4" w:space="0" w:color="auto"/>
              <w:left w:val="nil"/>
              <w:bottom w:val="single" w:sz="4" w:space="0" w:color="auto"/>
              <w:right w:val="single" w:sz="4" w:space="0" w:color="auto"/>
            </w:tcBorders>
            <w:shd w:val="clear" w:color="auto" w:fill="auto"/>
            <w:vAlign w:val="bottom"/>
          </w:tcPr>
          <w:p w14:paraId="04C4F58F" w14:textId="77777777" w:rsidR="009D4A93" w:rsidRPr="00536CFD" w:rsidRDefault="009D4A93" w:rsidP="009D4A93">
            <w:pPr>
              <w:spacing w:after="0"/>
              <w:jc w:val="center"/>
              <w:rPr>
                <w:lang w:val="zh-CN"/>
              </w:rPr>
            </w:pPr>
            <w:r w:rsidRPr="00536CFD">
              <w:rPr>
                <w:lang w:val="zh-CN"/>
              </w:rPr>
              <w:t>0.123</w:t>
            </w:r>
          </w:p>
        </w:tc>
        <w:tc>
          <w:tcPr>
            <w:tcW w:w="820" w:type="dxa"/>
            <w:tcBorders>
              <w:top w:val="single" w:sz="4" w:space="0" w:color="auto"/>
              <w:left w:val="nil"/>
              <w:bottom w:val="single" w:sz="4" w:space="0" w:color="auto"/>
              <w:right w:val="single" w:sz="4" w:space="0" w:color="auto"/>
            </w:tcBorders>
            <w:shd w:val="clear" w:color="auto" w:fill="auto"/>
            <w:vAlign w:val="bottom"/>
          </w:tcPr>
          <w:p w14:paraId="130D2068" w14:textId="77777777" w:rsidR="009D4A93" w:rsidRPr="00536CFD" w:rsidRDefault="009D4A93" w:rsidP="009D4A93">
            <w:pPr>
              <w:spacing w:after="0"/>
              <w:jc w:val="center"/>
              <w:rPr>
                <w:lang w:val="zh-CN"/>
              </w:rPr>
            </w:pPr>
            <w:r w:rsidRPr="00536CFD">
              <w:rPr>
                <w:lang w:val="zh-CN"/>
              </w:rPr>
              <w:t>0.075</w:t>
            </w:r>
          </w:p>
        </w:tc>
        <w:tc>
          <w:tcPr>
            <w:tcW w:w="800" w:type="dxa"/>
            <w:tcBorders>
              <w:top w:val="single" w:sz="4" w:space="0" w:color="auto"/>
              <w:left w:val="nil"/>
              <w:bottom w:val="single" w:sz="4" w:space="0" w:color="auto"/>
              <w:right w:val="single" w:sz="4" w:space="0" w:color="auto"/>
            </w:tcBorders>
            <w:shd w:val="clear" w:color="auto" w:fill="auto"/>
            <w:vAlign w:val="bottom"/>
          </w:tcPr>
          <w:p w14:paraId="79A0E4C2" w14:textId="77777777" w:rsidR="009D4A93" w:rsidRPr="00536CFD" w:rsidRDefault="009D4A93" w:rsidP="009D4A93">
            <w:pPr>
              <w:spacing w:after="0"/>
              <w:jc w:val="center"/>
              <w:rPr>
                <w:lang w:val="zh-CN"/>
              </w:rPr>
            </w:pPr>
            <w:r w:rsidRPr="00536CFD">
              <w:rPr>
                <w:lang w:val="zh-CN"/>
              </w:rPr>
              <w:t>0.046</w:t>
            </w:r>
          </w:p>
        </w:tc>
        <w:tc>
          <w:tcPr>
            <w:tcW w:w="720" w:type="dxa"/>
            <w:tcBorders>
              <w:top w:val="single" w:sz="4" w:space="0" w:color="auto"/>
              <w:left w:val="nil"/>
              <w:bottom w:val="single" w:sz="4" w:space="0" w:color="auto"/>
              <w:right w:val="single" w:sz="4" w:space="0" w:color="auto"/>
            </w:tcBorders>
            <w:shd w:val="clear" w:color="auto" w:fill="auto"/>
            <w:vAlign w:val="bottom"/>
          </w:tcPr>
          <w:p w14:paraId="2C74E269" w14:textId="77777777" w:rsidR="009D4A93" w:rsidRPr="00536CFD" w:rsidRDefault="009D4A93" w:rsidP="009D4A93">
            <w:pPr>
              <w:spacing w:after="0"/>
              <w:jc w:val="center"/>
              <w:rPr>
                <w:lang w:val="zh-CN"/>
              </w:rPr>
            </w:pPr>
            <w:r w:rsidRPr="00536CFD">
              <w:rPr>
                <w:lang w:val="zh-CN"/>
              </w:rPr>
              <w:t>0.029</w:t>
            </w:r>
          </w:p>
        </w:tc>
        <w:tc>
          <w:tcPr>
            <w:tcW w:w="724" w:type="dxa"/>
            <w:tcBorders>
              <w:top w:val="single" w:sz="4" w:space="0" w:color="auto"/>
              <w:left w:val="nil"/>
              <w:bottom w:val="single" w:sz="4" w:space="0" w:color="auto"/>
              <w:right w:val="single" w:sz="4" w:space="0" w:color="auto"/>
            </w:tcBorders>
            <w:shd w:val="clear" w:color="auto" w:fill="auto"/>
            <w:vAlign w:val="bottom"/>
          </w:tcPr>
          <w:p w14:paraId="1B1E9A68" w14:textId="77777777" w:rsidR="009D4A93" w:rsidRPr="00536CFD" w:rsidRDefault="009D4A93" w:rsidP="009D4A93">
            <w:pPr>
              <w:spacing w:after="0"/>
              <w:jc w:val="center"/>
              <w:rPr>
                <w:lang w:val="zh-CN"/>
              </w:rPr>
            </w:pPr>
            <w:r w:rsidRPr="00536CFD">
              <w:rPr>
                <w:lang w:val="zh-CN"/>
              </w:rPr>
              <w:t>0.198</w:t>
            </w:r>
          </w:p>
        </w:tc>
        <w:tc>
          <w:tcPr>
            <w:tcW w:w="896" w:type="dxa"/>
            <w:tcBorders>
              <w:top w:val="single" w:sz="4" w:space="0" w:color="auto"/>
              <w:left w:val="nil"/>
              <w:bottom w:val="single" w:sz="4" w:space="0" w:color="auto"/>
              <w:right w:val="single" w:sz="4" w:space="0" w:color="auto"/>
            </w:tcBorders>
            <w:shd w:val="clear" w:color="auto" w:fill="auto"/>
            <w:vAlign w:val="bottom"/>
          </w:tcPr>
          <w:p w14:paraId="00164D78" w14:textId="77777777" w:rsidR="009D4A93" w:rsidRPr="00536CFD" w:rsidRDefault="009D4A93" w:rsidP="009D4A93">
            <w:pPr>
              <w:spacing w:after="0"/>
              <w:jc w:val="center"/>
              <w:rPr>
                <w:lang w:val="zh-CN"/>
              </w:rPr>
            </w:pPr>
            <w:r w:rsidRPr="00536CFD">
              <w:rPr>
                <w:lang w:val="zh-CN"/>
              </w:rPr>
              <w:t>0.099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72A6A538" w14:textId="77777777" w:rsidR="009D4A93" w:rsidRPr="00536CFD" w:rsidRDefault="009D4A93" w:rsidP="009D4A93">
            <w:pPr>
              <w:spacing w:after="0"/>
              <w:jc w:val="center"/>
              <w:rPr>
                <w:lang w:val="zh-CN"/>
              </w:rPr>
            </w:pPr>
            <w:r w:rsidRPr="00536CFD">
              <w:rPr>
                <w:lang w:val="zh-CN"/>
              </w:rPr>
              <w:t>0.064</w:t>
            </w:r>
          </w:p>
        </w:tc>
        <w:tc>
          <w:tcPr>
            <w:tcW w:w="720" w:type="dxa"/>
            <w:tcBorders>
              <w:top w:val="single" w:sz="4" w:space="0" w:color="auto"/>
              <w:left w:val="nil"/>
              <w:bottom w:val="single" w:sz="4" w:space="0" w:color="auto"/>
              <w:right w:val="single" w:sz="4" w:space="0" w:color="auto"/>
            </w:tcBorders>
            <w:shd w:val="clear" w:color="auto" w:fill="auto"/>
            <w:vAlign w:val="bottom"/>
          </w:tcPr>
          <w:p w14:paraId="7E1D5120" w14:textId="77777777" w:rsidR="009D4A93" w:rsidRPr="00536CFD" w:rsidRDefault="009D4A93" w:rsidP="009D4A93">
            <w:pPr>
              <w:spacing w:after="0"/>
              <w:jc w:val="center"/>
              <w:rPr>
                <w:lang w:val="zh-CN"/>
              </w:rPr>
            </w:pPr>
            <w:r w:rsidRPr="00536CFD">
              <w:rPr>
                <w:lang w:val="zh-CN"/>
              </w:rPr>
              <w:t>0.032</w:t>
            </w:r>
          </w:p>
        </w:tc>
      </w:tr>
      <w:tr w:rsidR="009D4A93" w:rsidRPr="00536CFD" w14:paraId="7D02D3A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A4F9487"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A01C72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140E66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71D4A83B" w14:textId="77777777" w:rsidR="009D4A93" w:rsidRPr="00536CFD" w:rsidRDefault="009D4A93" w:rsidP="009D4A93">
            <w:pPr>
              <w:spacing w:after="0"/>
              <w:jc w:val="center"/>
              <w:rPr>
                <w:lang w:val="zh-CN"/>
              </w:rPr>
            </w:pPr>
            <w:r w:rsidRPr="00536CFD">
              <w:rPr>
                <w:lang w:val="zh-CN"/>
              </w:rPr>
              <w:t>0.25</w:t>
            </w:r>
          </w:p>
        </w:tc>
        <w:tc>
          <w:tcPr>
            <w:tcW w:w="720" w:type="dxa"/>
            <w:tcBorders>
              <w:top w:val="single" w:sz="4" w:space="0" w:color="auto"/>
              <w:left w:val="nil"/>
              <w:bottom w:val="single" w:sz="4" w:space="0" w:color="auto"/>
              <w:right w:val="single" w:sz="4" w:space="0" w:color="auto"/>
            </w:tcBorders>
            <w:shd w:val="clear" w:color="auto" w:fill="auto"/>
            <w:vAlign w:val="bottom"/>
          </w:tcPr>
          <w:p w14:paraId="0646C7F6" w14:textId="77777777" w:rsidR="009D4A93" w:rsidRPr="00536CFD" w:rsidRDefault="009D4A93" w:rsidP="009D4A93">
            <w:pPr>
              <w:spacing w:after="0"/>
              <w:jc w:val="center"/>
              <w:rPr>
                <w:lang w:val="zh-CN"/>
              </w:rPr>
            </w:pPr>
            <w:r w:rsidRPr="00536CFD">
              <w:rPr>
                <w:lang w:val="zh-CN"/>
              </w:rPr>
              <w:t>0.203</w:t>
            </w:r>
          </w:p>
        </w:tc>
        <w:tc>
          <w:tcPr>
            <w:tcW w:w="720" w:type="dxa"/>
            <w:tcBorders>
              <w:top w:val="single" w:sz="4" w:space="0" w:color="auto"/>
              <w:left w:val="nil"/>
              <w:bottom w:val="single" w:sz="4" w:space="0" w:color="auto"/>
              <w:right w:val="single" w:sz="4" w:space="0" w:color="auto"/>
            </w:tcBorders>
            <w:shd w:val="clear" w:color="auto" w:fill="auto"/>
            <w:vAlign w:val="bottom"/>
          </w:tcPr>
          <w:p w14:paraId="6471EAD4" w14:textId="77777777" w:rsidR="009D4A93" w:rsidRPr="00536CFD" w:rsidRDefault="009D4A93" w:rsidP="009D4A93">
            <w:pPr>
              <w:spacing w:after="0"/>
              <w:jc w:val="center"/>
              <w:rPr>
                <w:lang w:val="zh-CN"/>
              </w:rPr>
            </w:pPr>
            <w:r w:rsidRPr="00536CFD">
              <w:rPr>
                <w:lang w:val="zh-CN"/>
              </w:rPr>
              <w:t>0.127</w:t>
            </w:r>
          </w:p>
        </w:tc>
        <w:tc>
          <w:tcPr>
            <w:tcW w:w="810" w:type="dxa"/>
            <w:tcBorders>
              <w:top w:val="single" w:sz="4" w:space="0" w:color="auto"/>
              <w:left w:val="nil"/>
              <w:bottom w:val="single" w:sz="4" w:space="0" w:color="auto"/>
              <w:right w:val="single" w:sz="4" w:space="0" w:color="auto"/>
            </w:tcBorders>
            <w:shd w:val="clear" w:color="auto" w:fill="auto"/>
            <w:vAlign w:val="bottom"/>
          </w:tcPr>
          <w:p w14:paraId="014AA548" w14:textId="77777777" w:rsidR="009D4A93" w:rsidRPr="00536CFD" w:rsidRDefault="009D4A93" w:rsidP="009D4A93">
            <w:pPr>
              <w:spacing w:after="0"/>
              <w:jc w:val="center"/>
              <w:rPr>
                <w:lang w:val="zh-CN"/>
              </w:rPr>
            </w:pPr>
            <w:r w:rsidRPr="00536CFD">
              <w:rPr>
                <w:lang w:val="zh-CN"/>
              </w:rPr>
              <w:t>0.068</w:t>
            </w:r>
          </w:p>
        </w:tc>
        <w:tc>
          <w:tcPr>
            <w:tcW w:w="810" w:type="dxa"/>
            <w:tcBorders>
              <w:top w:val="single" w:sz="4" w:space="0" w:color="auto"/>
              <w:left w:val="nil"/>
              <w:bottom w:val="single" w:sz="4" w:space="0" w:color="auto"/>
              <w:right w:val="single" w:sz="4" w:space="0" w:color="auto"/>
            </w:tcBorders>
            <w:shd w:val="clear" w:color="auto" w:fill="auto"/>
            <w:vAlign w:val="bottom"/>
          </w:tcPr>
          <w:p w14:paraId="27B35B9A" w14:textId="77777777" w:rsidR="009D4A93" w:rsidRPr="00536CFD" w:rsidRDefault="009D4A93" w:rsidP="009D4A93">
            <w:pPr>
              <w:spacing w:after="0"/>
              <w:jc w:val="center"/>
              <w:rPr>
                <w:lang w:val="zh-CN"/>
              </w:rPr>
            </w:pPr>
            <w:r w:rsidRPr="00536CFD">
              <w:rPr>
                <w:lang w:val="zh-CN"/>
              </w:rPr>
              <w:t>2.287</w:t>
            </w:r>
          </w:p>
        </w:tc>
        <w:tc>
          <w:tcPr>
            <w:tcW w:w="820" w:type="dxa"/>
            <w:tcBorders>
              <w:top w:val="single" w:sz="4" w:space="0" w:color="auto"/>
              <w:left w:val="nil"/>
              <w:bottom w:val="single" w:sz="4" w:space="0" w:color="auto"/>
              <w:right w:val="single" w:sz="4" w:space="0" w:color="auto"/>
            </w:tcBorders>
            <w:shd w:val="clear" w:color="auto" w:fill="auto"/>
            <w:vAlign w:val="bottom"/>
          </w:tcPr>
          <w:p w14:paraId="26CDEF60" w14:textId="77777777" w:rsidR="009D4A93" w:rsidRPr="00536CFD" w:rsidRDefault="009D4A93" w:rsidP="009D4A93">
            <w:pPr>
              <w:spacing w:after="0"/>
              <w:jc w:val="center"/>
              <w:rPr>
                <w:lang w:val="zh-CN"/>
              </w:rPr>
            </w:pPr>
            <w:r w:rsidRPr="00536CFD">
              <w:rPr>
                <w:lang w:val="zh-CN"/>
              </w:rPr>
              <w:t>0.58</w:t>
            </w:r>
          </w:p>
        </w:tc>
        <w:tc>
          <w:tcPr>
            <w:tcW w:w="800" w:type="dxa"/>
            <w:tcBorders>
              <w:top w:val="single" w:sz="4" w:space="0" w:color="auto"/>
              <w:left w:val="nil"/>
              <w:bottom w:val="single" w:sz="4" w:space="0" w:color="auto"/>
              <w:right w:val="single" w:sz="4" w:space="0" w:color="auto"/>
            </w:tcBorders>
            <w:shd w:val="clear" w:color="auto" w:fill="auto"/>
            <w:vAlign w:val="bottom"/>
          </w:tcPr>
          <w:p w14:paraId="4564FF58" w14:textId="77777777" w:rsidR="009D4A93" w:rsidRPr="00536CFD" w:rsidRDefault="009D4A93" w:rsidP="009D4A93">
            <w:pPr>
              <w:spacing w:after="0"/>
              <w:jc w:val="center"/>
              <w:rPr>
                <w:lang w:val="zh-CN"/>
              </w:rPr>
            </w:pPr>
            <w:r w:rsidRPr="00536CFD">
              <w:rPr>
                <w:lang w:val="zh-CN"/>
              </w:rPr>
              <w:t>0.314</w:t>
            </w:r>
          </w:p>
        </w:tc>
        <w:tc>
          <w:tcPr>
            <w:tcW w:w="720" w:type="dxa"/>
            <w:tcBorders>
              <w:top w:val="single" w:sz="4" w:space="0" w:color="auto"/>
              <w:left w:val="nil"/>
              <w:bottom w:val="single" w:sz="4" w:space="0" w:color="auto"/>
              <w:right w:val="single" w:sz="4" w:space="0" w:color="auto"/>
            </w:tcBorders>
            <w:shd w:val="clear" w:color="auto" w:fill="auto"/>
            <w:vAlign w:val="bottom"/>
          </w:tcPr>
          <w:p w14:paraId="4EA49D69" w14:textId="77777777" w:rsidR="009D4A93" w:rsidRPr="00536CFD" w:rsidRDefault="009D4A93" w:rsidP="009D4A93">
            <w:pPr>
              <w:spacing w:after="0"/>
              <w:jc w:val="center"/>
              <w:rPr>
                <w:lang w:val="zh-CN"/>
              </w:rPr>
            </w:pPr>
            <w:r w:rsidRPr="00536CFD">
              <w:rPr>
                <w:lang w:val="zh-CN"/>
              </w:rPr>
              <w:t>0.095</w:t>
            </w:r>
          </w:p>
        </w:tc>
        <w:tc>
          <w:tcPr>
            <w:tcW w:w="724" w:type="dxa"/>
            <w:tcBorders>
              <w:top w:val="single" w:sz="4" w:space="0" w:color="auto"/>
              <w:left w:val="nil"/>
              <w:bottom w:val="single" w:sz="4" w:space="0" w:color="auto"/>
              <w:right w:val="single" w:sz="4" w:space="0" w:color="auto"/>
            </w:tcBorders>
            <w:shd w:val="clear" w:color="auto" w:fill="auto"/>
            <w:vAlign w:val="bottom"/>
          </w:tcPr>
          <w:p w14:paraId="1C379D6A" w14:textId="77777777" w:rsidR="009D4A93" w:rsidRPr="00536CFD" w:rsidRDefault="009D4A93" w:rsidP="009D4A93">
            <w:pPr>
              <w:spacing w:after="0"/>
              <w:jc w:val="center"/>
              <w:rPr>
                <w:lang w:val="zh-CN"/>
              </w:rPr>
            </w:pPr>
            <w:r w:rsidRPr="00536CFD">
              <w:rPr>
                <w:lang w:val="zh-CN"/>
              </w:rPr>
              <w:t>54.959</w:t>
            </w:r>
          </w:p>
        </w:tc>
        <w:tc>
          <w:tcPr>
            <w:tcW w:w="896" w:type="dxa"/>
            <w:tcBorders>
              <w:top w:val="single" w:sz="4" w:space="0" w:color="auto"/>
              <w:left w:val="nil"/>
              <w:bottom w:val="single" w:sz="4" w:space="0" w:color="auto"/>
              <w:right w:val="single" w:sz="4" w:space="0" w:color="auto"/>
            </w:tcBorders>
            <w:shd w:val="clear" w:color="auto" w:fill="auto"/>
            <w:vAlign w:val="bottom"/>
          </w:tcPr>
          <w:p w14:paraId="1C9E9DF0" w14:textId="77777777" w:rsidR="009D4A93" w:rsidRPr="00536CFD" w:rsidRDefault="009D4A93" w:rsidP="009D4A93">
            <w:pPr>
              <w:spacing w:after="0"/>
              <w:jc w:val="center"/>
              <w:rPr>
                <w:lang w:val="zh-CN"/>
              </w:rPr>
            </w:pPr>
            <w:r w:rsidRPr="00536CFD">
              <w:rPr>
                <w:lang w:val="zh-CN"/>
              </w:rPr>
              <w:t>2.206</w:t>
            </w:r>
          </w:p>
        </w:tc>
        <w:tc>
          <w:tcPr>
            <w:tcW w:w="720" w:type="dxa"/>
            <w:tcBorders>
              <w:top w:val="single" w:sz="4" w:space="0" w:color="auto"/>
              <w:left w:val="nil"/>
              <w:bottom w:val="single" w:sz="4" w:space="0" w:color="auto"/>
              <w:right w:val="single" w:sz="4" w:space="0" w:color="auto"/>
            </w:tcBorders>
            <w:shd w:val="clear" w:color="auto" w:fill="auto"/>
            <w:vAlign w:val="bottom"/>
          </w:tcPr>
          <w:p w14:paraId="0C1DBD08" w14:textId="77777777" w:rsidR="009D4A93" w:rsidRPr="00536CFD" w:rsidRDefault="009D4A93" w:rsidP="009D4A93">
            <w:pPr>
              <w:spacing w:after="0"/>
              <w:jc w:val="center"/>
              <w:rPr>
                <w:lang w:val="zh-CN"/>
              </w:rPr>
            </w:pPr>
            <w:r w:rsidRPr="00536CFD">
              <w:rPr>
                <w:lang w:val="zh-CN"/>
              </w:rPr>
              <w:t>0.717</w:t>
            </w:r>
          </w:p>
        </w:tc>
        <w:tc>
          <w:tcPr>
            <w:tcW w:w="720" w:type="dxa"/>
            <w:tcBorders>
              <w:top w:val="single" w:sz="4" w:space="0" w:color="auto"/>
              <w:left w:val="nil"/>
              <w:bottom w:val="single" w:sz="4" w:space="0" w:color="auto"/>
              <w:right w:val="single" w:sz="4" w:space="0" w:color="auto"/>
            </w:tcBorders>
            <w:shd w:val="clear" w:color="auto" w:fill="auto"/>
            <w:vAlign w:val="bottom"/>
          </w:tcPr>
          <w:p w14:paraId="6BE9A243" w14:textId="77777777" w:rsidR="009D4A93" w:rsidRPr="00536CFD" w:rsidRDefault="009D4A93" w:rsidP="009D4A93">
            <w:pPr>
              <w:spacing w:after="0"/>
              <w:jc w:val="center"/>
              <w:rPr>
                <w:lang w:val="zh-CN"/>
              </w:rPr>
            </w:pPr>
            <w:r w:rsidRPr="00536CFD">
              <w:rPr>
                <w:lang w:val="zh-CN"/>
              </w:rPr>
              <w:t>0.12</w:t>
            </w:r>
          </w:p>
        </w:tc>
      </w:tr>
      <w:tr w:rsidR="009D4A93" w:rsidRPr="00536CFD" w14:paraId="4B8475D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07FB76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EAC4B6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2D6806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5A097165" w14:textId="77777777" w:rsidR="009D4A93" w:rsidRPr="00536CFD" w:rsidRDefault="009D4A93" w:rsidP="009D4A93">
            <w:pPr>
              <w:spacing w:after="0"/>
              <w:jc w:val="center"/>
              <w:rPr>
                <w:lang w:val="zh-CN"/>
              </w:rPr>
            </w:pPr>
            <w:r w:rsidRPr="00536CFD">
              <w:rPr>
                <w:lang w:val="zh-CN"/>
              </w:rPr>
              <w:t>0.092</w:t>
            </w:r>
          </w:p>
        </w:tc>
        <w:tc>
          <w:tcPr>
            <w:tcW w:w="720" w:type="dxa"/>
            <w:tcBorders>
              <w:top w:val="single" w:sz="4" w:space="0" w:color="auto"/>
              <w:left w:val="nil"/>
              <w:bottom w:val="single" w:sz="4" w:space="0" w:color="auto"/>
              <w:right w:val="single" w:sz="4" w:space="0" w:color="auto"/>
            </w:tcBorders>
            <w:shd w:val="clear" w:color="auto" w:fill="auto"/>
            <w:vAlign w:val="bottom"/>
          </w:tcPr>
          <w:p w14:paraId="37501871" w14:textId="77777777" w:rsidR="009D4A93" w:rsidRPr="00536CFD" w:rsidRDefault="009D4A93" w:rsidP="009D4A93">
            <w:pPr>
              <w:spacing w:after="0"/>
              <w:jc w:val="center"/>
              <w:rPr>
                <w:lang w:val="zh-CN"/>
              </w:rPr>
            </w:pPr>
            <w:r w:rsidRPr="00536CFD">
              <w:rPr>
                <w:lang w:val="zh-CN"/>
              </w:rPr>
              <w:t>0.077</w:t>
            </w:r>
          </w:p>
        </w:tc>
        <w:tc>
          <w:tcPr>
            <w:tcW w:w="720" w:type="dxa"/>
            <w:tcBorders>
              <w:top w:val="single" w:sz="4" w:space="0" w:color="auto"/>
              <w:left w:val="nil"/>
              <w:bottom w:val="single" w:sz="4" w:space="0" w:color="auto"/>
              <w:right w:val="single" w:sz="4" w:space="0" w:color="auto"/>
            </w:tcBorders>
            <w:shd w:val="clear" w:color="auto" w:fill="auto"/>
            <w:vAlign w:val="bottom"/>
          </w:tcPr>
          <w:p w14:paraId="16C67E58" w14:textId="77777777" w:rsidR="009D4A93" w:rsidRPr="00536CFD" w:rsidRDefault="009D4A93" w:rsidP="009D4A93">
            <w:pPr>
              <w:spacing w:after="0"/>
              <w:jc w:val="center"/>
              <w:rPr>
                <w:lang w:val="zh-CN"/>
              </w:rPr>
            </w:pPr>
            <w:r w:rsidRPr="00536CFD">
              <w:rPr>
                <w:lang w:val="zh-CN"/>
              </w:rPr>
              <w:t>0.047</w:t>
            </w:r>
          </w:p>
        </w:tc>
        <w:tc>
          <w:tcPr>
            <w:tcW w:w="810" w:type="dxa"/>
            <w:tcBorders>
              <w:top w:val="single" w:sz="4" w:space="0" w:color="auto"/>
              <w:left w:val="nil"/>
              <w:bottom w:val="single" w:sz="4" w:space="0" w:color="auto"/>
              <w:right w:val="single" w:sz="4" w:space="0" w:color="auto"/>
            </w:tcBorders>
            <w:shd w:val="clear" w:color="auto" w:fill="auto"/>
            <w:vAlign w:val="bottom"/>
          </w:tcPr>
          <w:p w14:paraId="57E9C0E5" w14:textId="77777777" w:rsidR="009D4A93" w:rsidRPr="00536CFD" w:rsidRDefault="009D4A93" w:rsidP="009D4A93">
            <w:pPr>
              <w:spacing w:after="0"/>
              <w:jc w:val="center"/>
              <w:rPr>
                <w:lang w:val="zh-CN"/>
              </w:rPr>
            </w:pPr>
            <w:r w:rsidRPr="00536CFD">
              <w:rPr>
                <w:lang w:val="zh-CN"/>
              </w:rPr>
              <w:t>0.033</w:t>
            </w:r>
          </w:p>
        </w:tc>
        <w:tc>
          <w:tcPr>
            <w:tcW w:w="810" w:type="dxa"/>
            <w:tcBorders>
              <w:top w:val="single" w:sz="4" w:space="0" w:color="auto"/>
              <w:left w:val="nil"/>
              <w:bottom w:val="single" w:sz="4" w:space="0" w:color="auto"/>
              <w:right w:val="single" w:sz="4" w:space="0" w:color="auto"/>
            </w:tcBorders>
            <w:shd w:val="clear" w:color="auto" w:fill="auto"/>
            <w:vAlign w:val="bottom"/>
          </w:tcPr>
          <w:p w14:paraId="3D9A039B" w14:textId="77777777" w:rsidR="009D4A93" w:rsidRPr="00536CFD" w:rsidRDefault="009D4A93" w:rsidP="009D4A93">
            <w:pPr>
              <w:spacing w:after="0"/>
              <w:jc w:val="center"/>
              <w:rPr>
                <w:lang w:val="zh-CN"/>
              </w:rPr>
            </w:pPr>
            <w:r w:rsidRPr="00536CFD">
              <w:rPr>
                <w:lang w:val="zh-CN"/>
              </w:rPr>
              <w:t>3.348</w:t>
            </w:r>
          </w:p>
        </w:tc>
        <w:tc>
          <w:tcPr>
            <w:tcW w:w="820" w:type="dxa"/>
            <w:tcBorders>
              <w:top w:val="single" w:sz="4" w:space="0" w:color="auto"/>
              <w:left w:val="nil"/>
              <w:bottom w:val="single" w:sz="4" w:space="0" w:color="auto"/>
              <w:right w:val="single" w:sz="4" w:space="0" w:color="auto"/>
            </w:tcBorders>
            <w:shd w:val="clear" w:color="auto" w:fill="auto"/>
            <w:vAlign w:val="bottom"/>
          </w:tcPr>
          <w:p w14:paraId="58893928" w14:textId="77777777" w:rsidR="009D4A93" w:rsidRPr="00536CFD" w:rsidRDefault="009D4A93" w:rsidP="009D4A93">
            <w:pPr>
              <w:spacing w:after="0"/>
              <w:jc w:val="center"/>
              <w:rPr>
                <w:lang w:val="zh-CN"/>
              </w:rPr>
            </w:pPr>
            <w:r w:rsidRPr="00536CFD">
              <w:rPr>
                <w:lang w:val="zh-CN"/>
              </w:rPr>
              <w:t>1.016</w:t>
            </w:r>
          </w:p>
        </w:tc>
        <w:tc>
          <w:tcPr>
            <w:tcW w:w="800" w:type="dxa"/>
            <w:tcBorders>
              <w:top w:val="single" w:sz="4" w:space="0" w:color="auto"/>
              <w:left w:val="nil"/>
              <w:bottom w:val="single" w:sz="4" w:space="0" w:color="auto"/>
              <w:right w:val="single" w:sz="4" w:space="0" w:color="auto"/>
            </w:tcBorders>
            <w:shd w:val="clear" w:color="auto" w:fill="auto"/>
            <w:vAlign w:val="bottom"/>
          </w:tcPr>
          <w:p w14:paraId="2362AA4B" w14:textId="77777777" w:rsidR="009D4A93" w:rsidRPr="00536CFD" w:rsidRDefault="009D4A93" w:rsidP="009D4A93">
            <w:pPr>
              <w:spacing w:after="0"/>
              <w:jc w:val="center"/>
              <w:rPr>
                <w:lang w:val="zh-CN"/>
              </w:rPr>
            </w:pPr>
            <w:r w:rsidRPr="00536CFD">
              <w:rPr>
                <w:lang w:val="zh-CN"/>
              </w:rPr>
              <w:t>0.096</w:t>
            </w:r>
          </w:p>
        </w:tc>
        <w:tc>
          <w:tcPr>
            <w:tcW w:w="720" w:type="dxa"/>
            <w:tcBorders>
              <w:top w:val="single" w:sz="4" w:space="0" w:color="auto"/>
              <w:left w:val="nil"/>
              <w:bottom w:val="single" w:sz="4" w:space="0" w:color="auto"/>
              <w:right w:val="single" w:sz="4" w:space="0" w:color="auto"/>
            </w:tcBorders>
            <w:shd w:val="clear" w:color="auto" w:fill="auto"/>
            <w:vAlign w:val="bottom"/>
          </w:tcPr>
          <w:p w14:paraId="1B2BD544" w14:textId="77777777" w:rsidR="009D4A93" w:rsidRPr="00536CFD" w:rsidRDefault="009D4A93" w:rsidP="009D4A93">
            <w:pPr>
              <w:spacing w:after="0"/>
              <w:jc w:val="center"/>
              <w:rPr>
                <w:lang w:val="zh-CN"/>
              </w:rPr>
            </w:pPr>
            <w:r w:rsidRPr="00536CFD">
              <w:rPr>
                <w:lang w:val="zh-CN"/>
              </w:rPr>
              <w:t>0.041</w:t>
            </w:r>
          </w:p>
        </w:tc>
        <w:tc>
          <w:tcPr>
            <w:tcW w:w="724" w:type="dxa"/>
            <w:tcBorders>
              <w:top w:val="single" w:sz="4" w:space="0" w:color="auto"/>
              <w:left w:val="nil"/>
              <w:bottom w:val="single" w:sz="4" w:space="0" w:color="auto"/>
              <w:right w:val="single" w:sz="4" w:space="0" w:color="auto"/>
            </w:tcBorders>
            <w:shd w:val="clear" w:color="auto" w:fill="auto"/>
            <w:vAlign w:val="bottom"/>
          </w:tcPr>
          <w:p w14:paraId="7BA15942" w14:textId="77777777" w:rsidR="009D4A93" w:rsidRPr="00536CFD" w:rsidRDefault="009D4A93" w:rsidP="009D4A93">
            <w:pPr>
              <w:spacing w:after="0"/>
              <w:jc w:val="center"/>
              <w:rPr>
                <w:lang w:val="zh-CN"/>
              </w:rPr>
            </w:pPr>
            <w:r w:rsidRPr="00536CFD">
              <w:rPr>
                <w:lang w:val="zh-CN"/>
              </w:rPr>
              <w:t>10.506</w:t>
            </w:r>
          </w:p>
        </w:tc>
        <w:tc>
          <w:tcPr>
            <w:tcW w:w="896" w:type="dxa"/>
            <w:tcBorders>
              <w:top w:val="single" w:sz="4" w:space="0" w:color="auto"/>
              <w:left w:val="nil"/>
              <w:bottom w:val="single" w:sz="4" w:space="0" w:color="auto"/>
              <w:right w:val="single" w:sz="4" w:space="0" w:color="auto"/>
            </w:tcBorders>
            <w:shd w:val="clear" w:color="auto" w:fill="auto"/>
            <w:vAlign w:val="bottom"/>
          </w:tcPr>
          <w:p w14:paraId="77EA24B8" w14:textId="77777777" w:rsidR="009D4A93" w:rsidRPr="00536CFD" w:rsidRDefault="009D4A93" w:rsidP="009D4A93">
            <w:pPr>
              <w:spacing w:after="0"/>
              <w:jc w:val="center"/>
              <w:rPr>
                <w:lang w:val="zh-CN"/>
              </w:rPr>
            </w:pPr>
            <w:r w:rsidRPr="00536CFD">
              <w:rPr>
                <w:lang w:val="zh-CN"/>
              </w:rPr>
              <w:t>5.613</w:t>
            </w:r>
          </w:p>
        </w:tc>
        <w:tc>
          <w:tcPr>
            <w:tcW w:w="720" w:type="dxa"/>
            <w:tcBorders>
              <w:top w:val="single" w:sz="4" w:space="0" w:color="auto"/>
              <w:left w:val="nil"/>
              <w:bottom w:val="single" w:sz="4" w:space="0" w:color="auto"/>
              <w:right w:val="single" w:sz="4" w:space="0" w:color="auto"/>
            </w:tcBorders>
            <w:shd w:val="clear" w:color="auto" w:fill="auto"/>
            <w:vAlign w:val="bottom"/>
          </w:tcPr>
          <w:p w14:paraId="6C8FAED6" w14:textId="77777777" w:rsidR="009D4A93" w:rsidRPr="00536CFD" w:rsidRDefault="009D4A93" w:rsidP="009D4A93">
            <w:pPr>
              <w:spacing w:after="0"/>
              <w:jc w:val="center"/>
              <w:rPr>
                <w:lang w:val="zh-CN"/>
              </w:rPr>
            </w:pPr>
            <w:r w:rsidRPr="00536CFD">
              <w:rPr>
                <w:lang w:val="zh-CN"/>
              </w:rPr>
              <w:t>0.249</w:t>
            </w:r>
          </w:p>
        </w:tc>
        <w:tc>
          <w:tcPr>
            <w:tcW w:w="720" w:type="dxa"/>
            <w:tcBorders>
              <w:top w:val="single" w:sz="4" w:space="0" w:color="auto"/>
              <w:left w:val="nil"/>
              <w:bottom w:val="single" w:sz="4" w:space="0" w:color="auto"/>
              <w:right w:val="single" w:sz="4" w:space="0" w:color="auto"/>
            </w:tcBorders>
            <w:shd w:val="clear" w:color="auto" w:fill="auto"/>
            <w:vAlign w:val="bottom"/>
          </w:tcPr>
          <w:p w14:paraId="5F333BA8" w14:textId="77777777" w:rsidR="009D4A93" w:rsidRPr="00536CFD" w:rsidRDefault="009D4A93" w:rsidP="009D4A93">
            <w:pPr>
              <w:spacing w:after="0"/>
              <w:jc w:val="center"/>
              <w:rPr>
                <w:lang w:val="zh-CN"/>
              </w:rPr>
            </w:pPr>
            <w:r w:rsidRPr="00536CFD">
              <w:rPr>
                <w:lang w:val="zh-CN"/>
              </w:rPr>
              <w:t>0.048</w:t>
            </w:r>
          </w:p>
        </w:tc>
      </w:tr>
      <w:tr w:rsidR="009D4A93" w:rsidRPr="00536CFD" w14:paraId="60D90C5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3AABDAF"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383BBBF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66A6C0F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264542C2" w14:textId="77777777" w:rsidR="009D4A93" w:rsidRPr="00536CFD" w:rsidRDefault="009D4A93" w:rsidP="009D4A93">
            <w:pPr>
              <w:spacing w:after="0"/>
              <w:jc w:val="center"/>
              <w:rPr>
                <w:lang w:val="zh-CN"/>
              </w:rPr>
            </w:pPr>
            <w:r w:rsidRPr="00536CFD">
              <w:rPr>
                <w:lang w:val="zh-CN"/>
              </w:rPr>
              <w:t>17.13</w:t>
            </w:r>
          </w:p>
        </w:tc>
        <w:tc>
          <w:tcPr>
            <w:tcW w:w="720" w:type="dxa"/>
            <w:tcBorders>
              <w:top w:val="single" w:sz="4" w:space="0" w:color="auto"/>
              <w:left w:val="nil"/>
              <w:bottom w:val="single" w:sz="4" w:space="0" w:color="auto"/>
              <w:right w:val="single" w:sz="4" w:space="0" w:color="auto"/>
            </w:tcBorders>
            <w:shd w:val="clear" w:color="auto" w:fill="auto"/>
            <w:vAlign w:val="bottom"/>
          </w:tcPr>
          <w:p w14:paraId="4A1ED874" w14:textId="77777777" w:rsidR="009D4A93" w:rsidRPr="00536CFD" w:rsidRDefault="009D4A93" w:rsidP="009D4A93">
            <w:pPr>
              <w:spacing w:after="0"/>
              <w:jc w:val="center"/>
              <w:rPr>
                <w:lang w:val="zh-CN"/>
              </w:rPr>
            </w:pPr>
            <w:r w:rsidRPr="00536CFD">
              <w:rPr>
                <w:lang w:val="zh-CN"/>
              </w:rPr>
              <w:t>20.72</w:t>
            </w:r>
          </w:p>
        </w:tc>
        <w:tc>
          <w:tcPr>
            <w:tcW w:w="720" w:type="dxa"/>
            <w:tcBorders>
              <w:top w:val="single" w:sz="4" w:space="0" w:color="auto"/>
              <w:left w:val="nil"/>
              <w:bottom w:val="single" w:sz="4" w:space="0" w:color="auto"/>
              <w:right w:val="single" w:sz="4" w:space="0" w:color="auto"/>
            </w:tcBorders>
            <w:shd w:val="clear" w:color="auto" w:fill="auto"/>
            <w:vAlign w:val="bottom"/>
          </w:tcPr>
          <w:p w14:paraId="1C62BB07" w14:textId="77777777" w:rsidR="009D4A93" w:rsidRPr="00536CFD" w:rsidRDefault="009D4A93" w:rsidP="009D4A93">
            <w:pPr>
              <w:spacing w:after="0"/>
              <w:jc w:val="center"/>
              <w:rPr>
                <w:lang w:val="zh-CN"/>
              </w:rPr>
            </w:pPr>
            <w:r w:rsidRPr="00536CFD">
              <w:rPr>
                <w:lang w:val="zh-CN"/>
              </w:rPr>
              <w:t>42.8</w:t>
            </w:r>
          </w:p>
        </w:tc>
        <w:tc>
          <w:tcPr>
            <w:tcW w:w="810" w:type="dxa"/>
            <w:tcBorders>
              <w:top w:val="single" w:sz="4" w:space="0" w:color="auto"/>
              <w:left w:val="nil"/>
              <w:bottom w:val="single" w:sz="4" w:space="0" w:color="auto"/>
              <w:right w:val="single" w:sz="4" w:space="0" w:color="auto"/>
            </w:tcBorders>
            <w:shd w:val="clear" w:color="auto" w:fill="auto"/>
            <w:vAlign w:val="bottom"/>
          </w:tcPr>
          <w:p w14:paraId="12ADA9B4" w14:textId="77777777" w:rsidR="009D4A93" w:rsidRPr="00536CFD" w:rsidRDefault="009D4A93" w:rsidP="009D4A93">
            <w:pPr>
              <w:spacing w:after="0"/>
              <w:jc w:val="center"/>
              <w:rPr>
                <w:lang w:val="zh-CN"/>
              </w:rPr>
            </w:pPr>
            <w:r w:rsidRPr="00536CFD">
              <w:rPr>
                <w:lang w:val="zh-CN"/>
              </w:rPr>
              <w:t>49.8</w:t>
            </w:r>
          </w:p>
        </w:tc>
        <w:tc>
          <w:tcPr>
            <w:tcW w:w="810" w:type="dxa"/>
            <w:tcBorders>
              <w:top w:val="single" w:sz="4" w:space="0" w:color="auto"/>
              <w:left w:val="nil"/>
              <w:bottom w:val="single" w:sz="4" w:space="0" w:color="auto"/>
              <w:right w:val="single" w:sz="4" w:space="0" w:color="auto"/>
            </w:tcBorders>
            <w:shd w:val="clear" w:color="auto" w:fill="auto"/>
            <w:vAlign w:val="bottom"/>
          </w:tcPr>
          <w:p w14:paraId="2B540DAC" w14:textId="77777777" w:rsidR="009D4A93" w:rsidRPr="00536CFD" w:rsidRDefault="009D4A93" w:rsidP="009D4A93">
            <w:pPr>
              <w:spacing w:after="0"/>
              <w:jc w:val="center"/>
              <w:rPr>
                <w:lang w:val="zh-CN"/>
              </w:rPr>
            </w:pPr>
            <w:r w:rsidRPr="00536CFD">
              <w:rPr>
                <w:lang w:val="zh-CN"/>
              </w:rPr>
              <w:t>0.39</w:t>
            </w:r>
          </w:p>
        </w:tc>
        <w:tc>
          <w:tcPr>
            <w:tcW w:w="820" w:type="dxa"/>
            <w:tcBorders>
              <w:top w:val="single" w:sz="4" w:space="0" w:color="auto"/>
              <w:left w:val="nil"/>
              <w:bottom w:val="single" w:sz="4" w:space="0" w:color="auto"/>
              <w:right w:val="single" w:sz="4" w:space="0" w:color="auto"/>
            </w:tcBorders>
            <w:shd w:val="clear" w:color="auto" w:fill="auto"/>
            <w:vAlign w:val="bottom"/>
          </w:tcPr>
          <w:p w14:paraId="529D4A90" w14:textId="77777777" w:rsidR="009D4A93" w:rsidRPr="00536CFD" w:rsidRDefault="009D4A93" w:rsidP="009D4A93">
            <w:pPr>
              <w:spacing w:after="0"/>
              <w:jc w:val="center"/>
              <w:rPr>
                <w:lang w:val="zh-CN"/>
              </w:rPr>
            </w:pPr>
            <w:r w:rsidRPr="00536CFD">
              <w:rPr>
                <w:lang w:val="zh-CN"/>
              </w:rPr>
              <w:t>9.16</w:t>
            </w:r>
          </w:p>
        </w:tc>
        <w:tc>
          <w:tcPr>
            <w:tcW w:w="800" w:type="dxa"/>
            <w:tcBorders>
              <w:top w:val="single" w:sz="4" w:space="0" w:color="auto"/>
              <w:left w:val="nil"/>
              <w:bottom w:val="single" w:sz="4" w:space="0" w:color="auto"/>
              <w:right w:val="single" w:sz="4" w:space="0" w:color="auto"/>
            </w:tcBorders>
            <w:shd w:val="clear" w:color="auto" w:fill="auto"/>
            <w:vAlign w:val="bottom"/>
          </w:tcPr>
          <w:p w14:paraId="7742504C" w14:textId="77777777" w:rsidR="009D4A93" w:rsidRPr="00536CFD" w:rsidRDefault="009D4A93" w:rsidP="009D4A93">
            <w:pPr>
              <w:spacing w:after="0"/>
              <w:jc w:val="center"/>
              <w:rPr>
                <w:lang w:val="zh-CN"/>
              </w:rPr>
            </w:pPr>
            <w:r w:rsidRPr="00536CFD">
              <w:rPr>
                <w:lang w:val="zh-CN"/>
              </w:rPr>
              <w:t>22.29</w:t>
            </w:r>
          </w:p>
        </w:tc>
        <w:tc>
          <w:tcPr>
            <w:tcW w:w="720" w:type="dxa"/>
            <w:tcBorders>
              <w:top w:val="single" w:sz="4" w:space="0" w:color="auto"/>
              <w:left w:val="nil"/>
              <w:bottom w:val="single" w:sz="4" w:space="0" w:color="auto"/>
              <w:right w:val="single" w:sz="4" w:space="0" w:color="auto"/>
            </w:tcBorders>
            <w:shd w:val="clear" w:color="auto" w:fill="auto"/>
            <w:vAlign w:val="bottom"/>
          </w:tcPr>
          <w:p w14:paraId="460F7995" w14:textId="77777777" w:rsidR="009D4A93" w:rsidRPr="00536CFD" w:rsidRDefault="009D4A93" w:rsidP="009D4A93">
            <w:pPr>
              <w:spacing w:after="0"/>
              <w:jc w:val="center"/>
              <w:rPr>
                <w:lang w:val="zh-CN"/>
              </w:rPr>
            </w:pPr>
            <w:r w:rsidRPr="00536CFD">
              <w:rPr>
                <w:lang w:val="zh-CN"/>
              </w:rPr>
              <w:t>37.47</w:t>
            </w:r>
          </w:p>
        </w:tc>
        <w:tc>
          <w:tcPr>
            <w:tcW w:w="724" w:type="dxa"/>
            <w:tcBorders>
              <w:top w:val="single" w:sz="4" w:space="0" w:color="auto"/>
              <w:left w:val="nil"/>
              <w:bottom w:val="single" w:sz="4" w:space="0" w:color="auto"/>
              <w:right w:val="single" w:sz="4" w:space="0" w:color="auto"/>
            </w:tcBorders>
            <w:shd w:val="clear" w:color="auto" w:fill="auto"/>
            <w:vAlign w:val="bottom"/>
          </w:tcPr>
          <w:p w14:paraId="5AB81A46" w14:textId="77777777" w:rsidR="009D4A93" w:rsidRPr="00536CFD" w:rsidRDefault="009D4A93" w:rsidP="009D4A93">
            <w:pPr>
              <w:spacing w:after="0"/>
              <w:jc w:val="center"/>
              <w:rPr>
                <w:lang w:val="zh-CN"/>
              </w:rPr>
            </w:pPr>
            <w:r w:rsidRPr="00536CFD">
              <w:rPr>
                <w:lang w:val="zh-CN"/>
              </w:rPr>
              <w:t>0.03</w:t>
            </w:r>
          </w:p>
        </w:tc>
        <w:tc>
          <w:tcPr>
            <w:tcW w:w="896" w:type="dxa"/>
            <w:tcBorders>
              <w:top w:val="single" w:sz="4" w:space="0" w:color="auto"/>
              <w:left w:val="nil"/>
              <w:bottom w:val="single" w:sz="4" w:space="0" w:color="auto"/>
              <w:right w:val="single" w:sz="4" w:space="0" w:color="auto"/>
            </w:tcBorders>
            <w:shd w:val="clear" w:color="auto" w:fill="auto"/>
            <w:vAlign w:val="bottom"/>
          </w:tcPr>
          <w:p w14:paraId="63D4E4C4" w14:textId="77777777" w:rsidR="009D4A93" w:rsidRPr="00536CFD" w:rsidRDefault="009D4A93" w:rsidP="009D4A93">
            <w:pPr>
              <w:spacing w:after="0"/>
              <w:jc w:val="center"/>
              <w:rPr>
                <w:lang w:val="zh-CN"/>
              </w:rPr>
            </w:pPr>
            <w:r w:rsidRPr="00536CFD">
              <w:rPr>
                <w:lang w:val="zh-CN"/>
              </w:rPr>
              <w:t>0.19</w:t>
            </w:r>
          </w:p>
        </w:tc>
        <w:tc>
          <w:tcPr>
            <w:tcW w:w="720" w:type="dxa"/>
            <w:tcBorders>
              <w:top w:val="single" w:sz="4" w:space="0" w:color="auto"/>
              <w:left w:val="nil"/>
              <w:bottom w:val="single" w:sz="4" w:space="0" w:color="auto"/>
              <w:right w:val="single" w:sz="4" w:space="0" w:color="auto"/>
            </w:tcBorders>
            <w:shd w:val="clear" w:color="auto" w:fill="auto"/>
            <w:vAlign w:val="bottom"/>
          </w:tcPr>
          <w:p w14:paraId="79591E46" w14:textId="77777777" w:rsidR="009D4A93" w:rsidRPr="00536CFD" w:rsidRDefault="009D4A93" w:rsidP="009D4A93">
            <w:pPr>
              <w:spacing w:after="0"/>
              <w:jc w:val="center"/>
              <w:rPr>
                <w:lang w:val="zh-CN"/>
              </w:rPr>
            </w:pPr>
            <w:r w:rsidRPr="00536CFD">
              <w:rPr>
                <w:lang w:val="zh-CN"/>
              </w:rPr>
              <w:t>10.82</w:t>
            </w:r>
          </w:p>
        </w:tc>
        <w:tc>
          <w:tcPr>
            <w:tcW w:w="720" w:type="dxa"/>
            <w:tcBorders>
              <w:top w:val="single" w:sz="4" w:space="0" w:color="auto"/>
              <w:left w:val="nil"/>
              <w:bottom w:val="single" w:sz="4" w:space="0" w:color="auto"/>
              <w:right w:val="single" w:sz="4" w:space="0" w:color="auto"/>
            </w:tcBorders>
            <w:shd w:val="clear" w:color="auto" w:fill="auto"/>
            <w:vAlign w:val="bottom"/>
          </w:tcPr>
          <w:p w14:paraId="6AEB52EC" w14:textId="77777777" w:rsidR="009D4A93" w:rsidRPr="00536CFD" w:rsidRDefault="009D4A93" w:rsidP="009D4A93">
            <w:pPr>
              <w:spacing w:after="0"/>
              <w:jc w:val="center"/>
              <w:rPr>
                <w:lang w:val="zh-CN"/>
              </w:rPr>
            </w:pPr>
            <w:r w:rsidRPr="00536CFD">
              <w:rPr>
                <w:lang w:val="zh-CN"/>
              </w:rPr>
              <w:t>32.13</w:t>
            </w:r>
          </w:p>
        </w:tc>
      </w:tr>
      <w:tr w:rsidR="009D4A93" w:rsidRPr="00536CFD" w14:paraId="00D3D65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1BC238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9ABC06B"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D01A29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02C6490E" w14:textId="77777777" w:rsidR="009D4A93" w:rsidRPr="00536CFD" w:rsidRDefault="009D4A93" w:rsidP="009D4A93">
            <w:pPr>
              <w:spacing w:after="0"/>
              <w:jc w:val="center"/>
              <w:rPr>
                <w:lang w:val="zh-CN"/>
              </w:rPr>
            </w:pPr>
            <w:r w:rsidRPr="00536CFD">
              <w:rPr>
                <w:lang w:val="zh-CN"/>
              </w:rPr>
              <w:t>62.13</w:t>
            </w:r>
          </w:p>
        </w:tc>
        <w:tc>
          <w:tcPr>
            <w:tcW w:w="720" w:type="dxa"/>
            <w:tcBorders>
              <w:top w:val="single" w:sz="4" w:space="0" w:color="auto"/>
              <w:left w:val="nil"/>
              <w:bottom w:val="single" w:sz="4" w:space="0" w:color="auto"/>
              <w:right w:val="single" w:sz="4" w:space="0" w:color="auto"/>
            </w:tcBorders>
            <w:shd w:val="clear" w:color="auto" w:fill="auto"/>
            <w:vAlign w:val="bottom"/>
          </w:tcPr>
          <w:p w14:paraId="0BED504B" w14:textId="77777777" w:rsidR="009D4A93" w:rsidRPr="00536CFD" w:rsidRDefault="009D4A93" w:rsidP="009D4A93">
            <w:pPr>
              <w:spacing w:after="0"/>
              <w:jc w:val="center"/>
              <w:rPr>
                <w:lang w:val="zh-CN"/>
              </w:rPr>
            </w:pPr>
            <w:r w:rsidRPr="00536CFD">
              <w:rPr>
                <w:lang w:val="zh-CN"/>
              </w:rPr>
              <w:t>69.33</w:t>
            </w:r>
          </w:p>
        </w:tc>
        <w:tc>
          <w:tcPr>
            <w:tcW w:w="720" w:type="dxa"/>
            <w:tcBorders>
              <w:top w:val="single" w:sz="4" w:space="0" w:color="auto"/>
              <w:left w:val="nil"/>
              <w:bottom w:val="single" w:sz="4" w:space="0" w:color="auto"/>
              <w:right w:val="single" w:sz="4" w:space="0" w:color="auto"/>
            </w:tcBorders>
            <w:shd w:val="clear" w:color="auto" w:fill="auto"/>
            <w:vAlign w:val="bottom"/>
          </w:tcPr>
          <w:p w14:paraId="2A2DF530" w14:textId="77777777" w:rsidR="009D4A93" w:rsidRPr="00536CFD" w:rsidRDefault="009D4A93" w:rsidP="009D4A93">
            <w:pPr>
              <w:spacing w:after="0"/>
              <w:jc w:val="center"/>
              <w:rPr>
                <w:lang w:val="zh-CN"/>
              </w:rPr>
            </w:pPr>
            <w:r w:rsidRPr="00536CFD">
              <w:rPr>
                <w:lang w:val="zh-CN"/>
              </w:rPr>
              <w:t>112.77</w:t>
            </w:r>
          </w:p>
        </w:tc>
        <w:tc>
          <w:tcPr>
            <w:tcW w:w="810" w:type="dxa"/>
            <w:tcBorders>
              <w:top w:val="single" w:sz="4" w:space="0" w:color="auto"/>
              <w:left w:val="nil"/>
              <w:bottom w:val="single" w:sz="4" w:space="0" w:color="auto"/>
              <w:right w:val="single" w:sz="4" w:space="0" w:color="auto"/>
            </w:tcBorders>
            <w:shd w:val="clear" w:color="auto" w:fill="auto"/>
            <w:vAlign w:val="bottom"/>
          </w:tcPr>
          <w:p w14:paraId="4023F5CA" w14:textId="77777777" w:rsidR="009D4A93" w:rsidRPr="00536CFD" w:rsidRDefault="009D4A93" w:rsidP="009D4A93">
            <w:pPr>
              <w:spacing w:after="0"/>
              <w:jc w:val="center"/>
              <w:rPr>
                <w:lang w:val="zh-CN"/>
              </w:rPr>
            </w:pPr>
            <w:r w:rsidRPr="00536CFD">
              <w:rPr>
                <w:lang w:val="zh-CN"/>
              </w:rPr>
              <w:t>134.82</w:t>
            </w:r>
          </w:p>
        </w:tc>
        <w:tc>
          <w:tcPr>
            <w:tcW w:w="810" w:type="dxa"/>
            <w:tcBorders>
              <w:top w:val="single" w:sz="4" w:space="0" w:color="auto"/>
              <w:left w:val="nil"/>
              <w:bottom w:val="single" w:sz="4" w:space="0" w:color="auto"/>
              <w:right w:val="single" w:sz="4" w:space="0" w:color="auto"/>
            </w:tcBorders>
            <w:shd w:val="clear" w:color="auto" w:fill="auto"/>
            <w:vAlign w:val="bottom"/>
          </w:tcPr>
          <w:p w14:paraId="3E991C4A" w14:textId="77777777" w:rsidR="009D4A93" w:rsidRPr="00536CFD" w:rsidRDefault="009D4A93" w:rsidP="009D4A93">
            <w:pPr>
              <w:spacing w:after="0"/>
              <w:jc w:val="center"/>
              <w:rPr>
                <w:lang w:val="zh-CN"/>
              </w:rPr>
            </w:pPr>
            <w:r w:rsidRPr="00536CFD">
              <w:rPr>
                <w:lang w:val="zh-CN"/>
              </w:rPr>
              <w:t>33.93</w:t>
            </w:r>
          </w:p>
        </w:tc>
        <w:tc>
          <w:tcPr>
            <w:tcW w:w="820" w:type="dxa"/>
            <w:tcBorders>
              <w:top w:val="single" w:sz="4" w:space="0" w:color="auto"/>
              <w:left w:val="nil"/>
              <w:bottom w:val="single" w:sz="4" w:space="0" w:color="auto"/>
              <w:right w:val="single" w:sz="4" w:space="0" w:color="auto"/>
            </w:tcBorders>
            <w:shd w:val="clear" w:color="auto" w:fill="auto"/>
            <w:vAlign w:val="bottom"/>
          </w:tcPr>
          <w:p w14:paraId="12DF1336" w14:textId="77777777" w:rsidR="009D4A93" w:rsidRPr="00536CFD" w:rsidRDefault="009D4A93" w:rsidP="009D4A93">
            <w:pPr>
              <w:spacing w:after="0"/>
              <w:jc w:val="center"/>
              <w:rPr>
                <w:lang w:val="zh-CN"/>
              </w:rPr>
            </w:pPr>
            <w:r w:rsidRPr="00536CFD">
              <w:rPr>
                <w:lang w:val="zh-CN"/>
              </w:rPr>
              <w:t>46.82</w:t>
            </w:r>
          </w:p>
        </w:tc>
        <w:tc>
          <w:tcPr>
            <w:tcW w:w="800" w:type="dxa"/>
            <w:tcBorders>
              <w:top w:val="single" w:sz="4" w:space="0" w:color="auto"/>
              <w:left w:val="nil"/>
              <w:bottom w:val="single" w:sz="4" w:space="0" w:color="auto"/>
              <w:right w:val="single" w:sz="4" w:space="0" w:color="auto"/>
            </w:tcBorders>
            <w:shd w:val="clear" w:color="auto" w:fill="auto"/>
            <w:vAlign w:val="bottom"/>
          </w:tcPr>
          <w:p w14:paraId="12F0A74E" w14:textId="77777777" w:rsidR="009D4A93" w:rsidRPr="00536CFD" w:rsidRDefault="009D4A93" w:rsidP="009D4A93">
            <w:pPr>
              <w:spacing w:after="0"/>
              <w:jc w:val="center"/>
              <w:rPr>
                <w:lang w:val="zh-CN"/>
              </w:rPr>
            </w:pPr>
            <w:r w:rsidRPr="00536CFD">
              <w:rPr>
                <w:lang w:val="zh-CN"/>
              </w:rPr>
              <w:t>73.23</w:t>
            </w:r>
          </w:p>
        </w:tc>
        <w:tc>
          <w:tcPr>
            <w:tcW w:w="720" w:type="dxa"/>
            <w:tcBorders>
              <w:top w:val="single" w:sz="4" w:space="0" w:color="auto"/>
              <w:left w:val="nil"/>
              <w:bottom w:val="single" w:sz="4" w:space="0" w:color="auto"/>
              <w:right w:val="single" w:sz="4" w:space="0" w:color="auto"/>
            </w:tcBorders>
            <w:shd w:val="clear" w:color="auto" w:fill="auto"/>
            <w:vAlign w:val="bottom"/>
          </w:tcPr>
          <w:p w14:paraId="354F2704" w14:textId="77777777" w:rsidR="009D4A93" w:rsidRPr="00536CFD" w:rsidRDefault="009D4A93" w:rsidP="009D4A93">
            <w:pPr>
              <w:spacing w:after="0"/>
              <w:jc w:val="center"/>
              <w:rPr>
                <w:lang w:val="zh-CN"/>
              </w:rPr>
            </w:pPr>
            <w:r w:rsidRPr="00536CFD">
              <w:rPr>
                <w:lang w:val="zh-CN"/>
              </w:rPr>
              <w:t>112.81</w:t>
            </w:r>
          </w:p>
        </w:tc>
        <w:tc>
          <w:tcPr>
            <w:tcW w:w="724" w:type="dxa"/>
            <w:tcBorders>
              <w:top w:val="single" w:sz="4" w:space="0" w:color="auto"/>
              <w:left w:val="nil"/>
              <w:bottom w:val="single" w:sz="4" w:space="0" w:color="auto"/>
              <w:right w:val="single" w:sz="4" w:space="0" w:color="auto"/>
            </w:tcBorders>
            <w:shd w:val="clear" w:color="auto" w:fill="auto"/>
            <w:vAlign w:val="bottom"/>
          </w:tcPr>
          <w:p w14:paraId="38988976" w14:textId="77777777" w:rsidR="009D4A93" w:rsidRPr="00536CFD" w:rsidRDefault="009D4A93" w:rsidP="009D4A93">
            <w:pPr>
              <w:spacing w:after="0"/>
              <w:jc w:val="center"/>
              <w:rPr>
                <w:lang w:val="zh-CN"/>
              </w:rPr>
            </w:pPr>
            <w:r w:rsidRPr="00536CFD">
              <w:rPr>
                <w:lang w:val="zh-CN"/>
              </w:rPr>
              <w:t>24.07</w:t>
            </w:r>
          </w:p>
        </w:tc>
        <w:tc>
          <w:tcPr>
            <w:tcW w:w="896" w:type="dxa"/>
            <w:tcBorders>
              <w:top w:val="single" w:sz="4" w:space="0" w:color="auto"/>
              <w:left w:val="nil"/>
              <w:bottom w:val="single" w:sz="4" w:space="0" w:color="auto"/>
              <w:right w:val="single" w:sz="4" w:space="0" w:color="auto"/>
            </w:tcBorders>
            <w:shd w:val="clear" w:color="auto" w:fill="auto"/>
            <w:vAlign w:val="bottom"/>
          </w:tcPr>
          <w:p w14:paraId="4EDE58DF" w14:textId="77777777" w:rsidR="009D4A93" w:rsidRPr="00536CFD" w:rsidRDefault="009D4A93" w:rsidP="009D4A93">
            <w:pPr>
              <w:spacing w:after="0"/>
              <w:jc w:val="center"/>
              <w:rPr>
                <w:lang w:val="zh-CN"/>
              </w:rPr>
            </w:pPr>
            <w:r w:rsidRPr="00536CFD">
              <w:rPr>
                <w:lang w:val="zh-CN"/>
              </w:rPr>
              <w:t>36.08</w:t>
            </w:r>
          </w:p>
        </w:tc>
        <w:tc>
          <w:tcPr>
            <w:tcW w:w="720" w:type="dxa"/>
            <w:tcBorders>
              <w:top w:val="single" w:sz="4" w:space="0" w:color="auto"/>
              <w:left w:val="nil"/>
              <w:bottom w:val="single" w:sz="4" w:space="0" w:color="auto"/>
              <w:right w:val="single" w:sz="4" w:space="0" w:color="auto"/>
            </w:tcBorders>
            <w:shd w:val="clear" w:color="auto" w:fill="auto"/>
            <w:vAlign w:val="bottom"/>
          </w:tcPr>
          <w:p w14:paraId="43043728" w14:textId="77777777" w:rsidR="009D4A93" w:rsidRPr="00536CFD" w:rsidRDefault="009D4A93" w:rsidP="009D4A93">
            <w:pPr>
              <w:spacing w:after="0"/>
              <w:jc w:val="center"/>
              <w:rPr>
                <w:lang w:val="zh-CN"/>
              </w:rPr>
            </w:pPr>
            <w:r w:rsidRPr="00536CFD">
              <w:rPr>
                <w:lang w:val="zh-CN"/>
              </w:rPr>
              <w:t>51.95</w:t>
            </w:r>
          </w:p>
        </w:tc>
        <w:tc>
          <w:tcPr>
            <w:tcW w:w="720" w:type="dxa"/>
            <w:tcBorders>
              <w:top w:val="single" w:sz="4" w:space="0" w:color="auto"/>
              <w:left w:val="nil"/>
              <w:bottom w:val="single" w:sz="4" w:space="0" w:color="auto"/>
              <w:right w:val="single" w:sz="4" w:space="0" w:color="auto"/>
            </w:tcBorders>
            <w:shd w:val="clear" w:color="auto" w:fill="auto"/>
            <w:vAlign w:val="bottom"/>
          </w:tcPr>
          <w:p w14:paraId="13C4D2B3" w14:textId="77777777" w:rsidR="009D4A93" w:rsidRPr="00536CFD" w:rsidRDefault="009D4A93" w:rsidP="009D4A93">
            <w:pPr>
              <w:spacing w:after="0"/>
              <w:jc w:val="center"/>
              <w:rPr>
                <w:lang w:val="zh-CN"/>
              </w:rPr>
            </w:pPr>
            <w:r w:rsidRPr="00536CFD">
              <w:rPr>
                <w:lang w:val="zh-CN"/>
              </w:rPr>
              <w:t>99.59</w:t>
            </w:r>
          </w:p>
        </w:tc>
      </w:tr>
      <w:tr w:rsidR="009D4A93" w:rsidRPr="00536CFD" w14:paraId="358C5C7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9D2EC7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BC5C2A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CC8916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757EDA02" w14:textId="77777777" w:rsidR="009D4A93" w:rsidRPr="00536CFD" w:rsidRDefault="009D4A93" w:rsidP="009D4A93">
            <w:pPr>
              <w:spacing w:after="0"/>
              <w:jc w:val="center"/>
              <w:rPr>
                <w:lang w:val="zh-CN"/>
              </w:rPr>
            </w:pPr>
            <w:r w:rsidRPr="00536CFD">
              <w:rPr>
                <w:lang w:val="zh-CN"/>
              </w:rPr>
              <w:t>103.57</w:t>
            </w:r>
          </w:p>
        </w:tc>
        <w:tc>
          <w:tcPr>
            <w:tcW w:w="720" w:type="dxa"/>
            <w:tcBorders>
              <w:top w:val="single" w:sz="4" w:space="0" w:color="auto"/>
              <w:left w:val="nil"/>
              <w:bottom w:val="single" w:sz="4" w:space="0" w:color="auto"/>
              <w:right w:val="single" w:sz="4" w:space="0" w:color="auto"/>
            </w:tcBorders>
            <w:shd w:val="clear" w:color="auto" w:fill="auto"/>
            <w:vAlign w:val="bottom"/>
          </w:tcPr>
          <w:p w14:paraId="1E7E6468" w14:textId="77777777" w:rsidR="009D4A93" w:rsidRPr="00536CFD" w:rsidRDefault="009D4A93" w:rsidP="009D4A93">
            <w:pPr>
              <w:spacing w:after="0"/>
              <w:jc w:val="center"/>
              <w:rPr>
                <w:lang w:val="zh-CN"/>
              </w:rPr>
            </w:pPr>
            <w:r w:rsidRPr="00536CFD">
              <w:rPr>
                <w:lang w:val="zh-CN"/>
              </w:rPr>
              <w:t>117.96</w:t>
            </w:r>
          </w:p>
        </w:tc>
        <w:tc>
          <w:tcPr>
            <w:tcW w:w="720" w:type="dxa"/>
            <w:tcBorders>
              <w:top w:val="single" w:sz="4" w:space="0" w:color="auto"/>
              <w:left w:val="nil"/>
              <w:bottom w:val="single" w:sz="4" w:space="0" w:color="auto"/>
              <w:right w:val="single" w:sz="4" w:space="0" w:color="auto"/>
            </w:tcBorders>
            <w:shd w:val="clear" w:color="auto" w:fill="auto"/>
            <w:vAlign w:val="bottom"/>
          </w:tcPr>
          <w:p w14:paraId="71DEAFFD" w14:textId="77777777" w:rsidR="009D4A93" w:rsidRPr="00536CFD" w:rsidRDefault="009D4A93" w:rsidP="009D4A93">
            <w:pPr>
              <w:spacing w:after="0"/>
              <w:jc w:val="center"/>
              <w:rPr>
                <w:lang w:val="zh-CN"/>
              </w:rPr>
            </w:pPr>
            <w:r w:rsidRPr="00536CFD">
              <w:rPr>
                <w:lang w:val="zh-CN"/>
              </w:rPr>
              <w:t>154.06</w:t>
            </w:r>
          </w:p>
        </w:tc>
        <w:tc>
          <w:tcPr>
            <w:tcW w:w="810" w:type="dxa"/>
            <w:tcBorders>
              <w:top w:val="single" w:sz="4" w:space="0" w:color="auto"/>
              <w:left w:val="nil"/>
              <w:bottom w:val="single" w:sz="4" w:space="0" w:color="auto"/>
              <w:right w:val="single" w:sz="4" w:space="0" w:color="auto"/>
            </w:tcBorders>
            <w:shd w:val="clear" w:color="auto" w:fill="auto"/>
            <w:vAlign w:val="bottom"/>
          </w:tcPr>
          <w:p w14:paraId="07125E52" w14:textId="77777777" w:rsidR="009D4A93" w:rsidRPr="00536CFD" w:rsidRDefault="009D4A93" w:rsidP="009D4A93">
            <w:pPr>
              <w:spacing w:after="0"/>
              <w:jc w:val="center"/>
              <w:rPr>
                <w:lang w:val="zh-CN"/>
              </w:rPr>
            </w:pPr>
            <w:r w:rsidRPr="00536CFD">
              <w:rPr>
                <w:lang w:val="zh-CN"/>
              </w:rPr>
              <w:t>163.25</w:t>
            </w:r>
          </w:p>
        </w:tc>
        <w:tc>
          <w:tcPr>
            <w:tcW w:w="810" w:type="dxa"/>
            <w:tcBorders>
              <w:top w:val="single" w:sz="4" w:space="0" w:color="auto"/>
              <w:left w:val="nil"/>
              <w:bottom w:val="single" w:sz="4" w:space="0" w:color="auto"/>
              <w:right w:val="single" w:sz="4" w:space="0" w:color="auto"/>
            </w:tcBorders>
            <w:shd w:val="clear" w:color="auto" w:fill="auto"/>
            <w:vAlign w:val="bottom"/>
          </w:tcPr>
          <w:p w14:paraId="66B9285C" w14:textId="77777777" w:rsidR="009D4A93" w:rsidRPr="00536CFD" w:rsidRDefault="009D4A93" w:rsidP="009D4A93">
            <w:pPr>
              <w:spacing w:after="0"/>
              <w:jc w:val="center"/>
              <w:rPr>
                <w:lang w:val="zh-CN"/>
              </w:rPr>
            </w:pPr>
            <w:r w:rsidRPr="00536CFD">
              <w:rPr>
                <w:lang w:val="zh-CN"/>
              </w:rPr>
              <w:t>73.5</w:t>
            </w:r>
          </w:p>
        </w:tc>
        <w:tc>
          <w:tcPr>
            <w:tcW w:w="820" w:type="dxa"/>
            <w:tcBorders>
              <w:top w:val="single" w:sz="4" w:space="0" w:color="auto"/>
              <w:left w:val="nil"/>
              <w:bottom w:val="single" w:sz="4" w:space="0" w:color="auto"/>
              <w:right w:val="single" w:sz="4" w:space="0" w:color="auto"/>
            </w:tcBorders>
            <w:shd w:val="clear" w:color="auto" w:fill="auto"/>
            <w:vAlign w:val="bottom"/>
          </w:tcPr>
          <w:p w14:paraId="684E3094" w14:textId="77777777" w:rsidR="009D4A93" w:rsidRPr="00536CFD" w:rsidRDefault="009D4A93" w:rsidP="009D4A93">
            <w:pPr>
              <w:spacing w:after="0"/>
              <w:jc w:val="center"/>
              <w:rPr>
                <w:lang w:val="zh-CN"/>
              </w:rPr>
            </w:pPr>
            <w:r w:rsidRPr="00536CFD">
              <w:rPr>
                <w:lang w:val="zh-CN"/>
              </w:rPr>
              <w:t>94.78</w:t>
            </w:r>
          </w:p>
        </w:tc>
        <w:tc>
          <w:tcPr>
            <w:tcW w:w="800" w:type="dxa"/>
            <w:tcBorders>
              <w:top w:val="single" w:sz="4" w:space="0" w:color="auto"/>
              <w:left w:val="nil"/>
              <w:bottom w:val="single" w:sz="4" w:space="0" w:color="auto"/>
              <w:right w:val="single" w:sz="4" w:space="0" w:color="auto"/>
            </w:tcBorders>
            <w:shd w:val="clear" w:color="auto" w:fill="auto"/>
            <w:vAlign w:val="bottom"/>
          </w:tcPr>
          <w:p w14:paraId="1AAA91D5" w14:textId="77777777" w:rsidR="009D4A93" w:rsidRPr="00536CFD" w:rsidRDefault="009D4A93" w:rsidP="009D4A93">
            <w:pPr>
              <w:spacing w:after="0"/>
              <w:jc w:val="center"/>
              <w:rPr>
                <w:lang w:val="zh-CN"/>
              </w:rPr>
            </w:pPr>
            <w:r w:rsidRPr="00536CFD">
              <w:rPr>
                <w:lang w:val="zh-CN"/>
              </w:rPr>
              <w:t>126.26</w:t>
            </w:r>
          </w:p>
        </w:tc>
        <w:tc>
          <w:tcPr>
            <w:tcW w:w="720" w:type="dxa"/>
            <w:tcBorders>
              <w:top w:val="single" w:sz="4" w:space="0" w:color="auto"/>
              <w:left w:val="nil"/>
              <w:bottom w:val="single" w:sz="4" w:space="0" w:color="auto"/>
              <w:right w:val="single" w:sz="4" w:space="0" w:color="auto"/>
            </w:tcBorders>
            <w:shd w:val="clear" w:color="auto" w:fill="auto"/>
            <w:vAlign w:val="bottom"/>
          </w:tcPr>
          <w:p w14:paraId="1CA959B8" w14:textId="77777777" w:rsidR="009D4A93" w:rsidRPr="00536CFD" w:rsidRDefault="009D4A93" w:rsidP="009D4A93">
            <w:pPr>
              <w:spacing w:after="0"/>
              <w:jc w:val="center"/>
              <w:rPr>
                <w:lang w:val="zh-CN"/>
              </w:rPr>
            </w:pPr>
            <w:r w:rsidRPr="00536CFD">
              <w:rPr>
                <w:lang w:val="zh-CN"/>
              </w:rPr>
              <w:t>150.15</w:t>
            </w:r>
          </w:p>
        </w:tc>
        <w:tc>
          <w:tcPr>
            <w:tcW w:w="724" w:type="dxa"/>
            <w:tcBorders>
              <w:top w:val="single" w:sz="4" w:space="0" w:color="auto"/>
              <w:left w:val="nil"/>
              <w:bottom w:val="single" w:sz="4" w:space="0" w:color="auto"/>
              <w:right w:val="single" w:sz="4" w:space="0" w:color="auto"/>
            </w:tcBorders>
            <w:shd w:val="clear" w:color="auto" w:fill="auto"/>
            <w:vAlign w:val="bottom"/>
          </w:tcPr>
          <w:p w14:paraId="27E3AA4F" w14:textId="77777777" w:rsidR="009D4A93" w:rsidRPr="00536CFD" w:rsidRDefault="009D4A93" w:rsidP="009D4A93">
            <w:pPr>
              <w:spacing w:after="0"/>
              <w:jc w:val="center"/>
              <w:rPr>
                <w:lang w:val="zh-CN"/>
              </w:rPr>
            </w:pPr>
            <w:r w:rsidRPr="00536CFD">
              <w:rPr>
                <w:lang w:val="zh-CN"/>
              </w:rPr>
              <w:t>61.69</w:t>
            </w:r>
          </w:p>
        </w:tc>
        <w:tc>
          <w:tcPr>
            <w:tcW w:w="896" w:type="dxa"/>
            <w:tcBorders>
              <w:top w:val="single" w:sz="4" w:space="0" w:color="auto"/>
              <w:left w:val="nil"/>
              <w:bottom w:val="single" w:sz="4" w:space="0" w:color="auto"/>
              <w:right w:val="single" w:sz="4" w:space="0" w:color="auto"/>
            </w:tcBorders>
            <w:shd w:val="clear" w:color="auto" w:fill="auto"/>
            <w:vAlign w:val="bottom"/>
          </w:tcPr>
          <w:p w14:paraId="64095098" w14:textId="77777777" w:rsidR="009D4A93" w:rsidRPr="00536CFD" w:rsidRDefault="009D4A93" w:rsidP="009D4A93">
            <w:pPr>
              <w:spacing w:after="0"/>
              <w:jc w:val="center"/>
              <w:rPr>
                <w:lang w:val="zh-CN"/>
              </w:rPr>
            </w:pPr>
            <w:r w:rsidRPr="00536CFD">
              <w:rPr>
                <w:lang w:val="zh-CN"/>
              </w:rPr>
              <w:t>87.22</w:t>
            </w:r>
          </w:p>
        </w:tc>
        <w:tc>
          <w:tcPr>
            <w:tcW w:w="720" w:type="dxa"/>
            <w:tcBorders>
              <w:top w:val="single" w:sz="4" w:space="0" w:color="auto"/>
              <w:left w:val="nil"/>
              <w:bottom w:val="single" w:sz="4" w:space="0" w:color="auto"/>
              <w:right w:val="single" w:sz="4" w:space="0" w:color="auto"/>
            </w:tcBorders>
            <w:shd w:val="clear" w:color="auto" w:fill="auto"/>
            <w:vAlign w:val="bottom"/>
          </w:tcPr>
          <w:p w14:paraId="5465C463" w14:textId="77777777" w:rsidR="009D4A93" w:rsidRPr="00536CFD" w:rsidRDefault="009D4A93" w:rsidP="009D4A93">
            <w:pPr>
              <w:spacing w:after="0"/>
              <w:jc w:val="center"/>
              <w:rPr>
                <w:lang w:val="zh-CN"/>
              </w:rPr>
            </w:pPr>
            <w:r w:rsidRPr="00536CFD">
              <w:rPr>
                <w:lang w:val="zh-CN"/>
              </w:rPr>
              <w:t>115.27</w:t>
            </w:r>
          </w:p>
        </w:tc>
        <w:tc>
          <w:tcPr>
            <w:tcW w:w="720" w:type="dxa"/>
            <w:tcBorders>
              <w:top w:val="single" w:sz="4" w:space="0" w:color="auto"/>
              <w:left w:val="nil"/>
              <w:bottom w:val="single" w:sz="4" w:space="0" w:color="auto"/>
              <w:right w:val="single" w:sz="4" w:space="0" w:color="auto"/>
            </w:tcBorders>
            <w:shd w:val="clear" w:color="auto" w:fill="auto"/>
            <w:vAlign w:val="bottom"/>
          </w:tcPr>
          <w:p w14:paraId="5F2BFCC1" w14:textId="77777777" w:rsidR="009D4A93" w:rsidRPr="00536CFD" w:rsidRDefault="009D4A93" w:rsidP="009D4A93">
            <w:pPr>
              <w:spacing w:after="0"/>
              <w:jc w:val="center"/>
              <w:rPr>
                <w:lang w:val="zh-CN"/>
              </w:rPr>
            </w:pPr>
            <w:r w:rsidRPr="00536CFD">
              <w:rPr>
                <w:lang w:val="zh-CN"/>
              </w:rPr>
              <w:t>142.33</w:t>
            </w:r>
          </w:p>
        </w:tc>
      </w:tr>
      <w:tr w:rsidR="009D4A93" w:rsidRPr="00536CFD" w14:paraId="7D0AF69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4C33D3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10FF22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BC951C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05522A90" w14:textId="77777777" w:rsidR="009D4A93" w:rsidRPr="00536CFD" w:rsidRDefault="009D4A93" w:rsidP="009D4A93">
            <w:pPr>
              <w:spacing w:after="0"/>
              <w:jc w:val="center"/>
              <w:rPr>
                <w:lang w:val="zh-CN"/>
              </w:rPr>
            </w:pPr>
            <w:r w:rsidRPr="00536CFD">
              <w:rPr>
                <w:lang w:val="zh-CN"/>
              </w:rPr>
              <w:t>61.52</w:t>
            </w:r>
          </w:p>
        </w:tc>
        <w:tc>
          <w:tcPr>
            <w:tcW w:w="720" w:type="dxa"/>
            <w:tcBorders>
              <w:top w:val="single" w:sz="4" w:space="0" w:color="auto"/>
              <w:left w:val="nil"/>
              <w:bottom w:val="single" w:sz="4" w:space="0" w:color="auto"/>
              <w:right w:val="single" w:sz="4" w:space="0" w:color="auto"/>
            </w:tcBorders>
            <w:shd w:val="clear" w:color="auto" w:fill="auto"/>
            <w:vAlign w:val="bottom"/>
          </w:tcPr>
          <w:p w14:paraId="3C379ACC" w14:textId="77777777" w:rsidR="009D4A93" w:rsidRPr="00536CFD" w:rsidRDefault="009D4A93" w:rsidP="009D4A93">
            <w:pPr>
              <w:spacing w:after="0"/>
              <w:jc w:val="center"/>
              <w:rPr>
                <w:lang w:val="zh-CN"/>
              </w:rPr>
            </w:pPr>
            <w:r w:rsidRPr="00536CFD">
              <w:rPr>
                <w:lang w:val="zh-CN"/>
              </w:rPr>
              <w:t>69.52</w:t>
            </w:r>
          </w:p>
        </w:tc>
        <w:tc>
          <w:tcPr>
            <w:tcW w:w="720" w:type="dxa"/>
            <w:tcBorders>
              <w:top w:val="single" w:sz="4" w:space="0" w:color="auto"/>
              <w:left w:val="nil"/>
              <w:bottom w:val="single" w:sz="4" w:space="0" w:color="auto"/>
              <w:right w:val="single" w:sz="4" w:space="0" w:color="auto"/>
            </w:tcBorders>
            <w:shd w:val="clear" w:color="auto" w:fill="auto"/>
            <w:vAlign w:val="bottom"/>
          </w:tcPr>
          <w:p w14:paraId="3C3A5EB3" w14:textId="77777777" w:rsidR="009D4A93" w:rsidRPr="00536CFD" w:rsidRDefault="009D4A93" w:rsidP="009D4A93">
            <w:pPr>
              <w:spacing w:after="0"/>
              <w:jc w:val="center"/>
              <w:rPr>
                <w:lang w:val="zh-CN"/>
              </w:rPr>
            </w:pPr>
            <w:r w:rsidRPr="00536CFD">
              <w:rPr>
                <w:lang w:val="zh-CN"/>
              </w:rPr>
              <w:t>108.46</w:t>
            </w:r>
          </w:p>
        </w:tc>
        <w:tc>
          <w:tcPr>
            <w:tcW w:w="810" w:type="dxa"/>
            <w:tcBorders>
              <w:top w:val="single" w:sz="4" w:space="0" w:color="auto"/>
              <w:left w:val="nil"/>
              <w:bottom w:val="single" w:sz="4" w:space="0" w:color="auto"/>
              <w:right w:val="single" w:sz="4" w:space="0" w:color="auto"/>
            </w:tcBorders>
            <w:shd w:val="clear" w:color="auto" w:fill="auto"/>
            <w:vAlign w:val="bottom"/>
          </w:tcPr>
          <w:p w14:paraId="264FC3A8" w14:textId="77777777" w:rsidR="009D4A93" w:rsidRPr="00536CFD" w:rsidRDefault="009D4A93" w:rsidP="009D4A93">
            <w:pPr>
              <w:spacing w:after="0"/>
              <w:jc w:val="center"/>
              <w:rPr>
                <w:lang w:val="zh-CN"/>
              </w:rPr>
            </w:pPr>
            <w:r w:rsidRPr="00536CFD">
              <w:rPr>
                <w:lang w:val="zh-CN"/>
              </w:rPr>
              <w:t>123.47</w:t>
            </w:r>
          </w:p>
        </w:tc>
        <w:tc>
          <w:tcPr>
            <w:tcW w:w="810" w:type="dxa"/>
            <w:tcBorders>
              <w:top w:val="single" w:sz="4" w:space="0" w:color="auto"/>
              <w:left w:val="nil"/>
              <w:bottom w:val="single" w:sz="4" w:space="0" w:color="auto"/>
              <w:right w:val="single" w:sz="4" w:space="0" w:color="auto"/>
            </w:tcBorders>
            <w:shd w:val="clear" w:color="auto" w:fill="auto"/>
            <w:vAlign w:val="bottom"/>
          </w:tcPr>
          <w:p w14:paraId="5D11DA92" w14:textId="77777777" w:rsidR="009D4A93" w:rsidRPr="00536CFD" w:rsidRDefault="009D4A93" w:rsidP="009D4A93">
            <w:pPr>
              <w:spacing w:after="0"/>
              <w:jc w:val="center"/>
              <w:rPr>
                <w:lang w:val="zh-CN"/>
              </w:rPr>
            </w:pPr>
            <w:r w:rsidRPr="00536CFD">
              <w:rPr>
                <w:lang w:val="zh-CN"/>
              </w:rPr>
              <w:t>36.78</w:t>
            </w:r>
          </w:p>
        </w:tc>
        <w:tc>
          <w:tcPr>
            <w:tcW w:w="820" w:type="dxa"/>
            <w:tcBorders>
              <w:top w:val="single" w:sz="4" w:space="0" w:color="auto"/>
              <w:left w:val="nil"/>
              <w:bottom w:val="single" w:sz="4" w:space="0" w:color="auto"/>
              <w:right w:val="single" w:sz="4" w:space="0" w:color="auto"/>
            </w:tcBorders>
            <w:shd w:val="clear" w:color="auto" w:fill="auto"/>
            <w:vAlign w:val="bottom"/>
          </w:tcPr>
          <w:p w14:paraId="10FB0B61" w14:textId="77777777" w:rsidR="009D4A93" w:rsidRPr="00536CFD" w:rsidRDefault="009D4A93" w:rsidP="009D4A93">
            <w:pPr>
              <w:spacing w:after="0"/>
              <w:jc w:val="center"/>
              <w:rPr>
                <w:lang w:val="zh-CN"/>
              </w:rPr>
            </w:pPr>
            <w:r w:rsidRPr="00536CFD">
              <w:rPr>
                <w:lang w:val="zh-CN"/>
              </w:rPr>
              <w:t>49.32</w:t>
            </w:r>
          </w:p>
        </w:tc>
        <w:tc>
          <w:tcPr>
            <w:tcW w:w="800" w:type="dxa"/>
            <w:tcBorders>
              <w:top w:val="single" w:sz="4" w:space="0" w:color="auto"/>
              <w:left w:val="nil"/>
              <w:bottom w:val="single" w:sz="4" w:space="0" w:color="auto"/>
              <w:right w:val="single" w:sz="4" w:space="0" w:color="auto"/>
            </w:tcBorders>
            <w:shd w:val="clear" w:color="auto" w:fill="auto"/>
            <w:vAlign w:val="bottom"/>
          </w:tcPr>
          <w:p w14:paraId="09F030C7" w14:textId="77777777" w:rsidR="009D4A93" w:rsidRPr="00536CFD" w:rsidRDefault="009D4A93" w:rsidP="009D4A93">
            <w:pPr>
              <w:spacing w:after="0"/>
              <w:jc w:val="center"/>
              <w:rPr>
                <w:lang w:val="zh-CN"/>
              </w:rPr>
            </w:pPr>
            <w:r w:rsidRPr="00536CFD">
              <w:rPr>
                <w:lang w:val="zh-CN"/>
              </w:rPr>
              <w:t>72.75</w:t>
            </w:r>
          </w:p>
        </w:tc>
        <w:tc>
          <w:tcPr>
            <w:tcW w:w="720" w:type="dxa"/>
            <w:tcBorders>
              <w:top w:val="single" w:sz="4" w:space="0" w:color="auto"/>
              <w:left w:val="nil"/>
              <w:bottom w:val="single" w:sz="4" w:space="0" w:color="auto"/>
              <w:right w:val="single" w:sz="4" w:space="0" w:color="auto"/>
            </w:tcBorders>
            <w:shd w:val="clear" w:color="auto" w:fill="auto"/>
            <w:vAlign w:val="bottom"/>
          </w:tcPr>
          <w:p w14:paraId="5E8C0008" w14:textId="77777777" w:rsidR="009D4A93" w:rsidRPr="00536CFD" w:rsidRDefault="009D4A93" w:rsidP="009D4A93">
            <w:pPr>
              <w:spacing w:after="0"/>
              <w:jc w:val="center"/>
              <w:rPr>
                <w:lang w:val="zh-CN"/>
              </w:rPr>
            </w:pPr>
            <w:r w:rsidRPr="00536CFD">
              <w:rPr>
                <w:lang w:val="zh-CN"/>
              </w:rPr>
              <w:t>105.91</w:t>
            </w:r>
          </w:p>
        </w:tc>
        <w:tc>
          <w:tcPr>
            <w:tcW w:w="724" w:type="dxa"/>
            <w:tcBorders>
              <w:top w:val="single" w:sz="4" w:space="0" w:color="auto"/>
              <w:left w:val="nil"/>
              <w:bottom w:val="single" w:sz="4" w:space="0" w:color="auto"/>
              <w:right w:val="single" w:sz="4" w:space="0" w:color="auto"/>
            </w:tcBorders>
            <w:shd w:val="clear" w:color="auto" w:fill="auto"/>
            <w:vAlign w:val="bottom"/>
          </w:tcPr>
          <w:p w14:paraId="3BEA2685" w14:textId="77777777" w:rsidR="009D4A93" w:rsidRPr="00536CFD" w:rsidRDefault="009D4A93" w:rsidP="009D4A93">
            <w:pPr>
              <w:spacing w:after="0"/>
              <w:jc w:val="center"/>
              <w:rPr>
                <w:lang w:val="zh-CN"/>
              </w:rPr>
            </w:pPr>
            <w:r w:rsidRPr="00536CFD">
              <w:rPr>
                <w:lang w:val="zh-CN"/>
              </w:rPr>
              <w:t>26.02</w:t>
            </w:r>
          </w:p>
        </w:tc>
        <w:tc>
          <w:tcPr>
            <w:tcW w:w="896" w:type="dxa"/>
            <w:tcBorders>
              <w:top w:val="single" w:sz="4" w:space="0" w:color="auto"/>
              <w:left w:val="nil"/>
              <w:bottom w:val="single" w:sz="4" w:space="0" w:color="auto"/>
              <w:right w:val="single" w:sz="4" w:space="0" w:color="auto"/>
            </w:tcBorders>
            <w:shd w:val="clear" w:color="auto" w:fill="auto"/>
            <w:vAlign w:val="bottom"/>
          </w:tcPr>
          <w:p w14:paraId="20D4A093" w14:textId="77777777" w:rsidR="009D4A93" w:rsidRPr="00536CFD" w:rsidRDefault="009D4A93" w:rsidP="009D4A93">
            <w:pPr>
              <w:spacing w:after="0"/>
              <w:jc w:val="center"/>
              <w:rPr>
                <w:lang w:val="zh-CN"/>
              </w:rPr>
            </w:pPr>
            <w:r w:rsidRPr="00536CFD">
              <w:rPr>
                <w:lang w:val="zh-CN"/>
              </w:rPr>
              <w:t>40.47</w:t>
            </w:r>
          </w:p>
        </w:tc>
        <w:tc>
          <w:tcPr>
            <w:tcW w:w="720" w:type="dxa"/>
            <w:tcBorders>
              <w:top w:val="single" w:sz="4" w:space="0" w:color="auto"/>
              <w:left w:val="nil"/>
              <w:bottom w:val="single" w:sz="4" w:space="0" w:color="auto"/>
              <w:right w:val="single" w:sz="4" w:space="0" w:color="auto"/>
            </w:tcBorders>
            <w:shd w:val="clear" w:color="auto" w:fill="auto"/>
            <w:vAlign w:val="bottom"/>
          </w:tcPr>
          <w:p w14:paraId="1820DC3B" w14:textId="77777777" w:rsidR="009D4A93" w:rsidRPr="00536CFD" w:rsidRDefault="009D4A93" w:rsidP="009D4A93">
            <w:pPr>
              <w:spacing w:after="0"/>
              <w:jc w:val="center"/>
              <w:rPr>
                <w:lang w:val="zh-CN"/>
              </w:rPr>
            </w:pPr>
            <w:r w:rsidRPr="00536CFD">
              <w:rPr>
                <w:lang w:val="zh-CN"/>
              </w:rPr>
              <w:t>55.01</w:t>
            </w:r>
          </w:p>
        </w:tc>
        <w:tc>
          <w:tcPr>
            <w:tcW w:w="720" w:type="dxa"/>
            <w:tcBorders>
              <w:top w:val="single" w:sz="4" w:space="0" w:color="auto"/>
              <w:left w:val="nil"/>
              <w:bottom w:val="single" w:sz="4" w:space="0" w:color="auto"/>
              <w:right w:val="single" w:sz="4" w:space="0" w:color="auto"/>
            </w:tcBorders>
            <w:shd w:val="clear" w:color="auto" w:fill="auto"/>
            <w:vAlign w:val="bottom"/>
          </w:tcPr>
          <w:p w14:paraId="3FAD7915" w14:textId="77777777" w:rsidR="009D4A93" w:rsidRPr="00536CFD" w:rsidRDefault="009D4A93" w:rsidP="009D4A93">
            <w:pPr>
              <w:spacing w:after="0"/>
              <w:jc w:val="center"/>
              <w:rPr>
                <w:lang w:val="zh-CN"/>
              </w:rPr>
            </w:pPr>
            <w:r w:rsidRPr="00536CFD">
              <w:rPr>
                <w:lang w:val="zh-CN"/>
              </w:rPr>
              <w:t>95.84</w:t>
            </w:r>
          </w:p>
        </w:tc>
      </w:tr>
      <w:tr w:rsidR="009D4A93" w:rsidRPr="00536CFD" w14:paraId="795B55F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8A1EDA5"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726AC2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51A8475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3FC68EC8"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3F6059E2" w14:textId="77777777" w:rsidR="009D4A93" w:rsidRPr="00536CFD" w:rsidRDefault="009D4A93" w:rsidP="009D4A93">
            <w:pPr>
              <w:spacing w:after="0"/>
              <w:jc w:val="center"/>
              <w:rPr>
                <w:lang w:val="zh-CN"/>
              </w:rPr>
            </w:pPr>
            <w:r w:rsidRPr="00536CFD">
              <w:rPr>
                <w:lang w:val="zh-CN"/>
              </w:rPr>
              <w:t>0.028</w:t>
            </w:r>
          </w:p>
        </w:tc>
        <w:tc>
          <w:tcPr>
            <w:tcW w:w="720" w:type="dxa"/>
            <w:tcBorders>
              <w:top w:val="single" w:sz="4" w:space="0" w:color="auto"/>
              <w:left w:val="nil"/>
              <w:bottom w:val="single" w:sz="4" w:space="0" w:color="auto"/>
              <w:right w:val="single" w:sz="4" w:space="0" w:color="auto"/>
            </w:tcBorders>
            <w:shd w:val="clear" w:color="auto" w:fill="auto"/>
            <w:vAlign w:val="bottom"/>
          </w:tcPr>
          <w:p w14:paraId="6E651B06"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37CAB2E9"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763E66B0" w14:textId="77777777" w:rsidR="009D4A93" w:rsidRPr="00536CFD" w:rsidRDefault="009D4A93" w:rsidP="009D4A93">
            <w:pPr>
              <w:spacing w:after="0"/>
              <w:jc w:val="center"/>
              <w:rPr>
                <w:lang w:val="zh-CN"/>
              </w:rPr>
            </w:pPr>
            <w:r w:rsidRPr="00536CFD">
              <w:rPr>
                <w:lang w:val="zh-CN"/>
              </w:rPr>
              <w:t>0.034</w:t>
            </w:r>
          </w:p>
        </w:tc>
        <w:tc>
          <w:tcPr>
            <w:tcW w:w="820" w:type="dxa"/>
            <w:tcBorders>
              <w:top w:val="single" w:sz="4" w:space="0" w:color="auto"/>
              <w:left w:val="nil"/>
              <w:bottom w:val="single" w:sz="4" w:space="0" w:color="auto"/>
              <w:right w:val="single" w:sz="4" w:space="0" w:color="auto"/>
            </w:tcBorders>
            <w:shd w:val="clear" w:color="auto" w:fill="auto"/>
            <w:vAlign w:val="bottom"/>
          </w:tcPr>
          <w:p w14:paraId="52F66A2B" w14:textId="77777777" w:rsidR="009D4A93" w:rsidRPr="00536CFD" w:rsidRDefault="009D4A93" w:rsidP="009D4A93">
            <w:pPr>
              <w:spacing w:after="0"/>
              <w:jc w:val="center"/>
              <w:rPr>
                <w:lang w:val="zh-CN"/>
              </w:rPr>
            </w:pPr>
            <w:r w:rsidRPr="00536CFD">
              <w:rPr>
                <w:lang w:val="zh-CN"/>
              </w:rPr>
              <w:t>0.03</w:t>
            </w:r>
          </w:p>
        </w:tc>
        <w:tc>
          <w:tcPr>
            <w:tcW w:w="800" w:type="dxa"/>
            <w:tcBorders>
              <w:top w:val="single" w:sz="4" w:space="0" w:color="auto"/>
              <w:left w:val="nil"/>
              <w:bottom w:val="single" w:sz="4" w:space="0" w:color="auto"/>
              <w:right w:val="single" w:sz="4" w:space="0" w:color="auto"/>
            </w:tcBorders>
            <w:shd w:val="clear" w:color="auto" w:fill="auto"/>
            <w:vAlign w:val="bottom"/>
          </w:tcPr>
          <w:p w14:paraId="5253D3C1"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74EF6EAC" w14:textId="77777777" w:rsidR="009D4A93" w:rsidRPr="00536CFD" w:rsidRDefault="009D4A93" w:rsidP="009D4A93">
            <w:pPr>
              <w:spacing w:after="0"/>
              <w:jc w:val="center"/>
              <w:rPr>
                <w:lang w:val="zh-CN"/>
              </w:rPr>
            </w:pPr>
            <w:r w:rsidRPr="00536CFD">
              <w:rPr>
                <w:lang w:val="zh-CN"/>
              </w:rPr>
              <w:t>0.021</w:t>
            </w:r>
          </w:p>
        </w:tc>
        <w:tc>
          <w:tcPr>
            <w:tcW w:w="724" w:type="dxa"/>
            <w:tcBorders>
              <w:top w:val="single" w:sz="4" w:space="0" w:color="auto"/>
              <w:left w:val="nil"/>
              <w:bottom w:val="single" w:sz="4" w:space="0" w:color="auto"/>
              <w:right w:val="single" w:sz="4" w:space="0" w:color="auto"/>
            </w:tcBorders>
            <w:shd w:val="clear" w:color="auto" w:fill="auto"/>
            <w:vAlign w:val="bottom"/>
          </w:tcPr>
          <w:p w14:paraId="2075BB57" w14:textId="77777777" w:rsidR="009D4A93" w:rsidRPr="00536CFD" w:rsidRDefault="009D4A93" w:rsidP="009D4A93">
            <w:pPr>
              <w:spacing w:after="0"/>
              <w:jc w:val="center"/>
              <w:rPr>
                <w:lang w:val="zh-CN"/>
              </w:rPr>
            </w:pPr>
            <w:r w:rsidRPr="00536CFD">
              <w:rPr>
                <w:lang w:val="zh-CN"/>
              </w:rPr>
              <w:t>0.042</w:t>
            </w:r>
          </w:p>
        </w:tc>
        <w:tc>
          <w:tcPr>
            <w:tcW w:w="896" w:type="dxa"/>
            <w:tcBorders>
              <w:top w:val="single" w:sz="4" w:space="0" w:color="auto"/>
              <w:left w:val="nil"/>
              <w:bottom w:val="single" w:sz="4" w:space="0" w:color="auto"/>
              <w:right w:val="single" w:sz="4" w:space="0" w:color="auto"/>
            </w:tcBorders>
            <w:shd w:val="clear" w:color="auto" w:fill="auto"/>
            <w:vAlign w:val="bottom"/>
          </w:tcPr>
          <w:p w14:paraId="5FA0C003" w14:textId="77777777" w:rsidR="009D4A93" w:rsidRPr="00536CFD" w:rsidRDefault="009D4A93" w:rsidP="009D4A93">
            <w:pPr>
              <w:spacing w:after="0"/>
              <w:jc w:val="center"/>
              <w:rPr>
                <w:lang w:val="zh-CN"/>
              </w:rPr>
            </w:pPr>
            <w:r w:rsidRPr="00536CFD">
              <w:rPr>
                <w:lang w:val="zh-CN"/>
              </w:rPr>
              <w:t>0.031</w:t>
            </w:r>
          </w:p>
        </w:tc>
        <w:tc>
          <w:tcPr>
            <w:tcW w:w="720" w:type="dxa"/>
            <w:tcBorders>
              <w:top w:val="single" w:sz="4" w:space="0" w:color="auto"/>
              <w:left w:val="nil"/>
              <w:bottom w:val="single" w:sz="4" w:space="0" w:color="auto"/>
              <w:right w:val="single" w:sz="4" w:space="0" w:color="auto"/>
            </w:tcBorders>
            <w:shd w:val="clear" w:color="auto" w:fill="auto"/>
            <w:vAlign w:val="bottom"/>
          </w:tcPr>
          <w:p w14:paraId="34F310E7" w14:textId="77777777" w:rsidR="009D4A93" w:rsidRPr="00536CFD" w:rsidRDefault="009D4A93" w:rsidP="009D4A93">
            <w:pPr>
              <w:spacing w:after="0"/>
              <w:jc w:val="center"/>
              <w:rPr>
                <w:lang w:val="zh-CN"/>
              </w:rPr>
            </w:pPr>
            <w:r w:rsidRPr="00536CFD">
              <w:rPr>
                <w:lang w:val="zh-CN"/>
              </w:rPr>
              <w:t>0.022</w:t>
            </w:r>
          </w:p>
        </w:tc>
        <w:tc>
          <w:tcPr>
            <w:tcW w:w="720" w:type="dxa"/>
            <w:tcBorders>
              <w:top w:val="single" w:sz="4" w:space="0" w:color="auto"/>
              <w:left w:val="nil"/>
              <w:bottom w:val="single" w:sz="4" w:space="0" w:color="auto"/>
              <w:right w:val="single" w:sz="4" w:space="0" w:color="auto"/>
            </w:tcBorders>
            <w:shd w:val="clear" w:color="auto" w:fill="auto"/>
            <w:vAlign w:val="bottom"/>
          </w:tcPr>
          <w:p w14:paraId="6BDC3147" w14:textId="77777777" w:rsidR="009D4A93" w:rsidRPr="00536CFD" w:rsidRDefault="009D4A93" w:rsidP="009D4A93">
            <w:pPr>
              <w:spacing w:after="0"/>
              <w:jc w:val="center"/>
              <w:rPr>
                <w:lang w:val="zh-CN"/>
              </w:rPr>
            </w:pPr>
            <w:r w:rsidRPr="00536CFD">
              <w:rPr>
                <w:lang w:val="zh-CN"/>
              </w:rPr>
              <w:t>0.021</w:t>
            </w:r>
          </w:p>
        </w:tc>
      </w:tr>
      <w:tr w:rsidR="009D4A93" w:rsidRPr="00536CFD" w14:paraId="328CF3E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FFD072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907F56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15D430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21E17DF9" w14:textId="77777777" w:rsidR="009D4A93" w:rsidRPr="00536CFD" w:rsidRDefault="009D4A93" w:rsidP="009D4A93">
            <w:pPr>
              <w:spacing w:after="0"/>
              <w:jc w:val="center"/>
              <w:rPr>
                <w:lang w:val="zh-CN"/>
              </w:rPr>
            </w:pPr>
            <w:r w:rsidRPr="00536CFD">
              <w:rPr>
                <w:lang w:val="zh-CN"/>
              </w:rPr>
              <w:t>0.074</w:t>
            </w:r>
          </w:p>
        </w:tc>
        <w:tc>
          <w:tcPr>
            <w:tcW w:w="720" w:type="dxa"/>
            <w:tcBorders>
              <w:top w:val="single" w:sz="4" w:space="0" w:color="auto"/>
              <w:left w:val="nil"/>
              <w:bottom w:val="single" w:sz="4" w:space="0" w:color="auto"/>
              <w:right w:val="single" w:sz="4" w:space="0" w:color="auto"/>
            </w:tcBorders>
            <w:shd w:val="clear" w:color="auto" w:fill="auto"/>
            <w:vAlign w:val="bottom"/>
          </w:tcPr>
          <w:p w14:paraId="62AA7ADE" w14:textId="77777777" w:rsidR="009D4A93" w:rsidRPr="00536CFD" w:rsidRDefault="009D4A93" w:rsidP="009D4A93">
            <w:pPr>
              <w:spacing w:after="0"/>
              <w:jc w:val="center"/>
              <w:rPr>
                <w:lang w:val="zh-CN"/>
              </w:rPr>
            </w:pPr>
            <w:r w:rsidRPr="00536CFD">
              <w:rPr>
                <w:lang w:val="zh-CN"/>
              </w:rPr>
              <w:t>0.062</w:t>
            </w:r>
          </w:p>
        </w:tc>
        <w:tc>
          <w:tcPr>
            <w:tcW w:w="720" w:type="dxa"/>
            <w:tcBorders>
              <w:top w:val="single" w:sz="4" w:space="0" w:color="auto"/>
              <w:left w:val="nil"/>
              <w:bottom w:val="single" w:sz="4" w:space="0" w:color="auto"/>
              <w:right w:val="single" w:sz="4" w:space="0" w:color="auto"/>
            </w:tcBorders>
            <w:shd w:val="clear" w:color="auto" w:fill="auto"/>
            <w:vAlign w:val="bottom"/>
          </w:tcPr>
          <w:p w14:paraId="41388671" w14:textId="77777777" w:rsidR="009D4A93" w:rsidRPr="00536CFD" w:rsidRDefault="009D4A93" w:rsidP="009D4A93">
            <w:pPr>
              <w:spacing w:after="0"/>
              <w:jc w:val="center"/>
              <w:rPr>
                <w:lang w:val="zh-CN"/>
              </w:rPr>
            </w:pPr>
            <w:r w:rsidRPr="00536CFD">
              <w:rPr>
                <w:lang w:val="zh-CN"/>
              </w:rPr>
              <w:t>0.034</w:t>
            </w:r>
          </w:p>
        </w:tc>
        <w:tc>
          <w:tcPr>
            <w:tcW w:w="810" w:type="dxa"/>
            <w:tcBorders>
              <w:top w:val="single" w:sz="4" w:space="0" w:color="auto"/>
              <w:left w:val="nil"/>
              <w:bottom w:val="single" w:sz="4" w:space="0" w:color="auto"/>
              <w:right w:val="single" w:sz="4" w:space="0" w:color="auto"/>
            </w:tcBorders>
            <w:shd w:val="clear" w:color="auto" w:fill="auto"/>
            <w:vAlign w:val="bottom"/>
          </w:tcPr>
          <w:p w14:paraId="308A7731" w14:textId="77777777" w:rsidR="009D4A93" w:rsidRPr="00536CFD" w:rsidRDefault="009D4A93" w:rsidP="009D4A93">
            <w:pPr>
              <w:spacing w:after="0"/>
              <w:jc w:val="center"/>
              <w:rPr>
                <w:lang w:val="zh-CN"/>
              </w:rPr>
            </w:pPr>
            <w:r w:rsidRPr="00536CFD">
              <w:rPr>
                <w:lang w:val="zh-CN"/>
              </w:rPr>
              <w:t>0.029</w:t>
            </w:r>
          </w:p>
        </w:tc>
        <w:tc>
          <w:tcPr>
            <w:tcW w:w="810" w:type="dxa"/>
            <w:tcBorders>
              <w:top w:val="single" w:sz="4" w:space="0" w:color="auto"/>
              <w:left w:val="nil"/>
              <w:bottom w:val="single" w:sz="4" w:space="0" w:color="auto"/>
              <w:right w:val="single" w:sz="4" w:space="0" w:color="auto"/>
            </w:tcBorders>
            <w:shd w:val="clear" w:color="auto" w:fill="auto"/>
            <w:vAlign w:val="bottom"/>
          </w:tcPr>
          <w:p w14:paraId="4B0B59FB" w14:textId="77777777" w:rsidR="009D4A93" w:rsidRPr="00536CFD" w:rsidRDefault="009D4A93" w:rsidP="009D4A93">
            <w:pPr>
              <w:spacing w:after="0"/>
              <w:jc w:val="center"/>
              <w:rPr>
                <w:lang w:val="zh-CN"/>
              </w:rPr>
            </w:pPr>
            <w:r w:rsidRPr="00536CFD">
              <w:rPr>
                <w:lang w:val="zh-CN"/>
              </w:rPr>
              <w:t>0.162</w:t>
            </w:r>
          </w:p>
        </w:tc>
        <w:tc>
          <w:tcPr>
            <w:tcW w:w="820" w:type="dxa"/>
            <w:tcBorders>
              <w:top w:val="single" w:sz="4" w:space="0" w:color="auto"/>
              <w:left w:val="nil"/>
              <w:bottom w:val="single" w:sz="4" w:space="0" w:color="auto"/>
              <w:right w:val="single" w:sz="4" w:space="0" w:color="auto"/>
            </w:tcBorders>
            <w:shd w:val="clear" w:color="auto" w:fill="auto"/>
            <w:vAlign w:val="bottom"/>
          </w:tcPr>
          <w:p w14:paraId="0D87E175" w14:textId="77777777" w:rsidR="009D4A93" w:rsidRPr="00536CFD" w:rsidRDefault="009D4A93" w:rsidP="009D4A93">
            <w:pPr>
              <w:spacing w:after="0"/>
              <w:jc w:val="center"/>
              <w:rPr>
                <w:lang w:val="zh-CN"/>
              </w:rPr>
            </w:pPr>
            <w:r w:rsidRPr="00536CFD">
              <w:rPr>
                <w:lang w:val="zh-CN"/>
              </w:rPr>
              <w:t>0.103</w:t>
            </w:r>
          </w:p>
        </w:tc>
        <w:tc>
          <w:tcPr>
            <w:tcW w:w="800" w:type="dxa"/>
            <w:tcBorders>
              <w:top w:val="single" w:sz="4" w:space="0" w:color="auto"/>
              <w:left w:val="nil"/>
              <w:bottom w:val="single" w:sz="4" w:space="0" w:color="auto"/>
              <w:right w:val="single" w:sz="4" w:space="0" w:color="auto"/>
            </w:tcBorders>
            <w:shd w:val="clear" w:color="auto" w:fill="auto"/>
            <w:vAlign w:val="bottom"/>
          </w:tcPr>
          <w:p w14:paraId="30E0EEDE" w14:textId="77777777" w:rsidR="009D4A93" w:rsidRPr="00536CFD" w:rsidRDefault="009D4A93" w:rsidP="009D4A93">
            <w:pPr>
              <w:spacing w:after="0"/>
              <w:jc w:val="center"/>
              <w:rPr>
                <w:lang w:val="zh-CN"/>
              </w:rPr>
            </w:pPr>
            <w:r w:rsidRPr="00536CFD">
              <w:rPr>
                <w:lang w:val="zh-CN"/>
              </w:rPr>
              <w:t>0.075</w:t>
            </w:r>
          </w:p>
        </w:tc>
        <w:tc>
          <w:tcPr>
            <w:tcW w:w="720" w:type="dxa"/>
            <w:tcBorders>
              <w:top w:val="single" w:sz="4" w:space="0" w:color="auto"/>
              <w:left w:val="nil"/>
              <w:bottom w:val="single" w:sz="4" w:space="0" w:color="auto"/>
              <w:right w:val="single" w:sz="4" w:space="0" w:color="auto"/>
            </w:tcBorders>
            <w:shd w:val="clear" w:color="auto" w:fill="auto"/>
            <w:vAlign w:val="bottom"/>
          </w:tcPr>
          <w:p w14:paraId="40387851" w14:textId="77777777" w:rsidR="009D4A93" w:rsidRPr="00536CFD" w:rsidRDefault="009D4A93" w:rsidP="009D4A93">
            <w:pPr>
              <w:spacing w:after="0"/>
              <w:jc w:val="center"/>
              <w:rPr>
                <w:lang w:val="zh-CN"/>
              </w:rPr>
            </w:pPr>
            <w:r w:rsidRPr="00536CFD">
              <w:rPr>
                <w:lang w:val="zh-CN"/>
              </w:rPr>
              <w:t>0.037</w:t>
            </w:r>
          </w:p>
        </w:tc>
        <w:tc>
          <w:tcPr>
            <w:tcW w:w="724" w:type="dxa"/>
            <w:tcBorders>
              <w:top w:val="single" w:sz="4" w:space="0" w:color="auto"/>
              <w:left w:val="nil"/>
              <w:bottom w:val="single" w:sz="4" w:space="0" w:color="auto"/>
              <w:right w:val="single" w:sz="4" w:space="0" w:color="auto"/>
            </w:tcBorders>
            <w:shd w:val="clear" w:color="auto" w:fill="auto"/>
            <w:vAlign w:val="bottom"/>
          </w:tcPr>
          <w:p w14:paraId="516C81B5" w14:textId="77777777" w:rsidR="009D4A93" w:rsidRPr="00536CFD" w:rsidRDefault="009D4A93" w:rsidP="009D4A93">
            <w:pPr>
              <w:spacing w:after="0"/>
              <w:jc w:val="center"/>
              <w:rPr>
                <w:lang w:val="zh-CN"/>
              </w:rPr>
            </w:pPr>
            <w:r w:rsidRPr="00536CFD">
              <w:rPr>
                <w:lang w:val="zh-CN"/>
              </w:rPr>
              <w:t>0.254</w:t>
            </w:r>
          </w:p>
        </w:tc>
        <w:tc>
          <w:tcPr>
            <w:tcW w:w="896" w:type="dxa"/>
            <w:tcBorders>
              <w:top w:val="single" w:sz="4" w:space="0" w:color="auto"/>
              <w:left w:val="nil"/>
              <w:bottom w:val="single" w:sz="4" w:space="0" w:color="auto"/>
              <w:right w:val="single" w:sz="4" w:space="0" w:color="auto"/>
            </w:tcBorders>
            <w:shd w:val="clear" w:color="auto" w:fill="auto"/>
            <w:vAlign w:val="bottom"/>
          </w:tcPr>
          <w:p w14:paraId="4AB8E521" w14:textId="77777777" w:rsidR="009D4A93" w:rsidRPr="00536CFD" w:rsidRDefault="009D4A93" w:rsidP="009D4A93">
            <w:pPr>
              <w:spacing w:after="0"/>
              <w:jc w:val="center"/>
              <w:rPr>
                <w:lang w:val="zh-CN"/>
              </w:rPr>
            </w:pPr>
            <w:r w:rsidRPr="00536CFD">
              <w:rPr>
                <w:lang w:val="zh-CN"/>
              </w:rPr>
              <w:t>0.133</w:t>
            </w:r>
          </w:p>
        </w:tc>
        <w:tc>
          <w:tcPr>
            <w:tcW w:w="720" w:type="dxa"/>
            <w:tcBorders>
              <w:top w:val="single" w:sz="4" w:space="0" w:color="auto"/>
              <w:left w:val="nil"/>
              <w:bottom w:val="single" w:sz="4" w:space="0" w:color="auto"/>
              <w:right w:val="single" w:sz="4" w:space="0" w:color="auto"/>
            </w:tcBorders>
            <w:shd w:val="clear" w:color="auto" w:fill="auto"/>
            <w:vAlign w:val="bottom"/>
          </w:tcPr>
          <w:p w14:paraId="323AFDCD" w14:textId="77777777" w:rsidR="009D4A93" w:rsidRPr="00536CFD" w:rsidRDefault="009D4A93" w:rsidP="009D4A93">
            <w:pPr>
              <w:spacing w:after="0"/>
              <w:jc w:val="center"/>
              <w:rPr>
                <w:lang w:val="zh-CN"/>
              </w:rPr>
            </w:pPr>
            <w:r w:rsidRPr="00536CFD">
              <w:rPr>
                <w:lang w:val="zh-CN"/>
              </w:rPr>
              <w:t>0.125</w:t>
            </w:r>
          </w:p>
        </w:tc>
        <w:tc>
          <w:tcPr>
            <w:tcW w:w="720" w:type="dxa"/>
            <w:tcBorders>
              <w:top w:val="single" w:sz="4" w:space="0" w:color="auto"/>
              <w:left w:val="nil"/>
              <w:bottom w:val="single" w:sz="4" w:space="0" w:color="auto"/>
              <w:right w:val="single" w:sz="4" w:space="0" w:color="auto"/>
            </w:tcBorders>
            <w:shd w:val="clear" w:color="auto" w:fill="auto"/>
            <w:vAlign w:val="bottom"/>
          </w:tcPr>
          <w:p w14:paraId="1C278102" w14:textId="77777777" w:rsidR="009D4A93" w:rsidRPr="00536CFD" w:rsidRDefault="009D4A93" w:rsidP="009D4A93">
            <w:pPr>
              <w:spacing w:after="0"/>
              <w:jc w:val="center"/>
              <w:rPr>
                <w:lang w:val="zh-CN"/>
              </w:rPr>
            </w:pPr>
            <w:r w:rsidRPr="00536CFD">
              <w:rPr>
                <w:lang w:val="zh-CN"/>
              </w:rPr>
              <w:t>0.044</w:t>
            </w:r>
          </w:p>
        </w:tc>
      </w:tr>
      <w:tr w:rsidR="009D4A93" w:rsidRPr="00536CFD" w14:paraId="1353BD7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475DE60"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8E0F39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8ED1B0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0B33BAF6" w14:textId="77777777" w:rsidR="009D4A93" w:rsidRPr="00536CFD" w:rsidRDefault="009D4A93" w:rsidP="009D4A93">
            <w:pPr>
              <w:spacing w:after="0"/>
              <w:jc w:val="center"/>
              <w:rPr>
                <w:lang w:val="zh-CN"/>
              </w:rPr>
            </w:pPr>
            <w:r w:rsidRPr="00536CFD">
              <w:rPr>
                <w:lang w:val="zh-CN"/>
              </w:rPr>
              <w:t>0.411</w:t>
            </w:r>
          </w:p>
        </w:tc>
        <w:tc>
          <w:tcPr>
            <w:tcW w:w="720" w:type="dxa"/>
            <w:tcBorders>
              <w:top w:val="single" w:sz="4" w:space="0" w:color="auto"/>
              <w:left w:val="nil"/>
              <w:bottom w:val="single" w:sz="4" w:space="0" w:color="auto"/>
              <w:right w:val="single" w:sz="4" w:space="0" w:color="auto"/>
            </w:tcBorders>
            <w:shd w:val="clear" w:color="auto" w:fill="auto"/>
            <w:vAlign w:val="bottom"/>
          </w:tcPr>
          <w:p w14:paraId="5A981ECC" w14:textId="77777777" w:rsidR="009D4A93" w:rsidRPr="00536CFD" w:rsidRDefault="009D4A93" w:rsidP="009D4A93">
            <w:pPr>
              <w:spacing w:after="0"/>
              <w:jc w:val="center"/>
              <w:rPr>
                <w:lang w:val="zh-CN"/>
              </w:rPr>
            </w:pPr>
            <w:r w:rsidRPr="00536CFD">
              <w:rPr>
                <w:lang w:val="zh-CN"/>
              </w:rPr>
              <w:t>0.318</w:t>
            </w:r>
          </w:p>
        </w:tc>
        <w:tc>
          <w:tcPr>
            <w:tcW w:w="720" w:type="dxa"/>
            <w:tcBorders>
              <w:top w:val="single" w:sz="4" w:space="0" w:color="auto"/>
              <w:left w:val="nil"/>
              <w:bottom w:val="single" w:sz="4" w:space="0" w:color="auto"/>
              <w:right w:val="single" w:sz="4" w:space="0" w:color="auto"/>
            </w:tcBorders>
            <w:shd w:val="clear" w:color="auto" w:fill="auto"/>
            <w:vAlign w:val="bottom"/>
          </w:tcPr>
          <w:p w14:paraId="18E25120" w14:textId="77777777" w:rsidR="009D4A93" w:rsidRPr="00536CFD" w:rsidRDefault="009D4A93" w:rsidP="009D4A93">
            <w:pPr>
              <w:spacing w:after="0"/>
              <w:jc w:val="center"/>
              <w:rPr>
                <w:lang w:val="zh-CN"/>
              </w:rPr>
            </w:pPr>
            <w:r w:rsidRPr="00536CFD">
              <w:rPr>
                <w:lang w:val="zh-CN"/>
              </w:rPr>
              <w:t>0.211</w:t>
            </w:r>
          </w:p>
        </w:tc>
        <w:tc>
          <w:tcPr>
            <w:tcW w:w="810" w:type="dxa"/>
            <w:tcBorders>
              <w:top w:val="single" w:sz="4" w:space="0" w:color="auto"/>
              <w:left w:val="nil"/>
              <w:bottom w:val="single" w:sz="4" w:space="0" w:color="auto"/>
              <w:right w:val="single" w:sz="4" w:space="0" w:color="auto"/>
            </w:tcBorders>
            <w:shd w:val="clear" w:color="auto" w:fill="auto"/>
            <w:vAlign w:val="bottom"/>
          </w:tcPr>
          <w:p w14:paraId="3D4F0A5F" w14:textId="77777777" w:rsidR="009D4A93" w:rsidRPr="00536CFD" w:rsidRDefault="009D4A93" w:rsidP="009D4A93">
            <w:pPr>
              <w:spacing w:after="0"/>
              <w:jc w:val="center"/>
              <w:rPr>
                <w:lang w:val="zh-CN"/>
              </w:rPr>
            </w:pPr>
            <w:r w:rsidRPr="00536CFD">
              <w:rPr>
                <w:lang w:val="zh-CN"/>
              </w:rPr>
              <w:t>0.11</w:t>
            </w:r>
          </w:p>
        </w:tc>
        <w:tc>
          <w:tcPr>
            <w:tcW w:w="810" w:type="dxa"/>
            <w:tcBorders>
              <w:top w:val="single" w:sz="4" w:space="0" w:color="auto"/>
              <w:left w:val="nil"/>
              <w:bottom w:val="single" w:sz="4" w:space="0" w:color="auto"/>
              <w:right w:val="single" w:sz="4" w:space="0" w:color="auto"/>
            </w:tcBorders>
            <w:shd w:val="clear" w:color="auto" w:fill="auto"/>
            <w:vAlign w:val="bottom"/>
          </w:tcPr>
          <w:p w14:paraId="1C4DBEDF" w14:textId="77777777" w:rsidR="009D4A93" w:rsidRPr="00536CFD" w:rsidRDefault="009D4A93" w:rsidP="009D4A93">
            <w:pPr>
              <w:spacing w:after="0"/>
              <w:jc w:val="center"/>
              <w:rPr>
                <w:lang w:val="zh-CN"/>
              </w:rPr>
            </w:pPr>
            <w:r w:rsidRPr="00536CFD">
              <w:rPr>
                <w:lang w:val="zh-CN"/>
              </w:rPr>
              <w:t>7.523</w:t>
            </w:r>
          </w:p>
        </w:tc>
        <w:tc>
          <w:tcPr>
            <w:tcW w:w="820" w:type="dxa"/>
            <w:tcBorders>
              <w:top w:val="single" w:sz="4" w:space="0" w:color="auto"/>
              <w:left w:val="nil"/>
              <w:bottom w:val="single" w:sz="4" w:space="0" w:color="auto"/>
              <w:right w:val="single" w:sz="4" w:space="0" w:color="auto"/>
            </w:tcBorders>
            <w:shd w:val="clear" w:color="auto" w:fill="auto"/>
            <w:vAlign w:val="bottom"/>
          </w:tcPr>
          <w:p w14:paraId="6DA03B1D" w14:textId="77777777" w:rsidR="009D4A93" w:rsidRPr="00536CFD" w:rsidRDefault="009D4A93" w:rsidP="009D4A93">
            <w:pPr>
              <w:spacing w:after="0"/>
              <w:jc w:val="center"/>
              <w:rPr>
                <w:lang w:val="zh-CN"/>
              </w:rPr>
            </w:pPr>
            <w:r w:rsidRPr="00536CFD">
              <w:rPr>
                <w:lang w:val="zh-CN"/>
              </w:rPr>
              <w:t>1.099</w:t>
            </w:r>
          </w:p>
        </w:tc>
        <w:tc>
          <w:tcPr>
            <w:tcW w:w="800" w:type="dxa"/>
            <w:tcBorders>
              <w:top w:val="single" w:sz="4" w:space="0" w:color="auto"/>
              <w:left w:val="nil"/>
              <w:bottom w:val="single" w:sz="4" w:space="0" w:color="auto"/>
              <w:right w:val="single" w:sz="4" w:space="0" w:color="auto"/>
            </w:tcBorders>
            <w:shd w:val="clear" w:color="auto" w:fill="auto"/>
            <w:vAlign w:val="bottom"/>
          </w:tcPr>
          <w:p w14:paraId="3708BA07" w14:textId="77777777" w:rsidR="009D4A93" w:rsidRPr="00536CFD" w:rsidRDefault="009D4A93" w:rsidP="009D4A93">
            <w:pPr>
              <w:spacing w:after="0"/>
              <w:jc w:val="center"/>
              <w:rPr>
                <w:lang w:val="zh-CN"/>
              </w:rPr>
            </w:pPr>
            <w:r w:rsidRPr="00536CFD">
              <w:rPr>
                <w:lang w:val="zh-CN"/>
              </w:rPr>
              <w:t>0.716</w:t>
            </w:r>
          </w:p>
        </w:tc>
        <w:tc>
          <w:tcPr>
            <w:tcW w:w="720" w:type="dxa"/>
            <w:tcBorders>
              <w:top w:val="single" w:sz="4" w:space="0" w:color="auto"/>
              <w:left w:val="nil"/>
              <w:bottom w:val="single" w:sz="4" w:space="0" w:color="auto"/>
              <w:right w:val="single" w:sz="4" w:space="0" w:color="auto"/>
            </w:tcBorders>
            <w:shd w:val="clear" w:color="auto" w:fill="auto"/>
            <w:vAlign w:val="bottom"/>
          </w:tcPr>
          <w:p w14:paraId="64D566FF" w14:textId="77777777" w:rsidR="009D4A93" w:rsidRPr="00536CFD" w:rsidRDefault="009D4A93" w:rsidP="009D4A93">
            <w:pPr>
              <w:spacing w:after="0"/>
              <w:jc w:val="center"/>
              <w:rPr>
                <w:lang w:val="zh-CN"/>
              </w:rPr>
            </w:pPr>
            <w:r w:rsidRPr="00536CFD">
              <w:rPr>
                <w:lang w:val="zh-CN"/>
              </w:rPr>
              <w:t>0.19</w:t>
            </w:r>
          </w:p>
        </w:tc>
        <w:tc>
          <w:tcPr>
            <w:tcW w:w="724" w:type="dxa"/>
            <w:tcBorders>
              <w:top w:val="single" w:sz="4" w:space="0" w:color="auto"/>
              <w:left w:val="nil"/>
              <w:bottom w:val="single" w:sz="4" w:space="0" w:color="auto"/>
              <w:right w:val="single" w:sz="4" w:space="0" w:color="auto"/>
            </w:tcBorders>
            <w:shd w:val="clear" w:color="auto" w:fill="auto"/>
            <w:vAlign w:val="bottom"/>
          </w:tcPr>
          <w:p w14:paraId="69DD3746" w14:textId="77777777" w:rsidR="009D4A93" w:rsidRPr="00536CFD" w:rsidRDefault="009D4A93" w:rsidP="009D4A93">
            <w:pPr>
              <w:spacing w:after="0"/>
              <w:jc w:val="center"/>
              <w:rPr>
                <w:lang w:val="zh-CN"/>
              </w:rPr>
            </w:pPr>
            <w:r w:rsidRPr="00536CFD">
              <w:rPr>
                <w:lang w:val="zh-CN"/>
              </w:rPr>
              <w:t>108.027</w:t>
            </w:r>
          </w:p>
        </w:tc>
        <w:tc>
          <w:tcPr>
            <w:tcW w:w="896" w:type="dxa"/>
            <w:tcBorders>
              <w:top w:val="single" w:sz="4" w:space="0" w:color="auto"/>
              <w:left w:val="nil"/>
              <w:bottom w:val="single" w:sz="4" w:space="0" w:color="auto"/>
              <w:right w:val="single" w:sz="4" w:space="0" w:color="auto"/>
            </w:tcBorders>
            <w:shd w:val="clear" w:color="auto" w:fill="auto"/>
            <w:vAlign w:val="bottom"/>
          </w:tcPr>
          <w:p w14:paraId="669E752F" w14:textId="77777777" w:rsidR="009D4A93" w:rsidRPr="00536CFD" w:rsidRDefault="009D4A93" w:rsidP="009D4A93">
            <w:pPr>
              <w:spacing w:after="0"/>
              <w:jc w:val="center"/>
              <w:rPr>
                <w:lang w:val="zh-CN"/>
              </w:rPr>
            </w:pPr>
            <w:r w:rsidRPr="00536CFD">
              <w:rPr>
                <w:lang w:val="zh-CN"/>
              </w:rPr>
              <w:t>3.287</w:t>
            </w:r>
          </w:p>
        </w:tc>
        <w:tc>
          <w:tcPr>
            <w:tcW w:w="720" w:type="dxa"/>
            <w:tcBorders>
              <w:top w:val="single" w:sz="4" w:space="0" w:color="auto"/>
              <w:left w:val="nil"/>
              <w:bottom w:val="single" w:sz="4" w:space="0" w:color="auto"/>
              <w:right w:val="single" w:sz="4" w:space="0" w:color="auto"/>
            </w:tcBorders>
            <w:shd w:val="clear" w:color="auto" w:fill="auto"/>
            <w:vAlign w:val="bottom"/>
          </w:tcPr>
          <w:p w14:paraId="68027678" w14:textId="77777777" w:rsidR="009D4A93" w:rsidRPr="00536CFD" w:rsidRDefault="009D4A93" w:rsidP="009D4A93">
            <w:pPr>
              <w:spacing w:after="0"/>
              <w:jc w:val="center"/>
              <w:rPr>
                <w:lang w:val="zh-CN"/>
              </w:rPr>
            </w:pPr>
            <w:r w:rsidRPr="00536CFD">
              <w:rPr>
                <w:lang w:val="zh-CN"/>
              </w:rPr>
              <w:t>1.904</w:t>
            </w:r>
          </w:p>
        </w:tc>
        <w:tc>
          <w:tcPr>
            <w:tcW w:w="720" w:type="dxa"/>
            <w:tcBorders>
              <w:top w:val="single" w:sz="4" w:space="0" w:color="auto"/>
              <w:left w:val="nil"/>
              <w:bottom w:val="single" w:sz="4" w:space="0" w:color="auto"/>
              <w:right w:val="single" w:sz="4" w:space="0" w:color="auto"/>
            </w:tcBorders>
            <w:shd w:val="clear" w:color="auto" w:fill="auto"/>
            <w:vAlign w:val="bottom"/>
          </w:tcPr>
          <w:p w14:paraId="4187D719" w14:textId="77777777" w:rsidR="009D4A93" w:rsidRPr="00536CFD" w:rsidRDefault="009D4A93" w:rsidP="009D4A93">
            <w:pPr>
              <w:spacing w:after="0"/>
              <w:jc w:val="center"/>
              <w:rPr>
                <w:lang w:val="zh-CN"/>
              </w:rPr>
            </w:pPr>
            <w:r w:rsidRPr="00536CFD">
              <w:rPr>
                <w:lang w:val="zh-CN"/>
              </w:rPr>
              <w:t>0.268</w:t>
            </w:r>
          </w:p>
        </w:tc>
      </w:tr>
      <w:tr w:rsidR="009D4A93" w:rsidRPr="00536CFD" w14:paraId="1342884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E9745F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C64954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9BFE8F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7258FE3B" w14:textId="77777777" w:rsidR="009D4A93" w:rsidRPr="00536CFD" w:rsidRDefault="009D4A93" w:rsidP="009D4A93">
            <w:pPr>
              <w:spacing w:after="0"/>
              <w:jc w:val="center"/>
              <w:rPr>
                <w:lang w:val="zh-CN"/>
              </w:rPr>
            </w:pPr>
            <w:r w:rsidRPr="00536CFD">
              <w:rPr>
                <w:lang w:val="zh-CN"/>
              </w:rPr>
              <w:t>0.131</w:t>
            </w:r>
          </w:p>
        </w:tc>
        <w:tc>
          <w:tcPr>
            <w:tcW w:w="720" w:type="dxa"/>
            <w:tcBorders>
              <w:top w:val="single" w:sz="4" w:space="0" w:color="auto"/>
              <w:left w:val="nil"/>
              <w:bottom w:val="single" w:sz="4" w:space="0" w:color="auto"/>
              <w:right w:val="single" w:sz="4" w:space="0" w:color="auto"/>
            </w:tcBorders>
            <w:shd w:val="clear" w:color="auto" w:fill="auto"/>
            <w:vAlign w:val="bottom"/>
          </w:tcPr>
          <w:p w14:paraId="5B1E079B" w14:textId="77777777" w:rsidR="009D4A93" w:rsidRPr="00536CFD" w:rsidRDefault="009D4A93" w:rsidP="009D4A93">
            <w:pPr>
              <w:spacing w:after="0"/>
              <w:jc w:val="center"/>
              <w:rPr>
                <w:lang w:val="zh-CN"/>
              </w:rPr>
            </w:pPr>
            <w:r w:rsidRPr="00536CFD">
              <w:rPr>
                <w:lang w:val="zh-CN"/>
              </w:rPr>
              <w:t>0.104</w:t>
            </w:r>
          </w:p>
        </w:tc>
        <w:tc>
          <w:tcPr>
            <w:tcW w:w="720" w:type="dxa"/>
            <w:tcBorders>
              <w:top w:val="single" w:sz="4" w:space="0" w:color="auto"/>
              <w:left w:val="nil"/>
              <w:bottom w:val="single" w:sz="4" w:space="0" w:color="auto"/>
              <w:right w:val="single" w:sz="4" w:space="0" w:color="auto"/>
            </w:tcBorders>
            <w:shd w:val="clear" w:color="auto" w:fill="auto"/>
            <w:vAlign w:val="bottom"/>
          </w:tcPr>
          <w:p w14:paraId="2A16ADFC" w14:textId="77777777" w:rsidR="009D4A93" w:rsidRPr="00536CFD" w:rsidRDefault="009D4A93" w:rsidP="009D4A93">
            <w:pPr>
              <w:spacing w:after="0"/>
              <w:jc w:val="center"/>
              <w:rPr>
                <w:lang w:val="zh-CN"/>
              </w:rPr>
            </w:pPr>
            <w:r w:rsidRPr="00536CFD">
              <w:rPr>
                <w:lang w:val="zh-CN"/>
              </w:rPr>
              <w:t>0.065</w:t>
            </w:r>
          </w:p>
        </w:tc>
        <w:tc>
          <w:tcPr>
            <w:tcW w:w="810" w:type="dxa"/>
            <w:tcBorders>
              <w:top w:val="single" w:sz="4" w:space="0" w:color="auto"/>
              <w:left w:val="nil"/>
              <w:bottom w:val="single" w:sz="4" w:space="0" w:color="auto"/>
              <w:right w:val="single" w:sz="4" w:space="0" w:color="auto"/>
            </w:tcBorders>
            <w:shd w:val="clear" w:color="auto" w:fill="auto"/>
            <w:vAlign w:val="bottom"/>
          </w:tcPr>
          <w:p w14:paraId="431D6CDF" w14:textId="77777777" w:rsidR="009D4A93" w:rsidRPr="00536CFD" w:rsidRDefault="009D4A93" w:rsidP="009D4A93">
            <w:pPr>
              <w:spacing w:after="0"/>
              <w:jc w:val="center"/>
              <w:rPr>
                <w:lang w:val="zh-CN"/>
              </w:rPr>
            </w:pPr>
            <w:r w:rsidRPr="00536CFD">
              <w:rPr>
                <w:lang w:val="zh-CN"/>
              </w:rPr>
              <w:t>0.043</w:t>
            </w:r>
          </w:p>
        </w:tc>
        <w:tc>
          <w:tcPr>
            <w:tcW w:w="810" w:type="dxa"/>
            <w:tcBorders>
              <w:top w:val="single" w:sz="4" w:space="0" w:color="auto"/>
              <w:left w:val="nil"/>
              <w:bottom w:val="single" w:sz="4" w:space="0" w:color="auto"/>
              <w:right w:val="single" w:sz="4" w:space="0" w:color="auto"/>
            </w:tcBorders>
            <w:shd w:val="clear" w:color="auto" w:fill="auto"/>
            <w:vAlign w:val="bottom"/>
          </w:tcPr>
          <w:p w14:paraId="5AE6760F" w14:textId="77777777" w:rsidR="009D4A93" w:rsidRPr="00536CFD" w:rsidRDefault="009D4A93" w:rsidP="009D4A93">
            <w:pPr>
              <w:spacing w:after="0"/>
              <w:jc w:val="center"/>
              <w:rPr>
                <w:lang w:val="zh-CN"/>
              </w:rPr>
            </w:pPr>
            <w:r w:rsidRPr="00536CFD">
              <w:rPr>
                <w:lang w:val="zh-CN"/>
              </w:rPr>
              <w:t>7.214</w:t>
            </w:r>
          </w:p>
        </w:tc>
        <w:tc>
          <w:tcPr>
            <w:tcW w:w="820" w:type="dxa"/>
            <w:tcBorders>
              <w:top w:val="single" w:sz="4" w:space="0" w:color="auto"/>
              <w:left w:val="nil"/>
              <w:bottom w:val="single" w:sz="4" w:space="0" w:color="auto"/>
              <w:right w:val="single" w:sz="4" w:space="0" w:color="auto"/>
            </w:tcBorders>
            <w:shd w:val="clear" w:color="auto" w:fill="auto"/>
            <w:vAlign w:val="bottom"/>
          </w:tcPr>
          <w:p w14:paraId="564C0F7D" w14:textId="77777777" w:rsidR="009D4A93" w:rsidRPr="00536CFD" w:rsidRDefault="009D4A93" w:rsidP="009D4A93">
            <w:pPr>
              <w:spacing w:after="0"/>
              <w:jc w:val="center"/>
              <w:rPr>
                <w:lang w:val="zh-CN"/>
              </w:rPr>
            </w:pPr>
            <w:r w:rsidRPr="00536CFD">
              <w:rPr>
                <w:lang w:val="zh-CN"/>
              </w:rPr>
              <w:t>1.806</w:t>
            </w:r>
          </w:p>
        </w:tc>
        <w:tc>
          <w:tcPr>
            <w:tcW w:w="800" w:type="dxa"/>
            <w:tcBorders>
              <w:top w:val="single" w:sz="4" w:space="0" w:color="auto"/>
              <w:left w:val="nil"/>
              <w:bottom w:val="single" w:sz="4" w:space="0" w:color="auto"/>
              <w:right w:val="single" w:sz="4" w:space="0" w:color="auto"/>
            </w:tcBorders>
            <w:shd w:val="clear" w:color="auto" w:fill="auto"/>
            <w:vAlign w:val="bottom"/>
          </w:tcPr>
          <w:p w14:paraId="3EFB19C8" w14:textId="77777777" w:rsidR="009D4A93" w:rsidRPr="00536CFD" w:rsidRDefault="009D4A93" w:rsidP="009D4A93">
            <w:pPr>
              <w:spacing w:after="0"/>
              <w:jc w:val="center"/>
              <w:rPr>
                <w:lang w:val="zh-CN"/>
              </w:rPr>
            </w:pPr>
            <w:r w:rsidRPr="00536CFD">
              <w:rPr>
                <w:lang w:val="zh-CN"/>
              </w:rPr>
              <w:t>0.188</w:t>
            </w:r>
          </w:p>
        </w:tc>
        <w:tc>
          <w:tcPr>
            <w:tcW w:w="720" w:type="dxa"/>
            <w:tcBorders>
              <w:top w:val="single" w:sz="4" w:space="0" w:color="auto"/>
              <w:left w:val="nil"/>
              <w:bottom w:val="single" w:sz="4" w:space="0" w:color="auto"/>
              <w:right w:val="single" w:sz="4" w:space="0" w:color="auto"/>
            </w:tcBorders>
            <w:shd w:val="clear" w:color="auto" w:fill="auto"/>
            <w:vAlign w:val="bottom"/>
          </w:tcPr>
          <w:p w14:paraId="4218F2A9" w14:textId="77777777" w:rsidR="009D4A93" w:rsidRPr="00536CFD" w:rsidRDefault="009D4A93" w:rsidP="009D4A93">
            <w:pPr>
              <w:spacing w:after="0"/>
              <w:jc w:val="center"/>
              <w:rPr>
                <w:lang w:val="zh-CN"/>
              </w:rPr>
            </w:pPr>
            <w:r w:rsidRPr="00536CFD">
              <w:rPr>
                <w:lang w:val="zh-CN"/>
              </w:rPr>
              <w:t>0.063</w:t>
            </w:r>
          </w:p>
        </w:tc>
        <w:tc>
          <w:tcPr>
            <w:tcW w:w="724" w:type="dxa"/>
            <w:tcBorders>
              <w:top w:val="single" w:sz="4" w:space="0" w:color="auto"/>
              <w:left w:val="nil"/>
              <w:bottom w:val="single" w:sz="4" w:space="0" w:color="auto"/>
              <w:right w:val="single" w:sz="4" w:space="0" w:color="auto"/>
            </w:tcBorders>
            <w:shd w:val="clear" w:color="auto" w:fill="auto"/>
            <w:vAlign w:val="bottom"/>
          </w:tcPr>
          <w:p w14:paraId="5222118A" w14:textId="77777777" w:rsidR="009D4A93" w:rsidRPr="00536CFD" w:rsidRDefault="009D4A93" w:rsidP="009D4A93">
            <w:pPr>
              <w:spacing w:after="0"/>
              <w:jc w:val="center"/>
              <w:rPr>
                <w:lang w:val="zh-CN"/>
              </w:rPr>
            </w:pPr>
            <w:r w:rsidRPr="00536CFD">
              <w:rPr>
                <w:lang w:val="zh-CN"/>
              </w:rPr>
              <w:t>16.787</w:t>
            </w:r>
          </w:p>
        </w:tc>
        <w:tc>
          <w:tcPr>
            <w:tcW w:w="896" w:type="dxa"/>
            <w:tcBorders>
              <w:top w:val="single" w:sz="4" w:space="0" w:color="auto"/>
              <w:left w:val="nil"/>
              <w:bottom w:val="single" w:sz="4" w:space="0" w:color="auto"/>
              <w:right w:val="single" w:sz="4" w:space="0" w:color="auto"/>
            </w:tcBorders>
            <w:shd w:val="clear" w:color="auto" w:fill="auto"/>
            <w:vAlign w:val="bottom"/>
          </w:tcPr>
          <w:p w14:paraId="0007B44D" w14:textId="77777777" w:rsidR="009D4A93" w:rsidRPr="00536CFD" w:rsidRDefault="009D4A93" w:rsidP="009D4A93">
            <w:pPr>
              <w:spacing w:after="0"/>
              <w:jc w:val="center"/>
              <w:rPr>
                <w:lang w:val="zh-CN"/>
              </w:rPr>
            </w:pPr>
            <w:r w:rsidRPr="00536CFD">
              <w:rPr>
                <w:lang w:val="zh-CN"/>
              </w:rPr>
              <w:t>9.138</w:t>
            </w:r>
          </w:p>
        </w:tc>
        <w:tc>
          <w:tcPr>
            <w:tcW w:w="720" w:type="dxa"/>
            <w:tcBorders>
              <w:top w:val="single" w:sz="4" w:space="0" w:color="auto"/>
              <w:left w:val="nil"/>
              <w:bottom w:val="single" w:sz="4" w:space="0" w:color="auto"/>
              <w:right w:val="single" w:sz="4" w:space="0" w:color="auto"/>
            </w:tcBorders>
            <w:shd w:val="clear" w:color="auto" w:fill="auto"/>
            <w:vAlign w:val="bottom"/>
          </w:tcPr>
          <w:p w14:paraId="429CA74B" w14:textId="77777777" w:rsidR="009D4A93" w:rsidRPr="00536CFD" w:rsidRDefault="009D4A93" w:rsidP="009D4A93">
            <w:pPr>
              <w:spacing w:after="0"/>
              <w:jc w:val="center"/>
              <w:rPr>
                <w:lang w:val="zh-CN"/>
              </w:rPr>
            </w:pPr>
            <w:r w:rsidRPr="00536CFD">
              <w:rPr>
                <w:lang w:val="zh-CN"/>
              </w:rPr>
              <w:t>0.525</w:t>
            </w:r>
          </w:p>
        </w:tc>
        <w:tc>
          <w:tcPr>
            <w:tcW w:w="720" w:type="dxa"/>
            <w:tcBorders>
              <w:top w:val="single" w:sz="4" w:space="0" w:color="auto"/>
              <w:left w:val="nil"/>
              <w:bottom w:val="single" w:sz="4" w:space="0" w:color="auto"/>
              <w:right w:val="single" w:sz="4" w:space="0" w:color="auto"/>
            </w:tcBorders>
            <w:shd w:val="clear" w:color="auto" w:fill="auto"/>
            <w:vAlign w:val="bottom"/>
          </w:tcPr>
          <w:p w14:paraId="0ECAC05E" w14:textId="77777777" w:rsidR="009D4A93" w:rsidRPr="00536CFD" w:rsidRDefault="009D4A93" w:rsidP="009D4A93">
            <w:pPr>
              <w:spacing w:after="0"/>
              <w:jc w:val="center"/>
              <w:rPr>
                <w:lang w:val="zh-CN"/>
              </w:rPr>
            </w:pPr>
            <w:r w:rsidRPr="00536CFD">
              <w:rPr>
                <w:lang w:val="zh-CN"/>
              </w:rPr>
              <w:t>0.083</w:t>
            </w:r>
          </w:p>
        </w:tc>
      </w:tr>
      <w:tr w:rsidR="009D4A93" w:rsidRPr="00536CFD" w14:paraId="3A76372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A72D31F"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21A4978"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vAlign w:val="bottom"/>
          </w:tcPr>
          <w:p w14:paraId="65814826"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2BB9C58E" w14:textId="77777777" w:rsidR="009D4A93" w:rsidRPr="00536CFD" w:rsidRDefault="009D4A93" w:rsidP="009D4A93">
            <w:pPr>
              <w:spacing w:after="0"/>
              <w:jc w:val="center"/>
              <w:rPr>
                <w:lang w:val="zh-CN"/>
              </w:rPr>
            </w:pPr>
            <w:r w:rsidRPr="00536CFD">
              <w:rPr>
                <w:lang w:val="zh-CN"/>
              </w:rPr>
              <w:t>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10DC93B5"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791B464A"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26648649" w14:textId="77777777" w:rsidR="009D4A93" w:rsidRPr="00536CFD" w:rsidRDefault="009D4A93" w:rsidP="009D4A93">
            <w:pPr>
              <w:spacing w:after="0"/>
              <w:jc w:val="center"/>
              <w:rPr>
                <w:lang w:val="zh-CN"/>
              </w:rPr>
            </w:pPr>
            <w:r w:rsidRPr="00536CFD">
              <w:rPr>
                <w:lang w:val="zh-CN"/>
              </w:rPr>
              <w:t>0.99</w:t>
            </w:r>
          </w:p>
        </w:tc>
        <w:tc>
          <w:tcPr>
            <w:tcW w:w="820" w:type="dxa"/>
            <w:tcBorders>
              <w:top w:val="single" w:sz="4" w:space="0" w:color="auto"/>
              <w:left w:val="nil"/>
              <w:bottom w:val="single" w:sz="4" w:space="0" w:color="auto"/>
              <w:right w:val="single" w:sz="4" w:space="0" w:color="auto"/>
            </w:tcBorders>
            <w:shd w:val="clear" w:color="auto" w:fill="auto"/>
            <w:vAlign w:val="bottom"/>
          </w:tcPr>
          <w:p w14:paraId="79806CAB" w14:textId="77777777" w:rsidR="009D4A93" w:rsidRPr="00536CFD" w:rsidRDefault="009D4A93" w:rsidP="009D4A93">
            <w:pPr>
              <w:spacing w:after="0"/>
              <w:jc w:val="center"/>
              <w:rPr>
                <w:lang w:val="zh-CN"/>
              </w:rPr>
            </w:pPr>
            <w:r w:rsidRPr="00536CFD">
              <w:rPr>
                <w:lang w:val="zh-CN"/>
              </w:rPr>
              <w:t>1.00</w:t>
            </w:r>
          </w:p>
        </w:tc>
        <w:tc>
          <w:tcPr>
            <w:tcW w:w="800" w:type="dxa"/>
            <w:tcBorders>
              <w:top w:val="single" w:sz="4" w:space="0" w:color="auto"/>
              <w:left w:val="nil"/>
              <w:bottom w:val="single" w:sz="4" w:space="0" w:color="auto"/>
              <w:right w:val="single" w:sz="4" w:space="0" w:color="auto"/>
            </w:tcBorders>
            <w:shd w:val="clear" w:color="auto" w:fill="auto"/>
            <w:vAlign w:val="bottom"/>
          </w:tcPr>
          <w:p w14:paraId="4ED5C745"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7A4A7250"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15105582" w14:textId="77777777" w:rsidR="009D4A93" w:rsidRPr="00536CFD" w:rsidRDefault="009D4A93" w:rsidP="009D4A93">
            <w:pPr>
              <w:spacing w:after="0"/>
              <w:jc w:val="center"/>
              <w:rPr>
                <w:lang w:val="zh-CN"/>
              </w:rPr>
            </w:pPr>
            <w:r w:rsidRPr="00536CFD">
              <w:rPr>
                <w:lang w:val="zh-CN"/>
              </w:rPr>
              <w:t>0.97</w:t>
            </w:r>
          </w:p>
        </w:tc>
        <w:tc>
          <w:tcPr>
            <w:tcW w:w="896" w:type="dxa"/>
            <w:tcBorders>
              <w:top w:val="single" w:sz="4" w:space="0" w:color="auto"/>
              <w:left w:val="nil"/>
              <w:bottom w:val="single" w:sz="4" w:space="0" w:color="auto"/>
              <w:right w:val="single" w:sz="4" w:space="0" w:color="auto"/>
            </w:tcBorders>
            <w:shd w:val="clear" w:color="auto" w:fill="auto"/>
            <w:vAlign w:val="bottom"/>
          </w:tcPr>
          <w:p w14:paraId="2EAD2C2D" w14:textId="77777777" w:rsidR="009D4A93" w:rsidRPr="00536CFD" w:rsidRDefault="009D4A93" w:rsidP="009D4A93">
            <w:pPr>
              <w:spacing w:after="0"/>
              <w:jc w:val="center"/>
              <w:rPr>
                <w:lang w:val="zh-CN"/>
              </w:rPr>
            </w:pPr>
            <w:r w:rsidRPr="00536CFD">
              <w:rPr>
                <w:lang w:val="zh-CN"/>
              </w:rPr>
              <w:t>0.98</w:t>
            </w:r>
          </w:p>
        </w:tc>
        <w:tc>
          <w:tcPr>
            <w:tcW w:w="720" w:type="dxa"/>
            <w:tcBorders>
              <w:top w:val="single" w:sz="4" w:space="0" w:color="auto"/>
              <w:left w:val="nil"/>
              <w:bottom w:val="single" w:sz="4" w:space="0" w:color="auto"/>
              <w:right w:val="single" w:sz="4" w:space="0" w:color="auto"/>
            </w:tcBorders>
            <w:shd w:val="clear" w:color="auto" w:fill="auto"/>
            <w:vAlign w:val="bottom"/>
          </w:tcPr>
          <w:p w14:paraId="44848CEB"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2C1EF3A8" w14:textId="77777777" w:rsidR="009D4A93" w:rsidRPr="00536CFD" w:rsidRDefault="009D4A93" w:rsidP="009D4A93">
            <w:pPr>
              <w:spacing w:after="0"/>
              <w:jc w:val="center"/>
              <w:rPr>
                <w:lang w:val="zh-CN"/>
              </w:rPr>
            </w:pPr>
            <w:r w:rsidRPr="00536CFD">
              <w:rPr>
                <w:lang w:val="zh-CN"/>
              </w:rPr>
              <w:t>1.00</w:t>
            </w:r>
          </w:p>
        </w:tc>
      </w:tr>
      <w:tr w:rsidR="009D4A93" w:rsidRPr="00536CFD" w14:paraId="567C2C3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42F3CDE"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33EFF19"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vAlign w:val="bottom"/>
          </w:tcPr>
          <w:p w14:paraId="22CD0B85"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2F3FB1F4"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399AB6CE"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7F63DC84"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350FB26F" w14:textId="77777777" w:rsidR="009D4A93" w:rsidRPr="00536CFD" w:rsidRDefault="009D4A93" w:rsidP="009D4A93">
            <w:pPr>
              <w:spacing w:after="0"/>
              <w:jc w:val="center"/>
              <w:rPr>
                <w:lang w:val="zh-CN"/>
              </w:rPr>
            </w:pPr>
            <w:r w:rsidRPr="00536CFD">
              <w:rPr>
                <w:lang w:val="zh-CN"/>
              </w:rPr>
              <w:t>0.98</w:t>
            </w:r>
          </w:p>
        </w:tc>
        <w:tc>
          <w:tcPr>
            <w:tcW w:w="820" w:type="dxa"/>
            <w:tcBorders>
              <w:top w:val="single" w:sz="4" w:space="0" w:color="auto"/>
              <w:left w:val="nil"/>
              <w:bottom w:val="single" w:sz="4" w:space="0" w:color="auto"/>
              <w:right w:val="single" w:sz="4" w:space="0" w:color="auto"/>
            </w:tcBorders>
            <w:shd w:val="clear" w:color="auto" w:fill="auto"/>
            <w:vAlign w:val="bottom"/>
          </w:tcPr>
          <w:p w14:paraId="363D172E" w14:textId="77777777" w:rsidR="009D4A93" w:rsidRPr="00536CFD" w:rsidRDefault="009D4A93" w:rsidP="009D4A93">
            <w:pPr>
              <w:spacing w:after="0"/>
              <w:jc w:val="center"/>
              <w:rPr>
                <w:lang w:val="zh-CN"/>
              </w:rPr>
            </w:pPr>
            <w:r w:rsidRPr="00536CFD">
              <w:rPr>
                <w:lang w:val="zh-CN"/>
              </w:rPr>
              <w:t>1.00</w:t>
            </w:r>
          </w:p>
        </w:tc>
        <w:tc>
          <w:tcPr>
            <w:tcW w:w="800" w:type="dxa"/>
            <w:tcBorders>
              <w:top w:val="single" w:sz="4" w:space="0" w:color="auto"/>
              <w:left w:val="nil"/>
              <w:bottom w:val="single" w:sz="4" w:space="0" w:color="auto"/>
              <w:right w:val="single" w:sz="4" w:space="0" w:color="auto"/>
            </w:tcBorders>
            <w:shd w:val="clear" w:color="auto" w:fill="auto"/>
            <w:vAlign w:val="bottom"/>
          </w:tcPr>
          <w:p w14:paraId="60AF04CB" w14:textId="77777777" w:rsidR="009D4A93" w:rsidRPr="00536CFD" w:rsidRDefault="009D4A93" w:rsidP="009D4A93">
            <w:pPr>
              <w:spacing w:after="0"/>
              <w:jc w:val="center"/>
              <w:rPr>
                <w:lang w:val="zh-CN"/>
              </w:rPr>
            </w:pPr>
            <w:r w:rsidRPr="00536CFD">
              <w:rPr>
                <w:lang w:val="zh-CN"/>
              </w:rPr>
              <w:t>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3557CBB8"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042F21DF" w14:textId="77777777" w:rsidR="009D4A93" w:rsidRPr="00536CFD" w:rsidRDefault="009D4A93" w:rsidP="009D4A93">
            <w:pPr>
              <w:spacing w:after="0"/>
              <w:jc w:val="center"/>
              <w:rPr>
                <w:lang w:val="zh-CN"/>
              </w:rPr>
            </w:pPr>
            <w:r w:rsidRPr="00536CFD">
              <w:rPr>
                <w:lang w:val="zh-CN"/>
              </w:rPr>
              <w:t>0.94</w:t>
            </w:r>
          </w:p>
        </w:tc>
        <w:tc>
          <w:tcPr>
            <w:tcW w:w="896" w:type="dxa"/>
            <w:tcBorders>
              <w:top w:val="single" w:sz="4" w:space="0" w:color="auto"/>
              <w:left w:val="nil"/>
              <w:bottom w:val="single" w:sz="4" w:space="0" w:color="auto"/>
              <w:right w:val="single" w:sz="4" w:space="0" w:color="auto"/>
            </w:tcBorders>
            <w:shd w:val="clear" w:color="auto" w:fill="auto"/>
            <w:vAlign w:val="bottom"/>
          </w:tcPr>
          <w:p w14:paraId="1F331B31" w14:textId="77777777" w:rsidR="009D4A93" w:rsidRPr="00536CFD" w:rsidRDefault="009D4A93" w:rsidP="009D4A93">
            <w:pPr>
              <w:spacing w:after="0"/>
              <w:jc w:val="center"/>
              <w:rPr>
                <w:lang w:val="zh-CN"/>
              </w:rPr>
            </w:pPr>
            <w:r w:rsidRPr="00536CFD">
              <w:rPr>
                <w:lang w:val="zh-CN"/>
              </w:rPr>
              <w:t>0.96</w:t>
            </w:r>
          </w:p>
        </w:tc>
        <w:tc>
          <w:tcPr>
            <w:tcW w:w="720" w:type="dxa"/>
            <w:tcBorders>
              <w:top w:val="single" w:sz="4" w:space="0" w:color="auto"/>
              <w:left w:val="nil"/>
              <w:bottom w:val="single" w:sz="4" w:space="0" w:color="auto"/>
              <w:right w:val="single" w:sz="4" w:space="0" w:color="auto"/>
            </w:tcBorders>
            <w:shd w:val="clear" w:color="auto" w:fill="auto"/>
            <w:vAlign w:val="bottom"/>
          </w:tcPr>
          <w:p w14:paraId="06A6DC9A"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4A69C375" w14:textId="77777777" w:rsidR="009D4A93" w:rsidRPr="00536CFD" w:rsidRDefault="009D4A93" w:rsidP="009D4A93">
            <w:pPr>
              <w:spacing w:after="0"/>
              <w:jc w:val="center"/>
              <w:rPr>
                <w:lang w:val="zh-CN"/>
              </w:rPr>
            </w:pPr>
            <w:r w:rsidRPr="00536CFD">
              <w:rPr>
                <w:lang w:val="zh-CN"/>
              </w:rPr>
              <w:t>1.00</w:t>
            </w:r>
          </w:p>
        </w:tc>
      </w:tr>
      <w:tr w:rsidR="009D4A93" w:rsidRPr="00536CFD" w14:paraId="64898AB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4B9AD45"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239281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vAlign w:val="bottom"/>
          </w:tcPr>
          <w:p w14:paraId="35C446FC" w14:textId="77777777" w:rsidR="009D4A93" w:rsidRPr="00536CFD" w:rsidRDefault="009D4A93" w:rsidP="009D4A93">
            <w:pPr>
              <w:spacing w:after="0"/>
              <w:jc w:val="center"/>
              <w:rPr>
                <w:lang w:val="zh-CN"/>
              </w:rPr>
            </w:pPr>
            <w:r w:rsidRPr="00536CFD">
              <w:rPr>
                <w:lang w:val="zh-CN"/>
              </w:rPr>
              <w:t>0.17</w:t>
            </w:r>
          </w:p>
        </w:tc>
        <w:tc>
          <w:tcPr>
            <w:tcW w:w="720" w:type="dxa"/>
            <w:tcBorders>
              <w:top w:val="single" w:sz="4" w:space="0" w:color="auto"/>
              <w:left w:val="nil"/>
              <w:bottom w:val="single" w:sz="4" w:space="0" w:color="auto"/>
              <w:right w:val="single" w:sz="4" w:space="0" w:color="auto"/>
            </w:tcBorders>
            <w:shd w:val="clear" w:color="auto" w:fill="auto"/>
            <w:vAlign w:val="bottom"/>
          </w:tcPr>
          <w:p w14:paraId="45E40DB5" w14:textId="77777777" w:rsidR="009D4A93" w:rsidRPr="00536CFD" w:rsidRDefault="009D4A93" w:rsidP="009D4A93">
            <w:pPr>
              <w:spacing w:after="0"/>
              <w:jc w:val="center"/>
              <w:rPr>
                <w:lang w:val="zh-CN"/>
              </w:rPr>
            </w:pPr>
            <w:r w:rsidRPr="00536CFD">
              <w:rPr>
                <w:lang w:val="zh-CN"/>
              </w:rPr>
              <w:t>0.14</w:t>
            </w:r>
          </w:p>
        </w:tc>
        <w:tc>
          <w:tcPr>
            <w:tcW w:w="720" w:type="dxa"/>
            <w:tcBorders>
              <w:top w:val="single" w:sz="4" w:space="0" w:color="auto"/>
              <w:left w:val="nil"/>
              <w:bottom w:val="single" w:sz="4" w:space="0" w:color="auto"/>
              <w:right w:val="single" w:sz="4" w:space="0" w:color="auto"/>
            </w:tcBorders>
            <w:shd w:val="clear" w:color="auto" w:fill="auto"/>
            <w:vAlign w:val="bottom"/>
          </w:tcPr>
          <w:p w14:paraId="58EEC2A0" w14:textId="77777777" w:rsidR="009D4A93" w:rsidRPr="00536CFD" w:rsidRDefault="009D4A93" w:rsidP="009D4A93">
            <w:pPr>
              <w:spacing w:after="0"/>
              <w:jc w:val="center"/>
              <w:rPr>
                <w:lang w:val="zh-CN"/>
              </w:rPr>
            </w:pPr>
            <w:r w:rsidRPr="00536CFD">
              <w:rPr>
                <w:lang w:val="zh-CN"/>
              </w:rPr>
              <w:t>0.09</w:t>
            </w:r>
          </w:p>
        </w:tc>
        <w:tc>
          <w:tcPr>
            <w:tcW w:w="810" w:type="dxa"/>
            <w:tcBorders>
              <w:top w:val="single" w:sz="4" w:space="0" w:color="auto"/>
              <w:left w:val="nil"/>
              <w:bottom w:val="single" w:sz="4" w:space="0" w:color="auto"/>
              <w:right w:val="single" w:sz="4" w:space="0" w:color="auto"/>
            </w:tcBorders>
            <w:shd w:val="clear" w:color="auto" w:fill="auto"/>
            <w:vAlign w:val="bottom"/>
          </w:tcPr>
          <w:p w14:paraId="5AAD6737" w14:textId="77777777" w:rsidR="009D4A93" w:rsidRPr="00536CFD" w:rsidRDefault="009D4A93" w:rsidP="009D4A93">
            <w:pPr>
              <w:spacing w:after="0"/>
              <w:jc w:val="center"/>
              <w:rPr>
                <w:lang w:val="zh-CN"/>
              </w:rPr>
            </w:pPr>
            <w:r w:rsidRPr="00536CFD">
              <w:rPr>
                <w:lang w:val="zh-CN"/>
              </w:rPr>
              <w:t>0.07</w:t>
            </w:r>
          </w:p>
        </w:tc>
        <w:tc>
          <w:tcPr>
            <w:tcW w:w="810" w:type="dxa"/>
            <w:tcBorders>
              <w:top w:val="single" w:sz="4" w:space="0" w:color="auto"/>
              <w:left w:val="nil"/>
              <w:bottom w:val="single" w:sz="4" w:space="0" w:color="auto"/>
              <w:right w:val="single" w:sz="4" w:space="0" w:color="auto"/>
            </w:tcBorders>
            <w:shd w:val="clear" w:color="auto" w:fill="auto"/>
            <w:vAlign w:val="bottom"/>
          </w:tcPr>
          <w:p w14:paraId="495D82D2" w14:textId="77777777" w:rsidR="009D4A93" w:rsidRPr="00536CFD" w:rsidRDefault="009D4A93" w:rsidP="009D4A93">
            <w:pPr>
              <w:spacing w:after="0"/>
              <w:jc w:val="center"/>
              <w:rPr>
                <w:lang w:val="zh-CN"/>
              </w:rPr>
            </w:pPr>
            <w:r w:rsidRPr="00536CFD">
              <w:rPr>
                <w:lang w:val="zh-CN"/>
              </w:rPr>
              <w:t>0.50</w:t>
            </w:r>
          </w:p>
        </w:tc>
        <w:tc>
          <w:tcPr>
            <w:tcW w:w="820" w:type="dxa"/>
            <w:tcBorders>
              <w:top w:val="single" w:sz="4" w:space="0" w:color="auto"/>
              <w:left w:val="nil"/>
              <w:bottom w:val="single" w:sz="4" w:space="0" w:color="auto"/>
              <w:right w:val="single" w:sz="4" w:space="0" w:color="auto"/>
            </w:tcBorders>
            <w:shd w:val="clear" w:color="auto" w:fill="auto"/>
            <w:vAlign w:val="bottom"/>
          </w:tcPr>
          <w:p w14:paraId="237083F7" w14:textId="77777777" w:rsidR="009D4A93" w:rsidRPr="00536CFD" w:rsidRDefault="009D4A93" w:rsidP="009D4A93">
            <w:pPr>
              <w:spacing w:after="0"/>
              <w:jc w:val="center"/>
              <w:rPr>
                <w:lang w:val="zh-CN"/>
              </w:rPr>
            </w:pPr>
            <w:r w:rsidRPr="00536CFD">
              <w:rPr>
                <w:lang w:val="zh-CN"/>
              </w:rPr>
              <w:t>0.37</w:t>
            </w:r>
          </w:p>
        </w:tc>
        <w:tc>
          <w:tcPr>
            <w:tcW w:w="800" w:type="dxa"/>
            <w:tcBorders>
              <w:top w:val="single" w:sz="4" w:space="0" w:color="auto"/>
              <w:left w:val="nil"/>
              <w:bottom w:val="single" w:sz="4" w:space="0" w:color="auto"/>
              <w:right w:val="single" w:sz="4" w:space="0" w:color="auto"/>
            </w:tcBorders>
            <w:shd w:val="clear" w:color="auto" w:fill="auto"/>
            <w:vAlign w:val="bottom"/>
          </w:tcPr>
          <w:p w14:paraId="2E834DC2" w14:textId="77777777" w:rsidR="009D4A93" w:rsidRPr="00536CFD" w:rsidRDefault="009D4A93" w:rsidP="009D4A93">
            <w:pPr>
              <w:spacing w:after="0"/>
              <w:jc w:val="center"/>
              <w:rPr>
                <w:lang w:val="zh-CN"/>
              </w:rPr>
            </w:pPr>
            <w:r w:rsidRPr="00536CFD">
              <w:rPr>
                <w:lang w:val="zh-CN"/>
              </w:rPr>
              <w:t>0.28</w:t>
            </w:r>
          </w:p>
        </w:tc>
        <w:tc>
          <w:tcPr>
            <w:tcW w:w="720" w:type="dxa"/>
            <w:tcBorders>
              <w:top w:val="single" w:sz="4" w:space="0" w:color="auto"/>
              <w:left w:val="nil"/>
              <w:bottom w:val="single" w:sz="4" w:space="0" w:color="auto"/>
              <w:right w:val="single" w:sz="4" w:space="0" w:color="auto"/>
            </w:tcBorders>
            <w:shd w:val="clear" w:color="auto" w:fill="auto"/>
            <w:vAlign w:val="bottom"/>
          </w:tcPr>
          <w:p w14:paraId="7E4AD9B3" w14:textId="77777777" w:rsidR="009D4A93" w:rsidRPr="00536CFD" w:rsidRDefault="009D4A93" w:rsidP="009D4A93">
            <w:pPr>
              <w:spacing w:after="0"/>
              <w:jc w:val="center"/>
              <w:rPr>
                <w:lang w:val="zh-CN"/>
              </w:rPr>
            </w:pPr>
            <w:r w:rsidRPr="00536CFD">
              <w:rPr>
                <w:lang w:val="zh-CN"/>
              </w:rPr>
              <w:t>0.14</w:t>
            </w:r>
          </w:p>
        </w:tc>
        <w:tc>
          <w:tcPr>
            <w:tcW w:w="724" w:type="dxa"/>
            <w:tcBorders>
              <w:top w:val="single" w:sz="4" w:space="0" w:color="auto"/>
              <w:left w:val="nil"/>
              <w:bottom w:val="single" w:sz="4" w:space="0" w:color="auto"/>
              <w:right w:val="single" w:sz="4" w:space="0" w:color="auto"/>
            </w:tcBorders>
            <w:shd w:val="clear" w:color="auto" w:fill="auto"/>
            <w:vAlign w:val="bottom"/>
          </w:tcPr>
          <w:p w14:paraId="188E9A25" w14:textId="77777777" w:rsidR="009D4A93" w:rsidRPr="00536CFD" w:rsidRDefault="009D4A93" w:rsidP="009D4A93">
            <w:pPr>
              <w:spacing w:after="0"/>
              <w:jc w:val="center"/>
              <w:rPr>
                <w:lang w:val="zh-CN"/>
              </w:rPr>
            </w:pPr>
            <w:r w:rsidRPr="00536CFD">
              <w:rPr>
                <w:lang w:val="zh-CN"/>
              </w:rPr>
              <w:t>0.70</w:t>
            </w:r>
          </w:p>
        </w:tc>
        <w:tc>
          <w:tcPr>
            <w:tcW w:w="896" w:type="dxa"/>
            <w:tcBorders>
              <w:top w:val="single" w:sz="4" w:space="0" w:color="auto"/>
              <w:left w:val="nil"/>
              <w:bottom w:val="single" w:sz="4" w:space="0" w:color="auto"/>
              <w:right w:val="single" w:sz="4" w:space="0" w:color="auto"/>
            </w:tcBorders>
            <w:shd w:val="clear" w:color="auto" w:fill="auto"/>
            <w:vAlign w:val="bottom"/>
          </w:tcPr>
          <w:p w14:paraId="31BC497F" w14:textId="77777777" w:rsidR="009D4A93" w:rsidRPr="00536CFD" w:rsidRDefault="009D4A93" w:rsidP="009D4A93">
            <w:pPr>
              <w:spacing w:after="0"/>
              <w:jc w:val="center"/>
              <w:rPr>
                <w:lang w:val="zh-CN"/>
              </w:rPr>
            </w:pPr>
            <w:r w:rsidRPr="00536CFD">
              <w:rPr>
                <w:lang w:val="zh-CN"/>
              </w:rPr>
              <w:t>0.53</w:t>
            </w:r>
          </w:p>
        </w:tc>
        <w:tc>
          <w:tcPr>
            <w:tcW w:w="720" w:type="dxa"/>
            <w:tcBorders>
              <w:top w:val="single" w:sz="4" w:space="0" w:color="auto"/>
              <w:left w:val="nil"/>
              <w:bottom w:val="single" w:sz="4" w:space="0" w:color="auto"/>
              <w:right w:val="single" w:sz="4" w:space="0" w:color="auto"/>
            </w:tcBorders>
            <w:shd w:val="clear" w:color="auto" w:fill="auto"/>
            <w:vAlign w:val="bottom"/>
          </w:tcPr>
          <w:p w14:paraId="1F5C4EA0" w14:textId="77777777" w:rsidR="009D4A93" w:rsidRPr="00536CFD" w:rsidRDefault="009D4A93" w:rsidP="009D4A93">
            <w:pPr>
              <w:spacing w:after="0"/>
              <w:jc w:val="center"/>
              <w:rPr>
                <w:lang w:val="zh-CN"/>
              </w:rPr>
            </w:pPr>
            <w:r w:rsidRPr="00536CFD">
              <w:rPr>
                <w:lang w:val="zh-CN"/>
              </w:rPr>
              <w:t>0.45</w:t>
            </w:r>
          </w:p>
        </w:tc>
        <w:tc>
          <w:tcPr>
            <w:tcW w:w="720" w:type="dxa"/>
            <w:tcBorders>
              <w:top w:val="single" w:sz="4" w:space="0" w:color="auto"/>
              <w:left w:val="nil"/>
              <w:bottom w:val="single" w:sz="4" w:space="0" w:color="auto"/>
              <w:right w:val="single" w:sz="4" w:space="0" w:color="auto"/>
            </w:tcBorders>
            <w:shd w:val="clear" w:color="auto" w:fill="auto"/>
            <w:vAlign w:val="bottom"/>
          </w:tcPr>
          <w:p w14:paraId="33412086" w14:textId="77777777" w:rsidR="009D4A93" w:rsidRPr="00536CFD" w:rsidRDefault="009D4A93" w:rsidP="009D4A93">
            <w:pPr>
              <w:spacing w:after="0"/>
              <w:jc w:val="center"/>
              <w:rPr>
                <w:lang w:val="zh-CN"/>
              </w:rPr>
            </w:pPr>
            <w:r w:rsidRPr="00536CFD">
              <w:rPr>
                <w:lang w:val="zh-CN"/>
              </w:rPr>
              <w:t>0.19</w:t>
            </w:r>
          </w:p>
        </w:tc>
      </w:tr>
      <w:tr w:rsidR="009D4A93" w:rsidRPr="00536CFD" w14:paraId="4304BB5B"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B9ABC96"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A418BE0"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4F9FF1DB" w14:textId="77777777" w:rsidR="009D4A93" w:rsidRPr="00536CFD" w:rsidRDefault="009D4A93" w:rsidP="009D4A93">
            <w:pPr>
              <w:spacing w:after="0"/>
              <w:jc w:val="center"/>
              <w:rPr>
                <w:lang w:val="zh-CN"/>
              </w:rPr>
            </w:pPr>
            <w:r w:rsidRPr="00536CFD">
              <w:rPr>
                <w:lang w:val="zh-CN"/>
              </w:rPr>
              <w:t>1.5 Mbps</w:t>
            </w:r>
          </w:p>
        </w:tc>
        <w:tc>
          <w:tcPr>
            <w:tcW w:w="3150" w:type="dxa"/>
            <w:gridSpan w:val="4"/>
            <w:tcBorders>
              <w:top w:val="single" w:sz="4" w:space="0" w:color="auto"/>
              <w:left w:val="nil"/>
              <w:bottom w:val="single" w:sz="4" w:space="0" w:color="auto"/>
              <w:right w:val="single" w:sz="4" w:space="0" w:color="auto"/>
            </w:tcBorders>
            <w:shd w:val="clear" w:color="auto" w:fill="auto"/>
          </w:tcPr>
          <w:p w14:paraId="460E4476" w14:textId="77777777" w:rsidR="009D4A93" w:rsidRPr="00536CFD" w:rsidRDefault="009D4A93" w:rsidP="009D4A93">
            <w:pPr>
              <w:spacing w:after="0"/>
              <w:jc w:val="center"/>
              <w:rPr>
                <w:lang w:val="zh-CN"/>
              </w:rPr>
            </w:pPr>
            <w:r w:rsidRPr="00536CFD">
              <w:rPr>
                <w:lang w:val="zh-CN"/>
              </w:rPr>
              <w:t>2.5 Mbps</w:t>
            </w:r>
          </w:p>
        </w:tc>
        <w:tc>
          <w:tcPr>
            <w:tcW w:w="3060" w:type="dxa"/>
            <w:gridSpan w:val="4"/>
            <w:tcBorders>
              <w:top w:val="single" w:sz="4" w:space="0" w:color="auto"/>
              <w:left w:val="nil"/>
              <w:bottom w:val="single" w:sz="4" w:space="0" w:color="auto"/>
              <w:right w:val="single" w:sz="4" w:space="0" w:color="auto"/>
            </w:tcBorders>
            <w:shd w:val="clear" w:color="auto" w:fill="auto"/>
          </w:tcPr>
          <w:p w14:paraId="2C653DE8" w14:textId="77777777" w:rsidR="009D4A93" w:rsidRPr="00536CFD" w:rsidRDefault="009D4A93" w:rsidP="009D4A93">
            <w:pPr>
              <w:spacing w:after="0"/>
              <w:jc w:val="center"/>
              <w:rPr>
                <w:lang w:val="zh-CN"/>
              </w:rPr>
            </w:pPr>
            <w:r w:rsidRPr="00536CFD">
              <w:rPr>
                <w:lang w:val="zh-CN"/>
              </w:rPr>
              <w:t>3.0 Mbps</w:t>
            </w:r>
          </w:p>
        </w:tc>
      </w:tr>
      <w:tr w:rsidR="009D4A93" w:rsidRPr="00536CFD" w14:paraId="0E14431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794763D"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588D662"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6D95275E" w14:textId="77777777" w:rsidR="009D4A93" w:rsidRPr="00536CFD" w:rsidRDefault="009D4A93" w:rsidP="009D4A93">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enabled, ED/PD threshold -62/-82 dBm, A-MPDU size is chosen to get MPDU duration of 1ms, Wi-Fi Guard Interval short,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COT structure includes a preparation stage for CSI exchange leading to total of 2 switching points.</w:t>
            </w:r>
          </w:p>
        </w:tc>
      </w:tr>
      <w:tr w:rsidR="009D4A93" w:rsidRPr="00536CFD" w14:paraId="5D9BAB2B"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3A5E088B" w14:textId="77777777" w:rsidR="009D4A93" w:rsidRPr="00536CFD" w:rsidRDefault="009D4A93" w:rsidP="00536CFD">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535" w:type="dxa"/>
            <w:vMerge w:val="restart"/>
            <w:tcBorders>
              <w:top w:val="nil"/>
              <w:left w:val="nil"/>
              <w:bottom w:val="single" w:sz="4" w:space="0" w:color="auto"/>
              <w:right w:val="single" w:sz="4" w:space="0" w:color="auto"/>
            </w:tcBorders>
            <w:shd w:val="clear" w:color="auto" w:fill="auto"/>
          </w:tcPr>
          <w:p w14:paraId="447A91C4"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2D36DACE"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2C74D911" w14:textId="77777777" w:rsidR="009D4A93" w:rsidRPr="00536CFD" w:rsidRDefault="009D4A93" w:rsidP="00536CFD">
            <w:pPr>
              <w:pageBreakBefore/>
              <w:spacing w:after="0"/>
              <w:jc w:val="center"/>
              <w:rPr>
                <w:lang w:val="zh-CN"/>
              </w:rPr>
            </w:pPr>
            <w:r w:rsidRPr="00536CFD">
              <w:rPr>
                <w:lang w:val="zh-CN"/>
              </w:rPr>
              <w:t>22.94</w:t>
            </w:r>
          </w:p>
        </w:tc>
        <w:tc>
          <w:tcPr>
            <w:tcW w:w="720" w:type="dxa"/>
            <w:tcBorders>
              <w:top w:val="single" w:sz="4" w:space="0" w:color="auto"/>
              <w:left w:val="nil"/>
              <w:bottom w:val="single" w:sz="4" w:space="0" w:color="auto"/>
              <w:right w:val="single" w:sz="4" w:space="0" w:color="auto"/>
            </w:tcBorders>
            <w:shd w:val="clear" w:color="auto" w:fill="auto"/>
            <w:vAlign w:val="bottom"/>
          </w:tcPr>
          <w:p w14:paraId="19B83EEA" w14:textId="77777777" w:rsidR="009D4A93" w:rsidRPr="00536CFD" w:rsidRDefault="009D4A93" w:rsidP="00536CFD">
            <w:pPr>
              <w:pageBreakBefore/>
              <w:spacing w:after="0"/>
              <w:jc w:val="center"/>
              <w:rPr>
                <w:lang w:val="zh-CN"/>
              </w:rPr>
            </w:pPr>
            <w:r w:rsidRPr="00536CFD">
              <w:rPr>
                <w:lang w:val="zh-CN"/>
              </w:rPr>
              <w:t>28</w:t>
            </w:r>
          </w:p>
        </w:tc>
        <w:tc>
          <w:tcPr>
            <w:tcW w:w="720" w:type="dxa"/>
            <w:tcBorders>
              <w:top w:val="single" w:sz="4" w:space="0" w:color="auto"/>
              <w:left w:val="nil"/>
              <w:bottom w:val="single" w:sz="4" w:space="0" w:color="auto"/>
              <w:right w:val="single" w:sz="4" w:space="0" w:color="auto"/>
            </w:tcBorders>
            <w:shd w:val="clear" w:color="auto" w:fill="auto"/>
            <w:vAlign w:val="bottom"/>
          </w:tcPr>
          <w:p w14:paraId="4C525366" w14:textId="77777777" w:rsidR="009D4A93" w:rsidRPr="00536CFD" w:rsidRDefault="009D4A93" w:rsidP="00536CFD">
            <w:pPr>
              <w:pageBreakBefore/>
              <w:spacing w:after="0"/>
              <w:jc w:val="center"/>
              <w:rPr>
                <w:lang w:val="zh-CN"/>
              </w:rPr>
            </w:pPr>
            <w:r w:rsidRPr="00536CFD">
              <w:rPr>
                <w:lang w:val="zh-CN"/>
              </w:rPr>
              <w:t>62.3</w:t>
            </w:r>
          </w:p>
        </w:tc>
        <w:tc>
          <w:tcPr>
            <w:tcW w:w="810" w:type="dxa"/>
            <w:tcBorders>
              <w:top w:val="single" w:sz="4" w:space="0" w:color="auto"/>
              <w:left w:val="nil"/>
              <w:bottom w:val="single" w:sz="4" w:space="0" w:color="auto"/>
              <w:right w:val="single" w:sz="4" w:space="0" w:color="auto"/>
            </w:tcBorders>
            <w:shd w:val="clear" w:color="auto" w:fill="auto"/>
            <w:vAlign w:val="bottom"/>
          </w:tcPr>
          <w:p w14:paraId="0D565955" w14:textId="77777777" w:rsidR="009D4A93" w:rsidRPr="00536CFD" w:rsidRDefault="009D4A93" w:rsidP="00536CFD">
            <w:pPr>
              <w:pageBreakBefore/>
              <w:spacing w:after="0"/>
              <w:jc w:val="center"/>
              <w:rPr>
                <w:lang w:val="zh-CN"/>
              </w:rPr>
            </w:pPr>
            <w:r w:rsidRPr="00536CFD">
              <w:rPr>
                <w:lang w:val="zh-CN"/>
              </w:rPr>
              <w:t>70.69</w:t>
            </w:r>
          </w:p>
        </w:tc>
        <w:tc>
          <w:tcPr>
            <w:tcW w:w="810" w:type="dxa"/>
            <w:tcBorders>
              <w:top w:val="single" w:sz="4" w:space="0" w:color="auto"/>
              <w:left w:val="nil"/>
              <w:bottom w:val="single" w:sz="4" w:space="0" w:color="auto"/>
              <w:right w:val="single" w:sz="4" w:space="0" w:color="auto"/>
            </w:tcBorders>
            <w:shd w:val="clear" w:color="auto" w:fill="auto"/>
            <w:vAlign w:val="bottom"/>
          </w:tcPr>
          <w:p w14:paraId="44ADCD39" w14:textId="77777777" w:rsidR="009D4A93" w:rsidRPr="00536CFD" w:rsidRDefault="009D4A93" w:rsidP="00536CFD">
            <w:pPr>
              <w:pageBreakBefore/>
              <w:spacing w:after="0"/>
              <w:jc w:val="center"/>
              <w:rPr>
                <w:lang w:val="zh-CN"/>
              </w:rPr>
            </w:pPr>
            <w:r w:rsidRPr="00536CFD">
              <w:rPr>
                <w:lang w:val="zh-CN"/>
              </w:rPr>
              <w:t>14.61</w:t>
            </w:r>
          </w:p>
        </w:tc>
        <w:tc>
          <w:tcPr>
            <w:tcW w:w="820" w:type="dxa"/>
            <w:tcBorders>
              <w:top w:val="single" w:sz="4" w:space="0" w:color="auto"/>
              <w:left w:val="nil"/>
              <w:bottom w:val="single" w:sz="4" w:space="0" w:color="auto"/>
              <w:right w:val="single" w:sz="4" w:space="0" w:color="auto"/>
            </w:tcBorders>
            <w:shd w:val="clear" w:color="auto" w:fill="auto"/>
            <w:vAlign w:val="bottom"/>
          </w:tcPr>
          <w:p w14:paraId="5AA6D826" w14:textId="77777777" w:rsidR="009D4A93" w:rsidRPr="00536CFD" w:rsidRDefault="009D4A93" w:rsidP="00536CFD">
            <w:pPr>
              <w:pageBreakBefore/>
              <w:spacing w:after="0"/>
              <w:jc w:val="center"/>
              <w:rPr>
                <w:lang w:val="zh-CN"/>
              </w:rPr>
            </w:pPr>
            <w:r w:rsidRPr="00536CFD">
              <w:rPr>
                <w:lang w:val="zh-CN"/>
              </w:rPr>
              <w:t>24.45</w:t>
            </w:r>
          </w:p>
        </w:tc>
        <w:tc>
          <w:tcPr>
            <w:tcW w:w="800" w:type="dxa"/>
            <w:tcBorders>
              <w:top w:val="single" w:sz="4" w:space="0" w:color="auto"/>
              <w:left w:val="nil"/>
              <w:bottom w:val="single" w:sz="4" w:space="0" w:color="auto"/>
              <w:right w:val="single" w:sz="4" w:space="0" w:color="auto"/>
            </w:tcBorders>
            <w:shd w:val="clear" w:color="auto" w:fill="auto"/>
            <w:vAlign w:val="bottom"/>
          </w:tcPr>
          <w:p w14:paraId="4DBF1ED8" w14:textId="77777777" w:rsidR="009D4A93" w:rsidRPr="00536CFD" w:rsidRDefault="009D4A93" w:rsidP="00536CFD">
            <w:pPr>
              <w:pageBreakBefore/>
              <w:spacing w:after="0"/>
              <w:jc w:val="center"/>
              <w:rPr>
                <w:lang w:val="zh-CN"/>
              </w:rPr>
            </w:pPr>
            <w:r w:rsidRPr="00536CFD">
              <w:rPr>
                <w:lang w:val="zh-CN"/>
              </w:rPr>
              <w:t>50.22</w:t>
            </w:r>
          </w:p>
        </w:tc>
        <w:tc>
          <w:tcPr>
            <w:tcW w:w="720" w:type="dxa"/>
            <w:tcBorders>
              <w:top w:val="single" w:sz="4" w:space="0" w:color="auto"/>
              <w:left w:val="nil"/>
              <w:bottom w:val="single" w:sz="4" w:space="0" w:color="auto"/>
              <w:right w:val="single" w:sz="4" w:space="0" w:color="auto"/>
            </w:tcBorders>
            <w:shd w:val="clear" w:color="auto" w:fill="auto"/>
            <w:vAlign w:val="bottom"/>
          </w:tcPr>
          <w:p w14:paraId="380F13AB" w14:textId="77777777" w:rsidR="009D4A93" w:rsidRPr="00536CFD" w:rsidRDefault="009D4A93" w:rsidP="00536CFD">
            <w:pPr>
              <w:pageBreakBefore/>
              <w:spacing w:after="0"/>
              <w:jc w:val="center"/>
              <w:rPr>
                <w:lang w:val="zh-CN"/>
              </w:rPr>
            </w:pPr>
            <w:r w:rsidRPr="00536CFD">
              <w:rPr>
                <w:lang w:val="zh-CN"/>
              </w:rPr>
              <w:t>67.02</w:t>
            </w:r>
          </w:p>
        </w:tc>
        <w:tc>
          <w:tcPr>
            <w:tcW w:w="724" w:type="dxa"/>
            <w:tcBorders>
              <w:top w:val="single" w:sz="4" w:space="0" w:color="auto"/>
              <w:left w:val="nil"/>
              <w:bottom w:val="single" w:sz="4" w:space="0" w:color="auto"/>
              <w:right w:val="single" w:sz="4" w:space="0" w:color="auto"/>
            </w:tcBorders>
            <w:shd w:val="clear" w:color="auto" w:fill="auto"/>
            <w:vAlign w:val="bottom"/>
          </w:tcPr>
          <w:p w14:paraId="357260BC" w14:textId="77777777" w:rsidR="009D4A93" w:rsidRPr="00536CFD" w:rsidRDefault="009D4A93" w:rsidP="00536CFD">
            <w:pPr>
              <w:pageBreakBefore/>
              <w:spacing w:after="0"/>
              <w:jc w:val="center"/>
              <w:rPr>
                <w:lang w:val="zh-CN"/>
              </w:rPr>
            </w:pPr>
            <w:r w:rsidRPr="00536CFD">
              <w:rPr>
                <w:lang w:val="zh-CN"/>
              </w:rPr>
              <w:t>1.83</w:t>
            </w:r>
          </w:p>
        </w:tc>
        <w:tc>
          <w:tcPr>
            <w:tcW w:w="896" w:type="dxa"/>
            <w:tcBorders>
              <w:top w:val="single" w:sz="4" w:space="0" w:color="auto"/>
              <w:left w:val="nil"/>
              <w:bottom w:val="single" w:sz="4" w:space="0" w:color="auto"/>
              <w:right w:val="single" w:sz="4" w:space="0" w:color="auto"/>
            </w:tcBorders>
            <w:shd w:val="clear" w:color="auto" w:fill="auto"/>
            <w:vAlign w:val="bottom"/>
          </w:tcPr>
          <w:p w14:paraId="7FF5EF6C" w14:textId="77777777" w:rsidR="009D4A93" w:rsidRPr="00536CFD" w:rsidRDefault="009D4A93" w:rsidP="00536CFD">
            <w:pPr>
              <w:pageBreakBefore/>
              <w:spacing w:after="0"/>
              <w:jc w:val="center"/>
              <w:rPr>
                <w:lang w:val="zh-CN"/>
              </w:rPr>
            </w:pPr>
            <w:r w:rsidRPr="00536CFD">
              <w:rPr>
                <w:lang w:val="zh-CN"/>
              </w:rPr>
              <w:t>17.69</w:t>
            </w:r>
          </w:p>
        </w:tc>
        <w:tc>
          <w:tcPr>
            <w:tcW w:w="720" w:type="dxa"/>
            <w:tcBorders>
              <w:top w:val="single" w:sz="4" w:space="0" w:color="auto"/>
              <w:left w:val="nil"/>
              <w:bottom w:val="single" w:sz="4" w:space="0" w:color="auto"/>
              <w:right w:val="single" w:sz="4" w:space="0" w:color="auto"/>
            </w:tcBorders>
            <w:shd w:val="clear" w:color="auto" w:fill="auto"/>
            <w:vAlign w:val="bottom"/>
          </w:tcPr>
          <w:p w14:paraId="18EF0E5A" w14:textId="77777777" w:rsidR="009D4A93" w:rsidRPr="00536CFD" w:rsidRDefault="009D4A93" w:rsidP="00536CFD">
            <w:pPr>
              <w:pageBreakBefore/>
              <w:spacing w:after="0"/>
              <w:jc w:val="center"/>
              <w:rPr>
                <w:lang w:val="zh-CN"/>
              </w:rPr>
            </w:pPr>
            <w:r w:rsidRPr="00536CFD">
              <w:rPr>
                <w:lang w:val="zh-CN"/>
              </w:rPr>
              <w:t>38.7</w:t>
            </w:r>
          </w:p>
        </w:tc>
        <w:tc>
          <w:tcPr>
            <w:tcW w:w="720" w:type="dxa"/>
            <w:tcBorders>
              <w:top w:val="single" w:sz="4" w:space="0" w:color="auto"/>
              <w:left w:val="nil"/>
              <w:bottom w:val="single" w:sz="4" w:space="0" w:color="auto"/>
              <w:right w:val="single" w:sz="4" w:space="0" w:color="auto"/>
            </w:tcBorders>
            <w:shd w:val="clear" w:color="auto" w:fill="auto"/>
            <w:vAlign w:val="bottom"/>
          </w:tcPr>
          <w:p w14:paraId="26065FF3" w14:textId="77777777" w:rsidR="009D4A93" w:rsidRPr="00536CFD" w:rsidRDefault="009D4A93" w:rsidP="00536CFD">
            <w:pPr>
              <w:pageBreakBefore/>
              <w:spacing w:after="0"/>
              <w:jc w:val="center"/>
              <w:rPr>
                <w:lang w:val="zh-CN"/>
              </w:rPr>
            </w:pPr>
            <w:r w:rsidRPr="00536CFD">
              <w:rPr>
                <w:lang w:val="zh-CN"/>
              </w:rPr>
              <w:t>59.74</w:t>
            </w:r>
          </w:p>
        </w:tc>
      </w:tr>
      <w:tr w:rsidR="009D4A93" w:rsidRPr="00536CFD" w14:paraId="5FF9151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8026BC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FEEC03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550B38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5405238E" w14:textId="77777777" w:rsidR="009D4A93" w:rsidRPr="00536CFD" w:rsidRDefault="009D4A93" w:rsidP="009D4A93">
            <w:pPr>
              <w:spacing w:after="0"/>
              <w:jc w:val="center"/>
              <w:rPr>
                <w:lang w:val="zh-CN"/>
              </w:rPr>
            </w:pPr>
            <w:r w:rsidRPr="00536CFD">
              <w:rPr>
                <w:lang w:val="zh-CN"/>
              </w:rPr>
              <w:t>61.23</w:t>
            </w:r>
          </w:p>
        </w:tc>
        <w:tc>
          <w:tcPr>
            <w:tcW w:w="720" w:type="dxa"/>
            <w:tcBorders>
              <w:top w:val="single" w:sz="4" w:space="0" w:color="auto"/>
              <w:left w:val="nil"/>
              <w:bottom w:val="single" w:sz="4" w:space="0" w:color="auto"/>
              <w:right w:val="single" w:sz="4" w:space="0" w:color="auto"/>
            </w:tcBorders>
            <w:shd w:val="clear" w:color="auto" w:fill="auto"/>
            <w:vAlign w:val="bottom"/>
          </w:tcPr>
          <w:p w14:paraId="6431D7AC" w14:textId="77777777" w:rsidR="009D4A93" w:rsidRPr="00536CFD" w:rsidRDefault="009D4A93" w:rsidP="009D4A93">
            <w:pPr>
              <w:spacing w:after="0"/>
              <w:jc w:val="center"/>
              <w:rPr>
                <w:lang w:val="zh-CN"/>
              </w:rPr>
            </w:pPr>
            <w:r w:rsidRPr="00536CFD">
              <w:rPr>
                <w:lang w:val="zh-CN"/>
              </w:rPr>
              <w:t>71.65</w:t>
            </w:r>
          </w:p>
        </w:tc>
        <w:tc>
          <w:tcPr>
            <w:tcW w:w="720" w:type="dxa"/>
            <w:tcBorders>
              <w:top w:val="single" w:sz="4" w:space="0" w:color="auto"/>
              <w:left w:val="nil"/>
              <w:bottom w:val="single" w:sz="4" w:space="0" w:color="auto"/>
              <w:right w:val="single" w:sz="4" w:space="0" w:color="auto"/>
            </w:tcBorders>
            <w:shd w:val="clear" w:color="auto" w:fill="auto"/>
            <w:vAlign w:val="bottom"/>
          </w:tcPr>
          <w:p w14:paraId="672BE090" w14:textId="77777777" w:rsidR="009D4A93" w:rsidRPr="00536CFD" w:rsidRDefault="009D4A93" w:rsidP="009D4A93">
            <w:pPr>
              <w:spacing w:after="0"/>
              <w:jc w:val="center"/>
              <w:rPr>
                <w:lang w:val="zh-CN"/>
              </w:rPr>
            </w:pPr>
            <w:r w:rsidRPr="00536CFD">
              <w:rPr>
                <w:lang w:val="zh-CN"/>
              </w:rPr>
              <w:t>124.97</w:t>
            </w:r>
          </w:p>
        </w:tc>
        <w:tc>
          <w:tcPr>
            <w:tcW w:w="810" w:type="dxa"/>
            <w:tcBorders>
              <w:top w:val="single" w:sz="4" w:space="0" w:color="auto"/>
              <w:left w:val="nil"/>
              <w:bottom w:val="single" w:sz="4" w:space="0" w:color="auto"/>
              <w:right w:val="single" w:sz="4" w:space="0" w:color="auto"/>
            </w:tcBorders>
            <w:shd w:val="clear" w:color="auto" w:fill="auto"/>
            <w:vAlign w:val="bottom"/>
          </w:tcPr>
          <w:p w14:paraId="1952D08D" w14:textId="77777777" w:rsidR="009D4A93" w:rsidRPr="00536CFD" w:rsidRDefault="009D4A93" w:rsidP="009D4A93">
            <w:pPr>
              <w:spacing w:after="0"/>
              <w:jc w:val="center"/>
              <w:rPr>
                <w:lang w:val="zh-CN"/>
              </w:rPr>
            </w:pPr>
            <w:r w:rsidRPr="00536CFD">
              <w:rPr>
                <w:lang w:val="zh-CN"/>
              </w:rPr>
              <w:t>142.3</w:t>
            </w:r>
          </w:p>
        </w:tc>
        <w:tc>
          <w:tcPr>
            <w:tcW w:w="810" w:type="dxa"/>
            <w:tcBorders>
              <w:top w:val="single" w:sz="4" w:space="0" w:color="auto"/>
              <w:left w:val="nil"/>
              <w:bottom w:val="single" w:sz="4" w:space="0" w:color="auto"/>
              <w:right w:val="single" w:sz="4" w:space="0" w:color="auto"/>
            </w:tcBorders>
            <w:shd w:val="clear" w:color="auto" w:fill="auto"/>
            <w:vAlign w:val="bottom"/>
          </w:tcPr>
          <w:p w14:paraId="19177BB4" w14:textId="77777777" w:rsidR="009D4A93" w:rsidRPr="00536CFD" w:rsidRDefault="009D4A93" w:rsidP="009D4A93">
            <w:pPr>
              <w:spacing w:after="0"/>
              <w:jc w:val="center"/>
              <w:rPr>
                <w:lang w:val="zh-CN"/>
              </w:rPr>
            </w:pPr>
            <w:r w:rsidRPr="00536CFD">
              <w:rPr>
                <w:lang w:val="zh-CN"/>
              </w:rPr>
              <w:t>48.34</w:t>
            </w:r>
          </w:p>
        </w:tc>
        <w:tc>
          <w:tcPr>
            <w:tcW w:w="820" w:type="dxa"/>
            <w:tcBorders>
              <w:top w:val="single" w:sz="4" w:space="0" w:color="auto"/>
              <w:left w:val="nil"/>
              <w:bottom w:val="single" w:sz="4" w:space="0" w:color="auto"/>
              <w:right w:val="single" w:sz="4" w:space="0" w:color="auto"/>
            </w:tcBorders>
            <w:shd w:val="clear" w:color="auto" w:fill="auto"/>
            <w:vAlign w:val="bottom"/>
          </w:tcPr>
          <w:p w14:paraId="34F170FF" w14:textId="77777777" w:rsidR="009D4A93" w:rsidRPr="00536CFD" w:rsidRDefault="009D4A93" w:rsidP="009D4A93">
            <w:pPr>
              <w:spacing w:after="0"/>
              <w:jc w:val="center"/>
              <w:rPr>
                <w:lang w:val="zh-CN"/>
              </w:rPr>
            </w:pPr>
            <w:r w:rsidRPr="00536CFD">
              <w:rPr>
                <w:lang w:val="zh-CN"/>
              </w:rPr>
              <w:t>62.44</w:t>
            </w:r>
          </w:p>
        </w:tc>
        <w:tc>
          <w:tcPr>
            <w:tcW w:w="800" w:type="dxa"/>
            <w:tcBorders>
              <w:top w:val="single" w:sz="4" w:space="0" w:color="auto"/>
              <w:left w:val="nil"/>
              <w:bottom w:val="single" w:sz="4" w:space="0" w:color="auto"/>
              <w:right w:val="single" w:sz="4" w:space="0" w:color="auto"/>
            </w:tcBorders>
            <w:shd w:val="clear" w:color="auto" w:fill="auto"/>
            <w:vAlign w:val="bottom"/>
          </w:tcPr>
          <w:p w14:paraId="2D88C0DA" w14:textId="77777777" w:rsidR="009D4A93" w:rsidRPr="00536CFD" w:rsidRDefault="009D4A93" w:rsidP="009D4A93">
            <w:pPr>
              <w:spacing w:after="0"/>
              <w:jc w:val="center"/>
              <w:rPr>
                <w:lang w:val="zh-CN"/>
              </w:rPr>
            </w:pPr>
            <w:r w:rsidRPr="00536CFD">
              <w:rPr>
                <w:lang w:val="zh-CN"/>
              </w:rPr>
              <w:t>110.42</w:t>
            </w:r>
          </w:p>
        </w:tc>
        <w:tc>
          <w:tcPr>
            <w:tcW w:w="720" w:type="dxa"/>
            <w:tcBorders>
              <w:top w:val="single" w:sz="4" w:space="0" w:color="auto"/>
              <w:left w:val="nil"/>
              <w:bottom w:val="single" w:sz="4" w:space="0" w:color="auto"/>
              <w:right w:val="single" w:sz="4" w:space="0" w:color="auto"/>
            </w:tcBorders>
            <w:shd w:val="clear" w:color="auto" w:fill="auto"/>
            <w:vAlign w:val="bottom"/>
          </w:tcPr>
          <w:p w14:paraId="725B3958" w14:textId="77777777" w:rsidR="009D4A93" w:rsidRPr="00536CFD" w:rsidRDefault="009D4A93" w:rsidP="009D4A93">
            <w:pPr>
              <w:spacing w:after="0"/>
              <w:jc w:val="center"/>
              <w:rPr>
                <w:lang w:val="zh-CN"/>
              </w:rPr>
            </w:pPr>
            <w:r w:rsidRPr="00536CFD">
              <w:rPr>
                <w:lang w:val="zh-CN"/>
              </w:rPr>
              <w:t>135.79</w:t>
            </w:r>
          </w:p>
        </w:tc>
        <w:tc>
          <w:tcPr>
            <w:tcW w:w="724" w:type="dxa"/>
            <w:tcBorders>
              <w:top w:val="single" w:sz="4" w:space="0" w:color="auto"/>
              <w:left w:val="nil"/>
              <w:bottom w:val="single" w:sz="4" w:space="0" w:color="auto"/>
              <w:right w:val="single" w:sz="4" w:space="0" w:color="auto"/>
            </w:tcBorders>
            <w:shd w:val="clear" w:color="auto" w:fill="auto"/>
            <w:vAlign w:val="bottom"/>
          </w:tcPr>
          <w:p w14:paraId="30B3D01E" w14:textId="77777777" w:rsidR="009D4A93" w:rsidRPr="00536CFD" w:rsidRDefault="009D4A93" w:rsidP="009D4A93">
            <w:pPr>
              <w:spacing w:after="0"/>
              <w:jc w:val="center"/>
              <w:rPr>
                <w:lang w:val="zh-CN"/>
              </w:rPr>
            </w:pPr>
            <w:r w:rsidRPr="00536CFD">
              <w:rPr>
                <w:lang w:val="zh-CN"/>
              </w:rPr>
              <w:t>38.45</w:t>
            </w:r>
          </w:p>
        </w:tc>
        <w:tc>
          <w:tcPr>
            <w:tcW w:w="896" w:type="dxa"/>
            <w:tcBorders>
              <w:top w:val="single" w:sz="4" w:space="0" w:color="auto"/>
              <w:left w:val="nil"/>
              <w:bottom w:val="single" w:sz="4" w:space="0" w:color="auto"/>
              <w:right w:val="single" w:sz="4" w:space="0" w:color="auto"/>
            </w:tcBorders>
            <w:shd w:val="clear" w:color="auto" w:fill="auto"/>
            <w:vAlign w:val="bottom"/>
          </w:tcPr>
          <w:p w14:paraId="7D43DF25" w14:textId="77777777" w:rsidR="009D4A93" w:rsidRPr="00536CFD" w:rsidRDefault="009D4A93" w:rsidP="009D4A93">
            <w:pPr>
              <w:spacing w:after="0"/>
              <w:jc w:val="center"/>
              <w:rPr>
                <w:lang w:val="zh-CN"/>
              </w:rPr>
            </w:pPr>
            <w:r w:rsidRPr="00536CFD">
              <w:rPr>
                <w:lang w:val="zh-CN"/>
              </w:rPr>
              <w:t>54.9</w:t>
            </w:r>
          </w:p>
        </w:tc>
        <w:tc>
          <w:tcPr>
            <w:tcW w:w="720" w:type="dxa"/>
            <w:tcBorders>
              <w:top w:val="single" w:sz="4" w:space="0" w:color="auto"/>
              <w:left w:val="nil"/>
              <w:bottom w:val="single" w:sz="4" w:space="0" w:color="auto"/>
              <w:right w:val="single" w:sz="4" w:space="0" w:color="auto"/>
            </w:tcBorders>
            <w:shd w:val="clear" w:color="auto" w:fill="auto"/>
            <w:vAlign w:val="bottom"/>
          </w:tcPr>
          <w:p w14:paraId="2FD47CE3" w14:textId="77777777" w:rsidR="009D4A93" w:rsidRPr="00536CFD" w:rsidRDefault="009D4A93" w:rsidP="009D4A93">
            <w:pPr>
              <w:spacing w:after="0"/>
              <w:jc w:val="center"/>
              <w:rPr>
                <w:lang w:val="zh-CN"/>
              </w:rPr>
            </w:pPr>
            <w:r w:rsidRPr="00536CFD">
              <w:rPr>
                <w:lang w:val="zh-CN"/>
              </w:rPr>
              <w:t>93.18</w:t>
            </w:r>
          </w:p>
        </w:tc>
        <w:tc>
          <w:tcPr>
            <w:tcW w:w="720" w:type="dxa"/>
            <w:tcBorders>
              <w:top w:val="single" w:sz="4" w:space="0" w:color="auto"/>
              <w:left w:val="nil"/>
              <w:bottom w:val="single" w:sz="4" w:space="0" w:color="auto"/>
              <w:right w:val="single" w:sz="4" w:space="0" w:color="auto"/>
            </w:tcBorders>
            <w:shd w:val="clear" w:color="auto" w:fill="auto"/>
            <w:vAlign w:val="bottom"/>
          </w:tcPr>
          <w:p w14:paraId="05C7E06B" w14:textId="77777777" w:rsidR="009D4A93" w:rsidRPr="00536CFD" w:rsidRDefault="009D4A93" w:rsidP="009D4A93">
            <w:pPr>
              <w:spacing w:after="0"/>
              <w:jc w:val="center"/>
              <w:rPr>
                <w:lang w:val="zh-CN"/>
              </w:rPr>
            </w:pPr>
            <w:r w:rsidRPr="00536CFD">
              <w:rPr>
                <w:lang w:val="zh-CN"/>
              </w:rPr>
              <w:t>127.03</w:t>
            </w:r>
          </w:p>
        </w:tc>
      </w:tr>
      <w:tr w:rsidR="009D4A93" w:rsidRPr="00536CFD" w14:paraId="218462B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1AA808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512645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DA0EDA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41CAA791" w14:textId="77777777" w:rsidR="009D4A93" w:rsidRPr="00536CFD" w:rsidRDefault="009D4A93" w:rsidP="009D4A93">
            <w:pPr>
              <w:spacing w:after="0"/>
              <w:jc w:val="center"/>
              <w:rPr>
                <w:lang w:val="zh-CN"/>
              </w:rPr>
            </w:pPr>
            <w:r w:rsidRPr="00536CFD">
              <w:rPr>
                <w:lang w:val="zh-CN"/>
              </w:rPr>
              <w:t>109.37</w:t>
            </w:r>
          </w:p>
        </w:tc>
        <w:tc>
          <w:tcPr>
            <w:tcW w:w="720" w:type="dxa"/>
            <w:tcBorders>
              <w:top w:val="single" w:sz="4" w:space="0" w:color="auto"/>
              <w:left w:val="nil"/>
              <w:bottom w:val="single" w:sz="4" w:space="0" w:color="auto"/>
              <w:right w:val="single" w:sz="4" w:space="0" w:color="auto"/>
            </w:tcBorders>
            <w:shd w:val="clear" w:color="auto" w:fill="auto"/>
            <w:vAlign w:val="bottom"/>
          </w:tcPr>
          <w:p w14:paraId="168B357A" w14:textId="77777777" w:rsidR="009D4A93" w:rsidRPr="00536CFD" w:rsidRDefault="009D4A93" w:rsidP="009D4A93">
            <w:pPr>
              <w:spacing w:after="0"/>
              <w:jc w:val="center"/>
              <w:rPr>
                <w:lang w:val="zh-CN"/>
              </w:rPr>
            </w:pPr>
            <w:r w:rsidRPr="00536CFD">
              <w:rPr>
                <w:lang w:val="zh-CN"/>
              </w:rPr>
              <w:t>124.11</w:t>
            </w:r>
          </w:p>
        </w:tc>
        <w:tc>
          <w:tcPr>
            <w:tcW w:w="720" w:type="dxa"/>
            <w:tcBorders>
              <w:top w:val="single" w:sz="4" w:space="0" w:color="auto"/>
              <w:left w:val="nil"/>
              <w:bottom w:val="single" w:sz="4" w:space="0" w:color="auto"/>
              <w:right w:val="single" w:sz="4" w:space="0" w:color="auto"/>
            </w:tcBorders>
            <w:shd w:val="clear" w:color="auto" w:fill="auto"/>
            <w:vAlign w:val="bottom"/>
          </w:tcPr>
          <w:p w14:paraId="758F4DF4" w14:textId="77777777" w:rsidR="009D4A93" w:rsidRPr="00536CFD" w:rsidRDefault="009D4A93" w:rsidP="009D4A93">
            <w:pPr>
              <w:spacing w:after="0"/>
              <w:jc w:val="center"/>
              <w:rPr>
                <w:lang w:val="zh-CN"/>
              </w:rPr>
            </w:pPr>
            <w:r w:rsidRPr="00536CFD">
              <w:rPr>
                <w:lang w:val="zh-CN"/>
              </w:rPr>
              <w:t>160.51</w:t>
            </w:r>
          </w:p>
        </w:tc>
        <w:tc>
          <w:tcPr>
            <w:tcW w:w="810" w:type="dxa"/>
            <w:tcBorders>
              <w:top w:val="single" w:sz="4" w:space="0" w:color="auto"/>
              <w:left w:val="nil"/>
              <w:bottom w:val="single" w:sz="4" w:space="0" w:color="auto"/>
              <w:right w:val="single" w:sz="4" w:space="0" w:color="auto"/>
            </w:tcBorders>
            <w:shd w:val="clear" w:color="auto" w:fill="auto"/>
            <w:vAlign w:val="bottom"/>
          </w:tcPr>
          <w:p w14:paraId="15AE722B" w14:textId="77777777" w:rsidR="009D4A93" w:rsidRPr="00536CFD" w:rsidRDefault="009D4A93" w:rsidP="009D4A93">
            <w:pPr>
              <w:spacing w:after="0"/>
              <w:jc w:val="center"/>
              <w:rPr>
                <w:lang w:val="zh-CN"/>
              </w:rPr>
            </w:pPr>
            <w:r w:rsidRPr="00536CFD">
              <w:rPr>
                <w:lang w:val="zh-CN"/>
              </w:rPr>
              <w:t>167.97</w:t>
            </w:r>
          </w:p>
        </w:tc>
        <w:tc>
          <w:tcPr>
            <w:tcW w:w="810" w:type="dxa"/>
            <w:tcBorders>
              <w:top w:val="single" w:sz="4" w:space="0" w:color="auto"/>
              <w:left w:val="nil"/>
              <w:bottom w:val="single" w:sz="4" w:space="0" w:color="auto"/>
              <w:right w:val="single" w:sz="4" w:space="0" w:color="auto"/>
            </w:tcBorders>
            <w:shd w:val="clear" w:color="auto" w:fill="auto"/>
            <w:vAlign w:val="bottom"/>
          </w:tcPr>
          <w:p w14:paraId="605E9E15" w14:textId="77777777" w:rsidR="009D4A93" w:rsidRPr="00536CFD" w:rsidRDefault="009D4A93" w:rsidP="009D4A93">
            <w:pPr>
              <w:spacing w:after="0"/>
              <w:jc w:val="center"/>
              <w:rPr>
                <w:lang w:val="zh-CN"/>
              </w:rPr>
            </w:pPr>
            <w:r w:rsidRPr="00536CFD">
              <w:rPr>
                <w:lang w:val="zh-CN"/>
              </w:rPr>
              <w:t>98.69</w:t>
            </w:r>
          </w:p>
        </w:tc>
        <w:tc>
          <w:tcPr>
            <w:tcW w:w="820" w:type="dxa"/>
            <w:tcBorders>
              <w:top w:val="single" w:sz="4" w:space="0" w:color="auto"/>
              <w:left w:val="nil"/>
              <w:bottom w:val="single" w:sz="4" w:space="0" w:color="auto"/>
              <w:right w:val="single" w:sz="4" w:space="0" w:color="auto"/>
            </w:tcBorders>
            <w:shd w:val="clear" w:color="auto" w:fill="auto"/>
            <w:vAlign w:val="bottom"/>
          </w:tcPr>
          <w:p w14:paraId="28E369E4" w14:textId="77777777" w:rsidR="009D4A93" w:rsidRPr="00536CFD" w:rsidRDefault="009D4A93" w:rsidP="009D4A93">
            <w:pPr>
              <w:spacing w:after="0"/>
              <w:jc w:val="center"/>
              <w:rPr>
                <w:lang w:val="zh-CN"/>
              </w:rPr>
            </w:pPr>
            <w:r w:rsidRPr="00536CFD">
              <w:rPr>
                <w:lang w:val="zh-CN"/>
              </w:rPr>
              <w:t>117.26</w:t>
            </w:r>
          </w:p>
        </w:tc>
        <w:tc>
          <w:tcPr>
            <w:tcW w:w="800" w:type="dxa"/>
            <w:tcBorders>
              <w:top w:val="single" w:sz="4" w:space="0" w:color="auto"/>
              <w:left w:val="nil"/>
              <w:bottom w:val="single" w:sz="4" w:space="0" w:color="auto"/>
              <w:right w:val="single" w:sz="4" w:space="0" w:color="auto"/>
            </w:tcBorders>
            <w:shd w:val="clear" w:color="auto" w:fill="auto"/>
            <w:vAlign w:val="bottom"/>
          </w:tcPr>
          <w:p w14:paraId="376216A3" w14:textId="77777777" w:rsidR="009D4A93" w:rsidRPr="00536CFD" w:rsidRDefault="009D4A93" w:rsidP="009D4A93">
            <w:pPr>
              <w:spacing w:after="0"/>
              <w:jc w:val="center"/>
              <w:rPr>
                <w:lang w:val="zh-CN"/>
              </w:rPr>
            </w:pPr>
            <w:r w:rsidRPr="00536CFD">
              <w:rPr>
                <w:lang w:val="zh-CN"/>
              </w:rPr>
              <w:t>153.25</w:t>
            </w:r>
          </w:p>
        </w:tc>
        <w:tc>
          <w:tcPr>
            <w:tcW w:w="720" w:type="dxa"/>
            <w:tcBorders>
              <w:top w:val="single" w:sz="4" w:space="0" w:color="auto"/>
              <w:left w:val="nil"/>
              <w:bottom w:val="single" w:sz="4" w:space="0" w:color="auto"/>
              <w:right w:val="single" w:sz="4" w:space="0" w:color="auto"/>
            </w:tcBorders>
            <w:shd w:val="clear" w:color="auto" w:fill="auto"/>
            <w:vAlign w:val="bottom"/>
          </w:tcPr>
          <w:p w14:paraId="490B37A4" w14:textId="77777777" w:rsidR="009D4A93" w:rsidRPr="00536CFD" w:rsidRDefault="009D4A93" w:rsidP="009D4A93">
            <w:pPr>
              <w:spacing w:after="0"/>
              <w:jc w:val="center"/>
              <w:rPr>
                <w:lang w:val="zh-CN"/>
              </w:rPr>
            </w:pPr>
            <w:r w:rsidRPr="00536CFD">
              <w:rPr>
                <w:lang w:val="zh-CN"/>
              </w:rPr>
              <w:t>165.12</w:t>
            </w:r>
          </w:p>
        </w:tc>
        <w:tc>
          <w:tcPr>
            <w:tcW w:w="724" w:type="dxa"/>
            <w:tcBorders>
              <w:top w:val="single" w:sz="4" w:space="0" w:color="auto"/>
              <w:left w:val="nil"/>
              <w:bottom w:val="single" w:sz="4" w:space="0" w:color="auto"/>
              <w:right w:val="single" w:sz="4" w:space="0" w:color="auto"/>
            </w:tcBorders>
            <w:shd w:val="clear" w:color="auto" w:fill="auto"/>
            <w:vAlign w:val="bottom"/>
          </w:tcPr>
          <w:p w14:paraId="4E6272E8" w14:textId="77777777" w:rsidR="009D4A93" w:rsidRPr="00536CFD" w:rsidRDefault="009D4A93" w:rsidP="009D4A93">
            <w:pPr>
              <w:spacing w:after="0"/>
              <w:jc w:val="center"/>
              <w:rPr>
                <w:lang w:val="zh-CN"/>
              </w:rPr>
            </w:pPr>
            <w:r w:rsidRPr="00536CFD">
              <w:rPr>
                <w:lang w:val="zh-CN"/>
              </w:rPr>
              <w:t>87.09</w:t>
            </w:r>
          </w:p>
        </w:tc>
        <w:tc>
          <w:tcPr>
            <w:tcW w:w="896" w:type="dxa"/>
            <w:tcBorders>
              <w:top w:val="single" w:sz="4" w:space="0" w:color="auto"/>
              <w:left w:val="nil"/>
              <w:bottom w:val="single" w:sz="4" w:space="0" w:color="auto"/>
              <w:right w:val="single" w:sz="4" w:space="0" w:color="auto"/>
            </w:tcBorders>
            <w:shd w:val="clear" w:color="auto" w:fill="auto"/>
            <w:vAlign w:val="bottom"/>
          </w:tcPr>
          <w:p w14:paraId="31DF1070" w14:textId="77777777" w:rsidR="009D4A93" w:rsidRPr="00536CFD" w:rsidRDefault="009D4A93" w:rsidP="009D4A93">
            <w:pPr>
              <w:spacing w:after="0"/>
              <w:jc w:val="center"/>
              <w:rPr>
                <w:lang w:val="zh-CN"/>
              </w:rPr>
            </w:pPr>
            <w:r w:rsidRPr="00536CFD">
              <w:rPr>
                <w:lang w:val="zh-CN"/>
              </w:rPr>
              <w:t>108.19</w:t>
            </w:r>
          </w:p>
        </w:tc>
        <w:tc>
          <w:tcPr>
            <w:tcW w:w="720" w:type="dxa"/>
            <w:tcBorders>
              <w:top w:val="single" w:sz="4" w:space="0" w:color="auto"/>
              <w:left w:val="nil"/>
              <w:bottom w:val="single" w:sz="4" w:space="0" w:color="auto"/>
              <w:right w:val="single" w:sz="4" w:space="0" w:color="auto"/>
            </w:tcBorders>
            <w:shd w:val="clear" w:color="auto" w:fill="auto"/>
            <w:vAlign w:val="bottom"/>
          </w:tcPr>
          <w:p w14:paraId="55867094" w14:textId="77777777" w:rsidR="009D4A93" w:rsidRPr="00536CFD" w:rsidRDefault="009D4A93" w:rsidP="009D4A93">
            <w:pPr>
              <w:spacing w:after="0"/>
              <w:jc w:val="center"/>
              <w:rPr>
                <w:lang w:val="zh-CN"/>
              </w:rPr>
            </w:pPr>
            <w:r w:rsidRPr="00536CFD">
              <w:rPr>
                <w:lang w:val="zh-CN"/>
              </w:rPr>
              <w:t>146.81</w:t>
            </w:r>
          </w:p>
        </w:tc>
        <w:tc>
          <w:tcPr>
            <w:tcW w:w="720" w:type="dxa"/>
            <w:tcBorders>
              <w:top w:val="single" w:sz="4" w:space="0" w:color="auto"/>
              <w:left w:val="nil"/>
              <w:bottom w:val="single" w:sz="4" w:space="0" w:color="auto"/>
              <w:right w:val="single" w:sz="4" w:space="0" w:color="auto"/>
            </w:tcBorders>
            <w:shd w:val="clear" w:color="auto" w:fill="auto"/>
            <w:vAlign w:val="bottom"/>
          </w:tcPr>
          <w:p w14:paraId="2199BA14" w14:textId="77777777" w:rsidR="009D4A93" w:rsidRPr="00536CFD" w:rsidRDefault="009D4A93" w:rsidP="009D4A93">
            <w:pPr>
              <w:spacing w:after="0"/>
              <w:jc w:val="center"/>
              <w:rPr>
                <w:lang w:val="zh-CN"/>
              </w:rPr>
            </w:pPr>
            <w:r w:rsidRPr="00536CFD">
              <w:rPr>
                <w:lang w:val="zh-CN"/>
              </w:rPr>
              <w:t>162.44</w:t>
            </w:r>
          </w:p>
        </w:tc>
      </w:tr>
      <w:tr w:rsidR="009D4A93" w:rsidRPr="00536CFD" w14:paraId="1796E6E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ECBCAF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B36405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B4E547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570C4348" w14:textId="77777777" w:rsidR="009D4A93" w:rsidRPr="00536CFD" w:rsidRDefault="009D4A93" w:rsidP="009D4A93">
            <w:pPr>
              <w:spacing w:after="0"/>
              <w:jc w:val="center"/>
              <w:rPr>
                <w:lang w:val="zh-CN"/>
              </w:rPr>
            </w:pPr>
            <w:r w:rsidRPr="00536CFD">
              <w:rPr>
                <w:lang w:val="zh-CN"/>
              </w:rPr>
              <w:t>63.36</w:t>
            </w:r>
          </w:p>
        </w:tc>
        <w:tc>
          <w:tcPr>
            <w:tcW w:w="720" w:type="dxa"/>
            <w:tcBorders>
              <w:top w:val="single" w:sz="4" w:space="0" w:color="auto"/>
              <w:left w:val="nil"/>
              <w:bottom w:val="single" w:sz="4" w:space="0" w:color="auto"/>
              <w:right w:val="single" w:sz="4" w:space="0" w:color="auto"/>
            </w:tcBorders>
            <w:shd w:val="clear" w:color="auto" w:fill="auto"/>
            <w:vAlign w:val="bottom"/>
          </w:tcPr>
          <w:p w14:paraId="0C7E1560" w14:textId="77777777" w:rsidR="009D4A93" w:rsidRPr="00536CFD" w:rsidRDefault="009D4A93" w:rsidP="009D4A93">
            <w:pPr>
              <w:spacing w:after="0"/>
              <w:jc w:val="center"/>
              <w:rPr>
                <w:lang w:val="zh-CN"/>
              </w:rPr>
            </w:pPr>
            <w:r w:rsidRPr="00536CFD">
              <w:rPr>
                <w:lang w:val="zh-CN"/>
              </w:rPr>
              <w:t>74.51</w:t>
            </w:r>
          </w:p>
        </w:tc>
        <w:tc>
          <w:tcPr>
            <w:tcW w:w="720" w:type="dxa"/>
            <w:tcBorders>
              <w:top w:val="single" w:sz="4" w:space="0" w:color="auto"/>
              <w:left w:val="nil"/>
              <w:bottom w:val="single" w:sz="4" w:space="0" w:color="auto"/>
              <w:right w:val="single" w:sz="4" w:space="0" w:color="auto"/>
            </w:tcBorders>
            <w:shd w:val="clear" w:color="auto" w:fill="auto"/>
            <w:vAlign w:val="bottom"/>
          </w:tcPr>
          <w:p w14:paraId="5C06ACC9" w14:textId="77777777" w:rsidR="009D4A93" w:rsidRPr="00536CFD" w:rsidRDefault="009D4A93" w:rsidP="009D4A93">
            <w:pPr>
              <w:spacing w:after="0"/>
              <w:jc w:val="center"/>
              <w:rPr>
                <w:lang w:val="zh-CN"/>
              </w:rPr>
            </w:pPr>
            <w:r w:rsidRPr="00536CFD">
              <w:rPr>
                <w:lang w:val="zh-CN"/>
              </w:rPr>
              <w:t>119.86</w:t>
            </w:r>
          </w:p>
        </w:tc>
        <w:tc>
          <w:tcPr>
            <w:tcW w:w="810" w:type="dxa"/>
            <w:tcBorders>
              <w:top w:val="single" w:sz="4" w:space="0" w:color="auto"/>
              <w:left w:val="nil"/>
              <w:bottom w:val="single" w:sz="4" w:space="0" w:color="auto"/>
              <w:right w:val="single" w:sz="4" w:space="0" w:color="auto"/>
            </w:tcBorders>
            <w:shd w:val="clear" w:color="auto" w:fill="auto"/>
            <w:vAlign w:val="bottom"/>
          </w:tcPr>
          <w:p w14:paraId="071F7B9B" w14:textId="77777777" w:rsidR="009D4A93" w:rsidRPr="00536CFD" w:rsidRDefault="009D4A93" w:rsidP="009D4A93">
            <w:pPr>
              <w:spacing w:after="0"/>
              <w:jc w:val="center"/>
              <w:rPr>
                <w:lang w:val="zh-CN"/>
              </w:rPr>
            </w:pPr>
            <w:r w:rsidRPr="00536CFD">
              <w:rPr>
                <w:lang w:val="zh-CN"/>
              </w:rPr>
              <w:t>134.15</w:t>
            </w:r>
          </w:p>
        </w:tc>
        <w:tc>
          <w:tcPr>
            <w:tcW w:w="810" w:type="dxa"/>
            <w:tcBorders>
              <w:top w:val="single" w:sz="4" w:space="0" w:color="auto"/>
              <w:left w:val="nil"/>
              <w:bottom w:val="single" w:sz="4" w:space="0" w:color="auto"/>
              <w:right w:val="single" w:sz="4" w:space="0" w:color="auto"/>
            </w:tcBorders>
            <w:shd w:val="clear" w:color="auto" w:fill="auto"/>
            <w:vAlign w:val="bottom"/>
          </w:tcPr>
          <w:p w14:paraId="5DD5A1F4" w14:textId="77777777" w:rsidR="009D4A93" w:rsidRPr="00536CFD" w:rsidRDefault="009D4A93" w:rsidP="009D4A93">
            <w:pPr>
              <w:spacing w:after="0"/>
              <w:jc w:val="center"/>
              <w:rPr>
                <w:lang w:val="zh-CN"/>
              </w:rPr>
            </w:pPr>
            <w:r w:rsidRPr="00536CFD">
              <w:rPr>
                <w:lang w:val="zh-CN"/>
              </w:rPr>
              <w:t>51.71</w:t>
            </w:r>
          </w:p>
        </w:tc>
        <w:tc>
          <w:tcPr>
            <w:tcW w:w="820" w:type="dxa"/>
            <w:tcBorders>
              <w:top w:val="single" w:sz="4" w:space="0" w:color="auto"/>
              <w:left w:val="nil"/>
              <w:bottom w:val="single" w:sz="4" w:space="0" w:color="auto"/>
              <w:right w:val="single" w:sz="4" w:space="0" w:color="auto"/>
            </w:tcBorders>
            <w:shd w:val="clear" w:color="auto" w:fill="auto"/>
            <w:vAlign w:val="bottom"/>
          </w:tcPr>
          <w:p w14:paraId="67B2F3C4" w14:textId="77777777" w:rsidR="009D4A93" w:rsidRPr="00536CFD" w:rsidRDefault="009D4A93" w:rsidP="009D4A93">
            <w:pPr>
              <w:spacing w:after="0"/>
              <w:jc w:val="center"/>
              <w:rPr>
                <w:lang w:val="zh-CN"/>
              </w:rPr>
            </w:pPr>
            <w:r w:rsidRPr="00536CFD">
              <w:rPr>
                <w:lang w:val="zh-CN"/>
              </w:rPr>
              <w:t>68.02</w:t>
            </w:r>
          </w:p>
        </w:tc>
        <w:tc>
          <w:tcPr>
            <w:tcW w:w="800" w:type="dxa"/>
            <w:tcBorders>
              <w:top w:val="single" w:sz="4" w:space="0" w:color="auto"/>
              <w:left w:val="nil"/>
              <w:bottom w:val="single" w:sz="4" w:space="0" w:color="auto"/>
              <w:right w:val="single" w:sz="4" w:space="0" w:color="auto"/>
            </w:tcBorders>
            <w:shd w:val="clear" w:color="auto" w:fill="auto"/>
            <w:vAlign w:val="bottom"/>
          </w:tcPr>
          <w:p w14:paraId="573E9625" w14:textId="77777777" w:rsidR="009D4A93" w:rsidRPr="00536CFD" w:rsidRDefault="009D4A93" w:rsidP="009D4A93">
            <w:pPr>
              <w:spacing w:after="0"/>
              <w:jc w:val="center"/>
              <w:rPr>
                <w:lang w:val="zh-CN"/>
              </w:rPr>
            </w:pPr>
            <w:r w:rsidRPr="00536CFD">
              <w:rPr>
                <w:lang w:val="zh-CN"/>
              </w:rPr>
              <w:t>106.8</w:t>
            </w:r>
          </w:p>
        </w:tc>
        <w:tc>
          <w:tcPr>
            <w:tcW w:w="720" w:type="dxa"/>
            <w:tcBorders>
              <w:top w:val="single" w:sz="4" w:space="0" w:color="auto"/>
              <w:left w:val="nil"/>
              <w:bottom w:val="single" w:sz="4" w:space="0" w:color="auto"/>
              <w:right w:val="single" w:sz="4" w:space="0" w:color="auto"/>
            </w:tcBorders>
            <w:shd w:val="clear" w:color="auto" w:fill="auto"/>
            <w:vAlign w:val="bottom"/>
          </w:tcPr>
          <w:p w14:paraId="1712F185" w14:textId="77777777" w:rsidR="009D4A93" w:rsidRPr="00536CFD" w:rsidRDefault="009D4A93" w:rsidP="009D4A93">
            <w:pPr>
              <w:spacing w:after="0"/>
              <w:jc w:val="center"/>
              <w:rPr>
                <w:lang w:val="zh-CN"/>
              </w:rPr>
            </w:pPr>
            <w:r w:rsidRPr="00536CFD">
              <w:rPr>
                <w:lang w:val="zh-CN"/>
              </w:rPr>
              <w:t>128.18</w:t>
            </w:r>
          </w:p>
        </w:tc>
        <w:tc>
          <w:tcPr>
            <w:tcW w:w="724" w:type="dxa"/>
            <w:tcBorders>
              <w:top w:val="single" w:sz="4" w:space="0" w:color="auto"/>
              <w:left w:val="nil"/>
              <w:bottom w:val="single" w:sz="4" w:space="0" w:color="auto"/>
              <w:right w:val="single" w:sz="4" w:space="0" w:color="auto"/>
            </w:tcBorders>
            <w:shd w:val="clear" w:color="auto" w:fill="auto"/>
            <w:vAlign w:val="bottom"/>
          </w:tcPr>
          <w:p w14:paraId="4CC83A41" w14:textId="77777777" w:rsidR="009D4A93" w:rsidRPr="00536CFD" w:rsidRDefault="009D4A93" w:rsidP="009D4A93">
            <w:pPr>
              <w:spacing w:after="0"/>
              <w:jc w:val="center"/>
              <w:rPr>
                <w:lang w:val="zh-CN"/>
              </w:rPr>
            </w:pPr>
            <w:r w:rsidRPr="00536CFD">
              <w:rPr>
                <w:lang w:val="zh-CN"/>
              </w:rPr>
              <w:t>40.64</w:t>
            </w:r>
          </w:p>
        </w:tc>
        <w:tc>
          <w:tcPr>
            <w:tcW w:w="896" w:type="dxa"/>
            <w:tcBorders>
              <w:top w:val="single" w:sz="4" w:space="0" w:color="auto"/>
              <w:left w:val="nil"/>
              <w:bottom w:val="single" w:sz="4" w:space="0" w:color="auto"/>
              <w:right w:val="single" w:sz="4" w:space="0" w:color="auto"/>
            </w:tcBorders>
            <w:shd w:val="clear" w:color="auto" w:fill="auto"/>
            <w:vAlign w:val="bottom"/>
          </w:tcPr>
          <w:p w14:paraId="386FBFA2" w14:textId="77777777" w:rsidR="009D4A93" w:rsidRPr="00536CFD" w:rsidRDefault="009D4A93" w:rsidP="009D4A93">
            <w:pPr>
              <w:spacing w:after="0"/>
              <w:jc w:val="center"/>
              <w:rPr>
                <w:lang w:val="zh-CN"/>
              </w:rPr>
            </w:pPr>
            <w:r w:rsidRPr="00536CFD">
              <w:rPr>
                <w:lang w:val="zh-CN"/>
              </w:rPr>
              <w:t>59.64</w:t>
            </w:r>
          </w:p>
        </w:tc>
        <w:tc>
          <w:tcPr>
            <w:tcW w:w="720" w:type="dxa"/>
            <w:tcBorders>
              <w:top w:val="single" w:sz="4" w:space="0" w:color="auto"/>
              <w:left w:val="nil"/>
              <w:bottom w:val="single" w:sz="4" w:space="0" w:color="auto"/>
              <w:right w:val="single" w:sz="4" w:space="0" w:color="auto"/>
            </w:tcBorders>
            <w:shd w:val="clear" w:color="auto" w:fill="auto"/>
            <w:vAlign w:val="bottom"/>
          </w:tcPr>
          <w:p w14:paraId="32177288" w14:textId="77777777" w:rsidR="009D4A93" w:rsidRPr="00536CFD" w:rsidRDefault="009D4A93" w:rsidP="009D4A93">
            <w:pPr>
              <w:spacing w:after="0"/>
              <w:jc w:val="center"/>
              <w:rPr>
                <w:lang w:val="zh-CN"/>
              </w:rPr>
            </w:pPr>
            <w:r w:rsidRPr="00536CFD">
              <w:rPr>
                <w:lang w:val="zh-CN"/>
              </w:rPr>
              <w:t>92.17</w:t>
            </w:r>
          </w:p>
        </w:tc>
        <w:tc>
          <w:tcPr>
            <w:tcW w:w="720" w:type="dxa"/>
            <w:tcBorders>
              <w:top w:val="single" w:sz="4" w:space="0" w:color="auto"/>
              <w:left w:val="nil"/>
              <w:bottom w:val="single" w:sz="4" w:space="0" w:color="auto"/>
              <w:right w:val="single" w:sz="4" w:space="0" w:color="auto"/>
            </w:tcBorders>
            <w:shd w:val="clear" w:color="auto" w:fill="auto"/>
            <w:vAlign w:val="bottom"/>
          </w:tcPr>
          <w:p w14:paraId="4891AC97" w14:textId="77777777" w:rsidR="009D4A93" w:rsidRPr="00536CFD" w:rsidRDefault="009D4A93" w:rsidP="009D4A93">
            <w:pPr>
              <w:spacing w:after="0"/>
              <w:jc w:val="center"/>
              <w:rPr>
                <w:lang w:val="zh-CN"/>
              </w:rPr>
            </w:pPr>
            <w:r w:rsidRPr="00536CFD">
              <w:rPr>
                <w:lang w:val="zh-CN"/>
              </w:rPr>
              <w:t>121.98</w:t>
            </w:r>
          </w:p>
        </w:tc>
      </w:tr>
      <w:tr w:rsidR="009D4A93" w:rsidRPr="00536CFD" w14:paraId="6995DD5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32457A0"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744261B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31AB024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0883D13D"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43FECA68" w14:textId="77777777" w:rsidR="009D4A93" w:rsidRPr="00536CFD" w:rsidRDefault="009D4A93" w:rsidP="009D4A93">
            <w:pPr>
              <w:spacing w:after="0"/>
              <w:jc w:val="center"/>
              <w:rPr>
                <w:lang w:val="zh-CN"/>
              </w:rPr>
            </w:pPr>
            <w:r w:rsidRPr="00536CFD">
              <w:rPr>
                <w:lang w:val="zh-CN"/>
              </w:rPr>
              <w:t>0.028</w:t>
            </w:r>
          </w:p>
        </w:tc>
        <w:tc>
          <w:tcPr>
            <w:tcW w:w="720" w:type="dxa"/>
            <w:tcBorders>
              <w:top w:val="single" w:sz="4" w:space="0" w:color="auto"/>
              <w:left w:val="nil"/>
              <w:bottom w:val="single" w:sz="4" w:space="0" w:color="auto"/>
              <w:right w:val="single" w:sz="4" w:space="0" w:color="auto"/>
            </w:tcBorders>
            <w:shd w:val="clear" w:color="auto" w:fill="auto"/>
            <w:vAlign w:val="bottom"/>
          </w:tcPr>
          <w:p w14:paraId="20A7C8EE"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5FD4216F"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68138A65" w14:textId="77777777" w:rsidR="009D4A93" w:rsidRPr="00536CFD" w:rsidRDefault="009D4A93" w:rsidP="009D4A93">
            <w:pPr>
              <w:spacing w:after="0"/>
              <w:jc w:val="center"/>
              <w:rPr>
                <w:lang w:val="zh-CN"/>
              </w:rPr>
            </w:pPr>
            <w:r w:rsidRPr="00536CFD">
              <w:rPr>
                <w:lang w:val="zh-CN"/>
              </w:rPr>
              <w:t>0.031</w:t>
            </w:r>
          </w:p>
        </w:tc>
        <w:tc>
          <w:tcPr>
            <w:tcW w:w="820" w:type="dxa"/>
            <w:tcBorders>
              <w:top w:val="single" w:sz="4" w:space="0" w:color="auto"/>
              <w:left w:val="nil"/>
              <w:bottom w:val="single" w:sz="4" w:space="0" w:color="auto"/>
              <w:right w:val="single" w:sz="4" w:space="0" w:color="auto"/>
            </w:tcBorders>
            <w:shd w:val="clear" w:color="auto" w:fill="auto"/>
            <w:vAlign w:val="bottom"/>
          </w:tcPr>
          <w:p w14:paraId="50B1342F" w14:textId="77777777" w:rsidR="009D4A93" w:rsidRPr="00536CFD" w:rsidRDefault="009D4A93" w:rsidP="009D4A93">
            <w:pPr>
              <w:spacing w:after="0"/>
              <w:jc w:val="center"/>
              <w:rPr>
                <w:lang w:val="zh-CN"/>
              </w:rPr>
            </w:pPr>
            <w:r w:rsidRPr="00536CFD">
              <w:rPr>
                <w:lang w:val="zh-CN"/>
              </w:rPr>
              <w:t>0.029</w:t>
            </w:r>
          </w:p>
        </w:tc>
        <w:tc>
          <w:tcPr>
            <w:tcW w:w="800" w:type="dxa"/>
            <w:tcBorders>
              <w:top w:val="single" w:sz="4" w:space="0" w:color="auto"/>
              <w:left w:val="nil"/>
              <w:bottom w:val="single" w:sz="4" w:space="0" w:color="auto"/>
              <w:right w:val="single" w:sz="4" w:space="0" w:color="auto"/>
            </w:tcBorders>
            <w:shd w:val="clear" w:color="auto" w:fill="auto"/>
            <w:vAlign w:val="bottom"/>
          </w:tcPr>
          <w:p w14:paraId="392BD3B4"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6165780E" w14:textId="77777777" w:rsidR="009D4A93" w:rsidRPr="00536CFD" w:rsidRDefault="009D4A93" w:rsidP="009D4A93">
            <w:pPr>
              <w:spacing w:after="0"/>
              <w:jc w:val="center"/>
              <w:rPr>
                <w:lang w:val="zh-CN"/>
              </w:rPr>
            </w:pPr>
            <w:r w:rsidRPr="00536CFD">
              <w:rPr>
                <w:lang w:val="zh-CN"/>
              </w:rPr>
              <w:t>0.02</w:t>
            </w:r>
          </w:p>
        </w:tc>
        <w:tc>
          <w:tcPr>
            <w:tcW w:w="724" w:type="dxa"/>
            <w:tcBorders>
              <w:top w:val="single" w:sz="4" w:space="0" w:color="auto"/>
              <w:left w:val="nil"/>
              <w:bottom w:val="single" w:sz="4" w:space="0" w:color="auto"/>
              <w:right w:val="single" w:sz="4" w:space="0" w:color="auto"/>
            </w:tcBorders>
            <w:shd w:val="clear" w:color="auto" w:fill="auto"/>
            <w:vAlign w:val="bottom"/>
          </w:tcPr>
          <w:p w14:paraId="0CBB9EDC" w14:textId="77777777" w:rsidR="009D4A93" w:rsidRPr="00536CFD" w:rsidRDefault="009D4A93" w:rsidP="009D4A93">
            <w:pPr>
              <w:spacing w:after="0"/>
              <w:jc w:val="center"/>
              <w:rPr>
                <w:lang w:val="zh-CN"/>
              </w:rPr>
            </w:pPr>
            <w:r w:rsidRPr="00536CFD">
              <w:rPr>
                <w:lang w:val="zh-CN"/>
              </w:rPr>
              <w:t>0.035</w:t>
            </w:r>
          </w:p>
        </w:tc>
        <w:tc>
          <w:tcPr>
            <w:tcW w:w="896" w:type="dxa"/>
            <w:tcBorders>
              <w:top w:val="single" w:sz="4" w:space="0" w:color="auto"/>
              <w:left w:val="nil"/>
              <w:bottom w:val="single" w:sz="4" w:space="0" w:color="auto"/>
              <w:right w:val="single" w:sz="4" w:space="0" w:color="auto"/>
            </w:tcBorders>
            <w:shd w:val="clear" w:color="auto" w:fill="auto"/>
            <w:vAlign w:val="bottom"/>
          </w:tcPr>
          <w:p w14:paraId="14CA155F"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27A2A0E0"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2502702B" w14:textId="77777777" w:rsidR="009D4A93" w:rsidRPr="00536CFD" w:rsidRDefault="009D4A93" w:rsidP="009D4A93">
            <w:pPr>
              <w:spacing w:after="0"/>
              <w:jc w:val="center"/>
              <w:rPr>
                <w:lang w:val="zh-CN"/>
              </w:rPr>
            </w:pPr>
            <w:r w:rsidRPr="00536CFD">
              <w:rPr>
                <w:lang w:val="zh-CN"/>
              </w:rPr>
              <w:t>0.021</w:t>
            </w:r>
          </w:p>
        </w:tc>
      </w:tr>
      <w:tr w:rsidR="009D4A93" w:rsidRPr="00536CFD" w14:paraId="40E2ABE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5592387"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7B4D27A"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EFB636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7D20E1B2" w14:textId="77777777" w:rsidR="009D4A93" w:rsidRPr="00536CFD" w:rsidRDefault="009D4A93" w:rsidP="009D4A93">
            <w:pPr>
              <w:spacing w:after="0"/>
              <w:jc w:val="center"/>
              <w:rPr>
                <w:lang w:val="zh-CN"/>
              </w:rPr>
            </w:pPr>
            <w:r w:rsidRPr="00536CFD">
              <w:rPr>
                <w:lang w:val="zh-CN"/>
              </w:rPr>
              <w:t>0.065</w:t>
            </w:r>
          </w:p>
        </w:tc>
        <w:tc>
          <w:tcPr>
            <w:tcW w:w="720" w:type="dxa"/>
            <w:tcBorders>
              <w:top w:val="single" w:sz="4" w:space="0" w:color="auto"/>
              <w:left w:val="nil"/>
              <w:bottom w:val="single" w:sz="4" w:space="0" w:color="auto"/>
              <w:right w:val="single" w:sz="4" w:space="0" w:color="auto"/>
            </w:tcBorders>
            <w:shd w:val="clear" w:color="auto" w:fill="auto"/>
            <w:vAlign w:val="bottom"/>
          </w:tcPr>
          <w:p w14:paraId="717F58DB" w14:textId="77777777" w:rsidR="009D4A93" w:rsidRPr="00536CFD" w:rsidRDefault="009D4A93" w:rsidP="009D4A93">
            <w:pPr>
              <w:spacing w:after="0"/>
              <w:jc w:val="center"/>
              <w:rPr>
                <w:lang w:val="zh-CN"/>
              </w:rPr>
            </w:pPr>
            <w:r w:rsidRPr="00536CFD">
              <w:rPr>
                <w:lang w:val="zh-CN"/>
              </w:rPr>
              <w:t>0.058</w:t>
            </w:r>
          </w:p>
        </w:tc>
        <w:tc>
          <w:tcPr>
            <w:tcW w:w="720" w:type="dxa"/>
            <w:tcBorders>
              <w:top w:val="single" w:sz="4" w:space="0" w:color="auto"/>
              <w:left w:val="nil"/>
              <w:bottom w:val="single" w:sz="4" w:space="0" w:color="auto"/>
              <w:right w:val="single" w:sz="4" w:space="0" w:color="auto"/>
            </w:tcBorders>
            <w:shd w:val="clear" w:color="auto" w:fill="auto"/>
            <w:vAlign w:val="bottom"/>
          </w:tcPr>
          <w:p w14:paraId="3D80B8AD" w14:textId="77777777" w:rsidR="009D4A93" w:rsidRPr="00536CFD" w:rsidRDefault="009D4A93" w:rsidP="009D4A93">
            <w:pPr>
              <w:spacing w:after="0"/>
              <w:jc w:val="center"/>
              <w:rPr>
                <w:lang w:val="zh-CN"/>
              </w:rPr>
            </w:pPr>
            <w:r w:rsidRPr="00536CFD">
              <w:rPr>
                <w:lang w:val="zh-CN"/>
              </w:rPr>
              <w:t>0.029</w:t>
            </w:r>
          </w:p>
        </w:tc>
        <w:tc>
          <w:tcPr>
            <w:tcW w:w="810" w:type="dxa"/>
            <w:tcBorders>
              <w:top w:val="single" w:sz="4" w:space="0" w:color="auto"/>
              <w:left w:val="nil"/>
              <w:bottom w:val="single" w:sz="4" w:space="0" w:color="auto"/>
              <w:right w:val="single" w:sz="4" w:space="0" w:color="auto"/>
            </w:tcBorders>
            <w:shd w:val="clear" w:color="auto" w:fill="auto"/>
            <w:vAlign w:val="bottom"/>
          </w:tcPr>
          <w:p w14:paraId="0E39AD14" w14:textId="77777777" w:rsidR="009D4A93" w:rsidRPr="00536CFD" w:rsidRDefault="009D4A93" w:rsidP="009D4A93">
            <w:pPr>
              <w:spacing w:after="0"/>
              <w:jc w:val="center"/>
              <w:rPr>
                <w:lang w:val="zh-CN"/>
              </w:rPr>
            </w:pPr>
            <w:r w:rsidRPr="00536CFD">
              <w:rPr>
                <w:lang w:val="zh-CN"/>
              </w:rPr>
              <w:t>0.026</w:t>
            </w:r>
          </w:p>
        </w:tc>
        <w:tc>
          <w:tcPr>
            <w:tcW w:w="810" w:type="dxa"/>
            <w:tcBorders>
              <w:top w:val="single" w:sz="4" w:space="0" w:color="auto"/>
              <w:left w:val="nil"/>
              <w:bottom w:val="single" w:sz="4" w:space="0" w:color="auto"/>
              <w:right w:val="single" w:sz="4" w:space="0" w:color="auto"/>
            </w:tcBorders>
            <w:shd w:val="clear" w:color="auto" w:fill="auto"/>
            <w:vAlign w:val="bottom"/>
          </w:tcPr>
          <w:p w14:paraId="55B17EC7" w14:textId="77777777" w:rsidR="009D4A93" w:rsidRPr="00536CFD" w:rsidRDefault="009D4A93" w:rsidP="009D4A93">
            <w:pPr>
              <w:spacing w:after="0"/>
              <w:jc w:val="center"/>
              <w:rPr>
                <w:lang w:val="zh-CN"/>
              </w:rPr>
            </w:pPr>
            <w:r w:rsidRPr="00536CFD">
              <w:rPr>
                <w:lang w:val="zh-CN"/>
              </w:rPr>
              <w:t>0.086</w:t>
            </w:r>
          </w:p>
        </w:tc>
        <w:tc>
          <w:tcPr>
            <w:tcW w:w="820" w:type="dxa"/>
            <w:tcBorders>
              <w:top w:val="single" w:sz="4" w:space="0" w:color="auto"/>
              <w:left w:val="nil"/>
              <w:bottom w:val="single" w:sz="4" w:space="0" w:color="auto"/>
              <w:right w:val="single" w:sz="4" w:space="0" w:color="auto"/>
            </w:tcBorders>
            <w:shd w:val="clear" w:color="auto" w:fill="auto"/>
            <w:vAlign w:val="bottom"/>
          </w:tcPr>
          <w:p w14:paraId="15598012" w14:textId="77777777" w:rsidR="009D4A93" w:rsidRPr="00536CFD" w:rsidRDefault="009D4A93" w:rsidP="009D4A93">
            <w:pPr>
              <w:spacing w:after="0"/>
              <w:jc w:val="center"/>
              <w:rPr>
                <w:lang w:val="zh-CN"/>
              </w:rPr>
            </w:pPr>
            <w:r w:rsidRPr="00536CFD">
              <w:rPr>
                <w:lang w:val="zh-CN"/>
              </w:rPr>
              <w:t>0.062</w:t>
            </w:r>
          </w:p>
        </w:tc>
        <w:tc>
          <w:tcPr>
            <w:tcW w:w="800" w:type="dxa"/>
            <w:tcBorders>
              <w:top w:val="single" w:sz="4" w:space="0" w:color="auto"/>
              <w:left w:val="nil"/>
              <w:bottom w:val="single" w:sz="4" w:space="0" w:color="auto"/>
              <w:right w:val="single" w:sz="4" w:space="0" w:color="auto"/>
            </w:tcBorders>
            <w:shd w:val="clear" w:color="auto" w:fill="auto"/>
            <w:vAlign w:val="bottom"/>
          </w:tcPr>
          <w:p w14:paraId="2592FBF9" w14:textId="77777777" w:rsidR="009D4A93" w:rsidRPr="00536CFD" w:rsidRDefault="009D4A93" w:rsidP="009D4A93">
            <w:pPr>
              <w:spacing w:after="0"/>
              <w:jc w:val="center"/>
              <w:rPr>
                <w:lang w:val="zh-CN"/>
              </w:rPr>
            </w:pPr>
            <w:r w:rsidRPr="00536CFD">
              <w:rPr>
                <w:lang w:val="zh-CN"/>
              </w:rPr>
              <w:t>0.035</w:t>
            </w:r>
          </w:p>
        </w:tc>
        <w:tc>
          <w:tcPr>
            <w:tcW w:w="720" w:type="dxa"/>
            <w:tcBorders>
              <w:top w:val="single" w:sz="4" w:space="0" w:color="auto"/>
              <w:left w:val="nil"/>
              <w:bottom w:val="single" w:sz="4" w:space="0" w:color="auto"/>
              <w:right w:val="single" w:sz="4" w:space="0" w:color="auto"/>
            </w:tcBorders>
            <w:shd w:val="clear" w:color="auto" w:fill="auto"/>
            <w:vAlign w:val="bottom"/>
          </w:tcPr>
          <w:p w14:paraId="12D9333C" w14:textId="77777777" w:rsidR="009D4A93" w:rsidRPr="00536CFD" w:rsidRDefault="009D4A93" w:rsidP="009D4A93">
            <w:pPr>
              <w:spacing w:after="0"/>
              <w:jc w:val="center"/>
              <w:rPr>
                <w:lang w:val="zh-CN"/>
              </w:rPr>
            </w:pPr>
            <w:r w:rsidRPr="00536CFD">
              <w:rPr>
                <w:lang w:val="zh-CN"/>
              </w:rPr>
              <w:t>0.028</w:t>
            </w:r>
          </w:p>
        </w:tc>
        <w:tc>
          <w:tcPr>
            <w:tcW w:w="724" w:type="dxa"/>
            <w:tcBorders>
              <w:top w:val="single" w:sz="4" w:space="0" w:color="auto"/>
              <w:left w:val="nil"/>
              <w:bottom w:val="single" w:sz="4" w:space="0" w:color="auto"/>
              <w:right w:val="single" w:sz="4" w:space="0" w:color="auto"/>
            </w:tcBorders>
            <w:shd w:val="clear" w:color="auto" w:fill="auto"/>
            <w:vAlign w:val="bottom"/>
          </w:tcPr>
          <w:p w14:paraId="318F4BFB" w14:textId="77777777" w:rsidR="009D4A93" w:rsidRPr="00536CFD" w:rsidRDefault="009D4A93" w:rsidP="009D4A93">
            <w:pPr>
              <w:spacing w:after="0"/>
              <w:jc w:val="center"/>
              <w:rPr>
                <w:lang w:val="zh-CN"/>
              </w:rPr>
            </w:pPr>
            <w:r w:rsidRPr="00536CFD">
              <w:rPr>
                <w:lang w:val="zh-CN"/>
              </w:rPr>
              <w:t>0.12</w:t>
            </w:r>
          </w:p>
        </w:tc>
        <w:tc>
          <w:tcPr>
            <w:tcW w:w="896" w:type="dxa"/>
            <w:tcBorders>
              <w:top w:val="single" w:sz="4" w:space="0" w:color="auto"/>
              <w:left w:val="nil"/>
              <w:bottom w:val="single" w:sz="4" w:space="0" w:color="auto"/>
              <w:right w:val="single" w:sz="4" w:space="0" w:color="auto"/>
            </w:tcBorders>
            <w:shd w:val="clear" w:color="auto" w:fill="auto"/>
            <w:vAlign w:val="bottom"/>
          </w:tcPr>
          <w:p w14:paraId="6162A516" w14:textId="77777777" w:rsidR="009D4A93" w:rsidRPr="00536CFD" w:rsidRDefault="009D4A93" w:rsidP="009D4A93">
            <w:pPr>
              <w:spacing w:after="0"/>
              <w:jc w:val="center"/>
              <w:rPr>
                <w:lang w:val="zh-CN"/>
              </w:rPr>
            </w:pPr>
            <w:r w:rsidRPr="00536CFD">
              <w:rPr>
                <w:lang w:val="zh-CN"/>
              </w:rPr>
              <w:t>0.071</w:t>
            </w:r>
          </w:p>
        </w:tc>
        <w:tc>
          <w:tcPr>
            <w:tcW w:w="720" w:type="dxa"/>
            <w:tcBorders>
              <w:top w:val="single" w:sz="4" w:space="0" w:color="auto"/>
              <w:left w:val="nil"/>
              <w:bottom w:val="single" w:sz="4" w:space="0" w:color="auto"/>
              <w:right w:val="single" w:sz="4" w:space="0" w:color="auto"/>
            </w:tcBorders>
            <w:shd w:val="clear" w:color="auto" w:fill="auto"/>
            <w:vAlign w:val="bottom"/>
          </w:tcPr>
          <w:p w14:paraId="20643315" w14:textId="77777777" w:rsidR="009D4A93" w:rsidRPr="00536CFD" w:rsidRDefault="009D4A93" w:rsidP="009D4A93">
            <w:pPr>
              <w:spacing w:after="0"/>
              <w:jc w:val="center"/>
              <w:rPr>
                <w:lang w:val="zh-CN"/>
              </w:rPr>
            </w:pPr>
            <w:r w:rsidRPr="00536CFD">
              <w:rPr>
                <w:lang w:val="zh-CN"/>
              </w:rPr>
              <w:t>0.046</w:t>
            </w:r>
          </w:p>
        </w:tc>
        <w:tc>
          <w:tcPr>
            <w:tcW w:w="720" w:type="dxa"/>
            <w:tcBorders>
              <w:top w:val="single" w:sz="4" w:space="0" w:color="auto"/>
              <w:left w:val="nil"/>
              <w:bottom w:val="single" w:sz="4" w:space="0" w:color="auto"/>
              <w:right w:val="single" w:sz="4" w:space="0" w:color="auto"/>
            </w:tcBorders>
            <w:shd w:val="clear" w:color="auto" w:fill="auto"/>
            <w:vAlign w:val="bottom"/>
          </w:tcPr>
          <w:p w14:paraId="3F086A4C" w14:textId="77777777" w:rsidR="009D4A93" w:rsidRPr="00536CFD" w:rsidRDefault="009D4A93" w:rsidP="009D4A93">
            <w:pPr>
              <w:spacing w:after="0"/>
              <w:jc w:val="center"/>
              <w:rPr>
                <w:lang w:val="zh-CN"/>
              </w:rPr>
            </w:pPr>
            <w:r w:rsidRPr="00536CFD">
              <w:rPr>
                <w:lang w:val="zh-CN"/>
              </w:rPr>
              <w:t>0.029</w:t>
            </w:r>
          </w:p>
        </w:tc>
      </w:tr>
      <w:tr w:rsidR="009D4A93" w:rsidRPr="00536CFD" w14:paraId="07E3CAB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2E9323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737CFB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3280BE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025E4D48" w14:textId="77777777" w:rsidR="009D4A93" w:rsidRPr="00536CFD" w:rsidRDefault="009D4A93" w:rsidP="009D4A93">
            <w:pPr>
              <w:spacing w:after="0"/>
              <w:jc w:val="center"/>
              <w:rPr>
                <w:lang w:val="zh-CN"/>
              </w:rPr>
            </w:pPr>
            <w:r w:rsidRPr="00536CFD">
              <w:rPr>
                <w:lang w:val="zh-CN"/>
              </w:rPr>
              <w:t>0.317</w:t>
            </w:r>
          </w:p>
        </w:tc>
        <w:tc>
          <w:tcPr>
            <w:tcW w:w="720" w:type="dxa"/>
            <w:tcBorders>
              <w:top w:val="single" w:sz="4" w:space="0" w:color="auto"/>
              <w:left w:val="nil"/>
              <w:bottom w:val="single" w:sz="4" w:space="0" w:color="auto"/>
              <w:right w:val="single" w:sz="4" w:space="0" w:color="auto"/>
            </w:tcBorders>
            <w:shd w:val="clear" w:color="auto" w:fill="auto"/>
            <w:vAlign w:val="bottom"/>
          </w:tcPr>
          <w:p w14:paraId="76C76FE3" w14:textId="77777777" w:rsidR="009D4A93" w:rsidRPr="00536CFD" w:rsidRDefault="009D4A93" w:rsidP="009D4A93">
            <w:pPr>
              <w:spacing w:after="0"/>
              <w:jc w:val="center"/>
              <w:rPr>
                <w:lang w:val="zh-CN"/>
              </w:rPr>
            </w:pPr>
            <w:r w:rsidRPr="00536CFD">
              <w:rPr>
                <w:lang w:val="zh-CN"/>
              </w:rPr>
              <w:t>0.217</w:t>
            </w:r>
          </w:p>
        </w:tc>
        <w:tc>
          <w:tcPr>
            <w:tcW w:w="720" w:type="dxa"/>
            <w:tcBorders>
              <w:top w:val="single" w:sz="4" w:space="0" w:color="auto"/>
              <w:left w:val="nil"/>
              <w:bottom w:val="single" w:sz="4" w:space="0" w:color="auto"/>
              <w:right w:val="single" w:sz="4" w:space="0" w:color="auto"/>
            </w:tcBorders>
            <w:shd w:val="clear" w:color="auto" w:fill="auto"/>
            <w:vAlign w:val="bottom"/>
          </w:tcPr>
          <w:p w14:paraId="5C1C422A" w14:textId="77777777" w:rsidR="009D4A93" w:rsidRPr="00536CFD" w:rsidRDefault="009D4A93" w:rsidP="009D4A93">
            <w:pPr>
              <w:spacing w:after="0"/>
              <w:jc w:val="center"/>
              <w:rPr>
                <w:lang w:val="zh-CN"/>
              </w:rPr>
            </w:pPr>
            <w:r w:rsidRPr="00536CFD">
              <w:rPr>
                <w:lang w:val="zh-CN"/>
              </w:rPr>
              <w:t>0.122</w:t>
            </w:r>
          </w:p>
        </w:tc>
        <w:tc>
          <w:tcPr>
            <w:tcW w:w="810" w:type="dxa"/>
            <w:tcBorders>
              <w:top w:val="single" w:sz="4" w:space="0" w:color="auto"/>
              <w:left w:val="nil"/>
              <w:bottom w:val="single" w:sz="4" w:space="0" w:color="auto"/>
              <w:right w:val="single" w:sz="4" w:space="0" w:color="auto"/>
            </w:tcBorders>
            <w:shd w:val="clear" w:color="auto" w:fill="auto"/>
            <w:vAlign w:val="bottom"/>
          </w:tcPr>
          <w:p w14:paraId="432328FD" w14:textId="77777777" w:rsidR="009D4A93" w:rsidRPr="00536CFD" w:rsidRDefault="009D4A93" w:rsidP="009D4A93">
            <w:pPr>
              <w:spacing w:after="0"/>
              <w:jc w:val="center"/>
              <w:rPr>
                <w:lang w:val="zh-CN"/>
              </w:rPr>
            </w:pPr>
            <w:r w:rsidRPr="00536CFD">
              <w:rPr>
                <w:lang w:val="zh-CN"/>
              </w:rPr>
              <w:t>0.071</w:t>
            </w:r>
          </w:p>
        </w:tc>
        <w:tc>
          <w:tcPr>
            <w:tcW w:w="810" w:type="dxa"/>
            <w:tcBorders>
              <w:top w:val="single" w:sz="4" w:space="0" w:color="auto"/>
              <w:left w:val="nil"/>
              <w:bottom w:val="single" w:sz="4" w:space="0" w:color="auto"/>
              <w:right w:val="single" w:sz="4" w:space="0" w:color="auto"/>
            </w:tcBorders>
            <w:shd w:val="clear" w:color="auto" w:fill="auto"/>
            <w:vAlign w:val="bottom"/>
          </w:tcPr>
          <w:p w14:paraId="36E842AF" w14:textId="77777777" w:rsidR="009D4A93" w:rsidRPr="00536CFD" w:rsidRDefault="009D4A93" w:rsidP="009D4A93">
            <w:pPr>
              <w:spacing w:after="0"/>
              <w:jc w:val="center"/>
              <w:rPr>
                <w:lang w:val="zh-CN"/>
              </w:rPr>
            </w:pPr>
            <w:r w:rsidRPr="00536CFD">
              <w:rPr>
                <w:lang w:val="zh-CN"/>
              </w:rPr>
              <w:t>0.656</w:t>
            </w:r>
          </w:p>
        </w:tc>
        <w:tc>
          <w:tcPr>
            <w:tcW w:w="820" w:type="dxa"/>
            <w:tcBorders>
              <w:top w:val="single" w:sz="4" w:space="0" w:color="auto"/>
              <w:left w:val="nil"/>
              <w:bottom w:val="single" w:sz="4" w:space="0" w:color="auto"/>
              <w:right w:val="single" w:sz="4" w:space="0" w:color="auto"/>
            </w:tcBorders>
            <w:shd w:val="clear" w:color="auto" w:fill="auto"/>
            <w:vAlign w:val="bottom"/>
          </w:tcPr>
          <w:p w14:paraId="07530613" w14:textId="77777777" w:rsidR="009D4A93" w:rsidRPr="00536CFD" w:rsidRDefault="009D4A93" w:rsidP="009D4A93">
            <w:pPr>
              <w:spacing w:after="0"/>
              <w:jc w:val="center"/>
              <w:rPr>
                <w:lang w:val="zh-CN"/>
              </w:rPr>
            </w:pPr>
            <w:r w:rsidRPr="00536CFD">
              <w:rPr>
                <w:lang w:val="zh-CN"/>
              </w:rPr>
              <w:t>0.294</w:t>
            </w:r>
          </w:p>
        </w:tc>
        <w:tc>
          <w:tcPr>
            <w:tcW w:w="800" w:type="dxa"/>
            <w:tcBorders>
              <w:top w:val="single" w:sz="4" w:space="0" w:color="auto"/>
              <w:left w:val="nil"/>
              <w:bottom w:val="single" w:sz="4" w:space="0" w:color="auto"/>
              <w:right w:val="single" w:sz="4" w:space="0" w:color="auto"/>
            </w:tcBorders>
            <w:shd w:val="clear" w:color="auto" w:fill="auto"/>
            <w:vAlign w:val="bottom"/>
          </w:tcPr>
          <w:p w14:paraId="171CB9DB" w14:textId="77777777" w:rsidR="009D4A93" w:rsidRPr="00536CFD" w:rsidRDefault="009D4A93" w:rsidP="009D4A93">
            <w:pPr>
              <w:spacing w:after="0"/>
              <w:jc w:val="center"/>
              <w:rPr>
                <w:lang w:val="zh-CN"/>
              </w:rPr>
            </w:pPr>
            <w:r w:rsidRPr="00536CFD">
              <w:rPr>
                <w:lang w:val="zh-CN"/>
              </w:rPr>
              <w:t>0.179</w:t>
            </w:r>
          </w:p>
        </w:tc>
        <w:tc>
          <w:tcPr>
            <w:tcW w:w="720" w:type="dxa"/>
            <w:tcBorders>
              <w:top w:val="single" w:sz="4" w:space="0" w:color="auto"/>
              <w:left w:val="nil"/>
              <w:bottom w:val="single" w:sz="4" w:space="0" w:color="auto"/>
              <w:right w:val="single" w:sz="4" w:space="0" w:color="auto"/>
            </w:tcBorders>
            <w:shd w:val="clear" w:color="auto" w:fill="auto"/>
            <w:vAlign w:val="bottom"/>
          </w:tcPr>
          <w:p w14:paraId="4412CDD1" w14:textId="77777777" w:rsidR="009D4A93" w:rsidRPr="00536CFD" w:rsidRDefault="009D4A93" w:rsidP="009D4A93">
            <w:pPr>
              <w:spacing w:after="0"/>
              <w:jc w:val="center"/>
              <w:rPr>
                <w:lang w:val="zh-CN"/>
              </w:rPr>
            </w:pPr>
            <w:r w:rsidRPr="00536CFD">
              <w:rPr>
                <w:lang w:val="zh-CN"/>
              </w:rPr>
              <w:t>0.083</w:t>
            </w:r>
          </w:p>
        </w:tc>
        <w:tc>
          <w:tcPr>
            <w:tcW w:w="724" w:type="dxa"/>
            <w:tcBorders>
              <w:top w:val="single" w:sz="4" w:space="0" w:color="auto"/>
              <w:left w:val="nil"/>
              <w:bottom w:val="single" w:sz="4" w:space="0" w:color="auto"/>
              <w:right w:val="single" w:sz="4" w:space="0" w:color="auto"/>
            </w:tcBorders>
            <w:shd w:val="clear" w:color="auto" w:fill="auto"/>
            <w:vAlign w:val="bottom"/>
          </w:tcPr>
          <w:p w14:paraId="206E9ACD" w14:textId="77777777" w:rsidR="009D4A93" w:rsidRPr="00536CFD" w:rsidRDefault="009D4A93" w:rsidP="009D4A93">
            <w:pPr>
              <w:spacing w:after="0"/>
              <w:jc w:val="center"/>
              <w:rPr>
                <w:lang w:val="zh-CN"/>
              </w:rPr>
            </w:pPr>
            <w:r w:rsidRPr="00536CFD">
              <w:rPr>
                <w:lang w:val="zh-CN"/>
              </w:rPr>
              <w:t>4.491</w:t>
            </w:r>
          </w:p>
        </w:tc>
        <w:tc>
          <w:tcPr>
            <w:tcW w:w="896" w:type="dxa"/>
            <w:tcBorders>
              <w:top w:val="single" w:sz="4" w:space="0" w:color="auto"/>
              <w:left w:val="nil"/>
              <w:bottom w:val="single" w:sz="4" w:space="0" w:color="auto"/>
              <w:right w:val="single" w:sz="4" w:space="0" w:color="auto"/>
            </w:tcBorders>
            <w:shd w:val="clear" w:color="auto" w:fill="auto"/>
            <w:vAlign w:val="bottom"/>
          </w:tcPr>
          <w:p w14:paraId="4E357613" w14:textId="77777777" w:rsidR="009D4A93" w:rsidRPr="00536CFD" w:rsidRDefault="009D4A93" w:rsidP="009D4A93">
            <w:pPr>
              <w:spacing w:after="0"/>
              <w:jc w:val="center"/>
              <w:rPr>
                <w:lang w:val="zh-CN"/>
              </w:rPr>
            </w:pPr>
            <w:r w:rsidRPr="00536CFD">
              <w:rPr>
                <w:lang w:val="zh-CN"/>
              </w:rPr>
              <w:t>0.494</w:t>
            </w:r>
          </w:p>
        </w:tc>
        <w:tc>
          <w:tcPr>
            <w:tcW w:w="720" w:type="dxa"/>
            <w:tcBorders>
              <w:top w:val="single" w:sz="4" w:space="0" w:color="auto"/>
              <w:left w:val="nil"/>
              <w:bottom w:val="single" w:sz="4" w:space="0" w:color="auto"/>
              <w:right w:val="single" w:sz="4" w:space="0" w:color="auto"/>
            </w:tcBorders>
            <w:shd w:val="clear" w:color="auto" w:fill="auto"/>
            <w:vAlign w:val="bottom"/>
          </w:tcPr>
          <w:p w14:paraId="73FF9B4E" w14:textId="77777777" w:rsidR="009D4A93" w:rsidRPr="00536CFD" w:rsidRDefault="009D4A93" w:rsidP="009D4A93">
            <w:pPr>
              <w:spacing w:after="0"/>
              <w:jc w:val="center"/>
              <w:rPr>
                <w:lang w:val="zh-CN"/>
              </w:rPr>
            </w:pPr>
            <w:r w:rsidRPr="00536CFD">
              <w:rPr>
                <w:lang w:val="zh-CN"/>
              </w:rPr>
              <w:t>0.303</w:t>
            </w:r>
          </w:p>
        </w:tc>
        <w:tc>
          <w:tcPr>
            <w:tcW w:w="720" w:type="dxa"/>
            <w:tcBorders>
              <w:top w:val="single" w:sz="4" w:space="0" w:color="auto"/>
              <w:left w:val="nil"/>
              <w:bottom w:val="single" w:sz="4" w:space="0" w:color="auto"/>
              <w:right w:val="single" w:sz="4" w:space="0" w:color="auto"/>
            </w:tcBorders>
            <w:shd w:val="clear" w:color="auto" w:fill="auto"/>
            <w:vAlign w:val="bottom"/>
          </w:tcPr>
          <w:p w14:paraId="2FF5E876" w14:textId="77777777" w:rsidR="009D4A93" w:rsidRPr="00536CFD" w:rsidRDefault="009D4A93" w:rsidP="009D4A93">
            <w:pPr>
              <w:spacing w:after="0"/>
              <w:jc w:val="center"/>
              <w:rPr>
                <w:lang w:val="zh-CN"/>
              </w:rPr>
            </w:pPr>
            <w:r w:rsidRPr="00536CFD">
              <w:rPr>
                <w:lang w:val="zh-CN"/>
              </w:rPr>
              <w:t>0.1</w:t>
            </w:r>
          </w:p>
        </w:tc>
      </w:tr>
      <w:tr w:rsidR="009D4A93" w:rsidRPr="00536CFD" w14:paraId="0B9DE28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8E48BC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2D2F4B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203A6E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112737F4" w14:textId="77777777" w:rsidR="009D4A93" w:rsidRPr="00536CFD" w:rsidRDefault="009D4A93" w:rsidP="009D4A93">
            <w:pPr>
              <w:spacing w:after="0"/>
              <w:jc w:val="center"/>
              <w:rPr>
                <w:lang w:val="zh-CN"/>
              </w:rPr>
            </w:pPr>
            <w:r w:rsidRPr="00536CFD">
              <w:rPr>
                <w:lang w:val="zh-CN"/>
              </w:rPr>
              <w:t>0.11</w:t>
            </w:r>
          </w:p>
        </w:tc>
        <w:tc>
          <w:tcPr>
            <w:tcW w:w="720" w:type="dxa"/>
            <w:tcBorders>
              <w:top w:val="single" w:sz="4" w:space="0" w:color="auto"/>
              <w:left w:val="nil"/>
              <w:bottom w:val="single" w:sz="4" w:space="0" w:color="auto"/>
              <w:right w:val="single" w:sz="4" w:space="0" w:color="auto"/>
            </w:tcBorders>
            <w:shd w:val="clear" w:color="auto" w:fill="auto"/>
            <w:vAlign w:val="bottom"/>
          </w:tcPr>
          <w:p w14:paraId="289A470F" w14:textId="77777777" w:rsidR="009D4A93" w:rsidRPr="00536CFD" w:rsidRDefault="009D4A93" w:rsidP="009D4A93">
            <w:pPr>
              <w:spacing w:after="0"/>
              <w:jc w:val="center"/>
              <w:rPr>
                <w:lang w:val="zh-CN"/>
              </w:rPr>
            </w:pPr>
            <w:r w:rsidRPr="00536CFD">
              <w:rPr>
                <w:lang w:val="zh-CN"/>
              </w:rPr>
              <w:t>0.081</w:t>
            </w:r>
          </w:p>
        </w:tc>
        <w:tc>
          <w:tcPr>
            <w:tcW w:w="720" w:type="dxa"/>
            <w:tcBorders>
              <w:top w:val="single" w:sz="4" w:space="0" w:color="auto"/>
              <w:left w:val="nil"/>
              <w:bottom w:val="single" w:sz="4" w:space="0" w:color="auto"/>
              <w:right w:val="single" w:sz="4" w:space="0" w:color="auto"/>
            </w:tcBorders>
            <w:shd w:val="clear" w:color="auto" w:fill="auto"/>
            <w:vAlign w:val="bottom"/>
          </w:tcPr>
          <w:p w14:paraId="41A4E5DD" w14:textId="77777777" w:rsidR="009D4A93" w:rsidRPr="00536CFD" w:rsidRDefault="009D4A93" w:rsidP="009D4A93">
            <w:pPr>
              <w:spacing w:after="0"/>
              <w:jc w:val="center"/>
              <w:rPr>
                <w:lang w:val="zh-CN"/>
              </w:rPr>
            </w:pPr>
            <w:r w:rsidRPr="00536CFD">
              <w:rPr>
                <w:lang w:val="zh-CN"/>
              </w:rPr>
              <w:t>0.047</w:t>
            </w:r>
          </w:p>
        </w:tc>
        <w:tc>
          <w:tcPr>
            <w:tcW w:w="810" w:type="dxa"/>
            <w:tcBorders>
              <w:top w:val="single" w:sz="4" w:space="0" w:color="auto"/>
              <w:left w:val="nil"/>
              <w:bottom w:val="single" w:sz="4" w:space="0" w:color="auto"/>
              <w:right w:val="single" w:sz="4" w:space="0" w:color="auto"/>
            </w:tcBorders>
            <w:shd w:val="clear" w:color="auto" w:fill="auto"/>
            <w:vAlign w:val="bottom"/>
          </w:tcPr>
          <w:p w14:paraId="6E1319D6" w14:textId="77777777" w:rsidR="009D4A93" w:rsidRPr="00536CFD" w:rsidRDefault="009D4A93" w:rsidP="009D4A93">
            <w:pPr>
              <w:spacing w:after="0"/>
              <w:jc w:val="center"/>
              <w:rPr>
                <w:lang w:val="zh-CN"/>
              </w:rPr>
            </w:pPr>
            <w:r w:rsidRPr="00536CFD">
              <w:rPr>
                <w:lang w:val="zh-CN"/>
              </w:rPr>
              <w:t>0.034</w:t>
            </w:r>
          </w:p>
        </w:tc>
        <w:tc>
          <w:tcPr>
            <w:tcW w:w="810" w:type="dxa"/>
            <w:tcBorders>
              <w:top w:val="single" w:sz="4" w:space="0" w:color="auto"/>
              <w:left w:val="nil"/>
              <w:bottom w:val="single" w:sz="4" w:space="0" w:color="auto"/>
              <w:right w:val="single" w:sz="4" w:space="0" w:color="auto"/>
            </w:tcBorders>
            <w:shd w:val="clear" w:color="auto" w:fill="auto"/>
            <w:vAlign w:val="bottom"/>
          </w:tcPr>
          <w:p w14:paraId="6DD31CAD" w14:textId="77777777" w:rsidR="009D4A93" w:rsidRPr="00536CFD" w:rsidRDefault="009D4A93" w:rsidP="009D4A93">
            <w:pPr>
              <w:spacing w:after="0"/>
              <w:jc w:val="center"/>
              <w:rPr>
                <w:lang w:val="zh-CN"/>
              </w:rPr>
            </w:pPr>
            <w:r w:rsidRPr="00536CFD">
              <w:rPr>
                <w:lang w:val="zh-CN"/>
              </w:rPr>
              <w:t>0.315</w:t>
            </w:r>
          </w:p>
        </w:tc>
        <w:tc>
          <w:tcPr>
            <w:tcW w:w="820" w:type="dxa"/>
            <w:tcBorders>
              <w:top w:val="single" w:sz="4" w:space="0" w:color="auto"/>
              <w:left w:val="nil"/>
              <w:bottom w:val="single" w:sz="4" w:space="0" w:color="auto"/>
              <w:right w:val="single" w:sz="4" w:space="0" w:color="auto"/>
            </w:tcBorders>
            <w:shd w:val="clear" w:color="auto" w:fill="auto"/>
            <w:vAlign w:val="bottom"/>
          </w:tcPr>
          <w:p w14:paraId="57001574" w14:textId="77777777" w:rsidR="009D4A93" w:rsidRPr="00536CFD" w:rsidRDefault="009D4A93" w:rsidP="009D4A93">
            <w:pPr>
              <w:spacing w:after="0"/>
              <w:jc w:val="center"/>
              <w:rPr>
                <w:lang w:val="zh-CN"/>
              </w:rPr>
            </w:pPr>
            <w:r w:rsidRPr="00536CFD">
              <w:rPr>
                <w:lang w:val="zh-CN"/>
              </w:rPr>
              <w:t>0.104</w:t>
            </w:r>
          </w:p>
        </w:tc>
        <w:tc>
          <w:tcPr>
            <w:tcW w:w="800" w:type="dxa"/>
            <w:tcBorders>
              <w:top w:val="single" w:sz="4" w:space="0" w:color="auto"/>
              <w:left w:val="nil"/>
              <w:bottom w:val="single" w:sz="4" w:space="0" w:color="auto"/>
              <w:right w:val="single" w:sz="4" w:space="0" w:color="auto"/>
            </w:tcBorders>
            <w:shd w:val="clear" w:color="auto" w:fill="auto"/>
            <w:vAlign w:val="bottom"/>
          </w:tcPr>
          <w:p w14:paraId="3943DFAE" w14:textId="77777777" w:rsidR="009D4A93" w:rsidRPr="00536CFD" w:rsidRDefault="009D4A93" w:rsidP="009D4A93">
            <w:pPr>
              <w:spacing w:after="0"/>
              <w:jc w:val="center"/>
              <w:rPr>
                <w:lang w:val="zh-CN"/>
              </w:rPr>
            </w:pPr>
            <w:r w:rsidRPr="00536CFD">
              <w:rPr>
                <w:lang w:val="zh-CN"/>
              </w:rPr>
              <w:t>0.061</w:t>
            </w:r>
          </w:p>
        </w:tc>
        <w:tc>
          <w:tcPr>
            <w:tcW w:w="720" w:type="dxa"/>
            <w:tcBorders>
              <w:top w:val="single" w:sz="4" w:space="0" w:color="auto"/>
              <w:left w:val="nil"/>
              <w:bottom w:val="single" w:sz="4" w:space="0" w:color="auto"/>
              <w:right w:val="single" w:sz="4" w:space="0" w:color="auto"/>
            </w:tcBorders>
            <w:shd w:val="clear" w:color="auto" w:fill="auto"/>
            <w:vAlign w:val="bottom"/>
          </w:tcPr>
          <w:p w14:paraId="7BE8D632" w14:textId="77777777" w:rsidR="009D4A93" w:rsidRPr="00536CFD" w:rsidRDefault="009D4A93" w:rsidP="009D4A93">
            <w:pPr>
              <w:spacing w:after="0"/>
              <w:jc w:val="center"/>
              <w:rPr>
                <w:lang w:val="zh-CN"/>
              </w:rPr>
            </w:pPr>
            <w:r w:rsidRPr="00536CFD">
              <w:rPr>
                <w:lang w:val="zh-CN"/>
              </w:rPr>
              <w:t>0.037</w:t>
            </w:r>
          </w:p>
        </w:tc>
        <w:tc>
          <w:tcPr>
            <w:tcW w:w="724" w:type="dxa"/>
            <w:tcBorders>
              <w:top w:val="single" w:sz="4" w:space="0" w:color="auto"/>
              <w:left w:val="nil"/>
              <w:bottom w:val="single" w:sz="4" w:space="0" w:color="auto"/>
              <w:right w:val="single" w:sz="4" w:space="0" w:color="auto"/>
            </w:tcBorders>
            <w:shd w:val="clear" w:color="auto" w:fill="auto"/>
            <w:vAlign w:val="bottom"/>
          </w:tcPr>
          <w:p w14:paraId="2E6E4103" w14:textId="77777777" w:rsidR="009D4A93" w:rsidRPr="00536CFD" w:rsidRDefault="009D4A93" w:rsidP="009D4A93">
            <w:pPr>
              <w:spacing w:after="0"/>
              <w:jc w:val="center"/>
              <w:rPr>
                <w:lang w:val="zh-CN"/>
              </w:rPr>
            </w:pPr>
            <w:r w:rsidRPr="00536CFD">
              <w:rPr>
                <w:lang w:val="zh-CN"/>
              </w:rPr>
              <w:t>5.567</w:t>
            </w:r>
          </w:p>
        </w:tc>
        <w:tc>
          <w:tcPr>
            <w:tcW w:w="896" w:type="dxa"/>
            <w:tcBorders>
              <w:top w:val="single" w:sz="4" w:space="0" w:color="auto"/>
              <w:left w:val="nil"/>
              <w:bottom w:val="single" w:sz="4" w:space="0" w:color="auto"/>
              <w:right w:val="single" w:sz="4" w:space="0" w:color="auto"/>
            </w:tcBorders>
            <w:shd w:val="clear" w:color="auto" w:fill="auto"/>
            <w:vAlign w:val="bottom"/>
          </w:tcPr>
          <w:p w14:paraId="56C0EBE0" w14:textId="77777777" w:rsidR="009D4A93" w:rsidRPr="00536CFD" w:rsidRDefault="009D4A93" w:rsidP="009D4A93">
            <w:pPr>
              <w:spacing w:after="0"/>
              <w:jc w:val="center"/>
              <w:rPr>
                <w:lang w:val="zh-CN"/>
              </w:rPr>
            </w:pPr>
            <w:r w:rsidRPr="00536CFD">
              <w:rPr>
                <w:lang w:val="zh-CN"/>
              </w:rPr>
              <w:t>0.987</w:t>
            </w:r>
          </w:p>
        </w:tc>
        <w:tc>
          <w:tcPr>
            <w:tcW w:w="720" w:type="dxa"/>
            <w:tcBorders>
              <w:top w:val="single" w:sz="4" w:space="0" w:color="auto"/>
              <w:left w:val="nil"/>
              <w:bottom w:val="single" w:sz="4" w:space="0" w:color="auto"/>
              <w:right w:val="single" w:sz="4" w:space="0" w:color="auto"/>
            </w:tcBorders>
            <w:shd w:val="clear" w:color="auto" w:fill="auto"/>
            <w:vAlign w:val="bottom"/>
          </w:tcPr>
          <w:p w14:paraId="4225DDC5" w14:textId="77777777" w:rsidR="009D4A93" w:rsidRPr="00536CFD" w:rsidRDefault="009D4A93" w:rsidP="009D4A93">
            <w:pPr>
              <w:spacing w:after="0"/>
              <w:jc w:val="center"/>
              <w:rPr>
                <w:lang w:val="zh-CN"/>
              </w:rPr>
            </w:pPr>
            <w:r w:rsidRPr="00536CFD">
              <w:rPr>
                <w:lang w:val="zh-CN"/>
              </w:rPr>
              <w:t>0.099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41B9AFE6" w14:textId="77777777" w:rsidR="009D4A93" w:rsidRPr="00536CFD" w:rsidRDefault="009D4A93" w:rsidP="009D4A93">
            <w:pPr>
              <w:spacing w:after="0"/>
              <w:jc w:val="center"/>
              <w:rPr>
                <w:lang w:val="zh-CN"/>
              </w:rPr>
            </w:pPr>
            <w:r w:rsidRPr="00536CFD">
              <w:rPr>
                <w:lang w:val="zh-CN"/>
              </w:rPr>
              <w:t>0.042</w:t>
            </w:r>
          </w:p>
        </w:tc>
      </w:tr>
      <w:tr w:rsidR="009D4A93" w:rsidRPr="00536CFD" w14:paraId="277FDAC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307EB99"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21E619E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137CC48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348B5FEE" w14:textId="77777777" w:rsidR="009D4A93" w:rsidRPr="00536CFD" w:rsidRDefault="009D4A93" w:rsidP="009D4A93">
            <w:pPr>
              <w:spacing w:after="0"/>
              <w:jc w:val="center"/>
              <w:rPr>
                <w:lang w:val="zh-CN"/>
              </w:rPr>
            </w:pPr>
            <w:r w:rsidRPr="00536CFD">
              <w:rPr>
                <w:lang w:val="zh-CN"/>
              </w:rPr>
              <w:t>13.07</w:t>
            </w:r>
          </w:p>
        </w:tc>
        <w:tc>
          <w:tcPr>
            <w:tcW w:w="720" w:type="dxa"/>
            <w:tcBorders>
              <w:top w:val="single" w:sz="4" w:space="0" w:color="auto"/>
              <w:left w:val="nil"/>
              <w:bottom w:val="single" w:sz="4" w:space="0" w:color="auto"/>
              <w:right w:val="single" w:sz="4" w:space="0" w:color="auto"/>
            </w:tcBorders>
            <w:shd w:val="clear" w:color="auto" w:fill="auto"/>
            <w:vAlign w:val="bottom"/>
          </w:tcPr>
          <w:p w14:paraId="61EC09D9" w14:textId="77777777" w:rsidR="009D4A93" w:rsidRPr="00536CFD" w:rsidRDefault="009D4A93" w:rsidP="009D4A93">
            <w:pPr>
              <w:spacing w:after="0"/>
              <w:jc w:val="center"/>
              <w:rPr>
                <w:lang w:val="zh-CN"/>
              </w:rPr>
            </w:pPr>
            <w:r w:rsidRPr="00536CFD">
              <w:rPr>
                <w:lang w:val="zh-CN"/>
              </w:rPr>
              <w:t>16.53</w:t>
            </w:r>
          </w:p>
        </w:tc>
        <w:tc>
          <w:tcPr>
            <w:tcW w:w="720" w:type="dxa"/>
            <w:tcBorders>
              <w:top w:val="single" w:sz="4" w:space="0" w:color="auto"/>
              <w:left w:val="nil"/>
              <w:bottom w:val="single" w:sz="4" w:space="0" w:color="auto"/>
              <w:right w:val="single" w:sz="4" w:space="0" w:color="auto"/>
            </w:tcBorders>
            <w:shd w:val="clear" w:color="auto" w:fill="auto"/>
            <w:vAlign w:val="bottom"/>
          </w:tcPr>
          <w:p w14:paraId="3742A240" w14:textId="77777777" w:rsidR="009D4A93" w:rsidRPr="00536CFD" w:rsidRDefault="009D4A93" w:rsidP="009D4A93">
            <w:pPr>
              <w:spacing w:after="0"/>
              <w:jc w:val="center"/>
              <w:rPr>
                <w:lang w:val="zh-CN"/>
              </w:rPr>
            </w:pPr>
            <w:r w:rsidRPr="00536CFD">
              <w:rPr>
                <w:lang w:val="zh-CN"/>
              </w:rPr>
              <w:t>40.04</w:t>
            </w:r>
          </w:p>
        </w:tc>
        <w:tc>
          <w:tcPr>
            <w:tcW w:w="810" w:type="dxa"/>
            <w:tcBorders>
              <w:top w:val="single" w:sz="4" w:space="0" w:color="auto"/>
              <w:left w:val="nil"/>
              <w:bottom w:val="single" w:sz="4" w:space="0" w:color="auto"/>
              <w:right w:val="single" w:sz="4" w:space="0" w:color="auto"/>
            </w:tcBorders>
            <w:shd w:val="clear" w:color="auto" w:fill="auto"/>
            <w:vAlign w:val="bottom"/>
          </w:tcPr>
          <w:p w14:paraId="1257319E" w14:textId="77777777" w:rsidR="009D4A93" w:rsidRPr="00536CFD" w:rsidRDefault="009D4A93" w:rsidP="009D4A93">
            <w:pPr>
              <w:spacing w:after="0"/>
              <w:jc w:val="center"/>
              <w:rPr>
                <w:lang w:val="zh-CN"/>
              </w:rPr>
            </w:pPr>
            <w:r w:rsidRPr="00536CFD">
              <w:rPr>
                <w:lang w:val="zh-CN"/>
              </w:rPr>
              <w:t>42.83</w:t>
            </w:r>
          </w:p>
        </w:tc>
        <w:tc>
          <w:tcPr>
            <w:tcW w:w="810" w:type="dxa"/>
            <w:tcBorders>
              <w:top w:val="single" w:sz="4" w:space="0" w:color="auto"/>
              <w:left w:val="nil"/>
              <w:bottom w:val="single" w:sz="4" w:space="0" w:color="auto"/>
              <w:right w:val="single" w:sz="4" w:space="0" w:color="auto"/>
            </w:tcBorders>
            <w:shd w:val="clear" w:color="auto" w:fill="auto"/>
            <w:vAlign w:val="bottom"/>
          </w:tcPr>
          <w:p w14:paraId="36172F00" w14:textId="77777777" w:rsidR="009D4A93" w:rsidRPr="00536CFD" w:rsidRDefault="009D4A93" w:rsidP="009D4A93">
            <w:pPr>
              <w:spacing w:after="0"/>
              <w:jc w:val="center"/>
              <w:rPr>
                <w:lang w:val="zh-CN"/>
              </w:rPr>
            </w:pPr>
            <w:r w:rsidRPr="00536CFD">
              <w:rPr>
                <w:lang w:val="zh-CN"/>
              </w:rPr>
              <w:t>7.03</w:t>
            </w:r>
          </w:p>
        </w:tc>
        <w:tc>
          <w:tcPr>
            <w:tcW w:w="820" w:type="dxa"/>
            <w:tcBorders>
              <w:top w:val="single" w:sz="4" w:space="0" w:color="auto"/>
              <w:left w:val="nil"/>
              <w:bottom w:val="single" w:sz="4" w:space="0" w:color="auto"/>
              <w:right w:val="single" w:sz="4" w:space="0" w:color="auto"/>
            </w:tcBorders>
            <w:shd w:val="clear" w:color="auto" w:fill="auto"/>
            <w:vAlign w:val="bottom"/>
          </w:tcPr>
          <w:p w14:paraId="3272DA1C" w14:textId="77777777" w:rsidR="009D4A93" w:rsidRPr="00536CFD" w:rsidRDefault="009D4A93" w:rsidP="009D4A93">
            <w:pPr>
              <w:spacing w:after="0"/>
              <w:jc w:val="center"/>
              <w:rPr>
                <w:lang w:val="zh-CN"/>
              </w:rPr>
            </w:pPr>
            <w:r w:rsidRPr="00536CFD">
              <w:rPr>
                <w:lang w:val="zh-CN"/>
              </w:rPr>
              <w:t>12.05</w:t>
            </w:r>
          </w:p>
        </w:tc>
        <w:tc>
          <w:tcPr>
            <w:tcW w:w="800" w:type="dxa"/>
            <w:tcBorders>
              <w:top w:val="single" w:sz="4" w:space="0" w:color="auto"/>
              <w:left w:val="nil"/>
              <w:bottom w:val="single" w:sz="4" w:space="0" w:color="auto"/>
              <w:right w:val="single" w:sz="4" w:space="0" w:color="auto"/>
            </w:tcBorders>
            <w:shd w:val="clear" w:color="auto" w:fill="auto"/>
            <w:vAlign w:val="bottom"/>
          </w:tcPr>
          <w:p w14:paraId="7B26261B" w14:textId="77777777" w:rsidR="009D4A93" w:rsidRPr="00536CFD" w:rsidRDefault="009D4A93" w:rsidP="009D4A93">
            <w:pPr>
              <w:spacing w:after="0"/>
              <w:jc w:val="center"/>
              <w:rPr>
                <w:lang w:val="zh-CN"/>
              </w:rPr>
            </w:pPr>
            <w:r w:rsidRPr="00536CFD">
              <w:rPr>
                <w:lang w:val="zh-CN"/>
              </w:rPr>
              <w:t>31.51</w:t>
            </w:r>
          </w:p>
        </w:tc>
        <w:tc>
          <w:tcPr>
            <w:tcW w:w="720" w:type="dxa"/>
            <w:tcBorders>
              <w:top w:val="single" w:sz="4" w:space="0" w:color="auto"/>
              <w:left w:val="nil"/>
              <w:bottom w:val="single" w:sz="4" w:space="0" w:color="auto"/>
              <w:right w:val="single" w:sz="4" w:space="0" w:color="auto"/>
            </w:tcBorders>
            <w:shd w:val="clear" w:color="auto" w:fill="auto"/>
            <w:vAlign w:val="bottom"/>
          </w:tcPr>
          <w:p w14:paraId="0190D405" w14:textId="77777777" w:rsidR="009D4A93" w:rsidRPr="00536CFD" w:rsidRDefault="009D4A93" w:rsidP="009D4A93">
            <w:pPr>
              <w:spacing w:after="0"/>
              <w:jc w:val="center"/>
              <w:rPr>
                <w:lang w:val="zh-CN"/>
              </w:rPr>
            </w:pPr>
            <w:r w:rsidRPr="00536CFD">
              <w:rPr>
                <w:lang w:val="zh-CN"/>
              </w:rPr>
              <w:t>39.66</w:t>
            </w:r>
          </w:p>
        </w:tc>
        <w:tc>
          <w:tcPr>
            <w:tcW w:w="724" w:type="dxa"/>
            <w:tcBorders>
              <w:top w:val="single" w:sz="4" w:space="0" w:color="auto"/>
              <w:left w:val="nil"/>
              <w:bottom w:val="single" w:sz="4" w:space="0" w:color="auto"/>
              <w:right w:val="single" w:sz="4" w:space="0" w:color="auto"/>
            </w:tcBorders>
            <w:shd w:val="clear" w:color="auto" w:fill="auto"/>
            <w:vAlign w:val="bottom"/>
          </w:tcPr>
          <w:p w14:paraId="2C22812F" w14:textId="77777777" w:rsidR="009D4A93" w:rsidRPr="00536CFD" w:rsidRDefault="009D4A93" w:rsidP="009D4A93">
            <w:pPr>
              <w:spacing w:after="0"/>
              <w:jc w:val="center"/>
              <w:rPr>
                <w:lang w:val="zh-CN"/>
              </w:rPr>
            </w:pPr>
            <w:r w:rsidRPr="00536CFD">
              <w:rPr>
                <w:lang w:val="zh-CN"/>
              </w:rPr>
              <w:t>0.08</w:t>
            </w:r>
          </w:p>
        </w:tc>
        <w:tc>
          <w:tcPr>
            <w:tcW w:w="896" w:type="dxa"/>
            <w:tcBorders>
              <w:top w:val="single" w:sz="4" w:space="0" w:color="auto"/>
              <w:left w:val="nil"/>
              <w:bottom w:val="single" w:sz="4" w:space="0" w:color="auto"/>
              <w:right w:val="single" w:sz="4" w:space="0" w:color="auto"/>
            </w:tcBorders>
            <w:shd w:val="clear" w:color="auto" w:fill="auto"/>
            <w:vAlign w:val="bottom"/>
          </w:tcPr>
          <w:p w14:paraId="42C2B8D9" w14:textId="77777777" w:rsidR="009D4A93" w:rsidRPr="00536CFD" w:rsidRDefault="009D4A93" w:rsidP="009D4A93">
            <w:pPr>
              <w:spacing w:after="0"/>
              <w:jc w:val="center"/>
              <w:rPr>
                <w:lang w:val="zh-CN"/>
              </w:rPr>
            </w:pPr>
            <w:r w:rsidRPr="00536CFD">
              <w:rPr>
                <w:lang w:val="zh-CN"/>
              </w:rPr>
              <w:t>8.55</w:t>
            </w:r>
          </w:p>
        </w:tc>
        <w:tc>
          <w:tcPr>
            <w:tcW w:w="720" w:type="dxa"/>
            <w:tcBorders>
              <w:top w:val="single" w:sz="4" w:space="0" w:color="auto"/>
              <w:left w:val="nil"/>
              <w:bottom w:val="single" w:sz="4" w:space="0" w:color="auto"/>
              <w:right w:val="single" w:sz="4" w:space="0" w:color="auto"/>
            </w:tcBorders>
            <w:shd w:val="clear" w:color="auto" w:fill="auto"/>
            <w:vAlign w:val="bottom"/>
          </w:tcPr>
          <w:p w14:paraId="433A3AD4" w14:textId="77777777" w:rsidR="009D4A93" w:rsidRPr="00536CFD" w:rsidRDefault="009D4A93" w:rsidP="009D4A93">
            <w:pPr>
              <w:spacing w:after="0"/>
              <w:jc w:val="center"/>
              <w:rPr>
                <w:lang w:val="zh-CN"/>
              </w:rPr>
            </w:pPr>
            <w:r w:rsidRPr="00536CFD">
              <w:rPr>
                <w:lang w:val="zh-CN"/>
              </w:rPr>
              <w:t>22.51</w:t>
            </w:r>
          </w:p>
        </w:tc>
        <w:tc>
          <w:tcPr>
            <w:tcW w:w="720" w:type="dxa"/>
            <w:tcBorders>
              <w:top w:val="single" w:sz="4" w:space="0" w:color="auto"/>
              <w:left w:val="nil"/>
              <w:bottom w:val="single" w:sz="4" w:space="0" w:color="auto"/>
              <w:right w:val="single" w:sz="4" w:space="0" w:color="auto"/>
            </w:tcBorders>
            <w:shd w:val="clear" w:color="auto" w:fill="auto"/>
            <w:vAlign w:val="bottom"/>
          </w:tcPr>
          <w:p w14:paraId="2BEFBF05" w14:textId="77777777" w:rsidR="009D4A93" w:rsidRPr="00536CFD" w:rsidRDefault="009D4A93" w:rsidP="009D4A93">
            <w:pPr>
              <w:spacing w:after="0"/>
              <w:jc w:val="center"/>
              <w:rPr>
                <w:lang w:val="zh-CN"/>
              </w:rPr>
            </w:pPr>
            <w:r w:rsidRPr="00536CFD">
              <w:rPr>
                <w:lang w:val="zh-CN"/>
              </w:rPr>
              <w:t>33.72</w:t>
            </w:r>
          </w:p>
        </w:tc>
      </w:tr>
      <w:tr w:rsidR="009D4A93" w:rsidRPr="00536CFD" w14:paraId="1FE8AC9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EF9452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BDEFE3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4CACF4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537FC903" w14:textId="77777777" w:rsidR="009D4A93" w:rsidRPr="00536CFD" w:rsidRDefault="009D4A93" w:rsidP="009D4A93">
            <w:pPr>
              <w:spacing w:after="0"/>
              <w:jc w:val="center"/>
              <w:rPr>
                <w:lang w:val="zh-CN"/>
              </w:rPr>
            </w:pPr>
            <w:r w:rsidRPr="00536CFD">
              <w:rPr>
                <w:lang w:val="zh-CN"/>
              </w:rPr>
              <w:t>49.41</w:t>
            </w:r>
          </w:p>
        </w:tc>
        <w:tc>
          <w:tcPr>
            <w:tcW w:w="720" w:type="dxa"/>
            <w:tcBorders>
              <w:top w:val="single" w:sz="4" w:space="0" w:color="auto"/>
              <w:left w:val="nil"/>
              <w:bottom w:val="single" w:sz="4" w:space="0" w:color="auto"/>
              <w:right w:val="single" w:sz="4" w:space="0" w:color="auto"/>
            </w:tcBorders>
            <w:shd w:val="clear" w:color="auto" w:fill="auto"/>
            <w:vAlign w:val="bottom"/>
          </w:tcPr>
          <w:p w14:paraId="684F6495" w14:textId="77777777" w:rsidR="009D4A93" w:rsidRPr="00536CFD" w:rsidRDefault="009D4A93" w:rsidP="009D4A93">
            <w:pPr>
              <w:spacing w:after="0"/>
              <w:jc w:val="center"/>
              <w:rPr>
                <w:lang w:val="zh-CN"/>
              </w:rPr>
            </w:pPr>
            <w:r w:rsidRPr="00536CFD">
              <w:rPr>
                <w:lang w:val="zh-CN"/>
              </w:rPr>
              <w:t>58.56</w:t>
            </w:r>
          </w:p>
        </w:tc>
        <w:tc>
          <w:tcPr>
            <w:tcW w:w="720" w:type="dxa"/>
            <w:tcBorders>
              <w:top w:val="single" w:sz="4" w:space="0" w:color="auto"/>
              <w:left w:val="nil"/>
              <w:bottom w:val="single" w:sz="4" w:space="0" w:color="auto"/>
              <w:right w:val="single" w:sz="4" w:space="0" w:color="auto"/>
            </w:tcBorders>
            <w:shd w:val="clear" w:color="auto" w:fill="auto"/>
            <w:vAlign w:val="bottom"/>
          </w:tcPr>
          <w:p w14:paraId="48D2A8EE" w14:textId="77777777" w:rsidR="009D4A93" w:rsidRPr="00536CFD" w:rsidRDefault="009D4A93" w:rsidP="009D4A93">
            <w:pPr>
              <w:spacing w:after="0"/>
              <w:jc w:val="center"/>
              <w:rPr>
                <w:lang w:val="zh-CN"/>
              </w:rPr>
            </w:pPr>
            <w:r w:rsidRPr="00536CFD">
              <w:rPr>
                <w:lang w:val="zh-CN"/>
              </w:rPr>
              <w:t>105.98</w:t>
            </w:r>
          </w:p>
        </w:tc>
        <w:tc>
          <w:tcPr>
            <w:tcW w:w="810" w:type="dxa"/>
            <w:tcBorders>
              <w:top w:val="single" w:sz="4" w:space="0" w:color="auto"/>
              <w:left w:val="nil"/>
              <w:bottom w:val="single" w:sz="4" w:space="0" w:color="auto"/>
              <w:right w:val="single" w:sz="4" w:space="0" w:color="auto"/>
            </w:tcBorders>
            <w:shd w:val="clear" w:color="auto" w:fill="auto"/>
            <w:vAlign w:val="bottom"/>
          </w:tcPr>
          <w:p w14:paraId="54A79584" w14:textId="77777777" w:rsidR="009D4A93" w:rsidRPr="00536CFD" w:rsidRDefault="009D4A93" w:rsidP="009D4A93">
            <w:pPr>
              <w:spacing w:after="0"/>
              <w:jc w:val="center"/>
              <w:rPr>
                <w:lang w:val="zh-CN"/>
              </w:rPr>
            </w:pPr>
            <w:r w:rsidRPr="00536CFD">
              <w:rPr>
                <w:lang w:val="zh-CN"/>
              </w:rPr>
              <w:t>125.05</w:t>
            </w:r>
          </w:p>
        </w:tc>
        <w:tc>
          <w:tcPr>
            <w:tcW w:w="810" w:type="dxa"/>
            <w:tcBorders>
              <w:top w:val="single" w:sz="4" w:space="0" w:color="auto"/>
              <w:left w:val="nil"/>
              <w:bottom w:val="single" w:sz="4" w:space="0" w:color="auto"/>
              <w:right w:val="single" w:sz="4" w:space="0" w:color="auto"/>
            </w:tcBorders>
            <w:shd w:val="clear" w:color="auto" w:fill="auto"/>
            <w:vAlign w:val="bottom"/>
          </w:tcPr>
          <w:p w14:paraId="3C1FC7BD" w14:textId="77777777" w:rsidR="009D4A93" w:rsidRPr="00536CFD" w:rsidRDefault="009D4A93" w:rsidP="009D4A93">
            <w:pPr>
              <w:spacing w:after="0"/>
              <w:jc w:val="center"/>
              <w:rPr>
                <w:lang w:val="zh-CN"/>
              </w:rPr>
            </w:pPr>
            <w:r w:rsidRPr="00536CFD">
              <w:rPr>
                <w:lang w:val="zh-CN"/>
              </w:rPr>
              <w:t>38.4</w:t>
            </w:r>
          </w:p>
        </w:tc>
        <w:tc>
          <w:tcPr>
            <w:tcW w:w="820" w:type="dxa"/>
            <w:tcBorders>
              <w:top w:val="single" w:sz="4" w:space="0" w:color="auto"/>
              <w:left w:val="nil"/>
              <w:bottom w:val="single" w:sz="4" w:space="0" w:color="auto"/>
              <w:right w:val="single" w:sz="4" w:space="0" w:color="auto"/>
            </w:tcBorders>
            <w:shd w:val="clear" w:color="auto" w:fill="auto"/>
            <w:vAlign w:val="bottom"/>
          </w:tcPr>
          <w:p w14:paraId="2A3E6EE2" w14:textId="77777777" w:rsidR="009D4A93" w:rsidRPr="00536CFD" w:rsidRDefault="009D4A93" w:rsidP="009D4A93">
            <w:pPr>
              <w:spacing w:after="0"/>
              <w:jc w:val="center"/>
              <w:rPr>
                <w:lang w:val="zh-CN"/>
              </w:rPr>
            </w:pPr>
            <w:r w:rsidRPr="00536CFD">
              <w:rPr>
                <w:lang w:val="zh-CN"/>
              </w:rPr>
              <w:t>53.27</w:t>
            </w:r>
          </w:p>
        </w:tc>
        <w:tc>
          <w:tcPr>
            <w:tcW w:w="800" w:type="dxa"/>
            <w:tcBorders>
              <w:top w:val="single" w:sz="4" w:space="0" w:color="auto"/>
              <w:left w:val="nil"/>
              <w:bottom w:val="single" w:sz="4" w:space="0" w:color="auto"/>
              <w:right w:val="single" w:sz="4" w:space="0" w:color="auto"/>
            </w:tcBorders>
            <w:shd w:val="clear" w:color="auto" w:fill="auto"/>
            <w:vAlign w:val="bottom"/>
          </w:tcPr>
          <w:p w14:paraId="3830AA0C" w14:textId="77777777" w:rsidR="009D4A93" w:rsidRPr="00536CFD" w:rsidRDefault="009D4A93" w:rsidP="009D4A93">
            <w:pPr>
              <w:spacing w:after="0"/>
              <w:jc w:val="center"/>
              <w:rPr>
                <w:lang w:val="zh-CN"/>
              </w:rPr>
            </w:pPr>
            <w:r w:rsidRPr="00536CFD">
              <w:rPr>
                <w:lang w:val="zh-CN"/>
              </w:rPr>
              <w:t>91.8</w:t>
            </w:r>
          </w:p>
        </w:tc>
        <w:tc>
          <w:tcPr>
            <w:tcW w:w="720" w:type="dxa"/>
            <w:tcBorders>
              <w:top w:val="single" w:sz="4" w:space="0" w:color="auto"/>
              <w:left w:val="nil"/>
              <w:bottom w:val="single" w:sz="4" w:space="0" w:color="auto"/>
              <w:right w:val="single" w:sz="4" w:space="0" w:color="auto"/>
            </w:tcBorders>
            <w:shd w:val="clear" w:color="auto" w:fill="auto"/>
            <w:vAlign w:val="bottom"/>
          </w:tcPr>
          <w:p w14:paraId="3DF84EF3" w14:textId="77777777" w:rsidR="009D4A93" w:rsidRPr="00536CFD" w:rsidRDefault="009D4A93" w:rsidP="009D4A93">
            <w:pPr>
              <w:spacing w:after="0"/>
              <w:jc w:val="center"/>
              <w:rPr>
                <w:lang w:val="zh-CN"/>
              </w:rPr>
            </w:pPr>
            <w:r w:rsidRPr="00536CFD">
              <w:rPr>
                <w:lang w:val="zh-CN"/>
              </w:rPr>
              <w:t>116.74</w:t>
            </w:r>
          </w:p>
        </w:tc>
        <w:tc>
          <w:tcPr>
            <w:tcW w:w="724" w:type="dxa"/>
            <w:tcBorders>
              <w:top w:val="single" w:sz="4" w:space="0" w:color="auto"/>
              <w:left w:val="nil"/>
              <w:bottom w:val="single" w:sz="4" w:space="0" w:color="auto"/>
              <w:right w:val="single" w:sz="4" w:space="0" w:color="auto"/>
            </w:tcBorders>
            <w:shd w:val="clear" w:color="auto" w:fill="auto"/>
            <w:vAlign w:val="bottom"/>
          </w:tcPr>
          <w:p w14:paraId="79F989C7" w14:textId="77777777" w:rsidR="009D4A93" w:rsidRPr="00536CFD" w:rsidRDefault="009D4A93" w:rsidP="009D4A93">
            <w:pPr>
              <w:spacing w:after="0"/>
              <w:jc w:val="center"/>
              <w:rPr>
                <w:lang w:val="zh-CN"/>
              </w:rPr>
            </w:pPr>
            <w:r w:rsidRPr="00536CFD">
              <w:rPr>
                <w:lang w:val="zh-CN"/>
              </w:rPr>
              <w:t>30.41</w:t>
            </w:r>
          </w:p>
        </w:tc>
        <w:tc>
          <w:tcPr>
            <w:tcW w:w="896" w:type="dxa"/>
            <w:tcBorders>
              <w:top w:val="single" w:sz="4" w:space="0" w:color="auto"/>
              <w:left w:val="nil"/>
              <w:bottom w:val="single" w:sz="4" w:space="0" w:color="auto"/>
              <w:right w:val="single" w:sz="4" w:space="0" w:color="auto"/>
            </w:tcBorders>
            <w:shd w:val="clear" w:color="auto" w:fill="auto"/>
            <w:vAlign w:val="bottom"/>
          </w:tcPr>
          <w:p w14:paraId="75279EC3" w14:textId="77777777" w:rsidR="009D4A93" w:rsidRPr="00536CFD" w:rsidRDefault="009D4A93" w:rsidP="009D4A93">
            <w:pPr>
              <w:spacing w:after="0"/>
              <w:jc w:val="center"/>
              <w:rPr>
                <w:lang w:val="zh-CN"/>
              </w:rPr>
            </w:pPr>
            <w:r w:rsidRPr="00536CFD">
              <w:rPr>
                <w:lang w:val="zh-CN"/>
              </w:rPr>
              <w:t>45.83</w:t>
            </w:r>
          </w:p>
        </w:tc>
        <w:tc>
          <w:tcPr>
            <w:tcW w:w="720" w:type="dxa"/>
            <w:tcBorders>
              <w:top w:val="single" w:sz="4" w:space="0" w:color="auto"/>
              <w:left w:val="nil"/>
              <w:bottom w:val="single" w:sz="4" w:space="0" w:color="auto"/>
              <w:right w:val="single" w:sz="4" w:space="0" w:color="auto"/>
            </w:tcBorders>
            <w:shd w:val="clear" w:color="auto" w:fill="auto"/>
            <w:vAlign w:val="bottom"/>
          </w:tcPr>
          <w:p w14:paraId="0C028844" w14:textId="77777777" w:rsidR="009D4A93" w:rsidRPr="00536CFD" w:rsidRDefault="009D4A93" w:rsidP="009D4A93">
            <w:pPr>
              <w:spacing w:after="0"/>
              <w:jc w:val="center"/>
              <w:rPr>
                <w:lang w:val="zh-CN"/>
              </w:rPr>
            </w:pPr>
            <w:r w:rsidRPr="00536CFD">
              <w:rPr>
                <w:lang w:val="zh-CN"/>
              </w:rPr>
              <w:t>67.52</w:t>
            </w:r>
          </w:p>
        </w:tc>
        <w:tc>
          <w:tcPr>
            <w:tcW w:w="720" w:type="dxa"/>
            <w:tcBorders>
              <w:top w:val="single" w:sz="4" w:space="0" w:color="auto"/>
              <w:left w:val="nil"/>
              <w:bottom w:val="single" w:sz="4" w:space="0" w:color="auto"/>
              <w:right w:val="single" w:sz="4" w:space="0" w:color="auto"/>
            </w:tcBorders>
            <w:shd w:val="clear" w:color="auto" w:fill="auto"/>
            <w:vAlign w:val="bottom"/>
          </w:tcPr>
          <w:p w14:paraId="5832620F" w14:textId="77777777" w:rsidR="009D4A93" w:rsidRPr="00536CFD" w:rsidRDefault="009D4A93" w:rsidP="009D4A93">
            <w:pPr>
              <w:spacing w:after="0"/>
              <w:jc w:val="center"/>
              <w:rPr>
                <w:lang w:val="zh-CN"/>
              </w:rPr>
            </w:pPr>
            <w:r w:rsidRPr="00536CFD">
              <w:rPr>
                <w:lang w:val="zh-CN"/>
              </w:rPr>
              <w:t>105.87</w:t>
            </w:r>
          </w:p>
        </w:tc>
      </w:tr>
      <w:tr w:rsidR="009D4A93" w:rsidRPr="00536CFD" w14:paraId="1D20E3C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C331B1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FA223B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A40A9F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7DC69445" w14:textId="77777777" w:rsidR="009D4A93" w:rsidRPr="00536CFD" w:rsidRDefault="009D4A93" w:rsidP="009D4A93">
            <w:pPr>
              <w:spacing w:after="0"/>
              <w:jc w:val="center"/>
              <w:rPr>
                <w:lang w:val="zh-CN"/>
              </w:rPr>
            </w:pPr>
            <w:r w:rsidRPr="00536CFD">
              <w:rPr>
                <w:lang w:val="zh-CN"/>
              </w:rPr>
              <w:t>102.22</w:t>
            </w:r>
          </w:p>
        </w:tc>
        <w:tc>
          <w:tcPr>
            <w:tcW w:w="720" w:type="dxa"/>
            <w:tcBorders>
              <w:top w:val="single" w:sz="4" w:space="0" w:color="auto"/>
              <w:left w:val="nil"/>
              <w:bottom w:val="single" w:sz="4" w:space="0" w:color="auto"/>
              <w:right w:val="single" w:sz="4" w:space="0" w:color="auto"/>
            </w:tcBorders>
            <w:shd w:val="clear" w:color="auto" w:fill="auto"/>
            <w:vAlign w:val="bottom"/>
          </w:tcPr>
          <w:p w14:paraId="463305D7" w14:textId="77777777" w:rsidR="009D4A93" w:rsidRPr="00536CFD" w:rsidRDefault="009D4A93" w:rsidP="009D4A93">
            <w:pPr>
              <w:spacing w:after="0"/>
              <w:jc w:val="center"/>
              <w:rPr>
                <w:lang w:val="zh-CN"/>
              </w:rPr>
            </w:pPr>
            <w:r w:rsidRPr="00536CFD">
              <w:rPr>
                <w:lang w:val="zh-CN"/>
              </w:rPr>
              <w:t>121.4</w:t>
            </w:r>
          </w:p>
        </w:tc>
        <w:tc>
          <w:tcPr>
            <w:tcW w:w="720" w:type="dxa"/>
            <w:tcBorders>
              <w:top w:val="single" w:sz="4" w:space="0" w:color="auto"/>
              <w:left w:val="nil"/>
              <w:bottom w:val="single" w:sz="4" w:space="0" w:color="auto"/>
              <w:right w:val="single" w:sz="4" w:space="0" w:color="auto"/>
            </w:tcBorders>
            <w:shd w:val="clear" w:color="auto" w:fill="auto"/>
            <w:vAlign w:val="bottom"/>
          </w:tcPr>
          <w:p w14:paraId="2E73DCCD" w14:textId="77777777" w:rsidR="009D4A93" w:rsidRPr="00536CFD" w:rsidRDefault="009D4A93" w:rsidP="009D4A93">
            <w:pPr>
              <w:spacing w:after="0"/>
              <w:jc w:val="center"/>
              <w:rPr>
                <w:lang w:val="zh-CN"/>
              </w:rPr>
            </w:pPr>
            <w:r w:rsidRPr="00536CFD">
              <w:rPr>
                <w:lang w:val="zh-CN"/>
              </w:rPr>
              <w:t>147.19</w:t>
            </w:r>
          </w:p>
        </w:tc>
        <w:tc>
          <w:tcPr>
            <w:tcW w:w="810" w:type="dxa"/>
            <w:tcBorders>
              <w:top w:val="single" w:sz="4" w:space="0" w:color="auto"/>
              <w:left w:val="nil"/>
              <w:bottom w:val="single" w:sz="4" w:space="0" w:color="auto"/>
              <w:right w:val="single" w:sz="4" w:space="0" w:color="auto"/>
            </w:tcBorders>
            <w:shd w:val="clear" w:color="auto" w:fill="auto"/>
            <w:vAlign w:val="bottom"/>
          </w:tcPr>
          <w:p w14:paraId="2DEA7A31" w14:textId="77777777" w:rsidR="009D4A93" w:rsidRPr="00536CFD" w:rsidRDefault="009D4A93" w:rsidP="009D4A93">
            <w:pPr>
              <w:spacing w:after="0"/>
              <w:jc w:val="center"/>
              <w:rPr>
                <w:lang w:val="zh-CN"/>
              </w:rPr>
            </w:pPr>
            <w:r w:rsidRPr="00536CFD">
              <w:rPr>
                <w:lang w:val="zh-CN"/>
              </w:rPr>
              <w:t>160.27</w:t>
            </w:r>
          </w:p>
        </w:tc>
        <w:tc>
          <w:tcPr>
            <w:tcW w:w="810" w:type="dxa"/>
            <w:tcBorders>
              <w:top w:val="single" w:sz="4" w:space="0" w:color="auto"/>
              <w:left w:val="nil"/>
              <w:bottom w:val="single" w:sz="4" w:space="0" w:color="auto"/>
              <w:right w:val="single" w:sz="4" w:space="0" w:color="auto"/>
            </w:tcBorders>
            <w:shd w:val="clear" w:color="auto" w:fill="auto"/>
            <w:vAlign w:val="bottom"/>
          </w:tcPr>
          <w:p w14:paraId="175E7BDA" w14:textId="77777777" w:rsidR="009D4A93" w:rsidRPr="00536CFD" w:rsidRDefault="009D4A93" w:rsidP="009D4A93">
            <w:pPr>
              <w:spacing w:after="0"/>
              <w:jc w:val="center"/>
              <w:rPr>
                <w:lang w:val="zh-CN"/>
              </w:rPr>
            </w:pPr>
            <w:r w:rsidRPr="00536CFD">
              <w:rPr>
                <w:lang w:val="zh-CN"/>
              </w:rPr>
              <w:t>93.14</w:t>
            </w:r>
          </w:p>
        </w:tc>
        <w:tc>
          <w:tcPr>
            <w:tcW w:w="820" w:type="dxa"/>
            <w:tcBorders>
              <w:top w:val="single" w:sz="4" w:space="0" w:color="auto"/>
              <w:left w:val="nil"/>
              <w:bottom w:val="single" w:sz="4" w:space="0" w:color="auto"/>
              <w:right w:val="single" w:sz="4" w:space="0" w:color="auto"/>
            </w:tcBorders>
            <w:shd w:val="clear" w:color="auto" w:fill="auto"/>
            <w:vAlign w:val="bottom"/>
          </w:tcPr>
          <w:p w14:paraId="1EC209B4" w14:textId="77777777" w:rsidR="009D4A93" w:rsidRPr="00536CFD" w:rsidRDefault="009D4A93" w:rsidP="009D4A93">
            <w:pPr>
              <w:spacing w:after="0"/>
              <w:jc w:val="center"/>
              <w:rPr>
                <w:lang w:val="zh-CN"/>
              </w:rPr>
            </w:pPr>
            <w:r w:rsidRPr="00536CFD">
              <w:rPr>
                <w:lang w:val="zh-CN"/>
              </w:rPr>
              <w:t>110.99</w:t>
            </w:r>
          </w:p>
        </w:tc>
        <w:tc>
          <w:tcPr>
            <w:tcW w:w="800" w:type="dxa"/>
            <w:tcBorders>
              <w:top w:val="single" w:sz="4" w:space="0" w:color="auto"/>
              <w:left w:val="nil"/>
              <w:bottom w:val="single" w:sz="4" w:space="0" w:color="auto"/>
              <w:right w:val="single" w:sz="4" w:space="0" w:color="auto"/>
            </w:tcBorders>
            <w:shd w:val="clear" w:color="auto" w:fill="auto"/>
            <w:vAlign w:val="bottom"/>
          </w:tcPr>
          <w:p w14:paraId="14FAF803" w14:textId="77777777" w:rsidR="009D4A93" w:rsidRPr="00536CFD" w:rsidRDefault="009D4A93" w:rsidP="009D4A93">
            <w:pPr>
              <w:spacing w:after="0"/>
              <w:jc w:val="center"/>
              <w:rPr>
                <w:lang w:val="zh-CN"/>
              </w:rPr>
            </w:pPr>
            <w:r w:rsidRPr="00536CFD">
              <w:rPr>
                <w:lang w:val="zh-CN"/>
              </w:rPr>
              <w:t>138.3</w:t>
            </w:r>
          </w:p>
        </w:tc>
        <w:tc>
          <w:tcPr>
            <w:tcW w:w="720" w:type="dxa"/>
            <w:tcBorders>
              <w:top w:val="single" w:sz="4" w:space="0" w:color="auto"/>
              <w:left w:val="nil"/>
              <w:bottom w:val="single" w:sz="4" w:space="0" w:color="auto"/>
              <w:right w:val="single" w:sz="4" w:space="0" w:color="auto"/>
            </w:tcBorders>
            <w:shd w:val="clear" w:color="auto" w:fill="auto"/>
            <w:vAlign w:val="bottom"/>
          </w:tcPr>
          <w:p w14:paraId="7B0958B6" w14:textId="77777777" w:rsidR="009D4A93" w:rsidRPr="00536CFD" w:rsidRDefault="009D4A93" w:rsidP="009D4A93">
            <w:pPr>
              <w:spacing w:after="0"/>
              <w:jc w:val="center"/>
              <w:rPr>
                <w:lang w:val="zh-CN"/>
              </w:rPr>
            </w:pPr>
            <w:r w:rsidRPr="00536CFD">
              <w:rPr>
                <w:lang w:val="zh-CN"/>
              </w:rPr>
              <w:t>154.81</w:t>
            </w:r>
          </w:p>
        </w:tc>
        <w:tc>
          <w:tcPr>
            <w:tcW w:w="724" w:type="dxa"/>
            <w:tcBorders>
              <w:top w:val="single" w:sz="4" w:space="0" w:color="auto"/>
              <w:left w:val="nil"/>
              <w:bottom w:val="single" w:sz="4" w:space="0" w:color="auto"/>
              <w:right w:val="single" w:sz="4" w:space="0" w:color="auto"/>
            </w:tcBorders>
            <w:shd w:val="clear" w:color="auto" w:fill="auto"/>
            <w:vAlign w:val="bottom"/>
          </w:tcPr>
          <w:p w14:paraId="309D4537" w14:textId="77777777" w:rsidR="009D4A93" w:rsidRPr="00536CFD" w:rsidRDefault="009D4A93" w:rsidP="009D4A93">
            <w:pPr>
              <w:spacing w:after="0"/>
              <w:jc w:val="center"/>
              <w:rPr>
                <w:lang w:val="zh-CN"/>
              </w:rPr>
            </w:pPr>
            <w:r w:rsidRPr="00536CFD">
              <w:rPr>
                <w:lang w:val="zh-CN"/>
              </w:rPr>
              <w:t>83.44</w:t>
            </w:r>
          </w:p>
        </w:tc>
        <w:tc>
          <w:tcPr>
            <w:tcW w:w="896" w:type="dxa"/>
            <w:tcBorders>
              <w:top w:val="single" w:sz="4" w:space="0" w:color="auto"/>
              <w:left w:val="nil"/>
              <w:bottom w:val="single" w:sz="4" w:space="0" w:color="auto"/>
              <w:right w:val="single" w:sz="4" w:space="0" w:color="auto"/>
            </w:tcBorders>
            <w:shd w:val="clear" w:color="auto" w:fill="auto"/>
            <w:vAlign w:val="bottom"/>
          </w:tcPr>
          <w:p w14:paraId="1C7515A4" w14:textId="77777777" w:rsidR="009D4A93" w:rsidRPr="00536CFD" w:rsidRDefault="009D4A93" w:rsidP="009D4A93">
            <w:pPr>
              <w:spacing w:after="0"/>
              <w:jc w:val="center"/>
              <w:rPr>
                <w:lang w:val="zh-CN"/>
              </w:rPr>
            </w:pPr>
            <w:r w:rsidRPr="00536CFD">
              <w:rPr>
                <w:lang w:val="zh-CN"/>
              </w:rPr>
              <w:t>104.12</w:t>
            </w:r>
          </w:p>
        </w:tc>
        <w:tc>
          <w:tcPr>
            <w:tcW w:w="720" w:type="dxa"/>
            <w:tcBorders>
              <w:top w:val="single" w:sz="4" w:space="0" w:color="auto"/>
              <w:left w:val="nil"/>
              <w:bottom w:val="single" w:sz="4" w:space="0" w:color="auto"/>
              <w:right w:val="single" w:sz="4" w:space="0" w:color="auto"/>
            </w:tcBorders>
            <w:shd w:val="clear" w:color="auto" w:fill="auto"/>
            <w:vAlign w:val="bottom"/>
          </w:tcPr>
          <w:p w14:paraId="52CBF311" w14:textId="77777777" w:rsidR="009D4A93" w:rsidRPr="00536CFD" w:rsidRDefault="009D4A93" w:rsidP="009D4A93">
            <w:pPr>
              <w:spacing w:after="0"/>
              <w:jc w:val="center"/>
              <w:rPr>
                <w:lang w:val="zh-CN"/>
              </w:rPr>
            </w:pPr>
            <w:r w:rsidRPr="00536CFD">
              <w:rPr>
                <w:lang w:val="zh-CN"/>
              </w:rPr>
              <w:t>123.81</w:t>
            </w:r>
          </w:p>
        </w:tc>
        <w:tc>
          <w:tcPr>
            <w:tcW w:w="720" w:type="dxa"/>
            <w:tcBorders>
              <w:top w:val="single" w:sz="4" w:space="0" w:color="auto"/>
              <w:left w:val="nil"/>
              <w:bottom w:val="single" w:sz="4" w:space="0" w:color="auto"/>
              <w:right w:val="single" w:sz="4" w:space="0" w:color="auto"/>
            </w:tcBorders>
            <w:shd w:val="clear" w:color="auto" w:fill="auto"/>
            <w:vAlign w:val="bottom"/>
          </w:tcPr>
          <w:p w14:paraId="7538BFBE" w14:textId="77777777" w:rsidR="009D4A93" w:rsidRPr="00536CFD" w:rsidRDefault="009D4A93" w:rsidP="009D4A93">
            <w:pPr>
              <w:spacing w:after="0"/>
              <w:jc w:val="center"/>
              <w:rPr>
                <w:lang w:val="zh-CN"/>
              </w:rPr>
            </w:pPr>
            <w:r w:rsidRPr="00536CFD">
              <w:rPr>
                <w:lang w:val="zh-CN"/>
              </w:rPr>
              <w:t>147.5</w:t>
            </w:r>
          </w:p>
        </w:tc>
      </w:tr>
      <w:tr w:rsidR="009D4A93" w:rsidRPr="00536CFD" w14:paraId="241E429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1CFC1A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A460F5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CC87D3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52786851" w14:textId="77777777" w:rsidR="009D4A93" w:rsidRPr="00536CFD" w:rsidRDefault="009D4A93" w:rsidP="009D4A93">
            <w:pPr>
              <w:spacing w:after="0"/>
              <w:jc w:val="center"/>
              <w:rPr>
                <w:lang w:val="zh-CN"/>
              </w:rPr>
            </w:pPr>
            <w:r w:rsidRPr="00536CFD">
              <w:rPr>
                <w:lang w:val="zh-CN"/>
              </w:rPr>
              <w:t>52.89</w:t>
            </w:r>
          </w:p>
        </w:tc>
        <w:tc>
          <w:tcPr>
            <w:tcW w:w="720" w:type="dxa"/>
            <w:tcBorders>
              <w:top w:val="single" w:sz="4" w:space="0" w:color="auto"/>
              <w:left w:val="nil"/>
              <w:bottom w:val="single" w:sz="4" w:space="0" w:color="auto"/>
              <w:right w:val="single" w:sz="4" w:space="0" w:color="auto"/>
            </w:tcBorders>
            <w:shd w:val="clear" w:color="auto" w:fill="auto"/>
            <w:vAlign w:val="bottom"/>
          </w:tcPr>
          <w:p w14:paraId="7046D43F" w14:textId="77777777" w:rsidR="009D4A93" w:rsidRPr="00536CFD" w:rsidRDefault="009D4A93" w:rsidP="009D4A93">
            <w:pPr>
              <w:spacing w:after="0"/>
              <w:jc w:val="center"/>
              <w:rPr>
                <w:lang w:val="zh-CN"/>
              </w:rPr>
            </w:pPr>
            <w:r w:rsidRPr="00536CFD">
              <w:rPr>
                <w:lang w:val="zh-CN"/>
              </w:rPr>
              <w:t>64.21</w:t>
            </w:r>
          </w:p>
        </w:tc>
        <w:tc>
          <w:tcPr>
            <w:tcW w:w="720" w:type="dxa"/>
            <w:tcBorders>
              <w:top w:val="single" w:sz="4" w:space="0" w:color="auto"/>
              <w:left w:val="nil"/>
              <w:bottom w:val="single" w:sz="4" w:space="0" w:color="auto"/>
              <w:right w:val="single" w:sz="4" w:space="0" w:color="auto"/>
            </w:tcBorders>
            <w:shd w:val="clear" w:color="auto" w:fill="auto"/>
            <w:vAlign w:val="bottom"/>
          </w:tcPr>
          <w:p w14:paraId="68497982" w14:textId="77777777" w:rsidR="009D4A93" w:rsidRPr="00536CFD" w:rsidRDefault="009D4A93" w:rsidP="009D4A93">
            <w:pPr>
              <w:spacing w:after="0"/>
              <w:jc w:val="center"/>
              <w:rPr>
                <w:lang w:val="zh-CN"/>
              </w:rPr>
            </w:pPr>
            <w:r w:rsidRPr="00536CFD">
              <w:rPr>
                <w:lang w:val="zh-CN"/>
              </w:rPr>
              <w:t>102.17</w:t>
            </w:r>
          </w:p>
        </w:tc>
        <w:tc>
          <w:tcPr>
            <w:tcW w:w="810" w:type="dxa"/>
            <w:tcBorders>
              <w:top w:val="single" w:sz="4" w:space="0" w:color="auto"/>
              <w:left w:val="nil"/>
              <w:bottom w:val="single" w:sz="4" w:space="0" w:color="auto"/>
              <w:right w:val="single" w:sz="4" w:space="0" w:color="auto"/>
            </w:tcBorders>
            <w:shd w:val="clear" w:color="auto" w:fill="auto"/>
            <w:vAlign w:val="bottom"/>
          </w:tcPr>
          <w:p w14:paraId="65C75D8C" w14:textId="77777777" w:rsidR="009D4A93" w:rsidRPr="00536CFD" w:rsidRDefault="009D4A93" w:rsidP="009D4A93">
            <w:pPr>
              <w:spacing w:after="0"/>
              <w:jc w:val="center"/>
              <w:rPr>
                <w:lang w:val="zh-CN"/>
              </w:rPr>
            </w:pPr>
            <w:r w:rsidRPr="00536CFD">
              <w:rPr>
                <w:lang w:val="zh-CN"/>
              </w:rPr>
              <w:t>116.19</w:t>
            </w:r>
          </w:p>
        </w:tc>
        <w:tc>
          <w:tcPr>
            <w:tcW w:w="810" w:type="dxa"/>
            <w:tcBorders>
              <w:top w:val="single" w:sz="4" w:space="0" w:color="auto"/>
              <w:left w:val="nil"/>
              <w:bottom w:val="single" w:sz="4" w:space="0" w:color="auto"/>
              <w:right w:val="single" w:sz="4" w:space="0" w:color="auto"/>
            </w:tcBorders>
            <w:shd w:val="clear" w:color="auto" w:fill="auto"/>
            <w:vAlign w:val="bottom"/>
          </w:tcPr>
          <w:p w14:paraId="2C5C9E39" w14:textId="77777777" w:rsidR="009D4A93" w:rsidRPr="00536CFD" w:rsidRDefault="009D4A93" w:rsidP="009D4A93">
            <w:pPr>
              <w:spacing w:after="0"/>
              <w:jc w:val="center"/>
              <w:rPr>
                <w:lang w:val="zh-CN"/>
              </w:rPr>
            </w:pPr>
            <w:r w:rsidRPr="00536CFD">
              <w:rPr>
                <w:lang w:val="zh-CN"/>
              </w:rPr>
              <w:t>42.07</w:t>
            </w:r>
          </w:p>
        </w:tc>
        <w:tc>
          <w:tcPr>
            <w:tcW w:w="820" w:type="dxa"/>
            <w:tcBorders>
              <w:top w:val="single" w:sz="4" w:space="0" w:color="auto"/>
              <w:left w:val="nil"/>
              <w:bottom w:val="single" w:sz="4" w:space="0" w:color="auto"/>
              <w:right w:val="single" w:sz="4" w:space="0" w:color="auto"/>
            </w:tcBorders>
            <w:shd w:val="clear" w:color="auto" w:fill="auto"/>
            <w:vAlign w:val="bottom"/>
          </w:tcPr>
          <w:p w14:paraId="782ECCCA" w14:textId="77777777" w:rsidR="009D4A93" w:rsidRPr="00536CFD" w:rsidRDefault="009D4A93" w:rsidP="009D4A93">
            <w:pPr>
              <w:spacing w:after="0"/>
              <w:jc w:val="center"/>
              <w:rPr>
                <w:lang w:val="zh-CN"/>
              </w:rPr>
            </w:pPr>
            <w:r w:rsidRPr="00536CFD">
              <w:rPr>
                <w:lang w:val="zh-CN"/>
              </w:rPr>
              <w:t>57.13</w:t>
            </w:r>
          </w:p>
        </w:tc>
        <w:tc>
          <w:tcPr>
            <w:tcW w:w="800" w:type="dxa"/>
            <w:tcBorders>
              <w:top w:val="single" w:sz="4" w:space="0" w:color="auto"/>
              <w:left w:val="nil"/>
              <w:bottom w:val="single" w:sz="4" w:space="0" w:color="auto"/>
              <w:right w:val="single" w:sz="4" w:space="0" w:color="auto"/>
            </w:tcBorders>
            <w:shd w:val="clear" w:color="auto" w:fill="auto"/>
            <w:vAlign w:val="bottom"/>
          </w:tcPr>
          <w:p w14:paraId="36736AA7" w14:textId="77777777" w:rsidR="009D4A93" w:rsidRPr="00536CFD" w:rsidRDefault="009D4A93" w:rsidP="009D4A93">
            <w:pPr>
              <w:spacing w:after="0"/>
              <w:jc w:val="center"/>
              <w:rPr>
                <w:lang w:val="zh-CN"/>
              </w:rPr>
            </w:pPr>
            <w:r w:rsidRPr="00536CFD">
              <w:rPr>
                <w:lang w:val="zh-CN"/>
              </w:rPr>
              <w:t>87.14</w:t>
            </w:r>
          </w:p>
        </w:tc>
        <w:tc>
          <w:tcPr>
            <w:tcW w:w="720" w:type="dxa"/>
            <w:tcBorders>
              <w:top w:val="single" w:sz="4" w:space="0" w:color="auto"/>
              <w:left w:val="nil"/>
              <w:bottom w:val="single" w:sz="4" w:space="0" w:color="auto"/>
              <w:right w:val="single" w:sz="4" w:space="0" w:color="auto"/>
            </w:tcBorders>
            <w:shd w:val="clear" w:color="auto" w:fill="auto"/>
            <w:vAlign w:val="bottom"/>
          </w:tcPr>
          <w:p w14:paraId="04CF5985" w14:textId="77777777" w:rsidR="009D4A93" w:rsidRPr="00536CFD" w:rsidRDefault="009D4A93" w:rsidP="009D4A93">
            <w:pPr>
              <w:spacing w:after="0"/>
              <w:jc w:val="center"/>
              <w:rPr>
                <w:lang w:val="zh-CN"/>
              </w:rPr>
            </w:pPr>
            <w:r w:rsidRPr="00536CFD">
              <w:rPr>
                <w:lang w:val="zh-CN"/>
              </w:rPr>
              <w:t>108.72</w:t>
            </w:r>
          </w:p>
        </w:tc>
        <w:tc>
          <w:tcPr>
            <w:tcW w:w="724" w:type="dxa"/>
            <w:tcBorders>
              <w:top w:val="single" w:sz="4" w:space="0" w:color="auto"/>
              <w:left w:val="nil"/>
              <w:bottom w:val="single" w:sz="4" w:space="0" w:color="auto"/>
              <w:right w:val="single" w:sz="4" w:space="0" w:color="auto"/>
            </w:tcBorders>
            <w:shd w:val="clear" w:color="auto" w:fill="auto"/>
            <w:vAlign w:val="bottom"/>
          </w:tcPr>
          <w:p w14:paraId="21A9F66B" w14:textId="77777777" w:rsidR="009D4A93" w:rsidRPr="00536CFD" w:rsidRDefault="009D4A93" w:rsidP="009D4A93">
            <w:pPr>
              <w:spacing w:after="0"/>
              <w:jc w:val="center"/>
              <w:rPr>
                <w:lang w:val="zh-CN"/>
              </w:rPr>
            </w:pPr>
            <w:r w:rsidRPr="00536CFD">
              <w:rPr>
                <w:lang w:val="zh-CN"/>
              </w:rPr>
              <w:t>32.76</w:t>
            </w:r>
          </w:p>
        </w:tc>
        <w:tc>
          <w:tcPr>
            <w:tcW w:w="896" w:type="dxa"/>
            <w:tcBorders>
              <w:top w:val="single" w:sz="4" w:space="0" w:color="auto"/>
              <w:left w:val="nil"/>
              <w:bottom w:val="single" w:sz="4" w:space="0" w:color="auto"/>
              <w:right w:val="single" w:sz="4" w:space="0" w:color="auto"/>
            </w:tcBorders>
            <w:shd w:val="clear" w:color="auto" w:fill="auto"/>
            <w:vAlign w:val="bottom"/>
          </w:tcPr>
          <w:p w14:paraId="105F3C11" w14:textId="77777777" w:rsidR="009D4A93" w:rsidRPr="00536CFD" w:rsidRDefault="009D4A93" w:rsidP="009D4A93">
            <w:pPr>
              <w:spacing w:after="0"/>
              <w:jc w:val="center"/>
              <w:rPr>
                <w:lang w:val="zh-CN"/>
              </w:rPr>
            </w:pPr>
            <w:r w:rsidRPr="00536CFD">
              <w:rPr>
                <w:lang w:val="zh-CN"/>
              </w:rPr>
              <w:t>49.37</w:t>
            </w:r>
          </w:p>
        </w:tc>
        <w:tc>
          <w:tcPr>
            <w:tcW w:w="720" w:type="dxa"/>
            <w:tcBorders>
              <w:top w:val="single" w:sz="4" w:space="0" w:color="auto"/>
              <w:left w:val="nil"/>
              <w:bottom w:val="single" w:sz="4" w:space="0" w:color="auto"/>
              <w:right w:val="single" w:sz="4" w:space="0" w:color="auto"/>
            </w:tcBorders>
            <w:shd w:val="clear" w:color="auto" w:fill="auto"/>
            <w:vAlign w:val="bottom"/>
          </w:tcPr>
          <w:p w14:paraId="30901FCF" w14:textId="77777777" w:rsidR="009D4A93" w:rsidRPr="00536CFD" w:rsidRDefault="009D4A93" w:rsidP="009D4A93">
            <w:pPr>
              <w:spacing w:after="0"/>
              <w:jc w:val="center"/>
              <w:rPr>
                <w:lang w:val="zh-CN"/>
              </w:rPr>
            </w:pPr>
            <w:r w:rsidRPr="00536CFD">
              <w:rPr>
                <w:lang w:val="zh-CN"/>
              </w:rPr>
              <w:t>69.99</w:t>
            </w:r>
          </w:p>
        </w:tc>
        <w:tc>
          <w:tcPr>
            <w:tcW w:w="720" w:type="dxa"/>
            <w:tcBorders>
              <w:top w:val="single" w:sz="4" w:space="0" w:color="auto"/>
              <w:left w:val="nil"/>
              <w:bottom w:val="single" w:sz="4" w:space="0" w:color="auto"/>
              <w:right w:val="single" w:sz="4" w:space="0" w:color="auto"/>
            </w:tcBorders>
            <w:shd w:val="clear" w:color="auto" w:fill="auto"/>
            <w:vAlign w:val="bottom"/>
          </w:tcPr>
          <w:p w14:paraId="2421148E" w14:textId="77777777" w:rsidR="009D4A93" w:rsidRPr="00536CFD" w:rsidRDefault="009D4A93" w:rsidP="009D4A93">
            <w:pPr>
              <w:spacing w:after="0"/>
              <w:jc w:val="center"/>
              <w:rPr>
                <w:lang w:val="zh-CN"/>
              </w:rPr>
            </w:pPr>
            <w:r w:rsidRPr="00536CFD">
              <w:rPr>
                <w:lang w:val="zh-CN"/>
              </w:rPr>
              <w:t>100.33</w:t>
            </w:r>
          </w:p>
        </w:tc>
      </w:tr>
      <w:tr w:rsidR="009D4A93" w:rsidRPr="00536CFD" w14:paraId="269824E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7ED3468"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2200514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013BB07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69ECC51A" w14:textId="77777777" w:rsidR="009D4A93" w:rsidRPr="00536CFD" w:rsidRDefault="009D4A93" w:rsidP="009D4A93">
            <w:pPr>
              <w:spacing w:after="0"/>
              <w:jc w:val="center"/>
              <w:rPr>
                <w:lang w:val="zh-CN"/>
              </w:rPr>
            </w:pPr>
            <w:r w:rsidRPr="00536CFD">
              <w:rPr>
                <w:lang w:val="zh-CN"/>
              </w:rPr>
              <w:t>0.03</w:t>
            </w:r>
          </w:p>
        </w:tc>
        <w:tc>
          <w:tcPr>
            <w:tcW w:w="720" w:type="dxa"/>
            <w:tcBorders>
              <w:top w:val="single" w:sz="4" w:space="0" w:color="auto"/>
              <w:left w:val="nil"/>
              <w:bottom w:val="single" w:sz="4" w:space="0" w:color="auto"/>
              <w:right w:val="single" w:sz="4" w:space="0" w:color="auto"/>
            </w:tcBorders>
            <w:shd w:val="clear" w:color="auto" w:fill="auto"/>
            <w:vAlign w:val="bottom"/>
          </w:tcPr>
          <w:p w14:paraId="3B525F6C"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62238388"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vAlign w:val="bottom"/>
          </w:tcPr>
          <w:p w14:paraId="0779D552"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vAlign w:val="bottom"/>
          </w:tcPr>
          <w:p w14:paraId="67F96741" w14:textId="77777777" w:rsidR="009D4A93" w:rsidRPr="00536CFD" w:rsidRDefault="009D4A93" w:rsidP="009D4A93">
            <w:pPr>
              <w:spacing w:after="0"/>
              <w:jc w:val="center"/>
              <w:rPr>
                <w:lang w:val="zh-CN"/>
              </w:rPr>
            </w:pPr>
            <w:r w:rsidRPr="00536CFD">
              <w:rPr>
                <w:lang w:val="zh-CN"/>
              </w:rPr>
              <w:t>0.033</w:t>
            </w:r>
          </w:p>
        </w:tc>
        <w:tc>
          <w:tcPr>
            <w:tcW w:w="820" w:type="dxa"/>
            <w:tcBorders>
              <w:top w:val="single" w:sz="4" w:space="0" w:color="auto"/>
              <w:left w:val="nil"/>
              <w:bottom w:val="single" w:sz="4" w:space="0" w:color="auto"/>
              <w:right w:val="single" w:sz="4" w:space="0" w:color="auto"/>
            </w:tcBorders>
            <w:shd w:val="clear" w:color="auto" w:fill="auto"/>
            <w:vAlign w:val="bottom"/>
          </w:tcPr>
          <w:p w14:paraId="65FB18DB" w14:textId="77777777" w:rsidR="009D4A93" w:rsidRPr="00536CFD" w:rsidRDefault="009D4A93" w:rsidP="009D4A93">
            <w:pPr>
              <w:spacing w:after="0"/>
              <w:jc w:val="center"/>
              <w:rPr>
                <w:lang w:val="zh-CN"/>
              </w:rPr>
            </w:pPr>
            <w:r w:rsidRPr="00536CFD">
              <w:rPr>
                <w:lang w:val="zh-CN"/>
              </w:rPr>
              <w:t>0.029</w:t>
            </w:r>
          </w:p>
        </w:tc>
        <w:tc>
          <w:tcPr>
            <w:tcW w:w="800" w:type="dxa"/>
            <w:tcBorders>
              <w:top w:val="single" w:sz="4" w:space="0" w:color="auto"/>
              <w:left w:val="nil"/>
              <w:bottom w:val="single" w:sz="4" w:space="0" w:color="auto"/>
              <w:right w:val="single" w:sz="4" w:space="0" w:color="auto"/>
            </w:tcBorders>
            <w:shd w:val="clear" w:color="auto" w:fill="auto"/>
            <w:vAlign w:val="bottom"/>
          </w:tcPr>
          <w:p w14:paraId="6CF56724"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1D82CB43" w14:textId="77777777" w:rsidR="009D4A93" w:rsidRPr="00536CFD" w:rsidRDefault="009D4A93" w:rsidP="009D4A93">
            <w:pPr>
              <w:spacing w:after="0"/>
              <w:jc w:val="center"/>
              <w:rPr>
                <w:lang w:val="zh-CN"/>
              </w:rPr>
            </w:pPr>
            <w:r w:rsidRPr="00536CFD">
              <w:rPr>
                <w:lang w:val="zh-CN"/>
              </w:rPr>
              <w:t>0.021</w:t>
            </w:r>
          </w:p>
        </w:tc>
        <w:tc>
          <w:tcPr>
            <w:tcW w:w="724" w:type="dxa"/>
            <w:tcBorders>
              <w:top w:val="single" w:sz="4" w:space="0" w:color="auto"/>
              <w:left w:val="nil"/>
              <w:bottom w:val="single" w:sz="4" w:space="0" w:color="auto"/>
              <w:right w:val="single" w:sz="4" w:space="0" w:color="auto"/>
            </w:tcBorders>
            <w:shd w:val="clear" w:color="auto" w:fill="auto"/>
            <w:vAlign w:val="bottom"/>
          </w:tcPr>
          <w:p w14:paraId="3DBC947E" w14:textId="77777777" w:rsidR="009D4A93" w:rsidRPr="00536CFD" w:rsidRDefault="009D4A93" w:rsidP="009D4A93">
            <w:pPr>
              <w:spacing w:after="0"/>
              <w:jc w:val="center"/>
              <w:rPr>
                <w:lang w:val="zh-CN"/>
              </w:rPr>
            </w:pPr>
            <w:r w:rsidRPr="00536CFD">
              <w:rPr>
                <w:lang w:val="zh-CN"/>
              </w:rPr>
              <w:t>0.037</w:t>
            </w:r>
          </w:p>
        </w:tc>
        <w:tc>
          <w:tcPr>
            <w:tcW w:w="896" w:type="dxa"/>
            <w:tcBorders>
              <w:top w:val="single" w:sz="4" w:space="0" w:color="auto"/>
              <w:left w:val="nil"/>
              <w:bottom w:val="single" w:sz="4" w:space="0" w:color="auto"/>
              <w:right w:val="single" w:sz="4" w:space="0" w:color="auto"/>
            </w:tcBorders>
            <w:shd w:val="clear" w:color="auto" w:fill="auto"/>
            <w:vAlign w:val="bottom"/>
          </w:tcPr>
          <w:p w14:paraId="069986BC" w14:textId="77777777" w:rsidR="009D4A93" w:rsidRPr="00536CFD" w:rsidRDefault="009D4A93" w:rsidP="009D4A93">
            <w:pPr>
              <w:spacing w:after="0"/>
              <w:jc w:val="center"/>
              <w:rPr>
                <w:lang w:val="zh-CN"/>
              </w:rPr>
            </w:pPr>
            <w:r w:rsidRPr="00536CFD">
              <w:rPr>
                <w:lang w:val="zh-CN"/>
              </w:rPr>
              <w:t>0.03</w:t>
            </w:r>
          </w:p>
        </w:tc>
        <w:tc>
          <w:tcPr>
            <w:tcW w:w="720" w:type="dxa"/>
            <w:tcBorders>
              <w:top w:val="single" w:sz="4" w:space="0" w:color="auto"/>
              <w:left w:val="nil"/>
              <w:bottom w:val="single" w:sz="4" w:space="0" w:color="auto"/>
              <w:right w:val="single" w:sz="4" w:space="0" w:color="auto"/>
            </w:tcBorders>
            <w:shd w:val="clear" w:color="auto" w:fill="auto"/>
            <w:vAlign w:val="bottom"/>
          </w:tcPr>
          <w:p w14:paraId="4AD28F6C" w14:textId="77777777" w:rsidR="009D4A93" w:rsidRPr="00536CFD" w:rsidRDefault="009D4A93" w:rsidP="009D4A93">
            <w:pPr>
              <w:spacing w:after="0"/>
              <w:jc w:val="center"/>
              <w:rPr>
                <w:lang w:val="zh-CN"/>
              </w:rPr>
            </w:pPr>
            <w:r w:rsidRPr="00536CFD">
              <w:rPr>
                <w:lang w:val="zh-CN"/>
              </w:rPr>
              <w:t>0.022</w:t>
            </w:r>
          </w:p>
        </w:tc>
        <w:tc>
          <w:tcPr>
            <w:tcW w:w="720" w:type="dxa"/>
            <w:tcBorders>
              <w:top w:val="single" w:sz="4" w:space="0" w:color="auto"/>
              <w:left w:val="nil"/>
              <w:bottom w:val="single" w:sz="4" w:space="0" w:color="auto"/>
              <w:right w:val="single" w:sz="4" w:space="0" w:color="auto"/>
            </w:tcBorders>
            <w:shd w:val="clear" w:color="auto" w:fill="auto"/>
            <w:vAlign w:val="bottom"/>
          </w:tcPr>
          <w:p w14:paraId="0AD4F3C3" w14:textId="77777777" w:rsidR="009D4A93" w:rsidRPr="00536CFD" w:rsidRDefault="009D4A93" w:rsidP="009D4A93">
            <w:pPr>
              <w:spacing w:after="0"/>
              <w:jc w:val="center"/>
              <w:rPr>
                <w:lang w:val="zh-CN"/>
              </w:rPr>
            </w:pPr>
            <w:r w:rsidRPr="00536CFD">
              <w:rPr>
                <w:lang w:val="zh-CN"/>
              </w:rPr>
              <w:t>0.021</w:t>
            </w:r>
          </w:p>
        </w:tc>
      </w:tr>
      <w:tr w:rsidR="009D4A93" w:rsidRPr="00536CFD" w14:paraId="6BABD6D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5CD94E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AD7397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DC45D4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113A43FC" w14:textId="77777777" w:rsidR="009D4A93" w:rsidRPr="00536CFD" w:rsidRDefault="009D4A93" w:rsidP="009D4A93">
            <w:pPr>
              <w:spacing w:after="0"/>
              <w:jc w:val="center"/>
              <w:rPr>
                <w:lang w:val="zh-CN"/>
              </w:rPr>
            </w:pPr>
            <w:r w:rsidRPr="00536CFD">
              <w:rPr>
                <w:lang w:val="zh-CN"/>
              </w:rPr>
              <w:t>0.088</w:t>
            </w:r>
          </w:p>
        </w:tc>
        <w:tc>
          <w:tcPr>
            <w:tcW w:w="720" w:type="dxa"/>
            <w:tcBorders>
              <w:top w:val="single" w:sz="4" w:space="0" w:color="auto"/>
              <w:left w:val="nil"/>
              <w:bottom w:val="single" w:sz="4" w:space="0" w:color="auto"/>
              <w:right w:val="single" w:sz="4" w:space="0" w:color="auto"/>
            </w:tcBorders>
            <w:shd w:val="clear" w:color="auto" w:fill="auto"/>
            <w:vAlign w:val="bottom"/>
          </w:tcPr>
          <w:p w14:paraId="034EC4F6" w14:textId="77777777" w:rsidR="009D4A93" w:rsidRPr="00536CFD" w:rsidRDefault="009D4A93" w:rsidP="009D4A93">
            <w:pPr>
              <w:spacing w:after="0"/>
              <w:jc w:val="center"/>
              <w:rPr>
                <w:lang w:val="zh-CN"/>
              </w:rPr>
            </w:pPr>
            <w:r w:rsidRPr="00536CFD">
              <w:rPr>
                <w:lang w:val="zh-CN"/>
              </w:rPr>
              <w:t>0.067</w:t>
            </w:r>
          </w:p>
        </w:tc>
        <w:tc>
          <w:tcPr>
            <w:tcW w:w="720" w:type="dxa"/>
            <w:tcBorders>
              <w:top w:val="single" w:sz="4" w:space="0" w:color="auto"/>
              <w:left w:val="nil"/>
              <w:bottom w:val="single" w:sz="4" w:space="0" w:color="auto"/>
              <w:right w:val="single" w:sz="4" w:space="0" w:color="auto"/>
            </w:tcBorders>
            <w:shd w:val="clear" w:color="auto" w:fill="auto"/>
            <w:vAlign w:val="bottom"/>
          </w:tcPr>
          <w:p w14:paraId="7FE6BD7F" w14:textId="77777777" w:rsidR="009D4A93" w:rsidRPr="00536CFD" w:rsidRDefault="009D4A93" w:rsidP="009D4A93">
            <w:pPr>
              <w:spacing w:after="0"/>
              <w:jc w:val="center"/>
              <w:rPr>
                <w:lang w:val="zh-CN"/>
              </w:rPr>
            </w:pPr>
            <w:r w:rsidRPr="00536CFD">
              <w:rPr>
                <w:lang w:val="zh-CN"/>
              </w:rPr>
              <w:t>0.038</w:t>
            </w:r>
          </w:p>
        </w:tc>
        <w:tc>
          <w:tcPr>
            <w:tcW w:w="810" w:type="dxa"/>
            <w:tcBorders>
              <w:top w:val="single" w:sz="4" w:space="0" w:color="auto"/>
              <w:left w:val="nil"/>
              <w:bottom w:val="single" w:sz="4" w:space="0" w:color="auto"/>
              <w:right w:val="single" w:sz="4" w:space="0" w:color="auto"/>
            </w:tcBorders>
            <w:shd w:val="clear" w:color="auto" w:fill="auto"/>
            <w:vAlign w:val="bottom"/>
          </w:tcPr>
          <w:p w14:paraId="5200B0D1" w14:textId="77777777" w:rsidR="009D4A93" w:rsidRPr="00536CFD" w:rsidRDefault="009D4A93" w:rsidP="009D4A93">
            <w:pPr>
              <w:spacing w:after="0"/>
              <w:jc w:val="center"/>
              <w:rPr>
                <w:lang w:val="zh-CN"/>
              </w:rPr>
            </w:pPr>
            <w:r w:rsidRPr="00536CFD">
              <w:rPr>
                <w:lang w:val="zh-CN"/>
              </w:rPr>
              <w:t>0.031</w:t>
            </w:r>
          </w:p>
        </w:tc>
        <w:tc>
          <w:tcPr>
            <w:tcW w:w="810" w:type="dxa"/>
            <w:tcBorders>
              <w:top w:val="single" w:sz="4" w:space="0" w:color="auto"/>
              <w:left w:val="nil"/>
              <w:bottom w:val="single" w:sz="4" w:space="0" w:color="auto"/>
              <w:right w:val="single" w:sz="4" w:space="0" w:color="auto"/>
            </w:tcBorders>
            <w:shd w:val="clear" w:color="auto" w:fill="auto"/>
            <w:vAlign w:val="bottom"/>
          </w:tcPr>
          <w:p w14:paraId="7F8C2042" w14:textId="77777777" w:rsidR="009D4A93" w:rsidRPr="00536CFD" w:rsidRDefault="009D4A93" w:rsidP="009D4A93">
            <w:pPr>
              <w:spacing w:after="0"/>
              <w:jc w:val="center"/>
              <w:rPr>
                <w:lang w:val="zh-CN"/>
              </w:rPr>
            </w:pPr>
            <w:r w:rsidRPr="00536CFD">
              <w:rPr>
                <w:lang w:val="zh-CN"/>
              </w:rPr>
              <w:t>0.123</w:t>
            </w:r>
          </w:p>
        </w:tc>
        <w:tc>
          <w:tcPr>
            <w:tcW w:w="820" w:type="dxa"/>
            <w:tcBorders>
              <w:top w:val="single" w:sz="4" w:space="0" w:color="auto"/>
              <w:left w:val="nil"/>
              <w:bottom w:val="single" w:sz="4" w:space="0" w:color="auto"/>
              <w:right w:val="single" w:sz="4" w:space="0" w:color="auto"/>
            </w:tcBorders>
            <w:shd w:val="clear" w:color="auto" w:fill="auto"/>
            <w:vAlign w:val="bottom"/>
          </w:tcPr>
          <w:p w14:paraId="3DBE781E" w14:textId="77777777" w:rsidR="009D4A93" w:rsidRPr="00536CFD" w:rsidRDefault="009D4A93" w:rsidP="009D4A93">
            <w:pPr>
              <w:spacing w:after="0"/>
              <w:jc w:val="center"/>
              <w:rPr>
                <w:lang w:val="zh-CN"/>
              </w:rPr>
            </w:pPr>
            <w:r w:rsidRPr="00536CFD">
              <w:rPr>
                <w:lang w:val="zh-CN"/>
              </w:rPr>
              <w:t>0.081</w:t>
            </w:r>
          </w:p>
        </w:tc>
        <w:tc>
          <w:tcPr>
            <w:tcW w:w="800" w:type="dxa"/>
            <w:tcBorders>
              <w:top w:val="single" w:sz="4" w:space="0" w:color="auto"/>
              <w:left w:val="nil"/>
              <w:bottom w:val="single" w:sz="4" w:space="0" w:color="auto"/>
              <w:right w:val="single" w:sz="4" w:space="0" w:color="auto"/>
            </w:tcBorders>
            <w:shd w:val="clear" w:color="auto" w:fill="auto"/>
            <w:vAlign w:val="bottom"/>
          </w:tcPr>
          <w:p w14:paraId="4F12DF5A" w14:textId="77777777" w:rsidR="009D4A93" w:rsidRPr="00536CFD" w:rsidRDefault="009D4A93" w:rsidP="009D4A93">
            <w:pPr>
              <w:spacing w:after="0"/>
              <w:jc w:val="center"/>
              <w:rPr>
                <w:lang w:val="zh-CN"/>
              </w:rPr>
            </w:pPr>
            <w:r w:rsidRPr="00536CFD">
              <w:rPr>
                <w:lang w:val="zh-CN"/>
              </w:rPr>
              <w:t>0.052</w:t>
            </w:r>
          </w:p>
        </w:tc>
        <w:tc>
          <w:tcPr>
            <w:tcW w:w="720" w:type="dxa"/>
            <w:tcBorders>
              <w:top w:val="single" w:sz="4" w:space="0" w:color="auto"/>
              <w:left w:val="nil"/>
              <w:bottom w:val="single" w:sz="4" w:space="0" w:color="auto"/>
              <w:right w:val="single" w:sz="4" w:space="0" w:color="auto"/>
            </w:tcBorders>
            <w:shd w:val="clear" w:color="auto" w:fill="auto"/>
            <w:vAlign w:val="bottom"/>
          </w:tcPr>
          <w:p w14:paraId="220F7256" w14:textId="77777777" w:rsidR="009D4A93" w:rsidRPr="00536CFD" w:rsidRDefault="009D4A93" w:rsidP="009D4A93">
            <w:pPr>
              <w:spacing w:after="0"/>
              <w:jc w:val="center"/>
              <w:rPr>
                <w:lang w:val="zh-CN"/>
              </w:rPr>
            </w:pPr>
            <w:r w:rsidRPr="00536CFD">
              <w:rPr>
                <w:lang w:val="zh-CN"/>
              </w:rPr>
              <w:t>0.035</w:t>
            </w:r>
          </w:p>
        </w:tc>
        <w:tc>
          <w:tcPr>
            <w:tcW w:w="724" w:type="dxa"/>
            <w:tcBorders>
              <w:top w:val="single" w:sz="4" w:space="0" w:color="auto"/>
              <w:left w:val="nil"/>
              <w:bottom w:val="single" w:sz="4" w:space="0" w:color="auto"/>
              <w:right w:val="single" w:sz="4" w:space="0" w:color="auto"/>
            </w:tcBorders>
            <w:shd w:val="clear" w:color="auto" w:fill="auto"/>
            <w:vAlign w:val="bottom"/>
          </w:tcPr>
          <w:p w14:paraId="45A223A2" w14:textId="77777777" w:rsidR="009D4A93" w:rsidRPr="00536CFD" w:rsidRDefault="009D4A93" w:rsidP="009D4A93">
            <w:pPr>
              <w:spacing w:after="0"/>
              <w:jc w:val="center"/>
              <w:rPr>
                <w:lang w:val="zh-CN"/>
              </w:rPr>
            </w:pPr>
            <w:r w:rsidRPr="00536CFD">
              <w:rPr>
                <w:lang w:val="zh-CN"/>
              </w:rPr>
              <w:t>0.167</w:t>
            </w:r>
          </w:p>
        </w:tc>
        <w:tc>
          <w:tcPr>
            <w:tcW w:w="896" w:type="dxa"/>
            <w:tcBorders>
              <w:top w:val="single" w:sz="4" w:space="0" w:color="auto"/>
              <w:left w:val="nil"/>
              <w:bottom w:val="single" w:sz="4" w:space="0" w:color="auto"/>
              <w:right w:val="single" w:sz="4" w:space="0" w:color="auto"/>
            </w:tcBorders>
            <w:shd w:val="clear" w:color="auto" w:fill="auto"/>
            <w:vAlign w:val="bottom"/>
          </w:tcPr>
          <w:p w14:paraId="783DE83F" w14:textId="77777777" w:rsidR="009D4A93" w:rsidRPr="00536CFD" w:rsidRDefault="009D4A93" w:rsidP="009D4A93">
            <w:pPr>
              <w:spacing w:after="0"/>
              <w:jc w:val="center"/>
              <w:rPr>
                <w:lang w:val="zh-CN"/>
              </w:rPr>
            </w:pPr>
            <w:r w:rsidRPr="00536CFD">
              <w:rPr>
                <w:lang w:val="zh-CN"/>
              </w:rPr>
              <w:t>0.101</w:t>
            </w:r>
          </w:p>
        </w:tc>
        <w:tc>
          <w:tcPr>
            <w:tcW w:w="720" w:type="dxa"/>
            <w:tcBorders>
              <w:top w:val="single" w:sz="4" w:space="0" w:color="auto"/>
              <w:left w:val="nil"/>
              <w:bottom w:val="single" w:sz="4" w:space="0" w:color="auto"/>
              <w:right w:val="single" w:sz="4" w:space="0" w:color="auto"/>
            </w:tcBorders>
            <w:shd w:val="clear" w:color="auto" w:fill="auto"/>
            <w:vAlign w:val="bottom"/>
          </w:tcPr>
          <w:p w14:paraId="7A03B663" w14:textId="77777777" w:rsidR="009D4A93" w:rsidRPr="00536CFD" w:rsidRDefault="009D4A93" w:rsidP="009D4A93">
            <w:pPr>
              <w:spacing w:after="0"/>
              <w:jc w:val="center"/>
              <w:rPr>
                <w:lang w:val="zh-CN"/>
              </w:rPr>
            </w:pPr>
            <w:r w:rsidRPr="00536CFD">
              <w:rPr>
                <w:lang w:val="zh-CN"/>
              </w:rPr>
              <w:t>0.079</w:t>
            </w:r>
          </w:p>
        </w:tc>
        <w:tc>
          <w:tcPr>
            <w:tcW w:w="720" w:type="dxa"/>
            <w:tcBorders>
              <w:top w:val="single" w:sz="4" w:space="0" w:color="auto"/>
              <w:left w:val="nil"/>
              <w:bottom w:val="single" w:sz="4" w:space="0" w:color="auto"/>
              <w:right w:val="single" w:sz="4" w:space="0" w:color="auto"/>
            </w:tcBorders>
            <w:shd w:val="clear" w:color="auto" w:fill="auto"/>
            <w:vAlign w:val="bottom"/>
          </w:tcPr>
          <w:p w14:paraId="7B78FDC1" w14:textId="77777777" w:rsidR="009D4A93" w:rsidRPr="00536CFD" w:rsidRDefault="009D4A93" w:rsidP="009D4A93">
            <w:pPr>
              <w:spacing w:after="0"/>
              <w:jc w:val="center"/>
              <w:rPr>
                <w:lang w:val="zh-CN"/>
              </w:rPr>
            </w:pPr>
            <w:r w:rsidRPr="00536CFD">
              <w:rPr>
                <w:lang w:val="zh-CN"/>
              </w:rPr>
              <w:t>0.04</w:t>
            </w:r>
          </w:p>
        </w:tc>
      </w:tr>
      <w:tr w:rsidR="009D4A93" w:rsidRPr="00536CFD" w14:paraId="101D4E9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A5CD39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62DFC3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D323BF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0B349A4E" w14:textId="77777777" w:rsidR="009D4A93" w:rsidRPr="00536CFD" w:rsidRDefault="009D4A93" w:rsidP="009D4A93">
            <w:pPr>
              <w:spacing w:after="0"/>
              <w:jc w:val="center"/>
              <w:rPr>
                <w:lang w:val="zh-CN"/>
              </w:rPr>
            </w:pPr>
            <w:r w:rsidRPr="00536CFD">
              <w:rPr>
                <w:lang w:val="zh-CN"/>
              </w:rPr>
              <w:t>0.556</w:t>
            </w:r>
          </w:p>
        </w:tc>
        <w:tc>
          <w:tcPr>
            <w:tcW w:w="720" w:type="dxa"/>
            <w:tcBorders>
              <w:top w:val="single" w:sz="4" w:space="0" w:color="auto"/>
              <w:left w:val="nil"/>
              <w:bottom w:val="single" w:sz="4" w:space="0" w:color="auto"/>
              <w:right w:val="single" w:sz="4" w:space="0" w:color="auto"/>
            </w:tcBorders>
            <w:shd w:val="clear" w:color="auto" w:fill="auto"/>
            <w:vAlign w:val="bottom"/>
          </w:tcPr>
          <w:p w14:paraId="7C104EC4" w14:textId="77777777" w:rsidR="009D4A93" w:rsidRPr="00536CFD" w:rsidRDefault="009D4A93" w:rsidP="009D4A93">
            <w:pPr>
              <w:spacing w:after="0"/>
              <w:jc w:val="center"/>
              <w:rPr>
                <w:lang w:val="zh-CN"/>
              </w:rPr>
            </w:pPr>
            <w:r w:rsidRPr="00536CFD">
              <w:rPr>
                <w:lang w:val="zh-CN"/>
              </w:rPr>
              <w:t>0.371</w:t>
            </w:r>
          </w:p>
        </w:tc>
        <w:tc>
          <w:tcPr>
            <w:tcW w:w="720" w:type="dxa"/>
            <w:tcBorders>
              <w:top w:val="single" w:sz="4" w:space="0" w:color="auto"/>
              <w:left w:val="nil"/>
              <w:bottom w:val="single" w:sz="4" w:space="0" w:color="auto"/>
              <w:right w:val="single" w:sz="4" w:space="0" w:color="auto"/>
            </w:tcBorders>
            <w:shd w:val="clear" w:color="auto" w:fill="auto"/>
            <w:vAlign w:val="bottom"/>
          </w:tcPr>
          <w:p w14:paraId="18AAAA65" w14:textId="77777777" w:rsidR="009D4A93" w:rsidRPr="00536CFD" w:rsidRDefault="009D4A93" w:rsidP="009D4A93">
            <w:pPr>
              <w:spacing w:after="0"/>
              <w:jc w:val="center"/>
              <w:rPr>
                <w:lang w:val="zh-CN"/>
              </w:rPr>
            </w:pPr>
            <w:r w:rsidRPr="00536CFD">
              <w:rPr>
                <w:lang w:val="zh-CN"/>
              </w:rPr>
              <w:t>0.231</w:t>
            </w:r>
          </w:p>
        </w:tc>
        <w:tc>
          <w:tcPr>
            <w:tcW w:w="810" w:type="dxa"/>
            <w:tcBorders>
              <w:top w:val="single" w:sz="4" w:space="0" w:color="auto"/>
              <w:left w:val="nil"/>
              <w:bottom w:val="single" w:sz="4" w:space="0" w:color="auto"/>
              <w:right w:val="single" w:sz="4" w:space="0" w:color="auto"/>
            </w:tcBorders>
            <w:shd w:val="clear" w:color="auto" w:fill="auto"/>
            <w:vAlign w:val="bottom"/>
          </w:tcPr>
          <w:p w14:paraId="66579B76" w14:textId="77777777" w:rsidR="009D4A93" w:rsidRPr="00536CFD" w:rsidRDefault="009D4A93" w:rsidP="009D4A93">
            <w:pPr>
              <w:spacing w:after="0"/>
              <w:jc w:val="center"/>
              <w:rPr>
                <w:lang w:val="zh-CN"/>
              </w:rPr>
            </w:pPr>
            <w:r w:rsidRPr="00536CFD">
              <w:rPr>
                <w:lang w:val="zh-CN"/>
              </w:rPr>
              <w:t>0.123</w:t>
            </w:r>
          </w:p>
        </w:tc>
        <w:tc>
          <w:tcPr>
            <w:tcW w:w="810" w:type="dxa"/>
            <w:tcBorders>
              <w:top w:val="single" w:sz="4" w:space="0" w:color="auto"/>
              <w:left w:val="nil"/>
              <w:bottom w:val="single" w:sz="4" w:space="0" w:color="auto"/>
              <w:right w:val="single" w:sz="4" w:space="0" w:color="auto"/>
            </w:tcBorders>
            <w:shd w:val="clear" w:color="auto" w:fill="auto"/>
            <w:vAlign w:val="bottom"/>
          </w:tcPr>
          <w:p w14:paraId="49F3F59A" w14:textId="77777777" w:rsidR="009D4A93" w:rsidRPr="00536CFD" w:rsidRDefault="009D4A93" w:rsidP="009D4A93">
            <w:pPr>
              <w:spacing w:after="0"/>
              <w:jc w:val="center"/>
              <w:rPr>
                <w:lang w:val="zh-CN"/>
              </w:rPr>
            </w:pPr>
            <w:r w:rsidRPr="00536CFD">
              <w:rPr>
                <w:lang w:val="zh-CN"/>
              </w:rPr>
              <w:t>1.301</w:t>
            </w:r>
          </w:p>
        </w:tc>
        <w:tc>
          <w:tcPr>
            <w:tcW w:w="820" w:type="dxa"/>
            <w:tcBorders>
              <w:top w:val="single" w:sz="4" w:space="0" w:color="auto"/>
              <w:left w:val="nil"/>
              <w:bottom w:val="single" w:sz="4" w:space="0" w:color="auto"/>
              <w:right w:val="single" w:sz="4" w:space="0" w:color="auto"/>
            </w:tcBorders>
            <w:shd w:val="clear" w:color="auto" w:fill="auto"/>
            <w:vAlign w:val="bottom"/>
          </w:tcPr>
          <w:p w14:paraId="2F21F8D3" w14:textId="77777777" w:rsidR="009D4A93" w:rsidRPr="00536CFD" w:rsidRDefault="009D4A93" w:rsidP="009D4A93">
            <w:pPr>
              <w:spacing w:after="0"/>
              <w:jc w:val="center"/>
              <w:rPr>
                <w:lang w:val="zh-CN"/>
              </w:rPr>
            </w:pPr>
            <w:r w:rsidRPr="00536CFD">
              <w:rPr>
                <w:lang w:val="zh-CN"/>
              </w:rPr>
              <w:t>0.551</w:t>
            </w:r>
          </w:p>
        </w:tc>
        <w:tc>
          <w:tcPr>
            <w:tcW w:w="800" w:type="dxa"/>
            <w:tcBorders>
              <w:top w:val="single" w:sz="4" w:space="0" w:color="auto"/>
              <w:left w:val="nil"/>
              <w:bottom w:val="single" w:sz="4" w:space="0" w:color="auto"/>
              <w:right w:val="single" w:sz="4" w:space="0" w:color="auto"/>
            </w:tcBorders>
            <w:shd w:val="clear" w:color="auto" w:fill="auto"/>
            <w:vAlign w:val="bottom"/>
          </w:tcPr>
          <w:p w14:paraId="4553955D" w14:textId="77777777" w:rsidR="009D4A93" w:rsidRPr="00536CFD" w:rsidRDefault="009D4A93" w:rsidP="009D4A93">
            <w:pPr>
              <w:spacing w:after="0"/>
              <w:jc w:val="center"/>
              <w:rPr>
                <w:lang w:val="zh-CN"/>
              </w:rPr>
            </w:pPr>
            <w:r w:rsidRPr="00536CFD">
              <w:rPr>
                <w:lang w:val="zh-CN"/>
              </w:rPr>
              <w:t>0.409</w:t>
            </w:r>
          </w:p>
        </w:tc>
        <w:tc>
          <w:tcPr>
            <w:tcW w:w="720" w:type="dxa"/>
            <w:tcBorders>
              <w:top w:val="single" w:sz="4" w:space="0" w:color="auto"/>
              <w:left w:val="nil"/>
              <w:bottom w:val="single" w:sz="4" w:space="0" w:color="auto"/>
              <w:right w:val="single" w:sz="4" w:space="0" w:color="auto"/>
            </w:tcBorders>
            <w:shd w:val="clear" w:color="auto" w:fill="auto"/>
            <w:vAlign w:val="bottom"/>
          </w:tcPr>
          <w:p w14:paraId="3295DB0A" w14:textId="77777777" w:rsidR="009D4A93" w:rsidRPr="00536CFD" w:rsidRDefault="009D4A93" w:rsidP="009D4A93">
            <w:pPr>
              <w:spacing w:after="0"/>
              <w:jc w:val="center"/>
              <w:rPr>
                <w:lang w:val="zh-CN"/>
              </w:rPr>
            </w:pPr>
            <w:r w:rsidRPr="00536CFD">
              <w:rPr>
                <w:lang w:val="zh-CN"/>
              </w:rPr>
              <w:t>0.156</w:t>
            </w:r>
          </w:p>
        </w:tc>
        <w:tc>
          <w:tcPr>
            <w:tcW w:w="724" w:type="dxa"/>
            <w:tcBorders>
              <w:top w:val="single" w:sz="4" w:space="0" w:color="auto"/>
              <w:left w:val="nil"/>
              <w:bottom w:val="single" w:sz="4" w:space="0" w:color="auto"/>
              <w:right w:val="single" w:sz="4" w:space="0" w:color="auto"/>
            </w:tcBorders>
            <w:shd w:val="clear" w:color="auto" w:fill="auto"/>
            <w:vAlign w:val="bottom"/>
          </w:tcPr>
          <w:p w14:paraId="3A00E8B3" w14:textId="77777777" w:rsidR="009D4A93" w:rsidRPr="00536CFD" w:rsidRDefault="009D4A93" w:rsidP="009D4A93">
            <w:pPr>
              <w:spacing w:after="0"/>
              <w:jc w:val="center"/>
              <w:rPr>
                <w:lang w:val="zh-CN"/>
              </w:rPr>
            </w:pPr>
            <w:r w:rsidRPr="00536CFD">
              <w:rPr>
                <w:lang w:val="zh-CN"/>
              </w:rPr>
              <w:t>19.42</w:t>
            </w:r>
          </w:p>
        </w:tc>
        <w:tc>
          <w:tcPr>
            <w:tcW w:w="896" w:type="dxa"/>
            <w:tcBorders>
              <w:top w:val="single" w:sz="4" w:space="0" w:color="auto"/>
              <w:left w:val="nil"/>
              <w:bottom w:val="single" w:sz="4" w:space="0" w:color="auto"/>
              <w:right w:val="single" w:sz="4" w:space="0" w:color="auto"/>
            </w:tcBorders>
            <w:shd w:val="clear" w:color="auto" w:fill="auto"/>
            <w:vAlign w:val="bottom"/>
          </w:tcPr>
          <w:p w14:paraId="4FEBDB3E" w14:textId="77777777" w:rsidR="009D4A93" w:rsidRPr="00536CFD" w:rsidRDefault="009D4A93" w:rsidP="009D4A93">
            <w:pPr>
              <w:spacing w:after="0"/>
              <w:jc w:val="center"/>
              <w:rPr>
                <w:lang w:val="zh-CN"/>
              </w:rPr>
            </w:pPr>
            <w:r w:rsidRPr="00536CFD">
              <w:rPr>
                <w:lang w:val="zh-CN"/>
              </w:rPr>
              <w:t>0.988</w:t>
            </w:r>
          </w:p>
        </w:tc>
        <w:tc>
          <w:tcPr>
            <w:tcW w:w="720" w:type="dxa"/>
            <w:tcBorders>
              <w:top w:val="single" w:sz="4" w:space="0" w:color="auto"/>
              <w:left w:val="nil"/>
              <w:bottom w:val="single" w:sz="4" w:space="0" w:color="auto"/>
              <w:right w:val="single" w:sz="4" w:space="0" w:color="auto"/>
            </w:tcBorders>
            <w:shd w:val="clear" w:color="auto" w:fill="auto"/>
            <w:vAlign w:val="bottom"/>
          </w:tcPr>
          <w:p w14:paraId="2646A68D" w14:textId="77777777" w:rsidR="009D4A93" w:rsidRPr="00536CFD" w:rsidRDefault="009D4A93" w:rsidP="009D4A93">
            <w:pPr>
              <w:spacing w:after="0"/>
              <w:jc w:val="center"/>
              <w:rPr>
                <w:lang w:val="zh-CN"/>
              </w:rPr>
            </w:pPr>
            <w:r w:rsidRPr="00536CFD">
              <w:rPr>
                <w:lang w:val="zh-CN"/>
              </w:rPr>
              <w:t>0.792</w:t>
            </w:r>
          </w:p>
        </w:tc>
        <w:tc>
          <w:tcPr>
            <w:tcW w:w="720" w:type="dxa"/>
            <w:tcBorders>
              <w:top w:val="single" w:sz="4" w:space="0" w:color="auto"/>
              <w:left w:val="nil"/>
              <w:bottom w:val="single" w:sz="4" w:space="0" w:color="auto"/>
              <w:right w:val="single" w:sz="4" w:space="0" w:color="auto"/>
            </w:tcBorders>
            <w:shd w:val="clear" w:color="auto" w:fill="auto"/>
            <w:vAlign w:val="bottom"/>
          </w:tcPr>
          <w:p w14:paraId="7F703E91" w14:textId="77777777" w:rsidR="009D4A93" w:rsidRPr="00536CFD" w:rsidRDefault="009D4A93" w:rsidP="009D4A93">
            <w:pPr>
              <w:spacing w:after="0"/>
              <w:jc w:val="center"/>
              <w:rPr>
                <w:lang w:val="zh-CN"/>
              </w:rPr>
            </w:pPr>
            <w:r w:rsidRPr="00536CFD">
              <w:rPr>
                <w:lang w:val="zh-CN"/>
              </w:rPr>
              <w:t>0.205</w:t>
            </w:r>
          </w:p>
        </w:tc>
      </w:tr>
      <w:tr w:rsidR="009D4A93" w:rsidRPr="00536CFD" w14:paraId="55A7B4E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F5CD1E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6ED0C4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EFC70E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75836251" w14:textId="77777777" w:rsidR="009D4A93" w:rsidRPr="00536CFD" w:rsidRDefault="009D4A93" w:rsidP="009D4A93">
            <w:pPr>
              <w:spacing w:after="0"/>
              <w:jc w:val="center"/>
              <w:rPr>
                <w:lang w:val="zh-CN"/>
              </w:rPr>
            </w:pPr>
            <w:r w:rsidRPr="00536CFD">
              <w:rPr>
                <w:lang w:val="zh-CN"/>
              </w:rPr>
              <w:t>0.172</w:t>
            </w:r>
          </w:p>
        </w:tc>
        <w:tc>
          <w:tcPr>
            <w:tcW w:w="720" w:type="dxa"/>
            <w:tcBorders>
              <w:top w:val="single" w:sz="4" w:space="0" w:color="auto"/>
              <w:left w:val="nil"/>
              <w:bottom w:val="single" w:sz="4" w:space="0" w:color="auto"/>
              <w:right w:val="single" w:sz="4" w:space="0" w:color="auto"/>
            </w:tcBorders>
            <w:shd w:val="clear" w:color="auto" w:fill="auto"/>
            <w:vAlign w:val="bottom"/>
          </w:tcPr>
          <w:p w14:paraId="4C5FC3EC" w14:textId="77777777" w:rsidR="009D4A93" w:rsidRPr="00536CFD" w:rsidRDefault="009D4A93" w:rsidP="009D4A93">
            <w:pPr>
              <w:spacing w:after="0"/>
              <w:jc w:val="center"/>
              <w:rPr>
                <w:lang w:val="zh-CN"/>
              </w:rPr>
            </w:pPr>
            <w:r w:rsidRPr="00536CFD">
              <w:rPr>
                <w:lang w:val="zh-CN"/>
              </w:rPr>
              <w:t>0.12</w:t>
            </w:r>
          </w:p>
        </w:tc>
        <w:tc>
          <w:tcPr>
            <w:tcW w:w="720" w:type="dxa"/>
            <w:tcBorders>
              <w:top w:val="single" w:sz="4" w:space="0" w:color="auto"/>
              <w:left w:val="nil"/>
              <w:bottom w:val="single" w:sz="4" w:space="0" w:color="auto"/>
              <w:right w:val="single" w:sz="4" w:space="0" w:color="auto"/>
            </w:tcBorders>
            <w:shd w:val="clear" w:color="auto" w:fill="auto"/>
            <w:vAlign w:val="bottom"/>
          </w:tcPr>
          <w:p w14:paraId="10EC1060" w14:textId="77777777" w:rsidR="009D4A93" w:rsidRPr="00536CFD" w:rsidRDefault="009D4A93" w:rsidP="009D4A93">
            <w:pPr>
              <w:spacing w:after="0"/>
              <w:jc w:val="center"/>
              <w:rPr>
                <w:lang w:val="zh-CN"/>
              </w:rPr>
            </w:pPr>
            <w:r w:rsidRPr="00536CFD">
              <w:rPr>
                <w:lang w:val="zh-CN"/>
              </w:rPr>
              <w:t>0.072</w:t>
            </w:r>
          </w:p>
        </w:tc>
        <w:tc>
          <w:tcPr>
            <w:tcW w:w="810" w:type="dxa"/>
            <w:tcBorders>
              <w:top w:val="single" w:sz="4" w:space="0" w:color="auto"/>
              <w:left w:val="nil"/>
              <w:bottom w:val="single" w:sz="4" w:space="0" w:color="auto"/>
              <w:right w:val="single" w:sz="4" w:space="0" w:color="auto"/>
            </w:tcBorders>
            <w:shd w:val="clear" w:color="auto" w:fill="auto"/>
            <w:vAlign w:val="bottom"/>
          </w:tcPr>
          <w:p w14:paraId="4B3CEBF8" w14:textId="77777777" w:rsidR="009D4A93" w:rsidRPr="00536CFD" w:rsidRDefault="009D4A93" w:rsidP="009D4A93">
            <w:pPr>
              <w:spacing w:after="0"/>
              <w:jc w:val="center"/>
              <w:rPr>
                <w:lang w:val="zh-CN"/>
              </w:rPr>
            </w:pPr>
            <w:r w:rsidRPr="00536CFD">
              <w:rPr>
                <w:lang w:val="zh-CN"/>
              </w:rPr>
              <w:t>0.047</w:t>
            </w:r>
          </w:p>
        </w:tc>
        <w:tc>
          <w:tcPr>
            <w:tcW w:w="810" w:type="dxa"/>
            <w:tcBorders>
              <w:top w:val="single" w:sz="4" w:space="0" w:color="auto"/>
              <w:left w:val="nil"/>
              <w:bottom w:val="single" w:sz="4" w:space="0" w:color="auto"/>
              <w:right w:val="single" w:sz="4" w:space="0" w:color="auto"/>
            </w:tcBorders>
            <w:shd w:val="clear" w:color="auto" w:fill="auto"/>
            <w:vAlign w:val="bottom"/>
          </w:tcPr>
          <w:p w14:paraId="7B3572AA" w14:textId="77777777" w:rsidR="009D4A93" w:rsidRPr="00536CFD" w:rsidRDefault="009D4A93" w:rsidP="009D4A93">
            <w:pPr>
              <w:spacing w:after="0"/>
              <w:jc w:val="center"/>
              <w:rPr>
                <w:lang w:val="zh-CN"/>
              </w:rPr>
            </w:pPr>
            <w:r w:rsidRPr="00536CFD">
              <w:rPr>
                <w:lang w:val="zh-CN"/>
              </w:rPr>
              <w:t>0.602</w:t>
            </w:r>
          </w:p>
        </w:tc>
        <w:tc>
          <w:tcPr>
            <w:tcW w:w="820" w:type="dxa"/>
            <w:tcBorders>
              <w:top w:val="single" w:sz="4" w:space="0" w:color="auto"/>
              <w:left w:val="nil"/>
              <w:bottom w:val="single" w:sz="4" w:space="0" w:color="auto"/>
              <w:right w:val="single" w:sz="4" w:space="0" w:color="auto"/>
            </w:tcBorders>
            <w:shd w:val="clear" w:color="auto" w:fill="auto"/>
            <w:vAlign w:val="bottom"/>
          </w:tcPr>
          <w:p w14:paraId="4C7CE156" w14:textId="77777777" w:rsidR="009D4A93" w:rsidRPr="00536CFD" w:rsidRDefault="009D4A93" w:rsidP="009D4A93">
            <w:pPr>
              <w:spacing w:after="0"/>
              <w:jc w:val="center"/>
              <w:rPr>
                <w:lang w:val="zh-CN"/>
              </w:rPr>
            </w:pPr>
            <w:r w:rsidRPr="00536CFD">
              <w:rPr>
                <w:lang w:val="zh-CN"/>
              </w:rPr>
              <w:t>0.172</w:t>
            </w:r>
          </w:p>
        </w:tc>
        <w:tc>
          <w:tcPr>
            <w:tcW w:w="800" w:type="dxa"/>
            <w:tcBorders>
              <w:top w:val="single" w:sz="4" w:space="0" w:color="auto"/>
              <w:left w:val="nil"/>
              <w:bottom w:val="single" w:sz="4" w:space="0" w:color="auto"/>
              <w:right w:val="single" w:sz="4" w:space="0" w:color="auto"/>
            </w:tcBorders>
            <w:shd w:val="clear" w:color="auto" w:fill="auto"/>
            <w:vAlign w:val="bottom"/>
          </w:tcPr>
          <w:p w14:paraId="6DDD8A90" w14:textId="77777777" w:rsidR="009D4A93" w:rsidRPr="00536CFD" w:rsidRDefault="009D4A93" w:rsidP="009D4A93">
            <w:pPr>
              <w:spacing w:after="0"/>
              <w:jc w:val="center"/>
              <w:rPr>
                <w:lang w:val="zh-CN"/>
              </w:rPr>
            </w:pPr>
            <w:r w:rsidRPr="00536CFD">
              <w:rPr>
                <w:lang w:val="zh-CN"/>
              </w:rPr>
              <w:t>0.114</w:t>
            </w:r>
          </w:p>
        </w:tc>
        <w:tc>
          <w:tcPr>
            <w:tcW w:w="720" w:type="dxa"/>
            <w:tcBorders>
              <w:top w:val="single" w:sz="4" w:space="0" w:color="auto"/>
              <w:left w:val="nil"/>
              <w:bottom w:val="single" w:sz="4" w:space="0" w:color="auto"/>
              <w:right w:val="single" w:sz="4" w:space="0" w:color="auto"/>
            </w:tcBorders>
            <w:shd w:val="clear" w:color="auto" w:fill="auto"/>
            <w:vAlign w:val="bottom"/>
          </w:tcPr>
          <w:p w14:paraId="6719ACD9" w14:textId="77777777" w:rsidR="009D4A93" w:rsidRPr="00536CFD" w:rsidRDefault="009D4A93" w:rsidP="009D4A93">
            <w:pPr>
              <w:spacing w:after="0"/>
              <w:jc w:val="center"/>
              <w:rPr>
                <w:lang w:val="zh-CN"/>
              </w:rPr>
            </w:pPr>
            <w:r w:rsidRPr="00536CFD">
              <w:rPr>
                <w:lang w:val="zh-CN"/>
              </w:rPr>
              <w:t>0.055</w:t>
            </w:r>
          </w:p>
        </w:tc>
        <w:tc>
          <w:tcPr>
            <w:tcW w:w="724" w:type="dxa"/>
            <w:tcBorders>
              <w:top w:val="single" w:sz="4" w:space="0" w:color="auto"/>
              <w:left w:val="nil"/>
              <w:bottom w:val="single" w:sz="4" w:space="0" w:color="auto"/>
              <w:right w:val="single" w:sz="4" w:space="0" w:color="auto"/>
            </w:tcBorders>
            <w:shd w:val="clear" w:color="auto" w:fill="auto"/>
            <w:vAlign w:val="bottom"/>
          </w:tcPr>
          <w:p w14:paraId="5F08E875" w14:textId="77777777" w:rsidR="009D4A93" w:rsidRPr="00536CFD" w:rsidRDefault="009D4A93" w:rsidP="009D4A93">
            <w:pPr>
              <w:spacing w:after="0"/>
              <w:jc w:val="center"/>
              <w:rPr>
                <w:lang w:val="zh-CN"/>
              </w:rPr>
            </w:pPr>
            <w:r w:rsidRPr="00536CFD">
              <w:rPr>
                <w:lang w:val="zh-CN"/>
              </w:rPr>
              <w:t>9.271</w:t>
            </w:r>
          </w:p>
        </w:tc>
        <w:tc>
          <w:tcPr>
            <w:tcW w:w="896" w:type="dxa"/>
            <w:tcBorders>
              <w:top w:val="single" w:sz="4" w:space="0" w:color="auto"/>
              <w:left w:val="nil"/>
              <w:bottom w:val="single" w:sz="4" w:space="0" w:color="auto"/>
              <w:right w:val="single" w:sz="4" w:space="0" w:color="auto"/>
            </w:tcBorders>
            <w:shd w:val="clear" w:color="auto" w:fill="auto"/>
            <w:vAlign w:val="bottom"/>
          </w:tcPr>
          <w:p w14:paraId="73CAB25B" w14:textId="77777777" w:rsidR="009D4A93" w:rsidRPr="00536CFD" w:rsidRDefault="009D4A93" w:rsidP="009D4A93">
            <w:pPr>
              <w:spacing w:after="0"/>
              <w:jc w:val="center"/>
              <w:rPr>
                <w:lang w:val="zh-CN"/>
              </w:rPr>
            </w:pPr>
            <w:r w:rsidRPr="00536CFD">
              <w:rPr>
                <w:lang w:val="zh-CN"/>
              </w:rPr>
              <w:t>1.706</w:t>
            </w:r>
          </w:p>
        </w:tc>
        <w:tc>
          <w:tcPr>
            <w:tcW w:w="720" w:type="dxa"/>
            <w:tcBorders>
              <w:top w:val="single" w:sz="4" w:space="0" w:color="auto"/>
              <w:left w:val="nil"/>
              <w:bottom w:val="single" w:sz="4" w:space="0" w:color="auto"/>
              <w:right w:val="single" w:sz="4" w:space="0" w:color="auto"/>
            </w:tcBorders>
            <w:shd w:val="clear" w:color="auto" w:fill="auto"/>
            <w:vAlign w:val="bottom"/>
          </w:tcPr>
          <w:p w14:paraId="422955CE" w14:textId="77777777" w:rsidR="009D4A93" w:rsidRPr="00536CFD" w:rsidRDefault="009D4A93" w:rsidP="009D4A93">
            <w:pPr>
              <w:spacing w:after="0"/>
              <w:jc w:val="center"/>
              <w:rPr>
                <w:lang w:val="zh-CN"/>
              </w:rPr>
            </w:pPr>
            <w:r w:rsidRPr="00536CFD">
              <w:rPr>
                <w:lang w:val="zh-CN"/>
              </w:rPr>
              <w:t>0.213</w:t>
            </w:r>
          </w:p>
        </w:tc>
        <w:tc>
          <w:tcPr>
            <w:tcW w:w="720" w:type="dxa"/>
            <w:tcBorders>
              <w:top w:val="single" w:sz="4" w:space="0" w:color="auto"/>
              <w:left w:val="nil"/>
              <w:bottom w:val="single" w:sz="4" w:space="0" w:color="auto"/>
              <w:right w:val="single" w:sz="4" w:space="0" w:color="auto"/>
            </w:tcBorders>
            <w:shd w:val="clear" w:color="auto" w:fill="auto"/>
            <w:vAlign w:val="bottom"/>
          </w:tcPr>
          <w:p w14:paraId="46CD8658" w14:textId="77777777" w:rsidR="009D4A93" w:rsidRPr="00536CFD" w:rsidRDefault="009D4A93" w:rsidP="009D4A93">
            <w:pPr>
              <w:spacing w:after="0"/>
              <w:jc w:val="center"/>
              <w:rPr>
                <w:lang w:val="zh-CN"/>
              </w:rPr>
            </w:pPr>
            <w:r w:rsidRPr="00536CFD">
              <w:rPr>
                <w:lang w:val="zh-CN"/>
              </w:rPr>
              <w:t>0.068</w:t>
            </w:r>
          </w:p>
        </w:tc>
      </w:tr>
      <w:tr w:rsidR="009D4A93" w:rsidRPr="00536CFD" w14:paraId="1BA1DFF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DD336EB"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AEE8FAA"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vAlign w:val="bottom"/>
          </w:tcPr>
          <w:p w14:paraId="3D0A52BC"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5014D84D" w14:textId="77777777" w:rsidR="009D4A93" w:rsidRPr="00536CFD" w:rsidRDefault="009D4A93" w:rsidP="009D4A93">
            <w:pPr>
              <w:spacing w:after="0"/>
              <w:jc w:val="center"/>
              <w:rPr>
                <w:lang w:val="zh-CN"/>
              </w:rPr>
            </w:pPr>
            <w:r w:rsidRPr="00536CFD">
              <w:rPr>
                <w:lang w:val="zh-CN"/>
              </w:rPr>
              <w:t>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4ABAF24A" w14:textId="77777777" w:rsidR="009D4A93" w:rsidRPr="00536CFD" w:rsidRDefault="009D4A93" w:rsidP="009D4A93">
            <w:pPr>
              <w:spacing w:after="0"/>
              <w:jc w:val="center"/>
              <w:rPr>
                <w:lang w:val="zh-CN"/>
              </w:rPr>
            </w:pPr>
            <w:r w:rsidRPr="00536CFD">
              <w:rPr>
                <w:lang w:val="zh-CN"/>
              </w:rPr>
              <w:t>1.01</w:t>
            </w:r>
          </w:p>
        </w:tc>
        <w:tc>
          <w:tcPr>
            <w:tcW w:w="810" w:type="dxa"/>
            <w:tcBorders>
              <w:top w:val="single" w:sz="4" w:space="0" w:color="auto"/>
              <w:left w:val="nil"/>
              <w:bottom w:val="single" w:sz="4" w:space="0" w:color="auto"/>
              <w:right w:val="single" w:sz="4" w:space="0" w:color="auto"/>
            </w:tcBorders>
            <w:shd w:val="clear" w:color="auto" w:fill="auto"/>
            <w:vAlign w:val="bottom"/>
          </w:tcPr>
          <w:p w14:paraId="00EDE571"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4187CA63" w14:textId="77777777" w:rsidR="009D4A93" w:rsidRPr="00536CFD" w:rsidRDefault="009D4A93" w:rsidP="009D4A93">
            <w:pPr>
              <w:spacing w:after="0"/>
              <w:jc w:val="center"/>
              <w:rPr>
                <w:lang w:val="zh-CN"/>
              </w:rPr>
            </w:pPr>
            <w:r w:rsidRPr="00536CFD">
              <w:rPr>
                <w:lang w:val="zh-CN"/>
              </w:rPr>
              <w:t>0.99</w:t>
            </w:r>
          </w:p>
        </w:tc>
        <w:tc>
          <w:tcPr>
            <w:tcW w:w="820" w:type="dxa"/>
            <w:tcBorders>
              <w:top w:val="single" w:sz="4" w:space="0" w:color="auto"/>
              <w:left w:val="nil"/>
              <w:bottom w:val="single" w:sz="4" w:space="0" w:color="auto"/>
              <w:right w:val="single" w:sz="4" w:space="0" w:color="auto"/>
            </w:tcBorders>
            <w:shd w:val="clear" w:color="auto" w:fill="auto"/>
            <w:vAlign w:val="bottom"/>
          </w:tcPr>
          <w:p w14:paraId="116C037F" w14:textId="77777777" w:rsidR="009D4A93" w:rsidRPr="00536CFD" w:rsidRDefault="009D4A93" w:rsidP="009D4A93">
            <w:pPr>
              <w:spacing w:after="0"/>
              <w:jc w:val="center"/>
              <w:rPr>
                <w:lang w:val="zh-CN"/>
              </w:rPr>
            </w:pPr>
            <w:r w:rsidRPr="00536CFD">
              <w:rPr>
                <w:lang w:val="zh-CN"/>
              </w:rPr>
              <w:t>1.00</w:t>
            </w:r>
          </w:p>
        </w:tc>
        <w:tc>
          <w:tcPr>
            <w:tcW w:w="800" w:type="dxa"/>
            <w:tcBorders>
              <w:top w:val="single" w:sz="4" w:space="0" w:color="auto"/>
              <w:left w:val="nil"/>
              <w:bottom w:val="single" w:sz="4" w:space="0" w:color="auto"/>
              <w:right w:val="single" w:sz="4" w:space="0" w:color="auto"/>
            </w:tcBorders>
            <w:shd w:val="clear" w:color="auto" w:fill="auto"/>
            <w:vAlign w:val="bottom"/>
          </w:tcPr>
          <w:p w14:paraId="77CEE1AC" w14:textId="77777777" w:rsidR="009D4A93" w:rsidRPr="00536CFD" w:rsidRDefault="009D4A93" w:rsidP="009D4A93">
            <w:pPr>
              <w:spacing w:after="0"/>
              <w:jc w:val="center"/>
              <w:rPr>
                <w:lang w:val="zh-CN"/>
              </w:rPr>
            </w:pPr>
            <w:r w:rsidRPr="00536CFD">
              <w:rPr>
                <w:lang w:val="zh-CN"/>
              </w:rPr>
              <w:t>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56B468B6"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6221F73D" w14:textId="77777777" w:rsidR="009D4A93" w:rsidRPr="00536CFD" w:rsidRDefault="009D4A93" w:rsidP="009D4A93">
            <w:pPr>
              <w:spacing w:after="0"/>
              <w:jc w:val="center"/>
              <w:rPr>
                <w:lang w:val="zh-CN"/>
              </w:rPr>
            </w:pPr>
            <w:r w:rsidRPr="00536CFD">
              <w:rPr>
                <w:lang w:val="zh-CN"/>
              </w:rPr>
              <w:t>0.98</w:t>
            </w:r>
          </w:p>
        </w:tc>
        <w:tc>
          <w:tcPr>
            <w:tcW w:w="896" w:type="dxa"/>
            <w:tcBorders>
              <w:top w:val="single" w:sz="4" w:space="0" w:color="auto"/>
              <w:left w:val="nil"/>
              <w:bottom w:val="single" w:sz="4" w:space="0" w:color="auto"/>
              <w:right w:val="single" w:sz="4" w:space="0" w:color="auto"/>
            </w:tcBorders>
            <w:shd w:val="clear" w:color="auto" w:fill="auto"/>
            <w:vAlign w:val="bottom"/>
          </w:tcPr>
          <w:p w14:paraId="4C16D94B"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239AEEEF"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09CD14C1" w14:textId="77777777" w:rsidR="009D4A93" w:rsidRPr="00536CFD" w:rsidRDefault="009D4A93" w:rsidP="009D4A93">
            <w:pPr>
              <w:spacing w:after="0"/>
              <w:jc w:val="center"/>
              <w:rPr>
                <w:lang w:val="zh-CN"/>
              </w:rPr>
            </w:pPr>
            <w:r w:rsidRPr="00536CFD">
              <w:rPr>
                <w:lang w:val="zh-CN"/>
              </w:rPr>
              <w:t>1.00</w:t>
            </w:r>
          </w:p>
        </w:tc>
      </w:tr>
      <w:tr w:rsidR="009D4A93" w:rsidRPr="00536CFD" w14:paraId="7DC8912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C1AEFBD"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06BDEAF"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vAlign w:val="bottom"/>
          </w:tcPr>
          <w:p w14:paraId="654A9BD1"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7A487C43" w14:textId="77777777" w:rsidR="009D4A93" w:rsidRPr="00536CFD" w:rsidRDefault="009D4A93" w:rsidP="009D4A93">
            <w:pPr>
              <w:spacing w:after="0"/>
              <w:jc w:val="center"/>
              <w:rPr>
                <w:lang w:val="zh-CN"/>
              </w:rPr>
            </w:pPr>
            <w:r w:rsidRPr="00536CFD">
              <w:rPr>
                <w:lang w:val="zh-CN"/>
              </w:rPr>
              <w:t>1.01</w:t>
            </w:r>
          </w:p>
        </w:tc>
        <w:tc>
          <w:tcPr>
            <w:tcW w:w="720" w:type="dxa"/>
            <w:tcBorders>
              <w:top w:val="single" w:sz="4" w:space="0" w:color="auto"/>
              <w:left w:val="nil"/>
              <w:bottom w:val="single" w:sz="4" w:space="0" w:color="auto"/>
              <w:right w:val="single" w:sz="4" w:space="0" w:color="auto"/>
            </w:tcBorders>
            <w:shd w:val="clear" w:color="auto" w:fill="auto"/>
            <w:vAlign w:val="bottom"/>
          </w:tcPr>
          <w:p w14:paraId="49D4004A"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651BEABA"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7B08C539" w14:textId="77777777" w:rsidR="009D4A93" w:rsidRPr="00536CFD" w:rsidRDefault="009D4A93" w:rsidP="009D4A93">
            <w:pPr>
              <w:spacing w:after="0"/>
              <w:jc w:val="center"/>
              <w:rPr>
                <w:lang w:val="zh-CN"/>
              </w:rPr>
            </w:pPr>
            <w:r w:rsidRPr="00536CFD">
              <w:rPr>
                <w:lang w:val="zh-CN"/>
              </w:rPr>
              <w:t>1.00</w:t>
            </w:r>
          </w:p>
        </w:tc>
        <w:tc>
          <w:tcPr>
            <w:tcW w:w="820" w:type="dxa"/>
            <w:tcBorders>
              <w:top w:val="single" w:sz="4" w:space="0" w:color="auto"/>
              <w:left w:val="nil"/>
              <w:bottom w:val="single" w:sz="4" w:space="0" w:color="auto"/>
              <w:right w:val="single" w:sz="4" w:space="0" w:color="auto"/>
            </w:tcBorders>
            <w:shd w:val="clear" w:color="auto" w:fill="auto"/>
            <w:vAlign w:val="bottom"/>
          </w:tcPr>
          <w:p w14:paraId="1A830BE1" w14:textId="77777777" w:rsidR="009D4A93" w:rsidRPr="00536CFD" w:rsidRDefault="009D4A93" w:rsidP="009D4A93">
            <w:pPr>
              <w:spacing w:after="0"/>
              <w:jc w:val="center"/>
              <w:rPr>
                <w:lang w:val="zh-CN"/>
              </w:rPr>
            </w:pPr>
            <w:r w:rsidRPr="00536CFD">
              <w:rPr>
                <w:lang w:val="zh-CN"/>
              </w:rPr>
              <w:t>1.00</w:t>
            </w:r>
          </w:p>
        </w:tc>
        <w:tc>
          <w:tcPr>
            <w:tcW w:w="800" w:type="dxa"/>
            <w:tcBorders>
              <w:top w:val="single" w:sz="4" w:space="0" w:color="auto"/>
              <w:left w:val="nil"/>
              <w:bottom w:val="single" w:sz="4" w:space="0" w:color="auto"/>
              <w:right w:val="single" w:sz="4" w:space="0" w:color="auto"/>
            </w:tcBorders>
            <w:shd w:val="clear" w:color="auto" w:fill="auto"/>
            <w:vAlign w:val="bottom"/>
          </w:tcPr>
          <w:p w14:paraId="306B6711"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235DD716"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62112DA6" w14:textId="77777777" w:rsidR="009D4A93" w:rsidRPr="00536CFD" w:rsidRDefault="009D4A93" w:rsidP="009D4A93">
            <w:pPr>
              <w:spacing w:after="0"/>
              <w:jc w:val="center"/>
              <w:rPr>
                <w:lang w:val="zh-CN"/>
              </w:rPr>
            </w:pPr>
            <w:r w:rsidRPr="00536CFD">
              <w:rPr>
                <w:lang w:val="zh-CN"/>
              </w:rPr>
              <w:t>0.97</w:t>
            </w:r>
          </w:p>
        </w:tc>
        <w:tc>
          <w:tcPr>
            <w:tcW w:w="896" w:type="dxa"/>
            <w:tcBorders>
              <w:top w:val="single" w:sz="4" w:space="0" w:color="auto"/>
              <w:left w:val="nil"/>
              <w:bottom w:val="single" w:sz="4" w:space="0" w:color="auto"/>
              <w:right w:val="single" w:sz="4" w:space="0" w:color="auto"/>
            </w:tcBorders>
            <w:shd w:val="clear" w:color="auto" w:fill="auto"/>
            <w:vAlign w:val="bottom"/>
          </w:tcPr>
          <w:p w14:paraId="48111E28" w14:textId="77777777" w:rsidR="009D4A93" w:rsidRPr="00536CFD" w:rsidRDefault="009D4A93" w:rsidP="009D4A93">
            <w:pPr>
              <w:spacing w:after="0"/>
              <w:jc w:val="center"/>
              <w:rPr>
                <w:lang w:val="zh-CN"/>
              </w:rPr>
            </w:pPr>
            <w:r w:rsidRPr="00536CFD">
              <w:rPr>
                <w:lang w:val="zh-CN"/>
              </w:rPr>
              <w:t>0.99</w:t>
            </w:r>
          </w:p>
        </w:tc>
        <w:tc>
          <w:tcPr>
            <w:tcW w:w="720" w:type="dxa"/>
            <w:tcBorders>
              <w:top w:val="single" w:sz="4" w:space="0" w:color="auto"/>
              <w:left w:val="nil"/>
              <w:bottom w:val="single" w:sz="4" w:space="0" w:color="auto"/>
              <w:right w:val="single" w:sz="4" w:space="0" w:color="auto"/>
            </w:tcBorders>
            <w:shd w:val="clear" w:color="auto" w:fill="auto"/>
            <w:vAlign w:val="bottom"/>
          </w:tcPr>
          <w:p w14:paraId="53BED11A"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5A68B3DA" w14:textId="77777777" w:rsidR="009D4A93" w:rsidRPr="00536CFD" w:rsidRDefault="009D4A93" w:rsidP="009D4A93">
            <w:pPr>
              <w:spacing w:after="0"/>
              <w:jc w:val="center"/>
              <w:rPr>
                <w:lang w:val="zh-CN"/>
              </w:rPr>
            </w:pPr>
            <w:r w:rsidRPr="00536CFD">
              <w:rPr>
                <w:lang w:val="zh-CN"/>
              </w:rPr>
              <w:t>1.00</w:t>
            </w:r>
          </w:p>
        </w:tc>
      </w:tr>
      <w:tr w:rsidR="009D4A93" w:rsidRPr="00536CFD" w14:paraId="635830B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2747E26"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A1845A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vAlign w:val="bottom"/>
          </w:tcPr>
          <w:p w14:paraId="30350D4F" w14:textId="77777777" w:rsidR="009D4A93" w:rsidRPr="00536CFD" w:rsidRDefault="009D4A93" w:rsidP="009D4A93">
            <w:pPr>
              <w:spacing w:after="0"/>
              <w:jc w:val="center"/>
              <w:rPr>
                <w:lang w:val="zh-CN"/>
              </w:rPr>
            </w:pPr>
            <w:r w:rsidRPr="00536CFD">
              <w:rPr>
                <w:lang w:val="zh-CN"/>
              </w:rPr>
              <w:t>0.20</w:t>
            </w:r>
          </w:p>
        </w:tc>
        <w:tc>
          <w:tcPr>
            <w:tcW w:w="720" w:type="dxa"/>
            <w:tcBorders>
              <w:top w:val="single" w:sz="4" w:space="0" w:color="auto"/>
              <w:left w:val="nil"/>
              <w:bottom w:val="single" w:sz="4" w:space="0" w:color="auto"/>
              <w:right w:val="single" w:sz="4" w:space="0" w:color="auto"/>
            </w:tcBorders>
            <w:shd w:val="clear" w:color="auto" w:fill="auto"/>
            <w:vAlign w:val="bottom"/>
          </w:tcPr>
          <w:p w14:paraId="7E4C49EA" w14:textId="77777777" w:rsidR="009D4A93" w:rsidRPr="00536CFD" w:rsidRDefault="009D4A93" w:rsidP="009D4A93">
            <w:pPr>
              <w:spacing w:after="0"/>
              <w:jc w:val="center"/>
              <w:rPr>
                <w:lang w:val="zh-CN"/>
              </w:rPr>
            </w:pPr>
            <w:r w:rsidRPr="00536CFD">
              <w:rPr>
                <w:lang w:val="zh-CN"/>
              </w:rPr>
              <w:t>0.16</w:t>
            </w:r>
          </w:p>
        </w:tc>
        <w:tc>
          <w:tcPr>
            <w:tcW w:w="720" w:type="dxa"/>
            <w:tcBorders>
              <w:top w:val="single" w:sz="4" w:space="0" w:color="auto"/>
              <w:left w:val="nil"/>
              <w:bottom w:val="single" w:sz="4" w:space="0" w:color="auto"/>
              <w:right w:val="single" w:sz="4" w:space="0" w:color="auto"/>
            </w:tcBorders>
            <w:shd w:val="clear" w:color="auto" w:fill="auto"/>
            <w:vAlign w:val="bottom"/>
          </w:tcPr>
          <w:p w14:paraId="4FBC9B61" w14:textId="77777777" w:rsidR="009D4A93" w:rsidRPr="00536CFD" w:rsidRDefault="009D4A93" w:rsidP="009D4A93">
            <w:pPr>
              <w:spacing w:after="0"/>
              <w:jc w:val="center"/>
              <w:rPr>
                <w:lang w:val="zh-CN"/>
              </w:rPr>
            </w:pPr>
            <w:r w:rsidRPr="00536CFD">
              <w:rPr>
                <w:lang w:val="zh-CN"/>
              </w:rPr>
              <w:t>0.10</w:t>
            </w:r>
          </w:p>
        </w:tc>
        <w:tc>
          <w:tcPr>
            <w:tcW w:w="810" w:type="dxa"/>
            <w:tcBorders>
              <w:top w:val="single" w:sz="4" w:space="0" w:color="auto"/>
              <w:left w:val="nil"/>
              <w:bottom w:val="single" w:sz="4" w:space="0" w:color="auto"/>
              <w:right w:val="single" w:sz="4" w:space="0" w:color="auto"/>
            </w:tcBorders>
            <w:shd w:val="clear" w:color="auto" w:fill="auto"/>
            <w:vAlign w:val="bottom"/>
          </w:tcPr>
          <w:p w14:paraId="11A1BE5E" w14:textId="77777777" w:rsidR="009D4A93" w:rsidRPr="00536CFD" w:rsidRDefault="009D4A93" w:rsidP="009D4A93">
            <w:pPr>
              <w:spacing w:after="0"/>
              <w:jc w:val="center"/>
              <w:rPr>
                <w:lang w:val="zh-CN"/>
              </w:rPr>
            </w:pPr>
            <w:r w:rsidRPr="00536CFD">
              <w:rPr>
                <w:lang w:val="zh-CN"/>
              </w:rPr>
              <w:t>0.07</w:t>
            </w:r>
          </w:p>
        </w:tc>
        <w:tc>
          <w:tcPr>
            <w:tcW w:w="810" w:type="dxa"/>
            <w:tcBorders>
              <w:top w:val="single" w:sz="4" w:space="0" w:color="auto"/>
              <w:left w:val="nil"/>
              <w:bottom w:val="single" w:sz="4" w:space="0" w:color="auto"/>
              <w:right w:val="single" w:sz="4" w:space="0" w:color="auto"/>
            </w:tcBorders>
            <w:shd w:val="clear" w:color="auto" w:fill="auto"/>
            <w:vAlign w:val="bottom"/>
          </w:tcPr>
          <w:p w14:paraId="0510E5BB" w14:textId="77777777" w:rsidR="009D4A93" w:rsidRPr="00536CFD" w:rsidRDefault="009D4A93" w:rsidP="009D4A93">
            <w:pPr>
              <w:spacing w:after="0"/>
              <w:jc w:val="center"/>
              <w:rPr>
                <w:lang w:val="zh-CN"/>
              </w:rPr>
            </w:pPr>
            <w:r w:rsidRPr="00536CFD">
              <w:rPr>
                <w:lang w:val="zh-CN"/>
              </w:rPr>
              <w:t>0.35</w:t>
            </w:r>
          </w:p>
        </w:tc>
        <w:tc>
          <w:tcPr>
            <w:tcW w:w="820" w:type="dxa"/>
            <w:tcBorders>
              <w:top w:val="single" w:sz="4" w:space="0" w:color="auto"/>
              <w:left w:val="nil"/>
              <w:bottom w:val="single" w:sz="4" w:space="0" w:color="auto"/>
              <w:right w:val="single" w:sz="4" w:space="0" w:color="auto"/>
            </w:tcBorders>
            <w:shd w:val="clear" w:color="auto" w:fill="auto"/>
            <w:vAlign w:val="bottom"/>
          </w:tcPr>
          <w:p w14:paraId="7449F8A5" w14:textId="77777777" w:rsidR="009D4A93" w:rsidRPr="00536CFD" w:rsidRDefault="009D4A93" w:rsidP="009D4A93">
            <w:pPr>
              <w:spacing w:after="0"/>
              <w:jc w:val="center"/>
              <w:rPr>
                <w:lang w:val="zh-CN"/>
              </w:rPr>
            </w:pPr>
            <w:r w:rsidRPr="00536CFD">
              <w:rPr>
                <w:lang w:val="zh-CN"/>
              </w:rPr>
              <w:t>0.24</w:t>
            </w:r>
          </w:p>
        </w:tc>
        <w:tc>
          <w:tcPr>
            <w:tcW w:w="800" w:type="dxa"/>
            <w:tcBorders>
              <w:top w:val="single" w:sz="4" w:space="0" w:color="auto"/>
              <w:left w:val="nil"/>
              <w:bottom w:val="single" w:sz="4" w:space="0" w:color="auto"/>
              <w:right w:val="single" w:sz="4" w:space="0" w:color="auto"/>
            </w:tcBorders>
            <w:shd w:val="clear" w:color="auto" w:fill="auto"/>
            <w:vAlign w:val="bottom"/>
          </w:tcPr>
          <w:p w14:paraId="54D4B73E" w14:textId="77777777" w:rsidR="009D4A93" w:rsidRPr="00536CFD" w:rsidRDefault="009D4A93" w:rsidP="009D4A93">
            <w:pPr>
              <w:spacing w:after="0"/>
              <w:jc w:val="center"/>
              <w:rPr>
                <w:lang w:val="zh-CN"/>
              </w:rPr>
            </w:pPr>
            <w:r w:rsidRPr="00536CFD">
              <w:rPr>
                <w:lang w:val="zh-CN"/>
              </w:rPr>
              <w:t>0.17</w:t>
            </w:r>
          </w:p>
        </w:tc>
        <w:tc>
          <w:tcPr>
            <w:tcW w:w="720" w:type="dxa"/>
            <w:tcBorders>
              <w:top w:val="single" w:sz="4" w:space="0" w:color="auto"/>
              <w:left w:val="nil"/>
              <w:bottom w:val="single" w:sz="4" w:space="0" w:color="auto"/>
              <w:right w:val="single" w:sz="4" w:space="0" w:color="auto"/>
            </w:tcBorders>
            <w:shd w:val="clear" w:color="auto" w:fill="auto"/>
            <w:vAlign w:val="bottom"/>
          </w:tcPr>
          <w:p w14:paraId="7F86B58A" w14:textId="77777777" w:rsidR="009D4A93" w:rsidRPr="00536CFD" w:rsidRDefault="009D4A93" w:rsidP="009D4A93">
            <w:pPr>
              <w:spacing w:after="0"/>
              <w:jc w:val="center"/>
              <w:rPr>
                <w:lang w:val="zh-CN"/>
              </w:rPr>
            </w:pPr>
            <w:r w:rsidRPr="00536CFD">
              <w:rPr>
                <w:lang w:val="zh-CN"/>
              </w:rPr>
              <w:t>0.10</w:t>
            </w:r>
          </w:p>
        </w:tc>
        <w:tc>
          <w:tcPr>
            <w:tcW w:w="724" w:type="dxa"/>
            <w:tcBorders>
              <w:top w:val="single" w:sz="4" w:space="0" w:color="auto"/>
              <w:left w:val="nil"/>
              <w:bottom w:val="single" w:sz="4" w:space="0" w:color="auto"/>
              <w:right w:val="single" w:sz="4" w:space="0" w:color="auto"/>
            </w:tcBorders>
            <w:shd w:val="clear" w:color="auto" w:fill="auto"/>
            <w:vAlign w:val="bottom"/>
          </w:tcPr>
          <w:p w14:paraId="6DEF5E2D" w14:textId="77777777" w:rsidR="009D4A93" w:rsidRPr="00536CFD" w:rsidRDefault="009D4A93" w:rsidP="009D4A93">
            <w:pPr>
              <w:spacing w:after="0"/>
              <w:jc w:val="center"/>
              <w:rPr>
                <w:lang w:val="zh-CN"/>
              </w:rPr>
            </w:pPr>
            <w:r w:rsidRPr="00536CFD">
              <w:rPr>
                <w:lang w:val="zh-CN"/>
              </w:rPr>
              <w:t>0.56</w:t>
            </w:r>
          </w:p>
        </w:tc>
        <w:tc>
          <w:tcPr>
            <w:tcW w:w="896" w:type="dxa"/>
            <w:tcBorders>
              <w:top w:val="single" w:sz="4" w:space="0" w:color="auto"/>
              <w:left w:val="nil"/>
              <w:bottom w:val="single" w:sz="4" w:space="0" w:color="auto"/>
              <w:right w:val="single" w:sz="4" w:space="0" w:color="auto"/>
            </w:tcBorders>
            <w:shd w:val="clear" w:color="auto" w:fill="auto"/>
            <w:vAlign w:val="bottom"/>
          </w:tcPr>
          <w:p w14:paraId="12FCC5AF" w14:textId="77777777" w:rsidR="009D4A93" w:rsidRPr="00536CFD" w:rsidRDefault="009D4A93" w:rsidP="009D4A93">
            <w:pPr>
              <w:spacing w:after="0"/>
              <w:jc w:val="center"/>
              <w:rPr>
                <w:lang w:val="zh-CN"/>
              </w:rPr>
            </w:pPr>
            <w:r w:rsidRPr="00536CFD">
              <w:rPr>
                <w:lang w:val="zh-CN"/>
              </w:rPr>
              <w:t>0.36</w:t>
            </w:r>
          </w:p>
        </w:tc>
        <w:tc>
          <w:tcPr>
            <w:tcW w:w="720" w:type="dxa"/>
            <w:tcBorders>
              <w:top w:val="single" w:sz="4" w:space="0" w:color="auto"/>
              <w:left w:val="nil"/>
              <w:bottom w:val="single" w:sz="4" w:space="0" w:color="auto"/>
              <w:right w:val="single" w:sz="4" w:space="0" w:color="auto"/>
            </w:tcBorders>
            <w:shd w:val="clear" w:color="auto" w:fill="auto"/>
            <w:vAlign w:val="bottom"/>
          </w:tcPr>
          <w:p w14:paraId="06387C41" w14:textId="77777777" w:rsidR="009D4A93" w:rsidRPr="00536CFD" w:rsidRDefault="009D4A93" w:rsidP="009D4A93">
            <w:pPr>
              <w:spacing w:after="0"/>
              <w:jc w:val="center"/>
              <w:rPr>
                <w:lang w:val="zh-CN"/>
              </w:rPr>
            </w:pPr>
            <w:r w:rsidRPr="00536CFD">
              <w:rPr>
                <w:lang w:val="zh-CN"/>
              </w:rPr>
              <w:t>0.28</w:t>
            </w:r>
          </w:p>
        </w:tc>
        <w:tc>
          <w:tcPr>
            <w:tcW w:w="720" w:type="dxa"/>
            <w:tcBorders>
              <w:top w:val="single" w:sz="4" w:space="0" w:color="auto"/>
              <w:left w:val="nil"/>
              <w:bottom w:val="single" w:sz="4" w:space="0" w:color="auto"/>
              <w:right w:val="single" w:sz="4" w:space="0" w:color="auto"/>
            </w:tcBorders>
            <w:shd w:val="clear" w:color="auto" w:fill="auto"/>
            <w:vAlign w:val="bottom"/>
          </w:tcPr>
          <w:p w14:paraId="40038D80" w14:textId="77777777" w:rsidR="009D4A93" w:rsidRPr="00536CFD" w:rsidRDefault="009D4A93" w:rsidP="009D4A93">
            <w:pPr>
              <w:spacing w:after="0"/>
              <w:jc w:val="center"/>
              <w:rPr>
                <w:lang w:val="zh-CN"/>
              </w:rPr>
            </w:pPr>
            <w:r w:rsidRPr="00536CFD">
              <w:rPr>
                <w:lang w:val="zh-CN"/>
              </w:rPr>
              <w:t>0.14</w:t>
            </w:r>
          </w:p>
        </w:tc>
      </w:tr>
      <w:tr w:rsidR="009D4A93" w:rsidRPr="00536CFD" w14:paraId="1EBC7774"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95154FD"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50364174"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4C79ED49" w14:textId="77777777" w:rsidR="009D4A93" w:rsidRPr="00536CFD" w:rsidRDefault="009D4A93" w:rsidP="009D4A93">
            <w:pPr>
              <w:spacing w:after="0"/>
              <w:jc w:val="center"/>
              <w:rPr>
                <w:lang w:val="zh-CN"/>
              </w:rPr>
            </w:pPr>
            <w:r w:rsidRPr="00536CFD">
              <w:rPr>
                <w:lang w:val="zh-CN"/>
              </w:rPr>
              <w:t>1.5 Mbps</w:t>
            </w:r>
          </w:p>
        </w:tc>
        <w:tc>
          <w:tcPr>
            <w:tcW w:w="3150" w:type="dxa"/>
            <w:gridSpan w:val="4"/>
            <w:tcBorders>
              <w:top w:val="single" w:sz="4" w:space="0" w:color="auto"/>
              <w:left w:val="nil"/>
              <w:bottom w:val="single" w:sz="4" w:space="0" w:color="auto"/>
              <w:right w:val="single" w:sz="4" w:space="0" w:color="auto"/>
            </w:tcBorders>
            <w:shd w:val="clear" w:color="auto" w:fill="auto"/>
          </w:tcPr>
          <w:p w14:paraId="7C90E3CE" w14:textId="77777777" w:rsidR="009D4A93" w:rsidRPr="00536CFD" w:rsidRDefault="009D4A93" w:rsidP="009D4A93">
            <w:pPr>
              <w:spacing w:after="0"/>
              <w:jc w:val="center"/>
              <w:rPr>
                <w:lang w:val="zh-CN"/>
              </w:rPr>
            </w:pPr>
            <w:r w:rsidRPr="00536CFD">
              <w:rPr>
                <w:lang w:val="zh-CN"/>
              </w:rPr>
              <w:t>2.0 Mbps</w:t>
            </w:r>
          </w:p>
        </w:tc>
        <w:tc>
          <w:tcPr>
            <w:tcW w:w="3060" w:type="dxa"/>
            <w:gridSpan w:val="4"/>
            <w:tcBorders>
              <w:top w:val="single" w:sz="4" w:space="0" w:color="auto"/>
              <w:left w:val="nil"/>
              <w:bottom w:val="single" w:sz="4" w:space="0" w:color="auto"/>
              <w:right w:val="single" w:sz="4" w:space="0" w:color="auto"/>
            </w:tcBorders>
            <w:shd w:val="clear" w:color="auto" w:fill="auto"/>
          </w:tcPr>
          <w:p w14:paraId="5D805151" w14:textId="77777777" w:rsidR="009D4A93" w:rsidRPr="00536CFD" w:rsidRDefault="009D4A93" w:rsidP="009D4A93">
            <w:pPr>
              <w:spacing w:after="0"/>
              <w:jc w:val="center"/>
              <w:rPr>
                <w:lang w:val="zh-CN"/>
              </w:rPr>
            </w:pPr>
            <w:r w:rsidRPr="00536CFD">
              <w:rPr>
                <w:lang w:val="zh-CN"/>
              </w:rPr>
              <w:t>2.5 Mbps</w:t>
            </w:r>
          </w:p>
        </w:tc>
      </w:tr>
      <w:tr w:rsidR="009D4A93" w:rsidRPr="00536CFD" w14:paraId="5FFC7D2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F3F6D9D"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F5CFD05"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2D63929E" w14:textId="77777777" w:rsidR="009D4A93" w:rsidRPr="00536CFD" w:rsidRDefault="009D4A93" w:rsidP="009D4A93">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disabled, Preamble detection enabled, ED/PD threshold -62/-82 dBm, A-MPDU size is chosen to get MPDU duration of 1ms, Wi-Fi Guard Interval short,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Switching points no longer than 16 µs every 2ms for CSI feedback, UL grant update.</w:t>
            </w:r>
          </w:p>
        </w:tc>
      </w:tr>
      <w:tr w:rsidR="009D4A93" w:rsidRPr="00536CFD" w14:paraId="0CE5E013"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745A457D" w14:textId="77777777" w:rsidR="009D4A93" w:rsidRPr="00536CFD" w:rsidRDefault="009D4A93" w:rsidP="009D4A93">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535" w:type="dxa"/>
            <w:vMerge w:val="restart"/>
            <w:tcBorders>
              <w:top w:val="nil"/>
              <w:left w:val="nil"/>
              <w:bottom w:val="single" w:sz="4" w:space="0" w:color="auto"/>
              <w:right w:val="single" w:sz="4" w:space="0" w:color="auto"/>
            </w:tcBorders>
            <w:shd w:val="clear" w:color="auto" w:fill="auto"/>
          </w:tcPr>
          <w:p w14:paraId="4628C412"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24F6C387"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29B7D57B" w14:textId="77777777" w:rsidR="009D4A93" w:rsidRPr="00536CFD" w:rsidRDefault="009D4A93" w:rsidP="009D4A93">
            <w:pPr>
              <w:pageBreakBefore/>
              <w:spacing w:after="0"/>
              <w:jc w:val="center"/>
              <w:rPr>
                <w:lang w:val="zh-CN"/>
              </w:rPr>
            </w:pPr>
            <w:r w:rsidRPr="00536CFD">
              <w:rPr>
                <w:lang w:val="zh-CN"/>
              </w:rPr>
              <w:t>24.73</w:t>
            </w:r>
          </w:p>
        </w:tc>
        <w:tc>
          <w:tcPr>
            <w:tcW w:w="720" w:type="dxa"/>
            <w:tcBorders>
              <w:top w:val="single" w:sz="4" w:space="0" w:color="auto"/>
              <w:left w:val="nil"/>
              <w:bottom w:val="single" w:sz="4" w:space="0" w:color="auto"/>
              <w:right w:val="single" w:sz="4" w:space="0" w:color="auto"/>
            </w:tcBorders>
            <w:shd w:val="clear" w:color="auto" w:fill="auto"/>
            <w:vAlign w:val="bottom"/>
          </w:tcPr>
          <w:p w14:paraId="0C859572" w14:textId="77777777" w:rsidR="009D4A93" w:rsidRPr="00536CFD" w:rsidRDefault="009D4A93" w:rsidP="009D4A93">
            <w:pPr>
              <w:pageBreakBefore/>
              <w:spacing w:after="0"/>
              <w:jc w:val="center"/>
              <w:rPr>
                <w:lang w:val="zh-CN"/>
              </w:rPr>
            </w:pPr>
            <w:r w:rsidRPr="00536CFD">
              <w:rPr>
                <w:lang w:val="zh-CN"/>
              </w:rPr>
              <w:t>28.8</w:t>
            </w:r>
          </w:p>
        </w:tc>
        <w:tc>
          <w:tcPr>
            <w:tcW w:w="720" w:type="dxa"/>
            <w:tcBorders>
              <w:top w:val="single" w:sz="4" w:space="0" w:color="auto"/>
              <w:left w:val="nil"/>
              <w:bottom w:val="single" w:sz="4" w:space="0" w:color="auto"/>
              <w:right w:val="single" w:sz="4" w:space="0" w:color="auto"/>
            </w:tcBorders>
            <w:shd w:val="clear" w:color="auto" w:fill="auto"/>
            <w:vAlign w:val="bottom"/>
          </w:tcPr>
          <w:p w14:paraId="7BC2EE02" w14:textId="77777777" w:rsidR="009D4A93" w:rsidRPr="00536CFD" w:rsidRDefault="009D4A93" w:rsidP="009D4A93">
            <w:pPr>
              <w:pageBreakBefore/>
              <w:spacing w:after="0"/>
              <w:jc w:val="center"/>
              <w:rPr>
                <w:lang w:val="zh-CN"/>
              </w:rPr>
            </w:pPr>
            <w:r w:rsidRPr="00536CFD">
              <w:rPr>
                <w:lang w:val="zh-CN"/>
              </w:rPr>
              <w:t>62.58</w:t>
            </w:r>
          </w:p>
        </w:tc>
        <w:tc>
          <w:tcPr>
            <w:tcW w:w="810" w:type="dxa"/>
            <w:tcBorders>
              <w:top w:val="single" w:sz="4" w:space="0" w:color="auto"/>
              <w:left w:val="nil"/>
              <w:bottom w:val="single" w:sz="4" w:space="0" w:color="auto"/>
              <w:right w:val="single" w:sz="4" w:space="0" w:color="auto"/>
            </w:tcBorders>
            <w:shd w:val="clear" w:color="auto" w:fill="auto"/>
            <w:vAlign w:val="bottom"/>
          </w:tcPr>
          <w:p w14:paraId="0031BA64" w14:textId="77777777" w:rsidR="009D4A93" w:rsidRPr="00536CFD" w:rsidRDefault="009D4A93" w:rsidP="009D4A93">
            <w:pPr>
              <w:pageBreakBefore/>
              <w:spacing w:after="0"/>
              <w:jc w:val="center"/>
              <w:rPr>
                <w:lang w:val="zh-CN"/>
              </w:rPr>
            </w:pPr>
            <w:r w:rsidRPr="00536CFD">
              <w:rPr>
                <w:lang w:val="zh-CN"/>
              </w:rPr>
              <w:t>70.69</w:t>
            </w:r>
          </w:p>
        </w:tc>
        <w:tc>
          <w:tcPr>
            <w:tcW w:w="810" w:type="dxa"/>
            <w:tcBorders>
              <w:top w:val="single" w:sz="4" w:space="0" w:color="auto"/>
              <w:left w:val="nil"/>
              <w:bottom w:val="single" w:sz="4" w:space="0" w:color="auto"/>
              <w:right w:val="single" w:sz="4" w:space="0" w:color="auto"/>
            </w:tcBorders>
            <w:shd w:val="clear" w:color="auto" w:fill="auto"/>
            <w:vAlign w:val="bottom"/>
          </w:tcPr>
          <w:p w14:paraId="0EC844F4" w14:textId="77777777" w:rsidR="009D4A93" w:rsidRPr="00536CFD" w:rsidRDefault="009D4A93" w:rsidP="009D4A93">
            <w:pPr>
              <w:pageBreakBefore/>
              <w:spacing w:after="0"/>
              <w:jc w:val="center"/>
              <w:rPr>
                <w:lang w:val="zh-CN"/>
              </w:rPr>
            </w:pPr>
            <w:r w:rsidRPr="00536CFD">
              <w:rPr>
                <w:lang w:val="zh-CN"/>
              </w:rPr>
              <w:t>18.15</w:t>
            </w:r>
          </w:p>
        </w:tc>
        <w:tc>
          <w:tcPr>
            <w:tcW w:w="820" w:type="dxa"/>
            <w:tcBorders>
              <w:top w:val="single" w:sz="4" w:space="0" w:color="auto"/>
              <w:left w:val="nil"/>
              <w:bottom w:val="single" w:sz="4" w:space="0" w:color="auto"/>
              <w:right w:val="single" w:sz="4" w:space="0" w:color="auto"/>
            </w:tcBorders>
            <w:shd w:val="clear" w:color="auto" w:fill="auto"/>
            <w:vAlign w:val="bottom"/>
          </w:tcPr>
          <w:p w14:paraId="340A0814" w14:textId="77777777" w:rsidR="009D4A93" w:rsidRPr="00536CFD" w:rsidRDefault="009D4A93" w:rsidP="009D4A93">
            <w:pPr>
              <w:pageBreakBefore/>
              <w:spacing w:after="0"/>
              <w:jc w:val="center"/>
              <w:rPr>
                <w:lang w:val="zh-CN"/>
              </w:rPr>
            </w:pPr>
            <w:r w:rsidRPr="00536CFD">
              <w:rPr>
                <w:lang w:val="zh-CN"/>
              </w:rPr>
              <w:t>23.54</w:t>
            </w:r>
          </w:p>
        </w:tc>
        <w:tc>
          <w:tcPr>
            <w:tcW w:w="800" w:type="dxa"/>
            <w:tcBorders>
              <w:top w:val="single" w:sz="4" w:space="0" w:color="auto"/>
              <w:left w:val="nil"/>
              <w:bottom w:val="single" w:sz="4" w:space="0" w:color="auto"/>
              <w:right w:val="single" w:sz="4" w:space="0" w:color="auto"/>
            </w:tcBorders>
            <w:shd w:val="clear" w:color="auto" w:fill="auto"/>
            <w:vAlign w:val="bottom"/>
          </w:tcPr>
          <w:p w14:paraId="7FE4BB63" w14:textId="77777777" w:rsidR="009D4A93" w:rsidRPr="00536CFD" w:rsidRDefault="009D4A93" w:rsidP="009D4A93">
            <w:pPr>
              <w:pageBreakBefore/>
              <w:spacing w:after="0"/>
              <w:jc w:val="center"/>
              <w:rPr>
                <w:lang w:val="zh-CN"/>
              </w:rPr>
            </w:pPr>
            <w:r w:rsidRPr="00536CFD">
              <w:rPr>
                <w:lang w:val="zh-CN"/>
              </w:rPr>
              <w:t>54.84</w:t>
            </w:r>
          </w:p>
        </w:tc>
        <w:tc>
          <w:tcPr>
            <w:tcW w:w="720" w:type="dxa"/>
            <w:tcBorders>
              <w:top w:val="single" w:sz="4" w:space="0" w:color="auto"/>
              <w:left w:val="nil"/>
              <w:bottom w:val="single" w:sz="4" w:space="0" w:color="auto"/>
              <w:right w:val="single" w:sz="4" w:space="0" w:color="auto"/>
            </w:tcBorders>
            <w:shd w:val="clear" w:color="auto" w:fill="auto"/>
            <w:vAlign w:val="bottom"/>
          </w:tcPr>
          <w:p w14:paraId="04F5CC5D" w14:textId="77777777" w:rsidR="009D4A93" w:rsidRPr="00536CFD" w:rsidRDefault="009D4A93" w:rsidP="009D4A93">
            <w:pPr>
              <w:pageBreakBefore/>
              <w:spacing w:after="0"/>
              <w:jc w:val="center"/>
              <w:rPr>
                <w:lang w:val="zh-CN"/>
              </w:rPr>
            </w:pPr>
            <w:r w:rsidRPr="00536CFD">
              <w:rPr>
                <w:lang w:val="zh-CN"/>
              </w:rPr>
              <w:t>67.02</w:t>
            </w:r>
          </w:p>
        </w:tc>
        <w:tc>
          <w:tcPr>
            <w:tcW w:w="724" w:type="dxa"/>
            <w:tcBorders>
              <w:top w:val="single" w:sz="4" w:space="0" w:color="auto"/>
              <w:left w:val="nil"/>
              <w:bottom w:val="single" w:sz="4" w:space="0" w:color="auto"/>
              <w:right w:val="single" w:sz="4" w:space="0" w:color="auto"/>
            </w:tcBorders>
            <w:shd w:val="clear" w:color="auto" w:fill="auto"/>
            <w:vAlign w:val="bottom"/>
          </w:tcPr>
          <w:p w14:paraId="64ADC7F3" w14:textId="77777777" w:rsidR="009D4A93" w:rsidRPr="00536CFD" w:rsidRDefault="009D4A93" w:rsidP="009D4A93">
            <w:pPr>
              <w:pageBreakBefore/>
              <w:spacing w:after="0"/>
              <w:jc w:val="center"/>
              <w:rPr>
                <w:lang w:val="zh-CN"/>
              </w:rPr>
            </w:pPr>
            <w:r w:rsidRPr="00536CFD">
              <w:rPr>
                <w:lang w:val="zh-CN"/>
              </w:rPr>
              <w:t>7.31</w:t>
            </w:r>
          </w:p>
        </w:tc>
        <w:tc>
          <w:tcPr>
            <w:tcW w:w="896" w:type="dxa"/>
            <w:tcBorders>
              <w:top w:val="single" w:sz="4" w:space="0" w:color="auto"/>
              <w:left w:val="nil"/>
              <w:bottom w:val="single" w:sz="4" w:space="0" w:color="auto"/>
              <w:right w:val="single" w:sz="4" w:space="0" w:color="auto"/>
            </w:tcBorders>
            <w:shd w:val="clear" w:color="auto" w:fill="auto"/>
            <w:vAlign w:val="bottom"/>
          </w:tcPr>
          <w:p w14:paraId="79DCB002" w14:textId="77777777" w:rsidR="009D4A93" w:rsidRPr="00536CFD" w:rsidRDefault="009D4A93" w:rsidP="009D4A93">
            <w:pPr>
              <w:pageBreakBefore/>
              <w:spacing w:after="0"/>
              <w:jc w:val="center"/>
              <w:rPr>
                <w:lang w:val="zh-CN"/>
              </w:rPr>
            </w:pPr>
            <w:r w:rsidRPr="00536CFD">
              <w:rPr>
                <w:lang w:val="zh-CN"/>
              </w:rPr>
              <w:t>18.07</w:t>
            </w:r>
          </w:p>
        </w:tc>
        <w:tc>
          <w:tcPr>
            <w:tcW w:w="720" w:type="dxa"/>
            <w:tcBorders>
              <w:top w:val="single" w:sz="4" w:space="0" w:color="auto"/>
              <w:left w:val="nil"/>
              <w:bottom w:val="single" w:sz="4" w:space="0" w:color="auto"/>
              <w:right w:val="single" w:sz="4" w:space="0" w:color="auto"/>
            </w:tcBorders>
            <w:shd w:val="clear" w:color="auto" w:fill="auto"/>
            <w:vAlign w:val="bottom"/>
          </w:tcPr>
          <w:p w14:paraId="22592ACC" w14:textId="77777777" w:rsidR="009D4A93" w:rsidRPr="00536CFD" w:rsidRDefault="009D4A93" w:rsidP="009D4A93">
            <w:pPr>
              <w:pageBreakBefore/>
              <w:spacing w:after="0"/>
              <w:jc w:val="center"/>
              <w:rPr>
                <w:lang w:val="zh-CN"/>
              </w:rPr>
            </w:pPr>
            <w:r w:rsidRPr="00536CFD">
              <w:rPr>
                <w:lang w:val="zh-CN"/>
              </w:rPr>
              <w:t>39.05</w:t>
            </w:r>
          </w:p>
        </w:tc>
        <w:tc>
          <w:tcPr>
            <w:tcW w:w="720" w:type="dxa"/>
            <w:tcBorders>
              <w:top w:val="single" w:sz="4" w:space="0" w:color="auto"/>
              <w:left w:val="nil"/>
              <w:bottom w:val="single" w:sz="4" w:space="0" w:color="auto"/>
              <w:right w:val="single" w:sz="4" w:space="0" w:color="auto"/>
            </w:tcBorders>
            <w:shd w:val="clear" w:color="auto" w:fill="auto"/>
            <w:vAlign w:val="bottom"/>
          </w:tcPr>
          <w:p w14:paraId="51CBA781" w14:textId="77777777" w:rsidR="009D4A93" w:rsidRPr="00536CFD" w:rsidRDefault="009D4A93" w:rsidP="009D4A93">
            <w:pPr>
              <w:pageBreakBefore/>
              <w:spacing w:after="0"/>
              <w:jc w:val="center"/>
              <w:rPr>
                <w:lang w:val="zh-CN"/>
              </w:rPr>
            </w:pPr>
            <w:r w:rsidRPr="00536CFD">
              <w:rPr>
                <w:lang w:val="zh-CN"/>
              </w:rPr>
              <w:t>59.74</w:t>
            </w:r>
          </w:p>
        </w:tc>
      </w:tr>
      <w:tr w:rsidR="009D4A93" w:rsidRPr="00536CFD" w14:paraId="136E7C6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9D1F51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6B387E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071BD5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4679F904" w14:textId="77777777" w:rsidR="009D4A93" w:rsidRPr="00536CFD" w:rsidRDefault="009D4A93" w:rsidP="009D4A93">
            <w:pPr>
              <w:spacing w:after="0"/>
              <w:jc w:val="center"/>
              <w:rPr>
                <w:lang w:val="zh-CN"/>
              </w:rPr>
            </w:pPr>
            <w:r w:rsidRPr="00536CFD">
              <w:rPr>
                <w:lang w:val="zh-CN"/>
              </w:rPr>
              <w:t>61.49</w:t>
            </w:r>
          </w:p>
        </w:tc>
        <w:tc>
          <w:tcPr>
            <w:tcW w:w="720" w:type="dxa"/>
            <w:tcBorders>
              <w:top w:val="single" w:sz="4" w:space="0" w:color="auto"/>
              <w:left w:val="nil"/>
              <w:bottom w:val="single" w:sz="4" w:space="0" w:color="auto"/>
              <w:right w:val="single" w:sz="4" w:space="0" w:color="auto"/>
            </w:tcBorders>
            <w:shd w:val="clear" w:color="auto" w:fill="auto"/>
            <w:vAlign w:val="bottom"/>
          </w:tcPr>
          <w:p w14:paraId="5052E7B1" w14:textId="77777777" w:rsidR="009D4A93" w:rsidRPr="00536CFD" w:rsidRDefault="009D4A93" w:rsidP="009D4A93">
            <w:pPr>
              <w:spacing w:after="0"/>
              <w:jc w:val="center"/>
              <w:rPr>
                <w:lang w:val="zh-CN"/>
              </w:rPr>
            </w:pPr>
            <w:r w:rsidRPr="00536CFD">
              <w:rPr>
                <w:lang w:val="zh-CN"/>
              </w:rPr>
              <w:t>71.51</w:t>
            </w:r>
          </w:p>
        </w:tc>
        <w:tc>
          <w:tcPr>
            <w:tcW w:w="720" w:type="dxa"/>
            <w:tcBorders>
              <w:top w:val="single" w:sz="4" w:space="0" w:color="auto"/>
              <w:left w:val="nil"/>
              <w:bottom w:val="single" w:sz="4" w:space="0" w:color="auto"/>
              <w:right w:val="single" w:sz="4" w:space="0" w:color="auto"/>
            </w:tcBorders>
            <w:shd w:val="clear" w:color="auto" w:fill="auto"/>
            <w:vAlign w:val="bottom"/>
          </w:tcPr>
          <w:p w14:paraId="178F57F5" w14:textId="77777777" w:rsidR="009D4A93" w:rsidRPr="00536CFD" w:rsidRDefault="009D4A93" w:rsidP="009D4A93">
            <w:pPr>
              <w:spacing w:after="0"/>
              <w:jc w:val="center"/>
              <w:rPr>
                <w:lang w:val="zh-CN"/>
              </w:rPr>
            </w:pPr>
            <w:r w:rsidRPr="00536CFD">
              <w:rPr>
                <w:lang w:val="zh-CN"/>
              </w:rPr>
              <w:t>126.51</w:t>
            </w:r>
          </w:p>
        </w:tc>
        <w:tc>
          <w:tcPr>
            <w:tcW w:w="810" w:type="dxa"/>
            <w:tcBorders>
              <w:top w:val="single" w:sz="4" w:space="0" w:color="auto"/>
              <w:left w:val="nil"/>
              <w:bottom w:val="single" w:sz="4" w:space="0" w:color="auto"/>
              <w:right w:val="single" w:sz="4" w:space="0" w:color="auto"/>
            </w:tcBorders>
            <w:shd w:val="clear" w:color="auto" w:fill="auto"/>
            <w:vAlign w:val="bottom"/>
          </w:tcPr>
          <w:p w14:paraId="712DFFA2" w14:textId="77777777" w:rsidR="009D4A93" w:rsidRPr="00536CFD" w:rsidRDefault="009D4A93" w:rsidP="009D4A93">
            <w:pPr>
              <w:spacing w:after="0"/>
              <w:jc w:val="center"/>
              <w:rPr>
                <w:lang w:val="zh-CN"/>
              </w:rPr>
            </w:pPr>
            <w:r w:rsidRPr="00536CFD">
              <w:rPr>
                <w:lang w:val="zh-CN"/>
              </w:rPr>
              <w:t>142.3</w:t>
            </w:r>
          </w:p>
        </w:tc>
        <w:tc>
          <w:tcPr>
            <w:tcW w:w="810" w:type="dxa"/>
            <w:tcBorders>
              <w:top w:val="single" w:sz="4" w:space="0" w:color="auto"/>
              <w:left w:val="nil"/>
              <w:bottom w:val="single" w:sz="4" w:space="0" w:color="auto"/>
              <w:right w:val="single" w:sz="4" w:space="0" w:color="auto"/>
            </w:tcBorders>
            <w:shd w:val="clear" w:color="auto" w:fill="auto"/>
            <w:vAlign w:val="bottom"/>
          </w:tcPr>
          <w:p w14:paraId="0CB4DB72" w14:textId="77777777" w:rsidR="009D4A93" w:rsidRPr="00536CFD" w:rsidRDefault="009D4A93" w:rsidP="009D4A93">
            <w:pPr>
              <w:spacing w:after="0"/>
              <w:jc w:val="center"/>
              <w:rPr>
                <w:lang w:val="zh-CN"/>
              </w:rPr>
            </w:pPr>
            <w:r w:rsidRPr="00536CFD">
              <w:rPr>
                <w:lang w:val="zh-CN"/>
              </w:rPr>
              <w:t>51.42</w:t>
            </w:r>
          </w:p>
        </w:tc>
        <w:tc>
          <w:tcPr>
            <w:tcW w:w="820" w:type="dxa"/>
            <w:tcBorders>
              <w:top w:val="single" w:sz="4" w:space="0" w:color="auto"/>
              <w:left w:val="nil"/>
              <w:bottom w:val="single" w:sz="4" w:space="0" w:color="auto"/>
              <w:right w:val="single" w:sz="4" w:space="0" w:color="auto"/>
            </w:tcBorders>
            <w:shd w:val="clear" w:color="auto" w:fill="auto"/>
            <w:vAlign w:val="bottom"/>
          </w:tcPr>
          <w:p w14:paraId="115365FB" w14:textId="77777777" w:rsidR="009D4A93" w:rsidRPr="00536CFD" w:rsidRDefault="009D4A93" w:rsidP="009D4A93">
            <w:pPr>
              <w:spacing w:after="0"/>
              <w:jc w:val="center"/>
              <w:rPr>
                <w:lang w:val="zh-CN"/>
              </w:rPr>
            </w:pPr>
            <w:r w:rsidRPr="00536CFD">
              <w:rPr>
                <w:lang w:val="zh-CN"/>
              </w:rPr>
              <w:t>63.13</w:t>
            </w:r>
          </w:p>
        </w:tc>
        <w:tc>
          <w:tcPr>
            <w:tcW w:w="800" w:type="dxa"/>
            <w:tcBorders>
              <w:top w:val="single" w:sz="4" w:space="0" w:color="auto"/>
              <w:left w:val="nil"/>
              <w:bottom w:val="single" w:sz="4" w:space="0" w:color="auto"/>
              <w:right w:val="single" w:sz="4" w:space="0" w:color="auto"/>
            </w:tcBorders>
            <w:shd w:val="clear" w:color="auto" w:fill="auto"/>
            <w:vAlign w:val="bottom"/>
          </w:tcPr>
          <w:p w14:paraId="477BFF30" w14:textId="77777777" w:rsidR="009D4A93" w:rsidRPr="00536CFD" w:rsidRDefault="009D4A93" w:rsidP="009D4A93">
            <w:pPr>
              <w:spacing w:after="0"/>
              <w:jc w:val="center"/>
              <w:rPr>
                <w:lang w:val="zh-CN"/>
              </w:rPr>
            </w:pPr>
            <w:r w:rsidRPr="00536CFD">
              <w:rPr>
                <w:lang w:val="zh-CN"/>
              </w:rPr>
              <w:t>115.66</w:t>
            </w:r>
          </w:p>
        </w:tc>
        <w:tc>
          <w:tcPr>
            <w:tcW w:w="720" w:type="dxa"/>
            <w:tcBorders>
              <w:top w:val="single" w:sz="4" w:space="0" w:color="auto"/>
              <w:left w:val="nil"/>
              <w:bottom w:val="single" w:sz="4" w:space="0" w:color="auto"/>
              <w:right w:val="single" w:sz="4" w:space="0" w:color="auto"/>
            </w:tcBorders>
            <w:shd w:val="clear" w:color="auto" w:fill="auto"/>
            <w:vAlign w:val="bottom"/>
          </w:tcPr>
          <w:p w14:paraId="7AF9A655" w14:textId="77777777" w:rsidR="009D4A93" w:rsidRPr="00536CFD" w:rsidRDefault="009D4A93" w:rsidP="009D4A93">
            <w:pPr>
              <w:spacing w:after="0"/>
              <w:jc w:val="center"/>
              <w:rPr>
                <w:lang w:val="zh-CN"/>
              </w:rPr>
            </w:pPr>
            <w:r w:rsidRPr="00536CFD">
              <w:rPr>
                <w:lang w:val="zh-CN"/>
              </w:rPr>
              <w:t>135.79</w:t>
            </w:r>
          </w:p>
        </w:tc>
        <w:tc>
          <w:tcPr>
            <w:tcW w:w="724" w:type="dxa"/>
            <w:tcBorders>
              <w:top w:val="single" w:sz="4" w:space="0" w:color="auto"/>
              <w:left w:val="nil"/>
              <w:bottom w:val="single" w:sz="4" w:space="0" w:color="auto"/>
              <w:right w:val="single" w:sz="4" w:space="0" w:color="auto"/>
            </w:tcBorders>
            <w:shd w:val="clear" w:color="auto" w:fill="auto"/>
            <w:vAlign w:val="bottom"/>
          </w:tcPr>
          <w:p w14:paraId="566EF92C" w14:textId="77777777" w:rsidR="009D4A93" w:rsidRPr="00536CFD" w:rsidRDefault="009D4A93" w:rsidP="009D4A93">
            <w:pPr>
              <w:spacing w:after="0"/>
              <w:jc w:val="center"/>
              <w:rPr>
                <w:lang w:val="zh-CN"/>
              </w:rPr>
            </w:pPr>
            <w:r w:rsidRPr="00536CFD">
              <w:rPr>
                <w:lang w:val="zh-CN"/>
              </w:rPr>
              <w:t>40.52</w:t>
            </w:r>
          </w:p>
        </w:tc>
        <w:tc>
          <w:tcPr>
            <w:tcW w:w="896" w:type="dxa"/>
            <w:tcBorders>
              <w:top w:val="single" w:sz="4" w:space="0" w:color="auto"/>
              <w:left w:val="nil"/>
              <w:bottom w:val="single" w:sz="4" w:space="0" w:color="auto"/>
              <w:right w:val="single" w:sz="4" w:space="0" w:color="auto"/>
            </w:tcBorders>
            <w:shd w:val="clear" w:color="auto" w:fill="auto"/>
            <w:vAlign w:val="bottom"/>
          </w:tcPr>
          <w:p w14:paraId="7A59F535" w14:textId="77777777" w:rsidR="009D4A93" w:rsidRPr="00536CFD" w:rsidRDefault="009D4A93" w:rsidP="009D4A93">
            <w:pPr>
              <w:spacing w:after="0"/>
              <w:jc w:val="center"/>
              <w:rPr>
                <w:lang w:val="zh-CN"/>
              </w:rPr>
            </w:pPr>
            <w:r w:rsidRPr="00536CFD">
              <w:rPr>
                <w:lang w:val="zh-CN"/>
              </w:rPr>
              <w:t>55.96</w:t>
            </w:r>
          </w:p>
        </w:tc>
        <w:tc>
          <w:tcPr>
            <w:tcW w:w="720" w:type="dxa"/>
            <w:tcBorders>
              <w:top w:val="single" w:sz="4" w:space="0" w:color="auto"/>
              <w:left w:val="nil"/>
              <w:bottom w:val="single" w:sz="4" w:space="0" w:color="auto"/>
              <w:right w:val="single" w:sz="4" w:space="0" w:color="auto"/>
            </w:tcBorders>
            <w:shd w:val="clear" w:color="auto" w:fill="auto"/>
            <w:vAlign w:val="bottom"/>
          </w:tcPr>
          <w:p w14:paraId="6820E57E" w14:textId="77777777" w:rsidR="009D4A93" w:rsidRPr="00536CFD" w:rsidRDefault="009D4A93" w:rsidP="009D4A93">
            <w:pPr>
              <w:spacing w:after="0"/>
              <w:jc w:val="center"/>
              <w:rPr>
                <w:lang w:val="zh-CN"/>
              </w:rPr>
            </w:pPr>
            <w:r w:rsidRPr="00536CFD">
              <w:rPr>
                <w:lang w:val="zh-CN"/>
              </w:rPr>
              <w:t>96.85</w:t>
            </w:r>
          </w:p>
        </w:tc>
        <w:tc>
          <w:tcPr>
            <w:tcW w:w="720" w:type="dxa"/>
            <w:tcBorders>
              <w:top w:val="single" w:sz="4" w:space="0" w:color="auto"/>
              <w:left w:val="nil"/>
              <w:bottom w:val="single" w:sz="4" w:space="0" w:color="auto"/>
              <w:right w:val="single" w:sz="4" w:space="0" w:color="auto"/>
            </w:tcBorders>
            <w:shd w:val="clear" w:color="auto" w:fill="auto"/>
            <w:vAlign w:val="bottom"/>
          </w:tcPr>
          <w:p w14:paraId="5110FAB3" w14:textId="77777777" w:rsidR="009D4A93" w:rsidRPr="00536CFD" w:rsidRDefault="009D4A93" w:rsidP="009D4A93">
            <w:pPr>
              <w:spacing w:after="0"/>
              <w:jc w:val="center"/>
              <w:rPr>
                <w:lang w:val="zh-CN"/>
              </w:rPr>
            </w:pPr>
            <w:r w:rsidRPr="00536CFD">
              <w:rPr>
                <w:lang w:val="zh-CN"/>
              </w:rPr>
              <w:t>127.03</w:t>
            </w:r>
          </w:p>
        </w:tc>
      </w:tr>
      <w:tr w:rsidR="009D4A93" w:rsidRPr="00536CFD" w14:paraId="6BD5710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0A70097"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1CE68C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696CF3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329970D7" w14:textId="77777777" w:rsidR="009D4A93" w:rsidRPr="00536CFD" w:rsidRDefault="009D4A93" w:rsidP="009D4A93">
            <w:pPr>
              <w:spacing w:after="0"/>
              <w:jc w:val="center"/>
              <w:rPr>
                <w:lang w:val="zh-CN"/>
              </w:rPr>
            </w:pPr>
            <w:r w:rsidRPr="00536CFD">
              <w:rPr>
                <w:lang w:val="zh-CN"/>
              </w:rPr>
              <w:t>110.75</w:t>
            </w:r>
          </w:p>
        </w:tc>
        <w:tc>
          <w:tcPr>
            <w:tcW w:w="720" w:type="dxa"/>
            <w:tcBorders>
              <w:top w:val="single" w:sz="4" w:space="0" w:color="auto"/>
              <w:left w:val="nil"/>
              <w:bottom w:val="single" w:sz="4" w:space="0" w:color="auto"/>
              <w:right w:val="single" w:sz="4" w:space="0" w:color="auto"/>
            </w:tcBorders>
            <w:shd w:val="clear" w:color="auto" w:fill="auto"/>
            <w:vAlign w:val="bottom"/>
          </w:tcPr>
          <w:p w14:paraId="438AB07C" w14:textId="77777777" w:rsidR="009D4A93" w:rsidRPr="00536CFD" w:rsidRDefault="009D4A93" w:rsidP="009D4A93">
            <w:pPr>
              <w:spacing w:after="0"/>
              <w:jc w:val="center"/>
              <w:rPr>
                <w:lang w:val="zh-CN"/>
              </w:rPr>
            </w:pPr>
            <w:r w:rsidRPr="00536CFD">
              <w:rPr>
                <w:lang w:val="zh-CN"/>
              </w:rPr>
              <w:t>124.67</w:t>
            </w:r>
          </w:p>
        </w:tc>
        <w:tc>
          <w:tcPr>
            <w:tcW w:w="720" w:type="dxa"/>
            <w:tcBorders>
              <w:top w:val="single" w:sz="4" w:space="0" w:color="auto"/>
              <w:left w:val="nil"/>
              <w:bottom w:val="single" w:sz="4" w:space="0" w:color="auto"/>
              <w:right w:val="single" w:sz="4" w:space="0" w:color="auto"/>
            </w:tcBorders>
            <w:shd w:val="clear" w:color="auto" w:fill="auto"/>
            <w:vAlign w:val="bottom"/>
          </w:tcPr>
          <w:p w14:paraId="3AA170B8" w14:textId="77777777" w:rsidR="009D4A93" w:rsidRPr="00536CFD" w:rsidRDefault="009D4A93" w:rsidP="009D4A93">
            <w:pPr>
              <w:spacing w:after="0"/>
              <w:jc w:val="center"/>
              <w:rPr>
                <w:lang w:val="zh-CN"/>
              </w:rPr>
            </w:pPr>
            <w:r w:rsidRPr="00536CFD">
              <w:rPr>
                <w:lang w:val="zh-CN"/>
              </w:rPr>
              <w:t>161.52</w:t>
            </w:r>
          </w:p>
        </w:tc>
        <w:tc>
          <w:tcPr>
            <w:tcW w:w="810" w:type="dxa"/>
            <w:tcBorders>
              <w:top w:val="single" w:sz="4" w:space="0" w:color="auto"/>
              <w:left w:val="nil"/>
              <w:bottom w:val="single" w:sz="4" w:space="0" w:color="auto"/>
              <w:right w:val="single" w:sz="4" w:space="0" w:color="auto"/>
            </w:tcBorders>
            <w:shd w:val="clear" w:color="auto" w:fill="auto"/>
            <w:vAlign w:val="bottom"/>
          </w:tcPr>
          <w:p w14:paraId="5E6E1D5B" w14:textId="77777777" w:rsidR="009D4A93" w:rsidRPr="00536CFD" w:rsidRDefault="009D4A93" w:rsidP="009D4A93">
            <w:pPr>
              <w:spacing w:after="0"/>
              <w:jc w:val="center"/>
              <w:rPr>
                <w:lang w:val="zh-CN"/>
              </w:rPr>
            </w:pPr>
            <w:r w:rsidRPr="00536CFD">
              <w:rPr>
                <w:lang w:val="zh-CN"/>
              </w:rPr>
              <w:t>167.97</w:t>
            </w:r>
          </w:p>
        </w:tc>
        <w:tc>
          <w:tcPr>
            <w:tcW w:w="810" w:type="dxa"/>
            <w:tcBorders>
              <w:top w:val="single" w:sz="4" w:space="0" w:color="auto"/>
              <w:left w:val="nil"/>
              <w:bottom w:val="single" w:sz="4" w:space="0" w:color="auto"/>
              <w:right w:val="single" w:sz="4" w:space="0" w:color="auto"/>
            </w:tcBorders>
            <w:shd w:val="clear" w:color="auto" w:fill="auto"/>
            <w:vAlign w:val="bottom"/>
          </w:tcPr>
          <w:p w14:paraId="41691615" w14:textId="77777777" w:rsidR="009D4A93" w:rsidRPr="00536CFD" w:rsidRDefault="009D4A93" w:rsidP="009D4A93">
            <w:pPr>
              <w:spacing w:after="0"/>
              <w:jc w:val="center"/>
              <w:rPr>
                <w:lang w:val="zh-CN"/>
              </w:rPr>
            </w:pPr>
            <w:r w:rsidRPr="00536CFD">
              <w:rPr>
                <w:lang w:val="zh-CN"/>
              </w:rPr>
              <w:t>100.96</w:t>
            </w:r>
          </w:p>
        </w:tc>
        <w:tc>
          <w:tcPr>
            <w:tcW w:w="820" w:type="dxa"/>
            <w:tcBorders>
              <w:top w:val="single" w:sz="4" w:space="0" w:color="auto"/>
              <w:left w:val="nil"/>
              <w:bottom w:val="single" w:sz="4" w:space="0" w:color="auto"/>
              <w:right w:val="single" w:sz="4" w:space="0" w:color="auto"/>
            </w:tcBorders>
            <w:shd w:val="clear" w:color="auto" w:fill="auto"/>
            <w:vAlign w:val="bottom"/>
          </w:tcPr>
          <w:p w14:paraId="7780FE4A" w14:textId="77777777" w:rsidR="009D4A93" w:rsidRPr="00536CFD" w:rsidRDefault="009D4A93" w:rsidP="009D4A93">
            <w:pPr>
              <w:spacing w:after="0"/>
              <w:jc w:val="center"/>
              <w:rPr>
                <w:lang w:val="zh-CN"/>
              </w:rPr>
            </w:pPr>
            <w:r w:rsidRPr="00536CFD">
              <w:rPr>
                <w:lang w:val="zh-CN"/>
              </w:rPr>
              <w:t>119.1</w:t>
            </w:r>
          </w:p>
        </w:tc>
        <w:tc>
          <w:tcPr>
            <w:tcW w:w="800" w:type="dxa"/>
            <w:tcBorders>
              <w:top w:val="single" w:sz="4" w:space="0" w:color="auto"/>
              <w:left w:val="nil"/>
              <w:bottom w:val="single" w:sz="4" w:space="0" w:color="auto"/>
              <w:right w:val="single" w:sz="4" w:space="0" w:color="auto"/>
            </w:tcBorders>
            <w:shd w:val="clear" w:color="auto" w:fill="auto"/>
            <w:vAlign w:val="bottom"/>
          </w:tcPr>
          <w:p w14:paraId="2AA854D8" w14:textId="77777777" w:rsidR="009D4A93" w:rsidRPr="00536CFD" w:rsidRDefault="009D4A93" w:rsidP="009D4A93">
            <w:pPr>
              <w:spacing w:after="0"/>
              <w:jc w:val="center"/>
              <w:rPr>
                <w:lang w:val="zh-CN"/>
              </w:rPr>
            </w:pPr>
            <w:r w:rsidRPr="00536CFD">
              <w:rPr>
                <w:lang w:val="zh-CN"/>
              </w:rPr>
              <w:t>154.61</w:t>
            </w:r>
          </w:p>
        </w:tc>
        <w:tc>
          <w:tcPr>
            <w:tcW w:w="720" w:type="dxa"/>
            <w:tcBorders>
              <w:top w:val="single" w:sz="4" w:space="0" w:color="auto"/>
              <w:left w:val="nil"/>
              <w:bottom w:val="single" w:sz="4" w:space="0" w:color="auto"/>
              <w:right w:val="single" w:sz="4" w:space="0" w:color="auto"/>
            </w:tcBorders>
            <w:shd w:val="clear" w:color="auto" w:fill="auto"/>
            <w:vAlign w:val="bottom"/>
          </w:tcPr>
          <w:p w14:paraId="16CBB4F8" w14:textId="77777777" w:rsidR="009D4A93" w:rsidRPr="00536CFD" w:rsidRDefault="009D4A93" w:rsidP="009D4A93">
            <w:pPr>
              <w:spacing w:after="0"/>
              <w:jc w:val="center"/>
              <w:rPr>
                <w:lang w:val="zh-CN"/>
              </w:rPr>
            </w:pPr>
            <w:r w:rsidRPr="00536CFD">
              <w:rPr>
                <w:lang w:val="zh-CN"/>
              </w:rPr>
              <w:t>165.12</w:t>
            </w:r>
          </w:p>
        </w:tc>
        <w:tc>
          <w:tcPr>
            <w:tcW w:w="724" w:type="dxa"/>
            <w:tcBorders>
              <w:top w:val="single" w:sz="4" w:space="0" w:color="auto"/>
              <w:left w:val="nil"/>
              <w:bottom w:val="single" w:sz="4" w:space="0" w:color="auto"/>
              <w:right w:val="single" w:sz="4" w:space="0" w:color="auto"/>
            </w:tcBorders>
            <w:shd w:val="clear" w:color="auto" w:fill="auto"/>
            <w:vAlign w:val="bottom"/>
          </w:tcPr>
          <w:p w14:paraId="1FEA410C" w14:textId="77777777" w:rsidR="009D4A93" w:rsidRPr="00536CFD" w:rsidRDefault="009D4A93" w:rsidP="009D4A93">
            <w:pPr>
              <w:spacing w:after="0"/>
              <w:jc w:val="center"/>
              <w:rPr>
                <w:lang w:val="zh-CN"/>
              </w:rPr>
            </w:pPr>
            <w:r w:rsidRPr="00536CFD">
              <w:rPr>
                <w:lang w:val="zh-CN"/>
              </w:rPr>
              <w:t>89.1</w:t>
            </w:r>
          </w:p>
        </w:tc>
        <w:tc>
          <w:tcPr>
            <w:tcW w:w="896" w:type="dxa"/>
            <w:tcBorders>
              <w:top w:val="single" w:sz="4" w:space="0" w:color="auto"/>
              <w:left w:val="nil"/>
              <w:bottom w:val="single" w:sz="4" w:space="0" w:color="auto"/>
              <w:right w:val="single" w:sz="4" w:space="0" w:color="auto"/>
            </w:tcBorders>
            <w:shd w:val="clear" w:color="auto" w:fill="auto"/>
            <w:vAlign w:val="bottom"/>
          </w:tcPr>
          <w:p w14:paraId="78CE309D" w14:textId="77777777" w:rsidR="009D4A93" w:rsidRPr="00536CFD" w:rsidRDefault="009D4A93" w:rsidP="009D4A93">
            <w:pPr>
              <w:spacing w:after="0"/>
              <w:jc w:val="center"/>
              <w:rPr>
                <w:lang w:val="zh-CN"/>
              </w:rPr>
            </w:pPr>
            <w:r w:rsidRPr="00536CFD">
              <w:rPr>
                <w:lang w:val="zh-CN"/>
              </w:rPr>
              <w:t>109.07</w:t>
            </w:r>
          </w:p>
        </w:tc>
        <w:tc>
          <w:tcPr>
            <w:tcW w:w="720" w:type="dxa"/>
            <w:tcBorders>
              <w:top w:val="single" w:sz="4" w:space="0" w:color="auto"/>
              <w:left w:val="nil"/>
              <w:bottom w:val="single" w:sz="4" w:space="0" w:color="auto"/>
              <w:right w:val="single" w:sz="4" w:space="0" w:color="auto"/>
            </w:tcBorders>
            <w:shd w:val="clear" w:color="auto" w:fill="auto"/>
            <w:vAlign w:val="bottom"/>
          </w:tcPr>
          <w:p w14:paraId="192BED46" w14:textId="77777777" w:rsidR="009D4A93" w:rsidRPr="00536CFD" w:rsidRDefault="009D4A93" w:rsidP="009D4A93">
            <w:pPr>
              <w:spacing w:after="0"/>
              <w:jc w:val="center"/>
              <w:rPr>
                <w:lang w:val="zh-CN"/>
              </w:rPr>
            </w:pPr>
            <w:r w:rsidRPr="00536CFD">
              <w:rPr>
                <w:lang w:val="zh-CN"/>
              </w:rPr>
              <w:t>147.22</w:t>
            </w:r>
          </w:p>
        </w:tc>
        <w:tc>
          <w:tcPr>
            <w:tcW w:w="720" w:type="dxa"/>
            <w:tcBorders>
              <w:top w:val="single" w:sz="4" w:space="0" w:color="auto"/>
              <w:left w:val="nil"/>
              <w:bottom w:val="single" w:sz="4" w:space="0" w:color="auto"/>
              <w:right w:val="single" w:sz="4" w:space="0" w:color="auto"/>
            </w:tcBorders>
            <w:shd w:val="clear" w:color="auto" w:fill="auto"/>
            <w:vAlign w:val="bottom"/>
          </w:tcPr>
          <w:p w14:paraId="453A622F" w14:textId="77777777" w:rsidR="009D4A93" w:rsidRPr="00536CFD" w:rsidRDefault="009D4A93" w:rsidP="009D4A93">
            <w:pPr>
              <w:spacing w:after="0"/>
              <w:jc w:val="center"/>
              <w:rPr>
                <w:lang w:val="zh-CN"/>
              </w:rPr>
            </w:pPr>
            <w:r w:rsidRPr="00536CFD">
              <w:rPr>
                <w:lang w:val="zh-CN"/>
              </w:rPr>
              <w:t>162.44</w:t>
            </w:r>
          </w:p>
        </w:tc>
      </w:tr>
      <w:tr w:rsidR="009D4A93" w:rsidRPr="00536CFD" w14:paraId="109537A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65EE09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0DB6EE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D3A709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75FEB83B" w14:textId="77777777" w:rsidR="009D4A93" w:rsidRPr="00536CFD" w:rsidRDefault="009D4A93" w:rsidP="009D4A93">
            <w:pPr>
              <w:spacing w:after="0"/>
              <w:jc w:val="center"/>
              <w:rPr>
                <w:lang w:val="zh-CN"/>
              </w:rPr>
            </w:pPr>
            <w:r w:rsidRPr="00536CFD">
              <w:rPr>
                <w:lang w:val="zh-CN"/>
              </w:rPr>
              <w:t>65.1</w:t>
            </w:r>
          </w:p>
        </w:tc>
        <w:tc>
          <w:tcPr>
            <w:tcW w:w="720" w:type="dxa"/>
            <w:tcBorders>
              <w:top w:val="single" w:sz="4" w:space="0" w:color="auto"/>
              <w:left w:val="nil"/>
              <w:bottom w:val="single" w:sz="4" w:space="0" w:color="auto"/>
              <w:right w:val="single" w:sz="4" w:space="0" w:color="auto"/>
            </w:tcBorders>
            <w:shd w:val="clear" w:color="auto" w:fill="auto"/>
            <w:vAlign w:val="bottom"/>
          </w:tcPr>
          <w:p w14:paraId="47EEAC0A" w14:textId="77777777" w:rsidR="009D4A93" w:rsidRPr="00536CFD" w:rsidRDefault="009D4A93" w:rsidP="009D4A93">
            <w:pPr>
              <w:spacing w:after="0"/>
              <w:jc w:val="center"/>
              <w:rPr>
                <w:lang w:val="zh-CN"/>
              </w:rPr>
            </w:pPr>
            <w:r w:rsidRPr="00536CFD">
              <w:rPr>
                <w:lang w:val="zh-CN"/>
              </w:rPr>
              <w:t>75.06</w:t>
            </w:r>
          </w:p>
        </w:tc>
        <w:tc>
          <w:tcPr>
            <w:tcW w:w="720" w:type="dxa"/>
            <w:tcBorders>
              <w:top w:val="single" w:sz="4" w:space="0" w:color="auto"/>
              <w:left w:val="nil"/>
              <w:bottom w:val="single" w:sz="4" w:space="0" w:color="auto"/>
              <w:right w:val="single" w:sz="4" w:space="0" w:color="auto"/>
            </w:tcBorders>
            <w:shd w:val="clear" w:color="auto" w:fill="auto"/>
            <w:vAlign w:val="bottom"/>
          </w:tcPr>
          <w:p w14:paraId="2A4AD82C" w14:textId="77777777" w:rsidR="009D4A93" w:rsidRPr="00536CFD" w:rsidRDefault="009D4A93" w:rsidP="009D4A93">
            <w:pPr>
              <w:spacing w:after="0"/>
              <w:jc w:val="center"/>
              <w:rPr>
                <w:lang w:val="zh-CN"/>
              </w:rPr>
            </w:pPr>
            <w:r w:rsidRPr="00536CFD">
              <w:rPr>
                <w:lang w:val="zh-CN"/>
              </w:rPr>
              <w:t>121.21</w:t>
            </w:r>
          </w:p>
        </w:tc>
        <w:tc>
          <w:tcPr>
            <w:tcW w:w="810" w:type="dxa"/>
            <w:tcBorders>
              <w:top w:val="single" w:sz="4" w:space="0" w:color="auto"/>
              <w:left w:val="nil"/>
              <w:bottom w:val="single" w:sz="4" w:space="0" w:color="auto"/>
              <w:right w:val="single" w:sz="4" w:space="0" w:color="auto"/>
            </w:tcBorders>
            <w:shd w:val="clear" w:color="auto" w:fill="auto"/>
            <w:vAlign w:val="bottom"/>
          </w:tcPr>
          <w:p w14:paraId="1453CFFA" w14:textId="77777777" w:rsidR="009D4A93" w:rsidRPr="00536CFD" w:rsidRDefault="009D4A93" w:rsidP="009D4A93">
            <w:pPr>
              <w:spacing w:after="0"/>
              <w:jc w:val="center"/>
              <w:rPr>
                <w:lang w:val="zh-CN"/>
              </w:rPr>
            </w:pPr>
            <w:r w:rsidRPr="00536CFD">
              <w:rPr>
                <w:lang w:val="zh-CN"/>
              </w:rPr>
              <w:t>134.15</w:t>
            </w:r>
          </w:p>
        </w:tc>
        <w:tc>
          <w:tcPr>
            <w:tcW w:w="810" w:type="dxa"/>
            <w:tcBorders>
              <w:top w:val="single" w:sz="4" w:space="0" w:color="auto"/>
              <w:left w:val="nil"/>
              <w:bottom w:val="single" w:sz="4" w:space="0" w:color="auto"/>
              <w:right w:val="single" w:sz="4" w:space="0" w:color="auto"/>
            </w:tcBorders>
            <w:shd w:val="clear" w:color="auto" w:fill="auto"/>
            <w:vAlign w:val="bottom"/>
          </w:tcPr>
          <w:p w14:paraId="6E5E61F0" w14:textId="77777777" w:rsidR="009D4A93" w:rsidRPr="00536CFD" w:rsidRDefault="009D4A93" w:rsidP="009D4A93">
            <w:pPr>
              <w:spacing w:after="0"/>
              <w:jc w:val="center"/>
              <w:rPr>
                <w:lang w:val="zh-CN"/>
              </w:rPr>
            </w:pPr>
            <w:r w:rsidRPr="00536CFD">
              <w:rPr>
                <w:lang w:val="zh-CN"/>
              </w:rPr>
              <w:t>54.95</w:t>
            </w:r>
          </w:p>
        </w:tc>
        <w:tc>
          <w:tcPr>
            <w:tcW w:w="820" w:type="dxa"/>
            <w:tcBorders>
              <w:top w:val="single" w:sz="4" w:space="0" w:color="auto"/>
              <w:left w:val="nil"/>
              <w:bottom w:val="single" w:sz="4" w:space="0" w:color="auto"/>
              <w:right w:val="single" w:sz="4" w:space="0" w:color="auto"/>
            </w:tcBorders>
            <w:shd w:val="clear" w:color="auto" w:fill="auto"/>
            <w:vAlign w:val="bottom"/>
          </w:tcPr>
          <w:p w14:paraId="35E03644" w14:textId="77777777" w:rsidR="009D4A93" w:rsidRPr="00536CFD" w:rsidRDefault="009D4A93" w:rsidP="009D4A93">
            <w:pPr>
              <w:spacing w:after="0"/>
              <w:jc w:val="center"/>
              <w:rPr>
                <w:lang w:val="zh-CN"/>
              </w:rPr>
            </w:pPr>
            <w:r w:rsidRPr="00536CFD">
              <w:rPr>
                <w:lang w:val="zh-CN"/>
              </w:rPr>
              <w:t>68.03</w:t>
            </w:r>
          </w:p>
        </w:tc>
        <w:tc>
          <w:tcPr>
            <w:tcW w:w="800" w:type="dxa"/>
            <w:tcBorders>
              <w:top w:val="single" w:sz="4" w:space="0" w:color="auto"/>
              <w:left w:val="nil"/>
              <w:bottom w:val="single" w:sz="4" w:space="0" w:color="auto"/>
              <w:right w:val="single" w:sz="4" w:space="0" w:color="auto"/>
            </w:tcBorders>
            <w:shd w:val="clear" w:color="auto" w:fill="auto"/>
            <w:vAlign w:val="bottom"/>
          </w:tcPr>
          <w:p w14:paraId="758E8EC4" w14:textId="77777777" w:rsidR="009D4A93" w:rsidRPr="00536CFD" w:rsidRDefault="009D4A93" w:rsidP="009D4A93">
            <w:pPr>
              <w:spacing w:after="0"/>
              <w:jc w:val="center"/>
              <w:rPr>
                <w:lang w:val="zh-CN"/>
              </w:rPr>
            </w:pPr>
            <w:r w:rsidRPr="00536CFD">
              <w:rPr>
                <w:lang w:val="zh-CN"/>
              </w:rPr>
              <w:t>110.2</w:t>
            </w:r>
          </w:p>
        </w:tc>
        <w:tc>
          <w:tcPr>
            <w:tcW w:w="720" w:type="dxa"/>
            <w:tcBorders>
              <w:top w:val="single" w:sz="4" w:space="0" w:color="auto"/>
              <w:left w:val="nil"/>
              <w:bottom w:val="single" w:sz="4" w:space="0" w:color="auto"/>
              <w:right w:val="single" w:sz="4" w:space="0" w:color="auto"/>
            </w:tcBorders>
            <w:shd w:val="clear" w:color="auto" w:fill="auto"/>
            <w:vAlign w:val="bottom"/>
          </w:tcPr>
          <w:p w14:paraId="7907DAA7" w14:textId="77777777" w:rsidR="009D4A93" w:rsidRPr="00536CFD" w:rsidRDefault="009D4A93" w:rsidP="009D4A93">
            <w:pPr>
              <w:spacing w:after="0"/>
              <w:jc w:val="center"/>
              <w:rPr>
                <w:lang w:val="zh-CN"/>
              </w:rPr>
            </w:pPr>
            <w:r w:rsidRPr="00536CFD">
              <w:rPr>
                <w:lang w:val="zh-CN"/>
              </w:rPr>
              <w:t>128.18</w:t>
            </w:r>
          </w:p>
        </w:tc>
        <w:tc>
          <w:tcPr>
            <w:tcW w:w="724" w:type="dxa"/>
            <w:tcBorders>
              <w:top w:val="single" w:sz="4" w:space="0" w:color="auto"/>
              <w:left w:val="nil"/>
              <w:bottom w:val="single" w:sz="4" w:space="0" w:color="auto"/>
              <w:right w:val="single" w:sz="4" w:space="0" w:color="auto"/>
            </w:tcBorders>
            <w:shd w:val="clear" w:color="auto" w:fill="auto"/>
            <w:vAlign w:val="bottom"/>
          </w:tcPr>
          <w:p w14:paraId="3D5C36C6" w14:textId="77777777" w:rsidR="009D4A93" w:rsidRPr="00536CFD" w:rsidRDefault="009D4A93" w:rsidP="009D4A93">
            <w:pPr>
              <w:spacing w:after="0"/>
              <w:jc w:val="center"/>
              <w:rPr>
                <w:lang w:val="zh-CN"/>
              </w:rPr>
            </w:pPr>
            <w:r w:rsidRPr="00536CFD">
              <w:rPr>
                <w:lang w:val="zh-CN"/>
              </w:rPr>
              <w:t>43.76</w:t>
            </w:r>
          </w:p>
        </w:tc>
        <w:tc>
          <w:tcPr>
            <w:tcW w:w="896" w:type="dxa"/>
            <w:tcBorders>
              <w:top w:val="single" w:sz="4" w:space="0" w:color="auto"/>
              <w:left w:val="nil"/>
              <w:bottom w:val="single" w:sz="4" w:space="0" w:color="auto"/>
              <w:right w:val="single" w:sz="4" w:space="0" w:color="auto"/>
            </w:tcBorders>
            <w:shd w:val="clear" w:color="auto" w:fill="auto"/>
            <w:vAlign w:val="bottom"/>
          </w:tcPr>
          <w:p w14:paraId="15AE1862" w14:textId="77777777" w:rsidR="009D4A93" w:rsidRPr="00536CFD" w:rsidRDefault="009D4A93" w:rsidP="009D4A93">
            <w:pPr>
              <w:spacing w:after="0"/>
              <w:jc w:val="center"/>
              <w:rPr>
                <w:lang w:val="zh-CN"/>
              </w:rPr>
            </w:pPr>
            <w:r w:rsidRPr="00536CFD">
              <w:rPr>
                <w:lang w:val="zh-CN"/>
              </w:rPr>
              <w:t>59.22</w:t>
            </w:r>
          </w:p>
        </w:tc>
        <w:tc>
          <w:tcPr>
            <w:tcW w:w="720" w:type="dxa"/>
            <w:tcBorders>
              <w:top w:val="single" w:sz="4" w:space="0" w:color="auto"/>
              <w:left w:val="nil"/>
              <w:bottom w:val="single" w:sz="4" w:space="0" w:color="auto"/>
              <w:right w:val="single" w:sz="4" w:space="0" w:color="auto"/>
            </w:tcBorders>
            <w:shd w:val="clear" w:color="auto" w:fill="auto"/>
            <w:vAlign w:val="bottom"/>
          </w:tcPr>
          <w:p w14:paraId="52EA21E5" w14:textId="77777777" w:rsidR="009D4A93" w:rsidRPr="00536CFD" w:rsidRDefault="009D4A93" w:rsidP="009D4A93">
            <w:pPr>
              <w:spacing w:after="0"/>
              <w:jc w:val="center"/>
              <w:rPr>
                <w:lang w:val="zh-CN"/>
              </w:rPr>
            </w:pPr>
            <w:r w:rsidRPr="00536CFD">
              <w:rPr>
                <w:lang w:val="zh-CN"/>
              </w:rPr>
              <w:t>96.14</w:t>
            </w:r>
          </w:p>
        </w:tc>
        <w:tc>
          <w:tcPr>
            <w:tcW w:w="720" w:type="dxa"/>
            <w:tcBorders>
              <w:top w:val="single" w:sz="4" w:space="0" w:color="auto"/>
              <w:left w:val="nil"/>
              <w:bottom w:val="single" w:sz="4" w:space="0" w:color="auto"/>
              <w:right w:val="single" w:sz="4" w:space="0" w:color="auto"/>
            </w:tcBorders>
            <w:shd w:val="clear" w:color="auto" w:fill="auto"/>
            <w:vAlign w:val="bottom"/>
          </w:tcPr>
          <w:p w14:paraId="7B23342A" w14:textId="77777777" w:rsidR="009D4A93" w:rsidRPr="00536CFD" w:rsidRDefault="009D4A93" w:rsidP="009D4A93">
            <w:pPr>
              <w:spacing w:after="0"/>
              <w:jc w:val="center"/>
              <w:rPr>
                <w:lang w:val="zh-CN"/>
              </w:rPr>
            </w:pPr>
            <w:r w:rsidRPr="00536CFD">
              <w:rPr>
                <w:lang w:val="zh-CN"/>
              </w:rPr>
              <w:t>121.98</w:t>
            </w:r>
          </w:p>
        </w:tc>
      </w:tr>
      <w:tr w:rsidR="009D4A93" w:rsidRPr="00536CFD" w14:paraId="36FD34B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783E571"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2A06049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43EB7F0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3C743B41"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52120A0C" w14:textId="77777777" w:rsidR="009D4A93" w:rsidRPr="00536CFD" w:rsidRDefault="009D4A93" w:rsidP="009D4A93">
            <w:pPr>
              <w:spacing w:after="0"/>
              <w:jc w:val="center"/>
              <w:rPr>
                <w:lang w:val="zh-CN"/>
              </w:rPr>
            </w:pPr>
            <w:r w:rsidRPr="00536CFD">
              <w:rPr>
                <w:lang w:val="zh-CN"/>
              </w:rPr>
              <w:t>0.027</w:t>
            </w:r>
          </w:p>
        </w:tc>
        <w:tc>
          <w:tcPr>
            <w:tcW w:w="720" w:type="dxa"/>
            <w:tcBorders>
              <w:top w:val="single" w:sz="4" w:space="0" w:color="auto"/>
              <w:left w:val="nil"/>
              <w:bottom w:val="single" w:sz="4" w:space="0" w:color="auto"/>
              <w:right w:val="single" w:sz="4" w:space="0" w:color="auto"/>
            </w:tcBorders>
            <w:shd w:val="clear" w:color="auto" w:fill="auto"/>
            <w:vAlign w:val="bottom"/>
          </w:tcPr>
          <w:p w14:paraId="19185B9C"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567F1CB4" w14:textId="77777777" w:rsidR="009D4A93" w:rsidRPr="00536CFD" w:rsidRDefault="009D4A93" w:rsidP="009D4A93">
            <w:pPr>
              <w:spacing w:after="0"/>
              <w:jc w:val="center"/>
              <w:rPr>
                <w:lang w:val="zh-CN"/>
              </w:rPr>
            </w:pPr>
            <w:r w:rsidRPr="00536CFD">
              <w:rPr>
                <w:lang w:val="zh-CN"/>
              </w:rPr>
              <w:t>0.02</w:t>
            </w:r>
          </w:p>
        </w:tc>
        <w:tc>
          <w:tcPr>
            <w:tcW w:w="810" w:type="dxa"/>
            <w:tcBorders>
              <w:top w:val="single" w:sz="4" w:space="0" w:color="auto"/>
              <w:left w:val="nil"/>
              <w:bottom w:val="single" w:sz="4" w:space="0" w:color="auto"/>
              <w:right w:val="single" w:sz="4" w:space="0" w:color="auto"/>
            </w:tcBorders>
            <w:shd w:val="clear" w:color="auto" w:fill="auto"/>
            <w:vAlign w:val="bottom"/>
          </w:tcPr>
          <w:p w14:paraId="657D0599" w14:textId="77777777" w:rsidR="009D4A93" w:rsidRPr="00536CFD" w:rsidRDefault="009D4A93" w:rsidP="009D4A93">
            <w:pPr>
              <w:spacing w:after="0"/>
              <w:jc w:val="center"/>
              <w:rPr>
                <w:lang w:val="zh-CN"/>
              </w:rPr>
            </w:pPr>
            <w:r w:rsidRPr="00536CFD">
              <w:rPr>
                <w:lang w:val="zh-CN"/>
              </w:rPr>
              <w:t>0.03</w:t>
            </w:r>
          </w:p>
        </w:tc>
        <w:tc>
          <w:tcPr>
            <w:tcW w:w="820" w:type="dxa"/>
            <w:tcBorders>
              <w:top w:val="single" w:sz="4" w:space="0" w:color="auto"/>
              <w:left w:val="nil"/>
              <w:bottom w:val="single" w:sz="4" w:space="0" w:color="auto"/>
              <w:right w:val="single" w:sz="4" w:space="0" w:color="auto"/>
            </w:tcBorders>
            <w:shd w:val="clear" w:color="auto" w:fill="auto"/>
            <w:vAlign w:val="bottom"/>
          </w:tcPr>
          <w:p w14:paraId="084CA11E" w14:textId="77777777" w:rsidR="009D4A93" w:rsidRPr="00536CFD" w:rsidRDefault="009D4A93" w:rsidP="009D4A93">
            <w:pPr>
              <w:spacing w:after="0"/>
              <w:jc w:val="center"/>
              <w:rPr>
                <w:lang w:val="zh-CN"/>
              </w:rPr>
            </w:pPr>
            <w:r w:rsidRPr="00536CFD">
              <w:rPr>
                <w:lang w:val="zh-CN"/>
              </w:rPr>
              <w:t>0.029</w:t>
            </w:r>
          </w:p>
        </w:tc>
        <w:tc>
          <w:tcPr>
            <w:tcW w:w="800" w:type="dxa"/>
            <w:tcBorders>
              <w:top w:val="single" w:sz="4" w:space="0" w:color="auto"/>
              <w:left w:val="nil"/>
              <w:bottom w:val="single" w:sz="4" w:space="0" w:color="auto"/>
              <w:right w:val="single" w:sz="4" w:space="0" w:color="auto"/>
            </w:tcBorders>
            <w:shd w:val="clear" w:color="auto" w:fill="auto"/>
            <w:vAlign w:val="bottom"/>
          </w:tcPr>
          <w:p w14:paraId="7ECDA9E7"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32FBF0FD" w14:textId="77777777" w:rsidR="009D4A93" w:rsidRPr="00536CFD" w:rsidRDefault="009D4A93" w:rsidP="009D4A93">
            <w:pPr>
              <w:spacing w:after="0"/>
              <w:jc w:val="center"/>
              <w:rPr>
                <w:lang w:val="zh-CN"/>
              </w:rPr>
            </w:pPr>
            <w:r w:rsidRPr="00536CFD">
              <w:rPr>
                <w:lang w:val="zh-CN"/>
              </w:rPr>
              <w:t>0.02</w:t>
            </w:r>
          </w:p>
        </w:tc>
        <w:tc>
          <w:tcPr>
            <w:tcW w:w="724" w:type="dxa"/>
            <w:tcBorders>
              <w:top w:val="single" w:sz="4" w:space="0" w:color="auto"/>
              <w:left w:val="nil"/>
              <w:bottom w:val="single" w:sz="4" w:space="0" w:color="auto"/>
              <w:right w:val="single" w:sz="4" w:space="0" w:color="auto"/>
            </w:tcBorders>
            <w:shd w:val="clear" w:color="auto" w:fill="auto"/>
            <w:vAlign w:val="bottom"/>
          </w:tcPr>
          <w:p w14:paraId="0658ED4F" w14:textId="77777777" w:rsidR="009D4A93" w:rsidRPr="00536CFD" w:rsidRDefault="009D4A93" w:rsidP="009D4A93">
            <w:pPr>
              <w:spacing w:after="0"/>
              <w:jc w:val="center"/>
              <w:rPr>
                <w:lang w:val="zh-CN"/>
              </w:rPr>
            </w:pPr>
            <w:r w:rsidRPr="00536CFD">
              <w:rPr>
                <w:lang w:val="zh-CN"/>
              </w:rPr>
              <w:t>0.034</w:t>
            </w:r>
          </w:p>
        </w:tc>
        <w:tc>
          <w:tcPr>
            <w:tcW w:w="896" w:type="dxa"/>
            <w:tcBorders>
              <w:top w:val="single" w:sz="4" w:space="0" w:color="auto"/>
              <w:left w:val="nil"/>
              <w:bottom w:val="single" w:sz="4" w:space="0" w:color="auto"/>
              <w:right w:val="single" w:sz="4" w:space="0" w:color="auto"/>
            </w:tcBorders>
            <w:shd w:val="clear" w:color="auto" w:fill="auto"/>
            <w:vAlign w:val="bottom"/>
          </w:tcPr>
          <w:p w14:paraId="1C94A98C"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0E391C08"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3FF50CEA" w14:textId="77777777" w:rsidR="009D4A93" w:rsidRPr="00536CFD" w:rsidRDefault="009D4A93" w:rsidP="009D4A93">
            <w:pPr>
              <w:spacing w:after="0"/>
              <w:jc w:val="center"/>
              <w:rPr>
                <w:lang w:val="zh-CN"/>
              </w:rPr>
            </w:pPr>
            <w:r w:rsidRPr="00536CFD">
              <w:rPr>
                <w:lang w:val="zh-CN"/>
              </w:rPr>
              <w:t>0.021</w:t>
            </w:r>
          </w:p>
        </w:tc>
      </w:tr>
      <w:tr w:rsidR="009D4A93" w:rsidRPr="00536CFD" w14:paraId="54062DE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ADC23CD"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A5648B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B3054C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4830DD90" w14:textId="77777777" w:rsidR="009D4A93" w:rsidRPr="00536CFD" w:rsidRDefault="009D4A93" w:rsidP="009D4A93">
            <w:pPr>
              <w:spacing w:after="0"/>
              <w:jc w:val="center"/>
              <w:rPr>
                <w:lang w:val="zh-CN"/>
              </w:rPr>
            </w:pPr>
            <w:r w:rsidRPr="00536CFD">
              <w:rPr>
                <w:lang w:val="zh-CN"/>
              </w:rPr>
              <w:t>0.065</w:t>
            </w:r>
          </w:p>
        </w:tc>
        <w:tc>
          <w:tcPr>
            <w:tcW w:w="720" w:type="dxa"/>
            <w:tcBorders>
              <w:top w:val="single" w:sz="4" w:space="0" w:color="auto"/>
              <w:left w:val="nil"/>
              <w:bottom w:val="single" w:sz="4" w:space="0" w:color="auto"/>
              <w:right w:val="single" w:sz="4" w:space="0" w:color="auto"/>
            </w:tcBorders>
            <w:shd w:val="clear" w:color="auto" w:fill="auto"/>
            <w:vAlign w:val="bottom"/>
          </w:tcPr>
          <w:p w14:paraId="15B0A88B" w14:textId="77777777" w:rsidR="009D4A93" w:rsidRPr="00536CFD" w:rsidRDefault="009D4A93" w:rsidP="009D4A93">
            <w:pPr>
              <w:spacing w:after="0"/>
              <w:jc w:val="center"/>
              <w:rPr>
                <w:lang w:val="zh-CN"/>
              </w:rPr>
            </w:pPr>
            <w:r w:rsidRPr="00536CFD">
              <w:rPr>
                <w:lang w:val="zh-CN"/>
              </w:rPr>
              <w:t>0.058</w:t>
            </w:r>
          </w:p>
        </w:tc>
        <w:tc>
          <w:tcPr>
            <w:tcW w:w="720" w:type="dxa"/>
            <w:tcBorders>
              <w:top w:val="single" w:sz="4" w:space="0" w:color="auto"/>
              <w:left w:val="nil"/>
              <w:bottom w:val="single" w:sz="4" w:space="0" w:color="auto"/>
              <w:right w:val="single" w:sz="4" w:space="0" w:color="auto"/>
            </w:tcBorders>
            <w:shd w:val="clear" w:color="auto" w:fill="auto"/>
            <w:vAlign w:val="bottom"/>
          </w:tcPr>
          <w:p w14:paraId="353E9E0F" w14:textId="77777777" w:rsidR="009D4A93" w:rsidRPr="00536CFD" w:rsidRDefault="009D4A93" w:rsidP="009D4A93">
            <w:pPr>
              <w:spacing w:after="0"/>
              <w:jc w:val="center"/>
              <w:rPr>
                <w:lang w:val="zh-CN"/>
              </w:rPr>
            </w:pPr>
            <w:r w:rsidRPr="00536CFD">
              <w:rPr>
                <w:lang w:val="zh-CN"/>
              </w:rPr>
              <w:t>0.029</w:t>
            </w:r>
          </w:p>
        </w:tc>
        <w:tc>
          <w:tcPr>
            <w:tcW w:w="810" w:type="dxa"/>
            <w:tcBorders>
              <w:top w:val="single" w:sz="4" w:space="0" w:color="auto"/>
              <w:left w:val="nil"/>
              <w:bottom w:val="single" w:sz="4" w:space="0" w:color="auto"/>
              <w:right w:val="single" w:sz="4" w:space="0" w:color="auto"/>
            </w:tcBorders>
            <w:shd w:val="clear" w:color="auto" w:fill="auto"/>
            <w:vAlign w:val="bottom"/>
          </w:tcPr>
          <w:p w14:paraId="3E427CD1" w14:textId="77777777" w:rsidR="009D4A93" w:rsidRPr="00536CFD" w:rsidRDefault="009D4A93" w:rsidP="009D4A93">
            <w:pPr>
              <w:spacing w:after="0"/>
              <w:jc w:val="center"/>
              <w:rPr>
                <w:lang w:val="zh-CN"/>
              </w:rPr>
            </w:pPr>
            <w:r w:rsidRPr="00536CFD">
              <w:rPr>
                <w:lang w:val="zh-CN"/>
              </w:rPr>
              <w:t>0.026</w:t>
            </w:r>
          </w:p>
        </w:tc>
        <w:tc>
          <w:tcPr>
            <w:tcW w:w="810" w:type="dxa"/>
            <w:tcBorders>
              <w:top w:val="single" w:sz="4" w:space="0" w:color="auto"/>
              <w:left w:val="nil"/>
              <w:bottom w:val="single" w:sz="4" w:space="0" w:color="auto"/>
              <w:right w:val="single" w:sz="4" w:space="0" w:color="auto"/>
            </w:tcBorders>
            <w:shd w:val="clear" w:color="auto" w:fill="auto"/>
            <w:vAlign w:val="bottom"/>
          </w:tcPr>
          <w:p w14:paraId="17BB2FD3" w14:textId="77777777" w:rsidR="009D4A93" w:rsidRPr="00536CFD" w:rsidRDefault="009D4A93" w:rsidP="009D4A93">
            <w:pPr>
              <w:spacing w:after="0"/>
              <w:jc w:val="center"/>
              <w:rPr>
                <w:lang w:val="zh-CN"/>
              </w:rPr>
            </w:pPr>
            <w:r w:rsidRPr="00536CFD">
              <w:rPr>
                <w:lang w:val="zh-CN"/>
              </w:rPr>
              <w:t>0.081</w:t>
            </w:r>
          </w:p>
        </w:tc>
        <w:tc>
          <w:tcPr>
            <w:tcW w:w="820" w:type="dxa"/>
            <w:tcBorders>
              <w:top w:val="single" w:sz="4" w:space="0" w:color="auto"/>
              <w:left w:val="nil"/>
              <w:bottom w:val="single" w:sz="4" w:space="0" w:color="auto"/>
              <w:right w:val="single" w:sz="4" w:space="0" w:color="auto"/>
            </w:tcBorders>
            <w:shd w:val="clear" w:color="auto" w:fill="auto"/>
            <w:vAlign w:val="bottom"/>
          </w:tcPr>
          <w:p w14:paraId="03267996" w14:textId="77777777" w:rsidR="009D4A93" w:rsidRPr="00536CFD" w:rsidRDefault="009D4A93" w:rsidP="009D4A93">
            <w:pPr>
              <w:spacing w:after="0"/>
              <w:jc w:val="center"/>
              <w:rPr>
                <w:lang w:val="zh-CN"/>
              </w:rPr>
            </w:pPr>
            <w:r w:rsidRPr="00536CFD">
              <w:rPr>
                <w:lang w:val="zh-CN"/>
              </w:rPr>
              <w:t>0.063</w:t>
            </w:r>
          </w:p>
        </w:tc>
        <w:tc>
          <w:tcPr>
            <w:tcW w:w="800" w:type="dxa"/>
            <w:tcBorders>
              <w:top w:val="single" w:sz="4" w:space="0" w:color="auto"/>
              <w:left w:val="nil"/>
              <w:bottom w:val="single" w:sz="4" w:space="0" w:color="auto"/>
              <w:right w:val="single" w:sz="4" w:space="0" w:color="auto"/>
            </w:tcBorders>
            <w:shd w:val="clear" w:color="auto" w:fill="auto"/>
            <w:vAlign w:val="bottom"/>
          </w:tcPr>
          <w:p w14:paraId="7613315A" w14:textId="77777777" w:rsidR="009D4A93" w:rsidRPr="00536CFD" w:rsidRDefault="009D4A93" w:rsidP="009D4A93">
            <w:pPr>
              <w:spacing w:after="0"/>
              <w:jc w:val="center"/>
              <w:rPr>
                <w:lang w:val="zh-CN"/>
              </w:rPr>
            </w:pPr>
            <w:r w:rsidRPr="00536CFD">
              <w:rPr>
                <w:lang w:val="zh-CN"/>
              </w:rPr>
              <w:t>0.034</w:t>
            </w:r>
          </w:p>
        </w:tc>
        <w:tc>
          <w:tcPr>
            <w:tcW w:w="720" w:type="dxa"/>
            <w:tcBorders>
              <w:top w:val="single" w:sz="4" w:space="0" w:color="auto"/>
              <w:left w:val="nil"/>
              <w:bottom w:val="single" w:sz="4" w:space="0" w:color="auto"/>
              <w:right w:val="single" w:sz="4" w:space="0" w:color="auto"/>
            </w:tcBorders>
            <w:shd w:val="clear" w:color="auto" w:fill="auto"/>
            <w:vAlign w:val="bottom"/>
          </w:tcPr>
          <w:p w14:paraId="59593CF0" w14:textId="77777777" w:rsidR="009D4A93" w:rsidRPr="00536CFD" w:rsidRDefault="009D4A93" w:rsidP="009D4A93">
            <w:pPr>
              <w:spacing w:after="0"/>
              <w:jc w:val="center"/>
              <w:rPr>
                <w:lang w:val="zh-CN"/>
              </w:rPr>
            </w:pPr>
            <w:r w:rsidRPr="00536CFD">
              <w:rPr>
                <w:lang w:val="zh-CN"/>
              </w:rPr>
              <w:t>0.028</w:t>
            </w:r>
          </w:p>
        </w:tc>
        <w:tc>
          <w:tcPr>
            <w:tcW w:w="724" w:type="dxa"/>
            <w:tcBorders>
              <w:top w:val="single" w:sz="4" w:space="0" w:color="auto"/>
              <w:left w:val="nil"/>
              <w:bottom w:val="single" w:sz="4" w:space="0" w:color="auto"/>
              <w:right w:val="single" w:sz="4" w:space="0" w:color="auto"/>
            </w:tcBorders>
            <w:shd w:val="clear" w:color="auto" w:fill="auto"/>
            <w:vAlign w:val="bottom"/>
          </w:tcPr>
          <w:p w14:paraId="4F839BAD" w14:textId="77777777" w:rsidR="009D4A93" w:rsidRPr="00536CFD" w:rsidRDefault="009D4A93" w:rsidP="009D4A93">
            <w:pPr>
              <w:spacing w:after="0"/>
              <w:jc w:val="center"/>
              <w:rPr>
                <w:lang w:val="zh-CN"/>
              </w:rPr>
            </w:pPr>
            <w:r w:rsidRPr="00536CFD">
              <w:rPr>
                <w:lang w:val="zh-CN"/>
              </w:rPr>
              <w:t>0.111</w:t>
            </w:r>
          </w:p>
        </w:tc>
        <w:tc>
          <w:tcPr>
            <w:tcW w:w="896" w:type="dxa"/>
            <w:tcBorders>
              <w:top w:val="single" w:sz="4" w:space="0" w:color="auto"/>
              <w:left w:val="nil"/>
              <w:bottom w:val="single" w:sz="4" w:space="0" w:color="auto"/>
              <w:right w:val="single" w:sz="4" w:space="0" w:color="auto"/>
            </w:tcBorders>
            <w:shd w:val="clear" w:color="auto" w:fill="auto"/>
            <w:vAlign w:val="bottom"/>
          </w:tcPr>
          <w:p w14:paraId="06F8298C" w14:textId="77777777" w:rsidR="009D4A93" w:rsidRPr="00536CFD" w:rsidRDefault="009D4A93" w:rsidP="009D4A93">
            <w:pPr>
              <w:spacing w:after="0"/>
              <w:jc w:val="center"/>
              <w:rPr>
                <w:lang w:val="zh-CN"/>
              </w:rPr>
            </w:pPr>
            <w:r w:rsidRPr="00536CFD">
              <w:rPr>
                <w:lang w:val="zh-CN"/>
              </w:rPr>
              <w:t>0.073</w:t>
            </w:r>
          </w:p>
        </w:tc>
        <w:tc>
          <w:tcPr>
            <w:tcW w:w="720" w:type="dxa"/>
            <w:tcBorders>
              <w:top w:val="single" w:sz="4" w:space="0" w:color="auto"/>
              <w:left w:val="nil"/>
              <w:bottom w:val="single" w:sz="4" w:space="0" w:color="auto"/>
              <w:right w:val="single" w:sz="4" w:space="0" w:color="auto"/>
            </w:tcBorders>
            <w:shd w:val="clear" w:color="auto" w:fill="auto"/>
            <w:vAlign w:val="bottom"/>
          </w:tcPr>
          <w:p w14:paraId="795E9056" w14:textId="77777777" w:rsidR="009D4A93" w:rsidRPr="00536CFD" w:rsidRDefault="009D4A93" w:rsidP="009D4A93">
            <w:pPr>
              <w:spacing w:after="0"/>
              <w:jc w:val="center"/>
              <w:rPr>
                <w:lang w:val="zh-CN"/>
              </w:rPr>
            </w:pPr>
            <w:r w:rsidRPr="00536CFD">
              <w:rPr>
                <w:lang w:val="zh-CN"/>
              </w:rPr>
              <w:t>0.043</w:t>
            </w:r>
          </w:p>
        </w:tc>
        <w:tc>
          <w:tcPr>
            <w:tcW w:w="720" w:type="dxa"/>
            <w:tcBorders>
              <w:top w:val="single" w:sz="4" w:space="0" w:color="auto"/>
              <w:left w:val="nil"/>
              <w:bottom w:val="single" w:sz="4" w:space="0" w:color="auto"/>
              <w:right w:val="single" w:sz="4" w:space="0" w:color="auto"/>
            </w:tcBorders>
            <w:shd w:val="clear" w:color="auto" w:fill="auto"/>
            <w:vAlign w:val="bottom"/>
          </w:tcPr>
          <w:p w14:paraId="3BD42116" w14:textId="77777777" w:rsidR="009D4A93" w:rsidRPr="00536CFD" w:rsidRDefault="009D4A93" w:rsidP="009D4A93">
            <w:pPr>
              <w:spacing w:after="0"/>
              <w:jc w:val="center"/>
              <w:rPr>
                <w:lang w:val="zh-CN"/>
              </w:rPr>
            </w:pPr>
            <w:r w:rsidRPr="00536CFD">
              <w:rPr>
                <w:lang w:val="zh-CN"/>
              </w:rPr>
              <w:t>0.029</w:t>
            </w:r>
          </w:p>
        </w:tc>
      </w:tr>
      <w:tr w:rsidR="009D4A93" w:rsidRPr="00536CFD" w14:paraId="57B401B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C1C83E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CFD5EE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F2FAFC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4376F434" w14:textId="77777777" w:rsidR="009D4A93" w:rsidRPr="00536CFD" w:rsidRDefault="009D4A93" w:rsidP="009D4A93">
            <w:pPr>
              <w:spacing w:after="0"/>
              <w:jc w:val="center"/>
              <w:rPr>
                <w:lang w:val="zh-CN"/>
              </w:rPr>
            </w:pPr>
            <w:r w:rsidRPr="00536CFD">
              <w:rPr>
                <w:lang w:val="zh-CN"/>
              </w:rPr>
              <w:t>0.283</w:t>
            </w:r>
          </w:p>
        </w:tc>
        <w:tc>
          <w:tcPr>
            <w:tcW w:w="720" w:type="dxa"/>
            <w:tcBorders>
              <w:top w:val="single" w:sz="4" w:space="0" w:color="auto"/>
              <w:left w:val="nil"/>
              <w:bottom w:val="single" w:sz="4" w:space="0" w:color="auto"/>
              <w:right w:val="single" w:sz="4" w:space="0" w:color="auto"/>
            </w:tcBorders>
            <w:shd w:val="clear" w:color="auto" w:fill="auto"/>
            <w:vAlign w:val="bottom"/>
          </w:tcPr>
          <w:p w14:paraId="45834E59" w14:textId="77777777" w:rsidR="009D4A93" w:rsidRPr="00536CFD" w:rsidRDefault="009D4A93" w:rsidP="009D4A93">
            <w:pPr>
              <w:spacing w:after="0"/>
              <w:jc w:val="center"/>
              <w:rPr>
                <w:lang w:val="zh-CN"/>
              </w:rPr>
            </w:pPr>
            <w:r w:rsidRPr="00536CFD">
              <w:rPr>
                <w:lang w:val="zh-CN"/>
              </w:rPr>
              <w:t>0.216</w:t>
            </w:r>
          </w:p>
        </w:tc>
        <w:tc>
          <w:tcPr>
            <w:tcW w:w="720" w:type="dxa"/>
            <w:tcBorders>
              <w:top w:val="single" w:sz="4" w:space="0" w:color="auto"/>
              <w:left w:val="nil"/>
              <w:bottom w:val="single" w:sz="4" w:space="0" w:color="auto"/>
              <w:right w:val="single" w:sz="4" w:space="0" w:color="auto"/>
            </w:tcBorders>
            <w:shd w:val="clear" w:color="auto" w:fill="auto"/>
            <w:vAlign w:val="bottom"/>
          </w:tcPr>
          <w:p w14:paraId="596195E8" w14:textId="77777777" w:rsidR="009D4A93" w:rsidRPr="00536CFD" w:rsidRDefault="009D4A93" w:rsidP="009D4A93">
            <w:pPr>
              <w:spacing w:after="0"/>
              <w:jc w:val="center"/>
              <w:rPr>
                <w:lang w:val="zh-CN"/>
              </w:rPr>
            </w:pPr>
            <w:r w:rsidRPr="00536CFD">
              <w:rPr>
                <w:lang w:val="zh-CN"/>
              </w:rPr>
              <w:t>0.11</w:t>
            </w:r>
          </w:p>
        </w:tc>
        <w:tc>
          <w:tcPr>
            <w:tcW w:w="810" w:type="dxa"/>
            <w:tcBorders>
              <w:top w:val="single" w:sz="4" w:space="0" w:color="auto"/>
              <w:left w:val="nil"/>
              <w:bottom w:val="single" w:sz="4" w:space="0" w:color="auto"/>
              <w:right w:val="single" w:sz="4" w:space="0" w:color="auto"/>
            </w:tcBorders>
            <w:shd w:val="clear" w:color="auto" w:fill="auto"/>
            <w:vAlign w:val="bottom"/>
          </w:tcPr>
          <w:p w14:paraId="0FC0BC80" w14:textId="77777777" w:rsidR="009D4A93" w:rsidRPr="00536CFD" w:rsidRDefault="009D4A93" w:rsidP="009D4A93">
            <w:pPr>
              <w:spacing w:after="0"/>
              <w:jc w:val="center"/>
              <w:rPr>
                <w:lang w:val="zh-CN"/>
              </w:rPr>
            </w:pPr>
            <w:r w:rsidRPr="00536CFD">
              <w:rPr>
                <w:lang w:val="zh-CN"/>
              </w:rPr>
              <w:t>0.071</w:t>
            </w:r>
          </w:p>
        </w:tc>
        <w:tc>
          <w:tcPr>
            <w:tcW w:w="810" w:type="dxa"/>
            <w:tcBorders>
              <w:top w:val="single" w:sz="4" w:space="0" w:color="auto"/>
              <w:left w:val="nil"/>
              <w:bottom w:val="single" w:sz="4" w:space="0" w:color="auto"/>
              <w:right w:val="single" w:sz="4" w:space="0" w:color="auto"/>
            </w:tcBorders>
            <w:shd w:val="clear" w:color="auto" w:fill="auto"/>
            <w:vAlign w:val="bottom"/>
          </w:tcPr>
          <w:p w14:paraId="700C3E75" w14:textId="77777777" w:rsidR="009D4A93" w:rsidRPr="00536CFD" w:rsidRDefault="009D4A93" w:rsidP="009D4A93">
            <w:pPr>
              <w:spacing w:after="0"/>
              <w:jc w:val="center"/>
              <w:rPr>
                <w:lang w:val="zh-CN"/>
              </w:rPr>
            </w:pPr>
            <w:r w:rsidRPr="00536CFD">
              <w:rPr>
                <w:lang w:val="zh-CN"/>
              </w:rPr>
              <w:t>0.457</w:t>
            </w:r>
          </w:p>
        </w:tc>
        <w:tc>
          <w:tcPr>
            <w:tcW w:w="820" w:type="dxa"/>
            <w:tcBorders>
              <w:top w:val="single" w:sz="4" w:space="0" w:color="auto"/>
              <w:left w:val="nil"/>
              <w:bottom w:val="single" w:sz="4" w:space="0" w:color="auto"/>
              <w:right w:val="single" w:sz="4" w:space="0" w:color="auto"/>
            </w:tcBorders>
            <w:shd w:val="clear" w:color="auto" w:fill="auto"/>
            <w:vAlign w:val="bottom"/>
          </w:tcPr>
          <w:p w14:paraId="20C5050B" w14:textId="77777777" w:rsidR="009D4A93" w:rsidRPr="00536CFD" w:rsidRDefault="009D4A93" w:rsidP="009D4A93">
            <w:pPr>
              <w:spacing w:after="0"/>
              <w:jc w:val="center"/>
              <w:rPr>
                <w:lang w:val="zh-CN"/>
              </w:rPr>
            </w:pPr>
            <w:r w:rsidRPr="00536CFD">
              <w:rPr>
                <w:lang w:val="zh-CN"/>
              </w:rPr>
              <w:t>0.29</w:t>
            </w:r>
          </w:p>
        </w:tc>
        <w:tc>
          <w:tcPr>
            <w:tcW w:w="800" w:type="dxa"/>
            <w:tcBorders>
              <w:top w:val="single" w:sz="4" w:space="0" w:color="auto"/>
              <w:left w:val="nil"/>
              <w:bottom w:val="single" w:sz="4" w:space="0" w:color="auto"/>
              <w:right w:val="single" w:sz="4" w:space="0" w:color="auto"/>
            </w:tcBorders>
            <w:shd w:val="clear" w:color="auto" w:fill="auto"/>
            <w:vAlign w:val="bottom"/>
          </w:tcPr>
          <w:p w14:paraId="415F3842" w14:textId="77777777" w:rsidR="009D4A93" w:rsidRPr="00536CFD" w:rsidRDefault="009D4A93" w:rsidP="009D4A93">
            <w:pPr>
              <w:spacing w:after="0"/>
              <w:jc w:val="center"/>
              <w:rPr>
                <w:lang w:val="zh-CN"/>
              </w:rPr>
            </w:pPr>
            <w:r w:rsidRPr="00536CFD">
              <w:rPr>
                <w:lang w:val="zh-CN"/>
              </w:rPr>
              <w:t>0.143</w:t>
            </w:r>
          </w:p>
        </w:tc>
        <w:tc>
          <w:tcPr>
            <w:tcW w:w="720" w:type="dxa"/>
            <w:tcBorders>
              <w:top w:val="single" w:sz="4" w:space="0" w:color="auto"/>
              <w:left w:val="nil"/>
              <w:bottom w:val="single" w:sz="4" w:space="0" w:color="auto"/>
              <w:right w:val="single" w:sz="4" w:space="0" w:color="auto"/>
            </w:tcBorders>
            <w:shd w:val="clear" w:color="auto" w:fill="auto"/>
            <w:vAlign w:val="bottom"/>
          </w:tcPr>
          <w:p w14:paraId="7CFE1DD4" w14:textId="77777777" w:rsidR="009D4A93" w:rsidRPr="00536CFD" w:rsidRDefault="009D4A93" w:rsidP="009D4A93">
            <w:pPr>
              <w:spacing w:after="0"/>
              <w:jc w:val="center"/>
              <w:rPr>
                <w:lang w:val="zh-CN"/>
              </w:rPr>
            </w:pPr>
            <w:r w:rsidRPr="00536CFD">
              <w:rPr>
                <w:lang w:val="zh-CN"/>
              </w:rPr>
              <w:t>0.083</w:t>
            </w:r>
          </w:p>
        </w:tc>
        <w:tc>
          <w:tcPr>
            <w:tcW w:w="724" w:type="dxa"/>
            <w:tcBorders>
              <w:top w:val="single" w:sz="4" w:space="0" w:color="auto"/>
              <w:left w:val="nil"/>
              <w:bottom w:val="single" w:sz="4" w:space="0" w:color="auto"/>
              <w:right w:val="single" w:sz="4" w:space="0" w:color="auto"/>
            </w:tcBorders>
            <w:shd w:val="clear" w:color="auto" w:fill="auto"/>
            <w:vAlign w:val="bottom"/>
          </w:tcPr>
          <w:p w14:paraId="3BCB56C3" w14:textId="77777777" w:rsidR="009D4A93" w:rsidRPr="00536CFD" w:rsidRDefault="009D4A93" w:rsidP="009D4A93">
            <w:pPr>
              <w:spacing w:after="0"/>
              <w:jc w:val="center"/>
              <w:rPr>
                <w:lang w:val="zh-CN"/>
              </w:rPr>
            </w:pPr>
            <w:r w:rsidRPr="00536CFD">
              <w:rPr>
                <w:lang w:val="zh-CN"/>
              </w:rPr>
              <w:t>1.517</w:t>
            </w:r>
          </w:p>
        </w:tc>
        <w:tc>
          <w:tcPr>
            <w:tcW w:w="896" w:type="dxa"/>
            <w:tcBorders>
              <w:top w:val="single" w:sz="4" w:space="0" w:color="auto"/>
              <w:left w:val="nil"/>
              <w:bottom w:val="single" w:sz="4" w:space="0" w:color="auto"/>
              <w:right w:val="single" w:sz="4" w:space="0" w:color="auto"/>
            </w:tcBorders>
            <w:shd w:val="clear" w:color="auto" w:fill="auto"/>
            <w:vAlign w:val="bottom"/>
          </w:tcPr>
          <w:p w14:paraId="02CC3D5A" w14:textId="77777777" w:rsidR="009D4A93" w:rsidRPr="00536CFD" w:rsidRDefault="009D4A93" w:rsidP="009D4A93">
            <w:pPr>
              <w:spacing w:after="0"/>
              <w:jc w:val="center"/>
              <w:rPr>
                <w:lang w:val="zh-CN"/>
              </w:rPr>
            </w:pPr>
            <w:r w:rsidRPr="00536CFD">
              <w:rPr>
                <w:lang w:val="zh-CN"/>
              </w:rPr>
              <w:t>0.482</w:t>
            </w:r>
          </w:p>
        </w:tc>
        <w:tc>
          <w:tcPr>
            <w:tcW w:w="720" w:type="dxa"/>
            <w:tcBorders>
              <w:top w:val="single" w:sz="4" w:space="0" w:color="auto"/>
              <w:left w:val="nil"/>
              <w:bottom w:val="single" w:sz="4" w:space="0" w:color="auto"/>
              <w:right w:val="single" w:sz="4" w:space="0" w:color="auto"/>
            </w:tcBorders>
            <w:shd w:val="clear" w:color="auto" w:fill="auto"/>
            <w:vAlign w:val="bottom"/>
          </w:tcPr>
          <w:p w14:paraId="705A563F" w14:textId="77777777" w:rsidR="009D4A93" w:rsidRPr="00536CFD" w:rsidRDefault="009D4A93" w:rsidP="009D4A93">
            <w:pPr>
              <w:spacing w:after="0"/>
              <w:jc w:val="center"/>
              <w:rPr>
                <w:lang w:val="zh-CN"/>
              </w:rPr>
            </w:pPr>
            <w:r w:rsidRPr="00536CFD">
              <w:rPr>
                <w:lang w:val="zh-CN"/>
              </w:rPr>
              <w:t>0.219</w:t>
            </w:r>
          </w:p>
        </w:tc>
        <w:tc>
          <w:tcPr>
            <w:tcW w:w="720" w:type="dxa"/>
            <w:tcBorders>
              <w:top w:val="single" w:sz="4" w:space="0" w:color="auto"/>
              <w:left w:val="nil"/>
              <w:bottom w:val="single" w:sz="4" w:space="0" w:color="auto"/>
              <w:right w:val="single" w:sz="4" w:space="0" w:color="auto"/>
            </w:tcBorders>
            <w:shd w:val="clear" w:color="auto" w:fill="auto"/>
            <w:vAlign w:val="bottom"/>
          </w:tcPr>
          <w:p w14:paraId="54ABA3B4" w14:textId="77777777" w:rsidR="009D4A93" w:rsidRPr="00536CFD" w:rsidRDefault="009D4A93" w:rsidP="009D4A93">
            <w:pPr>
              <w:spacing w:after="0"/>
              <w:jc w:val="center"/>
              <w:rPr>
                <w:lang w:val="zh-CN"/>
              </w:rPr>
            </w:pPr>
            <w:r w:rsidRPr="00536CFD">
              <w:rPr>
                <w:lang w:val="zh-CN"/>
              </w:rPr>
              <w:t>0.1</w:t>
            </w:r>
          </w:p>
        </w:tc>
      </w:tr>
      <w:tr w:rsidR="009D4A93" w:rsidRPr="00536CFD" w14:paraId="5F1D9EF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FB199D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B67FCA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F54CFA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23AE7DCD" w14:textId="77777777" w:rsidR="009D4A93" w:rsidRPr="00536CFD" w:rsidRDefault="009D4A93" w:rsidP="009D4A93">
            <w:pPr>
              <w:spacing w:after="0"/>
              <w:jc w:val="center"/>
              <w:rPr>
                <w:lang w:val="zh-CN"/>
              </w:rPr>
            </w:pPr>
            <w:r w:rsidRPr="00536CFD">
              <w:rPr>
                <w:lang w:val="zh-CN"/>
              </w:rPr>
              <w:t>0.102</w:t>
            </w:r>
          </w:p>
        </w:tc>
        <w:tc>
          <w:tcPr>
            <w:tcW w:w="720" w:type="dxa"/>
            <w:tcBorders>
              <w:top w:val="single" w:sz="4" w:space="0" w:color="auto"/>
              <w:left w:val="nil"/>
              <w:bottom w:val="single" w:sz="4" w:space="0" w:color="auto"/>
              <w:right w:val="single" w:sz="4" w:space="0" w:color="auto"/>
            </w:tcBorders>
            <w:shd w:val="clear" w:color="auto" w:fill="auto"/>
            <w:vAlign w:val="bottom"/>
          </w:tcPr>
          <w:p w14:paraId="781CF65D" w14:textId="77777777" w:rsidR="009D4A93" w:rsidRPr="00536CFD" w:rsidRDefault="009D4A93" w:rsidP="009D4A93">
            <w:pPr>
              <w:spacing w:after="0"/>
              <w:jc w:val="center"/>
              <w:rPr>
                <w:lang w:val="zh-CN"/>
              </w:rPr>
            </w:pPr>
            <w:r w:rsidRPr="00536CFD">
              <w:rPr>
                <w:lang w:val="zh-CN"/>
              </w:rPr>
              <w:t>0.081</w:t>
            </w:r>
          </w:p>
        </w:tc>
        <w:tc>
          <w:tcPr>
            <w:tcW w:w="720" w:type="dxa"/>
            <w:tcBorders>
              <w:top w:val="single" w:sz="4" w:space="0" w:color="auto"/>
              <w:left w:val="nil"/>
              <w:bottom w:val="single" w:sz="4" w:space="0" w:color="auto"/>
              <w:right w:val="single" w:sz="4" w:space="0" w:color="auto"/>
            </w:tcBorders>
            <w:shd w:val="clear" w:color="auto" w:fill="auto"/>
            <w:vAlign w:val="bottom"/>
          </w:tcPr>
          <w:p w14:paraId="0A244646" w14:textId="77777777" w:rsidR="009D4A93" w:rsidRPr="00536CFD" w:rsidRDefault="009D4A93" w:rsidP="009D4A93">
            <w:pPr>
              <w:spacing w:after="0"/>
              <w:jc w:val="center"/>
              <w:rPr>
                <w:lang w:val="zh-CN"/>
              </w:rPr>
            </w:pPr>
            <w:r w:rsidRPr="00536CFD">
              <w:rPr>
                <w:lang w:val="zh-CN"/>
              </w:rPr>
              <w:t>0.044</w:t>
            </w:r>
          </w:p>
        </w:tc>
        <w:tc>
          <w:tcPr>
            <w:tcW w:w="810" w:type="dxa"/>
            <w:tcBorders>
              <w:top w:val="single" w:sz="4" w:space="0" w:color="auto"/>
              <w:left w:val="nil"/>
              <w:bottom w:val="single" w:sz="4" w:space="0" w:color="auto"/>
              <w:right w:val="single" w:sz="4" w:space="0" w:color="auto"/>
            </w:tcBorders>
            <w:shd w:val="clear" w:color="auto" w:fill="auto"/>
            <w:vAlign w:val="bottom"/>
          </w:tcPr>
          <w:p w14:paraId="2CA8A1E7" w14:textId="77777777" w:rsidR="009D4A93" w:rsidRPr="00536CFD" w:rsidRDefault="009D4A93" w:rsidP="009D4A93">
            <w:pPr>
              <w:spacing w:after="0"/>
              <w:jc w:val="center"/>
              <w:rPr>
                <w:lang w:val="zh-CN"/>
              </w:rPr>
            </w:pPr>
            <w:r w:rsidRPr="00536CFD">
              <w:rPr>
                <w:lang w:val="zh-CN"/>
              </w:rPr>
              <w:t>0.034</w:t>
            </w:r>
          </w:p>
        </w:tc>
        <w:tc>
          <w:tcPr>
            <w:tcW w:w="810" w:type="dxa"/>
            <w:tcBorders>
              <w:top w:val="single" w:sz="4" w:space="0" w:color="auto"/>
              <w:left w:val="nil"/>
              <w:bottom w:val="single" w:sz="4" w:space="0" w:color="auto"/>
              <w:right w:val="single" w:sz="4" w:space="0" w:color="auto"/>
            </w:tcBorders>
            <w:shd w:val="clear" w:color="auto" w:fill="auto"/>
            <w:vAlign w:val="bottom"/>
          </w:tcPr>
          <w:p w14:paraId="5C57F6C7" w14:textId="77777777" w:rsidR="009D4A93" w:rsidRPr="00536CFD" w:rsidRDefault="009D4A93" w:rsidP="009D4A93">
            <w:pPr>
              <w:spacing w:after="0"/>
              <w:jc w:val="center"/>
              <w:rPr>
                <w:lang w:val="zh-CN"/>
              </w:rPr>
            </w:pPr>
            <w:r w:rsidRPr="00536CFD">
              <w:rPr>
                <w:lang w:val="zh-CN"/>
              </w:rPr>
              <w:t>0.206</w:t>
            </w:r>
          </w:p>
        </w:tc>
        <w:tc>
          <w:tcPr>
            <w:tcW w:w="820" w:type="dxa"/>
            <w:tcBorders>
              <w:top w:val="single" w:sz="4" w:space="0" w:color="auto"/>
              <w:left w:val="nil"/>
              <w:bottom w:val="single" w:sz="4" w:space="0" w:color="auto"/>
              <w:right w:val="single" w:sz="4" w:space="0" w:color="auto"/>
            </w:tcBorders>
            <w:shd w:val="clear" w:color="auto" w:fill="auto"/>
            <w:vAlign w:val="bottom"/>
          </w:tcPr>
          <w:p w14:paraId="35A324A8" w14:textId="77777777" w:rsidR="009D4A93" w:rsidRPr="00536CFD" w:rsidRDefault="009D4A93" w:rsidP="009D4A93">
            <w:pPr>
              <w:spacing w:after="0"/>
              <w:jc w:val="center"/>
              <w:rPr>
                <w:lang w:val="zh-CN"/>
              </w:rPr>
            </w:pPr>
            <w:r w:rsidRPr="00536CFD">
              <w:rPr>
                <w:lang w:val="zh-CN"/>
              </w:rPr>
              <w:t>0.102</w:t>
            </w:r>
          </w:p>
        </w:tc>
        <w:tc>
          <w:tcPr>
            <w:tcW w:w="800" w:type="dxa"/>
            <w:tcBorders>
              <w:top w:val="single" w:sz="4" w:space="0" w:color="auto"/>
              <w:left w:val="nil"/>
              <w:bottom w:val="single" w:sz="4" w:space="0" w:color="auto"/>
              <w:right w:val="single" w:sz="4" w:space="0" w:color="auto"/>
            </w:tcBorders>
            <w:shd w:val="clear" w:color="auto" w:fill="auto"/>
            <w:vAlign w:val="bottom"/>
          </w:tcPr>
          <w:p w14:paraId="4EC21E3E" w14:textId="77777777" w:rsidR="009D4A93" w:rsidRPr="00536CFD" w:rsidRDefault="009D4A93" w:rsidP="009D4A93">
            <w:pPr>
              <w:spacing w:after="0"/>
              <w:jc w:val="center"/>
              <w:rPr>
                <w:lang w:val="zh-CN"/>
              </w:rPr>
            </w:pPr>
            <w:r w:rsidRPr="00536CFD">
              <w:rPr>
                <w:lang w:val="zh-CN"/>
              </w:rPr>
              <w:t>0.055</w:t>
            </w:r>
          </w:p>
        </w:tc>
        <w:tc>
          <w:tcPr>
            <w:tcW w:w="720" w:type="dxa"/>
            <w:tcBorders>
              <w:top w:val="single" w:sz="4" w:space="0" w:color="auto"/>
              <w:left w:val="nil"/>
              <w:bottom w:val="single" w:sz="4" w:space="0" w:color="auto"/>
              <w:right w:val="single" w:sz="4" w:space="0" w:color="auto"/>
            </w:tcBorders>
            <w:shd w:val="clear" w:color="auto" w:fill="auto"/>
            <w:vAlign w:val="bottom"/>
          </w:tcPr>
          <w:p w14:paraId="080F08DE" w14:textId="77777777" w:rsidR="009D4A93" w:rsidRPr="00536CFD" w:rsidRDefault="009D4A93" w:rsidP="009D4A93">
            <w:pPr>
              <w:spacing w:after="0"/>
              <w:jc w:val="center"/>
              <w:rPr>
                <w:lang w:val="zh-CN"/>
              </w:rPr>
            </w:pPr>
            <w:r w:rsidRPr="00536CFD">
              <w:rPr>
                <w:lang w:val="zh-CN"/>
              </w:rPr>
              <w:t>0.037</w:t>
            </w:r>
          </w:p>
        </w:tc>
        <w:tc>
          <w:tcPr>
            <w:tcW w:w="724" w:type="dxa"/>
            <w:tcBorders>
              <w:top w:val="single" w:sz="4" w:space="0" w:color="auto"/>
              <w:left w:val="nil"/>
              <w:bottom w:val="single" w:sz="4" w:space="0" w:color="auto"/>
              <w:right w:val="single" w:sz="4" w:space="0" w:color="auto"/>
            </w:tcBorders>
            <w:shd w:val="clear" w:color="auto" w:fill="auto"/>
            <w:vAlign w:val="bottom"/>
          </w:tcPr>
          <w:p w14:paraId="43D3E60B" w14:textId="77777777" w:rsidR="009D4A93" w:rsidRPr="00536CFD" w:rsidRDefault="009D4A93" w:rsidP="009D4A93">
            <w:pPr>
              <w:spacing w:after="0"/>
              <w:jc w:val="center"/>
              <w:rPr>
                <w:lang w:val="zh-CN"/>
              </w:rPr>
            </w:pPr>
            <w:r w:rsidRPr="00536CFD">
              <w:rPr>
                <w:lang w:val="zh-CN"/>
              </w:rPr>
              <w:t>2.555</w:t>
            </w:r>
          </w:p>
        </w:tc>
        <w:tc>
          <w:tcPr>
            <w:tcW w:w="896" w:type="dxa"/>
            <w:tcBorders>
              <w:top w:val="single" w:sz="4" w:space="0" w:color="auto"/>
              <w:left w:val="nil"/>
              <w:bottom w:val="single" w:sz="4" w:space="0" w:color="auto"/>
              <w:right w:val="single" w:sz="4" w:space="0" w:color="auto"/>
            </w:tcBorders>
            <w:shd w:val="clear" w:color="auto" w:fill="auto"/>
            <w:vAlign w:val="bottom"/>
          </w:tcPr>
          <w:p w14:paraId="332D1315" w14:textId="77777777" w:rsidR="009D4A93" w:rsidRPr="00536CFD" w:rsidRDefault="009D4A93" w:rsidP="009D4A93">
            <w:pPr>
              <w:spacing w:after="0"/>
              <w:jc w:val="center"/>
              <w:rPr>
                <w:lang w:val="zh-CN"/>
              </w:rPr>
            </w:pPr>
            <w:r w:rsidRPr="00536CFD">
              <w:rPr>
                <w:lang w:val="zh-CN"/>
              </w:rPr>
              <w:t>0.26</w:t>
            </w:r>
          </w:p>
        </w:tc>
        <w:tc>
          <w:tcPr>
            <w:tcW w:w="720" w:type="dxa"/>
            <w:tcBorders>
              <w:top w:val="single" w:sz="4" w:space="0" w:color="auto"/>
              <w:left w:val="nil"/>
              <w:bottom w:val="single" w:sz="4" w:space="0" w:color="auto"/>
              <w:right w:val="single" w:sz="4" w:space="0" w:color="auto"/>
            </w:tcBorders>
            <w:shd w:val="clear" w:color="auto" w:fill="auto"/>
            <w:vAlign w:val="bottom"/>
          </w:tcPr>
          <w:p w14:paraId="6341D35C" w14:textId="77777777" w:rsidR="009D4A93" w:rsidRPr="00536CFD" w:rsidRDefault="009D4A93" w:rsidP="009D4A93">
            <w:pPr>
              <w:spacing w:after="0"/>
              <w:jc w:val="center"/>
              <w:rPr>
                <w:lang w:val="zh-CN"/>
              </w:rPr>
            </w:pPr>
            <w:r w:rsidRPr="00536CFD">
              <w:rPr>
                <w:lang w:val="zh-CN"/>
              </w:rPr>
              <w:t>0.075</w:t>
            </w:r>
          </w:p>
        </w:tc>
        <w:tc>
          <w:tcPr>
            <w:tcW w:w="720" w:type="dxa"/>
            <w:tcBorders>
              <w:top w:val="single" w:sz="4" w:space="0" w:color="auto"/>
              <w:left w:val="nil"/>
              <w:bottom w:val="single" w:sz="4" w:space="0" w:color="auto"/>
              <w:right w:val="single" w:sz="4" w:space="0" w:color="auto"/>
            </w:tcBorders>
            <w:shd w:val="clear" w:color="auto" w:fill="auto"/>
            <w:vAlign w:val="bottom"/>
          </w:tcPr>
          <w:p w14:paraId="6F565C3E" w14:textId="77777777" w:rsidR="009D4A93" w:rsidRPr="00536CFD" w:rsidRDefault="009D4A93" w:rsidP="009D4A93">
            <w:pPr>
              <w:spacing w:after="0"/>
              <w:jc w:val="center"/>
              <w:rPr>
                <w:lang w:val="zh-CN"/>
              </w:rPr>
            </w:pPr>
            <w:r w:rsidRPr="00536CFD">
              <w:rPr>
                <w:lang w:val="zh-CN"/>
              </w:rPr>
              <w:t>0.042</w:t>
            </w:r>
          </w:p>
        </w:tc>
      </w:tr>
      <w:tr w:rsidR="009D4A93" w:rsidRPr="00536CFD" w14:paraId="372A360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E689864"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5DAAF75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02DEA0B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31C942FC" w14:textId="77777777" w:rsidR="009D4A93" w:rsidRPr="00536CFD" w:rsidRDefault="009D4A93" w:rsidP="009D4A93">
            <w:pPr>
              <w:spacing w:after="0"/>
              <w:jc w:val="center"/>
              <w:rPr>
                <w:lang w:val="zh-CN"/>
              </w:rPr>
            </w:pPr>
            <w:r w:rsidRPr="00536CFD">
              <w:rPr>
                <w:lang w:val="zh-CN"/>
              </w:rPr>
              <w:t>12.54</w:t>
            </w:r>
          </w:p>
        </w:tc>
        <w:tc>
          <w:tcPr>
            <w:tcW w:w="720" w:type="dxa"/>
            <w:tcBorders>
              <w:top w:val="single" w:sz="4" w:space="0" w:color="auto"/>
              <w:left w:val="nil"/>
              <w:bottom w:val="single" w:sz="4" w:space="0" w:color="auto"/>
              <w:right w:val="single" w:sz="4" w:space="0" w:color="auto"/>
            </w:tcBorders>
            <w:shd w:val="clear" w:color="auto" w:fill="auto"/>
            <w:vAlign w:val="bottom"/>
          </w:tcPr>
          <w:p w14:paraId="111B8C9A" w14:textId="77777777" w:rsidR="009D4A93" w:rsidRPr="00536CFD" w:rsidRDefault="009D4A93" w:rsidP="009D4A93">
            <w:pPr>
              <w:spacing w:after="0"/>
              <w:jc w:val="center"/>
              <w:rPr>
                <w:lang w:val="zh-CN"/>
              </w:rPr>
            </w:pPr>
            <w:r w:rsidRPr="00536CFD">
              <w:rPr>
                <w:lang w:val="zh-CN"/>
              </w:rPr>
              <w:t>16.79</w:t>
            </w:r>
          </w:p>
        </w:tc>
        <w:tc>
          <w:tcPr>
            <w:tcW w:w="720" w:type="dxa"/>
            <w:tcBorders>
              <w:top w:val="single" w:sz="4" w:space="0" w:color="auto"/>
              <w:left w:val="nil"/>
              <w:bottom w:val="single" w:sz="4" w:space="0" w:color="auto"/>
              <w:right w:val="single" w:sz="4" w:space="0" w:color="auto"/>
            </w:tcBorders>
            <w:shd w:val="clear" w:color="auto" w:fill="auto"/>
            <w:vAlign w:val="bottom"/>
          </w:tcPr>
          <w:p w14:paraId="68EDAC43" w14:textId="77777777" w:rsidR="009D4A93" w:rsidRPr="00536CFD" w:rsidRDefault="009D4A93" w:rsidP="009D4A93">
            <w:pPr>
              <w:spacing w:after="0"/>
              <w:jc w:val="center"/>
              <w:rPr>
                <w:lang w:val="zh-CN"/>
              </w:rPr>
            </w:pPr>
            <w:r w:rsidRPr="00536CFD">
              <w:rPr>
                <w:lang w:val="zh-CN"/>
              </w:rPr>
              <w:t>40.72</w:t>
            </w:r>
          </w:p>
        </w:tc>
        <w:tc>
          <w:tcPr>
            <w:tcW w:w="810" w:type="dxa"/>
            <w:tcBorders>
              <w:top w:val="single" w:sz="4" w:space="0" w:color="auto"/>
              <w:left w:val="nil"/>
              <w:bottom w:val="single" w:sz="4" w:space="0" w:color="auto"/>
              <w:right w:val="single" w:sz="4" w:space="0" w:color="auto"/>
            </w:tcBorders>
            <w:shd w:val="clear" w:color="auto" w:fill="auto"/>
            <w:vAlign w:val="bottom"/>
          </w:tcPr>
          <w:p w14:paraId="00F668A6" w14:textId="77777777" w:rsidR="009D4A93" w:rsidRPr="00536CFD" w:rsidRDefault="009D4A93" w:rsidP="009D4A93">
            <w:pPr>
              <w:spacing w:after="0"/>
              <w:jc w:val="center"/>
              <w:rPr>
                <w:lang w:val="zh-CN"/>
              </w:rPr>
            </w:pPr>
            <w:r w:rsidRPr="00536CFD">
              <w:rPr>
                <w:lang w:val="zh-CN"/>
              </w:rPr>
              <w:t>42.83</w:t>
            </w:r>
          </w:p>
        </w:tc>
        <w:tc>
          <w:tcPr>
            <w:tcW w:w="810" w:type="dxa"/>
            <w:tcBorders>
              <w:top w:val="single" w:sz="4" w:space="0" w:color="auto"/>
              <w:left w:val="nil"/>
              <w:bottom w:val="single" w:sz="4" w:space="0" w:color="auto"/>
              <w:right w:val="single" w:sz="4" w:space="0" w:color="auto"/>
            </w:tcBorders>
            <w:shd w:val="clear" w:color="auto" w:fill="auto"/>
            <w:vAlign w:val="bottom"/>
          </w:tcPr>
          <w:p w14:paraId="081967C6" w14:textId="77777777" w:rsidR="009D4A93" w:rsidRPr="00536CFD" w:rsidRDefault="009D4A93" w:rsidP="009D4A93">
            <w:pPr>
              <w:spacing w:after="0"/>
              <w:jc w:val="center"/>
              <w:rPr>
                <w:lang w:val="zh-CN"/>
              </w:rPr>
            </w:pPr>
            <w:r w:rsidRPr="00536CFD">
              <w:rPr>
                <w:lang w:val="zh-CN"/>
              </w:rPr>
              <w:t>8.47</w:t>
            </w:r>
          </w:p>
        </w:tc>
        <w:tc>
          <w:tcPr>
            <w:tcW w:w="820" w:type="dxa"/>
            <w:tcBorders>
              <w:top w:val="single" w:sz="4" w:space="0" w:color="auto"/>
              <w:left w:val="nil"/>
              <w:bottom w:val="single" w:sz="4" w:space="0" w:color="auto"/>
              <w:right w:val="single" w:sz="4" w:space="0" w:color="auto"/>
            </w:tcBorders>
            <w:shd w:val="clear" w:color="auto" w:fill="auto"/>
            <w:vAlign w:val="bottom"/>
          </w:tcPr>
          <w:p w14:paraId="51AEC4A3" w14:textId="77777777" w:rsidR="009D4A93" w:rsidRPr="00536CFD" w:rsidRDefault="009D4A93" w:rsidP="009D4A93">
            <w:pPr>
              <w:spacing w:after="0"/>
              <w:jc w:val="center"/>
              <w:rPr>
                <w:lang w:val="zh-CN"/>
              </w:rPr>
            </w:pPr>
            <w:r w:rsidRPr="00536CFD">
              <w:rPr>
                <w:lang w:val="zh-CN"/>
              </w:rPr>
              <w:t>12.95</w:t>
            </w:r>
          </w:p>
        </w:tc>
        <w:tc>
          <w:tcPr>
            <w:tcW w:w="800" w:type="dxa"/>
            <w:tcBorders>
              <w:top w:val="single" w:sz="4" w:space="0" w:color="auto"/>
              <w:left w:val="nil"/>
              <w:bottom w:val="single" w:sz="4" w:space="0" w:color="auto"/>
              <w:right w:val="single" w:sz="4" w:space="0" w:color="auto"/>
            </w:tcBorders>
            <w:shd w:val="clear" w:color="auto" w:fill="auto"/>
            <w:vAlign w:val="bottom"/>
          </w:tcPr>
          <w:p w14:paraId="38BA7EEA" w14:textId="77777777" w:rsidR="009D4A93" w:rsidRPr="00536CFD" w:rsidRDefault="009D4A93" w:rsidP="009D4A93">
            <w:pPr>
              <w:spacing w:after="0"/>
              <w:jc w:val="center"/>
              <w:rPr>
                <w:lang w:val="zh-CN"/>
              </w:rPr>
            </w:pPr>
            <w:r w:rsidRPr="00536CFD">
              <w:rPr>
                <w:lang w:val="zh-CN"/>
              </w:rPr>
              <w:t>31.14</w:t>
            </w:r>
          </w:p>
        </w:tc>
        <w:tc>
          <w:tcPr>
            <w:tcW w:w="720" w:type="dxa"/>
            <w:tcBorders>
              <w:top w:val="single" w:sz="4" w:space="0" w:color="auto"/>
              <w:left w:val="nil"/>
              <w:bottom w:val="single" w:sz="4" w:space="0" w:color="auto"/>
              <w:right w:val="single" w:sz="4" w:space="0" w:color="auto"/>
            </w:tcBorders>
            <w:shd w:val="clear" w:color="auto" w:fill="auto"/>
            <w:vAlign w:val="bottom"/>
          </w:tcPr>
          <w:p w14:paraId="65A3A322" w14:textId="77777777" w:rsidR="009D4A93" w:rsidRPr="00536CFD" w:rsidRDefault="009D4A93" w:rsidP="009D4A93">
            <w:pPr>
              <w:spacing w:after="0"/>
              <w:jc w:val="center"/>
              <w:rPr>
                <w:lang w:val="zh-CN"/>
              </w:rPr>
            </w:pPr>
            <w:r w:rsidRPr="00536CFD">
              <w:rPr>
                <w:lang w:val="zh-CN"/>
              </w:rPr>
              <w:t>39.66</w:t>
            </w:r>
          </w:p>
        </w:tc>
        <w:tc>
          <w:tcPr>
            <w:tcW w:w="724" w:type="dxa"/>
            <w:tcBorders>
              <w:top w:val="single" w:sz="4" w:space="0" w:color="auto"/>
              <w:left w:val="nil"/>
              <w:bottom w:val="single" w:sz="4" w:space="0" w:color="auto"/>
              <w:right w:val="single" w:sz="4" w:space="0" w:color="auto"/>
            </w:tcBorders>
            <w:shd w:val="clear" w:color="auto" w:fill="auto"/>
            <w:vAlign w:val="bottom"/>
          </w:tcPr>
          <w:p w14:paraId="51B63E2B" w14:textId="77777777" w:rsidR="009D4A93" w:rsidRPr="00536CFD" w:rsidRDefault="009D4A93" w:rsidP="009D4A93">
            <w:pPr>
              <w:spacing w:after="0"/>
              <w:jc w:val="center"/>
              <w:rPr>
                <w:lang w:val="zh-CN"/>
              </w:rPr>
            </w:pPr>
            <w:r w:rsidRPr="00536CFD">
              <w:rPr>
                <w:lang w:val="zh-CN"/>
              </w:rPr>
              <w:t>2.11</w:t>
            </w:r>
          </w:p>
        </w:tc>
        <w:tc>
          <w:tcPr>
            <w:tcW w:w="896" w:type="dxa"/>
            <w:tcBorders>
              <w:top w:val="single" w:sz="4" w:space="0" w:color="auto"/>
              <w:left w:val="nil"/>
              <w:bottom w:val="single" w:sz="4" w:space="0" w:color="auto"/>
              <w:right w:val="single" w:sz="4" w:space="0" w:color="auto"/>
            </w:tcBorders>
            <w:shd w:val="clear" w:color="auto" w:fill="auto"/>
            <w:vAlign w:val="bottom"/>
          </w:tcPr>
          <w:p w14:paraId="577BEA43" w14:textId="77777777" w:rsidR="009D4A93" w:rsidRPr="00536CFD" w:rsidRDefault="009D4A93" w:rsidP="009D4A93">
            <w:pPr>
              <w:spacing w:after="0"/>
              <w:jc w:val="center"/>
              <w:rPr>
                <w:lang w:val="zh-CN"/>
              </w:rPr>
            </w:pPr>
            <w:r w:rsidRPr="00536CFD">
              <w:rPr>
                <w:lang w:val="zh-CN"/>
              </w:rPr>
              <w:t>8.48</w:t>
            </w:r>
          </w:p>
        </w:tc>
        <w:tc>
          <w:tcPr>
            <w:tcW w:w="720" w:type="dxa"/>
            <w:tcBorders>
              <w:top w:val="single" w:sz="4" w:space="0" w:color="auto"/>
              <w:left w:val="nil"/>
              <w:bottom w:val="single" w:sz="4" w:space="0" w:color="auto"/>
              <w:right w:val="single" w:sz="4" w:space="0" w:color="auto"/>
            </w:tcBorders>
            <w:shd w:val="clear" w:color="auto" w:fill="auto"/>
            <w:vAlign w:val="bottom"/>
          </w:tcPr>
          <w:p w14:paraId="47D6E2BB" w14:textId="77777777" w:rsidR="009D4A93" w:rsidRPr="00536CFD" w:rsidRDefault="009D4A93" w:rsidP="009D4A93">
            <w:pPr>
              <w:spacing w:after="0"/>
              <w:jc w:val="center"/>
              <w:rPr>
                <w:lang w:val="zh-CN"/>
              </w:rPr>
            </w:pPr>
            <w:r w:rsidRPr="00536CFD">
              <w:rPr>
                <w:lang w:val="zh-CN"/>
              </w:rPr>
              <w:t>22.2</w:t>
            </w:r>
          </w:p>
        </w:tc>
        <w:tc>
          <w:tcPr>
            <w:tcW w:w="720" w:type="dxa"/>
            <w:tcBorders>
              <w:top w:val="single" w:sz="4" w:space="0" w:color="auto"/>
              <w:left w:val="nil"/>
              <w:bottom w:val="single" w:sz="4" w:space="0" w:color="auto"/>
              <w:right w:val="single" w:sz="4" w:space="0" w:color="auto"/>
            </w:tcBorders>
            <w:shd w:val="clear" w:color="auto" w:fill="auto"/>
            <w:vAlign w:val="bottom"/>
          </w:tcPr>
          <w:p w14:paraId="19C50A56" w14:textId="77777777" w:rsidR="009D4A93" w:rsidRPr="00536CFD" w:rsidRDefault="009D4A93" w:rsidP="009D4A93">
            <w:pPr>
              <w:spacing w:after="0"/>
              <w:jc w:val="center"/>
              <w:rPr>
                <w:lang w:val="zh-CN"/>
              </w:rPr>
            </w:pPr>
            <w:r w:rsidRPr="00536CFD">
              <w:rPr>
                <w:lang w:val="zh-CN"/>
              </w:rPr>
              <w:t>33.72</w:t>
            </w:r>
          </w:p>
        </w:tc>
      </w:tr>
      <w:tr w:rsidR="009D4A93" w:rsidRPr="00536CFD" w14:paraId="3E311BF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967412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93C094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F3CCFE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6B005BA1" w14:textId="77777777" w:rsidR="009D4A93" w:rsidRPr="00536CFD" w:rsidRDefault="009D4A93" w:rsidP="009D4A93">
            <w:pPr>
              <w:spacing w:after="0"/>
              <w:jc w:val="center"/>
              <w:rPr>
                <w:lang w:val="zh-CN"/>
              </w:rPr>
            </w:pPr>
            <w:r w:rsidRPr="00536CFD">
              <w:rPr>
                <w:lang w:val="zh-CN"/>
              </w:rPr>
              <w:t>50.29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07C82EB8" w14:textId="77777777" w:rsidR="009D4A93" w:rsidRPr="00536CFD" w:rsidRDefault="009D4A93" w:rsidP="009D4A93">
            <w:pPr>
              <w:spacing w:after="0"/>
              <w:jc w:val="center"/>
              <w:rPr>
                <w:lang w:val="zh-CN"/>
              </w:rPr>
            </w:pPr>
            <w:r w:rsidRPr="00536CFD">
              <w:rPr>
                <w:lang w:val="zh-CN"/>
              </w:rPr>
              <w:t>60.7</w:t>
            </w:r>
          </w:p>
        </w:tc>
        <w:tc>
          <w:tcPr>
            <w:tcW w:w="720" w:type="dxa"/>
            <w:tcBorders>
              <w:top w:val="single" w:sz="4" w:space="0" w:color="auto"/>
              <w:left w:val="nil"/>
              <w:bottom w:val="single" w:sz="4" w:space="0" w:color="auto"/>
              <w:right w:val="single" w:sz="4" w:space="0" w:color="auto"/>
            </w:tcBorders>
            <w:shd w:val="clear" w:color="auto" w:fill="auto"/>
            <w:vAlign w:val="bottom"/>
          </w:tcPr>
          <w:p w14:paraId="25B50CCE" w14:textId="77777777" w:rsidR="009D4A93" w:rsidRPr="00536CFD" w:rsidRDefault="009D4A93" w:rsidP="009D4A93">
            <w:pPr>
              <w:spacing w:after="0"/>
              <w:jc w:val="center"/>
              <w:rPr>
                <w:lang w:val="zh-CN"/>
              </w:rPr>
            </w:pPr>
            <w:r w:rsidRPr="00536CFD">
              <w:rPr>
                <w:lang w:val="zh-CN"/>
              </w:rPr>
              <w:t>107.17</w:t>
            </w:r>
          </w:p>
        </w:tc>
        <w:tc>
          <w:tcPr>
            <w:tcW w:w="810" w:type="dxa"/>
            <w:tcBorders>
              <w:top w:val="single" w:sz="4" w:space="0" w:color="auto"/>
              <w:left w:val="nil"/>
              <w:bottom w:val="single" w:sz="4" w:space="0" w:color="auto"/>
              <w:right w:val="single" w:sz="4" w:space="0" w:color="auto"/>
            </w:tcBorders>
            <w:shd w:val="clear" w:color="auto" w:fill="auto"/>
            <w:vAlign w:val="bottom"/>
          </w:tcPr>
          <w:p w14:paraId="2DB90B03" w14:textId="77777777" w:rsidR="009D4A93" w:rsidRPr="00536CFD" w:rsidRDefault="009D4A93" w:rsidP="009D4A93">
            <w:pPr>
              <w:spacing w:after="0"/>
              <w:jc w:val="center"/>
              <w:rPr>
                <w:lang w:val="zh-CN"/>
              </w:rPr>
            </w:pPr>
            <w:r w:rsidRPr="00536CFD">
              <w:rPr>
                <w:lang w:val="zh-CN"/>
              </w:rPr>
              <w:t>125.05</w:t>
            </w:r>
          </w:p>
        </w:tc>
        <w:tc>
          <w:tcPr>
            <w:tcW w:w="810" w:type="dxa"/>
            <w:tcBorders>
              <w:top w:val="single" w:sz="4" w:space="0" w:color="auto"/>
              <w:left w:val="nil"/>
              <w:bottom w:val="single" w:sz="4" w:space="0" w:color="auto"/>
              <w:right w:val="single" w:sz="4" w:space="0" w:color="auto"/>
            </w:tcBorders>
            <w:shd w:val="clear" w:color="auto" w:fill="auto"/>
            <w:vAlign w:val="bottom"/>
          </w:tcPr>
          <w:p w14:paraId="2EE83334" w14:textId="77777777" w:rsidR="009D4A93" w:rsidRPr="00536CFD" w:rsidRDefault="009D4A93" w:rsidP="009D4A93">
            <w:pPr>
              <w:spacing w:after="0"/>
              <w:jc w:val="center"/>
              <w:rPr>
                <w:lang w:val="zh-CN"/>
              </w:rPr>
            </w:pPr>
            <w:r w:rsidRPr="00536CFD">
              <w:rPr>
                <w:lang w:val="zh-CN"/>
              </w:rPr>
              <w:t>41.76</w:t>
            </w:r>
          </w:p>
        </w:tc>
        <w:tc>
          <w:tcPr>
            <w:tcW w:w="820" w:type="dxa"/>
            <w:tcBorders>
              <w:top w:val="single" w:sz="4" w:space="0" w:color="auto"/>
              <w:left w:val="nil"/>
              <w:bottom w:val="single" w:sz="4" w:space="0" w:color="auto"/>
              <w:right w:val="single" w:sz="4" w:space="0" w:color="auto"/>
            </w:tcBorders>
            <w:shd w:val="clear" w:color="auto" w:fill="auto"/>
            <w:vAlign w:val="bottom"/>
          </w:tcPr>
          <w:p w14:paraId="1D0125D0" w14:textId="77777777" w:rsidR="009D4A93" w:rsidRPr="00536CFD" w:rsidRDefault="009D4A93" w:rsidP="009D4A93">
            <w:pPr>
              <w:spacing w:after="0"/>
              <w:jc w:val="center"/>
              <w:rPr>
                <w:lang w:val="zh-CN"/>
              </w:rPr>
            </w:pPr>
            <w:r w:rsidRPr="00536CFD">
              <w:rPr>
                <w:lang w:val="zh-CN"/>
              </w:rPr>
              <w:t>52.3</w:t>
            </w:r>
          </w:p>
        </w:tc>
        <w:tc>
          <w:tcPr>
            <w:tcW w:w="800" w:type="dxa"/>
            <w:tcBorders>
              <w:top w:val="single" w:sz="4" w:space="0" w:color="auto"/>
              <w:left w:val="nil"/>
              <w:bottom w:val="single" w:sz="4" w:space="0" w:color="auto"/>
              <w:right w:val="single" w:sz="4" w:space="0" w:color="auto"/>
            </w:tcBorders>
            <w:shd w:val="clear" w:color="auto" w:fill="auto"/>
            <w:vAlign w:val="bottom"/>
          </w:tcPr>
          <w:p w14:paraId="501460D2" w14:textId="77777777" w:rsidR="009D4A93" w:rsidRPr="00536CFD" w:rsidRDefault="009D4A93" w:rsidP="009D4A93">
            <w:pPr>
              <w:spacing w:after="0"/>
              <w:jc w:val="center"/>
              <w:rPr>
                <w:lang w:val="zh-CN"/>
              </w:rPr>
            </w:pPr>
            <w:r w:rsidRPr="00536CFD">
              <w:rPr>
                <w:lang w:val="zh-CN"/>
              </w:rPr>
              <w:t>92.76</w:t>
            </w:r>
          </w:p>
        </w:tc>
        <w:tc>
          <w:tcPr>
            <w:tcW w:w="720" w:type="dxa"/>
            <w:tcBorders>
              <w:top w:val="single" w:sz="4" w:space="0" w:color="auto"/>
              <w:left w:val="nil"/>
              <w:bottom w:val="single" w:sz="4" w:space="0" w:color="auto"/>
              <w:right w:val="single" w:sz="4" w:space="0" w:color="auto"/>
            </w:tcBorders>
            <w:shd w:val="clear" w:color="auto" w:fill="auto"/>
            <w:vAlign w:val="bottom"/>
          </w:tcPr>
          <w:p w14:paraId="38D34456" w14:textId="77777777" w:rsidR="009D4A93" w:rsidRPr="00536CFD" w:rsidRDefault="009D4A93" w:rsidP="009D4A93">
            <w:pPr>
              <w:spacing w:after="0"/>
              <w:jc w:val="center"/>
              <w:rPr>
                <w:lang w:val="zh-CN"/>
              </w:rPr>
            </w:pPr>
            <w:r w:rsidRPr="00536CFD">
              <w:rPr>
                <w:lang w:val="zh-CN"/>
              </w:rPr>
              <w:t>116.74</w:t>
            </w:r>
          </w:p>
        </w:tc>
        <w:tc>
          <w:tcPr>
            <w:tcW w:w="724" w:type="dxa"/>
            <w:tcBorders>
              <w:top w:val="single" w:sz="4" w:space="0" w:color="auto"/>
              <w:left w:val="nil"/>
              <w:bottom w:val="single" w:sz="4" w:space="0" w:color="auto"/>
              <w:right w:val="single" w:sz="4" w:space="0" w:color="auto"/>
            </w:tcBorders>
            <w:shd w:val="clear" w:color="auto" w:fill="auto"/>
            <w:vAlign w:val="bottom"/>
          </w:tcPr>
          <w:p w14:paraId="1BF16E3D" w14:textId="77777777" w:rsidR="009D4A93" w:rsidRPr="00536CFD" w:rsidRDefault="009D4A93" w:rsidP="009D4A93">
            <w:pPr>
              <w:spacing w:after="0"/>
              <w:jc w:val="center"/>
              <w:rPr>
                <w:lang w:val="zh-CN"/>
              </w:rPr>
            </w:pPr>
            <w:r w:rsidRPr="00536CFD">
              <w:rPr>
                <w:lang w:val="zh-CN"/>
              </w:rPr>
              <w:t>32.35</w:t>
            </w:r>
          </w:p>
        </w:tc>
        <w:tc>
          <w:tcPr>
            <w:tcW w:w="896" w:type="dxa"/>
            <w:tcBorders>
              <w:top w:val="single" w:sz="4" w:space="0" w:color="auto"/>
              <w:left w:val="nil"/>
              <w:bottom w:val="single" w:sz="4" w:space="0" w:color="auto"/>
              <w:right w:val="single" w:sz="4" w:space="0" w:color="auto"/>
            </w:tcBorders>
            <w:shd w:val="clear" w:color="auto" w:fill="auto"/>
            <w:vAlign w:val="bottom"/>
          </w:tcPr>
          <w:p w14:paraId="181EC938" w14:textId="77777777" w:rsidR="009D4A93" w:rsidRPr="00536CFD" w:rsidRDefault="009D4A93" w:rsidP="009D4A93">
            <w:pPr>
              <w:spacing w:after="0"/>
              <w:jc w:val="center"/>
              <w:rPr>
                <w:lang w:val="zh-CN"/>
              </w:rPr>
            </w:pPr>
            <w:r w:rsidRPr="00536CFD">
              <w:rPr>
                <w:lang w:val="zh-CN"/>
              </w:rPr>
              <w:t>45.56</w:t>
            </w:r>
          </w:p>
        </w:tc>
        <w:tc>
          <w:tcPr>
            <w:tcW w:w="720" w:type="dxa"/>
            <w:tcBorders>
              <w:top w:val="single" w:sz="4" w:space="0" w:color="auto"/>
              <w:left w:val="nil"/>
              <w:bottom w:val="single" w:sz="4" w:space="0" w:color="auto"/>
              <w:right w:val="single" w:sz="4" w:space="0" w:color="auto"/>
            </w:tcBorders>
            <w:shd w:val="clear" w:color="auto" w:fill="auto"/>
            <w:vAlign w:val="bottom"/>
          </w:tcPr>
          <w:p w14:paraId="701A1F84" w14:textId="77777777" w:rsidR="009D4A93" w:rsidRPr="00536CFD" w:rsidRDefault="009D4A93" w:rsidP="009D4A93">
            <w:pPr>
              <w:spacing w:after="0"/>
              <w:jc w:val="center"/>
              <w:rPr>
                <w:lang w:val="zh-CN"/>
              </w:rPr>
            </w:pPr>
            <w:r w:rsidRPr="00536CFD">
              <w:rPr>
                <w:lang w:val="zh-CN"/>
              </w:rPr>
              <w:t>72.5</w:t>
            </w:r>
          </w:p>
        </w:tc>
        <w:tc>
          <w:tcPr>
            <w:tcW w:w="720" w:type="dxa"/>
            <w:tcBorders>
              <w:top w:val="single" w:sz="4" w:space="0" w:color="auto"/>
              <w:left w:val="nil"/>
              <w:bottom w:val="single" w:sz="4" w:space="0" w:color="auto"/>
              <w:right w:val="single" w:sz="4" w:space="0" w:color="auto"/>
            </w:tcBorders>
            <w:shd w:val="clear" w:color="auto" w:fill="auto"/>
            <w:vAlign w:val="bottom"/>
          </w:tcPr>
          <w:p w14:paraId="3537F14E" w14:textId="77777777" w:rsidR="009D4A93" w:rsidRPr="00536CFD" w:rsidRDefault="009D4A93" w:rsidP="009D4A93">
            <w:pPr>
              <w:spacing w:after="0"/>
              <w:jc w:val="center"/>
              <w:rPr>
                <w:lang w:val="zh-CN"/>
              </w:rPr>
            </w:pPr>
            <w:r w:rsidRPr="00536CFD">
              <w:rPr>
                <w:lang w:val="zh-CN"/>
              </w:rPr>
              <w:t>105.87</w:t>
            </w:r>
          </w:p>
        </w:tc>
      </w:tr>
      <w:tr w:rsidR="009D4A93" w:rsidRPr="00536CFD" w14:paraId="5D975FC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D0AE2BD"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5A9713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068E48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03140CED" w14:textId="77777777" w:rsidR="009D4A93" w:rsidRPr="00536CFD" w:rsidRDefault="009D4A93" w:rsidP="009D4A93">
            <w:pPr>
              <w:spacing w:after="0"/>
              <w:jc w:val="center"/>
              <w:rPr>
                <w:lang w:val="zh-CN"/>
              </w:rPr>
            </w:pPr>
            <w:r w:rsidRPr="00536CFD">
              <w:rPr>
                <w:lang w:val="zh-CN"/>
              </w:rPr>
              <w:t>104.61</w:t>
            </w:r>
          </w:p>
        </w:tc>
        <w:tc>
          <w:tcPr>
            <w:tcW w:w="720" w:type="dxa"/>
            <w:tcBorders>
              <w:top w:val="single" w:sz="4" w:space="0" w:color="auto"/>
              <w:left w:val="nil"/>
              <w:bottom w:val="single" w:sz="4" w:space="0" w:color="auto"/>
              <w:right w:val="single" w:sz="4" w:space="0" w:color="auto"/>
            </w:tcBorders>
            <w:shd w:val="clear" w:color="auto" w:fill="auto"/>
            <w:vAlign w:val="bottom"/>
          </w:tcPr>
          <w:p w14:paraId="33409992" w14:textId="77777777" w:rsidR="009D4A93" w:rsidRPr="00536CFD" w:rsidRDefault="009D4A93" w:rsidP="009D4A93">
            <w:pPr>
              <w:spacing w:after="0"/>
              <w:jc w:val="center"/>
              <w:rPr>
                <w:lang w:val="zh-CN"/>
              </w:rPr>
            </w:pPr>
            <w:r w:rsidRPr="00536CFD">
              <w:rPr>
                <w:lang w:val="zh-CN"/>
              </w:rPr>
              <w:t>116.74</w:t>
            </w:r>
          </w:p>
        </w:tc>
        <w:tc>
          <w:tcPr>
            <w:tcW w:w="720" w:type="dxa"/>
            <w:tcBorders>
              <w:top w:val="single" w:sz="4" w:space="0" w:color="auto"/>
              <w:left w:val="nil"/>
              <w:bottom w:val="single" w:sz="4" w:space="0" w:color="auto"/>
              <w:right w:val="single" w:sz="4" w:space="0" w:color="auto"/>
            </w:tcBorders>
            <w:shd w:val="clear" w:color="auto" w:fill="auto"/>
            <w:vAlign w:val="bottom"/>
          </w:tcPr>
          <w:p w14:paraId="505035BB" w14:textId="77777777" w:rsidR="009D4A93" w:rsidRPr="00536CFD" w:rsidRDefault="009D4A93" w:rsidP="009D4A93">
            <w:pPr>
              <w:spacing w:after="0"/>
              <w:jc w:val="center"/>
              <w:rPr>
                <w:lang w:val="zh-CN"/>
              </w:rPr>
            </w:pPr>
            <w:r w:rsidRPr="00536CFD">
              <w:rPr>
                <w:lang w:val="zh-CN"/>
              </w:rPr>
              <w:t>148.37</w:t>
            </w:r>
          </w:p>
        </w:tc>
        <w:tc>
          <w:tcPr>
            <w:tcW w:w="810" w:type="dxa"/>
            <w:tcBorders>
              <w:top w:val="single" w:sz="4" w:space="0" w:color="auto"/>
              <w:left w:val="nil"/>
              <w:bottom w:val="single" w:sz="4" w:space="0" w:color="auto"/>
              <w:right w:val="single" w:sz="4" w:space="0" w:color="auto"/>
            </w:tcBorders>
            <w:shd w:val="clear" w:color="auto" w:fill="auto"/>
            <w:vAlign w:val="bottom"/>
          </w:tcPr>
          <w:p w14:paraId="302A208D" w14:textId="77777777" w:rsidR="009D4A93" w:rsidRPr="00536CFD" w:rsidRDefault="009D4A93" w:rsidP="009D4A93">
            <w:pPr>
              <w:spacing w:after="0"/>
              <w:jc w:val="center"/>
              <w:rPr>
                <w:lang w:val="zh-CN"/>
              </w:rPr>
            </w:pPr>
            <w:r w:rsidRPr="00536CFD">
              <w:rPr>
                <w:lang w:val="zh-CN"/>
              </w:rPr>
              <w:t>160.27</w:t>
            </w:r>
          </w:p>
        </w:tc>
        <w:tc>
          <w:tcPr>
            <w:tcW w:w="810" w:type="dxa"/>
            <w:tcBorders>
              <w:top w:val="single" w:sz="4" w:space="0" w:color="auto"/>
              <w:left w:val="nil"/>
              <w:bottom w:val="single" w:sz="4" w:space="0" w:color="auto"/>
              <w:right w:val="single" w:sz="4" w:space="0" w:color="auto"/>
            </w:tcBorders>
            <w:shd w:val="clear" w:color="auto" w:fill="auto"/>
            <w:vAlign w:val="bottom"/>
          </w:tcPr>
          <w:p w14:paraId="5B2F7DFD" w14:textId="77777777" w:rsidR="009D4A93" w:rsidRPr="00536CFD" w:rsidRDefault="009D4A93" w:rsidP="009D4A93">
            <w:pPr>
              <w:spacing w:after="0"/>
              <w:jc w:val="center"/>
              <w:rPr>
                <w:lang w:val="zh-CN"/>
              </w:rPr>
            </w:pPr>
            <w:r w:rsidRPr="00536CFD">
              <w:rPr>
                <w:lang w:val="zh-CN"/>
              </w:rPr>
              <w:t>94.54</w:t>
            </w:r>
          </w:p>
        </w:tc>
        <w:tc>
          <w:tcPr>
            <w:tcW w:w="820" w:type="dxa"/>
            <w:tcBorders>
              <w:top w:val="single" w:sz="4" w:space="0" w:color="auto"/>
              <w:left w:val="nil"/>
              <w:bottom w:val="single" w:sz="4" w:space="0" w:color="auto"/>
              <w:right w:val="single" w:sz="4" w:space="0" w:color="auto"/>
            </w:tcBorders>
            <w:shd w:val="clear" w:color="auto" w:fill="auto"/>
            <w:vAlign w:val="bottom"/>
          </w:tcPr>
          <w:p w14:paraId="480138AA" w14:textId="77777777" w:rsidR="009D4A93" w:rsidRPr="00536CFD" w:rsidRDefault="009D4A93" w:rsidP="009D4A93">
            <w:pPr>
              <w:spacing w:after="0"/>
              <w:jc w:val="center"/>
              <w:rPr>
                <w:lang w:val="zh-CN"/>
              </w:rPr>
            </w:pPr>
            <w:r w:rsidRPr="00536CFD">
              <w:rPr>
                <w:lang w:val="zh-CN"/>
              </w:rPr>
              <w:t>109.1</w:t>
            </w:r>
          </w:p>
        </w:tc>
        <w:tc>
          <w:tcPr>
            <w:tcW w:w="800" w:type="dxa"/>
            <w:tcBorders>
              <w:top w:val="single" w:sz="4" w:space="0" w:color="auto"/>
              <w:left w:val="nil"/>
              <w:bottom w:val="single" w:sz="4" w:space="0" w:color="auto"/>
              <w:right w:val="single" w:sz="4" w:space="0" w:color="auto"/>
            </w:tcBorders>
            <w:shd w:val="clear" w:color="auto" w:fill="auto"/>
            <w:vAlign w:val="bottom"/>
          </w:tcPr>
          <w:p w14:paraId="71E79EDB" w14:textId="77777777" w:rsidR="009D4A93" w:rsidRPr="00536CFD" w:rsidRDefault="009D4A93" w:rsidP="009D4A93">
            <w:pPr>
              <w:spacing w:after="0"/>
              <w:jc w:val="center"/>
              <w:rPr>
                <w:lang w:val="zh-CN"/>
              </w:rPr>
            </w:pPr>
            <w:r w:rsidRPr="00536CFD">
              <w:rPr>
                <w:lang w:val="zh-CN"/>
              </w:rPr>
              <w:t>137.83</w:t>
            </w:r>
          </w:p>
        </w:tc>
        <w:tc>
          <w:tcPr>
            <w:tcW w:w="720" w:type="dxa"/>
            <w:tcBorders>
              <w:top w:val="single" w:sz="4" w:space="0" w:color="auto"/>
              <w:left w:val="nil"/>
              <w:bottom w:val="single" w:sz="4" w:space="0" w:color="auto"/>
              <w:right w:val="single" w:sz="4" w:space="0" w:color="auto"/>
            </w:tcBorders>
            <w:shd w:val="clear" w:color="auto" w:fill="auto"/>
            <w:vAlign w:val="bottom"/>
          </w:tcPr>
          <w:p w14:paraId="5DC6343D" w14:textId="77777777" w:rsidR="009D4A93" w:rsidRPr="00536CFD" w:rsidRDefault="009D4A93" w:rsidP="009D4A93">
            <w:pPr>
              <w:spacing w:after="0"/>
              <w:jc w:val="center"/>
              <w:rPr>
                <w:lang w:val="zh-CN"/>
              </w:rPr>
            </w:pPr>
            <w:r w:rsidRPr="00536CFD">
              <w:rPr>
                <w:lang w:val="zh-CN"/>
              </w:rPr>
              <w:t>154.81</w:t>
            </w:r>
          </w:p>
        </w:tc>
        <w:tc>
          <w:tcPr>
            <w:tcW w:w="724" w:type="dxa"/>
            <w:tcBorders>
              <w:top w:val="single" w:sz="4" w:space="0" w:color="auto"/>
              <w:left w:val="nil"/>
              <w:bottom w:val="single" w:sz="4" w:space="0" w:color="auto"/>
              <w:right w:val="single" w:sz="4" w:space="0" w:color="auto"/>
            </w:tcBorders>
            <w:shd w:val="clear" w:color="auto" w:fill="auto"/>
            <w:vAlign w:val="bottom"/>
          </w:tcPr>
          <w:p w14:paraId="17CEEB98" w14:textId="77777777" w:rsidR="009D4A93" w:rsidRPr="00536CFD" w:rsidRDefault="009D4A93" w:rsidP="009D4A93">
            <w:pPr>
              <w:spacing w:after="0"/>
              <w:jc w:val="center"/>
              <w:rPr>
                <w:lang w:val="zh-CN"/>
              </w:rPr>
            </w:pPr>
            <w:r w:rsidRPr="00536CFD">
              <w:rPr>
                <w:lang w:val="zh-CN"/>
              </w:rPr>
              <w:t>83.02</w:t>
            </w:r>
          </w:p>
        </w:tc>
        <w:tc>
          <w:tcPr>
            <w:tcW w:w="896" w:type="dxa"/>
            <w:tcBorders>
              <w:top w:val="single" w:sz="4" w:space="0" w:color="auto"/>
              <w:left w:val="nil"/>
              <w:bottom w:val="single" w:sz="4" w:space="0" w:color="auto"/>
              <w:right w:val="single" w:sz="4" w:space="0" w:color="auto"/>
            </w:tcBorders>
            <w:shd w:val="clear" w:color="auto" w:fill="auto"/>
            <w:vAlign w:val="bottom"/>
          </w:tcPr>
          <w:p w14:paraId="7830DB1D" w14:textId="77777777" w:rsidR="009D4A93" w:rsidRPr="00536CFD" w:rsidRDefault="009D4A93" w:rsidP="009D4A93">
            <w:pPr>
              <w:spacing w:after="0"/>
              <w:jc w:val="center"/>
              <w:rPr>
                <w:lang w:val="zh-CN"/>
              </w:rPr>
            </w:pPr>
            <w:r w:rsidRPr="00536CFD">
              <w:rPr>
                <w:lang w:val="zh-CN"/>
              </w:rPr>
              <w:t>104.62</w:t>
            </w:r>
          </w:p>
        </w:tc>
        <w:tc>
          <w:tcPr>
            <w:tcW w:w="720" w:type="dxa"/>
            <w:tcBorders>
              <w:top w:val="single" w:sz="4" w:space="0" w:color="auto"/>
              <w:left w:val="nil"/>
              <w:bottom w:val="single" w:sz="4" w:space="0" w:color="auto"/>
              <w:right w:val="single" w:sz="4" w:space="0" w:color="auto"/>
            </w:tcBorders>
            <w:shd w:val="clear" w:color="auto" w:fill="auto"/>
            <w:vAlign w:val="bottom"/>
          </w:tcPr>
          <w:p w14:paraId="0552F0E2" w14:textId="77777777" w:rsidR="009D4A93" w:rsidRPr="00536CFD" w:rsidRDefault="009D4A93" w:rsidP="009D4A93">
            <w:pPr>
              <w:spacing w:after="0"/>
              <w:jc w:val="center"/>
              <w:rPr>
                <w:lang w:val="zh-CN"/>
              </w:rPr>
            </w:pPr>
            <w:r w:rsidRPr="00536CFD">
              <w:rPr>
                <w:lang w:val="zh-CN"/>
              </w:rPr>
              <w:t>127.41</w:t>
            </w:r>
          </w:p>
        </w:tc>
        <w:tc>
          <w:tcPr>
            <w:tcW w:w="720" w:type="dxa"/>
            <w:tcBorders>
              <w:top w:val="single" w:sz="4" w:space="0" w:color="auto"/>
              <w:left w:val="nil"/>
              <w:bottom w:val="single" w:sz="4" w:space="0" w:color="auto"/>
              <w:right w:val="single" w:sz="4" w:space="0" w:color="auto"/>
            </w:tcBorders>
            <w:shd w:val="clear" w:color="auto" w:fill="auto"/>
            <w:vAlign w:val="bottom"/>
          </w:tcPr>
          <w:p w14:paraId="59EFBFA1" w14:textId="77777777" w:rsidR="009D4A93" w:rsidRPr="00536CFD" w:rsidRDefault="009D4A93" w:rsidP="009D4A93">
            <w:pPr>
              <w:spacing w:after="0"/>
              <w:jc w:val="center"/>
              <w:rPr>
                <w:lang w:val="zh-CN"/>
              </w:rPr>
            </w:pPr>
            <w:r w:rsidRPr="00536CFD">
              <w:rPr>
                <w:lang w:val="zh-CN"/>
              </w:rPr>
              <w:t>147.5</w:t>
            </w:r>
          </w:p>
        </w:tc>
      </w:tr>
      <w:tr w:rsidR="009D4A93" w:rsidRPr="00536CFD" w14:paraId="0DA81C6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3430CE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E537E3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41E04E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7EB00F73" w14:textId="77777777" w:rsidR="009D4A93" w:rsidRPr="00536CFD" w:rsidRDefault="009D4A93" w:rsidP="009D4A93">
            <w:pPr>
              <w:spacing w:after="0"/>
              <w:jc w:val="center"/>
              <w:rPr>
                <w:lang w:val="zh-CN"/>
              </w:rPr>
            </w:pPr>
            <w:r w:rsidRPr="00536CFD">
              <w:rPr>
                <w:lang w:val="zh-CN"/>
              </w:rPr>
              <w:t>54.86</w:t>
            </w:r>
          </w:p>
        </w:tc>
        <w:tc>
          <w:tcPr>
            <w:tcW w:w="720" w:type="dxa"/>
            <w:tcBorders>
              <w:top w:val="single" w:sz="4" w:space="0" w:color="auto"/>
              <w:left w:val="nil"/>
              <w:bottom w:val="single" w:sz="4" w:space="0" w:color="auto"/>
              <w:right w:val="single" w:sz="4" w:space="0" w:color="auto"/>
            </w:tcBorders>
            <w:shd w:val="clear" w:color="auto" w:fill="auto"/>
            <w:vAlign w:val="bottom"/>
          </w:tcPr>
          <w:p w14:paraId="434DABAF" w14:textId="77777777" w:rsidR="009D4A93" w:rsidRPr="00536CFD" w:rsidRDefault="009D4A93" w:rsidP="009D4A93">
            <w:pPr>
              <w:spacing w:after="0"/>
              <w:jc w:val="center"/>
              <w:rPr>
                <w:lang w:val="zh-CN"/>
              </w:rPr>
            </w:pPr>
            <w:r w:rsidRPr="00536CFD">
              <w:rPr>
                <w:lang w:val="zh-CN"/>
              </w:rPr>
              <w:t>64.54</w:t>
            </w:r>
          </w:p>
        </w:tc>
        <w:tc>
          <w:tcPr>
            <w:tcW w:w="720" w:type="dxa"/>
            <w:tcBorders>
              <w:top w:val="single" w:sz="4" w:space="0" w:color="auto"/>
              <w:left w:val="nil"/>
              <w:bottom w:val="single" w:sz="4" w:space="0" w:color="auto"/>
              <w:right w:val="single" w:sz="4" w:space="0" w:color="auto"/>
            </w:tcBorders>
            <w:shd w:val="clear" w:color="auto" w:fill="auto"/>
            <w:vAlign w:val="bottom"/>
          </w:tcPr>
          <w:p w14:paraId="15C02AA0" w14:textId="77777777" w:rsidR="009D4A93" w:rsidRPr="00536CFD" w:rsidRDefault="009D4A93" w:rsidP="009D4A93">
            <w:pPr>
              <w:spacing w:after="0"/>
              <w:jc w:val="center"/>
              <w:rPr>
                <w:lang w:val="zh-CN"/>
              </w:rPr>
            </w:pPr>
            <w:r w:rsidRPr="00536CFD">
              <w:rPr>
                <w:lang w:val="zh-CN"/>
              </w:rPr>
              <w:t>102.69</w:t>
            </w:r>
          </w:p>
        </w:tc>
        <w:tc>
          <w:tcPr>
            <w:tcW w:w="810" w:type="dxa"/>
            <w:tcBorders>
              <w:top w:val="single" w:sz="4" w:space="0" w:color="auto"/>
              <w:left w:val="nil"/>
              <w:bottom w:val="single" w:sz="4" w:space="0" w:color="auto"/>
              <w:right w:val="single" w:sz="4" w:space="0" w:color="auto"/>
            </w:tcBorders>
            <w:shd w:val="clear" w:color="auto" w:fill="auto"/>
            <w:vAlign w:val="bottom"/>
          </w:tcPr>
          <w:p w14:paraId="082FEBA2" w14:textId="77777777" w:rsidR="009D4A93" w:rsidRPr="00536CFD" w:rsidRDefault="009D4A93" w:rsidP="009D4A93">
            <w:pPr>
              <w:spacing w:after="0"/>
              <w:jc w:val="center"/>
              <w:rPr>
                <w:lang w:val="zh-CN"/>
              </w:rPr>
            </w:pPr>
            <w:r w:rsidRPr="00536CFD">
              <w:rPr>
                <w:lang w:val="zh-CN"/>
              </w:rPr>
              <w:t>116.19</w:t>
            </w:r>
          </w:p>
        </w:tc>
        <w:tc>
          <w:tcPr>
            <w:tcW w:w="810" w:type="dxa"/>
            <w:tcBorders>
              <w:top w:val="single" w:sz="4" w:space="0" w:color="auto"/>
              <w:left w:val="nil"/>
              <w:bottom w:val="single" w:sz="4" w:space="0" w:color="auto"/>
              <w:right w:val="single" w:sz="4" w:space="0" w:color="auto"/>
            </w:tcBorders>
            <w:shd w:val="clear" w:color="auto" w:fill="auto"/>
            <w:vAlign w:val="bottom"/>
          </w:tcPr>
          <w:p w14:paraId="316F5F79" w14:textId="77777777" w:rsidR="009D4A93" w:rsidRPr="00536CFD" w:rsidRDefault="009D4A93" w:rsidP="009D4A93">
            <w:pPr>
              <w:spacing w:after="0"/>
              <w:jc w:val="center"/>
              <w:rPr>
                <w:lang w:val="zh-CN"/>
              </w:rPr>
            </w:pPr>
            <w:r w:rsidRPr="00536CFD">
              <w:rPr>
                <w:lang w:val="zh-CN"/>
              </w:rPr>
              <w:t>45.61</w:t>
            </w:r>
          </w:p>
        </w:tc>
        <w:tc>
          <w:tcPr>
            <w:tcW w:w="820" w:type="dxa"/>
            <w:tcBorders>
              <w:top w:val="single" w:sz="4" w:space="0" w:color="auto"/>
              <w:left w:val="nil"/>
              <w:bottom w:val="single" w:sz="4" w:space="0" w:color="auto"/>
              <w:right w:val="single" w:sz="4" w:space="0" w:color="auto"/>
            </w:tcBorders>
            <w:shd w:val="clear" w:color="auto" w:fill="auto"/>
            <w:vAlign w:val="bottom"/>
          </w:tcPr>
          <w:p w14:paraId="18AE7296" w14:textId="77777777" w:rsidR="009D4A93" w:rsidRPr="00536CFD" w:rsidRDefault="009D4A93" w:rsidP="009D4A93">
            <w:pPr>
              <w:spacing w:after="0"/>
              <w:jc w:val="center"/>
              <w:rPr>
                <w:lang w:val="zh-CN"/>
              </w:rPr>
            </w:pPr>
            <w:r w:rsidRPr="00536CFD">
              <w:rPr>
                <w:lang w:val="zh-CN"/>
              </w:rPr>
              <w:t>57.58</w:t>
            </w:r>
          </w:p>
        </w:tc>
        <w:tc>
          <w:tcPr>
            <w:tcW w:w="800" w:type="dxa"/>
            <w:tcBorders>
              <w:top w:val="single" w:sz="4" w:space="0" w:color="auto"/>
              <w:left w:val="nil"/>
              <w:bottom w:val="single" w:sz="4" w:space="0" w:color="auto"/>
              <w:right w:val="single" w:sz="4" w:space="0" w:color="auto"/>
            </w:tcBorders>
            <w:shd w:val="clear" w:color="auto" w:fill="auto"/>
            <w:vAlign w:val="bottom"/>
          </w:tcPr>
          <w:p w14:paraId="776E9EDC" w14:textId="77777777" w:rsidR="009D4A93" w:rsidRPr="00536CFD" w:rsidRDefault="009D4A93" w:rsidP="009D4A93">
            <w:pPr>
              <w:spacing w:after="0"/>
              <w:jc w:val="center"/>
              <w:rPr>
                <w:lang w:val="zh-CN"/>
              </w:rPr>
            </w:pPr>
            <w:r w:rsidRPr="00536CFD">
              <w:rPr>
                <w:lang w:val="zh-CN"/>
              </w:rPr>
              <w:t>88.34</w:t>
            </w:r>
          </w:p>
        </w:tc>
        <w:tc>
          <w:tcPr>
            <w:tcW w:w="720" w:type="dxa"/>
            <w:tcBorders>
              <w:top w:val="single" w:sz="4" w:space="0" w:color="auto"/>
              <w:left w:val="nil"/>
              <w:bottom w:val="single" w:sz="4" w:space="0" w:color="auto"/>
              <w:right w:val="single" w:sz="4" w:space="0" w:color="auto"/>
            </w:tcBorders>
            <w:shd w:val="clear" w:color="auto" w:fill="auto"/>
            <w:vAlign w:val="bottom"/>
          </w:tcPr>
          <w:p w14:paraId="69D14ADE" w14:textId="77777777" w:rsidR="009D4A93" w:rsidRPr="00536CFD" w:rsidRDefault="009D4A93" w:rsidP="009D4A93">
            <w:pPr>
              <w:spacing w:after="0"/>
              <w:jc w:val="center"/>
              <w:rPr>
                <w:lang w:val="zh-CN"/>
              </w:rPr>
            </w:pPr>
            <w:r w:rsidRPr="00536CFD">
              <w:rPr>
                <w:lang w:val="zh-CN"/>
              </w:rPr>
              <w:t>108.72</w:t>
            </w:r>
          </w:p>
        </w:tc>
        <w:tc>
          <w:tcPr>
            <w:tcW w:w="724" w:type="dxa"/>
            <w:tcBorders>
              <w:top w:val="single" w:sz="4" w:space="0" w:color="auto"/>
              <w:left w:val="nil"/>
              <w:bottom w:val="single" w:sz="4" w:space="0" w:color="auto"/>
              <w:right w:val="single" w:sz="4" w:space="0" w:color="auto"/>
            </w:tcBorders>
            <w:shd w:val="clear" w:color="auto" w:fill="auto"/>
            <w:vAlign w:val="bottom"/>
          </w:tcPr>
          <w:p w14:paraId="1D3204B0" w14:textId="77777777" w:rsidR="009D4A93" w:rsidRPr="00536CFD" w:rsidRDefault="009D4A93" w:rsidP="009D4A93">
            <w:pPr>
              <w:spacing w:after="0"/>
              <w:jc w:val="center"/>
              <w:rPr>
                <w:lang w:val="zh-CN"/>
              </w:rPr>
            </w:pPr>
            <w:r w:rsidRPr="00536CFD">
              <w:rPr>
                <w:lang w:val="zh-CN"/>
              </w:rPr>
              <w:t>35.93</w:t>
            </w:r>
          </w:p>
        </w:tc>
        <w:tc>
          <w:tcPr>
            <w:tcW w:w="896" w:type="dxa"/>
            <w:tcBorders>
              <w:top w:val="single" w:sz="4" w:space="0" w:color="auto"/>
              <w:left w:val="nil"/>
              <w:bottom w:val="single" w:sz="4" w:space="0" w:color="auto"/>
              <w:right w:val="single" w:sz="4" w:space="0" w:color="auto"/>
            </w:tcBorders>
            <w:shd w:val="clear" w:color="auto" w:fill="auto"/>
            <w:vAlign w:val="bottom"/>
          </w:tcPr>
          <w:p w14:paraId="22EA85D8" w14:textId="77777777" w:rsidR="009D4A93" w:rsidRPr="00536CFD" w:rsidRDefault="009D4A93" w:rsidP="009D4A93">
            <w:pPr>
              <w:spacing w:after="0"/>
              <w:jc w:val="center"/>
              <w:rPr>
                <w:lang w:val="zh-CN"/>
              </w:rPr>
            </w:pPr>
            <w:r w:rsidRPr="00536CFD">
              <w:rPr>
                <w:lang w:val="zh-CN"/>
              </w:rPr>
              <w:t>50.09</w:t>
            </w:r>
          </w:p>
        </w:tc>
        <w:tc>
          <w:tcPr>
            <w:tcW w:w="720" w:type="dxa"/>
            <w:tcBorders>
              <w:top w:val="single" w:sz="4" w:space="0" w:color="auto"/>
              <w:left w:val="nil"/>
              <w:bottom w:val="single" w:sz="4" w:space="0" w:color="auto"/>
              <w:right w:val="single" w:sz="4" w:space="0" w:color="auto"/>
            </w:tcBorders>
            <w:shd w:val="clear" w:color="auto" w:fill="auto"/>
            <w:vAlign w:val="bottom"/>
          </w:tcPr>
          <w:p w14:paraId="1A1D61E6" w14:textId="77777777" w:rsidR="009D4A93" w:rsidRPr="00536CFD" w:rsidRDefault="009D4A93" w:rsidP="009D4A93">
            <w:pPr>
              <w:spacing w:after="0"/>
              <w:jc w:val="center"/>
              <w:rPr>
                <w:lang w:val="zh-CN"/>
              </w:rPr>
            </w:pPr>
            <w:r w:rsidRPr="00536CFD">
              <w:rPr>
                <w:lang w:val="zh-CN"/>
              </w:rPr>
              <w:t>72.53</w:t>
            </w:r>
          </w:p>
        </w:tc>
        <w:tc>
          <w:tcPr>
            <w:tcW w:w="720" w:type="dxa"/>
            <w:tcBorders>
              <w:top w:val="single" w:sz="4" w:space="0" w:color="auto"/>
              <w:left w:val="nil"/>
              <w:bottom w:val="single" w:sz="4" w:space="0" w:color="auto"/>
              <w:right w:val="single" w:sz="4" w:space="0" w:color="auto"/>
            </w:tcBorders>
            <w:shd w:val="clear" w:color="auto" w:fill="auto"/>
            <w:vAlign w:val="bottom"/>
          </w:tcPr>
          <w:p w14:paraId="74417165" w14:textId="77777777" w:rsidR="009D4A93" w:rsidRPr="00536CFD" w:rsidRDefault="009D4A93" w:rsidP="009D4A93">
            <w:pPr>
              <w:spacing w:after="0"/>
              <w:jc w:val="center"/>
              <w:rPr>
                <w:lang w:val="zh-CN"/>
              </w:rPr>
            </w:pPr>
            <w:r w:rsidRPr="00536CFD">
              <w:rPr>
                <w:lang w:val="zh-CN"/>
              </w:rPr>
              <w:t>100.33</w:t>
            </w:r>
          </w:p>
        </w:tc>
      </w:tr>
      <w:tr w:rsidR="009D4A93" w:rsidRPr="00536CFD" w14:paraId="53D21DA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556D791"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F988CF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4A65083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bottom"/>
          </w:tcPr>
          <w:p w14:paraId="20FA1FFF"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36AA3B93" w14:textId="77777777" w:rsidR="009D4A93" w:rsidRPr="00536CFD" w:rsidRDefault="009D4A93" w:rsidP="009D4A93">
            <w:pPr>
              <w:spacing w:after="0"/>
              <w:jc w:val="center"/>
              <w:rPr>
                <w:lang w:val="zh-CN"/>
              </w:rPr>
            </w:pPr>
            <w:r w:rsidRPr="00536CFD">
              <w:rPr>
                <w:lang w:val="zh-CN"/>
              </w:rPr>
              <w:t>0.029</w:t>
            </w:r>
          </w:p>
        </w:tc>
        <w:tc>
          <w:tcPr>
            <w:tcW w:w="720" w:type="dxa"/>
            <w:tcBorders>
              <w:top w:val="single" w:sz="4" w:space="0" w:color="auto"/>
              <w:left w:val="nil"/>
              <w:bottom w:val="single" w:sz="4" w:space="0" w:color="auto"/>
              <w:right w:val="single" w:sz="4" w:space="0" w:color="auto"/>
            </w:tcBorders>
            <w:shd w:val="clear" w:color="auto" w:fill="auto"/>
            <w:vAlign w:val="bottom"/>
          </w:tcPr>
          <w:p w14:paraId="3BBC4A3F"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vAlign w:val="bottom"/>
          </w:tcPr>
          <w:p w14:paraId="4179368B" w14:textId="77777777" w:rsidR="009D4A93" w:rsidRPr="00536CFD" w:rsidRDefault="009D4A93" w:rsidP="009D4A93">
            <w:pPr>
              <w:spacing w:after="0"/>
              <w:jc w:val="center"/>
              <w:rPr>
                <w:lang w:val="zh-CN"/>
              </w:rPr>
            </w:pPr>
            <w:r w:rsidRPr="00536CFD">
              <w:rPr>
                <w:lang w:val="zh-CN"/>
              </w:rPr>
              <w:t>0.021</w:t>
            </w:r>
          </w:p>
        </w:tc>
        <w:tc>
          <w:tcPr>
            <w:tcW w:w="810" w:type="dxa"/>
            <w:tcBorders>
              <w:top w:val="single" w:sz="4" w:space="0" w:color="auto"/>
              <w:left w:val="nil"/>
              <w:bottom w:val="single" w:sz="4" w:space="0" w:color="auto"/>
              <w:right w:val="single" w:sz="4" w:space="0" w:color="auto"/>
            </w:tcBorders>
            <w:shd w:val="clear" w:color="auto" w:fill="auto"/>
            <w:vAlign w:val="bottom"/>
          </w:tcPr>
          <w:p w14:paraId="622E3C4C" w14:textId="77777777" w:rsidR="009D4A93" w:rsidRPr="00536CFD" w:rsidRDefault="009D4A93" w:rsidP="009D4A93">
            <w:pPr>
              <w:spacing w:after="0"/>
              <w:jc w:val="center"/>
              <w:rPr>
                <w:lang w:val="zh-CN"/>
              </w:rPr>
            </w:pPr>
            <w:r w:rsidRPr="00536CFD">
              <w:rPr>
                <w:lang w:val="zh-CN"/>
              </w:rPr>
              <w:t>0.03</w:t>
            </w:r>
          </w:p>
        </w:tc>
        <w:tc>
          <w:tcPr>
            <w:tcW w:w="820" w:type="dxa"/>
            <w:tcBorders>
              <w:top w:val="single" w:sz="4" w:space="0" w:color="auto"/>
              <w:left w:val="nil"/>
              <w:bottom w:val="single" w:sz="4" w:space="0" w:color="auto"/>
              <w:right w:val="single" w:sz="4" w:space="0" w:color="auto"/>
            </w:tcBorders>
            <w:shd w:val="clear" w:color="auto" w:fill="auto"/>
            <w:vAlign w:val="bottom"/>
          </w:tcPr>
          <w:p w14:paraId="22CC2C98" w14:textId="77777777" w:rsidR="009D4A93" w:rsidRPr="00536CFD" w:rsidRDefault="009D4A93" w:rsidP="009D4A93">
            <w:pPr>
              <w:spacing w:after="0"/>
              <w:jc w:val="center"/>
              <w:rPr>
                <w:lang w:val="zh-CN"/>
              </w:rPr>
            </w:pPr>
            <w:r w:rsidRPr="00536CFD">
              <w:rPr>
                <w:lang w:val="zh-CN"/>
              </w:rPr>
              <w:t>0.029</w:t>
            </w:r>
          </w:p>
        </w:tc>
        <w:tc>
          <w:tcPr>
            <w:tcW w:w="800" w:type="dxa"/>
            <w:tcBorders>
              <w:top w:val="single" w:sz="4" w:space="0" w:color="auto"/>
              <w:left w:val="nil"/>
              <w:bottom w:val="single" w:sz="4" w:space="0" w:color="auto"/>
              <w:right w:val="single" w:sz="4" w:space="0" w:color="auto"/>
            </w:tcBorders>
            <w:shd w:val="clear" w:color="auto" w:fill="auto"/>
            <w:vAlign w:val="bottom"/>
          </w:tcPr>
          <w:p w14:paraId="0DD775CC"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1DCEDDE4" w14:textId="77777777" w:rsidR="009D4A93" w:rsidRPr="00536CFD" w:rsidRDefault="009D4A93" w:rsidP="009D4A93">
            <w:pPr>
              <w:spacing w:after="0"/>
              <w:jc w:val="center"/>
              <w:rPr>
                <w:lang w:val="zh-CN"/>
              </w:rPr>
            </w:pPr>
            <w:r w:rsidRPr="00536CFD">
              <w:rPr>
                <w:lang w:val="zh-CN"/>
              </w:rPr>
              <w:t>0.021</w:t>
            </w:r>
          </w:p>
        </w:tc>
        <w:tc>
          <w:tcPr>
            <w:tcW w:w="724" w:type="dxa"/>
            <w:tcBorders>
              <w:top w:val="single" w:sz="4" w:space="0" w:color="auto"/>
              <w:left w:val="nil"/>
              <w:bottom w:val="single" w:sz="4" w:space="0" w:color="auto"/>
              <w:right w:val="single" w:sz="4" w:space="0" w:color="auto"/>
            </w:tcBorders>
            <w:shd w:val="clear" w:color="auto" w:fill="auto"/>
            <w:vAlign w:val="bottom"/>
          </w:tcPr>
          <w:p w14:paraId="242331F2" w14:textId="77777777" w:rsidR="009D4A93" w:rsidRPr="00536CFD" w:rsidRDefault="009D4A93" w:rsidP="009D4A93">
            <w:pPr>
              <w:spacing w:after="0"/>
              <w:jc w:val="center"/>
              <w:rPr>
                <w:lang w:val="zh-CN"/>
              </w:rPr>
            </w:pPr>
            <w:r w:rsidRPr="00536CFD">
              <w:rPr>
                <w:lang w:val="zh-CN"/>
              </w:rPr>
              <w:t>0.035</w:t>
            </w:r>
          </w:p>
        </w:tc>
        <w:tc>
          <w:tcPr>
            <w:tcW w:w="896" w:type="dxa"/>
            <w:tcBorders>
              <w:top w:val="single" w:sz="4" w:space="0" w:color="auto"/>
              <w:left w:val="nil"/>
              <w:bottom w:val="single" w:sz="4" w:space="0" w:color="auto"/>
              <w:right w:val="single" w:sz="4" w:space="0" w:color="auto"/>
            </w:tcBorders>
            <w:shd w:val="clear" w:color="auto" w:fill="auto"/>
            <w:vAlign w:val="bottom"/>
          </w:tcPr>
          <w:p w14:paraId="753FDAA4" w14:textId="77777777" w:rsidR="009D4A93" w:rsidRPr="00536CFD" w:rsidRDefault="009D4A93" w:rsidP="009D4A93">
            <w:pPr>
              <w:spacing w:after="0"/>
              <w:jc w:val="center"/>
              <w:rPr>
                <w:lang w:val="zh-CN"/>
              </w:rPr>
            </w:pPr>
            <w:r w:rsidRPr="00536CFD">
              <w:rPr>
                <w:lang w:val="zh-CN"/>
              </w:rPr>
              <w:t>0.03</w:t>
            </w:r>
          </w:p>
        </w:tc>
        <w:tc>
          <w:tcPr>
            <w:tcW w:w="720" w:type="dxa"/>
            <w:tcBorders>
              <w:top w:val="single" w:sz="4" w:space="0" w:color="auto"/>
              <w:left w:val="nil"/>
              <w:bottom w:val="single" w:sz="4" w:space="0" w:color="auto"/>
              <w:right w:val="single" w:sz="4" w:space="0" w:color="auto"/>
            </w:tcBorders>
            <w:shd w:val="clear" w:color="auto" w:fill="auto"/>
            <w:vAlign w:val="bottom"/>
          </w:tcPr>
          <w:p w14:paraId="2DB3BB97" w14:textId="77777777" w:rsidR="009D4A93" w:rsidRPr="00536CFD" w:rsidRDefault="009D4A93" w:rsidP="009D4A93">
            <w:pPr>
              <w:spacing w:after="0"/>
              <w:jc w:val="center"/>
              <w:rPr>
                <w:lang w:val="zh-CN"/>
              </w:rPr>
            </w:pPr>
            <w:r w:rsidRPr="00536CFD">
              <w:rPr>
                <w:lang w:val="zh-CN"/>
              </w:rPr>
              <w:t>0.021</w:t>
            </w:r>
          </w:p>
        </w:tc>
        <w:tc>
          <w:tcPr>
            <w:tcW w:w="720" w:type="dxa"/>
            <w:tcBorders>
              <w:top w:val="single" w:sz="4" w:space="0" w:color="auto"/>
              <w:left w:val="nil"/>
              <w:bottom w:val="single" w:sz="4" w:space="0" w:color="auto"/>
              <w:right w:val="single" w:sz="4" w:space="0" w:color="auto"/>
            </w:tcBorders>
            <w:shd w:val="clear" w:color="auto" w:fill="auto"/>
            <w:vAlign w:val="bottom"/>
          </w:tcPr>
          <w:p w14:paraId="63306CFD" w14:textId="77777777" w:rsidR="009D4A93" w:rsidRPr="00536CFD" w:rsidRDefault="009D4A93" w:rsidP="009D4A93">
            <w:pPr>
              <w:spacing w:after="0"/>
              <w:jc w:val="center"/>
              <w:rPr>
                <w:lang w:val="zh-CN"/>
              </w:rPr>
            </w:pPr>
            <w:r w:rsidRPr="00536CFD">
              <w:rPr>
                <w:lang w:val="zh-CN"/>
              </w:rPr>
              <w:t>0.021</w:t>
            </w:r>
          </w:p>
        </w:tc>
      </w:tr>
      <w:tr w:rsidR="009D4A93" w:rsidRPr="00536CFD" w14:paraId="7EF452C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EC826D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F86250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8463B4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bottom"/>
          </w:tcPr>
          <w:p w14:paraId="395C06AE" w14:textId="77777777" w:rsidR="009D4A93" w:rsidRPr="00536CFD" w:rsidRDefault="009D4A93" w:rsidP="009D4A93">
            <w:pPr>
              <w:spacing w:after="0"/>
              <w:jc w:val="center"/>
              <w:rPr>
                <w:lang w:val="zh-CN"/>
              </w:rPr>
            </w:pPr>
            <w:r w:rsidRPr="00536CFD">
              <w:rPr>
                <w:lang w:val="zh-CN"/>
              </w:rPr>
              <w:t>0.084</w:t>
            </w:r>
          </w:p>
        </w:tc>
        <w:tc>
          <w:tcPr>
            <w:tcW w:w="720" w:type="dxa"/>
            <w:tcBorders>
              <w:top w:val="single" w:sz="4" w:space="0" w:color="auto"/>
              <w:left w:val="nil"/>
              <w:bottom w:val="single" w:sz="4" w:space="0" w:color="auto"/>
              <w:right w:val="single" w:sz="4" w:space="0" w:color="auto"/>
            </w:tcBorders>
            <w:shd w:val="clear" w:color="auto" w:fill="auto"/>
            <w:vAlign w:val="bottom"/>
          </w:tcPr>
          <w:p w14:paraId="1A790194" w14:textId="77777777" w:rsidR="009D4A93" w:rsidRPr="00536CFD" w:rsidRDefault="009D4A93" w:rsidP="009D4A93">
            <w:pPr>
              <w:spacing w:after="0"/>
              <w:jc w:val="center"/>
              <w:rPr>
                <w:lang w:val="zh-CN"/>
              </w:rPr>
            </w:pPr>
            <w:r w:rsidRPr="00536CFD">
              <w:rPr>
                <w:lang w:val="zh-CN"/>
              </w:rPr>
              <w:t>0.067</w:t>
            </w:r>
          </w:p>
        </w:tc>
        <w:tc>
          <w:tcPr>
            <w:tcW w:w="720" w:type="dxa"/>
            <w:tcBorders>
              <w:top w:val="single" w:sz="4" w:space="0" w:color="auto"/>
              <w:left w:val="nil"/>
              <w:bottom w:val="single" w:sz="4" w:space="0" w:color="auto"/>
              <w:right w:val="single" w:sz="4" w:space="0" w:color="auto"/>
            </w:tcBorders>
            <w:shd w:val="clear" w:color="auto" w:fill="auto"/>
            <w:vAlign w:val="bottom"/>
          </w:tcPr>
          <w:p w14:paraId="2F3E3F5E" w14:textId="77777777" w:rsidR="009D4A93" w:rsidRPr="00536CFD" w:rsidRDefault="009D4A93" w:rsidP="009D4A93">
            <w:pPr>
              <w:spacing w:after="0"/>
              <w:jc w:val="center"/>
              <w:rPr>
                <w:lang w:val="zh-CN"/>
              </w:rPr>
            </w:pPr>
            <w:r w:rsidRPr="00536CFD">
              <w:rPr>
                <w:lang w:val="zh-CN"/>
              </w:rPr>
              <w:t>0.037</w:t>
            </w:r>
          </w:p>
        </w:tc>
        <w:tc>
          <w:tcPr>
            <w:tcW w:w="810" w:type="dxa"/>
            <w:tcBorders>
              <w:top w:val="single" w:sz="4" w:space="0" w:color="auto"/>
              <w:left w:val="nil"/>
              <w:bottom w:val="single" w:sz="4" w:space="0" w:color="auto"/>
              <w:right w:val="single" w:sz="4" w:space="0" w:color="auto"/>
            </w:tcBorders>
            <w:shd w:val="clear" w:color="auto" w:fill="auto"/>
            <w:vAlign w:val="bottom"/>
          </w:tcPr>
          <w:p w14:paraId="0211C042" w14:textId="77777777" w:rsidR="009D4A93" w:rsidRPr="00536CFD" w:rsidRDefault="009D4A93" w:rsidP="009D4A93">
            <w:pPr>
              <w:spacing w:after="0"/>
              <w:jc w:val="center"/>
              <w:rPr>
                <w:lang w:val="zh-CN"/>
              </w:rPr>
            </w:pPr>
            <w:r w:rsidRPr="00536CFD">
              <w:rPr>
                <w:lang w:val="zh-CN"/>
              </w:rPr>
              <w:t>0.031</w:t>
            </w:r>
          </w:p>
        </w:tc>
        <w:tc>
          <w:tcPr>
            <w:tcW w:w="810" w:type="dxa"/>
            <w:tcBorders>
              <w:top w:val="single" w:sz="4" w:space="0" w:color="auto"/>
              <w:left w:val="nil"/>
              <w:bottom w:val="single" w:sz="4" w:space="0" w:color="auto"/>
              <w:right w:val="single" w:sz="4" w:space="0" w:color="auto"/>
            </w:tcBorders>
            <w:shd w:val="clear" w:color="auto" w:fill="auto"/>
            <w:vAlign w:val="bottom"/>
          </w:tcPr>
          <w:p w14:paraId="7E0965E9" w14:textId="77777777" w:rsidR="009D4A93" w:rsidRPr="00536CFD" w:rsidRDefault="009D4A93" w:rsidP="009D4A93">
            <w:pPr>
              <w:spacing w:after="0"/>
              <w:jc w:val="center"/>
              <w:rPr>
                <w:lang w:val="zh-CN"/>
              </w:rPr>
            </w:pPr>
            <w:r w:rsidRPr="00536CFD">
              <w:rPr>
                <w:lang w:val="zh-CN"/>
              </w:rPr>
              <w:t>0.112</w:t>
            </w:r>
          </w:p>
        </w:tc>
        <w:tc>
          <w:tcPr>
            <w:tcW w:w="820" w:type="dxa"/>
            <w:tcBorders>
              <w:top w:val="single" w:sz="4" w:space="0" w:color="auto"/>
              <w:left w:val="nil"/>
              <w:bottom w:val="single" w:sz="4" w:space="0" w:color="auto"/>
              <w:right w:val="single" w:sz="4" w:space="0" w:color="auto"/>
            </w:tcBorders>
            <w:shd w:val="clear" w:color="auto" w:fill="auto"/>
            <w:vAlign w:val="bottom"/>
          </w:tcPr>
          <w:p w14:paraId="499795DB" w14:textId="77777777" w:rsidR="009D4A93" w:rsidRPr="00536CFD" w:rsidRDefault="009D4A93" w:rsidP="009D4A93">
            <w:pPr>
              <w:spacing w:after="0"/>
              <w:jc w:val="center"/>
              <w:rPr>
                <w:lang w:val="zh-CN"/>
              </w:rPr>
            </w:pPr>
            <w:r w:rsidRPr="00536CFD">
              <w:rPr>
                <w:lang w:val="zh-CN"/>
              </w:rPr>
              <w:t>0.081</w:t>
            </w:r>
          </w:p>
        </w:tc>
        <w:tc>
          <w:tcPr>
            <w:tcW w:w="800" w:type="dxa"/>
            <w:tcBorders>
              <w:top w:val="single" w:sz="4" w:space="0" w:color="auto"/>
              <w:left w:val="nil"/>
              <w:bottom w:val="single" w:sz="4" w:space="0" w:color="auto"/>
              <w:right w:val="single" w:sz="4" w:space="0" w:color="auto"/>
            </w:tcBorders>
            <w:shd w:val="clear" w:color="auto" w:fill="auto"/>
            <w:vAlign w:val="bottom"/>
          </w:tcPr>
          <w:p w14:paraId="575CC6DA" w14:textId="77777777" w:rsidR="009D4A93" w:rsidRPr="00536CFD" w:rsidRDefault="009D4A93" w:rsidP="009D4A93">
            <w:pPr>
              <w:spacing w:after="0"/>
              <w:jc w:val="center"/>
              <w:rPr>
                <w:lang w:val="zh-CN"/>
              </w:rPr>
            </w:pPr>
            <w:r w:rsidRPr="00536CFD">
              <w:rPr>
                <w:lang w:val="zh-CN"/>
              </w:rPr>
              <w:t>0.051</w:t>
            </w:r>
          </w:p>
        </w:tc>
        <w:tc>
          <w:tcPr>
            <w:tcW w:w="720" w:type="dxa"/>
            <w:tcBorders>
              <w:top w:val="single" w:sz="4" w:space="0" w:color="auto"/>
              <w:left w:val="nil"/>
              <w:bottom w:val="single" w:sz="4" w:space="0" w:color="auto"/>
              <w:right w:val="single" w:sz="4" w:space="0" w:color="auto"/>
            </w:tcBorders>
            <w:shd w:val="clear" w:color="auto" w:fill="auto"/>
            <w:vAlign w:val="bottom"/>
          </w:tcPr>
          <w:p w14:paraId="1D45804D" w14:textId="77777777" w:rsidR="009D4A93" w:rsidRPr="00536CFD" w:rsidRDefault="009D4A93" w:rsidP="009D4A93">
            <w:pPr>
              <w:spacing w:after="0"/>
              <w:jc w:val="center"/>
              <w:rPr>
                <w:lang w:val="zh-CN"/>
              </w:rPr>
            </w:pPr>
            <w:r w:rsidRPr="00536CFD">
              <w:rPr>
                <w:lang w:val="zh-CN"/>
              </w:rPr>
              <w:t>0.035</w:t>
            </w:r>
          </w:p>
        </w:tc>
        <w:tc>
          <w:tcPr>
            <w:tcW w:w="724" w:type="dxa"/>
            <w:tcBorders>
              <w:top w:val="single" w:sz="4" w:space="0" w:color="auto"/>
              <w:left w:val="nil"/>
              <w:bottom w:val="single" w:sz="4" w:space="0" w:color="auto"/>
              <w:right w:val="single" w:sz="4" w:space="0" w:color="auto"/>
            </w:tcBorders>
            <w:shd w:val="clear" w:color="auto" w:fill="auto"/>
            <w:vAlign w:val="bottom"/>
          </w:tcPr>
          <w:p w14:paraId="0E57BB0E" w14:textId="77777777" w:rsidR="009D4A93" w:rsidRPr="00536CFD" w:rsidRDefault="009D4A93" w:rsidP="009D4A93">
            <w:pPr>
              <w:spacing w:after="0"/>
              <w:jc w:val="center"/>
              <w:rPr>
                <w:lang w:val="zh-CN"/>
              </w:rPr>
            </w:pPr>
            <w:r w:rsidRPr="00536CFD">
              <w:rPr>
                <w:lang w:val="zh-CN"/>
              </w:rPr>
              <w:t>0.154</w:t>
            </w:r>
          </w:p>
        </w:tc>
        <w:tc>
          <w:tcPr>
            <w:tcW w:w="896" w:type="dxa"/>
            <w:tcBorders>
              <w:top w:val="single" w:sz="4" w:space="0" w:color="auto"/>
              <w:left w:val="nil"/>
              <w:bottom w:val="single" w:sz="4" w:space="0" w:color="auto"/>
              <w:right w:val="single" w:sz="4" w:space="0" w:color="auto"/>
            </w:tcBorders>
            <w:shd w:val="clear" w:color="auto" w:fill="auto"/>
            <w:vAlign w:val="bottom"/>
          </w:tcPr>
          <w:p w14:paraId="56AFBA96" w14:textId="77777777" w:rsidR="009D4A93" w:rsidRPr="00536CFD" w:rsidRDefault="009D4A93" w:rsidP="009D4A93">
            <w:pPr>
              <w:spacing w:after="0"/>
              <w:jc w:val="center"/>
              <w:rPr>
                <w:lang w:val="zh-CN"/>
              </w:rPr>
            </w:pPr>
            <w:r w:rsidRPr="00536CFD">
              <w:rPr>
                <w:lang w:val="zh-CN"/>
              </w:rPr>
              <w:t>0.102</w:t>
            </w:r>
          </w:p>
        </w:tc>
        <w:tc>
          <w:tcPr>
            <w:tcW w:w="720" w:type="dxa"/>
            <w:tcBorders>
              <w:top w:val="single" w:sz="4" w:space="0" w:color="auto"/>
              <w:left w:val="nil"/>
              <w:bottom w:val="single" w:sz="4" w:space="0" w:color="auto"/>
              <w:right w:val="single" w:sz="4" w:space="0" w:color="auto"/>
            </w:tcBorders>
            <w:shd w:val="clear" w:color="auto" w:fill="auto"/>
            <w:vAlign w:val="bottom"/>
          </w:tcPr>
          <w:p w14:paraId="2E95F6AB" w14:textId="77777777" w:rsidR="009D4A93" w:rsidRPr="00536CFD" w:rsidRDefault="009D4A93" w:rsidP="009D4A93">
            <w:pPr>
              <w:spacing w:after="0"/>
              <w:jc w:val="center"/>
              <w:rPr>
                <w:lang w:val="zh-CN"/>
              </w:rPr>
            </w:pPr>
            <w:r w:rsidRPr="00536CFD">
              <w:rPr>
                <w:lang w:val="zh-CN"/>
              </w:rPr>
              <w:t>0.073</w:t>
            </w:r>
          </w:p>
        </w:tc>
        <w:tc>
          <w:tcPr>
            <w:tcW w:w="720" w:type="dxa"/>
            <w:tcBorders>
              <w:top w:val="single" w:sz="4" w:space="0" w:color="auto"/>
              <w:left w:val="nil"/>
              <w:bottom w:val="single" w:sz="4" w:space="0" w:color="auto"/>
              <w:right w:val="single" w:sz="4" w:space="0" w:color="auto"/>
            </w:tcBorders>
            <w:shd w:val="clear" w:color="auto" w:fill="auto"/>
            <w:vAlign w:val="bottom"/>
          </w:tcPr>
          <w:p w14:paraId="4A24C05B" w14:textId="77777777" w:rsidR="009D4A93" w:rsidRPr="00536CFD" w:rsidRDefault="009D4A93" w:rsidP="009D4A93">
            <w:pPr>
              <w:spacing w:after="0"/>
              <w:jc w:val="center"/>
              <w:rPr>
                <w:lang w:val="zh-CN"/>
              </w:rPr>
            </w:pPr>
            <w:r w:rsidRPr="00536CFD">
              <w:rPr>
                <w:lang w:val="zh-CN"/>
              </w:rPr>
              <w:t>0.04</w:t>
            </w:r>
          </w:p>
        </w:tc>
      </w:tr>
      <w:tr w:rsidR="009D4A93" w:rsidRPr="00536CFD" w14:paraId="2275CFF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E186F7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A78F3B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D29571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bottom"/>
          </w:tcPr>
          <w:p w14:paraId="15FFEBDF" w14:textId="77777777" w:rsidR="009D4A93" w:rsidRPr="00536CFD" w:rsidRDefault="009D4A93" w:rsidP="009D4A93">
            <w:pPr>
              <w:spacing w:after="0"/>
              <w:jc w:val="center"/>
              <w:rPr>
                <w:lang w:val="zh-CN"/>
              </w:rPr>
            </w:pPr>
            <w:r w:rsidRPr="00536CFD">
              <w:rPr>
                <w:lang w:val="zh-CN"/>
              </w:rPr>
              <w:t>0.501</w:t>
            </w:r>
          </w:p>
        </w:tc>
        <w:tc>
          <w:tcPr>
            <w:tcW w:w="720" w:type="dxa"/>
            <w:tcBorders>
              <w:top w:val="single" w:sz="4" w:space="0" w:color="auto"/>
              <w:left w:val="nil"/>
              <w:bottom w:val="single" w:sz="4" w:space="0" w:color="auto"/>
              <w:right w:val="single" w:sz="4" w:space="0" w:color="auto"/>
            </w:tcBorders>
            <w:shd w:val="clear" w:color="auto" w:fill="auto"/>
            <w:vAlign w:val="bottom"/>
          </w:tcPr>
          <w:p w14:paraId="160898EA" w14:textId="77777777" w:rsidR="009D4A93" w:rsidRPr="00536CFD" w:rsidRDefault="009D4A93" w:rsidP="009D4A93">
            <w:pPr>
              <w:spacing w:after="0"/>
              <w:jc w:val="center"/>
              <w:rPr>
                <w:lang w:val="zh-CN"/>
              </w:rPr>
            </w:pPr>
            <w:r w:rsidRPr="00536CFD">
              <w:rPr>
                <w:lang w:val="zh-CN"/>
              </w:rPr>
              <w:t>0.366</w:t>
            </w:r>
          </w:p>
        </w:tc>
        <w:tc>
          <w:tcPr>
            <w:tcW w:w="720" w:type="dxa"/>
            <w:tcBorders>
              <w:top w:val="single" w:sz="4" w:space="0" w:color="auto"/>
              <w:left w:val="nil"/>
              <w:bottom w:val="single" w:sz="4" w:space="0" w:color="auto"/>
              <w:right w:val="single" w:sz="4" w:space="0" w:color="auto"/>
            </w:tcBorders>
            <w:shd w:val="clear" w:color="auto" w:fill="auto"/>
            <w:vAlign w:val="bottom"/>
          </w:tcPr>
          <w:p w14:paraId="62DF06BF" w14:textId="77777777" w:rsidR="009D4A93" w:rsidRPr="00536CFD" w:rsidRDefault="009D4A93" w:rsidP="009D4A93">
            <w:pPr>
              <w:spacing w:after="0"/>
              <w:jc w:val="center"/>
              <w:rPr>
                <w:lang w:val="zh-CN"/>
              </w:rPr>
            </w:pPr>
            <w:r w:rsidRPr="00536CFD">
              <w:rPr>
                <w:lang w:val="zh-CN"/>
              </w:rPr>
              <w:t>0.221</w:t>
            </w:r>
          </w:p>
        </w:tc>
        <w:tc>
          <w:tcPr>
            <w:tcW w:w="810" w:type="dxa"/>
            <w:tcBorders>
              <w:top w:val="single" w:sz="4" w:space="0" w:color="auto"/>
              <w:left w:val="nil"/>
              <w:bottom w:val="single" w:sz="4" w:space="0" w:color="auto"/>
              <w:right w:val="single" w:sz="4" w:space="0" w:color="auto"/>
            </w:tcBorders>
            <w:shd w:val="clear" w:color="auto" w:fill="auto"/>
            <w:vAlign w:val="bottom"/>
          </w:tcPr>
          <w:p w14:paraId="2112C101" w14:textId="77777777" w:rsidR="009D4A93" w:rsidRPr="00536CFD" w:rsidRDefault="009D4A93" w:rsidP="009D4A93">
            <w:pPr>
              <w:spacing w:after="0"/>
              <w:jc w:val="center"/>
              <w:rPr>
                <w:lang w:val="zh-CN"/>
              </w:rPr>
            </w:pPr>
            <w:r w:rsidRPr="00536CFD">
              <w:rPr>
                <w:lang w:val="zh-CN"/>
              </w:rPr>
              <w:t>0.123</w:t>
            </w:r>
          </w:p>
        </w:tc>
        <w:tc>
          <w:tcPr>
            <w:tcW w:w="810" w:type="dxa"/>
            <w:tcBorders>
              <w:top w:val="single" w:sz="4" w:space="0" w:color="auto"/>
              <w:left w:val="nil"/>
              <w:bottom w:val="single" w:sz="4" w:space="0" w:color="auto"/>
              <w:right w:val="single" w:sz="4" w:space="0" w:color="auto"/>
            </w:tcBorders>
            <w:shd w:val="clear" w:color="auto" w:fill="auto"/>
            <w:vAlign w:val="bottom"/>
          </w:tcPr>
          <w:p w14:paraId="67830141" w14:textId="77777777" w:rsidR="009D4A93" w:rsidRPr="00536CFD" w:rsidRDefault="009D4A93" w:rsidP="009D4A93">
            <w:pPr>
              <w:spacing w:after="0"/>
              <w:jc w:val="center"/>
              <w:rPr>
                <w:lang w:val="zh-CN"/>
              </w:rPr>
            </w:pPr>
            <w:r w:rsidRPr="00536CFD">
              <w:rPr>
                <w:lang w:val="zh-CN"/>
              </w:rPr>
              <w:t>0.879</w:t>
            </w:r>
          </w:p>
        </w:tc>
        <w:tc>
          <w:tcPr>
            <w:tcW w:w="820" w:type="dxa"/>
            <w:tcBorders>
              <w:top w:val="single" w:sz="4" w:space="0" w:color="auto"/>
              <w:left w:val="nil"/>
              <w:bottom w:val="single" w:sz="4" w:space="0" w:color="auto"/>
              <w:right w:val="single" w:sz="4" w:space="0" w:color="auto"/>
            </w:tcBorders>
            <w:shd w:val="clear" w:color="auto" w:fill="auto"/>
            <w:vAlign w:val="bottom"/>
          </w:tcPr>
          <w:p w14:paraId="27D3F5CE" w14:textId="77777777" w:rsidR="009D4A93" w:rsidRPr="00536CFD" w:rsidRDefault="009D4A93" w:rsidP="009D4A93">
            <w:pPr>
              <w:spacing w:after="0"/>
              <w:jc w:val="center"/>
              <w:rPr>
                <w:lang w:val="zh-CN"/>
              </w:rPr>
            </w:pPr>
            <w:r w:rsidRPr="00536CFD">
              <w:rPr>
                <w:lang w:val="zh-CN"/>
              </w:rPr>
              <w:t>0.528</w:t>
            </w:r>
          </w:p>
        </w:tc>
        <w:tc>
          <w:tcPr>
            <w:tcW w:w="800" w:type="dxa"/>
            <w:tcBorders>
              <w:top w:val="single" w:sz="4" w:space="0" w:color="auto"/>
              <w:left w:val="nil"/>
              <w:bottom w:val="single" w:sz="4" w:space="0" w:color="auto"/>
              <w:right w:val="single" w:sz="4" w:space="0" w:color="auto"/>
            </w:tcBorders>
            <w:shd w:val="clear" w:color="auto" w:fill="auto"/>
            <w:vAlign w:val="bottom"/>
          </w:tcPr>
          <w:p w14:paraId="0989957D" w14:textId="77777777" w:rsidR="009D4A93" w:rsidRPr="00536CFD" w:rsidRDefault="009D4A93" w:rsidP="009D4A93">
            <w:pPr>
              <w:spacing w:after="0"/>
              <w:jc w:val="center"/>
              <w:rPr>
                <w:lang w:val="zh-CN"/>
              </w:rPr>
            </w:pPr>
            <w:r w:rsidRPr="00536CFD">
              <w:rPr>
                <w:lang w:val="zh-CN"/>
              </w:rPr>
              <w:t>0.343</w:t>
            </w:r>
          </w:p>
        </w:tc>
        <w:tc>
          <w:tcPr>
            <w:tcW w:w="720" w:type="dxa"/>
            <w:tcBorders>
              <w:top w:val="single" w:sz="4" w:space="0" w:color="auto"/>
              <w:left w:val="nil"/>
              <w:bottom w:val="single" w:sz="4" w:space="0" w:color="auto"/>
              <w:right w:val="single" w:sz="4" w:space="0" w:color="auto"/>
            </w:tcBorders>
            <w:shd w:val="clear" w:color="auto" w:fill="auto"/>
            <w:vAlign w:val="bottom"/>
          </w:tcPr>
          <w:p w14:paraId="7E3891FB" w14:textId="77777777" w:rsidR="009D4A93" w:rsidRPr="00536CFD" w:rsidRDefault="009D4A93" w:rsidP="009D4A93">
            <w:pPr>
              <w:spacing w:after="0"/>
              <w:jc w:val="center"/>
              <w:rPr>
                <w:lang w:val="zh-CN"/>
              </w:rPr>
            </w:pPr>
            <w:r w:rsidRPr="00536CFD">
              <w:rPr>
                <w:lang w:val="zh-CN"/>
              </w:rPr>
              <w:t>0.156</w:t>
            </w:r>
          </w:p>
        </w:tc>
        <w:tc>
          <w:tcPr>
            <w:tcW w:w="724" w:type="dxa"/>
            <w:tcBorders>
              <w:top w:val="single" w:sz="4" w:space="0" w:color="auto"/>
              <w:left w:val="nil"/>
              <w:bottom w:val="single" w:sz="4" w:space="0" w:color="auto"/>
              <w:right w:val="single" w:sz="4" w:space="0" w:color="auto"/>
            </w:tcBorders>
            <w:shd w:val="clear" w:color="auto" w:fill="auto"/>
            <w:vAlign w:val="bottom"/>
          </w:tcPr>
          <w:p w14:paraId="5B454584" w14:textId="77777777" w:rsidR="009D4A93" w:rsidRPr="00536CFD" w:rsidRDefault="009D4A93" w:rsidP="009D4A93">
            <w:pPr>
              <w:spacing w:after="0"/>
              <w:jc w:val="center"/>
              <w:rPr>
                <w:lang w:val="zh-CN"/>
              </w:rPr>
            </w:pPr>
            <w:r w:rsidRPr="00536CFD">
              <w:rPr>
                <w:lang w:val="zh-CN"/>
              </w:rPr>
              <w:t>4.109</w:t>
            </w:r>
          </w:p>
        </w:tc>
        <w:tc>
          <w:tcPr>
            <w:tcW w:w="896" w:type="dxa"/>
            <w:tcBorders>
              <w:top w:val="single" w:sz="4" w:space="0" w:color="auto"/>
              <w:left w:val="nil"/>
              <w:bottom w:val="single" w:sz="4" w:space="0" w:color="auto"/>
              <w:right w:val="single" w:sz="4" w:space="0" w:color="auto"/>
            </w:tcBorders>
            <w:shd w:val="clear" w:color="auto" w:fill="auto"/>
            <w:vAlign w:val="bottom"/>
          </w:tcPr>
          <w:p w14:paraId="0B88B232" w14:textId="77777777" w:rsidR="009D4A93" w:rsidRPr="00536CFD" w:rsidRDefault="009D4A93" w:rsidP="009D4A93">
            <w:pPr>
              <w:spacing w:after="0"/>
              <w:jc w:val="center"/>
              <w:rPr>
                <w:lang w:val="zh-CN"/>
              </w:rPr>
            </w:pPr>
            <w:r w:rsidRPr="00536CFD">
              <w:rPr>
                <w:lang w:val="zh-CN"/>
              </w:rPr>
              <w:t>0.95</w:t>
            </w:r>
          </w:p>
        </w:tc>
        <w:tc>
          <w:tcPr>
            <w:tcW w:w="720" w:type="dxa"/>
            <w:tcBorders>
              <w:top w:val="single" w:sz="4" w:space="0" w:color="auto"/>
              <w:left w:val="nil"/>
              <w:bottom w:val="single" w:sz="4" w:space="0" w:color="auto"/>
              <w:right w:val="single" w:sz="4" w:space="0" w:color="auto"/>
            </w:tcBorders>
            <w:shd w:val="clear" w:color="auto" w:fill="auto"/>
            <w:vAlign w:val="bottom"/>
          </w:tcPr>
          <w:p w14:paraId="1628E875" w14:textId="77777777" w:rsidR="009D4A93" w:rsidRPr="00536CFD" w:rsidRDefault="009D4A93" w:rsidP="009D4A93">
            <w:pPr>
              <w:spacing w:after="0"/>
              <w:jc w:val="center"/>
              <w:rPr>
                <w:lang w:val="zh-CN"/>
              </w:rPr>
            </w:pPr>
            <w:r w:rsidRPr="00536CFD">
              <w:rPr>
                <w:lang w:val="zh-CN"/>
              </w:rPr>
              <w:t>0.599</w:t>
            </w:r>
          </w:p>
        </w:tc>
        <w:tc>
          <w:tcPr>
            <w:tcW w:w="720" w:type="dxa"/>
            <w:tcBorders>
              <w:top w:val="single" w:sz="4" w:space="0" w:color="auto"/>
              <w:left w:val="nil"/>
              <w:bottom w:val="single" w:sz="4" w:space="0" w:color="auto"/>
              <w:right w:val="single" w:sz="4" w:space="0" w:color="auto"/>
            </w:tcBorders>
            <w:shd w:val="clear" w:color="auto" w:fill="auto"/>
            <w:vAlign w:val="bottom"/>
          </w:tcPr>
          <w:p w14:paraId="3A6A7E23" w14:textId="77777777" w:rsidR="009D4A93" w:rsidRPr="00536CFD" w:rsidRDefault="009D4A93" w:rsidP="009D4A93">
            <w:pPr>
              <w:spacing w:after="0"/>
              <w:jc w:val="center"/>
              <w:rPr>
                <w:lang w:val="zh-CN"/>
              </w:rPr>
            </w:pPr>
            <w:r w:rsidRPr="00536CFD">
              <w:rPr>
                <w:lang w:val="zh-CN"/>
              </w:rPr>
              <w:t>0.205</w:t>
            </w:r>
          </w:p>
        </w:tc>
      </w:tr>
      <w:tr w:rsidR="009D4A93" w:rsidRPr="00536CFD" w14:paraId="65A2915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CB7387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BFE77B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C426CD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vAlign w:val="bottom"/>
          </w:tcPr>
          <w:p w14:paraId="0B5615AD" w14:textId="77777777" w:rsidR="009D4A93" w:rsidRPr="00536CFD" w:rsidRDefault="009D4A93" w:rsidP="009D4A93">
            <w:pPr>
              <w:spacing w:after="0"/>
              <w:jc w:val="center"/>
              <w:rPr>
                <w:lang w:val="zh-CN"/>
              </w:rPr>
            </w:pPr>
            <w:r w:rsidRPr="00536CFD">
              <w:rPr>
                <w:lang w:val="zh-CN"/>
              </w:rPr>
              <w:t>0.156</w:t>
            </w:r>
          </w:p>
        </w:tc>
        <w:tc>
          <w:tcPr>
            <w:tcW w:w="720" w:type="dxa"/>
            <w:tcBorders>
              <w:top w:val="single" w:sz="4" w:space="0" w:color="auto"/>
              <w:left w:val="nil"/>
              <w:bottom w:val="single" w:sz="4" w:space="0" w:color="auto"/>
              <w:right w:val="single" w:sz="4" w:space="0" w:color="auto"/>
            </w:tcBorders>
            <w:shd w:val="clear" w:color="auto" w:fill="auto"/>
            <w:vAlign w:val="bottom"/>
          </w:tcPr>
          <w:p w14:paraId="008A4FB7" w14:textId="77777777" w:rsidR="009D4A93" w:rsidRPr="00536CFD" w:rsidRDefault="009D4A93" w:rsidP="009D4A93">
            <w:pPr>
              <w:spacing w:after="0"/>
              <w:jc w:val="center"/>
              <w:rPr>
                <w:lang w:val="zh-CN"/>
              </w:rPr>
            </w:pPr>
            <w:r w:rsidRPr="00536CFD">
              <w:rPr>
                <w:lang w:val="zh-CN"/>
              </w:rPr>
              <w:t>0.118</w:t>
            </w:r>
          </w:p>
        </w:tc>
        <w:tc>
          <w:tcPr>
            <w:tcW w:w="720" w:type="dxa"/>
            <w:tcBorders>
              <w:top w:val="single" w:sz="4" w:space="0" w:color="auto"/>
              <w:left w:val="nil"/>
              <w:bottom w:val="single" w:sz="4" w:space="0" w:color="auto"/>
              <w:right w:val="single" w:sz="4" w:space="0" w:color="auto"/>
            </w:tcBorders>
            <w:shd w:val="clear" w:color="auto" w:fill="auto"/>
            <w:vAlign w:val="bottom"/>
          </w:tcPr>
          <w:p w14:paraId="5520C5FE" w14:textId="77777777" w:rsidR="009D4A93" w:rsidRPr="00536CFD" w:rsidRDefault="009D4A93" w:rsidP="009D4A93">
            <w:pPr>
              <w:spacing w:after="0"/>
              <w:jc w:val="center"/>
              <w:rPr>
                <w:lang w:val="zh-CN"/>
              </w:rPr>
            </w:pPr>
            <w:r w:rsidRPr="00536CFD">
              <w:rPr>
                <w:lang w:val="zh-CN"/>
              </w:rPr>
              <w:t>0.07</w:t>
            </w:r>
          </w:p>
        </w:tc>
        <w:tc>
          <w:tcPr>
            <w:tcW w:w="810" w:type="dxa"/>
            <w:tcBorders>
              <w:top w:val="single" w:sz="4" w:space="0" w:color="auto"/>
              <w:left w:val="nil"/>
              <w:bottom w:val="single" w:sz="4" w:space="0" w:color="auto"/>
              <w:right w:val="single" w:sz="4" w:space="0" w:color="auto"/>
            </w:tcBorders>
            <w:shd w:val="clear" w:color="auto" w:fill="auto"/>
            <w:vAlign w:val="bottom"/>
          </w:tcPr>
          <w:p w14:paraId="6558890C" w14:textId="77777777" w:rsidR="009D4A93" w:rsidRPr="00536CFD" w:rsidRDefault="009D4A93" w:rsidP="009D4A93">
            <w:pPr>
              <w:spacing w:after="0"/>
              <w:jc w:val="center"/>
              <w:rPr>
                <w:lang w:val="zh-CN"/>
              </w:rPr>
            </w:pPr>
            <w:r w:rsidRPr="00536CFD">
              <w:rPr>
                <w:lang w:val="zh-CN"/>
              </w:rPr>
              <w:t>0.047</w:t>
            </w:r>
          </w:p>
        </w:tc>
        <w:tc>
          <w:tcPr>
            <w:tcW w:w="810" w:type="dxa"/>
            <w:tcBorders>
              <w:top w:val="single" w:sz="4" w:space="0" w:color="auto"/>
              <w:left w:val="nil"/>
              <w:bottom w:val="single" w:sz="4" w:space="0" w:color="auto"/>
              <w:right w:val="single" w:sz="4" w:space="0" w:color="auto"/>
            </w:tcBorders>
            <w:shd w:val="clear" w:color="auto" w:fill="auto"/>
            <w:vAlign w:val="bottom"/>
          </w:tcPr>
          <w:p w14:paraId="108E8C9F" w14:textId="77777777" w:rsidR="009D4A93" w:rsidRPr="00536CFD" w:rsidRDefault="009D4A93" w:rsidP="009D4A93">
            <w:pPr>
              <w:spacing w:after="0"/>
              <w:jc w:val="center"/>
              <w:rPr>
                <w:lang w:val="zh-CN"/>
              </w:rPr>
            </w:pPr>
            <w:r w:rsidRPr="00536CFD">
              <w:rPr>
                <w:lang w:val="zh-CN"/>
              </w:rPr>
              <w:t>0.321</w:t>
            </w:r>
          </w:p>
        </w:tc>
        <w:tc>
          <w:tcPr>
            <w:tcW w:w="820" w:type="dxa"/>
            <w:tcBorders>
              <w:top w:val="single" w:sz="4" w:space="0" w:color="auto"/>
              <w:left w:val="nil"/>
              <w:bottom w:val="single" w:sz="4" w:space="0" w:color="auto"/>
              <w:right w:val="single" w:sz="4" w:space="0" w:color="auto"/>
            </w:tcBorders>
            <w:shd w:val="clear" w:color="auto" w:fill="auto"/>
            <w:vAlign w:val="bottom"/>
          </w:tcPr>
          <w:p w14:paraId="47B55B85" w14:textId="77777777" w:rsidR="009D4A93" w:rsidRPr="00536CFD" w:rsidRDefault="009D4A93" w:rsidP="009D4A93">
            <w:pPr>
              <w:spacing w:after="0"/>
              <w:jc w:val="center"/>
              <w:rPr>
                <w:lang w:val="zh-CN"/>
              </w:rPr>
            </w:pPr>
            <w:r w:rsidRPr="00536CFD">
              <w:rPr>
                <w:lang w:val="zh-CN"/>
              </w:rPr>
              <w:t>0.162</w:t>
            </w:r>
          </w:p>
        </w:tc>
        <w:tc>
          <w:tcPr>
            <w:tcW w:w="800" w:type="dxa"/>
            <w:tcBorders>
              <w:top w:val="single" w:sz="4" w:space="0" w:color="auto"/>
              <w:left w:val="nil"/>
              <w:bottom w:val="single" w:sz="4" w:space="0" w:color="auto"/>
              <w:right w:val="single" w:sz="4" w:space="0" w:color="auto"/>
            </w:tcBorders>
            <w:shd w:val="clear" w:color="auto" w:fill="auto"/>
            <w:vAlign w:val="bottom"/>
          </w:tcPr>
          <w:p w14:paraId="1384DA28" w14:textId="77777777" w:rsidR="009D4A93" w:rsidRPr="00536CFD" w:rsidRDefault="009D4A93" w:rsidP="009D4A93">
            <w:pPr>
              <w:spacing w:after="0"/>
              <w:jc w:val="center"/>
              <w:rPr>
                <w:lang w:val="zh-CN"/>
              </w:rPr>
            </w:pPr>
            <w:r w:rsidRPr="00536CFD">
              <w:rPr>
                <w:lang w:val="zh-CN"/>
              </w:rPr>
              <w:t>0.102</w:t>
            </w:r>
          </w:p>
        </w:tc>
        <w:tc>
          <w:tcPr>
            <w:tcW w:w="720" w:type="dxa"/>
            <w:tcBorders>
              <w:top w:val="single" w:sz="4" w:space="0" w:color="auto"/>
              <w:left w:val="nil"/>
              <w:bottom w:val="single" w:sz="4" w:space="0" w:color="auto"/>
              <w:right w:val="single" w:sz="4" w:space="0" w:color="auto"/>
            </w:tcBorders>
            <w:shd w:val="clear" w:color="auto" w:fill="auto"/>
            <w:vAlign w:val="bottom"/>
          </w:tcPr>
          <w:p w14:paraId="6AB1E607" w14:textId="77777777" w:rsidR="009D4A93" w:rsidRPr="00536CFD" w:rsidRDefault="009D4A93" w:rsidP="009D4A93">
            <w:pPr>
              <w:spacing w:after="0"/>
              <w:jc w:val="center"/>
              <w:rPr>
                <w:lang w:val="zh-CN"/>
              </w:rPr>
            </w:pPr>
            <w:r w:rsidRPr="00536CFD">
              <w:rPr>
                <w:lang w:val="zh-CN"/>
              </w:rPr>
              <w:t>0.055</w:t>
            </w:r>
          </w:p>
        </w:tc>
        <w:tc>
          <w:tcPr>
            <w:tcW w:w="724" w:type="dxa"/>
            <w:tcBorders>
              <w:top w:val="single" w:sz="4" w:space="0" w:color="auto"/>
              <w:left w:val="nil"/>
              <w:bottom w:val="single" w:sz="4" w:space="0" w:color="auto"/>
              <w:right w:val="single" w:sz="4" w:space="0" w:color="auto"/>
            </w:tcBorders>
            <w:shd w:val="clear" w:color="auto" w:fill="auto"/>
            <w:vAlign w:val="bottom"/>
          </w:tcPr>
          <w:p w14:paraId="45D28EE8" w14:textId="77777777" w:rsidR="009D4A93" w:rsidRPr="00536CFD" w:rsidRDefault="009D4A93" w:rsidP="009D4A93">
            <w:pPr>
              <w:spacing w:after="0"/>
              <w:jc w:val="center"/>
              <w:rPr>
                <w:lang w:val="zh-CN"/>
              </w:rPr>
            </w:pPr>
            <w:r w:rsidRPr="00536CFD">
              <w:rPr>
                <w:lang w:val="zh-CN"/>
              </w:rPr>
              <w:t>4.145</w:t>
            </w:r>
          </w:p>
        </w:tc>
        <w:tc>
          <w:tcPr>
            <w:tcW w:w="896" w:type="dxa"/>
            <w:tcBorders>
              <w:top w:val="single" w:sz="4" w:space="0" w:color="auto"/>
              <w:left w:val="nil"/>
              <w:bottom w:val="single" w:sz="4" w:space="0" w:color="auto"/>
              <w:right w:val="single" w:sz="4" w:space="0" w:color="auto"/>
            </w:tcBorders>
            <w:shd w:val="clear" w:color="auto" w:fill="auto"/>
            <w:vAlign w:val="bottom"/>
          </w:tcPr>
          <w:p w14:paraId="39C1377E" w14:textId="77777777" w:rsidR="009D4A93" w:rsidRPr="00536CFD" w:rsidRDefault="009D4A93" w:rsidP="009D4A93">
            <w:pPr>
              <w:spacing w:after="0"/>
              <w:jc w:val="center"/>
              <w:rPr>
                <w:lang w:val="zh-CN"/>
              </w:rPr>
            </w:pPr>
            <w:r w:rsidRPr="00536CFD">
              <w:rPr>
                <w:lang w:val="zh-CN"/>
              </w:rPr>
              <w:t>0.889</w:t>
            </w:r>
          </w:p>
        </w:tc>
        <w:tc>
          <w:tcPr>
            <w:tcW w:w="720" w:type="dxa"/>
            <w:tcBorders>
              <w:top w:val="single" w:sz="4" w:space="0" w:color="auto"/>
              <w:left w:val="nil"/>
              <w:bottom w:val="single" w:sz="4" w:space="0" w:color="auto"/>
              <w:right w:val="single" w:sz="4" w:space="0" w:color="auto"/>
            </w:tcBorders>
            <w:shd w:val="clear" w:color="auto" w:fill="auto"/>
            <w:vAlign w:val="bottom"/>
          </w:tcPr>
          <w:p w14:paraId="447AB51D" w14:textId="77777777" w:rsidR="009D4A93" w:rsidRPr="00536CFD" w:rsidRDefault="009D4A93" w:rsidP="009D4A93">
            <w:pPr>
              <w:spacing w:after="0"/>
              <w:jc w:val="center"/>
              <w:rPr>
                <w:lang w:val="zh-CN"/>
              </w:rPr>
            </w:pPr>
            <w:r w:rsidRPr="00536CFD">
              <w:rPr>
                <w:lang w:val="zh-CN"/>
              </w:rPr>
              <w:t>0.164</w:t>
            </w:r>
          </w:p>
        </w:tc>
        <w:tc>
          <w:tcPr>
            <w:tcW w:w="720" w:type="dxa"/>
            <w:tcBorders>
              <w:top w:val="single" w:sz="4" w:space="0" w:color="auto"/>
              <w:left w:val="nil"/>
              <w:bottom w:val="single" w:sz="4" w:space="0" w:color="auto"/>
              <w:right w:val="single" w:sz="4" w:space="0" w:color="auto"/>
            </w:tcBorders>
            <w:shd w:val="clear" w:color="auto" w:fill="auto"/>
            <w:vAlign w:val="bottom"/>
          </w:tcPr>
          <w:p w14:paraId="3282F94B" w14:textId="77777777" w:rsidR="009D4A93" w:rsidRPr="00536CFD" w:rsidRDefault="009D4A93" w:rsidP="009D4A93">
            <w:pPr>
              <w:spacing w:after="0"/>
              <w:jc w:val="center"/>
              <w:rPr>
                <w:lang w:val="zh-CN"/>
              </w:rPr>
            </w:pPr>
            <w:r w:rsidRPr="00536CFD">
              <w:rPr>
                <w:lang w:val="zh-CN"/>
              </w:rPr>
              <w:t>0.068</w:t>
            </w:r>
          </w:p>
        </w:tc>
      </w:tr>
      <w:tr w:rsidR="009D4A93" w:rsidRPr="00536CFD" w14:paraId="1E39978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8AE309D"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D8BBC7F"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vAlign w:val="bottom"/>
          </w:tcPr>
          <w:p w14:paraId="34CB1639"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6E206A7C"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6CA218D2" w14:textId="77777777" w:rsidR="009D4A93" w:rsidRPr="00536CFD" w:rsidRDefault="009D4A93" w:rsidP="009D4A93">
            <w:pPr>
              <w:spacing w:after="0"/>
              <w:jc w:val="center"/>
              <w:rPr>
                <w:lang w:val="zh-CN"/>
              </w:rPr>
            </w:pPr>
            <w:r w:rsidRPr="00536CFD">
              <w:rPr>
                <w:lang w:val="zh-CN"/>
              </w:rPr>
              <w:t>0.99</w:t>
            </w:r>
          </w:p>
        </w:tc>
        <w:tc>
          <w:tcPr>
            <w:tcW w:w="810" w:type="dxa"/>
            <w:tcBorders>
              <w:top w:val="single" w:sz="4" w:space="0" w:color="auto"/>
              <w:left w:val="nil"/>
              <w:bottom w:val="single" w:sz="4" w:space="0" w:color="auto"/>
              <w:right w:val="single" w:sz="4" w:space="0" w:color="auto"/>
            </w:tcBorders>
            <w:shd w:val="clear" w:color="auto" w:fill="auto"/>
            <w:vAlign w:val="bottom"/>
          </w:tcPr>
          <w:p w14:paraId="219F2135"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70C9BDE6" w14:textId="77777777" w:rsidR="009D4A93" w:rsidRPr="00536CFD" w:rsidRDefault="009D4A93" w:rsidP="009D4A93">
            <w:pPr>
              <w:spacing w:after="0"/>
              <w:jc w:val="center"/>
              <w:rPr>
                <w:lang w:val="zh-CN"/>
              </w:rPr>
            </w:pPr>
            <w:r w:rsidRPr="00536CFD">
              <w:rPr>
                <w:lang w:val="zh-CN"/>
              </w:rPr>
              <w:t>1.00</w:t>
            </w:r>
          </w:p>
        </w:tc>
        <w:tc>
          <w:tcPr>
            <w:tcW w:w="820" w:type="dxa"/>
            <w:tcBorders>
              <w:top w:val="single" w:sz="4" w:space="0" w:color="auto"/>
              <w:left w:val="nil"/>
              <w:bottom w:val="single" w:sz="4" w:space="0" w:color="auto"/>
              <w:right w:val="single" w:sz="4" w:space="0" w:color="auto"/>
            </w:tcBorders>
            <w:shd w:val="clear" w:color="auto" w:fill="auto"/>
            <w:vAlign w:val="bottom"/>
          </w:tcPr>
          <w:p w14:paraId="068723FC" w14:textId="77777777" w:rsidR="009D4A93" w:rsidRPr="00536CFD" w:rsidRDefault="009D4A93" w:rsidP="009D4A93">
            <w:pPr>
              <w:spacing w:after="0"/>
              <w:jc w:val="center"/>
              <w:rPr>
                <w:lang w:val="zh-CN"/>
              </w:rPr>
            </w:pPr>
            <w:r w:rsidRPr="00536CFD">
              <w:rPr>
                <w:lang w:val="zh-CN"/>
              </w:rPr>
              <w:t>1.01</w:t>
            </w:r>
          </w:p>
        </w:tc>
        <w:tc>
          <w:tcPr>
            <w:tcW w:w="800" w:type="dxa"/>
            <w:tcBorders>
              <w:top w:val="single" w:sz="4" w:space="0" w:color="auto"/>
              <w:left w:val="nil"/>
              <w:bottom w:val="single" w:sz="4" w:space="0" w:color="auto"/>
              <w:right w:val="single" w:sz="4" w:space="0" w:color="auto"/>
            </w:tcBorders>
            <w:shd w:val="clear" w:color="auto" w:fill="auto"/>
            <w:vAlign w:val="bottom"/>
          </w:tcPr>
          <w:p w14:paraId="097C1EBE"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79B4083B"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0AACBBE5" w14:textId="77777777" w:rsidR="009D4A93" w:rsidRPr="00536CFD" w:rsidRDefault="009D4A93" w:rsidP="009D4A93">
            <w:pPr>
              <w:spacing w:after="0"/>
              <w:jc w:val="center"/>
              <w:rPr>
                <w:lang w:val="zh-CN"/>
              </w:rPr>
            </w:pPr>
            <w:r w:rsidRPr="00536CFD">
              <w:rPr>
                <w:lang w:val="zh-CN"/>
              </w:rPr>
              <w:t>1.00</w:t>
            </w:r>
          </w:p>
        </w:tc>
        <w:tc>
          <w:tcPr>
            <w:tcW w:w="896" w:type="dxa"/>
            <w:tcBorders>
              <w:top w:val="single" w:sz="4" w:space="0" w:color="auto"/>
              <w:left w:val="nil"/>
              <w:bottom w:val="single" w:sz="4" w:space="0" w:color="auto"/>
              <w:right w:val="single" w:sz="4" w:space="0" w:color="auto"/>
            </w:tcBorders>
            <w:shd w:val="clear" w:color="auto" w:fill="auto"/>
            <w:vAlign w:val="bottom"/>
          </w:tcPr>
          <w:p w14:paraId="1FB0E86E"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60D18C31"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61FC1189" w14:textId="77777777" w:rsidR="009D4A93" w:rsidRPr="00536CFD" w:rsidRDefault="009D4A93" w:rsidP="009D4A93">
            <w:pPr>
              <w:spacing w:after="0"/>
              <w:jc w:val="center"/>
              <w:rPr>
                <w:lang w:val="zh-CN"/>
              </w:rPr>
            </w:pPr>
            <w:r w:rsidRPr="00536CFD">
              <w:rPr>
                <w:lang w:val="zh-CN"/>
              </w:rPr>
              <w:t>1.00</w:t>
            </w:r>
          </w:p>
        </w:tc>
      </w:tr>
      <w:tr w:rsidR="009D4A93" w:rsidRPr="00536CFD" w14:paraId="4275338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276D8F5"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46DEA59"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vAlign w:val="bottom"/>
          </w:tcPr>
          <w:p w14:paraId="47C42CC7"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4BF69CF8" w14:textId="77777777" w:rsidR="009D4A93" w:rsidRPr="00536CFD" w:rsidRDefault="009D4A93" w:rsidP="009D4A93">
            <w:pPr>
              <w:spacing w:after="0"/>
              <w:jc w:val="center"/>
              <w:rPr>
                <w:lang w:val="zh-CN"/>
              </w:rPr>
            </w:pPr>
            <w:r w:rsidRPr="00536CFD">
              <w:rPr>
                <w:lang w:val="zh-CN"/>
              </w:rPr>
              <w:t>1.01</w:t>
            </w:r>
          </w:p>
        </w:tc>
        <w:tc>
          <w:tcPr>
            <w:tcW w:w="720" w:type="dxa"/>
            <w:tcBorders>
              <w:top w:val="single" w:sz="4" w:space="0" w:color="auto"/>
              <w:left w:val="nil"/>
              <w:bottom w:val="single" w:sz="4" w:space="0" w:color="auto"/>
              <w:right w:val="single" w:sz="4" w:space="0" w:color="auto"/>
            </w:tcBorders>
            <w:shd w:val="clear" w:color="auto" w:fill="auto"/>
            <w:vAlign w:val="bottom"/>
          </w:tcPr>
          <w:p w14:paraId="4EF0A54B"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010207DD" w14:textId="77777777" w:rsidR="009D4A93" w:rsidRPr="00536CFD" w:rsidRDefault="009D4A93" w:rsidP="009D4A93">
            <w:pPr>
              <w:spacing w:after="0"/>
              <w:jc w:val="center"/>
              <w:rPr>
                <w:lang w:val="zh-CN"/>
              </w:rPr>
            </w:pPr>
            <w:r w:rsidRPr="00536CFD">
              <w:rPr>
                <w:lang w:val="zh-CN"/>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14:paraId="45F4660D" w14:textId="77777777" w:rsidR="009D4A93" w:rsidRPr="00536CFD" w:rsidRDefault="009D4A93" w:rsidP="009D4A93">
            <w:pPr>
              <w:spacing w:after="0"/>
              <w:jc w:val="center"/>
              <w:rPr>
                <w:lang w:val="zh-CN"/>
              </w:rPr>
            </w:pPr>
            <w:r w:rsidRPr="00536CFD">
              <w:rPr>
                <w:lang w:val="zh-CN"/>
              </w:rPr>
              <w:t>1.00</w:t>
            </w:r>
          </w:p>
        </w:tc>
        <w:tc>
          <w:tcPr>
            <w:tcW w:w="820" w:type="dxa"/>
            <w:tcBorders>
              <w:top w:val="single" w:sz="4" w:space="0" w:color="auto"/>
              <w:left w:val="nil"/>
              <w:bottom w:val="single" w:sz="4" w:space="0" w:color="auto"/>
              <w:right w:val="single" w:sz="4" w:space="0" w:color="auto"/>
            </w:tcBorders>
            <w:shd w:val="clear" w:color="auto" w:fill="auto"/>
            <w:vAlign w:val="bottom"/>
          </w:tcPr>
          <w:p w14:paraId="4BFBE67A" w14:textId="77777777" w:rsidR="009D4A93" w:rsidRPr="00536CFD" w:rsidRDefault="009D4A93" w:rsidP="009D4A93">
            <w:pPr>
              <w:spacing w:after="0"/>
              <w:jc w:val="center"/>
              <w:rPr>
                <w:lang w:val="zh-CN"/>
              </w:rPr>
            </w:pPr>
            <w:r w:rsidRPr="00536CFD">
              <w:rPr>
                <w:lang w:val="zh-CN"/>
              </w:rPr>
              <w:t>1.00</w:t>
            </w:r>
          </w:p>
        </w:tc>
        <w:tc>
          <w:tcPr>
            <w:tcW w:w="800" w:type="dxa"/>
            <w:tcBorders>
              <w:top w:val="single" w:sz="4" w:space="0" w:color="auto"/>
              <w:left w:val="nil"/>
              <w:bottom w:val="single" w:sz="4" w:space="0" w:color="auto"/>
              <w:right w:val="single" w:sz="4" w:space="0" w:color="auto"/>
            </w:tcBorders>
            <w:shd w:val="clear" w:color="auto" w:fill="auto"/>
            <w:vAlign w:val="bottom"/>
          </w:tcPr>
          <w:p w14:paraId="19C5AEE3"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4FD308C4" w14:textId="77777777" w:rsidR="009D4A93" w:rsidRPr="00536CFD" w:rsidRDefault="009D4A93" w:rsidP="009D4A93">
            <w:pPr>
              <w:spacing w:after="0"/>
              <w:jc w:val="center"/>
              <w:rPr>
                <w:lang w:val="zh-CN"/>
              </w:rPr>
            </w:pPr>
            <w:r w:rsidRPr="00536CFD">
              <w:rPr>
                <w:lang w:val="zh-CN"/>
              </w:rPr>
              <w:t>1.00</w:t>
            </w:r>
          </w:p>
        </w:tc>
        <w:tc>
          <w:tcPr>
            <w:tcW w:w="724" w:type="dxa"/>
            <w:tcBorders>
              <w:top w:val="single" w:sz="4" w:space="0" w:color="auto"/>
              <w:left w:val="nil"/>
              <w:bottom w:val="single" w:sz="4" w:space="0" w:color="auto"/>
              <w:right w:val="single" w:sz="4" w:space="0" w:color="auto"/>
            </w:tcBorders>
            <w:shd w:val="clear" w:color="auto" w:fill="auto"/>
            <w:vAlign w:val="bottom"/>
          </w:tcPr>
          <w:p w14:paraId="6E0419EC" w14:textId="77777777" w:rsidR="009D4A93" w:rsidRPr="00536CFD" w:rsidRDefault="009D4A93" w:rsidP="009D4A93">
            <w:pPr>
              <w:spacing w:after="0"/>
              <w:jc w:val="center"/>
              <w:rPr>
                <w:lang w:val="zh-CN"/>
              </w:rPr>
            </w:pPr>
            <w:r w:rsidRPr="00536CFD">
              <w:rPr>
                <w:lang w:val="zh-CN"/>
              </w:rPr>
              <w:t>0.98</w:t>
            </w:r>
          </w:p>
        </w:tc>
        <w:tc>
          <w:tcPr>
            <w:tcW w:w="896" w:type="dxa"/>
            <w:tcBorders>
              <w:top w:val="single" w:sz="4" w:space="0" w:color="auto"/>
              <w:left w:val="nil"/>
              <w:bottom w:val="single" w:sz="4" w:space="0" w:color="auto"/>
              <w:right w:val="single" w:sz="4" w:space="0" w:color="auto"/>
            </w:tcBorders>
            <w:shd w:val="clear" w:color="auto" w:fill="auto"/>
            <w:vAlign w:val="bottom"/>
          </w:tcPr>
          <w:p w14:paraId="2E6360F5"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358B51F9" w14:textId="77777777" w:rsidR="009D4A93" w:rsidRPr="00536CFD" w:rsidRDefault="009D4A93" w:rsidP="009D4A93">
            <w:pPr>
              <w:spacing w:after="0"/>
              <w:jc w:val="center"/>
              <w:rPr>
                <w:lang w:val="zh-CN"/>
              </w:rPr>
            </w:pPr>
            <w:r w:rsidRPr="00536CFD">
              <w:rPr>
                <w:lang w:val="zh-CN"/>
              </w:rPr>
              <w:t>1.00</w:t>
            </w:r>
          </w:p>
        </w:tc>
        <w:tc>
          <w:tcPr>
            <w:tcW w:w="720" w:type="dxa"/>
            <w:tcBorders>
              <w:top w:val="single" w:sz="4" w:space="0" w:color="auto"/>
              <w:left w:val="nil"/>
              <w:bottom w:val="single" w:sz="4" w:space="0" w:color="auto"/>
              <w:right w:val="single" w:sz="4" w:space="0" w:color="auto"/>
            </w:tcBorders>
            <w:shd w:val="clear" w:color="auto" w:fill="auto"/>
            <w:vAlign w:val="bottom"/>
          </w:tcPr>
          <w:p w14:paraId="3CD4956C" w14:textId="77777777" w:rsidR="009D4A93" w:rsidRPr="00536CFD" w:rsidRDefault="009D4A93" w:rsidP="009D4A93">
            <w:pPr>
              <w:spacing w:after="0"/>
              <w:jc w:val="center"/>
              <w:rPr>
                <w:lang w:val="zh-CN"/>
              </w:rPr>
            </w:pPr>
            <w:r w:rsidRPr="00536CFD">
              <w:rPr>
                <w:lang w:val="zh-CN"/>
              </w:rPr>
              <w:t>1.00</w:t>
            </w:r>
          </w:p>
        </w:tc>
      </w:tr>
      <w:tr w:rsidR="009D4A93" w:rsidRPr="00536CFD" w14:paraId="12ABE92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5461C48"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DB7BB0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vAlign w:val="bottom"/>
          </w:tcPr>
          <w:p w14:paraId="5C8E5F85" w14:textId="77777777" w:rsidR="009D4A93" w:rsidRPr="00536CFD" w:rsidRDefault="009D4A93" w:rsidP="009D4A93">
            <w:pPr>
              <w:spacing w:after="0"/>
              <w:jc w:val="center"/>
              <w:rPr>
                <w:lang w:val="zh-CN"/>
              </w:rPr>
            </w:pPr>
            <w:r w:rsidRPr="00536CFD">
              <w:rPr>
                <w:lang w:val="zh-CN"/>
              </w:rPr>
              <w:t>0.19</w:t>
            </w:r>
          </w:p>
        </w:tc>
        <w:tc>
          <w:tcPr>
            <w:tcW w:w="720" w:type="dxa"/>
            <w:tcBorders>
              <w:top w:val="single" w:sz="4" w:space="0" w:color="auto"/>
              <w:left w:val="nil"/>
              <w:bottom w:val="single" w:sz="4" w:space="0" w:color="auto"/>
              <w:right w:val="single" w:sz="4" w:space="0" w:color="auto"/>
            </w:tcBorders>
            <w:shd w:val="clear" w:color="auto" w:fill="auto"/>
            <w:vAlign w:val="bottom"/>
          </w:tcPr>
          <w:p w14:paraId="5CF34DB4" w14:textId="77777777" w:rsidR="009D4A93" w:rsidRPr="00536CFD" w:rsidRDefault="009D4A93" w:rsidP="009D4A93">
            <w:pPr>
              <w:spacing w:after="0"/>
              <w:jc w:val="center"/>
              <w:rPr>
                <w:lang w:val="zh-CN"/>
              </w:rPr>
            </w:pPr>
            <w:r w:rsidRPr="00536CFD">
              <w:rPr>
                <w:lang w:val="zh-CN"/>
              </w:rPr>
              <w:t>0.16</w:t>
            </w:r>
          </w:p>
        </w:tc>
        <w:tc>
          <w:tcPr>
            <w:tcW w:w="720" w:type="dxa"/>
            <w:tcBorders>
              <w:top w:val="single" w:sz="4" w:space="0" w:color="auto"/>
              <w:left w:val="nil"/>
              <w:bottom w:val="single" w:sz="4" w:space="0" w:color="auto"/>
              <w:right w:val="single" w:sz="4" w:space="0" w:color="auto"/>
            </w:tcBorders>
            <w:shd w:val="clear" w:color="auto" w:fill="auto"/>
            <w:vAlign w:val="bottom"/>
          </w:tcPr>
          <w:p w14:paraId="7CF8CACD" w14:textId="77777777" w:rsidR="009D4A93" w:rsidRPr="00536CFD" w:rsidRDefault="009D4A93" w:rsidP="009D4A93">
            <w:pPr>
              <w:spacing w:after="0"/>
              <w:jc w:val="center"/>
              <w:rPr>
                <w:lang w:val="zh-CN"/>
              </w:rPr>
            </w:pPr>
            <w:r w:rsidRPr="00536CFD">
              <w:rPr>
                <w:lang w:val="zh-CN"/>
              </w:rPr>
              <w:t>0.09</w:t>
            </w:r>
          </w:p>
        </w:tc>
        <w:tc>
          <w:tcPr>
            <w:tcW w:w="810" w:type="dxa"/>
            <w:tcBorders>
              <w:top w:val="single" w:sz="4" w:space="0" w:color="auto"/>
              <w:left w:val="nil"/>
              <w:bottom w:val="single" w:sz="4" w:space="0" w:color="auto"/>
              <w:right w:val="single" w:sz="4" w:space="0" w:color="auto"/>
            </w:tcBorders>
            <w:shd w:val="clear" w:color="auto" w:fill="auto"/>
            <w:vAlign w:val="bottom"/>
          </w:tcPr>
          <w:p w14:paraId="6F89278F" w14:textId="77777777" w:rsidR="009D4A93" w:rsidRPr="00536CFD" w:rsidRDefault="009D4A93" w:rsidP="009D4A93">
            <w:pPr>
              <w:spacing w:after="0"/>
              <w:jc w:val="center"/>
              <w:rPr>
                <w:lang w:val="zh-CN"/>
              </w:rPr>
            </w:pPr>
            <w:r w:rsidRPr="00536CFD">
              <w:rPr>
                <w:lang w:val="zh-CN"/>
              </w:rPr>
              <w:t>0.07</w:t>
            </w:r>
          </w:p>
        </w:tc>
        <w:tc>
          <w:tcPr>
            <w:tcW w:w="810" w:type="dxa"/>
            <w:tcBorders>
              <w:top w:val="single" w:sz="4" w:space="0" w:color="auto"/>
              <w:left w:val="nil"/>
              <w:bottom w:val="single" w:sz="4" w:space="0" w:color="auto"/>
              <w:right w:val="single" w:sz="4" w:space="0" w:color="auto"/>
            </w:tcBorders>
            <w:shd w:val="clear" w:color="auto" w:fill="auto"/>
            <w:vAlign w:val="bottom"/>
          </w:tcPr>
          <w:p w14:paraId="7BBF9A59" w14:textId="77777777" w:rsidR="009D4A93" w:rsidRPr="00536CFD" w:rsidRDefault="009D4A93" w:rsidP="009D4A93">
            <w:pPr>
              <w:spacing w:after="0"/>
              <w:jc w:val="center"/>
              <w:rPr>
                <w:lang w:val="zh-CN"/>
              </w:rPr>
            </w:pPr>
            <w:r w:rsidRPr="00536CFD">
              <w:rPr>
                <w:lang w:val="zh-CN"/>
              </w:rPr>
              <w:t>0.31</w:t>
            </w:r>
          </w:p>
        </w:tc>
        <w:tc>
          <w:tcPr>
            <w:tcW w:w="820" w:type="dxa"/>
            <w:tcBorders>
              <w:top w:val="single" w:sz="4" w:space="0" w:color="auto"/>
              <w:left w:val="nil"/>
              <w:bottom w:val="single" w:sz="4" w:space="0" w:color="auto"/>
              <w:right w:val="single" w:sz="4" w:space="0" w:color="auto"/>
            </w:tcBorders>
            <w:shd w:val="clear" w:color="auto" w:fill="auto"/>
            <w:vAlign w:val="bottom"/>
          </w:tcPr>
          <w:p w14:paraId="00913CDA" w14:textId="77777777" w:rsidR="009D4A93" w:rsidRPr="00536CFD" w:rsidRDefault="009D4A93" w:rsidP="009D4A93">
            <w:pPr>
              <w:spacing w:after="0"/>
              <w:jc w:val="center"/>
              <w:rPr>
                <w:lang w:val="zh-CN"/>
              </w:rPr>
            </w:pPr>
            <w:r w:rsidRPr="00536CFD">
              <w:rPr>
                <w:lang w:val="zh-CN"/>
              </w:rPr>
              <w:t>0.24</w:t>
            </w:r>
          </w:p>
        </w:tc>
        <w:tc>
          <w:tcPr>
            <w:tcW w:w="800" w:type="dxa"/>
            <w:tcBorders>
              <w:top w:val="single" w:sz="4" w:space="0" w:color="auto"/>
              <w:left w:val="nil"/>
              <w:bottom w:val="single" w:sz="4" w:space="0" w:color="auto"/>
              <w:right w:val="single" w:sz="4" w:space="0" w:color="auto"/>
            </w:tcBorders>
            <w:shd w:val="clear" w:color="auto" w:fill="auto"/>
            <w:vAlign w:val="bottom"/>
          </w:tcPr>
          <w:p w14:paraId="5ED815B1" w14:textId="77777777" w:rsidR="009D4A93" w:rsidRPr="00536CFD" w:rsidRDefault="009D4A93" w:rsidP="009D4A93">
            <w:pPr>
              <w:spacing w:after="0"/>
              <w:jc w:val="center"/>
              <w:rPr>
                <w:lang w:val="zh-CN"/>
              </w:rPr>
            </w:pPr>
            <w:r w:rsidRPr="00536CFD">
              <w:rPr>
                <w:lang w:val="zh-CN"/>
              </w:rPr>
              <w:t>0.16</w:t>
            </w:r>
          </w:p>
        </w:tc>
        <w:tc>
          <w:tcPr>
            <w:tcW w:w="720" w:type="dxa"/>
            <w:tcBorders>
              <w:top w:val="single" w:sz="4" w:space="0" w:color="auto"/>
              <w:left w:val="nil"/>
              <w:bottom w:val="single" w:sz="4" w:space="0" w:color="auto"/>
              <w:right w:val="single" w:sz="4" w:space="0" w:color="auto"/>
            </w:tcBorders>
            <w:shd w:val="clear" w:color="auto" w:fill="auto"/>
            <w:vAlign w:val="bottom"/>
          </w:tcPr>
          <w:p w14:paraId="22C4FE5F" w14:textId="77777777" w:rsidR="009D4A93" w:rsidRPr="00536CFD" w:rsidRDefault="009D4A93" w:rsidP="009D4A93">
            <w:pPr>
              <w:spacing w:after="0"/>
              <w:jc w:val="center"/>
              <w:rPr>
                <w:lang w:val="zh-CN"/>
              </w:rPr>
            </w:pPr>
            <w:r w:rsidRPr="00536CFD">
              <w:rPr>
                <w:lang w:val="zh-CN"/>
              </w:rPr>
              <w:t>0.10</w:t>
            </w:r>
          </w:p>
        </w:tc>
        <w:tc>
          <w:tcPr>
            <w:tcW w:w="724" w:type="dxa"/>
            <w:tcBorders>
              <w:top w:val="single" w:sz="4" w:space="0" w:color="auto"/>
              <w:left w:val="nil"/>
              <w:bottom w:val="single" w:sz="4" w:space="0" w:color="auto"/>
              <w:right w:val="single" w:sz="4" w:space="0" w:color="auto"/>
            </w:tcBorders>
            <w:shd w:val="clear" w:color="auto" w:fill="auto"/>
            <w:vAlign w:val="bottom"/>
          </w:tcPr>
          <w:p w14:paraId="7A5F43FF" w14:textId="77777777" w:rsidR="009D4A93" w:rsidRPr="00536CFD" w:rsidRDefault="009D4A93" w:rsidP="009D4A93">
            <w:pPr>
              <w:spacing w:after="0"/>
              <w:jc w:val="center"/>
              <w:rPr>
                <w:lang w:val="zh-CN"/>
              </w:rPr>
            </w:pPr>
            <w:r w:rsidRPr="00536CFD">
              <w:rPr>
                <w:lang w:val="zh-CN"/>
              </w:rPr>
              <w:t>0.49</w:t>
            </w:r>
          </w:p>
        </w:tc>
        <w:tc>
          <w:tcPr>
            <w:tcW w:w="896" w:type="dxa"/>
            <w:tcBorders>
              <w:top w:val="single" w:sz="4" w:space="0" w:color="auto"/>
              <w:left w:val="nil"/>
              <w:bottom w:val="single" w:sz="4" w:space="0" w:color="auto"/>
              <w:right w:val="single" w:sz="4" w:space="0" w:color="auto"/>
            </w:tcBorders>
            <w:shd w:val="clear" w:color="auto" w:fill="auto"/>
            <w:vAlign w:val="bottom"/>
          </w:tcPr>
          <w:p w14:paraId="33C08466" w14:textId="77777777" w:rsidR="009D4A93" w:rsidRPr="00536CFD" w:rsidRDefault="009D4A93" w:rsidP="009D4A93">
            <w:pPr>
              <w:spacing w:after="0"/>
              <w:jc w:val="center"/>
              <w:rPr>
                <w:lang w:val="zh-CN"/>
              </w:rPr>
            </w:pPr>
            <w:r w:rsidRPr="00536CFD">
              <w:rPr>
                <w:lang w:val="zh-CN"/>
              </w:rPr>
              <w:t>0.36</w:t>
            </w:r>
          </w:p>
        </w:tc>
        <w:tc>
          <w:tcPr>
            <w:tcW w:w="720" w:type="dxa"/>
            <w:tcBorders>
              <w:top w:val="single" w:sz="4" w:space="0" w:color="auto"/>
              <w:left w:val="nil"/>
              <w:bottom w:val="single" w:sz="4" w:space="0" w:color="auto"/>
              <w:right w:val="single" w:sz="4" w:space="0" w:color="auto"/>
            </w:tcBorders>
            <w:shd w:val="clear" w:color="auto" w:fill="auto"/>
            <w:vAlign w:val="bottom"/>
          </w:tcPr>
          <w:p w14:paraId="7BA41325" w14:textId="77777777" w:rsidR="009D4A93" w:rsidRPr="00536CFD" w:rsidRDefault="009D4A93" w:rsidP="009D4A93">
            <w:pPr>
              <w:spacing w:after="0"/>
              <w:jc w:val="center"/>
              <w:rPr>
                <w:lang w:val="zh-CN"/>
              </w:rPr>
            </w:pPr>
            <w:r w:rsidRPr="00536CFD">
              <w:rPr>
                <w:lang w:val="zh-CN"/>
              </w:rPr>
              <w:t>0.26</w:t>
            </w:r>
          </w:p>
        </w:tc>
        <w:tc>
          <w:tcPr>
            <w:tcW w:w="720" w:type="dxa"/>
            <w:tcBorders>
              <w:top w:val="single" w:sz="4" w:space="0" w:color="auto"/>
              <w:left w:val="nil"/>
              <w:bottom w:val="single" w:sz="4" w:space="0" w:color="auto"/>
              <w:right w:val="single" w:sz="4" w:space="0" w:color="auto"/>
            </w:tcBorders>
            <w:shd w:val="clear" w:color="auto" w:fill="auto"/>
            <w:vAlign w:val="bottom"/>
          </w:tcPr>
          <w:p w14:paraId="607F6754" w14:textId="77777777" w:rsidR="009D4A93" w:rsidRPr="00536CFD" w:rsidRDefault="009D4A93" w:rsidP="009D4A93">
            <w:pPr>
              <w:spacing w:after="0"/>
              <w:jc w:val="center"/>
              <w:rPr>
                <w:lang w:val="zh-CN"/>
              </w:rPr>
            </w:pPr>
            <w:r w:rsidRPr="00536CFD">
              <w:rPr>
                <w:lang w:val="zh-CN"/>
              </w:rPr>
              <w:t>0.14</w:t>
            </w:r>
          </w:p>
        </w:tc>
      </w:tr>
      <w:tr w:rsidR="009D4A93" w:rsidRPr="00536CFD" w14:paraId="1206808E"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81BEBEF"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2371235"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65C241AF" w14:textId="77777777" w:rsidR="009D4A93" w:rsidRPr="00536CFD" w:rsidRDefault="009D4A93" w:rsidP="009D4A93">
            <w:pPr>
              <w:spacing w:after="0"/>
              <w:jc w:val="center"/>
              <w:rPr>
                <w:lang w:val="zh-CN"/>
              </w:rPr>
            </w:pPr>
            <w:r w:rsidRPr="00536CFD">
              <w:rPr>
                <w:lang w:val="zh-CN"/>
              </w:rPr>
              <w:t>1.5 Mbps</w:t>
            </w:r>
          </w:p>
        </w:tc>
        <w:tc>
          <w:tcPr>
            <w:tcW w:w="3150" w:type="dxa"/>
            <w:gridSpan w:val="4"/>
            <w:tcBorders>
              <w:top w:val="single" w:sz="4" w:space="0" w:color="auto"/>
              <w:left w:val="nil"/>
              <w:bottom w:val="single" w:sz="4" w:space="0" w:color="auto"/>
              <w:right w:val="single" w:sz="4" w:space="0" w:color="auto"/>
            </w:tcBorders>
            <w:shd w:val="clear" w:color="auto" w:fill="auto"/>
          </w:tcPr>
          <w:p w14:paraId="685ECCE2" w14:textId="77777777" w:rsidR="009D4A93" w:rsidRPr="00536CFD" w:rsidRDefault="009D4A93" w:rsidP="009D4A93">
            <w:pPr>
              <w:spacing w:after="0"/>
              <w:jc w:val="center"/>
              <w:rPr>
                <w:lang w:val="zh-CN"/>
              </w:rPr>
            </w:pPr>
            <w:r w:rsidRPr="00536CFD">
              <w:rPr>
                <w:lang w:val="zh-CN"/>
              </w:rPr>
              <w:t>2.0 Mbps</w:t>
            </w:r>
          </w:p>
        </w:tc>
        <w:tc>
          <w:tcPr>
            <w:tcW w:w="3060" w:type="dxa"/>
            <w:gridSpan w:val="4"/>
            <w:tcBorders>
              <w:top w:val="single" w:sz="4" w:space="0" w:color="auto"/>
              <w:left w:val="nil"/>
              <w:bottom w:val="single" w:sz="4" w:space="0" w:color="auto"/>
              <w:right w:val="single" w:sz="4" w:space="0" w:color="auto"/>
            </w:tcBorders>
            <w:shd w:val="clear" w:color="auto" w:fill="auto"/>
          </w:tcPr>
          <w:p w14:paraId="17E6F30A" w14:textId="77777777" w:rsidR="009D4A93" w:rsidRPr="00536CFD" w:rsidRDefault="009D4A93" w:rsidP="009D4A93">
            <w:pPr>
              <w:spacing w:after="0"/>
              <w:jc w:val="center"/>
              <w:rPr>
                <w:lang w:val="zh-CN"/>
              </w:rPr>
            </w:pPr>
            <w:r w:rsidRPr="00536CFD">
              <w:rPr>
                <w:lang w:val="zh-CN"/>
              </w:rPr>
              <w:t>2.5 Mbps</w:t>
            </w:r>
          </w:p>
        </w:tc>
      </w:tr>
      <w:tr w:rsidR="009D4A93" w:rsidRPr="00536CFD" w14:paraId="1E479D7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E7E8AB9"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79CAB74"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506A6F96" w14:textId="77777777" w:rsidR="009D4A93" w:rsidRPr="00536CFD" w:rsidRDefault="009D4A93" w:rsidP="009D4A93">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disabled, Preamble detection enabled, ED/PD threshold -72/-82 dBm, A-MPDU size is chosen to get MPDU duration of 1ms, Wi-Fi Guard Interval short,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Switching points no longer than than 16 µs every 2ms for CSI feedback, UL grant update.</w:t>
            </w:r>
          </w:p>
        </w:tc>
      </w:tr>
      <w:tr w:rsidR="009D4A93" w:rsidRPr="00536CFD" w14:paraId="767208E5"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3C6FCA9F" w14:textId="77777777" w:rsidR="009D4A93" w:rsidRPr="00536CFD" w:rsidRDefault="009D4A93" w:rsidP="00536CFD">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R1-1814018 / Source 8</w:t>
            </w:r>
          </w:p>
        </w:tc>
        <w:tc>
          <w:tcPr>
            <w:tcW w:w="535" w:type="dxa"/>
            <w:vMerge w:val="restart"/>
            <w:tcBorders>
              <w:top w:val="nil"/>
              <w:left w:val="nil"/>
              <w:bottom w:val="single" w:sz="4" w:space="0" w:color="auto"/>
              <w:right w:val="single" w:sz="4" w:space="0" w:color="auto"/>
            </w:tcBorders>
            <w:shd w:val="clear" w:color="auto" w:fill="auto"/>
          </w:tcPr>
          <w:p w14:paraId="27BD160C"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1C038D7F"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4F581162" w14:textId="77777777" w:rsidR="009D4A93" w:rsidRPr="00536CFD" w:rsidRDefault="009D4A93" w:rsidP="00536CFD">
            <w:pPr>
              <w:pageBreakBefore/>
              <w:spacing w:after="0"/>
              <w:jc w:val="center"/>
              <w:rPr>
                <w:lang w:eastAsia="ja-JP"/>
              </w:rPr>
            </w:pPr>
            <w:r w:rsidRPr="00536CFD">
              <w:rPr>
                <w:lang w:eastAsia="ja-JP"/>
              </w:rPr>
              <w:t>37.34</w:t>
            </w:r>
          </w:p>
        </w:tc>
        <w:tc>
          <w:tcPr>
            <w:tcW w:w="720" w:type="dxa"/>
            <w:tcBorders>
              <w:top w:val="single" w:sz="4" w:space="0" w:color="auto"/>
              <w:left w:val="nil"/>
              <w:bottom w:val="single" w:sz="4" w:space="0" w:color="auto"/>
              <w:right w:val="single" w:sz="4" w:space="0" w:color="auto"/>
            </w:tcBorders>
            <w:shd w:val="clear" w:color="auto" w:fill="auto"/>
          </w:tcPr>
          <w:p w14:paraId="009FCB0D" w14:textId="77777777" w:rsidR="009D4A93" w:rsidRPr="00536CFD" w:rsidRDefault="009D4A93" w:rsidP="00536CFD">
            <w:pPr>
              <w:pageBreakBefore/>
              <w:spacing w:after="0"/>
              <w:jc w:val="center"/>
              <w:rPr>
                <w:lang w:eastAsia="ja-JP"/>
              </w:rPr>
            </w:pPr>
            <w:r w:rsidRPr="00536CFD">
              <w:rPr>
                <w:lang w:eastAsia="ja-JP"/>
              </w:rPr>
              <w:t>41.40</w:t>
            </w:r>
          </w:p>
        </w:tc>
        <w:tc>
          <w:tcPr>
            <w:tcW w:w="720" w:type="dxa"/>
            <w:tcBorders>
              <w:top w:val="single" w:sz="4" w:space="0" w:color="auto"/>
              <w:left w:val="nil"/>
              <w:bottom w:val="single" w:sz="4" w:space="0" w:color="auto"/>
              <w:right w:val="single" w:sz="4" w:space="0" w:color="auto"/>
            </w:tcBorders>
            <w:shd w:val="clear" w:color="auto" w:fill="auto"/>
          </w:tcPr>
          <w:p w14:paraId="0D3D5B29" w14:textId="77777777" w:rsidR="009D4A93" w:rsidRPr="00536CFD" w:rsidRDefault="009D4A93" w:rsidP="00536CFD">
            <w:pPr>
              <w:pageBreakBefore/>
              <w:spacing w:after="0"/>
              <w:jc w:val="center"/>
              <w:rPr>
                <w:lang w:eastAsia="ja-JP"/>
              </w:rPr>
            </w:pPr>
            <w:r w:rsidRPr="00536CFD">
              <w:rPr>
                <w:lang w:eastAsia="ja-JP"/>
              </w:rPr>
              <w:t>43.88</w:t>
            </w:r>
          </w:p>
        </w:tc>
        <w:tc>
          <w:tcPr>
            <w:tcW w:w="810" w:type="dxa"/>
            <w:tcBorders>
              <w:top w:val="single" w:sz="4" w:space="0" w:color="auto"/>
              <w:left w:val="nil"/>
              <w:bottom w:val="single" w:sz="4" w:space="0" w:color="auto"/>
              <w:right w:val="single" w:sz="4" w:space="0" w:color="auto"/>
            </w:tcBorders>
            <w:shd w:val="clear" w:color="auto" w:fill="auto"/>
          </w:tcPr>
          <w:p w14:paraId="05DEF889" w14:textId="77777777" w:rsidR="009D4A93" w:rsidRPr="00536CFD" w:rsidRDefault="009D4A93" w:rsidP="00536CFD">
            <w:pPr>
              <w:pageBreakBefore/>
              <w:spacing w:after="0"/>
              <w:jc w:val="center"/>
              <w:rPr>
                <w:lang w:eastAsia="ja-JP"/>
              </w:rPr>
            </w:pPr>
            <w:r w:rsidRPr="00536CFD">
              <w:rPr>
                <w:lang w:eastAsia="ja-JP"/>
              </w:rPr>
              <w:t>52.48</w:t>
            </w:r>
          </w:p>
        </w:tc>
        <w:tc>
          <w:tcPr>
            <w:tcW w:w="810" w:type="dxa"/>
            <w:tcBorders>
              <w:top w:val="single" w:sz="4" w:space="0" w:color="auto"/>
              <w:left w:val="nil"/>
              <w:bottom w:val="single" w:sz="4" w:space="0" w:color="auto"/>
              <w:right w:val="single" w:sz="4" w:space="0" w:color="auto"/>
            </w:tcBorders>
            <w:shd w:val="clear" w:color="auto" w:fill="auto"/>
          </w:tcPr>
          <w:p w14:paraId="55F14712" w14:textId="77777777" w:rsidR="009D4A93" w:rsidRPr="00536CFD" w:rsidRDefault="009D4A93" w:rsidP="00536CFD">
            <w:pPr>
              <w:pageBreakBefore/>
              <w:spacing w:after="0"/>
              <w:jc w:val="center"/>
              <w:rPr>
                <w:lang w:eastAsia="ja-JP"/>
              </w:rPr>
            </w:pPr>
            <w:r w:rsidRPr="00536CFD">
              <w:rPr>
                <w:lang w:eastAsia="ja-JP"/>
              </w:rPr>
              <w:t>20.79</w:t>
            </w:r>
          </w:p>
        </w:tc>
        <w:tc>
          <w:tcPr>
            <w:tcW w:w="820" w:type="dxa"/>
            <w:tcBorders>
              <w:top w:val="single" w:sz="4" w:space="0" w:color="auto"/>
              <w:left w:val="nil"/>
              <w:bottom w:val="single" w:sz="4" w:space="0" w:color="auto"/>
              <w:right w:val="single" w:sz="4" w:space="0" w:color="auto"/>
            </w:tcBorders>
            <w:shd w:val="clear" w:color="auto" w:fill="auto"/>
          </w:tcPr>
          <w:p w14:paraId="24404E93" w14:textId="77777777" w:rsidR="009D4A93" w:rsidRPr="00536CFD" w:rsidRDefault="009D4A93" w:rsidP="00536CFD">
            <w:pPr>
              <w:pageBreakBefore/>
              <w:spacing w:after="0"/>
              <w:jc w:val="center"/>
              <w:rPr>
                <w:lang w:eastAsia="ja-JP"/>
              </w:rPr>
            </w:pPr>
            <w:r w:rsidRPr="00536CFD">
              <w:rPr>
                <w:lang w:eastAsia="ja-JP"/>
              </w:rPr>
              <w:t>30.06</w:t>
            </w:r>
          </w:p>
        </w:tc>
        <w:tc>
          <w:tcPr>
            <w:tcW w:w="800" w:type="dxa"/>
            <w:tcBorders>
              <w:top w:val="single" w:sz="4" w:space="0" w:color="auto"/>
              <w:left w:val="nil"/>
              <w:bottom w:val="single" w:sz="4" w:space="0" w:color="auto"/>
              <w:right w:val="single" w:sz="4" w:space="0" w:color="auto"/>
            </w:tcBorders>
            <w:shd w:val="clear" w:color="auto" w:fill="auto"/>
          </w:tcPr>
          <w:p w14:paraId="52133511" w14:textId="77777777" w:rsidR="009D4A93" w:rsidRPr="00536CFD" w:rsidRDefault="009D4A93" w:rsidP="00536CFD">
            <w:pPr>
              <w:pageBreakBefore/>
              <w:spacing w:after="0"/>
              <w:jc w:val="center"/>
              <w:rPr>
                <w:lang w:eastAsia="ja-JP"/>
              </w:rPr>
            </w:pPr>
            <w:r w:rsidRPr="00536CFD">
              <w:rPr>
                <w:lang w:eastAsia="ja-JP"/>
              </w:rPr>
              <w:t>32.88</w:t>
            </w:r>
          </w:p>
        </w:tc>
        <w:tc>
          <w:tcPr>
            <w:tcW w:w="720" w:type="dxa"/>
            <w:tcBorders>
              <w:top w:val="single" w:sz="4" w:space="0" w:color="auto"/>
              <w:left w:val="nil"/>
              <w:bottom w:val="single" w:sz="4" w:space="0" w:color="auto"/>
              <w:right w:val="single" w:sz="4" w:space="0" w:color="auto"/>
            </w:tcBorders>
            <w:shd w:val="clear" w:color="auto" w:fill="auto"/>
          </w:tcPr>
          <w:p w14:paraId="45E7BAF2" w14:textId="77777777" w:rsidR="009D4A93" w:rsidRPr="00536CFD" w:rsidRDefault="009D4A93" w:rsidP="00536CFD">
            <w:pPr>
              <w:pageBreakBefore/>
              <w:spacing w:after="0"/>
              <w:jc w:val="center"/>
              <w:rPr>
                <w:lang w:eastAsia="ja-JP"/>
              </w:rPr>
            </w:pPr>
            <w:r w:rsidRPr="00536CFD">
              <w:rPr>
                <w:lang w:eastAsia="ja-JP"/>
              </w:rPr>
              <w:t>47.80</w:t>
            </w:r>
          </w:p>
        </w:tc>
        <w:tc>
          <w:tcPr>
            <w:tcW w:w="724" w:type="dxa"/>
            <w:tcBorders>
              <w:top w:val="single" w:sz="4" w:space="0" w:color="auto"/>
              <w:left w:val="nil"/>
              <w:bottom w:val="single" w:sz="4" w:space="0" w:color="auto"/>
              <w:right w:val="single" w:sz="4" w:space="0" w:color="auto"/>
            </w:tcBorders>
            <w:shd w:val="clear" w:color="auto" w:fill="auto"/>
          </w:tcPr>
          <w:p w14:paraId="65FBB3B9" w14:textId="77777777" w:rsidR="009D4A93" w:rsidRPr="00536CFD" w:rsidRDefault="009D4A93" w:rsidP="00536CFD">
            <w:pPr>
              <w:pageBreakBefore/>
              <w:spacing w:after="0"/>
              <w:jc w:val="center"/>
              <w:rPr>
                <w:lang w:eastAsia="ja-JP"/>
              </w:rPr>
            </w:pPr>
            <w:r w:rsidRPr="00536CFD">
              <w:rPr>
                <w:lang w:eastAsia="ja-JP"/>
              </w:rPr>
              <w:t>10.03</w:t>
            </w:r>
          </w:p>
        </w:tc>
        <w:tc>
          <w:tcPr>
            <w:tcW w:w="896" w:type="dxa"/>
            <w:tcBorders>
              <w:top w:val="single" w:sz="4" w:space="0" w:color="auto"/>
              <w:left w:val="nil"/>
              <w:bottom w:val="single" w:sz="4" w:space="0" w:color="auto"/>
              <w:right w:val="single" w:sz="4" w:space="0" w:color="auto"/>
            </w:tcBorders>
            <w:shd w:val="clear" w:color="auto" w:fill="auto"/>
          </w:tcPr>
          <w:p w14:paraId="042AA9EF" w14:textId="77777777" w:rsidR="009D4A93" w:rsidRPr="00536CFD" w:rsidRDefault="009D4A93" w:rsidP="00536CFD">
            <w:pPr>
              <w:pageBreakBefore/>
              <w:spacing w:after="0"/>
              <w:jc w:val="center"/>
              <w:rPr>
                <w:lang w:eastAsia="ja-JP"/>
              </w:rPr>
            </w:pPr>
            <w:r w:rsidRPr="00536CFD">
              <w:rPr>
                <w:lang w:eastAsia="ja-JP"/>
              </w:rPr>
              <w:t>19.63</w:t>
            </w:r>
          </w:p>
        </w:tc>
        <w:tc>
          <w:tcPr>
            <w:tcW w:w="720" w:type="dxa"/>
            <w:tcBorders>
              <w:top w:val="single" w:sz="4" w:space="0" w:color="auto"/>
              <w:left w:val="nil"/>
              <w:bottom w:val="single" w:sz="4" w:space="0" w:color="auto"/>
              <w:right w:val="single" w:sz="4" w:space="0" w:color="auto"/>
            </w:tcBorders>
            <w:shd w:val="clear" w:color="auto" w:fill="auto"/>
          </w:tcPr>
          <w:p w14:paraId="73C5F49C" w14:textId="77777777" w:rsidR="009D4A93" w:rsidRPr="00536CFD" w:rsidRDefault="009D4A93" w:rsidP="00536CFD">
            <w:pPr>
              <w:pageBreakBefore/>
              <w:spacing w:after="0"/>
              <w:jc w:val="center"/>
              <w:rPr>
                <w:lang w:eastAsia="ja-JP"/>
              </w:rPr>
            </w:pPr>
            <w:r w:rsidRPr="00536CFD">
              <w:rPr>
                <w:lang w:eastAsia="ja-JP"/>
              </w:rPr>
              <w:t>20.23</w:t>
            </w:r>
          </w:p>
        </w:tc>
        <w:tc>
          <w:tcPr>
            <w:tcW w:w="720" w:type="dxa"/>
            <w:tcBorders>
              <w:top w:val="single" w:sz="4" w:space="0" w:color="auto"/>
              <w:left w:val="nil"/>
              <w:bottom w:val="single" w:sz="4" w:space="0" w:color="auto"/>
              <w:right w:val="single" w:sz="4" w:space="0" w:color="auto"/>
            </w:tcBorders>
            <w:shd w:val="clear" w:color="auto" w:fill="auto"/>
          </w:tcPr>
          <w:p w14:paraId="0C460D1F" w14:textId="77777777" w:rsidR="009D4A93" w:rsidRPr="00536CFD" w:rsidRDefault="009D4A93" w:rsidP="00536CFD">
            <w:pPr>
              <w:pageBreakBefore/>
              <w:spacing w:after="0"/>
              <w:jc w:val="center"/>
              <w:rPr>
                <w:lang w:eastAsia="ja-JP"/>
              </w:rPr>
            </w:pPr>
            <w:r w:rsidRPr="00536CFD">
              <w:rPr>
                <w:lang w:eastAsia="ja-JP"/>
              </w:rPr>
              <w:t>41.76</w:t>
            </w:r>
          </w:p>
        </w:tc>
      </w:tr>
      <w:tr w:rsidR="009D4A93" w:rsidRPr="00536CFD" w14:paraId="5CB978C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FCC209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50B342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9DD445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78948F74" w14:textId="77777777" w:rsidR="009D4A93" w:rsidRPr="00536CFD" w:rsidRDefault="009D4A93" w:rsidP="009D4A93">
            <w:pPr>
              <w:spacing w:after="0"/>
              <w:jc w:val="center"/>
              <w:rPr>
                <w:lang w:eastAsia="ja-JP"/>
              </w:rPr>
            </w:pPr>
            <w:r w:rsidRPr="00536CFD">
              <w:rPr>
                <w:lang w:eastAsia="ja-JP"/>
              </w:rPr>
              <w:t>82.65</w:t>
            </w:r>
          </w:p>
        </w:tc>
        <w:tc>
          <w:tcPr>
            <w:tcW w:w="720" w:type="dxa"/>
            <w:tcBorders>
              <w:top w:val="single" w:sz="4" w:space="0" w:color="auto"/>
              <w:left w:val="nil"/>
              <w:bottom w:val="single" w:sz="4" w:space="0" w:color="auto"/>
              <w:right w:val="single" w:sz="4" w:space="0" w:color="auto"/>
            </w:tcBorders>
            <w:shd w:val="clear" w:color="auto" w:fill="auto"/>
          </w:tcPr>
          <w:p w14:paraId="76505604" w14:textId="77777777" w:rsidR="009D4A93" w:rsidRPr="00536CFD" w:rsidRDefault="009D4A93" w:rsidP="009D4A93">
            <w:pPr>
              <w:spacing w:after="0"/>
              <w:jc w:val="center"/>
              <w:rPr>
                <w:lang w:eastAsia="ja-JP"/>
              </w:rPr>
            </w:pPr>
            <w:r w:rsidRPr="00536CFD">
              <w:rPr>
                <w:lang w:eastAsia="ja-JP"/>
              </w:rPr>
              <w:t>87.99</w:t>
            </w:r>
          </w:p>
        </w:tc>
        <w:tc>
          <w:tcPr>
            <w:tcW w:w="720" w:type="dxa"/>
            <w:tcBorders>
              <w:top w:val="single" w:sz="4" w:space="0" w:color="auto"/>
              <w:left w:val="nil"/>
              <w:bottom w:val="single" w:sz="4" w:space="0" w:color="auto"/>
              <w:right w:val="single" w:sz="4" w:space="0" w:color="auto"/>
            </w:tcBorders>
            <w:shd w:val="clear" w:color="auto" w:fill="auto"/>
          </w:tcPr>
          <w:p w14:paraId="0300C17B" w14:textId="77777777" w:rsidR="009D4A93" w:rsidRPr="00536CFD" w:rsidRDefault="009D4A93" w:rsidP="009D4A93">
            <w:pPr>
              <w:spacing w:after="0"/>
              <w:jc w:val="center"/>
              <w:rPr>
                <w:lang w:eastAsia="ja-JP"/>
              </w:rPr>
            </w:pPr>
            <w:r w:rsidRPr="00536CFD">
              <w:rPr>
                <w:lang w:eastAsia="ja-JP"/>
              </w:rPr>
              <w:t>103.86</w:t>
            </w:r>
          </w:p>
        </w:tc>
        <w:tc>
          <w:tcPr>
            <w:tcW w:w="810" w:type="dxa"/>
            <w:tcBorders>
              <w:top w:val="single" w:sz="4" w:space="0" w:color="auto"/>
              <w:left w:val="nil"/>
              <w:bottom w:val="single" w:sz="4" w:space="0" w:color="auto"/>
              <w:right w:val="single" w:sz="4" w:space="0" w:color="auto"/>
            </w:tcBorders>
            <w:shd w:val="clear" w:color="auto" w:fill="auto"/>
          </w:tcPr>
          <w:p w14:paraId="4F0B400F" w14:textId="77777777" w:rsidR="009D4A93" w:rsidRPr="00536CFD" w:rsidRDefault="009D4A93" w:rsidP="009D4A93">
            <w:pPr>
              <w:spacing w:after="0"/>
              <w:jc w:val="center"/>
              <w:rPr>
                <w:lang w:eastAsia="ja-JP"/>
              </w:rPr>
            </w:pPr>
            <w:r w:rsidRPr="00536CFD">
              <w:rPr>
                <w:lang w:eastAsia="ja-JP"/>
              </w:rPr>
              <w:t>109.39</w:t>
            </w:r>
          </w:p>
        </w:tc>
        <w:tc>
          <w:tcPr>
            <w:tcW w:w="810" w:type="dxa"/>
            <w:tcBorders>
              <w:top w:val="single" w:sz="4" w:space="0" w:color="auto"/>
              <w:left w:val="nil"/>
              <w:bottom w:val="single" w:sz="4" w:space="0" w:color="auto"/>
              <w:right w:val="single" w:sz="4" w:space="0" w:color="auto"/>
            </w:tcBorders>
            <w:shd w:val="clear" w:color="auto" w:fill="auto"/>
          </w:tcPr>
          <w:p w14:paraId="7DA55803" w14:textId="77777777" w:rsidR="009D4A93" w:rsidRPr="00536CFD" w:rsidRDefault="009D4A93" w:rsidP="009D4A93">
            <w:pPr>
              <w:spacing w:after="0"/>
              <w:jc w:val="center"/>
              <w:rPr>
                <w:lang w:eastAsia="ja-JP"/>
              </w:rPr>
            </w:pPr>
            <w:r w:rsidRPr="00536CFD">
              <w:rPr>
                <w:lang w:eastAsia="ja-JP"/>
              </w:rPr>
              <w:t>53.52</w:t>
            </w:r>
          </w:p>
        </w:tc>
        <w:tc>
          <w:tcPr>
            <w:tcW w:w="820" w:type="dxa"/>
            <w:tcBorders>
              <w:top w:val="single" w:sz="4" w:space="0" w:color="auto"/>
              <w:left w:val="nil"/>
              <w:bottom w:val="single" w:sz="4" w:space="0" w:color="auto"/>
              <w:right w:val="single" w:sz="4" w:space="0" w:color="auto"/>
            </w:tcBorders>
            <w:shd w:val="clear" w:color="auto" w:fill="auto"/>
          </w:tcPr>
          <w:p w14:paraId="4B2E76C1" w14:textId="77777777" w:rsidR="009D4A93" w:rsidRPr="00536CFD" w:rsidRDefault="009D4A93" w:rsidP="009D4A93">
            <w:pPr>
              <w:spacing w:after="0"/>
              <w:jc w:val="center"/>
              <w:rPr>
                <w:lang w:eastAsia="ja-JP"/>
              </w:rPr>
            </w:pPr>
            <w:r w:rsidRPr="00536CFD">
              <w:rPr>
                <w:lang w:eastAsia="ja-JP"/>
              </w:rPr>
              <w:t>70.17</w:t>
            </w:r>
          </w:p>
        </w:tc>
        <w:tc>
          <w:tcPr>
            <w:tcW w:w="800" w:type="dxa"/>
            <w:tcBorders>
              <w:top w:val="single" w:sz="4" w:space="0" w:color="auto"/>
              <w:left w:val="nil"/>
              <w:bottom w:val="single" w:sz="4" w:space="0" w:color="auto"/>
              <w:right w:val="single" w:sz="4" w:space="0" w:color="auto"/>
            </w:tcBorders>
            <w:shd w:val="clear" w:color="auto" w:fill="auto"/>
          </w:tcPr>
          <w:p w14:paraId="508EBA21" w14:textId="77777777" w:rsidR="009D4A93" w:rsidRPr="00536CFD" w:rsidRDefault="009D4A93" w:rsidP="009D4A93">
            <w:pPr>
              <w:spacing w:after="0"/>
              <w:jc w:val="center"/>
              <w:rPr>
                <w:lang w:eastAsia="ja-JP"/>
              </w:rPr>
            </w:pPr>
            <w:r w:rsidRPr="00536CFD">
              <w:rPr>
                <w:lang w:eastAsia="ja-JP"/>
              </w:rPr>
              <w:t>82.95</w:t>
            </w:r>
          </w:p>
        </w:tc>
        <w:tc>
          <w:tcPr>
            <w:tcW w:w="720" w:type="dxa"/>
            <w:tcBorders>
              <w:top w:val="single" w:sz="4" w:space="0" w:color="auto"/>
              <w:left w:val="nil"/>
              <w:bottom w:val="single" w:sz="4" w:space="0" w:color="auto"/>
              <w:right w:val="single" w:sz="4" w:space="0" w:color="auto"/>
            </w:tcBorders>
            <w:shd w:val="clear" w:color="auto" w:fill="auto"/>
          </w:tcPr>
          <w:p w14:paraId="0E877309" w14:textId="77777777" w:rsidR="009D4A93" w:rsidRPr="00536CFD" w:rsidRDefault="009D4A93" w:rsidP="009D4A93">
            <w:pPr>
              <w:spacing w:after="0"/>
              <w:jc w:val="center"/>
              <w:rPr>
                <w:lang w:eastAsia="ja-JP"/>
              </w:rPr>
            </w:pPr>
            <w:r w:rsidRPr="00536CFD">
              <w:rPr>
                <w:lang w:eastAsia="ja-JP"/>
              </w:rPr>
              <w:t>100.69</w:t>
            </w:r>
          </w:p>
        </w:tc>
        <w:tc>
          <w:tcPr>
            <w:tcW w:w="724" w:type="dxa"/>
            <w:tcBorders>
              <w:top w:val="single" w:sz="4" w:space="0" w:color="auto"/>
              <w:left w:val="nil"/>
              <w:bottom w:val="single" w:sz="4" w:space="0" w:color="auto"/>
              <w:right w:val="single" w:sz="4" w:space="0" w:color="auto"/>
            </w:tcBorders>
            <w:shd w:val="clear" w:color="auto" w:fill="auto"/>
          </w:tcPr>
          <w:p w14:paraId="7D54DB16" w14:textId="77777777" w:rsidR="009D4A93" w:rsidRPr="00536CFD" w:rsidRDefault="009D4A93" w:rsidP="009D4A93">
            <w:pPr>
              <w:spacing w:after="0"/>
              <w:jc w:val="center"/>
              <w:rPr>
                <w:lang w:eastAsia="ja-JP"/>
              </w:rPr>
            </w:pPr>
            <w:r w:rsidRPr="00536CFD">
              <w:rPr>
                <w:lang w:eastAsia="ja-JP"/>
              </w:rPr>
              <w:t>26.09</w:t>
            </w:r>
          </w:p>
        </w:tc>
        <w:tc>
          <w:tcPr>
            <w:tcW w:w="896" w:type="dxa"/>
            <w:tcBorders>
              <w:top w:val="single" w:sz="4" w:space="0" w:color="auto"/>
              <w:left w:val="nil"/>
              <w:bottom w:val="single" w:sz="4" w:space="0" w:color="auto"/>
              <w:right w:val="single" w:sz="4" w:space="0" w:color="auto"/>
            </w:tcBorders>
            <w:shd w:val="clear" w:color="auto" w:fill="auto"/>
          </w:tcPr>
          <w:p w14:paraId="3B65CB63" w14:textId="77777777" w:rsidR="009D4A93" w:rsidRPr="00536CFD" w:rsidRDefault="009D4A93" w:rsidP="009D4A93">
            <w:pPr>
              <w:spacing w:after="0"/>
              <w:jc w:val="center"/>
              <w:rPr>
                <w:lang w:eastAsia="ja-JP"/>
              </w:rPr>
            </w:pPr>
            <w:r w:rsidRPr="00536CFD">
              <w:rPr>
                <w:lang w:eastAsia="ja-JP"/>
              </w:rPr>
              <w:t>47.35</w:t>
            </w:r>
          </w:p>
        </w:tc>
        <w:tc>
          <w:tcPr>
            <w:tcW w:w="720" w:type="dxa"/>
            <w:tcBorders>
              <w:top w:val="single" w:sz="4" w:space="0" w:color="auto"/>
              <w:left w:val="nil"/>
              <w:bottom w:val="single" w:sz="4" w:space="0" w:color="auto"/>
              <w:right w:val="single" w:sz="4" w:space="0" w:color="auto"/>
            </w:tcBorders>
            <w:shd w:val="clear" w:color="auto" w:fill="auto"/>
          </w:tcPr>
          <w:p w14:paraId="4B385A20" w14:textId="77777777" w:rsidR="009D4A93" w:rsidRPr="00536CFD" w:rsidRDefault="009D4A93" w:rsidP="009D4A93">
            <w:pPr>
              <w:spacing w:after="0"/>
              <w:jc w:val="center"/>
              <w:rPr>
                <w:lang w:eastAsia="ja-JP"/>
              </w:rPr>
            </w:pPr>
            <w:r w:rsidRPr="00536CFD">
              <w:rPr>
                <w:lang w:eastAsia="ja-JP"/>
              </w:rPr>
              <w:t>53.00</w:t>
            </w:r>
          </w:p>
        </w:tc>
        <w:tc>
          <w:tcPr>
            <w:tcW w:w="720" w:type="dxa"/>
            <w:tcBorders>
              <w:top w:val="single" w:sz="4" w:space="0" w:color="auto"/>
              <w:left w:val="nil"/>
              <w:bottom w:val="single" w:sz="4" w:space="0" w:color="auto"/>
              <w:right w:val="single" w:sz="4" w:space="0" w:color="auto"/>
            </w:tcBorders>
            <w:shd w:val="clear" w:color="auto" w:fill="auto"/>
          </w:tcPr>
          <w:p w14:paraId="4BE64A34" w14:textId="77777777" w:rsidR="009D4A93" w:rsidRPr="00536CFD" w:rsidRDefault="009D4A93" w:rsidP="009D4A93">
            <w:pPr>
              <w:spacing w:after="0"/>
              <w:jc w:val="center"/>
              <w:rPr>
                <w:lang w:eastAsia="ja-JP"/>
              </w:rPr>
            </w:pPr>
            <w:r w:rsidRPr="00536CFD">
              <w:rPr>
                <w:lang w:eastAsia="ja-JP"/>
              </w:rPr>
              <w:t>91.71</w:t>
            </w:r>
          </w:p>
        </w:tc>
      </w:tr>
      <w:tr w:rsidR="009D4A93" w:rsidRPr="00536CFD" w14:paraId="55EC231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25BDDA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953750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1BDAF8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65040FBB" w14:textId="77777777" w:rsidR="009D4A93" w:rsidRPr="00536CFD" w:rsidRDefault="009D4A93" w:rsidP="009D4A93">
            <w:pPr>
              <w:spacing w:after="0"/>
              <w:jc w:val="center"/>
              <w:rPr>
                <w:lang w:eastAsia="ja-JP"/>
              </w:rPr>
            </w:pPr>
            <w:r w:rsidRPr="00536CFD">
              <w:rPr>
                <w:lang w:eastAsia="ja-JP"/>
              </w:rPr>
              <w:t>101.71</w:t>
            </w:r>
          </w:p>
        </w:tc>
        <w:tc>
          <w:tcPr>
            <w:tcW w:w="720" w:type="dxa"/>
            <w:tcBorders>
              <w:top w:val="single" w:sz="4" w:space="0" w:color="auto"/>
              <w:left w:val="nil"/>
              <w:bottom w:val="single" w:sz="4" w:space="0" w:color="auto"/>
              <w:right w:val="single" w:sz="4" w:space="0" w:color="auto"/>
            </w:tcBorders>
            <w:shd w:val="clear" w:color="auto" w:fill="auto"/>
          </w:tcPr>
          <w:p w14:paraId="67DC6787" w14:textId="77777777" w:rsidR="009D4A93" w:rsidRPr="00536CFD" w:rsidRDefault="009D4A93" w:rsidP="009D4A93">
            <w:pPr>
              <w:spacing w:after="0"/>
              <w:jc w:val="center"/>
              <w:rPr>
                <w:lang w:eastAsia="ja-JP"/>
              </w:rPr>
            </w:pPr>
            <w:r w:rsidRPr="00536CFD">
              <w:rPr>
                <w:lang w:eastAsia="ja-JP"/>
              </w:rPr>
              <w:t>107.64</w:t>
            </w:r>
          </w:p>
        </w:tc>
        <w:tc>
          <w:tcPr>
            <w:tcW w:w="720" w:type="dxa"/>
            <w:tcBorders>
              <w:top w:val="single" w:sz="4" w:space="0" w:color="auto"/>
              <w:left w:val="nil"/>
              <w:bottom w:val="single" w:sz="4" w:space="0" w:color="auto"/>
              <w:right w:val="single" w:sz="4" w:space="0" w:color="auto"/>
            </w:tcBorders>
            <w:shd w:val="clear" w:color="auto" w:fill="auto"/>
          </w:tcPr>
          <w:p w14:paraId="0D7C9AC9" w14:textId="77777777" w:rsidR="009D4A93" w:rsidRPr="00536CFD" w:rsidRDefault="009D4A93" w:rsidP="009D4A93">
            <w:pPr>
              <w:spacing w:after="0"/>
              <w:jc w:val="center"/>
              <w:rPr>
                <w:lang w:eastAsia="ja-JP"/>
              </w:rPr>
            </w:pPr>
            <w:r w:rsidRPr="00536CFD">
              <w:rPr>
                <w:lang w:eastAsia="ja-JP"/>
              </w:rPr>
              <w:t>128.32</w:t>
            </w:r>
          </w:p>
        </w:tc>
        <w:tc>
          <w:tcPr>
            <w:tcW w:w="810" w:type="dxa"/>
            <w:tcBorders>
              <w:top w:val="single" w:sz="4" w:space="0" w:color="auto"/>
              <w:left w:val="nil"/>
              <w:bottom w:val="single" w:sz="4" w:space="0" w:color="auto"/>
              <w:right w:val="single" w:sz="4" w:space="0" w:color="auto"/>
            </w:tcBorders>
            <w:shd w:val="clear" w:color="auto" w:fill="auto"/>
          </w:tcPr>
          <w:p w14:paraId="004AC45A" w14:textId="77777777" w:rsidR="009D4A93" w:rsidRPr="00536CFD" w:rsidRDefault="009D4A93" w:rsidP="009D4A93">
            <w:pPr>
              <w:spacing w:after="0"/>
              <w:jc w:val="center"/>
              <w:rPr>
                <w:lang w:eastAsia="ja-JP"/>
              </w:rPr>
            </w:pPr>
            <w:r w:rsidRPr="00536CFD">
              <w:rPr>
                <w:lang w:eastAsia="ja-JP"/>
              </w:rPr>
              <w:t>131.27</w:t>
            </w:r>
          </w:p>
        </w:tc>
        <w:tc>
          <w:tcPr>
            <w:tcW w:w="810" w:type="dxa"/>
            <w:tcBorders>
              <w:top w:val="single" w:sz="4" w:space="0" w:color="auto"/>
              <w:left w:val="nil"/>
              <w:bottom w:val="single" w:sz="4" w:space="0" w:color="auto"/>
              <w:right w:val="single" w:sz="4" w:space="0" w:color="auto"/>
            </w:tcBorders>
            <w:shd w:val="clear" w:color="auto" w:fill="auto"/>
          </w:tcPr>
          <w:p w14:paraId="4F5B4E11" w14:textId="77777777" w:rsidR="009D4A93" w:rsidRPr="00536CFD" w:rsidRDefault="009D4A93" w:rsidP="009D4A93">
            <w:pPr>
              <w:spacing w:after="0"/>
              <w:jc w:val="center"/>
              <w:rPr>
                <w:lang w:eastAsia="ja-JP"/>
              </w:rPr>
            </w:pPr>
            <w:r w:rsidRPr="00536CFD">
              <w:rPr>
                <w:lang w:eastAsia="ja-JP"/>
              </w:rPr>
              <w:t>75.85</w:t>
            </w:r>
          </w:p>
        </w:tc>
        <w:tc>
          <w:tcPr>
            <w:tcW w:w="820" w:type="dxa"/>
            <w:tcBorders>
              <w:top w:val="single" w:sz="4" w:space="0" w:color="auto"/>
              <w:left w:val="nil"/>
              <w:bottom w:val="single" w:sz="4" w:space="0" w:color="auto"/>
              <w:right w:val="single" w:sz="4" w:space="0" w:color="auto"/>
            </w:tcBorders>
            <w:shd w:val="clear" w:color="auto" w:fill="auto"/>
          </w:tcPr>
          <w:p w14:paraId="7CCEC3CE" w14:textId="77777777" w:rsidR="009D4A93" w:rsidRPr="00536CFD" w:rsidRDefault="009D4A93" w:rsidP="009D4A93">
            <w:pPr>
              <w:spacing w:after="0"/>
              <w:jc w:val="center"/>
              <w:rPr>
                <w:lang w:eastAsia="ja-JP"/>
              </w:rPr>
            </w:pPr>
            <w:r w:rsidRPr="00536CFD">
              <w:rPr>
                <w:lang w:eastAsia="ja-JP"/>
              </w:rPr>
              <w:t>96.08</w:t>
            </w:r>
          </w:p>
        </w:tc>
        <w:tc>
          <w:tcPr>
            <w:tcW w:w="800" w:type="dxa"/>
            <w:tcBorders>
              <w:top w:val="single" w:sz="4" w:space="0" w:color="auto"/>
              <w:left w:val="nil"/>
              <w:bottom w:val="single" w:sz="4" w:space="0" w:color="auto"/>
              <w:right w:val="single" w:sz="4" w:space="0" w:color="auto"/>
            </w:tcBorders>
            <w:shd w:val="clear" w:color="auto" w:fill="auto"/>
          </w:tcPr>
          <w:p w14:paraId="233AB810" w14:textId="77777777" w:rsidR="009D4A93" w:rsidRPr="00536CFD" w:rsidRDefault="009D4A93" w:rsidP="009D4A93">
            <w:pPr>
              <w:spacing w:after="0"/>
              <w:jc w:val="center"/>
              <w:rPr>
                <w:lang w:eastAsia="ja-JP"/>
              </w:rPr>
            </w:pPr>
            <w:r w:rsidRPr="00536CFD">
              <w:rPr>
                <w:lang w:eastAsia="ja-JP"/>
              </w:rPr>
              <w:t>110.96</w:t>
            </w:r>
          </w:p>
        </w:tc>
        <w:tc>
          <w:tcPr>
            <w:tcW w:w="720" w:type="dxa"/>
            <w:tcBorders>
              <w:top w:val="single" w:sz="4" w:space="0" w:color="auto"/>
              <w:left w:val="nil"/>
              <w:bottom w:val="single" w:sz="4" w:space="0" w:color="auto"/>
              <w:right w:val="single" w:sz="4" w:space="0" w:color="auto"/>
            </w:tcBorders>
            <w:shd w:val="clear" w:color="auto" w:fill="auto"/>
          </w:tcPr>
          <w:p w14:paraId="1EB40BF7" w14:textId="77777777" w:rsidR="009D4A93" w:rsidRPr="00536CFD" w:rsidRDefault="009D4A93" w:rsidP="009D4A93">
            <w:pPr>
              <w:spacing w:after="0"/>
              <w:jc w:val="center"/>
              <w:rPr>
                <w:lang w:eastAsia="ja-JP"/>
              </w:rPr>
            </w:pPr>
            <w:r w:rsidRPr="00536CFD">
              <w:rPr>
                <w:lang w:eastAsia="ja-JP"/>
              </w:rPr>
              <w:t>125.58</w:t>
            </w:r>
          </w:p>
        </w:tc>
        <w:tc>
          <w:tcPr>
            <w:tcW w:w="724" w:type="dxa"/>
            <w:tcBorders>
              <w:top w:val="single" w:sz="4" w:space="0" w:color="auto"/>
              <w:left w:val="nil"/>
              <w:bottom w:val="single" w:sz="4" w:space="0" w:color="auto"/>
              <w:right w:val="single" w:sz="4" w:space="0" w:color="auto"/>
            </w:tcBorders>
            <w:shd w:val="clear" w:color="auto" w:fill="auto"/>
          </w:tcPr>
          <w:p w14:paraId="7C3BC783" w14:textId="77777777" w:rsidR="009D4A93" w:rsidRPr="00536CFD" w:rsidRDefault="009D4A93" w:rsidP="009D4A93">
            <w:pPr>
              <w:spacing w:after="0"/>
              <w:jc w:val="center"/>
              <w:rPr>
                <w:lang w:eastAsia="ja-JP"/>
              </w:rPr>
            </w:pPr>
            <w:r w:rsidRPr="00536CFD">
              <w:rPr>
                <w:lang w:eastAsia="ja-JP"/>
              </w:rPr>
              <w:t>50.83</w:t>
            </w:r>
          </w:p>
        </w:tc>
        <w:tc>
          <w:tcPr>
            <w:tcW w:w="896" w:type="dxa"/>
            <w:tcBorders>
              <w:top w:val="single" w:sz="4" w:space="0" w:color="auto"/>
              <w:left w:val="nil"/>
              <w:bottom w:val="single" w:sz="4" w:space="0" w:color="auto"/>
              <w:right w:val="single" w:sz="4" w:space="0" w:color="auto"/>
            </w:tcBorders>
            <w:shd w:val="clear" w:color="auto" w:fill="auto"/>
          </w:tcPr>
          <w:p w14:paraId="1C61E30E" w14:textId="77777777" w:rsidR="009D4A93" w:rsidRPr="00536CFD" w:rsidRDefault="009D4A93" w:rsidP="009D4A93">
            <w:pPr>
              <w:spacing w:after="0"/>
              <w:jc w:val="center"/>
              <w:rPr>
                <w:lang w:eastAsia="ja-JP"/>
              </w:rPr>
            </w:pPr>
            <w:r w:rsidRPr="00536CFD">
              <w:rPr>
                <w:lang w:eastAsia="ja-JP"/>
              </w:rPr>
              <w:t>77.18</w:t>
            </w:r>
          </w:p>
        </w:tc>
        <w:tc>
          <w:tcPr>
            <w:tcW w:w="720" w:type="dxa"/>
            <w:tcBorders>
              <w:top w:val="single" w:sz="4" w:space="0" w:color="auto"/>
              <w:left w:val="nil"/>
              <w:bottom w:val="single" w:sz="4" w:space="0" w:color="auto"/>
              <w:right w:val="single" w:sz="4" w:space="0" w:color="auto"/>
            </w:tcBorders>
            <w:shd w:val="clear" w:color="auto" w:fill="auto"/>
          </w:tcPr>
          <w:p w14:paraId="72504A4D" w14:textId="77777777" w:rsidR="009D4A93" w:rsidRPr="00536CFD" w:rsidRDefault="009D4A93" w:rsidP="009D4A93">
            <w:pPr>
              <w:spacing w:after="0"/>
              <w:jc w:val="center"/>
              <w:rPr>
                <w:lang w:eastAsia="ja-JP"/>
              </w:rPr>
            </w:pPr>
            <w:r w:rsidRPr="00536CFD">
              <w:rPr>
                <w:lang w:eastAsia="ja-JP"/>
              </w:rPr>
              <w:t>81.33</w:t>
            </w:r>
          </w:p>
        </w:tc>
        <w:tc>
          <w:tcPr>
            <w:tcW w:w="720" w:type="dxa"/>
            <w:tcBorders>
              <w:top w:val="single" w:sz="4" w:space="0" w:color="auto"/>
              <w:left w:val="nil"/>
              <w:bottom w:val="single" w:sz="4" w:space="0" w:color="auto"/>
              <w:right w:val="single" w:sz="4" w:space="0" w:color="auto"/>
            </w:tcBorders>
            <w:shd w:val="clear" w:color="auto" w:fill="auto"/>
          </w:tcPr>
          <w:p w14:paraId="0D3F7159" w14:textId="77777777" w:rsidR="009D4A93" w:rsidRPr="00536CFD" w:rsidRDefault="009D4A93" w:rsidP="009D4A93">
            <w:pPr>
              <w:spacing w:after="0"/>
              <w:jc w:val="center"/>
              <w:rPr>
                <w:lang w:eastAsia="ja-JP"/>
              </w:rPr>
            </w:pPr>
            <w:r w:rsidRPr="00536CFD">
              <w:rPr>
                <w:lang w:eastAsia="ja-JP"/>
              </w:rPr>
              <w:t>122.77</w:t>
            </w:r>
          </w:p>
        </w:tc>
      </w:tr>
      <w:tr w:rsidR="009D4A93" w:rsidRPr="00536CFD" w14:paraId="543118F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F0B3FA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D961E7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31BC6E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2BAA2F36" w14:textId="77777777" w:rsidR="009D4A93" w:rsidRPr="00536CFD" w:rsidRDefault="009D4A93" w:rsidP="009D4A93">
            <w:pPr>
              <w:spacing w:after="0"/>
              <w:jc w:val="center"/>
              <w:rPr>
                <w:lang w:eastAsia="ja-JP"/>
              </w:rPr>
            </w:pPr>
            <w:r w:rsidRPr="00536CFD">
              <w:rPr>
                <w:lang w:eastAsia="ja-JP"/>
              </w:rPr>
              <w:t>80.59</w:t>
            </w:r>
          </w:p>
        </w:tc>
        <w:tc>
          <w:tcPr>
            <w:tcW w:w="720" w:type="dxa"/>
            <w:tcBorders>
              <w:top w:val="single" w:sz="4" w:space="0" w:color="auto"/>
              <w:left w:val="nil"/>
              <w:bottom w:val="single" w:sz="4" w:space="0" w:color="auto"/>
              <w:right w:val="single" w:sz="4" w:space="0" w:color="auto"/>
            </w:tcBorders>
            <w:shd w:val="clear" w:color="auto" w:fill="auto"/>
          </w:tcPr>
          <w:p w14:paraId="3AE1F34C" w14:textId="77777777" w:rsidR="009D4A93" w:rsidRPr="00536CFD" w:rsidRDefault="009D4A93" w:rsidP="009D4A93">
            <w:pPr>
              <w:spacing w:after="0"/>
              <w:jc w:val="center"/>
              <w:rPr>
                <w:lang w:eastAsia="ja-JP"/>
              </w:rPr>
            </w:pPr>
            <w:r w:rsidRPr="00536CFD">
              <w:rPr>
                <w:lang w:eastAsia="ja-JP"/>
              </w:rPr>
              <w:t>85.85</w:t>
            </w:r>
          </w:p>
        </w:tc>
        <w:tc>
          <w:tcPr>
            <w:tcW w:w="720" w:type="dxa"/>
            <w:tcBorders>
              <w:top w:val="single" w:sz="4" w:space="0" w:color="auto"/>
              <w:left w:val="nil"/>
              <w:bottom w:val="single" w:sz="4" w:space="0" w:color="auto"/>
              <w:right w:val="single" w:sz="4" w:space="0" w:color="auto"/>
            </w:tcBorders>
            <w:shd w:val="clear" w:color="auto" w:fill="auto"/>
          </w:tcPr>
          <w:p w14:paraId="093F8BCC" w14:textId="77777777" w:rsidR="009D4A93" w:rsidRPr="00536CFD" w:rsidRDefault="009D4A93" w:rsidP="009D4A93">
            <w:pPr>
              <w:spacing w:after="0"/>
              <w:jc w:val="center"/>
              <w:rPr>
                <w:lang w:eastAsia="ja-JP"/>
              </w:rPr>
            </w:pPr>
            <w:r w:rsidRPr="00536CFD">
              <w:rPr>
                <w:lang w:eastAsia="ja-JP"/>
              </w:rPr>
              <w:t>101.63</w:t>
            </w:r>
          </w:p>
        </w:tc>
        <w:tc>
          <w:tcPr>
            <w:tcW w:w="810" w:type="dxa"/>
            <w:tcBorders>
              <w:top w:val="single" w:sz="4" w:space="0" w:color="auto"/>
              <w:left w:val="nil"/>
              <w:bottom w:val="single" w:sz="4" w:space="0" w:color="auto"/>
              <w:right w:val="single" w:sz="4" w:space="0" w:color="auto"/>
            </w:tcBorders>
            <w:shd w:val="clear" w:color="auto" w:fill="auto"/>
          </w:tcPr>
          <w:p w14:paraId="65E2B4C6" w14:textId="77777777" w:rsidR="009D4A93" w:rsidRPr="00536CFD" w:rsidRDefault="009D4A93" w:rsidP="009D4A93">
            <w:pPr>
              <w:spacing w:after="0"/>
              <w:jc w:val="center"/>
              <w:rPr>
                <w:lang w:eastAsia="ja-JP"/>
              </w:rPr>
            </w:pPr>
            <w:r w:rsidRPr="00536CFD">
              <w:rPr>
                <w:lang w:eastAsia="ja-JP"/>
              </w:rPr>
              <w:t>106.44</w:t>
            </w:r>
          </w:p>
        </w:tc>
        <w:tc>
          <w:tcPr>
            <w:tcW w:w="810" w:type="dxa"/>
            <w:tcBorders>
              <w:top w:val="single" w:sz="4" w:space="0" w:color="auto"/>
              <w:left w:val="nil"/>
              <w:bottom w:val="single" w:sz="4" w:space="0" w:color="auto"/>
              <w:right w:val="single" w:sz="4" w:space="0" w:color="auto"/>
            </w:tcBorders>
            <w:shd w:val="clear" w:color="auto" w:fill="auto"/>
          </w:tcPr>
          <w:p w14:paraId="453DFB74" w14:textId="77777777" w:rsidR="009D4A93" w:rsidRPr="00536CFD" w:rsidRDefault="009D4A93" w:rsidP="009D4A93">
            <w:pPr>
              <w:spacing w:after="0"/>
              <w:jc w:val="center"/>
              <w:rPr>
                <w:lang w:eastAsia="ja-JP"/>
              </w:rPr>
            </w:pPr>
            <w:r w:rsidRPr="00536CFD">
              <w:rPr>
                <w:lang w:eastAsia="ja-JP"/>
              </w:rPr>
              <w:t>54.14</w:t>
            </w:r>
          </w:p>
        </w:tc>
        <w:tc>
          <w:tcPr>
            <w:tcW w:w="820" w:type="dxa"/>
            <w:tcBorders>
              <w:top w:val="single" w:sz="4" w:space="0" w:color="auto"/>
              <w:left w:val="nil"/>
              <w:bottom w:val="single" w:sz="4" w:space="0" w:color="auto"/>
              <w:right w:val="single" w:sz="4" w:space="0" w:color="auto"/>
            </w:tcBorders>
            <w:shd w:val="clear" w:color="auto" w:fill="auto"/>
          </w:tcPr>
          <w:p w14:paraId="75E45DB7" w14:textId="77777777" w:rsidR="009D4A93" w:rsidRPr="00536CFD" w:rsidRDefault="009D4A93" w:rsidP="009D4A93">
            <w:pPr>
              <w:spacing w:after="0"/>
              <w:jc w:val="center"/>
              <w:rPr>
                <w:lang w:eastAsia="ja-JP"/>
              </w:rPr>
            </w:pPr>
            <w:r w:rsidRPr="00536CFD">
              <w:rPr>
                <w:lang w:eastAsia="ja-JP"/>
              </w:rPr>
              <w:t>71.08</w:t>
            </w:r>
          </w:p>
        </w:tc>
        <w:tc>
          <w:tcPr>
            <w:tcW w:w="800" w:type="dxa"/>
            <w:tcBorders>
              <w:top w:val="single" w:sz="4" w:space="0" w:color="auto"/>
              <w:left w:val="nil"/>
              <w:bottom w:val="single" w:sz="4" w:space="0" w:color="auto"/>
              <w:right w:val="single" w:sz="4" w:space="0" w:color="auto"/>
            </w:tcBorders>
            <w:shd w:val="clear" w:color="auto" w:fill="auto"/>
          </w:tcPr>
          <w:p w14:paraId="54EC27BF" w14:textId="77777777" w:rsidR="009D4A93" w:rsidRPr="00536CFD" w:rsidRDefault="009D4A93" w:rsidP="009D4A93">
            <w:pPr>
              <w:spacing w:after="0"/>
              <w:jc w:val="center"/>
              <w:rPr>
                <w:lang w:eastAsia="ja-JP"/>
              </w:rPr>
            </w:pPr>
            <w:r w:rsidRPr="00536CFD">
              <w:rPr>
                <w:lang w:eastAsia="ja-JP"/>
              </w:rPr>
              <w:t>83.27</w:t>
            </w:r>
          </w:p>
        </w:tc>
        <w:tc>
          <w:tcPr>
            <w:tcW w:w="720" w:type="dxa"/>
            <w:tcBorders>
              <w:top w:val="single" w:sz="4" w:space="0" w:color="auto"/>
              <w:left w:val="nil"/>
              <w:bottom w:val="single" w:sz="4" w:space="0" w:color="auto"/>
              <w:right w:val="single" w:sz="4" w:space="0" w:color="auto"/>
            </w:tcBorders>
            <w:shd w:val="clear" w:color="auto" w:fill="auto"/>
          </w:tcPr>
          <w:p w14:paraId="02BDA461" w14:textId="77777777" w:rsidR="009D4A93" w:rsidRPr="00536CFD" w:rsidRDefault="009D4A93" w:rsidP="009D4A93">
            <w:pPr>
              <w:spacing w:after="0"/>
              <w:jc w:val="center"/>
              <w:rPr>
                <w:lang w:eastAsia="ja-JP"/>
              </w:rPr>
            </w:pPr>
            <w:r w:rsidRPr="00536CFD">
              <w:rPr>
                <w:lang w:eastAsia="ja-JP"/>
              </w:rPr>
              <w:t>98.89</w:t>
            </w:r>
          </w:p>
        </w:tc>
        <w:tc>
          <w:tcPr>
            <w:tcW w:w="724" w:type="dxa"/>
            <w:tcBorders>
              <w:top w:val="single" w:sz="4" w:space="0" w:color="auto"/>
              <w:left w:val="nil"/>
              <w:bottom w:val="single" w:sz="4" w:space="0" w:color="auto"/>
              <w:right w:val="single" w:sz="4" w:space="0" w:color="auto"/>
            </w:tcBorders>
            <w:shd w:val="clear" w:color="auto" w:fill="auto"/>
          </w:tcPr>
          <w:p w14:paraId="4057D67C" w14:textId="77777777" w:rsidR="009D4A93" w:rsidRPr="00536CFD" w:rsidRDefault="009D4A93" w:rsidP="009D4A93">
            <w:pPr>
              <w:spacing w:after="0"/>
              <w:jc w:val="center"/>
              <w:rPr>
                <w:lang w:eastAsia="ja-JP"/>
              </w:rPr>
            </w:pPr>
            <w:r w:rsidRPr="00536CFD">
              <w:rPr>
                <w:lang w:eastAsia="ja-JP"/>
              </w:rPr>
              <w:t>30.03</w:t>
            </w:r>
          </w:p>
        </w:tc>
        <w:tc>
          <w:tcPr>
            <w:tcW w:w="896" w:type="dxa"/>
            <w:tcBorders>
              <w:top w:val="single" w:sz="4" w:space="0" w:color="auto"/>
              <w:left w:val="nil"/>
              <w:bottom w:val="single" w:sz="4" w:space="0" w:color="auto"/>
              <w:right w:val="single" w:sz="4" w:space="0" w:color="auto"/>
            </w:tcBorders>
            <w:shd w:val="clear" w:color="auto" w:fill="auto"/>
          </w:tcPr>
          <w:p w14:paraId="04CC2433" w14:textId="77777777" w:rsidR="009D4A93" w:rsidRPr="00536CFD" w:rsidRDefault="009D4A93" w:rsidP="009D4A93">
            <w:pPr>
              <w:spacing w:after="0"/>
              <w:jc w:val="center"/>
              <w:rPr>
                <w:lang w:eastAsia="ja-JP"/>
              </w:rPr>
            </w:pPr>
            <w:r w:rsidRPr="00536CFD">
              <w:rPr>
                <w:lang w:eastAsia="ja-JP"/>
              </w:rPr>
              <w:t>51.30</w:t>
            </w:r>
          </w:p>
        </w:tc>
        <w:tc>
          <w:tcPr>
            <w:tcW w:w="720" w:type="dxa"/>
            <w:tcBorders>
              <w:top w:val="single" w:sz="4" w:space="0" w:color="auto"/>
              <w:left w:val="nil"/>
              <w:bottom w:val="single" w:sz="4" w:space="0" w:color="auto"/>
              <w:right w:val="single" w:sz="4" w:space="0" w:color="auto"/>
            </w:tcBorders>
            <w:shd w:val="clear" w:color="auto" w:fill="auto"/>
          </w:tcPr>
          <w:p w14:paraId="26957825" w14:textId="77777777" w:rsidR="009D4A93" w:rsidRPr="00536CFD" w:rsidRDefault="009D4A93" w:rsidP="009D4A93">
            <w:pPr>
              <w:spacing w:after="0"/>
              <w:jc w:val="center"/>
              <w:rPr>
                <w:lang w:eastAsia="ja-JP"/>
              </w:rPr>
            </w:pPr>
            <w:r w:rsidRPr="00536CFD">
              <w:rPr>
                <w:lang w:eastAsia="ja-JP"/>
              </w:rPr>
              <w:t>55.92</w:t>
            </w:r>
          </w:p>
        </w:tc>
        <w:tc>
          <w:tcPr>
            <w:tcW w:w="720" w:type="dxa"/>
            <w:tcBorders>
              <w:top w:val="single" w:sz="4" w:space="0" w:color="auto"/>
              <w:left w:val="nil"/>
              <w:bottom w:val="single" w:sz="4" w:space="0" w:color="auto"/>
              <w:right w:val="single" w:sz="4" w:space="0" w:color="auto"/>
            </w:tcBorders>
            <w:shd w:val="clear" w:color="auto" w:fill="auto"/>
          </w:tcPr>
          <w:p w14:paraId="4F2EDF15" w14:textId="77777777" w:rsidR="009D4A93" w:rsidRPr="00536CFD" w:rsidRDefault="009D4A93" w:rsidP="009D4A93">
            <w:pPr>
              <w:spacing w:after="0"/>
              <w:jc w:val="center"/>
              <w:rPr>
                <w:lang w:eastAsia="ja-JP"/>
              </w:rPr>
            </w:pPr>
            <w:r w:rsidRPr="00536CFD">
              <w:rPr>
                <w:lang w:eastAsia="ja-JP"/>
              </w:rPr>
              <w:t>93.23</w:t>
            </w:r>
          </w:p>
        </w:tc>
      </w:tr>
      <w:tr w:rsidR="009D4A93" w:rsidRPr="00536CFD" w14:paraId="66F400C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A96E077"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092E2C4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4B6604D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23D4DD3D" w14:textId="77777777" w:rsidR="009D4A93" w:rsidRPr="00536CFD" w:rsidRDefault="009D4A93" w:rsidP="009D4A93">
            <w:pPr>
              <w:spacing w:after="0"/>
              <w:jc w:val="center"/>
              <w:rPr>
                <w:lang w:eastAsia="ja-JP"/>
              </w:rPr>
            </w:pPr>
            <w:r w:rsidRPr="00536CFD">
              <w:rPr>
                <w:lang w:eastAsia="ja-JP"/>
              </w:rPr>
              <w:t>0.036</w:t>
            </w:r>
          </w:p>
        </w:tc>
        <w:tc>
          <w:tcPr>
            <w:tcW w:w="720" w:type="dxa"/>
            <w:tcBorders>
              <w:top w:val="single" w:sz="4" w:space="0" w:color="auto"/>
              <w:left w:val="nil"/>
              <w:bottom w:val="single" w:sz="4" w:space="0" w:color="auto"/>
              <w:right w:val="single" w:sz="4" w:space="0" w:color="auto"/>
            </w:tcBorders>
            <w:shd w:val="clear" w:color="auto" w:fill="auto"/>
          </w:tcPr>
          <w:p w14:paraId="38382FEC" w14:textId="77777777" w:rsidR="009D4A93" w:rsidRPr="00536CFD" w:rsidRDefault="009D4A93" w:rsidP="009D4A93">
            <w:pPr>
              <w:spacing w:after="0"/>
              <w:jc w:val="center"/>
              <w:rPr>
                <w:lang w:eastAsia="ja-JP"/>
              </w:rPr>
            </w:pPr>
            <w:r w:rsidRPr="00536CFD">
              <w:rPr>
                <w:lang w:eastAsia="ja-JP"/>
              </w:rPr>
              <w:t>0.033</w:t>
            </w:r>
          </w:p>
        </w:tc>
        <w:tc>
          <w:tcPr>
            <w:tcW w:w="720" w:type="dxa"/>
            <w:tcBorders>
              <w:top w:val="single" w:sz="4" w:space="0" w:color="auto"/>
              <w:left w:val="nil"/>
              <w:bottom w:val="single" w:sz="4" w:space="0" w:color="auto"/>
              <w:right w:val="single" w:sz="4" w:space="0" w:color="auto"/>
            </w:tcBorders>
            <w:shd w:val="clear" w:color="auto" w:fill="auto"/>
          </w:tcPr>
          <w:p w14:paraId="5E934481" w14:textId="77777777" w:rsidR="009D4A93" w:rsidRPr="00536CFD" w:rsidRDefault="009D4A93" w:rsidP="009D4A93">
            <w:pPr>
              <w:spacing w:after="0"/>
              <w:jc w:val="center"/>
              <w:rPr>
                <w:lang w:eastAsia="ja-JP"/>
              </w:rPr>
            </w:pPr>
            <w:r w:rsidRPr="00536CFD">
              <w:rPr>
                <w:lang w:eastAsia="ja-JP"/>
              </w:rPr>
              <w:t>0.027</w:t>
            </w:r>
          </w:p>
        </w:tc>
        <w:tc>
          <w:tcPr>
            <w:tcW w:w="810" w:type="dxa"/>
            <w:tcBorders>
              <w:top w:val="single" w:sz="4" w:space="0" w:color="auto"/>
              <w:left w:val="nil"/>
              <w:bottom w:val="single" w:sz="4" w:space="0" w:color="auto"/>
              <w:right w:val="single" w:sz="4" w:space="0" w:color="auto"/>
            </w:tcBorders>
            <w:shd w:val="clear" w:color="auto" w:fill="auto"/>
          </w:tcPr>
          <w:p w14:paraId="52B7E58C" w14:textId="77777777" w:rsidR="009D4A93" w:rsidRPr="00536CFD" w:rsidRDefault="009D4A93" w:rsidP="009D4A93">
            <w:pPr>
              <w:spacing w:after="0"/>
              <w:jc w:val="center"/>
              <w:rPr>
                <w:lang w:eastAsia="ja-JP"/>
              </w:rPr>
            </w:pPr>
            <w:r w:rsidRPr="00536CFD">
              <w:rPr>
                <w:lang w:eastAsia="ja-JP"/>
              </w:rPr>
              <w:t>0.027</w:t>
            </w:r>
          </w:p>
        </w:tc>
        <w:tc>
          <w:tcPr>
            <w:tcW w:w="810" w:type="dxa"/>
            <w:tcBorders>
              <w:top w:val="single" w:sz="4" w:space="0" w:color="auto"/>
              <w:left w:val="nil"/>
              <w:bottom w:val="single" w:sz="4" w:space="0" w:color="auto"/>
              <w:right w:val="single" w:sz="4" w:space="0" w:color="auto"/>
            </w:tcBorders>
            <w:shd w:val="clear" w:color="auto" w:fill="auto"/>
          </w:tcPr>
          <w:p w14:paraId="73EE2025" w14:textId="77777777" w:rsidR="009D4A93" w:rsidRPr="00536CFD" w:rsidRDefault="009D4A93" w:rsidP="009D4A93">
            <w:pPr>
              <w:spacing w:after="0"/>
              <w:jc w:val="center"/>
              <w:rPr>
                <w:lang w:eastAsia="ja-JP"/>
              </w:rPr>
            </w:pPr>
            <w:r w:rsidRPr="00536CFD">
              <w:rPr>
                <w:lang w:eastAsia="ja-JP"/>
              </w:rPr>
              <w:t>0.043</w:t>
            </w:r>
          </w:p>
        </w:tc>
        <w:tc>
          <w:tcPr>
            <w:tcW w:w="820" w:type="dxa"/>
            <w:tcBorders>
              <w:top w:val="single" w:sz="4" w:space="0" w:color="auto"/>
              <w:left w:val="nil"/>
              <w:bottom w:val="single" w:sz="4" w:space="0" w:color="auto"/>
              <w:right w:val="single" w:sz="4" w:space="0" w:color="auto"/>
            </w:tcBorders>
            <w:shd w:val="clear" w:color="auto" w:fill="auto"/>
          </w:tcPr>
          <w:p w14:paraId="1154280D" w14:textId="77777777" w:rsidR="009D4A93" w:rsidRPr="00536CFD" w:rsidRDefault="009D4A93" w:rsidP="009D4A93">
            <w:pPr>
              <w:spacing w:after="0"/>
              <w:jc w:val="center"/>
              <w:rPr>
                <w:lang w:eastAsia="ja-JP"/>
              </w:rPr>
            </w:pPr>
            <w:r w:rsidRPr="00536CFD">
              <w:rPr>
                <w:lang w:eastAsia="ja-JP"/>
              </w:rPr>
              <w:t>0.045</w:t>
            </w:r>
          </w:p>
        </w:tc>
        <w:tc>
          <w:tcPr>
            <w:tcW w:w="800" w:type="dxa"/>
            <w:tcBorders>
              <w:top w:val="single" w:sz="4" w:space="0" w:color="auto"/>
              <w:left w:val="nil"/>
              <w:bottom w:val="single" w:sz="4" w:space="0" w:color="auto"/>
              <w:right w:val="single" w:sz="4" w:space="0" w:color="auto"/>
            </w:tcBorders>
            <w:shd w:val="clear" w:color="auto" w:fill="auto"/>
          </w:tcPr>
          <w:p w14:paraId="649130E5" w14:textId="77777777" w:rsidR="009D4A93" w:rsidRPr="00536CFD" w:rsidRDefault="009D4A93" w:rsidP="009D4A93">
            <w:pPr>
              <w:spacing w:after="0"/>
              <w:jc w:val="center"/>
              <w:rPr>
                <w:lang w:eastAsia="ja-JP"/>
              </w:rPr>
            </w:pPr>
            <w:r w:rsidRPr="00536CFD">
              <w:rPr>
                <w:lang w:eastAsia="ja-JP"/>
              </w:rPr>
              <w:t>0.061</w:t>
            </w:r>
          </w:p>
        </w:tc>
        <w:tc>
          <w:tcPr>
            <w:tcW w:w="720" w:type="dxa"/>
            <w:tcBorders>
              <w:top w:val="single" w:sz="4" w:space="0" w:color="auto"/>
              <w:left w:val="nil"/>
              <w:bottom w:val="single" w:sz="4" w:space="0" w:color="auto"/>
              <w:right w:val="single" w:sz="4" w:space="0" w:color="auto"/>
            </w:tcBorders>
            <w:shd w:val="clear" w:color="auto" w:fill="auto"/>
          </w:tcPr>
          <w:p w14:paraId="310DA78B" w14:textId="77777777" w:rsidR="009D4A93" w:rsidRPr="00536CFD" w:rsidRDefault="009D4A93" w:rsidP="009D4A93">
            <w:pPr>
              <w:spacing w:after="0"/>
              <w:jc w:val="center"/>
              <w:rPr>
                <w:lang w:eastAsia="ja-JP"/>
              </w:rPr>
            </w:pPr>
            <w:r w:rsidRPr="00536CFD">
              <w:rPr>
                <w:lang w:eastAsia="ja-JP"/>
              </w:rPr>
              <w:t>0.028</w:t>
            </w:r>
          </w:p>
        </w:tc>
        <w:tc>
          <w:tcPr>
            <w:tcW w:w="724" w:type="dxa"/>
            <w:tcBorders>
              <w:top w:val="single" w:sz="4" w:space="0" w:color="auto"/>
              <w:left w:val="nil"/>
              <w:bottom w:val="single" w:sz="4" w:space="0" w:color="auto"/>
              <w:right w:val="single" w:sz="4" w:space="0" w:color="auto"/>
            </w:tcBorders>
            <w:shd w:val="clear" w:color="auto" w:fill="auto"/>
          </w:tcPr>
          <w:p w14:paraId="73E15DFA" w14:textId="77777777" w:rsidR="009D4A93" w:rsidRPr="00536CFD" w:rsidRDefault="009D4A93" w:rsidP="009D4A93">
            <w:pPr>
              <w:spacing w:after="0"/>
              <w:jc w:val="center"/>
              <w:rPr>
                <w:lang w:eastAsia="ja-JP"/>
              </w:rPr>
            </w:pPr>
            <w:r w:rsidRPr="00536CFD">
              <w:rPr>
                <w:lang w:eastAsia="ja-JP"/>
              </w:rPr>
              <w:t>0.081</w:t>
            </w:r>
          </w:p>
        </w:tc>
        <w:tc>
          <w:tcPr>
            <w:tcW w:w="896" w:type="dxa"/>
            <w:tcBorders>
              <w:top w:val="single" w:sz="4" w:space="0" w:color="auto"/>
              <w:left w:val="nil"/>
              <w:bottom w:val="single" w:sz="4" w:space="0" w:color="auto"/>
              <w:right w:val="single" w:sz="4" w:space="0" w:color="auto"/>
            </w:tcBorders>
            <w:shd w:val="clear" w:color="auto" w:fill="auto"/>
          </w:tcPr>
          <w:p w14:paraId="27DF41E6" w14:textId="77777777" w:rsidR="009D4A93" w:rsidRPr="00536CFD" w:rsidRDefault="009D4A93" w:rsidP="009D4A93">
            <w:pPr>
              <w:spacing w:after="0"/>
              <w:jc w:val="center"/>
              <w:rPr>
                <w:lang w:eastAsia="ja-JP"/>
              </w:rPr>
            </w:pPr>
            <w:r w:rsidRPr="00536CFD">
              <w:rPr>
                <w:lang w:eastAsia="ja-JP"/>
              </w:rPr>
              <w:t>0.080</w:t>
            </w:r>
          </w:p>
        </w:tc>
        <w:tc>
          <w:tcPr>
            <w:tcW w:w="720" w:type="dxa"/>
            <w:tcBorders>
              <w:top w:val="single" w:sz="4" w:space="0" w:color="auto"/>
              <w:left w:val="nil"/>
              <w:bottom w:val="single" w:sz="4" w:space="0" w:color="auto"/>
              <w:right w:val="single" w:sz="4" w:space="0" w:color="auto"/>
            </w:tcBorders>
            <w:shd w:val="clear" w:color="auto" w:fill="auto"/>
          </w:tcPr>
          <w:p w14:paraId="3AEFD49E" w14:textId="77777777" w:rsidR="009D4A93" w:rsidRPr="00536CFD" w:rsidRDefault="009D4A93" w:rsidP="009D4A93">
            <w:pPr>
              <w:spacing w:after="0"/>
              <w:jc w:val="center"/>
              <w:rPr>
                <w:lang w:eastAsia="ja-JP"/>
              </w:rPr>
            </w:pPr>
            <w:r w:rsidRPr="00536CFD">
              <w:rPr>
                <w:lang w:eastAsia="ja-JP"/>
              </w:rPr>
              <w:t>0.130</w:t>
            </w:r>
          </w:p>
        </w:tc>
        <w:tc>
          <w:tcPr>
            <w:tcW w:w="720" w:type="dxa"/>
            <w:tcBorders>
              <w:top w:val="single" w:sz="4" w:space="0" w:color="auto"/>
              <w:left w:val="nil"/>
              <w:bottom w:val="single" w:sz="4" w:space="0" w:color="auto"/>
              <w:right w:val="single" w:sz="4" w:space="0" w:color="auto"/>
            </w:tcBorders>
            <w:shd w:val="clear" w:color="auto" w:fill="auto"/>
          </w:tcPr>
          <w:p w14:paraId="1DBC96DB" w14:textId="77777777" w:rsidR="009D4A93" w:rsidRPr="00536CFD" w:rsidRDefault="009D4A93" w:rsidP="009D4A93">
            <w:pPr>
              <w:spacing w:after="0"/>
              <w:jc w:val="center"/>
              <w:rPr>
                <w:lang w:eastAsia="ja-JP"/>
              </w:rPr>
            </w:pPr>
            <w:r w:rsidRPr="00536CFD">
              <w:rPr>
                <w:lang w:eastAsia="ja-JP"/>
              </w:rPr>
              <w:t>0.029</w:t>
            </w:r>
          </w:p>
        </w:tc>
      </w:tr>
      <w:tr w:rsidR="009D4A93" w:rsidRPr="00536CFD" w14:paraId="5ED9E97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9CF05D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61F2B3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4C9ECB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518A2AFA" w14:textId="77777777" w:rsidR="009D4A93" w:rsidRPr="00536CFD" w:rsidRDefault="009D4A93" w:rsidP="009D4A93">
            <w:pPr>
              <w:spacing w:after="0"/>
              <w:jc w:val="center"/>
              <w:rPr>
                <w:lang w:eastAsia="ja-JP"/>
              </w:rPr>
            </w:pPr>
            <w:r w:rsidRPr="00536CFD">
              <w:rPr>
                <w:lang w:eastAsia="ja-JP"/>
              </w:rPr>
              <w:t>0.153</w:t>
            </w:r>
          </w:p>
        </w:tc>
        <w:tc>
          <w:tcPr>
            <w:tcW w:w="720" w:type="dxa"/>
            <w:tcBorders>
              <w:top w:val="single" w:sz="4" w:space="0" w:color="auto"/>
              <w:left w:val="nil"/>
              <w:bottom w:val="single" w:sz="4" w:space="0" w:color="auto"/>
              <w:right w:val="single" w:sz="4" w:space="0" w:color="auto"/>
            </w:tcBorders>
            <w:shd w:val="clear" w:color="auto" w:fill="auto"/>
          </w:tcPr>
          <w:p w14:paraId="3C9F8925" w14:textId="77777777" w:rsidR="009D4A93" w:rsidRPr="00536CFD" w:rsidRDefault="009D4A93" w:rsidP="009D4A93">
            <w:pPr>
              <w:spacing w:after="0"/>
              <w:jc w:val="center"/>
              <w:rPr>
                <w:lang w:eastAsia="ja-JP"/>
              </w:rPr>
            </w:pPr>
            <w:r w:rsidRPr="00536CFD">
              <w:rPr>
                <w:lang w:eastAsia="ja-JP"/>
              </w:rPr>
              <w:t>0.047</w:t>
            </w:r>
          </w:p>
        </w:tc>
        <w:tc>
          <w:tcPr>
            <w:tcW w:w="720" w:type="dxa"/>
            <w:tcBorders>
              <w:top w:val="single" w:sz="4" w:space="0" w:color="auto"/>
              <w:left w:val="nil"/>
              <w:bottom w:val="single" w:sz="4" w:space="0" w:color="auto"/>
              <w:right w:val="single" w:sz="4" w:space="0" w:color="auto"/>
            </w:tcBorders>
            <w:shd w:val="clear" w:color="auto" w:fill="auto"/>
          </w:tcPr>
          <w:p w14:paraId="4F5D1F7D" w14:textId="77777777" w:rsidR="009D4A93" w:rsidRPr="00536CFD" w:rsidRDefault="009D4A93" w:rsidP="009D4A93">
            <w:pPr>
              <w:spacing w:after="0"/>
              <w:jc w:val="center"/>
              <w:rPr>
                <w:lang w:eastAsia="ja-JP"/>
              </w:rPr>
            </w:pPr>
            <w:r w:rsidRPr="00536CFD">
              <w:rPr>
                <w:lang w:eastAsia="ja-JP"/>
              </w:rPr>
              <w:t>0.043</w:t>
            </w:r>
          </w:p>
        </w:tc>
        <w:tc>
          <w:tcPr>
            <w:tcW w:w="810" w:type="dxa"/>
            <w:tcBorders>
              <w:top w:val="single" w:sz="4" w:space="0" w:color="auto"/>
              <w:left w:val="nil"/>
              <w:bottom w:val="single" w:sz="4" w:space="0" w:color="auto"/>
              <w:right w:val="single" w:sz="4" w:space="0" w:color="auto"/>
            </w:tcBorders>
            <w:shd w:val="clear" w:color="auto" w:fill="auto"/>
          </w:tcPr>
          <w:p w14:paraId="428DF074" w14:textId="77777777" w:rsidR="009D4A93" w:rsidRPr="00536CFD" w:rsidRDefault="009D4A93" w:rsidP="009D4A93">
            <w:pPr>
              <w:spacing w:after="0"/>
              <w:jc w:val="center"/>
              <w:rPr>
                <w:lang w:eastAsia="ja-JP"/>
              </w:rPr>
            </w:pPr>
            <w:r w:rsidRPr="00536CFD">
              <w:rPr>
                <w:lang w:eastAsia="ja-JP"/>
              </w:rPr>
              <w:t>0.033</w:t>
            </w:r>
          </w:p>
        </w:tc>
        <w:tc>
          <w:tcPr>
            <w:tcW w:w="810" w:type="dxa"/>
            <w:tcBorders>
              <w:top w:val="single" w:sz="4" w:space="0" w:color="auto"/>
              <w:left w:val="nil"/>
              <w:bottom w:val="single" w:sz="4" w:space="0" w:color="auto"/>
              <w:right w:val="single" w:sz="4" w:space="0" w:color="auto"/>
            </w:tcBorders>
            <w:shd w:val="clear" w:color="auto" w:fill="auto"/>
          </w:tcPr>
          <w:p w14:paraId="5A4E5726" w14:textId="77777777" w:rsidR="009D4A93" w:rsidRPr="00536CFD" w:rsidRDefault="009D4A93" w:rsidP="009D4A93">
            <w:pPr>
              <w:spacing w:after="0"/>
              <w:jc w:val="center"/>
              <w:rPr>
                <w:lang w:eastAsia="ja-JP"/>
              </w:rPr>
            </w:pPr>
            <w:r w:rsidRPr="00536CFD">
              <w:rPr>
                <w:lang w:eastAsia="ja-JP"/>
              </w:rPr>
              <w:t>0.419</w:t>
            </w:r>
          </w:p>
        </w:tc>
        <w:tc>
          <w:tcPr>
            <w:tcW w:w="820" w:type="dxa"/>
            <w:tcBorders>
              <w:top w:val="single" w:sz="4" w:space="0" w:color="auto"/>
              <w:left w:val="nil"/>
              <w:bottom w:val="single" w:sz="4" w:space="0" w:color="auto"/>
              <w:right w:val="single" w:sz="4" w:space="0" w:color="auto"/>
            </w:tcBorders>
            <w:shd w:val="clear" w:color="auto" w:fill="auto"/>
          </w:tcPr>
          <w:p w14:paraId="0A7231D0" w14:textId="77777777" w:rsidR="009D4A93" w:rsidRPr="00536CFD" w:rsidRDefault="009D4A93" w:rsidP="009D4A93">
            <w:pPr>
              <w:spacing w:after="0"/>
              <w:jc w:val="center"/>
              <w:rPr>
                <w:lang w:eastAsia="ja-JP"/>
              </w:rPr>
            </w:pPr>
            <w:r w:rsidRPr="00536CFD">
              <w:rPr>
                <w:lang w:eastAsia="ja-JP"/>
              </w:rPr>
              <w:t>0.181</w:t>
            </w:r>
          </w:p>
        </w:tc>
        <w:tc>
          <w:tcPr>
            <w:tcW w:w="800" w:type="dxa"/>
            <w:tcBorders>
              <w:top w:val="single" w:sz="4" w:space="0" w:color="auto"/>
              <w:left w:val="nil"/>
              <w:bottom w:val="single" w:sz="4" w:space="0" w:color="auto"/>
              <w:right w:val="single" w:sz="4" w:space="0" w:color="auto"/>
            </w:tcBorders>
            <w:shd w:val="clear" w:color="auto" w:fill="auto"/>
          </w:tcPr>
          <w:p w14:paraId="59EDA658" w14:textId="77777777" w:rsidR="009D4A93" w:rsidRPr="00536CFD" w:rsidRDefault="009D4A93" w:rsidP="009D4A93">
            <w:pPr>
              <w:spacing w:after="0"/>
              <w:jc w:val="center"/>
              <w:rPr>
                <w:lang w:eastAsia="ja-JP"/>
              </w:rPr>
            </w:pPr>
            <w:r w:rsidRPr="00536CFD">
              <w:rPr>
                <w:lang w:eastAsia="ja-JP"/>
              </w:rPr>
              <w:t>0.352</w:t>
            </w:r>
          </w:p>
        </w:tc>
        <w:tc>
          <w:tcPr>
            <w:tcW w:w="720" w:type="dxa"/>
            <w:tcBorders>
              <w:top w:val="single" w:sz="4" w:space="0" w:color="auto"/>
              <w:left w:val="nil"/>
              <w:bottom w:val="single" w:sz="4" w:space="0" w:color="auto"/>
              <w:right w:val="single" w:sz="4" w:space="0" w:color="auto"/>
            </w:tcBorders>
            <w:shd w:val="clear" w:color="auto" w:fill="auto"/>
          </w:tcPr>
          <w:p w14:paraId="0D135723" w14:textId="77777777" w:rsidR="009D4A93" w:rsidRPr="00536CFD" w:rsidRDefault="009D4A93" w:rsidP="009D4A93">
            <w:pPr>
              <w:spacing w:after="0"/>
              <w:jc w:val="center"/>
              <w:rPr>
                <w:lang w:eastAsia="ja-JP"/>
              </w:rPr>
            </w:pPr>
            <w:r w:rsidRPr="00536CFD">
              <w:rPr>
                <w:lang w:eastAsia="ja-JP"/>
              </w:rPr>
              <w:t>0.039</w:t>
            </w:r>
          </w:p>
        </w:tc>
        <w:tc>
          <w:tcPr>
            <w:tcW w:w="724" w:type="dxa"/>
            <w:tcBorders>
              <w:top w:val="single" w:sz="4" w:space="0" w:color="auto"/>
              <w:left w:val="nil"/>
              <w:bottom w:val="single" w:sz="4" w:space="0" w:color="auto"/>
              <w:right w:val="single" w:sz="4" w:space="0" w:color="auto"/>
            </w:tcBorders>
            <w:shd w:val="clear" w:color="auto" w:fill="auto"/>
          </w:tcPr>
          <w:p w14:paraId="3A029309" w14:textId="77777777" w:rsidR="009D4A93" w:rsidRPr="00536CFD" w:rsidRDefault="009D4A93" w:rsidP="009D4A93">
            <w:pPr>
              <w:spacing w:after="0"/>
              <w:jc w:val="center"/>
              <w:rPr>
                <w:lang w:eastAsia="ja-JP"/>
              </w:rPr>
            </w:pPr>
            <w:r w:rsidRPr="00536CFD">
              <w:rPr>
                <w:lang w:eastAsia="ja-JP"/>
              </w:rPr>
              <w:t>0.795</w:t>
            </w:r>
          </w:p>
        </w:tc>
        <w:tc>
          <w:tcPr>
            <w:tcW w:w="896" w:type="dxa"/>
            <w:tcBorders>
              <w:top w:val="single" w:sz="4" w:space="0" w:color="auto"/>
              <w:left w:val="nil"/>
              <w:bottom w:val="single" w:sz="4" w:space="0" w:color="auto"/>
              <w:right w:val="single" w:sz="4" w:space="0" w:color="auto"/>
            </w:tcBorders>
            <w:shd w:val="clear" w:color="auto" w:fill="auto"/>
          </w:tcPr>
          <w:p w14:paraId="0FCF9863" w14:textId="77777777" w:rsidR="009D4A93" w:rsidRPr="00536CFD" w:rsidRDefault="009D4A93" w:rsidP="009D4A93">
            <w:pPr>
              <w:spacing w:after="0"/>
              <w:jc w:val="center"/>
              <w:rPr>
                <w:lang w:eastAsia="ja-JP"/>
              </w:rPr>
            </w:pPr>
            <w:r w:rsidRPr="00536CFD">
              <w:rPr>
                <w:lang w:eastAsia="ja-JP"/>
              </w:rPr>
              <w:t>0.728</w:t>
            </w:r>
          </w:p>
        </w:tc>
        <w:tc>
          <w:tcPr>
            <w:tcW w:w="720" w:type="dxa"/>
            <w:tcBorders>
              <w:top w:val="single" w:sz="4" w:space="0" w:color="auto"/>
              <w:left w:val="nil"/>
              <w:bottom w:val="single" w:sz="4" w:space="0" w:color="auto"/>
              <w:right w:val="single" w:sz="4" w:space="0" w:color="auto"/>
            </w:tcBorders>
            <w:shd w:val="clear" w:color="auto" w:fill="auto"/>
          </w:tcPr>
          <w:p w14:paraId="2A15D8D2" w14:textId="77777777" w:rsidR="009D4A93" w:rsidRPr="00536CFD" w:rsidRDefault="009D4A93" w:rsidP="009D4A93">
            <w:pPr>
              <w:spacing w:after="0"/>
              <w:jc w:val="center"/>
              <w:rPr>
                <w:lang w:eastAsia="ja-JP"/>
              </w:rPr>
            </w:pPr>
            <w:r w:rsidRPr="00536CFD">
              <w:rPr>
                <w:lang w:eastAsia="ja-JP"/>
              </w:rPr>
              <w:t>1.233</w:t>
            </w:r>
          </w:p>
        </w:tc>
        <w:tc>
          <w:tcPr>
            <w:tcW w:w="720" w:type="dxa"/>
            <w:tcBorders>
              <w:top w:val="single" w:sz="4" w:space="0" w:color="auto"/>
              <w:left w:val="nil"/>
              <w:bottom w:val="single" w:sz="4" w:space="0" w:color="auto"/>
              <w:right w:val="single" w:sz="4" w:space="0" w:color="auto"/>
            </w:tcBorders>
            <w:shd w:val="clear" w:color="auto" w:fill="auto"/>
          </w:tcPr>
          <w:p w14:paraId="232BB560" w14:textId="77777777" w:rsidR="009D4A93" w:rsidRPr="00536CFD" w:rsidRDefault="009D4A93" w:rsidP="009D4A93">
            <w:pPr>
              <w:spacing w:after="0"/>
              <w:jc w:val="center"/>
              <w:rPr>
                <w:lang w:eastAsia="ja-JP"/>
              </w:rPr>
            </w:pPr>
            <w:r w:rsidRPr="00536CFD">
              <w:rPr>
                <w:lang w:eastAsia="ja-JP"/>
              </w:rPr>
              <w:t>0.047</w:t>
            </w:r>
          </w:p>
        </w:tc>
      </w:tr>
      <w:tr w:rsidR="009D4A93" w:rsidRPr="00536CFD" w14:paraId="5F6DA74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8DF0A1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F922E1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5FE916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021DEC7A" w14:textId="77777777" w:rsidR="009D4A93" w:rsidRPr="00536CFD" w:rsidRDefault="009D4A93" w:rsidP="009D4A93">
            <w:pPr>
              <w:spacing w:after="0"/>
              <w:jc w:val="center"/>
              <w:rPr>
                <w:lang w:eastAsia="ja-JP"/>
              </w:rPr>
            </w:pPr>
            <w:r w:rsidRPr="00536CFD">
              <w:rPr>
                <w:lang w:eastAsia="ja-JP"/>
              </w:rPr>
              <w:t>1.330</w:t>
            </w:r>
          </w:p>
        </w:tc>
        <w:tc>
          <w:tcPr>
            <w:tcW w:w="720" w:type="dxa"/>
            <w:tcBorders>
              <w:top w:val="single" w:sz="4" w:space="0" w:color="auto"/>
              <w:left w:val="nil"/>
              <w:bottom w:val="single" w:sz="4" w:space="0" w:color="auto"/>
              <w:right w:val="single" w:sz="4" w:space="0" w:color="auto"/>
            </w:tcBorders>
            <w:shd w:val="clear" w:color="auto" w:fill="auto"/>
          </w:tcPr>
          <w:p w14:paraId="5105AAAF" w14:textId="77777777" w:rsidR="009D4A93" w:rsidRPr="00536CFD" w:rsidRDefault="009D4A93" w:rsidP="009D4A93">
            <w:pPr>
              <w:spacing w:after="0"/>
              <w:jc w:val="center"/>
              <w:rPr>
                <w:lang w:eastAsia="ja-JP"/>
              </w:rPr>
            </w:pPr>
            <w:r w:rsidRPr="00536CFD">
              <w:rPr>
                <w:lang w:eastAsia="ja-JP"/>
              </w:rPr>
              <w:t>0.133</w:t>
            </w:r>
          </w:p>
        </w:tc>
        <w:tc>
          <w:tcPr>
            <w:tcW w:w="720" w:type="dxa"/>
            <w:tcBorders>
              <w:top w:val="single" w:sz="4" w:space="0" w:color="auto"/>
              <w:left w:val="nil"/>
              <w:bottom w:val="single" w:sz="4" w:space="0" w:color="auto"/>
              <w:right w:val="single" w:sz="4" w:space="0" w:color="auto"/>
            </w:tcBorders>
            <w:shd w:val="clear" w:color="auto" w:fill="auto"/>
          </w:tcPr>
          <w:p w14:paraId="6171D56A" w14:textId="77777777" w:rsidR="009D4A93" w:rsidRPr="00536CFD" w:rsidRDefault="009D4A93" w:rsidP="009D4A93">
            <w:pPr>
              <w:spacing w:after="0"/>
              <w:jc w:val="center"/>
              <w:rPr>
                <w:lang w:eastAsia="ja-JP"/>
              </w:rPr>
            </w:pPr>
            <w:r w:rsidRPr="00536CFD">
              <w:rPr>
                <w:lang w:eastAsia="ja-JP"/>
              </w:rPr>
              <w:t>0.144</w:t>
            </w:r>
          </w:p>
        </w:tc>
        <w:tc>
          <w:tcPr>
            <w:tcW w:w="810" w:type="dxa"/>
            <w:tcBorders>
              <w:top w:val="single" w:sz="4" w:space="0" w:color="auto"/>
              <w:left w:val="nil"/>
              <w:bottom w:val="single" w:sz="4" w:space="0" w:color="auto"/>
              <w:right w:val="single" w:sz="4" w:space="0" w:color="auto"/>
            </w:tcBorders>
            <w:shd w:val="clear" w:color="auto" w:fill="auto"/>
          </w:tcPr>
          <w:p w14:paraId="67152C2E" w14:textId="77777777" w:rsidR="009D4A93" w:rsidRPr="00536CFD" w:rsidRDefault="009D4A93" w:rsidP="009D4A93">
            <w:pPr>
              <w:spacing w:after="0"/>
              <w:jc w:val="center"/>
              <w:rPr>
                <w:lang w:eastAsia="ja-JP"/>
              </w:rPr>
            </w:pPr>
            <w:r w:rsidRPr="00536CFD">
              <w:rPr>
                <w:lang w:eastAsia="ja-JP"/>
              </w:rPr>
              <w:t>0.085</w:t>
            </w:r>
          </w:p>
        </w:tc>
        <w:tc>
          <w:tcPr>
            <w:tcW w:w="810" w:type="dxa"/>
            <w:tcBorders>
              <w:top w:val="single" w:sz="4" w:space="0" w:color="auto"/>
              <w:left w:val="nil"/>
              <w:bottom w:val="single" w:sz="4" w:space="0" w:color="auto"/>
              <w:right w:val="single" w:sz="4" w:space="0" w:color="auto"/>
            </w:tcBorders>
            <w:shd w:val="clear" w:color="auto" w:fill="auto"/>
          </w:tcPr>
          <w:p w14:paraId="324CD766" w14:textId="77777777" w:rsidR="009D4A93" w:rsidRPr="00536CFD" w:rsidRDefault="009D4A93" w:rsidP="009D4A93">
            <w:pPr>
              <w:spacing w:after="0"/>
              <w:jc w:val="center"/>
              <w:rPr>
                <w:lang w:eastAsia="ja-JP"/>
              </w:rPr>
            </w:pPr>
            <w:r w:rsidRPr="00536CFD">
              <w:rPr>
                <w:lang w:eastAsia="ja-JP"/>
              </w:rPr>
              <w:t>4.769</w:t>
            </w:r>
          </w:p>
        </w:tc>
        <w:tc>
          <w:tcPr>
            <w:tcW w:w="820" w:type="dxa"/>
            <w:tcBorders>
              <w:top w:val="single" w:sz="4" w:space="0" w:color="auto"/>
              <w:left w:val="nil"/>
              <w:bottom w:val="single" w:sz="4" w:space="0" w:color="auto"/>
              <w:right w:val="single" w:sz="4" w:space="0" w:color="auto"/>
            </w:tcBorders>
            <w:shd w:val="clear" w:color="auto" w:fill="auto"/>
          </w:tcPr>
          <w:p w14:paraId="48F0331B" w14:textId="77777777" w:rsidR="009D4A93" w:rsidRPr="00536CFD" w:rsidRDefault="009D4A93" w:rsidP="009D4A93">
            <w:pPr>
              <w:spacing w:after="0"/>
              <w:jc w:val="center"/>
              <w:rPr>
                <w:lang w:eastAsia="ja-JP"/>
              </w:rPr>
            </w:pPr>
            <w:r w:rsidRPr="00536CFD">
              <w:rPr>
                <w:lang w:eastAsia="ja-JP"/>
              </w:rPr>
              <w:t>1.281</w:t>
            </w:r>
          </w:p>
        </w:tc>
        <w:tc>
          <w:tcPr>
            <w:tcW w:w="800" w:type="dxa"/>
            <w:tcBorders>
              <w:top w:val="single" w:sz="4" w:space="0" w:color="auto"/>
              <w:left w:val="nil"/>
              <w:bottom w:val="single" w:sz="4" w:space="0" w:color="auto"/>
              <w:right w:val="single" w:sz="4" w:space="0" w:color="auto"/>
            </w:tcBorders>
            <w:shd w:val="clear" w:color="auto" w:fill="auto"/>
          </w:tcPr>
          <w:p w14:paraId="41E55E7D" w14:textId="77777777" w:rsidR="009D4A93" w:rsidRPr="00536CFD" w:rsidRDefault="009D4A93" w:rsidP="009D4A93">
            <w:pPr>
              <w:spacing w:after="0"/>
              <w:jc w:val="center"/>
              <w:rPr>
                <w:lang w:eastAsia="ja-JP"/>
              </w:rPr>
            </w:pPr>
            <w:r w:rsidRPr="00536CFD">
              <w:rPr>
                <w:lang w:eastAsia="ja-JP"/>
              </w:rPr>
              <w:t>1.357</w:t>
            </w:r>
          </w:p>
        </w:tc>
        <w:tc>
          <w:tcPr>
            <w:tcW w:w="720" w:type="dxa"/>
            <w:tcBorders>
              <w:top w:val="single" w:sz="4" w:space="0" w:color="auto"/>
              <w:left w:val="nil"/>
              <w:bottom w:val="single" w:sz="4" w:space="0" w:color="auto"/>
              <w:right w:val="single" w:sz="4" w:space="0" w:color="auto"/>
            </w:tcBorders>
            <w:shd w:val="clear" w:color="auto" w:fill="auto"/>
          </w:tcPr>
          <w:p w14:paraId="1766A66C" w14:textId="77777777" w:rsidR="009D4A93" w:rsidRPr="00536CFD" w:rsidRDefault="009D4A93" w:rsidP="009D4A93">
            <w:pPr>
              <w:spacing w:after="0"/>
              <w:jc w:val="center"/>
              <w:rPr>
                <w:lang w:eastAsia="ja-JP"/>
              </w:rPr>
            </w:pPr>
            <w:r w:rsidRPr="00536CFD">
              <w:rPr>
                <w:lang w:eastAsia="ja-JP"/>
              </w:rPr>
              <w:t>0.114</w:t>
            </w:r>
          </w:p>
        </w:tc>
        <w:tc>
          <w:tcPr>
            <w:tcW w:w="724" w:type="dxa"/>
            <w:tcBorders>
              <w:top w:val="single" w:sz="4" w:space="0" w:color="auto"/>
              <w:left w:val="nil"/>
              <w:bottom w:val="single" w:sz="4" w:space="0" w:color="auto"/>
              <w:right w:val="single" w:sz="4" w:space="0" w:color="auto"/>
            </w:tcBorders>
            <w:shd w:val="clear" w:color="auto" w:fill="auto"/>
          </w:tcPr>
          <w:p w14:paraId="580B3BE0" w14:textId="77777777" w:rsidR="009D4A93" w:rsidRPr="00536CFD" w:rsidRDefault="009D4A93" w:rsidP="009D4A93">
            <w:pPr>
              <w:spacing w:after="0"/>
              <w:jc w:val="center"/>
              <w:rPr>
                <w:lang w:eastAsia="ja-JP"/>
              </w:rPr>
            </w:pPr>
            <w:r w:rsidRPr="00536CFD">
              <w:rPr>
                <w:lang w:eastAsia="ja-JP"/>
              </w:rPr>
              <w:t>8.227</w:t>
            </w:r>
          </w:p>
        </w:tc>
        <w:tc>
          <w:tcPr>
            <w:tcW w:w="896" w:type="dxa"/>
            <w:tcBorders>
              <w:top w:val="single" w:sz="4" w:space="0" w:color="auto"/>
              <w:left w:val="nil"/>
              <w:bottom w:val="single" w:sz="4" w:space="0" w:color="auto"/>
              <w:right w:val="single" w:sz="4" w:space="0" w:color="auto"/>
            </w:tcBorders>
            <w:shd w:val="clear" w:color="auto" w:fill="auto"/>
          </w:tcPr>
          <w:p w14:paraId="4204D485" w14:textId="77777777" w:rsidR="009D4A93" w:rsidRPr="00536CFD" w:rsidRDefault="009D4A93" w:rsidP="009D4A93">
            <w:pPr>
              <w:spacing w:after="0"/>
              <w:jc w:val="center"/>
              <w:rPr>
                <w:lang w:eastAsia="ja-JP"/>
              </w:rPr>
            </w:pPr>
            <w:r w:rsidRPr="00536CFD">
              <w:rPr>
                <w:lang w:eastAsia="ja-JP"/>
              </w:rPr>
              <w:t>3.623</w:t>
            </w:r>
          </w:p>
        </w:tc>
        <w:tc>
          <w:tcPr>
            <w:tcW w:w="720" w:type="dxa"/>
            <w:tcBorders>
              <w:top w:val="single" w:sz="4" w:space="0" w:color="auto"/>
              <w:left w:val="nil"/>
              <w:bottom w:val="single" w:sz="4" w:space="0" w:color="auto"/>
              <w:right w:val="single" w:sz="4" w:space="0" w:color="auto"/>
            </w:tcBorders>
            <w:shd w:val="clear" w:color="auto" w:fill="auto"/>
          </w:tcPr>
          <w:p w14:paraId="4E59CB7B" w14:textId="77777777" w:rsidR="009D4A93" w:rsidRPr="00536CFD" w:rsidRDefault="009D4A93" w:rsidP="009D4A93">
            <w:pPr>
              <w:spacing w:after="0"/>
              <w:jc w:val="center"/>
              <w:rPr>
                <w:lang w:eastAsia="ja-JP"/>
              </w:rPr>
            </w:pPr>
            <w:r w:rsidRPr="00536CFD">
              <w:rPr>
                <w:lang w:eastAsia="ja-JP"/>
              </w:rPr>
              <w:t>4.757</w:t>
            </w:r>
          </w:p>
        </w:tc>
        <w:tc>
          <w:tcPr>
            <w:tcW w:w="720" w:type="dxa"/>
            <w:tcBorders>
              <w:top w:val="single" w:sz="4" w:space="0" w:color="auto"/>
              <w:left w:val="nil"/>
              <w:bottom w:val="single" w:sz="4" w:space="0" w:color="auto"/>
              <w:right w:val="single" w:sz="4" w:space="0" w:color="auto"/>
            </w:tcBorders>
            <w:shd w:val="clear" w:color="auto" w:fill="auto"/>
          </w:tcPr>
          <w:p w14:paraId="65E00D5D" w14:textId="77777777" w:rsidR="009D4A93" w:rsidRPr="00536CFD" w:rsidRDefault="009D4A93" w:rsidP="009D4A93">
            <w:pPr>
              <w:spacing w:after="0"/>
              <w:jc w:val="center"/>
              <w:rPr>
                <w:lang w:eastAsia="ja-JP"/>
              </w:rPr>
            </w:pPr>
            <w:r w:rsidRPr="00536CFD">
              <w:rPr>
                <w:lang w:eastAsia="ja-JP"/>
              </w:rPr>
              <w:t>0.155</w:t>
            </w:r>
          </w:p>
        </w:tc>
      </w:tr>
      <w:tr w:rsidR="009D4A93" w:rsidRPr="00536CFD" w14:paraId="4241C9E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CB6A68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620810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802FBE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6585B6C2" w14:textId="77777777" w:rsidR="009D4A93" w:rsidRPr="00536CFD" w:rsidRDefault="009D4A93" w:rsidP="009D4A93">
            <w:pPr>
              <w:spacing w:after="0"/>
              <w:jc w:val="center"/>
              <w:rPr>
                <w:lang w:eastAsia="ja-JP"/>
              </w:rPr>
            </w:pPr>
            <w:r w:rsidRPr="00536CFD">
              <w:rPr>
                <w:lang w:eastAsia="ja-JP"/>
              </w:rPr>
              <w:t>0.447</w:t>
            </w:r>
          </w:p>
        </w:tc>
        <w:tc>
          <w:tcPr>
            <w:tcW w:w="720" w:type="dxa"/>
            <w:tcBorders>
              <w:top w:val="single" w:sz="4" w:space="0" w:color="auto"/>
              <w:left w:val="nil"/>
              <w:bottom w:val="single" w:sz="4" w:space="0" w:color="auto"/>
              <w:right w:val="single" w:sz="4" w:space="0" w:color="auto"/>
            </w:tcBorders>
            <w:shd w:val="clear" w:color="auto" w:fill="auto"/>
          </w:tcPr>
          <w:p w14:paraId="55C13061" w14:textId="77777777" w:rsidR="009D4A93" w:rsidRPr="00536CFD" w:rsidRDefault="009D4A93" w:rsidP="009D4A93">
            <w:pPr>
              <w:spacing w:after="0"/>
              <w:jc w:val="center"/>
              <w:rPr>
                <w:lang w:eastAsia="ja-JP"/>
              </w:rPr>
            </w:pPr>
            <w:r w:rsidRPr="00536CFD">
              <w:rPr>
                <w:lang w:eastAsia="ja-JP"/>
              </w:rPr>
              <w:t>0.071</w:t>
            </w:r>
          </w:p>
        </w:tc>
        <w:tc>
          <w:tcPr>
            <w:tcW w:w="720" w:type="dxa"/>
            <w:tcBorders>
              <w:top w:val="single" w:sz="4" w:space="0" w:color="auto"/>
              <w:left w:val="nil"/>
              <w:bottom w:val="single" w:sz="4" w:space="0" w:color="auto"/>
              <w:right w:val="single" w:sz="4" w:space="0" w:color="auto"/>
            </w:tcBorders>
            <w:shd w:val="clear" w:color="auto" w:fill="auto"/>
          </w:tcPr>
          <w:p w14:paraId="6F69D566" w14:textId="77777777" w:rsidR="009D4A93" w:rsidRPr="00536CFD" w:rsidRDefault="009D4A93" w:rsidP="009D4A93">
            <w:pPr>
              <w:spacing w:after="0"/>
              <w:jc w:val="center"/>
              <w:rPr>
                <w:lang w:eastAsia="ja-JP"/>
              </w:rPr>
            </w:pPr>
            <w:r w:rsidRPr="00536CFD">
              <w:rPr>
                <w:lang w:eastAsia="ja-JP"/>
              </w:rPr>
              <w:t>0.069</w:t>
            </w:r>
          </w:p>
        </w:tc>
        <w:tc>
          <w:tcPr>
            <w:tcW w:w="810" w:type="dxa"/>
            <w:tcBorders>
              <w:top w:val="single" w:sz="4" w:space="0" w:color="auto"/>
              <w:left w:val="nil"/>
              <w:bottom w:val="single" w:sz="4" w:space="0" w:color="auto"/>
              <w:right w:val="single" w:sz="4" w:space="0" w:color="auto"/>
            </w:tcBorders>
            <w:shd w:val="clear" w:color="auto" w:fill="auto"/>
          </w:tcPr>
          <w:p w14:paraId="4A2C93EE" w14:textId="77777777" w:rsidR="009D4A93" w:rsidRPr="00536CFD" w:rsidRDefault="009D4A93" w:rsidP="009D4A93">
            <w:pPr>
              <w:spacing w:after="0"/>
              <w:jc w:val="center"/>
              <w:rPr>
                <w:lang w:eastAsia="ja-JP"/>
              </w:rPr>
            </w:pPr>
            <w:r w:rsidRPr="00536CFD">
              <w:rPr>
                <w:lang w:eastAsia="ja-JP"/>
              </w:rPr>
              <w:t>0.045</w:t>
            </w:r>
          </w:p>
        </w:tc>
        <w:tc>
          <w:tcPr>
            <w:tcW w:w="810" w:type="dxa"/>
            <w:tcBorders>
              <w:top w:val="single" w:sz="4" w:space="0" w:color="auto"/>
              <w:left w:val="nil"/>
              <w:bottom w:val="single" w:sz="4" w:space="0" w:color="auto"/>
              <w:right w:val="single" w:sz="4" w:space="0" w:color="auto"/>
            </w:tcBorders>
            <w:shd w:val="clear" w:color="auto" w:fill="auto"/>
          </w:tcPr>
          <w:p w14:paraId="2B33DE44" w14:textId="77777777" w:rsidR="009D4A93" w:rsidRPr="00536CFD" w:rsidRDefault="009D4A93" w:rsidP="009D4A93">
            <w:pPr>
              <w:spacing w:after="0"/>
              <w:jc w:val="center"/>
              <w:rPr>
                <w:lang w:eastAsia="ja-JP"/>
              </w:rPr>
            </w:pPr>
            <w:r w:rsidRPr="00536CFD">
              <w:rPr>
                <w:lang w:eastAsia="ja-JP"/>
              </w:rPr>
              <w:t>1.536</w:t>
            </w:r>
          </w:p>
        </w:tc>
        <w:tc>
          <w:tcPr>
            <w:tcW w:w="820" w:type="dxa"/>
            <w:tcBorders>
              <w:top w:val="single" w:sz="4" w:space="0" w:color="auto"/>
              <w:left w:val="nil"/>
              <w:bottom w:val="single" w:sz="4" w:space="0" w:color="auto"/>
              <w:right w:val="single" w:sz="4" w:space="0" w:color="auto"/>
            </w:tcBorders>
            <w:shd w:val="clear" w:color="auto" w:fill="auto"/>
          </w:tcPr>
          <w:p w14:paraId="7FE29125" w14:textId="77777777" w:rsidR="009D4A93" w:rsidRPr="00536CFD" w:rsidRDefault="009D4A93" w:rsidP="009D4A93">
            <w:pPr>
              <w:spacing w:after="0"/>
              <w:jc w:val="center"/>
              <w:rPr>
                <w:lang w:eastAsia="ja-JP"/>
              </w:rPr>
            </w:pPr>
            <w:r w:rsidRPr="00536CFD">
              <w:rPr>
                <w:lang w:eastAsia="ja-JP"/>
              </w:rPr>
              <w:t>0.447</w:t>
            </w:r>
          </w:p>
        </w:tc>
        <w:tc>
          <w:tcPr>
            <w:tcW w:w="800" w:type="dxa"/>
            <w:tcBorders>
              <w:top w:val="single" w:sz="4" w:space="0" w:color="auto"/>
              <w:left w:val="nil"/>
              <w:bottom w:val="single" w:sz="4" w:space="0" w:color="auto"/>
              <w:right w:val="single" w:sz="4" w:space="0" w:color="auto"/>
            </w:tcBorders>
            <w:shd w:val="clear" w:color="auto" w:fill="auto"/>
          </w:tcPr>
          <w:p w14:paraId="31E72C5B" w14:textId="77777777" w:rsidR="009D4A93" w:rsidRPr="00536CFD" w:rsidRDefault="009D4A93" w:rsidP="009D4A93">
            <w:pPr>
              <w:spacing w:after="0"/>
              <w:jc w:val="center"/>
              <w:rPr>
                <w:lang w:eastAsia="ja-JP"/>
              </w:rPr>
            </w:pPr>
            <w:r w:rsidRPr="00536CFD">
              <w:rPr>
                <w:lang w:eastAsia="ja-JP"/>
              </w:rPr>
              <w:t>0.609</w:t>
            </w:r>
          </w:p>
        </w:tc>
        <w:tc>
          <w:tcPr>
            <w:tcW w:w="720" w:type="dxa"/>
            <w:tcBorders>
              <w:top w:val="single" w:sz="4" w:space="0" w:color="auto"/>
              <w:left w:val="nil"/>
              <w:bottom w:val="single" w:sz="4" w:space="0" w:color="auto"/>
              <w:right w:val="single" w:sz="4" w:space="0" w:color="auto"/>
            </w:tcBorders>
            <w:shd w:val="clear" w:color="auto" w:fill="auto"/>
          </w:tcPr>
          <w:p w14:paraId="0C9D78E7" w14:textId="77777777" w:rsidR="009D4A93" w:rsidRPr="00536CFD" w:rsidRDefault="009D4A93" w:rsidP="009D4A93">
            <w:pPr>
              <w:spacing w:after="0"/>
              <w:jc w:val="center"/>
              <w:rPr>
                <w:lang w:eastAsia="ja-JP"/>
              </w:rPr>
            </w:pPr>
            <w:r w:rsidRPr="00536CFD">
              <w:rPr>
                <w:lang w:eastAsia="ja-JP"/>
              </w:rPr>
              <w:t>0.060</w:t>
            </w:r>
          </w:p>
        </w:tc>
        <w:tc>
          <w:tcPr>
            <w:tcW w:w="724" w:type="dxa"/>
            <w:tcBorders>
              <w:top w:val="single" w:sz="4" w:space="0" w:color="auto"/>
              <w:left w:val="nil"/>
              <w:bottom w:val="single" w:sz="4" w:space="0" w:color="auto"/>
              <w:right w:val="single" w:sz="4" w:space="0" w:color="auto"/>
            </w:tcBorders>
            <w:shd w:val="clear" w:color="auto" w:fill="auto"/>
          </w:tcPr>
          <w:p w14:paraId="1033E13B" w14:textId="77777777" w:rsidR="009D4A93" w:rsidRPr="00536CFD" w:rsidRDefault="009D4A93" w:rsidP="009D4A93">
            <w:pPr>
              <w:spacing w:after="0"/>
              <w:jc w:val="center"/>
              <w:rPr>
                <w:lang w:eastAsia="ja-JP"/>
              </w:rPr>
            </w:pPr>
            <w:r w:rsidRPr="00536CFD">
              <w:rPr>
                <w:lang w:eastAsia="ja-JP"/>
              </w:rPr>
              <w:t>2.768</w:t>
            </w:r>
          </w:p>
        </w:tc>
        <w:tc>
          <w:tcPr>
            <w:tcW w:w="896" w:type="dxa"/>
            <w:tcBorders>
              <w:top w:val="single" w:sz="4" w:space="0" w:color="auto"/>
              <w:left w:val="nil"/>
              <w:bottom w:val="single" w:sz="4" w:space="0" w:color="auto"/>
              <w:right w:val="single" w:sz="4" w:space="0" w:color="auto"/>
            </w:tcBorders>
            <w:shd w:val="clear" w:color="auto" w:fill="auto"/>
          </w:tcPr>
          <w:p w14:paraId="31544776" w14:textId="77777777" w:rsidR="009D4A93" w:rsidRPr="00536CFD" w:rsidRDefault="009D4A93" w:rsidP="009D4A93">
            <w:pPr>
              <w:spacing w:after="0"/>
              <w:jc w:val="center"/>
              <w:rPr>
                <w:lang w:eastAsia="ja-JP"/>
              </w:rPr>
            </w:pPr>
            <w:r w:rsidRPr="00536CFD">
              <w:rPr>
                <w:lang w:eastAsia="ja-JP"/>
              </w:rPr>
              <w:t>1.473</w:t>
            </w:r>
          </w:p>
        </w:tc>
        <w:tc>
          <w:tcPr>
            <w:tcW w:w="720" w:type="dxa"/>
            <w:tcBorders>
              <w:top w:val="single" w:sz="4" w:space="0" w:color="auto"/>
              <w:left w:val="nil"/>
              <w:bottom w:val="single" w:sz="4" w:space="0" w:color="auto"/>
              <w:right w:val="single" w:sz="4" w:space="0" w:color="auto"/>
            </w:tcBorders>
            <w:shd w:val="clear" w:color="auto" w:fill="auto"/>
          </w:tcPr>
          <w:p w14:paraId="09464819" w14:textId="77777777" w:rsidR="009D4A93" w:rsidRPr="00536CFD" w:rsidRDefault="009D4A93" w:rsidP="009D4A93">
            <w:pPr>
              <w:spacing w:after="0"/>
              <w:jc w:val="center"/>
              <w:rPr>
                <w:lang w:eastAsia="ja-JP"/>
              </w:rPr>
            </w:pPr>
            <w:r w:rsidRPr="00536CFD">
              <w:rPr>
                <w:lang w:eastAsia="ja-JP"/>
              </w:rPr>
              <w:t>2.075</w:t>
            </w:r>
          </w:p>
        </w:tc>
        <w:tc>
          <w:tcPr>
            <w:tcW w:w="720" w:type="dxa"/>
            <w:tcBorders>
              <w:top w:val="single" w:sz="4" w:space="0" w:color="auto"/>
              <w:left w:val="nil"/>
              <w:bottom w:val="single" w:sz="4" w:space="0" w:color="auto"/>
              <w:right w:val="single" w:sz="4" w:space="0" w:color="auto"/>
            </w:tcBorders>
            <w:shd w:val="clear" w:color="auto" w:fill="auto"/>
          </w:tcPr>
          <w:p w14:paraId="68488C78" w14:textId="77777777" w:rsidR="009D4A93" w:rsidRPr="00536CFD" w:rsidRDefault="009D4A93" w:rsidP="009D4A93">
            <w:pPr>
              <w:spacing w:after="0"/>
              <w:jc w:val="center"/>
              <w:rPr>
                <w:lang w:eastAsia="ja-JP"/>
              </w:rPr>
            </w:pPr>
            <w:r w:rsidRPr="00536CFD">
              <w:rPr>
                <w:lang w:eastAsia="ja-JP"/>
              </w:rPr>
              <w:t>0.073</w:t>
            </w:r>
          </w:p>
        </w:tc>
      </w:tr>
      <w:tr w:rsidR="009D4A93" w:rsidRPr="00536CFD" w14:paraId="6B816DC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0ECB6B4"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442A124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1D0BDD1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6B2CECFA" w14:textId="77777777" w:rsidR="009D4A93" w:rsidRPr="00536CFD" w:rsidRDefault="009D4A93" w:rsidP="009D4A93">
            <w:pPr>
              <w:spacing w:after="0"/>
              <w:jc w:val="center"/>
              <w:rPr>
                <w:lang w:eastAsia="ja-JP"/>
              </w:rPr>
            </w:pPr>
            <w:r w:rsidRPr="00536CFD">
              <w:rPr>
                <w:lang w:eastAsia="ja-JP"/>
              </w:rPr>
              <w:t>42.00</w:t>
            </w:r>
          </w:p>
        </w:tc>
        <w:tc>
          <w:tcPr>
            <w:tcW w:w="720" w:type="dxa"/>
            <w:tcBorders>
              <w:top w:val="single" w:sz="4" w:space="0" w:color="auto"/>
              <w:left w:val="nil"/>
              <w:bottom w:val="single" w:sz="4" w:space="0" w:color="auto"/>
              <w:right w:val="single" w:sz="4" w:space="0" w:color="auto"/>
            </w:tcBorders>
            <w:shd w:val="clear" w:color="auto" w:fill="auto"/>
          </w:tcPr>
          <w:p w14:paraId="358C332C" w14:textId="77777777" w:rsidR="009D4A93" w:rsidRPr="00536CFD" w:rsidRDefault="009D4A93" w:rsidP="009D4A93">
            <w:pPr>
              <w:spacing w:after="0"/>
              <w:jc w:val="center"/>
              <w:rPr>
                <w:lang w:eastAsia="ja-JP"/>
              </w:rPr>
            </w:pPr>
            <w:r w:rsidRPr="00536CFD">
              <w:rPr>
                <w:lang w:eastAsia="ja-JP"/>
              </w:rPr>
              <w:t>44.75</w:t>
            </w:r>
          </w:p>
        </w:tc>
        <w:tc>
          <w:tcPr>
            <w:tcW w:w="720" w:type="dxa"/>
            <w:tcBorders>
              <w:top w:val="single" w:sz="4" w:space="0" w:color="auto"/>
              <w:left w:val="nil"/>
              <w:bottom w:val="single" w:sz="4" w:space="0" w:color="auto"/>
              <w:right w:val="single" w:sz="4" w:space="0" w:color="auto"/>
            </w:tcBorders>
            <w:shd w:val="clear" w:color="auto" w:fill="auto"/>
          </w:tcPr>
          <w:p w14:paraId="5E93FEAB" w14:textId="77777777" w:rsidR="009D4A93" w:rsidRPr="00536CFD" w:rsidRDefault="009D4A93" w:rsidP="009D4A93">
            <w:pPr>
              <w:spacing w:after="0"/>
              <w:jc w:val="center"/>
              <w:rPr>
                <w:lang w:eastAsia="ja-JP"/>
              </w:rPr>
            </w:pPr>
            <w:r w:rsidRPr="00536CFD">
              <w:rPr>
                <w:lang w:eastAsia="ja-JP"/>
              </w:rPr>
              <w:t>41.41</w:t>
            </w:r>
          </w:p>
        </w:tc>
        <w:tc>
          <w:tcPr>
            <w:tcW w:w="810" w:type="dxa"/>
            <w:tcBorders>
              <w:top w:val="single" w:sz="4" w:space="0" w:color="auto"/>
              <w:left w:val="nil"/>
              <w:bottom w:val="single" w:sz="4" w:space="0" w:color="auto"/>
              <w:right w:val="single" w:sz="4" w:space="0" w:color="auto"/>
            </w:tcBorders>
            <w:shd w:val="clear" w:color="auto" w:fill="auto"/>
          </w:tcPr>
          <w:p w14:paraId="6E9DBE3C" w14:textId="77777777" w:rsidR="009D4A93" w:rsidRPr="00536CFD" w:rsidRDefault="009D4A93" w:rsidP="009D4A93">
            <w:pPr>
              <w:spacing w:after="0"/>
              <w:jc w:val="center"/>
              <w:rPr>
                <w:lang w:eastAsia="ja-JP"/>
              </w:rPr>
            </w:pPr>
            <w:r w:rsidRPr="00536CFD">
              <w:rPr>
                <w:lang w:eastAsia="ja-JP"/>
              </w:rPr>
              <w:t>45.44</w:t>
            </w:r>
          </w:p>
        </w:tc>
        <w:tc>
          <w:tcPr>
            <w:tcW w:w="810" w:type="dxa"/>
            <w:tcBorders>
              <w:top w:val="single" w:sz="4" w:space="0" w:color="auto"/>
              <w:left w:val="nil"/>
              <w:bottom w:val="single" w:sz="4" w:space="0" w:color="auto"/>
              <w:right w:val="single" w:sz="4" w:space="0" w:color="auto"/>
            </w:tcBorders>
            <w:shd w:val="clear" w:color="auto" w:fill="auto"/>
          </w:tcPr>
          <w:p w14:paraId="3497F504" w14:textId="77777777" w:rsidR="009D4A93" w:rsidRPr="00536CFD" w:rsidRDefault="009D4A93" w:rsidP="009D4A93">
            <w:pPr>
              <w:spacing w:after="0"/>
              <w:jc w:val="center"/>
              <w:rPr>
                <w:lang w:eastAsia="ja-JP"/>
              </w:rPr>
            </w:pPr>
            <w:r w:rsidRPr="00536CFD">
              <w:rPr>
                <w:lang w:eastAsia="ja-JP"/>
              </w:rPr>
              <w:t>22.36</w:t>
            </w:r>
          </w:p>
        </w:tc>
        <w:tc>
          <w:tcPr>
            <w:tcW w:w="820" w:type="dxa"/>
            <w:tcBorders>
              <w:top w:val="single" w:sz="4" w:space="0" w:color="auto"/>
              <w:left w:val="nil"/>
              <w:bottom w:val="single" w:sz="4" w:space="0" w:color="auto"/>
              <w:right w:val="single" w:sz="4" w:space="0" w:color="auto"/>
            </w:tcBorders>
            <w:shd w:val="clear" w:color="auto" w:fill="auto"/>
          </w:tcPr>
          <w:p w14:paraId="449F5F9D" w14:textId="77777777" w:rsidR="009D4A93" w:rsidRPr="00536CFD" w:rsidRDefault="009D4A93" w:rsidP="009D4A93">
            <w:pPr>
              <w:spacing w:after="0"/>
              <w:jc w:val="center"/>
              <w:rPr>
                <w:lang w:eastAsia="ja-JP"/>
              </w:rPr>
            </w:pPr>
            <w:r w:rsidRPr="00536CFD">
              <w:rPr>
                <w:lang w:eastAsia="ja-JP"/>
              </w:rPr>
              <w:t>34.18</w:t>
            </w:r>
          </w:p>
        </w:tc>
        <w:tc>
          <w:tcPr>
            <w:tcW w:w="800" w:type="dxa"/>
            <w:tcBorders>
              <w:top w:val="single" w:sz="4" w:space="0" w:color="auto"/>
              <w:left w:val="nil"/>
              <w:bottom w:val="single" w:sz="4" w:space="0" w:color="auto"/>
              <w:right w:val="single" w:sz="4" w:space="0" w:color="auto"/>
            </w:tcBorders>
            <w:shd w:val="clear" w:color="auto" w:fill="auto"/>
          </w:tcPr>
          <w:p w14:paraId="3123D69D" w14:textId="77777777" w:rsidR="009D4A93" w:rsidRPr="00536CFD" w:rsidRDefault="009D4A93" w:rsidP="009D4A93">
            <w:pPr>
              <w:spacing w:after="0"/>
              <w:jc w:val="center"/>
              <w:rPr>
                <w:lang w:eastAsia="ja-JP"/>
              </w:rPr>
            </w:pPr>
            <w:r w:rsidRPr="00536CFD">
              <w:rPr>
                <w:lang w:eastAsia="ja-JP"/>
              </w:rPr>
              <w:t>31.51</w:t>
            </w:r>
          </w:p>
        </w:tc>
        <w:tc>
          <w:tcPr>
            <w:tcW w:w="720" w:type="dxa"/>
            <w:tcBorders>
              <w:top w:val="single" w:sz="4" w:space="0" w:color="auto"/>
              <w:left w:val="nil"/>
              <w:bottom w:val="single" w:sz="4" w:space="0" w:color="auto"/>
              <w:right w:val="single" w:sz="4" w:space="0" w:color="auto"/>
            </w:tcBorders>
            <w:shd w:val="clear" w:color="auto" w:fill="auto"/>
          </w:tcPr>
          <w:p w14:paraId="46ED10F0" w14:textId="77777777" w:rsidR="009D4A93" w:rsidRPr="00536CFD" w:rsidRDefault="009D4A93" w:rsidP="009D4A93">
            <w:pPr>
              <w:spacing w:after="0"/>
              <w:jc w:val="center"/>
              <w:rPr>
                <w:lang w:eastAsia="ja-JP"/>
              </w:rPr>
            </w:pPr>
            <w:r w:rsidRPr="00536CFD">
              <w:rPr>
                <w:lang w:eastAsia="ja-JP"/>
              </w:rPr>
              <w:t>39.79</w:t>
            </w:r>
          </w:p>
        </w:tc>
        <w:tc>
          <w:tcPr>
            <w:tcW w:w="724" w:type="dxa"/>
            <w:tcBorders>
              <w:top w:val="single" w:sz="4" w:space="0" w:color="auto"/>
              <w:left w:val="nil"/>
              <w:bottom w:val="single" w:sz="4" w:space="0" w:color="auto"/>
              <w:right w:val="single" w:sz="4" w:space="0" w:color="auto"/>
            </w:tcBorders>
            <w:shd w:val="clear" w:color="auto" w:fill="auto"/>
          </w:tcPr>
          <w:p w14:paraId="0FAFA11B" w14:textId="77777777" w:rsidR="009D4A93" w:rsidRPr="00536CFD" w:rsidRDefault="009D4A93" w:rsidP="009D4A93">
            <w:pPr>
              <w:spacing w:after="0"/>
              <w:jc w:val="center"/>
              <w:rPr>
                <w:lang w:eastAsia="ja-JP"/>
              </w:rPr>
            </w:pPr>
            <w:r w:rsidRPr="00536CFD">
              <w:rPr>
                <w:lang w:eastAsia="ja-JP"/>
              </w:rPr>
              <w:t>9.59</w:t>
            </w:r>
          </w:p>
        </w:tc>
        <w:tc>
          <w:tcPr>
            <w:tcW w:w="896" w:type="dxa"/>
            <w:tcBorders>
              <w:top w:val="single" w:sz="4" w:space="0" w:color="auto"/>
              <w:left w:val="nil"/>
              <w:bottom w:val="single" w:sz="4" w:space="0" w:color="auto"/>
              <w:right w:val="single" w:sz="4" w:space="0" w:color="auto"/>
            </w:tcBorders>
            <w:shd w:val="clear" w:color="auto" w:fill="auto"/>
          </w:tcPr>
          <w:p w14:paraId="5FC43B15" w14:textId="77777777" w:rsidR="009D4A93" w:rsidRPr="00536CFD" w:rsidRDefault="009D4A93" w:rsidP="009D4A93">
            <w:pPr>
              <w:spacing w:after="0"/>
              <w:jc w:val="center"/>
              <w:rPr>
                <w:lang w:eastAsia="ja-JP"/>
              </w:rPr>
            </w:pPr>
            <w:r w:rsidRPr="00536CFD">
              <w:rPr>
                <w:lang w:eastAsia="ja-JP"/>
              </w:rPr>
              <w:t>19.35</w:t>
            </w:r>
          </w:p>
        </w:tc>
        <w:tc>
          <w:tcPr>
            <w:tcW w:w="720" w:type="dxa"/>
            <w:tcBorders>
              <w:top w:val="single" w:sz="4" w:space="0" w:color="auto"/>
              <w:left w:val="nil"/>
              <w:bottom w:val="single" w:sz="4" w:space="0" w:color="auto"/>
              <w:right w:val="single" w:sz="4" w:space="0" w:color="auto"/>
            </w:tcBorders>
            <w:shd w:val="clear" w:color="auto" w:fill="auto"/>
          </w:tcPr>
          <w:p w14:paraId="061B9044" w14:textId="77777777" w:rsidR="009D4A93" w:rsidRPr="00536CFD" w:rsidRDefault="009D4A93" w:rsidP="009D4A93">
            <w:pPr>
              <w:spacing w:after="0"/>
              <w:jc w:val="center"/>
              <w:rPr>
                <w:lang w:eastAsia="ja-JP"/>
              </w:rPr>
            </w:pPr>
            <w:r w:rsidRPr="00536CFD">
              <w:rPr>
                <w:lang w:eastAsia="ja-JP"/>
              </w:rPr>
              <w:t>16.65</w:t>
            </w:r>
          </w:p>
        </w:tc>
        <w:tc>
          <w:tcPr>
            <w:tcW w:w="720" w:type="dxa"/>
            <w:tcBorders>
              <w:top w:val="single" w:sz="4" w:space="0" w:color="auto"/>
              <w:left w:val="nil"/>
              <w:bottom w:val="single" w:sz="4" w:space="0" w:color="auto"/>
              <w:right w:val="single" w:sz="4" w:space="0" w:color="auto"/>
            </w:tcBorders>
            <w:shd w:val="clear" w:color="auto" w:fill="auto"/>
          </w:tcPr>
          <w:p w14:paraId="6A7A28F0" w14:textId="77777777" w:rsidR="009D4A93" w:rsidRPr="00536CFD" w:rsidRDefault="009D4A93" w:rsidP="009D4A93">
            <w:pPr>
              <w:spacing w:after="0"/>
              <w:jc w:val="center"/>
              <w:rPr>
                <w:lang w:eastAsia="ja-JP"/>
              </w:rPr>
            </w:pPr>
            <w:r w:rsidRPr="00536CFD">
              <w:rPr>
                <w:lang w:eastAsia="ja-JP"/>
              </w:rPr>
              <w:t>34.78</w:t>
            </w:r>
          </w:p>
        </w:tc>
      </w:tr>
      <w:tr w:rsidR="009D4A93" w:rsidRPr="00536CFD" w14:paraId="107E3F7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F5D6F6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E87322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39C18C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566F4184" w14:textId="77777777" w:rsidR="009D4A93" w:rsidRPr="00536CFD" w:rsidRDefault="009D4A93" w:rsidP="009D4A93">
            <w:pPr>
              <w:spacing w:after="0"/>
              <w:jc w:val="center"/>
              <w:rPr>
                <w:lang w:eastAsia="ja-JP"/>
              </w:rPr>
            </w:pPr>
            <w:r w:rsidRPr="00536CFD">
              <w:rPr>
                <w:lang w:eastAsia="ja-JP"/>
              </w:rPr>
              <w:t>82.62</w:t>
            </w:r>
          </w:p>
        </w:tc>
        <w:tc>
          <w:tcPr>
            <w:tcW w:w="720" w:type="dxa"/>
            <w:tcBorders>
              <w:top w:val="single" w:sz="4" w:space="0" w:color="auto"/>
              <w:left w:val="nil"/>
              <w:bottom w:val="single" w:sz="4" w:space="0" w:color="auto"/>
              <w:right w:val="single" w:sz="4" w:space="0" w:color="auto"/>
            </w:tcBorders>
            <w:shd w:val="clear" w:color="auto" w:fill="auto"/>
          </w:tcPr>
          <w:p w14:paraId="053139C7" w14:textId="77777777" w:rsidR="009D4A93" w:rsidRPr="00536CFD" w:rsidRDefault="009D4A93" w:rsidP="009D4A93">
            <w:pPr>
              <w:spacing w:after="0"/>
              <w:jc w:val="center"/>
              <w:rPr>
                <w:lang w:eastAsia="ja-JP"/>
              </w:rPr>
            </w:pPr>
            <w:r w:rsidRPr="00536CFD">
              <w:rPr>
                <w:lang w:eastAsia="ja-JP"/>
              </w:rPr>
              <w:t>88.39</w:t>
            </w:r>
          </w:p>
        </w:tc>
        <w:tc>
          <w:tcPr>
            <w:tcW w:w="720" w:type="dxa"/>
            <w:tcBorders>
              <w:top w:val="single" w:sz="4" w:space="0" w:color="auto"/>
              <w:left w:val="nil"/>
              <w:bottom w:val="single" w:sz="4" w:space="0" w:color="auto"/>
              <w:right w:val="single" w:sz="4" w:space="0" w:color="auto"/>
            </w:tcBorders>
            <w:shd w:val="clear" w:color="auto" w:fill="auto"/>
          </w:tcPr>
          <w:p w14:paraId="4C822C15" w14:textId="77777777" w:rsidR="009D4A93" w:rsidRPr="00536CFD" w:rsidRDefault="009D4A93" w:rsidP="009D4A93">
            <w:pPr>
              <w:spacing w:after="0"/>
              <w:jc w:val="center"/>
              <w:rPr>
                <w:lang w:eastAsia="ja-JP"/>
              </w:rPr>
            </w:pPr>
            <w:r w:rsidRPr="00536CFD">
              <w:rPr>
                <w:lang w:eastAsia="ja-JP"/>
              </w:rPr>
              <w:t>80.06</w:t>
            </w:r>
          </w:p>
        </w:tc>
        <w:tc>
          <w:tcPr>
            <w:tcW w:w="810" w:type="dxa"/>
            <w:tcBorders>
              <w:top w:val="single" w:sz="4" w:space="0" w:color="auto"/>
              <w:left w:val="nil"/>
              <w:bottom w:val="single" w:sz="4" w:space="0" w:color="auto"/>
              <w:right w:val="single" w:sz="4" w:space="0" w:color="auto"/>
            </w:tcBorders>
            <w:shd w:val="clear" w:color="auto" w:fill="auto"/>
          </w:tcPr>
          <w:p w14:paraId="38E20296" w14:textId="77777777" w:rsidR="009D4A93" w:rsidRPr="00536CFD" w:rsidRDefault="009D4A93" w:rsidP="009D4A93">
            <w:pPr>
              <w:spacing w:after="0"/>
              <w:jc w:val="center"/>
              <w:rPr>
                <w:lang w:eastAsia="ja-JP"/>
              </w:rPr>
            </w:pPr>
            <w:r w:rsidRPr="00536CFD">
              <w:rPr>
                <w:lang w:eastAsia="ja-JP"/>
              </w:rPr>
              <w:t>85.38</w:t>
            </w:r>
          </w:p>
        </w:tc>
        <w:tc>
          <w:tcPr>
            <w:tcW w:w="810" w:type="dxa"/>
            <w:tcBorders>
              <w:top w:val="single" w:sz="4" w:space="0" w:color="auto"/>
              <w:left w:val="nil"/>
              <w:bottom w:val="single" w:sz="4" w:space="0" w:color="auto"/>
              <w:right w:val="single" w:sz="4" w:space="0" w:color="auto"/>
            </w:tcBorders>
            <w:shd w:val="clear" w:color="auto" w:fill="auto"/>
          </w:tcPr>
          <w:p w14:paraId="518A0FFB" w14:textId="77777777" w:rsidR="009D4A93" w:rsidRPr="00536CFD" w:rsidRDefault="009D4A93" w:rsidP="009D4A93">
            <w:pPr>
              <w:spacing w:after="0"/>
              <w:jc w:val="center"/>
              <w:rPr>
                <w:lang w:eastAsia="ja-JP"/>
              </w:rPr>
            </w:pPr>
            <w:r w:rsidRPr="00536CFD">
              <w:rPr>
                <w:lang w:eastAsia="ja-JP"/>
              </w:rPr>
              <w:t>52.08</w:t>
            </w:r>
          </w:p>
        </w:tc>
        <w:tc>
          <w:tcPr>
            <w:tcW w:w="820" w:type="dxa"/>
            <w:tcBorders>
              <w:top w:val="single" w:sz="4" w:space="0" w:color="auto"/>
              <w:left w:val="nil"/>
              <w:bottom w:val="single" w:sz="4" w:space="0" w:color="auto"/>
              <w:right w:val="single" w:sz="4" w:space="0" w:color="auto"/>
            </w:tcBorders>
            <w:shd w:val="clear" w:color="auto" w:fill="auto"/>
          </w:tcPr>
          <w:p w14:paraId="3893E1B5" w14:textId="77777777" w:rsidR="009D4A93" w:rsidRPr="00536CFD" w:rsidRDefault="009D4A93" w:rsidP="009D4A93">
            <w:pPr>
              <w:spacing w:after="0"/>
              <w:jc w:val="center"/>
              <w:rPr>
                <w:lang w:eastAsia="ja-JP"/>
              </w:rPr>
            </w:pPr>
            <w:r w:rsidRPr="00536CFD">
              <w:rPr>
                <w:lang w:eastAsia="ja-JP"/>
              </w:rPr>
              <w:t>71.33</w:t>
            </w:r>
          </w:p>
        </w:tc>
        <w:tc>
          <w:tcPr>
            <w:tcW w:w="800" w:type="dxa"/>
            <w:tcBorders>
              <w:top w:val="single" w:sz="4" w:space="0" w:color="auto"/>
              <w:left w:val="nil"/>
              <w:bottom w:val="single" w:sz="4" w:space="0" w:color="auto"/>
              <w:right w:val="single" w:sz="4" w:space="0" w:color="auto"/>
            </w:tcBorders>
            <w:shd w:val="clear" w:color="auto" w:fill="auto"/>
          </w:tcPr>
          <w:p w14:paraId="1C46A836" w14:textId="77777777" w:rsidR="009D4A93" w:rsidRPr="00536CFD" w:rsidRDefault="009D4A93" w:rsidP="009D4A93">
            <w:pPr>
              <w:spacing w:after="0"/>
              <w:jc w:val="center"/>
              <w:rPr>
                <w:lang w:eastAsia="ja-JP"/>
              </w:rPr>
            </w:pPr>
            <w:r w:rsidRPr="00536CFD">
              <w:rPr>
                <w:lang w:eastAsia="ja-JP"/>
              </w:rPr>
              <w:t>61.99</w:t>
            </w:r>
          </w:p>
        </w:tc>
        <w:tc>
          <w:tcPr>
            <w:tcW w:w="720" w:type="dxa"/>
            <w:tcBorders>
              <w:top w:val="single" w:sz="4" w:space="0" w:color="auto"/>
              <w:left w:val="nil"/>
              <w:bottom w:val="single" w:sz="4" w:space="0" w:color="auto"/>
              <w:right w:val="single" w:sz="4" w:space="0" w:color="auto"/>
            </w:tcBorders>
            <w:shd w:val="clear" w:color="auto" w:fill="auto"/>
          </w:tcPr>
          <w:p w14:paraId="5DAFCFB8" w14:textId="77777777" w:rsidR="009D4A93" w:rsidRPr="00536CFD" w:rsidRDefault="009D4A93" w:rsidP="009D4A93">
            <w:pPr>
              <w:spacing w:after="0"/>
              <w:jc w:val="center"/>
              <w:rPr>
                <w:lang w:eastAsia="ja-JP"/>
              </w:rPr>
            </w:pPr>
            <w:r w:rsidRPr="00536CFD">
              <w:rPr>
                <w:lang w:eastAsia="ja-JP"/>
              </w:rPr>
              <w:t>75.66</w:t>
            </w:r>
          </w:p>
        </w:tc>
        <w:tc>
          <w:tcPr>
            <w:tcW w:w="724" w:type="dxa"/>
            <w:tcBorders>
              <w:top w:val="single" w:sz="4" w:space="0" w:color="auto"/>
              <w:left w:val="nil"/>
              <w:bottom w:val="single" w:sz="4" w:space="0" w:color="auto"/>
              <w:right w:val="single" w:sz="4" w:space="0" w:color="auto"/>
            </w:tcBorders>
            <w:shd w:val="clear" w:color="auto" w:fill="auto"/>
          </w:tcPr>
          <w:p w14:paraId="3CC0B736" w14:textId="77777777" w:rsidR="009D4A93" w:rsidRPr="00536CFD" w:rsidRDefault="009D4A93" w:rsidP="009D4A93">
            <w:pPr>
              <w:spacing w:after="0"/>
              <w:jc w:val="center"/>
              <w:rPr>
                <w:lang w:eastAsia="ja-JP"/>
              </w:rPr>
            </w:pPr>
            <w:r w:rsidRPr="00536CFD">
              <w:rPr>
                <w:lang w:eastAsia="ja-JP"/>
              </w:rPr>
              <w:t>24.37</w:t>
            </w:r>
          </w:p>
        </w:tc>
        <w:tc>
          <w:tcPr>
            <w:tcW w:w="896" w:type="dxa"/>
            <w:tcBorders>
              <w:top w:val="single" w:sz="4" w:space="0" w:color="auto"/>
              <w:left w:val="nil"/>
              <w:bottom w:val="single" w:sz="4" w:space="0" w:color="auto"/>
              <w:right w:val="single" w:sz="4" w:space="0" w:color="auto"/>
            </w:tcBorders>
            <w:shd w:val="clear" w:color="auto" w:fill="auto"/>
          </w:tcPr>
          <w:p w14:paraId="484165A3" w14:textId="77777777" w:rsidR="009D4A93" w:rsidRPr="00536CFD" w:rsidRDefault="009D4A93" w:rsidP="009D4A93">
            <w:pPr>
              <w:spacing w:after="0"/>
              <w:jc w:val="center"/>
              <w:rPr>
                <w:lang w:eastAsia="ja-JP"/>
              </w:rPr>
            </w:pPr>
            <w:r w:rsidRPr="00536CFD">
              <w:rPr>
                <w:lang w:eastAsia="ja-JP"/>
              </w:rPr>
              <w:t>46.54</w:t>
            </w:r>
          </w:p>
        </w:tc>
        <w:tc>
          <w:tcPr>
            <w:tcW w:w="720" w:type="dxa"/>
            <w:tcBorders>
              <w:top w:val="single" w:sz="4" w:space="0" w:color="auto"/>
              <w:left w:val="nil"/>
              <w:bottom w:val="single" w:sz="4" w:space="0" w:color="auto"/>
              <w:right w:val="single" w:sz="4" w:space="0" w:color="auto"/>
            </w:tcBorders>
            <w:shd w:val="clear" w:color="auto" w:fill="auto"/>
          </w:tcPr>
          <w:p w14:paraId="0FE501F3" w14:textId="77777777" w:rsidR="009D4A93" w:rsidRPr="00536CFD" w:rsidRDefault="009D4A93" w:rsidP="009D4A93">
            <w:pPr>
              <w:spacing w:after="0"/>
              <w:jc w:val="center"/>
              <w:rPr>
                <w:lang w:eastAsia="ja-JP"/>
              </w:rPr>
            </w:pPr>
            <w:r w:rsidRPr="00536CFD">
              <w:rPr>
                <w:lang w:eastAsia="ja-JP"/>
              </w:rPr>
              <w:t>38.21</w:t>
            </w:r>
          </w:p>
        </w:tc>
        <w:tc>
          <w:tcPr>
            <w:tcW w:w="720" w:type="dxa"/>
            <w:tcBorders>
              <w:top w:val="single" w:sz="4" w:space="0" w:color="auto"/>
              <w:left w:val="nil"/>
              <w:bottom w:val="single" w:sz="4" w:space="0" w:color="auto"/>
              <w:right w:val="single" w:sz="4" w:space="0" w:color="auto"/>
            </w:tcBorders>
            <w:shd w:val="clear" w:color="auto" w:fill="auto"/>
          </w:tcPr>
          <w:p w14:paraId="5F8871AF" w14:textId="77777777" w:rsidR="009D4A93" w:rsidRPr="00536CFD" w:rsidRDefault="009D4A93" w:rsidP="009D4A93">
            <w:pPr>
              <w:spacing w:after="0"/>
              <w:jc w:val="center"/>
              <w:rPr>
                <w:lang w:eastAsia="ja-JP"/>
              </w:rPr>
            </w:pPr>
            <w:r w:rsidRPr="00536CFD">
              <w:rPr>
                <w:lang w:eastAsia="ja-JP"/>
              </w:rPr>
              <w:t>67.85</w:t>
            </w:r>
          </w:p>
        </w:tc>
      </w:tr>
      <w:tr w:rsidR="009D4A93" w:rsidRPr="00536CFD" w14:paraId="537028D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6545EA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DBF80D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6BE619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40B3B627" w14:textId="77777777" w:rsidR="009D4A93" w:rsidRPr="00536CFD" w:rsidRDefault="009D4A93" w:rsidP="009D4A93">
            <w:pPr>
              <w:spacing w:after="0"/>
              <w:jc w:val="center"/>
              <w:rPr>
                <w:lang w:eastAsia="ja-JP"/>
              </w:rPr>
            </w:pPr>
            <w:r w:rsidRPr="00536CFD">
              <w:rPr>
                <w:lang w:eastAsia="ja-JP"/>
              </w:rPr>
              <w:t>100.22</w:t>
            </w:r>
          </w:p>
        </w:tc>
        <w:tc>
          <w:tcPr>
            <w:tcW w:w="720" w:type="dxa"/>
            <w:tcBorders>
              <w:top w:val="single" w:sz="4" w:space="0" w:color="auto"/>
              <w:left w:val="nil"/>
              <w:bottom w:val="single" w:sz="4" w:space="0" w:color="auto"/>
              <w:right w:val="single" w:sz="4" w:space="0" w:color="auto"/>
            </w:tcBorders>
            <w:shd w:val="clear" w:color="auto" w:fill="auto"/>
          </w:tcPr>
          <w:p w14:paraId="495FC225" w14:textId="77777777" w:rsidR="009D4A93" w:rsidRPr="00536CFD" w:rsidRDefault="009D4A93" w:rsidP="009D4A93">
            <w:pPr>
              <w:spacing w:after="0"/>
              <w:jc w:val="center"/>
              <w:rPr>
                <w:lang w:eastAsia="ja-JP"/>
              </w:rPr>
            </w:pPr>
            <w:r w:rsidRPr="00536CFD">
              <w:rPr>
                <w:lang w:eastAsia="ja-JP"/>
              </w:rPr>
              <w:t>106.42</w:t>
            </w:r>
          </w:p>
        </w:tc>
        <w:tc>
          <w:tcPr>
            <w:tcW w:w="720" w:type="dxa"/>
            <w:tcBorders>
              <w:top w:val="single" w:sz="4" w:space="0" w:color="auto"/>
              <w:left w:val="nil"/>
              <w:bottom w:val="single" w:sz="4" w:space="0" w:color="auto"/>
              <w:right w:val="single" w:sz="4" w:space="0" w:color="auto"/>
            </w:tcBorders>
            <w:shd w:val="clear" w:color="auto" w:fill="auto"/>
          </w:tcPr>
          <w:p w14:paraId="79A7E652" w14:textId="77777777" w:rsidR="009D4A93" w:rsidRPr="00536CFD" w:rsidRDefault="009D4A93" w:rsidP="009D4A93">
            <w:pPr>
              <w:spacing w:after="0"/>
              <w:jc w:val="center"/>
              <w:rPr>
                <w:lang w:eastAsia="ja-JP"/>
              </w:rPr>
            </w:pPr>
            <w:r w:rsidRPr="00536CFD">
              <w:rPr>
                <w:lang w:eastAsia="ja-JP"/>
              </w:rPr>
              <w:t>99.98</w:t>
            </w:r>
          </w:p>
        </w:tc>
        <w:tc>
          <w:tcPr>
            <w:tcW w:w="810" w:type="dxa"/>
            <w:tcBorders>
              <w:top w:val="single" w:sz="4" w:space="0" w:color="auto"/>
              <w:left w:val="nil"/>
              <w:bottom w:val="single" w:sz="4" w:space="0" w:color="auto"/>
              <w:right w:val="single" w:sz="4" w:space="0" w:color="auto"/>
            </w:tcBorders>
            <w:shd w:val="clear" w:color="auto" w:fill="auto"/>
          </w:tcPr>
          <w:p w14:paraId="393BD2AC" w14:textId="77777777" w:rsidR="009D4A93" w:rsidRPr="00536CFD" w:rsidRDefault="009D4A93" w:rsidP="009D4A93">
            <w:pPr>
              <w:spacing w:after="0"/>
              <w:jc w:val="center"/>
              <w:rPr>
                <w:lang w:eastAsia="ja-JP"/>
              </w:rPr>
            </w:pPr>
            <w:r w:rsidRPr="00536CFD">
              <w:rPr>
                <w:lang w:eastAsia="ja-JP"/>
              </w:rPr>
              <w:t>102.96</w:t>
            </w:r>
          </w:p>
        </w:tc>
        <w:tc>
          <w:tcPr>
            <w:tcW w:w="810" w:type="dxa"/>
            <w:tcBorders>
              <w:top w:val="single" w:sz="4" w:space="0" w:color="auto"/>
              <w:left w:val="nil"/>
              <w:bottom w:val="single" w:sz="4" w:space="0" w:color="auto"/>
              <w:right w:val="single" w:sz="4" w:space="0" w:color="auto"/>
            </w:tcBorders>
            <w:shd w:val="clear" w:color="auto" w:fill="auto"/>
          </w:tcPr>
          <w:p w14:paraId="470DE621" w14:textId="77777777" w:rsidR="009D4A93" w:rsidRPr="00536CFD" w:rsidRDefault="009D4A93" w:rsidP="009D4A93">
            <w:pPr>
              <w:spacing w:after="0"/>
              <w:jc w:val="center"/>
              <w:rPr>
                <w:lang w:eastAsia="ja-JP"/>
              </w:rPr>
            </w:pPr>
            <w:r w:rsidRPr="00536CFD">
              <w:rPr>
                <w:lang w:eastAsia="ja-JP"/>
              </w:rPr>
              <w:t>74.51</w:t>
            </w:r>
          </w:p>
        </w:tc>
        <w:tc>
          <w:tcPr>
            <w:tcW w:w="820" w:type="dxa"/>
            <w:tcBorders>
              <w:top w:val="single" w:sz="4" w:space="0" w:color="auto"/>
              <w:left w:val="nil"/>
              <w:bottom w:val="single" w:sz="4" w:space="0" w:color="auto"/>
              <w:right w:val="single" w:sz="4" w:space="0" w:color="auto"/>
            </w:tcBorders>
            <w:shd w:val="clear" w:color="auto" w:fill="auto"/>
          </w:tcPr>
          <w:p w14:paraId="7B424B10" w14:textId="77777777" w:rsidR="009D4A93" w:rsidRPr="00536CFD" w:rsidRDefault="009D4A93" w:rsidP="009D4A93">
            <w:pPr>
              <w:spacing w:after="0"/>
              <w:jc w:val="center"/>
              <w:rPr>
                <w:lang w:eastAsia="ja-JP"/>
              </w:rPr>
            </w:pPr>
            <w:r w:rsidRPr="00536CFD">
              <w:rPr>
                <w:lang w:eastAsia="ja-JP"/>
              </w:rPr>
              <w:t>93.30</w:t>
            </w:r>
          </w:p>
        </w:tc>
        <w:tc>
          <w:tcPr>
            <w:tcW w:w="800" w:type="dxa"/>
            <w:tcBorders>
              <w:top w:val="single" w:sz="4" w:space="0" w:color="auto"/>
              <w:left w:val="nil"/>
              <w:bottom w:val="single" w:sz="4" w:space="0" w:color="auto"/>
              <w:right w:val="single" w:sz="4" w:space="0" w:color="auto"/>
            </w:tcBorders>
            <w:shd w:val="clear" w:color="auto" w:fill="auto"/>
          </w:tcPr>
          <w:p w14:paraId="3946A52A" w14:textId="77777777" w:rsidR="009D4A93" w:rsidRPr="00536CFD" w:rsidRDefault="009D4A93" w:rsidP="009D4A93">
            <w:pPr>
              <w:spacing w:after="0"/>
              <w:jc w:val="center"/>
              <w:rPr>
                <w:lang w:eastAsia="ja-JP"/>
              </w:rPr>
            </w:pPr>
            <w:r w:rsidRPr="00536CFD">
              <w:rPr>
                <w:lang w:eastAsia="ja-JP"/>
              </w:rPr>
              <w:t>84.68</w:t>
            </w:r>
          </w:p>
        </w:tc>
        <w:tc>
          <w:tcPr>
            <w:tcW w:w="720" w:type="dxa"/>
            <w:tcBorders>
              <w:top w:val="single" w:sz="4" w:space="0" w:color="auto"/>
              <w:left w:val="nil"/>
              <w:bottom w:val="single" w:sz="4" w:space="0" w:color="auto"/>
              <w:right w:val="single" w:sz="4" w:space="0" w:color="auto"/>
            </w:tcBorders>
            <w:shd w:val="clear" w:color="auto" w:fill="auto"/>
          </w:tcPr>
          <w:p w14:paraId="663B1BF0" w14:textId="77777777" w:rsidR="009D4A93" w:rsidRPr="00536CFD" w:rsidRDefault="009D4A93" w:rsidP="009D4A93">
            <w:pPr>
              <w:spacing w:after="0"/>
              <w:jc w:val="center"/>
              <w:rPr>
                <w:lang w:eastAsia="ja-JP"/>
              </w:rPr>
            </w:pPr>
            <w:r w:rsidRPr="00536CFD">
              <w:rPr>
                <w:lang w:eastAsia="ja-JP"/>
              </w:rPr>
              <w:t>97.05</w:t>
            </w:r>
          </w:p>
        </w:tc>
        <w:tc>
          <w:tcPr>
            <w:tcW w:w="724" w:type="dxa"/>
            <w:tcBorders>
              <w:top w:val="single" w:sz="4" w:space="0" w:color="auto"/>
              <w:left w:val="nil"/>
              <w:bottom w:val="single" w:sz="4" w:space="0" w:color="auto"/>
              <w:right w:val="single" w:sz="4" w:space="0" w:color="auto"/>
            </w:tcBorders>
            <w:shd w:val="clear" w:color="auto" w:fill="auto"/>
          </w:tcPr>
          <w:p w14:paraId="04ABC4AC" w14:textId="77777777" w:rsidR="009D4A93" w:rsidRPr="00536CFD" w:rsidRDefault="009D4A93" w:rsidP="009D4A93">
            <w:pPr>
              <w:spacing w:after="0"/>
              <w:jc w:val="center"/>
              <w:rPr>
                <w:lang w:eastAsia="ja-JP"/>
              </w:rPr>
            </w:pPr>
            <w:r w:rsidRPr="00536CFD">
              <w:rPr>
                <w:lang w:eastAsia="ja-JP"/>
              </w:rPr>
              <w:t>48.94</w:t>
            </w:r>
          </w:p>
        </w:tc>
        <w:tc>
          <w:tcPr>
            <w:tcW w:w="896" w:type="dxa"/>
            <w:tcBorders>
              <w:top w:val="single" w:sz="4" w:space="0" w:color="auto"/>
              <w:left w:val="nil"/>
              <w:bottom w:val="single" w:sz="4" w:space="0" w:color="auto"/>
              <w:right w:val="single" w:sz="4" w:space="0" w:color="auto"/>
            </w:tcBorders>
            <w:shd w:val="clear" w:color="auto" w:fill="auto"/>
          </w:tcPr>
          <w:p w14:paraId="4CA49EF9" w14:textId="77777777" w:rsidR="009D4A93" w:rsidRPr="00536CFD" w:rsidRDefault="009D4A93" w:rsidP="009D4A93">
            <w:pPr>
              <w:spacing w:after="0"/>
              <w:jc w:val="center"/>
              <w:rPr>
                <w:lang w:eastAsia="ja-JP"/>
              </w:rPr>
            </w:pPr>
            <w:r w:rsidRPr="00536CFD">
              <w:rPr>
                <w:lang w:eastAsia="ja-JP"/>
              </w:rPr>
              <w:t>74.92</w:t>
            </w:r>
          </w:p>
        </w:tc>
        <w:tc>
          <w:tcPr>
            <w:tcW w:w="720" w:type="dxa"/>
            <w:tcBorders>
              <w:top w:val="single" w:sz="4" w:space="0" w:color="auto"/>
              <w:left w:val="nil"/>
              <w:bottom w:val="single" w:sz="4" w:space="0" w:color="auto"/>
              <w:right w:val="single" w:sz="4" w:space="0" w:color="auto"/>
            </w:tcBorders>
            <w:shd w:val="clear" w:color="auto" w:fill="auto"/>
          </w:tcPr>
          <w:p w14:paraId="6273A1E7" w14:textId="77777777" w:rsidR="009D4A93" w:rsidRPr="00536CFD" w:rsidRDefault="009D4A93" w:rsidP="009D4A93">
            <w:pPr>
              <w:spacing w:after="0"/>
              <w:jc w:val="center"/>
              <w:rPr>
                <w:lang w:eastAsia="ja-JP"/>
              </w:rPr>
            </w:pPr>
            <w:r w:rsidRPr="00536CFD">
              <w:rPr>
                <w:lang w:eastAsia="ja-JP"/>
              </w:rPr>
              <w:t>60.96</w:t>
            </w:r>
          </w:p>
        </w:tc>
        <w:tc>
          <w:tcPr>
            <w:tcW w:w="720" w:type="dxa"/>
            <w:tcBorders>
              <w:top w:val="single" w:sz="4" w:space="0" w:color="auto"/>
              <w:left w:val="nil"/>
              <w:bottom w:val="single" w:sz="4" w:space="0" w:color="auto"/>
              <w:right w:val="single" w:sz="4" w:space="0" w:color="auto"/>
            </w:tcBorders>
            <w:shd w:val="clear" w:color="auto" w:fill="auto"/>
          </w:tcPr>
          <w:p w14:paraId="091706E5" w14:textId="77777777" w:rsidR="009D4A93" w:rsidRPr="00536CFD" w:rsidRDefault="009D4A93" w:rsidP="009D4A93">
            <w:pPr>
              <w:spacing w:after="0"/>
              <w:jc w:val="center"/>
              <w:rPr>
                <w:lang w:eastAsia="ja-JP"/>
              </w:rPr>
            </w:pPr>
            <w:r w:rsidRPr="00536CFD">
              <w:rPr>
                <w:lang w:eastAsia="ja-JP"/>
              </w:rPr>
              <w:t>91.67</w:t>
            </w:r>
          </w:p>
        </w:tc>
      </w:tr>
      <w:tr w:rsidR="009D4A93" w:rsidRPr="00536CFD" w14:paraId="1B8D258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0DC0CBD"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4E1647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5D7C66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31E243F7" w14:textId="77777777" w:rsidR="009D4A93" w:rsidRPr="00536CFD" w:rsidRDefault="009D4A93" w:rsidP="009D4A93">
            <w:pPr>
              <w:spacing w:after="0"/>
              <w:jc w:val="center"/>
              <w:rPr>
                <w:lang w:eastAsia="ja-JP"/>
              </w:rPr>
            </w:pPr>
            <w:r w:rsidRPr="00536CFD">
              <w:rPr>
                <w:lang w:eastAsia="ja-JP"/>
              </w:rPr>
              <w:t>81.03</w:t>
            </w:r>
          </w:p>
        </w:tc>
        <w:tc>
          <w:tcPr>
            <w:tcW w:w="720" w:type="dxa"/>
            <w:tcBorders>
              <w:top w:val="single" w:sz="4" w:space="0" w:color="auto"/>
              <w:left w:val="nil"/>
              <w:bottom w:val="single" w:sz="4" w:space="0" w:color="auto"/>
              <w:right w:val="single" w:sz="4" w:space="0" w:color="auto"/>
            </w:tcBorders>
            <w:shd w:val="clear" w:color="auto" w:fill="auto"/>
          </w:tcPr>
          <w:p w14:paraId="50563492" w14:textId="77777777" w:rsidR="009D4A93" w:rsidRPr="00536CFD" w:rsidRDefault="009D4A93" w:rsidP="009D4A93">
            <w:pPr>
              <w:spacing w:after="0"/>
              <w:jc w:val="center"/>
              <w:rPr>
                <w:lang w:eastAsia="ja-JP"/>
              </w:rPr>
            </w:pPr>
            <w:r w:rsidRPr="00536CFD">
              <w:rPr>
                <w:lang w:eastAsia="ja-JP"/>
              </w:rPr>
              <w:t>86.68</w:t>
            </w:r>
          </w:p>
        </w:tc>
        <w:tc>
          <w:tcPr>
            <w:tcW w:w="720" w:type="dxa"/>
            <w:tcBorders>
              <w:top w:val="single" w:sz="4" w:space="0" w:color="auto"/>
              <w:left w:val="nil"/>
              <w:bottom w:val="single" w:sz="4" w:space="0" w:color="auto"/>
              <w:right w:val="single" w:sz="4" w:space="0" w:color="auto"/>
            </w:tcBorders>
            <w:shd w:val="clear" w:color="auto" w:fill="auto"/>
          </w:tcPr>
          <w:p w14:paraId="162B96B7" w14:textId="77777777" w:rsidR="009D4A93" w:rsidRPr="00536CFD" w:rsidRDefault="009D4A93" w:rsidP="009D4A93">
            <w:pPr>
              <w:spacing w:after="0"/>
              <w:jc w:val="center"/>
              <w:rPr>
                <w:lang w:eastAsia="ja-JP"/>
              </w:rPr>
            </w:pPr>
            <w:r w:rsidRPr="00536CFD">
              <w:rPr>
                <w:lang w:eastAsia="ja-JP"/>
              </w:rPr>
              <w:t>79.98</w:t>
            </w:r>
          </w:p>
        </w:tc>
        <w:tc>
          <w:tcPr>
            <w:tcW w:w="810" w:type="dxa"/>
            <w:tcBorders>
              <w:top w:val="single" w:sz="4" w:space="0" w:color="auto"/>
              <w:left w:val="nil"/>
              <w:bottom w:val="single" w:sz="4" w:space="0" w:color="auto"/>
              <w:right w:val="single" w:sz="4" w:space="0" w:color="auto"/>
            </w:tcBorders>
            <w:shd w:val="clear" w:color="auto" w:fill="auto"/>
          </w:tcPr>
          <w:p w14:paraId="21419D82" w14:textId="77777777" w:rsidR="009D4A93" w:rsidRPr="00536CFD" w:rsidRDefault="009D4A93" w:rsidP="009D4A93">
            <w:pPr>
              <w:spacing w:after="0"/>
              <w:jc w:val="center"/>
              <w:rPr>
                <w:lang w:eastAsia="ja-JP"/>
              </w:rPr>
            </w:pPr>
            <w:r w:rsidRPr="00536CFD">
              <w:rPr>
                <w:lang w:eastAsia="ja-JP"/>
              </w:rPr>
              <w:t>83.83</w:t>
            </w:r>
          </w:p>
        </w:tc>
        <w:tc>
          <w:tcPr>
            <w:tcW w:w="810" w:type="dxa"/>
            <w:tcBorders>
              <w:top w:val="single" w:sz="4" w:space="0" w:color="auto"/>
              <w:left w:val="nil"/>
              <w:bottom w:val="single" w:sz="4" w:space="0" w:color="auto"/>
              <w:right w:val="single" w:sz="4" w:space="0" w:color="auto"/>
            </w:tcBorders>
            <w:shd w:val="clear" w:color="auto" w:fill="auto"/>
          </w:tcPr>
          <w:p w14:paraId="6D445273" w14:textId="77777777" w:rsidR="009D4A93" w:rsidRPr="00536CFD" w:rsidRDefault="009D4A93" w:rsidP="009D4A93">
            <w:pPr>
              <w:spacing w:after="0"/>
              <w:jc w:val="center"/>
              <w:rPr>
                <w:lang w:eastAsia="ja-JP"/>
              </w:rPr>
            </w:pPr>
            <w:r w:rsidRPr="00536CFD">
              <w:rPr>
                <w:lang w:eastAsia="ja-JP"/>
              </w:rPr>
              <w:t>53.70</w:t>
            </w:r>
          </w:p>
        </w:tc>
        <w:tc>
          <w:tcPr>
            <w:tcW w:w="820" w:type="dxa"/>
            <w:tcBorders>
              <w:top w:val="single" w:sz="4" w:space="0" w:color="auto"/>
              <w:left w:val="nil"/>
              <w:bottom w:val="single" w:sz="4" w:space="0" w:color="auto"/>
              <w:right w:val="single" w:sz="4" w:space="0" w:color="auto"/>
            </w:tcBorders>
            <w:shd w:val="clear" w:color="auto" w:fill="auto"/>
          </w:tcPr>
          <w:p w14:paraId="711BF7E4" w14:textId="77777777" w:rsidR="009D4A93" w:rsidRPr="00536CFD" w:rsidRDefault="009D4A93" w:rsidP="009D4A93">
            <w:pPr>
              <w:spacing w:after="0"/>
              <w:jc w:val="center"/>
              <w:rPr>
                <w:lang w:eastAsia="ja-JP"/>
              </w:rPr>
            </w:pPr>
            <w:r w:rsidRPr="00536CFD">
              <w:rPr>
                <w:lang w:eastAsia="ja-JP"/>
              </w:rPr>
              <w:t>71.61</w:t>
            </w:r>
          </w:p>
        </w:tc>
        <w:tc>
          <w:tcPr>
            <w:tcW w:w="800" w:type="dxa"/>
            <w:tcBorders>
              <w:top w:val="single" w:sz="4" w:space="0" w:color="auto"/>
              <w:left w:val="nil"/>
              <w:bottom w:val="single" w:sz="4" w:space="0" w:color="auto"/>
              <w:right w:val="single" w:sz="4" w:space="0" w:color="auto"/>
            </w:tcBorders>
            <w:shd w:val="clear" w:color="auto" w:fill="auto"/>
          </w:tcPr>
          <w:p w14:paraId="5901D83E" w14:textId="77777777" w:rsidR="009D4A93" w:rsidRPr="00536CFD" w:rsidRDefault="009D4A93" w:rsidP="009D4A93">
            <w:pPr>
              <w:spacing w:after="0"/>
              <w:jc w:val="center"/>
              <w:rPr>
                <w:lang w:eastAsia="ja-JP"/>
              </w:rPr>
            </w:pPr>
            <w:r w:rsidRPr="00536CFD">
              <w:rPr>
                <w:lang w:eastAsia="ja-JP"/>
              </w:rPr>
              <w:t>63.79</w:t>
            </w:r>
          </w:p>
        </w:tc>
        <w:tc>
          <w:tcPr>
            <w:tcW w:w="720" w:type="dxa"/>
            <w:tcBorders>
              <w:top w:val="single" w:sz="4" w:space="0" w:color="auto"/>
              <w:left w:val="nil"/>
              <w:bottom w:val="single" w:sz="4" w:space="0" w:color="auto"/>
              <w:right w:val="single" w:sz="4" w:space="0" w:color="auto"/>
            </w:tcBorders>
            <w:shd w:val="clear" w:color="auto" w:fill="auto"/>
          </w:tcPr>
          <w:p w14:paraId="36D1AA73" w14:textId="77777777" w:rsidR="009D4A93" w:rsidRPr="00536CFD" w:rsidRDefault="009D4A93" w:rsidP="009D4A93">
            <w:pPr>
              <w:spacing w:after="0"/>
              <w:jc w:val="center"/>
              <w:rPr>
                <w:lang w:eastAsia="ja-JP"/>
              </w:rPr>
            </w:pPr>
            <w:r w:rsidRPr="00536CFD">
              <w:rPr>
                <w:lang w:eastAsia="ja-JP"/>
              </w:rPr>
              <w:t>75.65</w:t>
            </w:r>
          </w:p>
        </w:tc>
        <w:tc>
          <w:tcPr>
            <w:tcW w:w="724" w:type="dxa"/>
            <w:tcBorders>
              <w:top w:val="single" w:sz="4" w:space="0" w:color="auto"/>
              <w:left w:val="nil"/>
              <w:bottom w:val="single" w:sz="4" w:space="0" w:color="auto"/>
              <w:right w:val="single" w:sz="4" w:space="0" w:color="auto"/>
            </w:tcBorders>
            <w:shd w:val="clear" w:color="auto" w:fill="auto"/>
          </w:tcPr>
          <w:p w14:paraId="2484D525" w14:textId="77777777" w:rsidR="009D4A93" w:rsidRPr="00536CFD" w:rsidRDefault="009D4A93" w:rsidP="009D4A93">
            <w:pPr>
              <w:spacing w:after="0"/>
              <w:jc w:val="center"/>
              <w:rPr>
                <w:lang w:eastAsia="ja-JP"/>
              </w:rPr>
            </w:pPr>
            <w:r w:rsidRPr="00536CFD">
              <w:rPr>
                <w:lang w:eastAsia="ja-JP"/>
              </w:rPr>
              <w:t>28.86</w:t>
            </w:r>
          </w:p>
        </w:tc>
        <w:tc>
          <w:tcPr>
            <w:tcW w:w="896" w:type="dxa"/>
            <w:tcBorders>
              <w:top w:val="single" w:sz="4" w:space="0" w:color="auto"/>
              <w:left w:val="nil"/>
              <w:bottom w:val="single" w:sz="4" w:space="0" w:color="auto"/>
              <w:right w:val="single" w:sz="4" w:space="0" w:color="auto"/>
            </w:tcBorders>
            <w:shd w:val="clear" w:color="auto" w:fill="auto"/>
          </w:tcPr>
          <w:p w14:paraId="16F1BE57" w14:textId="77777777" w:rsidR="009D4A93" w:rsidRPr="00536CFD" w:rsidRDefault="009D4A93" w:rsidP="009D4A93">
            <w:pPr>
              <w:spacing w:after="0"/>
              <w:jc w:val="center"/>
              <w:rPr>
                <w:lang w:eastAsia="ja-JP"/>
              </w:rPr>
            </w:pPr>
            <w:r w:rsidRPr="00536CFD">
              <w:rPr>
                <w:lang w:eastAsia="ja-JP"/>
              </w:rPr>
              <w:t>50.74</w:t>
            </w:r>
          </w:p>
        </w:tc>
        <w:tc>
          <w:tcPr>
            <w:tcW w:w="720" w:type="dxa"/>
            <w:tcBorders>
              <w:top w:val="single" w:sz="4" w:space="0" w:color="auto"/>
              <w:left w:val="nil"/>
              <w:bottom w:val="single" w:sz="4" w:space="0" w:color="auto"/>
              <w:right w:val="single" w:sz="4" w:space="0" w:color="auto"/>
            </w:tcBorders>
            <w:shd w:val="clear" w:color="auto" w:fill="auto"/>
          </w:tcPr>
          <w:p w14:paraId="531FD789" w14:textId="77777777" w:rsidR="009D4A93" w:rsidRPr="00536CFD" w:rsidRDefault="009D4A93" w:rsidP="009D4A93">
            <w:pPr>
              <w:spacing w:after="0"/>
              <w:jc w:val="center"/>
              <w:rPr>
                <w:lang w:eastAsia="ja-JP"/>
              </w:rPr>
            </w:pPr>
            <w:r w:rsidRPr="00536CFD">
              <w:rPr>
                <w:lang w:eastAsia="ja-JP"/>
              </w:rPr>
              <w:t>41.09</w:t>
            </w:r>
          </w:p>
        </w:tc>
        <w:tc>
          <w:tcPr>
            <w:tcW w:w="720" w:type="dxa"/>
            <w:tcBorders>
              <w:top w:val="single" w:sz="4" w:space="0" w:color="auto"/>
              <w:left w:val="nil"/>
              <w:bottom w:val="single" w:sz="4" w:space="0" w:color="auto"/>
              <w:right w:val="single" w:sz="4" w:space="0" w:color="auto"/>
            </w:tcBorders>
            <w:shd w:val="clear" w:color="auto" w:fill="auto"/>
          </w:tcPr>
          <w:p w14:paraId="079C8B00" w14:textId="77777777" w:rsidR="009D4A93" w:rsidRPr="00536CFD" w:rsidRDefault="009D4A93" w:rsidP="009D4A93">
            <w:pPr>
              <w:spacing w:after="0"/>
              <w:jc w:val="center"/>
              <w:rPr>
                <w:lang w:eastAsia="ja-JP"/>
              </w:rPr>
            </w:pPr>
            <w:r w:rsidRPr="00536CFD">
              <w:rPr>
                <w:lang w:eastAsia="ja-JP"/>
              </w:rPr>
              <w:t>69.67</w:t>
            </w:r>
          </w:p>
        </w:tc>
      </w:tr>
      <w:tr w:rsidR="009D4A93" w:rsidRPr="00536CFD" w14:paraId="2F0DA91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0E4FA5E"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3B65B19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475A54E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6F780F76" w14:textId="77777777" w:rsidR="009D4A93" w:rsidRPr="00536CFD" w:rsidRDefault="009D4A93" w:rsidP="009D4A93">
            <w:pPr>
              <w:spacing w:after="0"/>
              <w:jc w:val="center"/>
              <w:rPr>
                <w:lang w:eastAsia="ja-JP"/>
              </w:rPr>
            </w:pPr>
            <w:r w:rsidRPr="00536CFD">
              <w:rPr>
                <w:lang w:eastAsia="ja-JP"/>
              </w:rPr>
              <w:t>0.036</w:t>
            </w:r>
          </w:p>
        </w:tc>
        <w:tc>
          <w:tcPr>
            <w:tcW w:w="720" w:type="dxa"/>
            <w:tcBorders>
              <w:top w:val="single" w:sz="4" w:space="0" w:color="auto"/>
              <w:left w:val="nil"/>
              <w:bottom w:val="single" w:sz="4" w:space="0" w:color="auto"/>
              <w:right w:val="single" w:sz="4" w:space="0" w:color="auto"/>
            </w:tcBorders>
            <w:shd w:val="clear" w:color="auto" w:fill="auto"/>
          </w:tcPr>
          <w:p w14:paraId="6BF61122" w14:textId="77777777" w:rsidR="009D4A93" w:rsidRPr="00536CFD" w:rsidRDefault="009D4A93" w:rsidP="009D4A93">
            <w:pPr>
              <w:spacing w:after="0"/>
              <w:jc w:val="center"/>
              <w:rPr>
                <w:lang w:eastAsia="ja-JP"/>
              </w:rPr>
            </w:pPr>
            <w:r w:rsidRPr="00536CFD">
              <w:rPr>
                <w:lang w:eastAsia="ja-JP"/>
              </w:rPr>
              <w:t>0.033</w:t>
            </w:r>
          </w:p>
        </w:tc>
        <w:tc>
          <w:tcPr>
            <w:tcW w:w="720" w:type="dxa"/>
            <w:tcBorders>
              <w:top w:val="single" w:sz="4" w:space="0" w:color="auto"/>
              <w:left w:val="nil"/>
              <w:bottom w:val="single" w:sz="4" w:space="0" w:color="auto"/>
              <w:right w:val="single" w:sz="4" w:space="0" w:color="auto"/>
            </w:tcBorders>
            <w:shd w:val="clear" w:color="auto" w:fill="auto"/>
          </w:tcPr>
          <w:p w14:paraId="59FC3B83" w14:textId="77777777" w:rsidR="009D4A93" w:rsidRPr="00536CFD" w:rsidRDefault="009D4A93" w:rsidP="009D4A93">
            <w:pPr>
              <w:spacing w:after="0"/>
              <w:jc w:val="center"/>
              <w:rPr>
                <w:lang w:eastAsia="ja-JP"/>
              </w:rPr>
            </w:pPr>
            <w:r w:rsidRPr="00536CFD">
              <w:rPr>
                <w:lang w:eastAsia="ja-JP"/>
              </w:rPr>
              <w:t>0.035</w:t>
            </w:r>
          </w:p>
        </w:tc>
        <w:tc>
          <w:tcPr>
            <w:tcW w:w="810" w:type="dxa"/>
            <w:tcBorders>
              <w:top w:val="single" w:sz="4" w:space="0" w:color="auto"/>
              <w:left w:val="nil"/>
              <w:bottom w:val="single" w:sz="4" w:space="0" w:color="auto"/>
              <w:right w:val="single" w:sz="4" w:space="0" w:color="auto"/>
            </w:tcBorders>
            <w:shd w:val="clear" w:color="auto" w:fill="auto"/>
          </w:tcPr>
          <w:p w14:paraId="3C83FBAA" w14:textId="77777777" w:rsidR="009D4A93" w:rsidRPr="00536CFD" w:rsidRDefault="009D4A93" w:rsidP="009D4A93">
            <w:pPr>
              <w:spacing w:after="0"/>
              <w:jc w:val="center"/>
              <w:rPr>
                <w:lang w:eastAsia="ja-JP"/>
              </w:rPr>
            </w:pPr>
            <w:r w:rsidRPr="00536CFD">
              <w:rPr>
                <w:lang w:eastAsia="ja-JP"/>
              </w:rPr>
              <w:t>0.034</w:t>
            </w:r>
          </w:p>
        </w:tc>
        <w:tc>
          <w:tcPr>
            <w:tcW w:w="810" w:type="dxa"/>
            <w:tcBorders>
              <w:top w:val="single" w:sz="4" w:space="0" w:color="auto"/>
              <w:left w:val="nil"/>
              <w:bottom w:val="single" w:sz="4" w:space="0" w:color="auto"/>
              <w:right w:val="single" w:sz="4" w:space="0" w:color="auto"/>
            </w:tcBorders>
            <w:shd w:val="clear" w:color="auto" w:fill="auto"/>
          </w:tcPr>
          <w:p w14:paraId="2E5A71E4" w14:textId="77777777" w:rsidR="009D4A93" w:rsidRPr="00536CFD" w:rsidRDefault="009D4A93" w:rsidP="009D4A93">
            <w:pPr>
              <w:spacing w:after="0"/>
              <w:jc w:val="center"/>
              <w:rPr>
                <w:lang w:eastAsia="ja-JP"/>
              </w:rPr>
            </w:pPr>
            <w:r w:rsidRPr="00536CFD">
              <w:rPr>
                <w:lang w:eastAsia="ja-JP"/>
              </w:rPr>
              <w:t>0.059</w:t>
            </w:r>
          </w:p>
        </w:tc>
        <w:tc>
          <w:tcPr>
            <w:tcW w:w="820" w:type="dxa"/>
            <w:tcBorders>
              <w:top w:val="single" w:sz="4" w:space="0" w:color="auto"/>
              <w:left w:val="nil"/>
              <w:bottom w:val="single" w:sz="4" w:space="0" w:color="auto"/>
              <w:right w:val="single" w:sz="4" w:space="0" w:color="auto"/>
            </w:tcBorders>
            <w:shd w:val="clear" w:color="auto" w:fill="auto"/>
          </w:tcPr>
          <w:p w14:paraId="5ECFF618" w14:textId="77777777" w:rsidR="009D4A93" w:rsidRPr="00536CFD" w:rsidRDefault="009D4A93" w:rsidP="009D4A93">
            <w:pPr>
              <w:spacing w:after="0"/>
              <w:jc w:val="center"/>
              <w:rPr>
                <w:lang w:eastAsia="ja-JP"/>
              </w:rPr>
            </w:pPr>
            <w:r w:rsidRPr="00536CFD">
              <w:rPr>
                <w:lang w:eastAsia="ja-JP"/>
              </w:rPr>
              <w:t>0.042</w:t>
            </w:r>
          </w:p>
        </w:tc>
        <w:tc>
          <w:tcPr>
            <w:tcW w:w="800" w:type="dxa"/>
            <w:tcBorders>
              <w:top w:val="single" w:sz="4" w:space="0" w:color="auto"/>
              <w:left w:val="nil"/>
              <w:bottom w:val="single" w:sz="4" w:space="0" w:color="auto"/>
              <w:right w:val="single" w:sz="4" w:space="0" w:color="auto"/>
            </w:tcBorders>
            <w:shd w:val="clear" w:color="auto" w:fill="auto"/>
          </w:tcPr>
          <w:p w14:paraId="6B20CE62" w14:textId="77777777" w:rsidR="009D4A93" w:rsidRPr="00536CFD" w:rsidRDefault="009D4A93" w:rsidP="009D4A93">
            <w:pPr>
              <w:spacing w:after="0"/>
              <w:jc w:val="center"/>
              <w:rPr>
                <w:lang w:eastAsia="ja-JP"/>
              </w:rPr>
            </w:pPr>
            <w:r w:rsidRPr="00536CFD">
              <w:rPr>
                <w:lang w:eastAsia="ja-JP"/>
              </w:rPr>
              <w:t>0.044</w:t>
            </w:r>
          </w:p>
        </w:tc>
        <w:tc>
          <w:tcPr>
            <w:tcW w:w="720" w:type="dxa"/>
            <w:tcBorders>
              <w:top w:val="single" w:sz="4" w:space="0" w:color="auto"/>
              <w:left w:val="nil"/>
              <w:bottom w:val="single" w:sz="4" w:space="0" w:color="auto"/>
              <w:right w:val="single" w:sz="4" w:space="0" w:color="auto"/>
            </w:tcBorders>
            <w:shd w:val="clear" w:color="auto" w:fill="auto"/>
          </w:tcPr>
          <w:p w14:paraId="649A735F" w14:textId="77777777" w:rsidR="009D4A93" w:rsidRPr="00536CFD" w:rsidRDefault="009D4A93" w:rsidP="009D4A93">
            <w:pPr>
              <w:spacing w:after="0"/>
              <w:jc w:val="center"/>
              <w:rPr>
                <w:lang w:eastAsia="ja-JP"/>
              </w:rPr>
            </w:pPr>
            <w:r w:rsidRPr="00536CFD">
              <w:rPr>
                <w:lang w:eastAsia="ja-JP"/>
              </w:rPr>
              <w:t>0.036</w:t>
            </w:r>
          </w:p>
        </w:tc>
        <w:tc>
          <w:tcPr>
            <w:tcW w:w="724" w:type="dxa"/>
            <w:tcBorders>
              <w:top w:val="single" w:sz="4" w:space="0" w:color="auto"/>
              <w:left w:val="nil"/>
              <w:bottom w:val="single" w:sz="4" w:space="0" w:color="auto"/>
              <w:right w:val="single" w:sz="4" w:space="0" w:color="auto"/>
            </w:tcBorders>
            <w:shd w:val="clear" w:color="auto" w:fill="auto"/>
          </w:tcPr>
          <w:p w14:paraId="1448E166" w14:textId="77777777" w:rsidR="009D4A93" w:rsidRPr="00536CFD" w:rsidRDefault="009D4A93" w:rsidP="009D4A93">
            <w:pPr>
              <w:spacing w:after="0"/>
              <w:jc w:val="center"/>
              <w:rPr>
                <w:lang w:eastAsia="ja-JP"/>
              </w:rPr>
            </w:pPr>
            <w:r w:rsidRPr="00536CFD">
              <w:rPr>
                <w:lang w:eastAsia="ja-JP"/>
              </w:rPr>
              <w:t>0.092</w:t>
            </w:r>
          </w:p>
        </w:tc>
        <w:tc>
          <w:tcPr>
            <w:tcW w:w="896" w:type="dxa"/>
            <w:tcBorders>
              <w:top w:val="single" w:sz="4" w:space="0" w:color="auto"/>
              <w:left w:val="nil"/>
              <w:bottom w:val="single" w:sz="4" w:space="0" w:color="auto"/>
              <w:right w:val="single" w:sz="4" w:space="0" w:color="auto"/>
            </w:tcBorders>
            <w:shd w:val="clear" w:color="auto" w:fill="auto"/>
          </w:tcPr>
          <w:p w14:paraId="4AFBD062" w14:textId="77777777" w:rsidR="009D4A93" w:rsidRPr="00536CFD" w:rsidRDefault="009D4A93" w:rsidP="009D4A93">
            <w:pPr>
              <w:spacing w:after="0"/>
              <w:jc w:val="center"/>
              <w:rPr>
                <w:lang w:eastAsia="ja-JP"/>
              </w:rPr>
            </w:pPr>
            <w:r w:rsidRPr="00536CFD">
              <w:rPr>
                <w:lang w:eastAsia="ja-JP"/>
              </w:rPr>
              <w:t>0.061</w:t>
            </w:r>
          </w:p>
        </w:tc>
        <w:tc>
          <w:tcPr>
            <w:tcW w:w="720" w:type="dxa"/>
            <w:tcBorders>
              <w:top w:val="single" w:sz="4" w:space="0" w:color="auto"/>
              <w:left w:val="nil"/>
              <w:bottom w:val="single" w:sz="4" w:space="0" w:color="auto"/>
              <w:right w:val="single" w:sz="4" w:space="0" w:color="auto"/>
            </w:tcBorders>
            <w:shd w:val="clear" w:color="auto" w:fill="auto"/>
          </w:tcPr>
          <w:p w14:paraId="397620A2" w14:textId="77777777" w:rsidR="009D4A93" w:rsidRPr="00536CFD" w:rsidRDefault="009D4A93" w:rsidP="009D4A93">
            <w:pPr>
              <w:spacing w:after="0"/>
              <w:jc w:val="center"/>
              <w:rPr>
                <w:lang w:eastAsia="ja-JP"/>
              </w:rPr>
            </w:pPr>
            <w:r w:rsidRPr="00536CFD">
              <w:rPr>
                <w:lang w:eastAsia="ja-JP"/>
              </w:rPr>
              <w:t>0.083</w:t>
            </w:r>
          </w:p>
        </w:tc>
        <w:tc>
          <w:tcPr>
            <w:tcW w:w="720" w:type="dxa"/>
            <w:tcBorders>
              <w:top w:val="single" w:sz="4" w:space="0" w:color="auto"/>
              <w:left w:val="nil"/>
              <w:bottom w:val="single" w:sz="4" w:space="0" w:color="auto"/>
              <w:right w:val="single" w:sz="4" w:space="0" w:color="auto"/>
            </w:tcBorders>
            <w:shd w:val="clear" w:color="auto" w:fill="auto"/>
          </w:tcPr>
          <w:p w14:paraId="03CEC950" w14:textId="77777777" w:rsidR="009D4A93" w:rsidRPr="00536CFD" w:rsidRDefault="009D4A93" w:rsidP="009D4A93">
            <w:pPr>
              <w:spacing w:after="0"/>
              <w:jc w:val="center"/>
              <w:rPr>
                <w:lang w:eastAsia="ja-JP"/>
              </w:rPr>
            </w:pPr>
            <w:r w:rsidRPr="00536CFD">
              <w:rPr>
                <w:lang w:eastAsia="ja-JP"/>
              </w:rPr>
              <w:t>0.040</w:t>
            </w:r>
          </w:p>
        </w:tc>
      </w:tr>
      <w:tr w:rsidR="009D4A93" w:rsidRPr="00536CFD" w14:paraId="0459054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A1D164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8EC4E6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C8795A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2884631C" w14:textId="77777777" w:rsidR="009D4A93" w:rsidRPr="00536CFD" w:rsidRDefault="009D4A93" w:rsidP="009D4A93">
            <w:pPr>
              <w:spacing w:after="0"/>
              <w:jc w:val="center"/>
              <w:rPr>
                <w:lang w:eastAsia="ja-JP"/>
              </w:rPr>
            </w:pPr>
            <w:r w:rsidRPr="00536CFD">
              <w:rPr>
                <w:lang w:eastAsia="ja-JP"/>
              </w:rPr>
              <w:t>0.092</w:t>
            </w:r>
          </w:p>
        </w:tc>
        <w:tc>
          <w:tcPr>
            <w:tcW w:w="720" w:type="dxa"/>
            <w:tcBorders>
              <w:top w:val="single" w:sz="4" w:space="0" w:color="auto"/>
              <w:left w:val="nil"/>
              <w:bottom w:val="single" w:sz="4" w:space="0" w:color="auto"/>
              <w:right w:val="single" w:sz="4" w:space="0" w:color="auto"/>
            </w:tcBorders>
            <w:shd w:val="clear" w:color="auto" w:fill="auto"/>
          </w:tcPr>
          <w:p w14:paraId="79DAFB5D" w14:textId="77777777" w:rsidR="009D4A93" w:rsidRPr="00536CFD" w:rsidRDefault="009D4A93" w:rsidP="009D4A93">
            <w:pPr>
              <w:spacing w:after="0"/>
              <w:jc w:val="center"/>
              <w:rPr>
                <w:lang w:eastAsia="ja-JP"/>
              </w:rPr>
            </w:pPr>
            <w:r w:rsidRPr="00536CFD">
              <w:rPr>
                <w:lang w:eastAsia="ja-JP"/>
              </w:rPr>
              <w:t>0.047</w:t>
            </w:r>
          </w:p>
        </w:tc>
        <w:tc>
          <w:tcPr>
            <w:tcW w:w="720" w:type="dxa"/>
            <w:tcBorders>
              <w:top w:val="single" w:sz="4" w:space="0" w:color="auto"/>
              <w:left w:val="nil"/>
              <w:bottom w:val="single" w:sz="4" w:space="0" w:color="auto"/>
              <w:right w:val="single" w:sz="4" w:space="0" w:color="auto"/>
            </w:tcBorders>
            <w:shd w:val="clear" w:color="auto" w:fill="auto"/>
          </w:tcPr>
          <w:p w14:paraId="60EA28F4" w14:textId="77777777" w:rsidR="009D4A93" w:rsidRPr="00536CFD" w:rsidRDefault="009D4A93" w:rsidP="009D4A93">
            <w:pPr>
              <w:spacing w:after="0"/>
              <w:jc w:val="center"/>
              <w:rPr>
                <w:lang w:eastAsia="ja-JP"/>
              </w:rPr>
            </w:pPr>
            <w:r w:rsidRPr="00536CFD">
              <w:rPr>
                <w:lang w:eastAsia="ja-JP"/>
              </w:rPr>
              <w:t>0.058</w:t>
            </w:r>
          </w:p>
        </w:tc>
        <w:tc>
          <w:tcPr>
            <w:tcW w:w="810" w:type="dxa"/>
            <w:tcBorders>
              <w:top w:val="single" w:sz="4" w:space="0" w:color="auto"/>
              <w:left w:val="nil"/>
              <w:bottom w:val="single" w:sz="4" w:space="0" w:color="auto"/>
              <w:right w:val="single" w:sz="4" w:space="0" w:color="auto"/>
            </w:tcBorders>
            <w:shd w:val="clear" w:color="auto" w:fill="auto"/>
          </w:tcPr>
          <w:p w14:paraId="1231F063" w14:textId="77777777" w:rsidR="009D4A93" w:rsidRPr="00536CFD" w:rsidRDefault="009D4A93" w:rsidP="009D4A93">
            <w:pPr>
              <w:spacing w:after="0"/>
              <w:jc w:val="center"/>
              <w:rPr>
                <w:lang w:eastAsia="ja-JP"/>
              </w:rPr>
            </w:pPr>
            <w:r w:rsidRPr="00536CFD">
              <w:rPr>
                <w:lang w:eastAsia="ja-JP"/>
              </w:rPr>
              <w:t>0.045</w:t>
            </w:r>
          </w:p>
        </w:tc>
        <w:tc>
          <w:tcPr>
            <w:tcW w:w="810" w:type="dxa"/>
            <w:tcBorders>
              <w:top w:val="single" w:sz="4" w:space="0" w:color="auto"/>
              <w:left w:val="nil"/>
              <w:bottom w:val="single" w:sz="4" w:space="0" w:color="auto"/>
              <w:right w:val="single" w:sz="4" w:space="0" w:color="auto"/>
            </w:tcBorders>
            <w:shd w:val="clear" w:color="auto" w:fill="auto"/>
          </w:tcPr>
          <w:p w14:paraId="20DFADFB" w14:textId="77777777" w:rsidR="009D4A93" w:rsidRPr="00536CFD" w:rsidRDefault="009D4A93" w:rsidP="009D4A93">
            <w:pPr>
              <w:spacing w:after="0"/>
              <w:jc w:val="center"/>
              <w:rPr>
                <w:lang w:eastAsia="ja-JP"/>
              </w:rPr>
            </w:pPr>
            <w:r w:rsidRPr="00536CFD">
              <w:rPr>
                <w:lang w:eastAsia="ja-JP"/>
              </w:rPr>
              <w:t>0.478</w:t>
            </w:r>
          </w:p>
        </w:tc>
        <w:tc>
          <w:tcPr>
            <w:tcW w:w="820" w:type="dxa"/>
            <w:tcBorders>
              <w:top w:val="single" w:sz="4" w:space="0" w:color="auto"/>
              <w:left w:val="nil"/>
              <w:bottom w:val="single" w:sz="4" w:space="0" w:color="auto"/>
              <w:right w:val="single" w:sz="4" w:space="0" w:color="auto"/>
            </w:tcBorders>
            <w:shd w:val="clear" w:color="auto" w:fill="auto"/>
          </w:tcPr>
          <w:p w14:paraId="40222983" w14:textId="77777777" w:rsidR="009D4A93" w:rsidRPr="00536CFD" w:rsidRDefault="009D4A93" w:rsidP="009D4A93">
            <w:pPr>
              <w:spacing w:after="0"/>
              <w:jc w:val="center"/>
              <w:rPr>
                <w:lang w:eastAsia="ja-JP"/>
              </w:rPr>
            </w:pPr>
            <w:r w:rsidRPr="00536CFD">
              <w:rPr>
                <w:lang w:eastAsia="ja-JP"/>
              </w:rPr>
              <w:t>0.136</w:t>
            </w:r>
          </w:p>
        </w:tc>
        <w:tc>
          <w:tcPr>
            <w:tcW w:w="800" w:type="dxa"/>
            <w:tcBorders>
              <w:top w:val="single" w:sz="4" w:space="0" w:color="auto"/>
              <w:left w:val="nil"/>
              <w:bottom w:val="single" w:sz="4" w:space="0" w:color="auto"/>
              <w:right w:val="single" w:sz="4" w:space="0" w:color="auto"/>
            </w:tcBorders>
            <w:shd w:val="clear" w:color="auto" w:fill="auto"/>
          </w:tcPr>
          <w:p w14:paraId="799F4A52" w14:textId="77777777" w:rsidR="009D4A93" w:rsidRPr="00536CFD" w:rsidRDefault="009D4A93" w:rsidP="009D4A93">
            <w:pPr>
              <w:spacing w:after="0"/>
              <w:jc w:val="center"/>
              <w:rPr>
                <w:lang w:eastAsia="ja-JP"/>
              </w:rPr>
            </w:pPr>
            <w:r w:rsidRPr="00536CFD">
              <w:rPr>
                <w:lang w:eastAsia="ja-JP"/>
              </w:rPr>
              <w:t>0.263</w:t>
            </w:r>
          </w:p>
        </w:tc>
        <w:tc>
          <w:tcPr>
            <w:tcW w:w="720" w:type="dxa"/>
            <w:tcBorders>
              <w:top w:val="single" w:sz="4" w:space="0" w:color="auto"/>
              <w:left w:val="nil"/>
              <w:bottom w:val="single" w:sz="4" w:space="0" w:color="auto"/>
              <w:right w:val="single" w:sz="4" w:space="0" w:color="auto"/>
            </w:tcBorders>
            <w:shd w:val="clear" w:color="auto" w:fill="auto"/>
          </w:tcPr>
          <w:p w14:paraId="6EF333C8" w14:textId="77777777" w:rsidR="009D4A93" w:rsidRPr="00536CFD" w:rsidRDefault="009D4A93" w:rsidP="009D4A93">
            <w:pPr>
              <w:spacing w:after="0"/>
              <w:jc w:val="center"/>
              <w:rPr>
                <w:lang w:eastAsia="ja-JP"/>
              </w:rPr>
            </w:pPr>
            <w:r w:rsidRPr="00536CFD">
              <w:rPr>
                <w:lang w:eastAsia="ja-JP"/>
              </w:rPr>
              <w:t>0.061</w:t>
            </w:r>
          </w:p>
        </w:tc>
        <w:tc>
          <w:tcPr>
            <w:tcW w:w="724" w:type="dxa"/>
            <w:tcBorders>
              <w:top w:val="single" w:sz="4" w:space="0" w:color="auto"/>
              <w:left w:val="nil"/>
              <w:bottom w:val="single" w:sz="4" w:space="0" w:color="auto"/>
              <w:right w:val="single" w:sz="4" w:space="0" w:color="auto"/>
            </w:tcBorders>
            <w:shd w:val="clear" w:color="auto" w:fill="auto"/>
          </w:tcPr>
          <w:p w14:paraId="03167393" w14:textId="77777777" w:rsidR="009D4A93" w:rsidRPr="00536CFD" w:rsidRDefault="009D4A93" w:rsidP="009D4A93">
            <w:pPr>
              <w:spacing w:after="0"/>
              <w:jc w:val="center"/>
              <w:rPr>
                <w:lang w:eastAsia="ja-JP"/>
              </w:rPr>
            </w:pPr>
            <w:r w:rsidRPr="00536CFD">
              <w:rPr>
                <w:lang w:eastAsia="ja-JP"/>
              </w:rPr>
              <w:t>0.820</w:t>
            </w:r>
          </w:p>
        </w:tc>
        <w:tc>
          <w:tcPr>
            <w:tcW w:w="896" w:type="dxa"/>
            <w:tcBorders>
              <w:top w:val="single" w:sz="4" w:space="0" w:color="auto"/>
              <w:left w:val="nil"/>
              <w:bottom w:val="single" w:sz="4" w:space="0" w:color="auto"/>
              <w:right w:val="single" w:sz="4" w:space="0" w:color="auto"/>
            </w:tcBorders>
            <w:shd w:val="clear" w:color="auto" w:fill="auto"/>
          </w:tcPr>
          <w:p w14:paraId="0F5C81E2" w14:textId="77777777" w:rsidR="009D4A93" w:rsidRPr="00536CFD" w:rsidRDefault="009D4A93" w:rsidP="009D4A93">
            <w:pPr>
              <w:spacing w:after="0"/>
              <w:jc w:val="center"/>
              <w:rPr>
                <w:lang w:eastAsia="ja-JP"/>
              </w:rPr>
            </w:pPr>
            <w:r w:rsidRPr="00536CFD">
              <w:rPr>
                <w:lang w:eastAsia="ja-JP"/>
              </w:rPr>
              <w:t>0.295</w:t>
            </w:r>
          </w:p>
        </w:tc>
        <w:tc>
          <w:tcPr>
            <w:tcW w:w="720" w:type="dxa"/>
            <w:tcBorders>
              <w:top w:val="single" w:sz="4" w:space="0" w:color="auto"/>
              <w:left w:val="nil"/>
              <w:bottom w:val="single" w:sz="4" w:space="0" w:color="auto"/>
              <w:right w:val="single" w:sz="4" w:space="0" w:color="auto"/>
            </w:tcBorders>
            <w:shd w:val="clear" w:color="auto" w:fill="auto"/>
          </w:tcPr>
          <w:p w14:paraId="6AEF6669" w14:textId="77777777" w:rsidR="009D4A93" w:rsidRPr="00536CFD" w:rsidRDefault="009D4A93" w:rsidP="009D4A93">
            <w:pPr>
              <w:spacing w:after="0"/>
              <w:jc w:val="center"/>
              <w:rPr>
                <w:lang w:eastAsia="ja-JP"/>
              </w:rPr>
            </w:pPr>
            <w:r w:rsidRPr="00536CFD">
              <w:rPr>
                <w:lang w:eastAsia="ja-JP"/>
              </w:rPr>
              <w:t>1.079</w:t>
            </w:r>
          </w:p>
        </w:tc>
        <w:tc>
          <w:tcPr>
            <w:tcW w:w="720" w:type="dxa"/>
            <w:tcBorders>
              <w:top w:val="single" w:sz="4" w:space="0" w:color="auto"/>
              <w:left w:val="nil"/>
              <w:bottom w:val="single" w:sz="4" w:space="0" w:color="auto"/>
              <w:right w:val="single" w:sz="4" w:space="0" w:color="auto"/>
            </w:tcBorders>
            <w:shd w:val="clear" w:color="auto" w:fill="auto"/>
          </w:tcPr>
          <w:p w14:paraId="7D38BA89" w14:textId="77777777" w:rsidR="009D4A93" w:rsidRPr="00536CFD" w:rsidRDefault="009D4A93" w:rsidP="009D4A93">
            <w:pPr>
              <w:spacing w:after="0"/>
              <w:jc w:val="center"/>
              <w:rPr>
                <w:lang w:eastAsia="ja-JP"/>
              </w:rPr>
            </w:pPr>
            <w:r w:rsidRPr="00536CFD">
              <w:rPr>
                <w:lang w:eastAsia="ja-JP"/>
              </w:rPr>
              <w:t>0.073</w:t>
            </w:r>
          </w:p>
        </w:tc>
      </w:tr>
      <w:tr w:rsidR="009D4A93" w:rsidRPr="00536CFD" w14:paraId="76DBD1E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62CDAE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1D67C6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C70376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7809D057" w14:textId="77777777" w:rsidR="009D4A93" w:rsidRPr="00536CFD" w:rsidRDefault="009D4A93" w:rsidP="009D4A93">
            <w:pPr>
              <w:spacing w:after="0"/>
              <w:jc w:val="center"/>
              <w:rPr>
                <w:lang w:eastAsia="ja-JP"/>
              </w:rPr>
            </w:pPr>
            <w:r w:rsidRPr="00536CFD">
              <w:rPr>
                <w:lang w:eastAsia="ja-JP"/>
              </w:rPr>
              <w:t>1.147</w:t>
            </w:r>
          </w:p>
        </w:tc>
        <w:tc>
          <w:tcPr>
            <w:tcW w:w="720" w:type="dxa"/>
            <w:tcBorders>
              <w:top w:val="single" w:sz="4" w:space="0" w:color="auto"/>
              <w:left w:val="nil"/>
              <w:bottom w:val="single" w:sz="4" w:space="0" w:color="auto"/>
              <w:right w:val="single" w:sz="4" w:space="0" w:color="auto"/>
            </w:tcBorders>
            <w:shd w:val="clear" w:color="auto" w:fill="auto"/>
          </w:tcPr>
          <w:p w14:paraId="2B8A91B8" w14:textId="77777777" w:rsidR="009D4A93" w:rsidRPr="00536CFD" w:rsidRDefault="009D4A93" w:rsidP="009D4A93">
            <w:pPr>
              <w:spacing w:after="0"/>
              <w:jc w:val="center"/>
              <w:rPr>
                <w:lang w:eastAsia="ja-JP"/>
              </w:rPr>
            </w:pPr>
            <w:r w:rsidRPr="00536CFD">
              <w:rPr>
                <w:lang w:eastAsia="ja-JP"/>
              </w:rPr>
              <w:t>0.135</w:t>
            </w:r>
          </w:p>
        </w:tc>
        <w:tc>
          <w:tcPr>
            <w:tcW w:w="720" w:type="dxa"/>
            <w:tcBorders>
              <w:top w:val="single" w:sz="4" w:space="0" w:color="auto"/>
              <w:left w:val="nil"/>
              <w:bottom w:val="single" w:sz="4" w:space="0" w:color="auto"/>
              <w:right w:val="single" w:sz="4" w:space="0" w:color="auto"/>
            </w:tcBorders>
            <w:shd w:val="clear" w:color="auto" w:fill="auto"/>
          </w:tcPr>
          <w:p w14:paraId="7E04F9E9" w14:textId="77777777" w:rsidR="009D4A93" w:rsidRPr="00536CFD" w:rsidRDefault="009D4A93" w:rsidP="009D4A93">
            <w:pPr>
              <w:spacing w:after="0"/>
              <w:jc w:val="center"/>
              <w:rPr>
                <w:lang w:eastAsia="ja-JP"/>
              </w:rPr>
            </w:pPr>
            <w:r w:rsidRPr="00536CFD">
              <w:rPr>
                <w:lang w:eastAsia="ja-JP"/>
              </w:rPr>
              <w:t>0.159</w:t>
            </w:r>
          </w:p>
        </w:tc>
        <w:tc>
          <w:tcPr>
            <w:tcW w:w="810" w:type="dxa"/>
            <w:tcBorders>
              <w:top w:val="single" w:sz="4" w:space="0" w:color="auto"/>
              <w:left w:val="nil"/>
              <w:bottom w:val="single" w:sz="4" w:space="0" w:color="auto"/>
              <w:right w:val="single" w:sz="4" w:space="0" w:color="auto"/>
            </w:tcBorders>
            <w:shd w:val="clear" w:color="auto" w:fill="auto"/>
          </w:tcPr>
          <w:p w14:paraId="1FF45715" w14:textId="77777777" w:rsidR="009D4A93" w:rsidRPr="00536CFD" w:rsidRDefault="009D4A93" w:rsidP="009D4A93">
            <w:pPr>
              <w:spacing w:after="0"/>
              <w:jc w:val="center"/>
              <w:rPr>
                <w:lang w:eastAsia="ja-JP"/>
              </w:rPr>
            </w:pPr>
            <w:r w:rsidRPr="00536CFD">
              <w:rPr>
                <w:lang w:eastAsia="ja-JP"/>
              </w:rPr>
              <w:t>0.100</w:t>
            </w:r>
          </w:p>
        </w:tc>
        <w:tc>
          <w:tcPr>
            <w:tcW w:w="810" w:type="dxa"/>
            <w:tcBorders>
              <w:top w:val="single" w:sz="4" w:space="0" w:color="auto"/>
              <w:left w:val="nil"/>
              <w:bottom w:val="single" w:sz="4" w:space="0" w:color="auto"/>
              <w:right w:val="single" w:sz="4" w:space="0" w:color="auto"/>
            </w:tcBorders>
            <w:shd w:val="clear" w:color="auto" w:fill="auto"/>
          </w:tcPr>
          <w:p w14:paraId="7BBD88C8" w14:textId="77777777" w:rsidR="009D4A93" w:rsidRPr="00536CFD" w:rsidRDefault="009D4A93" w:rsidP="009D4A93">
            <w:pPr>
              <w:spacing w:after="0"/>
              <w:jc w:val="center"/>
              <w:rPr>
                <w:lang w:eastAsia="ja-JP"/>
              </w:rPr>
            </w:pPr>
            <w:r w:rsidRPr="00536CFD">
              <w:rPr>
                <w:lang w:eastAsia="ja-JP"/>
              </w:rPr>
              <w:t>4.177</w:t>
            </w:r>
          </w:p>
        </w:tc>
        <w:tc>
          <w:tcPr>
            <w:tcW w:w="820" w:type="dxa"/>
            <w:tcBorders>
              <w:top w:val="single" w:sz="4" w:space="0" w:color="auto"/>
              <w:left w:val="nil"/>
              <w:bottom w:val="single" w:sz="4" w:space="0" w:color="auto"/>
              <w:right w:val="single" w:sz="4" w:space="0" w:color="auto"/>
            </w:tcBorders>
            <w:shd w:val="clear" w:color="auto" w:fill="auto"/>
          </w:tcPr>
          <w:p w14:paraId="31355DCA" w14:textId="77777777" w:rsidR="009D4A93" w:rsidRPr="00536CFD" w:rsidRDefault="009D4A93" w:rsidP="009D4A93">
            <w:pPr>
              <w:spacing w:after="0"/>
              <w:jc w:val="center"/>
              <w:rPr>
                <w:lang w:eastAsia="ja-JP"/>
              </w:rPr>
            </w:pPr>
            <w:r w:rsidRPr="00536CFD">
              <w:rPr>
                <w:lang w:eastAsia="ja-JP"/>
              </w:rPr>
              <w:t>1.001</w:t>
            </w:r>
          </w:p>
        </w:tc>
        <w:tc>
          <w:tcPr>
            <w:tcW w:w="800" w:type="dxa"/>
            <w:tcBorders>
              <w:top w:val="single" w:sz="4" w:space="0" w:color="auto"/>
              <w:left w:val="nil"/>
              <w:bottom w:val="single" w:sz="4" w:space="0" w:color="auto"/>
              <w:right w:val="single" w:sz="4" w:space="0" w:color="auto"/>
            </w:tcBorders>
            <w:shd w:val="clear" w:color="auto" w:fill="auto"/>
          </w:tcPr>
          <w:p w14:paraId="675BCF0B" w14:textId="77777777" w:rsidR="009D4A93" w:rsidRPr="00536CFD" w:rsidRDefault="009D4A93" w:rsidP="009D4A93">
            <w:pPr>
              <w:spacing w:after="0"/>
              <w:jc w:val="center"/>
              <w:rPr>
                <w:lang w:eastAsia="ja-JP"/>
              </w:rPr>
            </w:pPr>
            <w:r w:rsidRPr="00536CFD">
              <w:rPr>
                <w:lang w:eastAsia="ja-JP"/>
              </w:rPr>
              <w:t>1.816</w:t>
            </w:r>
          </w:p>
        </w:tc>
        <w:tc>
          <w:tcPr>
            <w:tcW w:w="720" w:type="dxa"/>
            <w:tcBorders>
              <w:top w:val="single" w:sz="4" w:space="0" w:color="auto"/>
              <w:left w:val="nil"/>
              <w:bottom w:val="single" w:sz="4" w:space="0" w:color="auto"/>
              <w:right w:val="single" w:sz="4" w:space="0" w:color="auto"/>
            </w:tcBorders>
            <w:shd w:val="clear" w:color="auto" w:fill="auto"/>
          </w:tcPr>
          <w:p w14:paraId="4822CFD5" w14:textId="77777777" w:rsidR="009D4A93" w:rsidRPr="00536CFD" w:rsidRDefault="009D4A93" w:rsidP="009D4A93">
            <w:pPr>
              <w:spacing w:after="0"/>
              <w:jc w:val="center"/>
              <w:rPr>
                <w:lang w:eastAsia="ja-JP"/>
              </w:rPr>
            </w:pPr>
            <w:r w:rsidRPr="00536CFD">
              <w:rPr>
                <w:lang w:eastAsia="ja-JP"/>
              </w:rPr>
              <w:t>0.167</w:t>
            </w:r>
          </w:p>
        </w:tc>
        <w:tc>
          <w:tcPr>
            <w:tcW w:w="724" w:type="dxa"/>
            <w:tcBorders>
              <w:top w:val="single" w:sz="4" w:space="0" w:color="auto"/>
              <w:left w:val="nil"/>
              <w:bottom w:val="single" w:sz="4" w:space="0" w:color="auto"/>
              <w:right w:val="single" w:sz="4" w:space="0" w:color="auto"/>
            </w:tcBorders>
            <w:shd w:val="clear" w:color="auto" w:fill="auto"/>
          </w:tcPr>
          <w:p w14:paraId="7A8BFB5D" w14:textId="77777777" w:rsidR="009D4A93" w:rsidRPr="00536CFD" w:rsidRDefault="009D4A93" w:rsidP="009D4A93">
            <w:pPr>
              <w:spacing w:after="0"/>
              <w:jc w:val="center"/>
              <w:rPr>
                <w:lang w:eastAsia="ja-JP"/>
              </w:rPr>
            </w:pPr>
            <w:r w:rsidRPr="00536CFD">
              <w:rPr>
                <w:lang w:eastAsia="ja-JP"/>
              </w:rPr>
              <w:t>7.586</w:t>
            </w:r>
          </w:p>
        </w:tc>
        <w:tc>
          <w:tcPr>
            <w:tcW w:w="896" w:type="dxa"/>
            <w:tcBorders>
              <w:top w:val="single" w:sz="4" w:space="0" w:color="auto"/>
              <w:left w:val="nil"/>
              <w:bottom w:val="single" w:sz="4" w:space="0" w:color="auto"/>
              <w:right w:val="single" w:sz="4" w:space="0" w:color="auto"/>
            </w:tcBorders>
            <w:shd w:val="clear" w:color="auto" w:fill="auto"/>
          </w:tcPr>
          <w:p w14:paraId="67370895" w14:textId="77777777" w:rsidR="009D4A93" w:rsidRPr="00536CFD" w:rsidRDefault="009D4A93" w:rsidP="009D4A93">
            <w:pPr>
              <w:spacing w:after="0"/>
              <w:jc w:val="center"/>
              <w:rPr>
                <w:lang w:eastAsia="ja-JP"/>
              </w:rPr>
            </w:pPr>
            <w:r w:rsidRPr="00536CFD">
              <w:rPr>
                <w:lang w:eastAsia="ja-JP"/>
              </w:rPr>
              <w:t>2.958</w:t>
            </w:r>
          </w:p>
        </w:tc>
        <w:tc>
          <w:tcPr>
            <w:tcW w:w="720" w:type="dxa"/>
            <w:tcBorders>
              <w:top w:val="single" w:sz="4" w:space="0" w:color="auto"/>
              <w:left w:val="nil"/>
              <w:bottom w:val="single" w:sz="4" w:space="0" w:color="auto"/>
              <w:right w:val="single" w:sz="4" w:space="0" w:color="auto"/>
            </w:tcBorders>
            <w:shd w:val="clear" w:color="auto" w:fill="auto"/>
          </w:tcPr>
          <w:p w14:paraId="45512840" w14:textId="77777777" w:rsidR="009D4A93" w:rsidRPr="00536CFD" w:rsidRDefault="009D4A93" w:rsidP="009D4A93">
            <w:pPr>
              <w:spacing w:after="0"/>
              <w:jc w:val="center"/>
              <w:rPr>
                <w:lang w:eastAsia="ja-JP"/>
              </w:rPr>
            </w:pPr>
            <w:r w:rsidRPr="00536CFD">
              <w:rPr>
                <w:lang w:eastAsia="ja-JP"/>
              </w:rPr>
              <w:t>7.736</w:t>
            </w:r>
          </w:p>
        </w:tc>
        <w:tc>
          <w:tcPr>
            <w:tcW w:w="720" w:type="dxa"/>
            <w:tcBorders>
              <w:top w:val="single" w:sz="4" w:space="0" w:color="auto"/>
              <w:left w:val="nil"/>
              <w:bottom w:val="single" w:sz="4" w:space="0" w:color="auto"/>
              <w:right w:val="single" w:sz="4" w:space="0" w:color="auto"/>
            </w:tcBorders>
            <w:shd w:val="clear" w:color="auto" w:fill="auto"/>
          </w:tcPr>
          <w:p w14:paraId="5581FD36" w14:textId="77777777" w:rsidR="009D4A93" w:rsidRPr="00536CFD" w:rsidRDefault="009D4A93" w:rsidP="009D4A93">
            <w:pPr>
              <w:spacing w:after="0"/>
              <w:jc w:val="center"/>
              <w:rPr>
                <w:lang w:eastAsia="ja-JP"/>
              </w:rPr>
            </w:pPr>
            <w:r w:rsidRPr="00536CFD">
              <w:rPr>
                <w:lang w:eastAsia="ja-JP"/>
              </w:rPr>
              <w:t>0.199</w:t>
            </w:r>
          </w:p>
        </w:tc>
      </w:tr>
      <w:tr w:rsidR="009D4A93" w:rsidRPr="00536CFD" w14:paraId="1BB8087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A10DAE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3AB4C3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D9730C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2C36D327" w14:textId="77777777" w:rsidR="009D4A93" w:rsidRPr="00536CFD" w:rsidRDefault="009D4A93" w:rsidP="009D4A93">
            <w:pPr>
              <w:spacing w:after="0"/>
              <w:jc w:val="center"/>
              <w:rPr>
                <w:lang w:eastAsia="ja-JP"/>
              </w:rPr>
            </w:pPr>
            <w:r w:rsidRPr="00536CFD">
              <w:rPr>
                <w:lang w:eastAsia="ja-JP"/>
              </w:rPr>
              <w:t>0.377</w:t>
            </w:r>
          </w:p>
        </w:tc>
        <w:tc>
          <w:tcPr>
            <w:tcW w:w="720" w:type="dxa"/>
            <w:tcBorders>
              <w:top w:val="single" w:sz="4" w:space="0" w:color="auto"/>
              <w:left w:val="nil"/>
              <w:bottom w:val="single" w:sz="4" w:space="0" w:color="auto"/>
              <w:right w:val="single" w:sz="4" w:space="0" w:color="auto"/>
            </w:tcBorders>
            <w:shd w:val="clear" w:color="auto" w:fill="auto"/>
          </w:tcPr>
          <w:p w14:paraId="4E4F5410" w14:textId="77777777" w:rsidR="009D4A93" w:rsidRPr="00536CFD" w:rsidRDefault="009D4A93" w:rsidP="009D4A93">
            <w:pPr>
              <w:spacing w:after="0"/>
              <w:jc w:val="center"/>
              <w:rPr>
                <w:lang w:eastAsia="ja-JP"/>
              </w:rPr>
            </w:pPr>
            <w:r w:rsidRPr="00536CFD">
              <w:rPr>
                <w:lang w:eastAsia="ja-JP"/>
              </w:rPr>
              <w:t>0.071</w:t>
            </w:r>
          </w:p>
        </w:tc>
        <w:tc>
          <w:tcPr>
            <w:tcW w:w="720" w:type="dxa"/>
            <w:tcBorders>
              <w:top w:val="single" w:sz="4" w:space="0" w:color="auto"/>
              <w:left w:val="nil"/>
              <w:bottom w:val="single" w:sz="4" w:space="0" w:color="auto"/>
              <w:right w:val="single" w:sz="4" w:space="0" w:color="auto"/>
            </w:tcBorders>
            <w:shd w:val="clear" w:color="auto" w:fill="auto"/>
          </w:tcPr>
          <w:p w14:paraId="5458BBEF" w14:textId="77777777" w:rsidR="009D4A93" w:rsidRPr="00536CFD" w:rsidRDefault="009D4A93" w:rsidP="009D4A93">
            <w:pPr>
              <w:spacing w:after="0"/>
              <w:jc w:val="center"/>
              <w:rPr>
                <w:lang w:eastAsia="ja-JP"/>
              </w:rPr>
            </w:pPr>
            <w:r w:rsidRPr="00536CFD">
              <w:rPr>
                <w:lang w:eastAsia="ja-JP"/>
              </w:rPr>
              <w:t>0.083</w:t>
            </w:r>
          </w:p>
        </w:tc>
        <w:tc>
          <w:tcPr>
            <w:tcW w:w="810" w:type="dxa"/>
            <w:tcBorders>
              <w:top w:val="single" w:sz="4" w:space="0" w:color="auto"/>
              <w:left w:val="nil"/>
              <w:bottom w:val="single" w:sz="4" w:space="0" w:color="auto"/>
              <w:right w:val="single" w:sz="4" w:space="0" w:color="auto"/>
            </w:tcBorders>
            <w:shd w:val="clear" w:color="auto" w:fill="auto"/>
          </w:tcPr>
          <w:p w14:paraId="6B2E9CA8" w14:textId="77777777" w:rsidR="009D4A93" w:rsidRPr="00536CFD" w:rsidRDefault="009D4A93" w:rsidP="009D4A93">
            <w:pPr>
              <w:spacing w:after="0"/>
              <w:jc w:val="center"/>
              <w:rPr>
                <w:lang w:eastAsia="ja-JP"/>
              </w:rPr>
            </w:pPr>
            <w:r w:rsidRPr="00536CFD">
              <w:rPr>
                <w:lang w:eastAsia="ja-JP"/>
              </w:rPr>
              <w:t>0.059</w:t>
            </w:r>
          </w:p>
        </w:tc>
        <w:tc>
          <w:tcPr>
            <w:tcW w:w="810" w:type="dxa"/>
            <w:tcBorders>
              <w:top w:val="single" w:sz="4" w:space="0" w:color="auto"/>
              <w:left w:val="nil"/>
              <w:bottom w:val="single" w:sz="4" w:space="0" w:color="auto"/>
              <w:right w:val="single" w:sz="4" w:space="0" w:color="auto"/>
            </w:tcBorders>
            <w:shd w:val="clear" w:color="auto" w:fill="auto"/>
          </w:tcPr>
          <w:p w14:paraId="763CDB41" w14:textId="77777777" w:rsidR="009D4A93" w:rsidRPr="00536CFD" w:rsidRDefault="009D4A93" w:rsidP="009D4A93">
            <w:pPr>
              <w:spacing w:after="0"/>
              <w:jc w:val="center"/>
              <w:rPr>
                <w:lang w:eastAsia="ja-JP"/>
              </w:rPr>
            </w:pPr>
            <w:r w:rsidRPr="00536CFD">
              <w:rPr>
                <w:lang w:eastAsia="ja-JP"/>
              </w:rPr>
              <w:t>1.556</w:t>
            </w:r>
          </w:p>
        </w:tc>
        <w:tc>
          <w:tcPr>
            <w:tcW w:w="820" w:type="dxa"/>
            <w:tcBorders>
              <w:top w:val="single" w:sz="4" w:space="0" w:color="auto"/>
              <w:left w:val="nil"/>
              <w:bottom w:val="single" w:sz="4" w:space="0" w:color="auto"/>
              <w:right w:val="single" w:sz="4" w:space="0" w:color="auto"/>
            </w:tcBorders>
            <w:shd w:val="clear" w:color="auto" w:fill="auto"/>
          </w:tcPr>
          <w:p w14:paraId="17B44121" w14:textId="77777777" w:rsidR="009D4A93" w:rsidRPr="00536CFD" w:rsidRDefault="009D4A93" w:rsidP="009D4A93">
            <w:pPr>
              <w:spacing w:after="0"/>
              <w:jc w:val="center"/>
              <w:rPr>
                <w:lang w:eastAsia="ja-JP"/>
              </w:rPr>
            </w:pPr>
            <w:r w:rsidRPr="00536CFD">
              <w:rPr>
                <w:lang w:eastAsia="ja-JP"/>
              </w:rPr>
              <w:t>0.377</w:t>
            </w:r>
          </w:p>
        </w:tc>
        <w:tc>
          <w:tcPr>
            <w:tcW w:w="800" w:type="dxa"/>
            <w:tcBorders>
              <w:top w:val="single" w:sz="4" w:space="0" w:color="auto"/>
              <w:left w:val="nil"/>
              <w:bottom w:val="single" w:sz="4" w:space="0" w:color="auto"/>
              <w:right w:val="single" w:sz="4" w:space="0" w:color="auto"/>
            </w:tcBorders>
            <w:shd w:val="clear" w:color="auto" w:fill="auto"/>
          </w:tcPr>
          <w:p w14:paraId="793353D8" w14:textId="77777777" w:rsidR="009D4A93" w:rsidRPr="00536CFD" w:rsidRDefault="009D4A93" w:rsidP="009D4A93">
            <w:pPr>
              <w:spacing w:after="0"/>
              <w:jc w:val="center"/>
              <w:rPr>
                <w:lang w:eastAsia="ja-JP"/>
              </w:rPr>
            </w:pPr>
            <w:r w:rsidRPr="00536CFD">
              <w:rPr>
                <w:lang w:eastAsia="ja-JP"/>
              </w:rPr>
              <w:t>0.662</w:t>
            </w:r>
          </w:p>
        </w:tc>
        <w:tc>
          <w:tcPr>
            <w:tcW w:w="720" w:type="dxa"/>
            <w:tcBorders>
              <w:top w:val="single" w:sz="4" w:space="0" w:color="auto"/>
              <w:left w:val="nil"/>
              <w:bottom w:val="single" w:sz="4" w:space="0" w:color="auto"/>
              <w:right w:val="single" w:sz="4" w:space="0" w:color="auto"/>
            </w:tcBorders>
            <w:shd w:val="clear" w:color="auto" w:fill="auto"/>
          </w:tcPr>
          <w:p w14:paraId="412482E6" w14:textId="77777777" w:rsidR="009D4A93" w:rsidRPr="00536CFD" w:rsidRDefault="009D4A93" w:rsidP="009D4A93">
            <w:pPr>
              <w:spacing w:after="0"/>
              <w:jc w:val="center"/>
              <w:rPr>
                <w:lang w:eastAsia="ja-JP"/>
              </w:rPr>
            </w:pPr>
            <w:r w:rsidRPr="00536CFD">
              <w:rPr>
                <w:lang w:eastAsia="ja-JP"/>
              </w:rPr>
              <w:t>0.091</w:t>
            </w:r>
          </w:p>
        </w:tc>
        <w:tc>
          <w:tcPr>
            <w:tcW w:w="724" w:type="dxa"/>
            <w:tcBorders>
              <w:top w:val="single" w:sz="4" w:space="0" w:color="auto"/>
              <w:left w:val="nil"/>
              <w:bottom w:val="single" w:sz="4" w:space="0" w:color="auto"/>
              <w:right w:val="single" w:sz="4" w:space="0" w:color="auto"/>
            </w:tcBorders>
            <w:shd w:val="clear" w:color="auto" w:fill="auto"/>
          </w:tcPr>
          <w:p w14:paraId="30BE8E18" w14:textId="77777777" w:rsidR="009D4A93" w:rsidRPr="00536CFD" w:rsidRDefault="009D4A93" w:rsidP="009D4A93">
            <w:pPr>
              <w:spacing w:after="0"/>
              <w:jc w:val="center"/>
              <w:rPr>
                <w:lang w:eastAsia="ja-JP"/>
              </w:rPr>
            </w:pPr>
            <w:r w:rsidRPr="00536CFD">
              <w:rPr>
                <w:lang w:eastAsia="ja-JP"/>
              </w:rPr>
              <w:t>2.565</w:t>
            </w:r>
          </w:p>
        </w:tc>
        <w:tc>
          <w:tcPr>
            <w:tcW w:w="896" w:type="dxa"/>
            <w:tcBorders>
              <w:top w:val="single" w:sz="4" w:space="0" w:color="auto"/>
              <w:left w:val="nil"/>
              <w:bottom w:val="single" w:sz="4" w:space="0" w:color="auto"/>
              <w:right w:val="single" w:sz="4" w:space="0" w:color="auto"/>
            </w:tcBorders>
            <w:shd w:val="clear" w:color="auto" w:fill="auto"/>
          </w:tcPr>
          <w:p w14:paraId="195DEEB6" w14:textId="77777777" w:rsidR="009D4A93" w:rsidRPr="00536CFD" w:rsidRDefault="009D4A93" w:rsidP="009D4A93">
            <w:pPr>
              <w:spacing w:after="0"/>
              <w:jc w:val="center"/>
              <w:rPr>
                <w:lang w:eastAsia="ja-JP"/>
              </w:rPr>
            </w:pPr>
            <w:r w:rsidRPr="00536CFD">
              <w:rPr>
                <w:lang w:eastAsia="ja-JP"/>
              </w:rPr>
              <w:t>0.987</w:t>
            </w:r>
          </w:p>
        </w:tc>
        <w:tc>
          <w:tcPr>
            <w:tcW w:w="720" w:type="dxa"/>
            <w:tcBorders>
              <w:top w:val="single" w:sz="4" w:space="0" w:color="auto"/>
              <w:left w:val="nil"/>
              <w:bottom w:val="single" w:sz="4" w:space="0" w:color="auto"/>
              <w:right w:val="single" w:sz="4" w:space="0" w:color="auto"/>
            </w:tcBorders>
            <w:shd w:val="clear" w:color="auto" w:fill="auto"/>
          </w:tcPr>
          <w:p w14:paraId="439B743D" w14:textId="77777777" w:rsidR="009D4A93" w:rsidRPr="00536CFD" w:rsidRDefault="009D4A93" w:rsidP="009D4A93">
            <w:pPr>
              <w:spacing w:after="0"/>
              <w:jc w:val="center"/>
              <w:rPr>
                <w:lang w:eastAsia="ja-JP"/>
              </w:rPr>
            </w:pPr>
            <w:r w:rsidRPr="00536CFD">
              <w:rPr>
                <w:lang w:eastAsia="ja-JP"/>
              </w:rPr>
              <w:t>2.790</w:t>
            </w:r>
          </w:p>
        </w:tc>
        <w:tc>
          <w:tcPr>
            <w:tcW w:w="720" w:type="dxa"/>
            <w:tcBorders>
              <w:top w:val="single" w:sz="4" w:space="0" w:color="auto"/>
              <w:left w:val="nil"/>
              <w:bottom w:val="single" w:sz="4" w:space="0" w:color="auto"/>
              <w:right w:val="single" w:sz="4" w:space="0" w:color="auto"/>
            </w:tcBorders>
            <w:shd w:val="clear" w:color="auto" w:fill="auto"/>
          </w:tcPr>
          <w:p w14:paraId="3DC723DF" w14:textId="77777777" w:rsidR="009D4A93" w:rsidRPr="00536CFD" w:rsidRDefault="009D4A93" w:rsidP="009D4A93">
            <w:pPr>
              <w:spacing w:after="0"/>
              <w:jc w:val="center"/>
              <w:rPr>
                <w:lang w:eastAsia="ja-JP"/>
              </w:rPr>
            </w:pPr>
            <w:r w:rsidRPr="00536CFD">
              <w:rPr>
                <w:lang w:eastAsia="ja-JP"/>
              </w:rPr>
              <w:t>0.105</w:t>
            </w:r>
          </w:p>
        </w:tc>
      </w:tr>
      <w:tr w:rsidR="009D4A93" w:rsidRPr="00536CFD" w14:paraId="2D2253D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E28962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614BAAB"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tcPr>
          <w:p w14:paraId="144A1900" w14:textId="77777777" w:rsidR="009D4A93" w:rsidRPr="00536CFD" w:rsidRDefault="009D4A93" w:rsidP="009D4A93">
            <w:pPr>
              <w:spacing w:after="0"/>
              <w:jc w:val="center"/>
              <w:rPr>
                <w:lang w:eastAsia="ja-JP"/>
              </w:rPr>
            </w:pPr>
            <w:r w:rsidRPr="00536CFD">
              <w:rPr>
                <w:lang w:eastAsia="ja-JP"/>
              </w:rPr>
              <w:t>97%</w:t>
            </w:r>
          </w:p>
        </w:tc>
        <w:tc>
          <w:tcPr>
            <w:tcW w:w="720" w:type="dxa"/>
            <w:tcBorders>
              <w:top w:val="single" w:sz="4" w:space="0" w:color="auto"/>
              <w:left w:val="nil"/>
              <w:bottom w:val="single" w:sz="4" w:space="0" w:color="auto"/>
              <w:right w:val="single" w:sz="4" w:space="0" w:color="auto"/>
            </w:tcBorders>
            <w:shd w:val="clear" w:color="auto" w:fill="auto"/>
          </w:tcPr>
          <w:p w14:paraId="79ADD79C" w14:textId="77777777" w:rsidR="009D4A93" w:rsidRPr="00536CFD" w:rsidRDefault="009D4A93" w:rsidP="009D4A93">
            <w:pPr>
              <w:spacing w:after="0"/>
              <w:jc w:val="center"/>
              <w:rPr>
                <w:lang w:eastAsia="ja-JP"/>
              </w:rPr>
            </w:pPr>
            <w:r w:rsidRPr="00536CFD">
              <w:rPr>
                <w:lang w:eastAsia="ja-JP"/>
              </w:rPr>
              <w:t>100%</w:t>
            </w:r>
          </w:p>
        </w:tc>
        <w:tc>
          <w:tcPr>
            <w:tcW w:w="720" w:type="dxa"/>
            <w:tcBorders>
              <w:top w:val="single" w:sz="4" w:space="0" w:color="auto"/>
              <w:left w:val="nil"/>
              <w:bottom w:val="single" w:sz="4" w:space="0" w:color="auto"/>
              <w:right w:val="single" w:sz="4" w:space="0" w:color="auto"/>
            </w:tcBorders>
            <w:shd w:val="clear" w:color="auto" w:fill="auto"/>
          </w:tcPr>
          <w:p w14:paraId="1D3567DF" w14:textId="77777777" w:rsidR="009D4A93" w:rsidRPr="00536CFD" w:rsidRDefault="009D4A93" w:rsidP="009D4A93">
            <w:pPr>
              <w:spacing w:after="0"/>
              <w:jc w:val="center"/>
              <w:rPr>
                <w:lang w:eastAsia="ja-JP"/>
              </w:rPr>
            </w:pPr>
            <w:r w:rsidRPr="00536CFD">
              <w:rPr>
                <w:lang w:eastAsia="ja-JP"/>
              </w:rPr>
              <w:t>100%</w:t>
            </w:r>
          </w:p>
        </w:tc>
        <w:tc>
          <w:tcPr>
            <w:tcW w:w="810" w:type="dxa"/>
            <w:tcBorders>
              <w:top w:val="single" w:sz="4" w:space="0" w:color="auto"/>
              <w:left w:val="nil"/>
              <w:bottom w:val="single" w:sz="4" w:space="0" w:color="auto"/>
              <w:right w:val="single" w:sz="4" w:space="0" w:color="auto"/>
            </w:tcBorders>
            <w:shd w:val="clear" w:color="auto" w:fill="auto"/>
          </w:tcPr>
          <w:p w14:paraId="24DE9494" w14:textId="77777777" w:rsidR="009D4A93" w:rsidRPr="00536CFD" w:rsidRDefault="009D4A93" w:rsidP="009D4A93">
            <w:pPr>
              <w:spacing w:after="0"/>
              <w:jc w:val="center"/>
              <w:rPr>
                <w:lang w:eastAsia="ja-JP"/>
              </w:rPr>
            </w:pPr>
            <w:r w:rsidRPr="00536CFD">
              <w:rPr>
                <w:lang w:eastAsia="ja-JP"/>
              </w:rPr>
              <w:t>100%</w:t>
            </w:r>
          </w:p>
        </w:tc>
        <w:tc>
          <w:tcPr>
            <w:tcW w:w="810" w:type="dxa"/>
            <w:tcBorders>
              <w:top w:val="single" w:sz="4" w:space="0" w:color="auto"/>
              <w:left w:val="nil"/>
              <w:bottom w:val="single" w:sz="4" w:space="0" w:color="auto"/>
              <w:right w:val="single" w:sz="4" w:space="0" w:color="auto"/>
            </w:tcBorders>
            <w:shd w:val="clear" w:color="auto" w:fill="auto"/>
          </w:tcPr>
          <w:p w14:paraId="09F6BEF2" w14:textId="77777777" w:rsidR="009D4A93" w:rsidRPr="00536CFD" w:rsidRDefault="009D4A93" w:rsidP="009D4A93">
            <w:pPr>
              <w:spacing w:after="0"/>
              <w:jc w:val="center"/>
              <w:rPr>
                <w:lang w:eastAsia="ja-JP"/>
              </w:rPr>
            </w:pPr>
            <w:r w:rsidRPr="00536CFD">
              <w:rPr>
                <w:lang w:eastAsia="ja-JP"/>
              </w:rPr>
              <w:t>81%</w:t>
            </w:r>
          </w:p>
        </w:tc>
        <w:tc>
          <w:tcPr>
            <w:tcW w:w="820" w:type="dxa"/>
            <w:tcBorders>
              <w:top w:val="single" w:sz="4" w:space="0" w:color="auto"/>
              <w:left w:val="nil"/>
              <w:bottom w:val="single" w:sz="4" w:space="0" w:color="auto"/>
              <w:right w:val="single" w:sz="4" w:space="0" w:color="auto"/>
            </w:tcBorders>
            <w:shd w:val="clear" w:color="auto" w:fill="auto"/>
          </w:tcPr>
          <w:p w14:paraId="5A0800D6" w14:textId="77777777" w:rsidR="009D4A93" w:rsidRPr="00536CFD" w:rsidRDefault="009D4A93" w:rsidP="009D4A93">
            <w:pPr>
              <w:spacing w:after="0"/>
              <w:jc w:val="center"/>
              <w:rPr>
                <w:lang w:eastAsia="ja-JP"/>
              </w:rPr>
            </w:pPr>
            <w:r w:rsidRPr="00536CFD">
              <w:rPr>
                <w:lang w:eastAsia="ja-JP"/>
              </w:rPr>
              <w:t>97%</w:t>
            </w:r>
          </w:p>
        </w:tc>
        <w:tc>
          <w:tcPr>
            <w:tcW w:w="800" w:type="dxa"/>
            <w:tcBorders>
              <w:top w:val="single" w:sz="4" w:space="0" w:color="auto"/>
              <w:left w:val="nil"/>
              <w:bottom w:val="single" w:sz="4" w:space="0" w:color="auto"/>
              <w:right w:val="single" w:sz="4" w:space="0" w:color="auto"/>
            </w:tcBorders>
            <w:shd w:val="clear" w:color="auto" w:fill="auto"/>
          </w:tcPr>
          <w:p w14:paraId="0014F10E" w14:textId="77777777" w:rsidR="009D4A93" w:rsidRPr="00536CFD" w:rsidRDefault="009D4A93" w:rsidP="009D4A93">
            <w:pPr>
              <w:spacing w:after="0"/>
              <w:jc w:val="center"/>
              <w:rPr>
                <w:lang w:eastAsia="ja-JP"/>
              </w:rPr>
            </w:pPr>
            <w:r w:rsidRPr="00536CFD">
              <w:rPr>
                <w:lang w:eastAsia="ja-JP"/>
              </w:rPr>
              <w:t>96%</w:t>
            </w:r>
          </w:p>
        </w:tc>
        <w:tc>
          <w:tcPr>
            <w:tcW w:w="720" w:type="dxa"/>
            <w:tcBorders>
              <w:top w:val="single" w:sz="4" w:space="0" w:color="auto"/>
              <w:left w:val="nil"/>
              <w:bottom w:val="single" w:sz="4" w:space="0" w:color="auto"/>
              <w:right w:val="single" w:sz="4" w:space="0" w:color="auto"/>
            </w:tcBorders>
            <w:shd w:val="clear" w:color="auto" w:fill="auto"/>
          </w:tcPr>
          <w:p w14:paraId="3E705B5C" w14:textId="77777777" w:rsidR="009D4A93" w:rsidRPr="00536CFD" w:rsidRDefault="009D4A93" w:rsidP="009D4A93">
            <w:pPr>
              <w:spacing w:after="0"/>
              <w:jc w:val="center"/>
              <w:rPr>
                <w:lang w:eastAsia="ja-JP"/>
              </w:rPr>
            </w:pPr>
            <w:r w:rsidRPr="00536CFD">
              <w:rPr>
                <w:lang w:eastAsia="ja-JP"/>
              </w:rPr>
              <w:t>100%</w:t>
            </w:r>
          </w:p>
        </w:tc>
        <w:tc>
          <w:tcPr>
            <w:tcW w:w="724" w:type="dxa"/>
            <w:tcBorders>
              <w:top w:val="single" w:sz="4" w:space="0" w:color="auto"/>
              <w:left w:val="nil"/>
              <w:bottom w:val="single" w:sz="4" w:space="0" w:color="auto"/>
              <w:right w:val="single" w:sz="4" w:space="0" w:color="auto"/>
            </w:tcBorders>
            <w:shd w:val="clear" w:color="auto" w:fill="auto"/>
          </w:tcPr>
          <w:p w14:paraId="776DB7E1" w14:textId="77777777" w:rsidR="009D4A93" w:rsidRPr="00536CFD" w:rsidRDefault="009D4A93" w:rsidP="009D4A93">
            <w:pPr>
              <w:spacing w:after="0"/>
              <w:jc w:val="center"/>
              <w:rPr>
                <w:lang w:eastAsia="ja-JP"/>
              </w:rPr>
            </w:pPr>
            <w:r w:rsidRPr="00536CFD">
              <w:rPr>
                <w:lang w:eastAsia="ja-JP"/>
              </w:rPr>
              <w:t>65%</w:t>
            </w:r>
          </w:p>
        </w:tc>
        <w:tc>
          <w:tcPr>
            <w:tcW w:w="896" w:type="dxa"/>
            <w:tcBorders>
              <w:top w:val="single" w:sz="4" w:space="0" w:color="auto"/>
              <w:left w:val="nil"/>
              <w:bottom w:val="single" w:sz="4" w:space="0" w:color="auto"/>
              <w:right w:val="single" w:sz="4" w:space="0" w:color="auto"/>
            </w:tcBorders>
            <w:shd w:val="clear" w:color="auto" w:fill="auto"/>
          </w:tcPr>
          <w:p w14:paraId="473429F3" w14:textId="77777777" w:rsidR="009D4A93" w:rsidRPr="00536CFD" w:rsidRDefault="009D4A93" w:rsidP="009D4A93">
            <w:pPr>
              <w:spacing w:after="0"/>
              <w:jc w:val="center"/>
              <w:rPr>
                <w:lang w:eastAsia="ja-JP"/>
              </w:rPr>
            </w:pPr>
            <w:r w:rsidRPr="00536CFD">
              <w:rPr>
                <w:lang w:eastAsia="ja-JP"/>
              </w:rPr>
              <w:t>92%</w:t>
            </w:r>
          </w:p>
        </w:tc>
        <w:tc>
          <w:tcPr>
            <w:tcW w:w="720" w:type="dxa"/>
            <w:tcBorders>
              <w:top w:val="single" w:sz="4" w:space="0" w:color="auto"/>
              <w:left w:val="nil"/>
              <w:bottom w:val="single" w:sz="4" w:space="0" w:color="auto"/>
              <w:right w:val="single" w:sz="4" w:space="0" w:color="auto"/>
            </w:tcBorders>
            <w:shd w:val="clear" w:color="auto" w:fill="auto"/>
          </w:tcPr>
          <w:p w14:paraId="373A28D1" w14:textId="77777777" w:rsidR="009D4A93" w:rsidRPr="00536CFD" w:rsidRDefault="009D4A93" w:rsidP="009D4A93">
            <w:pPr>
              <w:spacing w:after="0"/>
              <w:jc w:val="center"/>
              <w:rPr>
                <w:lang w:eastAsia="ja-JP"/>
              </w:rPr>
            </w:pPr>
            <w:r w:rsidRPr="00536CFD">
              <w:rPr>
                <w:lang w:eastAsia="ja-JP"/>
              </w:rPr>
              <w:t>86%</w:t>
            </w:r>
          </w:p>
        </w:tc>
        <w:tc>
          <w:tcPr>
            <w:tcW w:w="720" w:type="dxa"/>
            <w:tcBorders>
              <w:top w:val="single" w:sz="4" w:space="0" w:color="auto"/>
              <w:left w:val="nil"/>
              <w:bottom w:val="single" w:sz="4" w:space="0" w:color="auto"/>
              <w:right w:val="single" w:sz="4" w:space="0" w:color="auto"/>
            </w:tcBorders>
            <w:shd w:val="clear" w:color="auto" w:fill="auto"/>
          </w:tcPr>
          <w:p w14:paraId="4D3CB616" w14:textId="77777777" w:rsidR="009D4A93" w:rsidRPr="00536CFD" w:rsidRDefault="009D4A93" w:rsidP="009D4A93">
            <w:pPr>
              <w:spacing w:after="0"/>
              <w:jc w:val="center"/>
              <w:rPr>
                <w:lang w:eastAsia="ja-JP"/>
              </w:rPr>
            </w:pPr>
            <w:r w:rsidRPr="00536CFD">
              <w:rPr>
                <w:lang w:eastAsia="ja-JP"/>
              </w:rPr>
              <w:t>100%</w:t>
            </w:r>
          </w:p>
        </w:tc>
      </w:tr>
      <w:tr w:rsidR="009D4A93" w:rsidRPr="00536CFD" w14:paraId="555D0DB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8F83861"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059794B8"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tcPr>
          <w:p w14:paraId="23310228" w14:textId="77777777" w:rsidR="009D4A93" w:rsidRPr="00536CFD" w:rsidRDefault="009D4A93" w:rsidP="009D4A93">
            <w:pPr>
              <w:spacing w:after="0"/>
              <w:jc w:val="center"/>
              <w:rPr>
                <w:lang w:eastAsia="ja-JP"/>
              </w:rPr>
            </w:pPr>
            <w:r w:rsidRPr="00536CFD">
              <w:rPr>
                <w:lang w:eastAsia="ja-JP"/>
              </w:rPr>
              <w:t>98%</w:t>
            </w:r>
          </w:p>
        </w:tc>
        <w:tc>
          <w:tcPr>
            <w:tcW w:w="720" w:type="dxa"/>
            <w:tcBorders>
              <w:top w:val="single" w:sz="4" w:space="0" w:color="auto"/>
              <w:left w:val="nil"/>
              <w:bottom w:val="single" w:sz="4" w:space="0" w:color="auto"/>
              <w:right w:val="single" w:sz="4" w:space="0" w:color="auto"/>
            </w:tcBorders>
            <w:shd w:val="clear" w:color="auto" w:fill="auto"/>
          </w:tcPr>
          <w:p w14:paraId="2A2C6B8F" w14:textId="77777777" w:rsidR="009D4A93" w:rsidRPr="00536CFD" w:rsidRDefault="009D4A93" w:rsidP="009D4A93">
            <w:pPr>
              <w:spacing w:after="0"/>
              <w:jc w:val="center"/>
              <w:rPr>
                <w:lang w:eastAsia="ja-JP"/>
              </w:rPr>
            </w:pPr>
            <w:r w:rsidRPr="00536CFD">
              <w:rPr>
                <w:lang w:eastAsia="ja-JP"/>
              </w:rPr>
              <w:t>100%</w:t>
            </w:r>
          </w:p>
        </w:tc>
        <w:tc>
          <w:tcPr>
            <w:tcW w:w="720" w:type="dxa"/>
            <w:tcBorders>
              <w:top w:val="single" w:sz="4" w:space="0" w:color="auto"/>
              <w:left w:val="nil"/>
              <w:bottom w:val="single" w:sz="4" w:space="0" w:color="auto"/>
              <w:right w:val="single" w:sz="4" w:space="0" w:color="auto"/>
            </w:tcBorders>
            <w:shd w:val="clear" w:color="auto" w:fill="auto"/>
          </w:tcPr>
          <w:p w14:paraId="05271B2E" w14:textId="77777777" w:rsidR="009D4A93" w:rsidRPr="00536CFD" w:rsidRDefault="009D4A93" w:rsidP="009D4A93">
            <w:pPr>
              <w:spacing w:after="0"/>
              <w:jc w:val="center"/>
              <w:rPr>
                <w:lang w:eastAsia="ja-JP"/>
              </w:rPr>
            </w:pPr>
            <w:r w:rsidRPr="00536CFD">
              <w:rPr>
                <w:lang w:eastAsia="ja-JP"/>
              </w:rPr>
              <w:t>100%</w:t>
            </w:r>
          </w:p>
        </w:tc>
        <w:tc>
          <w:tcPr>
            <w:tcW w:w="810" w:type="dxa"/>
            <w:tcBorders>
              <w:top w:val="single" w:sz="4" w:space="0" w:color="auto"/>
              <w:left w:val="nil"/>
              <w:bottom w:val="single" w:sz="4" w:space="0" w:color="auto"/>
              <w:right w:val="single" w:sz="4" w:space="0" w:color="auto"/>
            </w:tcBorders>
            <w:shd w:val="clear" w:color="auto" w:fill="auto"/>
          </w:tcPr>
          <w:p w14:paraId="484A591A" w14:textId="77777777" w:rsidR="009D4A93" w:rsidRPr="00536CFD" w:rsidRDefault="009D4A93" w:rsidP="009D4A93">
            <w:pPr>
              <w:spacing w:after="0"/>
              <w:jc w:val="center"/>
              <w:rPr>
                <w:lang w:eastAsia="ja-JP"/>
              </w:rPr>
            </w:pPr>
            <w:r w:rsidRPr="00536CFD">
              <w:rPr>
                <w:lang w:eastAsia="ja-JP"/>
              </w:rPr>
              <w:t>100%</w:t>
            </w:r>
          </w:p>
        </w:tc>
        <w:tc>
          <w:tcPr>
            <w:tcW w:w="810" w:type="dxa"/>
            <w:tcBorders>
              <w:top w:val="single" w:sz="4" w:space="0" w:color="auto"/>
              <w:left w:val="nil"/>
              <w:bottom w:val="single" w:sz="4" w:space="0" w:color="auto"/>
              <w:right w:val="single" w:sz="4" w:space="0" w:color="auto"/>
            </w:tcBorders>
            <w:shd w:val="clear" w:color="auto" w:fill="auto"/>
          </w:tcPr>
          <w:p w14:paraId="6749066C" w14:textId="77777777" w:rsidR="009D4A93" w:rsidRPr="00536CFD" w:rsidRDefault="009D4A93" w:rsidP="009D4A93">
            <w:pPr>
              <w:spacing w:after="0"/>
              <w:jc w:val="center"/>
              <w:rPr>
                <w:lang w:eastAsia="ja-JP"/>
              </w:rPr>
            </w:pPr>
            <w:r w:rsidRPr="00536CFD">
              <w:rPr>
                <w:lang w:eastAsia="ja-JP"/>
              </w:rPr>
              <w:t>86%</w:t>
            </w:r>
          </w:p>
        </w:tc>
        <w:tc>
          <w:tcPr>
            <w:tcW w:w="820" w:type="dxa"/>
            <w:tcBorders>
              <w:top w:val="single" w:sz="4" w:space="0" w:color="auto"/>
              <w:left w:val="nil"/>
              <w:bottom w:val="single" w:sz="4" w:space="0" w:color="auto"/>
              <w:right w:val="single" w:sz="4" w:space="0" w:color="auto"/>
            </w:tcBorders>
            <w:shd w:val="clear" w:color="auto" w:fill="auto"/>
          </w:tcPr>
          <w:p w14:paraId="77883E1D" w14:textId="77777777" w:rsidR="009D4A93" w:rsidRPr="00536CFD" w:rsidRDefault="009D4A93" w:rsidP="009D4A93">
            <w:pPr>
              <w:spacing w:after="0"/>
              <w:jc w:val="center"/>
              <w:rPr>
                <w:lang w:eastAsia="ja-JP"/>
              </w:rPr>
            </w:pPr>
            <w:r w:rsidRPr="00536CFD">
              <w:rPr>
                <w:lang w:eastAsia="ja-JP"/>
              </w:rPr>
              <w:t>99%</w:t>
            </w:r>
          </w:p>
        </w:tc>
        <w:tc>
          <w:tcPr>
            <w:tcW w:w="800" w:type="dxa"/>
            <w:tcBorders>
              <w:top w:val="single" w:sz="4" w:space="0" w:color="auto"/>
              <w:left w:val="nil"/>
              <w:bottom w:val="single" w:sz="4" w:space="0" w:color="auto"/>
              <w:right w:val="single" w:sz="4" w:space="0" w:color="auto"/>
            </w:tcBorders>
            <w:shd w:val="clear" w:color="auto" w:fill="auto"/>
          </w:tcPr>
          <w:p w14:paraId="40C3D96B" w14:textId="77777777" w:rsidR="009D4A93" w:rsidRPr="00536CFD" w:rsidRDefault="009D4A93" w:rsidP="009D4A93">
            <w:pPr>
              <w:spacing w:after="0"/>
              <w:jc w:val="center"/>
              <w:rPr>
                <w:lang w:eastAsia="ja-JP"/>
              </w:rPr>
            </w:pPr>
            <w:r w:rsidRPr="00536CFD">
              <w:rPr>
                <w:lang w:eastAsia="ja-JP"/>
              </w:rPr>
              <w:t>94%</w:t>
            </w:r>
          </w:p>
        </w:tc>
        <w:tc>
          <w:tcPr>
            <w:tcW w:w="720" w:type="dxa"/>
            <w:tcBorders>
              <w:top w:val="single" w:sz="4" w:space="0" w:color="auto"/>
              <w:left w:val="nil"/>
              <w:bottom w:val="single" w:sz="4" w:space="0" w:color="auto"/>
              <w:right w:val="single" w:sz="4" w:space="0" w:color="auto"/>
            </w:tcBorders>
            <w:shd w:val="clear" w:color="auto" w:fill="auto"/>
          </w:tcPr>
          <w:p w14:paraId="3478B384" w14:textId="77777777" w:rsidR="009D4A93" w:rsidRPr="00536CFD" w:rsidRDefault="009D4A93" w:rsidP="009D4A93">
            <w:pPr>
              <w:spacing w:after="0"/>
              <w:jc w:val="center"/>
              <w:rPr>
                <w:lang w:eastAsia="ja-JP"/>
              </w:rPr>
            </w:pPr>
            <w:r w:rsidRPr="00536CFD">
              <w:rPr>
                <w:lang w:eastAsia="ja-JP"/>
              </w:rPr>
              <w:t>100%</w:t>
            </w:r>
          </w:p>
        </w:tc>
        <w:tc>
          <w:tcPr>
            <w:tcW w:w="724" w:type="dxa"/>
            <w:tcBorders>
              <w:top w:val="single" w:sz="4" w:space="0" w:color="auto"/>
              <w:left w:val="nil"/>
              <w:bottom w:val="single" w:sz="4" w:space="0" w:color="auto"/>
              <w:right w:val="single" w:sz="4" w:space="0" w:color="auto"/>
            </w:tcBorders>
            <w:shd w:val="clear" w:color="auto" w:fill="auto"/>
          </w:tcPr>
          <w:p w14:paraId="158B9A09" w14:textId="77777777" w:rsidR="009D4A93" w:rsidRPr="00536CFD" w:rsidRDefault="009D4A93" w:rsidP="009D4A93">
            <w:pPr>
              <w:spacing w:after="0"/>
              <w:jc w:val="center"/>
              <w:rPr>
                <w:lang w:eastAsia="ja-JP"/>
              </w:rPr>
            </w:pPr>
            <w:r w:rsidRPr="00536CFD">
              <w:rPr>
                <w:lang w:eastAsia="ja-JP"/>
              </w:rPr>
              <w:t>74%</w:t>
            </w:r>
          </w:p>
        </w:tc>
        <w:tc>
          <w:tcPr>
            <w:tcW w:w="896" w:type="dxa"/>
            <w:tcBorders>
              <w:top w:val="single" w:sz="4" w:space="0" w:color="auto"/>
              <w:left w:val="nil"/>
              <w:bottom w:val="single" w:sz="4" w:space="0" w:color="auto"/>
              <w:right w:val="single" w:sz="4" w:space="0" w:color="auto"/>
            </w:tcBorders>
            <w:shd w:val="clear" w:color="auto" w:fill="auto"/>
          </w:tcPr>
          <w:p w14:paraId="27A0FEE6" w14:textId="77777777" w:rsidR="009D4A93" w:rsidRPr="00536CFD" w:rsidRDefault="009D4A93" w:rsidP="009D4A93">
            <w:pPr>
              <w:spacing w:after="0"/>
              <w:jc w:val="center"/>
              <w:rPr>
                <w:lang w:eastAsia="ja-JP"/>
              </w:rPr>
            </w:pPr>
            <w:r w:rsidRPr="00536CFD">
              <w:rPr>
                <w:lang w:eastAsia="ja-JP"/>
              </w:rPr>
              <w:t>95%</w:t>
            </w:r>
          </w:p>
        </w:tc>
        <w:tc>
          <w:tcPr>
            <w:tcW w:w="720" w:type="dxa"/>
            <w:tcBorders>
              <w:top w:val="single" w:sz="4" w:space="0" w:color="auto"/>
              <w:left w:val="nil"/>
              <w:bottom w:val="single" w:sz="4" w:space="0" w:color="auto"/>
              <w:right w:val="single" w:sz="4" w:space="0" w:color="auto"/>
            </w:tcBorders>
            <w:shd w:val="clear" w:color="auto" w:fill="auto"/>
          </w:tcPr>
          <w:p w14:paraId="665F76CC" w14:textId="77777777" w:rsidR="009D4A93" w:rsidRPr="00536CFD" w:rsidRDefault="009D4A93" w:rsidP="009D4A93">
            <w:pPr>
              <w:spacing w:after="0"/>
              <w:jc w:val="center"/>
              <w:rPr>
                <w:lang w:eastAsia="ja-JP"/>
              </w:rPr>
            </w:pPr>
            <w:r w:rsidRPr="00536CFD">
              <w:rPr>
                <w:lang w:eastAsia="ja-JP"/>
              </w:rPr>
              <w:t>75%</w:t>
            </w:r>
          </w:p>
        </w:tc>
        <w:tc>
          <w:tcPr>
            <w:tcW w:w="720" w:type="dxa"/>
            <w:tcBorders>
              <w:top w:val="single" w:sz="4" w:space="0" w:color="auto"/>
              <w:left w:val="nil"/>
              <w:bottom w:val="single" w:sz="4" w:space="0" w:color="auto"/>
              <w:right w:val="single" w:sz="4" w:space="0" w:color="auto"/>
            </w:tcBorders>
            <w:shd w:val="clear" w:color="auto" w:fill="auto"/>
          </w:tcPr>
          <w:p w14:paraId="775D679E" w14:textId="77777777" w:rsidR="009D4A93" w:rsidRPr="00536CFD" w:rsidRDefault="009D4A93" w:rsidP="009D4A93">
            <w:pPr>
              <w:spacing w:after="0"/>
              <w:jc w:val="center"/>
              <w:rPr>
                <w:lang w:eastAsia="ja-JP"/>
              </w:rPr>
            </w:pPr>
            <w:r w:rsidRPr="00536CFD">
              <w:rPr>
                <w:lang w:eastAsia="ja-JP"/>
              </w:rPr>
              <w:t>100%</w:t>
            </w:r>
          </w:p>
        </w:tc>
      </w:tr>
      <w:tr w:rsidR="009D4A93" w:rsidRPr="00536CFD" w14:paraId="2EB4EE4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DE4D084"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E20556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tcPr>
          <w:p w14:paraId="39786D24" w14:textId="77777777" w:rsidR="009D4A93" w:rsidRPr="00536CFD" w:rsidRDefault="009D4A93" w:rsidP="009D4A93">
            <w:pPr>
              <w:spacing w:after="0"/>
              <w:jc w:val="center"/>
              <w:rPr>
                <w:lang w:eastAsia="ja-JP"/>
              </w:rPr>
            </w:pPr>
            <w:r w:rsidRPr="00536CFD">
              <w:rPr>
                <w:lang w:eastAsia="ja-JP"/>
              </w:rPr>
              <w:t>10%</w:t>
            </w:r>
          </w:p>
        </w:tc>
        <w:tc>
          <w:tcPr>
            <w:tcW w:w="720" w:type="dxa"/>
            <w:tcBorders>
              <w:top w:val="single" w:sz="4" w:space="0" w:color="auto"/>
              <w:left w:val="nil"/>
              <w:bottom w:val="single" w:sz="4" w:space="0" w:color="auto"/>
              <w:right w:val="single" w:sz="4" w:space="0" w:color="auto"/>
            </w:tcBorders>
            <w:shd w:val="clear" w:color="auto" w:fill="auto"/>
          </w:tcPr>
          <w:p w14:paraId="5BFFBE24" w14:textId="77777777" w:rsidR="009D4A93" w:rsidRPr="00536CFD" w:rsidRDefault="009D4A93" w:rsidP="009D4A93">
            <w:pPr>
              <w:spacing w:after="0"/>
              <w:jc w:val="center"/>
              <w:rPr>
                <w:lang w:eastAsia="ja-JP"/>
              </w:rPr>
            </w:pPr>
            <w:r w:rsidRPr="00536CFD">
              <w:rPr>
                <w:lang w:eastAsia="ja-JP"/>
              </w:rPr>
              <w:t>5.4%</w:t>
            </w:r>
          </w:p>
        </w:tc>
        <w:tc>
          <w:tcPr>
            <w:tcW w:w="720" w:type="dxa"/>
            <w:tcBorders>
              <w:top w:val="single" w:sz="4" w:space="0" w:color="auto"/>
              <w:left w:val="nil"/>
              <w:bottom w:val="single" w:sz="4" w:space="0" w:color="auto"/>
              <w:right w:val="single" w:sz="4" w:space="0" w:color="auto"/>
            </w:tcBorders>
            <w:shd w:val="clear" w:color="auto" w:fill="auto"/>
          </w:tcPr>
          <w:p w14:paraId="7D2E5087" w14:textId="77777777" w:rsidR="009D4A93" w:rsidRPr="00536CFD" w:rsidRDefault="009D4A93" w:rsidP="009D4A93">
            <w:pPr>
              <w:spacing w:after="0"/>
              <w:jc w:val="center"/>
              <w:rPr>
                <w:lang w:eastAsia="ja-JP"/>
              </w:rPr>
            </w:pPr>
            <w:r w:rsidRPr="00536CFD">
              <w:rPr>
                <w:lang w:eastAsia="ja-JP"/>
              </w:rPr>
              <w:t>5.4%</w:t>
            </w:r>
          </w:p>
        </w:tc>
        <w:tc>
          <w:tcPr>
            <w:tcW w:w="810" w:type="dxa"/>
            <w:tcBorders>
              <w:top w:val="single" w:sz="4" w:space="0" w:color="auto"/>
              <w:left w:val="nil"/>
              <w:bottom w:val="single" w:sz="4" w:space="0" w:color="auto"/>
              <w:right w:val="single" w:sz="4" w:space="0" w:color="auto"/>
            </w:tcBorders>
            <w:shd w:val="clear" w:color="auto" w:fill="auto"/>
          </w:tcPr>
          <w:p w14:paraId="74D448FF" w14:textId="77777777" w:rsidR="009D4A93" w:rsidRPr="00536CFD" w:rsidRDefault="009D4A93" w:rsidP="009D4A93">
            <w:pPr>
              <w:spacing w:after="0"/>
              <w:jc w:val="center"/>
              <w:rPr>
                <w:lang w:eastAsia="ja-JP"/>
              </w:rPr>
            </w:pPr>
            <w:r w:rsidRPr="00536CFD">
              <w:rPr>
                <w:lang w:eastAsia="ja-JP"/>
              </w:rPr>
              <w:t>4.4%</w:t>
            </w:r>
          </w:p>
        </w:tc>
        <w:tc>
          <w:tcPr>
            <w:tcW w:w="810" w:type="dxa"/>
            <w:tcBorders>
              <w:top w:val="single" w:sz="4" w:space="0" w:color="auto"/>
              <w:left w:val="nil"/>
              <w:bottom w:val="single" w:sz="4" w:space="0" w:color="auto"/>
              <w:right w:val="single" w:sz="4" w:space="0" w:color="auto"/>
            </w:tcBorders>
            <w:shd w:val="clear" w:color="auto" w:fill="auto"/>
          </w:tcPr>
          <w:p w14:paraId="0F014584" w14:textId="77777777" w:rsidR="009D4A93" w:rsidRPr="00536CFD" w:rsidRDefault="009D4A93" w:rsidP="009D4A93">
            <w:pPr>
              <w:spacing w:after="0"/>
              <w:jc w:val="center"/>
              <w:rPr>
                <w:lang w:eastAsia="ja-JP"/>
              </w:rPr>
            </w:pPr>
            <w:r w:rsidRPr="00536CFD">
              <w:rPr>
                <w:lang w:eastAsia="ja-JP"/>
              </w:rPr>
              <w:t>35%</w:t>
            </w:r>
          </w:p>
        </w:tc>
        <w:tc>
          <w:tcPr>
            <w:tcW w:w="820" w:type="dxa"/>
            <w:tcBorders>
              <w:top w:val="single" w:sz="4" w:space="0" w:color="auto"/>
              <w:left w:val="nil"/>
              <w:bottom w:val="single" w:sz="4" w:space="0" w:color="auto"/>
              <w:right w:val="single" w:sz="4" w:space="0" w:color="auto"/>
            </w:tcBorders>
            <w:shd w:val="clear" w:color="auto" w:fill="auto"/>
          </w:tcPr>
          <w:p w14:paraId="3ED49B91" w14:textId="77777777" w:rsidR="009D4A93" w:rsidRPr="00536CFD" w:rsidRDefault="009D4A93" w:rsidP="009D4A93">
            <w:pPr>
              <w:spacing w:after="0"/>
              <w:jc w:val="center"/>
              <w:rPr>
                <w:lang w:eastAsia="ja-JP"/>
              </w:rPr>
            </w:pPr>
            <w:r w:rsidRPr="00536CFD">
              <w:rPr>
                <w:lang w:eastAsia="ja-JP"/>
              </w:rPr>
              <w:t>%17</w:t>
            </w:r>
          </w:p>
        </w:tc>
        <w:tc>
          <w:tcPr>
            <w:tcW w:w="800" w:type="dxa"/>
            <w:tcBorders>
              <w:top w:val="single" w:sz="4" w:space="0" w:color="auto"/>
              <w:left w:val="nil"/>
              <w:bottom w:val="single" w:sz="4" w:space="0" w:color="auto"/>
              <w:right w:val="single" w:sz="4" w:space="0" w:color="auto"/>
            </w:tcBorders>
            <w:shd w:val="clear" w:color="auto" w:fill="auto"/>
          </w:tcPr>
          <w:p w14:paraId="7D60CF81" w14:textId="77777777" w:rsidR="009D4A93" w:rsidRPr="00536CFD" w:rsidRDefault="009D4A93" w:rsidP="009D4A93">
            <w:pPr>
              <w:spacing w:after="0"/>
              <w:jc w:val="center"/>
              <w:rPr>
                <w:lang w:eastAsia="ja-JP"/>
              </w:rPr>
            </w:pPr>
            <w:r w:rsidRPr="00536CFD">
              <w:rPr>
                <w:lang w:eastAsia="ja-JP"/>
              </w:rPr>
              <w:t>%17</w:t>
            </w:r>
          </w:p>
        </w:tc>
        <w:tc>
          <w:tcPr>
            <w:tcW w:w="720" w:type="dxa"/>
            <w:tcBorders>
              <w:top w:val="single" w:sz="4" w:space="0" w:color="auto"/>
              <w:left w:val="nil"/>
              <w:bottom w:val="single" w:sz="4" w:space="0" w:color="auto"/>
              <w:right w:val="single" w:sz="4" w:space="0" w:color="auto"/>
            </w:tcBorders>
            <w:shd w:val="clear" w:color="auto" w:fill="auto"/>
          </w:tcPr>
          <w:p w14:paraId="06059329" w14:textId="77777777" w:rsidR="009D4A93" w:rsidRPr="00536CFD" w:rsidRDefault="009D4A93" w:rsidP="009D4A93">
            <w:pPr>
              <w:spacing w:after="0"/>
              <w:jc w:val="center"/>
              <w:rPr>
                <w:lang w:eastAsia="ja-JP"/>
              </w:rPr>
            </w:pPr>
            <w:r w:rsidRPr="00536CFD">
              <w:rPr>
                <w:lang w:eastAsia="ja-JP"/>
              </w:rPr>
              <w:t>8%</w:t>
            </w:r>
          </w:p>
        </w:tc>
        <w:tc>
          <w:tcPr>
            <w:tcW w:w="724" w:type="dxa"/>
            <w:tcBorders>
              <w:top w:val="single" w:sz="4" w:space="0" w:color="auto"/>
              <w:left w:val="nil"/>
              <w:bottom w:val="single" w:sz="4" w:space="0" w:color="auto"/>
              <w:right w:val="single" w:sz="4" w:space="0" w:color="auto"/>
            </w:tcBorders>
            <w:shd w:val="clear" w:color="auto" w:fill="auto"/>
          </w:tcPr>
          <w:p w14:paraId="1EEB32C9" w14:textId="77777777" w:rsidR="009D4A93" w:rsidRPr="00536CFD" w:rsidRDefault="009D4A93" w:rsidP="009D4A93">
            <w:pPr>
              <w:spacing w:after="0"/>
              <w:jc w:val="center"/>
              <w:rPr>
                <w:lang w:eastAsia="ja-JP"/>
              </w:rPr>
            </w:pPr>
            <w:r w:rsidRPr="00536CFD">
              <w:rPr>
                <w:lang w:eastAsia="ja-JP"/>
              </w:rPr>
              <w:t>60%</w:t>
            </w:r>
          </w:p>
        </w:tc>
        <w:tc>
          <w:tcPr>
            <w:tcW w:w="896" w:type="dxa"/>
            <w:tcBorders>
              <w:top w:val="single" w:sz="4" w:space="0" w:color="auto"/>
              <w:left w:val="nil"/>
              <w:bottom w:val="single" w:sz="4" w:space="0" w:color="auto"/>
              <w:right w:val="single" w:sz="4" w:space="0" w:color="auto"/>
            </w:tcBorders>
            <w:shd w:val="clear" w:color="auto" w:fill="auto"/>
          </w:tcPr>
          <w:p w14:paraId="400806E9" w14:textId="77777777" w:rsidR="009D4A93" w:rsidRPr="00536CFD" w:rsidRDefault="009D4A93" w:rsidP="009D4A93">
            <w:pPr>
              <w:spacing w:after="0"/>
              <w:jc w:val="center"/>
              <w:rPr>
                <w:lang w:eastAsia="ja-JP"/>
              </w:rPr>
            </w:pPr>
            <w:r w:rsidRPr="00536CFD">
              <w:rPr>
                <w:lang w:eastAsia="ja-JP"/>
              </w:rPr>
              <w:t>37%</w:t>
            </w:r>
          </w:p>
        </w:tc>
        <w:tc>
          <w:tcPr>
            <w:tcW w:w="720" w:type="dxa"/>
            <w:tcBorders>
              <w:top w:val="single" w:sz="4" w:space="0" w:color="auto"/>
              <w:left w:val="nil"/>
              <w:bottom w:val="single" w:sz="4" w:space="0" w:color="auto"/>
              <w:right w:val="single" w:sz="4" w:space="0" w:color="auto"/>
            </w:tcBorders>
            <w:shd w:val="clear" w:color="auto" w:fill="auto"/>
          </w:tcPr>
          <w:p w14:paraId="0EFDF3D6" w14:textId="77777777" w:rsidR="009D4A93" w:rsidRPr="00536CFD" w:rsidRDefault="009D4A93" w:rsidP="009D4A93">
            <w:pPr>
              <w:spacing w:after="0"/>
              <w:jc w:val="center"/>
              <w:rPr>
                <w:lang w:eastAsia="ja-JP"/>
              </w:rPr>
            </w:pPr>
            <w:r w:rsidRPr="00536CFD">
              <w:rPr>
                <w:lang w:eastAsia="ja-JP"/>
              </w:rPr>
              <w:t>39%</w:t>
            </w:r>
          </w:p>
        </w:tc>
        <w:tc>
          <w:tcPr>
            <w:tcW w:w="720" w:type="dxa"/>
            <w:tcBorders>
              <w:top w:val="single" w:sz="4" w:space="0" w:color="auto"/>
              <w:left w:val="nil"/>
              <w:bottom w:val="single" w:sz="4" w:space="0" w:color="auto"/>
              <w:right w:val="single" w:sz="4" w:space="0" w:color="auto"/>
            </w:tcBorders>
            <w:shd w:val="clear" w:color="auto" w:fill="auto"/>
          </w:tcPr>
          <w:p w14:paraId="3F800E64" w14:textId="77777777" w:rsidR="009D4A93" w:rsidRPr="00536CFD" w:rsidRDefault="009D4A93" w:rsidP="009D4A93">
            <w:pPr>
              <w:spacing w:after="0"/>
              <w:jc w:val="center"/>
              <w:rPr>
                <w:lang w:eastAsia="ja-JP"/>
              </w:rPr>
            </w:pPr>
            <w:r w:rsidRPr="00536CFD">
              <w:rPr>
                <w:lang w:eastAsia="ja-JP"/>
              </w:rPr>
              <w:t>11%</w:t>
            </w:r>
          </w:p>
        </w:tc>
      </w:tr>
      <w:tr w:rsidR="009D4A93" w:rsidRPr="00536CFD" w14:paraId="2B495CF9"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E257BAB"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F064E93"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20013632" w14:textId="77777777" w:rsidR="009D4A93" w:rsidRPr="00536CFD" w:rsidRDefault="009D4A93" w:rsidP="009D4A93">
            <w:pPr>
              <w:spacing w:after="0"/>
              <w:jc w:val="center"/>
              <w:rPr>
                <w:lang w:eastAsia="ja-JP"/>
              </w:rPr>
            </w:pPr>
            <w:r w:rsidRPr="00536CFD">
              <w:rPr>
                <w:lang w:eastAsia="ja-JP"/>
              </w:rPr>
              <w:t>0.19 file/s</w:t>
            </w:r>
          </w:p>
        </w:tc>
        <w:tc>
          <w:tcPr>
            <w:tcW w:w="3150" w:type="dxa"/>
            <w:gridSpan w:val="4"/>
            <w:tcBorders>
              <w:top w:val="single" w:sz="4" w:space="0" w:color="auto"/>
              <w:left w:val="nil"/>
              <w:bottom w:val="single" w:sz="4" w:space="0" w:color="auto"/>
              <w:right w:val="single" w:sz="4" w:space="0" w:color="auto"/>
            </w:tcBorders>
            <w:shd w:val="clear" w:color="auto" w:fill="auto"/>
          </w:tcPr>
          <w:p w14:paraId="6988D901" w14:textId="77777777" w:rsidR="009D4A93" w:rsidRPr="00536CFD" w:rsidRDefault="009D4A93" w:rsidP="009D4A93">
            <w:pPr>
              <w:spacing w:after="0"/>
              <w:jc w:val="center"/>
              <w:rPr>
                <w:lang w:eastAsia="ja-JP"/>
              </w:rPr>
            </w:pPr>
            <w:r w:rsidRPr="00536CFD">
              <w:rPr>
                <w:lang w:eastAsia="ja-JP"/>
              </w:rPr>
              <w:t>0.29 file/s</w:t>
            </w:r>
          </w:p>
        </w:tc>
        <w:tc>
          <w:tcPr>
            <w:tcW w:w="3060" w:type="dxa"/>
            <w:gridSpan w:val="4"/>
            <w:tcBorders>
              <w:top w:val="single" w:sz="4" w:space="0" w:color="auto"/>
              <w:left w:val="nil"/>
              <w:bottom w:val="single" w:sz="4" w:space="0" w:color="auto"/>
              <w:right w:val="single" w:sz="4" w:space="0" w:color="auto"/>
            </w:tcBorders>
            <w:shd w:val="clear" w:color="auto" w:fill="auto"/>
          </w:tcPr>
          <w:p w14:paraId="41F9E816" w14:textId="77777777" w:rsidR="009D4A93" w:rsidRPr="00536CFD" w:rsidRDefault="009D4A93" w:rsidP="009D4A93">
            <w:pPr>
              <w:spacing w:after="0"/>
              <w:jc w:val="center"/>
              <w:rPr>
                <w:lang w:eastAsia="ja-JP"/>
              </w:rPr>
            </w:pPr>
            <w:r w:rsidRPr="00536CFD">
              <w:rPr>
                <w:lang w:eastAsia="ja-JP"/>
              </w:rPr>
              <w:t>0.37 file/s</w:t>
            </w:r>
          </w:p>
        </w:tc>
      </w:tr>
      <w:tr w:rsidR="009D4A93" w:rsidRPr="00536CFD" w14:paraId="76E4413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8809326"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799F8B7"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28E74B24" w14:textId="77777777" w:rsidR="009D4A93" w:rsidRPr="00536CFD" w:rsidRDefault="009D4A93" w:rsidP="009D4A93">
            <w:pPr>
              <w:pStyle w:val="ResTable"/>
              <w:jc w:val="left"/>
              <w:rPr>
                <w:rFonts w:ascii="Times New Roman" w:hAnsi="Times New Roman" w:cs="Times New Roman"/>
                <w:sz w:val="20"/>
                <w:szCs w:val="20"/>
              </w:rPr>
            </w:pPr>
            <w:r w:rsidRPr="00536CFD">
              <w:rPr>
                <w:rFonts w:ascii="Times New Roman" w:hAnsi="Times New Roman" w:cs="Times New Roman"/>
                <w:sz w:val="20"/>
                <w:szCs w:val="20"/>
              </w:rPr>
              <w:t xml:space="preserve">Additional comments: </w:t>
            </w:r>
          </w:p>
          <w:p w14:paraId="4C3A6291" w14:textId="77777777" w:rsidR="009D4A93" w:rsidRPr="00536CFD" w:rsidRDefault="009D4A93" w:rsidP="009D4A93">
            <w:pPr>
              <w:rPr>
                <w:lang w:eastAsia="ja-JP"/>
              </w:rPr>
            </w:pPr>
            <w:r w:rsidRPr="00536CFD">
              <w:rPr>
                <w:b/>
                <w:bCs/>
                <w:lang w:val="en-US" w:eastAsia="sv-SE"/>
              </w:rPr>
              <w:t>Simulation setup:</w:t>
            </w:r>
            <w:r w:rsidRPr="00536CFD">
              <w:rPr>
                <w:lang w:val="en-US" w:eastAsia="sv-SE"/>
              </w:rPr>
              <w:t xml:space="preserve"> NR-U indoor scenario, 50/50 DL/UL traffics. </w:t>
            </w:r>
            <w:r w:rsidRPr="00536CFD">
              <w:br/>
            </w:r>
            <w:r w:rsidRPr="00536CFD">
              <w:rPr>
                <w:b/>
                <w:bCs/>
              </w:rPr>
              <w:t>Common assumptions:</w:t>
            </w:r>
            <w:r w:rsidRPr="00536CFD">
              <w:t xml:space="preserve"> Primary LBT: Cat-4 LBT with exponential CW back-off, MCOT duration: 6ms, Max modulation: 256 QAM, </w:t>
            </w:r>
            <w:r w:rsidRPr="00536CFD">
              <w:rPr>
                <w:lang w:val="en-US"/>
              </w:rPr>
              <w:t>Antennas: 4 for BS/AP and 2 for UE/STA,</w:t>
            </w:r>
            <w:r w:rsidRPr="00536CFD">
              <w:t xml:space="preserve"> </w:t>
            </w:r>
            <w:r w:rsidRPr="00536CFD">
              <w:rPr>
                <w:lang w:val="en-US"/>
              </w:rPr>
              <w:t xml:space="preserve">BF scheme: Tx and Rx BF at BS/AP, Maximal number of layers: 2 for DL and 2 for UL, single carrier with 20MHz BW, BS/AP transmit power 20dBm+3dBi, UE/STA transmit power 18dBm, MMSE-IRC receiver. CW {min,max} </w:t>
            </w:r>
            <w:r w:rsidRPr="00536CFD">
              <w:t xml:space="preserve">DL{15,63} </w:t>
            </w:r>
            <w:r w:rsidRPr="00536CFD">
              <w:rPr>
                <w:lang w:val="en-US"/>
              </w:rPr>
              <w:t>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ED threshold  -72dBm, SCS 30kHz, UE processing time capability #1, PUSCH mapping Type A, PDSCH mapping Type B, PDCCH monitoring every 1OS, Scheduling: proportional fair, self-scheduling, COT sharing enabled (gNB initiated COT). </w:t>
            </w:r>
          </w:p>
        </w:tc>
      </w:tr>
      <w:tr w:rsidR="009D4A93" w:rsidRPr="00536CFD" w14:paraId="5E0FD9BE"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2DA7EF4C" w14:textId="77777777" w:rsidR="009D4A93" w:rsidRPr="00536CFD" w:rsidRDefault="009D4A93" w:rsidP="009D4A93">
            <w:pPr>
              <w:pStyle w:val="NormalWeb"/>
              <w:pageBreakBefore/>
              <w:spacing w:before="0" w:beforeAutospacing="0" w:after="0" w:afterAutospacing="0"/>
              <w:ind w:left="113" w:right="113"/>
              <w:jc w:val="center"/>
              <w:rPr>
                <w:rFonts w:eastAsia="SimSun"/>
                <w:sz w:val="20"/>
                <w:szCs w:val="20"/>
              </w:rPr>
            </w:pPr>
            <w:r w:rsidRPr="00536CFD">
              <w:rPr>
                <w:color w:val="000000"/>
                <w:sz w:val="20"/>
                <w:szCs w:val="20"/>
              </w:rPr>
              <w:t>R1-1814020</w:t>
            </w:r>
            <w:r w:rsidRPr="00536CFD">
              <w:rPr>
                <w:sz w:val="20"/>
                <w:szCs w:val="20"/>
              </w:rPr>
              <w:t>/ Source 8</w:t>
            </w:r>
          </w:p>
        </w:tc>
        <w:tc>
          <w:tcPr>
            <w:tcW w:w="535" w:type="dxa"/>
            <w:vMerge w:val="restart"/>
            <w:tcBorders>
              <w:top w:val="nil"/>
              <w:left w:val="nil"/>
              <w:bottom w:val="single" w:sz="4" w:space="0" w:color="auto"/>
              <w:right w:val="single" w:sz="4" w:space="0" w:color="auto"/>
            </w:tcBorders>
            <w:shd w:val="clear" w:color="auto" w:fill="auto"/>
          </w:tcPr>
          <w:p w14:paraId="1E93EF2F" w14:textId="77777777" w:rsidR="009D4A93" w:rsidRPr="00536CFD" w:rsidRDefault="009D4A93" w:rsidP="009D4A93">
            <w:pPr>
              <w:spacing w:after="0"/>
              <w:jc w:val="center"/>
            </w:pPr>
            <w:r w:rsidRPr="00536CFD">
              <w:t xml:space="preserve">DL: </w:t>
            </w:r>
          </w:p>
          <w:p w14:paraId="2C4B96DF" w14:textId="77777777" w:rsidR="009D4A93" w:rsidRPr="00536CFD" w:rsidRDefault="009D4A93" w:rsidP="009D4A93">
            <w:pPr>
              <w:spacing w:after="0"/>
              <w:jc w:val="center"/>
            </w:pPr>
            <w:r w:rsidRPr="00536CFD">
              <w:t>UPT CDF</w:t>
            </w:r>
          </w:p>
          <w:p w14:paraId="6AE7B6B6"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sz w:val="20"/>
                <w:szCs w:val="20"/>
              </w:rPr>
              <w:t>[Mbps]</w:t>
            </w:r>
          </w:p>
        </w:tc>
        <w:tc>
          <w:tcPr>
            <w:tcW w:w="400" w:type="dxa"/>
            <w:tcBorders>
              <w:top w:val="single" w:sz="4" w:space="0" w:color="auto"/>
              <w:left w:val="nil"/>
              <w:bottom w:val="single" w:sz="4" w:space="0" w:color="auto"/>
              <w:right w:val="single" w:sz="4" w:space="0" w:color="auto"/>
            </w:tcBorders>
            <w:shd w:val="clear" w:color="auto" w:fill="auto"/>
          </w:tcPr>
          <w:p w14:paraId="56594BD1"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sz w:val="20"/>
                <w:szCs w:val="20"/>
              </w:rPr>
              <w:t>5%</w:t>
            </w:r>
          </w:p>
        </w:tc>
        <w:tc>
          <w:tcPr>
            <w:tcW w:w="714" w:type="dxa"/>
          </w:tcPr>
          <w:p w14:paraId="3ABE79C0" w14:textId="77777777" w:rsidR="009D4A93" w:rsidRPr="00536CFD" w:rsidRDefault="009D4A93" w:rsidP="009D4A93">
            <w:pPr>
              <w:pageBreakBefore/>
              <w:spacing w:after="0"/>
              <w:jc w:val="center"/>
              <w:rPr>
                <w:lang w:eastAsia="ja-JP"/>
              </w:rPr>
            </w:pPr>
            <w:r w:rsidRPr="00536CFD">
              <w:t>36.07</w:t>
            </w:r>
          </w:p>
        </w:tc>
        <w:tc>
          <w:tcPr>
            <w:tcW w:w="720" w:type="dxa"/>
          </w:tcPr>
          <w:p w14:paraId="38519903" w14:textId="77777777" w:rsidR="009D4A93" w:rsidRPr="00536CFD" w:rsidRDefault="009D4A93" w:rsidP="009D4A93">
            <w:pPr>
              <w:pageBreakBefore/>
              <w:spacing w:after="0"/>
              <w:jc w:val="center"/>
              <w:rPr>
                <w:lang w:eastAsia="ja-JP"/>
              </w:rPr>
            </w:pPr>
            <w:r w:rsidRPr="00536CFD">
              <w:t>36.72</w:t>
            </w:r>
          </w:p>
        </w:tc>
        <w:tc>
          <w:tcPr>
            <w:tcW w:w="720" w:type="dxa"/>
          </w:tcPr>
          <w:p w14:paraId="2D67CEE6" w14:textId="77777777" w:rsidR="009D4A93" w:rsidRPr="00536CFD" w:rsidRDefault="009D4A93" w:rsidP="009D4A93">
            <w:pPr>
              <w:pageBreakBefore/>
              <w:spacing w:after="0"/>
              <w:jc w:val="center"/>
              <w:rPr>
                <w:lang w:eastAsia="ja-JP"/>
              </w:rPr>
            </w:pPr>
            <w:r w:rsidRPr="00536CFD">
              <w:t>40.01</w:t>
            </w:r>
          </w:p>
        </w:tc>
        <w:tc>
          <w:tcPr>
            <w:tcW w:w="810" w:type="dxa"/>
          </w:tcPr>
          <w:p w14:paraId="027919FC" w14:textId="77777777" w:rsidR="009D4A93" w:rsidRPr="00536CFD" w:rsidRDefault="009D4A93" w:rsidP="009D4A93">
            <w:pPr>
              <w:pageBreakBefore/>
              <w:spacing w:after="0"/>
              <w:jc w:val="center"/>
              <w:rPr>
                <w:lang w:eastAsia="ja-JP"/>
              </w:rPr>
            </w:pPr>
          </w:p>
        </w:tc>
        <w:tc>
          <w:tcPr>
            <w:tcW w:w="810" w:type="dxa"/>
          </w:tcPr>
          <w:p w14:paraId="7AE69682" w14:textId="77777777" w:rsidR="009D4A93" w:rsidRPr="00536CFD" w:rsidRDefault="009D4A93" w:rsidP="009D4A93">
            <w:pPr>
              <w:pageBreakBefore/>
              <w:spacing w:after="0"/>
              <w:jc w:val="center"/>
              <w:rPr>
                <w:lang w:eastAsia="ja-JP"/>
              </w:rPr>
            </w:pPr>
            <w:r w:rsidRPr="00536CFD">
              <w:t>20.58</w:t>
            </w:r>
          </w:p>
        </w:tc>
        <w:tc>
          <w:tcPr>
            <w:tcW w:w="820" w:type="dxa"/>
          </w:tcPr>
          <w:p w14:paraId="7B2901BF" w14:textId="77777777" w:rsidR="009D4A93" w:rsidRPr="00536CFD" w:rsidRDefault="009D4A93" w:rsidP="009D4A93">
            <w:pPr>
              <w:pageBreakBefore/>
              <w:spacing w:after="0"/>
              <w:jc w:val="center"/>
              <w:rPr>
                <w:lang w:eastAsia="ja-JP"/>
              </w:rPr>
            </w:pPr>
            <w:r w:rsidRPr="00536CFD">
              <w:t>28.27</w:t>
            </w:r>
          </w:p>
        </w:tc>
        <w:tc>
          <w:tcPr>
            <w:tcW w:w="800" w:type="dxa"/>
          </w:tcPr>
          <w:p w14:paraId="6F34EB5A" w14:textId="77777777" w:rsidR="009D4A93" w:rsidRPr="00536CFD" w:rsidRDefault="009D4A93" w:rsidP="009D4A93">
            <w:pPr>
              <w:pageBreakBefore/>
              <w:spacing w:after="0"/>
              <w:jc w:val="center"/>
              <w:rPr>
                <w:lang w:eastAsia="ja-JP"/>
              </w:rPr>
            </w:pPr>
            <w:r w:rsidRPr="00536CFD">
              <w:t>30.45</w:t>
            </w:r>
          </w:p>
        </w:tc>
        <w:tc>
          <w:tcPr>
            <w:tcW w:w="720" w:type="dxa"/>
          </w:tcPr>
          <w:p w14:paraId="5C35DC59" w14:textId="77777777" w:rsidR="009D4A93" w:rsidRPr="00536CFD" w:rsidRDefault="009D4A93" w:rsidP="009D4A93">
            <w:pPr>
              <w:pageBreakBefore/>
              <w:spacing w:after="0"/>
              <w:jc w:val="center"/>
              <w:rPr>
                <w:lang w:eastAsia="ja-JP"/>
              </w:rPr>
            </w:pPr>
          </w:p>
        </w:tc>
        <w:tc>
          <w:tcPr>
            <w:tcW w:w="724" w:type="dxa"/>
          </w:tcPr>
          <w:p w14:paraId="19531787" w14:textId="77777777" w:rsidR="009D4A93" w:rsidRPr="00536CFD" w:rsidRDefault="009D4A93" w:rsidP="009D4A93">
            <w:pPr>
              <w:pageBreakBefore/>
              <w:spacing w:after="0"/>
              <w:jc w:val="center"/>
              <w:rPr>
                <w:lang w:eastAsia="ja-JP"/>
              </w:rPr>
            </w:pPr>
            <w:r w:rsidRPr="00536CFD">
              <w:t>8.01</w:t>
            </w:r>
          </w:p>
        </w:tc>
        <w:tc>
          <w:tcPr>
            <w:tcW w:w="896" w:type="dxa"/>
          </w:tcPr>
          <w:p w14:paraId="23BA5DAD" w14:textId="77777777" w:rsidR="009D4A93" w:rsidRPr="00536CFD" w:rsidRDefault="009D4A93" w:rsidP="009D4A93">
            <w:pPr>
              <w:pageBreakBefore/>
              <w:spacing w:after="0"/>
              <w:jc w:val="center"/>
              <w:rPr>
                <w:lang w:eastAsia="ja-JP"/>
              </w:rPr>
            </w:pPr>
            <w:r w:rsidRPr="00536CFD">
              <w:t>16.81</w:t>
            </w:r>
          </w:p>
        </w:tc>
        <w:tc>
          <w:tcPr>
            <w:tcW w:w="720" w:type="dxa"/>
          </w:tcPr>
          <w:p w14:paraId="3FA88233" w14:textId="77777777" w:rsidR="009D4A93" w:rsidRPr="00536CFD" w:rsidRDefault="009D4A93" w:rsidP="009D4A93">
            <w:pPr>
              <w:pageBreakBefore/>
              <w:spacing w:after="0"/>
              <w:jc w:val="center"/>
              <w:rPr>
                <w:lang w:eastAsia="ja-JP"/>
              </w:rPr>
            </w:pPr>
            <w:r w:rsidRPr="00536CFD">
              <w:t>18.02</w:t>
            </w:r>
          </w:p>
        </w:tc>
        <w:tc>
          <w:tcPr>
            <w:tcW w:w="720" w:type="dxa"/>
          </w:tcPr>
          <w:p w14:paraId="3E97BBE3" w14:textId="77777777" w:rsidR="009D4A93" w:rsidRPr="00536CFD" w:rsidRDefault="009D4A93" w:rsidP="009D4A93">
            <w:pPr>
              <w:pageBreakBefore/>
              <w:spacing w:after="0"/>
              <w:jc w:val="center"/>
              <w:rPr>
                <w:lang w:eastAsia="ja-JP"/>
              </w:rPr>
            </w:pPr>
          </w:p>
        </w:tc>
      </w:tr>
      <w:tr w:rsidR="009D4A93" w:rsidRPr="00536CFD" w14:paraId="69E9C43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121258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FA9FEF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7A72FC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33E0F4A2" w14:textId="77777777" w:rsidR="009D4A93" w:rsidRPr="00536CFD" w:rsidRDefault="009D4A93" w:rsidP="009D4A93">
            <w:pPr>
              <w:spacing w:after="0"/>
              <w:jc w:val="center"/>
              <w:rPr>
                <w:lang w:eastAsia="ja-JP"/>
              </w:rPr>
            </w:pPr>
            <w:r w:rsidRPr="00536CFD">
              <w:t>82.07</w:t>
            </w:r>
          </w:p>
        </w:tc>
        <w:tc>
          <w:tcPr>
            <w:tcW w:w="720" w:type="dxa"/>
          </w:tcPr>
          <w:p w14:paraId="5815B0AF" w14:textId="77777777" w:rsidR="009D4A93" w:rsidRPr="00536CFD" w:rsidRDefault="009D4A93" w:rsidP="009D4A93">
            <w:pPr>
              <w:spacing w:after="0"/>
              <w:jc w:val="center"/>
              <w:rPr>
                <w:lang w:eastAsia="ja-JP"/>
              </w:rPr>
            </w:pPr>
            <w:r w:rsidRPr="00536CFD">
              <w:t>84.66</w:t>
            </w:r>
          </w:p>
        </w:tc>
        <w:tc>
          <w:tcPr>
            <w:tcW w:w="720" w:type="dxa"/>
          </w:tcPr>
          <w:p w14:paraId="53280E80" w14:textId="77777777" w:rsidR="009D4A93" w:rsidRPr="00536CFD" w:rsidRDefault="009D4A93" w:rsidP="009D4A93">
            <w:pPr>
              <w:spacing w:after="0"/>
              <w:jc w:val="center"/>
              <w:rPr>
                <w:lang w:eastAsia="ja-JP"/>
              </w:rPr>
            </w:pPr>
            <w:r w:rsidRPr="00536CFD">
              <w:t>97.06</w:t>
            </w:r>
          </w:p>
        </w:tc>
        <w:tc>
          <w:tcPr>
            <w:tcW w:w="810" w:type="dxa"/>
          </w:tcPr>
          <w:p w14:paraId="42C1380A" w14:textId="77777777" w:rsidR="009D4A93" w:rsidRPr="00536CFD" w:rsidRDefault="009D4A93" w:rsidP="009D4A93">
            <w:pPr>
              <w:spacing w:after="0"/>
              <w:jc w:val="center"/>
              <w:rPr>
                <w:lang w:eastAsia="ja-JP"/>
              </w:rPr>
            </w:pPr>
          </w:p>
        </w:tc>
        <w:tc>
          <w:tcPr>
            <w:tcW w:w="810" w:type="dxa"/>
          </w:tcPr>
          <w:p w14:paraId="098FB4EC" w14:textId="77777777" w:rsidR="009D4A93" w:rsidRPr="00536CFD" w:rsidRDefault="009D4A93" w:rsidP="009D4A93">
            <w:pPr>
              <w:spacing w:after="0"/>
              <w:jc w:val="center"/>
              <w:rPr>
                <w:lang w:eastAsia="ja-JP"/>
              </w:rPr>
            </w:pPr>
            <w:r w:rsidRPr="00536CFD">
              <w:t>51.12</w:t>
            </w:r>
          </w:p>
        </w:tc>
        <w:tc>
          <w:tcPr>
            <w:tcW w:w="820" w:type="dxa"/>
          </w:tcPr>
          <w:p w14:paraId="691C7AAD" w14:textId="77777777" w:rsidR="009D4A93" w:rsidRPr="00536CFD" w:rsidRDefault="009D4A93" w:rsidP="009D4A93">
            <w:pPr>
              <w:spacing w:after="0"/>
              <w:jc w:val="center"/>
              <w:rPr>
                <w:lang w:eastAsia="ja-JP"/>
              </w:rPr>
            </w:pPr>
            <w:r w:rsidRPr="00536CFD">
              <w:t>69.15</w:t>
            </w:r>
          </w:p>
        </w:tc>
        <w:tc>
          <w:tcPr>
            <w:tcW w:w="800" w:type="dxa"/>
          </w:tcPr>
          <w:p w14:paraId="049B40DA" w14:textId="77777777" w:rsidR="009D4A93" w:rsidRPr="00536CFD" w:rsidRDefault="009D4A93" w:rsidP="009D4A93">
            <w:pPr>
              <w:spacing w:after="0"/>
              <w:jc w:val="center"/>
              <w:rPr>
                <w:lang w:eastAsia="ja-JP"/>
              </w:rPr>
            </w:pPr>
            <w:r w:rsidRPr="00536CFD">
              <w:t>77.49</w:t>
            </w:r>
          </w:p>
        </w:tc>
        <w:tc>
          <w:tcPr>
            <w:tcW w:w="720" w:type="dxa"/>
          </w:tcPr>
          <w:p w14:paraId="5313A44A" w14:textId="77777777" w:rsidR="009D4A93" w:rsidRPr="00536CFD" w:rsidRDefault="009D4A93" w:rsidP="009D4A93">
            <w:pPr>
              <w:spacing w:after="0"/>
              <w:jc w:val="center"/>
              <w:rPr>
                <w:lang w:eastAsia="ja-JP"/>
              </w:rPr>
            </w:pPr>
          </w:p>
        </w:tc>
        <w:tc>
          <w:tcPr>
            <w:tcW w:w="724" w:type="dxa"/>
          </w:tcPr>
          <w:p w14:paraId="33929475" w14:textId="77777777" w:rsidR="009D4A93" w:rsidRPr="00536CFD" w:rsidRDefault="009D4A93" w:rsidP="009D4A93">
            <w:pPr>
              <w:spacing w:after="0"/>
              <w:jc w:val="center"/>
              <w:rPr>
                <w:lang w:eastAsia="ja-JP"/>
              </w:rPr>
            </w:pPr>
            <w:r w:rsidRPr="00536CFD">
              <w:t>26.77</w:t>
            </w:r>
          </w:p>
        </w:tc>
        <w:tc>
          <w:tcPr>
            <w:tcW w:w="896" w:type="dxa"/>
          </w:tcPr>
          <w:p w14:paraId="195623B9" w14:textId="77777777" w:rsidR="009D4A93" w:rsidRPr="00536CFD" w:rsidRDefault="009D4A93" w:rsidP="009D4A93">
            <w:pPr>
              <w:spacing w:after="0"/>
              <w:jc w:val="center"/>
              <w:rPr>
                <w:lang w:eastAsia="ja-JP"/>
              </w:rPr>
            </w:pPr>
            <w:r w:rsidRPr="00536CFD">
              <w:t>45.49</w:t>
            </w:r>
          </w:p>
        </w:tc>
        <w:tc>
          <w:tcPr>
            <w:tcW w:w="720" w:type="dxa"/>
          </w:tcPr>
          <w:p w14:paraId="18A5342B" w14:textId="77777777" w:rsidR="009D4A93" w:rsidRPr="00536CFD" w:rsidRDefault="009D4A93" w:rsidP="009D4A93">
            <w:pPr>
              <w:spacing w:after="0"/>
              <w:jc w:val="center"/>
              <w:rPr>
                <w:lang w:eastAsia="ja-JP"/>
              </w:rPr>
            </w:pPr>
            <w:r w:rsidRPr="00536CFD">
              <w:t>48.81</w:t>
            </w:r>
          </w:p>
        </w:tc>
        <w:tc>
          <w:tcPr>
            <w:tcW w:w="720" w:type="dxa"/>
          </w:tcPr>
          <w:p w14:paraId="14CF25CC" w14:textId="77777777" w:rsidR="009D4A93" w:rsidRPr="00536CFD" w:rsidRDefault="009D4A93" w:rsidP="009D4A93">
            <w:pPr>
              <w:spacing w:after="0"/>
              <w:jc w:val="center"/>
              <w:rPr>
                <w:lang w:eastAsia="ja-JP"/>
              </w:rPr>
            </w:pPr>
          </w:p>
        </w:tc>
      </w:tr>
      <w:tr w:rsidR="009D4A93" w:rsidRPr="00536CFD" w14:paraId="0732327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81992A0"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81AEEC0"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C46016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04B1D652" w14:textId="77777777" w:rsidR="009D4A93" w:rsidRPr="00536CFD" w:rsidRDefault="009D4A93" w:rsidP="009D4A93">
            <w:pPr>
              <w:spacing w:after="0"/>
              <w:jc w:val="center"/>
              <w:rPr>
                <w:lang w:eastAsia="ja-JP"/>
              </w:rPr>
            </w:pPr>
            <w:r w:rsidRPr="00536CFD">
              <w:t>101.56</w:t>
            </w:r>
          </w:p>
        </w:tc>
        <w:tc>
          <w:tcPr>
            <w:tcW w:w="720" w:type="dxa"/>
          </w:tcPr>
          <w:p w14:paraId="3577B6D8" w14:textId="77777777" w:rsidR="009D4A93" w:rsidRPr="00536CFD" w:rsidRDefault="009D4A93" w:rsidP="009D4A93">
            <w:pPr>
              <w:spacing w:after="0"/>
              <w:jc w:val="center"/>
              <w:rPr>
                <w:lang w:eastAsia="ja-JP"/>
              </w:rPr>
            </w:pPr>
            <w:r w:rsidRPr="00536CFD">
              <w:t>108.41</w:t>
            </w:r>
          </w:p>
        </w:tc>
        <w:tc>
          <w:tcPr>
            <w:tcW w:w="720" w:type="dxa"/>
          </w:tcPr>
          <w:p w14:paraId="4CAE5901" w14:textId="77777777" w:rsidR="009D4A93" w:rsidRPr="00536CFD" w:rsidRDefault="009D4A93" w:rsidP="009D4A93">
            <w:pPr>
              <w:spacing w:after="0"/>
              <w:jc w:val="center"/>
              <w:rPr>
                <w:lang w:eastAsia="ja-JP"/>
              </w:rPr>
            </w:pPr>
            <w:r w:rsidRPr="00536CFD">
              <w:t>126.90</w:t>
            </w:r>
          </w:p>
        </w:tc>
        <w:tc>
          <w:tcPr>
            <w:tcW w:w="810" w:type="dxa"/>
          </w:tcPr>
          <w:p w14:paraId="579961B7" w14:textId="77777777" w:rsidR="009D4A93" w:rsidRPr="00536CFD" w:rsidRDefault="009D4A93" w:rsidP="009D4A93">
            <w:pPr>
              <w:spacing w:after="0"/>
              <w:jc w:val="center"/>
              <w:rPr>
                <w:lang w:eastAsia="ja-JP"/>
              </w:rPr>
            </w:pPr>
          </w:p>
        </w:tc>
        <w:tc>
          <w:tcPr>
            <w:tcW w:w="810" w:type="dxa"/>
          </w:tcPr>
          <w:p w14:paraId="324687F7" w14:textId="77777777" w:rsidR="009D4A93" w:rsidRPr="00536CFD" w:rsidRDefault="009D4A93" w:rsidP="009D4A93">
            <w:pPr>
              <w:spacing w:after="0"/>
              <w:jc w:val="center"/>
              <w:rPr>
                <w:lang w:eastAsia="ja-JP"/>
              </w:rPr>
            </w:pPr>
            <w:r w:rsidRPr="00536CFD">
              <w:t>76.09</w:t>
            </w:r>
          </w:p>
        </w:tc>
        <w:tc>
          <w:tcPr>
            <w:tcW w:w="820" w:type="dxa"/>
          </w:tcPr>
          <w:p w14:paraId="56DAEA71" w14:textId="77777777" w:rsidR="009D4A93" w:rsidRPr="00536CFD" w:rsidRDefault="009D4A93" w:rsidP="009D4A93">
            <w:pPr>
              <w:spacing w:after="0"/>
              <w:jc w:val="center"/>
              <w:rPr>
                <w:lang w:eastAsia="ja-JP"/>
              </w:rPr>
            </w:pPr>
            <w:r w:rsidRPr="00536CFD">
              <w:t>93.57</w:t>
            </w:r>
          </w:p>
        </w:tc>
        <w:tc>
          <w:tcPr>
            <w:tcW w:w="800" w:type="dxa"/>
          </w:tcPr>
          <w:p w14:paraId="2760D77B" w14:textId="77777777" w:rsidR="009D4A93" w:rsidRPr="00536CFD" w:rsidRDefault="009D4A93" w:rsidP="009D4A93">
            <w:pPr>
              <w:spacing w:after="0"/>
              <w:jc w:val="center"/>
              <w:rPr>
                <w:lang w:eastAsia="ja-JP"/>
              </w:rPr>
            </w:pPr>
            <w:r w:rsidRPr="00536CFD">
              <w:t>108.07</w:t>
            </w:r>
          </w:p>
        </w:tc>
        <w:tc>
          <w:tcPr>
            <w:tcW w:w="720" w:type="dxa"/>
          </w:tcPr>
          <w:p w14:paraId="493748C6" w14:textId="77777777" w:rsidR="009D4A93" w:rsidRPr="00536CFD" w:rsidRDefault="009D4A93" w:rsidP="009D4A93">
            <w:pPr>
              <w:spacing w:after="0"/>
              <w:jc w:val="center"/>
              <w:rPr>
                <w:lang w:eastAsia="ja-JP"/>
              </w:rPr>
            </w:pPr>
          </w:p>
        </w:tc>
        <w:tc>
          <w:tcPr>
            <w:tcW w:w="724" w:type="dxa"/>
          </w:tcPr>
          <w:p w14:paraId="68EFAB85" w14:textId="77777777" w:rsidR="009D4A93" w:rsidRPr="00536CFD" w:rsidRDefault="009D4A93" w:rsidP="009D4A93">
            <w:pPr>
              <w:spacing w:after="0"/>
              <w:jc w:val="center"/>
              <w:rPr>
                <w:lang w:eastAsia="ja-JP"/>
              </w:rPr>
            </w:pPr>
            <w:r w:rsidRPr="00536CFD">
              <w:t>52.36</w:t>
            </w:r>
          </w:p>
        </w:tc>
        <w:tc>
          <w:tcPr>
            <w:tcW w:w="896" w:type="dxa"/>
          </w:tcPr>
          <w:p w14:paraId="4D93F41E" w14:textId="77777777" w:rsidR="009D4A93" w:rsidRPr="00536CFD" w:rsidRDefault="009D4A93" w:rsidP="009D4A93">
            <w:pPr>
              <w:spacing w:after="0"/>
              <w:jc w:val="center"/>
              <w:rPr>
                <w:lang w:eastAsia="ja-JP"/>
              </w:rPr>
            </w:pPr>
            <w:r w:rsidRPr="00536CFD">
              <w:t>73.29</w:t>
            </w:r>
          </w:p>
        </w:tc>
        <w:tc>
          <w:tcPr>
            <w:tcW w:w="720" w:type="dxa"/>
          </w:tcPr>
          <w:p w14:paraId="400904D4" w14:textId="77777777" w:rsidR="009D4A93" w:rsidRPr="00536CFD" w:rsidRDefault="009D4A93" w:rsidP="009D4A93">
            <w:pPr>
              <w:spacing w:after="0"/>
              <w:jc w:val="center"/>
              <w:rPr>
                <w:lang w:eastAsia="ja-JP"/>
              </w:rPr>
            </w:pPr>
            <w:r w:rsidRPr="00536CFD">
              <w:t>78.57</w:t>
            </w:r>
          </w:p>
        </w:tc>
        <w:tc>
          <w:tcPr>
            <w:tcW w:w="720" w:type="dxa"/>
          </w:tcPr>
          <w:p w14:paraId="350B225E" w14:textId="77777777" w:rsidR="009D4A93" w:rsidRPr="00536CFD" w:rsidRDefault="009D4A93" w:rsidP="009D4A93">
            <w:pPr>
              <w:spacing w:after="0"/>
              <w:jc w:val="center"/>
              <w:rPr>
                <w:lang w:eastAsia="ja-JP"/>
              </w:rPr>
            </w:pPr>
          </w:p>
        </w:tc>
      </w:tr>
      <w:tr w:rsidR="009D4A93" w:rsidRPr="00536CFD" w14:paraId="0F8C5DA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BC6A93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F558BD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FE2F5E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10FF5789" w14:textId="77777777" w:rsidR="009D4A93" w:rsidRPr="00536CFD" w:rsidRDefault="009D4A93" w:rsidP="009D4A93">
            <w:pPr>
              <w:spacing w:after="0"/>
              <w:jc w:val="center"/>
              <w:rPr>
                <w:lang w:eastAsia="ja-JP"/>
              </w:rPr>
            </w:pPr>
            <w:r w:rsidRPr="00536CFD">
              <w:t>79.66</w:t>
            </w:r>
          </w:p>
        </w:tc>
        <w:tc>
          <w:tcPr>
            <w:tcW w:w="720" w:type="dxa"/>
          </w:tcPr>
          <w:p w14:paraId="2ECDEF59" w14:textId="77777777" w:rsidR="009D4A93" w:rsidRPr="00536CFD" w:rsidRDefault="009D4A93" w:rsidP="009D4A93">
            <w:pPr>
              <w:spacing w:after="0"/>
              <w:jc w:val="center"/>
              <w:rPr>
                <w:lang w:eastAsia="ja-JP"/>
              </w:rPr>
            </w:pPr>
            <w:r w:rsidRPr="00536CFD">
              <w:t>84.17</w:t>
            </w:r>
          </w:p>
        </w:tc>
        <w:tc>
          <w:tcPr>
            <w:tcW w:w="720" w:type="dxa"/>
          </w:tcPr>
          <w:p w14:paraId="2D63F53C" w14:textId="77777777" w:rsidR="009D4A93" w:rsidRPr="00536CFD" w:rsidRDefault="009D4A93" w:rsidP="009D4A93">
            <w:pPr>
              <w:spacing w:after="0"/>
              <w:jc w:val="center"/>
              <w:rPr>
                <w:lang w:eastAsia="ja-JP"/>
              </w:rPr>
            </w:pPr>
            <w:r w:rsidRPr="00536CFD">
              <w:t>96.94</w:t>
            </w:r>
          </w:p>
        </w:tc>
        <w:tc>
          <w:tcPr>
            <w:tcW w:w="810" w:type="dxa"/>
          </w:tcPr>
          <w:p w14:paraId="6EC3D8B5" w14:textId="77777777" w:rsidR="009D4A93" w:rsidRPr="00536CFD" w:rsidRDefault="009D4A93" w:rsidP="009D4A93">
            <w:pPr>
              <w:spacing w:after="0"/>
              <w:jc w:val="center"/>
              <w:rPr>
                <w:lang w:eastAsia="ja-JP"/>
              </w:rPr>
            </w:pPr>
          </w:p>
        </w:tc>
        <w:tc>
          <w:tcPr>
            <w:tcW w:w="810" w:type="dxa"/>
          </w:tcPr>
          <w:p w14:paraId="6A5D96C1" w14:textId="77777777" w:rsidR="009D4A93" w:rsidRPr="00536CFD" w:rsidRDefault="009D4A93" w:rsidP="009D4A93">
            <w:pPr>
              <w:spacing w:after="0"/>
              <w:jc w:val="center"/>
              <w:rPr>
                <w:lang w:eastAsia="ja-JP"/>
              </w:rPr>
            </w:pPr>
            <w:r w:rsidRPr="00536CFD">
              <w:t>53.74</w:t>
            </w:r>
          </w:p>
        </w:tc>
        <w:tc>
          <w:tcPr>
            <w:tcW w:w="820" w:type="dxa"/>
          </w:tcPr>
          <w:p w14:paraId="236D65D2" w14:textId="77777777" w:rsidR="009D4A93" w:rsidRPr="00536CFD" w:rsidRDefault="009D4A93" w:rsidP="009D4A93">
            <w:pPr>
              <w:spacing w:after="0"/>
              <w:jc w:val="center"/>
              <w:rPr>
                <w:lang w:eastAsia="ja-JP"/>
              </w:rPr>
            </w:pPr>
            <w:r w:rsidRPr="00536CFD">
              <w:t>69.22</w:t>
            </w:r>
          </w:p>
        </w:tc>
        <w:tc>
          <w:tcPr>
            <w:tcW w:w="800" w:type="dxa"/>
          </w:tcPr>
          <w:p w14:paraId="36E7FEDC" w14:textId="77777777" w:rsidR="009D4A93" w:rsidRPr="00536CFD" w:rsidRDefault="009D4A93" w:rsidP="009D4A93">
            <w:pPr>
              <w:spacing w:after="0"/>
              <w:jc w:val="center"/>
              <w:rPr>
                <w:lang w:eastAsia="ja-JP"/>
              </w:rPr>
            </w:pPr>
            <w:r w:rsidRPr="00536CFD">
              <w:t>79.15</w:t>
            </w:r>
          </w:p>
        </w:tc>
        <w:tc>
          <w:tcPr>
            <w:tcW w:w="720" w:type="dxa"/>
          </w:tcPr>
          <w:p w14:paraId="7D290207" w14:textId="77777777" w:rsidR="009D4A93" w:rsidRPr="00536CFD" w:rsidRDefault="009D4A93" w:rsidP="009D4A93">
            <w:pPr>
              <w:spacing w:after="0"/>
              <w:jc w:val="center"/>
              <w:rPr>
                <w:lang w:eastAsia="ja-JP"/>
              </w:rPr>
            </w:pPr>
          </w:p>
        </w:tc>
        <w:tc>
          <w:tcPr>
            <w:tcW w:w="724" w:type="dxa"/>
          </w:tcPr>
          <w:p w14:paraId="293FCB05" w14:textId="77777777" w:rsidR="009D4A93" w:rsidRPr="00536CFD" w:rsidRDefault="009D4A93" w:rsidP="009D4A93">
            <w:pPr>
              <w:spacing w:after="0"/>
              <w:jc w:val="center"/>
              <w:rPr>
                <w:lang w:eastAsia="ja-JP"/>
              </w:rPr>
            </w:pPr>
            <w:r w:rsidRPr="00536CFD">
              <w:t>31.05</w:t>
            </w:r>
          </w:p>
        </w:tc>
        <w:tc>
          <w:tcPr>
            <w:tcW w:w="896" w:type="dxa"/>
          </w:tcPr>
          <w:p w14:paraId="0F5C37B1" w14:textId="77777777" w:rsidR="009D4A93" w:rsidRPr="00536CFD" w:rsidRDefault="009D4A93" w:rsidP="009D4A93">
            <w:pPr>
              <w:spacing w:after="0"/>
              <w:jc w:val="center"/>
              <w:rPr>
                <w:lang w:eastAsia="ja-JP"/>
              </w:rPr>
            </w:pPr>
            <w:r w:rsidRPr="00536CFD">
              <w:t>48.27</w:t>
            </w:r>
          </w:p>
        </w:tc>
        <w:tc>
          <w:tcPr>
            <w:tcW w:w="720" w:type="dxa"/>
          </w:tcPr>
          <w:p w14:paraId="5FD12F9B" w14:textId="77777777" w:rsidR="009D4A93" w:rsidRPr="00536CFD" w:rsidRDefault="009D4A93" w:rsidP="009D4A93">
            <w:pPr>
              <w:spacing w:after="0"/>
              <w:jc w:val="center"/>
              <w:rPr>
                <w:lang w:eastAsia="ja-JP"/>
              </w:rPr>
            </w:pPr>
            <w:r w:rsidRPr="00536CFD">
              <w:t>52.77</w:t>
            </w:r>
          </w:p>
        </w:tc>
        <w:tc>
          <w:tcPr>
            <w:tcW w:w="720" w:type="dxa"/>
          </w:tcPr>
          <w:p w14:paraId="771C30E3" w14:textId="77777777" w:rsidR="009D4A93" w:rsidRPr="00536CFD" w:rsidRDefault="009D4A93" w:rsidP="009D4A93">
            <w:pPr>
              <w:spacing w:after="0"/>
              <w:jc w:val="center"/>
              <w:rPr>
                <w:lang w:eastAsia="ja-JP"/>
              </w:rPr>
            </w:pPr>
          </w:p>
        </w:tc>
      </w:tr>
      <w:tr w:rsidR="009D4A93" w:rsidRPr="00536CFD" w14:paraId="2A20369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6F21D80"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16269B3" w14:textId="77777777" w:rsidR="009D4A93" w:rsidRPr="00536CFD" w:rsidRDefault="009D4A93" w:rsidP="009D4A93">
            <w:pPr>
              <w:spacing w:after="0"/>
              <w:jc w:val="center"/>
            </w:pPr>
            <w:r w:rsidRPr="00536CFD">
              <w:t>DL:</w:t>
            </w:r>
          </w:p>
          <w:p w14:paraId="177DECB2" w14:textId="77777777" w:rsidR="009D4A93" w:rsidRPr="00536CFD" w:rsidRDefault="009D4A93" w:rsidP="009D4A93">
            <w:pPr>
              <w:spacing w:after="0"/>
              <w:jc w:val="center"/>
            </w:pPr>
            <w:r w:rsidRPr="00536CFD">
              <w:t>Delay CDF</w:t>
            </w:r>
          </w:p>
          <w:p w14:paraId="54EE150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[s]</w:t>
            </w:r>
          </w:p>
        </w:tc>
        <w:tc>
          <w:tcPr>
            <w:tcW w:w="400" w:type="dxa"/>
            <w:tcBorders>
              <w:top w:val="single" w:sz="4" w:space="0" w:color="auto"/>
              <w:left w:val="nil"/>
              <w:bottom w:val="single" w:sz="4" w:space="0" w:color="auto"/>
              <w:right w:val="single" w:sz="4" w:space="0" w:color="auto"/>
            </w:tcBorders>
            <w:shd w:val="clear" w:color="auto" w:fill="auto"/>
          </w:tcPr>
          <w:p w14:paraId="4CA94F0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1649ED88" w14:textId="77777777" w:rsidR="009D4A93" w:rsidRPr="00536CFD" w:rsidRDefault="009D4A93" w:rsidP="009D4A93">
            <w:pPr>
              <w:spacing w:after="0"/>
              <w:jc w:val="center"/>
              <w:rPr>
                <w:lang w:eastAsia="ja-JP"/>
              </w:rPr>
            </w:pPr>
            <w:r w:rsidRPr="00536CFD">
              <w:t>0.036</w:t>
            </w:r>
          </w:p>
        </w:tc>
        <w:tc>
          <w:tcPr>
            <w:tcW w:w="720" w:type="dxa"/>
          </w:tcPr>
          <w:p w14:paraId="2D2A250B" w14:textId="77777777" w:rsidR="009D4A93" w:rsidRPr="00536CFD" w:rsidRDefault="009D4A93" w:rsidP="009D4A93">
            <w:pPr>
              <w:spacing w:after="0"/>
              <w:jc w:val="center"/>
              <w:rPr>
                <w:lang w:eastAsia="ja-JP"/>
              </w:rPr>
            </w:pPr>
            <w:r w:rsidRPr="00536CFD">
              <w:t>0.033</w:t>
            </w:r>
          </w:p>
        </w:tc>
        <w:tc>
          <w:tcPr>
            <w:tcW w:w="720" w:type="dxa"/>
          </w:tcPr>
          <w:p w14:paraId="44DBD809" w14:textId="77777777" w:rsidR="009D4A93" w:rsidRPr="00536CFD" w:rsidRDefault="009D4A93" w:rsidP="009D4A93">
            <w:pPr>
              <w:spacing w:after="0"/>
              <w:jc w:val="center"/>
              <w:rPr>
                <w:lang w:eastAsia="ja-JP"/>
              </w:rPr>
            </w:pPr>
            <w:r w:rsidRPr="00536CFD">
              <w:t>0.027</w:t>
            </w:r>
          </w:p>
        </w:tc>
        <w:tc>
          <w:tcPr>
            <w:tcW w:w="810" w:type="dxa"/>
          </w:tcPr>
          <w:p w14:paraId="40FB9E39" w14:textId="77777777" w:rsidR="009D4A93" w:rsidRPr="00536CFD" w:rsidRDefault="009D4A93" w:rsidP="009D4A93">
            <w:pPr>
              <w:spacing w:after="0"/>
              <w:jc w:val="center"/>
              <w:rPr>
                <w:lang w:eastAsia="ja-JP"/>
              </w:rPr>
            </w:pPr>
          </w:p>
        </w:tc>
        <w:tc>
          <w:tcPr>
            <w:tcW w:w="810" w:type="dxa"/>
          </w:tcPr>
          <w:p w14:paraId="0FF1B917" w14:textId="77777777" w:rsidR="009D4A93" w:rsidRPr="00536CFD" w:rsidRDefault="009D4A93" w:rsidP="009D4A93">
            <w:pPr>
              <w:spacing w:after="0"/>
              <w:jc w:val="center"/>
              <w:rPr>
                <w:lang w:eastAsia="ja-JP"/>
              </w:rPr>
            </w:pPr>
            <w:r w:rsidRPr="00536CFD">
              <w:t>0.052</w:t>
            </w:r>
          </w:p>
        </w:tc>
        <w:tc>
          <w:tcPr>
            <w:tcW w:w="820" w:type="dxa"/>
          </w:tcPr>
          <w:p w14:paraId="47566CAA" w14:textId="77777777" w:rsidR="009D4A93" w:rsidRPr="00536CFD" w:rsidRDefault="009D4A93" w:rsidP="009D4A93">
            <w:pPr>
              <w:spacing w:after="0"/>
              <w:jc w:val="center"/>
              <w:rPr>
                <w:lang w:eastAsia="ja-JP"/>
              </w:rPr>
            </w:pPr>
            <w:r w:rsidRPr="00536CFD">
              <w:t>0.045</w:t>
            </w:r>
          </w:p>
        </w:tc>
        <w:tc>
          <w:tcPr>
            <w:tcW w:w="800" w:type="dxa"/>
          </w:tcPr>
          <w:p w14:paraId="59939045" w14:textId="77777777" w:rsidR="009D4A93" w:rsidRPr="00536CFD" w:rsidRDefault="009D4A93" w:rsidP="009D4A93">
            <w:pPr>
              <w:spacing w:after="0"/>
              <w:jc w:val="center"/>
              <w:rPr>
                <w:lang w:eastAsia="ja-JP"/>
              </w:rPr>
            </w:pPr>
            <w:r w:rsidRPr="00536CFD">
              <w:t>0.054</w:t>
            </w:r>
          </w:p>
        </w:tc>
        <w:tc>
          <w:tcPr>
            <w:tcW w:w="720" w:type="dxa"/>
          </w:tcPr>
          <w:p w14:paraId="0D129118" w14:textId="77777777" w:rsidR="009D4A93" w:rsidRPr="00536CFD" w:rsidRDefault="009D4A93" w:rsidP="009D4A93">
            <w:pPr>
              <w:spacing w:after="0"/>
              <w:jc w:val="center"/>
              <w:rPr>
                <w:lang w:eastAsia="ja-JP"/>
              </w:rPr>
            </w:pPr>
          </w:p>
        </w:tc>
        <w:tc>
          <w:tcPr>
            <w:tcW w:w="724" w:type="dxa"/>
          </w:tcPr>
          <w:p w14:paraId="1C54FA05" w14:textId="77777777" w:rsidR="009D4A93" w:rsidRPr="00536CFD" w:rsidRDefault="009D4A93" w:rsidP="009D4A93">
            <w:pPr>
              <w:spacing w:after="0"/>
              <w:jc w:val="center"/>
              <w:rPr>
                <w:lang w:eastAsia="ja-JP"/>
              </w:rPr>
            </w:pPr>
            <w:r w:rsidRPr="00536CFD">
              <w:t>0.063</w:t>
            </w:r>
          </w:p>
        </w:tc>
        <w:tc>
          <w:tcPr>
            <w:tcW w:w="896" w:type="dxa"/>
          </w:tcPr>
          <w:p w14:paraId="0308636B" w14:textId="77777777" w:rsidR="009D4A93" w:rsidRPr="00536CFD" w:rsidRDefault="009D4A93" w:rsidP="009D4A93">
            <w:pPr>
              <w:spacing w:after="0"/>
              <w:jc w:val="center"/>
              <w:rPr>
                <w:lang w:eastAsia="ja-JP"/>
              </w:rPr>
            </w:pPr>
            <w:r w:rsidRPr="00536CFD">
              <w:t>0.061</w:t>
            </w:r>
          </w:p>
        </w:tc>
        <w:tc>
          <w:tcPr>
            <w:tcW w:w="720" w:type="dxa"/>
          </w:tcPr>
          <w:p w14:paraId="73DAABED" w14:textId="77777777" w:rsidR="009D4A93" w:rsidRPr="00536CFD" w:rsidRDefault="009D4A93" w:rsidP="009D4A93">
            <w:pPr>
              <w:spacing w:after="0"/>
              <w:jc w:val="center"/>
              <w:rPr>
                <w:lang w:eastAsia="ja-JP"/>
              </w:rPr>
            </w:pPr>
            <w:r w:rsidRPr="00536CFD">
              <w:t>0.129</w:t>
            </w:r>
          </w:p>
        </w:tc>
        <w:tc>
          <w:tcPr>
            <w:tcW w:w="720" w:type="dxa"/>
          </w:tcPr>
          <w:p w14:paraId="27029BD0" w14:textId="77777777" w:rsidR="009D4A93" w:rsidRPr="00536CFD" w:rsidRDefault="009D4A93" w:rsidP="009D4A93">
            <w:pPr>
              <w:spacing w:after="0"/>
              <w:jc w:val="center"/>
              <w:rPr>
                <w:lang w:eastAsia="ja-JP"/>
              </w:rPr>
            </w:pPr>
          </w:p>
        </w:tc>
      </w:tr>
      <w:tr w:rsidR="009D4A93" w:rsidRPr="00536CFD" w14:paraId="18286C4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0DAB890"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1E73C4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EFFA8E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20FFD2EE" w14:textId="77777777" w:rsidR="009D4A93" w:rsidRPr="00536CFD" w:rsidRDefault="009D4A93" w:rsidP="009D4A93">
            <w:pPr>
              <w:spacing w:after="0"/>
              <w:jc w:val="center"/>
              <w:rPr>
                <w:lang w:eastAsia="ja-JP"/>
              </w:rPr>
            </w:pPr>
            <w:r w:rsidRPr="00536CFD">
              <w:t>0.153</w:t>
            </w:r>
          </w:p>
        </w:tc>
        <w:tc>
          <w:tcPr>
            <w:tcW w:w="720" w:type="dxa"/>
          </w:tcPr>
          <w:p w14:paraId="114BB79A" w14:textId="77777777" w:rsidR="009D4A93" w:rsidRPr="00536CFD" w:rsidRDefault="009D4A93" w:rsidP="009D4A93">
            <w:pPr>
              <w:spacing w:after="0"/>
              <w:jc w:val="center"/>
              <w:rPr>
                <w:lang w:eastAsia="ja-JP"/>
              </w:rPr>
            </w:pPr>
            <w:r w:rsidRPr="00536CFD">
              <w:t>0.047</w:t>
            </w:r>
          </w:p>
        </w:tc>
        <w:tc>
          <w:tcPr>
            <w:tcW w:w="720" w:type="dxa"/>
          </w:tcPr>
          <w:p w14:paraId="20CF38D5" w14:textId="77777777" w:rsidR="009D4A93" w:rsidRPr="00536CFD" w:rsidRDefault="009D4A93" w:rsidP="009D4A93">
            <w:pPr>
              <w:spacing w:after="0"/>
              <w:jc w:val="center"/>
              <w:rPr>
                <w:lang w:eastAsia="ja-JP"/>
              </w:rPr>
            </w:pPr>
            <w:r w:rsidRPr="00536CFD">
              <w:t>0.043</w:t>
            </w:r>
          </w:p>
        </w:tc>
        <w:tc>
          <w:tcPr>
            <w:tcW w:w="810" w:type="dxa"/>
          </w:tcPr>
          <w:p w14:paraId="48C40B76" w14:textId="77777777" w:rsidR="009D4A93" w:rsidRPr="00536CFD" w:rsidRDefault="009D4A93" w:rsidP="009D4A93">
            <w:pPr>
              <w:spacing w:after="0"/>
              <w:jc w:val="center"/>
              <w:rPr>
                <w:lang w:eastAsia="ja-JP"/>
              </w:rPr>
            </w:pPr>
          </w:p>
        </w:tc>
        <w:tc>
          <w:tcPr>
            <w:tcW w:w="810" w:type="dxa"/>
          </w:tcPr>
          <w:p w14:paraId="23F87DAB" w14:textId="77777777" w:rsidR="009D4A93" w:rsidRPr="00536CFD" w:rsidRDefault="009D4A93" w:rsidP="009D4A93">
            <w:pPr>
              <w:spacing w:after="0"/>
              <w:jc w:val="center"/>
              <w:rPr>
                <w:lang w:eastAsia="ja-JP"/>
              </w:rPr>
            </w:pPr>
            <w:r w:rsidRPr="00536CFD">
              <w:t>0.592</w:t>
            </w:r>
          </w:p>
        </w:tc>
        <w:tc>
          <w:tcPr>
            <w:tcW w:w="820" w:type="dxa"/>
          </w:tcPr>
          <w:p w14:paraId="0EF9CDC2" w14:textId="77777777" w:rsidR="009D4A93" w:rsidRPr="00536CFD" w:rsidRDefault="009D4A93" w:rsidP="009D4A93">
            <w:pPr>
              <w:spacing w:after="0"/>
              <w:jc w:val="center"/>
              <w:rPr>
                <w:lang w:eastAsia="ja-JP"/>
              </w:rPr>
            </w:pPr>
            <w:r w:rsidRPr="00536CFD">
              <w:t>0.328</w:t>
            </w:r>
          </w:p>
        </w:tc>
        <w:tc>
          <w:tcPr>
            <w:tcW w:w="800" w:type="dxa"/>
          </w:tcPr>
          <w:p w14:paraId="20574DA4" w14:textId="77777777" w:rsidR="009D4A93" w:rsidRPr="00536CFD" w:rsidRDefault="009D4A93" w:rsidP="009D4A93">
            <w:pPr>
              <w:spacing w:after="0"/>
              <w:jc w:val="center"/>
              <w:rPr>
                <w:lang w:eastAsia="ja-JP"/>
              </w:rPr>
            </w:pPr>
            <w:r w:rsidRPr="00536CFD">
              <w:t>0.315</w:t>
            </w:r>
          </w:p>
        </w:tc>
        <w:tc>
          <w:tcPr>
            <w:tcW w:w="720" w:type="dxa"/>
          </w:tcPr>
          <w:p w14:paraId="504A4EF7" w14:textId="77777777" w:rsidR="009D4A93" w:rsidRPr="00536CFD" w:rsidRDefault="009D4A93" w:rsidP="009D4A93">
            <w:pPr>
              <w:spacing w:after="0"/>
              <w:jc w:val="center"/>
              <w:rPr>
                <w:lang w:eastAsia="ja-JP"/>
              </w:rPr>
            </w:pPr>
          </w:p>
        </w:tc>
        <w:tc>
          <w:tcPr>
            <w:tcW w:w="724" w:type="dxa"/>
          </w:tcPr>
          <w:p w14:paraId="4DC43105" w14:textId="77777777" w:rsidR="009D4A93" w:rsidRPr="00536CFD" w:rsidRDefault="009D4A93" w:rsidP="009D4A93">
            <w:pPr>
              <w:spacing w:after="0"/>
              <w:jc w:val="center"/>
              <w:rPr>
                <w:lang w:eastAsia="ja-JP"/>
              </w:rPr>
            </w:pPr>
            <w:r w:rsidRPr="00536CFD">
              <w:t>0.766</w:t>
            </w:r>
          </w:p>
        </w:tc>
        <w:tc>
          <w:tcPr>
            <w:tcW w:w="896" w:type="dxa"/>
          </w:tcPr>
          <w:p w14:paraId="7A997E1B" w14:textId="77777777" w:rsidR="009D4A93" w:rsidRPr="00536CFD" w:rsidRDefault="009D4A93" w:rsidP="009D4A93">
            <w:pPr>
              <w:spacing w:after="0"/>
              <w:jc w:val="center"/>
              <w:rPr>
                <w:lang w:eastAsia="ja-JP"/>
              </w:rPr>
            </w:pPr>
            <w:r w:rsidRPr="00536CFD">
              <w:t>0.674</w:t>
            </w:r>
          </w:p>
        </w:tc>
        <w:tc>
          <w:tcPr>
            <w:tcW w:w="720" w:type="dxa"/>
          </w:tcPr>
          <w:p w14:paraId="6D87C439" w14:textId="77777777" w:rsidR="009D4A93" w:rsidRPr="00536CFD" w:rsidRDefault="009D4A93" w:rsidP="009D4A93">
            <w:pPr>
              <w:spacing w:after="0"/>
              <w:jc w:val="center"/>
              <w:rPr>
                <w:lang w:eastAsia="ja-JP"/>
              </w:rPr>
            </w:pPr>
            <w:r w:rsidRPr="00536CFD">
              <w:t>1.250</w:t>
            </w:r>
          </w:p>
        </w:tc>
        <w:tc>
          <w:tcPr>
            <w:tcW w:w="720" w:type="dxa"/>
          </w:tcPr>
          <w:p w14:paraId="0C7FA6A3" w14:textId="77777777" w:rsidR="009D4A93" w:rsidRPr="00536CFD" w:rsidRDefault="009D4A93" w:rsidP="009D4A93">
            <w:pPr>
              <w:spacing w:after="0"/>
              <w:jc w:val="center"/>
              <w:rPr>
                <w:lang w:eastAsia="ja-JP"/>
              </w:rPr>
            </w:pPr>
          </w:p>
        </w:tc>
      </w:tr>
      <w:tr w:rsidR="009D4A93" w:rsidRPr="00536CFD" w14:paraId="4D88BDA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1CF521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98DE65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3CAA69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1064F866" w14:textId="77777777" w:rsidR="009D4A93" w:rsidRPr="00536CFD" w:rsidRDefault="009D4A93" w:rsidP="009D4A93">
            <w:pPr>
              <w:spacing w:after="0"/>
              <w:jc w:val="center"/>
              <w:rPr>
                <w:lang w:eastAsia="ja-JP"/>
              </w:rPr>
            </w:pPr>
            <w:r w:rsidRPr="00536CFD">
              <w:t>1.330</w:t>
            </w:r>
          </w:p>
        </w:tc>
        <w:tc>
          <w:tcPr>
            <w:tcW w:w="720" w:type="dxa"/>
          </w:tcPr>
          <w:p w14:paraId="0C9A0DDE" w14:textId="77777777" w:rsidR="009D4A93" w:rsidRPr="00536CFD" w:rsidRDefault="009D4A93" w:rsidP="009D4A93">
            <w:pPr>
              <w:spacing w:after="0"/>
              <w:jc w:val="center"/>
              <w:rPr>
                <w:lang w:eastAsia="ja-JP"/>
              </w:rPr>
            </w:pPr>
            <w:r w:rsidRPr="00536CFD">
              <w:t>0.133</w:t>
            </w:r>
          </w:p>
        </w:tc>
        <w:tc>
          <w:tcPr>
            <w:tcW w:w="720" w:type="dxa"/>
          </w:tcPr>
          <w:p w14:paraId="0D12A297" w14:textId="77777777" w:rsidR="009D4A93" w:rsidRPr="00536CFD" w:rsidRDefault="009D4A93" w:rsidP="009D4A93">
            <w:pPr>
              <w:spacing w:after="0"/>
              <w:jc w:val="center"/>
              <w:rPr>
                <w:lang w:eastAsia="ja-JP"/>
              </w:rPr>
            </w:pPr>
            <w:r w:rsidRPr="00536CFD">
              <w:t>0.144</w:t>
            </w:r>
          </w:p>
        </w:tc>
        <w:tc>
          <w:tcPr>
            <w:tcW w:w="810" w:type="dxa"/>
          </w:tcPr>
          <w:p w14:paraId="1EF44363" w14:textId="77777777" w:rsidR="009D4A93" w:rsidRPr="00536CFD" w:rsidRDefault="009D4A93" w:rsidP="009D4A93">
            <w:pPr>
              <w:spacing w:after="0"/>
              <w:jc w:val="center"/>
              <w:rPr>
                <w:lang w:eastAsia="ja-JP"/>
              </w:rPr>
            </w:pPr>
          </w:p>
        </w:tc>
        <w:tc>
          <w:tcPr>
            <w:tcW w:w="810" w:type="dxa"/>
          </w:tcPr>
          <w:p w14:paraId="1BCA0036" w14:textId="77777777" w:rsidR="009D4A93" w:rsidRPr="00536CFD" w:rsidRDefault="009D4A93" w:rsidP="009D4A93">
            <w:pPr>
              <w:spacing w:after="0"/>
              <w:jc w:val="center"/>
              <w:rPr>
                <w:lang w:eastAsia="ja-JP"/>
              </w:rPr>
            </w:pPr>
            <w:r w:rsidRPr="00536CFD">
              <w:t>5.923</w:t>
            </w:r>
          </w:p>
        </w:tc>
        <w:tc>
          <w:tcPr>
            <w:tcW w:w="820" w:type="dxa"/>
          </w:tcPr>
          <w:p w14:paraId="2F76E9E4" w14:textId="77777777" w:rsidR="009D4A93" w:rsidRPr="00536CFD" w:rsidRDefault="009D4A93" w:rsidP="009D4A93">
            <w:pPr>
              <w:spacing w:after="0"/>
              <w:jc w:val="center"/>
              <w:rPr>
                <w:lang w:eastAsia="ja-JP"/>
              </w:rPr>
            </w:pPr>
            <w:r w:rsidRPr="00536CFD">
              <w:t>1.644</w:t>
            </w:r>
          </w:p>
        </w:tc>
        <w:tc>
          <w:tcPr>
            <w:tcW w:w="800" w:type="dxa"/>
          </w:tcPr>
          <w:p w14:paraId="7FF7943C" w14:textId="77777777" w:rsidR="009D4A93" w:rsidRPr="00536CFD" w:rsidRDefault="009D4A93" w:rsidP="009D4A93">
            <w:pPr>
              <w:spacing w:after="0"/>
              <w:jc w:val="center"/>
              <w:rPr>
                <w:lang w:eastAsia="ja-JP"/>
              </w:rPr>
            </w:pPr>
            <w:r w:rsidRPr="00536CFD">
              <w:t>1.620</w:t>
            </w:r>
          </w:p>
        </w:tc>
        <w:tc>
          <w:tcPr>
            <w:tcW w:w="720" w:type="dxa"/>
          </w:tcPr>
          <w:p w14:paraId="57FEBBC7" w14:textId="77777777" w:rsidR="009D4A93" w:rsidRPr="00536CFD" w:rsidRDefault="009D4A93" w:rsidP="009D4A93">
            <w:pPr>
              <w:spacing w:after="0"/>
              <w:jc w:val="center"/>
              <w:rPr>
                <w:lang w:eastAsia="ja-JP"/>
              </w:rPr>
            </w:pPr>
          </w:p>
        </w:tc>
        <w:tc>
          <w:tcPr>
            <w:tcW w:w="724" w:type="dxa"/>
          </w:tcPr>
          <w:p w14:paraId="6276B667" w14:textId="77777777" w:rsidR="009D4A93" w:rsidRPr="00536CFD" w:rsidRDefault="009D4A93" w:rsidP="009D4A93">
            <w:pPr>
              <w:spacing w:after="0"/>
              <w:jc w:val="center"/>
              <w:rPr>
                <w:lang w:eastAsia="ja-JP"/>
              </w:rPr>
            </w:pPr>
            <w:r w:rsidRPr="00536CFD">
              <w:t>7.578</w:t>
            </w:r>
          </w:p>
        </w:tc>
        <w:tc>
          <w:tcPr>
            <w:tcW w:w="896" w:type="dxa"/>
          </w:tcPr>
          <w:p w14:paraId="7F4089F2" w14:textId="77777777" w:rsidR="009D4A93" w:rsidRPr="00536CFD" w:rsidRDefault="009D4A93" w:rsidP="009D4A93">
            <w:pPr>
              <w:spacing w:after="0"/>
              <w:jc w:val="center"/>
              <w:rPr>
                <w:lang w:eastAsia="ja-JP"/>
              </w:rPr>
            </w:pPr>
            <w:r w:rsidRPr="00536CFD">
              <w:t>4.717</w:t>
            </w:r>
          </w:p>
        </w:tc>
        <w:tc>
          <w:tcPr>
            <w:tcW w:w="720" w:type="dxa"/>
          </w:tcPr>
          <w:p w14:paraId="69F904C5" w14:textId="77777777" w:rsidR="009D4A93" w:rsidRPr="00536CFD" w:rsidRDefault="009D4A93" w:rsidP="009D4A93">
            <w:pPr>
              <w:spacing w:after="0"/>
              <w:jc w:val="center"/>
              <w:rPr>
                <w:lang w:eastAsia="ja-JP"/>
              </w:rPr>
            </w:pPr>
            <w:r w:rsidRPr="00536CFD">
              <w:t>5.346</w:t>
            </w:r>
          </w:p>
        </w:tc>
        <w:tc>
          <w:tcPr>
            <w:tcW w:w="720" w:type="dxa"/>
          </w:tcPr>
          <w:p w14:paraId="1138DD26" w14:textId="77777777" w:rsidR="009D4A93" w:rsidRPr="00536CFD" w:rsidRDefault="009D4A93" w:rsidP="009D4A93">
            <w:pPr>
              <w:spacing w:after="0"/>
              <w:jc w:val="center"/>
              <w:rPr>
                <w:lang w:eastAsia="ja-JP"/>
              </w:rPr>
            </w:pPr>
          </w:p>
        </w:tc>
      </w:tr>
      <w:tr w:rsidR="009D4A93" w:rsidRPr="00536CFD" w14:paraId="25484C2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1E0175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CEB56F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B751C9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66D6061F" w14:textId="77777777" w:rsidR="009D4A93" w:rsidRPr="00536CFD" w:rsidRDefault="009D4A93" w:rsidP="009D4A93">
            <w:pPr>
              <w:spacing w:after="0"/>
              <w:jc w:val="center"/>
              <w:rPr>
                <w:lang w:eastAsia="ja-JP"/>
              </w:rPr>
            </w:pPr>
            <w:r w:rsidRPr="00536CFD">
              <w:t>0.447</w:t>
            </w:r>
          </w:p>
        </w:tc>
        <w:tc>
          <w:tcPr>
            <w:tcW w:w="720" w:type="dxa"/>
          </w:tcPr>
          <w:p w14:paraId="3BB5C17B" w14:textId="77777777" w:rsidR="009D4A93" w:rsidRPr="00536CFD" w:rsidRDefault="009D4A93" w:rsidP="009D4A93">
            <w:pPr>
              <w:spacing w:after="0"/>
              <w:jc w:val="center"/>
              <w:rPr>
                <w:lang w:eastAsia="ja-JP"/>
              </w:rPr>
            </w:pPr>
            <w:r w:rsidRPr="00536CFD">
              <w:t>0.071</w:t>
            </w:r>
          </w:p>
        </w:tc>
        <w:tc>
          <w:tcPr>
            <w:tcW w:w="720" w:type="dxa"/>
          </w:tcPr>
          <w:p w14:paraId="46CC6CF1" w14:textId="77777777" w:rsidR="009D4A93" w:rsidRPr="00536CFD" w:rsidRDefault="009D4A93" w:rsidP="009D4A93">
            <w:pPr>
              <w:spacing w:after="0"/>
              <w:jc w:val="center"/>
              <w:rPr>
                <w:lang w:eastAsia="ja-JP"/>
              </w:rPr>
            </w:pPr>
            <w:r w:rsidRPr="00536CFD">
              <w:t>0.069</w:t>
            </w:r>
          </w:p>
        </w:tc>
        <w:tc>
          <w:tcPr>
            <w:tcW w:w="810" w:type="dxa"/>
          </w:tcPr>
          <w:p w14:paraId="2B7C2A8D" w14:textId="77777777" w:rsidR="009D4A93" w:rsidRPr="00536CFD" w:rsidRDefault="009D4A93" w:rsidP="009D4A93">
            <w:pPr>
              <w:spacing w:after="0"/>
              <w:jc w:val="center"/>
              <w:rPr>
                <w:lang w:eastAsia="ja-JP"/>
              </w:rPr>
            </w:pPr>
          </w:p>
        </w:tc>
        <w:tc>
          <w:tcPr>
            <w:tcW w:w="810" w:type="dxa"/>
          </w:tcPr>
          <w:p w14:paraId="55792442" w14:textId="77777777" w:rsidR="009D4A93" w:rsidRPr="00536CFD" w:rsidRDefault="009D4A93" w:rsidP="009D4A93">
            <w:pPr>
              <w:spacing w:after="0"/>
              <w:jc w:val="center"/>
              <w:rPr>
                <w:lang w:eastAsia="ja-JP"/>
              </w:rPr>
            </w:pPr>
            <w:r w:rsidRPr="00536CFD">
              <w:t>1.865</w:t>
            </w:r>
          </w:p>
        </w:tc>
        <w:tc>
          <w:tcPr>
            <w:tcW w:w="820" w:type="dxa"/>
          </w:tcPr>
          <w:p w14:paraId="2370EB4B" w14:textId="77777777" w:rsidR="009D4A93" w:rsidRPr="00536CFD" w:rsidRDefault="009D4A93" w:rsidP="009D4A93">
            <w:pPr>
              <w:spacing w:after="0"/>
              <w:jc w:val="center"/>
              <w:rPr>
                <w:lang w:eastAsia="ja-JP"/>
              </w:rPr>
            </w:pPr>
            <w:r w:rsidRPr="00536CFD">
              <w:t>0.611</w:t>
            </w:r>
          </w:p>
        </w:tc>
        <w:tc>
          <w:tcPr>
            <w:tcW w:w="800" w:type="dxa"/>
          </w:tcPr>
          <w:p w14:paraId="3DFF64A1" w14:textId="77777777" w:rsidR="009D4A93" w:rsidRPr="00536CFD" w:rsidRDefault="009D4A93" w:rsidP="009D4A93">
            <w:pPr>
              <w:spacing w:after="0"/>
              <w:jc w:val="center"/>
              <w:rPr>
                <w:lang w:eastAsia="ja-JP"/>
              </w:rPr>
            </w:pPr>
            <w:r w:rsidRPr="00536CFD">
              <w:t>0.667</w:t>
            </w:r>
          </w:p>
        </w:tc>
        <w:tc>
          <w:tcPr>
            <w:tcW w:w="720" w:type="dxa"/>
          </w:tcPr>
          <w:p w14:paraId="09C439CD" w14:textId="77777777" w:rsidR="009D4A93" w:rsidRPr="00536CFD" w:rsidRDefault="009D4A93" w:rsidP="009D4A93">
            <w:pPr>
              <w:spacing w:after="0"/>
              <w:jc w:val="center"/>
              <w:rPr>
                <w:lang w:eastAsia="ja-JP"/>
              </w:rPr>
            </w:pPr>
          </w:p>
        </w:tc>
        <w:tc>
          <w:tcPr>
            <w:tcW w:w="724" w:type="dxa"/>
          </w:tcPr>
          <w:p w14:paraId="47EA219F" w14:textId="77777777" w:rsidR="009D4A93" w:rsidRPr="00536CFD" w:rsidRDefault="009D4A93" w:rsidP="009D4A93">
            <w:pPr>
              <w:spacing w:after="0"/>
              <w:jc w:val="center"/>
              <w:rPr>
                <w:lang w:eastAsia="ja-JP"/>
              </w:rPr>
            </w:pPr>
            <w:r w:rsidRPr="00536CFD">
              <w:t>2.534</w:t>
            </w:r>
          </w:p>
        </w:tc>
        <w:tc>
          <w:tcPr>
            <w:tcW w:w="896" w:type="dxa"/>
          </w:tcPr>
          <w:p w14:paraId="7C18BAC8" w14:textId="77777777" w:rsidR="009D4A93" w:rsidRPr="00536CFD" w:rsidRDefault="009D4A93" w:rsidP="009D4A93">
            <w:pPr>
              <w:spacing w:after="0"/>
              <w:jc w:val="center"/>
              <w:rPr>
                <w:lang w:eastAsia="ja-JP"/>
              </w:rPr>
            </w:pPr>
            <w:r w:rsidRPr="00536CFD">
              <w:t>1.694</w:t>
            </w:r>
          </w:p>
        </w:tc>
        <w:tc>
          <w:tcPr>
            <w:tcW w:w="720" w:type="dxa"/>
          </w:tcPr>
          <w:p w14:paraId="5BC28BAE" w14:textId="77777777" w:rsidR="009D4A93" w:rsidRPr="00536CFD" w:rsidRDefault="009D4A93" w:rsidP="009D4A93">
            <w:pPr>
              <w:spacing w:after="0"/>
              <w:jc w:val="center"/>
              <w:rPr>
                <w:lang w:eastAsia="ja-JP"/>
              </w:rPr>
            </w:pPr>
            <w:r w:rsidRPr="00536CFD">
              <w:t>2.280</w:t>
            </w:r>
          </w:p>
        </w:tc>
        <w:tc>
          <w:tcPr>
            <w:tcW w:w="720" w:type="dxa"/>
          </w:tcPr>
          <w:p w14:paraId="51758A52" w14:textId="77777777" w:rsidR="009D4A93" w:rsidRPr="00536CFD" w:rsidRDefault="009D4A93" w:rsidP="009D4A93">
            <w:pPr>
              <w:spacing w:after="0"/>
              <w:jc w:val="center"/>
              <w:rPr>
                <w:lang w:eastAsia="ja-JP"/>
              </w:rPr>
            </w:pPr>
          </w:p>
        </w:tc>
      </w:tr>
      <w:tr w:rsidR="009D4A93" w:rsidRPr="00536CFD" w14:paraId="29BD4F7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19E17E8"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090811C6" w14:textId="77777777" w:rsidR="009D4A93" w:rsidRPr="00536CFD" w:rsidRDefault="009D4A93" w:rsidP="009D4A93">
            <w:pPr>
              <w:spacing w:after="0"/>
              <w:jc w:val="center"/>
            </w:pPr>
            <w:r w:rsidRPr="00536CFD">
              <w:t>UL:</w:t>
            </w:r>
          </w:p>
          <w:p w14:paraId="159EA163" w14:textId="77777777" w:rsidR="009D4A93" w:rsidRPr="00536CFD" w:rsidRDefault="009D4A93" w:rsidP="009D4A93">
            <w:pPr>
              <w:spacing w:after="0"/>
              <w:jc w:val="center"/>
            </w:pPr>
            <w:r w:rsidRPr="00536CFD">
              <w:t>UPT CDF</w:t>
            </w:r>
          </w:p>
          <w:p w14:paraId="01A21F3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[Mbps]</w:t>
            </w:r>
          </w:p>
        </w:tc>
        <w:tc>
          <w:tcPr>
            <w:tcW w:w="400" w:type="dxa"/>
            <w:tcBorders>
              <w:top w:val="single" w:sz="4" w:space="0" w:color="auto"/>
              <w:left w:val="nil"/>
              <w:bottom w:val="single" w:sz="4" w:space="0" w:color="auto"/>
              <w:right w:val="single" w:sz="4" w:space="0" w:color="auto"/>
            </w:tcBorders>
            <w:shd w:val="clear" w:color="auto" w:fill="auto"/>
          </w:tcPr>
          <w:p w14:paraId="439563E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5526F268" w14:textId="77777777" w:rsidR="009D4A93" w:rsidRPr="00536CFD" w:rsidRDefault="009D4A93" w:rsidP="009D4A93">
            <w:pPr>
              <w:spacing w:after="0"/>
              <w:jc w:val="center"/>
              <w:rPr>
                <w:lang w:eastAsia="ja-JP"/>
              </w:rPr>
            </w:pPr>
            <w:r w:rsidRPr="00536CFD">
              <w:t>37.38</w:t>
            </w:r>
          </w:p>
        </w:tc>
        <w:tc>
          <w:tcPr>
            <w:tcW w:w="720" w:type="dxa"/>
          </w:tcPr>
          <w:p w14:paraId="522E6263" w14:textId="77777777" w:rsidR="009D4A93" w:rsidRPr="00536CFD" w:rsidRDefault="009D4A93" w:rsidP="009D4A93">
            <w:pPr>
              <w:spacing w:after="0"/>
              <w:jc w:val="center"/>
              <w:rPr>
                <w:lang w:eastAsia="ja-JP"/>
              </w:rPr>
            </w:pPr>
            <w:r w:rsidRPr="00536CFD">
              <w:t>37.22</w:t>
            </w:r>
          </w:p>
        </w:tc>
        <w:tc>
          <w:tcPr>
            <w:tcW w:w="720" w:type="dxa"/>
          </w:tcPr>
          <w:p w14:paraId="58814B4D" w14:textId="77777777" w:rsidR="009D4A93" w:rsidRPr="00536CFD" w:rsidRDefault="009D4A93" w:rsidP="009D4A93">
            <w:pPr>
              <w:spacing w:after="0"/>
              <w:jc w:val="center"/>
              <w:rPr>
                <w:lang w:eastAsia="ja-JP"/>
              </w:rPr>
            </w:pPr>
            <w:r w:rsidRPr="00536CFD">
              <w:t>38.36</w:t>
            </w:r>
          </w:p>
        </w:tc>
        <w:tc>
          <w:tcPr>
            <w:tcW w:w="810" w:type="dxa"/>
          </w:tcPr>
          <w:p w14:paraId="7332B2EB" w14:textId="77777777" w:rsidR="009D4A93" w:rsidRPr="00536CFD" w:rsidRDefault="009D4A93" w:rsidP="009D4A93">
            <w:pPr>
              <w:spacing w:after="0"/>
              <w:jc w:val="center"/>
              <w:rPr>
                <w:lang w:eastAsia="ja-JP"/>
              </w:rPr>
            </w:pPr>
          </w:p>
        </w:tc>
        <w:tc>
          <w:tcPr>
            <w:tcW w:w="810" w:type="dxa"/>
          </w:tcPr>
          <w:p w14:paraId="7B06DB6D" w14:textId="77777777" w:rsidR="009D4A93" w:rsidRPr="00536CFD" w:rsidRDefault="009D4A93" w:rsidP="009D4A93">
            <w:pPr>
              <w:spacing w:after="0"/>
              <w:jc w:val="center"/>
              <w:rPr>
                <w:lang w:eastAsia="ja-JP"/>
              </w:rPr>
            </w:pPr>
            <w:r w:rsidRPr="00536CFD">
              <w:t>20.29</w:t>
            </w:r>
          </w:p>
        </w:tc>
        <w:tc>
          <w:tcPr>
            <w:tcW w:w="820" w:type="dxa"/>
          </w:tcPr>
          <w:p w14:paraId="511CE0C1" w14:textId="77777777" w:rsidR="009D4A93" w:rsidRPr="00536CFD" w:rsidRDefault="009D4A93" w:rsidP="009D4A93">
            <w:pPr>
              <w:spacing w:after="0"/>
              <w:jc w:val="center"/>
              <w:rPr>
                <w:lang w:eastAsia="ja-JP"/>
              </w:rPr>
            </w:pPr>
            <w:r w:rsidRPr="00536CFD">
              <w:t>29.29</w:t>
            </w:r>
          </w:p>
        </w:tc>
        <w:tc>
          <w:tcPr>
            <w:tcW w:w="800" w:type="dxa"/>
          </w:tcPr>
          <w:p w14:paraId="5BE72534" w14:textId="77777777" w:rsidR="009D4A93" w:rsidRPr="00536CFD" w:rsidRDefault="009D4A93" w:rsidP="009D4A93">
            <w:pPr>
              <w:spacing w:after="0"/>
              <w:jc w:val="center"/>
              <w:rPr>
                <w:lang w:eastAsia="ja-JP"/>
              </w:rPr>
            </w:pPr>
            <w:r w:rsidRPr="00536CFD">
              <w:t>28.78</w:t>
            </w:r>
          </w:p>
        </w:tc>
        <w:tc>
          <w:tcPr>
            <w:tcW w:w="720" w:type="dxa"/>
          </w:tcPr>
          <w:p w14:paraId="4D8B149B" w14:textId="77777777" w:rsidR="009D4A93" w:rsidRPr="00536CFD" w:rsidRDefault="009D4A93" w:rsidP="009D4A93">
            <w:pPr>
              <w:spacing w:after="0"/>
              <w:jc w:val="center"/>
              <w:rPr>
                <w:lang w:eastAsia="ja-JP"/>
              </w:rPr>
            </w:pPr>
          </w:p>
        </w:tc>
        <w:tc>
          <w:tcPr>
            <w:tcW w:w="724" w:type="dxa"/>
          </w:tcPr>
          <w:p w14:paraId="6BA25A8B" w14:textId="77777777" w:rsidR="009D4A93" w:rsidRPr="00536CFD" w:rsidRDefault="009D4A93" w:rsidP="009D4A93">
            <w:pPr>
              <w:spacing w:after="0"/>
              <w:jc w:val="center"/>
              <w:rPr>
                <w:lang w:eastAsia="ja-JP"/>
              </w:rPr>
            </w:pPr>
            <w:r w:rsidRPr="00536CFD">
              <w:t>8.04</w:t>
            </w:r>
          </w:p>
        </w:tc>
        <w:tc>
          <w:tcPr>
            <w:tcW w:w="896" w:type="dxa"/>
          </w:tcPr>
          <w:p w14:paraId="4E787756" w14:textId="77777777" w:rsidR="009D4A93" w:rsidRPr="00536CFD" w:rsidRDefault="009D4A93" w:rsidP="009D4A93">
            <w:pPr>
              <w:spacing w:after="0"/>
              <w:jc w:val="center"/>
              <w:rPr>
                <w:lang w:eastAsia="ja-JP"/>
              </w:rPr>
            </w:pPr>
            <w:r w:rsidRPr="00536CFD">
              <w:t>17.35</w:t>
            </w:r>
          </w:p>
        </w:tc>
        <w:tc>
          <w:tcPr>
            <w:tcW w:w="720" w:type="dxa"/>
          </w:tcPr>
          <w:p w14:paraId="7E870D5B" w14:textId="77777777" w:rsidR="009D4A93" w:rsidRPr="00536CFD" w:rsidRDefault="009D4A93" w:rsidP="009D4A93">
            <w:pPr>
              <w:spacing w:after="0"/>
              <w:jc w:val="center"/>
              <w:rPr>
                <w:lang w:eastAsia="ja-JP"/>
              </w:rPr>
            </w:pPr>
            <w:r w:rsidRPr="00536CFD">
              <w:t>15.39</w:t>
            </w:r>
          </w:p>
        </w:tc>
        <w:tc>
          <w:tcPr>
            <w:tcW w:w="720" w:type="dxa"/>
          </w:tcPr>
          <w:p w14:paraId="1E186A93" w14:textId="77777777" w:rsidR="009D4A93" w:rsidRPr="00536CFD" w:rsidRDefault="009D4A93" w:rsidP="009D4A93">
            <w:pPr>
              <w:spacing w:after="0"/>
              <w:jc w:val="center"/>
              <w:rPr>
                <w:lang w:eastAsia="ja-JP"/>
              </w:rPr>
            </w:pPr>
          </w:p>
        </w:tc>
      </w:tr>
      <w:tr w:rsidR="009D4A93" w:rsidRPr="00536CFD" w14:paraId="3B0EC7B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E9E355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6710B6A"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9CFE64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67C22CE6" w14:textId="77777777" w:rsidR="009D4A93" w:rsidRPr="00536CFD" w:rsidRDefault="009D4A93" w:rsidP="009D4A93">
            <w:pPr>
              <w:spacing w:after="0"/>
              <w:jc w:val="center"/>
              <w:rPr>
                <w:lang w:eastAsia="ja-JP"/>
              </w:rPr>
            </w:pPr>
            <w:r w:rsidRPr="00536CFD">
              <w:t>79.95</w:t>
            </w:r>
          </w:p>
        </w:tc>
        <w:tc>
          <w:tcPr>
            <w:tcW w:w="720" w:type="dxa"/>
          </w:tcPr>
          <w:p w14:paraId="1F415E1B" w14:textId="77777777" w:rsidR="009D4A93" w:rsidRPr="00536CFD" w:rsidRDefault="009D4A93" w:rsidP="009D4A93">
            <w:pPr>
              <w:spacing w:after="0"/>
              <w:jc w:val="center"/>
              <w:rPr>
                <w:lang w:eastAsia="ja-JP"/>
              </w:rPr>
            </w:pPr>
            <w:r w:rsidRPr="00536CFD">
              <w:t>82.84</w:t>
            </w:r>
          </w:p>
        </w:tc>
        <w:tc>
          <w:tcPr>
            <w:tcW w:w="720" w:type="dxa"/>
          </w:tcPr>
          <w:p w14:paraId="29C3F086" w14:textId="77777777" w:rsidR="009D4A93" w:rsidRPr="00536CFD" w:rsidRDefault="009D4A93" w:rsidP="009D4A93">
            <w:pPr>
              <w:spacing w:after="0"/>
              <w:jc w:val="center"/>
              <w:rPr>
                <w:lang w:eastAsia="ja-JP"/>
              </w:rPr>
            </w:pPr>
            <w:r w:rsidRPr="00536CFD">
              <w:t>79.06</w:t>
            </w:r>
          </w:p>
        </w:tc>
        <w:tc>
          <w:tcPr>
            <w:tcW w:w="810" w:type="dxa"/>
          </w:tcPr>
          <w:p w14:paraId="5CEF1FCB" w14:textId="77777777" w:rsidR="009D4A93" w:rsidRPr="00536CFD" w:rsidRDefault="009D4A93" w:rsidP="009D4A93">
            <w:pPr>
              <w:spacing w:after="0"/>
              <w:jc w:val="center"/>
              <w:rPr>
                <w:lang w:eastAsia="ja-JP"/>
              </w:rPr>
            </w:pPr>
          </w:p>
        </w:tc>
        <w:tc>
          <w:tcPr>
            <w:tcW w:w="810" w:type="dxa"/>
          </w:tcPr>
          <w:p w14:paraId="5CA383CA" w14:textId="77777777" w:rsidR="009D4A93" w:rsidRPr="00536CFD" w:rsidRDefault="009D4A93" w:rsidP="009D4A93">
            <w:pPr>
              <w:spacing w:after="0"/>
              <w:jc w:val="center"/>
              <w:rPr>
                <w:lang w:eastAsia="ja-JP"/>
              </w:rPr>
            </w:pPr>
            <w:r w:rsidRPr="00536CFD">
              <w:t>48.77</w:t>
            </w:r>
          </w:p>
        </w:tc>
        <w:tc>
          <w:tcPr>
            <w:tcW w:w="820" w:type="dxa"/>
          </w:tcPr>
          <w:p w14:paraId="0803BC72" w14:textId="77777777" w:rsidR="009D4A93" w:rsidRPr="00536CFD" w:rsidRDefault="009D4A93" w:rsidP="009D4A93">
            <w:pPr>
              <w:spacing w:after="0"/>
              <w:jc w:val="center"/>
              <w:rPr>
                <w:lang w:eastAsia="ja-JP"/>
              </w:rPr>
            </w:pPr>
            <w:r w:rsidRPr="00536CFD">
              <w:t>64.94</w:t>
            </w:r>
          </w:p>
        </w:tc>
        <w:tc>
          <w:tcPr>
            <w:tcW w:w="800" w:type="dxa"/>
          </w:tcPr>
          <w:p w14:paraId="12610FA6" w14:textId="77777777" w:rsidR="009D4A93" w:rsidRPr="00536CFD" w:rsidRDefault="009D4A93" w:rsidP="009D4A93">
            <w:pPr>
              <w:spacing w:after="0"/>
              <w:jc w:val="center"/>
              <w:rPr>
                <w:lang w:eastAsia="ja-JP"/>
              </w:rPr>
            </w:pPr>
            <w:r w:rsidRPr="00536CFD">
              <w:t>59.72</w:t>
            </w:r>
          </w:p>
        </w:tc>
        <w:tc>
          <w:tcPr>
            <w:tcW w:w="720" w:type="dxa"/>
          </w:tcPr>
          <w:p w14:paraId="30A2098E" w14:textId="77777777" w:rsidR="009D4A93" w:rsidRPr="00536CFD" w:rsidRDefault="009D4A93" w:rsidP="009D4A93">
            <w:pPr>
              <w:spacing w:after="0"/>
              <w:jc w:val="center"/>
              <w:rPr>
                <w:lang w:eastAsia="ja-JP"/>
              </w:rPr>
            </w:pPr>
          </w:p>
        </w:tc>
        <w:tc>
          <w:tcPr>
            <w:tcW w:w="724" w:type="dxa"/>
          </w:tcPr>
          <w:p w14:paraId="5355538B" w14:textId="77777777" w:rsidR="009D4A93" w:rsidRPr="00536CFD" w:rsidRDefault="009D4A93" w:rsidP="009D4A93">
            <w:pPr>
              <w:spacing w:after="0"/>
              <w:jc w:val="center"/>
              <w:rPr>
                <w:lang w:eastAsia="ja-JP"/>
              </w:rPr>
            </w:pPr>
            <w:r w:rsidRPr="00536CFD">
              <w:t>24.69</w:t>
            </w:r>
          </w:p>
        </w:tc>
        <w:tc>
          <w:tcPr>
            <w:tcW w:w="896" w:type="dxa"/>
          </w:tcPr>
          <w:p w14:paraId="0B72D5DD" w14:textId="77777777" w:rsidR="009D4A93" w:rsidRPr="00536CFD" w:rsidRDefault="009D4A93" w:rsidP="009D4A93">
            <w:pPr>
              <w:spacing w:after="0"/>
              <w:jc w:val="center"/>
              <w:rPr>
                <w:lang w:eastAsia="ja-JP"/>
              </w:rPr>
            </w:pPr>
            <w:r w:rsidRPr="00536CFD">
              <w:t>41.37</w:t>
            </w:r>
          </w:p>
        </w:tc>
        <w:tc>
          <w:tcPr>
            <w:tcW w:w="720" w:type="dxa"/>
          </w:tcPr>
          <w:p w14:paraId="4F833502" w14:textId="77777777" w:rsidR="009D4A93" w:rsidRPr="00536CFD" w:rsidRDefault="009D4A93" w:rsidP="009D4A93">
            <w:pPr>
              <w:spacing w:after="0"/>
              <w:jc w:val="center"/>
              <w:rPr>
                <w:lang w:eastAsia="ja-JP"/>
              </w:rPr>
            </w:pPr>
            <w:r w:rsidRPr="00536CFD">
              <w:t>36.21</w:t>
            </w:r>
          </w:p>
        </w:tc>
        <w:tc>
          <w:tcPr>
            <w:tcW w:w="720" w:type="dxa"/>
          </w:tcPr>
          <w:p w14:paraId="779570A1" w14:textId="77777777" w:rsidR="009D4A93" w:rsidRPr="00536CFD" w:rsidRDefault="009D4A93" w:rsidP="009D4A93">
            <w:pPr>
              <w:spacing w:after="0"/>
              <w:jc w:val="center"/>
              <w:rPr>
                <w:lang w:eastAsia="ja-JP"/>
              </w:rPr>
            </w:pPr>
          </w:p>
        </w:tc>
      </w:tr>
      <w:tr w:rsidR="009D4A93" w:rsidRPr="00536CFD" w14:paraId="756BA7C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10FF79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C9951D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0E5689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3BEB4220" w14:textId="77777777" w:rsidR="009D4A93" w:rsidRPr="00536CFD" w:rsidRDefault="009D4A93" w:rsidP="009D4A93">
            <w:pPr>
              <w:spacing w:after="0"/>
              <w:jc w:val="center"/>
              <w:rPr>
                <w:lang w:eastAsia="ja-JP"/>
              </w:rPr>
            </w:pPr>
            <w:r w:rsidRPr="00536CFD">
              <w:t>98.55</w:t>
            </w:r>
          </w:p>
        </w:tc>
        <w:tc>
          <w:tcPr>
            <w:tcW w:w="720" w:type="dxa"/>
          </w:tcPr>
          <w:p w14:paraId="4B549F77" w14:textId="77777777" w:rsidR="009D4A93" w:rsidRPr="00536CFD" w:rsidRDefault="009D4A93" w:rsidP="009D4A93">
            <w:pPr>
              <w:spacing w:after="0"/>
              <w:jc w:val="center"/>
              <w:rPr>
                <w:lang w:eastAsia="ja-JP"/>
              </w:rPr>
            </w:pPr>
            <w:r w:rsidRPr="00536CFD">
              <w:t>104.38</w:t>
            </w:r>
          </w:p>
        </w:tc>
        <w:tc>
          <w:tcPr>
            <w:tcW w:w="720" w:type="dxa"/>
          </w:tcPr>
          <w:p w14:paraId="087669E8" w14:textId="77777777" w:rsidR="009D4A93" w:rsidRPr="00536CFD" w:rsidRDefault="009D4A93" w:rsidP="009D4A93">
            <w:pPr>
              <w:spacing w:after="0"/>
              <w:jc w:val="center"/>
              <w:rPr>
                <w:lang w:eastAsia="ja-JP"/>
              </w:rPr>
            </w:pPr>
            <w:r w:rsidRPr="00536CFD">
              <w:t>97.12</w:t>
            </w:r>
          </w:p>
        </w:tc>
        <w:tc>
          <w:tcPr>
            <w:tcW w:w="810" w:type="dxa"/>
          </w:tcPr>
          <w:p w14:paraId="41C99C4F" w14:textId="77777777" w:rsidR="009D4A93" w:rsidRPr="00536CFD" w:rsidRDefault="009D4A93" w:rsidP="009D4A93">
            <w:pPr>
              <w:spacing w:after="0"/>
              <w:jc w:val="center"/>
              <w:rPr>
                <w:lang w:eastAsia="ja-JP"/>
              </w:rPr>
            </w:pPr>
          </w:p>
        </w:tc>
        <w:tc>
          <w:tcPr>
            <w:tcW w:w="810" w:type="dxa"/>
          </w:tcPr>
          <w:p w14:paraId="6E7E50EC" w14:textId="77777777" w:rsidR="009D4A93" w:rsidRPr="00536CFD" w:rsidRDefault="009D4A93" w:rsidP="009D4A93">
            <w:pPr>
              <w:spacing w:after="0"/>
              <w:jc w:val="center"/>
              <w:rPr>
                <w:lang w:eastAsia="ja-JP"/>
              </w:rPr>
            </w:pPr>
            <w:r w:rsidRPr="00536CFD">
              <w:t>72.06</w:t>
            </w:r>
          </w:p>
        </w:tc>
        <w:tc>
          <w:tcPr>
            <w:tcW w:w="820" w:type="dxa"/>
          </w:tcPr>
          <w:p w14:paraId="7EF35FD9" w14:textId="77777777" w:rsidR="009D4A93" w:rsidRPr="00536CFD" w:rsidRDefault="009D4A93" w:rsidP="009D4A93">
            <w:pPr>
              <w:spacing w:after="0"/>
              <w:jc w:val="center"/>
              <w:rPr>
                <w:lang w:eastAsia="ja-JP"/>
              </w:rPr>
            </w:pPr>
            <w:r w:rsidRPr="00536CFD">
              <w:t>90.24</w:t>
            </w:r>
          </w:p>
        </w:tc>
        <w:tc>
          <w:tcPr>
            <w:tcW w:w="800" w:type="dxa"/>
          </w:tcPr>
          <w:p w14:paraId="59B0FA3F" w14:textId="77777777" w:rsidR="009D4A93" w:rsidRPr="00536CFD" w:rsidRDefault="009D4A93" w:rsidP="009D4A93">
            <w:pPr>
              <w:spacing w:after="0"/>
              <w:jc w:val="center"/>
              <w:rPr>
                <w:lang w:eastAsia="ja-JP"/>
              </w:rPr>
            </w:pPr>
            <w:r w:rsidRPr="00536CFD">
              <w:t>82.12</w:t>
            </w:r>
          </w:p>
        </w:tc>
        <w:tc>
          <w:tcPr>
            <w:tcW w:w="720" w:type="dxa"/>
          </w:tcPr>
          <w:p w14:paraId="757D2ACF" w14:textId="77777777" w:rsidR="009D4A93" w:rsidRPr="00536CFD" w:rsidRDefault="009D4A93" w:rsidP="009D4A93">
            <w:pPr>
              <w:spacing w:after="0"/>
              <w:jc w:val="center"/>
              <w:rPr>
                <w:lang w:eastAsia="ja-JP"/>
              </w:rPr>
            </w:pPr>
          </w:p>
        </w:tc>
        <w:tc>
          <w:tcPr>
            <w:tcW w:w="724" w:type="dxa"/>
          </w:tcPr>
          <w:p w14:paraId="5DE044ED" w14:textId="77777777" w:rsidR="009D4A93" w:rsidRPr="00536CFD" w:rsidRDefault="009D4A93" w:rsidP="009D4A93">
            <w:pPr>
              <w:spacing w:after="0"/>
              <w:jc w:val="center"/>
              <w:rPr>
                <w:lang w:eastAsia="ja-JP"/>
              </w:rPr>
            </w:pPr>
            <w:r w:rsidRPr="00536CFD">
              <w:t>48.73</w:t>
            </w:r>
          </w:p>
        </w:tc>
        <w:tc>
          <w:tcPr>
            <w:tcW w:w="896" w:type="dxa"/>
          </w:tcPr>
          <w:p w14:paraId="7FC13081" w14:textId="77777777" w:rsidR="009D4A93" w:rsidRPr="00536CFD" w:rsidRDefault="009D4A93" w:rsidP="009D4A93">
            <w:pPr>
              <w:spacing w:after="0"/>
              <w:jc w:val="center"/>
              <w:rPr>
                <w:lang w:eastAsia="ja-JP"/>
              </w:rPr>
            </w:pPr>
            <w:r w:rsidRPr="00536CFD">
              <w:t>69.64</w:t>
            </w:r>
          </w:p>
        </w:tc>
        <w:tc>
          <w:tcPr>
            <w:tcW w:w="720" w:type="dxa"/>
          </w:tcPr>
          <w:p w14:paraId="316EC118" w14:textId="77777777" w:rsidR="009D4A93" w:rsidRPr="00536CFD" w:rsidRDefault="009D4A93" w:rsidP="009D4A93">
            <w:pPr>
              <w:spacing w:after="0"/>
              <w:jc w:val="center"/>
              <w:rPr>
                <w:lang w:eastAsia="ja-JP"/>
              </w:rPr>
            </w:pPr>
            <w:r w:rsidRPr="00536CFD">
              <w:t>58.61</w:t>
            </w:r>
          </w:p>
        </w:tc>
        <w:tc>
          <w:tcPr>
            <w:tcW w:w="720" w:type="dxa"/>
          </w:tcPr>
          <w:p w14:paraId="00F295DB" w14:textId="77777777" w:rsidR="009D4A93" w:rsidRPr="00536CFD" w:rsidRDefault="009D4A93" w:rsidP="009D4A93">
            <w:pPr>
              <w:spacing w:after="0"/>
              <w:jc w:val="center"/>
              <w:rPr>
                <w:lang w:eastAsia="ja-JP"/>
              </w:rPr>
            </w:pPr>
          </w:p>
        </w:tc>
      </w:tr>
      <w:tr w:rsidR="009D4A93" w:rsidRPr="00536CFD" w14:paraId="0F3F7D9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E0F95F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6F91E0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E02426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47B9F1BC" w14:textId="77777777" w:rsidR="009D4A93" w:rsidRPr="00536CFD" w:rsidRDefault="009D4A93" w:rsidP="009D4A93">
            <w:pPr>
              <w:spacing w:after="0"/>
              <w:jc w:val="center"/>
              <w:rPr>
                <w:lang w:eastAsia="ja-JP"/>
              </w:rPr>
            </w:pPr>
            <w:r w:rsidRPr="00536CFD">
              <w:t>78.64</w:t>
            </w:r>
          </w:p>
        </w:tc>
        <w:tc>
          <w:tcPr>
            <w:tcW w:w="720" w:type="dxa"/>
          </w:tcPr>
          <w:p w14:paraId="437B995B" w14:textId="77777777" w:rsidR="009D4A93" w:rsidRPr="00536CFD" w:rsidRDefault="009D4A93" w:rsidP="009D4A93">
            <w:pPr>
              <w:spacing w:after="0"/>
              <w:jc w:val="center"/>
              <w:rPr>
                <w:lang w:eastAsia="ja-JP"/>
              </w:rPr>
            </w:pPr>
            <w:r w:rsidRPr="00536CFD">
              <w:t>81.87</w:t>
            </w:r>
          </w:p>
        </w:tc>
        <w:tc>
          <w:tcPr>
            <w:tcW w:w="720" w:type="dxa"/>
          </w:tcPr>
          <w:p w14:paraId="77B70CA6" w14:textId="77777777" w:rsidR="009D4A93" w:rsidRPr="00536CFD" w:rsidRDefault="009D4A93" w:rsidP="009D4A93">
            <w:pPr>
              <w:spacing w:after="0"/>
              <w:jc w:val="center"/>
              <w:rPr>
                <w:lang w:eastAsia="ja-JP"/>
              </w:rPr>
            </w:pPr>
            <w:r w:rsidRPr="00536CFD">
              <w:t>78.15</w:t>
            </w:r>
          </w:p>
        </w:tc>
        <w:tc>
          <w:tcPr>
            <w:tcW w:w="810" w:type="dxa"/>
          </w:tcPr>
          <w:p w14:paraId="446D3F48" w14:textId="77777777" w:rsidR="009D4A93" w:rsidRPr="00536CFD" w:rsidRDefault="009D4A93" w:rsidP="009D4A93">
            <w:pPr>
              <w:spacing w:after="0"/>
              <w:jc w:val="center"/>
              <w:rPr>
                <w:lang w:eastAsia="ja-JP"/>
              </w:rPr>
            </w:pPr>
          </w:p>
        </w:tc>
        <w:tc>
          <w:tcPr>
            <w:tcW w:w="810" w:type="dxa"/>
          </w:tcPr>
          <w:p w14:paraId="2E21741D" w14:textId="77777777" w:rsidR="009D4A93" w:rsidRPr="00536CFD" w:rsidRDefault="009D4A93" w:rsidP="009D4A93">
            <w:pPr>
              <w:spacing w:after="0"/>
              <w:jc w:val="center"/>
              <w:rPr>
                <w:lang w:eastAsia="ja-JP"/>
              </w:rPr>
            </w:pPr>
            <w:r w:rsidRPr="00536CFD">
              <w:t>50.86</w:t>
            </w:r>
          </w:p>
        </w:tc>
        <w:tc>
          <w:tcPr>
            <w:tcW w:w="820" w:type="dxa"/>
          </w:tcPr>
          <w:p w14:paraId="547056E6" w14:textId="77777777" w:rsidR="009D4A93" w:rsidRPr="00536CFD" w:rsidRDefault="009D4A93" w:rsidP="009D4A93">
            <w:pPr>
              <w:spacing w:after="0"/>
              <w:jc w:val="center"/>
              <w:rPr>
                <w:lang w:eastAsia="ja-JP"/>
              </w:rPr>
            </w:pPr>
            <w:r w:rsidRPr="00536CFD">
              <w:t>66.43</w:t>
            </w:r>
          </w:p>
        </w:tc>
        <w:tc>
          <w:tcPr>
            <w:tcW w:w="800" w:type="dxa"/>
          </w:tcPr>
          <w:p w14:paraId="74C291A3" w14:textId="77777777" w:rsidR="009D4A93" w:rsidRPr="00536CFD" w:rsidRDefault="009D4A93" w:rsidP="009D4A93">
            <w:pPr>
              <w:spacing w:after="0"/>
              <w:jc w:val="center"/>
              <w:rPr>
                <w:lang w:eastAsia="ja-JP"/>
              </w:rPr>
            </w:pPr>
            <w:r w:rsidRPr="00536CFD">
              <w:t>61.12</w:t>
            </w:r>
          </w:p>
        </w:tc>
        <w:tc>
          <w:tcPr>
            <w:tcW w:w="720" w:type="dxa"/>
          </w:tcPr>
          <w:p w14:paraId="675A237B" w14:textId="77777777" w:rsidR="009D4A93" w:rsidRPr="00536CFD" w:rsidRDefault="009D4A93" w:rsidP="009D4A93">
            <w:pPr>
              <w:spacing w:after="0"/>
              <w:jc w:val="center"/>
              <w:rPr>
                <w:lang w:eastAsia="ja-JP"/>
              </w:rPr>
            </w:pPr>
          </w:p>
        </w:tc>
        <w:tc>
          <w:tcPr>
            <w:tcW w:w="724" w:type="dxa"/>
          </w:tcPr>
          <w:p w14:paraId="08101CE6" w14:textId="77777777" w:rsidR="009D4A93" w:rsidRPr="00536CFD" w:rsidRDefault="009D4A93" w:rsidP="009D4A93">
            <w:pPr>
              <w:spacing w:after="0"/>
              <w:jc w:val="center"/>
              <w:rPr>
                <w:lang w:eastAsia="ja-JP"/>
              </w:rPr>
            </w:pPr>
            <w:r w:rsidRPr="00536CFD">
              <w:t>28.66</w:t>
            </w:r>
          </w:p>
        </w:tc>
        <w:tc>
          <w:tcPr>
            <w:tcW w:w="896" w:type="dxa"/>
          </w:tcPr>
          <w:p w14:paraId="6D3156A7" w14:textId="77777777" w:rsidR="009D4A93" w:rsidRPr="00536CFD" w:rsidRDefault="009D4A93" w:rsidP="009D4A93">
            <w:pPr>
              <w:spacing w:after="0"/>
              <w:jc w:val="center"/>
              <w:rPr>
                <w:lang w:eastAsia="ja-JP"/>
              </w:rPr>
            </w:pPr>
            <w:r w:rsidRPr="00536CFD">
              <w:t>45.68</w:t>
            </w:r>
          </w:p>
        </w:tc>
        <w:tc>
          <w:tcPr>
            <w:tcW w:w="720" w:type="dxa"/>
          </w:tcPr>
          <w:p w14:paraId="18D6403A" w14:textId="77777777" w:rsidR="009D4A93" w:rsidRPr="00536CFD" w:rsidRDefault="009D4A93" w:rsidP="009D4A93">
            <w:pPr>
              <w:spacing w:after="0"/>
              <w:jc w:val="center"/>
              <w:rPr>
                <w:lang w:eastAsia="ja-JP"/>
              </w:rPr>
            </w:pPr>
            <w:r w:rsidRPr="00536CFD">
              <w:t>39.17</w:t>
            </w:r>
          </w:p>
        </w:tc>
        <w:tc>
          <w:tcPr>
            <w:tcW w:w="720" w:type="dxa"/>
          </w:tcPr>
          <w:p w14:paraId="6E6AB8C6" w14:textId="77777777" w:rsidR="009D4A93" w:rsidRPr="00536CFD" w:rsidRDefault="009D4A93" w:rsidP="009D4A93">
            <w:pPr>
              <w:spacing w:after="0"/>
              <w:jc w:val="center"/>
              <w:rPr>
                <w:lang w:eastAsia="ja-JP"/>
              </w:rPr>
            </w:pPr>
          </w:p>
        </w:tc>
      </w:tr>
      <w:tr w:rsidR="009D4A93" w:rsidRPr="00536CFD" w14:paraId="01BC006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1C2C947"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78B06914" w14:textId="77777777" w:rsidR="009D4A93" w:rsidRPr="00536CFD" w:rsidRDefault="009D4A93" w:rsidP="009D4A93">
            <w:pPr>
              <w:spacing w:after="0"/>
              <w:jc w:val="center"/>
            </w:pPr>
            <w:r w:rsidRPr="00536CFD">
              <w:t>UL:</w:t>
            </w:r>
          </w:p>
          <w:p w14:paraId="22BC1EA0" w14:textId="77777777" w:rsidR="009D4A93" w:rsidRPr="00536CFD" w:rsidRDefault="009D4A93" w:rsidP="009D4A93">
            <w:pPr>
              <w:spacing w:after="0"/>
              <w:jc w:val="center"/>
            </w:pPr>
            <w:r w:rsidRPr="00536CFD">
              <w:t>Delay CDF</w:t>
            </w:r>
          </w:p>
          <w:p w14:paraId="25EFAB6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[s]</w:t>
            </w:r>
          </w:p>
        </w:tc>
        <w:tc>
          <w:tcPr>
            <w:tcW w:w="400" w:type="dxa"/>
            <w:tcBorders>
              <w:top w:val="single" w:sz="4" w:space="0" w:color="auto"/>
              <w:left w:val="nil"/>
              <w:bottom w:val="single" w:sz="4" w:space="0" w:color="auto"/>
              <w:right w:val="single" w:sz="4" w:space="0" w:color="auto"/>
            </w:tcBorders>
            <w:shd w:val="clear" w:color="auto" w:fill="auto"/>
          </w:tcPr>
          <w:p w14:paraId="7690637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1C45AC05" w14:textId="77777777" w:rsidR="009D4A93" w:rsidRPr="00536CFD" w:rsidRDefault="009D4A93" w:rsidP="009D4A93">
            <w:pPr>
              <w:spacing w:after="0"/>
              <w:jc w:val="center"/>
              <w:rPr>
                <w:lang w:eastAsia="ja-JP"/>
              </w:rPr>
            </w:pPr>
            <w:r w:rsidRPr="00536CFD">
              <w:t>0.024</w:t>
            </w:r>
          </w:p>
        </w:tc>
        <w:tc>
          <w:tcPr>
            <w:tcW w:w="720" w:type="dxa"/>
          </w:tcPr>
          <w:p w14:paraId="37E50E2A" w14:textId="77777777" w:rsidR="009D4A93" w:rsidRPr="00536CFD" w:rsidRDefault="009D4A93" w:rsidP="009D4A93">
            <w:pPr>
              <w:spacing w:after="0"/>
              <w:jc w:val="center"/>
              <w:rPr>
                <w:lang w:eastAsia="ja-JP"/>
              </w:rPr>
            </w:pPr>
            <w:r w:rsidRPr="00536CFD">
              <w:t>0.033</w:t>
            </w:r>
          </w:p>
        </w:tc>
        <w:tc>
          <w:tcPr>
            <w:tcW w:w="720" w:type="dxa"/>
          </w:tcPr>
          <w:p w14:paraId="695D2CA2" w14:textId="77777777" w:rsidR="009D4A93" w:rsidRPr="00536CFD" w:rsidRDefault="009D4A93" w:rsidP="009D4A93">
            <w:pPr>
              <w:spacing w:after="0"/>
              <w:jc w:val="center"/>
              <w:rPr>
                <w:lang w:eastAsia="ja-JP"/>
              </w:rPr>
            </w:pPr>
            <w:r w:rsidRPr="00536CFD">
              <w:t>0.028</w:t>
            </w:r>
          </w:p>
        </w:tc>
        <w:tc>
          <w:tcPr>
            <w:tcW w:w="810" w:type="dxa"/>
          </w:tcPr>
          <w:p w14:paraId="368638B7" w14:textId="77777777" w:rsidR="009D4A93" w:rsidRPr="00536CFD" w:rsidRDefault="009D4A93" w:rsidP="009D4A93">
            <w:pPr>
              <w:spacing w:after="0"/>
              <w:jc w:val="center"/>
              <w:rPr>
                <w:lang w:eastAsia="ja-JP"/>
              </w:rPr>
            </w:pPr>
          </w:p>
        </w:tc>
        <w:tc>
          <w:tcPr>
            <w:tcW w:w="810" w:type="dxa"/>
          </w:tcPr>
          <w:p w14:paraId="563A939B" w14:textId="77777777" w:rsidR="009D4A93" w:rsidRPr="00536CFD" w:rsidRDefault="009D4A93" w:rsidP="009D4A93">
            <w:pPr>
              <w:spacing w:after="0"/>
              <w:jc w:val="center"/>
              <w:rPr>
                <w:lang w:eastAsia="ja-JP"/>
              </w:rPr>
            </w:pPr>
            <w:r w:rsidRPr="00536CFD">
              <w:t>0.076</w:t>
            </w:r>
          </w:p>
        </w:tc>
        <w:tc>
          <w:tcPr>
            <w:tcW w:w="820" w:type="dxa"/>
          </w:tcPr>
          <w:p w14:paraId="203D73F5" w14:textId="77777777" w:rsidR="009D4A93" w:rsidRPr="00536CFD" w:rsidRDefault="009D4A93" w:rsidP="009D4A93">
            <w:pPr>
              <w:spacing w:after="0"/>
              <w:jc w:val="center"/>
              <w:rPr>
                <w:lang w:eastAsia="ja-JP"/>
              </w:rPr>
            </w:pPr>
            <w:r w:rsidRPr="00536CFD">
              <w:t>0.046</w:t>
            </w:r>
          </w:p>
        </w:tc>
        <w:tc>
          <w:tcPr>
            <w:tcW w:w="800" w:type="dxa"/>
          </w:tcPr>
          <w:p w14:paraId="70963EE4" w14:textId="77777777" w:rsidR="009D4A93" w:rsidRPr="00536CFD" w:rsidRDefault="009D4A93" w:rsidP="009D4A93">
            <w:pPr>
              <w:spacing w:after="0"/>
              <w:jc w:val="center"/>
              <w:rPr>
                <w:lang w:eastAsia="ja-JP"/>
              </w:rPr>
            </w:pPr>
            <w:r w:rsidRPr="00536CFD">
              <w:t>0.059</w:t>
            </w:r>
          </w:p>
        </w:tc>
        <w:tc>
          <w:tcPr>
            <w:tcW w:w="720" w:type="dxa"/>
          </w:tcPr>
          <w:p w14:paraId="4EF79635" w14:textId="77777777" w:rsidR="009D4A93" w:rsidRPr="00536CFD" w:rsidRDefault="009D4A93" w:rsidP="009D4A93">
            <w:pPr>
              <w:spacing w:after="0"/>
              <w:jc w:val="center"/>
              <w:rPr>
                <w:lang w:eastAsia="ja-JP"/>
              </w:rPr>
            </w:pPr>
          </w:p>
        </w:tc>
        <w:tc>
          <w:tcPr>
            <w:tcW w:w="724" w:type="dxa"/>
          </w:tcPr>
          <w:p w14:paraId="0B4A3FF5" w14:textId="77777777" w:rsidR="009D4A93" w:rsidRPr="00536CFD" w:rsidRDefault="009D4A93" w:rsidP="009D4A93">
            <w:pPr>
              <w:spacing w:after="0"/>
              <w:jc w:val="center"/>
              <w:rPr>
                <w:lang w:eastAsia="ja-JP"/>
              </w:rPr>
            </w:pPr>
            <w:r w:rsidRPr="00536CFD">
              <w:t>0.106</w:t>
            </w:r>
          </w:p>
        </w:tc>
        <w:tc>
          <w:tcPr>
            <w:tcW w:w="896" w:type="dxa"/>
          </w:tcPr>
          <w:p w14:paraId="3A843F2B" w14:textId="77777777" w:rsidR="009D4A93" w:rsidRPr="00536CFD" w:rsidRDefault="009D4A93" w:rsidP="009D4A93">
            <w:pPr>
              <w:spacing w:after="0"/>
              <w:jc w:val="center"/>
              <w:rPr>
                <w:lang w:eastAsia="ja-JP"/>
              </w:rPr>
            </w:pPr>
            <w:r w:rsidRPr="00536CFD">
              <w:t>0.069</w:t>
            </w:r>
          </w:p>
        </w:tc>
        <w:tc>
          <w:tcPr>
            <w:tcW w:w="720" w:type="dxa"/>
          </w:tcPr>
          <w:p w14:paraId="7E78320E" w14:textId="77777777" w:rsidR="009D4A93" w:rsidRPr="00536CFD" w:rsidRDefault="009D4A93" w:rsidP="009D4A93">
            <w:pPr>
              <w:spacing w:after="0"/>
              <w:jc w:val="center"/>
              <w:rPr>
                <w:lang w:eastAsia="ja-JP"/>
              </w:rPr>
            </w:pPr>
            <w:r w:rsidRPr="00536CFD">
              <w:t>0.140</w:t>
            </w:r>
          </w:p>
        </w:tc>
        <w:tc>
          <w:tcPr>
            <w:tcW w:w="720" w:type="dxa"/>
          </w:tcPr>
          <w:p w14:paraId="64253054" w14:textId="77777777" w:rsidR="009D4A93" w:rsidRPr="00536CFD" w:rsidRDefault="009D4A93" w:rsidP="009D4A93">
            <w:pPr>
              <w:spacing w:after="0"/>
              <w:jc w:val="center"/>
              <w:rPr>
                <w:lang w:eastAsia="ja-JP"/>
              </w:rPr>
            </w:pPr>
          </w:p>
        </w:tc>
      </w:tr>
      <w:tr w:rsidR="009D4A93" w:rsidRPr="00536CFD" w14:paraId="125EFFE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4691D6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F98EC8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8B6E32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7B35A04A" w14:textId="77777777" w:rsidR="009D4A93" w:rsidRPr="00536CFD" w:rsidRDefault="009D4A93" w:rsidP="009D4A93">
            <w:pPr>
              <w:spacing w:after="0"/>
              <w:jc w:val="center"/>
              <w:rPr>
                <w:lang w:eastAsia="ja-JP"/>
              </w:rPr>
            </w:pPr>
            <w:r w:rsidRPr="00536CFD">
              <w:t>0.055</w:t>
            </w:r>
          </w:p>
        </w:tc>
        <w:tc>
          <w:tcPr>
            <w:tcW w:w="720" w:type="dxa"/>
          </w:tcPr>
          <w:p w14:paraId="53533583" w14:textId="77777777" w:rsidR="009D4A93" w:rsidRPr="00536CFD" w:rsidRDefault="009D4A93" w:rsidP="009D4A93">
            <w:pPr>
              <w:spacing w:after="0"/>
              <w:jc w:val="center"/>
              <w:rPr>
                <w:lang w:eastAsia="ja-JP"/>
              </w:rPr>
            </w:pPr>
            <w:r w:rsidRPr="00536CFD">
              <w:t>0.047</w:t>
            </w:r>
          </w:p>
        </w:tc>
        <w:tc>
          <w:tcPr>
            <w:tcW w:w="720" w:type="dxa"/>
          </w:tcPr>
          <w:p w14:paraId="3A38BB88" w14:textId="77777777" w:rsidR="009D4A93" w:rsidRPr="00536CFD" w:rsidRDefault="009D4A93" w:rsidP="009D4A93">
            <w:pPr>
              <w:spacing w:after="0"/>
              <w:jc w:val="center"/>
              <w:rPr>
                <w:lang w:eastAsia="ja-JP"/>
              </w:rPr>
            </w:pPr>
            <w:r w:rsidRPr="00536CFD">
              <w:t>0.058</w:t>
            </w:r>
          </w:p>
        </w:tc>
        <w:tc>
          <w:tcPr>
            <w:tcW w:w="810" w:type="dxa"/>
          </w:tcPr>
          <w:p w14:paraId="2D7F1B30" w14:textId="77777777" w:rsidR="009D4A93" w:rsidRPr="00536CFD" w:rsidRDefault="009D4A93" w:rsidP="009D4A93">
            <w:pPr>
              <w:spacing w:after="0"/>
              <w:jc w:val="center"/>
              <w:rPr>
                <w:lang w:eastAsia="ja-JP"/>
              </w:rPr>
            </w:pPr>
          </w:p>
        </w:tc>
        <w:tc>
          <w:tcPr>
            <w:tcW w:w="810" w:type="dxa"/>
          </w:tcPr>
          <w:p w14:paraId="0042BE8F" w14:textId="77777777" w:rsidR="009D4A93" w:rsidRPr="00536CFD" w:rsidRDefault="009D4A93" w:rsidP="009D4A93">
            <w:pPr>
              <w:spacing w:after="0"/>
              <w:jc w:val="center"/>
              <w:rPr>
                <w:lang w:eastAsia="ja-JP"/>
              </w:rPr>
            </w:pPr>
            <w:r w:rsidRPr="00536CFD">
              <w:t>0.566</w:t>
            </w:r>
          </w:p>
        </w:tc>
        <w:tc>
          <w:tcPr>
            <w:tcW w:w="820" w:type="dxa"/>
          </w:tcPr>
          <w:p w14:paraId="1B951751" w14:textId="77777777" w:rsidR="009D4A93" w:rsidRPr="00536CFD" w:rsidRDefault="009D4A93" w:rsidP="009D4A93">
            <w:pPr>
              <w:spacing w:after="0"/>
              <w:jc w:val="center"/>
              <w:rPr>
                <w:lang w:eastAsia="ja-JP"/>
              </w:rPr>
            </w:pPr>
            <w:r w:rsidRPr="00536CFD">
              <w:t>0.158</w:t>
            </w:r>
          </w:p>
        </w:tc>
        <w:tc>
          <w:tcPr>
            <w:tcW w:w="800" w:type="dxa"/>
          </w:tcPr>
          <w:p w14:paraId="41AC4E14" w14:textId="77777777" w:rsidR="009D4A93" w:rsidRPr="00536CFD" w:rsidRDefault="009D4A93" w:rsidP="009D4A93">
            <w:pPr>
              <w:spacing w:after="0"/>
              <w:jc w:val="center"/>
              <w:rPr>
                <w:lang w:eastAsia="ja-JP"/>
              </w:rPr>
            </w:pPr>
            <w:r w:rsidRPr="00536CFD">
              <w:t>0.490</w:t>
            </w:r>
          </w:p>
        </w:tc>
        <w:tc>
          <w:tcPr>
            <w:tcW w:w="720" w:type="dxa"/>
          </w:tcPr>
          <w:p w14:paraId="0A3C1A5A" w14:textId="77777777" w:rsidR="009D4A93" w:rsidRPr="00536CFD" w:rsidRDefault="009D4A93" w:rsidP="009D4A93">
            <w:pPr>
              <w:spacing w:after="0"/>
              <w:jc w:val="center"/>
              <w:rPr>
                <w:lang w:eastAsia="ja-JP"/>
              </w:rPr>
            </w:pPr>
          </w:p>
        </w:tc>
        <w:tc>
          <w:tcPr>
            <w:tcW w:w="724" w:type="dxa"/>
          </w:tcPr>
          <w:p w14:paraId="3ECBB44E" w14:textId="77777777" w:rsidR="009D4A93" w:rsidRPr="00536CFD" w:rsidRDefault="009D4A93" w:rsidP="009D4A93">
            <w:pPr>
              <w:spacing w:after="0"/>
              <w:jc w:val="center"/>
              <w:rPr>
                <w:lang w:eastAsia="ja-JP"/>
              </w:rPr>
            </w:pPr>
            <w:r w:rsidRPr="00536CFD">
              <w:t>0.826</w:t>
            </w:r>
          </w:p>
        </w:tc>
        <w:tc>
          <w:tcPr>
            <w:tcW w:w="896" w:type="dxa"/>
          </w:tcPr>
          <w:p w14:paraId="27D0E45C" w14:textId="77777777" w:rsidR="009D4A93" w:rsidRPr="00536CFD" w:rsidRDefault="009D4A93" w:rsidP="009D4A93">
            <w:pPr>
              <w:spacing w:after="0"/>
              <w:jc w:val="center"/>
              <w:rPr>
                <w:lang w:eastAsia="ja-JP"/>
              </w:rPr>
            </w:pPr>
            <w:r w:rsidRPr="00536CFD">
              <w:t>0.359</w:t>
            </w:r>
          </w:p>
        </w:tc>
        <w:tc>
          <w:tcPr>
            <w:tcW w:w="720" w:type="dxa"/>
          </w:tcPr>
          <w:p w14:paraId="13D576F7" w14:textId="77777777" w:rsidR="009D4A93" w:rsidRPr="00536CFD" w:rsidRDefault="009D4A93" w:rsidP="009D4A93">
            <w:pPr>
              <w:spacing w:after="0"/>
              <w:jc w:val="center"/>
              <w:rPr>
                <w:lang w:eastAsia="ja-JP"/>
              </w:rPr>
            </w:pPr>
            <w:r w:rsidRPr="00536CFD">
              <w:t>1.186</w:t>
            </w:r>
          </w:p>
        </w:tc>
        <w:tc>
          <w:tcPr>
            <w:tcW w:w="720" w:type="dxa"/>
          </w:tcPr>
          <w:p w14:paraId="7F419787" w14:textId="77777777" w:rsidR="009D4A93" w:rsidRPr="00536CFD" w:rsidRDefault="009D4A93" w:rsidP="009D4A93">
            <w:pPr>
              <w:spacing w:after="0"/>
              <w:jc w:val="center"/>
              <w:rPr>
                <w:lang w:eastAsia="ja-JP"/>
              </w:rPr>
            </w:pPr>
          </w:p>
        </w:tc>
      </w:tr>
      <w:tr w:rsidR="009D4A93" w:rsidRPr="00536CFD" w14:paraId="0604CB3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18CA72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BF623CA"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CC7F04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7D5A6D72" w14:textId="77777777" w:rsidR="009D4A93" w:rsidRPr="00536CFD" w:rsidRDefault="009D4A93" w:rsidP="009D4A93">
            <w:pPr>
              <w:spacing w:after="0"/>
              <w:jc w:val="center"/>
              <w:rPr>
                <w:lang w:eastAsia="ja-JP"/>
              </w:rPr>
            </w:pPr>
            <w:r w:rsidRPr="00536CFD">
              <w:t>0.112</w:t>
            </w:r>
          </w:p>
        </w:tc>
        <w:tc>
          <w:tcPr>
            <w:tcW w:w="720" w:type="dxa"/>
          </w:tcPr>
          <w:p w14:paraId="1125A674" w14:textId="77777777" w:rsidR="009D4A93" w:rsidRPr="00536CFD" w:rsidRDefault="009D4A93" w:rsidP="009D4A93">
            <w:pPr>
              <w:spacing w:after="0"/>
              <w:jc w:val="center"/>
              <w:rPr>
                <w:lang w:eastAsia="ja-JP"/>
              </w:rPr>
            </w:pPr>
            <w:r w:rsidRPr="00536CFD">
              <w:t>0.135</w:t>
            </w:r>
          </w:p>
        </w:tc>
        <w:tc>
          <w:tcPr>
            <w:tcW w:w="720" w:type="dxa"/>
          </w:tcPr>
          <w:p w14:paraId="6C6F6350" w14:textId="77777777" w:rsidR="009D4A93" w:rsidRPr="00536CFD" w:rsidRDefault="009D4A93" w:rsidP="009D4A93">
            <w:pPr>
              <w:spacing w:after="0"/>
              <w:jc w:val="center"/>
              <w:rPr>
                <w:lang w:eastAsia="ja-JP"/>
              </w:rPr>
            </w:pPr>
            <w:r w:rsidRPr="00536CFD">
              <w:t>0.159</w:t>
            </w:r>
          </w:p>
        </w:tc>
        <w:tc>
          <w:tcPr>
            <w:tcW w:w="810" w:type="dxa"/>
          </w:tcPr>
          <w:p w14:paraId="0841F697" w14:textId="77777777" w:rsidR="009D4A93" w:rsidRPr="00536CFD" w:rsidRDefault="009D4A93" w:rsidP="009D4A93">
            <w:pPr>
              <w:spacing w:after="0"/>
              <w:jc w:val="center"/>
              <w:rPr>
                <w:lang w:eastAsia="ja-JP"/>
              </w:rPr>
            </w:pPr>
          </w:p>
        </w:tc>
        <w:tc>
          <w:tcPr>
            <w:tcW w:w="810" w:type="dxa"/>
          </w:tcPr>
          <w:p w14:paraId="659DC284" w14:textId="77777777" w:rsidR="009D4A93" w:rsidRPr="00536CFD" w:rsidRDefault="009D4A93" w:rsidP="009D4A93">
            <w:pPr>
              <w:spacing w:after="0"/>
              <w:jc w:val="center"/>
              <w:rPr>
                <w:lang w:eastAsia="ja-JP"/>
              </w:rPr>
            </w:pPr>
            <w:r w:rsidRPr="00536CFD">
              <w:t>5.351</w:t>
            </w:r>
          </w:p>
        </w:tc>
        <w:tc>
          <w:tcPr>
            <w:tcW w:w="820" w:type="dxa"/>
          </w:tcPr>
          <w:p w14:paraId="703C1C9D" w14:textId="77777777" w:rsidR="009D4A93" w:rsidRPr="00536CFD" w:rsidRDefault="009D4A93" w:rsidP="009D4A93">
            <w:pPr>
              <w:spacing w:after="0"/>
              <w:jc w:val="center"/>
              <w:rPr>
                <w:lang w:eastAsia="ja-JP"/>
              </w:rPr>
            </w:pPr>
            <w:r w:rsidRPr="00536CFD">
              <w:t>1.105</w:t>
            </w:r>
          </w:p>
        </w:tc>
        <w:tc>
          <w:tcPr>
            <w:tcW w:w="800" w:type="dxa"/>
          </w:tcPr>
          <w:p w14:paraId="4D22AAFF" w14:textId="77777777" w:rsidR="009D4A93" w:rsidRPr="00536CFD" w:rsidRDefault="009D4A93" w:rsidP="009D4A93">
            <w:pPr>
              <w:spacing w:after="0"/>
              <w:jc w:val="center"/>
              <w:rPr>
                <w:lang w:eastAsia="ja-JP"/>
              </w:rPr>
            </w:pPr>
            <w:r w:rsidRPr="00536CFD">
              <w:t>2.151</w:t>
            </w:r>
          </w:p>
        </w:tc>
        <w:tc>
          <w:tcPr>
            <w:tcW w:w="720" w:type="dxa"/>
          </w:tcPr>
          <w:p w14:paraId="4606CB22" w14:textId="77777777" w:rsidR="009D4A93" w:rsidRPr="00536CFD" w:rsidRDefault="009D4A93" w:rsidP="009D4A93">
            <w:pPr>
              <w:spacing w:after="0"/>
              <w:jc w:val="center"/>
              <w:rPr>
                <w:lang w:eastAsia="ja-JP"/>
              </w:rPr>
            </w:pPr>
          </w:p>
        </w:tc>
        <w:tc>
          <w:tcPr>
            <w:tcW w:w="724" w:type="dxa"/>
          </w:tcPr>
          <w:p w14:paraId="0DABB0AB" w14:textId="77777777" w:rsidR="009D4A93" w:rsidRPr="00536CFD" w:rsidRDefault="009D4A93" w:rsidP="009D4A93">
            <w:pPr>
              <w:spacing w:after="0"/>
              <w:jc w:val="center"/>
              <w:rPr>
                <w:lang w:eastAsia="ja-JP"/>
              </w:rPr>
            </w:pPr>
            <w:r w:rsidRPr="00536CFD">
              <w:t>7.660</w:t>
            </w:r>
          </w:p>
        </w:tc>
        <w:tc>
          <w:tcPr>
            <w:tcW w:w="896" w:type="dxa"/>
          </w:tcPr>
          <w:p w14:paraId="0EA55762" w14:textId="77777777" w:rsidR="009D4A93" w:rsidRPr="00536CFD" w:rsidRDefault="009D4A93" w:rsidP="009D4A93">
            <w:pPr>
              <w:spacing w:after="0"/>
              <w:jc w:val="center"/>
              <w:rPr>
                <w:lang w:eastAsia="ja-JP"/>
              </w:rPr>
            </w:pPr>
            <w:r w:rsidRPr="00536CFD">
              <w:t>3.326</w:t>
            </w:r>
          </w:p>
        </w:tc>
        <w:tc>
          <w:tcPr>
            <w:tcW w:w="720" w:type="dxa"/>
          </w:tcPr>
          <w:p w14:paraId="7815F41C" w14:textId="77777777" w:rsidR="009D4A93" w:rsidRPr="00536CFD" w:rsidRDefault="009D4A93" w:rsidP="009D4A93">
            <w:pPr>
              <w:spacing w:after="0"/>
              <w:jc w:val="center"/>
              <w:rPr>
                <w:lang w:eastAsia="ja-JP"/>
              </w:rPr>
            </w:pPr>
            <w:r w:rsidRPr="00536CFD">
              <w:t>6.159</w:t>
            </w:r>
          </w:p>
        </w:tc>
        <w:tc>
          <w:tcPr>
            <w:tcW w:w="720" w:type="dxa"/>
          </w:tcPr>
          <w:p w14:paraId="7D42C822" w14:textId="77777777" w:rsidR="009D4A93" w:rsidRPr="00536CFD" w:rsidRDefault="009D4A93" w:rsidP="009D4A93">
            <w:pPr>
              <w:spacing w:after="0"/>
              <w:jc w:val="center"/>
              <w:rPr>
                <w:lang w:eastAsia="ja-JP"/>
              </w:rPr>
            </w:pPr>
          </w:p>
        </w:tc>
      </w:tr>
      <w:tr w:rsidR="009D4A93" w:rsidRPr="00536CFD" w14:paraId="74B3B4F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0F406F9"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CBC2EB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A58D50F"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4CF276BB" w14:textId="77777777" w:rsidR="009D4A93" w:rsidRPr="00536CFD" w:rsidRDefault="009D4A93" w:rsidP="009D4A93">
            <w:pPr>
              <w:spacing w:after="0"/>
              <w:jc w:val="center"/>
              <w:rPr>
                <w:lang w:eastAsia="ja-JP"/>
              </w:rPr>
            </w:pPr>
            <w:r w:rsidRPr="00536CFD">
              <w:t>0.130</w:t>
            </w:r>
          </w:p>
        </w:tc>
        <w:tc>
          <w:tcPr>
            <w:tcW w:w="720" w:type="dxa"/>
          </w:tcPr>
          <w:p w14:paraId="0CC1B0AA" w14:textId="77777777" w:rsidR="009D4A93" w:rsidRPr="00536CFD" w:rsidRDefault="009D4A93" w:rsidP="009D4A93">
            <w:pPr>
              <w:spacing w:after="0"/>
              <w:jc w:val="center"/>
              <w:rPr>
                <w:lang w:eastAsia="ja-JP"/>
              </w:rPr>
            </w:pPr>
            <w:r w:rsidRPr="00536CFD">
              <w:t>0.071</w:t>
            </w:r>
          </w:p>
        </w:tc>
        <w:tc>
          <w:tcPr>
            <w:tcW w:w="720" w:type="dxa"/>
          </w:tcPr>
          <w:p w14:paraId="7DA31D3B" w14:textId="77777777" w:rsidR="009D4A93" w:rsidRPr="00536CFD" w:rsidRDefault="009D4A93" w:rsidP="009D4A93">
            <w:pPr>
              <w:spacing w:after="0"/>
              <w:jc w:val="center"/>
              <w:rPr>
                <w:lang w:eastAsia="ja-JP"/>
              </w:rPr>
            </w:pPr>
            <w:r w:rsidRPr="00536CFD">
              <w:t>0.083</w:t>
            </w:r>
          </w:p>
        </w:tc>
        <w:tc>
          <w:tcPr>
            <w:tcW w:w="810" w:type="dxa"/>
          </w:tcPr>
          <w:p w14:paraId="75A55877" w14:textId="77777777" w:rsidR="009D4A93" w:rsidRPr="00536CFD" w:rsidRDefault="009D4A93" w:rsidP="009D4A93">
            <w:pPr>
              <w:spacing w:after="0"/>
              <w:jc w:val="center"/>
              <w:rPr>
                <w:lang w:eastAsia="ja-JP"/>
              </w:rPr>
            </w:pPr>
          </w:p>
        </w:tc>
        <w:tc>
          <w:tcPr>
            <w:tcW w:w="810" w:type="dxa"/>
          </w:tcPr>
          <w:p w14:paraId="633FCD22" w14:textId="77777777" w:rsidR="009D4A93" w:rsidRPr="00536CFD" w:rsidRDefault="009D4A93" w:rsidP="009D4A93">
            <w:pPr>
              <w:spacing w:after="0"/>
              <w:jc w:val="center"/>
              <w:rPr>
                <w:lang w:eastAsia="ja-JP"/>
              </w:rPr>
            </w:pPr>
            <w:r w:rsidRPr="00536CFD">
              <w:t>1.750</w:t>
            </w:r>
          </w:p>
        </w:tc>
        <w:tc>
          <w:tcPr>
            <w:tcW w:w="820" w:type="dxa"/>
          </w:tcPr>
          <w:p w14:paraId="21AD6D97" w14:textId="77777777" w:rsidR="009D4A93" w:rsidRPr="00536CFD" w:rsidRDefault="009D4A93" w:rsidP="009D4A93">
            <w:pPr>
              <w:spacing w:after="0"/>
              <w:jc w:val="center"/>
              <w:rPr>
                <w:lang w:eastAsia="ja-JP"/>
              </w:rPr>
            </w:pPr>
            <w:r w:rsidRPr="00536CFD">
              <w:t>0.454</w:t>
            </w:r>
          </w:p>
        </w:tc>
        <w:tc>
          <w:tcPr>
            <w:tcW w:w="800" w:type="dxa"/>
          </w:tcPr>
          <w:p w14:paraId="15520456" w14:textId="77777777" w:rsidR="009D4A93" w:rsidRPr="00536CFD" w:rsidRDefault="009D4A93" w:rsidP="009D4A93">
            <w:pPr>
              <w:spacing w:after="0"/>
              <w:jc w:val="center"/>
              <w:rPr>
                <w:lang w:eastAsia="ja-JP"/>
              </w:rPr>
            </w:pPr>
            <w:r w:rsidRPr="00536CFD">
              <w:t>0.927</w:t>
            </w:r>
          </w:p>
        </w:tc>
        <w:tc>
          <w:tcPr>
            <w:tcW w:w="720" w:type="dxa"/>
          </w:tcPr>
          <w:p w14:paraId="067D1FDA" w14:textId="77777777" w:rsidR="009D4A93" w:rsidRPr="00536CFD" w:rsidRDefault="009D4A93" w:rsidP="009D4A93">
            <w:pPr>
              <w:spacing w:after="0"/>
              <w:jc w:val="center"/>
              <w:rPr>
                <w:lang w:eastAsia="ja-JP"/>
              </w:rPr>
            </w:pPr>
          </w:p>
        </w:tc>
        <w:tc>
          <w:tcPr>
            <w:tcW w:w="724" w:type="dxa"/>
          </w:tcPr>
          <w:p w14:paraId="093BA20D" w14:textId="77777777" w:rsidR="009D4A93" w:rsidRPr="00536CFD" w:rsidRDefault="009D4A93" w:rsidP="009D4A93">
            <w:pPr>
              <w:spacing w:after="0"/>
              <w:jc w:val="center"/>
              <w:rPr>
                <w:lang w:eastAsia="ja-JP"/>
              </w:rPr>
            </w:pPr>
            <w:r w:rsidRPr="00536CFD">
              <w:t>2.582</w:t>
            </w:r>
          </w:p>
        </w:tc>
        <w:tc>
          <w:tcPr>
            <w:tcW w:w="896" w:type="dxa"/>
          </w:tcPr>
          <w:p w14:paraId="4FC47482" w14:textId="77777777" w:rsidR="009D4A93" w:rsidRPr="00536CFD" w:rsidRDefault="009D4A93" w:rsidP="009D4A93">
            <w:pPr>
              <w:spacing w:after="0"/>
              <w:jc w:val="center"/>
              <w:rPr>
                <w:lang w:eastAsia="ja-JP"/>
              </w:rPr>
            </w:pPr>
            <w:r w:rsidRPr="00536CFD">
              <w:t>1.176</w:t>
            </w:r>
          </w:p>
        </w:tc>
        <w:tc>
          <w:tcPr>
            <w:tcW w:w="720" w:type="dxa"/>
          </w:tcPr>
          <w:p w14:paraId="3EB68A60" w14:textId="77777777" w:rsidR="009D4A93" w:rsidRPr="00536CFD" w:rsidRDefault="009D4A93" w:rsidP="009D4A93">
            <w:pPr>
              <w:spacing w:after="0"/>
              <w:jc w:val="center"/>
              <w:rPr>
                <w:lang w:eastAsia="ja-JP"/>
              </w:rPr>
            </w:pPr>
            <w:r w:rsidRPr="00536CFD">
              <w:t>2.407</w:t>
            </w:r>
          </w:p>
        </w:tc>
        <w:tc>
          <w:tcPr>
            <w:tcW w:w="720" w:type="dxa"/>
          </w:tcPr>
          <w:p w14:paraId="7BE754F8" w14:textId="77777777" w:rsidR="009D4A93" w:rsidRPr="00536CFD" w:rsidRDefault="009D4A93" w:rsidP="009D4A93">
            <w:pPr>
              <w:spacing w:after="0"/>
              <w:jc w:val="center"/>
              <w:rPr>
                <w:lang w:eastAsia="ja-JP"/>
              </w:rPr>
            </w:pPr>
          </w:p>
        </w:tc>
      </w:tr>
      <w:tr w:rsidR="009D4A93" w:rsidRPr="00536CFD" w14:paraId="3053D4D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D323FC6"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BC552E3"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Pr>
          <w:p w14:paraId="5C09C500" w14:textId="77777777" w:rsidR="009D4A93" w:rsidRPr="00536CFD" w:rsidRDefault="009D4A93" w:rsidP="009D4A93">
            <w:pPr>
              <w:spacing w:after="0"/>
              <w:jc w:val="center"/>
              <w:rPr>
                <w:lang w:eastAsia="ja-JP"/>
              </w:rPr>
            </w:pPr>
            <w:r w:rsidRPr="00536CFD">
              <w:t>97%</w:t>
            </w:r>
          </w:p>
        </w:tc>
        <w:tc>
          <w:tcPr>
            <w:tcW w:w="720" w:type="dxa"/>
          </w:tcPr>
          <w:p w14:paraId="7DD7789F" w14:textId="77777777" w:rsidR="009D4A93" w:rsidRPr="00536CFD" w:rsidRDefault="009D4A93" w:rsidP="009D4A93">
            <w:pPr>
              <w:spacing w:after="0"/>
              <w:jc w:val="center"/>
              <w:rPr>
                <w:lang w:eastAsia="ja-JP"/>
              </w:rPr>
            </w:pPr>
            <w:r w:rsidRPr="00536CFD">
              <w:t>100%</w:t>
            </w:r>
          </w:p>
        </w:tc>
        <w:tc>
          <w:tcPr>
            <w:tcW w:w="720" w:type="dxa"/>
          </w:tcPr>
          <w:p w14:paraId="4E3B73FB" w14:textId="77777777" w:rsidR="009D4A93" w:rsidRPr="00536CFD" w:rsidRDefault="009D4A93" w:rsidP="009D4A93">
            <w:pPr>
              <w:spacing w:after="0"/>
              <w:jc w:val="center"/>
              <w:rPr>
                <w:lang w:eastAsia="ja-JP"/>
              </w:rPr>
            </w:pPr>
            <w:r w:rsidRPr="00536CFD">
              <w:t>100%</w:t>
            </w:r>
          </w:p>
        </w:tc>
        <w:tc>
          <w:tcPr>
            <w:tcW w:w="810" w:type="dxa"/>
          </w:tcPr>
          <w:p w14:paraId="59DD46B7" w14:textId="77777777" w:rsidR="009D4A93" w:rsidRPr="00536CFD" w:rsidRDefault="009D4A93" w:rsidP="009D4A93">
            <w:pPr>
              <w:spacing w:after="0"/>
              <w:jc w:val="center"/>
              <w:rPr>
                <w:lang w:eastAsia="ja-JP"/>
              </w:rPr>
            </w:pPr>
          </w:p>
        </w:tc>
        <w:tc>
          <w:tcPr>
            <w:tcW w:w="810" w:type="dxa"/>
          </w:tcPr>
          <w:p w14:paraId="18EEAEDA" w14:textId="77777777" w:rsidR="009D4A93" w:rsidRPr="00536CFD" w:rsidRDefault="009D4A93" w:rsidP="009D4A93">
            <w:pPr>
              <w:spacing w:after="0"/>
              <w:jc w:val="center"/>
              <w:rPr>
                <w:lang w:eastAsia="ja-JP"/>
              </w:rPr>
            </w:pPr>
            <w:r w:rsidRPr="00536CFD">
              <w:t>83%</w:t>
            </w:r>
          </w:p>
        </w:tc>
        <w:tc>
          <w:tcPr>
            <w:tcW w:w="820" w:type="dxa"/>
          </w:tcPr>
          <w:p w14:paraId="17B6A8E8" w14:textId="77777777" w:rsidR="009D4A93" w:rsidRPr="00536CFD" w:rsidRDefault="009D4A93" w:rsidP="009D4A93">
            <w:pPr>
              <w:spacing w:after="0"/>
              <w:jc w:val="center"/>
              <w:rPr>
                <w:lang w:eastAsia="ja-JP"/>
              </w:rPr>
            </w:pPr>
            <w:r w:rsidRPr="00536CFD">
              <w:t>97%</w:t>
            </w:r>
          </w:p>
        </w:tc>
        <w:tc>
          <w:tcPr>
            <w:tcW w:w="800" w:type="dxa"/>
          </w:tcPr>
          <w:p w14:paraId="557A793D" w14:textId="77777777" w:rsidR="009D4A93" w:rsidRPr="00536CFD" w:rsidRDefault="009D4A93" w:rsidP="009D4A93">
            <w:pPr>
              <w:spacing w:after="0"/>
              <w:jc w:val="center"/>
              <w:rPr>
                <w:lang w:eastAsia="ja-JP"/>
              </w:rPr>
            </w:pPr>
            <w:r w:rsidRPr="00536CFD">
              <w:t>96%</w:t>
            </w:r>
          </w:p>
        </w:tc>
        <w:tc>
          <w:tcPr>
            <w:tcW w:w="720" w:type="dxa"/>
          </w:tcPr>
          <w:p w14:paraId="5689F266" w14:textId="77777777" w:rsidR="009D4A93" w:rsidRPr="00536CFD" w:rsidRDefault="009D4A93" w:rsidP="009D4A93">
            <w:pPr>
              <w:spacing w:after="0"/>
              <w:jc w:val="center"/>
              <w:rPr>
                <w:lang w:eastAsia="ja-JP"/>
              </w:rPr>
            </w:pPr>
          </w:p>
        </w:tc>
        <w:tc>
          <w:tcPr>
            <w:tcW w:w="724" w:type="dxa"/>
          </w:tcPr>
          <w:p w14:paraId="052519B6" w14:textId="77777777" w:rsidR="009D4A93" w:rsidRPr="00536CFD" w:rsidRDefault="009D4A93" w:rsidP="009D4A93">
            <w:pPr>
              <w:spacing w:after="0"/>
              <w:jc w:val="center"/>
              <w:rPr>
                <w:lang w:eastAsia="ja-JP"/>
              </w:rPr>
            </w:pPr>
            <w:r w:rsidRPr="00536CFD">
              <w:t>66%</w:t>
            </w:r>
          </w:p>
        </w:tc>
        <w:tc>
          <w:tcPr>
            <w:tcW w:w="896" w:type="dxa"/>
          </w:tcPr>
          <w:p w14:paraId="7B5808BF" w14:textId="77777777" w:rsidR="009D4A93" w:rsidRPr="00536CFD" w:rsidRDefault="009D4A93" w:rsidP="009D4A93">
            <w:pPr>
              <w:spacing w:after="0"/>
              <w:jc w:val="center"/>
              <w:rPr>
                <w:lang w:eastAsia="ja-JP"/>
              </w:rPr>
            </w:pPr>
            <w:r w:rsidRPr="00536CFD">
              <w:t>88%</w:t>
            </w:r>
          </w:p>
        </w:tc>
        <w:tc>
          <w:tcPr>
            <w:tcW w:w="720" w:type="dxa"/>
          </w:tcPr>
          <w:p w14:paraId="7B5478FA" w14:textId="77777777" w:rsidR="009D4A93" w:rsidRPr="00536CFD" w:rsidRDefault="009D4A93" w:rsidP="009D4A93">
            <w:pPr>
              <w:spacing w:after="0"/>
              <w:jc w:val="center"/>
              <w:rPr>
                <w:lang w:eastAsia="ja-JP"/>
              </w:rPr>
            </w:pPr>
            <w:r w:rsidRPr="00536CFD">
              <w:t>86%</w:t>
            </w:r>
          </w:p>
        </w:tc>
        <w:tc>
          <w:tcPr>
            <w:tcW w:w="720" w:type="dxa"/>
          </w:tcPr>
          <w:p w14:paraId="72B1F6BE" w14:textId="77777777" w:rsidR="009D4A93" w:rsidRPr="00536CFD" w:rsidRDefault="009D4A93" w:rsidP="009D4A93">
            <w:pPr>
              <w:spacing w:after="0"/>
              <w:jc w:val="center"/>
              <w:rPr>
                <w:lang w:eastAsia="ja-JP"/>
              </w:rPr>
            </w:pPr>
          </w:p>
        </w:tc>
      </w:tr>
      <w:tr w:rsidR="009D4A93" w:rsidRPr="00536CFD" w14:paraId="4FB997F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B18A1F5"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1B09FEC9"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Pr>
          <w:p w14:paraId="69802322" w14:textId="77777777" w:rsidR="009D4A93" w:rsidRPr="00536CFD" w:rsidRDefault="009D4A93" w:rsidP="009D4A93">
            <w:pPr>
              <w:spacing w:after="0"/>
              <w:jc w:val="center"/>
              <w:rPr>
                <w:lang w:eastAsia="ja-JP"/>
              </w:rPr>
            </w:pPr>
            <w:r w:rsidRPr="00536CFD">
              <w:t>99%</w:t>
            </w:r>
          </w:p>
        </w:tc>
        <w:tc>
          <w:tcPr>
            <w:tcW w:w="720" w:type="dxa"/>
          </w:tcPr>
          <w:p w14:paraId="73D0BF71" w14:textId="77777777" w:rsidR="009D4A93" w:rsidRPr="00536CFD" w:rsidRDefault="009D4A93" w:rsidP="009D4A93">
            <w:pPr>
              <w:spacing w:after="0"/>
              <w:jc w:val="center"/>
              <w:rPr>
                <w:lang w:eastAsia="ja-JP"/>
              </w:rPr>
            </w:pPr>
            <w:r w:rsidRPr="00536CFD">
              <w:t>100%</w:t>
            </w:r>
          </w:p>
        </w:tc>
        <w:tc>
          <w:tcPr>
            <w:tcW w:w="720" w:type="dxa"/>
          </w:tcPr>
          <w:p w14:paraId="2A4D4811" w14:textId="77777777" w:rsidR="009D4A93" w:rsidRPr="00536CFD" w:rsidRDefault="009D4A93" w:rsidP="009D4A93">
            <w:pPr>
              <w:spacing w:after="0"/>
              <w:jc w:val="center"/>
              <w:rPr>
                <w:lang w:eastAsia="ja-JP"/>
              </w:rPr>
            </w:pPr>
            <w:r w:rsidRPr="00536CFD">
              <w:t>100%</w:t>
            </w:r>
          </w:p>
        </w:tc>
        <w:tc>
          <w:tcPr>
            <w:tcW w:w="810" w:type="dxa"/>
          </w:tcPr>
          <w:p w14:paraId="71D26AF2" w14:textId="77777777" w:rsidR="009D4A93" w:rsidRPr="00536CFD" w:rsidRDefault="009D4A93" w:rsidP="009D4A93">
            <w:pPr>
              <w:spacing w:after="0"/>
              <w:jc w:val="center"/>
              <w:rPr>
                <w:lang w:eastAsia="ja-JP"/>
              </w:rPr>
            </w:pPr>
          </w:p>
        </w:tc>
        <w:tc>
          <w:tcPr>
            <w:tcW w:w="810" w:type="dxa"/>
          </w:tcPr>
          <w:p w14:paraId="305DBDA7" w14:textId="77777777" w:rsidR="009D4A93" w:rsidRPr="00536CFD" w:rsidRDefault="009D4A93" w:rsidP="009D4A93">
            <w:pPr>
              <w:spacing w:after="0"/>
              <w:jc w:val="center"/>
              <w:rPr>
                <w:lang w:eastAsia="ja-JP"/>
              </w:rPr>
            </w:pPr>
            <w:r w:rsidRPr="00536CFD">
              <w:t>88%</w:t>
            </w:r>
          </w:p>
        </w:tc>
        <w:tc>
          <w:tcPr>
            <w:tcW w:w="820" w:type="dxa"/>
          </w:tcPr>
          <w:p w14:paraId="17416D56" w14:textId="77777777" w:rsidR="009D4A93" w:rsidRPr="00536CFD" w:rsidRDefault="009D4A93" w:rsidP="009D4A93">
            <w:pPr>
              <w:spacing w:after="0"/>
              <w:jc w:val="center"/>
              <w:rPr>
                <w:lang w:eastAsia="ja-JP"/>
              </w:rPr>
            </w:pPr>
            <w:r w:rsidRPr="00536CFD">
              <w:t>98%</w:t>
            </w:r>
          </w:p>
        </w:tc>
        <w:tc>
          <w:tcPr>
            <w:tcW w:w="800" w:type="dxa"/>
          </w:tcPr>
          <w:p w14:paraId="440C4286" w14:textId="77777777" w:rsidR="009D4A93" w:rsidRPr="00536CFD" w:rsidRDefault="009D4A93" w:rsidP="009D4A93">
            <w:pPr>
              <w:spacing w:after="0"/>
              <w:jc w:val="center"/>
              <w:rPr>
                <w:lang w:eastAsia="ja-JP"/>
              </w:rPr>
            </w:pPr>
            <w:r w:rsidRPr="00536CFD">
              <w:t>95%</w:t>
            </w:r>
          </w:p>
        </w:tc>
        <w:tc>
          <w:tcPr>
            <w:tcW w:w="720" w:type="dxa"/>
          </w:tcPr>
          <w:p w14:paraId="2560F70F" w14:textId="77777777" w:rsidR="009D4A93" w:rsidRPr="00536CFD" w:rsidRDefault="009D4A93" w:rsidP="009D4A93">
            <w:pPr>
              <w:spacing w:after="0"/>
              <w:jc w:val="center"/>
              <w:rPr>
                <w:lang w:eastAsia="ja-JP"/>
              </w:rPr>
            </w:pPr>
          </w:p>
        </w:tc>
        <w:tc>
          <w:tcPr>
            <w:tcW w:w="724" w:type="dxa"/>
          </w:tcPr>
          <w:p w14:paraId="13F2AEE7" w14:textId="77777777" w:rsidR="009D4A93" w:rsidRPr="00536CFD" w:rsidRDefault="009D4A93" w:rsidP="009D4A93">
            <w:pPr>
              <w:spacing w:after="0"/>
              <w:jc w:val="center"/>
              <w:rPr>
                <w:lang w:eastAsia="ja-JP"/>
              </w:rPr>
            </w:pPr>
            <w:r w:rsidRPr="00536CFD">
              <w:t>76%</w:t>
            </w:r>
          </w:p>
        </w:tc>
        <w:tc>
          <w:tcPr>
            <w:tcW w:w="896" w:type="dxa"/>
          </w:tcPr>
          <w:p w14:paraId="602C8D16" w14:textId="77777777" w:rsidR="009D4A93" w:rsidRPr="00536CFD" w:rsidRDefault="009D4A93" w:rsidP="009D4A93">
            <w:pPr>
              <w:spacing w:after="0"/>
              <w:jc w:val="center"/>
              <w:rPr>
                <w:lang w:eastAsia="ja-JP"/>
              </w:rPr>
            </w:pPr>
            <w:r w:rsidRPr="00536CFD">
              <w:t>93%</w:t>
            </w:r>
          </w:p>
        </w:tc>
        <w:tc>
          <w:tcPr>
            <w:tcW w:w="720" w:type="dxa"/>
          </w:tcPr>
          <w:p w14:paraId="282D7589" w14:textId="77777777" w:rsidR="009D4A93" w:rsidRPr="00536CFD" w:rsidRDefault="009D4A93" w:rsidP="009D4A93">
            <w:pPr>
              <w:spacing w:after="0"/>
              <w:jc w:val="center"/>
              <w:rPr>
                <w:lang w:eastAsia="ja-JP"/>
              </w:rPr>
            </w:pPr>
            <w:r w:rsidRPr="00536CFD">
              <w:t>83%</w:t>
            </w:r>
          </w:p>
        </w:tc>
        <w:tc>
          <w:tcPr>
            <w:tcW w:w="720" w:type="dxa"/>
          </w:tcPr>
          <w:p w14:paraId="7302DBDD" w14:textId="77777777" w:rsidR="009D4A93" w:rsidRPr="00536CFD" w:rsidRDefault="009D4A93" w:rsidP="009D4A93">
            <w:pPr>
              <w:spacing w:after="0"/>
              <w:jc w:val="center"/>
              <w:rPr>
                <w:lang w:eastAsia="ja-JP"/>
              </w:rPr>
            </w:pPr>
          </w:p>
        </w:tc>
      </w:tr>
      <w:tr w:rsidR="009D4A93" w:rsidRPr="00536CFD" w14:paraId="2C68E3B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E086B3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405566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BO</w:t>
            </w:r>
          </w:p>
        </w:tc>
        <w:tc>
          <w:tcPr>
            <w:tcW w:w="714" w:type="dxa"/>
          </w:tcPr>
          <w:p w14:paraId="1BD05CDA" w14:textId="77777777" w:rsidR="009D4A93" w:rsidRPr="00536CFD" w:rsidRDefault="009D4A93" w:rsidP="009D4A93">
            <w:pPr>
              <w:spacing w:after="0"/>
              <w:jc w:val="center"/>
              <w:rPr>
                <w:lang w:eastAsia="ja-JP"/>
              </w:rPr>
            </w:pPr>
            <w:r w:rsidRPr="00536CFD">
              <w:t>10%</w:t>
            </w:r>
          </w:p>
        </w:tc>
        <w:tc>
          <w:tcPr>
            <w:tcW w:w="720" w:type="dxa"/>
          </w:tcPr>
          <w:p w14:paraId="2386C9D9" w14:textId="77777777" w:rsidR="009D4A93" w:rsidRPr="00536CFD" w:rsidRDefault="009D4A93" w:rsidP="009D4A93">
            <w:pPr>
              <w:spacing w:after="0"/>
              <w:jc w:val="center"/>
              <w:rPr>
                <w:lang w:eastAsia="ja-JP"/>
              </w:rPr>
            </w:pPr>
            <w:r w:rsidRPr="00536CFD">
              <w:t>16%</w:t>
            </w:r>
          </w:p>
        </w:tc>
        <w:tc>
          <w:tcPr>
            <w:tcW w:w="720" w:type="dxa"/>
          </w:tcPr>
          <w:p w14:paraId="04FA5B95" w14:textId="77777777" w:rsidR="009D4A93" w:rsidRPr="00536CFD" w:rsidRDefault="009D4A93" w:rsidP="009D4A93">
            <w:pPr>
              <w:spacing w:after="0"/>
              <w:jc w:val="center"/>
              <w:rPr>
                <w:lang w:eastAsia="ja-JP"/>
              </w:rPr>
            </w:pPr>
            <w:r w:rsidRPr="00536CFD">
              <w:t>2.6%</w:t>
            </w:r>
          </w:p>
        </w:tc>
        <w:tc>
          <w:tcPr>
            <w:tcW w:w="810" w:type="dxa"/>
          </w:tcPr>
          <w:p w14:paraId="13981D20" w14:textId="77777777" w:rsidR="009D4A93" w:rsidRPr="00536CFD" w:rsidRDefault="009D4A93" w:rsidP="009D4A93">
            <w:pPr>
              <w:spacing w:after="0"/>
              <w:jc w:val="center"/>
              <w:rPr>
                <w:lang w:eastAsia="ja-JP"/>
              </w:rPr>
            </w:pPr>
          </w:p>
        </w:tc>
        <w:tc>
          <w:tcPr>
            <w:tcW w:w="810" w:type="dxa"/>
          </w:tcPr>
          <w:p w14:paraId="4DA21EBB" w14:textId="77777777" w:rsidR="009D4A93" w:rsidRPr="00536CFD" w:rsidRDefault="009D4A93" w:rsidP="009D4A93">
            <w:pPr>
              <w:spacing w:after="0"/>
              <w:jc w:val="center"/>
              <w:rPr>
                <w:lang w:eastAsia="ja-JP"/>
              </w:rPr>
            </w:pPr>
            <w:r w:rsidRPr="00536CFD">
              <w:t>35%</w:t>
            </w:r>
          </w:p>
        </w:tc>
        <w:tc>
          <w:tcPr>
            <w:tcW w:w="820" w:type="dxa"/>
          </w:tcPr>
          <w:p w14:paraId="5F81B80F" w14:textId="77777777" w:rsidR="009D4A93" w:rsidRPr="00536CFD" w:rsidRDefault="009D4A93" w:rsidP="009D4A93">
            <w:pPr>
              <w:spacing w:after="0"/>
              <w:jc w:val="center"/>
              <w:rPr>
                <w:lang w:eastAsia="ja-JP"/>
              </w:rPr>
            </w:pPr>
            <w:r w:rsidRPr="00536CFD">
              <w:t>17%</w:t>
            </w:r>
          </w:p>
        </w:tc>
        <w:tc>
          <w:tcPr>
            <w:tcW w:w="800" w:type="dxa"/>
          </w:tcPr>
          <w:p w14:paraId="0E7F0646" w14:textId="77777777" w:rsidR="009D4A93" w:rsidRPr="00536CFD" w:rsidRDefault="009D4A93" w:rsidP="009D4A93">
            <w:pPr>
              <w:spacing w:after="0"/>
              <w:jc w:val="center"/>
              <w:rPr>
                <w:lang w:eastAsia="ja-JP"/>
              </w:rPr>
            </w:pPr>
            <w:r w:rsidRPr="00536CFD">
              <w:t>16%</w:t>
            </w:r>
          </w:p>
        </w:tc>
        <w:tc>
          <w:tcPr>
            <w:tcW w:w="720" w:type="dxa"/>
          </w:tcPr>
          <w:p w14:paraId="3A205158" w14:textId="77777777" w:rsidR="009D4A93" w:rsidRPr="00536CFD" w:rsidRDefault="009D4A93" w:rsidP="009D4A93">
            <w:pPr>
              <w:spacing w:after="0"/>
              <w:jc w:val="center"/>
              <w:rPr>
                <w:lang w:eastAsia="ja-JP"/>
              </w:rPr>
            </w:pPr>
          </w:p>
        </w:tc>
        <w:tc>
          <w:tcPr>
            <w:tcW w:w="724" w:type="dxa"/>
          </w:tcPr>
          <w:p w14:paraId="04DD735D" w14:textId="77777777" w:rsidR="009D4A93" w:rsidRPr="00536CFD" w:rsidRDefault="009D4A93" w:rsidP="009D4A93">
            <w:pPr>
              <w:spacing w:after="0"/>
              <w:jc w:val="center"/>
              <w:rPr>
                <w:lang w:eastAsia="ja-JP"/>
              </w:rPr>
            </w:pPr>
            <w:r w:rsidRPr="00536CFD">
              <w:t>60%</w:t>
            </w:r>
          </w:p>
        </w:tc>
        <w:tc>
          <w:tcPr>
            <w:tcW w:w="896" w:type="dxa"/>
          </w:tcPr>
          <w:p w14:paraId="3E9F7AD2" w14:textId="77777777" w:rsidR="009D4A93" w:rsidRPr="00536CFD" w:rsidRDefault="009D4A93" w:rsidP="009D4A93">
            <w:pPr>
              <w:spacing w:after="0"/>
              <w:jc w:val="center"/>
              <w:rPr>
                <w:lang w:eastAsia="ja-JP"/>
              </w:rPr>
            </w:pPr>
            <w:r w:rsidRPr="00536CFD">
              <w:t>39%</w:t>
            </w:r>
          </w:p>
        </w:tc>
        <w:tc>
          <w:tcPr>
            <w:tcW w:w="720" w:type="dxa"/>
          </w:tcPr>
          <w:p w14:paraId="0737A16F" w14:textId="77777777" w:rsidR="009D4A93" w:rsidRPr="00536CFD" w:rsidRDefault="009D4A93" w:rsidP="009D4A93">
            <w:pPr>
              <w:spacing w:after="0"/>
              <w:jc w:val="center"/>
              <w:rPr>
                <w:lang w:eastAsia="ja-JP"/>
              </w:rPr>
            </w:pPr>
            <w:r w:rsidRPr="00536CFD">
              <w:t>39%</w:t>
            </w:r>
          </w:p>
        </w:tc>
        <w:tc>
          <w:tcPr>
            <w:tcW w:w="720" w:type="dxa"/>
          </w:tcPr>
          <w:p w14:paraId="7C38DC50" w14:textId="77777777" w:rsidR="009D4A93" w:rsidRPr="00536CFD" w:rsidRDefault="009D4A93" w:rsidP="009D4A93">
            <w:pPr>
              <w:spacing w:after="0"/>
              <w:jc w:val="center"/>
              <w:rPr>
                <w:lang w:eastAsia="ja-JP"/>
              </w:rPr>
            </w:pPr>
          </w:p>
        </w:tc>
      </w:tr>
      <w:tr w:rsidR="009D4A93" w:rsidRPr="00536CFD" w14:paraId="5453C75D"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EF4F105"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5CF2B3A"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shd w:val="clear" w:color="auto" w:fill="auto"/>
          </w:tcPr>
          <w:p w14:paraId="17BA24D1" w14:textId="77777777" w:rsidR="009D4A93" w:rsidRPr="00536CFD" w:rsidRDefault="009D4A93" w:rsidP="009D4A93">
            <w:pPr>
              <w:spacing w:after="0"/>
              <w:jc w:val="center"/>
              <w:rPr>
                <w:lang w:eastAsia="ja-JP"/>
              </w:rPr>
            </w:pPr>
            <w:r w:rsidRPr="00536CFD">
              <w:t>0.17 file/s</w:t>
            </w:r>
          </w:p>
        </w:tc>
        <w:tc>
          <w:tcPr>
            <w:tcW w:w="3150" w:type="dxa"/>
            <w:gridSpan w:val="4"/>
            <w:shd w:val="clear" w:color="auto" w:fill="auto"/>
          </w:tcPr>
          <w:p w14:paraId="5B232A1C" w14:textId="77777777" w:rsidR="009D4A93" w:rsidRPr="00536CFD" w:rsidRDefault="009D4A93" w:rsidP="009D4A93">
            <w:pPr>
              <w:spacing w:after="0"/>
              <w:jc w:val="center"/>
              <w:rPr>
                <w:lang w:eastAsia="ja-JP"/>
              </w:rPr>
            </w:pPr>
            <w:r w:rsidRPr="00536CFD">
              <w:t>0.24 file/s</w:t>
            </w:r>
          </w:p>
        </w:tc>
        <w:tc>
          <w:tcPr>
            <w:tcW w:w="3060" w:type="dxa"/>
            <w:gridSpan w:val="4"/>
            <w:shd w:val="clear" w:color="auto" w:fill="auto"/>
          </w:tcPr>
          <w:p w14:paraId="6F13593F" w14:textId="77777777" w:rsidR="009D4A93" w:rsidRPr="00536CFD" w:rsidRDefault="009D4A93" w:rsidP="009D4A93">
            <w:pPr>
              <w:spacing w:after="0"/>
              <w:jc w:val="center"/>
              <w:rPr>
                <w:lang w:eastAsia="ja-JP"/>
              </w:rPr>
            </w:pPr>
            <w:r w:rsidRPr="00536CFD">
              <w:t>0.33 file/s</w:t>
            </w:r>
          </w:p>
        </w:tc>
      </w:tr>
      <w:tr w:rsidR="009D4A93" w:rsidRPr="00536CFD" w14:paraId="01C4AD1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D140FD5"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5B01812" w14:textId="77777777" w:rsidR="009D4A93" w:rsidRPr="00536CFD" w:rsidRDefault="009D4A93" w:rsidP="009D4A93">
            <w:pPr>
              <w:spacing w:after="0" w:line="360" w:lineRule="auto"/>
              <w:contextualSpacing/>
              <w:rPr>
                <w:lang w:val="en-US" w:bidi="ar"/>
              </w:rPr>
            </w:pPr>
          </w:p>
        </w:tc>
        <w:tc>
          <w:tcPr>
            <w:tcW w:w="9174" w:type="dxa"/>
            <w:gridSpan w:val="12"/>
            <w:shd w:val="clear" w:color="auto" w:fill="auto"/>
          </w:tcPr>
          <w:p w14:paraId="7F98657E" w14:textId="77777777" w:rsidR="009D4A93" w:rsidRPr="00536CFD" w:rsidRDefault="009D4A93" w:rsidP="009D4A93">
            <w:pPr>
              <w:pStyle w:val="ResTable"/>
              <w:jc w:val="left"/>
              <w:rPr>
                <w:rFonts w:ascii="Times New Roman" w:hAnsi="Times New Roman" w:cs="Times New Roman"/>
                <w:sz w:val="20"/>
                <w:szCs w:val="20"/>
              </w:rPr>
            </w:pPr>
            <w:r w:rsidRPr="00536CFD">
              <w:rPr>
                <w:rFonts w:ascii="Times New Roman" w:hAnsi="Times New Roman" w:cs="Times New Roman"/>
                <w:sz w:val="20"/>
                <w:szCs w:val="20"/>
              </w:rPr>
              <w:t xml:space="preserve">Additional comments: </w:t>
            </w:r>
          </w:p>
          <w:p w14:paraId="147A95D3" w14:textId="77777777" w:rsidR="009D4A93" w:rsidRPr="00536CFD" w:rsidRDefault="009D4A93" w:rsidP="009D4A93">
            <w:pPr>
              <w:spacing w:after="0"/>
            </w:pPr>
            <w:r w:rsidRPr="00536CFD">
              <w:rPr>
                <w:b/>
                <w:bCs/>
                <w:lang w:eastAsia="sv-SE"/>
              </w:rPr>
              <w:t>Simulation setup:</w:t>
            </w:r>
            <w:r w:rsidRPr="00536CFD">
              <w:rPr>
                <w:lang w:eastAsia="sv-SE"/>
              </w:rPr>
              <w:t xml:space="preserve"> NR-U indoor scenario, 50/50 DL/UL traffics. </w:t>
            </w:r>
            <w:r w:rsidRPr="00536CFD">
              <w:br/>
            </w:r>
            <w:r w:rsidRPr="00536CFD">
              <w:rPr>
                <w:b/>
                <w:bCs/>
              </w:rPr>
              <w:t>Common assumptions:</w:t>
            </w:r>
            <w:r w:rsidRPr="00536CFD">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ED threshold  -72dBm, SCS 30kHz, UE processing time capability #1, PUSCH mapping Type A, PDSCH mapping Type B, PDCCH monitoring every 1OS, Scheduling: proportional fair, self-scheduling. COT sharing enabled (gNB initiated COT).</w:t>
            </w:r>
          </w:p>
          <w:p w14:paraId="3DD28DA7" w14:textId="77777777" w:rsidR="009D4A93" w:rsidRPr="00536CFD" w:rsidRDefault="009D4A93" w:rsidP="009D4A93">
            <w:pPr>
              <w:spacing w:after="0"/>
              <w:rPr>
                <w:b/>
              </w:rPr>
            </w:pPr>
            <w:r w:rsidRPr="00536CFD">
              <w:rPr>
                <w:b/>
              </w:rPr>
              <w:t xml:space="preserve">Other assumptions: </w:t>
            </w:r>
          </w:p>
          <w:p w14:paraId="51911CE1" w14:textId="38B9E878" w:rsidR="009D4A93" w:rsidRPr="00536CFD" w:rsidRDefault="00A92E07" w:rsidP="00A92E07">
            <w:pPr>
              <w:pStyle w:val="B1"/>
              <w:spacing w:after="0"/>
            </w:pPr>
            <w:r w:rsidRPr="00536CFD">
              <w:t>-</w:t>
            </w:r>
            <w:r w:rsidRPr="00536CFD">
              <w:tab/>
            </w:r>
            <w:r w:rsidR="009D4A93" w:rsidRPr="00536CFD">
              <w:t>Two VoIP UEs are modelled per operator for the non-replaced operator</w:t>
            </w:r>
          </w:p>
          <w:p w14:paraId="470DBC14" w14:textId="6B1F9DA4" w:rsidR="009D4A93" w:rsidRPr="00536CFD" w:rsidRDefault="00A92E07" w:rsidP="00A92E07">
            <w:pPr>
              <w:pStyle w:val="B1"/>
              <w:spacing w:after="0"/>
            </w:pPr>
            <w:r w:rsidRPr="00536CFD">
              <w:t>-</w:t>
            </w:r>
            <w:r w:rsidRPr="00536CFD">
              <w:tab/>
            </w:r>
            <w:r w:rsidR="009D4A93" w:rsidRPr="00536CFD">
              <w:t xml:space="preserve">The shared COT is modelled as following exactly as permitted by EN 301 893. The following is assumed: </w:t>
            </w:r>
          </w:p>
          <w:p w14:paraId="74F52B05" w14:textId="1EA3F5C2" w:rsidR="009D4A93" w:rsidRPr="00536CFD" w:rsidRDefault="00A92E07" w:rsidP="00A92E07">
            <w:pPr>
              <w:pStyle w:val="B2"/>
              <w:spacing w:after="0"/>
            </w:pPr>
            <w:r w:rsidRPr="00536CFD">
              <w:t>-</w:t>
            </w:r>
            <w:r w:rsidRPr="00536CFD">
              <w:tab/>
            </w:r>
            <w:r w:rsidR="009D4A93" w:rsidRPr="00536CFD">
              <w:t xml:space="preserve">hardware turnaround time is less than 16us.  </w:t>
            </w:r>
          </w:p>
          <w:p w14:paraId="7C806443" w14:textId="12BF6A3D" w:rsidR="009D4A93" w:rsidRPr="00536CFD" w:rsidRDefault="00A92E07" w:rsidP="00A92E07">
            <w:pPr>
              <w:pStyle w:val="B2"/>
              <w:spacing w:after="0"/>
            </w:pPr>
            <w:r w:rsidRPr="00536CFD">
              <w:t>-</w:t>
            </w:r>
            <w:r w:rsidRPr="00536CFD">
              <w:tab/>
            </w:r>
            <w:r w:rsidR="009D4A93" w:rsidRPr="00536CFD">
              <w:t>For gap of above 16us but does not exceed 25us: one-shot LBT is used</w:t>
            </w:r>
          </w:p>
          <w:p w14:paraId="64934B82" w14:textId="77777777" w:rsidR="009D4A93" w:rsidRPr="00536CFD" w:rsidRDefault="009D4A93" w:rsidP="009D4A93">
            <w:pPr>
              <w:spacing w:after="0"/>
              <w:rPr>
                <w:lang w:eastAsia="ja-JP"/>
              </w:rPr>
            </w:pPr>
            <w:r w:rsidRPr="00536CFD">
              <w:t>For gap exceeding 25us: one-shot LBT is used</w:t>
            </w:r>
          </w:p>
        </w:tc>
      </w:tr>
      <w:tr w:rsidR="009D4A93" w:rsidRPr="00536CFD" w14:paraId="410928B6"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713136A6" w14:textId="77777777" w:rsidR="009D4A93" w:rsidRPr="00536CFD" w:rsidRDefault="009D4A93" w:rsidP="009D4A93">
            <w:pPr>
              <w:pStyle w:val="NormalWeb"/>
              <w:pageBreakBefore/>
              <w:spacing w:before="0" w:beforeAutospacing="0" w:after="0" w:afterAutospacing="0"/>
              <w:ind w:left="113" w:right="113"/>
              <w:jc w:val="center"/>
              <w:rPr>
                <w:rFonts w:eastAsia="SimSun"/>
                <w:sz w:val="20"/>
                <w:szCs w:val="20"/>
              </w:rPr>
            </w:pPr>
            <w:r w:rsidRPr="00536CFD">
              <w:rPr>
                <w:sz w:val="20"/>
                <w:szCs w:val="20"/>
              </w:rPr>
              <w:t>R1-1814020/ Source 8</w:t>
            </w:r>
          </w:p>
        </w:tc>
        <w:tc>
          <w:tcPr>
            <w:tcW w:w="535" w:type="dxa"/>
            <w:vMerge w:val="restart"/>
            <w:tcBorders>
              <w:top w:val="nil"/>
              <w:left w:val="nil"/>
              <w:bottom w:val="single" w:sz="4" w:space="0" w:color="auto"/>
              <w:right w:val="single" w:sz="4" w:space="0" w:color="auto"/>
            </w:tcBorders>
            <w:shd w:val="clear" w:color="auto" w:fill="auto"/>
          </w:tcPr>
          <w:p w14:paraId="080A82B6" w14:textId="77777777" w:rsidR="009D4A93" w:rsidRPr="00536CFD" w:rsidRDefault="009D4A93" w:rsidP="009D4A93">
            <w:pPr>
              <w:pageBreakBefore/>
              <w:spacing w:after="0"/>
              <w:jc w:val="center"/>
            </w:pPr>
            <w:r w:rsidRPr="00536CFD">
              <w:t xml:space="preserve">DL: </w:t>
            </w:r>
          </w:p>
          <w:p w14:paraId="164522A9" w14:textId="77777777" w:rsidR="009D4A93" w:rsidRPr="00536CFD" w:rsidRDefault="009D4A93" w:rsidP="009D4A93">
            <w:pPr>
              <w:pageBreakBefore/>
              <w:spacing w:after="0"/>
              <w:jc w:val="center"/>
            </w:pPr>
            <w:r w:rsidRPr="00536CFD">
              <w:t>UPT CDF</w:t>
            </w:r>
          </w:p>
          <w:p w14:paraId="754F7D1E"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sz w:val="20"/>
                <w:szCs w:val="20"/>
              </w:rPr>
              <w:t>[Mbps]</w:t>
            </w:r>
          </w:p>
        </w:tc>
        <w:tc>
          <w:tcPr>
            <w:tcW w:w="400" w:type="dxa"/>
            <w:tcBorders>
              <w:top w:val="single" w:sz="4" w:space="0" w:color="auto"/>
              <w:left w:val="nil"/>
              <w:bottom w:val="single" w:sz="4" w:space="0" w:color="auto"/>
              <w:right w:val="single" w:sz="4" w:space="0" w:color="auto"/>
            </w:tcBorders>
            <w:shd w:val="clear" w:color="auto" w:fill="auto"/>
          </w:tcPr>
          <w:p w14:paraId="057FCBEE"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sz w:val="20"/>
                <w:szCs w:val="20"/>
              </w:rPr>
              <w:t>5%</w:t>
            </w:r>
          </w:p>
        </w:tc>
        <w:tc>
          <w:tcPr>
            <w:tcW w:w="714" w:type="dxa"/>
          </w:tcPr>
          <w:p w14:paraId="12BF2FD2" w14:textId="77777777" w:rsidR="009D4A93" w:rsidRPr="00536CFD" w:rsidRDefault="009D4A93" w:rsidP="009D4A93">
            <w:pPr>
              <w:pageBreakBefore/>
              <w:spacing w:after="0"/>
              <w:jc w:val="center"/>
              <w:rPr>
                <w:lang w:eastAsia="ja-JP"/>
              </w:rPr>
            </w:pPr>
            <w:r w:rsidRPr="00536CFD">
              <w:t>37.34</w:t>
            </w:r>
          </w:p>
        </w:tc>
        <w:tc>
          <w:tcPr>
            <w:tcW w:w="720" w:type="dxa"/>
          </w:tcPr>
          <w:p w14:paraId="4B9A5445" w14:textId="77777777" w:rsidR="009D4A93" w:rsidRPr="00536CFD" w:rsidRDefault="009D4A93" w:rsidP="009D4A93">
            <w:pPr>
              <w:pageBreakBefore/>
              <w:spacing w:after="0"/>
              <w:jc w:val="center"/>
              <w:rPr>
                <w:lang w:eastAsia="ja-JP"/>
              </w:rPr>
            </w:pPr>
            <w:r w:rsidRPr="00536CFD">
              <w:t>35.48</w:t>
            </w:r>
          </w:p>
        </w:tc>
        <w:tc>
          <w:tcPr>
            <w:tcW w:w="720" w:type="dxa"/>
          </w:tcPr>
          <w:p w14:paraId="7A9FB1C1" w14:textId="77777777" w:rsidR="009D4A93" w:rsidRPr="00536CFD" w:rsidRDefault="009D4A93" w:rsidP="009D4A93">
            <w:pPr>
              <w:pageBreakBefore/>
              <w:spacing w:after="0"/>
              <w:jc w:val="center"/>
              <w:rPr>
                <w:lang w:eastAsia="ja-JP"/>
              </w:rPr>
            </w:pPr>
            <w:r w:rsidRPr="00536CFD">
              <w:t>41.46</w:t>
            </w:r>
          </w:p>
        </w:tc>
        <w:tc>
          <w:tcPr>
            <w:tcW w:w="810" w:type="dxa"/>
          </w:tcPr>
          <w:p w14:paraId="5B733F62" w14:textId="77777777" w:rsidR="009D4A93" w:rsidRPr="00536CFD" w:rsidRDefault="009D4A93" w:rsidP="009D4A93">
            <w:pPr>
              <w:pageBreakBefore/>
              <w:spacing w:after="0"/>
              <w:jc w:val="center"/>
              <w:rPr>
                <w:lang w:eastAsia="ja-JP"/>
              </w:rPr>
            </w:pPr>
          </w:p>
        </w:tc>
        <w:tc>
          <w:tcPr>
            <w:tcW w:w="810" w:type="dxa"/>
          </w:tcPr>
          <w:p w14:paraId="6F537F9F" w14:textId="77777777" w:rsidR="009D4A93" w:rsidRPr="00536CFD" w:rsidRDefault="009D4A93" w:rsidP="009D4A93">
            <w:pPr>
              <w:pageBreakBefore/>
              <w:spacing w:after="0"/>
              <w:jc w:val="center"/>
              <w:rPr>
                <w:lang w:eastAsia="ja-JP"/>
              </w:rPr>
            </w:pPr>
            <w:r w:rsidRPr="00536CFD">
              <w:t>20.79</w:t>
            </w:r>
          </w:p>
        </w:tc>
        <w:tc>
          <w:tcPr>
            <w:tcW w:w="820" w:type="dxa"/>
          </w:tcPr>
          <w:p w14:paraId="7153DB9D" w14:textId="77777777" w:rsidR="009D4A93" w:rsidRPr="00536CFD" w:rsidRDefault="009D4A93" w:rsidP="009D4A93">
            <w:pPr>
              <w:pageBreakBefore/>
              <w:spacing w:after="0"/>
              <w:jc w:val="center"/>
              <w:rPr>
                <w:lang w:eastAsia="ja-JP"/>
              </w:rPr>
            </w:pPr>
            <w:r w:rsidRPr="00536CFD">
              <w:t>26.38</w:t>
            </w:r>
          </w:p>
        </w:tc>
        <w:tc>
          <w:tcPr>
            <w:tcW w:w="800" w:type="dxa"/>
          </w:tcPr>
          <w:p w14:paraId="391D02C2" w14:textId="77777777" w:rsidR="009D4A93" w:rsidRPr="00536CFD" w:rsidRDefault="009D4A93" w:rsidP="009D4A93">
            <w:pPr>
              <w:pageBreakBefore/>
              <w:spacing w:after="0"/>
              <w:jc w:val="center"/>
              <w:rPr>
                <w:lang w:eastAsia="ja-JP"/>
              </w:rPr>
            </w:pPr>
            <w:r w:rsidRPr="00536CFD">
              <w:t>32.47</w:t>
            </w:r>
          </w:p>
        </w:tc>
        <w:tc>
          <w:tcPr>
            <w:tcW w:w="720" w:type="dxa"/>
          </w:tcPr>
          <w:p w14:paraId="28FF9589" w14:textId="77777777" w:rsidR="009D4A93" w:rsidRPr="00536CFD" w:rsidRDefault="009D4A93" w:rsidP="009D4A93">
            <w:pPr>
              <w:pageBreakBefore/>
              <w:spacing w:after="0"/>
              <w:jc w:val="center"/>
              <w:rPr>
                <w:lang w:eastAsia="ja-JP"/>
              </w:rPr>
            </w:pPr>
          </w:p>
        </w:tc>
        <w:tc>
          <w:tcPr>
            <w:tcW w:w="724" w:type="dxa"/>
          </w:tcPr>
          <w:p w14:paraId="70186010" w14:textId="77777777" w:rsidR="009D4A93" w:rsidRPr="00536CFD" w:rsidRDefault="009D4A93" w:rsidP="009D4A93">
            <w:pPr>
              <w:pageBreakBefore/>
              <w:spacing w:after="0"/>
              <w:jc w:val="center"/>
              <w:rPr>
                <w:lang w:eastAsia="ja-JP"/>
              </w:rPr>
            </w:pPr>
            <w:r w:rsidRPr="00536CFD">
              <w:t>10.03</w:t>
            </w:r>
          </w:p>
        </w:tc>
        <w:tc>
          <w:tcPr>
            <w:tcW w:w="896" w:type="dxa"/>
          </w:tcPr>
          <w:p w14:paraId="722A47F6" w14:textId="77777777" w:rsidR="009D4A93" w:rsidRPr="00536CFD" w:rsidRDefault="009D4A93" w:rsidP="009D4A93">
            <w:pPr>
              <w:pageBreakBefore/>
              <w:spacing w:after="0"/>
              <w:jc w:val="center"/>
              <w:rPr>
                <w:lang w:eastAsia="ja-JP"/>
              </w:rPr>
            </w:pPr>
            <w:r w:rsidRPr="00536CFD">
              <w:t>16.82</w:t>
            </w:r>
          </w:p>
        </w:tc>
        <w:tc>
          <w:tcPr>
            <w:tcW w:w="720" w:type="dxa"/>
          </w:tcPr>
          <w:p w14:paraId="5B1795D6" w14:textId="77777777" w:rsidR="009D4A93" w:rsidRPr="00536CFD" w:rsidRDefault="009D4A93" w:rsidP="009D4A93">
            <w:pPr>
              <w:pageBreakBefore/>
              <w:spacing w:after="0"/>
              <w:jc w:val="center"/>
              <w:rPr>
                <w:lang w:eastAsia="ja-JP"/>
              </w:rPr>
            </w:pPr>
            <w:r w:rsidRPr="00536CFD">
              <w:t>18.11</w:t>
            </w:r>
          </w:p>
        </w:tc>
        <w:tc>
          <w:tcPr>
            <w:tcW w:w="720" w:type="dxa"/>
          </w:tcPr>
          <w:p w14:paraId="32DC1B1E" w14:textId="77777777" w:rsidR="009D4A93" w:rsidRPr="00536CFD" w:rsidRDefault="009D4A93" w:rsidP="009D4A93">
            <w:pPr>
              <w:pageBreakBefore/>
              <w:spacing w:after="0"/>
              <w:jc w:val="center"/>
              <w:rPr>
                <w:lang w:eastAsia="ja-JP"/>
              </w:rPr>
            </w:pPr>
          </w:p>
        </w:tc>
      </w:tr>
      <w:tr w:rsidR="009D4A93" w:rsidRPr="00536CFD" w14:paraId="272B649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76BADA7"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8F1A9DA"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A0DBCE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4C15BACC" w14:textId="77777777" w:rsidR="009D4A93" w:rsidRPr="00536CFD" w:rsidRDefault="009D4A93" w:rsidP="009D4A93">
            <w:pPr>
              <w:spacing w:after="0"/>
              <w:jc w:val="center"/>
              <w:rPr>
                <w:lang w:eastAsia="ja-JP"/>
              </w:rPr>
            </w:pPr>
            <w:r w:rsidRPr="00536CFD">
              <w:t>82.65</w:t>
            </w:r>
          </w:p>
        </w:tc>
        <w:tc>
          <w:tcPr>
            <w:tcW w:w="720" w:type="dxa"/>
          </w:tcPr>
          <w:p w14:paraId="78ABF0C2" w14:textId="77777777" w:rsidR="009D4A93" w:rsidRPr="00536CFD" w:rsidRDefault="009D4A93" w:rsidP="009D4A93">
            <w:pPr>
              <w:spacing w:after="0"/>
              <w:jc w:val="center"/>
              <w:rPr>
                <w:lang w:eastAsia="ja-JP"/>
              </w:rPr>
            </w:pPr>
            <w:r w:rsidRPr="00536CFD">
              <w:t>81.62</w:t>
            </w:r>
          </w:p>
        </w:tc>
        <w:tc>
          <w:tcPr>
            <w:tcW w:w="720" w:type="dxa"/>
          </w:tcPr>
          <w:p w14:paraId="77403BB5" w14:textId="77777777" w:rsidR="009D4A93" w:rsidRPr="00536CFD" w:rsidRDefault="009D4A93" w:rsidP="009D4A93">
            <w:pPr>
              <w:spacing w:after="0"/>
              <w:jc w:val="center"/>
              <w:rPr>
                <w:lang w:eastAsia="ja-JP"/>
              </w:rPr>
            </w:pPr>
            <w:r w:rsidRPr="00536CFD">
              <w:t>97.56</w:t>
            </w:r>
          </w:p>
        </w:tc>
        <w:tc>
          <w:tcPr>
            <w:tcW w:w="810" w:type="dxa"/>
          </w:tcPr>
          <w:p w14:paraId="763F8B0F" w14:textId="77777777" w:rsidR="009D4A93" w:rsidRPr="00536CFD" w:rsidRDefault="009D4A93" w:rsidP="009D4A93">
            <w:pPr>
              <w:spacing w:after="0"/>
              <w:jc w:val="center"/>
              <w:rPr>
                <w:lang w:eastAsia="ja-JP"/>
              </w:rPr>
            </w:pPr>
          </w:p>
        </w:tc>
        <w:tc>
          <w:tcPr>
            <w:tcW w:w="810" w:type="dxa"/>
          </w:tcPr>
          <w:p w14:paraId="7EC6A579" w14:textId="77777777" w:rsidR="009D4A93" w:rsidRPr="00536CFD" w:rsidRDefault="009D4A93" w:rsidP="009D4A93">
            <w:pPr>
              <w:spacing w:after="0"/>
              <w:jc w:val="center"/>
              <w:rPr>
                <w:lang w:eastAsia="ja-JP"/>
              </w:rPr>
            </w:pPr>
            <w:r w:rsidRPr="00536CFD">
              <w:t>53.52</w:t>
            </w:r>
          </w:p>
        </w:tc>
        <w:tc>
          <w:tcPr>
            <w:tcW w:w="820" w:type="dxa"/>
          </w:tcPr>
          <w:p w14:paraId="25C709DF" w14:textId="77777777" w:rsidR="009D4A93" w:rsidRPr="00536CFD" w:rsidRDefault="009D4A93" w:rsidP="009D4A93">
            <w:pPr>
              <w:spacing w:after="0"/>
              <w:jc w:val="center"/>
              <w:rPr>
                <w:lang w:eastAsia="ja-JP"/>
              </w:rPr>
            </w:pPr>
            <w:r w:rsidRPr="00536CFD">
              <w:t>65.42</w:t>
            </w:r>
          </w:p>
        </w:tc>
        <w:tc>
          <w:tcPr>
            <w:tcW w:w="800" w:type="dxa"/>
          </w:tcPr>
          <w:p w14:paraId="5FD26DAD" w14:textId="77777777" w:rsidR="009D4A93" w:rsidRPr="00536CFD" w:rsidRDefault="009D4A93" w:rsidP="009D4A93">
            <w:pPr>
              <w:spacing w:after="0"/>
              <w:jc w:val="center"/>
              <w:rPr>
                <w:lang w:eastAsia="ja-JP"/>
              </w:rPr>
            </w:pPr>
            <w:r w:rsidRPr="00536CFD">
              <w:t>76.81</w:t>
            </w:r>
          </w:p>
        </w:tc>
        <w:tc>
          <w:tcPr>
            <w:tcW w:w="720" w:type="dxa"/>
          </w:tcPr>
          <w:p w14:paraId="26C6727F" w14:textId="77777777" w:rsidR="009D4A93" w:rsidRPr="00536CFD" w:rsidRDefault="009D4A93" w:rsidP="009D4A93">
            <w:pPr>
              <w:spacing w:after="0"/>
              <w:jc w:val="center"/>
              <w:rPr>
                <w:lang w:eastAsia="ja-JP"/>
              </w:rPr>
            </w:pPr>
          </w:p>
        </w:tc>
        <w:tc>
          <w:tcPr>
            <w:tcW w:w="724" w:type="dxa"/>
          </w:tcPr>
          <w:p w14:paraId="26233427" w14:textId="77777777" w:rsidR="009D4A93" w:rsidRPr="00536CFD" w:rsidRDefault="009D4A93" w:rsidP="009D4A93">
            <w:pPr>
              <w:spacing w:after="0"/>
              <w:jc w:val="center"/>
              <w:rPr>
                <w:lang w:eastAsia="ja-JP"/>
              </w:rPr>
            </w:pPr>
            <w:r w:rsidRPr="00536CFD">
              <w:t>26.09</w:t>
            </w:r>
          </w:p>
        </w:tc>
        <w:tc>
          <w:tcPr>
            <w:tcW w:w="896" w:type="dxa"/>
          </w:tcPr>
          <w:p w14:paraId="2F94709E" w14:textId="77777777" w:rsidR="009D4A93" w:rsidRPr="00536CFD" w:rsidRDefault="009D4A93" w:rsidP="009D4A93">
            <w:pPr>
              <w:spacing w:after="0"/>
              <w:jc w:val="center"/>
              <w:rPr>
                <w:lang w:eastAsia="ja-JP"/>
              </w:rPr>
            </w:pPr>
            <w:r w:rsidRPr="00536CFD">
              <w:t>46.09</w:t>
            </w:r>
          </w:p>
        </w:tc>
        <w:tc>
          <w:tcPr>
            <w:tcW w:w="720" w:type="dxa"/>
          </w:tcPr>
          <w:p w14:paraId="6CB13CEE" w14:textId="77777777" w:rsidR="009D4A93" w:rsidRPr="00536CFD" w:rsidRDefault="009D4A93" w:rsidP="009D4A93">
            <w:pPr>
              <w:spacing w:after="0"/>
              <w:jc w:val="center"/>
              <w:rPr>
                <w:lang w:eastAsia="ja-JP"/>
              </w:rPr>
            </w:pPr>
            <w:r w:rsidRPr="00536CFD">
              <w:t>51.99</w:t>
            </w:r>
          </w:p>
        </w:tc>
        <w:tc>
          <w:tcPr>
            <w:tcW w:w="720" w:type="dxa"/>
          </w:tcPr>
          <w:p w14:paraId="667B6700" w14:textId="77777777" w:rsidR="009D4A93" w:rsidRPr="00536CFD" w:rsidRDefault="009D4A93" w:rsidP="009D4A93">
            <w:pPr>
              <w:spacing w:after="0"/>
              <w:jc w:val="center"/>
              <w:rPr>
                <w:lang w:eastAsia="ja-JP"/>
              </w:rPr>
            </w:pPr>
          </w:p>
        </w:tc>
      </w:tr>
      <w:tr w:rsidR="009D4A93" w:rsidRPr="00536CFD" w14:paraId="7218B1E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6BF86F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CA8B65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F6761C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2C1EB7AE" w14:textId="77777777" w:rsidR="009D4A93" w:rsidRPr="00536CFD" w:rsidRDefault="009D4A93" w:rsidP="009D4A93">
            <w:pPr>
              <w:spacing w:after="0"/>
              <w:jc w:val="center"/>
              <w:rPr>
                <w:lang w:eastAsia="ja-JP"/>
              </w:rPr>
            </w:pPr>
            <w:r w:rsidRPr="00536CFD">
              <w:t>101.71</w:t>
            </w:r>
          </w:p>
        </w:tc>
        <w:tc>
          <w:tcPr>
            <w:tcW w:w="720" w:type="dxa"/>
          </w:tcPr>
          <w:p w14:paraId="31796461" w14:textId="77777777" w:rsidR="009D4A93" w:rsidRPr="00536CFD" w:rsidRDefault="009D4A93" w:rsidP="009D4A93">
            <w:pPr>
              <w:spacing w:after="0"/>
              <w:jc w:val="center"/>
              <w:rPr>
                <w:lang w:eastAsia="ja-JP"/>
              </w:rPr>
            </w:pPr>
            <w:r w:rsidRPr="00536CFD">
              <w:t>103.75</w:t>
            </w:r>
          </w:p>
        </w:tc>
        <w:tc>
          <w:tcPr>
            <w:tcW w:w="720" w:type="dxa"/>
          </w:tcPr>
          <w:p w14:paraId="190CB2BC" w14:textId="77777777" w:rsidR="009D4A93" w:rsidRPr="00536CFD" w:rsidRDefault="009D4A93" w:rsidP="009D4A93">
            <w:pPr>
              <w:spacing w:after="0"/>
              <w:jc w:val="center"/>
              <w:rPr>
                <w:lang w:eastAsia="ja-JP"/>
              </w:rPr>
            </w:pPr>
            <w:r w:rsidRPr="00536CFD">
              <w:t>123.09</w:t>
            </w:r>
          </w:p>
        </w:tc>
        <w:tc>
          <w:tcPr>
            <w:tcW w:w="810" w:type="dxa"/>
          </w:tcPr>
          <w:p w14:paraId="17319371" w14:textId="77777777" w:rsidR="009D4A93" w:rsidRPr="00536CFD" w:rsidRDefault="009D4A93" w:rsidP="009D4A93">
            <w:pPr>
              <w:spacing w:after="0"/>
              <w:jc w:val="center"/>
              <w:rPr>
                <w:lang w:eastAsia="ja-JP"/>
              </w:rPr>
            </w:pPr>
          </w:p>
        </w:tc>
        <w:tc>
          <w:tcPr>
            <w:tcW w:w="810" w:type="dxa"/>
          </w:tcPr>
          <w:p w14:paraId="63F211EB" w14:textId="77777777" w:rsidR="009D4A93" w:rsidRPr="00536CFD" w:rsidRDefault="009D4A93" w:rsidP="009D4A93">
            <w:pPr>
              <w:spacing w:after="0"/>
              <w:jc w:val="center"/>
              <w:rPr>
                <w:lang w:eastAsia="ja-JP"/>
              </w:rPr>
            </w:pPr>
            <w:r w:rsidRPr="00536CFD">
              <w:t>75.85</w:t>
            </w:r>
          </w:p>
        </w:tc>
        <w:tc>
          <w:tcPr>
            <w:tcW w:w="820" w:type="dxa"/>
          </w:tcPr>
          <w:p w14:paraId="58A6433B" w14:textId="77777777" w:rsidR="009D4A93" w:rsidRPr="00536CFD" w:rsidRDefault="009D4A93" w:rsidP="009D4A93">
            <w:pPr>
              <w:spacing w:after="0"/>
              <w:jc w:val="center"/>
              <w:rPr>
                <w:lang w:eastAsia="ja-JP"/>
              </w:rPr>
            </w:pPr>
            <w:r w:rsidRPr="00536CFD">
              <w:t>92.94</w:t>
            </w:r>
          </w:p>
        </w:tc>
        <w:tc>
          <w:tcPr>
            <w:tcW w:w="800" w:type="dxa"/>
          </w:tcPr>
          <w:p w14:paraId="7D6E069F" w14:textId="77777777" w:rsidR="009D4A93" w:rsidRPr="00536CFD" w:rsidRDefault="009D4A93" w:rsidP="009D4A93">
            <w:pPr>
              <w:spacing w:after="0"/>
              <w:jc w:val="center"/>
              <w:rPr>
                <w:lang w:eastAsia="ja-JP"/>
              </w:rPr>
            </w:pPr>
            <w:r w:rsidRPr="00536CFD">
              <w:t>105.80</w:t>
            </w:r>
          </w:p>
        </w:tc>
        <w:tc>
          <w:tcPr>
            <w:tcW w:w="720" w:type="dxa"/>
          </w:tcPr>
          <w:p w14:paraId="0100F9F3" w14:textId="77777777" w:rsidR="009D4A93" w:rsidRPr="00536CFD" w:rsidRDefault="009D4A93" w:rsidP="009D4A93">
            <w:pPr>
              <w:spacing w:after="0"/>
              <w:jc w:val="center"/>
              <w:rPr>
                <w:lang w:eastAsia="ja-JP"/>
              </w:rPr>
            </w:pPr>
          </w:p>
        </w:tc>
        <w:tc>
          <w:tcPr>
            <w:tcW w:w="724" w:type="dxa"/>
          </w:tcPr>
          <w:p w14:paraId="1D81A03E" w14:textId="77777777" w:rsidR="009D4A93" w:rsidRPr="00536CFD" w:rsidRDefault="009D4A93" w:rsidP="009D4A93">
            <w:pPr>
              <w:spacing w:after="0"/>
              <w:jc w:val="center"/>
              <w:rPr>
                <w:lang w:eastAsia="ja-JP"/>
              </w:rPr>
            </w:pPr>
            <w:r w:rsidRPr="00536CFD">
              <w:t>50.83</w:t>
            </w:r>
          </w:p>
        </w:tc>
        <w:tc>
          <w:tcPr>
            <w:tcW w:w="896" w:type="dxa"/>
          </w:tcPr>
          <w:p w14:paraId="10ED3083" w14:textId="77777777" w:rsidR="009D4A93" w:rsidRPr="00536CFD" w:rsidRDefault="009D4A93" w:rsidP="009D4A93">
            <w:pPr>
              <w:spacing w:after="0"/>
              <w:jc w:val="center"/>
              <w:rPr>
                <w:lang w:eastAsia="ja-JP"/>
              </w:rPr>
            </w:pPr>
            <w:r w:rsidRPr="00536CFD">
              <w:t>75.27</w:t>
            </w:r>
          </w:p>
        </w:tc>
        <w:tc>
          <w:tcPr>
            <w:tcW w:w="720" w:type="dxa"/>
          </w:tcPr>
          <w:p w14:paraId="766AC33A" w14:textId="77777777" w:rsidR="009D4A93" w:rsidRPr="00536CFD" w:rsidRDefault="009D4A93" w:rsidP="009D4A93">
            <w:pPr>
              <w:spacing w:after="0"/>
              <w:jc w:val="center"/>
              <w:rPr>
                <w:lang w:eastAsia="ja-JP"/>
              </w:rPr>
            </w:pPr>
            <w:r w:rsidRPr="00536CFD">
              <w:t>82.38</w:t>
            </w:r>
          </w:p>
        </w:tc>
        <w:tc>
          <w:tcPr>
            <w:tcW w:w="720" w:type="dxa"/>
          </w:tcPr>
          <w:p w14:paraId="78D08203" w14:textId="77777777" w:rsidR="009D4A93" w:rsidRPr="00536CFD" w:rsidRDefault="009D4A93" w:rsidP="009D4A93">
            <w:pPr>
              <w:spacing w:after="0"/>
              <w:jc w:val="center"/>
              <w:rPr>
                <w:lang w:eastAsia="ja-JP"/>
              </w:rPr>
            </w:pPr>
          </w:p>
        </w:tc>
      </w:tr>
      <w:tr w:rsidR="009D4A93" w:rsidRPr="00536CFD" w14:paraId="2B1047FA"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86F1FF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A2A80E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BA0EC6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1799D8E7" w14:textId="77777777" w:rsidR="009D4A93" w:rsidRPr="00536CFD" w:rsidRDefault="009D4A93" w:rsidP="009D4A93">
            <w:pPr>
              <w:spacing w:after="0"/>
              <w:jc w:val="center"/>
              <w:rPr>
                <w:lang w:eastAsia="ja-JP"/>
              </w:rPr>
            </w:pPr>
            <w:r w:rsidRPr="00536CFD">
              <w:t>80.59</w:t>
            </w:r>
          </w:p>
        </w:tc>
        <w:tc>
          <w:tcPr>
            <w:tcW w:w="720" w:type="dxa"/>
          </w:tcPr>
          <w:p w14:paraId="0422D34A" w14:textId="77777777" w:rsidR="009D4A93" w:rsidRPr="00536CFD" w:rsidRDefault="009D4A93" w:rsidP="009D4A93">
            <w:pPr>
              <w:spacing w:after="0"/>
              <w:jc w:val="center"/>
              <w:rPr>
                <w:lang w:eastAsia="ja-JP"/>
              </w:rPr>
            </w:pPr>
            <w:r w:rsidRPr="00536CFD">
              <w:t>80.78</w:t>
            </w:r>
          </w:p>
        </w:tc>
        <w:tc>
          <w:tcPr>
            <w:tcW w:w="720" w:type="dxa"/>
          </w:tcPr>
          <w:p w14:paraId="4710684B" w14:textId="77777777" w:rsidR="009D4A93" w:rsidRPr="00536CFD" w:rsidRDefault="009D4A93" w:rsidP="009D4A93">
            <w:pPr>
              <w:spacing w:after="0"/>
              <w:jc w:val="center"/>
              <w:rPr>
                <w:lang w:eastAsia="ja-JP"/>
              </w:rPr>
            </w:pPr>
            <w:r w:rsidRPr="00536CFD">
              <w:t>95.92</w:t>
            </w:r>
          </w:p>
        </w:tc>
        <w:tc>
          <w:tcPr>
            <w:tcW w:w="810" w:type="dxa"/>
          </w:tcPr>
          <w:p w14:paraId="5B7DD7BE" w14:textId="77777777" w:rsidR="009D4A93" w:rsidRPr="00536CFD" w:rsidRDefault="009D4A93" w:rsidP="009D4A93">
            <w:pPr>
              <w:spacing w:after="0"/>
              <w:jc w:val="center"/>
              <w:rPr>
                <w:lang w:eastAsia="ja-JP"/>
              </w:rPr>
            </w:pPr>
          </w:p>
        </w:tc>
        <w:tc>
          <w:tcPr>
            <w:tcW w:w="810" w:type="dxa"/>
          </w:tcPr>
          <w:p w14:paraId="05CA6D58" w14:textId="77777777" w:rsidR="009D4A93" w:rsidRPr="00536CFD" w:rsidRDefault="009D4A93" w:rsidP="009D4A93">
            <w:pPr>
              <w:spacing w:after="0"/>
              <w:jc w:val="center"/>
              <w:rPr>
                <w:lang w:eastAsia="ja-JP"/>
              </w:rPr>
            </w:pPr>
            <w:r w:rsidRPr="00536CFD">
              <w:t>54.14</w:t>
            </w:r>
          </w:p>
        </w:tc>
        <w:tc>
          <w:tcPr>
            <w:tcW w:w="820" w:type="dxa"/>
          </w:tcPr>
          <w:p w14:paraId="41D169DD" w14:textId="77777777" w:rsidR="009D4A93" w:rsidRPr="00536CFD" w:rsidRDefault="009D4A93" w:rsidP="009D4A93">
            <w:pPr>
              <w:spacing w:after="0"/>
              <w:jc w:val="center"/>
              <w:rPr>
                <w:lang w:eastAsia="ja-JP"/>
              </w:rPr>
            </w:pPr>
            <w:r w:rsidRPr="00536CFD">
              <w:t>66.81</w:t>
            </w:r>
          </w:p>
        </w:tc>
        <w:tc>
          <w:tcPr>
            <w:tcW w:w="800" w:type="dxa"/>
          </w:tcPr>
          <w:p w14:paraId="19D71329" w14:textId="77777777" w:rsidR="009D4A93" w:rsidRPr="00536CFD" w:rsidRDefault="009D4A93" w:rsidP="009D4A93">
            <w:pPr>
              <w:spacing w:after="0"/>
              <w:jc w:val="center"/>
              <w:rPr>
                <w:lang w:eastAsia="ja-JP"/>
              </w:rPr>
            </w:pPr>
            <w:r w:rsidRPr="00536CFD">
              <w:t>78.40</w:t>
            </w:r>
          </w:p>
        </w:tc>
        <w:tc>
          <w:tcPr>
            <w:tcW w:w="720" w:type="dxa"/>
          </w:tcPr>
          <w:p w14:paraId="6B06D77F" w14:textId="77777777" w:rsidR="009D4A93" w:rsidRPr="00536CFD" w:rsidRDefault="009D4A93" w:rsidP="009D4A93">
            <w:pPr>
              <w:spacing w:after="0"/>
              <w:jc w:val="center"/>
              <w:rPr>
                <w:lang w:eastAsia="ja-JP"/>
              </w:rPr>
            </w:pPr>
          </w:p>
        </w:tc>
        <w:tc>
          <w:tcPr>
            <w:tcW w:w="724" w:type="dxa"/>
          </w:tcPr>
          <w:p w14:paraId="0086078B" w14:textId="77777777" w:rsidR="009D4A93" w:rsidRPr="00536CFD" w:rsidRDefault="009D4A93" w:rsidP="009D4A93">
            <w:pPr>
              <w:spacing w:after="0"/>
              <w:jc w:val="center"/>
              <w:rPr>
                <w:lang w:eastAsia="ja-JP"/>
              </w:rPr>
            </w:pPr>
            <w:r w:rsidRPr="00536CFD">
              <w:t>30.03</w:t>
            </w:r>
          </w:p>
        </w:tc>
        <w:tc>
          <w:tcPr>
            <w:tcW w:w="896" w:type="dxa"/>
          </w:tcPr>
          <w:p w14:paraId="30DC2242" w14:textId="77777777" w:rsidR="009D4A93" w:rsidRPr="00536CFD" w:rsidRDefault="009D4A93" w:rsidP="009D4A93">
            <w:pPr>
              <w:spacing w:after="0"/>
              <w:jc w:val="center"/>
              <w:rPr>
                <w:lang w:eastAsia="ja-JP"/>
              </w:rPr>
            </w:pPr>
            <w:r w:rsidRPr="00536CFD">
              <w:t>49.20</w:t>
            </w:r>
          </w:p>
        </w:tc>
        <w:tc>
          <w:tcPr>
            <w:tcW w:w="720" w:type="dxa"/>
          </w:tcPr>
          <w:p w14:paraId="081B11C0" w14:textId="77777777" w:rsidR="009D4A93" w:rsidRPr="00536CFD" w:rsidRDefault="009D4A93" w:rsidP="009D4A93">
            <w:pPr>
              <w:spacing w:after="0"/>
              <w:jc w:val="center"/>
              <w:rPr>
                <w:lang w:eastAsia="ja-JP"/>
              </w:rPr>
            </w:pPr>
            <w:r w:rsidRPr="00536CFD">
              <w:t>54.21</w:t>
            </w:r>
          </w:p>
        </w:tc>
        <w:tc>
          <w:tcPr>
            <w:tcW w:w="720" w:type="dxa"/>
          </w:tcPr>
          <w:p w14:paraId="1184B494" w14:textId="77777777" w:rsidR="009D4A93" w:rsidRPr="00536CFD" w:rsidRDefault="009D4A93" w:rsidP="009D4A93">
            <w:pPr>
              <w:spacing w:after="0"/>
              <w:jc w:val="center"/>
              <w:rPr>
                <w:lang w:eastAsia="ja-JP"/>
              </w:rPr>
            </w:pPr>
          </w:p>
        </w:tc>
      </w:tr>
      <w:tr w:rsidR="009D4A93" w:rsidRPr="00536CFD" w14:paraId="6D031D9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AA6187A"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4105C990" w14:textId="77777777" w:rsidR="009D4A93" w:rsidRPr="00536CFD" w:rsidRDefault="009D4A93" w:rsidP="009D4A93">
            <w:pPr>
              <w:spacing w:after="0"/>
              <w:jc w:val="center"/>
            </w:pPr>
            <w:r w:rsidRPr="00536CFD">
              <w:t>DL:</w:t>
            </w:r>
          </w:p>
          <w:p w14:paraId="16127537" w14:textId="77777777" w:rsidR="009D4A93" w:rsidRPr="00536CFD" w:rsidRDefault="009D4A93" w:rsidP="009D4A93">
            <w:pPr>
              <w:spacing w:after="0"/>
              <w:jc w:val="center"/>
            </w:pPr>
            <w:r w:rsidRPr="00536CFD">
              <w:t>Delay CDF</w:t>
            </w:r>
          </w:p>
          <w:p w14:paraId="5D277D5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[s]</w:t>
            </w:r>
          </w:p>
        </w:tc>
        <w:tc>
          <w:tcPr>
            <w:tcW w:w="400" w:type="dxa"/>
            <w:tcBorders>
              <w:top w:val="single" w:sz="4" w:space="0" w:color="auto"/>
              <w:left w:val="nil"/>
              <w:bottom w:val="single" w:sz="4" w:space="0" w:color="auto"/>
              <w:right w:val="single" w:sz="4" w:space="0" w:color="auto"/>
            </w:tcBorders>
            <w:shd w:val="clear" w:color="auto" w:fill="auto"/>
          </w:tcPr>
          <w:p w14:paraId="4EFF916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3D7AC5E2" w14:textId="77777777" w:rsidR="009D4A93" w:rsidRPr="00536CFD" w:rsidRDefault="009D4A93" w:rsidP="009D4A93">
            <w:pPr>
              <w:spacing w:after="0"/>
              <w:jc w:val="center"/>
              <w:rPr>
                <w:lang w:eastAsia="ja-JP"/>
              </w:rPr>
            </w:pPr>
            <w:r w:rsidRPr="00536CFD">
              <w:t>0.036</w:t>
            </w:r>
          </w:p>
        </w:tc>
        <w:tc>
          <w:tcPr>
            <w:tcW w:w="720" w:type="dxa"/>
          </w:tcPr>
          <w:p w14:paraId="2A064D4A" w14:textId="77777777" w:rsidR="009D4A93" w:rsidRPr="00536CFD" w:rsidRDefault="009D4A93" w:rsidP="009D4A93">
            <w:pPr>
              <w:spacing w:after="0"/>
              <w:jc w:val="center"/>
              <w:rPr>
                <w:lang w:eastAsia="ja-JP"/>
              </w:rPr>
            </w:pPr>
            <w:r w:rsidRPr="00536CFD">
              <w:t>0.034</w:t>
            </w:r>
          </w:p>
        </w:tc>
        <w:tc>
          <w:tcPr>
            <w:tcW w:w="720" w:type="dxa"/>
          </w:tcPr>
          <w:p w14:paraId="4ECFCFB9" w14:textId="77777777" w:rsidR="009D4A93" w:rsidRPr="00536CFD" w:rsidRDefault="009D4A93" w:rsidP="009D4A93">
            <w:pPr>
              <w:spacing w:after="0"/>
              <w:jc w:val="center"/>
              <w:rPr>
                <w:lang w:eastAsia="ja-JP"/>
              </w:rPr>
            </w:pPr>
            <w:r w:rsidRPr="00536CFD">
              <w:t>0.029</w:t>
            </w:r>
          </w:p>
        </w:tc>
        <w:tc>
          <w:tcPr>
            <w:tcW w:w="810" w:type="dxa"/>
          </w:tcPr>
          <w:p w14:paraId="1560BCC2" w14:textId="77777777" w:rsidR="009D4A93" w:rsidRPr="00536CFD" w:rsidRDefault="009D4A93" w:rsidP="009D4A93">
            <w:pPr>
              <w:spacing w:after="0"/>
              <w:jc w:val="center"/>
              <w:rPr>
                <w:lang w:eastAsia="ja-JP"/>
              </w:rPr>
            </w:pPr>
          </w:p>
        </w:tc>
        <w:tc>
          <w:tcPr>
            <w:tcW w:w="810" w:type="dxa"/>
          </w:tcPr>
          <w:p w14:paraId="3B361C11" w14:textId="77777777" w:rsidR="009D4A93" w:rsidRPr="00536CFD" w:rsidRDefault="009D4A93" w:rsidP="009D4A93">
            <w:pPr>
              <w:spacing w:after="0"/>
              <w:jc w:val="center"/>
              <w:rPr>
                <w:lang w:eastAsia="ja-JP"/>
              </w:rPr>
            </w:pPr>
            <w:r w:rsidRPr="00536CFD">
              <w:t>0.043</w:t>
            </w:r>
          </w:p>
        </w:tc>
        <w:tc>
          <w:tcPr>
            <w:tcW w:w="820" w:type="dxa"/>
          </w:tcPr>
          <w:p w14:paraId="25DF9DDB" w14:textId="77777777" w:rsidR="009D4A93" w:rsidRPr="00536CFD" w:rsidRDefault="009D4A93" w:rsidP="009D4A93">
            <w:pPr>
              <w:spacing w:after="0"/>
              <w:jc w:val="center"/>
              <w:rPr>
                <w:lang w:eastAsia="ja-JP"/>
              </w:rPr>
            </w:pPr>
            <w:r w:rsidRPr="00536CFD">
              <w:t>0.054</w:t>
            </w:r>
          </w:p>
        </w:tc>
        <w:tc>
          <w:tcPr>
            <w:tcW w:w="800" w:type="dxa"/>
          </w:tcPr>
          <w:p w14:paraId="0EB7A0B2" w14:textId="77777777" w:rsidR="009D4A93" w:rsidRPr="00536CFD" w:rsidRDefault="009D4A93" w:rsidP="009D4A93">
            <w:pPr>
              <w:spacing w:after="0"/>
              <w:jc w:val="center"/>
              <w:rPr>
                <w:lang w:eastAsia="ja-JP"/>
              </w:rPr>
            </w:pPr>
            <w:r w:rsidRPr="00536CFD">
              <w:t>0.061</w:t>
            </w:r>
          </w:p>
        </w:tc>
        <w:tc>
          <w:tcPr>
            <w:tcW w:w="720" w:type="dxa"/>
          </w:tcPr>
          <w:p w14:paraId="359C80BD" w14:textId="77777777" w:rsidR="009D4A93" w:rsidRPr="00536CFD" w:rsidRDefault="009D4A93" w:rsidP="009D4A93">
            <w:pPr>
              <w:spacing w:after="0"/>
              <w:jc w:val="center"/>
              <w:rPr>
                <w:lang w:eastAsia="ja-JP"/>
              </w:rPr>
            </w:pPr>
          </w:p>
        </w:tc>
        <w:tc>
          <w:tcPr>
            <w:tcW w:w="724" w:type="dxa"/>
          </w:tcPr>
          <w:p w14:paraId="5003B5B7" w14:textId="77777777" w:rsidR="009D4A93" w:rsidRPr="00536CFD" w:rsidRDefault="009D4A93" w:rsidP="009D4A93">
            <w:pPr>
              <w:spacing w:after="0"/>
              <w:jc w:val="center"/>
              <w:rPr>
                <w:lang w:eastAsia="ja-JP"/>
              </w:rPr>
            </w:pPr>
            <w:r w:rsidRPr="00536CFD">
              <w:t>0.081</w:t>
            </w:r>
          </w:p>
        </w:tc>
        <w:tc>
          <w:tcPr>
            <w:tcW w:w="896" w:type="dxa"/>
          </w:tcPr>
          <w:p w14:paraId="395F0C44" w14:textId="77777777" w:rsidR="009D4A93" w:rsidRPr="00536CFD" w:rsidRDefault="009D4A93" w:rsidP="009D4A93">
            <w:pPr>
              <w:spacing w:after="0"/>
              <w:jc w:val="center"/>
              <w:rPr>
                <w:lang w:eastAsia="ja-JP"/>
              </w:rPr>
            </w:pPr>
            <w:r w:rsidRPr="00536CFD">
              <w:t>0.061</w:t>
            </w:r>
          </w:p>
        </w:tc>
        <w:tc>
          <w:tcPr>
            <w:tcW w:w="720" w:type="dxa"/>
          </w:tcPr>
          <w:p w14:paraId="0E665DEE" w14:textId="77777777" w:rsidR="009D4A93" w:rsidRPr="00536CFD" w:rsidRDefault="009D4A93" w:rsidP="009D4A93">
            <w:pPr>
              <w:spacing w:after="0"/>
              <w:jc w:val="center"/>
              <w:rPr>
                <w:lang w:eastAsia="ja-JP"/>
              </w:rPr>
            </w:pPr>
            <w:r w:rsidRPr="00536CFD">
              <w:t>0.107</w:t>
            </w:r>
          </w:p>
        </w:tc>
        <w:tc>
          <w:tcPr>
            <w:tcW w:w="720" w:type="dxa"/>
          </w:tcPr>
          <w:p w14:paraId="082E230B" w14:textId="77777777" w:rsidR="009D4A93" w:rsidRPr="00536CFD" w:rsidRDefault="009D4A93" w:rsidP="009D4A93">
            <w:pPr>
              <w:spacing w:after="0"/>
              <w:jc w:val="center"/>
              <w:rPr>
                <w:lang w:eastAsia="ja-JP"/>
              </w:rPr>
            </w:pPr>
          </w:p>
        </w:tc>
      </w:tr>
      <w:tr w:rsidR="009D4A93" w:rsidRPr="00536CFD" w14:paraId="0E2803C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B92CD00"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9CF33D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D03C95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754F13F2" w14:textId="77777777" w:rsidR="009D4A93" w:rsidRPr="00536CFD" w:rsidRDefault="009D4A93" w:rsidP="009D4A93">
            <w:pPr>
              <w:spacing w:after="0"/>
              <w:jc w:val="center"/>
              <w:rPr>
                <w:lang w:eastAsia="ja-JP"/>
              </w:rPr>
            </w:pPr>
            <w:r w:rsidRPr="00536CFD">
              <w:t>0.153</w:t>
            </w:r>
          </w:p>
        </w:tc>
        <w:tc>
          <w:tcPr>
            <w:tcW w:w="720" w:type="dxa"/>
          </w:tcPr>
          <w:p w14:paraId="75BD1DDA" w14:textId="77777777" w:rsidR="009D4A93" w:rsidRPr="00536CFD" w:rsidRDefault="009D4A93" w:rsidP="009D4A93">
            <w:pPr>
              <w:spacing w:after="0"/>
              <w:jc w:val="center"/>
              <w:rPr>
                <w:lang w:eastAsia="ja-JP"/>
              </w:rPr>
            </w:pPr>
            <w:r w:rsidRPr="00536CFD">
              <w:t>0.050</w:t>
            </w:r>
          </w:p>
        </w:tc>
        <w:tc>
          <w:tcPr>
            <w:tcW w:w="720" w:type="dxa"/>
          </w:tcPr>
          <w:p w14:paraId="732F269C" w14:textId="77777777" w:rsidR="009D4A93" w:rsidRPr="00536CFD" w:rsidRDefault="009D4A93" w:rsidP="009D4A93">
            <w:pPr>
              <w:spacing w:after="0"/>
              <w:jc w:val="center"/>
              <w:rPr>
                <w:lang w:eastAsia="ja-JP"/>
              </w:rPr>
            </w:pPr>
            <w:r w:rsidRPr="00536CFD">
              <w:t>0.046</w:t>
            </w:r>
          </w:p>
        </w:tc>
        <w:tc>
          <w:tcPr>
            <w:tcW w:w="810" w:type="dxa"/>
          </w:tcPr>
          <w:p w14:paraId="72E91698" w14:textId="77777777" w:rsidR="009D4A93" w:rsidRPr="00536CFD" w:rsidRDefault="009D4A93" w:rsidP="009D4A93">
            <w:pPr>
              <w:spacing w:after="0"/>
              <w:jc w:val="center"/>
              <w:rPr>
                <w:lang w:eastAsia="ja-JP"/>
              </w:rPr>
            </w:pPr>
          </w:p>
        </w:tc>
        <w:tc>
          <w:tcPr>
            <w:tcW w:w="810" w:type="dxa"/>
          </w:tcPr>
          <w:p w14:paraId="7314C305" w14:textId="77777777" w:rsidR="009D4A93" w:rsidRPr="00536CFD" w:rsidRDefault="009D4A93" w:rsidP="009D4A93">
            <w:pPr>
              <w:spacing w:after="0"/>
              <w:jc w:val="center"/>
              <w:rPr>
                <w:lang w:eastAsia="ja-JP"/>
              </w:rPr>
            </w:pPr>
            <w:r w:rsidRPr="00536CFD">
              <w:t>0.419</w:t>
            </w:r>
          </w:p>
        </w:tc>
        <w:tc>
          <w:tcPr>
            <w:tcW w:w="820" w:type="dxa"/>
          </w:tcPr>
          <w:p w14:paraId="7E8A961E" w14:textId="77777777" w:rsidR="009D4A93" w:rsidRPr="00536CFD" w:rsidRDefault="009D4A93" w:rsidP="009D4A93">
            <w:pPr>
              <w:spacing w:after="0"/>
              <w:jc w:val="center"/>
              <w:rPr>
                <w:lang w:eastAsia="ja-JP"/>
              </w:rPr>
            </w:pPr>
            <w:r w:rsidRPr="00536CFD">
              <w:t>0.267</w:t>
            </w:r>
          </w:p>
        </w:tc>
        <w:tc>
          <w:tcPr>
            <w:tcW w:w="800" w:type="dxa"/>
          </w:tcPr>
          <w:p w14:paraId="25ADEE1E" w14:textId="77777777" w:rsidR="009D4A93" w:rsidRPr="00536CFD" w:rsidRDefault="009D4A93" w:rsidP="009D4A93">
            <w:pPr>
              <w:spacing w:after="0"/>
              <w:jc w:val="center"/>
              <w:rPr>
                <w:lang w:eastAsia="ja-JP"/>
              </w:rPr>
            </w:pPr>
            <w:r w:rsidRPr="00536CFD">
              <w:t>0.382</w:t>
            </w:r>
          </w:p>
        </w:tc>
        <w:tc>
          <w:tcPr>
            <w:tcW w:w="720" w:type="dxa"/>
          </w:tcPr>
          <w:p w14:paraId="1C94BA0F" w14:textId="77777777" w:rsidR="009D4A93" w:rsidRPr="00536CFD" w:rsidRDefault="009D4A93" w:rsidP="009D4A93">
            <w:pPr>
              <w:spacing w:after="0"/>
              <w:jc w:val="center"/>
              <w:rPr>
                <w:lang w:eastAsia="ja-JP"/>
              </w:rPr>
            </w:pPr>
          </w:p>
        </w:tc>
        <w:tc>
          <w:tcPr>
            <w:tcW w:w="724" w:type="dxa"/>
          </w:tcPr>
          <w:p w14:paraId="10B29E07" w14:textId="77777777" w:rsidR="009D4A93" w:rsidRPr="00536CFD" w:rsidRDefault="009D4A93" w:rsidP="009D4A93">
            <w:pPr>
              <w:spacing w:after="0"/>
              <w:jc w:val="center"/>
              <w:rPr>
                <w:lang w:eastAsia="ja-JP"/>
              </w:rPr>
            </w:pPr>
            <w:r w:rsidRPr="00536CFD">
              <w:t>0.795</w:t>
            </w:r>
          </w:p>
        </w:tc>
        <w:tc>
          <w:tcPr>
            <w:tcW w:w="896" w:type="dxa"/>
          </w:tcPr>
          <w:p w14:paraId="2F653E72" w14:textId="77777777" w:rsidR="009D4A93" w:rsidRPr="00536CFD" w:rsidRDefault="009D4A93" w:rsidP="009D4A93">
            <w:pPr>
              <w:spacing w:after="0"/>
              <w:jc w:val="center"/>
              <w:rPr>
                <w:lang w:eastAsia="ja-JP"/>
              </w:rPr>
            </w:pPr>
            <w:r w:rsidRPr="00536CFD">
              <w:t>0.558</w:t>
            </w:r>
          </w:p>
        </w:tc>
        <w:tc>
          <w:tcPr>
            <w:tcW w:w="720" w:type="dxa"/>
          </w:tcPr>
          <w:p w14:paraId="5A197554" w14:textId="77777777" w:rsidR="009D4A93" w:rsidRPr="00536CFD" w:rsidRDefault="009D4A93" w:rsidP="009D4A93">
            <w:pPr>
              <w:spacing w:after="0"/>
              <w:jc w:val="center"/>
              <w:rPr>
                <w:lang w:eastAsia="ja-JP"/>
              </w:rPr>
            </w:pPr>
            <w:r w:rsidRPr="00536CFD">
              <w:t>1.018</w:t>
            </w:r>
          </w:p>
        </w:tc>
        <w:tc>
          <w:tcPr>
            <w:tcW w:w="720" w:type="dxa"/>
          </w:tcPr>
          <w:p w14:paraId="1DB6F029" w14:textId="77777777" w:rsidR="009D4A93" w:rsidRPr="00536CFD" w:rsidRDefault="009D4A93" w:rsidP="009D4A93">
            <w:pPr>
              <w:spacing w:after="0"/>
              <w:jc w:val="center"/>
              <w:rPr>
                <w:lang w:eastAsia="ja-JP"/>
              </w:rPr>
            </w:pPr>
          </w:p>
        </w:tc>
      </w:tr>
      <w:tr w:rsidR="009D4A93" w:rsidRPr="00536CFD" w14:paraId="1D7F8CC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0269E1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48B072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49D811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596E0BBF" w14:textId="77777777" w:rsidR="009D4A93" w:rsidRPr="00536CFD" w:rsidRDefault="009D4A93" w:rsidP="009D4A93">
            <w:pPr>
              <w:spacing w:after="0"/>
              <w:jc w:val="center"/>
              <w:rPr>
                <w:lang w:eastAsia="ja-JP"/>
              </w:rPr>
            </w:pPr>
            <w:r w:rsidRPr="00536CFD">
              <w:t>1.330</w:t>
            </w:r>
          </w:p>
        </w:tc>
        <w:tc>
          <w:tcPr>
            <w:tcW w:w="720" w:type="dxa"/>
          </w:tcPr>
          <w:p w14:paraId="6DC587CF" w14:textId="77777777" w:rsidR="009D4A93" w:rsidRPr="00536CFD" w:rsidRDefault="009D4A93" w:rsidP="009D4A93">
            <w:pPr>
              <w:spacing w:after="0"/>
              <w:jc w:val="center"/>
              <w:rPr>
                <w:lang w:eastAsia="ja-JP"/>
              </w:rPr>
            </w:pPr>
            <w:r w:rsidRPr="00536CFD">
              <w:t>0.207</w:t>
            </w:r>
          </w:p>
        </w:tc>
        <w:tc>
          <w:tcPr>
            <w:tcW w:w="720" w:type="dxa"/>
          </w:tcPr>
          <w:p w14:paraId="4DF7FFD8" w14:textId="77777777" w:rsidR="009D4A93" w:rsidRPr="00536CFD" w:rsidRDefault="009D4A93" w:rsidP="009D4A93">
            <w:pPr>
              <w:spacing w:after="0"/>
              <w:jc w:val="center"/>
              <w:rPr>
                <w:lang w:eastAsia="ja-JP"/>
              </w:rPr>
            </w:pPr>
            <w:r w:rsidRPr="00536CFD">
              <w:t>0.215</w:t>
            </w:r>
          </w:p>
        </w:tc>
        <w:tc>
          <w:tcPr>
            <w:tcW w:w="810" w:type="dxa"/>
          </w:tcPr>
          <w:p w14:paraId="3E1ECDD2" w14:textId="77777777" w:rsidR="009D4A93" w:rsidRPr="00536CFD" w:rsidRDefault="009D4A93" w:rsidP="009D4A93">
            <w:pPr>
              <w:spacing w:after="0"/>
              <w:jc w:val="center"/>
              <w:rPr>
                <w:lang w:eastAsia="ja-JP"/>
              </w:rPr>
            </w:pPr>
          </w:p>
        </w:tc>
        <w:tc>
          <w:tcPr>
            <w:tcW w:w="810" w:type="dxa"/>
          </w:tcPr>
          <w:p w14:paraId="3ECACEA6" w14:textId="77777777" w:rsidR="009D4A93" w:rsidRPr="00536CFD" w:rsidRDefault="009D4A93" w:rsidP="009D4A93">
            <w:pPr>
              <w:spacing w:after="0"/>
              <w:jc w:val="center"/>
              <w:rPr>
                <w:lang w:eastAsia="ja-JP"/>
              </w:rPr>
            </w:pPr>
            <w:r w:rsidRPr="00536CFD">
              <w:t>4.769</w:t>
            </w:r>
          </w:p>
        </w:tc>
        <w:tc>
          <w:tcPr>
            <w:tcW w:w="820" w:type="dxa"/>
          </w:tcPr>
          <w:p w14:paraId="05669C96" w14:textId="77777777" w:rsidR="009D4A93" w:rsidRPr="00536CFD" w:rsidRDefault="009D4A93" w:rsidP="009D4A93">
            <w:pPr>
              <w:spacing w:after="0"/>
              <w:jc w:val="center"/>
              <w:rPr>
                <w:lang w:eastAsia="ja-JP"/>
              </w:rPr>
            </w:pPr>
            <w:r w:rsidRPr="00536CFD">
              <w:t>1.362</w:t>
            </w:r>
          </w:p>
        </w:tc>
        <w:tc>
          <w:tcPr>
            <w:tcW w:w="800" w:type="dxa"/>
          </w:tcPr>
          <w:p w14:paraId="4C91D7A5" w14:textId="77777777" w:rsidR="009D4A93" w:rsidRPr="00536CFD" w:rsidRDefault="009D4A93" w:rsidP="009D4A93">
            <w:pPr>
              <w:spacing w:after="0"/>
              <w:jc w:val="center"/>
              <w:rPr>
                <w:lang w:eastAsia="ja-JP"/>
              </w:rPr>
            </w:pPr>
            <w:r w:rsidRPr="00536CFD">
              <w:t>1.734</w:t>
            </w:r>
          </w:p>
        </w:tc>
        <w:tc>
          <w:tcPr>
            <w:tcW w:w="720" w:type="dxa"/>
          </w:tcPr>
          <w:p w14:paraId="120AB4C7" w14:textId="77777777" w:rsidR="009D4A93" w:rsidRPr="00536CFD" w:rsidRDefault="009D4A93" w:rsidP="009D4A93">
            <w:pPr>
              <w:spacing w:after="0"/>
              <w:jc w:val="center"/>
              <w:rPr>
                <w:lang w:eastAsia="ja-JP"/>
              </w:rPr>
            </w:pPr>
          </w:p>
        </w:tc>
        <w:tc>
          <w:tcPr>
            <w:tcW w:w="724" w:type="dxa"/>
          </w:tcPr>
          <w:p w14:paraId="3FC5F5FB" w14:textId="77777777" w:rsidR="009D4A93" w:rsidRPr="00536CFD" w:rsidRDefault="009D4A93" w:rsidP="009D4A93">
            <w:pPr>
              <w:spacing w:after="0"/>
              <w:jc w:val="center"/>
              <w:rPr>
                <w:lang w:eastAsia="ja-JP"/>
              </w:rPr>
            </w:pPr>
            <w:r w:rsidRPr="00536CFD">
              <w:t>8.227</w:t>
            </w:r>
          </w:p>
        </w:tc>
        <w:tc>
          <w:tcPr>
            <w:tcW w:w="896" w:type="dxa"/>
          </w:tcPr>
          <w:p w14:paraId="287A8729" w14:textId="77777777" w:rsidR="009D4A93" w:rsidRPr="00536CFD" w:rsidRDefault="009D4A93" w:rsidP="009D4A93">
            <w:pPr>
              <w:spacing w:after="0"/>
              <w:jc w:val="center"/>
              <w:rPr>
                <w:lang w:eastAsia="ja-JP"/>
              </w:rPr>
            </w:pPr>
            <w:r w:rsidRPr="00536CFD">
              <w:t>3.519</w:t>
            </w:r>
          </w:p>
        </w:tc>
        <w:tc>
          <w:tcPr>
            <w:tcW w:w="720" w:type="dxa"/>
          </w:tcPr>
          <w:p w14:paraId="7F9FF5B9" w14:textId="77777777" w:rsidR="009D4A93" w:rsidRPr="00536CFD" w:rsidRDefault="009D4A93" w:rsidP="009D4A93">
            <w:pPr>
              <w:spacing w:after="0"/>
              <w:jc w:val="center"/>
              <w:rPr>
                <w:lang w:eastAsia="ja-JP"/>
              </w:rPr>
            </w:pPr>
            <w:r w:rsidRPr="00536CFD">
              <w:t>3.883</w:t>
            </w:r>
          </w:p>
        </w:tc>
        <w:tc>
          <w:tcPr>
            <w:tcW w:w="720" w:type="dxa"/>
          </w:tcPr>
          <w:p w14:paraId="36A2C580" w14:textId="77777777" w:rsidR="009D4A93" w:rsidRPr="00536CFD" w:rsidRDefault="009D4A93" w:rsidP="009D4A93">
            <w:pPr>
              <w:spacing w:after="0"/>
              <w:jc w:val="center"/>
              <w:rPr>
                <w:lang w:eastAsia="ja-JP"/>
              </w:rPr>
            </w:pPr>
          </w:p>
        </w:tc>
      </w:tr>
      <w:tr w:rsidR="009D4A93" w:rsidRPr="00536CFD" w14:paraId="28ECBFD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147860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FECAF8C"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617903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310529BC" w14:textId="77777777" w:rsidR="009D4A93" w:rsidRPr="00536CFD" w:rsidRDefault="009D4A93" w:rsidP="009D4A93">
            <w:pPr>
              <w:spacing w:after="0"/>
              <w:jc w:val="center"/>
              <w:rPr>
                <w:lang w:eastAsia="ja-JP"/>
              </w:rPr>
            </w:pPr>
            <w:r w:rsidRPr="00536CFD">
              <w:t>0.447</w:t>
            </w:r>
          </w:p>
        </w:tc>
        <w:tc>
          <w:tcPr>
            <w:tcW w:w="720" w:type="dxa"/>
          </w:tcPr>
          <w:p w14:paraId="2E1EE644" w14:textId="77777777" w:rsidR="009D4A93" w:rsidRPr="00536CFD" w:rsidRDefault="009D4A93" w:rsidP="009D4A93">
            <w:pPr>
              <w:spacing w:after="0"/>
              <w:jc w:val="center"/>
              <w:rPr>
                <w:lang w:eastAsia="ja-JP"/>
              </w:rPr>
            </w:pPr>
            <w:r w:rsidRPr="00536CFD">
              <w:t>0.090</w:t>
            </w:r>
          </w:p>
        </w:tc>
        <w:tc>
          <w:tcPr>
            <w:tcW w:w="720" w:type="dxa"/>
          </w:tcPr>
          <w:p w14:paraId="727497CA" w14:textId="77777777" w:rsidR="009D4A93" w:rsidRPr="00536CFD" w:rsidRDefault="009D4A93" w:rsidP="009D4A93">
            <w:pPr>
              <w:spacing w:after="0"/>
              <w:jc w:val="center"/>
              <w:rPr>
                <w:lang w:eastAsia="ja-JP"/>
              </w:rPr>
            </w:pPr>
            <w:r w:rsidRPr="00536CFD">
              <w:t>0.097</w:t>
            </w:r>
          </w:p>
        </w:tc>
        <w:tc>
          <w:tcPr>
            <w:tcW w:w="810" w:type="dxa"/>
          </w:tcPr>
          <w:p w14:paraId="7DF01F75" w14:textId="77777777" w:rsidR="009D4A93" w:rsidRPr="00536CFD" w:rsidRDefault="009D4A93" w:rsidP="009D4A93">
            <w:pPr>
              <w:spacing w:after="0"/>
              <w:jc w:val="center"/>
              <w:rPr>
                <w:lang w:eastAsia="ja-JP"/>
              </w:rPr>
            </w:pPr>
          </w:p>
        </w:tc>
        <w:tc>
          <w:tcPr>
            <w:tcW w:w="810" w:type="dxa"/>
          </w:tcPr>
          <w:p w14:paraId="7FF3CE1A" w14:textId="77777777" w:rsidR="009D4A93" w:rsidRPr="00536CFD" w:rsidRDefault="009D4A93" w:rsidP="009D4A93">
            <w:pPr>
              <w:spacing w:after="0"/>
              <w:jc w:val="center"/>
              <w:rPr>
                <w:lang w:eastAsia="ja-JP"/>
              </w:rPr>
            </w:pPr>
            <w:r w:rsidRPr="00536CFD">
              <w:t>1.536</w:t>
            </w:r>
          </w:p>
        </w:tc>
        <w:tc>
          <w:tcPr>
            <w:tcW w:w="820" w:type="dxa"/>
          </w:tcPr>
          <w:p w14:paraId="4736AC5D" w14:textId="77777777" w:rsidR="009D4A93" w:rsidRPr="00536CFD" w:rsidRDefault="009D4A93" w:rsidP="009D4A93">
            <w:pPr>
              <w:spacing w:after="0"/>
              <w:jc w:val="center"/>
              <w:rPr>
                <w:lang w:eastAsia="ja-JP"/>
              </w:rPr>
            </w:pPr>
            <w:r w:rsidRPr="00536CFD">
              <w:t>0.526</w:t>
            </w:r>
          </w:p>
        </w:tc>
        <w:tc>
          <w:tcPr>
            <w:tcW w:w="800" w:type="dxa"/>
          </w:tcPr>
          <w:p w14:paraId="177F3B70" w14:textId="77777777" w:rsidR="009D4A93" w:rsidRPr="00536CFD" w:rsidRDefault="009D4A93" w:rsidP="009D4A93">
            <w:pPr>
              <w:spacing w:after="0"/>
              <w:jc w:val="center"/>
              <w:rPr>
                <w:lang w:eastAsia="ja-JP"/>
              </w:rPr>
            </w:pPr>
            <w:r w:rsidRPr="00536CFD">
              <w:t>0.746</w:t>
            </w:r>
          </w:p>
        </w:tc>
        <w:tc>
          <w:tcPr>
            <w:tcW w:w="720" w:type="dxa"/>
          </w:tcPr>
          <w:p w14:paraId="0717EE64" w14:textId="77777777" w:rsidR="009D4A93" w:rsidRPr="00536CFD" w:rsidRDefault="009D4A93" w:rsidP="009D4A93">
            <w:pPr>
              <w:spacing w:after="0"/>
              <w:jc w:val="center"/>
              <w:rPr>
                <w:lang w:eastAsia="ja-JP"/>
              </w:rPr>
            </w:pPr>
          </w:p>
        </w:tc>
        <w:tc>
          <w:tcPr>
            <w:tcW w:w="724" w:type="dxa"/>
          </w:tcPr>
          <w:p w14:paraId="3C21165F" w14:textId="77777777" w:rsidR="009D4A93" w:rsidRPr="00536CFD" w:rsidRDefault="009D4A93" w:rsidP="009D4A93">
            <w:pPr>
              <w:spacing w:after="0"/>
              <w:jc w:val="center"/>
              <w:rPr>
                <w:lang w:eastAsia="ja-JP"/>
              </w:rPr>
            </w:pPr>
            <w:r w:rsidRPr="00536CFD">
              <w:t>2.768</w:t>
            </w:r>
          </w:p>
        </w:tc>
        <w:tc>
          <w:tcPr>
            <w:tcW w:w="896" w:type="dxa"/>
          </w:tcPr>
          <w:p w14:paraId="5C63FC26" w14:textId="77777777" w:rsidR="009D4A93" w:rsidRPr="00536CFD" w:rsidRDefault="009D4A93" w:rsidP="009D4A93">
            <w:pPr>
              <w:spacing w:after="0"/>
              <w:jc w:val="center"/>
              <w:rPr>
                <w:lang w:eastAsia="ja-JP"/>
              </w:rPr>
            </w:pPr>
            <w:r w:rsidRPr="00536CFD">
              <w:t>1.385</w:t>
            </w:r>
          </w:p>
        </w:tc>
        <w:tc>
          <w:tcPr>
            <w:tcW w:w="720" w:type="dxa"/>
          </w:tcPr>
          <w:p w14:paraId="02CD1C25" w14:textId="77777777" w:rsidR="009D4A93" w:rsidRPr="00536CFD" w:rsidRDefault="009D4A93" w:rsidP="009D4A93">
            <w:pPr>
              <w:spacing w:after="0"/>
              <w:jc w:val="center"/>
              <w:rPr>
                <w:lang w:eastAsia="ja-JP"/>
              </w:rPr>
            </w:pPr>
            <w:r w:rsidRPr="00536CFD">
              <w:t>1.733</w:t>
            </w:r>
          </w:p>
        </w:tc>
        <w:tc>
          <w:tcPr>
            <w:tcW w:w="720" w:type="dxa"/>
          </w:tcPr>
          <w:p w14:paraId="11BD5EDB" w14:textId="77777777" w:rsidR="009D4A93" w:rsidRPr="00536CFD" w:rsidRDefault="009D4A93" w:rsidP="009D4A93">
            <w:pPr>
              <w:spacing w:after="0"/>
              <w:jc w:val="center"/>
              <w:rPr>
                <w:lang w:eastAsia="ja-JP"/>
              </w:rPr>
            </w:pPr>
          </w:p>
        </w:tc>
      </w:tr>
      <w:tr w:rsidR="009D4A93" w:rsidRPr="00536CFD" w14:paraId="529DF45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D897CFF"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3E8CF1D8" w14:textId="77777777" w:rsidR="009D4A93" w:rsidRPr="00536CFD" w:rsidRDefault="009D4A93" w:rsidP="009D4A93">
            <w:pPr>
              <w:spacing w:after="0"/>
              <w:jc w:val="center"/>
            </w:pPr>
            <w:r w:rsidRPr="00536CFD">
              <w:t>UL:</w:t>
            </w:r>
          </w:p>
          <w:p w14:paraId="4026AF94" w14:textId="77777777" w:rsidR="009D4A93" w:rsidRPr="00536CFD" w:rsidRDefault="009D4A93" w:rsidP="009D4A93">
            <w:pPr>
              <w:spacing w:after="0"/>
              <w:jc w:val="center"/>
            </w:pPr>
            <w:r w:rsidRPr="00536CFD">
              <w:t>UPT CDF</w:t>
            </w:r>
          </w:p>
          <w:p w14:paraId="272A9EE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[Mbps]</w:t>
            </w:r>
          </w:p>
        </w:tc>
        <w:tc>
          <w:tcPr>
            <w:tcW w:w="400" w:type="dxa"/>
            <w:tcBorders>
              <w:top w:val="single" w:sz="4" w:space="0" w:color="auto"/>
              <w:left w:val="nil"/>
              <w:bottom w:val="single" w:sz="4" w:space="0" w:color="auto"/>
              <w:right w:val="single" w:sz="4" w:space="0" w:color="auto"/>
            </w:tcBorders>
            <w:shd w:val="clear" w:color="auto" w:fill="auto"/>
          </w:tcPr>
          <w:p w14:paraId="291DD69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78BEF356" w14:textId="77777777" w:rsidR="009D4A93" w:rsidRPr="00536CFD" w:rsidRDefault="009D4A93" w:rsidP="009D4A93">
            <w:pPr>
              <w:spacing w:after="0"/>
              <w:jc w:val="center"/>
              <w:rPr>
                <w:lang w:eastAsia="ja-JP"/>
              </w:rPr>
            </w:pPr>
            <w:r w:rsidRPr="00536CFD">
              <w:t>42.00</w:t>
            </w:r>
          </w:p>
        </w:tc>
        <w:tc>
          <w:tcPr>
            <w:tcW w:w="720" w:type="dxa"/>
          </w:tcPr>
          <w:p w14:paraId="508A342F" w14:textId="77777777" w:rsidR="009D4A93" w:rsidRPr="00536CFD" w:rsidRDefault="009D4A93" w:rsidP="009D4A93">
            <w:pPr>
              <w:spacing w:after="0"/>
              <w:jc w:val="center"/>
              <w:rPr>
                <w:lang w:eastAsia="ja-JP"/>
              </w:rPr>
            </w:pPr>
            <w:r w:rsidRPr="00536CFD">
              <w:t>39.55</w:t>
            </w:r>
          </w:p>
        </w:tc>
        <w:tc>
          <w:tcPr>
            <w:tcW w:w="720" w:type="dxa"/>
          </w:tcPr>
          <w:p w14:paraId="6100D859" w14:textId="77777777" w:rsidR="009D4A93" w:rsidRPr="00536CFD" w:rsidRDefault="009D4A93" w:rsidP="009D4A93">
            <w:pPr>
              <w:spacing w:after="0"/>
              <w:jc w:val="center"/>
              <w:rPr>
                <w:lang w:eastAsia="ja-JP"/>
              </w:rPr>
            </w:pPr>
            <w:r w:rsidRPr="00536CFD">
              <w:t>38.97</w:t>
            </w:r>
          </w:p>
        </w:tc>
        <w:tc>
          <w:tcPr>
            <w:tcW w:w="810" w:type="dxa"/>
          </w:tcPr>
          <w:p w14:paraId="7878B009" w14:textId="77777777" w:rsidR="009D4A93" w:rsidRPr="00536CFD" w:rsidRDefault="009D4A93" w:rsidP="009D4A93">
            <w:pPr>
              <w:spacing w:after="0"/>
              <w:jc w:val="center"/>
              <w:rPr>
                <w:lang w:eastAsia="ja-JP"/>
              </w:rPr>
            </w:pPr>
          </w:p>
        </w:tc>
        <w:tc>
          <w:tcPr>
            <w:tcW w:w="810" w:type="dxa"/>
          </w:tcPr>
          <w:p w14:paraId="49064414" w14:textId="77777777" w:rsidR="009D4A93" w:rsidRPr="00536CFD" w:rsidRDefault="009D4A93" w:rsidP="009D4A93">
            <w:pPr>
              <w:spacing w:after="0"/>
              <w:jc w:val="center"/>
              <w:rPr>
                <w:lang w:eastAsia="ja-JP"/>
              </w:rPr>
            </w:pPr>
            <w:r w:rsidRPr="00536CFD">
              <w:t>22.36</w:t>
            </w:r>
          </w:p>
        </w:tc>
        <w:tc>
          <w:tcPr>
            <w:tcW w:w="820" w:type="dxa"/>
          </w:tcPr>
          <w:p w14:paraId="106E8205" w14:textId="77777777" w:rsidR="009D4A93" w:rsidRPr="00536CFD" w:rsidRDefault="009D4A93" w:rsidP="009D4A93">
            <w:pPr>
              <w:spacing w:after="0"/>
              <w:jc w:val="center"/>
              <w:rPr>
                <w:lang w:eastAsia="ja-JP"/>
              </w:rPr>
            </w:pPr>
            <w:r w:rsidRPr="00536CFD">
              <w:t>26.79</w:t>
            </w:r>
          </w:p>
        </w:tc>
        <w:tc>
          <w:tcPr>
            <w:tcW w:w="800" w:type="dxa"/>
          </w:tcPr>
          <w:p w14:paraId="7A7EA99E" w14:textId="77777777" w:rsidR="009D4A93" w:rsidRPr="00536CFD" w:rsidRDefault="009D4A93" w:rsidP="009D4A93">
            <w:pPr>
              <w:spacing w:after="0"/>
              <w:jc w:val="center"/>
              <w:rPr>
                <w:lang w:eastAsia="ja-JP"/>
              </w:rPr>
            </w:pPr>
            <w:r w:rsidRPr="00536CFD">
              <w:t>28.29</w:t>
            </w:r>
          </w:p>
        </w:tc>
        <w:tc>
          <w:tcPr>
            <w:tcW w:w="720" w:type="dxa"/>
          </w:tcPr>
          <w:p w14:paraId="683E0E41" w14:textId="77777777" w:rsidR="009D4A93" w:rsidRPr="00536CFD" w:rsidRDefault="009D4A93" w:rsidP="009D4A93">
            <w:pPr>
              <w:spacing w:after="0"/>
              <w:jc w:val="center"/>
              <w:rPr>
                <w:lang w:eastAsia="ja-JP"/>
              </w:rPr>
            </w:pPr>
          </w:p>
        </w:tc>
        <w:tc>
          <w:tcPr>
            <w:tcW w:w="724" w:type="dxa"/>
          </w:tcPr>
          <w:p w14:paraId="2FB5B732" w14:textId="77777777" w:rsidR="009D4A93" w:rsidRPr="00536CFD" w:rsidRDefault="009D4A93" w:rsidP="009D4A93">
            <w:pPr>
              <w:spacing w:after="0"/>
              <w:jc w:val="center"/>
              <w:rPr>
                <w:lang w:eastAsia="ja-JP"/>
              </w:rPr>
            </w:pPr>
            <w:r w:rsidRPr="00536CFD">
              <w:t>9.59</w:t>
            </w:r>
          </w:p>
        </w:tc>
        <w:tc>
          <w:tcPr>
            <w:tcW w:w="896" w:type="dxa"/>
          </w:tcPr>
          <w:p w14:paraId="6941BBFF" w14:textId="77777777" w:rsidR="009D4A93" w:rsidRPr="00536CFD" w:rsidRDefault="009D4A93" w:rsidP="009D4A93">
            <w:pPr>
              <w:spacing w:after="0"/>
              <w:jc w:val="center"/>
              <w:rPr>
                <w:lang w:eastAsia="ja-JP"/>
              </w:rPr>
            </w:pPr>
            <w:r w:rsidRPr="00536CFD">
              <w:t>18.07</w:t>
            </w:r>
          </w:p>
        </w:tc>
        <w:tc>
          <w:tcPr>
            <w:tcW w:w="720" w:type="dxa"/>
          </w:tcPr>
          <w:p w14:paraId="19D626BE" w14:textId="77777777" w:rsidR="009D4A93" w:rsidRPr="00536CFD" w:rsidRDefault="009D4A93" w:rsidP="009D4A93">
            <w:pPr>
              <w:spacing w:after="0"/>
              <w:jc w:val="center"/>
              <w:rPr>
                <w:lang w:eastAsia="ja-JP"/>
              </w:rPr>
            </w:pPr>
            <w:r w:rsidRPr="00536CFD">
              <w:t>15.67</w:t>
            </w:r>
          </w:p>
        </w:tc>
        <w:tc>
          <w:tcPr>
            <w:tcW w:w="720" w:type="dxa"/>
          </w:tcPr>
          <w:p w14:paraId="4798F93A" w14:textId="77777777" w:rsidR="009D4A93" w:rsidRPr="00536CFD" w:rsidRDefault="009D4A93" w:rsidP="009D4A93">
            <w:pPr>
              <w:spacing w:after="0"/>
              <w:jc w:val="center"/>
              <w:rPr>
                <w:lang w:eastAsia="ja-JP"/>
              </w:rPr>
            </w:pPr>
          </w:p>
        </w:tc>
      </w:tr>
      <w:tr w:rsidR="009D4A93" w:rsidRPr="00536CFD" w14:paraId="32B0139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0B4B33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F4CCCA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05403E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72276C3E" w14:textId="77777777" w:rsidR="009D4A93" w:rsidRPr="00536CFD" w:rsidRDefault="009D4A93" w:rsidP="009D4A93">
            <w:pPr>
              <w:spacing w:after="0"/>
              <w:jc w:val="center"/>
              <w:rPr>
                <w:lang w:eastAsia="ja-JP"/>
              </w:rPr>
            </w:pPr>
            <w:r w:rsidRPr="00536CFD">
              <w:t>82.62</w:t>
            </w:r>
          </w:p>
        </w:tc>
        <w:tc>
          <w:tcPr>
            <w:tcW w:w="720" w:type="dxa"/>
          </w:tcPr>
          <w:p w14:paraId="6D707BDC" w14:textId="77777777" w:rsidR="009D4A93" w:rsidRPr="00536CFD" w:rsidRDefault="009D4A93" w:rsidP="009D4A93">
            <w:pPr>
              <w:spacing w:after="0"/>
              <w:jc w:val="center"/>
              <w:rPr>
                <w:lang w:eastAsia="ja-JP"/>
              </w:rPr>
            </w:pPr>
            <w:r w:rsidRPr="00536CFD">
              <w:t>82.61</w:t>
            </w:r>
          </w:p>
        </w:tc>
        <w:tc>
          <w:tcPr>
            <w:tcW w:w="720" w:type="dxa"/>
          </w:tcPr>
          <w:p w14:paraId="0F4C9226" w14:textId="77777777" w:rsidR="009D4A93" w:rsidRPr="00536CFD" w:rsidRDefault="009D4A93" w:rsidP="009D4A93">
            <w:pPr>
              <w:spacing w:after="0"/>
              <w:jc w:val="center"/>
              <w:rPr>
                <w:lang w:eastAsia="ja-JP"/>
              </w:rPr>
            </w:pPr>
            <w:r w:rsidRPr="00536CFD">
              <w:t>76.13</w:t>
            </w:r>
          </w:p>
        </w:tc>
        <w:tc>
          <w:tcPr>
            <w:tcW w:w="810" w:type="dxa"/>
          </w:tcPr>
          <w:p w14:paraId="078F6C96" w14:textId="77777777" w:rsidR="009D4A93" w:rsidRPr="00536CFD" w:rsidRDefault="009D4A93" w:rsidP="009D4A93">
            <w:pPr>
              <w:spacing w:after="0"/>
              <w:jc w:val="center"/>
              <w:rPr>
                <w:lang w:eastAsia="ja-JP"/>
              </w:rPr>
            </w:pPr>
          </w:p>
        </w:tc>
        <w:tc>
          <w:tcPr>
            <w:tcW w:w="810" w:type="dxa"/>
          </w:tcPr>
          <w:p w14:paraId="2445737C" w14:textId="77777777" w:rsidR="009D4A93" w:rsidRPr="00536CFD" w:rsidRDefault="009D4A93" w:rsidP="009D4A93">
            <w:pPr>
              <w:spacing w:after="0"/>
              <w:jc w:val="center"/>
              <w:rPr>
                <w:lang w:eastAsia="ja-JP"/>
              </w:rPr>
            </w:pPr>
            <w:r w:rsidRPr="00536CFD">
              <w:t>52.08</w:t>
            </w:r>
          </w:p>
        </w:tc>
        <w:tc>
          <w:tcPr>
            <w:tcW w:w="820" w:type="dxa"/>
          </w:tcPr>
          <w:p w14:paraId="176C3058" w14:textId="77777777" w:rsidR="009D4A93" w:rsidRPr="00536CFD" w:rsidRDefault="009D4A93" w:rsidP="009D4A93">
            <w:pPr>
              <w:spacing w:after="0"/>
              <w:jc w:val="center"/>
              <w:rPr>
                <w:lang w:eastAsia="ja-JP"/>
              </w:rPr>
            </w:pPr>
            <w:r w:rsidRPr="00536CFD">
              <w:t>65.68</w:t>
            </w:r>
          </w:p>
        </w:tc>
        <w:tc>
          <w:tcPr>
            <w:tcW w:w="800" w:type="dxa"/>
          </w:tcPr>
          <w:p w14:paraId="2C8760B5" w14:textId="77777777" w:rsidR="009D4A93" w:rsidRPr="00536CFD" w:rsidRDefault="009D4A93" w:rsidP="009D4A93">
            <w:pPr>
              <w:spacing w:after="0"/>
              <w:jc w:val="center"/>
              <w:rPr>
                <w:lang w:eastAsia="ja-JP"/>
              </w:rPr>
            </w:pPr>
            <w:r w:rsidRPr="00536CFD">
              <w:t>57.62</w:t>
            </w:r>
          </w:p>
        </w:tc>
        <w:tc>
          <w:tcPr>
            <w:tcW w:w="720" w:type="dxa"/>
          </w:tcPr>
          <w:p w14:paraId="6095D732" w14:textId="77777777" w:rsidR="009D4A93" w:rsidRPr="00536CFD" w:rsidRDefault="009D4A93" w:rsidP="009D4A93">
            <w:pPr>
              <w:spacing w:after="0"/>
              <w:jc w:val="center"/>
              <w:rPr>
                <w:lang w:eastAsia="ja-JP"/>
              </w:rPr>
            </w:pPr>
          </w:p>
        </w:tc>
        <w:tc>
          <w:tcPr>
            <w:tcW w:w="724" w:type="dxa"/>
          </w:tcPr>
          <w:p w14:paraId="6F6D7207" w14:textId="77777777" w:rsidR="009D4A93" w:rsidRPr="00536CFD" w:rsidRDefault="009D4A93" w:rsidP="009D4A93">
            <w:pPr>
              <w:spacing w:after="0"/>
              <w:jc w:val="center"/>
              <w:rPr>
                <w:lang w:eastAsia="ja-JP"/>
              </w:rPr>
            </w:pPr>
            <w:r w:rsidRPr="00536CFD">
              <w:t>24.37</w:t>
            </w:r>
          </w:p>
        </w:tc>
        <w:tc>
          <w:tcPr>
            <w:tcW w:w="896" w:type="dxa"/>
          </w:tcPr>
          <w:p w14:paraId="54BC60B7" w14:textId="77777777" w:rsidR="009D4A93" w:rsidRPr="00536CFD" w:rsidRDefault="009D4A93" w:rsidP="009D4A93">
            <w:pPr>
              <w:spacing w:after="0"/>
              <w:jc w:val="center"/>
              <w:rPr>
                <w:lang w:eastAsia="ja-JP"/>
              </w:rPr>
            </w:pPr>
            <w:r w:rsidRPr="00536CFD">
              <w:t>43.63</w:t>
            </w:r>
          </w:p>
        </w:tc>
        <w:tc>
          <w:tcPr>
            <w:tcW w:w="720" w:type="dxa"/>
          </w:tcPr>
          <w:p w14:paraId="59D73527" w14:textId="77777777" w:rsidR="009D4A93" w:rsidRPr="00536CFD" w:rsidRDefault="009D4A93" w:rsidP="009D4A93">
            <w:pPr>
              <w:spacing w:after="0"/>
              <w:jc w:val="center"/>
              <w:rPr>
                <w:lang w:eastAsia="ja-JP"/>
              </w:rPr>
            </w:pPr>
            <w:r w:rsidRPr="00536CFD">
              <w:t>36.81</w:t>
            </w:r>
          </w:p>
        </w:tc>
        <w:tc>
          <w:tcPr>
            <w:tcW w:w="720" w:type="dxa"/>
          </w:tcPr>
          <w:p w14:paraId="301F0FDB" w14:textId="77777777" w:rsidR="009D4A93" w:rsidRPr="00536CFD" w:rsidRDefault="009D4A93" w:rsidP="009D4A93">
            <w:pPr>
              <w:spacing w:after="0"/>
              <w:jc w:val="center"/>
              <w:rPr>
                <w:lang w:eastAsia="ja-JP"/>
              </w:rPr>
            </w:pPr>
          </w:p>
        </w:tc>
      </w:tr>
      <w:tr w:rsidR="009D4A93" w:rsidRPr="00536CFD" w14:paraId="7120138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7ED135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D0C28B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682666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339F04D6" w14:textId="77777777" w:rsidR="009D4A93" w:rsidRPr="00536CFD" w:rsidRDefault="009D4A93" w:rsidP="009D4A93">
            <w:pPr>
              <w:spacing w:after="0"/>
              <w:jc w:val="center"/>
              <w:rPr>
                <w:lang w:eastAsia="ja-JP"/>
              </w:rPr>
            </w:pPr>
            <w:r w:rsidRPr="00536CFD">
              <w:t>100.22</w:t>
            </w:r>
          </w:p>
        </w:tc>
        <w:tc>
          <w:tcPr>
            <w:tcW w:w="720" w:type="dxa"/>
          </w:tcPr>
          <w:p w14:paraId="76895EE7" w14:textId="77777777" w:rsidR="009D4A93" w:rsidRPr="00536CFD" w:rsidRDefault="009D4A93" w:rsidP="009D4A93">
            <w:pPr>
              <w:spacing w:after="0"/>
              <w:jc w:val="center"/>
              <w:rPr>
                <w:lang w:eastAsia="ja-JP"/>
              </w:rPr>
            </w:pPr>
            <w:r w:rsidRPr="00536CFD">
              <w:t>102.75</w:t>
            </w:r>
          </w:p>
        </w:tc>
        <w:tc>
          <w:tcPr>
            <w:tcW w:w="720" w:type="dxa"/>
          </w:tcPr>
          <w:p w14:paraId="0F0AC9F8" w14:textId="77777777" w:rsidR="009D4A93" w:rsidRPr="00536CFD" w:rsidRDefault="009D4A93" w:rsidP="009D4A93">
            <w:pPr>
              <w:spacing w:after="0"/>
              <w:jc w:val="center"/>
              <w:rPr>
                <w:lang w:eastAsia="ja-JP"/>
              </w:rPr>
            </w:pPr>
            <w:r w:rsidRPr="00536CFD">
              <w:t>94.69</w:t>
            </w:r>
          </w:p>
        </w:tc>
        <w:tc>
          <w:tcPr>
            <w:tcW w:w="810" w:type="dxa"/>
          </w:tcPr>
          <w:p w14:paraId="2BF2E0EC" w14:textId="77777777" w:rsidR="009D4A93" w:rsidRPr="00536CFD" w:rsidRDefault="009D4A93" w:rsidP="009D4A93">
            <w:pPr>
              <w:spacing w:after="0"/>
              <w:jc w:val="center"/>
              <w:rPr>
                <w:lang w:eastAsia="ja-JP"/>
              </w:rPr>
            </w:pPr>
          </w:p>
        </w:tc>
        <w:tc>
          <w:tcPr>
            <w:tcW w:w="810" w:type="dxa"/>
          </w:tcPr>
          <w:p w14:paraId="1FAB8F8F" w14:textId="77777777" w:rsidR="009D4A93" w:rsidRPr="00536CFD" w:rsidRDefault="009D4A93" w:rsidP="009D4A93">
            <w:pPr>
              <w:spacing w:after="0"/>
              <w:jc w:val="center"/>
              <w:rPr>
                <w:lang w:eastAsia="ja-JP"/>
              </w:rPr>
            </w:pPr>
            <w:r w:rsidRPr="00536CFD">
              <w:t>74.51</w:t>
            </w:r>
          </w:p>
        </w:tc>
        <w:tc>
          <w:tcPr>
            <w:tcW w:w="820" w:type="dxa"/>
          </w:tcPr>
          <w:p w14:paraId="13AF21EA" w14:textId="77777777" w:rsidR="009D4A93" w:rsidRPr="00536CFD" w:rsidRDefault="009D4A93" w:rsidP="009D4A93">
            <w:pPr>
              <w:spacing w:after="0"/>
              <w:jc w:val="center"/>
              <w:rPr>
                <w:lang w:eastAsia="ja-JP"/>
              </w:rPr>
            </w:pPr>
            <w:r w:rsidRPr="00536CFD">
              <w:t>91.29</w:t>
            </w:r>
          </w:p>
        </w:tc>
        <w:tc>
          <w:tcPr>
            <w:tcW w:w="800" w:type="dxa"/>
          </w:tcPr>
          <w:p w14:paraId="40B4D3FE" w14:textId="77777777" w:rsidR="009D4A93" w:rsidRPr="00536CFD" w:rsidRDefault="009D4A93" w:rsidP="009D4A93">
            <w:pPr>
              <w:spacing w:after="0"/>
              <w:jc w:val="center"/>
              <w:rPr>
                <w:lang w:eastAsia="ja-JP"/>
              </w:rPr>
            </w:pPr>
            <w:r w:rsidRPr="00536CFD">
              <w:t>78.41</w:t>
            </w:r>
          </w:p>
        </w:tc>
        <w:tc>
          <w:tcPr>
            <w:tcW w:w="720" w:type="dxa"/>
          </w:tcPr>
          <w:p w14:paraId="743583C6" w14:textId="77777777" w:rsidR="009D4A93" w:rsidRPr="00536CFD" w:rsidRDefault="009D4A93" w:rsidP="009D4A93">
            <w:pPr>
              <w:spacing w:after="0"/>
              <w:jc w:val="center"/>
              <w:rPr>
                <w:lang w:eastAsia="ja-JP"/>
              </w:rPr>
            </w:pPr>
          </w:p>
        </w:tc>
        <w:tc>
          <w:tcPr>
            <w:tcW w:w="724" w:type="dxa"/>
          </w:tcPr>
          <w:p w14:paraId="440D2E3A" w14:textId="77777777" w:rsidR="009D4A93" w:rsidRPr="00536CFD" w:rsidRDefault="009D4A93" w:rsidP="009D4A93">
            <w:pPr>
              <w:spacing w:after="0"/>
              <w:jc w:val="center"/>
              <w:rPr>
                <w:lang w:eastAsia="ja-JP"/>
              </w:rPr>
            </w:pPr>
            <w:r w:rsidRPr="00536CFD">
              <w:t>48.94</w:t>
            </w:r>
          </w:p>
        </w:tc>
        <w:tc>
          <w:tcPr>
            <w:tcW w:w="896" w:type="dxa"/>
          </w:tcPr>
          <w:p w14:paraId="48B3451B" w14:textId="77777777" w:rsidR="009D4A93" w:rsidRPr="00536CFD" w:rsidRDefault="009D4A93" w:rsidP="009D4A93">
            <w:pPr>
              <w:spacing w:after="0"/>
              <w:jc w:val="center"/>
              <w:rPr>
                <w:lang w:eastAsia="ja-JP"/>
              </w:rPr>
            </w:pPr>
            <w:r w:rsidRPr="00536CFD">
              <w:t>73.29</w:t>
            </w:r>
          </w:p>
        </w:tc>
        <w:tc>
          <w:tcPr>
            <w:tcW w:w="720" w:type="dxa"/>
          </w:tcPr>
          <w:p w14:paraId="206EF514" w14:textId="77777777" w:rsidR="009D4A93" w:rsidRPr="00536CFD" w:rsidRDefault="009D4A93" w:rsidP="009D4A93">
            <w:pPr>
              <w:spacing w:after="0"/>
              <w:jc w:val="center"/>
              <w:rPr>
                <w:lang w:eastAsia="ja-JP"/>
              </w:rPr>
            </w:pPr>
            <w:r w:rsidRPr="00536CFD">
              <w:t>60.47</w:t>
            </w:r>
          </w:p>
        </w:tc>
        <w:tc>
          <w:tcPr>
            <w:tcW w:w="720" w:type="dxa"/>
          </w:tcPr>
          <w:p w14:paraId="5BBCB2B1" w14:textId="77777777" w:rsidR="009D4A93" w:rsidRPr="00536CFD" w:rsidRDefault="009D4A93" w:rsidP="009D4A93">
            <w:pPr>
              <w:spacing w:after="0"/>
              <w:jc w:val="center"/>
              <w:rPr>
                <w:lang w:eastAsia="ja-JP"/>
              </w:rPr>
            </w:pPr>
          </w:p>
        </w:tc>
      </w:tr>
      <w:tr w:rsidR="009D4A93" w:rsidRPr="00536CFD" w14:paraId="70AB0A3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6992895"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CB6CB8B"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BAB979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40E3850D" w14:textId="77777777" w:rsidR="009D4A93" w:rsidRPr="00536CFD" w:rsidRDefault="009D4A93" w:rsidP="009D4A93">
            <w:pPr>
              <w:spacing w:after="0"/>
              <w:jc w:val="center"/>
              <w:rPr>
                <w:lang w:eastAsia="ja-JP"/>
              </w:rPr>
            </w:pPr>
            <w:r w:rsidRPr="00536CFD">
              <w:t>81.03</w:t>
            </w:r>
          </w:p>
        </w:tc>
        <w:tc>
          <w:tcPr>
            <w:tcW w:w="720" w:type="dxa"/>
          </w:tcPr>
          <w:p w14:paraId="73740D99" w14:textId="77777777" w:rsidR="009D4A93" w:rsidRPr="00536CFD" w:rsidRDefault="009D4A93" w:rsidP="009D4A93">
            <w:pPr>
              <w:spacing w:after="0"/>
              <w:jc w:val="center"/>
              <w:rPr>
                <w:lang w:eastAsia="ja-JP"/>
              </w:rPr>
            </w:pPr>
            <w:r w:rsidRPr="00536CFD">
              <w:t>81.57</w:t>
            </w:r>
          </w:p>
        </w:tc>
        <w:tc>
          <w:tcPr>
            <w:tcW w:w="720" w:type="dxa"/>
          </w:tcPr>
          <w:p w14:paraId="463AAA88" w14:textId="77777777" w:rsidR="009D4A93" w:rsidRPr="00536CFD" w:rsidRDefault="009D4A93" w:rsidP="009D4A93">
            <w:pPr>
              <w:spacing w:after="0"/>
              <w:jc w:val="center"/>
              <w:rPr>
                <w:lang w:eastAsia="ja-JP"/>
              </w:rPr>
            </w:pPr>
            <w:r w:rsidRPr="00536CFD">
              <w:t>75.49</w:t>
            </w:r>
          </w:p>
        </w:tc>
        <w:tc>
          <w:tcPr>
            <w:tcW w:w="810" w:type="dxa"/>
          </w:tcPr>
          <w:p w14:paraId="53ACF84D" w14:textId="77777777" w:rsidR="009D4A93" w:rsidRPr="00536CFD" w:rsidRDefault="009D4A93" w:rsidP="009D4A93">
            <w:pPr>
              <w:spacing w:after="0"/>
              <w:jc w:val="center"/>
              <w:rPr>
                <w:lang w:eastAsia="ja-JP"/>
              </w:rPr>
            </w:pPr>
          </w:p>
        </w:tc>
        <w:tc>
          <w:tcPr>
            <w:tcW w:w="810" w:type="dxa"/>
          </w:tcPr>
          <w:p w14:paraId="2DBE7418" w14:textId="77777777" w:rsidR="009D4A93" w:rsidRPr="00536CFD" w:rsidRDefault="009D4A93" w:rsidP="009D4A93">
            <w:pPr>
              <w:spacing w:after="0"/>
              <w:jc w:val="center"/>
              <w:rPr>
                <w:lang w:eastAsia="ja-JP"/>
              </w:rPr>
            </w:pPr>
            <w:r w:rsidRPr="00536CFD">
              <w:t>53.70</w:t>
            </w:r>
          </w:p>
        </w:tc>
        <w:tc>
          <w:tcPr>
            <w:tcW w:w="820" w:type="dxa"/>
          </w:tcPr>
          <w:p w14:paraId="7E78998D" w14:textId="77777777" w:rsidR="009D4A93" w:rsidRPr="00536CFD" w:rsidRDefault="009D4A93" w:rsidP="009D4A93">
            <w:pPr>
              <w:spacing w:after="0"/>
              <w:jc w:val="center"/>
              <w:rPr>
                <w:lang w:eastAsia="ja-JP"/>
              </w:rPr>
            </w:pPr>
            <w:r w:rsidRPr="00536CFD">
              <w:t>66.42</w:t>
            </w:r>
          </w:p>
        </w:tc>
        <w:tc>
          <w:tcPr>
            <w:tcW w:w="800" w:type="dxa"/>
          </w:tcPr>
          <w:p w14:paraId="73A7B872" w14:textId="77777777" w:rsidR="009D4A93" w:rsidRPr="00536CFD" w:rsidRDefault="009D4A93" w:rsidP="009D4A93">
            <w:pPr>
              <w:spacing w:after="0"/>
              <w:jc w:val="center"/>
              <w:rPr>
                <w:lang w:eastAsia="ja-JP"/>
              </w:rPr>
            </w:pPr>
            <w:r w:rsidRPr="00536CFD">
              <w:t>59.10</w:t>
            </w:r>
          </w:p>
        </w:tc>
        <w:tc>
          <w:tcPr>
            <w:tcW w:w="720" w:type="dxa"/>
          </w:tcPr>
          <w:p w14:paraId="045BE1EE" w14:textId="77777777" w:rsidR="009D4A93" w:rsidRPr="00536CFD" w:rsidRDefault="009D4A93" w:rsidP="009D4A93">
            <w:pPr>
              <w:spacing w:after="0"/>
              <w:jc w:val="center"/>
              <w:rPr>
                <w:lang w:eastAsia="ja-JP"/>
              </w:rPr>
            </w:pPr>
          </w:p>
        </w:tc>
        <w:tc>
          <w:tcPr>
            <w:tcW w:w="724" w:type="dxa"/>
          </w:tcPr>
          <w:p w14:paraId="53F72C52" w14:textId="77777777" w:rsidR="009D4A93" w:rsidRPr="00536CFD" w:rsidRDefault="009D4A93" w:rsidP="009D4A93">
            <w:pPr>
              <w:spacing w:after="0"/>
              <w:jc w:val="center"/>
              <w:rPr>
                <w:lang w:eastAsia="ja-JP"/>
              </w:rPr>
            </w:pPr>
            <w:r w:rsidRPr="00536CFD">
              <w:t>28.86</w:t>
            </w:r>
          </w:p>
        </w:tc>
        <w:tc>
          <w:tcPr>
            <w:tcW w:w="896" w:type="dxa"/>
          </w:tcPr>
          <w:p w14:paraId="4C6C1CDB" w14:textId="77777777" w:rsidR="009D4A93" w:rsidRPr="00536CFD" w:rsidRDefault="009D4A93" w:rsidP="009D4A93">
            <w:pPr>
              <w:spacing w:after="0"/>
              <w:jc w:val="center"/>
              <w:rPr>
                <w:lang w:eastAsia="ja-JP"/>
              </w:rPr>
            </w:pPr>
            <w:r w:rsidRPr="00536CFD">
              <w:t>48.28</w:t>
            </w:r>
          </w:p>
        </w:tc>
        <w:tc>
          <w:tcPr>
            <w:tcW w:w="720" w:type="dxa"/>
          </w:tcPr>
          <w:p w14:paraId="6A9BD9F1" w14:textId="77777777" w:rsidR="009D4A93" w:rsidRPr="00536CFD" w:rsidRDefault="009D4A93" w:rsidP="009D4A93">
            <w:pPr>
              <w:spacing w:after="0"/>
              <w:jc w:val="center"/>
              <w:rPr>
                <w:lang w:eastAsia="ja-JP"/>
              </w:rPr>
            </w:pPr>
            <w:r w:rsidRPr="00536CFD">
              <w:t>40.21</w:t>
            </w:r>
          </w:p>
        </w:tc>
        <w:tc>
          <w:tcPr>
            <w:tcW w:w="720" w:type="dxa"/>
          </w:tcPr>
          <w:p w14:paraId="7804F154" w14:textId="77777777" w:rsidR="009D4A93" w:rsidRPr="00536CFD" w:rsidRDefault="009D4A93" w:rsidP="009D4A93">
            <w:pPr>
              <w:spacing w:after="0"/>
              <w:jc w:val="center"/>
              <w:rPr>
                <w:lang w:eastAsia="ja-JP"/>
              </w:rPr>
            </w:pPr>
          </w:p>
        </w:tc>
      </w:tr>
      <w:tr w:rsidR="009D4A93" w:rsidRPr="00536CFD" w14:paraId="6EC1EB0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CB4C78F"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E58AD76" w14:textId="77777777" w:rsidR="009D4A93" w:rsidRPr="00536CFD" w:rsidRDefault="009D4A93" w:rsidP="009D4A93">
            <w:pPr>
              <w:spacing w:after="0"/>
              <w:jc w:val="center"/>
            </w:pPr>
            <w:r w:rsidRPr="00536CFD">
              <w:t>UL:</w:t>
            </w:r>
          </w:p>
          <w:p w14:paraId="5B037317" w14:textId="77777777" w:rsidR="009D4A93" w:rsidRPr="00536CFD" w:rsidRDefault="009D4A93" w:rsidP="009D4A93">
            <w:pPr>
              <w:spacing w:after="0"/>
              <w:jc w:val="center"/>
            </w:pPr>
            <w:r w:rsidRPr="00536CFD">
              <w:t>Delay CDF</w:t>
            </w:r>
          </w:p>
          <w:p w14:paraId="2E63108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[s]</w:t>
            </w:r>
          </w:p>
        </w:tc>
        <w:tc>
          <w:tcPr>
            <w:tcW w:w="400" w:type="dxa"/>
            <w:tcBorders>
              <w:top w:val="single" w:sz="4" w:space="0" w:color="auto"/>
              <w:left w:val="nil"/>
              <w:bottom w:val="single" w:sz="4" w:space="0" w:color="auto"/>
              <w:right w:val="single" w:sz="4" w:space="0" w:color="auto"/>
            </w:tcBorders>
            <w:shd w:val="clear" w:color="auto" w:fill="auto"/>
          </w:tcPr>
          <w:p w14:paraId="297CBB7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3131A512" w14:textId="77777777" w:rsidR="009D4A93" w:rsidRPr="00536CFD" w:rsidRDefault="009D4A93" w:rsidP="009D4A93">
            <w:pPr>
              <w:spacing w:after="0"/>
              <w:jc w:val="center"/>
              <w:rPr>
                <w:lang w:eastAsia="ja-JP"/>
              </w:rPr>
            </w:pPr>
            <w:r w:rsidRPr="00536CFD">
              <w:t>0.036</w:t>
            </w:r>
          </w:p>
        </w:tc>
        <w:tc>
          <w:tcPr>
            <w:tcW w:w="720" w:type="dxa"/>
          </w:tcPr>
          <w:p w14:paraId="58966447" w14:textId="77777777" w:rsidR="009D4A93" w:rsidRPr="00536CFD" w:rsidRDefault="009D4A93" w:rsidP="009D4A93">
            <w:pPr>
              <w:spacing w:after="0"/>
              <w:jc w:val="center"/>
              <w:rPr>
                <w:lang w:eastAsia="ja-JP"/>
              </w:rPr>
            </w:pPr>
            <w:r w:rsidRPr="00536CFD">
              <w:t>0.034</w:t>
            </w:r>
          </w:p>
        </w:tc>
        <w:tc>
          <w:tcPr>
            <w:tcW w:w="720" w:type="dxa"/>
          </w:tcPr>
          <w:p w14:paraId="1C91CF3D" w14:textId="77777777" w:rsidR="009D4A93" w:rsidRPr="00536CFD" w:rsidRDefault="009D4A93" w:rsidP="009D4A93">
            <w:pPr>
              <w:spacing w:after="0"/>
              <w:jc w:val="center"/>
              <w:rPr>
                <w:lang w:eastAsia="ja-JP"/>
              </w:rPr>
            </w:pPr>
            <w:r w:rsidRPr="00536CFD">
              <w:t>0.037</w:t>
            </w:r>
          </w:p>
        </w:tc>
        <w:tc>
          <w:tcPr>
            <w:tcW w:w="810" w:type="dxa"/>
          </w:tcPr>
          <w:p w14:paraId="20C809AA" w14:textId="77777777" w:rsidR="009D4A93" w:rsidRPr="00536CFD" w:rsidRDefault="009D4A93" w:rsidP="009D4A93">
            <w:pPr>
              <w:spacing w:after="0"/>
              <w:jc w:val="center"/>
              <w:rPr>
                <w:lang w:eastAsia="ja-JP"/>
              </w:rPr>
            </w:pPr>
          </w:p>
        </w:tc>
        <w:tc>
          <w:tcPr>
            <w:tcW w:w="810" w:type="dxa"/>
          </w:tcPr>
          <w:p w14:paraId="35278292" w14:textId="77777777" w:rsidR="009D4A93" w:rsidRPr="00536CFD" w:rsidRDefault="009D4A93" w:rsidP="009D4A93">
            <w:pPr>
              <w:spacing w:after="0"/>
              <w:jc w:val="center"/>
              <w:rPr>
                <w:lang w:eastAsia="ja-JP"/>
              </w:rPr>
            </w:pPr>
            <w:r w:rsidRPr="00536CFD">
              <w:t>0.059</w:t>
            </w:r>
          </w:p>
        </w:tc>
        <w:tc>
          <w:tcPr>
            <w:tcW w:w="820" w:type="dxa"/>
          </w:tcPr>
          <w:p w14:paraId="47C8DD47" w14:textId="77777777" w:rsidR="009D4A93" w:rsidRPr="00536CFD" w:rsidRDefault="009D4A93" w:rsidP="009D4A93">
            <w:pPr>
              <w:spacing w:after="0"/>
              <w:jc w:val="center"/>
              <w:rPr>
                <w:lang w:eastAsia="ja-JP"/>
              </w:rPr>
            </w:pPr>
            <w:r w:rsidRPr="00536CFD">
              <w:t>0.045</w:t>
            </w:r>
          </w:p>
        </w:tc>
        <w:tc>
          <w:tcPr>
            <w:tcW w:w="800" w:type="dxa"/>
          </w:tcPr>
          <w:p w14:paraId="7FDDB625" w14:textId="77777777" w:rsidR="009D4A93" w:rsidRPr="00536CFD" w:rsidRDefault="009D4A93" w:rsidP="009D4A93">
            <w:pPr>
              <w:spacing w:after="0"/>
              <w:jc w:val="center"/>
              <w:rPr>
                <w:lang w:eastAsia="ja-JP"/>
              </w:rPr>
            </w:pPr>
            <w:r w:rsidRPr="00536CFD">
              <w:t>0.048</w:t>
            </w:r>
          </w:p>
        </w:tc>
        <w:tc>
          <w:tcPr>
            <w:tcW w:w="720" w:type="dxa"/>
          </w:tcPr>
          <w:p w14:paraId="77A1A2F9" w14:textId="77777777" w:rsidR="009D4A93" w:rsidRPr="00536CFD" w:rsidRDefault="009D4A93" w:rsidP="009D4A93">
            <w:pPr>
              <w:spacing w:after="0"/>
              <w:jc w:val="center"/>
              <w:rPr>
                <w:lang w:eastAsia="ja-JP"/>
              </w:rPr>
            </w:pPr>
          </w:p>
        </w:tc>
        <w:tc>
          <w:tcPr>
            <w:tcW w:w="724" w:type="dxa"/>
          </w:tcPr>
          <w:p w14:paraId="0EF61C47" w14:textId="77777777" w:rsidR="009D4A93" w:rsidRPr="00536CFD" w:rsidRDefault="009D4A93" w:rsidP="009D4A93">
            <w:pPr>
              <w:spacing w:after="0"/>
              <w:jc w:val="center"/>
              <w:rPr>
                <w:lang w:eastAsia="ja-JP"/>
              </w:rPr>
            </w:pPr>
            <w:r w:rsidRPr="00536CFD">
              <w:t>0.092</w:t>
            </w:r>
          </w:p>
        </w:tc>
        <w:tc>
          <w:tcPr>
            <w:tcW w:w="896" w:type="dxa"/>
          </w:tcPr>
          <w:p w14:paraId="12A77FFA" w14:textId="77777777" w:rsidR="009D4A93" w:rsidRPr="00536CFD" w:rsidRDefault="009D4A93" w:rsidP="009D4A93">
            <w:pPr>
              <w:spacing w:after="0"/>
              <w:jc w:val="center"/>
              <w:rPr>
                <w:lang w:eastAsia="ja-JP"/>
              </w:rPr>
            </w:pPr>
            <w:r w:rsidRPr="00536CFD">
              <w:t>0.057</w:t>
            </w:r>
          </w:p>
        </w:tc>
        <w:tc>
          <w:tcPr>
            <w:tcW w:w="720" w:type="dxa"/>
          </w:tcPr>
          <w:p w14:paraId="3EE5456E" w14:textId="77777777" w:rsidR="009D4A93" w:rsidRPr="00536CFD" w:rsidRDefault="009D4A93" w:rsidP="009D4A93">
            <w:pPr>
              <w:spacing w:after="0"/>
              <w:jc w:val="center"/>
              <w:rPr>
                <w:lang w:eastAsia="ja-JP"/>
              </w:rPr>
            </w:pPr>
            <w:r w:rsidRPr="00536CFD">
              <w:t>0.063</w:t>
            </w:r>
          </w:p>
        </w:tc>
        <w:tc>
          <w:tcPr>
            <w:tcW w:w="720" w:type="dxa"/>
          </w:tcPr>
          <w:p w14:paraId="7CA55BDB" w14:textId="77777777" w:rsidR="009D4A93" w:rsidRPr="00536CFD" w:rsidRDefault="009D4A93" w:rsidP="009D4A93">
            <w:pPr>
              <w:spacing w:after="0"/>
              <w:jc w:val="center"/>
              <w:rPr>
                <w:lang w:eastAsia="ja-JP"/>
              </w:rPr>
            </w:pPr>
          </w:p>
        </w:tc>
      </w:tr>
      <w:tr w:rsidR="009D4A93" w:rsidRPr="00536CFD" w14:paraId="7B09046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06238C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329A81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021C31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4A44EE7D" w14:textId="77777777" w:rsidR="009D4A93" w:rsidRPr="00536CFD" w:rsidRDefault="009D4A93" w:rsidP="009D4A93">
            <w:pPr>
              <w:spacing w:after="0"/>
              <w:jc w:val="center"/>
              <w:rPr>
                <w:lang w:eastAsia="ja-JP"/>
              </w:rPr>
            </w:pPr>
            <w:r w:rsidRPr="00536CFD">
              <w:t>0.092</w:t>
            </w:r>
          </w:p>
        </w:tc>
        <w:tc>
          <w:tcPr>
            <w:tcW w:w="720" w:type="dxa"/>
          </w:tcPr>
          <w:p w14:paraId="517E1BA8" w14:textId="77777777" w:rsidR="009D4A93" w:rsidRPr="00536CFD" w:rsidRDefault="009D4A93" w:rsidP="009D4A93">
            <w:pPr>
              <w:spacing w:after="0"/>
              <w:jc w:val="center"/>
              <w:rPr>
                <w:lang w:eastAsia="ja-JP"/>
              </w:rPr>
            </w:pPr>
            <w:r w:rsidRPr="00536CFD">
              <w:t>0.052</w:t>
            </w:r>
          </w:p>
        </w:tc>
        <w:tc>
          <w:tcPr>
            <w:tcW w:w="720" w:type="dxa"/>
          </w:tcPr>
          <w:p w14:paraId="6DF7EB99" w14:textId="77777777" w:rsidR="009D4A93" w:rsidRPr="00536CFD" w:rsidRDefault="009D4A93" w:rsidP="009D4A93">
            <w:pPr>
              <w:spacing w:after="0"/>
              <w:jc w:val="center"/>
              <w:rPr>
                <w:lang w:eastAsia="ja-JP"/>
              </w:rPr>
            </w:pPr>
            <w:r w:rsidRPr="00536CFD">
              <w:t>0.065</w:t>
            </w:r>
          </w:p>
        </w:tc>
        <w:tc>
          <w:tcPr>
            <w:tcW w:w="810" w:type="dxa"/>
          </w:tcPr>
          <w:p w14:paraId="5B16382D" w14:textId="77777777" w:rsidR="009D4A93" w:rsidRPr="00536CFD" w:rsidRDefault="009D4A93" w:rsidP="009D4A93">
            <w:pPr>
              <w:spacing w:after="0"/>
              <w:jc w:val="center"/>
              <w:rPr>
                <w:lang w:eastAsia="ja-JP"/>
              </w:rPr>
            </w:pPr>
          </w:p>
        </w:tc>
        <w:tc>
          <w:tcPr>
            <w:tcW w:w="810" w:type="dxa"/>
          </w:tcPr>
          <w:p w14:paraId="7E761041" w14:textId="77777777" w:rsidR="009D4A93" w:rsidRPr="00536CFD" w:rsidRDefault="009D4A93" w:rsidP="009D4A93">
            <w:pPr>
              <w:spacing w:after="0"/>
              <w:jc w:val="center"/>
              <w:rPr>
                <w:lang w:eastAsia="ja-JP"/>
              </w:rPr>
            </w:pPr>
            <w:r w:rsidRPr="00536CFD">
              <w:t>0.478</w:t>
            </w:r>
          </w:p>
        </w:tc>
        <w:tc>
          <w:tcPr>
            <w:tcW w:w="820" w:type="dxa"/>
          </w:tcPr>
          <w:p w14:paraId="125A7BC3" w14:textId="77777777" w:rsidR="009D4A93" w:rsidRPr="00536CFD" w:rsidRDefault="009D4A93" w:rsidP="009D4A93">
            <w:pPr>
              <w:spacing w:after="0"/>
              <w:jc w:val="center"/>
              <w:rPr>
                <w:lang w:eastAsia="ja-JP"/>
              </w:rPr>
            </w:pPr>
            <w:r w:rsidRPr="00536CFD">
              <w:t>0.154</w:t>
            </w:r>
          </w:p>
        </w:tc>
        <w:tc>
          <w:tcPr>
            <w:tcW w:w="800" w:type="dxa"/>
          </w:tcPr>
          <w:p w14:paraId="344A9BEB" w14:textId="77777777" w:rsidR="009D4A93" w:rsidRPr="00536CFD" w:rsidRDefault="009D4A93" w:rsidP="009D4A93">
            <w:pPr>
              <w:spacing w:after="0"/>
              <w:jc w:val="center"/>
              <w:rPr>
                <w:lang w:eastAsia="ja-JP"/>
              </w:rPr>
            </w:pPr>
            <w:r w:rsidRPr="00536CFD">
              <w:t>0.334</w:t>
            </w:r>
          </w:p>
        </w:tc>
        <w:tc>
          <w:tcPr>
            <w:tcW w:w="720" w:type="dxa"/>
          </w:tcPr>
          <w:p w14:paraId="2D4C4311" w14:textId="77777777" w:rsidR="009D4A93" w:rsidRPr="00536CFD" w:rsidRDefault="009D4A93" w:rsidP="009D4A93">
            <w:pPr>
              <w:spacing w:after="0"/>
              <w:jc w:val="center"/>
              <w:rPr>
                <w:lang w:eastAsia="ja-JP"/>
              </w:rPr>
            </w:pPr>
          </w:p>
        </w:tc>
        <w:tc>
          <w:tcPr>
            <w:tcW w:w="724" w:type="dxa"/>
          </w:tcPr>
          <w:p w14:paraId="61B59B98" w14:textId="77777777" w:rsidR="009D4A93" w:rsidRPr="00536CFD" w:rsidRDefault="009D4A93" w:rsidP="009D4A93">
            <w:pPr>
              <w:spacing w:after="0"/>
              <w:jc w:val="center"/>
              <w:rPr>
                <w:lang w:eastAsia="ja-JP"/>
              </w:rPr>
            </w:pPr>
            <w:r w:rsidRPr="00536CFD">
              <w:t>0.820</w:t>
            </w:r>
          </w:p>
        </w:tc>
        <w:tc>
          <w:tcPr>
            <w:tcW w:w="896" w:type="dxa"/>
          </w:tcPr>
          <w:p w14:paraId="0F1F0DCF" w14:textId="77777777" w:rsidR="009D4A93" w:rsidRPr="00536CFD" w:rsidRDefault="009D4A93" w:rsidP="009D4A93">
            <w:pPr>
              <w:spacing w:after="0"/>
              <w:jc w:val="center"/>
              <w:rPr>
                <w:lang w:eastAsia="ja-JP"/>
              </w:rPr>
            </w:pPr>
            <w:r w:rsidRPr="00536CFD">
              <w:t>0.279</w:t>
            </w:r>
          </w:p>
        </w:tc>
        <w:tc>
          <w:tcPr>
            <w:tcW w:w="720" w:type="dxa"/>
          </w:tcPr>
          <w:p w14:paraId="35616DC8" w14:textId="77777777" w:rsidR="009D4A93" w:rsidRPr="00536CFD" w:rsidRDefault="009D4A93" w:rsidP="009D4A93">
            <w:pPr>
              <w:spacing w:after="0"/>
              <w:jc w:val="center"/>
              <w:rPr>
                <w:lang w:eastAsia="ja-JP"/>
              </w:rPr>
            </w:pPr>
            <w:r w:rsidRPr="00536CFD">
              <w:t>0.936</w:t>
            </w:r>
          </w:p>
        </w:tc>
        <w:tc>
          <w:tcPr>
            <w:tcW w:w="720" w:type="dxa"/>
          </w:tcPr>
          <w:p w14:paraId="75BD523E" w14:textId="77777777" w:rsidR="009D4A93" w:rsidRPr="00536CFD" w:rsidRDefault="009D4A93" w:rsidP="009D4A93">
            <w:pPr>
              <w:spacing w:after="0"/>
              <w:jc w:val="center"/>
              <w:rPr>
                <w:lang w:eastAsia="ja-JP"/>
              </w:rPr>
            </w:pPr>
          </w:p>
        </w:tc>
      </w:tr>
      <w:tr w:rsidR="009D4A93" w:rsidRPr="00536CFD" w14:paraId="748DEAF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3FA5183"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515D8B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226F0C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6AF06433" w14:textId="77777777" w:rsidR="009D4A93" w:rsidRPr="00536CFD" w:rsidRDefault="009D4A93" w:rsidP="009D4A93">
            <w:pPr>
              <w:spacing w:after="0"/>
              <w:jc w:val="center"/>
              <w:rPr>
                <w:lang w:eastAsia="ja-JP"/>
              </w:rPr>
            </w:pPr>
            <w:r w:rsidRPr="00536CFD">
              <w:t>1.147</w:t>
            </w:r>
          </w:p>
        </w:tc>
        <w:tc>
          <w:tcPr>
            <w:tcW w:w="720" w:type="dxa"/>
          </w:tcPr>
          <w:p w14:paraId="2340EB2B" w14:textId="77777777" w:rsidR="009D4A93" w:rsidRPr="00536CFD" w:rsidRDefault="009D4A93" w:rsidP="009D4A93">
            <w:pPr>
              <w:spacing w:after="0"/>
              <w:jc w:val="center"/>
              <w:rPr>
                <w:lang w:eastAsia="ja-JP"/>
              </w:rPr>
            </w:pPr>
            <w:r w:rsidRPr="00536CFD">
              <w:t>0.181</w:t>
            </w:r>
          </w:p>
        </w:tc>
        <w:tc>
          <w:tcPr>
            <w:tcW w:w="720" w:type="dxa"/>
          </w:tcPr>
          <w:p w14:paraId="0C8AA72B" w14:textId="77777777" w:rsidR="009D4A93" w:rsidRPr="00536CFD" w:rsidRDefault="009D4A93" w:rsidP="009D4A93">
            <w:pPr>
              <w:spacing w:after="0"/>
              <w:jc w:val="center"/>
              <w:rPr>
                <w:lang w:eastAsia="ja-JP"/>
              </w:rPr>
            </w:pPr>
            <w:r w:rsidRPr="00536CFD">
              <w:t>0.250</w:t>
            </w:r>
          </w:p>
        </w:tc>
        <w:tc>
          <w:tcPr>
            <w:tcW w:w="810" w:type="dxa"/>
          </w:tcPr>
          <w:p w14:paraId="3E3BC83B" w14:textId="77777777" w:rsidR="009D4A93" w:rsidRPr="00536CFD" w:rsidRDefault="009D4A93" w:rsidP="009D4A93">
            <w:pPr>
              <w:spacing w:after="0"/>
              <w:jc w:val="center"/>
              <w:rPr>
                <w:lang w:eastAsia="ja-JP"/>
              </w:rPr>
            </w:pPr>
          </w:p>
        </w:tc>
        <w:tc>
          <w:tcPr>
            <w:tcW w:w="810" w:type="dxa"/>
          </w:tcPr>
          <w:p w14:paraId="167D4E56" w14:textId="77777777" w:rsidR="009D4A93" w:rsidRPr="00536CFD" w:rsidRDefault="009D4A93" w:rsidP="009D4A93">
            <w:pPr>
              <w:spacing w:after="0"/>
              <w:jc w:val="center"/>
              <w:rPr>
                <w:lang w:eastAsia="ja-JP"/>
              </w:rPr>
            </w:pPr>
            <w:r w:rsidRPr="00536CFD">
              <w:t>4.177</w:t>
            </w:r>
          </w:p>
        </w:tc>
        <w:tc>
          <w:tcPr>
            <w:tcW w:w="820" w:type="dxa"/>
          </w:tcPr>
          <w:p w14:paraId="6032F6FB" w14:textId="77777777" w:rsidR="009D4A93" w:rsidRPr="00536CFD" w:rsidRDefault="009D4A93" w:rsidP="009D4A93">
            <w:pPr>
              <w:spacing w:after="0"/>
              <w:jc w:val="center"/>
              <w:rPr>
                <w:lang w:eastAsia="ja-JP"/>
              </w:rPr>
            </w:pPr>
            <w:r w:rsidRPr="00536CFD">
              <w:t>1.017</w:t>
            </w:r>
          </w:p>
        </w:tc>
        <w:tc>
          <w:tcPr>
            <w:tcW w:w="800" w:type="dxa"/>
          </w:tcPr>
          <w:p w14:paraId="1E39EECD" w14:textId="77777777" w:rsidR="009D4A93" w:rsidRPr="00536CFD" w:rsidRDefault="009D4A93" w:rsidP="009D4A93">
            <w:pPr>
              <w:spacing w:after="0"/>
              <w:jc w:val="center"/>
              <w:rPr>
                <w:lang w:eastAsia="ja-JP"/>
              </w:rPr>
            </w:pPr>
            <w:r w:rsidRPr="00536CFD">
              <w:t>1.961</w:t>
            </w:r>
          </w:p>
        </w:tc>
        <w:tc>
          <w:tcPr>
            <w:tcW w:w="720" w:type="dxa"/>
          </w:tcPr>
          <w:p w14:paraId="2F8AEC5D" w14:textId="77777777" w:rsidR="009D4A93" w:rsidRPr="00536CFD" w:rsidRDefault="009D4A93" w:rsidP="009D4A93">
            <w:pPr>
              <w:spacing w:after="0"/>
              <w:jc w:val="center"/>
              <w:rPr>
                <w:lang w:eastAsia="ja-JP"/>
              </w:rPr>
            </w:pPr>
          </w:p>
        </w:tc>
        <w:tc>
          <w:tcPr>
            <w:tcW w:w="724" w:type="dxa"/>
          </w:tcPr>
          <w:p w14:paraId="7F9A86F8" w14:textId="77777777" w:rsidR="009D4A93" w:rsidRPr="00536CFD" w:rsidRDefault="009D4A93" w:rsidP="009D4A93">
            <w:pPr>
              <w:spacing w:after="0"/>
              <w:jc w:val="center"/>
              <w:rPr>
                <w:lang w:eastAsia="ja-JP"/>
              </w:rPr>
            </w:pPr>
            <w:r w:rsidRPr="00536CFD">
              <w:t>7.586</w:t>
            </w:r>
          </w:p>
        </w:tc>
        <w:tc>
          <w:tcPr>
            <w:tcW w:w="896" w:type="dxa"/>
          </w:tcPr>
          <w:p w14:paraId="6638DA78" w14:textId="77777777" w:rsidR="009D4A93" w:rsidRPr="00536CFD" w:rsidRDefault="009D4A93" w:rsidP="009D4A93">
            <w:pPr>
              <w:spacing w:after="0"/>
              <w:jc w:val="center"/>
              <w:rPr>
                <w:lang w:eastAsia="ja-JP"/>
              </w:rPr>
            </w:pPr>
            <w:r w:rsidRPr="00536CFD">
              <w:t>2.582</w:t>
            </w:r>
          </w:p>
        </w:tc>
        <w:tc>
          <w:tcPr>
            <w:tcW w:w="720" w:type="dxa"/>
          </w:tcPr>
          <w:p w14:paraId="2E220988" w14:textId="77777777" w:rsidR="009D4A93" w:rsidRPr="00536CFD" w:rsidRDefault="009D4A93" w:rsidP="009D4A93">
            <w:pPr>
              <w:spacing w:after="0"/>
              <w:jc w:val="center"/>
              <w:rPr>
                <w:lang w:eastAsia="ja-JP"/>
              </w:rPr>
            </w:pPr>
            <w:r w:rsidRPr="00536CFD">
              <w:t>6.071</w:t>
            </w:r>
          </w:p>
        </w:tc>
        <w:tc>
          <w:tcPr>
            <w:tcW w:w="720" w:type="dxa"/>
          </w:tcPr>
          <w:p w14:paraId="6AD47B5F" w14:textId="77777777" w:rsidR="009D4A93" w:rsidRPr="00536CFD" w:rsidRDefault="009D4A93" w:rsidP="009D4A93">
            <w:pPr>
              <w:spacing w:after="0"/>
              <w:jc w:val="center"/>
              <w:rPr>
                <w:lang w:eastAsia="ja-JP"/>
              </w:rPr>
            </w:pPr>
          </w:p>
        </w:tc>
      </w:tr>
      <w:tr w:rsidR="009D4A93" w:rsidRPr="00536CFD" w14:paraId="24301616"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37BDE8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214779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63CF5E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0BB2B082" w14:textId="77777777" w:rsidR="009D4A93" w:rsidRPr="00536CFD" w:rsidRDefault="009D4A93" w:rsidP="009D4A93">
            <w:pPr>
              <w:spacing w:after="0"/>
              <w:jc w:val="center"/>
              <w:rPr>
                <w:lang w:eastAsia="ja-JP"/>
              </w:rPr>
            </w:pPr>
            <w:r w:rsidRPr="00536CFD">
              <w:t>0.377</w:t>
            </w:r>
          </w:p>
        </w:tc>
        <w:tc>
          <w:tcPr>
            <w:tcW w:w="720" w:type="dxa"/>
          </w:tcPr>
          <w:p w14:paraId="612A1BEE" w14:textId="77777777" w:rsidR="009D4A93" w:rsidRPr="00536CFD" w:rsidRDefault="009D4A93" w:rsidP="009D4A93">
            <w:pPr>
              <w:spacing w:after="0"/>
              <w:jc w:val="center"/>
              <w:rPr>
                <w:lang w:eastAsia="ja-JP"/>
              </w:rPr>
            </w:pPr>
            <w:r w:rsidRPr="00536CFD">
              <w:t>0.086</w:t>
            </w:r>
          </w:p>
        </w:tc>
        <w:tc>
          <w:tcPr>
            <w:tcW w:w="720" w:type="dxa"/>
          </w:tcPr>
          <w:p w14:paraId="277E55D9" w14:textId="77777777" w:rsidR="009D4A93" w:rsidRPr="00536CFD" w:rsidRDefault="009D4A93" w:rsidP="009D4A93">
            <w:pPr>
              <w:spacing w:after="0"/>
              <w:jc w:val="center"/>
              <w:rPr>
                <w:lang w:eastAsia="ja-JP"/>
              </w:rPr>
            </w:pPr>
            <w:r w:rsidRPr="00536CFD">
              <w:t>0.108</w:t>
            </w:r>
          </w:p>
        </w:tc>
        <w:tc>
          <w:tcPr>
            <w:tcW w:w="810" w:type="dxa"/>
          </w:tcPr>
          <w:p w14:paraId="34B03E40" w14:textId="77777777" w:rsidR="009D4A93" w:rsidRPr="00536CFD" w:rsidRDefault="009D4A93" w:rsidP="009D4A93">
            <w:pPr>
              <w:spacing w:after="0"/>
              <w:jc w:val="center"/>
              <w:rPr>
                <w:lang w:eastAsia="ja-JP"/>
              </w:rPr>
            </w:pPr>
          </w:p>
        </w:tc>
        <w:tc>
          <w:tcPr>
            <w:tcW w:w="810" w:type="dxa"/>
          </w:tcPr>
          <w:p w14:paraId="6850DD9C" w14:textId="77777777" w:rsidR="009D4A93" w:rsidRPr="00536CFD" w:rsidRDefault="009D4A93" w:rsidP="009D4A93">
            <w:pPr>
              <w:spacing w:after="0"/>
              <w:jc w:val="center"/>
              <w:rPr>
                <w:lang w:eastAsia="ja-JP"/>
              </w:rPr>
            </w:pPr>
            <w:r w:rsidRPr="00536CFD">
              <w:t>1.556</w:t>
            </w:r>
          </w:p>
        </w:tc>
        <w:tc>
          <w:tcPr>
            <w:tcW w:w="820" w:type="dxa"/>
          </w:tcPr>
          <w:p w14:paraId="0152AB01" w14:textId="77777777" w:rsidR="009D4A93" w:rsidRPr="00536CFD" w:rsidRDefault="009D4A93" w:rsidP="009D4A93">
            <w:pPr>
              <w:spacing w:after="0"/>
              <w:jc w:val="center"/>
              <w:rPr>
                <w:lang w:eastAsia="ja-JP"/>
              </w:rPr>
            </w:pPr>
            <w:r w:rsidRPr="00536CFD">
              <w:t>0.392</w:t>
            </w:r>
          </w:p>
        </w:tc>
        <w:tc>
          <w:tcPr>
            <w:tcW w:w="800" w:type="dxa"/>
          </w:tcPr>
          <w:p w14:paraId="5B76E61B" w14:textId="77777777" w:rsidR="009D4A93" w:rsidRPr="00536CFD" w:rsidRDefault="009D4A93" w:rsidP="009D4A93">
            <w:pPr>
              <w:spacing w:after="0"/>
              <w:jc w:val="center"/>
              <w:rPr>
                <w:lang w:eastAsia="ja-JP"/>
              </w:rPr>
            </w:pPr>
            <w:r w:rsidRPr="00536CFD">
              <w:t>0.823</w:t>
            </w:r>
          </w:p>
        </w:tc>
        <w:tc>
          <w:tcPr>
            <w:tcW w:w="720" w:type="dxa"/>
          </w:tcPr>
          <w:p w14:paraId="7B66821B" w14:textId="77777777" w:rsidR="009D4A93" w:rsidRPr="00536CFD" w:rsidRDefault="009D4A93" w:rsidP="009D4A93">
            <w:pPr>
              <w:spacing w:after="0"/>
              <w:jc w:val="center"/>
              <w:rPr>
                <w:lang w:eastAsia="ja-JP"/>
              </w:rPr>
            </w:pPr>
          </w:p>
        </w:tc>
        <w:tc>
          <w:tcPr>
            <w:tcW w:w="724" w:type="dxa"/>
          </w:tcPr>
          <w:p w14:paraId="269A4B7C" w14:textId="77777777" w:rsidR="009D4A93" w:rsidRPr="00536CFD" w:rsidRDefault="009D4A93" w:rsidP="009D4A93">
            <w:pPr>
              <w:spacing w:after="0"/>
              <w:jc w:val="center"/>
              <w:rPr>
                <w:lang w:eastAsia="ja-JP"/>
              </w:rPr>
            </w:pPr>
            <w:r w:rsidRPr="00536CFD">
              <w:t>2.565</w:t>
            </w:r>
          </w:p>
        </w:tc>
        <w:tc>
          <w:tcPr>
            <w:tcW w:w="896" w:type="dxa"/>
          </w:tcPr>
          <w:p w14:paraId="084E8953" w14:textId="77777777" w:rsidR="009D4A93" w:rsidRPr="00536CFD" w:rsidRDefault="009D4A93" w:rsidP="009D4A93">
            <w:pPr>
              <w:spacing w:after="0"/>
              <w:jc w:val="center"/>
              <w:rPr>
                <w:lang w:eastAsia="ja-JP"/>
              </w:rPr>
            </w:pPr>
            <w:r w:rsidRPr="00536CFD">
              <w:t>0.909</w:t>
            </w:r>
          </w:p>
        </w:tc>
        <w:tc>
          <w:tcPr>
            <w:tcW w:w="720" w:type="dxa"/>
          </w:tcPr>
          <w:p w14:paraId="47F6EE3F" w14:textId="77777777" w:rsidR="009D4A93" w:rsidRPr="00536CFD" w:rsidRDefault="009D4A93" w:rsidP="009D4A93">
            <w:pPr>
              <w:spacing w:after="0"/>
              <w:jc w:val="center"/>
              <w:rPr>
                <w:lang w:eastAsia="ja-JP"/>
              </w:rPr>
            </w:pPr>
            <w:r w:rsidRPr="00536CFD">
              <w:t>2.283</w:t>
            </w:r>
          </w:p>
        </w:tc>
        <w:tc>
          <w:tcPr>
            <w:tcW w:w="720" w:type="dxa"/>
          </w:tcPr>
          <w:p w14:paraId="671ED075" w14:textId="77777777" w:rsidR="009D4A93" w:rsidRPr="00536CFD" w:rsidRDefault="009D4A93" w:rsidP="009D4A93">
            <w:pPr>
              <w:spacing w:after="0"/>
              <w:jc w:val="center"/>
              <w:rPr>
                <w:lang w:eastAsia="ja-JP"/>
              </w:rPr>
            </w:pPr>
          </w:p>
        </w:tc>
      </w:tr>
      <w:tr w:rsidR="009D4A93" w:rsidRPr="00536CFD" w14:paraId="161F3FA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3CC0DF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64019D1"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Pr>
          <w:p w14:paraId="042B280B" w14:textId="77777777" w:rsidR="009D4A93" w:rsidRPr="00536CFD" w:rsidRDefault="009D4A93" w:rsidP="009D4A93">
            <w:pPr>
              <w:spacing w:after="0"/>
              <w:jc w:val="center"/>
              <w:rPr>
                <w:lang w:eastAsia="ja-JP"/>
              </w:rPr>
            </w:pPr>
            <w:r w:rsidRPr="00536CFD">
              <w:t>97%</w:t>
            </w:r>
          </w:p>
        </w:tc>
        <w:tc>
          <w:tcPr>
            <w:tcW w:w="720" w:type="dxa"/>
          </w:tcPr>
          <w:p w14:paraId="06ABDB8E" w14:textId="77777777" w:rsidR="009D4A93" w:rsidRPr="00536CFD" w:rsidRDefault="009D4A93" w:rsidP="009D4A93">
            <w:pPr>
              <w:spacing w:after="0"/>
              <w:jc w:val="center"/>
              <w:rPr>
                <w:lang w:eastAsia="ja-JP"/>
              </w:rPr>
            </w:pPr>
            <w:r w:rsidRPr="00536CFD">
              <w:t>100%</w:t>
            </w:r>
          </w:p>
        </w:tc>
        <w:tc>
          <w:tcPr>
            <w:tcW w:w="720" w:type="dxa"/>
          </w:tcPr>
          <w:p w14:paraId="0A129AD9" w14:textId="77777777" w:rsidR="009D4A93" w:rsidRPr="00536CFD" w:rsidRDefault="009D4A93" w:rsidP="009D4A93">
            <w:pPr>
              <w:spacing w:after="0"/>
              <w:jc w:val="center"/>
              <w:rPr>
                <w:lang w:eastAsia="ja-JP"/>
              </w:rPr>
            </w:pPr>
            <w:r w:rsidRPr="00536CFD">
              <w:t>100%</w:t>
            </w:r>
          </w:p>
        </w:tc>
        <w:tc>
          <w:tcPr>
            <w:tcW w:w="810" w:type="dxa"/>
          </w:tcPr>
          <w:p w14:paraId="06CB3C85" w14:textId="77777777" w:rsidR="009D4A93" w:rsidRPr="00536CFD" w:rsidRDefault="009D4A93" w:rsidP="009D4A93">
            <w:pPr>
              <w:spacing w:after="0"/>
              <w:jc w:val="center"/>
              <w:rPr>
                <w:lang w:eastAsia="ja-JP"/>
              </w:rPr>
            </w:pPr>
          </w:p>
        </w:tc>
        <w:tc>
          <w:tcPr>
            <w:tcW w:w="810" w:type="dxa"/>
          </w:tcPr>
          <w:p w14:paraId="3DDD6AF2" w14:textId="77777777" w:rsidR="009D4A93" w:rsidRPr="00536CFD" w:rsidRDefault="009D4A93" w:rsidP="009D4A93">
            <w:pPr>
              <w:spacing w:after="0"/>
              <w:jc w:val="center"/>
              <w:rPr>
                <w:lang w:eastAsia="ja-JP"/>
              </w:rPr>
            </w:pPr>
            <w:r w:rsidRPr="00536CFD">
              <w:t>81%</w:t>
            </w:r>
          </w:p>
        </w:tc>
        <w:tc>
          <w:tcPr>
            <w:tcW w:w="820" w:type="dxa"/>
          </w:tcPr>
          <w:p w14:paraId="725C9B54" w14:textId="77777777" w:rsidR="009D4A93" w:rsidRPr="00536CFD" w:rsidRDefault="009D4A93" w:rsidP="009D4A93">
            <w:pPr>
              <w:spacing w:after="0"/>
              <w:jc w:val="center"/>
              <w:rPr>
                <w:lang w:eastAsia="ja-JP"/>
              </w:rPr>
            </w:pPr>
            <w:r w:rsidRPr="00536CFD">
              <w:t>97%</w:t>
            </w:r>
          </w:p>
        </w:tc>
        <w:tc>
          <w:tcPr>
            <w:tcW w:w="800" w:type="dxa"/>
          </w:tcPr>
          <w:p w14:paraId="65BFE86A" w14:textId="77777777" w:rsidR="009D4A93" w:rsidRPr="00536CFD" w:rsidRDefault="009D4A93" w:rsidP="009D4A93">
            <w:pPr>
              <w:spacing w:after="0"/>
              <w:jc w:val="center"/>
              <w:rPr>
                <w:lang w:eastAsia="ja-JP"/>
              </w:rPr>
            </w:pPr>
            <w:r w:rsidRPr="00536CFD">
              <w:t>96%</w:t>
            </w:r>
          </w:p>
        </w:tc>
        <w:tc>
          <w:tcPr>
            <w:tcW w:w="720" w:type="dxa"/>
          </w:tcPr>
          <w:p w14:paraId="0E4410F0" w14:textId="77777777" w:rsidR="009D4A93" w:rsidRPr="00536CFD" w:rsidRDefault="009D4A93" w:rsidP="009D4A93">
            <w:pPr>
              <w:spacing w:after="0"/>
              <w:jc w:val="center"/>
              <w:rPr>
                <w:lang w:eastAsia="ja-JP"/>
              </w:rPr>
            </w:pPr>
          </w:p>
        </w:tc>
        <w:tc>
          <w:tcPr>
            <w:tcW w:w="724" w:type="dxa"/>
          </w:tcPr>
          <w:p w14:paraId="644A8646" w14:textId="77777777" w:rsidR="009D4A93" w:rsidRPr="00536CFD" w:rsidRDefault="009D4A93" w:rsidP="009D4A93">
            <w:pPr>
              <w:spacing w:after="0"/>
              <w:jc w:val="center"/>
              <w:rPr>
                <w:lang w:eastAsia="ja-JP"/>
              </w:rPr>
            </w:pPr>
            <w:r w:rsidRPr="00536CFD">
              <w:t>65%</w:t>
            </w:r>
          </w:p>
        </w:tc>
        <w:tc>
          <w:tcPr>
            <w:tcW w:w="896" w:type="dxa"/>
          </w:tcPr>
          <w:p w14:paraId="1A0E2963" w14:textId="77777777" w:rsidR="009D4A93" w:rsidRPr="00536CFD" w:rsidRDefault="009D4A93" w:rsidP="009D4A93">
            <w:pPr>
              <w:spacing w:after="0"/>
              <w:jc w:val="center"/>
              <w:rPr>
                <w:lang w:eastAsia="ja-JP"/>
              </w:rPr>
            </w:pPr>
            <w:r w:rsidRPr="00536CFD">
              <w:t>91%</w:t>
            </w:r>
          </w:p>
        </w:tc>
        <w:tc>
          <w:tcPr>
            <w:tcW w:w="720" w:type="dxa"/>
          </w:tcPr>
          <w:p w14:paraId="2C567B68" w14:textId="77777777" w:rsidR="009D4A93" w:rsidRPr="00536CFD" w:rsidRDefault="009D4A93" w:rsidP="009D4A93">
            <w:pPr>
              <w:spacing w:after="0"/>
              <w:jc w:val="center"/>
              <w:rPr>
                <w:lang w:eastAsia="ja-JP"/>
              </w:rPr>
            </w:pPr>
            <w:r w:rsidRPr="00536CFD">
              <w:t>87%</w:t>
            </w:r>
          </w:p>
        </w:tc>
        <w:tc>
          <w:tcPr>
            <w:tcW w:w="720" w:type="dxa"/>
          </w:tcPr>
          <w:p w14:paraId="0CC9005A" w14:textId="77777777" w:rsidR="009D4A93" w:rsidRPr="00536CFD" w:rsidRDefault="009D4A93" w:rsidP="009D4A93">
            <w:pPr>
              <w:spacing w:after="0"/>
              <w:jc w:val="center"/>
              <w:rPr>
                <w:lang w:eastAsia="ja-JP"/>
              </w:rPr>
            </w:pPr>
          </w:p>
        </w:tc>
      </w:tr>
      <w:tr w:rsidR="009D4A93" w:rsidRPr="00536CFD" w14:paraId="55B61AB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7DADEE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2A57ACA"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Pr>
          <w:p w14:paraId="1164666F" w14:textId="77777777" w:rsidR="009D4A93" w:rsidRPr="00536CFD" w:rsidRDefault="009D4A93" w:rsidP="009D4A93">
            <w:pPr>
              <w:spacing w:after="0"/>
              <w:jc w:val="center"/>
              <w:rPr>
                <w:lang w:eastAsia="ja-JP"/>
              </w:rPr>
            </w:pPr>
            <w:r w:rsidRPr="00536CFD">
              <w:t>98%</w:t>
            </w:r>
          </w:p>
        </w:tc>
        <w:tc>
          <w:tcPr>
            <w:tcW w:w="720" w:type="dxa"/>
          </w:tcPr>
          <w:p w14:paraId="53BA7C00" w14:textId="77777777" w:rsidR="009D4A93" w:rsidRPr="00536CFD" w:rsidRDefault="009D4A93" w:rsidP="009D4A93">
            <w:pPr>
              <w:spacing w:after="0"/>
              <w:jc w:val="center"/>
              <w:rPr>
                <w:lang w:eastAsia="ja-JP"/>
              </w:rPr>
            </w:pPr>
            <w:r w:rsidRPr="00536CFD">
              <w:t>100%</w:t>
            </w:r>
          </w:p>
        </w:tc>
        <w:tc>
          <w:tcPr>
            <w:tcW w:w="720" w:type="dxa"/>
          </w:tcPr>
          <w:p w14:paraId="3433F760" w14:textId="77777777" w:rsidR="009D4A93" w:rsidRPr="00536CFD" w:rsidRDefault="009D4A93" w:rsidP="009D4A93">
            <w:pPr>
              <w:spacing w:after="0"/>
              <w:jc w:val="center"/>
              <w:rPr>
                <w:lang w:eastAsia="ja-JP"/>
              </w:rPr>
            </w:pPr>
            <w:r w:rsidRPr="00536CFD">
              <w:t>100%</w:t>
            </w:r>
          </w:p>
        </w:tc>
        <w:tc>
          <w:tcPr>
            <w:tcW w:w="810" w:type="dxa"/>
          </w:tcPr>
          <w:p w14:paraId="48A5DC84" w14:textId="77777777" w:rsidR="009D4A93" w:rsidRPr="00536CFD" w:rsidRDefault="009D4A93" w:rsidP="009D4A93">
            <w:pPr>
              <w:spacing w:after="0"/>
              <w:jc w:val="center"/>
              <w:rPr>
                <w:lang w:eastAsia="ja-JP"/>
              </w:rPr>
            </w:pPr>
          </w:p>
        </w:tc>
        <w:tc>
          <w:tcPr>
            <w:tcW w:w="810" w:type="dxa"/>
          </w:tcPr>
          <w:p w14:paraId="1E09881A" w14:textId="77777777" w:rsidR="009D4A93" w:rsidRPr="00536CFD" w:rsidRDefault="009D4A93" w:rsidP="009D4A93">
            <w:pPr>
              <w:spacing w:after="0"/>
              <w:jc w:val="center"/>
              <w:rPr>
                <w:lang w:eastAsia="ja-JP"/>
              </w:rPr>
            </w:pPr>
            <w:r w:rsidRPr="00536CFD">
              <w:t>86%</w:t>
            </w:r>
          </w:p>
        </w:tc>
        <w:tc>
          <w:tcPr>
            <w:tcW w:w="820" w:type="dxa"/>
          </w:tcPr>
          <w:p w14:paraId="6EB7003F" w14:textId="77777777" w:rsidR="009D4A93" w:rsidRPr="00536CFD" w:rsidRDefault="009D4A93" w:rsidP="009D4A93">
            <w:pPr>
              <w:spacing w:after="0"/>
              <w:jc w:val="center"/>
              <w:rPr>
                <w:lang w:eastAsia="ja-JP"/>
              </w:rPr>
            </w:pPr>
            <w:r w:rsidRPr="00536CFD">
              <w:t>98%</w:t>
            </w:r>
          </w:p>
        </w:tc>
        <w:tc>
          <w:tcPr>
            <w:tcW w:w="800" w:type="dxa"/>
          </w:tcPr>
          <w:p w14:paraId="7D915091" w14:textId="77777777" w:rsidR="009D4A93" w:rsidRPr="00536CFD" w:rsidRDefault="009D4A93" w:rsidP="009D4A93">
            <w:pPr>
              <w:spacing w:after="0"/>
              <w:jc w:val="center"/>
              <w:rPr>
                <w:lang w:eastAsia="ja-JP"/>
              </w:rPr>
            </w:pPr>
            <w:r w:rsidRPr="00536CFD">
              <w:t>93%</w:t>
            </w:r>
          </w:p>
        </w:tc>
        <w:tc>
          <w:tcPr>
            <w:tcW w:w="720" w:type="dxa"/>
          </w:tcPr>
          <w:p w14:paraId="4ACCC93B" w14:textId="77777777" w:rsidR="009D4A93" w:rsidRPr="00536CFD" w:rsidRDefault="009D4A93" w:rsidP="009D4A93">
            <w:pPr>
              <w:spacing w:after="0"/>
              <w:jc w:val="center"/>
              <w:rPr>
                <w:lang w:eastAsia="ja-JP"/>
              </w:rPr>
            </w:pPr>
          </w:p>
        </w:tc>
        <w:tc>
          <w:tcPr>
            <w:tcW w:w="724" w:type="dxa"/>
          </w:tcPr>
          <w:p w14:paraId="2D50AE55" w14:textId="77777777" w:rsidR="009D4A93" w:rsidRPr="00536CFD" w:rsidRDefault="009D4A93" w:rsidP="009D4A93">
            <w:pPr>
              <w:spacing w:after="0"/>
              <w:jc w:val="center"/>
              <w:rPr>
                <w:lang w:eastAsia="ja-JP"/>
              </w:rPr>
            </w:pPr>
            <w:r w:rsidRPr="00536CFD">
              <w:t>74%</w:t>
            </w:r>
          </w:p>
        </w:tc>
        <w:tc>
          <w:tcPr>
            <w:tcW w:w="896" w:type="dxa"/>
          </w:tcPr>
          <w:p w14:paraId="0B3CBAD0" w14:textId="77777777" w:rsidR="009D4A93" w:rsidRPr="00536CFD" w:rsidRDefault="009D4A93" w:rsidP="009D4A93">
            <w:pPr>
              <w:spacing w:after="0"/>
              <w:jc w:val="center"/>
              <w:rPr>
                <w:lang w:eastAsia="ja-JP"/>
              </w:rPr>
            </w:pPr>
            <w:r w:rsidRPr="00536CFD">
              <w:t>96%</w:t>
            </w:r>
          </w:p>
        </w:tc>
        <w:tc>
          <w:tcPr>
            <w:tcW w:w="720" w:type="dxa"/>
          </w:tcPr>
          <w:p w14:paraId="33D77F6D" w14:textId="77777777" w:rsidR="009D4A93" w:rsidRPr="00536CFD" w:rsidRDefault="009D4A93" w:rsidP="009D4A93">
            <w:pPr>
              <w:spacing w:after="0"/>
              <w:jc w:val="center"/>
              <w:rPr>
                <w:lang w:eastAsia="ja-JP"/>
              </w:rPr>
            </w:pPr>
            <w:r w:rsidRPr="00536CFD">
              <w:t>75%</w:t>
            </w:r>
          </w:p>
        </w:tc>
        <w:tc>
          <w:tcPr>
            <w:tcW w:w="720" w:type="dxa"/>
          </w:tcPr>
          <w:p w14:paraId="6D404579" w14:textId="77777777" w:rsidR="009D4A93" w:rsidRPr="00536CFD" w:rsidRDefault="009D4A93" w:rsidP="009D4A93">
            <w:pPr>
              <w:spacing w:after="0"/>
              <w:jc w:val="center"/>
              <w:rPr>
                <w:lang w:eastAsia="ja-JP"/>
              </w:rPr>
            </w:pPr>
          </w:p>
        </w:tc>
      </w:tr>
      <w:tr w:rsidR="009D4A93" w:rsidRPr="00536CFD" w14:paraId="6196D3F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62C67CD"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097049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BO</w:t>
            </w:r>
          </w:p>
        </w:tc>
        <w:tc>
          <w:tcPr>
            <w:tcW w:w="714" w:type="dxa"/>
          </w:tcPr>
          <w:p w14:paraId="2C978B31" w14:textId="77777777" w:rsidR="009D4A93" w:rsidRPr="00536CFD" w:rsidRDefault="009D4A93" w:rsidP="009D4A93">
            <w:pPr>
              <w:spacing w:after="0"/>
              <w:jc w:val="center"/>
              <w:rPr>
                <w:lang w:eastAsia="ja-JP"/>
              </w:rPr>
            </w:pPr>
            <w:r w:rsidRPr="00536CFD">
              <w:t>10%</w:t>
            </w:r>
          </w:p>
        </w:tc>
        <w:tc>
          <w:tcPr>
            <w:tcW w:w="720" w:type="dxa"/>
          </w:tcPr>
          <w:p w14:paraId="4CC3A015" w14:textId="77777777" w:rsidR="009D4A93" w:rsidRPr="00536CFD" w:rsidRDefault="009D4A93" w:rsidP="009D4A93">
            <w:pPr>
              <w:spacing w:after="0"/>
              <w:jc w:val="center"/>
              <w:rPr>
                <w:lang w:eastAsia="ja-JP"/>
              </w:rPr>
            </w:pPr>
            <w:r w:rsidRPr="00536CFD">
              <w:t>6.3%</w:t>
            </w:r>
          </w:p>
        </w:tc>
        <w:tc>
          <w:tcPr>
            <w:tcW w:w="720" w:type="dxa"/>
          </w:tcPr>
          <w:p w14:paraId="07E111D6" w14:textId="77777777" w:rsidR="009D4A93" w:rsidRPr="00536CFD" w:rsidRDefault="009D4A93" w:rsidP="009D4A93">
            <w:pPr>
              <w:spacing w:after="0"/>
              <w:jc w:val="center"/>
              <w:rPr>
                <w:lang w:eastAsia="ja-JP"/>
              </w:rPr>
            </w:pPr>
            <w:r w:rsidRPr="00536CFD">
              <w:t>6.2%</w:t>
            </w:r>
          </w:p>
        </w:tc>
        <w:tc>
          <w:tcPr>
            <w:tcW w:w="810" w:type="dxa"/>
          </w:tcPr>
          <w:p w14:paraId="6075E7CD" w14:textId="77777777" w:rsidR="009D4A93" w:rsidRPr="00536CFD" w:rsidRDefault="009D4A93" w:rsidP="009D4A93">
            <w:pPr>
              <w:spacing w:after="0"/>
              <w:jc w:val="center"/>
              <w:rPr>
                <w:lang w:eastAsia="ja-JP"/>
              </w:rPr>
            </w:pPr>
          </w:p>
        </w:tc>
        <w:tc>
          <w:tcPr>
            <w:tcW w:w="810" w:type="dxa"/>
          </w:tcPr>
          <w:p w14:paraId="264A91FE" w14:textId="77777777" w:rsidR="009D4A93" w:rsidRPr="00536CFD" w:rsidRDefault="009D4A93" w:rsidP="009D4A93">
            <w:pPr>
              <w:spacing w:after="0"/>
              <w:jc w:val="center"/>
              <w:rPr>
                <w:lang w:eastAsia="ja-JP"/>
              </w:rPr>
            </w:pPr>
            <w:r w:rsidRPr="00536CFD">
              <w:t>35%</w:t>
            </w:r>
          </w:p>
        </w:tc>
        <w:tc>
          <w:tcPr>
            <w:tcW w:w="820" w:type="dxa"/>
          </w:tcPr>
          <w:p w14:paraId="15CF940B" w14:textId="77777777" w:rsidR="009D4A93" w:rsidRPr="00536CFD" w:rsidRDefault="009D4A93" w:rsidP="009D4A93">
            <w:pPr>
              <w:spacing w:after="0"/>
              <w:jc w:val="center"/>
              <w:rPr>
                <w:lang w:eastAsia="ja-JP"/>
              </w:rPr>
            </w:pPr>
            <w:r w:rsidRPr="00536CFD">
              <w:t>19%</w:t>
            </w:r>
          </w:p>
        </w:tc>
        <w:tc>
          <w:tcPr>
            <w:tcW w:w="800" w:type="dxa"/>
          </w:tcPr>
          <w:p w14:paraId="576F2A82" w14:textId="77777777" w:rsidR="009D4A93" w:rsidRPr="00536CFD" w:rsidRDefault="009D4A93" w:rsidP="009D4A93">
            <w:pPr>
              <w:spacing w:after="0"/>
              <w:jc w:val="center"/>
              <w:rPr>
                <w:lang w:eastAsia="ja-JP"/>
              </w:rPr>
            </w:pPr>
            <w:r w:rsidRPr="00536CFD">
              <w:t>19%</w:t>
            </w:r>
          </w:p>
        </w:tc>
        <w:tc>
          <w:tcPr>
            <w:tcW w:w="720" w:type="dxa"/>
          </w:tcPr>
          <w:p w14:paraId="5EBEA620" w14:textId="77777777" w:rsidR="009D4A93" w:rsidRPr="00536CFD" w:rsidRDefault="009D4A93" w:rsidP="009D4A93">
            <w:pPr>
              <w:spacing w:after="0"/>
              <w:jc w:val="center"/>
              <w:rPr>
                <w:lang w:eastAsia="ja-JP"/>
              </w:rPr>
            </w:pPr>
          </w:p>
        </w:tc>
        <w:tc>
          <w:tcPr>
            <w:tcW w:w="724" w:type="dxa"/>
          </w:tcPr>
          <w:p w14:paraId="52F7FEDA" w14:textId="77777777" w:rsidR="009D4A93" w:rsidRPr="00536CFD" w:rsidRDefault="009D4A93" w:rsidP="009D4A93">
            <w:pPr>
              <w:spacing w:after="0"/>
              <w:jc w:val="center"/>
              <w:rPr>
                <w:lang w:eastAsia="ja-JP"/>
              </w:rPr>
            </w:pPr>
            <w:r w:rsidRPr="00536CFD">
              <w:t>60%</w:t>
            </w:r>
          </w:p>
        </w:tc>
        <w:tc>
          <w:tcPr>
            <w:tcW w:w="896" w:type="dxa"/>
          </w:tcPr>
          <w:p w14:paraId="0EF8DA40" w14:textId="77777777" w:rsidR="009D4A93" w:rsidRPr="00536CFD" w:rsidRDefault="009D4A93" w:rsidP="009D4A93">
            <w:pPr>
              <w:spacing w:after="0"/>
              <w:jc w:val="center"/>
              <w:rPr>
                <w:lang w:eastAsia="ja-JP"/>
              </w:rPr>
            </w:pPr>
            <w:r w:rsidRPr="00536CFD">
              <w:t>37%</w:t>
            </w:r>
          </w:p>
        </w:tc>
        <w:tc>
          <w:tcPr>
            <w:tcW w:w="720" w:type="dxa"/>
          </w:tcPr>
          <w:p w14:paraId="7BD96FAF" w14:textId="77777777" w:rsidR="009D4A93" w:rsidRPr="00536CFD" w:rsidRDefault="009D4A93" w:rsidP="009D4A93">
            <w:pPr>
              <w:spacing w:after="0"/>
              <w:jc w:val="center"/>
              <w:rPr>
                <w:lang w:eastAsia="ja-JP"/>
              </w:rPr>
            </w:pPr>
            <w:r w:rsidRPr="00536CFD">
              <w:t>38%</w:t>
            </w:r>
          </w:p>
        </w:tc>
        <w:tc>
          <w:tcPr>
            <w:tcW w:w="720" w:type="dxa"/>
          </w:tcPr>
          <w:p w14:paraId="5F9E93BE" w14:textId="77777777" w:rsidR="009D4A93" w:rsidRPr="00536CFD" w:rsidRDefault="009D4A93" w:rsidP="009D4A93">
            <w:pPr>
              <w:spacing w:after="0"/>
              <w:jc w:val="center"/>
              <w:rPr>
                <w:lang w:eastAsia="ja-JP"/>
              </w:rPr>
            </w:pPr>
          </w:p>
        </w:tc>
      </w:tr>
      <w:tr w:rsidR="009D4A93" w:rsidRPr="00536CFD" w14:paraId="29E144C8"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24D77F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0FF9659"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Pr>
          <w:p w14:paraId="08378B8F" w14:textId="77777777" w:rsidR="009D4A93" w:rsidRPr="00536CFD" w:rsidRDefault="009D4A93" w:rsidP="009D4A93">
            <w:pPr>
              <w:spacing w:after="0"/>
              <w:jc w:val="center"/>
              <w:rPr>
                <w:lang w:eastAsia="ja-JP"/>
              </w:rPr>
            </w:pPr>
            <w:r w:rsidRPr="00536CFD">
              <w:t>0.19 file/s</w:t>
            </w:r>
          </w:p>
        </w:tc>
        <w:tc>
          <w:tcPr>
            <w:tcW w:w="3150" w:type="dxa"/>
            <w:gridSpan w:val="4"/>
          </w:tcPr>
          <w:p w14:paraId="55F19B67" w14:textId="77777777" w:rsidR="009D4A93" w:rsidRPr="00536CFD" w:rsidRDefault="009D4A93" w:rsidP="009D4A93">
            <w:pPr>
              <w:spacing w:after="0"/>
              <w:jc w:val="center"/>
              <w:rPr>
                <w:lang w:eastAsia="ja-JP"/>
              </w:rPr>
            </w:pPr>
            <w:r w:rsidRPr="00536CFD">
              <w:t>0.29 file/s</w:t>
            </w:r>
          </w:p>
        </w:tc>
        <w:tc>
          <w:tcPr>
            <w:tcW w:w="3060" w:type="dxa"/>
            <w:gridSpan w:val="4"/>
          </w:tcPr>
          <w:p w14:paraId="30E3AFF0" w14:textId="77777777" w:rsidR="009D4A93" w:rsidRPr="00536CFD" w:rsidRDefault="009D4A93" w:rsidP="009D4A93">
            <w:pPr>
              <w:spacing w:after="0"/>
              <w:jc w:val="center"/>
              <w:rPr>
                <w:lang w:eastAsia="ja-JP"/>
              </w:rPr>
            </w:pPr>
            <w:r w:rsidRPr="00536CFD">
              <w:t>0.37 file/s</w:t>
            </w:r>
          </w:p>
        </w:tc>
      </w:tr>
      <w:tr w:rsidR="009D4A93" w:rsidRPr="00536CFD" w14:paraId="614D433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2188825" w14:textId="77777777" w:rsidR="009D4A93" w:rsidRPr="00536CFD" w:rsidRDefault="009D4A93" w:rsidP="009D4A93">
            <w:pPr>
              <w:spacing w:after="0"/>
              <w:ind w:left="113" w:right="113"/>
            </w:pPr>
          </w:p>
        </w:tc>
        <w:tc>
          <w:tcPr>
            <w:tcW w:w="935" w:type="dxa"/>
            <w:gridSpan w:val="2"/>
            <w:shd w:val="clear" w:color="auto" w:fill="auto"/>
          </w:tcPr>
          <w:p w14:paraId="422BC4F7" w14:textId="77777777" w:rsidR="009D4A93" w:rsidRPr="00536CFD" w:rsidRDefault="009D4A93" w:rsidP="009D4A93">
            <w:pPr>
              <w:spacing w:after="0" w:line="360" w:lineRule="auto"/>
              <w:contextualSpacing/>
              <w:rPr>
                <w:lang w:val="en-US" w:bidi="ar"/>
              </w:rPr>
            </w:pPr>
          </w:p>
        </w:tc>
        <w:tc>
          <w:tcPr>
            <w:tcW w:w="9174" w:type="dxa"/>
            <w:gridSpan w:val="12"/>
          </w:tcPr>
          <w:p w14:paraId="2430032F" w14:textId="77777777" w:rsidR="009D4A93" w:rsidRPr="00536CFD" w:rsidRDefault="009D4A93" w:rsidP="00A92E07">
            <w:pPr>
              <w:pStyle w:val="ResTable"/>
              <w:jc w:val="left"/>
              <w:rPr>
                <w:rFonts w:ascii="Times New Roman" w:hAnsi="Times New Roman" w:cs="Times New Roman"/>
                <w:sz w:val="20"/>
                <w:szCs w:val="20"/>
              </w:rPr>
            </w:pPr>
            <w:r w:rsidRPr="00536CFD">
              <w:rPr>
                <w:rFonts w:ascii="Times New Roman" w:hAnsi="Times New Roman" w:cs="Times New Roman"/>
                <w:sz w:val="20"/>
                <w:szCs w:val="20"/>
              </w:rPr>
              <w:t xml:space="preserve">Additional comments: </w:t>
            </w:r>
          </w:p>
          <w:p w14:paraId="60F6F88A" w14:textId="77777777" w:rsidR="009D4A93" w:rsidRPr="00536CFD" w:rsidRDefault="009D4A93" w:rsidP="00A92E07">
            <w:pPr>
              <w:spacing w:after="0"/>
            </w:pPr>
            <w:r w:rsidRPr="00536CFD">
              <w:rPr>
                <w:b/>
                <w:bCs/>
                <w:lang w:eastAsia="sv-SE"/>
              </w:rPr>
              <w:t>Simulation setup:</w:t>
            </w:r>
            <w:r w:rsidRPr="00536CFD">
              <w:rPr>
                <w:lang w:eastAsia="sv-SE"/>
              </w:rPr>
              <w:t xml:space="preserve"> NR-U indoor scenario, 50/50 DL/UL traffics. </w:t>
            </w:r>
            <w:r w:rsidRPr="00536CFD">
              <w:br/>
            </w:r>
            <w:r w:rsidRPr="00536CFD">
              <w:rPr>
                <w:b/>
                <w:bCs/>
              </w:rPr>
              <w:t>Common assumptions:</w:t>
            </w:r>
            <w:r w:rsidRPr="00536CFD">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ED threshold  -72dBm, SCS 30kHz, UE processing time capability #1, PUSCH mapping Type A, PDSCH mapping Type B, PDCCH monitoring every 1OS, Scheduling: proportional fair, self-scheduling. COT sharing enabled (gNB initiated COT).</w:t>
            </w:r>
          </w:p>
          <w:p w14:paraId="7DA9B77F" w14:textId="77777777" w:rsidR="009D4A93" w:rsidRPr="00536CFD" w:rsidRDefault="009D4A93" w:rsidP="00A92E07">
            <w:pPr>
              <w:spacing w:after="0"/>
              <w:rPr>
                <w:b/>
              </w:rPr>
            </w:pPr>
            <w:r w:rsidRPr="00536CFD">
              <w:rPr>
                <w:b/>
              </w:rPr>
              <w:t>Other assumptions for NR-U:</w:t>
            </w:r>
          </w:p>
          <w:p w14:paraId="72F17C85" w14:textId="3E299A0D" w:rsidR="009D4A93" w:rsidRPr="00536CFD" w:rsidRDefault="00A92E07" w:rsidP="00A92E07">
            <w:pPr>
              <w:pStyle w:val="B1"/>
              <w:spacing w:after="0"/>
              <w:rPr>
                <w:lang w:val="en-US"/>
              </w:rPr>
            </w:pPr>
            <w:r w:rsidRPr="00536CFD">
              <w:rPr>
                <w:lang w:val="en-US"/>
              </w:rPr>
              <w:t>-</w:t>
            </w:r>
            <w:r w:rsidRPr="00536CFD">
              <w:rPr>
                <w:lang w:val="en-US"/>
              </w:rPr>
              <w:tab/>
            </w:r>
            <w:r w:rsidR="009D4A93" w:rsidRPr="00536CFD">
              <w:rPr>
                <w:lang w:val="en-US"/>
              </w:rPr>
              <w:t>1 ms long DRS is transmitted using 40ms periodicity and a DRS transmission window of 6 ms</w:t>
            </w:r>
          </w:p>
          <w:p w14:paraId="3542DE0C" w14:textId="77777777" w:rsidR="009D4A93" w:rsidRPr="00536CFD" w:rsidRDefault="009D4A93" w:rsidP="00A92E07">
            <w:pPr>
              <w:spacing w:after="0"/>
              <w:rPr>
                <w:lang w:eastAsia="ja-JP"/>
              </w:rPr>
            </w:pPr>
            <w:r w:rsidRPr="00536CFD">
              <w:rPr>
                <w:lang w:val="en-US" w:eastAsia="sv-SE"/>
              </w:rPr>
              <w:t>25us LBT is used for DRS transmission</w:t>
            </w:r>
          </w:p>
        </w:tc>
      </w:tr>
      <w:tr w:rsidR="009D4A93" w:rsidRPr="00536CFD" w14:paraId="5D75694F"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6C1821B7" w14:textId="77777777" w:rsidR="009D4A93" w:rsidRPr="00536CFD" w:rsidRDefault="009D4A93" w:rsidP="009D4A93">
            <w:pPr>
              <w:pStyle w:val="NormalWeb"/>
              <w:pageBreakBefore/>
              <w:spacing w:before="0" w:beforeAutospacing="0" w:after="0" w:afterAutospacing="0"/>
              <w:ind w:left="113" w:right="113"/>
              <w:jc w:val="center"/>
              <w:rPr>
                <w:rFonts w:eastAsia="SimSun"/>
                <w:sz w:val="20"/>
                <w:szCs w:val="20"/>
              </w:rPr>
            </w:pPr>
            <w:r w:rsidRPr="00536CFD">
              <w:rPr>
                <w:color w:val="000000"/>
                <w:sz w:val="20"/>
                <w:szCs w:val="20"/>
              </w:rPr>
              <w:t>R1-1814020</w:t>
            </w:r>
            <w:r w:rsidRPr="00536CFD">
              <w:rPr>
                <w:sz w:val="20"/>
                <w:szCs w:val="20"/>
              </w:rPr>
              <w:t>/ Source 8</w:t>
            </w:r>
          </w:p>
        </w:tc>
        <w:tc>
          <w:tcPr>
            <w:tcW w:w="535" w:type="dxa"/>
            <w:vMerge w:val="restart"/>
            <w:tcBorders>
              <w:top w:val="nil"/>
              <w:left w:val="nil"/>
              <w:bottom w:val="single" w:sz="4" w:space="0" w:color="auto"/>
              <w:right w:val="single" w:sz="4" w:space="0" w:color="auto"/>
            </w:tcBorders>
            <w:shd w:val="clear" w:color="auto" w:fill="auto"/>
          </w:tcPr>
          <w:p w14:paraId="74D26509" w14:textId="77777777" w:rsidR="009D4A93" w:rsidRPr="00536CFD" w:rsidRDefault="009D4A93" w:rsidP="009D4A93">
            <w:pPr>
              <w:spacing w:after="0"/>
              <w:jc w:val="center"/>
            </w:pPr>
            <w:r w:rsidRPr="00536CFD">
              <w:t xml:space="preserve">DL: </w:t>
            </w:r>
          </w:p>
          <w:p w14:paraId="467AF857" w14:textId="77777777" w:rsidR="009D4A93" w:rsidRPr="00536CFD" w:rsidRDefault="009D4A93" w:rsidP="009D4A93">
            <w:pPr>
              <w:spacing w:after="0"/>
              <w:jc w:val="center"/>
            </w:pPr>
            <w:r w:rsidRPr="00536CFD">
              <w:t>UPT CDF</w:t>
            </w:r>
          </w:p>
          <w:p w14:paraId="7695F4FF"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sz w:val="20"/>
                <w:szCs w:val="20"/>
              </w:rPr>
              <w:t>[Mbps]</w:t>
            </w:r>
          </w:p>
        </w:tc>
        <w:tc>
          <w:tcPr>
            <w:tcW w:w="400" w:type="dxa"/>
            <w:tcBorders>
              <w:top w:val="single" w:sz="4" w:space="0" w:color="auto"/>
              <w:left w:val="nil"/>
              <w:bottom w:val="single" w:sz="4" w:space="0" w:color="auto"/>
              <w:right w:val="single" w:sz="4" w:space="0" w:color="auto"/>
            </w:tcBorders>
            <w:shd w:val="clear" w:color="auto" w:fill="auto"/>
          </w:tcPr>
          <w:p w14:paraId="71E4E135" w14:textId="77777777" w:rsidR="009D4A93" w:rsidRPr="00536CFD" w:rsidRDefault="009D4A93" w:rsidP="009D4A93">
            <w:pPr>
              <w:pStyle w:val="NormalWeb"/>
              <w:pageBreakBefore/>
              <w:spacing w:before="0" w:beforeAutospacing="0" w:after="0" w:afterAutospacing="0"/>
              <w:jc w:val="center"/>
              <w:rPr>
                <w:rFonts w:eastAsia="SimSun"/>
                <w:sz w:val="20"/>
                <w:szCs w:val="20"/>
              </w:rPr>
            </w:pPr>
            <w:r w:rsidRPr="00536CFD">
              <w:rPr>
                <w:sz w:val="20"/>
                <w:szCs w:val="20"/>
              </w:rPr>
              <w:t>5%</w:t>
            </w:r>
          </w:p>
        </w:tc>
        <w:tc>
          <w:tcPr>
            <w:tcW w:w="714" w:type="dxa"/>
          </w:tcPr>
          <w:p w14:paraId="74A090C8" w14:textId="77777777" w:rsidR="009D4A93" w:rsidRPr="00536CFD" w:rsidRDefault="009D4A93" w:rsidP="009D4A93">
            <w:pPr>
              <w:pageBreakBefore/>
              <w:spacing w:after="0"/>
              <w:jc w:val="center"/>
              <w:rPr>
                <w:lang w:eastAsia="ja-JP"/>
              </w:rPr>
            </w:pPr>
            <w:r w:rsidRPr="00536CFD">
              <w:t>37.34</w:t>
            </w:r>
          </w:p>
        </w:tc>
        <w:tc>
          <w:tcPr>
            <w:tcW w:w="720" w:type="dxa"/>
          </w:tcPr>
          <w:p w14:paraId="4EDF4377" w14:textId="77777777" w:rsidR="009D4A93" w:rsidRPr="00536CFD" w:rsidRDefault="009D4A93" w:rsidP="009D4A93">
            <w:pPr>
              <w:pageBreakBefore/>
              <w:spacing w:after="0"/>
              <w:jc w:val="center"/>
              <w:rPr>
                <w:lang w:eastAsia="ja-JP"/>
              </w:rPr>
            </w:pPr>
            <w:r w:rsidRPr="00536CFD">
              <w:t>39.55</w:t>
            </w:r>
          </w:p>
        </w:tc>
        <w:tc>
          <w:tcPr>
            <w:tcW w:w="720" w:type="dxa"/>
          </w:tcPr>
          <w:p w14:paraId="662BFAFA" w14:textId="77777777" w:rsidR="009D4A93" w:rsidRPr="00536CFD" w:rsidRDefault="009D4A93" w:rsidP="009D4A93">
            <w:pPr>
              <w:pageBreakBefore/>
              <w:spacing w:after="0"/>
              <w:jc w:val="center"/>
              <w:rPr>
                <w:lang w:eastAsia="ja-JP"/>
              </w:rPr>
            </w:pPr>
            <w:r w:rsidRPr="00536CFD">
              <w:t>42.27</w:t>
            </w:r>
          </w:p>
        </w:tc>
        <w:tc>
          <w:tcPr>
            <w:tcW w:w="810" w:type="dxa"/>
          </w:tcPr>
          <w:p w14:paraId="4048455A" w14:textId="77777777" w:rsidR="009D4A93" w:rsidRPr="00536CFD" w:rsidRDefault="009D4A93" w:rsidP="009D4A93">
            <w:pPr>
              <w:pageBreakBefore/>
              <w:spacing w:after="0"/>
              <w:jc w:val="center"/>
              <w:rPr>
                <w:lang w:eastAsia="ja-JP"/>
              </w:rPr>
            </w:pPr>
          </w:p>
        </w:tc>
        <w:tc>
          <w:tcPr>
            <w:tcW w:w="810" w:type="dxa"/>
          </w:tcPr>
          <w:p w14:paraId="2F996331" w14:textId="77777777" w:rsidR="009D4A93" w:rsidRPr="00536CFD" w:rsidRDefault="009D4A93" w:rsidP="009D4A93">
            <w:pPr>
              <w:pageBreakBefore/>
              <w:spacing w:after="0"/>
              <w:jc w:val="center"/>
              <w:rPr>
                <w:lang w:eastAsia="ja-JP"/>
              </w:rPr>
            </w:pPr>
            <w:r w:rsidRPr="00536CFD">
              <w:t>20.79</w:t>
            </w:r>
          </w:p>
        </w:tc>
        <w:tc>
          <w:tcPr>
            <w:tcW w:w="820" w:type="dxa"/>
          </w:tcPr>
          <w:p w14:paraId="2A7F0BF2" w14:textId="77777777" w:rsidR="009D4A93" w:rsidRPr="00536CFD" w:rsidRDefault="009D4A93" w:rsidP="009D4A93">
            <w:pPr>
              <w:pageBreakBefore/>
              <w:spacing w:after="0"/>
              <w:jc w:val="center"/>
              <w:rPr>
                <w:lang w:eastAsia="ja-JP"/>
              </w:rPr>
            </w:pPr>
            <w:r w:rsidRPr="00536CFD">
              <w:t>30.58</w:t>
            </w:r>
          </w:p>
        </w:tc>
        <w:tc>
          <w:tcPr>
            <w:tcW w:w="800" w:type="dxa"/>
          </w:tcPr>
          <w:p w14:paraId="66F9FEC8" w14:textId="77777777" w:rsidR="009D4A93" w:rsidRPr="00536CFD" w:rsidRDefault="009D4A93" w:rsidP="009D4A93">
            <w:pPr>
              <w:pageBreakBefore/>
              <w:spacing w:after="0"/>
              <w:jc w:val="center"/>
              <w:rPr>
                <w:lang w:eastAsia="ja-JP"/>
              </w:rPr>
            </w:pPr>
            <w:r w:rsidRPr="00536CFD">
              <w:t>36.29</w:t>
            </w:r>
          </w:p>
        </w:tc>
        <w:tc>
          <w:tcPr>
            <w:tcW w:w="720" w:type="dxa"/>
          </w:tcPr>
          <w:p w14:paraId="1FB01D85" w14:textId="77777777" w:rsidR="009D4A93" w:rsidRPr="00536CFD" w:rsidRDefault="009D4A93" w:rsidP="009D4A93">
            <w:pPr>
              <w:pageBreakBefore/>
              <w:spacing w:after="0"/>
              <w:jc w:val="center"/>
              <w:rPr>
                <w:lang w:eastAsia="ja-JP"/>
              </w:rPr>
            </w:pPr>
          </w:p>
        </w:tc>
        <w:tc>
          <w:tcPr>
            <w:tcW w:w="724" w:type="dxa"/>
          </w:tcPr>
          <w:p w14:paraId="42692925" w14:textId="77777777" w:rsidR="009D4A93" w:rsidRPr="00536CFD" w:rsidRDefault="009D4A93" w:rsidP="009D4A93">
            <w:pPr>
              <w:pageBreakBefore/>
              <w:spacing w:after="0"/>
              <w:jc w:val="center"/>
              <w:rPr>
                <w:lang w:eastAsia="ja-JP"/>
              </w:rPr>
            </w:pPr>
            <w:r w:rsidRPr="00536CFD">
              <w:t>10.03</w:t>
            </w:r>
          </w:p>
        </w:tc>
        <w:tc>
          <w:tcPr>
            <w:tcW w:w="896" w:type="dxa"/>
          </w:tcPr>
          <w:p w14:paraId="575C4243" w14:textId="77777777" w:rsidR="009D4A93" w:rsidRPr="00536CFD" w:rsidRDefault="009D4A93" w:rsidP="009D4A93">
            <w:pPr>
              <w:pageBreakBefore/>
              <w:spacing w:after="0"/>
              <w:jc w:val="center"/>
              <w:rPr>
                <w:lang w:eastAsia="ja-JP"/>
              </w:rPr>
            </w:pPr>
            <w:r w:rsidRPr="00536CFD">
              <w:t>18.05</w:t>
            </w:r>
          </w:p>
        </w:tc>
        <w:tc>
          <w:tcPr>
            <w:tcW w:w="720" w:type="dxa"/>
          </w:tcPr>
          <w:p w14:paraId="0966EBAB" w14:textId="77777777" w:rsidR="009D4A93" w:rsidRPr="00536CFD" w:rsidRDefault="009D4A93" w:rsidP="009D4A93">
            <w:pPr>
              <w:pageBreakBefore/>
              <w:spacing w:after="0"/>
              <w:jc w:val="center"/>
              <w:rPr>
                <w:lang w:eastAsia="ja-JP"/>
              </w:rPr>
            </w:pPr>
            <w:r w:rsidRPr="00536CFD">
              <w:t>22.99</w:t>
            </w:r>
          </w:p>
        </w:tc>
        <w:tc>
          <w:tcPr>
            <w:tcW w:w="720" w:type="dxa"/>
          </w:tcPr>
          <w:p w14:paraId="4C6BC51B" w14:textId="77777777" w:rsidR="009D4A93" w:rsidRPr="00536CFD" w:rsidRDefault="009D4A93" w:rsidP="009D4A93">
            <w:pPr>
              <w:pageBreakBefore/>
              <w:spacing w:after="0"/>
              <w:jc w:val="center"/>
              <w:rPr>
                <w:lang w:eastAsia="ja-JP"/>
              </w:rPr>
            </w:pPr>
          </w:p>
        </w:tc>
      </w:tr>
      <w:tr w:rsidR="009D4A93" w:rsidRPr="00536CFD" w14:paraId="0C63DDD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C55E6F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68BA2A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5EC78D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4BE41669" w14:textId="77777777" w:rsidR="009D4A93" w:rsidRPr="00536CFD" w:rsidRDefault="009D4A93" w:rsidP="009D4A93">
            <w:pPr>
              <w:spacing w:after="0"/>
              <w:jc w:val="center"/>
              <w:rPr>
                <w:lang w:eastAsia="ja-JP"/>
              </w:rPr>
            </w:pPr>
            <w:r w:rsidRPr="00536CFD">
              <w:t>82.65</w:t>
            </w:r>
          </w:p>
        </w:tc>
        <w:tc>
          <w:tcPr>
            <w:tcW w:w="720" w:type="dxa"/>
          </w:tcPr>
          <w:p w14:paraId="083C993B" w14:textId="77777777" w:rsidR="009D4A93" w:rsidRPr="00536CFD" w:rsidRDefault="009D4A93" w:rsidP="009D4A93">
            <w:pPr>
              <w:spacing w:after="0"/>
              <w:jc w:val="center"/>
              <w:rPr>
                <w:lang w:eastAsia="ja-JP"/>
              </w:rPr>
            </w:pPr>
            <w:r w:rsidRPr="00536CFD">
              <w:t>86.13</w:t>
            </w:r>
          </w:p>
        </w:tc>
        <w:tc>
          <w:tcPr>
            <w:tcW w:w="720" w:type="dxa"/>
          </w:tcPr>
          <w:p w14:paraId="17CF332B" w14:textId="77777777" w:rsidR="009D4A93" w:rsidRPr="00536CFD" w:rsidRDefault="009D4A93" w:rsidP="009D4A93">
            <w:pPr>
              <w:spacing w:after="0"/>
              <w:jc w:val="center"/>
              <w:rPr>
                <w:lang w:eastAsia="ja-JP"/>
              </w:rPr>
            </w:pPr>
            <w:r w:rsidRPr="00536CFD">
              <w:t>101.46</w:t>
            </w:r>
          </w:p>
        </w:tc>
        <w:tc>
          <w:tcPr>
            <w:tcW w:w="810" w:type="dxa"/>
          </w:tcPr>
          <w:p w14:paraId="02EABE15" w14:textId="77777777" w:rsidR="009D4A93" w:rsidRPr="00536CFD" w:rsidRDefault="009D4A93" w:rsidP="009D4A93">
            <w:pPr>
              <w:spacing w:after="0"/>
              <w:jc w:val="center"/>
              <w:rPr>
                <w:lang w:eastAsia="ja-JP"/>
              </w:rPr>
            </w:pPr>
          </w:p>
        </w:tc>
        <w:tc>
          <w:tcPr>
            <w:tcW w:w="810" w:type="dxa"/>
          </w:tcPr>
          <w:p w14:paraId="028AEDB8" w14:textId="77777777" w:rsidR="009D4A93" w:rsidRPr="00536CFD" w:rsidRDefault="009D4A93" w:rsidP="009D4A93">
            <w:pPr>
              <w:spacing w:after="0"/>
              <w:jc w:val="center"/>
              <w:rPr>
                <w:lang w:eastAsia="ja-JP"/>
              </w:rPr>
            </w:pPr>
            <w:r w:rsidRPr="00536CFD">
              <w:t>53.52</w:t>
            </w:r>
          </w:p>
        </w:tc>
        <w:tc>
          <w:tcPr>
            <w:tcW w:w="820" w:type="dxa"/>
          </w:tcPr>
          <w:p w14:paraId="26CE6744" w14:textId="77777777" w:rsidR="009D4A93" w:rsidRPr="00536CFD" w:rsidRDefault="009D4A93" w:rsidP="009D4A93">
            <w:pPr>
              <w:spacing w:after="0"/>
              <w:jc w:val="center"/>
              <w:rPr>
                <w:lang w:eastAsia="ja-JP"/>
              </w:rPr>
            </w:pPr>
            <w:r w:rsidRPr="00536CFD">
              <w:t>73.21</w:t>
            </w:r>
          </w:p>
        </w:tc>
        <w:tc>
          <w:tcPr>
            <w:tcW w:w="800" w:type="dxa"/>
          </w:tcPr>
          <w:p w14:paraId="575C67C0" w14:textId="77777777" w:rsidR="009D4A93" w:rsidRPr="00536CFD" w:rsidRDefault="009D4A93" w:rsidP="009D4A93">
            <w:pPr>
              <w:spacing w:after="0"/>
              <w:jc w:val="center"/>
              <w:rPr>
                <w:lang w:eastAsia="ja-JP"/>
              </w:rPr>
            </w:pPr>
            <w:r w:rsidRPr="00536CFD">
              <w:t>85.70</w:t>
            </w:r>
          </w:p>
        </w:tc>
        <w:tc>
          <w:tcPr>
            <w:tcW w:w="720" w:type="dxa"/>
          </w:tcPr>
          <w:p w14:paraId="0F0510F6" w14:textId="77777777" w:rsidR="009D4A93" w:rsidRPr="00536CFD" w:rsidRDefault="009D4A93" w:rsidP="009D4A93">
            <w:pPr>
              <w:spacing w:after="0"/>
              <w:jc w:val="center"/>
              <w:rPr>
                <w:lang w:eastAsia="ja-JP"/>
              </w:rPr>
            </w:pPr>
          </w:p>
        </w:tc>
        <w:tc>
          <w:tcPr>
            <w:tcW w:w="724" w:type="dxa"/>
          </w:tcPr>
          <w:p w14:paraId="50686989" w14:textId="77777777" w:rsidR="009D4A93" w:rsidRPr="00536CFD" w:rsidRDefault="009D4A93" w:rsidP="009D4A93">
            <w:pPr>
              <w:spacing w:after="0"/>
              <w:jc w:val="center"/>
              <w:rPr>
                <w:lang w:eastAsia="ja-JP"/>
              </w:rPr>
            </w:pPr>
            <w:r w:rsidRPr="00536CFD">
              <w:t>26.09</w:t>
            </w:r>
          </w:p>
        </w:tc>
        <w:tc>
          <w:tcPr>
            <w:tcW w:w="896" w:type="dxa"/>
          </w:tcPr>
          <w:p w14:paraId="50A58123" w14:textId="77777777" w:rsidR="009D4A93" w:rsidRPr="00536CFD" w:rsidRDefault="009D4A93" w:rsidP="009D4A93">
            <w:pPr>
              <w:spacing w:after="0"/>
              <w:jc w:val="center"/>
              <w:rPr>
                <w:lang w:eastAsia="ja-JP"/>
              </w:rPr>
            </w:pPr>
            <w:r w:rsidRPr="00536CFD">
              <w:t>51.70</w:t>
            </w:r>
          </w:p>
        </w:tc>
        <w:tc>
          <w:tcPr>
            <w:tcW w:w="720" w:type="dxa"/>
          </w:tcPr>
          <w:p w14:paraId="785809C8" w14:textId="77777777" w:rsidR="009D4A93" w:rsidRPr="00536CFD" w:rsidRDefault="009D4A93" w:rsidP="009D4A93">
            <w:pPr>
              <w:spacing w:after="0"/>
              <w:jc w:val="center"/>
              <w:rPr>
                <w:lang w:eastAsia="ja-JP"/>
              </w:rPr>
            </w:pPr>
            <w:r w:rsidRPr="00536CFD">
              <w:t>58.63</w:t>
            </w:r>
          </w:p>
        </w:tc>
        <w:tc>
          <w:tcPr>
            <w:tcW w:w="720" w:type="dxa"/>
          </w:tcPr>
          <w:p w14:paraId="647C3757" w14:textId="77777777" w:rsidR="009D4A93" w:rsidRPr="00536CFD" w:rsidRDefault="009D4A93" w:rsidP="009D4A93">
            <w:pPr>
              <w:spacing w:after="0"/>
              <w:jc w:val="center"/>
              <w:rPr>
                <w:lang w:eastAsia="ja-JP"/>
              </w:rPr>
            </w:pPr>
          </w:p>
        </w:tc>
      </w:tr>
      <w:tr w:rsidR="009D4A93" w:rsidRPr="00536CFD" w14:paraId="2C8FB70B"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E428E1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A530F4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F7D224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6E98ECAF" w14:textId="77777777" w:rsidR="009D4A93" w:rsidRPr="00536CFD" w:rsidRDefault="009D4A93" w:rsidP="009D4A93">
            <w:pPr>
              <w:spacing w:after="0"/>
              <w:jc w:val="center"/>
              <w:rPr>
                <w:lang w:eastAsia="ja-JP"/>
              </w:rPr>
            </w:pPr>
            <w:r w:rsidRPr="00536CFD">
              <w:t>101.71</w:t>
            </w:r>
          </w:p>
        </w:tc>
        <w:tc>
          <w:tcPr>
            <w:tcW w:w="720" w:type="dxa"/>
          </w:tcPr>
          <w:p w14:paraId="7BBCEF2E" w14:textId="77777777" w:rsidR="009D4A93" w:rsidRPr="00536CFD" w:rsidRDefault="009D4A93" w:rsidP="009D4A93">
            <w:pPr>
              <w:spacing w:after="0"/>
              <w:jc w:val="center"/>
              <w:rPr>
                <w:lang w:eastAsia="ja-JP"/>
              </w:rPr>
            </w:pPr>
            <w:r w:rsidRPr="00536CFD">
              <w:t>105.96</w:t>
            </w:r>
          </w:p>
        </w:tc>
        <w:tc>
          <w:tcPr>
            <w:tcW w:w="720" w:type="dxa"/>
          </w:tcPr>
          <w:p w14:paraId="1A30B06C" w14:textId="77777777" w:rsidR="009D4A93" w:rsidRPr="00536CFD" w:rsidRDefault="009D4A93" w:rsidP="009D4A93">
            <w:pPr>
              <w:spacing w:after="0"/>
              <w:jc w:val="center"/>
              <w:rPr>
                <w:lang w:eastAsia="ja-JP"/>
              </w:rPr>
            </w:pPr>
            <w:r w:rsidRPr="00536CFD">
              <w:t>127.76</w:t>
            </w:r>
          </w:p>
        </w:tc>
        <w:tc>
          <w:tcPr>
            <w:tcW w:w="810" w:type="dxa"/>
          </w:tcPr>
          <w:p w14:paraId="58ECEAB0" w14:textId="77777777" w:rsidR="009D4A93" w:rsidRPr="00536CFD" w:rsidRDefault="009D4A93" w:rsidP="009D4A93">
            <w:pPr>
              <w:spacing w:after="0"/>
              <w:jc w:val="center"/>
              <w:rPr>
                <w:lang w:eastAsia="ja-JP"/>
              </w:rPr>
            </w:pPr>
          </w:p>
        </w:tc>
        <w:tc>
          <w:tcPr>
            <w:tcW w:w="810" w:type="dxa"/>
          </w:tcPr>
          <w:p w14:paraId="13F43868" w14:textId="77777777" w:rsidR="009D4A93" w:rsidRPr="00536CFD" w:rsidRDefault="009D4A93" w:rsidP="009D4A93">
            <w:pPr>
              <w:spacing w:after="0"/>
              <w:jc w:val="center"/>
              <w:rPr>
                <w:lang w:eastAsia="ja-JP"/>
              </w:rPr>
            </w:pPr>
            <w:r w:rsidRPr="00536CFD">
              <w:t>75.85</w:t>
            </w:r>
          </w:p>
        </w:tc>
        <w:tc>
          <w:tcPr>
            <w:tcW w:w="820" w:type="dxa"/>
          </w:tcPr>
          <w:p w14:paraId="1B24B8C9" w14:textId="77777777" w:rsidR="009D4A93" w:rsidRPr="00536CFD" w:rsidRDefault="009D4A93" w:rsidP="009D4A93">
            <w:pPr>
              <w:spacing w:after="0"/>
              <w:jc w:val="center"/>
              <w:rPr>
                <w:lang w:eastAsia="ja-JP"/>
              </w:rPr>
            </w:pPr>
            <w:r w:rsidRPr="00536CFD">
              <w:t>97.03</w:t>
            </w:r>
          </w:p>
        </w:tc>
        <w:tc>
          <w:tcPr>
            <w:tcW w:w="800" w:type="dxa"/>
          </w:tcPr>
          <w:p w14:paraId="6AD1CA0A" w14:textId="77777777" w:rsidR="009D4A93" w:rsidRPr="00536CFD" w:rsidRDefault="009D4A93" w:rsidP="009D4A93">
            <w:pPr>
              <w:spacing w:after="0"/>
              <w:jc w:val="center"/>
              <w:rPr>
                <w:lang w:eastAsia="ja-JP"/>
              </w:rPr>
            </w:pPr>
            <w:r w:rsidRPr="00536CFD">
              <w:t>113.45</w:t>
            </w:r>
          </w:p>
        </w:tc>
        <w:tc>
          <w:tcPr>
            <w:tcW w:w="720" w:type="dxa"/>
          </w:tcPr>
          <w:p w14:paraId="0D40C55E" w14:textId="77777777" w:rsidR="009D4A93" w:rsidRPr="00536CFD" w:rsidRDefault="009D4A93" w:rsidP="009D4A93">
            <w:pPr>
              <w:spacing w:after="0"/>
              <w:jc w:val="center"/>
              <w:rPr>
                <w:lang w:eastAsia="ja-JP"/>
              </w:rPr>
            </w:pPr>
          </w:p>
        </w:tc>
        <w:tc>
          <w:tcPr>
            <w:tcW w:w="724" w:type="dxa"/>
          </w:tcPr>
          <w:p w14:paraId="08E051A3" w14:textId="77777777" w:rsidR="009D4A93" w:rsidRPr="00536CFD" w:rsidRDefault="009D4A93" w:rsidP="009D4A93">
            <w:pPr>
              <w:spacing w:after="0"/>
              <w:jc w:val="center"/>
              <w:rPr>
                <w:lang w:eastAsia="ja-JP"/>
              </w:rPr>
            </w:pPr>
            <w:r w:rsidRPr="00536CFD">
              <w:t>50.83</w:t>
            </w:r>
          </w:p>
        </w:tc>
        <w:tc>
          <w:tcPr>
            <w:tcW w:w="896" w:type="dxa"/>
          </w:tcPr>
          <w:p w14:paraId="20A88D51" w14:textId="77777777" w:rsidR="009D4A93" w:rsidRPr="00536CFD" w:rsidRDefault="009D4A93" w:rsidP="009D4A93">
            <w:pPr>
              <w:spacing w:after="0"/>
              <w:jc w:val="center"/>
              <w:rPr>
                <w:lang w:eastAsia="ja-JP"/>
              </w:rPr>
            </w:pPr>
            <w:r w:rsidRPr="00536CFD">
              <w:t>80.59</w:t>
            </w:r>
          </w:p>
        </w:tc>
        <w:tc>
          <w:tcPr>
            <w:tcW w:w="720" w:type="dxa"/>
          </w:tcPr>
          <w:p w14:paraId="7D42319E" w14:textId="77777777" w:rsidR="009D4A93" w:rsidRPr="00536CFD" w:rsidRDefault="009D4A93" w:rsidP="009D4A93">
            <w:pPr>
              <w:spacing w:after="0"/>
              <w:jc w:val="center"/>
              <w:rPr>
                <w:lang w:eastAsia="ja-JP"/>
              </w:rPr>
            </w:pPr>
            <w:r w:rsidRPr="00536CFD">
              <w:t>88.05</w:t>
            </w:r>
          </w:p>
        </w:tc>
        <w:tc>
          <w:tcPr>
            <w:tcW w:w="720" w:type="dxa"/>
          </w:tcPr>
          <w:p w14:paraId="6F766864" w14:textId="77777777" w:rsidR="009D4A93" w:rsidRPr="00536CFD" w:rsidRDefault="009D4A93" w:rsidP="009D4A93">
            <w:pPr>
              <w:spacing w:after="0"/>
              <w:jc w:val="center"/>
              <w:rPr>
                <w:lang w:eastAsia="ja-JP"/>
              </w:rPr>
            </w:pPr>
          </w:p>
        </w:tc>
      </w:tr>
      <w:tr w:rsidR="009D4A93" w:rsidRPr="00536CFD" w14:paraId="2BC19114"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06DFE6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6C6AF3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F3C57A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48FB5B83" w14:textId="77777777" w:rsidR="009D4A93" w:rsidRPr="00536CFD" w:rsidRDefault="009D4A93" w:rsidP="009D4A93">
            <w:pPr>
              <w:spacing w:after="0"/>
              <w:jc w:val="center"/>
              <w:rPr>
                <w:lang w:eastAsia="ja-JP"/>
              </w:rPr>
            </w:pPr>
            <w:r w:rsidRPr="00536CFD">
              <w:t>80.59</w:t>
            </w:r>
          </w:p>
        </w:tc>
        <w:tc>
          <w:tcPr>
            <w:tcW w:w="720" w:type="dxa"/>
          </w:tcPr>
          <w:p w14:paraId="6DF2931E" w14:textId="77777777" w:rsidR="009D4A93" w:rsidRPr="00536CFD" w:rsidRDefault="009D4A93" w:rsidP="009D4A93">
            <w:pPr>
              <w:spacing w:after="0"/>
              <w:jc w:val="center"/>
              <w:rPr>
                <w:lang w:eastAsia="ja-JP"/>
              </w:rPr>
            </w:pPr>
            <w:r w:rsidRPr="00536CFD">
              <w:t>84.07</w:t>
            </w:r>
          </w:p>
        </w:tc>
        <w:tc>
          <w:tcPr>
            <w:tcW w:w="720" w:type="dxa"/>
          </w:tcPr>
          <w:p w14:paraId="0E02E0A2" w14:textId="77777777" w:rsidR="009D4A93" w:rsidRPr="00536CFD" w:rsidRDefault="009D4A93" w:rsidP="009D4A93">
            <w:pPr>
              <w:spacing w:after="0"/>
              <w:jc w:val="center"/>
              <w:rPr>
                <w:lang w:eastAsia="ja-JP"/>
              </w:rPr>
            </w:pPr>
            <w:r w:rsidRPr="00536CFD">
              <w:t>99.63</w:t>
            </w:r>
          </w:p>
        </w:tc>
        <w:tc>
          <w:tcPr>
            <w:tcW w:w="810" w:type="dxa"/>
          </w:tcPr>
          <w:p w14:paraId="1F706EB6" w14:textId="77777777" w:rsidR="009D4A93" w:rsidRPr="00536CFD" w:rsidRDefault="009D4A93" w:rsidP="009D4A93">
            <w:pPr>
              <w:spacing w:after="0"/>
              <w:jc w:val="center"/>
              <w:rPr>
                <w:lang w:eastAsia="ja-JP"/>
              </w:rPr>
            </w:pPr>
          </w:p>
        </w:tc>
        <w:tc>
          <w:tcPr>
            <w:tcW w:w="810" w:type="dxa"/>
          </w:tcPr>
          <w:p w14:paraId="3753F703" w14:textId="77777777" w:rsidR="009D4A93" w:rsidRPr="00536CFD" w:rsidRDefault="009D4A93" w:rsidP="009D4A93">
            <w:pPr>
              <w:spacing w:after="0"/>
              <w:jc w:val="center"/>
              <w:rPr>
                <w:lang w:eastAsia="ja-JP"/>
              </w:rPr>
            </w:pPr>
            <w:r w:rsidRPr="00536CFD">
              <w:t>54.14</w:t>
            </w:r>
          </w:p>
        </w:tc>
        <w:tc>
          <w:tcPr>
            <w:tcW w:w="820" w:type="dxa"/>
          </w:tcPr>
          <w:p w14:paraId="2B37FF17" w14:textId="77777777" w:rsidR="009D4A93" w:rsidRPr="00536CFD" w:rsidRDefault="009D4A93" w:rsidP="009D4A93">
            <w:pPr>
              <w:spacing w:after="0"/>
              <w:jc w:val="center"/>
              <w:rPr>
                <w:lang w:eastAsia="ja-JP"/>
              </w:rPr>
            </w:pPr>
            <w:r w:rsidRPr="00536CFD">
              <w:t>72.78</w:t>
            </w:r>
          </w:p>
        </w:tc>
        <w:tc>
          <w:tcPr>
            <w:tcW w:w="800" w:type="dxa"/>
          </w:tcPr>
          <w:p w14:paraId="1E41D665" w14:textId="77777777" w:rsidR="009D4A93" w:rsidRPr="00536CFD" w:rsidRDefault="009D4A93" w:rsidP="009D4A93">
            <w:pPr>
              <w:spacing w:after="0"/>
              <w:jc w:val="center"/>
              <w:rPr>
                <w:lang w:eastAsia="ja-JP"/>
              </w:rPr>
            </w:pPr>
            <w:r w:rsidRPr="00536CFD">
              <w:t>85.86</w:t>
            </w:r>
          </w:p>
        </w:tc>
        <w:tc>
          <w:tcPr>
            <w:tcW w:w="720" w:type="dxa"/>
          </w:tcPr>
          <w:p w14:paraId="5ECAADA4" w14:textId="77777777" w:rsidR="009D4A93" w:rsidRPr="00536CFD" w:rsidRDefault="009D4A93" w:rsidP="009D4A93">
            <w:pPr>
              <w:spacing w:after="0"/>
              <w:jc w:val="center"/>
              <w:rPr>
                <w:lang w:eastAsia="ja-JP"/>
              </w:rPr>
            </w:pPr>
          </w:p>
        </w:tc>
        <w:tc>
          <w:tcPr>
            <w:tcW w:w="724" w:type="dxa"/>
          </w:tcPr>
          <w:p w14:paraId="20745B53" w14:textId="77777777" w:rsidR="009D4A93" w:rsidRPr="00536CFD" w:rsidRDefault="009D4A93" w:rsidP="009D4A93">
            <w:pPr>
              <w:spacing w:after="0"/>
              <w:jc w:val="center"/>
              <w:rPr>
                <w:lang w:eastAsia="ja-JP"/>
              </w:rPr>
            </w:pPr>
            <w:r w:rsidRPr="00536CFD">
              <w:t>30.03</w:t>
            </w:r>
          </w:p>
        </w:tc>
        <w:tc>
          <w:tcPr>
            <w:tcW w:w="896" w:type="dxa"/>
          </w:tcPr>
          <w:p w14:paraId="2AE04476" w14:textId="77777777" w:rsidR="009D4A93" w:rsidRPr="00536CFD" w:rsidRDefault="009D4A93" w:rsidP="009D4A93">
            <w:pPr>
              <w:spacing w:after="0"/>
              <w:jc w:val="center"/>
              <w:rPr>
                <w:lang w:eastAsia="ja-JP"/>
              </w:rPr>
            </w:pPr>
            <w:r w:rsidRPr="00536CFD">
              <w:t>54.31</w:t>
            </w:r>
          </w:p>
        </w:tc>
        <w:tc>
          <w:tcPr>
            <w:tcW w:w="720" w:type="dxa"/>
          </w:tcPr>
          <w:p w14:paraId="78AF3D61" w14:textId="77777777" w:rsidR="009D4A93" w:rsidRPr="00536CFD" w:rsidRDefault="009D4A93" w:rsidP="009D4A93">
            <w:pPr>
              <w:spacing w:after="0"/>
              <w:jc w:val="center"/>
              <w:rPr>
                <w:lang w:eastAsia="ja-JP"/>
              </w:rPr>
            </w:pPr>
            <w:r w:rsidRPr="00536CFD">
              <w:t>61.44</w:t>
            </w:r>
          </w:p>
        </w:tc>
        <w:tc>
          <w:tcPr>
            <w:tcW w:w="720" w:type="dxa"/>
          </w:tcPr>
          <w:p w14:paraId="75D29C42" w14:textId="77777777" w:rsidR="009D4A93" w:rsidRPr="00536CFD" w:rsidRDefault="009D4A93" w:rsidP="009D4A93">
            <w:pPr>
              <w:spacing w:after="0"/>
              <w:jc w:val="center"/>
              <w:rPr>
                <w:lang w:eastAsia="ja-JP"/>
              </w:rPr>
            </w:pPr>
          </w:p>
        </w:tc>
      </w:tr>
      <w:tr w:rsidR="009D4A93" w:rsidRPr="00536CFD" w14:paraId="1FF3108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BE784E8"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3BE28D8D" w14:textId="77777777" w:rsidR="009D4A93" w:rsidRPr="00536CFD" w:rsidRDefault="009D4A93" w:rsidP="009D4A93">
            <w:pPr>
              <w:spacing w:after="0"/>
              <w:jc w:val="center"/>
            </w:pPr>
            <w:r w:rsidRPr="00536CFD">
              <w:t>DL:</w:t>
            </w:r>
          </w:p>
          <w:p w14:paraId="7D5D28D2" w14:textId="77777777" w:rsidR="009D4A93" w:rsidRPr="00536CFD" w:rsidRDefault="009D4A93" w:rsidP="009D4A93">
            <w:pPr>
              <w:spacing w:after="0"/>
              <w:jc w:val="center"/>
            </w:pPr>
            <w:r w:rsidRPr="00536CFD">
              <w:t>Delay CDF</w:t>
            </w:r>
          </w:p>
          <w:p w14:paraId="79F3EEE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[s]</w:t>
            </w:r>
          </w:p>
        </w:tc>
        <w:tc>
          <w:tcPr>
            <w:tcW w:w="400" w:type="dxa"/>
            <w:tcBorders>
              <w:top w:val="single" w:sz="4" w:space="0" w:color="auto"/>
              <w:left w:val="nil"/>
              <w:bottom w:val="single" w:sz="4" w:space="0" w:color="auto"/>
              <w:right w:val="single" w:sz="4" w:space="0" w:color="auto"/>
            </w:tcBorders>
            <w:shd w:val="clear" w:color="auto" w:fill="auto"/>
          </w:tcPr>
          <w:p w14:paraId="1E2031D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5424C192" w14:textId="77777777" w:rsidR="009D4A93" w:rsidRPr="00536CFD" w:rsidRDefault="009D4A93" w:rsidP="009D4A93">
            <w:pPr>
              <w:spacing w:after="0"/>
              <w:jc w:val="center"/>
              <w:rPr>
                <w:lang w:eastAsia="ja-JP"/>
              </w:rPr>
            </w:pPr>
            <w:r w:rsidRPr="00536CFD">
              <w:t>0.036</w:t>
            </w:r>
          </w:p>
        </w:tc>
        <w:tc>
          <w:tcPr>
            <w:tcW w:w="720" w:type="dxa"/>
          </w:tcPr>
          <w:p w14:paraId="2122EE49" w14:textId="77777777" w:rsidR="009D4A93" w:rsidRPr="00536CFD" w:rsidRDefault="009D4A93" w:rsidP="009D4A93">
            <w:pPr>
              <w:spacing w:after="0"/>
              <w:jc w:val="center"/>
              <w:rPr>
                <w:lang w:eastAsia="ja-JP"/>
              </w:rPr>
            </w:pPr>
            <w:r w:rsidRPr="00536CFD">
              <w:t>0.036</w:t>
            </w:r>
          </w:p>
        </w:tc>
        <w:tc>
          <w:tcPr>
            <w:tcW w:w="720" w:type="dxa"/>
          </w:tcPr>
          <w:p w14:paraId="541C1DBE" w14:textId="77777777" w:rsidR="009D4A93" w:rsidRPr="00536CFD" w:rsidRDefault="009D4A93" w:rsidP="009D4A93">
            <w:pPr>
              <w:spacing w:after="0"/>
              <w:jc w:val="center"/>
              <w:rPr>
                <w:lang w:eastAsia="ja-JP"/>
              </w:rPr>
            </w:pPr>
            <w:r w:rsidRPr="00536CFD">
              <w:t>0.027</w:t>
            </w:r>
          </w:p>
        </w:tc>
        <w:tc>
          <w:tcPr>
            <w:tcW w:w="810" w:type="dxa"/>
          </w:tcPr>
          <w:p w14:paraId="55ADD6D7" w14:textId="77777777" w:rsidR="009D4A93" w:rsidRPr="00536CFD" w:rsidRDefault="009D4A93" w:rsidP="009D4A93">
            <w:pPr>
              <w:spacing w:after="0"/>
              <w:jc w:val="center"/>
              <w:rPr>
                <w:lang w:eastAsia="ja-JP"/>
              </w:rPr>
            </w:pPr>
          </w:p>
        </w:tc>
        <w:tc>
          <w:tcPr>
            <w:tcW w:w="810" w:type="dxa"/>
          </w:tcPr>
          <w:p w14:paraId="0917E7A0" w14:textId="77777777" w:rsidR="009D4A93" w:rsidRPr="00536CFD" w:rsidRDefault="009D4A93" w:rsidP="009D4A93">
            <w:pPr>
              <w:spacing w:after="0"/>
              <w:jc w:val="center"/>
              <w:rPr>
                <w:lang w:eastAsia="ja-JP"/>
              </w:rPr>
            </w:pPr>
            <w:r w:rsidRPr="00536CFD">
              <w:t>0.043</w:t>
            </w:r>
          </w:p>
        </w:tc>
        <w:tc>
          <w:tcPr>
            <w:tcW w:w="820" w:type="dxa"/>
          </w:tcPr>
          <w:p w14:paraId="751D9FB7" w14:textId="77777777" w:rsidR="009D4A93" w:rsidRPr="00536CFD" w:rsidRDefault="009D4A93" w:rsidP="009D4A93">
            <w:pPr>
              <w:spacing w:after="0"/>
              <w:jc w:val="center"/>
              <w:rPr>
                <w:lang w:eastAsia="ja-JP"/>
              </w:rPr>
            </w:pPr>
            <w:r w:rsidRPr="00536CFD">
              <w:t>0.044</w:t>
            </w:r>
          </w:p>
        </w:tc>
        <w:tc>
          <w:tcPr>
            <w:tcW w:w="800" w:type="dxa"/>
          </w:tcPr>
          <w:p w14:paraId="0C853156" w14:textId="77777777" w:rsidR="009D4A93" w:rsidRPr="00536CFD" w:rsidRDefault="009D4A93" w:rsidP="009D4A93">
            <w:pPr>
              <w:spacing w:after="0"/>
              <w:jc w:val="center"/>
              <w:rPr>
                <w:lang w:eastAsia="ja-JP"/>
              </w:rPr>
            </w:pPr>
            <w:r w:rsidRPr="00536CFD">
              <w:t>0.043</w:t>
            </w:r>
          </w:p>
        </w:tc>
        <w:tc>
          <w:tcPr>
            <w:tcW w:w="720" w:type="dxa"/>
          </w:tcPr>
          <w:p w14:paraId="6CC25B79" w14:textId="77777777" w:rsidR="009D4A93" w:rsidRPr="00536CFD" w:rsidRDefault="009D4A93" w:rsidP="009D4A93">
            <w:pPr>
              <w:spacing w:after="0"/>
              <w:jc w:val="center"/>
              <w:rPr>
                <w:lang w:eastAsia="ja-JP"/>
              </w:rPr>
            </w:pPr>
          </w:p>
        </w:tc>
        <w:tc>
          <w:tcPr>
            <w:tcW w:w="724" w:type="dxa"/>
          </w:tcPr>
          <w:p w14:paraId="773C29BD" w14:textId="77777777" w:rsidR="009D4A93" w:rsidRPr="00536CFD" w:rsidRDefault="009D4A93" w:rsidP="009D4A93">
            <w:pPr>
              <w:spacing w:after="0"/>
              <w:jc w:val="center"/>
              <w:rPr>
                <w:lang w:eastAsia="ja-JP"/>
              </w:rPr>
            </w:pPr>
            <w:r w:rsidRPr="00536CFD">
              <w:t>0.081</w:t>
            </w:r>
          </w:p>
        </w:tc>
        <w:tc>
          <w:tcPr>
            <w:tcW w:w="896" w:type="dxa"/>
          </w:tcPr>
          <w:p w14:paraId="5A1A305E" w14:textId="77777777" w:rsidR="009D4A93" w:rsidRPr="00536CFD" w:rsidRDefault="009D4A93" w:rsidP="009D4A93">
            <w:pPr>
              <w:spacing w:after="0"/>
              <w:jc w:val="center"/>
              <w:rPr>
                <w:lang w:eastAsia="ja-JP"/>
              </w:rPr>
            </w:pPr>
            <w:r w:rsidRPr="00536CFD">
              <w:t>0.058</w:t>
            </w:r>
          </w:p>
        </w:tc>
        <w:tc>
          <w:tcPr>
            <w:tcW w:w="720" w:type="dxa"/>
          </w:tcPr>
          <w:p w14:paraId="39BE77F7" w14:textId="77777777" w:rsidR="009D4A93" w:rsidRPr="00536CFD" w:rsidRDefault="009D4A93" w:rsidP="009D4A93">
            <w:pPr>
              <w:spacing w:after="0"/>
              <w:jc w:val="center"/>
              <w:rPr>
                <w:lang w:eastAsia="ja-JP"/>
              </w:rPr>
            </w:pPr>
            <w:r w:rsidRPr="00536CFD">
              <w:t>0.069</w:t>
            </w:r>
          </w:p>
        </w:tc>
        <w:tc>
          <w:tcPr>
            <w:tcW w:w="720" w:type="dxa"/>
          </w:tcPr>
          <w:p w14:paraId="5B0D1532" w14:textId="77777777" w:rsidR="009D4A93" w:rsidRPr="00536CFD" w:rsidRDefault="009D4A93" w:rsidP="009D4A93">
            <w:pPr>
              <w:spacing w:after="0"/>
              <w:jc w:val="center"/>
              <w:rPr>
                <w:lang w:eastAsia="ja-JP"/>
              </w:rPr>
            </w:pPr>
          </w:p>
        </w:tc>
      </w:tr>
      <w:tr w:rsidR="009D4A93" w:rsidRPr="00536CFD" w14:paraId="662F810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ACE046D"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C8CAD5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BE2404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51C92961" w14:textId="77777777" w:rsidR="009D4A93" w:rsidRPr="00536CFD" w:rsidRDefault="009D4A93" w:rsidP="009D4A93">
            <w:pPr>
              <w:spacing w:after="0"/>
              <w:jc w:val="center"/>
              <w:rPr>
                <w:lang w:eastAsia="ja-JP"/>
              </w:rPr>
            </w:pPr>
            <w:r w:rsidRPr="00536CFD">
              <w:t>0.153</w:t>
            </w:r>
          </w:p>
        </w:tc>
        <w:tc>
          <w:tcPr>
            <w:tcW w:w="720" w:type="dxa"/>
          </w:tcPr>
          <w:p w14:paraId="2D45478E" w14:textId="77777777" w:rsidR="009D4A93" w:rsidRPr="00536CFD" w:rsidRDefault="009D4A93" w:rsidP="009D4A93">
            <w:pPr>
              <w:spacing w:after="0"/>
              <w:jc w:val="center"/>
              <w:rPr>
                <w:lang w:eastAsia="ja-JP"/>
              </w:rPr>
            </w:pPr>
            <w:r w:rsidRPr="00536CFD">
              <w:t>0.053</w:t>
            </w:r>
          </w:p>
        </w:tc>
        <w:tc>
          <w:tcPr>
            <w:tcW w:w="720" w:type="dxa"/>
          </w:tcPr>
          <w:p w14:paraId="55D6D9D7" w14:textId="77777777" w:rsidR="009D4A93" w:rsidRPr="00536CFD" w:rsidRDefault="009D4A93" w:rsidP="009D4A93">
            <w:pPr>
              <w:spacing w:after="0"/>
              <w:jc w:val="center"/>
              <w:rPr>
                <w:lang w:eastAsia="ja-JP"/>
              </w:rPr>
            </w:pPr>
            <w:r w:rsidRPr="00536CFD">
              <w:t>0.045</w:t>
            </w:r>
          </w:p>
        </w:tc>
        <w:tc>
          <w:tcPr>
            <w:tcW w:w="810" w:type="dxa"/>
          </w:tcPr>
          <w:p w14:paraId="2E700358" w14:textId="77777777" w:rsidR="009D4A93" w:rsidRPr="00536CFD" w:rsidRDefault="009D4A93" w:rsidP="009D4A93">
            <w:pPr>
              <w:spacing w:after="0"/>
              <w:jc w:val="center"/>
              <w:rPr>
                <w:lang w:eastAsia="ja-JP"/>
              </w:rPr>
            </w:pPr>
          </w:p>
        </w:tc>
        <w:tc>
          <w:tcPr>
            <w:tcW w:w="810" w:type="dxa"/>
          </w:tcPr>
          <w:p w14:paraId="1A3D1293" w14:textId="77777777" w:rsidR="009D4A93" w:rsidRPr="00536CFD" w:rsidRDefault="009D4A93" w:rsidP="009D4A93">
            <w:pPr>
              <w:spacing w:after="0"/>
              <w:jc w:val="center"/>
              <w:rPr>
                <w:lang w:eastAsia="ja-JP"/>
              </w:rPr>
            </w:pPr>
            <w:r w:rsidRPr="00536CFD">
              <w:t>0.419</w:t>
            </w:r>
          </w:p>
        </w:tc>
        <w:tc>
          <w:tcPr>
            <w:tcW w:w="820" w:type="dxa"/>
          </w:tcPr>
          <w:p w14:paraId="33FE4F72" w14:textId="77777777" w:rsidR="009D4A93" w:rsidRPr="00536CFD" w:rsidRDefault="009D4A93" w:rsidP="009D4A93">
            <w:pPr>
              <w:spacing w:after="0"/>
              <w:jc w:val="center"/>
              <w:rPr>
                <w:lang w:eastAsia="ja-JP"/>
              </w:rPr>
            </w:pPr>
            <w:r w:rsidRPr="00536CFD">
              <w:t>0.173</w:t>
            </w:r>
          </w:p>
        </w:tc>
        <w:tc>
          <w:tcPr>
            <w:tcW w:w="800" w:type="dxa"/>
          </w:tcPr>
          <w:p w14:paraId="3E3A8B2D" w14:textId="77777777" w:rsidR="009D4A93" w:rsidRPr="00536CFD" w:rsidRDefault="009D4A93" w:rsidP="009D4A93">
            <w:pPr>
              <w:spacing w:after="0"/>
              <w:jc w:val="center"/>
              <w:rPr>
                <w:lang w:eastAsia="ja-JP"/>
              </w:rPr>
            </w:pPr>
            <w:r w:rsidRPr="00536CFD">
              <w:t>0.176</w:t>
            </w:r>
          </w:p>
        </w:tc>
        <w:tc>
          <w:tcPr>
            <w:tcW w:w="720" w:type="dxa"/>
          </w:tcPr>
          <w:p w14:paraId="66FA111E" w14:textId="77777777" w:rsidR="009D4A93" w:rsidRPr="00536CFD" w:rsidRDefault="009D4A93" w:rsidP="009D4A93">
            <w:pPr>
              <w:spacing w:after="0"/>
              <w:jc w:val="center"/>
              <w:rPr>
                <w:lang w:eastAsia="ja-JP"/>
              </w:rPr>
            </w:pPr>
          </w:p>
        </w:tc>
        <w:tc>
          <w:tcPr>
            <w:tcW w:w="724" w:type="dxa"/>
          </w:tcPr>
          <w:p w14:paraId="226F8896" w14:textId="77777777" w:rsidR="009D4A93" w:rsidRPr="00536CFD" w:rsidRDefault="009D4A93" w:rsidP="009D4A93">
            <w:pPr>
              <w:spacing w:after="0"/>
              <w:jc w:val="center"/>
              <w:rPr>
                <w:lang w:eastAsia="ja-JP"/>
              </w:rPr>
            </w:pPr>
            <w:r w:rsidRPr="00536CFD">
              <w:t>0.795</w:t>
            </w:r>
          </w:p>
        </w:tc>
        <w:tc>
          <w:tcPr>
            <w:tcW w:w="896" w:type="dxa"/>
          </w:tcPr>
          <w:p w14:paraId="2BD7B06B" w14:textId="77777777" w:rsidR="009D4A93" w:rsidRPr="00536CFD" w:rsidRDefault="009D4A93" w:rsidP="009D4A93">
            <w:pPr>
              <w:spacing w:after="0"/>
              <w:jc w:val="center"/>
              <w:rPr>
                <w:lang w:eastAsia="ja-JP"/>
              </w:rPr>
            </w:pPr>
            <w:r w:rsidRPr="00536CFD">
              <w:t>0.432</w:t>
            </w:r>
          </w:p>
        </w:tc>
        <w:tc>
          <w:tcPr>
            <w:tcW w:w="720" w:type="dxa"/>
          </w:tcPr>
          <w:p w14:paraId="0C97CF1E" w14:textId="77777777" w:rsidR="009D4A93" w:rsidRPr="00536CFD" w:rsidRDefault="009D4A93" w:rsidP="009D4A93">
            <w:pPr>
              <w:spacing w:after="0"/>
              <w:jc w:val="center"/>
              <w:rPr>
                <w:lang w:eastAsia="ja-JP"/>
              </w:rPr>
            </w:pPr>
            <w:r w:rsidRPr="00536CFD">
              <w:t>0.758</w:t>
            </w:r>
          </w:p>
        </w:tc>
        <w:tc>
          <w:tcPr>
            <w:tcW w:w="720" w:type="dxa"/>
          </w:tcPr>
          <w:p w14:paraId="36F167FF" w14:textId="77777777" w:rsidR="009D4A93" w:rsidRPr="00536CFD" w:rsidRDefault="009D4A93" w:rsidP="009D4A93">
            <w:pPr>
              <w:spacing w:after="0"/>
              <w:jc w:val="center"/>
              <w:rPr>
                <w:lang w:eastAsia="ja-JP"/>
              </w:rPr>
            </w:pPr>
          </w:p>
        </w:tc>
      </w:tr>
      <w:tr w:rsidR="009D4A93" w:rsidRPr="00536CFD" w14:paraId="481FC41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7757F6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1A62D9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F2F23F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2E84749C" w14:textId="77777777" w:rsidR="009D4A93" w:rsidRPr="00536CFD" w:rsidRDefault="009D4A93" w:rsidP="009D4A93">
            <w:pPr>
              <w:spacing w:after="0"/>
              <w:jc w:val="center"/>
              <w:rPr>
                <w:lang w:eastAsia="ja-JP"/>
              </w:rPr>
            </w:pPr>
            <w:r w:rsidRPr="00536CFD">
              <w:t>1.330</w:t>
            </w:r>
          </w:p>
        </w:tc>
        <w:tc>
          <w:tcPr>
            <w:tcW w:w="720" w:type="dxa"/>
          </w:tcPr>
          <w:p w14:paraId="2A7A3F7E" w14:textId="77777777" w:rsidR="009D4A93" w:rsidRPr="00536CFD" w:rsidRDefault="009D4A93" w:rsidP="009D4A93">
            <w:pPr>
              <w:spacing w:after="0"/>
              <w:jc w:val="center"/>
              <w:rPr>
                <w:lang w:eastAsia="ja-JP"/>
              </w:rPr>
            </w:pPr>
            <w:r w:rsidRPr="00536CFD">
              <w:t>0.221</w:t>
            </w:r>
          </w:p>
        </w:tc>
        <w:tc>
          <w:tcPr>
            <w:tcW w:w="720" w:type="dxa"/>
          </w:tcPr>
          <w:p w14:paraId="2EE28ECE" w14:textId="77777777" w:rsidR="009D4A93" w:rsidRPr="00536CFD" w:rsidRDefault="009D4A93" w:rsidP="009D4A93">
            <w:pPr>
              <w:spacing w:after="0"/>
              <w:jc w:val="center"/>
              <w:rPr>
                <w:lang w:eastAsia="ja-JP"/>
              </w:rPr>
            </w:pPr>
            <w:r w:rsidRPr="00536CFD">
              <w:t>0.200</w:t>
            </w:r>
          </w:p>
        </w:tc>
        <w:tc>
          <w:tcPr>
            <w:tcW w:w="810" w:type="dxa"/>
          </w:tcPr>
          <w:p w14:paraId="448D39FF" w14:textId="77777777" w:rsidR="009D4A93" w:rsidRPr="00536CFD" w:rsidRDefault="009D4A93" w:rsidP="009D4A93">
            <w:pPr>
              <w:spacing w:after="0"/>
              <w:jc w:val="center"/>
              <w:rPr>
                <w:lang w:eastAsia="ja-JP"/>
              </w:rPr>
            </w:pPr>
          </w:p>
        </w:tc>
        <w:tc>
          <w:tcPr>
            <w:tcW w:w="810" w:type="dxa"/>
          </w:tcPr>
          <w:p w14:paraId="78F6B836" w14:textId="77777777" w:rsidR="009D4A93" w:rsidRPr="00536CFD" w:rsidRDefault="009D4A93" w:rsidP="009D4A93">
            <w:pPr>
              <w:spacing w:after="0"/>
              <w:jc w:val="center"/>
              <w:rPr>
                <w:lang w:eastAsia="ja-JP"/>
              </w:rPr>
            </w:pPr>
            <w:r w:rsidRPr="00536CFD">
              <w:t>4.769</w:t>
            </w:r>
          </w:p>
        </w:tc>
        <w:tc>
          <w:tcPr>
            <w:tcW w:w="820" w:type="dxa"/>
          </w:tcPr>
          <w:p w14:paraId="2C05E1E2" w14:textId="77777777" w:rsidR="009D4A93" w:rsidRPr="00536CFD" w:rsidRDefault="009D4A93" w:rsidP="009D4A93">
            <w:pPr>
              <w:spacing w:after="0"/>
              <w:jc w:val="center"/>
              <w:rPr>
                <w:lang w:eastAsia="ja-JP"/>
              </w:rPr>
            </w:pPr>
            <w:r w:rsidRPr="00536CFD">
              <w:t>0.947</w:t>
            </w:r>
          </w:p>
        </w:tc>
        <w:tc>
          <w:tcPr>
            <w:tcW w:w="800" w:type="dxa"/>
          </w:tcPr>
          <w:p w14:paraId="78B77516" w14:textId="77777777" w:rsidR="009D4A93" w:rsidRPr="00536CFD" w:rsidRDefault="009D4A93" w:rsidP="009D4A93">
            <w:pPr>
              <w:spacing w:after="0"/>
              <w:jc w:val="center"/>
              <w:rPr>
                <w:lang w:eastAsia="ja-JP"/>
              </w:rPr>
            </w:pPr>
            <w:r w:rsidRPr="00536CFD">
              <w:t>1.214</w:t>
            </w:r>
          </w:p>
        </w:tc>
        <w:tc>
          <w:tcPr>
            <w:tcW w:w="720" w:type="dxa"/>
          </w:tcPr>
          <w:p w14:paraId="3113D2F7" w14:textId="77777777" w:rsidR="009D4A93" w:rsidRPr="00536CFD" w:rsidRDefault="009D4A93" w:rsidP="009D4A93">
            <w:pPr>
              <w:spacing w:after="0"/>
              <w:jc w:val="center"/>
              <w:rPr>
                <w:lang w:eastAsia="ja-JP"/>
              </w:rPr>
            </w:pPr>
          </w:p>
        </w:tc>
        <w:tc>
          <w:tcPr>
            <w:tcW w:w="724" w:type="dxa"/>
          </w:tcPr>
          <w:p w14:paraId="60911EE0" w14:textId="77777777" w:rsidR="009D4A93" w:rsidRPr="00536CFD" w:rsidRDefault="009D4A93" w:rsidP="009D4A93">
            <w:pPr>
              <w:spacing w:after="0"/>
              <w:jc w:val="center"/>
              <w:rPr>
                <w:lang w:eastAsia="ja-JP"/>
              </w:rPr>
            </w:pPr>
            <w:r w:rsidRPr="00536CFD">
              <w:t>8.227</w:t>
            </w:r>
          </w:p>
        </w:tc>
        <w:tc>
          <w:tcPr>
            <w:tcW w:w="896" w:type="dxa"/>
          </w:tcPr>
          <w:p w14:paraId="3A5A6CB7" w14:textId="77777777" w:rsidR="009D4A93" w:rsidRPr="00536CFD" w:rsidRDefault="009D4A93" w:rsidP="009D4A93">
            <w:pPr>
              <w:spacing w:after="0"/>
              <w:jc w:val="center"/>
              <w:rPr>
                <w:lang w:eastAsia="ja-JP"/>
              </w:rPr>
            </w:pPr>
            <w:r w:rsidRPr="00536CFD">
              <w:t>3.157</w:t>
            </w:r>
          </w:p>
        </w:tc>
        <w:tc>
          <w:tcPr>
            <w:tcW w:w="720" w:type="dxa"/>
          </w:tcPr>
          <w:p w14:paraId="3A096D31" w14:textId="77777777" w:rsidR="009D4A93" w:rsidRPr="00536CFD" w:rsidRDefault="009D4A93" w:rsidP="009D4A93">
            <w:pPr>
              <w:spacing w:after="0"/>
              <w:jc w:val="center"/>
              <w:rPr>
                <w:lang w:eastAsia="ja-JP"/>
              </w:rPr>
            </w:pPr>
            <w:r w:rsidRPr="00536CFD">
              <w:t>3.177</w:t>
            </w:r>
          </w:p>
        </w:tc>
        <w:tc>
          <w:tcPr>
            <w:tcW w:w="720" w:type="dxa"/>
          </w:tcPr>
          <w:p w14:paraId="16AEB9EF" w14:textId="77777777" w:rsidR="009D4A93" w:rsidRPr="00536CFD" w:rsidRDefault="009D4A93" w:rsidP="009D4A93">
            <w:pPr>
              <w:spacing w:after="0"/>
              <w:jc w:val="center"/>
              <w:rPr>
                <w:lang w:eastAsia="ja-JP"/>
              </w:rPr>
            </w:pPr>
          </w:p>
        </w:tc>
      </w:tr>
      <w:tr w:rsidR="009D4A93" w:rsidRPr="00536CFD" w14:paraId="0DA5C04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5B27E07"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B997397"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8F41F4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0861B6B3" w14:textId="77777777" w:rsidR="009D4A93" w:rsidRPr="00536CFD" w:rsidRDefault="009D4A93" w:rsidP="009D4A93">
            <w:pPr>
              <w:spacing w:after="0"/>
              <w:jc w:val="center"/>
              <w:rPr>
                <w:lang w:eastAsia="ja-JP"/>
              </w:rPr>
            </w:pPr>
            <w:r w:rsidRPr="00536CFD">
              <w:t>0.447</w:t>
            </w:r>
          </w:p>
        </w:tc>
        <w:tc>
          <w:tcPr>
            <w:tcW w:w="720" w:type="dxa"/>
          </w:tcPr>
          <w:p w14:paraId="27AAAFD2" w14:textId="77777777" w:rsidR="009D4A93" w:rsidRPr="00536CFD" w:rsidRDefault="009D4A93" w:rsidP="009D4A93">
            <w:pPr>
              <w:spacing w:after="0"/>
              <w:jc w:val="center"/>
              <w:rPr>
                <w:lang w:eastAsia="ja-JP"/>
              </w:rPr>
            </w:pPr>
            <w:r w:rsidRPr="00536CFD">
              <w:t>0.104</w:t>
            </w:r>
          </w:p>
        </w:tc>
        <w:tc>
          <w:tcPr>
            <w:tcW w:w="720" w:type="dxa"/>
          </w:tcPr>
          <w:p w14:paraId="5A27C701" w14:textId="77777777" w:rsidR="009D4A93" w:rsidRPr="00536CFD" w:rsidRDefault="009D4A93" w:rsidP="009D4A93">
            <w:pPr>
              <w:spacing w:after="0"/>
              <w:jc w:val="center"/>
              <w:rPr>
                <w:lang w:eastAsia="ja-JP"/>
              </w:rPr>
            </w:pPr>
            <w:r w:rsidRPr="00536CFD">
              <w:t>0.087</w:t>
            </w:r>
          </w:p>
        </w:tc>
        <w:tc>
          <w:tcPr>
            <w:tcW w:w="810" w:type="dxa"/>
          </w:tcPr>
          <w:p w14:paraId="430A68A6" w14:textId="77777777" w:rsidR="009D4A93" w:rsidRPr="00536CFD" w:rsidRDefault="009D4A93" w:rsidP="009D4A93">
            <w:pPr>
              <w:spacing w:after="0"/>
              <w:jc w:val="center"/>
              <w:rPr>
                <w:lang w:eastAsia="ja-JP"/>
              </w:rPr>
            </w:pPr>
          </w:p>
        </w:tc>
        <w:tc>
          <w:tcPr>
            <w:tcW w:w="810" w:type="dxa"/>
          </w:tcPr>
          <w:p w14:paraId="015D88BE" w14:textId="77777777" w:rsidR="009D4A93" w:rsidRPr="00536CFD" w:rsidRDefault="009D4A93" w:rsidP="009D4A93">
            <w:pPr>
              <w:spacing w:after="0"/>
              <w:jc w:val="center"/>
              <w:rPr>
                <w:lang w:eastAsia="ja-JP"/>
              </w:rPr>
            </w:pPr>
            <w:r w:rsidRPr="00536CFD">
              <w:t>1.536</w:t>
            </w:r>
          </w:p>
        </w:tc>
        <w:tc>
          <w:tcPr>
            <w:tcW w:w="820" w:type="dxa"/>
          </w:tcPr>
          <w:p w14:paraId="7C538BBB" w14:textId="77777777" w:rsidR="009D4A93" w:rsidRPr="00536CFD" w:rsidRDefault="009D4A93" w:rsidP="009D4A93">
            <w:pPr>
              <w:spacing w:after="0"/>
              <w:jc w:val="center"/>
              <w:rPr>
                <w:lang w:eastAsia="ja-JP"/>
              </w:rPr>
            </w:pPr>
            <w:r w:rsidRPr="00536CFD">
              <w:t>0.367</w:t>
            </w:r>
          </w:p>
        </w:tc>
        <w:tc>
          <w:tcPr>
            <w:tcW w:w="800" w:type="dxa"/>
          </w:tcPr>
          <w:p w14:paraId="2C24734E" w14:textId="77777777" w:rsidR="009D4A93" w:rsidRPr="00536CFD" w:rsidRDefault="009D4A93" w:rsidP="009D4A93">
            <w:pPr>
              <w:spacing w:after="0"/>
              <w:jc w:val="center"/>
              <w:rPr>
                <w:lang w:eastAsia="ja-JP"/>
              </w:rPr>
            </w:pPr>
            <w:r w:rsidRPr="00536CFD">
              <w:t>0.434</w:t>
            </w:r>
          </w:p>
        </w:tc>
        <w:tc>
          <w:tcPr>
            <w:tcW w:w="720" w:type="dxa"/>
          </w:tcPr>
          <w:p w14:paraId="0D684BC9" w14:textId="77777777" w:rsidR="009D4A93" w:rsidRPr="00536CFD" w:rsidRDefault="009D4A93" w:rsidP="009D4A93">
            <w:pPr>
              <w:spacing w:after="0"/>
              <w:jc w:val="center"/>
              <w:rPr>
                <w:lang w:eastAsia="ja-JP"/>
              </w:rPr>
            </w:pPr>
          </w:p>
        </w:tc>
        <w:tc>
          <w:tcPr>
            <w:tcW w:w="724" w:type="dxa"/>
          </w:tcPr>
          <w:p w14:paraId="75300654" w14:textId="77777777" w:rsidR="009D4A93" w:rsidRPr="00536CFD" w:rsidRDefault="009D4A93" w:rsidP="009D4A93">
            <w:pPr>
              <w:spacing w:after="0"/>
              <w:jc w:val="center"/>
              <w:rPr>
                <w:lang w:eastAsia="ja-JP"/>
              </w:rPr>
            </w:pPr>
            <w:r w:rsidRPr="00536CFD">
              <w:t>2.768</w:t>
            </w:r>
          </w:p>
        </w:tc>
        <w:tc>
          <w:tcPr>
            <w:tcW w:w="896" w:type="dxa"/>
          </w:tcPr>
          <w:p w14:paraId="4E6FBA14" w14:textId="77777777" w:rsidR="009D4A93" w:rsidRPr="00536CFD" w:rsidRDefault="009D4A93" w:rsidP="009D4A93">
            <w:pPr>
              <w:spacing w:after="0"/>
              <w:jc w:val="center"/>
              <w:rPr>
                <w:lang w:eastAsia="ja-JP"/>
              </w:rPr>
            </w:pPr>
            <w:r w:rsidRPr="00536CFD">
              <w:t>1.154</w:t>
            </w:r>
          </w:p>
        </w:tc>
        <w:tc>
          <w:tcPr>
            <w:tcW w:w="720" w:type="dxa"/>
          </w:tcPr>
          <w:p w14:paraId="2F426AF5" w14:textId="77777777" w:rsidR="009D4A93" w:rsidRPr="00536CFD" w:rsidRDefault="009D4A93" w:rsidP="009D4A93">
            <w:pPr>
              <w:spacing w:after="0"/>
              <w:jc w:val="center"/>
              <w:rPr>
                <w:lang w:eastAsia="ja-JP"/>
              </w:rPr>
            </w:pPr>
            <w:r w:rsidRPr="00536CFD">
              <w:t>1.372</w:t>
            </w:r>
          </w:p>
        </w:tc>
        <w:tc>
          <w:tcPr>
            <w:tcW w:w="720" w:type="dxa"/>
          </w:tcPr>
          <w:p w14:paraId="220DFCBE" w14:textId="77777777" w:rsidR="009D4A93" w:rsidRPr="00536CFD" w:rsidRDefault="009D4A93" w:rsidP="009D4A93">
            <w:pPr>
              <w:spacing w:after="0"/>
              <w:jc w:val="center"/>
              <w:rPr>
                <w:lang w:eastAsia="ja-JP"/>
              </w:rPr>
            </w:pPr>
          </w:p>
        </w:tc>
      </w:tr>
      <w:tr w:rsidR="009D4A93" w:rsidRPr="00536CFD" w14:paraId="005B354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ACECAB9"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5A43EE00" w14:textId="77777777" w:rsidR="009D4A93" w:rsidRPr="00536CFD" w:rsidRDefault="009D4A93" w:rsidP="009D4A93">
            <w:pPr>
              <w:spacing w:after="0"/>
              <w:jc w:val="center"/>
            </w:pPr>
            <w:r w:rsidRPr="00536CFD">
              <w:t>UL:</w:t>
            </w:r>
          </w:p>
          <w:p w14:paraId="7B0E6B2F" w14:textId="77777777" w:rsidR="009D4A93" w:rsidRPr="00536CFD" w:rsidRDefault="009D4A93" w:rsidP="009D4A93">
            <w:pPr>
              <w:spacing w:after="0"/>
              <w:jc w:val="center"/>
            </w:pPr>
            <w:r w:rsidRPr="00536CFD">
              <w:t>UPT CDF</w:t>
            </w:r>
          </w:p>
          <w:p w14:paraId="7332ED92"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[Mbps]</w:t>
            </w:r>
          </w:p>
        </w:tc>
        <w:tc>
          <w:tcPr>
            <w:tcW w:w="400" w:type="dxa"/>
            <w:tcBorders>
              <w:top w:val="single" w:sz="4" w:space="0" w:color="auto"/>
              <w:left w:val="nil"/>
              <w:bottom w:val="single" w:sz="4" w:space="0" w:color="auto"/>
              <w:right w:val="single" w:sz="4" w:space="0" w:color="auto"/>
            </w:tcBorders>
            <w:shd w:val="clear" w:color="auto" w:fill="auto"/>
          </w:tcPr>
          <w:p w14:paraId="03D0F1D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01DAFCC2" w14:textId="77777777" w:rsidR="009D4A93" w:rsidRPr="00536CFD" w:rsidRDefault="009D4A93" w:rsidP="009D4A93">
            <w:pPr>
              <w:spacing w:after="0"/>
              <w:jc w:val="center"/>
              <w:rPr>
                <w:lang w:eastAsia="ja-JP"/>
              </w:rPr>
            </w:pPr>
            <w:r w:rsidRPr="00536CFD">
              <w:t>42.00</w:t>
            </w:r>
          </w:p>
        </w:tc>
        <w:tc>
          <w:tcPr>
            <w:tcW w:w="720" w:type="dxa"/>
          </w:tcPr>
          <w:p w14:paraId="491F59AB" w14:textId="77777777" w:rsidR="009D4A93" w:rsidRPr="00536CFD" w:rsidRDefault="009D4A93" w:rsidP="009D4A93">
            <w:pPr>
              <w:spacing w:after="0"/>
              <w:jc w:val="center"/>
              <w:rPr>
                <w:lang w:eastAsia="ja-JP"/>
              </w:rPr>
            </w:pPr>
            <w:r w:rsidRPr="00536CFD">
              <w:t>42.41</w:t>
            </w:r>
          </w:p>
        </w:tc>
        <w:tc>
          <w:tcPr>
            <w:tcW w:w="720" w:type="dxa"/>
          </w:tcPr>
          <w:p w14:paraId="52BFE1FE" w14:textId="77777777" w:rsidR="009D4A93" w:rsidRPr="00536CFD" w:rsidRDefault="009D4A93" w:rsidP="009D4A93">
            <w:pPr>
              <w:spacing w:after="0"/>
              <w:jc w:val="center"/>
              <w:rPr>
                <w:lang w:eastAsia="ja-JP"/>
              </w:rPr>
            </w:pPr>
            <w:r w:rsidRPr="00536CFD">
              <w:t>37.74</w:t>
            </w:r>
          </w:p>
        </w:tc>
        <w:tc>
          <w:tcPr>
            <w:tcW w:w="810" w:type="dxa"/>
          </w:tcPr>
          <w:p w14:paraId="264DBB32" w14:textId="77777777" w:rsidR="009D4A93" w:rsidRPr="00536CFD" w:rsidRDefault="009D4A93" w:rsidP="009D4A93">
            <w:pPr>
              <w:spacing w:after="0"/>
              <w:jc w:val="center"/>
              <w:rPr>
                <w:lang w:eastAsia="ja-JP"/>
              </w:rPr>
            </w:pPr>
          </w:p>
        </w:tc>
        <w:tc>
          <w:tcPr>
            <w:tcW w:w="810" w:type="dxa"/>
          </w:tcPr>
          <w:p w14:paraId="0F13328D" w14:textId="77777777" w:rsidR="009D4A93" w:rsidRPr="00536CFD" w:rsidRDefault="009D4A93" w:rsidP="009D4A93">
            <w:pPr>
              <w:spacing w:after="0"/>
              <w:jc w:val="center"/>
              <w:rPr>
                <w:lang w:eastAsia="ja-JP"/>
              </w:rPr>
            </w:pPr>
            <w:r w:rsidRPr="00536CFD">
              <w:t>22.36</w:t>
            </w:r>
          </w:p>
        </w:tc>
        <w:tc>
          <w:tcPr>
            <w:tcW w:w="820" w:type="dxa"/>
          </w:tcPr>
          <w:p w14:paraId="6E870657" w14:textId="77777777" w:rsidR="009D4A93" w:rsidRPr="00536CFD" w:rsidRDefault="009D4A93" w:rsidP="009D4A93">
            <w:pPr>
              <w:spacing w:after="0"/>
              <w:jc w:val="center"/>
              <w:rPr>
                <w:lang w:eastAsia="ja-JP"/>
              </w:rPr>
            </w:pPr>
            <w:r w:rsidRPr="00536CFD">
              <w:t>33.36</w:t>
            </w:r>
          </w:p>
        </w:tc>
        <w:tc>
          <w:tcPr>
            <w:tcW w:w="800" w:type="dxa"/>
          </w:tcPr>
          <w:p w14:paraId="4D0B1D82" w14:textId="77777777" w:rsidR="009D4A93" w:rsidRPr="00536CFD" w:rsidRDefault="009D4A93" w:rsidP="009D4A93">
            <w:pPr>
              <w:spacing w:after="0"/>
              <w:jc w:val="center"/>
              <w:rPr>
                <w:lang w:eastAsia="ja-JP"/>
              </w:rPr>
            </w:pPr>
            <w:r w:rsidRPr="00536CFD">
              <w:t>26.97</w:t>
            </w:r>
          </w:p>
        </w:tc>
        <w:tc>
          <w:tcPr>
            <w:tcW w:w="720" w:type="dxa"/>
          </w:tcPr>
          <w:p w14:paraId="3E77DF44" w14:textId="77777777" w:rsidR="009D4A93" w:rsidRPr="00536CFD" w:rsidRDefault="009D4A93" w:rsidP="009D4A93">
            <w:pPr>
              <w:spacing w:after="0"/>
              <w:jc w:val="center"/>
              <w:rPr>
                <w:lang w:eastAsia="ja-JP"/>
              </w:rPr>
            </w:pPr>
          </w:p>
        </w:tc>
        <w:tc>
          <w:tcPr>
            <w:tcW w:w="724" w:type="dxa"/>
          </w:tcPr>
          <w:p w14:paraId="17BD01C8" w14:textId="77777777" w:rsidR="009D4A93" w:rsidRPr="00536CFD" w:rsidRDefault="009D4A93" w:rsidP="009D4A93">
            <w:pPr>
              <w:spacing w:after="0"/>
              <w:jc w:val="center"/>
              <w:rPr>
                <w:lang w:eastAsia="ja-JP"/>
              </w:rPr>
            </w:pPr>
            <w:r w:rsidRPr="00536CFD">
              <w:t>9.59</w:t>
            </w:r>
          </w:p>
        </w:tc>
        <w:tc>
          <w:tcPr>
            <w:tcW w:w="896" w:type="dxa"/>
          </w:tcPr>
          <w:p w14:paraId="48FA1379" w14:textId="77777777" w:rsidR="009D4A93" w:rsidRPr="00536CFD" w:rsidRDefault="009D4A93" w:rsidP="009D4A93">
            <w:pPr>
              <w:spacing w:after="0"/>
              <w:jc w:val="center"/>
              <w:rPr>
                <w:lang w:eastAsia="ja-JP"/>
              </w:rPr>
            </w:pPr>
            <w:r w:rsidRPr="00536CFD">
              <w:t>18.82</w:t>
            </w:r>
          </w:p>
        </w:tc>
        <w:tc>
          <w:tcPr>
            <w:tcW w:w="720" w:type="dxa"/>
          </w:tcPr>
          <w:p w14:paraId="3CC9DD2D" w14:textId="77777777" w:rsidR="009D4A93" w:rsidRPr="00536CFD" w:rsidRDefault="009D4A93" w:rsidP="009D4A93">
            <w:pPr>
              <w:spacing w:after="0"/>
              <w:jc w:val="center"/>
              <w:rPr>
                <w:lang w:eastAsia="ja-JP"/>
              </w:rPr>
            </w:pPr>
            <w:r w:rsidRPr="00536CFD">
              <w:t>15.85</w:t>
            </w:r>
          </w:p>
        </w:tc>
        <w:tc>
          <w:tcPr>
            <w:tcW w:w="720" w:type="dxa"/>
          </w:tcPr>
          <w:p w14:paraId="2736E77C" w14:textId="77777777" w:rsidR="009D4A93" w:rsidRPr="00536CFD" w:rsidRDefault="009D4A93" w:rsidP="009D4A93">
            <w:pPr>
              <w:spacing w:after="0"/>
              <w:jc w:val="center"/>
              <w:rPr>
                <w:lang w:eastAsia="ja-JP"/>
              </w:rPr>
            </w:pPr>
          </w:p>
        </w:tc>
      </w:tr>
      <w:tr w:rsidR="009D4A93" w:rsidRPr="00536CFD" w14:paraId="555224F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6168A61"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9C7729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383304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7ADF89C0" w14:textId="77777777" w:rsidR="009D4A93" w:rsidRPr="00536CFD" w:rsidRDefault="009D4A93" w:rsidP="009D4A93">
            <w:pPr>
              <w:spacing w:after="0"/>
              <w:jc w:val="center"/>
              <w:rPr>
                <w:lang w:eastAsia="ja-JP"/>
              </w:rPr>
            </w:pPr>
            <w:r w:rsidRPr="00536CFD">
              <w:t>82.62</w:t>
            </w:r>
          </w:p>
        </w:tc>
        <w:tc>
          <w:tcPr>
            <w:tcW w:w="720" w:type="dxa"/>
          </w:tcPr>
          <w:p w14:paraId="6CB47DEA" w14:textId="77777777" w:rsidR="009D4A93" w:rsidRPr="00536CFD" w:rsidRDefault="009D4A93" w:rsidP="009D4A93">
            <w:pPr>
              <w:spacing w:after="0"/>
              <w:jc w:val="center"/>
              <w:rPr>
                <w:lang w:eastAsia="ja-JP"/>
              </w:rPr>
            </w:pPr>
            <w:r w:rsidRPr="00536CFD">
              <w:t>86.91</w:t>
            </w:r>
          </w:p>
        </w:tc>
        <w:tc>
          <w:tcPr>
            <w:tcW w:w="720" w:type="dxa"/>
          </w:tcPr>
          <w:p w14:paraId="634F5AE3" w14:textId="77777777" w:rsidR="009D4A93" w:rsidRPr="00536CFD" w:rsidRDefault="009D4A93" w:rsidP="009D4A93">
            <w:pPr>
              <w:spacing w:after="0"/>
              <w:jc w:val="center"/>
              <w:rPr>
                <w:lang w:eastAsia="ja-JP"/>
              </w:rPr>
            </w:pPr>
            <w:r w:rsidRPr="00536CFD">
              <w:t>78.08</w:t>
            </w:r>
          </w:p>
        </w:tc>
        <w:tc>
          <w:tcPr>
            <w:tcW w:w="810" w:type="dxa"/>
          </w:tcPr>
          <w:p w14:paraId="765EB16B" w14:textId="77777777" w:rsidR="009D4A93" w:rsidRPr="00536CFD" w:rsidRDefault="009D4A93" w:rsidP="009D4A93">
            <w:pPr>
              <w:spacing w:after="0"/>
              <w:jc w:val="center"/>
              <w:rPr>
                <w:lang w:eastAsia="ja-JP"/>
              </w:rPr>
            </w:pPr>
          </w:p>
        </w:tc>
        <w:tc>
          <w:tcPr>
            <w:tcW w:w="810" w:type="dxa"/>
          </w:tcPr>
          <w:p w14:paraId="29C958D9" w14:textId="77777777" w:rsidR="009D4A93" w:rsidRPr="00536CFD" w:rsidRDefault="009D4A93" w:rsidP="009D4A93">
            <w:pPr>
              <w:spacing w:after="0"/>
              <w:jc w:val="center"/>
              <w:rPr>
                <w:lang w:eastAsia="ja-JP"/>
              </w:rPr>
            </w:pPr>
            <w:r w:rsidRPr="00536CFD">
              <w:t>52.08</w:t>
            </w:r>
          </w:p>
        </w:tc>
        <w:tc>
          <w:tcPr>
            <w:tcW w:w="820" w:type="dxa"/>
          </w:tcPr>
          <w:p w14:paraId="2C6243CA" w14:textId="77777777" w:rsidR="009D4A93" w:rsidRPr="00536CFD" w:rsidRDefault="009D4A93" w:rsidP="009D4A93">
            <w:pPr>
              <w:spacing w:after="0"/>
              <w:jc w:val="center"/>
              <w:rPr>
                <w:lang w:eastAsia="ja-JP"/>
              </w:rPr>
            </w:pPr>
            <w:r w:rsidRPr="00536CFD">
              <w:t>70.71</w:t>
            </w:r>
          </w:p>
        </w:tc>
        <w:tc>
          <w:tcPr>
            <w:tcW w:w="800" w:type="dxa"/>
          </w:tcPr>
          <w:p w14:paraId="50CF76BF" w14:textId="77777777" w:rsidR="009D4A93" w:rsidRPr="00536CFD" w:rsidRDefault="009D4A93" w:rsidP="009D4A93">
            <w:pPr>
              <w:spacing w:after="0"/>
              <w:jc w:val="center"/>
              <w:rPr>
                <w:lang w:eastAsia="ja-JP"/>
              </w:rPr>
            </w:pPr>
            <w:r w:rsidRPr="00536CFD">
              <w:t>61.68</w:t>
            </w:r>
          </w:p>
        </w:tc>
        <w:tc>
          <w:tcPr>
            <w:tcW w:w="720" w:type="dxa"/>
          </w:tcPr>
          <w:p w14:paraId="420B5979" w14:textId="77777777" w:rsidR="009D4A93" w:rsidRPr="00536CFD" w:rsidRDefault="009D4A93" w:rsidP="009D4A93">
            <w:pPr>
              <w:spacing w:after="0"/>
              <w:jc w:val="center"/>
              <w:rPr>
                <w:lang w:eastAsia="ja-JP"/>
              </w:rPr>
            </w:pPr>
          </w:p>
        </w:tc>
        <w:tc>
          <w:tcPr>
            <w:tcW w:w="724" w:type="dxa"/>
          </w:tcPr>
          <w:p w14:paraId="487459DD" w14:textId="77777777" w:rsidR="009D4A93" w:rsidRPr="00536CFD" w:rsidRDefault="009D4A93" w:rsidP="009D4A93">
            <w:pPr>
              <w:spacing w:after="0"/>
              <w:jc w:val="center"/>
              <w:rPr>
                <w:lang w:eastAsia="ja-JP"/>
              </w:rPr>
            </w:pPr>
            <w:r w:rsidRPr="00536CFD">
              <w:t>24.37</w:t>
            </w:r>
          </w:p>
        </w:tc>
        <w:tc>
          <w:tcPr>
            <w:tcW w:w="896" w:type="dxa"/>
          </w:tcPr>
          <w:p w14:paraId="32A84422" w14:textId="77777777" w:rsidR="009D4A93" w:rsidRPr="00536CFD" w:rsidRDefault="009D4A93" w:rsidP="009D4A93">
            <w:pPr>
              <w:spacing w:after="0"/>
              <w:jc w:val="center"/>
              <w:rPr>
                <w:lang w:eastAsia="ja-JP"/>
              </w:rPr>
            </w:pPr>
            <w:r w:rsidRPr="00536CFD">
              <w:t>50.15</w:t>
            </w:r>
          </w:p>
        </w:tc>
        <w:tc>
          <w:tcPr>
            <w:tcW w:w="720" w:type="dxa"/>
          </w:tcPr>
          <w:p w14:paraId="7C4AA5D0" w14:textId="77777777" w:rsidR="009D4A93" w:rsidRPr="00536CFD" w:rsidRDefault="009D4A93" w:rsidP="009D4A93">
            <w:pPr>
              <w:spacing w:after="0"/>
              <w:jc w:val="center"/>
              <w:rPr>
                <w:lang w:eastAsia="ja-JP"/>
              </w:rPr>
            </w:pPr>
            <w:r w:rsidRPr="00536CFD">
              <w:t>41.49</w:t>
            </w:r>
          </w:p>
        </w:tc>
        <w:tc>
          <w:tcPr>
            <w:tcW w:w="720" w:type="dxa"/>
          </w:tcPr>
          <w:p w14:paraId="56C8181E" w14:textId="77777777" w:rsidR="009D4A93" w:rsidRPr="00536CFD" w:rsidRDefault="009D4A93" w:rsidP="009D4A93">
            <w:pPr>
              <w:spacing w:after="0"/>
              <w:jc w:val="center"/>
              <w:rPr>
                <w:lang w:eastAsia="ja-JP"/>
              </w:rPr>
            </w:pPr>
          </w:p>
        </w:tc>
      </w:tr>
      <w:tr w:rsidR="009D4A93" w:rsidRPr="00536CFD" w14:paraId="569B128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B61116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5E5E8B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01ECE0A"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78D329A0" w14:textId="77777777" w:rsidR="009D4A93" w:rsidRPr="00536CFD" w:rsidRDefault="009D4A93" w:rsidP="009D4A93">
            <w:pPr>
              <w:spacing w:after="0"/>
              <w:jc w:val="center"/>
              <w:rPr>
                <w:lang w:eastAsia="ja-JP"/>
              </w:rPr>
            </w:pPr>
            <w:r w:rsidRPr="00536CFD">
              <w:t>100.22</w:t>
            </w:r>
          </w:p>
        </w:tc>
        <w:tc>
          <w:tcPr>
            <w:tcW w:w="720" w:type="dxa"/>
          </w:tcPr>
          <w:p w14:paraId="57F0D0B7" w14:textId="77777777" w:rsidR="009D4A93" w:rsidRPr="00536CFD" w:rsidRDefault="009D4A93" w:rsidP="009D4A93">
            <w:pPr>
              <w:spacing w:after="0"/>
              <w:jc w:val="center"/>
              <w:rPr>
                <w:lang w:eastAsia="ja-JP"/>
              </w:rPr>
            </w:pPr>
            <w:r w:rsidRPr="00536CFD">
              <w:t>104.90</w:t>
            </w:r>
          </w:p>
        </w:tc>
        <w:tc>
          <w:tcPr>
            <w:tcW w:w="720" w:type="dxa"/>
          </w:tcPr>
          <w:p w14:paraId="4C83E468" w14:textId="77777777" w:rsidR="009D4A93" w:rsidRPr="00536CFD" w:rsidRDefault="009D4A93" w:rsidP="009D4A93">
            <w:pPr>
              <w:spacing w:after="0"/>
              <w:jc w:val="center"/>
              <w:rPr>
                <w:lang w:eastAsia="ja-JP"/>
              </w:rPr>
            </w:pPr>
            <w:r w:rsidRPr="00536CFD">
              <w:t>96.85</w:t>
            </w:r>
          </w:p>
        </w:tc>
        <w:tc>
          <w:tcPr>
            <w:tcW w:w="810" w:type="dxa"/>
          </w:tcPr>
          <w:p w14:paraId="7ADE4125" w14:textId="77777777" w:rsidR="009D4A93" w:rsidRPr="00536CFD" w:rsidRDefault="009D4A93" w:rsidP="009D4A93">
            <w:pPr>
              <w:spacing w:after="0"/>
              <w:jc w:val="center"/>
              <w:rPr>
                <w:lang w:eastAsia="ja-JP"/>
              </w:rPr>
            </w:pPr>
          </w:p>
        </w:tc>
        <w:tc>
          <w:tcPr>
            <w:tcW w:w="810" w:type="dxa"/>
          </w:tcPr>
          <w:p w14:paraId="3B7620B4" w14:textId="77777777" w:rsidR="009D4A93" w:rsidRPr="00536CFD" w:rsidRDefault="009D4A93" w:rsidP="009D4A93">
            <w:pPr>
              <w:spacing w:after="0"/>
              <w:jc w:val="center"/>
              <w:rPr>
                <w:lang w:eastAsia="ja-JP"/>
              </w:rPr>
            </w:pPr>
            <w:r w:rsidRPr="00536CFD">
              <w:t>74.51</w:t>
            </w:r>
          </w:p>
        </w:tc>
        <w:tc>
          <w:tcPr>
            <w:tcW w:w="820" w:type="dxa"/>
          </w:tcPr>
          <w:p w14:paraId="3DD16166" w14:textId="77777777" w:rsidR="009D4A93" w:rsidRPr="00536CFD" w:rsidRDefault="009D4A93" w:rsidP="009D4A93">
            <w:pPr>
              <w:spacing w:after="0"/>
              <w:jc w:val="center"/>
              <w:rPr>
                <w:lang w:eastAsia="ja-JP"/>
              </w:rPr>
            </w:pPr>
            <w:r w:rsidRPr="00536CFD">
              <w:t>93.64</w:t>
            </w:r>
          </w:p>
        </w:tc>
        <w:tc>
          <w:tcPr>
            <w:tcW w:w="800" w:type="dxa"/>
          </w:tcPr>
          <w:p w14:paraId="24924EE3" w14:textId="77777777" w:rsidR="009D4A93" w:rsidRPr="00536CFD" w:rsidRDefault="009D4A93" w:rsidP="009D4A93">
            <w:pPr>
              <w:spacing w:after="0"/>
              <w:jc w:val="center"/>
              <w:rPr>
                <w:lang w:eastAsia="ja-JP"/>
              </w:rPr>
            </w:pPr>
            <w:r w:rsidRPr="00536CFD">
              <w:t>85.94</w:t>
            </w:r>
          </w:p>
        </w:tc>
        <w:tc>
          <w:tcPr>
            <w:tcW w:w="720" w:type="dxa"/>
          </w:tcPr>
          <w:p w14:paraId="1BE92339" w14:textId="77777777" w:rsidR="009D4A93" w:rsidRPr="00536CFD" w:rsidRDefault="009D4A93" w:rsidP="009D4A93">
            <w:pPr>
              <w:spacing w:after="0"/>
              <w:jc w:val="center"/>
              <w:rPr>
                <w:lang w:eastAsia="ja-JP"/>
              </w:rPr>
            </w:pPr>
          </w:p>
        </w:tc>
        <w:tc>
          <w:tcPr>
            <w:tcW w:w="724" w:type="dxa"/>
          </w:tcPr>
          <w:p w14:paraId="59F9037E" w14:textId="77777777" w:rsidR="009D4A93" w:rsidRPr="00536CFD" w:rsidRDefault="009D4A93" w:rsidP="009D4A93">
            <w:pPr>
              <w:spacing w:after="0"/>
              <w:jc w:val="center"/>
              <w:rPr>
                <w:lang w:eastAsia="ja-JP"/>
              </w:rPr>
            </w:pPr>
            <w:r w:rsidRPr="00536CFD">
              <w:t>48.94</w:t>
            </w:r>
          </w:p>
        </w:tc>
        <w:tc>
          <w:tcPr>
            <w:tcW w:w="896" w:type="dxa"/>
          </w:tcPr>
          <w:p w14:paraId="4107E50C" w14:textId="77777777" w:rsidR="009D4A93" w:rsidRPr="00536CFD" w:rsidRDefault="009D4A93" w:rsidP="009D4A93">
            <w:pPr>
              <w:spacing w:after="0"/>
              <w:jc w:val="center"/>
              <w:rPr>
                <w:lang w:eastAsia="ja-JP"/>
              </w:rPr>
            </w:pPr>
            <w:r w:rsidRPr="00536CFD">
              <w:t>77.51</w:t>
            </w:r>
          </w:p>
        </w:tc>
        <w:tc>
          <w:tcPr>
            <w:tcW w:w="720" w:type="dxa"/>
          </w:tcPr>
          <w:p w14:paraId="66EAC2E4" w14:textId="77777777" w:rsidR="009D4A93" w:rsidRPr="00536CFD" w:rsidRDefault="009D4A93" w:rsidP="009D4A93">
            <w:pPr>
              <w:spacing w:after="0"/>
              <w:jc w:val="center"/>
              <w:rPr>
                <w:lang w:eastAsia="ja-JP"/>
              </w:rPr>
            </w:pPr>
            <w:r w:rsidRPr="00536CFD">
              <w:t>62.82</w:t>
            </w:r>
          </w:p>
        </w:tc>
        <w:tc>
          <w:tcPr>
            <w:tcW w:w="720" w:type="dxa"/>
          </w:tcPr>
          <w:p w14:paraId="5743943F" w14:textId="77777777" w:rsidR="009D4A93" w:rsidRPr="00536CFD" w:rsidRDefault="009D4A93" w:rsidP="009D4A93">
            <w:pPr>
              <w:spacing w:after="0"/>
              <w:jc w:val="center"/>
              <w:rPr>
                <w:lang w:eastAsia="ja-JP"/>
              </w:rPr>
            </w:pPr>
          </w:p>
        </w:tc>
      </w:tr>
      <w:tr w:rsidR="009D4A93" w:rsidRPr="00536CFD" w14:paraId="6B644B2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62360A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63F8756"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E37CF9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2E23125F" w14:textId="77777777" w:rsidR="009D4A93" w:rsidRPr="00536CFD" w:rsidRDefault="009D4A93" w:rsidP="009D4A93">
            <w:pPr>
              <w:spacing w:after="0"/>
              <w:jc w:val="center"/>
              <w:rPr>
                <w:lang w:eastAsia="ja-JP"/>
              </w:rPr>
            </w:pPr>
            <w:r w:rsidRPr="00536CFD">
              <w:t>81.03</w:t>
            </w:r>
          </w:p>
        </w:tc>
        <w:tc>
          <w:tcPr>
            <w:tcW w:w="720" w:type="dxa"/>
          </w:tcPr>
          <w:p w14:paraId="1284836E" w14:textId="77777777" w:rsidR="009D4A93" w:rsidRPr="00536CFD" w:rsidRDefault="009D4A93" w:rsidP="009D4A93">
            <w:pPr>
              <w:spacing w:after="0"/>
              <w:jc w:val="center"/>
              <w:rPr>
                <w:lang w:eastAsia="ja-JP"/>
              </w:rPr>
            </w:pPr>
            <w:r w:rsidRPr="00536CFD">
              <w:t>85.37</w:t>
            </w:r>
          </w:p>
        </w:tc>
        <w:tc>
          <w:tcPr>
            <w:tcW w:w="720" w:type="dxa"/>
          </w:tcPr>
          <w:p w14:paraId="00B2E04B" w14:textId="77777777" w:rsidR="009D4A93" w:rsidRPr="00536CFD" w:rsidRDefault="009D4A93" w:rsidP="009D4A93">
            <w:pPr>
              <w:spacing w:after="0"/>
              <w:jc w:val="center"/>
              <w:rPr>
                <w:lang w:eastAsia="ja-JP"/>
              </w:rPr>
            </w:pPr>
            <w:r w:rsidRPr="00536CFD">
              <w:t>77.13</w:t>
            </w:r>
          </w:p>
        </w:tc>
        <w:tc>
          <w:tcPr>
            <w:tcW w:w="810" w:type="dxa"/>
          </w:tcPr>
          <w:p w14:paraId="69533BBD" w14:textId="77777777" w:rsidR="009D4A93" w:rsidRPr="00536CFD" w:rsidRDefault="009D4A93" w:rsidP="009D4A93">
            <w:pPr>
              <w:spacing w:after="0"/>
              <w:jc w:val="center"/>
              <w:rPr>
                <w:lang w:eastAsia="ja-JP"/>
              </w:rPr>
            </w:pPr>
          </w:p>
        </w:tc>
        <w:tc>
          <w:tcPr>
            <w:tcW w:w="810" w:type="dxa"/>
          </w:tcPr>
          <w:p w14:paraId="3927BF18" w14:textId="77777777" w:rsidR="009D4A93" w:rsidRPr="00536CFD" w:rsidRDefault="009D4A93" w:rsidP="009D4A93">
            <w:pPr>
              <w:spacing w:after="0"/>
              <w:jc w:val="center"/>
              <w:rPr>
                <w:lang w:eastAsia="ja-JP"/>
              </w:rPr>
            </w:pPr>
            <w:r w:rsidRPr="00536CFD">
              <w:t>53.70</w:t>
            </w:r>
          </w:p>
        </w:tc>
        <w:tc>
          <w:tcPr>
            <w:tcW w:w="820" w:type="dxa"/>
          </w:tcPr>
          <w:p w14:paraId="44DABD35" w14:textId="77777777" w:rsidR="009D4A93" w:rsidRPr="00536CFD" w:rsidRDefault="009D4A93" w:rsidP="009D4A93">
            <w:pPr>
              <w:spacing w:after="0"/>
              <w:jc w:val="center"/>
              <w:rPr>
                <w:lang w:eastAsia="ja-JP"/>
              </w:rPr>
            </w:pPr>
            <w:r w:rsidRPr="00536CFD">
              <w:t>71.39</w:t>
            </w:r>
          </w:p>
        </w:tc>
        <w:tc>
          <w:tcPr>
            <w:tcW w:w="800" w:type="dxa"/>
          </w:tcPr>
          <w:p w14:paraId="16996AA8" w14:textId="77777777" w:rsidR="009D4A93" w:rsidRPr="00536CFD" w:rsidRDefault="009D4A93" w:rsidP="009D4A93">
            <w:pPr>
              <w:spacing w:after="0"/>
              <w:jc w:val="center"/>
              <w:rPr>
                <w:lang w:eastAsia="ja-JP"/>
              </w:rPr>
            </w:pPr>
            <w:r w:rsidRPr="00536CFD">
              <w:t>62.85</w:t>
            </w:r>
          </w:p>
        </w:tc>
        <w:tc>
          <w:tcPr>
            <w:tcW w:w="720" w:type="dxa"/>
          </w:tcPr>
          <w:p w14:paraId="169D5EB0" w14:textId="77777777" w:rsidR="009D4A93" w:rsidRPr="00536CFD" w:rsidRDefault="009D4A93" w:rsidP="009D4A93">
            <w:pPr>
              <w:spacing w:after="0"/>
              <w:jc w:val="center"/>
              <w:rPr>
                <w:lang w:eastAsia="ja-JP"/>
              </w:rPr>
            </w:pPr>
          </w:p>
        </w:tc>
        <w:tc>
          <w:tcPr>
            <w:tcW w:w="724" w:type="dxa"/>
          </w:tcPr>
          <w:p w14:paraId="2E464D7F" w14:textId="77777777" w:rsidR="009D4A93" w:rsidRPr="00536CFD" w:rsidRDefault="009D4A93" w:rsidP="009D4A93">
            <w:pPr>
              <w:spacing w:after="0"/>
              <w:jc w:val="center"/>
              <w:rPr>
                <w:lang w:eastAsia="ja-JP"/>
              </w:rPr>
            </w:pPr>
            <w:r w:rsidRPr="00536CFD">
              <w:t>28.86</w:t>
            </w:r>
          </w:p>
        </w:tc>
        <w:tc>
          <w:tcPr>
            <w:tcW w:w="896" w:type="dxa"/>
          </w:tcPr>
          <w:p w14:paraId="5A17C685" w14:textId="77777777" w:rsidR="009D4A93" w:rsidRPr="00536CFD" w:rsidRDefault="009D4A93" w:rsidP="009D4A93">
            <w:pPr>
              <w:spacing w:after="0"/>
              <w:jc w:val="center"/>
              <w:rPr>
                <w:lang w:eastAsia="ja-JP"/>
              </w:rPr>
            </w:pPr>
            <w:r w:rsidRPr="00536CFD">
              <w:t>52.97</w:t>
            </w:r>
          </w:p>
        </w:tc>
        <w:tc>
          <w:tcPr>
            <w:tcW w:w="720" w:type="dxa"/>
          </w:tcPr>
          <w:p w14:paraId="5D27BDCC" w14:textId="77777777" w:rsidR="009D4A93" w:rsidRPr="00536CFD" w:rsidRDefault="009D4A93" w:rsidP="009D4A93">
            <w:pPr>
              <w:spacing w:after="0"/>
              <w:jc w:val="center"/>
              <w:rPr>
                <w:lang w:eastAsia="ja-JP"/>
              </w:rPr>
            </w:pPr>
            <w:r w:rsidRPr="00536CFD">
              <w:t>43.53</w:t>
            </w:r>
          </w:p>
        </w:tc>
        <w:tc>
          <w:tcPr>
            <w:tcW w:w="720" w:type="dxa"/>
          </w:tcPr>
          <w:p w14:paraId="58A92103" w14:textId="77777777" w:rsidR="009D4A93" w:rsidRPr="00536CFD" w:rsidRDefault="009D4A93" w:rsidP="009D4A93">
            <w:pPr>
              <w:spacing w:after="0"/>
              <w:jc w:val="center"/>
              <w:rPr>
                <w:lang w:eastAsia="ja-JP"/>
              </w:rPr>
            </w:pPr>
          </w:p>
        </w:tc>
      </w:tr>
      <w:tr w:rsidR="009D4A93" w:rsidRPr="00536CFD" w14:paraId="754260A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1A2FF11"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651FED24" w14:textId="77777777" w:rsidR="009D4A93" w:rsidRPr="00536CFD" w:rsidRDefault="009D4A93" w:rsidP="009D4A93">
            <w:pPr>
              <w:spacing w:after="0"/>
              <w:jc w:val="center"/>
            </w:pPr>
            <w:r w:rsidRPr="00536CFD">
              <w:t>UL:</w:t>
            </w:r>
          </w:p>
          <w:p w14:paraId="14D9603D" w14:textId="77777777" w:rsidR="009D4A93" w:rsidRPr="00536CFD" w:rsidRDefault="009D4A93" w:rsidP="009D4A93">
            <w:pPr>
              <w:spacing w:after="0"/>
              <w:jc w:val="center"/>
            </w:pPr>
            <w:r w:rsidRPr="00536CFD">
              <w:t>Delay CDF</w:t>
            </w:r>
          </w:p>
          <w:p w14:paraId="724DC12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[s]</w:t>
            </w:r>
          </w:p>
        </w:tc>
        <w:tc>
          <w:tcPr>
            <w:tcW w:w="400" w:type="dxa"/>
            <w:tcBorders>
              <w:top w:val="single" w:sz="4" w:space="0" w:color="auto"/>
              <w:left w:val="nil"/>
              <w:bottom w:val="single" w:sz="4" w:space="0" w:color="auto"/>
              <w:right w:val="single" w:sz="4" w:space="0" w:color="auto"/>
            </w:tcBorders>
            <w:shd w:val="clear" w:color="auto" w:fill="auto"/>
          </w:tcPr>
          <w:p w14:paraId="2BF7C97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w:t>
            </w:r>
          </w:p>
        </w:tc>
        <w:tc>
          <w:tcPr>
            <w:tcW w:w="714" w:type="dxa"/>
          </w:tcPr>
          <w:p w14:paraId="5BF89B0B" w14:textId="77777777" w:rsidR="009D4A93" w:rsidRPr="00536CFD" w:rsidRDefault="009D4A93" w:rsidP="009D4A93">
            <w:pPr>
              <w:spacing w:after="0"/>
              <w:jc w:val="center"/>
              <w:rPr>
                <w:lang w:eastAsia="ja-JP"/>
              </w:rPr>
            </w:pPr>
            <w:r w:rsidRPr="00536CFD">
              <w:t>0.036</w:t>
            </w:r>
          </w:p>
        </w:tc>
        <w:tc>
          <w:tcPr>
            <w:tcW w:w="720" w:type="dxa"/>
          </w:tcPr>
          <w:p w14:paraId="6B60D367" w14:textId="77777777" w:rsidR="009D4A93" w:rsidRPr="00536CFD" w:rsidRDefault="009D4A93" w:rsidP="009D4A93">
            <w:pPr>
              <w:spacing w:after="0"/>
              <w:jc w:val="center"/>
              <w:rPr>
                <w:lang w:eastAsia="ja-JP"/>
              </w:rPr>
            </w:pPr>
            <w:r w:rsidRPr="00536CFD">
              <w:t>0.034</w:t>
            </w:r>
          </w:p>
        </w:tc>
        <w:tc>
          <w:tcPr>
            <w:tcW w:w="720" w:type="dxa"/>
          </w:tcPr>
          <w:p w14:paraId="7C9B1186" w14:textId="77777777" w:rsidR="009D4A93" w:rsidRPr="00536CFD" w:rsidRDefault="009D4A93" w:rsidP="009D4A93">
            <w:pPr>
              <w:spacing w:after="0"/>
              <w:jc w:val="center"/>
              <w:rPr>
                <w:lang w:eastAsia="ja-JP"/>
              </w:rPr>
            </w:pPr>
            <w:r w:rsidRPr="00536CFD">
              <w:t>0.036</w:t>
            </w:r>
          </w:p>
        </w:tc>
        <w:tc>
          <w:tcPr>
            <w:tcW w:w="810" w:type="dxa"/>
          </w:tcPr>
          <w:p w14:paraId="63FC2C4D" w14:textId="77777777" w:rsidR="009D4A93" w:rsidRPr="00536CFD" w:rsidRDefault="009D4A93" w:rsidP="009D4A93">
            <w:pPr>
              <w:spacing w:after="0"/>
              <w:jc w:val="center"/>
              <w:rPr>
                <w:lang w:eastAsia="ja-JP"/>
              </w:rPr>
            </w:pPr>
          </w:p>
        </w:tc>
        <w:tc>
          <w:tcPr>
            <w:tcW w:w="810" w:type="dxa"/>
          </w:tcPr>
          <w:p w14:paraId="5C3C7218" w14:textId="77777777" w:rsidR="009D4A93" w:rsidRPr="00536CFD" w:rsidRDefault="009D4A93" w:rsidP="009D4A93">
            <w:pPr>
              <w:spacing w:after="0"/>
              <w:jc w:val="center"/>
              <w:rPr>
                <w:lang w:eastAsia="ja-JP"/>
              </w:rPr>
            </w:pPr>
            <w:r w:rsidRPr="00536CFD">
              <w:t>0.059</w:t>
            </w:r>
          </w:p>
        </w:tc>
        <w:tc>
          <w:tcPr>
            <w:tcW w:w="820" w:type="dxa"/>
          </w:tcPr>
          <w:p w14:paraId="15F1E0AF" w14:textId="77777777" w:rsidR="009D4A93" w:rsidRPr="00536CFD" w:rsidRDefault="009D4A93" w:rsidP="009D4A93">
            <w:pPr>
              <w:spacing w:after="0"/>
              <w:jc w:val="center"/>
              <w:rPr>
                <w:lang w:eastAsia="ja-JP"/>
              </w:rPr>
            </w:pPr>
            <w:r w:rsidRPr="00536CFD">
              <w:t>0.041</w:t>
            </w:r>
          </w:p>
        </w:tc>
        <w:tc>
          <w:tcPr>
            <w:tcW w:w="800" w:type="dxa"/>
          </w:tcPr>
          <w:p w14:paraId="7B454481" w14:textId="77777777" w:rsidR="009D4A93" w:rsidRPr="00536CFD" w:rsidRDefault="009D4A93" w:rsidP="009D4A93">
            <w:pPr>
              <w:spacing w:after="0"/>
              <w:jc w:val="center"/>
              <w:rPr>
                <w:lang w:eastAsia="ja-JP"/>
              </w:rPr>
            </w:pPr>
            <w:r w:rsidRPr="00536CFD">
              <w:t>0.057</w:t>
            </w:r>
          </w:p>
        </w:tc>
        <w:tc>
          <w:tcPr>
            <w:tcW w:w="720" w:type="dxa"/>
          </w:tcPr>
          <w:p w14:paraId="2B620C24" w14:textId="77777777" w:rsidR="009D4A93" w:rsidRPr="00536CFD" w:rsidRDefault="009D4A93" w:rsidP="009D4A93">
            <w:pPr>
              <w:spacing w:after="0"/>
              <w:jc w:val="center"/>
              <w:rPr>
                <w:lang w:eastAsia="ja-JP"/>
              </w:rPr>
            </w:pPr>
          </w:p>
        </w:tc>
        <w:tc>
          <w:tcPr>
            <w:tcW w:w="724" w:type="dxa"/>
          </w:tcPr>
          <w:p w14:paraId="6B787D8B" w14:textId="77777777" w:rsidR="009D4A93" w:rsidRPr="00536CFD" w:rsidRDefault="009D4A93" w:rsidP="009D4A93">
            <w:pPr>
              <w:spacing w:after="0"/>
              <w:jc w:val="center"/>
              <w:rPr>
                <w:lang w:eastAsia="ja-JP"/>
              </w:rPr>
            </w:pPr>
            <w:r w:rsidRPr="00536CFD">
              <w:t>0.092</w:t>
            </w:r>
          </w:p>
        </w:tc>
        <w:tc>
          <w:tcPr>
            <w:tcW w:w="896" w:type="dxa"/>
          </w:tcPr>
          <w:p w14:paraId="08752DBE" w14:textId="77777777" w:rsidR="009D4A93" w:rsidRPr="00536CFD" w:rsidRDefault="009D4A93" w:rsidP="009D4A93">
            <w:pPr>
              <w:spacing w:after="0"/>
              <w:jc w:val="center"/>
              <w:rPr>
                <w:lang w:eastAsia="ja-JP"/>
              </w:rPr>
            </w:pPr>
            <w:r w:rsidRPr="00536CFD">
              <w:t>0.053</w:t>
            </w:r>
          </w:p>
        </w:tc>
        <w:tc>
          <w:tcPr>
            <w:tcW w:w="720" w:type="dxa"/>
          </w:tcPr>
          <w:p w14:paraId="12688966" w14:textId="77777777" w:rsidR="009D4A93" w:rsidRPr="00536CFD" w:rsidRDefault="009D4A93" w:rsidP="009D4A93">
            <w:pPr>
              <w:spacing w:after="0"/>
              <w:jc w:val="center"/>
              <w:rPr>
                <w:lang w:eastAsia="ja-JP"/>
              </w:rPr>
            </w:pPr>
            <w:r w:rsidRPr="00536CFD">
              <w:t>0.235</w:t>
            </w:r>
          </w:p>
        </w:tc>
        <w:tc>
          <w:tcPr>
            <w:tcW w:w="720" w:type="dxa"/>
          </w:tcPr>
          <w:p w14:paraId="4F6BCA72" w14:textId="77777777" w:rsidR="009D4A93" w:rsidRPr="00536CFD" w:rsidRDefault="009D4A93" w:rsidP="009D4A93">
            <w:pPr>
              <w:spacing w:after="0"/>
              <w:jc w:val="center"/>
              <w:rPr>
                <w:lang w:eastAsia="ja-JP"/>
              </w:rPr>
            </w:pPr>
          </w:p>
        </w:tc>
      </w:tr>
      <w:tr w:rsidR="009D4A93" w:rsidRPr="00536CFD" w14:paraId="5D45714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E8421A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E0B8B6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BEF23A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50%</w:t>
            </w:r>
          </w:p>
        </w:tc>
        <w:tc>
          <w:tcPr>
            <w:tcW w:w="714" w:type="dxa"/>
          </w:tcPr>
          <w:p w14:paraId="403719ED" w14:textId="77777777" w:rsidR="009D4A93" w:rsidRPr="00536CFD" w:rsidRDefault="009D4A93" w:rsidP="009D4A93">
            <w:pPr>
              <w:spacing w:after="0"/>
              <w:jc w:val="center"/>
              <w:rPr>
                <w:lang w:eastAsia="ja-JP"/>
              </w:rPr>
            </w:pPr>
            <w:r w:rsidRPr="00536CFD">
              <w:t>0.092</w:t>
            </w:r>
          </w:p>
        </w:tc>
        <w:tc>
          <w:tcPr>
            <w:tcW w:w="720" w:type="dxa"/>
          </w:tcPr>
          <w:p w14:paraId="1CEA80A7" w14:textId="77777777" w:rsidR="009D4A93" w:rsidRPr="00536CFD" w:rsidRDefault="009D4A93" w:rsidP="009D4A93">
            <w:pPr>
              <w:spacing w:after="0"/>
              <w:jc w:val="center"/>
              <w:rPr>
                <w:lang w:eastAsia="ja-JP"/>
              </w:rPr>
            </w:pPr>
            <w:r w:rsidRPr="00536CFD">
              <w:t>0.051</w:t>
            </w:r>
          </w:p>
        </w:tc>
        <w:tc>
          <w:tcPr>
            <w:tcW w:w="720" w:type="dxa"/>
          </w:tcPr>
          <w:p w14:paraId="6B563B31" w14:textId="77777777" w:rsidR="009D4A93" w:rsidRPr="00536CFD" w:rsidRDefault="009D4A93" w:rsidP="009D4A93">
            <w:pPr>
              <w:spacing w:after="0"/>
              <w:jc w:val="center"/>
              <w:rPr>
                <w:lang w:eastAsia="ja-JP"/>
              </w:rPr>
            </w:pPr>
            <w:r w:rsidRPr="00536CFD">
              <w:t>0.066</w:t>
            </w:r>
          </w:p>
        </w:tc>
        <w:tc>
          <w:tcPr>
            <w:tcW w:w="810" w:type="dxa"/>
          </w:tcPr>
          <w:p w14:paraId="6629AD4D" w14:textId="77777777" w:rsidR="009D4A93" w:rsidRPr="00536CFD" w:rsidRDefault="009D4A93" w:rsidP="009D4A93">
            <w:pPr>
              <w:spacing w:after="0"/>
              <w:jc w:val="center"/>
              <w:rPr>
                <w:lang w:eastAsia="ja-JP"/>
              </w:rPr>
            </w:pPr>
          </w:p>
        </w:tc>
        <w:tc>
          <w:tcPr>
            <w:tcW w:w="810" w:type="dxa"/>
          </w:tcPr>
          <w:p w14:paraId="67EA4F64" w14:textId="77777777" w:rsidR="009D4A93" w:rsidRPr="00536CFD" w:rsidRDefault="009D4A93" w:rsidP="009D4A93">
            <w:pPr>
              <w:spacing w:after="0"/>
              <w:jc w:val="center"/>
              <w:rPr>
                <w:lang w:eastAsia="ja-JP"/>
              </w:rPr>
            </w:pPr>
            <w:r w:rsidRPr="00536CFD">
              <w:t>0.478</w:t>
            </w:r>
          </w:p>
        </w:tc>
        <w:tc>
          <w:tcPr>
            <w:tcW w:w="820" w:type="dxa"/>
          </w:tcPr>
          <w:p w14:paraId="22F4A92A" w14:textId="77777777" w:rsidR="009D4A93" w:rsidRPr="00536CFD" w:rsidRDefault="009D4A93" w:rsidP="009D4A93">
            <w:pPr>
              <w:spacing w:after="0"/>
              <w:jc w:val="center"/>
              <w:rPr>
                <w:lang w:eastAsia="ja-JP"/>
              </w:rPr>
            </w:pPr>
            <w:r w:rsidRPr="00536CFD">
              <w:t>0.117</w:t>
            </w:r>
          </w:p>
        </w:tc>
        <w:tc>
          <w:tcPr>
            <w:tcW w:w="800" w:type="dxa"/>
          </w:tcPr>
          <w:p w14:paraId="1F0A7113" w14:textId="77777777" w:rsidR="009D4A93" w:rsidRPr="00536CFD" w:rsidRDefault="009D4A93" w:rsidP="009D4A93">
            <w:pPr>
              <w:spacing w:after="0"/>
              <w:jc w:val="center"/>
              <w:rPr>
                <w:lang w:eastAsia="ja-JP"/>
              </w:rPr>
            </w:pPr>
            <w:r w:rsidRPr="00536CFD">
              <w:t>0.486</w:t>
            </w:r>
          </w:p>
        </w:tc>
        <w:tc>
          <w:tcPr>
            <w:tcW w:w="720" w:type="dxa"/>
          </w:tcPr>
          <w:p w14:paraId="6EA09DF2" w14:textId="77777777" w:rsidR="009D4A93" w:rsidRPr="00536CFD" w:rsidRDefault="009D4A93" w:rsidP="009D4A93">
            <w:pPr>
              <w:spacing w:after="0"/>
              <w:jc w:val="center"/>
              <w:rPr>
                <w:lang w:eastAsia="ja-JP"/>
              </w:rPr>
            </w:pPr>
          </w:p>
        </w:tc>
        <w:tc>
          <w:tcPr>
            <w:tcW w:w="724" w:type="dxa"/>
          </w:tcPr>
          <w:p w14:paraId="22D84806" w14:textId="77777777" w:rsidR="009D4A93" w:rsidRPr="00536CFD" w:rsidRDefault="009D4A93" w:rsidP="009D4A93">
            <w:pPr>
              <w:spacing w:after="0"/>
              <w:jc w:val="center"/>
              <w:rPr>
                <w:lang w:eastAsia="ja-JP"/>
              </w:rPr>
            </w:pPr>
            <w:r w:rsidRPr="00536CFD">
              <w:t>0.820</w:t>
            </w:r>
          </w:p>
        </w:tc>
        <w:tc>
          <w:tcPr>
            <w:tcW w:w="896" w:type="dxa"/>
          </w:tcPr>
          <w:p w14:paraId="5E4FD270" w14:textId="77777777" w:rsidR="009D4A93" w:rsidRPr="00536CFD" w:rsidRDefault="009D4A93" w:rsidP="009D4A93">
            <w:pPr>
              <w:spacing w:after="0"/>
              <w:jc w:val="center"/>
              <w:rPr>
                <w:lang w:eastAsia="ja-JP"/>
              </w:rPr>
            </w:pPr>
            <w:r w:rsidRPr="00536CFD">
              <w:t>0.265</w:t>
            </w:r>
          </w:p>
        </w:tc>
        <w:tc>
          <w:tcPr>
            <w:tcW w:w="720" w:type="dxa"/>
          </w:tcPr>
          <w:p w14:paraId="3748FEBC" w14:textId="77777777" w:rsidR="009D4A93" w:rsidRPr="00536CFD" w:rsidRDefault="009D4A93" w:rsidP="009D4A93">
            <w:pPr>
              <w:spacing w:after="0"/>
              <w:jc w:val="center"/>
              <w:rPr>
                <w:lang w:eastAsia="ja-JP"/>
              </w:rPr>
            </w:pPr>
            <w:r w:rsidRPr="00536CFD">
              <w:t>1.305</w:t>
            </w:r>
          </w:p>
        </w:tc>
        <w:tc>
          <w:tcPr>
            <w:tcW w:w="720" w:type="dxa"/>
          </w:tcPr>
          <w:p w14:paraId="0661494B" w14:textId="77777777" w:rsidR="009D4A93" w:rsidRPr="00536CFD" w:rsidRDefault="009D4A93" w:rsidP="009D4A93">
            <w:pPr>
              <w:spacing w:after="0"/>
              <w:jc w:val="center"/>
              <w:rPr>
                <w:lang w:eastAsia="ja-JP"/>
              </w:rPr>
            </w:pPr>
          </w:p>
        </w:tc>
      </w:tr>
      <w:tr w:rsidR="009D4A93" w:rsidRPr="00536CFD" w14:paraId="3123565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C18738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61142894"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D65944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95%</w:t>
            </w:r>
          </w:p>
        </w:tc>
        <w:tc>
          <w:tcPr>
            <w:tcW w:w="714" w:type="dxa"/>
          </w:tcPr>
          <w:p w14:paraId="1CF536F7" w14:textId="77777777" w:rsidR="009D4A93" w:rsidRPr="00536CFD" w:rsidRDefault="009D4A93" w:rsidP="009D4A93">
            <w:pPr>
              <w:spacing w:after="0"/>
              <w:jc w:val="center"/>
              <w:rPr>
                <w:lang w:eastAsia="ja-JP"/>
              </w:rPr>
            </w:pPr>
            <w:r w:rsidRPr="00536CFD">
              <w:t>1.147</w:t>
            </w:r>
          </w:p>
        </w:tc>
        <w:tc>
          <w:tcPr>
            <w:tcW w:w="720" w:type="dxa"/>
          </w:tcPr>
          <w:p w14:paraId="064A61CC" w14:textId="77777777" w:rsidR="009D4A93" w:rsidRPr="00536CFD" w:rsidRDefault="009D4A93" w:rsidP="009D4A93">
            <w:pPr>
              <w:spacing w:after="0"/>
              <w:jc w:val="center"/>
              <w:rPr>
                <w:lang w:eastAsia="ja-JP"/>
              </w:rPr>
            </w:pPr>
            <w:r w:rsidRPr="00536CFD">
              <w:t>0.172</w:t>
            </w:r>
          </w:p>
        </w:tc>
        <w:tc>
          <w:tcPr>
            <w:tcW w:w="720" w:type="dxa"/>
          </w:tcPr>
          <w:p w14:paraId="6E968E32" w14:textId="77777777" w:rsidR="009D4A93" w:rsidRPr="00536CFD" w:rsidRDefault="009D4A93" w:rsidP="009D4A93">
            <w:pPr>
              <w:spacing w:after="0"/>
              <w:jc w:val="center"/>
              <w:rPr>
                <w:lang w:eastAsia="ja-JP"/>
              </w:rPr>
            </w:pPr>
            <w:r w:rsidRPr="00536CFD">
              <w:t>0.210</w:t>
            </w:r>
          </w:p>
        </w:tc>
        <w:tc>
          <w:tcPr>
            <w:tcW w:w="810" w:type="dxa"/>
          </w:tcPr>
          <w:p w14:paraId="20DA121F" w14:textId="77777777" w:rsidR="009D4A93" w:rsidRPr="00536CFD" w:rsidRDefault="009D4A93" w:rsidP="009D4A93">
            <w:pPr>
              <w:spacing w:after="0"/>
              <w:jc w:val="center"/>
              <w:rPr>
                <w:lang w:eastAsia="ja-JP"/>
              </w:rPr>
            </w:pPr>
          </w:p>
        </w:tc>
        <w:tc>
          <w:tcPr>
            <w:tcW w:w="810" w:type="dxa"/>
          </w:tcPr>
          <w:p w14:paraId="68F5EFC6" w14:textId="77777777" w:rsidR="009D4A93" w:rsidRPr="00536CFD" w:rsidRDefault="009D4A93" w:rsidP="009D4A93">
            <w:pPr>
              <w:spacing w:after="0"/>
              <w:jc w:val="center"/>
              <w:rPr>
                <w:lang w:eastAsia="ja-JP"/>
              </w:rPr>
            </w:pPr>
            <w:r w:rsidRPr="00536CFD">
              <w:t>4.177</w:t>
            </w:r>
          </w:p>
        </w:tc>
        <w:tc>
          <w:tcPr>
            <w:tcW w:w="820" w:type="dxa"/>
          </w:tcPr>
          <w:p w14:paraId="3DFC67D4" w14:textId="77777777" w:rsidR="009D4A93" w:rsidRPr="00536CFD" w:rsidRDefault="009D4A93" w:rsidP="009D4A93">
            <w:pPr>
              <w:spacing w:after="0"/>
              <w:jc w:val="center"/>
              <w:rPr>
                <w:lang w:eastAsia="ja-JP"/>
              </w:rPr>
            </w:pPr>
            <w:r w:rsidRPr="00536CFD">
              <w:t>0.782</w:t>
            </w:r>
          </w:p>
        </w:tc>
        <w:tc>
          <w:tcPr>
            <w:tcW w:w="800" w:type="dxa"/>
          </w:tcPr>
          <w:p w14:paraId="1728153F" w14:textId="77777777" w:rsidR="009D4A93" w:rsidRPr="00536CFD" w:rsidRDefault="009D4A93" w:rsidP="009D4A93">
            <w:pPr>
              <w:spacing w:after="0"/>
              <w:jc w:val="center"/>
              <w:rPr>
                <w:lang w:eastAsia="ja-JP"/>
              </w:rPr>
            </w:pPr>
            <w:r w:rsidRPr="00536CFD">
              <w:t>1.625</w:t>
            </w:r>
          </w:p>
        </w:tc>
        <w:tc>
          <w:tcPr>
            <w:tcW w:w="720" w:type="dxa"/>
          </w:tcPr>
          <w:p w14:paraId="77C3D492" w14:textId="77777777" w:rsidR="009D4A93" w:rsidRPr="00536CFD" w:rsidRDefault="009D4A93" w:rsidP="009D4A93">
            <w:pPr>
              <w:spacing w:after="0"/>
              <w:jc w:val="center"/>
              <w:rPr>
                <w:lang w:eastAsia="ja-JP"/>
              </w:rPr>
            </w:pPr>
          </w:p>
        </w:tc>
        <w:tc>
          <w:tcPr>
            <w:tcW w:w="724" w:type="dxa"/>
          </w:tcPr>
          <w:p w14:paraId="2EBED835" w14:textId="77777777" w:rsidR="009D4A93" w:rsidRPr="00536CFD" w:rsidRDefault="009D4A93" w:rsidP="009D4A93">
            <w:pPr>
              <w:spacing w:after="0"/>
              <w:jc w:val="center"/>
              <w:rPr>
                <w:lang w:eastAsia="ja-JP"/>
              </w:rPr>
            </w:pPr>
            <w:r w:rsidRPr="00536CFD">
              <w:t>7.586</w:t>
            </w:r>
          </w:p>
        </w:tc>
        <w:tc>
          <w:tcPr>
            <w:tcW w:w="896" w:type="dxa"/>
          </w:tcPr>
          <w:p w14:paraId="6A7923C5" w14:textId="77777777" w:rsidR="009D4A93" w:rsidRPr="00536CFD" w:rsidRDefault="009D4A93" w:rsidP="009D4A93">
            <w:pPr>
              <w:spacing w:after="0"/>
              <w:jc w:val="center"/>
              <w:rPr>
                <w:lang w:eastAsia="ja-JP"/>
              </w:rPr>
            </w:pPr>
            <w:r w:rsidRPr="00536CFD">
              <w:t>1.784</w:t>
            </w:r>
          </w:p>
        </w:tc>
        <w:tc>
          <w:tcPr>
            <w:tcW w:w="720" w:type="dxa"/>
          </w:tcPr>
          <w:p w14:paraId="445E3773" w14:textId="77777777" w:rsidR="009D4A93" w:rsidRPr="00536CFD" w:rsidRDefault="009D4A93" w:rsidP="009D4A93">
            <w:pPr>
              <w:spacing w:after="0"/>
              <w:jc w:val="center"/>
              <w:rPr>
                <w:lang w:eastAsia="ja-JP"/>
              </w:rPr>
            </w:pPr>
            <w:r w:rsidRPr="00536CFD">
              <w:t>4.950</w:t>
            </w:r>
          </w:p>
        </w:tc>
        <w:tc>
          <w:tcPr>
            <w:tcW w:w="720" w:type="dxa"/>
          </w:tcPr>
          <w:p w14:paraId="6D820C6B" w14:textId="77777777" w:rsidR="009D4A93" w:rsidRPr="00536CFD" w:rsidRDefault="009D4A93" w:rsidP="009D4A93">
            <w:pPr>
              <w:spacing w:after="0"/>
              <w:jc w:val="center"/>
              <w:rPr>
                <w:lang w:eastAsia="ja-JP"/>
              </w:rPr>
            </w:pPr>
          </w:p>
        </w:tc>
      </w:tr>
      <w:tr w:rsidR="009D4A93" w:rsidRPr="00536CFD" w14:paraId="5AD8D84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3B3153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841331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785128CE"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Mean</w:t>
            </w:r>
          </w:p>
        </w:tc>
        <w:tc>
          <w:tcPr>
            <w:tcW w:w="714" w:type="dxa"/>
          </w:tcPr>
          <w:p w14:paraId="5C975CFF" w14:textId="77777777" w:rsidR="009D4A93" w:rsidRPr="00536CFD" w:rsidRDefault="009D4A93" w:rsidP="009D4A93">
            <w:pPr>
              <w:spacing w:after="0"/>
              <w:jc w:val="center"/>
              <w:rPr>
                <w:lang w:eastAsia="ja-JP"/>
              </w:rPr>
            </w:pPr>
            <w:r w:rsidRPr="00536CFD">
              <w:t>0.377</w:t>
            </w:r>
          </w:p>
        </w:tc>
        <w:tc>
          <w:tcPr>
            <w:tcW w:w="720" w:type="dxa"/>
          </w:tcPr>
          <w:p w14:paraId="35D78DB6" w14:textId="77777777" w:rsidR="009D4A93" w:rsidRPr="00536CFD" w:rsidRDefault="009D4A93" w:rsidP="009D4A93">
            <w:pPr>
              <w:spacing w:after="0"/>
              <w:jc w:val="center"/>
              <w:rPr>
                <w:lang w:eastAsia="ja-JP"/>
              </w:rPr>
            </w:pPr>
            <w:r w:rsidRPr="00536CFD">
              <w:t>0.088</w:t>
            </w:r>
          </w:p>
        </w:tc>
        <w:tc>
          <w:tcPr>
            <w:tcW w:w="720" w:type="dxa"/>
          </w:tcPr>
          <w:p w14:paraId="29644840" w14:textId="77777777" w:rsidR="009D4A93" w:rsidRPr="00536CFD" w:rsidRDefault="009D4A93" w:rsidP="009D4A93">
            <w:pPr>
              <w:spacing w:after="0"/>
              <w:jc w:val="center"/>
              <w:rPr>
                <w:lang w:eastAsia="ja-JP"/>
              </w:rPr>
            </w:pPr>
            <w:r w:rsidRPr="00536CFD">
              <w:t>0.105</w:t>
            </w:r>
          </w:p>
        </w:tc>
        <w:tc>
          <w:tcPr>
            <w:tcW w:w="810" w:type="dxa"/>
          </w:tcPr>
          <w:p w14:paraId="07347D85" w14:textId="77777777" w:rsidR="009D4A93" w:rsidRPr="00536CFD" w:rsidRDefault="009D4A93" w:rsidP="009D4A93">
            <w:pPr>
              <w:spacing w:after="0"/>
              <w:jc w:val="center"/>
              <w:rPr>
                <w:lang w:eastAsia="ja-JP"/>
              </w:rPr>
            </w:pPr>
          </w:p>
        </w:tc>
        <w:tc>
          <w:tcPr>
            <w:tcW w:w="810" w:type="dxa"/>
          </w:tcPr>
          <w:p w14:paraId="03C008A0" w14:textId="77777777" w:rsidR="009D4A93" w:rsidRPr="00536CFD" w:rsidRDefault="009D4A93" w:rsidP="009D4A93">
            <w:pPr>
              <w:spacing w:after="0"/>
              <w:jc w:val="center"/>
              <w:rPr>
                <w:lang w:eastAsia="ja-JP"/>
              </w:rPr>
            </w:pPr>
            <w:r w:rsidRPr="00536CFD">
              <w:t>1.556</w:t>
            </w:r>
          </w:p>
        </w:tc>
        <w:tc>
          <w:tcPr>
            <w:tcW w:w="820" w:type="dxa"/>
          </w:tcPr>
          <w:p w14:paraId="7917832A" w14:textId="77777777" w:rsidR="009D4A93" w:rsidRPr="00536CFD" w:rsidRDefault="009D4A93" w:rsidP="009D4A93">
            <w:pPr>
              <w:spacing w:after="0"/>
              <w:jc w:val="center"/>
              <w:rPr>
                <w:lang w:eastAsia="ja-JP"/>
              </w:rPr>
            </w:pPr>
            <w:r w:rsidRPr="00536CFD">
              <w:t>0.287</w:t>
            </w:r>
          </w:p>
        </w:tc>
        <w:tc>
          <w:tcPr>
            <w:tcW w:w="800" w:type="dxa"/>
          </w:tcPr>
          <w:p w14:paraId="160FE66F" w14:textId="77777777" w:rsidR="009D4A93" w:rsidRPr="00536CFD" w:rsidRDefault="009D4A93" w:rsidP="009D4A93">
            <w:pPr>
              <w:spacing w:after="0"/>
              <w:jc w:val="center"/>
              <w:rPr>
                <w:lang w:eastAsia="ja-JP"/>
              </w:rPr>
            </w:pPr>
            <w:r w:rsidRPr="00536CFD">
              <w:t>0.733</w:t>
            </w:r>
          </w:p>
        </w:tc>
        <w:tc>
          <w:tcPr>
            <w:tcW w:w="720" w:type="dxa"/>
          </w:tcPr>
          <w:p w14:paraId="7B07F3AE" w14:textId="77777777" w:rsidR="009D4A93" w:rsidRPr="00536CFD" w:rsidRDefault="009D4A93" w:rsidP="009D4A93">
            <w:pPr>
              <w:spacing w:after="0"/>
              <w:jc w:val="center"/>
              <w:rPr>
                <w:lang w:eastAsia="ja-JP"/>
              </w:rPr>
            </w:pPr>
          </w:p>
        </w:tc>
        <w:tc>
          <w:tcPr>
            <w:tcW w:w="724" w:type="dxa"/>
          </w:tcPr>
          <w:p w14:paraId="7B1C65B9" w14:textId="77777777" w:rsidR="009D4A93" w:rsidRPr="00536CFD" w:rsidRDefault="009D4A93" w:rsidP="009D4A93">
            <w:pPr>
              <w:spacing w:after="0"/>
              <w:jc w:val="center"/>
              <w:rPr>
                <w:lang w:eastAsia="ja-JP"/>
              </w:rPr>
            </w:pPr>
            <w:r w:rsidRPr="00536CFD">
              <w:t>2.565</w:t>
            </w:r>
          </w:p>
        </w:tc>
        <w:tc>
          <w:tcPr>
            <w:tcW w:w="896" w:type="dxa"/>
          </w:tcPr>
          <w:p w14:paraId="0B7772CE" w14:textId="77777777" w:rsidR="009D4A93" w:rsidRPr="00536CFD" w:rsidRDefault="009D4A93" w:rsidP="009D4A93">
            <w:pPr>
              <w:spacing w:after="0"/>
              <w:jc w:val="center"/>
              <w:rPr>
                <w:lang w:eastAsia="ja-JP"/>
              </w:rPr>
            </w:pPr>
            <w:r w:rsidRPr="00536CFD">
              <w:t>0.717</w:t>
            </w:r>
          </w:p>
        </w:tc>
        <w:tc>
          <w:tcPr>
            <w:tcW w:w="720" w:type="dxa"/>
          </w:tcPr>
          <w:p w14:paraId="007C0169" w14:textId="77777777" w:rsidR="009D4A93" w:rsidRPr="00536CFD" w:rsidRDefault="009D4A93" w:rsidP="009D4A93">
            <w:pPr>
              <w:spacing w:after="0"/>
              <w:jc w:val="center"/>
              <w:rPr>
                <w:lang w:eastAsia="ja-JP"/>
              </w:rPr>
            </w:pPr>
            <w:r w:rsidRPr="00536CFD">
              <w:t>2.140</w:t>
            </w:r>
          </w:p>
        </w:tc>
        <w:tc>
          <w:tcPr>
            <w:tcW w:w="720" w:type="dxa"/>
          </w:tcPr>
          <w:p w14:paraId="304ED1F1" w14:textId="77777777" w:rsidR="009D4A93" w:rsidRPr="00536CFD" w:rsidRDefault="009D4A93" w:rsidP="009D4A93">
            <w:pPr>
              <w:spacing w:after="0"/>
              <w:jc w:val="center"/>
              <w:rPr>
                <w:lang w:eastAsia="ja-JP"/>
              </w:rPr>
            </w:pPr>
          </w:p>
        </w:tc>
      </w:tr>
      <w:tr w:rsidR="009D4A93" w:rsidRPr="00536CFD" w14:paraId="17398D8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BED0274"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5E83ED36"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Pr>
          <w:p w14:paraId="06301EFE" w14:textId="77777777" w:rsidR="009D4A93" w:rsidRPr="00536CFD" w:rsidRDefault="009D4A93" w:rsidP="009D4A93">
            <w:pPr>
              <w:spacing w:after="0"/>
              <w:jc w:val="center"/>
              <w:rPr>
                <w:lang w:eastAsia="ja-JP"/>
              </w:rPr>
            </w:pPr>
            <w:r w:rsidRPr="00536CFD">
              <w:t>97%</w:t>
            </w:r>
          </w:p>
        </w:tc>
        <w:tc>
          <w:tcPr>
            <w:tcW w:w="720" w:type="dxa"/>
          </w:tcPr>
          <w:p w14:paraId="7F2198BD" w14:textId="77777777" w:rsidR="009D4A93" w:rsidRPr="00536CFD" w:rsidRDefault="009D4A93" w:rsidP="009D4A93">
            <w:pPr>
              <w:spacing w:after="0"/>
              <w:jc w:val="center"/>
              <w:rPr>
                <w:lang w:eastAsia="ja-JP"/>
              </w:rPr>
            </w:pPr>
            <w:r w:rsidRPr="00536CFD">
              <w:t>100%</w:t>
            </w:r>
          </w:p>
        </w:tc>
        <w:tc>
          <w:tcPr>
            <w:tcW w:w="720" w:type="dxa"/>
          </w:tcPr>
          <w:p w14:paraId="46ED79C7" w14:textId="77777777" w:rsidR="009D4A93" w:rsidRPr="00536CFD" w:rsidRDefault="009D4A93" w:rsidP="009D4A93">
            <w:pPr>
              <w:spacing w:after="0"/>
              <w:jc w:val="center"/>
              <w:rPr>
                <w:lang w:eastAsia="ja-JP"/>
              </w:rPr>
            </w:pPr>
            <w:r w:rsidRPr="00536CFD">
              <w:t>100%</w:t>
            </w:r>
          </w:p>
        </w:tc>
        <w:tc>
          <w:tcPr>
            <w:tcW w:w="810" w:type="dxa"/>
          </w:tcPr>
          <w:p w14:paraId="1F65AF85" w14:textId="77777777" w:rsidR="009D4A93" w:rsidRPr="00536CFD" w:rsidRDefault="009D4A93" w:rsidP="009D4A93">
            <w:pPr>
              <w:spacing w:after="0"/>
              <w:jc w:val="center"/>
              <w:rPr>
                <w:lang w:eastAsia="ja-JP"/>
              </w:rPr>
            </w:pPr>
          </w:p>
        </w:tc>
        <w:tc>
          <w:tcPr>
            <w:tcW w:w="810" w:type="dxa"/>
          </w:tcPr>
          <w:p w14:paraId="1B0B4E32" w14:textId="77777777" w:rsidR="009D4A93" w:rsidRPr="00536CFD" w:rsidRDefault="009D4A93" w:rsidP="009D4A93">
            <w:pPr>
              <w:spacing w:after="0"/>
              <w:jc w:val="center"/>
              <w:rPr>
                <w:lang w:eastAsia="ja-JP"/>
              </w:rPr>
            </w:pPr>
            <w:r w:rsidRPr="00536CFD">
              <w:t>81%</w:t>
            </w:r>
          </w:p>
        </w:tc>
        <w:tc>
          <w:tcPr>
            <w:tcW w:w="820" w:type="dxa"/>
          </w:tcPr>
          <w:p w14:paraId="1BC39594" w14:textId="77777777" w:rsidR="009D4A93" w:rsidRPr="00536CFD" w:rsidRDefault="009D4A93" w:rsidP="009D4A93">
            <w:pPr>
              <w:spacing w:after="0"/>
              <w:jc w:val="center"/>
              <w:rPr>
                <w:lang w:eastAsia="ja-JP"/>
              </w:rPr>
            </w:pPr>
            <w:r w:rsidRPr="00536CFD">
              <w:t>97%</w:t>
            </w:r>
          </w:p>
        </w:tc>
        <w:tc>
          <w:tcPr>
            <w:tcW w:w="800" w:type="dxa"/>
          </w:tcPr>
          <w:p w14:paraId="394E1832" w14:textId="77777777" w:rsidR="009D4A93" w:rsidRPr="00536CFD" w:rsidRDefault="009D4A93" w:rsidP="009D4A93">
            <w:pPr>
              <w:spacing w:after="0"/>
              <w:jc w:val="center"/>
              <w:rPr>
                <w:lang w:eastAsia="ja-JP"/>
              </w:rPr>
            </w:pPr>
            <w:r w:rsidRPr="00536CFD">
              <w:t>97%</w:t>
            </w:r>
          </w:p>
        </w:tc>
        <w:tc>
          <w:tcPr>
            <w:tcW w:w="720" w:type="dxa"/>
          </w:tcPr>
          <w:p w14:paraId="0403104F" w14:textId="77777777" w:rsidR="009D4A93" w:rsidRPr="00536CFD" w:rsidRDefault="009D4A93" w:rsidP="009D4A93">
            <w:pPr>
              <w:spacing w:after="0"/>
              <w:jc w:val="center"/>
              <w:rPr>
                <w:lang w:eastAsia="ja-JP"/>
              </w:rPr>
            </w:pPr>
          </w:p>
        </w:tc>
        <w:tc>
          <w:tcPr>
            <w:tcW w:w="724" w:type="dxa"/>
          </w:tcPr>
          <w:p w14:paraId="04954786" w14:textId="77777777" w:rsidR="009D4A93" w:rsidRPr="00536CFD" w:rsidRDefault="009D4A93" w:rsidP="009D4A93">
            <w:pPr>
              <w:spacing w:after="0"/>
              <w:jc w:val="center"/>
              <w:rPr>
                <w:lang w:eastAsia="ja-JP"/>
              </w:rPr>
            </w:pPr>
            <w:r w:rsidRPr="00536CFD">
              <w:t>65%</w:t>
            </w:r>
          </w:p>
        </w:tc>
        <w:tc>
          <w:tcPr>
            <w:tcW w:w="896" w:type="dxa"/>
          </w:tcPr>
          <w:p w14:paraId="6DE58238" w14:textId="77777777" w:rsidR="009D4A93" w:rsidRPr="00536CFD" w:rsidRDefault="009D4A93" w:rsidP="009D4A93">
            <w:pPr>
              <w:spacing w:after="0"/>
              <w:jc w:val="center"/>
              <w:rPr>
                <w:lang w:eastAsia="ja-JP"/>
              </w:rPr>
            </w:pPr>
            <w:r w:rsidRPr="00536CFD">
              <w:t>90%</w:t>
            </w:r>
          </w:p>
        </w:tc>
        <w:tc>
          <w:tcPr>
            <w:tcW w:w="720" w:type="dxa"/>
          </w:tcPr>
          <w:p w14:paraId="18C1946F" w14:textId="77777777" w:rsidR="009D4A93" w:rsidRPr="00536CFD" w:rsidRDefault="009D4A93" w:rsidP="009D4A93">
            <w:pPr>
              <w:spacing w:after="0"/>
              <w:jc w:val="center"/>
              <w:rPr>
                <w:lang w:eastAsia="ja-JP"/>
              </w:rPr>
            </w:pPr>
            <w:r w:rsidRPr="00536CFD">
              <w:t>90%</w:t>
            </w:r>
          </w:p>
        </w:tc>
        <w:tc>
          <w:tcPr>
            <w:tcW w:w="720" w:type="dxa"/>
          </w:tcPr>
          <w:p w14:paraId="556823FD" w14:textId="77777777" w:rsidR="009D4A93" w:rsidRPr="00536CFD" w:rsidRDefault="009D4A93" w:rsidP="009D4A93">
            <w:pPr>
              <w:spacing w:after="0"/>
              <w:jc w:val="center"/>
              <w:rPr>
                <w:lang w:eastAsia="ja-JP"/>
              </w:rPr>
            </w:pPr>
          </w:p>
        </w:tc>
      </w:tr>
      <w:tr w:rsidR="009D4A93" w:rsidRPr="00536CFD" w14:paraId="0734593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5F868F7"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5DF802D"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Pr>
          <w:p w14:paraId="1A45443F" w14:textId="77777777" w:rsidR="009D4A93" w:rsidRPr="00536CFD" w:rsidRDefault="009D4A93" w:rsidP="009D4A93">
            <w:pPr>
              <w:spacing w:after="0"/>
              <w:jc w:val="center"/>
              <w:rPr>
                <w:lang w:eastAsia="ja-JP"/>
              </w:rPr>
            </w:pPr>
            <w:r w:rsidRPr="00536CFD">
              <w:t>98%</w:t>
            </w:r>
          </w:p>
        </w:tc>
        <w:tc>
          <w:tcPr>
            <w:tcW w:w="720" w:type="dxa"/>
          </w:tcPr>
          <w:p w14:paraId="6E57EF23" w14:textId="77777777" w:rsidR="009D4A93" w:rsidRPr="00536CFD" w:rsidRDefault="009D4A93" w:rsidP="009D4A93">
            <w:pPr>
              <w:spacing w:after="0"/>
              <w:jc w:val="center"/>
              <w:rPr>
                <w:lang w:eastAsia="ja-JP"/>
              </w:rPr>
            </w:pPr>
            <w:r w:rsidRPr="00536CFD">
              <w:t>100%</w:t>
            </w:r>
          </w:p>
        </w:tc>
        <w:tc>
          <w:tcPr>
            <w:tcW w:w="720" w:type="dxa"/>
          </w:tcPr>
          <w:p w14:paraId="3E7E1224" w14:textId="77777777" w:rsidR="009D4A93" w:rsidRPr="00536CFD" w:rsidRDefault="009D4A93" w:rsidP="009D4A93">
            <w:pPr>
              <w:spacing w:after="0"/>
              <w:jc w:val="center"/>
              <w:rPr>
                <w:lang w:eastAsia="ja-JP"/>
              </w:rPr>
            </w:pPr>
            <w:r w:rsidRPr="00536CFD">
              <w:t>100%</w:t>
            </w:r>
          </w:p>
        </w:tc>
        <w:tc>
          <w:tcPr>
            <w:tcW w:w="810" w:type="dxa"/>
          </w:tcPr>
          <w:p w14:paraId="058AD5CF" w14:textId="77777777" w:rsidR="009D4A93" w:rsidRPr="00536CFD" w:rsidRDefault="009D4A93" w:rsidP="009D4A93">
            <w:pPr>
              <w:spacing w:after="0"/>
              <w:jc w:val="center"/>
              <w:rPr>
                <w:lang w:eastAsia="ja-JP"/>
              </w:rPr>
            </w:pPr>
          </w:p>
        </w:tc>
        <w:tc>
          <w:tcPr>
            <w:tcW w:w="810" w:type="dxa"/>
          </w:tcPr>
          <w:p w14:paraId="3A391ACD" w14:textId="77777777" w:rsidR="009D4A93" w:rsidRPr="00536CFD" w:rsidRDefault="009D4A93" w:rsidP="009D4A93">
            <w:pPr>
              <w:spacing w:after="0"/>
              <w:jc w:val="center"/>
              <w:rPr>
                <w:lang w:eastAsia="ja-JP"/>
              </w:rPr>
            </w:pPr>
            <w:r w:rsidRPr="00536CFD">
              <w:t>86%</w:t>
            </w:r>
          </w:p>
        </w:tc>
        <w:tc>
          <w:tcPr>
            <w:tcW w:w="820" w:type="dxa"/>
          </w:tcPr>
          <w:p w14:paraId="3BC5F195" w14:textId="77777777" w:rsidR="009D4A93" w:rsidRPr="00536CFD" w:rsidRDefault="009D4A93" w:rsidP="009D4A93">
            <w:pPr>
              <w:spacing w:after="0"/>
              <w:jc w:val="center"/>
              <w:rPr>
                <w:lang w:eastAsia="ja-JP"/>
              </w:rPr>
            </w:pPr>
            <w:r w:rsidRPr="00536CFD">
              <w:t>98%</w:t>
            </w:r>
          </w:p>
        </w:tc>
        <w:tc>
          <w:tcPr>
            <w:tcW w:w="800" w:type="dxa"/>
          </w:tcPr>
          <w:p w14:paraId="33D1A311" w14:textId="77777777" w:rsidR="009D4A93" w:rsidRPr="00536CFD" w:rsidRDefault="009D4A93" w:rsidP="009D4A93">
            <w:pPr>
              <w:spacing w:after="0"/>
              <w:jc w:val="center"/>
              <w:rPr>
                <w:lang w:eastAsia="ja-JP"/>
              </w:rPr>
            </w:pPr>
            <w:r w:rsidRPr="00536CFD">
              <w:t>95%</w:t>
            </w:r>
          </w:p>
        </w:tc>
        <w:tc>
          <w:tcPr>
            <w:tcW w:w="720" w:type="dxa"/>
          </w:tcPr>
          <w:p w14:paraId="0C699706" w14:textId="77777777" w:rsidR="009D4A93" w:rsidRPr="00536CFD" w:rsidRDefault="009D4A93" w:rsidP="009D4A93">
            <w:pPr>
              <w:spacing w:after="0"/>
              <w:jc w:val="center"/>
              <w:rPr>
                <w:lang w:eastAsia="ja-JP"/>
              </w:rPr>
            </w:pPr>
          </w:p>
        </w:tc>
        <w:tc>
          <w:tcPr>
            <w:tcW w:w="724" w:type="dxa"/>
          </w:tcPr>
          <w:p w14:paraId="49D37E79" w14:textId="77777777" w:rsidR="009D4A93" w:rsidRPr="00536CFD" w:rsidRDefault="009D4A93" w:rsidP="009D4A93">
            <w:pPr>
              <w:spacing w:after="0"/>
              <w:jc w:val="center"/>
              <w:rPr>
                <w:lang w:eastAsia="ja-JP"/>
              </w:rPr>
            </w:pPr>
            <w:r w:rsidRPr="00536CFD">
              <w:t>74%</w:t>
            </w:r>
          </w:p>
        </w:tc>
        <w:tc>
          <w:tcPr>
            <w:tcW w:w="896" w:type="dxa"/>
          </w:tcPr>
          <w:p w14:paraId="51A7B1C3" w14:textId="77777777" w:rsidR="009D4A93" w:rsidRPr="00536CFD" w:rsidRDefault="009D4A93" w:rsidP="009D4A93">
            <w:pPr>
              <w:spacing w:after="0"/>
              <w:jc w:val="center"/>
              <w:rPr>
                <w:lang w:eastAsia="ja-JP"/>
              </w:rPr>
            </w:pPr>
            <w:r w:rsidRPr="00536CFD">
              <w:t>95%</w:t>
            </w:r>
          </w:p>
        </w:tc>
        <w:tc>
          <w:tcPr>
            <w:tcW w:w="720" w:type="dxa"/>
          </w:tcPr>
          <w:p w14:paraId="295B5C75" w14:textId="77777777" w:rsidR="009D4A93" w:rsidRPr="00536CFD" w:rsidRDefault="009D4A93" w:rsidP="009D4A93">
            <w:pPr>
              <w:spacing w:after="0"/>
              <w:jc w:val="center"/>
              <w:rPr>
                <w:lang w:eastAsia="ja-JP"/>
              </w:rPr>
            </w:pPr>
            <w:r w:rsidRPr="00536CFD">
              <w:t>80%</w:t>
            </w:r>
          </w:p>
        </w:tc>
        <w:tc>
          <w:tcPr>
            <w:tcW w:w="720" w:type="dxa"/>
          </w:tcPr>
          <w:p w14:paraId="30F6CD72" w14:textId="77777777" w:rsidR="009D4A93" w:rsidRPr="00536CFD" w:rsidRDefault="009D4A93" w:rsidP="009D4A93">
            <w:pPr>
              <w:spacing w:after="0"/>
              <w:jc w:val="center"/>
              <w:rPr>
                <w:lang w:eastAsia="ja-JP"/>
              </w:rPr>
            </w:pPr>
          </w:p>
        </w:tc>
      </w:tr>
      <w:tr w:rsidR="009D4A93" w:rsidRPr="00536CFD" w14:paraId="1DA477D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E4E9147"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72840E3"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sz w:val="20"/>
                <w:szCs w:val="20"/>
              </w:rPr>
              <w:t>BO</w:t>
            </w:r>
          </w:p>
        </w:tc>
        <w:tc>
          <w:tcPr>
            <w:tcW w:w="714" w:type="dxa"/>
          </w:tcPr>
          <w:p w14:paraId="4E4E141D" w14:textId="77777777" w:rsidR="009D4A93" w:rsidRPr="00536CFD" w:rsidRDefault="009D4A93" w:rsidP="009D4A93">
            <w:pPr>
              <w:spacing w:after="0"/>
              <w:jc w:val="center"/>
              <w:rPr>
                <w:lang w:eastAsia="ja-JP"/>
              </w:rPr>
            </w:pPr>
            <w:r w:rsidRPr="00536CFD">
              <w:t>10%</w:t>
            </w:r>
          </w:p>
        </w:tc>
        <w:tc>
          <w:tcPr>
            <w:tcW w:w="720" w:type="dxa"/>
          </w:tcPr>
          <w:p w14:paraId="24667999" w14:textId="77777777" w:rsidR="009D4A93" w:rsidRPr="00536CFD" w:rsidRDefault="009D4A93" w:rsidP="009D4A93">
            <w:pPr>
              <w:spacing w:after="0"/>
              <w:jc w:val="center"/>
              <w:rPr>
                <w:lang w:eastAsia="ja-JP"/>
              </w:rPr>
            </w:pPr>
            <w:r w:rsidRPr="00536CFD">
              <w:t>6.2%</w:t>
            </w:r>
          </w:p>
        </w:tc>
        <w:tc>
          <w:tcPr>
            <w:tcW w:w="720" w:type="dxa"/>
          </w:tcPr>
          <w:p w14:paraId="0A53ACFD" w14:textId="77777777" w:rsidR="009D4A93" w:rsidRPr="00536CFD" w:rsidRDefault="009D4A93" w:rsidP="009D4A93">
            <w:pPr>
              <w:spacing w:after="0"/>
              <w:jc w:val="center"/>
              <w:rPr>
                <w:lang w:eastAsia="ja-JP"/>
              </w:rPr>
            </w:pPr>
            <w:r w:rsidRPr="00536CFD">
              <w:t>6.4%</w:t>
            </w:r>
          </w:p>
        </w:tc>
        <w:tc>
          <w:tcPr>
            <w:tcW w:w="810" w:type="dxa"/>
          </w:tcPr>
          <w:p w14:paraId="4720278C" w14:textId="77777777" w:rsidR="009D4A93" w:rsidRPr="00536CFD" w:rsidRDefault="009D4A93" w:rsidP="009D4A93">
            <w:pPr>
              <w:spacing w:after="0"/>
              <w:jc w:val="center"/>
              <w:rPr>
                <w:lang w:eastAsia="ja-JP"/>
              </w:rPr>
            </w:pPr>
          </w:p>
        </w:tc>
        <w:tc>
          <w:tcPr>
            <w:tcW w:w="810" w:type="dxa"/>
          </w:tcPr>
          <w:p w14:paraId="379A0432" w14:textId="77777777" w:rsidR="009D4A93" w:rsidRPr="00536CFD" w:rsidRDefault="009D4A93" w:rsidP="009D4A93">
            <w:pPr>
              <w:spacing w:after="0"/>
              <w:jc w:val="center"/>
              <w:rPr>
                <w:lang w:eastAsia="ja-JP"/>
              </w:rPr>
            </w:pPr>
            <w:r w:rsidRPr="00536CFD">
              <w:t>35%</w:t>
            </w:r>
          </w:p>
        </w:tc>
        <w:tc>
          <w:tcPr>
            <w:tcW w:w="820" w:type="dxa"/>
          </w:tcPr>
          <w:p w14:paraId="2A9FBFF1" w14:textId="77777777" w:rsidR="009D4A93" w:rsidRPr="00536CFD" w:rsidRDefault="009D4A93" w:rsidP="009D4A93">
            <w:pPr>
              <w:spacing w:after="0"/>
              <w:jc w:val="center"/>
              <w:rPr>
                <w:lang w:eastAsia="ja-JP"/>
              </w:rPr>
            </w:pPr>
            <w:r w:rsidRPr="00536CFD">
              <w:t>16%</w:t>
            </w:r>
          </w:p>
        </w:tc>
        <w:tc>
          <w:tcPr>
            <w:tcW w:w="800" w:type="dxa"/>
          </w:tcPr>
          <w:p w14:paraId="4D9348DB" w14:textId="77777777" w:rsidR="009D4A93" w:rsidRPr="00536CFD" w:rsidRDefault="009D4A93" w:rsidP="009D4A93">
            <w:pPr>
              <w:spacing w:after="0"/>
              <w:jc w:val="center"/>
              <w:rPr>
                <w:lang w:eastAsia="ja-JP"/>
              </w:rPr>
            </w:pPr>
            <w:r w:rsidRPr="00536CFD">
              <w:t>16%</w:t>
            </w:r>
          </w:p>
        </w:tc>
        <w:tc>
          <w:tcPr>
            <w:tcW w:w="720" w:type="dxa"/>
          </w:tcPr>
          <w:p w14:paraId="265EDE44" w14:textId="77777777" w:rsidR="009D4A93" w:rsidRPr="00536CFD" w:rsidRDefault="009D4A93" w:rsidP="009D4A93">
            <w:pPr>
              <w:spacing w:after="0"/>
              <w:jc w:val="center"/>
              <w:rPr>
                <w:lang w:eastAsia="ja-JP"/>
              </w:rPr>
            </w:pPr>
          </w:p>
        </w:tc>
        <w:tc>
          <w:tcPr>
            <w:tcW w:w="724" w:type="dxa"/>
          </w:tcPr>
          <w:p w14:paraId="20818EFA" w14:textId="77777777" w:rsidR="009D4A93" w:rsidRPr="00536CFD" w:rsidRDefault="009D4A93" w:rsidP="009D4A93">
            <w:pPr>
              <w:spacing w:after="0"/>
              <w:jc w:val="center"/>
              <w:rPr>
                <w:lang w:eastAsia="ja-JP"/>
              </w:rPr>
            </w:pPr>
            <w:r w:rsidRPr="00536CFD">
              <w:t>60%</w:t>
            </w:r>
          </w:p>
        </w:tc>
        <w:tc>
          <w:tcPr>
            <w:tcW w:w="896" w:type="dxa"/>
          </w:tcPr>
          <w:p w14:paraId="2556D01C" w14:textId="77777777" w:rsidR="009D4A93" w:rsidRPr="00536CFD" w:rsidRDefault="009D4A93" w:rsidP="009D4A93">
            <w:pPr>
              <w:spacing w:after="0"/>
              <w:jc w:val="center"/>
              <w:rPr>
                <w:lang w:eastAsia="ja-JP"/>
              </w:rPr>
            </w:pPr>
            <w:r w:rsidRPr="00536CFD">
              <w:t>33%</w:t>
            </w:r>
          </w:p>
        </w:tc>
        <w:tc>
          <w:tcPr>
            <w:tcW w:w="720" w:type="dxa"/>
          </w:tcPr>
          <w:p w14:paraId="0E7A79FF" w14:textId="77777777" w:rsidR="009D4A93" w:rsidRPr="00536CFD" w:rsidRDefault="009D4A93" w:rsidP="009D4A93">
            <w:pPr>
              <w:spacing w:after="0"/>
              <w:jc w:val="center"/>
              <w:rPr>
                <w:lang w:eastAsia="ja-JP"/>
              </w:rPr>
            </w:pPr>
            <w:r w:rsidRPr="00536CFD">
              <w:t>34%</w:t>
            </w:r>
          </w:p>
        </w:tc>
        <w:tc>
          <w:tcPr>
            <w:tcW w:w="720" w:type="dxa"/>
          </w:tcPr>
          <w:p w14:paraId="0BA6EB7B" w14:textId="77777777" w:rsidR="009D4A93" w:rsidRPr="00536CFD" w:rsidRDefault="009D4A93" w:rsidP="009D4A93">
            <w:pPr>
              <w:spacing w:after="0"/>
              <w:jc w:val="center"/>
              <w:rPr>
                <w:lang w:eastAsia="ja-JP"/>
              </w:rPr>
            </w:pPr>
          </w:p>
        </w:tc>
      </w:tr>
      <w:tr w:rsidR="009D4A93" w:rsidRPr="00536CFD" w14:paraId="6214E218"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997639A"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FD4F09F"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Pr>
          <w:p w14:paraId="371FF042" w14:textId="77777777" w:rsidR="009D4A93" w:rsidRPr="00536CFD" w:rsidRDefault="009D4A93" w:rsidP="009D4A93">
            <w:pPr>
              <w:spacing w:after="0"/>
              <w:jc w:val="center"/>
              <w:rPr>
                <w:lang w:eastAsia="ja-JP"/>
              </w:rPr>
            </w:pPr>
            <w:r w:rsidRPr="00536CFD">
              <w:t>0.19 file/s</w:t>
            </w:r>
          </w:p>
        </w:tc>
        <w:tc>
          <w:tcPr>
            <w:tcW w:w="3150" w:type="dxa"/>
            <w:gridSpan w:val="4"/>
          </w:tcPr>
          <w:p w14:paraId="5F50EE6A" w14:textId="77777777" w:rsidR="009D4A93" w:rsidRPr="00536CFD" w:rsidRDefault="009D4A93" w:rsidP="009D4A93">
            <w:pPr>
              <w:spacing w:after="0"/>
              <w:jc w:val="center"/>
              <w:rPr>
                <w:lang w:eastAsia="ja-JP"/>
              </w:rPr>
            </w:pPr>
            <w:r w:rsidRPr="00536CFD">
              <w:t>0.29 file/s</w:t>
            </w:r>
          </w:p>
        </w:tc>
        <w:tc>
          <w:tcPr>
            <w:tcW w:w="3060" w:type="dxa"/>
            <w:gridSpan w:val="4"/>
          </w:tcPr>
          <w:p w14:paraId="3ED73B90" w14:textId="77777777" w:rsidR="009D4A93" w:rsidRPr="00536CFD" w:rsidRDefault="009D4A93" w:rsidP="009D4A93">
            <w:pPr>
              <w:spacing w:after="0"/>
              <w:jc w:val="center"/>
              <w:rPr>
                <w:lang w:eastAsia="ja-JP"/>
              </w:rPr>
            </w:pPr>
            <w:r w:rsidRPr="00536CFD">
              <w:t>0.37 file/s</w:t>
            </w:r>
          </w:p>
        </w:tc>
      </w:tr>
      <w:tr w:rsidR="009D4A93" w:rsidRPr="00536CFD" w14:paraId="44B5C60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632AA4E"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70BC4847" w14:textId="77777777" w:rsidR="009D4A93" w:rsidRPr="00536CFD" w:rsidRDefault="009D4A93" w:rsidP="009D4A93">
            <w:pPr>
              <w:spacing w:after="0" w:line="360" w:lineRule="auto"/>
              <w:contextualSpacing/>
              <w:rPr>
                <w:lang w:val="en-US" w:bidi="ar"/>
              </w:rPr>
            </w:pPr>
          </w:p>
        </w:tc>
        <w:tc>
          <w:tcPr>
            <w:tcW w:w="9174" w:type="dxa"/>
            <w:gridSpan w:val="12"/>
          </w:tcPr>
          <w:p w14:paraId="022DB2C0" w14:textId="77777777" w:rsidR="009D4A93" w:rsidRPr="00536CFD" w:rsidRDefault="009D4A93" w:rsidP="009D4A93">
            <w:pPr>
              <w:pStyle w:val="ResTable"/>
              <w:jc w:val="left"/>
              <w:rPr>
                <w:rFonts w:ascii="Times New Roman" w:hAnsi="Times New Roman" w:cs="Times New Roman"/>
                <w:sz w:val="20"/>
                <w:szCs w:val="20"/>
              </w:rPr>
            </w:pPr>
            <w:r w:rsidRPr="00536CFD">
              <w:rPr>
                <w:rFonts w:ascii="Times New Roman" w:hAnsi="Times New Roman" w:cs="Times New Roman"/>
                <w:sz w:val="20"/>
                <w:szCs w:val="20"/>
              </w:rPr>
              <w:t xml:space="preserve">Additional comments: </w:t>
            </w:r>
          </w:p>
          <w:p w14:paraId="2E2F130B" w14:textId="77777777" w:rsidR="009D4A93" w:rsidRPr="00536CFD" w:rsidRDefault="009D4A93" w:rsidP="009D4A93">
            <w:pPr>
              <w:spacing w:after="0"/>
            </w:pPr>
            <w:r w:rsidRPr="00536CFD">
              <w:rPr>
                <w:b/>
                <w:bCs/>
                <w:lang w:eastAsia="sv-SE"/>
              </w:rPr>
              <w:t>Simulation setup:</w:t>
            </w:r>
            <w:r w:rsidRPr="00536CFD">
              <w:rPr>
                <w:lang w:eastAsia="sv-SE"/>
              </w:rPr>
              <w:t xml:space="preserve"> NR-U indoor scenario, 50/50 DL/UL traffics. </w:t>
            </w:r>
            <w:r w:rsidRPr="00536CFD">
              <w:br/>
            </w:r>
            <w:r w:rsidRPr="00536CFD">
              <w:rPr>
                <w:b/>
                <w:bCs/>
              </w:rPr>
              <w:t>Common assumptions:</w:t>
            </w:r>
            <w:r w:rsidRPr="00536CFD">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ED threshold  -72dBm, SCS 30kHz, UE processing time capability #1, PUSCH mapping Type A, PDSCH mapping Type B, PDCCH monitoring every 1OS, Scheduling: proportional fair, self-scheduling. COT sharing enabled (gNB initiated COT).</w:t>
            </w:r>
          </w:p>
          <w:p w14:paraId="5EFA55AD" w14:textId="77777777" w:rsidR="009D4A93" w:rsidRPr="00536CFD" w:rsidRDefault="009D4A93" w:rsidP="009D4A93">
            <w:pPr>
              <w:spacing w:after="0"/>
              <w:rPr>
                <w:lang w:eastAsia="ja-JP"/>
              </w:rPr>
            </w:pPr>
            <w:r w:rsidRPr="00536CFD">
              <w:rPr>
                <w:b/>
              </w:rPr>
              <w:t xml:space="preserve">Other assumption for NR-U:  </w:t>
            </w:r>
            <w:r w:rsidRPr="00536CFD">
              <w:rPr>
                <w:lang w:eastAsia="sv-SE"/>
              </w:rPr>
              <w:t>20% of the UL transmissions are UL RACH transmissions with 25us LBT</w:t>
            </w:r>
            <w:r w:rsidRPr="00536CFD">
              <w:t>.</w:t>
            </w:r>
          </w:p>
        </w:tc>
      </w:tr>
      <w:tr w:rsidR="009D4A93" w:rsidRPr="00536CFD" w14:paraId="2E36807A" w14:textId="77777777" w:rsidTr="009D4A93">
        <w:trPr>
          <w:cantSplit/>
          <w:trHeight w:val="22"/>
        </w:trPr>
        <w:tc>
          <w:tcPr>
            <w:tcW w:w="331" w:type="dxa"/>
            <w:vMerge w:val="restart"/>
            <w:tcBorders>
              <w:top w:val="nil"/>
              <w:left w:val="single" w:sz="4" w:space="0" w:color="auto"/>
              <w:bottom w:val="single" w:sz="4" w:space="0" w:color="auto"/>
              <w:right w:val="single" w:sz="4" w:space="0" w:color="auto"/>
            </w:tcBorders>
            <w:shd w:val="clear" w:color="auto" w:fill="auto"/>
            <w:textDirection w:val="btLr"/>
          </w:tcPr>
          <w:p w14:paraId="0C7B083C" w14:textId="77777777" w:rsidR="009D4A93" w:rsidRPr="00536CFD" w:rsidRDefault="009D4A93" w:rsidP="00536CFD">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1-1812556 / SOURCE 2</w:t>
            </w:r>
          </w:p>
        </w:tc>
        <w:tc>
          <w:tcPr>
            <w:tcW w:w="535" w:type="dxa"/>
            <w:vMerge w:val="restart"/>
            <w:tcBorders>
              <w:top w:val="nil"/>
              <w:left w:val="nil"/>
              <w:bottom w:val="single" w:sz="4" w:space="0" w:color="auto"/>
              <w:right w:val="single" w:sz="4" w:space="0" w:color="auto"/>
            </w:tcBorders>
            <w:shd w:val="clear" w:color="auto" w:fill="auto"/>
          </w:tcPr>
          <w:p w14:paraId="66F7ABC7"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4685E428" w14:textId="77777777" w:rsidR="009D4A93" w:rsidRPr="00536CFD" w:rsidRDefault="009D4A93" w:rsidP="00536CFD">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center"/>
          </w:tcPr>
          <w:p w14:paraId="198EBDD5" w14:textId="77777777" w:rsidR="009D4A93" w:rsidRPr="00536CFD" w:rsidRDefault="009D4A93" w:rsidP="00536CFD">
            <w:pPr>
              <w:pageBreakBefore/>
              <w:spacing w:after="0"/>
              <w:jc w:val="center"/>
              <w:rPr>
                <w:lang w:val="zh-CN"/>
              </w:rPr>
            </w:pPr>
            <w:r w:rsidRPr="00536CFD">
              <w:rPr>
                <w:lang w:val="zh-CN"/>
              </w:rPr>
              <w:t>18.268</w:t>
            </w:r>
          </w:p>
        </w:tc>
        <w:tc>
          <w:tcPr>
            <w:tcW w:w="720" w:type="dxa"/>
            <w:tcBorders>
              <w:top w:val="single" w:sz="4" w:space="0" w:color="auto"/>
              <w:left w:val="nil"/>
              <w:bottom w:val="single" w:sz="4" w:space="0" w:color="auto"/>
              <w:right w:val="single" w:sz="4" w:space="0" w:color="auto"/>
            </w:tcBorders>
            <w:shd w:val="clear" w:color="auto" w:fill="auto"/>
            <w:vAlign w:val="center"/>
          </w:tcPr>
          <w:p w14:paraId="14154C0E" w14:textId="77777777" w:rsidR="009D4A93" w:rsidRPr="00536CFD" w:rsidRDefault="009D4A93" w:rsidP="00536CFD">
            <w:pPr>
              <w:pageBreakBefore/>
              <w:spacing w:after="0"/>
              <w:jc w:val="center"/>
              <w:rPr>
                <w:lang w:val="zh-CN"/>
              </w:rPr>
            </w:pPr>
            <w:r w:rsidRPr="00536CFD">
              <w:rPr>
                <w:lang w:val="zh-CN"/>
              </w:rPr>
              <w:t>28.927</w:t>
            </w:r>
          </w:p>
        </w:tc>
        <w:tc>
          <w:tcPr>
            <w:tcW w:w="720" w:type="dxa"/>
            <w:tcBorders>
              <w:top w:val="single" w:sz="4" w:space="0" w:color="auto"/>
              <w:left w:val="nil"/>
              <w:bottom w:val="single" w:sz="4" w:space="0" w:color="auto"/>
              <w:right w:val="single" w:sz="4" w:space="0" w:color="auto"/>
            </w:tcBorders>
            <w:shd w:val="clear" w:color="auto" w:fill="auto"/>
            <w:vAlign w:val="center"/>
          </w:tcPr>
          <w:p w14:paraId="101366FE" w14:textId="77777777" w:rsidR="009D4A93" w:rsidRPr="00536CFD" w:rsidRDefault="009D4A93" w:rsidP="00536CFD">
            <w:pPr>
              <w:pageBreakBefore/>
              <w:spacing w:after="0"/>
              <w:jc w:val="center"/>
              <w:rPr>
                <w:lang w:val="zh-CN"/>
              </w:rPr>
            </w:pPr>
            <w:r w:rsidRPr="00536CFD">
              <w:rPr>
                <w:lang w:val="zh-CN"/>
              </w:rPr>
              <w:t>25.728</w:t>
            </w:r>
          </w:p>
        </w:tc>
        <w:tc>
          <w:tcPr>
            <w:tcW w:w="810" w:type="dxa"/>
            <w:tcBorders>
              <w:top w:val="single" w:sz="4" w:space="0" w:color="auto"/>
              <w:left w:val="nil"/>
              <w:bottom w:val="single" w:sz="4" w:space="0" w:color="auto"/>
              <w:right w:val="single" w:sz="4" w:space="0" w:color="auto"/>
            </w:tcBorders>
            <w:shd w:val="clear" w:color="auto" w:fill="auto"/>
          </w:tcPr>
          <w:p w14:paraId="5362D0B3" w14:textId="77777777" w:rsidR="009D4A93" w:rsidRPr="00536CFD" w:rsidRDefault="009D4A93" w:rsidP="00536CFD">
            <w:pPr>
              <w:pageBreakBefore/>
              <w:spacing w:after="0"/>
              <w:jc w:val="center"/>
              <w:rPr>
                <w:lang w:val="zh-CN"/>
              </w:rPr>
            </w:pPr>
            <w:r w:rsidRPr="00536CFD">
              <w:rPr>
                <w:lang w:val="zh-CN"/>
              </w:rPr>
              <w:t>54.975</w:t>
            </w:r>
          </w:p>
        </w:tc>
        <w:tc>
          <w:tcPr>
            <w:tcW w:w="810" w:type="dxa"/>
            <w:tcBorders>
              <w:top w:val="single" w:sz="4" w:space="0" w:color="auto"/>
              <w:left w:val="nil"/>
              <w:bottom w:val="single" w:sz="4" w:space="0" w:color="auto"/>
              <w:right w:val="single" w:sz="4" w:space="0" w:color="auto"/>
            </w:tcBorders>
            <w:shd w:val="clear" w:color="auto" w:fill="auto"/>
            <w:vAlign w:val="center"/>
          </w:tcPr>
          <w:p w14:paraId="10ED463C" w14:textId="77777777" w:rsidR="009D4A93" w:rsidRPr="00536CFD" w:rsidRDefault="009D4A93" w:rsidP="00536CFD">
            <w:pPr>
              <w:pageBreakBefore/>
              <w:spacing w:after="0"/>
              <w:jc w:val="center"/>
              <w:rPr>
                <w:lang w:val="zh-CN"/>
              </w:rPr>
            </w:pPr>
            <w:r w:rsidRPr="00536CFD">
              <w:rPr>
                <w:lang w:val="zh-CN"/>
              </w:rPr>
              <w:t>1.726</w:t>
            </w:r>
          </w:p>
        </w:tc>
        <w:tc>
          <w:tcPr>
            <w:tcW w:w="820" w:type="dxa"/>
            <w:tcBorders>
              <w:top w:val="single" w:sz="4" w:space="0" w:color="auto"/>
              <w:left w:val="nil"/>
              <w:bottom w:val="single" w:sz="4" w:space="0" w:color="auto"/>
              <w:right w:val="single" w:sz="4" w:space="0" w:color="auto"/>
            </w:tcBorders>
            <w:shd w:val="clear" w:color="auto" w:fill="auto"/>
            <w:vAlign w:val="center"/>
          </w:tcPr>
          <w:p w14:paraId="79AC3227" w14:textId="77777777" w:rsidR="009D4A93" w:rsidRPr="00536CFD" w:rsidRDefault="009D4A93" w:rsidP="00536CFD">
            <w:pPr>
              <w:pageBreakBefore/>
              <w:spacing w:after="0"/>
              <w:jc w:val="center"/>
              <w:rPr>
                <w:lang w:val="zh-CN"/>
              </w:rPr>
            </w:pPr>
            <w:r w:rsidRPr="00536CFD">
              <w:rPr>
                <w:lang w:val="zh-CN"/>
              </w:rPr>
              <w:t>17.915</w:t>
            </w:r>
          </w:p>
        </w:tc>
        <w:tc>
          <w:tcPr>
            <w:tcW w:w="800" w:type="dxa"/>
            <w:tcBorders>
              <w:top w:val="single" w:sz="4" w:space="0" w:color="auto"/>
              <w:left w:val="nil"/>
              <w:bottom w:val="single" w:sz="4" w:space="0" w:color="auto"/>
              <w:right w:val="single" w:sz="4" w:space="0" w:color="auto"/>
            </w:tcBorders>
            <w:shd w:val="clear" w:color="auto" w:fill="auto"/>
            <w:vAlign w:val="center"/>
          </w:tcPr>
          <w:p w14:paraId="5E0CF183" w14:textId="77777777" w:rsidR="009D4A93" w:rsidRPr="00536CFD" w:rsidRDefault="009D4A93" w:rsidP="00536CFD">
            <w:pPr>
              <w:pageBreakBefore/>
              <w:spacing w:after="0"/>
              <w:jc w:val="center"/>
              <w:rPr>
                <w:lang w:val="zh-CN"/>
              </w:rPr>
            </w:pPr>
            <w:r w:rsidRPr="00536CFD">
              <w:rPr>
                <w:lang w:val="zh-CN"/>
              </w:rPr>
              <w:t>16.285</w:t>
            </w:r>
          </w:p>
        </w:tc>
        <w:tc>
          <w:tcPr>
            <w:tcW w:w="720" w:type="dxa"/>
            <w:tcBorders>
              <w:top w:val="single" w:sz="4" w:space="0" w:color="auto"/>
              <w:left w:val="nil"/>
              <w:bottom w:val="single" w:sz="4" w:space="0" w:color="auto"/>
              <w:right w:val="single" w:sz="4" w:space="0" w:color="auto"/>
            </w:tcBorders>
            <w:shd w:val="clear" w:color="auto" w:fill="auto"/>
          </w:tcPr>
          <w:p w14:paraId="319A056F" w14:textId="77777777" w:rsidR="009D4A93" w:rsidRPr="00536CFD" w:rsidRDefault="009D4A93" w:rsidP="00536CFD">
            <w:pPr>
              <w:pageBreakBefore/>
              <w:spacing w:after="0"/>
              <w:jc w:val="center"/>
              <w:rPr>
                <w:lang w:val="zh-CN"/>
              </w:rPr>
            </w:pPr>
            <w:r w:rsidRPr="00536CFD">
              <w:rPr>
                <w:lang w:val="zh-CN"/>
              </w:rPr>
              <w:t>50.416</w:t>
            </w:r>
          </w:p>
        </w:tc>
        <w:tc>
          <w:tcPr>
            <w:tcW w:w="724" w:type="dxa"/>
            <w:tcBorders>
              <w:top w:val="single" w:sz="4" w:space="0" w:color="auto"/>
              <w:left w:val="nil"/>
              <w:bottom w:val="single" w:sz="4" w:space="0" w:color="auto"/>
              <w:right w:val="single" w:sz="4" w:space="0" w:color="auto"/>
            </w:tcBorders>
            <w:shd w:val="clear" w:color="auto" w:fill="auto"/>
            <w:vAlign w:val="center"/>
          </w:tcPr>
          <w:p w14:paraId="7CCF3ACD" w14:textId="77777777" w:rsidR="009D4A93" w:rsidRPr="00536CFD" w:rsidRDefault="009D4A93" w:rsidP="00536CFD">
            <w:pPr>
              <w:pageBreakBefore/>
              <w:spacing w:after="0"/>
              <w:jc w:val="center"/>
              <w:rPr>
                <w:lang w:val="zh-CN"/>
              </w:rPr>
            </w:pPr>
            <w:r w:rsidRPr="00536CFD">
              <w:rPr>
                <w:lang w:val="zh-CN"/>
              </w:rPr>
              <w:t>0.265</w:t>
            </w:r>
          </w:p>
        </w:tc>
        <w:tc>
          <w:tcPr>
            <w:tcW w:w="896" w:type="dxa"/>
            <w:tcBorders>
              <w:top w:val="single" w:sz="4" w:space="0" w:color="auto"/>
              <w:left w:val="nil"/>
              <w:bottom w:val="single" w:sz="4" w:space="0" w:color="auto"/>
              <w:right w:val="single" w:sz="4" w:space="0" w:color="auto"/>
            </w:tcBorders>
            <w:shd w:val="clear" w:color="auto" w:fill="auto"/>
            <w:vAlign w:val="center"/>
          </w:tcPr>
          <w:p w14:paraId="350FD59E" w14:textId="77777777" w:rsidR="009D4A93" w:rsidRPr="00536CFD" w:rsidRDefault="009D4A93" w:rsidP="00536CFD">
            <w:pPr>
              <w:pageBreakBefore/>
              <w:spacing w:after="0"/>
              <w:jc w:val="center"/>
              <w:rPr>
                <w:lang w:val="zh-CN"/>
              </w:rPr>
            </w:pPr>
            <w:r w:rsidRPr="00536CFD">
              <w:rPr>
                <w:lang w:val="zh-CN"/>
              </w:rPr>
              <w:t>9.445</w:t>
            </w:r>
          </w:p>
        </w:tc>
        <w:tc>
          <w:tcPr>
            <w:tcW w:w="720" w:type="dxa"/>
            <w:tcBorders>
              <w:top w:val="single" w:sz="4" w:space="0" w:color="auto"/>
              <w:left w:val="nil"/>
              <w:bottom w:val="single" w:sz="4" w:space="0" w:color="auto"/>
              <w:right w:val="single" w:sz="4" w:space="0" w:color="auto"/>
            </w:tcBorders>
            <w:shd w:val="clear" w:color="auto" w:fill="auto"/>
            <w:vAlign w:val="center"/>
          </w:tcPr>
          <w:p w14:paraId="3B82CDB7" w14:textId="77777777" w:rsidR="009D4A93" w:rsidRPr="00536CFD" w:rsidRDefault="009D4A93" w:rsidP="00536CFD">
            <w:pPr>
              <w:pageBreakBefore/>
              <w:spacing w:after="0"/>
              <w:jc w:val="center"/>
              <w:rPr>
                <w:lang w:val="zh-CN"/>
              </w:rPr>
            </w:pPr>
            <w:r w:rsidRPr="00536CFD">
              <w:rPr>
                <w:lang w:val="zh-CN"/>
              </w:rPr>
              <w:t>7.807</w:t>
            </w:r>
          </w:p>
        </w:tc>
        <w:tc>
          <w:tcPr>
            <w:tcW w:w="720" w:type="dxa"/>
            <w:tcBorders>
              <w:top w:val="single" w:sz="4" w:space="0" w:color="auto"/>
              <w:left w:val="nil"/>
              <w:bottom w:val="single" w:sz="4" w:space="0" w:color="auto"/>
              <w:right w:val="single" w:sz="4" w:space="0" w:color="auto"/>
            </w:tcBorders>
            <w:shd w:val="clear" w:color="auto" w:fill="auto"/>
          </w:tcPr>
          <w:p w14:paraId="241AAB9E" w14:textId="77777777" w:rsidR="009D4A93" w:rsidRPr="00536CFD" w:rsidRDefault="009D4A93" w:rsidP="00536CFD">
            <w:pPr>
              <w:pageBreakBefore/>
              <w:spacing w:after="0"/>
              <w:jc w:val="center"/>
              <w:rPr>
                <w:lang w:val="zh-CN"/>
              </w:rPr>
            </w:pPr>
            <w:r w:rsidRPr="00536CFD">
              <w:rPr>
                <w:lang w:val="zh-CN"/>
              </w:rPr>
              <w:t>46.640</w:t>
            </w:r>
          </w:p>
        </w:tc>
      </w:tr>
      <w:tr w:rsidR="009D4A93" w:rsidRPr="00536CFD" w14:paraId="229B2E4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BEB8502"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55AA2E1"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1273CA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center"/>
          </w:tcPr>
          <w:p w14:paraId="694F6F65" w14:textId="77777777" w:rsidR="009D4A93" w:rsidRPr="00536CFD" w:rsidRDefault="009D4A93" w:rsidP="009D4A93">
            <w:pPr>
              <w:spacing w:after="0"/>
              <w:jc w:val="center"/>
              <w:rPr>
                <w:lang w:val="zh-CN"/>
              </w:rPr>
            </w:pPr>
            <w:r w:rsidRPr="00536CFD">
              <w:rPr>
                <w:lang w:val="zh-CN"/>
              </w:rPr>
              <w:t>54.361</w:t>
            </w:r>
          </w:p>
        </w:tc>
        <w:tc>
          <w:tcPr>
            <w:tcW w:w="720" w:type="dxa"/>
            <w:tcBorders>
              <w:top w:val="single" w:sz="4" w:space="0" w:color="auto"/>
              <w:left w:val="nil"/>
              <w:bottom w:val="single" w:sz="4" w:space="0" w:color="auto"/>
              <w:right w:val="single" w:sz="4" w:space="0" w:color="auto"/>
            </w:tcBorders>
            <w:shd w:val="clear" w:color="auto" w:fill="auto"/>
            <w:vAlign w:val="center"/>
          </w:tcPr>
          <w:p w14:paraId="27715886" w14:textId="77777777" w:rsidR="009D4A93" w:rsidRPr="00536CFD" w:rsidRDefault="009D4A93" w:rsidP="009D4A93">
            <w:pPr>
              <w:spacing w:after="0"/>
              <w:jc w:val="center"/>
              <w:rPr>
                <w:lang w:val="zh-CN"/>
              </w:rPr>
            </w:pPr>
            <w:r w:rsidRPr="00536CFD">
              <w:rPr>
                <w:lang w:val="zh-CN"/>
              </w:rPr>
              <w:t>58.016</w:t>
            </w:r>
          </w:p>
        </w:tc>
        <w:tc>
          <w:tcPr>
            <w:tcW w:w="720" w:type="dxa"/>
            <w:tcBorders>
              <w:top w:val="single" w:sz="4" w:space="0" w:color="auto"/>
              <w:left w:val="nil"/>
              <w:bottom w:val="single" w:sz="4" w:space="0" w:color="auto"/>
              <w:right w:val="single" w:sz="4" w:space="0" w:color="auto"/>
            </w:tcBorders>
            <w:shd w:val="clear" w:color="auto" w:fill="auto"/>
            <w:vAlign w:val="center"/>
          </w:tcPr>
          <w:p w14:paraId="425DD68F" w14:textId="77777777" w:rsidR="009D4A93" w:rsidRPr="00536CFD" w:rsidRDefault="009D4A93" w:rsidP="009D4A93">
            <w:pPr>
              <w:spacing w:after="0"/>
              <w:jc w:val="center"/>
              <w:rPr>
                <w:lang w:val="zh-CN"/>
              </w:rPr>
            </w:pPr>
            <w:r w:rsidRPr="00536CFD">
              <w:rPr>
                <w:lang w:val="zh-CN"/>
              </w:rPr>
              <w:t>65.082</w:t>
            </w:r>
          </w:p>
        </w:tc>
        <w:tc>
          <w:tcPr>
            <w:tcW w:w="810" w:type="dxa"/>
            <w:tcBorders>
              <w:top w:val="single" w:sz="4" w:space="0" w:color="auto"/>
              <w:left w:val="nil"/>
              <w:bottom w:val="single" w:sz="4" w:space="0" w:color="auto"/>
              <w:right w:val="single" w:sz="4" w:space="0" w:color="auto"/>
            </w:tcBorders>
            <w:shd w:val="clear" w:color="auto" w:fill="auto"/>
          </w:tcPr>
          <w:p w14:paraId="24FD0989" w14:textId="77777777" w:rsidR="009D4A93" w:rsidRPr="00536CFD" w:rsidRDefault="009D4A93" w:rsidP="009D4A93">
            <w:pPr>
              <w:spacing w:after="0"/>
              <w:jc w:val="center"/>
              <w:rPr>
                <w:lang w:val="zh-CN"/>
              </w:rPr>
            </w:pPr>
            <w:r w:rsidRPr="00536CFD">
              <w:rPr>
                <w:lang w:val="zh-CN"/>
              </w:rPr>
              <w:t>69.197</w:t>
            </w:r>
          </w:p>
        </w:tc>
        <w:tc>
          <w:tcPr>
            <w:tcW w:w="810" w:type="dxa"/>
            <w:tcBorders>
              <w:top w:val="single" w:sz="4" w:space="0" w:color="auto"/>
              <w:left w:val="nil"/>
              <w:bottom w:val="single" w:sz="4" w:space="0" w:color="auto"/>
              <w:right w:val="single" w:sz="4" w:space="0" w:color="auto"/>
            </w:tcBorders>
            <w:shd w:val="clear" w:color="auto" w:fill="auto"/>
            <w:vAlign w:val="center"/>
          </w:tcPr>
          <w:p w14:paraId="1A63A197" w14:textId="77777777" w:rsidR="009D4A93" w:rsidRPr="00536CFD" w:rsidRDefault="009D4A93" w:rsidP="009D4A93">
            <w:pPr>
              <w:spacing w:after="0"/>
              <w:jc w:val="center"/>
              <w:rPr>
                <w:lang w:val="zh-CN"/>
              </w:rPr>
            </w:pPr>
            <w:r w:rsidRPr="00536CFD">
              <w:rPr>
                <w:lang w:val="zh-CN"/>
              </w:rPr>
              <w:t>39.992</w:t>
            </w:r>
          </w:p>
        </w:tc>
        <w:tc>
          <w:tcPr>
            <w:tcW w:w="820" w:type="dxa"/>
            <w:tcBorders>
              <w:top w:val="single" w:sz="4" w:space="0" w:color="auto"/>
              <w:left w:val="nil"/>
              <w:bottom w:val="single" w:sz="4" w:space="0" w:color="auto"/>
              <w:right w:val="single" w:sz="4" w:space="0" w:color="auto"/>
            </w:tcBorders>
            <w:shd w:val="clear" w:color="auto" w:fill="auto"/>
            <w:vAlign w:val="center"/>
          </w:tcPr>
          <w:p w14:paraId="7B3AE901" w14:textId="77777777" w:rsidR="009D4A93" w:rsidRPr="00536CFD" w:rsidRDefault="009D4A93" w:rsidP="009D4A93">
            <w:pPr>
              <w:spacing w:after="0"/>
              <w:jc w:val="center"/>
              <w:rPr>
                <w:lang w:val="zh-CN"/>
              </w:rPr>
            </w:pPr>
            <w:r w:rsidRPr="00536CFD">
              <w:rPr>
                <w:lang w:val="zh-CN"/>
              </w:rPr>
              <w:t>51.877</w:t>
            </w:r>
          </w:p>
        </w:tc>
        <w:tc>
          <w:tcPr>
            <w:tcW w:w="800" w:type="dxa"/>
            <w:tcBorders>
              <w:top w:val="single" w:sz="4" w:space="0" w:color="auto"/>
              <w:left w:val="nil"/>
              <w:bottom w:val="single" w:sz="4" w:space="0" w:color="auto"/>
              <w:right w:val="single" w:sz="4" w:space="0" w:color="auto"/>
            </w:tcBorders>
            <w:shd w:val="clear" w:color="auto" w:fill="auto"/>
            <w:vAlign w:val="center"/>
          </w:tcPr>
          <w:p w14:paraId="1E09D2B0" w14:textId="77777777" w:rsidR="009D4A93" w:rsidRPr="00536CFD" w:rsidRDefault="009D4A93" w:rsidP="009D4A93">
            <w:pPr>
              <w:spacing w:after="0"/>
              <w:jc w:val="center"/>
              <w:rPr>
                <w:lang w:val="zh-CN"/>
              </w:rPr>
            </w:pPr>
            <w:r w:rsidRPr="00536CFD">
              <w:rPr>
                <w:lang w:val="zh-CN"/>
              </w:rPr>
              <w:t>57.588</w:t>
            </w:r>
          </w:p>
        </w:tc>
        <w:tc>
          <w:tcPr>
            <w:tcW w:w="720" w:type="dxa"/>
            <w:tcBorders>
              <w:top w:val="single" w:sz="4" w:space="0" w:color="auto"/>
              <w:left w:val="nil"/>
              <w:bottom w:val="single" w:sz="4" w:space="0" w:color="auto"/>
              <w:right w:val="single" w:sz="4" w:space="0" w:color="auto"/>
            </w:tcBorders>
            <w:shd w:val="clear" w:color="auto" w:fill="auto"/>
          </w:tcPr>
          <w:p w14:paraId="79E45F35" w14:textId="77777777" w:rsidR="009D4A93" w:rsidRPr="00536CFD" w:rsidRDefault="009D4A93" w:rsidP="009D4A93">
            <w:pPr>
              <w:spacing w:after="0"/>
              <w:jc w:val="center"/>
              <w:rPr>
                <w:lang w:val="zh-CN"/>
              </w:rPr>
            </w:pPr>
            <w:r w:rsidRPr="00536CFD">
              <w:rPr>
                <w:lang w:val="zh-CN"/>
              </w:rPr>
              <w:t>64.352</w:t>
            </w:r>
          </w:p>
        </w:tc>
        <w:tc>
          <w:tcPr>
            <w:tcW w:w="724" w:type="dxa"/>
            <w:tcBorders>
              <w:top w:val="single" w:sz="4" w:space="0" w:color="auto"/>
              <w:left w:val="nil"/>
              <w:bottom w:val="single" w:sz="4" w:space="0" w:color="auto"/>
              <w:right w:val="single" w:sz="4" w:space="0" w:color="auto"/>
            </w:tcBorders>
            <w:shd w:val="clear" w:color="auto" w:fill="auto"/>
            <w:vAlign w:val="center"/>
          </w:tcPr>
          <w:p w14:paraId="49257A13" w14:textId="77777777" w:rsidR="009D4A93" w:rsidRPr="00536CFD" w:rsidRDefault="009D4A93" w:rsidP="009D4A93">
            <w:pPr>
              <w:spacing w:after="0"/>
              <w:jc w:val="center"/>
              <w:rPr>
                <w:lang w:val="zh-CN"/>
              </w:rPr>
            </w:pPr>
            <w:r w:rsidRPr="00536CFD">
              <w:rPr>
                <w:lang w:val="zh-CN"/>
              </w:rPr>
              <w:t>16.689</w:t>
            </w:r>
          </w:p>
        </w:tc>
        <w:tc>
          <w:tcPr>
            <w:tcW w:w="896" w:type="dxa"/>
            <w:tcBorders>
              <w:top w:val="single" w:sz="4" w:space="0" w:color="auto"/>
              <w:left w:val="nil"/>
              <w:bottom w:val="single" w:sz="4" w:space="0" w:color="auto"/>
              <w:right w:val="single" w:sz="4" w:space="0" w:color="auto"/>
            </w:tcBorders>
            <w:shd w:val="clear" w:color="auto" w:fill="auto"/>
            <w:vAlign w:val="center"/>
          </w:tcPr>
          <w:p w14:paraId="3DC914A0" w14:textId="77777777" w:rsidR="009D4A93" w:rsidRPr="00536CFD" w:rsidRDefault="009D4A93" w:rsidP="009D4A93">
            <w:pPr>
              <w:spacing w:after="0"/>
              <w:jc w:val="center"/>
              <w:rPr>
                <w:lang w:val="zh-CN"/>
              </w:rPr>
            </w:pPr>
            <w:r w:rsidRPr="00536CFD">
              <w:rPr>
                <w:lang w:val="zh-CN"/>
              </w:rPr>
              <w:t>48.522</w:t>
            </w:r>
          </w:p>
        </w:tc>
        <w:tc>
          <w:tcPr>
            <w:tcW w:w="720" w:type="dxa"/>
            <w:tcBorders>
              <w:top w:val="single" w:sz="4" w:space="0" w:color="auto"/>
              <w:left w:val="nil"/>
              <w:bottom w:val="single" w:sz="4" w:space="0" w:color="auto"/>
              <w:right w:val="single" w:sz="4" w:space="0" w:color="auto"/>
            </w:tcBorders>
            <w:shd w:val="clear" w:color="auto" w:fill="auto"/>
            <w:vAlign w:val="center"/>
          </w:tcPr>
          <w:p w14:paraId="66292347" w14:textId="77777777" w:rsidR="009D4A93" w:rsidRPr="00536CFD" w:rsidRDefault="009D4A93" w:rsidP="009D4A93">
            <w:pPr>
              <w:spacing w:after="0"/>
              <w:jc w:val="center"/>
              <w:rPr>
                <w:lang w:val="zh-CN"/>
              </w:rPr>
            </w:pPr>
            <w:r w:rsidRPr="00536CFD">
              <w:rPr>
                <w:lang w:val="zh-CN"/>
              </w:rPr>
              <w:t>52.069</w:t>
            </w:r>
          </w:p>
        </w:tc>
        <w:tc>
          <w:tcPr>
            <w:tcW w:w="720" w:type="dxa"/>
            <w:tcBorders>
              <w:top w:val="single" w:sz="4" w:space="0" w:color="auto"/>
              <w:left w:val="nil"/>
              <w:bottom w:val="single" w:sz="4" w:space="0" w:color="auto"/>
              <w:right w:val="single" w:sz="4" w:space="0" w:color="auto"/>
            </w:tcBorders>
            <w:shd w:val="clear" w:color="auto" w:fill="auto"/>
          </w:tcPr>
          <w:p w14:paraId="533B3CE0" w14:textId="77777777" w:rsidR="009D4A93" w:rsidRPr="00536CFD" w:rsidRDefault="009D4A93" w:rsidP="009D4A93">
            <w:pPr>
              <w:spacing w:after="0"/>
              <w:jc w:val="center"/>
              <w:rPr>
                <w:lang w:val="zh-CN"/>
              </w:rPr>
            </w:pPr>
            <w:r w:rsidRPr="00536CFD">
              <w:rPr>
                <w:lang w:val="zh-CN"/>
              </w:rPr>
              <w:t>62.491</w:t>
            </w:r>
          </w:p>
        </w:tc>
      </w:tr>
      <w:tr w:rsidR="009D4A93" w:rsidRPr="00536CFD" w14:paraId="1FCFF43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64BFA0B"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1BC4491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5433FF8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center"/>
          </w:tcPr>
          <w:p w14:paraId="69DF66B0" w14:textId="77777777" w:rsidR="009D4A93" w:rsidRPr="00536CFD" w:rsidRDefault="009D4A93" w:rsidP="009D4A93">
            <w:pPr>
              <w:spacing w:after="0"/>
              <w:jc w:val="center"/>
              <w:rPr>
                <w:lang w:val="zh-CN"/>
              </w:rPr>
            </w:pPr>
            <w:r w:rsidRPr="00536CFD">
              <w:rPr>
                <w:lang w:val="zh-CN"/>
              </w:rPr>
              <w:t>61.681</w:t>
            </w:r>
          </w:p>
        </w:tc>
        <w:tc>
          <w:tcPr>
            <w:tcW w:w="720" w:type="dxa"/>
            <w:tcBorders>
              <w:top w:val="single" w:sz="4" w:space="0" w:color="auto"/>
              <w:left w:val="nil"/>
              <w:bottom w:val="single" w:sz="4" w:space="0" w:color="auto"/>
              <w:right w:val="single" w:sz="4" w:space="0" w:color="auto"/>
            </w:tcBorders>
            <w:shd w:val="clear" w:color="auto" w:fill="auto"/>
            <w:vAlign w:val="center"/>
          </w:tcPr>
          <w:p w14:paraId="3A735D0F" w14:textId="77777777" w:rsidR="009D4A93" w:rsidRPr="00536CFD" w:rsidRDefault="009D4A93" w:rsidP="009D4A93">
            <w:pPr>
              <w:spacing w:after="0"/>
              <w:jc w:val="center"/>
              <w:rPr>
                <w:lang w:val="zh-CN"/>
              </w:rPr>
            </w:pPr>
            <w:r w:rsidRPr="00536CFD">
              <w:rPr>
                <w:lang w:val="zh-CN"/>
              </w:rPr>
              <w:t>61.704</w:t>
            </w:r>
          </w:p>
        </w:tc>
        <w:tc>
          <w:tcPr>
            <w:tcW w:w="720" w:type="dxa"/>
            <w:tcBorders>
              <w:top w:val="single" w:sz="4" w:space="0" w:color="auto"/>
              <w:left w:val="nil"/>
              <w:bottom w:val="single" w:sz="4" w:space="0" w:color="auto"/>
              <w:right w:val="single" w:sz="4" w:space="0" w:color="auto"/>
            </w:tcBorders>
            <w:shd w:val="clear" w:color="auto" w:fill="auto"/>
            <w:vAlign w:val="center"/>
          </w:tcPr>
          <w:p w14:paraId="76C5CA3C" w14:textId="77777777" w:rsidR="009D4A93" w:rsidRPr="00536CFD" w:rsidRDefault="009D4A93" w:rsidP="009D4A93">
            <w:pPr>
              <w:spacing w:after="0"/>
              <w:jc w:val="center"/>
              <w:rPr>
                <w:lang w:val="zh-CN"/>
              </w:rPr>
            </w:pPr>
            <w:r w:rsidRPr="00536CFD">
              <w:rPr>
                <w:lang w:val="zh-CN"/>
              </w:rPr>
              <w:t>70.643</w:t>
            </w:r>
          </w:p>
        </w:tc>
        <w:tc>
          <w:tcPr>
            <w:tcW w:w="810" w:type="dxa"/>
            <w:tcBorders>
              <w:top w:val="single" w:sz="4" w:space="0" w:color="auto"/>
              <w:left w:val="nil"/>
              <w:bottom w:val="single" w:sz="4" w:space="0" w:color="auto"/>
              <w:right w:val="single" w:sz="4" w:space="0" w:color="auto"/>
            </w:tcBorders>
            <w:shd w:val="clear" w:color="auto" w:fill="auto"/>
          </w:tcPr>
          <w:p w14:paraId="1CEC4C12" w14:textId="77777777" w:rsidR="009D4A93" w:rsidRPr="00536CFD" w:rsidRDefault="009D4A93" w:rsidP="009D4A93">
            <w:pPr>
              <w:spacing w:after="0"/>
              <w:jc w:val="center"/>
              <w:rPr>
                <w:lang w:val="zh-CN"/>
              </w:rPr>
            </w:pPr>
            <w:r w:rsidRPr="00536CFD">
              <w:rPr>
                <w:lang w:val="zh-CN"/>
              </w:rPr>
              <w:t>70.686</w:t>
            </w:r>
          </w:p>
        </w:tc>
        <w:tc>
          <w:tcPr>
            <w:tcW w:w="810" w:type="dxa"/>
            <w:tcBorders>
              <w:top w:val="single" w:sz="4" w:space="0" w:color="auto"/>
              <w:left w:val="nil"/>
              <w:bottom w:val="single" w:sz="4" w:space="0" w:color="auto"/>
              <w:right w:val="single" w:sz="4" w:space="0" w:color="auto"/>
            </w:tcBorders>
            <w:shd w:val="clear" w:color="auto" w:fill="auto"/>
            <w:vAlign w:val="center"/>
          </w:tcPr>
          <w:p w14:paraId="302F1426" w14:textId="77777777" w:rsidR="009D4A93" w:rsidRPr="00536CFD" w:rsidRDefault="009D4A93" w:rsidP="009D4A93">
            <w:pPr>
              <w:spacing w:after="0"/>
              <w:jc w:val="center"/>
              <w:rPr>
                <w:lang w:val="zh-CN"/>
              </w:rPr>
            </w:pPr>
            <w:r w:rsidRPr="00536CFD">
              <w:rPr>
                <w:lang w:val="zh-CN"/>
              </w:rPr>
              <w:t>56.865</w:t>
            </w:r>
          </w:p>
        </w:tc>
        <w:tc>
          <w:tcPr>
            <w:tcW w:w="820" w:type="dxa"/>
            <w:tcBorders>
              <w:top w:val="single" w:sz="4" w:space="0" w:color="auto"/>
              <w:left w:val="nil"/>
              <w:bottom w:val="single" w:sz="4" w:space="0" w:color="auto"/>
              <w:right w:val="single" w:sz="4" w:space="0" w:color="auto"/>
            </w:tcBorders>
            <w:shd w:val="clear" w:color="auto" w:fill="auto"/>
            <w:vAlign w:val="center"/>
          </w:tcPr>
          <w:p w14:paraId="1924C5D5" w14:textId="77777777" w:rsidR="009D4A93" w:rsidRPr="00536CFD" w:rsidRDefault="009D4A93" w:rsidP="009D4A93">
            <w:pPr>
              <w:spacing w:after="0"/>
              <w:jc w:val="center"/>
              <w:rPr>
                <w:lang w:val="zh-CN"/>
              </w:rPr>
            </w:pPr>
            <w:r w:rsidRPr="00536CFD">
              <w:rPr>
                <w:lang w:val="zh-CN"/>
              </w:rPr>
              <w:t>59.919</w:t>
            </w:r>
          </w:p>
        </w:tc>
        <w:tc>
          <w:tcPr>
            <w:tcW w:w="800" w:type="dxa"/>
            <w:tcBorders>
              <w:top w:val="single" w:sz="4" w:space="0" w:color="auto"/>
              <w:left w:val="nil"/>
              <w:bottom w:val="single" w:sz="4" w:space="0" w:color="auto"/>
              <w:right w:val="single" w:sz="4" w:space="0" w:color="auto"/>
            </w:tcBorders>
            <w:shd w:val="clear" w:color="auto" w:fill="auto"/>
            <w:vAlign w:val="center"/>
          </w:tcPr>
          <w:p w14:paraId="32C62F8E" w14:textId="77777777" w:rsidR="009D4A93" w:rsidRPr="00536CFD" w:rsidRDefault="009D4A93" w:rsidP="009D4A93">
            <w:pPr>
              <w:spacing w:after="0"/>
              <w:jc w:val="center"/>
              <w:rPr>
                <w:lang w:val="zh-CN"/>
              </w:rPr>
            </w:pPr>
            <w:r w:rsidRPr="00536CFD">
              <w:rPr>
                <w:lang w:val="zh-CN"/>
              </w:rPr>
              <w:t>68.391</w:t>
            </w:r>
          </w:p>
        </w:tc>
        <w:tc>
          <w:tcPr>
            <w:tcW w:w="720" w:type="dxa"/>
            <w:tcBorders>
              <w:top w:val="single" w:sz="4" w:space="0" w:color="auto"/>
              <w:left w:val="nil"/>
              <w:bottom w:val="single" w:sz="4" w:space="0" w:color="auto"/>
              <w:right w:val="single" w:sz="4" w:space="0" w:color="auto"/>
            </w:tcBorders>
            <w:shd w:val="clear" w:color="auto" w:fill="auto"/>
          </w:tcPr>
          <w:p w14:paraId="781B36BF" w14:textId="77777777" w:rsidR="009D4A93" w:rsidRPr="00536CFD" w:rsidRDefault="009D4A93" w:rsidP="009D4A93">
            <w:pPr>
              <w:spacing w:after="0"/>
              <w:jc w:val="center"/>
              <w:rPr>
                <w:lang w:val="zh-CN"/>
              </w:rPr>
            </w:pPr>
            <w:r w:rsidRPr="00536CFD">
              <w:rPr>
                <w:lang w:val="zh-CN"/>
              </w:rPr>
              <w:t>70.239</w:t>
            </w:r>
          </w:p>
        </w:tc>
        <w:tc>
          <w:tcPr>
            <w:tcW w:w="724" w:type="dxa"/>
            <w:tcBorders>
              <w:top w:val="single" w:sz="4" w:space="0" w:color="auto"/>
              <w:left w:val="nil"/>
              <w:bottom w:val="single" w:sz="4" w:space="0" w:color="auto"/>
              <w:right w:val="single" w:sz="4" w:space="0" w:color="auto"/>
            </w:tcBorders>
            <w:shd w:val="clear" w:color="auto" w:fill="auto"/>
            <w:vAlign w:val="center"/>
          </w:tcPr>
          <w:p w14:paraId="47102743" w14:textId="77777777" w:rsidR="009D4A93" w:rsidRPr="00536CFD" w:rsidRDefault="009D4A93" w:rsidP="009D4A93">
            <w:pPr>
              <w:spacing w:after="0"/>
              <w:jc w:val="center"/>
              <w:rPr>
                <w:lang w:val="zh-CN"/>
              </w:rPr>
            </w:pPr>
            <w:r w:rsidRPr="00536CFD">
              <w:rPr>
                <w:lang w:val="zh-CN"/>
              </w:rPr>
              <w:t>54.012</w:t>
            </w:r>
          </w:p>
        </w:tc>
        <w:tc>
          <w:tcPr>
            <w:tcW w:w="896" w:type="dxa"/>
            <w:tcBorders>
              <w:top w:val="single" w:sz="4" w:space="0" w:color="auto"/>
              <w:left w:val="nil"/>
              <w:bottom w:val="single" w:sz="4" w:space="0" w:color="auto"/>
              <w:right w:val="single" w:sz="4" w:space="0" w:color="auto"/>
            </w:tcBorders>
            <w:shd w:val="clear" w:color="auto" w:fill="auto"/>
            <w:vAlign w:val="center"/>
          </w:tcPr>
          <w:p w14:paraId="51BF0224" w14:textId="77777777" w:rsidR="009D4A93" w:rsidRPr="00536CFD" w:rsidRDefault="009D4A93" w:rsidP="009D4A93">
            <w:pPr>
              <w:spacing w:after="0"/>
              <w:jc w:val="center"/>
              <w:rPr>
                <w:lang w:val="zh-CN"/>
              </w:rPr>
            </w:pPr>
            <w:r w:rsidRPr="00536CFD">
              <w:rPr>
                <w:lang w:val="zh-CN"/>
              </w:rPr>
              <w:t>58.880</w:t>
            </w:r>
          </w:p>
        </w:tc>
        <w:tc>
          <w:tcPr>
            <w:tcW w:w="720" w:type="dxa"/>
            <w:tcBorders>
              <w:top w:val="single" w:sz="4" w:space="0" w:color="auto"/>
              <w:left w:val="nil"/>
              <w:bottom w:val="single" w:sz="4" w:space="0" w:color="auto"/>
              <w:right w:val="single" w:sz="4" w:space="0" w:color="auto"/>
            </w:tcBorders>
            <w:shd w:val="clear" w:color="auto" w:fill="auto"/>
            <w:vAlign w:val="center"/>
          </w:tcPr>
          <w:p w14:paraId="27C1FFE3" w14:textId="77777777" w:rsidR="009D4A93" w:rsidRPr="00536CFD" w:rsidRDefault="009D4A93" w:rsidP="009D4A93">
            <w:pPr>
              <w:spacing w:after="0"/>
              <w:jc w:val="center"/>
              <w:rPr>
                <w:lang w:val="zh-CN"/>
              </w:rPr>
            </w:pPr>
            <w:r w:rsidRPr="00536CFD">
              <w:rPr>
                <w:lang w:val="zh-CN"/>
              </w:rPr>
              <w:t>65.850</w:t>
            </w:r>
          </w:p>
        </w:tc>
        <w:tc>
          <w:tcPr>
            <w:tcW w:w="720" w:type="dxa"/>
            <w:tcBorders>
              <w:top w:val="single" w:sz="4" w:space="0" w:color="auto"/>
              <w:left w:val="nil"/>
              <w:bottom w:val="single" w:sz="4" w:space="0" w:color="auto"/>
              <w:right w:val="single" w:sz="4" w:space="0" w:color="auto"/>
            </w:tcBorders>
            <w:shd w:val="clear" w:color="auto" w:fill="auto"/>
          </w:tcPr>
          <w:p w14:paraId="58827504" w14:textId="77777777" w:rsidR="009D4A93" w:rsidRPr="00536CFD" w:rsidRDefault="009D4A93" w:rsidP="009D4A93">
            <w:pPr>
              <w:spacing w:after="0"/>
              <w:jc w:val="center"/>
              <w:rPr>
                <w:lang w:val="zh-CN"/>
              </w:rPr>
            </w:pPr>
            <w:r w:rsidRPr="00536CFD">
              <w:rPr>
                <w:lang w:val="zh-CN"/>
              </w:rPr>
              <w:t>68.941</w:t>
            </w:r>
          </w:p>
        </w:tc>
      </w:tr>
      <w:tr w:rsidR="009D4A93" w:rsidRPr="00536CFD" w14:paraId="7D6678D7"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7D8D30D"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242550D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69C48D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74A4158E" w14:textId="77777777" w:rsidR="009D4A93" w:rsidRPr="00536CFD" w:rsidRDefault="009D4A93" w:rsidP="009D4A93">
            <w:pPr>
              <w:spacing w:after="0"/>
              <w:jc w:val="center"/>
              <w:rPr>
                <w:lang w:val="zh-CN"/>
              </w:rPr>
            </w:pPr>
            <w:r w:rsidRPr="00536CFD">
              <w:rPr>
                <w:lang w:val="zh-CN"/>
              </w:rPr>
              <w:t>49.522</w:t>
            </w:r>
          </w:p>
        </w:tc>
        <w:tc>
          <w:tcPr>
            <w:tcW w:w="720" w:type="dxa"/>
            <w:tcBorders>
              <w:top w:val="single" w:sz="4" w:space="0" w:color="auto"/>
              <w:left w:val="nil"/>
              <w:bottom w:val="single" w:sz="4" w:space="0" w:color="auto"/>
              <w:right w:val="single" w:sz="4" w:space="0" w:color="auto"/>
            </w:tcBorders>
            <w:shd w:val="clear" w:color="auto" w:fill="auto"/>
          </w:tcPr>
          <w:p w14:paraId="55DBEF88" w14:textId="77777777" w:rsidR="009D4A93" w:rsidRPr="00536CFD" w:rsidRDefault="009D4A93" w:rsidP="009D4A93">
            <w:pPr>
              <w:spacing w:after="0"/>
              <w:jc w:val="center"/>
              <w:rPr>
                <w:lang w:val="zh-CN"/>
              </w:rPr>
            </w:pPr>
            <w:r w:rsidRPr="00536CFD">
              <w:rPr>
                <w:lang w:val="zh-CN"/>
              </w:rPr>
              <w:t>53.936</w:t>
            </w:r>
          </w:p>
        </w:tc>
        <w:tc>
          <w:tcPr>
            <w:tcW w:w="720" w:type="dxa"/>
            <w:tcBorders>
              <w:top w:val="single" w:sz="4" w:space="0" w:color="auto"/>
              <w:left w:val="nil"/>
              <w:bottom w:val="single" w:sz="4" w:space="0" w:color="auto"/>
              <w:right w:val="single" w:sz="4" w:space="0" w:color="auto"/>
            </w:tcBorders>
            <w:shd w:val="clear" w:color="auto" w:fill="auto"/>
          </w:tcPr>
          <w:p w14:paraId="7181137D" w14:textId="77777777" w:rsidR="009D4A93" w:rsidRPr="00536CFD" w:rsidRDefault="009D4A93" w:rsidP="009D4A93">
            <w:pPr>
              <w:spacing w:after="0"/>
              <w:jc w:val="center"/>
              <w:rPr>
                <w:lang w:val="zh-CN"/>
              </w:rPr>
            </w:pPr>
            <w:r w:rsidRPr="00536CFD">
              <w:rPr>
                <w:lang w:val="zh-CN"/>
              </w:rPr>
              <w:t>60.081</w:t>
            </w:r>
          </w:p>
        </w:tc>
        <w:tc>
          <w:tcPr>
            <w:tcW w:w="810" w:type="dxa"/>
            <w:tcBorders>
              <w:top w:val="single" w:sz="4" w:space="0" w:color="auto"/>
              <w:left w:val="nil"/>
              <w:bottom w:val="single" w:sz="4" w:space="0" w:color="auto"/>
              <w:right w:val="single" w:sz="4" w:space="0" w:color="auto"/>
            </w:tcBorders>
            <w:shd w:val="clear" w:color="auto" w:fill="auto"/>
          </w:tcPr>
          <w:p w14:paraId="7FD58F81" w14:textId="77777777" w:rsidR="009D4A93" w:rsidRPr="00536CFD" w:rsidRDefault="009D4A93" w:rsidP="009D4A93">
            <w:pPr>
              <w:spacing w:after="0"/>
              <w:jc w:val="center"/>
              <w:rPr>
                <w:lang w:val="zh-CN"/>
              </w:rPr>
            </w:pPr>
            <w:r w:rsidRPr="00536CFD">
              <w:rPr>
                <w:lang w:val="zh-CN"/>
              </w:rPr>
              <w:t>66.666</w:t>
            </w:r>
          </w:p>
        </w:tc>
        <w:tc>
          <w:tcPr>
            <w:tcW w:w="810" w:type="dxa"/>
            <w:tcBorders>
              <w:top w:val="single" w:sz="4" w:space="0" w:color="auto"/>
              <w:left w:val="nil"/>
              <w:bottom w:val="single" w:sz="4" w:space="0" w:color="auto"/>
              <w:right w:val="single" w:sz="4" w:space="0" w:color="auto"/>
            </w:tcBorders>
            <w:shd w:val="clear" w:color="auto" w:fill="auto"/>
          </w:tcPr>
          <w:p w14:paraId="3EEF33AF" w14:textId="77777777" w:rsidR="009D4A93" w:rsidRPr="00536CFD" w:rsidRDefault="009D4A93" w:rsidP="009D4A93">
            <w:pPr>
              <w:spacing w:after="0"/>
              <w:jc w:val="center"/>
              <w:rPr>
                <w:lang w:val="zh-CN"/>
              </w:rPr>
            </w:pPr>
            <w:r w:rsidRPr="00536CFD">
              <w:rPr>
                <w:lang w:val="zh-CN"/>
              </w:rPr>
              <w:t>34.027</w:t>
            </w:r>
          </w:p>
        </w:tc>
        <w:tc>
          <w:tcPr>
            <w:tcW w:w="820" w:type="dxa"/>
            <w:tcBorders>
              <w:top w:val="single" w:sz="4" w:space="0" w:color="auto"/>
              <w:left w:val="nil"/>
              <w:bottom w:val="single" w:sz="4" w:space="0" w:color="auto"/>
              <w:right w:val="single" w:sz="4" w:space="0" w:color="auto"/>
            </w:tcBorders>
            <w:shd w:val="clear" w:color="auto" w:fill="auto"/>
          </w:tcPr>
          <w:p w14:paraId="799EA919" w14:textId="77777777" w:rsidR="009D4A93" w:rsidRPr="00536CFD" w:rsidRDefault="009D4A93" w:rsidP="009D4A93">
            <w:pPr>
              <w:spacing w:after="0"/>
              <w:jc w:val="center"/>
              <w:rPr>
                <w:lang w:val="zh-CN"/>
              </w:rPr>
            </w:pPr>
            <w:r w:rsidRPr="00536CFD">
              <w:rPr>
                <w:lang w:val="zh-CN"/>
              </w:rPr>
              <w:t>47.806</w:t>
            </w:r>
          </w:p>
        </w:tc>
        <w:tc>
          <w:tcPr>
            <w:tcW w:w="800" w:type="dxa"/>
            <w:tcBorders>
              <w:top w:val="single" w:sz="4" w:space="0" w:color="auto"/>
              <w:left w:val="nil"/>
              <w:bottom w:val="single" w:sz="4" w:space="0" w:color="auto"/>
              <w:right w:val="single" w:sz="4" w:space="0" w:color="auto"/>
            </w:tcBorders>
            <w:shd w:val="clear" w:color="auto" w:fill="auto"/>
          </w:tcPr>
          <w:p w14:paraId="56CA0CD5" w14:textId="77777777" w:rsidR="009D4A93" w:rsidRPr="00536CFD" w:rsidRDefault="009D4A93" w:rsidP="009D4A93">
            <w:pPr>
              <w:spacing w:after="0"/>
              <w:jc w:val="center"/>
              <w:rPr>
                <w:lang w:val="zh-CN"/>
              </w:rPr>
            </w:pPr>
            <w:r w:rsidRPr="00536CFD">
              <w:rPr>
                <w:lang w:val="zh-CN"/>
              </w:rPr>
              <w:t>52.259</w:t>
            </w:r>
          </w:p>
        </w:tc>
        <w:tc>
          <w:tcPr>
            <w:tcW w:w="720" w:type="dxa"/>
            <w:tcBorders>
              <w:top w:val="single" w:sz="4" w:space="0" w:color="auto"/>
              <w:left w:val="nil"/>
              <w:bottom w:val="single" w:sz="4" w:space="0" w:color="auto"/>
              <w:right w:val="single" w:sz="4" w:space="0" w:color="auto"/>
            </w:tcBorders>
            <w:shd w:val="clear" w:color="auto" w:fill="auto"/>
          </w:tcPr>
          <w:p w14:paraId="205B1ED3" w14:textId="77777777" w:rsidR="009D4A93" w:rsidRPr="00536CFD" w:rsidRDefault="009D4A93" w:rsidP="009D4A93">
            <w:pPr>
              <w:spacing w:after="0"/>
              <w:jc w:val="center"/>
              <w:rPr>
                <w:lang w:val="zh-CN"/>
              </w:rPr>
            </w:pPr>
            <w:r w:rsidRPr="00536CFD">
              <w:rPr>
                <w:lang w:val="zh-CN"/>
              </w:rPr>
              <w:t>62.680</w:t>
            </w:r>
          </w:p>
        </w:tc>
        <w:tc>
          <w:tcPr>
            <w:tcW w:w="724" w:type="dxa"/>
            <w:tcBorders>
              <w:top w:val="single" w:sz="4" w:space="0" w:color="auto"/>
              <w:left w:val="nil"/>
              <w:bottom w:val="single" w:sz="4" w:space="0" w:color="auto"/>
              <w:right w:val="single" w:sz="4" w:space="0" w:color="auto"/>
            </w:tcBorders>
            <w:shd w:val="clear" w:color="auto" w:fill="auto"/>
          </w:tcPr>
          <w:p w14:paraId="62BA3727" w14:textId="77777777" w:rsidR="009D4A93" w:rsidRPr="00536CFD" w:rsidRDefault="009D4A93" w:rsidP="009D4A93">
            <w:pPr>
              <w:spacing w:after="0"/>
              <w:jc w:val="center"/>
              <w:rPr>
                <w:lang w:val="zh-CN"/>
              </w:rPr>
            </w:pPr>
            <w:r w:rsidRPr="00536CFD">
              <w:rPr>
                <w:lang w:val="zh-CN"/>
              </w:rPr>
              <w:t>22.774</w:t>
            </w:r>
          </w:p>
        </w:tc>
        <w:tc>
          <w:tcPr>
            <w:tcW w:w="896" w:type="dxa"/>
            <w:tcBorders>
              <w:top w:val="single" w:sz="4" w:space="0" w:color="auto"/>
              <w:left w:val="nil"/>
              <w:bottom w:val="single" w:sz="4" w:space="0" w:color="auto"/>
              <w:right w:val="single" w:sz="4" w:space="0" w:color="auto"/>
            </w:tcBorders>
            <w:shd w:val="clear" w:color="auto" w:fill="auto"/>
          </w:tcPr>
          <w:p w14:paraId="1CE2BD58" w14:textId="77777777" w:rsidR="009D4A93" w:rsidRPr="00536CFD" w:rsidRDefault="009D4A93" w:rsidP="009D4A93">
            <w:pPr>
              <w:spacing w:after="0"/>
              <w:jc w:val="center"/>
              <w:rPr>
                <w:lang w:val="zh-CN"/>
              </w:rPr>
            </w:pPr>
            <w:r w:rsidRPr="00536CFD">
              <w:rPr>
                <w:lang w:val="zh-CN"/>
              </w:rPr>
              <w:t>44.045</w:t>
            </w:r>
          </w:p>
        </w:tc>
        <w:tc>
          <w:tcPr>
            <w:tcW w:w="720" w:type="dxa"/>
            <w:tcBorders>
              <w:top w:val="single" w:sz="4" w:space="0" w:color="auto"/>
              <w:left w:val="nil"/>
              <w:bottom w:val="single" w:sz="4" w:space="0" w:color="auto"/>
              <w:right w:val="single" w:sz="4" w:space="0" w:color="auto"/>
            </w:tcBorders>
            <w:shd w:val="clear" w:color="auto" w:fill="auto"/>
          </w:tcPr>
          <w:p w14:paraId="41869B35" w14:textId="77777777" w:rsidR="009D4A93" w:rsidRPr="00536CFD" w:rsidRDefault="009D4A93" w:rsidP="009D4A93">
            <w:pPr>
              <w:spacing w:after="0"/>
              <w:jc w:val="center"/>
              <w:rPr>
                <w:lang w:val="zh-CN"/>
              </w:rPr>
            </w:pPr>
            <w:r w:rsidRPr="00536CFD">
              <w:rPr>
                <w:lang w:val="zh-CN"/>
              </w:rPr>
              <w:t>46.999</w:t>
            </w:r>
          </w:p>
        </w:tc>
        <w:tc>
          <w:tcPr>
            <w:tcW w:w="720" w:type="dxa"/>
            <w:tcBorders>
              <w:top w:val="single" w:sz="4" w:space="0" w:color="auto"/>
              <w:left w:val="nil"/>
              <w:bottom w:val="single" w:sz="4" w:space="0" w:color="auto"/>
              <w:right w:val="single" w:sz="4" w:space="0" w:color="auto"/>
            </w:tcBorders>
            <w:shd w:val="clear" w:color="auto" w:fill="auto"/>
          </w:tcPr>
          <w:p w14:paraId="63FD099B" w14:textId="77777777" w:rsidR="009D4A93" w:rsidRPr="00536CFD" w:rsidRDefault="009D4A93" w:rsidP="009D4A93">
            <w:pPr>
              <w:spacing w:after="0"/>
              <w:jc w:val="center"/>
              <w:rPr>
                <w:lang w:val="zh-CN"/>
              </w:rPr>
            </w:pPr>
            <w:r w:rsidRPr="00536CFD">
              <w:rPr>
                <w:lang w:val="zh-CN"/>
              </w:rPr>
              <w:t>60.818</w:t>
            </w:r>
          </w:p>
        </w:tc>
      </w:tr>
      <w:tr w:rsidR="009D4A93" w:rsidRPr="00536CFD" w14:paraId="6EE819CC"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F36C1C5"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52B4918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74400EF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vAlign w:val="center"/>
          </w:tcPr>
          <w:p w14:paraId="588BA7B2" w14:textId="77777777" w:rsidR="009D4A93" w:rsidRPr="00536CFD" w:rsidRDefault="009D4A93" w:rsidP="009D4A93">
            <w:pPr>
              <w:spacing w:after="0"/>
              <w:jc w:val="center"/>
              <w:rPr>
                <w:lang w:val="zh-CN"/>
              </w:rPr>
            </w:pPr>
            <w:r w:rsidRPr="00536CFD">
              <w:rPr>
                <w:lang w:val="zh-CN"/>
              </w:rPr>
              <w:t>0.068</w:t>
            </w:r>
          </w:p>
        </w:tc>
        <w:tc>
          <w:tcPr>
            <w:tcW w:w="720" w:type="dxa"/>
            <w:tcBorders>
              <w:top w:val="single" w:sz="4" w:space="0" w:color="auto"/>
              <w:left w:val="nil"/>
              <w:bottom w:val="single" w:sz="4" w:space="0" w:color="auto"/>
              <w:right w:val="single" w:sz="4" w:space="0" w:color="auto"/>
            </w:tcBorders>
            <w:shd w:val="clear" w:color="auto" w:fill="auto"/>
            <w:vAlign w:val="center"/>
          </w:tcPr>
          <w:p w14:paraId="00AD42E4" w14:textId="77777777" w:rsidR="009D4A93" w:rsidRPr="00536CFD" w:rsidRDefault="009D4A93" w:rsidP="009D4A93">
            <w:pPr>
              <w:spacing w:after="0"/>
              <w:jc w:val="center"/>
              <w:rPr>
                <w:lang w:val="zh-CN"/>
              </w:rPr>
            </w:pPr>
            <w:r w:rsidRPr="00536CFD">
              <w:rPr>
                <w:lang w:val="zh-CN"/>
              </w:rPr>
              <w:t>0.068</w:t>
            </w:r>
          </w:p>
        </w:tc>
        <w:tc>
          <w:tcPr>
            <w:tcW w:w="720" w:type="dxa"/>
            <w:tcBorders>
              <w:top w:val="single" w:sz="4" w:space="0" w:color="auto"/>
              <w:left w:val="nil"/>
              <w:bottom w:val="single" w:sz="4" w:space="0" w:color="auto"/>
              <w:right w:val="single" w:sz="4" w:space="0" w:color="auto"/>
            </w:tcBorders>
            <w:shd w:val="clear" w:color="auto" w:fill="auto"/>
            <w:vAlign w:val="center"/>
          </w:tcPr>
          <w:p w14:paraId="11EBD589" w14:textId="77777777" w:rsidR="009D4A93" w:rsidRPr="00536CFD" w:rsidRDefault="009D4A93" w:rsidP="009D4A93">
            <w:pPr>
              <w:spacing w:after="0"/>
              <w:jc w:val="center"/>
              <w:rPr>
                <w:lang w:val="zh-CN"/>
              </w:rPr>
            </w:pPr>
            <w:r w:rsidRPr="00536CFD">
              <w:rPr>
                <w:lang w:val="zh-CN"/>
              </w:rPr>
              <w:t>0.059</w:t>
            </w:r>
          </w:p>
        </w:tc>
        <w:tc>
          <w:tcPr>
            <w:tcW w:w="810" w:type="dxa"/>
            <w:tcBorders>
              <w:top w:val="single" w:sz="4" w:space="0" w:color="auto"/>
              <w:left w:val="nil"/>
              <w:bottom w:val="single" w:sz="4" w:space="0" w:color="auto"/>
              <w:right w:val="single" w:sz="4" w:space="0" w:color="auto"/>
            </w:tcBorders>
            <w:shd w:val="clear" w:color="auto" w:fill="auto"/>
          </w:tcPr>
          <w:p w14:paraId="1F6B9ECC" w14:textId="77777777" w:rsidR="009D4A93" w:rsidRPr="00536CFD" w:rsidRDefault="009D4A93" w:rsidP="009D4A93">
            <w:pPr>
              <w:spacing w:after="0"/>
              <w:jc w:val="center"/>
              <w:rPr>
                <w:lang w:val="zh-CN"/>
              </w:rPr>
            </w:pPr>
            <w:r w:rsidRPr="00536CFD">
              <w:rPr>
                <w:lang w:val="zh-CN"/>
              </w:rPr>
              <w:t>0.059</w:t>
            </w:r>
          </w:p>
        </w:tc>
        <w:tc>
          <w:tcPr>
            <w:tcW w:w="810" w:type="dxa"/>
            <w:tcBorders>
              <w:top w:val="single" w:sz="4" w:space="0" w:color="auto"/>
              <w:left w:val="nil"/>
              <w:bottom w:val="single" w:sz="4" w:space="0" w:color="auto"/>
              <w:right w:val="single" w:sz="4" w:space="0" w:color="auto"/>
            </w:tcBorders>
            <w:shd w:val="clear" w:color="auto" w:fill="auto"/>
            <w:vAlign w:val="center"/>
          </w:tcPr>
          <w:p w14:paraId="7EB7B5A9" w14:textId="77777777" w:rsidR="009D4A93" w:rsidRPr="00536CFD" w:rsidRDefault="009D4A93" w:rsidP="009D4A93">
            <w:pPr>
              <w:spacing w:after="0"/>
              <w:jc w:val="center"/>
              <w:rPr>
                <w:lang w:val="zh-CN"/>
              </w:rPr>
            </w:pPr>
            <w:r w:rsidRPr="00536CFD">
              <w:rPr>
                <w:lang w:val="zh-CN"/>
              </w:rPr>
              <w:t>0.077</w:t>
            </w:r>
          </w:p>
        </w:tc>
        <w:tc>
          <w:tcPr>
            <w:tcW w:w="820" w:type="dxa"/>
            <w:tcBorders>
              <w:top w:val="single" w:sz="4" w:space="0" w:color="auto"/>
              <w:left w:val="nil"/>
              <w:bottom w:val="single" w:sz="4" w:space="0" w:color="auto"/>
              <w:right w:val="single" w:sz="4" w:space="0" w:color="auto"/>
            </w:tcBorders>
            <w:shd w:val="clear" w:color="auto" w:fill="auto"/>
            <w:vAlign w:val="center"/>
          </w:tcPr>
          <w:p w14:paraId="68C109C4" w14:textId="77777777" w:rsidR="009D4A93" w:rsidRPr="00536CFD" w:rsidRDefault="009D4A93" w:rsidP="009D4A93">
            <w:pPr>
              <w:spacing w:after="0"/>
              <w:jc w:val="center"/>
              <w:rPr>
                <w:lang w:val="zh-CN"/>
              </w:rPr>
            </w:pPr>
            <w:r w:rsidRPr="00536CFD">
              <w:rPr>
                <w:lang w:val="zh-CN"/>
              </w:rPr>
              <w:t>0.071</w:t>
            </w:r>
          </w:p>
        </w:tc>
        <w:tc>
          <w:tcPr>
            <w:tcW w:w="800" w:type="dxa"/>
            <w:tcBorders>
              <w:top w:val="single" w:sz="4" w:space="0" w:color="auto"/>
              <w:left w:val="nil"/>
              <w:bottom w:val="single" w:sz="4" w:space="0" w:color="auto"/>
              <w:right w:val="single" w:sz="4" w:space="0" w:color="auto"/>
            </w:tcBorders>
            <w:shd w:val="clear" w:color="auto" w:fill="auto"/>
            <w:vAlign w:val="center"/>
          </w:tcPr>
          <w:p w14:paraId="50A0A60E" w14:textId="77777777" w:rsidR="009D4A93" w:rsidRPr="00536CFD" w:rsidRDefault="009D4A93" w:rsidP="009D4A93">
            <w:pPr>
              <w:spacing w:after="0"/>
              <w:jc w:val="center"/>
              <w:rPr>
                <w:lang w:val="zh-CN"/>
              </w:rPr>
            </w:pPr>
            <w:r w:rsidRPr="00536CFD">
              <w:rPr>
                <w:lang w:val="zh-CN"/>
              </w:rPr>
              <w:t>0.062</w:t>
            </w:r>
          </w:p>
        </w:tc>
        <w:tc>
          <w:tcPr>
            <w:tcW w:w="720" w:type="dxa"/>
            <w:tcBorders>
              <w:top w:val="single" w:sz="4" w:space="0" w:color="auto"/>
              <w:left w:val="nil"/>
              <w:bottom w:val="single" w:sz="4" w:space="0" w:color="auto"/>
              <w:right w:val="single" w:sz="4" w:space="0" w:color="auto"/>
            </w:tcBorders>
            <w:shd w:val="clear" w:color="auto" w:fill="auto"/>
          </w:tcPr>
          <w:p w14:paraId="3E0F389C" w14:textId="77777777" w:rsidR="009D4A93" w:rsidRPr="00536CFD" w:rsidRDefault="009D4A93" w:rsidP="009D4A93">
            <w:pPr>
              <w:spacing w:after="0"/>
              <w:jc w:val="center"/>
              <w:rPr>
                <w:lang w:val="zh-CN"/>
              </w:rPr>
            </w:pPr>
            <w:r w:rsidRPr="00536CFD">
              <w:rPr>
                <w:lang w:val="zh-CN"/>
              </w:rPr>
              <w:t>0.060</w:t>
            </w:r>
          </w:p>
        </w:tc>
        <w:tc>
          <w:tcPr>
            <w:tcW w:w="724" w:type="dxa"/>
            <w:tcBorders>
              <w:top w:val="single" w:sz="4" w:space="0" w:color="auto"/>
              <w:left w:val="nil"/>
              <w:bottom w:val="single" w:sz="4" w:space="0" w:color="auto"/>
              <w:right w:val="single" w:sz="4" w:space="0" w:color="auto"/>
            </w:tcBorders>
            <w:shd w:val="clear" w:color="auto" w:fill="auto"/>
            <w:vAlign w:val="center"/>
          </w:tcPr>
          <w:p w14:paraId="68FB841F" w14:textId="77777777" w:rsidR="009D4A93" w:rsidRPr="00536CFD" w:rsidRDefault="009D4A93" w:rsidP="009D4A93">
            <w:pPr>
              <w:spacing w:after="0"/>
              <w:jc w:val="center"/>
              <w:rPr>
                <w:lang w:val="zh-CN"/>
              </w:rPr>
            </w:pPr>
            <w:r w:rsidRPr="00536CFD">
              <w:rPr>
                <w:lang w:val="zh-CN"/>
              </w:rPr>
              <w:t>0.084</w:t>
            </w:r>
          </w:p>
        </w:tc>
        <w:tc>
          <w:tcPr>
            <w:tcW w:w="896" w:type="dxa"/>
            <w:tcBorders>
              <w:top w:val="single" w:sz="4" w:space="0" w:color="auto"/>
              <w:left w:val="nil"/>
              <w:bottom w:val="single" w:sz="4" w:space="0" w:color="auto"/>
              <w:right w:val="single" w:sz="4" w:space="0" w:color="auto"/>
            </w:tcBorders>
            <w:shd w:val="clear" w:color="auto" w:fill="auto"/>
            <w:vAlign w:val="center"/>
          </w:tcPr>
          <w:p w14:paraId="14089618" w14:textId="77777777" w:rsidR="009D4A93" w:rsidRPr="00536CFD" w:rsidRDefault="009D4A93" w:rsidP="009D4A93">
            <w:pPr>
              <w:spacing w:after="0"/>
              <w:jc w:val="center"/>
              <w:rPr>
                <w:lang w:val="zh-CN"/>
              </w:rPr>
            </w:pPr>
            <w:r w:rsidRPr="00536CFD">
              <w:rPr>
                <w:lang w:val="zh-CN"/>
              </w:rPr>
              <w:t>0.073</w:t>
            </w:r>
          </w:p>
        </w:tc>
        <w:tc>
          <w:tcPr>
            <w:tcW w:w="720" w:type="dxa"/>
            <w:tcBorders>
              <w:top w:val="single" w:sz="4" w:space="0" w:color="auto"/>
              <w:left w:val="nil"/>
              <w:bottom w:val="single" w:sz="4" w:space="0" w:color="auto"/>
              <w:right w:val="single" w:sz="4" w:space="0" w:color="auto"/>
            </w:tcBorders>
            <w:shd w:val="clear" w:color="auto" w:fill="auto"/>
          </w:tcPr>
          <w:p w14:paraId="2872E1B9" w14:textId="77777777" w:rsidR="009D4A93" w:rsidRPr="00536CFD" w:rsidRDefault="009D4A93" w:rsidP="009D4A93">
            <w:pPr>
              <w:spacing w:after="0"/>
              <w:jc w:val="center"/>
              <w:rPr>
                <w:lang w:val="zh-CN"/>
              </w:rPr>
            </w:pPr>
            <w:r w:rsidRPr="00536CFD">
              <w:rPr>
                <w:lang w:val="zh-CN"/>
              </w:rPr>
              <w:t>0.067</w:t>
            </w:r>
          </w:p>
        </w:tc>
        <w:tc>
          <w:tcPr>
            <w:tcW w:w="720" w:type="dxa"/>
            <w:tcBorders>
              <w:top w:val="single" w:sz="4" w:space="0" w:color="auto"/>
              <w:left w:val="nil"/>
              <w:bottom w:val="single" w:sz="4" w:space="0" w:color="auto"/>
              <w:right w:val="single" w:sz="4" w:space="0" w:color="auto"/>
            </w:tcBorders>
            <w:shd w:val="clear" w:color="auto" w:fill="auto"/>
          </w:tcPr>
          <w:p w14:paraId="5A4A493A" w14:textId="77777777" w:rsidR="009D4A93" w:rsidRPr="00536CFD" w:rsidRDefault="009D4A93" w:rsidP="009D4A93">
            <w:pPr>
              <w:spacing w:after="0"/>
              <w:jc w:val="center"/>
              <w:rPr>
                <w:lang w:val="zh-CN"/>
              </w:rPr>
            </w:pPr>
            <w:r w:rsidRPr="00536CFD">
              <w:rPr>
                <w:lang w:val="zh-CN"/>
              </w:rPr>
              <w:t>0.061</w:t>
            </w:r>
          </w:p>
        </w:tc>
      </w:tr>
      <w:tr w:rsidR="009D4A93" w:rsidRPr="00536CFD" w14:paraId="24B62D5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59329E3F"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5EDA989"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098DADA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vAlign w:val="center"/>
          </w:tcPr>
          <w:p w14:paraId="1B4BEB69" w14:textId="77777777" w:rsidR="009D4A93" w:rsidRPr="00536CFD" w:rsidRDefault="009D4A93" w:rsidP="009D4A93">
            <w:pPr>
              <w:spacing w:after="0"/>
              <w:jc w:val="center"/>
              <w:rPr>
                <w:lang w:val="zh-CN"/>
              </w:rPr>
            </w:pPr>
            <w:r w:rsidRPr="00536CFD">
              <w:rPr>
                <w:lang w:val="zh-CN"/>
              </w:rPr>
              <w:t>0.082</w:t>
            </w:r>
          </w:p>
        </w:tc>
        <w:tc>
          <w:tcPr>
            <w:tcW w:w="720" w:type="dxa"/>
            <w:tcBorders>
              <w:top w:val="single" w:sz="4" w:space="0" w:color="auto"/>
              <w:left w:val="nil"/>
              <w:bottom w:val="single" w:sz="4" w:space="0" w:color="auto"/>
              <w:right w:val="single" w:sz="4" w:space="0" w:color="auto"/>
            </w:tcBorders>
            <w:shd w:val="clear" w:color="auto" w:fill="auto"/>
            <w:vAlign w:val="center"/>
          </w:tcPr>
          <w:p w14:paraId="4A92EBC4" w14:textId="77777777" w:rsidR="009D4A93" w:rsidRPr="00536CFD" w:rsidRDefault="009D4A93" w:rsidP="009D4A93">
            <w:pPr>
              <w:spacing w:after="0"/>
              <w:jc w:val="center"/>
              <w:rPr>
                <w:lang w:val="zh-CN"/>
              </w:rPr>
            </w:pPr>
            <w:r w:rsidRPr="00536CFD">
              <w:rPr>
                <w:lang w:val="zh-CN"/>
              </w:rPr>
              <w:t>0.074</w:t>
            </w:r>
          </w:p>
        </w:tc>
        <w:tc>
          <w:tcPr>
            <w:tcW w:w="720" w:type="dxa"/>
            <w:tcBorders>
              <w:top w:val="single" w:sz="4" w:space="0" w:color="auto"/>
              <w:left w:val="nil"/>
              <w:bottom w:val="single" w:sz="4" w:space="0" w:color="auto"/>
              <w:right w:val="single" w:sz="4" w:space="0" w:color="auto"/>
            </w:tcBorders>
            <w:shd w:val="clear" w:color="auto" w:fill="auto"/>
            <w:vAlign w:val="center"/>
          </w:tcPr>
          <w:p w14:paraId="016BA921" w14:textId="77777777" w:rsidR="009D4A93" w:rsidRPr="00536CFD" w:rsidRDefault="009D4A93" w:rsidP="009D4A93">
            <w:pPr>
              <w:spacing w:after="0"/>
              <w:jc w:val="center"/>
              <w:rPr>
                <w:lang w:val="zh-CN"/>
              </w:rPr>
            </w:pPr>
            <w:r w:rsidRPr="00536CFD">
              <w:rPr>
                <w:lang w:val="zh-CN"/>
              </w:rPr>
              <w:t>0.068</w:t>
            </w:r>
          </w:p>
        </w:tc>
        <w:tc>
          <w:tcPr>
            <w:tcW w:w="810" w:type="dxa"/>
            <w:tcBorders>
              <w:top w:val="single" w:sz="4" w:space="0" w:color="auto"/>
              <w:left w:val="nil"/>
              <w:bottom w:val="single" w:sz="4" w:space="0" w:color="auto"/>
              <w:right w:val="single" w:sz="4" w:space="0" w:color="auto"/>
            </w:tcBorders>
            <w:shd w:val="clear" w:color="auto" w:fill="auto"/>
          </w:tcPr>
          <w:p w14:paraId="1A44122F" w14:textId="77777777" w:rsidR="009D4A93" w:rsidRPr="00536CFD" w:rsidRDefault="009D4A93" w:rsidP="009D4A93">
            <w:pPr>
              <w:spacing w:after="0"/>
              <w:jc w:val="center"/>
              <w:rPr>
                <w:lang w:val="zh-CN"/>
              </w:rPr>
            </w:pPr>
            <w:r w:rsidRPr="00536CFD">
              <w:rPr>
                <w:lang w:val="zh-CN"/>
              </w:rPr>
              <w:t>0.061</w:t>
            </w:r>
          </w:p>
        </w:tc>
        <w:tc>
          <w:tcPr>
            <w:tcW w:w="810" w:type="dxa"/>
            <w:tcBorders>
              <w:top w:val="single" w:sz="4" w:space="0" w:color="auto"/>
              <w:left w:val="nil"/>
              <w:bottom w:val="single" w:sz="4" w:space="0" w:color="auto"/>
              <w:right w:val="single" w:sz="4" w:space="0" w:color="auto"/>
            </w:tcBorders>
            <w:shd w:val="clear" w:color="auto" w:fill="auto"/>
            <w:vAlign w:val="center"/>
          </w:tcPr>
          <w:p w14:paraId="407A5B95" w14:textId="77777777" w:rsidR="009D4A93" w:rsidRPr="00536CFD" w:rsidRDefault="009D4A93" w:rsidP="009D4A93">
            <w:pPr>
              <w:spacing w:after="0"/>
              <w:jc w:val="center"/>
              <w:rPr>
                <w:lang w:val="zh-CN"/>
              </w:rPr>
            </w:pPr>
            <w:r w:rsidRPr="00536CFD">
              <w:rPr>
                <w:lang w:val="zh-CN"/>
              </w:rPr>
              <w:t>0.170</w:t>
            </w:r>
          </w:p>
        </w:tc>
        <w:tc>
          <w:tcPr>
            <w:tcW w:w="820" w:type="dxa"/>
            <w:tcBorders>
              <w:top w:val="single" w:sz="4" w:space="0" w:color="auto"/>
              <w:left w:val="nil"/>
              <w:bottom w:val="single" w:sz="4" w:space="0" w:color="auto"/>
              <w:right w:val="single" w:sz="4" w:space="0" w:color="auto"/>
            </w:tcBorders>
            <w:shd w:val="clear" w:color="auto" w:fill="auto"/>
            <w:vAlign w:val="center"/>
          </w:tcPr>
          <w:p w14:paraId="3118458C" w14:textId="77777777" w:rsidR="009D4A93" w:rsidRPr="00536CFD" w:rsidRDefault="009D4A93" w:rsidP="009D4A93">
            <w:pPr>
              <w:spacing w:after="0"/>
              <w:jc w:val="center"/>
              <w:rPr>
                <w:lang w:val="zh-CN"/>
              </w:rPr>
            </w:pPr>
            <w:r w:rsidRPr="00536CFD">
              <w:rPr>
                <w:lang w:val="zh-CN"/>
              </w:rPr>
              <w:t>0.092</w:t>
            </w:r>
          </w:p>
        </w:tc>
        <w:tc>
          <w:tcPr>
            <w:tcW w:w="800" w:type="dxa"/>
            <w:tcBorders>
              <w:top w:val="single" w:sz="4" w:space="0" w:color="auto"/>
              <w:left w:val="nil"/>
              <w:bottom w:val="single" w:sz="4" w:space="0" w:color="auto"/>
              <w:right w:val="single" w:sz="4" w:space="0" w:color="auto"/>
            </w:tcBorders>
            <w:shd w:val="clear" w:color="auto" w:fill="auto"/>
            <w:vAlign w:val="center"/>
          </w:tcPr>
          <w:p w14:paraId="0B30E8ED" w14:textId="77777777" w:rsidR="009D4A93" w:rsidRPr="00536CFD" w:rsidRDefault="009D4A93" w:rsidP="009D4A93">
            <w:pPr>
              <w:spacing w:after="0"/>
              <w:jc w:val="center"/>
              <w:rPr>
                <w:lang w:val="zh-CN"/>
              </w:rPr>
            </w:pPr>
            <w:r w:rsidRPr="00536CFD">
              <w:rPr>
                <w:lang w:val="zh-CN"/>
              </w:rPr>
              <w:t>0.092</w:t>
            </w:r>
          </w:p>
        </w:tc>
        <w:tc>
          <w:tcPr>
            <w:tcW w:w="720" w:type="dxa"/>
            <w:tcBorders>
              <w:top w:val="single" w:sz="4" w:space="0" w:color="auto"/>
              <w:left w:val="nil"/>
              <w:bottom w:val="single" w:sz="4" w:space="0" w:color="auto"/>
              <w:right w:val="single" w:sz="4" w:space="0" w:color="auto"/>
            </w:tcBorders>
            <w:shd w:val="clear" w:color="auto" w:fill="auto"/>
          </w:tcPr>
          <w:p w14:paraId="6E647023" w14:textId="77777777" w:rsidR="009D4A93" w:rsidRPr="00536CFD" w:rsidRDefault="009D4A93" w:rsidP="009D4A93">
            <w:pPr>
              <w:spacing w:after="0"/>
              <w:jc w:val="center"/>
              <w:rPr>
                <w:lang w:val="zh-CN"/>
              </w:rPr>
            </w:pPr>
            <w:r w:rsidRPr="00536CFD">
              <w:rPr>
                <w:lang w:val="zh-CN"/>
              </w:rPr>
              <w:t>0.070</w:t>
            </w:r>
          </w:p>
        </w:tc>
        <w:tc>
          <w:tcPr>
            <w:tcW w:w="724" w:type="dxa"/>
            <w:tcBorders>
              <w:top w:val="single" w:sz="4" w:space="0" w:color="auto"/>
              <w:left w:val="nil"/>
              <w:bottom w:val="single" w:sz="4" w:space="0" w:color="auto"/>
              <w:right w:val="single" w:sz="4" w:space="0" w:color="auto"/>
            </w:tcBorders>
            <w:shd w:val="clear" w:color="auto" w:fill="auto"/>
            <w:vAlign w:val="center"/>
          </w:tcPr>
          <w:p w14:paraId="1E2ED6B8" w14:textId="77777777" w:rsidR="009D4A93" w:rsidRPr="00536CFD" w:rsidRDefault="009D4A93" w:rsidP="009D4A93">
            <w:pPr>
              <w:spacing w:after="0"/>
              <w:jc w:val="center"/>
              <w:rPr>
                <w:lang w:val="zh-CN"/>
              </w:rPr>
            </w:pPr>
            <w:r w:rsidRPr="00536CFD">
              <w:rPr>
                <w:lang w:val="zh-CN"/>
              </w:rPr>
              <w:t>1.274</w:t>
            </w:r>
          </w:p>
        </w:tc>
        <w:tc>
          <w:tcPr>
            <w:tcW w:w="896" w:type="dxa"/>
            <w:tcBorders>
              <w:top w:val="single" w:sz="4" w:space="0" w:color="auto"/>
              <w:left w:val="nil"/>
              <w:bottom w:val="single" w:sz="4" w:space="0" w:color="auto"/>
              <w:right w:val="single" w:sz="4" w:space="0" w:color="auto"/>
            </w:tcBorders>
            <w:shd w:val="clear" w:color="auto" w:fill="auto"/>
            <w:vAlign w:val="center"/>
          </w:tcPr>
          <w:p w14:paraId="05F008D2" w14:textId="77777777" w:rsidR="009D4A93" w:rsidRPr="00536CFD" w:rsidRDefault="009D4A93" w:rsidP="009D4A93">
            <w:pPr>
              <w:spacing w:after="0"/>
              <w:jc w:val="center"/>
              <w:rPr>
                <w:lang w:val="zh-CN"/>
              </w:rPr>
            </w:pPr>
            <w:r w:rsidRPr="00536CFD">
              <w:rPr>
                <w:lang w:val="zh-CN"/>
              </w:rPr>
              <w:t>0.107</w:t>
            </w:r>
          </w:p>
        </w:tc>
        <w:tc>
          <w:tcPr>
            <w:tcW w:w="720" w:type="dxa"/>
            <w:tcBorders>
              <w:top w:val="single" w:sz="4" w:space="0" w:color="auto"/>
              <w:left w:val="nil"/>
              <w:bottom w:val="single" w:sz="4" w:space="0" w:color="auto"/>
              <w:right w:val="single" w:sz="4" w:space="0" w:color="auto"/>
            </w:tcBorders>
            <w:shd w:val="clear" w:color="auto" w:fill="auto"/>
            <w:vAlign w:val="center"/>
          </w:tcPr>
          <w:p w14:paraId="648F07B3" w14:textId="77777777" w:rsidR="009D4A93" w:rsidRPr="00536CFD" w:rsidRDefault="009D4A93" w:rsidP="009D4A93">
            <w:pPr>
              <w:spacing w:after="0"/>
              <w:jc w:val="center"/>
              <w:rPr>
                <w:lang w:val="zh-CN"/>
              </w:rPr>
            </w:pPr>
            <w:r w:rsidRPr="00536CFD">
              <w:rPr>
                <w:lang w:val="zh-CN"/>
              </w:rPr>
              <w:t>0.133</w:t>
            </w:r>
          </w:p>
        </w:tc>
        <w:tc>
          <w:tcPr>
            <w:tcW w:w="720" w:type="dxa"/>
            <w:tcBorders>
              <w:top w:val="single" w:sz="4" w:space="0" w:color="auto"/>
              <w:left w:val="nil"/>
              <w:bottom w:val="single" w:sz="4" w:space="0" w:color="auto"/>
              <w:right w:val="single" w:sz="4" w:space="0" w:color="auto"/>
            </w:tcBorders>
            <w:shd w:val="clear" w:color="auto" w:fill="auto"/>
          </w:tcPr>
          <w:p w14:paraId="5E274CB2" w14:textId="77777777" w:rsidR="009D4A93" w:rsidRPr="00536CFD" w:rsidRDefault="009D4A93" w:rsidP="009D4A93">
            <w:pPr>
              <w:spacing w:after="0"/>
              <w:jc w:val="center"/>
              <w:rPr>
                <w:lang w:val="zh-CN"/>
              </w:rPr>
            </w:pPr>
            <w:r w:rsidRPr="00536CFD">
              <w:rPr>
                <w:lang w:val="zh-CN"/>
              </w:rPr>
              <w:t>0.075</w:t>
            </w:r>
          </w:p>
        </w:tc>
      </w:tr>
      <w:tr w:rsidR="009D4A93" w:rsidRPr="00536CFD" w14:paraId="787A50C1"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BF74DC8"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96FDB4E"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33D1DA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vAlign w:val="center"/>
          </w:tcPr>
          <w:p w14:paraId="4AA81D42" w14:textId="77777777" w:rsidR="009D4A93" w:rsidRPr="00536CFD" w:rsidRDefault="009D4A93" w:rsidP="009D4A93">
            <w:pPr>
              <w:spacing w:after="0"/>
              <w:jc w:val="center"/>
              <w:rPr>
                <w:lang w:val="zh-CN"/>
              </w:rPr>
            </w:pPr>
            <w:r w:rsidRPr="00536CFD">
              <w:rPr>
                <w:lang w:val="zh-CN"/>
              </w:rPr>
              <w:t>1.028</w:t>
            </w:r>
          </w:p>
        </w:tc>
        <w:tc>
          <w:tcPr>
            <w:tcW w:w="720" w:type="dxa"/>
            <w:tcBorders>
              <w:top w:val="single" w:sz="4" w:space="0" w:color="auto"/>
              <w:left w:val="nil"/>
              <w:bottom w:val="single" w:sz="4" w:space="0" w:color="auto"/>
              <w:right w:val="single" w:sz="4" w:space="0" w:color="auto"/>
            </w:tcBorders>
            <w:shd w:val="clear" w:color="auto" w:fill="auto"/>
            <w:vAlign w:val="center"/>
          </w:tcPr>
          <w:p w14:paraId="2E775BA6" w14:textId="77777777" w:rsidR="009D4A93" w:rsidRPr="00536CFD" w:rsidRDefault="009D4A93" w:rsidP="009D4A93">
            <w:pPr>
              <w:spacing w:after="0"/>
              <w:jc w:val="center"/>
              <w:rPr>
                <w:lang w:val="zh-CN"/>
              </w:rPr>
            </w:pPr>
            <w:r w:rsidRPr="00536CFD">
              <w:rPr>
                <w:lang w:val="zh-CN"/>
              </w:rPr>
              <w:t>0.243</w:t>
            </w:r>
          </w:p>
        </w:tc>
        <w:tc>
          <w:tcPr>
            <w:tcW w:w="720" w:type="dxa"/>
            <w:tcBorders>
              <w:top w:val="single" w:sz="4" w:space="0" w:color="auto"/>
              <w:left w:val="nil"/>
              <w:bottom w:val="single" w:sz="4" w:space="0" w:color="auto"/>
              <w:right w:val="single" w:sz="4" w:space="0" w:color="auto"/>
            </w:tcBorders>
            <w:shd w:val="clear" w:color="auto" w:fill="auto"/>
            <w:vAlign w:val="center"/>
          </w:tcPr>
          <w:p w14:paraId="3403ADA5" w14:textId="77777777" w:rsidR="009D4A93" w:rsidRPr="00536CFD" w:rsidRDefault="009D4A93" w:rsidP="009D4A93">
            <w:pPr>
              <w:spacing w:after="0"/>
              <w:jc w:val="center"/>
              <w:rPr>
                <w:lang w:val="zh-CN"/>
              </w:rPr>
            </w:pPr>
            <w:r w:rsidRPr="00536CFD">
              <w:rPr>
                <w:lang w:val="zh-CN"/>
              </w:rPr>
              <w:t>2.193</w:t>
            </w:r>
          </w:p>
        </w:tc>
        <w:tc>
          <w:tcPr>
            <w:tcW w:w="810" w:type="dxa"/>
            <w:tcBorders>
              <w:top w:val="single" w:sz="4" w:space="0" w:color="auto"/>
              <w:left w:val="nil"/>
              <w:bottom w:val="single" w:sz="4" w:space="0" w:color="auto"/>
              <w:right w:val="single" w:sz="4" w:space="0" w:color="auto"/>
            </w:tcBorders>
            <w:shd w:val="clear" w:color="auto" w:fill="auto"/>
          </w:tcPr>
          <w:p w14:paraId="0C297194" w14:textId="77777777" w:rsidR="009D4A93" w:rsidRPr="00536CFD" w:rsidRDefault="009D4A93" w:rsidP="009D4A93">
            <w:pPr>
              <w:spacing w:after="0"/>
              <w:jc w:val="center"/>
              <w:rPr>
                <w:lang w:val="zh-CN"/>
              </w:rPr>
            </w:pPr>
            <w:r w:rsidRPr="00536CFD">
              <w:rPr>
                <w:lang w:val="zh-CN"/>
              </w:rPr>
              <w:t>0.140</w:t>
            </w:r>
          </w:p>
        </w:tc>
        <w:tc>
          <w:tcPr>
            <w:tcW w:w="810" w:type="dxa"/>
            <w:tcBorders>
              <w:top w:val="single" w:sz="4" w:space="0" w:color="auto"/>
              <w:left w:val="nil"/>
              <w:bottom w:val="single" w:sz="4" w:space="0" w:color="auto"/>
              <w:right w:val="single" w:sz="4" w:space="0" w:color="auto"/>
            </w:tcBorders>
            <w:shd w:val="clear" w:color="auto" w:fill="auto"/>
            <w:vAlign w:val="center"/>
          </w:tcPr>
          <w:p w14:paraId="2CF6FE0D" w14:textId="77777777" w:rsidR="009D4A93" w:rsidRPr="00536CFD" w:rsidRDefault="009D4A93" w:rsidP="009D4A93">
            <w:pPr>
              <w:spacing w:after="0"/>
              <w:jc w:val="center"/>
              <w:rPr>
                <w:lang w:val="zh-CN"/>
              </w:rPr>
            </w:pPr>
            <w:r w:rsidRPr="00536CFD">
              <w:rPr>
                <w:lang w:val="zh-CN"/>
              </w:rPr>
              <w:t>20.978</w:t>
            </w:r>
          </w:p>
        </w:tc>
        <w:tc>
          <w:tcPr>
            <w:tcW w:w="820" w:type="dxa"/>
            <w:tcBorders>
              <w:top w:val="single" w:sz="4" w:space="0" w:color="auto"/>
              <w:left w:val="nil"/>
              <w:bottom w:val="single" w:sz="4" w:space="0" w:color="auto"/>
              <w:right w:val="single" w:sz="4" w:space="0" w:color="auto"/>
            </w:tcBorders>
            <w:shd w:val="clear" w:color="auto" w:fill="auto"/>
            <w:vAlign w:val="center"/>
          </w:tcPr>
          <w:p w14:paraId="1A7D16E9" w14:textId="77777777" w:rsidR="009D4A93" w:rsidRPr="00536CFD" w:rsidRDefault="009D4A93" w:rsidP="009D4A93">
            <w:pPr>
              <w:spacing w:after="0"/>
              <w:jc w:val="center"/>
              <w:rPr>
                <w:lang w:val="zh-CN"/>
              </w:rPr>
            </w:pPr>
            <w:r w:rsidRPr="00536CFD">
              <w:rPr>
                <w:lang w:val="zh-CN"/>
              </w:rPr>
              <w:t>0.597</w:t>
            </w:r>
          </w:p>
        </w:tc>
        <w:tc>
          <w:tcPr>
            <w:tcW w:w="800" w:type="dxa"/>
            <w:tcBorders>
              <w:top w:val="single" w:sz="4" w:space="0" w:color="auto"/>
              <w:left w:val="nil"/>
              <w:bottom w:val="single" w:sz="4" w:space="0" w:color="auto"/>
              <w:right w:val="single" w:sz="4" w:space="0" w:color="auto"/>
            </w:tcBorders>
            <w:shd w:val="clear" w:color="auto" w:fill="auto"/>
            <w:vAlign w:val="center"/>
          </w:tcPr>
          <w:p w14:paraId="4BE4A87C" w14:textId="77777777" w:rsidR="009D4A93" w:rsidRPr="00536CFD" w:rsidRDefault="009D4A93" w:rsidP="009D4A93">
            <w:pPr>
              <w:spacing w:after="0"/>
              <w:jc w:val="center"/>
              <w:rPr>
                <w:lang w:val="zh-CN"/>
              </w:rPr>
            </w:pPr>
            <w:r w:rsidRPr="00536CFD">
              <w:rPr>
                <w:lang w:val="zh-CN"/>
              </w:rPr>
              <w:t>2.855</w:t>
            </w:r>
          </w:p>
        </w:tc>
        <w:tc>
          <w:tcPr>
            <w:tcW w:w="720" w:type="dxa"/>
            <w:tcBorders>
              <w:top w:val="single" w:sz="4" w:space="0" w:color="auto"/>
              <w:left w:val="nil"/>
              <w:bottom w:val="single" w:sz="4" w:space="0" w:color="auto"/>
              <w:right w:val="single" w:sz="4" w:space="0" w:color="auto"/>
            </w:tcBorders>
            <w:shd w:val="clear" w:color="auto" w:fill="auto"/>
          </w:tcPr>
          <w:p w14:paraId="1E206D99" w14:textId="77777777" w:rsidR="009D4A93" w:rsidRPr="00536CFD" w:rsidRDefault="009D4A93" w:rsidP="009D4A93">
            <w:pPr>
              <w:spacing w:after="0"/>
              <w:jc w:val="center"/>
              <w:rPr>
                <w:lang w:val="zh-CN"/>
              </w:rPr>
            </w:pPr>
            <w:r w:rsidRPr="00536CFD">
              <w:rPr>
                <w:lang w:val="zh-CN"/>
              </w:rPr>
              <w:t>0.672</w:t>
            </w:r>
          </w:p>
        </w:tc>
        <w:tc>
          <w:tcPr>
            <w:tcW w:w="724" w:type="dxa"/>
            <w:tcBorders>
              <w:top w:val="single" w:sz="4" w:space="0" w:color="auto"/>
              <w:left w:val="nil"/>
              <w:bottom w:val="single" w:sz="4" w:space="0" w:color="auto"/>
              <w:right w:val="single" w:sz="4" w:space="0" w:color="auto"/>
            </w:tcBorders>
            <w:shd w:val="clear" w:color="auto" w:fill="auto"/>
            <w:vAlign w:val="center"/>
          </w:tcPr>
          <w:p w14:paraId="5D19442C" w14:textId="77777777" w:rsidR="009D4A93" w:rsidRPr="00536CFD" w:rsidRDefault="009D4A93" w:rsidP="009D4A93">
            <w:pPr>
              <w:spacing w:after="0"/>
              <w:jc w:val="center"/>
              <w:rPr>
                <w:lang w:val="zh-CN"/>
              </w:rPr>
            </w:pPr>
            <w:r w:rsidRPr="00536CFD">
              <w:rPr>
                <w:lang w:val="zh-CN"/>
              </w:rPr>
              <w:t>50.726</w:t>
            </w:r>
          </w:p>
        </w:tc>
        <w:tc>
          <w:tcPr>
            <w:tcW w:w="896" w:type="dxa"/>
            <w:tcBorders>
              <w:top w:val="single" w:sz="4" w:space="0" w:color="auto"/>
              <w:left w:val="nil"/>
              <w:bottom w:val="single" w:sz="4" w:space="0" w:color="auto"/>
              <w:right w:val="single" w:sz="4" w:space="0" w:color="auto"/>
            </w:tcBorders>
            <w:shd w:val="clear" w:color="auto" w:fill="auto"/>
            <w:vAlign w:val="center"/>
          </w:tcPr>
          <w:p w14:paraId="2D5931AA" w14:textId="77777777" w:rsidR="009D4A93" w:rsidRPr="00536CFD" w:rsidRDefault="009D4A93" w:rsidP="009D4A93">
            <w:pPr>
              <w:spacing w:after="0"/>
              <w:jc w:val="center"/>
              <w:rPr>
                <w:lang w:val="zh-CN"/>
              </w:rPr>
            </w:pPr>
            <w:r w:rsidRPr="00536CFD">
              <w:rPr>
                <w:lang w:val="zh-CN"/>
              </w:rPr>
              <w:t>1.492</w:t>
            </w:r>
          </w:p>
        </w:tc>
        <w:tc>
          <w:tcPr>
            <w:tcW w:w="720" w:type="dxa"/>
            <w:tcBorders>
              <w:top w:val="single" w:sz="4" w:space="0" w:color="auto"/>
              <w:left w:val="nil"/>
              <w:bottom w:val="single" w:sz="4" w:space="0" w:color="auto"/>
              <w:right w:val="single" w:sz="4" w:space="0" w:color="auto"/>
            </w:tcBorders>
            <w:shd w:val="clear" w:color="auto" w:fill="auto"/>
            <w:vAlign w:val="center"/>
          </w:tcPr>
          <w:p w14:paraId="51D30CE4" w14:textId="77777777" w:rsidR="009D4A93" w:rsidRPr="00536CFD" w:rsidRDefault="009D4A93" w:rsidP="009D4A93">
            <w:pPr>
              <w:spacing w:after="0"/>
              <w:jc w:val="center"/>
              <w:rPr>
                <w:lang w:val="zh-CN"/>
              </w:rPr>
            </w:pPr>
            <w:r w:rsidRPr="00536CFD">
              <w:rPr>
                <w:lang w:val="zh-CN"/>
              </w:rPr>
              <w:t>5.518</w:t>
            </w:r>
          </w:p>
        </w:tc>
        <w:tc>
          <w:tcPr>
            <w:tcW w:w="720" w:type="dxa"/>
            <w:tcBorders>
              <w:top w:val="single" w:sz="4" w:space="0" w:color="auto"/>
              <w:left w:val="nil"/>
              <w:bottom w:val="single" w:sz="4" w:space="0" w:color="auto"/>
              <w:right w:val="single" w:sz="4" w:space="0" w:color="auto"/>
            </w:tcBorders>
            <w:shd w:val="clear" w:color="auto" w:fill="auto"/>
          </w:tcPr>
          <w:p w14:paraId="28A26145" w14:textId="77777777" w:rsidR="009D4A93" w:rsidRPr="00536CFD" w:rsidRDefault="009D4A93" w:rsidP="009D4A93">
            <w:pPr>
              <w:spacing w:after="0"/>
              <w:jc w:val="center"/>
              <w:rPr>
                <w:lang w:val="zh-CN"/>
              </w:rPr>
            </w:pPr>
            <w:r w:rsidRPr="00536CFD">
              <w:rPr>
                <w:lang w:val="zh-CN"/>
              </w:rPr>
              <w:t>0.732</w:t>
            </w:r>
          </w:p>
        </w:tc>
      </w:tr>
      <w:tr w:rsidR="009D4A93" w:rsidRPr="00536CFD" w14:paraId="1FF2FDF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779014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83238A3"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9B3A220"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0B5F8875" w14:textId="77777777" w:rsidR="009D4A93" w:rsidRPr="00536CFD" w:rsidRDefault="009D4A93" w:rsidP="009D4A93">
            <w:pPr>
              <w:spacing w:after="0"/>
              <w:jc w:val="center"/>
              <w:rPr>
                <w:lang w:val="zh-CN"/>
              </w:rPr>
            </w:pPr>
            <w:r w:rsidRPr="00536CFD">
              <w:rPr>
                <w:lang w:val="zh-CN"/>
              </w:rPr>
              <w:t>0.615</w:t>
            </w:r>
          </w:p>
        </w:tc>
        <w:tc>
          <w:tcPr>
            <w:tcW w:w="720" w:type="dxa"/>
            <w:tcBorders>
              <w:top w:val="single" w:sz="4" w:space="0" w:color="auto"/>
              <w:left w:val="nil"/>
              <w:bottom w:val="single" w:sz="4" w:space="0" w:color="auto"/>
              <w:right w:val="single" w:sz="4" w:space="0" w:color="auto"/>
            </w:tcBorders>
            <w:shd w:val="clear" w:color="auto" w:fill="auto"/>
          </w:tcPr>
          <w:p w14:paraId="6B02BA62" w14:textId="77777777" w:rsidR="009D4A93" w:rsidRPr="00536CFD" w:rsidRDefault="009D4A93" w:rsidP="009D4A93">
            <w:pPr>
              <w:spacing w:after="0"/>
              <w:jc w:val="center"/>
              <w:rPr>
                <w:lang w:val="zh-CN"/>
              </w:rPr>
            </w:pPr>
            <w:r w:rsidRPr="00536CFD">
              <w:rPr>
                <w:lang w:val="zh-CN"/>
              </w:rPr>
              <w:t>0.177</w:t>
            </w:r>
          </w:p>
        </w:tc>
        <w:tc>
          <w:tcPr>
            <w:tcW w:w="720" w:type="dxa"/>
            <w:tcBorders>
              <w:top w:val="single" w:sz="4" w:space="0" w:color="auto"/>
              <w:left w:val="nil"/>
              <w:bottom w:val="single" w:sz="4" w:space="0" w:color="auto"/>
              <w:right w:val="single" w:sz="4" w:space="0" w:color="auto"/>
            </w:tcBorders>
            <w:shd w:val="clear" w:color="auto" w:fill="auto"/>
          </w:tcPr>
          <w:p w14:paraId="62B51F2F" w14:textId="77777777" w:rsidR="009D4A93" w:rsidRPr="00536CFD" w:rsidRDefault="009D4A93" w:rsidP="009D4A93">
            <w:pPr>
              <w:spacing w:after="0"/>
              <w:jc w:val="center"/>
              <w:rPr>
                <w:lang w:val="zh-CN"/>
              </w:rPr>
            </w:pPr>
            <w:r w:rsidRPr="00536CFD">
              <w:rPr>
                <w:lang w:val="zh-CN"/>
              </w:rPr>
              <w:t>1.537</w:t>
            </w:r>
          </w:p>
        </w:tc>
        <w:tc>
          <w:tcPr>
            <w:tcW w:w="810" w:type="dxa"/>
            <w:tcBorders>
              <w:top w:val="single" w:sz="4" w:space="0" w:color="auto"/>
              <w:left w:val="nil"/>
              <w:bottom w:val="single" w:sz="4" w:space="0" w:color="auto"/>
              <w:right w:val="single" w:sz="4" w:space="0" w:color="auto"/>
            </w:tcBorders>
            <w:shd w:val="clear" w:color="auto" w:fill="auto"/>
          </w:tcPr>
          <w:p w14:paraId="597A4954" w14:textId="77777777" w:rsidR="009D4A93" w:rsidRPr="00536CFD" w:rsidRDefault="009D4A93" w:rsidP="009D4A93">
            <w:pPr>
              <w:spacing w:after="0"/>
              <w:jc w:val="center"/>
              <w:rPr>
                <w:lang w:val="zh-CN"/>
              </w:rPr>
            </w:pPr>
            <w:r w:rsidRPr="00536CFD">
              <w:rPr>
                <w:lang w:val="zh-CN"/>
              </w:rPr>
              <w:t>0.145</w:t>
            </w:r>
          </w:p>
        </w:tc>
        <w:tc>
          <w:tcPr>
            <w:tcW w:w="810" w:type="dxa"/>
            <w:tcBorders>
              <w:top w:val="single" w:sz="4" w:space="0" w:color="auto"/>
              <w:left w:val="nil"/>
              <w:bottom w:val="single" w:sz="4" w:space="0" w:color="auto"/>
              <w:right w:val="single" w:sz="4" w:space="0" w:color="auto"/>
            </w:tcBorders>
            <w:shd w:val="clear" w:color="auto" w:fill="auto"/>
          </w:tcPr>
          <w:p w14:paraId="435C1400" w14:textId="77777777" w:rsidR="009D4A93" w:rsidRPr="00536CFD" w:rsidRDefault="009D4A93" w:rsidP="009D4A93">
            <w:pPr>
              <w:spacing w:after="0"/>
              <w:jc w:val="center"/>
              <w:rPr>
                <w:lang w:val="zh-CN"/>
              </w:rPr>
            </w:pPr>
            <w:r w:rsidRPr="00536CFD">
              <w:rPr>
                <w:lang w:val="zh-CN"/>
              </w:rPr>
              <w:t>3.480</w:t>
            </w:r>
          </w:p>
        </w:tc>
        <w:tc>
          <w:tcPr>
            <w:tcW w:w="820" w:type="dxa"/>
            <w:tcBorders>
              <w:top w:val="single" w:sz="4" w:space="0" w:color="auto"/>
              <w:left w:val="nil"/>
              <w:bottom w:val="single" w:sz="4" w:space="0" w:color="auto"/>
              <w:right w:val="single" w:sz="4" w:space="0" w:color="auto"/>
            </w:tcBorders>
            <w:shd w:val="clear" w:color="auto" w:fill="auto"/>
          </w:tcPr>
          <w:p w14:paraId="3E7820D6" w14:textId="77777777" w:rsidR="009D4A93" w:rsidRPr="00536CFD" w:rsidRDefault="009D4A93" w:rsidP="009D4A93">
            <w:pPr>
              <w:spacing w:after="0"/>
              <w:jc w:val="center"/>
              <w:rPr>
                <w:lang w:val="zh-CN"/>
              </w:rPr>
            </w:pPr>
            <w:r w:rsidRPr="00536CFD">
              <w:rPr>
                <w:lang w:val="zh-CN"/>
              </w:rPr>
              <w:t>0.268</w:t>
            </w:r>
          </w:p>
        </w:tc>
        <w:tc>
          <w:tcPr>
            <w:tcW w:w="800" w:type="dxa"/>
            <w:tcBorders>
              <w:top w:val="single" w:sz="4" w:space="0" w:color="auto"/>
              <w:left w:val="nil"/>
              <w:bottom w:val="single" w:sz="4" w:space="0" w:color="auto"/>
              <w:right w:val="single" w:sz="4" w:space="0" w:color="auto"/>
            </w:tcBorders>
            <w:shd w:val="clear" w:color="auto" w:fill="auto"/>
          </w:tcPr>
          <w:p w14:paraId="21908D9B" w14:textId="77777777" w:rsidR="009D4A93" w:rsidRPr="00536CFD" w:rsidRDefault="009D4A93" w:rsidP="009D4A93">
            <w:pPr>
              <w:spacing w:after="0"/>
              <w:jc w:val="center"/>
              <w:rPr>
                <w:lang w:val="zh-CN"/>
              </w:rPr>
            </w:pPr>
            <w:r w:rsidRPr="00536CFD">
              <w:rPr>
                <w:lang w:val="zh-CN"/>
              </w:rPr>
              <w:t>1.519</w:t>
            </w:r>
          </w:p>
        </w:tc>
        <w:tc>
          <w:tcPr>
            <w:tcW w:w="720" w:type="dxa"/>
            <w:tcBorders>
              <w:top w:val="single" w:sz="4" w:space="0" w:color="auto"/>
              <w:left w:val="nil"/>
              <w:bottom w:val="single" w:sz="4" w:space="0" w:color="auto"/>
              <w:right w:val="single" w:sz="4" w:space="0" w:color="auto"/>
            </w:tcBorders>
            <w:shd w:val="clear" w:color="auto" w:fill="auto"/>
          </w:tcPr>
          <w:p w14:paraId="4195414F" w14:textId="77777777" w:rsidR="009D4A93" w:rsidRPr="00536CFD" w:rsidRDefault="009D4A93" w:rsidP="009D4A93">
            <w:pPr>
              <w:spacing w:after="0"/>
              <w:jc w:val="center"/>
              <w:rPr>
                <w:lang w:val="zh-CN"/>
              </w:rPr>
            </w:pPr>
            <w:r w:rsidRPr="00536CFD">
              <w:rPr>
                <w:lang w:val="zh-CN"/>
              </w:rPr>
              <w:t>0.173</w:t>
            </w:r>
          </w:p>
        </w:tc>
        <w:tc>
          <w:tcPr>
            <w:tcW w:w="724" w:type="dxa"/>
            <w:tcBorders>
              <w:top w:val="single" w:sz="4" w:space="0" w:color="auto"/>
              <w:left w:val="nil"/>
              <w:bottom w:val="single" w:sz="4" w:space="0" w:color="auto"/>
              <w:right w:val="single" w:sz="4" w:space="0" w:color="auto"/>
            </w:tcBorders>
            <w:shd w:val="clear" w:color="auto" w:fill="auto"/>
          </w:tcPr>
          <w:p w14:paraId="15F750EA" w14:textId="77777777" w:rsidR="009D4A93" w:rsidRPr="00536CFD" w:rsidRDefault="009D4A93" w:rsidP="009D4A93">
            <w:pPr>
              <w:spacing w:after="0"/>
              <w:jc w:val="center"/>
              <w:rPr>
                <w:lang w:val="zh-CN"/>
              </w:rPr>
            </w:pPr>
            <w:r w:rsidRPr="00536CFD">
              <w:rPr>
                <w:lang w:val="zh-CN"/>
              </w:rPr>
              <w:t>9.934</w:t>
            </w:r>
          </w:p>
        </w:tc>
        <w:tc>
          <w:tcPr>
            <w:tcW w:w="896" w:type="dxa"/>
            <w:tcBorders>
              <w:top w:val="single" w:sz="4" w:space="0" w:color="auto"/>
              <w:left w:val="nil"/>
              <w:bottom w:val="single" w:sz="4" w:space="0" w:color="auto"/>
              <w:right w:val="single" w:sz="4" w:space="0" w:color="auto"/>
            </w:tcBorders>
            <w:shd w:val="clear" w:color="auto" w:fill="auto"/>
          </w:tcPr>
          <w:p w14:paraId="4BE7D2FC" w14:textId="77777777" w:rsidR="009D4A93" w:rsidRPr="00536CFD" w:rsidRDefault="009D4A93" w:rsidP="009D4A93">
            <w:pPr>
              <w:spacing w:after="0"/>
              <w:jc w:val="center"/>
              <w:rPr>
                <w:lang w:val="zh-CN"/>
              </w:rPr>
            </w:pPr>
            <w:r w:rsidRPr="00536CFD">
              <w:rPr>
                <w:lang w:val="zh-CN"/>
              </w:rPr>
              <w:t>0.516</w:t>
            </w:r>
          </w:p>
        </w:tc>
        <w:tc>
          <w:tcPr>
            <w:tcW w:w="720" w:type="dxa"/>
            <w:tcBorders>
              <w:top w:val="single" w:sz="4" w:space="0" w:color="auto"/>
              <w:left w:val="nil"/>
              <w:bottom w:val="single" w:sz="4" w:space="0" w:color="auto"/>
              <w:right w:val="single" w:sz="4" w:space="0" w:color="auto"/>
            </w:tcBorders>
            <w:shd w:val="clear" w:color="auto" w:fill="auto"/>
          </w:tcPr>
          <w:p w14:paraId="1795ED4F" w14:textId="77777777" w:rsidR="009D4A93" w:rsidRPr="00536CFD" w:rsidRDefault="009D4A93" w:rsidP="009D4A93">
            <w:pPr>
              <w:spacing w:after="0"/>
              <w:jc w:val="center"/>
              <w:rPr>
                <w:lang w:val="zh-CN"/>
              </w:rPr>
            </w:pPr>
            <w:r w:rsidRPr="00536CFD">
              <w:rPr>
                <w:lang w:val="zh-CN"/>
              </w:rPr>
              <w:t>1.950</w:t>
            </w:r>
          </w:p>
        </w:tc>
        <w:tc>
          <w:tcPr>
            <w:tcW w:w="720" w:type="dxa"/>
            <w:tcBorders>
              <w:top w:val="single" w:sz="4" w:space="0" w:color="auto"/>
              <w:left w:val="nil"/>
              <w:bottom w:val="single" w:sz="4" w:space="0" w:color="auto"/>
              <w:right w:val="single" w:sz="4" w:space="0" w:color="auto"/>
            </w:tcBorders>
            <w:shd w:val="clear" w:color="auto" w:fill="auto"/>
          </w:tcPr>
          <w:p w14:paraId="6DBDA86B" w14:textId="77777777" w:rsidR="009D4A93" w:rsidRPr="00536CFD" w:rsidRDefault="009D4A93" w:rsidP="009D4A93">
            <w:pPr>
              <w:spacing w:after="0"/>
              <w:jc w:val="center"/>
              <w:rPr>
                <w:lang w:val="zh-CN"/>
              </w:rPr>
            </w:pPr>
            <w:r w:rsidRPr="00536CFD">
              <w:rPr>
                <w:lang w:val="zh-CN"/>
              </w:rPr>
              <w:t>0.179</w:t>
            </w:r>
          </w:p>
        </w:tc>
      </w:tr>
      <w:tr w:rsidR="009D4A93" w:rsidRPr="00536CFD" w14:paraId="39E11DF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805D88D"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235181A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400" w:type="dxa"/>
            <w:tcBorders>
              <w:top w:val="single" w:sz="4" w:space="0" w:color="auto"/>
              <w:left w:val="nil"/>
              <w:bottom w:val="single" w:sz="4" w:space="0" w:color="auto"/>
              <w:right w:val="single" w:sz="4" w:space="0" w:color="auto"/>
            </w:tcBorders>
            <w:shd w:val="clear" w:color="auto" w:fill="auto"/>
          </w:tcPr>
          <w:p w14:paraId="08E88545"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5B4D5D1D" w14:textId="77777777" w:rsidR="009D4A93" w:rsidRPr="00536CFD" w:rsidRDefault="009D4A93" w:rsidP="009D4A93">
            <w:pPr>
              <w:spacing w:after="0"/>
              <w:jc w:val="center"/>
              <w:rPr>
                <w:lang w:val="zh-CN"/>
              </w:rPr>
            </w:pPr>
            <w:r w:rsidRPr="00536CFD">
              <w:rPr>
                <w:lang w:val="zh-CN"/>
              </w:rPr>
              <w:t>3.249</w:t>
            </w:r>
          </w:p>
        </w:tc>
        <w:tc>
          <w:tcPr>
            <w:tcW w:w="720" w:type="dxa"/>
            <w:tcBorders>
              <w:top w:val="single" w:sz="4" w:space="0" w:color="auto"/>
              <w:left w:val="nil"/>
              <w:bottom w:val="single" w:sz="4" w:space="0" w:color="auto"/>
              <w:right w:val="single" w:sz="4" w:space="0" w:color="auto"/>
            </w:tcBorders>
            <w:shd w:val="clear" w:color="auto" w:fill="auto"/>
          </w:tcPr>
          <w:p w14:paraId="41FA1274" w14:textId="77777777" w:rsidR="009D4A93" w:rsidRPr="00536CFD" w:rsidRDefault="009D4A93" w:rsidP="009D4A93">
            <w:pPr>
              <w:spacing w:after="0"/>
              <w:jc w:val="center"/>
              <w:rPr>
                <w:lang w:val="zh-CN"/>
              </w:rPr>
            </w:pPr>
            <w:r w:rsidRPr="00536CFD">
              <w:rPr>
                <w:lang w:val="zh-CN"/>
              </w:rPr>
              <w:t>21.607</w:t>
            </w:r>
          </w:p>
        </w:tc>
        <w:tc>
          <w:tcPr>
            <w:tcW w:w="720" w:type="dxa"/>
            <w:tcBorders>
              <w:top w:val="single" w:sz="4" w:space="0" w:color="auto"/>
              <w:left w:val="nil"/>
              <w:bottom w:val="single" w:sz="4" w:space="0" w:color="auto"/>
              <w:right w:val="single" w:sz="4" w:space="0" w:color="auto"/>
            </w:tcBorders>
            <w:shd w:val="clear" w:color="auto" w:fill="auto"/>
          </w:tcPr>
          <w:p w14:paraId="31A2BBB7" w14:textId="77777777" w:rsidR="009D4A93" w:rsidRPr="00536CFD" w:rsidRDefault="009D4A93" w:rsidP="009D4A93">
            <w:pPr>
              <w:spacing w:after="0"/>
              <w:jc w:val="center"/>
              <w:rPr>
                <w:lang w:val="zh-CN"/>
              </w:rPr>
            </w:pPr>
            <w:r w:rsidRPr="00536CFD">
              <w:rPr>
                <w:lang w:val="zh-CN"/>
              </w:rPr>
              <w:t>5.012</w:t>
            </w:r>
          </w:p>
        </w:tc>
        <w:tc>
          <w:tcPr>
            <w:tcW w:w="810" w:type="dxa"/>
            <w:tcBorders>
              <w:top w:val="single" w:sz="4" w:space="0" w:color="auto"/>
              <w:left w:val="nil"/>
              <w:bottom w:val="single" w:sz="4" w:space="0" w:color="auto"/>
              <w:right w:val="single" w:sz="4" w:space="0" w:color="auto"/>
            </w:tcBorders>
            <w:shd w:val="clear" w:color="auto" w:fill="auto"/>
          </w:tcPr>
          <w:p w14:paraId="4B083193" w14:textId="77777777" w:rsidR="009D4A93" w:rsidRPr="00536CFD" w:rsidRDefault="009D4A93" w:rsidP="009D4A93">
            <w:pPr>
              <w:spacing w:after="0"/>
              <w:jc w:val="center"/>
              <w:rPr>
                <w:lang w:val="zh-CN"/>
              </w:rPr>
            </w:pPr>
            <w:r w:rsidRPr="00536CFD">
              <w:rPr>
                <w:lang w:val="zh-CN"/>
              </w:rPr>
              <w:t>40.063</w:t>
            </w:r>
          </w:p>
        </w:tc>
        <w:tc>
          <w:tcPr>
            <w:tcW w:w="810" w:type="dxa"/>
            <w:tcBorders>
              <w:top w:val="single" w:sz="4" w:space="0" w:color="auto"/>
              <w:left w:val="nil"/>
              <w:bottom w:val="single" w:sz="4" w:space="0" w:color="auto"/>
              <w:right w:val="single" w:sz="4" w:space="0" w:color="auto"/>
            </w:tcBorders>
            <w:shd w:val="clear" w:color="auto" w:fill="auto"/>
          </w:tcPr>
          <w:p w14:paraId="1462A2EE" w14:textId="77777777" w:rsidR="009D4A93" w:rsidRPr="00536CFD" w:rsidRDefault="009D4A93" w:rsidP="009D4A93">
            <w:pPr>
              <w:spacing w:after="0"/>
              <w:jc w:val="center"/>
              <w:rPr>
                <w:lang w:val="zh-CN"/>
              </w:rPr>
            </w:pPr>
            <w:r w:rsidRPr="00536CFD">
              <w:rPr>
                <w:lang w:val="zh-CN"/>
              </w:rPr>
              <w:t>0.148</w:t>
            </w:r>
          </w:p>
        </w:tc>
        <w:tc>
          <w:tcPr>
            <w:tcW w:w="820" w:type="dxa"/>
            <w:tcBorders>
              <w:top w:val="single" w:sz="4" w:space="0" w:color="auto"/>
              <w:left w:val="nil"/>
              <w:bottom w:val="single" w:sz="4" w:space="0" w:color="auto"/>
              <w:right w:val="single" w:sz="4" w:space="0" w:color="auto"/>
            </w:tcBorders>
            <w:shd w:val="clear" w:color="auto" w:fill="auto"/>
          </w:tcPr>
          <w:p w14:paraId="271145BA" w14:textId="77777777" w:rsidR="009D4A93" w:rsidRPr="00536CFD" w:rsidRDefault="009D4A93" w:rsidP="009D4A93">
            <w:pPr>
              <w:spacing w:after="0"/>
              <w:jc w:val="center"/>
              <w:rPr>
                <w:lang w:val="zh-CN"/>
              </w:rPr>
            </w:pPr>
            <w:r w:rsidRPr="00536CFD">
              <w:rPr>
                <w:lang w:val="zh-CN"/>
              </w:rPr>
              <w:t>12.103</w:t>
            </w:r>
          </w:p>
        </w:tc>
        <w:tc>
          <w:tcPr>
            <w:tcW w:w="800" w:type="dxa"/>
            <w:tcBorders>
              <w:top w:val="single" w:sz="4" w:space="0" w:color="auto"/>
              <w:left w:val="nil"/>
              <w:bottom w:val="single" w:sz="4" w:space="0" w:color="auto"/>
              <w:right w:val="single" w:sz="4" w:space="0" w:color="auto"/>
            </w:tcBorders>
            <w:shd w:val="clear" w:color="auto" w:fill="auto"/>
          </w:tcPr>
          <w:p w14:paraId="5CACAC10" w14:textId="77777777" w:rsidR="009D4A93" w:rsidRPr="00536CFD" w:rsidRDefault="009D4A93" w:rsidP="009D4A93">
            <w:pPr>
              <w:spacing w:after="0"/>
              <w:jc w:val="center"/>
              <w:rPr>
                <w:lang w:val="zh-CN"/>
              </w:rPr>
            </w:pPr>
            <w:r w:rsidRPr="00536CFD">
              <w:rPr>
                <w:lang w:val="zh-CN"/>
              </w:rPr>
              <w:t>2.399</w:t>
            </w:r>
          </w:p>
        </w:tc>
        <w:tc>
          <w:tcPr>
            <w:tcW w:w="720" w:type="dxa"/>
            <w:tcBorders>
              <w:top w:val="single" w:sz="4" w:space="0" w:color="auto"/>
              <w:left w:val="nil"/>
              <w:bottom w:val="single" w:sz="4" w:space="0" w:color="auto"/>
              <w:right w:val="single" w:sz="4" w:space="0" w:color="auto"/>
            </w:tcBorders>
            <w:shd w:val="clear" w:color="auto" w:fill="auto"/>
          </w:tcPr>
          <w:p w14:paraId="6751C431" w14:textId="77777777" w:rsidR="009D4A93" w:rsidRPr="00536CFD" w:rsidRDefault="009D4A93" w:rsidP="009D4A93">
            <w:pPr>
              <w:spacing w:after="0"/>
              <w:jc w:val="center"/>
              <w:rPr>
                <w:lang w:val="zh-CN"/>
              </w:rPr>
            </w:pPr>
            <w:r w:rsidRPr="00536CFD">
              <w:rPr>
                <w:lang w:val="zh-CN"/>
              </w:rPr>
              <w:t>24.877</w:t>
            </w:r>
          </w:p>
        </w:tc>
        <w:tc>
          <w:tcPr>
            <w:tcW w:w="724" w:type="dxa"/>
            <w:tcBorders>
              <w:top w:val="single" w:sz="4" w:space="0" w:color="auto"/>
              <w:left w:val="nil"/>
              <w:bottom w:val="single" w:sz="4" w:space="0" w:color="auto"/>
              <w:right w:val="single" w:sz="4" w:space="0" w:color="auto"/>
            </w:tcBorders>
            <w:shd w:val="clear" w:color="auto" w:fill="auto"/>
          </w:tcPr>
          <w:p w14:paraId="46E07899" w14:textId="77777777" w:rsidR="009D4A93" w:rsidRPr="00536CFD" w:rsidRDefault="009D4A93" w:rsidP="009D4A93">
            <w:pPr>
              <w:spacing w:after="0"/>
              <w:jc w:val="center"/>
              <w:rPr>
                <w:lang w:val="zh-CN"/>
              </w:rPr>
            </w:pPr>
            <w:r w:rsidRPr="00536CFD">
              <w:rPr>
                <w:lang w:val="zh-CN"/>
              </w:rPr>
              <w:t>0.003</w:t>
            </w:r>
          </w:p>
        </w:tc>
        <w:tc>
          <w:tcPr>
            <w:tcW w:w="896" w:type="dxa"/>
            <w:tcBorders>
              <w:top w:val="single" w:sz="4" w:space="0" w:color="auto"/>
              <w:left w:val="nil"/>
              <w:bottom w:val="single" w:sz="4" w:space="0" w:color="auto"/>
              <w:right w:val="single" w:sz="4" w:space="0" w:color="auto"/>
            </w:tcBorders>
            <w:shd w:val="clear" w:color="auto" w:fill="auto"/>
          </w:tcPr>
          <w:p w14:paraId="2C7F5588" w14:textId="77777777" w:rsidR="009D4A93" w:rsidRPr="00536CFD" w:rsidRDefault="009D4A93" w:rsidP="009D4A93">
            <w:pPr>
              <w:spacing w:after="0"/>
              <w:jc w:val="center"/>
              <w:rPr>
                <w:lang w:val="zh-CN"/>
              </w:rPr>
            </w:pPr>
            <w:r w:rsidRPr="00536CFD">
              <w:rPr>
                <w:lang w:val="zh-CN"/>
              </w:rPr>
              <w:t>5.661</w:t>
            </w:r>
          </w:p>
        </w:tc>
        <w:tc>
          <w:tcPr>
            <w:tcW w:w="720" w:type="dxa"/>
            <w:tcBorders>
              <w:top w:val="single" w:sz="4" w:space="0" w:color="auto"/>
              <w:left w:val="nil"/>
              <w:bottom w:val="single" w:sz="4" w:space="0" w:color="auto"/>
              <w:right w:val="single" w:sz="4" w:space="0" w:color="auto"/>
            </w:tcBorders>
            <w:shd w:val="clear" w:color="auto" w:fill="auto"/>
          </w:tcPr>
          <w:p w14:paraId="2C0114FB" w14:textId="77777777" w:rsidR="009D4A93" w:rsidRPr="00536CFD" w:rsidRDefault="009D4A93" w:rsidP="009D4A93">
            <w:pPr>
              <w:spacing w:after="0"/>
              <w:jc w:val="center"/>
              <w:rPr>
                <w:lang w:val="zh-CN"/>
              </w:rPr>
            </w:pPr>
            <w:r w:rsidRPr="00536CFD">
              <w:rPr>
                <w:lang w:val="zh-CN"/>
              </w:rPr>
              <w:t>0.030</w:t>
            </w:r>
          </w:p>
        </w:tc>
        <w:tc>
          <w:tcPr>
            <w:tcW w:w="720" w:type="dxa"/>
            <w:tcBorders>
              <w:top w:val="single" w:sz="4" w:space="0" w:color="auto"/>
              <w:left w:val="nil"/>
              <w:bottom w:val="single" w:sz="4" w:space="0" w:color="auto"/>
              <w:right w:val="single" w:sz="4" w:space="0" w:color="auto"/>
            </w:tcBorders>
            <w:shd w:val="clear" w:color="auto" w:fill="auto"/>
          </w:tcPr>
          <w:p w14:paraId="408E9B1A" w14:textId="77777777" w:rsidR="009D4A93" w:rsidRPr="00536CFD" w:rsidRDefault="009D4A93" w:rsidP="009D4A93">
            <w:pPr>
              <w:spacing w:after="0"/>
              <w:jc w:val="center"/>
              <w:rPr>
                <w:lang w:val="zh-CN"/>
              </w:rPr>
            </w:pPr>
            <w:r w:rsidRPr="00536CFD">
              <w:rPr>
                <w:lang w:val="zh-CN"/>
              </w:rPr>
              <w:t>25.941</w:t>
            </w:r>
          </w:p>
        </w:tc>
      </w:tr>
      <w:tr w:rsidR="009D4A93" w:rsidRPr="00536CFD" w14:paraId="7A26C15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C469D2A"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C081C5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2E340568"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1CC02B6B" w14:textId="77777777" w:rsidR="009D4A93" w:rsidRPr="00536CFD" w:rsidRDefault="009D4A93" w:rsidP="009D4A93">
            <w:pPr>
              <w:spacing w:after="0"/>
              <w:jc w:val="center"/>
              <w:rPr>
                <w:lang w:val="zh-CN"/>
              </w:rPr>
            </w:pPr>
            <w:r w:rsidRPr="00536CFD">
              <w:rPr>
                <w:lang w:val="zh-CN"/>
              </w:rPr>
              <w:t>53.859</w:t>
            </w:r>
          </w:p>
        </w:tc>
        <w:tc>
          <w:tcPr>
            <w:tcW w:w="720" w:type="dxa"/>
            <w:tcBorders>
              <w:top w:val="single" w:sz="4" w:space="0" w:color="auto"/>
              <w:left w:val="nil"/>
              <w:bottom w:val="single" w:sz="4" w:space="0" w:color="auto"/>
              <w:right w:val="single" w:sz="4" w:space="0" w:color="auto"/>
            </w:tcBorders>
            <w:shd w:val="clear" w:color="auto" w:fill="auto"/>
          </w:tcPr>
          <w:p w14:paraId="134E6A09" w14:textId="77777777" w:rsidR="009D4A93" w:rsidRPr="00536CFD" w:rsidRDefault="009D4A93" w:rsidP="009D4A93">
            <w:pPr>
              <w:spacing w:after="0"/>
              <w:jc w:val="center"/>
              <w:rPr>
                <w:lang w:val="zh-CN"/>
              </w:rPr>
            </w:pPr>
            <w:r w:rsidRPr="00536CFD">
              <w:rPr>
                <w:lang w:val="zh-CN"/>
              </w:rPr>
              <w:t>57.058</w:t>
            </w:r>
          </w:p>
        </w:tc>
        <w:tc>
          <w:tcPr>
            <w:tcW w:w="720" w:type="dxa"/>
            <w:tcBorders>
              <w:top w:val="single" w:sz="4" w:space="0" w:color="auto"/>
              <w:left w:val="nil"/>
              <w:bottom w:val="single" w:sz="4" w:space="0" w:color="auto"/>
              <w:right w:val="single" w:sz="4" w:space="0" w:color="auto"/>
            </w:tcBorders>
            <w:shd w:val="clear" w:color="auto" w:fill="auto"/>
          </w:tcPr>
          <w:p w14:paraId="42469DA8" w14:textId="77777777" w:rsidR="009D4A93" w:rsidRPr="00536CFD" w:rsidRDefault="009D4A93" w:rsidP="009D4A93">
            <w:pPr>
              <w:spacing w:after="0"/>
              <w:jc w:val="center"/>
              <w:rPr>
                <w:lang w:val="zh-CN"/>
              </w:rPr>
            </w:pPr>
            <w:r w:rsidRPr="00536CFD">
              <w:rPr>
                <w:lang w:val="zh-CN"/>
              </w:rPr>
              <w:t>50.527</w:t>
            </w:r>
          </w:p>
        </w:tc>
        <w:tc>
          <w:tcPr>
            <w:tcW w:w="810" w:type="dxa"/>
            <w:tcBorders>
              <w:top w:val="single" w:sz="4" w:space="0" w:color="auto"/>
              <w:left w:val="nil"/>
              <w:bottom w:val="single" w:sz="4" w:space="0" w:color="auto"/>
              <w:right w:val="single" w:sz="4" w:space="0" w:color="auto"/>
            </w:tcBorders>
            <w:shd w:val="clear" w:color="auto" w:fill="auto"/>
          </w:tcPr>
          <w:p w14:paraId="2A1B0D53" w14:textId="77777777" w:rsidR="009D4A93" w:rsidRPr="00536CFD" w:rsidRDefault="009D4A93" w:rsidP="009D4A93">
            <w:pPr>
              <w:spacing w:after="0"/>
              <w:jc w:val="center"/>
              <w:rPr>
                <w:lang w:val="zh-CN"/>
              </w:rPr>
            </w:pPr>
            <w:r w:rsidRPr="00536CFD">
              <w:rPr>
                <w:lang w:val="zh-CN"/>
              </w:rPr>
              <w:t>54.950</w:t>
            </w:r>
          </w:p>
        </w:tc>
        <w:tc>
          <w:tcPr>
            <w:tcW w:w="810" w:type="dxa"/>
            <w:tcBorders>
              <w:top w:val="single" w:sz="4" w:space="0" w:color="auto"/>
              <w:left w:val="nil"/>
              <w:bottom w:val="single" w:sz="4" w:space="0" w:color="auto"/>
              <w:right w:val="single" w:sz="4" w:space="0" w:color="auto"/>
            </w:tcBorders>
            <w:shd w:val="clear" w:color="auto" w:fill="auto"/>
          </w:tcPr>
          <w:p w14:paraId="6ADAF414" w14:textId="77777777" w:rsidR="009D4A93" w:rsidRPr="00536CFD" w:rsidRDefault="009D4A93" w:rsidP="009D4A93">
            <w:pPr>
              <w:spacing w:after="0"/>
              <w:jc w:val="center"/>
              <w:rPr>
                <w:lang w:val="zh-CN"/>
              </w:rPr>
            </w:pPr>
            <w:r w:rsidRPr="00536CFD">
              <w:rPr>
                <w:lang w:val="zh-CN"/>
              </w:rPr>
              <w:t>37.878</w:t>
            </w:r>
          </w:p>
        </w:tc>
        <w:tc>
          <w:tcPr>
            <w:tcW w:w="820" w:type="dxa"/>
            <w:tcBorders>
              <w:top w:val="single" w:sz="4" w:space="0" w:color="auto"/>
              <w:left w:val="nil"/>
              <w:bottom w:val="single" w:sz="4" w:space="0" w:color="auto"/>
              <w:right w:val="single" w:sz="4" w:space="0" w:color="auto"/>
            </w:tcBorders>
            <w:shd w:val="clear" w:color="auto" w:fill="auto"/>
          </w:tcPr>
          <w:p w14:paraId="6CD295AE" w14:textId="77777777" w:rsidR="009D4A93" w:rsidRPr="00536CFD" w:rsidRDefault="009D4A93" w:rsidP="009D4A93">
            <w:pPr>
              <w:spacing w:after="0"/>
              <w:jc w:val="center"/>
              <w:rPr>
                <w:lang w:val="zh-CN"/>
              </w:rPr>
            </w:pPr>
            <w:r w:rsidRPr="00536CFD">
              <w:rPr>
                <w:lang w:val="zh-CN"/>
              </w:rPr>
              <w:t>51.712</w:t>
            </w:r>
          </w:p>
        </w:tc>
        <w:tc>
          <w:tcPr>
            <w:tcW w:w="800" w:type="dxa"/>
            <w:tcBorders>
              <w:top w:val="single" w:sz="4" w:space="0" w:color="auto"/>
              <w:left w:val="nil"/>
              <w:bottom w:val="single" w:sz="4" w:space="0" w:color="auto"/>
              <w:right w:val="single" w:sz="4" w:space="0" w:color="auto"/>
            </w:tcBorders>
            <w:shd w:val="clear" w:color="auto" w:fill="auto"/>
          </w:tcPr>
          <w:p w14:paraId="65C51C22" w14:textId="77777777" w:rsidR="009D4A93" w:rsidRPr="00536CFD" w:rsidRDefault="009D4A93" w:rsidP="009D4A93">
            <w:pPr>
              <w:spacing w:after="0"/>
              <w:jc w:val="center"/>
              <w:rPr>
                <w:lang w:val="zh-CN"/>
              </w:rPr>
            </w:pPr>
            <w:r w:rsidRPr="00536CFD">
              <w:rPr>
                <w:lang w:val="zh-CN"/>
              </w:rPr>
              <w:t>40.200</w:t>
            </w:r>
          </w:p>
        </w:tc>
        <w:tc>
          <w:tcPr>
            <w:tcW w:w="720" w:type="dxa"/>
            <w:tcBorders>
              <w:top w:val="single" w:sz="4" w:space="0" w:color="auto"/>
              <w:left w:val="nil"/>
              <w:bottom w:val="single" w:sz="4" w:space="0" w:color="auto"/>
              <w:right w:val="single" w:sz="4" w:space="0" w:color="auto"/>
            </w:tcBorders>
            <w:shd w:val="clear" w:color="auto" w:fill="auto"/>
          </w:tcPr>
          <w:p w14:paraId="55D54228" w14:textId="77777777" w:rsidR="009D4A93" w:rsidRPr="00536CFD" w:rsidRDefault="009D4A93" w:rsidP="009D4A93">
            <w:pPr>
              <w:spacing w:after="0"/>
              <w:jc w:val="center"/>
              <w:rPr>
                <w:lang w:val="zh-CN"/>
              </w:rPr>
            </w:pPr>
            <w:r w:rsidRPr="00536CFD">
              <w:rPr>
                <w:lang w:val="zh-CN"/>
              </w:rPr>
              <w:t>49.174</w:t>
            </w:r>
          </w:p>
        </w:tc>
        <w:tc>
          <w:tcPr>
            <w:tcW w:w="724" w:type="dxa"/>
            <w:tcBorders>
              <w:top w:val="single" w:sz="4" w:space="0" w:color="auto"/>
              <w:left w:val="nil"/>
              <w:bottom w:val="single" w:sz="4" w:space="0" w:color="auto"/>
              <w:right w:val="single" w:sz="4" w:space="0" w:color="auto"/>
            </w:tcBorders>
            <w:shd w:val="clear" w:color="auto" w:fill="auto"/>
          </w:tcPr>
          <w:p w14:paraId="7157D165" w14:textId="77777777" w:rsidR="009D4A93" w:rsidRPr="00536CFD" w:rsidRDefault="009D4A93" w:rsidP="009D4A93">
            <w:pPr>
              <w:spacing w:after="0"/>
              <w:jc w:val="center"/>
              <w:rPr>
                <w:lang w:val="zh-CN"/>
              </w:rPr>
            </w:pPr>
            <w:r w:rsidRPr="00536CFD">
              <w:rPr>
                <w:lang w:val="zh-CN"/>
              </w:rPr>
              <w:t>16.032</w:t>
            </w:r>
          </w:p>
        </w:tc>
        <w:tc>
          <w:tcPr>
            <w:tcW w:w="896" w:type="dxa"/>
            <w:tcBorders>
              <w:top w:val="single" w:sz="4" w:space="0" w:color="auto"/>
              <w:left w:val="nil"/>
              <w:bottom w:val="single" w:sz="4" w:space="0" w:color="auto"/>
              <w:right w:val="single" w:sz="4" w:space="0" w:color="auto"/>
            </w:tcBorders>
            <w:shd w:val="clear" w:color="auto" w:fill="auto"/>
          </w:tcPr>
          <w:p w14:paraId="5108F9DD" w14:textId="77777777" w:rsidR="009D4A93" w:rsidRPr="00536CFD" w:rsidRDefault="009D4A93" w:rsidP="009D4A93">
            <w:pPr>
              <w:spacing w:after="0"/>
              <w:jc w:val="center"/>
              <w:rPr>
                <w:lang w:val="zh-CN"/>
              </w:rPr>
            </w:pPr>
            <w:r w:rsidRPr="00536CFD">
              <w:rPr>
                <w:lang w:val="zh-CN"/>
              </w:rPr>
              <w:t>48.471</w:t>
            </w:r>
          </w:p>
        </w:tc>
        <w:tc>
          <w:tcPr>
            <w:tcW w:w="720" w:type="dxa"/>
            <w:tcBorders>
              <w:top w:val="single" w:sz="4" w:space="0" w:color="auto"/>
              <w:left w:val="nil"/>
              <w:bottom w:val="single" w:sz="4" w:space="0" w:color="auto"/>
              <w:right w:val="single" w:sz="4" w:space="0" w:color="auto"/>
            </w:tcBorders>
            <w:shd w:val="clear" w:color="auto" w:fill="auto"/>
          </w:tcPr>
          <w:p w14:paraId="60667BF5" w14:textId="77777777" w:rsidR="009D4A93" w:rsidRPr="00536CFD" w:rsidRDefault="009D4A93" w:rsidP="009D4A93">
            <w:pPr>
              <w:spacing w:after="0"/>
              <w:jc w:val="center"/>
              <w:rPr>
                <w:lang w:val="zh-CN"/>
              </w:rPr>
            </w:pPr>
            <w:r w:rsidRPr="00536CFD">
              <w:rPr>
                <w:lang w:val="zh-CN"/>
              </w:rPr>
              <w:t>34.614</w:t>
            </w:r>
          </w:p>
        </w:tc>
        <w:tc>
          <w:tcPr>
            <w:tcW w:w="720" w:type="dxa"/>
            <w:tcBorders>
              <w:top w:val="single" w:sz="4" w:space="0" w:color="auto"/>
              <w:left w:val="nil"/>
              <w:bottom w:val="single" w:sz="4" w:space="0" w:color="auto"/>
              <w:right w:val="single" w:sz="4" w:space="0" w:color="auto"/>
            </w:tcBorders>
            <w:shd w:val="clear" w:color="auto" w:fill="auto"/>
          </w:tcPr>
          <w:p w14:paraId="56AE5CB0" w14:textId="77777777" w:rsidR="009D4A93" w:rsidRPr="00536CFD" w:rsidRDefault="009D4A93" w:rsidP="009D4A93">
            <w:pPr>
              <w:spacing w:after="0"/>
              <w:jc w:val="center"/>
              <w:rPr>
                <w:lang w:val="zh-CN"/>
              </w:rPr>
            </w:pPr>
            <w:r w:rsidRPr="00536CFD">
              <w:rPr>
                <w:lang w:val="zh-CN"/>
              </w:rPr>
              <w:t>46.898</w:t>
            </w:r>
          </w:p>
        </w:tc>
      </w:tr>
      <w:tr w:rsidR="009D4A93" w:rsidRPr="00536CFD" w14:paraId="645502ED"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3BD46560"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5E41D908"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1F2FFAD9"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0EB722BD" w14:textId="77777777" w:rsidR="009D4A93" w:rsidRPr="00536CFD" w:rsidRDefault="009D4A93" w:rsidP="009D4A93">
            <w:pPr>
              <w:spacing w:after="0"/>
              <w:jc w:val="center"/>
              <w:rPr>
                <w:lang w:val="zh-CN"/>
              </w:rPr>
            </w:pPr>
            <w:r w:rsidRPr="00536CFD">
              <w:rPr>
                <w:lang w:val="zh-CN"/>
              </w:rPr>
              <w:t>61.790</w:t>
            </w:r>
          </w:p>
        </w:tc>
        <w:tc>
          <w:tcPr>
            <w:tcW w:w="720" w:type="dxa"/>
            <w:tcBorders>
              <w:top w:val="single" w:sz="4" w:space="0" w:color="auto"/>
              <w:left w:val="nil"/>
              <w:bottom w:val="single" w:sz="4" w:space="0" w:color="auto"/>
              <w:right w:val="single" w:sz="4" w:space="0" w:color="auto"/>
            </w:tcBorders>
            <w:shd w:val="clear" w:color="auto" w:fill="auto"/>
          </w:tcPr>
          <w:p w14:paraId="22BC6037" w14:textId="77777777" w:rsidR="009D4A93" w:rsidRPr="00536CFD" w:rsidRDefault="009D4A93" w:rsidP="009D4A93">
            <w:pPr>
              <w:spacing w:after="0"/>
              <w:jc w:val="center"/>
              <w:rPr>
                <w:lang w:val="zh-CN"/>
              </w:rPr>
            </w:pPr>
            <w:r w:rsidRPr="00536CFD">
              <w:rPr>
                <w:lang w:val="zh-CN"/>
              </w:rPr>
              <w:t>61.815</w:t>
            </w:r>
          </w:p>
        </w:tc>
        <w:tc>
          <w:tcPr>
            <w:tcW w:w="720" w:type="dxa"/>
            <w:tcBorders>
              <w:top w:val="single" w:sz="4" w:space="0" w:color="auto"/>
              <w:left w:val="nil"/>
              <w:bottom w:val="single" w:sz="4" w:space="0" w:color="auto"/>
              <w:right w:val="single" w:sz="4" w:space="0" w:color="auto"/>
            </w:tcBorders>
            <w:shd w:val="clear" w:color="auto" w:fill="auto"/>
          </w:tcPr>
          <w:p w14:paraId="2FC3D042" w14:textId="77777777" w:rsidR="009D4A93" w:rsidRPr="00536CFD" w:rsidRDefault="009D4A93" w:rsidP="009D4A93">
            <w:pPr>
              <w:spacing w:after="0"/>
              <w:jc w:val="center"/>
              <w:rPr>
                <w:lang w:val="zh-CN"/>
              </w:rPr>
            </w:pPr>
            <w:r w:rsidRPr="00536CFD">
              <w:rPr>
                <w:lang w:val="zh-CN"/>
              </w:rPr>
              <w:t>58.788</w:t>
            </w:r>
          </w:p>
        </w:tc>
        <w:tc>
          <w:tcPr>
            <w:tcW w:w="810" w:type="dxa"/>
            <w:tcBorders>
              <w:top w:val="single" w:sz="4" w:space="0" w:color="auto"/>
              <w:left w:val="nil"/>
              <w:bottom w:val="single" w:sz="4" w:space="0" w:color="auto"/>
              <w:right w:val="single" w:sz="4" w:space="0" w:color="auto"/>
            </w:tcBorders>
            <w:shd w:val="clear" w:color="auto" w:fill="auto"/>
          </w:tcPr>
          <w:p w14:paraId="06194940" w14:textId="77777777" w:rsidR="009D4A93" w:rsidRPr="00536CFD" w:rsidRDefault="009D4A93" w:rsidP="009D4A93">
            <w:pPr>
              <w:spacing w:after="0"/>
              <w:jc w:val="center"/>
              <w:rPr>
                <w:lang w:val="zh-CN"/>
              </w:rPr>
            </w:pPr>
            <w:r w:rsidRPr="00536CFD">
              <w:rPr>
                <w:lang w:val="zh-CN"/>
              </w:rPr>
              <w:t>59.297</w:t>
            </w:r>
          </w:p>
        </w:tc>
        <w:tc>
          <w:tcPr>
            <w:tcW w:w="810" w:type="dxa"/>
            <w:tcBorders>
              <w:top w:val="single" w:sz="4" w:space="0" w:color="auto"/>
              <w:left w:val="nil"/>
              <w:bottom w:val="single" w:sz="4" w:space="0" w:color="auto"/>
              <w:right w:val="single" w:sz="4" w:space="0" w:color="auto"/>
            </w:tcBorders>
            <w:shd w:val="clear" w:color="auto" w:fill="auto"/>
          </w:tcPr>
          <w:p w14:paraId="131BC47D" w14:textId="77777777" w:rsidR="009D4A93" w:rsidRPr="00536CFD" w:rsidRDefault="009D4A93" w:rsidP="009D4A93">
            <w:pPr>
              <w:spacing w:after="0"/>
              <w:jc w:val="center"/>
              <w:rPr>
                <w:lang w:val="zh-CN"/>
              </w:rPr>
            </w:pPr>
            <w:r w:rsidRPr="00536CFD">
              <w:rPr>
                <w:lang w:val="zh-CN"/>
              </w:rPr>
              <w:t>57.646</w:t>
            </w:r>
          </w:p>
        </w:tc>
        <w:tc>
          <w:tcPr>
            <w:tcW w:w="820" w:type="dxa"/>
            <w:tcBorders>
              <w:top w:val="single" w:sz="4" w:space="0" w:color="auto"/>
              <w:left w:val="nil"/>
              <w:bottom w:val="single" w:sz="4" w:space="0" w:color="auto"/>
              <w:right w:val="single" w:sz="4" w:space="0" w:color="auto"/>
            </w:tcBorders>
            <w:shd w:val="clear" w:color="auto" w:fill="auto"/>
          </w:tcPr>
          <w:p w14:paraId="2B4DB7A5" w14:textId="77777777" w:rsidR="009D4A93" w:rsidRPr="00536CFD" w:rsidRDefault="009D4A93" w:rsidP="009D4A93">
            <w:pPr>
              <w:spacing w:after="0"/>
              <w:jc w:val="center"/>
              <w:rPr>
                <w:lang w:val="zh-CN"/>
              </w:rPr>
            </w:pPr>
            <w:r w:rsidRPr="00536CFD">
              <w:rPr>
                <w:lang w:val="zh-CN"/>
              </w:rPr>
              <w:t>60.269</w:t>
            </w:r>
          </w:p>
        </w:tc>
        <w:tc>
          <w:tcPr>
            <w:tcW w:w="800" w:type="dxa"/>
            <w:tcBorders>
              <w:top w:val="single" w:sz="4" w:space="0" w:color="auto"/>
              <w:left w:val="nil"/>
              <w:bottom w:val="single" w:sz="4" w:space="0" w:color="auto"/>
              <w:right w:val="single" w:sz="4" w:space="0" w:color="auto"/>
            </w:tcBorders>
            <w:shd w:val="clear" w:color="auto" w:fill="auto"/>
          </w:tcPr>
          <w:p w14:paraId="5F8AEC50" w14:textId="77777777" w:rsidR="009D4A93" w:rsidRPr="00536CFD" w:rsidRDefault="009D4A93" w:rsidP="009D4A93">
            <w:pPr>
              <w:spacing w:after="0"/>
              <w:jc w:val="center"/>
              <w:rPr>
                <w:lang w:val="zh-CN"/>
              </w:rPr>
            </w:pPr>
            <w:r w:rsidRPr="00536CFD">
              <w:rPr>
                <w:lang w:val="zh-CN"/>
              </w:rPr>
              <w:t>54.446</w:t>
            </w:r>
          </w:p>
        </w:tc>
        <w:tc>
          <w:tcPr>
            <w:tcW w:w="720" w:type="dxa"/>
            <w:tcBorders>
              <w:top w:val="single" w:sz="4" w:space="0" w:color="auto"/>
              <w:left w:val="nil"/>
              <w:bottom w:val="single" w:sz="4" w:space="0" w:color="auto"/>
              <w:right w:val="single" w:sz="4" w:space="0" w:color="auto"/>
            </w:tcBorders>
            <w:shd w:val="clear" w:color="auto" w:fill="auto"/>
          </w:tcPr>
          <w:p w14:paraId="6F989BD1" w14:textId="77777777" w:rsidR="009D4A93" w:rsidRPr="00536CFD" w:rsidRDefault="009D4A93" w:rsidP="009D4A93">
            <w:pPr>
              <w:spacing w:after="0"/>
              <w:jc w:val="center"/>
              <w:rPr>
                <w:lang w:val="zh-CN"/>
              </w:rPr>
            </w:pPr>
            <w:r w:rsidRPr="00536CFD">
              <w:rPr>
                <w:lang w:val="zh-CN"/>
              </w:rPr>
              <w:t>56.350</w:t>
            </w:r>
          </w:p>
        </w:tc>
        <w:tc>
          <w:tcPr>
            <w:tcW w:w="724" w:type="dxa"/>
            <w:tcBorders>
              <w:top w:val="single" w:sz="4" w:space="0" w:color="auto"/>
              <w:left w:val="nil"/>
              <w:bottom w:val="single" w:sz="4" w:space="0" w:color="auto"/>
              <w:right w:val="single" w:sz="4" w:space="0" w:color="auto"/>
            </w:tcBorders>
            <w:shd w:val="clear" w:color="auto" w:fill="auto"/>
          </w:tcPr>
          <w:p w14:paraId="4C9E8A33" w14:textId="77777777" w:rsidR="009D4A93" w:rsidRPr="00536CFD" w:rsidRDefault="009D4A93" w:rsidP="009D4A93">
            <w:pPr>
              <w:spacing w:after="0"/>
              <w:jc w:val="center"/>
              <w:rPr>
                <w:lang w:val="zh-CN"/>
              </w:rPr>
            </w:pPr>
            <w:r w:rsidRPr="00536CFD">
              <w:rPr>
                <w:lang w:val="zh-CN"/>
              </w:rPr>
              <w:t>54.671</w:t>
            </w:r>
          </w:p>
        </w:tc>
        <w:tc>
          <w:tcPr>
            <w:tcW w:w="896" w:type="dxa"/>
            <w:tcBorders>
              <w:top w:val="single" w:sz="4" w:space="0" w:color="auto"/>
              <w:left w:val="nil"/>
              <w:bottom w:val="single" w:sz="4" w:space="0" w:color="auto"/>
              <w:right w:val="single" w:sz="4" w:space="0" w:color="auto"/>
            </w:tcBorders>
            <w:shd w:val="clear" w:color="auto" w:fill="auto"/>
          </w:tcPr>
          <w:p w14:paraId="7928A84E" w14:textId="77777777" w:rsidR="009D4A93" w:rsidRPr="00536CFD" w:rsidRDefault="009D4A93" w:rsidP="009D4A93">
            <w:pPr>
              <w:spacing w:after="0"/>
              <w:jc w:val="center"/>
              <w:rPr>
                <w:lang w:val="zh-CN"/>
              </w:rPr>
            </w:pPr>
            <w:r w:rsidRPr="00536CFD">
              <w:rPr>
                <w:lang w:val="zh-CN"/>
              </w:rPr>
              <w:t>58.894</w:t>
            </w:r>
          </w:p>
        </w:tc>
        <w:tc>
          <w:tcPr>
            <w:tcW w:w="720" w:type="dxa"/>
            <w:tcBorders>
              <w:top w:val="single" w:sz="4" w:space="0" w:color="auto"/>
              <w:left w:val="nil"/>
              <w:bottom w:val="single" w:sz="4" w:space="0" w:color="auto"/>
              <w:right w:val="single" w:sz="4" w:space="0" w:color="auto"/>
            </w:tcBorders>
            <w:shd w:val="clear" w:color="auto" w:fill="auto"/>
          </w:tcPr>
          <w:p w14:paraId="27CDBA1D" w14:textId="77777777" w:rsidR="009D4A93" w:rsidRPr="00536CFD" w:rsidRDefault="009D4A93" w:rsidP="009D4A93">
            <w:pPr>
              <w:spacing w:after="0"/>
              <w:jc w:val="center"/>
              <w:rPr>
                <w:lang w:val="zh-CN"/>
              </w:rPr>
            </w:pPr>
            <w:r w:rsidRPr="00536CFD">
              <w:rPr>
                <w:lang w:val="zh-CN"/>
              </w:rPr>
              <w:t>51.578</w:t>
            </w:r>
          </w:p>
        </w:tc>
        <w:tc>
          <w:tcPr>
            <w:tcW w:w="720" w:type="dxa"/>
            <w:tcBorders>
              <w:top w:val="single" w:sz="4" w:space="0" w:color="auto"/>
              <w:left w:val="nil"/>
              <w:bottom w:val="single" w:sz="4" w:space="0" w:color="auto"/>
              <w:right w:val="single" w:sz="4" w:space="0" w:color="auto"/>
            </w:tcBorders>
            <w:shd w:val="clear" w:color="auto" w:fill="auto"/>
          </w:tcPr>
          <w:p w14:paraId="1A69B517" w14:textId="77777777" w:rsidR="009D4A93" w:rsidRPr="00536CFD" w:rsidRDefault="009D4A93" w:rsidP="009D4A93">
            <w:pPr>
              <w:spacing w:after="0"/>
              <w:jc w:val="center"/>
              <w:rPr>
                <w:lang w:val="zh-CN"/>
              </w:rPr>
            </w:pPr>
            <w:r w:rsidRPr="00536CFD">
              <w:rPr>
                <w:lang w:val="zh-CN"/>
              </w:rPr>
              <w:t>55.014</w:t>
            </w:r>
          </w:p>
        </w:tc>
      </w:tr>
      <w:tr w:rsidR="009D4A93" w:rsidRPr="00536CFD" w14:paraId="6090359F"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2C5E3A8E"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35F9281D"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284A1CD"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253FF0F8" w14:textId="77777777" w:rsidR="009D4A93" w:rsidRPr="00536CFD" w:rsidRDefault="009D4A93" w:rsidP="009D4A93">
            <w:pPr>
              <w:spacing w:after="0"/>
              <w:jc w:val="center"/>
              <w:rPr>
                <w:lang w:val="zh-CN"/>
              </w:rPr>
            </w:pPr>
            <w:r w:rsidRPr="00536CFD">
              <w:rPr>
                <w:lang w:val="zh-CN"/>
              </w:rPr>
              <w:t>47.340</w:t>
            </w:r>
          </w:p>
        </w:tc>
        <w:tc>
          <w:tcPr>
            <w:tcW w:w="720" w:type="dxa"/>
            <w:tcBorders>
              <w:top w:val="single" w:sz="4" w:space="0" w:color="auto"/>
              <w:left w:val="nil"/>
              <w:bottom w:val="single" w:sz="4" w:space="0" w:color="auto"/>
              <w:right w:val="single" w:sz="4" w:space="0" w:color="auto"/>
            </w:tcBorders>
            <w:shd w:val="clear" w:color="auto" w:fill="auto"/>
          </w:tcPr>
          <w:p w14:paraId="210C161D" w14:textId="77777777" w:rsidR="009D4A93" w:rsidRPr="00536CFD" w:rsidRDefault="009D4A93" w:rsidP="009D4A93">
            <w:pPr>
              <w:spacing w:after="0"/>
              <w:jc w:val="center"/>
              <w:rPr>
                <w:lang w:val="zh-CN"/>
              </w:rPr>
            </w:pPr>
            <w:r w:rsidRPr="00536CFD">
              <w:rPr>
                <w:lang w:val="zh-CN"/>
              </w:rPr>
              <w:t>52.428</w:t>
            </w:r>
          </w:p>
        </w:tc>
        <w:tc>
          <w:tcPr>
            <w:tcW w:w="720" w:type="dxa"/>
            <w:tcBorders>
              <w:top w:val="single" w:sz="4" w:space="0" w:color="auto"/>
              <w:left w:val="nil"/>
              <w:bottom w:val="single" w:sz="4" w:space="0" w:color="auto"/>
              <w:right w:val="single" w:sz="4" w:space="0" w:color="auto"/>
            </w:tcBorders>
            <w:shd w:val="clear" w:color="auto" w:fill="auto"/>
          </w:tcPr>
          <w:p w14:paraId="67B91CF7" w14:textId="77777777" w:rsidR="009D4A93" w:rsidRPr="00536CFD" w:rsidRDefault="009D4A93" w:rsidP="009D4A93">
            <w:pPr>
              <w:spacing w:after="0"/>
              <w:jc w:val="center"/>
              <w:rPr>
                <w:lang w:val="zh-CN"/>
              </w:rPr>
            </w:pPr>
            <w:r w:rsidRPr="00536CFD">
              <w:rPr>
                <w:lang w:val="zh-CN"/>
              </w:rPr>
              <w:t>43.627</w:t>
            </w:r>
          </w:p>
        </w:tc>
        <w:tc>
          <w:tcPr>
            <w:tcW w:w="810" w:type="dxa"/>
            <w:tcBorders>
              <w:top w:val="single" w:sz="4" w:space="0" w:color="auto"/>
              <w:left w:val="nil"/>
              <w:bottom w:val="single" w:sz="4" w:space="0" w:color="auto"/>
              <w:right w:val="single" w:sz="4" w:space="0" w:color="auto"/>
            </w:tcBorders>
            <w:shd w:val="clear" w:color="auto" w:fill="auto"/>
          </w:tcPr>
          <w:p w14:paraId="4399260B" w14:textId="77777777" w:rsidR="009D4A93" w:rsidRPr="00536CFD" w:rsidRDefault="009D4A93" w:rsidP="009D4A93">
            <w:pPr>
              <w:spacing w:after="0"/>
              <w:jc w:val="center"/>
              <w:rPr>
                <w:lang w:val="zh-CN"/>
              </w:rPr>
            </w:pPr>
            <w:r w:rsidRPr="00536CFD">
              <w:rPr>
                <w:lang w:val="zh-CN"/>
              </w:rPr>
              <w:t>53.066</w:t>
            </w:r>
          </w:p>
        </w:tc>
        <w:tc>
          <w:tcPr>
            <w:tcW w:w="810" w:type="dxa"/>
            <w:tcBorders>
              <w:top w:val="single" w:sz="4" w:space="0" w:color="auto"/>
              <w:left w:val="nil"/>
              <w:bottom w:val="single" w:sz="4" w:space="0" w:color="auto"/>
              <w:right w:val="single" w:sz="4" w:space="0" w:color="auto"/>
            </w:tcBorders>
            <w:shd w:val="clear" w:color="auto" w:fill="auto"/>
          </w:tcPr>
          <w:p w14:paraId="65554691" w14:textId="77777777" w:rsidR="009D4A93" w:rsidRPr="00536CFD" w:rsidRDefault="009D4A93" w:rsidP="009D4A93">
            <w:pPr>
              <w:spacing w:after="0"/>
              <w:jc w:val="center"/>
              <w:rPr>
                <w:lang w:val="zh-CN"/>
              </w:rPr>
            </w:pPr>
            <w:r w:rsidRPr="00536CFD">
              <w:rPr>
                <w:lang w:val="zh-CN"/>
              </w:rPr>
              <w:t>33.050</w:t>
            </w:r>
          </w:p>
        </w:tc>
        <w:tc>
          <w:tcPr>
            <w:tcW w:w="820" w:type="dxa"/>
            <w:tcBorders>
              <w:top w:val="single" w:sz="4" w:space="0" w:color="auto"/>
              <w:left w:val="nil"/>
              <w:bottom w:val="single" w:sz="4" w:space="0" w:color="auto"/>
              <w:right w:val="single" w:sz="4" w:space="0" w:color="auto"/>
            </w:tcBorders>
            <w:shd w:val="clear" w:color="auto" w:fill="auto"/>
          </w:tcPr>
          <w:p w14:paraId="138108F6" w14:textId="77777777" w:rsidR="009D4A93" w:rsidRPr="00536CFD" w:rsidRDefault="009D4A93" w:rsidP="009D4A93">
            <w:pPr>
              <w:spacing w:after="0"/>
              <w:jc w:val="center"/>
              <w:rPr>
                <w:lang w:val="zh-CN"/>
              </w:rPr>
            </w:pPr>
            <w:r w:rsidRPr="00536CFD">
              <w:rPr>
                <w:lang w:val="zh-CN"/>
              </w:rPr>
              <w:t>46.962</w:t>
            </w:r>
          </w:p>
        </w:tc>
        <w:tc>
          <w:tcPr>
            <w:tcW w:w="800" w:type="dxa"/>
            <w:tcBorders>
              <w:top w:val="single" w:sz="4" w:space="0" w:color="auto"/>
              <w:left w:val="nil"/>
              <w:bottom w:val="single" w:sz="4" w:space="0" w:color="auto"/>
              <w:right w:val="single" w:sz="4" w:space="0" w:color="auto"/>
            </w:tcBorders>
            <w:shd w:val="clear" w:color="auto" w:fill="auto"/>
          </w:tcPr>
          <w:p w14:paraId="58418880" w14:textId="77777777" w:rsidR="009D4A93" w:rsidRPr="00536CFD" w:rsidRDefault="009D4A93" w:rsidP="009D4A93">
            <w:pPr>
              <w:spacing w:after="0"/>
              <w:jc w:val="center"/>
              <w:rPr>
                <w:lang w:val="zh-CN"/>
              </w:rPr>
            </w:pPr>
            <w:r w:rsidRPr="00536CFD">
              <w:rPr>
                <w:lang w:val="zh-CN"/>
              </w:rPr>
              <w:t>34.726</w:t>
            </w:r>
          </w:p>
        </w:tc>
        <w:tc>
          <w:tcPr>
            <w:tcW w:w="720" w:type="dxa"/>
            <w:tcBorders>
              <w:top w:val="single" w:sz="4" w:space="0" w:color="auto"/>
              <w:left w:val="nil"/>
              <w:bottom w:val="single" w:sz="4" w:space="0" w:color="auto"/>
              <w:right w:val="single" w:sz="4" w:space="0" w:color="auto"/>
            </w:tcBorders>
            <w:shd w:val="clear" w:color="auto" w:fill="auto"/>
          </w:tcPr>
          <w:p w14:paraId="651E8D1C" w14:textId="77777777" w:rsidR="009D4A93" w:rsidRPr="00536CFD" w:rsidRDefault="009D4A93" w:rsidP="009D4A93">
            <w:pPr>
              <w:spacing w:after="0"/>
              <w:jc w:val="center"/>
              <w:rPr>
                <w:lang w:val="zh-CN"/>
              </w:rPr>
            </w:pPr>
            <w:r w:rsidRPr="00536CFD">
              <w:rPr>
                <w:lang w:val="zh-CN"/>
              </w:rPr>
              <w:t>46.746</w:t>
            </w:r>
          </w:p>
        </w:tc>
        <w:tc>
          <w:tcPr>
            <w:tcW w:w="724" w:type="dxa"/>
            <w:tcBorders>
              <w:top w:val="single" w:sz="4" w:space="0" w:color="auto"/>
              <w:left w:val="nil"/>
              <w:bottom w:val="single" w:sz="4" w:space="0" w:color="auto"/>
              <w:right w:val="single" w:sz="4" w:space="0" w:color="auto"/>
            </w:tcBorders>
            <w:shd w:val="clear" w:color="auto" w:fill="auto"/>
          </w:tcPr>
          <w:p w14:paraId="6018599D" w14:textId="77777777" w:rsidR="009D4A93" w:rsidRPr="00536CFD" w:rsidRDefault="009D4A93" w:rsidP="009D4A93">
            <w:pPr>
              <w:spacing w:after="0"/>
              <w:jc w:val="center"/>
              <w:rPr>
                <w:lang w:val="zh-CN"/>
              </w:rPr>
            </w:pPr>
            <w:r w:rsidRPr="00536CFD">
              <w:rPr>
                <w:lang w:val="zh-CN"/>
              </w:rPr>
              <w:t>22.271</w:t>
            </w:r>
          </w:p>
        </w:tc>
        <w:tc>
          <w:tcPr>
            <w:tcW w:w="896" w:type="dxa"/>
            <w:tcBorders>
              <w:top w:val="single" w:sz="4" w:space="0" w:color="auto"/>
              <w:left w:val="nil"/>
              <w:bottom w:val="single" w:sz="4" w:space="0" w:color="auto"/>
              <w:right w:val="single" w:sz="4" w:space="0" w:color="auto"/>
            </w:tcBorders>
            <w:shd w:val="clear" w:color="auto" w:fill="auto"/>
          </w:tcPr>
          <w:p w14:paraId="2132D233" w14:textId="77777777" w:rsidR="009D4A93" w:rsidRPr="00536CFD" w:rsidRDefault="009D4A93" w:rsidP="009D4A93">
            <w:pPr>
              <w:spacing w:after="0"/>
              <w:jc w:val="center"/>
              <w:rPr>
                <w:lang w:val="zh-CN"/>
              </w:rPr>
            </w:pPr>
            <w:r w:rsidRPr="00536CFD">
              <w:rPr>
                <w:lang w:val="zh-CN"/>
              </w:rPr>
              <w:t>43.239</w:t>
            </w:r>
          </w:p>
        </w:tc>
        <w:tc>
          <w:tcPr>
            <w:tcW w:w="720" w:type="dxa"/>
            <w:tcBorders>
              <w:top w:val="single" w:sz="4" w:space="0" w:color="auto"/>
              <w:left w:val="nil"/>
              <w:bottom w:val="single" w:sz="4" w:space="0" w:color="auto"/>
              <w:right w:val="single" w:sz="4" w:space="0" w:color="auto"/>
            </w:tcBorders>
            <w:shd w:val="clear" w:color="auto" w:fill="auto"/>
          </w:tcPr>
          <w:p w14:paraId="35B6B32A" w14:textId="77777777" w:rsidR="009D4A93" w:rsidRPr="00536CFD" w:rsidRDefault="009D4A93" w:rsidP="009D4A93">
            <w:pPr>
              <w:spacing w:after="0"/>
              <w:jc w:val="center"/>
              <w:rPr>
                <w:lang w:val="zh-CN"/>
              </w:rPr>
            </w:pPr>
            <w:r w:rsidRPr="00536CFD">
              <w:rPr>
                <w:lang w:val="zh-CN"/>
              </w:rPr>
              <w:t>29.886</w:t>
            </w:r>
          </w:p>
        </w:tc>
        <w:tc>
          <w:tcPr>
            <w:tcW w:w="720" w:type="dxa"/>
            <w:tcBorders>
              <w:top w:val="single" w:sz="4" w:space="0" w:color="auto"/>
              <w:left w:val="nil"/>
              <w:bottom w:val="single" w:sz="4" w:space="0" w:color="auto"/>
              <w:right w:val="single" w:sz="4" w:space="0" w:color="auto"/>
            </w:tcBorders>
            <w:shd w:val="clear" w:color="auto" w:fill="auto"/>
          </w:tcPr>
          <w:p w14:paraId="3D04146C" w14:textId="77777777" w:rsidR="009D4A93" w:rsidRPr="00536CFD" w:rsidRDefault="009D4A93" w:rsidP="009D4A93">
            <w:pPr>
              <w:spacing w:after="0"/>
              <w:jc w:val="center"/>
              <w:rPr>
                <w:lang w:val="zh-CN"/>
              </w:rPr>
            </w:pPr>
            <w:r w:rsidRPr="00536CFD">
              <w:rPr>
                <w:lang w:val="zh-CN"/>
              </w:rPr>
              <w:t>44.700</w:t>
            </w:r>
          </w:p>
        </w:tc>
      </w:tr>
      <w:tr w:rsidR="009D4A93" w:rsidRPr="00536CFD" w14:paraId="79C47670"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1765EC0E" w14:textId="77777777" w:rsidR="009D4A93" w:rsidRPr="00536CFD" w:rsidRDefault="009D4A93" w:rsidP="009D4A93">
            <w:pPr>
              <w:spacing w:after="0"/>
              <w:ind w:left="113" w:right="113"/>
            </w:pPr>
          </w:p>
        </w:tc>
        <w:tc>
          <w:tcPr>
            <w:tcW w:w="535" w:type="dxa"/>
            <w:vMerge w:val="restart"/>
            <w:tcBorders>
              <w:top w:val="nil"/>
              <w:left w:val="nil"/>
              <w:bottom w:val="single" w:sz="4" w:space="0" w:color="auto"/>
              <w:right w:val="single" w:sz="4" w:space="0" w:color="auto"/>
            </w:tcBorders>
            <w:shd w:val="clear" w:color="auto" w:fill="auto"/>
          </w:tcPr>
          <w:p w14:paraId="3C1DA004"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400" w:type="dxa"/>
            <w:tcBorders>
              <w:top w:val="single" w:sz="4" w:space="0" w:color="auto"/>
              <w:left w:val="nil"/>
              <w:bottom w:val="single" w:sz="4" w:space="0" w:color="auto"/>
              <w:right w:val="single" w:sz="4" w:space="0" w:color="auto"/>
            </w:tcBorders>
            <w:shd w:val="clear" w:color="auto" w:fill="auto"/>
          </w:tcPr>
          <w:p w14:paraId="57908581"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714" w:type="dxa"/>
            <w:tcBorders>
              <w:top w:val="single" w:sz="4" w:space="0" w:color="auto"/>
              <w:left w:val="nil"/>
              <w:bottom w:val="single" w:sz="4" w:space="0" w:color="auto"/>
              <w:right w:val="single" w:sz="4" w:space="0" w:color="auto"/>
            </w:tcBorders>
            <w:shd w:val="clear" w:color="auto" w:fill="auto"/>
          </w:tcPr>
          <w:p w14:paraId="5E5E8DB6" w14:textId="77777777" w:rsidR="009D4A93" w:rsidRPr="00536CFD" w:rsidRDefault="009D4A93" w:rsidP="009D4A93">
            <w:pPr>
              <w:spacing w:after="0"/>
              <w:jc w:val="center"/>
              <w:rPr>
                <w:lang w:val="zh-CN"/>
              </w:rPr>
            </w:pPr>
            <w:r w:rsidRPr="00536CFD">
              <w:rPr>
                <w:lang w:val="zh-CN"/>
              </w:rPr>
              <w:t>0.068</w:t>
            </w:r>
          </w:p>
        </w:tc>
        <w:tc>
          <w:tcPr>
            <w:tcW w:w="720" w:type="dxa"/>
            <w:tcBorders>
              <w:top w:val="single" w:sz="4" w:space="0" w:color="auto"/>
              <w:left w:val="nil"/>
              <w:bottom w:val="single" w:sz="4" w:space="0" w:color="auto"/>
              <w:right w:val="single" w:sz="4" w:space="0" w:color="auto"/>
            </w:tcBorders>
            <w:shd w:val="clear" w:color="auto" w:fill="auto"/>
          </w:tcPr>
          <w:p w14:paraId="6C6F75E0" w14:textId="77777777" w:rsidR="009D4A93" w:rsidRPr="00536CFD" w:rsidRDefault="009D4A93" w:rsidP="009D4A93">
            <w:pPr>
              <w:spacing w:after="0"/>
              <w:jc w:val="center"/>
              <w:rPr>
                <w:lang w:val="zh-CN"/>
              </w:rPr>
            </w:pPr>
            <w:r w:rsidRPr="00536CFD">
              <w:rPr>
                <w:lang w:val="zh-CN"/>
              </w:rPr>
              <w:t>0.068</w:t>
            </w:r>
          </w:p>
        </w:tc>
        <w:tc>
          <w:tcPr>
            <w:tcW w:w="720" w:type="dxa"/>
            <w:tcBorders>
              <w:top w:val="single" w:sz="4" w:space="0" w:color="auto"/>
              <w:left w:val="nil"/>
              <w:bottom w:val="single" w:sz="4" w:space="0" w:color="auto"/>
              <w:right w:val="single" w:sz="4" w:space="0" w:color="auto"/>
            </w:tcBorders>
            <w:shd w:val="clear" w:color="auto" w:fill="auto"/>
          </w:tcPr>
          <w:p w14:paraId="0B0A0EC2" w14:textId="77777777" w:rsidR="009D4A93" w:rsidRPr="00536CFD" w:rsidRDefault="009D4A93" w:rsidP="009D4A93">
            <w:pPr>
              <w:spacing w:after="0"/>
              <w:jc w:val="center"/>
              <w:rPr>
                <w:lang w:val="zh-CN"/>
              </w:rPr>
            </w:pPr>
            <w:r w:rsidRPr="00536CFD">
              <w:rPr>
                <w:lang w:val="zh-CN"/>
              </w:rPr>
              <w:t>0.071</w:t>
            </w:r>
          </w:p>
        </w:tc>
        <w:tc>
          <w:tcPr>
            <w:tcW w:w="810" w:type="dxa"/>
            <w:tcBorders>
              <w:top w:val="single" w:sz="4" w:space="0" w:color="auto"/>
              <w:left w:val="nil"/>
              <w:bottom w:val="single" w:sz="4" w:space="0" w:color="auto"/>
              <w:right w:val="single" w:sz="4" w:space="0" w:color="auto"/>
            </w:tcBorders>
            <w:shd w:val="clear" w:color="auto" w:fill="auto"/>
          </w:tcPr>
          <w:p w14:paraId="1BE4F009" w14:textId="77777777" w:rsidR="009D4A93" w:rsidRPr="00536CFD" w:rsidRDefault="009D4A93" w:rsidP="009D4A93">
            <w:pPr>
              <w:spacing w:after="0"/>
              <w:jc w:val="center"/>
              <w:rPr>
                <w:lang w:val="zh-CN"/>
              </w:rPr>
            </w:pPr>
            <w:r w:rsidRPr="00536CFD">
              <w:rPr>
                <w:lang w:val="zh-CN"/>
              </w:rPr>
              <w:t>0.071</w:t>
            </w:r>
          </w:p>
        </w:tc>
        <w:tc>
          <w:tcPr>
            <w:tcW w:w="810" w:type="dxa"/>
            <w:tcBorders>
              <w:top w:val="single" w:sz="4" w:space="0" w:color="auto"/>
              <w:left w:val="nil"/>
              <w:bottom w:val="single" w:sz="4" w:space="0" w:color="auto"/>
              <w:right w:val="single" w:sz="4" w:space="0" w:color="auto"/>
            </w:tcBorders>
            <w:shd w:val="clear" w:color="auto" w:fill="auto"/>
          </w:tcPr>
          <w:p w14:paraId="38D94EA7" w14:textId="77777777" w:rsidR="009D4A93" w:rsidRPr="00536CFD" w:rsidRDefault="009D4A93" w:rsidP="009D4A93">
            <w:pPr>
              <w:spacing w:after="0"/>
              <w:jc w:val="center"/>
              <w:rPr>
                <w:lang w:val="zh-CN"/>
              </w:rPr>
            </w:pPr>
            <w:r w:rsidRPr="00536CFD">
              <w:rPr>
                <w:lang w:val="zh-CN"/>
              </w:rPr>
              <w:t>0.075</w:t>
            </w:r>
          </w:p>
        </w:tc>
        <w:tc>
          <w:tcPr>
            <w:tcW w:w="820" w:type="dxa"/>
            <w:tcBorders>
              <w:top w:val="single" w:sz="4" w:space="0" w:color="auto"/>
              <w:left w:val="nil"/>
              <w:bottom w:val="single" w:sz="4" w:space="0" w:color="auto"/>
              <w:right w:val="single" w:sz="4" w:space="0" w:color="auto"/>
            </w:tcBorders>
            <w:shd w:val="clear" w:color="auto" w:fill="auto"/>
          </w:tcPr>
          <w:p w14:paraId="03AB3E27" w14:textId="77777777" w:rsidR="009D4A93" w:rsidRPr="00536CFD" w:rsidRDefault="009D4A93" w:rsidP="009D4A93">
            <w:pPr>
              <w:spacing w:after="0"/>
              <w:jc w:val="center"/>
              <w:rPr>
                <w:lang w:val="zh-CN"/>
              </w:rPr>
            </w:pPr>
            <w:r w:rsidRPr="00536CFD">
              <w:rPr>
                <w:lang w:val="zh-CN"/>
              </w:rPr>
              <w:t>0.070</w:t>
            </w:r>
          </w:p>
        </w:tc>
        <w:tc>
          <w:tcPr>
            <w:tcW w:w="800" w:type="dxa"/>
            <w:tcBorders>
              <w:top w:val="single" w:sz="4" w:space="0" w:color="auto"/>
              <w:left w:val="nil"/>
              <w:bottom w:val="single" w:sz="4" w:space="0" w:color="auto"/>
              <w:right w:val="single" w:sz="4" w:space="0" w:color="auto"/>
            </w:tcBorders>
            <w:shd w:val="clear" w:color="auto" w:fill="auto"/>
          </w:tcPr>
          <w:p w14:paraId="5B7C1DB5" w14:textId="77777777" w:rsidR="009D4A93" w:rsidRPr="00536CFD" w:rsidRDefault="009D4A93" w:rsidP="009D4A93">
            <w:pPr>
              <w:spacing w:after="0"/>
              <w:jc w:val="center"/>
              <w:rPr>
                <w:lang w:val="zh-CN"/>
              </w:rPr>
            </w:pPr>
            <w:r w:rsidRPr="00536CFD">
              <w:rPr>
                <w:lang w:val="zh-CN"/>
              </w:rPr>
              <w:t>0.080</w:t>
            </w:r>
          </w:p>
        </w:tc>
        <w:tc>
          <w:tcPr>
            <w:tcW w:w="720" w:type="dxa"/>
            <w:tcBorders>
              <w:top w:val="single" w:sz="4" w:space="0" w:color="auto"/>
              <w:left w:val="nil"/>
              <w:bottom w:val="single" w:sz="4" w:space="0" w:color="auto"/>
              <w:right w:val="single" w:sz="4" w:space="0" w:color="auto"/>
            </w:tcBorders>
            <w:shd w:val="clear" w:color="auto" w:fill="auto"/>
          </w:tcPr>
          <w:p w14:paraId="438C83CB" w14:textId="77777777" w:rsidR="009D4A93" w:rsidRPr="00536CFD" w:rsidRDefault="009D4A93" w:rsidP="009D4A93">
            <w:pPr>
              <w:spacing w:after="0"/>
              <w:jc w:val="center"/>
              <w:rPr>
                <w:lang w:val="zh-CN"/>
              </w:rPr>
            </w:pPr>
            <w:r w:rsidRPr="00536CFD">
              <w:rPr>
                <w:lang w:val="zh-CN"/>
              </w:rPr>
              <w:t>0.075</w:t>
            </w:r>
          </w:p>
        </w:tc>
        <w:tc>
          <w:tcPr>
            <w:tcW w:w="724" w:type="dxa"/>
            <w:tcBorders>
              <w:top w:val="single" w:sz="4" w:space="0" w:color="auto"/>
              <w:left w:val="nil"/>
              <w:bottom w:val="single" w:sz="4" w:space="0" w:color="auto"/>
              <w:right w:val="single" w:sz="4" w:space="0" w:color="auto"/>
            </w:tcBorders>
            <w:shd w:val="clear" w:color="auto" w:fill="auto"/>
          </w:tcPr>
          <w:p w14:paraId="00A8D0D3" w14:textId="77777777" w:rsidR="009D4A93" w:rsidRPr="00536CFD" w:rsidRDefault="009D4A93" w:rsidP="009D4A93">
            <w:pPr>
              <w:spacing w:after="0"/>
              <w:jc w:val="center"/>
              <w:rPr>
                <w:lang w:val="zh-CN"/>
              </w:rPr>
            </w:pPr>
            <w:r w:rsidRPr="00536CFD">
              <w:rPr>
                <w:lang w:val="zh-CN"/>
              </w:rPr>
              <w:t>0.082</w:t>
            </w:r>
          </w:p>
        </w:tc>
        <w:tc>
          <w:tcPr>
            <w:tcW w:w="896" w:type="dxa"/>
            <w:tcBorders>
              <w:top w:val="single" w:sz="4" w:space="0" w:color="auto"/>
              <w:left w:val="nil"/>
              <w:bottom w:val="single" w:sz="4" w:space="0" w:color="auto"/>
              <w:right w:val="single" w:sz="4" w:space="0" w:color="auto"/>
            </w:tcBorders>
            <w:shd w:val="clear" w:color="auto" w:fill="auto"/>
          </w:tcPr>
          <w:p w14:paraId="675FEC77" w14:textId="77777777" w:rsidR="009D4A93" w:rsidRPr="00536CFD" w:rsidRDefault="009D4A93" w:rsidP="009D4A93">
            <w:pPr>
              <w:spacing w:after="0"/>
              <w:jc w:val="center"/>
              <w:rPr>
                <w:lang w:val="zh-CN"/>
              </w:rPr>
            </w:pPr>
            <w:r w:rsidRPr="00536CFD">
              <w:rPr>
                <w:lang w:val="zh-CN"/>
              </w:rPr>
              <w:t>0.073</w:t>
            </w:r>
          </w:p>
        </w:tc>
        <w:tc>
          <w:tcPr>
            <w:tcW w:w="720" w:type="dxa"/>
            <w:tcBorders>
              <w:top w:val="single" w:sz="4" w:space="0" w:color="auto"/>
              <w:left w:val="nil"/>
              <w:bottom w:val="single" w:sz="4" w:space="0" w:color="auto"/>
              <w:right w:val="single" w:sz="4" w:space="0" w:color="auto"/>
            </w:tcBorders>
            <w:shd w:val="clear" w:color="auto" w:fill="auto"/>
          </w:tcPr>
          <w:p w14:paraId="65FF8BD0" w14:textId="77777777" w:rsidR="009D4A93" w:rsidRPr="00536CFD" w:rsidRDefault="009D4A93" w:rsidP="009D4A93">
            <w:pPr>
              <w:spacing w:after="0"/>
              <w:jc w:val="center"/>
              <w:rPr>
                <w:lang w:val="zh-CN"/>
              </w:rPr>
            </w:pPr>
            <w:r w:rsidRPr="00536CFD">
              <w:rPr>
                <w:lang w:val="zh-CN"/>
              </w:rPr>
              <w:t>0.087</w:t>
            </w:r>
          </w:p>
        </w:tc>
        <w:tc>
          <w:tcPr>
            <w:tcW w:w="720" w:type="dxa"/>
            <w:tcBorders>
              <w:top w:val="single" w:sz="4" w:space="0" w:color="auto"/>
              <w:left w:val="nil"/>
              <w:bottom w:val="single" w:sz="4" w:space="0" w:color="auto"/>
              <w:right w:val="single" w:sz="4" w:space="0" w:color="auto"/>
            </w:tcBorders>
            <w:shd w:val="clear" w:color="auto" w:fill="auto"/>
          </w:tcPr>
          <w:p w14:paraId="17A3962A" w14:textId="77777777" w:rsidR="009D4A93" w:rsidRPr="00536CFD" w:rsidRDefault="009D4A93" w:rsidP="009D4A93">
            <w:pPr>
              <w:spacing w:after="0"/>
              <w:jc w:val="center"/>
              <w:rPr>
                <w:lang w:val="zh-CN"/>
              </w:rPr>
            </w:pPr>
            <w:r w:rsidRPr="00536CFD">
              <w:rPr>
                <w:lang w:val="zh-CN"/>
              </w:rPr>
              <w:t>0.078</w:t>
            </w:r>
          </w:p>
        </w:tc>
      </w:tr>
      <w:tr w:rsidR="009D4A93" w:rsidRPr="00536CFD" w14:paraId="4C233018"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10094D6"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0E5A89D2"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4265F9FB"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714" w:type="dxa"/>
            <w:tcBorders>
              <w:top w:val="single" w:sz="4" w:space="0" w:color="auto"/>
              <w:left w:val="nil"/>
              <w:bottom w:val="single" w:sz="4" w:space="0" w:color="auto"/>
              <w:right w:val="single" w:sz="4" w:space="0" w:color="auto"/>
            </w:tcBorders>
            <w:shd w:val="clear" w:color="auto" w:fill="auto"/>
          </w:tcPr>
          <w:p w14:paraId="5D33FC78" w14:textId="77777777" w:rsidR="009D4A93" w:rsidRPr="00536CFD" w:rsidRDefault="009D4A93" w:rsidP="009D4A93">
            <w:pPr>
              <w:spacing w:after="0"/>
              <w:jc w:val="center"/>
              <w:rPr>
                <w:lang w:val="zh-CN"/>
              </w:rPr>
            </w:pPr>
            <w:r w:rsidRPr="00536CFD">
              <w:rPr>
                <w:lang w:val="zh-CN"/>
              </w:rPr>
              <w:t>0.086</w:t>
            </w:r>
          </w:p>
        </w:tc>
        <w:tc>
          <w:tcPr>
            <w:tcW w:w="720" w:type="dxa"/>
            <w:tcBorders>
              <w:top w:val="single" w:sz="4" w:space="0" w:color="auto"/>
              <w:left w:val="nil"/>
              <w:bottom w:val="single" w:sz="4" w:space="0" w:color="auto"/>
              <w:right w:val="single" w:sz="4" w:space="0" w:color="auto"/>
            </w:tcBorders>
            <w:shd w:val="clear" w:color="auto" w:fill="auto"/>
          </w:tcPr>
          <w:p w14:paraId="2E696781" w14:textId="77777777" w:rsidR="009D4A93" w:rsidRPr="00536CFD" w:rsidRDefault="009D4A93" w:rsidP="009D4A93">
            <w:pPr>
              <w:spacing w:after="0"/>
              <w:jc w:val="center"/>
              <w:rPr>
                <w:lang w:val="zh-CN"/>
              </w:rPr>
            </w:pPr>
            <w:r w:rsidRPr="00536CFD">
              <w:rPr>
                <w:lang w:val="zh-CN"/>
              </w:rPr>
              <w:t>0.077</w:t>
            </w:r>
          </w:p>
        </w:tc>
        <w:tc>
          <w:tcPr>
            <w:tcW w:w="720" w:type="dxa"/>
            <w:tcBorders>
              <w:top w:val="single" w:sz="4" w:space="0" w:color="auto"/>
              <w:left w:val="nil"/>
              <w:bottom w:val="single" w:sz="4" w:space="0" w:color="auto"/>
              <w:right w:val="single" w:sz="4" w:space="0" w:color="auto"/>
            </w:tcBorders>
            <w:shd w:val="clear" w:color="auto" w:fill="auto"/>
          </w:tcPr>
          <w:p w14:paraId="1CB48686" w14:textId="77777777" w:rsidR="009D4A93" w:rsidRPr="00536CFD" w:rsidRDefault="009D4A93" w:rsidP="009D4A93">
            <w:pPr>
              <w:spacing w:after="0"/>
              <w:jc w:val="center"/>
              <w:rPr>
                <w:lang w:val="zh-CN"/>
              </w:rPr>
            </w:pPr>
            <w:r w:rsidRPr="00536CFD">
              <w:rPr>
                <w:lang w:val="zh-CN"/>
              </w:rPr>
              <w:t>0.090</w:t>
            </w:r>
          </w:p>
        </w:tc>
        <w:tc>
          <w:tcPr>
            <w:tcW w:w="810" w:type="dxa"/>
            <w:tcBorders>
              <w:top w:val="single" w:sz="4" w:space="0" w:color="auto"/>
              <w:left w:val="nil"/>
              <w:bottom w:val="single" w:sz="4" w:space="0" w:color="auto"/>
              <w:right w:val="single" w:sz="4" w:space="0" w:color="auto"/>
            </w:tcBorders>
            <w:shd w:val="clear" w:color="auto" w:fill="auto"/>
          </w:tcPr>
          <w:p w14:paraId="5499812B" w14:textId="77777777" w:rsidR="009D4A93" w:rsidRPr="00536CFD" w:rsidRDefault="009D4A93" w:rsidP="009D4A93">
            <w:pPr>
              <w:spacing w:after="0"/>
              <w:jc w:val="center"/>
              <w:rPr>
                <w:lang w:val="zh-CN"/>
              </w:rPr>
            </w:pPr>
            <w:r w:rsidRPr="00536CFD">
              <w:rPr>
                <w:lang w:val="zh-CN"/>
              </w:rPr>
              <w:t>0.079</w:t>
            </w:r>
          </w:p>
        </w:tc>
        <w:tc>
          <w:tcPr>
            <w:tcW w:w="810" w:type="dxa"/>
            <w:tcBorders>
              <w:top w:val="single" w:sz="4" w:space="0" w:color="auto"/>
              <w:left w:val="nil"/>
              <w:bottom w:val="single" w:sz="4" w:space="0" w:color="auto"/>
              <w:right w:val="single" w:sz="4" w:space="0" w:color="auto"/>
            </w:tcBorders>
            <w:shd w:val="clear" w:color="auto" w:fill="auto"/>
          </w:tcPr>
          <w:p w14:paraId="1FFD3B32" w14:textId="77777777" w:rsidR="009D4A93" w:rsidRPr="00536CFD" w:rsidRDefault="009D4A93" w:rsidP="009D4A93">
            <w:pPr>
              <w:spacing w:after="0"/>
              <w:jc w:val="center"/>
              <w:rPr>
                <w:lang w:val="zh-CN"/>
              </w:rPr>
            </w:pPr>
            <w:r w:rsidRPr="00536CFD">
              <w:rPr>
                <w:lang w:val="zh-CN"/>
              </w:rPr>
              <w:t>0.205</w:t>
            </w:r>
          </w:p>
        </w:tc>
        <w:tc>
          <w:tcPr>
            <w:tcW w:w="820" w:type="dxa"/>
            <w:tcBorders>
              <w:top w:val="single" w:sz="4" w:space="0" w:color="auto"/>
              <w:left w:val="nil"/>
              <w:bottom w:val="single" w:sz="4" w:space="0" w:color="auto"/>
              <w:right w:val="single" w:sz="4" w:space="0" w:color="auto"/>
            </w:tcBorders>
            <w:shd w:val="clear" w:color="auto" w:fill="auto"/>
          </w:tcPr>
          <w:p w14:paraId="50D4A835" w14:textId="77777777" w:rsidR="009D4A93" w:rsidRPr="00536CFD" w:rsidRDefault="009D4A93" w:rsidP="009D4A93">
            <w:pPr>
              <w:spacing w:after="0"/>
              <w:jc w:val="center"/>
              <w:rPr>
                <w:lang w:val="zh-CN"/>
              </w:rPr>
            </w:pPr>
            <w:r w:rsidRPr="00536CFD">
              <w:rPr>
                <w:lang w:val="zh-CN"/>
              </w:rPr>
              <w:t>0.098</w:t>
            </w:r>
          </w:p>
        </w:tc>
        <w:tc>
          <w:tcPr>
            <w:tcW w:w="800" w:type="dxa"/>
            <w:tcBorders>
              <w:top w:val="single" w:sz="4" w:space="0" w:color="auto"/>
              <w:left w:val="nil"/>
              <w:bottom w:val="single" w:sz="4" w:space="0" w:color="auto"/>
              <w:right w:val="single" w:sz="4" w:space="0" w:color="auto"/>
            </w:tcBorders>
            <w:shd w:val="clear" w:color="auto" w:fill="auto"/>
          </w:tcPr>
          <w:p w14:paraId="0945D831" w14:textId="77777777" w:rsidR="009D4A93" w:rsidRPr="00536CFD" w:rsidRDefault="009D4A93" w:rsidP="009D4A93">
            <w:pPr>
              <w:spacing w:after="0"/>
              <w:jc w:val="center"/>
              <w:rPr>
                <w:lang w:val="zh-CN"/>
              </w:rPr>
            </w:pPr>
            <w:r w:rsidRPr="00536CFD">
              <w:rPr>
                <w:lang w:val="zh-CN"/>
              </w:rPr>
              <w:t>0.171</w:t>
            </w:r>
          </w:p>
        </w:tc>
        <w:tc>
          <w:tcPr>
            <w:tcW w:w="720" w:type="dxa"/>
            <w:tcBorders>
              <w:top w:val="single" w:sz="4" w:space="0" w:color="auto"/>
              <w:left w:val="nil"/>
              <w:bottom w:val="single" w:sz="4" w:space="0" w:color="auto"/>
              <w:right w:val="single" w:sz="4" w:space="0" w:color="auto"/>
            </w:tcBorders>
            <w:shd w:val="clear" w:color="auto" w:fill="auto"/>
          </w:tcPr>
          <w:p w14:paraId="57838898" w14:textId="77777777" w:rsidR="009D4A93" w:rsidRPr="00536CFD" w:rsidRDefault="009D4A93" w:rsidP="009D4A93">
            <w:pPr>
              <w:spacing w:after="0"/>
              <w:jc w:val="center"/>
              <w:rPr>
                <w:lang w:val="zh-CN"/>
              </w:rPr>
            </w:pPr>
            <w:r w:rsidRPr="00536CFD">
              <w:rPr>
                <w:lang w:val="zh-CN"/>
              </w:rPr>
              <w:t>0.097</w:t>
            </w:r>
          </w:p>
        </w:tc>
        <w:tc>
          <w:tcPr>
            <w:tcW w:w="724" w:type="dxa"/>
            <w:tcBorders>
              <w:top w:val="single" w:sz="4" w:space="0" w:color="auto"/>
              <w:left w:val="nil"/>
              <w:bottom w:val="single" w:sz="4" w:space="0" w:color="auto"/>
              <w:right w:val="single" w:sz="4" w:space="0" w:color="auto"/>
            </w:tcBorders>
            <w:shd w:val="clear" w:color="auto" w:fill="auto"/>
          </w:tcPr>
          <w:p w14:paraId="6C1C2348" w14:textId="77777777" w:rsidR="009D4A93" w:rsidRPr="00536CFD" w:rsidRDefault="009D4A93" w:rsidP="009D4A93">
            <w:pPr>
              <w:spacing w:after="0"/>
              <w:jc w:val="center"/>
              <w:rPr>
                <w:lang w:val="zh-CN"/>
              </w:rPr>
            </w:pPr>
            <w:r w:rsidRPr="00536CFD">
              <w:rPr>
                <w:lang w:val="zh-CN"/>
              </w:rPr>
              <w:t>0.787</w:t>
            </w:r>
          </w:p>
        </w:tc>
        <w:tc>
          <w:tcPr>
            <w:tcW w:w="896" w:type="dxa"/>
            <w:tcBorders>
              <w:top w:val="single" w:sz="4" w:space="0" w:color="auto"/>
              <w:left w:val="nil"/>
              <w:bottom w:val="single" w:sz="4" w:space="0" w:color="auto"/>
              <w:right w:val="single" w:sz="4" w:space="0" w:color="auto"/>
            </w:tcBorders>
            <w:shd w:val="clear" w:color="auto" w:fill="auto"/>
          </w:tcPr>
          <w:p w14:paraId="0E8268DC" w14:textId="77777777" w:rsidR="009D4A93" w:rsidRPr="00536CFD" w:rsidRDefault="009D4A93" w:rsidP="009D4A93">
            <w:pPr>
              <w:spacing w:after="0"/>
              <w:jc w:val="center"/>
              <w:rPr>
                <w:lang w:val="zh-CN"/>
              </w:rPr>
            </w:pPr>
            <w:r w:rsidRPr="00536CFD">
              <w:rPr>
                <w:lang w:val="zh-CN"/>
              </w:rPr>
              <w:t>0.115</w:t>
            </w:r>
          </w:p>
        </w:tc>
        <w:tc>
          <w:tcPr>
            <w:tcW w:w="720" w:type="dxa"/>
            <w:tcBorders>
              <w:top w:val="single" w:sz="4" w:space="0" w:color="auto"/>
              <w:left w:val="nil"/>
              <w:bottom w:val="single" w:sz="4" w:space="0" w:color="auto"/>
              <w:right w:val="single" w:sz="4" w:space="0" w:color="auto"/>
            </w:tcBorders>
            <w:shd w:val="clear" w:color="auto" w:fill="auto"/>
          </w:tcPr>
          <w:p w14:paraId="3BFD8262" w14:textId="77777777" w:rsidR="009D4A93" w:rsidRPr="00536CFD" w:rsidRDefault="009D4A93" w:rsidP="009D4A93">
            <w:pPr>
              <w:spacing w:after="0"/>
              <w:jc w:val="center"/>
              <w:rPr>
                <w:lang w:val="zh-CN"/>
              </w:rPr>
            </w:pPr>
            <w:r w:rsidRPr="00536CFD">
              <w:rPr>
                <w:lang w:val="zh-CN"/>
              </w:rPr>
              <w:t>0.280</w:t>
            </w:r>
          </w:p>
        </w:tc>
        <w:tc>
          <w:tcPr>
            <w:tcW w:w="720" w:type="dxa"/>
            <w:tcBorders>
              <w:top w:val="single" w:sz="4" w:space="0" w:color="auto"/>
              <w:left w:val="nil"/>
              <w:bottom w:val="single" w:sz="4" w:space="0" w:color="auto"/>
              <w:right w:val="single" w:sz="4" w:space="0" w:color="auto"/>
            </w:tcBorders>
            <w:shd w:val="clear" w:color="auto" w:fill="auto"/>
          </w:tcPr>
          <w:p w14:paraId="077FC7DD" w14:textId="77777777" w:rsidR="009D4A93" w:rsidRPr="00536CFD" w:rsidRDefault="009D4A93" w:rsidP="009D4A93">
            <w:pPr>
              <w:spacing w:after="0"/>
              <w:jc w:val="center"/>
              <w:rPr>
                <w:lang w:val="zh-CN"/>
              </w:rPr>
            </w:pPr>
            <w:r w:rsidRPr="00536CFD">
              <w:rPr>
                <w:lang w:val="zh-CN"/>
              </w:rPr>
              <w:t>0.109</w:t>
            </w:r>
          </w:p>
        </w:tc>
      </w:tr>
      <w:tr w:rsidR="009D4A93" w:rsidRPr="00536CFD" w14:paraId="26B50013"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7CF8D524"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7115D0C5"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6CF6F7CC"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714" w:type="dxa"/>
            <w:tcBorders>
              <w:top w:val="single" w:sz="4" w:space="0" w:color="auto"/>
              <w:left w:val="nil"/>
              <w:bottom w:val="single" w:sz="4" w:space="0" w:color="auto"/>
              <w:right w:val="single" w:sz="4" w:space="0" w:color="auto"/>
            </w:tcBorders>
            <w:shd w:val="clear" w:color="auto" w:fill="auto"/>
          </w:tcPr>
          <w:p w14:paraId="598D2C0B" w14:textId="77777777" w:rsidR="009D4A93" w:rsidRPr="00536CFD" w:rsidRDefault="009D4A93" w:rsidP="009D4A93">
            <w:pPr>
              <w:spacing w:after="0"/>
              <w:jc w:val="center"/>
              <w:rPr>
                <w:lang w:val="zh-CN"/>
              </w:rPr>
            </w:pPr>
            <w:r w:rsidRPr="00536CFD">
              <w:rPr>
                <w:lang w:val="zh-CN"/>
              </w:rPr>
              <w:t>6.556</w:t>
            </w:r>
          </w:p>
        </w:tc>
        <w:tc>
          <w:tcPr>
            <w:tcW w:w="720" w:type="dxa"/>
            <w:tcBorders>
              <w:top w:val="single" w:sz="4" w:space="0" w:color="auto"/>
              <w:left w:val="nil"/>
              <w:bottom w:val="single" w:sz="4" w:space="0" w:color="auto"/>
              <w:right w:val="single" w:sz="4" w:space="0" w:color="auto"/>
            </w:tcBorders>
            <w:shd w:val="clear" w:color="auto" w:fill="auto"/>
          </w:tcPr>
          <w:p w14:paraId="17DF813C" w14:textId="77777777" w:rsidR="009D4A93" w:rsidRPr="00536CFD" w:rsidRDefault="009D4A93" w:rsidP="009D4A93">
            <w:pPr>
              <w:spacing w:after="0"/>
              <w:jc w:val="center"/>
              <w:rPr>
                <w:lang w:val="zh-CN"/>
              </w:rPr>
            </w:pPr>
            <w:r w:rsidRPr="00536CFD">
              <w:rPr>
                <w:lang w:val="zh-CN"/>
              </w:rPr>
              <w:t>0.350</w:t>
            </w:r>
          </w:p>
        </w:tc>
        <w:tc>
          <w:tcPr>
            <w:tcW w:w="720" w:type="dxa"/>
            <w:tcBorders>
              <w:top w:val="single" w:sz="4" w:space="0" w:color="auto"/>
              <w:left w:val="nil"/>
              <w:bottom w:val="single" w:sz="4" w:space="0" w:color="auto"/>
              <w:right w:val="single" w:sz="4" w:space="0" w:color="auto"/>
            </w:tcBorders>
            <w:shd w:val="clear" w:color="auto" w:fill="auto"/>
          </w:tcPr>
          <w:p w14:paraId="746D891A" w14:textId="77777777" w:rsidR="009D4A93" w:rsidRPr="00536CFD" w:rsidRDefault="009D4A93" w:rsidP="009D4A93">
            <w:pPr>
              <w:spacing w:after="0"/>
              <w:jc w:val="center"/>
              <w:rPr>
                <w:lang w:val="zh-CN"/>
              </w:rPr>
            </w:pPr>
            <w:r w:rsidRPr="00536CFD">
              <w:rPr>
                <w:lang w:val="zh-CN"/>
              </w:rPr>
              <w:t>8.910</w:t>
            </w:r>
          </w:p>
        </w:tc>
        <w:tc>
          <w:tcPr>
            <w:tcW w:w="810" w:type="dxa"/>
            <w:tcBorders>
              <w:top w:val="single" w:sz="4" w:space="0" w:color="auto"/>
              <w:left w:val="nil"/>
              <w:bottom w:val="single" w:sz="4" w:space="0" w:color="auto"/>
              <w:right w:val="single" w:sz="4" w:space="0" w:color="auto"/>
            </w:tcBorders>
            <w:shd w:val="clear" w:color="auto" w:fill="auto"/>
          </w:tcPr>
          <w:p w14:paraId="29318E07" w14:textId="77777777" w:rsidR="009D4A93" w:rsidRPr="00536CFD" w:rsidRDefault="009D4A93" w:rsidP="009D4A93">
            <w:pPr>
              <w:spacing w:after="0"/>
              <w:jc w:val="center"/>
              <w:rPr>
                <w:lang w:val="zh-CN"/>
              </w:rPr>
            </w:pPr>
            <w:r w:rsidRPr="00536CFD">
              <w:rPr>
                <w:lang w:val="zh-CN"/>
              </w:rPr>
              <w:t>0.866</w:t>
            </w:r>
          </w:p>
        </w:tc>
        <w:tc>
          <w:tcPr>
            <w:tcW w:w="810" w:type="dxa"/>
            <w:tcBorders>
              <w:top w:val="single" w:sz="4" w:space="0" w:color="auto"/>
              <w:left w:val="nil"/>
              <w:bottom w:val="single" w:sz="4" w:space="0" w:color="auto"/>
              <w:right w:val="single" w:sz="4" w:space="0" w:color="auto"/>
            </w:tcBorders>
            <w:shd w:val="clear" w:color="auto" w:fill="auto"/>
          </w:tcPr>
          <w:p w14:paraId="6D226574" w14:textId="77777777" w:rsidR="009D4A93" w:rsidRPr="00536CFD" w:rsidRDefault="009D4A93" w:rsidP="009D4A93">
            <w:pPr>
              <w:spacing w:after="0"/>
              <w:jc w:val="center"/>
              <w:rPr>
                <w:lang w:val="zh-CN"/>
              </w:rPr>
            </w:pPr>
            <w:r w:rsidRPr="00536CFD">
              <w:rPr>
                <w:lang w:val="zh-CN"/>
              </w:rPr>
              <w:t>46.665</w:t>
            </w:r>
          </w:p>
        </w:tc>
        <w:tc>
          <w:tcPr>
            <w:tcW w:w="820" w:type="dxa"/>
            <w:tcBorders>
              <w:top w:val="single" w:sz="4" w:space="0" w:color="auto"/>
              <w:left w:val="nil"/>
              <w:bottom w:val="single" w:sz="4" w:space="0" w:color="auto"/>
              <w:right w:val="single" w:sz="4" w:space="0" w:color="auto"/>
            </w:tcBorders>
            <w:shd w:val="clear" w:color="auto" w:fill="auto"/>
          </w:tcPr>
          <w:p w14:paraId="5B9AF4D9" w14:textId="77777777" w:rsidR="009D4A93" w:rsidRPr="00536CFD" w:rsidRDefault="009D4A93" w:rsidP="009D4A93">
            <w:pPr>
              <w:spacing w:after="0"/>
              <w:jc w:val="center"/>
              <w:rPr>
                <w:lang w:val="zh-CN"/>
              </w:rPr>
            </w:pPr>
            <w:r w:rsidRPr="00536CFD">
              <w:rPr>
                <w:lang w:val="zh-CN"/>
              </w:rPr>
              <w:t>1.200</w:t>
            </w:r>
          </w:p>
        </w:tc>
        <w:tc>
          <w:tcPr>
            <w:tcW w:w="800" w:type="dxa"/>
            <w:tcBorders>
              <w:top w:val="single" w:sz="4" w:space="0" w:color="auto"/>
              <w:left w:val="nil"/>
              <w:bottom w:val="single" w:sz="4" w:space="0" w:color="auto"/>
              <w:right w:val="single" w:sz="4" w:space="0" w:color="auto"/>
            </w:tcBorders>
            <w:shd w:val="clear" w:color="auto" w:fill="auto"/>
          </w:tcPr>
          <w:p w14:paraId="62AFFD46" w14:textId="77777777" w:rsidR="009D4A93" w:rsidRPr="00536CFD" w:rsidRDefault="009D4A93" w:rsidP="009D4A93">
            <w:pPr>
              <w:spacing w:after="0"/>
              <w:jc w:val="center"/>
              <w:rPr>
                <w:lang w:val="zh-CN"/>
              </w:rPr>
            </w:pPr>
            <w:r w:rsidRPr="00536CFD">
              <w:rPr>
                <w:lang w:val="zh-CN"/>
              </w:rPr>
              <w:t>18.475</w:t>
            </w:r>
          </w:p>
        </w:tc>
        <w:tc>
          <w:tcPr>
            <w:tcW w:w="720" w:type="dxa"/>
            <w:tcBorders>
              <w:top w:val="single" w:sz="4" w:space="0" w:color="auto"/>
              <w:left w:val="nil"/>
              <w:bottom w:val="single" w:sz="4" w:space="0" w:color="auto"/>
              <w:right w:val="single" w:sz="4" w:space="0" w:color="auto"/>
            </w:tcBorders>
            <w:shd w:val="clear" w:color="auto" w:fill="auto"/>
          </w:tcPr>
          <w:p w14:paraId="14945B78" w14:textId="77777777" w:rsidR="009D4A93" w:rsidRPr="00536CFD" w:rsidRDefault="009D4A93" w:rsidP="009D4A93">
            <w:pPr>
              <w:spacing w:after="0"/>
              <w:jc w:val="center"/>
              <w:rPr>
                <w:lang w:val="zh-CN"/>
              </w:rPr>
            </w:pPr>
            <w:r w:rsidRPr="00536CFD">
              <w:rPr>
                <w:lang w:val="zh-CN"/>
              </w:rPr>
              <w:t>2.292</w:t>
            </w:r>
          </w:p>
        </w:tc>
        <w:tc>
          <w:tcPr>
            <w:tcW w:w="724" w:type="dxa"/>
            <w:tcBorders>
              <w:top w:val="single" w:sz="4" w:space="0" w:color="auto"/>
              <w:left w:val="nil"/>
              <w:bottom w:val="single" w:sz="4" w:space="0" w:color="auto"/>
              <w:right w:val="single" w:sz="4" w:space="0" w:color="auto"/>
            </w:tcBorders>
            <w:shd w:val="clear" w:color="auto" w:fill="auto"/>
          </w:tcPr>
          <w:p w14:paraId="1A85D9CC" w14:textId="77777777" w:rsidR="009D4A93" w:rsidRPr="00536CFD" w:rsidRDefault="009D4A93" w:rsidP="009D4A93">
            <w:pPr>
              <w:spacing w:after="0"/>
              <w:jc w:val="center"/>
              <w:rPr>
                <w:lang w:val="zh-CN"/>
              </w:rPr>
            </w:pPr>
            <w:r w:rsidRPr="00536CFD">
              <w:rPr>
                <w:lang w:val="zh-CN"/>
              </w:rPr>
              <w:t>104.829</w:t>
            </w:r>
          </w:p>
        </w:tc>
        <w:tc>
          <w:tcPr>
            <w:tcW w:w="896" w:type="dxa"/>
            <w:tcBorders>
              <w:top w:val="single" w:sz="4" w:space="0" w:color="auto"/>
              <w:left w:val="nil"/>
              <w:bottom w:val="single" w:sz="4" w:space="0" w:color="auto"/>
              <w:right w:val="single" w:sz="4" w:space="0" w:color="auto"/>
            </w:tcBorders>
            <w:shd w:val="clear" w:color="auto" w:fill="auto"/>
          </w:tcPr>
          <w:p w14:paraId="1C011A5D" w14:textId="77777777" w:rsidR="009D4A93" w:rsidRPr="00536CFD" w:rsidRDefault="009D4A93" w:rsidP="009D4A93">
            <w:pPr>
              <w:spacing w:after="0"/>
              <w:jc w:val="center"/>
              <w:rPr>
                <w:lang w:val="zh-CN"/>
              </w:rPr>
            </w:pPr>
            <w:r w:rsidRPr="00536CFD">
              <w:rPr>
                <w:lang w:val="zh-CN"/>
              </w:rPr>
              <w:t>12.454</w:t>
            </w:r>
          </w:p>
        </w:tc>
        <w:tc>
          <w:tcPr>
            <w:tcW w:w="720" w:type="dxa"/>
            <w:tcBorders>
              <w:top w:val="single" w:sz="4" w:space="0" w:color="auto"/>
              <w:left w:val="nil"/>
              <w:bottom w:val="single" w:sz="4" w:space="0" w:color="auto"/>
              <w:right w:val="single" w:sz="4" w:space="0" w:color="auto"/>
            </w:tcBorders>
            <w:shd w:val="clear" w:color="auto" w:fill="auto"/>
          </w:tcPr>
          <w:p w14:paraId="715D1E8D" w14:textId="77777777" w:rsidR="009D4A93" w:rsidRPr="00536CFD" w:rsidRDefault="009D4A93" w:rsidP="009D4A93">
            <w:pPr>
              <w:spacing w:after="0"/>
              <w:jc w:val="center"/>
              <w:rPr>
                <w:lang w:val="zh-CN"/>
              </w:rPr>
            </w:pPr>
            <w:r w:rsidRPr="00536CFD">
              <w:rPr>
                <w:lang w:val="zh-CN"/>
              </w:rPr>
              <w:t>96.034</w:t>
            </w:r>
          </w:p>
        </w:tc>
        <w:tc>
          <w:tcPr>
            <w:tcW w:w="720" w:type="dxa"/>
            <w:tcBorders>
              <w:top w:val="single" w:sz="4" w:space="0" w:color="auto"/>
              <w:left w:val="nil"/>
              <w:bottom w:val="single" w:sz="4" w:space="0" w:color="auto"/>
              <w:right w:val="single" w:sz="4" w:space="0" w:color="auto"/>
            </w:tcBorders>
            <w:shd w:val="clear" w:color="auto" w:fill="auto"/>
          </w:tcPr>
          <w:p w14:paraId="1C69ECFA" w14:textId="77777777" w:rsidR="009D4A93" w:rsidRPr="00536CFD" w:rsidRDefault="009D4A93" w:rsidP="009D4A93">
            <w:pPr>
              <w:spacing w:after="0"/>
              <w:jc w:val="center"/>
              <w:rPr>
                <w:lang w:val="zh-CN"/>
              </w:rPr>
            </w:pPr>
            <w:r w:rsidRPr="00536CFD">
              <w:rPr>
                <w:lang w:val="zh-CN"/>
              </w:rPr>
              <w:t>2.234</w:t>
            </w:r>
          </w:p>
        </w:tc>
      </w:tr>
      <w:tr w:rsidR="009D4A93" w:rsidRPr="00536CFD" w14:paraId="62A7624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8D096CC" w14:textId="77777777" w:rsidR="009D4A93" w:rsidRPr="00536CFD" w:rsidRDefault="009D4A93" w:rsidP="009D4A93">
            <w:pPr>
              <w:spacing w:after="0"/>
              <w:ind w:left="113" w:right="113"/>
            </w:pPr>
          </w:p>
        </w:tc>
        <w:tc>
          <w:tcPr>
            <w:tcW w:w="535" w:type="dxa"/>
            <w:vMerge/>
            <w:tcBorders>
              <w:top w:val="nil"/>
              <w:left w:val="nil"/>
              <w:bottom w:val="single" w:sz="4" w:space="0" w:color="auto"/>
              <w:right w:val="single" w:sz="4" w:space="0" w:color="auto"/>
            </w:tcBorders>
            <w:shd w:val="clear" w:color="auto" w:fill="auto"/>
          </w:tcPr>
          <w:p w14:paraId="4535C4EF" w14:textId="77777777" w:rsidR="009D4A93" w:rsidRPr="00536CFD" w:rsidRDefault="009D4A93" w:rsidP="009D4A93">
            <w:pPr>
              <w:spacing w:after="0"/>
            </w:pPr>
          </w:p>
        </w:tc>
        <w:tc>
          <w:tcPr>
            <w:tcW w:w="400" w:type="dxa"/>
            <w:tcBorders>
              <w:top w:val="single" w:sz="4" w:space="0" w:color="auto"/>
              <w:left w:val="nil"/>
              <w:bottom w:val="single" w:sz="4" w:space="0" w:color="auto"/>
              <w:right w:val="single" w:sz="4" w:space="0" w:color="auto"/>
            </w:tcBorders>
            <w:shd w:val="clear" w:color="auto" w:fill="auto"/>
          </w:tcPr>
          <w:p w14:paraId="3AD0E0D6"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714" w:type="dxa"/>
            <w:tcBorders>
              <w:top w:val="single" w:sz="4" w:space="0" w:color="auto"/>
              <w:left w:val="nil"/>
              <w:bottom w:val="single" w:sz="4" w:space="0" w:color="auto"/>
              <w:right w:val="single" w:sz="4" w:space="0" w:color="auto"/>
            </w:tcBorders>
            <w:shd w:val="clear" w:color="auto" w:fill="auto"/>
          </w:tcPr>
          <w:p w14:paraId="7A4E4DAD" w14:textId="77777777" w:rsidR="009D4A93" w:rsidRPr="00536CFD" w:rsidRDefault="009D4A93" w:rsidP="009D4A93">
            <w:pPr>
              <w:spacing w:after="0"/>
              <w:jc w:val="center"/>
              <w:rPr>
                <w:lang w:val="zh-CN"/>
              </w:rPr>
            </w:pPr>
            <w:r w:rsidRPr="00536CFD">
              <w:rPr>
                <w:lang w:val="zh-CN"/>
              </w:rPr>
              <w:t>7.374</w:t>
            </w:r>
          </w:p>
        </w:tc>
        <w:tc>
          <w:tcPr>
            <w:tcW w:w="720" w:type="dxa"/>
            <w:tcBorders>
              <w:top w:val="single" w:sz="4" w:space="0" w:color="auto"/>
              <w:left w:val="nil"/>
              <w:bottom w:val="single" w:sz="4" w:space="0" w:color="auto"/>
              <w:right w:val="single" w:sz="4" w:space="0" w:color="auto"/>
            </w:tcBorders>
            <w:shd w:val="clear" w:color="auto" w:fill="auto"/>
          </w:tcPr>
          <w:p w14:paraId="2906E12E" w14:textId="77777777" w:rsidR="009D4A93" w:rsidRPr="00536CFD" w:rsidRDefault="009D4A93" w:rsidP="009D4A93">
            <w:pPr>
              <w:spacing w:after="0"/>
              <w:jc w:val="center"/>
              <w:rPr>
                <w:lang w:val="zh-CN"/>
              </w:rPr>
            </w:pPr>
            <w:r w:rsidRPr="00536CFD">
              <w:rPr>
                <w:lang w:val="zh-CN"/>
              </w:rPr>
              <w:t>7.033</w:t>
            </w:r>
          </w:p>
        </w:tc>
        <w:tc>
          <w:tcPr>
            <w:tcW w:w="720" w:type="dxa"/>
            <w:tcBorders>
              <w:top w:val="single" w:sz="4" w:space="0" w:color="auto"/>
              <w:left w:val="nil"/>
              <w:bottom w:val="single" w:sz="4" w:space="0" w:color="auto"/>
              <w:right w:val="single" w:sz="4" w:space="0" w:color="auto"/>
            </w:tcBorders>
            <w:shd w:val="clear" w:color="auto" w:fill="auto"/>
          </w:tcPr>
          <w:p w14:paraId="07F97AF4" w14:textId="77777777" w:rsidR="009D4A93" w:rsidRPr="00536CFD" w:rsidRDefault="009D4A93" w:rsidP="009D4A93">
            <w:pPr>
              <w:spacing w:after="0"/>
              <w:jc w:val="center"/>
              <w:rPr>
                <w:lang w:val="zh-CN"/>
              </w:rPr>
            </w:pPr>
            <w:r w:rsidRPr="00536CFD">
              <w:rPr>
                <w:lang w:val="zh-CN"/>
              </w:rPr>
              <w:t>5.254</w:t>
            </w:r>
          </w:p>
        </w:tc>
        <w:tc>
          <w:tcPr>
            <w:tcW w:w="810" w:type="dxa"/>
            <w:tcBorders>
              <w:top w:val="single" w:sz="4" w:space="0" w:color="auto"/>
              <w:left w:val="nil"/>
              <w:bottom w:val="single" w:sz="4" w:space="0" w:color="auto"/>
              <w:right w:val="single" w:sz="4" w:space="0" w:color="auto"/>
            </w:tcBorders>
            <w:shd w:val="clear" w:color="auto" w:fill="auto"/>
          </w:tcPr>
          <w:p w14:paraId="08EEA2EF" w14:textId="77777777" w:rsidR="009D4A93" w:rsidRPr="00536CFD" w:rsidRDefault="009D4A93" w:rsidP="009D4A93">
            <w:pPr>
              <w:spacing w:after="0"/>
              <w:jc w:val="center"/>
              <w:rPr>
                <w:lang w:val="zh-CN"/>
              </w:rPr>
            </w:pPr>
            <w:r w:rsidRPr="00536CFD">
              <w:rPr>
                <w:lang w:val="zh-CN"/>
              </w:rPr>
              <w:t>0.372</w:t>
            </w:r>
          </w:p>
        </w:tc>
        <w:tc>
          <w:tcPr>
            <w:tcW w:w="810" w:type="dxa"/>
            <w:tcBorders>
              <w:top w:val="single" w:sz="4" w:space="0" w:color="auto"/>
              <w:left w:val="nil"/>
              <w:bottom w:val="single" w:sz="4" w:space="0" w:color="auto"/>
              <w:right w:val="single" w:sz="4" w:space="0" w:color="auto"/>
            </w:tcBorders>
            <w:shd w:val="clear" w:color="auto" w:fill="auto"/>
          </w:tcPr>
          <w:p w14:paraId="45ED5875" w14:textId="77777777" w:rsidR="009D4A93" w:rsidRPr="00536CFD" w:rsidRDefault="009D4A93" w:rsidP="009D4A93">
            <w:pPr>
              <w:spacing w:after="0"/>
              <w:jc w:val="center"/>
              <w:rPr>
                <w:lang w:val="zh-CN"/>
              </w:rPr>
            </w:pPr>
            <w:r w:rsidRPr="00536CFD">
              <w:rPr>
                <w:lang w:val="zh-CN"/>
              </w:rPr>
              <w:t>11.062</w:t>
            </w:r>
          </w:p>
        </w:tc>
        <w:tc>
          <w:tcPr>
            <w:tcW w:w="820" w:type="dxa"/>
            <w:tcBorders>
              <w:top w:val="single" w:sz="4" w:space="0" w:color="auto"/>
              <w:left w:val="nil"/>
              <w:bottom w:val="single" w:sz="4" w:space="0" w:color="auto"/>
              <w:right w:val="single" w:sz="4" w:space="0" w:color="auto"/>
            </w:tcBorders>
            <w:shd w:val="clear" w:color="auto" w:fill="auto"/>
          </w:tcPr>
          <w:p w14:paraId="3D674BBB" w14:textId="77777777" w:rsidR="009D4A93" w:rsidRPr="00536CFD" w:rsidRDefault="009D4A93" w:rsidP="009D4A93">
            <w:pPr>
              <w:spacing w:after="0"/>
              <w:jc w:val="center"/>
              <w:rPr>
                <w:lang w:val="zh-CN"/>
              </w:rPr>
            </w:pPr>
            <w:r w:rsidRPr="00536CFD">
              <w:rPr>
                <w:lang w:val="zh-CN"/>
              </w:rPr>
              <w:t>7.123</w:t>
            </w:r>
          </w:p>
        </w:tc>
        <w:tc>
          <w:tcPr>
            <w:tcW w:w="800" w:type="dxa"/>
            <w:tcBorders>
              <w:top w:val="single" w:sz="4" w:space="0" w:color="auto"/>
              <w:left w:val="nil"/>
              <w:bottom w:val="single" w:sz="4" w:space="0" w:color="auto"/>
              <w:right w:val="single" w:sz="4" w:space="0" w:color="auto"/>
            </w:tcBorders>
            <w:shd w:val="clear" w:color="auto" w:fill="auto"/>
          </w:tcPr>
          <w:p w14:paraId="3ED12CDC" w14:textId="77777777" w:rsidR="009D4A93" w:rsidRPr="00536CFD" w:rsidRDefault="009D4A93" w:rsidP="009D4A93">
            <w:pPr>
              <w:spacing w:after="0"/>
              <w:jc w:val="center"/>
              <w:rPr>
                <w:lang w:val="zh-CN"/>
              </w:rPr>
            </w:pPr>
            <w:r w:rsidRPr="00536CFD">
              <w:rPr>
                <w:lang w:val="zh-CN"/>
              </w:rPr>
              <w:t>6.520</w:t>
            </w:r>
          </w:p>
        </w:tc>
        <w:tc>
          <w:tcPr>
            <w:tcW w:w="720" w:type="dxa"/>
            <w:tcBorders>
              <w:top w:val="single" w:sz="4" w:space="0" w:color="auto"/>
              <w:left w:val="nil"/>
              <w:bottom w:val="single" w:sz="4" w:space="0" w:color="auto"/>
              <w:right w:val="single" w:sz="4" w:space="0" w:color="auto"/>
            </w:tcBorders>
            <w:shd w:val="clear" w:color="auto" w:fill="auto"/>
          </w:tcPr>
          <w:p w14:paraId="79B2CB49" w14:textId="77777777" w:rsidR="009D4A93" w:rsidRPr="00536CFD" w:rsidRDefault="009D4A93" w:rsidP="009D4A93">
            <w:pPr>
              <w:spacing w:after="0"/>
              <w:jc w:val="center"/>
              <w:rPr>
                <w:lang w:val="zh-CN"/>
              </w:rPr>
            </w:pPr>
            <w:r w:rsidRPr="00536CFD">
              <w:rPr>
                <w:lang w:val="zh-CN"/>
              </w:rPr>
              <w:t>1.012</w:t>
            </w:r>
          </w:p>
        </w:tc>
        <w:tc>
          <w:tcPr>
            <w:tcW w:w="724" w:type="dxa"/>
            <w:tcBorders>
              <w:top w:val="single" w:sz="4" w:space="0" w:color="auto"/>
              <w:left w:val="nil"/>
              <w:bottom w:val="single" w:sz="4" w:space="0" w:color="auto"/>
              <w:right w:val="single" w:sz="4" w:space="0" w:color="auto"/>
            </w:tcBorders>
            <w:shd w:val="clear" w:color="auto" w:fill="auto"/>
          </w:tcPr>
          <w:p w14:paraId="5B2DA7C7" w14:textId="77777777" w:rsidR="009D4A93" w:rsidRPr="00536CFD" w:rsidRDefault="009D4A93" w:rsidP="009D4A93">
            <w:pPr>
              <w:spacing w:after="0"/>
              <w:jc w:val="center"/>
              <w:rPr>
                <w:lang w:val="zh-CN"/>
              </w:rPr>
            </w:pPr>
            <w:r w:rsidRPr="00536CFD">
              <w:rPr>
                <w:lang w:val="zh-CN"/>
              </w:rPr>
              <w:t>16.938</w:t>
            </w:r>
          </w:p>
        </w:tc>
        <w:tc>
          <w:tcPr>
            <w:tcW w:w="896" w:type="dxa"/>
            <w:tcBorders>
              <w:top w:val="single" w:sz="4" w:space="0" w:color="auto"/>
              <w:left w:val="nil"/>
              <w:bottom w:val="single" w:sz="4" w:space="0" w:color="auto"/>
              <w:right w:val="single" w:sz="4" w:space="0" w:color="auto"/>
            </w:tcBorders>
            <w:shd w:val="clear" w:color="auto" w:fill="auto"/>
          </w:tcPr>
          <w:p w14:paraId="018A6BAB" w14:textId="77777777" w:rsidR="009D4A93" w:rsidRPr="00536CFD" w:rsidRDefault="009D4A93" w:rsidP="009D4A93">
            <w:pPr>
              <w:spacing w:after="0"/>
              <w:jc w:val="center"/>
              <w:rPr>
                <w:lang w:val="zh-CN"/>
              </w:rPr>
            </w:pPr>
            <w:r w:rsidRPr="00536CFD">
              <w:rPr>
                <w:lang w:val="zh-CN"/>
              </w:rPr>
              <w:t>7.643</w:t>
            </w:r>
          </w:p>
        </w:tc>
        <w:tc>
          <w:tcPr>
            <w:tcW w:w="720" w:type="dxa"/>
            <w:tcBorders>
              <w:top w:val="single" w:sz="4" w:space="0" w:color="auto"/>
              <w:left w:val="nil"/>
              <w:bottom w:val="single" w:sz="4" w:space="0" w:color="auto"/>
              <w:right w:val="single" w:sz="4" w:space="0" w:color="auto"/>
            </w:tcBorders>
            <w:shd w:val="clear" w:color="auto" w:fill="auto"/>
          </w:tcPr>
          <w:p w14:paraId="36512197" w14:textId="77777777" w:rsidR="009D4A93" w:rsidRPr="00536CFD" w:rsidRDefault="009D4A93" w:rsidP="009D4A93">
            <w:pPr>
              <w:spacing w:after="0"/>
              <w:jc w:val="center"/>
              <w:rPr>
                <w:lang w:val="zh-CN"/>
              </w:rPr>
            </w:pPr>
            <w:r w:rsidRPr="00536CFD">
              <w:rPr>
                <w:lang w:val="zh-CN"/>
              </w:rPr>
              <w:t>12.172</w:t>
            </w:r>
          </w:p>
        </w:tc>
        <w:tc>
          <w:tcPr>
            <w:tcW w:w="720" w:type="dxa"/>
            <w:tcBorders>
              <w:top w:val="single" w:sz="4" w:space="0" w:color="auto"/>
              <w:left w:val="nil"/>
              <w:bottom w:val="single" w:sz="4" w:space="0" w:color="auto"/>
              <w:right w:val="single" w:sz="4" w:space="0" w:color="auto"/>
            </w:tcBorders>
            <w:shd w:val="clear" w:color="auto" w:fill="auto"/>
          </w:tcPr>
          <w:p w14:paraId="6182669C" w14:textId="77777777" w:rsidR="009D4A93" w:rsidRPr="00536CFD" w:rsidRDefault="009D4A93" w:rsidP="009D4A93">
            <w:pPr>
              <w:spacing w:after="0"/>
              <w:jc w:val="center"/>
              <w:rPr>
                <w:lang w:val="zh-CN"/>
              </w:rPr>
            </w:pPr>
            <w:r w:rsidRPr="00536CFD">
              <w:rPr>
                <w:lang w:val="zh-CN"/>
              </w:rPr>
              <w:t>0.893</w:t>
            </w:r>
          </w:p>
        </w:tc>
      </w:tr>
      <w:tr w:rsidR="009D4A93" w:rsidRPr="00536CFD" w14:paraId="7B733E2E"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A726EC6"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3107D1F"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714" w:type="dxa"/>
            <w:tcBorders>
              <w:top w:val="single" w:sz="4" w:space="0" w:color="auto"/>
              <w:left w:val="nil"/>
              <w:bottom w:val="single" w:sz="4" w:space="0" w:color="auto"/>
              <w:right w:val="single" w:sz="4" w:space="0" w:color="auto"/>
            </w:tcBorders>
            <w:shd w:val="clear" w:color="auto" w:fill="auto"/>
          </w:tcPr>
          <w:p w14:paraId="4A9CC3E9" w14:textId="77777777" w:rsidR="009D4A93" w:rsidRPr="00536CFD" w:rsidRDefault="009D4A93" w:rsidP="009D4A93">
            <w:pPr>
              <w:spacing w:after="0"/>
              <w:jc w:val="center"/>
              <w:rPr>
                <w:rFonts w:eastAsia="Malgun Gothic"/>
                <w:lang w:eastAsia="ko-KR"/>
              </w:rPr>
            </w:pPr>
            <w:r w:rsidRPr="00536CFD">
              <w:rPr>
                <w:rFonts w:eastAsia="Malgun Gothic"/>
                <w:lang w:eastAsia="ko-KR"/>
              </w:rPr>
              <w:t>1.00</w:t>
            </w:r>
          </w:p>
        </w:tc>
        <w:tc>
          <w:tcPr>
            <w:tcW w:w="720" w:type="dxa"/>
            <w:tcBorders>
              <w:top w:val="single" w:sz="4" w:space="0" w:color="auto"/>
              <w:left w:val="nil"/>
              <w:bottom w:val="single" w:sz="4" w:space="0" w:color="auto"/>
              <w:right w:val="single" w:sz="4" w:space="0" w:color="auto"/>
            </w:tcBorders>
            <w:shd w:val="clear" w:color="auto" w:fill="auto"/>
          </w:tcPr>
          <w:p w14:paraId="7B149D94" w14:textId="77777777" w:rsidR="009D4A93" w:rsidRPr="00536CFD" w:rsidRDefault="009D4A93" w:rsidP="009D4A93">
            <w:pPr>
              <w:spacing w:after="0"/>
              <w:jc w:val="center"/>
              <w:rPr>
                <w:rFonts w:eastAsia="Malgun Gothic"/>
                <w:lang w:eastAsia="ko-KR"/>
              </w:rPr>
            </w:pPr>
            <w:r w:rsidRPr="00536CFD">
              <w:rPr>
                <w:rFonts w:eastAsia="Malgun Gothic"/>
                <w:lang w:eastAsia="ko-KR"/>
              </w:rPr>
              <w:t>1.00</w:t>
            </w:r>
          </w:p>
        </w:tc>
        <w:tc>
          <w:tcPr>
            <w:tcW w:w="720" w:type="dxa"/>
            <w:tcBorders>
              <w:top w:val="single" w:sz="4" w:space="0" w:color="auto"/>
              <w:left w:val="nil"/>
              <w:bottom w:val="single" w:sz="4" w:space="0" w:color="auto"/>
              <w:right w:val="single" w:sz="4" w:space="0" w:color="auto"/>
            </w:tcBorders>
            <w:shd w:val="clear" w:color="auto" w:fill="auto"/>
          </w:tcPr>
          <w:p w14:paraId="60EE3219" w14:textId="77777777" w:rsidR="009D4A93" w:rsidRPr="00536CFD" w:rsidRDefault="009D4A93" w:rsidP="009D4A93">
            <w:pPr>
              <w:spacing w:after="0"/>
              <w:jc w:val="center"/>
              <w:rPr>
                <w:rFonts w:eastAsia="Malgun Gothic"/>
                <w:lang w:eastAsia="ko-KR"/>
              </w:rPr>
            </w:pPr>
            <w:r w:rsidRPr="00536CFD">
              <w:rPr>
                <w:rFonts w:eastAsia="Malgun Gothic"/>
                <w:lang w:eastAsia="ko-KR"/>
              </w:rPr>
              <w:t>0.99</w:t>
            </w:r>
          </w:p>
        </w:tc>
        <w:tc>
          <w:tcPr>
            <w:tcW w:w="810" w:type="dxa"/>
            <w:tcBorders>
              <w:top w:val="single" w:sz="4" w:space="0" w:color="auto"/>
              <w:left w:val="nil"/>
              <w:bottom w:val="single" w:sz="4" w:space="0" w:color="auto"/>
              <w:right w:val="single" w:sz="4" w:space="0" w:color="auto"/>
            </w:tcBorders>
            <w:shd w:val="clear" w:color="auto" w:fill="auto"/>
          </w:tcPr>
          <w:p w14:paraId="2D04C253" w14:textId="77777777" w:rsidR="009D4A93" w:rsidRPr="00536CFD" w:rsidRDefault="009D4A93" w:rsidP="009D4A93">
            <w:pPr>
              <w:spacing w:after="0"/>
              <w:jc w:val="center"/>
              <w:rPr>
                <w:rFonts w:eastAsia="Malgun Gothic"/>
                <w:lang w:eastAsia="ko-KR"/>
              </w:rPr>
            </w:pPr>
            <w:r w:rsidRPr="00536CFD">
              <w:rPr>
                <w:rFonts w:eastAsia="Malgun Gothic"/>
                <w:lang w:eastAsia="ko-KR"/>
              </w:rPr>
              <w:t>1.00</w:t>
            </w:r>
          </w:p>
        </w:tc>
        <w:tc>
          <w:tcPr>
            <w:tcW w:w="810" w:type="dxa"/>
            <w:tcBorders>
              <w:top w:val="single" w:sz="4" w:space="0" w:color="auto"/>
              <w:left w:val="nil"/>
              <w:bottom w:val="single" w:sz="4" w:space="0" w:color="auto"/>
              <w:right w:val="single" w:sz="4" w:space="0" w:color="auto"/>
            </w:tcBorders>
            <w:shd w:val="clear" w:color="auto" w:fill="auto"/>
          </w:tcPr>
          <w:p w14:paraId="2A9FAA71" w14:textId="77777777" w:rsidR="009D4A93" w:rsidRPr="00536CFD" w:rsidRDefault="009D4A93" w:rsidP="009D4A93">
            <w:pPr>
              <w:spacing w:after="0"/>
              <w:jc w:val="center"/>
              <w:rPr>
                <w:rFonts w:eastAsia="Malgun Gothic"/>
                <w:lang w:eastAsia="ko-KR"/>
              </w:rPr>
            </w:pPr>
            <w:r w:rsidRPr="00536CFD">
              <w:rPr>
                <w:rFonts w:eastAsia="Malgun Gothic"/>
                <w:lang w:eastAsia="ko-KR"/>
              </w:rPr>
              <w:t>1.00</w:t>
            </w:r>
          </w:p>
        </w:tc>
        <w:tc>
          <w:tcPr>
            <w:tcW w:w="820" w:type="dxa"/>
            <w:tcBorders>
              <w:top w:val="single" w:sz="4" w:space="0" w:color="auto"/>
              <w:left w:val="nil"/>
              <w:bottom w:val="single" w:sz="4" w:space="0" w:color="auto"/>
              <w:right w:val="single" w:sz="4" w:space="0" w:color="auto"/>
            </w:tcBorders>
            <w:shd w:val="clear" w:color="auto" w:fill="auto"/>
          </w:tcPr>
          <w:p w14:paraId="4A5A850C" w14:textId="77777777" w:rsidR="009D4A93" w:rsidRPr="00536CFD" w:rsidRDefault="009D4A93" w:rsidP="009D4A93">
            <w:pPr>
              <w:spacing w:after="0"/>
              <w:jc w:val="center"/>
              <w:rPr>
                <w:rFonts w:eastAsia="Malgun Gothic"/>
                <w:lang w:eastAsia="ko-KR"/>
              </w:rPr>
            </w:pPr>
            <w:r w:rsidRPr="00536CFD">
              <w:rPr>
                <w:rFonts w:eastAsia="Malgun Gothic"/>
                <w:lang w:eastAsia="ko-KR"/>
              </w:rPr>
              <w:t>1.00</w:t>
            </w:r>
          </w:p>
        </w:tc>
        <w:tc>
          <w:tcPr>
            <w:tcW w:w="800" w:type="dxa"/>
            <w:tcBorders>
              <w:top w:val="single" w:sz="4" w:space="0" w:color="auto"/>
              <w:left w:val="nil"/>
              <w:bottom w:val="single" w:sz="4" w:space="0" w:color="auto"/>
              <w:right w:val="single" w:sz="4" w:space="0" w:color="auto"/>
            </w:tcBorders>
            <w:shd w:val="clear" w:color="auto" w:fill="auto"/>
          </w:tcPr>
          <w:p w14:paraId="0DAEE897" w14:textId="77777777" w:rsidR="009D4A93" w:rsidRPr="00536CFD" w:rsidRDefault="009D4A93" w:rsidP="009D4A93">
            <w:pPr>
              <w:spacing w:after="0"/>
              <w:jc w:val="center"/>
              <w:rPr>
                <w:rFonts w:eastAsia="Malgun Gothic"/>
                <w:lang w:eastAsia="ko-KR"/>
              </w:rPr>
            </w:pPr>
            <w:r w:rsidRPr="00536CFD">
              <w:rPr>
                <w:rFonts w:eastAsia="Malgun Gothic"/>
                <w:lang w:eastAsia="ko-KR"/>
              </w:rPr>
              <w:t>0.98</w:t>
            </w:r>
          </w:p>
        </w:tc>
        <w:tc>
          <w:tcPr>
            <w:tcW w:w="720" w:type="dxa"/>
            <w:tcBorders>
              <w:top w:val="single" w:sz="4" w:space="0" w:color="auto"/>
              <w:left w:val="nil"/>
              <w:bottom w:val="single" w:sz="4" w:space="0" w:color="auto"/>
              <w:right w:val="single" w:sz="4" w:space="0" w:color="auto"/>
            </w:tcBorders>
            <w:shd w:val="clear" w:color="auto" w:fill="auto"/>
          </w:tcPr>
          <w:p w14:paraId="0A1DAA6C" w14:textId="77777777" w:rsidR="009D4A93" w:rsidRPr="00536CFD" w:rsidRDefault="009D4A93" w:rsidP="009D4A93">
            <w:pPr>
              <w:spacing w:after="0"/>
              <w:jc w:val="center"/>
              <w:rPr>
                <w:rFonts w:eastAsia="Malgun Gothic"/>
                <w:lang w:eastAsia="ko-KR"/>
              </w:rPr>
            </w:pPr>
            <w:r w:rsidRPr="00536CFD">
              <w:rPr>
                <w:rFonts w:eastAsia="Malgun Gothic"/>
                <w:lang w:eastAsia="ko-KR"/>
              </w:rPr>
              <w:t>1.00</w:t>
            </w:r>
          </w:p>
        </w:tc>
        <w:tc>
          <w:tcPr>
            <w:tcW w:w="724" w:type="dxa"/>
            <w:tcBorders>
              <w:top w:val="single" w:sz="4" w:space="0" w:color="auto"/>
              <w:left w:val="nil"/>
              <w:bottom w:val="single" w:sz="4" w:space="0" w:color="auto"/>
              <w:right w:val="single" w:sz="4" w:space="0" w:color="auto"/>
            </w:tcBorders>
            <w:shd w:val="clear" w:color="auto" w:fill="auto"/>
          </w:tcPr>
          <w:p w14:paraId="2F1FA23D" w14:textId="77777777" w:rsidR="009D4A93" w:rsidRPr="00536CFD" w:rsidRDefault="009D4A93" w:rsidP="009D4A93">
            <w:pPr>
              <w:spacing w:after="0"/>
              <w:jc w:val="center"/>
              <w:rPr>
                <w:rFonts w:eastAsia="Malgun Gothic"/>
                <w:lang w:eastAsia="ko-KR"/>
              </w:rPr>
            </w:pPr>
            <w:r w:rsidRPr="00536CFD">
              <w:rPr>
                <w:rFonts w:eastAsia="Malgun Gothic"/>
                <w:lang w:eastAsia="ko-KR"/>
              </w:rPr>
              <w:t>0.88</w:t>
            </w:r>
          </w:p>
        </w:tc>
        <w:tc>
          <w:tcPr>
            <w:tcW w:w="896" w:type="dxa"/>
            <w:tcBorders>
              <w:top w:val="single" w:sz="4" w:space="0" w:color="auto"/>
              <w:left w:val="nil"/>
              <w:bottom w:val="single" w:sz="4" w:space="0" w:color="auto"/>
              <w:right w:val="single" w:sz="4" w:space="0" w:color="auto"/>
            </w:tcBorders>
            <w:shd w:val="clear" w:color="auto" w:fill="auto"/>
          </w:tcPr>
          <w:p w14:paraId="6B9FD00E" w14:textId="77777777" w:rsidR="009D4A93" w:rsidRPr="00536CFD" w:rsidRDefault="009D4A93" w:rsidP="009D4A93">
            <w:pPr>
              <w:spacing w:after="0"/>
              <w:jc w:val="center"/>
              <w:rPr>
                <w:rFonts w:eastAsia="Malgun Gothic"/>
                <w:lang w:eastAsia="ko-KR"/>
              </w:rPr>
            </w:pPr>
            <w:r w:rsidRPr="00536CFD">
              <w:rPr>
                <w:rFonts w:eastAsia="Malgun Gothic"/>
                <w:lang w:eastAsia="ko-KR"/>
              </w:rPr>
              <w:t>1.00</w:t>
            </w:r>
          </w:p>
        </w:tc>
        <w:tc>
          <w:tcPr>
            <w:tcW w:w="720" w:type="dxa"/>
            <w:tcBorders>
              <w:top w:val="single" w:sz="4" w:space="0" w:color="auto"/>
              <w:left w:val="nil"/>
              <w:bottom w:val="single" w:sz="4" w:space="0" w:color="auto"/>
              <w:right w:val="single" w:sz="4" w:space="0" w:color="auto"/>
            </w:tcBorders>
            <w:shd w:val="clear" w:color="auto" w:fill="auto"/>
          </w:tcPr>
          <w:p w14:paraId="6CFD9761" w14:textId="77777777" w:rsidR="009D4A93" w:rsidRPr="00536CFD" w:rsidRDefault="009D4A93" w:rsidP="009D4A93">
            <w:pPr>
              <w:spacing w:after="0"/>
              <w:jc w:val="center"/>
              <w:rPr>
                <w:rFonts w:eastAsia="Malgun Gothic"/>
                <w:lang w:eastAsia="ko-KR"/>
              </w:rPr>
            </w:pPr>
            <w:r w:rsidRPr="00536CFD">
              <w:rPr>
                <w:rFonts w:eastAsia="Malgun Gothic"/>
                <w:lang w:eastAsia="ko-KR"/>
              </w:rPr>
              <w:t>0.97</w:t>
            </w:r>
          </w:p>
        </w:tc>
        <w:tc>
          <w:tcPr>
            <w:tcW w:w="720" w:type="dxa"/>
            <w:tcBorders>
              <w:top w:val="single" w:sz="4" w:space="0" w:color="auto"/>
              <w:left w:val="nil"/>
              <w:bottom w:val="single" w:sz="4" w:space="0" w:color="auto"/>
              <w:right w:val="single" w:sz="4" w:space="0" w:color="auto"/>
            </w:tcBorders>
            <w:shd w:val="clear" w:color="auto" w:fill="auto"/>
          </w:tcPr>
          <w:p w14:paraId="57A54C76" w14:textId="77777777" w:rsidR="009D4A93" w:rsidRPr="00536CFD" w:rsidRDefault="009D4A93" w:rsidP="009D4A93">
            <w:pPr>
              <w:spacing w:after="0"/>
              <w:jc w:val="center"/>
              <w:rPr>
                <w:rFonts w:eastAsia="Malgun Gothic"/>
                <w:lang w:eastAsia="ko-KR"/>
              </w:rPr>
            </w:pPr>
            <w:r w:rsidRPr="00536CFD">
              <w:rPr>
                <w:rFonts w:eastAsia="Malgun Gothic"/>
                <w:lang w:eastAsia="ko-KR"/>
              </w:rPr>
              <w:t>1.00</w:t>
            </w:r>
          </w:p>
        </w:tc>
      </w:tr>
      <w:tr w:rsidR="009D4A93" w:rsidRPr="00536CFD" w14:paraId="40145855"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0F255975"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26E5A2F7" w14:textId="77777777" w:rsidR="009D4A93" w:rsidRPr="00536CFD" w:rsidRDefault="009D4A93" w:rsidP="009D4A93">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714" w:type="dxa"/>
            <w:tcBorders>
              <w:top w:val="single" w:sz="4" w:space="0" w:color="auto"/>
              <w:left w:val="nil"/>
              <w:bottom w:val="single" w:sz="4" w:space="0" w:color="auto"/>
              <w:right w:val="single" w:sz="4" w:space="0" w:color="auto"/>
            </w:tcBorders>
            <w:shd w:val="clear" w:color="auto" w:fill="auto"/>
          </w:tcPr>
          <w:p w14:paraId="52A99FD1" w14:textId="77777777" w:rsidR="009D4A93" w:rsidRPr="00536CFD" w:rsidRDefault="009D4A93" w:rsidP="009D4A93">
            <w:pPr>
              <w:spacing w:after="0"/>
              <w:jc w:val="center"/>
              <w:rPr>
                <w:rFonts w:eastAsia="Malgun Gothic"/>
                <w:lang w:eastAsia="ko-KR"/>
              </w:rPr>
            </w:pPr>
            <w:r w:rsidRPr="00536CFD">
              <w:rPr>
                <w:rFonts w:eastAsia="Malgun Gothic"/>
                <w:lang w:eastAsia="ko-KR"/>
              </w:rPr>
              <w:t>0.96</w:t>
            </w:r>
          </w:p>
        </w:tc>
        <w:tc>
          <w:tcPr>
            <w:tcW w:w="720" w:type="dxa"/>
            <w:tcBorders>
              <w:top w:val="single" w:sz="4" w:space="0" w:color="auto"/>
              <w:left w:val="nil"/>
              <w:bottom w:val="single" w:sz="4" w:space="0" w:color="auto"/>
              <w:right w:val="single" w:sz="4" w:space="0" w:color="auto"/>
            </w:tcBorders>
            <w:shd w:val="clear" w:color="auto" w:fill="auto"/>
          </w:tcPr>
          <w:p w14:paraId="5064F6B5" w14:textId="77777777" w:rsidR="009D4A93" w:rsidRPr="00536CFD" w:rsidRDefault="009D4A93" w:rsidP="009D4A93">
            <w:pPr>
              <w:spacing w:after="0"/>
              <w:jc w:val="center"/>
              <w:rPr>
                <w:rFonts w:eastAsia="Malgun Gothic"/>
                <w:lang w:eastAsia="ko-KR"/>
              </w:rPr>
            </w:pPr>
            <w:r w:rsidRPr="00536CFD">
              <w:rPr>
                <w:rFonts w:eastAsia="Malgun Gothic"/>
                <w:lang w:eastAsia="ko-KR"/>
              </w:rPr>
              <w:t>0.97</w:t>
            </w:r>
          </w:p>
        </w:tc>
        <w:tc>
          <w:tcPr>
            <w:tcW w:w="720" w:type="dxa"/>
            <w:tcBorders>
              <w:top w:val="single" w:sz="4" w:space="0" w:color="auto"/>
              <w:left w:val="nil"/>
              <w:bottom w:val="single" w:sz="4" w:space="0" w:color="auto"/>
              <w:right w:val="single" w:sz="4" w:space="0" w:color="auto"/>
            </w:tcBorders>
            <w:shd w:val="clear" w:color="auto" w:fill="auto"/>
          </w:tcPr>
          <w:p w14:paraId="4C59592A" w14:textId="77777777" w:rsidR="009D4A93" w:rsidRPr="00536CFD" w:rsidRDefault="009D4A93" w:rsidP="009D4A93">
            <w:pPr>
              <w:spacing w:after="0"/>
              <w:jc w:val="center"/>
              <w:rPr>
                <w:rFonts w:eastAsia="Malgun Gothic"/>
                <w:lang w:eastAsia="ko-KR"/>
              </w:rPr>
            </w:pPr>
            <w:r w:rsidRPr="00536CFD">
              <w:rPr>
                <w:rFonts w:eastAsia="Malgun Gothic"/>
                <w:lang w:eastAsia="ko-KR"/>
              </w:rPr>
              <w:t>0.94</w:t>
            </w:r>
          </w:p>
        </w:tc>
        <w:tc>
          <w:tcPr>
            <w:tcW w:w="810" w:type="dxa"/>
            <w:tcBorders>
              <w:top w:val="single" w:sz="4" w:space="0" w:color="auto"/>
              <w:left w:val="nil"/>
              <w:bottom w:val="single" w:sz="4" w:space="0" w:color="auto"/>
              <w:right w:val="single" w:sz="4" w:space="0" w:color="auto"/>
            </w:tcBorders>
            <w:shd w:val="clear" w:color="auto" w:fill="auto"/>
          </w:tcPr>
          <w:p w14:paraId="1ABE912D" w14:textId="77777777" w:rsidR="009D4A93" w:rsidRPr="00536CFD" w:rsidRDefault="009D4A93" w:rsidP="009D4A93">
            <w:pPr>
              <w:spacing w:after="0"/>
              <w:jc w:val="center"/>
              <w:rPr>
                <w:rFonts w:eastAsia="Malgun Gothic"/>
                <w:lang w:eastAsia="ko-KR"/>
              </w:rPr>
            </w:pPr>
            <w:r w:rsidRPr="00536CFD">
              <w:rPr>
                <w:rFonts w:eastAsia="Malgun Gothic"/>
                <w:lang w:eastAsia="ko-KR"/>
              </w:rPr>
              <w:t>0.99</w:t>
            </w:r>
          </w:p>
        </w:tc>
        <w:tc>
          <w:tcPr>
            <w:tcW w:w="810" w:type="dxa"/>
            <w:tcBorders>
              <w:top w:val="single" w:sz="4" w:space="0" w:color="auto"/>
              <w:left w:val="nil"/>
              <w:bottom w:val="single" w:sz="4" w:space="0" w:color="auto"/>
              <w:right w:val="single" w:sz="4" w:space="0" w:color="auto"/>
            </w:tcBorders>
            <w:shd w:val="clear" w:color="auto" w:fill="auto"/>
          </w:tcPr>
          <w:p w14:paraId="1BD43AED" w14:textId="77777777" w:rsidR="009D4A93" w:rsidRPr="00536CFD" w:rsidRDefault="009D4A93" w:rsidP="009D4A93">
            <w:pPr>
              <w:spacing w:after="0"/>
              <w:jc w:val="center"/>
              <w:rPr>
                <w:rFonts w:eastAsia="Malgun Gothic"/>
                <w:lang w:eastAsia="ko-KR"/>
              </w:rPr>
            </w:pPr>
            <w:r w:rsidRPr="00536CFD">
              <w:rPr>
                <w:rFonts w:eastAsia="Malgun Gothic"/>
                <w:lang w:eastAsia="ko-KR"/>
              </w:rPr>
              <w:t>0.90</w:t>
            </w:r>
          </w:p>
        </w:tc>
        <w:tc>
          <w:tcPr>
            <w:tcW w:w="820" w:type="dxa"/>
            <w:tcBorders>
              <w:top w:val="single" w:sz="4" w:space="0" w:color="auto"/>
              <w:left w:val="nil"/>
              <w:bottom w:val="single" w:sz="4" w:space="0" w:color="auto"/>
              <w:right w:val="single" w:sz="4" w:space="0" w:color="auto"/>
            </w:tcBorders>
            <w:shd w:val="clear" w:color="auto" w:fill="auto"/>
          </w:tcPr>
          <w:p w14:paraId="37E545D4" w14:textId="77777777" w:rsidR="009D4A93" w:rsidRPr="00536CFD" w:rsidRDefault="009D4A93" w:rsidP="009D4A93">
            <w:pPr>
              <w:spacing w:after="0"/>
              <w:jc w:val="center"/>
              <w:rPr>
                <w:rFonts w:eastAsia="Malgun Gothic"/>
                <w:lang w:eastAsia="ko-KR"/>
              </w:rPr>
            </w:pPr>
            <w:r w:rsidRPr="00536CFD">
              <w:rPr>
                <w:rFonts w:eastAsia="Malgun Gothic"/>
                <w:lang w:eastAsia="ko-KR"/>
              </w:rPr>
              <w:t>0.96</w:t>
            </w:r>
          </w:p>
        </w:tc>
        <w:tc>
          <w:tcPr>
            <w:tcW w:w="800" w:type="dxa"/>
            <w:tcBorders>
              <w:top w:val="single" w:sz="4" w:space="0" w:color="auto"/>
              <w:left w:val="nil"/>
              <w:bottom w:val="single" w:sz="4" w:space="0" w:color="auto"/>
              <w:right w:val="single" w:sz="4" w:space="0" w:color="auto"/>
            </w:tcBorders>
            <w:shd w:val="clear" w:color="auto" w:fill="auto"/>
          </w:tcPr>
          <w:p w14:paraId="71B4A48A" w14:textId="77777777" w:rsidR="009D4A93" w:rsidRPr="00536CFD" w:rsidRDefault="009D4A93" w:rsidP="009D4A93">
            <w:pPr>
              <w:spacing w:after="0"/>
              <w:jc w:val="center"/>
              <w:rPr>
                <w:rFonts w:eastAsia="Malgun Gothic"/>
                <w:lang w:eastAsia="ko-KR"/>
              </w:rPr>
            </w:pPr>
            <w:r w:rsidRPr="00536CFD">
              <w:rPr>
                <w:rFonts w:eastAsia="Malgun Gothic"/>
                <w:lang w:eastAsia="ko-KR"/>
              </w:rPr>
              <w:t>0.92</w:t>
            </w:r>
          </w:p>
        </w:tc>
        <w:tc>
          <w:tcPr>
            <w:tcW w:w="720" w:type="dxa"/>
            <w:tcBorders>
              <w:top w:val="single" w:sz="4" w:space="0" w:color="auto"/>
              <w:left w:val="nil"/>
              <w:bottom w:val="single" w:sz="4" w:space="0" w:color="auto"/>
              <w:right w:val="single" w:sz="4" w:space="0" w:color="auto"/>
            </w:tcBorders>
            <w:shd w:val="clear" w:color="auto" w:fill="auto"/>
          </w:tcPr>
          <w:p w14:paraId="3A1929C2" w14:textId="77777777" w:rsidR="009D4A93" w:rsidRPr="00536CFD" w:rsidRDefault="009D4A93" w:rsidP="009D4A93">
            <w:pPr>
              <w:spacing w:after="0"/>
              <w:jc w:val="center"/>
              <w:rPr>
                <w:rFonts w:eastAsia="Malgun Gothic"/>
                <w:lang w:eastAsia="ko-KR"/>
              </w:rPr>
            </w:pPr>
            <w:r w:rsidRPr="00536CFD">
              <w:rPr>
                <w:rFonts w:eastAsia="Malgun Gothic"/>
                <w:lang w:eastAsia="ko-KR"/>
              </w:rPr>
              <w:t>0.97</w:t>
            </w:r>
          </w:p>
        </w:tc>
        <w:tc>
          <w:tcPr>
            <w:tcW w:w="724" w:type="dxa"/>
            <w:tcBorders>
              <w:top w:val="single" w:sz="4" w:space="0" w:color="auto"/>
              <w:left w:val="nil"/>
              <w:bottom w:val="single" w:sz="4" w:space="0" w:color="auto"/>
              <w:right w:val="single" w:sz="4" w:space="0" w:color="auto"/>
            </w:tcBorders>
            <w:shd w:val="clear" w:color="auto" w:fill="auto"/>
          </w:tcPr>
          <w:p w14:paraId="7263D968" w14:textId="77777777" w:rsidR="009D4A93" w:rsidRPr="00536CFD" w:rsidRDefault="009D4A93" w:rsidP="009D4A93">
            <w:pPr>
              <w:spacing w:after="0"/>
              <w:jc w:val="center"/>
              <w:rPr>
                <w:rFonts w:eastAsia="Malgun Gothic"/>
                <w:lang w:eastAsia="ko-KR"/>
              </w:rPr>
            </w:pPr>
            <w:r w:rsidRPr="00536CFD">
              <w:rPr>
                <w:rFonts w:eastAsia="Malgun Gothic"/>
                <w:lang w:eastAsia="ko-KR"/>
              </w:rPr>
              <w:t>0.81</w:t>
            </w:r>
          </w:p>
        </w:tc>
        <w:tc>
          <w:tcPr>
            <w:tcW w:w="896" w:type="dxa"/>
            <w:tcBorders>
              <w:top w:val="single" w:sz="4" w:space="0" w:color="auto"/>
              <w:left w:val="nil"/>
              <w:bottom w:val="single" w:sz="4" w:space="0" w:color="auto"/>
              <w:right w:val="single" w:sz="4" w:space="0" w:color="auto"/>
            </w:tcBorders>
            <w:shd w:val="clear" w:color="auto" w:fill="auto"/>
          </w:tcPr>
          <w:p w14:paraId="7B985421" w14:textId="77777777" w:rsidR="009D4A93" w:rsidRPr="00536CFD" w:rsidRDefault="009D4A93" w:rsidP="009D4A93">
            <w:pPr>
              <w:spacing w:after="0"/>
              <w:jc w:val="center"/>
              <w:rPr>
                <w:rFonts w:eastAsia="Malgun Gothic"/>
                <w:lang w:eastAsia="ko-KR"/>
              </w:rPr>
            </w:pPr>
            <w:r w:rsidRPr="00536CFD">
              <w:rPr>
                <w:rFonts w:eastAsia="Malgun Gothic"/>
                <w:lang w:eastAsia="ko-KR"/>
              </w:rPr>
              <w:t>0.96</w:t>
            </w:r>
          </w:p>
        </w:tc>
        <w:tc>
          <w:tcPr>
            <w:tcW w:w="720" w:type="dxa"/>
            <w:tcBorders>
              <w:top w:val="single" w:sz="4" w:space="0" w:color="auto"/>
              <w:left w:val="nil"/>
              <w:bottom w:val="single" w:sz="4" w:space="0" w:color="auto"/>
              <w:right w:val="single" w:sz="4" w:space="0" w:color="auto"/>
            </w:tcBorders>
            <w:shd w:val="clear" w:color="auto" w:fill="auto"/>
          </w:tcPr>
          <w:p w14:paraId="1DE05ED1" w14:textId="77777777" w:rsidR="009D4A93" w:rsidRPr="00536CFD" w:rsidRDefault="009D4A93" w:rsidP="009D4A93">
            <w:pPr>
              <w:spacing w:after="0"/>
              <w:jc w:val="center"/>
              <w:rPr>
                <w:rFonts w:eastAsia="Malgun Gothic"/>
                <w:lang w:eastAsia="ko-KR"/>
              </w:rPr>
            </w:pPr>
            <w:r w:rsidRPr="00536CFD">
              <w:rPr>
                <w:rFonts w:eastAsia="Malgun Gothic"/>
                <w:lang w:eastAsia="ko-KR"/>
              </w:rPr>
              <w:t>0.87</w:t>
            </w:r>
          </w:p>
        </w:tc>
        <w:tc>
          <w:tcPr>
            <w:tcW w:w="720" w:type="dxa"/>
            <w:tcBorders>
              <w:top w:val="single" w:sz="4" w:space="0" w:color="auto"/>
              <w:left w:val="nil"/>
              <w:bottom w:val="single" w:sz="4" w:space="0" w:color="auto"/>
              <w:right w:val="single" w:sz="4" w:space="0" w:color="auto"/>
            </w:tcBorders>
            <w:shd w:val="clear" w:color="auto" w:fill="auto"/>
          </w:tcPr>
          <w:p w14:paraId="43A22FE6" w14:textId="77777777" w:rsidR="009D4A93" w:rsidRPr="00536CFD" w:rsidRDefault="009D4A93" w:rsidP="009D4A93">
            <w:pPr>
              <w:spacing w:after="0"/>
              <w:jc w:val="center"/>
              <w:rPr>
                <w:rFonts w:eastAsia="Malgun Gothic"/>
                <w:lang w:eastAsia="ko-KR"/>
              </w:rPr>
            </w:pPr>
            <w:r w:rsidRPr="00536CFD">
              <w:rPr>
                <w:rFonts w:eastAsia="Malgun Gothic"/>
                <w:lang w:eastAsia="ko-KR"/>
              </w:rPr>
              <w:t>0.98</w:t>
            </w:r>
          </w:p>
        </w:tc>
      </w:tr>
      <w:tr w:rsidR="009D4A93" w:rsidRPr="00536CFD" w14:paraId="71A7B0A2"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78D7D2F"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3A0858C7" w14:textId="77777777" w:rsidR="009D4A93" w:rsidRPr="00536CFD" w:rsidRDefault="009D4A93" w:rsidP="009D4A93">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714" w:type="dxa"/>
            <w:tcBorders>
              <w:top w:val="single" w:sz="4" w:space="0" w:color="auto"/>
              <w:left w:val="nil"/>
              <w:bottom w:val="single" w:sz="4" w:space="0" w:color="auto"/>
              <w:right w:val="single" w:sz="4" w:space="0" w:color="auto"/>
            </w:tcBorders>
            <w:shd w:val="clear" w:color="auto" w:fill="auto"/>
          </w:tcPr>
          <w:p w14:paraId="6D42A8ED" w14:textId="77777777" w:rsidR="009D4A93" w:rsidRPr="00536CFD" w:rsidRDefault="009D4A93" w:rsidP="009D4A93">
            <w:pPr>
              <w:spacing w:after="0"/>
              <w:jc w:val="center"/>
              <w:rPr>
                <w:rFonts w:eastAsia="Malgun Gothic"/>
                <w:lang w:eastAsia="ko-KR"/>
              </w:rPr>
            </w:pPr>
            <w:r w:rsidRPr="00536CFD">
              <w:rPr>
                <w:rFonts w:eastAsia="Malgun Gothic"/>
                <w:lang w:eastAsia="ko-KR"/>
              </w:rPr>
              <w:t>0.17</w:t>
            </w:r>
          </w:p>
        </w:tc>
        <w:tc>
          <w:tcPr>
            <w:tcW w:w="720" w:type="dxa"/>
            <w:tcBorders>
              <w:top w:val="single" w:sz="4" w:space="0" w:color="auto"/>
              <w:left w:val="nil"/>
              <w:bottom w:val="single" w:sz="4" w:space="0" w:color="auto"/>
              <w:right w:val="single" w:sz="4" w:space="0" w:color="auto"/>
            </w:tcBorders>
            <w:shd w:val="clear" w:color="auto" w:fill="auto"/>
          </w:tcPr>
          <w:p w14:paraId="315775BF" w14:textId="77777777" w:rsidR="009D4A93" w:rsidRPr="00536CFD" w:rsidRDefault="009D4A93" w:rsidP="009D4A93">
            <w:pPr>
              <w:spacing w:after="0"/>
              <w:jc w:val="center"/>
              <w:rPr>
                <w:rFonts w:eastAsia="Malgun Gothic"/>
                <w:lang w:eastAsia="ko-KR"/>
              </w:rPr>
            </w:pPr>
            <w:r w:rsidRPr="00536CFD">
              <w:rPr>
                <w:rFonts w:eastAsia="Malgun Gothic"/>
                <w:lang w:eastAsia="ko-KR"/>
              </w:rPr>
              <w:t>0.18</w:t>
            </w:r>
          </w:p>
        </w:tc>
        <w:tc>
          <w:tcPr>
            <w:tcW w:w="720" w:type="dxa"/>
            <w:tcBorders>
              <w:top w:val="single" w:sz="4" w:space="0" w:color="auto"/>
              <w:left w:val="nil"/>
              <w:bottom w:val="single" w:sz="4" w:space="0" w:color="auto"/>
              <w:right w:val="single" w:sz="4" w:space="0" w:color="auto"/>
            </w:tcBorders>
            <w:shd w:val="clear" w:color="auto" w:fill="auto"/>
          </w:tcPr>
          <w:p w14:paraId="034CFEBA" w14:textId="77777777" w:rsidR="009D4A93" w:rsidRPr="00536CFD" w:rsidRDefault="009D4A93" w:rsidP="009D4A93">
            <w:pPr>
              <w:spacing w:after="0"/>
              <w:jc w:val="center"/>
              <w:rPr>
                <w:rFonts w:eastAsia="Malgun Gothic"/>
                <w:lang w:eastAsia="ko-KR"/>
              </w:rPr>
            </w:pPr>
            <w:r w:rsidRPr="00536CFD">
              <w:rPr>
                <w:rFonts w:eastAsia="Malgun Gothic"/>
                <w:lang w:eastAsia="ko-KR"/>
              </w:rPr>
              <w:t>0.20</w:t>
            </w:r>
          </w:p>
        </w:tc>
        <w:tc>
          <w:tcPr>
            <w:tcW w:w="810" w:type="dxa"/>
            <w:tcBorders>
              <w:top w:val="single" w:sz="4" w:space="0" w:color="auto"/>
              <w:left w:val="nil"/>
              <w:bottom w:val="single" w:sz="4" w:space="0" w:color="auto"/>
              <w:right w:val="single" w:sz="4" w:space="0" w:color="auto"/>
            </w:tcBorders>
            <w:shd w:val="clear" w:color="auto" w:fill="auto"/>
          </w:tcPr>
          <w:p w14:paraId="3BD4CCFC" w14:textId="77777777" w:rsidR="009D4A93" w:rsidRPr="00536CFD" w:rsidRDefault="009D4A93" w:rsidP="009D4A93">
            <w:pPr>
              <w:spacing w:after="0"/>
              <w:jc w:val="center"/>
              <w:rPr>
                <w:rFonts w:eastAsia="Malgun Gothic"/>
                <w:lang w:eastAsia="ko-KR"/>
              </w:rPr>
            </w:pPr>
            <w:r w:rsidRPr="00536CFD">
              <w:rPr>
                <w:rFonts w:eastAsia="Malgun Gothic"/>
                <w:lang w:eastAsia="ko-KR"/>
              </w:rPr>
              <w:t>0.06</w:t>
            </w:r>
          </w:p>
        </w:tc>
        <w:tc>
          <w:tcPr>
            <w:tcW w:w="810" w:type="dxa"/>
            <w:tcBorders>
              <w:top w:val="single" w:sz="4" w:space="0" w:color="auto"/>
              <w:left w:val="nil"/>
              <w:bottom w:val="single" w:sz="4" w:space="0" w:color="auto"/>
              <w:right w:val="single" w:sz="4" w:space="0" w:color="auto"/>
            </w:tcBorders>
            <w:shd w:val="clear" w:color="auto" w:fill="auto"/>
          </w:tcPr>
          <w:p w14:paraId="6DC8A7DA" w14:textId="77777777" w:rsidR="009D4A93" w:rsidRPr="00536CFD" w:rsidRDefault="009D4A93" w:rsidP="009D4A93">
            <w:pPr>
              <w:spacing w:after="0"/>
              <w:jc w:val="center"/>
              <w:rPr>
                <w:rFonts w:eastAsia="Malgun Gothic"/>
                <w:lang w:eastAsia="ko-KR"/>
              </w:rPr>
            </w:pPr>
            <w:r w:rsidRPr="00536CFD">
              <w:rPr>
                <w:rFonts w:eastAsia="Malgun Gothic"/>
                <w:lang w:eastAsia="ko-KR"/>
              </w:rPr>
              <w:t>0.39</w:t>
            </w:r>
          </w:p>
        </w:tc>
        <w:tc>
          <w:tcPr>
            <w:tcW w:w="820" w:type="dxa"/>
            <w:tcBorders>
              <w:top w:val="single" w:sz="4" w:space="0" w:color="auto"/>
              <w:left w:val="nil"/>
              <w:bottom w:val="single" w:sz="4" w:space="0" w:color="auto"/>
              <w:right w:val="single" w:sz="4" w:space="0" w:color="auto"/>
            </w:tcBorders>
            <w:shd w:val="clear" w:color="auto" w:fill="auto"/>
          </w:tcPr>
          <w:p w14:paraId="45DC51E7" w14:textId="77777777" w:rsidR="009D4A93" w:rsidRPr="00536CFD" w:rsidRDefault="009D4A93" w:rsidP="009D4A93">
            <w:pPr>
              <w:spacing w:after="0"/>
              <w:jc w:val="center"/>
              <w:rPr>
                <w:rFonts w:eastAsia="Malgun Gothic"/>
                <w:lang w:eastAsia="ko-KR"/>
              </w:rPr>
            </w:pPr>
            <w:r w:rsidRPr="00536CFD">
              <w:rPr>
                <w:rFonts w:eastAsia="Malgun Gothic"/>
                <w:lang w:eastAsia="ko-KR"/>
              </w:rPr>
              <w:t>0.23</w:t>
            </w:r>
          </w:p>
        </w:tc>
        <w:tc>
          <w:tcPr>
            <w:tcW w:w="800" w:type="dxa"/>
            <w:tcBorders>
              <w:top w:val="single" w:sz="4" w:space="0" w:color="auto"/>
              <w:left w:val="nil"/>
              <w:bottom w:val="single" w:sz="4" w:space="0" w:color="auto"/>
              <w:right w:val="single" w:sz="4" w:space="0" w:color="auto"/>
            </w:tcBorders>
            <w:shd w:val="clear" w:color="auto" w:fill="auto"/>
          </w:tcPr>
          <w:p w14:paraId="303EE090" w14:textId="77777777" w:rsidR="009D4A93" w:rsidRPr="00536CFD" w:rsidRDefault="009D4A93" w:rsidP="009D4A93">
            <w:pPr>
              <w:spacing w:after="0"/>
              <w:jc w:val="center"/>
              <w:rPr>
                <w:rFonts w:eastAsia="Malgun Gothic"/>
                <w:lang w:eastAsia="ko-KR"/>
              </w:rPr>
            </w:pPr>
            <w:r w:rsidRPr="00536CFD">
              <w:rPr>
                <w:rFonts w:eastAsia="Malgun Gothic"/>
                <w:lang w:eastAsia="ko-KR"/>
              </w:rPr>
              <w:t>0.35</w:t>
            </w:r>
          </w:p>
        </w:tc>
        <w:tc>
          <w:tcPr>
            <w:tcW w:w="720" w:type="dxa"/>
            <w:tcBorders>
              <w:top w:val="single" w:sz="4" w:space="0" w:color="auto"/>
              <w:left w:val="nil"/>
              <w:bottom w:val="single" w:sz="4" w:space="0" w:color="auto"/>
              <w:right w:val="single" w:sz="4" w:space="0" w:color="auto"/>
            </w:tcBorders>
            <w:shd w:val="clear" w:color="auto" w:fill="auto"/>
          </w:tcPr>
          <w:p w14:paraId="7739BF63" w14:textId="77777777" w:rsidR="009D4A93" w:rsidRPr="00536CFD" w:rsidRDefault="009D4A93" w:rsidP="009D4A93">
            <w:pPr>
              <w:spacing w:after="0"/>
              <w:jc w:val="center"/>
              <w:rPr>
                <w:rFonts w:eastAsia="Malgun Gothic"/>
                <w:lang w:eastAsia="ko-KR"/>
              </w:rPr>
            </w:pPr>
            <w:r w:rsidRPr="00536CFD">
              <w:rPr>
                <w:rFonts w:eastAsia="Malgun Gothic"/>
                <w:lang w:eastAsia="ko-KR"/>
              </w:rPr>
              <w:t>0.15</w:t>
            </w:r>
          </w:p>
        </w:tc>
        <w:tc>
          <w:tcPr>
            <w:tcW w:w="724" w:type="dxa"/>
            <w:tcBorders>
              <w:top w:val="single" w:sz="4" w:space="0" w:color="auto"/>
              <w:left w:val="nil"/>
              <w:bottom w:val="single" w:sz="4" w:space="0" w:color="auto"/>
              <w:right w:val="single" w:sz="4" w:space="0" w:color="auto"/>
            </w:tcBorders>
            <w:shd w:val="clear" w:color="auto" w:fill="auto"/>
          </w:tcPr>
          <w:p w14:paraId="7D703950" w14:textId="77777777" w:rsidR="009D4A93" w:rsidRPr="00536CFD" w:rsidRDefault="009D4A93" w:rsidP="009D4A93">
            <w:pPr>
              <w:spacing w:after="0"/>
              <w:jc w:val="center"/>
              <w:rPr>
                <w:rFonts w:eastAsia="Malgun Gothic"/>
                <w:lang w:eastAsia="ko-KR"/>
              </w:rPr>
            </w:pPr>
            <w:r w:rsidRPr="00536CFD">
              <w:rPr>
                <w:rFonts w:eastAsia="Malgun Gothic"/>
                <w:lang w:eastAsia="ko-KR"/>
              </w:rPr>
              <w:t>0.58</w:t>
            </w:r>
          </w:p>
        </w:tc>
        <w:tc>
          <w:tcPr>
            <w:tcW w:w="896" w:type="dxa"/>
            <w:tcBorders>
              <w:top w:val="single" w:sz="4" w:space="0" w:color="auto"/>
              <w:left w:val="nil"/>
              <w:bottom w:val="single" w:sz="4" w:space="0" w:color="auto"/>
              <w:right w:val="single" w:sz="4" w:space="0" w:color="auto"/>
            </w:tcBorders>
            <w:shd w:val="clear" w:color="auto" w:fill="auto"/>
          </w:tcPr>
          <w:p w14:paraId="5553B81C" w14:textId="77777777" w:rsidR="009D4A93" w:rsidRPr="00536CFD" w:rsidRDefault="009D4A93" w:rsidP="009D4A93">
            <w:pPr>
              <w:spacing w:after="0"/>
              <w:jc w:val="center"/>
              <w:rPr>
                <w:rFonts w:eastAsia="Malgun Gothic"/>
                <w:lang w:eastAsia="ko-KR"/>
              </w:rPr>
            </w:pPr>
            <w:r w:rsidRPr="00536CFD">
              <w:rPr>
                <w:rFonts w:eastAsia="Malgun Gothic"/>
                <w:lang w:eastAsia="ko-KR"/>
              </w:rPr>
              <w:t>0.28</w:t>
            </w:r>
          </w:p>
        </w:tc>
        <w:tc>
          <w:tcPr>
            <w:tcW w:w="720" w:type="dxa"/>
            <w:tcBorders>
              <w:top w:val="single" w:sz="4" w:space="0" w:color="auto"/>
              <w:left w:val="nil"/>
              <w:bottom w:val="single" w:sz="4" w:space="0" w:color="auto"/>
              <w:right w:val="single" w:sz="4" w:space="0" w:color="auto"/>
            </w:tcBorders>
            <w:shd w:val="clear" w:color="auto" w:fill="auto"/>
          </w:tcPr>
          <w:p w14:paraId="07CAE25E" w14:textId="77777777" w:rsidR="009D4A93" w:rsidRPr="00536CFD" w:rsidRDefault="009D4A93" w:rsidP="009D4A93">
            <w:pPr>
              <w:spacing w:after="0"/>
              <w:jc w:val="center"/>
              <w:rPr>
                <w:rFonts w:eastAsia="Malgun Gothic"/>
                <w:lang w:eastAsia="ko-KR"/>
              </w:rPr>
            </w:pPr>
            <w:r w:rsidRPr="00536CFD">
              <w:rPr>
                <w:rFonts w:eastAsia="Malgun Gothic"/>
                <w:lang w:eastAsia="ko-KR"/>
              </w:rPr>
              <w:t>0.44</w:t>
            </w:r>
          </w:p>
        </w:tc>
        <w:tc>
          <w:tcPr>
            <w:tcW w:w="720" w:type="dxa"/>
            <w:tcBorders>
              <w:top w:val="single" w:sz="4" w:space="0" w:color="auto"/>
              <w:left w:val="nil"/>
              <w:bottom w:val="single" w:sz="4" w:space="0" w:color="auto"/>
              <w:right w:val="single" w:sz="4" w:space="0" w:color="auto"/>
            </w:tcBorders>
            <w:shd w:val="clear" w:color="auto" w:fill="auto"/>
          </w:tcPr>
          <w:p w14:paraId="0D5ADB9C" w14:textId="77777777" w:rsidR="009D4A93" w:rsidRPr="00536CFD" w:rsidRDefault="009D4A93" w:rsidP="009D4A93">
            <w:pPr>
              <w:spacing w:after="0"/>
              <w:jc w:val="center"/>
              <w:rPr>
                <w:rFonts w:eastAsia="Malgun Gothic"/>
                <w:lang w:eastAsia="ko-KR"/>
              </w:rPr>
            </w:pPr>
            <w:r w:rsidRPr="00536CFD">
              <w:rPr>
                <w:rFonts w:eastAsia="Malgun Gothic"/>
                <w:lang w:eastAsia="ko-KR"/>
              </w:rPr>
              <w:t>0.17</w:t>
            </w:r>
          </w:p>
        </w:tc>
      </w:tr>
      <w:tr w:rsidR="009D4A93" w:rsidRPr="00536CFD" w14:paraId="1C57A180" w14:textId="77777777" w:rsidTr="009D4A93">
        <w:trPr>
          <w:cantSplit/>
          <w:trHeight w:val="20"/>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49302333"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56C3282E" w14:textId="77777777" w:rsidR="009D4A93" w:rsidRPr="00536CFD" w:rsidRDefault="009D4A93" w:rsidP="009D4A93">
            <w:pPr>
              <w:spacing w:after="0"/>
              <w:jc w:val="center"/>
            </w:pPr>
            <w:r w:rsidRPr="00536CFD">
              <w:rPr>
                <w:rFonts w:ascii="Cambria Math" w:hAnsi="Cambria Math" w:cs="Cambria Math"/>
              </w:rPr>
              <w:t>𝜆</w:t>
            </w:r>
          </w:p>
        </w:tc>
        <w:tc>
          <w:tcPr>
            <w:tcW w:w="2964" w:type="dxa"/>
            <w:gridSpan w:val="4"/>
            <w:tcBorders>
              <w:top w:val="single" w:sz="4" w:space="0" w:color="auto"/>
              <w:left w:val="nil"/>
              <w:bottom w:val="single" w:sz="4" w:space="0" w:color="auto"/>
              <w:right w:val="single" w:sz="4" w:space="0" w:color="auto"/>
            </w:tcBorders>
            <w:shd w:val="clear" w:color="auto" w:fill="auto"/>
          </w:tcPr>
          <w:p w14:paraId="17E93F96" w14:textId="77777777" w:rsidR="009D4A93" w:rsidRPr="00536CFD" w:rsidRDefault="009D4A93" w:rsidP="009D4A93">
            <w:pPr>
              <w:spacing w:after="0"/>
              <w:jc w:val="center"/>
              <w:rPr>
                <w:rFonts w:eastAsia="Malgun Gothic"/>
                <w:lang w:eastAsia="ko-KR"/>
              </w:rPr>
            </w:pPr>
            <w:r w:rsidRPr="00536CFD">
              <w:rPr>
                <w:rFonts w:eastAsia="Malgun Gothic"/>
                <w:lang w:eastAsia="ko-KR"/>
              </w:rPr>
              <w:t>0.07</w:t>
            </w:r>
          </w:p>
        </w:tc>
        <w:tc>
          <w:tcPr>
            <w:tcW w:w="3150" w:type="dxa"/>
            <w:gridSpan w:val="4"/>
            <w:tcBorders>
              <w:top w:val="single" w:sz="4" w:space="0" w:color="auto"/>
              <w:left w:val="nil"/>
              <w:bottom w:val="single" w:sz="4" w:space="0" w:color="auto"/>
              <w:right w:val="single" w:sz="4" w:space="0" w:color="auto"/>
            </w:tcBorders>
            <w:shd w:val="clear" w:color="auto" w:fill="auto"/>
          </w:tcPr>
          <w:p w14:paraId="6A390CEB" w14:textId="77777777" w:rsidR="009D4A93" w:rsidRPr="00536CFD" w:rsidRDefault="009D4A93" w:rsidP="009D4A93">
            <w:pPr>
              <w:spacing w:after="0"/>
              <w:jc w:val="center"/>
              <w:rPr>
                <w:rFonts w:eastAsia="Malgun Gothic"/>
                <w:lang w:eastAsia="ko-KR"/>
              </w:rPr>
            </w:pPr>
            <w:r w:rsidRPr="00536CFD">
              <w:rPr>
                <w:rFonts w:eastAsia="Malgun Gothic"/>
                <w:lang w:eastAsia="ko-KR"/>
              </w:rPr>
              <w:t>0.14</w:t>
            </w:r>
          </w:p>
        </w:tc>
        <w:tc>
          <w:tcPr>
            <w:tcW w:w="3060" w:type="dxa"/>
            <w:gridSpan w:val="4"/>
            <w:tcBorders>
              <w:top w:val="single" w:sz="4" w:space="0" w:color="auto"/>
              <w:left w:val="nil"/>
              <w:bottom w:val="single" w:sz="4" w:space="0" w:color="auto"/>
              <w:right w:val="single" w:sz="4" w:space="0" w:color="auto"/>
            </w:tcBorders>
            <w:shd w:val="clear" w:color="auto" w:fill="auto"/>
          </w:tcPr>
          <w:p w14:paraId="29B192C0" w14:textId="77777777" w:rsidR="009D4A93" w:rsidRPr="00536CFD" w:rsidRDefault="009D4A93" w:rsidP="009D4A93">
            <w:pPr>
              <w:spacing w:after="0"/>
              <w:jc w:val="center"/>
              <w:rPr>
                <w:rFonts w:eastAsia="Malgun Gothic"/>
                <w:lang w:eastAsia="ko-KR"/>
              </w:rPr>
            </w:pPr>
            <w:r w:rsidRPr="00536CFD">
              <w:rPr>
                <w:rFonts w:eastAsia="Malgun Gothic"/>
                <w:lang w:eastAsia="ko-KR"/>
              </w:rPr>
              <w:t>0.174</w:t>
            </w:r>
          </w:p>
        </w:tc>
      </w:tr>
      <w:tr w:rsidR="009D4A93" w:rsidRPr="00536CFD" w14:paraId="0B7B5FE9" w14:textId="77777777" w:rsidTr="009D4A93">
        <w:trPr>
          <w:cantSplit/>
          <w:trHeight w:val="22"/>
        </w:trPr>
        <w:tc>
          <w:tcPr>
            <w:tcW w:w="331" w:type="dxa"/>
            <w:vMerge/>
            <w:tcBorders>
              <w:top w:val="nil"/>
              <w:left w:val="single" w:sz="4" w:space="0" w:color="auto"/>
              <w:bottom w:val="single" w:sz="4" w:space="0" w:color="auto"/>
              <w:right w:val="single" w:sz="4" w:space="0" w:color="auto"/>
            </w:tcBorders>
            <w:shd w:val="clear" w:color="auto" w:fill="auto"/>
            <w:textDirection w:val="btLr"/>
          </w:tcPr>
          <w:p w14:paraId="68DB657E" w14:textId="77777777" w:rsidR="009D4A93" w:rsidRPr="00536CFD" w:rsidRDefault="009D4A93" w:rsidP="009D4A93">
            <w:pPr>
              <w:spacing w:after="0"/>
              <w:ind w:left="113" w:right="113"/>
            </w:pPr>
          </w:p>
        </w:tc>
        <w:tc>
          <w:tcPr>
            <w:tcW w:w="935" w:type="dxa"/>
            <w:gridSpan w:val="2"/>
            <w:tcBorders>
              <w:top w:val="single" w:sz="4" w:space="0" w:color="auto"/>
              <w:left w:val="nil"/>
              <w:bottom w:val="single" w:sz="4" w:space="0" w:color="auto"/>
              <w:right w:val="single" w:sz="4" w:space="0" w:color="auto"/>
            </w:tcBorders>
            <w:shd w:val="clear" w:color="auto" w:fill="auto"/>
          </w:tcPr>
          <w:p w14:paraId="43D1833E" w14:textId="77777777" w:rsidR="009D4A93" w:rsidRPr="00536CFD" w:rsidRDefault="009D4A93" w:rsidP="009D4A93">
            <w:pPr>
              <w:spacing w:after="0" w:line="360" w:lineRule="auto"/>
              <w:contextualSpacing/>
              <w:rPr>
                <w:lang w:val="en-US" w:bidi="ar"/>
              </w:rPr>
            </w:pPr>
          </w:p>
        </w:tc>
        <w:tc>
          <w:tcPr>
            <w:tcW w:w="9174" w:type="dxa"/>
            <w:gridSpan w:val="12"/>
            <w:tcBorders>
              <w:top w:val="single" w:sz="4" w:space="0" w:color="auto"/>
              <w:left w:val="nil"/>
              <w:bottom w:val="single" w:sz="4" w:space="0" w:color="auto"/>
              <w:right w:val="single" w:sz="4" w:space="0" w:color="auto"/>
            </w:tcBorders>
            <w:shd w:val="clear" w:color="auto" w:fill="auto"/>
          </w:tcPr>
          <w:p w14:paraId="57A4ADA6" w14:textId="77777777" w:rsidR="009D4A93" w:rsidRPr="00536CFD" w:rsidRDefault="009D4A93" w:rsidP="009D4A93">
            <w:pPr>
              <w:spacing w:after="0"/>
            </w:pPr>
            <w:r w:rsidRPr="00536CFD">
              <w:t>Additional comments:</w:t>
            </w:r>
          </w:p>
          <w:p w14:paraId="63A6A81F" w14:textId="77777777" w:rsidR="009D4A93" w:rsidRPr="00536CFD" w:rsidRDefault="009D4A93" w:rsidP="009D4A93">
            <w:pPr>
              <w:spacing w:after="0"/>
            </w:pPr>
            <w:r w:rsidRPr="00536CFD">
              <w:t>- COT assumptions of WiFi and NR-U: Up to 4 msec COT for both DL/UL Wi-Fi and DL/UL NR-U transmission</w:t>
            </w:r>
          </w:p>
          <w:p w14:paraId="0B8C9FE8" w14:textId="77777777" w:rsidR="009D4A93" w:rsidRPr="00536CFD" w:rsidRDefault="009D4A93" w:rsidP="009D4A93">
            <w:pPr>
              <w:spacing w:after="0"/>
            </w:pPr>
            <w:r w:rsidRPr="00536CFD">
              <w:t>- Is RTS/CTS enabled for WiFi: No</w:t>
            </w:r>
          </w:p>
          <w:p w14:paraId="2CDF3750" w14:textId="77777777" w:rsidR="009D4A93" w:rsidRPr="00536CFD" w:rsidRDefault="009D4A93" w:rsidP="009D4A93">
            <w:pPr>
              <w:spacing w:after="0"/>
            </w:pPr>
            <w:r w:rsidRPr="00536CFD">
              <w:t>- PD/ED threshold assumptions: For Wi-Fi, -82/62 dBm PD/ED threshold and for NR-U, -72 dBm ED threshold</w:t>
            </w:r>
          </w:p>
          <w:p w14:paraId="0A59BC1A" w14:textId="77777777" w:rsidR="009D4A93" w:rsidRPr="00536CFD" w:rsidRDefault="009D4A93" w:rsidP="009D4A93">
            <w:pPr>
              <w:spacing w:after="0"/>
            </w:pPr>
            <w:r w:rsidRPr="00536CFD">
              <w:t>- Max modulation order supported in each technology: 64 QAM for both Wi-Fi and NR-U</w:t>
            </w:r>
          </w:p>
          <w:p w14:paraId="2F91E23A" w14:textId="77777777" w:rsidR="009D4A93" w:rsidRPr="00536CFD" w:rsidRDefault="009D4A93" w:rsidP="009D4A93">
            <w:pPr>
              <w:spacing w:after="0"/>
            </w:pPr>
            <w:r w:rsidRPr="00536CFD">
              <w:t>- MIMO scheme and number of MIMO layers used for both technologies: 1Tx2Rx antenna configuration for both Wi-Fi and NR-U</w:t>
            </w:r>
          </w:p>
          <w:p w14:paraId="0AA08811" w14:textId="77777777" w:rsidR="009D4A93" w:rsidRPr="00536CFD" w:rsidRDefault="009D4A93" w:rsidP="009D4A93">
            <w:pPr>
              <w:spacing w:after="0"/>
            </w:pPr>
            <w:r w:rsidRPr="00536CFD">
              <w:t>- WiFi MAC layer A-MPDU/A-MSDU aggregation level, MPDU size: 802.11ac</w:t>
            </w:r>
          </w:p>
          <w:p w14:paraId="4B90A21B" w14:textId="77777777" w:rsidR="009D4A93" w:rsidRPr="00536CFD" w:rsidRDefault="009D4A93" w:rsidP="009D4A93">
            <w:pPr>
              <w:spacing w:after="0"/>
            </w:pPr>
            <w:r w:rsidRPr="00536CFD">
              <w:t>- NR-U SCS: 15 kHz</w:t>
            </w:r>
          </w:p>
          <w:p w14:paraId="06A7CCEA" w14:textId="392DCF15" w:rsidR="009D4A93" w:rsidRPr="00536CFD" w:rsidRDefault="009D4A93" w:rsidP="009D4A93">
            <w:pPr>
              <w:spacing w:after="0"/>
            </w:pPr>
            <w:r w:rsidRPr="00536CFD">
              <w:t xml:space="preserve">- WiFi guard interval: 0.8 </w:t>
            </w:r>
            <w:r w:rsidR="00200090" w:rsidRPr="00C64ECB">
              <w:rPr>
                <w:rFonts w:ascii="Symbol" w:hAnsi="Symbol"/>
              </w:rPr>
              <w:t></w:t>
            </w:r>
            <w:r w:rsidRPr="00536CFD">
              <w:t>sec</w:t>
            </w:r>
          </w:p>
          <w:p w14:paraId="6E6CDE15" w14:textId="77777777" w:rsidR="009D4A93" w:rsidRPr="00536CFD" w:rsidRDefault="009D4A93" w:rsidP="009D4A93">
            <w:pPr>
              <w:spacing w:after="0"/>
            </w:pPr>
            <w:r w:rsidRPr="00536CFD">
              <w:t>- NR UE processing time capability (#1 or #2): Processing time capability #1</w:t>
            </w:r>
          </w:p>
          <w:p w14:paraId="6190CADB" w14:textId="77777777" w:rsidR="009D4A93" w:rsidRPr="00536CFD" w:rsidRDefault="009D4A93" w:rsidP="009D4A93">
            <w:pPr>
              <w:spacing w:after="0"/>
            </w:pPr>
            <w:r w:rsidRPr="00536CFD">
              <w:t>- NR PDSCH/PUSCH mapping type, PDCCH monitoring configuration: For PDSCH, PDSCH mapping type A and B (with 7 symbols), for PUSCH, PUSCH mapping type A with 14 symbols, for PDCCH, PDCCH monitoring every 7 symbols</w:t>
            </w:r>
          </w:p>
          <w:p w14:paraId="0AC31DE3" w14:textId="77777777" w:rsidR="009D4A93" w:rsidRPr="00536CFD" w:rsidRDefault="009D4A93" w:rsidP="009D4A93">
            <w:pPr>
              <w:spacing w:after="0"/>
            </w:pPr>
            <w:r w:rsidRPr="00536CFD">
              <w:t>- Link adaptation assumptions: For Wi-Fi, open loop rate adaptation, for NR-U, realistic closed loop link adaptation</w:t>
            </w:r>
          </w:p>
          <w:p w14:paraId="7A5E3746" w14:textId="77777777" w:rsidR="009D4A93" w:rsidRPr="00536CFD" w:rsidRDefault="009D4A93" w:rsidP="009D4A93">
            <w:pPr>
              <w:spacing w:after="0"/>
            </w:pPr>
            <w:r w:rsidRPr="00536CFD">
              <w:t>- Cross-carrier scheduling for NR-U</w:t>
            </w:r>
          </w:p>
        </w:tc>
      </w:tr>
    </w:tbl>
    <w:p w14:paraId="171B1B47" w14:textId="77777777" w:rsidR="009D4A93" w:rsidRPr="00C64ECB" w:rsidRDefault="009D4A93" w:rsidP="009D4A93"/>
    <w:p w14:paraId="05F23E06" w14:textId="77777777" w:rsidR="009D4A93" w:rsidRPr="00C64ECB" w:rsidRDefault="009D4A93" w:rsidP="009D4A93"/>
    <w:p w14:paraId="39422DBE" w14:textId="77777777" w:rsidR="009D4A93" w:rsidRPr="00C64ECB" w:rsidRDefault="009D4A93" w:rsidP="00536CFD">
      <w:pPr>
        <w:pStyle w:val="TH"/>
        <w:keepNext w:val="0"/>
        <w:keepLines w:val="0"/>
        <w:pageBreakBefore/>
        <w:spacing w:before="0" w:after="0"/>
      </w:pPr>
      <w:r w:rsidRPr="00C64ECB">
        <w:t>Table B.1.1-2: Wi-Fi and NR-U coexistence evaluation with 20MHz and FTP traffic with and without NR-U PD</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00"/>
        <w:gridCol w:w="505"/>
        <w:gridCol w:w="505"/>
        <w:gridCol w:w="858"/>
        <w:gridCol w:w="858"/>
        <w:gridCol w:w="880"/>
        <w:gridCol w:w="932"/>
        <w:gridCol w:w="953"/>
        <w:gridCol w:w="954"/>
        <w:gridCol w:w="983"/>
        <w:gridCol w:w="983"/>
        <w:gridCol w:w="984"/>
      </w:tblGrid>
      <w:tr w:rsidR="009D4A93" w:rsidRPr="00536CFD" w14:paraId="770D12F6" w14:textId="77777777" w:rsidTr="009D4A93">
        <w:trPr>
          <w:cantSplit/>
          <w:trHeight w:val="22"/>
        </w:trPr>
        <w:tc>
          <w:tcPr>
            <w:tcW w:w="500" w:type="dxa"/>
            <w:vMerge w:val="restart"/>
            <w:textDirection w:val="btLr"/>
          </w:tcPr>
          <w:p w14:paraId="7E2C3339" w14:textId="77777777" w:rsidR="009D4A93" w:rsidRPr="00536CFD" w:rsidRDefault="009D4A93" w:rsidP="009D4A93">
            <w:pPr>
              <w:spacing w:after="0"/>
              <w:ind w:left="113" w:right="113"/>
              <w:jc w:val="center"/>
            </w:pPr>
            <w:r w:rsidRPr="00536CFD">
              <w:t>Tdoc / Source</w:t>
            </w:r>
          </w:p>
        </w:tc>
        <w:tc>
          <w:tcPr>
            <w:tcW w:w="1010" w:type="dxa"/>
            <w:gridSpan w:val="2"/>
            <w:vMerge w:val="restart"/>
          </w:tcPr>
          <w:p w14:paraId="00B60001" w14:textId="77777777" w:rsidR="009D4A93" w:rsidRPr="00536CFD" w:rsidRDefault="009D4A93" w:rsidP="009D4A93">
            <w:pPr>
              <w:spacing w:after="0"/>
              <w:jc w:val="center"/>
            </w:pPr>
          </w:p>
          <w:p w14:paraId="612AE839" w14:textId="77777777" w:rsidR="009D4A93" w:rsidRPr="00536CFD" w:rsidRDefault="009D4A93" w:rsidP="009D4A93">
            <w:pPr>
              <w:spacing w:after="0"/>
              <w:jc w:val="center"/>
              <w:rPr>
                <w:rFonts w:eastAsia="Times New Roman"/>
                <w:lang w:eastAsia="ja-JP"/>
              </w:rPr>
            </w:pPr>
            <w:r w:rsidRPr="00536CFD">
              <w:t>Reported parameters</w:t>
            </w:r>
          </w:p>
        </w:tc>
        <w:tc>
          <w:tcPr>
            <w:tcW w:w="2596" w:type="dxa"/>
            <w:gridSpan w:val="3"/>
          </w:tcPr>
          <w:p w14:paraId="461BC5F3" w14:textId="77777777" w:rsidR="009D4A93" w:rsidRPr="00536CFD" w:rsidRDefault="009D4A93" w:rsidP="009D4A93">
            <w:pPr>
              <w:spacing w:after="0"/>
              <w:jc w:val="center"/>
              <w:rPr>
                <w:u w:val="single"/>
              </w:rPr>
            </w:pPr>
            <w:r w:rsidRPr="00536CFD">
              <w:rPr>
                <w:u w:val="single"/>
              </w:rPr>
              <w:t>Low load</w:t>
            </w:r>
          </w:p>
          <w:p w14:paraId="3285C828" w14:textId="77777777" w:rsidR="009D4A93" w:rsidRPr="00536CFD" w:rsidRDefault="009D4A93" w:rsidP="009D4A93">
            <w:pPr>
              <w:spacing w:after="0"/>
              <w:jc w:val="center"/>
              <w:rPr>
                <w:rFonts w:eastAsia="Times New Roman"/>
                <w:u w:val="single"/>
                <w:lang w:eastAsia="ja-JP"/>
              </w:rPr>
            </w:pPr>
            <w:r w:rsidRPr="00536CFD">
              <w:t xml:space="preserve">BO range for NR-U in </w:t>
            </w:r>
            <w:r w:rsidRPr="00536CFD">
              <w:br/>
              <w:t xml:space="preserve">NR-U + Wi-Fi, with NR-U uses ED = -72dBm: </w:t>
            </w:r>
            <w:r w:rsidRPr="00536CFD">
              <w:rPr>
                <w:rFonts w:eastAsia="MS Mincho"/>
              </w:rPr>
              <w:t>10%~25%</w:t>
            </w:r>
          </w:p>
        </w:tc>
        <w:tc>
          <w:tcPr>
            <w:tcW w:w="2839" w:type="dxa"/>
            <w:gridSpan w:val="3"/>
          </w:tcPr>
          <w:p w14:paraId="515C67F1" w14:textId="77777777" w:rsidR="009D4A93" w:rsidRPr="00536CFD" w:rsidRDefault="009D4A93" w:rsidP="009D4A93">
            <w:pPr>
              <w:spacing w:after="0"/>
              <w:jc w:val="center"/>
              <w:rPr>
                <w:u w:val="single"/>
              </w:rPr>
            </w:pPr>
            <w:r w:rsidRPr="00536CFD">
              <w:rPr>
                <w:u w:val="single"/>
              </w:rPr>
              <w:t>Medium load</w:t>
            </w:r>
          </w:p>
          <w:p w14:paraId="610C7858" w14:textId="77777777" w:rsidR="009D4A93" w:rsidRPr="00536CFD" w:rsidRDefault="009D4A93" w:rsidP="009D4A93">
            <w:pPr>
              <w:spacing w:after="0"/>
              <w:jc w:val="center"/>
              <w:rPr>
                <w:rFonts w:eastAsia="Times New Roman"/>
                <w:u w:val="single"/>
                <w:lang w:eastAsia="ja-JP"/>
              </w:rPr>
            </w:pPr>
            <w:r w:rsidRPr="00536CFD">
              <w:t xml:space="preserve">BO range for NR-U in </w:t>
            </w:r>
            <w:r w:rsidRPr="00536CFD">
              <w:br/>
              <w:t xml:space="preserve">NR-U + Wi-Fi, with NR-U uses ED = -72dBm: </w:t>
            </w:r>
            <w:r w:rsidRPr="00536CFD">
              <w:rPr>
                <w:rFonts w:eastAsia="MS Mincho"/>
              </w:rPr>
              <w:t>35%~50%</w:t>
            </w:r>
          </w:p>
        </w:tc>
        <w:tc>
          <w:tcPr>
            <w:tcW w:w="2950" w:type="dxa"/>
            <w:gridSpan w:val="3"/>
          </w:tcPr>
          <w:p w14:paraId="3671A21C" w14:textId="77777777" w:rsidR="009D4A93" w:rsidRPr="00536CFD" w:rsidRDefault="009D4A93" w:rsidP="009D4A93">
            <w:pPr>
              <w:spacing w:after="0"/>
              <w:jc w:val="center"/>
              <w:rPr>
                <w:u w:val="single"/>
              </w:rPr>
            </w:pPr>
            <w:r w:rsidRPr="00536CFD">
              <w:rPr>
                <w:u w:val="single"/>
              </w:rPr>
              <w:t>High load</w:t>
            </w:r>
          </w:p>
          <w:p w14:paraId="4064D35B" w14:textId="77777777" w:rsidR="009D4A93" w:rsidRPr="00536CFD" w:rsidRDefault="009D4A93" w:rsidP="009D4A93">
            <w:pPr>
              <w:spacing w:after="0"/>
              <w:jc w:val="center"/>
              <w:rPr>
                <w:rFonts w:eastAsia="Times New Roman"/>
                <w:u w:val="single"/>
                <w:lang w:eastAsia="ja-JP"/>
              </w:rPr>
            </w:pPr>
            <w:r w:rsidRPr="00536CFD">
              <w:t xml:space="preserve">BO range for NR-U in </w:t>
            </w:r>
            <w:r w:rsidRPr="00536CFD">
              <w:br/>
              <w:t>NR-U + Wi-Fi, with NR-U uses ED = -72dBm: above 55%</w:t>
            </w:r>
          </w:p>
        </w:tc>
      </w:tr>
      <w:tr w:rsidR="009D4A93" w:rsidRPr="00536CFD" w14:paraId="502C67AB" w14:textId="77777777" w:rsidTr="009D4A93">
        <w:trPr>
          <w:cantSplit/>
          <w:trHeight w:val="647"/>
        </w:trPr>
        <w:tc>
          <w:tcPr>
            <w:tcW w:w="500" w:type="dxa"/>
            <w:vMerge/>
            <w:textDirection w:val="btLr"/>
          </w:tcPr>
          <w:p w14:paraId="4B9D5D74" w14:textId="77777777" w:rsidR="009D4A93" w:rsidRPr="00536CFD" w:rsidRDefault="009D4A93" w:rsidP="009D4A93">
            <w:pPr>
              <w:spacing w:after="0"/>
              <w:ind w:left="113" w:right="113"/>
              <w:jc w:val="center"/>
              <w:rPr>
                <w:rFonts w:eastAsia="Times New Roman"/>
                <w:lang w:eastAsia="ja-JP"/>
              </w:rPr>
            </w:pPr>
          </w:p>
        </w:tc>
        <w:tc>
          <w:tcPr>
            <w:tcW w:w="1010" w:type="dxa"/>
            <w:gridSpan w:val="2"/>
            <w:vMerge/>
          </w:tcPr>
          <w:p w14:paraId="6F170F2B" w14:textId="77777777" w:rsidR="009D4A93" w:rsidRPr="00536CFD" w:rsidRDefault="009D4A93" w:rsidP="009D4A93">
            <w:pPr>
              <w:spacing w:after="0"/>
              <w:jc w:val="center"/>
              <w:rPr>
                <w:rFonts w:eastAsia="Times New Roman"/>
                <w:lang w:eastAsia="ja-JP"/>
              </w:rPr>
            </w:pPr>
          </w:p>
        </w:tc>
        <w:tc>
          <w:tcPr>
            <w:tcW w:w="858" w:type="dxa"/>
          </w:tcPr>
          <w:p w14:paraId="62ADD144" w14:textId="77777777" w:rsidR="009D4A93" w:rsidRPr="00536CFD" w:rsidRDefault="009D4A93" w:rsidP="009D4A93">
            <w:pPr>
              <w:spacing w:after="0"/>
              <w:jc w:val="center"/>
            </w:pPr>
            <w:r w:rsidRPr="00536CFD">
              <w:t>NR-U in NR-U + Wi-Fi, with NR-U uses ED = -72dBm</w:t>
            </w:r>
          </w:p>
        </w:tc>
        <w:tc>
          <w:tcPr>
            <w:tcW w:w="858" w:type="dxa"/>
          </w:tcPr>
          <w:p w14:paraId="4142063A" w14:textId="77777777" w:rsidR="009D4A93" w:rsidRPr="00536CFD" w:rsidRDefault="009D4A93" w:rsidP="009D4A93">
            <w:pPr>
              <w:spacing w:after="0"/>
              <w:jc w:val="center"/>
            </w:pPr>
            <w:r w:rsidRPr="00536CFD">
              <w:t>NR-U in NR-U + Wi-Fi, with NR-U uses ED = -77dBm</w:t>
            </w:r>
          </w:p>
        </w:tc>
        <w:tc>
          <w:tcPr>
            <w:tcW w:w="880" w:type="dxa"/>
          </w:tcPr>
          <w:p w14:paraId="1CF5C7D3" w14:textId="77777777" w:rsidR="009D4A93" w:rsidRPr="00536CFD" w:rsidRDefault="009D4A93" w:rsidP="009D4A93">
            <w:pPr>
              <w:spacing w:after="0"/>
              <w:jc w:val="center"/>
            </w:pPr>
            <w:r w:rsidRPr="00536CFD">
              <w:t>NR-U in NR-U + Wi-Fi, with NR-U uses preamble</w:t>
            </w:r>
          </w:p>
          <w:p w14:paraId="1BFF9A95" w14:textId="77777777" w:rsidR="009D4A93" w:rsidRPr="00536CFD" w:rsidRDefault="009D4A93" w:rsidP="009D4A93">
            <w:pPr>
              <w:spacing w:after="0"/>
              <w:jc w:val="center"/>
              <w:rPr>
                <w:rFonts w:eastAsia="Times New Roman"/>
                <w:lang w:eastAsia="ja-JP"/>
              </w:rPr>
            </w:pPr>
          </w:p>
        </w:tc>
        <w:tc>
          <w:tcPr>
            <w:tcW w:w="932" w:type="dxa"/>
          </w:tcPr>
          <w:p w14:paraId="37DA110F" w14:textId="77777777" w:rsidR="009D4A93" w:rsidRPr="00536CFD" w:rsidRDefault="009D4A93" w:rsidP="009D4A93">
            <w:pPr>
              <w:spacing w:after="0"/>
              <w:jc w:val="center"/>
            </w:pPr>
            <w:r w:rsidRPr="00536CFD">
              <w:t>NR-U in NR-U + Wi-Fi, with NR-U uses ED = -72dBm</w:t>
            </w:r>
          </w:p>
          <w:p w14:paraId="43CD3880" w14:textId="77777777" w:rsidR="009D4A93" w:rsidRPr="00536CFD" w:rsidRDefault="009D4A93" w:rsidP="009D4A93">
            <w:pPr>
              <w:spacing w:after="0"/>
              <w:jc w:val="center"/>
              <w:rPr>
                <w:rFonts w:eastAsia="Times New Roman"/>
                <w:lang w:eastAsia="ja-JP"/>
              </w:rPr>
            </w:pPr>
          </w:p>
        </w:tc>
        <w:tc>
          <w:tcPr>
            <w:tcW w:w="953" w:type="dxa"/>
          </w:tcPr>
          <w:p w14:paraId="32FD6E5A" w14:textId="77777777" w:rsidR="009D4A93" w:rsidRPr="00536CFD" w:rsidRDefault="009D4A93" w:rsidP="009D4A93">
            <w:pPr>
              <w:spacing w:after="0"/>
              <w:jc w:val="center"/>
            </w:pPr>
            <w:r w:rsidRPr="00536CFD">
              <w:t>NR-U in NR-U + Wi-Fi, with NR-U uses ED = -77dBm</w:t>
            </w:r>
          </w:p>
          <w:p w14:paraId="3F7F4318" w14:textId="77777777" w:rsidR="009D4A93" w:rsidRPr="00536CFD" w:rsidRDefault="009D4A93" w:rsidP="009D4A93">
            <w:pPr>
              <w:spacing w:after="0"/>
              <w:jc w:val="center"/>
              <w:rPr>
                <w:rFonts w:eastAsia="Times New Roman"/>
                <w:lang w:eastAsia="ja-JP"/>
              </w:rPr>
            </w:pPr>
          </w:p>
        </w:tc>
        <w:tc>
          <w:tcPr>
            <w:tcW w:w="954" w:type="dxa"/>
          </w:tcPr>
          <w:p w14:paraId="103DC5BD" w14:textId="77777777" w:rsidR="009D4A93" w:rsidRPr="00536CFD" w:rsidRDefault="009D4A93" w:rsidP="009D4A93">
            <w:pPr>
              <w:spacing w:after="0"/>
              <w:jc w:val="center"/>
            </w:pPr>
            <w:r w:rsidRPr="00536CFD">
              <w:t>NR-U in NR-U + Wi-Fi, with NR-U uses preamble</w:t>
            </w:r>
          </w:p>
          <w:p w14:paraId="2CD7AB38" w14:textId="77777777" w:rsidR="009D4A93" w:rsidRPr="00536CFD" w:rsidRDefault="009D4A93" w:rsidP="009D4A93">
            <w:pPr>
              <w:spacing w:after="0"/>
              <w:jc w:val="center"/>
              <w:rPr>
                <w:rFonts w:eastAsia="Times New Roman"/>
                <w:lang w:eastAsia="ja-JP"/>
              </w:rPr>
            </w:pPr>
          </w:p>
        </w:tc>
        <w:tc>
          <w:tcPr>
            <w:tcW w:w="983" w:type="dxa"/>
          </w:tcPr>
          <w:p w14:paraId="68D048BA" w14:textId="77777777" w:rsidR="009D4A93" w:rsidRPr="00536CFD" w:rsidRDefault="009D4A93" w:rsidP="009D4A93">
            <w:pPr>
              <w:spacing w:after="0"/>
              <w:jc w:val="center"/>
            </w:pPr>
            <w:r w:rsidRPr="00536CFD">
              <w:t>NR-U in NR-U + Wi-Fi, with NR-U uses ED = -72dBm</w:t>
            </w:r>
          </w:p>
          <w:p w14:paraId="1982E90E" w14:textId="77777777" w:rsidR="009D4A93" w:rsidRPr="00536CFD" w:rsidRDefault="009D4A93" w:rsidP="009D4A93">
            <w:pPr>
              <w:spacing w:after="0"/>
              <w:jc w:val="center"/>
              <w:rPr>
                <w:rFonts w:eastAsia="Times New Roman"/>
                <w:lang w:eastAsia="ja-JP"/>
              </w:rPr>
            </w:pPr>
          </w:p>
        </w:tc>
        <w:tc>
          <w:tcPr>
            <w:tcW w:w="983" w:type="dxa"/>
          </w:tcPr>
          <w:p w14:paraId="4E337DA0" w14:textId="77777777" w:rsidR="009D4A93" w:rsidRPr="00536CFD" w:rsidRDefault="009D4A93" w:rsidP="009D4A93">
            <w:pPr>
              <w:spacing w:after="0"/>
              <w:jc w:val="center"/>
            </w:pPr>
            <w:r w:rsidRPr="00536CFD">
              <w:t>NR-U in NR-U + Wi-Fi, with NR-U uses ED = -77dBm</w:t>
            </w:r>
          </w:p>
          <w:p w14:paraId="28673E2A" w14:textId="77777777" w:rsidR="009D4A93" w:rsidRPr="00536CFD" w:rsidRDefault="009D4A93" w:rsidP="009D4A93">
            <w:pPr>
              <w:spacing w:after="0"/>
              <w:jc w:val="center"/>
              <w:rPr>
                <w:rFonts w:eastAsia="Times New Roman"/>
                <w:lang w:eastAsia="ja-JP"/>
              </w:rPr>
            </w:pPr>
          </w:p>
        </w:tc>
        <w:tc>
          <w:tcPr>
            <w:tcW w:w="984" w:type="dxa"/>
          </w:tcPr>
          <w:p w14:paraId="1BC89F56" w14:textId="77777777" w:rsidR="009D4A93" w:rsidRPr="00536CFD" w:rsidRDefault="009D4A93" w:rsidP="009D4A93">
            <w:pPr>
              <w:spacing w:after="0"/>
              <w:jc w:val="center"/>
            </w:pPr>
            <w:r w:rsidRPr="00536CFD">
              <w:t>NR-U in NR-U + Wi-Fi, with NR-U uses preamble</w:t>
            </w:r>
          </w:p>
          <w:p w14:paraId="7A95640E" w14:textId="77777777" w:rsidR="009D4A93" w:rsidRPr="00536CFD" w:rsidRDefault="009D4A93" w:rsidP="009D4A93">
            <w:pPr>
              <w:spacing w:after="0"/>
              <w:jc w:val="center"/>
              <w:rPr>
                <w:rFonts w:eastAsia="Times New Roman"/>
                <w:lang w:eastAsia="ja-JP"/>
              </w:rPr>
            </w:pPr>
          </w:p>
        </w:tc>
      </w:tr>
      <w:tr w:rsidR="009D4A93" w:rsidRPr="00536CFD" w14:paraId="70B8D9F6" w14:textId="77777777" w:rsidTr="009D4A93">
        <w:trPr>
          <w:cantSplit/>
          <w:trHeight w:val="204"/>
        </w:trPr>
        <w:tc>
          <w:tcPr>
            <w:tcW w:w="500" w:type="dxa"/>
            <w:vMerge w:val="restart"/>
            <w:textDirection w:val="btLr"/>
          </w:tcPr>
          <w:p w14:paraId="5291EB41" w14:textId="77777777" w:rsidR="009D4A93" w:rsidRPr="00536CFD" w:rsidRDefault="009D4A93" w:rsidP="009D4A93">
            <w:pPr>
              <w:spacing w:after="0"/>
              <w:ind w:left="113" w:right="113"/>
              <w:jc w:val="center"/>
              <w:rPr>
                <w:rFonts w:eastAsia="Times New Roman"/>
                <w:lang w:eastAsia="ja-JP"/>
              </w:rPr>
            </w:pPr>
            <w:r w:rsidRPr="00536CFD">
              <w:rPr>
                <w:color w:val="000000"/>
              </w:rPr>
              <w:t>R1-1814021</w:t>
            </w:r>
            <w:r w:rsidRPr="00536CFD">
              <w:t>/ Source 8</w:t>
            </w:r>
          </w:p>
        </w:tc>
        <w:tc>
          <w:tcPr>
            <w:tcW w:w="505" w:type="dxa"/>
            <w:vMerge w:val="restart"/>
          </w:tcPr>
          <w:p w14:paraId="42FAF82D" w14:textId="77777777" w:rsidR="009D4A93" w:rsidRPr="00536CFD" w:rsidRDefault="009D4A93" w:rsidP="009D4A93">
            <w:pPr>
              <w:spacing w:after="0"/>
              <w:jc w:val="center"/>
            </w:pPr>
            <w:r w:rsidRPr="00536CFD">
              <w:t xml:space="preserve">DL: </w:t>
            </w:r>
          </w:p>
          <w:p w14:paraId="310FAED7" w14:textId="77777777" w:rsidR="009D4A93" w:rsidRPr="00536CFD" w:rsidRDefault="009D4A93" w:rsidP="009D4A93">
            <w:pPr>
              <w:spacing w:after="0"/>
              <w:jc w:val="center"/>
            </w:pPr>
            <w:r w:rsidRPr="00536CFD">
              <w:t>UPT CDF</w:t>
            </w:r>
          </w:p>
          <w:p w14:paraId="41B33570" w14:textId="77777777" w:rsidR="009D4A93" w:rsidRPr="00536CFD" w:rsidRDefault="009D4A93" w:rsidP="009D4A93">
            <w:pPr>
              <w:spacing w:after="0"/>
              <w:jc w:val="center"/>
              <w:rPr>
                <w:rFonts w:eastAsia="Times New Roman"/>
                <w:lang w:eastAsia="ja-JP"/>
              </w:rPr>
            </w:pPr>
            <w:r w:rsidRPr="00536CFD">
              <w:t>[Mbps]</w:t>
            </w:r>
          </w:p>
        </w:tc>
        <w:tc>
          <w:tcPr>
            <w:tcW w:w="505" w:type="dxa"/>
          </w:tcPr>
          <w:p w14:paraId="1315E088" w14:textId="77777777" w:rsidR="009D4A93" w:rsidRPr="00536CFD" w:rsidRDefault="009D4A93" w:rsidP="009D4A93">
            <w:pPr>
              <w:spacing w:after="0"/>
              <w:jc w:val="center"/>
              <w:rPr>
                <w:rFonts w:eastAsia="Times New Roman"/>
                <w:lang w:eastAsia="ja-JP"/>
              </w:rPr>
            </w:pPr>
            <w:r w:rsidRPr="00536CFD">
              <w:t>5%</w:t>
            </w:r>
          </w:p>
        </w:tc>
        <w:tc>
          <w:tcPr>
            <w:tcW w:w="858" w:type="dxa"/>
          </w:tcPr>
          <w:p w14:paraId="495388E3" w14:textId="77777777" w:rsidR="009D4A93" w:rsidRPr="00536CFD" w:rsidRDefault="009D4A93" w:rsidP="009D4A93">
            <w:pPr>
              <w:spacing w:after="0"/>
              <w:jc w:val="center"/>
              <w:rPr>
                <w:rFonts w:eastAsia="Times New Roman"/>
                <w:lang w:eastAsia="ja-JP"/>
              </w:rPr>
            </w:pPr>
            <w:r w:rsidRPr="00536CFD">
              <w:t>37.93</w:t>
            </w:r>
          </w:p>
        </w:tc>
        <w:tc>
          <w:tcPr>
            <w:tcW w:w="858" w:type="dxa"/>
          </w:tcPr>
          <w:p w14:paraId="24B7513F" w14:textId="77777777" w:rsidR="009D4A93" w:rsidRPr="00536CFD" w:rsidRDefault="009D4A93" w:rsidP="009D4A93">
            <w:pPr>
              <w:spacing w:after="0"/>
              <w:jc w:val="center"/>
              <w:rPr>
                <w:rFonts w:eastAsia="Times New Roman"/>
                <w:lang w:eastAsia="ja-JP"/>
              </w:rPr>
            </w:pPr>
            <w:r w:rsidRPr="00536CFD">
              <w:t>40.83</w:t>
            </w:r>
          </w:p>
        </w:tc>
        <w:tc>
          <w:tcPr>
            <w:tcW w:w="880" w:type="dxa"/>
          </w:tcPr>
          <w:p w14:paraId="27B49D21" w14:textId="77777777" w:rsidR="009D4A93" w:rsidRPr="00536CFD" w:rsidRDefault="009D4A93" w:rsidP="009D4A93">
            <w:pPr>
              <w:spacing w:after="0"/>
              <w:jc w:val="center"/>
              <w:rPr>
                <w:rFonts w:eastAsia="Times New Roman"/>
                <w:lang w:eastAsia="ja-JP"/>
              </w:rPr>
            </w:pPr>
            <w:r w:rsidRPr="00536CFD">
              <w:t>43.46</w:t>
            </w:r>
          </w:p>
        </w:tc>
        <w:tc>
          <w:tcPr>
            <w:tcW w:w="932" w:type="dxa"/>
          </w:tcPr>
          <w:p w14:paraId="56FCBA27" w14:textId="77777777" w:rsidR="009D4A93" w:rsidRPr="00536CFD" w:rsidRDefault="009D4A93" w:rsidP="009D4A93">
            <w:pPr>
              <w:spacing w:after="0"/>
              <w:jc w:val="center"/>
              <w:rPr>
                <w:rFonts w:eastAsia="Times New Roman"/>
                <w:lang w:eastAsia="ja-JP"/>
              </w:rPr>
            </w:pPr>
            <w:r w:rsidRPr="00536CFD">
              <w:t>22.31</w:t>
            </w:r>
          </w:p>
        </w:tc>
        <w:tc>
          <w:tcPr>
            <w:tcW w:w="953" w:type="dxa"/>
          </w:tcPr>
          <w:p w14:paraId="387E48BA" w14:textId="77777777" w:rsidR="009D4A93" w:rsidRPr="00536CFD" w:rsidRDefault="009D4A93" w:rsidP="009D4A93">
            <w:pPr>
              <w:spacing w:after="0"/>
              <w:jc w:val="center"/>
              <w:rPr>
                <w:rFonts w:eastAsia="Times New Roman"/>
                <w:lang w:eastAsia="ja-JP"/>
              </w:rPr>
            </w:pPr>
            <w:r w:rsidRPr="00536CFD">
              <w:t>29.57</w:t>
            </w:r>
          </w:p>
        </w:tc>
        <w:tc>
          <w:tcPr>
            <w:tcW w:w="954" w:type="dxa"/>
          </w:tcPr>
          <w:p w14:paraId="5FB8EA40" w14:textId="77777777" w:rsidR="009D4A93" w:rsidRPr="00536CFD" w:rsidRDefault="009D4A93" w:rsidP="009D4A93">
            <w:pPr>
              <w:spacing w:after="0"/>
              <w:jc w:val="center"/>
              <w:rPr>
                <w:rFonts w:eastAsia="Times New Roman"/>
                <w:lang w:eastAsia="ja-JP"/>
              </w:rPr>
            </w:pPr>
            <w:r w:rsidRPr="00536CFD">
              <w:t>29.97</w:t>
            </w:r>
          </w:p>
        </w:tc>
        <w:tc>
          <w:tcPr>
            <w:tcW w:w="983" w:type="dxa"/>
          </w:tcPr>
          <w:p w14:paraId="53FF7B8E" w14:textId="77777777" w:rsidR="009D4A93" w:rsidRPr="00536CFD" w:rsidRDefault="009D4A93" w:rsidP="009D4A93">
            <w:pPr>
              <w:spacing w:after="0"/>
              <w:jc w:val="center"/>
              <w:rPr>
                <w:rFonts w:eastAsia="Times New Roman"/>
                <w:lang w:eastAsia="ja-JP"/>
              </w:rPr>
            </w:pPr>
            <w:r w:rsidRPr="00536CFD">
              <w:t>7.77</w:t>
            </w:r>
          </w:p>
        </w:tc>
        <w:tc>
          <w:tcPr>
            <w:tcW w:w="983" w:type="dxa"/>
          </w:tcPr>
          <w:p w14:paraId="0B33DC6B" w14:textId="77777777" w:rsidR="009D4A93" w:rsidRPr="00536CFD" w:rsidRDefault="009D4A93" w:rsidP="009D4A93">
            <w:pPr>
              <w:spacing w:after="0"/>
              <w:jc w:val="center"/>
              <w:rPr>
                <w:rFonts w:eastAsia="Times New Roman"/>
                <w:lang w:eastAsia="ja-JP"/>
              </w:rPr>
            </w:pPr>
            <w:r w:rsidRPr="00536CFD">
              <w:t>14.55</w:t>
            </w:r>
          </w:p>
        </w:tc>
        <w:tc>
          <w:tcPr>
            <w:tcW w:w="984" w:type="dxa"/>
          </w:tcPr>
          <w:p w14:paraId="5F9BA293" w14:textId="77777777" w:rsidR="009D4A93" w:rsidRPr="00536CFD" w:rsidRDefault="009D4A93" w:rsidP="009D4A93">
            <w:pPr>
              <w:spacing w:after="0"/>
              <w:jc w:val="center"/>
              <w:rPr>
                <w:rFonts w:eastAsia="Times New Roman"/>
                <w:lang w:eastAsia="ja-JP"/>
              </w:rPr>
            </w:pPr>
            <w:r w:rsidRPr="00536CFD">
              <w:t>10.87</w:t>
            </w:r>
          </w:p>
        </w:tc>
      </w:tr>
      <w:tr w:rsidR="009D4A93" w:rsidRPr="00536CFD" w14:paraId="283916F8" w14:textId="77777777" w:rsidTr="009D4A93">
        <w:trPr>
          <w:cantSplit/>
          <w:trHeight w:val="22"/>
        </w:trPr>
        <w:tc>
          <w:tcPr>
            <w:tcW w:w="500" w:type="dxa"/>
            <w:vMerge/>
          </w:tcPr>
          <w:p w14:paraId="7E8E962B" w14:textId="77777777" w:rsidR="009D4A93" w:rsidRPr="00536CFD" w:rsidRDefault="009D4A93" w:rsidP="009D4A93">
            <w:pPr>
              <w:spacing w:after="0"/>
              <w:jc w:val="center"/>
              <w:rPr>
                <w:rFonts w:eastAsia="Times New Roman"/>
                <w:lang w:eastAsia="ja-JP"/>
              </w:rPr>
            </w:pPr>
          </w:p>
        </w:tc>
        <w:tc>
          <w:tcPr>
            <w:tcW w:w="505" w:type="dxa"/>
            <w:vMerge/>
          </w:tcPr>
          <w:p w14:paraId="3F23EDBA" w14:textId="77777777" w:rsidR="009D4A93" w:rsidRPr="00536CFD" w:rsidRDefault="009D4A93" w:rsidP="009D4A93">
            <w:pPr>
              <w:spacing w:after="0"/>
              <w:jc w:val="center"/>
              <w:rPr>
                <w:rFonts w:eastAsia="Times New Roman"/>
                <w:lang w:eastAsia="ja-JP"/>
              </w:rPr>
            </w:pPr>
          </w:p>
        </w:tc>
        <w:tc>
          <w:tcPr>
            <w:tcW w:w="505" w:type="dxa"/>
          </w:tcPr>
          <w:p w14:paraId="6063C705" w14:textId="77777777" w:rsidR="009D4A93" w:rsidRPr="00536CFD" w:rsidRDefault="009D4A93" w:rsidP="009D4A93">
            <w:pPr>
              <w:spacing w:after="0"/>
              <w:jc w:val="center"/>
              <w:rPr>
                <w:rFonts w:eastAsia="Times New Roman"/>
                <w:lang w:eastAsia="ja-JP"/>
              </w:rPr>
            </w:pPr>
            <w:r w:rsidRPr="00536CFD">
              <w:t>50%</w:t>
            </w:r>
          </w:p>
        </w:tc>
        <w:tc>
          <w:tcPr>
            <w:tcW w:w="858" w:type="dxa"/>
          </w:tcPr>
          <w:p w14:paraId="6ED6EB79" w14:textId="77777777" w:rsidR="009D4A93" w:rsidRPr="00536CFD" w:rsidRDefault="009D4A93" w:rsidP="009D4A93">
            <w:pPr>
              <w:spacing w:after="0"/>
              <w:jc w:val="center"/>
              <w:rPr>
                <w:rFonts w:eastAsia="Times New Roman"/>
                <w:lang w:eastAsia="ja-JP"/>
              </w:rPr>
            </w:pPr>
            <w:r w:rsidRPr="00536CFD">
              <w:t>93.51</w:t>
            </w:r>
          </w:p>
        </w:tc>
        <w:tc>
          <w:tcPr>
            <w:tcW w:w="858" w:type="dxa"/>
          </w:tcPr>
          <w:p w14:paraId="461466EF" w14:textId="77777777" w:rsidR="009D4A93" w:rsidRPr="00536CFD" w:rsidRDefault="009D4A93" w:rsidP="009D4A93">
            <w:pPr>
              <w:spacing w:after="0"/>
              <w:jc w:val="center"/>
              <w:rPr>
                <w:rFonts w:eastAsia="Times New Roman"/>
                <w:lang w:eastAsia="ja-JP"/>
              </w:rPr>
            </w:pPr>
            <w:r w:rsidRPr="00536CFD">
              <w:t>95.18</w:t>
            </w:r>
          </w:p>
        </w:tc>
        <w:tc>
          <w:tcPr>
            <w:tcW w:w="880" w:type="dxa"/>
          </w:tcPr>
          <w:p w14:paraId="17BDC0E8" w14:textId="77777777" w:rsidR="009D4A93" w:rsidRPr="00536CFD" w:rsidRDefault="009D4A93" w:rsidP="009D4A93">
            <w:pPr>
              <w:spacing w:after="0"/>
              <w:jc w:val="center"/>
              <w:rPr>
                <w:rFonts w:eastAsia="Times New Roman"/>
                <w:lang w:eastAsia="ja-JP"/>
              </w:rPr>
            </w:pPr>
            <w:r w:rsidRPr="00536CFD">
              <w:t>97.42</w:t>
            </w:r>
          </w:p>
        </w:tc>
        <w:tc>
          <w:tcPr>
            <w:tcW w:w="932" w:type="dxa"/>
          </w:tcPr>
          <w:p w14:paraId="659E5534" w14:textId="77777777" w:rsidR="009D4A93" w:rsidRPr="00536CFD" w:rsidRDefault="009D4A93" w:rsidP="009D4A93">
            <w:pPr>
              <w:spacing w:after="0"/>
              <w:jc w:val="center"/>
              <w:rPr>
                <w:rFonts w:eastAsia="Times New Roman"/>
                <w:lang w:eastAsia="ja-JP"/>
              </w:rPr>
            </w:pPr>
            <w:r w:rsidRPr="00536CFD">
              <w:t>57.82</w:t>
            </w:r>
          </w:p>
        </w:tc>
        <w:tc>
          <w:tcPr>
            <w:tcW w:w="953" w:type="dxa"/>
          </w:tcPr>
          <w:p w14:paraId="06378C54" w14:textId="77777777" w:rsidR="009D4A93" w:rsidRPr="00536CFD" w:rsidRDefault="009D4A93" w:rsidP="009D4A93">
            <w:pPr>
              <w:spacing w:after="0"/>
              <w:jc w:val="center"/>
              <w:rPr>
                <w:rFonts w:eastAsia="Times New Roman"/>
                <w:lang w:eastAsia="ja-JP"/>
              </w:rPr>
            </w:pPr>
            <w:r w:rsidRPr="00536CFD">
              <w:t>70.99</w:t>
            </w:r>
          </w:p>
        </w:tc>
        <w:tc>
          <w:tcPr>
            <w:tcW w:w="954" w:type="dxa"/>
          </w:tcPr>
          <w:p w14:paraId="1C0F1D3A" w14:textId="77777777" w:rsidR="009D4A93" w:rsidRPr="00536CFD" w:rsidRDefault="009D4A93" w:rsidP="009D4A93">
            <w:pPr>
              <w:spacing w:after="0"/>
              <w:jc w:val="center"/>
              <w:rPr>
                <w:rFonts w:eastAsia="Times New Roman"/>
                <w:lang w:eastAsia="ja-JP"/>
              </w:rPr>
            </w:pPr>
            <w:r w:rsidRPr="00536CFD">
              <w:t>68.70</w:t>
            </w:r>
          </w:p>
        </w:tc>
        <w:tc>
          <w:tcPr>
            <w:tcW w:w="983" w:type="dxa"/>
          </w:tcPr>
          <w:p w14:paraId="0AE10214" w14:textId="77777777" w:rsidR="009D4A93" w:rsidRPr="00536CFD" w:rsidRDefault="009D4A93" w:rsidP="009D4A93">
            <w:pPr>
              <w:spacing w:after="0"/>
              <w:jc w:val="center"/>
              <w:rPr>
                <w:rFonts w:eastAsia="Times New Roman"/>
                <w:lang w:eastAsia="ja-JP"/>
              </w:rPr>
            </w:pPr>
            <w:r w:rsidRPr="00536CFD">
              <w:t>24.82</w:t>
            </w:r>
          </w:p>
        </w:tc>
        <w:tc>
          <w:tcPr>
            <w:tcW w:w="983" w:type="dxa"/>
          </w:tcPr>
          <w:p w14:paraId="75198218" w14:textId="77777777" w:rsidR="009D4A93" w:rsidRPr="00536CFD" w:rsidRDefault="009D4A93" w:rsidP="009D4A93">
            <w:pPr>
              <w:spacing w:after="0"/>
              <w:jc w:val="center"/>
              <w:rPr>
                <w:rFonts w:eastAsia="Times New Roman"/>
                <w:lang w:eastAsia="ja-JP"/>
              </w:rPr>
            </w:pPr>
            <w:r w:rsidRPr="00536CFD">
              <w:t>40.29</w:t>
            </w:r>
          </w:p>
        </w:tc>
        <w:tc>
          <w:tcPr>
            <w:tcW w:w="984" w:type="dxa"/>
          </w:tcPr>
          <w:p w14:paraId="6EA0C1D6" w14:textId="77777777" w:rsidR="009D4A93" w:rsidRPr="00536CFD" w:rsidRDefault="009D4A93" w:rsidP="009D4A93">
            <w:pPr>
              <w:spacing w:after="0"/>
              <w:jc w:val="center"/>
              <w:rPr>
                <w:rFonts w:eastAsia="Times New Roman"/>
                <w:lang w:eastAsia="ja-JP"/>
              </w:rPr>
            </w:pPr>
            <w:r w:rsidRPr="00536CFD">
              <w:t>30.47</w:t>
            </w:r>
          </w:p>
        </w:tc>
      </w:tr>
      <w:tr w:rsidR="009D4A93" w:rsidRPr="00536CFD" w14:paraId="6A56244F" w14:textId="77777777" w:rsidTr="009D4A93">
        <w:trPr>
          <w:cantSplit/>
          <w:trHeight w:val="22"/>
        </w:trPr>
        <w:tc>
          <w:tcPr>
            <w:tcW w:w="500" w:type="dxa"/>
            <w:vMerge/>
          </w:tcPr>
          <w:p w14:paraId="3132F50C" w14:textId="77777777" w:rsidR="009D4A93" w:rsidRPr="00536CFD" w:rsidRDefault="009D4A93" w:rsidP="009D4A93">
            <w:pPr>
              <w:spacing w:after="0"/>
              <w:jc w:val="center"/>
              <w:rPr>
                <w:rFonts w:eastAsia="Times New Roman"/>
                <w:lang w:eastAsia="ja-JP"/>
              </w:rPr>
            </w:pPr>
          </w:p>
        </w:tc>
        <w:tc>
          <w:tcPr>
            <w:tcW w:w="505" w:type="dxa"/>
            <w:vMerge/>
          </w:tcPr>
          <w:p w14:paraId="0AEF95BE" w14:textId="77777777" w:rsidR="009D4A93" w:rsidRPr="00536CFD" w:rsidRDefault="009D4A93" w:rsidP="009D4A93">
            <w:pPr>
              <w:spacing w:after="0"/>
              <w:jc w:val="center"/>
              <w:rPr>
                <w:rFonts w:eastAsia="Times New Roman"/>
                <w:lang w:eastAsia="ja-JP"/>
              </w:rPr>
            </w:pPr>
          </w:p>
        </w:tc>
        <w:tc>
          <w:tcPr>
            <w:tcW w:w="505" w:type="dxa"/>
          </w:tcPr>
          <w:p w14:paraId="24505F56" w14:textId="77777777" w:rsidR="009D4A93" w:rsidRPr="00536CFD" w:rsidRDefault="009D4A93" w:rsidP="009D4A93">
            <w:pPr>
              <w:spacing w:after="0"/>
              <w:jc w:val="center"/>
              <w:rPr>
                <w:rFonts w:eastAsia="Times New Roman"/>
                <w:lang w:eastAsia="ja-JP"/>
              </w:rPr>
            </w:pPr>
            <w:r w:rsidRPr="00536CFD">
              <w:t>95%</w:t>
            </w:r>
          </w:p>
        </w:tc>
        <w:tc>
          <w:tcPr>
            <w:tcW w:w="858" w:type="dxa"/>
          </w:tcPr>
          <w:p w14:paraId="3A661A65" w14:textId="77777777" w:rsidR="009D4A93" w:rsidRPr="00536CFD" w:rsidRDefault="009D4A93" w:rsidP="009D4A93">
            <w:pPr>
              <w:spacing w:after="0"/>
              <w:jc w:val="center"/>
              <w:rPr>
                <w:rFonts w:eastAsia="Times New Roman"/>
                <w:lang w:eastAsia="ja-JP"/>
              </w:rPr>
            </w:pPr>
            <w:r w:rsidRPr="00536CFD">
              <w:t>120.76</w:t>
            </w:r>
          </w:p>
        </w:tc>
        <w:tc>
          <w:tcPr>
            <w:tcW w:w="858" w:type="dxa"/>
          </w:tcPr>
          <w:p w14:paraId="7A0F5859" w14:textId="77777777" w:rsidR="009D4A93" w:rsidRPr="00536CFD" w:rsidRDefault="009D4A93" w:rsidP="009D4A93">
            <w:pPr>
              <w:spacing w:after="0"/>
              <w:jc w:val="center"/>
              <w:rPr>
                <w:rFonts w:eastAsia="Times New Roman"/>
                <w:lang w:eastAsia="ja-JP"/>
              </w:rPr>
            </w:pPr>
            <w:r w:rsidRPr="00536CFD">
              <w:t>121.81</w:t>
            </w:r>
          </w:p>
        </w:tc>
        <w:tc>
          <w:tcPr>
            <w:tcW w:w="880" w:type="dxa"/>
          </w:tcPr>
          <w:p w14:paraId="39BD4F5C" w14:textId="77777777" w:rsidR="009D4A93" w:rsidRPr="00536CFD" w:rsidRDefault="009D4A93" w:rsidP="009D4A93">
            <w:pPr>
              <w:spacing w:after="0"/>
              <w:jc w:val="center"/>
              <w:rPr>
                <w:rFonts w:eastAsia="Times New Roman"/>
                <w:lang w:eastAsia="ja-JP"/>
              </w:rPr>
            </w:pPr>
            <w:r w:rsidRPr="00536CFD">
              <w:t>122.11</w:t>
            </w:r>
          </w:p>
        </w:tc>
        <w:tc>
          <w:tcPr>
            <w:tcW w:w="932" w:type="dxa"/>
          </w:tcPr>
          <w:p w14:paraId="2E9A4E2C" w14:textId="77777777" w:rsidR="009D4A93" w:rsidRPr="00536CFD" w:rsidRDefault="009D4A93" w:rsidP="009D4A93">
            <w:pPr>
              <w:spacing w:after="0"/>
              <w:jc w:val="center"/>
              <w:rPr>
                <w:rFonts w:eastAsia="Times New Roman"/>
                <w:lang w:eastAsia="ja-JP"/>
              </w:rPr>
            </w:pPr>
            <w:r w:rsidRPr="00536CFD">
              <w:t>86.46</w:t>
            </w:r>
          </w:p>
        </w:tc>
        <w:tc>
          <w:tcPr>
            <w:tcW w:w="953" w:type="dxa"/>
          </w:tcPr>
          <w:p w14:paraId="70B5A7FA" w14:textId="77777777" w:rsidR="009D4A93" w:rsidRPr="00536CFD" w:rsidRDefault="009D4A93" w:rsidP="009D4A93">
            <w:pPr>
              <w:spacing w:after="0"/>
              <w:jc w:val="center"/>
              <w:rPr>
                <w:rFonts w:eastAsia="Times New Roman"/>
                <w:lang w:eastAsia="ja-JP"/>
              </w:rPr>
            </w:pPr>
            <w:r w:rsidRPr="00536CFD">
              <w:t>102.10</w:t>
            </w:r>
          </w:p>
        </w:tc>
        <w:tc>
          <w:tcPr>
            <w:tcW w:w="954" w:type="dxa"/>
          </w:tcPr>
          <w:p w14:paraId="03FA124B" w14:textId="77777777" w:rsidR="009D4A93" w:rsidRPr="00536CFD" w:rsidRDefault="009D4A93" w:rsidP="009D4A93">
            <w:pPr>
              <w:spacing w:after="0"/>
              <w:jc w:val="center"/>
              <w:rPr>
                <w:rFonts w:eastAsia="Times New Roman"/>
                <w:lang w:eastAsia="ja-JP"/>
              </w:rPr>
            </w:pPr>
            <w:r w:rsidRPr="00536CFD">
              <w:t>97.17</w:t>
            </w:r>
          </w:p>
        </w:tc>
        <w:tc>
          <w:tcPr>
            <w:tcW w:w="983" w:type="dxa"/>
          </w:tcPr>
          <w:p w14:paraId="2B9C6D16" w14:textId="77777777" w:rsidR="009D4A93" w:rsidRPr="00536CFD" w:rsidRDefault="009D4A93" w:rsidP="009D4A93">
            <w:pPr>
              <w:spacing w:after="0"/>
              <w:jc w:val="center"/>
              <w:rPr>
                <w:rFonts w:eastAsia="Times New Roman"/>
                <w:lang w:eastAsia="ja-JP"/>
              </w:rPr>
            </w:pPr>
            <w:r w:rsidRPr="00536CFD">
              <w:t>48.64</w:t>
            </w:r>
          </w:p>
        </w:tc>
        <w:tc>
          <w:tcPr>
            <w:tcW w:w="983" w:type="dxa"/>
          </w:tcPr>
          <w:p w14:paraId="2B11B46B" w14:textId="77777777" w:rsidR="009D4A93" w:rsidRPr="00536CFD" w:rsidRDefault="009D4A93" w:rsidP="009D4A93">
            <w:pPr>
              <w:spacing w:after="0"/>
              <w:jc w:val="center"/>
              <w:rPr>
                <w:rFonts w:eastAsia="Times New Roman"/>
                <w:lang w:eastAsia="ja-JP"/>
              </w:rPr>
            </w:pPr>
            <w:r w:rsidRPr="00536CFD">
              <w:t>68.93</w:t>
            </w:r>
          </w:p>
        </w:tc>
        <w:tc>
          <w:tcPr>
            <w:tcW w:w="984" w:type="dxa"/>
          </w:tcPr>
          <w:p w14:paraId="61433506" w14:textId="77777777" w:rsidR="009D4A93" w:rsidRPr="00536CFD" w:rsidRDefault="009D4A93" w:rsidP="009D4A93">
            <w:pPr>
              <w:spacing w:after="0"/>
              <w:jc w:val="center"/>
              <w:rPr>
                <w:rFonts w:eastAsia="Times New Roman"/>
                <w:lang w:eastAsia="ja-JP"/>
              </w:rPr>
            </w:pPr>
            <w:r w:rsidRPr="00536CFD">
              <w:t>54.55</w:t>
            </w:r>
          </w:p>
        </w:tc>
      </w:tr>
      <w:tr w:rsidR="009D4A93" w:rsidRPr="00536CFD" w14:paraId="3365753C" w14:textId="77777777" w:rsidTr="009D4A93">
        <w:trPr>
          <w:cantSplit/>
          <w:trHeight w:val="22"/>
        </w:trPr>
        <w:tc>
          <w:tcPr>
            <w:tcW w:w="500" w:type="dxa"/>
            <w:vMerge/>
          </w:tcPr>
          <w:p w14:paraId="05BBD194" w14:textId="77777777" w:rsidR="009D4A93" w:rsidRPr="00536CFD" w:rsidRDefault="009D4A93" w:rsidP="009D4A93">
            <w:pPr>
              <w:spacing w:after="0"/>
              <w:jc w:val="center"/>
              <w:rPr>
                <w:rFonts w:eastAsia="Times New Roman"/>
                <w:lang w:eastAsia="ja-JP"/>
              </w:rPr>
            </w:pPr>
          </w:p>
        </w:tc>
        <w:tc>
          <w:tcPr>
            <w:tcW w:w="505" w:type="dxa"/>
            <w:vMerge/>
          </w:tcPr>
          <w:p w14:paraId="1163DD4E" w14:textId="77777777" w:rsidR="009D4A93" w:rsidRPr="00536CFD" w:rsidRDefault="009D4A93" w:rsidP="009D4A93">
            <w:pPr>
              <w:spacing w:after="0"/>
              <w:jc w:val="center"/>
              <w:rPr>
                <w:rFonts w:eastAsia="Times New Roman"/>
                <w:lang w:eastAsia="ja-JP"/>
              </w:rPr>
            </w:pPr>
          </w:p>
        </w:tc>
        <w:tc>
          <w:tcPr>
            <w:tcW w:w="505" w:type="dxa"/>
          </w:tcPr>
          <w:p w14:paraId="3F2DB833" w14:textId="77777777" w:rsidR="009D4A93" w:rsidRPr="00536CFD" w:rsidRDefault="009D4A93" w:rsidP="009D4A93">
            <w:pPr>
              <w:spacing w:after="0"/>
              <w:jc w:val="center"/>
              <w:rPr>
                <w:rFonts w:eastAsia="Times New Roman"/>
                <w:lang w:eastAsia="ja-JP"/>
              </w:rPr>
            </w:pPr>
            <w:r w:rsidRPr="00536CFD">
              <w:t>Mean</w:t>
            </w:r>
          </w:p>
        </w:tc>
        <w:tc>
          <w:tcPr>
            <w:tcW w:w="858" w:type="dxa"/>
          </w:tcPr>
          <w:p w14:paraId="58006593" w14:textId="77777777" w:rsidR="009D4A93" w:rsidRPr="00536CFD" w:rsidRDefault="009D4A93" w:rsidP="009D4A93">
            <w:pPr>
              <w:spacing w:after="0"/>
              <w:jc w:val="center"/>
              <w:rPr>
                <w:rFonts w:eastAsia="Times New Roman"/>
                <w:lang w:eastAsia="ja-JP"/>
              </w:rPr>
            </w:pPr>
            <w:r w:rsidRPr="00536CFD">
              <w:t>92.96</w:t>
            </w:r>
          </w:p>
        </w:tc>
        <w:tc>
          <w:tcPr>
            <w:tcW w:w="858" w:type="dxa"/>
          </w:tcPr>
          <w:p w14:paraId="2245AB92" w14:textId="77777777" w:rsidR="009D4A93" w:rsidRPr="00536CFD" w:rsidRDefault="009D4A93" w:rsidP="009D4A93">
            <w:pPr>
              <w:spacing w:after="0"/>
              <w:jc w:val="center"/>
              <w:rPr>
                <w:rFonts w:eastAsia="Times New Roman"/>
                <w:lang w:eastAsia="ja-JP"/>
              </w:rPr>
            </w:pPr>
            <w:r w:rsidRPr="00536CFD">
              <w:t>93.87</w:t>
            </w:r>
          </w:p>
        </w:tc>
        <w:tc>
          <w:tcPr>
            <w:tcW w:w="880" w:type="dxa"/>
          </w:tcPr>
          <w:p w14:paraId="65D3BA7B" w14:textId="77777777" w:rsidR="009D4A93" w:rsidRPr="00536CFD" w:rsidRDefault="009D4A93" w:rsidP="009D4A93">
            <w:pPr>
              <w:spacing w:after="0"/>
              <w:jc w:val="center"/>
              <w:rPr>
                <w:rFonts w:eastAsia="Times New Roman"/>
                <w:lang w:eastAsia="ja-JP"/>
              </w:rPr>
            </w:pPr>
            <w:r w:rsidRPr="00536CFD">
              <w:t>96.01</w:t>
            </w:r>
          </w:p>
        </w:tc>
        <w:tc>
          <w:tcPr>
            <w:tcW w:w="932" w:type="dxa"/>
          </w:tcPr>
          <w:p w14:paraId="06A5F49A" w14:textId="77777777" w:rsidR="009D4A93" w:rsidRPr="00536CFD" w:rsidRDefault="009D4A93" w:rsidP="009D4A93">
            <w:pPr>
              <w:spacing w:after="0"/>
              <w:jc w:val="center"/>
              <w:rPr>
                <w:rFonts w:eastAsia="Times New Roman"/>
                <w:lang w:eastAsia="ja-JP"/>
              </w:rPr>
            </w:pPr>
            <w:r w:rsidRPr="00536CFD">
              <w:t>60.44</w:t>
            </w:r>
          </w:p>
        </w:tc>
        <w:tc>
          <w:tcPr>
            <w:tcW w:w="953" w:type="dxa"/>
          </w:tcPr>
          <w:p w14:paraId="27A56B59" w14:textId="77777777" w:rsidR="009D4A93" w:rsidRPr="00536CFD" w:rsidRDefault="009D4A93" w:rsidP="009D4A93">
            <w:pPr>
              <w:spacing w:after="0"/>
              <w:jc w:val="center"/>
              <w:rPr>
                <w:rFonts w:eastAsia="Times New Roman"/>
                <w:lang w:eastAsia="ja-JP"/>
              </w:rPr>
            </w:pPr>
            <w:r w:rsidRPr="00536CFD">
              <w:t>73.38</w:t>
            </w:r>
          </w:p>
        </w:tc>
        <w:tc>
          <w:tcPr>
            <w:tcW w:w="954" w:type="dxa"/>
          </w:tcPr>
          <w:p w14:paraId="1014000A" w14:textId="77777777" w:rsidR="009D4A93" w:rsidRPr="00536CFD" w:rsidRDefault="009D4A93" w:rsidP="009D4A93">
            <w:pPr>
              <w:spacing w:after="0"/>
              <w:jc w:val="center"/>
              <w:rPr>
                <w:rFonts w:eastAsia="Times New Roman"/>
                <w:lang w:eastAsia="ja-JP"/>
              </w:rPr>
            </w:pPr>
            <w:r w:rsidRPr="00536CFD">
              <w:t>70.83</w:t>
            </w:r>
          </w:p>
        </w:tc>
        <w:tc>
          <w:tcPr>
            <w:tcW w:w="983" w:type="dxa"/>
          </w:tcPr>
          <w:p w14:paraId="6A5236C7" w14:textId="77777777" w:rsidR="009D4A93" w:rsidRPr="00536CFD" w:rsidRDefault="009D4A93" w:rsidP="009D4A93">
            <w:pPr>
              <w:spacing w:after="0"/>
              <w:jc w:val="center"/>
              <w:rPr>
                <w:rFonts w:eastAsia="Times New Roman"/>
                <w:lang w:eastAsia="ja-JP"/>
              </w:rPr>
            </w:pPr>
            <w:r w:rsidRPr="00536CFD">
              <w:t>28.72</w:t>
            </w:r>
          </w:p>
        </w:tc>
        <w:tc>
          <w:tcPr>
            <w:tcW w:w="983" w:type="dxa"/>
          </w:tcPr>
          <w:p w14:paraId="6F0C6481" w14:textId="77777777" w:rsidR="009D4A93" w:rsidRPr="00536CFD" w:rsidRDefault="009D4A93" w:rsidP="009D4A93">
            <w:pPr>
              <w:spacing w:after="0"/>
              <w:jc w:val="center"/>
              <w:rPr>
                <w:rFonts w:eastAsia="Times New Roman"/>
                <w:lang w:eastAsia="ja-JP"/>
              </w:rPr>
            </w:pPr>
            <w:r w:rsidRPr="00536CFD">
              <w:t>44.18</w:t>
            </w:r>
          </w:p>
        </w:tc>
        <w:tc>
          <w:tcPr>
            <w:tcW w:w="984" w:type="dxa"/>
          </w:tcPr>
          <w:p w14:paraId="49789E80" w14:textId="77777777" w:rsidR="009D4A93" w:rsidRPr="00536CFD" w:rsidRDefault="009D4A93" w:rsidP="009D4A93">
            <w:pPr>
              <w:spacing w:after="0"/>
              <w:jc w:val="center"/>
              <w:rPr>
                <w:rFonts w:eastAsia="Times New Roman"/>
                <w:lang w:eastAsia="ja-JP"/>
              </w:rPr>
            </w:pPr>
            <w:r w:rsidRPr="00536CFD">
              <w:t>34.22</w:t>
            </w:r>
          </w:p>
        </w:tc>
      </w:tr>
      <w:tr w:rsidR="009D4A93" w:rsidRPr="00536CFD" w14:paraId="582206A5" w14:textId="77777777" w:rsidTr="009D4A93">
        <w:trPr>
          <w:cantSplit/>
          <w:trHeight w:val="22"/>
        </w:trPr>
        <w:tc>
          <w:tcPr>
            <w:tcW w:w="500" w:type="dxa"/>
            <w:vMerge/>
          </w:tcPr>
          <w:p w14:paraId="564F4561" w14:textId="77777777" w:rsidR="009D4A93" w:rsidRPr="00536CFD" w:rsidRDefault="009D4A93" w:rsidP="009D4A93">
            <w:pPr>
              <w:spacing w:after="0"/>
              <w:jc w:val="center"/>
              <w:rPr>
                <w:rFonts w:eastAsia="Times New Roman"/>
                <w:lang w:eastAsia="ja-JP"/>
              </w:rPr>
            </w:pPr>
          </w:p>
        </w:tc>
        <w:tc>
          <w:tcPr>
            <w:tcW w:w="505" w:type="dxa"/>
            <w:vMerge w:val="restart"/>
          </w:tcPr>
          <w:p w14:paraId="3A257820" w14:textId="77777777" w:rsidR="009D4A93" w:rsidRPr="00536CFD" w:rsidRDefault="009D4A93" w:rsidP="009D4A93">
            <w:pPr>
              <w:spacing w:after="0"/>
              <w:jc w:val="center"/>
            </w:pPr>
            <w:r w:rsidRPr="00536CFD">
              <w:t>DL:</w:t>
            </w:r>
          </w:p>
          <w:p w14:paraId="4A7E2DF4" w14:textId="77777777" w:rsidR="009D4A93" w:rsidRPr="00536CFD" w:rsidRDefault="009D4A93" w:rsidP="009D4A93">
            <w:pPr>
              <w:spacing w:after="0"/>
              <w:jc w:val="center"/>
            </w:pPr>
            <w:r w:rsidRPr="00536CFD">
              <w:t>Delay CDF</w:t>
            </w:r>
          </w:p>
          <w:p w14:paraId="65B5CAAC" w14:textId="77777777" w:rsidR="009D4A93" w:rsidRPr="00536CFD" w:rsidRDefault="009D4A93" w:rsidP="009D4A93">
            <w:pPr>
              <w:spacing w:after="0"/>
              <w:jc w:val="center"/>
              <w:rPr>
                <w:rFonts w:eastAsia="Times New Roman"/>
                <w:lang w:eastAsia="ja-JP"/>
              </w:rPr>
            </w:pPr>
            <w:r w:rsidRPr="00536CFD">
              <w:t>[s]</w:t>
            </w:r>
          </w:p>
        </w:tc>
        <w:tc>
          <w:tcPr>
            <w:tcW w:w="505" w:type="dxa"/>
          </w:tcPr>
          <w:p w14:paraId="0A2D0AF2" w14:textId="77777777" w:rsidR="009D4A93" w:rsidRPr="00536CFD" w:rsidRDefault="009D4A93" w:rsidP="009D4A93">
            <w:pPr>
              <w:spacing w:after="0"/>
              <w:jc w:val="center"/>
              <w:rPr>
                <w:rFonts w:eastAsia="Times New Roman"/>
                <w:lang w:eastAsia="ja-JP"/>
              </w:rPr>
            </w:pPr>
            <w:r w:rsidRPr="00536CFD">
              <w:t>5%</w:t>
            </w:r>
          </w:p>
        </w:tc>
        <w:tc>
          <w:tcPr>
            <w:tcW w:w="858" w:type="dxa"/>
          </w:tcPr>
          <w:p w14:paraId="7D098CF3" w14:textId="77777777" w:rsidR="009D4A93" w:rsidRPr="00536CFD" w:rsidRDefault="009D4A93" w:rsidP="009D4A93">
            <w:pPr>
              <w:spacing w:after="0"/>
              <w:jc w:val="center"/>
              <w:rPr>
                <w:rFonts w:eastAsia="Times New Roman"/>
                <w:lang w:eastAsia="ja-JP"/>
              </w:rPr>
            </w:pPr>
            <w:r w:rsidRPr="00536CFD">
              <w:t>0.038</w:t>
            </w:r>
          </w:p>
        </w:tc>
        <w:tc>
          <w:tcPr>
            <w:tcW w:w="858" w:type="dxa"/>
          </w:tcPr>
          <w:p w14:paraId="72713877" w14:textId="77777777" w:rsidR="009D4A93" w:rsidRPr="00536CFD" w:rsidRDefault="009D4A93" w:rsidP="009D4A93">
            <w:pPr>
              <w:spacing w:after="0"/>
              <w:jc w:val="center"/>
              <w:rPr>
                <w:rFonts w:eastAsia="Times New Roman"/>
                <w:lang w:eastAsia="ja-JP"/>
              </w:rPr>
            </w:pPr>
            <w:r w:rsidRPr="00536CFD">
              <w:t>0.028</w:t>
            </w:r>
          </w:p>
        </w:tc>
        <w:tc>
          <w:tcPr>
            <w:tcW w:w="880" w:type="dxa"/>
          </w:tcPr>
          <w:p w14:paraId="7C902689" w14:textId="77777777" w:rsidR="009D4A93" w:rsidRPr="00536CFD" w:rsidRDefault="009D4A93" w:rsidP="009D4A93">
            <w:pPr>
              <w:spacing w:after="0"/>
              <w:jc w:val="center"/>
              <w:rPr>
                <w:rFonts w:eastAsia="Times New Roman"/>
                <w:lang w:eastAsia="ja-JP"/>
              </w:rPr>
            </w:pPr>
            <w:r w:rsidRPr="00536CFD">
              <w:t>0.031</w:t>
            </w:r>
          </w:p>
        </w:tc>
        <w:tc>
          <w:tcPr>
            <w:tcW w:w="932" w:type="dxa"/>
          </w:tcPr>
          <w:p w14:paraId="412358F8" w14:textId="77777777" w:rsidR="009D4A93" w:rsidRPr="00536CFD" w:rsidRDefault="009D4A93" w:rsidP="009D4A93">
            <w:pPr>
              <w:spacing w:after="0"/>
              <w:jc w:val="center"/>
              <w:rPr>
                <w:rFonts w:eastAsia="Times New Roman"/>
                <w:lang w:eastAsia="ja-JP"/>
              </w:rPr>
            </w:pPr>
            <w:r w:rsidRPr="00536CFD">
              <w:t>0.121</w:t>
            </w:r>
          </w:p>
        </w:tc>
        <w:tc>
          <w:tcPr>
            <w:tcW w:w="953" w:type="dxa"/>
          </w:tcPr>
          <w:p w14:paraId="0418FE09" w14:textId="77777777" w:rsidR="009D4A93" w:rsidRPr="00536CFD" w:rsidRDefault="009D4A93" w:rsidP="009D4A93">
            <w:pPr>
              <w:spacing w:after="0"/>
              <w:jc w:val="center"/>
              <w:rPr>
                <w:rFonts w:eastAsia="Times New Roman"/>
                <w:lang w:eastAsia="ja-JP"/>
              </w:rPr>
            </w:pPr>
            <w:r w:rsidRPr="00536CFD">
              <w:t>0.087</w:t>
            </w:r>
          </w:p>
        </w:tc>
        <w:tc>
          <w:tcPr>
            <w:tcW w:w="954" w:type="dxa"/>
          </w:tcPr>
          <w:p w14:paraId="4DD64DE0" w14:textId="77777777" w:rsidR="009D4A93" w:rsidRPr="00536CFD" w:rsidRDefault="009D4A93" w:rsidP="009D4A93">
            <w:pPr>
              <w:spacing w:after="0"/>
              <w:jc w:val="center"/>
              <w:rPr>
                <w:rFonts w:eastAsia="Times New Roman"/>
                <w:lang w:eastAsia="ja-JP"/>
              </w:rPr>
            </w:pPr>
            <w:r w:rsidRPr="00536CFD">
              <w:t>0.060</w:t>
            </w:r>
          </w:p>
        </w:tc>
        <w:tc>
          <w:tcPr>
            <w:tcW w:w="983" w:type="dxa"/>
          </w:tcPr>
          <w:p w14:paraId="31766377" w14:textId="77777777" w:rsidR="009D4A93" w:rsidRPr="00536CFD" w:rsidRDefault="009D4A93" w:rsidP="009D4A93">
            <w:pPr>
              <w:spacing w:after="0"/>
              <w:jc w:val="center"/>
              <w:rPr>
                <w:rFonts w:eastAsia="Times New Roman"/>
                <w:lang w:eastAsia="ja-JP"/>
              </w:rPr>
            </w:pPr>
            <w:r w:rsidRPr="00536CFD">
              <w:t>0.178</w:t>
            </w:r>
          </w:p>
        </w:tc>
        <w:tc>
          <w:tcPr>
            <w:tcW w:w="983" w:type="dxa"/>
          </w:tcPr>
          <w:p w14:paraId="25D2A4F3" w14:textId="77777777" w:rsidR="009D4A93" w:rsidRPr="00536CFD" w:rsidRDefault="009D4A93" w:rsidP="009D4A93">
            <w:pPr>
              <w:spacing w:after="0"/>
              <w:jc w:val="center"/>
              <w:rPr>
                <w:rFonts w:eastAsia="Times New Roman"/>
                <w:lang w:eastAsia="ja-JP"/>
              </w:rPr>
            </w:pPr>
            <w:r w:rsidRPr="00536CFD">
              <w:t>0.100</w:t>
            </w:r>
          </w:p>
        </w:tc>
        <w:tc>
          <w:tcPr>
            <w:tcW w:w="984" w:type="dxa"/>
          </w:tcPr>
          <w:p w14:paraId="1D0EB427" w14:textId="77777777" w:rsidR="009D4A93" w:rsidRPr="00536CFD" w:rsidRDefault="009D4A93" w:rsidP="009D4A93">
            <w:pPr>
              <w:spacing w:after="0"/>
              <w:jc w:val="center"/>
              <w:rPr>
                <w:rFonts w:eastAsia="Times New Roman"/>
                <w:lang w:eastAsia="ja-JP"/>
              </w:rPr>
            </w:pPr>
            <w:r w:rsidRPr="00536CFD">
              <w:t>0.154</w:t>
            </w:r>
          </w:p>
        </w:tc>
      </w:tr>
      <w:tr w:rsidR="009D4A93" w:rsidRPr="00536CFD" w14:paraId="582B6995" w14:textId="77777777" w:rsidTr="009D4A93">
        <w:trPr>
          <w:cantSplit/>
          <w:trHeight w:val="22"/>
        </w:trPr>
        <w:tc>
          <w:tcPr>
            <w:tcW w:w="500" w:type="dxa"/>
            <w:vMerge/>
          </w:tcPr>
          <w:p w14:paraId="2C65D6E9" w14:textId="77777777" w:rsidR="009D4A93" w:rsidRPr="00536CFD" w:rsidRDefault="009D4A93" w:rsidP="009D4A93">
            <w:pPr>
              <w:spacing w:after="0"/>
              <w:jc w:val="center"/>
              <w:rPr>
                <w:rFonts w:eastAsia="Times New Roman"/>
                <w:lang w:eastAsia="ja-JP"/>
              </w:rPr>
            </w:pPr>
          </w:p>
        </w:tc>
        <w:tc>
          <w:tcPr>
            <w:tcW w:w="505" w:type="dxa"/>
            <w:vMerge/>
          </w:tcPr>
          <w:p w14:paraId="59F282DB" w14:textId="77777777" w:rsidR="009D4A93" w:rsidRPr="00536CFD" w:rsidRDefault="009D4A93" w:rsidP="009D4A93">
            <w:pPr>
              <w:spacing w:after="0"/>
              <w:jc w:val="center"/>
              <w:rPr>
                <w:rFonts w:eastAsia="Times New Roman"/>
                <w:lang w:eastAsia="ja-JP"/>
              </w:rPr>
            </w:pPr>
          </w:p>
        </w:tc>
        <w:tc>
          <w:tcPr>
            <w:tcW w:w="505" w:type="dxa"/>
          </w:tcPr>
          <w:p w14:paraId="47930012" w14:textId="77777777" w:rsidR="009D4A93" w:rsidRPr="00536CFD" w:rsidRDefault="009D4A93" w:rsidP="009D4A93">
            <w:pPr>
              <w:spacing w:after="0"/>
              <w:jc w:val="center"/>
              <w:rPr>
                <w:rFonts w:eastAsia="Times New Roman"/>
                <w:lang w:eastAsia="ja-JP"/>
              </w:rPr>
            </w:pPr>
            <w:r w:rsidRPr="00536CFD">
              <w:t>50%</w:t>
            </w:r>
          </w:p>
        </w:tc>
        <w:tc>
          <w:tcPr>
            <w:tcW w:w="858" w:type="dxa"/>
          </w:tcPr>
          <w:p w14:paraId="6D769DAF" w14:textId="77777777" w:rsidR="009D4A93" w:rsidRPr="00536CFD" w:rsidRDefault="009D4A93" w:rsidP="009D4A93">
            <w:pPr>
              <w:spacing w:after="0"/>
              <w:jc w:val="center"/>
              <w:rPr>
                <w:rFonts w:eastAsia="Times New Roman"/>
                <w:lang w:eastAsia="ja-JP"/>
              </w:rPr>
            </w:pPr>
            <w:r w:rsidRPr="00536CFD">
              <w:t>0.126</w:t>
            </w:r>
          </w:p>
        </w:tc>
        <w:tc>
          <w:tcPr>
            <w:tcW w:w="858" w:type="dxa"/>
          </w:tcPr>
          <w:p w14:paraId="7A8C3908" w14:textId="77777777" w:rsidR="009D4A93" w:rsidRPr="00536CFD" w:rsidRDefault="009D4A93" w:rsidP="009D4A93">
            <w:pPr>
              <w:spacing w:after="0"/>
              <w:jc w:val="center"/>
              <w:rPr>
                <w:rFonts w:eastAsia="Times New Roman"/>
                <w:lang w:eastAsia="ja-JP"/>
              </w:rPr>
            </w:pPr>
            <w:r w:rsidRPr="00536CFD">
              <w:t>0.119</w:t>
            </w:r>
          </w:p>
        </w:tc>
        <w:tc>
          <w:tcPr>
            <w:tcW w:w="880" w:type="dxa"/>
          </w:tcPr>
          <w:p w14:paraId="7074EED9" w14:textId="77777777" w:rsidR="009D4A93" w:rsidRPr="00536CFD" w:rsidRDefault="009D4A93" w:rsidP="009D4A93">
            <w:pPr>
              <w:spacing w:after="0"/>
              <w:jc w:val="center"/>
              <w:rPr>
                <w:rFonts w:eastAsia="Times New Roman"/>
                <w:lang w:eastAsia="ja-JP"/>
              </w:rPr>
            </w:pPr>
            <w:r w:rsidRPr="00536CFD">
              <w:t>0.129</w:t>
            </w:r>
          </w:p>
        </w:tc>
        <w:tc>
          <w:tcPr>
            <w:tcW w:w="932" w:type="dxa"/>
          </w:tcPr>
          <w:p w14:paraId="50FC0047" w14:textId="77777777" w:rsidR="009D4A93" w:rsidRPr="00536CFD" w:rsidRDefault="009D4A93" w:rsidP="009D4A93">
            <w:pPr>
              <w:spacing w:after="0"/>
              <w:jc w:val="center"/>
              <w:rPr>
                <w:rFonts w:eastAsia="Times New Roman"/>
                <w:lang w:eastAsia="ja-JP"/>
              </w:rPr>
            </w:pPr>
            <w:r w:rsidRPr="00536CFD">
              <w:t>1.105</w:t>
            </w:r>
          </w:p>
        </w:tc>
        <w:tc>
          <w:tcPr>
            <w:tcW w:w="953" w:type="dxa"/>
          </w:tcPr>
          <w:p w14:paraId="6EA390F6" w14:textId="77777777" w:rsidR="009D4A93" w:rsidRPr="00536CFD" w:rsidRDefault="009D4A93" w:rsidP="009D4A93">
            <w:pPr>
              <w:spacing w:after="0"/>
              <w:jc w:val="center"/>
              <w:rPr>
                <w:rFonts w:eastAsia="Times New Roman"/>
                <w:lang w:eastAsia="ja-JP"/>
              </w:rPr>
            </w:pPr>
            <w:r w:rsidRPr="00536CFD">
              <w:t>0.498</w:t>
            </w:r>
          </w:p>
        </w:tc>
        <w:tc>
          <w:tcPr>
            <w:tcW w:w="954" w:type="dxa"/>
          </w:tcPr>
          <w:p w14:paraId="13FD2029" w14:textId="77777777" w:rsidR="009D4A93" w:rsidRPr="00536CFD" w:rsidRDefault="009D4A93" w:rsidP="009D4A93">
            <w:pPr>
              <w:spacing w:after="0"/>
              <w:jc w:val="center"/>
              <w:rPr>
                <w:rFonts w:eastAsia="Times New Roman"/>
                <w:lang w:eastAsia="ja-JP"/>
              </w:rPr>
            </w:pPr>
            <w:r w:rsidRPr="00536CFD">
              <w:t>0.530</w:t>
            </w:r>
          </w:p>
        </w:tc>
        <w:tc>
          <w:tcPr>
            <w:tcW w:w="983" w:type="dxa"/>
          </w:tcPr>
          <w:p w14:paraId="70C782DC" w14:textId="77777777" w:rsidR="009D4A93" w:rsidRPr="00536CFD" w:rsidRDefault="009D4A93" w:rsidP="009D4A93">
            <w:pPr>
              <w:spacing w:after="0"/>
              <w:jc w:val="center"/>
              <w:rPr>
                <w:rFonts w:eastAsia="Times New Roman"/>
                <w:lang w:eastAsia="ja-JP"/>
              </w:rPr>
            </w:pPr>
            <w:r w:rsidRPr="00536CFD">
              <w:t>1.911</w:t>
            </w:r>
          </w:p>
        </w:tc>
        <w:tc>
          <w:tcPr>
            <w:tcW w:w="983" w:type="dxa"/>
          </w:tcPr>
          <w:p w14:paraId="30F41414" w14:textId="77777777" w:rsidR="009D4A93" w:rsidRPr="00536CFD" w:rsidRDefault="009D4A93" w:rsidP="009D4A93">
            <w:pPr>
              <w:spacing w:after="0"/>
              <w:jc w:val="center"/>
              <w:rPr>
                <w:rFonts w:eastAsia="Times New Roman"/>
                <w:lang w:eastAsia="ja-JP"/>
              </w:rPr>
            </w:pPr>
            <w:r w:rsidRPr="00536CFD">
              <w:t>1.108</w:t>
            </w:r>
          </w:p>
        </w:tc>
        <w:tc>
          <w:tcPr>
            <w:tcW w:w="984" w:type="dxa"/>
          </w:tcPr>
          <w:p w14:paraId="1EB31B4F" w14:textId="77777777" w:rsidR="009D4A93" w:rsidRPr="00536CFD" w:rsidRDefault="009D4A93" w:rsidP="009D4A93">
            <w:pPr>
              <w:spacing w:after="0"/>
              <w:jc w:val="center"/>
              <w:rPr>
                <w:rFonts w:eastAsia="Times New Roman"/>
                <w:lang w:eastAsia="ja-JP"/>
              </w:rPr>
            </w:pPr>
            <w:r w:rsidRPr="00536CFD">
              <w:t>1.603</w:t>
            </w:r>
          </w:p>
        </w:tc>
      </w:tr>
      <w:tr w:rsidR="009D4A93" w:rsidRPr="00536CFD" w14:paraId="70395176" w14:textId="77777777" w:rsidTr="009D4A93">
        <w:trPr>
          <w:cantSplit/>
          <w:trHeight w:val="22"/>
        </w:trPr>
        <w:tc>
          <w:tcPr>
            <w:tcW w:w="500" w:type="dxa"/>
            <w:vMerge/>
          </w:tcPr>
          <w:p w14:paraId="147E68B3" w14:textId="77777777" w:rsidR="009D4A93" w:rsidRPr="00536CFD" w:rsidRDefault="009D4A93" w:rsidP="009D4A93">
            <w:pPr>
              <w:spacing w:after="0"/>
              <w:jc w:val="center"/>
              <w:rPr>
                <w:rFonts w:eastAsia="Times New Roman"/>
                <w:lang w:eastAsia="ja-JP"/>
              </w:rPr>
            </w:pPr>
          </w:p>
        </w:tc>
        <w:tc>
          <w:tcPr>
            <w:tcW w:w="505" w:type="dxa"/>
            <w:vMerge/>
          </w:tcPr>
          <w:p w14:paraId="50836043" w14:textId="77777777" w:rsidR="009D4A93" w:rsidRPr="00536CFD" w:rsidRDefault="009D4A93" w:rsidP="009D4A93">
            <w:pPr>
              <w:spacing w:after="0"/>
              <w:jc w:val="center"/>
              <w:rPr>
                <w:rFonts w:eastAsia="Times New Roman"/>
                <w:lang w:eastAsia="ja-JP"/>
              </w:rPr>
            </w:pPr>
          </w:p>
        </w:tc>
        <w:tc>
          <w:tcPr>
            <w:tcW w:w="505" w:type="dxa"/>
          </w:tcPr>
          <w:p w14:paraId="5B10BDE2" w14:textId="77777777" w:rsidR="009D4A93" w:rsidRPr="00536CFD" w:rsidRDefault="009D4A93" w:rsidP="009D4A93">
            <w:pPr>
              <w:spacing w:after="0"/>
              <w:jc w:val="center"/>
              <w:rPr>
                <w:rFonts w:eastAsia="Times New Roman"/>
                <w:lang w:eastAsia="ja-JP"/>
              </w:rPr>
            </w:pPr>
            <w:r w:rsidRPr="00536CFD">
              <w:t>95%</w:t>
            </w:r>
          </w:p>
        </w:tc>
        <w:tc>
          <w:tcPr>
            <w:tcW w:w="858" w:type="dxa"/>
          </w:tcPr>
          <w:p w14:paraId="2C51753F" w14:textId="77777777" w:rsidR="009D4A93" w:rsidRPr="00536CFD" w:rsidRDefault="009D4A93" w:rsidP="009D4A93">
            <w:pPr>
              <w:spacing w:after="0"/>
              <w:jc w:val="center"/>
              <w:rPr>
                <w:rFonts w:eastAsia="Times New Roman"/>
                <w:lang w:eastAsia="ja-JP"/>
              </w:rPr>
            </w:pPr>
            <w:r w:rsidRPr="00536CFD">
              <w:t>0.470</w:t>
            </w:r>
          </w:p>
        </w:tc>
        <w:tc>
          <w:tcPr>
            <w:tcW w:w="858" w:type="dxa"/>
          </w:tcPr>
          <w:p w14:paraId="4C0BCC2D" w14:textId="77777777" w:rsidR="009D4A93" w:rsidRPr="00536CFD" w:rsidRDefault="009D4A93" w:rsidP="009D4A93">
            <w:pPr>
              <w:spacing w:after="0"/>
              <w:jc w:val="center"/>
              <w:rPr>
                <w:rFonts w:eastAsia="Times New Roman"/>
                <w:lang w:eastAsia="ja-JP"/>
              </w:rPr>
            </w:pPr>
            <w:r w:rsidRPr="00536CFD">
              <w:t>0.446</w:t>
            </w:r>
          </w:p>
        </w:tc>
        <w:tc>
          <w:tcPr>
            <w:tcW w:w="880" w:type="dxa"/>
          </w:tcPr>
          <w:p w14:paraId="7BA4AF76" w14:textId="77777777" w:rsidR="009D4A93" w:rsidRPr="00536CFD" w:rsidRDefault="009D4A93" w:rsidP="009D4A93">
            <w:pPr>
              <w:spacing w:after="0"/>
              <w:jc w:val="center"/>
              <w:rPr>
                <w:rFonts w:eastAsia="Times New Roman"/>
                <w:lang w:eastAsia="ja-JP"/>
              </w:rPr>
            </w:pPr>
            <w:r w:rsidRPr="00536CFD">
              <w:t>0.539</w:t>
            </w:r>
          </w:p>
        </w:tc>
        <w:tc>
          <w:tcPr>
            <w:tcW w:w="932" w:type="dxa"/>
          </w:tcPr>
          <w:p w14:paraId="77EC4F41" w14:textId="77777777" w:rsidR="009D4A93" w:rsidRPr="00536CFD" w:rsidRDefault="009D4A93" w:rsidP="009D4A93">
            <w:pPr>
              <w:spacing w:after="0"/>
              <w:jc w:val="center"/>
              <w:rPr>
                <w:rFonts w:eastAsia="Times New Roman"/>
                <w:lang w:eastAsia="ja-JP"/>
              </w:rPr>
            </w:pPr>
            <w:r w:rsidRPr="00536CFD">
              <w:t>4.212</w:t>
            </w:r>
          </w:p>
        </w:tc>
        <w:tc>
          <w:tcPr>
            <w:tcW w:w="953" w:type="dxa"/>
          </w:tcPr>
          <w:p w14:paraId="3FA96786" w14:textId="77777777" w:rsidR="009D4A93" w:rsidRPr="00536CFD" w:rsidRDefault="009D4A93" w:rsidP="009D4A93">
            <w:pPr>
              <w:spacing w:after="0"/>
              <w:jc w:val="center"/>
              <w:rPr>
                <w:rFonts w:eastAsia="Times New Roman"/>
                <w:lang w:eastAsia="ja-JP"/>
              </w:rPr>
            </w:pPr>
            <w:r w:rsidRPr="00536CFD">
              <w:t>1.916</w:t>
            </w:r>
          </w:p>
        </w:tc>
        <w:tc>
          <w:tcPr>
            <w:tcW w:w="954" w:type="dxa"/>
          </w:tcPr>
          <w:p w14:paraId="60F563B5" w14:textId="77777777" w:rsidR="009D4A93" w:rsidRPr="00536CFD" w:rsidRDefault="009D4A93" w:rsidP="009D4A93">
            <w:pPr>
              <w:spacing w:after="0"/>
              <w:jc w:val="center"/>
              <w:rPr>
                <w:rFonts w:eastAsia="Times New Roman"/>
                <w:lang w:eastAsia="ja-JP"/>
              </w:rPr>
            </w:pPr>
            <w:r w:rsidRPr="00536CFD">
              <w:t>2.730</w:t>
            </w:r>
          </w:p>
        </w:tc>
        <w:tc>
          <w:tcPr>
            <w:tcW w:w="983" w:type="dxa"/>
          </w:tcPr>
          <w:p w14:paraId="40FF0366" w14:textId="77777777" w:rsidR="009D4A93" w:rsidRPr="00536CFD" w:rsidRDefault="009D4A93" w:rsidP="009D4A93">
            <w:pPr>
              <w:spacing w:after="0"/>
              <w:jc w:val="center"/>
              <w:rPr>
                <w:rFonts w:eastAsia="Times New Roman"/>
                <w:lang w:eastAsia="ja-JP"/>
              </w:rPr>
            </w:pPr>
            <w:r w:rsidRPr="00536CFD">
              <w:t>7.922</w:t>
            </w:r>
          </w:p>
        </w:tc>
        <w:tc>
          <w:tcPr>
            <w:tcW w:w="983" w:type="dxa"/>
          </w:tcPr>
          <w:p w14:paraId="1232486F" w14:textId="77777777" w:rsidR="009D4A93" w:rsidRPr="00536CFD" w:rsidRDefault="009D4A93" w:rsidP="009D4A93">
            <w:pPr>
              <w:spacing w:after="0"/>
              <w:jc w:val="center"/>
              <w:rPr>
                <w:rFonts w:eastAsia="Times New Roman"/>
                <w:lang w:eastAsia="ja-JP"/>
              </w:rPr>
            </w:pPr>
            <w:r w:rsidRPr="00536CFD">
              <w:t>4.527</w:t>
            </w:r>
          </w:p>
        </w:tc>
        <w:tc>
          <w:tcPr>
            <w:tcW w:w="984" w:type="dxa"/>
          </w:tcPr>
          <w:p w14:paraId="2E117EC7" w14:textId="77777777" w:rsidR="009D4A93" w:rsidRPr="00536CFD" w:rsidRDefault="009D4A93" w:rsidP="009D4A93">
            <w:pPr>
              <w:spacing w:after="0"/>
              <w:jc w:val="center"/>
              <w:rPr>
                <w:rFonts w:eastAsia="Times New Roman"/>
                <w:lang w:eastAsia="ja-JP"/>
              </w:rPr>
            </w:pPr>
            <w:r w:rsidRPr="00536CFD">
              <w:t>7.550</w:t>
            </w:r>
          </w:p>
        </w:tc>
      </w:tr>
      <w:tr w:rsidR="009D4A93" w:rsidRPr="00536CFD" w14:paraId="1B1E36F2" w14:textId="77777777" w:rsidTr="009D4A93">
        <w:trPr>
          <w:cantSplit/>
          <w:trHeight w:val="22"/>
        </w:trPr>
        <w:tc>
          <w:tcPr>
            <w:tcW w:w="500" w:type="dxa"/>
            <w:vMerge/>
          </w:tcPr>
          <w:p w14:paraId="61F70C68" w14:textId="77777777" w:rsidR="009D4A93" w:rsidRPr="00536CFD" w:rsidRDefault="009D4A93" w:rsidP="009D4A93">
            <w:pPr>
              <w:spacing w:after="0"/>
              <w:jc w:val="center"/>
              <w:rPr>
                <w:rFonts w:eastAsia="Times New Roman"/>
                <w:lang w:eastAsia="ja-JP"/>
              </w:rPr>
            </w:pPr>
          </w:p>
        </w:tc>
        <w:tc>
          <w:tcPr>
            <w:tcW w:w="505" w:type="dxa"/>
            <w:vMerge/>
          </w:tcPr>
          <w:p w14:paraId="5DA3EB63" w14:textId="77777777" w:rsidR="009D4A93" w:rsidRPr="00536CFD" w:rsidRDefault="009D4A93" w:rsidP="009D4A93">
            <w:pPr>
              <w:spacing w:after="0"/>
              <w:jc w:val="center"/>
              <w:rPr>
                <w:rFonts w:eastAsia="Times New Roman"/>
                <w:lang w:eastAsia="ja-JP"/>
              </w:rPr>
            </w:pPr>
          </w:p>
        </w:tc>
        <w:tc>
          <w:tcPr>
            <w:tcW w:w="505" w:type="dxa"/>
          </w:tcPr>
          <w:p w14:paraId="748A2D99" w14:textId="77777777" w:rsidR="009D4A93" w:rsidRPr="00536CFD" w:rsidRDefault="009D4A93" w:rsidP="009D4A93">
            <w:pPr>
              <w:spacing w:after="0"/>
              <w:jc w:val="center"/>
              <w:rPr>
                <w:rFonts w:eastAsia="Times New Roman"/>
                <w:lang w:eastAsia="ja-JP"/>
              </w:rPr>
            </w:pPr>
            <w:r w:rsidRPr="00536CFD">
              <w:t>Mean</w:t>
            </w:r>
          </w:p>
        </w:tc>
        <w:tc>
          <w:tcPr>
            <w:tcW w:w="858" w:type="dxa"/>
          </w:tcPr>
          <w:p w14:paraId="7404315A" w14:textId="77777777" w:rsidR="009D4A93" w:rsidRPr="00536CFD" w:rsidRDefault="009D4A93" w:rsidP="009D4A93">
            <w:pPr>
              <w:spacing w:after="0"/>
              <w:jc w:val="center"/>
              <w:rPr>
                <w:rFonts w:eastAsia="Times New Roman"/>
                <w:lang w:eastAsia="ja-JP"/>
              </w:rPr>
            </w:pPr>
            <w:r w:rsidRPr="00536CFD">
              <w:t>0.217</w:t>
            </w:r>
          </w:p>
        </w:tc>
        <w:tc>
          <w:tcPr>
            <w:tcW w:w="858" w:type="dxa"/>
          </w:tcPr>
          <w:p w14:paraId="5FE643C0" w14:textId="77777777" w:rsidR="009D4A93" w:rsidRPr="00536CFD" w:rsidRDefault="009D4A93" w:rsidP="009D4A93">
            <w:pPr>
              <w:spacing w:after="0"/>
              <w:jc w:val="center"/>
              <w:rPr>
                <w:rFonts w:eastAsia="Times New Roman"/>
                <w:lang w:eastAsia="ja-JP"/>
              </w:rPr>
            </w:pPr>
            <w:r w:rsidRPr="00536CFD">
              <w:t>0.212</w:t>
            </w:r>
          </w:p>
        </w:tc>
        <w:tc>
          <w:tcPr>
            <w:tcW w:w="880" w:type="dxa"/>
          </w:tcPr>
          <w:p w14:paraId="1FC218E9" w14:textId="77777777" w:rsidR="009D4A93" w:rsidRPr="00536CFD" w:rsidRDefault="009D4A93" w:rsidP="009D4A93">
            <w:pPr>
              <w:spacing w:after="0"/>
              <w:jc w:val="center"/>
              <w:rPr>
                <w:rFonts w:eastAsia="Times New Roman"/>
                <w:lang w:eastAsia="ja-JP"/>
              </w:rPr>
            </w:pPr>
            <w:r w:rsidRPr="00536CFD">
              <w:t>0.240</w:t>
            </w:r>
          </w:p>
        </w:tc>
        <w:tc>
          <w:tcPr>
            <w:tcW w:w="932" w:type="dxa"/>
          </w:tcPr>
          <w:p w14:paraId="7442554B" w14:textId="77777777" w:rsidR="009D4A93" w:rsidRPr="00536CFD" w:rsidRDefault="009D4A93" w:rsidP="009D4A93">
            <w:pPr>
              <w:spacing w:after="0"/>
              <w:jc w:val="center"/>
              <w:rPr>
                <w:rFonts w:eastAsia="Times New Roman"/>
                <w:lang w:eastAsia="ja-JP"/>
              </w:rPr>
            </w:pPr>
            <w:r w:rsidRPr="00536CFD">
              <w:t>1.856</w:t>
            </w:r>
          </w:p>
        </w:tc>
        <w:tc>
          <w:tcPr>
            <w:tcW w:w="953" w:type="dxa"/>
          </w:tcPr>
          <w:p w14:paraId="2FCF165C" w14:textId="77777777" w:rsidR="009D4A93" w:rsidRPr="00536CFD" w:rsidRDefault="009D4A93" w:rsidP="009D4A93">
            <w:pPr>
              <w:spacing w:after="0"/>
              <w:jc w:val="center"/>
              <w:rPr>
                <w:rFonts w:eastAsia="Times New Roman"/>
                <w:lang w:eastAsia="ja-JP"/>
              </w:rPr>
            </w:pPr>
            <w:r w:rsidRPr="00536CFD">
              <w:t>0.808</w:t>
            </w:r>
          </w:p>
        </w:tc>
        <w:tc>
          <w:tcPr>
            <w:tcW w:w="954" w:type="dxa"/>
          </w:tcPr>
          <w:p w14:paraId="3699817E" w14:textId="77777777" w:rsidR="009D4A93" w:rsidRPr="00536CFD" w:rsidRDefault="009D4A93" w:rsidP="009D4A93">
            <w:pPr>
              <w:spacing w:after="0"/>
              <w:jc w:val="center"/>
              <w:rPr>
                <w:rFonts w:eastAsia="Times New Roman"/>
                <w:lang w:eastAsia="ja-JP"/>
              </w:rPr>
            </w:pPr>
            <w:r w:rsidRPr="00536CFD">
              <w:t>1.037</w:t>
            </w:r>
          </w:p>
        </w:tc>
        <w:tc>
          <w:tcPr>
            <w:tcW w:w="983" w:type="dxa"/>
          </w:tcPr>
          <w:p w14:paraId="3A098FD9" w14:textId="77777777" w:rsidR="009D4A93" w:rsidRPr="00536CFD" w:rsidRDefault="009D4A93" w:rsidP="009D4A93">
            <w:pPr>
              <w:spacing w:after="0"/>
              <w:jc w:val="center"/>
              <w:rPr>
                <w:rFonts w:eastAsia="Times New Roman"/>
                <w:lang w:eastAsia="ja-JP"/>
              </w:rPr>
            </w:pPr>
            <w:r w:rsidRPr="00536CFD">
              <w:t>3.266</w:t>
            </w:r>
          </w:p>
        </w:tc>
        <w:tc>
          <w:tcPr>
            <w:tcW w:w="983" w:type="dxa"/>
          </w:tcPr>
          <w:p w14:paraId="1BE03FD7" w14:textId="77777777" w:rsidR="009D4A93" w:rsidRPr="00536CFD" w:rsidRDefault="009D4A93" w:rsidP="009D4A93">
            <w:pPr>
              <w:spacing w:after="0"/>
              <w:jc w:val="center"/>
              <w:rPr>
                <w:rFonts w:eastAsia="Times New Roman"/>
                <w:lang w:eastAsia="ja-JP"/>
              </w:rPr>
            </w:pPr>
            <w:r w:rsidRPr="00536CFD">
              <w:t>1.937</w:t>
            </w:r>
          </w:p>
        </w:tc>
        <w:tc>
          <w:tcPr>
            <w:tcW w:w="984" w:type="dxa"/>
          </w:tcPr>
          <w:p w14:paraId="04FDE3F1" w14:textId="77777777" w:rsidR="009D4A93" w:rsidRPr="00536CFD" w:rsidRDefault="009D4A93" w:rsidP="009D4A93">
            <w:pPr>
              <w:spacing w:after="0"/>
              <w:jc w:val="center"/>
              <w:rPr>
                <w:rFonts w:eastAsia="Times New Roman"/>
                <w:lang w:eastAsia="ja-JP"/>
              </w:rPr>
            </w:pPr>
            <w:r w:rsidRPr="00536CFD">
              <w:t>2.984</w:t>
            </w:r>
          </w:p>
        </w:tc>
      </w:tr>
      <w:tr w:rsidR="009D4A93" w:rsidRPr="00536CFD" w14:paraId="34B8A6EA" w14:textId="77777777" w:rsidTr="009D4A93">
        <w:trPr>
          <w:cantSplit/>
          <w:trHeight w:val="22"/>
        </w:trPr>
        <w:tc>
          <w:tcPr>
            <w:tcW w:w="500" w:type="dxa"/>
            <w:vMerge/>
          </w:tcPr>
          <w:p w14:paraId="712EA3B3" w14:textId="77777777" w:rsidR="009D4A93" w:rsidRPr="00536CFD" w:rsidRDefault="009D4A93" w:rsidP="009D4A93">
            <w:pPr>
              <w:spacing w:after="0"/>
              <w:jc w:val="center"/>
              <w:rPr>
                <w:rFonts w:eastAsia="Times New Roman"/>
                <w:lang w:eastAsia="ja-JP"/>
              </w:rPr>
            </w:pPr>
          </w:p>
        </w:tc>
        <w:tc>
          <w:tcPr>
            <w:tcW w:w="505" w:type="dxa"/>
            <w:vMerge w:val="restart"/>
          </w:tcPr>
          <w:p w14:paraId="254AF64D" w14:textId="77777777" w:rsidR="009D4A93" w:rsidRPr="00536CFD" w:rsidRDefault="009D4A93" w:rsidP="009D4A93">
            <w:pPr>
              <w:spacing w:after="0"/>
              <w:jc w:val="center"/>
            </w:pPr>
            <w:r w:rsidRPr="00536CFD">
              <w:t>UL:</w:t>
            </w:r>
          </w:p>
          <w:p w14:paraId="47D7AD95" w14:textId="77777777" w:rsidR="009D4A93" w:rsidRPr="00536CFD" w:rsidRDefault="009D4A93" w:rsidP="009D4A93">
            <w:pPr>
              <w:spacing w:after="0"/>
              <w:jc w:val="center"/>
            </w:pPr>
            <w:r w:rsidRPr="00536CFD">
              <w:t>UPT CDF</w:t>
            </w:r>
          </w:p>
          <w:p w14:paraId="382AFD27" w14:textId="77777777" w:rsidR="009D4A93" w:rsidRPr="00536CFD" w:rsidRDefault="009D4A93" w:rsidP="009D4A93">
            <w:pPr>
              <w:spacing w:after="0"/>
              <w:jc w:val="center"/>
              <w:rPr>
                <w:rFonts w:eastAsia="Times New Roman"/>
                <w:lang w:eastAsia="ja-JP"/>
              </w:rPr>
            </w:pPr>
            <w:r w:rsidRPr="00536CFD">
              <w:t>[Mbps]</w:t>
            </w:r>
          </w:p>
        </w:tc>
        <w:tc>
          <w:tcPr>
            <w:tcW w:w="505" w:type="dxa"/>
          </w:tcPr>
          <w:p w14:paraId="643E9AB5" w14:textId="77777777" w:rsidR="009D4A93" w:rsidRPr="00536CFD" w:rsidRDefault="009D4A93" w:rsidP="009D4A93">
            <w:pPr>
              <w:spacing w:after="0"/>
              <w:jc w:val="center"/>
              <w:rPr>
                <w:rFonts w:eastAsia="Times New Roman"/>
                <w:lang w:eastAsia="ja-JP"/>
              </w:rPr>
            </w:pPr>
            <w:r w:rsidRPr="00536CFD">
              <w:t>5%</w:t>
            </w:r>
          </w:p>
        </w:tc>
        <w:tc>
          <w:tcPr>
            <w:tcW w:w="858" w:type="dxa"/>
          </w:tcPr>
          <w:p w14:paraId="50C1EDEA" w14:textId="77777777" w:rsidR="009D4A93" w:rsidRPr="00536CFD" w:rsidRDefault="009D4A93" w:rsidP="009D4A93">
            <w:pPr>
              <w:spacing w:after="0"/>
              <w:jc w:val="center"/>
              <w:rPr>
                <w:rFonts w:eastAsia="Times New Roman"/>
                <w:lang w:eastAsia="ja-JP"/>
              </w:rPr>
            </w:pPr>
            <w:r w:rsidRPr="00536CFD">
              <w:t>35.65</w:t>
            </w:r>
          </w:p>
        </w:tc>
        <w:tc>
          <w:tcPr>
            <w:tcW w:w="858" w:type="dxa"/>
          </w:tcPr>
          <w:p w14:paraId="3AD113E2" w14:textId="77777777" w:rsidR="009D4A93" w:rsidRPr="00536CFD" w:rsidRDefault="009D4A93" w:rsidP="009D4A93">
            <w:pPr>
              <w:spacing w:after="0"/>
              <w:jc w:val="center"/>
              <w:rPr>
                <w:rFonts w:eastAsia="Times New Roman"/>
                <w:lang w:eastAsia="ja-JP"/>
              </w:rPr>
            </w:pPr>
            <w:r w:rsidRPr="00536CFD">
              <w:t>39.05</w:t>
            </w:r>
          </w:p>
        </w:tc>
        <w:tc>
          <w:tcPr>
            <w:tcW w:w="880" w:type="dxa"/>
          </w:tcPr>
          <w:p w14:paraId="01F491D5" w14:textId="77777777" w:rsidR="009D4A93" w:rsidRPr="00536CFD" w:rsidRDefault="009D4A93" w:rsidP="009D4A93">
            <w:pPr>
              <w:spacing w:after="0"/>
              <w:jc w:val="center"/>
              <w:rPr>
                <w:rFonts w:eastAsia="Times New Roman"/>
                <w:lang w:eastAsia="ja-JP"/>
              </w:rPr>
            </w:pPr>
            <w:r w:rsidRPr="00536CFD">
              <w:t>38.10</w:t>
            </w:r>
          </w:p>
        </w:tc>
        <w:tc>
          <w:tcPr>
            <w:tcW w:w="932" w:type="dxa"/>
          </w:tcPr>
          <w:p w14:paraId="1E8B4BDB" w14:textId="77777777" w:rsidR="009D4A93" w:rsidRPr="00536CFD" w:rsidRDefault="009D4A93" w:rsidP="009D4A93">
            <w:pPr>
              <w:spacing w:after="0"/>
              <w:jc w:val="center"/>
              <w:rPr>
                <w:rFonts w:eastAsia="Times New Roman"/>
                <w:lang w:eastAsia="ja-JP"/>
              </w:rPr>
            </w:pPr>
            <w:r w:rsidRPr="00536CFD">
              <w:t>18.70</w:t>
            </w:r>
          </w:p>
        </w:tc>
        <w:tc>
          <w:tcPr>
            <w:tcW w:w="953" w:type="dxa"/>
          </w:tcPr>
          <w:p w14:paraId="60E9E23B" w14:textId="77777777" w:rsidR="009D4A93" w:rsidRPr="00536CFD" w:rsidRDefault="009D4A93" w:rsidP="009D4A93">
            <w:pPr>
              <w:spacing w:after="0"/>
              <w:jc w:val="center"/>
              <w:rPr>
                <w:rFonts w:eastAsia="Times New Roman"/>
                <w:lang w:eastAsia="ja-JP"/>
              </w:rPr>
            </w:pPr>
            <w:r w:rsidRPr="00536CFD">
              <w:t>25.76</w:t>
            </w:r>
          </w:p>
        </w:tc>
        <w:tc>
          <w:tcPr>
            <w:tcW w:w="954" w:type="dxa"/>
          </w:tcPr>
          <w:p w14:paraId="0798E1D4" w14:textId="77777777" w:rsidR="009D4A93" w:rsidRPr="00536CFD" w:rsidRDefault="009D4A93" w:rsidP="009D4A93">
            <w:pPr>
              <w:spacing w:after="0"/>
              <w:jc w:val="center"/>
              <w:rPr>
                <w:rFonts w:eastAsia="Times New Roman"/>
                <w:lang w:eastAsia="ja-JP"/>
              </w:rPr>
            </w:pPr>
            <w:r w:rsidRPr="00536CFD">
              <w:t>23.10</w:t>
            </w:r>
          </w:p>
        </w:tc>
        <w:tc>
          <w:tcPr>
            <w:tcW w:w="983" w:type="dxa"/>
          </w:tcPr>
          <w:p w14:paraId="0F1C472E" w14:textId="77777777" w:rsidR="009D4A93" w:rsidRPr="00536CFD" w:rsidRDefault="009D4A93" w:rsidP="009D4A93">
            <w:pPr>
              <w:spacing w:after="0"/>
              <w:jc w:val="center"/>
              <w:rPr>
                <w:rFonts w:eastAsia="Times New Roman"/>
                <w:lang w:eastAsia="ja-JP"/>
              </w:rPr>
            </w:pPr>
            <w:r w:rsidRPr="00536CFD">
              <w:t>6.29</w:t>
            </w:r>
          </w:p>
        </w:tc>
        <w:tc>
          <w:tcPr>
            <w:tcW w:w="983" w:type="dxa"/>
          </w:tcPr>
          <w:p w14:paraId="4AE355ED" w14:textId="77777777" w:rsidR="009D4A93" w:rsidRPr="00536CFD" w:rsidRDefault="009D4A93" w:rsidP="009D4A93">
            <w:pPr>
              <w:spacing w:after="0"/>
              <w:jc w:val="center"/>
              <w:rPr>
                <w:rFonts w:eastAsia="Times New Roman"/>
                <w:lang w:eastAsia="ja-JP"/>
              </w:rPr>
            </w:pPr>
            <w:r w:rsidRPr="00536CFD">
              <w:t>10.84</w:t>
            </w:r>
          </w:p>
        </w:tc>
        <w:tc>
          <w:tcPr>
            <w:tcW w:w="984" w:type="dxa"/>
          </w:tcPr>
          <w:p w14:paraId="0E643101" w14:textId="77777777" w:rsidR="009D4A93" w:rsidRPr="00536CFD" w:rsidRDefault="009D4A93" w:rsidP="009D4A93">
            <w:pPr>
              <w:spacing w:after="0"/>
              <w:jc w:val="center"/>
              <w:rPr>
                <w:rFonts w:eastAsia="Times New Roman"/>
                <w:lang w:eastAsia="ja-JP"/>
              </w:rPr>
            </w:pPr>
            <w:r w:rsidRPr="00536CFD">
              <w:t>6.79</w:t>
            </w:r>
          </w:p>
        </w:tc>
      </w:tr>
      <w:tr w:rsidR="009D4A93" w:rsidRPr="00536CFD" w14:paraId="64697D44" w14:textId="77777777" w:rsidTr="009D4A93">
        <w:trPr>
          <w:cantSplit/>
          <w:trHeight w:val="22"/>
        </w:trPr>
        <w:tc>
          <w:tcPr>
            <w:tcW w:w="500" w:type="dxa"/>
            <w:vMerge/>
          </w:tcPr>
          <w:p w14:paraId="2AE837A6" w14:textId="77777777" w:rsidR="009D4A93" w:rsidRPr="00536CFD" w:rsidRDefault="009D4A93" w:rsidP="009D4A93">
            <w:pPr>
              <w:spacing w:after="0"/>
              <w:jc w:val="center"/>
              <w:rPr>
                <w:rFonts w:eastAsia="Times New Roman"/>
                <w:lang w:eastAsia="ja-JP"/>
              </w:rPr>
            </w:pPr>
          </w:p>
        </w:tc>
        <w:tc>
          <w:tcPr>
            <w:tcW w:w="505" w:type="dxa"/>
            <w:vMerge/>
          </w:tcPr>
          <w:p w14:paraId="29ABB093" w14:textId="77777777" w:rsidR="009D4A93" w:rsidRPr="00536CFD" w:rsidRDefault="009D4A93" w:rsidP="009D4A93">
            <w:pPr>
              <w:spacing w:after="0"/>
              <w:jc w:val="center"/>
              <w:rPr>
                <w:rFonts w:eastAsia="Times New Roman"/>
                <w:lang w:eastAsia="ja-JP"/>
              </w:rPr>
            </w:pPr>
          </w:p>
        </w:tc>
        <w:tc>
          <w:tcPr>
            <w:tcW w:w="505" w:type="dxa"/>
          </w:tcPr>
          <w:p w14:paraId="3AA1C601" w14:textId="77777777" w:rsidR="009D4A93" w:rsidRPr="00536CFD" w:rsidRDefault="009D4A93" w:rsidP="009D4A93">
            <w:pPr>
              <w:spacing w:after="0"/>
              <w:jc w:val="center"/>
              <w:rPr>
                <w:rFonts w:eastAsia="Times New Roman"/>
                <w:lang w:eastAsia="ja-JP"/>
              </w:rPr>
            </w:pPr>
            <w:r w:rsidRPr="00536CFD">
              <w:t>50%</w:t>
            </w:r>
          </w:p>
        </w:tc>
        <w:tc>
          <w:tcPr>
            <w:tcW w:w="858" w:type="dxa"/>
          </w:tcPr>
          <w:p w14:paraId="6B35DC98" w14:textId="77777777" w:rsidR="009D4A93" w:rsidRPr="00536CFD" w:rsidRDefault="009D4A93" w:rsidP="009D4A93">
            <w:pPr>
              <w:spacing w:after="0"/>
              <w:jc w:val="center"/>
              <w:rPr>
                <w:rFonts w:eastAsia="Times New Roman"/>
                <w:lang w:eastAsia="ja-JP"/>
              </w:rPr>
            </w:pPr>
            <w:r w:rsidRPr="00536CFD">
              <w:t>70.55</w:t>
            </w:r>
          </w:p>
        </w:tc>
        <w:tc>
          <w:tcPr>
            <w:tcW w:w="858" w:type="dxa"/>
          </w:tcPr>
          <w:p w14:paraId="0C5C90F5" w14:textId="77777777" w:rsidR="009D4A93" w:rsidRPr="00536CFD" w:rsidRDefault="009D4A93" w:rsidP="009D4A93">
            <w:pPr>
              <w:spacing w:after="0"/>
              <w:jc w:val="center"/>
              <w:rPr>
                <w:rFonts w:eastAsia="Times New Roman"/>
                <w:lang w:eastAsia="ja-JP"/>
              </w:rPr>
            </w:pPr>
            <w:r w:rsidRPr="00536CFD">
              <w:t>73.56</w:t>
            </w:r>
          </w:p>
        </w:tc>
        <w:tc>
          <w:tcPr>
            <w:tcW w:w="880" w:type="dxa"/>
          </w:tcPr>
          <w:p w14:paraId="5631C378" w14:textId="77777777" w:rsidR="009D4A93" w:rsidRPr="00536CFD" w:rsidRDefault="009D4A93" w:rsidP="009D4A93">
            <w:pPr>
              <w:spacing w:after="0"/>
              <w:jc w:val="center"/>
              <w:rPr>
                <w:rFonts w:eastAsia="Times New Roman"/>
                <w:lang w:eastAsia="ja-JP"/>
              </w:rPr>
            </w:pPr>
            <w:r w:rsidRPr="00536CFD">
              <w:t>73.38</w:t>
            </w:r>
          </w:p>
        </w:tc>
        <w:tc>
          <w:tcPr>
            <w:tcW w:w="932" w:type="dxa"/>
          </w:tcPr>
          <w:p w14:paraId="4E24C2D6" w14:textId="77777777" w:rsidR="009D4A93" w:rsidRPr="00536CFD" w:rsidRDefault="009D4A93" w:rsidP="009D4A93">
            <w:pPr>
              <w:spacing w:after="0"/>
              <w:jc w:val="center"/>
              <w:rPr>
                <w:rFonts w:eastAsia="Times New Roman"/>
                <w:lang w:eastAsia="ja-JP"/>
              </w:rPr>
            </w:pPr>
            <w:r w:rsidRPr="00536CFD">
              <w:t>41.95</w:t>
            </w:r>
          </w:p>
        </w:tc>
        <w:tc>
          <w:tcPr>
            <w:tcW w:w="953" w:type="dxa"/>
          </w:tcPr>
          <w:p w14:paraId="73536953" w14:textId="77777777" w:rsidR="009D4A93" w:rsidRPr="00536CFD" w:rsidRDefault="009D4A93" w:rsidP="009D4A93">
            <w:pPr>
              <w:spacing w:after="0"/>
              <w:jc w:val="center"/>
              <w:rPr>
                <w:rFonts w:eastAsia="Times New Roman"/>
                <w:lang w:eastAsia="ja-JP"/>
              </w:rPr>
            </w:pPr>
            <w:r w:rsidRPr="00536CFD">
              <w:t>52.63</w:t>
            </w:r>
          </w:p>
        </w:tc>
        <w:tc>
          <w:tcPr>
            <w:tcW w:w="954" w:type="dxa"/>
          </w:tcPr>
          <w:p w14:paraId="61FC9055" w14:textId="77777777" w:rsidR="009D4A93" w:rsidRPr="00536CFD" w:rsidRDefault="009D4A93" w:rsidP="009D4A93">
            <w:pPr>
              <w:spacing w:after="0"/>
              <w:jc w:val="center"/>
              <w:rPr>
                <w:rFonts w:eastAsia="Times New Roman"/>
                <w:lang w:eastAsia="ja-JP"/>
              </w:rPr>
            </w:pPr>
            <w:r w:rsidRPr="00536CFD">
              <w:t>50.44</w:t>
            </w:r>
          </w:p>
        </w:tc>
        <w:tc>
          <w:tcPr>
            <w:tcW w:w="983" w:type="dxa"/>
          </w:tcPr>
          <w:p w14:paraId="3139FE66" w14:textId="77777777" w:rsidR="009D4A93" w:rsidRPr="00536CFD" w:rsidRDefault="009D4A93" w:rsidP="009D4A93">
            <w:pPr>
              <w:spacing w:after="0"/>
              <w:jc w:val="center"/>
              <w:rPr>
                <w:rFonts w:eastAsia="Times New Roman"/>
                <w:lang w:eastAsia="ja-JP"/>
              </w:rPr>
            </w:pPr>
            <w:r w:rsidRPr="00536CFD">
              <w:t>16.86</w:t>
            </w:r>
          </w:p>
        </w:tc>
        <w:tc>
          <w:tcPr>
            <w:tcW w:w="983" w:type="dxa"/>
          </w:tcPr>
          <w:p w14:paraId="18E149A7" w14:textId="77777777" w:rsidR="009D4A93" w:rsidRPr="00536CFD" w:rsidRDefault="009D4A93" w:rsidP="009D4A93">
            <w:pPr>
              <w:spacing w:after="0"/>
              <w:jc w:val="center"/>
              <w:rPr>
                <w:rFonts w:eastAsia="Times New Roman"/>
                <w:lang w:eastAsia="ja-JP"/>
              </w:rPr>
            </w:pPr>
            <w:r w:rsidRPr="00536CFD">
              <w:t>27.90</w:t>
            </w:r>
          </w:p>
        </w:tc>
        <w:tc>
          <w:tcPr>
            <w:tcW w:w="984" w:type="dxa"/>
          </w:tcPr>
          <w:p w14:paraId="15D340CC" w14:textId="77777777" w:rsidR="009D4A93" w:rsidRPr="00536CFD" w:rsidRDefault="009D4A93" w:rsidP="009D4A93">
            <w:pPr>
              <w:spacing w:after="0"/>
              <w:jc w:val="center"/>
              <w:rPr>
                <w:rFonts w:eastAsia="Times New Roman"/>
                <w:lang w:eastAsia="ja-JP"/>
              </w:rPr>
            </w:pPr>
            <w:r w:rsidRPr="00536CFD">
              <w:t>20.41</w:t>
            </w:r>
          </w:p>
        </w:tc>
      </w:tr>
      <w:tr w:rsidR="009D4A93" w:rsidRPr="00536CFD" w14:paraId="0CA808DC" w14:textId="77777777" w:rsidTr="009D4A93">
        <w:trPr>
          <w:cantSplit/>
          <w:trHeight w:val="22"/>
        </w:trPr>
        <w:tc>
          <w:tcPr>
            <w:tcW w:w="500" w:type="dxa"/>
            <w:vMerge/>
          </w:tcPr>
          <w:p w14:paraId="3DF78B85" w14:textId="77777777" w:rsidR="009D4A93" w:rsidRPr="00536CFD" w:rsidRDefault="009D4A93" w:rsidP="009D4A93">
            <w:pPr>
              <w:spacing w:after="0"/>
              <w:jc w:val="center"/>
              <w:rPr>
                <w:rFonts w:eastAsia="Times New Roman"/>
                <w:lang w:eastAsia="ja-JP"/>
              </w:rPr>
            </w:pPr>
          </w:p>
        </w:tc>
        <w:tc>
          <w:tcPr>
            <w:tcW w:w="505" w:type="dxa"/>
            <w:vMerge/>
          </w:tcPr>
          <w:p w14:paraId="5CB043C8" w14:textId="77777777" w:rsidR="009D4A93" w:rsidRPr="00536CFD" w:rsidRDefault="009D4A93" w:rsidP="009D4A93">
            <w:pPr>
              <w:spacing w:after="0"/>
              <w:jc w:val="center"/>
              <w:rPr>
                <w:rFonts w:eastAsia="Times New Roman"/>
                <w:lang w:eastAsia="ja-JP"/>
              </w:rPr>
            </w:pPr>
          </w:p>
        </w:tc>
        <w:tc>
          <w:tcPr>
            <w:tcW w:w="505" w:type="dxa"/>
          </w:tcPr>
          <w:p w14:paraId="71254105" w14:textId="77777777" w:rsidR="009D4A93" w:rsidRPr="00536CFD" w:rsidRDefault="009D4A93" w:rsidP="009D4A93">
            <w:pPr>
              <w:spacing w:after="0"/>
              <w:jc w:val="center"/>
              <w:rPr>
                <w:rFonts w:eastAsia="Times New Roman"/>
                <w:lang w:eastAsia="ja-JP"/>
              </w:rPr>
            </w:pPr>
            <w:r w:rsidRPr="00536CFD">
              <w:t>95%</w:t>
            </w:r>
          </w:p>
        </w:tc>
        <w:tc>
          <w:tcPr>
            <w:tcW w:w="858" w:type="dxa"/>
          </w:tcPr>
          <w:p w14:paraId="3D3C5633" w14:textId="77777777" w:rsidR="009D4A93" w:rsidRPr="00536CFD" w:rsidRDefault="009D4A93" w:rsidP="009D4A93">
            <w:pPr>
              <w:spacing w:after="0"/>
              <w:jc w:val="center"/>
              <w:rPr>
                <w:rFonts w:eastAsia="Times New Roman"/>
                <w:lang w:eastAsia="ja-JP"/>
              </w:rPr>
            </w:pPr>
            <w:r w:rsidRPr="00536CFD">
              <w:t>92.92</w:t>
            </w:r>
          </w:p>
        </w:tc>
        <w:tc>
          <w:tcPr>
            <w:tcW w:w="858" w:type="dxa"/>
          </w:tcPr>
          <w:p w14:paraId="4EC3C642" w14:textId="77777777" w:rsidR="009D4A93" w:rsidRPr="00536CFD" w:rsidRDefault="009D4A93" w:rsidP="009D4A93">
            <w:pPr>
              <w:spacing w:after="0"/>
              <w:jc w:val="center"/>
              <w:rPr>
                <w:rFonts w:eastAsia="Times New Roman"/>
                <w:lang w:eastAsia="ja-JP"/>
              </w:rPr>
            </w:pPr>
            <w:r w:rsidRPr="00536CFD">
              <w:t>93.58</w:t>
            </w:r>
          </w:p>
        </w:tc>
        <w:tc>
          <w:tcPr>
            <w:tcW w:w="880" w:type="dxa"/>
          </w:tcPr>
          <w:p w14:paraId="4799A2C0" w14:textId="77777777" w:rsidR="009D4A93" w:rsidRPr="00536CFD" w:rsidRDefault="009D4A93" w:rsidP="009D4A93">
            <w:pPr>
              <w:spacing w:after="0"/>
              <w:jc w:val="center"/>
              <w:rPr>
                <w:rFonts w:eastAsia="Times New Roman"/>
                <w:lang w:eastAsia="ja-JP"/>
              </w:rPr>
            </w:pPr>
            <w:r w:rsidRPr="00536CFD">
              <w:t>93.04</w:t>
            </w:r>
          </w:p>
        </w:tc>
        <w:tc>
          <w:tcPr>
            <w:tcW w:w="932" w:type="dxa"/>
          </w:tcPr>
          <w:p w14:paraId="6C05723E" w14:textId="77777777" w:rsidR="009D4A93" w:rsidRPr="00536CFD" w:rsidRDefault="009D4A93" w:rsidP="009D4A93">
            <w:pPr>
              <w:spacing w:after="0"/>
              <w:jc w:val="center"/>
              <w:rPr>
                <w:rFonts w:eastAsia="Times New Roman"/>
                <w:lang w:eastAsia="ja-JP"/>
              </w:rPr>
            </w:pPr>
            <w:r w:rsidRPr="00536CFD">
              <w:t>65.06</w:t>
            </w:r>
          </w:p>
        </w:tc>
        <w:tc>
          <w:tcPr>
            <w:tcW w:w="953" w:type="dxa"/>
          </w:tcPr>
          <w:p w14:paraId="27FCB434" w14:textId="77777777" w:rsidR="009D4A93" w:rsidRPr="00536CFD" w:rsidRDefault="009D4A93" w:rsidP="009D4A93">
            <w:pPr>
              <w:spacing w:after="0"/>
              <w:jc w:val="center"/>
              <w:rPr>
                <w:rFonts w:eastAsia="Times New Roman"/>
                <w:lang w:eastAsia="ja-JP"/>
              </w:rPr>
            </w:pPr>
            <w:r w:rsidRPr="00536CFD">
              <w:t>74.67</w:t>
            </w:r>
          </w:p>
        </w:tc>
        <w:tc>
          <w:tcPr>
            <w:tcW w:w="954" w:type="dxa"/>
          </w:tcPr>
          <w:p w14:paraId="2499F626" w14:textId="77777777" w:rsidR="009D4A93" w:rsidRPr="00536CFD" w:rsidRDefault="009D4A93" w:rsidP="009D4A93">
            <w:pPr>
              <w:spacing w:after="0"/>
              <w:jc w:val="center"/>
              <w:rPr>
                <w:rFonts w:eastAsia="Times New Roman"/>
                <w:lang w:eastAsia="ja-JP"/>
              </w:rPr>
            </w:pPr>
            <w:r w:rsidRPr="00536CFD">
              <w:t>73.10</w:t>
            </w:r>
          </w:p>
        </w:tc>
        <w:tc>
          <w:tcPr>
            <w:tcW w:w="983" w:type="dxa"/>
          </w:tcPr>
          <w:p w14:paraId="4184DFAE" w14:textId="77777777" w:rsidR="009D4A93" w:rsidRPr="00536CFD" w:rsidRDefault="009D4A93" w:rsidP="009D4A93">
            <w:pPr>
              <w:spacing w:after="0"/>
              <w:jc w:val="center"/>
              <w:rPr>
                <w:rFonts w:eastAsia="Times New Roman"/>
                <w:lang w:eastAsia="ja-JP"/>
              </w:rPr>
            </w:pPr>
            <w:r w:rsidRPr="00536CFD">
              <w:t>34.89</w:t>
            </w:r>
          </w:p>
        </w:tc>
        <w:tc>
          <w:tcPr>
            <w:tcW w:w="983" w:type="dxa"/>
          </w:tcPr>
          <w:p w14:paraId="2185E1D1" w14:textId="77777777" w:rsidR="009D4A93" w:rsidRPr="00536CFD" w:rsidRDefault="009D4A93" w:rsidP="009D4A93">
            <w:pPr>
              <w:spacing w:after="0"/>
              <w:jc w:val="center"/>
              <w:rPr>
                <w:rFonts w:eastAsia="Times New Roman"/>
                <w:lang w:eastAsia="ja-JP"/>
              </w:rPr>
            </w:pPr>
            <w:r w:rsidRPr="00536CFD">
              <w:t>49.33</w:t>
            </w:r>
          </w:p>
        </w:tc>
        <w:tc>
          <w:tcPr>
            <w:tcW w:w="984" w:type="dxa"/>
          </w:tcPr>
          <w:p w14:paraId="2834CCF8" w14:textId="77777777" w:rsidR="009D4A93" w:rsidRPr="00536CFD" w:rsidRDefault="009D4A93" w:rsidP="009D4A93">
            <w:pPr>
              <w:spacing w:after="0"/>
              <w:jc w:val="center"/>
              <w:rPr>
                <w:rFonts w:eastAsia="Times New Roman"/>
                <w:lang w:eastAsia="ja-JP"/>
              </w:rPr>
            </w:pPr>
            <w:r w:rsidRPr="00536CFD">
              <w:t>38.99</w:t>
            </w:r>
          </w:p>
        </w:tc>
      </w:tr>
      <w:tr w:rsidR="009D4A93" w:rsidRPr="00536CFD" w14:paraId="41DA693D" w14:textId="77777777" w:rsidTr="009D4A93">
        <w:trPr>
          <w:cantSplit/>
          <w:trHeight w:val="22"/>
        </w:trPr>
        <w:tc>
          <w:tcPr>
            <w:tcW w:w="500" w:type="dxa"/>
            <w:vMerge/>
          </w:tcPr>
          <w:p w14:paraId="25688D55" w14:textId="77777777" w:rsidR="009D4A93" w:rsidRPr="00536CFD" w:rsidRDefault="009D4A93" w:rsidP="009D4A93">
            <w:pPr>
              <w:spacing w:after="0"/>
              <w:jc w:val="center"/>
              <w:rPr>
                <w:rFonts w:eastAsia="Times New Roman"/>
                <w:lang w:eastAsia="ja-JP"/>
              </w:rPr>
            </w:pPr>
          </w:p>
        </w:tc>
        <w:tc>
          <w:tcPr>
            <w:tcW w:w="505" w:type="dxa"/>
            <w:vMerge/>
          </w:tcPr>
          <w:p w14:paraId="3702AC34" w14:textId="77777777" w:rsidR="009D4A93" w:rsidRPr="00536CFD" w:rsidRDefault="009D4A93" w:rsidP="009D4A93">
            <w:pPr>
              <w:spacing w:after="0"/>
              <w:jc w:val="center"/>
              <w:rPr>
                <w:rFonts w:eastAsia="Times New Roman"/>
                <w:lang w:eastAsia="ja-JP"/>
              </w:rPr>
            </w:pPr>
          </w:p>
        </w:tc>
        <w:tc>
          <w:tcPr>
            <w:tcW w:w="505" w:type="dxa"/>
          </w:tcPr>
          <w:p w14:paraId="7C9514D0" w14:textId="77777777" w:rsidR="009D4A93" w:rsidRPr="00536CFD" w:rsidRDefault="009D4A93" w:rsidP="009D4A93">
            <w:pPr>
              <w:spacing w:after="0"/>
              <w:jc w:val="center"/>
              <w:rPr>
                <w:rFonts w:eastAsia="Times New Roman"/>
                <w:lang w:eastAsia="ja-JP"/>
              </w:rPr>
            </w:pPr>
            <w:r w:rsidRPr="00536CFD">
              <w:t>Mean</w:t>
            </w:r>
          </w:p>
        </w:tc>
        <w:tc>
          <w:tcPr>
            <w:tcW w:w="858" w:type="dxa"/>
          </w:tcPr>
          <w:p w14:paraId="7E4C6C2A" w14:textId="77777777" w:rsidR="009D4A93" w:rsidRPr="00536CFD" w:rsidRDefault="009D4A93" w:rsidP="009D4A93">
            <w:pPr>
              <w:spacing w:after="0"/>
              <w:jc w:val="center"/>
              <w:rPr>
                <w:rFonts w:eastAsia="Times New Roman"/>
                <w:lang w:eastAsia="ja-JP"/>
              </w:rPr>
            </w:pPr>
            <w:r w:rsidRPr="00536CFD">
              <w:t>71.61</w:t>
            </w:r>
          </w:p>
        </w:tc>
        <w:tc>
          <w:tcPr>
            <w:tcW w:w="858" w:type="dxa"/>
          </w:tcPr>
          <w:p w14:paraId="54DE8A28" w14:textId="77777777" w:rsidR="009D4A93" w:rsidRPr="00536CFD" w:rsidRDefault="009D4A93" w:rsidP="009D4A93">
            <w:pPr>
              <w:spacing w:after="0"/>
              <w:jc w:val="center"/>
              <w:rPr>
                <w:rFonts w:eastAsia="Times New Roman"/>
                <w:lang w:eastAsia="ja-JP"/>
              </w:rPr>
            </w:pPr>
            <w:r w:rsidRPr="00536CFD">
              <w:t>73.82</w:t>
            </w:r>
          </w:p>
        </w:tc>
        <w:tc>
          <w:tcPr>
            <w:tcW w:w="880" w:type="dxa"/>
          </w:tcPr>
          <w:p w14:paraId="786706F5" w14:textId="77777777" w:rsidR="009D4A93" w:rsidRPr="00536CFD" w:rsidRDefault="009D4A93" w:rsidP="009D4A93">
            <w:pPr>
              <w:spacing w:after="0"/>
              <w:jc w:val="center"/>
              <w:rPr>
                <w:rFonts w:eastAsia="Times New Roman"/>
                <w:lang w:eastAsia="ja-JP"/>
              </w:rPr>
            </w:pPr>
            <w:r w:rsidRPr="00536CFD">
              <w:t>73.83</w:t>
            </w:r>
          </w:p>
        </w:tc>
        <w:tc>
          <w:tcPr>
            <w:tcW w:w="932" w:type="dxa"/>
          </w:tcPr>
          <w:p w14:paraId="2382CA75" w14:textId="77777777" w:rsidR="009D4A93" w:rsidRPr="00536CFD" w:rsidRDefault="009D4A93" w:rsidP="009D4A93">
            <w:pPr>
              <w:spacing w:after="0"/>
              <w:jc w:val="center"/>
              <w:rPr>
                <w:rFonts w:eastAsia="Times New Roman"/>
                <w:lang w:eastAsia="ja-JP"/>
              </w:rPr>
            </w:pPr>
            <w:r w:rsidRPr="00536CFD">
              <w:t>44.69</w:t>
            </w:r>
          </w:p>
        </w:tc>
        <w:tc>
          <w:tcPr>
            <w:tcW w:w="953" w:type="dxa"/>
          </w:tcPr>
          <w:p w14:paraId="6B9DC23E" w14:textId="77777777" w:rsidR="009D4A93" w:rsidRPr="00536CFD" w:rsidRDefault="009D4A93" w:rsidP="009D4A93">
            <w:pPr>
              <w:spacing w:after="0"/>
              <w:jc w:val="center"/>
              <w:rPr>
                <w:rFonts w:eastAsia="Times New Roman"/>
                <w:lang w:eastAsia="ja-JP"/>
              </w:rPr>
            </w:pPr>
            <w:r w:rsidRPr="00536CFD">
              <w:t>54.88</w:t>
            </w:r>
          </w:p>
        </w:tc>
        <w:tc>
          <w:tcPr>
            <w:tcW w:w="954" w:type="dxa"/>
          </w:tcPr>
          <w:p w14:paraId="1E31B944" w14:textId="77777777" w:rsidR="009D4A93" w:rsidRPr="00536CFD" w:rsidRDefault="009D4A93" w:rsidP="009D4A93">
            <w:pPr>
              <w:spacing w:after="0"/>
              <w:jc w:val="center"/>
              <w:rPr>
                <w:rFonts w:eastAsia="Times New Roman"/>
                <w:lang w:eastAsia="ja-JP"/>
              </w:rPr>
            </w:pPr>
            <w:r w:rsidRPr="00536CFD">
              <w:t>52.85</w:t>
            </w:r>
          </w:p>
        </w:tc>
        <w:tc>
          <w:tcPr>
            <w:tcW w:w="983" w:type="dxa"/>
          </w:tcPr>
          <w:p w14:paraId="749D192D" w14:textId="77777777" w:rsidR="009D4A93" w:rsidRPr="00536CFD" w:rsidRDefault="009D4A93" w:rsidP="009D4A93">
            <w:pPr>
              <w:spacing w:after="0"/>
              <w:jc w:val="center"/>
              <w:rPr>
                <w:rFonts w:eastAsia="Times New Roman"/>
                <w:lang w:eastAsia="ja-JP"/>
              </w:rPr>
            </w:pPr>
            <w:r w:rsidRPr="00536CFD">
              <w:t>20.37</w:t>
            </w:r>
          </w:p>
        </w:tc>
        <w:tc>
          <w:tcPr>
            <w:tcW w:w="983" w:type="dxa"/>
          </w:tcPr>
          <w:p w14:paraId="49DBCB62" w14:textId="77777777" w:rsidR="009D4A93" w:rsidRPr="00536CFD" w:rsidRDefault="009D4A93" w:rsidP="009D4A93">
            <w:pPr>
              <w:spacing w:after="0"/>
              <w:jc w:val="center"/>
              <w:rPr>
                <w:rFonts w:eastAsia="Times New Roman"/>
                <w:lang w:eastAsia="ja-JP"/>
              </w:rPr>
            </w:pPr>
            <w:r w:rsidRPr="00536CFD">
              <w:t>31.26</w:t>
            </w:r>
          </w:p>
        </w:tc>
        <w:tc>
          <w:tcPr>
            <w:tcW w:w="984" w:type="dxa"/>
          </w:tcPr>
          <w:p w14:paraId="10164825" w14:textId="77777777" w:rsidR="009D4A93" w:rsidRPr="00536CFD" w:rsidRDefault="009D4A93" w:rsidP="009D4A93">
            <w:pPr>
              <w:spacing w:after="0"/>
              <w:jc w:val="center"/>
              <w:rPr>
                <w:rFonts w:eastAsia="Times New Roman"/>
                <w:lang w:eastAsia="ja-JP"/>
              </w:rPr>
            </w:pPr>
            <w:r w:rsidRPr="00536CFD">
              <w:t>23.51</w:t>
            </w:r>
          </w:p>
        </w:tc>
      </w:tr>
      <w:tr w:rsidR="009D4A93" w:rsidRPr="00536CFD" w14:paraId="587E4956" w14:textId="77777777" w:rsidTr="009D4A93">
        <w:trPr>
          <w:cantSplit/>
          <w:trHeight w:val="22"/>
        </w:trPr>
        <w:tc>
          <w:tcPr>
            <w:tcW w:w="500" w:type="dxa"/>
            <w:vMerge/>
          </w:tcPr>
          <w:p w14:paraId="73043308" w14:textId="77777777" w:rsidR="009D4A93" w:rsidRPr="00536CFD" w:rsidRDefault="009D4A93" w:rsidP="009D4A93">
            <w:pPr>
              <w:spacing w:after="0"/>
              <w:jc w:val="center"/>
              <w:rPr>
                <w:rFonts w:eastAsia="Times New Roman"/>
                <w:lang w:eastAsia="ja-JP"/>
              </w:rPr>
            </w:pPr>
          </w:p>
        </w:tc>
        <w:tc>
          <w:tcPr>
            <w:tcW w:w="505" w:type="dxa"/>
            <w:vMerge w:val="restart"/>
          </w:tcPr>
          <w:p w14:paraId="0326AD00" w14:textId="77777777" w:rsidR="009D4A93" w:rsidRPr="00536CFD" w:rsidRDefault="009D4A93" w:rsidP="009D4A93">
            <w:pPr>
              <w:spacing w:after="0"/>
              <w:jc w:val="center"/>
            </w:pPr>
            <w:r w:rsidRPr="00536CFD">
              <w:t>UL:</w:t>
            </w:r>
          </w:p>
          <w:p w14:paraId="7DC78C79" w14:textId="77777777" w:rsidR="009D4A93" w:rsidRPr="00536CFD" w:rsidRDefault="009D4A93" w:rsidP="009D4A93">
            <w:pPr>
              <w:spacing w:after="0"/>
              <w:jc w:val="center"/>
            </w:pPr>
            <w:r w:rsidRPr="00536CFD">
              <w:t>Delay CDF</w:t>
            </w:r>
          </w:p>
          <w:p w14:paraId="6B64F5FE" w14:textId="77777777" w:rsidR="009D4A93" w:rsidRPr="00536CFD" w:rsidRDefault="009D4A93" w:rsidP="009D4A93">
            <w:pPr>
              <w:spacing w:after="0"/>
              <w:jc w:val="center"/>
              <w:rPr>
                <w:rFonts w:eastAsia="Times New Roman"/>
                <w:lang w:eastAsia="ja-JP"/>
              </w:rPr>
            </w:pPr>
            <w:r w:rsidRPr="00536CFD">
              <w:t>[s]</w:t>
            </w:r>
          </w:p>
        </w:tc>
        <w:tc>
          <w:tcPr>
            <w:tcW w:w="505" w:type="dxa"/>
          </w:tcPr>
          <w:p w14:paraId="1B3E01BE" w14:textId="77777777" w:rsidR="009D4A93" w:rsidRPr="00536CFD" w:rsidRDefault="009D4A93" w:rsidP="009D4A93">
            <w:pPr>
              <w:spacing w:after="0"/>
              <w:jc w:val="center"/>
              <w:rPr>
                <w:rFonts w:eastAsia="Times New Roman"/>
                <w:lang w:eastAsia="ja-JP"/>
              </w:rPr>
            </w:pPr>
            <w:r w:rsidRPr="00536CFD">
              <w:t>5%</w:t>
            </w:r>
          </w:p>
        </w:tc>
        <w:tc>
          <w:tcPr>
            <w:tcW w:w="858" w:type="dxa"/>
          </w:tcPr>
          <w:p w14:paraId="34D5A23A" w14:textId="77777777" w:rsidR="009D4A93" w:rsidRPr="00536CFD" w:rsidRDefault="009D4A93" w:rsidP="009D4A93">
            <w:pPr>
              <w:spacing w:after="0"/>
              <w:jc w:val="center"/>
              <w:rPr>
                <w:rFonts w:eastAsia="Times New Roman"/>
                <w:lang w:eastAsia="ja-JP"/>
              </w:rPr>
            </w:pPr>
            <w:r w:rsidRPr="00536CFD">
              <w:t>0.039</w:t>
            </w:r>
          </w:p>
        </w:tc>
        <w:tc>
          <w:tcPr>
            <w:tcW w:w="858" w:type="dxa"/>
          </w:tcPr>
          <w:p w14:paraId="02BD5A80" w14:textId="77777777" w:rsidR="009D4A93" w:rsidRPr="00536CFD" w:rsidRDefault="009D4A93" w:rsidP="009D4A93">
            <w:pPr>
              <w:spacing w:after="0"/>
              <w:jc w:val="center"/>
              <w:rPr>
                <w:rFonts w:eastAsia="Times New Roman"/>
                <w:lang w:eastAsia="ja-JP"/>
              </w:rPr>
            </w:pPr>
            <w:r w:rsidRPr="00536CFD">
              <w:t>0.036</w:t>
            </w:r>
          </w:p>
        </w:tc>
        <w:tc>
          <w:tcPr>
            <w:tcW w:w="880" w:type="dxa"/>
          </w:tcPr>
          <w:p w14:paraId="3545824B" w14:textId="77777777" w:rsidR="009D4A93" w:rsidRPr="00536CFD" w:rsidRDefault="009D4A93" w:rsidP="009D4A93">
            <w:pPr>
              <w:spacing w:after="0"/>
              <w:jc w:val="center"/>
              <w:rPr>
                <w:rFonts w:eastAsia="Times New Roman"/>
                <w:lang w:eastAsia="ja-JP"/>
              </w:rPr>
            </w:pPr>
            <w:r w:rsidRPr="00536CFD">
              <w:t>0.039</w:t>
            </w:r>
          </w:p>
        </w:tc>
        <w:tc>
          <w:tcPr>
            <w:tcW w:w="932" w:type="dxa"/>
          </w:tcPr>
          <w:p w14:paraId="46A44E04" w14:textId="77777777" w:rsidR="009D4A93" w:rsidRPr="00536CFD" w:rsidRDefault="009D4A93" w:rsidP="009D4A93">
            <w:pPr>
              <w:spacing w:after="0"/>
              <w:jc w:val="center"/>
              <w:rPr>
                <w:rFonts w:eastAsia="Times New Roman"/>
                <w:lang w:eastAsia="ja-JP"/>
              </w:rPr>
            </w:pPr>
            <w:r w:rsidRPr="00536CFD">
              <w:t>0.075</w:t>
            </w:r>
          </w:p>
        </w:tc>
        <w:tc>
          <w:tcPr>
            <w:tcW w:w="953" w:type="dxa"/>
          </w:tcPr>
          <w:p w14:paraId="2851C6F9" w14:textId="77777777" w:rsidR="009D4A93" w:rsidRPr="00536CFD" w:rsidRDefault="009D4A93" w:rsidP="009D4A93">
            <w:pPr>
              <w:spacing w:after="0"/>
              <w:jc w:val="center"/>
              <w:rPr>
                <w:rFonts w:eastAsia="Times New Roman"/>
                <w:lang w:eastAsia="ja-JP"/>
              </w:rPr>
            </w:pPr>
            <w:r w:rsidRPr="00536CFD">
              <w:t>0.059</w:t>
            </w:r>
          </w:p>
        </w:tc>
        <w:tc>
          <w:tcPr>
            <w:tcW w:w="954" w:type="dxa"/>
          </w:tcPr>
          <w:p w14:paraId="644AF7ED" w14:textId="77777777" w:rsidR="009D4A93" w:rsidRPr="00536CFD" w:rsidRDefault="009D4A93" w:rsidP="009D4A93">
            <w:pPr>
              <w:spacing w:after="0"/>
              <w:jc w:val="center"/>
              <w:rPr>
                <w:rFonts w:eastAsia="Times New Roman"/>
                <w:lang w:eastAsia="ja-JP"/>
              </w:rPr>
            </w:pPr>
            <w:r w:rsidRPr="00536CFD">
              <w:t>0.050</w:t>
            </w:r>
          </w:p>
        </w:tc>
        <w:tc>
          <w:tcPr>
            <w:tcW w:w="983" w:type="dxa"/>
          </w:tcPr>
          <w:p w14:paraId="2B162527" w14:textId="77777777" w:rsidR="009D4A93" w:rsidRPr="00536CFD" w:rsidRDefault="009D4A93" w:rsidP="009D4A93">
            <w:pPr>
              <w:spacing w:after="0"/>
              <w:jc w:val="center"/>
              <w:rPr>
                <w:rFonts w:eastAsia="Times New Roman"/>
                <w:lang w:eastAsia="ja-JP"/>
              </w:rPr>
            </w:pPr>
            <w:r w:rsidRPr="00536CFD">
              <w:t>0.156</w:t>
            </w:r>
          </w:p>
        </w:tc>
        <w:tc>
          <w:tcPr>
            <w:tcW w:w="983" w:type="dxa"/>
          </w:tcPr>
          <w:p w14:paraId="0B9C0BC8" w14:textId="77777777" w:rsidR="009D4A93" w:rsidRPr="00536CFD" w:rsidRDefault="009D4A93" w:rsidP="009D4A93">
            <w:pPr>
              <w:spacing w:after="0"/>
              <w:jc w:val="center"/>
              <w:rPr>
                <w:rFonts w:eastAsia="Times New Roman"/>
                <w:lang w:eastAsia="ja-JP"/>
              </w:rPr>
            </w:pPr>
            <w:r w:rsidRPr="00536CFD">
              <w:t>0.122</w:t>
            </w:r>
          </w:p>
        </w:tc>
        <w:tc>
          <w:tcPr>
            <w:tcW w:w="984" w:type="dxa"/>
          </w:tcPr>
          <w:p w14:paraId="7C7CBD7C" w14:textId="77777777" w:rsidR="009D4A93" w:rsidRPr="00536CFD" w:rsidRDefault="009D4A93" w:rsidP="009D4A93">
            <w:pPr>
              <w:spacing w:after="0"/>
              <w:jc w:val="center"/>
              <w:rPr>
                <w:rFonts w:eastAsia="Times New Roman"/>
                <w:lang w:eastAsia="ja-JP"/>
              </w:rPr>
            </w:pPr>
            <w:r w:rsidRPr="00536CFD">
              <w:t>0.197</w:t>
            </w:r>
          </w:p>
        </w:tc>
      </w:tr>
      <w:tr w:rsidR="009D4A93" w:rsidRPr="00536CFD" w14:paraId="06B9FC17" w14:textId="77777777" w:rsidTr="009D4A93">
        <w:trPr>
          <w:cantSplit/>
          <w:trHeight w:val="22"/>
        </w:trPr>
        <w:tc>
          <w:tcPr>
            <w:tcW w:w="500" w:type="dxa"/>
            <w:vMerge/>
          </w:tcPr>
          <w:p w14:paraId="7FD05BDA" w14:textId="77777777" w:rsidR="009D4A93" w:rsidRPr="00536CFD" w:rsidRDefault="009D4A93" w:rsidP="009D4A93">
            <w:pPr>
              <w:spacing w:after="0"/>
              <w:jc w:val="center"/>
              <w:rPr>
                <w:rFonts w:eastAsia="Times New Roman"/>
                <w:lang w:eastAsia="ja-JP"/>
              </w:rPr>
            </w:pPr>
          </w:p>
        </w:tc>
        <w:tc>
          <w:tcPr>
            <w:tcW w:w="505" w:type="dxa"/>
            <w:vMerge/>
          </w:tcPr>
          <w:p w14:paraId="7760C4CF" w14:textId="77777777" w:rsidR="009D4A93" w:rsidRPr="00536CFD" w:rsidRDefault="009D4A93" w:rsidP="009D4A93">
            <w:pPr>
              <w:spacing w:after="0"/>
              <w:jc w:val="center"/>
              <w:rPr>
                <w:rFonts w:eastAsia="Times New Roman"/>
                <w:lang w:eastAsia="ja-JP"/>
              </w:rPr>
            </w:pPr>
          </w:p>
        </w:tc>
        <w:tc>
          <w:tcPr>
            <w:tcW w:w="505" w:type="dxa"/>
          </w:tcPr>
          <w:p w14:paraId="566B3AE6" w14:textId="77777777" w:rsidR="009D4A93" w:rsidRPr="00536CFD" w:rsidRDefault="009D4A93" w:rsidP="009D4A93">
            <w:pPr>
              <w:spacing w:after="0"/>
              <w:jc w:val="center"/>
              <w:rPr>
                <w:rFonts w:eastAsia="Times New Roman"/>
                <w:lang w:eastAsia="ja-JP"/>
              </w:rPr>
            </w:pPr>
            <w:r w:rsidRPr="00536CFD">
              <w:t>50%</w:t>
            </w:r>
          </w:p>
        </w:tc>
        <w:tc>
          <w:tcPr>
            <w:tcW w:w="858" w:type="dxa"/>
          </w:tcPr>
          <w:p w14:paraId="6ABF7393" w14:textId="77777777" w:rsidR="009D4A93" w:rsidRPr="00536CFD" w:rsidRDefault="009D4A93" w:rsidP="009D4A93">
            <w:pPr>
              <w:spacing w:after="0"/>
              <w:jc w:val="center"/>
              <w:rPr>
                <w:rFonts w:eastAsia="Times New Roman"/>
                <w:lang w:eastAsia="ja-JP"/>
              </w:rPr>
            </w:pPr>
            <w:r w:rsidRPr="00536CFD">
              <w:t>0.108</w:t>
            </w:r>
          </w:p>
        </w:tc>
        <w:tc>
          <w:tcPr>
            <w:tcW w:w="858" w:type="dxa"/>
          </w:tcPr>
          <w:p w14:paraId="4DC1CF6E" w14:textId="77777777" w:rsidR="009D4A93" w:rsidRPr="00536CFD" w:rsidRDefault="009D4A93" w:rsidP="009D4A93">
            <w:pPr>
              <w:spacing w:after="0"/>
              <w:jc w:val="center"/>
              <w:rPr>
                <w:rFonts w:eastAsia="Times New Roman"/>
                <w:lang w:eastAsia="ja-JP"/>
              </w:rPr>
            </w:pPr>
            <w:r w:rsidRPr="00536CFD">
              <w:t>0.153</w:t>
            </w:r>
          </w:p>
        </w:tc>
        <w:tc>
          <w:tcPr>
            <w:tcW w:w="880" w:type="dxa"/>
          </w:tcPr>
          <w:p w14:paraId="1F3F808F" w14:textId="77777777" w:rsidR="009D4A93" w:rsidRPr="00536CFD" w:rsidRDefault="009D4A93" w:rsidP="009D4A93">
            <w:pPr>
              <w:spacing w:after="0"/>
              <w:jc w:val="center"/>
              <w:rPr>
                <w:rFonts w:eastAsia="Times New Roman"/>
                <w:lang w:eastAsia="ja-JP"/>
              </w:rPr>
            </w:pPr>
            <w:r w:rsidRPr="00536CFD">
              <w:t>0.153</w:t>
            </w:r>
          </w:p>
        </w:tc>
        <w:tc>
          <w:tcPr>
            <w:tcW w:w="932" w:type="dxa"/>
          </w:tcPr>
          <w:p w14:paraId="6233C05E" w14:textId="77777777" w:rsidR="009D4A93" w:rsidRPr="00536CFD" w:rsidRDefault="009D4A93" w:rsidP="009D4A93">
            <w:pPr>
              <w:spacing w:after="0"/>
              <w:jc w:val="center"/>
              <w:rPr>
                <w:rFonts w:eastAsia="Times New Roman"/>
                <w:lang w:eastAsia="ja-JP"/>
              </w:rPr>
            </w:pPr>
            <w:r w:rsidRPr="00536CFD">
              <w:t>0.942</w:t>
            </w:r>
          </w:p>
        </w:tc>
        <w:tc>
          <w:tcPr>
            <w:tcW w:w="953" w:type="dxa"/>
          </w:tcPr>
          <w:p w14:paraId="7667CEDB" w14:textId="77777777" w:rsidR="009D4A93" w:rsidRPr="00536CFD" w:rsidRDefault="009D4A93" w:rsidP="009D4A93">
            <w:pPr>
              <w:spacing w:after="0"/>
              <w:jc w:val="center"/>
              <w:rPr>
                <w:rFonts w:eastAsia="Times New Roman"/>
                <w:lang w:eastAsia="ja-JP"/>
              </w:rPr>
            </w:pPr>
            <w:r w:rsidRPr="00536CFD">
              <w:t>0.536</w:t>
            </w:r>
          </w:p>
        </w:tc>
        <w:tc>
          <w:tcPr>
            <w:tcW w:w="954" w:type="dxa"/>
          </w:tcPr>
          <w:p w14:paraId="0777994E" w14:textId="77777777" w:rsidR="009D4A93" w:rsidRPr="00536CFD" w:rsidRDefault="009D4A93" w:rsidP="009D4A93">
            <w:pPr>
              <w:spacing w:after="0"/>
              <w:jc w:val="center"/>
              <w:rPr>
                <w:rFonts w:eastAsia="Times New Roman"/>
                <w:lang w:eastAsia="ja-JP"/>
              </w:rPr>
            </w:pPr>
            <w:r w:rsidRPr="00536CFD">
              <w:t>0.540</w:t>
            </w:r>
          </w:p>
        </w:tc>
        <w:tc>
          <w:tcPr>
            <w:tcW w:w="983" w:type="dxa"/>
          </w:tcPr>
          <w:p w14:paraId="1240EEA0" w14:textId="77777777" w:rsidR="009D4A93" w:rsidRPr="00536CFD" w:rsidRDefault="009D4A93" w:rsidP="009D4A93">
            <w:pPr>
              <w:spacing w:after="0"/>
              <w:jc w:val="center"/>
              <w:rPr>
                <w:rFonts w:eastAsia="Times New Roman"/>
                <w:lang w:eastAsia="ja-JP"/>
              </w:rPr>
            </w:pPr>
            <w:r w:rsidRPr="00536CFD">
              <w:t>1.926</w:t>
            </w:r>
          </w:p>
        </w:tc>
        <w:tc>
          <w:tcPr>
            <w:tcW w:w="983" w:type="dxa"/>
          </w:tcPr>
          <w:p w14:paraId="600F26D2" w14:textId="77777777" w:rsidR="009D4A93" w:rsidRPr="00536CFD" w:rsidRDefault="009D4A93" w:rsidP="009D4A93">
            <w:pPr>
              <w:spacing w:after="0"/>
              <w:jc w:val="center"/>
              <w:rPr>
                <w:rFonts w:eastAsia="Times New Roman"/>
                <w:lang w:eastAsia="ja-JP"/>
              </w:rPr>
            </w:pPr>
            <w:r w:rsidRPr="00536CFD">
              <w:t>1.011</w:t>
            </w:r>
          </w:p>
        </w:tc>
        <w:tc>
          <w:tcPr>
            <w:tcW w:w="984" w:type="dxa"/>
          </w:tcPr>
          <w:p w14:paraId="4051370E" w14:textId="77777777" w:rsidR="009D4A93" w:rsidRPr="00536CFD" w:rsidRDefault="009D4A93" w:rsidP="009D4A93">
            <w:pPr>
              <w:spacing w:after="0"/>
              <w:jc w:val="center"/>
              <w:rPr>
                <w:rFonts w:eastAsia="Times New Roman"/>
                <w:lang w:eastAsia="ja-JP"/>
              </w:rPr>
            </w:pPr>
            <w:r w:rsidRPr="00536CFD">
              <w:t>1.961</w:t>
            </w:r>
          </w:p>
        </w:tc>
      </w:tr>
      <w:tr w:rsidR="009D4A93" w:rsidRPr="00536CFD" w14:paraId="1BEE5A26" w14:textId="77777777" w:rsidTr="009D4A93">
        <w:trPr>
          <w:cantSplit/>
          <w:trHeight w:val="22"/>
        </w:trPr>
        <w:tc>
          <w:tcPr>
            <w:tcW w:w="500" w:type="dxa"/>
            <w:vMerge/>
          </w:tcPr>
          <w:p w14:paraId="2808B654" w14:textId="77777777" w:rsidR="009D4A93" w:rsidRPr="00536CFD" w:rsidRDefault="009D4A93" w:rsidP="009D4A93">
            <w:pPr>
              <w:spacing w:after="0"/>
              <w:jc w:val="center"/>
              <w:rPr>
                <w:rFonts w:eastAsia="Times New Roman"/>
                <w:lang w:eastAsia="ja-JP"/>
              </w:rPr>
            </w:pPr>
          </w:p>
        </w:tc>
        <w:tc>
          <w:tcPr>
            <w:tcW w:w="505" w:type="dxa"/>
            <w:vMerge/>
          </w:tcPr>
          <w:p w14:paraId="7147824A" w14:textId="77777777" w:rsidR="009D4A93" w:rsidRPr="00536CFD" w:rsidRDefault="009D4A93" w:rsidP="009D4A93">
            <w:pPr>
              <w:spacing w:after="0"/>
              <w:jc w:val="center"/>
              <w:rPr>
                <w:rFonts w:eastAsia="Times New Roman"/>
                <w:lang w:eastAsia="ja-JP"/>
              </w:rPr>
            </w:pPr>
          </w:p>
        </w:tc>
        <w:tc>
          <w:tcPr>
            <w:tcW w:w="505" w:type="dxa"/>
          </w:tcPr>
          <w:p w14:paraId="5F5E3F8D" w14:textId="77777777" w:rsidR="009D4A93" w:rsidRPr="00536CFD" w:rsidRDefault="009D4A93" w:rsidP="009D4A93">
            <w:pPr>
              <w:spacing w:after="0"/>
              <w:jc w:val="center"/>
              <w:rPr>
                <w:rFonts w:eastAsia="Times New Roman"/>
                <w:lang w:eastAsia="ja-JP"/>
              </w:rPr>
            </w:pPr>
            <w:r w:rsidRPr="00536CFD">
              <w:t>95%</w:t>
            </w:r>
          </w:p>
        </w:tc>
        <w:tc>
          <w:tcPr>
            <w:tcW w:w="858" w:type="dxa"/>
          </w:tcPr>
          <w:p w14:paraId="3DB8E900" w14:textId="77777777" w:rsidR="009D4A93" w:rsidRPr="00536CFD" w:rsidRDefault="009D4A93" w:rsidP="009D4A93">
            <w:pPr>
              <w:spacing w:after="0"/>
              <w:jc w:val="center"/>
              <w:rPr>
                <w:rFonts w:eastAsia="Times New Roman"/>
                <w:lang w:eastAsia="ja-JP"/>
              </w:rPr>
            </w:pPr>
            <w:r w:rsidRPr="00536CFD">
              <w:t>0.586</w:t>
            </w:r>
          </w:p>
        </w:tc>
        <w:tc>
          <w:tcPr>
            <w:tcW w:w="858" w:type="dxa"/>
          </w:tcPr>
          <w:p w14:paraId="79CF8A99" w14:textId="77777777" w:rsidR="009D4A93" w:rsidRPr="00536CFD" w:rsidRDefault="009D4A93" w:rsidP="009D4A93">
            <w:pPr>
              <w:spacing w:after="0"/>
              <w:jc w:val="center"/>
              <w:rPr>
                <w:rFonts w:eastAsia="Times New Roman"/>
                <w:lang w:eastAsia="ja-JP"/>
              </w:rPr>
            </w:pPr>
            <w:r w:rsidRPr="00536CFD">
              <w:t>0.526</w:t>
            </w:r>
          </w:p>
        </w:tc>
        <w:tc>
          <w:tcPr>
            <w:tcW w:w="880" w:type="dxa"/>
          </w:tcPr>
          <w:p w14:paraId="2A051B7A" w14:textId="77777777" w:rsidR="009D4A93" w:rsidRPr="00536CFD" w:rsidRDefault="009D4A93" w:rsidP="009D4A93">
            <w:pPr>
              <w:spacing w:after="0"/>
              <w:jc w:val="center"/>
              <w:rPr>
                <w:rFonts w:eastAsia="Times New Roman"/>
                <w:lang w:eastAsia="ja-JP"/>
              </w:rPr>
            </w:pPr>
            <w:r w:rsidRPr="00536CFD">
              <w:t>0.670</w:t>
            </w:r>
          </w:p>
        </w:tc>
        <w:tc>
          <w:tcPr>
            <w:tcW w:w="932" w:type="dxa"/>
          </w:tcPr>
          <w:p w14:paraId="20FBCF98" w14:textId="77777777" w:rsidR="009D4A93" w:rsidRPr="00536CFD" w:rsidRDefault="009D4A93" w:rsidP="009D4A93">
            <w:pPr>
              <w:spacing w:after="0"/>
              <w:jc w:val="center"/>
              <w:rPr>
                <w:rFonts w:eastAsia="Times New Roman"/>
                <w:lang w:eastAsia="ja-JP"/>
              </w:rPr>
            </w:pPr>
            <w:r w:rsidRPr="00536CFD">
              <w:t>6.920</w:t>
            </w:r>
          </w:p>
        </w:tc>
        <w:tc>
          <w:tcPr>
            <w:tcW w:w="953" w:type="dxa"/>
          </w:tcPr>
          <w:p w14:paraId="7757BD80" w14:textId="77777777" w:rsidR="009D4A93" w:rsidRPr="00536CFD" w:rsidRDefault="009D4A93" w:rsidP="009D4A93">
            <w:pPr>
              <w:spacing w:after="0"/>
              <w:jc w:val="center"/>
              <w:rPr>
                <w:rFonts w:eastAsia="Times New Roman"/>
                <w:lang w:eastAsia="ja-JP"/>
              </w:rPr>
            </w:pPr>
            <w:r w:rsidRPr="00536CFD">
              <w:t>2.621</w:t>
            </w:r>
          </w:p>
        </w:tc>
        <w:tc>
          <w:tcPr>
            <w:tcW w:w="954" w:type="dxa"/>
          </w:tcPr>
          <w:p w14:paraId="7C0DDC0B" w14:textId="77777777" w:rsidR="009D4A93" w:rsidRPr="00536CFD" w:rsidRDefault="009D4A93" w:rsidP="009D4A93">
            <w:pPr>
              <w:spacing w:after="0"/>
              <w:jc w:val="center"/>
              <w:rPr>
                <w:rFonts w:eastAsia="Times New Roman"/>
                <w:lang w:eastAsia="ja-JP"/>
              </w:rPr>
            </w:pPr>
            <w:r w:rsidRPr="00536CFD">
              <w:t>3.578</w:t>
            </w:r>
          </w:p>
        </w:tc>
        <w:tc>
          <w:tcPr>
            <w:tcW w:w="983" w:type="dxa"/>
          </w:tcPr>
          <w:p w14:paraId="3ABF9EA3" w14:textId="77777777" w:rsidR="009D4A93" w:rsidRPr="00536CFD" w:rsidRDefault="009D4A93" w:rsidP="009D4A93">
            <w:pPr>
              <w:spacing w:after="0"/>
              <w:jc w:val="center"/>
              <w:rPr>
                <w:rFonts w:eastAsia="Times New Roman"/>
                <w:lang w:eastAsia="ja-JP"/>
              </w:rPr>
            </w:pPr>
            <w:r w:rsidRPr="00536CFD">
              <w:t>11.836</w:t>
            </w:r>
          </w:p>
        </w:tc>
        <w:tc>
          <w:tcPr>
            <w:tcW w:w="983" w:type="dxa"/>
          </w:tcPr>
          <w:p w14:paraId="6435AACE" w14:textId="77777777" w:rsidR="009D4A93" w:rsidRPr="00536CFD" w:rsidRDefault="009D4A93" w:rsidP="009D4A93">
            <w:pPr>
              <w:spacing w:after="0"/>
              <w:jc w:val="center"/>
              <w:rPr>
                <w:rFonts w:eastAsia="Times New Roman"/>
                <w:lang w:eastAsia="ja-JP"/>
              </w:rPr>
            </w:pPr>
            <w:r w:rsidRPr="00536CFD">
              <w:t>5.838</w:t>
            </w:r>
          </w:p>
        </w:tc>
        <w:tc>
          <w:tcPr>
            <w:tcW w:w="984" w:type="dxa"/>
          </w:tcPr>
          <w:p w14:paraId="79E687A2" w14:textId="77777777" w:rsidR="009D4A93" w:rsidRPr="00536CFD" w:rsidRDefault="009D4A93" w:rsidP="009D4A93">
            <w:pPr>
              <w:spacing w:after="0"/>
              <w:jc w:val="center"/>
              <w:rPr>
                <w:rFonts w:eastAsia="Times New Roman"/>
                <w:lang w:eastAsia="ja-JP"/>
              </w:rPr>
            </w:pPr>
            <w:r w:rsidRPr="00536CFD">
              <w:t>9.880</w:t>
            </w:r>
          </w:p>
        </w:tc>
      </w:tr>
      <w:tr w:rsidR="009D4A93" w:rsidRPr="00536CFD" w14:paraId="1F78E52C" w14:textId="77777777" w:rsidTr="009D4A93">
        <w:trPr>
          <w:cantSplit/>
          <w:trHeight w:val="22"/>
        </w:trPr>
        <w:tc>
          <w:tcPr>
            <w:tcW w:w="500" w:type="dxa"/>
            <w:vMerge/>
          </w:tcPr>
          <w:p w14:paraId="220526DE" w14:textId="77777777" w:rsidR="009D4A93" w:rsidRPr="00536CFD" w:rsidRDefault="009D4A93" w:rsidP="009D4A93">
            <w:pPr>
              <w:spacing w:after="0"/>
              <w:jc w:val="center"/>
              <w:rPr>
                <w:rFonts w:eastAsia="Times New Roman"/>
                <w:lang w:eastAsia="ja-JP"/>
              </w:rPr>
            </w:pPr>
          </w:p>
        </w:tc>
        <w:tc>
          <w:tcPr>
            <w:tcW w:w="505" w:type="dxa"/>
            <w:vMerge/>
          </w:tcPr>
          <w:p w14:paraId="3AB0DBEE" w14:textId="77777777" w:rsidR="009D4A93" w:rsidRPr="00536CFD" w:rsidRDefault="009D4A93" w:rsidP="009D4A93">
            <w:pPr>
              <w:spacing w:after="0"/>
              <w:jc w:val="center"/>
              <w:rPr>
                <w:rFonts w:eastAsia="Times New Roman"/>
                <w:lang w:eastAsia="ja-JP"/>
              </w:rPr>
            </w:pPr>
          </w:p>
        </w:tc>
        <w:tc>
          <w:tcPr>
            <w:tcW w:w="505" w:type="dxa"/>
          </w:tcPr>
          <w:p w14:paraId="2DF205AA" w14:textId="77777777" w:rsidR="009D4A93" w:rsidRPr="00536CFD" w:rsidRDefault="009D4A93" w:rsidP="009D4A93">
            <w:pPr>
              <w:spacing w:after="0"/>
              <w:jc w:val="center"/>
              <w:rPr>
                <w:rFonts w:eastAsia="Times New Roman"/>
                <w:lang w:eastAsia="ja-JP"/>
              </w:rPr>
            </w:pPr>
            <w:r w:rsidRPr="00536CFD">
              <w:t>Mean</w:t>
            </w:r>
          </w:p>
        </w:tc>
        <w:tc>
          <w:tcPr>
            <w:tcW w:w="858" w:type="dxa"/>
          </w:tcPr>
          <w:p w14:paraId="38D01A2F" w14:textId="77777777" w:rsidR="009D4A93" w:rsidRPr="00536CFD" w:rsidRDefault="009D4A93" w:rsidP="009D4A93">
            <w:pPr>
              <w:spacing w:after="0"/>
              <w:jc w:val="center"/>
              <w:rPr>
                <w:rFonts w:eastAsia="Times New Roman"/>
                <w:lang w:eastAsia="ja-JP"/>
              </w:rPr>
            </w:pPr>
            <w:r w:rsidRPr="00536CFD">
              <w:t>0.231</w:t>
            </w:r>
          </w:p>
        </w:tc>
        <w:tc>
          <w:tcPr>
            <w:tcW w:w="858" w:type="dxa"/>
          </w:tcPr>
          <w:p w14:paraId="2289453B" w14:textId="77777777" w:rsidR="009D4A93" w:rsidRPr="00536CFD" w:rsidRDefault="009D4A93" w:rsidP="009D4A93">
            <w:pPr>
              <w:spacing w:after="0"/>
              <w:jc w:val="center"/>
              <w:rPr>
                <w:rFonts w:eastAsia="Times New Roman"/>
                <w:lang w:eastAsia="ja-JP"/>
              </w:rPr>
            </w:pPr>
            <w:r w:rsidRPr="00536CFD">
              <w:t>0.263</w:t>
            </w:r>
          </w:p>
        </w:tc>
        <w:tc>
          <w:tcPr>
            <w:tcW w:w="880" w:type="dxa"/>
          </w:tcPr>
          <w:p w14:paraId="0731BF34" w14:textId="77777777" w:rsidR="009D4A93" w:rsidRPr="00536CFD" w:rsidRDefault="009D4A93" w:rsidP="009D4A93">
            <w:pPr>
              <w:spacing w:after="0"/>
              <w:jc w:val="center"/>
              <w:rPr>
                <w:rFonts w:eastAsia="Times New Roman"/>
                <w:lang w:eastAsia="ja-JP"/>
              </w:rPr>
            </w:pPr>
            <w:r w:rsidRPr="00536CFD">
              <w:t>0.324</w:t>
            </w:r>
          </w:p>
        </w:tc>
        <w:tc>
          <w:tcPr>
            <w:tcW w:w="932" w:type="dxa"/>
          </w:tcPr>
          <w:p w14:paraId="1A80EE68" w14:textId="77777777" w:rsidR="009D4A93" w:rsidRPr="00536CFD" w:rsidRDefault="009D4A93" w:rsidP="009D4A93">
            <w:pPr>
              <w:spacing w:after="0"/>
              <w:jc w:val="center"/>
              <w:rPr>
                <w:rFonts w:eastAsia="Times New Roman"/>
                <w:lang w:eastAsia="ja-JP"/>
              </w:rPr>
            </w:pPr>
            <w:r w:rsidRPr="00536CFD">
              <w:t>2.486</w:t>
            </w:r>
          </w:p>
        </w:tc>
        <w:tc>
          <w:tcPr>
            <w:tcW w:w="953" w:type="dxa"/>
          </w:tcPr>
          <w:p w14:paraId="5F46CE51" w14:textId="77777777" w:rsidR="009D4A93" w:rsidRPr="00536CFD" w:rsidRDefault="009D4A93" w:rsidP="009D4A93">
            <w:pPr>
              <w:spacing w:after="0"/>
              <w:jc w:val="center"/>
              <w:rPr>
                <w:rFonts w:eastAsia="Times New Roman"/>
                <w:lang w:eastAsia="ja-JP"/>
              </w:rPr>
            </w:pPr>
            <w:r w:rsidRPr="00536CFD">
              <w:t>1.041</w:t>
            </w:r>
          </w:p>
        </w:tc>
        <w:tc>
          <w:tcPr>
            <w:tcW w:w="954" w:type="dxa"/>
          </w:tcPr>
          <w:p w14:paraId="3A65DEA8" w14:textId="77777777" w:rsidR="009D4A93" w:rsidRPr="00536CFD" w:rsidRDefault="009D4A93" w:rsidP="009D4A93">
            <w:pPr>
              <w:spacing w:after="0"/>
              <w:jc w:val="center"/>
              <w:rPr>
                <w:rFonts w:eastAsia="Times New Roman"/>
                <w:lang w:eastAsia="ja-JP"/>
              </w:rPr>
            </w:pPr>
            <w:r w:rsidRPr="00536CFD">
              <w:t>1.228</w:t>
            </w:r>
          </w:p>
        </w:tc>
        <w:tc>
          <w:tcPr>
            <w:tcW w:w="983" w:type="dxa"/>
          </w:tcPr>
          <w:p w14:paraId="711B95B7" w14:textId="77777777" w:rsidR="009D4A93" w:rsidRPr="00536CFD" w:rsidRDefault="009D4A93" w:rsidP="009D4A93">
            <w:pPr>
              <w:spacing w:after="0"/>
              <w:jc w:val="center"/>
              <w:rPr>
                <w:rFonts w:eastAsia="Times New Roman"/>
                <w:lang w:eastAsia="ja-JP"/>
              </w:rPr>
            </w:pPr>
            <w:r w:rsidRPr="00536CFD">
              <w:t>4.362</w:t>
            </w:r>
          </w:p>
        </w:tc>
        <w:tc>
          <w:tcPr>
            <w:tcW w:w="983" w:type="dxa"/>
          </w:tcPr>
          <w:p w14:paraId="4A4B80A5" w14:textId="77777777" w:rsidR="009D4A93" w:rsidRPr="00536CFD" w:rsidRDefault="009D4A93" w:rsidP="009D4A93">
            <w:pPr>
              <w:spacing w:after="0"/>
              <w:jc w:val="center"/>
              <w:rPr>
                <w:rFonts w:eastAsia="Times New Roman"/>
                <w:lang w:eastAsia="ja-JP"/>
              </w:rPr>
            </w:pPr>
            <w:r w:rsidRPr="00536CFD">
              <w:t>2.353</w:t>
            </w:r>
          </w:p>
        </w:tc>
        <w:tc>
          <w:tcPr>
            <w:tcW w:w="984" w:type="dxa"/>
          </w:tcPr>
          <w:p w14:paraId="4D931AD3" w14:textId="77777777" w:rsidR="009D4A93" w:rsidRPr="00536CFD" w:rsidRDefault="009D4A93" w:rsidP="009D4A93">
            <w:pPr>
              <w:spacing w:after="0"/>
              <w:jc w:val="center"/>
              <w:rPr>
                <w:rFonts w:eastAsia="Times New Roman"/>
                <w:lang w:eastAsia="ja-JP"/>
              </w:rPr>
            </w:pPr>
            <w:r w:rsidRPr="00536CFD">
              <w:t>3.797</w:t>
            </w:r>
          </w:p>
        </w:tc>
      </w:tr>
      <w:tr w:rsidR="009D4A93" w:rsidRPr="00536CFD" w14:paraId="2E60E3A0" w14:textId="77777777" w:rsidTr="009D4A93">
        <w:trPr>
          <w:cantSplit/>
          <w:trHeight w:val="22"/>
        </w:trPr>
        <w:tc>
          <w:tcPr>
            <w:tcW w:w="500" w:type="dxa"/>
            <w:vMerge/>
          </w:tcPr>
          <w:p w14:paraId="7BFC9EA0" w14:textId="77777777" w:rsidR="009D4A93" w:rsidRPr="00536CFD" w:rsidRDefault="009D4A93" w:rsidP="009D4A93">
            <w:pPr>
              <w:spacing w:after="0"/>
              <w:jc w:val="center"/>
              <w:rPr>
                <w:rFonts w:eastAsia="Times New Roman"/>
                <w:lang w:eastAsia="ja-JP"/>
              </w:rPr>
            </w:pPr>
          </w:p>
        </w:tc>
        <w:tc>
          <w:tcPr>
            <w:tcW w:w="1010" w:type="dxa"/>
            <w:gridSpan w:val="2"/>
          </w:tcPr>
          <w:p w14:paraId="255E5192" w14:textId="77777777" w:rsidR="009D4A93" w:rsidRPr="00536CFD" w:rsidRDefault="009D4A93" w:rsidP="009D4A93">
            <w:pPr>
              <w:spacing w:after="0"/>
              <w:jc w:val="center"/>
              <w:rPr>
                <w:rFonts w:eastAsia="Times New Roman"/>
                <w:lang w:eastAsia="ja-JP"/>
              </w:rPr>
            </w:pPr>
            <w:r w:rsidRPr="00536CFD">
              <w:rPr>
                <w:rFonts w:ascii="Cambria Math" w:hAnsi="Cambria Math" w:cs="Cambria Math"/>
              </w:rPr>
              <w:t>𝜌</w:t>
            </w:r>
            <w:r w:rsidRPr="00536CFD">
              <w:rPr>
                <w:vertAlign w:val="subscript"/>
              </w:rPr>
              <w:t>DL</w:t>
            </w:r>
          </w:p>
        </w:tc>
        <w:tc>
          <w:tcPr>
            <w:tcW w:w="858" w:type="dxa"/>
          </w:tcPr>
          <w:p w14:paraId="2E6C01D1" w14:textId="77777777" w:rsidR="009D4A93" w:rsidRPr="00536CFD" w:rsidRDefault="009D4A93" w:rsidP="009D4A93">
            <w:pPr>
              <w:spacing w:after="0"/>
              <w:jc w:val="center"/>
              <w:rPr>
                <w:rFonts w:eastAsia="Times New Roman"/>
                <w:lang w:eastAsia="ja-JP"/>
              </w:rPr>
            </w:pPr>
            <w:r w:rsidRPr="00536CFD">
              <w:t>99%</w:t>
            </w:r>
          </w:p>
        </w:tc>
        <w:tc>
          <w:tcPr>
            <w:tcW w:w="858" w:type="dxa"/>
          </w:tcPr>
          <w:p w14:paraId="008E761D" w14:textId="77777777" w:rsidR="009D4A93" w:rsidRPr="00536CFD" w:rsidRDefault="009D4A93" w:rsidP="009D4A93">
            <w:pPr>
              <w:spacing w:after="0"/>
              <w:jc w:val="center"/>
              <w:rPr>
                <w:rFonts w:eastAsia="Times New Roman"/>
                <w:lang w:eastAsia="ja-JP"/>
              </w:rPr>
            </w:pPr>
            <w:r w:rsidRPr="00536CFD">
              <w:t>99%</w:t>
            </w:r>
          </w:p>
        </w:tc>
        <w:tc>
          <w:tcPr>
            <w:tcW w:w="880" w:type="dxa"/>
          </w:tcPr>
          <w:p w14:paraId="7455D913" w14:textId="77777777" w:rsidR="009D4A93" w:rsidRPr="00536CFD" w:rsidRDefault="009D4A93" w:rsidP="009D4A93">
            <w:pPr>
              <w:spacing w:after="0"/>
              <w:jc w:val="center"/>
              <w:rPr>
                <w:rFonts w:eastAsia="Times New Roman"/>
                <w:lang w:eastAsia="ja-JP"/>
              </w:rPr>
            </w:pPr>
            <w:r w:rsidRPr="00536CFD">
              <w:t>99%</w:t>
            </w:r>
          </w:p>
        </w:tc>
        <w:tc>
          <w:tcPr>
            <w:tcW w:w="932" w:type="dxa"/>
          </w:tcPr>
          <w:p w14:paraId="1C75A3FE" w14:textId="77777777" w:rsidR="009D4A93" w:rsidRPr="00536CFD" w:rsidRDefault="009D4A93" w:rsidP="009D4A93">
            <w:pPr>
              <w:spacing w:after="0"/>
              <w:jc w:val="center"/>
              <w:rPr>
                <w:rFonts w:eastAsia="Times New Roman"/>
                <w:lang w:eastAsia="ja-JP"/>
              </w:rPr>
            </w:pPr>
            <w:r w:rsidRPr="00536CFD">
              <w:t>88%</w:t>
            </w:r>
          </w:p>
        </w:tc>
        <w:tc>
          <w:tcPr>
            <w:tcW w:w="953" w:type="dxa"/>
          </w:tcPr>
          <w:p w14:paraId="6821107A" w14:textId="77777777" w:rsidR="009D4A93" w:rsidRPr="00536CFD" w:rsidRDefault="009D4A93" w:rsidP="009D4A93">
            <w:pPr>
              <w:spacing w:after="0"/>
              <w:jc w:val="center"/>
              <w:rPr>
                <w:rFonts w:eastAsia="Times New Roman"/>
                <w:lang w:eastAsia="ja-JP"/>
              </w:rPr>
            </w:pPr>
            <w:r w:rsidRPr="00536CFD">
              <w:t>95%</w:t>
            </w:r>
          </w:p>
        </w:tc>
        <w:tc>
          <w:tcPr>
            <w:tcW w:w="954" w:type="dxa"/>
          </w:tcPr>
          <w:p w14:paraId="578203EB" w14:textId="77777777" w:rsidR="009D4A93" w:rsidRPr="00536CFD" w:rsidRDefault="009D4A93" w:rsidP="009D4A93">
            <w:pPr>
              <w:spacing w:after="0"/>
              <w:jc w:val="center"/>
              <w:rPr>
                <w:rFonts w:eastAsia="Times New Roman"/>
                <w:lang w:eastAsia="ja-JP"/>
              </w:rPr>
            </w:pPr>
            <w:r w:rsidRPr="00536CFD">
              <w:t>90%</w:t>
            </w:r>
          </w:p>
        </w:tc>
        <w:tc>
          <w:tcPr>
            <w:tcW w:w="983" w:type="dxa"/>
          </w:tcPr>
          <w:p w14:paraId="31DD21EB" w14:textId="77777777" w:rsidR="009D4A93" w:rsidRPr="00536CFD" w:rsidRDefault="009D4A93" w:rsidP="009D4A93">
            <w:pPr>
              <w:spacing w:after="0"/>
              <w:jc w:val="center"/>
              <w:rPr>
                <w:rFonts w:eastAsia="Times New Roman"/>
                <w:lang w:eastAsia="ja-JP"/>
              </w:rPr>
            </w:pPr>
            <w:r w:rsidRPr="00536CFD">
              <w:t>73%</w:t>
            </w:r>
          </w:p>
        </w:tc>
        <w:tc>
          <w:tcPr>
            <w:tcW w:w="983" w:type="dxa"/>
          </w:tcPr>
          <w:p w14:paraId="0B6AFC28" w14:textId="77777777" w:rsidR="009D4A93" w:rsidRPr="00536CFD" w:rsidRDefault="009D4A93" w:rsidP="009D4A93">
            <w:pPr>
              <w:spacing w:after="0"/>
              <w:jc w:val="center"/>
              <w:rPr>
                <w:rFonts w:eastAsia="Times New Roman"/>
                <w:lang w:eastAsia="ja-JP"/>
              </w:rPr>
            </w:pPr>
            <w:r w:rsidRPr="00536CFD">
              <w:t>81%</w:t>
            </w:r>
          </w:p>
        </w:tc>
        <w:tc>
          <w:tcPr>
            <w:tcW w:w="984" w:type="dxa"/>
          </w:tcPr>
          <w:p w14:paraId="22583E75" w14:textId="77777777" w:rsidR="009D4A93" w:rsidRPr="00536CFD" w:rsidRDefault="009D4A93" w:rsidP="009D4A93">
            <w:pPr>
              <w:spacing w:after="0"/>
              <w:jc w:val="center"/>
              <w:rPr>
                <w:rFonts w:eastAsia="Times New Roman"/>
                <w:lang w:eastAsia="ja-JP"/>
              </w:rPr>
            </w:pPr>
            <w:r w:rsidRPr="00536CFD">
              <w:t>72%</w:t>
            </w:r>
          </w:p>
        </w:tc>
      </w:tr>
      <w:tr w:rsidR="009D4A93" w:rsidRPr="00536CFD" w14:paraId="3843AAD1" w14:textId="77777777" w:rsidTr="009D4A93">
        <w:trPr>
          <w:cantSplit/>
          <w:trHeight w:val="22"/>
        </w:trPr>
        <w:tc>
          <w:tcPr>
            <w:tcW w:w="500" w:type="dxa"/>
            <w:vMerge/>
          </w:tcPr>
          <w:p w14:paraId="560931C9" w14:textId="77777777" w:rsidR="009D4A93" w:rsidRPr="00536CFD" w:rsidRDefault="009D4A93" w:rsidP="009D4A93">
            <w:pPr>
              <w:spacing w:after="0"/>
              <w:jc w:val="center"/>
              <w:rPr>
                <w:rFonts w:eastAsia="Times New Roman"/>
                <w:lang w:eastAsia="ja-JP"/>
              </w:rPr>
            </w:pPr>
          </w:p>
        </w:tc>
        <w:tc>
          <w:tcPr>
            <w:tcW w:w="1010" w:type="dxa"/>
            <w:gridSpan w:val="2"/>
          </w:tcPr>
          <w:p w14:paraId="39C7E2DB" w14:textId="77777777" w:rsidR="009D4A93" w:rsidRPr="00536CFD" w:rsidRDefault="009D4A93" w:rsidP="009D4A93">
            <w:pPr>
              <w:spacing w:after="0"/>
              <w:jc w:val="center"/>
              <w:rPr>
                <w:rFonts w:eastAsia="Times New Roman"/>
                <w:lang w:eastAsia="ja-JP"/>
              </w:rPr>
            </w:pPr>
            <w:r w:rsidRPr="00536CFD">
              <w:rPr>
                <w:rFonts w:ascii="Cambria Math" w:hAnsi="Cambria Math" w:cs="Cambria Math"/>
              </w:rPr>
              <w:t>𝜌</w:t>
            </w:r>
            <w:r w:rsidRPr="00536CFD">
              <w:rPr>
                <w:vertAlign w:val="subscript"/>
              </w:rPr>
              <w:t>UL</w:t>
            </w:r>
          </w:p>
        </w:tc>
        <w:tc>
          <w:tcPr>
            <w:tcW w:w="858" w:type="dxa"/>
          </w:tcPr>
          <w:p w14:paraId="4456C88B" w14:textId="77777777" w:rsidR="009D4A93" w:rsidRPr="00536CFD" w:rsidRDefault="009D4A93" w:rsidP="009D4A93">
            <w:pPr>
              <w:spacing w:after="0"/>
              <w:jc w:val="center"/>
              <w:rPr>
                <w:rFonts w:eastAsia="Times New Roman"/>
                <w:lang w:eastAsia="ja-JP"/>
              </w:rPr>
            </w:pPr>
            <w:r w:rsidRPr="00536CFD">
              <w:t>98%</w:t>
            </w:r>
          </w:p>
        </w:tc>
        <w:tc>
          <w:tcPr>
            <w:tcW w:w="858" w:type="dxa"/>
          </w:tcPr>
          <w:p w14:paraId="5058664B" w14:textId="77777777" w:rsidR="009D4A93" w:rsidRPr="00536CFD" w:rsidRDefault="009D4A93" w:rsidP="009D4A93">
            <w:pPr>
              <w:spacing w:after="0"/>
              <w:jc w:val="center"/>
              <w:rPr>
                <w:rFonts w:eastAsia="Times New Roman"/>
                <w:lang w:eastAsia="ja-JP"/>
              </w:rPr>
            </w:pPr>
            <w:r w:rsidRPr="00536CFD">
              <w:t>99%</w:t>
            </w:r>
          </w:p>
        </w:tc>
        <w:tc>
          <w:tcPr>
            <w:tcW w:w="880" w:type="dxa"/>
          </w:tcPr>
          <w:p w14:paraId="6A59375E" w14:textId="77777777" w:rsidR="009D4A93" w:rsidRPr="00536CFD" w:rsidRDefault="009D4A93" w:rsidP="009D4A93">
            <w:pPr>
              <w:spacing w:after="0"/>
              <w:jc w:val="center"/>
              <w:rPr>
                <w:rFonts w:eastAsia="Times New Roman"/>
                <w:lang w:eastAsia="ja-JP"/>
              </w:rPr>
            </w:pPr>
            <w:r w:rsidRPr="00536CFD">
              <w:t>98%</w:t>
            </w:r>
          </w:p>
        </w:tc>
        <w:tc>
          <w:tcPr>
            <w:tcW w:w="932" w:type="dxa"/>
          </w:tcPr>
          <w:p w14:paraId="7BADEF1B" w14:textId="77777777" w:rsidR="009D4A93" w:rsidRPr="00536CFD" w:rsidRDefault="009D4A93" w:rsidP="009D4A93">
            <w:pPr>
              <w:spacing w:after="0"/>
              <w:jc w:val="center"/>
              <w:rPr>
                <w:rFonts w:eastAsia="Times New Roman"/>
                <w:lang w:eastAsia="ja-JP"/>
              </w:rPr>
            </w:pPr>
            <w:r w:rsidRPr="00536CFD">
              <w:t>78%</w:t>
            </w:r>
          </w:p>
        </w:tc>
        <w:tc>
          <w:tcPr>
            <w:tcW w:w="953" w:type="dxa"/>
          </w:tcPr>
          <w:p w14:paraId="5ABAD678" w14:textId="77777777" w:rsidR="009D4A93" w:rsidRPr="00536CFD" w:rsidRDefault="009D4A93" w:rsidP="009D4A93">
            <w:pPr>
              <w:spacing w:after="0"/>
              <w:jc w:val="center"/>
              <w:rPr>
                <w:rFonts w:eastAsia="Times New Roman"/>
                <w:lang w:eastAsia="ja-JP"/>
              </w:rPr>
            </w:pPr>
            <w:r w:rsidRPr="00536CFD">
              <w:t>91%</w:t>
            </w:r>
          </w:p>
        </w:tc>
        <w:tc>
          <w:tcPr>
            <w:tcW w:w="954" w:type="dxa"/>
          </w:tcPr>
          <w:p w14:paraId="4CC29694" w14:textId="77777777" w:rsidR="009D4A93" w:rsidRPr="00536CFD" w:rsidRDefault="009D4A93" w:rsidP="009D4A93">
            <w:pPr>
              <w:spacing w:after="0"/>
              <w:jc w:val="center"/>
              <w:rPr>
                <w:rFonts w:eastAsia="Times New Roman"/>
                <w:lang w:eastAsia="ja-JP"/>
              </w:rPr>
            </w:pPr>
            <w:r w:rsidRPr="00536CFD">
              <w:t>88%</w:t>
            </w:r>
          </w:p>
        </w:tc>
        <w:tc>
          <w:tcPr>
            <w:tcW w:w="983" w:type="dxa"/>
          </w:tcPr>
          <w:p w14:paraId="60179590" w14:textId="77777777" w:rsidR="009D4A93" w:rsidRPr="00536CFD" w:rsidRDefault="009D4A93" w:rsidP="009D4A93">
            <w:pPr>
              <w:spacing w:after="0"/>
              <w:jc w:val="center"/>
              <w:rPr>
                <w:rFonts w:eastAsia="Times New Roman"/>
                <w:lang w:eastAsia="ja-JP"/>
              </w:rPr>
            </w:pPr>
            <w:r w:rsidRPr="00536CFD">
              <w:t>50%</w:t>
            </w:r>
          </w:p>
        </w:tc>
        <w:tc>
          <w:tcPr>
            <w:tcW w:w="983" w:type="dxa"/>
          </w:tcPr>
          <w:p w14:paraId="03D1A170" w14:textId="77777777" w:rsidR="009D4A93" w:rsidRPr="00536CFD" w:rsidRDefault="009D4A93" w:rsidP="009D4A93">
            <w:pPr>
              <w:spacing w:after="0"/>
              <w:jc w:val="center"/>
              <w:rPr>
                <w:rFonts w:eastAsia="Times New Roman"/>
                <w:lang w:eastAsia="ja-JP"/>
              </w:rPr>
            </w:pPr>
            <w:r w:rsidRPr="00536CFD">
              <w:t>68%</w:t>
            </w:r>
          </w:p>
        </w:tc>
        <w:tc>
          <w:tcPr>
            <w:tcW w:w="984" w:type="dxa"/>
          </w:tcPr>
          <w:p w14:paraId="1C2AFD49" w14:textId="77777777" w:rsidR="009D4A93" w:rsidRPr="00536CFD" w:rsidRDefault="009D4A93" w:rsidP="009D4A93">
            <w:pPr>
              <w:spacing w:after="0"/>
              <w:jc w:val="center"/>
              <w:rPr>
                <w:rFonts w:eastAsia="Times New Roman"/>
                <w:lang w:eastAsia="ja-JP"/>
              </w:rPr>
            </w:pPr>
            <w:r w:rsidRPr="00536CFD">
              <w:t>64%</w:t>
            </w:r>
          </w:p>
        </w:tc>
      </w:tr>
      <w:tr w:rsidR="009D4A93" w:rsidRPr="00536CFD" w14:paraId="44838F0E" w14:textId="77777777" w:rsidTr="009D4A93">
        <w:trPr>
          <w:cantSplit/>
          <w:trHeight w:val="22"/>
        </w:trPr>
        <w:tc>
          <w:tcPr>
            <w:tcW w:w="500" w:type="dxa"/>
            <w:vMerge/>
          </w:tcPr>
          <w:p w14:paraId="16FCF0D7" w14:textId="77777777" w:rsidR="009D4A93" w:rsidRPr="00536CFD" w:rsidRDefault="009D4A93" w:rsidP="009D4A93">
            <w:pPr>
              <w:spacing w:after="0"/>
              <w:jc w:val="center"/>
              <w:rPr>
                <w:rFonts w:eastAsia="Times New Roman"/>
                <w:lang w:eastAsia="ja-JP"/>
              </w:rPr>
            </w:pPr>
          </w:p>
        </w:tc>
        <w:tc>
          <w:tcPr>
            <w:tcW w:w="1010" w:type="dxa"/>
            <w:gridSpan w:val="2"/>
          </w:tcPr>
          <w:p w14:paraId="00B02494" w14:textId="77777777" w:rsidR="009D4A93" w:rsidRPr="00536CFD" w:rsidRDefault="009D4A93" w:rsidP="009D4A93">
            <w:pPr>
              <w:spacing w:after="0"/>
              <w:jc w:val="center"/>
              <w:rPr>
                <w:rFonts w:eastAsia="Times New Roman"/>
                <w:lang w:eastAsia="ja-JP"/>
              </w:rPr>
            </w:pPr>
            <w:r w:rsidRPr="00536CFD">
              <w:t>BO</w:t>
            </w:r>
          </w:p>
        </w:tc>
        <w:tc>
          <w:tcPr>
            <w:tcW w:w="858" w:type="dxa"/>
          </w:tcPr>
          <w:p w14:paraId="0077E549" w14:textId="77777777" w:rsidR="009D4A93" w:rsidRPr="00536CFD" w:rsidRDefault="009D4A93" w:rsidP="009D4A93">
            <w:pPr>
              <w:spacing w:after="0"/>
              <w:jc w:val="center"/>
              <w:rPr>
                <w:rFonts w:eastAsia="Times New Roman"/>
                <w:lang w:eastAsia="ja-JP"/>
              </w:rPr>
            </w:pPr>
            <w:r w:rsidRPr="00536CFD">
              <w:t>10%</w:t>
            </w:r>
          </w:p>
        </w:tc>
        <w:tc>
          <w:tcPr>
            <w:tcW w:w="858" w:type="dxa"/>
          </w:tcPr>
          <w:p w14:paraId="12A3D8BF" w14:textId="77777777" w:rsidR="009D4A93" w:rsidRPr="00536CFD" w:rsidRDefault="009D4A93" w:rsidP="009D4A93">
            <w:pPr>
              <w:spacing w:after="0"/>
              <w:jc w:val="center"/>
              <w:rPr>
                <w:rFonts w:eastAsia="Times New Roman"/>
                <w:lang w:eastAsia="ja-JP"/>
              </w:rPr>
            </w:pPr>
            <w:r w:rsidRPr="00536CFD">
              <w:t>09%</w:t>
            </w:r>
          </w:p>
        </w:tc>
        <w:tc>
          <w:tcPr>
            <w:tcW w:w="880" w:type="dxa"/>
          </w:tcPr>
          <w:p w14:paraId="32BED158" w14:textId="77777777" w:rsidR="009D4A93" w:rsidRPr="00536CFD" w:rsidRDefault="009D4A93" w:rsidP="009D4A93">
            <w:pPr>
              <w:spacing w:after="0"/>
              <w:jc w:val="center"/>
              <w:rPr>
                <w:rFonts w:eastAsia="Times New Roman"/>
                <w:lang w:eastAsia="ja-JP"/>
              </w:rPr>
            </w:pPr>
            <w:r w:rsidRPr="00536CFD">
              <w:t>10%</w:t>
            </w:r>
          </w:p>
        </w:tc>
        <w:tc>
          <w:tcPr>
            <w:tcW w:w="932" w:type="dxa"/>
          </w:tcPr>
          <w:p w14:paraId="5D71DFC4" w14:textId="77777777" w:rsidR="009D4A93" w:rsidRPr="00536CFD" w:rsidRDefault="009D4A93" w:rsidP="009D4A93">
            <w:pPr>
              <w:spacing w:after="0"/>
              <w:jc w:val="center"/>
              <w:rPr>
                <w:rFonts w:eastAsia="Times New Roman"/>
                <w:lang w:eastAsia="ja-JP"/>
              </w:rPr>
            </w:pPr>
            <w:r w:rsidRPr="00536CFD">
              <w:t>35%</w:t>
            </w:r>
          </w:p>
        </w:tc>
        <w:tc>
          <w:tcPr>
            <w:tcW w:w="953" w:type="dxa"/>
          </w:tcPr>
          <w:p w14:paraId="74A24CA3" w14:textId="77777777" w:rsidR="009D4A93" w:rsidRPr="00536CFD" w:rsidRDefault="009D4A93" w:rsidP="009D4A93">
            <w:pPr>
              <w:spacing w:after="0"/>
              <w:jc w:val="center"/>
              <w:rPr>
                <w:rFonts w:eastAsia="Times New Roman"/>
                <w:lang w:eastAsia="ja-JP"/>
              </w:rPr>
            </w:pPr>
            <w:r w:rsidRPr="00536CFD">
              <w:t>23%</w:t>
            </w:r>
          </w:p>
        </w:tc>
        <w:tc>
          <w:tcPr>
            <w:tcW w:w="954" w:type="dxa"/>
          </w:tcPr>
          <w:p w14:paraId="1162F710" w14:textId="77777777" w:rsidR="009D4A93" w:rsidRPr="00536CFD" w:rsidRDefault="009D4A93" w:rsidP="009D4A93">
            <w:pPr>
              <w:spacing w:after="0"/>
              <w:jc w:val="center"/>
              <w:rPr>
                <w:rFonts w:eastAsia="Times New Roman"/>
                <w:lang w:eastAsia="ja-JP"/>
              </w:rPr>
            </w:pPr>
            <w:r w:rsidRPr="00536CFD">
              <w:t>27%</w:t>
            </w:r>
          </w:p>
        </w:tc>
        <w:tc>
          <w:tcPr>
            <w:tcW w:w="983" w:type="dxa"/>
          </w:tcPr>
          <w:p w14:paraId="1CACDF61" w14:textId="77777777" w:rsidR="009D4A93" w:rsidRPr="00536CFD" w:rsidRDefault="009D4A93" w:rsidP="009D4A93">
            <w:pPr>
              <w:spacing w:after="0"/>
              <w:jc w:val="center"/>
              <w:rPr>
                <w:rFonts w:eastAsia="Times New Roman"/>
                <w:lang w:eastAsia="ja-JP"/>
              </w:rPr>
            </w:pPr>
            <w:r w:rsidRPr="00536CFD">
              <w:t>60%</w:t>
            </w:r>
          </w:p>
        </w:tc>
        <w:tc>
          <w:tcPr>
            <w:tcW w:w="983" w:type="dxa"/>
          </w:tcPr>
          <w:p w14:paraId="2F02596A" w14:textId="77777777" w:rsidR="009D4A93" w:rsidRPr="00536CFD" w:rsidRDefault="009D4A93" w:rsidP="009D4A93">
            <w:pPr>
              <w:spacing w:after="0"/>
              <w:jc w:val="center"/>
              <w:rPr>
                <w:rFonts w:eastAsia="Times New Roman"/>
                <w:lang w:eastAsia="ja-JP"/>
              </w:rPr>
            </w:pPr>
            <w:r w:rsidRPr="00536CFD">
              <w:t>46%</w:t>
            </w:r>
          </w:p>
        </w:tc>
        <w:tc>
          <w:tcPr>
            <w:tcW w:w="984" w:type="dxa"/>
          </w:tcPr>
          <w:p w14:paraId="082D14CC" w14:textId="77777777" w:rsidR="009D4A93" w:rsidRPr="00536CFD" w:rsidRDefault="009D4A93" w:rsidP="009D4A93">
            <w:pPr>
              <w:spacing w:after="0"/>
              <w:jc w:val="center"/>
              <w:rPr>
                <w:rFonts w:eastAsia="Times New Roman"/>
                <w:lang w:eastAsia="ja-JP"/>
              </w:rPr>
            </w:pPr>
            <w:r w:rsidRPr="00536CFD">
              <w:t>58%</w:t>
            </w:r>
          </w:p>
        </w:tc>
      </w:tr>
      <w:tr w:rsidR="009D4A93" w:rsidRPr="00536CFD" w14:paraId="584E233E" w14:textId="77777777" w:rsidTr="009D4A93">
        <w:trPr>
          <w:cantSplit/>
          <w:trHeight w:val="22"/>
        </w:trPr>
        <w:tc>
          <w:tcPr>
            <w:tcW w:w="500" w:type="dxa"/>
            <w:vMerge/>
          </w:tcPr>
          <w:p w14:paraId="0613E7BA" w14:textId="77777777" w:rsidR="009D4A93" w:rsidRPr="00536CFD" w:rsidRDefault="009D4A93" w:rsidP="009D4A93">
            <w:pPr>
              <w:spacing w:after="0"/>
              <w:jc w:val="center"/>
              <w:rPr>
                <w:rFonts w:eastAsia="Times New Roman"/>
                <w:lang w:eastAsia="ja-JP"/>
              </w:rPr>
            </w:pPr>
          </w:p>
        </w:tc>
        <w:tc>
          <w:tcPr>
            <w:tcW w:w="1010" w:type="dxa"/>
            <w:gridSpan w:val="2"/>
          </w:tcPr>
          <w:p w14:paraId="44AD83AA" w14:textId="77777777" w:rsidR="009D4A93" w:rsidRPr="00536CFD" w:rsidRDefault="009D4A93" w:rsidP="009D4A93">
            <w:pPr>
              <w:spacing w:after="0"/>
              <w:jc w:val="center"/>
              <w:rPr>
                <w:rFonts w:eastAsia="Times New Roman"/>
                <w:lang w:eastAsia="ja-JP"/>
              </w:rPr>
            </w:pPr>
            <w:r w:rsidRPr="00536CFD">
              <w:rPr>
                <w:rFonts w:ascii="Cambria Math" w:hAnsi="Cambria Math" w:cs="Cambria Math"/>
              </w:rPr>
              <w:t>𝜆</w:t>
            </w:r>
          </w:p>
        </w:tc>
        <w:tc>
          <w:tcPr>
            <w:tcW w:w="2596" w:type="dxa"/>
            <w:gridSpan w:val="3"/>
          </w:tcPr>
          <w:p w14:paraId="4FA0FA55" w14:textId="77777777" w:rsidR="009D4A93" w:rsidRPr="00536CFD" w:rsidRDefault="009D4A93" w:rsidP="009D4A93">
            <w:pPr>
              <w:spacing w:after="0"/>
              <w:jc w:val="center"/>
              <w:rPr>
                <w:rFonts w:eastAsia="Times New Roman"/>
                <w:lang w:eastAsia="ja-JP"/>
              </w:rPr>
            </w:pPr>
            <w:r w:rsidRPr="00536CFD">
              <w:t>0.25 file/s</w:t>
            </w:r>
          </w:p>
        </w:tc>
        <w:tc>
          <w:tcPr>
            <w:tcW w:w="2839" w:type="dxa"/>
            <w:gridSpan w:val="3"/>
          </w:tcPr>
          <w:p w14:paraId="6DB06618" w14:textId="77777777" w:rsidR="009D4A93" w:rsidRPr="00536CFD" w:rsidRDefault="009D4A93" w:rsidP="009D4A93">
            <w:pPr>
              <w:spacing w:after="0"/>
              <w:jc w:val="center"/>
              <w:rPr>
                <w:rFonts w:eastAsia="Times New Roman"/>
                <w:lang w:eastAsia="ja-JP"/>
              </w:rPr>
            </w:pPr>
            <w:r w:rsidRPr="00536CFD">
              <w:t>0.36 file/s</w:t>
            </w:r>
          </w:p>
        </w:tc>
        <w:tc>
          <w:tcPr>
            <w:tcW w:w="2950" w:type="dxa"/>
            <w:gridSpan w:val="3"/>
          </w:tcPr>
          <w:p w14:paraId="2349910B" w14:textId="77777777" w:rsidR="009D4A93" w:rsidRPr="00536CFD" w:rsidRDefault="009D4A93" w:rsidP="009D4A93">
            <w:pPr>
              <w:spacing w:after="0"/>
              <w:jc w:val="center"/>
              <w:rPr>
                <w:rFonts w:eastAsia="Times New Roman"/>
                <w:lang w:eastAsia="ja-JP"/>
              </w:rPr>
            </w:pPr>
            <w:r w:rsidRPr="00536CFD">
              <w:t>0.48 file/s</w:t>
            </w:r>
          </w:p>
        </w:tc>
      </w:tr>
      <w:tr w:rsidR="009D4A93" w:rsidRPr="00536CFD" w14:paraId="22FB2B2D" w14:textId="77777777" w:rsidTr="009D4A93">
        <w:trPr>
          <w:cantSplit/>
          <w:trHeight w:val="22"/>
        </w:trPr>
        <w:tc>
          <w:tcPr>
            <w:tcW w:w="500" w:type="dxa"/>
          </w:tcPr>
          <w:p w14:paraId="48AAEFF8" w14:textId="77777777" w:rsidR="009D4A93" w:rsidRPr="00536CFD" w:rsidRDefault="009D4A93" w:rsidP="009D4A93">
            <w:pPr>
              <w:spacing w:after="0"/>
              <w:jc w:val="center"/>
              <w:rPr>
                <w:rFonts w:eastAsia="Times New Roman"/>
                <w:lang w:eastAsia="ja-JP"/>
              </w:rPr>
            </w:pPr>
          </w:p>
        </w:tc>
        <w:tc>
          <w:tcPr>
            <w:tcW w:w="1010" w:type="dxa"/>
            <w:gridSpan w:val="2"/>
          </w:tcPr>
          <w:p w14:paraId="60C4CCE4" w14:textId="77777777" w:rsidR="009D4A93" w:rsidRPr="00536CFD" w:rsidRDefault="009D4A93" w:rsidP="009D4A93">
            <w:pPr>
              <w:spacing w:after="0"/>
              <w:jc w:val="both"/>
              <w:rPr>
                <w:rFonts w:eastAsia="Times New Roman"/>
                <w:lang w:eastAsia="ja-JP"/>
              </w:rPr>
            </w:pPr>
          </w:p>
        </w:tc>
        <w:tc>
          <w:tcPr>
            <w:tcW w:w="8385" w:type="dxa"/>
            <w:gridSpan w:val="9"/>
          </w:tcPr>
          <w:p w14:paraId="78F531D3" w14:textId="77777777" w:rsidR="009D4A93" w:rsidRPr="00536CFD" w:rsidRDefault="009D4A93" w:rsidP="009D4A93">
            <w:pPr>
              <w:pStyle w:val="ResTable"/>
              <w:jc w:val="left"/>
              <w:rPr>
                <w:rFonts w:ascii="Times New Roman" w:hAnsi="Times New Roman" w:cs="Times New Roman"/>
                <w:sz w:val="20"/>
                <w:szCs w:val="20"/>
              </w:rPr>
            </w:pPr>
            <w:r w:rsidRPr="00536CFD">
              <w:rPr>
                <w:rFonts w:ascii="Times New Roman" w:hAnsi="Times New Roman" w:cs="Times New Roman"/>
                <w:sz w:val="20"/>
                <w:szCs w:val="20"/>
              </w:rPr>
              <w:t xml:space="preserve">Additional comments: </w:t>
            </w:r>
          </w:p>
          <w:p w14:paraId="7185542D" w14:textId="77777777" w:rsidR="009D4A93" w:rsidRPr="00536CFD" w:rsidRDefault="009D4A93" w:rsidP="009D4A93">
            <w:pPr>
              <w:spacing w:after="0"/>
              <w:rPr>
                <w:rFonts w:eastAsia="Times New Roman"/>
                <w:lang w:eastAsia="ja-JP"/>
              </w:rPr>
            </w:pPr>
            <w:r w:rsidRPr="00536CFD">
              <w:rPr>
                <w:b/>
                <w:bCs/>
                <w:lang w:eastAsia="sv-SE"/>
              </w:rPr>
              <w:t>Simulation setup:</w:t>
            </w:r>
            <w:r w:rsidRPr="00536CFD">
              <w:rPr>
                <w:lang w:eastAsia="sv-SE"/>
              </w:rPr>
              <w:t xml:space="preserve"> NR-U indoor scenario, 50/50 DL/UL traffics. </w:t>
            </w:r>
            <w:r w:rsidRPr="00536CFD">
              <w:br/>
            </w:r>
            <w:r w:rsidRPr="00536CFD">
              <w:rPr>
                <w:b/>
                <w:bCs/>
              </w:rPr>
              <w:t>Common assumptions:</w:t>
            </w:r>
            <w:r w:rsidRPr="00536CFD">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SCS 30kHz, UE processing time capability #1, PUSCH mapping Type A, PDSCH mapping Type B, PDCCH monitoring every 1OS, Scheduling: proportional fair, self-scheduling. COT sharing enabled (gNB initiated COT).</w:t>
            </w:r>
          </w:p>
        </w:tc>
      </w:tr>
      <w:tr w:rsidR="009D4A93" w:rsidRPr="00536CFD" w14:paraId="4FA2B890" w14:textId="77777777" w:rsidTr="009D4A93">
        <w:trPr>
          <w:cantSplit/>
          <w:trHeight w:val="22"/>
        </w:trPr>
        <w:tc>
          <w:tcPr>
            <w:tcW w:w="9895" w:type="dxa"/>
            <w:gridSpan w:val="12"/>
          </w:tcPr>
          <w:p w14:paraId="18B41552" w14:textId="77777777" w:rsidR="009D4A93" w:rsidRPr="00536CFD" w:rsidRDefault="009D4A93" w:rsidP="009D4A93">
            <w:pPr>
              <w:pageBreakBefore/>
              <w:spacing w:after="0"/>
              <w:jc w:val="center"/>
            </w:pPr>
            <w:r w:rsidRPr="00536CFD">
              <w:t>Evaluation results of Wi-Fi in an NR-U + Wi-Fi coexistence in indoor scenario</w:t>
            </w:r>
          </w:p>
        </w:tc>
      </w:tr>
      <w:tr w:rsidR="009D4A93" w:rsidRPr="00536CFD" w14:paraId="2B06CCD0" w14:textId="77777777" w:rsidTr="009D4A93">
        <w:trPr>
          <w:cantSplit/>
          <w:trHeight w:val="22"/>
        </w:trPr>
        <w:tc>
          <w:tcPr>
            <w:tcW w:w="500" w:type="dxa"/>
            <w:vMerge w:val="restart"/>
            <w:textDirection w:val="btLr"/>
          </w:tcPr>
          <w:p w14:paraId="06A233E4" w14:textId="77777777" w:rsidR="009D4A93" w:rsidRPr="00536CFD" w:rsidRDefault="009D4A93" w:rsidP="009D4A93">
            <w:pPr>
              <w:spacing w:after="0"/>
              <w:ind w:left="113" w:right="113"/>
              <w:jc w:val="center"/>
            </w:pPr>
            <w:r w:rsidRPr="00536CFD">
              <w:t>Tdoc / Source</w:t>
            </w:r>
          </w:p>
        </w:tc>
        <w:tc>
          <w:tcPr>
            <w:tcW w:w="1010" w:type="dxa"/>
            <w:gridSpan w:val="2"/>
            <w:vMerge w:val="restart"/>
          </w:tcPr>
          <w:p w14:paraId="17AD6A1A" w14:textId="77777777" w:rsidR="009D4A93" w:rsidRPr="00536CFD" w:rsidRDefault="009D4A93" w:rsidP="009D4A93">
            <w:pPr>
              <w:spacing w:after="0"/>
              <w:jc w:val="center"/>
            </w:pPr>
          </w:p>
          <w:p w14:paraId="72CC2ABA" w14:textId="77777777" w:rsidR="009D4A93" w:rsidRPr="00536CFD" w:rsidRDefault="009D4A93" w:rsidP="009D4A93">
            <w:pPr>
              <w:spacing w:after="0"/>
              <w:jc w:val="center"/>
              <w:rPr>
                <w:rFonts w:eastAsia="Times New Roman"/>
                <w:lang w:eastAsia="ja-JP"/>
              </w:rPr>
            </w:pPr>
            <w:r w:rsidRPr="00536CFD">
              <w:t>Reported parameters</w:t>
            </w:r>
          </w:p>
        </w:tc>
        <w:tc>
          <w:tcPr>
            <w:tcW w:w="2596" w:type="dxa"/>
            <w:gridSpan w:val="3"/>
          </w:tcPr>
          <w:p w14:paraId="1D90261F" w14:textId="77777777" w:rsidR="009D4A93" w:rsidRPr="00536CFD" w:rsidRDefault="009D4A93" w:rsidP="009D4A93">
            <w:pPr>
              <w:spacing w:after="0"/>
              <w:jc w:val="center"/>
              <w:rPr>
                <w:u w:val="single"/>
              </w:rPr>
            </w:pPr>
            <w:r w:rsidRPr="00536CFD">
              <w:rPr>
                <w:u w:val="single"/>
              </w:rPr>
              <w:t>Low load</w:t>
            </w:r>
          </w:p>
          <w:p w14:paraId="3E13332D" w14:textId="77777777" w:rsidR="009D4A93" w:rsidRPr="00536CFD" w:rsidRDefault="009D4A93" w:rsidP="009D4A93">
            <w:pPr>
              <w:spacing w:after="0"/>
              <w:jc w:val="center"/>
              <w:rPr>
                <w:rFonts w:eastAsia="Times New Roman"/>
                <w:u w:val="single"/>
                <w:lang w:eastAsia="ja-JP"/>
              </w:rPr>
            </w:pPr>
            <w:r w:rsidRPr="00536CFD">
              <w:t xml:space="preserve">BO range for NR-U in </w:t>
            </w:r>
            <w:r w:rsidRPr="00536CFD">
              <w:br/>
              <w:t xml:space="preserve">NR-U + Wi-Fi, with NR-U uses ED = -72dBm: </w:t>
            </w:r>
            <w:r w:rsidRPr="00536CFD">
              <w:rPr>
                <w:rFonts w:eastAsia="MS Mincho"/>
              </w:rPr>
              <w:t>10%~25%</w:t>
            </w:r>
          </w:p>
        </w:tc>
        <w:tc>
          <w:tcPr>
            <w:tcW w:w="2839" w:type="dxa"/>
            <w:gridSpan w:val="3"/>
          </w:tcPr>
          <w:p w14:paraId="019F1CDE" w14:textId="77777777" w:rsidR="009D4A93" w:rsidRPr="00536CFD" w:rsidRDefault="009D4A93" w:rsidP="009D4A93">
            <w:pPr>
              <w:spacing w:after="0"/>
              <w:jc w:val="center"/>
              <w:rPr>
                <w:u w:val="single"/>
              </w:rPr>
            </w:pPr>
            <w:r w:rsidRPr="00536CFD">
              <w:rPr>
                <w:u w:val="single"/>
              </w:rPr>
              <w:t>Medium load</w:t>
            </w:r>
          </w:p>
          <w:p w14:paraId="50232A1E" w14:textId="77777777" w:rsidR="009D4A93" w:rsidRPr="00536CFD" w:rsidRDefault="009D4A93" w:rsidP="009D4A93">
            <w:pPr>
              <w:spacing w:after="0"/>
              <w:jc w:val="center"/>
              <w:rPr>
                <w:rFonts w:eastAsia="Times New Roman"/>
                <w:u w:val="single"/>
                <w:lang w:eastAsia="ja-JP"/>
              </w:rPr>
            </w:pPr>
            <w:r w:rsidRPr="00536CFD">
              <w:t xml:space="preserve">BO range for NR-U in </w:t>
            </w:r>
            <w:r w:rsidRPr="00536CFD">
              <w:br/>
              <w:t xml:space="preserve">NR-U + Wi-Fi, with NR-U uses ED = -72dBm: </w:t>
            </w:r>
            <w:r w:rsidRPr="00536CFD">
              <w:rPr>
                <w:rFonts w:eastAsia="MS Mincho"/>
              </w:rPr>
              <w:t>35%~50%</w:t>
            </w:r>
          </w:p>
        </w:tc>
        <w:tc>
          <w:tcPr>
            <w:tcW w:w="2950" w:type="dxa"/>
            <w:gridSpan w:val="3"/>
          </w:tcPr>
          <w:p w14:paraId="7013A6F3" w14:textId="77777777" w:rsidR="009D4A93" w:rsidRPr="00536CFD" w:rsidRDefault="009D4A93" w:rsidP="009D4A93">
            <w:pPr>
              <w:spacing w:after="0"/>
              <w:jc w:val="center"/>
              <w:rPr>
                <w:u w:val="single"/>
              </w:rPr>
            </w:pPr>
            <w:r w:rsidRPr="00536CFD">
              <w:rPr>
                <w:u w:val="single"/>
              </w:rPr>
              <w:t>High load</w:t>
            </w:r>
          </w:p>
          <w:p w14:paraId="3CF8ACB7" w14:textId="77777777" w:rsidR="009D4A93" w:rsidRPr="00536CFD" w:rsidRDefault="009D4A93" w:rsidP="009D4A93">
            <w:pPr>
              <w:spacing w:after="0"/>
              <w:jc w:val="center"/>
              <w:rPr>
                <w:rFonts w:eastAsia="Times New Roman"/>
                <w:u w:val="single"/>
                <w:lang w:eastAsia="ja-JP"/>
              </w:rPr>
            </w:pPr>
            <w:r w:rsidRPr="00536CFD">
              <w:t xml:space="preserve">BO range for NR-U in </w:t>
            </w:r>
            <w:r w:rsidRPr="00536CFD">
              <w:br/>
              <w:t>NR-U + Wi-Fi, with NR-U uses ED = -72dBm: above 55%</w:t>
            </w:r>
          </w:p>
        </w:tc>
      </w:tr>
      <w:tr w:rsidR="009D4A93" w:rsidRPr="00536CFD" w14:paraId="64BE5068" w14:textId="77777777" w:rsidTr="009D4A93">
        <w:trPr>
          <w:cantSplit/>
          <w:trHeight w:val="843"/>
        </w:trPr>
        <w:tc>
          <w:tcPr>
            <w:tcW w:w="500" w:type="dxa"/>
            <w:vMerge/>
          </w:tcPr>
          <w:p w14:paraId="3EEC035B" w14:textId="77777777" w:rsidR="009D4A93" w:rsidRPr="00536CFD" w:rsidRDefault="009D4A93" w:rsidP="009D4A93">
            <w:pPr>
              <w:spacing w:after="0"/>
              <w:jc w:val="center"/>
              <w:rPr>
                <w:rFonts w:eastAsia="Times New Roman"/>
                <w:lang w:eastAsia="ja-JP"/>
              </w:rPr>
            </w:pPr>
          </w:p>
        </w:tc>
        <w:tc>
          <w:tcPr>
            <w:tcW w:w="1010" w:type="dxa"/>
            <w:gridSpan w:val="2"/>
            <w:vMerge/>
          </w:tcPr>
          <w:p w14:paraId="7F4991F2" w14:textId="77777777" w:rsidR="009D4A93" w:rsidRPr="00536CFD" w:rsidRDefault="009D4A93" w:rsidP="009D4A93">
            <w:pPr>
              <w:spacing w:after="0"/>
              <w:jc w:val="center"/>
              <w:rPr>
                <w:rFonts w:eastAsia="Times New Roman"/>
                <w:lang w:eastAsia="ja-JP"/>
              </w:rPr>
            </w:pPr>
          </w:p>
        </w:tc>
        <w:tc>
          <w:tcPr>
            <w:tcW w:w="858" w:type="dxa"/>
          </w:tcPr>
          <w:p w14:paraId="4470F397" w14:textId="77777777" w:rsidR="009D4A93" w:rsidRPr="00536CFD" w:rsidRDefault="009D4A93" w:rsidP="009D4A93">
            <w:pPr>
              <w:spacing w:after="0"/>
              <w:jc w:val="center"/>
            </w:pPr>
            <w:r w:rsidRPr="00536CFD">
              <w:t>Wi-Fi in NR-U + Wi-Fi, with NR-U uses ED = -72dBm</w:t>
            </w:r>
          </w:p>
          <w:p w14:paraId="3C3DB94E" w14:textId="77777777" w:rsidR="009D4A93" w:rsidRPr="00536CFD" w:rsidRDefault="009D4A93" w:rsidP="009D4A93">
            <w:pPr>
              <w:spacing w:after="0"/>
              <w:jc w:val="center"/>
              <w:rPr>
                <w:rFonts w:eastAsia="Times New Roman"/>
                <w:lang w:eastAsia="ja-JP"/>
              </w:rPr>
            </w:pPr>
          </w:p>
        </w:tc>
        <w:tc>
          <w:tcPr>
            <w:tcW w:w="858" w:type="dxa"/>
          </w:tcPr>
          <w:p w14:paraId="26FAA9D2" w14:textId="77777777" w:rsidR="009D4A93" w:rsidRPr="00536CFD" w:rsidRDefault="009D4A93" w:rsidP="009D4A93">
            <w:pPr>
              <w:spacing w:after="0"/>
              <w:jc w:val="center"/>
            </w:pPr>
            <w:r w:rsidRPr="00536CFD">
              <w:t>Wi-Fi in NR-U + Wi-Fi, with NR-U uses ED = -77dBm</w:t>
            </w:r>
          </w:p>
          <w:p w14:paraId="7951B7E0" w14:textId="77777777" w:rsidR="009D4A93" w:rsidRPr="00536CFD" w:rsidRDefault="009D4A93" w:rsidP="009D4A93">
            <w:pPr>
              <w:spacing w:after="0"/>
              <w:jc w:val="center"/>
              <w:rPr>
                <w:rFonts w:eastAsia="Times New Roman"/>
                <w:lang w:eastAsia="ja-JP"/>
              </w:rPr>
            </w:pPr>
          </w:p>
        </w:tc>
        <w:tc>
          <w:tcPr>
            <w:tcW w:w="880" w:type="dxa"/>
          </w:tcPr>
          <w:p w14:paraId="4F07FD5E" w14:textId="77777777" w:rsidR="009D4A93" w:rsidRPr="00536CFD" w:rsidRDefault="009D4A93" w:rsidP="009D4A93">
            <w:pPr>
              <w:spacing w:after="0"/>
              <w:jc w:val="center"/>
            </w:pPr>
            <w:r w:rsidRPr="00536CFD">
              <w:t>Wi-Fi in NR-U + Wi-Fi, with NR-U uses preamble</w:t>
            </w:r>
          </w:p>
          <w:p w14:paraId="008FD5B2" w14:textId="77777777" w:rsidR="009D4A93" w:rsidRPr="00536CFD" w:rsidRDefault="009D4A93" w:rsidP="009D4A93">
            <w:pPr>
              <w:spacing w:after="0"/>
              <w:jc w:val="center"/>
              <w:rPr>
                <w:rFonts w:eastAsia="Times New Roman"/>
                <w:lang w:eastAsia="ja-JP"/>
              </w:rPr>
            </w:pPr>
          </w:p>
        </w:tc>
        <w:tc>
          <w:tcPr>
            <w:tcW w:w="932" w:type="dxa"/>
          </w:tcPr>
          <w:p w14:paraId="2905B946" w14:textId="77777777" w:rsidR="009D4A93" w:rsidRPr="00536CFD" w:rsidRDefault="009D4A93" w:rsidP="009D4A93">
            <w:pPr>
              <w:spacing w:after="0"/>
              <w:jc w:val="center"/>
            </w:pPr>
            <w:r w:rsidRPr="00536CFD">
              <w:t>Wi-Fi in NR-U + Wi-Fi, with NR-U uses ED = -72dBm</w:t>
            </w:r>
          </w:p>
          <w:p w14:paraId="5BA18154" w14:textId="77777777" w:rsidR="009D4A93" w:rsidRPr="00536CFD" w:rsidRDefault="009D4A93" w:rsidP="009D4A93">
            <w:pPr>
              <w:spacing w:after="0"/>
              <w:jc w:val="center"/>
              <w:rPr>
                <w:rFonts w:eastAsia="Times New Roman"/>
                <w:lang w:eastAsia="ja-JP"/>
              </w:rPr>
            </w:pPr>
          </w:p>
        </w:tc>
        <w:tc>
          <w:tcPr>
            <w:tcW w:w="953" w:type="dxa"/>
          </w:tcPr>
          <w:p w14:paraId="5DEB631F" w14:textId="77777777" w:rsidR="009D4A93" w:rsidRPr="00536CFD" w:rsidRDefault="009D4A93" w:rsidP="009D4A93">
            <w:pPr>
              <w:spacing w:after="0"/>
              <w:jc w:val="center"/>
            </w:pPr>
            <w:r w:rsidRPr="00536CFD">
              <w:t>Wi-Fi in NR-U + Wi-Fi, with NR-U uses ED = -77dBm</w:t>
            </w:r>
          </w:p>
          <w:p w14:paraId="2A467820" w14:textId="77777777" w:rsidR="009D4A93" w:rsidRPr="00536CFD" w:rsidRDefault="009D4A93" w:rsidP="009D4A93">
            <w:pPr>
              <w:spacing w:after="0"/>
              <w:jc w:val="center"/>
              <w:rPr>
                <w:rFonts w:eastAsia="Times New Roman"/>
                <w:lang w:eastAsia="ja-JP"/>
              </w:rPr>
            </w:pPr>
          </w:p>
        </w:tc>
        <w:tc>
          <w:tcPr>
            <w:tcW w:w="954" w:type="dxa"/>
          </w:tcPr>
          <w:p w14:paraId="6C7B319F" w14:textId="77777777" w:rsidR="009D4A93" w:rsidRPr="00536CFD" w:rsidRDefault="009D4A93" w:rsidP="009D4A93">
            <w:pPr>
              <w:spacing w:after="0"/>
              <w:jc w:val="center"/>
            </w:pPr>
            <w:r w:rsidRPr="00536CFD">
              <w:t>Wi-Fi in NR-U + Wi-Fi, with NR-U uses preamble</w:t>
            </w:r>
          </w:p>
          <w:p w14:paraId="4D2BA456" w14:textId="77777777" w:rsidR="009D4A93" w:rsidRPr="00536CFD" w:rsidRDefault="009D4A93" w:rsidP="009D4A93">
            <w:pPr>
              <w:spacing w:after="0"/>
              <w:jc w:val="center"/>
              <w:rPr>
                <w:rFonts w:eastAsia="Times New Roman"/>
                <w:lang w:eastAsia="ja-JP"/>
              </w:rPr>
            </w:pPr>
          </w:p>
        </w:tc>
        <w:tc>
          <w:tcPr>
            <w:tcW w:w="983" w:type="dxa"/>
          </w:tcPr>
          <w:p w14:paraId="1E4C4F96" w14:textId="77777777" w:rsidR="009D4A93" w:rsidRPr="00536CFD" w:rsidRDefault="009D4A93" w:rsidP="009D4A93">
            <w:pPr>
              <w:spacing w:after="0"/>
              <w:jc w:val="center"/>
            </w:pPr>
            <w:r w:rsidRPr="00536CFD">
              <w:t>Wi-Fi in NR-U + Wi-Fi, with NR-U uses ED = -72dBm</w:t>
            </w:r>
          </w:p>
          <w:p w14:paraId="7095E6E2" w14:textId="77777777" w:rsidR="009D4A93" w:rsidRPr="00536CFD" w:rsidRDefault="009D4A93" w:rsidP="009D4A93">
            <w:pPr>
              <w:spacing w:after="0"/>
              <w:jc w:val="center"/>
              <w:rPr>
                <w:rFonts w:eastAsia="Times New Roman"/>
                <w:lang w:eastAsia="ja-JP"/>
              </w:rPr>
            </w:pPr>
          </w:p>
        </w:tc>
        <w:tc>
          <w:tcPr>
            <w:tcW w:w="983" w:type="dxa"/>
          </w:tcPr>
          <w:p w14:paraId="41C7718D" w14:textId="77777777" w:rsidR="009D4A93" w:rsidRPr="00536CFD" w:rsidRDefault="009D4A93" w:rsidP="009D4A93">
            <w:pPr>
              <w:spacing w:after="0"/>
              <w:jc w:val="center"/>
            </w:pPr>
            <w:r w:rsidRPr="00536CFD">
              <w:t>Wi-Fi in NR-U + Wi-Fi, with NR-U uses ED = -77dBm</w:t>
            </w:r>
          </w:p>
          <w:p w14:paraId="1B5BF508" w14:textId="77777777" w:rsidR="009D4A93" w:rsidRPr="00536CFD" w:rsidRDefault="009D4A93" w:rsidP="009D4A93">
            <w:pPr>
              <w:spacing w:after="0"/>
              <w:jc w:val="center"/>
              <w:rPr>
                <w:rFonts w:eastAsia="Times New Roman"/>
                <w:lang w:eastAsia="ja-JP"/>
              </w:rPr>
            </w:pPr>
          </w:p>
        </w:tc>
        <w:tc>
          <w:tcPr>
            <w:tcW w:w="984" w:type="dxa"/>
          </w:tcPr>
          <w:p w14:paraId="31D40056" w14:textId="77777777" w:rsidR="009D4A93" w:rsidRPr="00536CFD" w:rsidRDefault="009D4A93" w:rsidP="009D4A93">
            <w:pPr>
              <w:spacing w:after="0"/>
              <w:jc w:val="center"/>
            </w:pPr>
            <w:r w:rsidRPr="00536CFD">
              <w:t>Wi-Fi in NR-U + Wi-Fi, with NR-U uses preamble</w:t>
            </w:r>
          </w:p>
          <w:p w14:paraId="2D1DA136" w14:textId="77777777" w:rsidR="009D4A93" w:rsidRPr="00536CFD" w:rsidRDefault="009D4A93" w:rsidP="009D4A93">
            <w:pPr>
              <w:spacing w:after="0"/>
              <w:jc w:val="center"/>
              <w:rPr>
                <w:rFonts w:eastAsia="Times New Roman"/>
                <w:lang w:eastAsia="ja-JP"/>
              </w:rPr>
            </w:pPr>
          </w:p>
        </w:tc>
      </w:tr>
      <w:tr w:rsidR="009D4A93" w:rsidRPr="00536CFD" w14:paraId="67D877B9" w14:textId="77777777" w:rsidTr="009D4A93">
        <w:trPr>
          <w:cantSplit/>
          <w:trHeight w:val="204"/>
        </w:trPr>
        <w:tc>
          <w:tcPr>
            <w:tcW w:w="500" w:type="dxa"/>
            <w:vMerge w:val="restart"/>
            <w:textDirection w:val="btLr"/>
          </w:tcPr>
          <w:p w14:paraId="741FA408" w14:textId="77777777" w:rsidR="009D4A93" w:rsidRPr="00536CFD" w:rsidRDefault="009D4A93" w:rsidP="009D4A93">
            <w:pPr>
              <w:spacing w:after="0"/>
              <w:ind w:left="113" w:right="113"/>
              <w:jc w:val="center"/>
              <w:rPr>
                <w:rFonts w:eastAsia="Times New Roman"/>
                <w:lang w:eastAsia="ja-JP"/>
              </w:rPr>
            </w:pPr>
            <w:r w:rsidRPr="00536CFD">
              <w:rPr>
                <w:color w:val="000000"/>
              </w:rPr>
              <w:t>R1-1814021</w:t>
            </w:r>
            <w:r w:rsidRPr="00536CFD">
              <w:t>/ Source 8</w:t>
            </w:r>
          </w:p>
        </w:tc>
        <w:tc>
          <w:tcPr>
            <w:tcW w:w="505" w:type="dxa"/>
            <w:vMerge w:val="restart"/>
          </w:tcPr>
          <w:p w14:paraId="7CE4C994" w14:textId="77777777" w:rsidR="009D4A93" w:rsidRPr="00536CFD" w:rsidRDefault="009D4A93" w:rsidP="009D4A93">
            <w:pPr>
              <w:spacing w:after="0"/>
              <w:jc w:val="center"/>
            </w:pPr>
            <w:r w:rsidRPr="00536CFD">
              <w:t xml:space="preserve">DL: </w:t>
            </w:r>
          </w:p>
          <w:p w14:paraId="70162A93" w14:textId="77777777" w:rsidR="009D4A93" w:rsidRPr="00536CFD" w:rsidRDefault="009D4A93" w:rsidP="009D4A93">
            <w:pPr>
              <w:spacing w:after="0"/>
              <w:jc w:val="center"/>
            </w:pPr>
            <w:r w:rsidRPr="00536CFD">
              <w:t>UPT CDF</w:t>
            </w:r>
          </w:p>
          <w:p w14:paraId="1D6C3454" w14:textId="77777777" w:rsidR="009D4A93" w:rsidRPr="00536CFD" w:rsidRDefault="009D4A93" w:rsidP="009D4A93">
            <w:pPr>
              <w:spacing w:after="0"/>
              <w:jc w:val="center"/>
              <w:rPr>
                <w:rFonts w:eastAsia="Times New Roman"/>
                <w:lang w:eastAsia="ja-JP"/>
              </w:rPr>
            </w:pPr>
            <w:r w:rsidRPr="00536CFD">
              <w:t>[Mbps]</w:t>
            </w:r>
          </w:p>
        </w:tc>
        <w:tc>
          <w:tcPr>
            <w:tcW w:w="505" w:type="dxa"/>
          </w:tcPr>
          <w:p w14:paraId="5B2035C8" w14:textId="77777777" w:rsidR="009D4A93" w:rsidRPr="00536CFD" w:rsidRDefault="009D4A93" w:rsidP="009D4A93">
            <w:pPr>
              <w:spacing w:after="0"/>
              <w:jc w:val="center"/>
              <w:rPr>
                <w:rFonts w:eastAsia="Times New Roman"/>
                <w:lang w:eastAsia="ja-JP"/>
              </w:rPr>
            </w:pPr>
            <w:r w:rsidRPr="00536CFD">
              <w:t>5%</w:t>
            </w:r>
          </w:p>
        </w:tc>
        <w:tc>
          <w:tcPr>
            <w:tcW w:w="858" w:type="dxa"/>
          </w:tcPr>
          <w:p w14:paraId="7DBC2D7E" w14:textId="77777777" w:rsidR="009D4A93" w:rsidRPr="00536CFD" w:rsidRDefault="009D4A93" w:rsidP="009D4A93">
            <w:pPr>
              <w:spacing w:after="0"/>
              <w:jc w:val="center"/>
              <w:rPr>
                <w:rFonts w:eastAsia="Times New Roman"/>
                <w:lang w:eastAsia="ja-JP"/>
              </w:rPr>
            </w:pPr>
            <w:r w:rsidRPr="00536CFD">
              <w:t>36.00</w:t>
            </w:r>
          </w:p>
        </w:tc>
        <w:tc>
          <w:tcPr>
            <w:tcW w:w="858" w:type="dxa"/>
          </w:tcPr>
          <w:p w14:paraId="372A33EF" w14:textId="77777777" w:rsidR="009D4A93" w:rsidRPr="00536CFD" w:rsidRDefault="009D4A93" w:rsidP="009D4A93">
            <w:pPr>
              <w:spacing w:after="0"/>
              <w:jc w:val="center"/>
              <w:rPr>
                <w:rFonts w:eastAsia="Times New Roman"/>
                <w:lang w:eastAsia="ja-JP"/>
              </w:rPr>
            </w:pPr>
            <w:r w:rsidRPr="00536CFD">
              <w:t>36.99</w:t>
            </w:r>
          </w:p>
        </w:tc>
        <w:tc>
          <w:tcPr>
            <w:tcW w:w="880" w:type="dxa"/>
          </w:tcPr>
          <w:p w14:paraId="691726B9" w14:textId="77777777" w:rsidR="009D4A93" w:rsidRPr="00536CFD" w:rsidRDefault="009D4A93" w:rsidP="009D4A93">
            <w:pPr>
              <w:spacing w:after="0"/>
              <w:jc w:val="center"/>
              <w:rPr>
                <w:rFonts w:eastAsia="Times New Roman"/>
                <w:lang w:eastAsia="ja-JP"/>
              </w:rPr>
            </w:pPr>
            <w:r w:rsidRPr="00536CFD">
              <w:t>35.89</w:t>
            </w:r>
          </w:p>
        </w:tc>
        <w:tc>
          <w:tcPr>
            <w:tcW w:w="932" w:type="dxa"/>
          </w:tcPr>
          <w:p w14:paraId="38356B50" w14:textId="77777777" w:rsidR="009D4A93" w:rsidRPr="00536CFD" w:rsidRDefault="009D4A93" w:rsidP="009D4A93">
            <w:pPr>
              <w:spacing w:after="0"/>
              <w:jc w:val="center"/>
              <w:rPr>
                <w:rFonts w:eastAsia="Times New Roman"/>
                <w:lang w:eastAsia="ja-JP"/>
              </w:rPr>
            </w:pPr>
            <w:r w:rsidRPr="00536CFD">
              <w:t>21.37</w:t>
            </w:r>
          </w:p>
        </w:tc>
        <w:tc>
          <w:tcPr>
            <w:tcW w:w="953" w:type="dxa"/>
          </w:tcPr>
          <w:p w14:paraId="7462A950" w14:textId="77777777" w:rsidR="009D4A93" w:rsidRPr="00536CFD" w:rsidRDefault="009D4A93" w:rsidP="009D4A93">
            <w:pPr>
              <w:spacing w:after="0"/>
              <w:jc w:val="center"/>
              <w:rPr>
                <w:rFonts w:eastAsia="Times New Roman"/>
                <w:lang w:eastAsia="ja-JP"/>
              </w:rPr>
            </w:pPr>
            <w:r w:rsidRPr="00536CFD">
              <w:t>26.47</w:t>
            </w:r>
          </w:p>
        </w:tc>
        <w:tc>
          <w:tcPr>
            <w:tcW w:w="954" w:type="dxa"/>
          </w:tcPr>
          <w:p w14:paraId="08064652" w14:textId="77777777" w:rsidR="009D4A93" w:rsidRPr="00536CFD" w:rsidRDefault="009D4A93" w:rsidP="009D4A93">
            <w:pPr>
              <w:spacing w:after="0"/>
              <w:jc w:val="center"/>
              <w:rPr>
                <w:rFonts w:eastAsia="Times New Roman"/>
                <w:lang w:eastAsia="ja-JP"/>
              </w:rPr>
            </w:pPr>
            <w:r w:rsidRPr="00536CFD">
              <w:t>24.58</w:t>
            </w:r>
          </w:p>
        </w:tc>
        <w:tc>
          <w:tcPr>
            <w:tcW w:w="983" w:type="dxa"/>
          </w:tcPr>
          <w:p w14:paraId="73C46CC3" w14:textId="77777777" w:rsidR="009D4A93" w:rsidRPr="00536CFD" w:rsidRDefault="009D4A93" w:rsidP="009D4A93">
            <w:pPr>
              <w:spacing w:after="0"/>
              <w:jc w:val="center"/>
              <w:rPr>
                <w:rFonts w:eastAsia="Times New Roman"/>
                <w:lang w:eastAsia="ja-JP"/>
              </w:rPr>
            </w:pPr>
            <w:r w:rsidRPr="00536CFD">
              <w:t>8.97</w:t>
            </w:r>
          </w:p>
        </w:tc>
        <w:tc>
          <w:tcPr>
            <w:tcW w:w="983" w:type="dxa"/>
          </w:tcPr>
          <w:p w14:paraId="518D5ECA" w14:textId="77777777" w:rsidR="009D4A93" w:rsidRPr="00536CFD" w:rsidRDefault="009D4A93" w:rsidP="009D4A93">
            <w:pPr>
              <w:spacing w:after="0"/>
              <w:jc w:val="center"/>
              <w:rPr>
                <w:rFonts w:eastAsia="Times New Roman"/>
                <w:lang w:eastAsia="ja-JP"/>
              </w:rPr>
            </w:pPr>
            <w:r w:rsidRPr="00536CFD">
              <w:t>14.08</w:t>
            </w:r>
          </w:p>
        </w:tc>
        <w:tc>
          <w:tcPr>
            <w:tcW w:w="984" w:type="dxa"/>
          </w:tcPr>
          <w:p w14:paraId="377A3F3A" w14:textId="77777777" w:rsidR="009D4A93" w:rsidRPr="00536CFD" w:rsidRDefault="009D4A93" w:rsidP="009D4A93">
            <w:pPr>
              <w:spacing w:after="0"/>
              <w:jc w:val="center"/>
              <w:rPr>
                <w:rFonts w:eastAsia="Times New Roman"/>
                <w:lang w:eastAsia="ja-JP"/>
              </w:rPr>
            </w:pPr>
            <w:r w:rsidRPr="00536CFD">
              <w:t>10.40</w:t>
            </w:r>
          </w:p>
        </w:tc>
      </w:tr>
      <w:tr w:rsidR="009D4A93" w:rsidRPr="00536CFD" w14:paraId="38DF3D11" w14:textId="77777777" w:rsidTr="009D4A93">
        <w:trPr>
          <w:cantSplit/>
          <w:trHeight w:val="22"/>
        </w:trPr>
        <w:tc>
          <w:tcPr>
            <w:tcW w:w="500" w:type="dxa"/>
            <w:vMerge/>
          </w:tcPr>
          <w:p w14:paraId="7675E45F" w14:textId="77777777" w:rsidR="009D4A93" w:rsidRPr="00536CFD" w:rsidRDefault="009D4A93" w:rsidP="009D4A93">
            <w:pPr>
              <w:spacing w:after="0"/>
              <w:jc w:val="center"/>
              <w:rPr>
                <w:rFonts w:eastAsia="Times New Roman"/>
                <w:lang w:eastAsia="ja-JP"/>
              </w:rPr>
            </w:pPr>
          </w:p>
        </w:tc>
        <w:tc>
          <w:tcPr>
            <w:tcW w:w="505" w:type="dxa"/>
            <w:vMerge/>
          </w:tcPr>
          <w:p w14:paraId="23C70D7F" w14:textId="77777777" w:rsidR="009D4A93" w:rsidRPr="00536CFD" w:rsidRDefault="009D4A93" w:rsidP="009D4A93">
            <w:pPr>
              <w:spacing w:after="0"/>
              <w:jc w:val="center"/>
              <w:rPr>
                <w:rFonts w:eastAsia="Times New Roman"/>
                <w:lang w:eastAsia="ja-JP"/>
              </w:rPr>
            </w:pPr>
          </w:p>
        </w:tc>
        <w:tc>
          <w:tcPr>
            <w:tcW w:w="505" w:type="dxa"/>
          </w:tcPr>
          <w:p w14:paraId="265D73B7" w14:textId="77777777" w:rsidR="009D4A93" w:rsidRPr="00536CFD" w:rsidRDefault="009D4A93" w:rsidP="009D4A93">
            <w:pPr>
              <w:spacing w:after="0"/>
              <w:jc w:val="center"/>
              <w:rPr>
                <w:rFonts w:eastAsia="Times New Roman"/>
                <w:lang w:eastAsia="ja-JP"/>
              </w:rPr>
            </w:pPr>
            <w:r w:rsidRPr="00536CFD">
              <w:t>50%</w:t>
            </w:r>
          </w:p>
        </w:tc>
        <w:tc>
          <w:tcPr>
            <w:tcW w:w="858" w:type="dxa"/>
          </w:tcPr>
          <w:p w14:paraId="6A2CFE42" w14:textId="77777777" w:rsidR="009D4A93" w:rsidRPr="00536CFD" w:rsidRDefault="009D4A93" w:rsidP="009D4A93">
            <w:pPr>
              <w:spacing w:after="0"/>
              <w:jc w:val="center"/>
              <w:rPr>
                <w:rFonts w:eastAsia="Times New Roman"/>
                <w:lang w:eastAsia="ja-JP"/>
              </w:rPr>
            </w:pPr>
            <w:r w:rsidRPr="00536CFD">
              <w:t>78.53</w:t>
            </w:r>
          </w:p>
        </w:tc>
        <w:tc>
          <w:tcPr>
            <w:tcW w:w="858" w:type="dxa"/>
          </w:tcPr>
          <w:p w14:paraId="5B230E74" w14:textId="77777777" w:rsidR="009D4A93" w:rsidRPr="00536CFD" w:rsidRDefault="009D4A93" w:rsidP="009D4A93">
            <w:pPr>
              <w:spacing w:after="0"/>
              <w:jc w:val="center"/>
              <w:rPr>
                <w:rFonts w:eastAsia="Times New Roman"/>
                <w:lang w:eastAsia="ja-JP"/>
              </w:rPr>
            </w:pPr>
            <w:r w:rsidRPr="00536CFD">
              <w:t>83.05</w:t>
            </w:r>
          </w:p>
        </w:tc>
        <w:tc>
          <w:tcPr>
            <w:tcW w:w="880" w:type="dxa"/>
          </w:tcPr>
          <w:p w14:paraId="6AEE683B" w14:textId="77777777" w:rsidR="009D4A93" w:rsidRPr="00536CFD" w:rsidRDefault="009D4A93" w:rsidP="009D4A93">
            <w:pPr>
              <w:spacing w:after="0"/>
              <w:jc w:val="center"/>
              <w:rPr>
                <w:rFonts w:eastAsia="Times New Roman"/>
                <w:lang w:eastAsia="ja-JP"/>
              </w:rPr>
            </w:pPr>
            <w:r w:rsidRPr="00536CFD">
              <w:t>82.75</w:t>
            </w:r>
          </w:p>
        </w:tc>
        <w:tc>
          <w:tcPr>
            <w:tcW w:w="932" w:type="dxa"/>
          </w:tcPr>
          <w:p w14:paraId="57219572" w14:textId="77777777" w:rsidR="009D4A93" w:rsidRPr="00536CFD" w:rsidRDefault="009D4A93" w:rsidP="009D4A93">
            <w:pPr>
              <w:spacing w:after="0"/>
              <w:jc w:val="center"/>
              <w:rPr>
                <w:rFonts w:eastAsia="Times New Roman"/>
                <w:lang w:eastAsia="ja-JP"/>
              </w:rPr>
            </w:pPr>
            <w:r w:rsidRPr="00536CFD">
              <w:t>51.09</w:t>
            </w:r>
          </w:p>
        </w:tc>
        <w:tc>
          <w:tcPr>
            <w:tcW w:w="953" w:type="dxa"/>
          </w:tcPr>
          <w:p w14:paraId="3E6F138D" w14:textId="77777777" w:rsidR="009D4A93" w:rsidRPr="00536CFD" w:rsidRDefault="009D4A93" w:rsidP="009D4A93">
            <w:pPr>
              <w:spacing w:after="0"/>
              <w:jc w:val="center"/>
              <w:rPr>
                <w:rFonts w:eastAsia="Times New Roman"/>
                <w:lang w:eastAsia="ja-JP"/>
              </w:rPr>
            </w:pPr>
            <w:r w:rsidRPr="00536CFD">
              <w:t>67.01</w:t>
            </w:r>
          </w:p>
        </w:tc>
        <w:tc>
          <w:tcPr>
            <w:tcW w:w="954" w:type="dxa"/>
          </w:tcPr>
          <w:p w14:paraId="464DD998" w14:textId="77777777" w:rsidR="009D4A93" w:rsidRPr="00536CFD" w:rsidRDefault="009D4A93" w:rsidP="009D4A93">
            <w:pPr>
              <w:spacing w:after="0"/>
              <w:jc w:val="center"/>
              <w:rPr>
                <w:rFonts w:eastAsia="Times New Roman"/>
                <w:lang w:eastAsia="ja-JP"/>
              </w:rPr>
            </w:pPr>
            <w:r w:rsidRPr="00536CFD">
              <w:t>60.71</w:t>
            </w:r>
          </w:p>
        </w:tc>
        <w:tc>
          <w:tcPr>
            <w:tcW w:w="983" w:type="dxa"/>
          </w:tcPr>
          <w:p w14:paraId="33A18019" w14:textId="77777777" w:rsidR="009D4A93" w:rsidRPr="00536CFD" w:rsidRDefault="009D4A93" w:rsidP="009D4A93">
            <w:pPr>
              <w:spacing w:after="0"/>
              <w:jc w:val="center"/>
              <w:rPr>
                <w:rFonts w:eastAsia="Times New Roman"/>
                <w:lang w:eastAsia="ja-JP"/>
              </w:rPr>
            </w:pPr>
            <w:r w:rsidRPr="00536CFD">
              <w:t>25.08</w:t>
            </w:r>
          </w:p>
        </w:tc>
        <w:tc>
          <w:tcPr>
            <w:tcW w:w="983" w:type="dxa"/>
          </w:tcPr>
          <w:p w14:paraId="55BC1DCA" w14:textId="77777777" w:rsidR="009D4A93" w:rsidRPr="00536CFD" w:rsidRDefault="009D4A93" w:rsidP="009D4A93">
            <w:pPr>
              <w:spacing w:after="0"/>
              <w:jc w:val="center"/>
              <w:rPr>
                <w:rFonts w:eastAsia="Times New Roman"/>
                <w:lang w:eastAsia="ja-JP"/>
              </w:rPr>
            </w:pPr>
            <w:r w:rsidRPr="00536CFD">
              <w:t>41.67</w:t>
            </w:r>
          </w:p>
        </w:tc>
        <w:tc>
          <w:tcPr>
            <w:tcW w:w="984" w:type="dxa"/>
          </w:tcPr>
          <w:p w14:paraId="2CCFBF00" w14:textId="77777777" w:rsidR="009D4A93" w:rsidRPr="00536CFD" w:rsidRDefault="009D4A93" w:rsidP="009D4A93">
            <w:pPr>
              <w:spacing w:after="0"/>
              <w:jc w:val="center"/>
              <w:rPr>
                <w:rFonts w:eastAsia="Times New Roman"/>
                <w:lang w:eastAsia="ja-JP"/>
              </w:rPr>
            </w:pPr>
            <w:r w:rsidRPr="00536CFD">
              <w:t>29.13</w:t>
            </w:r>
          </w:p>
        </w:tc>
      </w:tr>
      <w:tr w:rsidR="009D4A93" w:rsidRPr="00536CFD" w14:paraId="19631F39" w14:textId="77777777" w:rsidTr="009D4A93">
        <w:trPr>
          <w:cantSplit/>
          <w:trHeight w:val="22"/>
        </w:trPr>
        <w:tc>
          <w:tcPr>
            <w:tcW w:w="500" w:type="dxa"/>
            <w:vMerge/>
          </w:tcPr>
          <w:p w14:paraId="67367563" w14:textId="77777777" w:rsidR="009D4A93" w:rsidRPr="00536CFD" w:rsidRDefault="009D4A93" w:rsidP="009D4A93">
            <w:pPr>
              <w:spacing w:after="0"/>
              <w:jc w:val="center"/>
              <w:rPr>
                <w:rFonts w:eastAsia="Times New Roman"/>
                <w:lang w:eastAsia="ja-JP"/>
              </w:rPr>
            </w:pPr>
          </w:p>
        </w:tc>
        <w:tc>
          <w:tcPr>
            <w:tcW w:w="505" w:type="dxa"/>
            <w:vMerge/>
          </w:tcPr>
          <w:p w14:paraId="2F424A5B" w14:textId="77777777" w:rsidR="009D4A93" w:rsidRPr="00536CFD" w:rsidRDefault="009D4A93" w:rsidP="009D4A93">
            <w:pPr>
              <w:spacing w:after="0"/>
              <w:jc w:val="center"/>
              <w:rPr>
                <w:rFonts w:eastAsia="Times New Roman"/>
                <w:lang w:eastAsia="ja-JP"/>
              </w:rPr>
            </w:pPr>
          </w:p>
        </w:tc>
        <w:tc>
          <w:tcPr>
            <w:tcW w:w="505" w:type="dxa"/>
          </w:tcPr>
          <w:p w14:paraId="1D2B5469" w14:textId="77777777" w:rsidR="009D4A93" w:rsidRPr="00536CFD" w:rsidRDefault="009D4A93" w:rsidP="009D4A93">
            <w:pPr>
              <w:spacing w:after="0"/>
              <w:jc w:val="center"/>
              <w:rPr>
                <w:rFonts w:eastAsia="Times New Roman"/>
                <w:lang w:eastAsia="ja-JP"/>
              </w:rPr>
            </w:pPr>
            <w:r w:rsidRPr="00536CFD">
              <w:t>95%</w:t>
            </w:r>
          </w:p>
        </w:tc>
        <w:tc>
          <w:tcPr>
            <w:tcW w:w="858" w:type="dxa"/>
          </w:tcPr>
          <w:p w14:paraId="22520156" w14:textId="77777777" w:rsidR="009D4A93" w:rsidRPr="00536CFD" w:rsidRDefault="009D4A93" w:rsidP="009D4A93">
            <w:pPr>
              <w:spacing w:after="0"/>
              <w:jc w:val="center"/>
              <w:rPr>
                <w:rFonts w:eastAsia="Times New Roman"/>
                <w:lang w:eastAsia="ja-JP"/>
              </w:rPr>
            </w:pPr>
            <w:r w:rsidRPr="00536CFD">
              <w:t>102.74</w:t>
            </w:r>
          </w:p>
        </w:tc>
        <w:tc>
          <w:tcPr>
            <w:tcW w:w="858" w:type="dxa"/>
          </w:tcPr>
          <w:p w14:paraId="3F09F4C4" w14:textId="77777777" w:rsidR="009D4A93" w:rsidRPr="00536CFD" w:rsidRDefault="009D4A93" w:rsidP="009D4A93">
            <w:pPr>
              <w:spacing w:after="0"/>
              <w:jc w:val="center"/>
              <w:rPr>
                <w:rFonts w:eastAsia="Times New Roman"/>
                <w:lang w:eastAsia="ja-JP"/>
              </w:rPr>
            </w:pPr>
            <w:r w:rsidRPr="00536CFD">
              <w:t>104.15</w:t>
            </w:r>
          </w:p>
        </w:tc>
        <w:tc>
          <w:tcPr>
            <w:tcW w:w="880" w:type="dxa"/>
          </w:tcPr>
          <w:p w14:paraId="7BFFE9B4" w14:textId="77777777" w:rsidR="009D4A93" w:rsidRPr="00536CFD" w:rsidRDefault="009D4A93" w:rsidP="009D4A93">
            <w:pPr>
              <w:spacing w:after="0"/>
              <w:jc w:val="center"/>
              <w:rPr>
                <w:rFonts w:eastAsia="Times New Roman"/>
                <w:lang w:eastAsia="ja-JP"/>
              </w:rPr>
            </w:pPr>
            <w:r w:rsidRPr="00536CFD">
              <w:t>103.38</w:t>
            </w:r>
          </w:p>
        </w:tc>
        <w:tc>
          <w:tcPr>
            <w:tcW w:w="932" w:type="dxa"/>
          </w:tcPr>
          <w:p w14:paraId="23B58AD0" w14:textId="77777777" w:rsidR="009D4A93" w:rsidRPr="00536CFD" w:rsidRDefault="009D4A93" w:rsidP="009D4A93">
            <w:pPr>
              <w:spacing w:after="0"/>
              <w:jc w:val="center"/>
              <w:rPr>
                <w:rFonts w:eastAsia="Times New Roman"/>
                <w:lang w:eastAsia="ja-JP"/>
              </w:rPr>
            </w:pPr>
            <w:r w:rsidRPr="00536CFD">
              <w:t>80.38</w:t>
            </w:r>
          </w:p>
        </w:tc>
        <w:tc>
          <w:tcPr>
            <w:tcW w:w="953" w:type="dxa"/>
          </w:tcPr>
          <w:p w14:paraId="069B211D" w14:textId="77777777" w:rsidR="009D4A93" w:rsidRPr="00536CFD" w:rsidRDefault="009D4A93" w:rsidP="009D4A93">
            <w:pPr>
              <w:spacing w:after="0"/>
              <w:jc w:val="center"/>
              <w:rPr>
                <w:rFonts w:eastAsia="Times New Roman"/>
                <w:lang w:eastAsia="ja-JP"/>
              </w:rPr>
            </w:pPr>
            <w:r w:rsidRPr="00536CFD">
              <w:t>91.80</w:t>
            </w:r>
          </w:p>
        </w:tc>
        <w:tc>
          <w:tcPr>
            <w:tcW w:w="954" w:type="dxa"/>
          </w:tcPr>
          <w:p w14:paraId="0851F6F5" w14:textId="77777777" w:rsidR="009D4A93" w:rsidRPr="00536CFD" w:rsidRDefault="009D4A93" w:rsidP="009D4A93">
            <w:pPr>
              <w:spacing w:after="0"/>
              <w:jc w:val="center"/>
              <w:rPr>
                <w:rFonts w:eastAsia="Times New Roman"/>
                <w:lang w:eastAsia="ja-JP"/>
              </w:rPr>
            </w:pPr>
            <w:r w:rsidRPr="00536CFD">
              <w:t>85.20</w:t>
            </w:r>
          </w:p>
        </w:tc>
        <w:tc>
          <w:tcPr>
            <w:tcW w:w="983" w:type="dxa"/>
          </w:tcPr>
          <w:p w14:paraId="4B7BC8EE" w14:textId="77777777" w:rsidR="009D4A93" w:rsidRPr="00536CFD" w:rsidRDefault="009D4A93" w:rsidP="009D4A93">
            <w:pPr>
              <w:spacing w:after="0"/>
              <w:jc w:val="center"/>
              <w:rPr>
                <w:rFonts w:eastAsia="Times New Roman"/>
                <w:lang w:eastAsia="ja-JP"/>
              </w:rPr>
            </w:pPr>
            <w:r w:rsidRPr="00536CFD">
              <w:t>57.27</w:t>
            </w:r>
          </w:p>
        </w:tc>
        <w:tc>
          <w:tcPr>
            <w:tcW w:w="983" w:type="dxa"/>
          </w:tcPr>
          <w:p w14:paraId="66D82794" w14:textId="77777777" w:rsidR="009D4A93" w:rsidRPr="00536CFD" w:rsidRDefault="009D4A93" w:rsidP="009D4A93">
            <w:pPr>
              <w:spacing w:after="0"/>
              <w:jc w:val="center"/>
              <w:rPr>
                <w:rFonts w:eastAsia="Times New Roman"/>
                <w:lang w:eastAsia="ja-JP"/>
              </w:rPr>
            </w:pPr>
            <w:r w:rsidRPr="00536CFD">
              <w:t>71.88</w:t>
            </w:r>
          </w:p>
        </w:tc>
        <w:tc>
          <w:tcPr>
            <w:tcW w:w="984" w:type="dxa"/>
          </w:tcPr>
          <w:p w14:paraId="0D733FCC" w14:textId="77777777" w:rsidR="009D4A93" w:rsidRPr="00536CFD" w:rsidRDefault="009D4A93" w:rsidP="009D4A93">
            <w:pPr>
              <w:spacing w:after="0"/>
              <w:jc w:val="center"/>
              <w:rPr>
                <w:rFonts w:eastAsia="Times New Roman"/>
                <w:lang w:eastAsia="ja-JP"/>
              </w:rPr>
            </w:pPr>
            <w:r w:rsidRPr="00536CFD">
              <w:t>54.89</w:t>
            </w:r>
          </w:p>
        </w:tc>
      </w:tr>
      <w:tr w:rsidR="009D4A93" w:rsidRPr="00536CFD" w14:paraId="0FAE3749" w14:textId="77777777" w:rsidTr="009D4A93">
        <w:trPr>
          <w:cantSplit/>
          <w:trHeight w:val="22"/>
        </w:trPr>
        <w:tc>
          <w:tcPr>
            <w:tcW w:w="500" w:type="dxa"/>
            <w:vMerge/>
          </w:tcPr>
          <w:p w14:paraId="0AB18455" w14:textId="77777777" w:rsidR="009D4A93" w:rsidRPr="00536CFD" w:rsidRDefault="009D4A93" w:rsidP="009D4A93">
            <w:pPr>
              <w:spacing w:after="0"/>
              <w:jc w:val="center"/>
              <w:rPr>
                <w:rFonts w:eastAsia="Times New Roman"/>
                <w:lang w:eastAsia="ja-JP"/>
              </w:rPr>
            </w:pPr>
          </w:p>
        </w:tc>
        <w:tc>
          <w:tcPr>
            <w:tcW w:w="505" w:type="dxa"/>
            <w:vMerge/>
          </w:tcPr>
          <w:p w14:paraId="572E7450" w14:textId="77777777" w:rsidR="009D4A93" w:rsidRPr="00536CFD" w:rsidRDefault="009D4A93" w:rsidP="009D4A93">
            <w:pPr>
              <w:spacing w:after="0"/>
              <w:jc w:val="center"/>
              <w:rPr>
                <w:rFonts w:eastAsia="Times New Roman"/>
                <w:lang w:eastAsia="ja-JP"/>
              </w:rPr>
            </w:pPr>
          </w:p>
        </w:tc>
        <w:tc>
          <w:tcPr>
            <w:tcW w:w="505" w:type="dxa"/>
          </w:tcPr>
          <w:p w14:paraId="2C310D30" w14:textId="77777777" w:rsidR="009D4A93" w:rsidRPr="00536CFD" w:rsidRDefault="009D4A93" w:rsidP="009D4A93">
            <w:pPr>
              <w:spacing w:after="0"/>
              <w:jc w:val="center"/>
              <w:rPr>
                <w:rFonts w:eastAsia="Times New Roman"/>
                <w:lang w:eastAsia="ja-JP"/>
              </w:rPr>
            </w:pPr>
            <w:r w:rsidRPr="00536CFD">
              <w:t>Mean</w:t>
            </w:r>
          </w:p>
        </w:tc>
        <w:tc>
          <w:tcPr>
            <w:tcW w:w="858" w:type="dxa"/>
          </w:tcPr>
          <w:p w14:paraId="70D3A208" w14:textId="77777777" w:rsidR="009D4A93" w:rsidRPr="00536CFD" w:rsidRDefault="009D4A93" w:rsidP="009D4A93">
            <w:pPr>
              <w:spacing w:after="0"/>
              <w:jc w:val="center"/>
              <w:rPr>
                <w:rFonts w:eastAsia="Times New Roman"/>
                <w:lang w:eastAsia="ja-JP"/>
              </w:rPr>
            </w:pPr>
            <w:r w:rsidRPr="00536CFD">
              <w:t>78.56</w:t>
            </w:r>
          </w:p>
        </w:tc>
        <w:tc>
          <w:tcPr>
            <w:tcW w:w="858" w:type="dxa"/>
          </w:tcPr>
          <w:p w14:paraId="01FC0492" w14:textId="77777777" w:rsidR="009D4A93" w:rsidRPr="00536CFD" w:rsidRDefault="009D4A93" w:rsidP="009D4A93">
            <w:pPr>
              <w:spacing w:after="0"/>
              <w:jc w:val="center"/>
              <w:rPr>
                <w:rFonts w:eastAsia="Times New Roman"/>
                <w:lang w:eastAsia="ja-JP"/>
              </w:rPr>
            </w:pPr>
            <w:r w:rsidRPr="00536CFD">
              <w:t>81.13</w:t>
            </w:r>
          </w:p>
        </w:tc>
        <w:tc>
          <w:tcPr>
            <w:tcW w:w="880" w:type="dxa"/>
          </w:tcPr>
          <w:p w14:paraId="3C480BAA" w14:textId="77777777" w:rsidR="009D4A93" w:rsidRPr="00536CFD" w:rsidRDefault="009D4A93" w:rsidP="009D4A93">
            <w:pPr>
              <w:spacing w:after="0"/>
              <w:jc w:val="center"/>
              <w:rPr>
                <w:rFonts w:eastAsia="Times New Roman"/>
                <w:lang w:eastAsia="ja-JP"/>
              </w:rPr>
            </w:pPr>
            <w:r w:rsidRPr="00536CFD">
              <w:t>81.05</w:t>
            </w:r>
          </w:p>
        </w:tc>
        <w:tc>
          <w:tcPr>
            <w:tcW w:w="932" w:type="dxa"/>
          </w:tcPr>
          <w:p w14:paraId="32F43C32" w14:textId="77777777" w:rsidR="009D4A93" w:rsidRPr="00536CFD" w:rsidRDefault="009D4A93" w:rsidP="009D4A93">
            <w:pPr>
              <w:spacing w:after="0"/>
              <w:jc w:val="center"/>
              <w:rPr>
                <w:rFonts w:eastAsia="Times New Roman"/>
                <w:lang w:eastAsia="ja-JP"/>
              </w:rPr>
            </w:pPr>
            <w:r w:rsidRPr="00536CFD">
              <w:t>54.61</w:t>
            </w:r>
          </w:p>
        </w:tc>
        <w:tc>
          <w:tcPr>
            <w:tcW w:w="953" w:type="dxa"/>
          </w:tcPr>
          <w:p w14:paraId="5EB626EC" w14:textId="77777777" w:rsidR="009D4A93" w:rsidRPr="00536CFD" w:rsidRDefault="009D4A93" w:rsidP="009D4A93">
            <w:pPr>
              <w:spacing w:after="0"/>
              <w:jc w:val="center"/>
              <w:rPr>
                <w:rFonts w:eastAsia="Times New Roman"/>
                <w:lang w:eastAsia="ja-JP"/>
              </w:rPr>
            </w:pPr>
            <w:r w:rsidRPr="00536CFD">
              <w:t>67.01</w:t>
            </w:r>
          </w:p>
        </w:tc>
        <w:tc>
          <w:tcPr>
            <w:tcW w:w="954" w:type="dxa"/>
          </w:tcPr>
          <w:p w14:paraId="0D0026FF" w14:textId="77777777" w:rsidR="009D4A93" w:rsidRPr="00536CFD" w:rsidRDefault="009D4A93" w:rsidP="009D4A93">
            <w:pPr>
              <w:spacing w:after="0"/>
              <w:jc w:val="center"/>
              <w:rPr>
                <w:rFonts w:eastAsia="Times New Roman"/>
                <w:lang w:eastAsia="ja-JP"/>
              </w:rPr>
            </w:pPr>
            <w:r w:rsidRPr="00536CFD">
              <w:t>61.56</w:t>
            </w:r>
          </w:p>
        </w:tc>
        <w:tc>
          <w:tcPr>
            <w:tcW w:w="983" w:type="dxa"/>
          </w:tcPr>
          <w:p w14:paraId="59E4B065" w14:textId="77777777" w:rsidR="009D4A93" w:rsidRPr="00536CFD" w:rsidRDefault="009D4A93" w:rsidP="009D4A93">
            <w:pPr>
              <w:spacing w:after="0"/>
              <w:jc w:val="center"/>
              <w:rPr>
                <w:rFonts w:eastAsia="Times New Roman"/>
                <w:lang w:eastAsia="ja-JP"/>
              </w:rPr>
            </w:pPr>
            <w:r w:rsidRPr="00536CFD">
              <w:t>31.12</w:t>
            </w:r>
          </w:p>
        </w:tc>
        <w:tc>
          <w:tcPr>
            <w:tcW w:w="983" w:type="dxa"/>
          </w:tcPr>
          <w:p w14:paraId="354FEF87" w14:textId="77777777" w:rsidR="009D4A93" w:rsidRPr="00536CFD" w:rsidRDefault="009D4A93" w:rsidP="009D4A93">
            <w:pPr>
              <w:spacing w:after="0"/>
              <w:jc w:val="center"/>
              <w:rPr>
                <w:rFonts w:eastAsia="Times New Roman"/>
                <w:lang w:eastAsia="ja-JP"/>
              </w:rPr>
            </w:pPr>
            <w:r w:rsidRPr="00536CFD">
              <w:t>44.93</w:t>
            </w:r>
          </w:p>
        </w:tc>
        <w:tc>
          <w:tcPr>
            <w:tcW w:w="984" w:type="dxa"/>
          </w:tcPr>
          <w:p w14:paraId="56A4E9E7" w14:textId="77777777" w:rsidR="009D4A93" w:rsidRPr="00536CFD" w:rsidRDefault="009D4A93" w:rsidP="009D4A93">
            <w:pPr>
              <w:spacing w:after="0"/>
              <w:jc w:val="center"/>
              <w:rPr>
                <w:rFonts w:eastAsia="Times New Roman"/>
                <w:lang w:eastAsia="ja-JP"/>
              </w:rPr>
            </w:pPr>
            <w:r w:rsidRPr="00536CFD">
              <w:t>33.24</w:t>
            </w:r>
          </w:p>
        </w:tc>
      </w:tr>
      <w:tr w:rsidR="009D4A93" w:rsidRPr="00536CFD" w14:paraId="3064B578" w14:textId="77777777" w:rsidTr="009D4A93">
        <w:trPr>
          <w:cantSplit/>
          <w:trHeight w:val="22"/>
        </w:trPr>
        <w:tc>
          <w:tcPr>
            <w:tcW w:w="500" w:type="dxa"/>
            <w:vMerge/>
          </w:tcPr>
          <w:p w14:paraId="298BA25E" w14:textId="77777777" w:rsidR="009D4A93" w:rsidRPr="00536CFD" w:rsidRDefault="009D4A93" w:rsidP="009D4A93">
            <w:pPr>
              <w:spacing w:after="0"/>
              <w:jc w:val="center"/>
              <w:rPr>
                <w:rFonts w:eastAsia="Times New Roman"/>
                <w:lang w:eastAsia="ja-JP"/>
              </w:rPr>
            </w:pPr>
          </w:p>
        </w:tc>
        <w:tc>
          <w:tcPr>
            <w:tcW w:w="505" w:type="dxa"/>
            <w:vMerge w:val="restart"/>
          </w:tcPr>
          <w:p w14:paraId="6CE0C87D" w14:textId="77777777" w:rsidR="009D4A93" w:rsidRPr="00536CFD" w:rsidRDefault="009D4A93" w:rsidP="009D4A93">
            <w:pPr>
              <w:spacing w:after="0"/>
              <w:jc w:val="center"/>
            </w:pPr>
            <w:r w:rsidRPr="00536CFD">
              <w:t>DL:</w:t>
            </w:r>
          </w:p>
          <w:p w14:paraId="0678432C" w14:textId="77777777" w:rsidR="009D4A93" w:rsidRPr="00536CFD" w:rsidRDefault="009D4A93" w:rsidP="009D4A93">
            <w:pPr>
              <w:spacing w:after="0"/>
              <w:jc w:val="center"/>
            </w:pPr>
            <w:r w:rsidRPr="00536CFD">
              <w:t>Delay CDF</w:t>
            </w:r>
          </w:p>
          <w:p w14:paraId="4EB5A7DB" w14:textId="77777777" w:rsidR="009D4A93" w:rsidRPr="00536CFD" w:rsidRDefault="009D4A93" w:rsidP="009D4A93">
            <w:pPr>
              <w:spacing w:after="0"/>
              <w:jc w:val="center"/>
              <w:rPr>
                <w:rFonts w:eastAsia="Times New Roman"/>
                <w:lang w:eastAsia="ja-JP"/>
              </w:rPr>
            </w:pPr>
            <w:r w:rsidRPr="00536CFD">
              <w:t>[s]</w:t>
            </w:r>
          </w:p>
        </w:tc>
        <w:tc>
          <w:tcPr>
            <w:tcW w:w="505" w:type="dxa"/>
          </w:tcPr>
          <w:p w14:paraId="29F5513B" w14:textId="77777777" w:rsidR="009D4A93" w:rsidRPr="00536CFD" w:rsidRDefault="009D4A93" w:rsidP="009D4A93">
            <w:pPr>
              <w:spacing w:after="0"/>
              <w:jc w:val="center"/>
              <w:rPr>
                <w:rFonts w:eastAsia="Times New Roman"/>
                <w:lang w:eastAsia="ja-JP"/>
              </w:rPr>
            </w:pPr>
            <w:r w:rsidRPr="00536CFD">
              <w:t>5%</w:t>
            </w:r>
          </w:p>
        </w:tc>
        <w:tc>
          <w:tcPr>
            <w:tcW w:w="858" w:type="dxa"/>
          </w:tcPr>
          <w:p w14:paraId="433A01A6" w14:textId="77777777" w:rsidR="009D4A93" w:rsidRPr="00536CFD" w:rsidRDefault="009D4A93" w:rsidP="009D4A93">
            <w:pPr>
              <w:spacing w:after="0"/>
              <w:jc w:val="center"/>
              <w:rPr>
                <w:rFonts w:eastAsia="Times New Roman"/>
                <w:lang w:eastAsia="ja-JP"/>
              </w:rPr>
            </w:pPr>
            <w:r w:rsidRPr="00536CFD">
              <w:t>0.036</w:t>
            </w:r>
          </w:p>
        </w:tc>
        <w:tc>
          <w:tcPr>
            <w:tcW w:w="858" w:type="dxa"/>
          </w:tcPr>
          <w:p w14:paraId="235E2682" w14:textId="77777777" w:rsidR="009D4A93" w:rsidRPr="00536CFD" w:rsidRDefault="009D4A93" w:rsidP="009D4A93">
            <w:pPr>
              <w:spacing w:after="0"/>
              <w:jc w:val="center"/>
              <w:rPr>
                <w:rFonts w:eastAsia="Times New Roman"/>
                <w:lang w:eastAsia="ja-JP"/>
              </w:rPr>
            </w:pPr>
            <w:r w:rsidRPr="00536CFD">
              <w:t>0.034</w:t>
            </w:r>
          </w:p>
        </w:tc>
        <w:tc>
          <w:tcPr>
            <w:tcW w:w="880" w:type="dxa"/>
          </w:tcPr>
          <w:p w14:paraId="6DF7FD99" w14:textId="77777777" w:rsidR="009D4A93" w:rsidRPr="00536CFD" w:rsidRDefault="009D4A93" w:rsidP="009D4A93">
            <w:pPr>
              <w:spacing w:after="0"/>
              <w:jc w:val="center"/>
              <w:rPr>
                <w:rFonts w:eastAsia="Times New Roman"/>
                <w:lang w:eastAsia="ja-JP"/>
              </w:rPr>
            </w:pPr>
            <w:r w:rsidRPr="00536CFD">
              <w:t>0.037</w:t>
            </w:r>
          </w:p>
        </w:tc>
        <w:tc>
          <w:tcPr>
            <w:tcW w:w="932" w:type="dxa"/>
          </w:tcPr>
          <w:p w14:paraId="5DC8D582" w14:textId="77777777" w:rsidR="009D4A93" w:rsidRPr="00536CFD" w:rsidRDefault="009D4A93" w:rsidP="009D4A93">
            <w:pPr>
              <w:spacing w:after="0"/>
              <w:jc w:val="center"/>
              <w:rPr>
                <w:rFonts w:eastAsia="Times New Roman"/>
                <w:lang w:eastAsia="ja-JP"/>
              </w:rPr>
            </w:pPr>
            <w:r w:rsidRPr="00536CFD">
              <w:t>0.076</w:t>
            </w:r>
          </w:p>
        </w:tc>
        <w:tc>
          <w:tcPr>
            <w:tcW w:w="953" w:type="dxa"/>
          </w:tcPr>
          <w:p w14:paraId="7CB3D109" w14:textId="77777777" w:rsidR="009D4A93" w:rsidRPr="00536CFD" w:rsidRDefault="009D4A93" w:rsidP="009D4A93">
            <w:pPr>
              <w:spacing w:after="0"/>
              <w:jc w:val="center"/>
              <w:rPr>
                <w:rFonts w:eastAsia="Times New Roman"/>
                <w:lang w:eastAsia="ja-JP"/>
              </w:rPr>
            </w:pPr>
            <w:r w:rsidRPr="00536CFD">
              <w:t>0.046</w:t>
            </w:r>
          </w:p>
        </w:tc>
        <w:tc>
          <w:tcPr>
            <w:tcW w:w="954" w:type="dxa"/>
          </w:tcPr>
          <w:p w14:paraId="19674D4B" w14:textId="77777777" w:rsidR="009D4A93" w:rsidRPr="00536CFD" w:rsidRDefault="009D4A93" w:rsidP="009D4A93">
            <w:pPr>
              <w:spacing w:after="0"/>
              <w:jc w:val="center"/>
              <w:rPr>
                <w:rFonts w:eastAsia="Times New Roman"/>
                <w:lang w:eastAsia="ja-JP"/>
              </w:rPr>
            </w:pPr>
            <w:r w:rsidRPr="00536CFD">
              <w:t>0.050</w:t>
            </w:r>
          </w:p>
        </w:tc>
        <w:tc>
          <w:tcPr>
            <w:tcW w:w="983" w:type="dxa"/>
          </w:tcPr>
          <w:p w14:paraId="2B0CF603" w14:textId="77777777" w:rsidR="009D4A93" w:rsidRPr="00536CFD" w:rsidRDefault="009D4A93" w:rsidP="009D4A93">
            <w:pPr>
              <w:spacing w:after="0"/>
              <w:jc w:val="center"/>
              <w:rPr>
                <w:rFonts w:eastAsia="Times New Roman"/>
                <w:lang w:eastAsia="ja-JP"/>
              </w:rPr>
            </w:pPr>
            <w:r w:rsidRPr="00536CFD">
              <w:t>0.094</w:t>
            </w:r>
          </w:p>
        </w:tc>
        <w:tc>
          <w:tcPr>
            <w:tcW w:w="983" w:type="dxa"/>
          </w:tcPr>
          <w:p w14:paraId="2B469AAC" w14:textId="77777777" w:rsidR="009D4A93" w:rsidRPr="00536CFD" w:rsidRDefault="009D4A93" w:rsidP="009D4A93">
            <w:pPr>
              <w:spacing w:after="0"/>
              <w:jc w:val="center"/>
              <w:rPr>
                <w:rFonts w:eastAsia="Times New Roman"/>
                <w:lang w:eastAsia="ja-JP"/>
              </w:rPr>
            </w:pPr>
            <w:r w:rsidRPr="00536CFD">
              <w:t>0.088</w:t>
            </w:r>
          </w:p>
        </w:tc>
        <w:tc>
          <w:tcPr>
            <w:tcW w:w="984" w:type="dxa"/>
          </w:tcPr>
          <w:p w14:paraId="4EA87A32" w14:textId="77777777" w:rsidR="009D4A93" w:rsidRPr="00536CFD" w:rsidRDefault="009D4A93" w:rsidP="009D4A93">
            <w:pPr>
              <w:spacing w:after="0"/>
              <w:jc w:val="center"/>
              <w:rPr>
                <w:rFonts w:eastAsia="Times New Roman"/>
                <w:lang w:eastAsia="ja-JP"/>
              </w:rPr>
            </w:pPr>
            <w:r w:rsidRPr="00536CFD">
              <w:t>0.086</w:t>
            </w:r>
          </w:p>
        </w:tc>
      </w:tr>
      <w:tr w:rsidR="009D4A93" w:rsidRPr="00536CFD" w14:paraId="796045F1" w14:textId="77777777" w:rsidTr="009D4A93">
        <w:trPr>
          <w:cantSplit/>
          <w:trHeight w:val="22"/>
        </w:trPr>
        <w:tc>
          <w:tcPr>
            <w:tcW w:w="500" w:type="dxa"/>
            <w:vMerge/>
          </w:tcPr>
          <w:p w14:paraId="22928640" w14:textId="77777777" w:rsidR="009D4A93" w:rsidRPr="00536CFD" w:rsidRDefault="009D4A93" w:rsidP="009D4A93">
            <w:pPr>
              <w:spacing w:after="0"/>
              <w:jc w:val="center"/>
              <w:rPr>
                <w:rFonts w:eastAsia="Times New Roman"/>
                <w:lang w:eastAsia="ja-JP"/>
              </w:rPr>
            </w:pPr>
          </w:p>
        </w:tc>
        <w:tc>
          <w:tcPr>
            <w:tcW w:w="505" w:type="dxa"/>
            <w:vMerge/>
          </w:tcPr>
          <w:p w14:paraId="6A350DEE" w14:textId="77777777" w:rsidR="009D4A93" w:rsidRPr="00536CFD" w:rsidRDefault="009D4A93" w:rsidP="009D4A93">
            <w:pPr>
              <w:spacing w:after="0"/>
              <w:jc w:val="center"/>
              <w:rPr>
                <w:rFonts w:eastAsia="Times New Roman"/>
                <w:lang w:eastAsia="ja-JP"/>
              </w:rPr>
            </w:pPr>
          </w:p>
        </w:tc>
        <w:tc>
          <w:tcPr>
            <w:tcW w:w="505" w:type="dxa"/>
          </w:tcPr>
          <w:p w14:paraId="106444A5" w14:textId="77777777" w:rsidR="009D4A93" w:rsidRPr="00536CFD" w:rsidRDefault="009D4A93" w:rsidP="009D4A93">
            <w:pPr>
              <w:spacing w:after="0"/>
              <w:jc w:val="center"/>
              <w:rPr>
                <w:rFonts w:eastAsia="Times New Roman"/>
                <w:lang w:eastAsia="ja-JP"/>
              </w:rPr>
            </w:pPr>
            <w:r w:rsidRPr="00536CFD">
              <w:t>50%</w:t>
            </w:r>
          </w:p>
        </w:tc>
        <w:tc>
          <w:tcPr>
            <w:tcW w:w="858" w:type="dxa"/>
          </w:tcPr>
          <w:p w14:paraId="71AA37F8" w14:textId="77777777" w:rsidR="009D4A93" w:rsidRPr="00536CFD" w:rsidRDefault="009D4A93" w:rsidP="009D4A93">
            <w:pPr>
              <w:spacing w:after="0"/>
              <w:jc w:val="center"/>
              <w:rPr>
                <w:rFonts w:eastAsia="Times New Roman"/>
                <w:lang w:eastAsia="ja-JP"/>
              </w:rPr>
            </w:pPr>
            <w:r w:rsidRPr="00536CFD">
              <w:t>0.081</w:t>
            </w:r>
          </w:p>
        </w:tc>
        <w:tc>
          <w:tcPr>
            <w:tcW w:w="858" w:type="dxa"/>
          </w:tcPr>
          <w:p w14:paraId="2A32109E" w14:textId="77777777" w:rsidR="009D4A93" w:rsidRPr="00536CFD" w:rsidRDefault="009D4A93" w:rsidP="009D4A93">
            <w:pPr>
              <w:spacing w:after="0"/>
              <w:jc w:val="center"/>
              <w:rPr>
                <w:rFonts w:eastAsia="Times New Roman"/>
                <w:lang w:eastAsia="ja-JP"/>
              </w:rPr>
            </w:pPr>
            <w:r w:rsidRPr="00536CFD">
              <w:t>0.069</w:t>
            </w:r>
          </w:p>
        </w:tc>
        <w:tc>
          <w:tcPr>
            <w:tcW w:w="880" w:type="dxa"/>
          </w:tcPr>
          <w:p w14:paraId="5DB44A0C" w14:textId="77777777" w:rsidR="009D4A93" w:rsidRPr="00536CFD" w:rsidRDefault="009D4A93" w:rsidP="009D4A93">
            <w:pPr>
              <w:spacing w:after="0"/>
              <w:jc w:val="center"/>
              <w:rPr>
                <w:rFonts w:eastAsia="Times New Roman"/>
                <w:lang w:eastAsia="ja-JP"/>
              </w:rPr>
            </w:pPr>
            <w:r w:rsidRPr="00536CFD">
              <w:t>0.098</w:t>
            </w:r>
          </w:p>
        </w:tc>
        <w:tc>
          <w:tcPr>
            <w:tcW w:w="932" w:type="dxa"/>
          </w:tcPr>
          <w:p w14:paraId="6889A797" w14:textId="77777777" w:rsidR="009D4A93" w:rsidRPr="00536CFD" w:rsidRDefault="009D4A93" w:rsidP="009D4A93">
            <w:pPr>
              <w:spacing w:after="0"/>
              <w:jc w:val="center"/>
              <w:rPr>
                <w:rFonts w:eastAsia="Times New Roman"/>
                <w:lang w:eastAsia="ja-JP"/>
              </w:rPr>
            </w:pPr>
            <w:r w:rsidRPr="00536CFD">
              <w:t>0.670</w:t>
            </w:r>
          </w:p>
        </w:tc>
        <w:tc>
          <w:tcPr>
            <w:tcW w:w="953" w:type="dxa"/>
          </w:tcPr>
          <w:p w14:paraId="03EF4804" w14:textId="77777777" w:rsidR="009D4A93" w:rsidRPr="00536CFD" w:rsidRDefault="009D4A93" w:rsidP="009D4A93">
            <w:pPr>
              <w:spacing w:after="0"/>
              <w:jc w:val="center"/>
              <w:rPr>
                <w:rFonts w:eastAsia="Times New Roman"/>
                <w:lang w:eastAsia="ja-JP"/>
              </w:rPr>
            </w:pPr>
            <w:r w:rsidRPr="00536CFD">
              <w:t>0.200</w:t>
            </w:r>
          </w:p>
        </w:tc>
        <w:tc>
          <w:tcPr>
            <w:tcW w:w="954" w:type="dxa"/>
          </w:tcPr>
          <w:p w14:paraId="0DAA741C" w14:textId="77777777" w:rsidR="009D4A93" w:rsidRPr="00536CFD" w:rsidRDefault="009D4A93" w:rsidP="009D4A93">
            <w:pPr>
              <w:spacing w:after="0"/>
              <w:jc w:val="center"/>
              <w:rPr>
                <w:rFonts w:eastAsia="Times New Roman"/>
                <w:lang w:eastAsia="ja-JP"/>
              </w:rPr>
            </w:pPr>
            <w:r w:rsidRPr="00536CFD">
              <w:t>0.589</w:t>
            </w:r>
          </w:p>
        </w:tc>
        <w:tc>
          <w:tcPr>
            <w:tcW w:w="983" w:type="dxa"/>
          </w:tcPr>
          <w:p w14:paraId="5F35018E" w14:textId="77777777" w:rsidR="009D4A93" w:rsidRPr="00536CFD" w:rsidRDefault="009D4A93" w:rsidP="009D4A93">
            <w:pPr>
              <w:spacing w:after="0"/>
              <w:jc w:val="center"/>
              <w:rPr>
                <w:rFonts w:eastAsia="Times New Roman"/>
                <w:lang w:eastAsia="ja-JP"/>
              </w:rPr>
            </w:pPr>
            <w:r w:rsidRPr="00536CFD">
              <w:t>0.969</w:t>
            </w:r>
          </w:p>
        </w:tc>
        <w:tc>
          <w:tcPr>
            <w:tcW w:w="983" w:type="dxa"/>
          </w:tcPr>
          <w:p w14:paraId="0F8984F2" w14:textId="77777777" w:rsidR="009D4A93" w:rsidRPr="00536CFD" w:rsidRDefault="009D4A93" w:rsidP="009D4A93">
            <w:pPr>
              <w:spacing w:after="0"/>
              <w:jc w:val="center"/>
              <w:rPr>
                <w:rFonts w:eastAsia="Times New Roman"/>
                <w:lang w:eastAsia="ja-JP"/>
              </w:rPr>
            </w:pPr>
            <w:r w:rsidRPr="00536CFD">
              <w:t>0.570</w:t>
            </w:r>
          </w:p>
        </w:tc>
        <w:tc>
          <w:tcPr>
            <w:tcW w:w="984" w:type="dxa"/>
          </w:tcPr>
          <w:p w14:paraId="29BE0205" w14:textId="77777777" w:rsidR="009D4A93" w:rsidRPr="00536CFD" w:rsidRDefault="009D4A93" w:rsidP="009D4A93">
            <w:pPr>
              <w:spacing w:after="0"/>
              <w:jc w:val="center"/>
              <w:rPr>
                <w:rFonts w:eastAsia="Times New Roman"/>
                <w:lang w:eastAsia="ja-JP"/>
              </w:rPr>
            </w:pPr>
            <w:r w:rsidRPr="00536CFD">
              <w:t>0.994</w:t>
            </w:r>
          </w:p>
        </w:tc>
      </w:tr>
      <w:tr w:rsidR="009D4A93" w:rsidRPr="00536CFD" w14:paraId="45ADE0DA" w14:textId="77777777" w:rsidTr="009D4A93">
        <w:trPr>
          <w:cantSplit/>
          <w:trHeight w:val="22"/>
        </w:trPr>
        <w:tc>
          <w:tcPr>
            <w:tcW w:w="500" w:type="dxa"/>
            <w:vMerge/>
          </w:tcPr>
          <w:p w14:paraId="7D681D5E" w14:textId="77777777" w:rsidR="009D4A93" w:rsidRPr="00536CFD" w:rsidRDefault="009D4A93" w:rsidP="009D4A93">
            <w:pPr>
              <w:spacing w:after="0"/>
              <w:jc w:val="center"/>
              <w:rPr>
                <w:rFonts w:eastAsia="Times New Roman"/>
                <w:lang w:eastAsia="ja-JP"/>
              </w:rPr>
            </w:pPr>
          </w:p>
        </w:tc>
        <w:tc>
          <w:tcPr>
            <w:tcW w:w="505" w:type="dxa"/>
            <w:vMerge/>
          </w:tcPr>
          <w:p w14:paraId="1E3B91DE" w14:textId="77777777" w:rsidR="009D4A93" w:rsidRPr="00536CFD" w:rsidRDefault="009D4A93" w:rsidP="009D4A93">
            <w:pPr>
              <w:spacing w:after="0"/>
              <w:jc w:val="center"/>
              <w:rPr>
                <w:rFonts w:eastAsia="Times New Roman"/>
                <w:lang w:eastAsia="ja-JP"/>
              </w:rPr>
            </w:pPr>
          </w:p>
        </w:tc>
        <w:tc>
          <w:tcPr>
            <w:tcW w:w="505" w:type="dxa"/>
          </w:tcPr>
          <w:p w14:paraId="6E57A8B8" w14:textId="77777777" w:rsidR="009D4A93" w:rsidRPr="00536CFD" w:rsidRDefault="009D4A93" w:rsidP="009D4A93">
            <w:pPr>
              <w:spacing w:after="0"/>
              <w:jc w:val="center"/>
              <w:rPr>
                <w:rFonts w:eastAsia="Times New Roman"/>
                <w:lang w:eastAsia="ja-JP"/>
              </w:rPr>
            </w:pPr>
            <w:r w:rsidRPr="00536CFD">
              <w:t>95%</w:t>
            </w:r>
          </w:p>
        </w:tc>
        <w:tc>
          <w:tcPr>
            <w:tcW w:w="858" w:type="dxa"/>
          </w:tcPr>
          <w:p w14:paraId="33F08817" w14:textId="77777777" w:rsidR="009D4A93" w:rsidRPr="00536CFD" w:rsidRDefault="009D4A93" w:rsidP="009D4A93">
            <w:pPr>
              <w:spacing w:after="0"/>
              <w:jc w:val="center"/>
              <w:rPr>
                <w:rFonts w:eastAsia="Times New Roman"/>
                <w:lang w:eastAsia="ja-JP"/>
              </w:rPr>
            </w:pPr>
            <w:r w:rsidRPr="00536CFD">
              <w:t>0.477</w:t>
            </w:r>
          </w:p>
        </w:tc>
        <w:tc>
          <w:tcPr>
            <w:tcW w:w="858" w:type="dxa"/>
          </w:tcPr>
          <w:p w14:paraId="2DA1ADE7" w14:textId="77777777" w:rsidR="009D4A93" w:rsidRPr="00536CFD" w:rsidRDefault="009D4A93" w:rsidP="009D4A93">
            <w:pPr>
              <w:spacing w:after="0"/>
              <w:jc w:val="center"/>
              <w:rPr>
                <w:rFonts w:eastAsia="Times New Roman"/>
                <w:lang w:eastAsia="ja-JP"/>
              </w:rPr>
            </w:pPr>
            <w:r w:rsidRPr="00536CFD">
              <w:t>0.296</w:t>
            </w:r>
          </w:p>
        </w:tc>
        <w:tc>
          <w:tcPr>
            <w:tcW w:w="880" w:type="dxa"/>
          </w:tcPr>
          <w:p w14:paraId="2E993EB3" w14:textId="77777777" w:rsidR="009D4A93" w:rsidRPr="00536CFD" w:rsidRDefault="009D4A93" w:rsidP="009D4A93">
            <w:pPr>
              <w:spacing w:after="0"/>
              <w:jc w:val="center"/>
              <w:rPr>
                <w:rFonts w:eastAsia="Times New Roman"/>
                <w:lang w:eastAsia="ja-JP"/>
              </w:rPr>
            </w:pPr>
            <w:r w:rsidRPr="00536CFD">
              <w:t>0.634</w:t>
            </w:r>
          </w:p>
        </w:tc>
        <w:tc>
          <w:tcPr>
            <w:tcW w:w="932" w:type="dxa"/>
          </w:tcPr>
          <w:p w14:paraId="48073351" w14:textId="77777777" w:rsidR="009D4A93" w:rsidRPr="00536CFD" w:rsidRDefault="009D4A93" w:rsidP="009D4A93">
            <w:pPr>
              <w:spacing w:after="0"/>
              <w:jc w:val="center"/>
              <w:rPr>
                <w:rFonts w:eastAsia="Times New Roman"/>
                <w:lang w:eastAsia="ja-JP"/>
              </w:rPr>
            </w:pPr>
            <w:r w:rsidRPr="00536CFD">
              <w:t>3.188</w:t>
            </w:r>
          </w:p>
        </w:tc>
        <w:tc>
          <w:tcPr>
            <w:tcW w:w="953" w:type="dxa"/>
          </w:tcPr>
          <w:p w14:paraId="57487F8B" w14:textId="77777777" w:rsidR="009D4A93" w:rsidRPr="00536CFD" w:rsidRDefault="009D4A93" w:rsidP="009D4A93">
            <w:pPr>
              <w:spacing w:after="0"/>
              <w:jc w:val="center"/>
              <w:rPr>
                <w:rFonts w:eastAsia="Times New Roman"/>
                <w:lang w:eastAsia="ja-JP"/>
              </w:rPr>
            </w:pPr>
            <w:r w:rsidRPr="00536CFD">
              <w:t>1.064</w:t>
            </w:r>
          </w:p>
        </w:tc>
        <w:tc>
          <w:tcPr>
            <w:tcW w:w="954" w:type="dxa"/>
          </w:tcPr>
          <w:p w14:paraId="1351DE87" w14:textId="77777777" w:rsidR="009D4A93" w:rsidRPr="00536CFD" w:rsidRDefault="009D4A93" w:rsidP="009D4A93">
            <w:pPr>
              <w:spacing w:after="0"/>
              <w:jc w:val="center"/>
              <w:rPr>
                <w:rFonts w:eastAsia="Times New Roman"/>
                <w:lang w:eastAsia="ja-JP"/>
              </w:rPr>
            </w:pPr>
            <w:r w:rsidRPr="00536CFD">
              <w:t>2.606</w:t>
            </w:r>
          </w:p>
        </w:tc>
        <w:tc>
          <w:tcPr>
            <w:tcW w:w="983" w:type="dxa"/>
          </w:tcPr>
          <w:p w14:paraId="46D28B27" w14:textId="77777777" w:rsidR="009D4A93" w:rsidRPr="00536CFD" w:rsidRDefault="009D4A93" w:rsidP="009D4A93">
            <w:pPr>
              <w:spacing w:after="0"/>
              <w:jc w:val="center"/>
              <w:rPr>
                <w:rFonts w:eastAsia="Times New Roman"/>
                <w:lang w:eastAsia="ja-JP"/>
              </w:rPr>
            </w:pPr>
            <w:r w:rsidRPr="00536CFD">
              <w:t>6.670</w:t>
            </w:r>
          </w:p>
        </w:tc>
        <w:tc>
          <w:tcPr>
            <w:tcW w:w="983" w:type="dxa"/>
          </w:tcPr>
          <w:p w14:paraId="16313428" w14:textId="77777777" w:rsidR="009D4A93" w:rsidRPr="00536CFD" w:rsidRDefault="009D4A93" w:rsidP="009D4A93">
            <w:pPr>
              <w:spacing w:after="0"/>
              <w:jc w:val="center"/>
              <w:rPr>
                <w:rFonts w:eastAsia="Times New Roman"/>
                <w:lang w:eastAsia="ja-JP"/>
              </w:rPr>
            </w:pPr>
            <w:r w:rsidRPr="00536CFD">
              <w:t>3.621</w:t>
            </w:r>
          </w:p>
        </w:tc>
        <w:tc>
          <w:tcPr>
            <w:tcW w:w="984" w:type="dxa"/>
          </w:tcPr>
          <w:p w14:paraId="78AAA5F7" w14:textId="77777777" w:rsidR="009D4A93" w:rsidRPr="00536CFD" w:rsidRDefault="009D4A93" w:rsidP="009D4A93">
            <w:pPr>
              <w:spacing w:after="0"/>
              <w:jc w:val="center"/>
              <w:rPr>
                <w:rFonts w:eastAsia="Times New Roman"/>
                <w:lang w:eastAsia="ja-JP"/>
              </w:rPr>
            </w:pPr>
            <w:r w:rsidRPr="00536CFD">
              <w:t>6.885</w:t>
            </w:r>
          </w:p>
        </w:tc>
      </w:tr>
      <w:tr w:rsidR="009D4A93" w:rsidRPr="00536CFD" w14:paraId="4791BE06" w14:textId="77777777" w:rsidTr="009D4A93">
        <w:trPr>
          <w:cantSplit/>
          <w:trHeight w:val="22"/>
        </w:trPr>
        <w:tc>
          <w:tcPr>
            <w:tcW w:w="500" w:type="dxa"/>
            <w:vMerge/>
          </w:tcPr>
          <w:p w14:paraId="3A97E93B" w14:textId="77777777" w:rsidR="009D4A93" w:rsidRPr="00536CFD" w:rsidRDefault="009D4A93" w:rsidP="009D4A93">
            <w:pPr>
              <w:spacing w:after="0"/>
              <w:jc w:val="center"/>
              <w:rPr>
                <w:rFonts w:eastAsia="Times New Roman"/>
                <w:lang w:eastAsia="ja-JP"/>
              </w:rPr>
            </w:pPr>
          </w:p>
        </w:tc>
        <w:tc>
          <w:tcPr>
            <w:tcW w:w="505" w:type="dxa"/>
            <w:vMerge/>
          </w:tcPr>
          <w:p w14:paraId="70DB54B2" w14:textId="77777777" w:rsidR="009D4A93" w:rsidRPr="00536CFD" w:rsidRDefault="009D4A93" w:rsidP="009D4A93">
            <w:pPr>
              <w:spacing w:after="0"/>
              <w:jc w:val="center"/>
              <w:rPr>
                <w:rFonts w:eastAsia="Times New Roman"/>
                <w:lang w:eastAsia="ja-JP"/>
              </w:rPr>
            </w:pPr>
          </w:p>
        </w:tc>
        <w:tc>
          <w:tcPr>
            <w:tcW w:w="505" w:type="dxa"/>
          </w:tcPr>
          <w:p w14:paraId="294D2FD2" w14:textId="77777777" w:rsidR="009D4A93" w:rsidRPr="00536CFD" w:rsidRDefault="009D4A93" w:rsidP="009D4A93">
            <w:pPr>
              <w:spacing w:after="0"/>
              <w:jc w:val="center"/>
              <w:rPr>
                <w:rFonts w:eastAsia="Times New Roman"/>
                <w:lang w:eastAsia="ja-JP"/>
              </w:rPr>
            </w:pPr>
            <w:r w:rsidRPr="00536CFD">
              <w:t>Mean</w:t>
            </w:r>
          </w:p>
        </w:tc>
        <w:tc>
          <w:tcPr>
            <w:tcW w:w="858" w:type="dxa"/>
          </w:tcPr>
          <w:p w14:paraId="11304835" w14:textId="77777777" w:rsidR="009D4A93" w:rsidRPr="00536CFD" w:rsidRDefault="009D4A93" w:rsidP="009D4A93">
            <w:pPr>
              <w:spacing w:after="0"/>
              <w:jc w:val="center"/>
              <w:rPr>
                <w:rFonts w:eastAsia="Times New Roman"/>
                <w:lang w:eastAsia="ja-JP"/>
              </w:rPr>
            </w:pPr>
            <w:r w:rsidRPr="00536CFD">
              <w:t>0.176</w:t>
            </w:r>
          </w:p>
        </w:tc>
        <w:tc>
          <w:tcPr>
            <w:tcW w:w="858" w:type="dxa"/>
          </w:tcPr>
          <w:p w14:paraId="044EE695" w14:textId="77777777" w:rsidR="009D4A93" w:rsidRPr="00536CFD" w:rsidRDefault="009D4A93" w:rsidP="009D4A93">
            <w:pPr>
              <w:spacing w:after="0"/>
              <w:jc w:val="center"/>
              <w:rPr>
                <w:rFonts w:eastAsia="Times New Roman"/>
                <w:lang w:eastAsia="ja-JP"/>
              </w:rPr>
            </w:pPr>
            <w:r w:rsidRPr="00536CFD">
              <w:t>0.126</w:t>
            </w:r>
          </w:p>
        </w:tc>
        <w:tc>
          <w:tcPr>
            <w:tcW w:w="880" w:type="dxa"/>
          </w:tcPr>
          <w:p w14:paraId="61F0A6FC" w14:textId="77777777" w:rsidR="009D4A93" w:rsidRPr="00536CFD" w:rsidRDefault="009D4A93" w:rsidP="009D4A93">
            <w:pPr>
              <w:spacing w:after="0"/>
              <w:jc w:val="center"/>
              <w:rPr>
                <w:rFonts w:eastAsia="Times New Roman"/>
                <w:lang w:eastAsia="ja-JP"/>
              </w:rPr>
            </w:pPr>
            <w:r w:rsidRPr="00536CFD">
              <w:t>0.224</w:t>
            </w:r>
          </w:p>
        </w:tc>
        <w:tc>
          <w:tcPr>
            <w:tcW w:w="932" w:type="dxa"/>
          </w:tcPr>
          <w:p w14:paraId="68430EFA" w14:textId="77777777" w:rsidR="009D4A93" w:rsidRPr="00536CFD" w:rsidRDefault="009D4A93" w:rsidP="009D4A93">
            <w:pPr>
              <w:spacing w:after="0"/>
              <w:jc w:val="center"/>
              <w:rPr>
                <w:rFonts w:eastAsia="Times New Roman"/>
                <w:lang w:eastAsia="ja-JP"/>
              </w:rPr>
            </w:pPr>
            <w:r w:rsidRPr="00536CFD">
              <w:t>1.312</w:t>
            </w:r>
          </w:p>
        </w:tc>
        <w:tc>
          <w:tcPr>
            <w:tcW w:w="953" w:type="dxa"/>
          </w:tcPr>
          <w:p w14:paraId="6FA26934" w14:textId="77777777" w:rsidR="009D4A93" w:rsidRPr="00536CFD" w:rsidRDefault="009D4A93" w:rsidP="009D4A93">
            <w:pPr>
              <w:spacing w:after="0"/>
              <w:jc w:val="center"/>
              <w:rPr>
                <w:rFonts w:eastAsia="Times New Roman"/>
                <w:lang w:eastAsia="ja-JP"/>
              </w:rPr>
            </w:pPr>
            <w:r w:rsidRPr="00536CFD">
              <w:t>0.416</w:t>
            </w:r>
          </w:p>
        </w:tc>
        <w:tc>
          <w:tcPr>
            <w:tcW w:w="954" w:type="dxa"/>
          </w:tcPr>
          <w:p w14:paraId="44AAEEAB" w14:textId="77777777" w:rsidR="009D4A93" w:rsidRPr="00536CFD" w:rsidRDefault="009D4A93" w:rsidP="009D4A93">
            <w:pPr>
              <w:spacing w:after="0"/>
              <w:jc w:val="center"/>
              <w:rPr>
                <w:rFonts w:eastAsia="Times New Roman"/>
                <w:lang w:eastAsia="ja-JP"/>
              </w:rPr>
            </w:pPr>
            <w:r w:rsidRPr="00536CFD">
              <w:t>1.071</w:t>
            </w:r>
          </w:p>
        </w:tc>
        <w:tc>
          <w:tcPr>
            <w:tcW w:w="983" w:type="dxa"/>
          </w:tcPr>
          <w:p w14:paraId="6C92FCD8" w14:textId="77777777" w:rsidR="009D4A93" w:rsidRPr="00536CFD" w:rsidRDefault="009D4A93" w:rsidP="009D4A93">
            <w:pPr>
              <w:spacing w:after="0"/>
              <w:jc w:val="center"/>
              <w:rPr>
                <w:rFonts w:eastAsia="Times New Roman"/>
                <w:lang w:eastAsia="ja-JP"/>
              </w:rPr>
            </w:pPr>
            <w:r w:rsidRPr="00536CFD">
              <w:t>2.388</w:t>
            </w:r>
          </w:p>
        </w:tc>
        <w:tc>
          <w:tcPr>
            <w:tcW w:w="983" w:type="dxa"/>
          </w:tcPr>
          <w:p w14:paraId="5DFAEBCB" w14:textId="77777777" w:rsidR="009D4A93" w:rsidRPr="00536CFD" w:rsidRDefault="009D4A93" w:rsidP="009D4A93">
            <w:pPr>
              <w:spacing w:after="0"/>
              <w:jc w:val="center"/>
              <w:rPr>
                <w:rFonts w:eastAsia="Times New Roman"/>
                <w:lang w:eastAsia="ja-JP"/>
              </w:rPr>
            </w:pPr>
            <w:r w:rsidRPr="00536CFD">
              <w:t>1.308</w:t>
            </w:r>
          </w:p>
        </w:tc>
        <w:tc>
          <w:tcPr>
            <w:tcW w:w="984" w:type="dxa"/>
          </w:tcPr>
          <w:p w14:paraId="7E34B85D" w14:textId="77777777" w:rsidR="009D4A93" w:rsidRPr="00536CFD" w:rsidRDefault="009D4A93" w:rsidP="009D4A93">
            <w:pPr>
              <w:spacing w:after="0"/>
              <w:jc w:val="center"/>
              <w:rPr>
                <w:rFonts w:eastAsia="Times New Roman"/>
                <w:lang w:eastAsia="ja-JP"/>
              </w:rPr>
            </w:pPr>
            <w:r w:rsidRPr="00536CFD">
              <w:t>2.487</w:t>
            </w:r>
          </w:p>
        </w:tc>
      </w:tr>
      <w:tr w:rsidR="009D4A93" w:rsidRPr="00536CFD" w14:paraId="4BFEBA06" w14:textId="77777777" w:rsidTr="009D4A93">
        <w:trPr>
          <w:cantSplit/>
          <w:trHeight w:val="22"/>
        </w:trPr>
        <w:tc>
          <w:tcPr>
            <w:tcW w:w="500" w:type="dxa"/>
            <w:vMerge/>
          </w:tcPr>
          <w:p w14:paraId="3D33B7EF" w14:textId="77777777" w:rsidR="009D4A93" w:rsidRPr="00536CFD" w:rsidRDefault="009D4A93" w:rsidP="009D4A93">
            <w:pPr>
              <w:spacing w:after="0"/>
              <w:jc w:val="center"/>
              <w:rPr>
                <w:rFonts w:eastAsia="Times New Roman"/>
                <w:lang w:eastAsia="ja-JP"/>
              </w:rPr>
            </w:pPr>
          </w:p>
        </w:tc>
        <w:tc>
          <w:tcPr>
            <w:tcW w:w="505" w:type="dxa"/>
            <w:vMerge w:val="restart"/>
          </w:tcPr>
          <w:p w14:paraId="042417CE" w14:textId="77777777" w:rsidR="009D4A93" w:rsidRPr="00536CFD" w:rsidRDefault="009D4A93" w:rsidP="009D4A93">
            <w:pPr>
              <w:spacing w:after="0"/>
              <w:jc w:val="center"/>
            </w:pPr>
            <w:r w:rsidRPr="00536CFD">
              <w:t>UL:</w:t>
            </w:r>
          </w:p>
          <w:p w14:paraId="77B1F45A" w14:textId="77777777" w:rsidR="009D4A93" w:rsidRPr="00536CFD" w:rsidRDefault="009D4A93" w:rsidP="009D4A93">
            <w:pPr>
              <w:spacing w:after="0"/>
              <w:jc w:val="center"/>
            </w:pPr>
            <w:r w:rsidRPr="00536CFD">
              <w:t>UPT CDF</w:t>
            </w:r>
          </w:p>
          <w:p w14:paraId="00F81B95" w14:textId="77777777" w:rsidR="009D4A93" w:rsidRPr="00536CFD" w:rsidRDefault="009D4A93" w:rsidP="009D4A93">
            <w:pPr>
              <w:spacing w:after="0"/>
              <w:jc w:val="center"/>
              <w:rPr>
                <w:rFonts w:eastAsia="Times New Roman"/>
                <w:lang w:eastAsia="ja-JP"/>
              </w:rPr>
            </w:pPr>
            <w:r w:rsidRPr="00536CFD">
              <w:t>[Mbps]</w:t>
            </w:r>
          </w:p>
        </w:tc>
        <w:tc>
          <w:tcPr>
            <w:tcW w:w="505" w:type="dxa"/>
          </w:tcPr>
          <w:p w14:paraId="4946D269" w14:textId="77777777" w:rsidR="009D4A93" w:rsidRPr="00536CFD" w:rsidRDefault="009D4A93" w:rsidP="009D4A93">
            <w:pPr>
              <w:spacing w:after="0"/>
              <w:jc w:val="center"/>
              <w:rPr>
                <w:rFonts w:eastAsia="Times New Roman"/>
                <w:lang w:eastAsia="ja-JP"/>
              </w:rPr>
            </w:pPr>
            <w:r w:rsidRPr="00536CFD">
              <w:t>5%</w:t>
            </w:r>
          </w:p>
        </w:tc>
        <w:tc>
          <w:tcPr>
            <w:tcW w:w="858" w:type="dxa"/>
          </w:tcPr>
          <w:p w14:paraId="3D02D139" w14:textId="77777777" w:rsidR="009D4A93" w:rsidRPr="00536CFD" w:rsidRDefault="009D4A93" w:rsidP="009D4A93">
            <w:pPr>
              <w:spacing w:after="0"/>
              <w:jc w:val="center"/>
              <w:rPr>
                <w:rFonts w:eastAsia="Times New Roman"/>
                <w:lang w:eastAsia="ja-JP"/>
              </w:rPr>
            </w:pPr>
            <w:r w:rsidRPr="00536CFD">
              <w:t>39.30</w:t>
            </w:r>
          </w:p>
        </w:tc>
        <w:tc>
          <w:tcPr>
            <w:tcW w:w="858" w:type="dxa"/>
          </w:tcPr>
          <w:p w14:paraId="30215D29" w14:textId="77777777" w:rsidR="009D4A93" w:rsidRPr="00536CFD" w:rsidRDefault="009D4A93" w:rsidP="009D4A93">
            <w:pPr>
              <w:spacing w:after="0"/>
              <w:jc w:val="center"/>
              <w:rPr>
                <w:rFonts w:eastAsia="Times New Roman"/>
                <w:lang w:eastAsia="ja-JP"/>
              </w:rPr>
            </w:pPr>
            <w:r w:rsidRPr="00536CFD">
              <w:t>40.53</w:t>
            </w:r>
          </w:p>
        </w:tc>
        <w:tc>
          <w:tcPr>
            <w:tcW w:w="880" w:type="dxa"/>
          </w:tcPr>
          <w:p w14:paraId="0AFFC57D" w14:textId="77777777" w:rsidR="009D4A93" w:rsidRPr="00536CFD" w:rsidRDefault="009D4A93" w:rsidP="009D4A93">
            <w:pPr>
              <w:spacing w:after="0"/>
              <w:jc w:val="center"/>
              <w:rPr>
                <w:rFonts w:eastAsia="Times New Roman"/>
                <w:lang w:eastAsia="ja-JP"/>
              </w:rPr>
            </w:pPr>
            <w:r w:rsidRPr="00536CFD">
              <w:t>39.01</w:t>
            </w:r>
          </w:p>
        </w:tc>
        <w:tc>
          <w:tcPr>
            <w:tcW w:w="932" w:type="dxa"/>
          </w:tcPr>
          <w:p w14:paraId="11480CDA" w14:textId="77777777" w:rsidR="009D4A93" w:rsidRPr="00536CFD" w:rsidRDefault="009D4A93" w:rsidP="009D4A93">
            <w:pPr>
              <w:spacing w:after="0"/>
              <w:jc w:val="center"/>
              <w:rPr>
                <w:rFonts w:eastAsia="Times New Roman"/>
                <w:lang w:eastAsia="ja-JP"/>
              </w:rPr>
            </w:pPr>
            <w:r w:rsidRPr="00536CFD">
              <w:t>21.54</w:t>
            </w:r>
          </w:p>
        </w:tc>
        <w:tc>
          <w:tcPr>
            <w:tcW w:w="953" w:type="dxa"/>
          </w:tcPr>
          <w:p w14:paraId="1421C2C4" w14:textId="77777777" w:rsidR="009D4A93" w:rsidRPr="00536CFD" w:rsidRDefault="009D4A93" w:rsidP="009D4A93">
            <w:pPr>
              <w:spacing w:after="0"/>
              <w:jc w:val="center"/>
              <w:rPr>
                <w:rFonts w:eastAsia="Times New Roman"/>
                <w:lang w:eastAsia="ja-JP"/>
              </w:rPr>
            </w:pPr>
            <w:r w:rsidRPr="00536CFD">
              <w:t>29.15</w:t>
            </w:r>
          </w:p>
        </w:tc>
        <w:tc>
          <w:tcPr>
            <w:tcW w:w="954" w:type="dxa"/>
          </w:tcPr>
          <w:p w14:paraId="6E399C30" w14:textId="77777777" w:rsidR="009D4A93" w:rsidRPr="00536CFD" w:rsidRDefault="009D4A93" w:rsidP="009D4A93">
            <w:pPr>
              <w:spacing w:after="0"/>
              <w:jc w:val="center"/>
              <w:rPr>
                <w:rFonts w:eastAsia="Times New Roman"/>
                <w:lang w:eastAsia="ja-JP"/>
              </w:rPr>
            </w:pPr>
            <w:r w:rsidRPr="00536CFD">
              <w:t>26.16</w:t>
            </w:r>
          </w:p>
        </w:tc>
        <w:tc>
          <w:tcPr>
            <w:tcW w:w="983" w:type="dxa"/>
          </w:tcPr>
          <w:p w14:paraId="3329C61D" w14:textId="77777777" w:rsidR="009D4A93" w:rsidRPr="00536CFD" w:rsidRDefault="009D4A93" w:rsidP="009D4A93">
            <w:pPr>
              <w:spacing w:after="0"/>
              <w:jc w:val="center"/>
              <w:rPr>
                <w:rFonts w:eastAsia="Times New Roman"/>
                <w:lang w:eastAsia="ja-JP"/>
              </w:rPr>
            </w:pPr>
            <w:r w:rsidRPr="00536CFD">
              <w:t>7.62</w:t>
            </w:r>
          </w:p>
        </w:tc>
        <w:tc>
          <w:tcPr>
            <w:tcW w:w="983" w:type="dxa"/>
          </w:tcPr>
          <w:p w14:paraId="64A216EE" w14:textId="77777777" w:rsidR="009D4A93" w:rsidRPr="00536CFD" w:rsidRDefault="009D4A93" w:rsidP="009D4A93">
            <w:pPr>
              <w:spacing w:after="0"/>
              <w:jc w:val="center"/>
              <w:rPr>
                <w:rFonts w:eastAsia="Times New Roman"/>
                <w:lang w:eastAsia="ja-JP"/>
              </w:rPr>
            </w:pPr>
            <w:r w:rsidRPr="00536CFD">
              <w:t>14.50</w:t>
            </w:r>
          </w:p>
        </w:tc>
        <w:tc>
          <w:tcPr>
            <w:tcW w:w="984" w:type="dxa"/>
          </w:tcPr>
          <w:p w14:paraId="3956A4D8" w14:textId="77777777" w:rsidR="009D4A93" w:rsidRPr="00536CFD" w:rsidRDefault="009D4A93" w:rsidP="009D4A93">
            <w:pPr>
              <w:spacing w:after="0"/>
              <w:jc w:val="center"/>
              <w:rPr>
                <w:rFonts w:eastAsia="Times New Roman"/>
                <w:lang w:eastAsia="ja-JP"/>
              </w:rPr>
            </w:pPr>
            <w:r w:rsidRPr="00536CFD">
              <w:t>10.67</w:t>
            </w:r>
          </w:p>
        </w:tc>
      </w:tr>
      <w:tr w:rsidR="009D4A93" w:rsidRPr="00536CFD" w14:paraId="771B51E4" w14:textId="77777777" w:rsidTr="009D4A93">
        <w:trPr>
          <w:cantSplit/>
          <w:trHeight w:val="22"/>
        </w:trPr>
        <w:tc>
          <w:tcPr>
            <w:tcW w:w="500" w:type="dxa"/>
            <w:vMerge/>
          </w:tcPr>
          <w:p w14:paraId="063363EE" w14:textId="77777777" w:rsidR="009D4A93" w:rsidRPr="00536CFD" w:rsidRDefault="009D4A93" w:rsidP="009D4A93">
            <w:pPr>
              <w:spacing w:after="0"/>
              <w:jc w:val="center"/>
              <w:rPr>
                <w:rFonts w:eastAsia="Times New Roman"/>
                <w:lang w:eastAsia="ja-JP"/>
              </w:rPr>
            </w:pPr>
          </w:p>
        </w:tc>
        <w:tc>
          <w:tcPr>
            <w:tcW w:w="505" w:type="dxa"/>
            <w:vMerge/>
          </w:tcPr>
          <w:p w14:paraId="7C8D5C93" w14:textId="77777777" w:rsidR="009D4A93" w:rsidRPr="00536CFD" w:rsidRDefault="009D4A93" w:rsidP="009D4A93">
            <w:pPr>
              <w:spacing w:after="0"/>
              <w:jc w:val="center"/>
              <w:rPr>
                <w:rFonts w:eastAsia="Times New Roman"/>
                <w:lang w:eastAsia="ja-JP"/>
              </w:rPr>
            </w:pPr>
          </w:p>
        </w:tc>
        <w:tc>
          <w:tcPr>
            <w:tcW w:w="505" w:type="dxa"/>
          </w:tcPr>
          <w:p w14:paraId="56257FAB" w14:textId="77777777" w:rsidR="009D4A93" w:rsidRPr="00536CFD" w:rsidRDefault="009D4A93" w:rsidP="009D4A93">
            <w:pPr>
              <w:spacing w:after="0"/>
              <w:jc w:val="center"/>
              <w:rPr>
                <w:rFonts w:eastAsia="Times New Roman"/>
                <w:lang w:eastAsia="ja-JP"/>
              </w:rPr>
            </w:pPr>
            <w:r w:rsidRPr="00536CFD">
              <w:t>50%</w:t>
            </w:r>
          </w:p>
        </w:tc>
        <w:tc>
          <w:tcPr>
            <w:tcW w:w="858" w:type="dxa"/>
          </w:tcPr>
          <w:p w14:paraId="779F9E28" w14:textId="77777777" w:rsidR="009D4A93" w:rsidRPr="00536CFD" w:rsidRDefault="009D4A93" w:rsidP="009D4A93">
            <w:pPr>
              <w:spacing w:after="0"/>
              <w:jc w:val="center"/>
              <w:rPr>
                <w:rFonts w:eastAsia="Times New Roman"/>
                <w:lang w:eastAsia="ja-JP"/>
              </w:rPr>
            </w:pPr>
            <w:r w:rsidRPr="00536CFD">
              <w:t>79.42</w:t>
            </w:r>
          </w:p>
        </w:tc>
        <w:tc>
          <w:tcPr>
            <w:tcW w:w="858" w:type="dxa"/>
          </w:tcPr>
          <w:p w14:paraId="418358F8" w14:textId="77777777" w:rsidR="009D4A93" w:rsidRPr="00536CFD" w:rsidRDefault="009D4A93" w:rsidP="009D4A93">
            <w:pPr>
              <w:spacing w:after="0"/>
              <w:jc w:val="center"/>
              <w:rPr>
                <w:rFonts w:eastAsia="Times New Roman"/>
                <w:lang w:eastAsia="ja-JP"/>
              </w:rPr>
            </w:pPr>
            <w:r w:rsidRPr="00536CFD">
              <w:t>83.43</w:t>
            </w:r>
          </w:p>
        </w:tc>
        <w:tc>
          <w:tcPr>
            <w:tcW w:w="880" w:type="dxa"/>
          </w:tcPr>
          <w:p w14:paraId="66F9066C" w14:textId="77777777" w:rsidR="009D4A93" w:rsidRPr="00536CFD" w:rsidRDefault="009D4A93" w:rsidP="009D4A93">
            <w:pPr>
              <w:spacing w:after="0"/>
              <w:jc w:val="center"/>
              <w:rPr>
                <w:rFonts w:eastAsia="Times New Roman"/>
                <w:lang w:eastAsia="ja-JP"/>
              </w:rPr>
            </w:pPr>
            <w:r w:rsidRPr="00536CFD">
              <w:t>81.81</w:t>
            </w:r>
          </w:p>
        </w:tc>
        <w:tc>
          <w:tcPr>
            <w:tcW w:w="932" w:type="dxa"/>
          </w:tcPr>
          <w:p w14:paraId="7A783F63" w14:textId="77777777" w:rsidR="009D4A93" w:rsidRPr="00536CFD" w:rsidRDefault="009D4A93" w:rsidP="009D4A93">
            <w:pPr>
              <w:spacing w:after="0"/>
              <w:jc w:val="center"/>
              <w:rPr>
                <w:rFonts w:eastAsia="Times New Roman"/>
                <w:lang w:eastAsia="ja-JP"/>
              </w:rPr>
            </w:pPr>
            <w:r w:rsidRPr="00536CFD">
              <w:t>50.43</w:t>
            </w:r>
          </w:p>
        </w:tc>
        <w:tc>
          <w:tcPr>
            <w:tcW w:w="953" w:type="dxa"/>
          </w:tcPr>
          <w:p w14:paraId="7224B737" w14:textId="77777777" w:rsidR="009D4A93" w:rsidRPr="00536CFD" w:rsidRDefault="009D4A93" w:rsidP="009D4A93">
            <w:pPr>
              <w:spacing w:after="0"/>
              <w:jc w:val="center"/>
              <w:rPr>
                <w:rFonts w:eastAsia="Times New Roman"/>
                <w:lang w:eastAsia="ja-JP"/>
              </w:rPr>
            </w:pPr>
            <w:r w:rsidRPr="00536CFD">
              <w:t>63.95</w:t>
            </w:r>
          </w:p>
        </w:tc>
        <w:tc>
          <w:tcPr>
            <w:tcW w:w="954" w:type="dxa"/>
          </w:tcPr>
          <w:p w14:paraId="0595BBBC" w14:textId="77777777" w:rsidR="009D4A93" w:rsidRPr="00536CFD" w:rsidRDefault="009D4A93" w:rsidP="009D4A93">
            <w:pPr>
              <w:spacing w:after="0"/>
              <w:jc w:val="center"/>
              <w:rPr>
                <w:rFonts w:eastAsia="Times New Roman"/>
                <w:lang w:eastAsia="ja-JP"/>
              </w:rPr>
            </w:pPr>
            <w:r w:rsidRPr="00536CFD">
              <w:t>60.45</w:t>
            </w:r>
          </w:p>
        </w:tc>
        <w:tc>
          <w:tcPr>
            <w:tcW w:w="983" w:type="dxa"/>
          </w:tcPr>
          <w:p w14:paraId="5C4FCD6C" w14:textId="77777777" w:rsidR="009D4A93" w:rsidRPr="00536CFD" w:rsidRDefault="009D4A93" w:rsidP="009D4A93">
            <w:pPr>
              <w:spacing w:after="0"/>
              <w:jc w:val="center"/>
              <w:rPr>
                <w:rFonts w:eastAsia="Times New Roman"/>
                <w:lang w:eastAsia="ja-JP"/>
              </w:rPr>
            </w:pPr>
            <w:r w:rsidRPr="00536CFD">
              <w:t>24.42</w:t>
            </w:r>
          </w:p>
        </w:tc>
        <w:tc>
          <w:tcPr>
            <w:tcW w:w="983" w:type="dxa"/>
          </w:tcPr>
          <w:p w14:paraId="7C8895ED" w14:textId="77777777" w:rsidR="009D4A93" w:rsidRPr="00536CFD" w:rsidRDefault="009D4A93" w:rsidP="009D4A93">
            <w:pPr>
              <w:spacing w:after="0"/>
              <w:jc w:val="center"/>
              <w:rPr>
                <w:rFonts w:eastAsia="Times New Roman"/>
                <w:lang w:eastAsia="ja-JP"/>
              </w:rPr>
            </w:pPr>
            <w:r w:rsidRPr="00536CFD">
              <w:t>38.09</w:t>
            </w:r>
          </w:p>
        </w:tc>
        <w:tc>
          <w:tcPr>
            <w:tcW w:w="984" w:type="dxa"/>
          </w:tcPr>
          <w:p w14:paraId="1EECA24E" w14:textId="77777777" w:rsidR="009D4A93" w:rsidRPr="00536CFD" w:rsidRDefault="009D4A93" w:rsidP="009D4A93">
            <w:pPr>
              <w:spacing w:after="0"/>
              <w:jc w:val="center"/>
              <w:rPr>
                <w:rFonts w:eastAsia="Times New Roman"/>
                <w:lang w:eastAsia="ja-JP"/>
              </w:rPr>
            </w:pPr>
            <w:r w:rsidRPr="00536CFD">
              <w:t>29.54</w:t>
            </w:r>
          </w:p>
        </w:tc>
      </w:tr>
      <w:tr w:rsidR="009D4A93" w:rsidRPr="00536CFD" w14:paraId="27FDB2B5" w14:textId="77777777" w:rsidTr="009D4A93">
        <w:trPr>
          <w:cantSplit/>
          <w:trHeight w:val="22"/>
        </w:trPr>
        <w:tc>
          <w:tcPr>
            <w:tcW w:w="500" w:type="dxa"/>
            <w:vMerge/>
          </w:tcPr>
          <w:p w14:paraId="6E218393" w14:textId="77777777" w:rsidR="009D4A93" w:rsidRPr="00536CFD" w:rsidRDefault="009D4A93" w:rsidP="009D4A93">
            <w:pPr>
              <w:spacing w:after="0"/>
              <w:jc w:val="center"/>
              <w:rPr>
                <w:rFonts w:eastAsia="Times New Roman"/>
                <w:lang w:eastAsia="ja-JP"/>
              </w:rPr>
            </w:pPr>
          </w:p>
        </w:tc>
        <w:tc>
          <w:tcPr>
            <w:tcW w:w="505" w:type="dxa"/>
            <w:vMerge/>
          </w:tcPr>
          <w:p w14:paraId="16C18009" w14:textId="77777777" w:rsidR="009D4A93" w:rsidRPr="00536CFD" w:rsidRDefault="009D4A93" w:rsidP="009D4A93">
            <w:pPr>
              <w:spacing w:after="0"/>
              <w:jc w:val="center"/>
              <w:rPr>
                <w:rFonts w:eastAsia="Times New Roman"/>
                <w:lang w:eastAsia="ja-JP"/>
              </w:rPr>
            </w:pPr>
          </w:p>
        </w:tc>
        <w:tc>
          <w:tcPr>
            <w:tcW w:w="505" w:type="dxa"/>
          </w:tcPr>
          <w:p w14:paraId="1859A6D3" w14:textId="77777777" w:rsidR="009D4A93" w:rsidRPr="00536CFD" w:rsidRDefault="009D4A93" w:rsidP="009D4A93">
            <w:pPr>
              <w:spacing w:after="0"/>
              <w:jc w:val="center"/>
              <w:rPr>
                <w:rFonts w:eastAsia="Times New Roman"/>
                <w:lang w:eastAsia="ja-JP"/>
              </w:rPr>
            </w:pPr>
            <w:r w:rsidRPr="00536CFD">
              <w:t>95%</w:t>
            </w:r>
          </w:p>
        </w:tc>
        <w:tc>
          <w:tcPr>
            <w:tcW w:w="858" w:type="dxa"/>
          </w:tcPr>
          <w:p w14:paraId="4261A00E" w14:textId="77777777" w:rsidR="009D4A93" w:rsidRPr="00536CFD" w:rsidRDefault="009D4A93" w:rsidP="009D4A93">
            <w:pPr>
              <w:spacing w:after="0"/>
              <w:jc w:val="center"/>
              <w:rPr>
                <w:rFonts w:eastAsia="Times New Roman"/>
                <w:lang w:eastAsia="ja-JP"/>
              </w:rPr>
            </w:pPr>
            <w:r w:rsidRPr="00536CFD">
              <w:t>100.50</w:t>
            </w:r>
          </w:p>
        </w:tc>
        <w:tc>
          <w:tcPr>
            <w:tcW w:w="858" w:type="dxa"/>
          </w:tcPr>
          <w:p w14:paraId="364603CA" w14:textId="77777777" w:rsidR="009D4A93" w:rsidRPr="00536CFD" w:rsidRDefault="009D4A93" w:rsidP="009D4A93">
            <w:pPr>
              <w:spacing w:after="0"/>
              <w:jc w:val="center"/>
              <w:rPr>
                <w:rFonts w:eastAsia="Times New Roman"/>
                <w:lang w:eastAsia="ja-JP"/>
              </w:rPr>
            </w:pPr>
            <w:r w:rsidRPr="00536CFD">
              <w:t>102.76</w:t>
            </w:r>
          </w:p>
        </w:tc>
        <w:tc>
          <w:tcPr>
            <w:tcW w:w="880" w:type="dxa"/>
          </w:tcPr>
          <w:p w14:paraId="370C39E5" w14:textId="77777777" w:rsidR="009D4A93" w:rsidRPr="00536CFD" w:rsidRDefault="009D4A93" w:rsidP="009D4A93">
            <w:pPr>
              <w:spacing w:after="0"/>
              <w:jc w:val="center"/>
              <w:rPr>
                <w:rFonts w:eastAsia="Times New Roman"/>
                <w:lang w:eastAsia="ja-JP"/>
              </w:rPr>
            </w:pPr>
            <w:r w:rsidRPr="00536CFD">
              <w:t>101.66</w:t>
            </w:r>
          </w:p>
        </w:tc>
        <w:tc>
          <w:tcPr>
            <w:tcW w:w="932" w:type="dxa"/>
          </w:tcPr>
          <w:p w14:paraId="6B15D40A" w14:textId="77777777" w:rsidR="009D4A93" w:rsidRPr="00536CFD" w:rsidRDefault="009D4A93" w:rsidP="009D4A93">
            <w:pPr>
              <w:spacing w:after="0"/>
              <w:jc w:val="center"/>
              <w:rPr>
                <w:rFonts w:eastAsia="Times New Roman"/>
                <w:lang w:eastAsia="ja-JP"/>
              </w:rPr>
            </w:pPr>
            <w:r w:rsidRPr="00536CFD">
              <w:t>77.94</w:t>
            </w:r>
          </w:p>
        </w:tc>
        <w:tc>
          <w:tcPr>
            <w:tcW w:w="953" w:type="dxa"/>
          </w:tcPr>
          <w:p w14:paraId="3F747945" w14:textId="77777777" w:rsidR="009D4A93" w:rsidRPr="00536CFD" w:rsidRDefault="009D4A93" w:rsidP="009D4A93">
            <w:pPr>
              <w:spacing w:after="0"/>
              <w:jc w:val="center"/>
              <w:rPr>
                <w:rFonts w:eastAsia="Times New Roman"/>
                <w:lang w:eastAsia="ja-JP"/>
              </w:rPr>
            </w:pPr>
            <w:r w:rsidRPr="00536CFD">
              <w:t>90.60</w:t>
            </w:r>
          </w:p>
        </w:tc>
        <w:tc>
          <w:tcPr>
            <w:tcW w:w="954" w:type="dxa"/>
          </w:tcPr>
          <w:p w14:paraId="725D2CCC" w14:textId="77777777" w:rsidR="009D4A93" w:rsidRPr="00536CFD" w:rsidRDefault="009D4A93" w:rsidP="009D4A93">
            <w:pPr>
              <w:spacing w:after="0"/>
              <w:jc w:val="center"/>
              <w:rPr>
                <w:rFonts w:eastAsia="Times New Roman"/>
                <w:lang w:eastAsia="ja-JP"/>
              </w:rPr>
            </w:pPr>
            <w:r w:rsidRPr="00536CFD">
              <w:t>84.28</w:t>
            </w:r>
          </w:p>
        </w:tc>
        <w:tc>
          <w:tcPr>
            <w:tcW w:w="983" w:type="dxa"/>
          </w:tcPr>
          <w:p w14:paraId="7B8C7B0D" w14:textId="77777777" w:rsidR="009D4A93" w:rsidRPr="00536CFD" w:rsidRDefault="009D4A93" w:rsidP="009D4A93">
            <w:pPr>
              <w:spacing w:after="0"/>
              <w:jc w:val="center"/>
              <w:rPr>
                <w:rFonts w:eastAsia="Times New Roman"/>
                <w:lang w:eastAsia="ja-JP"/>
              </w:rPr>
            </w:pPr>
            <w:r w:rsidRPr="00536CFD">
              <w:t>56.90</w:t>
            </w:r>
          </w:p>
        </w:tc>
        <w:tc>
          <w:tcPr>
            <w:tcW w:w="983" w:type="dxa"/>
          </w:tcPr>
          <w:p w14:paraId="5759A61F" w14:textId="77777777" w:rsidR="009D4A93" w:rsidRPr="00536CFD" w:rsidRDefault="009D4A93" w:rsidP="009D4A93">
            <w:pPr>
              <w:spacing w:after="0"/>
              <w:jc w:val="center"/>
              <w:rPr>
                <w:rFonts w:eastAsia="Times New Roman"/>
                <w:lang w:eastAsia="ja-JP"/>
              </w:rPr>
            </w:pPr>
            <w:r w:rsidRPr="00536CFD">
              <w:t>70.67</w:t>
            </w:r>
          </w:p>
        </w:tc>
        <w:tc>
          <w:tcPr>
            <w:tcW w:w="984" w:type="dxa"/>
          </w:tcPr>
          <w:p w14:paraId="2546CB9B" w14:textId="77777777" w:rsidR="009D4A93" w:rsidRPr="00536CFD" w:rsidRDefault="009D4A93" w:rsidP="009D4A93">
            <w:pPr>
              <w:spacing w:after="0"/>
              <w:jc w:val="center"/>
              <w:rPr>
                <w:rFonts w:eastAsia="Times New Roman"/>
                <w:lang w:eastAsia="ja-JP"/>
              </w:rPr>
            </w:pPr>
            <w:r w:rsidRPr="00536CFD">
              <w:t>56.14</w:t>
            </w:r>
          </w:p>
        </w:tc>
      </w:tr>
      <w:tr w:rsidR="009D4A93" w:rsidRPr="00536CFD" w14:paraId="0C1CC03F" w14:textId="77777777" w:rsidTr="009D4A93">
        <w:trPr>
          <w:cantSplit/>
          <w:trHeight w:val="22"/>
        </w:trPr>
        <w:tc>
          <w:tcPr>
            <w:tcW w:w="500" w:type="dxa"/>
            <w:vMerge/>
          </w:tcPr>
          <w:p w14:paraId="4ABD8279" w14:textId="77777777" w:rsidR="009D4A93" w:rsidRPr="00536CFD" w:rsidRDefault="009D4A93" w:rsidP="009D4A93">
            <w:pPr>
              <w:spacing w:after="0"/>
              <w:jc w:val="center"/>
              <w:rPr>
                <w:rFonts w:eastAsia="Times New Roman"/>
                <w:lang w:eastAsia="ja-JP"/>
              </w:rPr>
            </w:pPr>
          </w:p>
        </w:tc>
        <w:tc>
          <w:tcPr>
            <w:tcW w:w="505" w:type="dxa"/>
            <w:vMerge/>
          </w:tcPr>
          <w:p w14:paraId="6343490D" w14:textId="77777777" w:rsidR="009D4A93" w:rsidRPr="00536CFD" w:rsidRDefault="009D4A93" w:rsidP="009D4A93">
            <w:pPr>
              <w:spacing w:after="0"/>
              <w:jc w:val="center"/>
              <w:rPr>
                <w:rFonts w:eastAsia="Times New Roman"/>
                <w:lang w:eastAsia="ja-JP"/>
              </w:rPr>
            </w:pPr>
          </w:p>
        </w:tc>
        <w:tc>
          <w:tcPr>
            <w:tcW w:w="505" w:type="dxa"/>
          </w:tcPr>
          <w:p w14:paraId="2756638C" w14:textId="77777777" w:rsidR="009D4A93" w:rsidRPr="00536CFD" w:rsidRDefault="009D4A93" w:rsidP="009D4A93">
            <w:pPr>
              <w:spacing w:after="0"/>
              <w:jc w:val="center"/>
              <w:rPr>
                <w:rFonts w:eastAsia="Times New Roman"/>
                <w:lang w:eastAsia="ja-JP"/>
              </w:rPr>
            </w:pPr>
            <w:r w:rsidRPr="00536CFD">
              <w:t>Mean</w:t>
            </w:r>
          </w:p>
        </w:tc>
        <w:tc>
          <w:tcPr>
            <w:tcW w:w="858" w:type="dxa"/>
          </w:tcPr>
          <w:p w14:paraId="3835B3F2" w14:textId="77777777" w:rsidR="009D4A93" w:rsidRPr="00536CFD" w:rsidRDefault="009D4A93" w:rsidP="009D4A93">
            <w:pPr>
              <w:spacing w:after="0"/>
              <w:jc w:val="center"/>
              <w:rPr>
                <w:rFonts w:eastAsia="Times New Roman"/>
                <w:lang w:eastAsia="ja-JP"/>
              </w:rPr>
            </w:pPr>
            <w:r w:rsidRPr="00536CFD">
              <w:t>79.00</w:t>
            </w:r>
          </w:p>
        </w:tc>
        <w:tc>
          <w:tcPr>
            <w:tcW w:w="858" w:type="dxa"/>
          </w:tcPr>
          <w:p w14:paraId="7F452CB1" w14:textId="77777777" w:rsidR="009D4A93" w:rsidRPr="00536CFD" w:rsidRDefault="009D4A93" w:rsidP="009D4A93">
            <w:pPr>
              <w:spacing w:after="0"/>
              <w:jc w:val="center"/>
              <w:rPr>
                <w:rFonts w:eastAsia="Times New Roman"/>
                <w:lang w:eastAsia="ja-JP"/>
              </w:rPr>
            </w:pPr>
            <w:r w:rsidRPr="00536CFD">
              <w:t>81.76</w:t>
            </w:r>
          </w:p>
        </w:tc>
        <w:tc>
          <w:tcPr>
            <w:tcW w:w="880" w:type="dxa"/>
          </w:tcPr>
          <w:p w14:paraId="1BD08414" w14:textId="77777777" w:rsidR="009D4A93" w:rsidRPr="00536CFD" w:rsidRDefault="009D4A93" w:rsidP="009D4A93">
            <w:pPr>
              <w:spacing w:after="0"/>
              <w:jc w:val="center"/>
              <w:rPr>
                <w:rFonts w:eastAsia="Times New Roman"/>
                <w:lang w:eastAsia="ja-JP"/>
              </w:rPr>
            </w:pPr>
            <w:r w:rsidRPr="00536CFD">
              <w:t>81.12</w:t>
            </w:r>
          </w:p>
        </w:tc>
        <w:tc>
          <w:tcPr>
            <w:tcW w:w="932" w:type="dxa"/>
          </w:tcPr>
          <w:p w14:paraId="2967BDD2" w14:textId="77777777" w:rsidR="009D4A93" w:rsidRPr="00536CFD" w:rsidRDefault="009D4A93" w:rsidP="009D4A93">
            <w:pPr>
              <w:spacing w:after="0"/>
              <w:jc w:val="center"/>
              <w:rPr>
                <w:rFonts w:eastAsia="Times New Roman"/>
                <w:lang w:eastAsia="ja-JP"/>
              </w:rPr>
            </w:pPr>
            <w:r w:rsidRPr="00536CFD">
              <w:t>54.08</w:t>
            </w:r>
          </w:p>
        </w:tc>
        <w:tc>
          <w:tcPr>
            <w:tcW w:w="953" w:type="dxa"/>
          </w:tcPr>
          <w:p w14:paraId="0BE9F0DE" w14:textId="77777777" w:rsidR="009D4A93" w:rsidRPr="00536CFD" w:rsidRDefault="009D4A93" w:rsidP="009D4A93">
            <w:pPr>
              <w:spacing w:after="0"/>
              <w:jc w:val="center"/>
              <w:rPr>
                <w:rFonts w:eastAsia="Times New Roman"/>
                <w:lang w:eastAsia="ja-JP"/>
              </w:rPr>
            </w:pPr>
            <w:r w:rsidRPr="00536CFD">
              <w:t>66.07</w:t>
            </w:r>
          </w:p>
        </w:tc>
        <w:tc>
          <w:tcPr>
            <w:tcW w:w="954" w:type="dxa"/>
          </w:tcPr>
          <w:p w14:paraId="28CA2461" w14:textId="77777777" w:rsidR="009D4A93" w:rsidRPr="00536CFD" w:rsidRDefault="009D4A93" w:rsidP="009D4A93">
            <w:pPr>
              <w:spacing w:after="0"/>
              <w:jc w:val="center"/>
              <w:rPr>
                <w:rFonts w:eastAsia="Times New Roman"/>
                <w:lang w:eastAsia="ja-JP"/>
              </w:rPr>
            </w:pPr>
            <w:r w:rsidRPr="00536CFD">
              <w:t>61.51</w:t>
            </w:r>
          </w:p>
        </w:tc>
        <w:tc>
          <w:tcPr>
            <w:tcW w:w="983" w:type="dxa"/>
          </w:tcPr>
          <w:p w14:paraId="6DE26BC3" w14:textId="77777777" w:rsidR="009D4A93" w:rsidRPr="00536CFD" w:rsidRDefault="009D4A93" w:rsidP="009D4A93">
            <w:pPr>
              <w:spacing w:after="0"/>
              <w:jc w:val="center"/>
              <w:rPr>
                <w:rFonts w:eastAsia="Times New Roman"/>
                <w:lang w:eastAsia="ja-JP"/>
              </w:rPr>
            </w:pPr>
            <w:r w:rsidRPr="00536CFD">
              <w:t>31.42</w:t>
            </w:r>
          </w:p>
        </w:tc>
        <w:tc>
          <w:tcPr>
            <w:tcW w:w="983" w:type="dxa"/>
          </w:tcPr>
          <w:p w14:paraId="224CFF78" w14:textId="77777777" w:rsidR="009D4A93" w:rsidRPr="00536CFD" w:rsidRDefault="009D4A93" w:rsidP="009D4A93">
            <w:pPr>
              <w:spacing w:after="0"/>
              <w:jc w:val="center"/>
              <w:rPr>
                <w:rFonts w:eastAsia="Times New Roman"/>
                <w:lang w:eastAsia="ja-JP"/>
              </w:rPr>
            </w:pPr>
            <w:r w:rsidRPr="00536CFD">
              <w:t>44.07</w:t>
            </w:r>
          </w:p>
        </w:tc>
        <w:tc>
          <w:tcPr>
            <w:tcW w:w="984" w:type="dxa"/>
          </w:tcPr>
          <w:p w14:paraId="7EF15A29" w14:textId="77777777" w:rsidR="009D4A93" w:rsidRPr="00536CFD" w:rsidRDefault="009D4A93" w:rsidP="009D4A93">
            <w:pPr>
              <w:spacing w:after="0"/>
              <w:jc w:val="center"/>
              <w:rPr>
                <w:rFonts w:eastAsia="Times New Roman"/>
                <w:lang w:eastAsia="ja-JP"/>
              </w:rPr>
            </w:pPr>
            <w:r w:rsidRPr="00536CFD">
              <w:t>33.57</w:t>
            </w:r>
          </w:p>
        </w:tc>
      </w:tr>
      <w:tr w:rsidR="009D4A93" w:rsidRPr="00536CFD" w14:paraId="5B5196B9" w14:textId="77777777" w:rsidTr="009D4A93">
        <w:trPr>
          <w:cantSplit/>
          <w:trHeight w:val="22"/>
        </w:trPr>
        <w:tc>
          <w:tcPr>
            <w:tcW w:w="500" w:type="dxa"/>
            <w:vMerge/>
          </w:tcPr>
          <w:p w14:paraId="4607F359" w14:textId="77777777" w:rsidR="009D4A93" w:rsidRPr="00536CFD" w:rsidRDefault="009D4A93" w:rsidP="009D4A93">
            <w:pPr>
              <w:spacing w:after="0"/>
              <w:jc w:val="center"/>
              <w:rPr>
                <w:rFonts w:eastAsia="Times New Roman"/>
                <w:lang w:eastAsia="ja-JP"/>
              </w:rPr>
            </w:pPr>
          </w:p>
        </w:tc>
        <w:tc>
          <w:tcPr>
            <w:tcW w:w="505" w:type="dxa"/>
            <w:vMerge w:val="restart"/>
          </w:tcPr>
          <w:p w14:paraId="3A0F7B98" w14:textId="77777777" w:rsidR="009D4A93" w:rsidRPr="00536CFD" w:rsidRDefault="009D4A93" w:rsidP="009D4A93">
            <w:pPr>
              <w:spacing w:after="0"/>
              <w:jc w:val="center"/>
            </w:pPr>
            <w:r w:rsidRPr="00536CFD">
              <w:t>UL:</w:t>
            </w:r>
          </w:p>
          <w:p w14:paraId="7F053D06" w14:textId="77777777" w:rsidR="009D4A93" w:rsidRPr="00536CFD" w:rsidRDefault="009D4A93" w:rsidP="009D4A93">
            <w:pPr>
              <w:spacing w:after="0"/>
              <w:jc w:val="center"/>
            </w:pPr>
            <w:r w:rsidRPr="00536CFD">
              <w:t>Delay CDF</w:t>
            </w:r>
          </w:p>
          <w:p w14:paraId="070301F9" w14:textId="77777777" w:rsidR="009D4A93" w:rsidRPr="00536CFD" w:rsidRDefault="009D4A93" w:rsidP="009D4A93">
            <w:pPr>
              <w:spacing w:after="0"/>
              <w:jc w:val="center"/>
              <w:rPr>
                <w:rFonts w:eastAsia="Times New Roman"/>
                <w:lang w:eastAsia="ja-JP"/>
              </w:rPr>
            </w:pPr>
            <w:r w:rsidRPr="00536CFD">
              <w:t>[s]</w:t>
            </w:r>
          </w:p>
        </w:tc>
        <w:tc>
          <w:tcPr>
            <w:tcW w:w="505" w:type="dxa"/>
          </w:tcPr>
          <w:p w14:paraId="196F6B6D" w14:textId="77777777" w:rsidR="009D4A93" w:rsidRPr="00536CFD" w:rsidRDefault="009D4A93" w:rsidP="009D4A93">
            <w:pPr>
              <w:spacing w:after="0"/>
              <w:jc w:val="center"/>
              <w:rPr>
                <w:rFonts w:eastAsia="Times New Roman"/>
                <w:lang w:eastAsia="ja-JP"/>
              </w:rPr>
            </w:pPr>
            <w:r w:rsidRPr="00536CFD">
              <w:t>5%</w:t>
            </w:r>
          </w:p>
        </w:tc>
        <w:tc>
          <w:tcPr>
            <w:tcW w:w="858" w:type="dxa"/>
          </w:tcPr>
          <w:p w14:paraId="6278F063" w14:textId="77777777" w:rsidR="009D4A93" w:rsidRPr="00536CFD" w:rsidRDefault="009D4A93" w:rsidP="009D4A93">
            <w:pPr>
              <w:spacing w:after="0"/>
              <w:jc w:val="center"/>
              <w:rPr>
                <w:rFonts w:eastAsia="Times New Roman"/>
                <w:lang w:eastAsia="ja-JP"/>
              </w:rPr>
            </w:pPr>
            <w:r w:rsidRPr="00536CFD">
              <w:t>0.036</w:t>
            </w:r>
          </w:p>
        </w:tc>
        <w:tc>
          <w:tcPr>
            <w:tcW w:w="858" w:type="dxa"/>
          </w:tcPr>
          <w:p w14:paraId="54AB0438" w14:textId="77777777" w:rsidR="009D4A93" w:rsidRPr="00536CFD" w:rsidRDefault="009D4A93" w:rsidP="009D4A93">
            <w:pPr>
              <w:spacing w:after="0"/>
              <w:jc w:val="center"/>
              <w:rPr>
                <w:rFonts w:eastAsia="Times New Roman"/>
                <w:lang w:eastAsia="ja-JP"/>
              </w:rPr>
            </w:pPr>
            <w:r w:rsidRPr="00536CFD">
              <w:t>0.034</w:t>
            </w:r>
          </w:p>
        </w:tc>
        <w:tc>
          <w:tcPr>
            <w:tcW w:w="880" w:type="dxa"/>
          </w:tcPr>
          <w:p w14:paraId="3FCDB4A8" w14:textId="77777777" w:rsidR="009D4A93" w:rsidRPr="00536CFD" w:rsidRDefault="009D4A93" w:rsidP="009D4A93">
            <w:pPr>
              <w:spacing w:after="0"/>
              <w:jc w:val="center"/>
              <w:rPr>
                <w:rFonts w:eastAsia="Times New Roman"/>
                <w:lang w:eastAsia="ja-JP"/>
              </w:rPr>
            </w:pPr>
            <w:r w:rsidRPr="00536CFD">
              <w:t>0.036</w:t>
            </w:r>
          </w:p>
        </w:tc>
        <w:tc>
          <w:tcPr>
            <w:tcW w:w="932" w:type="dxa"/>
          </w:tcPr>
          <w:p w14:paraId="5198627A" w14:textId="77777777" w:rsidR="009D4A93" w:rsidRPr="00536CFD" w:rsidRDefault="009D4A93" w:rsidP="009D4A93">
            <w:pPr>
              <w:spacing w:after="0"/>
              <w:jc w:val="center"/>
              <w:rPr>
                <w:rFonts w:eastAsia="Times New Roman"/>
                <w:lang w:eastAsia="ja-JP"/>
              </w:rPr>
            </w:pPr>
            <w:r w:rsidRPr="00536CFD">
              <w:t>0.058</w:t>
            </w:r>
          </w:p>
        </w:tc>
        <w:tc>
          <w:tcPr>
            <w:tcW w:w="953" w:type="dxa"/>
          </w:tcPr>
          <w:p w14:paraId="5E06CD2B" w14:textId="77777777" w:rsidR="009D4A93" w:rsidRPr="00536CFD" w:rsidRDefault="009D4A93" w:rsidP="009D4A93">
            <w:pPr>
              <w:spacing w:after="0"/>
              <w:jc w:val="center"/>
              <w:rPr>
                <w:rFonts w:eastAsia="Times New Roman"/>
                <w:lang w:eastAsia="ja-JP"/>
              </w:rPr>
            </w:pPr>
            <w:r w:rsidRPr="00536CFD">
              <w:t>0.043</w:t>
            </w:r>
          </w:p>
        </w:tc>
        <w:tc>
          <w:tcPr>
            <w:tcW w:w="954" w:type="dxa"/>
          </w:tcPr>
          <w:p w14:paraId="45F9C536" w14:textId="77777777" w:rsidR="009D4A93" w:rsidRPr="00536CFD" w:rsidRDefault="009D4A93" w:rsidP="009D4A93">
            <w:pPr>
              <w:spacing w:after="0"/>
              <w:jc w:val="center"/>
              <w:rPr>
                <w:rFonts w:eastAsia="Times New Roman"/>
                <w:lang w:eastAsia="ja-JP"/>
              </w:rPr>
            </w:pPr>
            <w:r w:rsidRPr="00536CFD">
              <w:t>0.051</w:t>
            </w:r>
          </w:p>
        </w:tc>
        <w:tc>
          <w:tcPr>
            <w:tcW w:w="983" w:type="dxa"/>
          </w:tcPr>
          <w:p w14:paraId="1A0F7340" w14:textId="77777777" w:rsidR="009D4A93" w:rsidRPr="00536CFD" w:rsidRDefault="009D4A93" w:rsidP="009D4A93">
            <w:pPr>
              <w:spacing w:after="0"/>
              <w:jc w:val="center"/>
              <w:rPr>
                <w:rFonts w:eastAsia="Times New Roman"/>
                <w:lang w:eastAsia="ja-JP"/>
              </w:rPr>
            </w:pPr>
            <w:r w:rsidRPr="00536CFD">
              <w:t>0.083</w:t>
            </w:r>
          </w:p>
        </w:tc>
        <w:tc>
          <w:tcPr>
            <w:tcW w:w="983" w:type="dxa"/>
          </w:tcPr>
          <w:p w14:paraId="5DC50E6D" w14:textId="77777777" w:rsidR="009D4A93" w:rsidRPr="00536CFD" w:rsidRDefault="009D4A93" w:rsidP="009D4A93">
            <w:pPr>
              <w:spacing w:after="0"/>
              <w:jc w:val="center"/>
              <w:rPr>
                <w:rFonts w:eastAsia="Times New Roman"/>
                <w:lang w:eastAsia="ja-JP"/>
              </w:rPr>
            </w:pPr>
            <w:r w:rsidRPr="00536CFD">
              <w:t>0.063</w:t>
            </w:r>
          </w:p>
        </w:tc>
        <w:tc>
          <w:tcPr>
            <w:tcW w:w="984" w:type="dxa"/>
          </w:tcPr>
          <w:p w14:paraId="6BC763EE" w14:textId="77777777" w:rsidR="009D4A93" w:rsidRPr="00536CFD" w:rsidRDefault="009D4A93" w:rsidP="009D4A93">
            <w:pPr>
              <w:spacing w:after="0"/>
              <w:jc w:val="center"/>
              <w:rPr>
                <w:rFonts w:eastAsia="Times New Roman"/>
                <w:lang w:eastAsia="ja-JP"/>
              </w:rPr>
            </w:pPr>
            <w:r w:rsidRPr="00536CFD">
              <w:t>0.090</w:t>
            </w:r>
          </w:p>
        </w:tc>
      </w:tr>
      <w:tr w:rsidR="009D4A93" w:rsidRPr="00536CFD" w14:paraId="09544BAF" w14:textId="77777777" w:rsidTr="009D4A93">
        <w:trPr>
          <w:cantSplit/>
          <w:trHeight w:val="22"/>
        </w:trPr>
        <w:tc>
          <w:tcPr>
            <w:tcW w:w="500" w:type="dxa"/>
            <w:vMerge/>
          </w:tcPr>
          <w:p w14:paraId="64101B62" w14:textId="77777777" w:rsidR="009D4A93" w:rsidRPr="00536CFD" w:rsidRDefault="009D4A93" w:rsidP="009D4A93">
            <w:pPr>
              <w:spacing w:after="0"/>
              <w:jc w:val="center"/>
              <w:rPr>
                <w:rFonts w:eastAsia="Times New Roman"/>
                <w:lang w:eastAsia="ja-JP"/>
              </w:rPr>
            </w:pPr>
          </w:p>
        </w:tc>
        <w:tc>
          <w:tcPr>
            <w:tcW w:w="505" w:type="dxa"/>
            <w:vMerge/>
          </w:tcPr>
          <w:p w14:paraId="58F7792F" w14:textId="77777777" w:rsidR="009D4A93" w:rsidRPr="00536CFD" w:rsidRDefault="009D4A93" w:rsidP="009D4A93">
            <w:pPr>
              <w:spacing w:after="0"/>
              <w:jc w:val="center"/>
              <w:rPr>
                <w:rFonts w:eastAsia="Times New Roman"/>
                <w:lang w:eastAsia="ja-JP"/>
              </w:rPr>
            </w:pPr>
          </w:p>
        </w:tc>
        <w:tc>
          <w:tcPr>
            <w:tcW w:w="505" w:type="dxa"/>
          </w:tcPr>
          <w:p w14:paraId="28F0E035" w14:textId="77777777" w:rsidR="009D4A93" w:rsidRPr="00536CFD" w:rsidRDefault="009D4A93" w:rsidP="009D4A93">
            <w:pPr>
              <w:spacing w:after="0"/>
              <w:jc w:val="center"/>
              <w:rPr>
                <w:rFonts w:eastAsia="Times New Roman"/>
                <w:lang w:eastAsia="ja-JP"/>
              </w:rPr>
            </w:pPr>
            <w:r w:rsidRPr="00536CFD">
              <w:t>50%</w:t>
            </w:r>
          </w:p>
        </w:tc>
        <w:tc>
          <w:tcPr>
            <w:tcW w:w="858" w:type="dxa"/>
          </w:tcPr>
          <w:p w14:paraId="3BD62CD1" w14:textId="77777777" w:rsidR="009D4A93" w:rsidRPr="00536CFD" w:rsidRDefault="009D4A93" w:rsidP="009D4A93">
            <w:pPr>
              <w:spacing w:after="0"/>
              <w:jc w:val="center"/>
              <w:rPr>
                <w:rFonts w:eastAsia="Times New Roman"/>
                <w:lang w:eastAsia="ja-JP"/>
              </w:rPr>
            </w:pPr>
            <w:r w:rsidRPr="00536CFD">
              <w:t>0.077</w:t>
            </w:r>
          </w:p>
        </w:tc>
        <w:tc>
          <w:tcPr>
            <w:tcW w:w="858" w:type="dxa"/>
          </w:tcPr>
          <w:p w14:paraId="2282266B" w14:textId="77777777" w:rsidR="009D4A93" w:rsidRPr="00536CFD" w:rsidRDefault="009D4A93" w:rsidP="009D4A93">
            <w:pPr>
              <w:spacing w:after="0"/>
              <w:jc w:val="center"/>
              <w:rPr>
                <w:rFonts w:eastAsia="Times New Roman"/>
                <w:lang w:eastAsia="ja-JP"/>
              </w:rPr>
            </w:pPr>
            <w:r w:rsidRPr="00536CFD">
              <w:t>0.067</w:t>
            </w:r>
          </w:p>
        </w:tc>
        <w:tc>
          <w:tcPr>
            <w:tcW w:w="880" w:type="dxa"/>
          </w:tcPr>
          <w:p w14:paraId="76089E33" w14:textId="77777777" w:rsidR="009D4A93" w:rsidRPr="00536CFD" w:rsidRDefault="009D4A93" w:rsidP="009D4A93">
            <w:pPr>
              <w:spacing w:after="0"/>
              <w:jc w:val="center"/>
              <w:rPr>
                <w:rFonts w:eastAsia="Times New Roman"/>
                <w:lang w:eastAsia="ja-JP"/>
              </w:rPr>
            </w:pPr>
            <w:r w:rsidRPr="00536CFD">
              <w:t>0.081</w:t>
            </w:r>
          </w:p>
        </w:tc>
        <w:tc>
          <w:tcPr>
            <w:tcW w:w="932" w:type="dxa"/>
          </w:tcPr>
          <w:p w14:paraId="43AA07BC" w14:textId="77777777" w:rsidR="009D4A93" w:rsidRPr="00536CFD" w:rsidRDefault="009D4A93" w:rsidP="009D4A93">
            <w:pPr>
              <w:spacing w:after="0"/>
              <w:jc w:val="center"/>
              <w:rPr>
                <w:rFonts w:eastAsia="Times New Roman"/>
                <w:lang w:eastAsia="ja-JP"/>
              </w:rPr>
            </w:pPr>
            <w:r w:rsidRPr="00536CFD">
              <w:t>0.271</w:t>
            </w:r>
          </w:p>
        </w:tc>
        <w:tc>
          <w:tcPr>
            <w:tcW w:w="953" w:type="dxa"/>
          </w:tcPr>
          <w:p w14:paraId="6CF77EDA" w14:textId="77777777" w:rsidR="009D4A93" w:rsidRPr="00536CFD" w:rsidRDefault="009D4A93" w:rsidP="009D4A93">
            <w:pPr>
              <w:spacing w:after="0"/>
              <w:jc w:val="center"/>
              <w:rPr>
                <w:rFonts w:eastAsia="Times New Roman"/>
                <w:lang w:eastAsia="ja-JP"/>
              </w:rPr>
            </w:pPr>
            <w:r w:rsidRPr="00536CFD">
              <w:t>0.149</w:t>
            </w:r>
          </w:p>
        </w:tc>
        <w:tc>
          <w:tcPr>
            <w:tcW w:w="954" w:type="dxa"/>
          </w:tcPr>
          <w:p w14:paraId="6DCA5CF1" w14:textId="77777777" w:rsidR="009D4A93" w:rsidRPr="00536CFD" w:rsidRDefault="009D4A93" w:rsidP="009D4A93">
            <w:pPr>
              <w:spacing w:after="0"/>
              <w:jc w:val="center"/>
              <w:rPr>
                <w:rFonts w:eastAsia="Times New Roman"/>
                <w:lang w:eastAsia="ja-JP"/>
              </w:rPr>
            </w:pPr>
            <w:r w:rsidRPr="00536CFD">
              <w:t>0.246</w:t>
            </w:r>
          </w:p>
        </w:tc>
        <w:tc>
          <w:tcPr>
            <w:tcW w:w="983" w:type="dxa"/>
          </w:tcPr>
          <w:p w14:paraId="075C6B30" w14:textId="77777777" w:rsidR="009D4A93" w:rsidRPr="00536CFD" w:rsidRDefault="009D4A93" w:rsidP="009D4A93">
            <w:pPr>
              <w:spacing w:after="0"/>
              <w:jc w:val="center"/>
              <w:rPr>
                <w:rFonts w:eastAsia="Times New Roman"/>
                <w:lang w:eastAsia="ja-JP"/>
              </w:rPr>
            </w:pPr>
            <w:r w:rsidRPr="00536CFD">
              <w:t>0.432</w:t>
            </w:r>
          </w:p>
        </w:tc>
        <w:tc>
          <w:tcPr>
            <w:tcW w:w="983" w:type="dxa"/>
          </w:tcPr>
          <w:p w14:paraId="7F88B79F" w14:textId="77777777" w:rsidR="009D4A93" w:rsidRPr="00536CFD" w:rsidRDefault="009D4A93" w:rsidP="009D4A93">
            <w:pPr>
              <w:spacing w:after="0"/>
              <w:jc w:val="center"/>
              <w:rPr>
                <w:rFonts w:eastAsia="Times New Roman"/>
                <w:lang w:eastAsia="ja-JP"/>
              </w:rPr>
            </w:pPr>
            <w:r w:rsidRPr="00536CFD">
              <w:t>0.284</w:t>
            </w:r>
          </w:p>
        </w:tc>
        <w:tc>
          <w:tcPr>
            <w:tcW w:w="984" w:type="dxa"/>
          </w:tcPr>
          <w:p w14:paraId="3AF94EE4" w14:textId="77777777" w:rsidR="009D4A93" w:rsidRPr="00536CFD" w:rsidRDefault="009D4A93" w:rsidP="009D4A93">
            <w:pPr>
              <w:spacing w:after="0"/>
              <w:jc w:val="center"/>
              <w:rPr>
                <w:rFonts w:eastAsia="Times New Roman"/>
                <w:lang w:eastAsia="ja-JP"/>
              </w:rPr>
            </w:pPr>
            <w:r w:rsidRPr="00536CFD">
              <w:t>0.491</w:t>
            </w:r>
          </w:p>
        </w:tc>
      </w:tr>
      <w:tr w:rsidR="009D4A93" w:rsidRPr="00536CFD" w14:paraId="3142F076" w14:textId="77777777" w:rsidTr="009D4A93">
        <w:trPr>
          <w:cantSplit/>
          <w:trHeight w:val="22"/>
        </w:trPr>
        <w:tc>
          <w:tcPr>
            <w:tcW w:w="500" w:type="dxa"/>
            <w:vMerge/>
          </w:tcPr>
          <w:p w14:paraId="01E83DAA" w14:textId="77777777" w:rsidR="009D4A93" w:rsidRPr="00536CFD" w:rsidRDefault="009D4A93" w:rsidP="009D4A93">
            <w:pPr>
              <w:spacing w:after="0"/>
              <w:jc w:val="center"/>
              <w:rPr>
                <w:rFonts w:eastAsia="Times New Roman"/>
                <w:lang w:eastAsia="ja-JP"/>
              </w:rPr>
            </w:pPr>
          </w:p>
        </w:tc>
        <w:tc>
          <w:tcPr>
            <w:tcW w:w="505" w:type="dxa"/>
            <w:vMerge/>
          </w:tcPr>
          <w:p w14:paraId="45924201" w14:textId="77777777" w:rsidR="009D4A93" w:rsidRPr="00536CFD" w:rsidRDefault="009D4A93" w:rsidP="009D4A93">
            <w:pPr>
              <w:spacing w:after="0"/>
              <w:jc w:val="center"/>
              <w:rPr>
                <w:rFonts w:eastAsia="Times New Roman"/>
                <w:lang w:eastAsia="ja-JP"/>
              </w:rPr>
            </w:pPr>
          </w:p>
        </w:tc>
        <w:tc>
          <w:tcPr>
            <w:tcW w:w="505" w:type="dxa"/>
          </w:tcPr>
          <w:p w14:paraId="16FAF064" w14:textId="77777777" w:rsidR="009D4A93" w:rsidRPr="00536CFD" w:rsidRDefault="009D4A93" w:rsidP="009D4A93">
            <w:pPr>
              <w:spacing w:after="0"/>
              <w:jc w:val="center"/>
              <w:rPr>
                <w:rFonts w:eastAsia="Times New Roman"/>
                <w:lang w:eastAsia="ja-JP"/>
              </w:rPr>
            </w:pPr>
            <w:r w:rsidRPr="00536CFD">
              <w:t>95%</w:t>
            </w:r>
          </w:p>
        </w:tc>
        <w:tc>
          <w:tcPr>
            <w:tcW w:w="858" w:type="dxa"/>
          </w:tcPr>
          <w:p w14:paraId="33E4F682" w14:textId="77777777" w:rsidR="009D4A93" w:rsidRPr="00536CFD" w:rsidRDefault="009D4A93" w:rsidP="009D4A93">
            <w:pPr>
              <w:spacing w:after="0"/>
              <w:jc w:val="center"/>
              <w:rPr>
                <w:rFonts w:eastAsia="Times New Roman"/>
                <w:lang w:eastAsia="ja-JP"/>
              </w:rPr>
            </w:pPr>
            <w:r w:rsidRPr="00536CFD">
              <w:t>0.388</w:t>
            </w:r>
          </w:p>
        </w:tc>
        <w:tc>
          <w:tcPr>
            <w:tcW w:w="858" w:type="dxa"/>
          </w:tcPr>
          <w:p w14:paraId="71D1AC52" w14:textId="77777777" w:rsidR="009D4A93" w:rsidRPr="00536CFD" w:rsidRDefault="009D4A93" w:rsidP="009D4A93">
            <w:pPr>
              <w:spacing w:after="0"/>
              <w:jc w:val="center"/>
              <w:rPr>
                <w:rFonts w:eastAsia="Times New Roman"/>
                <w:lang w:eastAsia="ja-JP"/>
              </w:rPr>
            </w:pPr>
            <w:r w:rsidRPr="00536CFD">
              <w:t>0.286</w:t>
            </w:r>
          </w:p>
        </w:tc>
        <w:tc>
          <w:tcPr>
            <w:tcW w:w="880" w:type="dxa"/>
          </w:tcPr>
          <w:p w14:paraId="13CCB07D" w14:textId="77777777" w:rsidR="009D4A93" w:rsidRPr="00536CFD" w:rsidRDefault="009D4A93" w:rsidP="009D4A93">
            <w:pPr>
              <w:spacing w:after="0"/>
              <w:jc w:val="center"/>
              <w:rPr>
                <w:rFonts w:eastAsia="Times New Roman"/>
                <w:lang w:eastAsia="ja-JP"/>
              </w:rPr>
            </w:pPr>
            <w:r w:rsidRPr="00536CFD">
              <w:t>0.590</w:t>
            </w:r>
          </w:p>
        </w:tc>
        <w:tc>
          <w:tcPr>
            <w:tcW w:w="932" w:type="dxa"/>
          </w:tcPr>
          <w:p w14:paraId="2E9B7810" w14:textId="77777777" w:rsidR="009D4A93" w:rsidRPr="00536CFD" w:rsidRDefault="009D4A93" w:rsidP="009D4A93">
            <w:pPr>
              <w:spacing w:after="0"/>
              <w:jc w:val="center"/>
              <w:rPr>
                <w:rFonts w:eastAsia="Times New Roman"/>
                <w:lang w:eastAsia="ja-JP"/>
              </w:rPr>
            </w:pPr>
            <w:r w:rsidRPr="00536CFD">
              <w:t>2.639</w:t>
            </w:r>
          </w:p>
        </w:tc>
        <w:tc>
          <w:tcPr>
            <w:tcW w:w="953" w:type="dxa"/>
          </w:tcPr>
          <w:p w14:paraId="1D59D0B0" w14:textId="77777777" w:rsidR="009D4A93" w:rsidRPr="00536CFD" w:rsidRDefault="009D4A93" w:rsidP="009D4A93">
            <w:pPr>
              <w:spacing w:after="0"/>
              <w:jc w:val="center"/>
              <w:rPr>
                <w:rFonts w:eastAsia="Times New Roman"/>
                <w:lang w:eastAsia="ja-JP"/>
              </w:rPr>
            </w:pPr>
            <w:r w:rsidRPr="00536CFD">
              <w:t>1.171</w:t>
            </w:r>
          </w:p>
        </w:tc>
        <w:tc>
          <w:tcPr>
            <w:tcW w:w="954" w:type="dxa"/>
          </w:tcPr>
          <w:p w14:paraId="19A79F5F" w14:textId="77777777" w:rsidR="009D4A93" w:rsidRPr="00536CFD" w:rsidRDefault="009D4A93" w:rsidP="009D4A93">
            <w:pPr>
              <w:spacing w:after="0"/>
              <w:jc w:val="center"/>
              <w:rPr>
                <w:rFonts w:eastAsia="Times New Roman"/>
                <w:lang w:eastAsia="ja-JP"/>
              </w:rPr>
            </w:pPr>
            <w:r w:rsidRPr="00536CFD">
              <w:t>1.849</w:t>
            </w:r>
          </w:p>
        </w:tc>
        <w:tc>
          <w:tcPr>
            <w:tcW w:w="983" w:type="dxa"/>
          </w:tcPr>
          <w:p w14:paraId="4E99B22A" w14:textId="77777777" w:rsidR="009D4A93" w:rsidRPr="00536CFD" w:rsidRDefault="009D4A93" w:rsidP="009D4A93">
            <w:pPr>
              <w:spacing w:after="0"/>
              <w:jc w:val="center"/>
              <w:rPr>
                <w:rFonts w:eastAsia="Times New Roman"/>
                <w:lang w:eastAsia="ja-JP"/>
              </w:rPr>
            </w:pPr>
            <w:r w:rsidRPr="00536CFD">
              <w:t>4.849</w:t>
            </w:r>
          </w:p>
        </w:tc>
        <w:tc>
          <w:tcPr>
            <w:tcW w:w="983" w:type="dxa"/>
          </w:tcPr>
          <w:p w14:paraId="7954C700" w14:textId="77777777" w:rsidR="009D4A93" w:rsidRPr="00536CFD" w:rsidRDefault="009D4A93" w:rsidP="009D4A93">
            <w:pPr>
              <w:spacing w:after="0"/>
              <w:jc w:val="center"/>
              <w:rPr>
                <w:rFonts w:eastAsia="Times New Roman"/>
                <w:lang w:eastAsia="ja-JP"/>
              </w:rPr>
            </w:pPr>
            <w:r w:rsidRPr="00536CFD">
              <w:t>2.642</w:t>
            </w:r>
          </w:p>
        </w:tc>
        <w:tc>
          <w:tcPr>
            <w:tcW w:w="984" w:type="dxa"/>
          </w:tcPr>
          <w:p w14:paraId="446351B9" w14:textId="77777777" w:rsidR="009D4A93" w:rsidRPr="00536CFD" w:rsidRDefault="009D4A93" w:rsidP="009D4A93">
            <w:pPr>
              <w:spacing w:after="0"/>
              <w:jc w:val="center"/>
              <w:rPr>
                <w:rFonts w:eastAsia="Times New Roman"/>
                <w:lang w:eastAsia="ja-JP"/>
              </w:rPr>
            </w:pPr>
            <w:r w:rsidRPr="00536CFD">
              <w:t>4.917</w:t>
            </w:r>
          </w:p>
        </w:tc>
      </w:tr>
      <w:tr w:rsidR="009D4A93" w:rsidRPr="00536CFD" w14:paraId="564AEA6C" w14:textId="77777777" w:rsidTr="009D4A93">
        <w:trPr>
          <w:cantSplit/>
          <w:trHeight w:val="22"/>
        </w:trPr>
        <w:tc>
          <w:tcPr>
            <w:tcW w:w="500" w:type="dxa"/>
            <w:vMerge/>
          </w:tcPr>
          <w:p w14:paraId="700FB8EE" w14:textId="77777777" w:rsidR="009D4A93" w:rsidRPr="00536CFD" w:rsidRDefault="009D4A93" w:rsidP="009D4A93">
            <w:pPr>
              <w:spacing w:after="0"/>
              <w:jc w:val="center"/>
              <w:rPr>
                <w:rFonts w:eastAsia="Times New Roman"/>
                <w:lang w:eastAsia="ja-JP"/>
              </w:rPr>
            </w:pPr>
          </w:p>
        </w:tc>
        <w:tc>
          <w:tcPr>
            <w:tcW w:w="505" w:type="dxa"/>
            <w:vMerge/>
          </w:tcPr>
          <w:p w14:paraId="2636690A" w14:textId="77777777" w:rsidR="009D4A93" w:rsidRPr="00536CFD" w:rsidRDefault="009D4A93" w:rsidP="009D4A93">
            <w:pPr>
              <w:spacing w:after="0"/>
              <w:jc w:val="center"/>
              <w:rPr>
                <w:rFonts w:eastAsia="Times New Roman"/>
                <w:lang w:eastAsia="ja-JP"/>
              </w:rPr>
            </w:pPr>
          </w:p>
        </w:tc>
        <w:tc>
          <w:tcPr>
            <w:tcW w:w="505" w:type="dxa"/>
          </w:tcPr>
          <w:p w14:paraId="106871BD" w14:textId="77777777" w:rsidR="009D4A93" w:rsidRPr="00536CFD" w:rsidRDefault="009D4A93" w:rsidP="009D4A93">
            <w:pPr>
              <w:spacing w:after="0"/>
              <w:jc w:val="center"/>
              <w:rPr>
                <w:rFonts w:eastAsia="Times New Roman"/>
                <w:lang w:eastAsia="ja-JP"/>
              </w:rPr>
            </w:pPr>
            <w:r w:rsidRPr="00536CFD">
              <w:t>Mean</w:t>
            </w:r>
          </w:p>
        </w:tc>
        <w:tc>
          <w:tcPr>
            <w:tcW w:w="858" w:type="dxa"/>
          </w:tcPr>
          <w:p w14:paraId="11E00F9E" w14:textId="77777777" w:rsidR="009D4A93" w:rsidRPr="00536CFD" w:rsidRDefault="009D4A93" w:rsidP="009D4A93">
            <w:pPr>
              <w:spacing w:after="0"/>
              <w:jc w:val="center"/>
              <w:rPr>
                <w:rFonts w:eastAsia="Times New Roman"/>
                <w:lang w:eastAsia="ja-JP"/>
              </w:rPr>
            </w:pPr>
            <w:r w:rsidRPr="00536CFD">
              <w:t>0.163</w:t>
            </w:r>
          </w:p>
        </w:tc>
        <w:tc>
          <w:tcPr>
            <w:tcW w:w="858" w:type="dxa"/>
          </w:tcPr>
          <w:p w14:paraId="5BC3DD77" w14:textId="77777777" w:rsidR="009D4A93" w:rsidRPr="00536CFD" w:rsidRDefault="009D4A93" w:rsidP="009D4A93">
            <w:pPr>
              <w:spacing w:after="0"/>
              <w:jc w:val="center"/>
              <w:rPr>
                <w:rFonts w:eastAsia="Times New Roman"/>
                <w:lang w:eastAsia="ja-JP"/>
              </w:rPr>
            </w:pPr>
            <w:r w:rsidRPr="00536CFD">
              <w:t>0.128</w:t>
            </w:r>
          </w:p>
        </w:tc>
        <w:tc>
          <w:tcPr>
            <w:tcW w:w="880" w:type="dxa"/>
          </w:tcPr>
          <w:p w14:paraId="0413F97F" w14:textId="77777777" w:rsidR="009D4A93" w:rsidRPr="00536CFD" w:rsidRDefault="009D4A93" w:rsidP="009D4A93">
            <w:pPr>
              <w:spacing w:after="0"/>
              <w:jc w:val="center"/>
              <w:rPr>
                <w:rFonts w:eastAsia="Times New Roman"/>
                <w:lang w:eastAsia="ja-JP"/>
              </w:rPr>
            </w:pPr>
            <w:r w:rsidRPr="00536CFD">
              <w:t>0.229</w:t>
            </w:r>
          </w:p>
        </w:tc>
        <w:tc>
          <w:tcPr>
            <w:tcW w:w="932" w:type="dxa"/>
          </w:tcPr>
          <w:p w14:paraId="0D5739C2" w14:textId="77777777" w:rsidR="009D4A93" w:rsidRPr="00536CFD" w:rsidRDefault="009D4A93" w:rsidP="009D4A93">
            <w:pPr>
              <w:spacing w:after="0"/>
              <w:jc w:val="center"/>
              <w:rPr>
                <w:rFonts w:eastAsia="Times New Roman"/>
                <w:lang w:eastAsia="ja-JP"/>
              </w:rPr>
            </w:pPr>
            <w:r w:rsidRPr="00536CFD">
              <w:t>0.888</w:t>
            </w:r>
          </w:p>
        </w:tc>
        <w:tc>
          <w:tcPr>
            <w:tcW w:w="953" w:type="dxa"/>
          </w:tcPr>
          <w:p w14:paraId="664F78ED" w14:textId="77777777" w:rsidR="009D4A93" w:rsidRPr="00536CFD" w:rsidRDefault="009D4A93" w:rsidP="009D4A93">
            <w:pPr>
              <w:spacing w:after="0"/>
              <w:jc w:val="center"/>
              <w:rPr>
                <w:rFonts w:eastAsia="Times New Roman"/>
                <w:lang w:eastAsia="ja-JP"/>
              </w:rPr>
            </w:pPr>
            <w:r w:rsidRPr="00536CFD">
              <w:t>0.417</w:t>
            </w:r>
          </w:p>
        </w:tc>
        <w:tc>
          <w:tcPr>
            <w:tcW w:w="954" w:type="dxa"/>
          </w:tcPr>
          <w:p w14:paraId="11DF17CF" w14:textId="77777777" w:rsidR="009D4A93" w:rsidRPr="00536CFD" w:rsidRDefault="009D4A93" w:rsidP="009D4A93">
            <w:pPr>
              <w:spacing w:after="0"/>
              <w:jc w:val="center"/>
              <w:rPr>
                <w:rFonts w:eastAsia="Times New Roman"/>
                <w:lang w:eastAsia="ja-JP"/>
              </w:rPr>
            </w:pPr>
            <w:r w:rsidRPr="00536CFD">
              <w:t>0.700</w:t>
            </w:r>
          </w:p>
        </w:tc>
        <w:tc>
          <w:tcPr>
            <w:tcW w:w="983" w:type="dxa"/>
          </w:tcPr>
          <w:p w14:paraId="36A10F68" w14:textId="77777777" w:rsidR="009D4A93" w:rsidRPr="00536CFD" w:rsidRDefault="009D4A93" w:rsidP="009D4A93">
            <w:pPr>
              <w:spacing w:after="0"/>
              <w:jc w:val="center"/>
              <w:rPr>
                <w:rFonts w:eastAsia="Times New Roman"/>
                <w:lang w:eastAsia="ja-JP"/>
              </w:rPr>
            </w:pPr>
            <w:r w:rsidRPr="00536CFD">
              <w:t>1.560</w:t>
            </w:r>
          </w:p>
        </w:tc>
        <w:tc>
          <w:tcPr>
            <w:tcW w:w="983" w:type="dxa"/>
          </w:tcPr>
          <w:p w14:paraId="5BD8CCE4" w14:textId="77777777" w:rsidR="009D4A93" w:rsidRPr="00536CFD" w:rsidRDefault="009D4A93" w:rsidP="009D4A93">
            <w:pPr>
              <w:spacing w:after="0"/>
              <w:jc w:val="center"/>
              <w:rPr>
                <w:rFonts w:eastAsia="Times New Roman"/>
                <w:lang w:eastAsia="ja-JP"/>
              </w:rPr>
            </w:pPr>
            <w:r w:rsidRPr="00536CFD">
              <w:t>0.984</w:t>
            </w:r>
          </w:p>
        </w:tc>
        <w:tc>
          <w:tcPr>
            <w:tcW w:w="984" w:type="dxa"/>
          </w:tcPr>
          <w:p w14:paraId="273924F1" w14:textId="77777777" w:rsidR="009D4A93" w:rsidRPr="00536CFD" w:rsidRDefault="009D4A93" w:rsidP="009D4A93">
            <w:pPr>
              <w:spacing w:after="0"/>
              <w:jc w:val="center"/>
              <w:rPr>
                <w:rFonts w:eastAsia="Times New Roman"/>
                <w:lang w:eastAsia="ja-JP"/>
              </w:rPr>
            </w:pPr>
            <w:r w:rsidRPr="00536CFD">
              <w:t>1.635</w:t>
            </w:r>
          </w:p>
        </w:tc>
      </w:tr>
      <w:tr w:rsidR="009D4A93" w:rsidRPr="00536CFD" w14:paraId="2E6B7B35" w14:textId="77777777" w:rsidTr="009D4A93">
        <w:trPr>
          <w:cantSplit/>
          <w:trHeight w:val="22"/>
        </w:trPr>
        <w:tc>
          <w:tcPr>
            <w:tcW w:w="500" w:type="dxa"/>
            <w:vMerge/>
          </w:tcPr>
          <w:p w14:paraId="131005E8" w14:textId="77777777" w:rsidR="009D4A93" w:rsidRPr="00536CFD" w:rsidRDefault="009D4A93" w:rsidP="009D4A93">
            <w:pPr>
              <w:spacing w:after="0"/>
              <w:jc w:val="center"/>
              <w:rPr>
                <w:rFonts w:eastAsia="Times New Roman"/>
                <w:lang w:eastAsia="ja-JP"/>
              </w:rPr>
            </w:pPr>
          </w:p>
        </w:tc>
        <w:tc>
          <w:tcPr>
            <w:tcW w:w="1010" w:type="dxa"/>
            <w:gridSpan w:val="2"/>
          </w:tcPr>
          <w:p w14:paraId="68BF527F" w14:textId="77777777" w:rsidR="009D4A93" w:rsidRPr="00536CFD" w:rsidRDefault="009D4A93" w:rsidP="009D4A93">
            <w:pPr>
              <w:spacing w:after="0"/>
              <w:jc w:val="center"/>
              <w:rPr>
                <w:rFonts w:eastAsia="Times New Roman"/>
                <w:lang w:eastAsia="ja-JP"/>
              </w:rPr>
            </w:pPr>
            <w:r w:rsidRPr="00536CFD">
              <w:rPr>
                <w:rFonts w:ascii="Cambria Math" w:hAnsi="Cambria Math" w:cs="Cambria Math"/>
              </w:rPr>
              <w:t>𝜌</w:t>
            </w:r>
            <w:r w:rsidRPr="00536CFD">
              <w:rPr>
                <w:vertAlign w:val="subscript"/>
              </w:rPr>
              <w:t>DL</w:t>
            </w:r>
          </w:p>
        </w:tc>
        <w:tc>
          <w:tcPr>
            <w:tcW w:w="858" w:type="dxa"/>
          </w:tcPr>
          <w:p w14:paraId="0ECCBB57" w14:textId="77777777" w:rsidR="009D4A93" w:rsidRPr="00536CFD" w:rsidRDefault="009D4A93" w:rsidP="009D4A93">
            <w:pPr>
              <w:spacing w:after="0"/>
              <w:jc w:val="center"/>
              <w:rPr>
                <w:rFonts w:eastAsia="Times New Roman"/>
                <w:lang w:eastAsia="ja-JP"/>
              </w:rPr>
            </w:pPr>
            <w:r w:rsidRPr="00536CFD">
              <w:t>99%</w:t>
            </w:r>
          </w:p>
        </w:tc>
        <w:tc>
          <w:tcPr>
            <w:tcW w:w="858" w:type="dxa"/>
          </w:tcPr>
          <w:p w14:paraId="5F3BACFB" w14:textId="77777777" w:rsidR="009D4A93" w:rsidRPr="00536CFD" w:rsidRDefault="009D4A93" w:rsidP="009D4A93">
            <w:pPr>
              <w:spacing w:after="0"/>
              <w:jc w:val="center"/>
              <w:rPr>
                <w:rFonts w:eastAsia="Times New Roman"/>
                <w:lang w:eastAsia="ja-JP"/>
              </w:rPr>
            </w:pPr>
            <w:r w:rsidRPr="00536CFD">
              <w:t>100%</w:t>
            </w:r>
          </w:p>
        </w:tc>
        <w:tc>
          <w:tcPr>
            <w:tcW w:w="880" w:type="dxa"/>
          </w:tcPr>
          <w:p w14:paraId="0F67F1C1" w14:textId="77777777" w:rsidR="009D4A93" w:rsidRPr="00536CFD" w:rsidRDefault="009D4A93" w:rsidP="009D4A93">
            <w:pPr>
              <w:spacing w:after="0"/>
              <w:jc w:val="center"/>
              <w:rPr>
                <w:rFonts w:eastAsia="Times New Roman"/>
                <w:lang w:eastAsia="ja-JP"/>
              </w:rPr>
            </w:pPr>
            <w:r w:rsidRPr="00536CFD">
              <w:t>99%</w:t>
            </w:r>
          </w:p>
        </w:tc>
        <w:tc>
          <w:tcPr>
            <w:tcW w:w="932" w:type="dxa"/>
          </w:tcPr>
          <w:p w14:paraId="21B2210D" w14:textId="77777777" w:rsidR="009D4A93" w:rsidRPr="00536CFD" w:rsidRDefault="009D4A93" w:rsidP="009D4A93">
            <w:pPr>
              <w:spacing w:after="0"/>
              <w:jc w:val="center"/>
              <w:rPr>
                <w:rFonts w:eastAsia="Times New Roman"/>
                <w:lang w:eastAsia="ja-JP"/>
              </w:rPr>
            </w:pPr>
            <w:r w:rsidRPr="00536CFD">
              <w:t>93%</w:t>
            </w:r>
          </w:p>
        </w:tc>
        <w:tc>
          <w:tcPr>
            <w:tcW w:w="953" w:type="dxa"/>
          </w:tcPr>
          <w:p w14:paraId="49AAC271" w14:textId="77777777" w:rsidR="009D4A93" w:rsidRPr="00536CFD" w:rsidRDefault="009D4A93" w:rsidP="009D4A93">
            <w:pPr>
              <w:spacing w:after="0"/>
              <w:jc w:val="center"/>
              <w:rPr>
                <w:rFonts w:eastAsia="Times New Roman"/>
                <w:lang w:eastAsia="ja-JP"/>
              </w:rPr>
            </w:pPr>
            <w:r w:rsidRPr="00536CFD">
              <w:t>97%</w:t>
            </w:r>
          </w:p>
        </w:tc>
        <w:tc>
          <w:tcPr>
            <w:tcW w:w="954" w:type="dxa"/>
          </w:tcPr>
          <w:p w14:paraId="36F25745" w14:textId="77777777" w:rsidR="009D4A93" w:rsidRPr="00536CFD" w:rsidRDefault="009D4A93" w:rsidP="009D4A93">
            <w:pPr>
              <w:spacing w:after="0"/>
              <w:jc w:val="center"/>
              <w:rPr>
                <w:rFonts w:eastAsia="Times New Roman"/>
                <w:lang w:eastAsia="ja-JP"/>
              </w:rPr>
            </w:pPr>
            <w:r w:rsidRPr="00536CFD">
              <w:t>92%</w:t>
            </w:r>
          </w:p>
        </w:tc>
        <w:tc>
          <w:tcPr>
            <w:tcW w:w="983" w:type="dxa"/>
          </w:tcPr>
          <w:p w14:paraId="0A0AD354" w14:textId="77777777" w:rsidR="009D4A93" w:rsidRPr="00536CFD" w:rsidRDefault="009D4A93" w:rsidP="009D4A93">
            <w:pPr>
              <w:spacing w:after="0"/>
              <w:jc w:val="center"/>
              <w:rPr>
                <w:rFonts w:eastAsia="Times New Roman"/>
                <w:lang w:eastAsia="ja-JP"/>
              </w:rPr>
            </w:pPr>
            <w:r w:rsidRPr="00536CFD">
              <w:t>80%</w:t>
            </w:r>
          </w:p>
        </w:tc>
        <w:tc>
          <w:tcPr>
            <w:tcW w:w="983" w:type="dxa"/>
          </w:tcPr>
          <w:p w14:paraId="5C59E826" w14:textId="77777777" w:rsidR="009D4A93" w:rsidRPr="00536CFD" w:rsidRDefault="009D4A93" w:rsidP="009D4A93">
            <w:pPr>
              <w:spacing w:after="0"/>
              <w:jc w:val="center"/>
              <w:rPr>
                <w:rFonts w:eastAsia="Times New Roman"/>
                <w:lang w:eastAsia="ja-JP"/>
              </w:rPr>
            </w:pPr>
            <w:r w:rsidRPr="00536CFD">
              <w:t>91%</w:t>
            </w:r>
          </w:p>
        </w:tc>
        <w:tc>
          <w:tcPr>
            <w:tcW w:w="984" w:type="dxa"/>
          </w:tcPr>
          <w:p w14:paraId="002BE136" w14:textId="77777777" w:rsidR="009D4A93" w:rsidRPr="00536CFD" w:rsidRDefault="009D4A93" w:rsidP="009D4A93">
            <w:pPr>
              <w:spacing w:after="0"/>
              <w:jc w:val="center"/>
              <w:rPr>
                <w:rFonts w:eastAsia="Times New Roman"/>
                <w:lang w:eastAsia="ja-JP"/>
              </w:rPr>
            </w:pPr>
            <w:r w:rsidRPr="00536CFD">
              <w:t>75%</w:t>
            </w:r>
          </w:p>
        </w:tc>
      </w:tr>
      <w:tr w:rsidR="009D4A93" w:rsidRPr="00536CFD" w14:paraId="4A8A0B8D" w14:textId="77777777" w:rsidTr="009D4A93">
        <w:trPr>
          <w:cantSplit/>
          <w:trHeight w:val="22"/>
        </w:trPr>
        <w:tc>
          <w:tcPr>
            <w:tcW w:w="500" w:type="dxa"/>
            <w:vMerge/>
          </w:tcPr>
          <w:p w14:paraId="6C6268A2" w14:textId="77777777" w:rsidR="009D4A93" w:rsidRPr="00536CFD" w:rsidRDefault="009D4A93" w:rsidP="009D4A93">
            <w:pPr>
              <w:spacing w:after="0"/>
              <w:jc w:val="center"/>
              <w:rPr>
                <w:rFonts w:eastAsia="Times New Roman"/>
                <w:lang w:eastAsia="ja-JP"/>
              </w:rPr>
            </w:pPr>
          </w:p>
        </w:tc>
        <w:tc>
          <w:tcPr>
            <w:tcW w:w="1010" w:type="dxa"/>
            <w:gridSpan w:val="2"/>
          </w:tcPr>
          <w:p w14:paraId="165508EA" w14:textId="77777777" w:rsidR="009D4A93" w:rsidRPr="00536CFD" w:rsidRDefault="009D4A93" w:rsidP="009D4A93">
            <w:pPr>
              <w:spacing w:after="0"/>
              <w:jc w:val="center"/>
              <w:rPr>
                <w:rFonts w:eastAsia="Times New Roman"/>
                <w:lang w:eastAsia="ja-JP"/>
              </w:rPr>
            </w:pPr>
            <w:r w:rsidRPr="00536CFD">
              <w:rPr>
                <w:rFonts w:ascii="Cambria Math" w:hAnsi="Cambria Math" w:cs="Cambria Math"/>
              </w:rPr>
              <w:t>𝜌</w:t>
            </w:r>
            <w:r w:rsidRPr="00536CFD">
              <w:rPr>
                <w:vertAlign w:val="subscript"/>
              </w:rPr>
              <w:t>UL</w:t>
            </w:r>
          </w:p>
        </w:tc>
        <w:tc>
          <w:tcPr>
            <w:tcW w:w="858" w:type="dxa"/>
          </w:tcPr>
          <w:p w14:paraId="5743A870" w14:textId="77777777" w:rsidR="009D4A93" w:rsidRPr="00536CFD" w:rsidRDefault="009D4A93" w:rsidP="009D4A93">
            <w:pPr>
              <w:spacing w:after="0"/>
              <w:jc w:val="center"/>
              <w:rPr>
                <w:rFonts w:eastAsia="Times New Roman"/>
                <w:lang w:eastAsia="ja-JP"/>
              </w:rPr>
            </w:pPr>
            <w:r w:rsidRPr="00536CFD">
              <w:t>100%</w:t>
            </w:r>
          </w:p>
        </w:tc>
        <w:tc>
          <w:tcPr>
            <w:tcW w:w="858" w:type="dxa"/>
          </w:tcPr>
          <w:p w14:paraId="59A1A9B3" w14:textId="77777777" w:rsidR="009D4A93" w:rsidRPr="00536CFD" w:rsidRDefault="009D4A93" w:rsidP="009D4A93">
            <w:pPr>
              <w:spacing w:after="0"/>
              <w:jc w:val="center"/>
              <w:rPr>
                <w:rFonts w:eastAsia="Times New Roman"/>
                <w:lang w:eastAsia="ja-JP"/>
              </w:rPr>
            </w:pPr>
            <w:r w:rsidRPr="00536CFD">
              <w:t>100%</w:t>
            </w:r>
          </w:p>
        </w:tc>
        <w:tc>
          <w:tcPr>
            <w:tcW w:w="880" w:type="dxa"/>
          </w:tcPr>
          <w:p w14:paraId="29F83024" w14:textId="77777777" w:rsidR="009D4A93" w:rsidRPr="00536CFD" w:rsidRDefault="009D4A93" w:rsidP="009D4A93">
            <w:pPr>
              <w:spacing w:after="0"/>
              <w:jc w:val="center"/>
              <w:rPr>
                <w:rFonts w:eastAsia="Times New Roman"/>
                <w:lang w:eastAsia="ja-JP"/>
              </w:rPr>
            </w:pPr>
            <w:r w:rsidRPr="00536CFD">
              <w:t>99%</w:t>
            </w:r>
          </w:p>
        </w:tc>
        <w:tc>
          <w:tcPr>
            <w:tcW w:w="932" w:type="dxa"/>
          </w:tcPr>
          <w:p w14:paraId="315B8F13" w14:textId="77777777" w:rsidR="009D4A93" w:rsidRPr="00536CFD" w:rsidRDefault="009D4A93" w:rsidP="009D4A93">
            <w:pPr>
              <w:spacing w:after="0"/>
              <w:jc w:val="center"/>
              <w:rPr>
                <w:rFonts w:eastAsia="Times New Roman"/>
                <w:lang w:eastAsia="ja-JP"/>
              </w:rPr>
            </w:pPr>
            <w:r w:rsidRPr="00536CFD">
              <w:t>95%</w:t>
            </w:r>
          </w:p>
        </w:tc>
        <w:tc>
          <w:tcPr>
            <w:tcW w:w="953" w:type="dxa"/>
          </w:tcPr>
          <w:p w14:paraId="208C9602" w14:textId="77777777" w:rsidR="009D4A93" w:rsidRPr="00536CFD" w:rsidRDefault="009D4A93" w:rsidP="009D4A93">
            <w:pPr>
              <w:spacing w:after="0"/>
              <w:jc w:val="center"/>
              <w:rPr>
                <w:rFonts w:eastAsia="Times New Roman"/>
                <w:lang w:eastAsia="ja-JP"/>
              </w:rPr>
            </w:pPr>
            <w:r w:rsidRPr="00536CFD">
              <w:t>99%</w:t>
            </w:r>
          </w:p>
        </w:tc>
        <w:tc>
          <w:tcPr>
            <w:tcW w:w="954" w:type="dxa"/>
          </w:tcPr>
          <w:p w14:paraId="4C6396DA" w14:textId="77777777" w:rsidR="009D4A93" w:rsidRPr="00536CFD" w:rsidRDefault="009D4A93" w:rsidP="009D4A93">
            <w:pPr>
              <w:spacing w:after="0"/>
              <w:jc w:val="center"/>
              <w:rPr>
                <w:rFonts w:eastAsia="Times New Roman"/>
                <w:lang w:eastAsia="ja-JP"/>
              </w:rPr>
            </w:pPr>
            <w:r w:rsidRPr="00536CFD">
              <w:t>96%</w:t>
            </w:r>
          </w:p>
        </w:tc>
        <w:tc>
          <w:tcPr>
            <w:tcW w:w="983" w:type="dxa"/>
          </w:tcPr>
          <w:p w14:paraId="239F1804" w14:textId="77777777" w:rsidR="009D4A93" w:rsidRPr="00536CFD" w:rsidRDefault="009D4A93" w:rsidP="009D4A93">
            <w:pPr>
              <w:spacing w:after="0"/>
              <w:jc w:val="center"/>
              <w:rPr>
                <w:rFonts w:eastAsia="Times New Roman"/>
                <w:lang w:eastAsia="ja-JP"/>
              </w:rPr>
            </w:pPr>
            <w:r w:rsidRPr="00536CFD">
              <w:t>89%</w:t>
            </w:r>
          </w:p>
        </w:tc>
        <w:tc>
          <w:tcPr>
            <w:tcW w:w="983" w:type="dxa"/>
          </w:tcPr>
          <w:p w14:paraId="29691DBB" w14:textId="77777777" w:rsidR="009D4A93" w:rsidRPr="00536CFD" w:rsidRDefault="009D4A93" w:rsidP="009D4A93">
            <w:pPr>
              <w:spacing w:after="0"/>
              <w:jc w:val="center"/>
              <w:rPr>
                <w:rFonts w:eastAsia="Times New Roman"/>
                <w:lang w:eastAsia="ja-JP"/>
              </w:rPr>
            </w:pPr>
            <w:r w:rsidRPr="00536CFD">
              <w:t>94%</w:t>
            </w:r>
          </w:p>
        </w:tc>
        <w:tc>
          <w:tcPr>
            <w:tcW w:w="984" w:type="dxa"/>
          </w:tcPr>
          <w:p w14:paraId="40A66554" w14:textId="77777777" w:rsidR="009D4A93" w:rsidRPr="00536CFD" w:rsidRDefault="009D4A93" w:rsidP="009D4A93">
            <w:pPr>
              <w:spacing w:after="0"/>
              <w:jc w:val="center"/>
              <w:rPr>
                <w:rFonts w:eastAsia="Times New Roman"/>
                <w:lang w:eastAsia="ja-JP"/>
              </w:rPr>
            </w:pPr>
            <w:r w:rsidRPr="00536CFD">
              <w:t>87%</w:t>
            </w:r>
          </w:p>
        </w:tc>
      </w:tr>
      <w:tr w:rsidR="009D4A93" w:rsidRPr="00536CFD" w14:paraId="6B31B83D" w14:textId="77777777" w:rsidTr="009D4A93">
        <w:trPr>
          <w:cantSplit/>
          <w:trHeight w:val="22"/>
        </w:trPr>
        <w:tc>
          <w:tcPr>
            <w:tcW w:w="500" w:type="dxa"/>
            <w:vMerge/>
          </w:tcPr>
          <w:p w14:paraId="2CE9F75E" w14:textId="77777777" w:rsidR="009D4A93" w:rsidRPr="00536CFD" w:rsidRDefault="009D4A93" w:rsidP="009D4A93">
            <w:pPr>
              <w:spacing w:after="0"/>
              <w:jc w:val="center"/>
              <w:rPr>
                <w:rFonts w:eastAsia="Times New Roman"/>
                <w:lang w:eastAsia="ja-JP"/>
              </w:rPr>
            </w:pPr>
          </w:p>
        </w:tc>
        <w:tc>
          <w:tcPr>
            <w:tcW w:w="1010" w:type="dxa"/>
            <w:gridSpan w:val="2"/>
          </w:tcPr>
          <w:p w14:paraId="26C38E24" w14:textId="77777777" w:rsidR="009D4A93" w:rsidRPr="00536CFD" w:rsidRDefault="009D4A93" w:rsidP="009D4A93">
            <w:pPr>
              <w:spacing w:after="0"/>
              <w:jc w:val="center"/>
              <w:rPr>
                <w:rFonts w:eastAsia="Times New Roman"/>
                <w:lang w:eastAsia="ja-JP"/>
              </w:rPr>
            </w:pPr>
            <w:r w:rsidRPr="00536CFD">
              <w:t>BO</w:t>
            </w:r>
          </w:p>
        </w:tc>
        <w:tc>
          <w:tcPr>
            <w:tcW w:w="858" w:type="dxa"/>
          </w:tcPr>
          <w:p w14:paraId="3730CF60" w14:textId="77777777" w:rsidR="009D4A93" w:rsidRPr="00536CFD" w:rsidRDefault="009D4A93" w:rsidP="009D4A93">
            <w:pPr>
              <w:spacing w:after="0"/>
              <w:jc w:val="center"/>
              <w:rPr>
                <w:rFonts w:eastAsia="Times New Roman"/>
                <w:lang w:eastAsia="ja-JP"/>
              </w:rPr>
            </w:pPr>
            <w:r w:rsidRPr="00536CFD">
              <w:t>11%</w:t>
            </w:r>
          </w:p>
        </w:tc>
        <w:tc>
          <w:tcPr>
            <w:tcW w:w="858" w:type="dxa"/>
          </w:tcPr>
          <w:p w14:paraId="6690569C" w14:textId="77777777" w:rsidR="009D4A93" w:rsidRPr="00536CFD" w:rsidRDefault="009D4A93" w:rsidP="009D4A93">
            <w:pPr>
              <w:spacing w:after="0"/>
              <w:jc w:val="center"/>
              <w:rPr>
                <w:rFonts w:eastAsia="Times New Roman"/>
                <w:lang w:eastAsia="ja-JP"/>
              </w:rPr>
            </w:pPr>
            <w:r w:rsidRPr="00536CFD">
              <w:t>8.7%</w:t>
            </w:r>
          </w:p>
        </w:tc>
        <w:tc>
          <w:tcPr>
            <w:tcW w:w="880" w:type="dxa"/>
          </w:tcPr>
          <w:p w14:paraId="4A579C7A" w14:textId="77777777" w:rsidR="009D4A93" w:rsidRPr="00536CFD" w:rsidRDefault="009D4A93" w:rsidP="009D4A93">
            <w:pPr>
              <w:spacing w:after="0"/>
              <w:jc w:val="center"/>
              <w:rPr>
                <w:rFonts w:eastAsia="Times New Roman"/>
                <w:lang w:eastAsia="ja-JP"/>
              </w:rPr>
            </w:pPr>
            <w:r w:rsidRPr="00536CFD">
              <w:t>9.6%</w:t>
            </w:r>
          </w:p>
        </w:tc>
        <w:tc>
          <w:tcPr>
            <w:tcW w:w="932" w:type="dxa"/>
          </w:tcPr>
          <w:p w14:paraId="1E1ACD30" w14:textId="77777777" w:rsidR="009D4A93" w:rsidRPr="00536CFD" w:rsidRDefault="009D4A93" w:rsidP="009D4A93">
            <w:pPr>
              <w:spacing w:after="0"/>
              <w:jc w:val="center"/>
              <w:rPr>
                <w:rFonts w:eastAsia="Times New Roman"/>
                <w:lang w:eastAsia="ja-JP"/>
              </w:rPr>
            </w:pPr>
            <w:r w:rsidRPr="00536CFD">
              <w:t>34%</w:t>
            </w:r>
          </w:p>
        </w:tc>
        <w:tc>
          <w:tcPr>
            <w:tcW w:w="953" w:type="dxa"/>
          </w:tcPr>
          <w:p w14:paraId="053E6E40" w14:textId="77777777" w:rsidR="009D4A93" w:rsidRPr="00536CFD" w:rsidRDefault="009D4A93" w:rsidP="009D4A93">
            <w:pPr>
              <w:spacing w:after="0"/>
              <w:jc w:val="center"/>
              <w:rPr>
                <w:rFonts w:eastAsia="Times New Roman"/>
                <w:lang w:eastAsia="ja-JP"/>
              </w:rPr>
            </w:pPr>
            <w:r w:rsidRPr="00536CFD">
              <w:t>21%</w:t>
            </w:r>
          </w:p>
        </w:tc>
        <w:tc>
          <w:tcPr>
            <w:tcW w:w="954" w:type="dxa"/>
          </w:tcPr>
          <w:p w14:paraId="47184F7D" w14:textId="77777777" w:rsidR="009D4A93" w:rsidRPr="00536CFD" w:rsidRDefault="009D4A93" w:rsidP="009D4A93">
            <w:pPr>
              <w:spacing w:after="0"/>
              <w:jc w:val="center"/>
              <w:rPr>
                <w:rFonts w:eastAsia="Times New Roman"/>
                <w:lang w:eastAsia="ja-JP"/>
              </w:rPr>
            </w:pPr>
            <w:r w:rsidRPr="00536CFD">
              <w:t>28%</w:t>
            </w:r>
          </w:p>
        </w:tc>
        <w:tc>
          <w:tcPr>
            <w:tcW w:w="983" w:type="dxa"/>
          </w:tcPr>
          <w:p w14:paraId="0AAE37C5" w14:textId="77777777" w:rsidR="009D4A93" w:rsidRPr="00536CFD" w:rsidRDefault="009D4A93" w:rsidP="009D4A93">
            <w:pPr>
              <w:spacing w:after="0"/>
              <w:jc w:val="center"/>
              <w:rPr>
                <w:rFonts w:eastAsia="Times New Roman"/>
                <w:lang w:eastAsia="ja-JP"/>
              </w:rPr>
            </w:pPr>
            <w:r w:rsidRPr="00536CFD">
              <w:t>59%</w:t>
            </w:r>
          </w:p>
        </w:tc>
        <w:tc>
          <w:tcPr>
            <w:tcW w:w="983" w:type="dxa"/>
          </w:tcPr>
          <w:p w14:paraId="589E2D5F" w14:textId="77777777" w:rsidR="009D4A93" w:rsidRPr="00536CFD" w:rsidRDefault="009D4A93" w:rsidP="009D4A93">
            <w:pPr>
              <w:spacing w:after="0"/>
              <w:jc w:val="center"/>
              <w:rPr>
                <w:rFonts w:eastAsia="Times New Roman"/>
                <w:lang w:eastAsia="ja-JP"/>
              </w:rPr>
            </w:pPr>
            <w:r w:rsidRPr="00536CFD">
              <w:t>43%</w:t>
            </w:r>
          </w:p>
        </w:tc>
        <w:tc>
          <w:tcPr>
            <w:tcW w:w="984" w:type="dxa"/>
          </w:tcPr>
          <w:p w14:paraId="473F872E" w14:textId="77777777" w:rsidR="009D4A93" w:rsidRPr="00536CFD" w:rsidRDefault="009D4A93" w:rsidP="009D4A93">
            <w:pPr>
              <w:spacing w:after="0"/>
              <w:jc w:val="center"/>
              <w:rPr>
                <w:rFonts w:eastAsia="Times New Roman"/>
                <w:lang w:eastAsia="ja-JP"/>
              </w:rPr>
            </w:pPr>
            <w:r w:rsidRPr="00536CFD">
              <w:t>57%</w:t>
            </w:r>
          </w:p>
        </w:tc>
      </w:tr>
      <w:tr w:rsidR="009D4A93" w:rsidRPr="00536CFD" w14:paraId="23E70AE9" w14:textId="77777777" w:rsidTr="009D4A93">
        <w:trPr>
          <w:cantSplit/>
          <w:trHeight w:val="22"/>
        </w:trPr>
        <w:tc>
          <w:tcPr>
            <w:tcW w:w="500" w:type="dxa"/>
            <w:vMerge/>
          </w:tcPr>
          <w:p w14:paraId="6D75F5C4" w14:textId="77777777" w:rsidR="009D4A93" w:rsidRPr="00536CFD" w:rsidRDefault="009D4A93" w:rsidP="009D4A93">
            <w:pPr>
              <w:spacing w:after="0"/>
              <w:jc w:val="center"/>
              <w:rPr>
                <w:rFonts w:eastAsia="Times New Roman"/>
                <w:lang w:eastAsia="ja-JP"/>
              </w:rPr>
            </w:pPr>
          </w:p>
        </w:tc>
        <w:tc>
          <w:tcPr>
            <w:tcW w:w="1010" w:type="dxa"/>
            <w:gridSpan w:val="2"/>
          </w:tcPr>
          <w:p w14:paraId="616258E9" w14:textId="77777777" w:rsidR="009D4A93" w:rsidRPr="00536CFD" w:rsidRDefault="009D4A93" w:rsidP="009D4A93">
            <w:pPr>
              <w:spacing w:after="0"/>
              <w:jc w:val="center"/>
              <w:rPr>
                <w:rFonts w:eastAsia="Times New Roman"/>
                <w:lang w:eastAsia="ja-JP"/>
              </w:rPr>
            </w:pPr>
            <w:r w:rsidRPr="00536CFD">
              <w:rPr>
                <w:rFonts w:ascii="Cambria Math" w:hAnsi="Cambria Math" w:cs="Cambria Math"/>
              </w:rPr>
              <w:t>𝜆</w:t>
            </w:r>
          </w:p>
        </w:tc>
        <w:tc>
          <w:tcPr>
            <w:tcW w:w="2596" w:type="dxa"/>
            <w:gridSpan w:val="3"/>
          </w:tcPr>
          <w:p w14:paraId="14F9D477" w14:textId="77777777" w:rsidR="009D4A93" w:rsidRPr="00536CFD" w:rsidRDefault="009D4A93" w:rsidP="009D4A93">
            <w:pPr>
              <w:spacing w:after="0"/>
              <w:jc w:val="center"/>
              <w:rPr>
                <w:rFonts w:eastAsia="Times New Roman"/>
                <w:lang w:eastAsia="ja-JP"/>
              </w:rPr>
            </w:pPr>
            <w:r w:rsidRPr="00536CFD">
              <w:t>0.25 file/s</w:t>
            </w:r>
          </w:p>
        </w:tc>
        <w:tc>
          <w:tcPr>
            <w:tcW w:w="2839" w:type="dxa"/>
            <w:gridSpan w:val="3"/>
          </w:tcPr>
          <w:p w14:paraId="4F588955" w14:textId="77777777" w:rsidR="009D4A93" w:rsidRPr="00536CFD" w:rsidRDefault="009D4A93" w:rsidP="009D4A93">
            <w:pPr>
              <w:spacing w:after="0"/>
              <w:jc w:val="center"/>
              <w:rPr>
                <w:rFonts w:eastAsia="Times New Roman"/>
                <w:lang w:eastAsia="ja-JP"/>
              </w:rPr>
            </w:pPr>
            <w:r w:rsidRPr="00536CFD">
              <w:t>0.36 file/s</w:t>
            </w:r>
          </w:p>
        </w:tc>
        <w:tc>
          <w:tcPr>
            <w:tcW w:w="2950" w:type="dxa"/>
            <w:gridSpan w:val="3"/>
          </w:tcPr>
          <w:p w14:paraId="12997340" w14:textId="77777777" w:rsidR="009D4A93" w:rsidRPr="00536CFD" w:rsidRDefault="009D4A93" w:rsidP="009D4A93">
            <w:pPr>
              <w:spacing w:after="0"/>
              <w:jc w:val="center"/>
              <w:rPr>
                <w:rFonts w:eastAsia="Times New Roman"/>
                <w:lang w:eastAsia="ja-JP"/>
              </w:rPr>
            </w:pPr>
            <w:r w:rsidRPr="00536CFD">
              <w:t>0.48 file/s</w:t>
            </w:r>
          </w:p>
        </w:tc>
      </w:tr>
      <w:tr w:rsidR="009D4A93" w:rsidRPr="00536CFD" w14:paraId="31EB017F" w14:textId="77777777" w:rsidTr="00536CFD">
        <w:trPr>
          <w:cantSplit/>
          <w:trHeight w:val="22"/>
        </w:trPr>
        <w:tc>
          <w:tcPr>
            <w:tcW w:w="500" w:type="dxa"/>
          </w:tcPr>
          <w:p w14:paraId="719A4A02" w14:textId="77777777" w:rsidR="009D4A93" w:rsidRPr="00536CFD" w:rsidRDefault="009D4A93" w:rsidP="009D4A93">
            <w:pPr>
              <w:spacing w:after="0"/>
              <w:jc w:val="center"/>
              <w:rPr>
                <w:rFonts w:eastAsia="Times New Roman"/>
                <w:lang w:eastAsia="ja-JP"/>
              </w:rPr>
            </w:pPr>
          </w:p>
        </w:tc>
        <w:tc>
          <w:tcPr>
            <w:tcW w:w="1010" w:type="dxa"/>
            <w:gridSpan w:val="2"/>
          </w:tcPr>
          <w:p w14:paraId="471625DD" w14:textId="77777777" w:rsidR="009D4A93" w:rsidRPr="00536CFD" w:rsidRDefault="009D4A93" w:rsidP="009D4A93">
            <w:pPr>
              <w:spacing w:after="0"/>
              <w:jc w:val="both"/>
              <w:rPr>
                <w:rFonts w:eastAsia="Times New Roman"/>
                <w:lang w:eastAsia="ja-JP"/>
              </w:rPr>
            </w:pPr>
          </w:p>
        </w:tc>
        <w:tc>
          <w:tcPr>
            <w:tcW w:w="8385" w:type="dxa"/>
            <w:gridSpan w:val="9"/>
          </w:tcPr>
          <w:p w14:paraId="37B761EF" w14:textId="77777777" w:rsidR="009D4A93" w:rsidRPr="00536CFD" w:rsidRDefault="009D4A93" w:rsidP="00536CFD">
            <w:pPr>
              <w:pStyle w:val="ResTable"/>
              <w:jc w:val="left"/>
              <w:rPr>
                <w:rFonts w:ascii="Times New Roman" w:hAnsi="Times New Roman" w:cs="Times New Roman"/>
                <w:sz w:val="20"/>
                <w:szCs w:val="20"/>
              </w:rPr>
            </w:pPr>
            <w:r w:rsidRPr="00536CFD">
              <w:rPr>
                <w:rFonts w:ascii="Times New Roman" w:hAnsi="Times New Roman" w:cs="Times New Roman"/>
                <w:sz w:val="20"/>
                <w:szCs w:val="20"/>
              </w:rPr>
              <w:t xml:space="preserve">Additional comments: </w:t>
            </w:r>
          </w:p>
          <w:p w14:paraId="1134CEB7" w14:textId="1998C713" w:rsidR="009D4A93" w:rsidRPr="00536CFD" w:rsidRDefault="009D4A93" w:rsidP="00536CFD">
            <w:pPr>
              <w:spacing w:after="0"/>
              <w:rPr>
                <w:rFonts w:eastAsia="Times New Roman"/>
                <w:lang w:eastAsia="ja-JP"/>
              </w:rPr>
            </w:pPr>
            <w:r w:rsidRPr="00536CFD">
              <w:rPr>
                <w:b/>
                <w:bCs/>
                <w:lang w:eastAsia="sv-SE"/>
              </w:rPr>
              <w:t>Simulation setup:</w:t>
            </w:r>
            <w:r w:rsidRPr="00536CFD">
              <w:rPr>
                <w:lang w:eastAsia="sv-SE"/>
              </w:rPr>
              <w:t xml:space="preserve"> NR-U indoor scenario, 50/50 DL/UL traffics. </w:t>
            </w:r>
            <w:r w:rsidRPr="00536CFD">
              <w:br/>
            </w:r>
            <w:r w:rsidRPr="00536CFD">
              <w:rPr>
                <w:b/>
                <w:bCs/>
              </w:rPr>
              <w:t>Common assumptions:</w:t>
            </w:r>
            <w:r w:rsidRPr="00536CFD">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SCS 30kHz, UE processing time capability #1, PUSCH mapping Type A, PDSCH mapping Type B, PDCCH monitoring every 1OS, Scheduling: proportional fair, self-scheduling. COT sharing enabled (gNB initiated COT).</w:t>
            </w:r>
          </w:p>
        </w:tc>
      </w:tr>
    </w:tbl>
    <w:p w14:paraId="1FA535C3" w14:textId="77777777" w:rsidR="009D4A93" w:rsidRPr="00C64ECB" w:rsidRDefault="009D4A93" w:rsidP="00006578"/>
    <w:p w14:paraId="17FE3D8C" w14:textId="77777777" w:rsidR="009D4A93" w:rsidRPr="00C64ECB" w:rsidRDefault="009D4A93" w:rsidP="00E126D2">
      <w:pPr>
        <w:pStyle w:val="TH"/>
        <w:pageBreakBefore/>
        <w:rPr>
          <w:lang w:val="en-US"/>
        </w:rPr>
      </w:pPr>
      <w:r w:rsidRPr="00C64ECB">
        <w:rPr>
          <w:rFonts w:eastAsia="PMingLiU"/>
          <w:lang w:val="en-US"/>
        </w:rPr>
        <w:t xml:space="preserve">Table B.1.1-3: </w:t>
      </w:r>
      <w:r w:rsidRPr="00C64ECB">
        <w:rPr>
          <w:rFonts w:asciiTheme="minorBidi" w:eastAsia="PMingLiU" w:hAnsiTheme="minorBidi" w:cstheme="minorBidi"/>
          <w:lang w:val="en-US"/>
        </w:rPr>
        <w:t xml:space="preserve"> </w:t>
      </w:r>
      <w:r w:rsidRPr="00C64ECB">
        <w:rPr>
          <w:rFonts w:asciiTheme="minorBidi" w:hAnsiTheme="minorBidi" w:cstheme="minorBidi"/>
          <w:lang w:val="en-US"/>
        </w:rPr>
        <w:t xml:space="preserve">Evaluation results for </w:t>
      </w:r>
      <w:r w:rsidRPr="00C64ECB">
        <w:rPr>
          <w:lang w:val="en-US"/>
        </w:rPr>
        <w:t>NR-U with using different SCS in a single NR-U indoor network deployment</w:t>
      </w:r>
      <w:r w:rsidRPr="00C64ECB">
        <w:rPr>
          <w:rFonts w:eastAsia="PMingLiU"/>
          <w:lang w:val="en-US"/>
        </w:rPr>
        <w:t xml:space="preserve">  </w:t>
      </w:r>
    </w:p>
    <w:tbl>
      <w:tblPr>
        <w:tblStyle w:val="TableGrid1"/>
        <w:tblW w:w="9895" w:type="dxa"/>
        <w:tblLayout w:type="fixed"/>
        <w:tblCellMar>
          <w:left w:w="0" w:type="dxa"/>
          <w:right w:w="0" w:type="dxa"/>
        </w:tblCellMar>
        <w:tblLook w:val="04A0" w:firstRow="1" w:lastRow="0" w:firstColumn="1" w:lastColumn="0" w:noHBand="0" w:noVBand="1"/>
      </w:tblPr>
      <w:tblGrid>
        <w:gridCol w:w="500"/>
        <w:gridCol w:w="505"/>
        <w:gridCol w:w="505"/>
        <w:gridCol w:w="643"/>
        <w:gridCol w:w="644"/>
        <w:gridCol w:w="644"/>
        <w:gridCol w:w="644"/>
        <w:gridCol w:w="715"/>
        <w:gridCol w:w="715"/>
        <w:gridCol w:w="715"/>
        <w:gridCol w:w="715"/>
        <w:gridCol w:w="737"/>
        <w:gridCol w:w="738"/>
        <w:gridCol w:w="737"/>
        <w:gridCol w:w="738"/>
      </w:tblGrid>
      <w:tr w:rsidR="009D4A93" w:rsidRPr="009220DC" w14:paraId="3E0E30CD" w14:textId="77777777" w:rsidTr="00536CFD">
        <w:trPr>
          <w:cantSplit/>
          <w:trHeight w:val="22"/>
        </w:trPr>
        <w:tc>
          <w:tcPr>
            <w:tcW w:w="500" w:type="dxa"/>
            <w:vMerge w:val="restart"/>
            <w:textDirection w:val="btLr"/>
          </w:tcPr>
          <w:p w14:paraId="530AFBA9" w14:textId="047ED468" w:rsidR="009D4A93" w:rsidRPr="009220DC" w:rsidRDefault="009D4A93" w:rsidP="00536CFD">
            <w:pPr>
              <w:spacing w:after="0"/>
              <w:ind w:left="113" w:right="113"/>
              <w:jc w:val="center"/>
            </w:pPr>
            <w:r w:rsidRPr="009220DC">
              <w:t>Tdoc /Sourc</w:t>
            </w:r>
          </w:p>
        </w:tc>
        <w:tc>
          <w:tcPr>
            <w:tcW w:w="1010" w:type="dxa"/>
            <w:gridSpan w:val="2"/>
            <w:vMerge w:val="restart"/>
          </w:tcPr>
          <w:p w14:paraId="6765685F" w14:textId="77777777" w:rsidR="009D4A93" w:rsidRPr="009220DC" w:rsidRDefault="009D4A93" w:rsidP="009D4A93">
            <w:pPr>
              <w:spacing w:after="0"/>
              <w:jc w:val="center"/>
            </w:pPr>
          </w:p>
          <w:p w14:paraId="3861FD86" w14:textId="77777777" w:rsidR="009D4A93" w:rsidRPr="009220DC" w:rsidRDefault="009D4A93" w:rsidP="009D4A93">
            <w:pPr>
              <w:spacing w:after="0"/>
              <w:jc w:val="center"/>
            </w:pPr>
            <w:r w:rsidRPr="009220DC">
              <w:t>Reported parameters</w:t>
            </w:r>
          </w:p>
        </w:tc>
        <w:tc>
          <w:tcPr>
            <w:tcW w:w="2575" w:type="dxa"/>
            <w:gridSpan w:val="4"/>
          </w:tcPr>
          <w:p w14:paraId="2247BE92" w14:textId="77777777" w:rsidR="009D4A93" w:rsidRPr="009220DC" w:rsidRDefault="009D4A93" w:rsidP="009D4A93">
            <w:pPr>
              <w:spacing w:after="0"/>
              <w:jc w:val="center"/>
              <w:rPr>
                <w:u w:val="single"/>
              </w:rPr>
            </w:pPr>
            <w:r w:rsidRPr="009220DC">
              <w:rPr>
                <w:u w:val="single"/>
              </w:rPr>
              <w:t>Low load</w:t>
            </w:r>
          </w:p>
          <w:p w14:paraId="3566A60E" w14:textId="77777777" w:rsidR="009D4A93" w:rsidRPr="009220DC" w:rsidRDefault="009D4A93" w:rsidP="009D4A93">
            <w:pPr>
              <w:spacing w:after="0"/>
              <w:jc w:val="center"/>
              <w:rPr>
                <w:u w:val="single"/>
              </w:rPr>
            </w:pPr>
            <w:r w:rsidRPr="009220DC">
              <w:t>BO range for NR-U with 15 kHz SCS: 10%~25%</w:t>
            </w:r>
          </w:p>
        </w:tc>
        <w:tc>
          <w:tcPr>
            <w:tcW w:w="2860" w:type="dxa"/>
            <w:gridSpan w:val="4"/>
          </w:tcPr>
          <w:p w14:paraId="3DFD37B6" w14:textId="77777777" w:rsidR="009D4A93" w:rsidRPr="009220DC" w:rsidRDefault="009D4A93" w:rsidP="009D4A93">
            <w:pPr>
              <w:spacing w:after="0"/>
              <w:jc w:val="center"/>
              <w:rPr>
                <w:u w:val="single"/>
              </w:rPr>
            </w:pPr>
            <w:r w:rsidRPr="009220DC">
              <w:rPr>
                <w:u w:val="single"/>
              </w:rPr>
              <w:t>Medium load</w:t>
            </w:r>
          </w:p>
          <w:p w14:paraId="364F05AD" w14:textId="77777777" w:rsidR="009D4A93" w:rsidRPr="009220DC" w:rsidRDefault="009D4A93" w:rsidP="009D4A93">
            <w:pPr>
              <w:spacing w:after="0"/>
              <w:jc w:val="center"/>
              <w:rPr>
                <w:u w:val="single"/>
              </w:rPr>
            </w:pPr>
            <w:r w:rsidRPr="009220DC">
              <w:t>BO range for NR-U with 15 kHz SCS: 35%~50%</w:t>
            </w:r>
          </w:p>
        </w:tc>
        <w:tc>
          <w:tcPr>
            <w:tcW w:w="2950" w:type="dxa"/>
            <w:gridSpan w:val="4"/>
          </w:tcPr>
          <w:p w14:paraId="10999F68" w14:textId="77777777" w:rsidR="009D4A93" w:rsidRPr="009220DC" w:rsidRDefault="009D4A93" w:rsidP="009D4A93">
            <w:pPr>
              <w:spacing w:after="0"/>
              <w:jc w:val="center"/>
              <w:rPr>
                <w:u w:val="single"/>
              </w:rPr>
            </w:pPr>
            <w:r w:rsidRPr="009220DC">
              <w:rPr>
                <w:u w:val="single"/>
              </w:rPr>
              <w:t>High load</w:t>
            </w:r>
          </w:p>
          <w:p w14:paraId="70851F49" w14:textId="77777777" w:rsidR="009D4A93" w:rsidRPr="009220DC" w:rsidRDefault="009D4A93" w:rsidP="009D4A93">
            <w:pPr>
              <w:spacing w:after="0"/>
              <w:jc w:val="center"/>
              <w:rPr>
                <w:u w:val="single"/>
              </w:rPr>
            </w:pPr>
            <w:r w:rsidRPr="009220DC">
              <w:t>BO range for NR-U with 15 kHz SCS: above 55%</w:t>
            </w:r>
          </w:p>
        </w:tc>
      </w:tr>
      <w:tr w:rsidR="009D4A93" w:rsidRPr="009220DC" w14:paraId="061DD983" w14:textId="77777777" w:rsidTr="009D4A93">
        <w:trPr>
          <w:cantSplit/>
          <w:trHeight w:val="22"/>
        </w:trPr>
        <w:tc>
          <w:tcPr>
            <w:tcW w:w="500" w:type="dxa"/>
            <w:vMerge/>
          </w:tcPr>
          <w:p w14:paraId="4172F6EC" w14:textId="77777777" w:rsidR="009D4A93" w:rsidRPr="009220DC" w:rsidRDefault="009D4A93" w:rsidP="009D4A93">
            <w:pPr>
              <w:spacing w:after="0"/>
              <w:jc w:val="center"/>
            </w:pPr>
          </w:p>
        </w:tc>
        <w:tc>
          <w:tcPr>
            <w:tcW w:w="1010" w:type="dxa"/>
            <w:gridSpan w:val="2"/>
            <w:vMerge/>
          </w:tcPr>
          <w:p w14:paraId="72779C64" w14:textId="77777777" w:rsidR="009D4A93" w:rsidRPr="009220DC" w:rsidRDefault="009D4A93" w:rsidP="009D4A93">
            <w:pPr>
              <w:spacing w:after="0"/>
              <w:jc w:val="center"/>
            </w:pPr>
          </w:p>
        </w:tc>
        <w:tc>
          <w:tcPr>
            <w:tcW w:w="643" w:type="dxa"/>
          </w:tcPr>
          <w:p w14:paraId="71B78E4E" w14:textId="77777777" w:rsidR="009D4A93" w:rsidRPr="009220DC" w:rsidRDefault="009D4A93" w:rsidP="009D4A93">
            <w:pPr>
              <w:spacing w:after="0"/>
              <w:jc w:val="center"/>
            </w:pPr>
            <w:r w:rsidRPr="009220DC">
              <w:t>NR-U with SCS = 15 kHz</w:t>
            </w:r>
          </w:p>
          <w:p w14:paraId="29DB286B" w14:textId="77777777" w:rsidR="009D4A93" w:rsidRPr="009220DC" w:rsidRDefault="009D4A93" w:rsidP="009D4A93">
            <w:pPr>
              <w:spacing w:after="0"/>
              <w:jc w:val="center"/>
            </w:pPr>
          </w:p>
        </w:tc>
        <w:tc>
          <w:tcPr>
            <w:tcW w:w="644" w:type="dxa"/>
          </w:tcPr>
          <w:p w14:paraId="57AA61DE" w14:textId="77777777" w:rsidR="009D4A93" w:rsidRPr="009220DC" w:rsidRDefault="009D4A93" w:rsidP="009D4A93">
            <w:pPr>
              <w:spacing w:after="0"/>
              <w:jc w:val="center"/>
            </w:pPr>
            <w:r w:rsidRPr="009220DC">
              <w:t>NR-U with SCS = 30 kHz</w:t>
            </w:r>
          </w:p>
          <w:p w14:paraId="3E79690D" w14:textId="77777777" w:rsidR="009D4A93" w:rsidRPr="009220DC" w:rsidRDefault="009D4A93" w:rsidP="009D4A93">
            <w:pPr>
              <w:spacing w:after="0"/>
              <w:jc w:val="center"/>
            </w:pPr>
          </w:p>
        </w:tc>
        <w:tc>
          <w:tcPr>
            <w:tcW w:w="644" w:type="dxa"/>
          </w:tcPr>
          <w:p w14:paraId="52BFE4AC" w14:textId="77777777" w:rsidR="009D4A93" w:rsidRPr="009220DC" w:rsidRDefault="009D4A93" w:rsidP="009D4A93">
            <w:pPr>
              <w:spacing w:after="0"/>
              <w:jc w:val="center"/>
            </w:pPr>
            <w:r w:rsidRPr="009220DC">
              <w:t>NR-U with SCS = 60 kHz</w:t>
            </w:r>
          </w:p>
          <w:p w14:paraId="26B4893B" w14:textId="77777777" w:rsidR="009D4A93" w:rsidRPr="009220DC" w:rsidRDefault="009D4A93" w:rsidP="009D4A93">
            <w:pPr>
              <w:spacing w:after="0"/>
              <w:jc w:val="center"/>
            </w:pPr>
          </w:p>
        </w:tc>
        <w:tc>
          <w:tcPr>
            <w:tcW w:w="644" w:type="dxa"/>
          </w:tcPr>
          <w:p w14:paraId="770161BD" w14:textId="77777777" w:rsidR="009D4A93" w:rsidRPr="009220DC" w:rsidRDefault="009D4A93" w:rsidP="009D4A93">
            <w:pPr>
              <w:spacing w:after="0"/>
              <w:jc w:val="center"/>
              <w:rPr>
                <w:lang w:val="sv-SE"/>
              </w:rPr>
            </w:pPr>
          </w:p>
        </w:tc>
        <w:tc>
          <w:tcPr>
            <w:tcW w:w="715" w:type="dxa"/>
          </w:tcPr>
          <w:p w14:paraId="0B0F908A" w14:textId="77777777" w:rsidR="009D4A93" w:rsidRPr="009220DC" w:rsidRDefault="009D4A93" w:rsidP="009D4A93">
            <w:pPr>
              <w:spacing w:after="0"/>
              <w:jc w:val="center"/>
            </w:pPr>
            <w:r w:rsidRPr="009220DC">
              <w:t>NR-U with SCS = 15 kHz</w:t>
            </w:r>
          </w:p>
          <w:p w14:paraId="6F28C1CA" w14:textId="77777777" w:rsidR="009D4A93" w:rsidRPr="009220DC" w:rsidRDefault="009D4A93" w:rsidP="009D4A93">
            <w:pPr>
              <w:spacing w:after="0"/>
              <w:jc w:val="center"/>
            </w:pPr>
          </w:p>
        </w:tc>
        <w:tc>
          <w:tcPr>
            <w:tcW w:w="715" w:type="dxa"/>
          </w:tcPr>
          <w:p w14:paraId="099F636A" w14:textId="77777777" w:rsidR="009D4A93" w:rsidRPr="009220DC" w:rsidRDefault="009D4A93" w:rsidP="009D4A93">
            <w:pPr>
              <w:spacing w:after="0"/>
              <w:jc w:val="center"/>
            </w:pPr>
            <w:r w:rsidRPr="009220DC">
              <w:t>NR-U with SCS = 30 kHz</w:t>
            </w:r>
          </w:p>
          <w:p w14:paraId="42B584E4" w14:textId="77777777" w:rsidR="009D4A93" w:rsidRPr="009220DC" w:rsidRDefault="009D4A93" w:rsidP="009D4A93">
            <w:pPr>
              <w:spacing w:after="0"/>
              <w:jc w:val="center"/>
            </w:pPr>
          </w:p>
        </w:tc>
        <w:tc>
          <w:tcPr>
            <w:tcW w:w="715" w:type="dxa"/>
          </w:tcPr>
          <w:p w14:paraId="48B7FF30" w14:textId="77777777" w:rsidR="009D4A93" w:rsidRPr="009220DC" w:rsidRDefault="009D4A93" w:rsidP="009D4A93">
            <w:pPr>
              <w:spacing w:after="0"/>
              <w:jc w:val="center"/>
            </w:pPr>
            <w:r w:rsidRPr="009220DC">
              <w:t>NR-U with SCS = 60 kHz</w:t>
            </w:r>
          </w:p>
          <w:p w14:paraId="55C59E8A" w14:textId="77777777" w:rsidR="009D4A93" w:rsidRPr="009220DC" w:rsidRDefault="009D4A93" w:rsidP="009D4A93">
            <w:pPr>
              <w:spacing w:after="0"/>
              <w:jc w:val="center"/>
            </w:pPr>
          </w:p>
        </w:tc>
        <w:tc>
          <w:tcPr>
            <w:tcW w:w="715" w:type="dxa"/>
          </w:tcPr>
          <w:p w14:paraId="196006A0" w14:textId="77777777" w:rsidR="009D4A93" w:rsidRPr="009220DC" w:rsidRDefault="009D4A93" w:rsidP="009D4A93">
            <w:pPr>
              <w:spacing w:after="0"/>
              <w:jc w:val="center"/>
              <w:rPr>
                <w:lang w:val="sv-SE"/>
              </w:rPr>
            </w:pPr>
          </w:p>
        </w:tc>
        <w:tc>
          <w:tcPr>
            <w:tcW w:w="737" w:type="dxa"/>
          </w:tcPr>
          <w:p w14:paraId="13EAF095" w14:textId="77777777" w:rsidR="009D4A93" w:rsidRPr="009220DC" w:rsidRDefault="009D4A93" w:rsidP="009D4A93">
            <w:pPr>
              <w:spacing w:after="0"/>
              <w:jc w:val="center"/>
            </w:pPr>
            <w:r w:rsidRPr="009220DC">
              <w:t>NR-U with SCS = 15 kHz</w:t>
            </w:r>
          </w:p>
          <w:p w14:paraId="371C5068" w14:textId="77777777" w:rsidR="009D4A93" w:rsidRPr="009220DC" w:rsidRDefault="009D4A93" w:rsidP="009D4A93">
            <w:pPr>
              <w:spacing w:after="0"/>
              <w:jc w:val="center"/>
            </w:pPr>
          </w:p>
        </w:tc>
        <w:tc>
          <w:tcPr>
            <w:tcW w:w="738" w:type="dxa"/>
          </w:tcPr>
          <w:p w14:paraId="54457C2C" w14:textId="77777777" w:rsidR="009D4A93" w:rsidRPr="009220DC" w:rsidRDefault="009D4A93" w:rsidP="009D4A93">
            <w:pPr>
              <w:spacing w:after="0"/>
              <w:jc w:val="center"/>
            </w:pPr>
            <w:r w:rsidRPr="009220DC">
              <w:t>NR-U with SCS = 30 kHz</w:t>
            </w:r>
          </w:p>
          <w:p w14:paraId="08B98E63" w14:textId="77777777" w:rsidR="009D4A93" w:rsidRPr="009220DC" w:rsidRDefault="009D4A93" w:rsidP="009D4A93">
            <w:pPr>
              <w:spacing w:after="0"/>
              <w:jc w:val="center"/>
            </w:pPr>
          </w:p>
        </w:tc>
        <w:tc>
          <w:tcPr>
            <w:tcW w:w="737" w:type="dxa"/>
          </w:tcPr>
          <w:p w14:paraId="51981CBE" w14:textId="77777777" w:rsidR="009D4A93" w:rsidRPr="009220DC" w:rsidRDefault="009D4A93" w:rsidP="009D4A93">
            <w:pPr>
              <w:spacing w:after="0"/>
              <w:jc w:val="center"/>
            </w:pPr>
            <w:r w:rsidRPr="009220DC">
              <w:t>NR-U with SCS = 60 kHz</w:t>
            </w:r>
          </w:p>
          <w:p w14:paraId="53938861" w14:textId="77777777" w:rsidR="009D4A93" w:rsidRPr="009220DC" w:rsidRDefault="009D4A93" w:rsidP="009D4A93">
            <w:pPr>
              <w:spacing w:after="0"/>
              <w:jc w:val="center"/>
            </w:pPr>
          </w:p>
        </w:tc>
        <w:tc>
          <w:tcPr>
            <w:tcW w:w="738" w:type="dxa"/>
          </w:tcPr>
          <w:p w14:paraId="5DE3C588" w14:textId="77777777" w:rsidR="009D4A93" w:rsidRPr="009220DC" w:rsidRDefault="009D4A93" w:rsidP="009D4A93">
            <w:pPr>
              <w:spacing w:after="0"/>
              <w:jc w:val="center"/>
              <w:rPr>
                <w:lang w:val="sv-SE"/>
              </w:rPr>
            </w:pPr>
          </w:p>
        </w:tc>
      </w:tr>
      <w:tr w:rsidR="009D4A93" w:rsidRPr="009220DC" w14:paraId="6853CA57" w14:textId="77777777" w:rsidTr="009D4A93">
        <w:trPr>
          <w:cantSplit/>
          <w:trHeight w:val="204"/>
        </w:trPr>
        <w:tc>
          <w:tcPr>
            <w:tcW w:w="500" w:type="dxa"/>
            <w:vMerge w:val="restart"/>
            <w:textDirection w:val="btLr"/>
          </w:tcPr>
          <w:p w14:paraId="422E27AB" w14:textId="77777777" w:rsidR="009D4A93" w:rsidRPr="009220DC" w:rsidRDefault="009D4A93" w:rsidP="009D4A93">
            <w:pPr>
              <w:spacing w:after="0"/>
              <w:ind w:left="113" w:right="113"/>
              <w:jc w:val="center"/>
            </w:pPr>
            <w:r w:rsidRPr="009220DC">
              <w:rPr>
                <w:rFonts w:ascii="Arial" w:hAnsi="Arial" w:cs="Arial"/>
                <w:color w:val="000000"/>
              </w:rPr>
              <w:t>R1-1814019/Source 8</w:t>
            </w:r>
          </w:p>
        </w:tc>
        <w:tc>
          <w:tcPr>
            <w:tcW w:w="505" w:type="dxa"/>
            <w:vMerge w:val="restart"/>
          </w:tcPr>
          <w:p w14:paraId="7FB4A3FC" w14:textId="77777777" w:rsidR="009D4A93" w:rsidRPr="009220DC" w:rsidRDefault="009D4A93" w:rsidP="009D4A93">
            <w:pPr>
              <w:spacing w:after="0"/>
              <w:jc w:val="center"/>
            </w:pPr>
            <w:r w:rsidRPr="009220DC">
              <w:t xml:space="preserve">DL: </w:t>
            </w:r>
          </w:p>
          <w:p w14:paraId="5003E4B8" w14:textId="77777777" w:rsidR="009D4A93" w:rsidRPr="009220DC" w:rsidRDefault="009D4A93" w:rsidP="009D4A93">
            <w:pPr>
              <w:spacing w:after="0"/>
              <w:jc w:val="center"/>
            </w:pPr>
            <w:r w:rsidRPr="009220DC">
              <w:t>UPT CDF</w:t>
            </w:r>
          </w:p>
          <w:p w14:paraId="406A4F85" w14:textId="77777777" w:rsidR="009D4A93" w:rsidRPr="009220DC" w:rsidRDefault="009D4A93" w:rsidP="009D4A93">
            <w:pPr>
              <w:spacing w:after="0"/>
              <w:jc w:val="center"/>
            </w:pPr>
            <w:r w:rsidRPr="009220DC">
              <w:t>[Mbps]</w:t>
            </w:r>
          </w:p>
        </w:tc>
        <w:tc>
          <w:tcPr>
            <w:tcW w:w="505" w:type="dxa"/>
          </w:tcPr>
          <w:p w14:paraId="497971A4" w14:textId="77777777" w:rsidR="009D4A93" w:rsidRPr="009220DC" w:rsidRDefault="009D4A93" w:rsidP="009D4A93">
            <w:pPr>
              <w:spacing w:after="0"/>
              <w:jc w:val="center"/>
            </w:pPr>
            <w:r w:rsidRPr="009220DC">
              <w:t>5%</w:t>
            </w:r>
          </w:p>
        </w:tc>
        <w:tc>
          <w:tcPr>
            <w:tcW w:w="643" w:type="dxa"/>
          </w:tcPr>
          <w:p w14:paraId="53096FA0" w14:textId="77777777" w:rsidR="009D4A93" w:rsidRPr="009220DC" w:rsidRDefault="009D4A93" w:rsidP="009D4A93">
            <w:pPr>
              <w:spacing w:after="0"/>
              <w:jc w:val="center"/>
              <w:rPr>
                <w:rFonts w:asciiTheme="minorHAnsi" w:hAnsiTheme="minorHAnsi"/>
              </w:rPr>
            </w:pPr>
            <w:r w:rsidRPr="009220DC">
              <w:rPr>
                <w:rFonts w:asciiTheme="minorHAnsi" w:hAnsiTheme="minorHAnsi"/>
              </w:rPr>
              <w:t>45.76</w:t>
            </w:r>
          </w:p>
        </w:tc>
        <w:tc>
          <w:tcPr>
            <w:tcW w:w="644" w:type="dxa"/>
          </w:tcPr>
          <w:p w14:paraId="2C0C3F2B" w14:textId="77777777" w:rsidR="009D4A93" w:rsidRPr="009220DC" w:rsidRDefault="009D4A93" w:rsidP="009D4A93">
            <w:pPr>
              <w:spacing w:after="0"/>
              <w:jc w:val="center"/>
              <w:rPr>
                <w:rFonts w:asciiTheme="minorHAnsi" w:hAnsiTheme="minorHAnsi"/>
              </w:rPr>
            </w:pPr>
            <w:r w:rsidRPr="009220DC">
              <w:rPr>
                <w:rFonts w:asciiTheme="minorHAnsi" w:hAnsiTheme="minorHAnsi"/>
              </w:rPr>
              <w:t>45.65</w:t>
            </w:r>
          </w:p>
        </w:tc>
        <w:tc>
          <w:tcPr>
            <w:tcW w:w="644" w:type="dxa"/>
          </w:tcPr>
          <w:p w14:paraId="6CE019A1" w14:textId="77777777" w:rsidR="009D4A93" w:rsidRPr="009220DC" w:rsidRDefault="009D4A93" w:rsidP="009D4A93">
            <w:pPr>
              <w:spacing w:after="0"/>
              <w:jc w:val="center"/>
              <w:rPr>
                <w:rFonts w:asciiTheme="minorHAnsi" w:hAnsiTheme="minorHAnsi"/>
              </w:rPr>
            </w:pPr>
            <w:r w:rsidRPr="009220DC">
              <w:rPr>
                <w:rFonts w:asciiTheme="minorHAnsi" w:hAnsiTheme="minorHAnsi"/>
              </w:rPr>
              <w:t>43.84</w:t>
            </w:r>
          </w:p>
        </w:tc>
        <w:tc>
          <w:tcPr>
            <w:tcW w:w="644" w:type="dxa"/>
          </w:tcPr>
          <w:p w14:paraId="6C441A7D" w14:textId="77777777" w:rsidR="009D4A93" w:rsidRPr="009220DC" w:rsidRDefault="009D4A93" w:rsidP="009D4A93">
            <w:pPr>
              <w:spacing w:after="0"/>
              <w:jc w:val="center"/>
              <w:rPr>
                <w:rFonts w:asciiTheme="minorHAnsi" w:hAnsiTheme="minorHAnsi"/>
              </w:rPr>
            </w:pPr>
          </w:p>
        </w:tc>
        <w:tc>
          <w:tcPr>
            <w:tcW w:w="715" w:type="dxa"/>
          </w:tcPr>
          <w:p w14:paraId="0BB927EC" w14:textId="77777777" w:rsidR="009D4A93" w:rsidRPr="009220DC" w:rsidRDefault="009D4A93" w:rsidP="009D4A93">
            <w:pPr>
              <w:spacing w:after="0"/>
              <w:jc w:val="center"/>
              <w:rPr>
                <w:rFonts w:asciiTheme="minorHAnsi" w:hAnsiTheme="minorHAnsi"/>
              </w:rPr>
            </w:pPr>
            <w:r w:rsidRPr="009220DC">
              <w:rPr>
                <w:rFonts w:asciiTheme="minorHAnsi" w:hAnsiTheme="minorHAnsi"/>
              </w:rPr>
              <w:t>30.44</w:t>
            </w:r>
          </w:p>
        </w:tc>
        <w:tc>
          <w:tcPr>
            <w:tcW w:w="715" w:type="dxa"/>
          </w:tcPr>
          <w:p w14:paraId="593D3B9C" w14:textId="77777777" w:rsidR="009D4A93" w:rsidRPr="009220DC" w:rsidRDefault="009D4A93" w:rsidP="009D4A93">
            <w:pPr>
              <w:spacing w:after="0"/>
              <w:jc w:val="center"/>
              <w:rPr>
                <w:rFonts w:asciiTheme="minorHAnsi" w:hAnsiTheme="minorHAnsi"/>
              </w:rPr>
            </w:pPr>
            <w:r w:rsidRPr="009220DC">
              <w:rPr>
                <w:rFonts w:asciiTheme="minorHAnsi" w:hAnsiTheme="minorHAnsi"/>
              </w:rPr>
              <w:t>30.23</w:t>
            </w:r>
          </w:p>
        </w:tc>
        <w:tc>
          <w:tcPr>
            <w:tcW w:w="715" w:type="dxa"/>
          </w:tcPr>
          <w:p w14:paraId="1D24B653" w14:textId="77777777" w:rsidR="009D4A93" w:rsidRPr="009220DC" w:rsidRDefault="009D4A93" w:rsidP="009D4A93">
            <w:pPr>
              <w:spacing w:after="0"/>
              <w:jc w:val="center"/>
              <w:rPr>
                <w:rFonts w:asciiTheme="minorHAnsi" w:hAnsiTheme="minorHAnsi"/>
              </w:rPr>
            </w:pPr>
            <w:r w:rsidRPr="009220DC">
              <w:rPr>
                <w:rFonts w:asciiTheme="minorHAnsi" w:hAnsiTheme="minorHAnsi"/>
              </w:rPr>
              <w:t>30.30</w:t>
            </w:r>
          </w:p>
        </w:tc>
        <w:tc>
          <w:tcPr>
            <w:tcW w:w="715" w:type="dxa"/>
          </w:tcPr>
          <w:p w14:paraId="24736226" w14:textId="77777777" w:rsidR="009D4A93" w:rsidRPr="009220DC" w:rsidRDefault="009D4A93" w:rsidP="009D4A93">
            <w:pPr>
              <w:spacing w:after="0"/>
              <w:jc w:val="center"/>
              <w:rPr>
                <w:rFonts w:asciiTheme="minorHAnsi" w:hAnsiTheme="minorHAnsi"/>
              </w:rPr>
            </w:pPr>
          </w:p>
        </w:tc>
        <w:tc>
          <w:tcPr>
            <w:tcW w:w="737" w:type="dxa"/>
          </w:tcPr>
          <w:p w14:paraId="79891708" w14:textId="77777777" w:rsidR="009D4A93" w:rsidRPr="009220DC" w:rsidRDefault="009D4A93" w:rsidP="009D4A93">
            <w:pPr>
              <w:spacing w:after="0"/>
              <w:jc w:val="center"/>
              <w:rPr>
                <w:rFonts w:asciiTheme="minorHAnsi" w:hAnsiTheme="minorHAnsi"/>
              </w:rPr>
            </w:pPr>
            <w:r w:rsidRPr="009220DC">
              <w:rPr>
                <w:rFonts w:asciiTheme="minorHAnsi" w:hAnsiTheme="minorHAnsi"/>
              </w:rPr>
              <w:t>14.61</w:t>
            </w:r>
          </w:p>
        </w:tc>
        <w:tc>
          <w:tcPr>
            <w:tcW w:w="738" w:type="dxa"/>
          </w:tcPr>
          <w:p w14:paraId="1B4575D6" w14:textId="77777777" w:rsidR="009D4A93" w:rsidRPr="009220DC" w:rsidRDefault="009D4A93" w:rsidP="009D4A93">
            <w:pPr>
              <w:spacing w:after="0"/>
              <w:jc w:val="center"/>
              <w:rPr>
                <w:rFonts w:asciiTheme="minorHAnsi" w:hAnsiTheme="minorHAnsi"/>
              </w:rPr>
            </w:pPr>
            <w:r w:rsidRPr="009220DC">
              <w:rPr>
                <w:rFonts w:asciiTheme="minorHAnsi" w:hAnsiTheme="minorHAnsi"/>
              </w:rPr>
              <w:t>15.83</w:t>
            </w:r>
          </w:p>
        </w:tc>
        <w:tc>
          <w:tcPr>
            <w:tcW w:w="737" w:type="dxa"/>
          </w:tcPr>
          <w:p w14:paraId="52C643D2" w14:textId="77777777" w:rsidR="009D4A93" w:rsidRPr="009220DC" w:rsidRDefault="009D4A93" w:rsidP="009D4A93">
            <w:pPr>
              <w:spacing w:after="0"/>
              <w:jc w:val="center"/>
              <w:rPr>
                <w:rFonts w:asciiTheme="minorHAnsi" w:hAnsiTheme="minorHAnsi"/>
              </w:rPr>
            </w:pPr>
            <w:r w:rsidRPr="009220DC">
              <w:rPr>
                <w:rFonts w:asciiTheme="minorHAnsi" w:hAnsiTheme="minorHAnsi"/>
              </w:rPr>
              <w:t>16.46</w:t>
            </w:r>
          </w:p>
        </w:tc>
        <w:tc>
          <w:tcPr>
            <w:tcW w:w="738" w:type="dxa"/>
          </w:tcPr>
          <w:p w14:paraId="1B24A828" w14:textId="77777777" w:rsidR="009D4A93" w:rsidRPr="009220DC" w:rsidRDefault="009D4A93" w:rsidP="009D4A93">
            <w:pPr>
              <w:spacing w:after="0"/>
              <w:jc w:val="center"/>
              <w:rPr>
                <w:rFonts w:asciiTheme="minorHAnsi" w:hAnsiTheme="minorHAnsi"/>
              </w:rPr>
            </w:pPr>
          </w:p>
        </w:tc>
      </w:tr>
      <w:tr w:rsidR="009D4A93" w:rsidRPr="009220DC" w14:paraId="2EA2E18E" w14:textId="77777777" w:rsidTr="009D4A93">
        <w:trPr>
          <w:cantSplit/>
          <w:trHeight w:val="22"/>
        </w:trPr>
        <w:tc>
          <w:tcPr>
            <w:tcW w:w="500" w:type="dxa"/>
            <w:vMerge/>
          </w:tcPr>
          <w:p w14:paraId="71865434" w14:textId="77777777" w:rsidR="009D4A93" w:rsidRPr="009220DC" w:rsidRDefault="009D4A93" w:rsidP="009D4A93">
            <w:pPr>
              <w:spacing w:after="0"/>
              <w:jc w:val="center"/>
            </w:pPr>
          </w:p>
        </w:tc>
        <w:tc>
          <w:tcPr>
            <w:tcW w:w="505" w:type="dxa"/>
            <w:vMerge/>
          </w:tcPr>
          <w:p w14:paraId="49593E9C" w14:textId="77777777" w:rsidR="009D4A93" w:rsidRPr="009220DC" w:rsidRDefault="009D4A93" w:rsidP="009D4A93">
            <w:pPr>
              <w:spacing w:after="0"/>
              <w:jc w:val="center"/>
            </w:pPr>
          </w:p>
        </w:tc>
        <w:tc>
          <w:tcPr>
            <w:tcW w:w="505" w:type="dxa"/>
          </w:tcPr>
          <w:p w14:paraId="7FC3B9EA" w14:textId="77777777" w:rsidR="009D4A93" w:rsidRPr="009220DC" w:rsidRDefault="009D4A93" w:rsidP="009D4A93">
            <w:pPr>
              <w:spacing w:after="0"/>
              <w:jc w:val="center"/>
            </w:pPr>
            <w:r w:rsidRPr="009220DC">
              <w:t>50%</w:t>
            </w:r>
          </w:p>
        </w:tc>
        <w:tc>
          <w:tcPr>
            <w:tcW w:w="643" w:type="dxa"/>
          </w:tcPr>
          <w:p w14:paraId="12C03EA5" w14:textId="77777777" w:rsidR="009D4A93" w:rsidRPr="009220DC" w:rsidRDefault="009D4A93" w:rsidP="009D4A93">
            <w:pPr>
              <w:spacing w:after="0"/>
              <w:jc w:val="center"/>
              <w:rPr>
                <w:rFonts w:asciiTheme="minorHAnsi" w:hAnsiTheme="minorHAnsi"/>
              </w:rPr>
            </w:pPr>
            <w:r w:rsidRPr="009220DC">
              <w:rPr>
                <w:rFonts w:asciiTheme="minorHAnsi" w:hAnsiTheme="minorHAnsi"/>
              </w:rPr>
              <w:t>102.66</w:t>
            </w:r>
          </w:p>
        </w:tc>
        <w:tc>
          <w:tcPr>
            <w:tcW w:w="644" w:type="dxa"/>
          </w:tcPr>
          <w:p w14:paraId="7430047F" w14:textId="77777777" w:rsidR="009D4A93" w:rsidRPr="009220DC" w:rsidRDefault="009D4A93" w:rsidP="009D4A93">
            <w:pPr>
              <w:spacing w:after="0"/>
              <w:jc w:val="center"/>
              <w:rPr>
                <w:rFonts w:asciiTheme="minorHAnsi" w:hAnsiTheme="minorHAnsi"/>
              </w:rPr>
            </w:pPr>
            <w:r w:rsidRPr="009220DC">
              <w:rPr>
                <w:rFonts w:asciiTheme="minorHAnsi" w:hAnsiTheme="minorHAnsi"/>
              </w:rPr>
              <w:t>105.01</w:t>
            </w:r>
          </w:p>
        </w:tc>
        <w:tc>
          <w:tcPr>
            <w:tcW w:w="644" w:type="dxa"/>
          </w:tcPr>
          <w:p w14:paraId="7129840E" w14:textId="77777777" w:rsidR="009D4A93" w:rsidRPr="009220DC" w:rsidRDefault="009D4A93" w:rsidP="009D4A93">
            <w:pPr>
              <w:spacing w:after="0"/>
              <w:jc w:val="center"/>
              <w:rPr>
                <w:rFonts w:asciiTheme="minorHAnsi" w:hAnsiTheme="minorHAnsi"/>
              </w:rPr>
            </w:pPr>
            <w:r w:rsidRPr="009220DC">
              <w:rPr>
                <w:rFonts w:asciiTheme="minorHAnsi" w:hAnsiTheme="minorHAnsi"/>
              </w:rPr>
              <w:t>97.29</w:t>
            </w:r>
          </w:p>
        </w:tc>
        <w:tc>
          <w:tcPr>
            <w:tcW w:w="644" w:type="dxa"/>
          </w:tcPr>
          <w:p w14:paraId="60BBFA1B" w14:textId="77777777" w:rsidR="009D4A93" w:rsidRPr="009220DC" w:rsidRDefault="009D4A93" w:rsidP="009D4A93">
            <w:pPr>
              <w:spacing w:after="0"/>
              <w:jc w:val="center"/>
              <w:rPr>
                <w:rFonts w:asciiTheme="minorHAnsi" w:hAnsiTheme="minorHAnsi"/>
              </w:rPr>
            </w:pPr>
          </w:p>
        </w:tc>
        <w:tc>
          <w:tcPr>
            <w:tcW w:w="715" w:type="dxa"/>
          </w:tcPr>
          <w:p w14:paraId="2676C2BD" w14:textId="77777777" w:rsidR="009D4A93" w:rsidRPr="009220DC" w:rsidRDefault="009D4A93" w:rsidP="009D4A93">
            <w:pPr>
              <w:spacing w:after="0"/>
              <w:jc w:val="center"/>
              <w:rPr>
                <w:rFonts w:asciiTheme="minorHAnsi" w:hAnsiTheme="minorHAnsi"/>
              </w:rPr>
            </w:pPr>
            <w:r w:rsidRPr="009220DC">
              <w:rPr>
                <w:rFonts w:asciiTheme="minorHAnsi" w:hAnsiTheme="minorHAnsi"/>
              </w:rPr>
              <w:t>73.61</w:t>
            </w:r>
          </w:p>
        </w:tc>
        <w:tc>
          <w:tcPr>
            <w:tcW w:w="715" w:type="dxa"/>
          </w:tcPr>
          <w:p w14:paraId="351999D6" w14:textId="77777777" w:rsidR="009D4A93" w:rsidRPr="009220DC" w:rsidRDefault="009D4A93" w:rsidP="009D4A93">
            <w:pPr>
              <w:spacing w:after="0"/>
              <w:jc w:val="center"/>
              <w:rPr>
                <w:rFonts w:asciiTheme="minorHAnsi" w:hAnsiTheme="minorHAnsi"/>
              </w:rPr>
            </w:pPr>
            <w:r w:rsidRPr="009220DC">
              <w:rPr>
                <w:rFonts w:asciiTheme="minorHAnsi" w:hAnsiTheme="minorHAnsi"/>
              </w:rPr>
              <w:t>76.32</w:t>
            </w:r>
          </w:p>
        </w:tc>
        <w:tc>
          <w:tcPr>
            <w:tcW w:w="715" w:type="dxa"/>
          </w:tcPr>
          <w:p w14:paraId="322F8407" w14:textId="77777777" w:rsidR="009D4A93" w:rsidRPr="009220DC" w:rsidRDefault="009D4A93" w:rsidP="009D4A93">
            <w:pPr>
              <w:spacing w:after="0"/>
              <w:jc w:val="center"/>
              <w:rPr>
                <w:rFonts w:asciiTheme="minorHAnsi" w:hAnsiTheme="minorHAnsi"/>
              </w:rPr>
            </w:pPr>
            <w:r w:rsidRPr="009220DC">
              <w:rPr>
                <w:rFonts w:asciiTheme="minorHAnsi" w:hAnsiTheme="minorHAnsi"/>
              </w:rPr>
              <w:t>70.56</w:t>
            </w:r>
          </w:p>
        </w:tc>
        <w:tc>
          <w:tcPr>
            <w:tcW w:w="715" w:type="dxa"/>
          </w:tcPr>
          <w:p w14:paraId="63E8DFDA" w14:textId="77777777" w:rsidR="009D4A93" w:rsidRPr="009220DC" w:rsidRDefault="009D4A93" w:rsidP="009D4A93">
            <w:pPr>
              <w:spacing w:after="0"/>
              <w:jc w:val="center"/>
              <w:rPr>
                <w:rFonts w:asciiTheme="minorHAnsi" w:hAnsiTheme="minorHAnsi"/>
              </w:rPr>
            </w:pPr>
          </w:p>
        </w:tc>
        <w:tc>
          <w:tcPr>
            <w:tcW w:w="737" w:type="dxa"/>
          </w:tcPr>
          <w:p w14:paraId="77E089D4" w14:textId="77777777" w:rsidR="009D4A93" w:rsidRPr="009220DC" w:rsidRDefault="009D4A93" w:rsidP="009D4A93">
            <w:pPr>
              <w:spacing w:after="0"/>
              <w:jc w:val="center"/>
              <w:rPr>
                <w:rFonts w:asciiTheme="minorHAnsi" w:hAnsiTheme="minorHAnsi"/>
              </w:rPr>
            </w:pPr>
            <w:r w:rsidRPr="009220DC">
              <w:rPr>
                <w:rFonts w:asciiTheme="minorHAnsi" w:hAnsiTheme="minorHAnsi"/>
              </w:rPr>
              <w:t>43.23</w:t>
            </w:r>
          </w:p>
        </w:tc>
        <w:tc>
          <w:tcPr>
            <w:tcW w:w="738" w:type="dxa"/>
          </w:tcPr>
          <w:p w14:paraId="7C148FD6" w14:textId="77777777" w:rsidR="009D4A93" w:rsidRPr="009220DC" w:rsidRDefault="009D4A93" w:rsidP="009D4A93">
            <w:pPr>
              <w:spacing w:after="0"/>
              <w:jc w:val="center"/>
              <w:rPr>
                <w:rFonts w:asciiTheme="minorHAnsi" w:hAnsiTheme="minorHAnsi"/>
              </w:rPr>
            </w:pPr>
            <w:r w:rsidRPr="009220DC">
              <w:rPr>
                <w:rFonts w:asciiTheme="minorHAnsi" w:hAnsiTheme="minorHAnsi"/>
              </w:rPr>
              <w:t>48.01</w:t>
            </w:r>
          </w:p>
        </w:tc>
        <w:tc>
          <w:tcPr>
            <w:tcW w:w="737" w:type="dxa"/>
          </w:tcPr>
          <w:p w14:paraId="3BDEEE77" w14:textId="77777777" w:rsidR="009D4A93" w:rsidRPr="009220DC" w:rsidRDefault="009D4A93" w:rsidP="009D4A93">
            <w:pPr>
              <w:spacing w:after="0"/>
              <w:jc w:val="center"/>
              <w:rPr>
                <w:rFonts w:asciiTheme="minorHAnsi" w:hAnsiTheme="minorHAnsi"/>
              </w:rPr>
            </w:pPr>
            <w:r w:rsidRPr="009220DC">
              <w:rPr>
                <w:rFonts w:asciiTheme="minorHAnsi" w:hAnsiTheme="minorHAnsi"/>
              </w:rPr>
              <w:t>44.76</w:t>
            </w:r>
          </w:p>
        </w:tc>
        <w:tc>
          <w:tcPr>
            <w:tcW w:w="738" w:type="dxa"/>
          </w:tcPr>
          <w:p w14:paraId="726F3075" w14:textId="77777777" w:rsidR="009D4A93" w:rsidRPr="009220DC" w:rsidRDefault="009D4A93" w:rsidP="009D4A93">
            <w:pPr>
              <w:spacing w:after="0"/>
              <w:jc w:val="center"/>
              <w:rPr>
                <w:rFonts w:asciiTheme="minorHAnsi" w:hAnsiTheme="minorHAnsi"/>
              </w:rPr>
            </w:pPr>
          </w:p>
        </w:tc>
      </w:tr>
      <w:tr w:rsidR="009D4A93" w:rsidRPr="009220DC" w14:paraId="53881D2E" w14:textId="77777777" w:rsidTr="009D4A93">
        <w:trPr>
          <w:cantSplit/>
          <w:trHeight w:val="22"/>
        </w:trPr>
        <w:tc>
          <w:tcPr>
            <w:tcW w:w="500" w:type="dxa"/>
            <w:vMerge/>
          </w:tcPr>
          <w:p w14:paraId="39B3D18A" w14:textId="77777777" w:rsidR="009D4A93" w:rsidRPr="009220DC" w:rsidRDefault="009D4A93" w:rsidP="009D4A93">
            <w:pPr>
              <w:spacing w:after="0"/>
              <w:jc w:val="center"/>
            </w:pPr>
          </w:p>
        </w:tc>
        <w:tc>
          <w:tcPr>
            <w:tcW w:w="505" w:type="dxa"/>
            <w:vMerge/>
          </w:tcPr>
          <w:p w14:paraId="427A6384" w14:textId="77777777" w:rsidR="009D4A93" w:rsidRPr="009220DC" w:rsidRDefault="009D4A93" w:rsidP="009D4A93">
            <w:pPr>
              <w:spacing w:after="0"/>
              <w:jc w:val="center"/>
            </w:pPr>
          </w:p>
        </w:tc>
        <w:tc>
          <w:tcPr>
            <w:tcW w:w="505" w:type="dxa"/>
          </w:tcPr>
          <w:p w14:paraId="6C488442" w14:textId="77777777" w:rsidR="009D4A93" w:rsidRPr="009220DC" w:rsidRDefault="009D4A93" w:rsidP="009D4A93">
            <w:pPr>
              <w:spacing w:after="0"/>
              <w:jc w:val="center"/>
            </w:pPr>
            <w:r w:rsidRPr="009220DC">
              <w:t>95%</w:t>
            </w:r>
          </w:p>
        </w:tc>
        <w:tc>
          <w:tcPr>
            <w:tcW w:w="643" w:type="dxa"/>
          </w:tcPr>
          <w:p w14:paraId="3506D8DB" w14:textId="77777777" w:rsidR="009D4A93" w:rsidRPr="009220DC" w:rsidRDefault="009D4A93" w:rsidP="009D4A93">
            <w:pPr>
              <w:spacing w:after="0"/>
              <w:jc w:val="center"/>
              <w:rPr>
                <w:rFonts w:asciiTheme="minorHAnsi" w:hAnsiTheme="minorHAnsi"/>
              </w:rPr>
            </w:pPr>
            <w:r w:rsidRPr="009220DC">
              <w:rPr>
                <w:rFonts w:asciiTheme="minorHAnsi" w:hAnsiTheme="minorHAnsi"/>
              </w:rPr>
              <w:t>127.84</w:t>
            </w:r>
          </w:p>
        </w:tc>
        <w:tc>
          <w:tcPr>
            <w:tcW w:w="644" w:type="dxa"/>
          </w:tcPr>
          <w:p w14:paraId="62BA0D38" w14:textId="77777777" w:rsidR="009D4A93" w:rsidRPr="009220DC" w:rsidRDefault="009D4A93" w:rsidP="009D4A93">
            <w:pPr>
              <w:spacing w:after="0"/>
              <w:jc w:val="center"/>
              <w:rPr>
                <w:rFonts w:asciiTheme="minorHAnsi" w:hAnsiTheme="minorHAnsi"/>
              </w:rPr>
            </w:pPr>
            <w:r w:rsidRPr="009220DC">
              <w:rPr>
                <w:rFonts w:asciiTheme="minorHAnsi" w:hAnsiTheme="minorHAnsi"/>
              </w:rPr>
              <w:t>128.03</w:t>
            </w:r>
          </w:p>
        </w:tc>
        <w:tc>
          <w:tcPr>
            <w:tcW w:w="644" w:type="dxa"/>
          </w:tcPr>
          <w:p w14:paraId="1699F803" w14:textId="77777777" w:rsidR="009D4A93" w:rsidRPr="009220DC" w:rsidRDefault="009D4A93" w:rsidP="009D4A93">
            <w:pPr>
              <w:spacing w:after="0"/>
              <w:jc w:val="center"/>
              <w:rPr>
                <w:rFonts w:asciiTheme="minorHAnsi" w:hAnsiTheme="minorHAnsi"/>
              </w:rPr>
            </w:pPr>
            <w:r w:rsidRPr="009220DC">
              <w:rPr>
                <w:rFonts w:asciiTheme="minorHAnsi" w:hAnsiTheme="minorHAnsi"/>
              </w:rPr>
              <w:t>121.30</w:t>
            </w:r>
          </w:p>
        </w:tc>
        <w:tc>
          <w:tcPr>
            <w:tcW w:w="644" w:type="dxa"/>
          </w:tcPr>
          <w:p w14:paraId="2BCC3653" w14:textId="77777777" w:rsidR="009D4A93" w:rsidRPr="009220DC" w:rsidRDefault="009D4A93" w:rsidP="009D4A93">
            <w:pPr>
              <w:spacing w:after="0"/>
              <w:jc w:val="center"/>
              <w:rPr>
                <w:rFonts w:asciiTheme="minorHAnsi" w:hAnsiTheme="minorHAnsi"/>
              </w:rPr>
            </w:pPr>
          </w:p>
        </w:tc>
        <w:tc>
          <w:tcPr>
            <w:tcW w:w="715" w:type="dxa"/>
          </w:tcPr>
          <w:p w14:paraId="544CE093" w14:textId="77777777" w:rsidR="009D4A93" w:rsidRPr="009220DC" w:rsidRDefault="009D4A93" w:rsidP="009D4A93">
            <w:pPr>
              <w:spacing w:after="0"/>
              <w:jc w:val="center"/>
              <w:rPr>
                <w:rFonts w:asciiTheme="minorHAnsi" w:hAnsiTheme="minorHAnsi"/>
              </w:rPr>
            </w:pPr>
            <w:r w:rsidRPr="009220DC">
              <w:rPr>
                <w:rFonts w:asciiTheme="minorHAnsi" w:hAnsiTheme="minorHAnsi"/>
              </w:rPr>
              <w:t>105.71</w:t>
            </w:r>
          </w:p>
        </w:tc>
        <w:tc>
          <w:tcPr>
            <w:tcW w:w="715" w:type="dxa"/>
          </w:tcPr>
          <w:p w14:paraId="245039C0" w14:textId="77777777" w:rsidR="009D4A93" w:rsidRPr="009220DC" w:rsidRDefault="009D4A93" w:rsidP="009D4A93">
            <w:pPr>
              <w:spacing w:after="0"/>
              <w:jc w:val="center"/>
              <w:rPr>
                <w:rFonts w:asciiTheme="minorHAnsi" w:hAnsiTheme="minorHAnsi"/>
              </w:rPr>
            </w:pPr>
            <w:r w:rsidRPr="009220DC">
              <w:rPr>
                <w:rFonts w:asciiTheme="minorHAnsi" w:hAnsiTheme="minorHAnsi"/>
              </w:rPr>
              <w:t>106.15</w:t>
            </w:r>
          </w:p>
        </w:tc>
        <w:tc>
          <w:tcPr>
            <w:tcW w:w="715" w:type="dxa"/>
          </w:tcPr>
          <w:p w14:paraId="34C44621" w14:textId="77777777" w:rsidR="009D4A93" w:rsidRPr="009220DC" w:rsidRDefault="009D4A93" w:rsidP="009D4A93">
            <w:pPr>
              <w:spacing w:after="0"/>
              <w:jc w:val="center"/>
              <w:rPr>
                <w:rFonts w:asciiTheme="minorHAnsi" w:hAnsiTheme="minorHAnsi"/>
              </w:rPr>
            </w:pPr>
            <w:r w:rsidRPr="009220DC">
              <w:rPr>
                <w:rFonts w:asciiTheme="minorHAnsi" w:hAnsiTheme="minorHAnsi"/>
              </w:rPr>
              <w:t>103.64</w:t>
            </w:r>
          </w:p>
        </w:tc>
        <w:tc>
          <w:tcPr>
            <w:tcW w:w="715" w:type="dxa"/>
          </w:tcPr>
          <w:p w14:paraId="68C32F7C" w14:textId="77777777" w:rsidR="009D4A93" w:rsidRPr="009220DC" w:rsidRDefault="009D4A93" w:rsidP="009D4A93">
            <w:pPr>
              <w:spacing w:after="0"/>
              <w:jc w:val="center"/>
              <w:rPr>
                <w:rFonts w:asciiTheme="minorHAnsi" w:hAnsiTheme="minorHAnsi"/>
              </w:rPr>
            </w:pPr>
          </w:p>
        </w:tc>
        <w:tc>
          <w:tcPr>
            <w:tcW w:w="737" w:type="dxa"/>
          </w:tcPr>
          <w:p w14:paraId="23019D89" w14:textId="77777777" w:rsidR="009D4A93" w:rsidRPr="009220DC" w:rsidRDefault="009D4A93" w:rsidP="009D4A93">
            <w:pPr>
              <w:spacing w:after="0"/>
              <w:jc w:val="center"/>
              <w:rPr>
                <w:rFonts w:asciiTheme="minorHAnsi" w:hAnsiTheme="minorHAnsi"/>
              </w:rPr>
            </w:pPr>
            <w:r w:rsidRPr="009220DC">
              <w:rPr>
                <w:rFonts w:asciiTheme="minorHAnsi" w:hAnsiTheme="minorHAnsi"/>
              </w:rPr>
              <w:t>77.31</w:t>
            </w:r>
          </w:p>
        </w:tc>
        <w:tc>
          <w:tcPr>
            <w:tcW w:w="738" w:type="dxa"/>
          </w:tcPr>
          <w:p w14:paraId="1005636B" w14:textId="77777777" w:rsidR="009D4A93" w:rsidRPr="009220DC" w:rsidRDefault="009D4A93" w:rsidP="009D4A93">
            <w:pPr>
              <w:spacing w:after="0"/>
              <w:jc w:val="center"/>
              <w:rPr>
                <w:rFonts w:asciiTheme="minorHAnsi" w:hAnsiTheme="minorHAnsi"/>
              </w:rPr>
            </w:pPr>
            <w:r w:rsidRPr="009220DC">
              <w:rPr>
                <w:rFonts w:asciiTheme="minorHAnsi" w:hAnsiTheme="minorHAnsi"/>
              </w:rPr>
              <w:t>80.52</w:t>
            </w:r>
          </w:p>
        </w:tc>
        <w:tc>
          <w:tcPr>
            <w:tcW w:w="737" w:type="dxa"/>
          </w:tcPr>
          <w:p w14:paraId="39C3C0C2" w14:textId="77777777" w:rsidR="009D4A93" w:rsidRPr="009220DC" w:rsidRDefault="009D4A93" w:rsidP="009D4A93">
            <w:pPr>
              <w:spacing w:after="0"/>
              <w:jc w:val="center"/>
              <w:rPr>
                <w:rFonts w:asciiTheme="minorHAnsi" w:hAnsiTheme="minorHAnsi"/>
              </w:rPr>
            </w:pPr>
            <w:r w:rsidRPr="009220DC">
              <w:rPr>
                <w:rFonts w:asciiTheme="minorHAnsi" w:hAnsiTheme="minorHAnsi"/>
              </w:rPr>
              <w:t>78.27</w:t>
            </w:r>
          </w:p>
        </w:tc>
        <w:tc>
          <w:tcPr>
            <w:tcW w:w="738" w:type="dxa"/>
          </w:tcPr>
          <w:p w14:paraId="25C6B7DB" w14:textId="77777777" w:rsidR="009D4A93" w:rsidRPr="009220DC" w:rsidRDefault="009D4A93" w:rsidP="009D4A93">
            <w:pPr>
              <w:spacing w:after="0"/>
              <w:jc w:val="center"/>
              <w:rPr>
                <w:rFonts w:asciiTheme="minorHAnsi" w:hAnsiTheme="minorHAnsi"/>
              </w:rPr>
            </w:pPr>
          </w:p>
        </w:tc>
      </w:tr>
      <w:tr w:rsidR="009D4A93" w:rsidRPr="009220DC" w14:paraId="00AF5A6C" w14:textId="77777777" w:rsidTr="009D4A93">
        <w:trPr>
          <w:cantSplit/>
          <w:trHeight w:val="22"/>
        </w:trPr>
        <w:tc>
          <w:tcPr>
            <w:tcW w:w="500" w:type="dxa"/>
            <w:vMerge/>
          </w:tcPr>
          <w:p w14:paraId="27D458A3" w14:textId="77777777" w:rsidR="009D4A93" w:rsidRPr="009220DC" w:rsidRDefault="009D4A93" w:rsidP="009D4A93">
            <w:pPr>
              <w:spacing w:after="0"/>
              <w:jc w:val="center"/>
            </w:pPr>
          </w:p>
        </w:tc>
        <w:tc>
          <w:tcPr>
            <w:tcW w:w="505" w:type="dxa"/>
            <w:vMerge/>
          </w:tcPr>
          <w:p w14:paraId="18592069" w14:textId="77777777" w:rsidR="009D4A93" w:rsidRPr="009220DC" w:rsidRDefault="009D4A93" w:rsidP="009D4A93">
            <w:pPr>
              <w:spacing w:after="0"/>
              <w:jc w:val="center"/>
            </w:pPr>
          </w:p>
        </w:tc>
        <w:tc>
          <w:tcPr>
            <w:tcW w:w="505" w:type="dxa"/>
          </w:tcPr>
          <w:p w14:paraId="2E3D22A7" w14:textId="77777777" w:rsidR="009D4A93" w:rsidRPr="009220DC" w:rsidRDefault="009D4A93" w:rsidP="009D4A93">
            <w:pPr>
              <w:spacing w:after="0"/>
              <w:jc w:val="center"/>
            </w:pPr>
            <w:r w:rsidRPr="009220DC">
              <w:t>Mean</w:t>
            </w:r>
          </w:p>
        </w:tc>
        <w:tc>
          <w:tcPr>
            <w:tcW w:w="643" w:type="dxa"/>
          </w:tcPr>
          <w:p w14:paraId="7A673795" w14:textId="77777777" w:rsidR="009D4A93" w:rsidRPr="009220DC" w:rsidRDefault="009D4A93" w:rsidP="009D4A93">
            <w:pPr>
              <w:spacing w:after="0"/>
              <w:jc w:val="center"/>
              <w:rPr>
                <w:rFonts w:asciiTheme="minorHAnsi" w:hAnsiTheme="minorHAnsi"/>
              </w:rPr>
            </w:pPr>
            <w:r w:rsidRPr="009220DC">
              <w:rPr>
                <w:rFonts w:asciiTheme="minorHAnsi" w:hAnsiTheme="minorHAnsi"/>
              </w:rPr>
              <w:t>101.23</w:t>
            </w:r>
          </w:p>
        </w:tc>
        <w:tc>
          <w:tcPr>
            <w:tcW w:w="644" w:type="dxa"/>
          </w:tcPr>
          <w:p w14:paraId="64CC43F1" w14:textId="77777777" w:rsidR="009D4A93" w:rsidRPr="009220DC" w:rsidRDefault="009D4A93" w:rsidP="009D4A93">
            <w:pPr>
              <w:spacing w:after="0"/>
              <w:jc w:val="center"/>
              <w:rPr>
                <w:rFonts w:asciiTheme="minorHAnsi" w:hAnsiTheme="minorHAnsi"/>
              </w:rPr>
            </w:pPr>
            <w:r w:rsidRPr="009220DC">
              <w:rPr>
                <w:rFonts w:asciiTheme="minorHAnsi" w:hAnsiTheme="minorHAnsi"/>
              </w:rPr>
              <w:t>101.99</w:t>
            </w:r>
          </w:p>
        </w:tc>
        <w:tc>
          <w:tcPr>
            <w:tcW w:w="644" w:type="dxa"/>
          </w:tcPr>
          <w:p w14:paraId="0B575549" w14:textId="77777777" w:rsidR="009D4A93" w:rsidRPr="009220DC" w:rsidRDefault="009D4A93" w:rsidP="009D4A93">
            <w:pPr>
              <w:spacing w:after="0"/>
              <w:jc w:val="center"/>
              <w:rPr>
                <w:rFonts w:asciiTheme="minorHAnsi" w:hAnsiTheme="minorHAnsi"/>
              </w:rPr>
            </w:pPr>
            <w:r w:rsidRPr="009220DC">
              <w:rPr>
                <w:rFonts w:asciiTheme="minorHAnsi" w:hAnsiTheme="minorHAnsi"/>
              </w:rPr>
              <w:t>95.85</w:t>
            </w:r>
          </w:p>
        </w:tc>
        <w:tc>
          <w:tcPr>
            <w:tcW w:w="644" w:type="dxa"/>
          </w:tcPr>
          <w:p w14:paraId="306F981A" w14:textId="77777777" w:rsidR="009D4A93" w:rsidRPr="009220DC" w:rsidRDefault="009D4A93" w:rsidP="009D4A93">
            <w:pPr>
              <w:spacing w:after="0"/>
              <w:jc w:val="center"/>
              <w:rPr>
                <w:rFonts w:asciiTheme="minorHAnsi" w:hAnsiTheme="minorHAnsi"/>
              </w:rPr>
            </w:pPr>
          </w:p>
        </w:tc>
        <w:tc>
          <w:tcPr>
            <w:tcW w:w="715" w:type="dxa"/>
          </w:tcPr>
          <w:p w14:paraId="442AFB55" w14:textId="77777777" w:rsidR="009D4A93" w:rsidRPr="009220DC" w:rsidRDefault="009D4A93" w:rsidP="009D4A93">
            <w:pPr>
              <w:spacing w:after="0"/>
              <w:jc w:val="center"/>
              <w:rPr>
                <w:rFonts w:asciiTheme="minorHAnsi" w:hAnsiTheme="minorHAnsi"/>
              </w:rPr>
            </w:pPr>
            <w:r w:rsidRPr="009220DC">
              <w:rPr>
                <w:rFonts w:asciiTheme="minorHAnsi" w:hAnsiTheme="minorHAnsi"/>
              </w:rPr>
              <w:t>76.03</w:t>
            </w:r>
          </w:p>
        </w:tc>
        <w:tc>
          <w:tcPr>
            <w:tcW w:w="715" w:type="dxa"/>
          </w:tcPr>
          <w:p w14:paraId="3FF8B635" w14:textId="77777777" w:rsidR="009D4A93" w:rsidRPr="009220DC" w:rsidRDefault="009D4A93" w:rsidP="009D4A93">
            <w:pPr>
              <w:spacing w:after="0"/>
              <w:jc w:val="center"/>
              <w:rPr>
                <w:rFonts w:asciiTheme="minorHAnsi" w:hAnsiTheme="minorHAnsi"/>
              </w:rPr>
            </w:pPr>
            <w:r w:rsidRPr="009220DC">
              <w:rPr>
                <w:rFonts w:asciiTheme="minorHAnsi" w:hAnsiTheme="minorHAnsi"/>
              </w:rPr>
              <w:t>77.27</w:t>
            </w:r>
          </w:p>
        </w:tc>
        <w:tc>
          <w:tcPr>
            <w:tcW w:w="715" w:type="dxa"/>
          </w:tcPr>
          <w:p w14:paraId="4372F049" w14:textId="77777777" w:rsidR="009D4A93" w:rsidRPr="009220DC" w:rsidRDefault="009D4A93" w:rsidP="009D4A93">
            <w:pPr>
              <w:spacing w:after="0"/>
              <w:jc w:val="center"/>
              <w:rPr>
                <w:rFonts w:asciiTheme="minorHAnsi" w:hAnsiTheme="minorHAnsi"/>
              </w:rPr>
            </w:pPr>
            <w:r w:rsidRPr="009220DC">
              <w:rPr>
                <w:rFonts w:asciiTheme="minorHAnsi" w:hAnsiTheme="minorHAnsi"/>
              </w:rPr>
              <w:t>73.88</w:t>
            </w:r>
          </w:p>
        </w:tc>
        <w:tc>
          <w:tcPr>
            <w:tcW w:w="715" w:type="dxa"/>
          </w:tcPr>
          <w:p w14:paraId="2B7902FA" w14:textId="77777777" w:rsidR="009D4A93" w:rsidRPr="009220DC" w:rsidRDefault="009D4A93" w:rsidP="009D4A93">
            <w:pPr>
              <w:spacing w:after="0"/>
              <w:jc w:val="center"/>
              <w:rPr>
                <w:rFonts w:asciiTheme="minorHAnsi" w:hAnsiTheme="minorHAnsi"/>
              </w:rPr>
            </w:pPr>
          </w:p>
        </w:tc>
        <w:tc>
          <w:tcPr>
            <w:tcW w:w="737" w:type="dxa"/>
          </w:tcPr>
          <w:p w14:paraId="5C73FE38" w14:textId="77777777" w:rsidR="009D4A93" w:rsidRPr="009220DC" w:rsidRDefault="009D4A93" w:rsidP="009D4A93">
            <w:pPr>
              <w:spacing w:after="0"/>
              <w:jc w:val="center"/>
              <w:rPr>
                <w:rFonts w:asciiTheme="minorHAnsi" w:hAnsiTheme="minorHAnsi"/>
              </w:rPr>
            </w:pPr>
            <w:r w:rsidRPr="009220DC">
              <w:rPr>
                <w:rFonts w:asciiTheme="minorHAnsi" w:hAnsiTheme="minorHAnsi"/>
              </w:rPr>
              <w:t>48.42</w:t>
            </w:r>
          </w:p>
        </w:tc>
        <w:tc>
          <w:tcPr>
            <w:tcW w:w="738" w:type="dxa"/>
          </w:tcPr>
          <w:p w14:paraId="68EC9C88" w14:textId="77777777" w:rsidR="009D4A93" w:rsidRPr="009220DC" w:rsidRDefault="009D4A93" w:rsidP="009D4A93">
            <w:pPr>
              <w:spacing w:after="0"/>
              <w:jc w:val="center"/>
              <w:rPr>
                <w:rFonts w:asciiTheme="minorHAnsi" w:hAnsiTheme="minorHAnsi"/>
              </w:rPr>
            </w:pPr>
            <w:r w:rsidRPr="009220DC">
              <w:rPr>
                <w:rFonts w:asciiTheme="minorHAnsi" w:hAnsiTheme="minorHAnsi"/>
              </w:rPr>
              <w:t>52.11</w:t>
            </w:r>
          </w:p>
        </w:tc>
        <w:tc>
          <w:tcPr>
            <w:tcW w:w="737" w:type="dxa"/>
          </w:tcPr>
          <w:p w14:paraId="583E06B7" w14:textId="77777777" w:rsidR="009D4A93" w:rsidRPr="009220DC" w:rsidRDefault="009D4A93" w:rsidP="009D4A93">
            <w:pPr>
              <w:spacing w:after="0"/>
              <w:jc w:val="center"/>
              <w:rPr>
                <w:rFonts w:asciiTheme="minorHAnsi" w:hAnsiTheme="minorHAnsi"/>
              </w:rPr>
            </w:pPr>
            <w:r w:rsidRPr="009220DC">
              <w:rPr>
                <w:rFonts w:asciiTheme="minorHAnsi" w:hAnsiTheme="minorHAnsi"/>
              </w:rPr>
              <w:t>49.49</w:t>
            </w:r>
          </w:p>
        </w:tc>
        <w:tc>
          <w:tcPr>
            <w:tcW w:w="738" w:type="dxa"/>
          </w:tcPr>
          <w:p w14:paraId="5E94773D" w14:textId="77777777" w:rsidR="009D4A93" w:rsidRPr="009220DC" w:rsidRDefault="009D4A93" w:rsidP="009D4A93">
            <w:pPr>
              <w:spacing w:after="0"/>
              <w:jc w:val="center"/>
              <w:rPr>
                <w:rFonts w:asciiTheme="minorHAnsi" w:hAnsiTheme="minorHAnsi"/>
              </w:rPr>
            </w:pPr>
          </w:p>
        </w:tc>
      </w:tr>
      <w:tr w:rsidR="009D4A93" w:rsidRPr="009220DC" w14:paraId="56A94D31" w14:textId="77777777" w:rsidTr="009D4A93">
        <w:trPr>
          <w:cantSplit/>
          <w:trHeight w:val="22"/>
        </w:trPr>
        <w:tc>
          <w:tcPr>
            <w:tcW w:w="500" w:type="dxa"/>
            <w:vMerge/>
          </w:tcPr>
          <w:p w14:paraId="622C8CFE" w14:textId="77777777" w:rsidR="009D4A93" w:rsidRPr="009220DC" w:rsidRDefault="009D4A93" w:rsidP="009D4A93">
            <w:pPr>
              <w:spacing w:after="0"/>
              <w:jc w:val="center"/>
            </w:pPr>
          </w:p>
        </w:tc>
        <w:tc>
          <w:tcPr>
            <w:tcW w:w="505" w:type="dxa"/>
            <w:vMerge w:val="restart"/>
          </w:tcPr>
          <w:p w14:paraId="6229C91C" w14:textId="77777777" w:rsidR="009D4A93" w:rsidRPr="009220DC" w:rsidRDefault="009D4A93" w:rsidP="009D4A93">
            <w:pPr>
              <w:spacing w:after="0"/>
              <w:jc w:val="center"/>
            </w:pPr>
            <w:r w:rsidRPr="009220DC">
              <w:t>DL:</w:t>
            </w:r>
          </w:p>
          <w:p w14:paraId="78151E7F" w14:textId="77777777" w:rsidR="009D4A93" w:rsidRPr="009220DC" w:rsidRDefault="009D4A93" w:rsidP="009D4A93">
            <w:pPr>
              <w:spacing w:after="0"/>
              <w:jc w:val="center"/>
            </w:pPr>
            <w:r w:rsidRPr="009220DC">
              <w:t>Delay CDF</w:t>
            </w:r>
          </w:p>
          <w:p w14:paraId="5D3FDA7B" w14:textId="77777777" w:rsidR="009D4A93" w:rsidRPr="009220DC" w:rsidRDefault="009D4A93" w:rsidP="009D4A93">
            <w:pPr>
              <w:spacing w:after="0"/>
              <w:jc w:val="center"/>
            </w:pPr>
            <w:r w:rsidRPr="009220DC">
              <w:t>[s]</w:t>
            </w:r>
          </w:p>
        </w:tc>
        <w:tc>
          <w:tcPr>
            <w:tcW w:w="505" w:type="dxa"/>
          </w:tcPr>
          <w:p w14:paraId="75AD93B2" w14:textId="77777777" w:rsidR="009D4A93" w:rsidRPr="009220DC" w:rsidRDefault="009D4A93" w:rsidP="009D4A93">
            <w:pPr>
              <w:spacing w:after="0"/>
              <w:jc w:val="center"/>
            </w:pPr>
            <w:r w:rsidRPr="009220DC">
              <w:t>5%</w:t>
            </w:r>
          </w:p>
        </w:tc>
        <w:tc>
          <w:tcPr>
            <w:tcW w:w="643" w:type="dxa"/>
          </w:tcPr>
          <w:p w14:paraId="1F080CE6" w14:textId="77777777" w:rsidR="009D4A93" w:rsidRPr="009220DC" w:rsidRDefault="009D4A93" w:rsidP="009D4A93">
            <w:pPr>
              <w:spacing w:after="0"/>
              <w:jc w:val="center"/>
              <w:rPr>
                <w:rFonts w:asciiTheme="minorHAnsi" w:hAnsiTheme="minorHAnsi"/>
              </w:rPr>
            </w:pPr>
            <w:r w:rsidRPr="009220DC">
              <w:rPr>
                <w:rFonts w:asciiTheme="minorHAnsi" w:hAnsiTheme="minorHAnsi"/>
              </w:rPr>
              <w:t>0.028</w:t>
            </w:r>
          </w:p>
        </w:tc>
        <w:tc>
          <w:tcPr>
            <w:tcW w:w="644" w:type="dxa"/>
          </w:tcPr>
          <w:p w14:paraId="12E3A980" w14:textId="77777777" w:rsidR="009D4A93" w:rsidRPr="009220DC" w:rsidRDefault="009D4A93" w:rsidP="009D4A93">
            <w:pPr>
              <w:spacing w:after="0"/>
              <w:jc w:val="center"/>
              <w:rPr>
                <w:rFonts w:asciiTheme="minorHAnsi" w:hAnsiTheme="minorHAnsi"/>
              </w:rPr>
            </w:pPr>
            <w:r w:rsidRPr="009220DC">
              <w:rPr>
                <w:rFonts w:asciiTheme="minorHAnsi" w:hAnsiTheme="minorHAnsi"/>
              </w:rPr>
              <w:t>0.027</w:t>
            </w:r>
          </w:p>
        </w:tc>
        <w:tc>
          <w:tcPr>
            <w:tcW w:w="644" w:type="dxa"/>
          </w:tcPr>
          <w:p w14:paraId="42EA5417" w14:textId="77777777" w:rsidR="009D4A93" w:rsidRPr="009220DC" w:rsidRDefault="009D4A93" w:rsidP="009D4A93">
            <w:pPr>
              <w:spacing w:after="0"/>
              <w:jc w:val="center"/>
              <w:rPr>
                <w:rFonts w:asciiTheme="minorHAnsi" w:hAnsiTheme="minorHAnsi"/>
              </w:rPr>
            </w:pPr>
            <w:r w:rsidRPr="009220DC">
              <w:rPr>
                <w:rFonts w:asciiTheme="minorHAnsi" w:hAnsiTheme="minorHAnsi"/>
              </w:rPr>
              <w:t>0.029</w:t>
            </w:r>
          </w:p>
        </w:tc>
        <w:tc>
          <w:tcPr>
            <w:tcW w:w="644" w:type="dxa"/>
          </w:tcPr>
          <w:p w14:paraId="32A8BFDC" w14:textId="77777777" w:rsidR="009D4A93" w:rsidRPr="009220DC" w:rsidRDefault="009D4A93" w:rsidP="009D4A93">
            <w:pPr>
              <w:spacing w:after="0"/>
              <w:jc w:val="center"/>
              <w:rPr>
                <w:rFonts w:asciiTheme="minorHAnsi" w:hAnsiTheme="minorHAnsi"/>
              </w:rPr>
            </w:pPr>
          </w:p>
        </w:tc>
        <w:tc>
          <w:tcPr>
            <w:tcW w:w="715" w:type="dxa"/>
          </w:tcPr>
          <w:p w14:paraId="0ED53C08" w14:textId="77777777" w:rsidR="009D4A93" w:rsidRPr="009220DC" w:rsidRDefault="009D4A93" w:rsidP="009D4A93">
            <w:pPr>
              <w:spacing w:after="0"/>
              <w:jc w:val="center"/>
              <w:rPr>
                <w:rFonts w:asciiTheme="minorHAnsi" w:hAnsiTheme="minorHAnsi"/>
              </w:rPr>
            </w:pPr>
            <w:r w:rsidRPr="009220DC">
              <w:rPr>
                <w:rFonts w:asciiTheme="minorHAnsi" w:hAnsiTheme="minorHAnsi"/>
              </w:rPr>
              <w:t>0.037</w:t>
            </w:r>
          </w:p>
        </w:tc>
        <w:tc>
          <w:tcPr>
            <w:tcW w:w="715" w:type="dxa"/>
          </w:tcPr>
          <w:p w14:paraId="256CC1F8" w14:textId="77777777" w:rsidR="009D4A93" w:rsidRPr="009220DC" w:rsidRDefault="009D4A93" w:rsidP="009D4A93">
            <w:pPr>
              <w:spacing w:after="0"/>
              <w:jc w:val="center"/>
              <w:rPr>
                <w:rFonts w:asciiTheme="minorHAnsi" w:hAnsiTheme="minorHAnsi"/>
              </w:rPr>
            </w:pPr>
            <w:r w:rsidRPr="009220DC">
              <w:rPr>
                <w:rFonts w:asciiTheme="minorHAnsi" w:hAnsiTheme="minorHAnsi"/>
              </w:rPr>
              <w:t>0.037</w:t>
            </w:r>
          </w:p>
        </w:tc>
        <w:tc>
          <w:tcPr>
            <w:tcW w:w="715" w:type="dxa"/>
          </w:tcPr>
          <w:p w14:paraId="585A105F" w14:textId="77777777" w:rsidR="009D4A93" w:rsidRPr="009220DC" w:rsidRDefault="009D4A93" w:rsidP="009D4A93">
            <w:pPr>
              <w:spacing w:after="0"/>
              <w:jc w:val="center"/>
              <w:rPr>
                <w:rFonts w:asciiTheme="minorHAnsi" w:hAnsiTheme="minorHAnsi"/>
              </w:rPr>
            </w:pPr>
            <w:r w:rsidRPr="009220DC">
              <w:rPr>
                <w:rFonts w:asciiTheme="minorHAnsi" w:hAnsiTheme="minorHAnsi"/>
              </w:rPr>
              <w:t>0.037</w:t>
            </w:r>
          </w:p>
        </w:tc>
        <w:tc>
          <w:tcPr>
            <w:tcW w:w="715" w:type="dxa"/>
          </w:tcPr>
          <w:p w14:paraId="1232FF15" w14:textId="77777777" w:rsidR="009D4A93" w:rsidRPr="009220DC" w:rsidRDefault="009D4A93" w:rsidP="009D4A93">
            <w:pPr>
              <w:spacing w:after="0"/>
              <w:jc w:val="center"/>
              <w:rPr>
                <w:rFonts w:asciiTheme="minorHAnsi" w:hAnsiTheme="minorHAnsi"/>
              </w:rPr>
            </w:pPr>
          </w:p>
        </w:tc>
        <w:tc>
          <w:tcPr>
            <w:tcW w:w="737" w:type="dxa"/>
          </w:tcPr>
          <w:p w14:paraId="497071B0" w14:textId="77777777" w:rsidR="009D4A93" w:rsidRPr="009220DC" w:rsidRDefault="009D4A93" w:rsidP="009D4A93">
            <w:pPr>
              <w:spacing w:after="0"/>
              <w:jc w:val="center"/>
              <w:rPr>
                <w:rFonts w:asciiTheme="minorHAnsi" w:hAnsiTheme="minorHAnsi"/>
              </w:rPr>
            </w:pPr>
            <w:r w:rsidRPr="009220DC">
              <w:rPr>
                <w:rFonts w:asciiTheme="minorHAnsi" w:hAnsiTheme="minorHAnsi"/>
              </w:rPr>
              <w:t>0.075</w:t>
            </w:r>
          </w:p>
        </w:tc>
        <w:tc>
          <w:tcPr>
            <w:tcW w:w="738" w:type="dxa"/>
          </w:tcPr>
          <w:p w14:paraId="79C65B74" w14:textId="77777777" w:rsidR="009D4A93" w:rsidRPr="009220DC" w:rsidRDefault="009D4A93" w:rsidP="009D4A93">
            <w:pPr>
              <w:spacing w:after="0"/>
              <w:jc w:val="center"/>
              <w:rPr>
                <w:rFonts w:asciiTheme="minorHAnsi" w:hAnsiTheme="minorHAnsi"/>
              </w:rPr>
            </w:pPr>
            <w:r w:rsidRPr="009220DC">
              <w:rPr>
                <w:rFonts w:asciiTheme="minorHAnsi" w:hAnsiTheme="minorHAnsi"/>
              </w:rPr>
              <w:t>0.063</w:t>
            </w:r>
          </w:p>
        </w:tc>
        <w:tc>
          <w:tcPr>
            <w:tcW w:w="737" w:type="dxa"/>
          </w:tcPr>
          <w:p w14:paraId="49AF6E45" w14:textId="77777777" w:rsidR="009D4A93" w:rsidRPr="009220DC" w:rsidRDefault="009D4A93" w:rsidP="009D4A93">
            <w:pPr>
              <w:spacing w:after="0"/>
              <w:jc w:val="center"/>
              <w:rPr>
                <w:rFonts w:asciiTheme="minorHAnsi" w:hAnsiTheme="minorHAnsi"/>
              </w:rPr>
            </w:pPr>
            <w:r w:rsidRPr="009220DC">
              <w:rPr>
                <w:rFonts w:asciiTheme="minorHAnsi" w:hAnsiTheme="minorHAnsi"/>
              </w:rPr>
              <w:t>0.058</w:t>
            </w:r>
          </w:p>
        </w:tc>
        <w:tc>
          <w:tcPr>
            <w:tcW w:w="738" w:type="dxa"/>
          </w:tcPr>
          <w:p w14:paraId="6A263417" w14:textId="77777777" w:rsidR="009D4A93" w:rsidRPr="009220DC" w:rsidRDefault="009D4A93" w:rsidP="009D4A93">
            <w:pPr>
              <w:spacing w:after="0"/>
              <w:jc w:val="center"/>
              <w:rPr>
                <w:rFonts w:asciiTheme="minorHAnsi" w:hAnsiTheme="minorHAnsi"/>
              </w:rPr>
            </w:pPr>
          </w:p>
        </w:tc>
      </w:tr>
      <w:tr w:rsidR="009D4A93" w:rsidRPr="009220DC" w14:paraId="7C431C1F" w14:textId="77777777" w:rsidTr="009D4A93">
        <w:trPr>
          <w:cantSplit/>
          <w:trHeight w:val="22"/>
        </w:trPr>
        <w:tc>
          <w:tcPr>
            <w:tcW w:w="500" w:type="dxa"/>
            <w:vMerge/>
          </w:tcPr>
          <w:p w14:paraId="38032DCA" w14:textId="77777777" w:rsidR="009D4A93" w:rsidRPr="009220DC" w:rsidRDefault="009D4A93" w:rsidP="009D4A93">
            <w:pPr>
              <w:spacing w:after="0"/>
              <w:jc w:val="center"/>
            </w:pPr>
          </w:p>
        </w:tc>
        <w:tc>
          <w:tcPr>
            <w:tcW w:w="505" w:type="dxa"/>
            <w:vMerge/>
          </w:tcPr>
          <w:p w14:paraId="6D0061D1" w14:textId="77777777" w:rsidR="009D4A93" w:rsidRPr="009220DC" w:rsidRDefault="009D4A93" w:rsidP="009D4A93">
            <w:pPr>
              <w:spacing w:after="0"/>
              <w:jc w:val="center"/>
            </w:pPr>
          </w:p>
        </w:tc>
        <w:tc>
          <w:tcPr>
            <w:tcW w:w="505" w:type="dxa"/>
          </w:tcPr>
          <w:p w14:paraId="42B57B0C" w14:textId="77777777" w:rsidR="009D4A93" w:rsidRPr="009220DC" w:rsidRDefault="009D4A93" w:rsidP="009D4A93">
            <w:pPr>
              <w:spacing w:after="0"/>
              <w:jc w:val="center"/>
            </w:pPr>
            <w:r w:rsidRPr="009220DC">
              <w:t>50%</w:t>
            </w:r>
          </w:p>
        </w:tc>
        <w:tc>
          <w:tcPr>
            <w:tcW w:w="643" w:type="dxa"/>
          </w:tcPr>
          <w:p w14:paraId="473E5965" w14:textId="77777777" w:rsidR="009D4A93" w:rsidRPr="009220DC" w:rsidRDefault="009D4A93" w:rsidP="009D4A93">
            <w:pPr>
              <w:spacing w:after="0"/>
              <w:jc w:val="center"/>
              <w:rPr>
                <w:rFonts w:asciiTheme="minorHAnsi" w:hAnsiTheme="minorHAnsi"/>
              </w:rPr>
            </w:pPr>
            <w:r w:rsidRPr="009220DC">
              <w:rPr>
                <w:rFonts w:asciiTheme="minorHAnsi" w:hAnsiTheme="minorHAnsi"/>
              </w:rPr>
              <w:t>0.037</w:t>
            </w:r>
          </w:p>
        </w:tc>
        <w:tc>
          <w:tcPr>
            <w:tcW w:w="644" w:type="dxa"/>
          </w:tcPr>
          <w:p w14:paraId="3DF84FF5" w14:textId="77777777" w:rsidR="009D4A93" w:rsidRPr="009220DC" w:rsidRDefault="009D4A93" w:rsidP="009D4A93">
            <w:pPr>
              <w:spacing w:after="0"/>
              <w:jc w:val="center"/>
              <w:rPr>
                <w:rFonts w:asciiTheme="minorHAnsi" w:hAnsiTheme="minorHAnsi"/>
              </w:rPr>
            </w:pPr>
            <w:r w:rsidRPr="009220DC">
              <w:rPr>
                <w:rFonts w:asciiTheme="minorHAnsi" w:hAnsiTheme="minorHAnsi"/>
              </w:rPr>
              <w:t>0.035</w:t>
            </w:r>
          </w:p>
        </w:tc>
        <w:tc>
          <w:tcPr>
            <w:tcW w:w="644" w:type="dxa"/>
          </w:tcPr>
          <w:p w14:paraId="7A2042CA" w14:textId="77777777" w:rsidR="009D4A93" w:rsidRPr="009220DC" w:rsidRDefault="009D4A93" w:rsidP="009D4A93">
            <w:pPr>
              <w:spacing w:after="0"/>
              <w:jc w:val="center"/>
              <w:rPr>
                <w:rFonts w:asciiTheme="minorHAnsi" w:hAnsiTheme="minorHAnsi"/>
              </w:rPr>
            </w:pPr>
            <w:r w:rsidRPr="009220DC">
              <w:rPr>
                <w:rFonts w:asciiTheme="minorHAnsi" w:hAnsiTheme="minorHAnsi"/>
              </w:rPr>
              <w:t>0.038</w:t>
            </w:r>
          </w:p>
        </w:tc>
        <w:tc>
          <w:tcPr>
            <w:tcW w:w="644" w:type="dxa"/>
          </w:tcPr>
          <w:p w14:paraId="42AF48F4" w14:textId="77777777" w:rsidR="009D4A93" w:rsidRPr="009220DC" w:rsidRDefault="009D4A93" w:rsidP="009D4A93">
            <w:pPr>
              <w:spacing w:after="0"/>
              <w:jc w:val="center"/>
              <w:rPr>
                <w:rFonts w:asciiTheme="minorHAnsi" w:hAnsiTheme="minorHAnsi"/>
              </w:rPr>
            </w:pPr>
          </w:p>
        </w:tc>
        <w:tc>
          <w:tcPr>
            <w:tcW w:w="715" w:type="dxa"/>
          </w:tcPr>
          <w:p w14:paraId="598E7EFF" w14:textId="77777777" w:rsidR="009D4A93" w:rsidRPr="009220DC" w:rsidRDefault="009D4A93" w:rsidP="009D4A93">
            <w:pPr>
              <w:spacing w:after="0"/>
              <w:jc w:val="center"/>
              <w:rPr>
                <w:rFonts w:asciiTheme="minorHAnsi" w:hAnsiTheme="minorHAnsi"/>
              </w:rPr>
            </w:pPr>
            <w:r w:rsidRPr="009220DC">
              <w:rPr>
                <w:rFonts w:asciiTheme="minorHAnsi" w:hAnsiTheme="minorHAnsi"/>
              </w:rPr>
              <w:t>0.074</w:t>
            </w:r>
          </w:p>
        </w:tc>
        <w:tc>
          <w:tcPr>
            <w:tcW w:w="715" w:type="dxa"/>
          </w:tcPr>
          <w:p w14:paraId="4AAAEBFB" w14:textId="77777777" w:rsidR="009D4A93" w:rsidRPr="009220DC" w:rsidRDefault="009D4A93" w:rsidP="009D4A93">
            <w:pPr>
              <w:spacing w:after="0"/>
              <w:jc w:val="center"/>
              <w:rPr>
                <w:rFonts w:asciiTheme="minorHAnsi" w:hAnsiTheme="minorHAnsi"/>
              </w:rPr>
            </w:pPr>
            <w:r w:rsidRPr="009220DC">
              <w:rPr>
                <w:rFonts w:asciiTheme="minorHAnsi" w:hAnsiTheme="minorHAnsi"/>
              </w:rPr>
              <w:t>0.072</w:t>
            </w:r>
          </w:p>
        </w:tc>
        <w:tc>
          <w:tcPr>
            <w:tcW w:w="715" w:type="dxa"/>
          </w:tcPr>
          <w:p w14:paraId="1A2BD2E1" w14:textId="77777777" w:rsidR="009D4A93" w:rsidRPr="009220DC" w:rsidRDefault="009D4A93" w:rsidP="009D4A93">
            <w:pPr>
              <w:spacing w:after="0"/>
              <w:jc w:val="center"/>
              <w:rPr>
                <w:rFonts w:asciiTheme="minorHAnsi" w:hAnsiTheme="minorHAnsi"/>
              </w:rPr>
            </w:pPr>
            <w:r w:rsidRPr="009220DC">
              <w:rPr>
                <w:rFonts w:asciiTheme="minorHAnsi" w:hAnsiTheme="minorHAnsi"/>
              </w:rPr>
              <w:t>0.073</w:t>
            </w:r>
          </w:p>
        </w:tc>
        <w:tc>
          <w:tcPr>
            <w:tcW w:w="715" w:type="dxa"/>
          </w:tcPr>
          <w:p w14:paraId="1E45BB49" w14:textId="77777777" w:rsidR="009D4A93" w:rsidRPr="009220DC" w:rsidRDefault="009D4A93" w:rsidP="009D4A93">
            <w:pPr>
              <w:spacing w:after="0"/>
              <w:jc w:val="center"/>
              <w:rPr>
                <w:rFonts w:asciiTheme="minorHAnsi" w:hAnsiTheme="minorHAnsi"/>
              </w:rPr>
            </w:pPr>
          </w:p>
        </w:tc>
        <w:tc>
          <w:tcPr>
            <w:tcW w:w="737" w:type="dxa"/>
          </w:tcPr>
          <w:p w14:paraId="742EA62D" w14:textId="77777777" w:rsidR="009D4A93" w:rsidRPr="009220DC" w:rsidRDefault="009D4A93" w:rsidP="009D4A93">
            <w:pPr>
              <w:spacing w:after="0"/>
              <w:jc w:val="center"/>
              <w:rPr>
                <w:rFonts w:asciiTheme="minorHAnsi" w:hAnsiTheme="minorHAnsi"/>
              </w:rPr>
            </w:pPr>
            <w:r w:rsidRPr="009220DC">
              <w:rPr>
                <w:rFonts w:asciiTheme="minorHAnsi" w:hAnsiTheme="minorHAnsi"/>
              </w:rPr>
              <w:t>0.248</w:t>
            </w:r>
          </w:p>
        </w:tc>
        <w:tc>
          <w:tcPr>
            <w:tcW w:w="738" w:type="dxa"/>
          </w:tcPr>
          <w:p w14:paraId="3CA9F134" w14:textId="77777777" w:rsidR="009D4A93" w:rsidRPr="009220DC" w:rsidRDefault="009D4A93" w:rsidP="009D4A93">
            <w:pPr>
              <w:spacing w:after="0"/>
              <w:jc w:val="center"/>
              <w:rPr>
                <w:rFonts w:asciiTheme="minorHAnsi" w:hAnsiTheme="minorHAnsi"/>
              </w:rPr>
            </w:pPr>
            <w:r w:rsidRPr="009220DC">
              <w:rPr>
                <w:rFonts w:asciiTheme="minorHAnsi" w:hAnsiTheme="minorHAnsi"/>
              </w:rPr>
              <w:t>0.171</w:t>
            </w:r>
          </w:p>
        </w:tc>
        <w:tc>
          <w:tcPr>
            <w:tcW w:w="737" w:type="dxa"/>
          </w:tcPr>
          <w:p w14:paraId="5E971E3F" w14:textId="77777777" w:rsidR="009D4A93" w:rsidRPr="009220DC" w:rsidRDefault="009D4A93" w:rsidP="009D4A93">
            <w:pPr>
              <w:spacing w:after="0"/>
              <w:jc w:val="center"/>
              <w:rPr>
                <w:rFonts w:asciiTheme="minorHAnsi" w:hAnsiTheme="minorHAnsi"/>
              </w:rPr>
            </w:pPr>
            <w:r w:rsidRPr="009220DC">
              <w:rPr>
                <w:rFonts w:asciiTheme="minorHAnsi" w:hAnsiTheme="minorHAnsi"/>
              </w:rPr>
              <w:t>0.177</w:t>
            </w:r>
          </w:p>
        </w:tc>
        <w:tc>
          <w:tcPr>
            <w:tcW w:w="738" w:type="dxa"/>
          </w:tcPr>
          <w:p w14:paraId="6670463A" w14:textId="77777777" w:rsidR="009D4A93" w:rsidRPr="009220DC" w:rsidRDefault="009D4A93" w:rsidP="009D4A93">
            <w:pPr>
              <w:spacing w:after="0"/>
              <w:jc w:val="center"/>
              <w:rPr>
                <w:rFonts w:asciiTheme="minorHAnsi" w:hAnsiTheme="minorHAnsi"/>
              </w:rPr>
            </w:pPr>
          </w:p>
        </w:tc>
      </w:tr>
      <w:tr w:rsidR="009D4A93" w:rsidRPr="009220DC" w14:paraId="6D7204EC" w14:textId="77777777" w:rsidTr="009D4A93">
        <w:trPr>
          <w:cantSplit/>
          <w:trHeight w:val="22"/>
        </w:trPr>
        <w:tc>
          <w:tcPr>
            <w:tcW w:w="500" w:type="dxa"/>
            <w:vMerge/>
          </w:tcPr>
          <w:p w14:paraId="359AD789" w14:textId="77777777" w:rsidR="009D4A93" w:rsidRPr="009220DC" w:rsidRDefault="009D4A93" w:rsidP="009D4A93">
            <w:pPr>
              <w:spacing w:after="0"/>
              <w:jc w:val="center"/>
            </w:pPr>
          </w:p>
        </w:tc>
        <w:tc>
          <w:tcPr>
            <w:tcW w:w="505" w:type="dxa"/>
            <w:vMerge/>
          </w:tcPr>
          <w:p w14:paraId="104B696E" w14:textId="77777777" w:rsidR="009D4A93" w:rsidRPr="009220DC" w:rsidRDefault="009D4A93" w:rsidP="009D4A93">
            <w:pPr>
              <w:spacing w:after="0"/>
              <w:jc w:val="center"/>
            </w:pPr>
          </w:p>
        </w:tc>
        <w:tc>
          <w:tcPr>
            <w:tcW w:w="505" w:type="dxa"/>
          </w:tcPr>
          <w:p w14:paraId="38185F74" w14:textId="77777777" w:rsidR="009D4A93" w:rsidRPr="009220DC" w:rsidRDefault="009D4A93" w:rsidP="009D4A93">
            <w:pPr>
              <w:spacing w:after="0"/>
              <w:jc w:val="center"/>
            </w:pPr>
            <w:r w:rsidRPr="009220DC">
              <w:t>95%</w:t>
            </w:r>
          </w:p>
        </w:tc>
        <w:tc>
          <w:tcPr>
            <w:tcW w:w="643" w:type="dxa"/>
          </w:tcPr>
          <w:p w14:paraId="1A12AB5A" w14:textId="77777777" w:rsidR="009D4A93" w:rsidRPr="009220DC" w:rsidRDefault="009D4A93" w:rsidP="009D4A93">
            <w:pPr>
              <w:spacing w:after="0"/>
              <w:jc w:val="center"/>
              <w:rPr>
                <w:rFonts w:asciiTheme="minorHAnsi" w:hAnsiTheme="minorHAnsi"/>
              </w:rPr>
            </w:pPr>
            <w:r w:rsidRPr="009220DC">
              <w:rPr>
                <w:rFonts w:asciiTheme="minorHAnsi" w:hAnsiTheme="minorHAnsi"/>
              </w:rPr>
              <w:t>0.077</w:t>
            </w:r>
          </w:p>
        </w:tc>
        <w:tc>
          <w:tcPr>
            <w:tcW w:w="644" w:type="dxa"/>
          </w:tcPr>
          <w:p w14:paraId="594456BD" w14:textId="77777777" w:rsidR="009D4A93" w:rsidRPr="009220DC" w:rsidRDefault="009D4A93" w:rsidP="009D4A93">
            <w:pPr>
              <w:spacing w:after="0"/>
              <w:jc w:val="center"/>
              <w:rPr>
                <w:rFonts w:asciiTheme="minorHAnsi" w:hAnsiTheme="minorHAnsi"/>
              </w:rPr>
            </w:pPr>
            <w:r w:rsidRPr="009220DC">
              <w:rPr>
                <w:rFonts w:asciiTheme="minorHAnsi" w:hAnsiTheme="minorHAnsi"/>
              </w:rPr>
              <w:t>0.077</w:t>
            </w:r>
          </w:p>
        </w:tc>
        <w:tc>
          <w:tcPr>
            <w:tcW w:w="644" w:type="dxa"/>
          </w:tcPr>
          <w:p w14:paraId="2DC06F99" w14:textId="77777777" w:rsidR="009D4A93" w:rsidRPr="009220DC" w:rsidRDefault="009D4A93" w:rsidP="009D4A93">
            <w:pPr>
              <w:spacing w:after="0"/>
              <w:jc w:val="center"/>
              <w:rPr>
                <w:rFonts w:asciiTheme="minorHAnsi" w:hAnsiTheme="minorHAnsi"/>
              </w:rPr>
            </w:pPr>
            <w:r w:rsidRPr="009220DC">
              <w:rPr>
                <w:rFonts w:asciiTheme="minorHAnsi" w:hAnsiTheme="minorHAnsi"/>
              </w:rPr>
              <w:t>0.086</w:t>
            </w:r>
          </w:p>
        </w:tc>
        <w:tc>
          <w:tcPr>
            <w:tcW w:w="644" w:type="dxa"/>
          </w:tcPr>
          <w:p w14:paraId="4A85F961" w14:textId="77777777" w:rsidR="009D4A93" w:rsidRPr="009220DC" w:rsidRDefault="009D4A93" w:rsidP="009D4A93">
            <w:pPr>
              <w:spacing w:after="0"/>
              <w:jc w:val="center"/>
              <w:rPr>
                <w:rFonts w:asciiTheme="minorHAnsi" w:hAnsiTheme="minorHAnsi"/>
              </w:rPr>
            </w:pPr>
          </w:p>
        </w:tc>
        <w:tc>
          <w:tcPr>
            <w:tcW w:w="715" w:type="dxa"/>
          </w:tcPr>
          <w:p w14:paraId="10BCCBF1" w14:textId="77777777" w:rsidR="009D4A93" w:rsidRPr="009220DC" w:rsidRDefault="009D4A93" w:rsidP="009D4A93">
            <w:pPr>
              <w:spacing w:after="0"/>
              <w:jc w:val="center"/>
              <w:rPr>
                <w:rFonts w:asciiTheme="minorHAnsi" w:hAnsiTheme="minorHAnsi"/>
              </w:rPr>
            </w:pPr>
            <w:r w:rsidRPr="009220DC">
              <w:rPr>
                <w:rFonts w:asciiTheme="minorHAnsi" w:hAnsiTheme="minorHAnsi"/>
              </w:rPr>
              <w:t>0.242</w:t>
            </w:r>
          </w:p>
        </w:tc>
        <w:tc>
          <w:tcPr>
            <w:tcW w:w="715" w:type="dxa"/>
          </w:tcPr>
          <w:p w14:paraId="35E89DE4" w14:textId="77777777" w:rsidR="009D4A93" w:rsidRPr="009220DC" w:rsidRDefault="009D4A93" w:rsidP="009D4A93">
            <w:pPr>
              <w:spacing w:after="0"/>
              <w:jc w:val="center"/>
              <w:rPr>
                <w:rFonts w:asciiTheme="minorHAnsi" w:hAnsiTheme="minorHAnsi"/>
              </w:rPr>
            </w:pPr>
            <w:r w:rsidRPr="009220DC">
              <w:rPr>
                <w:rFonts w:asciiTheme="minorHAnsi" w:hAnsiTheme="minorHAnsi"/>
              </w:rPr>
              <w:t>0.201</w:t>
            </w:r>
          </w:p>
        </w:tc>
        <w:tc>
          <w:tcPr>
            <w:tcW w:w="715" w:type="dxa"/>
          </w:tcPr>
          <w:p w14:paraId="37FDF64A" w14:textId="77777777" w:rsidR="009D4A93" w:rsidRPr="009220DC" w:rsidRDefault="009D4A93" w:rsidP="009D4A93">
            <w:pPr>
              <w:spacing w:after="0"/>
              <w:jc w:val="center"/>
              <w:rPr>
                <w:rFonts w:asciiTheme="minorHAnsi" w:hAnsiTheme="minorHAnsi"/>
              </w:rPr>
            </w:pPr>
            <w:r w:rsidRPr="009220DC">
              <w:rPr>
                <w:rFonts w:asciiTheme="minorHAnsi" w:hAnsiTheme="minorHAnsi"/>
              </w:rPr>
              <w:t>0.225</w:t>
            </w:r>
          </w:p>
        </w:tc>
        <w:tc>
          <w:tcPr>
            <w:tcW w:w="715" w:type="dxa"/>
          </w:tcPr>
          <w:p w14:paraId="24DE5325" w14:textId="77777777" w:rsidR="009D4A93" w:rsidRPr="009220DC" w:rsidRDefault="009D4A93" w:rsidP="009D4A93">
            <w:pPr>
              <w:spacing w:after="0"/>
              <w:jc w:val="center"/>
              <w:rPr>
                <w:rFonts w:asciiTheme="minorHAnsi" w:hAnsiTheme="minorHAnsi"/>
              </w:rPr>
            </w:pPr>
          </w:p>
        </w:tc>
        <w:tc>
          <w:tcPr>
            <w:tcW w:w="737" w:type="dxa"/>
          </w:tcPr>
          <w:p w14:paraId="00287941" w14:textId="77777777" w:rsidR="009D4A93" w:rsidRPr="009220DC" w:rsidRDefault="009D4A93" w:rsidP="009D4A93">
            <w:pPr>
              <w:spacing w:after="0"/>
              <w:jc w:val="center"/>
              <w:rPr>
                <w:rFonts w:asciiTheme="minorHAnsi" w:hAnsiTheme="minorHAnsi"/>
              </w:rPr>
            </w:pPr>
            <w:r w:rsidRPr="009220DC">
              <w:rPr>
                <w:rFonts w:asciiTheme="minorHAnsi" w:hAnsiTheme="minorHAnsi"/>
              </w:rPr>
              <w:t>0.952</w:t>
            </w:r>
          </w:p>
        </w:tc>
        <w:tc>
          <w:tcPr>
            <w:tcW w:w="738" w:type="dxa"/>
          </w:tcPr>
          <w:p w14:paraId="2BC058AE" w14:textId="77777777" w:rsidR="009D4A93" w:rsidRPr="009220DC" w:rsidRDefault="009D4A93" w:rsidP="009D4A93">
            <w:pPr>
              <w:spacing w:after="0"/>
              <w:jc w:val="center"/>
              <w:rPr>
                <w:rFonts w:asciiTheme="minorHAnsi" w:hAnsiTheme="minorHAnsi"/>
              </w:rPr>
            </w:pPr>
            <w:r w:rsidRPr="009220DC">
              <w:rPr>
                <w:rFonts w:asciiTheme="minorHAnsi" w:hAnsiTheme="minorHAnsi"/>
              </w:rPr>
              <w:t>0.673</w:t>
            </w:r>
          </w:p>
        </w:tc>
        <w:tc>
          <w:tcPr>
            <w:tcW w:w="737" w:type="dxa"/>
          </w:tcPr>
          <w:p w14:paraId="0D16C92E" w14:textId="77777777" w:rsidR="009D4A93" w:rsidRPr="009220DC" w:rsidRDefault="009D4A93" w:rsidP="009D4A93">
            <w:pPr>
              <w:spacing w:after="0"/>
              <w:jc w:val="center"/>
              <w:rPr>
                <w:rFonts w:asciiTheme="minorHAnsi" w:hAnsiTheme="minorHAnsi"/>
              </w:rPr>
            </w:pPr>
            <w:r w:rsidRPr="009220DC">
              <w:rPr>
                <w:rFonts w:asciiTheme="minorHAnsi" w:hAnsiTheme="minorHAnsi"/>
              </w:rPr>
              <w:t>0.666</w:t>
            </w:r>
          </w:p>
        </w:tc>
        <w:tc>
          <w:tcPr>
            <w:tcW w:w="738" w:type="dxa"/>
          </w:tcPr>
          <w:p w14:paraId="3E30B3E4" w14:textId="77777777" w:rsidR="009D4A93" w:rsidRPr="009220DC" w:rsidRDefault="009D4A93" w:rsidP="009D4A93">
            <w:pPr>
              <w:spacing w:after="0"/>
              <w:jc w:val="center"/>
              <w:rPr>
                <w:rFonts w:asciiTheme="minorHAnsi" w:hAnsiTheme="minorHAnsi"/>
              </w:rPr>
            </w:pPr>
          </w:p>
        </w:tc>
      </w:tr>
      <w:tr w:rsidR="009D4A93" w:rsidRPr="009220DC" w14:paraId="71E16B66" w14:textId="77777777" w:rsidTr="009D4A93">
        <w:trPr>
          <w:cantSplit/>
          <w:trHeight w:val="22"/>
        </w:trPr>
        <w:tc>
          <w:tcPr>
            <w:tcW w:w="500" w:type="dxa"/>
            <w:vMerge/>
          </w:tcPr>
          <w:p w14:paraId="4A33BC6F" w14:textId="77777777" w:rsidR="009D4A93" w:rsidRPr="009220DC" w:rsidRDefault="009D4A93" w:rsidP="009D4A93">
            <w:pPr>
              <w:spacing w:after="0"/>
              <w:jc w:val="center"/>
            </w:pPr>
          </w:p>
        </w:tc>
        <w:tc>
          <w:tcPr>
            <w:tcW w:w="505" w:type="dxa"/>
            <w:vMerge/>
          </w:tcPr>
          <w:p w14:paraId="3DD0BAFA" w14:textId="77777777" w:rsidR="009D4A93" w:rsidRPr="009220DC" w:rsidRDefault="009D4A93" w:rsidP="009D4A93">
            <w:pPr>
              <w:spacing w:after="0"/>
              <w:jc w:val="center"/>
            </w:pPr>
          </w:p>
        </w:tc>
        <w:tc>
          <w:tcPr>
            <w:tcW w:w="505" w:type="dxa"/>
          </w:tcPr>
          <w:p w14:paraId="0BA1DBB2" w14:textId="77777777" w:rsidR="009D4A93" w:rsidRPr="009220DC" w:rsidRDefault="009D4A93" w:rsidP="009D4A93">
            <w:pPr>
              <w:spacing w:after="0"/>
              <w:jc w:val="center"/>
            </w:pPr>
            <w:r w:rsidRPr="009220DC">
              <w:t>Mean</w:t>
            </w:r>
          </w:p>
        </w:tc>
        <w:tc>
          <w:tcPr>
            <w:tcW w:w="643" w:type="dxa"/>
          </w:tcPr>
          <w:p w14:paraId="5B75EB18" w14:textId="77777777" w:rsidR="009D4A93" w:rsidRPr="009220DC" w:rsidRDefault="009D4A93" w:rsidP="009D4A93">
            <w:pPr>
              <w:spacing w:after="0"/>
              <w:jc w:val="center"/>
              <w:rPr>
                <w:rFonts w:asciiTheme="minorHAnsi" w:hAnsiTheme="minorHAnsi"/>
              </w:rPr>
            </w:pPr>
            <w:r w:rsidRPr="009220DC">
              <w:rPr>
                <w:rFonts w:asciiTheme="minorHAnsi" w:hAnsiTheme="minorHAnsi"/>
              </w:rPr>
              <w:t>0.047</w:t>
            </w:r>
          </w:p>
        </w:tc>
        <w:tc>
          <w:tcPr>
            <w:tcW w:w="644" w:type="dxa"/>
          </w:tcPr>
          <w:p w14:paraId="55C8D0BC" w14:textId="77777777" w:rsidR="009D4A93" w:rsidRPr="009220DC" w:rsidRDefault="009D4A93" w:rsidP="009D4A93">
            <w:pPr>
              <w:spacing w:after="0"/>
              <w:jc w:val="center"/>
              <w:rPr>
                <w:rFonts w:asciiTheme="minorHAnsi" w:hAnsiTheme="minorHAnsi"/>
              </w:rPr>
            </w:pPr>
            <w:r w:rsidRPr="009220DC">
              <w:rPr>
                <w:rFonts w:asciiTheme="minorHAnsi" w:hAnsiTheme="minorHAnsi"/>
              </w:rPr>
              <w:t>0.045</w:t>
            </w:r>
          </w:p>
        </w:tc>
        <w:tc>
          <w:tcPr>
            <w:tcW w:w="644" w:type="dxa"/>
          </w:tcPr>
          <w:p w14:paraId="13FC8E0C" w14:textId="77777777" w:rsidR="009D4A93" w:rsidRPr="009220DC" w:rsidRDefault="009D4A93" w:rsidP="009D4A93">
            <w:pPr>
              <w:spacing w:after="0"/>
              <w:jc w:val="center"/>
              <w:rPr>
                <w:rFonts w:asciiTheme="minorHAnsi" w:hAnsiTheme="minorHAnsi"/>
              </w:rPr>
            </w:pPr>
            <w:r w:rsidRPr="009220DC">
              <w:rPr>
                <w:rFonts w:asciiTheme="minorHAnsi" w:hAnsiTheme="minorHAnsi"/>
              </w:rPr>
              <w:t>0.050</w:t>
            </w:r>
          </w:p>
        </w:tc>
        <w:tc>
          <w:tcPr>
            <w:tcW w:w="644" w:type="dxa"/>
          </w:tcPr>
          <w:p w14:paraId="5AE21C5A" w14:textId="77777777" w:rsidR="009D4A93" w:rsidRPr="009220DC" w:rsidRDefault="009D4A93" w:rsidP="009D4A93">
            <w:pPr>
              <w:spacing w:after="0"/>
              <w:jc w:val="center"/>
              <w:rPr>
                <w:rFonts w:asciiTheme="minorHAnsi" w:hAnsiTheme="minorHAnsi"/>
              </w:rPr>
            </w:pPr>
          </w:p>
        </w:tc>
        <w:tc>
          <w:tcPr>
            <w:tcW w:w="715" w:type="dxa"/>
          </w:tcPr>
          <w:p w14:paraId="2F66992A" w14:textId="77777777" w:rsidR="009D4A93" w:rsidRPr="009220DC" w:rsidRDefault="009D4A93" w:rsidP="009D4A93">
            <w:pPr>
              <w:spacing w:after="0"/>
              <w:jc w:val="center"/>
              <w:rPr>
                <w:rFonts w:asciiTheme="minorHAnsi" w:hAnsiTheme="minorHAnsi"/>
              </w:rPr>
            </w:pPr>
            <w:r w:rsidRPr="009220DC">
              <w:rPr>
                <w:rFonts w:asciiTheme="minorHAnsi" w:hAnsiTheme="minorHAnsi"/>
              </w:rPr>
              <w:t>0.118</w:t>
            </w:r>
          </w:p>
        </w:tc>
        <w:tc>
          <w:tcPr>
            <w:tcW w:w="715" w:type="dxa"/>
          </w:tcPr>
          <w:p w14:paraId="0E0EAC63" w14:textId="77777777" w:rsidR="009D4A93" w:rsidRPr="009220DC" w:rsidRDefault="009D4A93" w:rsidP="009D4A93">
            <w:pPr>
              <w:spacing w:after="0"/>
              <w:jc w:val="center"/>
              <w:rPr>
                <w:rFonts w:asciiTheme="minorHAnsi" w:hAnsiTheme="minorHAnsi"/>
              </w:rPr>
            </w:pPr>
            <w:r w:rsidRPr="009220DC">
              <w:rPr>
                <w:rFonts w:asciiTheme="minorHAnsi" w:hAnsiTheme="minorHAnsi"/>
              </w:rPr>
              <w:t>0.103</w:t>
            </w:r>
          </w:p>
        </w:tc>
        <w:tc>
          <w:tcPr>
            <w:tcW w:w="715" w:type="dxa"/>
          </w:tcPr>
          <w:p w14:paraId="63F81A6B" w14:textId="77777777" w:rsidR="009D4A93" w:rsidRPr="009220DC" w:rsidRDefault="009D4A93" w:rsidP="009D4A93">
            <w:pPr>
              <w:spacing w:after="0"/>
              <w:jc w:val="center"/>
              <w:rPr>
                <w:rFonts w:asciiTheme="minorHAnsi" w:hAnsiTheme="minorHAnsi"/>
              </w:rPr>
            </w:pPr>
            <w:r w:rsidRPr="009220DC">
              <w:rPr>
                <w:rFonts w:asciiTheme="minorHAnsi" w:hAnsiTheme="minorHAnsi"/>
              </w:rPr>
              <w:t>0.104</w:t>
            </w:r>
          </w:p>
        </w:tc>
        <w:tc>
          <w:tcPr>
            <w:tcW w:w="715" w:type="dxa"/>
          </w:tcPr>
          <w:p w14:paraId="401A6D83" w14:textId="77777777" w:rsidR="009D4A93" w:rsidRPr="009220DC" w:rsidRDefault="009D4A93" w:rsidP="009D4A93">
            <w:pPr>
              <w:spacing w:after="0"/>
              <w:jc w:val="center"/>
              <w:rPr>
                <w:rFonts w:asciiTheme="minorHAnsi" w:hAnsiTheme="minorHAnsi"/>
              </w:rPr>
            </w:pPr>
          </w:p>
        </w:tc>
        <w:tc>
          <w:tcPr>
            <w:tcW w:w="737" w:type="dxa"/>
          </w:tcPr>
          <w:p w14:paraId="50E810FB" w14:textId="77777777" w:rsidR="009D4A93" w:rsidRPr="009220DC" w:rsidRDefault="009D4A93" w:rsidP="009D4A93">
            <w:pPr>
              <w:spacing w:after="0"/>
              <w:jc w:val="center"/>
              <w:rPr>
                <w:rFonts w:asciiTheme="minorHAnsi" w:hAnsiTheme="minorHAnsi"/>
              </w:rPr>
            </w:pPr>
            <w:r w:rsidRPr="009220DC">
              <w:rPr>
                <w:rFonts w:asciiTheme="minorHAnsi" w:hAnsiTheme="minorHAnsi"/>
              </w:rPr>
              <w:t>0.405</w:t>
            </w:r>
          </w:p>
        </w:tc>
        <w:tc>
          <w:tcPr>
            <w:tcW w:w="738" w:type="dxa"/>
          </w:tcPr>
          <w:p w14:paraId="71E05794" w14:textId="77777777" w:rsidR="009D4A93" w:rsidRPr="009220DC" w:rsidRDefault="009D4A93" w:rsidP="009D4A93">
            <w:pPr>
              <w:spacing w:after="0"/>
              <w:jc w:val="center"/>
              <w:rPr>
                <w:rFonts w:asciiTheme="minorHAnsi" w:hAnsiTheme="minorHAnsi"/>
              </w:rPr>
            </w:pPr>
            <w:r w:rsidRPr="009220DC">
              <w:rPr>
                <w:rFonts w:asciiTheme="minorHAnsi" w:hAnsiTheme="minorHAnsi"/>
              </w:rPr>
              <w:t>0.297</w:t>
            </w:r>
          </w:p>
        </w:tc>
        <w:tc>
          <w:tcPr>
            <w:tcW w:w="737" w:type="dxa"/>
          </w:tcPr>
          <w:p w14:paraId="468CC645" w14:textId="77777777" w:rsidR="009D4A93" w:rsidRPr="009220DC" w:rsidRDefault="009D4A93" w:rsidP="009D4A93">
            <w:pPr>
              <w:spacing w:after="0"/>
              <w:jc w:val="center"/>
              <w:rPr>
                <w:rFonts w:asciiTheme="minorHAnsi" w:hAnsiTheme="minorHAnsi"/>
              </w:rPr>
            </w:pPr>
            <w:r w:rsidRPr="009220DC">
              <w:rPr>
                <w:rFonts w:asciiTheme="minorHAnsi" w:hAnsiTheme="minorHAnsi"/>
              </w:rPr>
              <w:t>0.291</w:t>
            </w:r>
          </w:p>
        </w:tc>
        <w:tc>
          <w:tcPr>
            <w:tcW w:w="738" w:type="dxa"/>
          </w:tcPr>
          <w:p w14:paraId="219F2880" w14:textId="77777777" w:rsidR="009D4A93" w:rsidRPr="009220DC" w:rsidRDefault="009D4A93" w:rsidP="009D4A93">
            <w:pPr>
              <w:spacing w:after="0"/>
              <w:jc w:val="center"/>
              <w:rPr>
                <w:rFonts w:asciiTheme="minorHAnsi" w:hAnsiTheme="minorHAnsi"/>
              </w:rPr>
            </w:pPr>
          </w:p>
        </w:tc>
      </w:tr>
      <w:tr w:rsidR="009D4A93" w:rsidRPr="009220DC" w14:paraId="03C3C633" w14:textId="77777777" w:rsidTr="009D4A93">
        <w:trPr>
          <w:cantSplit/>
          <w:trHeight w:val="22"/>
        </w:trPr>
        <w:tc>
          <w:tcPr>
            <w:tcW w:w="500" w:type="dxa"/>
            <w:vMerge/>
          </w:tcPr>
          <w:p w14:paraId="6FE20B08" w14:textId="77777777" w:rsidR="009D4A93" w:rsidRPr="009220DC" w:rsidRDefault="009D4A93" w:rsidP="009D4A93">
            <w:pPr>
              <w:spacing w:after="0"/>
              <w:jc w:val="center"/>
            </w:pPr>
          </w:p>
        </w:tc>
        <w:tc>
          <w:tcPr>
            <w:tcW w:w="505" w:type="dxa"/>
            <w:vMerge w:val="restart"/>
          </w:tcPr>
          <w:p w14:paraId="4DCE3029" w14:textId="77777777" w:rsidR="009D4A93" w:rsidRPr="009220DC" w:rsidRDefault="009D4A93" w:rsidP="009D4A93">
            <w:pPr>
              <w:spacing w:after="0"/>
              <w:jc w:val="center"/>
            </w:pPr>
            <w:r w:rsidRPr="009220DC">
              <w:t>UL:</w:t>
            </w:r>
          </w:p>
          <w:p w14:paraId="7A1A7147" w14:textId="77777777" w:rsidR="009D4A93" w:rsidRPr="009220DC" w:rsidRDefault="009D4A93" w:rsidP="009D4A93">
            <w:pPr>
              <w:spacing w:after="0"/>
              <w:jc w:val="center"/>
            </w:pPr>
            <w:r w:rsidRPr="009220DC">
              <w:t>UPT CDF</w:t>
            </w:r>
          </w:p>
          <w:p w14:paraId="6378AF92" w14:textId="77777777" w:rsidR="009D4A93" w:rsidRPr="009220DC" w:rsidRDefault="009D4A93" w:rsidP="009D4A93">
            <w:pPr>
              <w:spacing w:after="0"/>
              <w:jc w:val="center"/>
            </w:pPr>
            <w:r w:rsidRPr="009220DC">
              <w:t>[Mbps]</w:t>
            </w:r>
          </w:p>
        </w:tc>
        <w:tc>
          <w:tcPr>
            <w:tcW w:w="505" w:type="dxa"/>
          </w:tcPr>
          <w:p w14:paraId="27F45AC4" w14:textId="77777777" w:rsidR="009D4A93" w:rsidRPr="009220DC" w:rsidRDefault="009D4A93" w:rsidP="009D4A93">
            <w:pPr>
              <w:spacing w:after="0"/>
              <w:jc w:val="center"/>
            </w:pPr>
            <w:r w:rsidRPr="009220DC">
              <w:t>5%</w:t>
            </w:r>
          </w:p>
        </w:tc>
        <w:tc>
          <w:tcPr>
            <w:tcW w:w="643" w:type="dxa"/>
          </w:tcPr>
          <w:p w14:paraId="644AEC2A" w14:textId="77777777" w:rsidR="009D4A93" w:rsidRPr="009220DC" w:rsidRDefault="009D4A93" w:rsidP="009D4A93">
            <w:pPr>
              <w:spacing w:after="0"/>
              <w:jc w:val="center"/>
              <w:rPr>
                <w:rFonts w:asciiTheme="minorHAnsi" w:hAnsiTheme="minorHAnsi"/>
              </w:rPr>
            </w:pPr>
            <w:r w:rsidRPr="009220DC">
              <w:rPr>
                <w:rFonts w:asciiTheme="minorHAnsi" w:hAnsiTheme="minorHAnsi"/>
              </w:rPr>
              <w:t>35.40</w:t>
            </w:r>
          </w:p>
        </w:tc>
        <w:tc>
          <w:tcPr>
            <w:tcW w:w="644" w:type="dxa"/>
          </w:tcPr>
          <w:p w14:paraId="2952F4BB" w14:textId="77777777" w:rsidR="009D4A93" w:rsidRPr="009220DC" w:rsidRDefault="009D4A93" w:rsidP="009D4A93">
            <w:pPr>
              <w:spacing w:after="0"/>
              <w:jc w:val="center"/>
              <w:rPr>
                <w:rFonts w:asciiTheme="minorHAnsi" w:hAnsiTheme="minorHAnsi"/>
              </w:rPr>
            </w:pPr>
            <w:r w:rsidRPr="009220DC">
              <w:rPr>
                <w:rFonts w:asciiTheme="minorHAnsi" w:hAnsiTheme="minorHAnsi"/>
              </w:rPr>
              <w:t>42.16</w:t>
            </w:r>
          </w:p>
        </w:tc>
        <w:tc>
          <w:tcPr>
            <w:tcW w:w="644" w:type="dxa"/>
          </w:tcPr>
          <w:p w14:paraId="6E836BDE" w14:textId="77777777" w:rsidR="009D4A93" w:rsidRPr="009220DC" w:rsidRDefault="009D4A93" w:rsidP="009D4A93">
            <w:pPr>
              <w:spacing w:after="0"/>
              <w:jc w:val="center"/>
              <w:rPr>
                <w:rFonts w:asciiTheme="minorHAnsi" w:hAnsiTheme="minorHAnsi"/>
              </w:rPr>
            </w:pPr>
            <w:r w:rsidRPr="009220DC">
              <w:rPr>
                <w:rFonts w:asciiTheme="minorHAnsi" w:hAnsiTheme="minorHAnsi"/>
              </w:rPr>
              <w:t>41.93</w:t>
            </w:r>
          </w:p>
        </w:tc>
        <w:tc>
          <w:tcPr>
            <w:tcW w:w="644" w:type="dxa"/>
          </w:tcPr>
          <w:p w14:paraId="42CE1DDB" w14:textId="77777777" w:rsidR="009D4A93" w:rsidRPr="009220DC" w:rsidRDefault="009D4A93" w:rsidP="009D4A93">
            <w:pPr>
              <w:spacing w:after="0"/>
              <w:jc w:val="center"/>
              <w:rPr>
                <w:rFonts w:asciiTheme="minorHAnsi" w:hAnsiTheme="minorHAnsi"/>
              </w:rPr>
            </w:pPr>
          </w:p>
        </w:tc>
        <w:tc>
          <w:tcPr>
            <w:tcW w:w="715" w:type="dxa"/>
          </w:tcPr>
          <w:p w14:paraId="785C3E49" w14:textId="77777777" w:rsidR="009D4A93" w:rsidRPr="009220DC" w:rsidRDefault="009D4A93" w:rsidP="009D4A93">
            <w:pPr>
              <w:spacing w:after="0"/>
              <w:jc w:val="center"/>
              <w:rPr>
                <w:rFonts w:asciiTheme="minorHAnsi" w:hAnsiTheme="minorHAnsi"/>
              </w:rPr>
            </w:pPr>
            <w:r w:rsidRPr="009220DC">
              <w:rPr>
                <w:rFonts w:asciiTheme="minorHAnsi" w:hAnsiTheme="minorHAnsi"/>
              </w:rPr>
              <w:t>21.17</w:t>
            </w:r>
          </w:p>
        </w:tc>
        <w:tc>
          <w:tcPr>
            <w:tcW w:w="715" w:type="dxa"/>
          </w:tcPr>
          <w:p w14:paraId="05CE6DA9" w14:textId="77777777" w:rsidR="009D4A93" w:rsidRPr="009220DC" w:rsidRDefault="009D4A93" w:rsidP="009D4A93">
            <w:pPr>
              <w:spacing w:after="0"/>
              <w:jc w:val="center"/>
              <w:rPr>
                <w:rFonts w:asciiTheme="minorHAnsi" w:hAnsiTheme="minorHAnsi"/>
              </w:rPr>
            </w:pPr>
            <w:r w:rsidRPr="009220DC">
              <w:rPr>
                <w:rFonts w:asciiTheme="minorHAnsi" w:hAnsiTheme="minorHAnsi"/>
              </w:rPr>
              <w:t>24.96</w:t>
            </w:r>
          </w:p>
        </w:tc>
        <w:tc>
          <w:tcPr>
            <w:tcW w:w="715" w:type="dxa"/>
          </w:tcPr>
          <w:p w14:paraId="5B5198AD" w14:textId="77777777" w:rsidR="009D4A93" w:rsidRPr="009220DC" w:rsidRDefault="009D4A93" w:rsidP="009D4A93">
            <w:pPr>
              <w:spacing w:after="0"/>
              <w:jc w:val="center"/>
              <w:rPr>
                <w:rFonts w:asciiTheme="minorHAnsi" w:hAnsiTheme="minorHAnsi"/>
              </w:rPr>
            </w:pPr>
            <w:r w:rsidRPr="009220DC">
              <w:rPr>
                <w:rFonts w:asciiTheme="minorHAnsi" w:hAnsiTheme="minorHAnsi"/>
              </w:rPr>
              <w:t>24.77</w:t>
            </w:r>
          </w:p>
        </w:tc>
        <w:tc>
          <w:tcPr>
            <w:tcW w:w="715" w:type="dxa"/>
          </w:tcPr>
          <w:p w14:paraId="645B0C19" w14:textId="77777777" w:rsidR="009D4A93" w:rsidRPr="009220DC" w:rsidRDefault="009D4A93" w:rsidP="009D4A93">
            <w:pPr>
              <w:spacing w:after="0"/>
              <w:jc w:val="center"/>
              <w:rPr>
                <w:rFonts w:asciiTheme="minorHAnsi" w:hAnsiTheme="minorHAnsi"/>
              </w:rPr>
            </w:pPr>
          </w:p>
        </w:tc>
        <w:tc>
          <w:tcPr>
            <w:tcW w:w="737" w:type="dxa"/>
          </w:tcPr>
          <w:p w14:paraId="13EC0077" w14:textId="77777777" w:rsidR="009D4A93" w:rsidRPr="009220DC" w:rsidRDefault="009D4A93" w:rsidP="009D4A93">
            <w:pPr>
              <w:spacing w:after="0"/>
              <w:jc w:val="center"/>
              <w:rPr>
                <w:rFonts w:asciiTheme="minorHAnsi" w:hAnsiTheme="minorHAnsi"/>
              </w:rPr>
            </w:pPr>
            <w:r w:rsidRPr="009220DC">
              <w:rPr>
                <w:rFonts w:asciiTheme="minorHAnsi" w:hAnsiTheme="minorHAnsi"/>
              </w:rPr>
              <w:t>8.38</w:t>
            </w:r>
          </w:p>
        </w:tc>
        <w:tc>
          <w:tcPr>
            <w:tcW w:w="738" w:type="dxa"/>
          </w:tcPr>
          <w:p w14:paraId="5FDA7F7D" w14:textId="77777777" w:rsidR="009D4A93" w:rsidRPr="009220DC" w:rsidRDefault="009D4A93" w:rsidP="009D4A93">
            <w:pPr>
              <w:spacing w:after="0"/>
              <w:jc w:val="center"/>
              <w:rPr>
                <w:rFonts w:asciiTheme="minorHAnsi" w:hAnsiTheme="minorHAnsi"/>
              </w:rPr>
            </w:pPr>
            <w:r w:rsidRPr="009220DC">
              <w:rPr>
                <w:rFonts w:asciiTheme="minorHAnsi" w:hAnsiTheme="minorHAnsi"/>
              </w:rPr>
              <w:t>11.57</w:t>
            </w:r>
          </w:p>
        </w:tc>
        <w:tc>
          <w:tcPr>
            <w:tcW w:w="737" w:type="dxa"/>
          </w:tcPr>
          <w:p w14:paraId="5C59C955" w14:textId="77777777" w:rsidR="009D4A93" w:rsidRPr="009220DC" w:rsidRDefault="009D4A93" w:rsidP="009D4A93">
            <w:pPr>
              <w:spacing w:after="0"/>
              <w:jc w:val="center"/>
              <w:rPr>
                <w:rFonts w:asciiTheme="minorHAnsi" w:hAnsiTheme="minorHAnsi"/>
              </w:rPr>
            </w:pPr>
            <w:r w:rsidRPr="009220DC">
              <w:rPr>
                <w:rFonts w:asciiTheme="minorHAnsi" w:hAnsiTheme="minorHAnsi"/>
              </w:rPr>
              <w:t>10.79</w:t>
            </w:r>
          </w:p>
        </w:tc>
        <w:tc>
          <w:tcPr>
            <w:tcW w:w="738" w:type="dxa"/>
          </w:tcPr>
          <w:p w14:paraId="7B8DA36F" w14:textId="77777777" w:rsidR="009D4A93" w:rsidRPr="009220DC" w:rsidRDefault="009D4A93" w:rsidP="009D4A93">
            <w:pPr>
              <w:spacing w:after="0"/>
              <w:jc w:val="center"/>
              <w:rPr>
                <w:rFonts w:asciiTheme="minorHAnsi" w:hAnsiTheme="minorHAnsi"/>
              </w:rPr>
            </w:pPr>
          </w:p>
        </w:tc>
      </w:tr>
      <w:tr w:rsidR="009D4A93" w:rsidRPr="009220DC" w14:paraId="086F4365" w14:textId="77777777" w:rsidTr="009D4A93">
        <w:trPr>
          <w:cantSplit/>
          <w:trHeight w:val="22"/>
        </w:trPr>
        <w:tc>
          <w:tcPr>
            <w:tcW w:w="500" w:type="dxa"/>
            <w:vMerge/>
          </w:tcPr>
          <w:p w14:paraId="08974329" w14:textId="77777777" w:rsidR="009D4A93" w:rsidRPr="009220DC" w:rsidRDefault="009D4A93" w:rsidP="009D4A93">
            <w:pPr>
              <w:spacing w:after="0"/>
              <w:jc w:val="center"/>
            </w:pPr>
          </w:p>
        </w:tc>
        <w:tc>
          <w:tcPr>
            <w:tcW w:w="505" w:type="dxa"/>
            <w:vMerge/>
          </w:tcPr>
          <w:p w14:paraId="2DF82AF3" w14:textId="77777777" w:rsidR="009D4A93" w:rsidRPr="009220DC" w:rsidRDefault="009D4A93" w:rsidP="009D4A93">
            <w:pPr>
              <w:spacing w:after="0"/>
              <w:jc w:val="center"/>
            </w:pPr>
          </w:p>
        </w:tc>
        <w:tc>
          <w:tcPr>
            <w:tcW w:w="505" w:type="dxa"/>
          </w:tcPr>
          <w:p w14:paraId="249488D1" w14:textId="77777777" w:rsidR="009D4A93" w:rsidRPr="009220DC" w:rsidRDefault="009D4A93" w:rsidP="009D4A93">
            <w:pPr>
              <w:spacing w:after="0"/>
              <w:jc w:val="center"/>
            </w:pPr>
            <w:r w:rsidRPr="009220DC">
              <w:t>50%</w:t>
            </w:r>
          </w:p>
        </w:tc>
        <w:tc>
          <w:tcPr>
            <w:tcW w:w="643" w:type="dxa"/>
          </w:tcPr>
          <w:p w14:paraId="715179E9" w14:textId="77777777" w:rsidR="009D4A93" w:rsidRPr="009220DC" w:rsidRDefault="009D4A93" w:rsidP="009D4A93">
            <w:pPr>
              <w:spacing w:after="0"/>
              <w:jc w:val="center"/>
              <w:rPr>
                <w:rFonts w:asciiTheme="minorHAnsi" w:hAnsiTheme="minorHAnsi"/>
              </w:rPr>
            </w:pPr>
            <w:r w:rsidRPr="009220DC">
              <w:rPr>
                <w:rFonts w:asciiTheme="minorHAnsi" w:hAnsiTheme="minorHAnsi"/>
              </w:rPr>
              <w:t>65.65</w:t>
            </w:r>
          </w:p>
        </w:tc>
        <w:tc>
          <w:tcPr>
            <w:tcW w:w="644" w:type="dxa"/>
          </w:tcPr>
          <w:p w14:paraId="5DBEE47E" w14:textId="77777777" w:rsidR="009D4A93" w:rsidRPr="009220DC" w:rsidRDefault="009D4A93" w:rsidP="009D4A93">
            <w:pPr>
              <w:spacing w:after="0"/>
              <w:jc w:val="center"/>
              <w:rPr>
                <w:rFonts w:asciiTheme="minorHAnsi" w:hAnsiTheme="minorHAnsi"/>
              </w:rPr>
            </w:pPr>
            <w:r w:rsidRPr="009220DC">
              <w:rPr>
                <w:rFonts w:asciiTheme="minorHAnsi" w:hAnsiTheme="minorHAnsi"/>
              </w:rPr>
              <w:t>79.95</w:t>
            </w:r>
          </w:p>
        </w:tc>
        <w:tc>
          <w:tcPr>
            <w:tcW w:w="644" w:type="dxa"/>
          </w:tcPr>
          <w:p w14:paraId="7F50918F" w14:textId="77777777" w:rsidR="009D4A93" w:rsidRPr="009220DC" w:rsidRDefault="009D4A93" w:rsidP="009D4A93">
            <w:pPr>
              <w:spacing w:after="0"/>
              <w:jc w:val="center"/>
              <w:rPr>
                <w:rFonts w:asciiTheme="minorHAnsi" w:hAnsiTheme="minorHAnsi"/>
              </w:rPr>
            </w:pPr>
            <w:r w:rsidRPr="009220DC">
              <w:rPr>
                <w:rFonts w:asciiTheme="minorHAnsi" w:hAnsiTheme="minorHAnsi"/>
              </w:rPr>
              <w:t>83.71</w:t>
            </w:r>
          </w:p>
        </w:tc>
        <w:tc>
          <w:tcPr>
            <w:tcW w:w="644" w:type="dxa"/>
          </w:tcPr>
          <w:p w14:paraId="50ED0858" w14:textId="77777777" w:rsidR="009D4A93" w:rsidRPr="009220DC" w:rsidRDefault="009D4A93" w:rsidP="009D4A93">
            <w:pPr>
              <w:spacing w:after="0"/>
              <w:jc w:val="center"/>
              <w:rPr>
                <w:rFonts w:asciiTheme="minorHAnsi" w:hAnsiTheme="minorHAnsi"/>
              </w:rPr>
            </w:pPr>
          </w:p>
        </w:tc>
        <w:tc>
          <w:tcPr>
            <w:tcW w:w="715" w:type="dxa"/>
          </w:tcPr>
          <w:p w14:paraId="3065F94D" w14:textId="77777777" w:rsidR="009D4A93" w:rsidRPr="009220DC" w:rsidRDefault="009D4A93" w:rsidP="009D4A93">
            <w:pPr>
              <w:spacing w:after="0"/>
              <w:jc w:val="center"/>
              <w:rPr>
                <w:rFonts w:asciiTheme="minorHAnsi" w:hAnsiTheme="minorHAnsi"/>
              </w:rPr>
            </w:pPr>
            <w:r w:rsidRPr="009220DC">
              <w:rPr>
                <w:rFonts w:asciiTheme="minorHAnsi" w:hAnsiTheme="minorHAnsi"/>
              </w:rPr>
              <w:t>44.07</w:t>
            </w:r>
          </w:p>
        </w:tc>
        <w:tc>
          <w:tcPr>
            <w:tcW w:w="715" w:type="dxa"/>
          </w:tcPr>
          <w:p w14:paraId="5319D6F0" w14:textId="77777777" w:rsidR="009D4A93" w:rsidRPr="009220DC" w:rsidRDefault="009D4A93" w:rsidP="009D4A93">
            <w:pPr>
              <w:spacing w:after="0"/>
              <w:jc w:val="center"/>
              <w:rPr>
                <w:rFonts w:asciiTheme="minorHAnsi" w:hAnsiTheme="minorHAnsi"/>
              </w:rPr>
            </w:pPr>
            <w:r w:rsidRPr="009220DC">
              <w:rPr>
                <w:rFonts w:asciiTheme="minorHAnsi" w:hAnsiTheme="minorHAnsi"/>
              </w:rPr>
              <w:t>55.15</w:t>
            </w:r>
          </w:p>
        </w:tc>
        <w:tc>
          <w:tcPr>
            <w:tcW w:w="715" w:type="dxa"/>
          </w:tcPr>
          <w:p w14:paraId="21579878" w14:textId="77777777" w:rsidR="009D4A93" w:rsidRPr="009220DC" w:rsidRDefault="009D4A93" w:rsidP="009D4A93">
            <w:pPr>
              <w:spacing w:after="0"/>
              <w:jc w:val="center"/>
              <w:rPr>
                <w:rFonts w:asciiTheme="minorHAnsi" w:hAnsiTheme="minorHAnsi"/>
              </w:rPr>
            </w:pPr>
            <w:r w:rsidRPr="009220DC">
              <w:rPr>
                <w:rFonts w:asciiTheme="minorHAnsi" w:hAnsiTheme="minorHAnsi"/>
              </w:rPr>
              <w:t>57.67</w:t>
            </w:r>
          </w:p>
        </w:tc>
        <w:tc>
          <w:tcPr>
            <w:tcW w:w="715" w:type="dxa"/>
          </w:tcPr>
          <w:p w14:paraId="388100EC" w14:textId="77777777" w:rsidR="009D4A93" w:rsidRPr="009220DC" w:rsidRDefault="009D4A93" w:rsidP="009D4A93">
            <w:pPr>
              <w:spacing w:after="0"/>
              <w:jc w:val="center"/>
              <w:rPr>
                <w:rFonts w:asciiTheme="minorHAnsi" w:hAnsiTheme="minorHAnsi"/>
              </w:rPr>
            </w:pPr>
          </w:p>
        </w:tc>
        <w:tc>
          <w:tcPr>
            <w:tcW w:w="737" w:type="dxa"/>
          </w:tcPr>
          <w:p w14:paraId="480D2298" w14:textId="77777777" w:rsidR="009D4A93" w:rsidRPr="009220DC" w:rsidRDefault="009D4A93" w:rsidP="009D4A93">
            <w:pPr>
              <w:spacing w:after="0"/>
              <w:jc w:val="center"/>
              <w:rPr>
                <w:rFonts w:asciiTheme="minorHAnsi" w:hAnsiTheme="minorHAnsi"/>
              </w:rPr>
            </w:pPr>
            <w:r w:rsidRPr="009220DC">
              <w:rPr>
                <w:rFonts w:asciiTheme="minorHAnsi" w:hAnsiTheme="minorHAnsi"/>
              </w:rPr>
              <w:t>24.12</w:t>
            </w:r>
          </w:p>
        </w:tc>
        <w:tc>
          <w:tcPr>
            <w:tcW w:w="738" w:type="dxa"/>
          </w:tcPr>
          <w:p w14:paraId="3AF4F849" w14:textId="77777777" w:rsidR="009D4A93" w:rsidRPr="009220DC" w:rsidRDefault="009D4A93" w:rsidP="009D4A93">
            <w:pPr>
              <w:spacing w:after="0"/>
              <w:jc w:val="center"/>
              <w:rPr>
                <w:rFonts w:asciiTheme="minorHAnsi" w:hAnsiTheme="minorHAnsi"/>
              </w:rPr>
            </w:pPr>
            <w:r w:rsidRPr="009220DC">
              <w:rPr>
                <w:rFonts w:asciiTheme="minorHAnsi" w:hAnsiTheme="minorHAnsi"/>
              </w:rPr>
              <w:t>31.89</w:t>
            </w:r>
          </w:p>
        </w:tc>
        <w:tc>
          <w:tcPr>
            <w:tcW w:w="737" w:type="dxa"/>
          </w:tcPr>
          <w:p w14:paraId="62E5E4E8" w14:textId="77777777" w:rsidR="009D4A93" w:rsidRPr="009220DC" w:rsidRDefault="009D4A93" w:rsidP="009D4A93">
            <w:pPr>
              <w:spacing w:after="0"/>
              <w:jc w:val="center"/>
              <w:rPr>
                <w:rFonts w:asciiTheme="minorHAnsi" w:hAnsiTheme="minorHAnsi"/>
              </w:rPr>
            </w:pPr>
            <w:r w:rsidRPr="009220DC">
              <w:rPr>
                <w:rFonts w:asciiTheme="minorHAnsi" w:hAnsiTheme="minorHAnsi"/>
              </w:rPr>
              <w:t>31.97</w:t>
            </w:r>
          </w:p>
        </w:tc>
        <w:tc>
          <w:tcPr>
            <w:tcW w:w="738" w:type="dxa"/>
          </w:tcPr>
          <w:p w14:paraId="288B70B3" w14:textId="77777777" w:rsidR="009D4A93" w:rsidRPr="009220DC" w:rsidRDefault="009D4A93" w:rsidP="009D4A93">
            <w:pPr>
              <w:spacing w:after="0"/>
              <w:jc w:val="center"/>
              <w:rPr>
                <w:rFonts w:asciiTheme="minorHAnsi" w:hAnsiTheme="minorHAnsi"/>
              </w:rPr>
            </w:pPr>
          </w:p>
        </w:tc>
      </w:tr>
      <w:tr w:rsidR="009D4A93" w:rsidRPr="009220DC" w14:paraId="11E561A3" w14:textId="77777777" w:rsidTr="009D4A93">
        <w:trPr>
          <w:cantSplit/>
          <w:trHeight w:val="22"/>
        </w:trPr>
        <w:tc>
          <w:tcPr>
            <w:tcW w:w="500" w:type="dxa"/>
            <w:vMerge/>
          </w:tcPr>
          <w:p w14:paraId="2F792E4B" w14:textId="77777777" w:rsidR="009D4A93" w:rsidRPr="009220DC" w:rsidRDefault="009D4A93" w:rsidP="009D4A93">
            <w:pPr>
              <w:spacing w:after="0"/>
              <w:jc w:val="center"/>
            </w:pPr>
          </w:p>
        </w:tc>
        <w:tc>
          <w:tcPr>
            <w:tcW w:w="505" w:type="dxa"/>
            <w:vMerge/>
          </w:tcPr>
          <w:p w14:paraId="56F1BA5A" w14:textId="77777777" w:rsidR="009D4A93" w:rsidRPr="009220DC" w:rsidRDefault="009D4A93" w:rsidP="009D4A93">
            <w:pPr>
              <w:spacing w:after="0"/>
              <w:jc w:val="center"/>
            </w:pPr>
          </w:p>
        </w:tc>
        <w:tc>
          <w:tcPr>
            <w:tcW w:w="505" w:type="dxa"/>
          </w:tcPr>
          <w:p w14:paraId="1286F700" w14:textId="77777777" w:rsidR="009D4A93" w:rsidRPr="009220DC" w:rsidRDefault="009D4A93" w:rsidP="009D4A93">
            <w:pPr>
              <w:spacing w:after="0"/>
              <w:jc w:val="center"/>
            </w:pPr>
            <w:r w:rsidRPr="009220DC">
              <w:t>95%</w:t>
            </w:r>
          </w:p>
        </w:tc>
        <w:tc>
          <w:tcPr>
            <w:tcW w:w="643" w:type="dxa"/>
          </w:tcPr>
          <w:p w14:paraId="5EBE687B" w14:textId="77777777" w:rsidR="009D4A93" w:rsidRPr="009220DC" w:rsidRDefault="009D4A93" w:rsidP="009D4A93">
            <w:pPr>
              <w:spacing w:after="0"/>
              <w:jc w:val="center"/>
              <w:rPr>
                <w:rFonts w:asciiTheme="minorHAnsi" w:hAnsiTheme="minorHAnsi"/>
              </w:rPr>
            </w:pPr>
            <w:r w:rsidRPr="009220DC">
              <w:rPr>
                <w:rFonts w:asciiTheme="minorHAnsi" w:hAnsiTheme="minorHAnsi"/>
              </w:rPr>
              <w:t>79.60</w:t>
            </w:r>
          </w:p>
        </w:tc>
        <w:tc>
          <w:tcPr>
            <w:tcW w:w="644" w:type="dxa"/>
          </w:tcPr>
          <w:p w14:paraId="49BB1A57" w14:textId="77777777" w:rsidR="009D4A93" w:rsidRPr="009220DC" w:rsidRDefault="009D4A93" w:rsidP="009D4A93">
            <w:pPr>
              <w:spacing w:after="0"/>
              <w:jc w:val="center"/>
              <w:rPr>
                <w:rFonts w:asciiTheme="minorHAnsi" w:hAnsiTheme="minorHAnsi"/>
              </w:rPr>
            </w:pPr>
            <w:r w:rsidRPr="009220DC">
              <w:rPr>
                <w:rFonts w:asciiTheme="minorHAnsi" w:hAnsiTheme="minorHAnsi"/>
              </w:rPr>
              <w:t>99.91</w:t>
            </w:r>
          </w:p>
        </w:tc>
        <w:tc>
          <w:tcPr>
            <w:tcW w:w="644" w:type="dxa"/>
          </w:tcPr>
          <w:p w14:paraId="29EE4569" w14:textId="77777777" w:rsidR="009D4A93" w:rsidRPr="009220DC" w:rsidRDefault="009D4A93" w:rsidP="009D4A93">
            <w:pPr>
              <w:spacing w:after="0"/>
              <w:jc w:val="center"/>
              <w:rPr>
                <w:rFonts w:asciiTheme="minorHAnsi" w:hAnsiTheme="minorHAnsi"/>
              </w:rPr>
            </w:pPr>
            <w:r w:rsidRPr="009220DC">
              <w:rPr>
                <w:rFonts w:asciiTheme="minorHAnsi" w:hAnsiTheme="minorHAnsi"/>
              </w:rPr>
              <w:t>104.84</w:t>
            </w:r>
          </w:p>
        </w:tc>
        <w:tc>
          <w:tcPr>
            <w:tcW w:w="644" w:type="dxa"/>
          </w:tcPr>
          <w:p w14:paraId="34E9A3C3" w14:textId="77777777" w:rsidR="009D4A93" w:rsidRPr="009220DC" w:rsidRDefault="009D4A93" w:rsidP="009D4A93">
            <w:pPr>
              <w:spacing w:after="0"/>
              <w:jc w:val="center"/>
              <w:rPr>
                <w:rFonts w:asciiTheme="minorHAnsi" w:hAnsiTheme="minorHAnsi"/>
              </w:rPr>
            </w:pPr>
          </w:p>
        </w:tc>
        <w:tc>
          <w:tcPr>
            <w:tcW w:w="715" w:type="dxa"/>
          </w:tcPr>
          <w:p w14:paraId="023C48C9" w14:textId="77777777" w:rsidR="009D4A93" w:rsidRPr="009220DC" w:rsidRDefault="009D4A93" w:rsidP="009D4A93">
            <w:pPr>
              <w:spacing w:after="0"/>
              <w:jc w:val="center"/>
              <w:rPr>
                <w:rFonts w:asciiTheme="minorHAnsi" w:hAnsiTheme="minorHAnsi"/>
              </w:rPr>
            </w:pPr>
            <w:r w:rsidRPr="009220DC">
              <w:rPr>
                <w:rFonts w:asciiTheme="minorHAnsi" w:hAnsiTheme="minorHAnsi"/>
              </w:rPr>
              <w:t>65.65</w:t>
            </w:r>
          </w:p>
        </w:tc>
        <w:tc>
          <w:tcPr>
            <w:tcW w:w="715" w:type="dxa"/>
          </w:tcPr>
          <w:p w14:paraId="5DC0EB6F" w14:textId="77777777" w:rsidR="009D4A93" w:rsidRPr="009220DC" w:rsidRDefault="009D4A93" w:rsidP="009D4A93">
            <w:pPr>
              <w:spacing w:after="0"/>
              <w:jc w:val="center"/>
              <w:rPr>
                <w:rFonts w:asciiTheme="minorHAnsi" w:hAnsiTheme="minorHAnsi"/>
              </w:rPr>
            </w:pPr>
            <w:r w:rsidRPr="009220DC">
              <w:rPr>
                <w:rFonts w:asciiTheme="minorHAnsi" w:hAnsiTheme="minorHAnsi"/>
              </w:rPr>
              <w:t>81.00</w:t>
            </w:r>
          </w:p>
        </w:tc>
        <w:tc>
          <w:tcPr>
            <w:tcW w:w="715" w:type="dxa"/>
          </w:tcPr>
          <w:p w14:paraId="4D14E5CE" w14:textId="77777777" w:rsidR="009D4A93" w:rsidRPr="009220DC" w:rsidRDefault="009D4A93" w:rsidP="009D4A93">
            <w:pPr>
              <w:spacing w:after="0"/>
              <w:jc w:val="center"/>
              <w:rPr>
                <w:rFonts w:asciiTheme="minorHAnsi" w:hAnsiTheme="minorHAnsi"/>
              </w:rPr>
            </w:pPr>
            <w:r w:rsidRPr="009220DC">
              <w:rPr>
                <w:rFonts w:asciiTheme="minorHAnsi" w:hAnsiTheme="minorHAnsi"/>
              </w:rPr>
              <w:t>85.76</w:t>
            </w:r>
          </w:p>
        </w:tc>
        <w:tc>
          <w:tcPr>
            <w:tcW w:w="715" w:type="dxa"/>
          </w:tcPr>
          <w:p w14:paraId="35C0F092" w14:textId="77777777" w:rsidR="009D4A93" w:rsidRPr="009220DC" w:rsidRDefault="009D4A93" w:rsidP="009D4A93">
            <w:pPr>
              <w:spacing w:after="0"/>
              <w:jc w:val="center"/>
              <w:rPr>
                <w:rFonts w:asciiTheme="minorHAnsi" w:hAnsiTheme="minorHAnsi"/>
              </w:rPr>
            </w:pPr>
          </w:p>
        </w:tc>
        <w:tc>
          <w:tcPr>
            <w:tcW w:w="737" w:type="dxa"/>
          </w:tcPr>
          <w:p w14:paraId="45D9D79F" w14:textId="77777777" w:rsidR="009D4A93" w:rsidRPr="009220DC" w:rsidRDefault="009D4A93" w:rsidP="009D4A93">
            <w:pPr>
              <w:spacing w:after="0"/>
              <w:jc w:val="center"/>
              <w:rPr>
                <w:rFonts w:asciiTheme="minorHAnsi" w:hAnsiTheme="minorHAnsi"/>
              </w:rPr>
            </w:pPr>
            <w:r w:rsidRPr="009220DC">
              <w:rPr>
                <w:rFonts w:asciiTheme="minorHAnsi" w:hAnsiTheme="minorHAnsi"/>
              </w:rPr>
              <w:t>46.12</w:t>
            </w:r>
          </w:p>
        </w:tc>
        <w:tc>
          <w:tcPr>
            <w:tcW w:w="738" w:type="dxa"/>
          </w:tcPr>
          <w:p w14:paraId="5131CCA5" w14:textId="77777777" w:rsidR="009D4A93" w:rsidRPr="009220DC" w:rsidRDefault="009D4A93" w:rsidP="009D4A93">
            <w:pPr>
              <w:spacing w:after="0"/>
              <w:jc w:val="center"/>
              <w:rPr>
                <w:rFonts w:asciiTheme="minorHAnsi" w:hAnsiTheme="minorHAnsi"/>
              </w:rPr>
            </w:pPr>
            <w:r w:rsidRPr="009220DC">
              <w:rPr>
                <w:rFonts w:asciiTheme="minorHAnsi" w:hAnsiTheme="minorHAnsi"/>
              </w:rPr>
              <w:t>58.91</w:t>
            </w:r>
          </w:p>
        </w:tc>
        <w:tc>
          <w:tcPr>
            <w:tcW w:w="737" w:type="dxa"/>
          </w:tcPr>
          <w:p w14:paraId="7E84C6A1" w14:textId="77777777" w:rsidR="009D4A93" w:rsidRPr="009220DC" w:rsidRDefault="009D4A93" w:rsidP="009D4A93">
            <w:pPr>
              <w:spacing w:after="0"/>
              <w:jc w:val="center"/>
              <w:rPr>
                <w:rFonts w:asciiTheme="minorHAnsi" w:hAnsiTheme="minorHAnsi"/>
              </w:rPr>
            </w:pPr>
            <w:r w:rsidRPr="009220DC">
              <w:rPr>
                <w:rFonts w:asciiTheme="minorHAnsi" w:hAnsiTheme="minorHAnsi"/>
              </w:rPr>
              <w:t>59.88</w:t>
            </w:r>
          </w:p>
        </w:tc>
        <w:tc>
          <w:tcPr>
            <w:tcW w:w="738" w:type="dxa"/>
          </w:tcPr>
          <w:p w14:paraId="46C515E2" w14:textId="77777777" w:rsidR="009D4A93" w:rsidRPr="009220DC" w:rsidRDefault="009D4A93" w:rsidP="009D4A93">
            <w:pPr>
              <w:spacing w:after="0"/>
              <w:jc w:val="center"/>
              <w:rPr>
                <w:rFonts w:asciiTheme="minorHAnsi" w:hAnsiTheme="minorHAnsi"/>
              </w:rPr>
            </w:pPr>
          </w:p>
        </w:tc>
      </w:tr>
      <w:tr w:rsidR="009D4A93" w:rsidRPr="009220DC" w14:paraId="22EE1EB0" w14:textId="77777777" w:rsidTr="009D4A93">
        <w:trPr>
          <w:cantSplit/>
          <w:trHeight w:val="22"/>
        </w:trPr>
        <w:tc>
          <w:tcPr>
            <w:tcW w:w="500" w:type="dxa"/>
            <w:vMerge/>
          </w:tcPr>
          <w:p w14:paraId="27DF5839" w14:textId="77777777" w:rsidR="009D4A93" w:rsidRPr="009220DC" w:rsidRDefault="009D4A93" w:rsidP="009D4A93">
            <w:pPr>
              <w:spacing w:after="0"/>
              <w:jc w:val="center"/>
            </w:pPr>
          </w:p>
        </w:tc>
        <w:tc>
          <w:tcPr>
            <w:tcW w:w="505" w:type="dxa"/>
            <w:vMerge/>
          </w:tcPr>
          <w:p w14:paraId="3E484A6A" w14:textId="77777777" w:rsidR="009D4A93" w:rsidRPr="009220DC" w:rsidRDefault="009D4A93" w:rsidP="009D4A93">
            <w:pPr>
              <w:spacing w:after="0"/>
              <w:jc w:val="center"/>
            </w:pPr>
          </w:p>
        </w:tc>
        <w:tc>
          <w:tcPr>
            <w:tcW w:w="505" w:type="dxa"/>
          </w:tcPr>
          <w:p w14:paraId="765B97D3" w14:textId="77777777" w:rsidR="009D4A93" w:rsidRPr="009220DC" w:rsidRDefault="009D4A93" w:rsidP="009D4A93">
            <w:pPr>
              <w:spacing w:after="0"/>
              <w:jc w:val="center"/>
            </w:pPr>
            <w:r w:rsidRPr="009220DC">
              <w:t>Mean</w:t>
            </w:r>
          </w:p>
        </w:tc>
        <w:tc>
          <w:tcPr>
            <w:tcW w:w="643" w:type="dxa"/>
          </w:tcPr>
          <w:p w14:paraId="32DC7942" w14:textId="77777777" w:rsidR="009D4A93" w:rsidRPr="009220DC" w:rsidRDefault="009D4A93" w:rsidP="009D4A93">
            <w:pPr>
              <w:spacing w:after="0"/>
              <w:jc w:val="center"/>
              <w:rPr>
                <w:rFonts w:asciiTheme="minorHAnsi" w:hAnsiTheme="minorHAnsi"/>
              </w:rPr>
            </w:pPr>
            <w:r w:rsidRPr="009220DC">
              <w:rPr>
                <w:rFonts w:asciiTheme="minorHAnsi" w:hAnsiTheme="minorHAnsi"/>
              </w:rPr>
              <w:t>65.19</w:t>
            </w:r>
          </w:p>
        </w:tc>
        <w:tc>
          <w:tcPr>
            <w:tcW w:w="644" w:type="dxa"/>
          </w:tcPr>
          <w:p w14:paraId="4F249957" w14:textId="77777777" w:rsidR="009D4A93" w:rsidRPr="009220DC" w:rsidRDefault="009D4A93" w:rsidP="009D4A93">
            <w:pPr>
              <w:spacing w:after="0"/>
              <w:jc w:val="center"/>
              <w:rPr>
                <w:rFonts w:asciiTheme="minorHAnsi" w:hAnsiTheme="minorHAnsi"/>
              </w:rPr>
            </w:pPr>
            <w:r w:rsidRPr="009220DC">
              <w:rPr>
                <w:rFonts w:asciiTheme="minorHAnsi" w:hAnsiTheme="minorHAnsi"/>
              </w:rPr>
              <w:t>80.08</w:t>
            </w:r>
          </w:p>
        </w:tc>
        <w:tc>
          <w:tcPr>
            <w:tcW w:w="644" w:type="dxa"/>
          </w:tcPr>
          <w:p w14:paraId="4A1B7991" w14:textId="77777777" w:rsidR="009D4A93" w:rsidRPr="009220DC" w:rsidRDefault="009D4A93" w:rsidP="009D4A93">
            <w:pPr>
              <w:spacing w:after="0"/>
              <w:jc w:val="center"/>
              <w:rPr>
                <w:rFonts w:asciiTheme="minorHAnsi" w:hAnsiTheme="minorHAnsi"/>
              </w:rPr>
            </w:pPr>
            <w:r w:rsidRPr="009220DC">
              <w:rPr>
                <w:rFonts w:asciiTheme="minorHAnsi" w:hAnsiTheme="minorHAnsi"/>
              </w:rPr>
              <w:t>83.38</w:t>
            </w:r>
          </w:p>
        </w:tc>
        <w:tc>
          <w:tcPr>
            <w:tcW w:w="644" w:type="dxa"/>
          </w:tcPr>
          <w:p w14:paraId="1B139D26" w14:textId="77777777" w:rsidR="009D4A93" w:rsidRPr="009220DC" w:rsidRDefault="009D4A93" w:rsidP="009D4A93">
            <w:pPr>
              <w:spacing w:after="0"/>
              <w:jc w:val="center"/>
              <w:rPr>
                <w:rFonts w:asciiTheme="minorHAnsi" w:hAnsiTheme="minorHAnsi"/>
              </w:rPr>
            </w:pPr>
          </w:p>
        </w:tc>
        <w:tc>
          <w:tcPr>
            <w:tcW w:w="715" w:type="dxa"/>
          </w:tcPr>
          <w:p w14:paraId="5A807CBE" w14:textId="77777777" w:rsidR="009D4A93" w:rsidRPr="009220DC" w:rsidRDefault="009D4A93" w:rsidP="009D4A93">
            <w:pPr>
              <w:spacing w:after="0"/>
              <w:jc w:val="center"/>
              <w:rPr>
                <w:rFonts w:asciiTheme="minorHAnsi" w:hAnsiTheme="minorHAnsi"/>
              </w:rPr>
            </w:pPr>
            <w:r w:rsidRPr="009220DC">
              <w:rPr>
                <w:rFonts w:asciiTheme="minorHAnsi" w:hAnsiTheme="minorHAnsi"/>
              </w:rPr>
              <w:t>46.55</w:t>
            </w:r>
          </w:p>
        </w:tc>
        <w:tc>
          <w:tcPr>
            <w:tcW w:w="715" w:type="dxa"/>
          </w:tcPr>
          <w:p w14:paraId="0E3E58DF" w14:textId="77777777" w:rsidR="009D4A93" w:rsidRPr="009220DC" w:rsidRDefault="009D4A93" w:rsidP="009D4A93">
            <w:pPr>
              <w:spacing w:after="0"/>
              <w:jc w:val="center"/>
              <w:rPr>
                <w:rFonts w:asciiTheme="minorHAnsi" w:hAnsiTheme="minorHAnsi"/>
              </w:rPr>
            </w:pPr>
            <w:r w:rsidRPr="009220DC">
              <w:rPr>
                <w:rFonts w:asciiTheme="minorHAnsi" w:hAnsiTheme="minorHAnsi"/>
              </w:rPr>
              <w:t>57.61</w:t>
            </w:r>
          </w:p>
        </w:tc>
        <w:tc>
          <w:tcPr>
            <w:tcW w:w="715" w:type="dxa"/>
          </w:tcPr>
          <w:p w14:paraId="08E4204F" w14:textId="77777777" w:rsidR="009D4A93" w:rsidRPr="009220DC" w:rsidRDefault="009D4A93" w:rsidP="009D4A93">
            <w:pPr>
              <w:spacing w:after="0"/>
              <w:jc w:val="center"/>
              <w:rPr>
                <w:rFonts w:asciiTheme="minorHAnsi" w:hAnsiTheme="minorHAnsi"/>
              </w:rPr>
            </w:pPr>
            <w:r w:rsidRPr="009220DC">
              <w:rPr>
                <w:rFonts w:asciiTheme="minorHAnsi" w:hAnsiTheme="minorHAnsi"/>
              </w:rPr>
              <w:t>60.54</w:t>
            </w:r>
          </w:p>
        </w:tc>
        <w:tc>
          <w:tcPr>
            <w:tcW w:w="715" w:type="dxa"/>
          </w:tcPr>
          <w:p w14:paraId="32B81A24" w14:textId="77777777" w:rsidR="009D4A93" w:rsidRPr="009220DC" w:rsidRDefault="009D4A93" w:rsidP="009D4A93">
            <w:pPr>
              <w:spacing w:after="0"/>
              <w:jc w:val="center"/>
              <w:rPr>
                <w:rFonts w:asciiTheme="minorHAnsi" w:hAnsiTheme="minorHAnsi"/>
              </w:rPr>
            </w:pPr>
          </w:p>
        </w:tc>
        <w:tc>
          <w:tcPr>
            <w:tcW w:w="737" w:type="dxa"/>
          </w:tcPr>
          <w:p w14:paraId="5BCFADB2" w14:textId="77777777" w:rsidR="009D4A93" w:rsidRPr="009220DC" w:rsidRDefault="009D4A93" w:rsidP="009D4A93">
            <w:pPr>
              <w:spacing w:after="0"/>
              <w:jc w:val="center"/>
              <w:rPr>
                <w:rFonts w:asciiTheme="minorHAnsi" w:hAnsiTheme="minorHAnsi"/>
              </w:rPr>
            </w:pPr>
            <w:r w:rsidRPr="009220DC">
              <w:rPr>
                <w:rFonts w:asciiTheme="minorHAnsi" w:hAnsiTheme="minorHAnsi"/>
              </w:rPr>
              <w:t>28.02</w:t>
            </w:r>
          </w:p>
        </w:tc>
        <w:tc>
          <w:tcPr>
            <w:tcW w:w="738" w:type="dxa"/>
          </w:tcPr>
          <w:p w14:paraId="49475E9B" w14:textId="77777777" w:rsidR="009D4A93" w:rsidRPr="009220DC" w:rsidRDefault="009D4A93" w:rsidP="009D4A93">
            <w:pPr>
              <w:spacing w:after="0"/>
              <w:jc w:val="center"/>
              <w:rPr>
                <w:rFonts w:asciiTheme="minorHAnsi" w:hAnsiTheme="minorHAnsi"/>
              </w:rPr>
            </w:pPr>
            <w:r w:rsidRPr="009220DC">
              <w:rPr>
                <w:rFonts w:asciiTheme="minorHAnsi" w:hAnsiTheme="minorHAnsi"/>
              </w:rPr>
              <w:t>36.02</w:t>
            </w:r>
          </w:p>
        </w:tc>
        <w:tc>
          <w:tcPr>
            <w:tcW w:w="737" w:type="dxa"/>
          </w:tcPr>
          <w:p w14:paraId="52052B16" w14:textId="77777777" w:rsidR="009D4A93" w:rsidRPr="009220DC" w:rsidRDefault="009D4A93" w:rsidP="009D4A93">
            <w:pPr>
              <w:spacing w:after="0"/>
              <w:jc w:val="center"/>
              <w:rPr>
                <w:rFonts w:asciiTheme="minorHAnsi" w:hAnsiTheme="minorHAnsi"/>
              </w:rPr>
            </w:pPr>
            <w:r w:rsidRPr="009220DC">
              <w:rPr>
                <w:rFonts w:asciiTheme="minorHAnsi" w:hAnsiTheme="minorHAnsi"/>
              </w:rPr>
              <w:t>36.42</w:t>
            </w:r>
          </w:p>
        </w:tc>
        <w:tc>
          <w:tcPr>
            <w:tcW w:w="738" w:type="dxa"/>
          </w:tcPr>
          <w:p w14:paraId="2B52CF79" w14:textId="77777777" w:rsidR="009D4A93" w:rsidRPr="009220DC" w:rsidRDefault="009D4A93" w:rsidP="009D4A93">
            <w:pPr>
              <w:spacing w:after="0"/>
              <w:jc w:val="center"/>
              <w:rPr>
                <w:rFonts w:asciiTheme="minorHAnsi" w:hAnsiTheme="minorHAnsi"/>
              </w:rPr>
            </w:pPr>
          </w:p>
        </w:tc>
      </w:tr>
      <w:tr w:rsidR="009D4A93" w:rsidRPr="009220DC" w14:paraId="7BE973B5" w14:textId="77777777" w:rsidTr="009D4A93">
        <w:trPr>
          <w:cantSplit/>
          <w:trHeight w:val="22"/>
        </w:trPr>
        <w:tc>
          <w:tcPr>
            <w:tcW w:w="500" w:type="dxa"/>
            <w:vMerge/>
          </w:tcPr>
          <w:p w14:paraId="241C1597" w14:textId="77777777" w:rsidR="009D4A93" w:rsidRPr="009220DC" w:rsidRDefault="009D4A93" w:rsidP="009D4A93">
            <w:pPr>
              <w:spacing w:after="0"/>
              <w:jc w:val="center"/>
            </w:pPr>
          </w:p>
        </w:tc>
        <w:tc>
          <w:tcPr>
            <w:tcW w:w="505" w:type="dxa"/>
            <w:vMerge w:val="restart"/>
          </w:tcPr>
          <w:p w14:paraId="6474F88D" w14:textId="77777777" w:rsidR="009D4A93" w:rsidRPr="009220DC" w:rsidRDefault="009D4A93" w:rsidP="009D4A93">
            <w:pPr>
              <w:spacing w:after="0"/>
              <w:jc w:val="center"/>
            </w:pPr>
            <w:r w:rsidRPr="009220DC">
              <w:t>UL:</w:t>
            </w:r>
          </w:p>
          <w:p w14:paraId="767029FD" w14:textId="77777777" w:rsidR="009D4A93" w:rsidRPr="009220DC" w:rsidRDefault="009D4A93" w:rsidP="009D4A93">
            <w:pPr>
              <w:spacing w:after="0"/>
              <w:jc w:val="center"/>
            </w:pPr>
            <w:r w:rsidRPr="009220DC">
              <w:t>Delay CDF</w:t>
            </w:r>
          </w:p>
          <w:p w14:paraId="4807B6E9" w14:textId="77777777" w:rsidR="009D4A93" w:rsidRPr="009220DC" w:rsidRDefault="009D4A93" w:rsidP="009D4A93">
            <w:pPr>
              <w:spacing w:after="0"/>
              <w:jc w:val="center"/>
            </w:pPr>
            <w:r w:rsidRPr="009220DC">
              <w:t>[s]</w:t>
            </w:r>
          </w:p>
        </w:tc>
        <w:tc>
          <w:tcPr>
            <w:tcW w:w="505" w:type="dxa"/>
          </w:tcPr>
          <w:p w14:paraId="6B00E6FA" w14:textId="77777777" w:rsidR="009D4A93" w:rsidRPr="009220DC" w:rsidRDefault="009D4A93" w:rsidP="009D4A93">
            <w:pPr>
              <w:spacing w:after="0"/>
              <w:jc w:val="center"/>
            </w:pPr>
            <w:r w:rsidRPr="009220DC">
              <w:t>5%</w:t>
            </w:r>
          </w:p>
        </w:tc>
        <w:tc>
          <w:tcPr>
            <w:tcW w:w="643" w:type="dxa"/>
          </w:tcPr>
          <w:p w14:paraId="1CA9F8F6" w14:textId="77777777" w:rsidR="009D4A93" w:rsidRPr="009220DC" w:rsidRDefault="009D4A93" w:rsidP="009D4A93">
            <w:pPr>
              <w:spacing w:after="0"/>
              <w:jc w:val="center"/>
              <w:rPr>
                <w:rFonts w:asciiTheme="minorHAnsi" w:hAnsiTheme="minorHAnsi"/>
              </w:rPr>
            </w:pPr>
            <w:r w:rsidRPr="009220DC">
              <w:rPr>
                <w:rFonts w:asciiTheme="minorHAnsi" w:hAnsiTheme="minorHAnsi"/>
              </w:rPr>
              <w:t>0.044</w:t>
            </w:r>
          </w:p>
        </w:tc>
        <w:tc>
          <w:tcPr>
            <w:tcW w:w="644" w:type="dxa"/>
          </w:tcPr>
          <w:p w14:paraId="3FC0BDD3" w14:textId="77777777" w:rsidR="009D4A93" w:rsidRPr="009220DC" w:rsidRDefault="009D4A93" w:rsidP="009D4A93">
            <w:pPr>
              <w:spacing w:after="0"/>
              <w:jc w:val="center"/>
              <w:rPr>
                <w:rFonts w:asciiTheme="minorHAnsi" w:hAnsiTheme="minorHAnsi"/>
              </w:rPr>
            </w:pPr>
            <w:r w:rsidRPr="009220DC">
              <w:rPr>
                <w:rFonts w:asciiTheme="minorHAnsi" w:hAnsiTheme="minorHAnsi"/>
              </w:rPr>
              <w:t>0.036</w:t>
            </w:r>
          </w:p>
        </w:tc>
        <w:tc>
          <w:tcPr>
            <w:tcW w:w="644" w:type="dxa"/>
          </w:tcPr>
          <w:p w14:paraId="603F13ED" w14:textId="77777777" w:rsidR="009D4A93" w:rsidRPr="009220DC" w:rsidRDefault="009D4A93" w:rsidP="009D4A93">
            <w:pPr>
              <w:spacing w:after="0"/>
              <w:jc w:val="center"/>
              <w:rPr>
                <w:rFonts w:asciiTheme="minorHAnsi" w:hAnsiTheme="minorHAnsi"/>
              </w:rPr>
            </w:pPr>
            <w:r w:rsidRPr="009220DC">
              <w:rPr>
                <w:rFonts w:asciiTheme="minorHAnsi" w:hAnsiTheme="minorHAnsi"/>
              </w:rPr>
              <w:t>0.034</w:t>
            </w:r>
          </w:p>
        </w:tc>
        <w:tc>
          <w:tcPr>
            <w:tcW w:w="644" w:type="dxa"/>
          </w:tcPr>
          <w:p w14:paraId="6EEC67DA" w14:textId="77777777" w:rsidR="009D4A93" w:rsidRPr="009220DC" w:rsidRDefault="009D4A93" w:rsidP="009D4A93">
            <w:pPr>
              <w:spacing w:after="0"/>
              <w:jc w:val="center"/>
              <w:rPr>
                <w:rFonts w:asciiTheme="minorHAnsi" w:hAnsiTheme="minorHAnsi"/>
              </w:rPr>
            </w:pPr>
          </w:p>
        </w:tc>
        <w:tc>
          <w:tcPr>
            <w:tcW w:w="715" w:type="dxa"/>
          </w:tcPr>
          <w:p w14:paraId="7E590097" w14:textId="77777777" w:rsidR="009D4A93" w:rsidRPr="009220DC" w:rsidRDefault="009D4A93" w:rsidP="009D4A93">
            <w:pPr>
              <w:spacing w:after="0"/>
              <w:jc w:val="center"/>
              <w:rPr>
                <w:rFonts w:asciiTheme="minorHAnsi" w:hAnsiTheme="minorHAnsi"/>
              </w:rPr>
            </w:pPr>
            <w:r w:rsidRPr="009220DC">
              <w:rPr>
                <w:rFonts w:asciiTheme="minorHAnsi" w:hAnsiTheme="minorHAnsi"/>
              </w:rPr>
              <w:t>0.059</w:t>
            </w:r>
          </w:p>
        </w:tc>
        <w:tc>
          <w:tcPr>
            <w:tcW w:w="715" w:type="dxa"/>
          </w:tcPr>
          <w:p w14:paraId="37789E5C" w14:textId="77777777" w:rsidR="009D4A93" w:rsidRPr="009220DC" w:rsidRDefault="009D4A93" w:rsidP="009D4A93">
            <w:pPr>
              <w:spacing w:after="0"/>
              <w:jc w:val="center"/>
              <w:rPr>
                <w:rFonts w:asciiTheme="minorHAnsi" w:hAnsiTheme="minorHAnsi"/>
              </w:rPr>
            </w:pPr>
            <w:r w:rsidRPr="009220DC">
              <w:rPr>
                <w:rFonts w:asciiTheme="minorHAnsi" w:hAnsiTheme="minorHAnsi"/>
              </w:rPr>
              <w:t>0.049</w:t>
            </w:r>
          </w:p>
        </w:tc>
        <w:tc>
          <w:tcPr>
            <w:tcW w:w="715" w:type="dxa"/>
          </w:tcPr>
          <w:p w14:paraId="296012DA" w14:textId="77777777" w:rsidR="009D4A93" w:rsidRPr="009220DC" w:rsidRDefault="009D4A93" w:rsidP="009D4A93">
            <w:pPr>
              <w:spacing w:after="0"/>
              <w:jc w:val="center"/>
              <w:rPr>
                <w:rFonts w:asciiTheme="minorHAnsi" w:hAnsiTheme="minorHAnsi"/>
              </w:rPr>
            </w:pPr>
            <w:r w:rsidRPr="009220DC">
              <w:rPr>
                <w:rFonts w:asciiTheme="minorHAnsi" w:hAnsiTheme="minorHAnsi"/>
              </w:rPr>
              <w:t>0.045</w:t>
            </w:r>
          </w:p>
        </w:tc>
        <w:tc>
          <w:tcPr>
            <w:tcW w:w="715" w:type="dxa"/>
          </w:tcPr>
          <w:p w14:paraId="65C01075" w14:textId="77777777" w:rsidR="009D4A93" w:rsidRPr="009220DC" w:rsidRDefault="009D4A93" w:rsidP="009D4A93">
            <w:pPr>
              <w:spacing w:after="0"/>
              <w:jc w:val="center"/>
              <w:rPr>
                <w:rFonts w:asciiTheme="minorHAnsi" w:hAnsiTheme="minorHAnsi"/>
              </w:rPr>
            </w:pPr>
          </w:p>
        </w:tc>
        <w:tc>
          <w:tcPr>
            <w:tcW w:w="737" w:type="dxa"/>
          </w:tcPr>
          <w:p w14:paraId="14443B7D" w14:textId="77777777" w:rsidR="009D4A93" w:rsidRPr="009220DC" w:rsidRDefault="009D4A93" w:rsidP="009D4A93">
            <w:pPr>
              <w:spacing w:after="0"/>
              <w:jc w:val="center"/>
              <w:rPr>
                <w:rFonts w:asciiTheme="minorHAnsi" w:hAnsiTheme="minorHAnsi"/>
              </w:rPr>
            </w:pPr>
            <w:r w:rsidRPr="009220DC">
              <w:rPr>
                <w:rFonts w:asciiTheme="minorHAnsi" w:hAnsiTheme="minorHAnsi"/>
              </w:rPr>
              <w:t>0.097</w:t>
            </w:r>
          </w:p>
        </w:tc>
        <w:tc>
          <w:tcPr>
            <w:tcW w:w="738" w:type="dxa"/>
          </w:tcPr>
          <w:p w14:paraId="18AADBDE" w14:textId="77777777" w:rsidR="009D4A93" w:rsidRPr="009220DC" w:rsidRDefault="009D4A93" w:rsidP="009D4A93">
            <w:pPr>
              <w:spacing w:after="0"/>
              <w:jc w:val="center"/>
              <w:rPr>
                <w:rFonts w:asciiTheme="minorHAnsi" w:hAnsiTheme="minorHAnsi"/>
              </w:rPr>
            </w:pPr>
            <w:r w:rsidRPr="009220DC">
              <w:rPr>
                <w:rFonts w:asciiTheme="minorHAnsi" w:hAnsiTheme="minorHAnsi"/>
              </w:rPr>
              <w:t>0.099</w:t>
            </w:r>
          </w:p>
        </w:tc>
        <w:tc>
          <w:tcPr>
            <w:tcW w:w="737" w:type="dxa"/>
          </w:tcPr>
          <w:p w14:paraId="6DC182A0" w14:textId="77777777" w:rsidR="009D4A93" w:rsidRPr="009220DC" w:rsidRDefault="009D4A93" w:rsidP="009D4A93">
            <w:pPr>
              <w:spacing w:after="0"/>
              <w:jc w:val="center"/>
              <w:rPr>
                <w:rFonts w:asciiTheme="minorHAnsi" w:hAnsiTheme="minorHAnsi"/>
              </w:rPr>
            </w:pPr>
            <w:r w:rsidRPr="009220DC">
              <w:rPr>
                <w:rFonts w:asciiTheme="minorHAnsi" w:hAnsiTheme="minorHAnsi"/>
              </w:rPr>
              <w:t>0.095</w:t>
            </w:r>
          </w:p>
        </w:tc>
        <w:tc>
          <w:tcPr>
            <w:tcW w:w="738" w:type="dxa"/>
          </w:tcPr>
          <w:p w14:paraId="33BD300F" w14:textId="77777777" w:rsidR="009D4A93" w:rsidRPr="009220DC" w:rsidRDefault="009D4A93" w:rsidP="009D4A93">
            <w:pPr>
              <w:spacing w:after="0"/>
              <w:jc w:val="center"/>
              <w:rPr>
                <w:rFonts w:asciiTheme="minorHAnsi" w:hAnsiTheme="minorHAnsi"/>
              </w:rPr>
            </w:pPr>
          </w:p>
        </w:tc>
      </w:tr>
      <w:tr w:rsidR="009D4A93" w:rsidRPr="009220DC" w14:paraId="56E577AC" w14:textId="77777777" w:rsidTr="009D4A93">
        <w:trPr>
          <w:cantSplit/>
          <w:trHeight w:val="22"/>
        </w:trPr>
        <w:tc>
          <w:tcPr>
            <w:tcW w:w="500" w:type="dxa"/>
            <w:vMerge/>
          </w:tcPr>
          <w:p w14:paraId="4608D2CD" w14:textId="77777777" w:rsidR="009D4A93" w:rsidRPr="009220DC" w:rsidRDefault="009D4A93" w:rsidP="009D4A93">
            <w:pPr>
              <w:spacing w:after="0"/>
              <w:jc w:val="center"/>
            </w:pPr>
          </w:p>
        </w:tc>
        <w:tc>
          <w:tcPr>
            <w:tcW w:w="505" w:type="dxa"/>
            <w:vMerge/>
          </w:tcPr>
          <w:p w14:paraId="5B8BD99D" w14:textId="77777777" w:rsidR="009D4A93" w:rsidRPr="009220DC" w:rsidRDefault="009D4A93" w:rsidP="009D4A93">
            <w:pPr>
              <w:spacing w:after="0"/>
              <w:jc w:val="center"/>
            </w:pPr>
          </w:p>
        </w:tc>
        <w:tc>
          <w:tcPr>
            <w:tcW w:w="505" w:type="dxa"/>
          </w:tcPr>
          <w:p w14:paraId="1F283F64" w14:textId="77777777" w:rsidR="009D4A93" w:rsidRPr="009220DC" w:rsidRDefault="009D4A93" w:rsidP="009D4A93">
            <w:pPr>
              <w:spacing w:after="0"/>
              <w:jc w:val="center"/>
            </w:pPr>
            <w:r w:rsidRPr="009220DC">
              <w:t>50%</w:t>
            </w:r>
          </w:p>
        </w:tc>
        <w:tc>
          <w:tcPr>
            <w:tcW w:w="643" w:type="dxa"/>
          </w:tcPr>
          <w:p w14:paraId="6614B39F" w14:textId="77777777" w:rsidR="009D4A93" w:rsidRPr="009220DC" w:rsidRDefault="009D4A93" w:rsidP="009D4A93">
            <w:pPr>
              <w:spacing w:after="0"/>
              <w:jc w:val="center"/>
              <w:rPr>
                <w:rFonts w:asciiTheme="minorHAnsi" w:hAnsiTheme="minorHAnsi"/>
              </w:rPr>
            </w:pPr>
            <w:r w:rsidRPr="009220DC">
              <w:rPr>
                <w:rFonts w:asciiTheme="minorHAnsi" w:hAnsiTheme="minorHAnsi"/>
              </w:rPr>
              <w:t>0.057</w:t>
            </w:r>
          </w:p>
        </w:tc>
        <w:tc>
          <w:tcPr>
            <w:tcW w:w="644" w:type="dxa"/>
          </w:tcPr>
          <w:p w14:paraId="433BC1DD" w14:textId="77777777" w:rsidR="009D4A93" w:rsidRPr="009220DC" w:rsidRDefault="009D4A93" w:rsidP="009D4A93">
            <w:pPr>
              <w:spacing w:after="0"/>
              <w:jc w:val="center"/>
              <w:rPr>
                <w:rFonts w:asciiTheme="minorHAnsi" w:hAnsiTheme="minorHAnsi"/>
              </w:rPr>
            </w:pPr>
            <w:r w:rsidRPr="009220DC">
              <w:rPr>
                <w:rFonts w:asciiTheme="minorHAnsi" w:hAnsiTheme="minorHAnsi"/>
              </w:rPr>
              <w:t>0.046</w:t>
            </w:r>
          </w:p>
        </w:tc>
        <w:tc>
          <w:tcPr>
            <w:tcW w:w="644" w:type="dxa"/>
          </w:tcPr>
          <w:p w14:paraId="668912B9" w14:textId="77777777" w:rsidR="009D4A93" w:rsidRPr="009220DC" w:rsidRDefault="009D4A93" w:rsidP="009D4A93">
            <w:pPr>
              <w:spacing w:after="0"/>
              <w:jc w:val="center"/>
              <w:rPr>
                <w:rFonts w:asciiTheme="minorHAnsi" w:hAnsiTheme="minorHAnsi"/>
              </w:rPr>
            </w:pPr>
            <w:r w:rsidRPr="009220DC">
              <w:rPr>
                <w:rFonts w:asciiTheme="minorHAnsi" w:hAnsiTheme="minorHAnsi"/>
              </w:rPr>
              <w:t>0.046</w:t>
            </w:r>
          </w:p>
        </w:tc>
        <w:tc>
          <w:tcPr>
            <w:tcW w:w="644" w:type="dxa"/>
          </w:tcPr>
          <w:p w14:paraId="33A04270" w14:textId="77777777" w:rsidR="009D4A93" w:rsidRPr="009220DC" w:rsidRDefault="009D4A93" w:rsidP="009D4A93">
            <w:pPr>
              <w:spacing w:after="0"/>
              <w:jc w:val="center"/>
              <w:rPr>
                <w:rFonts w:asciiTheme="minorHAnsi" w:hAnsiTheme="minorHAnsi"/>
              </w:rPr>
            </w:pPr>
          </w:p>
        </w:tc>
        <w:tc>
          <w:tcPr>
            <w:tcW w:w="715" w:type="dxa"/>
          </w:tcPr>
          <w:p w14:paraId="26218680" w14:textId="77777777" w:rsidR="009D4A93" w:rsidRPr="009220DC" w:rsidRDefault="009D4A93" w:rsidP="009D4A93">
            <w:pPr>
              <w:spacing w:after="0"/>
              <w:jc w:val="center"/>
              <w:rPr>
                <w:rFonts w:asciiTheme="minorHAnsi" w:hAnsiTheme="minorHAnsi"/>
              </w:rPr>
            </w:pPr>
            <w:r w:rsidRPr="009220DC">
              <w:rPr>
                <w:rFonts w:asciiTheme="minorHAnsi" w:hAnsiTheme="minorHAnsi"/>
              </w:rPr>
              <w:t>0.146</w:t>
            </w:r>
          </w:p>
        </w:tc>
        <w:tc>
          <w:tcPr>
            <w:tcW w:w="715" w:type="dxa"/>
          </w:tcPr>
          <w:p w14:paraId="6F319EBC" w14:textId="77777777" w:rsidR="009D4A93" w:rsidRPr="009220DC" w:rsidRDefault="009D4A93" w:rsidP="009D4A93">
            <w:pPr>
              <w:spacing w:after="0"/>
              <w:jc w:val="center"/>
              <w:rPr>
                <w:rFonts w:asciiTheme="minorHAnsi" w:hAnsiTheme="minorHAnsi"/>
              </w:rPr>
            </w:pPr>
            <w:r w:rsidRPr="009220DC">
              <w:rPr>
                <w:rFonts w:asciiTheme="minorHAnsi" w:hAnsiTheme="minorHAnsi"/>
              </w:rPr>
              <w:t>0.105</w:t>
            </w:r>
          </w:p>
        </w:tc>
        <w:tc>
          <w:tcPr>
            <w:tcW w:w="715" w:type="dxa"/>
          </w:tcPr>
          <w:p w14:paraId="5DA38203" w14:textId="77777777" w:rsidR="009D4A93" w:rsidRPr="009220DC" w:rsidRDefault="009D4A93" w:rsidP="009D4A93">
            <w:pPr>
              <w:spacing w:after="0"/>
              <w:jc w:val="center"/>
              <w:rPr>
                <w:rFonts w:asciiTheme="minorHAnsi" w:hAnsiTheme="minorHAnsi"/>
              </w:rPr>
            </w:pPr>
            <w:r w:rsidRPr="009220DC">
              <w:rPr>
                <w:rFonts w:asciiTheme="minorHAnsi" w:hAnsiTheme="minorHAnsi"/>
              </w:rPr>
              <w:t>0.109</w:t>
            </w:r>
          </w:p>
        </w:tc>
        <w:tc>
          <w:tcPr>
            <w:tcW w:w="715" w:type="dxa"/>
          </w:tcPr>
          <w:p w14:paraId="64BFA6B2" w14:textId="77777777" w:rsidR="009D4A93" w:rsidRPr="009220DC" w:rsidRDefault="009D4A93" w:rsidP="009D4A93">
            <w:pPr>
              <w:spacing w:after="0"/>
              <w:jc w:val="center"/>
              <w:rPr>
                <w:rFonts w:asciiTheme="minorHAnsi" w:hAnsiTheme="minorHAnsi"/>
              </w:rPr>
            </w:pPr>
          </w:p>
        </w:tc>
        <w:tc>
          <w:tcPr>
            <w:tcW w:w="737" w:type="dxa"/>
          </w:tcPr>
          <w:p w14:paraId="276AF34D" w14:textId="77777777" w:rsidR="009D4A93" w:rsidRPr="009220DC" w:rsidRDefault="009D4A93" w:rsidP="009D4A93">
            <w:pPr>
              <w:spacing w:after="0"/>
              <w:jc w:val="center"/>
              <w:rPr>
                <w:rFonts w:asciiTheme="minorHAnsi" w:hAnsiTheme="minorHAnsi"/>
              </w:rPr>
            </w:pPr>
            <w:r w:rsidRPr="009220DC">
              <w:rPr>
                <w:rFonts w:asciiTheme="minorHAnsi" w:hAnsiTheme="minorHAnsi"/>
              </w:rPr>
              <w:t>0.334</w:t>
            </w:r>
          </w:p>
        </w:tc>
        <w:tc>
          <w:tcPr>
            <w:tcW w:w="738" w:type="dxa"/>
          </w:tcPr>
          <w:p w14:paraId="4D049562" w14:textId="77777777" w:rsidR="009D4A93" w:rsidRPr="009220DC" w:rsidRDefault="009D4A93" w:rsidP="009D4A93">
            <w:pPr>
              <w:spacing w:after="0"/>
              <w:jc w:val="center"/>
              <w:rPr>
                <w:rFonts w:asciiTheme="minorHAnsi" w:hAnsiTheme="minorHAnsi"/>
              </w:rPr>
            </w:pPr>
            <w:r w:rsidRPr="009220DC">
              <w:rPr>
                <w:rFonts w:asciiTheme="minorHAnsi" w:hAnsiTheme="minorHAnsi"/>
              </w:rPr>
              <w:t>0.271</w:t>
            </w:r>
          </w:p>
        </w:tc>
        <w:tc>
          <w:tcPr>
            <w:tcW w:w="737" w:type="dxa"/>
          </w:tcPr>
          <w:p w14:paraId="43E3A439" w14:textId="77777777" w:rsidR="009D4A93" w:rsidRPr="009220DC" w:rsidRDefault="009D4A93" w:rsidP="009D4A93">
            <w:pPr>
              <w:spacing w:after="0"/>
              <w:jc w:val="center"/>
              <w:rPr>
                <w:rFonts w:asciiTheme="minorHAnsi" w:hAnsiTheme="minorHAnsi"/>
              </w:rPr>
            </w:pPr>
            <w:r w:rsidRPr="009220DC">
              <w:rPr>
                <w:rFonts w:asciiTheme="minorHAnsi" w:hAnsiTheme="minorHAnsi"/>
              </w:rPr>
              <w:t>0.334</w:t>
            </w:r>
          </w:p>
        </w:tc>
        <w:tc>
          <w:tcPr>
            <w:tcW w:w="738" w:type="dxa"/>
          </w:tcPr>
          <w:p w14:paraId="0F1FED76" w14:textId="77777777" w:rsidR="009D4A93" w:rsidRPr="009220DC" w:rsidRDefault="009D4A93" w:rsidP="009D4A93">
            <w:pPr>
              <w:spacing w:after="0"/>
              <w:jc w:val="center"/>
              <w:rPr>
                <w:rFonts w:asciiTheme="minorHAnsi" w:hAnsiTheme="minorHAnsi"/>
              </w:rPr>
            </w:pPr>
          </w:p>
        </w:tc>
      </w:tr>
      <w:tr w:rsidR="009D4A93" w:rsidRPr="009220DC" w14:paraId="7BCD31B0" w14:textId="77777777" w:rsidTr="009D4A93">
        <w:trPr>
          <w:cantSplit/>
          <w:trHeight w:val="22"/>
        </w:trPr>
        <w:tc>
          <w:tcPr>
            <w:tcW w:w="500" w:type="dxa"/>
            <w:vMerge/>
          </w:tcPr>
          <w:p w14:paraId="3C2CD6FA" w14:textId="77777777" w:rsidR="009D4A93" w:rsidRPr="009220DC" w:rsidRDefault="009D4A93" w:rsidP="009D4A93">
            <w:pPr>
              <w:spacing w:after="0"/>
              <w:jc w:val="center"/>
            </w:pPr>
          </w:p>
        </w:tc>
        <w:tc>
          <w:tcPr>
            <w:tcW w:w="505" w:type="dxa"/>
            <w:vMerge/>
          </w:tcPr>
          <w:p w14:paraId="1F401854" w14:textId="77777777" w:rsidR="009D4A93" w:rsidRPr="009220DC" w:rsidRDefault="009D4A93" w:rsidP="009D4A93">
            <w:pPr>
              <w:spacing w:after="0"/>
              <w:jc w:val="center"/>
            </w:pPr>
          </w:p>
        </w:tc>
        <w:tc>
          <w:tcPr>
            <w:tcW w:w="505" w:type="dxa"/>
          </w:tcPr>
          <w:p w14:paraId="78F20A61" w14:textId="77777777" w:rsidR="009D4A93" w:rsidRPr="009220DC" w:rsidRDefault="009D4A93" w:rsidP="009D4A93">
            <w:pPr>
              <w:spacing w:after="0"/>
              <w:jc w:val="center"/>
            </w:pPr>
            <w:r w:rsidRPr="009220DC">
              <w:t>95%</w:t>
            </w:r>
          </w:p>
        </w:tc>
        <w:tc>
          <w:tcPr>
            <w:tcW w:w="643" w:type="dxa"/>
          </w:tcPr>
          <w:p w14:paraId="78853075" w14:textId="77777777" w:rsidR="009D4A93" w:rsidRPr="009220DC" w:rsidRDefault="009D4A93" w:rsidP="009D4A93">
            <w:pPr>
              <w:spacing w:after="0"/>
              <w:jc w:val="center"/>
              <w:rPr>
                <w:rFonts w:asciiTheme="minorHAnsi" w:hAnsiTheme="minorHAnsi"/>
              </w:rPr>
            </w:pPr>
            <w:r w:rsidRPr="009220DC">
              <w:rPr>
                <w:rFonts w:asciiTheme="minorHAnsi" w:hAnsiTheme="minorHAnsi"/>
              </w:rPr>
              <w:t>0.105</w:t>
            </w:r>
          </w:p>
        </w:tc>
        <w:tc>
          <w:tcPr>
            <w:tcW w:w="644" w:type="dxa"/>
          </w:tcPr>
          <w:p w14:paraId="28A0F736" w14:textId="77777777" w:rsidR="009D4A93" w:rsidRPr="009220DC" w:rsidRDefault="009D4A93" w:rsidP="009D4A93">
            <w:pPr>
              <w:spacing w:after="0"/>
              <w:jc w:val="center"/>
              <w:rPr>
                <w:rFonts w:asciiTheme="minorHAnsi" w:hAnsiTheme="minorHAnsi"/>
              </w:rPr>
            </w:pPr>
            <w:r w:rsidRPr="009220DC">
              <w:rPr>
                <w:rFonts w:asciiTheme="minorHAnsi" w:hAnsiTheme="minorHAnsi"/>
              </w:rPr>
              <w:t>0.090</w:t>
            </w:r>
          </w:p>
        </w:tc>
        <w:tc>
          <w:tcPr>
            <w:tcW w:w="644" w:type="dxa"/>
          </w:tcPr>
          <w:p w14:paraId="42388C16" w14:textId="77777777" w:rsidR="009D4A93" w:rsidRPr="009220DC" w:rsidRDefault="009D4A93" w:rsidP="009D4A93">
            <w:pPr>
              <w:spacing w:after="0"/>
              <w:jc w:val="center"/>
              <w:rPr>
                <w:rFonts w:asciiTheme="minorHAnsi" w:hAnsiTheme="minorHAnsi"/>
              </w:rPr>
            </w:pPr>
            <w:r w:rsidRPr="009220DC">
              <w:rPr>
                <w:rFonts w:asciiTheme="minorHAnsi" w:hAnsiTheme="minorHAnsi"/>
              </w:rPr>
              <w:t>0.090</w:t>
            </w:r>
          </w:p>
        </w:tc>
        <w:tc>
          <w:tcPr>
            <w:tcW w:w="644" w:type="dxa"/>
          </w:tcPr>
          <w:p w14:paraId="0E630E0C" w14:textId="77777777" w:rsidR="009D4A93" w:rsidRPr="009220DC" w:rsidRDefault="009D4A93" w:rsidP="009D4A93">
            <w:pPr>
              <w:spacing w:after="0"/>
              <w:jc w:val="center"/>
              <w:rPr>
                <w:rFonts w:asciiTheme="minorHAnsi" w:hAnsiTheme="minorHAnsi"/>
              </w:rPr>
            </w:pPr>
          </w:p>
        </w:tc>
        <w:tc>
          <w:tcPr>
            <w:tcW w:w="715" w:type="dxa"/>
          </w:tcPr>
          <w:p w14:paraId="091EA4F9" w14:textId="77777777" w:rsidR="009D4A93" w:rsidRPr="009220DC" w:rsidRDefault="009D4A93" w:rsidP="009D4A93">
            <w:pPr>
              <w:spacing w:after="0"/>
              <w:jc w:val="center"/>
              <w:rPr>
                <w:rFonts w:asciiTheme="minorHAnsi" w:hAnsiTheme="minorHAnsi"/>
              </w:rPr>
            </w:pPr>
            <w:r w:rsidRPr="009220DC">
              <w:rPr>
                <w:rFonts w:asciiTheme="minorHAnsi" w:hAnsiTheme="minorHAnsi"/>
              </w:rPr>
              <w:t>0.498</w:t>
            </w:r>
          </w:p>
        </w:tc>
        <w:tc>
          <w:tcPr>
            <w:tcW w:w="715" w:type="dxa"/>
          </w:tcPr>
          <w:p w14:paraId="77ABAA4A" w14:textId="77777777" w:rsidR="009D4A93" w:rsidRPr="009220DC" w:rsidRDefault="009D4A93" w:rsidP="009D4A93">
            <w:pPr>
              <w:spacing w:after="0"/>
              <w:jc w:val="center"/>
              <w:rPr>
                <w:rFonts w:asciiTheme="minorHAnsi" w:hAnsiTheme="minorHAnsi"/>
              </w:rPr>
            </w:pPr>
            <w:r w:rsidRPr="009220DC">
              <w:rPr>
                <w:rFonts w:asciiTheme="minorHAnsi" w:hAnsiTheme="minorHAnsi"/>
              </w:rPr>
              <w:t>0.325</w:t>
            </w:r>
          </w:p>
        </w:tc>
        <w:tc>
          <w:tcPr>
            <w:tcW w:w="715" w:type="dxa"/>
          </w:tcPr>
          <w:p w14:paraId="0FB0BDD1" w14:textId="77777777" w:rsidR="009D4A93" w:rsidRPr="009220DC" w:rsidRDefault="009D4A93" w:rsidP="009D4A93">
            <w:pPr>
              <w:spacing w:after="0"/>
              <w:jc w:val="center"/>
              <w:rPr>
                <w:rFonts w:asciiTheme="minorHAnsi" w:hAnsiTheme="minorHAnsi"/>
              </w:rPr>
            </w:pPr>
            <w:r w:rsidRPr="009220DC">
              <w:rPr>
                <w:rFonts w:asciiTheme="minorHAnsi" w:hAnsiTheme="minorHAnsi"/>
              </w:rPr>
              <w:t>0.316</w:t>
            </w:r>
          </w:p>
        </w:tc>
        <w:tc>
          <w:tcPr>
            <w:tcW w:w="715" w:type="dxa"/>
          </w:tcPr>
          <w:p w14:paraId="0A6EA1D1" w14:textId="77777777" w:rsidR="009D4A93" w:rsidRPr="009220DC" w:rsidRDefault="009D4A93" w:rsidP="009D4A93">
            <w:pPr>
              <w:spacing w:after="0"/>
              <w:jc w:val="center"/>
              <w:rPr>
                <w:rFonts w:asciiTheme="minorHAnsi" w:hAnsiTheme="minorHAnsi"/>
              </w:rPr>
            </w:pPr>
          </w:p>
        </w:tc>
        <w:tc>
          <w:tcPr>
            <w:tcW w:w="737" w:type="dxa"/>
          </w:tcPr>
          <w:p w14:paraId="51428CD1" w14:textId="77777777" w:rsidR="009D4A93" w:rsidRPr="009220DC" w:rsidRDefault="009D4A93" w:rsidP="009D4A93">
            <w:pPr>
              <w:spacing w:after="0"/>
              <w:jc w:val="center"/>
              <w:rPr>
                <w:rFonts w:asciiTheme="minorHAnsi" w:hAnsiTheme="minorHAnsi"/>
              </w:rPr>
            </w:pPr>
            <w:r w:rsidRPr="009220DC">
              <w:rPr>
                <w:rFonts w:asciiTheme="minorHAnsi" w:hAnsiTheme="minorHAnsi"/>
              </w:rPr>
              <w:t>1.991</w:t>
            </w:r>
          </w:p>
        </w:tc>
        <w:tc>
          <w:tcPr>
            <w:tcW w:w="738" w:type="dxa"/>
          </w:tcPr>
          <w:p w14:paraId="0121091E" w14:textId="77777777" w:rsidR="009D4A93" w:rsidRPr="009220DC" w:rsidRDefault="009D4A93" w:rsidP="009D4A93">
            <w:pPr>
              <w:spacing w:after="0"/>
              <w:jc w:val="center"/>
              <w:rPr>
                <w:rFonts w:asciiTheme="minorHAnsi" w:hAnsiTheme="minorHAnsi"/>
              </w:rPr>
            </w:pPr>
            <w:r w:rsidRPr="009220DC">
              <w:rPr>
                <w:rFonts w:asciiTheme="minorHAnsi" w:hAnsiTheme="minorHAnsi"/>
              </w:rPr>
              <w:t>1.301</w:t>
            </w:r>
          </w:p>
        </w:tc>
        <w:tc>
          <w:tcPr>
            <w:tcW w:w="737" w:type="dxa"/>
          </w:tcPr>
          <w:p w14:paraId="6B67798B" w14:textId="77777777" w:rsidR="009D4A93" w:rsidRPr="009220DC" w:rsidRDefault="009D4A93" w:rsidP="009D4A93">
            <w:pPr>
              <w:spacing w:after="0"/>
              <w:jc w:val="center"/>
              <w:rPr>
                <w:rFonts w:asciiTheme="minorHAnsi" w:hAnsiTheme="minorHAnsi"/>
              </w:rPr>
            </w:pPr>
            <w:r w:rsidRPr="009220DC">
              <w:rPr>
                <w:rFonts w:asciiTheme="minorHAnsi" w:hAnsiTheme="minorHAnsi"/>
              </w:rPr>
              <w:t>1.538</w:t>
            </w:r>
          </w:p>
        </w:tc>
        <w:tc>
          <w:tcPr>
            <w:tcW w:w="738" w:type="dxa"/>
          </w:tcPr>
          <w:p w14:paraId="7BAECBCB" w14:textId="77777777" w:rsidR="009D4A93" w:rsidRPr="009220DC" w:rsidRDefault="009D4A93" w:rsidP="009D4A93">
            <w:pPr>
              <w:spacing w:after="0"/>
              <w:jc w:val="center"/>
              <w:rPr>
                <w:rFonts w:asciiTheme="minorHAnsi" w:hAnsiTheme="minorHAnsi"/>
              </w:rPr>
            </w:pPr>
          </w:p>
        </w:tc>
      </w:tr>
      <w:tr w:rsidR="009D4A93" w:rsidRPr="009220DC" w14:paraId="4518E475" w14:textId="77777777" w:rsidTr="009D4A93">
        <w:trPr>
          <w:cantSplit/>
          <w:trHeight w:val="22"/>
        </w:trPr>
        <w:tc>
          <w:tcPr>
            <w:tcW w:w="500" w:type="dxa"/>
            <w:vMerge/>
          </w:tcPr>
          <w:p w14:paraId="09F83263" w14:textId="77777777" w:rsidR="009D4A93" w:rsidRPr="009220DC" w:rsidRDefault="009D4A93" w:rsidP="009D4A93">
            <w:pPr>
              <w:spacing w:after="0"/>
              <w:jc w:val="center"/>
            </w:pPr>
          </w:p>
        </w:tc>
        <w:tc>
          <w:tcPr>
            <w:tcW w:w="505" w:type="dxa"/>
            <w:vMerge/>
          </w:tcPr>
          <w:p w14:paraId="11B1C6C6" w14:textId="77777777" w:rsidR="009D4A93" w:rsidRPr="009220DC" w:rsidRDefault="009D4A93" w:rsidP="009D4A93">
            <w:pPr>
              <w:spacing w:after="0"/>
              <w:jc w:val="center"/>
            </w:pPr>
          </w:p>
        </w:tc>
        <w:tc>
          <w:tcPr>
            <w:tcW w:w="505" w:type="dxa"/>
          </w:tcPr>
          <w:p w14:paraId="6C23665B" w14:textId="77777777" w:rsidR="009D4A93" w:rsidRPr="009220DC" w:rsidRDefault="009D4A93" w:rsidP="009D4A93">
            <w:pPr>
              <w:spacing w:after="0"/>
              <w:jc w:val="center"/>
            </w:pPr>
            <w:r w:rsidRPr="009220DC">
              <w:t>Mean</w:t>
            </w:r>
          </w:p>
        </w:tc>
        <w:tc>
          <w:tcPr>
            <w:tcW w:w="643" w:type="dxa"/>
          </w:tcPr>
          <w:p w14:paraId="251A9564" w14:textId="77777777" w:rsidR="009D4A93" w:rsidRPr="009220DC" w:rsidRDefault="009D4A93" w:rsidP="009D4A93">
            <w:pPr>
              <w:spacing w:after="0"/>
              <w:jc w:val="center"/>
              <w:rPr>
                <w:rFonts w:asciiTheme="minorHAnsi" w:hAnsiTheme="minorHAnsi"/>
              </w:rPr>
            </w:pPr>
            <w:r w:rsidRPr="009220DC">
              <w:rPr>
                <w:rFonts w:asciiTheme="minorHAnsi" w:hAnsiTheme="minorHAnsi"/>
              </w:rPr>
              <w:t>0.069</w:t>
            </w:r>
          </w:p>
        </w:tc>
        <w:tc>
          <w:tcPr>
            <w:tcW w:w="644" w:type="dxa"/>
          </w:tcPr>
          <w:p w14:paraId="07E1D933" w14:textId="77777777" w:rsidR="009D4A93" w:rsidRPr="009220DC" w:rsidRDefault="009D4A93" w:rsidP="009D4A93">
            <w:pPr>
              <w:spacing w:after="0"/>
              <w:jc w:val="center"/>
              <w:rPr>
                <w:rFonts w:asciiTheme="minorHAnsi" w:hAnsiTheme="minorHAnsi"/>
              </w:rPr>
            </w:pPr>
            <w:r w:rsidRPr="009220DC">
              <w:rPr>
                <w:rFonts w:asciiTheme="minorHAnsi" w:hAnsiTheme="minorHAnsi"/>
              </w:rPr>
              <w:t>0.057</w:t>
            </w:r>
          </w:p>
        </w:tc>
        <w:tc>
          <w:tcPr>
            <w:tcW w:w="644" w:type="dxa"/>
          </w:tcPr>
          <w:p w14:paraId="7E563205" w14:textId="77777777" w:rsidR="009D4A93" w:rsidRPr="009220DC" w:rsidRDefault="009D4A93" w:rsidP="009D4A93">
            <w:pPr>
              <w:spacing w:after="0"/>
              <w:jc w:val="center"/>
              <w:rPr>
                <w:rFonts w:asciiTheme="minorHAnsi" w:hAnsiTheme="minorHAnsi"/>
              </w:rPr>
            </w:pPr>
            <w:r w:rsidRPr="009220DC">
              <w:rPr>
                <w:rFonts w:asciiTheme="minorHAnsi" w:hAnsiTheme="minorHAnsi"/>
              </w:rPr>
              <w:t>0.057</w:t>
            </w:r>
          </w:p>
        </w:tc>
        <w:tc>
          <w:tcPr>
            <w:tcW w:w="644" w:type="dxa"/>
          </w:tcPr>
          <w:p w14:paraId="4BC9E85F" w14:textId="77777777" w:rsidR="009D4A93" w:rsidRPr="009220DC" w:rsidRDefault="009D4A93" w:rsidP="009D4A93">
            <w:pPr>
              <w:spacing w:after="0"/>
              <w:jc w:val="center"/>
              <w:rPr>
                <w:rFonts w:asciiTheme="minorHAnsi" w:hAnsiTheme="minorHAnsi"/>
              </w:rPr>
            </w:pPr>
          </w:p>
        </w:tc>
        <w:tc>
          <w:tcPr>
            <w:tcW w:w="715" w:type="dxa"/>
          </w:tcPr>
          <w:p w14:paraId="1BE45669" w14:textId="77777777" w:rsidR="009D4A93" w:rsidRPr="009220DC" w:rsidRDefault="009D4A93" w:rsidP="009D4A93">
            <w:pPr>
              <w:spacing w:after="0"/>
              <w:jc w:val="center"/>
              <w:rPr>
                <w:rFonts w:asciiTheme="minorHAnsi" w:hAnsiTheme="minorHAnsi"/>
              </w:rPr>
            </w:pPr>
            <w:r w:rsidRPr="009220DC">
              <w:rPr>
                <w:rFonts w:asciiTheme="minorHAnsi" w:hAnsiTheme="minorHAnsi"/>
              </w:rPr>
              <w:t>0.224</w:t>
            </w:r>
          </w:p>
        </w:tc>
        <w:tc>
          <w:tcPr>
            <w:tcW w:w="715" w:type="dxa"/>
          </w:tcPr>
          <w:p w14:paraId="21D3C214" w14:textId="77777777" w:rsidR="009D4A93" w:rsidRPr="009220DC" w:rsidRDefault="009D4A93" w:rsidP="009D4A93">
            <w:pPr>
              <w:spacing w:after="0"/>
              <w:jc w:val="center"/>
              <w:rPr>
                <w:rFonts w:asciiTheme="minorHAnsi" w:hAnsiTheme="minorHAnsi"/>
              </w:rPr>
            </w:pPr>
            <w:r w:rsidRPr="009220DC">
              <w:rPr>
                <w:rFonts w:asciiTheme="minorHAnsi" w:hAnsiTheme="minorHAnsi"/>
              </w:rPr>
              <w:t>0.182</w:t>
            </w:r>
          </w:p>
        </w:tc>
        <w:tc>
          <w:tcPr>
            <w:tcW w:w="715" w:type="dxa"/>
          </w:tcPr>
          <w:p w14:paraId="53C93B20" w14:textId="77777777" w:rsidR="009D4A93" w:rsidRPr="009220DC" w:rsidRDefault="009D4A93" w:rsidP="009D4A93">
            <w:pPr>
              <w:spacing w:after="0"/>
              <w:jc w:val="center"/>
              <w:rPr>
                <w:rFonts w:asciiTheme="minorHAnsi" w:hAnsiTheme="minorHAnsi"/>
              </w:rPr>
            </w:pPr>
            <w:r w:rsidRPr="009220DC">
              <w:rPr>
                <w:rFonts w:asciiTheme="minorHAnsi" w:hAnsiTheme="minorHAnsi"/>
              </w:rPr>
              <w:t>0.156</w:t>
            </w:r>
          </w:p>
        </w:tc>
        <w:tc>
          <w:tcPr>
            <w:tcW w:w="715" w:type="dxa"/>
          </w:tcPr>
          <w:p w14:paraId="69EE2DDD" w14:textId="77777777" w:rsidR="009D4A93" w:rsidRPr="009220DC" w:rsidRDefault="009D4A93" w:rsidP="009D4A93">
            <w:pPr>
              <w:spacing w:after="0"/>
              <w:jc w:val="center"/>
              <w:rPr>
                <w:rFonts w:asciiTheme="minorHAnsi" w:hAnsiTheme="minorHAnsi"/>
              </w:rPr>
            </w:pPr>
          </w:p>
        </w:tc>
        <w:tc>
          <w:tcPr>
            <w:tcW w:w="737" w:type="dxa"/>
          </w:tcPr>
          <w:p w14:paraId="71625F0F" w14:textId="77777777" w:rsidR="009D4A93" w:rsidRPr="009220DC" w:rsidRDefault="009D4A93" w:rsidP="009D4A93">
            <w:pPr>
              <w:spacing w:after="0"/>
              <w:jc w:val="center"/>
              <w:rPr>
                <w:rFonts w:asciiTheme="minorHAnsi" w:hAnsiTheme="minorHAnsi"/>
              </w:rPr>
            </w:pPr>
            <w:r w:rsidRPr="009220DC">
              <w:rPr>
                <w:rFonts w:asciiTheme="minorHAnsi" w:hAnsiTheme="minorHAnsi"/>
              </w:rPr>
              <w:t>0.736</w:t>
            </w:r>
          </w:p>
        </w:tc>
        <w:tc>
          <w:tcPr>
            <w:tcW w:w="738" w:type="dxa"/>
          </w:tcPr>
          <w:p w14:paraId="65E5B23E" w14:textId="77777777" w:rsidR="009D4A93" w:rsidRPr="009220DC" w:rsidRDefault="009D4A93" w:rsidP="009D4A93">
            <w:pPr>
              <w:spacing w:after="0"/>
              <w:jc w:val="center"/>
              <w:rPr>
                <w:rFonts w:asciiTheme="minorHAnsi" w:hAnsiTheme="minorHAnsi"/>
              </w:rPr>
            </w:pPr>
            <w:r w:rsidRPr="009220DC">
              <w:rPr>
                <w:rFonts w:asciiTheme="minorHAnsi" w:hAnsiTheme="minorHAnsi"/>
              </w:rPr>
              <w:t>0.568</w:t>
            </w:r>
          </w:p>
        </w:tc>
        <w:tc>
          <w:tcPr>
            <w:tcW w:w="737" w:type="dxa"/>
          </w:tcPr>
          <w:p w14:paraId="37F3CEAA" w14:textId="77777777" w:rsidR="009D4A93" w:rsidRPr="009220DC" w:rsidRDefault="009D4A93" w:rsidP="009D4A93">
            <w:pPr>
              <w:spacing w:after="0"/>
              <w:jc w:val="center"/>
              <w:rPr>
                <w:rFonts w:asciiTheme="minorHAnsi" w:hAnsiTheme="minorHAnsi"/>
              </w:rPr>
            </w:pPr>
            <w:r w:rsidRPr="009220DC">
              <w:rPr>
                <w:rFonts w:asciiTheme="minorHAnsi" w:hAnsiTheme="minorHAnsi"/>
              </w:rPr>
              <w:t>0.627</w:t>
            </w:r>
          </w:p>
        </w:tc>
        <w:tc>
          <w:tcPr>
            <w:tcW w:w="738" w:type="dxa"/>
          </w:tcPr>
          <w:p w14:paraId="1F4C16F1" w14:textId="77777777" w:rsidR="009D4A93" w:rsidRPr="009220DC" w:rsidRDefault="009D4A93" w:rsidP="009D4A93">
            <w:pPr>
              <w:spacing w:after="0"/>
              <w:jc w:val="center"/>
              <w:rPr>
                <w:rFonts w:asciiTheme="minorHAnsi" w:hAnsiTheme="minorHAnsi"/>
              </w:rPr>
            </w:pPr>
          </w:p>
        </w:tc>
      </w:tr>
      <w:tr w:rsidR="009D4A93" w:rsidRPr="009220DC" w14:paraId="7C110826" w14:textId="77777777" w:rsidTr="009D4A93">
        <w:trPr>
          <w:cantSplit/>
          <w:trHeight w:val="22"/>
        </w:trPr>
        <w:tc>
          <w:tcPr>
            <w:tcW w:w="500" w:type="dxa"/>
            <w:vMerge/>
          </w:tcPr>
          <w:p w14:paraId="67012C3A" w14:textId="77777777" w:rsidR="009D4A93" w:rsidRPr="009220DC" w:rsidRDefault="009D4A93" w:rsidP="009D4A93">
            <w:pPr>
              <w:spacing w:after="0"/>
              <w:jc w:val="center"/>
            </w:pPr>
          </w:p>
        </w:tc>
        <w:tc>
          <w:tcPr>
            <w:tcW w:w="1010" w:type="dxa"/>
            <w:gridSpan w:val="2"/>
          </w:tcPr>
          <w:p w14:paraId="330A911A" w14:textId="77777777" w:rsidR="009D4A93" w:rsidRPr="009220DC" w:rsidRDefault="009D4A93" w:rsidP="009D4A93">
            <w:pPr>
              <w:spacing w:after="0"/>
              <w:jc w:val="center"/>
              <w:rPr>
                <w:rFonts w:ascii="Cambria Math" w:hAnsi="Cambria Math"/>
              </w:rPr>
            </w:pPr>
            <w:r w:rsidRPr="009220DC">
              <w:rPr>
                <w:rFonts w:ascii="Cambria Math" w:hAnsi="Cambria Math"/>
              </w:rPr>
              <w:t>𝜌</w:t>
            </w:r>
            <w:r w:rsidRPr="009220DC">
              <w:rPr>
                <w:rFonts w:ascii="Cambria Math" w:hAnsi="Cambria Math"/>
                <w:vertAlign w:val="subscript"/>
              </w:rPr>
              <w:t>DL</w:t>
            </w:r>
          </w:p>
        </w:tc>
        <w:tc>
          <w:tcPr>
            <w:tcW w:w="643" w:type="dxa"/>
          </w:tcPr>
          <w:p w14:paraId="376D58BB" w14:textId="77777777" w:rsidR="009D4A93" w:rsidRPr="009220DC" w:rsidRDefault="009D4A93" w:rsidP="009D4A93">
            <w:pPr>
              <w:spacing w:after="0"/>
              <w:jc w:val="center"/>
              <w:rPr>
                <w:rFonts w:asciiTheme="minorHAnsi" w:hAnsiTheme="minorHAnsi"/>
              </w:rPr>
            </w:pPr>
            <w:r w:rsidRPr="009220DC">
              <w:rPr>
                <w:rFonts w:asciiTheme="minorHAnsi" w:hAnsiTheme="minorHAnsi"/>
              </w:rPr>
              <w:t>100%</w:t>
            </w:r>
          </w:p>
        </w:tc>
        <w:tc>
          <w:tcPr>
            <w:tcW w:w="644" w:type="dxa"/>
          </w:tcPr>
          <w:p w14:paraId="78F1BFF1" w14:textId="77777777" w:rsidR="009D4A93" w:rsidRPr="009220DC" w:rsidRDefault="009D4A93" w:rsidP="009D4A93">
            <w:pPr>
              <w:spacing w:after="0"/>
              <w:jc w:val="center"/>
              <w:rPr>
                <w:rFonts w:asciiTheme="minorHAnsi" w:hAnsiTheme="minorHAnsi"/>
              </w:rPr>
            </w:pPr>
            <w:r w:rsidRPr="009220DC">
              <w:rPr>
                <w:rFonts w:asciiTheme="minorHAnsi" w:hAnsiTheme="minorHAnsi"/>
              </w:rPr>
              <w:t>100%</w:t>
            </w:r>
          </w:p>
        </w:tc>
        <w:tc>
          <w:tcPr>
            <w:tcW w:w="644" w:type="dxa"/>
          </w:tcPr>
          <w:p w14:paraId="6D5D81BA" w14:textId="77777777" w:rsidR="009D4A93" w:rsidRPr="009220DC" w:rsidRDefault="009D4A93" w:rsidP="009D4A93">
            <w:pPr>
              <w:spacing w:after="0"/>
              <w:jc w:val="center"/>
              <w:rPr>
                <w:rFonts w:asciiTheme="minorHAnsi" w:hAnsiTheme="minorHAnsi"/>
              </w:rPr>
            </w:pPr>
            <w:r w:rsidRPr="009220DC">
              <w:rPr>
                <w:rFonts w:asciiTheme="minorHAnsi" w:hAnsiTheme="minorHAnsi"/>
              </w:rPr>
              <w:t>100%</w:t>
            </w:r>
          </w:p>
        </w:tc>
        <w:tc>
          <w:tcPr>
            <w:tcW w:w="644" w:type="dxa"/>
          </w:tcPr>
          <w:p w14:paraId="37469C1B" w14:textId="77777777" w:rsidR="009D4A93" w:rsidRPr="009220DC" w:rsidRDefault="009D4A93" w:rsidP="009D4A93">
            <w:pPr>
              <w:spacing w:after="0"/>
              <w:jc w:val="center"/>
              <w:rPr>
                <w:rFonts w:asciiTheme="minorHAnsi" w:hAnsiTheme="minorHAnsi"/>
              </w:rPr>
            </w:pPr>
          </w:p>
        </w:tc>
        <w:tc>
          <w:tcPr>
            <w:tcW w:w="715" w:type="dxa"/>
          </w:tcPr>
          <w:p w14:paraId="2ADF8210" w14:textId="77777777" w:rsidR="009D4A93" w:rsidRPr="009220DC" w:rsidRDefault="009D4A93" w:rsidP="009D4A93">
            <w:pPr>
              <w:spacing w:after="0"/>
              <w:jc w:val="center"/>
              <w:rPr>
                <w:rFonts w:asciiTheme="minorHAnsi" w:hAnsiTheme="minorHAnsi"/>
              </w:rPr>
            </w:pPr>
            <w:r w:rsidRPr="009220DC">
              <w:rPr>
                <w:rFonts w:asciiTheme="minorHAnsi" w:hAnsiTheme="minorHAnsi"/>
              </w:rPr>
              <w:t>99%</w:t>
            </w:r>
          </w:p>
        </w:tc>
        <w:tc>
          <w:tcPr>
            <w:tcW w:w="715" w:type="dxa"/>
          </w:tcPr>
          <w:p w14:paraId="5B8D79E0" w14:textId="77777777" w:rsidR="009D4A93" w:rsidRPr="009220DC" w:rsidRDefault="009D4A93" w:rsidP="009D4A93">
            <w:pPr>
              <w:spacing w:after="0"/>
              <w:jc w:val="center"/>
              <w:rPr>
                <w:rFonts w:asciiTheme="minorHAnsi" w:hAnsiTheme="minorHAnsi"/>
              </w:rPr>
            </w:pPr>
            <w:r w:rsidRPr="009220DC">
              <w:rPr>
                <w:rFonts w:asciiTheme="minorHAnsi" w:hAnsiTheme="minorHAnsi"/>
              </w:rPr>
              <w:t>99%</w:t>
            </w:r>
          </w:p>
        </w:tc>
        <w:tc>
          <w:tcPr>
            <w:tcW w:w="715" w:type="dxa"/>
          </w:tcPr>
          <w:p w14:paraId="5D896CF3" w14:textId="77777777" w:rsidR="009D4A93" w:rsidRPr="009220DC" w:rsidRDefault="009D4A93" w:rsidP="009D4A93">
            <w:pPr>
              <w:spacing w:after="0"/>
              <w:jc w:val="center"/>
              <w:rPr>
                <w:rFonts w:asciiTheme="minorHAnsi" w:hAnsiTheme="minorHAnsi"/>
              </w:rPr>
            </w:pPr>
            <w:r w:rsidRPr="009220DC">
              <w:rPr>
                <w:rFonts w:asciiTheme="minorHAnsi" w:hAnsiTheme="minorHAnsi"/>
              </w:rPr>
              <w:t>100%</w:t>
            </w:r>
          </w:p>
        </w:tc>
        <w:tc>
          <w:tcPr>
            <w:tcW w:w="715" w:type="dxa"/>
          </w:tcPr>
          <w:p w14:paraId="7C2599AA" w14:textId="77777777" w:rsidR="009D4A93" w:rsidRPr="009220DC" w:rsidRDefault="009D4A93" w:rsidP="009D4A93">
            <w:pPr>
              <w:spacing w:after="0"/>
              <w:jc w:val="center"/>
              <w:rPr>
                <w:rFonts w:asciiTheme="minorHAnsi" w:hAnsiTheme="minorHAnsi"/>
              </w:rPr>
            </w:pPr>
          </w:p>
        </w:tc>
        <w:tc>
          <w:tcPr>
            <w:tcW w:w="737" w:type="dxa"/>
          </w:tcPr>
          <w:p w14:paraId="49850478" w14:textId="77777777" w:rsidR="009D4A93" w:rsidRPr="009220DC" w:rsidRDefault="009D4A93" w:rsidP="009D4A93">
            <w:pPr>
              <w:spacing w:after="0"/>
              <w:jc w:val="center"/>
              <w:rPr>
                <w:rFonts w:asciiTheme="minorHAnsi" w:hAnsiTheme="minorHAnsi"/>
              </w:rPr>
            </w:pPr>
            <w:r w:rsidRPr="009220DC">
              <w:rPr>
                <w:rFonts w:asciiTheme="minorHAnsi" w:hAnsiTheme="minorHAnsi"/>
              </w:rPr>
              <w:t>96%</w:t>
            </w:r>
          </w:p>
        </w:tc>
        <w:tc>
          <w:tcPr>
            <w:tcW w:w="738" w:type="dxa"/>
          </w:tcPr>
          <w:p w14:paraId="0F095739" w14:textId="77777777" w:rsidR="009D4A93" w:rsidRPr="009220DC" w:rsidRDefault="009D4A93" w:rsidP="009D4A93">
            <w:pPr>
              <w:spacing w:after="0"/>
              <w:jc w:val="center"/>
              <w:rPr>
                <w:rFonts w:asciiTheme="minorHAnsi" w:hAnsiTheme="minorHAnsi"/>
              </w:rPr>
            </w:pPr>
            <w:r w:rsidRPr="009220DC">
              <w:rPr>
                <w:rFonts w:asciiTheme="minorHAnsi" w:hAnsiTheme="minorHAnsi"/>
              </w:rPr>
              <w:t>97%</w:t>
            </w:r>
          </w:p>
        </w:tc>
        <w:tc>
          <w:tcPr>
            <w:tcW w:w="737" w:type="dxa"/>
          </w:tcPr>
          <w:p w14:paraId="7463E132" w14:textId="77777777" w:rsidR="009D4A93" w:rsidRPr="009220DC" w:rsidRDefault="009D4A93" w:rsidP="009D4A93">
            <w:pPr>
              <w:spacing w:after="0"/>
              <w:jc w:val="center"/>
              <w:rPr>
                <w:rFonts w:asciiTheme="minorHAnsi" w:hAnsiTheme="minorHAnsi"/>
              </w:rPr>
            </w:pPr>
            <w:r w:rsidRPr="009220DC">
              <w:rPr>
                <w:rFonts w:asciiTheme="minorHAnsi" w:hAnsiTheme="minorHAnsi"/>
              </w:rPr>
              <w:t>97%</w:t>
            </w:r>
          </w:p>
        </w:tc>
        <w:tc>
          <w:tcPr>
            <w:tcW w:w="738" w:type="dxa"/>
          </w:tcPr>
          <w:p w14:paraId="36C343E9" w14:textId="77777777" w:rsidR="009D4A93" w:rsidRPr="009220DC" w:rsidRDefault="009D4A93" w:rsidP="009D4A93">
            <w:pPr>
              <w:spacing w:after="0"/>
              <w:jc w:val="center"/>
              <w:rPr>
                <w:rFonts w:asciiTheme="minorHAnsi" w:hAnsiTheme="minorHAnsi"/>
              </w:rPr>
            </w:pPr>
          </w:p>
        </w:tc>
      </w:tr>
      <w:tr w:rsidR="009D4A93" w:rsidRPr="009220DC" w14:paraId="72A56975" w14:textId="77777777" w:rsidTr="009D4A93">
        <w:trPr>
          <w:cantSplit/>
          <w:trHeight w:val="22"/>
        </w:trPr>
        <w:tc>
          <w:tcPr>
            <w:tcW w:w="500" w:type="dxa"/>
            <w:vMerge/>
          </w:tcPr>
          <w:p w14:paraId="34729716" w14:textId="77777777" w:rsidR="009D4A93" w:rsidRPr="009220DC" w:rsidRDefault="009D4A93" w:rsidP="009D4A93">
            <w:pPr>
              <w:spacing w:after="0"/>
              <w:jc w:val="center"/>
            </w:pPr>
          </w:p>
        </w:tc>
        <w:tc>
          <w:tcPr>
            <w:tcW w:w="1010" w:type="dxa"/>
            <w:gridSpan w:val="2"/>
          </w:tcPr>
          <w:p w14:paraId="2B1AF572" w14:textId="77777777" w:rsidR="009D4A93" w:rsidRPr="009220DC" w:rsidRDefault="009D4A93" w:rsidP="009D4A93">
            <w:pPr>
              <w:spacing w:after="0"/>
              <w:jc w:val="center"/>
              <w:rPr>
                <w:rFonts w:ascii="Cambria Math" w:hAnsi="Cambria Math"/>
              </w:rPr>
            </w:pPr>
            <w:r w:rsidRPr="009220DC">
              <w:rPr>
                <w:rFonts w:ascii="Cambria Math" w:hAnsi="Cambria Math"/>
              </w:rPr>
              <w:t>𝜌</w:t>
            </w:r>
            <w:r w:rsidRPr="009220DC">
              <w:rPr>
                <w:rFonts w:ascii="Cambria Math" w:hAnsi="Cambria Math"/>
                <w:vertAlign w:val="subscript"/>
              </w:rPr>
              <w:t>UL</w:t>
            </w:r>
          </w:p>
        </w:tc>
        <w:tc>
          <w:tcPr>
            <w:tcW w:w="643" w:type="dxa"/>
          </w:tcPr>
          <w:p w14:paraId="4446D0B5" w14:textId="77777777" w:rsidR="009D4A93" w:rsidRPr="009220DC" w:rsidRDefault="009D4A93" w:rsidP="009D4A93">
            <w:pPr>
              <w:spacing w:after="0"/>
              <w:jc w:val="center"/>
              <w:rPr>
                <w:rFonts w:asciiTheme="minorHAnsi" w:hAnsiTheme="minorHAnsi"/>
              </w:rPr>
            </w:pPr>
            <w:r w:rsidRPr="009220DC">
              <w:rPr>
                <w:rFonts w:asciiTheme="minorHAnsi" w:hAnsiTheme="minorHAnsi"/>
              </w:rPr>
              <w:t>100%</w:t>
            </w:r>
          </w:p>
        </w:tc>
        <w:tc>
          <w:tcPr>
            <w:tcW w:w="644" w:type="dxa"/>
          </w:tcPr>
          <w:p w14:paraId="6BC195BB" w14:textId="77777777" w:rsidR="009D4A93" w:rsidRPr="009220DC" w:rsidRDefault="009D4A93" w:rsidP="009D4A93">
            <w:pPr>
              <w:spacing w:after="0"/>
              <w:jc w:val="center"/>
              <w:rPr>
                <w:rFonts w:asciiTheme="minorHAnsi" w:hAnsiTheme="minorHAnsi"/>
              </w:rPr>
            </w:pPr>
            <w:r w:rsidRPr="009220DC">
              <w:rPr>
                <w:rFonts w:asciiTheme="minorHAnsi" w:hAnsiTheme="minorHAnsi"/>
              </w:rPr>
              <w:t>99%</w:t>
            </w:r>
          </w:p>
        </w:tc>
        <w:tc>
          <w:tcPr>
            <w:tcW w:w="644" w:type="dxa"/>
          </w:tcPr>
          <w:p w14:paraId="7C9A08F0" w14:textId="77777777" w:rsidR="009D4A93" w:rsidRPr="009220DC" w:rsidRDefault="009D4A93" w:rsidP="009D4A93">
            <w:pPr>
              <w:spacing w:after="0"/>
              <w:jc w:val="center"/>
              <w:rPr>
                <w:rFonts w:asciiTheme="minorHAnsi" w:hAnsiTheme="minorHAnsi"/>
              </w:rPr>
            </w:pPr>
            <w:r w:rsidRPr="009220DC">
              <w:rPr>
                <w:rFonts w:asciiTheme="minorHAnsi" w:hAnsiTheme="minorHAnsi"/>
              </w:rPr>
              <w:t>99%</w:t>
            </w:r>
          </w:p>
        </w:tc>
        <w:tc>
          <w:tcPr>
            <w:tcW w:w="644" w:type="dxa"/>
          </w:tcPr>
          <w:p w14:paraId="3C55CF81" w14:textId="77777777" w:rsidR="009D4A93" w:rsidRPr="009220DC" w:rsidRDefault="009D4A93" w:rsidP="009D4A93">
            <w:pPr>
              <w:spacing w:after="0"/>
              <w:jc w:val="center"/>
              <w:rPr>
                <w:rFonts w:asciiTheme="minorHAnsi" w:hAnsiTheme="minorHAnsi"/>
              </w:rPr>
            </w:pPr>
          </w:p>
        </w:tc>
        <w:tc>
          <w:tcPr>
            <w:tcW w:w="715" w:type="dxa"/>
          </w:tcPr>
          <w:p w14:paraId="43066C7E" w14:textId="77777777" w:rsidR="009D4A93" w:rsidRPr="009220DC" w:rsidRDefault="009D4A93" w:rsidP="009D4A93">
            <w:pPr>
              <w:spacing w:after="0"/>
              <w:jc w:val="center"/>
              <w:rPr>
                <w:rFonts w:asciiTheme="minorHAnsi" w:hAnsiTheme="minorHAnsi"/>
              </w:rPr>
            </w:pPr>
            <w:r w:rsidRPr="009220DC">
              <w:rPr>
                <w:rFonts w:asciiTheme="minorHAnsi" w:hAnsiTheme="minorHAnsi"/>
              </w:rPr>
              <w:t>99%</w:t>
            </w:r>
          </w:p>
        </w:tc>
        <w:tc>
          <w:tcPr>
            <w:tcW w:w="715" w:type="dxa"/>
          </w:tcPr>
          <w:p w14:paraId="687CF570" w14:textId="77777777" w:rsidR="009D4A93" w:rsidRPr="009220DC" w:rsidRDefault="009D4A93" w:rsidP="009D4A93">
            <w:pPr>
              <w:spacing w:after="0"/>
              <w:jc w:val="center"/>
              <w:rPr>
                <w:rFonts w:asciiTheme="minorHAnsi" w:hAnsiTheme="minorHAnsi"/>
              </w:rPr>
            </w:pPr>
            <w:r w:rsidRPr="009220DC">
              <w:rPr>
                <w:rFonts w:asciiTheme="minorHAnsi" w:hAnsiTheme="minorHAnsi"/>
              </w:rPr>
              <w:t>98%</w:t>
            </w:r>
          </w:p>
        </w:tc>
        <w:tc>
          <w:tcPr>
            <w:tcW w:w="715" w:type="dxa"/>
          </w:tcPr>
          <w:p w14:paraId="1CE0B776" w14:textId="77777777" w:rsidR="009D4A93" w:rsidRPr="009220DC" w:rsidRDefault="009D4A93" w:rsidP="009D4A93">
            <w:pPr>
              <w:spacing w:after="0"/>
              <w:jc w:val="center"/>
              <w:rPr>
                <w:rFonts w:asciiTheme="minorHAnsi" w:hAnsiTheme="minorHAnsi"/>
              </w:rPr>
            </w:pPr>
            <w:r w:rsidRPr="009220DC">
              <w:rPr>
                <w:rFonts w:asciiTheme="minorHAnsi" w:hAnsiTheme="minorHAnsi"/>
              </w:rPr>
              <w:t>99%</w:t>
            </w:r>
          </w:p>
        </w:tc>
        <w:tc>
          <w:tcPr>
            <w:tcW w:w="715" w:type="dxa"/>
          </w:tcPr>
          <w:p w14:paraId="73EAE150" w14:textId="77777777" w:rsidR="009D4A93" w:rsidRPr="009220DC" w:rsidRDefault="009D4A93" w:rsidP="009D4A93">
            <w:pPr>
              <w:spacing w:after="0"/>
              <w:jc w:val="center"/>
              <w:rPr>
                <w:rFonts w:asciiTheme="minorHAnsi" w:hAnsiTheme="minorHAnsi"/>
              </w:rPr>
            </w:pPr>
          </w:p>
        </w:tc>
        <w:tc>
          <w:tcPr>
            <w:tcW w:w="737" w:type="dxa"/>
          </w:tcPr>
          <w:p w14:paraId="14D2A3CA" w14:textId="77777777" w:rsidR="009D4A93" w:rsidRPr="009220DC" w:rsidRDefault="009D4A93" w:rsidP="009D4A93">
            <w:pPr>
              <w:spacing w:after="0"/>
              <w:jc w:val="center"/>
              <w:rPr>
                <w:rFonts w:asciiTheme="minorHAnsi" w:hAnsiTheme="minorHAnsi"/>
              </w:rPr>
            </w:pPr>
            <w:r w:rsidRPr="009220DC">
              <w:rPr>
                <w:rFonts w:asciiTheme="minorHAnsi" w:hAnsiTheme="minorHAnsi"/>
              </w:rPr>
              <w:t>90%</w:t>
            </w:r>
          </w:p>
        </w:tc>
        <w:tc>
          <w:tcPr>
            <w:tcW w:w="738" w:type="dxa"/>
          </w:tcPr>
          <w:p w14:paraId="6FE23B3F" w14:textId="77777777" w:rsidR="009D4A93" w:rsidRPr="009220DC" w:rsidRDefault="009D4A93" w:rsidP="009D4A93">
            <w:pPr>
              <w:spacing w:after="0"/>
              <w:jc w:val="center"/>
              <w:rPr>
                <w:rFonts w:asciiTheme="minorHAnsi" w:hAnsiTheme="minorHAnsi"/>
              </w:rPr>
            </w:pPr>
            <w:r w:rsidRPr="009220DC">
              <w:rPr>
                <w:rFonts w:asciiTheme="minorHAnsi" w:hAnsiTheme="minorHAnsi"/>
              </w:rPr>
              <w:t>91%</w:t>
            </w:r>
          </w:p>
        </w:tc>
        <w:tc>
          <w:tcPr>
            <w:tcW w:w="737" w:type="dxa"/>
          </w:tcPr>
          <w:p w14:paraId="5507C8EF" w14:textId="77777777" w:rsidR="009D4A93" w:rsidRPr="009220DC" w:rsidRDefault="009D4A93" w:rsidP="009D4A93">
            <w:pPr>
              <w:spacing w:after="0"/>
              <w:jc w:val="center"/>
              <w:rPr>
                <w:rFonts w:asciiTheme="minorHAnsi" w:hAnsiTheme="minorHAnsi"/>
              </w:rPr>
            </w:pPr>
            <w:r w:rsidRPr="009220DC">
              <w:rPr>
                <w:rFonts w:asciiTheme="minorHAnsi" w:hAnsiTheme="minorHAnsi"/>
              </w:rPr>
              <w:t>91%</w:t>
            </w:r>
          </w:p>
        </w:tc>
        <w:tc>
          <w:tcPr>
            <w:tcW w:w="738" w:type="dxa"/>
          </w:tcPr>
          <w:p w14:paraId="26B46C24" w14:textId="77777777" w:rsidR="009D4A93" w:rsidRPr="009220DC" w:rsidRDefault="009D4A93" w:rsidP="009D4A93">
            <w:pPr>
              <w:spacing w:after="0"/>
              <w:jc w:val="center"/>
              <w:rPr>
                <w:rFonts w:asciiTheme="minorHAnsi" w:hAnsiTheme="minorHAnsi"/>
              </w:rPr>
            </w:pPr>
          </w:p>
        </w:tc>
      </w:tr>
      <w:tr w:rsidR="009D4A93" w:rsidRPr="009220DC" w14:paraId="5F57B275" w14:textId="77777777" w:rsidTr="009D4A93">
        <w:trPr>
          <w:cantSplit/>
          <w:trHeight w:val="22"/>
        </w:trPr>
        <w:tc>
          <w:tcPr>
            <w:tcW w:w="500" w:type="dxa"/>
            <w:vMerge/>
          </w:tcPr>
          <w:p w14:paraId="4ECB992D" w14:textId="77777777" w:rsidR="009D4A93" w:rsidRPr="009220DC" w:rsidRDefault="009D4A93" w:rsidP="009D4A93">
            <w:pPr>
              <w:spacing w:after="0"/>
              <w:jc w:val="center"/>
            </w:pPr>
          </w:p>
        </w:tc>
        <w:tc>
          <w:tcPr>
            <w:tcW w:w="1010" w:type="dxa"/>
            <w:gridSpan w:val="2"/>
          </w:tcPr>
          <w:p w14:paraId="73C02DEF" w14:textId="77777777" w:rsidR="009D4A93" w:rsidRPr="009220DC" w:rsidRDefault="009D4A93" w:rsidP="009D4A93">
            <w:pPr>
              <w:spacing w:after="0"/>
              <w:jc w:val="center"/>
            </w:pPr>
            <w:r w:rsidRPr="009220DC">
              <w:t>BO</w:t>
            </w:r>
          </w:p>
        </w:tc>
        <w:tc>
          <w:tcPr>
            <w:tcW w:w="643" w:type="dxa"/>
          </w:tcPr>
          <w:p w14:paraId="2EAF1AD1" w14:textId="77777777" w:rsidR="009D4A93" w:rsidRPr="009220DC" w:rsidRDefault="009D4A93" w:rsidP="009D4A93">
            <w:pPr>
              <w:spacing w:after="0"/>
              <w:jc w:val="center"/>
              <w:rPr>
                <w:rFonts w:asciiTheme="minorHAnsi" w:hAnsiTheme="minorHAnsi"/>
              </w:rPr>
            </w:pPr>
            <w:r w:rsidRPr="009220DC">
              <w:rPr>
                <w:rFonts w:asciiTheme="minorHAnsi" w:hAnsiTheme="minorHAnsi"/>
              </w:rPr>
              <w:t>12%</w:t>
            </w:r>
          </w:p>
        </w:tc>
        <w:tc>
          <w:tcPr>
            <w:tcW w:w="644" w:type="dxa"/>
          </w:tcPr>
          <w:p w14:paraId="0EA49A79" w14:textId="77777777" w:rsidR="009D4A93" w:rsidRPr="009220DC" w:rsidRDefault="009D4A93" w:rsidP="009D4A93">
            <w:pPr>
              <w:spacing w:after="0"/>
              <w:jc w:val="center"/>
              <w:rPr>
                <w:rFonts w:asciiTheme="minorHAnsi" w:hAnsiTheme="minorHAnsi"/>
              </w:rPr>
            </w:pPr>
            <w:r w:rsidRPr="009220DC">
              <w:rPr>
                <w:rFonts w:asciiTheme="minorHAnsi" w:hAnsiTheme="minorHAnsi"/>
              </w:rPr>
              <w:t>11%</w:t>
            </w:r>
          </w:p>
        </w:tc>
        <w:tc>
          <w:tcPr>
            <w:tcW w:w="644" w:type="dxa"/>
          </w:tcPr>
          <w:p w14:paraId="5BC6BF90" w14:textId="77777777" w:rsidR="009D4A93" w:rsidRPr="009220DC" w:rsidRDefault="009D4A93" w:rsidP="009D4A93">
            <w:pPr>
              <w:spacing w:after="0"/>
              <w:jc w:val="center"/>
              <w:rPr>
                <w:rFonts w:asciiTheme="minorHAnsi" w:hAnsiTheme="minorHAnsi"/>
              </w:rPr>
            </w:pPr>
            <w:r w:rsidRPr="009220DC">
              <w:rPr>
                <w:rFonts w:asciiTheme="minorHAnsi" w:hAnsiTheme="minorHAnsi"/>
              </w:rPr>
              <w:t>11%</w:t>
            </w:r>
          </w:p>
        </w:tc>
        <w:tc>
          <w:tcPr>
            <w:tcW w:w="644" w:type="dxa"/>
          </w:tcPr>
          <w:p w14:paraId="72AFEC93" w14:textId="77777777" w:rsidR="009D4A93" w:rsidRPr="009220DC" w:rsidRDefault="009D4A93" w:rsidP="009D4A93">
            <w:pPr>
              <w:spacing w:after="0"/>
              <w:jc w:val="center"/>
              <w:rPr>
                <w:rFonts w:asciiTheme="minorHAnsi" w:hAnsiTheme="minorHAnsi"/>
              </w:rPr>
            </w:pPr>
          </w:p>
        </w:tc>
        <w:tc>
          <w:tcPr>
            <w:tcW w:w="715" w:type="dxa"/>
          </w:tcPr>
          <w:p w14:paraId="6213A781" w14:textId="77777777" w:rsidR="009D4A93" w:rsidRPr="009220DC" w:rsidRDefault="009D4A93" w:rsidP="009D4A93">
            <w:pPr>
              <w:spacing w:after="0"/>
              <w:jc w:val="center"/>
              <w:rPr>
                <w:rFonts w:asciiTheme="minorHAnsi" w:hAnsiTheme="minorHAnsi"/>
              </w:rPr>
            </w:pPr>
            <w:r w:rsidRPr="009220DC">
              <w:rPr>
                <w:rFonts w:asciiTheme="minorHAnsi" w:hAnsiTheme="minorHAnsi"/>
              </w:rPr>
              <w:t>35%</w:t>
            </w:r>
          </w:p>
        </w:tc>
        <w:tc>
          <w:tcPr>
            <w:tcW w:w="715" w:type="dxa"/>
          </w:tcPr>
          <w:p w14:paraId="270DF37B" w14:textId="77777777" w:rsidR="009D4A93" w:rsidRPr="009220DC" w:rsidRDefault="009D4A93" w:rsidP="009D4A93">
            <w:pPr>
              <w:spacing w:after="0"/>
              <w:jc w:val="center"/>
              <w:rPr>
                <w:rFonts w:asciiTheme="minorHAnsi" w:hAnsiTheme="minorHAnsi"/>
              </w:rPr>
            </w:pPr>
            <w:r w:rsidRPr="009220DC">
              <w:rPr>
                <w:rFonts w:asciiTheme="minorHAnsi" w:hAnsiTheme="minorHAnsi"/>
              </w:rPr>
              <w:t>32%</w:t>
            </w:r>
          </w:p>
        </w:tc>
        <w:tc>
          <w:tcPr>
            <w:tcW w:w="715" w:type="dxa"/>
          </w:tcPr>
          <w:p w14:paraId="5D427393" w14:textId="77777777" w:rsidR="009D4A93" w:rsidRPr="009220DC" w:rsidRDefault="009D4A93" w:rsidP="009D4A93">
            <w:pPr>
              <w:spacing w:after="0"/>
              <w:jc w:val="center"/>
              <w:rPr>
                <w:rFonts w:asciiTheme="minorHAnsi" w:hAnsiTheme="minorHAnsi"/>
              </w:rPr>
            </w:pPr>
            <w:r w:rsidRPr="009220DC">
              <w:rPr>
                <w:rFonts w:asciiTheme="minorHAnsi" w:hAnsiTheme="minorHAnsi"/>
              </w:rPr>
              <w:t>32%</w:t>
            </w:r>
          </w:p>
        </w:tc>
        <w:tc>
          <w:tcPr>
            <w:tcW w:w="715" w:type="dxa"/>
          </w:tcPr>
          <w:p w14:paraId="5958A997" w14:textId="77777777" w:rsidR="009D4A93" w:rsidRPr="009220DC" w:rsidRDefault="009D4A93" w:rsidP="009D4A93">
            <w:pPr>
              <w:spacing w:after="0"/>
              <w:jc w:val="center"/>
              <w:rPr>
                <w:rFonts w:asciiTheme="minorHAnsi" w:hAnsiTheme="minorHAnsi"/>
              </w:rPr>
            </w:pPr>
          </w:p>
        </w:tc>
        <w:tc>
          <w:tcPr>
            <w:tcW w:w="737" w:type="dxa"/>
          </w:tcPr>
          <w:p w14:paraId="396EE1DE" w14:textId="77777777" w:rsidR="009D4A93" w:rsidRPr="009220DC" w:rsidRDefault="009D4A93" w:rsidP="009D4A93">
            <w:pPr>
              <w:spacing w:after="0"/>
              <w:jc w:val="center"/>
              <w:rPr>
                <w:rFonts w:asciiTheme="minorHAnsi" w:hAnsiTheme="minorHAnsi"/>
              </w:rPr>
            </w:pPr>
            <w:r w:rsidRPr="009220DC">
              <w:rPr>
                <w:rFonts w:asciiTheme="minorHAnsi" w:hAnsiTheme="minorHAnsi"/>
              </w:rPr>
              <w:t>60%</w:t>
            </w:r>
          </w:p>
        </w:tc>
        <w:tc>
          <w:tcPr>
            <w:tcW w:w="738" w:type="dxa"/>
          </w:tcPr>
          <w:p w14:paraId="6DDBDD95" w14:textId="77777777" w:rsidR="009D4A93" w:rsidRPr="009220DC" w:rsidRDefault="009D4A93" w:rsidP="009D4A93">
            <w:pPr>
              <w:spacing w:after="0"/>
              <w:jc w:val="center"/>
              <w:rPr>
                <w:rFonts w:asciiTheme="minorHAnsi" w:hAnsiTheme="minorHAnsi"/>
              </w:rPr>
            </w:pPr>
            <w:r w:rsidRPr="009220DC">
              <w:rPr>
                <w:rFonts w:asciiTheme="minorHAnsi" w:hAnsiTheme="minorHAnsi"/>
              </w:rPr>
              <w:t>56%</w:t>
            </w:r>
          </w:p>
        </w:tc>
        <w:tc>
          <w:tcPr>
            <w:tcW w:w="737" w:type="dxa"/>
          </w:tcPr>
          <w:p w14:paraId="26D09876" w14:textId="77777777" w:rsidR="009D4A93" w:rsidRPr="009220DC" w:rsidRDefault="009D4A93" w:rsidP="009D4A93">
            <w:pPr>
              <w:spacing w:after="0"/>
              <w:jc w:val="center"/>
              <w:rPr>
                <w:rFonts w:asciiTheme="minorHAnsi" w:hAnsiTheme="minorHAnsi"/>
              </w:rPr>
            </w:pPr>
            <w:r w:rsidRPr="009220DC">
              <w:rPr>
                <w:rFonts w:asciiTheme="minorHAnsi" w:hAnsiTheme="minorHAnsi"/>
              </w:rPr>
              <w:t>56%</w:t>
            </w:r>
          </w:p>
        </w:tc>
        <w:tc>
          <w:tcPr>
            <w:tcW w:w="738" w:type="dxa"/>
          </w:tcPr>
          <w:p w14:paraId="2B75C01C" w14:textId="77777777" w:rsidR="009D4A93" w:rsidRPr="009220DC" w:rsidRDefault="009D4A93" w:rsidP="009D4A93">
            <w:pPr>
              <w:spacing w:after="0"/>
              <w:jc w:val="center"/>
              <w:rPr>
                <w:rFonts w:asciiTheme="minorHAnsi" w:hAnsiTheme="minorHAnsi"/>
              </w:rPr>
            </w:pPr>
          </w:p>
        </w:tc>
      </w:tr>
      <w:tr w:rsidR="009D4A93" w:rsidRPr="009220DC" w14:paraId="40136FDE" w14:textId="77777777" w:rsidTr="009D4A93">
        <w:trPr>
          <w:cantSplit/>
          <w:trHeight w:val="22"/>
        </w:trPr>
        <w:tc>
          <w:tcPr>
            <w:tcW w:w="500" w:type="dxa"/>
            <w:vMerge/>
          </w:tcPr>
          <w:p w14:paraId="42662CDD" w14:textId="77777777" w:rsidR="009D4A93" w:rsidRPr="009220DC" w:rsidRDefault="009D4A93" w:rsidP="009D4A93">
            <w:pPr>
              <w:spacing w:after="0"/>
              <w:jc w:val="center"/>
            </w:pPr>
          </w:p>
        </w:tc>
        <w:tc>
          <w:tcPr>
            <w:tcW w:w="1010" w:type="dxa"/>
            <w:gridSpan w:val="2"/>
          </w:tcPr>
          <w:p w14:paraId="64D3E583" w14:textId="77777777" w:rsidR="009D4A93" w:rsidRPr="009220DC" w:rsidRDefault="009D4A93" w:rsidP="009D4A93">
            <w:pPr>
              <w:spacing w:after="0"/>
              <w:jc w:val="center"/>
            </w:pPr>
            <w:r w:rsidRPr="009220DC">
              <w:rPr>
                <w:rFonts w:ascii="Cambria Math" w:hAnsi="Cambria Math"/>
              </w:rPr>
              <w:t>𝜆</w:t>
            </w:r>
          </w:p>
        </w:tc>
        <w:tc>
          <w:tcPr>
            <w:tcW w:w="2575" w:type="dxa"/>
            <w:gridSpan w:val="4"/>
          </w:tcPr>
          <w:p w14:paraId="3018BA84" w14:textId="77777777" w:rsidR="009D4A93" w:rsidRPr="009220DC" w:rsidRDefault="009D4A93" w:rsidP="009D4A93">
            <w:pPr>
              <w:spacing w:after="0"/>
              <w:jc w:val="center"/>
              <w:rPr>
                <w:rFonts w:asciiTheme="minorHAnsi" w:hAnsiTheme="minorHAnsi"/>
              </w:rPr>
            </w:pPr>
            <w:r w:rsidRPr="009220DC">
              <w:rPr>
                <w:rFonts w:asciiTheme="minorHAnsi" w:hAnsiTheme="minorHAnsi"/>
              </w:rPr>
              <w:t>0.5 file/s</w:t>
            </w:r>
          </w:p>
        </w:tc>
        <w:tc>
          <w:tcPr>
            <w:tcW w:w="2860" w:type="dxa"/>
            <w:gridSpan w:val="4"/>
          </w:tcPr>
          <w:p w14:paraId="3FB83152" w14:textId="77777777" w:rsidR="009D4A93" w:rsidRPr="009220DC" w:rsidRDefault="009D4A93" w:rsidP="009D4A93">
            <w:pPr>
              <w:spacing w:after="0"/>
              <w:jc w:val="center"/>
              <w:rPr>
                <w:rFonts w:asciiTheme="minorHAnsi" w:hAnsiTheme="minorHAnsi"/>
              </w:rPr>
            </w:pPr>
            <w:r w:rsidRPr="009220DC">
              <w:rPr>
                <w:rFonts w:asciiTheme="minorHAnsi" w:hAnsiTheme="minorHAnsi"/>
              </w:rPr>
              <w:t>1.1 file/s</w:t>
            </w:r>
          </w:p>
        </w:tc>
        <w:tc>
          <w:tcPr>
            <w:tcW w:w="2950" w:type="dxa"/>
            <w:gridSpan w:val="4"/>
          </w:tcPr>
          <w:p w14:paraId="1848E8B0" w14:textId="77777777" w:rsidR="009D4A93" w:rsidRPr="009220DC" w:rsidRDefault="009D4A93" w:rsidP="009D4A93">
            <w:pPr>
              <w:spacing w:after="0"/>
              <w:jc w:val="center"/>
              <w:rPr>
                <w:rFonts w:asciiTheme="minorHAnsi" w:hAnsiTheme="minorHAnsi"/>
              </w:rPr>
            </w:pPr>
            <w:r w:rsidRPr="009220DC">
              <w:rPr>
                <w:rFonts w:asciiTheme="minorHAnsi" w:hAnsiTheme="minorHAnsi"/>
              </w:rPr>
              <w:t>1.5 file/s</w:t>
            </w:r>
          </w:p>
        </w:tc>
      </w:tr>
      <w:tr w:rsidR="009D4A93" w:rsidRPr="009220DC" w14:paraId="2782C799" w14:textId="77777777" w:rsidTr="00536CFD">
        <w:trPr>
          <w:cantSplit/>
          <w:trHeight w:val="22"/>
        </w:trPr>
        <w:tc>
          <w:tcPr>
            <w:tcW w:w="500" w:type="dxa"/>
            <w:vMerge/>
          </w:tcPr>
          <w:p w14:paraId="44B77FE0" w14:textId="77777777" w:rsidR="009D4A93" w:rsidRPr="009220DC" w:rsidRDefault="009D4A93" w:rsidP="009D4A93">
            <w:pPr>
              <w:spacing w:after="0"/>
              <w:jc w:val="center"/>
            </w:pPr>
          </w:p>
        </w:tc>
        <w:tc>
          <w:tcPr>
            <w:tcW w:w="1010" w:type="dxa"/>
            <w:gridSpan w:val="2"/>
          </w:tcPr>
          <w:p w14:paraId="4EB18140" w14:textId="77777777" w:rsidR="009D4A93" w:rsidRPr="009220DC" w:rsidRDefault="009D4A93" w:rsidP="009D4A93">
            <w:pPr>
              <w:spacing w:after="0"/>
              <w:jc w:val="both"/>
            </w:pPr>
          </w:p>
        </w:tc>
        <w:tc>
          <w:tcPr>
            <w:tcW w:w="8385" w:type="dxa"/>
            <w:gridSpan w:val="12"/>
          </w:tcPr>
          <w:p w14:paraId="0AB85C07" w14:textId="77777777" w:rsidR="009D4A93" w:rsidRPr="009220DC" w:rsidRDefault="009D4A93" w:rsidP="00536CFD">
            <w:pPr>
              <w:pStyle w:val="ResTable"/>
              <w:jc w:val="left"/>
              <w:rPr>
                <w:rFonts w:cstheme="minorHAnsi"/>
                <w:sz w:val="20"/>
                <w:szCs w:val="20"/>
              </w:rPr>
            </w:pPr>
            <w:r w:rsidRPr="009220DC">
              <w:rPr>
                <w:rFonts w:cstheme="minorHAnsi"/>
                <w:sz w:val="20"/>
                <w:szCs w:val="20"/>
              </w:rPr>
              <w:t xml:space="preserve">Additional comments: </w:t>
            </w:r>
          </w:p>
          <w:p w14:paraId="5DAF41F9" w14:textId="77777777" w:rsidR="009D4A93" w:rsidRPr="009220DC" w:rsidRDefault="009D4A93" w:rsidP="00536CFD">
            <w:pPr>
              <w:rPr>
                <w:rFonts w:asciiTheme="minorHAnsi" w:hAnsiTheme="minorHAnsi" w:cstheme="minorHAnsi"/>
              </w:rPr>
            </w:pPr>
            <w:r w:rsidRPr="009220DC">
              <w:rPr>
                <w:rFonts w:asciiTheme="minorHAnsi" w:hAnsiTheme="minorHAnsi" w:cstheme="minorHAnsi"/>
                <w:b/>
                <w:bCs/>
                <w:lang w:eastAsia="sv-SE"/>
              </w:rPr>
              <w:t>Simulation setup:</w:t>
            </w:r>
            <w:r w:rsidRPr="009220DC">
              <w:rPr>
                <w:rFonts w:asciiTheme="minorHAnsi" w:hAnsiTheme="minorHAnsi" w:cstheme="minorHAnsi"/>
                <w:lang w:eastAsia="sv-SE"/>
              </w:rPr>
              <w:t xml:space="preserve"> NR-U indoor scenario, 50/50 DL/UL traffics, single NR-U operator, NR-U uses 15kHz, 30kHz, and 60kHz SCSs. </w:t>
            </w:r>
            <w:r w:rsidRPr="009220DC">
              <w:rPr>
                <w:rFonts w:asciiTheme="minorHAnsi" w:hAnsiTheme="minorHAnsi" w:cstheme="minorHAnsi"/>
              </w:rPr>
              <w:br/>
            </w:r>
            <w:r w:rsidRPr="009220DC">
              <w:rPr>
                <w:rFonts w:asciiTheme="minorHAnsi" w:hAnsiTheme="minorHAnsi" w:cstheme="minorHAnsi"/>
                <w:b/>
                <w:bCs/>
              </w:rPr>
              <w:t>NR-U assumptions:</w:t>
            </w:r>
            <w:r w:rsidRPr="009220DC">
              <w:rPr>
                <w:rFonts w:asciiTheme="minorHAnsi" w:hAnsiTheme="minorHAnsi" w:cstheme="minorHAnsi"/>
              </w:rPr>
              <w:t xml:space="preserve"> ED threshold -72dBm, Primary LBT: Cat-4 LBT with exponential CW back-off, MCOT duration: 6ms, Max modulation: 256 QAM, Antennas: 4 for BS and 2 for UE, BF scheme: Tx and Rx BF at BS, Maximal number of layers: 2 for DL and 2 for UL, single carrier with 20MHz BW, BS transmit power 20dBm, UE transmit power 18dBm, MMSE-IRC receiver, . CW {min,max} DL{15,63} UL{15,1023}. UE processing time capability #1, PUSCH mapping Type A, PDSCH mapping Type B, PDCCH monitoring every 1OS, Scheduling: proportional fair, self-scheduling. COT sharing enabled (gNB initiated COT).</w:t>
            </w:r>
          </w:p>
        </w:tc>
      </w:tr>
    </w:tbl>
    <w:p w14:paraId="5F2FFFC3" w14:textId="77777777" w:rsidR="009D4A93" w:rsidRPr="00C64ECB" w:rsidRDefault="009D4A93" w:rsidP="009D4A93"/>
    <w:p w14:paraId="4F73CB1C" w14:textId="77777777" w:rsidR="009D4A93" w:rsidRPr="00C64ECB" w:rsidRDefault="009D4A93" w:rsidP="00E126D2">
      <w:pPr>
        <w:pStyle w:val="TH"/>
        <w:pageBreakBefore/>
        <w:rPr>
          <w:rFonts w:eastAsia="PMingLiU"/>
          <w:lang w:val="en-US"/>
        </w:rPr>
      </w:pPr>
      <w:r w:rsidRPr="00C64ECB">
        <w:rPr>
          <w:rFonts w:eastAsia="PMingLiU"/>
          <w:lang w:val="en-US"/>
        </w:rPr>
        <w:t xml:space="preserve">Table B.1.1-4: </w:t>
      </w:r>
      <w:r w:rsidRPr="00C64ECB">
        <w:rPr>
          <w:lang w:val="en-US"/>
        </w:rPr>
        <w:t>Evaluation results for Wi-Fi and NRU coexistence using different SCS for NR-U in an indoor deployment</w:t>
      </w:r>
    </w:p>
    <w:tbl>
      <w:tblPr>
        <w:tblStyle w:val="TableGrid2"/>
        <w:tblW w:w="9895" w:type="dxa"/>
        <w:tblLayout w:type="fixed"/>
        <w:tblCellMar>
          <w:left w:w="0" w:type="dxa"/>
          <w:right w:w="0" w:type="dxa"/>
        </w:tblCellMar>
        <w:tblLook w:val="04A0" w:firstRow="1" w:lastRow="0" w:firstColumn="1" w:lastColumn="0" w:noHBand="0" w:noVBand="1"/>
      </w:tblPr>
      <w:tblGrid>
        <w:gridCol w:w="500"/>
        <w:gridCol w:w="505"/>
        <w:gridCol w:w="505"/>
        <w:gridCol w:w="643"/>
        <w:gridCol w:w="644"/>
        <w:gridCol w:w="644"/>
        <w:gridCol w:w="644"/>
        <w:gridCol w:w="715"/>
        <w:gridCol w:w="715"/>
        <w:gridCol w:w="715"/>
        <w:gridCol w:w="715"/>
        <w:gridCol w:w="737"/>
        <w:gridCol w:w="738"/>
        <w:gridCol w:w="737"/>
        <w:gridCol w:w="738"/>
      </w:tblGrid>
      <w:tr w:rsidR="009D4A93" w:rsidRPr="00536CFD" w14:paraId="297D5FE2" w14:textId="77777777" w:rsidTr="009220DC">
        <w:trPr>
          <w:cantSplit/>
          <w:trHeight w:val="22"/>
        </w:trPr>
        <w:tc>
          <w:tcPr>
            <w:tcW w:w="500" w:type="dxa"/>
            <w:vMerge w:val="restart"/>
            <w:textDirection w:val="btLr"/>
          </w:tcPr>
          <w:p w14:paraId="5F0B51FD" w14:textId="3979A553" w:rsidR="009D4A93" w:rsidRPr="00536CFD" w:rsidRDefault="009D4A93" w:rsidP="009220DC">
            <w:pPr>
              <w:spacing w:after="0"/>
              <w:ind w:left="113" w:right="113"/>
              <w:jc w:val="center"/>
              <w:rPr>
                <w:rFonts w:ascii="Times New Roman" w:hAnsi="Times New Roman"/>
                <w:sz w:val="20"/>
                <w:szCs w:val="20"/>
              </w:rPr>
            </w:pPr>
            <w:r w:rsidRPr="00536CFD">
              <w:rPr>
                <w:rFonts w:ascii="Times New Roman" w:hAnsi="Times New Roman"/>
                <w:sz w:val="20"/>
                <w:szCs w:val="20"/>
              </w:rPr>
              <w:t>Tdoc /Source</w:t>
            </w:r>
          </w:p>
        </w:tc>
        <w:tc>
          <w:tcPr>
            <w:tcW w:w="1010" w:type="dxa"/>
            <w:gridSpan w:val="2"/>
            <w:vMerge w:val="restart"/>
          </w:tcPr>
          <w:p w14:paraId="50553F49" w14:textId="77777777" w:rsidR="009D4A93" w:rsidRPr="00536CFD" w:rsidRDefault="009D4A93" w:rsidP="009D4A93">
            <w:pPr>
              <w:spacing w:after="0"/>
              <w:jc w:val="center"/>
              <w:rPr>
                <w:rFonts w:ascii="Times New Roman" w:hAnsi="Times New Roman"/>
                <w:sz w:val="20"/>
                <w:szCs w:val="20"/>
              </w:rPr>
            </w:pPr>
          </w:p>
          <w:p w14:paraId="7169AE5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Reported parameters</w:t>
            </w:r>
          </w:p>
        </w:tc>
        <w:tc>
          <w:tcPr>
            <w:tcW w:w="2575" w:type="dxa"/>
            <w:gridSpan w:val="4"/>
          </w:tcPr>
          <w:p w14:paraId="7E51D269" w14:textId="77777777" w:rsidR="009D4A93" w:rsidRPr="00536CFD" w:rsidRDefault="009D4A93" w:rsidP="009D4A93">
            <w:pPr>
              <w:spacing w:after="0"/>
              <w:jc w:val="center"/>
              <w:rPr>
                <w:rFonts w:ascii="Times New Roman" w:hAnsi="Times New Roman"/>
                <w:sz w:val="20"/>
                <w:szCs w:val="20"/>
                <w:u w:val="single"/>
              </w:rPr>
            </w:pPr>
            <w:r w:rsidRPr="00536CFD">
              <w:rPr>
                <w:rFonts w:ascii="Times New Roman" w:hAnsi="Times New Roman"/>
                <w:sz w:val="20"/>
                <w:szCs w:val="20"/>
                <w:u w:val="single"/>
              </w:rPr>
              <w:t>Low load</w:t>
            </w:r>
          </w:p>
          <w:p w14:paraId="2401F6C4" w14:textId="77777777" w:rsidR="009D4A93" w:rsidRPr="00536CFD" w:rsidRDefault="009D4A93" w:rsidP="009D4A93">
            <w:pPr>
              <w:spacing w:after="0"/>
              <w:jc w:val="center"/>
              <w:rPr>
                <w:rFonts w:ascii="Times New Roman" w:hAnsi="Times New Roman"/>
                <w:sz w:val="20"/>
                <w:szCs w:val="20"/>
                <w:u w:val="single"/>
              </w:rPr>
            </w:pPr>
            <w:r w:rsidRPr="00536CFD">
              <w:rPr>
                <w:rFonts w:ascii="Times New Roman" w:hAnsi="Times New Roman"/>
                <w:sz w:val="20"/>
                <w:szCs w:val="20"/>
              </w:rPr>
              <w:t>BO range for WiFi in NR-U+WiFi with</w:t>
            </w:r>
            <w:r w:rsidRPr="00536CFD">
              <w:rPr>
                <w:rFonts w:ascii="Times New Roman" w:hAnsi="Times New Roman"/>
                <w:sz w:val="20"/>
                <w:szCs w:val="20"/>
              </w:rPr>
              <w:br/>
              <w:t>NR-U uses 15 kHz SCS: 10%~25%</w:t>
            </w:r>
          </w:p>
        </w:tc>
        <w:tc>
          <w:tcPr>
            <w:tcW w:w="2860" w:type="dxa"/>
            <w:gridSpan w:val="4"/>
          </w:tcPr>
          <w:p w14:paraId="7A6470FA" w14:textId="77777777" w:rsidR="009D4A93" w:rsidRPr="00536CFD" w:rsidRDefault="009D4A93" w:rsidP="009D4A93">
            <w:pPr>
              <w:spacing w:after="0"/>
              <w:jc w:val="center"/>
              <w:rPr>
                <w:rFonts w:ascii="Times New Roman" w:hAnsi="Times New Roman"/>
                <w:sz w:val="20"/>
                <w:szCs w:val="20"/>
                <w:u w:val="single"/>
              </w:rPr>
            </w:pPr>
            <w:r w:rsidRPr="00536CFD">
              <w:rPr>
                <w:rFonts w:ascii="Times New Roman" w:hAnsi="Times New Roman"/>
                <w:sz w:val="20"/>
                <w:szCs w:val="20"/>
                <w:u w:val="single"/>
              </w:rPr>
              <w:t>Medium load</w:t>
            </w:r>
          </w:p>
          <w:p w14:paraId="7A4F145D" w14:textId="77777777" w:rsidR="009D4A93" w:rsidRPr="00536CFD" w:rsidRDefault="009D4A93" w:rsidP="009D4A93">
            <w:pPr>
              <w:spacing w:after="0"/>
              <w:jc w:val="center"/>
              <w:rPr>
                <w:rFonts w:ascii="Times New Roman" w:hAnsi="Times New Roman"/>
                <w:sz w:val="20"/>
                <w:szCs w:val="20"/>
                <w:u w:val="single"/>
              </w:rPr>
            </w:pPr>
            <w:r w:rsidRPr="00536CFD">
              <w:rPr>
                <w:rFonts w:ascii="Times New Roman" w:hAnsi="Times New Roman"/>
                <w:sz w:val="20"/>
                <w:szCs w:val="20"/>
              </w:rPr>
              <w:t>BO range for WiFi in NR-U+WiFi with</w:t>
            </w:r>
            <w:r w:rsidRPr="00536CFD">
              <w:rPr>
                <w:rFonts w:ascii="Times New Roman" w:hAnsi="Times New Roman"/>
                <w:sz w:val="20"/>
                <w:szCs w:val="20"/>
              </w:rPr>
              <w:br/>
              <w:t>NR-U uses 15 kHz SCS: 35%~50%</w:t>
            </w:r>
          </w:p>
        </w:tc>
        <w:tc>
          <w:tcPr>
            <w:tcW w:w="2950" w:type="dxa"/>
            <w:gridSpan w:val="4"/>
          </w:tcPr>
          <w:p w14:paraId="46CD2334" w14:textId="77777777" w:rsidR="009D4A93" w:rsidRPr="00536CFD" w:rsidRDefault="009D4A93" w:rsidP="009D4A93">
            <w:pPr>
              <w:spacing w:after="0"/>
              <w:jc w:val="center"/>
              <w:rPr>
                <w:rFonts w:ascii="Times New Roman" w:hAnsi="Times New Roman"/>
                <w:sz w:val="20"/>
                <w:szCs w:val="20"/>
                <w:u w:val="single"/>
              </w:rPr>
            </w:pPr>
            <w:r w:rsidRPr="00536CFD">
              <w:rPr>
                <w:rFonts w:ascii="Times New Roman" w:hAnsi="Times New Roman"/>
                <w:sz w:val="20"/>
                <w:szCs w:val="20"/>
                <w:u w:val="single"/>
              </w:rPr>
              <w:t>High load</w:t>
            </w:r>
          </w:p>
          <w:p w14:paraId="46CC5FA0" w14:textId="77777777" w:rsidR="009D4A93" w:rsidRPr="00536CFD" w:rsidRDefault="009D4A93" w:rsidP="009D4A93">
            <w:pPr>
              <w:spacing w:after="0"/>
              <w:jc w:val="center"/>
              <w:rPr>
                <w:rFonts w:ascii="Times New Roman" w:hAnsi="Times New Roman"/>
                <w:sz w:val="20"/>
                <w:szCs w:val="20"/>
                <w:u w:val="single"/>
              </w:rPr>
            </w:pPr>
            <w:r w:rsidRPr="00536CFD">
              <w:rPr>
                <w:rFonts w:ascii="Times New Roman" w:hAnsi="Times New Roman"/>
                <w:sz w:val="20"/>
                <w:szCs w:val="20"/>
              </w:rPr>
              <w:t>BO range for WiFi in NR-U+WiFi with</w:t>
            </w:r>
            <w:r w:rsidRPr="00536CFD">
              <w:rPr>
                <w:rFonts w:ascii="Times New Roman" w:hAnsi="Times New Roman"/>
                <w:sz w:val="20"/>
                <w:szCs w:val="20"/>
              </w:rPr>
              <w:br/>
              <w:t>NR-U  use 15 kHz SCS: above 55%</w:t>
            </w:r>
          </w:p>
        </w:tc>
      </w:tr>
      <w:tr w:rsidR="009D4A93" w:rsidRPr="00536CFD" w14:paraId="40EF0106" w14:textId="77777777" w:rsidTr="009D4A93">
        <w:trPr>
          <w:cantSplit/>
          <w:trHeight w:val="22"/>
        </w:trPr>
        <w:tc>
          <w:tcPr>
            <w:tcW w:w="500" w:type="dxa"/>
            <w:vMerge/>
          </w:tcPr>
          <w:p w14:paraId="49D42403" w14:textId="77777777" w:rsidR="009D4A93" w:rsidRPr="00536CFD" w:rsidRDefault="009D4A93" w:rsidP="009D4A93">
            <w:pPr>
              <w:spacing w:after="0"/>
              <w:jc w:val="center"/>
              <w:rPr>
                <w:rFonts w:ascii="Times New Roman" w:hAnsi="Times New Roman"/>
                <w:sz w:val="20"/>
                <w:szCs w:val="20"/>
              </w:rPr>
            </w:pPr>
          </w:p>
        </w:tc>
        <w:tc>
          <w:tcPr>
            <w:tcW w:w="1010" w:type="dxa"/>
            <w:gridSpan w:val="2"/>
            <w:vMerge/>
          </w:tcPr>
          <w:p w14:paraId="6A7668CB" w14:textId="77777777" w:rsidR="009D4A93" w:rsidRPr="00536CFD" w:rsidRDefault="009D4A93" w:rsidP="009D4A93">
            <w:pPr>
              <w:spacing w:after="0"/>
              <w:jc w:val="center"/>
              <w:rPr>
                <w:rFonts w:ascii="Times New Roman" w:hAnsi="Times New Roman"/>
                <w:sz w:val="20"/>
                <w:szCs w:val="20"/>
              </w:rPr>
            </w:pPr>
          </w:p>
        </w:tc>
        <w:tc>
          <w:tcPr>
            <w:tcW w:w="643" w:type="dxa"/>
          </w:tcPr>
          <w:p w14:paraId="5B9F2E8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15 kHz</w:t>
            </w:r>
          </w:p>
          <w:p w14:paraId="04C9CC44" w14:textId="77777777" w:rsidR="009D4A93" w:rsidRPr="00536CFD" w:rsidRDefault="009D4A93" w:rsidP="009D4A93">
            <w:pPr>
              <w:spacing w:after="0"/>
              <w:jc w:val="center"/>
              <w:rPr>
                <w:rFonts w:ascii="Times New Roman" w:hAnsi="Times New Roman"/>
                <w:sz w:val="20"/>
                <w:szCs w:val="20"/>
              </w:rPr>
            </w:pPr>
          </w:p>
        </w:tc>
        <w:tc>
          <w:tcPr>
            <w:tcW w:w="644" w:type="dxa"/>
          </w:tcPr>
          <w:p w14:paraId="4CADF58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30 kHz</w:t>
            </w:r>
          </w:p>
          <w:p w14:paraId="48B188BF" w14:textId="77777777" w:rsidR="009D4A93" w:rsidRPr="00536CFD" w:rsidRDefault="009D4A93" w:rsidP="009D4A93">
            <w:pPr>
              <w:spacing w:after="0"/>
              <w:jc w:val="center"/>
              <w:rPr>
                <w:rFonts w:ascii="Times New Roman" w:hAnsi="Times New Roman"/>
                <w:sz w:val="20"/>
                <w:szCs w:val="20"/>
              </w:rPr>
            </w:pPr>
          </w:p>
        </w:tc>
        <w:tc>
          <w:tcPr>
            <w:tcW w:w="644" w:type="dxa"/>
          </w:tcPr>
          <w:p w14:paraId="5DD7EA8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60 kHz</w:t>
            </w:r>
          </w:p>
          <w:p w14:paraId="3F4CAFB5" w14:textId="77777777" w:rsidR="009D4A93" w:rsidRPr="00536CFD" w:rsidRDefault="009D4A93" w:rsidP="009D4A93">
            <w:pPr>
              <w:spacing w:after="0"/>
              <w:jc w:val="center"/>
              <w:rPr>
                <w:rFonts w:ascii="Times New Roman" w:hAnsi="Times New Roman"/>
                <w:sz w:val="20"/>
                <w:szCs w:val="20"/>
              </w:rPr>
            </w:pPr>
          </w:p>
        </w:tc>
        <w:tc>
          <w:tcPr>
            <w:tcW w:w="644" w:type="dxa"/>
          </w:tcPr>
          <w:p w14:paraId="7BFD7FDA" w14:textId="77777777" w:rsidR="009D4A93" w:rsidRPr="00536CFD" w:rsidRDefault="009D4A93" w:rsidP="009D4A93">
            <w:pPr>
              <w:spacing w:after="0"/>
              <w:jc w:val="center"/>
              <w:rPr>
                <w:rFonts w:ascii="Times New Roman" w:hAnsi="Times New Roman"/>
                <w:sz w:val="20"/>
                <w:szCs w:val="20"/>
                <w:lang w:val="sv-SE"/>
              </w:rPr>
            </w:pPr>
          </w:p>
        </w:tc>
        <w:tc>
          <w:tcPr>
            <w:tcW w:w="715" w:type="dxa"/>
          </w:tcPr>
          <w:p w14:paraId="471ECAE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15 kHz</w:t>
            </w:r>
          </w:p>
          <w:p w14:paraId="0359D6CF" w14:textId="77777777" w:rsidR="009D4A93" w:rsidRPr="00536CFD" w:rsidRDefault="009D4A93" w:rsidP="009D4A93">
            <w:pPr>
              <w:spacing w:after="0"/>
              <w:jc w:val="center"/>
              <w:rPr>
                <w:rFonts w:ascii="Times New Roman" w:hAnsi="Times New Roman"/>
                <w:sz w:val="20"/>
                <w:szCs w:val="20"/>
              </w:rPr>
            </w:pPr>
          </w:p>
        </w:tc>
        <w:tc>
          <w:tcPr>
            <w:tcW w:w="715" w:type="dxa"/>
          </w:tcPr>
          <w:p w14:paraId="2892781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30 kHz</w:t>
            </w:r>
          </w:p>
          <w:p w14:paraId="16163A11" w14:textId="77777777" w:rsidR="009D4A93" w:rsidRPr="00536CFD" w:rsidRDefault="009D4A93" w:rsidP="009D4A93">
            <w:pPr>
              <w:spacing w:after="0"/>
              <w:jc w:val="center"/>
              <w:rPr>
                <w:rFonts w:ascii="Times New Roman" w:hAnsi="Times New Roman"/>
                <w:sz w:val="20"/>
                <w:szCs w:val="20"/>
              </w:rPr>
            </w:pPr>
          </w:p>
        </w:tc>
        <w:tc>
          <w:tcPr>
            <w:tcW w:w="715" w:type="dxa"/>
          </w:tcPr>
          <w:p w14:paraId="6DBE4FA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60 kHz</w:t>
            </w:r>
          </w:p>
          <w:p w14:paraId="3901A8D5" w14:textId="77777777" w:rsidR="009D4A93" w:rsidRPr="00536CFD" w:rsidRDefault="009D4A93" w:rsidP="009D4A93">
            <w:pPr>
              <w:spacing w:after="0"/>
              <w:jc w:val="center"/>
              <w:rPr>
                <w:rFonts w:ascii="Times New Roman" w:hAnsi="Times New Roman"/>
                <w:sz w:val="20"/>
                <w:szCs w:val="20"/>
              </w:rPr>
            </w:pPr>
          </w:p>
        </w:tc>
        <w:tc>
          <w:tcPr>
            <w:tcW w:w="715" w:type="dxa"/>
          </w:tcPr>
          <w:p w14:paraId="0FB6C906" w14:textId="77777777" w:rsidR="009D4A93" w:rsidRPr="00536CFD" w:rsidRDefault="009D4A93" w:rsidP="009D4A93">
            <w:pPr>
              <w:spacing w:after="0"/>
              <w:jc w:val="center"/>
              <w:rPr>
                <w:rFonts w:ascii="Times New Roman" w:hAnsi="Times New Roman"/>
                <w:sz w:val="20"/>
                <w:szCs w:val="20"/>
                <w:lang w:val="sv-SE"/>
              </w:rPr>
            </w:pPr>
          </w:p>
        </w:tc>
        <w:tc>
          <w:tcPr>
            <w:tcW w:w="737" w:type="dxa"/>
          </w:tcPr>
          <w:p w14:paraId="724AB641"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15 kHz</w:t>
            </w:r>
          </w:p>
          <w:p w14:paraId="373EDBF7" w14:textId="77777777" w:rsidR="009D4A93" w:rsidRPr="00536CFD" w:rsidRDefault="009D4A93" w:rsidP="009D4A93">
            <w:pPr>
              <w:spacing w:after="0"/>
              <w:jc w:val="center"/>
              <w:rPr>
                <w:rFonts w:ascii="Times New Roman" w:hAnsi="Times New Roman"/>
                <w:sz w:val="20"/>
                <w:szCs w:val="20"/>
              </w:rPr>
            </w:pPr>
          </w:p>
        </w:tc>
        <w:tc>
          <w:tcPr>
            <w:tcW w:w="738" w:type="dxa"/>
          </w:tcPr>
          <w:p w14:paraId="0189726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30 kHz</w:t>
            </w:r>
          </w:p>
          <w:p w14:paraId="10F724A0" w14:textId="77777777" w:rsidR="009D4A93" w:rsidRPr="00536CFD" w:rsidRDefault="009D4A93" w:rsidP="009D4A93">
            <w:pPr>
              <w:spacing w:after="0"/>
              <w:jc w:val="center"/>
              <w:rPr>
                <w:rFonts w:ascii="Times New Roman" w:hAnsi="Times New Roman"/>
                <w:sz w:val="20"/>
                <w:szCs w:val="20"/>
              </w:rPr>
            </w:pPr>
          </w:p>
        </w:tc>
        <w:tc>
          <w:tcPr>
            <w:tcW w:w="737" w:type="dxa"/>
          </w:tcPr>
          <w:p w14:paraId="7444D8F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NR-U with SCS = 60 kHz</w:t>
            </w:r>
          </w:p>
          <w:p w14:paraId="1044E5C6" w14:textId="77777777" w:rsidR="009D4A93" w:rsidRPr="00536CFD" w:rsidRDefault="009D4A93" w:rsidP="009D4A93">
            <w:pPr>
              <w:spacing w:after="0"/>
              <w:jc w:val="center"/>
              <w:rPr>
                <w:rFonts w:ascii="Times New Roman" w:hAnsi="Times New Roman"/>
                <w:sz w:val="20"/>
                <w:szCs w:val="20"/>
              </w:rPr>
            </w:pPr>
          </w:p>
        </w:tc>
        <w:tc>
          <w:tcPr>
            <w:tcW w:w="738" w:type="dxa"/>
          </w:tcPr>
          <w:p w14:paraId="3E2F8ADC" w14:textId="77777777" w:rsidR="009D4A93" w:rsidRPr="00536CFD" w:rsidRDefault="009D4A93" w:rsidP="009D4A93">
            <w:pPr>
              <w:spacing w:after="0"/>
              <w:jc w:val="center"/>
              <w:rPr>
                <w:rFonts w:ascii="Times New Roman" w:hAnsi="Times New Roman"/>
                <w:sz w:val="20"/>
                <w:szCs w:val="20"/>
                <w:lang w:val="sv-SE"/>
              </w:rPr>
            </w:pPr>
          </w:p>
        </w:tc>
      </w:tr>
      <w:tr w:rsidR="009D4A93" w:rsidRPr="00536CFD" w14:paraId="48B309F9" w14:textId="77777777" w:rsidTr="009D4A93">
        <w:trPr>
          <w:cantSplit/>
          <w:trHeight w:val="204"/>
        </w:trPr>
        <w:tc>
          <w:tcPr>
            <w:tcW w:w="500" w:type="dxa"/>
            <w:vMerge w:val="restart"/>
            <w:textDirection w:val="btLr"/>
          </w:tcPr>
          <w:p w14:paraId="2C071A9F" w14:textId="77777777" w:rsidR="009D4A93" w:rsidRPr="00536CFD" w:rsidRDefault="009D4A93" w:rsidP="009D4A93">
            <w:pPr>
              <w:spacing w:after="0"/>
              <w:ind w:left="113" w:right="113"/>
              <w:jc w:val="center"/>
              <w:rPr>
                <w:rFonts w:ascii="Times New Roman" w:hAnsi="Times New Roman"/>
                <w:sz w:val="20"/>
                <w:szCs w:val="20"/>
              </w:rPr>
            </w:pPr>
            <w:r w:rsidRPr="00536CFD">
              <w:rPr>
                <w:rFonts w:ascii="Times New Roman" w:hAnsi="Times New Roman"/>
                <w:color w:val="000000"/>
                <w:sz w:val="20"/>
                <w:szCs w:val="20"/>
              </w:rPr>
              <w:t>R1-1814019/Source 8</w:t>
            </w:r>
          </w:p>
        </w:tc>
        <w:tc>
          <w:tcPr>
            <w:tcW w:w="505" w:type="dxa"/>
            <w:vMerge w:val="restart"/>
          </w:tcPr>
          <w:p w14:paraId="27951EA1"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 xml:space="preserve">DL: </w:t>
            </w:r>
          </w:p>
          <w:p w14:paraId="1EC4CA4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UPT CDF</w:t>
            </w:r>
          </w:p>
          <w:p w14:paraId="7E91AE3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[Mbps]</w:t>
            </w:r>
          </w:p>
        </w:tc>
        <w:tc>
          <w:tcPr>
            <w:tcW w:w="505" w:type="dxa"/>
          </w:tcPr>
          <w:p w14:paraId="35D516F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w:t>
            </w:r>
          </w:p>
        </w:tc>
        <w:tc>
          <w:tcPr>
            <w:tcW w:w="643" w:type="dxa"/>
          </w:tcPr>
          <w:p w14:paraId="4ADF21B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37.58</w:t>
            </w:r>
          </w:p>
        </w:tc>
        <w:tc>
          <w:tcPr>
            <w:tcW w:w="644" w:type="dxa"/>
          </w:tcPr>
          <w:p w14:paraId="6D1CC8A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38.68</w:t>
            </w:r>
          </w:p>
        </w:tc>
        <w:tc>
          <w:tcPr>
            <w:tcW w:w="644" w:type="dxa"/>
          </w:tcPr>
          <w:p w14:paraId="044AE62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36.81</w:t>
            </w:r>
          </w:p>
        </w:tc>
        <w:tc>
          <w:tcPr>
            <w:tcW w:w="644" w:type="dxa"/>
          </w:tcPr>
          <w:p w14:paraId="486CD351" w14:textId="77777777" w:rsidR="009D4A93" w:rsidRPr="00536CFD" w:rsidRDefault="009D4A93" w:rsidP="009D4A93">
            <w:pPr>
              <w:spacing w:after="0"/>
              <w:jc w:val="center"/>
              <w:rPr>
                <w:rFonts w:ascii="Times New Roman" w:hAnsi="Times New Roman"/>
                <w:sz w:val="20"/>
                <w:szCs w:val="20"/>
              </w:rPr>
            </w:pPr>
          </w:p>
        </w:tc>
        <w:tc>
          <w:tcPr>
            <w:tcW w:w="715" w:type="dxa"/>
          </w:tcPr>
          <w:p w14:paraId="11F3A02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20.53</w:t>
            </w:r>
          </w:p>
        </w:tc>
        <w:tc>
          <w:tcPr>
            <w:tcW w:w="715" w:type="dxa"/>
          </w:tcPr>
          <w:p w14:paraId="4A537D7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20.00</w:t>
            </w:r>
          </w:p>
        </w:tc>
        <w:tc>
          <w:tcPr>
            <w:tcW w:w="715" w:type="dxa"/>
          </w:tcPr>
          <w:p w14:paraId="0001FA4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19.94</w:t>
            </w:r>
          </w:p>
        </w:tc>
        <w:tc>
          <w:tcPr>
            <w:tcW w:w="715" w:type="dxa"/>
          </w:tcPr>
          <w:p w14:paraId="66EB55C6" w14:textId="77777777" w:rsidR="009D4A93" w:rsidRPr="00536CFD" w:rsidRDefault="009D4A93" w:rsidP="009D4A93">
            <w:pPr>
              <w:spacing w:after="0"/>
              <w:jc w:val="center"/>
              <w:rPr>
                <w:rFonts w:ascii="Times New Roman" w:hAnsi="Times New Roman"/>
                <w:sz w:val="20"/>
                <w:szCs w:val="20"/>
              </w:rPr>
            </w:pPr>
          </w:p>
        </w:tc>
        <w:tc>
          <w:tcPr>
            <w:tcW w:w="737" w:type="dxa"/>
          </w:tcPr>
          <w:p w14:paraId="6D4680E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5.08</w:t>
            </w:r>
          </w:p>
        </w:tc>
        <w:tc>
          <w:tcPr>
            <w:tcW w:w="738" w:type="dxa"/>
          </w:tcPr>
          <w:p w14:paraId="44CCA5F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7.89</w:t>
            </w:r>
          </w:p>
        </w:tc>
        <w:tc>
          <w:tcPr>
            <w:tcW w:w="737" w:type="dxa"/>
          </w:tcPr>
          <w:p w14:paraId="7A07D27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6.39</w:t>
            </w:r>
          </w:p>
        </w:tc>
        <w:tc>
          <w:tcPr>
            <w:tcW w:w="738" w:type="dxa"/>
          </w:tcPr>
          <w:p w14:paraId="192201FD" w14:textId="77777777" w:rsidR="009D4A93" w:rsidRPr="00536CFD" w:rsidRDefault="009D4A93" w:rsidP="009D4A93">
            <w:pPr>
              <w:spacing w:after="0"/>
              <w:jc w:val="center"/>
              <w:rPr>
                <w:rFonts w:ascii="Times New Roman" w:hAnsi="Times New Roman"/>
                <w:sz w:val="20"/>
                <w:szCs w:val="20"/>
              </w:rPr>
            </w:pPr>
          </w:p>
        </w:tc>
      </w:tr>
      <w:tr w:rsidR="009D4A93" w:rsidRPr="00536CFD" w14:paraId="4809D4C6" w14:textId="77777777" w:rsidTr="009D4A93">
        <w:trPr>
          <w:cantSplit/>
          <w:trHeight w:val="22"/>
        </w:trPr>
        <w:tc>
          <w:tcPr>
            <w:tcW w:w="500" w:type="dxa"/>
            <w:vMerge/>
          </w:tcPr>
          <w:p w14:paraId="17925EBD" w14:textId="77777777" w:rsidR="009D4A93" w:rsidRPr="00536CFD" w:rsidRDefault="009D4A93" w:rsidP="009D4A93">
            <w:pPr>
              <w:spacing w:after="0"/>
              <w:jc w:val="center"/>
              <w:rPr>
                <w:rFonts w:ascii="Times New Roman" w:hAnsi="Times New Roman"/>
                <w:sz w:val="20"/>
                <w:szCs w:val="20"/>
              </w:rPr>
            </w:pPr>
          </w:p>
        </w:tc>
        <w:tc>
          <w:tcPr>
            <w:tcW w:w="505" w:type="dxa"/>
            <w:vMerge/>
          </w:tcPr>
          <w:p w14:paraId="654944DC" w14:textId="77777777" w:rsidR="009D4A93" w:rsidRPr="00536CFD" w:rsidRDefault="009D4A93" w:rsidP="009D4A93">
            <w:pPr>
              <w:spacing w:after="0"/>
              <w:jc w:val="center"/>
              <w:rPr>
                <w:rFonts w:ascii="Times New Roman" w:hAnsi="Times New Roman"/>
                <w:sz w:val="20"/>
                <w:szCs w:val="20"/>
              </w:rPr>
            </w:pPr>
          </w:p>
        </w:tc>
        <w:tc>
          <w:tcPr>
            <w:tcW w:w="505" w:type="dxa"/>
          </w:tcPr>
          <w:p w14:paraId="46E3A1B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50%</w:t>
            </w:r>
          </w:p>
        </w:tc>
        <w:tc>
          <w:tcPr>
            <w:tcW w:w="643" w:type="dxa"/>
          </w:tcPr>
          <w:p w14:paraId="25BF8B4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90.49</w:t>
            </w:r>
          </w:p>
        </w:tc>
        <w:tc>
          <w:tcPr>
            <w:tcW w:w="644" w:type="dxa"/>
          </w:tcPr>
          <w:p w14:paraId="404ED33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93.88</w:t>
            </w:r>
          </w:p>
        </w:tc>
        <w:tc>
          <w:tcPr>
            <w:tcW w:w="644" w:type="dxa"/>
          </w:tcPr>
          <w:p w14:paraId="2B090C0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86.31</w:t>
            </w:r>
          </w:p>
        </w:tc>
        <w:tc>
          <w:tcPr>
            <w:tcW w:w="644" w:type="dxa"/>
          </w:tcPr>
          <w:p w14:paraId="151FC489" w14:textId="77777777" w:rsidR="009D4A93" w:rsidRPr="00536CFD" w:rsidRDefault="009D4A93" w:rsidP="009D4A93">
            <w:pPr>
              <w:spacing w:after="0"/>
              <w:jc w:val="center"/>
              <w:rPr>
                <w:rFonts w:ascii="Times New Roman" w:hAnsi="Times New Roman"/>
                <w:sz w:val="20"/>
                <w:szCs w:val="20"/>
              </w:rPr>
            </w:pPr>
          </w:p>
        </w:tc>
        <w:tc>
          <w:tcPr>
            <w:tcW w:w="715" w:type="dxa"/>
          </w:tcPr>
          <w:p w14:paraId="7EC37AA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54.62</w:t>
            </w:r>
          </w:p>
        </w:tc>
        <w:tc>
          <w:tcPr>
            <w:tcW w:w="715" w:type="dxa"/>
          </w:tcPr>
          <w:p w14:paraId="2C4481E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52.63</w:t>
            </w:r>
          </w:p>
        </w:tc>
        <w:tc>
          <w:tcPr>
            <w:tcW w:w="715" w:type="dxa"/>
          </w:tcPr>
          <w:p w14:paraId="5B3847D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49.33</w:t>
            </w:r>
          </w:p>
        </w:tc>
        <w:tc>
          <w:tcPr>
            <w:tcW w:w="715" w:type="dxa"/>
          </w:tcPr>
          <w:p w14:paraId="1929FE65" w14:textId="77777777" w:rsidR="009D4A93" w:rsidRPr="00536CFD" w:rsidRDefault="009D4A93" w:rsidP="009D4A93">
            <w:pPr>
              <w:spacing w:after="0"/>
              <w:jc w:val="center"/>
              <w:rPr>
                <w:rFonts w:ascii="Times New Roman" w:hAnsi="Times New Roman"/>
                <w:sz w:val="20"/>
                <w:szCs w:val="20"/>
              </w:rPr>
            </w:pPr>
          </w:p>
        </w:tc>
        <w:tc>
          <w:tcPr>
            <w:tcW w:w="737" w:type="dxa"/>
          </w:tcPr>
          <w:p w14:paraId="7B112DF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22.27</w:t>
            </w:r>
          </w:p>
        </w:tc>
        <w:tc>
          <w:tcPr>
            <w:tcW w:w="738" w:type="dxa"/>
          </w:tcPr>
          <w:p w14:paraId="5D1E908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25.86</w:t>
            </w:r>
          </w:p>
        </w:tc>
        <w:tc>
          <w:tcPr>
            <w:tcW w:w="737" w:type="dxa"/>
          </w:tcPr>
          <w:p w14:paraId="789ADB9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21.70</w:t>
            </w:r>
          </w:p>
        </w:tc>
        <w:tc>
          <w:tcPr>
            <w:tcW w:w="738" w:type="dxa"/>
          </w:tcPr>
          <w:p w14:paraId="67E7F0B2" w14:textId="77777777" w:rsidR="009D4A93" w:rsidRPr="00536CFD" w:rsidRDefault="009D4A93" w:rsidP="009D4A93">
            <w:pPr>
              <w:spacing w:after="0"/>
              <w:jc w:val="center"/>
              <w:rPr>
                <w:rFonts w:ascii="Times New Roman" w:hAnsi="Times New Roman"/>
                <w:sz w:val="20"/>
                <w:szCs w:val="20"/>
              </w:rPr>
            </w:pPr>
          </w:p>
        </w:tc>
      </w:tr>
      <w:tr w:rsidR="009D4A93" w:rsidRPr="00536CFD" w14:paraId="5DC3CA3F" w14:textId="77777777" w:rsidTr="009D4A93">
        <w:trPr>
          <w:cantSplit/>
          <w:trHeight w:val="22"/>
        </w:trPr>
        <w:tc>
          <w:tcPr>
            <w:tcW w:w="500" w:type="dxa"/>
            <w:vMerge/>
          </w:tcPr>
          <w:p w14:paraId="3C34904A" w14:textId="77777777" w:rsidR="009D4A93" w:rsidRPr="00536CFD" w:rsidRDefault="009D4A93" w:rsidP="009D4A93">
            <w:pPr>
              <w:spacing w:after="0"/>
              <w:jc w:val="center"/>
              <w:rPr>
                <w:rFonts w:ascii="Times New Roman" w:hAnsi="Times New Roman"/>
                <w:sz w:val="20"/>
                <w:szCs w:val="20"/>
              </w:rPr>
            </w:pPr>
          </w:p>
        </w:tc>
        <w:tc>
          <w:tcPr>
            <w:tcW w:w="505" w:type="dxa"/>
            <w:vMerge/>
          </w:tcPr>
          <w:p w14:paraId="479030FD" w14:textId="77777777" w:rsidR="009D4A93" w:rsidRPr="00536CFD" w:rsidRDefault="009D4A93" w:rsidP="009D4A93">
            <w:pPr>
              <w:spacing w:after="0"/>
              <w:jc w:val="center"/>
              <w:rPr>
                <w:rFonts w:ascii="Times New Roman" w:hAnsi="Times New Roman"/>
                <w:sz w:val="20"/>
                <w:szCs w:val="20"/>
              </w:rPr>
            </w:pPr>
          </w:p>
        </w:tc>
        <w:tc>
          <w:tcPr>
            <w:tcW w:w="505" w:type="dxa"/>
          </w:tcPr>
          <w:p w14:paraId="01B4260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95%</w:t>
            </w:r>
          </w:p>
        </w:tc>
        <w:tc>
          <w:tcPr>
            <w:tcW w:w="643" w:type="dxa"/>
          </w:tcPr>
          <w:p w14:paraId="7724161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120.41</w:t>
            </w:r>
          </w:p>
        </w:tc>
        <w:tc>
          <w:tcPr>
            <w:tcW w:w="644" w:type="dxa"/>
          </w:tcPr>
          <w:p w14:paraId="3E703CA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121.31</w:t>
            </w:r>
          </w:p>
        </w:tc>
        <w:tc>
          <w:tcPr>
            <w:tcW w:w="644" w:type="dxa"/>
          </w:tcPr>
          <w:p w14:paraId="72D3005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112.82</w:t>
            </w:r>
          </w:p>
        </w:tc>
        <w:tc>
          <w:tcPr>
            <w:tcW w:w="644" w:type="dxa"/>
          </w:tcPr>
          <w:p w14:paraId="23C03217" w14:textId="77777777" w:rsidR="009D4A93" w:rsidRPr="00536CFD" w:rsidRDefault="009D4A93" w:rsidP="009D4A93">
            <w:pPr>
              <w:spacing w:after="0"/>
              <w:jc w:val="center"/>
              <w:rPr>
                <w:rFonts w:ascii="Times New Roman" w:hAnsi="Times New Roman"/>
                <w:sz w:val="20"/>
                <w:szCs w:val="20"/>
              </w:rPr>
            </w:pPr>
          </w:p>
        </w:tc>
        <w:tc>
          <w:tcPr>
            <w:tcW w:w="715" w:type="dxa"/>
          </w:tcPr>
          <w:p w14:paraId="1F4E703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84.76</w:t>
            </w:r>
          </w:p>
        </w:tc>
        <w:tc>
          <w:tcPr>
            <w:tcW w:w="715" w:type="dxa"/>
          </w:tcPr>
          <w:p w14:paraId="1F33382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81.61</w:t>
            </w:r>
          </w:p>
        </w:tc>
        <w:tc>
          <w:tcPr>
            <w:tcW w:w="715" w:type="dxa"/>
          </w:tcPr>
          <w:p w14:paraId="0AFF2CE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75.09</w:t>
            </w:r>
          </w:p>
        </w:tc>
        <w:tc>
          <w:tcPr>
            <w:tcW w:w="715" w:type="dxa"/>
          </w:tcPr>
          <w:p w14:paraId="7A698A5A" w14:textId="77777777" w:rsidR="009D4A93" w:rsidRPr="00536CFD" w:rsidRDefault="009D4A93" w:rsidP="009D4A93">
            <w:pPr>
              <w:spacing w:after="0"/>
              <w:jc w:val="center"/>
              <w:rPr>
                <w:rFonts w:ascii="Times New Roman" w:hAnsi="Times New Roman"/>
                <w:sz w:val="20"/>
                <w:szCs w:val="20"/>
              </w:rPr>
            </w:pPr>
          </w:p>
        </w:tc>
        <w:tc>
          <w:tcPr>
            <w:tcW w:w="737" w:type="dxa"/>
          </w:tcPr>
          <w:p w14:paraId="3DED9E0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46.45</w:t>
            </w:r>
          </w:p>
        </w:tc>
        <w:tc>
          <w:tcPr>
            <w:tcW w:w="738" w:type="dxa"/>
          </w:tcPr>
          <w:p w14:paraId="5FD330D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50.51</w:t>
            </w:r>
          </w:p>
        </w:tc>
        <w:tc>
          <w:tcPr>
            <w:tcW w:w="737" w:type="dxa"/>
          </w:tcPr>
          <w:p w14:paraId="440606A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45.51</w:t>
            </w:r>
          </w:p>
        </w:tc>
        <w:tc>
          <w:tcPr>
            <w:tcW w:w="738" w:type="dxa"/>
          </w:tcPr>
          <w:p w14:paraId="3639AD8D" w14:textId="77777777" w:rsidR="009D4A93" w:rsidRPr="00536CFD" w:rsidRDefault="009D4A93" w:rsidP="009D4A93">
            <w:pPr>
              <w:spacing w:after="0"/>
              <w:jc w:val="center"/>
              <w:rPr>
                <w:rFonts w:ascii="Times New Roman" w:hAnsi="Times New Roman"/>
                <w:sz w:val="20"/>
                <w:szCs w:val="20"/>
              </w:rPr>
            </w:pPr>
          </w:p>
        </w:tc>
      </w:tr>
      <w:tr w:rsidR="009D4A93" w:rsidRPr="00536CFD" w14:paraId="002EAF57" w14:textId="77777777" w:rsidTr="009D4A93">
        <w:trPr>
          <w:cantSplit/>
          <w:trHeight w:val="22"/>
        </w:trPr>
        <w:tc>
          <w:tcPr>
            <w:tcW w:w="500" w:type="dxa"/>
            <w:vMerge/>
          </w:tcPr>
          <w:p w14:paraId="3B32AC6D" w14:textId="77777777" w:rsidR="009D4A93" w:rsidRPr="00536CFD" w:rsidRDefault="009D4A93" w:rsidP="009D4A93">
            <w:pPr>
              <w:spacing w:after="0"/>
              <w:jc w:val="center"/>
              <w:rPr>
                <w:rFonts w:ascii="Times New Roman" w:hAnsi="Times New Roman"/>
                <w:sz w:val="20"/>
                <w:szCs w:val="20"/>
              </w:rPr>
            </w:pPr>
          </w:p>
        </w:tc>
        <w:tc>
          <w:tcPr>
            <w:tcW w:w="505" w:type="dxa"/>
            <w:vMerge/>
          </w:tcPr>
          <w:p w14:paraId="220DADC3" w14:textId="77777777" w:rsidR="009D4A93" w:rsidRPr="00536CFD" w:rsidRDefault="009D4A93" w:rsidP="009D4A93">
            <w:pPr>
              <w:spacing w:after="0"/>
              <w:jc w:val="center"/>
              <w:rPr>
                <w:rFonts w:ascii="Times New Roman" w:hAnsi="Times New Roman"/>
                <w:sz w:val="20"/>
                <w:szCs w:val="20"/>
              </w:rPr>
            </w:pPr>
          </w:p>
        </w:tc>
        <w:tc>
          <w:tcPr>
            <w:tcW w:w="505" w:type="dxa"/>
          </w:tcPr>
          <w:p w14:paraId="01CFD55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Mean</w:t>
            </w:r>
          </w:p>
        </w:tc>
        <w:tc>
          <w:tcPr>
            <w:tcW w:w="643" w:type="dxa"/>
          </w:tcPr>
          <w:p w14:paraId="1D38AA6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90.67</w:t>
            </w:r>
          </w:p>
        </w:tc>
        <w:tc>
          <w:tcPr>
            <w:tcW w:w="644" w:type="dxa"/>
          </w:tcPr>
          <w:p w14:paraId="21EECB1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93.20</w:t>
            </w:r>
          </w:p>
        </w:tc>
        <w:tc>
          <w:tcPr>
            <w:tcW w:w="644" w:type="dxa"/>
          </w:tcPr>
          <w:p w14:paraId="60F1809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86.40</w:t>
            </w:r>
          </w:p>
        </w:tc>
        <w:tc>
          <w:tcPr>
            <w:tcW w:w="644" w:type="dxa"/>
          </w:tcPr>
          <w:p w14:paraId="2BDE7E17" w14:textId="77777777" w:rsidR="009D4A93" w:rsidRPr="00536CFD" w:rsidRDefault="009D4A93" w:rsidP="009D4A93">
            <w:pPr>
              <w:spacing w:after="0"/>
              <w:jc w:val="center"/>
              <w:rPr>
                <w:rFonts w:ascii="Times New Roman" w:hAnsi="Times New Roman"/>
                <w:sz w:val="20"/>
                <w:szCs w:val="20"/>
              </w:rPr>
            </w:pPr>
          </w:p>
        </w:tc>
        <w:tc>
          <w:tcPr>
            <w:tcW w:w="715" w:type="dxa"/>
          </w:tcPr>
          <w:p w14:paraId="1198076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57.59</w:t>
            </w:r>
          </w:p>
        </w:tc>
        <w:tc>
          <w:tcPr>
            <w:tcW w:w="715" w:type="dxa"/>
          </w:tcPr>
          <w:p w14:paraId="1060EC7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56.18</w:t>
            </w:r>
          </w:p>
        </w:tc>
        <w:tc>
          <w:tcPr>
            <w:tcW w:w="715" w:type="dxa"/>
          </w:tcPr>
          <w:p w14:paraId="715C2FE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51.94</w:t>
            </w:r>
          </w:p>
        </w:tc>
        <w:tc>
          <w:tcPr>
            <w:tcW w:w="715" w:type="dxa"/>
          </w:tcPr>
          <w:p w14:paraId="78A58960" w14:textId="77777777" w:rsidR="009D4A93" w:rsidRPr="00536CFD" w:rsidRDefault="009D4A93" w:rsidP="009D4A93">
            <w:pPr>
              <w:spacing w:after="0"/>
              <w:jc w:val="center"/>
              <w:rPr>
                <w:rFonts w:ascii="Times New Roman" w:hAnsi="Times New Roman"/>
                <w:sz w:val="20"/>
                <w:szCs w:val="20"/>
              </w:rPr>
            </w:pPr>
          </w:p>
        </w:tc>
        <w:tc>
          <w:tcPr>
            <w:tcW w:w="737" w:type="dxa"/>
          </w:tcPr>
          <w:p w14:paraId="0194226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26.33</w:t>
            </w:r>
          </w:p>
        </w:tc>
        <w:tc>
          <w:tcPr>
            <w:tcW w:w="738" w:type="dxa"/>
          </w:tcPr>
          <w:p w14:paraId="2AF7E2D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30.32</w:t>
            </w:r>
          </w:p>
        </w:tc>
        <w:tc>
          <w:tcPr>
            <w:tcW w:w="737" w:type="dxa"/>
          </w:tcPr>
          <w:p w14:paraId="02C638C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26.51</w:t>
            </w:r>
          </w:p>
        </w:tc>
        <w:tc>
          <w:tcPr>
            <w:tcW w:w="738" w:type="dxa"/>
          </w:tcPr>
          <w:p w14:paraId="097C49FA" w14:textId="77777777" w:rsidR="009D4A93" w:rsidRPr="00536CFD" w:rsidRDefault="009D4A93" w:rsidP="009D4A93">
            <w:pPr>
              <w:spacing w:after="0"/>
              <w:jc w:val="center"/>
              <w:rPr>
                <w:rFonts w:ascii="Times New Roman" w:hAnsi="Times New Roman"/>
                <w:sz w:val="20"/>
                <w:szCs w:val="20"/>
              </w:rPr>
            </w:pPr>
          </w:p>
        </w:tc>
      </w:tr>
      <w:tr w:rsidR="009D4A93" w:rsidRPr="00536CFD" w14:paraId="219C0707" w14:textId="77777777" w:rsidTr="009D4A93">
        <w:trPr>
          <w:cantSplit/>
          <w:trHeight w:val="22"/>
        </w:trPr>
        <w:tc>
          <w:tcPr>
            <w:tcW w:w="500" w:type="dxa"/>
            <w:vMerge/>
          </w:tcPr>
          <w:p w14:paraId="1A094F36" w14:textId="77777777" w:rsidR="009D4A93" w:rsidRPr="00536CFD" w:rsidRDefault="009D4A93" w:rsidP="009D4A93">
            <w:pPr>
              <w:spacing w:after="0"/>
              <w:jc w:val="center"/>
              <w:rPr>
                <w:rFonts w:ascii="Times New Roman" w:hAnsi="Times New Roman"/>
                <w:sz w:val="20"/>
                <w:szCs w:val="20"/>
              </w:rPr>
            </w:pPr>
          </w:p>
        </w:tc>
        <w:tc>
          <w:tcPr>
            <w:tcW w:w="505" w:type="dxa"/>
            <w:vMerge w:val="restart"/>
          </w:tcPr>
          <w:p w14:paraId="72309CC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DL:</w:t>
            </w:r>
          </w:p>
          <w:p w14:paraId="4DFC6DC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Delay CDF</w:t>
            </w:r>
          </w:p>
          <w:p w14:paraId="680B9AE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[s]</w:t>
            </w:r>
          </w:p>
        </w:tc>
        <w:tc>
          <w:tcPr>
            <w:tcW w:w="505" w:type="dxa"/>
          </w:tcPr>
          <w:p w14:paraId="204220D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w:t>
            </w:r>
          </w:p>
        </w:tc>
        <w:tc>
          <w:tcPr>
            <w:tcW w:w="643" w:type="dxa"/>
          </w:tcPr>
          <w:p w14:paraId="23F326F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0.034</w:t>
            </w:r>
          </w:p>
        </w:tc>
        <w:tc>
          <w:tcPr>
            <w:tcW w:w="644" w:type="dxa"/>
          </w:tcPr>
          <w:p w14:paraId="422B589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0.030</w:t>
            </w:r>
          </w:p>
        </w:tc>
        <w:tc>
          <w:tcPr>
            <w:tcW w:w="644" w:type="dxa"/>
          </w:tcPr>
          <w:p w14:paraId="13F2071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0.037</w:t>
            </w:r>
          </w:p>
        </w:tc>
        <w:tc>
          <w:tcPr>
            <w:tcW w:w="644" w:type="dxa"/>
          </w:tcPr>
          <w:p w14:paraId="4707220C" w14:textId="77777777" w:rsidR="009D4A93" w:rsidRPr="00536CFD" w:rsidRDefault="009D4A93" w:rsidP="009D4A93">
            <w:pPr>
              <w:spacing w:after="0"/>
              <w:jc w:val="center"/>
              <w:rPr>
                <w:rFonts w:ascii="Times New Roman" w:hAnsi="Times New Roman"/>
                <w:sz w:val="20"/>
                <w:szCs w:val="20"/>
              </w:rPr>
            </w:pPr>
          </w:p>
        </w:tc>
        <w:tc>
          <w:tcPr>
            <w:tcW w:w="715" w:type="dxa"/>
          </w:tcPr>
          <w:p w14:paraId="77B209A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0.170</w:t>
            </w:r>
          </w:p>
        </w:tc>
        <w:tc>
          <w:tcPr>
            <w:tcW w:w="715" w:type="dxa"/>
          </w:tcPr>
          <w:p w14:paraId="0428A5E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0.109</w:t>
            </w:r>
          </w:p>
        </w:tc>
        <w:tc>
          <w:tcPr>
            <w:tcW w:w="715" w:type="dxa"/>
          </w:tcPr>
          <w:p w14:paraId="26717A2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0.131</w:t>
            </w:r>
          </w:p>
        </w:tc>
        <w:tc>
          <w:tcPr>
            <w:tcW w:w="715" w:type="dxa"/>
          </w:tcPr>
          <w:p w14:paraId="6A678E24" w14:textId="77777777" w:rsidR="009D4A93" w:rsidRPr="00536CFD" w:rsidRDefault="009D4A93" w:rsidP="009D4A93">
            <w:pPr>
              <w:spacing w:after="0"/>
              <w:jc w:val="center"/>
              <w:rPr>
                <w:rFonts w:ascii="Times New Roman" w:hAnsi="Times New Roman"/>
                <w:sz w:val="20"/>
                <w:szCs w:val="20"/>
              </w:rPr>
            </w:pPr>
          </w:p>
        </w:tc>
        <w:tc>
          <w:tcPr>
            <w:tcW w:w="737" w:type="dxa"/>
          </w:tcPr>
          <w:p w14:paraId="21C4FDD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0.225</w:t>
            </w:r>
          </w:p>
        </w:tc>
        <w:tc>
          <w:tcPr>
            <w:tcW w:w="738" w:type="dxa"/>
          </w:tcPr>
          <w:p w14:paraId="1D4A866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0.168</w:t>
            </w:r>
          </w:p>
        </w:tc>
        <w:tc>
          <w:tcPr>
            <w:tcW w:w="737" w:type="dxa"/>
          </w:tcPr>
          <w:p w14:paraId="4F1410B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0.251</w:t>
            </w:r>
          </w:p>
        </w:tc>
        <w:tc>
          <w:tcPr>
            <w:tcW w:w="738" w:type="dxa"/>
          </w:tcPr>
          <w:p w14:paraId="4FD10AE6" w14:textId="77777777" w:rsidR="009D4A93" w:rsidRPr="00536CFD" w:rsidRDefault="009D4A93" w:rsidP="009D4A93">
            <w:pPr>
              <w:spacing w:after="0"/>
              <w:jc w:val="center"/>
              <w:rPr>
                <w:rFonts w:ascii="Times New Roman" w:hAnsi="Times New Roman"/>
                <w:sz w:val="20"/>
                <w:szCs w:val="20"/>
              </w:rPr>
            </w:pPr>
          </w:p>
        </w:tc>
      </w:tr>
      <w:tr w:rsidR="009D4A93" w:rsidRPr="00536CFD" w14:paraId="302825A2" w14:textId="77777777" w:rsidTr="009D4A93">
        <w:trPr>
          <w:cantSplit/>
          <w:trHeight w:val="22"/>
        </w:trPr>
        <w:tc>
          <w:tcPr>
            <w:tcW w:w="500" w:type="dxa"/>
            <w:vMerge/>
          </w:tcPr>
          <w:p w14:paraId="79C6597A" w14:textId="77777777" w:rsidR="009D4A93" w:rsidRPr="00536CFD" w:rsidRDefault="009D4A93" w:rsidP="009D4A93">
            <w:pPr>
              <w:spacing w:after="0"/>
              <w:jc w:val="center"/>
              <w:rPr>
                <w:rFonts w:ascii="Times New Roman" w:hAnsi="Times New Roman"/>
                <w:sz w:val="20"/>
                <w:szCs w:val="20"/>
              </w:rPr>
            </w:pPr>
          </w:p>
        </w:tc>
        <w:tc>
          <w:tcPr>
            <w:tcW w:w="505" w:type="dxa"/>
            <w:vMerge/>
          </w:tcPr>
          <w:p w14:paraId="49639787" w14:textId="77777777" w:rsidR="009D4A93" w:rsidRPr="00536CFD" w:rsidRDefault="009D4A93" w:rsidP="009D4A93">
            <w:pPr>
              <w:spacing w:after="0"/>
              <w:jc w:val="center"/>
              <w:rPr>
                <w:rFonts w:ascii="Times New Roman" w:hAnsi="Times New Roman"/>
                <w:sz w:val="20"/>
                <w:szCs w:val="20"/>
              </w:rPr>
            </w:pPr>
          </w:p>
        </w:tc>
        <w:tc>
          <w:tcPr>
            <w:tcW w:w="505" w:type="dxa"/>
          </w:tcPr>
          <w:p w14:paraId="0CB8F9C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50%</w:t>
            </w:r>
          </w:p>
        </w:tc>
        <w:tc>
          <w:tcPr>
            <w:tcW w:w="643" w:type="dxa"/>
          </w:tcPr>
          <w:p w14:paraId="2F52F1B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0.219</w:t>
            </w:r>
          </w:p>
        </w:tc>
        <w:tc>
          <w:tcPr>
            <w:tcW w:w="644" w:type="dxa"/>
          </w:tcPr>
          <w:p w14:paraId="1C0F58E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0.099</w:t>
            </w:r>
          </w:p>
        </w:tc>
        <w:tc>
          <w:tcPr>
            <w:tcW w:w="644" w:type="dxa"/>
          </w:tcPr>
          <w:p w14:paraId="13D1D5C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0.219</w:t>
            </w:r>
          </w:p>
        </w:tc>
        <w:tc>
          <w:tcPr>
            <w:tcW w:w="644" w:type="dxa"/>
          </w:tcPr>
          <w:p w14:paraId="740320E9" w14:textId="77777777" w:rsidR="009D4A93" w:rsidRPr="00536CFD" w:rsidRDefault="009D4A93" w:rsidP="009D4A93">
            <w:pPr>
              <w:spacing w:after="0"/>
              <w:jc w:val="center"/>
              <w:rPr>
                <w:rFonts w:ascii="Times New Roman" w:hAnsi="Times New Roman"/>
                <w:sz w:val="20"/>
                <w:szCs w:val="20"/>
              </w:rPr>
            </w:pPr>
          </w:p>
        </w:tc>
        <w:tc>
          <w:tcPr>
            <w:tcW w:w="715" w:type="dxa"/>
          </w:tcPr>
          <w:p w14:paraId="371280E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1.020</w:t>
            </w:r>
          </w:p>
        </w:tc>
        <w:tc>
          <w:tcPr>
            <w:tcW w:w="715" w:type="dxa"/>
          </w:tcPr>
          <w:p w14:paraId="5BE729D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1.210</w:t>
            </w:r>
          </w:p>
        </w:tc>
        <w:tc>
          <w:tcPr>
            <w:tcW w:w="715" w:type="dxa"/>
          </w:tcPr>
          <w:p w14:paraId="4E3D828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1.221</w:t>
            </w:r>
          </w:p>
        </w:tc>
        <w:tc>
          <w:tcPr>
            <w:tcW w:w="715" w:type="dxa"/>
          </w:tcPr>
          <w:p w14:paraId="28C5A2A7" w14:textId="77777777" w:rsidR="009D4A93" w:rsidRPr="00536CFD" w:rsidRDefault="009D4A93" w:rsidP="009D4A93">
            <w:pPr>
              <w:spacing w:after="0"/>
              <w:jc w:val="center"/>
              <w:rPr>
                <w:rFonts w:ascii="Times New Roman" w:hAnsi="Times New Roman"/>
                <w:sz w:val="20"/>
                <w:szCs w:val="20"/>
              </w:rPr>
            </w:pPr>
          </w:p>
        </w:tc>
        <w:tc>
          <w:tcPr>
            <w:tcW w:w="737" w:type="dxa"/>
          </w:tcPr>
          <w:p w14:paraId="40FDB53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2.326</w:t>
            </w:r>
          </w:p>
        </w:tc>
        <w:tc>
          <w:tcPr>
            <w:tcW w:w="738" w:type="dxa"/>
          </w:tcPr>
          <w:p w14:paraId="601CC81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1.758</w:t>
            </w:r>
          </w:p>
        </w:tc>
        <w:tc>
          <w:tcPr>
            <w:tcW w:w="737" w:type="dxa"/>
          </w:tcPr>
          <w:p w14:paraId="4B3498B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1.761</w:t>
            </w:r>
          </w:p>
        </w:tc>
        <w:tc>
          <w:tcPr>
            <w:tcW w:w="738" w:type="dxa"/>
          </w:tcPr>
          <w:p w14:paraId="3BD331BE" w14:textId="77777777" w:rsidR="009D4A93" w:rsidRPr="00536CFD" w:rsidRDefault="009D4A93" w:rsidP="009D4A93">
            <w:pPr>
              <w:spacing w:after="0"/>
              <w:jc w:val="center"/>
              <w:rPr>
                <w:rFonts w:ascii="Times New Roman" w:hAnsi="Times New Roman"/>
                <w:sz w:val="20"/>
                <w:szCs w:val="20"/>
              </w:rPr>
            </w:pPr>
          </w:p>
        </w:tc>
      </w:tr>
      <w:tr w:rsidR="009D4A93" w:rsidRPr="00536CFD" w14:paraId="5B26DD89" w14:textId="77777777" w:rsidTr="009D4A93">
        <w:trPr>
          <w:cantSplit/>
          <w:trHeight w:val="22"/>
        </w:trPr>
        <w:tc>
          <w:tcPr>
            <w:tcW w:w="500" w:type="dxa"/>
            <w:vMerge/>
          </w:tcPr>
          <w:p w14:paraId="0F388901" w14:textId="77777777" w:rsidR="009D4A93" w:rsidRPr="00536CFD" w:rsidRDefault="009D4A93" w:rsidP="009D4A93">
            <w:pPr>
              <w:spacing w:after="0"/>
              <w:jc w:val="center"/>
              <w:rPr>
                <w:rFonts w:ascii="Times New Roman" w:hAnsi="Times New Roman"/>
                <w:sz w:val="20"/>
                <w:szCs w:val="20"/>
              </w:rPr>
            </w:pPr>
          </w:p>
        </w:tc>
        <w:tc>
          <w:tcPr>
            <w:tcW w:w="505" w:type="dxa"/>
            <w:vMerge/>
          </w:tcPr>
          <w:p w14:paraId="06EC93FA" w14:textId="77777777" w:rsidR="009D4A93" w:rsidRPr="00536CFD" w:rsidRDefault="009D4A93" w:rsidP="009D4A93">
            <w:pPr>
              <w:spacing w:after="0"/>
              <w:jc w:val="center"/>
              <w:rPr>
                <w:rFonts w:ascii="Times New Roman" w:hAnsi="Times New Roman"/>
                <w:sz w:val="20"/>
                <w:szCs w:val="20"/>
              </w:rPr>
            </w:pPr>
          </w:p>
        </w:tc>
        <w:tc>
          <w:tcPr>
            <w:tcW w:w="505" w:type="dxa"/>
          </w:tcPr>
          <w:p w14:paraId="3CF5A28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95%</w:t>
            </w:r>
          </w:p>
        </w:tc>
        <w:tc>
          <w:tcPr>
            <w:tcW w:w="643" w:type="dxa"/>
          </w:tcPr>
          <w:p w14:paraId="3669048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1.074</w:t>
            </w:r>
          </w:p>
        </w:tc>
        <w:tc>
          <w:tcPr>
            <w:tcW w:w="644" w:type="dxa"/>
          </w:tcPr>
          <w:p w14:paraId="75DFE06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0.543</w:t>
            </w:r>
          </w:p>
        </w:tc>
        <w:tc>
          <w:tcPr>
            <w:tcW w:w="644" w:type="dxa"/>
          </w:tcPr>
          <w:p w14:paraId="28B080B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1.458</w:t>
            </w:r>
          </w:p>
        </w:tc>
        <w:tc>
          <w:tcPr>
            <w:tcW w:w="644" w:type="dxa"/>
          </w:tcPr>
          <w:p w14:paraId="164700C4" w14:textId="77777777" w:rsidR="009D4A93" w:rsidRPr="00536CFD" w:rsidRDefault="009D4A93" w:rsidP="009D4A93">
            <w:pPr>
              <w:spacing w:after="0"/>
              <w:jc w:val="center"/>
              <w:rPr>
                <w:rFonts w:ascii="Times New Roman" w:hAnsi="Times New Roman"/>
                <w:sz w:val="20"/>
                <w:szCs w:val="20"/>
              </w:rPr>
            </w:pPr>
          </w:p>
        </w:tc>
        <w:tc>
          <w:tcPr>
            <w:tcW w:w="715" w:type="dxa"/>
          </w:tcPr>
          <w:p w14:paraId="3CF5249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3.984</w:t>
            </w:r>
          </w:p>
        </w:tc>
        <w:tc>
          <w:tcPr>
            <w:tcW w:w="715" w:type="dxa"/>
          </w:tcPr>
          <w:p w14:paraId="23896FF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5.008</w:t>
            </w:r>
          </w:p>
        </w:tc>
        <w:tc>
          <w:tcPr>
            <w:tcW w:w="715" w:type="dxa"/>
          </w:tcPr>
          <w:p w14:paraId="6A99895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6.284</w:t>
            </w:r>
          </w:p>
        </w:tc>
        <w:tc>
          <w:tcPr>
            <w:tcW w:w="715" w:type="dxa"/>
          </w:tcPr>
          <w:p w14:paraId="1F376976" w14:textId="77777777" w:rsidR="009D4A93" w:rsidRPr="00536CFD" w:rsidRDefault="009D4A93" w:rsidP="009D4A93">
            <w:pPr>
              <w:spacing w:after="0"/>
              <w:jc w:val="center"/>
              <w:rPr>
                <w:rFonts w:ascii="Times New Roman" w:hAnsi="Times New Roman"/>
                <w:sz w:val="20"/>
                <w:szCs w:val="20"/>
              </w:rPr>
            </w:pPr>
          </w:p>
        </w:tc>
        <w:tc>
          <w:tcPr>
            <w:tcW w:w="737" w:type="dxa"/>
          </w:tcPr>
          <w:p w14:paraId="2BD5A1F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9.477</w:t>
            </w:r>
          </w:p>
        </w:tc>
        <w:tc>
          <w:tcPr>
            <w:tcW w:w="738" w:type="dxa"/>
          </w:tcPr>
          <w:p w14:paraId="3DB27EB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7.743</w:t>
            </w:r>
          </w:p>
        </w:tc>
        <w:tc>
          <w:tcPr>
            <w:tcW w:w="737" w:type="dxa"/>
          </w:tcPr>
          <w:p w14:paraId="03B4A02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7.913</w:t>
            </w:r>
          </w:p>
        </w:tc>
        <w:tc>
          <w:tcPr>
            <w:tcW w:w="738" w:type="dxa"/>
          </w:tcPr>
          <w:p w14:paraId="4370D84D" w14:textId="77777777" w:rsidR="009D4A93" w:rsidRPr="00536CFD" w:rsidRDefault="009D4A93" w:rsidP="009D4A93">
            <w:pPr>
              <w:spacing w:after="0"/>
              <w:jc w:val="center"/>
              <w:rPr>
                <w:rFonts w:ascii="Times New Roman" w:hAnsi="Times New Roman"/>
                <w:sz w:val="20"/>
                <w:szCs w:val="20"/>
              </w:rPr>
            </w:pPr>
          </w:p>
        </w:tc>
      </w:tr>
      <w:tr w:rsidR="009D4A93" w:rsidRPr="00536CFD" w14:paraId="0279233E" w14:textId="77777777" w:rsidTr="009D4A93">
        <w:trPr>
          <w:cantSplit/>
          <w:trHeight w:val="22"/>
        </w:trPr>
        <w:tc>
          <w:tcPr>
            <w:tcW w:w="500" w:type="dxa"/>
            <w:vMerge/>
          </w:tcPr>
          <w:p w14:paraId="7D0DA942" w14:textId="77777777" w:rsidR="009D4A93" w:rsidRPr="00536CFD" w:rsidRDefault="009D4A93" w:rsidP="009D4A93">
            <w:pPr>
              <w:spacing w:after="0"/>
              <w:jc w:val="center"/>
              <w:rPr>
                <w:rFonts w:ascii="Times New Roman" w:hAnsi="Times New Roman"/>
                <w:sz w:val="20"/>
                <w:szCs w:val="20"/>
              </w:rPr>
            </w:pPr>
          </w:p>
        </w:tc>
        <w:tc>
          <w:tcPr>
            <w:tcW w:w="505" w:type="dxa"/>
            <w:vMerge/>
          </w:tcPr>
          <w:p w14:paraId="102336AD" w14:textId="77777777" w:rsidR="009D4A93" w:rsidRPr="00536CFD" w:rsidRDefault="009D4A93" w:rsidP="009D4A93">
            <w:pPr>
              <w:spacing w:after="0"/>
              <w:jc w:val="center"/>
              <w:rPr>
                <w:rFonts w:ascii="Times New Roman" w:hAnsi="Times New Roman"/>
                <w:sz w:val="20"/>
                <w:szCs w:val="20"/>
              </w:rPr>
            </w:pPr>
          </w:p>
        </w:tc>
        <w:tc>
          <w:tcPr>
            <w:tcW w:w="505" w:type="dxa"/>
          </w:tcPr>
          <w:p w14:paraId="31F53B5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Mean</w:t>
            </w:r>
          </w:p>
        </w:tc>
        <w:tc>
          <w:tcPr>
            <w:tcW w:w="643" w:type="dxa"/>
          </w:tcPr>
          <w:p w14:paraId="27F1CD0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0.411</w:t>
            </w:r>
          </w:p>
        </w:tc>
        <w:tc>
          <w:tcPr>
            <w:tcW w:w="644" w:type="dxa"/>
          </w:tcPr>
          <w:p w14:paraId="0252376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36.46</w:t>
            </w:r>
          </w:p>
        </w:tc>
        <w:tc>
          <w:tcPr>
            <w:tcW w:w="644" w:type="dxa"/>
          </w:tcPr>
          <w:p w14:paraId="2724C31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0.489</w:t>
            </w:r>
          </w:p>
        </w:tc>
        <w:tc>
          <w:tcPr>
            <w:tcW w:w="644" w:type="dxa"/>
          </w:tcPr>
          <w:p w14:paraId="485DEEB4" w14:textId="77777777" w:rsidR="009D4A93" w:rsidRPr="00536CFD" w:rsidRDefault="009D4A93" w:rsidP="009D4A93">
            <w:pPr>
              <w:spacing w:after="0"/>
              <w:jc w:val="center"/>
              <w:rPr>
                <w:rFonts w:ascii="Times New Roman" w:hAnsi="Times New Roman"/>
                <w:sz w:val="20"/>
                <w:szCs w:val="20"/>
              </w:rPr>
            </w:pPr>
          </w:p>
        </w:tc>
        <w:tc>
          <w:tcPr>
            <w:tcW w:w="715" w:type="dxa"/>
          </w:tcPr>
          <w:p w14:paraId="569B3E9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1.747</w:t>
            </w:r>
          </w:p>
        </w:tc>
        <w:tc>
          <w:tcPr>
            <w:tcW w:w="715" w:type="dxa"/>
          </w:tcPr>
          <w:p w14:paraId="1CBD007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2.115</w:t>
            </w:r>
          </w:p>
        </w:tc>
        <w:tc>
          <w:tcPr>
            <w:tcW w:w="715" w:type="dxa"/>
          </w:tcPr>
          <w:p w14:paraId="19C7DEB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2.366</w:t>
            </w:r>
          </w:p>
        </w:tc>
        <w:tc>
          <w:tcPr>
            <w:tcW w:w="715" w:type="dxa"/>
          </w:tcPr>
          <w:p w14:paraId="23B844F6" w14:textId="77777777" w:rsidR="009D4A93" w:rsidRPr="00536CFD" w:rsidRDefault="009D4A93" w:rsidP="009D4A93">
            <w:pPr>
              <w:spacing w:after="0"/>
              <w:jc w:val="center"/>
              <w:rPr>
                <w:rFonts w:ascii="Times New Roman" w:hAnsi="Times New Roman"/>
                <w:sz w:val="20"/>
                <w:szCs w:val="20"/>
              </w:rPr>
            </w:pPr>
          </w:p>
        </w:tc>
        <w:tc>
          <w:tcPr>
            <w:tcW w:w="737" w:type="dxa"/>
          </w:tcPr>
          <w:p w14:paraId="6F3A5E7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3.944</w:t>
            </w:r>
          </w:p>
        </w:tc>
        <w:tc>
          <w:tcPr>
            <w:tcW w:w="738" w:type="dxa"/>
          </w:tcPr>
          <w:p w14:paraId="2D46F7E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3.151</w:t>
            </w:r>
          </w:p>
        </w:tc>
        <w:tc>
          <w:tcPr>
            <w:tcW w:w="737" w:type="dxa"/>
          </w:tcPr>
          <w:p w14:paraId="16A1891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3.307</w:t>
            </w:r>
          </w:p>
        </w:tc>
        <w:tc>
          <w:tcPr>
            <w:tcW w:w="738" w:type="dxa"/>
          </w:tcPr>
          <w:p w14:paraId="4E14792A" w14:textId="77777777" w:rsidR="009D4A93" w:rsidRPr="00536CFD" w:rsidRDefault="009D4A93" w:rsidP="009D4A93">
            <w:pPr>
              <w:spacing w:after="0"/>
              <w:jc w:val="center"/>
              <w:rPr>
                <w:rFonts w:ascii="Times New Roman" w:hAnsi="Times New Roman"/>
                <w:sz w:val="20"/>
                <w:szCs w:val="20"/>
              </w:rPr>
            </w:pPr>
          </w:p>
        </w:tc>
      </w:tr>
      <w:tr w:rsidR="009D4A93" w:rsidRPr="00536CFD" w14:paraId="33CE2DD6" w14:textId="77777777" w:rsidTr="009D4A93">
        <w:trPr>
          <w:cantSplit/>
          <w:trHeight w:val="22"/>
        </w:trPr>
        <w:tc>
          <w:tcPr>
            <w:tcW w:w="500" w:type="dxa"/>
            <w:vMerge/>
          </w:tcPr>
          <w:p w14:paraId="7C49B2F9" w14:textId="77777777" w:rsidR="009D4A93" w:rsidRPr="00536CFD" w:rsidRDefault="009D4A93" w:rsidP="009D4A93">
            <w:pPr>
              <w:spacing w:after="0"/>
              <w:jc w:val="center"/>
              <w:rPr>
                <w:rFonts w:ascii="Times New Roman" w:hAnsi="Times New Roman"/>
                <w:sz w:val="20"/>
                <w:szCs w:val="20"/>
              </w:rPr>
            </w:pPr>
          </w:p>
        </w:tc>
        <w:tc>
          <w:tcPr>
            <w:tcW w:w="505" w:type="dxa"/>
            <w:vMerge w:val="restart"/>
          </w:tcPr>
          <w:p w14:paraId="3263F62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UL:</w:t>
            </w:r>
          </w:p>
          <w:p w14:paraId="3FE795D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UPT CDF</w:t>
            </w:r>
          </w:p>
          <w:p w14:paraId="326BC76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[Mbps]</w:t>
            </w:r>
          </w:p>
        </w:tc>
        <w:tc>
          <w:tcPr>
            <w:tcW w:w="505" w:type="dxa"/>
          </w:tcPr>
          <w:p w14:paraId="6BCE592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w:t>
            </w:r>
          </w:p>
        </w:tc>
        <w:tc>
          <w:tcPr>
            <w:tcW w:w="643" w:type="dxa"/>
          </w:tcPr>
          <w:p w14:paraId="663FA5C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29.47</w:t>
            </w:r>
          </w:p>
        </w:tc>
        <w:tc>
          <w:tcPr>
            <w:tcW w:w="644" w:type="dxa"/>
          </w:tcPr>
          <w:p w14:paraId="32C7B78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36.46</w:t>
            </w:r>
          </w:p>
        </w:tc>
        <w:tc>
          <w:tcPr>
            <w:tcW w:w="644" w:type="dxa"/>
          </w:tcPr>
          <w:p w14:paraId="32D7C58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36.58</w:t>
            </w:r>
          </w:p>
        </w:tc>
        <w:tc>
          <w:tcPr>
            <w:tcW w:w="644" w:type="dxa"/>
          </w:tcPr>
          <w:p w14:paraId="1AC0A016" w14:textId="77777777" w:rsidR="009D4A93" w:rsidRPr="00536CFD" w:rsidRDefault="009D4A93" w:rsidP="009D4A93">
            <w:pPr>
              <w:spacing w:after="0"/>
              <w:jc w:val="center"/>
              <w:rPr>
                <w:rFonts w:ascii="Times New Roman" w:hAnsi="Times New Roman"/>
                <w:sz w:val="20"/>
                <w:szCs w:val="20"/>
              </w:rPr>
            </w:pPr>
          </w:p>
        </w:tc>
        <w:tc>
          <w:tcPr>
            <w:tcW w:w="715" w:type="dxa"/>
          </w:tcPr>
          <w:p w14:paraId="6ACA24A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15.22</w:t>
            </w:r>
          </w:p>
        </w:tc>
        <w:tc>
          <w:tcPr>
            <w:tcW w:w="715" w:type="dxa"/>
          </w:tcPr>
          <w:p w14:paraId="67EC675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17.49</w:t>
            </w:r>
          </w:p>
        </w:tc>
        <w:tc>
          <w:tcPr>
            <w:tcW w:w="715" w:type="dxa"/>
          </w:tcPr>
          <w:p w14:paraId="7345649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16.79</w:t>
            </w:r>
          </w:p>
        </w:tc>
        <w:tc>
          <w:tcPr>
            <w:tcW w:w="715" w:type="dxa"/>
          </w:tcPr>
          <w:p w14:paraId="483216CE" w14:textId="77777777" w:rsidR="009D4A93" w:rsidRPr="00536CFD" w:rsidRDefault="009D4A93" w:rsidP="009D4A93">
            <w:pPr>
              <w:spacing w:after="0"/>
              <w:jc w:val="center"/>
              <w:rPr>
                <w:rFonts w:ascii="Times New Roman" w:hAnsi="Times New Roman"/>
                <w:sz w:val="20"/>
                <w:szCs w:val="20"/>
              </w:rPr>
            </w:pPr>
          </w:p>
        </w:tc>
        <w:tc>
          <w:tcPr>
            <w:tcW w:w="737" w:type="dxa"/>
          </w:tcPr>
          <w:p w14:paraId="44A1BE2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3.54</w:t>
            </w:r>
          </w:p>
        </w:tc>
        <w:tc>
          <w:tcPr>
            <w:tcW w:w="738" w:type="dxa"/>
          </w:tcPr>
          <w:p w14:paraId="0C094F9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6.42</w:t>
            </w:r>
          </w:p>
        </w:tc>
        <w:tc>
          <w:tcPr>
            <w:tcW w:w="737" w:type="dxa"/>
          </w:tcPr>
          <w:p w14:paraId="5C3F10C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5.31</w:t>
            </w:r>
          </w:p>
        </w:tc>
        <w:tc>
          <w:tcPr>
            <w:tcW w:w="738" w:type="dxa"/>
          </w:tcPr>
          <w:p w14:paraId="7A734941" w14:textId="77777777" w:rsidR="009D4A93" w:rsidRPr="00536CFD" w:rsidRDefault="009D4A93" w:rsidP="009D4A93">
            <w:pPr>
              <w:spacing w:after="0"/>
              <w:jc w:val="center"/>
              <w:rPr>
                <w:rFonts w:ascii="Times New Roman" w:hAnsi="Times New Roman"/>
                <w:sz w:val="20"/>
                <w:szCs w:val="20"/>
              </w:rPr>
            </w:pPr>
          </w:p>
        </w:tc>
      </w:tr>
      <w:tr w:rsidR="009D4A93" w:rsidRPr="00536CFD" w14:paraId="45FDF11C" w14:textId="77777777" w:rsidTr="009D4A93">
        <w:trPr>
          <w:cantSplit/>
          <w:trHeight w:val="22"/>
        </w:trPr>
        <w:tc>
          <w:tcPr>
            <w:tcW w:w="500" w:type="dxa"/>
            <w:vMerge/>
          </w:tcPr>
          <w:p w14:paraId="07C141E3" w14:textId="77777777" w:rsidR="009D4A93" w:rsidRPr="00536CFD" w:rsidRDefault="009D4A93" w:rsidP="009D4A93">
            <w:pPr>
              <w:spacing w:after="0"/>
              <w:jc w:val="center"/>
              <w:rPr>
                <w:rFonts w:ascii="Times New Roman" w:hAnsi="Times New Roman"/>
                <w:sz w:val="20"/>
                <w:szCs w:val="20"/>
              </w:rPr>
            </w:pPr>
          </w:p>
        </w:tc>
        <w:tc>
          <w:tcPr>
            <w:tcW w:w="505" w:type="dxa"/>
            <w:vMerge/>
          </w:tcPr>
          <w:p w14:paraId="1C095E76" w14:textId="77777777" w:rsidR="009D4A93" w:rsidRPr="00536CFD" w:rsidRDefault="009D4A93" w:rsidP="009D4A93">
            <w:pPr>
              <w:spacing w:after="0"/>
              <w:jc w:val="center"/>
              <w:rPr>
                <w:rFonts w:ascii="Times New Roman" w:hAnsi="Times New Roman"/>
                <w:sz w:val="20"/>
                <w:szCs w:val="20"/>
              </w:rPr>
            </w:pPr>
          </w:p>
        </w:tc>
        <w:tc>
          <w:tcPr>
            <w:tcW w:w="505" w:type="dxa"/>
          </w:tcPr>
          <w:p w14:paraId="2E7982C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50%</w:t>
            </w:r>
          </w:p>
        </w:tc>
        <w:tc>
          <w:tcPr>
            <w:tcW w:w="643" w:type="dxa"/>
          </w:tcPr>
          <w:p w14:paraId="069BB33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55.38</w:t>
            </w:r>
          </w:p>
        </w:tc>
        <w:tc>
          <w:tcPr>
            <w:tcW w:w="644" w:type="dxa"/>
          </w:tcPr>
          <w:p w14:paraId="1E36F61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71.12</w:t>
            </w:r>
          </w:p>
        </w:tc>
        <w:tc>
          <w:tcPr>
            <w:tcW w:w="644" w:type="dxa"/>
          </w:tcPr>
          <w:p w14:paraId="3D8A7651"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72.63</w:t>
            </w:r>
          </w:p>
        </w:tc>
        <w:tc>
          <w:tcPr>
            <w:tcW w:w="644" w:type="dxa"/>
          </w:tcPr>
          <w:p w14:paraId="03E9C53D" w14:textId="77777777" w:rsidR="009D4A93" w:rsidRPr="00536CFD" w:rsidRDefault="009D4A93" w:rsidP="009D4A93">
            <w:pPr>
              <w:spacing w:after="0"/>
              <w:jc w:val="center"/>
              <w:rPr>
                <w:rFonts w:ascii="Times New Roman" w:hAnsi="Times New Roman"/>
                <w:sz w:val="20"/>
                <w:szCs w:val="20"/>
              </w:rPr>
            </w:pPr>
          </w:p>
        </w:tc>
        <w:tc>
          <w:tcPr>
            <w:tcW w:w="715" w:type="dxa"/>
          </w:tcPr>
          <w:p w14:paraId="3A40776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33.00</w:t>
            </w:r>
          </w:p>
        </w:tc>
        <w:tc>
          <w:tcPr>
            <w:tcW w:w="715" w:type="dxa"/>
          </w:tcPr>
          <w:p w14:paraId="56314D6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39.70</w:t>
            </w:r>
          </w:p>
        </w:tc>
        <w:tc>
          <w:tcPr>
            <w:tcW w:w="715" w:type="dxa"/>
          </w:tcPr>
          <w:p w14:paraId="3C738851"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38.75</w:t>
            </w:r>
          </w:p>
        </w:tc>
        <w:tc>
          <w:tcPr>
            <w:tcW w:w="715" w:type="dxa"/>
          </w:tcPr>
          <w:p w14:paraId="374156BB" w14:textId="77777777" w:rsidR="009D4A93" w:rsidRPr="00536CFD" w:rsidRDefault="009D4A93" w:rsidP="009D4A93">
            <w:pPr>
              <w:spacing w:after="0"/>
              <w:jc w:val="center"/>
              <w:rPr>
                <w:rFonts w:ascii="Times New Roman" w:hAnsi="Times New Roman"/>
                <w:sz w:val="20"/>
                <w:szCs w:val="20"/>
              </w:rPr>
            </w:pPr>
          </w:p>
        </w:tc>
        <w:tc>
          <w:tcPr>
            <w:tcW w:w="737" w:type="dxa"/>
          </w:tcPr>
          <w:p w14:paraId="60A90C7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12.06</w:t>
            </w:r>
          </w:p>
        </w:tc>
        <w:tc>
          <w:tcPr>
            <w:tcW w:w="738" w:type="dxa"/>
          </w:tcPr>
          <w:p w14:paraId="5050047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18.15</w:t>
            </w:r>
          </w:p>
        </w:tc>
        <w:tc>
          <w:tcPr>
            <w:tcW w:w="737" w:type="dxa"/>
          </w:tcPr>
          <w:p w14:paraId="28C88E9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16.83</w:t>
            </w:r>
          </w:p>
        </w:tc>
        <w:tc>
          <w:tcPr>
            <w:tcW w:w="738" w:type="dxa"/>
          </w:tcPr>
          <w:p w14:paraId="311321A1" w14:textId="77777777" w:rsidR="009D4A93" w:rsidRPr="00536CFD" w:rsidRDefault="009D4A93" w:rsidP="009D4A93">
            <w:pPr>
              <w:spacing w:after="0"/>
              <w:jc w:val="center"/>
              <w:rPr>
                <w:rFonts w:ascii="Times New Roman" w:hAnsi="Times New Roman"/>
                <w:sz w:val="20"/>
                <w:szCs w:val="20"/>
              </w:rPr>
            </w:pPr>
          </w:p>
        </w:tc>
      </w:tr>
      <w:tr w:rsidR="009D4A93" w:rsidRPr="00536CFD" w14:paraId="5730497B" w14:textId="77777777" w:rsidTr="009D4A93">
        <w:trPr>
          <w:cantSplit/>
          <w:trHeight w:val="22"/>
        </w:trPr>
        <w:tc>
          <w:tcPr>
            <w:tcW w:w="500" w:type="dxa"/>
            <w:vMerge/>
          </w:tcPr>
          <w:p w14:paraId="3A178DEC" w14:textId="77777777" w:rsidR="009D4A93" w:rsidRPr="00536CFD" w:rsidRDefault="009D4A93" w:rsidP="009D4A93">
            <w:pPr>
              <w:spacing w:after="0"/>
              <w:jc w:val="center"/>
              <w:rPr>
                <w:rFonts w:ascii="Times New Roman" w:hAnsi="Times New Roman"/>
                <w:sz w:val="20"/>
                <w:szCs w:val="20"/>
              </w:rPr>
            </w:pPr>
          </w:p>
        </w:tc>
        <w:tc>
          <w:tcPr>
            <w:tcW w:w="505" w:type="dxa"/>
            <w:vMerge/>
          </w:tcPr>
          <w:p w14:paraId="34AC6CE7" w14:textId="77777777" w:rsidR="009D4A93" w:rsidRPr="00536CFD" w:rsidRDefault="009D4A93" w:rsidP="009D4A93">
            <w:pPr>
              <w:spacing w:after="0"/>
              <w:jc w:val="center"/>
              <w:rPr>
                <w:rFonts w:ascii="Times New Roman" w:hAnsi="Times New Roman"/>
                <w:sz w:val="20"/>
                <w:szCs w:val="20"/>
              </w:rPr>
            </w:pPr>
          </w:p>
        </w:tc>
        <w:tc>
          <w:tcPr>
            <w:tcW w:w="505" w:type="dxa"/>
          </w:tcPr>
          <w:p w14:paraId="55DAAF6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95%</w:t>
            </w:r>
          </w:p>
        </w:tc>
        <w:tc>
          <w:tcPr>
            <w:tcW w:w="643" w:type="dxa"/>
          </w:tcPr>
          <w:p w14:paraId="418832A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73.31</w:t>
            </w:r>
          </w:p>
        </w:tc>
        <w:tc>
          <w:tcPr>
            <w:tcW w:w="644" w:type="dxa"/>
          </w:tcPr>
          <w:p w14:paraId="210BEC8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92.86</w:t>
            </w:r>
          </w:p>
        </w:tc>
        <w:tc>
          <w:tcPr>
            <w:tcW w:w="644" w:type="dxa"/>
          </w:tcPr>
          <w:p w14:paraId="617E22A1"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96.49</w:t>
            </w:r>
          </w:p>
        </w:tc>
        <w:tc>
          <w:tcPr>
            <w:tcW w:w="644" w:type="dxa"/>
          </w:tcPr>
          <w:p w14:paraId="3F0352AE" w14:textId="77777777" w:rsidR="009D4A93" w:rsidRPr="00536CFD" w:rsidRDefault="009D4A93" w:rsidP="009D4A93">
            <w:pPr>
              <w:spacing w:after="0"/>
              <w:jc w:val="center"/>
              <w:rPr>
                <w:rFonts w:ascii="Times New Roman" w:hAnsi="Times New Roman"/>
                <w:sz w:val="20"/>
                <w:szCs w:val="20"/>
              </w:rPr>
            </w:pPr>
          </w:p>
        </w:tc>
        <w:tc>
          <w:tcPr>
            <w:tcW w:w="715" w:type="dxa"/>
          </w:tcPr>
          <w:p w14:paraId="7D87AF0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49.54</w:t>
            </w:r>
          </w:p>
        </w:tc>
        <w:tc>
          <w:tcPr>
            <w:tcW w:w="715" w:type="dxa"/>
          </w:tcPr>
          <w:p w14:paraId="5952AD3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61.51</w:t>
            </w:r>
          </w:p>
        </w:tc>
        <w:tc>
          <w:tcPr>
            <w:tcW w:w="715" w:type="dxa"/>
          </w:tcPr>
          <w:p w14:paraId="53CC9CD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60.87</w:t>
            </w:r>
          </w:p>
        </w:tc>
        <w:tc>
          <w:tcPr>
            <w:tcW w:w="715" w:type="dxa"/>
          </w:tcPr>
          <w:p w14:paraId="6BAA5107" w14:textId="77777777" w:rsidR="009D4A93" w:rsidRPr="00536CFD" w:rsidRDefault="009D4A93" w:rsidP="009D4A93">
            <w:pPr>
              <w:spacing w:after="0"/>
              <w:jc w:val="center"/>
              <w:rPr>
                <w:rFonts w:ascii="Times New Roman" w:hAnsi="Times New Roman"/>
                <w:sz w:val="20"/>
                <w:szCs w:val="20"/>
              </w:rPr>
            </w:pPr>
          </w:p>
        </w:tc>
        <w:tc>
          <w:tcPr>
            <w:tcW w:w="737" w:type="dxa"/>
          </w:tcPr>
          <w:p w14:paraId="7FF360B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25.13</w:t>
            </w:r>
          </w:p>
        </w:tc>
        <w:tc>
          <w:tcPr>
            <w:tcW w:w="738" w:type="dxa"/>
          </w:tcPr>
          <w:p w14:paraId="36D2515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36.27</w:t>
            </w:r>
          </w:p>
        </w:tc>
        <w:tc>
          <w:tcPr>
            <w:tcW w:w="737" w:type="dxa"/>
          </w:tcPr>
          <w:p w14:paraId="3D86DF4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35.35</w:t>
            </w:r>
          </w:p>
        </w:tc>
        <w:tc>
          <w:tcPr>
            <w:tcW w:w="738" w:type="dxa"/>
          </w:tcPr>
          <w:p w14:paraId="7A317A5D" w14:textId="77777777" w:rsidR="009D4A93" w:rsidRPr="00536CFD" w:rsidRDefault="009D4A93" w:rsidP="009D4A93">
            <w:pPr>
              <w:spacing w:after="0"/>
              <w:jc w:val="center"/>
              <w:rPr>
                <w:rFonts w:ascii="Times New Roman" w:hAnsi="Times New Roman"/>
                <w:sz w:val="20"/>
                <w:szCs w:val="20"/>
              </w:rPr>
            </w:pPr>
          </w:p>
        </w:tc>
      </w:tr>
      <w:tr w:rsidR="009D4A93" w:rsidRPr="00536CFD" w14:paraId="35E5C90E" w14:textId="77777777" w:rsidTr="009D4A93">
        <w:trPr>
          <w:cantSplit/>
          <w:trHeight w:val="22"/>
        </w:trPr>
        <w:tc>
          <w:tcPr>
            <w:tcW w:w="500" w:type="dxa"/>
            <w:vMerge/>
          </w:tcPr>
          <w:p w14:paraId="727FCBB9" w14:textId="77777777" w:rsidR="009D4A93" w:rsidRPr="00536CFD" w:rsidRDefault="009D4A93" w:rsidP="009D4A93">
            <w:pPr>
              <w:spacing w:after="0"/>
              <w:jc w:val="center"/>
              <w:rPr>
                <w:rFonts w:ascii="Times New Roman" w:hAnsi="Times New Roman"/>
                <w:sz w:val="20"/>
                <w:szCs w:val="20"/>
              </w:rPr>
            </w:pPr>
          </w:p>
        </w:tc>
        <w:tc>
          <w:tcPr>
            <w:tcW w:w="505" w:type="dxa"/>
            <w:vMerge/>
          </w:tcPr>
          <w:p w14:paraId="2BB76275" w14:textId="77777777" w:rsidR="009D4A93" w:rsidRPr="00536CFD" w:rsidRDefault="009D4A93" w:rsidP="009D4A93">
            <w:pPr>
              <w:spacing w:after="0"/>
              <w:jc w:val="center"/>
              <w:rPr>
                <w:rFonts w:ascii="Times New Roman" w:hAnsi="Times New Roman"/>
                <w:sz w:val="20"/>
                <w:szCs w:val="20"/>
              </w:rPr>
            </w:pPr>
          </w:p>
        </w:tc>
        <w:tc>
          <w:tcPr>
            <w:tcW w:w="505" w:type="dxa"/>
          </w:tcPr>
          <w:p w14:paraId="3548EBD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Mean</w:t>
            </w:r>
          </w:p>
        </w:tc>
        <w:tc>
          <w:tcPr>
            <w:tcW w:w="643" w:type="dxa"/>
          </w:tcPr>
          <w:p w14:paraId="498D2A1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56.80</w:t>
            </w:r>
          </w:p>
        </w:tc>
        <w:tc>
          <w:tcPr>
            <w:tcW w:w="644" w:type="dxa"/>
          </w:tcPr>
          <w:p w14:paraId="4794A60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71.88</w:t>
            </w:r>
          </w:p>
        </w:tc>
        <w:tc>
          <w:tcPr>
            <w:tcW w:w="644" w:type="dxa"/>
          </w:tcPr>
          <w:p w14:paraId="2CB1FCB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73.66</w:t>
            </w:r>
          </w:p>
        </w:tc>
        <w:tc>
          <w:tcPr>
            <w:tcW w:w="644" w:type="dxa"/>
          </w:tcPr>
          <w:p w14:paraId="4338A55D" w14:textId="77777777" w:rsidR="009D4A93" w:rsidRPr="00536CFD" w:rsidRDefault="009D4A93" w:rsidP="009D4A93">
            <w:pPr>
              <w:spacing w:after="0"/>
              <w:jc w:val="center"/>
              <w:rPr>
                <w:rFonts w:ascii="Times New Roman" w:hAnsi="Times New Roman"/>
                <w:sz w:val="20"/>
                <w:szCs w:val="20"/>
              </w:rPr>
            </w:pPr>
          </w:p>
        </w:tc>
        <w:tc>
          <w:tcPr>
            <w:tcW w:w="715" w:type="dxa"/>
          </w:tcPr>
          <w:p w14:paraId="6F2CB30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35.03</w:t>
            </w:r>
          </w:p>
        </w:tc>
        <w:tc>
          <w:tcPr>
            <w:tcW w:w="715" w:type="dxa"/>
          </w:tcPr>
          <w:p w14:paraId="20DE0AD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42.22</w:t>
            </w:r>
          </w:p>
        </w:tc>
        <w:tc>
          <w:tcPr>
            <w:tcW w:w="715" w:type="dxa"/>
          </w:tcPr>
          <w:p w14:paraId="01536D9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41.40</w:t>
            </w:r>
          </w:p>
        </w:tc>
        <w:tc>
          <w:tcPr>
            <w:tcW w:w="715" w:type="dxa"/>
          </w:tcPr>
          <w:p w14:paraId="78A11C1D" w14:textId="77777777" w:rsidR="009D4A93" w:rsidRPr="00536CFD" w:rsidRDefault="009D4A93" w:rsidP="009D4A93">
            <w:pPr>
              <w:spacing w:after="0"/>
              <w:jc w:val="center"/>
              <w:rPr>
                <w:rFonts w:ascii="Times New Roman" w:hAnsi="Times New Roman"/>
                <w:sz w:val="20"/>
                <w:szCs w:val="20"/>
              </w:rPr>
            </w:pPr>
          </w:p>
        </w:tc>
        <w:tc>
          <w:tcPr>
            <w:tcW w:w="737" w:type="dxa"/>
          </w:tcPr>
          <w:p w14:paraId="57C07CF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14.65</w:t>
            </w:r>
          </w:p>
        </w:tc>
        <w:tc>
          <w:tcPr>
            <w:tcW w:w="738" w:type="dxa"/>
          </w:tcPr>
          <w:p w14:paraId="0E86316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21.43</w:t>
            </w:r>
          </w:p>
        </w:tc>
        <w:tc>
          <w:tcPr>
            <w:tcW w:w="737" w:type="dxa"/>
          </w:tcPr>
          <w:p w14:paraId="4D21D59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19.90</w:t>
            </w:r>
          </w:p>
        </w:tc>
        <w:tc>
          <w:tcPr>
            <w:tcW w:w="738" w:type="dxa"/>
          </w:tcPr>
          <w:p w14:paraId="260C0342" w14:textId="77777777" w:rsidR="009D4A93" w:rsidRPr="00536CFD" w:rsidRDefault="009D4A93" w:rsidP="009D4A93">
            <w:pPr>
              <w:spacing w:after="0"/>
              <w:jc w:val="center"/>
              <w:rPr>
                <w:rFonts w:ascii="Times New Roman" w:hAnsi="Times New Roman"/>
                <w:sz w:val="20"/>
                <w:szCs w:val="20"/>
              </w:rPr>
            </w:pPr>
          </w:p>
        </w:tc>
      </w:tr>
      <w:tr w:rsidR="009D4A93" w:rsidRPr="00536CFD" w14:paraId="75B665A3" w14:textId="77777777" w:rsidTr="009D4A93">
        <w:trPr>
          <w:cantSplit/>
          <w:trHeight w:val="22"/>
        </w:trPr>
        <w:tc>
          <w:tcPr>
            <w:tcW w:w="500" w:type="dxa"/>
            <w:vMerge/>
          </w:tcPr>
          <w:p w14:paraId="4B5EDBE7" w14:textId="77777777" w:rsidR="009D4A93" w:rsidRPr="00536CFD" w:rsidRDefault="009D4A93" w:rsidP="009D4A93">
            <w:pPr>
              <w:spacing w:after="0"/>
              <w:jc w:val="center"/>
              <w:rPr>
                <w:rFonts w:ascii="Times New Roman" w:hAnsi="Times New Roman"/>
                <w:sz w:val="20"/>
                <w:szCs w:val="20"/>
              </w:rPr>
            </w:pPr>
          </w:p>
        </w:tc>
        <w:tc>
          <w:tcPr>
            <w:tcW w:w="505" w:type="dxa"/>
            <w:vMerge w:val="restart"/>
          </w:tcPr>
          <w:p w14:paraId="1127012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UL:</w:t>
            </w:r>
          </w:p>
          <w:p w14:paraId="20637BD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Delay CDF</w:t>
            </w:r>
          </w:p>
          <w:p w14:paraId="23930F6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[s]</w:t>
            </w:r>
          </w:p>
        </w:tc>
        <w:tc>
          <w:tcPr>
            <w:tcW w:w="505" w:type="dxa"/>
          </w:tcPr>
          <w:p w14:paraId="5BC26E2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w:t>
            </w:r>
          </w:p>
        </w:tc>
        <w:tc>
          <w:tcPr>
            <w:tcW w:w="643" w:type="dxa"/>
          </w:tcPr>
          <w:p w14:paraId="4D09C86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0.048</w:t>
            </w:r>
          </w:p>
        </w:tc>
        <w:tc>
          <w:tcPr>
            <w:tcW w:w="644" w:type="dxa"/>
          </w:tcPr>
          <w:p w14:paraId="0B5A14A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0.039</w:t>
            </w:r>
          </w:p>
        </w:tc>
        <w:tc>
          <w:tcPr>
            <w:tcW w:w="644" w:type="dxa"/>
          </w:tcPr>
          <w:p w14:paraId="19D6059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0.040</w:t>
            </w:r>
          </w:p>
        </w:tc>
        <w:tc>
          <w:tcPr>
            <w:tcW w:w="644" w:type="dxa"/>
          </w:tcPr>
          <w:p w14:paraId="42A1F016" w14:textId="77777777" w:rsidR="009D4A93" w:rsidRPr="00536CFD" w:rsidRDefault="009D4A93" w:rsidP="009D4A93">
            <w:pPr>
              <w:spacing w:after="0"/>
              <w:jc w:val="center"/>
              <w:rPr>
                <w:rFonts w:ascii="Times New Roman" w:hAnsi="Times New Roman"/>
                <w:sz w:val="20"/>
                <w:szCs w:val="20"/>
              </w:rPr>
            </w:pPr>
          </w:p>
        </w:tc>
        <w:tc>
          <w:tcPr>
            <w:tcW w:w="715" w:type="dxa"/>
          </w:tcPr>
          <w:p w14:paraId="5984619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0.126</w:t>
            </w:r>
          </w:p>
        </w:tc>
        <w:tc>
          <w:tcPr>
            <w:tcW w:w="715" w:type="dxa"/>
          </w:tcPr>
          <w:p w14:paraId="46A0E9B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0.074</w:t>
            </w:r>
          </w:p>
        </w:tc>
        <w:tc>
          <w:tcPr>
            <w:tcW w:w="715" w:type="dxa"/>
          </w:tcPr>
          <w:p w14:paraId="263422F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0.087</w:t>
            </w:r>
          </w:p>
        </w:tc>
        <w:tc>
          <w:tcPr>
            <w:tcW w:w="715" w:type="dxa"/>
          </w:tcPr>
          <w:p w14:paraId="392D8098" w14:textId="77777777" w:rsidR="009D4A93" w:rsidRPr="00536CFD" w:rsidRDefault="009D4A93" w:rsidP="009D4A93">
            <w:pPr>
              <w:spacing w:after="0"/>
              <w:jc w:val="center"/>
              <w:rPr>
                <w:rFonts w:ascii="Times New Roman" w:hAnsi="Times New Roman"/>
                <w:sz w:val="20"/>
                <w:szCs w:val="20"/>
              </w:rPr>
            </w:pPr>
          </w:p>
        </w:tc>
        <w:tc>
          <w:tcPr>
            <w:tcW w:w="737" w:type="dxa"/>
          </w:tcPr>
          <w:p w14:paraId="21AB298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0.146</w:t>
            </w:r>
          </w:p>
        </w:tc>
        <w:tc>
          <w:tcPr>
            <w:tcW w:w="738" w:type="dxa"/>
          </w:tcPr>
          <w:p w14:paraId="3E64DF8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0.117</w:t>
            </w:r>
          </w:p>
        </w:tc>
        <w:tc>
          <w:tcPr>
            <w:tcW w:w="737" w:type="dxa"/>
          </w:tcPr>
          <w:p w14:paraId="3EDF524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0.171</w:t>
            </w:r>
          </w:p>
        </w:tc>
        <w:tc>
          <w:tcPr>
            <w:tcW w:w="738" w:type="dxa"/>
          </w:tcPr>
          <w:p w14:paraId="1864FFCF" w14:textId="77777777" w:rsidR="009D4A93" w:rsidRPr="00536CFD" w:rsidRDefault="009D4A93" w:rsidP="009D4A93">
            <w:pPr>
              <w:spacing w:after="0"/>
              <w:jc w:val="center"/>
              <w:rPr>
                <w:rFonts w:ascii="Times New Roman" w:hAnsi="Times New Roman"/>
                <w:sz w:val="20"/>
                <w:szCs w:val="20"/>
              </w:rPr>
            </w:pPr>
          </w:p>
        </w:tc>
      </w:tr>
      <w:tr w:rsidR="009D4A93" w:rsidRPr="00536CFD" w14:paraId="51C0612C" w14:textId="77777777" w:rsidTr="009D4A93">
        <w:trPr>
          <w:cantSplit/>
          <w:trHeight w:val="22"/>
        </w:trPr>
        <w:tc>
          <w:tcPr>
            <w:tcW w:w="500" w:type="dxa"/>
            <w:vMerge/>
          </w:tcPr>
          <w:p w14:paraId="71661C51" w14:textId="77777777" w:rsidR="009D4A93" w:rsidRPr="00536CFD" w:rsidRDefault="009D4A93" w:rsidP="009D4A93">
            <w:pPr>
              <w:spacing w:after="0"/>
              <w:jc w:val="center"/>
              <w:rPr>
                <w:rFonts w:ascii="Times New Roman" w:hAnsi="Times New Roman"/>
                <w:sz w:val="20"/>
                <w:szCs w:val="20"/>
              </w:rPr>
            </w:pPr>
          </w:p>
        </w:tc>
        <w:tc>
          <w:tcPr>
            <w:tcW w:w="505" w:type="dxa"/>
            <w:vMerge/>
          </w:tcPr>
          <w:p w14:paraId="7559443C" w14:textId="77777777" w:rsidR="009D4A93" w:rsidRPr="00536CFD" w:rsidRDefault="009D4A93" w:rsidP="009D4A93">
            <w:pPr>
              <w:spacing w:after="0"/>
              <w:jc w:val="center"/>
              <w:rPr>
                <w:rFonts w:ascii="Times New Roman" w:hAnsi="Times New Roman"/>
                <w:sz w:val="20"/>
                <w:szCs w:val="20"/>
              </w:rPr>
            </w:pPr>
          </w:p>
        </w:tc>
        <w:tc>
          <w:tcPr>
            <w:tcW w:w="505" w:type="dxa"/>
          </w:tcPr>
          <w:p w14:paraId="7C9BB8E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50%</w:t>
            </w:r>
          </w:p>
        </w:tc>
        <w:tc>
          <w:tcPr>
            <w:tcW w:w="643" w:type="dxa"/>
          </w:tcPr>
          <w:p w14:paraId="7D10EFD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0.304</w:t>
            </w:r>
          </w:p>
        </w:tc>
        <w:tc>
          <w:tcPr>
            <w:tcW w:w="644" w:type="dxa"/>
          </w:tcPr>
          <w:p w14:paraId="0DCE3CC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0.112</w:t>
            </w:r>
          </w:p>
        </w:tc>
        <w:tc>
          <w:tcPr>
            <w:tcW w:w="644" w:type="dxa"/>
          </w:tcPr>
          <w:p w14:paraId="3BFDD21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0.151</w:t>
            </w:r>
          </w:p>
        </w:tc>
        <w:tc>
          <w:tcPr>
            <w:tcW w:w="644" w:type="dxa"/>
          </w:tcPr>
          <w:p w14:paraId="1371A09D" w14:textId="77777777" w:rsidR="009D4A93" w:rsidRPr="00536CFD" w:rsidRDefault="009D4A93" w:rsidP="009D4A93">
            <w:pPr>
              <w:spacing w:after="0"/>
              <w:jc w:val="center"/>
              <w:rPr>
                <w:rFonts w:ascii="Times New Roman" w:hAnsi="Times New Roman"/>
                <w:sz w:val="20"/>
                <w:szCs w:val="20"/>
              </w:rPr>
            </w:pPr>
          </w:p>
        </w:tc>
        <w:tc>
          <w:tcPr>
            <w:tcW w:w="715" w:type="dxa"/>
          </w:tcPr>
          <w:p w14:paraId="092B5BD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1.019</w:t>
            </w:r>
          </w:p>
        </w:tc>
        <w:tc>
          <w:tcPr>
            <w:tcW w:w="715" w:type="dxa"/>
          </w:tcPr>
          <w:p w14:paraId="5F6FE2E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1.573</w:t>
            </w:r>
          </w:p>
        </w:tc>
        <w:tc>
          <w:tcPr>
            <w:tcW w:w="715" w:type="dxa"/>
          </w:tcPr>
          <w:p w14:paraId="6261C6C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1.020</w:t>
            </w:r>
          </w:p>
        </w:tc>
        <w:tc>
          <w:tcPr>
            <w:tcW w:w="715" w:type="dxa"/>
          </w:tcPr>
          <w:p w14:paraId="5C12FBCF" w14:textId="77777777" w:rsidR="009D4A93" w:rsidRPr="00536CFD" w:rsidRDefault="009D4A93" w:rsidP="009D4A93">
            <w:pPr>
              <w:spacing w:after="0"/>
              <w:jc w:val="center"/>
              <w:rPr>
                <w:rFonts w:ascii="Times New Roman" w:hAnsi="Times New Roman"/>
                <w:sz w:val="20"/>
                <w:szCs w:val="20"/>
              </w:rPr>
            </w:pPr>
          </w:p>
        </w:tc>
        <w:tc>
          <w:tcPr>
            <w:tcW w:w="737" w:type="dxa"/>
          </w:tcPr>
          <w:p w14:paraId="5F530D4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2.030</w:t>
            </w:r>
          </w:p>
        </w:tc>
        <w:tc>
          <w:tcPr>
            <w:tcW w:w="738" w:type="dxa"/>
          </w:tcPr>
          <w:p w14:paraId="1031A89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1.903</w:t>
            </w:r>
          </w:p>
        </w:tc>
        <w:tc>
          <w:tcPr>
            <w:tcW w:w="737" w:type="dxa"/>
          </w:tcPr>
          <w:p w14:paraId="5C1DD1D1"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1.835</w:t>
            </w:r>
          </w:p>
        </w:tc>
        <w:tc>
          <w:tcPr>
            <w:tcW w:w="738" w:type="dxa"/>
          </w:tcPr>
          <w:p w14:paraId="7F072FC4" w14:textId="77777777" w:rsidR="009D4A93" w:rsidRPr="00536CFD" w:rsidRDefault="009D4A93" w:rsidP="009D4A93">
            <w:pPr>
              <w:spacing w:after="0"/>
              <w:jc w:val="center"/>
              <w:rPr>
                <w:rFonts w:ascii="Times New Roman" w:hAnsi="Times New Roman"/>
                <w:sz w:val="20"/>
                <w:szCs w:val="20"/>
              </w:rPr>
            </w:pPr>
          </w:p>
        </w:tc>
      </w:tr>
      <w:tr w:rsidR="009D4A93" w:rsidRPr="00536CFD" w14:paraId="50989652" w14:textId="77777777" w:rsidTr="009D4A93">
        <w:trPr>
          <w:cantSplit/>
          <w:trHeight w:val="22"/>
        </w:trPr>
        <w:tc>
          <w:tcPr>
            <w:tcW w:w="500" w:type="dxa"/>
            <w:vMerge/>
          </w:tcPr>
          <w:p w14:paraId="5C5CAF46" w14:textId="77777777" w:rsidR="009D4A93" w:rsidRPr="00536CFD" w:rsidRDefault="009D4A93" w:rsidP="009D4A93">
            <w:pPr>
              <w:spacing w:after="0"/>
              <w:jc w:val="center"/>
              <w:rPr>
                <w:rFonts w:ascii="Times New Roman" w:hAnsi="Times New Roman"/>
                <w:sz w:val="20"/>
                <w:szCs w:val="20"/>
              </w:rPr>
            </w:pPr>
          </w:p>
        </w:tc>
        <w:tc>
          <w:tcPr>
            <w:tcW w:w="505" w:type="dxa"/>
            <w:vMerge/>
          </w:tcPr>
          <w:p w14:paraId="6ABCE58C" w14:textId="77777777" w:rsidR="009D4A93" w:rsidRPr="00536CFD" w:rsidRDefault="009D4A93" w:rsidP="009D4A93">
            <w:pPr>
              <w:spacing w:after="0"/>
              <w:jc w:val="center"/>
              <w:rPr>
                <w:rFonts w:ascii="Times New Roman" w:hAnsi="Times New Roman"/>
                <w:sz w:val="20"/>
                <w:szCs w:val="20"/>
              </w:rPr>
            </w:pPr>
          </w:p>
        </w:tc>
        <w:tc>
          <w:tcPr>
            <w:tcW w:w="505" w:type="dxa"/>
          </w:tcPr>
          <w:p w14:paraId="6BBF12E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95%</w:t>
            </w:r>
          </w:p>
        </w:tc>
        <w:tc>
          <w:tcPr>
            <w:tcW w:w="643" w:type="dxa"/>
          </w:tcPr>
          <w:p w14:paraId="1C445EF1"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1.438</w:t>
            </w:r>
          </w:p>
        </w:tc>
        <w:tc>
          <w:tcPr>
            <w:tcW w:w="644" w:type="dxa"/>
          </w:tcPr>
          <w:p w14:paraId="05FAFA5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0.970</w:t>
            </w:r>
          </w:p>
        </w:tc>
        <w:tc>
          <w:tcPr>
            <w:tcW w:w="644" w:type="dxa"/>
          </w:tcPr>
          <w:p w14:paraId="08621387"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1.389</w:t>
            </w:r>
          </w:p>
        </w:tc>
        <w:tc>
          <w:tcPr>
            <w:tcW w:w="644" w:type="dxa"/>
          </w:tcPr>
          <w:p w14:paraId="3593DF8F" w14:textId="77777777" w:rsidR="009D4A93" w:rsidRPr="00536CFD" w:rsidRDefault="009D4A93" w:rsidP="009D4A93">
            <w:pPr>
              <w:spacing w:after="0"/>
              <w:jc w:val="center"/>
              <w:rPr>
                <w:rFonts w:ascii="Times New Roman" w:hAnsi="Times New Roman"/>
                <w:sz w:val="20"/>
                <w:szCs w:val="20"/>
              </w:rPr>
            </w:pPr>
          </w:p>
        </w:tc>
        <w:tc>
          <w:tcPr>
            <w:tcW w:w="715" w:type="dxa"/>
          </w:tcPr>
          <w:p w14:paraId="04F44FA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5.895</w:t>
            </w:r>
          </w:p>
        </w:tc>
        <w:tc>
          <w:tcPr>
            <w:tcW w:w="715" w:type="dxa"/>
          </w:tcPr>
          <w:p w14:paraId="2BA0D0A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7.188</w:t>
            </w:r>
          </w:p>
        </w:tc>
        <w:tc>
          <w:tcPr>
            <w:tcW w:w="715" w:type="dxa"/>
          </w:tcPr>
          <w:p w14:paraId="53714A5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8.400</w:t>
            </w:r>
          </w:p>
        </w:tc>
        <w:tc>
          <w:tcPr>
            <w:tcW w:w="715" w:type="dxa"/>
          </w:tcPr>
          <w:p w14:paraId="3C3EDEBA" w14:textId="77777777" w:rsidR="009D4A93" w:rsidRPr="00536CFD" w:rsidRDefault="009D4A93" w:rsidP="009D4A93">
            <w:pPr>
              <w:spacing w:after="0"/>
              <w:jc w:val="center"/>
              <w:rPr>
                <w:rFonts w:ascii="Times New Roman" w:hAnsi="Times New Roman"/>
                <w:sz w:val="20"/>
                <w:szCs w:val="20"/>
              </w:rPr>
            </w:pPr>
          </w:p>
        </w:tc>
        <w:tc>
          <w:tcPr>
            <w:tcW w:w="737" w:type="dxa"/>
          </w:tcPr>
          <w:p w14:paraId="52F3529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13.762</w:t>
            </w:r>
          </w:p>
        </w:tc>
        <w:tc>
          <w:tcPr>
            <w:tcW w:w="738" w:type="dxa"/>
          </w:tcPr>
          <w:p w14:paraId="5BB486E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10.763</w:t>
            </w:r>
          </w:p>
        </w:tc>
        <w:tc>
          <w:tcPr>
            <w:tcW w:w="737" w:type="dxa"/>
          </w:tcPr>
          <w:p w14:paraId="37A9400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12.443</w:t>
            </w:r>
          </w:p>
        </w:tc>
        <w:tc>
          <w:tcPr>
            <w:tcW w:w="738" w:type="dxa"/>
          </w:tcPr>
          <w:p w14:paraId="73098DFA" w14:textId="77777777" w:rsidR="009D4A93" w:rsidRPr="00536CFD" w:rsidRDefault="009D4A93" w:rsidP="009D4A93">
            <w:pPr>
              <w:spacing w:after="0"/>
              <w:jc w:val="center"/>
              <w:rPr>
                <w:rFonts w:ascii="Times New Roman" w:hAnsi="Times New Roman"/>
                <w:sz w:val="20"/>
                <w:szCs w:val="20"/>
              </w:rPr>
            </w:pPr>
          </w:p>
        </w:tc>
      </w:tr>
      <w:tr w:rsidR="009D4A93" w:rsidRPr="00536CFD" w14:paraId="38A3DF1B" w14:textId="77777777" w:rsidTr="009D4A93">
        <w:trPr>
          <w:cantSplit/>
          <w:trHeight w:val="22"/>
        </w:trPr>
        <w:tc>
          <w:tcPr>
            <w:tcW w:w="500" w:type="dxa"/>
            <w:vMerge/>
          </w:tcPr>
          <w:p w14:paraId="08CBB437" w14:textId="77777777" w:rsidR="009D4A93" w:rsidRPr="00536CFD" w:rsidRDefault="009D4A93" w:rsidP="009D4A93">
            <w:pPr>
              <w:spacing w:after="0"/>
              <w:jc w:val="center"/>
              <w:rPr>
                <w:rFonts w:ascii="Times New Roman" w:hAnsi="Times New Roman"/>
                <w:sz w:val="20"/>
                <w:szCs w:val="20"/>
              </w:rPr>
            </w:pPr>
          </w:p>
        </w:tc>
        <w:tc>
          <w:tcPr>
            <w:tcW w:w="505" w:type="dxa"/>
            <w:vMerge/>
          </w:tcPr>
          <w:p w14:paraId="09CD4F17" w14:textId="77777777" w:rsidR="009D4A93" w:rsidRPr="00536CFD" w:rsidRDefault="009D4A93" w:rsidP="009D4A93">
            <w:pPr>
              <w:spacing w:after="0"/>
              <w:jc w:val="center"/>
              <w:rPr>
                <w:rFonts w:ascii="Times New Roman" w:hAnsi="Times New Roman"/>
                <w:sz w:val="20"/>
                <w:szCs w:val="20"/>
              </w:rPr>
            </w:pPr>
          </w:p>
        </w:tc>
        <w:tc>
          <w:tcPr>
            <w:tcW w:w="505" w:type="dxa"/>
          </w:tcPr>
          <w:p w14:paraId="245FE62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Mean</w:t>
            </w:r>
          </w:p>
        </w:tc>
        <w:tc>
          <w:tcPr>
            <w:tcW w:w="643" w:type="dxa"/>
          </w:tcPr>
          <w:p w14:paraId="0E0DDE09"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0.606</w:t>
            </w:r>
          </w:p>
        </w:tc>
        <w:tc>
          <w:tcPr>
            <w:tcW w:w="644" w:type="dxa"/>
          </w:tcPr>
          <w:p w14:paraId="450BADA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0.334</w:t>
            </w:r>
          </w:p>
        </w:tc>
        <w:tc>
          <w:tcPr>
            <w:tcW w:w="644" w:type="dxa"/>
          </w:tcPr>
          <w:p w14:paraId="6C11A3D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0.430</w:t>
            </w:r>
          </w:p>
        </w:tc>
        <w:tc>
          <w:tcPr>
            <w:tcW w:w="644" w:type="dxa"/>
          </w:tcPr>
          <w:p w14:paraId="7BC7C745" w14:textId="77777777" w:rsidR="009D4A93" w:rsidRPr="00536CFD" w:rsidRDefault="009D4A93" w:rsidP="009D4A93">
            <w:pPr>
              <w:spacing w:after="0"/>
              <w:jc w:val="center"/>
              <w:rPr>
                <w:rFonts w:ascii="Times New Roman" w:hAnsi="Times New Roman"/>
                <w:sz w:val="20"/>
                <w:szCs w:val="20"/>
              </w:rPr>
            </w:pPr>
          </w:p>
        </w:tc>
        <w:tc>
          <w:tcPr>
            <w:tcW w:w="715" w:type="dxa"/>
          </w:tcPr>
          <w:p w14:paraId="3A34A39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2.197</w:t>
            </w:r>
          </w:p>
        </w:tc>
        <w:tc>
          <w:tcPr>
            <w:tcW w:w="715" w:type="dxa"/>
          </w:tcPr>
          <w:p w14:paraId="1075C07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2.778</w:t>
            </w:r>
          </w:p>
        </w:tc>
        <w:tc>
          <w:tcPr>
            <w:tcW w:w="715" w:type="dxa"/>
          </w:tcPr>
          <w:p w14:paraId="106637F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2.917</w:t>
            </w:r>
          </w:p>
        </w:tc>
        <w:tc>
          <w:tcPr>
            <w:tcW w:w="715" w:type="dxa"/>
          </w:tcPr>
          <w:p w14:paraId="3C7D5C7D" w14:textId="77777777" w:rsidR="009D4A93" w:rsidRPr="00536CFD" w:rsidRDefault="009D4A93" w:rsidP="009D4A93">
            <w:pPr>
              <w:spacing w:after="0"/>
              <w:jc w:val="center"/>
              <w:rPr>
                <w:rFonts w:ascii="Times New Roman" w:hAnsi="Times New Roman"/>
                <w:sz w:val="20"/>
                <w:szCs w:val="20"/>
              </w:rPr>
            </w:pPr>
          </w:p>
        </w:tc>
        <w:tc>
          <w:tcPr>
            <w:tcW w:w="737" w:type="dxa"/>
          </w:tcPr>
          <w:p w14:paraId="305200E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4.942</w:t>
            </w:r>
          </w:p>
        </w:tc>
        <w:tc>
          <w:tcPr>
            <w:tcW w:w="738" w:type="dxa"/>
          </w:tcPr>
          <w:p w14:paraId="54F86691"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4.171</w:t>
            </w:r>
          </w:p>
        </w:tc>
        <w:tc>
          <w:tcPr>
            <w:tcW w:w="737" w:type="dxa"/>
          </w:tcPr>
          <w:p w14:paraId="5883B6A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4.510</w:t>
            </w:r>
          </w:p>
        </w:tc>
        <w:tc>
          <w:tcPr>
            <w:tcW w:w="738" w:type="dxa"/>
          </w:tcPr>
          <w:p w14:paraId="5003B0D6" w14:textId="77777777" w:rsidR="009D4A93" w:rsidRPr="00536CFD" w:rsidRDefault="009D4A93" w:rsidP="009D4A93">
            <w:pPr>
              <w:spacing w:after="0"/>
              <w:jc w:val="center"/>
              <w:rPr>
                <w:rFonts w:ascii="Times New Roman" w:hAnsi="Times New Roman"/>
                <w:sz w:val="20"/>
                <w:szCs w:val="20"/>
              </w:rPr>
            </w:pPr>
          </w:p>
        </w:tc>
      </w:tr>
      <w:tr w:rsidR="009D4A93" w:rsidRPr="00536CFD" w14:paraId="4E8EDFF3" w14:textId="77777777" w:rsidTr="009D4A93">
        <w:trPr>
          <w:cantSplit/>
          <w:trHeight w:val="22"/>
        </w:trPr>
        <w:tc>
          <w:tcPr>
            <w:tcW w:w="500" w:type="dxa"/>
            <w:vMerge/>
          </w:tcPr>
          <w:p w14:paraId="01B2CEBA" w14:textId="77777777" w:rsidR="009D4A93" w:rsidRPr="00536CFD" w:rsidRDefault="009D4A93" w:rsidP="009D4A93">
            <w:pPr>
              <w:spacing w:after="0"/>
              <w:jc w:val="center"/>
              <w:rPr>
                <w:rFonts w:ascii="Times New Roman" w:hAnsi="Times New Roman"/>
                <w:sz w:val="20"/>
                <w:szCs w:val="20"/>
              </w:rPr>
            </w:pPr>
          </w:p>
        </w:tc>
        <w:tc>
          <w:tcPr>
            <w:tcW w:w="1010" w:type="dxa"/>
            <w:gridSpan w:val="2"/>
          </w:tcPr>
          <w:p w14:paraId="43B166B9" w14:textId="77777777" w:rsidR="009D4A93" w:rsidRPr="00536CFD" w:rsidRDefault="009D4A93" w:rsidP="009D4A93">
            <w:pPr>
              <w:spacing w:after="0"/>
              <w:jc w:val="center"/>
              <w:rPr>
                <w:rFonts w:ascii="Times New Roman" w:hAnsi="Times New Roman"/>
                <w:sz w:val="20"/>
                <w:szCs w:val="20"/>
              </w:rPr>
            </w:pPr>
            <w:r w:rsidRPr="00536CFD">
              <w:rPr>
                <w:rFonts w:ascii="Cambria Math" w:hAnsi="Cambria Math" w:cs="Cambria Math"/>
                <w:sz w:val="20"/>
                <w:szCs w:val="20"/>
              </w:rPr>
              <w:t>𝜌</w:t>
            </w:r>
            <w:r w:rsidRPr="00536CFD">
              <w:rPr>
                <w:rFonts w:ascii="Times New Roman" w:hAnsi="Times New Roman"/>
                <w:sz w:val="20"/>
                <w:szCs w:val="20"/>
                <w:vertAlign w:val="subscript"/>
              </w:rPr>
              <w:t>DL</w:t>
            </w:r>
          </w:p>
        </w:tc>
        <w:tc>
          <w:tcPr>
            <w:tcW w:w="643" w:type="dxa"/>
          </w:tcPr>
          <w:p w14:paraId="07BEA70C"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98%</w:t>
            </w:r>
          </w:p>
        </w:tc>
        <w:tc>
          <w:tcPr>
            <w:tcW w:w="644" w:type="dxa"/>
          </w:tcPr>
          <w:p w14:paraId="381B27B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99%</w:t>
            </w:r>
          </w:p>
        </w:tc>
        <w:tc>
          <w:tcPr>
            <w:tcW w:w="644" w:type="dxa"/>
          </w:tcPr>
          <w:p w14:paraId="04CE6ADA"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98%</w:t>
            </w:r>
          </w:p>
        </w:tc>
        <w:tc>
          <w:tcPr>
            <w:tcW w:w="644" w:type="dxa"/>
          </w:tcPr>
          <w:p w14:paraId="7DE5CD7C" w14:textId="77777777" w:rsidR="009D4A93" w:rsidRPr="00536CFD" w:rsidRDefault="009D4A93" w:rsidP="009D4A93">
            <w:pPr>
              <w:spacing w:after="0"/>
              <w:jc w:val="center"/>
              <w:rPr>
                <w:rFonts w:ascii="Times New Roman" w:hAnsi="Times New Roman"/>
                <w:sz w:val="20"/>
                <w:szCs w:val="20"/>
              </w:rPr>
            </w:pPr>
          </w:p>
        </w:tc>
        <w:tc>
          <w:tcPr>
            <w:tcW w:w="715" w:type="dxa"/>
          </w:tcPr>
          <w:p w14:paraId="7409194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88%</w:t>
            </w:r>
          </w:p>
        </w:tc>
        <w:tc>
          <w:tcPr>
            <w:tcW w:w="715" w:type="dxa"/>
          </w:tcPr>
          <w:p w14:paraId="1C1B0C10"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88%</w:t>
            </w:r>
          </w:p>
        </w:tc>
        <w:tc>
          <w:tcPr>
            <w:tcW w:w="715" w:type="dxa"/>
          </w:tcPr>
          <w:p w14:paraId="54AA8AD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86%</w:t>
            </w:r>
          </w:p>
        </w:tc>
        <w:tc>
          <w:tcPr>
            <w:tcW w:w="715" w:type="dxa"/>
          </w:tcPr>
          <w:p w14:paraId="2D9E444F" w14:textId="77777777" w:rsidR="009D4A93" w:rsidRPr="00536CFD" w:rsidRDefault="009D4A93" w:rsidP="009D4A93">
            <w:pPr>
              <w:spacing w:after="0"/>
              <w:jc w:val="center"/>
              <w:rPr>
                <w:rFonts w:ascii="Times New Roman" w:hAnsi="Times New Roman"/>
                <w:sz w:val="20"/>
                <w:szCs w:val="20"/>
              </w:rPr>
            </w:pPr>
          </w:p>
        </w:tc>
        <w:tc>
          <w:tcPr>
            <w:tcW w:w="737" w:type="dxa"/>
          </w:tcPr>
          <w:p w14:paraId="2BAF667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72%</w:t>
            </w:r>
          </w:p>
        </w:tc>
        <w:tc>
          <w:tcPr>
            <w:tcW w:w="738" w:type="dxa"/>
          </w:tcPr>
          <w:p w14:paraId="02FB907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76%</w:t>
            </w:r>
          </w:p>
        </w:tc>
        <w:tc>
          <w:tcPr>
            <w:tcW w:w="737" w:type="dxa"/>
          </w:tcPr>
          <w:p w14:paraId="07E1206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74%</w:t>
            </w:r>
          </w:p>
        </w:tc>
        <w:tc>
          <w:tcPr>
            <w:tcW w:w="738" w:type="dxa"/>
          </w:tcPr>
          <w:p w14:paraId="62A42791" w14:textId="77777777" w:rsidR="009D4A93" w:rsidRPr="00536CFD" w:rsidRDefault="009D4A93" w:rsidP="009D4A93">
            <w:pPr>
              <w:spacing w:after="0"/>
              <w:jc w:val="center"/>
              <w:rPr>
                <w:rFonts w:ascii="Times New Roman" w:hAnsi="Times New Roman"/>
                <w:sz w:val="20"/>
                <w:szCs w:val="20"/>
              </w:rPr>
            </w:pPr>
          </w:p>
        </w:tc>
      </w:tr>
      <w:tr w:rsidR="009D4A93" w:rsidRPr="00536CFD" w14:paraId="37A435A8" w14:textId="77777777" w:rsidTr="009D4A93">
        <w:trPr>
          <w:cantSplit/>
          <w:trHeight w:val="22"/>
        </w:trPr>
        <w:tc>
          <w:tcPr>
            <w:tcW w:w="500" w:type="dxa"/>
            <w:vMerge/>
          </w:tcPr>
          <w:p w14:paraId="5A32489D" w14:textId="77777777" w:rsidR="009D4A93" w:rsidRPr="00536CFD" w:rsidRDefault="009D4A93" w:rsidP="009D4A93">
            <w:pPr>
              <w:spacing w:after="0"/>
              <w:jc w:val="center"/>
              <w:rPr>
                <w:rFonts w:ascii="Times New Roman" w:hAnsi="Times New Roman"/>
                <w:sz w:val="20"/>
                <w:szCs w:val="20"/>
              </w:rPr>
            </w:pPr>
          </w:p>
        </w:tc>
        <w:tc>
          <w:tcPr>
            <w:tcW w:w="1010" w:type="dxa"/>
            <w:gridSpan w:val="2"/>
          </w:tcPr>
          <w:p w14:paraId="561898FC" w14:textId="77777777" w:rsidR="009D4A93" w:rsidRPr="00536CFD" w:rsidRDefault="009D4A93" w:rsidP="009D4A93">
            <w:pPr>
              <w:spacing w:after="0"/>
              <w:jc w:val="center"/>
              <w:rPr>
                <w:rFonts w:ascii="Times New Roman" w:hAnsi="Times New Roman"/>
                <w:sz w:val="20"/>
                <w:szCs w:val="20"/>
              </w:rPr>
            </w:pPr>
            <w:r w:rsidRPr="00536CFD">
              <w:rPr>
                <w:rFonts w:ascii="Cambria Math" w:hAnsi="Cambria Math" w:cs="Cambria Math"/>
                <w:sz w:val="20"/>
                <w:szCs w:val="20"/>
              </w:rPr>
              <w:t>𝜌</w:t>
            </w:r>
            <w:r w:rsidRPr="00536CFD">
              <w:rPr>
                <w:rFonts w:ascii="Times New Roman" w:hAnsi="Times New Roman"/>
                <w:sz w:val="20"/>
                <w:szCs w:val="20"/>
                <w:vertAlign w:val="subscript"/>
              </w:rPr>
              <w:t>UL</w:t>
            </w:r>
          </w:p>
        </w:tc>
        <w:tc>
          <w:tcPr>
            <w:tcW w:w="643" w:type="dxa"/>
          </w:tcPr>
          <w:p w14:paraId="08B1CF3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97%</w:t>
            </w:r>
          </w:p>
        </w:tc>
        <w:tc>
          <w:tcPr>
            <w:tcW w:w="644" w:type="dxa"/>
          </w:tcPr>
          <w:p w14:paraId="2868533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98%</w:t>
            </w:r>
          </w:p>
        </w:tc>
        <w:tc>
          <w:tcPr>
            <w:tcW w:w="644" w:type="dxa"/>
          </w:tcPr>
          <w:p w14:paraId="454E439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97%</w:t>
            </w:r>
          </w:p>
        </w:tc>
        <w:tc>
          <w:tcPr>
            <w:tcW w:w="644" w:type="dxa"/>
          </w:tcPr>
          <w:p w14:paraId="66830DE8" w14:textId="77777777" w:rsidR="009D4A93" w:rsidRPr="00536CFD" w:rsidRDefault="009D4A93" w:rsidP="009D4A93">
            <w:pPr>
              <w:spacing w:after="0"/>
              <w:jc w:val="center"/>
              <w:rPr>
                <w:rFonts w:ascii="Times New Roman" w:hAnsi="Times New Roman"/>
                <w:sz w:val="20"/>
                <w:szCs w:val="20"/>
              </w:rPr>
            </w:pPr>
          </w:p>
        </w:tc>
        <w:tc>
          <w:tcPr>
            <w:tcW w:w="715" w:type="dxa"/>
          </w:tcPr>
          <w:p w14:paraId="4CB95D44"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77%</w:t>
            </w:r>
          </w:p>
        </w:tc>
        <w:tc>
          <w:tcPr>
            <w:tcW w:w="715" w:type="dxa"/>
          </w:tcPr>
          <w:p w14:paraId="7E3BC75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77%</w:t>
            </w:r>
          </w:p>
        </w:tc>
        <w:tc>
          <w:tcPr>
            <w:tcW w:w="715" w:type="dxa"/>
          </w:tcPr>
          <w:p w14:paraId="565AC23F"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74%</w:t>
            </w:r>
          </w:p>
        </w:tc>
        <w:tc>
          <w:tcPr>
            <w:tcW w:w="715" w:type="dxa"/>
          </w:tcPr>
          <w:p w14:paraId="72DAD7E8" w14:textId="77777777" w:rsidR="009D4A93" w:rsidRPr="00536CFD" w:rsidRDefault="009D4A93" w:rsidP="009D4A93">
            <w:pPr>
              <w:spacing w:after="0"/>
              <w:jc w:val="center"/>
              <w:rPr>
                <w:rFonts w:ascii="Times New Roman" w:hAnsi="Times New Roman"/>
                <w:sz w:val="20"/>
                <w:szCs w:val="20"/>
              </w:rPr>
            </w:pPr>
          </w:p>
        </w:tc>
        <w:tc>
          <w:tcPr>
            <w:tcW w:w="737" w:type="dxa"/>
          </w:tcPr>
          <w:p w14:paraId="5099C42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48%</w:t>
            </w:r>
          </w:p>
        </w:tc>
        <w:tc>
          <w:tcPr>
            <w:tcW w:w="738" w:type="dxa"/>
          </w:tcPr>
          <w:p w14:paraId="3606391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53%</w:t>
            </w:r>
          </w:p>
        </w:tc>
        <w:tc>
          <w:tcPr>
            <w:tcW w:w="737" w:type="dxa"/>
          </w:tcPr>
          <w:p w14:paraId="27C856E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52%</w:t>
            </w:r>
          </w:p>
        </w:tc>
        <w:tc>
          <w:tcPr>
            <w:tcW w:w="738" w:type="dxa"/>
          </w:tcPr>
          <w:p w14:paraId="4BB9F2CB" w14:textId="77777777" w:rsidR="009D4A93" w:rsidRPr="00536CFD" w:rsidRDefault="009D4A93" w:rsidP="009D4A93">
            <w:pPr>
              <w:spacing w:after="0"/>
              <w:jc w:val="center"/>
              <w:rPr>
                <w:rFonts w:ascii="Times New Roman" w:hAnsi="Times New Roman"/>
                <w:sz w:val="20"/>
                <w:szCs w:val="20"/>
              </w:rPr>
            </w:pPr>
          </w:p>
        </w:tc>
      </w:tr>
      <w:tr w:rsidR="009D4A93" w:rsidRPr="00536CFD" w14:paraId="2E95F9EC" w14:textId="77777777" w:rsidTr="009D4A93">
        <w:trPr>
          <w:cantSplit/>
          <w:trHeight w:val="22"/>
        </w:trPr>
        <w:tc>
          <w:tcPr>
            <w:tcW w:w="500" w:type="dxa"/>
            <w:vMerge/>
          </w:tcPr>
          <w:p w14:paraId="31AB34B1" w14:textId="77777777" w:rsidR="009D4A93" w:rsidRPr="00536CFD" w:rsidRDefault="009D4A93" w:rsidP="009D4A93">
            <w:pPr>
              <w:spacing w:after="0"/>
              <w:jc w:val="center"/>
              <w:rPr>
                <w:rFonts w:ascii="Times New Roman" w:hAnsi="Times New Roman"/>
                <w:sz w:val="20"/>
                <w:szCs w:val="20"/>
              </w:rPr>
            </w:pPr>
          </w:p>
        </w:tc>
        <w:tc>
          <w:tcPr>
            <w:tcW w:w="1010" w:type="dxa"/>
            <w:gridSpan w:val="2"/>
          </w:tcPr>
          <w:p w14:paraId="101128C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BO</w:t>
            </w:r>
          </w:p>
        </w:tc>
        <w:tc>
          <w:tcPr>
            <w:tcW w:w="643" w:type="dxa"/>
          </w:tcPr>
          <w:p w14:paraId="7D56B9F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13%</w:t>
            </w:r>
          </w:p>
        </w:tc>
        <w:tc>
          <w:tcPr>
            <w:tcW w:w="644" w:type="dxa"/>
          </w:tcPr>
          <w:p w14:paraId="0328A70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10%</w:t>
            </w:r>
          </w:p>
        </w:tc>
        <w:tc>
          <w:tcPr>
            <w:tcW w:w="644" w:type="dxa"/>
          </w:tcPr>
          <w:p w14:paraId="499D564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12%</w:t>
            </w:r>
          </w:p>
        </w:tc>
        <w:tc>
          <w:tcPr>
            <w:tcW w:w="644" w:type="dxa"/>
          </w:tcPr>
          <w:p w14:paraId="34045A69" w14:textId="77777777" w:rsidR="009D4A93" w:rsidRPr="00536CFD" w:rsidRDefault="009D4A93" w:rsidP="009D4A93">
            <w:pPr>
              <w:spacing w:after="0"/>
              <w:jc w:val="center"/>
              <w:rPr>
                <w:rFonts w:ascii="Times New Roman" w:hAnsi="Times New Roman"/>
                <w:sz w:val="20"/>
                <w:szCs w:val="20"/>
              </w:rPr>
            </w:pPr>
          </w:p>
        </w:tc>
        <w:tc>
          <w:tcPr>
            <w:tcW w:w="715" w:type="dxa"/>
          </w:tcPr>
          <w:p w14:paraId="260D2C7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37%</w:t>
            </w:r>
          </w:p>
        </w:tc>
        <w:tc>
          <w:tcPr>
            <w:tcW w:w="715" w:type="dxa"/>
          </w:tcPr>
          <w:p w14:paraId="62706FAE"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37%</w:t>
            </w:r>
          </w:p>
        </w:tc>
        <w:tc>
          <w:tcPr>
            <w:tcW w:w="715" w:type="dxa"/>
          </w:tcPr>
          <w:p w14:paraId="0E794FDD"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40%</w:t>
            </w:r>
          </w:p>
        </w:tc>
        <w:tc>
          <w:tcPr>
            <w:tcW w:w="715" w:type="dxa"/>
          </w:tcPr>
          <w:p w14:paraId="5EF9891B" w14:textId="77777777" w:rsidR="009D4A93" w:rsidRPr="00536CFD" w:rsidRDefault="009D4A93" w:rsidP="009D4A93">
            <w:pPr>
              <w:spacing w:after="0"/>
              <w:jc w:val="center"/>
              <w:rPr>
                <w:rFonts w:ascii="Times New Roman" w:hAnsi="Times New Roman"/>
                <w:sz w:val="20"/>
                <w:szCs w:val="20"/>
              </w:rPr>
            </w:pPr>
          </w:p>
        </w:tc>
        <w:tc>
          <w:tcPr>
            <w:tcW w:w="737" w:type="dxa"/>
          </w:tcPr>
          <w:p w14:paraId="260DB703"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63%</w:t>
            </w:r>
          </w:p>
        </w:tc>
        <w:tc>
          <w:tcPr>
            <w:tcW w:w="738" w:type="dxa"/>
          </w:tcPr>
          <w:p w14:paraId="7732BEA2"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58%</w:t>
            </w:r>
          </w:p>
        </w:tc>
        <w:tc>
          <w:tcPr>
            <w:tcW w:w="737" w:type="dxa"/>
          </w:tcPr>
          <w:p w14:paraId="70C8572B"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61%</w:t>
            </w:r>
          </w:p>
        </w:tc>
        <w:tc>
          <w:tcPr>
            <w:tcW w:w="738" w:type="dxa"/>
          </w:tcPr>
          <w:p w14:paraId="50C4F273" w14:textId="77777777" w:rsidR="009D4A93" w:rsidRPr="00536CFD" w:rsidRDefault="009D4A93" w:rsidP="009D4A93">
            <w:pPr>
              <w:spacing w:after="0"/>
              <w:jc w:val="center"/>
              <w:rPr>
                <w:rFonts w:ascii="Times New Roman" w:hAnsi="Times New Roman"/>
                <w:sz w:val="20"/>
                <w:szCs w:val="20"/>
              </w:rPr>
            </w:pPr>
          </w:p>
        </w:tc>
      </w:tr>
      <w:tr w:rsidR="009D4A93" w:rsidRPr="00536CFD" w14:paraId="431652F0" w14:textId="77777777" w:rsidTr="009D4A93">
        <w:trPr>
          <w:cantSplit/>
          <w:trHeight w:val="22"/>
        </w:trPr>
        <w:tc>
          <w:tcPr>
            <w:tcW w:w="500" w:type="dxa"/>
            <w:vMerge/>
          </w:tcPr>
          <w:p w14:paraId="4AA1ABE6" w14:textId="77777777" w:rsidR="009D4A93" w:rsidRPr="00536CFD" w:rsidRDefault="009D4A93" w:rsidP="009D4A93">
            <w:pPr>
              <w:spacing w:after="0"/>
              <w:jc w:val="center"/>
              <w:rPr>
                <w:rFonts w:ascii="Times New Roman" w:hAnsi="Times New Roman"/>
                <w:sz w:val="20"/>
                <w:szCs w:val="20"/>
              </w:rPr>
            </w:pPr>
          </w:p>
        </w:tc>
        <w:tc>
          <w:tcPr>
            <w:tcW w:w="1010" w:type="dxa"/>
            <w:gridSpan w:val="2"/>
          </w:tcPr>
          <w:p w14:paraId="374C763D" w14:textId="77777777" w:rsidR="009D4A93" w:rsidRPr="00536CFD" w:rsidRDefault="009D4A93" w:rsidP="009D4A93">
            <w:pPr>
              <w:spacing w:after="0"/>
              <w:jc w:val="center"/>
              <w:rPr>
                <w:rFonts w:ascii="Times New Roman" w:hAnsi="Times New Roman"/>
                <w:sz w:val="20"/>
                <w:szCs w:val="20"/>
              </w:rPr>
            </w:pPr>
            <w:r w:rsidRPr="00536CFD">
              <w:rPr>
                <w:rFonts w:ascii="Cambria Math" w:hAnsi="Cambria Math" w:cs="Cambria Math"/>
                <w:sz w:val="20"/>
                <w:szCs w:val="20"/>
              </w:rPr>
              <w:t>𝜆</w:t>
            </w:r>
          </w:p>
        </w:tc>
        <w:tc>
          <w:tcPr>
            <w:tcW w:w="2575" w:type="dxa"/>
            <w:gridSpan w:val="4"/>
          </w:tcPr>
          <w:p w14:paraId="0B60DA48"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0.25 file/s</w:t>
            </w:r>
          </w:p>
        </w:tc>
        <w:tc>
          <w:tcPr>
            <w:tcW w:w="2860" w:type="dxa"/>
            <w:gridSpan w:val="4"/>
          </w:tcPr>
          <w:p w14:paraId="1DA2A0A6"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0.38 file/s</w:t>
            </w:r>
          </w:p>
        </w:tc>
        <w:tc>
          <w:tcPr>
            <w:tcW w:w="2950" w:type="dxa"/>
            <w:gridSpan w:val="4"/>
          </w:tcPr>
          <w:p w14:paraId="02F9C565" w14:textId="77777777" w:rsidR="009D4A93" w:rsidRPr="00536CFD" w:rsidRDefault="009D4A93" w:rsidP="009D4A93">
            <w:pPr>
              <w:spacing w:after="0"/>
              <w:jc w:val="center"/>
              <w:rPr>
                <w:rFonts w:ascii="Times New Roman" w:hAnsi="Times New Roman"/>
                <w:sz w:val="20"/>
                <w:szCs w:val="20"/>
              </w:rPr>
            </w:pPr>
            <w:r w:rsidRPr="00536CFD">
              <w:rPr>
                <w:rFonts w:ascii="Times New Roman" w:hAnsi="Times New Roman"/>
                <w:sz w:val="20"/>
                <w:szCs w:val="20"/>
              </w:rPr>
              <w:t>0.48 file/s</w:t>
            </w:r>
          </w:p>
        </w:tc>
      </w:tr>
      <w:tr w:rsidR="009D4A93" w:rsidRPr="00536CFD" w14:paraId="0FC0A954" w14:textId="77777777" w:rsidTr="009D4A93">
        <w:trPr>
          <w:cantSplit/>
          <w:trHeight w:val="22"/>
        </w:trPr>
        <w:tc>
          <w:tcPr>
            <w:tcW w:w="500" w:type="dxa"/>
            <w:vMerge/>
          </w:tcPr>
          <w:p w14:paraId="4A789137" w14:textId="77777777" w:rsidR="009D4A93" w:rsidRPr="00536CFD" w:rsidRDefault="009D4A93" w:rsidP="009D4A93">
            <w:pPr>
              <w:spacing w:after="0"/>
              <w:jc w:val="center"/>
              <w:rPr>
                <w:rFonts w:ascii="Times New Roman" w:hAnsi="Times New Roman"/>
                <w:sz w:val="20"/>
                <w:szCs w:val="20"/>
              </w:rPr>
            </w:pPr>
          </w:p>
        </w:tc>
        <w:tc>
          <w:tcPr>
            <w:tcW w:w="1010" w:type="dxa"/>
            <w:gridSpan w:val="2"/>
          </w:tcPr>
          <w:p w14:paraId="0E67B52A" w14:textId="77777777" w:rsidR="009D4A93" w:rsidRPr="00536CFD" w:rsidRDefault="009D4A93" w:rsidP="009D4A93">
            <w:pPr>
              <w:spacing w:after="0"/>
              <w:jc w:val="both"/>
              <w:rPr>
                <w:rFonts w:ascii="Times New Roman" w:hAnsi="Times New Roman"/>
                <w:sz w:val="20"/>
                <w:szCs w:val="20"/>
              </w:rPr>
            </w:pPr>
          </w:p>
        </w:tc>
        <w:tc>
          <w:tcPr>
            <w:tcW w:w="8385" w:type="dxa"/>
            <w:gridSpan w:val="12"/>
          </w:tcPr>
          <w:p w14:paraId="3B9DB8FE" w14:textId="77777777" w:rsidR="009D4A93" w:rsidRPr="00536CFD" w:rsidRDefault="009D4A93" w:rsidP="009D4A93">
            <w:pPr>
              <w:pStyle w:val="ResTable"/>
              <w:jc w:val="left"/>
              <w:rPr>
                <w:rFonts w:ascii="Times New Roman" w:hAnsi="Times New Roman" w:cs="Times New Roman"/>
                <w:sz w:val="20"/>
                <w:szCs w:val="20"/>
              </w:rPr>
            </w:pPr>
            <w:r w:rsidRPr="00536CFD">
              <w:rPr>
                <w:rFonts w:ascii="Times New Roman" w:hAnsi="Times New Roman" w:cs="Times New Roman"/>
                <w:sz w:val="20"/>
                <w:szCs w:val="20"/>
              </w:rPr>
              <w:t xml:space="preserve">Additional comments: </w:t>
            </w:r>
          </w:p>
          <w:p w14:paraId="2CCEAC9C" w14:textId="77777777" w:rsidR="009D4A93" w:rsidRPr="00536CFD" w:rsidRDefault="009D4A93" w:rsidP="009D4A93">
            <w:pPr>
              <w:spacing w:after="0"/>
              <w:rPr>
                <w:rFonts w:ascii="Times New Roman" w:hAnsi="Times New Roman"/>
                <w:sz w:val="20"/>
                <w:szCs w:val="20"/>
              </w:rPr>
            </w:pPr>
            <w:r w:rsidRPr="00536CFD">
              <w:rPr>
                <w:rFonts w:ascii="Times New Roman" w:hAnsi="Times New Roman"/>
                <w:b/>
                <w:bCs/>
                <w:sz w:val="20"/>
                <w:szCs w:val="20"/>
                <w:lang w:eastAsia="sv-SE"/>
              </w:rPr>
              <w:t>Simulation setup:</w:t>
            </w:r>
            <w:r w:rsidRPr="00536CFD">
              <w:rPr>
                <w:rFonts w:ascii="Times New Roman" w:hAnsi="Times New Roman"/>
                <w:sz w:val="20"/>
                <w:szCs w:val="20"/>
                <w:lang w:eastAsia="sv-SE"/>
              </w:rPr>
              <w:t xml:space="preserve"> NR-U indoor scenario, 50/50 DL/UL traffics. </w:t>
            </w:r>
            <w:r w:rsidRPr="00536CFD">
              <w:rPr>
                <w:rFonts w:ascii="Times New Roman" w:hAnsi="Times New Roman"/>
                <w:sz w:val="20"/>
                <w:szCs w:val="20"/>
              </w:rPr>
              <w:br/>
            </w:r>
            <w:r w:rsidRPr="00536CFD">
              <w:rPr>
                <w:rFonts w:ascii="Times New Roman" w:hAnsi="Times New Roman"/>
                <w:b/>
                <w:bCs/>
                <w:sz w:val="20"/>
                <w:szCs w:val="20"/>
              </w:rPr>
              <w:t>Common assumptions:</w:t>
            </w:r>
            <w:r w:rsidRPr="00536CFD">
              <w:rPr>
                <w:rFonts w:ascii="Times New Roman" w:hAnsi="Times New Roman"/>
                <w:sz w:val="20"/>
                <w:szCs w:val="20"/>
              </w:rPr>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rPr>
                <w:rFonts w:ascii="Times New Roman" w:hAnsi="Times New Roman"/>
                <w:sz w:val="20"/>
                <w:szCs w:val="20"/>
              </w:rPr>
              <w:br/>
            </w:r>
            <w:r w:rsidRPr="00536CFD">
              <w:rPr>
                <w:rFonts w:ascii="Times New Roman" w:hAnsi="Times New Roman"/>
                <w:b/>
                <w:bCs/>
                <w:sz w:val="20"/>
                <w:szCs w:val="20"/>
              </w:rPr>
              <w:t xml:space="preserve">Wi-Fi assumptions: </w:t>
            </w:r>
            <w:r w:rsidRPr="00536CFD">
              <w:rPr>
                <w:rFonts w:ascii="Times New Roman" w:hAnsi="Times New Roman"/>
                <w:sz w:val="20"/>
                <w:szCs w:val="20"/>
              </w:rPr>
              <w:t>RTS/CTS disabled, ED/PD threshold -62/-82dBm, A-MPDU frame aggregation, MPDU size: 1500B MSDU plus 14B header, short Wi-Fi guard interval.</w:t>
            </w:r>
            <w:r w:rsidRPr="00536CFD">
              <w:rPr>
                <w:rFonts w:ascii="Times New Roman" w:hAnsi="Times New Roman"/>
                <w:sz w:val="20"/>
                <w:szCs w:val="20"/>
              </w:rPr>
              <w:br/>
            </w:r>
            <w:r w:rsidRPr="00536CFD">
              <w:rPr>
                <w:rFonts w:ascii="Times New Roman" w:hAnsi="Times New Roman"/>
                <w:b/>
                <w:bCs/>
                <w:sz w:val="20"/>
                <w:szCs w:val="20"/>
              </w:rPr>
              <w:t>NR-U assumptions:</w:t>
            </w:r>
            <w:r w:rsidRPr="00536CFD">
              <w:rPr>
                <w:rFonts w:ascii="Times New Roman" w:hAnsi="Times New Roman"/>
                <w:sz w:val="20"/>
                <w:szCs w:val="20"/>
              </w:rPr>
              <w:t xml:space="preserve"> ED threshold  -72dBm, SCSs: 15kHz, 30kHz, and 60kHz, UE processing time capability #1, PUSCH mapping Type A, PDSCH mapping Type B, PDCCH monitoring every 1OS, Scheduling: proportional fair, self-scheduling, COT sharing enabled (gNB initiated COT).</w:t>
            </w:r>
          </w:p>
        </w:tc>
      </w:tr>
    </w:tbl>
    <w:p w14:paraId="6D2CA805" w14:textId="77777777" w:rsidR="009D4A93" w:rsidRPr="00C64ECB" w:rsidRDefault="009D4A93" w:rsidP="009D4A93"/>
    <w:p w14:paraId="6536C3F8" w14:textId="77777777" w:rsidR="009D4A93" w:rsidRPr="00C64ECB" w:rsidRDefault="009D4A93" w:rsidP="00E126D2">
      <w:pPr>
        <w:pStyle w:val="TH"/>
        <w:pageBreakBefore/>
        <w:rPr>
          <w:bCs/>
          <w:lang w:val="en-US"/>
        </w:rPr>
      </w:pPr>
      <w:r w:rsidRPr="00C64ECB">
        <w:rPr>
          <w:lang w:val="en-US"/>
        </w:rPr>
        <w:t xml:space="preserve">Table B.1.1-5 </w:t>
      </w:r>
      <w:r w:rsidRPr="00C64ECB">
        <w:rPr>
          <w:bCs/>
          <w:lang w:val="en-US"/>
        </w:rPr>
        <w:t>Eva</w:t>
      </w:r>
      <w:r w:rsidRPr="00C64ECB">
        <w:rPr>
          <w:lang w:val="en-US"/>
        </w:rPr>
        <w:t xml:space="preserve">luation results for 11ax and NR-U in 11ax+NR-U coexistence </w:t>
      </w:r>
      <w:r w:rsidRPr="00C64ECB">
        <w:t>in indoor scenario. Two cases are considered: (1) 11ax uses ED = -62dBm; and (2) 11ax uses ED=-72dBm.</w:t>
      </w:r>
    </w:p>
    <w:tbl>
      <w:tblPr>
        <w:tblStyle w:val="TableGrid4"/>
        <w:tblW w:w="9895" w:type="dxa"/>
        <w:tblLayout w:type="fixed"/>
        <w:tblCellMar>
          <w:left w:w="0" w:type="dxa"/>
          <w:right w:w="0" w:type="dxa"/>
        </w:tblCellMar>
        <w:tblLook w:val="04A0" w:firstRow="1" w:lastRow="0" w:firstColumn="1" w:lastColumn="0" w:noHBand="0" w:noVBand="1"/>
      </w:tblPr>
      <w:tblGrid>
        <w:gridCol w:w="500"/>
        <w:gridCol w:w="505"/>
        <w:gridCol w:w="505"/>
        <w:gridCol w:w="643"/>
        <w:gridCol w:w="644"/>
        <w:gridCol w:w="644"/>
        <w:gridCol w:w="665"/>
        <w:gridCol w:w="694"/>
        <w:gridCol w:w="715"/>
        <w:gridCol w:w="715"/>
        <w:gridCol w:w="715"/>
        <w:gridCol w:w="737"/>
        <w:gridCol w:w="738"/>
        <w:gridCol w:w="737"/>
        <w:gridCol w:w="738"/>
      </w:tblGrid>
      <w:tr w:rsidR="009D4A93" w:rsidRPr="00536CFD" w14:paraId="29913E3B" w14:textId="77777777" w:rsidTr="00536CFD">
        <w:trPr>
          <w:cantSplit/>
          <w:trHeight w:val="22"/>
        </w:trPr>
        <w:tc>
          <w:tcPr>
            <w:tcW w:w="500" w:type="dxa"/>
            <w:vMerge w:val="restart"/>
            <w:textDirection w:val="btLr"/>
          </w:tcPr>
          <w:p w14:paraId="70CF8AA3" w14:textId="45C9367F" w:rsidR="009D4A93" w:rsidRPr="00536CFD" w:rsidRDefault="009D4A93" w:rsidP="00536CFD">
            <w:pPr>
              <w:spacing w:after="0"/>
              <w:ind w:left="113" w:right="113"/>
              <w:jc w:val="center"/>
            </w:pPr>
            <w:r w:rsidRPr="00536CFD">
              <w:t>Tdoc /Source</w:t>
            </w:r>
          </w:p>
        </w:tc>
        <w:tc>
          <w:tcPr>
            <w:tcW w:w="1010" w:type="dxa"/>
            <w:gridSpan w:val="2"/>
            <w:vMerge w:val="restart"/>
          </w:tcPr>
          <w:p w14:paraId="65068B85" w14:textId="77777777" w:rsidR="009D4A93" w:rsidRPr="00536CFD" w:rsidRDefault="009D4A93" w:rsidP="009D4A93">
            <w:pPr>
              <w:spacing w:after="0"/>
              <w:jc w:val="center"/>
            </w:pPr>
          </w:p>
          <w:p w14:paraId="47235458" w14:textId="77777777" w:rsidR="009D4A93" w:rsidRPr="00536CFD" w:rsidRDefault="009D4A93" w:rsidP="009D4A93">
            <w:pPr>
              <w:spacing w:after="0"/>
              <w:jc w:val="center"/>
            </w:pPr>
            <w:r w:rsidRPr="00536CFD">
              <w:t>Reported parameters</w:t>
            </w:r>
          </w:p>
        </w:tc>
        <w:tc>
          <w:tcPr>
            <w:tcW w:w="2596" w:type="dxa"/>
            <w:gridSpan w:val="4"/>
          </w:tcPr>
          <w:p w14:paraId="31678471" w14:textId="77777777" w:rsidR="009D4A93" w:rsidRPr="00536CFD" w:rsidRDefault="009D4A93" w:rsidP="009D4A93">
            <w:pPr>
              <w:spacing w:after="0"/>
              <w:jc w:val="center"/>
              <w:rPr>
                <w:u w:val="single"/>
              </w:rPr>
            </w:pPr>
            <w:r w:rsidRPr="00536CFD">
              <w:rPr>
                <w:u w:val="single"/>
              </w:rPr>
              <w:t>Low load</w:t>
            </w:r>
          </w:p>
          <w:p w14:paraId="6B50C009" w14:textId="77777777" w:rsidR="009D4A93" w:rsidRPr="00536CFD" w:rsidRDefault="009D4A93" w:rsidP="009D4A93">
            <w:pPr>
              <w:spacing w:after="0"/>
              <w:jc w:val="center"/>
              <w:rPr>
                <w:u w:val="single"/>
              </w:rPr>
            </w:pPr>
            <w:r w:rsidRPr="00536CFD">
              <w:t xml:space="preserve">BO range for NR-U </w:t>
            </w:r>
            <w:r w:rsidRPr="00536CFD">
              <w:rPr>
                <w:lang w:eastAsia="sv-SE"/>
              </w:rPr>
              <w:t>in 11ax+NR-U with 11ax using ED = -62dBm</w:t>
            </w:r>
            <w:r w:rsidRPr="00536CFD">
              <w:t>: 10%~25%</w:t>
            </w:r>
          </w:p>
        </w:tc>
        <w:tc>
          <w:tcPr>
            <w:tcW w:w="2839" w:type="dxa"/>
            <w:gridSpan w:val="4"/>
          </w:tcPr>
          <w:p w14:paraId="13E40312" w14:textId="77777777" w:rsidR="009D4A93" w:rsidRPr="00536CFD" w:rsidRDefault="009D4A93" w:rsidP="009D4A93">
            <w:pPr>
              <w:spacing w:after="0"/>
              <w:jc w:val="center"/>
              <w:rPr>
                <w:u w:val="single"/>
              </w:rPr>
            </w:pPr>
            <w:r w:rsidRPr="00536CFD">
              <w:rPr>
                <w:u w:val="single"/>
              </w:rPr>
              <w:t>Medium load</w:t>
            </w:r>
          </w:p>
          <w:p w14:paraId="2D568F4C" w14:textId="77777777" w:rsidR="009D4A93" w:rsidRPr="00536CFD" w:rsidRDefault="009D4A93" w:rsidP="009D4A93">
            <w:pPr>
              <w:spacing w:after="0"/>
              <w:jc w:val="center"/>
              <w:rPr>
                <w:u w:val="single"/>
              </w:rPr>
            </w:pPr>
            <w:r w:rsidRPr="00536CFD">
              <w:t xml:space="preserve">BO range for NR-U </w:t>
            </w:r>
            <w:r w:rsidRPr="00536CFD">
              <w:rPr>
                <w:lang w:eastAsia="sv-SE"/>
              </w:rPr>
              <w:t>in 11ax+NR-U with 11ax using ED = -62dBm</w:t>
            </w:r>
            <w:r w:rsidRPr="00536CFD">
              <w:t>: 35%~50%</w:t>
            </w:r>
          </w:p>
        </w:tc>
        <w:tc>
          <w:tcPr>
            <w:tcW w:w="2950" w:type="dxa"/>
            <w:gridSpan w:val="4"/>
          </w:tcPr>
          <w:p w14:paraId="6CC43491" w14:textId="77777777" w:rsidR="009D4A93" w:rsidRPr="00536CFD" w:rsidRDefault="009D4A93" w:rsidP="009D4A93">
            <w:pPr>
              <w:spacing w:after="0"/>
              <w:jc w:val="center"/>
              <w:rPr>
                <w:u w:val="single"/>
              </w:rPr>
            </w:pPr>
            <w:r w:rsidRPr="00536CFD">
              <w:rPr>
                <w:u w:val="single"/>
              </w:rPr>
              <w:t>High load</w:t>
            </w:r>
          </w:p>
          <w:p w14:paraId="3E219656" w14:textId="77777777" w:rsidR="009D4A93" w:rsidRPr="00536CFD" w:rsidRDefault="009D4A93" w:rsidP="009D4A93">
            <w:pPr>
              <w:spacing w:after="0"/>
              <w:jc w:val="center"/>
              <w:rPr>
                <w:u w:val="single"/>
              </w:rPr>
            </w:pPr>
            <w:r w:rsidRPr="00536CFD">
              <w:t xml:space="preserve">BO range for NR-U </w:t>
            </w:r>
            <w:r w:rsidRPr="00536CFD">
              <w:rPr>
                <w:lang w:eastAsia="sv-SE"/>
              </w:rPr>
              <w:t>in 11ax+NR-U with 11ax using ED = -62dBm</w:t>
            </w:r>
            <w:r w:rsidRPr="00536CFD">
              <w:t>: above 55%</w:t>
            </w:r>
          </w:p>
        </w:tc>
      </w:tr>
      <w:tr w:rsidR="009D4A93" w:rsidRPr="00536CFD" w14:paraId="47BB0AD9" w14:textId="77777777" w:rsidTr="009D4A93">
        <w:trPr>
          <w:cantSplit/>
          <w:trHeight w:val="22"/>
        </w:trPr>
        <w:tc>
          <w:tcPr>
            <w:tcW w:w="500" w:type="dxa"/>
            <w:vMerge/>
          </w:tcPr>
          <w:p w14:paraId="440D20DE" w14:textId="77777777" w:rsidR="009D4A93" w:rsidRPr="00536CFD" w:rsidRDefault="009D4A93" w:rsidP="009D4A93">
            <w:pPr>
              <w:spacing w:after="0"/>
              <w:jc w:val="center"/>
            </w:pPr>
          </w:p>
        </w:tc>
        <w:tc>
          <w:tcPr>
            <w:tcW w:w="1010" w:type="dxa"/>
            <w:gridSpan w:val="2"/>
            <w:vMerge/>
          </w:tcPr>
          <w:p w14:paraId="46B2D0C5" w14:textId="77777777" w:rsidR="009D4A93" w:rsidRPr="00536CFD" w:rsidRDefault="009D4A93" w:rsidP="009D4A93">
            <w:pPr>
              <w:spacing w:after="0"/>
              <w:jc w:val="center"/>
            </w:pPr>
          </w:p>
        </w:tc>
        <w:tc>
          <w:tcPr>
            <w:tcW w:w="643" w:type="dxa"/>
          </w:tcPr>
          <w:p w14:paraId="54FFF387" w14:textId="77777777" w:rsidR="009D4A93" w:rsidRPr="00536CFD" w:rsidRDefault="009D4A93" w:rsidP="009D4A93">
            <w:pPr>
              <w:spacing w:after="0"/>
              <w:jc w:val="center"/>
            </w:pPr>
            <w:r w:rsidRPr="00536CFD">
              <w:t xml:space="preserve">11ax when </w:t>
            </w:r>
            <w:r w:rsidRPr="00536CFD">
              <w:rPr>
                <w:lang w:eastAsia="sv-SE"/>
              </w:rPr>
              <w:t>11ax uses ED = -62dBm</w:t>
            </w:r>
          </w:p>
        </w:tc>
        <w:tc>
          <w:tcPr>
            <w:tcW w:w="644" w:type="dxa"/>
          </w:tcPr>
          <w:p w14:paraId="7A2E5356" w14:textId="77777777" w:rsidR="009D4A93" w:rsidRPr="00536CFD" w:rsidRDefault="009D4A93" w:rsidP="009D4A93">
            <w:pPr>
              <w:spacing w:after="0"/>
              <w:jc w:val="center"/>
            </w:pPr>
            <w:r w:rsidRPr="00536CFD">
              <w:t xml:space="preserve">11ax when </w:t>
            </w:r>
            <w:r w:rsidRPr="00536CFD">
              <w:rPr>
                <w:lang w:eastAsia="sv-SE"/>
              </w:rPr>
              <w:t>11ax uses ED = -72dBm</w:t>
            </w:r>
          </w:p>
        </w:tc>
        <w:tc>
          <w:tcPr>
            <w:tcW w:w="644" w:type="dxa"/>
          </w:tcPr>
          <w:p w14:paraId="5E400D84" w14:textId="77777777" w:rsidR="009D4A93" w:rsidRPr="00536CFD" w:rsidRDefault="009D4A93" w:rsidP="009D4A93">
            <w:pPr>
              <w:spacing w:after="0"/>
            </w:pPr>
            <w:r w:rsidRPr="00536CFD">
              <w:t>NR-U when</w:t>
            </w:r>
            <w:r w:rsidRPr="00536CFD">
              <w:rPr>
                <w:lang w:eastAsia="sv-SE"/>
              </w:rPr>
              <w:t>11ax uses ED =-62dBm</w:t>
            </w:r>
          </w:p>
        </w:tc>
        <w:tc>
          <w:tcPr>
            <w:tcW w:w="665" w:type="dxa"/>
          </w:tcPr>
          <w:p w14:paraId="5A5363C8" w14:textId="77777777" w:rsidR="009D4A93" w:rsidRPr="00536CFD" w:rsidRDefault="009D4A93" w:rsidP="009D4A93">
            <w:pPr>
              <w:spacing w:after="0"/>
            </w:pPr>
            <w:r w:rsidRPr="00536CFD">
              <w:t xml:space="preserve">NR-U when </w:t>
            </w:r>
            <w:r w:rsidRPr="00536CFD">
              <w:rPr>
                <w:lang w:eastAsia="sv-SE"/>
              </w:rPr>
              <w:t>11ax uses ED = -72dBm</w:t>
            </w:r>
          </w:p>
        </w:tc>
        <w:tc>
          <w:tcPr>
            <w:tcW w:w="694" w:type="dxa"/>
          </w:tcPr>
          <w:p w14:paraId="4C27DFE6" w14:textId="77777777" w:rsidR="009D4A93" w:rsidRPr="00536CFD" w:rsidRDefault="009D4A93" w:rsidP="009D4A93">
            <w:pPr>
              <w:spacing w:after="0"/>
              <w:jc w:val="center"/>
            </w:pPr>
            <w:r w:rsidRPr="00536CFD">
              <w:t xml:space="preserve">11ax when </w:t>
            </w:r>
            <w:r w:rsidRPr="00536CFD">
              <w:rPr>
                <w:lang w:eastAsia="sv-SE"/>
              </w:rPr>
              <w:t>11ax uses ED = -62dBm</w:t>
            </w:r>
          </w:p>
        </w:tc>
        <w:tc>
          <w:tcPr>
            <w:tcW w:w="715" w:type="dxa"/>
          </w:tcPr>
          <w:p w14:paraId="30C55824" w14:textId="77777777" w:rsidR="009D4A93" w:rsidRPr="00536CFD" w:rsidRDefault="009D4A93" w:rsidP="009D4A93">
            <w:pPr>
              <w:spacing w:after="0"/>
              <w:jc w:val="center"/>
            </w:pPr>
            <w:r w:rsidRPr="00536CFD">
              <w:t xml:space="preserve">11ax when </w:t>
            </w:r>
            <w:r w:rsidRPr="00536CFD">
              <w:rPr>
                <w:lang w:eastAsia="sv-SE"/>
              </w:rPr>
              <w:t>11ax uses ED = -72dBm</w:t>
            </w:r>
          </w:p>
        </w:tc>
        <w:tc>
          <w:tcPr>
            <w:tcW w:w="715" w:type="dxa"/>
          </w:tcPr>
          <w:p w14:paraId="1DD331E6" w14:textId="77777777" w:rsidR="009D4A93" w:rsidRPr="00536CFD" w:rsidRDefault="009D4A93" w:rsidP="009D4A93">
            <w:pPr>
              <w:spacing w:after="0"/>
              <w:jc w:val="center"/>
            </w:pPr>
            <w:r w:rsidRPr="00536CFD">
              <w:t xml:space="preserve">NR-U when </w:t>
            </w:r>
            <w:r w:rsidRPr="00536CFD">
              <w:rPr>
                <w:lang w:eastAsia="sv-SE"/>
              </w:rPr>
              <w:t>11ax uses ED = -62dBm</w:t>
            </w:r>
          </w:p>
        </w:tc>
        <w:tc>
          <w:tcPr>
            <w:tcW w:w="715" w:type="dxa"/>
          </w:tcPr>
          <w:p w14:paraId="4A2E0FB5" w14:textId="77777777" w:rsidR="009D4A93" w:rsidRPr="00536CFD" w:rsidRDefault="009D4A93" w:rsidP="009D4A93">
            <w:pPr>
              <w:spacing w:after="0"/>
              <w:jc w:val="center"/>
            </w:pPr>
            <w:r w:rsidRPr="00536CFD">
              <w:t xml:space="preserve">NR-U when </w:t>
            </w:r>
            <w:r w:rsidRPr="00536CFD">
              <w:rPr>
                <w:lang w:eastAsia="sv-SE"/>
              </w:rPr>
              <w:t>11ax uses ED = -72dBm</w:t>
            </w:r>
          </w:p>
        </w:tc>
        <w:tc>
          <w:tcPr>
            <w:tcW w:w="737" w:type="dxa"/>
          </w:tcPr>
          <w:p w14:paraId="641D73B6" w14:textId="77777777" w:rsidR="009D4A93" w:rsidRPr="00536CFD" w:rsidRDefault="009D4A93" w:rsidP="009D4A93">
            <w:pPr>
              <w:spacing w:after="0"/>
              <w:jc w:val="center"/>
            </w:pPr>
            <w:r w:rsidRPr="00536CFD">
              <w:t xml:space="preserve">11ax when </w:t>
            </w:r>
            <w:r w:rsidRPr="00536CFD">
              <w:rPr>
                <w:lang w:eastAsia="sv-SE"/>
              </w:rPr>
              <w:t>11ax uses ED = -62dBm</w:t>
            </w:r>
          </w:p>
        </w:tc>
        <w:tc>
          <w:tcPr>
            <w:tcW w:w="738" w:type="dxa"/>
          </w:tcPr>
          <w:p w14:paraId="58ECE89A" w14:textId="77777777" w:rsidR="009D4A93" w:rsidRPr="00536CFD" w:rsidRDefault="009D4A93" w:rsidP="009D4A93">
            <w:pPr>
              <w:spacing w:after="0"/>
              <w:jc w:val="center"/>
            </w:pPr>
            <w:r w:rsidRPr="00536CFD">
              <w:t xml:space="preserve">11ax when </w:t>
            </w:r>
            <w:r w:rsidRPr="00536CFD">
              <w:rPr>
                <w:lang w:eastAsia="sv-SE"/>
              </w:rPr>
              <w:t>11ax uses ED = -72dBm</w:t>
            </w:r>
          </w:p>
        </w:tc>
        <w:tc>
          <w:tcPr>
            <w:tcW w:w="737" w:type="dxa"/>
          </w:tcPr>
          <w:p w14:paraId="13A453D5" w14:textId="77777777" w:rsidR="009D4A93" w:rsidRPr="00536CFD" w:rsidRDefault="009D4A93" w:rsidP="009D4A93">
            <w:pPr>
              <w:spacing w:after="0"/>
              <w:jc w:val="center"/>
            </w:pPr>
            <w:r w:rsidRPr="00536CFD">
              <w:t xml:space="preserve">NR-U when </w:t>
            </w:r>
            <w:r w:rsidRPr="00536CFD">
              <w:rPr>
                <w:lang w:eastAsia="sv-SE"/>
              </w:rPr>
              <w:t>11ax uses ED = -62dBm</w:t>
            </w:r>
          </w:p>
        </w:tc>
        <w:tc>
          <w:tcPr>
            <w:tcW w:w="738" w:type="dxa"/>
          </w:tcPr>
          <w:p w14:paraId="2230DDD5" w14:textId="77777777" w:rsidR="009D4A93" w:rsidRPr="00536CFD" w:rsidRDefault="009D4A93" w:rsidP="009D4A93">
            <w:pPr>
              <w:spacing w:after="0"/>
              <w:jc w:val="center"/>
            </w:pPr>
            <w:r w:rsidRPr="00536CFD">
              <w:t xml:space="preserve">NR-U when </w:t>
            </w:r>
            <w:r w:rsidRPr="00536CFD">
              <w:rPr>
                <w:lang w:eastAsia="sv-SE"/>
              </w:rPr>
              <w:t>11ax uses ED = -72dBm</w:t>
            </w:r>
          </w:p>
        </w:tc>
      </w:tr>
      <w:tr w:rsidR="009D4A93" w:rsidRPr="00536CFD" w14:paraId="139C795B" w14:textId="77777777" w:rsidTr="009D4A93">
        <w:trPr>
          <w:cantSplit/>
          <w:trHeight w:val="204"/>
        </w:trPr>
        <w:tc>
          <w:tcPr>
            <w:tcW w:w="500" w:type="dxa"/>
            <w:vMerge w:val="restart"/>
            <w:textDirection w:val="btLr"/>
          </w:tcPr>
          <w:p w14:paraId="6D9BF1D5" w14:textId="77777777" w:rsidR="009D4A93" w:rsidRPr="00536CFD" w:rsidRDefault="009D4A93" w:rsidP="009D4A93">
            <w:pPr>
              <w:spacing w:after="0"/>
              <w:ind w:left="113" w:right="113"/>
              <w:jc w:val="center"/>
            </w:pPr>
            <w:r w:rsidRPr="00536CFD">
              <w:rPr>
                <w:color w:val="000000"/>
              </w:rPr>
              <w:t>R1-1814020</w:t>
            </w:r>
            <w:r w:rsidRPr="00536CFD">
              <w:t>/ Source 8</w:t>
            </w:r>
          </w:p>
        </w:tc>
        <w:tc>
          <w:tcPr>
            <w:tcW w:w="505" w:type="dxa"/>
            <w:vMerge w:val="restart"/>
          </w:tcPr>
          <w:p w14:paraId="129971C4" w14:textId="77777777" w:rsidR="009D4A93" w:rsidRPr="00536CFD" w:rsidRDefault="009D4A93" w:rsidP="009D4A93">
            <w:pPr>
              <w:spacing w:after="0"/>
              <w:jc w:val="center"/>
            </w:pPr>
            <w:r w:rsidRPr="00536CFD">
              <w:t xml:space="preserve">DL: </w:t>
            </w:r>
          </w:p>
          <w:p w14:paraId="23AE2992" w14:textId="77777777" w:rsidR="009D4A93" w:rsidRPr="00536CFD" w:rsidRDefault="009D4A93" w:rsidP="009D4A93">
            <w:pPr>
              <w:spacing w:after="0"/>
              <w:jc w:val="center"/>
            </w:pPr>
            <w:r w:rsidRPr="00536CFD">
              <w:t>UPT CDF</w:t>
            </w:r>
          </w:p>
          <w:p w14:paraId="6B7D96CF" w14:textId="77777777" w:rsidR="009D4A93" w:rsidRPr="00536CFD" w:rsidRDefault="009D4A93" w:rsidP="009D4A93">
            <w:pPr>
              <w:spacing w:after="0"/>
              <w:jc w:val="center"/>
            </w:pPr>
            <w:r w:rsidRPr="00536CFD">
              <w:t>[Mbps]</w:t>
            </w:r>
          </w:p>
        </w:tc>
        <w:tc>
          <w:tcPr>
            <w:tcW w:w="505" w:type="dxa"/>
          </w:tcPr>
          <w:p w14:paraId="4C0F7C0F" w14:textId="77777777" w:rsidR="009D4A93" w:rsidRPr="00536CFD" w:rsidRDefault="009D4A93" w:rsidP="009D4A93">
            <w:pPr>
              <w:spacing w:after="0"/>
              <w:jc w:val="center"/>
            </w:pPr>
            <w:r w:rsidRPr="00536CFD">
              <w:t>5%</w:t>
            </w:r>
          </w:p>
        </w:tc>
        <w:tc>
          <w:tcPr>
            <w:tcW w:w="643" w:type="dxa"/>
          </w:tcPr>
          <w:p w14:paraId="091724D8" w14:textId="77777777" w:rsidR="009D4A93" w:rsidRPr="00536CFD" w:rsidRDefault="009D4A93" w:rsidP="009D4A93">
            <w:pPr>
              <w:spacing w:after="0"/>
              <w:jc w:val="center"/>
            </w:pPr>
            <w:r w:rsidRPr="00536CFD">
              <w:t>34.47</w:t>
            </w:r>
          </w:p>
        </w:tc>
        <w:tc>
          <w:tcPr>
            <w:tcW w:w="644" w:type="dxa"/>
          </w:tcPr>
          <w:p w14:paraId="57ED1A54" w14:textId="77777777" w:rsidR="009D4A93" w:rsidRPr="00536CFD" w:rsidRDefault="009D4A93" w:rsidP="009D4A93">
            <w:pPr>
              <w:spacing w:after="0"/>
              <w:jc w:val="center"/>
            </w:pPr>
            <w:r w:rsidRPr="00536CFD">
              <w:t>35.06</w:t>
            </w:r>
          </w:p>
        </w:tc>
        <w:tc>
          <w:tcPr>
            <w:tcW w:w="644" w:type="dxa"/>
          </w:tcPr>
          <w:p w14:paraId="3E17FAA2" w14:textId="77777777" w:rsidR="009D4A93" w:rsidRPr="00536CFD" w:rsidRDefault="009D4A93" w:rsidP="009D4A93">
            <w:pPr>
              <w:spacing w:after="0"/>
              <w:jc w:val="center"/>
            </w:pPr>
            <w:r w:rsidRPr="00536CFD">
              <w:t>42.91</w:t>
            </w:r>
          </w:p>
        </w:tc>
        <w:tc>
          <w:tcPr>
            <w:tcW w:w="665" w:type="dxa"/>
          </w:tcPr>
          <w:p w14:paraId="38F6E4D4" w14:textId="77777777" w:rsidR="009D4A93" w:rsidRPr="00536CFD" w:rsidRDefault="009D4A93" w:rsidP="009D4A93">
            <w:pPr>
              <w:spacing w:after="0"/>
              <w:jc w:val="center"/>
            </w:pPr>
            <w:r w:rsidRPr="00536CFD">
              <w:t>45.32</w:t>
            </w:r>
          </w:p>
        </w:tc>
        <w:tc>
          <w:tcPr>
            <w:tcW w:w="694" w:type="dxa"/>
          </w:tcPr>
          <w:p w14:paraId="72B579E5" w14:textId="77777777" w:rsidR="009D4A93" w:rsidRPr="00536CFD" w:rsidRDefault="009D4A93" w:rsidP="009D4A93">
            <w:pPr>
              <w:spacing w:after="0"/>
              <w:jc w:val="center"/>
            </w:pPr>
            <w:r w:rsidRPr="00536CFD">
              <w:t>19.69</w:t>
            </w:r>
          </w:p>
        </w:tc>
        <w:tc>
          <w:tcPr>
            <w:tcW w:w="715" w:type="dxa"/>
          </w:tcPr>
          <w:p w14:paraId="37124113" w14:textId="77777777" w:rsidR="009D4A93" w:rsidRPr="00536CFD" w:rsidRDefault="009D4A93" w:rsidP="009D4A93">
            <w:pPr>
              <w:spacing w:after="0"/>
              <w:jc w:val="center"/>
            </w:pPr>
            <w:r w:rsidRPr="00536CFD">
              <w:t>23.81</w:t>
            </w:r>
          </w:p>
        </w:tc>
        <w:tc>
          <w:tcPr>
            <w:tcW w:w="715" w:type="dxa"/>
          </w:tcPr>
          <w:p w14:paraId="52574B8B" w14:textId="77777777" w:rsidR="009D4A93" w:rsidRPr="00536CFD" w:rsidRDefault="009D4A93" w:rsidP="009D4A93">
            <w:pPr>
              <w:spacing w:after="0"/>
              <w:jc w:val="center"/>
            </w:pPr>
            <w:r w:rsidRPr="00536CFD">
              <w:t>23.21</w:t>
            </w:r>
          </w:p>
        </w:tc>
        <w:tc>
          <w:tcPr>
            <w:tcW w:w="715" w:type="dxa"/>
          </w:tcPr>
          <w:p w14:paraId="79FA04EF" w14:textId="77777777" w:rsidR="009D4A93" w:rsidRPr="00536CFD" w:rsidRDefault="009D4A93" w:rsidP="009D4A93">
            <w:pPr>
              <w:spacing w:after="0"/>
              <w:jc w:val="center"/>
            </w:pPr>
            <w:r w:rsidRPr="00536CFD">
              <w:t>29.09</w:t>
            </w:r>
          </w:p>
        </w:tc>
        <w:tc>
          <w:tcPr>
            <w:tcW w:w="737" w:type="dxa"/>
          </w:tcPr>
          <w:p w14:paraId="079C452E" w14:textId="77777777" w:rsidR="009D4A93" w:rsidRPr="00536CFD" w:rsidRDefault="009D4A93" w:rsidP="009D4A93">
            <w:pPr>
              <w:spacing w:after="0"/>
              <w:jc w:val="center"/>
            </w:pPr>
            <w:r w:rsidRPr="00536CFD">
              <w:t>7.73</w:t>
            </w:r>
          </w:p>
        </w:tc>
        <w:tc>
          <w:tcPr>
            <w:tcW w:w="738" w:type="dxa"/>
          </w:tcPr>
          <w:p w14:paraId="1116AF09" w14:textId="77777777" w:rsidR="009D4A93" w:rsidRPr="00536CFD" w:rsidRDefault="009D4A93" w:rsidP="009D4A93">
            <w:pPr>
              <w:spacing w:after="0"/>
              <w:jc w:val="center"/>
            </w:pPr>
            <w:r w:rsidRPr="00536CFD">
              <w:t>10.56</w:t>
            </w:r>
          </w:p>
        </w:tc>
        <w:tc>
          <w:tcPr>
            <w:tcW w:w="737" w:type="dxa"/>
          </w:tcPr>
          <w:p w14:paraId="2E459E06" w14:textId="77777777" w:rsidR="009D4A93" w:rsidRPr="00536CFD" w:rsidRDefault="009D4A93" w:rsidP="009D4A93">
            <w:pPr>
              <w:spacing w:after="0"/>
              <w:jc w:val="center"/>
            </w:pPr>
            <w:r w:rsidRPr="00536CFD">
              <w:t>8.32</w:t>
            </w:r>
          </w:p>
        </w:tc>
        <w:tc>
          <w:tcPr>
            <w:tcW w:w="738" w:type="dxa"/>
          </w:tcPr>
          <w:p w14:paraId="3FCC1709" w14:textId="77777777" w:rsidR="009D4A93" w:rsidRPr="00536CFD" w:rsidRDefault="009D4A93" w:rsidP="009D4A93">
            <w:pPr>
              <w:spacing w:after="0"/>
              <w:jc w:val="center"/>
            </w:pPr>
            <w:r w:rsidRPr="00536CFD">
              <w:t>12.87</w:t>
            </w:r>
          </w:p>
        </w:tc>
      </w:tr>
      <w:tr w:rsidR="009D4A93" w:rsidRPr="00536CFD" w14:paraId="62F722D4" w14:textId="77777777" w:rsidTr="009D4A93">
        <w:trPr>
          <w:cantSplit/>
          <w:trHeight w:val="22"/>
        </w:trPr>
        <w:tc>
          <w:tcPr>
            <w:tcW w:w="500" w:type="dxa"/>
            <w:vMerge/>
          </w:tcPr>
          <w:p w14:paraId="74E85DAA" w14:textId="77777777" w:rsidR="009D4A93" w:rsidRPr="00536CFD" w:rsidRDefault="009D4A93" w:rsidP="009D4A93">
            <w:pPr>
              <w:spacing w:after="0"/>
              <w:jc w:val="center"/>
            </w:pPr>
          </w:p>
        </w:tc>
        <w:tc>
          <w:tcPr>
            <w:tcW w:w="505" w:type="dxa"/>
            <w:vMerge/>
          </w:tcPr>
          <w:p w14:paraId="115E3926" w14:textId="77777777" w:rsidR="009D4A93" w:rsidRPr="00536CFD" w:rsidRDefault="009D4A93" w:rsidP="009D4A93">
            <w:pPr>
              <w:spacing w:after="0"/>
              <w:jc w:val="center"/>
            </w:pPr>
          </w:p>
        </w:tc>
        <w:tc>
          <w:tcPr>
            <w:tcW w:w="505" w:type="dxa"/>
          </w:tcPr>
          <w:p w14:paraId="66C319FB" w14:textId="77777777" w:rsidR="009D4A93" w:rsidRPr="00536CFD" w:rsidRDefault="009D4A93" w:rsidP="009D4A93">
            <w:pPr>
              <w:spacing w:after="0"/>
              <w:jc w:val="center"/>
            </w:pPr>
            <w:r w:rsidRPr="00536CFD">
              <w:t>50%</w:t>
            </w:r>
          </w:p>
        </w:tc>
        <w:tc>
          <w:tcPr>
            <w:tcW w:w="643" w:type="dxa"/>
          </w:tcPr>
          <w:p w14:paraId="65C88E58" w14:textId="77777777" w:rsidR="009D4A93" w:rsidRPr="00536CFD" w:rsidRDefault="009D4A93" w:rsidP="009D4A93">
            <w:pPr>
              <w:spacing w:after="0"/>
              <w:jc w:val="center"/>
            </w:pPr>
            <w:r w:rsidRPr="00536CFD">
              <w:t>85.92</w:t>
            </w:r>
          </w:p>
        </w:tc>
        <w:tc>
          <w:tcPr>
            <w:tcW w:w="644" w:type="dxa"/>
          </w:tcPr>
          <w:p w14:paraId="5A09AFD7" w14:textId="77777777" w:rsidR="009D4A93" w:rsidRPr="00536CFD" w:rsidRDefault="009D4A93" w:rsidP="009D4A93">
            <w:pPr>
              <w:spacing w:after="0"/>
              <w:jc w:val="center"/>
            </w:pPr>
            <w:r w:rsidRPr="00536CFD">
              <w:t>87.86</w:t>
            </w:r>
          </w:p>
        </w:tc>
        <w:tc>
          <w:tcPr>
            <w:tcW w:w="644" w:type="dxa"/>
          </w:tcPr>
          <w:p w14:paraId="40ABBE32" w14:textId="77777777" w:rsidR="009D4A93" w:rsidRPr="00536CFD" w:rsidRDefault="009D4A93" w:rsidP="009D4A93">
            <w:pPr>
              <w:spacing w:after="0"/>
              <w:jc w:val="center"/>
            </w:pPr>
            <w:r w:rsidRPr="00536CFD">
              <w:t>93.48</w:t>
            </w:r>
          </w:p>
        </w:tc>
        <w:tc>
          <w:tcPr>
            <w:tcW w:w="665" w:type="dxa"/>
          </w:tcPr>
          <w:p w14:paraId="17AC5E02" w14:textId="77777777" w:rsidR="009D4A93" w:rsidRPr="00536CFD" w:rsidRDefault="009D4A93" w:rsidP="009D4A93">
            <w:pPr>
              <w:spacing w:after="0"/>
              <w:jc w:val="center"/>
            </w:pPr>
            <w:r w:rsidRPr="00536CFD">
              <w:t>99.59</w:t>
            </w:r>
          </w:p>
        </w:tc>
        <w:tc>
          <w:tcPr>
            <w:tcW w:w="694" w:type="dxa"/>
          </w:tcPr>
          <w:p w14:paraId="4A9F1E09" w14:textId="77777777" w:rsidR="009D4A93" w:rsidRPr="00536CFD" w:rsidRDefault="009D4A93" w:rsidP="009D4A93">
            <w:pPr>
              <w:spacing w:after="0"/>
              <w:jc w:val="center"/>
            </w:pPr>
            <w:r w:rsidRPr="00536CFD">
              <w:t>53.19</w:t>
            </w:r>
          </w:p>
        </w:tc>
        <w:tc>
          <w:tcPr>
            <w:tcW w:w="715" w:type="dxa"/>
          </w:tcPr>
          <w:p w14:paraId="555018A8" w14:textId="77777777" w:rsidR="009D4A93" w:rsidRPr="00536CFD" w:rsidRDefault="009D4A93" w:rsidP="009D4A93">
            <w:pPr>
              <w:spacing w:after="0"/>
              <w:jc w:val="center"/>
            </w:pPr>
            <w:r w:rsidRPr="00536CFD">
              <w:t>61.04</w:t>
            </w:r>
          </w:p>
        </w:tc>
        <w:tc>
          <w:tcPr>
            <w:tcW w:w="715" w:type="dxa"/>
          </w:tcPr>
          <w:p w14:paraId="7CCED99E" w14:textId="77777777" w:rsidR="009D4A93" w:rsidRPr="00536CFD" w:rsidRDefault="009D4A93" w:rsidP="009D4A93">
            <w:pPr>
              <w:spacing w:after="0"/>
              <w:jc w:val="center"/>
            </w:pPr>
            <w:r w:rsidRPr="00536CFD">
              <w:t>55.16</w:t>
            </w:r>
          </w:p>
        </w:tc>
        <w:tc>
          <w:tcPr>
            <w:tcW w:w="715" w:type="dxa"/>
          </w:tcPr>
          <w:p w14:paraId="267F7484" w14:textId="77777777" w:rsidR="009D4A93" w:rsidRPr="00536CFD" w:rsidRDefault="009D4A93" w:rsidP="009D4A93">
            <w:pPr>
              <w:spacing w:after="0"/>
              <w:jc w:val="center"/>
            </w:pPr>
            <w:r w:rsidRPr="00536CFD">
              <w:t>70.13</w:t>
            </w:r>
          </w:p>
        </w:tc>
        <w:tc>
          <w:tcPr>
            <w:tcW w:w="737" w:type="dxa"/>
          </w:tcPr>
          <w:p w14:paraId="02A5B802" w14:textId="77777777" w:rsidR="009D4A93" w:rsidRPr="00536CFD" w:rsidRDefault="009D4A93" w:rsidP="009D4A93">
            <w:pPr>
              <w:spacing w:after="0"/>
              <w:jc w:val="center"/>
            </w:pPr>
            <w:r w:rsidRPr="00536CFD">
              <w:t>24.20</w:t>
            </w:r>
          </w:p>
        </w:tc>
        <w:tc>
          <w:tcPr>
            <w:tcW w:w="738" w:type="dxa"/>
          </w:tcPr>
          <w:p w14:paraId="2A90E637" w14:textId="77777777" w:rsidR="009D4A93" w:rsidRPr="00536CFD" w:rsidRDefault="009D4A93" w:rsidP="009D4A93">
            <w:pPr>
              <w:spacing w:after="0"/>
              <w:jc w:val="center"/>
            </w:pPr>
            <w:r w:rsidRPr="00536CFD">
              <w:t>31.53</w:t>
            </w:r>
          </w:p>
        </w:tc>
        <w:tc>
          <w:tcPr>
            <w:tcW w:w="737" w:type="dxa"/>
          </w:tcPr>
          <w:p w14:paraId="13DC9C62" w14:textId="77777777" w:rsidR="009D4A93" w:rsidRPr="00536CFD" w:rsidRDefault="009D4A93" w:rsidP="009D4A93">
            <w:pPr>
              <w:spacing w:after="0"/>
              <w:jc w:val="center"/>
            </w:pPr>
            <w:r w:rsidRPr="00536CFD">
              <w:t>25.01</w:t>
            </w:r>
          </w:p>
        </w:tc>
        <w:tc>
          <w:tcPr>
            <w:tcW w:w="738" w:type="dxa"/>
          </w:tcPr>
          <w:p w14:paraId="11682243" w14:textId="77777777" w:rsidR="009D4A93" w:rsidRPr="00536CFD" w:rsidRDefault="009D4A93" w:rsidP="009D4A93">
            <w:pPr>
              <w:spacing w:after="0"/>
              <w:jc w:val="center"/>
            </w:pPr>
            <w:r w:rsidRPr="00536CFD">
              <w:t>35.86</w:t>
            </w:r>
          </w:p>
        </w:tc>
      </w:tr>
      <w:tr w:rsidR="009D4A93" w:rsidRPr="00536CFD" w14:paraId="3DDF4F5D" w14:textId="77777777" w:rsidTr="009D4A93">
        <w:trPr>
          <w:cantSplit/>
          <w:trHeight w:val="22"/>
        </w:trPr>
        <w:tc>
          <w:tcPr>
            <w:tcW w:w="500" w:type="dxa"/>
            <w:vMerge/>
          </w:tcPr>
          <w:p w14:paraId="3E000B96" w14:textId="77777777" w:rsidR="009D4A93" w:rsidRPr="00536CFD" w:rsidRDefault="009D4A93" w:rsidP="009D4A93">
            <w:pPr>
              <w:spacing w:after="0"/>
              <w:jc w:val="center"/>
            </w:pPr>
          </w:p>
        </w:tc>
        <w:tc>
          <w:tcPr>
            <w:tcW w:w="505" w:type="dxa"/>
            <w:vMerge/>
          </w:tcPr>
          <w:p w14:paraId="22C95AE7" w14:textId="77777777" w:rsidR="009D4A93" w:rsidRPr="00536CFD" w:rsidRDefault="009D4A93" w:rsidP="009D4A93">
            <w:pPr>
              <w:spacing w:after="0"/>
              <w:jc w:val="center"/>
            </w:pPr>
          </w:p>
        </w:tc>
        <w:tc>
          <w:tcPr>
            <w:tcW w:w="505" w:type="dxa"/>
          </w:tcPr>
          <w:p w14:paraId="21B1087E" w14:textId="77777777" w:rsidR="009D4A93" w:rsidRPr="00536CFD" w:rsidRDefault="009D4A93" w:rsidP="009D4A93">
            <w:pPr>
              <w:spacing w:after="0"/>
              <w:jc w:val="center"/>
            </w:pPr>
            <w:r w:rsidRPr="00536CFD">
              <w:t>95%</w:t>
            </w:r>
          </w:p>
        </w:tc>
        <w:tc>
          <w:tcPr>
            <w:tcW w:w="643" w:type="dxa"/>
          </w:tcPr>
          <w:p w14:paraId="1F9F8292" w14:textId="77777777" w:rsidR="009D4A93" w:rsidRPr="00536CFD" w:rsidRDefault="009D4A93" w:rsidP="009D4A93">
            <w:pPr>
              <w:spacing w:after="0"/>
              <w:jc w:val="center"/>
            </w:pPr>
            <w:r w:rsidRPr="00536CFD">
              <w:t>108.87</w:t>
            </w:r>
          </w:p>
        </w:tc>
        <w:tc>
          <w:tcPr>
            <w:tcW w:w="644" w:type="dxa"/>
          </w:tcPr>
          <w:p w14:paraId="4560E8BD" w14:textId="77777777" w:rsidR="009D4A93" w:rsidRPr="00536CFD" w:rsidRDefault="009D4A93" w:rsidP="009D4A93">
            <w:pPr>
              <w:spacing w:after="0"/>
              <w:jc w:val="center"/>
            </w:pPr>
            <w:r w:rsidRPr="00536CFD">
              <w:t>111.00</w:t>
            </w:r>
          </w:p>
        </w:tc>
        <w:tc>
          <w:tcPr>
            <w:tcW w:w="644" w:type="dxa"/>
          </w:tcPr>
          <w:p w14:paraId="31CD825D" w14:textId="77777777" w:rsidR="009D4A93" w:rsidRPr="00536CFD" w:rsidRDefault="009D4A93" w:rsidP="009D4A93">
            <w:pPr>
              <w:spacing w:after="0"/>
              <w:jc w:val="center"/>
            </w:pPr>
            <w:r w:rsidRPr="00536CFD">
              <w:t>123.48</w:t>
            </w:r>
          </w:p>
        </w:tc>
        <w:tc>
          <w:tcPr>
            <w:tcW w:w="665" w:type="dxa"/>
          </w:tcPr>
          <w:p w14:paraId="340EEC3F" w14:textId="77777777" w:rsidR="009D4A93" w:rsidRPr="00536CFD" w:rsidRDefault="009D4A93" w:rsidP="009D4A93">
            <w:pPr>
              <w:spacing w:after="0"/>
              <w:jc w:val="center"/>
            </w:pPr>
            <w:r w:rsidRPr="00536CFD">
              <w:t>125.69</w:t>
            </w:r>
          </w:p>
        </w:tc>
        <w:tc>
          <w:tcPr>
            <w:tcW w:w="694" w:type="dxa"/>
          </w:tcPr>
          <w:p w14:paraId="3B8A0B26" w14:textId="77777777" w:rsidR="009D4A93" w:rsidRPr="00536CFD" w:rsidRDefault="009D4A93" w:rsidP="009D4A93">
            <w:pPr>
              <w:spacing w:after="0"/>
              <w:jc w:val="center"/>
            </w:pPr>
            <w:r w:rsidRPr="00536CFD">
              <w:t>81.96</w:t>
            </w:r>
          </w:p>
        </w:tc>
        <w:tc>
          <w:tcPr>
            <w:tcW w:w="715" w:type="dxa"/>
          </w:tcPr>
          <w:p w14:paraId="39DA779D" w14:textId="77777777" w:rsidR="009D4A93" w:rsidRPr="00536CFD" w:rsidRDefault="009D4A93" w:rsidP="009D4A93">
            <w:pPr>
              <w:spacing w:after="0"/>
              <w:jc w:val="center"/>
            </w:pPr>
            <w:r w:rsidRPr="00536CFD">
              <w:t>88.03</w:t>
            </w:r>
          </w:p>
        </w:tc>
        <w:tc>
          <w:tcPr>
            <w:tcW w:w="715" w:type="dxa"/>
          </w:tcPr>
          <w:p w14:paraId="0D2B8E77" w14:textId="77777777" w:rsidR="009D4A93" w:rsidRPr="00536CFD" w:rsidRDefault="009D4A93" w:rsidP="009D4A93">
            <w:pPr>
              <w:spacing w:after="0"/>
              <w:jc w:val="center"/>
            </w:pPr>
            <w:r w:rsidRPr="00536CFD">
              <w:t>88.96</w:t>
            </w:r>
          </w:p>
        </w:tc>
        <w:tc>
          <w:tcPr>
            <w:tcW w:w="715" w:type="dxa"/>
          </w:tcPr>
          <w:p w14:paraId="5B052932" w14:textId="77777777" w:rsidR="009D4A93" w:rsidRPr="00536CFD" w:rsidRDefault="009D4A93" w:rsidP="009D4A93">
            <w:pPr>
              <w:spacing w:after="0"/>
              <w:jc w:val="center"/>
            </w:pPr>
            <w:r w:rsidRPr="00536CFD">
              <w:t>104.38</w:t>
            </w:r>
          </w:p>
        </w:tc>
        <w:tc>
          <w:tcPr>
            <w:tcW w:w="737" w:type="dxa"/>
          </w:tcPr>
          <w:p w14:paraId="700A4551" w14:textId="77777777" w:rsidR="009D4A93" w:rsidRPr="00536CFD" w:rsidRDefault="009D4A93" w:rsidP="009D4A93">
            <w:pPr>
              <w:spacing w:after="0"/>
              <w:jc w:val="center"/>
            </w:pPr>
            <w:r w:rsidRPr="00536CFD">
              <w:t>53.36</w:t>
            </w:r>
          </w:p>
        </w:tc>
        <w:tc>
          <w:tcPr>
            <w:tcW w:w="738" w:type="dxa"/>
          </w:tcPr>
          <w:p w14:paraId="551232AE" w14:textId="77777777" w:rsidR="009D4A93" w:rsidRPr="00536CFD" w:rsidRDefault="009D4A93" w:rsidP="009D4A93">
            <w:pPr>
              <w:spacing w:after="0"/>
              <w:jc w:val="center"/>
            </w:pPr>
            <w:r w:rsidRPr="00536CFD">
              <w:t>58.99</w:t>
            </w:r>
          </w:p>
        </w:tc>
        <w:tc>
          <w:tcPr>
            <w:tcW w:w="737" w:type="dxa"/>
          </w:tcPr>
          <w:p w14:paraId="362F1999" w14:textId="77777777" w:rsidR="009D4A93" w:rsidRPr="00536CFD" w:rsidRDefault="009D4A93" w:rsidP="009D4A93">
            <w:pPr>
              <w:spacing w:after="0"/>
              <w:jc w:val="center"/>
            </w:pPr>
            <w:r w:rsidRPr="00536CFD">
              <w:t>54.62</w:t>
            </w:r>
          </w:p>
        </w:tc>
        <w:tc>
          <w:tcPr>
            <w:tcW w:w="738" w:type="dxa"/>
          </w:tcPr>
          <w:p w14:paraId="47F5DAFF" w14:textId="77777777" w:rsidR="009D4A93" w:rsidRPr="00536CFD" w:rsidRDefault="009D4A93" w:rsidP="009D4A93">
            <w:pPr>
              <w:spacing w:after="0"/>
              <w:jc w:val="center"/>
            </w:pPr>
            <w:r w:rsidRPr="00536CFD">
              <w:t>70.73</w:t>
            </w:r>
          </w:p>
        </w:tc>
      </w:tr>
      <w:tr w:rsidR="009D4A93" w:rsidRPr="00536CFD" w14:paraId="03735FB9" w14:textId="77777777" w:rsidTr="009D4A93">
        <w:trPr>
          <w:cantSplit/>
          <w:trHeight w:val="22"/>
        </w:trPr>
        <w:tc>
          <w:tcPr>
            <w:tcW w:w="500" w:type="dxa"/>
            <w:vMerge/>
          </w:tcPr>
          <w:p w14:paraId="3AF47DC0" w14:textId="77777777" w:rsidR="009D4A93" w:rsidRPr="00536CFD" w:rsidRDefault="009D4A93" w:rsidP="009D4A93">
            <w:pPr>
              <w:spacing w:after="0"/>
              <w:jc w:val="center"/>
            </w:pPr>
          </w:p>
        </w:tc>
        <w:tc>
          <w:tcPr>
            <w:tcW w:w="505" w:type="dxa"/>
            <w:vMerge/>
          </w:tcPr>
          <w:p w14:paraId="5088F5DB" w14:textId="77777777" w:rsidR="009D4A93" w:rsidRPr="00536CFD" w:rsidRDefault="009D4A93" w:rsidP="009D4A93">
            <w:pPr>
              <w:spacing w:after="0"/>
              <w:jc w:val="center"/>
            </w:pPr>
          </w:p>
        </w:tc>
        <w:tc>
          <w:tcPr>
            <w:tcW w:w="505" w:type="dxa"/>
          </w:tcPr>
          <w:p w14:paraId="314CBADC" w14:textId="77777777" w:rsidR="009D4A93" w:rsidRPr="00536CFD" w:rsidRDefault="009D4A93" w:rsidP="009D4A93">
            <w:pPr>
              <w:spacing w:after="0"/>
              <w:jc w:val="center"/>
            </w:pPr>
            <w:r w:rsidRPr="00536CFD">
              <w:t>Mean</w:t>
            </w:r>
          </w:p>
        </w:tc>
        <w:tc>
          <w:tcPr>
            <w:tcW w:w="643" w:type="dxa"/>
          </w:tcPr>
          <w:p w14:paraId="67A95DC4" w14:textId="77777777" w:rsidR="009D4A93" w:rsidRPr="00536CFD" w:rsidRDefault="009D4A93" w:rsidP="009D4A93">
            <w:pPr>
              <w:spacing w:after="0"/>
              <w:jc w:val="center"/>
            </w:pPr>
            <w:r w:rsidRPr="00536CFD">
              <w:t>84.06</w:t>
            </w:r>
          </w:p>
        </w:tc>
        <w:tc>
          <w:tcPr>
            <w:tcW w:w="644" w:type="dxa"/>
          </w:tcPr>
          <w:p w14:paraId="677F0BDB" w14:textId="77777777" w:rsidR="009D4A93" w:rsidRPr="00536CFD" w:rsidRDefault="009D4A93" w:rsidP="009D4A93">
            <w:pPr>
              <w:spacing w:after="0"/>
              <w:jc w:val="center"/>
            </w:pPr>
            <w:r w:rsidRPr="00536CFD">
              <w:t>86.13</w:t>
            </w:r>
          </w:p>
        </w:tc>
        <w:tc>
          <w:tcPr>
            <w:tcW w:w="644" w:type="dxa"/>
          </w:tcPr>
          <w:p w14:paraId="0FF6C0BB" w14:textId="77777777" w:rsidR="009D4A93" w:rsidRPr="00536CFD" w:rsidRDefault="009D4A93" w:rsidP="009D4A93">
            <w:pPr>
              <w:spacing w:after="0"/>
              <w:jc w:val="center"/>
            </w:pPr>
            <w:r w:rsidRPr="00536CFD">
              <w:t>94.26</w:t>
            </w:r>
          </w:p>
        </w:tc>
        <w:tc>
          <w:tcPr>
            <w:tcW w:w="665" w:type="dxa"/>
          </w:tcPr>
          <w:p w14:paraId="084C7631" w14:textId="77777777" w:rsidR="009D4A93" w:rsidRPr="00536CFD" w:rsidRDefault="009D4A93" w:rsidP="009D4A93">
            <w:pPr>
              <w:spacing w:after="0"/>
              <w:jc w:val="center"/>
            </w:pPr>
            <w:r w:rsidRPr="00536CFD">
              <w:t>98.08</w:t>
            </w:r>
          </w:p>
        </w:tc>
        <w:tc>
          <w:tcPr>
            <w:tcW w:w="694" w:type="dxa"/>
          </w:tcPr>
          <w:p w14:paraId="785EE860" w14:textId="77777777" w:rsidR="009D4A93" w:rsidRPr="00536CFD" w:rsidRDefault="009D4A93" w:rsidP="009D4A93">
            <w:pPr>
              <w:spacing w:after="0"/>
              <w:jc w:val="center"/>
            </w:pPr>
            <w:r w:rsidRPr="00536CFD">
              <w:t>56.08</w:t>
            </w:r>
          </w:p>
        </w:tc>
        <w:tc>
          <w:tcPr>
            <w:tcW w:w="715" w:type="dxa"/>
          </w:tcPr>
          <w:p w14:paraId="6C059C04" w14:textId="77777777" w:rsidR="009D4A93" w:rsidRPr="00536CFD" w:rsidRDefault="009D4A93" w:rsidP="009D4A93">
            <w:pPr>
              <w:spacing w:after="0"/>
              <w:jc w:val="center"/>
            </w:pPr>
            <w:r w:rsidRPr="00536CFD">
              <w:t>62.86</w:t>
            </w:r>
          </w:p>
        </w:tc>
        <w:tc>
          <w:tcPr>
            <w:tcW w:w="715" w:type="dxa"/>
          </w:tcPr>
          <w:p w14:paraId="2E3F2A15" w14:textId="77777777" w:rsidR="009D4A93" w:rsidRPr="00536CFD" w:rsidRDefault="009D4A93" w:rsidP="009D4A93">
            <w:pPr>
              <w:spacing w:after="0"/>
              <w:jc w:val="center"/>
            </w:pPr>
            <w:r w:rsidRPr="00536CFD">
              <w:t>59.93</w:t>
            </w:r>
          </w:p>
        </w:tc>
        <w:tc>
          <w:tcPr>
            <w:tcW w:w="715" w:type="dxa"/>
          </w:tcPr>
          <w:p w14:paraId="483E3F5F" w14:textId="77777777" w:rsidR="009D4A93" w:rsidRPr="00536CFD" w:rsidRDefault="009D4A93" w:rsidP="009D4A93">
            <w:pPr>
              <w:spacing w:after="0"/>
              <w:jc w:val="center"/>
            </w:pPr>
            <w:r w:rsidRPr="00536CFD">
              <w:t>72.61</w:t>
            </w:r>
          </w:p>
        </w:tc>
        <w:tc>
          <w:tcPr>
            <w:tcW w:w="737" w:type="dxa"/>
          </w:tcPr>
          <w:p w14:paraId="1711EDE4" w14:textId="77777777" w:rsidR="009D4A93" w:rsidRPr="00536CFD" w:rsidRDefault="009D4A93" w:rsidP="009D4A93">
            <w:pPr>
              <w:spacing w:after="0"/>
              <w:jc w:val="center"/>
            </w:pPr>
            <w:r w:rsidRPr="00536CFD">
              <w:t>30.12</w:t>
            </w:r>
          </w:p>
        </w:tc>
        <w:tc>
          <w:tcPr>
            <w:tcW w:w="738" w:type="dxa"/>
          </w:tcPr>
          <w:p w14:paraId="25DFF728" w14:textId="77777777" w:rsidR="009D4A93" w:rsidRPr="00536CFD" w:rsidRDefault="009D4A93" w:rsidP="009D4A93">
            <w:pPr>
              <w:spacing w:after="0"/>
              <w:jc w:val="center"/>
            </w:pPr>
            <w:r w:rsidRPr="00536CFD">
              <w:t>36.24</w:t>
            </w:r>
          </w:p>
        </w:tc>
        <w:tc>
          <w:tcPr>
            <w:tcW w:w="737" w:type="dxa"/>
          </w:tcPr>
          <w:p w14:paraId="1C197D45" w14:textId="77777777" w:rsidR="009D4A93" w:rsidRPr="00536CFD" w:rsidRDefault="009D4A93" w:rsidP="009D4A93">
            <w:pPr>
              <w:spacing w:after="0"/>
              <w:jc w:val="center"/>
            </w:pPr>
            <w:r w:rsidRPr="00536CFD">
              <w:t>30.98</w:t>
            </w:r>
          </w:p>
        </w:tc>
        <w:tc>
          <w:tcPr>
            <w:tcW w:w="738" w:type="dxa"/>
          </w:tcPr>
          <w:p w14:paraId="18E77B56" w14:textId="77777777" w:rsidR="009D4A93" w:rsidRPr="00536CFD" w:rsidRDefault="009D4A93" w:rsidP="009D4A93">
            <w:pPr>
              <w:spacing w:after="0"/>
              <w:jc w:val="center"/>
            </w:pPr>
            <w:r w:rsidRPr="00536CFD">
              <w:t>42.03</w:t>
            </w:r>
          </w:p>
        </w:tc>
      </w:tr>
      <w:tr w:rsidR="009D4A93" w:rsidRPr="00536CFD" w14:paraId="03261088" w14:textId="77777777" w:rsidTr="009D4A93">
        <w:trPr>
          <w:cantSplit/>
          <w:trHeight w:val="22"/>
        </w:trPr>
        <w:tc>
          <w:tcPr>
            <w:tcW w:w="500" w:type="dxa"/>
            <w:vMerge/>
          </w:tcPr>
          <w:p w14:paraId="7C2BE8A3" w14:textId="77777777" w:rsidR="009D4A93" w:rsidRPr="00536CFD" w:rsidRDefault="009D4A93" w:rsidP="009D4A93">
            <w:pPr>
              <w:spacing w:after="0"/>
              <w:jc w:val="center"/>
            </w:pPr>
          </w:p>
        </w:tc>
        <w:tc>
          <w:tcPr>
            <w:tcW w:w="505" w:type="dxa"/>
            <w:vMerge w:val="restart"/>
          </w:tcPr>
          <w:p w14:paraId="3B88AA67" w14:textId="77777777" w:rsidR="009D4A93" w:rsidRPr="00536CFD" w:rsidRDefault="009D4A93" w:rsidP="009D4A93">
            <w:pPr>
              <w:spacing w:after="0"/>
              <w:jc w:val="center"/>
            </w:pPr>
            <w:r w:rsidRPr="00536CFD">
              <w:t>DL:</w:t>
            </w:r>
          </w:p>
          <w:p w14:paraId="04FE0E8F" w14:textId="77777777" w:rsidR="009D4A93" w:rsidRPr="00536CFD" w:rsidRDefault="009D4A93" w:rsidP="009D4A93">
            <w:pPr>
              <w:spacing w:after="0"/>
              <w:jc w:val="center"/>
            </w:pPr>
            <w:r w:rsidRPr="00536CFD">
              <w:t>Delay CDF</w:t>
            </w:r>
          </w:p>
          <w:p w14:paraId="21812EF6" w14:textId="77777777" w:rsidR="009D4A93" w:rsidRPr="00536CFD" w:rsidRDefault="009D4A93" w:rsidP="009D4A93">
            <w:pPr>
              <w:spacing w:after="0"/>
              <w:jc w:val="center"/>
            </w:pPr>
            <w:r w:rsidRPr="00536CFD">
              <w:t>[s]</w:t>
            </w:r>
          </w:p>
        </w:tc>
        <w:tc>
          <w:tcPr>
            <w:tcW w:w="505" w:type="dxa"/>
          </w:tcPr>
          <w:p w14:paraId="73F350E1" w14:textId="77777777" w:rsidR="009D4A93" w:rsidRPr="00536CFD" w:rsidRDefault="009D4A93" w:rsidP="009D4A93">
            <w:pPr>
              <w:spacing w:after="0"/>
              <w:jc w:val="center"/>
            </w:pPr>
            <w:r w:rsidRPr="00536CFD">
              <w:t>5%</w:t>
            </w:r>
          </w:p>
        </w:tc>
        <w:tc>
          <w:tcPr>
            <w:tcW w:w="643" w:type="dxa"/>
          </w:tcPr>
          <w:p w14:paraId="5872CCCF" w14:textId="77777777" w:rsidR="009D4A93" w:rsidRPr="00536CFD" w:rsidRDefault="009D4A93" w:rsidP="009D4A93">
            <w:pPr>
              <w:spacing w:after="0"/>
              <w:jc w:val="center"/>
            </w:pPr>
            <w:r w:rsidRPr="00536CFD">
              <w:t>0.034</w:t>
            </w:r>
          </w:p>
        </w:tc>
        <w:tc>
          <w:tcPr>
            <w:tcW w:w="644" w:type="dxa"/>
          </w:tcPr>
          <w:p w14:paraId="472811D1" w14:textId="77777777" w:rsidR="009D4A93" w:rsidRPr="00536CFD" w:rsidRDefault="009D4A93" w:rsidP="009D4A93">
            <w:pPr>
              <w:spacing w:after="0"/>
              <w:jc w:val="center"/>
            </w:pPr>
            <w:r w:rsidRPr="00536CFD">
              <w:t>0.032</w:t>
            </w:r>
          </w:p>
        </w:tc>
        <w:tc>
          <w:tcPr>
            <w:tcW w:w="644" w:type="dxa"/>
          </w:tcPr>
          <w:p w14:paraId="674058FD" w14:textId="77777777" w:rsidR="009D4A93" w:rsidRPr="00536CFD" w:rsidRDefault="009D4A93" w:rsidP="009D4A93">
            <w:pPr>
              <w:spacing w:after="0"/>
              <w:jc w:val="center"/>
            </w:pPr>
            <w:r w:rsidRPr="00536CFD">
              <w:t>0.030</w:t>
            </w:r>
          </w:p>
        </w:tc>
        <w:tc>
          <w:tcPr>
            <w:tcW w:w="665" w:type="dxa"/>
          </w:tcPr>
          <w:p w14:paraId="2AA2C87D" w14:textId="77777777" w:rsidR="009D4A93" w:rsidRPr="00536CFD" w:rsidRDefault="009D4A93" w:rsidP="009D4A93">
            <w:pPr>
              <w:spacing w:after="0"/>
              <w:jc w:val="center"/>
            </w:pPr>
            <w:r w:rsidRPr="00536CFD">
              <w:t>0.029</w:t>
            </w:r>
          </w:p>
        </w:tc>
        <w:tc>
          <w:tcPr>
            <w:tcW w:w="694" w:type="dxa"/>
          </w:tcPr>
          <w:p w14:paraId="41F23070" w14:textId="77777777" w:rsidR="009D4A93" w:rsidRPr="00536CFD" w:rsidRDefault="009D4A93" w:rsidP="009D4A93">
            <w:pPr>
              <w:spacing w:after="0"/>
              <w:jc w:val="center"/>
            </w:pPr>
            <w:r w:rsidRPr="00536CFD">
              <w:t>0.088</w:t>
            </w:r>
          </w:p>
        </w:tc>
        <w:tc>
          <w:tcPr>
            <w:tcW w:w="715" w:type="dxa"/>
          </w:tcPr>
          <w:p w14:paraId="0339080A" w14:textId="77777777" w:rsidR="009D4A93" w:rsidRPr="00536CFD" w:rsidRDefault="009D4A93" w:rsidP="009D4A93">
            <w:pPr>
              <w:spacing w:after="0"/>
              <w:jc w:val="center"/>
            </w:pPr>
            <w:r w:rsidRPr="00536CFD">
              <w:t>0.086</w:t>
            </w:r>
          </w:p>
        </w:tc>
        <w:tc>
          <w:tcPr>
            <w:tcW w:w="715" w:type="dxa"/>
          </w:tcPr>
          <w:p w14:paraId="3DF628D2" w14:textId="77777777" w:rsidR="009D4A93" w:rsidRPr="00536CFD" w:rsidRDefault="009D4A93" w:rsidP="009D4A93">
            <w:pPr>
              <w:spacing w:after="0"/>
              <w:jc w:val="center"/>
            </w:pPr>
            <w:r w:rsidRPr="00536CFD">
              <w:t>0.113</w:t>
            </w:r>
          </w:p>
        </w:tc>
        <w:tc>
          <w:tcPr>
            <w:tcW w:w="715" w:type="dxa"/>
          </w:tcPr>
          <w:p w14:paraId="2788DB2E" w14:textId="77777777" w:rsidR="009D4A93" w:rsidRPr="00536CFD" w:rsidRDefault="009D4A93" w:rsidP="009D4A93">
            <w:pPr>
              <w:spacing w:after="0"/>
              <w:jc w:val="center"/>
            </w:pPr>
            <w:r w:rsidRPr="00536CFD">
              <w:t>0.047</w:t>
            </w:r>
          </w:p>
        </w:tc>
        <w:tc>
          <w:tcPr>
            <w:tcW w:w="737" w:type="dxa"/>
          </w:tcPr>
          <w:p w14:paraId="484D4ADA" w14:textId="77777777" w:rsidR="009D4A93" w:rsidRPr="00536CFD" w:rsidRDefault="009D4A93" w:rsidP="009D4A93">
            <w:pPr>
              <w:spacing w:after="0"/>
              <w:jc w:val="center"/>
            </w:pPr>
            <w:r w:rsidRPr="00536CFD">
              <w:t>0.169</w:t>
            </w:r>
          </w:p>
        </w:tc>
        <w:tc>
          <w:tcPr>
            <w:tcW w:w="738" w:type="dxa"/>
          </w:tcPr>
          <w:p w14:paraId="583D708D" w14:textId="77777777" w:rsidR="009D4A93" w:rsidRPr="00536CFD" w:rsidRDefault="009D4A93" w:rsidP="009D4A93">
            <w:pPr>
              <w:spacing w:after="0"/>
              <w:jc w:val="center"/>
            </w:pPr>
            <w:r w:rsidRPr="00536CFD">
              <w:t>0.159</w:t>
            </w:r>
          </w:p>
        </w:tc>
        <w:tc>
          <w:tcPr>
            <w:tcW w:w="737" w:type="dxa"/>
          </w:tcPr>
          <w:p w14:paraId="4813A584" w14:textId="77777777" w:rsidR="009D4A93" w:rsidRPr="00536CFD" w:rsidRDefault="009D4A93" w:rsidP="009D4A93">
            <w:pPr>
              <w:spacing w:after="0"/>
              <w:jc w:val="center"/>
            </w:pPr>
            <w:r w:rsidRPr="00536CFD">
              <w:t>0.195</w:t>
            </w:r>
          </w:p>
        </w:tc>
        <w:tc>
          <w:tcPr>
            <w:tcW w:w="738" w:type="dxa"/>
          </w:tcPr>
          <w:p w14:paraId="34C1A00E" w14:textId="77777777" w:rsidR="009D4A93" w:rsidRPr="00536CFD" w:rsidRDefault="009D4A93" w:rsidP="009D4A93">
            <w:pPr>
              <w:spacing w:after="0"/>
              <w:jc w:val="center"/>
            </w:pPr>
            <w:r w:rsidRPr="00536CFD">
              <w:t>0.093</w:t>
            </w:r>
          </w:p>
        </w:tc>
      </w:tr>
      <w:tr w:rsidR="009D4A93" w:rsidRPr="00536CFD" w14:paraId="7C94A8A0" w14:textId="77777777" w:rsidTr="009D4A93">
        <w:trPr>
          <w:cantSplit/>
          <w:trHeight w:val="22"/>
        </w:trPr>
        <w:tc>
          <w:tcPr>
            <w:tcW w:w="500" w:type="dxa"/>
            <w:vMerge/>
          </w:tcPr>
          <w:p w14:paraId="6654E3E8" w14:textId="77777777" w:rsidR="009D4A93" w:rsidRPr="00536CFD" w:rsidRDefault="009D4A93" w:rsidP="009D4A93">
            <w:pPr>
              <w:spacing w:after="0"/>
              <w:jc w:val="center"/>
            </w:pPr>
          </w:p>
        </w:tc>
        <w:tc>
          <w:tcPr>
            <w:tcW w:w="505" w:type="dxa"/>
            <w:vMerge/>
          </w:tcPr>
          <w:p w14:paraId="61B82575" w14:textId="77777777" w:rsidR="009D4A93" w:rsidRPr="00536CFD" w:rsidRDefault="009D4A93" w:rsidP="009D4A93">
            <w:pPr>
              <w:spacing w:after="0"/>
              <w:jc w:val="center"/>
            </w:pPr>
          </w:p>
        </w:tc>
        <w:tc>
          <w:tcPr>
            <w:tcW w:w="505" w:type="dxa"/>
          </w:tcPr>
          <w:p w14:paraId="7081D2BE" w14:textId="77777777" w:rsidR="009D4A93" w:rsidRPr="00536CFD" w:rsidRDefault="009D4A93" w:rsidP="009D4A93">
            <w:pPr>
              <w:spacing w:after="0"/>
              <w:jc w:val="center"/>
            </w:pPr>
            <w:r w:rsidRPr="00536CFD">
              <w:t>50%</w:t>
            </w:r>
          </w:p>
        </w:tc>
        <w:tc>
          <w:tcPr>
            <w:tcW w:w="643" w:type="dxa"/>
          </w:tcPr>
          <w:p w14:paraId="3F7EA9AD" w14:textId="77777777" w:rsidR="009D4A93" w:rsidRPr="00536CFD" w:rsidRDefault="009D4A93" w:rsidP="009D4A93">
            <w:pPr>
              <w:spacing w:after="0"/>
              <w:jc w:val="center"/>
            </w:pPr>
            <w:r w:rsidRPr="00536CFD">
              <w:t>0.086</w:t>
            </w:r>
          </w:p>
        </w:tc>
        <w:tc>
          <w:tcPr>
            <w:tcW w:w="644" w:type="dxa"/>
          </w:tcPr>
          <w:p w14:paraId="794025FD" w14:textId="77777777" w:rsidR="009D4A93" w:rsidRPr="00536CFD" w:rsidRDefault="009D4A93" w:rsidP="009D4A93">
            <w:pPr>
              <w:spacing w:after="0"/>
              <w:jc w:val="center"/>
            </w:pPr>
            <w:r w:rsidRPr="00536CFD">
              <w:t>0.051</w:t>
            </w:r>
          </w:p>
        </w:tc>
        <w:tc>
          <w:tcPr>
            <w:tcW w:w="644" w:type="dxa"/>
          </w:tcPr>
          <w:p w14:paraId="2CFE5A71" w14:textId="77777777" w:rsidR="009D4A93" w:rsidRPr="00536CFD" w:rsidRDefault="009D4A93" w:rsidP="009D4A93">
            <w:pPr>
              <w:spacing w:after="0"/>
              <w:jc w:val="center"/>
            </w:pPr>
            <w:r w:rsidRPr="00536CFD">
              <w:t>0.062</w:t>
            </w:r>
          </w:p>
        </w:tc>
        <w:tc>
          <w:tcPr>
            <w:tcW w:w="665" w:type="dxa"/>
          </w:tcPr>
          <w:p w14:paraId="34E05A86" w14:textId="77777777" w:rsidR="009D4A93" w:rsidRPr="00536CFD" w:rsidRDefault="009D4A93" w:rsidP="009D4A93">
            <w:pPr>
              <w:spacing w:after="0"/>
              <w:jc w:val="center"/>
            </w:pPr>
            <w:r w:rsidRPr="00536CFD">
              <w:t>0.043</w:t>
            </w:r>
          </w:p>
        </w:tc>
        <w:tc>
          <w:tcPr>
            <w:tcW w:w="694" w:type="dxa"/>
          </w:tcPr>
          <w:p w14:paraId="1DFD865F" w14:textId="77777777" w:rsidR="009D4A93" w:rsidRPr="00536CFD" w:rsidRDefault="009D4A93" w:rsidP="009D4A93">
            <w:pPr>
              <w:spacing w:after="0"/>
              <w:jc w:val="center"/>
            </w:pPr>
            <w:r w:rsidRPr="00536CFD">
              <w:t>0.774</w:t>
            </w:r>
          </w:p>
        </w:tc>
        <w:tc>
          <w:tcPr>
            <w:tcW w:w="715" w:type="dxa"/>
          </w:tcPr>
          <w:p w14:paraId="2218AD20" w14:textId="77777777" w:rsidR="009D4A93" w:rsidRPr="00536CFD" w:rsidRDefault="009D4A93" w:rsidP="009D4A93">
            <w:pPr>
              <w:spacing w:after="0"/>
              <w:jc w:val="center"/>
            </w:pPr>
            <w:r w:rsidRPr="00536CFD">
              <w:t>0.419</w:t>
            </w:r>
          </w:p>
        </w:tc>
        <w:tc>
          <w:tcPr>
            <w:tcW w:w="715" w:type="dxa"/>
          </w:tcPr>
          <w:p w14:paraId="27B66A76" w14:textId="77777777" w:rsidR="009D4A93" w:rsidRPr="00536CFD" w:rsidRDefault="009D4A93" w:rsidP="009D4A93">
            <w:pPr>
              <w:spacing w:after="0"/>
              <w:jc w:val="center"/>
            </w:pPr>
            <w:r w:rsidRPr="00536CFD">
              <w:t>0.580</w:t>
            </w:r>
          </w:p>
        </w:tc>
        <w:tc>
          <w:tcPr>
            <w:tcW w:w="715" w:type="dxa"/>
          </w:tcPr>
          <w:p w14:paraId="1C1EEF6F" w14:textId="77777777" w:rsidR="009D4A93" w:rsidRPr="00536CFD" w:rsidRDefault="009D4A93" w:rsidP="009D4A93">
            <w:pPr>
              <w:spacing w:after="0"/>
              <w:jc w:val="center"/>
            </w:pPr>
            <w:r w:rsidRPr="00536CFD">
              <w:t>0.193</w:t>
            </w:r>
          </w:p>
        </w:tc>
        <w:tc>
          <w:tcPr>
            <w:tcW w:w="737" w:type="dxa"/>
          </w:tcPr>
          <w:p w14:paraId="69D44280" w14:textId="77777777" w:rsidR="009D4A93" w:rsidRPr="00536CFD" w:rsidRDefault="009D4A93" w:rsidP="009D4A93">
            <w:pPr>
              <w:spacing w:after="0"/>
              <w:jc w:val="center"/>
            </w:pPr>
            <w:r w:rsidRPr="00536CFD">
              <w:t>1.560</w:t>
            </w:r>
          </w:p>
        </w:tc>
        <w:tc>
          <w:tcPr>
            <w:tcW w:w="738" w:type="dxa"/>
          </w:tcPr>
          <w:p w14:paraId="0F0805CA" w14:textId="77777777" w:rsidR="009D4A93" w:rsidRPr="00536CFD" w:rsidRDefault="009D4A93" w:rsidP="009D4A93">
            <w:pPr>
              <w:spacing w:after="0"/>
              <w:jc w:val="center"/>
            </w:pPr>
            <w:r w:rsidRPr="00536CFD">
              <w:t>1.225</w:t>
            </w:r>
          </w:p>
        </w:tc>
        <w:tc>
          <w:tcPr>
            <w:tcW w:w="737" w:type="dxa"/>
          </w:tcPr>
          <w:p w14:paraId="41D2CF54" w14:textId="77777777" w:rsidR="009D4A93" w:rsidRPr="00536CFD" w:rsidRDefault="009D4A93" w:rsidP="009D4A93">
            <w:pPr>
              <w:spacing w:after="0"/>
              <w:jc w:val="center"/>
            </w:pPr>
            <w:r w:rsidRPr="00536CFD">
              <w:t>1.457</w:t>
            </w:r>
          </w:p>
        </w:tc>
        <w:tc>
          <w:tcPr>
            <w:tcW w:w="738" w:type="dxa"/>
          </w:tcPr>
          <w:p w14:paraId="4F68A527" w14:textId="77777777" w:rsidR="009D4A93" w:rsidRPr="00536CFD" w:rsidRDefault="009D4A93" w:rsidP="009D4A93">
            <w:pPr>
              <w:spacing w:after="0"/>
              <w:jc w:val="center"/>
            </w:pPr>
            <w:r w:rsidRPr="00536CFD">
              <w:t>0.531</w:t>
            </w:r>
          </w:p>
        </w:tc>
      </w:tr>
      <w:tr w:rsidR="009D4A93" w:rsidRPr="00536CFD" w14:paraId="1AA1E64E" w14:textId="77777777" w:rsidTr="009D4A93">
        <w:trPr>
          <w:cantSplit/>
          <w:trHeight w:val="22"/>
        </w:trPr>
        <w:tc>
          <w:tcPr>
            <w:tcW w:w="500" w:type="dxa"/>
            <w:vMerge/>
          </w:tcPr>
          <w:p w14:paraId="6E15EBB2" w14:textId="77777777" w:rsidR="009D4A93" w:rsidRPr="00536CFD" w:rsidRDefault="009D4A93" w:rsidP="009D4A93">
            <w:pPr>
              <w:spacing w:after="0"/>
              <w:jc w:val="center"/>
            </w:pPr>
          </w:p>
        </w:tc>
        <w:tc>
          <w:tcPr>
            <w:tcW w:w="505" w:type="dxa"/>
            <w:vMerge/>
          </w:tcPr>
          <w:p w14:paraId="5A000951" w14:textId="77777777" w:rsidR="009D4A93" w:rsidRPr="00536CFD" w:rsidRDefault="009D4A93" w:rsidP="009D4A93">
            <w:pPr>
              <w:spacing w:after="0"/>
              <w:jc w:val="center"/>
            </w:pPr>
          </w:p>
        </w:tc>
        <w:tc>
          <w:tcPr>
            <w:tcW w:w="505" w:type="dxa"/>
          </w:tcPr>
          <w:p w14:paraId="4E7259CB" w14:textId="77777777" w:rsidR="009D4A93" w:rsidRPr="00536CFD" w:rsidRDefault="009D4A93" w:rsidP="009D4A93">
            <w:pPr>
              <w:spacing w:after="0"/>
              <w:jc w:val="center"/>
            </w:pPr>
            <w:r w:rsidRPr="00536CFD">
              <w:t>95%</w:t>
            </w:r>
          </w:p>
        </w:tc>
        <w:tc>
          <w:tcPr>
            <w:tcW w:w="643" w:type="dxa"/>
          </w:tcPr>
          <w:p w14:paraId="13EB93C5" w14:textId="77777777" w:rsidR="009D4A93" w:rsidRPr="00536CFD" w:rsidRDefault="009D4A93" w:rsidP="009D4A93">
            <w:pPr>
              <w:spacing w:after="0"/>
              <w:jc w:val="center"/>
            </w:pPr>
            <w:r w:rsidRPr="00536CFD">
              <w:t>0.540</w:t>
            </w:r>
          </w:p>
        </w:tc>
        <w:tc>
          <w:tcPr>
            <w:tcW w:w="644" w:type="dxa"/>
          </w:tcPr>
          <w:p w14:paraId="4F90A9EF" w14:textId="77777777" w:rsidR="009D4A93" w:rsidRPr="00536CFD" w:rsidRDefault="009D4A93" w:rsidP="009D4A93">
            <w:pPr>
              <w:spacing w:after="0"/>
              <w:jc w:val="center"/>
            </w:pPr>
            <w:r w:rsidRPr="00536CFD">
              <w:t>0.249</w:t>
            </w:r>
          </w:p>
        </w:tc>
        <w:tc>
          <w:tcPr>
            <w:tcW w:w="644" w:type="dxa"/>
          </w:tcPr>
          <w:p w14:paraId="7BD40698" w14:textId="77777777" w:rsidR="009D4A93" w:rsidRPr="00536CFD" w:rsidRDefault="009D4A93" w:rsidP="009D4A93">
            <w:pPr>
              <w:spacing w:after="0"/>
              <w:jc w:val="center"/>
            </w:pPr>
            <w:r w:rsidRPr="00536CFD">
              <w:t>0.286</w:t>
            </w:r>
          </w:p>
        </w:tc>
        <w:tc>
          <w:tcPr>
            <w:tcW w:w="665" w:type="dxa"/>
          </w:tcPr>
          <w:p w14:paraId="100DEE15" w14:textId="77777777" w:rsidR="009D4A93" w:rsidRPr="00536CFD" w:rsidRDefault="009D4A93" w:rsidP="009D4A93">
            <w:pPr>
              <w:spacing w:after="0"/>
              <w:jc w:val="center"/>
            </w:pPr>
            <w:r w:rsidRPr="00536CFD">
              <w:t>0.167</w:t>
            </w:r>
          </w:p>
        </w:tc>
        <w:tc>
          <w:tcPr>
            <w:tcW w:w="694" w:type="dxa"/>
          </w:tcPr>
          <w:p w14:paraId="01734EA9" w14:textId="77777777" w:rsidR="009D4A93" w:rsidRPr="00536CFD" w:rsidRDefault="009D4A93" w:rsidP="009D4A93">
            <w:pPr>
              <w:spacing w:after="0"/>
              <w:jc w:val="center"/>
            </w:pPr>
            <w:r w:rsidRPr="00536CFD">
              <w:t>2.627</w:t>
            </w:r>
          </w:p>
        </w:tc>
        <w:tc>
          <w:tcPr>
            <w:tcW w:w="715" w:type="dxa"/>
          </w:tcPr>
          <w:p w14:paraId="3F9D5142" w14:textId="77777777" w:rsidR="009D4A93" w:rsidRPr="00536CFD" w:rsidRDefault="009D4A93" w:rsidP="009D4A93">
            <w:pPr>
              <w:spacing w:after="0"/>
              <w:jc w:val="center"/>
            </w:pPr>
            <w:r w:rsidRPr="00536CFD">
              <w:t>1.598</w:t>
            </w:r>
          </w:p>
        </w:tc>
        <w:tc>
          <w:tcPr>
            <w:tcW w:w="715" w:type="dxa"/>
          </w:tcPr>
          <w:p w14:paraId="11431CBC" w14:textId="77777777" w:rsidR="009D4A93" w:rsidRPr="00536CFD" w:rsidRDefault="009D4A93" w:rsidP="009D4A93">
            <w:pPr>
              <w:spacing w:after="0"/>
              <w:jc w:val="center"/>
            </w:pPr>
            <w:r w:rsidRPr="00536CFD">
              <w:t>3.295</w:t>
            </w:r>
          </w:p>
        </w:tc>
        <w:tc>
          <w:tcPr>
            <w:tcW w:w="715" w:type="dxa"/>
          </w:tcPr>
          <w:p w14:paraId="56B20960" w14:textId="77777777" w:rsidR="009D4A93" w:rsidRPr="00536CFD" w:rsidRDefault="009D4A93" w:rsidP="009D4A93">
            <w:pPr>
              <w:spacing w:after="0"/>
              <w:jc w:val="center"/>
            </w:pPr>
            <w:r w:rsidRPr="00536CFD">
              <w:t>0.899</w:t>
            </w:r>
          </w:p>
        </w:tc>
        <w:tc>
          <w:tcPr>
            <w:tcW w:w="737" w:type="dxa"/>
          </w:tcPr>
          <w:p w14:paraId="071E80BE" w14:textId="77777777" w:rsidR="009D4A93" w:rsidRPr="00536CFD" w:rsidRDefault="009D4A93" w:rsidP="009D4A93">
            <w:pPr>
              <w:spacing w:after="0"/>
              <w:jc w:val="center"/>
            </w:pPr>
            <w:r w:rsidRPr="00536CFD">
              <w:t>5.650</w:t>
            </w:r>
          </w:p>
        </w:tc>
        <w:tc>
          <w:tcPr>
            <w:tcW w:w="738" w:type="dxa"/>
          </w:tcPr>
          <w:p w14:paraId="383DBCD6" w14:textId="77777777" w:rsidR="009D4A93" w:rsidRPr="00536CFD" w:rsidRDefault="009D4A93" w:rsidP="009D4A93">
            <w:pPr>
              <w:spacing w:after="0"/>
              <w:jc w:val="center"/>
            </w:pPr>
            <w:r w:rsidRPr="00536CFD">
              <w:t>4.421</w:t>
            </w:r>
          </w:p>
        </w:tc>
        <w:tc>
          <w:tcPr>
            <w:tcW w:w="737" w:type="dxa"/>
          </w:tcPr>
          <w:p w14:paraId="33821FFB" w14:textId="77777777" w:rsidR="009D4A93" w:rsidRPr="00536CFD" w:rsidRDefault="009D4A93" w:rsidP="009D4A93">
            <w:pPr>
              <w:spacing w:after="0"/>
              <w:jc w:val="center"/>
            </w:pPr>
            <w:r w:rsidRPr="00536CFD">
              <w:t>6.918</w:t>
            </w:r>
          </w:p>
        </w:tc>
        <w:tc>
          <w:tcPr>
            <w:tcW w:w="738" w:type="dxa"/>
          </w:tcPr>
          <w:p w14:paraId="2211A98A" w14:textId="77777777" w:rsidR="009D4A93" w:rsidRPr="00536CFD" w:rsidRDefault="009D4A93" w:rsidP="009D4A93">
            <w:pPr>
              <w:spacing w:after="0"/>
              <w:jc w:val="center"/>
            </w:pPr>
            <w:r w:rsidRPr="00536CFD">
              <w:t>3.000</w:t>
            </w:r>
          </w:p>
        </w:tc>
      </w:tr>
      <w:tr w:rsidR="009D4A93" w:rsidRPr="00536CFD" w14:paraId="4E1ADB6C" w14:textId="77777777" w:rsidTr="009D4A93">
        <w:trPr>
          <w:cantSplit/>
          <w:trHeight w:val="22"/>
        </w:trPr>
        <w:tc>
          <w:tcPr>
            <w:tcW w:w="500" w:type="dxa"/>
            <w:vMerge/>
          </w:tcPr>
          <w:p w14:paraId="500D09A3" w14:textId="77777777" w:rsidR="009D4A93" w:rsidRPr="00536CFD" w:rsidRDefault="009D4A93" w:rsidP="009D4A93">
            <w:pPr>
              <w:spacing w:after="0"/>
              <w:jc w:val="center"/>
            </w:pPr>
          </w:p>
        </w:tc>
        <w:tc>
          <w:tcPr>
            <w:tcW w:w="505" w:type="dxa"/>
            <w:vMerge/>
          </w:tcPr>
          <w:p w14:paraId="1F37A11C" w14:textId="77777777" w:rsidR="009D4A93" w:rsidRPr="00536CFD" w:rsidRDefault="009D4A93" w:rsidP="009D4A93">
            <w:pPr>
              <w:spacing w:after="0"/>
              <w:jc w:val="center"/>
            </w:pPr>
          </w:p>
        </w:tc>
        <w:tc>
          <w:tcPr>
            <w:tcW w:w="505" w:type="dxa"/>
          </w:tcPr>
          <w:p w14:paraId="342C826B" w14:textId="77777777" w:rsidR="009D4A93" w:rsidRPr="00536CFD" w:rsidRDefault="009D4A93" w:rsidP="009D4A93">
            <w:pPr>
              <w:spacing w:after="0"/>
              <w:jc w:val="center"/>
            </w:pPr>
            <w:r w:rsidRPr="00536CFD">
              <w:t>Mean</w:t>
            </w:r>
          </w:p>
        </w:tc>
        <w:tc>
          <w:tcPr>
            <w:tcW w:w="643" w:type="dxa"/>
          </w:tcPr>
          <w:p w14:paraId="2A941525" w14:textId="77777777" w:rsidR="009D4A93" w:rsidRPr="00536CFD" w:rsidRDefault="009D4A93" w:rsidP="009D4A93">
            <w:pPr>
              <w:spacing w:after="0"/>
              <w:jc w:val="center"/>
            </w:pPr>
            <w:r w:rsidRPr="00536CFD">
              <w:t>0.205</w:t>
            </w:r>
          </w:p>
        </w:tc>
        <w:tc>
          <w:tcPr>
            <w:tcW w:w="644" w:type="dxa"/>
          </w:tcPr>
          <w:p w14:paraId="0DFBF0DB" w14:textId="77777777" w:rsidR="009D4A93" w:rsidRPr="00536CFD" w:rsidRDefault="009D4A93" w:rsidP="009D4A93">
            <w:pPr>
              <w:spacing w:after="0"/>
              <w:jc w:val="center"/>
            </w:pPr>
            <w:r w:rsidRPr="00536CFD">
              <w:t>0.104</w:t>
            </w:r>
          </w:p>
        </w:tc>
        <w:tc>
          <w:tcPr>
            <w:tcW w:w="644" w:type="dxa"/>
          </w:tcPr>
          <w:p w14:paraId="1553AED1" w14:textId="77777777" w:rsidR="009D4A93" w:rsidRPr="00536CFD" w:rsidRDefault="009D4A93" w:rsidP="009D4A93">
            <w:pPr>
              <w:spacing w:after="0"/>
              <w:jc w:val="center"/>
            </w:pPr>
            <w:r w:rsidRPr="00536CFD">
              <w:t>0.127</w:t>
            </w:r>
          </w:p>
        </w:tc>
        <w:tc>
          <w:tcPr>
            <w:tcW w:w="665" w:type="dxa"/>
          </w:tcPr>
          <w:p w14:paraId="466656AD" w14:textId="77777777" w:rsidR="009D4A93" w:rsidRPr="00536CFD" w:rsidRDefault="009D4A93" w:rsidP="009D4A93">
            <w:pPr>
              <w:spacing w:after="0"/>
              <w:jc w:val="center"/>
            </w:pPr>
            <w:r w:rsidRPr="00536CFD">
              <w:t>0.080</w:t>
            </w:r>
          </w:p>
        </w:tc>
        <w:tc>
          <w:tcPr>
            <w:tcW w:w="694" w:type="dxa"/>
          </w:tcPr>
          <w:p w14:paraId="5F180103" w14:textId="77777777" w:rsidR="009D4A93" w:rsidRPr="00536CFD" w:rsidRDefault="009D4A93" w:rsidP="009D4A93">
            <w:pPr>
              <w:spacing w:after="0"/>
              <w:jc w:val="center"/>
            </w:pPr>
            <w:r w:rsidRPr="00536CFD">
              <w:t>1.204</w:t>
            </w:r>
          </w:p>
        </w:tc>
        <w:tc>
          <w:tcPr>
            <w:tcW w:w="715" w:type="dxa"/>
          </w:tcPr>
          <w:p w14:paraId="36EBCBF2" w14:textId="77777777" w:rsidR="009D4A93" w:rsidRPr="00536CFD" w:rsidRDefault="009D4A93" w:rsidP="009D4A93">
            <w:pPr>
              <w:spacing w:after="0"/>
              <w:jc w:val="center"/>
            </w:pPr>
            <w:r w:rsidRPr="00536CFD">
              <w:t>0.681</w:t>
            </w:r>
          </w:p>
        </w:tc>
        <w:tc>
          <w:tcPr>
            <w:tcW w:w="715" w:type="dxa"/>
          </w:tcPr>
          <w:p w14:paraId="0EFBE66C" w14:textId="77777777" w:rsidR="009D4A93" w:rsidRPr="00536CFD" w:rsidRDefault="009D4A93" w:rsidP="009D4A93">
            <w:pPr>
              <w:spacing w:after="0"/>
              <w:jc w:val="center"/>
            </w:pPr>
            <w:r w:rsidRPr="00536CFD">
              <w:t>1.300</w:t>
            </w:r>
          </w:p>
        </w:tc>
        <w:tc>
          <w:tcPr>
            <w:tcW w:w="715" w:type="dxa"/>
          </w:tcPr>
          <w:p w14:paraId="70C37919" w14:textId="77777777" w:rsidR="009D4A93" w:rsidRPr="00536CFD" w:rsidRDefault="009D4A93" w:rsidP="009D4A93">
            <w:pPr>
              <w:spacing w:after="0"/>
              <w:jc w:val="center"/>
            </w:pPr>
            <w:r w:rsidRPr="00536CFD">
              <w:t>0.373</w:t>
            </w:r>
          </w:p>
        </w:tc>
        <w:tc>
          <w:tcPr>
            <w:tcW w:w="737" w:type="dxa"/>
          </w:tcPr>
          <w:p w14:paraId="1609B94F" w14:textId="77777777" w:rsidR="009D4A93" w:rsidRPr="00536CFD" w:rsidRDefault="009D4A93" w:rsidP="009D4A93">
            <w:pPr>
              <w:spacing w:after="0"/>
              <w:jc w:val="center"/>
            </w:pPr>
            <w:r w:rsidRPr="00536CFD">
              <w:t>2.444</w:t>
            </w:r>
          </w:p>
        </w:tc>
        <w:tc>
          <w:tcPr>
            <w:tcW w:w="738" w:type="dxa"/>
          </w:tcPr>
          <w:p w14:paraId="0E16BDAE" w14:textId="77777777" w:rsidR="009D4A93" w:rsidRPr="00536CFD" w:rsidRDefault="009D4A93" w:rsidP="009D4A93">
            <w:pPr>
              <w:spacing w:after="0"/>
              <w:jc w:val="center"/>
            </w:pPr>
            <w:r w:rsidRPr="00536CFD">
              <w:t>1.892</w:t>
            </w:r>
          </w:p>
        </w:tc>
        <w:tc>
          <w:tcPr>
            <w:tcW w:w="737" w:type="dxa"/>
          </w:tcPr>
          <w:p w14:paraId="1977759C" w14:textId="77777777" w:rsidR="009D4A93" w:rsidRPr="00536CFD" w:rsidRDefault="009D4A93" w:rsidP="009D4A93">
            <w:pPr>
              <w:spacing w:after="0"/>
              <w:jc w:val="center"/>
            </w:pPr>
            <w:r w:rsidRPr="00536CFD">
              <w:t>2.814</w:t>
            </w:r>
          </w:p>
        </w:tc>
        <w:tc>
          <w:tcPr>
            <w:tcW w:w="738" w:type="dxa"/>
          </w:tcPr>
          <w:p w14:paraId="16E79A65" w14:textId="77777777" w:rsidR="009D4A93" w:rsidRPr="00536CFD" w:rsidRDefault="009D4A93" w:rsidP="009D4A93">
            <w:pPr>
              <w:spacing w:after="0"/>
              <w:jc w:val="center"/>
            </w:pPr>
            <w:r w:rsidRPr="00536CFD">
              <w:t>1.142</w:t>
            </w:r>
          </w:p>
        </w:tc>
      </w:tr>
      <w:tr w:rsidR="009D4A93" w:rsidRPr="00536CFD" w14:paraId="5BC5BE59" w14:textId="77777777" w:rsidTr="009D4A93">
        <w:trPr>
          <w:cantSplit/>
          <w:trHeight w:val="22"/>
        </w:trPr>
        <w:tc>
          <w:tcPr>
            <w:tcW w:w="500" w:type="dxa"/>
            <w:vMerge/>
          </w:tcPr>
          <w:p w14:paraId="7760AA0E" w14:textId="77777777" w:rsidR="009D4A93" w:rsidRPr="00536CFD" w:rsidRDefault="009D4A93" w:rsidP="009D4A93">
            <w:pPr>
              <w:spacing w:after="0"/>
              <w:jc w:val="center"/>
            </w:pPr>
          </w:p>
        </w:tc>
        <w:tc>
          <w:tcPr>
            <w:tcW w:w="505" w:type="dxa"/>
            <w:vMerge w:val="restart"/>
          </w:tcPr>
          <w:p w14:paraId="5268C389" w14:textId="77777777" w:rsidR="009D4A93" w:rsidRPr="00536CFD" w:rsidRDefault="009D4A93" w:rsidP="009D4A93">
            <w:pPr>
              <w:spacing w:after="0"/>
              <w:jc w:val="center"/>
            </w:pPr>
            <w:r w:rsidRPr="00536CFD">
              <w:t>UL:</w:t>
            </w:r>
          </w:p>
          <w:p w14:paraId="182240B4" w14:textId="77777777" w:rsidR="009D4A93" w:rsidRPr="00536CFD" w:rsidRDefault="009D4A93" w:rsidP="009D4A93">
            <w:pPr>
              <w:spacing w:after="0"/>
              <w:jc w:val="center"/>
            </w:pPr>
            <w:r w:rsidRPr="00536CFD">
              <w:t>UPT CDF</w:t>
            </w:r>
          </w:p>
          <w:p w14:paraId="7518FC60" w14:textId="77777777" w:rsidR="009D4A93" w:rsidRPr="00536CFD" w:rsidRDefault="009D4A93" w:rsidP="009D4A93">
            <w:pPr>
              <w:spacing w:after="0"/>
              <w:jc w:val="center"/>
            </w:pPr>
            <w:r w:rsidRPr="00536CFD">
              <w:t>[Mbps]</w:t>
            </w:r>
          </w:p>
        </w:tc>
        <w:tc>
          <w:tcPr>
            <w:tcW w:w="505" w:type="dxa"/>
          </w:tcPr>
          <w:p w14:paraId="5A96D78C" w14:textId="77777777" w:rsidR="009D4A93" w:rsidRPr="00536CFD" w:rsidRDefault="009D4A93" w:rsidP="009D4A93">
            <w:pPr>
              <w:spacing w:after="0"/>
              <w:jc w:val="center"/>
            </w:pPr>
            <w:r w:rsidRPr="00536CFD">
              <w:t>5%</w:t>
            </w:r>
          </w:p>
        </w:tc>
        <w:tc>
          <w:tcPr>
            <w:tcW w:w="643" w:type="dxa"/>
          </w:tcPr>
          <w:p w14:paraId="67D80C9E" w14:textId="77777777" w:rsidR="009D4A93" w:rsidRPr="00536CFD" w:rsidRDefault="009D4A93" w:rsidP="009D4A93">
            <w:pPr>
              <w:spacing w:after="0"/>
              <w:jc w:val="center"/>
            </w:pPr>
            <w:r w:rsidRPr="00536CFD">
              <w:t>34.98</w:t>
            </w:r>
          </w:p>
        </w:tc>
        <w:tc>
          <w:tcPr>
            <w:tcW w:w="644" w:type="dxa"/>
          </w:tcPr>
          <w:p w14:paraId="666905C7" w14:textId="77777777" w:rsidR="009D4A93" w:rsidRPr="00536CFD" w:rsidRDefault="009D4A93" w:rsidP="009D4A93">
            <w:pPr>
              <w:spacing w:after="0"/>
              <w:jc w:val="center"/>
            </w:pPr>
            <w:r w:rsidRPr="00536CFD">
              <w:t>38.18</w:t>
            </w:r>
          </w:p>
        </w:tc>
        <w:tc>
          <w:tcPr>
            <w:tcW w:w="644" w:type="dxa"/>
          </w:tcPr>
          <w:p w14:paraId="660F9136" w14:textId="77777777" w:rsidR="009D4A93" w:rsidRPr="00536CFD" w:rsidRDefault="009D4A93" w:rsidP="009D4A93">
            <w:pPr>
              <w:spacing w:after="0"/>
              <w:jc w:val="center"/>
            </w:pPr>
            <w:r w:rsidRPr="00536CFD">
              <w:t>42.16</w:t>
            </w:r>
          </w:p>
        </w:tc>
        <w:tc>
          <w:tcPr>
            <w:tcW w:w="665" w:type="dxa"/>
          </w:tcPr>
          <w:p w14:paraId="7E42B05C" w14:textId="77777777" w:rsidR="009D4A93" w:rsidRPr="00536CFD" w:rsidRDefault="009D4A93" w:rsidP="009D4A93">
            <w:pPr>
              <w:spacing w:after="0"/>
              <w:jc w:val="center"/>
            </w:pPr>
            <w:r w:rsidRPr="00536CFD">
              <w:t>45.55</w:t>
            </w:r>
          </w:p>
        </w:tc>
        <w:tc>
          <w:tcPr>
            <w:tcW w:w="694" w:type="dxa"/>
          </w:tcPr>
          <w:p w14:paraId="5F74C144" w14:textId="77777777" w:rsidR="009D4A93" w:rsidRPr="00536CFD" w:rsidRDefault="009D4A93" w:rsidP="009D4A93">
            <w:pPr>
              <w:spacing w:after="0"/>
              <w:jc w:val="center"/>
            </w:pPr>
            <w:r w:rsidRPr="00536CFD">
              <w:t>18.40</w:t>
            </w:r>
          </w:p>
        </w:tc>
        <w:tc>
          <w:tcPr>
            <w:tcW w:w="715" w:type="dxa"/>
          </w:tcPr>
          <w:p w14:paraId="1D2733AF" w14:textId="77777777" w:rsidR="009D4A93" w:rsidRPr="00536CFD" w:rsidRDefault="009D4A93" w:rsidP="009D4A93">
            <w:pPr>
              <w:spacing w:after="0"/>
              <w:jc w:val="center"/>
            </w:pPr>
            <w:r w:rsidRPr="00536CFD">
              <w:t>23.38</w:t>
            </w:r>
          </w:p>
        </w:tc>
        <w:tc>
          <w:tcPr>
            <w:tcW w:w="715" w:type="dxa"/>
          </w:tcPr>
          <w:p w14:paraId="03F67C39" w14:textId="77777777" w:rsidR="009D4A93" w:rsidRPr="00536CFD" w:rsidRDefault="009D4A93" w:rsidP="009D4A93">
            <w:pPr>
              <w:spacing w:after="0"/>
              <w:jc w:val="center"/>
            </w:pPr>
            <w:r w:rsidRPr="00536CFD">
              <w:t>19.11</w:t>
            </w:r>
          </w:p>
        </w:tc>
        <w:tc>
          <w:tcPr>
            <w:tcW w:w="715" w:type="dxa"/>
          </w:tcPr>
          <w:p w14:paraId="22083A4D" w14:textId="77777777" w:rsidR="009D4A93" w:rsidRPr="00536CFD" w:rsidRDefault="009D4A93" w:rsidP="009D4A93">
            <w:pPr>
              <w:spacing w:after="0"/>
              <w:jc w:val="center"/>
            </w:pPr>
            <w:r w:rsidRPr="00536CFD">
              <w:t>25.10</w:t>
            </w:r>
          </w:p>
        </w:tc>
        <w:tc>
          <w:tcPr>
            <w:tcW w:w="737" w:type="dxa"/>
          </w:tcPr>
          <w:p w14:paraId="30B15A2A" w14:textId="77777777" w:rsidR="009D4A93" w:rsidRPr="00536CFD" w:rsidRDefault="009D4A93" w:rsidP="009D4A93">
            <w:pPr>
              <w:spacing w:after="0"/>
              <w:jc w:val="center"/>
            </w:pPr>
            <w:r w:rsidRPr="00536CFD">
              <w:t>5.92</w:t>
            </w:r>
          </w:p>
        </w:tc>
        <w:tc>
          <w:tcPr>
            <w:tcW w:w="738" w:type="dxa"/>
          </w:tcPr>
          <w:p w14:paraId="1EDCCDF5" w14:textId="77777777" w:rsidR="009D4A93" w:rsidRPr="00536CFD" w:rsidRDefault="009D4A93" w:rsidP="009D4A93">
            <w:pPr>
              <w:spacing w:after="0"/>
              <w:jc w:val="center"/>
            </w:pPr>
            <w:r w:rsidRPr="00536CFD">
              <w:t>8.10</w:t>
            </w:r>
          </w:p>
        </w:tc>
        <w:tc>
          <w:tcPr>
            <w:tcW w:w="737" w:type="dxa"/>
          </w:tcPr>
          <w:p w14:paraId="17D5FB89" w14:textId="77777777" w:rsidR="009D4A93" w:rsidRPr="00536CFD" w:rsidRDefault="009D4A93" w:rsidP="009D4A93">
            <w:pPr>
              <w:spacing w:after="0"/>
              <w:jc w:val="center"/>
            </w:pPr>
            <w:r w:rsidRPr="00536CFD">
              <w:t>5.71</w:t>
            </w:r>
          </w:p>
        </w:tc>
        <w:tc>
          <w:tcPr>
            <w:tcW w:w="738" w:type="dxa"/>
          </w:tcPr>
          <w:p w14:paraId="071F6DD8" w14:textId="77777777" w:rsidR="009D4A93" w:rsidRPr="00536CFD" w:rsidRDefault="009D4A93" w:rsidP="009D4A93">
            <w:pPr>
              <w:spacing w:after="0"/>
              <w:jc w:val="center"/>
            </w:pPr>
            <w:r w:rsidRPr="00536CFD">
              <w:t>8.30</w:t>
            </w:r>
          </w:p>
        </w:tc>
      </w:tr>
      <w:tr w:rsidR="009D4A93" w:rsidRPr="00536CFD" w14:paraId="1569028D" w14:textId="77777777" w:rsidTr="009D4A93">
        <w:trPr>
          <w:cantSplit/>
          <w:trHeight w:val="22"/>
        </w:trPr>
        <w:tc>
          <w:tcPr>
            <w:tcW w:w="500" w:type="dxa"/>
            <w:vMerge/>
          </w:tcPr>
          <w:p w14:paraId="4C245617" w14:textId="77777777" w:rsidR="009D4A93" w:rsidRPr="00536CFD" w:rsidRDefault="009D4A93" w:rsidP="009D4A93">
            <w:pPr>
              <w:spacing w:after="0"/>
              <w:jc w:val="center"/>
            </w:pPr>
          </w:p>
        </w:tc>
        <w:tc>
          <w:tcPr>
            <w:tcW w:w="505" w:type="dxa"/>
            <w:vMerge/>
          </w:tcPr>
          <w:p w14:paraId="29079091" w14:textId="77777777" w:rsidR="009D4A93" w:rsidRPr="00536CFD" w:rsidRDefault="009D4A93" w:rsidP="009D4A93">
            <w:pPr>
              <w:spacing w:after="0"/>
              <w:jc w:val="center"/>
            </w:pPr>
          </w:p>
        </w:tc>
        <w:tc>
          <w:tcPr>
            <w:tcW w:w="505" w:type="dxa"/>
          </w:tcPr>
          <w:p w14:paraId="2241C6D8" w14:textId="77777777" w:rsidR="009D4A93" w:rsidRPr="00536CFD" w:rsidRDefault="009D4A93" w:rsidP="009D4A93">
            <w:pPr>
              <w:spacing w:after="0"/>
              <w:jc w:val="center"/>
            </w:pPr>
            <w:r w:rsidRPr="00536CFD">
              <w:t>50%</w:t>
            </w:r>
          </w:p>
        </w:tc>
        <w:tc>
          <w:tcPr>
            <w:tcW w:w="643" w:type="dxa"/>
          </w:tcPr>
          <w:p w14:paraId="507620D6" w14:textId="77777777" w:rsidR="009D4A93" w:rsidRPr="00536CFD" w:rsidRDefault="009D4A93" w:rsidP="009D4A93">
            <w:pPr>
              <w:spacing w:after="0"/>
              <w:jc w:val="center"/>
            </w:pPr>
            <w:r w:rsidRPr="00536CFD">
              <w:t>78.76</w:t>
            </w:r>
          </w:p>
        </w:tc>
        <w:tc>
          <w:tcPr>
            <w:tcW w:w="644" w:type="dxa"/>
          </w:tcPr>
          <w:p w14:paraId="5ED69FCF" w14:textId="77777777" w:rsidR="009D4A93" w:rsidRPr="00536CFD" w:rsidRDefault="009D4A93" w:rsidP="009D4A93">
            <w:pPr>
              <w:spacing w:after="0"/>
              <w:jc w:val="center"/>
            </w:pPr>
            <w:r w:rsidRPr="00536CFD">
              <w:t>83.02</w:t>
            </w:r>
          </w:p>
        </w:tc>
        <w:tc>
          <w:tcPr>
            <w:tcW w:w="644" w:type="dxa"/>
          </w:tcPr>
          <w:p w14:paraId="6ABDC1E1" w14:textId="77777777" w:rsidR="009D4A93" w:rsidRPr="00536CFD" w:rsidRDefault="009D4A93" w:rsidP="009D4A93">
            <w:pPr>
              <w:spacing w:after="0"/>
              <w:jc w:val="center"/>
            </w:pPr>
            <w:r w:rsidRPr="00536CFD">
              <w:t>86.16</w:t>
            </w:r>
          </w:p>
        </w:tc>
        <w:tc>
          <w:tcPr>
            <w:tcW w:w="665" w:type="dxa"/>
          </w:tcPr>
          <w:p w14:paraId="0CC3D458" w14:textId="77777777" w:rsidR="009D4A93" w:rsidRPr="00536CFD" w:rsidRDefault="009D4A93" w:rsidP="009D4A93">
            <w:pPr>
              <w:spacing w:after="0"/>
              <w:jc w:val="center"/>
            </w:pPr>
            <w:r w:rsidRPr="00536CFD">
              <w:t>91.22</w:t>
            </w:r>
          </w:p>
        </w:tc>
        <w:tc>
          <w:tcPr>
            <w:tcW w:w="694" w:type="dxa"/>
          </w:tcPr>
          <w:p w14:paraId="4FB5F442" w14:textId="77777777" w:rsidR="009D4A93" w:rsidRPr="00536CFD" w:rsidRDefault="009D4A93" w:rsidP="009D4A93">
            <w:pPr>
              <w:spacing w:after="0"/>
              <w:jc w:val="center"/>
            </w:pPr>
            <w:r w:rsidRPr="00536CFD">
              <w:t>46.82</w:t>
            </w:r>
          </w:p>
        </w:tc>
        <w:tc>
          <w:tcPr>
            <w:tcW w:w="715" w:type="dxa"/>
          </w:tcPr>
          <w:p w14:paraId="12685BF9" w14:textId="77777777" w:rsidR="009D4A93" w:rsidRPr="00536CFD" w:rsidRDefault="009D4A93" w:rsidP="009D4A93">
            <w:pPr>
              <w:spacing w:after="0"/>
              <w:jc w:val="center"/>
            </w:pPr>
            <w:r w:rsidRPr="00536CFD">
              <w:t>53.78</w:t>
            </w:r>
          </w:p>
        </w:tc>
        <w:tc>
          <w:tcPr>
            <w:tcW w:w="715" w:type="dxa"/>
          </w:tcPr>
          <w:p w14:paraId="489D2AAF" w14:textId="77777777" w:rsidR="009D4A93" w:rsidRPr="00536CFD" w:rsidRDefault="009D4A93" w:rsidP="009D4A93">
            <w:pPr>
              <w:spacing w:after="0"/>
              <w:jc w:val="center"/>
            </w:pPr>
            <w:r w:rsidRPr="00536CFD">
              <w:t>46.47</w:t>
            </w:r>
          </w:p>
        </w:tc>
        <w:tc>
          <w:tcPr>
            <w:tcW w:w="715" w:type="dxa"/>
          </w:tcPr>
          <w:p w14:paraId="507B6380" w14:textId="77777777" w:rsidR="009D4A93" w:rsidRPr="00536CFD" w:rsidRDefault="009D4A93" w:rsidP="009D4A93">
            <w:pPr>
              <w:spacing w:after="0"/>
              <w:jc w:val="center"/>
            </w:pPr>
            <w:r w:rsidRPr="00536CFD">
              <w:t>57.49</w:t>
            </w:r>
          </w:p>
        </w:tc>
        <w:tc>
          <w:tcPr>
            <w:tcW w:w="737" w:type="dxa"/>
          </w:tcPr>
          <w:p w14:paraId="28A4FCDE" w14:textId="77777777" w:rsidR="009D4A93" w:rsidRPr="00536CFD" w:rsidRDefault="009D4A93" w:rsidP="009D4A93">
            <w:pPr>
              <w:spacing w:after="0"/>
              <w:jc w:val="center"/>
            </w:pPr>
            <w:r w:rsidRPr="00536CFD">
              <w:t>21.21</w:t>
            </w:r>
          </w:p>
        </w:tc>
        <w:tc>
          <w:tcPr>
            <w:tcW w:w="738" w:type="dxa"/>
          </w:tcPr>
          <w:p w14:paraId="5C85A28B" w14:textId="77777777" w:rsidR="009D4A93" w:rsidRPr="00536CFD" w:rsidRDefault="009D4A93" w:rsidP="009D4A93">
            <w:pPr>
              <w:spacing w:after="0"/>
              <w:jc w:val="center"/>
            </w:pPr>
            <w:r w:rsidRPr="00536CFD">
              <w:t>25.80</w:t>
            </w:r>
          </w:p>
        </w:tc>
        <w:tc>
          <w:tcPr>
            <w:tcW w:w="737" w:type="dxa"/>
          </w:tcPr>
          <w:p w14:paraId="0DB99CCB" w14:textId="77777777" w:rsidR="009D4A93" w:rsidRPr="00536CFD" w:rsidRDefault="009D4A93" w:rsidP="009D4A93">
            <w:pPr>
              <w:spacing w:after="0"/>
              <w:jc w:val="center"/>
            </w:pPr>
            <w:r w:rsidRPr="00536CFD">
              <w:t>17.15</w:t>
            </w:r>
          </w:p>
        </w:tc>
        <w:tc>
          <w:tcPr>
            <w:tcW w:w="738" w:type="dxa"/>
          </w:tcPr>
          <w:p w14:paraId="24C0D99C" w14:textId="77777777" w:rsidR="009D4A93" w:rsidRPr="00536CFD" w:rsidRDefault="009D4A93" w:rsidP="009D4A93">
            <w:pPr>
              <w:spacing w:after="0"/>
              <w:jc w:val="center"/>
            </w:pPr>
            <w:r w:rsidRPr="00536CFD">
              <w:t>24.02</w:t>
            </w:r>
          </w:p>
        </w:tc>
      </w:tr>
      <w:tr w:rsidR="009D4A93" w:rsidRPr="00536CFD" w14:paraId="50A48889" w14:textId="77777777" w:rsidTr="009D4A93">
        <w:trPr>
          <w:cantSplit/>
          <w:trHeight w:val="22"/>
        </w:trPr>
        <w:tc>
          <w:tcPr>
            <w:tcW w:w="500" w:type="dxa"/>
            <w:vMerge/>
          </w:tcPr>
          <w:p w14:paraId="78939CA2" w14:textId="77777777" w:rsidR="009D4A93" w:rsidRPr="00536CFD" w:rsidRDefault="009D4A93" w:rsidP="009D4A93">
            <w:pPr>
              <w:spacing w:after="0"/>
              <w:jc w:val="center"/>
            </w:pPr>
          </w:p>
        </w:tc>
        <w:tc>
          <w:tcPr>
            <w:tcW w:w="505" w:type="dxa"/>
            <w:vMerge/>
          </w:tcPr>
          <w:p w14:paraId="51ECE2A5" w14:textId="77777777" w:rsidR="009D4A93" w:rsidRPr="00536CFD" w:rsidRDefault="009D4A93" w:rsidP="009D4A93">
            <w:pPr>
              <w:spacing w:after="0"/>
              <w:jc w:val="center"/>
            </w:pPr>
          </w:p>
        </w:tc>
        <w:tc>
          <w:tcPr>
            <w:tcW w:w="505" w:type="dxa"/>
          </w:tcPr>
          <w:p w14:paraId="07BFAE15" w14:textId="77777777" w:rsidR="009D4A93" w:rsidRPr="00536CFD" w:rsidRDefault="009D4A93" w:rsidP="009D4A93">
            <w:pPr>
              <w:spacing w:after="0"/>
              <w:jc w:val="center"/>
            </w:pPr>
            <w:r w:rsidRPr="00536CFD">
              <w:t>95%</w:t>
            </w:r>
          </w:p>
        </w:tc>
        <w:tc>
          <w:tcPr>
            <w:tcW w:w="643" w:type="dxa"/>
          </w:tcPr>
          <w:p w14:paraId="5F8622CF" w14:textId="77777777" w:rsidR="009D4A93" w:rsidRPr="00536CFD" w:rsidRDefault="009D4A93" w:rsidP="009D4A93">
            <w:pPr>
              <w:spacing w:after="0"/>
              <w:jc w:val="center"/>
            </w:pPr>
            <w:r w:rsidRPr="00536CFD">
              <w:t>106.81</w:t>
            </w:r>
          </w:p>
        </w:tc>
        <w:tc>
          <w:tcPr>
            <w:tcW w:w="644" w:type="dxa"/>
          </w:tcPr>
          <w:p w14:paraId="37F24E78" w14:textId="77777777" w:rsidR="009D4A93" w:rsidRPr="00536CFD" w:rsidRDefault="009D4A93" w:rsidP="009D4A93">
            <w:pPr>
              <w:spacing w:after="0"/>
              <w:jc w:val="center"/>
            </w:pPr>
            <w:r w:rsidRPr="00536CFD">
              <w:t>108.13</w:t>
            </w:r>
          </w:p>
        </w:tc>
        <w:tc>
          <w:tcPr>
            <w:tcW w:w="644" w:type="dxa"/>
          </w:tcPr>
          <w:p w14:paraId="65B92151" w14:textId="77777777" w:rsidR="009D4A93" w:rsidRPr="00536CFD" w:rsidRDefault="009D4A93" w:rsidP="009D4A93">
            <w:pPr>
              <w:spacing w:after="0"/>
              <w:jc w:val="center"/>
            </w:pPr>
            <w:r w:rsidRPr="00536CFD">
              <w:t>117.65</w:t>
            </w:r>
          </w:p>
        </w:tc>
        <w:tc>
          <w:tcPr>
            <w:tcW w:w="665" w:type="dxa"/>
          </w:tcPr>
          <w:p w14:paraId="0A400475" w14:textId="77777777" w:rsidR="009D4A93" w:rsidRPr="00536CFD" w:rsidRDefault="009D4A93" w:rsidP="009D4A93">
            <w:pPr>
              <w:spacing w:after="0"/>
              <w:jc w:val="center"/>
            </w:pPr>
            <w:r w:rsidRPr="00536CFD">
              <w:t>119.12</w:t>
            </w:r>
          </w:p>
        </w:tc>
        <w:tc>
          <w:tcPr>
            <w:tcW w:w="694" w:type="dxa"/>
          </w:tcPr>
          <w:p w14:paraId="54F7C2C9" w14:textId="77777777" w:rsidR="009D4A93" w:rsidRPr="00536CFD" w:rsidRDefault="009D4A93" w:rsidP="009D4A93">
            <w:pPr>
              <w:spacing w:after="0"/>
              <w:jc w:val="center"/>
            </w:pPr>
            <w:r w:rsidRPr="00536CFD">
              <w:t>75.02</w:t>
            </w:r>
          </w:p>
        </w:tc>
        <w:tc>
          <w:tcPr>
            <w:tcW w:w="715" w:type="dxa"/>
          </w:tcPr>
          <w:p w14:paraId="3FF88165" w14:textId="77777777" w:rsidR="009D4A93" w:rsidRPr="00536CFD" w:rsidRDefault="009D4A93" w:rsidP="009D4A93">
            <w:pPr>
              <w:spacing w:after="0"/>
              <w:jc w:val="center"/>
            </w:pPr>
            <w:r w:rsidRPr="00536CFD">
              <w:t>79.84</w:t>
            </w:r>
          </w:p>
        </w:tc>
        <w:tc>
          <w:tcPr>
            <w:tcW w:w="715" w:type="dxa"/>
          </w:tcPr>
          <w:p w14:paraId="3B88DA81" w14:textId="77777777" w:rsidR="009D4A93" w:rsidRPr="00536CFD" w:rsidRDefault="009D4A93" w:rsidP="009D4A93">
            <w:pPr>
              <w:spacing w:after="0"/>
              <w:jc w:val="center"/>
            </w:pPr>
            <w:r w:rsidRPr="00536CFD">
              <w:t>76.93</w:t>
            </w:r>
          </w:p>
        </w:tc>
        <w:tc>
          <w:tcPr>
            <w:tcW w:w="715" w:type="dxa"/>
          </w:tcPr>
          <w:p w14:paraId="0C336666" w14:textId="77777777" w:rsidR="009D4A93" w:rsidRPr="00536CFD" w:rsidRDefault="009D4A93" w:rsidP="009D4A93">
            <w:pPr>
              <w:spacing w:after="0"/>
              <w:jc w:val="center"/>
            </w:pPr>
            <w:r w:rsidRPr="00536CFD">
              <w:t>89.50</w:t>
            </w:r>
          </w:p>
        </w:tc>
        <w:tc>
          <w:tcPr>
            <w:tcW w:w="737" w:type="dxa"/>
          </w:tcPr>
          <w:p w14:paraId="2AEC213C" w14:textId="77777777" w:rsidR="009D4A93" w:rsidRPr="00536CFD" w:rsidRDefault="009D4A93" w:rsidP="009D4A93">
            <w:pPr>
              <w:spacing w:after="0"/>
              <w:jc w:val="center"/>
            </w:pPr>
            <w:r w:rsidRPr="00536CFD">
              <w:t>44.59</w:t>
            </w:r>
          </w:p>
        </w:tc>
        <w:tc>
          <w:tcPr>
            <w:tcW w:w="738" w:type="dxa"/>
          </w:tcPr>
          <w:p w14:paraId="3FC3CDE5" w14:textId="77777777" w:rsidR="009D4A93" w:rsidRPr="00536CFD" w:rsidRDefault="009D4A93" w:rsidP="009D4A93">
            <w:pPr>
              <w:spacing w:after="0"/>
              <w:jc w:val="center"/>
            </w:pPr>
            <w:r w:rsidRPr="00536CFD">
              <w:t>50.23</w:t>
            </w:r>
          </w:p>
        </w:tc>
        <w:tc>
          <w:tcPr>
            <w:tcW w:w="737" w:type="dxa"/>
          </w:tcPr>
          <w:p w14:paraId="55BE8E86" w14:textId="77777777" w:rsidR="009D4A93" w:rsidRPr="00536CFD" w:rsidRDefault="009D4A93" w:rsidP="009D4A93">
            <w:pPr>
              <w:spacing w:after="0"/>
              <w:jc w:val="center"/>
            </w:pPr>
            <w:r w:rsidRPr="00536CFD">
              <w:t>38.95</w:t>
            </w:r>
          </w:p>
        </w:tc>
        <w:tc>
          <w:tcPr>
            <w:tcW w:w="738" w:type="dxa"/>
          </w:tcPr>
          <w:p w14:paraId="0A6E9DB3" w14:textId="77777777" w:rsidR="009D4A93" w:rsidRPr="00536CFD" w:rsidRDefault="009D4A93" w:rsidP="009D4A93">
            <w:pPr>
              <w:spacing w:after="0"/>
              <w:jc w:val="center"/>
            </w:pPr>
            <w:r w:rsidRPr="00536CFD">
              <w:t>51.63</w:t>
            </w:r>
          </w:p>
        </w:tc>
      </w:tr>
      <w:tr w:rsidR="009D4A93" w:rsidRPr="00536CFD" w14:paraId="790254E2" w14:textId="77777777" w:rsidTr="009D4A93">
        <w:trPr>
          <w:cantSplit/>
          <w:trHeight w:val="22"/>
        </w:trPr>
        <w:tc>
          <w:tcPr>
            <w:tcW w:w="500" w:type="dxa"/>
            <w:vMerge/>
          </w:tcPr>
          <w:p w14:paraId="5316C590" w14:textId="77777777" w:rsidR="009D4A93" w:rsidRPr="00536CFD" w:rsidRDefault="009D4A93" w:rsidP="009D4A93">
            <w:pPr>
              <w:spacing w:after="0"/>
              <w:jc w:val="center"/>
            </w:pPr>
          </w:p>
        </w:tc>
        <w:tc>
          <w:tcPr>
            <w:tcW w:w="505" w:type="dxa"/>
            <w:vMerge/>
          </w:tcPr>
          <w:p w14:paraId="2BA5FE54" w14:textId="77777777" w:rsidR="009D4A93" w:rsidRPr="00536CFD" w:rsidRDefault="009D4A93" w:rsidP="009D4A93">
            <w:pPr>
              <w:spacing w:after="0"/>
              <w:jc w:val="center"/>
            </w:pPr>
          </w:p>
        </w:tc>
        <w:tc>
          <w:tcPr>
            <w:tcW w:w="505" w:type="dxa"/>
          </w:tcPr>
          <w:p w14:paraId="1A1AAE44" w14:textId="77777777" w:rsidR="009D4A93" w:rsidRPr="00536CFD" w:rsidRDefault="009D4A93" w:rsidP="009D4A93">
            <w:pPr>
              <w:spacing w:after="0"/>
              <w:jc w:val="center"/>
            </w:pPr>
            <w:r w:rsidRPr="00536CFD">
              <w:t>Mean</w:t>
            </w:r>
          </w:p>
        </w:tc>
        <w:tc>
          <w:tcPr>
            <w:tcW w:w="643" w:type="dxa"/>
          </w:tcPr>
          <w:p w14:paraId="0C9C20B3" w14:textId="77777777" w:rsidR="009D4A93" w:rsidRPr="00536CFD" w:rsidRDefault="009D4A93" w:rsidP="009D4A93">
            <w:pPr>
              <w:spacing w:after="0"/>
              <w:jc w:val="center"/>
            </w:pPr>
            <w:r w:rsidRPr="00536CFD">
              <w:t>80.39</w:t>
            </w:r>
          </w:p>
        </w:tc>
        <w:tc>
          <w:tcPr>
            <w:tcW w:w="644" w:type="dxa"/>
          </w:tcPr>
          <w:p w14:paraId="5C9F3D21" w14:textId="77777777" w:rsidR="009D4A93" w:rsidRPr="00536CFD" w:rsidRDefault="009D4A93" w:rsidP="009D4A93">
            <w:pPr>
              <w:spacing w:after="0"/>
              <w:jc w:val="center"/>
            </w:pPr>
            <w:r w:rsidRPr="00536CFD">
              <w:t>83.09</w:t>
            </w:r>
          </w:p>
        </w:tc>
        <w:tc>
          <w:tcPr>
            <w:tcW w:w="644" w:type="dxa"/>
          </w:tcPr>
          <w:p w14:paraId="63F90D7A" w14:textId="77777777" w:rsidR="009D4A93" w:rsidRPr="00536CFD" w:rsidRDefault="009D4A93" w:rsidP="009D4A93">
            <w:pPr>
              <w:spacing w:after="0"/>
              <w:jc w:val="center"/>
            </w:pPr>
            <w:r w:rsidRPr="00536CFD">
              <w:t>88.30</w:t>
            </w:r>
          </w:p>
        </w:tc>
        <w:tc>
          <w:tcPr>
            <w:tcW w:w="665" w:type="dxa"/>
          </w:tcPr>
          <w:p w14:paraId="6486F023" w14:textId="77777777" w:rsidR="009D4A93" w:rsidRPr="00536CFD" w:rsidRDefault="009D4A93" w:rsidP="009D4A93">
            <w:pPr>
              <w:spacing w:after="0"/>
              <w:jc w:val="center"/>
            </w:pPr>
            <w:r w:rsidRPr="00536CFD">
              <w:t>91.26</w:t>
            </w:r>
          </w:p>
        </w:tc>
        <w:tc>
          <w:tcPr>
            <w:tcW w:w="694" w:type="dxa"/>
          </w:tcPr>
          <w:p w14:paraId="27B7615B" w14:textId="77777777" w:rsidR="009D4A93" w:rsidRPr="00536CFD" w:rsidRDefault="009D4A93" w:rsidP="009D4A93">
            <w:pPr>
              <w:spacing w:after="0"/>
              <w:jc w:val="center"/>
            </w:pPr>
            <w:r w:rsidRPr="00536CFD">
              <w:t>49.89</w:t>
            </w:r>
          </w:p>
        </w:tc>
        <w:tc>
          <w:tcPr>
            <w:tcW w:w="715" w:type="dxa"/>
          </w:tcPr>
          <w:p w14:paraId="411EB674" w14:textId="77777777" w:rsidR="009D4A93" w:rsidRPr="00536CFD" w:rsidRDefault="009D4A93" w:rsidP="009D4A93">
            <w:pPr>
              <w:spacing w:after="0"/>
              <w:jc w:val="center"/>
            </w:pPr>
            <w:r w:rsidRPr="00536CFD">
              <w:t>56.25</w:t>
            </w:r>
          </w:p>
        </w:tc>
        <w:tc>
          <w:tcPr>
            <w:tcW w:w="715" w:type="dxa"/>
          </w:tcPr>
          <w:p w14:paraId="524A442D" w14:textId="77777777" w:rsidR="009D4A93" w:rsidRPr="00536CFD" w:rsidRDefault="009D4A93" w:rsidP="009D4A93">
            <w:pPr>
              <w:spacing w:after="0"/>
              <w:jc w:val="center"/>
            </w:pPr>
            <w:r w:rsidRPr="00536CFD">
              <w:t>51.03</w:t>
            </w:r>
          </w:p>
        </w:tc>
        <w:tc>
          <w:tcPr>
            <w:tcW w:w="715" w:type="dxa"/>
          </w:tcPr>
          <w:p w14:paraId="0626497E" w14:textId="77777777" w:rsidR="009D4A93" w:rsidRPr="00536CFD" w:rsidRDefault="009D4A93" w:rsidP="009D4A93">
            <w:pPr>
              <w:spacing w:after="0"/>
              <w:jc w:val="center"/>
            </w:pPr>
            <w:r w:rsidRPr="00536CFD">
              <w:t>61.10</w:t>
            </w:r>
          </w:p>
        </w:tc>
        <w:tc>
          <w:tcPr>
            <w:tcW w:w="737" w:type="dxa"/>
          </w:tcPr>
          <w:p w14:paraId="05DE23C5" w14:textId="77777777" w:rsidR="009D4A93" w:rsidRPr="00536CFD" w:rsidRDefault="009D4A93" w:rsidP="009D4A93">
            <w:pPr>
              <w:spacing w:after="0"/>
              <w:jc w:val="center"/>
            </w:pPr>
            <w:r w:rsidRPr="00536CFD">
              <w:t>25.10</w:t>
            </w:r>
          </w:p>
        </w:tc>
        <w:tc>
          <w:tcPr>
            <w:tcW w:w="738" w:type="dxa"/>
          </w:tcPr>
          <w:p w14:paraId="360EEA80" w14:textId="77777777" w:rsidR="009D4A93" w:rsidRPr="00536CFD" w:rsidRDefault="009D4A93" w:rsidP="009D4A93">
            <w:pPr>
              <w:spacing w:after="0"/>
              <w:jc w:val="center"/>
            </w:pPr>
            <w:r w:rsidRPr="00536CFD">
              <w:t>29.54</w:t>
            </w:r>
          </w:p>
        </w:tc>
        <w:tc>
          <w:tcPr>
            <w:tcW w:w="737" w:type="dxa"/>
          </w:tcPr>
          <w:p w14:paraId="7546F13C" w14:textId="77777777" w:rsidR="009D4A93" w:rsidRPr="00536CFD" w:rsidRDefault="009D4A93" w:rsidP="009D4A93">
            <w:pPr>
              <w:spacing w:after="0"/>
              <w:jc w:val="center"/>
            </w:pPr>
            <w:r w:rsidRPr="00536CFD">
              <w:t>21.52</w:t>
            </w:r>
          </w:p>
        </w:tc>
        <w:tc>
          <w:tcPr>
            <w:tcW w:w="738" w:type="dxa"/>
          </w:tcPr>
          <w:p w14:paraId="3DA1889A" w14:textId="77777777" w:rsidR="009D4A93" w:rsidRPr="00536CFD" w:rsidRDefault="009D4A93" w:rsidP="009D4A93">
            <w:pPr>
              <w:spacing w:after="0"/>
              <w:jc w:val="center"/>
            </w:pPr>
            <w:r w:rsidRPr="00536CFD">
              <w:t>29.51</w:t>
            </w:r>
          </w:p>
        </w:tc>
      </w:tr>
      <w:tr w:rsidR="009D4A93" w:rsidRPr="00536CFD" w14:paraId="51CED6E5" w14:textId="77777777" w:rsidTr="009D4A93">
        <w:trPr>
          <w:cantSplit/>
          <w:trHeight w:val="22"/>
        </w:trPr>
        <w:tc>
          <w:tcPr>
            <w:tcW w:w="500" w:type="dxa"/>
            <w:vMerge/>
          </w:tcPr>
          <w:p w14:paraId="697F533E" w14:textId="77777777" w:rsidR="009D4A93" w:rsidRPr="00536CFD" w:rsidRDefault="009D4A93" w:rsidP="009D4A93">
            <w:pPr>
              <w:spacing w:after="0"/>
              <w:jc w:val="center"/>
            </w:pPr>
          </w:p>
        </w:tc>
        <w:tc>
          <w:tcPr>
            <w:tcW w:w="505" w:type="dxa"/>
            <w:vMerge w:val="restart"/>
          </w:tcPr>
          <w:p w14:paraId="54A95627" w14:textId="77777777" w:rsidR="009D4A93" w:rsidRPr="00536CFD" w:rsidRDefault="009D4A93" w:rsidP="009D4A93">
            <w:pPr>
              <w:spacing w:after="0"/>
              <w:jc w:val="center"/>
            </w:pPr>
            <w:r w:rsidRPr="00536CFD">
              <w:t>UL:</w:t>
            </w:r>
          </w:p>
          <w:p w14:paraId="7F5AEDD5" w14:textId="77777777" w:rsidR="009D4A93" w:rsidRPr="00536CFD" w:rsidRDefault="009D4A93" w:rsidP="009D4A93">
            <w:pPr>
              <w:spacing w:after="0"/>
              <w:jc w:val="center"/>
            </w:pPr>
            <w:r w:rsidRPr="00536CFD">
              <w:t>Delay CDF</w:t>
            </w:r>
          </w:p>
          <w:p w14:paraId="5E62F226" w14:textId="77777777" w:rsidR="009D4A93" w:rsidRPr="00536CFD" w:rsidRDefault="009D4A93" w:rsidP="009D4A93">
            <w:pPr>
              <w:spacing w:after="0"/>
              <w:jc w:val="center"/>
            </w:pPr>
            <w:r w:rsidRPr="00536CFD">
              <w:t>[s]</w:t>
            </w:r>
          </w:p>
        </w:tc>
        <w:tc>
          <w:tcPr>
            <w:tcW w:w="505" w:type="dxa"/>
          </w:tcPr>
          <w:p w14:paraId="14F079B1" w14:textId="77777777" w:rsidR="009D4A93" w:rsidRPr="00536CFD" w:rsidRDefault="009D4A93" w:rsidP="009D4A93">
            <w:pPr>
              <w:spacing w:after="0"/>
              <w:jc w:val="center"/>
            </w:pPr>
            <w:r w:rsidRPr="00536CFD">
              <w:t>5%</w:t>
            </w:r>
          </w:p>
        </w:tc>
        <w:tc>
          <w:tcPr>
            <w:tcW w:w="643" w:type="dxa"/>
          </w:tcPr>
          <w:p w14:paraId="687945A1" w14:textId="77777777" w:rsidR="009D4A93" w:rsidRPr="00536CFD" w:rsidRDefault="009D4A93" w:rsidP="009D4A93">
            <w:pPr>
              <w:spacing w:after="0"/>
              <w:jc w:val="center"/>
            </w:pPr>
            <w:r w:rsidRPr="00536CFD">
              <w:t>0.036</w:t>
            </w:r>
          </w:p>
        </w:tc>
        <w:tc>
          <w:tcPr>
            <w:tcW w:w="644" w:type="dxa"/>
          </w:tcPr>
          <w:p w14:paraId="0F711286" w14:textId="77777777" w:rsidR="009D4A93" w:rsidRPr="00536CFD" w:rsidRDefault="009D4A93" w:rsidP="009D4A93">
            <w:pPr>
              <w:spacing w:after="0"/>
              <w:jc w:val="center"/>
            </w:pPr>
            <w:r w:rsidRPr="00536CFD">
              <w:t>0.034</w:t>
            </w:r>
          </w:p>
        </w:tc>
        <w:tc>
          <w:tcPr>
            <w:tcW w:w="644" w:type="dxa"/>
          </w:tcPr>
          <w:p w14:paraId="7FE05AC5" w14:textId="77777777" w:rsidR="009D4A93" w:rsidRPr="00536CFD" w:rsidRDefault="009D4A93" w:rsidP="009D4A93">
            <w:pPr>
              <w:spacing w:after="0"/>
              <w:jc w:val="center"/>
            </w:pPr>
            <w:r w:rsidRPr="00536CFD">
              <w:t>0.034</w:t>
            </w:r>
          </w:p>
        </w:tc>
        <w:tc>
          <w:tcPr>
            <w:tcW w:w="665" w:type="dxa"/>
          </w:tcPr>
          <w:p w14:paraId="5D072B54" w14:textId="77777777" w:rsidR="009D4A93" w:rsidRPr="00536CFD" w:rsidRDefault="009D4A93" w:rsidP="009D4A93">
            <w:pPr>
              <w:spacing w:after="0"/>
              <w:jc w:val="center"/>
            </w:pPr>
            <w:r w:rsidRPr="00536CFD">
              <w:t>0.031</w:t>
            </w:r>
          </w:p>
        </w:tc>
        <w:tc>
          <w:tcPr>
            <w:tcW w:w="694" w:type="dxa"/>
          </w:tcPr>
          <w:p w14:paraId="771627C7" w14:textId="77777777" w:rsidR="009D4A93" w:rsidRPr="00536CFD" w:rsidRDefault="009D4A93" w:rsidP="009D4A93">
            <w:pPr>
              <w:spacing w:after="0"/>
              <w:jc w:val="center"/>
            </w:pPr>
            <w:r w:rsidRPr="00536CFD">
              <w:t>0.096</w:t>
            </w:r>
          </w:p>
        </w:tc>
        <w:tc>
          <w:tcPr>
            <w:tcW w:w="715" w:type="dxa"/>
          </w:tcPr>
          <w:p w14:paraId="2800FD92" w14:textId="77777777" w:rsidR="009D4A93" w:rsidRPr="00536CFD" w:rsidRDefault="009D4A93" w:rsidP="009D4A93">
            <w:pPr>
              <w:spacing w:after="0"/>
              <w:jc w:val="center"/>
            </w:pPr>
            <w:r w:rsidRPr="00536CFD">
              <w:t>0.098</w:t>
            </w:r>
          </w:p>
        </w:tc>
        <w:tc>
          <w:tcPr>
            <w:tcW w:w="715" w:type="dxa"/>
          </w:tcPr>
          <w:p w14:paraId="490CA2AE" w14:textId="77777777" w:rsidR="009D4A93" w:rsidRPr="00536CFD" w:rsidRDefault="009D4A93" w:rsidP="009D4A93">
            <w:pPr>
              <w:spacing w:after="0"/>
              <w:jc w:val="center"/>
            </w:pPr>
            <w:r w:rsidRPr="00536CFD">
              <w:t>0.110</w:t>
            </w:r>
          </w:p>
        </w:tc>
        <w:tc>
          <w:tcPr>
            <w:tcW w:w="715" w:type="dxa"/>
          </w:tcPr>
          <w:p w14:paraId="04C9C27C" w14:textId="77777777" w:rsidR="009D4A93" w:rsidRPr="00536CFD" w:rsidRDefault="009D4A93" w:rsidP="009D4A93">
            <w:pPr>
              <w:spacing w:after="0"/>
              <w:jc w:val="center"/>
            </w:pPr>
            <w:r w:rsidRPr="00536CFD">
              <w:t>0.103</w:t>
            </w:r>
          </w:p>
        </w:tc>
        <w:tc>
          <w:tcPr>
            <w:tcW w:w="737" w:type="dxa"/>
          </w:tcPr>
          <w:p w14:paraId="4B36B748" w14:textId="77777777" w:rsidR="009D4A93" w:rsidRPr="00536CFD" w:rsidRDefault="009D4A93" w:rsidP="009D4A93">
            <w:pPr>
              <w:spacing w:after="0"/>
              <w:jc w:val="center"/>
            </w:pPr>
            <w:r w:rsidRPr="00536CFD">
              <w:t>0.177</w:t>
            </w:r>
          </w:p>
        </w:tc>
        <w:tc>
          <w:tcPr>
            <w:tcW w:w="738" w:type="dxa"/>
          </w:tcPr>
          <w:p w14:paraId="0D2233C1" w14:textId="77777777" w:rsidR="009D4A93" w:rsidRPr="00536CFD" w:rsidRDefault="009D4A93" w:rsidP="009D4A93">
            <w:pPr>
              <w:spacing w:after="0"/>
              <w:jc w:val="center"/>
            </w:pPr>
            <w:r w:rsidRPr="00536CFD">
              <w:t>0.186</w:t>
            </w:r>
          </w:p>
        </w:tc>
        <w:tc>
          <w:tcPr>
            <w:tcW w:w="737" w:type="dxa"/>
          </w:tcPr>
          <w:p w14:paraId="74282A7C" w14:textId="77777777" w:rsidR="009D4A93" w:rsidRPr="00536CFD" w:rsidRDefault="009D4A93" w:rsidP="009D4A93">
            <w:pPr>
              <w:spacing w:after="0"/>
              <w:jc w:val="center"/>
            </w:pPr>
            <w:r w:rsidRPr="00536CFD">
              <w:t>0.251</w:t>
            </w:r>
          </w:p>
        </w:tc>
        <w:tc>
          <w:tcPr>
            <w:tcW w:w="738" w:type="dxa"/>
          </w:tcPr>
          <w:p w14:paraId="43F2B9CD" w14:textId="77777777" w:rsidR="009D4A93" w:rsidRPr="00536CFD" w:rsidRDefault="009D4A93" w:rsidP="009D4A93">
            <w:pPr>
              <w:spacing w:after="0"/>
              <w:jc w:val="center"/>
            </w:pPr>
            <w:r w:rsidRPr="00536CFD">
              <w:t>0.230</w:t>
            </w:r>
          </w:p>
        </w:tc>
      </w:tr>
      <w:tr w:rsidR="009D4A93" w:rsidRPr="00536CFD" w14:paraId="6FD8CD7D" w14:textId="77777777" w:rsidTr="009D4A93">
        <w:trPr>
          <w:cantSplit/>
          <w:trHeight w:val="22"/>
        </w:trPr>
        <w:tc>
          <w:tcPr>
            <w:tcW w:w="500" w:type="dxa"/>
            <w:vMerge/>
          </w:tcPr>
          <w:p w14:paraId="0716FED7" w14:textId="77777777" w:rsidR="009D4A93" w:rsidRPr="00536CFD" w:rsidRDefault="009D4A93" w:rsidP="009D4A93">
            <w:pPr>
              <w:spacing w:after="0"/>
              <w:jc w:val="center"/>
            </w:pPr>
          </w:p>
        </w:tc>
        <w:tc>
          <w:tcPr>
            <w:tcW w:w="505" w:type="dxa"/>
            <w:vMerge/>
          </w:tcPr>
          <w:p w14:paraId="183B23F2" w14:textId="77777777" w:rsidR="009D4A93" w:rsidRPr="00536CFD" w:rsidRDefault="009D4A93" w:rsidP="009D4A93">
            <w:pPr>
              <w:spacing w:after="0"/>
              <w:jc w:val="center"/>
            </w:pPr>
          </w:p>
        </w:tc>
        <w:tc>
          <w:tcPr>
            <w:tcW w:w="505" w:type="dxa"/>
          </w:tcPr>
          <w:p w14:paraId="2FDECA57" w14:textId="77777777" w:rsidR="009D4A93" w:rsidRPr="00536CFD" w:rsidRDefault="009D4A93" w:rsidP="009D4A93">
            <w:pPr>
              <w:spacing w:after="0"/>
              <w:jc w:val="center"/>
            </w:pPr>
            <w:r w:rsidRPr="00536CFD">
              <w:t>50%</w:t>
            </w:r>
          </w:p>
        </w:tc>
        <w:tc>
          <w:tcPr>
            <w:tcW w:w="643" w:type="dxa"/>
          </w:tcPr>
          <w:p w14:paraId="110533C4" w14:textId="77777777" w:rsidR="009D4A93" w:rsidRPr="00536CFD" w:rsidRDefault="009D4A93" w:rsidP="009D4A93">
            <w:pPr>
              <w:spacing w:after="0"/>
              <w:jc w:val="center"/>
            </w:pPr>
            <w:r w:rsidRPr="00536CFD">
              <w:t>0.092</w:t>
            </w:r>
          </w:p>
        </w:tc>
        <w:tc>
          <w:tcPr>
            <w:tcW w:w="644" w:type="dxa"/>
          </w:tcPr>
          <w:p w14:paraId="0F9F969C" w14:textId="77777777" w:rsidR="009D4A93" w:rsidRPr="00536CFD" w:rsidRDefault="009D4A93" w:rsidP="009D4A93">
            <w:pPr>
              <w:spacing w:after="0"/>
              <w:jc w:val="center"/>
            </w:pPr>
            <w:r w:rsidRPr="00536CFD">
              <w:t>0.066</w:t>
            </w:r>
          </w:p>
        </w:tc>
        <w:tc>
          <w:tcPr>
            <w:tcW w:w="644" w:type="dxa"/>
          </w:tcPr>
          <w:p w14:paraId="78619F2F" w14:textId="77777777" w:rsidR="009D4A93" w:rsidRPr="00536CFD" w:rsidRDefault="009D4A93" w:rsidP="009D4A93">
            <w:pPr>
              <w:spacing w:after="0"/>
              <w:jc w:val="center"/>
            </w:pPr>
            <w:r w:rsidRPr="00536CFD">
              <w:t>0.111</w:t>
            </w:r>
          </w:p>
        </w:tc>
        <w:tc>
          <w:tcPr>
            <w:tcW w:w="665" w:type="dxa"/>
          </w:tcPr>
          <w:p w14:paraId="5424B6F9" w14:textId="77777777" w:rsidR="009D4A93" w:rsidRPr="00536CFD" w:rsidRDefault="009D4A93" w:rsidP="009D4A93">
            <w:pPr>
              <w:spacing w:after="0"/>
              <w:jc w:val="center"/>
            </w:pPr>
            <w:r w:rsidRPr="00536CFD">
              <w:t>0.062</w:t>
            </w:r>
          </w:p>
        </w:tc>
        <w:tc>
          <w:tcPr>
            <w:tcW w:w="694" w:type="dxa"/>
          </w:tcPr>
          <w:p w14:paraId="1F8C53B0" w14:textId="77777777" w:rsidR="009D4A93" w:rsidRPr="00536CFD" w:rsidRDefault="009D4A93" w:rsidP="009D4A93">
            <w:pPr>
              <w:spacing w:after="0"/>
              <w:jc w:val="center"/>
            </w:pPr>
            <w:r w:rsidRPr="00536CFD">
              <w:t>0.418</w:t>
            </w:r>
          </w:p>
        </w:tc>
        <w:tc>
          <w:tcPr>
            <w:tcW w:w="715" w:type="dxa"/>
          </w:tcPr>
          <w:p w14:paraId="6573499F" w14:textId="77777777" w:rsidR="009D4A93" w:rsidRPr="00536CFD" w:rsidRDefault="009D4A93" w:rsidP="009D4A93">
            <w:pPr>
              <w:spacing w:after="0"/>
              <w:jc w:val="center"/>
            </w:pPr>
            <w:r w:rsidRPr="00536CFD">
              <w:t>0.451</w:t>
            </w:r>
          </w:p>
        </w:tc>
        <w:tc>
          <w:tcPr>
            <w:tcW w:w="715" w:type="dxa"/>
          </w:tcPr>
          <w:p w14:paraId="12DC4BEE" w14:textId="77777777" w:rsidR="009D4A93" w:rsidRPr="00536CFD" w:rsidRDefault="009D4A93" w:rsidP="009D4A93">
            <w:pPr>
              <w:spacing w:after="0"/>
              <w:jc w:val="center"/>
            </w:pPr>
            <w:r w:rsidRPr="00536CFD">
              <w:t>0.990</w:t>
            </w:r>
          </w:p>
        </w:tc>
        <w:tc>
          <w:tcPr>
            <w:tcW w:w="715" w:type="dxa"/>
          </w:tcPr>
          <w:p w14:paraId="2859A3E8" w14:textId="77777777" w:rsidR="009D4A93" w:rsidRPr="00536CFD" w:rsidRDefault="009D4A93" w:rsidP="009D4A93">
            <w:pPr>
              <w:spacing w:after="0"/>
              <w:jc w:val="center"/>
            </w:pPr>
            <w:r w:rsidRPr="00536CFD">
              <w:t>0.483</w:t>
            </w:r>
          </w:p>
        </w:tc>
        <w:tc>
          <w:tcPr>
            <w:tcW w:w="737" w:type="dxa"/>
          </w:tcPr>
          <w:p w14:paraId="11F1C8D6" w14:textId="77777777" w:rsidR="009D4A93" w:rsidRPr="00536CFD" w:rsidRDefault="009D4A93" w:rsidP="009D4A93">
            <w:pPr>
              <w:spacing w:after="0"/>
              <w:jc w:val="center"/>
            </w:pPr>
            <w:r w:rsidRPr="00536CFD">
              <w:t>0.959</w:t>
            </w:r>
          </w:p>
        </w:tc>
        <w:tc>
          <w:tcPr>
            <w:tcW w:w="738" w:type="dxa"/>
          </w:tcPr>
          <w:p w14:paraId="03B26D26" w14:textId="77777777" w:rsidR="009D4A93" w:rsidRPr="00536CFD" w:rsidRDefault="009D4A93" w:rsidP="009D4A93">
            <w:pPr>
              <w:spacing w:after="0"/>
              <w:jc w:val="center"/>
            </w:pPr>
            <w:r w:rsidRPr="00536CFD">
              <w:t>1.234</w:t>
            </w:r>
          </w:p>
        </w:tc>
        <w:tc>
          <w:tcPr>
            <w:tcW w:w="737" w:type="dxa"/>
          </w:tcPr>
          <w:p w14:paraId="6F11EF24" w14:textId="77777777" w:rsidR="009D4A93" w:rsidRPr="00536CFD" w:rsidRDefault="009D4A93" w:rsidP="009D4A93">
            <w:pPr>
              <w:spacing w:after="0"/>
              <w:jc w:val="center"/>
            </w:pPr>
            <w:r w:rsidRPr="00536CFD">
              <w:t>2.254</w:t>
            </w:r>
          </w:p>
        </w:tc>
        <w:tc>
          <w:tcPr>
            <w:tcW w:w="738" w:type="dxa"/>
          </w:tcPr>
          <w:p w14:paraId="1E103BF4" w14:textId="77777777" w:rsidR="009D4A93" w:rsidRPr="00536CFD" w:rsidRDefault="009D4A93" w:rsidP="009D4A93">
            <w:pPr>
              <w:spacing w:after="0"/>
              <w:jc w:val="center"/>
            </w:pPr>
            <w:r w:rsidRPr="00536CFD">
              <w:t>1.306</w:t>
            </w:r>
          </w:p>
        </w:tc>
      </w:tr>
      <w:tr w:rsidR="009D4A93" w:rsidRPr="00536CFD" w14:paraId="00135186" w14:textId="77777777" w:rsidTr="009D4A93">
        <w:trPr>
          <w:cantSplit/>
          <w:trHeight w:val="22"/>
        </w:trPr>
        <w:tc>
          <w:tcPr>
            <w:tcW w:w="500" w:type="dxa"/>
            <w:vMerge/>
          </w:tcPr>
          <w:p w14:paraId="6B502A0C" w14:textId="77777777" w:rsidR="009D4A93" w:rsidRPr="00536CFD" w:rsidRDefault="009D4A93" w:rsidP="009D4A93">
            <w:pPr>
              <w:spacing w:after="0"/>
              <w:jc w:val="center"/>
            </w:pPr>
          </w:p>
        </w:tc>
        <w:tc>
          <w:tcPr>
            <w:tcW w:w="505" w:type="dxa"/>
            <w:vMerge/>
          </w:tcPr>
          <w:p w14:paraId="7D69EF17" w14:textId="77777777" w:rsidR="009D4A93" w:rsidRPr="00536CFD" w:rsidRDefault="009D4A93" w:rsidP="009D4A93">
            <w:pPr>
              <w:spacing w:after="0"/>
              <w:jc w:val="center"/>
            </w:pPr>
          </w:p>
        </w:tc>
        <w:tc>
          <w:tcPr>
            <w:tcW w:w="505" w:type="dxa"/>
          </w:tcPr>
          <w:p w14:paraId="64063260" w14:textId="77777777" w:rsidR="009D4A93" w:rsidRPr="00536CFD" w:rsidRDefault="009D4A93" w:rsidP="009D4A93">
            <w:pPr>
              <w:spacing w:after="0"/>
              <w:jc w:val="center"/>
            </w:pPr>
            <w:r w:rsidRPr="00536CFD">
              <w:t>95%</w:t>
            </w:r>
          </w:p>
        </w:tc>
        <w:tc>
          <w:tcPr>
            <w:tcW w:w="643" w:type="dxa"/>
          </w:tcPr>
          <w:p w14:paraId="5CC771CD" w14:textId="77777777" w:rsidR="009D4A93" w:rsidRPr="00536CFD" w:rsidRDefault="009D4A93" w:rsidP="009D4A93">
            <w:pPr>
              <w:spacing w:after="0"/>
              <w:jc w:val="center"/>
            </w:pPr>
            <w:r w:rsidRPr="00536CFD">
              <w:t>0.366</w:t>
            </w:r>
          </w:p>
        </w:tc>
        <w:tc>
          <w:tcPr>
            <w:tcW w:w="644" w:type="dxa"/>
          </w:tcPr>
          <w:p w14:paraId="6A65B903" w14:textId="77777777" w:rsidR="009D4A93" w:rsidRPr="00536CFD" w:rsidRDefault="009D4A93" w:rsidP="009D4A93">
            <w:pPr>
              <w:spacing w:after="0"/>
              <w:jc w:val="center"/>
            </w:pPr>
            <w:r w:rsidRPr="00536CFD">
              <w:t>0.242</w:t>
            </w:r>
          </w:p>
        </w:tc>
        <w:tc>
          <w:tcPr>
            <w:tcW w:w="644" w:type="dxa"/>
          </w:tcPr>
          <w:p w14:paraId="5B778560" w14:textId="77777777" w:rsidR="009D4A93" w:rsidRPr="00536CFD" w:rsidRDefault="009D4A93" w:rsidP="009D4A93">
            <w:pPr>
              <w:spacing w:after="0"/>
              <w:jc w:val="center"/>
            </w:pPr>
            <w:r w:rsidRPr="00536CFD">
              <w:t>0.520</w:t>
            </w:r>
          </w:p>
        </w:tc>
        <w:tc>
          <w:tcPr>
            <w:tcW w:w="665" w:type="dxa"/>
          </w:tcPr>
          <w:p w14:paraId="13449330" w14:textId="77777777" w:rsidR="009D4A93" w:rsidRPr="00536CFD" w:rsidRDefault="009D4A93" w:rsidP="009D4A93">
            <w:pPr>
              <w:spacing w:after="0"/>
              <w:jc w:val="center"/>
            </w:pPr>
            <w:r w:rsidRPr="00536CFD">
              <w:t>0.221</w:t>
            </w:r>
          </w:p>
        </w:tc>
        <w:tc>
          <w:tcPr>
            <w:tcW w:w="694" w:type="dxa"/>
          </w:tcPr>
          <w:p w14:paraId="48CF4DB6" w14:textId="77777777" w:rsidR="009D4A93" w:rsidRPr="00536CFD" w:rsidRDefault="009D4A93" w:rsidP="009D4A93">
            <w:pPr>
              <w:spacing w:after="0"/>
              <w:jc w:val="center"/>
            </w:pPr>
            <w:r w:rsidRPr="00536CFD">
              <w:t>3.540</w:t>
            </w:r>
          </w:p>
        </w:tc>
        <w:tc>
          <w:tcPr>
            <w:tcW w:w="715" w:type="dxa"/>
          </w:tcPr>
          <w:p w14:paraId="53E51E93" w14:textId="77777777" w:rsidR="009D4A93" w:rsidRPr="00536CFD" w:rsidRDefault="009D4A93" w:rsidP="009D4A93">
            <w:pPr>
              <w:spacing w:after="0"/>
              <w:jc w:val="center"/>
            </w:pPr>
            <w:r w:rsidRPr="00536CFD">
              <w:t>1.903</w:t>
            </w:r>
          </w:p>
        </w:tc>
        <w:tc>
          <w:tcPr>
            <w:tcW w:w="715" w:type="dxa"/>
          </w:tcPr>
          <w:p w14:paraId="17D2D6FB" w14:textId="77777777" w:rsidR="009D4A93" w:rsidRPr="00536CFD" w:rsidRDefault="009D4A93" w:rsidP="009D4A93">
            <w:pPr>
              <w:spacing w:after="0"/>
              <w:jc w:val="center"/>
            </w:pPr>
            <w:r w:rsidRPr="00536CFD">
              <w:t>4.595</w:t>
            </w:r>
          </w:p>
        </w:tc>
        <w:tc>
          <w:tcPr>
            <w:tcW w:w="715" w:type="dxa"/>
          </w:tcPr>
          <w:p w14:paraId="0E8E0C0A" w14:textId="77777777" w:rsidR="009D4A93" w:rsidRPr="00536CFD" w:rsidRDefault="009D4A93" w:rsidP="009D4A93">
            <w:pPr>
              <w:spacing w:after="0"/>
              <w:jc w:val="center"/>
            </w:pPr>
            <w:r w:rsidRPr="00536CFD">
              <w:t>2.210</w:t>
            </w:r>
          </w:p>
        </w:tc>
        <w:tc>
          <w:tcPr>
            <w:tcW w:w="737" w:type="dxa"/>
          </w:tcPr>
          <w:p w14:paraId="7A709F97" w14:textId="77777777" w:rsidR="009D4A93" w:rsidRPr="00536CFD" w:rsidRDefault="009D4A93" w:rsidP="009D4A93">
            <w:pPr>
              <w:spacing w:after="0"/>
              <w:jc w:val="center"/>
            </w:pPr>
            <w:r w:rsidRPr="00536CFD">
              <w:t>6.068</w:t>
            </w:r>
          </w:p>
        </w:tc>
        <w:tc>
          <w:tcPr>
            <w:tcW w:w="738" w:type="dxa"/>
          </w:tcPr>
          <w:p w14:paraId="4DA75A64" w14:textId="77777777" w:rsidR="009D4A93" w:rsidRPr="00536CFD" w:rsidRDefault="009D4A93" w:rsidP="009D4A93">
            <w:pPr>
              <w:spacing w:after="0"/>
              <w:jc w:val="center"/>
            </w:pPr>
            <w:r w:rsidRPr="00536CFD">
              <w:t>5.078</w:t>
            </w:r>
          </w:p>
        </w:tc>
        <w:tc>
          <w:tcPr>
            <w:tcW w:w="737" w:type="dxa"/>
          </w:tcPr>
          <w:p w14:paraId="284395F5" w14:textId="77777777" w:rsidR="009D4A93" w:rsidRPr="00536CFD" w:rsidRDefault="009D4A93" w:rsidP="009D4A93">
            <w:pPr>
              <w:spacing w:after="0"/>
              <w:jc w:val="center"/>
            </w:pPr>
            <w:r w:rsidRPr="00536CFD">
              <w:t>9.311</w:t>
            </w:r>
          </w:p>
        </w:tc>
        <w:tc>
          <w:tcPr>
            <w:tcW w:w="738" w:type="dxa"/>
          </w:tcPr>
          <w:p w14:paraId="43DC937F" w14:textId="77777777" w:rsidR="009D4A93" w:rsidRPr="00536CFD" w:rsidRDefault="009D4A93" w:rsidP="009D4A93">
            <w:pPr>
              <w:spacing w:after="0"/>
              <w:jc w:val="center"/>
            </w:pPr>
            <w:r w:rsidRPr="00536CFD">
              <w:t>6.682</w:t>
            </w:r>
          </w:p>
        </w:tc>
      </w:tr>
      <w:tr w:rsidR="009D4A93" w:rsidRPr="00536CFD" w14:paraId="75E7156C" w14:textId="77777777" w:rsidTr="009D4A93">
        <w:trPr>
          <w:cantSplit/>
          <w:trHeight w:val="22"/>
        </w:trPr>
        <w:tc>
          <w:tcPr>
            <w:tcW w:w="500" w:type="dxa"/>
            <w:vMerge/>
          </w:tcPr>
          <w:p w14:paraId="002B21C1" w14:textId="77777777" w:rsidR="009D4A93" w:rsidRPr="00536CFD" w:rsidRDefault="009D4A93" w:rsidP="009D4A93">
            <w:pPr>
              <w:spacing w:after="0"/>
              <w:jc w:val="center"/>
            </w:pPr>
          </w:p>
        </w:tc>
        <w:tc>
          <w:tcPr>
            <w:tcW w:w="505" w:type="dxa"/>
            <w:vMerge/>
          </w:tcPr>
          <w:p w14:paraId="11BA92B4" w14:textId="77777777" w:rsidR="009D4A93" w:rsidRPr="00536CFD" w:rsidRDefault="009D4A93" w:rsidP="009D4A93">
            <w:pPr>
              <w:spacing w:after="0"/>
              <w:jc w:val="center"/>
            </w:pPr>
          </w:p>
        </w:tc>
        <w:tc>
          <w:tcPr>
            <w:tcW w:w="505" w:type="dxa"/>
          </w:tcPr>
          <w:p w14:paraId="3D9ABD41" w14:textId="77777777" w:rsidR="009D4A93" w:rsidRPr="00536CFD" w:rsidRDefault="009D4A93" w:rsidP="009D4A93">
            <w:pPr>
              <w:spacing w:after="0"/>
              <w:jc w:val="center"/>
            </w:pPr>
            <w:r w:rsidRPr="00536CFD">
              <w:t>Mean</w:t>
            </w:r>
          </w:p>
        </w:tc>
        <w:tc>
          <w:tcPr>
            <w:tcW w:w="643" w:type="dxa"/>
          </w:tcPr>
          <w:p w14:paraId="745B3E6D" w14:textId="77777777" w:rsidR="009D4A93" w:rsidRPr="00536CFD" w:rsidRDefault="009D4A93" w:rsidP="009D4A93">
            <w:pPr>
              <w:spacing w:after="0"/>
              <w:jc w:val="center"/>
            </w:pPr>
            <w:r w:rsidRPr="00536CFD">
              <w:t>0.172</w:t>
            </w:r>
          </w:p>
        </w:tc>
        <w:tc>
          <w:tcPr>
            <w:tcW w:w="644" w:type="dxa"/>
          </w:tcPr>
          <w:p w14:paraId="6B76D74D" w14:textId="77777777" w:rsidR="009D4A93" w:rsidRPr="00536CFD" w:rsidRDefault="009D4A93" w:rsidP="009D4A93">
            <w:pPr>
              <w:spacing w:after="0"/>
              <w:jc w:val="center"/>
            </w:pPr>
            <w:r w:rsidRPr="00536CFD">
              <w:t>0.113</w:t>
            </w:r>
          </w:p>
        </w:tc>
        <w:tc>
          <w:tcPr>
            <w:tcW w:w="644" w:type="dxa"/>
          </w:tcPr>
          <w:p w14:paraId="492EA0FB" w14:textId="77777777" w:rsidR="009D4A93" w:rsidRPr="00536CFD" w:rsidRDefault="009D4A93" w:rsidP="009D4A93">
            <w:pPr>
              <w:spacing w:after="0"/>
              <w:jc w:val="center"/>
            </w:pPr>
            <w:r w:rsidRPr="00536CFD">
              <w:t>0.211</w:t>
            </w:r>
          </w:p>
        </w:tc>
        <w:tc>
          <w:tcPr>
            <w:tcW w:w="665" w:type="dxa"/>
          </w:tcPr>
          <w:p w14:paraId="1CE28857" w14:textId="77777777" w:rsidR="009D4A93" w:rsidRPr="00536CFD" w:rsidRDefault="009D4A93" w:rsidP="009D4A93">
            <w:pPr>
              <w:spacing w:after="0"/>
              <w:jc w:val="center"/>
            </w:pPr>
            <w:r w:rsidRPr="00536CFD">
              <w:t>0.102</w:t>
            </w:r>
          </w:p>
        </w:tc>
        <w:tc>
          <w:tcPr>
            <w:tcW w:w="694" w:type="dxa"/>
          </w:tcPr>
          <w:p w14:paraId="39952C33" w14:textId="77777777" w:rsidR="009D4A93" w:rsidRPr="00536CFD" w:rsidRDefault="009D4A93" w:rsidP="009D4A93">
            <w:pPr>
              <w:spacing w:after="0"/>
              <w:jc w:val="center"/>
            </w:pPr>
            <w:r w:rsidRPr="00536CFD">
              <w:t>1.167</w:t>
            </w:r>
          </w:p>
        </w:tc>
        <w:tc>
          <w:tcPr>
            <w:tcW w:w="715" w:type="dxa"/>
          </w:tcPr>
          <w:p w14:paraId="2ACD7C04" w14:textId="77777777" w:rsidR="009D4A93" w:rsidRPr="00536CFD" w:rsidRDefault="009D4A93" w:rsidP="009D4A93">
            <w:pPr>
              <w:spacing w:after="0"/>
              <w:jc w:val="center"/>
            </w:pPr>
            <w:r w:rsidRPr="00536CFD">
              <w:t>0.825</w:t>
            </w:r>
          </w:p>
        </w:tc>
        <w:tc>
          <w:tcPr>
            <w:tcW w:w="715" w:type="dxa"/>
          </w:tcPr>
          <w:p w14:paraId="281B76FA" w14:textId="77777777" w:rsidR="009D4A93" w:rsidRPr="00536CFD" w:rsidRDefault="009D4A93" w:rsidP="009D4A93">
            <w:pPr>
              <w:spacing w:after="0"/>
              <w:jc w:val="center"/>
            </w:pPr>
            <w:r w:rsidRPr="00536CFD">
              <w:t>1.917</w:t>
            </w:r>
          </w:p>
        </w:tc>
        <w:tc>
          <w:tcPr>
            <w:tcW w:w="715" w:type="dxa"/>
          </w:tcPr>
          <w:p w14:paraId="40B02046" w14:textId="77777777" w:rsidR="009D4A93" w:rsidRPr="00536CFD" w:rsidRDefault="009D4A93" w:rsidP="009D4A93">
            <w:pPr>
              <w:spacing w:after="0"/>
              <w:jc w:val="center"/>
            </w:pPr>
            <w:r w:rsidRPr="00536CFD">
              <w:t>0.934</w:t>
            </w:r>
          </w:p>
        </w:tc>
        <w:tc>
          <w:tcPr>
            <w:tcW w:w="737" w:type="dxa"/>
          </w:tcPr>
          <w:p w14:paraId="3FD2F3E6" w14:textId="77777777" w:rsidR="009D4A93" w:rsidRPr="00536CFD" w:rsidRDefault="009D4A93" w:rsidP="009D4A93">
            <w:pPr>
              <w:spacing w:after="0"/>
              <w:jc w:val="center"/>
            </w:pPr>
            <w:r w:rsidRPr="00536CFD">
              <w:t>2.243</w:t>
            </w:r>
          </w:p>
        </w:tc>
        <w:tc>
          <w:tcPr>
            <w:tcW w:w="738" w:type="dxa"/>
          </w:tcPr>
          <w:p w14:paraId="1AE3898F" w14:textId="77777777" w:rsidR="009D4A93" w:rsidRPr="00536CFD" w:rsidRDefault="009D4A93" w:rsidP="009D4A93">
            <w:pPr>
              <w:spacing w:after="0"/>
              <w:jc w:val="center"/>
            </w:pPr>
            <w:r w:rsidRPr="00536CFD">
              <w:t>2.153</w:t>
            </w:r>
          </w:p>
        </w:tc>
        <w:tc>
          <w:tcPr>
            <w:tcW w:w="737" w:type="dxa"/>
          </w:tcPr>
          <w:p w14:paraId="262105F9" w14:textId="77777777" w:rsidR="009D4A93" w:rsidRPr="00536CFD" w:rsidRDefault="009D4A93" w:rsidP="009D4A93">
            <w:pPr>
              <w:spacing w:after="0"/>
              <w:jc w:val="center"/>
            </w:pPr>
            <w:r w:rsidRPr="00536CFD">
              <w:t>3.820</w:t>
            </w:r>
          </w:p>
        </w:tc>
        <w:tc>
          <w:tcPr>
            <w:tcW w:w="738" w:type="dxa"/>
          </w:tcPr>
          <w:p w14:paraId="5BEEDED2" w14:textId="77777777" w:rsidR="009D4A93" w:rsidRPr="00536CFD" w:rsidRDefault="009D4A93" w:rsidP="009D4A93">
            <w:pPr>
              <w:spacing w:after="0"/>
              <w:jc w:val="center"/>
            </w:pPr>
            <w:r w:rsidRPr="00536CFD">
              <w:t>2.599</w:t>
            </w:r>
          </w:p>
        </w:tc>
      </w:tr>
      <w:tr w:rsidR="009D4A93" w:rsidRPr="00536CFD" w14:paraId="5555E0CD" w14:textId="77777777" w:rsidTr="009D4A93">
        <w:trPr>
          <w:cantSplit/>
          <w:trHeight w:val="22"/>
        </w:trPr>
        <w:tc>
          <w:tcPr>
            <w:tcW w:w="500" w:type="dxa"/>
            <w:vMerge/>
          </w:tcPr>
          <w:p w14:paraId="3D2DC918" w14:textId="77777777" w:rsidR="009D4A93" w:rsidRPr="00536CFD" w:rsidRDefault="009D4A93" w:rsidP="009D4A93">
            <w:pPr>
              <w:spacing w:after="0"/>
              <w:jc w:val="center"/>
            </w:pPr>
          </w:p>
        </w:tc>
        <w:tc>
          <w:tcPr>
            <w:tcW w:w="1010" w:type="dxa"/>
            <w:gridSpan w:val="2"/>
          </w:tcPr>
          <w:p w14:paraId="2088771C" w14:textId="77777777" w:rsidR="009D4A93" w:rsidRPr="00536CFD" w:rsidRDefault="009D4A93" w:rsidP="009D4A93">
            <w:pPr>
              <w:spacing w:after="0"/>
              <w:jc w:val="center"/>
            </w:pPr>
            <w:r w:rsidRPr="00536CFD">
              <w:rPr>
                <w:rFonts w:ascii="Cambria Math" w:hAnsi="Cambria Math" w:cs="Cambria Math"/>
              </w:rPr>
              <w:t>𝜌</w:t>
            </w:r>
            <w:r w:rsidRPr="00536CFD">
              <w:rPr>
                <w:vertAlign w:val="subscript"/>
              </w:rPr>
              <w:t>DL</w:t>
            </w:r>
          </w:p>
        </w:tc>
        <w:tc>
          <w:tcPr>
            <w:tcW w:w="643" w:type="dxa"/>
          </w:tcPr>
          <w:p w14:paraId="2E4E3B66" w14:textId="77777777" w:rsidR="009D4A93" w:rsidRPr="00536CFD" w:rsidRDefault="009D4A93" w:rsidP="009D4A93">
            <w:pPr>
              <w:spacing w:after="0"/>
              <w:jc w:val="center"/>
            </w:pPr>
            <w:r w:rsidRPr="00536CFD">
              <w:t>99.7%</w:t>
            </w:r>
          </w:p>
        </w:tc>
        <w:tc>
          <w:tcPr>
            <w:tcW w:w="644" w:type="dxa"/>
          </w:tcPr>
          <w:p w14:paraId="0A4983D0" w14:textId="77777777" w:rsidR="009D4A93" w:rsidRPr="00536CFD" w:rsidRDefault="009D4A93" w:rsidP="009D4A93">
            <w:pPr>
              <w:spacing w:after="0"/>
              <w:jc w:val="center"/>
            </w:pPr>
            <w:r w:rsidRPr="00536CFD">
              <w:t>99.7%</w:t>
            </w:r>
          </w:p>
        </w:tc>
        <w:tc>
          <w:tcPr>
            <w:tcW w:w="644" w:type="dxa"/>
          </w:tcPr>
          <w:p w14:paraId="4152682D" w14:textId="77777777" w:rsidR="009D4A93" w:rsidRPr="00536CFD" w:rsidRDefault="009D4A93" w:rsidP="009D4A93">
            <w:pPr>
              <w:spacing w:after="0"/>
              <w:jc w:val="center"/>
            </w:pPr>
            <w:r w:rsidRPr="00536CFD">
              <w:t>99.8%</w:t>
            </w:r>
          </w:p>
        </w:tc>
        <w:tc>
          <w:tcPr>
            <w:tcW w:w="665" w:type="dxa"/>
          </w:tcPr>
          <w:p w14:paraId="1173673C" w14:textId="77777777" w:rsidR="009D4A93" w:rsidRPr="00536CFD" w:rsidRDefault="009D4A93" w:rsidP="009D4A93">
            <w:pPr>
              <w:spacing w:after="0"/>
              <w:jc w:val="center"/>
            </w:pPr>
            <w:r w:rsidRPr="00536CFD">
              <w:t>99.9%</w:t>
            </w:r>
          </w:p>
        </w:tc>
        <w:tc>
          <w:tcPr>
            <w:tcW w:w="694" w:type="dxa"/>
          </w:tcPr>
          <w:p w14:paraId="134C16F5" w14:textId="77777777" w:rsidR="009D4A93" w:rsidRPr="00536CFD" w:rsidRDefault="009D4A93" w:rsidP="009D4A93">
            <w:pPr>
              <w:spacing w:after="0"/>
              <w:jc w:val="center"/>
            </w:pPr>
            <w:r w:rsidRPr="00536CFD">
              <w:t>94.4%</w:t>
            </w:r>
          </w:p>
        </w:tc>
        <w:tc>
          <w:tcPr>
            <w:tcW w:w="715" w:type="dxa"/>
          </w:tcPr>
          <w:p w14:paraId="69196448" w14:textId="77777777" w:rsidR="009D4A93" w:rsidRPr="00536CFD" w:rsidRDefault="009D4A93" w:rsidP="009D4A93">
            <w:pPr>
              <w:spacing w:after="0"/>
              <w:jc w:val="center"/>
            </w:pPr>
            <w:r w:rsidRPr="00536CFD">
              <w:t>97.1%</w:t>
            </w:r>
          </w:p>
        </w:tc>
        <w:tc>
          <w:tcPr>
            <w:tcW w:w="715" w:type="dxa"/>
          </w:tcPr>
          <w:p w14:paraId="0E290F9A" w14:textId="77777777" w:rsidR="009D4A93" w:rsidRPr="00536CFD" w:rsidRDefault="009D4A93" w:rsidP="009D4A93">
            <w:pPr>
              <w:spacing w:after="0"/>
              <w:jc w:val="center"/>
            </w:pPr>
            <w:r w:rsidRPr="00536CFD">
              <w:t>93.2%</w:t>
            </w:r>
          </w:p>
        </w:tc>
        <w:tc>
          <w:tcPr>
            <w:tcW w:w="715" w:type="dxa"/>
          </w:tcPr>
          <w:p w14:paraId="58483A92" w14:textId="77777777" w:rsidR="009D4A93" w:rsidRPr="00536CFD" w:rsidRDefault="009D4A93" w:rsidP="009D4A93">
            <w:pPr>
              <w:spacing w:after="0"/>
              <w:jc w:val="center"/>
            </w:pPr>
            <w:r w:rsidRPr="00536CFD">
              <w:t>98.8%</w:t>
            </w:r>
          </w:p>
        </w:tc>
        <w:tc>
          <w:tcPr>
            <w:tcW w:w="737" w:type="dxa"/>
          </w:tcPr>
          <w:p w14:paraId="65FBD2A5" w14:textId="77777777" w:rsidR="009D4A93" w:rsidRPr="00536CFD" w:rsidRDefault="009D4A93" w:rsidP="009D4A93">
            <w:pPr>
              <w:spacing w:after="0"/>
              <w:jc w:val="center"/>
            </w:pPr>
            <w:r w:rsidRPr="00536CFD">
              <w:t>86.8%</w:t>
            </w:r>
          </w:p>
        </w:tc>
        <w:tc>
          <w:tcPr>
            <w:tcW w:w="738" w:type="dxa"/>
          </w:tcPr>
          <w:p w14:paraId="08CCFB75" w14:textId="77777777" w:rsidR="009D4A93" w:rsidRPr="00536CFD" w:rsidRDefault="009D4A93" w:rsidP="009D4A93">
            <w:pPr>
              <w:spacing w:after="0"/>
              <w:jc w:val="center"/>
            </w:pPr>
            <w:r w:rsidRPr="00536CFD">
              <w:t>89.6%</w:t>
            </w:r>
          </w:p>
        </w:tc>
        <w:tc>
          <w:tcPr>
            <w:tcW w:w="737" w:type="dxa"/>
          </w:tcPr>
          <w:p w14:paraId="3AD7601E" w14:textId="77777777" w:rsidR="009D4A93" w:rsidRPr="00536CFD" w:rsidRDefault="009D4A93" w:rsidP="009D4A93">
            <w:pPr>
              <w:spacing w:after="0"/>
              <w:jc w:val="center"/>
            </w:pPr>
            <w:r w:rsidRPr="00536CFD">
              <w:t>82.2%</w:t>
            </w:r>
          </w:p>
        </w:tc>
        <w:tc>
          <w:tcPr>
            <w:tcW w:w="738" w:type="dxa"/>
          </w:tcPr>
          <w:p w14:paraId="738F239B" w14:textId="77777777" w:rsidR="009D4A93" w:rsidRPr="00536CFD" w:rsidRDefault="009D4A93" w:rsidP="009D4A93">
            <w:pPr>
              <w:spacing w:after="0"/>
              <w:jc w:val="center"/>
            </w:pPr>
            <w:r w:rsidRPr="00536CFD">
              <w:t>95.1%</w:t>
            </w:r>
          </w:p>
        </w:tc>
      </w:tr>
      <w:tr w:rsidR="009D4A93" w:rsidRPr="00536CFD" w14:paraId="55A1BDE3" w14:textId="77777777" w:rsidTr="009D4A93">
        <w:trPr>
          <w:cantSplit/>
          <w:trHeight w:val="22"/>
        </w:trPr>
        <w:tc>
          <w:tcPr>
            <w:tcW w:w="500" w:type="dxa"/>
            <w:vMerge/>
          </w:tcPr>
          <w:p w14:paraId="5A9DFD1A" w14:textId="77777777" w:rsidR="009D4A93" w:rsidRPr="00536CFD" w:rsidRDefault="009D4A93" w:rsidP="009D4A93">
            <w:pPr>
              <w:spacing w:after="0"/>
              <w:jc w:val="center"/>
            </w:pPr>
          </w:p>
        </w:tc>
        <w:tc>
          <w:tcPr>
            <w:tcW w:w="1010" w:type="dxa"/>
            <w:gridSpan w:val="2"/>
          </w:tcPr>
          <w:p w14:paraId="7A03A61C" w14:textId="77777777" w:rsidR="009D4A93" w:rsidRPr="00536CFD" w:rsidRDefault="009D4A93" w:rsidP="009D4A93">
            <w:pPr>
              <w:spacing w:after="0"/>
              <w:jc w:val="center"/>
            </w:pPr>
            <w:r w:rsidRPr="00536CFD">
              <w:rPr>
                <w:rFonts w:ascii="Cambria Math" w:hAnsi="Cambria Math" w:cs="Cambria Math"/>
              </w:rPr>
              <w:t>𝜌</w:t>
            </w:r>
            <w:r w:rsidRPr="00536CFD">
              <w:rPr>
                <w:vertAlign w:val="subscript"/>
              </w:rPr>
              <w:t>UL</w:t>
            </w:r>
          </w:p>
        </w:tc>
        <w:tc>
          <w:tcPr>
            <w:tcW w:w="643" w:type="dxa"/>
          </w:tcPr>
          <w:p w14:paraId="79086DF0" w14:textId="77777777" w:rsidR="009D4A93" w:rsidRPr="00536CFD" w:rsidRDefault="009D4A93" w:rsidP="009D4A93">
            <w:pPr>
              <w:spacing w:after="0"/>
              <w:jc w:val="center"/>
            </w:pPr>
            <w:r w:rsidRPr="00536CFD">
              <w:t>99.8%</w:t>
            </w:r>
          </w:p>
        </w:tc>
        <w:tc>
          <w:tcPr>
            <w:tcW w:w="644" w:type="dxa"/>
          </w:tcPr>
          <w:p w14:paraId="536E946F" w14:textId="77777777" w:rsidR="009D4A93" w:rsidRPr="00536CFD" w:rsidRDefault="009D4A93" w:rsidP="009D4A93">
            <w:pPr>
              <w:spacing w:after="0"/>
              <w:jc w:val="center"/>
            </w:pPr>
            <w:r w:rsidRPr="00536CFD">
              <w:t>99.9%</w:t>
            </w:r>
          </w:p>
        </w:tc>
        <w:tc>
          <w:tcPr>
            <w:tcW w:w="644" w:type="dxa"/>
          </w:tcPr>
          <w:p w14:paraId="54415717" w14:textId="77777777" w:rsidR="009D4A93" w:rsidRPr="00536CFD" w:rsidRDefault="009D4A93" w:rsidP="009D4A93">
            <w:pPr>
              <w:spacing w:after="0"/>
              <w:jc w:val="center"/>
            </w:pPr>
            <w:r w:rsidRPr="00536CFD">
              <w:t>99.4%</w:t>
            </w:r>
          </w:p>
        </w:tc>
        <w:tc>
          <w:tcPr>
            <w:tcW w:w="665" w:type="dxa"/>
          </w:tcPr>
          <w:p w14:paraId="69B6F55B" w14:textId="77777777" w:rsidR="009D4A93" w:rsidRPr="00536CFD" w:rsidRDefault="009D4A93" w:rsidP="009D4A93">
            <w:pPr>
              <w:spacing w:after="0"/>
              <w:jc w:val="center"/>
            </w:pPr>
            <w:r w:rsidRPr="00536CFD">
              <w:t>99.8%</w:t>
            </w:r>
          </w:p>
        </w:tc>
        <w:tc>
          <w:tcPr>
            <w:tcW w:w="694" w:type="dxa"/>
          </w:tcPr>
          <w:p w14:paraId="2AEF8265" w14:textId="77777777" w:rsidR="009D4A93" w:rsidRPr="00536CFD" w:rsidRDefault="009D4A93" w:rsidP="009D4A93">
            <w:pPr>
              <w:spacing w:after="0"/>
              <w:jc w:val="center"/>
            </w:pPr>
            <w:r w:rsidRPr="00536CFD">
              <w:t>95.7%</w:t>
            </w:r>
          </w:p>
        </w:tc>
        <w:tc>
          <w:tcPr>
            <w:tcW w:w="715" w:type="dxa"/>
          </w:tcPr>
          <w:p w14:paraId="416A2A78" w14:textId="77777777" w:rsidR="009D4A93" w:rsidRPr="00536CFD" w:rsidRDefault="009D4A93" w:rsidP="009D4A93">
            <w:pPr>
              <w:spacing w:after="0"/>
              <w:jc w:val="center"/>
            </w:pPr>
            <w:r w:rsidRPr="00536CFD">
              <w:t>96.9%</w:t>
            </w:r>
          </w:p>
        </w:tc>
        <w:tc>
          <w:tcPr>
            <w:tcW w:w="715" w:type="dxa"/>
          </w:tcPr>
          <w:p w14:paraId="20EC05E7" w14:textId="77777777" w:rsidR="009D4A93" w:rsidRPr="00536CFD" w:rsidRDefault="009D4A93" w:rsidP="009D4A93">
            <w:pPr>
              <w:spacing w:after="0"/>
              <w:jc w:val="center"/>
            </w:pPr>
            <w:r w:rsidRPr="00536CFD">
              <w:t>85%</w:t>
            </w:r>
          </w:p>
        </w:tc>
        <w:tc>
          <w:tcPr>
            <w:tcW w:w="715" w:type="dxa"/>
          </w:tcPr>
          <w:p w14:paraId="19AB2D43" w14:textId="77777777" w:rsidR="009D4A93" w:rsidRPr="00536CFD" w:rsidRDefault="009D4A93" w:rsidP="009D4A93">
            <w:pPr>
              <w:spacing w:after="0"/>
              <w:jc w:val="center"/>
            </w:pPr>
            <w:r w:rsidRPr="00536CFD">
              <w:t>94.7%</w:t>
            </w:r>
          </w:p>
        </w:tc>
        <w:tc>
          <w:tcPr>
            <w:tcW w:w="737" w:type="dxa"/>
          </w:tcPr>
          <w:p w14:paraId="56F41B9C" w14:textId="77777777" w:rsidR="009D4A93" w:rsidRPr="00536CFD" w:rsidRDefault="009D4A93" w:rsidP="009D4A93">
            <w:pPr>
              <w:spacing w:after="0"/>
              <w:jc w:val="center"/>
            </w:pPr>
            <w:r w:rsidRPr="00536CFD">
              <w:t>87.6%</w:t>
            </w:r>
          </w:p>
        </w:tc>
        <w:tc>
          <w:tcPr>
            <w:tcW w:w="738" w:type="dxa"/>
          </w:tcPr>
          <w:p w14:paraId="6DD41951" w14:textId="77777777" w:rsidR="009D4A93" w:rsidRPr="00536CFD" w:rsidRDefault="009D4A93" w:rsidP="009D4A93">
            <w:pPr>
              <w:spacing w:after="0"/>
              <w:jc w:val="center"/>
            </w:pPr>
            <w:r w:rsidRPr="00536CFD">
              <w:t>88.5%</w:t>
            </w:r>
          </w:p>
        </w:tc>
        <w:tc>
          <w:tcPr>
            <w:tcW w:w="737" w:type="dxa"/>
          </w:tcPr>
          <w:p w14:paraId="7CDC3CF8" w14:textId="77777777" w:rsidR="009D4A93" w:rsidRPr="00536CFD" w:rsidRDefault="009D4A93" w:rsidP="009D4A93">
            <w:pPr>
              <w:spacing w:after="0"/>
              <w:jc w:val="center"/>
            </w:pPr>
            <w:r w:rsidRPr="00536CFD">
              <w:t>63.5%</w:t>
            </w:r>
          </w:p>
        </w:tc>
        <w:tc>
          <w:tcPr>
            <w:tcW w:w="738" w:type="dxa"/>
          </w:tcPr>
          <w:p w14:paraId="281C02BC" w14:textId="77777777" w:rsidR="009D4A93" w:rsidRPr="00536CFD" w:rsidRDefault="009D4A93" w:rsidP="009D4A93">
            <w:pPr>
              <w:spacing w:after="0"/>
              <w:jc w:val="center"/>
            </w:pPr>
            <w:r w:rsidRPr="00536CFD">
              <w:t>81.6%</w:t>
            </w:r>
          </w:p>
        </w:tc>
      </w:tr>
      <w:tr w:rsidR="009D4A93" w:rsidRPr="00536CFD" w14:paraId="57A16DEB" w14:textId="77777777" w:rsidTr="009D4A93">
        <w:trPr>
          <w:cantSplit/>
          <w:trHeight w:val="22"/>
        </w:trPr>
        <w:tc>
          <w:tcPr>
            <w:tcW w:w="500" w:type="dxa"/>
            <w:vMerge/>
          </w:tcPr>
          <w:p w14:paraId="38FE9444" w14:textId="77777777" w:rsidR="009D4A93" w:rsidRPr="00536CFD" w:rsidRDefault="009D4A93" w:rsidP="009D4A93">
            <w:pPr>
              <w:spacing w:after="0"/>
              <w:jc w:val="center"/>
            </w:pPr>
          </w:p>
        </w:tc>
        <w:tc>
          <w:tcPr>
            <w:tcW w:w="1010" w:type="dxa"/>
            <w:gridSpan w:val="2"/>
          </w:tcPr>
          <w:p w14:paraId="198AD6A3" w14:textId="77777777" w:rsidR="009D4A93" w:rsidRPr="00536CFD" w:rsidRDefault="009D4A93" w:rsidP="009D4A93">
            <w:pPr>
              <w:spacing w:after="0"/>
              <w:jc w:val="center"/>
            </w:pPr>
            <w:r w:rsidRPr="00536CFD">
              <w:t>BO</w:t>
            </w:r>
          </w:p>
        </w:tc>
        <w:tc>
          <w:tcPr>
            <w:tcW w:w="643" w:type="dxa"/>
          </w:tcPr>
          <w:p w14:paraId="7E58EE32" w14:textId="77777777" w:rsidR="009D4A93" w:rsidRPr="00536CFD" w:rsidRDefault="009D4A93" w:rsidP="009D4A93">
            <w:pPr>
              <w:spacing w:after="0"/>
              <w:jc w:val="center"/>
            </w:pPr>
            <w:r w:rsidRPr="00536CFD">
              <w:t>10.1%</w:t>
            </w:r>
          </w:p>
        </w:tc>
        <w:tc>
          <w:tcPr>
            <w:tcW w:w="644" w:type="dxa"/>
          </w:tcPr>
          <w:p w14:paraId="34B70334" w14:textId="77777777" w:rsidR="009D4A93" w:rsidRPr="00536CFD" w:rsidRDefault="009D4A93" w:rsidP="009D4A93">
            <w:pPr>
              <w:spacing w:after="0"/>
              <w:jc w:val="center"/>
            </w:pPr>
            <w:r w:rsidRPr="00536CFD">
              <w:t>8.5%</w:t>
            </w:r>
          </w:p>
        </w:tc>
        <w:tc>
          <w:tcPr>
            <w:tcW w:w="644" w:type="dxa"/>
          </w:tcPr>
          <w:p w14:paraId="6C02B249" w14:textId="77777777" w:rsidR="009D4A93" w:rsidRPr="00536CFD" w:rsidRDefault="009D4A93" w:rsidP="009D4A93">
            <w:pPr>
              <w:spacing w:after="0"/>
              <w:jc w:val="center"/>
            </w:pPr>
            <w:r w:rsidRPr="00536CFD">
              <w:t>10%</w:t>
            </w:r>
          </w:p>
        </w:tc>
        <w:tc>
          <w:tcPr>
            <w:tcW w:w="665" w:type="dxa"/>
          </w:tcPr>
          <w:p w14:paraId="3E7E96E7" w14:textId="77777777" w:rsidR="009D4A93" w:rsidRPr="00536CFD" w:rsidRDefault="009D4A93" w:rsidP="009D4A93">
            <w:pPr>
              <w:spacing w:after="0"/>
              <w:jc w:val="center"/>
            </w:pPr>
            <w:r w:rsidRPr="00536CFD">
              <w:t>7.8%</w:t>
            </w:r>
          </w:p>
        </w:tc>
        <w:tc>
          <w:tcPr>
            <w:tcW w:w="694" w:type="dxa"/>
          </w:tcPr>
          <w:p w14:paraId="196FE37A" w14:textId="77777777" w:rsidR="009D4A93" w:rsidRPr="00536CFD" w:rsidRDefault="009D4A93" w:rsidP="009D4A93">
            <w:pPr>
              <w:spacing w:after="0"/>
              <w:jc w:val="center"/>
            </w:pPr>
            <w:r w:rsidRPr="00536CFD">
              <w:t>33.6%</w:t>
            </w:r>
          </w:p>
        </w:tc>
        <w:tc>
          <w:tcPr>
            <w:tcW w:w="715" w:type="dxa"/>
          </w:tcPr>
          <w:p w14:paraId="747684B3" w14:textId="77777777" w:rsidR="009D4A93" w:rsidRPr="00536CFD" w:rsidRDefault="009D4A93" w:rsidP="009D4A93">
            <w:pPr>
              <w:spacing w:after="0"/>
              <w:jc w:val="center"/>
            </w:pPr>
            <w:r w:rsidRPr="00536CFD">
              <w:t>28%</w:t>
            </w:r>
          </w:p>
        </w:tc>
        <w:tc>
          <w:tcPr>
            <w:tcW w:w="715" w:type="dxa"/>
          </w:tcPr>
          <w:p w14:paraId="01CDCEE0" w14:textId="77777777" w:rsidR="009D4A93" w:rsidRPr="00536CFD" w:rsidRDefault="009D4A93" w:rsidP="009D4A93">
            <w:pPr>
              <w:spacing w:after="0"/>
              <w:jc w:val="center"/>
            </w:pPr>
            <w:r w:rsidRPr="00536CFD">
              <w:t>35%</w:t>
            </w:r>
          </w:p>
        </w:tc>
        <w:tc>
          <w:tcPr>
            <w:tcW w:w="715" w:type="dxa"/>
          </w:tcPr>
          <w:p w14:paraId="4F8626FD" w14:textId="77777777" w:rsidR="009D4A93" w:rsidRPr="00536CFD" w:rsidRDefault="009D4A93" w:rsidP="009D4A93">
            <w:pPr>
              <w:spacing w:after="0"/>
              <w:jc w:val="center"/>
            </w:pPr>
            <w:r w:rsidRPr="00536CFD">
              <w:t>25.8%</w:t>
            </w:r>
          </w:p>
        </w:tc>
        <w:tc>
          <w:tcPr>
            <w:tcW w:w="737" w:type="dxa"/>
          </w:tcPr>
          <w:p w14:paraId="689299EB" w14:textId="77777777" w:rsidR="009D4A93" w:rsidRPr="00536CFD" w:rsidRDefault="009D4A93" w:rsidP="009D4A93">
            <w:pPr>
              <w:spacing w:after="0"/>
              <w:jc w:val="center"/>
            </w:pPr>
            <w:r w:rsidRPr="00536CFD">
              <w:t>57.8%</w:t>
            </w:r>
          </w:p>
        </w:tc>
        <w:tc>
          <w:tcPr>
            <w:tcW w:w="738" w:type="dxa"/>
          </w:tcPr>
          <w:p w14:paraId="5B27AD54" w14:textId="77777777" w:rsidR="009D4A93" w:rsidRPr="00536CFD" w:rsidRDefault="009D4A93" w:rsidP="009D4A93">
            <w:pPr>
              <w:spacing w:after="0"/>
              <w:jc w:val="center"/>
            </w:pPr>
            <w:r w:rsidRPr="00536CFD">
              <w:t>53.4%</w:t>
            </w:r>
          </w:p>
        </w:tc>
        <w:tc>
          <w:tcPr>
            <w:tcW w:w="737" w:type="dxa"/>
          </w:tcPr>
          <w:p w14:paraId="1C314B01" w14:textId="77777777" w:rsidR="009D4A93" w:rsidRPr="00536CFD" w:rsidRDefault="009D4A93" w:rsidP="009D4A93">
            <w:pPr>
              <w:spacing w:after="0"/>
              <w:jc w:val="center"/>
            </w:pPr>
            <w:r w:rsidRPr="00536CFD">
              <w:t>60%</w:t>
            </w:r>
          </w:p>
        </w:tc>
        <w:tc>
          <w:tcPr>
            <w:tcW w:w="738" w:type="dxa"/>
          </w:tcPr>
          <w:p w14:paraId="2A1736E3" w14:textId="77777777" w:rsidR="009D4A93" w:rsidRPr="00536CFD" w:rsidRDefault="009D4A93" w:rsidP="009D4A93">
            <w:pPr>
              <w:spacing w:after="0"/>
              <w:jc w:val="center"/>
            </w:pPr>
            <w:r w:rsidRPr="00536CFD">
              <w:t>50.1%</w:t>
            </w:r>
          </w:p>
        </w:tc>
      </w:tr>
      <w:tr w:rsidR="009D4A93" w:rsidRPr="00536CFD" w14:paraId="5C8D6E35" w14:textId="77777777" w:rsidTr="009D4A93">
        <w:trPr>
          <w:cantSplit/>
          <w:trHeight w:val="22"/>
        </w:trPr>
        <w:tc>
          <w:tcPr>
            <w:tcW w:w="500" w:type="dxa"/>
            <w:vMerge/>
          </w:tcPr>
          <w:p w14:paraId="6702A6D6" w14:textId="77777777" w:rsidR="009D4A93" w:rsidRPr="00536CFD" w:rsidRDefault="009D4A93" w:rsidP="009D4A93">
            <w:pPr>
              <w:spacing w:after="0"/>
              <w:jc w:val="center"/>
            </w:pPr>
          </w:p>
        </w:tc>
        <w:tc>
          <w:tcPr>
            <w:tcW w:w="1010" w:type="dxa"/>
            <w:gridSpan w:val="2"/>
          </w:tcPr>
          <w:p w14:paraId="6BC7511B" w14:textId="77777777" w:rsidR="009D4A93" w:rsidRPr="00536CFD" w:rsidRDefault="009D4A93" w:rsidP="009D4A93">
            <w:pPr>
              <w:spacing w:after="0"/>
              <w:jc w:val="center"/>
            </w:pPr>
            <w:r w:rsidRPr="00536CFD">
              <w:rPr>
                <w:rFonts w:ascii="Cambria Math" w:hAnsi="Cambria Math" w:cs="Cambria Math"/>
              </w:rPr>
              <w:t>𝜆</w:t>
            </w:r>
          </w:p>
        </w:tc>
        <w:tc>
          <w:tcPr>
            <w:tcW w:w="2596" w:type="dxa"/>
            <w:gridSpan w:val="4"/>
          </w:tcPr>
          <w:p w14:paraId="587F7231" w14:textId="77777777" w:rsidR="009D4A93" w:rsidRPr="00536CFD" w:rsidRDefault="009D4A93" w:rsidP="009D4A93">
            <w:pPr>
              <w:spacing w:after="0"/>
              <w:jc w:val="center"/>
            </w:pPr>
            <w:r w:rsidRPr="00536CFD">
              <w:t>0.26 file/s</w:t>
            </w:r>
          </w:p>
        </w:tc>
        <w:tc>
          <w:tcPr>
            <w:tcW w:w="2839" w:type="dxa"/>
            <w:gridSpan w:val="4"/>
          </w:tcPr>
          <w:p w14:paraId="2C4CA588" w14:textId="77777777" w:rsidR="009D4A93" w:rsidRPr="00536CFD" w:rsidRDefault="009D4A93" w:rsidP="009D4A93">
            <w:pPr>
              <w:spacing w:after="0"/>
              <w:jc w:val="center"/>
            </w:pPr>
            <w:r w:rsidRPr="00536CFD">
              <w:t>0.42 file/s</w:t>
            </w:r>
          </w:p>
        </w:tc>
        <w:tc>
          <w:tcPr>
            <w:tcW w:w="2950" w:type="dxa"/>
            <w:gridSpan w:val="4"/>
          </w:tcPr>
          <w:p w14:paraId="1377232F" w14:textId="77777777" w:rsidR="009D4A93" w:rsidRPr="00536CFD" w:rsidRDefault="009D4A93" w:rsidP="009D4A93">
            <w:pPr>
              <w:spacing w:after="0"/>
              <w:jc w:val="center"/>
            </w:pPr>
            <w:r w:rsidRPr="00536CFD">
              <w:t>0.55 file/s</w:t>
            </w:r>
          </w:p>
        </w:tc>
      </w:tr>
      <w:tr w:rsidR="009D4A93" w:rsidRPr="00536CFD" w14:paraId="757583E0" w14:textId="77777777" w:rsidTr="009D4A93">
        <w:trPr>
          <w:cantSplit/>
          <w:trHeight w:val="22"/>
        </w:trPr>
        <w:tc>
          <w:tcPr>
            <w:tcW w:w="500" w:type="dxa"/>
            <w:vMerge/>
          </w:tcPr>
          <w:p w14:paraId="38C9C092" w14:textId="77777777" w:rsidR="009D4A93" w:rsidRPr="00536CFD" w:rsidRDefault="009D4A93" w:rsidP="009D4A93">
            <w:pPr>
              <w:spacing w:after="0"/>
              <w:jc w:val="center"/>
            </w:pPr>
          </w:p>
        </w:tc>
        <w:tc>
          <w:tcPr>
            <w:tcW w:w="1010" w:type="dxa"/>
            <w:gridSpan w:val="2"/>
          </w:tcPr>
          <w:p w14:paraId="2EED684C" w14:textId="77777777" w:rsidR="009D4A93" w:rsidRPr="00536CFD" w:rsidRDefault="009D4A93" w:rsidP="009D4A93">
            <w:pPr>
              <w:spacing w:after="0"/>
              <w:jc w:val="both"/>
            </w:pPr>
          </w:p>
        </w:tc>
        <w:tc>
          <w:tcPr>
            <w:tcW w:w="8385" w:type="dxa"/>
            <w:gridSpan w:val="12"/>
          </w:tcPr>
          <w:p w14:paraId="64C6FB7B" w14:textId="77777777" w:rsidR="009D4A93" w:rsidRPr="00536CFD" w:rsidRDefault="009D4A93" w:rsidP="009D4A93">
            <w:pPr>
              <w:pStyle w:val="ResTable"/>
              <w:jc w:val="left"/>
              <w:rPr>
                <w:rFonts w:ascii="Times New Roman" w:hAnsi="Times New Roman" w:cs="Times New Roman"/>
                <w:sz w:val="20"/>
                <w:szCs w:val="20"/>
              </w:rPr>
            </w:pPr>
            <w:r w:rsidRPr="00536CFD">
              <w:rPr>
                <w:rFonts w:ascii="Times New Roman" w:hAnsi="Times New Roman" w:cs="Times New Roman"/>
                <w:sz w:val="20"/>
                <w:szCs w:val="20"/>
              </w:rPr>
              <w:t xml:space="preserve">Additional comments: </w:t>
            </w:r>
          </w:p>
          <w:p w14:paraId="6A55B7B5" w14:textId="3D071B78" w:rsidR="009D4A93" w:rsidRPr="00536CFD" w:rsidRDefault="009D4A93" w:rsidP="00A92E07">
            <w:r w:rsidRPr="00536CFD">
              <w:rPr>
                <w:b/>
                <w:bCs/>
                <w:lang w:eastAsia="sv-SE"/>
              </w:rPr>
              <w:t>Simulation setup:</w:t>
            </w:r>
            <w:r w:rsidRPr="00536CFD">
              <w:rPr>
                <w:lang w:eastAsia="sv-SE"/>
              </w:rPr>
              <w:t xml:space="preserve"> NR-U indoor scenario, 50/50 DL/UL traffics. </w:t>
            </w:r>
            <w:r w:rsidRPr="00536CFD">
              <w:br/>
            </w:r>
            <w:r w:rsidRPr="00536CFD">
              <w:rPr>
                <w:b/>
                <w:bCs/>
              </w:rPr>
              <w:t>Common assumptions:</w:t>
            </w:r>
            <w:r w:rsidRPr="00536CFD">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br/>
            </w:r>
            <w:r w:rsidRPr="00536CFD">
              <w:rPr>
                <w:b/>
                <w:bCs/>
              </w:rPr>
              <w:t xml:space="preserve">Wi-Fi 11ax assumptions: </w:t>
            </w:r>
            <w:r w:rsidRPr="00536CFD">
              <w:t xml:space="preserve">RTS/CTS disabled, ED/PD threshold -62/-82dBm or -72/-82dBm, A-MPDU frame aggregation, Wi-Fi guard interval 1.6us, UL OFDMA with 16us carrier sensing. </w:t>
            </w:r>
            <w:r w:rsidRPr="00536CFD">
              <w:br/>
            </w:r>
            <w:r w:rsidRPr="00536CFD">
              <w:rPr>
                <w:b/>
                <w:bCs/>
              </w:rPr>
              <w:t>NR-U assumptions:</w:t>
            </w:r>
            <w:r w:rsidRPr="00536CFD">
              <w:t xml:space="preserve"> ED threshold  -72dBm, SCS 30kHz, UE processing time capability #1, PUSCH mapping Type A, PDSCH mapping Type B, PDCCH monitoring every 1OS, Scheduling: proportional fair, control on the unlicensed channel. COT sharing enabled (gNB initiated COT).</w:t>
            </w:r>
          </w:p>
        </w:tc>
      </w:tr>
    </w:tbl>
    <w:p w14:paraId="38512282" w14:textId="77777777" w:rsidR="009D4A93" w:rsidRPr="00C64ECB" w:rsidRDefault="009D4A93" w:rsidP="009D4A93"/>
    <w:p w14:paraId="1BA5B211" w14:textId="234841AD" w:rsidR="009D4A93" w:rsidRPr="00C64ECB" w:rsidRDefault="009D4A93" w:rsidP="00E126D2">
      <w:pPr>
        <w:pStyle w:val="TH"/>
        <w:pageBreakBefore/>
        <w:rPr>
          <w:lang w:val="en-US"/>
        </w:rPr>
      </w:pPr>
      <w:r w:rsidRPr="00C64ECB">
        <w:t>T</w:t>
      </w:r>
      <w:r w:rsidR="00006578">
        <w:t>able</w:t>
      </w:r>
      <w:r w:rsidRPr="00C64ECB">
        <w:t xml:space="preserve"> B.1.1-6: Wi-Fi/NR-U coexistence when NR-U uses -82 dBm EDT or NR-U enables preamble detection</w:t>
      </w:r>
    </w:p>
    <w:tbl>
      <w:tblPr>
        <w:tblStyle w:val="TableGrid"/>
        <w:tblW w:w="9720" w:type="dxa"/>
        <w:tblLayout w:type="fixed"/>
        <w:tblCellMar>
          <w:left w:w="0" w:type="dxa"/>
          <w:right w:w="0" w:type="dxa"/>
        </w:tblCellMar>
        <w:tblLook w:val="04A0" w:firstRow="1" w:lastRow="0" w:firstColumn="1" w:lastColumn="0" w:noHBand="0" w:noVBand="1"/>
      </w:tblPr>
      <w:tblGrid>
        <w:gridCol w:w="488"/>
        <w:gridCol w:w="494"/>
        <w:gridCol w:w="494"/>
        <w:gridCol w:w="630"/>
        <w:gridCol w:w="632"/>
        <w:gridCol w:w="632"/>
        <w:gridCol w:w="633"/>
        <w:gridCol w:w="702"/>
        <w:gridCol w:w="702"/>
        <w:gridCol w:w="702"/>
        <w:gridCol w:w="705"/>
        <w:gridCol w:w="724"/>
        <w:gridCol w:w="725"/>
        <w:gridCol w:w="724"/>
        <w:gridCol w:w="725"/>
        <w:gridCol w:w="8"/>
      </w:tblGrid>
      <w:tr w:rsidR="009D4A93" w:rsidRPr="00536CFD" w14:paraId="2BC18E0E" w14:textId="77777777" w:rsidTr="00536CFD">
        <w:trPr>
          <w:cantSplit/>
          <w:trHeight w:val="24"/>
        </w:trPr>
        <w:tc>
          <w:tcPr>
            <w:tcW w:w="489" w:type="dxa"/>
            <w:vMerge w:val="restart"/>
            <w:tcBorders>
              <w:top w:val="single" w:sz="4" w:space="0" w:color="auto"/>
              <w:left w:val="single" w:sz="4" w:space="0" w:color="auto"/>
              <w:bottom w:val="single" w:sz="4" w:space="0" w:color="auto"/>
              <w:right w:val="single" w:sz="4" w:space="0" w:color="auto"/>
            </w:tcBorders>
            <w:textDirection w:val="btLr"/>
          </w:tcPr>
          <w:p w14:paraId="6C1E770A" w14:textId="7CC6AC5A" w:rsidR="009D4A93" w:rsidRPr="00536CFD" w:rsidRDefault="009D4A93" w:rsidP="00536CFD">
            <w:pPr>
              <w:spacing w:after="0"/>
              <w:ind w:left="113" w:right="113"/>
              <w:jc w:val="center"/>
            </w:pPr>
            <w:r w:rsidRPr="00536CFD">
              <w:t>Tdoc /Source</w:t>
            </w:r>
          </w:p>
        </w:tc>
        <w:tc>
          <w:tcPr>
            <w:tcW w:w="988" w:type="dxa"/>
            <w:gridSpan w:val="2"/>
            <w:vMerge w:val="restart"/>
            <w:tcBorders>
              <w:top w:val="single" w:sz="4" w:space="0" w:color="auto"/>
              <w:left w:val="single" w:sz="4" w:space="0" w:color="auto"/>
              <w:bottom w:val="single" w:sz="4" w:space="0" w:color="auto"/>
              <w:right w:val="single" w:sz="4" w:space="0" w:color="auto"/>
            </w:tcBorders>
          </w:tcPr>
          <w:p w14:paraId="67C9B956" w14:textId="77777777" w:rsidR="009D4A93" w:rsidRPr="00536CFD" w:rsidRDefault="009D4A93" w:rsidP="009D4A93">
            <w:pPr>
              <w:pStyle w:val="ListParagraph"/>
              <w:spacing w:after="0"/>
              <w:ind w:firstLineChars="0" w:firstLine="0"/>
              <w:jc w:val="center"/>
            </w:pPr>
          </w:p>
          <w:p w14:paraId="40D7F813" w14:textId="77777777" w:rsidR="009D4A93" w:rsidRPr="00536CFD" w:rsidRDefault="009D4A93" w:rsidP="009D4A93">
            <w:pPr>
              <w:pStyle w:val="ListParagraph"/>
              <w:spacing w:after="0"/>
              <w:ind w:firstLineChars="0" w:firstLine="0"/>
              <w:jc w:val="center"/>
            </w:pPr>
            <w:r w:rsidRPr="00536CFD">
              <w:t>Reported parameters</w:t>
            </w:r>
          </w:p>
        </w:tc>
        <w:tc>
          <w:tcPr>
            <w:tcW w:w="2527" w:type="dxa"/>
            <w:gridSpan w:val="4"/>
            <w:tcBorders>
              <w:top w:val="single" w:sz="4" w:space="0" w:color="auto"/>
              <w:left w:val="single" w:sz="4" w:space="0" w:color="auto"/>
              <w:bottom w:val="single" w:sz="4" w:space="0" w:color="auto"/>
              <w:right w:val="single" w:sz="4" w:space="0" w:color="auto"/>
            </w:tcBorders>
            <w:hideMark/>
          </w:tcPr>
          <w:p w14:paraId="3854D6F5" w14:textId="77777777" w:rsidR="009D4A93" w:rsidRPr="00536CFD" w:rsidRDefault="009D4A93" w:rsidP="009D4A93">
            <w:pPr>
              <w:pStyle w:val="ListParagraph"/>
              <w:spacing w:after="0"/>
              <w:ind w:firstLineChars="0" w:firstLine="0"/>
              <w:jc w:val="center"/>
              <w:rPr>
                <w:u w:val="single"/>
              </w:rPr>
            </w:pPr>
            <w:r w:rsidRPr="00536CFD">
              <w:rPr>
                <w:u w:val="single"/>
              </w:rPr>
              <w:t>Low load</w:t>
            </w:r>
          </w:p>
          <w:p w14:paraId="29C7379E" w14:textId="77777777" w:rsidR="009D4A93" w:rsidRPr="00536CFD" w:rsidRDefault="009D4A93" w:rsidP="009D4A93">
            <w:pPr>
              <w:pStyle w:val="ListParagraph"/>
              <w:spacing w:after="0"/>
              <w:ind w:firstLineChars="0" w:firstLine="0"/>
              <w:jc w:val="center"/>
              <w:rPr>
                <w:u w:val="single"/>
              </w:rPr>
            </w:pPr>
            <w:r w:rsidRPr="00536CFD">
              <w:t xml:space="preserve">BO range for Wi-Fi in </w:t>
            </w:r>
            <w:r w:rsidRPr="00536CFD">
              <w:br/>
              <w:t xml:space="preserve">WiFi+WiFi: </w:t>
            </w:r>
            <w:r w:rsidRPr="00536CFD">
              <w:rPr>
                <w:rFonts w:eastAsia="MS Mincho"/>
                <w:lang w:eastAsia="ja-JP"/>
              </w:rPr>
              <w:t>10%~25%</w:t>
            </w:r>
          </w:p>
        </w:tc>
        <w:tc>
          <w:tcPr>
            <w:tcW w:w="2807" w:type="dxa"/>
            <w:gridSpan w:val="4"/>
            <w:tcBorders>
              <w:top w:val="single" w:sz="4" w:space="0" w:color="auto"/>
              <w:left w:val="single" w:sz="4" w:space="0" w:color="auto"/>
              <w:bottom w:val="single" w:sz="4" w:space="0" w:color="auto"/>
              <w:right w:val="single" w:sz="4" w:space="0" w:color="auto"/>
            </w:tcBorders>
            <w:hideMark/>
          </w:tcPr>
          <w:p w14:paraId="5AAD6E3B" w14:textId="77777777" w:rsidR="009D4A93" w:rsidRPr="00536CFD" w:rsidRDefault="009D4A93" w:rsidP="009D4A93">
            <w:pPr>
              <w:pStyle w:val="ListParagraph"/>
              <w:spacing w:after="0"/>
              <w:ind w:firstLineChars="0" w:firstLine="0"/>
              <w:jc w:val="center"/>
              <w:rPr>
                <w:u w:val="single"/>
              </w:rPr>
            </w:pPr>
            <w:r w:rsidRPr="00536CFD">
              <w:rPr>
                <w:u w:val="single"/>
              </w:rPr>
              <w:t>Medium load</w:t>
            </w:r>
          </w:p>
          <w:p w14:paraId="4A6AB25D" w14:textId="77777777" w:rsidR="009D4A93" w:rsidRPr="00536CFD" w:rsidRDefault="009D4A93" w:rsidP="009D4A93">
            <w:pPr>
              <w:pStyle w:val="ListParagraph"/>
              <w:spacing w:after="0"/>
              <w:ind w:firstLineChars="0" w:firstLine="0"/>
              <w:jc w:val="center"/>
              <w:rPr>
                <w:u w:val="single"/>
              </w:rPr>
            </w:pPr>
            <w:r w:rsidRPr="00536CFD">
              <w:t xml:space="preserve">BO range for Wi-Fi in </w:t>
            </w:r>
            <w:r w:rsidRPr="00536CFD">
              <w:br/>
              <w:t xml:space="preserve">WiFi+WiFi: </w:t>
            </w:r>
            <w:r w:rsidRPr="00536CFD">
              <w:rPr>
                <w:rFonts w:eastAsia="MS Mincho"/>
                <w:lang w:eastAsia="ja-JP"/>
              </w:rPr>
              <w:t>35%~50%</w:t>
            </w:r>
          </w:p>
        </w:tc>
        <w:tc>
          <w:tcPr>
            <w:tcW w:w="2902" w:type="dxa"/>
            <w:gridSpan w:val="5"/>
            <w:tcBorders>
              <w:top w:val="single" w:sz="4" w:space="0" w:color="auto"/>
              <w:left w:val="single" w:sz="4" w:space="0" w:color="auto"/>
              <w:bottom w:val="single" w:sz="4" w:space="0" w:color="auto"/>
              <w:right w:val="single" w:sz="4" w:space="0" w:color="auto"/>
            </w:tcBorders>
            <w:hideMark/>
          </w:tcPr>
          <w:p w14:paraId="7A4966F5" w14:textId="77777777" w:rsidR="009D4A93" w:rsidRPr="00536CFD" w:rsidRDefault="009D4A93" w:rsidP="009D4A93">
            <w:pPr>
              <w:pStyle w:val="ListParagraph"/>
              <w:spacing w:after="0"/>
              <w:ind w:firstLineChars="0" w:firstLine="0"/>
              <w:jc w:val="center"/>
              <w:rPr>
                <w:u w:val="single"/>
              </w:rPr>
            </w:pPr>
            <w:r w:rsidRPr="00536CFD">
              <w:rPr>
                <w:u w:val="single"/>
              </w:rPr>
              <w:t>High load</w:t>
            </w:r>
          </w:p>
          <w:p w14:paraId="6CFFC8A7" w14:textId="77777777" w:rsidR="009D4A93" w:rsidRPr="00536CFD" w:rsidRDefault="009D4A93" w:rsidP="009D4A93">
            <w:pPr>
              <w:pStyle w:val="ListParagraph"/>
              <w:spacing w:after="0"/>
              <w:ind w:firstLineChars="0" w:firstLine="0"/>
              <w:jc w:val="center"/>
              <w:rPr>
                <w:u w:val="single"/>
              </w:rPr>
            </w:pPr>
            <w:r w:rsidRPr="00536CFD">
              <w:t xml:space="preserve">BO range for Wi-Fi in </w:t>
            </w:r>
            <w:r w:rsidRPr="00536CFD">
              <w:br/>
              <w:t>WiFi+WiFi: above 55%</w:t>
            </w:r>
          </w:p>
        </w:tc>
      </w:tr>
      <w:tr w:rsidR="009D4A93" w:rsidRPr="00536CFD" w14:paraId="37944A21"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3B736B67" w14:textId="77777777" w:rsidR="009D4A93" w:rsidRPr="00536CFD" w:rsidRDefault="009D4A93" w:rsidP="009D4A93">
            <w:pPr>
              <w:spacing w:after="0"/>
              <w:rPr>
                <w:lang w:eastAsia="zh-CN"/>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hideMark/>
          </w:tcPr>
          <w:p w14:paraId="55EC30B9" w14:textId="77777777" w:rsidR="009D4A93" w:rsidRPr="00536CFD" w:rsidRDefault="009D4A93" w:rsidP="009D4A93">
            <w:pPr>
              <w:spacing w:after="0"/>
              <w:rPr>
                <w:lang w:eastAsia="zh-CN"/>
              </w:rPr>
            </w:pPr>
          </w:p>
        </w:tc>
        <w:tc>
          <w:tcPr>
            <w:tcW w:w="630" w:type="dxa"/>
            <w:tcBorders>
              <w:top w:val="single" w:sz="4" w:space="0" w:color="auto"/>
              <w:left w:val="single" w:sz="4" w:space="0" w:color="auto"/>
              <w:bottom w:val="single" w:sz="4" w:space="0" w:color="auto"/>
              <w:right w:val="single" w:sz="4" w:space="0" w:color="auto"/>
            </w:tcBorders>
            <w:hideMark/>
          </w:tcPr>
          <w:p w14:paraId="61160F08" w14:textId="77777777" w:rsidR="009D4A93" w:rsidRPr="00536CFD" w:rsidRDefault="009D4A93" w:rsidP="009D4A93">
            <w:pPr>
              <w:pStyle w:val="ListParagraph"/>
              <w:spacing w:after="0"/>
              <w:ind w:firstLineChars="0" w:firstLine="0"/>
              <w:jc w:val="center"/>
            </w:pPr>
            <w:r w:rsidRPr="00536CFD">
              <w:t>Wi-Fi in</w:t>
            </w:r>
          </w:p>
          <w:p w14:paraId="264BA057" w14:textId="77777777" w:rsidR="009D4A93" w:rsidRPr="00536CFD" w:rsidRDefault="009D4A93" w:rsidP="009D4A93">
            <w:pPr>
              <w:pStyle w:val="ListParagraph"/>
              <w:spacing w:after="0"/>
              <w:ind w:firstLineChars="0" w:firstLine="0"/>
              <w:jc w:val="center"/>
            </w:pPr>
            <w:r w:rsidRPr="00536CFD">
              <w:t>WiFi+</w:t>
            </w:r>
            <w:r w:rsidRPr="00536CFD">
              <w:br/>
              <w:t>NR-U with -82 dBm EDT for NR-U</w:t>
            </w:r>
          </w:p>
        </w:tc>
        <w:tc>
          <w:tcPr>
            <w:tcW w:w="632" w:type="dxa"/>
            <w:tcBorders>
              <w:top w:val="single" w:sz="4" w:space="0" w:color="auto"/>
              <w:left w:val="single" w:sz="4" w:space="0" w:color="auto"/>
              <w:bottom w:val="single" w:sz="4" w:space="0" w:color="auto"/>
              <w:right w:val="single" w:sz="4" w:space="0" w:color="auto"/>
            </w:tcBorders>
            <w:hideMark/>
          </w:tcPr>
          <w:p w14:paraId="3E52FBCD" w14:textId="77777777" w:rsidR="009D4A93" w:rsidRPr="00536CFD" w:rsidRDefault="009D4A93" w:rsidP="009D4A93">
            <w:pPr>
              <w:pStyle w:val="ListParagraph"/>
              <w:spacing w:after="0"/>
              <w:ind w:firstLineChars="0" w:firstLine="0"/>
              <w:jc w:val="center"/>
            </w:pPr>
            <w:r w:rsidRPr="00536CFD">
              <w:t>NR-U in</w:t>
            </w:r>
          </w:p>
          <w:p w14:paraId="1092CB48" w14:textId="77777777" w:rsidR="009D4A93" w:rsidRPr="00536CFD" w:rsidRDefault="009D4A93" w:rsidP="009D4A93">
            <w:pPr>
              <w:pStyle w:val="ListParagraph"/>
              <w:spacing w:after="0"/>
              <w:ind w:firstLineChars="0" w:firstLine="0"/>
              <w:jc w:val="center"/>
            </w:pPr>
            <w:r w:rsidRPr="00536CFD">
              <w:t>WiFi+</w:t>
            </w:r>
            <w:r w:rsidRPr="00536CFD">
              <w:br/>
              <w:t>NR-U with -82 dBm EDT for NR-U</w:t>
            </w:r>
          </w:p>
        </w:tc>
        <w:tc>
          <w:tcPr>
            <w:tcW w:w="632" w:type="dxa"/>
            <w:tcBorders>
              <w:top w:val="single" w:sz="4" w:space="0" w:color="auto"/>
              <w:left w:val="single" w:sz="4" w:space="0" w:color="auto"/>
              <w:bottom w:val="single" w:sz="4" w:space="0" w:color="auto"/>
              <w:right w:val="single" w:sz="4" w:space="0" w:color="auto"/>
            </w:tcBorders>
            <w:hideMark/>
          </w:tcPr>
          <w:p w14:paraId="6A8D3A88" w14:textId="77777777" w:rsidR="009D4A93" w:rsidRPr="00536CFD" w:rsidRDefault="009D4A93" w:rsidP="009D4A93">
            <w:pPr>
              <w:pStyle w:val="ListParagraph"/>
              <w:spacing w:after="0"/>
              <w:ind w:firstLineChars="0" w:firstLine="0"/>
              <w:jc w:val="center"/>
            </w:pPr>
            <w:r w:rsidRPr="00536CFD">
              <w:t>Wi-Fi in</w:t>
            </w:r>
          </w:p>
          <w:p w14:paraId="470B6825" w14:textId="77777777" w:rsidR="009D4A93" w:rsidRPr="00536CFD" w:rsidRDefault="009D4A93" w:rsidP="009D4A93">
            <w:pPr>
              <w:pStyle w:val="ListParagraph"/>
              <w:spacing w:after="0"/>
              <w:ind w:firstLineChars="0" w:firstLine="0"/>
              <w:jc w:val="center"/>
            </w:pPr>
            <w:r w:rsidRPr="00536CFD">
              <w:t>WiFi+</w:t>
            </w:r>
            <w:r w:rsidRPr="00536CFD">
              <w:br/>
              <w:t>NR-U with preamble for NR-U</w:t>
            </w:r>
          </w:p>
        </w:tc>
        <w:tc>
          <w:tcPr>
            <w:tcW w:w="633" w:type="dxa"/>
            <w:tcBorders>
              <w:top w:val="single" w:sz="4" w:space="0" w:color="auto"/>
              <w:left w:val="single" w:sz="4" w:space="0" w:color="auto"/>
              <w:bottom w:val="single" w:sz="4" w:space="0" w:color="auto"/>
              <w:right w:val="single" w:sz="4" w:space="0" w:color="auto"/>
            </w:tcBorders>
            <w:hideMark/>
          </w:tcPr>
          <w:p w14:paraId="1BA72D22" w14:textId="77777777" w:rsidR="009D4A93" w:rsidRPr="00536CFD" w:rsidRDefault="009D4A93" w:rsidP="009D4A93">
            <w:pPr>
              <w:pStyle w:val="ListParagraph"/>
              <w:spacing w:after="0"/>
              <w:ind w:firstLineChars="0" w:firstLine="0"/>
              <w:jc w:val="center"/>
            </w:pPr>
            <w:r w:rsidRPr="00536CFD">
              <w:t>NR-U in</w:t>
            </w:r>
          </w:p>
          <w:p w14:paraId="777B3515" w14:textId="77777777" w:rsidR="009D4A93" w:rsidRPr="00536CFD" w:rsidRDefault="009D4A93" w:rsidP="009D4A93">
            <w:pPr>
              <w:pStyle w:val="ListParagraph"/>
              <w:spacing w:after="0"/>
              <w:ind w:firstLineChars="0" w:firstLine="0"/>
              <w:jc w:val="center"/>
            </w:pPr>
            <w:r w:rsidRPr="00536CFD">
              <w:t>WiFi+</w:t>
            </w:r>
            <w:r w:rsidRPr="00536CFD">
              <w:br/>
              <w:t>NR-U with preamble for NR-U</w:t>
            </w:r>
          </w:p>
        </w:tc>
        <w:tc>
          <w:tcPr>
            <w:tcW w:w="701" w:type="dxa"/>
            <w:tcBorders>
              <w:top w:val="single" w:sz="4" w:space="0" w:color="auto"/>
              <w:left w:val="single" w:sz="4" w:space="0" w:color="auto"/>
              <w:bottom w:val="single" w:sz="4" w:space="0" w:color="auto"/>
              <w:right w:val="single" w:sz="4" w:space="0" w:color="auto"/>
            </w:tcBorders>
            <w:hideMark/>
          </w:tcPr>
          <w:p w14:paraId="4CB06EA0" w14:textId="77777777" w:rsidR="009D4A93" w:rsidRPr="00536CFD" w:rsidRDefault="009D4A93" w:rsidP="009D4A93">
            <w:pPr>
              <w:pStyle w:val="ListParagraph"/>
              <w:spacing w:after="0"/>
              <w:ind w:firstLineChars="0" w:firstLine="0"/>
              <w:jc w:val="center"/>
            </w:pPr>
            <w:r w:rsidRPr="00536CFD">
              <w:t>Wi-Fi in</w:t>
            </w:r>
          </w:p>
          <w:p w14:paraId="2790BDAD" w14:textId="77777777" w:rsidR="009D4A93" w:rsidRPr="00536CFD" w:rsidRDefault="009D4A93" w:rsidP="009D4A93">
            <w:pPr>
              <w:pStyle w:val="ListParagraph"/>
              <w:spacing w:after="0"/>
              <w:ind w:firstLineChars="0" w:firstLine="0"/>
              <w:jc w:val="center"/>
            </w:pPr>
            <w:r w:rsidRPr="00536CFD">
              <w:t>WiFi+</w:t>
            </w:r>
            <w:r w:rsidRPr="00536CFD">
              <w:br/>
              <w:t>NR-U with -82 dBm EDT for NR-U</w:t>
            </w:r>
          </w:p>
        </w:tc>
        <w:tc>
          <w:tcPr>
            <w:tcW w:w="701" w:type="dxa"/>
            <w:tcBorders>
              <w:top w:val="single" w:sz="4" w:space="0" w:color="auto"/>
              <w:left w:val="single" w:sz="4" w:space="0" w:color="auto"/>
              <w:bottom w:val="single" w:sz="4" w:space="0" w:color="auto"/>
              <w:right w:val="single" w:sz="4" w:space="0" w:color="auto"/>
            </w:tcBorders>
            <w:hideMark/>
          </w:tcPr>
          <w:p w14:paraId="76C96F9C" w14:textId="77777777" w:rsidR="009D4A93" w:rsidRPr="00536CFD" w:rsidRDefault="009D4A93" w:rsidP="009D4A93">
            <w:pPr>
              <w:pStyle w:val="ListParagraph"/>
              <w:spacing w:after="0"/>
              <w:ind w:firstLineChars="0" w:firstLine="0"/>
              <w:jc w:val="center"/>
            </w:pPr>
            <w:r w:rsidRPr="00536CFD">
              <w:t>NR-U in</w:t>
            </w:r>
          </w:p>
          <w:p w14:paraId="28CBA4BE" w14:textId="77777777" w:rsidR="009D4A93" w:rsidRPr="00536CFD" w:rsidRDefault="009D4A93" w:rsidP="009D4A93">
            <w:pPr>
              <w:pStyle w:val="ListParagraph"/>
              <w:spacing w:after="0"/>
              <w:ind w:firstLineChars="0" w:firstLine="0"/>
              <w:jc w:val="center"/>
            </w:pPr>
            <w:r w:rsidRPr="00536CFD">
              <w:t>WiFi+</w:t>
            </w:r>
            <w:r w:rsidRPr="00536CFD">
              <w:br/>
              <w:t>NR-U with -82 dBm EDT for NR-U</w:t>
            </w:r>
          </w:p>
        </w:tc>
        <w:tc>
          <w:tcPr>
            <w:tcW w:w="701" w:type="dxa"/>
            <w:tcBorders>
              <w:top w:val="single" w:sz="4" w:space="0" w:color="auto"/>
              <w:left w:val="single" w:sz="4" w:space="0" w:color="auto"/>
              <w:bottom w:val="single" w:sz="4" w:space="0" w:color="auto"/>
              <w:right w:val="single" w:sz="4" w:space="0" w:color="auto"/>
            </w:tcBorders>
            <w:hideMark/>
          </w:tcPr>
          <w:p w14:paraId="277BC43F" w14:textId="77777777" w:rsidR="009D4A93" w:rsidRPr="00536CFD" w:rsidRDefault="009D4A93" w:rsidP="009D4A93">
            <w:pPr>
              <w:pStyle w:val="ListParagraph"/>
              <w:spacing w:after="0"/>
              <w:ind w:firstLineChars="0" w:firstLine="0"/>
              <w:jc w:val="center"/>
            </w:pPr>
            <w:r w:rsidRPr="00536CFD">
              <w:t>Wi-Fi in</w:t>
            </w:r>
          </w:p>
          <w:p w14:paraId="522479B4" w14:textId="77777777" w:rsidR="009D4A93" w:rsidRPr="00536CFD" w:rsidRDefault="009D4A93" w:rsidP="009D4A93">
            <w:pPr>
              <w:pStyle w:val="ListParagraph"/>
              <w:spacing w:after="0"/>
              <w:ind w:firstLineChars="0" w:firstLine="0"/>
              <w:jc w:val="center"/>
            </w:pPr>
            <w:r w:rsidRPr="00536CFD">
              <w:t>WiFi+</w:t>
            </w:r>
            <w:r w:rsidRPr="00536CFD">
              <w:br/>
              <w:t>NR-U with preamble for NR-U</w:t>
            </w:r>
          </w:p>
        </w:tc>
        <w:tc>
          <w:tcPr>
            <w:tcW w:w="704" w:type="dxa"/>
            <w:tcBorders>
              <w:top w:val="single" w:sz="4" w:space="0" w:color="auto"/>
              <w:left w:val="single" w:sz="4" w:space="0" w:color="auto"/>
              <w:bottom w:val="single" w:sz="4" w:space="0" w:color="auto"/>
              <w:right w:val="single" w:sz="4" w:space="0" w:color="auto"/>
            </w:tcBorders>
            <w:hideMark/>
          </w:tcPr>
          <w:p w14:paraId="5C5DDFE8" w14:textId="77777777" w:rsidR="009D4A93" w:rsidRPr="00536CFD" w:rsidRDefault="009D4A93" w:rsidP="009D4A93">
            <w:pPr>
              <w:pStyle w:val="ListParagraph"/>
              <w:spacing w:after="0"/>
              <w:ind w:firstLineChars="0" w:firstLine="0"/>
              <w:jc w:val="center"/>
            </w:pPr>
            <w:r w:rsidRPr="00536CFD">
              <w:t>NR-U in</w:t>
            </w:r>
          </w:p>
          <w:p w14:paraId="1863A83E" w14:textId="77777777" w:rsidR="009D4A93" w:rsidRPr="00536CFD" w:rsidRDefault="009D4A93" w:rsidP="009D4A93">
            <w:pPr>
              <w:pStyle w:val="ListParagraph"/>
              <w:spacing w:after="0"/>
              <w:ind w:firstLineChars="0" w:firstLine="0"/>
              <w:jc w:val="center"/>
            </w:pPr>
            <w:r w:rsidRPr="00536CFD">
              <w:t>WiFi+</w:t>
            </w:r>
            <w:r w:rsidRPr="00536CFD">
              <w:br/>
              <w:t>NR-U with preamble for NR-U</w:t>
            </w:r>
          </w:p>
        </w:tc>
        <w:tc>
          <w:tcPr>
            <w:tcW w:w="723" w:type="dxa"/>
            <w:tcBorders>
              <w:top w:val="single" w:sz="4" w:space="0" w:color="auto"/>
              <w:left w:val="single" w:sz="4" w:space="0" w:color="auto"/>
              <w:bottom w:val="single" w:sz="4" w:space="0" w:color="auto"/>
              <w:right w:val="single" w:sz="4" w:space="0" w:color="auto"/>
            </w:tcBorders>
            <w:hideMark/>
          </w:tcPr>
          <w:p w14:paraId="423A07A6" w14:textId="77777777" w:rsidR="009D4A93" w:rsidRPr="00536CFD" w:rsidRDefault="009D4A93" w:rsidP="009D4A93">
            <w:pPr>
              <w:pStyle w:val="ListParagraph"/>
              <w:spacing w:after="0"/>
              <w:ind w:firstLineChars="0" w:firstLine="0"/>
              <w:jc w:val="center"/>
            </w:pPr>
            <w:r w:rsidRPr="00536CFD">
              <w:t>Wi-Fi in</w:t>
            </w:r>
          </w:p>
          <w:p w14:paraId="47443CD4" w14:textId="77777777" w:rsidR="009D4A93" w:rsidRPr="00536CFD" w:rsidRDefault="009D4A93" w:rsidP="009D4A93">
            <w:pPr>
              <w:pStyle w:val="ListParagraph"/>
              <w:spacing w:after="0"/>
              <w:ind w:firstLineChars="0" w:firstLine="0"/>
              <w:jc w:val="center"/>
            </w:pPr>
            <w:r w:rsidRPr="00536CFD">
              <w:t>WiFi+</w:t>
            </w:r>
            <w:r w:rsidRPr="00536CFD">
              <w:br/>
              <w:t>NR-U with -82 dBm EDT for NR-U</w:t>
            </w:r>
          </w:p>
        </w:tc>
        <w:tc>
          <w:tcPr>
            <w:tcW w:w="724" w:type="dxa"/>
            <w:tcBorders>
              <w:top w:val="single" w:sz="4" w:space="0" w:color="auto"/>
              <w:left w:val="single" w:sz="4" w:space="0" w:color="auto"/>
              <w:bottom w:val="single" w:sz="4" w:space="0" w:color="auto"/>
              <w:right w:val="single" w:sz="4" w:space="0" w:color="auto"/>
            </w:tcBorders>
            <w:hideMark/>
          </w:tcPr>
          <w:p w14:paraId="1FDE5C79" w14:textId="77777777" w:rsidR="009D4A93" w:rsidRPr="00536CFD" w:rsidRDefault="009D4A93" w:rsidP="009D4A93">
            <w:pPr>
              <w:pStyle w:val="ListParagraph"/>
              <w:spacing w:after="0"/>
              <w:ind w:firstLineChars="0" w:firstLine="0"/>
              <w:jc w:val="center"/>
            </w:pPr>
            <w:r w:rsidRPr="00536CFD">
              <w:t>NR-U in</w:t>
            </w:r>
          </w:p>
          <w:p w14:paraId="308E3E10" w14:textId="77777777" w:rsidR="009D4A93" w:rsidRPr="00536CFD" w:rsidRDefault="009D4A93" w:rsidP="009D4A93">
            <w:pPr>
              <w:pStyle w:val="ListParagraph"/>
              <w:spacing w:after="0"/>
              <w:ind w:firstLineChars="0" w:firstLine="0"/>
              <w:jc w:val="center"/>
            </w:pPr>
            <w:r w:rsidRPr="00536CFD">
              <w:t>WiFi+</w:t>
            </w:r>
            <w:r w:rsidRPr="00536CFD">
              <w:br/>
              <w:t>NR-U with -82 dBm EDT for NR-U</w:t>
            </w:r>
          </w:p>
        </w:tc>
        <w:tc>
          <w:tcPr>
            <w:tcW w:w="723" w:type="dxa"/>
            <w:tcBorders>
              <w:top w:val="single" w:sz="4" w:space="0" w:color="auto"/>
              <w:left w:val="single" w:sz="4" w:space="0" w:color="auto"/>
              <w:bottom w:val="single" w:sz="4" w:space="0" w:color="auto"/>
              <w:right w:val="single" w:sz="4" w:space="0" w:color="auto"/>
            </w:tcBorders>
            <w:hideMark/>
          </w:tcPr>
          <w:p w14:paraId="5BEFB6D0" w14:textId="77777777" w:rsidR="009D4A93" w:rsidRPr="00536CFD" w:rsidRDefault="009D4A93" w:rsidP="009D4A93">
            <w:pPr>
              <w:pStyle w:val="ListParagraph"/>
              <w:spacing w:after="0"/>
              <w:ind w:firstLineChars="0" w:firstLine="0"/>
              <w:jc w:val="center"/>
            </w:pPr>
            <w:r w:rsidRPr="00536CFD">
              <w:t>Wi-Fi in</w:t>
            </w:r>
          </w:p>
          <w:p w14:paraId="164542F3" w14:textId="77777777" w:rsidR="009D4A93" w:rsidRPr="00536CFD" w:rsidRDefault="009D4A93" w:rsidP="009D4A93">
            <w:pPr>
              <w:pStyle w:val="ListParagraph"/>
              <w:spacing w:after="0"/>
              <w:ind w:firstLineChars="0" w:firstLine="0"/>
              <w:jc w:val="center"/>
            </w:pPr>
            <w:r w:rsidRPr="00536CFD">
              <w:t>WiFi+</w:t>
            </w:r>
            <w:r w:rsidRPr="00536CFD">
              <w:br/>
              <w:t>NR-U with preamble for NR-U</w:t>
            </w:r>
          </w:p>
        </w:tc>
        <w:tc>
          <w:tcPr>
            <w:tcW w:w="724" w:type="dxa"/>
            <w:tcBorders>
              <w:top w:val="single" w:sz="4" w:space="0" w:color="auto"/>
              <w:left w:val="single" w:sz="4" w:space="0" w:color="auto"/>
              <w:bottom w:val="single" w:sz="4" w:space="0" w:color="auto"/>
              <w:right w:val="single" w:sz="4" w:space="0" w:color="auto"/>
            </w:tcBorders>
            <w:hideMark/>
          </w:tcPr>
          <w:p w14:paraId="7A2621A4" w14:textId="77777777" w:rsidR="009D4A93" w:rsidRPr="00536CFD" w:rsidRDefault="009D4A93" w:rsidP="009D4A93">
            <w:pPr>
              <w:pStyle w:val="ListParagraph"/>
              <w:spacing w:after="0"/>
              <w:ind w:firstLineChars="0" w:firstLine="0"/>
              <w:jc w:val="center"/>
            </w:pPr>
            <w:r w:rsidRPr="00536CFD">
              <w:t>NR-U in</w:t>
            </w:r>
          </w:p>
          <w:p w14:paraId="23E587B7" w14:textId="77777777" w:rsidR="009D4A93" w:rsidRPr="00536CFD" w:rsidRDefault="009D4A93" w:rsidP="009D4A93">
            <w:pPr>
              <w:pStyle w:val="ListParagraph"/>
              <w:spacing w:after="0"/>
              <w:ind w:firstLineChars="0" w:firstLine="0"/>
              <w:jc w:val="center"/>
            </w:pPr>
            <w:r w:rsidRPr="00536CFD">
              <w:t>WiFi+</w:t>
            </w:r>
            <w:r w:rsidRPr="00536CFD">
              <w:br/>
              <w:t>NR-U with preamble for NR-U</w:t>
            </w:r>
          </w:p>
        </w:tc>
      </w:tr>
      <w:tr w:rsidR="009D4A93" w:rsidRPr="00536CFD" w14:paraId="0B006A8E" w14:textId="77777777" w:rsidTr="009D4A93">
        <w:trPr>
          <w:gridAfter w:val="1"/>
          <w:wAfter w:w="8" w:type="dxa"/>
          <w:cantSplit/>
          <w:trHeight w:val="24"/>
        </w:trPr>
        <w:tc>
          <w:tcPr>
            <w:tcW w:w="489" w:type="dxa"/>
            <w:vMerge w:val="restart"/>
            <w:tcBorders>
              <w:top w:val="single" w:sz="4" w:space="0" w:color="auto"/>
              <w:left w:val="single" w:sz="4" w:space="0" w:color="auto"/>
              <w:bottom w:val="single" w:sz="4" w:space="0" w:color="auto"/>
              <w:right w:val="single" w:sz="4" w:space="0" w:color="auto"/>
            </w:tcBorders>
            <w:textDirection w:val="btLr"/>
            <w:hideMark/>
          </w:tcPr>
          <w:p w14:paraId="4EEC94E0" w14:textId="77777777" w:rsidR="009D4A93" w:rsidRPr="00536CFD" w:rsidRDefault="009D4A93" w:rsidP="009D4A93">
            <w:pPr>
              <w:pStyle w:val="ListParagraph"/>
              <w:spacing w:after="0"/>
              <w:ind w:left="113" w:right="113" w:firstLineChars="0" w:firstLine="0"/>
              <w:jc w:val="center"/>
            </w:pPr>
            <w:r w:rsidRPr="00536CFD">
              <w:t>R1-1814074 / Source 5</w:t>
            </w:r>
          </w:p>
        </w:tc>
        <w:tc>
          <w:tcPr>
            <w:tcW w:w="494" w:type="dxa"/>
            <w:vMerge w:val="restart"/>
            <w:tcBorders>
              <w:top w:val="single" w:sz="4" w:space="0" w:color="auto"/>
              <w:left w:val="single" w:sz="4" w:space="0" w:color="auto"/>
              <w:bottom w:val="single" w:sz="4" w:space="0" w:color="auto"/>
              <w:right w:val="single" w:sz="4" w:space="0" w:color="auto"/>
            </w:tcBorders>
            <w:hideMark/>
          </w:tcPr>
          <w:p w14:paraId="65183AC0" w14:textId="77777777" w:rsidR="009D4A93" w:rsidRPr="00536CFD" w:rsidRDefault="009D4A93" w:rsidP="009D4A93">
            <w:pPr>
              <w:pStyle w:val="ListParagraph"/>
              <w:spacing w:after="0"/>
              <w:ind w:firstLineChars="0" w:firstLine="0"/>
              <w:jc w:val="center"/>
              <w:rPr>
                <w:b/>
              </w:rPr>
            </w:pPr>
            <w:r w:rsidRPr="00536CFD">
              <w:rPr>
                <w:b/>
              </w:rPr>
              <w:t xml:space="preserve">DL: </w:t>
            </w:r>
          </w:p>
          <w:p w14:paraId="6D92CEBC" w14:textId="77777777" w:rsidR="009D4A93" w:rsidRPr="00536CFD" w:rsidRDefault="009D4A93" w:rsidP="009D4A93">
            <w:pPr>
              <w:pStyle w:val="ListParagraph"/>
              <w:spacing w:after="0"/>
              <w:ind w:firstLineChars="0" w:firstLine="0"/>
              <w:jc w:val="center"/>
            </w:pPr>
            <w:r w:rsidRPr="00536CFD">
              <w:t>UPT CDF</w:t>
            </w:r>
          </w:p>
          <w:p w14:paraId="3411ED38" w14:textId="77777777" w:rsidR="009D4A93" w:rsidRPr="00536CFD" w:rsidRDefault="009D4A93" w:rsidP="009D4A93">
            <w:pPr>
              <w:pStyle w:val="ListParagraph"/>
              <w:spacing w:after="0"/>
              <w:ind w:firstLineChars="0" w:firstLine="0"/>
              <w:jc w:val="center"/>
            </w:pPr>
            <w:r w:rsidRPr="00536CFD">
              <w:t>[Mbps]</w:t>
            </w:r>
          </w:p>
        </w:tc>
        <w:tc>
          <w:tcPr>
            <w:tcW w:w="494" w:type="dxa"/>
            <w:tcBorders>
              <w:top w:val="single" w:sz="4" w:space="0" w:color="auto"/>
              <w:left w:val="single" w:sz="4" w:space="0" w:color="auto"/>
              <w:bottom w:val="single" w:sz="4" w:space="0" w:color="auto"/>
              <w:right w:val="single" w:sz="4" w:space="0" w:color="auto"/>
            </w:tcBorders>
            <w:hideMark/>
          </w:tcPr>
          <w:p w14:paraId="2EC65EFA" w14:textId="77777777" w:rsidR="009D4A93" w:rsidRPr="00536CFD" w:rsidRDefault="009D4A93" w:rsidP="009D4A93">
            <w:pPr>
              <w:pStyle w:val="ListParagraph"/>
              <w:spacing w:after="0"/>
              <w:ind w:firstLineChars="0" w:firstLine="0"/>
              <w:jc w:val="center"/>
            </w:pPr>
            <w:r w:rsidRPr="00536CFD">
              <w:t>5%</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366A4D" w14:textId="77777777" w:rsidR="009D4A93" w:rsidRPr="00536CFD" w:rsidRDefault="009D4A93" w:rsidP="009D4A93">
            <w:pPr>
              <w:pStyle w:val="BodyText"/>
              <w:spacing w:after="0"/>
              <w:jc w:val="center"/>
            </w:pPr>
            <w:r w:rsidRPr="00536CFD">
              <w:t>11.844</w:t>
            </w:r>
          </w:p>
        </w:tc>
        <w:tc>
          <w:tcPr>
            <w:tcW w:w="632" w:type="dxa"/>
            <w:tcBorders>
              <w:top w:val="single" w:sz="4" w:space="0" w:color="auto"/>
              <w:left w:val="single" w:sz="4" w:space="0" w:color="auto"/>
              <w:bottom w:val="single" w:sz="4" w:space="0" w:color="auto"/>
              <w:right w:val="single" w:sz="4" w:space="0" w:color="auto"/>
            </w:tcBorders>
            <w:vAlign w:val="center"/>
            <w:hideMark/>
          </w:tcPr>
          <w:p w14:paraId="4198B868" w14:textId="77777777" w:rsidR="009D4A93" w:rsidRPr="00536CFD" w:rsidRDefault="009D4A93" w:rsidP="009D4A93">
            <w:pPr>
              <w:pStyle w:val="BodyText"/>
              <w:spacing w:after="0"/>
              <w:jc w:val="center"/>
            </w:pPr>
            <w:r w:rsidRPr="00536CFD">
              <w:t>20.740</w:t>
            </w:r>
          </w:p>
        </w:tc>
        <w:tc>
          <w:tcPr>
            <w:tcW w:w="632" w:type="dxa"/>
            <w:tcBorders>
              <w:top w:val="single" w:sz="4" w:space="0" w:color="auto"/>
              <w:left w:val="single" w:sz="4" w:space="0" w:color="auto"/>
              <w:bottom w:val="single" w:sz="4" w:space="0" w:color="auto"/>
              <w:right w:val="single" w:sz="4" w:space="0" w:color="auto"/>
            </w:tcBorders>
            <w:vAlign w:val="center"/>
            <w:hideMark/>
          </w:tcPr>
          <w:p w14:paraId="1AE73C9C" w14:textId="77777777" w:rsidR="009D4A93" w:rsidRPr="00536CFD" w:rsidRDefault="009D4A93" w:rsidP="009D4A93">
            <w:pPr>
              <w:pStyle w:val="BodyText"/>
              <w:spacing w:after="0"/>
              <w:jc w:val="center"/>
            </w:pPr>
            <w:r w:rsidRPr="00536CFD">
              <w:t>6.704</w:t>
            </w:r>
          </w:p>
        </w:tc>
        <w:tc>
          <w:tcPr>
            <w:tcW w:w="633" w:type="dxa"/>
            <w:tcBorders>
              <w:top w:val="single" w:sz="4" w:space="0" w:color="auto"/>
              <w:left w:val="single" w:sz="4" w:space="0" w:color="auto"/>
              <w:bottom w:val="single" w:sz="4" w:space="0" w:color="auto"/>
              <w:right w:val="single" w:sz="4" w:space="0" w:color="auto"/>
            </w:tcBorders>
            <w:hideMark/>
          </w:tcPr>
          <w:p w14:paraId="340CE372" w14:textId="77777777" w:rsidR="009D4A93" w:rsidRPr="00536CFD" w:rsidRDefault="009D4A93" w:rsidP="009D4A93">
            <w:pPr>
              <w:pStyle w:val="BodyText"/>
              <w:spacing w:after="0"/>
              <w:jc w:val="center"/>
            </w:pPr>
            <w:r w:rsidRPr="00536CFD">
              <w:t>15.359</w:t>
            </w:r>
          </w:p>
        </w:tc>
        <w:tc>
          <w:tcPr>
            <w:tcW w:w="701" w:type="dxa"/>
            <w:tcBorders>
              <w:top w:val="single" w:sz="4" w:space="0" w:color="auto"/>
              <w:left w:val="single" w:sz="4" w:space="0" w:color="auto"/>
              <w:bottom w:val="single" w:sz="4" w:space="0" w:color="auto"/>
              <w:right w:val="single" w:sz="4" w:space="0" w:color="auto"/>
            </w:tcBorders>
            <w:vAlign w:val="center"/>
            <w:hideMark/>
          </w:tcPr>
          <w:p w14:paraId="6D7E5DC9" w14:textId="77777777" w:rsidR="009D4A93" w:rsidRPr="00536CFD" w:rsidRDefault="009D4A93" w:rsidP="009D4A93">
            <w:pPr>
              <w:pStyle w:val="BodyText"/>
              <w:spacing w:after="0"/>
              <w:jc w:val="center"/>
            </w:pPr>
            <w:r w:rsidRPr="00536CFD">
              <w:t>3.058</w:t>
            </w:r>
          </w:p>
        </w:tc>
        <w:tc>
          <w:tcPr>
            <w:tcW w:w="701" w:type="dxa"/>
            <w:tcBorders>
              <w:top w:val="single" w:sz="4" w:space="0" w:color="auto"/>
              <w:left w:val="single" w:sz="4" w:space="0" w:color="auto"/>
              <w:bottom w:val="single" w:sz="4" w:space="0" w:color="auto"/>
              <w:right w:val="single" w:sz="4" w:space="0" w:color="auto"/>
            </w:tcBorders>
            <w:vAlign w:val="center"/>
            <w:hideMark/>
          </w:tcPr>
          <w:p w14:paraId="23E0CBE7" w14:textId="77777777" w:rsidR="009D4A93" w:rsidRPr="00536CFD" w:rsidRDefault="009D4A93" w:rsidP="009D4A93">
            <w:pPr>
              <w:pStyle w:val="BodyText"/>
              <w:spacing w:after="0"/>
              <w:jc w:val="center"/>
            </w:pPr>
            <w:r w:rsidRPr="00536CFD">
              <w:t>3.269</w:t>
            </w:r>
          </w:p>
        </w:tc>
        <w:tc>
          <w:tcPr>
            <w:tcW w:w="701" w:type="dxa"/>
            <w:tcBorders>
              <w:top w:val="single" w:sz="4" w:space="0" w:color="auto"/>
              <w:left w:val="single" w:sz="4" w:space="0" w:color="auto"/>
              <w:bottom w:val="single" w:sz="4" w:space="0" w:color="auto"/>
              <w:right w:val="single" w:sz="4" w:space="0" w:color="auto"/>
            </w:tcBorders>
            <w:vAlign w:val="center"/>
            <w:hideMark/>
          </w:tcPr>
          <w:p w14:paraId="01FB1558" w14:textId="77777777" w:rsidR="009D4A93" w:rsidRPr="00536CFD" w:rsidRDefault="009D4A93" w:rsidP="009D4A93">
            <w:pPr>
              <w:pStyle w:val="BodyText"/>
              <w:spacing w:after="0"/>
              <w:jc w:val="center"/>
            </w:pPr>
            <w:r w:rsidRPr="00536CFD">
              <w:t>4.072</w:t>
            </w:r>
          </w:p>
        </w:tc>
        <w:tc>
          <w:tcPr>
            <w:tcW w:w="704" w:type="dxa"/>
            <w:tcBorders>
              <w:top w:val="single" w:sz="4" w:space="0" w:color="auto"/>
              <w:left w:val="single" w:sz="4" w:space="0" w:color="auto"/>
              <w:bottom w:val="single" w:sz="4" w:space="0" w:color="auto"/>
              <w:right w:val="single" w:sz="4" w:space="0" w:color="auto"/>
            </w:tcBorders>
            <w:hideMark/>
          </w:tcPr>
          <w:p w14:paraId="186E7BD5" w14:textId="77777777" w:rsidR="009D4A93" w:rsidRPr="00536CFD" w:rsidRDefault="009D4A93" w:rsidP="009D4A93">
            <w:pPr>
              <w:pStyle w:val="BodyText"/>
              <w:spacing w:after="0"/>
              <w:jc w:val="center"/>
            </w:pPr>
            <w:r w:rsidRPr="00536CFD">
              <w:t>4.121</w:t>
            </w:r>
          </w:p>
        </w:tc>
        <w:tc>
          <w:tcPr>
            <w:tcW w:w="723" w:type="dxa"/>
            <w:tcBorders>
              <w:top w:val="single" w:sz="4" w:space="0" w:color="auto"/>
              <w:left w:val="single" w:sz="4" w:space="0" w:color="auto"/>
              <w:bottom w:val="single" w:sz="4" w:space="0" w:color="auto"/>
              <w:right w:val="single" w:sz="4" w:space="0" w:color="auto"/>
            </w:tcBorders>
            <w:vAlign w:val="center"/>
            <w:hideMark/>
          </w:tcPr>
          <w:p w14:paraId="619149F6" w14:textId="77777777" w:rsidR="009D4A93" w:rsidRPr="00536CFD" w:rsidRDefault="009D4A93" w:rsidP="009D4A93">
            <w:pPr>
              <w:pStyle w:val="BodyText"/>
              <w:spacing w:after="0"/>
              <w:jc w:val="center"/>
            </w:pPr>
            <w:r w:rsidRPr="00536CFD">
              <w:t>0.459</w:t>
            </w:r>
          </w:p>
        </w:tc>
        <w:tc>
          <w:tcPr>
            <w:tcW w:w="724" w:type="dxa"/>
            <w:tcBorders>
              <w:top w:val="single" w:sz="4" w:space="0" w:color="auto"/>
              <w:left w:val="single" w:sz="4" w:space="0" w:color="auto"/>
              <w:bottom w:val="single" w:sz="4" w:space="0" w:color="auto"/>
              <w:right w:val="single" w:sz="4" w:space="0" w:color="auto"/>
            </w:tcBorders>
            <w:vAlign w:val="center"/>
            <w:hideMark/>
          </w:tcPr>
          <w:p w14:paraId="1DCF39F6" w14:textId="77777777" w:rsidR="009D4A93" w:rsidRPr="00536CFD" w:rsidRDefault="009D4A93" w:rsidP="009D4A93">
            <w:pPr>
              <w:pStyle w:val="BodyText"/>
              <w:spacing w:after="0"/>
              <w:jc w:val="center"/>
            </w:pPr>
            <w:r w:rsidRPr="00536CFD">
              <w:t>0.792</w:t>
            </w:r>
          </w:p>
        </w:tc>
        <w:tc>
          <w:tcPr>
            <w:tcW w:w="723" w:type="dxa"/>
            <w:tcBorders>
              <w:top w:val="single" w:sz="4" w:space="0" w:color="auto"/>
              <w:left w:val="single" w:sz="4" w:space="0" w:color="auto"/>
              <w:bottom w:val="single" w:sz="4" w:space="0" w:color="auto"/>
              <w:right w:val="single" w:sz="4" w:space="0" w:color="auto"/>
            </w:tcBorders>
            <w:vAlign w:val="center"/>
            <w:hideMark/>
          </w:tcPr>
          <w:p w14:paraId="31EF52CF" w14:textId="77777777" w:rsidR="009D4A93" w:rsidRPr="00536CFD" w:rsidRDefault="009D4A93" w:rsidP="009D4A93">
            <w:pPr>
              <w:pStyle w:val="BodyText"/>
              <w:spacing w:after="0"/>
              <w:jc w:val="center"/>
            </w:pPr>
            <w:r w:rsidRPr="00536CFD">
              <w:t>0.417</w:t>
            </w:r>
          </w:p>
        </w:tc>
        <w:tc>
          <w:tcPr>
            <w:tcW w:w="724" w:type="dxa"/>
            <w:tcBorders>
              <w:top w:val="single" w:sz="4" w:space="0" w:color="auto"/>
              <w:left w:val="single" w:sz="4" w:space="0" w:color="auto"/>
              <w:bottom w:val="single" w:sz="4" w:space="0" w:color="auto"/>
              <w:right w:val="single" w:sz="4" w:space="0" w:color="auto"/>
            </w:tcBorders>
            <w:hideMark/>
          </w:tcPr>
          <w:p w14:paraId="45488AC4" w14:textId="77777777" w:rsidR="009D4A93" w:rsidRPr="00536CFD" w:rsidRDefault="009D4A93" w:rsidP="009D4A93">
            <w:pPr>
              <w:pStyle w:val="BodyText"/>
              <w:spacing w:after="0"/>
              <w:jc w:val="center"/>
            </w:pPr>
            <w:r w:rsidRPr="00536CFD">
              <w:t>0.862</w:t>
            </w:r>
          </w:p>
        </w:tc>
      </w:tr>
      <w:tr w:rsidR="009D4A93" w:rsidRPr="00536CFD" w14:paraId="40DF9249"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2A048BE6"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0B77C6E2"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0D1574CB" w14:textId="77777777" w:rsidR="009D4A93" w:rsidRPr="00536CFD" w:rsidRDefault="009D4A93" w:rsidP="009D4A93">
            <w:pPr>
              <w:pStyle w:val="ListParagraph"/>
              <w:spacing w:after="0"/>
              <w:ind w:firstLineChars="0" w:firstLine="0"/>
              <w:jc w:val="center"/>
            </w:pPr>
            <w:r w:rsidRPr="00536CFD">
              <w:t>50%</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2E3510" w14:textId="77777777" w:rsidR="009D4A93" w:rsidRPr="00536CFD" w:rsidRDefault="009D4A93" w:rsidP="009D4A93">
            <w:pPr>
              <w:pStyle w:val="BodyText"/>
              <w:spacing w:after="0"/>
              <w:jc w:val="center"/>
            </w:pPr>
            <w:r w:rsidRPr="00536CFD">
              <w:t>39.777</w:t>
            </w:r>
          </w:p>
        </w:tc>
        <w:tc>
          <w:tcPr>
            <w:tcW w:w="632" w:type="dxa"/>
            <w:tcBorders>
              <w:top w:val="single" w:sz="4" w:space="0" w:color="auto"/>
              <w:left w:val="single" w:sz="4" w:space="0" w:color="auto"/>
              <w:bottom w:val="single" w:sz="4" w:space="0" w:color="auto"/>
              <w:right w:val="single" w:sz="4" w:space="0" w:color="auto"/>
            </w:tcBorders>
            <w:vAlign w:val="center"/>
            <w:hideMark/>
          </w:tcPr>
          <w:p w14:paraId="06B66BD3" w14:textId="77777777" w:rsidR="009D4A93" w:rsidRPr="00536CFD" w:rsidRDefault="009D4A93" w:rsidP="009D4A93">
            <w:pPr>
              <w:pStyle w:val="BodyText"/>
              <w:spacing w:after="0"/>
              <w:jc w:val="center"/>
            </w:pPr>
            <w:r w:rsidRPr="00536CFD">
              <w:t>64.211</w:t>
            </w:r>
          </w:p>
        </w:tc>
        <w:tc>
          <w:tcPr>
            <w:tcW w:w="632" w:type="dxa"/>
            <w:tcBorders>
              <w:top w:val="single" w:sz="4" w:space="0" w:color="auto"/>
              <w:left w:val="single" w:sz="4" w:space="0" w:color="auto"/>
              <w:bottom w:val="single" w:sz="4" w:space="0" w:color="auto"/>
              <w:right w:val="single" w:sz="4" w:space="0" w:color="auto"/>
            </w:tcBorders>
            <w:vAlign w:val="center"/>
            <w:hideMark/>
          </w:tcPr>
          <w:p w14:paraId="1F533C4B" w14:textId="77777777" w:rsidR="009D4A93" w:rsidRPr="00536CFD" w:rsidRDefault="009D4A93" w:rsidP="009D4A93">
            <w:pPr>
              <w:pStyle w:val="BodyText"/>
              <w:spacing w:after="0"/>
              <w:jc w:val="center"/>
            </w:pPr>
            <w:r w:rsidRPr="00536CFD">
              <w:t>39.299</w:t>
            </w:r>
          </w:p>
        </w:tc>
        <w:tc>
          <w:tcPr>
            <w:tcW w:w="633" w:type="dxa"/>
            <w:tcBorders>
              <w:top w:val="single" w:sz="4" w:space="0" w:color="auto"/>
              <w:left w:val="single" w:sz="4" w:space="0" w:color="auto"/>
              <w:bottom w:val="single" w:sz="4" w:space="0" w:color="auto"/>
              <w:right w:val="single" w:sz="4" w:space="0" w:color="auto"/>
            </w:tcBorders>
            <w:hideMark/>
          </w:tcPr>
          <w:p w14:paraId="573CDD64" w14:textId="77777777" w:rsidR="009D4A93" w:rsidRPr="00536CFD" w:rsidRDefault="009D4A93" w:rsidP="009D4A93">
            <w:pPr>
              <w:pStyle w:val="BodyText"/>
              <w:spacing w:after="0"/>
              <w:jc w:val="center"/>
            </w:pPr>
            <w:r w:rsidRPr="00536CFD">
              <w:t>58.714</w:t>
            </w:r>
          </w:p>
        </w:tc>
        <w:tc>
          <w:tcPr>
            <w:tcW w:w="701" w:type="dxa"/>
            <w:tcBorders>
              <w:top w:val="single" w:sz="4" w:space="0" w:color="auto"/>
              <w:left w:val="single" w:sz="4" w:space="0" w:color="auto"/>
              <w:bottom w:val="single" w:sz="4" w:space="0" w:color="auto"/>
              <w:right w:val="single" w:sz="4" w:space="0" w:color="auto"/>
            </w:tcBorders>
            <w:vAlign w:val="center"/>
            <w:hideMark/>
          </w:tcPr>
          <w:p w14:paraId="55061E7E" w14:textId="77777777" w:rsidR="009D4A93" w:rsidRPr="00536CFD" w:rsidRDefault="009D4A93" w:rsidP="009D4A93">
            <w:pPr>
              <w:pStyle w:val="BodyText"/>
              <w:spacing w:after="0"/>
              <w:jc w:val="center"/>
            </w:pPr>
            <w:r w:rsidRPr="00536CFD">
              <w:t>27.595</w:t>
            </w:r>
          </w:p>
        </w:tc>
        <w:tc>
          <w:tcPr>
            <w:tcW w:w="701" w:type="dxa"/>
            <w:tcBorders>
              <w:top w:val="single" w:sz="4" w:space="0" w:color="auto"/>
              <w:left w:val="single" w:sz="4" w:space="0" w:color="auto"/>
              <w:bottom w:val="single" w:sz="4" w:space="0" w:color="auto"/>
              <w:right w:val="single" w:sz="4" w:space="0" w:color="auto"/>
            </w:tcBorders>
            <w:vAlign w:val="center"/>
            <w:hideMark/>
          </w:tcPr>
          <w:p w14:paraId="66CCA774" w14:textId="77777777" w:rsidR="009D4A93" w:rsidRPr="00536CFD" w:rsidRDefault="009D4A93" w:rsidP="009D4A93">
            <w:pPr>
              <w:pStyle w:val="BodyText"/>
              <w:spacing w:after="0"/>
              <w:jc w:val="center"/>
            </w:pPr>
            <w:r w:rsidRPr="00536CFD">
              <w:t>37.322</w:t>
            </w:r>
          </w:p>
        </w:tc>
        <w:tc>
          <w:tcPr>
            <w:tcW w:w="701" w:type="dxa"/>
            <w:tcBorders>
              <w:top w:val="single" w:sz="4" w:space="0" w:color="auto"/>
              <w:left w:val="single" w:sz="4" w:space="0" w:color="auto"/>
              <w:bottom w:val="single" w:sz="4" w:space="0" w:color="auto"/>
              <w:right w:val="single" w:sz="4" w:space="0" w:color="auto"/>
            </w:tcBorders>
            <w:vAlign w:val="center"/>
            <w:hideMark/>
          </w:tcPr>
          <w:p w14:paraId="54410B9E" w14:textId="77777777" w:rsidR="009D4A93" w:rsidRPr="00536CFD" w:rsidRDefault="009D4A93" w:rsidP="009D4A93">
            <w:pPr>
              <w:pStyle w:val="BodyText"/>
              <w:spacing w:after="0"/>
              <w:jc w:val="center"/>
            </w:pPr>
            <w:r w:rsidRPr="00536CFD">
              <w:t>26.132</w:t>
            </w:r>
          </w:p>
        </w:tc>
        <w:tc>
          <w:tcPr>
            <w:tcW w:w="704" w:type="dxa"/>
            <w:tcBorders>
              <w:top w:val="single" w:sz="4" w:space="0" w:color="auto"/>
              <w:left w:val="single" w:sz="4" w:space="0" w:color="auto"/>
              <w:bottom w:val="single" w:sz="4" w:space="0" w:color="auto"/>
              <w:right w:val="single" w:sz="4" w:space="0" w:color="auto"/>
            </w:tcBorders>
            <w:hideMark/>
          </w:tcPr>
          <w:p w14:paraId="5E679D9D" w14:textId="77777777" w:rsidR="009D4A93" w:rsidRPr="00536CFD" w:rsidRDefault="009D4A93" w:rsidP="009D4A93">
            <w:pPr>
              <w:pStyle w:val="BodyText"/>
              <w:spacing w:after="0"/>
              <w:jc w:val="center"/>
            </w:pPr>
            <w:r w:rsidRPr="00536CFD">
              <w:t>31.967</w:t>
            </w:r>
          </w:p>
        </w:tc>
        <w:tc>
          <w:tcPr>
            <w:tcW w:w="723" w:type="dxa"/>
            <w:tcBorders>
              <w:top w:val="single" w:sz="4" w:space="0" w:color="auto"/>
              <w:left w:val="single" w:sz="4" w:space="0" w:color="auto"/>
              <w:bottom w:val="single" w:sz="4" w:space="0" w:color="auto"/>
              <w:right w:val="single" w:sz="4" w:space="0" w:color="auto"/>
            </w:tcBorders>
            <w:vAlign w:val="center"/>
            <w:hideMark/>
          </w:tcPr>
          <w:p w14:paraId="48167B7B" w14:textId="77777777" w:rsidR="009D4A93" w:rsidRPr="00536CFD" w:rsidRDefault="009D4A93" w:rsidP="009D4A93">
            <w:pPr>
              <w:pStyle w:val="BodyText"/>
              <w:spacing w:after="0"/>
              <w:jc w:val="center"/>
            </w:pPr>
            <w:r w:rsidRPr="00536CFD">
              <w:t>12.037</w:t>
            </w:r>
          </w:p>
        </w:tc>
        <w:tc>
          <w:tcPr>
            <w:tcW w:w="724" w:type="dxa"/>
            <w:tcBorders>
              <w:top w:val="single" w:sz="4" w:space="0" w:color="auto"/>
              <w:left w:val="single" w:sz="4" w:space="0" w:color="auto"/>
              <w:bottom w:val="single" w:sz="4" w:space="0" w:color="auto"/>
              <w:right w:val="single" w:sz="4" w:space="0" w:color="auto"/>
            </w:tcBorders>
            <w:vAlign w:val="center"/>
            <w:hideMark/>
          </w:tcPr>
          <w:p w14:paraId="218C09A8" w14:textId="77777777" w:rsidR="009D4A93" w:rsidRPr="00536CFD" w:rsidRDefault="009D4A93" w:rsidP="009D4A93">
            <w:pPr>
              <w:pStyle w:val="BodyText"/>
              <w:spacing w:after="0"/>
              <w:jc w:val="center"/>
            </w:pPr>
            <w:r w:rsidRPr="00536CFD">
              <w:t>14.931</w:t>
            </w:r>
          </w:p>
        </w:tc>
        <w:tc>
          <w:tcPr>
            <w:tcW w:w="723" w:type="dxa"/>
            <w:tcBorders>
              <w:top w:val="single" w:sz="4" w:space="0" w:color="auto"/>
              <w:left w:val="single" w:sz="4" w:space="0" w:color="auto"/>
              <w:bottom w:val="single" w:sz="4" w:space="0" w:color="auto"/>
              <w:right w:val="single" w:sz="4" w:space="0" w:color="auto"/>
            </w:tcBorders>
            <w:vAlign w:val="center"/>
            <w:hideMark/>
          </w:tcPr>
          <w:p w14:paraId="145B420F" w14:textId="77777777" w:rsidR="009D4A93" w:rsidRPr="00536CFD" w:rsidRDefault="009D4A93" w:rsidP="009D4A93">
            <w:pPr>
              <w:pStyle w:val="BodyText"/>
              <w:spacing w:after="0"/>
              <w:jc w:val="center"/>
            </w:pPr>
            <w:r w:rsidRPr="00536CFD">
              <w:t>6.926</w:t>
            </w:r>
          </w:p>
        </w:tc>
        <w:tc>
          <w:tcPr>
            <w:tcW w:w="724" w:type="dxa"/>
            <w:tcBorders>
              <w:top w:val="single" w:sz="4" w:space="0" w:color="auto"/>
              <w:left w:val="single" w:sz="4" w:space="0" w:color="auto"/>
              <w:bottom w:val="single" w:sz="4" w:space="0" w:color="auto"/>
              <w:right w:val="single" w:sz="4" w:space="0" w:color="auto"/>
            </w:tcBorders>
            <w:hideMark/>
          </w:tcPr>
          <w:p w14:paraId="0C01ECA1" w14:textId="77777777" w:rsidR="009D4A93" w:rsidRPr="00536CFD" w:rsidRDefault="009D4A93" w:rsidP="009D4A93">
            <w:pPr>
              <w:pStyle w:val="BodyText"/>
              <w:spacing w:after="0"/>
              <w:jc w:val="center"/>
            </w:pPr>
            <w:r w:rsidRPr="00536CFD">
              <w:t>16.210</w:t>
            </w:r>
          </w:p>
        </w:tc>
      </w:tr>
      <w:tr w:rsidR="009D4A93" w:rsidRPr="00536CFD" w14:paraId="5E0D4D32"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5BFBE464"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6975C36A"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65D6B9B5" w14:textId="77777777" w:rsidR="009D4A93" w:rsidRPr="00536CFD" w:rsidRDefault="009D4A93" w:rsidP="009D4A93">
            <w:pPr>
              <w:pStyle w:val="ListParagraph"/>
              <w:spacing w:after="0"/>
              <w:ind w:firstLineChars="0" w:firstLine="0"/>
              <w:jc w:val="center"/>
            </w:pPr>
            <w:r w:rsidRPr="00536CFD">
              <w:t>95%</w:t>
            </w:r>
          </w:p>
        </w:tc>
        <w:tc>
          <w:tcPr>
            <w:tcW w:w="630" w:type="dxa"/>
            <w:tcBorders>
              <w:top w:val="single" w:sz="4" w:space="0" w:color="auto"/>
              <w:left w:val="single" w:sz="4" w:space="0" w:color="auto"/>
              <w:bottom w:val="single" w:sz="4" w:space="0" w:color="auto"/>
              <w:right w:val="single" w:sz="4" w:space="0" w:color="auto"/>
            </w:tcBorders>
            <w:vAlign w:val="center"/>
            <w:hideMark/>
          </w:tcPr>
          <w:p w14:paraId="799F4CC9" w14:textId="77777777" w:rsidR="009D4A93" w:rsidRPr="00536CFD" w:rsidRDefault="009D4A93" w:rsidP="009D4A93">
            <w:pPr>
              <w:pStyle w:val="BodyText"/>
              <w:spacing w:after="0"/>
              <w:jc w:val="center"/>
            </w:pPr>
            <w:r w:rsidRPr="00536CFD">
              <w:t>54.888</w:t>
            </w:r>
          </w:p>
        </w:tc>
        <w:tc>
          <w:tcPr>
            <w:tcW w:w="632" w:type="dxa"/>
            <w:tcBorders>
              <w:top w:val="single" w:sz="4" w:space="0" w:color="auto"/>
              <w:left w:val="single" w:sz="4" w:space="0" w:color="auto"/>
              <w:bottom w:val="single" w:sz="4" w:space="0" w:color="auto"/>
              <w:right w:val="single" w:sz="4" w:space="0" w:color="auto"/>
            </w:tcBorders>
            <w:vAlign w:val="center"/>
            <w:hideMark/>
          </w:tcPr>
          <w:p w14:paraId="6F51BAC5" w14:textId="77777777" w:rsidR="009D4A93" w:rsidRPr="00536CFD" w:rsidRDefault="009D4A93" w:rsidP="009D4A93">
            <w:pPr>
              <w:pStyle w:val="BodyText"/>
              <w:spacing w:after="0"/>
              <w:jc w:val="center"/>
            </w:pPr>
            <w:r w:rsidRPr="00536CFD">
              <w:t>74.117</w:t>
            </w:r>
          </w:p>
        </w:tc>
        <w:tc>
          <w:tcPr>
            <w:tcW w:w="632" w:type="dxa"/>
            <w:tcBorders>
              <w:top w:val="single" w:sz="4" w:space="0" w:color="auto"/>
              <w:left w:val="single" w:sz="4" w:space="0" w:color="auto"/>
              <w:bottom w:val="single" w:sz="4" w:space="0" w:color="auto"/>
              <w:right w:val="single" w:sz="4" w:space="0" w:color="auto"/>
            </w:tcBorders>
            <w:vAlign w:val="center"/>
            <w:hideMark/>
          </w:tcPr>
          <w:p w14:paraId="2D770C3B" w14:textId="77777777" w:rsidR="009D4A93" w:rsidRPr="00536CFD" w:rsidRDefault="009D4A93" w:rsidP="009D4A93">
            <w:pPr>
              <w:pStyle w:val="BodyText"/>
              <w:spacing w:after="0"/>
              <w:jc w:val="center"/>
            </w:pPr>
            <w:r w:rsidRPr="00536CFD">
              <w:t>59.415</w:t>
            </w:r>
          </w:p>
        </w:tc>
        <w:tc>
          <w:tcPr>
            <w:tcW w:w="633" w:type="dxa"/>
            <w:tcBorders>
              <w:top w:val="single" w:sz="4" w:space="0" w:color="auto"/>
              <w:left w:val="single" w:sz="4" w:space="0" w:color="auto"/>
              <w:bottom w:val="single" w:sz="4" w:space="0" w:color="auto"/>
              <w:right w:val="single" w:sz="4" w:space="0" w:color="auto"/>
            </w:tcBorders>
            <w:hideMark/>
          </w:tcPr>
          <w:p w14:paraId="4B1D063B" w14:textId="77777777" w:rsidR="009D4A93" w:rsidRPr="00536CFD" w:rsidRDefault="009D4A93" w:rsidP="009D4A93">
            <w:pPr>
              <w:pStyle w:val="BodyText"/>
              <w:spacing w:after="0"/>
              <w:jc w:val="center"/>
            </w:pPr>
            <w:r w:rsidRPr="00536CFD">
              <w:t>73.970</w:t>
            </w:r>
          </w:p>
        </w:tc>
        <w:tc>
          <w:tcPr>
            <w:tcW w:w="701" w:type="dxa"/>
            <w:tcBorders>
              <w:top w:val="single" w:sz="4" w:space="0" w:color="auto"/>
              <w:left w:val="single" w:sz="4" w:space="0" w:color="auto"/>
              <w:bottom w:val="single" w:sz="4" w:space="0" w:color="auto"/>
              <w:right w:val="single" w:sz="4" w:space="0" w:color="auto"/>
            </w:tcBorders>
            <w:vAlign w:val="center"/>
            <w:hideMark/>
          </w:tcPr>
          <w:p w14:paraId="3384D442" w14:textId="77777777" w:rsidR="009D4A93" w:rsidRPr="00536CFD" w:rsidRDefault="009D4A93" w:rsidP="009D4A93">
            <w:pPr>
              <w:pStyle w:val="BodyText"/>
              <w:spacing w:after="0"/>
              <w:jc w:val="center"/>
            </w:pPr>
            <w:r w:rsidRPr="00536CFD">
              <w:t>53.332</w:t>
            </w:r>
          </w:p>
        </w:tc>
        <w:tc>
          <w:tcPr>
            <w:tcW w:w="701" w:type="dxa"/>
            <w:tcBorders>
              <w:top w:val="single" w:sz="4" w:space="0" w:color="auto"/>
              <w:left w:val="single" w:sz="4" w:space="0" w:color="auto"/>
              <w:bottom w:val="single" w:sz="4" w:space="0" w:color="auto"/>
              <w:right w:val="single" w:sz="4" w:space="0" w:color="auto"/>
            </w:tcBorders>
            <w:vAlign w:val="center"/>
            <w:hideMark/>
          </w:tcPr>
          <w:p w14:paraId="09CFC51E" w14:textId="77777777" w:rsidR="009D4A93" w:rsidRPr="00536CFD" w:rsidRDefault="009D4A93" w:rsidP="009D4A93">
            <w:pPr>
              <w:pStyle w:val="BodyText"/>
              <w:spacing w:after="0"/>
              <w:jc w:val="center"/>
            </w:pPr>
            <w:r w:rsidRPr="00536CFD">
              <w:t>74.131</w:t>
            </w:r>
          </w:p>
        </w:tc>
        <w:tc>
          <w:tcPr>
            <w:tcW w:w="701" w:type="dxa"/>
            <w:tcBorders>
              <w:top w:val="single" w:sz="4" w:space="0" w:color="auto"/>
              <w:left w:val="single" w:sz="4" w:space="0" w:color="auto"/>
              <w:bottom w:val="single" w:sz="4" w:space="0" w:color="auto"/>
              <w:right w:val="single" w:sz="4" w:space="0" w:color="auto"/>
            </w:tcBorders>
            <w:vAlign w:val="center"/>
            <w:hideMark/>
          </w:tcPr>
          <w:p w14:paraId="02C9BAE9" w14:textId="77777777" w:rsidR="009D4A93" w:rsidRPr="00536CFD" w:rsidRDefault="009D4A93" w:rsidP="009D4A93">
            <w:pPr>
              <w:pStyle w:val="BodyText"/>
              <w:spacing w:after="0"/>
              <w:jc w:val="center"/>
            </w:pPr>
            <w:r w:rsidRPr="00536CFD">
              <w:t>50.016</w:t>
            </w:r>
          </w:p>
        </w:tc>
        <w:tc>
          <w:tcPr>
            <w:tcW w:w="704" w:type="dxa"/>
            <w:tcBorders>
              <w:top w:val="single" w:sz="4" w:space="0" w:color="auto"/>
              <w:left w:val="single" w:sz="4" w:space="0" w:color="auto"/>
              <w:bottom w:val="single" w:sz="4" w:space="0" w:color="auto"/>
              <w:right w:val="single" w:sz="4" w:space="0" w:color="auto"/>
            </w:tcBorders>
            <w:hideMark/>
          </w:tcPr>
          <w:p w14:paraId="10143A2A" w14:textId="77777777" w:rsidR="009D4A93" w:rsidRPr="00536CFD" w:rsidRDefault="009D4A93" w:rsidP="009D4A93">
            <w:pPr>
              <w:pStyle w:val="BodyText"/>
              <w:spacing w:after="0"/>
              <w:jc w:val="center"/>
            </w:pPr>
            <w:r w:rsidRPr="00536CFD">
              <w:t>74.092</w:t>
            </w:r>
          </w:p>
        </w:tc>
        <w:tc>
          <w:tcPr>
            <w:tcW w:w="723" w:type="dxa"/>
            <w:tcBorders>
              <w:top w:val="single" w:sz="4" w:space="0" w:color="auto"/>
              <w:left w:val="single" w:sz="4" w:space="0" w:color="auto"/>
              <w:bottom w:val="single" w:sz="4" w:space="0" w:color="auto"/>
              <w:right w:val="single" w:sz="4" w:space="0" w:color="auto"/>
            </w:tcBorders>
            <w:vAlign w:val="center"/>
            <w:hideMark/>
          </w:tcPr>
          <w:p w14:paraId="7308159A" w14:textId="77777777" w:rsidR="009D4A93" w:rsidRPr="00536CFD" w:rsidRDefault="009D4A93" w:rsidP="009D4A93">
            <w:pPr>
              <w:pStyle w:val="BodyText"/>
              <w:spacing w:after="0"/>
              <w:jc w:val="center"/>
            </w:pPr>
            <w:r w:rsidRPr="00536CFD">
              <w:t>43.630</w:t>
            </w:r>
          </w:p>
        </w:tc>
        <w:tc>
          <w:tcPr>
            <w:tcW w:w="724" w:type="dxa"/>
            <w:tcBorders>
              <w:top w:val="single" w:sz="4" w:space="0" w:color="auto"/>
              <w:left w:val="single" w:sz="4" w:space="0" w:color="auto"/>
              <w:bottom w:val="single" w:sz="4" w:space="0" w:color="auto"/>
              <w:right w:val="single" w:sz="4" w:space="0" w:color="auto"/>
            </w:tcBorders>
            <w:vAlign w:val="center"/>
            <w:hideMark/>
          </w:tcPr>
          <w:p w14:paraId="1831BC91" w14:textId="77777777" w:rsidR="009D4A93" w:rsidRPr="00536CFD" w:rsidRDefault="009D4A93" w:rsidP="009D4A93">
            <w:pPr>
              <w:pStyle w:val="BodyText"/>
              <w:spacing w:after="0"/>
              <w:jc w:val="center"/>
            </w:pPr>
            <w:r w:rsidRPr="00536CFD">
              <w:t>73.584</w:t>
            </w:r>
          </w:p>
        </w:tc>
        <w:tc>
          <w:tcPr>
            <w:tcW w:w="723" w:type="dxa"/>
            <w:tcBorders>
              <w:top w:val="single" w:sz="4" w:space="0" w:color="auto"/>
              <w:left w:val="single" w:sz="4" w:space="0" w:color="auto"/>
              <w:bottom w:val="single" w:sz="4" w:space="0" w:color="auto"/>
              <w:right w:val="single" w:sz="4" w:space="0" w:color="auto"/>
            </w:tcBorders>
            <w:vAlign w:val="center"/>
            <w:hideMark/>
          </w:tcPr>
          <w:p w14:paraId="471BD7D3" w14:textId="77777777" w:rsidR="009D4A93" w:rsidRPr="00536CFD" w:rsidRDefault="009D4A93" w:rsidP="009D4A93">
            <w:pPr>
              <w:pStyle w:val="BodyText"/>
              <w:spacing w:after="0"/>
              <w:jc w:val="center"/>
            </w:pPr>
            <w:r w:rsidRPr="00536CFD">
              <w:t>40.343</w:t>
            </w:r>
          </w:p>
        </w:tc>
        <w:tc>
          <w:tcPr>
            <w:tcW w:w="724" w:type="dxa"/>
            <w:tcBorders>
              <w:top w:val="single" w:sz="4" w:space="0" w:color="auto"/>
              <w:left w:val="single" w:sz="4" w:space="0" w:color="auto"/>
              <w:bottom w:val="single" w:sz="4" w:space="0" w:color="auto"/>
              <w:right w:val="single" w:sz="4" w:space="0" w:color="auto"/>
            </w:tcBorders>
            <w:hideMark/>
          </w:tcPr>
          <w:p w14:paraId="123388A1" w14:textId="77777777" w:rsidR="009D4A93" w:rsidRPr="00536CFD" w:rsidRDefault="009D4A93" w:rsidP="009D4A93">
            <w:pPr>
              <w:pStyle w:val="BodyText"/>
              <w:spacing w:after="0"/>
              <w:jc w:val="center"/>
            </w:pPr>
            <w:r w:rsidRPr="00536CFD">
              <w:t>45.916</w:t>
            </w:r>
          </w:p>
        </w:tc>
      </w:tr>
      <w:tr w:rsidR="009D4A93" w:rsidRPr="00536CFD" w14:paraId="6DCB7746"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3F5766A8"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170A1FAA"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7A6D6E0F" w14:textId="77777777" w:rsidR="009D4A93" w:rsidRPr="00536CFD" w:rsidRDefault="009D4A93" w:rsidP="009D4A93">
            <w:pPr>
              <w:pStyle w:val="ListParagraph"/>
              <w:spacing w:after="0"/>
              <w:ind w:firstLineChars="0" w:firstLine="0"/>
              <w:jc w:val="center"/>
            </w:pPr>
            <w:r w:rsidRPr="00536CFD">
              <w:t>Mean</w:t>
            </w:r>
          </w:p>
        </w:tc>
        <w:tc>
          <w:tcPr>
            <w:tcW w:w="630" w:type="dxa"/>
            <w:tcBorders>
              <w:top w:val="single" w:sz="4" w:space="0" w:color="auto"/>
              <w:left w:val="single" w:sz="4" w:space="0" w:color="auto"/>
              <w:bottom w:val="single" w:sz="4" w:space="0" w:color="auto"/>
              <w:right w:val="single" w:sz="4" w:space="0" w:color="auto"/>
            </w:tcBorders>
            <w:hideMark/>
          </w:tcPr>
          <w:p w14:paraId="53242338" w14:textId="77777777" w:rsidR="009D4A93" w:rsidRPr="00536CFD" w:rsidRDefault="009D4A93" w:rsidP="009D4A93">
            <w:pPr>
              <w:pStyle w:val="ListParagraph"/>
              <w:spacing w:after="0"/>
              <w:ind w:firstLineChars="0" w:firstLine="0"/>
              <w:jc w:val="center"/>
            </w:pPr>
            <w:r w:rsidRPr="00536CFD">
              <w:t>35.605</w:t>
            </w:r>
          </w:p>
        </w:tc>
        <w:tc>
          <w:tcPr>
            <w:tcW w:w="632" w:type="dxa"/>
            <w:tcBorders>
              <w:top w:val="single" w:sz="4" w:space="0" w:color="auto"/>
              <w:left w:val="single" w:sz="4" w:space="0" w:color="auto"/>
              <w:bottom w:val="single" w:sz="4" w:space="0" w:color="auto"/>
              <w:right w:val="single" w:sz="4" w:space="0" w:color="auto"/>
            </w:tcBorders>
            <w:hideMark/>
          </w:tcPr>
          <w:p w14:paraId="2C67F93B" w14:textId="77777777" w:rsidR="009D4A93" w:rsidRPr="00536CFD" w:rsidRDefault="009D4A93" w:rsidP="009D4A93">
            <w:pPr>
              <w:pStyle w:val="ListParagraph"/>
              <w:spacing w:after="0"/>
              <w:ind w:firstLineChars="0" w:firstLine="0"/>
              <w:jc w:val="center"/>
            </w:pPr>
            <w:r w:rsidRPr="00536CFD">
              <w:t>58.521</w:t>
            </w:r>
          </w:p>
        </w:tc>
        <w:tc>
          <w:tcPr>
            <w:tcW w:w="632" w:type="dxa"/>
            <w:tcBorders>
              <w:top w:val="single" w:sz="4" w:space="0" w:color="auto"/>
              <w:left w:val="single" w:sz="4" w:space="0" w:color="auto"/>
              <w:bottom w:val="single" w:sz="4" w:space="0" w:color="auto"/>
              <w:right w:val="single" w:sz="4" w:space="0" w:color="auto"/>
            </w:tcBorders>
            <w:hideMark/>
          </w:tcPr>
          <w:p w14:paraId="2BD116C4" w14:textId="77777777" w:rsidR="009D4A93" w:rsidRPr="00536CFD" w:rsidRDefault="009D4A93" w:rsidP="009D4A93">
            <w:pPr>
              <w:pStyle w:val="ListParagraph"/>
              <w:spacing w:after="0"/>
              <w:ind w:firstLineChars="0" w:firstLine="0"/>
              <w:jc w:val="center"/>
            </w:pPr>
            <w:r w:rsidRPr="00536CFD">
              <w:t>35.192</w:t>
            </w:r>
          </w:p>
        </w:tc>
        <w:tc>
          <w:tcPr>
            <w:tcW w:w="633" w:type="dxa"/>
            <w:tcBorders>
              <w:top w:val="single" w:sz="4" w:space="0" w:color="auto"/>
              <w:left w:val="single" w:sz="4" w:space="0" w:color="auto"/>
              <w:bottom w:val="single" w:sz="4" w:space="0" w:color="auto"/>
              <w:right w:val="single" w:sz="4" w:space="0" w:color="auto"/>
            </w:tcBorders>
            <w:hideMark/>
          </w:tcPr>
          <w:p w14:paraId="0F6317E0" w14:textId="77777777" w:rsidR="009D4A93" w:rsidRPr="00536CFD" w:rsidRDefault="009D4A93" w:rsidP="009D4A93">
            <w:pPr>
              <w:pStyle w:val="ListParagraph"/>
              <w:spacing w:after="0"/>
              <w:ind w:firstLineChars="0" w:firstLine="0"/>
              <w:jc w:val="center"/>
            </w:pPr>
            <w:r w:rsidRPr="00536CFD">
              <w:t>54.882</w:t>
            </w:r>
          </w:p>
        </w:tc>
        <w:tc>
          <w:tcPr>
            <w:tcW w:w="701" w:type="dxa"/>
            <w:tcBorders>
              <w:top w:val="single" w:sz="4" w:space="0" w:color="auto"/>
              <w:left w:val="single" w:sz="4" w:space="0" w:color="auto"/>
              <w:bottom w:val="single" w:sz="4" w:space="0" w:color="auto"/>
              <w:right w:val="single" w:sz="4" w:space="0" w:color="auto"/>
            </w:tcBorders>
            <w:hideMark/>
          </w:tcPr>
          <w:p w14:paraId="6797A877" w14:textId="77777777" w:rsidR="009D4A93" w:rsidRPr="00536CFD" w:rsidRDefault="009D4A93" w:rsidP="009D4A93">
            <w:pPr>
              <w:pStyle w:val="ListParagraph"/>
              <w:spacing w:after="0"/>
              <w:ind w:firstLineChars="0" w:firstLine="0"/>
              <w:jc w:val="center"/>
            </w:pPr>
            <w:r w:rsidRPr="00536CFD">
              <w:t>26.831</w:t>
            </w:r>
          </w:p>
        </w:tc>
        <w:tc>
          <w:tcPr>
            <w:tcW w:w="701" w:type="dxa"/>
            <w:tcBorders>
              <w:top w:val="single" w:sz="4" w:space="0" w:color="auto"/>
              <w:left w:val="single" w:sz="4" w:space="0" w:color="auto"/>
              <w:bottom w:val="single" w:sz="4" w:space="0" w:color="auto"/>
              <w:right w:val="single" w:sz="4" w:space="0" w:color="auto"/>
            </w:tcBorders>
            <w:hideMark/>
          </w:tcPr>
          <w:p w14:paraId="4026D0FF" w14:textId="77777777" w:rsidR="009D4A93" w:rsidRPr="00536CFD" w:rsidRDefault="009D4A93" w:rsidP="009D4A93">
            <w:pPr>
              <w:pStyle w:val="ListParagraph"/>
              <w:spacing w:after="0"/>
              <w:ind w:firstLineChars="0" w:firstLine="0"/>
              <w:jc w:val="center"/>
            </w:pPr>
            <w:r w:rsidRPr="00536CFD">
              <w:t>36.968</w:t>
            </w:r>
          </w:p>
        </w:tc>
        <w:tc>
          <w:tcPr>
            <w:tcW w:w="701" w:type="dxa"/>
            <w:tcBorders>
              <w:top w:val="single" w:sz="4" w:space="0" w:color="auto"/>
              <w:left w:val="single" w:sz="4" w:space="0" w:color="auto"/>
              <w:bottom w:val="single" w:sz="4" w:space="0" w:color="auto"/>
              <w:right w:val="single" w:sz="4" w:space="0" w:color="auto"/>
            </w:tcBorders>
            <w:hideMark/>
          </w:tcPr>
          <w:p w14:paraId="2C2C9277" w14:textId="77777777" w:rsidR="009D4A93" w:rsidRPr="00536CFD" w:rsidRDefault="009D4A93" w:rsidP="009D4A93">
            <w:pPr>
              <w:pStyle w:val="ListParagraph"/>
              <w:spacing w:after="0"/>
              <w:ind w:firstLineChars="0" w:firstLine="0"/>
              <w:jc w:val="center"/>
            </w:pPr>
            <w:r w:rsidRPr="00536CFD">
              <w:t>26.143</w:t>
            </w:r>
          </w:p>
        </w:tc>
        <w:tc>
          <w:tcPr>
            <w:tcW w:w="704" w:type="dxa"/>
            <w:tcBorders>
              <w:top w:val="single" w:sz="4" w:space="0" w:color="auto"/>
              <w:left w:val="single" w:sz="4" w:space="0" w:color="auto"/>
              <w:bottom w:val="single" w:sz="4" w:space="0" w:color="auto"/>
              <w:right w:val="single" w:sz="4" w:space="0" w:color="auto"/>
            </w:tcBorders>
            <w:hideMark/>
          </w:tcPr>
          <w:p w14:paraId="44FBB22D" w14:textId="77777777" w:rsidR="009D4A93" w:rsidRPr="00536CFD" w:rsidRDefault="009D4A93" w:rsidP="009D4A93">
            <w:pPr>
              <w:pStyle w:val="ListParagraph"/>
              <w:spacing w:after="0"/>
              <w:ind w:firstLineChars="0" w:firstLine="0"/>
              <w:jc w:val="center"/>
            </w:pPr>
            <w:r w:rsidRPr="00536CFD">
              <w:t>36.561</w:t>
            </w:r>
          </w:p>
        </w:tc>
        <w:tc>
          <w:tcPr>
            <w:tcW w:w="723" w:type="dxa"/>
            <w:tcBorders>
              <w:top w:val="single" w:sz="4" w:space="0" w:color="auto"/>
              <w:left w:val="single" w:sz="4" w:space="0" w:color="auto"/>
              <w:bottom w:val="single" w:sz="4" w:space="0" w:color="auto"/>
              <w:right w:val="single" w:sz="4" w:space="0" w:color="auto"/>
            </w:tcBorders>
            <w:hideMark/>
          </w:tcPr>
          <w:p w14:paraId="06EF451D" w14:textId="77777777" w:rsidR="009D4A93" w:rsidRPr="00536CFD" w:rsidRDefault="009D4A93" w:rsidP="009D4A93">
            <w:pPr>
              <w:pStyle w:val="ListParagraph"/>
              <w:spacing w:after="0"/>
              <w:ind w:firstLineChars="0" w:firstLine="0"/>
              <w:jc w:val="center"/>
            </w:pPr>
            <w:r w:rsidRPr="00536CFD">
              <w:t>15.475</w:t>
            </w:r>
          </w:p>
        </w:tc>
        <w:tc>
          <w:tcPr>
            <w:tcW w:w="724" w:type="dxa"/>
            <w:tcBorders>
              <w:top w:val="single" w:sz="4" w:space="0" w:color="auto"/>
              <w:left w:val="single" w:sz="4" w:space="0" w:color="auto"/>
              <w:bottom w:val="single" w:sz="4" w:space="0" w:color="auto"/>
              <w:right w:val="single" w:sz="4" w:space="0" w:color="auto"/>
            </w:tcBorders>
            <w:hideMark/>
          </w:tcPr>
          <w:p w14:paraId="243B1811" w14:textId="77777777" w:rsidR="009D4A93" w:rsidRPr="00536CFD" w:rsidRDefault="009D4A93" w:rsidP="009D4A93">
            <w:pPr>
              <w:pStyle w:val="ListParagraph"/>
              <w:spacing w:after="0"/>
              <w:ind w:firstLineChars="0" w:firstLine="0"/>
              <w:jc w:val="center"/>
            </w:pPr>
            <w:r w:rsidRPr="00536CFD">
              <w:t>21.909</w:t>
            </w:r>
          </w:p>
        </w:tc>
        <w:tc>
          <w:tcPr>
            <w:tcW w:w="723" w:type="dxa"/>
            <w:tcBorders>
              <w:top w:val="single" w:sz="4" w:space="0" w:color="auto"/>
              <w:left w:val="single" w:sz="4" w:space="0" w:color="auto"/>
              <w:bottom w:val="single" w:sz="4" w:space="0" w:color="auto"/>
              <w:right w:val="single" w:sz="4" w:space="0" w:color="auto"/>
            </w:tcBorders>
            <w:hideMark/>
          </w:tcPr>
          <w:p w14:paraId="0A17164D" w14:textId="77777777" w:rsidR="009D4A93" w:rsidRPr="00536CFD" w:rsidRDefault="009D4A93" w:rsidP="009D4A93">
            <w:pPr>
              <w:pStyle w:val="ListParagraph"/>
              <w:spacing w:after="0"/>
              <w:ind w:firstLineChars="0" w:firstLine="0"/>
              <w:jc w:val="center"/>
            </w:pPr>
            <w:r w:rsidRPr="00536CFD">
              <w:t>14.680</w:t>
            </w:r>
          </w:p>
        </w:tc>
        <w:tc>
          <w:tcPr>
            <w:tcW w:w="724" w:type="dxa"/>
            <w:tcBorders>
              <w:top w:val="single" w:sz="4" w:space="0" w:color="auto"/>
              <w:left w:val="single" w:sz="4" w:space="0" w:color="auto"/>
              <w:bottom w:val="single" w:sz="4" w:space="0" w:color="auto"/>
              <w:right w:val="single" w:sz="4" w:space="0" w:color="auto"/>
            </w:tcBorders>
            <w:hideMark/>
          </w:tcPr>
          <w:p w14:paraId="32BF3E72" w14:textId="77777777" w:rsidR="009D4A93" w:rsidRPr="00536CFD" w:rsidRDefault="009D4A93" w:rsidP="009D4A93">
            <w:pPr>
              <w:pStyle w:val="ListParagraph"/>
              <w:spacing w:after="0"/>
              <w:ind w:firstLineChars="0" w:firstLine="0"/>
              <w:jc w:val="center"/>
            </w:pPr>
            <w:r w:rsidRPr="00536CFD">
              <w:t>18.319</w:t>
            </w:r>
          </w:p>
        </w:tc>
      </w:tr>
      <w:tr w:rsidR="009D4A93" w:rsidRPr="00536CFD" w14:paraId="4D8BE419"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31ABACCB" w14:textId="77777777" w:rsidR="009D4A93" w:rsidRPr="00536CFD" w:rsidRDefault="009D4A93" w:rsidP="009D4A93">
            <w:pPr>
              <w:spacing w:after="0"/>
              <w:rPr>
                <w:lang w:eastAsia="zh-CN"/>
              </w:rPr>
            </w:pPr>
          </w:p>
        </w:tc>
        <w:tc>
          <w:tcPr>
            <w:tcW w:w="494" w:type="dxa"/>
            <w:vMerge w:val="restart"/>
            <w:tcBorders>
              <w:top w:val="single" w:sz="4" w:space="0" w:color="auto"/>
              <w:left w:val="single" w:sz="4" w:space="0" w:color="auto"/>
              <w:bottom w:val="single" w:sz="4" w:space="0" w:color="auto"/>
              <w:right w:val="single" w:sz="4" w:space="0" w:color="auto"/>
            </w:tcBorders>
            <w:hideMark/>
          </w:tcPr>
          <w:p w14:paraId="2210C509" w14:textId="77777777" w:rsidR="009D4A93" w:rsidRPr="00536CFD" w:rsidRDefault="009D4A93" w:rsidP="009D4A93">
            <w:pPr>
              <w:pStyle w:val="ListParagraph"/>
              <w:spacing w:after="0"/>
              <w:ind w:firstLineChars="0" w:firstLine="0"/>
              <w:jc w:val="center"/>
            </w:pPr>
            <w:r w:rsidRPr="00536CFD">
              <w:rPr>
                <w:b/>
              </w:rPr>
              <w:t>DL:</w:t>
            </w:r>
          </w:p>
          <w:p w14:paraId="7863A336" w14:textId="77777777" w:rsidR="009D4A93" w:rsidRPr="00536CFD" w:rsidRDefault="009D4A93" w:rsidP="009D4A93">
            <w:pPr>
              <w:pStyle w:val="ListParagraph"/>
              <w:spacing w:after="0"/>
              <w:ind w:firstLineChars="0" w:firstLine="0"/>
              <w:jc w:val="center"/>
            </w:pPr>
            <w:r w:rsidRPr="00536CFD">
              <w:t>Delay CDF</w:t>
            </w:r>
          </w:p>
          <w:p w14:paraId="2179509F" w14:textId="77777777" w:rsidR="009D4A93" w:rsidRPr="00536CFD" w:rsidRDefault="009D4A93" w:rsidP="009D4A93">
            <w:pPr>
              <w:pStyle w:val="ListParagraph"/>
              <w:spacing w:after="0"/>
              <w:ind w:firstLineChars="0" w:firstLine="0"/>
              <w:jc w:val="center"/>
            </w:pPr>
            <w:r w:rsidRPr="00536CFD">
              <w:t>[s]</w:t>
            </w:r>
          </w:p>
        </w:tc>
        <w:tc>
          <w:tcPr>
            <w:tcW w:w="494" w:type="dxa"/>
            <w:tcBorders>
              <w:top w:val="single" w:sz="4" w:space="0" w:color="auto"/>
              <w:left w:val="single" w:sz="4" w:space="0" w:color="auto"/>
              <w:bottom w:val="single" w:sz="4" w:space="0" w:color="auto"/>
              <w:right w:val="single" w:sz="4" w:space="0" w:color="auto"/>
            </w:tcBorders>
            <w:hideMark/>
          </w:tcPr>
          <w:p w14:paraId="46169CEF" w14:textId="77777777" w:rsidR="009D4A93" w:rsidRPr="00536CFD" w:rsidRDefault="009D4A93" w:rsidP="009D4A93">
            <w:pPr>
              <w:pStyle w:val="ListParagraph"/>
              <w:spacing w:after="0"/>
              <w:ind w:firstLineChars="0" w:firstLine="0"/>
              <w:jc w:val="center"/>
            </w:pPr>
            <w:r w:rsidRPr="00536CFD">
              <w:t>5%</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F4700" w14:textId="77777777" w:rsidR="009D4A93" w:rsidRPr="00536CFD" w:rsidRDefault="009D4A93" w:rsidP="009D4A93">
            <w:pPr>
              <w:pStyle w:val="BodyText"/>
              <w:spacing w:after="0"/>
              <w:jc w:val="center"/>
            </w:pPr>
            <w:r w:rsidRPr="00536CFD">
              <w:t>0.050</w:t>
            </w:r>
          </w:p>
        </w:tc>
        <w:tc>
          <w:tcPr>
            <w:tcW w:w="632" w:type="dxa"/>
            <w:tcBorders>
              <w:top w:val="single" w:sz="4" w:space="0" w:color="auto"/>
              <w:left w:val="single" w:sz="4" w:space="0" w:color="auto"/>
              <w:bottom w:val="single" w:sz="4" w:space="0" w:color="auto"/>
              <w:right w:val="single" w:sz="4" w:space="0" w:color="auto"/>
            </w:tcBorders>
            <w:vAlign w:val="center"/>
            <w:hideMark/>
          </w:tcPr>
          <w:p w14:paraId="4FA3C475" w14:textId="77777777" w:rsidR="009D4A93" w:rsidRPr="00536CFD" w:rsidRDefault="009D4A93" w:rsidP="009D4A93">
            <w:pPr>
              <w:pStyle w:val="BodyText"/>
              <w:spacing w:after="0"/>
              <w:jc w:val="center"/>
            </w:pPr>
            <w:r w:rsidRPr="00536CFD">
              <w:t>0.054</w:t>
            </w:r>
          </w:p>
        </w:tc>
        <w:tc>
          <w:tcPr>
            <w:tcW w:w="632" w:type="dxa"/>
            <w:tcBorders>
              <w:top w:val="single" w:sz="4" w:space="0" w:color="auto"/>
              <w:left w:val="single" w:sz="4" w:space="0" w:color="auto"/>
              <w:bottom w:val="single" w:sz="4" w:space="0" w:color="auto"/>
              <w:right w:val="single" w:sz="4" w:space="0" w:color="auto"/>
            </w:tcBorders>
            <w:vAlign w:val="center"/>
            <w:hideMark/>
          </w:tcPr>
          <w:p w14:paraId="58B4A747" w14:textId="77777777" w:rsidR="009D4A93" w:rsidRPr="00536CFD" w:rsidRDefault="009D4A93" w:rsidP="009D4A93">
            <w:pPr>
              <w:pStyle w:val="BodyText"/>
              <w:spacing w:after="0"/>
              <w:jc w:val="center"/>
            </w:pPr>
            <w:r w:rsidRPr="00536CFD">
              <w:t>0.050</w:t>
            </w:r>
          </w:p>
        </w:tc>
        <w:tc>
          <w:tcPr>
            <w:tcW w:w="633" w:type="dxa"/>
            <w:tcBorders>
              <w:top w:val="single" w:sz="4" w:space="0" w:color="auto"/>
              <w:left w:val="single" w:sz="4" w:space="0" w:color="auto"/>
              <w:bottom w:val="single" w:sz="4" w:space="0" w:color="auto"/>
              <w:right w:val="single" w:sz="4" w:space="0" w:color="auto"/>
            </w:tcBorders>
            <w:hideMark/>
          </w:tcPr>
          <w:p w14:paraId="2582226A" w14:textId="77777777" w:rsidR="009D4A93" w:rsidRPr="00536CFD" w:rsidRDefault="009D4A93" w:rsidP="009D4A93">
            <w:pPr>
              <w:pStyle w:val="BodyText"/>
              <w:spacing w:after="0"/>
              <w:jc w:val="center"/>
            </w:pPr>
            <w:r w:rsidRPr="00536CFD">
              <w:t>0.054</w:t>
            </w:r>
          </w:p>
        </w:tc>
        <w:tc>
          <w:tcPr>
            <w:tcW w:w="701" w:type="dxa"/>
            <w:tcBorders>
              <w:top w:val="single" w:sz="4" w:space="0" w:color="auto"/>
              <w:left w:val="single" w:sz="4" w:space="0" w:color="auto"/>
              <w:bottom w:val="single" w:sz="4" w:space="0" w:color="auto"/>
              <w:right w:val="single" w:sz="4" w:space="0" w:color="auto"/>
            </w:tcBorders>
            <w:vAlign w:val="center"/>
            <w:hideMark/>
          </w:tcPr>
          <w:p w14:paraId="0C6F0B43" w14:textId="77777777" w:rsidR="009D4A93" w:rsidRPr="00536CFD" w:rsidRDefault="009D4A93" w:rsidP="009D4A93">
            <w:pPr>
              <w:pStyle w:val="BodyText"/>
              <w:spacing w:after="0"/>
              <w:jc w:val="center"/>
            </w:pPr>
            <w:r w:rsidRPr="00536CFD">
              <w:t>0.050</w:t>
            </w:r>
          </w:p>
        </w:tc>
        <w:tc>
          <w:tcPr>
            <w:tcW w:w="701" w:type="dxa"/>
            <w:tcBorders>
              <w:top w:val="single" w:sz="4" w:space="0" w:color="auto"/>
              <w:left w:val="single" w:sz="4" w:space="0" w:color="auto"/>
              <w:bottom w:val="single" w:sz="4" w:space="0" w:color="auto"/>
              <w:right w:val="single" w:sz="4" w:space="0" w:color="auto"/>
            </w:tcBorders>
            <w:vAlign w:val="center"/>
            <w:hideMark/>
          </w:tcPr>
          <w:p w14:paraId="1B0FB926" w14:textId="77777777" w:rsidR="009D4A93" w:rsidRPr="00536CFD" w:rsidRDefault="009D4A93" w:rsidP="009D4A93">
            <w:pPr>
              <w:pStyle w:val="BodyText"/>
              <w:spacing w:after="0"/>
              <w:jc w:val="center"/>
            </w:pPr>
            <w:r w:rsidRPr="00536CFD">
              <w:t>0.054</w:t>
            </w:r>
          </w:p>
        </w:tc>
        <w:tc>
          <w:tcPr>
            <w:tcW w:w="701" w:type="dxa"/>
            <w:tcBorders>
              <w:top w:val="single" w:sz="4" w:space="0" w:color="auto"/>
              <w:left w:val="single" w:sz="4" w:space="0" w:color="auto"/>
              <w:bottom w:val="single" w:sz="4" w:space="0" w:color="auto"/>
              <w:right w:val="single" w:sz="4" w:space="0" w:color="auto"/>
            </w:tcBorders>
            <w:vAlign w:val="center"/>
            <w:hideMark/>
          </w:tcPr>
          <w:p w14:paraId="453E95EF" w14:textId="77777777" w:rsidR="009D4A93" w:rsidRPr="00536CFD" w:rsidRDefault="009D4A93" w:rsidP="009D4A93">
            <w:pPr>
              <w:pStyle w:val="BodyText"/>
              <w:spacing w:after="0"/>
              <w:jc w:val="center"/>
            </w:pPr>
            <w:r w:rsidRPr="00536CFD">
              <w:t>0.050</w:t>
            </w:r>
          </w:p>
        </w:tc>
        <w:tc>
          <w:tcPr>
            <w:tcW w:w="704" w:type="dxa"/>
            <w:tcBorders>
              <w:top w:val="single" w:sz="4" w:space="0" w:color="auto"/>
              <w:left w:val="single" w:sz="4" w:space="0" w:color="auto"/>
              <w:bottom w:val="single" w:sz="4" w:space="0" w:color="auto"/>
              <w:right w:val="single" w:sz="4" w:space="0" w:color="auto"/>
            </w:tcBorders>
            <w:hideMark/>
          </w:tcPr>
          <w:p w14:paraId="0D0AD555" w14:textId="77777777" w:rsidR="009D4A93" w:rsidRPr="00536CFD" w:rsidRDefault="009D4A93" w:rsidP="009D4A93">
            <w:pPr>
              <w:pStyle w:val="BodyText"/>
              <w:spacing w:after="0"/>
              <w:jc w:val="center"/>
            </w:pPr>
            <w:r w:rsidRPr="00536CFD">
              <w:t>0.054</w:t>
            </w:r>
          </w:p>
        </w:tc>
        <w:tc>
          <w:tcPr>
            <w:tcW w:w="723" w:type="dxa"/>
            <w:tcBorders>
              <w:top w:val="single" w:sz="4" w:space="0" w:color="auto"/>
              <w:left w:val="single" w:sz="4" w:space="0" w:color="auto"/>
              <w:bottom w:val="single" w:sz="4" w:space="0" w:color="auto"/>
              <w:right w:val="single" w:sz="4" w:space="0" w:color="auto"/>
            </w:tcBorders>
            <w:vAlign w:val="center"/>
            <w:hideMark/>
          </w:tcPr>
          <w:p w14:paraId="73A6D9BE" w14:textId="77777777" w:rsidR="009D4A93" w:rsidRPr="00536CFD" w:rsidRDefault="009D4A93" w:rsidP="009D4A93">
            <w:pPr>
              <w:pStyle w:val="BodyText"/>
              <w:spacing w:after="0"/>
              <w:jc w:val="center"/>
            </w:pPr>
            <w:r w:rsidRPr="00536CFD">
              <w:t>0.050</w:t>
            </w:r>
          </w:p>
        </w:tc>
        <w:tc>
          <w:tcPr>
            <w:tcW w:w="724" w:type="dxa"/>
            <w:tcBorders>
              <w:top w:val="single" w:sz="4" w:space="0" w:color="auto"/>
              <w:left w:val="single" w:sz="4" w:space="0" w:color="auto"/>
              <w:bottom w:val="single" w:sz="4" w:space="0" w:color="auto"/>
              <w:right w:val="single" w:sz="4" w:space="0" w:color="auto"/>
            </w:tcBorders>
            <w:vAlign w:val="center"/>
            <w:hideMark/>
          </w:tcPr>
          <w:p w14:paraId="62FC533F" w14:textId="77777777" w:rsidR="009D4A93" w:rsidRPr="00536CFD" w:rsidRDefault="009D4A93" w:rsidP="009D4A93">
            <w:pPr>
              <w:pStyle w:val="BodyText"/>
              <w:spacing w:after="0"/>
              <w:jc w:val="center"/>
            </w:pPr>
            <w:r w:rsidRPr="00536CFD">
              <w:t>0.054</w:t>
            </w:r>
          </w:p>
        </w:tc>
        <w:tc>
          <w:tcPr>
            <w:tcW w:w="723" w:type="dxa"/>
            <w:tcBorders>
              <w:top w:val="single" w:sz="4" w:space="0" w:color="auto"/>
              <w:left w:val="single" w:sz="4" w:space="0" w:color="auto"/>
              <w:bottom w:val="single" w:sz="4" w:space="0" w:color="auto"/>
              <w:right w:val="single" w:sz="4" w:space="0" w:color="auto"/>
            </w:tcBorders>
            <w:vAlign w:val="center"/>
            <w:hideMark/>
          </w:tcPr>
          <w:p w14:paraId="0512703B" w14:textId="77777777" w:rsidR="009D4A93" w:rsidRPr="00536CFD" w:rsidRDefault="009D4A93" w:rsidP="009D4A93">
            <w:pPr>
              <w:pStyle w:val="BodyText"/>
              <w:spacing w:after="0"/>
              <w:jc w:val="center"/>
            </w:pPr>
            <w:r w:rsidRPr="00536CFD">
              <w:t>0.050</w:t>
            </w:r>
          </w:p>
        </w:tc>
        <w:tc>
          <w:tcPr>
            <w:tcW w:w="724" w:type="dxa"/>
            <w:tcBorders>
              <w:top w:val="single" w:sz="4" w:space="0" w:color="auto"/>
              <w:left w:val="single" w:sz="4" w:space="0" w:color="auto"/>
              <w:bottom w:val="single" w:sz="4" w:space="0" w:color="auto"/>
              <w:right w:val="single" w:sz="4" w:space="0" w:color="auto"/>
            </w:tcBorders>
            <w:hideMark/>
          </w:tcPr>
          <w:p w14:paraId="2F6840D4" w14:textId="77777777" w:rsidR="009D4A93" w:rsidRPr="00536CFD" w:rsidRDefault="009D4A93" w:rsidP="009D4A93">
            <w:pPr>
              <w:pStyle w:val="BodyText"/>
              <w:spacing w:after="0"/>
              <w:jc w:val="center"/>
            </w:pPr>
            <w:r w:rsidRPr="00536CFD">
              <w:t>0.054</w:t>
            </w:r>
          </w:p>
        </w:tc>
      </w:tr>
      <w:tr w:rsidR="009D4A93" w:rsidRPr="00536CFD" w14:paraId="0B28F9D3"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0ABA802E"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2FD42A2C"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79629C11" w14:textId="77777777" w:rsidR="009D4A93" w:rsidRPr="00536CFD" w:rsidRDefault="009D4A93" w:rsidP="009D4A93">
            <w:pPr>
              <w:pStyle w:val="ListParagraph"/>
              <w:spacing w:after="0"/>
              <w:ind w:firstLineChars="0" w:firstLine="0"/>
              <w:jc w:val="center"/>
            </w:pPr>
            <w:r w:rsidRPr="00536CFD">
              <w:t>50%</w:t>
            </w:r>
          </w:p>
        </w:tc>
        <w:tc>
          <w:tcPr>
            <w:tcW w:w="630" w:type="dxa"/>
            <w:tcBorders>
              <w:top w:val="single" w:sz="4" w:space="0" w:color="auto"/>
              <w:left w:val="single" w:sz="4" w:space="0" w:color="auto"/>
              <w:bottom w:val="single" w:sz="4" w:space="0" w:color="auto"/>
              <w:right w:val="single" w:sz="4" w:space="0" w:color="auto"/>
            </w:tcBorders>
            <w:vAlign w:val="center"/>
            <w:hideMark/>
          </w:tcPr>
          <w:p w14:paraId="570A4052" w14:textId="77777777" w:rsidR="009D4A93" w:rsidRPr="00536CFD" w:rsidRDefault="009D4A93" w:rsidP="009D4A93">
            <w:pPr>
              <w:pStyle w:val="BodyText"/>
              <w:spacing w:after="0"/>
              <w:jc w:val="center"/>
            </w:pPr>
            <w:r w:rsidRPr="00536CFD">
              <w:t>0.052</w:t>
            </w:r>
          </w:p>
        </w:tc>
        <w:tc>
          <w:tcPr>
            <w:tcW w:w="632" w:type="dxa"/>
            <w:tcBorders>
              <w:top w:val="single" w:sz="4" w:space="0" w:color="auto"/>
              <w:left w:val="single" w:sz="4" w:space="0" w:color="auto"/>
              <w:bottom w:val="single" w:sz="4" w:space="0" w:color="auto"/>
              <w:right w:val="single" w:sz="4" w:space="0" w:color="auto"/>
            </w:tcBorders>
            <w:vAlign w:val="center"/>
            <w:hideMark/>
          </w:tcPr>
          <w:p w14:paraId="3F526547" w14:textId="77777777" w:rsidR="009D4A93" w:rsidRPr="00536CFD" w:rsidRDefault="009D4A93" w:rsidP="009D4A93">
            <w:pPr>
              <w:pStyle w:val="BodyText"/>
              <w:spacing w:after="0"/>
              <w:jc w:val="center"/>
            </w:pPr>
            <w:r w:rsidRPr="00536CFD">
              <w:t>0.056</w:t>
            </w:r>
          </w:p>
        </w:tc>
        <w:tc>
          <w:tcPr>
            <w:tcW w:w="632" w:type="dxa"/>
            <w:tcBorders>
              <w:top w:val="single" w:sz="4" w:space="0" w:color="auto"/>
              <w:left w:val="single" w:sz="4" w:space="0" w:color="auto"/>
              <w:bottom w:val="single" w:sz="4" w:space="0" w:color="auto"/>
              <w:right w:val="single" w:sz="4" w:space="0" w:color="auto"/>
            </w:tcBorders>
            <w:vAlign w:val="center"/>
            <w:hideMark/>
          </w:tcPr>
          <w:p w14:paraId="57042650" w14:textId="77777777" w:rsidR="009D4A93" w:rsidRPr="00536CFD" w:rsidRDefault="009D4A93" w:rsidP="009D4A93">
            <w:pPr>
              <w:pStyle w:val="BodyText"/>
              <w:spacing w:after="0"/>
              <w:jc w:val="center"/>
            </w:pPr>
            <w:r w:rsidRPr="00536CFD">
              <w:t>0.051</w:t>
            </w:r>
          </w:p>
        </w:tc>
        <w:tc>
          <w:tcPr>
            <w:tcW w:w="633" w:type="dxa"/>
            <w:tcBorders>
              <w:top w:val="single" w:sz="4" w:space="0" w:color="auto"/>
              <w:left w:val="single" w:sz="4" w:space="0" w:color="auto"/>
              <w:bottom w:val="single" w:sz="4" w:space="0" w:color="auto"/>
              <w:right w:val="single" w:sz="4" w:space="0" w:color="auto"/>
            </w:tcBorders>
            <w:hideMark/>
          </w:tcPr>
          <w:p w14:paraId="553EBCE1" w14:textId="77777777" w:rsidR="009D4A93" w:rsidRPr="00536CFD" w:rsidRDefault="009D4A93" w:rsidP="009D4A93">
            <w:pPr>
              <w:pStyle w:val="BodyText"/>
              <w:spacing w:after="0"/>
              <w:jc w:val="center"/>
            </w:pPr>
            <w:r w:rsidRPr="00536CFD">
              <w:t>0.057</w:t>
            </w:r>
          </w:p>
        </w:tc>
        <w:tc>
          <w:tcPr>
            <w:tcW w:w="701" w:type="dxa"/>
            <w:tcBorders>
              <w:top w:val="single" w:sz="4" w:space="0" w:color="auto"/>
              <w:left w:val="single" w:sz="4" w:space="0" w:color="auto"/>
              <w:bottom w:val="single" w:sz="4" w:space="0" w:color="auto"/>
              <w:right w:val="single" w:sz="4" w:space="0" w:color="auto"/>
            </w:tcBorders>
            <w:vAlign w:val="center"/>
            <w:hideMark/>
          </w:tcPr>
          <w:p w14:paraId="62E0DA34" w14:textId="77777777" w:rsidR="009D4A93" w:rsidRPr="00536CFD" w:rsidRDefault="009D4A93" w:rsidP="009D4A93">
            <w:pPr>
              <w:pStyle w:val="BodyText"/>
              <w:spacing w:after="0"/>
              <w:jc w:val="center"/>
            </w:pPr>
            <w:r w:rsidRPr="00536CFD">
              <w:t>0.100</w:t>
            </w:r>
          </w:p>
        </w:tc>
        <w:tc>
          <w:tcPr>
            <w:tcW w:w="701" w:type="dxa"/>
            <w:tcBorders>
              <w:top w:val="single" w:sz="4" w:space="0" w:color="auto"/>
              <w:left w:val="single" w:sz="4" w:space="0" w:color="auto"/>
              <w:bottom w:val="single" w:sz="4" w:space="0" w:color="auto"/>
              <w:right w:val="single" w:sz="4" w:space="0" w:color="auto"/>
            </w:tcBorders>
            <w:vAlign w:val="center"/>
            <w:hideMark/>
          </w:tcPr>
          <w:p w14:paraId="671FEE41" w14:textId="77777777" w:rsidR="009D4A93" w:rsidRPr="00536CFD" w:rsidRDefault="009D4A93" w:rsidP="009D4A93">
            <w:pPr>
              <w:pStyle w:val="BodyText"/>
              <w:spacing w:after="0"/>
              <w:jc w:val="center"/>
            </w:pPr>
            <w:r w:rsidRPr="00536CFD">
              <w:t>0.093</w:t>
            </w:r>
          </w:p>
        </w:tc>
        <w:tc>
          <w:tcPr>
            <w:tcW w:w="701" w:type="dxa"/>
            <w:tcBorders>
              <w:top w:val="single" w:sz="4" w:space="0" w:color="auto"/>
              <w:left w:val="single" w:sz="4" w:space="0" w:color="auto"/>
              <w:bottom w:val="single" w:sz="4" w:space="0" w:color="auto"/>
              <w:right w:val="single" w:sz="4" w:space="0" w:color="auto"/>
            </w:tcBorders>
            <w:vAlign w:val="center"/>
            <w:hideMark/>
          </w:tcPr>
          <w:p w14:paraId="4F042CFF" w14:textId="77777777" w:rsidR="009D4A93" w:rsidRPr="00536CFD" w:rsidRDefault="009D4A93" w:rsidP="009D4A93">
            <w:pPr>
              <w:pStyle w:val="BodyText"/>
              <w:spacing w:after="0"/>
              <w:jc w:val="center"/>
            </w:pPr>
            <w:r w:rsidRPr="00536CFD">
              <w:t>0.094</w:t>
            </w:r>
          </w:p>
        </w:tc>
        <w:tc>
          <w:tcPr>
            <w:tcW w:w="704" w:type="dxa"/>
            <w:tcBorders>
              <w:top w:val="single" w:sz="4" w:space="0" w:color="auto"/>
              <w:left w:val="single" w:sz="4" w:space="0" w:color="auto"/>
              <w:bottom w:val="single" w:sz="4" w:space="0" w:color="auto"/>
              <w:right w:val="single" w:sz="4" w:space="0" w:color="auto"/>
            </w:tcBorders>
            <w:hideMark/>
          </w:tcPr>
          <w:p w14:paraId="6E3F165D" w14:textId="77777777" w:rsidR="009D4A93" w:rsidRPr="00536CFD" w:rsidRDefault="009D4A93" w:rsidP="009D4A93">
            <w:pPr>
              <w:pStyle w:val="BodyText"/>
              <w:spacing w:after="0"/>
              <w:jc w:val="center"/>
            </w:pPr>
            <w:r w:rsidRPr="00536CFD">
              <w:t>0.110</w:t>
            </w:r>
          </w:p>
        </w:tc>
        <w:tc>
          <w:tcPr>
            <w:tcW w:w="723" w:type="dxa"/>
            <w:tcBorders>
              <w:top w:val="single" w:sz="4" w:space="0" w:color="auto"/>
              <w:left w:val="single" w:sz="4" w:space="0" w:color="auto"/>
              <w:bottom w:val="single" w:sz="4" w:space="0" w:color="auto"/>
              <w:right w:val="single" w:sz="4" w:space="0" w:color="auto"/>
            </w:tcBorders>
            <w:vAlign w:val="center"/>
            <w:hideMark/>
          </w:tcPr>
          <w:p w14:paraId="0549E4ED" w14:textId="77777777" w:rsidR="009D4A93" w:rsidRPr="00536CFD" w:rsidRDefault="009D4A93" w:rsidP="009D4A93">
            <w:pPr>
              <w:pStyle w:val="BodyText"/>
              <w:spacing w:after="0"/>
              <w:jc w:val="center"/>
            </w:pPr>
            <w:r w:rsidRPr="00536CFD">
              <w:t>0.231</w:t>
            </w:r>
          </w:p>
        </w:tc>
        <w:tc>
          <w:tcPr>
            <w:tcW w:w="724" w:type="dxa"/>
            <w:tcBorders>
              <w:top w:val="single" w:sz="4" w:space="0" w:color="auto"/>
              <w:left w:val="single" w:sz="4" w:space="0" w:color="auto"/>
              <w:bottom w:val="single" w:sz="4" w:space="0" w:color="auto"/>
              <w:right w:val="single" w:sz="4" w:space="0" w:color="auto"/>
            </w:tcBorders>
            <w:vAlign w:val="center"/>
            <w:hideMark/>
          </w:tcPr>
          <w:p w14:paraId="7EE00460" w14:textId="77777777" w:rsidR="009D4A93" w:rsidRPr="00536CFD" w:rsidRDefault="009D4A93" w:rsidP="009D4A93">
            <w:pPr>
              <w:pStyle w:val="BodyText"/>
              <w:spacing w:after="0"/>
              <w:jc w:val="center"/>
            </w:pPr>
            <w:r w:rsidRPr="00536CFD">
              <w:t>0.227</w:t>
            </w:r>
          </w:p>
        </w:tc>
        <w:tc>
          <w:tcPr>
            <w:tcW w:w="723" w:type="dxa"/>
            <w:tcBorders>
              <w:top w:val="single" w:sz="4" w:space="0" w:color="auto"/>
              <w:left w:val="single" w:sz="4" w:space="0" w:color="auto"/>
              <w:bottom w:val="single" w:sz="4" w:space="0" w:color="auto"/>
              <w:right w:val="single" w:sz="4" w:space="0" w:color="auto"/>
            </w:tcBorders>
            <w:vAlign w:val="center"/>
            <w:hideMark/>
          </w:tcPr>
          <w:p w14:paraId="7314E47D" w14:textId="77777777" w:rsidR="009D4A93" w:rsidRPr="00536CFD" w:rsidRDefault="009D4A93" w:rsidP="009D4A93">
            <w:pPr>
              <w:pStyle w:val="BodyText"/>
              <w:spacing w:after="0"/>
              <w:jc w:val="center"/>
            </w:pPr>
            <w:r w:rsidRPr="00536CFD">
              <w:t>0.371</w:t>
            </w:r>
          </w:p>
        </w:tc>
        <w:tc>
          <w:tcPr>
            <w:tcW w:w="724" w:type="dxa"/>
            <w:tcBorders>
              <w:top w:val="single" w:sz="4" w:space="0" w:color="auto"/>
              <w:left w:val="single" w:sz="4" w:space="0" w:color="auto"/>
              <w:bottom w:val="single" w:sz="4" w:space="0" w:color="auto"/>
              <w:right w:val="single" w:sz="4" w:space="0" w:color="auto"/>
            </w:tcBorders>
            <w:hideMark/>
          </w:tcPr>
          <w:p w14:paraId="038E74F1" w14:textId="77777777" w:rsidR="009D4A93" w:rsidRPr="00536CFD" w:rsidRDefault="009D4A93" w:rsidP="009D4A93">
            <w:pPr>
              <w:pStyle w:val="BodyText"/>
              <w:spacing w:after="0"/>
              <w:jc w:val="center"/>
            </w:pPr>
            <w:r w:rsidRPr="00536CFD">
              <w:t>0.273</w:t>
            </w:r>
          </w:p>
        </w:tc>
      </w:tr>
      <w:tr w:rsidR="009D4A93" w:rsidRPr="00536CFD" w14:paraId="54AD198C"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3E04D6F0"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5AB6935F"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294089B7" w14:textId="77777777" w:rsidR="009D4A93" w:rsidRPr="00536CFD" w:rsidRDefault="009D4A93" w:rsidP="009D4A93">
            <w:pPr>
              <w:pStyle w:val="ListParagraph"/>
              <w:spacing w:after="0"/>
              <w:ind w:firstLineChars="0" w:firstLine="0"/>
              <w:jc w:val="center"/>
            </w:pPr>
            <w:r w:rsidRPr="00536CFD">
              <w:t>95%</w:t>
            </w:r>
          </w:p>
        </w:tc>
        <w:tc>
          <w:tcPr>
            <w:tcW w:w="630" w:type="dxa"/>
            <w:tcBorders>
              <w:top w:val="single" w:sz="4" w:space="0" w:color="auto"/>
              <w:left w:val="single" w:sz="4" w:space="0" w:color="auto"/>
              <w:bottom w:val="single" w:sz="4" w:space="0" w:color="auto"/>
              <w:right w:val="single" w:sz="4" w:space="0" w:color="auto"/>
            </w:tcBorders>
            <w:vAlign w:val="center"/>
            <w:hideMark/>
          </w:tcPr>
          <w:p w14:paraId="2BF00208" w14:textId="77777777" w:rsidR="009D4A93" w:rsidRPr="00536CFD" w:rsidRDefault="009D4A93" w:rsidP="009D4A93">
            <w:pPr>
              <w:pStyle w:val="BodyText"/>
              <w:spacing w:after="0"/>
              <w:jc w:val="center"/>
            </w:pPr>
            <w:r w:rsidRPr="00536CFD">
              <w:t>0.200</w:t>
            </w:r>
          </w:p>
        </w:tc>
        <w:tc>
          <w:tcPr>
            <w:tcW w:w="632" w:type="dxa"/>
            <w:tcBorders>
              <w:top w:val="single" w:sz="4" w:space="0" w:color="auto"/>
              <w:left w:val="single" w:sz="4" w:space="0" w:color="auto"/>
              <w:bottom w:val="single" w:sz="4" w:space="0" w:color="auto"/>
              <w:right w:val="single" w:sz="4" w:space="0" w:color="auto"/>
            </w:tcBorders>
            <w:vAlign w:val="center"/>
            <w:hideMark/>
          </w:tcPr>
          <w:p w14:paraId="318AAA80" w14:textId="77777777" w:rsidR="009D4A93" w:rsidRPr="00536CFD" w:rsidRDefault="009D4A93" w:rsidP="009D4A93">
            <w:pPr>
              <w:pStyle w:val="BodyText"/>
              <w:spacing w:after="0"/>
              <w:jc w:val="center"/>
            </w:pPr>
            <w:r w:rsidRPr="00536CFD">
              <w:t>0.196</w:t>
            </w:r>
          </w:p>
        </w:tc>
        <w:tc>
          <w:tcPr>
            <w:tcW w:w="632" w:type="dxa"/>
            <w:tcBorders>
              <w:top w:val="single" w:sz="4" w:space="0" w:color="auto"/>
              <w:left w:val="single" w:sz="4" w:space="0" w:color="auto"/>
              <w:bottom w:val="single" w:sz="4" w:space="0" w:color="auto"/>
              <w:right w:val="single" w:sz="4" w:space="0" w:color="auto"/>
            </w:tcBorders>
            <w:vAlign w:val="center"/>
            <w:hideMark/>
          </w:tcPr>
          <w:p w14:paraId="2FBBAFD1" w14:textId="77777777" w:rsidR="009D4A93" w:rsidRPr="00536CFD" w:rsidRDefault="009D4A93" w:rsidP="009D4A93">
            <w:pPr>
              <w:pStyle w:val="BodyText"/>
              <w:spacing w:after="0"/>
              <w:jc w:val="center"/>
            </w:pPr>
            <w:r w:rsidRPr="00536CFD">
              <w:t>0.319</w:t>
            </w:r>
          </w:p>
        </w:tc>
        <w:tc>
          <w:tcPr>
            <w:tcW w:w="633" w:type="dxa"/>
            <w:tcBorders>
              <w:top w:val="single" w:sz="4" w:space="0" w:color="auto"/>
              <w:left w:val="single" w:sz="4" w:space="0" w:color="auto"/>
              <w:bottom w:val="single" w:sz="4" w:space="0" w:color="auto"/>
              <w:right w:val="single" w:sz="4" w:space="0" w:color="auto"/>
            </w:tcBorders>
            <w:hideMark/>
          </w:tcPr>
          <w:p w14:paraId="4E54AB0F" w14:textId="77777777" w:rsidR="009D4A93" w:rsidRPr="00536CFD" w:rsidRDefault="009D4A93" w:rsidP="009D4A93">
            <w:pPr>
              <w:pStyle w:val="BodyText"/>
              <w:spacing w:after="0"/>
              <w:jc w:val="center"/>
            </w:pPr>
            <w:r w:rsidRPr="00536CFD">
              <w:t>0.179</w:t>
            </w:r>
          </w:p>
        </w:tc>
        <w:tc>
          <w:tcPr>
            <w:tcW w:w="701" w:type="dxa"/>
            <w:tcBorders>
              <w:top w:val="single" w:sz="4" w:space="0" w:color="auto"/>
              <w:left w:val="single" w:sz="4" w:space="0" w:color="auto"/>
              <w:bottom w:val="single" w:sz="4" w:space="0" w:color="auto"/>
              <w:right w:val="single" w:sz="4" w:space="0" w:color="auto"/>
            </w:tcBorders>
            <w:vAlign w:val="center"/>
            <w:hideMark/>
          </w:tcPr>
          <w:p w14:paraId="213338E4" w14:textId="77777777" w:rsidR="009D4A93" w:rsidRPr="00536CFD" w:rsidRDefault="009D4A93" w:rsidP="009D4A93">
            <w:pPr>
              <w:pStyle w:val="BodyText"/>
              <w:spacing w:after="0"/>
              <w:jc w:val="center"/>
            </w:pPr>
            <w:r w:rsidRPr="00536CFD">
              <w:t>3.260</w:t>
            </w:r>
          </w:p>
        </w:tc>
        <w:tc>
          <w:tcPr>
            <w:tcW w:w="701" w:type="dxa"/>
            <w:tcBorders>
              <w:top w:val="single" w:sz="4" w:space="0" w:color="auto"/>
              <w:left w:val="single" w:sz="4" w:space="0" w:color="auto"/>
              <w:bottom w:val="single" w:sz="4" w:space="0" w:color="auto"/>
              <w:right w:val="single" w:sz="4" w:space="0" w:color="auto"/>
            </w:tcBorders>
            <w:vAlign w:val="center"/>
            <w:hideMark/>
          </w:tcPr>
          <w:p w14:paraId="451A3F85" w14:textId="77777777" w:rsidR="009D4A93" w:rsidRPr="00536CFD" w:rsidRDefault="009D4A93" w:rsidP="009D4A93">
            <w:pPr>
              <w:pStyle w:val="BodyText"/>
              <w:spacing w:after="0"/>
              <w:jc w:val="center"/>
            </w:pPr>
            <w:r w:rsidRPr="00536CFD">
              <w:t>0.925</w:t>
            </w:r>
          </w:p>
        </w:tc>
        <w:tc>
          <w:tcPr>
            <w:tcW w:w="701" w:type="dxa"/>
            <w:tcBorders>
              <w:top w:val="single" w:sz="4" w:space="0" w:color="auto"/>
              <w:left w:val="single" w:sz="4" w:space="0" w:color="auto"/>
              <w:bottom w:val="single" w:sz="4" w:space="0" w:color="auto"/>
              <w:right w:val="single" w:sz="4" w:space="0" w:color="auto"/>
            </w:tcBorders>
            <w:vAlign w:val="center"/>
            <w:hideMark/>
          </w:tcPr>
          <w:p w14:paraId="1B03B01A" w14:textId="77777777" w:rsidR="009D4A93" w:rsidRPr="00536CFD" w:rsidRDefault="009D4A93" w:rsidP="009D4A93">
            <w:pPr>
              <w:pStyle w:val="BodyText"/>
              <w:spacing w:after="0"/>
              <w:jc w:val="center"/>
            </w:pPr>
            <w:r w:rsidRPr="00536CFD">
              <w:t>1.321</w:t>
            </w:r>
          </w:p>
        </w:tc>
        <w:tc>
          <w:tcPr>
            <w:tcW w:w="704" w:type="dxa"/>
            <w:tcBorders>
              <w:top w:val="single" w:sz="4" w:space="0" w:color="auto"/>
              <w:left w:val="single" w:sz="4" w:space="0" w:color="auto"/>
              <w:bottom w:val="single" w:sz="4" w:space="0" w:color="auto"/>
              <w:right w:val="single" w:sz="4" w:space="0" w:color="auto"/>
            </w:tcBorders>
            <w:hideMark/>
          </w:tcPr>
          <w:p w14:paraId="7787A6AA" w14:textId="77777777" w:rsidR="009D4A93" w:rsidRPr="00536CFD" w:rsidRDefault="009D4A93" w:rsidP="009D4A93">
            <w:pPr>
              <w:pStyle w:val="BodyText"/>
              <w:spacing w:after="0"/>
              <w:jc w:val="center"/>
            </w:pPr>
            <w:r w:rsidRPr="00536CFD">
              <w:t>0.900</w:t>
            </w:r>
          </w:p>
        </w:tc>
        <w:tc>
          <w:tcPr>
            <w:tcW w:w="723" w:type="dxa"/>
            <w:tcBorders>
              <w:top w:val="single" w:sz="4" w:space="0" w:color="auto"/>
              <w:left w:val="single" w:sz="4" w:space="0" w:color="auto"/>
              <w:bottom w:val="single" w:sz="4" w:space="0" w:color="auto"/>
              <w:right w:val="single" w:sz="4" w:space="0" w:color="auto"/>
            </w:tcBorders>
            <w:vAlign w:val="center"/>
            <w:hideMark/>
          </w:tcPr>
          <w:p w14:paraId="2A11C411" w14:textId="77777777" w:rsidR="009D4A93" w:rsidRPr="00536CFD" w:rsidRDefault="009D4A93" w:rsidP="009D4A93">
            <w:pPr>
              <w:pStyle w:val="BodyText"/>
              <w:spacing w:after="0"/>
              <w:jc w:val="center"/>
            </w:pPr>
            <w:r w:rsidRPr="00536CFD">
              <w:t>3.837</w:t>
            </w:r>
          </w:p>
        </w:tc>
        <w:tc>
          <w:tcPr>
            <w:tcW w:w="724" w:type="dxa"/>
            <w:tcBorders>
              <w:top w:val="single" w:sz="4" w:space="0" w:color="auto"/>
              <w:left w:val="single" w:sz="4" w:space="0" w:color="auto"/>
              <w:bottom w:val="single" w:sz="4" w:space="0" w:color="auto"/>
              <w:right w:val="single" w:sz="4" w:space="0" w:color="auto"/>
            </w:tcBorders>
            <w:vAlign w:val="center"/>
            <w:hideMark/>
          </w:tcPr>
          <w:p w14:paraId="069B80D8" w14:textId="77777777" w:rsidR="009D4A93" w:rsidRPr="00536CFD" w:rsidRDefault="009D4A93" w:rsidP="009D4A93">
            <w:pPr>
              <w:pStyle w:val="BodyText"/>
              <w:spacing w:after="0"/>
              <w:jc w:val="center"/>
            </w:pPr>
            <w:r w:rsidRPr="00536CFD">
              <w:t>1.757</w:t>
            </w:r>
          </w:p>
        </w:tc>
        <w:tc>
          <w:tcPr>
            <w:tcW w:w="723" w:type="dxa"/>
            <w:tcBorders>
              <w:top w:val="single" w:sz="4" w:space="0" w:color="auto"/>
              <w:left w:val="single" w:sz="4" w:space="0" w:color="auto"/>
              <w:bottom w:val="single" w:sz="4" w:space="0" w:color="auto"/>
              <w:right w:val="single" w:sz="4" w:space="0" w:color="auto"/>
            </w:tcBorders>
            <w:vAlign w:val="center"/>
            <w:hideMark/>
          </w:tcPr>
          <w:p w14:paraId="16AA8895" w14:textId="77777777" w:rsidR="009D4A93" w:rsidRPr="00536CFD" w:rsidRDefault="009D4A93" w:rsidP="009D4A93">
            <w:pPr>
              <w:pStyle w:val="BodyText"/>
              <w:spacing w:after="0"/>
              <w:jc w:val="center"/>
            </w:pPr>
            <w:r w:rsidRPr="00536CFD">
              <w:t>4.572</w:t>
            </w:r>
          </w:p>
        </w:tc>
        <w:tc>
          <w:tcPr>
            <w:tcW w:w="724" w:type="dxa"/>
            <w:tcBorders>
              <w:top w:val="single" w:sz="4" w:space="0" w:color="auto"/>
              <w:left w:val="single" w:sz="4" w:space="0" w:color="auto"/>
              <w:bottom w:val="single" w:sz="4" w:space="0" w:color="auto"/>
              <w:right w:val="single" w:sz="4" w:space="0" w:color="auto"/>
            </w:tcBorders>
            <w:hideMark/>
          </w:tcPr>
          <w:p w14:paraId="274672C1" w14:textId="77777777" w:rsidR="009D4A93" w:rsidRPr="00536CFD" w:rsidRDefault="009D4A93" w:rsidP="009D4A93">
            <w:pPr>
              <w:pStyle w:val="BodyText"/>
              <w:spacing w:after="0"/>
              <w:jc w:val="center"/>
            </w:pPr>
            <w:r w:rsidRPr="00536CFD">
              <w:t>1.541</w:t>
            </w:r>
          </w:p>
        </w:tc>
      </w:tr>
      <w:tr w:rsidR="009D4A93" w:rsidRPr="00536CFD" w14:paraId="11658163"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0FB9FBFC"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6D04AA24"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67001EBD" w14:textId="77777777" w:rsidR="009D4A93" w:rsidRPr="00536CFD" w:rsidRDefault="009D4A93" w:rsidP="009D4A93">
            <w:pPr>
              <w:pStyle w:val="ListParagraph"/>
              <w:spacing w:after="0"/>
              <w:ind w:firstLineChars="0" w:firstLine="0"/>
              <w:jc w:val="center"/>
            </w:pPr>
            <w:r w:rsidRPr="00536CFD">
              <w:t>Mean</w:t>
            </w:r>
          </w:p>
        </w:tc>
        <w:tc>
          <w:tcPr>
            <w:tcW w:w="630" w:type="dxa"/>
            <w:tcBorders>
              <w:top w:val="single" w:sz="4" w:space="0" w:color="auto"/>
              <w:left w:val="single" w:sz="4" w:space="0" w:color="auto"/>
              <w:bottom w:val="single" w:sz="4" w:space="0" w:color="auto"/>
              <w:right w:val="single" w:sz="4" w:space="0" w:color="auto"/>
            </w:tcBorders>
            <w:hideMark/>
          </w:tcPr>
          <w:p w14:paraId="0AA815A6" w14:textId="77777777" w:rsidR="009D4A93" w:rsidRPr="00536CFD" w:rsidRDefault="009D4A93" w:rsidP="009D4A93">
            <w:pPr>
              <w:pStyle w:val="ListParagraph"/>
              <w:spacing w:after="0"/>
              <w:ind w:firstLineChars="0" w:firstLine="0"/>
              <w:jc w:val="center"/>
            </w:pPr>
            <w:r w:rsidRPr="00536CFD">
              <w:t>0.153</w:t>
            </w:r>
          </w:p>
        </w:tc>
        <w:tc>
          <w:tcPr>
            <w:tcW w:w="632" w:type="dxa"/>
            <w:tcBorders>
              <w:top w:val="single" w:sz="4" w:space="0" w:color="auto"/>
              <w:left w:val="single" w:sz="4" w:space="0" w:color="auto"/>
              <w:bottom w:val="single" w:sz="4" w:space="0" w:color="auto"/>
              <w:right w:val="single" w:sz="4" w:space="0" w:color="auto"/>
            </w:tcBorders>
            <w:hideMark/>
          </w:tcPr>
          <w:p w14:paraId="6D5344BD" w14:textId="77777777" w:rsidR="009D4A93" w:rsidRPr="00536CFD" w:rsidRDefault="009D4A93" w:rsidP="009D4A93">
            <w:pPr>
              <w:pStyle w:val="ListParagraph"/>
              <w:spacing w:after="0"/>
              <w:ind w:firstLineChars="0" w:firstLine="0"/>
              <w:jc w:val="center"/>
            </w:pPr>
            <w:r w:rsidRPr="00536CFD">
              <w:t>0.084</w:t>
            </w:r>
          </w:p>
        </w:tc>
        <w:tc>
          <w:tcPr>
            <w:tcW w:w="632" w:type="dxa"/>
            <w:tcBorders>
              <w:top w:val="single" w:sz="4" w:space="0" w:color="auto"/>
              <w:left w:val="single" w:sz="4" w:space="0" w:color="auto"/>
              <w:bottom w:val="single" w:sz="4" w:space="0" w:color="auto"/>
              <w:right w:val="single" w:sz="4" w:space="0" w:color="auto"/>
            </w:tcBorders>
            <w:hideMark/>
          </w:tcPr>
          <w:p w14:paraId="2E80F2C8" w14:textId="77777777" w:rsidR="009D4A93" w:rsidRPr="00536CFD" w:rsidRDefault="009D4A93" w:rsidP="009D4A93">
            <w:pPr>
              <w:pStyle w:val="ListParagraph"/>
              <w:spacing w:after="0"/>
              <w:ind w:firstLineChars="0" w:firstLine="0"/>
              <w:jc w:val="center"/>
            </w:pPr>
            <w:r w:rsidRPr="00536CFD">
              <w:t>0.133</w:t>
            </w:r>
          </w:p>
        </w:tc>
        <w:tc>
          <w:tcPr>
            <w:tcW w:w="633" w:type="dxa"/>
            <w:tcBorders>
              <w:top w:val="single" w:sz="4" w:space="0" w:color="auto"/>
              <w:left w:val="single" w:sz="4" w:space="0" w:color="auto"/>
              <w:bottom w:val="single" w:sz="4" w:space="0" w:color="auto"/>
              <w:right w:val="single" w:sz="4" w:space="0" w:color="auto"/>
            </w:tcBorders>
            <w:hideMark/>
          </w:tcPr>
          <w:p w14:paraId="23EEC0B1" w14:textId="77777777" w:rsidR="009D4A93" w:rsidRPr="00536CFD" w:rsidRDefault="009D4A93" w:rsidP="009D4A93">
            <w:pPr>
              <w:pStyle w:val="ListParagraph"/>
              <w:spacing w:after="0"/>
              <w:ind w:firstLineChars="0" w:firstLine="0"/>
              <w:jc w:val="center"/>
            </w:pPr>
            <w:r w:rsidRPr="00536CFD">
              <w:t>0.099</w:t>
            </w:r>
          </w:p>
        </w:tc>
        <w:tc>
          <w:tcPr>
            <w:tcW w:w="701" w:type="dxa"/>
            <w:tcBorders>
              <w:top w:val="single" w:sz="4" w:space="0" w:color="auto"/>
              <w:left w:val="single" w:sz="4" w:space="0" w:color="auto"/>
              <w:bottom w:val="single" w:sz="4" w:space="0" w:color="auto"/>
              <w:right w:val="single" w:sz="4" w:space="0" w:color="auto"/>
            </w:tcBorders>
            <w:hideMark/>
          </w:tcPr>
          <w:p w14:paraId="19631E92" w14:textId="77777777" w:rsidR="009D4A93" w:rsidRPr="00536CFD" w:rsidRDefault="009D4A93" w:rsidP="009D4A93">
            <w:pPr>
              <w:pStyle w:val="ListParagraph"/>
              <w:spacing w:after="0"/>
              <w:ind w:firstLineChars="0" w:firstLine="0"/>
              <w:jc w:val="center"/>
            </w:pPr>
            <w:r w:rsidRPr="00536CFD">
              <w:t>0.413</w:t>
            </w:r>
          </w:p>
        </w:tc>
        <w:tc>
          <w:tcPr>
            <w:tcW w:w="701" w:type="dxa"/>
            <w:tcBorders>
              <w:top w:val="single" w:sz="4" w:space="0" w:color="auto"/>
              <w:left w:val="single" w:sz="4" w:space="0" w:color="auto"/>
              <w:bottom w:val="single" w:sz="4" w:space="0" w:color="auto"/>
              <w:right w:val="single" w:sz="4" w:space="0" w:color="auto"/>
            </w:tcBorders>
            <w:hideMark/>
          </w:tcPr>
          <w:p w14:paraId="0A987978" w14:textId="77777777" w:rsidR="009D4A93" w:rsidRPr="00536CFD" w:rsidRDefault="009D4A93" w:rsidP="009D4A93">
            <w:pPr>
              <w:pStyle w:val="ListParagraph"/>
              <w:spacing w:after="0"/>
              <w:ind w:firstLineChars="0" w:firstLine="0"/>
              <w:jc w:val="center"/>
            </w:pPr>
            <w:r w:rsidRPr="00536CFD">
              <w:t>0.212</w:t>
            </w:r>
          </w:p>
        </w:tc>
        <w:tc>
          <w:tcPr>
            <w:tcW w:w="701" w:type="dxa"/>
            <w:tcBorders>
              <w:top w:val="single" w:sz="4" w:space="0" w:color="auto"/>
              <w:left w:val="single" w:sz="4" w:space="0" w:color="auto"/>
              <w:bottom w:val="single" w:sz="4" w:space="0" w:color="auto"/>
              <w:right w:val="single" w:sz="4" w:space="0" w:color="auto"/>
            </w:tcBorders>
            <w:hideMark/>
          </w:tcPr>
          <w:p w14:paraId="1678AD70" w14:textId="77777777" w:rsidR="009D4A93" w:rsidRPr="00536CFD" w:rsidRDefault="009D4A93" w:rsidP="009D4A93">
            <w:pPr>
              <w:pStyle w:val="ListParagraph"/>
              <w:spacing w:after="0"/>
              <w:ind w:firstLineChars="0" w:firstLine="0"/>
              <w:jc w:val="center"/>
            </w:pPr>
            <w:r w:rsidRPr="00536CFD">
              <w:t>0.348</w:t>
            </w:r>
          </w:p>
        </w:tc>
        <w:tc>
          <w:tcPr>
            <w:tcW w:w="704" w:type="dxa"/>
            <w:tcBorders>
              <w:top w:val="single" w:sz="4" w:space="0" w:color="auto"/>
              <w:left w:val="single" w:sz="4" w:space="0" w:color="auto"/>
              <w:bottom w:val="single" w:sz="4" w:space="0" w:color="auto"/>
              <w:right w:val="single" w:sz="4" w:space="0" w:color="auto"/>
            </w:tcBorders>
            <w:hideMark/>
          </w:tcPr>
          <w:p w14:paraId="2EA2680C" w14:textId="77777777" w:rsidR="009D4A93" w:rsidRPr="00536CFD" w:rsidRDefault="009D4A93" w:rsidP="009D4A93">
            <w:pPr>
              <w:pStyle w:val="ListParagraph"/>
              <w:spacing w:after="0"/>
              <w:ind w:firstLineChars="0" w:firstLine="0"/>
              <w:jc w:val="center"/>
            </w:pPr>
            <w:r w:rsidRPr="00536CFD">
              <w:t>0.249</w:t>
            </w:r>
          </w:p>
        </w:tc>
        <w:tc>
          <w:tcPr>
            <w:tcW w:w="723" w:type="dxa"/>
            <w:tcBorders>
              <w:top w:val="single" w:sz="4" w:space="0" w:color="auto"/>
              <w:left w:val="single" w:sz="4" w:space="0" w:color="auto"/>
              <w:bottom w:val="single" w:sz="4" w:space="0" w:color="auto"/>
              <w:right w:val="single" w:sz="4" w:space="0" w:color="auto"/>
            </w:tcBorders>
            <w:hideMark/>
          </w:tcPr>
          <w:p w14:paraId="277E5D57" w14:textId="77777777" w:rsidR="009D4A93" w:rsidRPr="00536CFD" w:rsidRDefault="009D4A93" w:rsidP="009D4A93">
            <w:pPr>
              <w:pStyle w:val="ListParagraph"/>
              <w:spacing w:after="0"/>
              <w:ind w:firstLineChars="0" w:firstLine="0"/>
              <w:jc w:val="center"/>
            </w:pPr>
            <w:r w:rsidRPr="00536CFD">
              <w:t>0.832</w:t>
            </w:r>
          </w:p>
        </w:tc>
        <w:tc>
          <w:tcPr>
            <w:tcW w:w="724" w:type="dxa"/>
            <w:tcBorders>
              <w:top w:val="single" w:sz="4" w:space="0" w:color="auto"/>
              <w:left w:val="single" w:sz="4" w:space="0" w:color="auto"/>
              <w:bottom w:val="single" w:sz="4" w:space="0" w:color="auto"/>
              <w:right w:val="single" w:sz="4" w:space="0" w:color="auto"/>
            </w:tcBorders>
            <w:hideMark/>
          </w:tcPr>
          <w:p w14:paraId="35CFA94C" w14:textId="77777777" w:rsidR="009D4A93" w:rsidRPr="00536CFD" w:rsidRDefault="009D4A93" w:rsidP="009D4A93">
            <w:pPr>
              <w:pStyle w:val="ListParagraph"/>
              <w:spacing w:after="0"/>
              <w:ind w:firstLineChars="0" w:firstLine="0"/>
              <w:jc w:val="center"/>
            </w:pPr>
            <w:r w:rsidRPr="00536CFD">
              <w:t>0.493</w:t>
            </w:r>
          </w:p>
        </w:tc>
        <w:tc>
          <w:tcPr>
            <w:tcW w:w="723" w:type="dxa"/>
            <w:tcBorders>
              <w:top w:val="single" w:sz="4" w:space="0" w:color="auto"/>
              <w:left w:val="single" w:sz="4" w:space="0" w:color="auto"/>
              <w:bottom w:val="single" w:sz="4" w:space="0" w:color="auto"/>
              <w:right w:val="single" w:sz="4" w:space="0" w:color="auto"/>
            </w:tcBorders>
            <w:hideMark/>
          </w:tcPr>
          <w:p w14:paraId="7A9EA884" w14:textId="77777777" w:rsidR="009D4A93" w:rsidRPr="00536CFD" w:rsidRDefault="009D4A93" w:rsidP="009D4A93">
            <w:pPr>
              <w:pStyle w:val="ListParagraph"/>
              <w:spacing w:after="0"/>
              <w:ind w:firstLineChars="0" w:firstLine="0"/>
              <w:jc w:val="center"/>
            </w:pPr>
            <w:r w:rsidRPr="00536CFD">
              <w:t>1.007</w:t>
            </w:r>
          </w:p>
        </w:tc>
        <w:tc>
          <w:tcPr>
            <w:tcW w:w="724" w:type="dxa"/>
            <w:tcBorders>
              <w:top w:val="single" w:sz="4" w:space="0" w:color="auto"/>
              <w:left w:val="single" w:sz="4" w:space="0" w:color="auto"/>
              <w:bottom w:val="single" w:sz="4" w:space="0" w:color="auto"/>
              <w:right w:val="single" w:sz="4" w:space="0" w:color="auto"/>
            </w:tcBorders>
            <w:hideMark/>
          </w:tcPr>
          <w:p w14:paraId="33B3BCFA" w14:textId="77777777" w:rsidR="009D4A93" w:rsidRPr="00536CFD" w:rsidRDefault="009D4A93" w:rsidP="009D4A93">
            <w:pPr>
              <w:pStyle w:val="ListParagraph"/>
              <w:spacing w:after="0"/>
              <w:ind w:firstLineChars="0" w:firstLine="0"/>
              <w:jc w:val="center"/>
            </w:pPr>
            <w:r w:rsidRPr="00536CFD">
              <w:t>0.484</w:t>
            </w:r>
          </w:p>
        </w:tc>
      </w:tr>
      <w:tr w:rsidR="009D4A93" w:rsidRPr="00536CFD" w14:paraId="0CDBB8CC"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7E218023" w14:textId="77777777" w:rsidR="009D4A93" w:rsidRPr="00536CFD" w:rsidRDefault="009D4A93" w:rsidP="009D4A93">
            <w:pPr>
              <w:spacing w:after="0"/>
              <w:rPr>
                <w:lang w:eastAsia="zh-CN"/>
              </w:rPr>
            </w:pPr>
          </w:p>
        </w:tc>
        <w:tc>
          <w:tcPr>
            <w:tcW w:w="494" w:type="dxa"/>
            <w:vMerge w:val="restart"/>
            <w:tcBorders>
              <w:top w:val="single" w:sz="4" w:space="0" w:color="auto"/>
              <w:left w:val="single" w:sz="4" w:space="0" w:color="auto"/>
              <w:bottom w:val="single" w:sz="4" w:space="0" w:color="auto"/>
              <w:right w:val="single" w:sz="4" w:space="0" w:color="auto"/>
            </w:tcBorders>
            <w:hideMark/>
          </w:tcPr>
          <w:p w14:paraId="663DC25D" w14:textId="77777777" w:rsidR="009D4A93" w:rsidRPr="00536CFD" w:rsidRDefault="009D4A93" w:rsidP="009D4A93">
            <w:pPr>
              <w:pStyle w:val="ListParagraph"/>
              <w:spacing w:after="0"/>
              <w:ind w:firstLineChars="0" w:firstLine="0"/>
              <w:jc w:val="center"/>
            </w:pPr>
            <w:r w:rsidRPr="00536CFD">
              <w:rPr>
                <w:b/>
              </w:rPr>
              <w:t>UL:</w:t>
            </w:r>
          </w:p>
          <w:p w14:paraId="6A56492B" w14:textId="77777777" w:rsidR="009D4A93" w:rsidRPr="00536CFD" w:rsidRDefault="009D4A93" w:rsidP="009D4A93">
            <w:pPr>
              <w:pStyle w:val="ListParagraph"/>
              <w:spacing w:after="0"/>
              <w:ind w:firstLineChars="0" w:firstLine="0"/>
              <w:jc w:val="center"/>
            </w:pPr>
            <w:r w:rsidRPr="00536CFD">
              <w:t>UPT CDF</w:t>
            </w:r>
          </w:p>
          <w:p w14:paraId="0B41D93B" w14:textId="77777777" w:rsidR="009D4A93" w:rsidRPr="00536CFD" w:rsidRDefault="009D4A93" w:rsidP="009D4A93">
            <w:pPr>
              <w:pStyle w:val="ListParagraph"/>
              <w:spacing w:after="0"/>
              <w:ind w:firstLineChars="0" w:firstLine="0"/>
              <w:jc w:val="center"/>
            </w:pPr>
            <w:r w:rsidRPr="00536CFD">
              <w:t>[Mbps]</w:t>
            </w:r>
          </w:p>
        </w:tc>
        <w:tc>
          <w:tcPr>
            <w:tcW w:w="494" w:type="dxa"/>
            <w:tcBorders>
              <w:top w:val="single" w:sz="4" w:space="0" w:color="auto"/>
              <w:left w:val="single" w:sz="4" w:space="0" w:color="auto"/>
              <w:bottom w:val="single" w:sz="4" w:space="0" w:color="auto"/>
              <w:right w:val="single" w:sz="4" w:space="0" w:color="auto"/>
            </w:tcBorders>
            <w:hideMark/>
          </w:tcPr>
          <w:p w14:paraId="78376168" w14:textId="77777777" w:rsidR="009D4A93" w:rsidRPr="00536CFD" w:rsidRDefault="009D4A93" w:rsidP="009D4A93">
            <w:pPr>
              <w:pStyle w:val="ListParagraph"/>
              <w:spacing w:after="0"/>
              <w:ind w:firstLineChars="0" w:firstLine="0"/>
              <w:jc w:val="center"/>
            </w:pPr>
            <w:r w:rsidRPr="00536CFD">
              <w:t>5%</w:t>
            </w:r>
          </w:p>
        </w:tc>
        <w:tc>
          <w:tcPr>
            <w:tcW w:w="630" w:type="dxa"/>
            <w:tcBorders>
              <w:top w:val="single" w:sz="4" w:space="0" w:color="auto"/>
              <w:left w:val="single" w:sz="4" w:space="0" w:color="auto"/>
              <w:bottom w:val="single" w:sz="4" w:space="0" w:color="auto"/>
              <w:right w:val="single" w:sz="4" w:space="0" w:color="auto"/>
            </w:tcBorders>
            <w:hideMark/>
          </w:tcPr>
          <w:p w14:paraId="7FA0BCBA" w14:textId="77777777" w:rsidR="009D4A93" w:rsidRPr="00536CFD" w:rsidRDefault="009D4A93" w:rsidP="009D4A93">
            <w:pPr>
              <w:pStyle w:val="ListParagraph"/>
              <w:spacing w:after="0"/>
              <w:ind w:firstLineChars="0" w:firstLine="0"/>
              <w:jc w:val="center"/>
            </w:pPr>
            <w:r w:rsidRPr="00536CFD">
              <w:t>8.691</w:t>
            </w:r>
          </w:p>
        </w:tc>
        <w:tc>
          <w:tcPr>
            <w:tcW w:w="632" w:type="dxa"/>
            <w:tcBorders>
              <w:top w:val="single" w:sz="4" w:space="0" w:color="auto"/>
              <w:left w:val="single" w:sz="4" w:space="0" w:color="auto"/>
              <w:bottom w:val="single" w:sz="4" w:space="0" w:color="auto"/>
              <w:right w:val="single" w:sz="4" w:space="0" w:color="auto"/>
            </w:tcBorders>
            <w:hideMark/>
          </w:tcPr>
          <w:p w14:paraId="547525C7" w14:textId="77777777" w:rsidR="009D4A93" w:rsidRPr="00536CFD" w:rsidRDefault="009D4A93" w:rsidP="009D4A93">
            <w:pPr>
              <w:pStyle w:val="ListParagraph"/>
              <w:spacing w:after="0"/>
              <w:ind w:firstLineChars="0" w:firstLine="0"/>
              <w:jc w:val="center"/>
            </w:pPr>
            <w:r w:rsidRPr="00536CFD">
              <w:t>24.543</w:t>
            </w:r>
          </w:p>
        </w:tc>
        <w:tc>
          <w:tcPr>
            <w:tcW w:w="632" w:type="dxa"/>
            <w:tcBorders>
              <w:top w:val="single" w:sz="4" w:space="0" w:color="auto"/>
              <w:left w:val="single" w:sz="4" w:space="0" w:color="auto"/>
              <w:bottom w:val="single" w:sz="4" w:space="0" w:color="auto"/>
              <w:right w:val="single" w:sz="4" w:space="0" w:color="auto"/>
            </w:tcBorders>
            <w:hideMark/>
          </w:tcPr>
          <w:p w14:paraId="2D372706" w14:textId="77777777" w:rsidR="009D4A93" w:rsidRPr="00536CFD" w:rsidRDefault="009D4A93" w:rsidP="009D4A93">
            <w:pPr>
              <w:pStyle w:val="ListParagraph"/>
              <w:spacing w:after="0"/>
              <w:ind w:firstLineChars="0" w:firstLine="0"/>
              <w:jc w:val="center"/>
            </w:pPr>
            <w:r w:rsidRPr="00536CFD">
              <w:t>2.276</w:t>
            </w:r>
          </w:p>
        </w:tc>
        <w:tc>
          <w:tcPr>
            <w:tcW w:w="633" w:type="dxa"/>
            <w:tcBorders>
              <w:top w:val="single" w:sz="4" w:space="0" w:color="auto"/>
              <w:left w:val="single" w:sz="4" w:space="0" w:color="auto"/>
              <w:bottom w:val="single" w:sz="4" w:space="0" w:color="auto"/>
              <w:right w:val="single" w:sz="4" w:space="0" w:color="auto"/>
            </w:tcBorders>
            <w:hideMark/>
          </w:tcPr>
          <w:p w14:paraId="37E0E1F4" w14:textId="77777777" w:rsidR="009D4A93" w:rsidRPr="00536CFD" w:rsidRDefault="009D4A93" w:rsidP="009D4A93">
            <w:pPr>
              <w:pStyle w:val="ListParagraph"/>
              <w:spacing w:after="0"/>
              <w:ind w:firstLineChars="0" w:firstLine="0"/>
              <w:jc w:val="center"/>
            </w:pPr>
            <w:r w:rsidRPr="00536CFD">
              <w:t>23.232</w:t>
            </w:r>
          </w:p>
        </w:tc>
        <w:tc>
          <w:tcPr>
            <w:tcW w:w="701" w:type="dxa"/>
            <w:tcBorders>
              <w:top w:val="single" w:sz="4" w:space="0" w:color="auto"/>
              <w:left w:val="single" w:sz="4" w:space="0" w:color="auto"/>
              <w:bottom w:val="single" w:sz="4" w:space="0" w:color="auto"/>
              <w:right w:val="single" w:sz="4" w:space="0" w:color="auto"/>
            </w:tcBorders>
            <w:hideMark/>
          </w:tcPr>
          <w:p w14:paraId="49492023" w14:textId="77777777" w:rsidR="009D4A93" w:rsidRPr="00536CFD" w:rsidRDefault="009D4A93" w:rsidP="009D4A93">
            <w:pPr>
              <w:pStyle w:val="ListParagraph"/>
              <w:spacing w:after="0"/>
              <w:ind w:firstLineChars="0" w:firstLine="0"/>
              <w:jc w:val="center"/>
            </w:pPr>
            <w:r w:rsidRPr="00536CFD">
              <w:t>1.364</w:t>
            </w:r>
          </w:p>
        </w:tc>
        <w:tc>
          <w:tcPr>
            <w:tcW w:w="701" w:type="dxa"/>
            <w:tcBorders>
              <w:top w:val="single" w:sz="4" w:space="0" w:color="auto"/>
              <w:left w:val="single" w:sz="4" w:space="0" w:color="auto"/>
              <w:bottom w:val="single" w:sz="4" w:space="0" w:color="auto"/>
              <w:right w:val="single" w:sz="4" w:space="0" w:color="auto"/>
            </w:tcBorders>
            <w:hideMark/>
          </w:tcPr>
          <w:p w14:paraId="1562B808" w14:textId="77777777" w:rsidR="009D4A93" w:rsidRPr="00536CFD" w:rsidRDefault="009D4A93" w:rsidP="009D4A93">
            <w:pPr>
              <w:pStyle w:val="ListParagraph"/>
              <w:spacing w:after="0"/>
              <w:ind w:firstLineChars="0" w:firstLine="0"/>
              <w:jc w:val="center"/>
            </w:pPr>
            <w:r w:rsidRPr="00536CFD">
              <w:t>5.109</w:t>
            </w:r>
          </w:p>
        </w:tc>
        <w:tc>
          <w:tcPr>
            <w:tcW w:w="701" w:type="dxa"/>
            <w:tcBorders>
              <w:top w:val="single" w:sz="4" w:space="0" w:color="auto"/>
              <w:left w:val="single" w:sz="4" w:space="0" w:color="auto"/>
              <w:bottom w:val="single" w:sz="4" w:space="0" w:color="auto"/>
              <w:right w:val="single" w:sz="4" w:space="0" w:color="auto"/>
            </w:tcBorders>
            <w:hideMark/>
          </w:tcPr>
          <w:p w14:paraId="073AD22B" w14:textId="77777777" w:rsidR="009D4A93" w:rsidRPr="00536CFD" w:rsidRDefault="009D4A93" w:rsidP="009D4A93">
            <w:pPr>
              <w:pStyle w:val="ListParagraph"/>
              <w:spacing w:after="0"/>
              <w:ind w:firstLineChars="0" w:firstLine="0"/>
              <w:jc w:val="center"/>
            </w:pPr>
            <w:r w:rsidRPr="00536CFD">
              <w:t>4.791</w:t>
            </w:r>
          </w:p>
        </w:tc>
        <w:tc>
          <w:tcPr>
            <w:tcW w:w="704" w:type="dxa"/>
            <w:tcBorders>
              <w:top w:val="single" w:sz="4" w:space="0" w:color="auto"/>
              <w:left w:val="single" w:sz="4" w:space="0" w:color="auto"/>
              <w:bottom w:val="single" w:sz="4" w:space="0" w:color="auto"/>
              <w:right w:val="single" w:sz="4" w:space="0" w:color="auto"/>
            </w:tcBorders>
            <w:hideMark/>
          </w:tcPr>
          <w:p w14:paraId="769D6521" w14:textId="77777777" w:rsidR="009D4A93" w:rsidRPr="00536CFD" w:rsidRDefault="009D4A93" w:rsidP="009D4A93">
            <w:pPr>
              <w:pStyle w:val="ListParagraph"/>
              <w:spacing w:after="0"/>
              <w:ind w:firstLineChars="0" w:firstLine="0"/>
              <w:jc w:val="center"/>
            </w:pPr>
            <w:r w:rsidRPr="00536CFD">
              <w:t>4.106</w:t>
            </w:r>
          </w:p>
        </w:tc>
        <w:tc>
          <w:tcPr>
            <w:tcW w:w="723" w:type="dxa"/>
            <w:tcBorders>
              <w:top w:val="single" w:sz="4" w:space="0" w:color="auto"/>
              <w:left w:val="single" w:sz="4" w:space="0" w:color="auto"/>
              <w:bottom w:val="single" w:sz="4" w:space="0" w:color="auto"/>
              <w:right w:val="single" w:sz="4" w:space="0" w:color="auto"/>
            </w:tcBorders>
            <w:hideMark/>
          </w:tcPr>
          <w:p w14:paraId="0F3D94F5" w14:textId="77777777" w:rsidR="009D4A93" w:rsidRPr="00536CFD" w:rsidRDefault="009D4A93" w:rsidP="009D4A93">
            <w:pPr>
              <w:pStyle w:val="ListParagraph"/>
              <w:spacing w:after="0"/>
              <w:ind w:firstLineChars="0" w:firstLine="0"/>
              <w:jc w:val="center"/>
            </w:pPr>
            <w:r w:rsidRPr="00536CFD">
              <w:t>0.264</w:t>
            </w:r>
          </w:p>
        </w:tc>
        <w:tc>
          <w:tcPr>
            <w:tcW w:w="724" w:type="dxa"/>
            <w:tcBorders>
              <w:top w:val="single" w:sz="4" w:space="0" w:color="auto"/>
              <w:left w:val="single" w:sz="4" w:space="0" w:color="auto"/>
              <w:bottom w:val="single" w:sz="4" w:space="0" w:color="auto"/>
              <w:right w:val="single" w:sz="4" w:space="0" w:color="auto"/>
            </w:tcBorders>
            <w:hideMark/>
          </w:tcPr>
          <w:p w14:paraId="4888391F" w14:textId="77777777" w:rsidR="009D4A93" w:rsidRPr="00536CFD" w:rsidRDefault="009D4A93" w:rsidP="009D4A93">
            <w:pPr>
              <w:pStyle w:val="ListParagraph"/>
              <w:spacing w:after="0"/>
              <w:ind w:firstLineChars="0" w:firstLine="0"/>
              <w:jc w:val="center"/>
            </w:pPr>
            <w:r w:rsidRPr="00536CFD">
              <w:t>1.971</w:t>
            </w:r>
          </w:p>
        </w:tc>
        <w:tc>
          <w:tcPr>
            <w:tcW w:w="723" w:type="dxa"/>
            <w:tcBorders>
              <w:top w:val="single" w:sz="4" w:space="0" w:color="auto"/>
              <w:left w:val="single" w:sz="4" w:space="0" w:color="auto"/>
              <w:bottom w:val="single" w:sz="4" w:space="0" w:color="auto"/>
              <w:right w:val="single" w:sz="4" w:space="0" w:color="auto"/>
            </w:tcBorders>
            <w:hideMark/>
          </w:tcPr>
          <w:p w14:paraId="2D0423FE" w14:textId="77777777" w:rsidR="009D4A93" w:rsidRPr="00536CFD" w:rsidRDefault="009D4A93" w:rsidP="009D4A93">
            <w:pPr>
              <w:pStyle w:val="ListParagraph"/>
              <w:spacing w:after="0"/>
              <w:ind w:firstLineChars="0" w:firstLine="0"/>
              <w:jc w:val="center"/>
            </w:pPr>
            <w:r w:rsidRPr="00536CFD">
              <w:t>0.193</w:t>
            </w:r>
          </w:p>
        </w:tc>
        <w:tc>
          <w:tcPr>
            <w:tcW w:w="724" w:type="dxa"/>
            <w:tcBorders>
              <w:top w:val="single" w:sz="4" w:space="0" w:color="auto"/>
              <w:left w:val="single" w:sz="4" w:space="0" w:color="auto"/>
              <w:bottom w:val="single" w:sz="4" w:space="0" w:color="auto"/>
              <w:right w:val="single" w:sz="4" w:space="0" w:color="auto"/>
            </w:tcBorders>
            <w:hideMark/>
          </w:tcPr>
          <w:p w14:paraId="12E596ED" w14:textId="77777777" w:rsidR="009D4A93" w:rsidRPr="00536CFD" w:rsidRDefault="009D4A93" w:rsidP="009D4A93">
            <w:pPr>
              <w:pStyle w:val="ListParagraph"/>
              <w:spacing w:after="0"/>
              <w:ind w:firstLineChars="0" w:firstLine="0"/>
              <w:jc w:val="center"/>
            </w:pPr>
            <w:r w:rsidRPr="00536CFD">
              <w:t>3.017</w:t>
            </w:r>
          </w:p>
        </w:tc>
      </w:tr>
      <w:tr w:rsidR="009D4A93" w:rsidRPr="00536CFD" w14:paraId="1D5D500F"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644D3483"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00E46D98"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564D1830" w14:textId="77777777" w:rsidR="009D4A93" w:rsidRPr="00536CFD" w:rsidRDefault="009D4A93" w:rsidP="009D4A93">
            <w:pPr>
              <w:pStyle w:val="ListParagraph"/>
              <w:spacing w:after="0"/>
              <w:ind w:firstLineChars="0" w:firstLine="0"/>
              <w:jc w:val="center"/>
            </w:pPr>
            <w:r w:rsidRPr="00536CFD">
              <w:t>50%</w:t>
            </w:r>
          </w:p>
        </w:tc>
        <w:tc>
          <w:tcPr>
            <w:tcW w:w="630" w:type="dxa"/>
            <w:tcBorders>
              <w:top w:val="single" w:sz="4" w:space="0" w:color="auto"/>
              <w:left w:val="single" w:sz="4" w:space="0" w:color="auto"/>
              <w:bottom w:val="single" w:sz="4" w:space="0" w:color="auto"/>
              <w:right w:val="single" w:sz="4" w:space="0" w:color="auto"/>
            </w:tcBorders>
            <w:hideMark/>
          </w:tcPr>
          <w:p w14:paraId="66A5DD93" w14:textId="77777777" w:rsidR="009D4A93" w:rsidRPr="00536CFD" w:rsidRDefault="009D4A93" w:rsidP="009D4A93">
            <w:pPr>
              <w:pStyle w:val="ListParagraph"/>
              <w:spacing w:after="0"/>
              <w:ind w:firstLineChars="0" w:firstLine="0"/>
              <w:jc w:val="center"/>
            </w:pPr>
            <w:r w:rsidRPr="00536CFD">
              <w:t>40.088</w:t>
            </w:r>
          </w:p>
        </w:tc>
        <w:tc>
          <w:tcPr>
            <w:tcW w:w="632" w:type="dxa"/>
            <w:tcBorders>
              <w:top w:val="single" w:sz="4" w:space="0" w:color="auto"/>
              <w:left w:val="single" w:sz="4" w:space="0" w:color="auto"/>
              <w:bottom w:val="single" w:sz="4" w:space="0" w:color="auto"/>
              <w:right w:val="single" w:sz="4" w:space="0" w:color="auto"/>
            </w:tcBorders>
            <w:hideMark/>
          </w:tcPr>
          <w:p w14:paraId="04324A8A" w14:textId="77777777" w:rsidR="009D4A93" w:rsidRPr="00536CFD" w:rsidRDefault="009D4A93" w:rsidP="009D4A93">
            <w:pPr>
              <w:pStyle w:val="ListParagraph"/>
              <w:spacing w:after="0"/>
              <w:ind w:firstLineChars="0" w:firstLine="0"/>
              <w:jc w:val="center"/>
            </w:pPr>
            <w:r w:rsidRPr="00536CFD">
              <w:t>59.708</w:t>
            </w:r>
          </w:p>
        </w:tc>
        <w:tc>
          <w:tcPr>
            <w:tcW w:w="632" w:type="dxa"/>
            <w:tcBorders>
              <w:top w:val="single" w:sz="4" w:space="0" w:color="auto"/>
              <w:left w:val="single" w:sz="4" w:space="0" w:color="auto"/>
              <w:bottom w:val="single" w:sz="4" w:space="0" w:color="auto"/>
              <w:right w:val="single" w:sz="4" w:space="0" w:color="auto"/>
            </w:tcBorders>
            <w:hideMark/>
          </w:tcPr>
          <w:p w14:paraId="18624675" w14:textId="77777777" w:rsidR="009D4A93" w:rsidRPr="00536CFD" w:rsidRDefault="009D4A93" w:rsidP="009D4A93">
            <w:pPr>
              <w:pStyle w:val="ListParagraph"/>
              <w:spacing w:after="0"/>
              <w:ind w:firstLineChars="0" w:firstLine="0"/>
              <w:jc w:val="center"/>
            </w:pPr>
            <w:r w:rsidRPr="00536CFD">
              <w:t>39.980</w:t>
            </w:r>
          </w:p>
        </w:tc>
        <w:tc>
          <w:tcPr>
            <w:tcW w:w="633" w:type="dxa"/>
            <w:tcBorders>
              <w:top w:val="single" w:sz="4" w:space="0" w:color="auto"/>
              <w:left w:val="single" w:sz="4" w:space="0" w:color="auto"/>
              <w:bottom w:val="single" w:sz="4" w:space="0" w:color="auto"/>
              <w:right w:val="single" w:sz="4" w:space="0" w:color="auto"/>
            </w:tcBorders>
            <w:hideMark/>
          </w:tcPr>
          <w:p w14:paraId="0D35C46F" w14:textId="77777777" w:rsidR="009D4A93" w:rsidRPr="00536CFD" w:rsidRDefault="009D4A93" w:rsidP="009D4A93">
            <w:pPr>
              <w:pStyle w:val="ListParagraph"/>
              <w:spacing w:after="0"/>
              <w:ind w:firstLineChars="0" w:firstLine="0"/>
              <w:jc w:val="center"/>
            </w:pPr>
            <w:r w:rsidRPr="00536CFD">
              <w:t>58.156</w:t>
            </w:r>
          </w:p>
        </w:tc>
        <w:tc>
          <w:tcPr>
            <w:tcW w:w="701" w:type="dxa"/>
            <w:tcBorders>
              <w:top w:val="single" w:sz="4" w:space="0" w:color="auto"/>
              <w:left w:val="single" w:sz="4" w:space="0" w:color="auto"/>
              <w:bottom w:val="single" w:sz="4" w:space="0" w:color="auto"/>
              <w:right w:val="single" w:sz="4" w:space="0" w:color="auto"/>
            </w:tcBorders>
            <w:hideMark/>
          </w:tcPr>
          <w:p w14:paraId="62BD8634" w14:textId="77777777" w:rsidR="009D4A93" w:rsidRPr="00536CFD" w:rsidRDefault="009D4A93" w:rsidP="009D4A93">
            <w:pPr>
              <w:pStyle w:val="ListParagraph"/>
              <w:spacing w:after="0"/>
              <w:ind w:firstLineChars="0" w:firstLine="0"/>
              <w:jc w:val="center"/>
            </w:pPr>
            <w:r w:rsidRPr="00536CFD">
              <w:t>29.692</w:t>
            </w:r>
          </w:p>
        </w:tc>
        <w:tc>
          <w:tcPr>
            <w:tcW w:w="701" w:type="dxa"/>
            <w:tcBorders>
              <w:top w:val="single" w:sz="4" w:space="0" w:color="auto"/>
              <w:left w:val="single" w:sz="4" w:space="0" w:color="auto"/>
              <w:bottom w:val="single" w:sz="4" w:space="0" w:color="auto"/>
              <w:right w:val="single" w:sz="4" w:space="0" w:color="auto"/>
            </w:tcBorders>
            <w:hideMark/>
          </w:tcPr>
          <w:p w14:paraId="1BD2555B" w14:textId="77777777" w:rsidR="009D4A93" w:rsidRPr="00536CFD" w:rsidRDefault="009D4A93" w:rsidP="009D4A93">
            <w:pPr>
              <w:pStyle w:val="ListParagraph"/>
              <w:spacing w:after="0"/>
              <w:ind w:firstLineChars="0" w:firstLine="0"/>
              <w:jc w:val="center"/>
            </w:pPr>
            <w:r w:rsidRPr="00536CFD">
              <w:t>31.916</w:t>
            </w:r>
          </w:p>
        </w:tc>
        <w:tc>
          <w:tcPr>
            <w:tcW w:w="701" w:type="dxa"/>
            <w:tcBorders>
              <w:top w:val="single" w:sz="4" w:space="0" w:color="auto"/>
              <w:left w:val="single" w:sz="4" w:space="0" w:color="auto"/>
              <w:bottom w:val="single" w:sz="4" w:space="0" w:color="auto"/>
              <w:right w:val="single" w:sz="4" w:space="0" w:color="auto"/>
            </w:tcBorders>
            <w:hideMark/>
          </w:tcPr>
          <w:p w14:paraId="6F213D14" w14:textId="77777777" w:rsidR="009D4A93" w:rsidRPr="00536CFD" w:rsidRDefault="009D4A93" w:rsidP="009D4A93">
            <w:pPr>
              <w:pStyle w:val="ListParagraph"/>
              <w:spacing w:after="0"/>
              <w:ind w:firstLineChars="0" w:firstLine="0"/>
              <w:jc w:val="center"/>
            </w:pPr>
            <w:r w:rsidRPr="00536CFD">
              <w:t>24.888</w:t>
            </w:r>
          </w:p>
        </w:tc>
        <w:tc>
          <w:tcPr>
            <w:tcW w:w="704" w:type="dxa"/>
            <w:tcBorders>
              <w:top w:val="single" w:sz="4" w:space="0" w:color="auto"/>
              <w:left w:val="single" w:sz="4" w:space="0" w:color="auto"/>
              <w:bottom w:val="single" w:sz="4" w:space="0" w:color="auto"/>
              <w:right w:val="single" w:sz="4" w:space="0" w:color="auto"/>
            </w:tcBorders>
            <w:hideMark/>
          </w:tcPr>
          <w:p w14:paraId="69310ADE" w14:textId="77777777" w:rsidR="009D4A93" w:rsidRPr="00536CFD" w:rsidRDefault="009D4A93" w:rsidP="009D4A93">
            <w:pPr>
              <w:pStyle w:val="ListParagraph"/>
              <w:spacing w:after="0"/>
              <w:ind w:firstLineChars="0" w:firstLine="0"/>
              <w:jc w:val="center"/>
            </w:pPr>
            <w:r w:rsidRPr="00536CFD">
              <w:t>30.161</w:t>
            </w:r>
          </w:p>
        </w:tc>
        <w:tc>
          <w:tcPr>
            <w:tcW w:w="723" w:type="dxa"/>
            <w:tcBorders>
              <w:top w:val="single" w:sz="4" w:space="0" w:color="auto"/>
              <w:left w:val="single" w:sz="4" w:space="0" w:color="auto"/>
              <w:bottom w:val="single" w:sz="4" w:space="0" w:color="auto"/>
              <w:right w:val="single" w:sz="4" w:space="0" w:color="auto"/>
            </w:tcBorders>
            <w:hideMark/>
          </w:tcPr>
          <w:p w14:paraId="197AE85A" w14:textId="77777777" w:rsidR="009D4A93" w:rsidRPr="00536CFD" w:rsidRDefault="009D4A93" w:rsidP="009D4A93">
            <w:pPr>
              <w:pStyle w:val="ListParagraph"/>
              <w:spacing w:after="0"/>
              <w:ind w:firstLineChars="0" w:firstLine="0"/>
              <w:jc w:val="center"/>
            </w:pPr>
            <w:r w:rsidRPr="00536CFD">
              <w:t>10.969</w:t>
            </w:r>
          </w:p>
        </w:tc>
        <w:tc>
          <w:tcPr>
            <w:tcW w:w="724" w:type="dxa"/>
            <w:tcBorders>
              <w:top w:val="single" w:sz="4" w:space="0" w:color="auto"/>
              <w:left w:val="single" w:sz="4" w:space="0" w:color="auto"/>
              <w:bottom w:val="single" w:sz="4" w:space="0" w:color="auto"/>
              <w:right w:val="single" w:sz="4" w:space="0" w:color="auto"/>
            </w:tcBorders>
            <w:hideMark/>
          </w:tcPr>
          <w:p w14:paraId="1B308849" w14:textId="77777777" w:rsidR="009D4A93" w:rsidRPr="00536CFD" w:rsidRDefault="009D4A93" w:rsidP="009D4A93">
            <w:pPr>
              <w:pStyle w:val="ListParagraph"/>
              <w:spacing w:after="0"/>
              <w:ind w:firstLineChars="0" w:firstLine="0"/>
              <w:jc w:val="center"/>
            </w:pPr>
            <w:r w:rsidRPr="00536CFD">
              <w:t>17.435</w:t>
            </w:r>
          </w:p>
        </w:tc>
        <w:tc>
          <w:tcPr>
            <w:tcW w:w="723" w:type="dxa"/>
            <w:tcBorders>
              <w:top w:val="single" w:sz="4" w:space="0" w:color="auto"/>
              <w:left w:val="single" w:sz="4" w:space="0" w:color="auto"/>
              <w:bottom w:val="single" w:sz="4" w:space="0" w:color="auto"/>
              <w:right w:val="single" w:sz="4" w:space="0" w:color="auto"/>
            </w:tcBorders>
            <w:hideMark/>
          </w:tcPr>
          <w:p w14:paraId="2FE905DA" w14:textId="77777777" w:rsidR="009D4A93" w:rsidRPr="00536CFD" w:rsidRDefault="009D4A93" w:rsidP="009D4A93">
            <w:pPr>
              <w:pStyle w:val="ListParagraph"/>
              <w:spacing w:after="0"/>
              <w:ind w:firstLineChars="0" w:firstLine="0"/>
              <w:jc w:val="center"/>
            </w:pPr>
            <w:r w:rsidRPr="00536CFD">
              <w:t>9.216</w:t>
            </w:r>
          </w:p>
        </w:tc>
        <w:tc>
          <w:tcPr>
            <w:tcW w:w="724" w:type="dxa"/>
            <w:tcBorders>
              <w:top w:val="single" w:sz="4" w:space="0" w:color="auto"/>
              <w:left w:val="single" w:sz="4" w:space="0" w:color="auto"/>
              <w:bottom w:val="single" w:sz="4" w:space="0" w:color="auto"/>
              <w:right w:val="single" w:sz="4" w:space="0" w:color="auto"/>
            </w:tcBorders>
            <w:hideMark/>
          </w:tcPr>
          <w:p w14:paraId="199251EA" w14:textId="77777777" w:rsidR="009D4A93" w:rsidRPr="00536CFD" w:rsidRDefault="009D4A93" w:rsidP="009D4A93">
            <w:pPr>
              <w:pStyle w:val="ListParagraph"/>
              <w:spacing w:after="0"/>
              <w:ind w:firstLineChars="0" w:firstLine="0"/>
              <w:jc w:val="center"/>
            </w:pPr>
            <w:r w:rsidRPr="00536CFD">
              <w:t>16.412</w:t>
            </w:r>
          </w:p>
        </w:tc>
      </w:tr>
      <w:tr w:rsidR="009D4A93" w:rsidRPr="00536CFD" w14:paraId="47783A0B"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1FD4FEF5"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4945B6A0"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127BE5C1" w14:textId="77777777" w:rsidR="009D4A93" w:rsidRPr="00536CFD" w:rsidRDefault="009D4A93" w:rsidP="009D4A93">
            <w:pPr>
              <w:pStyle w:val="ListParagraph"/>
              <w:spacing w:after="0"/>
              <w:ind w:firstLineChars="0" w:firstLine="0"/>
              <w:jc w:val="center"/>
            </w:pPr>
            <w:r w:rsidRPr="00536CFD">
              <w:t>95%</w:t>
            </w:r>
          </w:p>
        </w:tc>
        <w:tc>
          <w:tcPr>
            <w:tcW w:w="630" w:type="dxa"/>
            <w:tcBorders>
              <w:top w:val="single" w:sz="4" w:space="0" w:color="auto"/>
              <w:left w:val="single" w:sz="4" w:space="0" w:color="auto"/>
              <w:bottom w:val="single" w:sz="4" w:space="0" w:color="auto"/>
              <w:right w:val="single" w:sz="4" w:space="0" w:color="auto"/>
            </w:tcBorders>
            <w:hideMark/>
          </w:tcPr>
          <w:p w14:paraId="3629D77C" w14:textId="77777777" w:rsidR="009D4A93" w:rsidRPr="00536CFD" w:rsidRDefault="009D4A93" w:rsidP="009D4A93">
            <w:pPr>
              <w:pStyle w:val="ListParagraph"/>
              <w:spacing w:after="0"/>
              <w:ind w:firstLineChars="0" w:firstLine="0"/>
              <w:jc w:val="center"/>
            </w:pPr>
            <w:r w:rsidRPr="00536CFD">
              <w:t>53.620</w:t>
            </w:r>
          </w:p>
        </w:tc>
        <w:tc>
          <w:tcPr>
            <w:tcW w:w="632" w:type="dxa"/>
            <w:tcBorders>
              <w:top w:val="single" w:sz="4" w:space="0" w:color="auto"/>
              <w:left w:val="single" w:sz="4" w:space="0" w:color="auto"/>
              <w:bottom w:val="single" w:sz="4" w:space="0" w:color="auto"/>
              <w:right w:val="single" w:sz="4" w:space="0" w:color="auto"/>
            </w:tcBorders>
            <w:hideMark/>
          </w:tcPr>
          <w:p w14:paraId="7E3C76A0" w14:textId="77777777" w:rsidR="009D4A93" w:rsidRPr="00536CFD" w:rsidRDefault="009D4A93" w:rsidP="009D4A93">
            <w:pPr>
              <w:pStyle w:val="ListParagraph"/>
              <w:spacing w:after="0"/>
              <w:ind w:firstLineChars="0" w:firstLine="0"/>
              <w:jc w:val="center"/>
            </w:pPr>
            <w:r w:rsidRPr="00536CFD">
              <w:t>73.467</w:t>
            </w:r>
          </w:p>
        </w:tc>
        <w:tc>
          <w:tcPr>
            <w:tcW w:w="632" w:type="dxa"/>
            <w:tcBorders>
              <w:top w:val="single" w:sz="4" w:space="0" w:color="auto"/>
              <w:left w:val="single" w:sz="4" w:space="0" w:color="auto"/>
              <w:bottom w:val="single" w:sz="4" w:space="0" w:color="auto"/>
              <w:right w:val="single" w:sz="4" w:space="0" w:color="auto"/>
            </w:tcBorders>
            <w:hideMark/>
          </w:tcPr>
          <w:p w14:paraId="709FDC5F" w14:textId="77777777" w:rsidR="009D4A93" w:rsidRPr="00536CFD" w:rsidRDefault="009D4A93" w:rsidP="009D4A93">
            <w:pPr>
              <w:pStyle w:val="ListParagraph"/>
              <w:spacing w:after="0"/>
              <w:ind w:firstLineChars="0" w:firstLine="0"/>
              <w:jc w:val="center"/>
            </w:pPr>
            <w:r w:rsidRPr="00536CFD">
              <w:t>53.514</w:t>
            </w:r>
          </w:p>
        </w:tc>
        <w:tc>
          <w:tcPr>
            <w:tcW w:w="633" w:type="dxa"/>
            <w:tcBorders>
              <w:top w:val="single" w:sz="4" w:space="0" w:color="auto"/>
              <w:left w:val="single" w:sz="4" w:space="0" w:color="auto"/>
              <w:bottom w:val="single" w:sz="4" w:space="0" w:color="auto"/>
              <w:right w:val="single" w:sz="4" w:space="0" w:color="auto"/>
            </w:tcBorders>
            <w:hideMark/>
          </w:tcPr>
          <w:p w14:paraId="3FD61947" w14:textId="77777777" w:rsidR="009D4A93" w:rsidRPr="00536CFD" w:rsidRDefault="009D4A93" w:rsidP="009D4A93">
            <w:pPr>
              <w:pStyle w:val="ListParagraph"/>
              <w:spacing w:after="0"/>
              <w:ind w:firstLineChars="0" w:firstLine="0"/>
              <w:jc w:val="center"/>
            </w:pPr>
            <w:r w:rsidRPr="00536CFD">
              <w:t>73.455</w:t>
            </w:r>
          </w:p>
        </w:tc>
        <w:tc>
          <w:tcPr>
            <w:tcW w:w="701" w:type="dxa"/>
            <w:tcBorders>
              <w:top w:val="single" w:sz="4" w:space="0" w:color="auto"/>
              <w:left w:val="single" w:sz="4" w:space="0" w:color="auto"/>
              <w:bottom w:val="single" w:sz="4" w:space="0" w:color="auto"/>
              <w:right w:val="single" w:sz="4" w:space="0" w:color="auto"/>
            </w:tcBorders>
            <w:hideMark/>
          </w:tcPr>
          <w:p w14:paraId="1394A0DF" w14:textId="77777777" w:rsidR="009D4A93" w:rsidRPr="00536CFD" w:rsidRDefault="009D4A93" w:rsidP="009D4A93">
            <w:pPr>
              <w:pStyle w:val="ListParagraph"/>
              <w:spacing w:after="0"/>
              <w:ind w:firstLineChars="0" w:firstLine="0"/>
              <w:jc w:val="center"/>
            </w:pPr>
            <w:r w:rsidRPr="00536CFD">
              <w:t>54.812</w:t>
            </w:r>
          </w:p>
        </w:tc>
        <w:tc>
          <w:tcPr>
            <w:tcW w:w="701" w:type="dxa"/>
            <w:tcBorders>
              <w:top w:val="single" w:sz="4" w:space="0" w:color="auto"/>
              <w:left w:val="single" w:sz="4" w:space="0" w:color="auto"/>
              <w:bottom w:val="single" w:sz="4" w:space="0" w:color="auto"/>
              <w:right w:val="single" w:sz="4" w:space="0" w:color="auto"/>
            </w:tcBorders>
            <w:hideMark/>
          </w:tcPr>
          <w:p w14:paraId="47EC49F4" w14:textId="77777777" w:rsidR="009D4A93" w:rsidRPr="00536CFD" w:rsidRDefault="009D4A93" w:rsidP="009D4A93">
            <w:pPr>
              <w:pStyle w:val="ListParagraph"/>
              <w:spacing w:after="0"/>
              <w:ind w:firstLineChars="0" w:firstLine="0"/>
              <w:jc w:val="center"/>
            </w:pPr>
            <w:r w:rsidRPr="00536CFD">
              <w:t>73.199</w:t>
            </w:r>
          </w:p>
        </w:tc>
        <w:tc>
          <w:tcPr>
            <w:tcW w:w="701" w:type="dxa"/>
            <w:tcBorders>
              <w:top w:val="single" w:sz="4" w:space="0" w:color="auto"/>
              <w:left w:val="single" w:sz="4" w:space="0" w:color="auto"/>
              <w:bottom w:val="single" w:sz="4" w:space="0" w:color="auto"/>
              <w:right w:val="single" w:sz="4" w:space="0" w:color="auto"/>
            </w:tcBorders>
            <w:hideMark/>
          </w:tcPr>
          <w:p w14:paraId="4EDDDF4B" w14:textId="77777777" w:rsidR="009D4A93" w:rsidRPr="00536CFD" w:rsidRDefault="009D4A93" w:rsidP="009D4A93">
            <w:pPr>
              <w:pStyle w:val="ListParagraph"/>
              <w:spacing w:after="0"/>
              <w:ind w:firstLineChars="0" w:firstLine="0"/>
              <w:jc w:val="center"/>
            </w:pPr>
            <w:r w:rsidRPr="00536CFD">
              <w:t>42.643</w:t>
            </w:r>
          </w:p>
        </w:tc>
        <w:tc>
          <w:tcPr>
            <w:tcW w:w="704" w:type="dxa"/>
            <w:tcBorders>
              <w:top w:val="single" w:sz="4" w:space="0" w:color="auto"/>
              <w:left w:val="single" w:sz="4" w:space="0" w:color="auto"/>
              <w:bottom w:val="single" w:sz="4" w:space="0" w:color="auto"/>
              <w:right w:val="single" w:sz="4" w:space="0" w:color="auto"/>
            </w:tcBorders>
            <w:hideMark/>
          </w:tcPr>
          <w:p w14:paraId="30CC2F4B" w14:textId="77777777" w:rsidR="009D4A93" w:rsidRPr="00536CFD" w:rsidRDefault="009D4A93" w:rsidP="009D4A93">
            <w:pPr>
              <w:pStyle w:val="ListParagraph"/>
              <w:spacing w:after="0"/>
              <w:ind w:firstLineChars="0" w:firstLine="0"/>
              <w:jc w:val="center"/>
            </w:pPr>
            <w:r w:rsidRPr="00536CFD">
              <w:t>73.054</w:t>
            </w:r>
          </w:p>
        </w:tc>
        <w:tc>
          <w:tcPr>
            <w:tcW w:w="723" w:type="dxa"/>
            <w:tcBorders>
              <w:top w:val="single" w:sz="4" w:space="0" w:color="auto"/>
              <w:left w:val="single" w:sz="4" w:space="0" w:color="auto"/>
              <w:bottom w:val="single" w:sz="4" w:space="0" w:color="auto"/>
              <w:right w:val="single" w:sz="4" w:space="0" w:color="auto"/>
            </w:tcBorders>
            <w:hideMark/>
          </w:tcPr>
          <w:p w14:paraId="243F0B11" w14:textId="77777777" w:rsidR="009D4A93" w:rsidRPr="00536CFD" w:rsidRDefault="009D4A93" w:rsidP="009D4A93">
            <w:pPr>
              <w:pStyle w:val="ListParagraph"/>
              <w:spacing w:after="0"/>
              <w:ind w:firstLineChars="0" w:firstLine="0"/>
              <w:jc w:val="center"/>
            </w:pPr>
            <w:r w:rsidRPr="00536CFD">
              <w:t>43.156</w:t>
            </w:r>
          </w:p>
        </w:tc>
        <w:tc>
          <w:tcPr>
            <w:tcW w:w="724" w:type="dxa"/>
            <w:tcBorders>
              <w:top w:val="single" w:sz="4" w:space="0" w:color="auto"/>
              <w:left w:val="single" w:sz="4" w:space="0" w:color="auto"/>
              <w:bottom w:val="single" w:sz="4" w:space="0" w:color="auto"/>
              <w:right w:val="single" w:sz="4" w:space="0" w:color="auto"/>
            </w:tcBorders>
            <w:hideMark/>
          </w:tcPr>
          <w:p w14:paraId="21985535" w14:textId="77777777" w:rsidR="009D4A93" w:rsidRPr="00536CFD" w:rsidRDefault="009D4A93" w:rsidP="009D4A93">
            <w:pPr>
              <w:pStyle w:val="ListParagraph"/>
              <w:spacing w:after="0"/>
              <w:ind w:firstLineChars="0" w:firstLine="0"/>
              <w:jc w:val="center"/>
            </w:pPr>
            <w:r w:rsidRPr="00536CFD">
              <w:t>56.293</w:t>
            </w:r>
          </w:p>
        </w:tc>
        <w:tc>
          <w:tcPr>
            <w:tcW w:w="723" w:type="dxa"/>
            <w:tcBorders>
              <w:top w:val="single" w:sz="4" w:space="0" w:color="auto"/>
              <w:left w:val="single" w:sz="4" w:space="0" w:color="auto"/>
              <w:bottom w:val="single" w:sz="4" w:space="0" w:color="auto"/>
              <w:right w:val="single" w:sz="4" w:space="0" w:color="auto"/>
            </w:tcBorders>
            <w:hideMark/>
          </w:tcPr>
          <w:p w14:paraId="6C099769" w14:textId="77777777" w:rsidR="009D4A93" w:rsidRPr="00536CFD" w:rsidRDefault="009D4A93" w:rsidP="009D4A93">
            <w:pPr>
              <w:pStyle w:val="ListParagraph"/>
              <w:spacing w:after="0"/>
              <w:ind w:firstLineChars="0" w:firstLine="0"/>
              <w:jc w:val="center"/>
            </w:pPr>
            <w:r w:rsidRPr="00536CFD">
              <w:t>40.145</w:t>
            </w:r>
          </w:p>
        </w:tc>
        <w:tc>
          <w:tcPr>
            <w:tcW w:w="724" w:type="dxa"/>
            <w:tcBorders>
              <w:top w:val="single" w:sz="4" w:space="0" w:color="auto"/>
              <w:left w:val="single" w:sz="4" w:space="0" w:color="auto"/>
              <w:bottom w:val="single" w:sz="4" w:space="0" w:color="auto"/>
              <w:right w:val="single" w:sz="4" w:space="0" w:color="auto"/>
            </w:tcBorders>
            <w:hideMark/>
          </w:tcPr>
          <w:p w14:paraId="47028A16" w14:textId="77777777" w:rsidR="009D4A93" w:rsidRPr="00536CFD" w:rsidRDefault="009D4A93" w:rsidP="009D4A93">
            <w:pPr>
              <w:pStyle w:val="ListParagraph"/>
              <w:spacing w:after="0"/>
              <w:ind w:firstLineChars="0" w:firstLine="0"/>
              <w:jc w:val="center"/>
            </w:pPr>
            <w:r w:rsidRPr="00536CFD">
              <w:t>51.652</w:t>
            </w:r>
          </w:p>
        </w:tc>
      </w:tr>
      <w:tr w:rsidR="009D4A93" w:rsidRPr="00536CFD" w14:paraId="1803587B"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6A579FD8"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3E9C183B"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055A6575" w14:textId="77777777" w:rsidR="009D4A93" w:rsidRPr="00536CFD" w:rsidRDefault="009D4A93" w:rsidP="009D4A93">
            <w:pPr>
              <w:pStyle w:val="ListParagraph"/>
              <w:spacing w:after="0"/>
              <w:ind w:firstLineChars="0" w:firstLine="0"/>
              <w:jc w:val="center"/>
            </w:pPr>
            <w:r w:rsidRPr="00536CFD">
              <w:t>Mean</w:t>
            </w:r>
          </w:p>
        </w:tc>
        <w:tc>
          <w:tcPr>
            <w:tcW w:w="630" w:type="dxa"/>
            <w:tcBorders>
              <w:top w:val="single" w:sz="4" w:space="0" w:color="auto"/>
              <w:left w:val="single" w:sz="4" w:space="0" w:color="auto"/>
              <w:bottom w:val="single" w:sz="4" w:space="0" w:color="auto"/>
              <w:right w:val="single" w:sz="4" w:space="0" w:color="auto"/>
            </w:tcBorders>
            <w:hideMark/>
          </w:tcPr>
          <w:p w14:paraId="77F2DAB2" w14:textId="77777777" w:rsidR="009D4A93" w:rsidRPr="00536CFD" w:rsidRDefault="009D4A93" w:rsidP="009D4A93">
            <w:pPr>
              <w:pStyle w:val="ListParagraph"/>
              <w:spacing w:after="0"/>
              <w:ind w:firstLineChars="0" w:firstLine="0"/>
              <w:jc w:val="center"/>
            </w:pPr>
            <w:r w:rsidRPr="00536CFD">
              <w:t>39.350</w:t>
            </w:r>
          </w:p>
        </w:tc>
        <w:tc>
          <w:tcPr>
            <w:tcW w:w="632" w:type="dxa"/>
            <w:tcBorders>
              <w:top w:val="single" w:sz="4" w:space="0" w:color="auto"/>
              <w:left w:val="single" w:sz="4" w:space="0" w:color="auto"/>
              <w:bottom w:val="single" w:sz="4" w:space="0" w:color="auto"/>
              <w:right w:val="single" w:sz="4" w:space="0" w:color="auto"/>
            </w:tcBorders>
            <w:hideMark/>
          </w:tcPr>
          <w:p w14:paraId="3ABCCA69" w14:textId="77777777" w:rsidR="009D4A93" w:rsidRPr="00536CFD" w:rsidRDefault="009D4A93" w:rsidP="009D4A93">
            <w:pPr>
              <w:pStyle w:val="ListParagraph"/>
              <w:spacing w:after="0"/>
              <w:ind w:firstLineChars="0" w:firstLine="0"/>
              <w:jc w:val="center"/>
            </w:pPr>
            <w:r w:rsidRPr="00536CFD">
              <w:t>56.899</w:t>
            </w:r>
          </w:p>
        </w:tc>
        <w:tc>
          <w:tcPr>
            <w:tcW w:w="632" w:type="dxa"/>
            <w:tcBorders>
              <w:top w:val="single" w:sz="4" w:space="0" w:color="auto"/>
              <w:left w:val="single" w:sz="4" w:space="0" w:color="auto"/>
              <w:bottom w:val="single" w:sz="4" w:space="0" w:color="auto"/>
              <w:right w:val="single" w:sz="4" w:space="0" w:color="auto"/>
            </w:tcBorders>
            <w:hideMark/>
          </w:tcPr>
          <w:p w14:paraId="77ADFFC6" w14:textId="77777777" w:rsidR="009D4A93" w:rsidRPr="00536CFD" w:rsidRDefault="009D4A93" w:rsidP="009D4A93">
            <w:pPr>
              <w:pStyle w:val="ListParagraph"/>
              <w:spacing w:after="0"/>
              <w:ind w:firstLineChars="0" w:firstLine="0"/>
              <w:jc w:val="center"/>
            </w:pPr>
            <w:r w:rsidRPr="00536CFD">
              <w:t>35.535</w:t>
            </w:r>
          </w:p>
        </w:tc>
        <w:tc>
          <w:tcPr>
            <w:tcW w:w="633" w:type="dxa"/>
            <w:tcBorders>
              <w:top w:val="single" w:sz="4" w:space="0" w:color="auto"/>
              <w:left w:val="single" w:sz="4" w:space="0" w:color="auto"/>
              <w:bottom w:val="single" w:sz="4" w:space="0" w:color="auto"/>
              <w:right w:val="single" w:sz="4" w:space="0" w:color="auto"/>
            </w:tcBorders>
            <w:hideMark/>
          </w:tcPr>
          <w:p w14:paraId="693A42C4" w14:textId="77777777" w:rsidR="009D4A93" w:rsidRPr="00536CFD" w:rsidRDefault="009D4A93" w:rsidP="009D4A93">
            <w:pPr>
              <w:pStyle w:val="ListParagraph"/>
              <w:spacing w:after="0"/>
              <w:ind w:firstLineChars="0" w:firstLine="0"/>
              <w:jc w:val="center"/>
            </w:pPr>
            <w:r w:rsidRPr="00536CFD">
              <w:t>56.401</w:t>
            </w:r>
          </w:p>
        </w:tc>
        <w:tc>
          <w:tcPr>
            <w:tcW w:w="701" w:type="dxa"/>
            <w:tcBorders>
              <w:top w:val="single" w:sz="4" w:space="0" w:color="auto"/>
              <w:left w:val="single" w:sz="4" w:space="0" w:color="auto"/>
              <w:bottom w:val="single" w:sz="4" w:space="0" w:color="auto"/>
              <w:right w:val="single" w:sz="4" w:space="0" w:color="auto"/>
            </w:tcBorders>
            <w:hideMark/>
          </w:tcPr>
          <w:p w14:paraId="7B205282" w14:textId="77777777" w:rsidR="009D4A93" w:rsidRPr="00536CFD" w:rsidRDefault="009D4A93" w:rsidP="009D4A93">
            <w:pPr>
              <w:pStyle w:val="ListParagraph"/>
              <w:spacing w:after="0"/>
              <w:ind w:firstLineChars="0" w:firstLine="0"/>
              <w:jc w:val="center"/>
            </w:pPr>
            <w:r w:rsidRPr="00536CFD">
              <w:t>27.623</w:t>
            </w:r>
          </w:p>
        </w:tc>
        <w:tc>
          <w:tcPr>
            <w:tcW w:w="701" w:type="dxa"/>
            <w:tcBorders>
              <w:top w:val="single" w:sz="4" w:space="0" w:color="auto"/>
              <w:left w:val="single" w:sz="4" w:space="0" w:color="auto"/>
              <w:bottom w:val="single" w:sz="4" w:space="0" w:color="auto"/>
              <w:right w:val="single" w:sz="4" w:space="0" w:color="auto"/>
            </w:tcBorders>
            <w:hideMark/>
          </w:tcPr>
          <w:p w14:paraId="220A485A" w14:textId="77777777" w:rsidR="009D4A93" w:rsidRPr="00536CFD" w:rsidRDefault="009D4A93" w:rsidP="009D4A93">
            <w:pPr>
              <w:pStyle w:val="ListParagraph"/>
              <w:spacing w:after="0"/>
              <w:ind w:firstLineChars="0" w:firstLine="0"/>
              <w:jc w:val="center"/>
            </w:pPr>
            <w:r w:rsidRPr="00536CFD">
              <w:t>36.432</w:t>
            </w:r>
          </w:p>
        </w:tc>
        <w:tc>
          <w:tcPr>
            <w:tcW w:w="701" w:type="dxa"/>
            <w:tcBorders>
              <w:top w:val="single" w:sz="4" w:space="0" w:color="auto"/>
              <w:left w:val="single" w:sz="4" w:space="0" w:color="auto"/>
              <w:bottom w:val="single" w:sz="4" w:space="0" w:color="auto"/>
              <w:right w:val="single" w:sz="4" w:space="0" w:color="auto"/>
            </w:tcBorders>
            <w:hideMark/>
          </w:tcPr>
          <w:p w14:paraId="7F8679BC" w14:textId="77777777" w:rsidR="009D4A93" w:rsidRPr="00536CFD" w:rsidRDefault="009D4A93" w:rsidP="009D4A93">
            <w:pPr>
              <w:pStyle w:val="ListParagraph"/>
              <w:spacing w:after="0"/>
              <w:ind w:firstLineChars="0" w:firstLine="0"/>
              <w:jc w:val="center"/>
            </w:pPr>
            <w:r w:rsidRPr="00536CFD">
              <w:t>25.310</w:t>
            </w:r>
          </w:p>
        </w:tc>
        <w:tc>
          <w:tcPr>
            <w:tcW w:w="704" w:type="dxa"/>
            <w:tcBorders>
              <w:top w:val="single" w:sz="4" w:space="0" w:color="auto"/>
              <w:left w:val="single" w:sz="4" w:space="0" w:color="auto"/>
              <w:bottom w:val="single" w:sz="4" w:space="0" w:color="auto"/>
              <w:right w:val="single" w:sz="4" w:space="0" w:color="auto"/>
            </w:tcBorders>
            <w:hideMark/>
          </w:tcPr>
          <w:p w14:paraId="64F927B7" w14:textId="77777777" w:rsidR="009D4A93" w:rsidRPr="00536CFD" w:rsidRDefault="009D4A93" w:rsidP="009D4A93">
            <w:pPr>
              <w:pStyle w:val="ListParagraph"/>
              <w:spacing w:after="0"/>
              <w:ind w:firstLineChars="0" w:firstLine="0"/>
              <w:jc w:val="center"/>
            </w:pPr>
            <w:r w:rsidRPr="00536CFD">
              <w:t>35.882</w:t>
            </w:r>
          </w:p>
        </w:tc>
        <w:tc>
          <w:tcPr>
            <w:tcW w:w="723" w:type="dxa"/>
            <w:tcBorders>
              <w:top w:val="single" w:sz="4" w:space="0" w:color="auto"/>
              <w:left w:val="single" w:sz="4" w:space="0" w:color="auto"/>
              <w:bottom w:val="single" w:sz="4" w:space="0" w:color="auto"/>
              <w:right w:val="single" w:sz="4" w:space="0" w:color="auto"/>
            </w:tcBorders>
            <w:hideMark/>
          </w:tcPr>
          <w:p w14:paraId="45759296" w14:textId="77777777" w:rsidR="009D4A93" w:rsidRPr="00536CFD" w:rsidRDefault="009D4A93" w:rsidP="009D4A93">
            <w:pPr>
              <w:pStyle w:val="ListParagraph"/>
              <w:spacing w:after="0"/>
              <w:ind w:firstLineChars="0" w:firstLine="0"/>
              <w:jc w:val="center"/>
            </w:pPr>
            <w:r w:rsidRPr="00536CFD">
              <w:t>17.170</w:t>
            </w:r>
          </w:p>
        </w:tc>
        <w:tc>
          <w:tcPr>
            <w:tcW w:w="724" w:type="dxa"/>
            <w:tcBorders>
              <w:top w:val="single" w:sz="4" w:space="0" w:color="auto"/>
              <w:left w:val="single" w:sz="4" w:space="0" w:color="auto"/>
              <w:bottom w:val="single" w:sz="4" w:space="0" w:color="auto"/>
              <w:right w:val="single" w:sz="4" w:space="0" w:color="auto"/>
            </w:tcBorders>
            <w:hideMark/>
          </w:tcPr>
          <w:p w14:paraId="4A856F0A" w14:textId="77777777" w:rsidR="009D4A93" w:rsidRPr="00536CFD" w:rsidRDefault="009D4A93" w:rsidP="009D4A93">
            <w:pPr>
              <w:pStyle w:val="ListParagraph"/>
              <w:spacing w:after="0"/>
              <w:ind w:firstLineChars="0" w:firstLine="0"/>
              <w:jc w:val="center"/>
            </w:pPr>
            <w:r w:rsidRPr="00536CFD">
              <w:t>21.645</w:t>
            </w:r>
          </w:p>
        </w:tc>
        <w:tc>
          <w:tcPr>
            <w:tcW w:w="723" w:type="dxa"/>
            <w:tcBorders>
              <w:top w:val="single" w:sz="4" w:space="0" w:color="auto"/>
              <w:left w:val="single" w:sz="4" w:space="0" w:color="auto"/>
              <w:bottom w:val="single" w:sz="4" w:space="0" w:color="auto"/>
              <w:right w:val="single" w:sz="4" w:space="0" w:color="auto"/>
            </w:tcBorders>
            <w:hideMark/>
          </w:tcPr>
          <w:p w14:paraId="7C01B7B5" w14:textId="77777777" w:rsidR="009D4A93" w:rsidRPr="00536CFD" w:rsidRDefault="009D4A93" w:rsidP="009D4A93">
            <w:pPr>
              <w:pStyle w:val="ListParagraph"/>
              <w:spacing w:after="0"/>
              <w:ind w:firstLineChars="0" w:firstLine="0"/>
              <w:jc w:val="center"/>
            </w:pPr>
            <w:r w:rsidRPr="00536CFD">
              <w:t>14.194</w:t>
            </w:r>
          </w:p>
        </w:tc>
        <w:tc>
          <w:tcPr>
            <w:tcW w:w="724" w:type="dxa"/>
            <w:tcBorders>
              <w:top w:val="single" w:sz="4" w:space="0" w:color="auto"/>
              <w:left w:val="single" w:sz="4" w:space="0" w:color="auto"/>
              <w:bottom w:val="single" w:sz="4" w:space="0" w:color="auto"/>
              <w:right w:val="single" w:sz="4" w:space="0" w:color="auto"/>
            </w:tcBorders>
            <w:hideMark/>
          </w:tcPr>
          <w:p w14:paraId="68F19C3A" w14:textId="77777777" w:rsidR="009D4A93" w:rsidRPr="00536CFD" w:rsidRDefault="009D4A93" w:rsidP="009D4A93">
            <w:pPr>
              <w:pStyle w:val="ListParagraph"/>
              <w:spacing w:after="0"/>
              <w:ind w:firstLineChars="0" w:firstLine="0"/>
              <w:jc w:val="center"/>
            </w:pPr>
            <w:r w:rsidRPr="00536CFD">
              <w:t>21.738</w:t>
            </w:r>
          </w:p>
        </w:tc>
      </w:tr>
      <w:tr w:rsidR="009D4A93" w:rsidRPr="00536CFD" w14:paraId="5E164405"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53662061" w14:textId="77777777" w:rsidR="009D4A93" w:rsidRPr="00536CFD" w:rsidRDefault="009D4A93" w:rsidP="009D4A93">
            <w:pPr>
              <w:spacing w:after="0"/>
              <w:rPr>
                <w:lang w:eastAsia="zh-CN"/>
              </w:rPr>
            </w:pPr>
          </w:p>
        </w:tc>
        <w:tc>
          <w:tcPr>
            <w:tcW w:w="494" w:type="dxa"/>
            <w:vMerge w:val="restart"/>
            <w:tcBorders>
              <w:top w:val="single" w:sz="4" w:space="0" w:color="auto"/>
              <w:left w:val="single" w:sz="4" w:space="0" w:color="auto"/>
              <w:bottom w:val="single" w:sz="4" w:space="0" w:color="auto"/>
              <w:right w:val="single" w:sz="4" w:space="0" w:color="auto"/>
            </w:tcBorders>
            <w:hideMark/>
          </w:tcPr>
          <w:p w14:paraId="0FF4FDD6" w14:textId="77777777" w:rsidR="009D4A93" w:rsidRPr="00536CFD" w:rsidRDefault="009D4A93" w:rsidP="009D4A93">
            <w:pPr>
              <w:pStyle w:val="ListParagraph"/>
              <w:spacing w:after="0"/>
              <w:ind w:firstLineChars="0" w:firstLine="0"/>
              <w:jc w:val="center"/>
            </w:pPr>
            <w:r w:rsidRPr="00536CFD">
              <w:rPr>
                <w:b/>
              </w:rPr>
              <w:t>UL:</w:t>
            </w:r>
          </w:p>
          <w:p w14:paraId="44BAB0FE" w14:textId="77777777" w:rsidR="009D4A93" w:rsidRPr="00536CFD" w:rsidRDefault="009D4A93" w:rsidP="009D4A93">
            <w:pPr>
              <w:pStyle w:val="ListParagraph"/>
              <w:spacing w:after="0"/>
              <w:ind w:firstLineChars="0" w:firstLine="0"/>
              <w:jc w:val="center"/>
            </w:pPr>
            <w:r w:rsidRPr="00536CFD">
              <w:t>Delay CDF</w:t>
            </w:r>
          </w:p>
          <w:p w14:paraId="4924C73B" w14:textId="77777777" w:rsidR="009D4A93" w:rsidRPr="00536CFD" w:rsidRDefault="009D4A93" w:rsidP="009D4A93">
            <w:pPr>
              <w:pStyle w:val="ListParagraph"/>
              <w:spacing w:after="0"/>
              <w:ind w:firstLineChars="0" w:firstLine="0"/>
              <w:jc w:val="center"/>
            </w:pPr>
            <w:r w:rsidRPr="00536CFD">
              <w:t>[s]</w:t>
            </w:r>
          </w:p>
        </w:tc>
        <w:tc>
          <w:tcPr>
            <w:tcW w:w="494" w:type="dxa"/>
            <w:tcBorders>
              <w:top w:val="single" w:sz="4" w:space="0" w:color="auto"/>
              <w:left w:val="single" w:sz="4" w:space="0" w:color="auto"/>
              <w:bottom w:val="single" w:sz="4" w:space="0" w:color="auto"/>
              <w:right w:val="single" w:sz="4" w:space="0" w:color="auto"/>
            </w:tcBorders>
            <w:hideMark/>
          </w:tcPr>
          <w:p w14:paraId="22FBFCCD" w14:textId="77777777" w:rsidR="009D4A93" w:rsidRPr="00536CFD" w:rsidRDefault="009D4A93" w:rsidP="009D4A93">
            <w:pPr>
              <w:pStyle w:val="ListParagraph"/>
              <w:spacing w:after="0"/>
              <w:ind w:firstLineChars="0" w:firstLine="0"/>
              <w:jc w:val="center"/>
            </w:pPr>
            <w:r w:rsidRPr="00536CFD">
              <w:t>5%</w:t>
            </w:r>
          </w:p>
        </w:tc>
        <w:tc>
          <w:tcPr>
            <w:tcW w:w="630" w:type="dxa"/>
            <w:tcBorders>
              <w:top w:val="single" w:sz="4" w:space="0" w:color="auto"/>
              <w:left w:val="single" w:sz="4" w:space="0" w:color="auto"/>
              <w:bottom w:val="single" w:sz="4" w:space="0" w:color="auto"/>
              <w:right w:val="single" w:sz="4" w:space="0" w:color="auto"/>
            </w:tcBorders>
            <w:hideMark/>
          </w:tcPr>
          <w:p w14:paraId="381DFA32" w14:textId="77777777" w:rsidR="009D4A93" w:rsidRPr="00536CFD" w:rsidRDefault="009D4A93" w:rsidP="009D4A93">
            <w:pPr>
              <w:pStyle w:val="ListParagraph"/>
              <w:spacing w:after="0"/>
              <w:ind w:firstLineChars="0" w:firstLine="0"/>
              <w:jc w:val="center"/>
            </w:pPr>
            <w:r w:rsidRPr="00536CFD">
              <w:t>0.050</w:t>
            </w:r>
          </w:p>
        </w:tc>
        <w:tc>
          <w:tcPr>
            <w:tcW w:w="632" w:type="dxa"/>
            <w:tcBorders>
              <w:top w:val="single" w:sz="4" w:space="0" w:color="auto"/>
              <w:left w:val="single" w:sz="4" w:space="0" w:color="auto"/>
              <w:bottom w:val="single" w:sz="4" w:space="0" w:color="auto"/>
              <w:right w:val="single" w:sz="4" w:space="0" w:color="auto"/>
            </w:tcBorders>
            <w:hideMark/>
          </w:tcPr>
          <w:p w14:paraId="71143311" w14:textId="77777777" w:rsidR="009D4A93" w:rsidRPr="00536CFD" w:rsidRDefault="009D4A93" w:rsidP="009D4A93">
            <w:pPr>
              <w:pStyle w:val="ListParagraph"/>
              <w:spacing w:after="0"/>
              <w:ind w:firstLineChars="0" w:firstLine="0"/>
              <w:jc w:val="center"/>
            </w:pPr>
            <w:r w:rsidRPr="00536CFD">
              <w:t>0.054</w:t>
            </w:r>
          </w:p>
        </w:tc>
        <w:tc>
          <w:tcPr>
            <w:tcW w:w="632" w:type="dxa"/>
            <w:tcBorders>
              <w:top w:val="single" w:sz="4" w:space="0" w:color="auto"/>
              <w:left w:val="single" w:sz="4" w:space="0" w:color="auto"/>
              <w:bottom w:val="single" w:sz="4" w:space="0" w:color="auto"/>
              <w:right w:val="single" w:sz="4" w:space="0" w:color="auto"/>
            </w:tcBorders>
            <w:hideMark/>
          </w:tcPr>
          <w:p w14:paraId="2EF80A63" w14:textId="77777777" w:rsidR="009D4A93" w:rsidRPr="00536CFD" w:rsidRDefault="009D4A93" w:rsidP="009D4A93">
            <w:pPr>
              <w:pStyle w:val="ListParagraph"/>
              <w:spacing w:after="0"/>
              <w:ind w:firstLineChars="0" w:firstLine="0"/>
              <w:jc w:val="center"/>
            </w:pPr>
            <w:r w:rsidRPr="00536CFD">
              <w:t>0.050</w:t>
            </w:r>
          </w:p>
        </w:tc>
        <w:tc>
          <w:tcPr>
            <w:tcW w:w="633" w:type="dxa"/>
            <w:tcBorders>
              <w:top w:val="single" w:sz="4" w:space="0" w:color="auto"/>
              <w:left w:val="single" w:sz="4" w:space="0" w:color="auto"/>
              <w:bottom w:val="single" w:sz="4" w:space="0" w:color="auto"/>
              <w:right w:val="single" w:sz="4" w:space="0" w:color="auto"/>
            </w:tcBorders>
            <w:hideMark/>
          </w:tcPr>
          <w:p w14:paraId="7CB35180" w14:textId="77777777" w:rsidR="009D4A93" w:rsidRPr="00536CFD" w:rsidRDefault="009D4A93" w:rsidP="009D4A93">
            <w:pPr>
              <w:pStyle w:val="ListParagraph"/>
              <w:spacing w:after="0"/>
              <w:ind w:firstLineChars="0" w:firstLine="0"/>
              <w:jc w:val="center"/>
            </w:pPr>
            <w:r w:rsidRPr="00536CFD">
              <w:t>0.054</w:t>
            </w:r>
          </w:p>
        </w:tc>
        <w:tc>
          <w:tcPr>
            <w:tcW w:w="701" w:type="dxa"/>
            <w:tcBorders>
              <w:top w:val="single" w:sz="4" w:space="0" w:color="auto"/>
              <w:left w:val="single" w:sz="4" w:space="0" w:color="auto"/>
              <w:bottom w:val="single" w:sz="4" w:space="0" w:color="auto"/>
              <w:right w:val="single" w:sz="4" w:space="0" w:color="auto"/>
            </w:tcBorders>
            <w:hideMark/>
          </w:tcPr>
          <w:p w14:paraId="064A9E07" w14:textId="77777777" w:rsidR="009D4A93" w:rsidRPr="00536CFD" w:rsidRDefault="009D4A93" w:rsidP="009D4A93">
            <w:pPr>
              <w:pStyle w:val="ListParagraph"/>
              <w:spacing w:after="0"/>
              <w:ind w:firstLineChars="0" w:firstLine="0"/>
              <w:jc w:val="center"/>
            </w:pPr>
            <w:r w:rsidRPr="00536CFD">
              <w:t>0.050</w:t>
            </w:r>
          </w:p>
        </w:tc>
        <w:tc>
          <w:tcPr>
            <w:tcW w:w="701" w:type="dxa"/>
            <w:tcBorders>
              <w:top w:val="single" w:sz="4" w:space="0" w:color="auto"/>
              <w:left w:val="single" w:sz="4" w:space="0" w:color="auto"/>
              <w:bottom w:val="single" w:sz="4" w:space="0" w:color="auto"/>
              <w:right w:val="single" w:sz="4" w:space="0" w:color="auto"/>
            </w:tcBorders>
            <w:hideMark/>
          </w:tcPr>
          <w:p w14:paraId="779D3633" w14:textId="77777777" w:rsidR="009D4A93" w:rsidRPr="00536CFD" w:rsidRDefault="009D4A93" w:rsidP="009D4A93">
            <w:pPr>
              <w:pStyle w:val="ListParagraph"/>
              <w:spacing w:after="0"/>
              <w:ind w:firstLineChars="0" w:firstLine="0"/>
              <w:jc w:val="center"/>
            </w:pPr>
            <w:r w:rsidRPr="00536CFD">
              <w:t>0.054</w:t>
            </w:r>
          </w:p>
        </w:tc>
        <w:tc>
          <w:tcPr>
            <w:tcW w:w="701" w:type="dxa"/>
            <w:tcBorders>
              <w:top w:val="single" w:sz="4" w:space="0" w:color="auto"/>
              <w:left w:val="single" w:sz="4" w:space="0" w:color="auto"/>
              <w:bottom w:val="single" w:sz="4" w:space="0" w:color="auto"/>
              <w:right w:val="single" w:sz="4" w:space="0" w:color="auto"/>
            </w:tcBorders>
            <w:hideMark/>
          </w:tcPr>
          <w:p w14:paraId="6535438D" w14:textId="77777777" w:rsidR="009D4A93" w:rsidRPr="00536CFD" w:rsidRDefault="009D4A93" w:rsidP="009D4A93">
            <w:pPr>
              <w:pStyle w:val="ListParagraph"/>
              <w:spacing w:after="0"/>
              <w:ind w:firstLineChars="0" w:firstLine="0"/>
              <w:jc w:val="center"/>
            </w:pPr>
            <w:r w:rsidRPr="00536CFD">
              <w:t>0.050</w:t>
            </w:r>
          </w:p>
        </w:tc>
        <w:tc>
          <w:tcPr>
            <w:tcW w:w="704" w:type="dxa"/>
            <w:tcBorders>
              <w:top w:val="single" w:sz="4" w:space="0" w:color="auto"/>
              <w:left w:val="single" w:sz="4" w:space="0" w:color="auto"/>
              <w:bottom w:val="single" w:sz="4" w:space="0" w:color="auto"/>
              <w:right w:val="single" w:sz="4" w:space="0" w:color="auto"/>
            </w:tcBorders>
            <w:hideMark/>
          </w:tcPr>
          <w:p w14:paraId="476D7055" w14:textId="77777777" w:rsidR="009D4A93" w:rsidRPr="00536CFD" w:rsidRDefault="009D4A93" w:rsidP="009D4A93">
            <w:pPr>
              <w:pStyle w:val="ListParagraph"/>
              <w:spacing w:after="0"/>
              <w:ind w:firstLineChars="0" w:firstLine="0"/>
              <w:jc w:val="center"/>
            </w:pPr>
            <w:r w:rsidRPr="00536CFD">
              <w:t>0.054</w:t>
            </w:r>
          </w:p>
        </w:tc>
        <w:tc>
          <w:tcPr>
            <w:tcW w:w="723" w:type="dxa"/>
            <w:tcBorders>
              <w:top w:val="single" w:sz="4" w:space="0" w:color="auto"/>
              <w:left w:val="single" w:sz="4" w:space="0" w:color="auto"/>
              <w:bottom w:val="single" w:sz="4" w:space="0" w:color="auto"/>
              <w:right w:val="single" w:sz="4" w:space="0" w:color="auto"/>
            </w:tcBorders>
            <w:hideMark/>
          </w:tcPr>
          <w:p w14:paraId="4C7B4D3C" w14:textId="77777777" w:rsidR="009D4A93" w:rsidRPr="00536CFD" w:rsidRDefault="009D4A93" w:rsidP="009D4A93">
            <w:pPr>
              <w:pStyle w:val="ListParagraph"/>
              <w:spacing w:after="0"/>
              <w:ind w:firstLineChars="0" w:firstLine="0"/>
              <w:jc w:val="center"/>
            </w:pPr>
            <w:r w:rsidRPr="00536CFD">
              <w:t>0.050</w:t>
            </w:r>
          </w:p>
        </w:tc>
        <w:tc>
          <w:tcPr>
            <w:tcW w:w="724" w:type="dxa"/>
            <w:tcBorders>
              <w:top w:val="single" w:sz="4" w:space="0" w:color="auto"/>
              <w:left w:val="single" w:sz="4" w:space="0" w:color="auto"/>
              <w:bottom w:val="single" w:sz="4" w:space="0" w:color="auto"/>
              <w:right w:val="single" w:sz="4" w:space="0" w:color="auto"/>
            </w:tcBorders>
            <w:hideMark/>
          </w:tcPr>
          <w:p w14:paraId="314EE744" w14:textId="77777777" w:rsidR="009D4A93" w:rsidRPr="00536CFD" w:rsidRDefault="009D4A93" w:rsidP="009D4A93">
            <w:pPr>
              <w:pStyle w:val="ListParagraph"/>
              <w:spacing w:after="0"/>
              <w:ind w:firstLineChars="0" w:firstLine="0"/>
              <w:jc w:val="center"/>
            </w:pPr>
            <w:r w:rsidRPr="00536CFD">
              <w:t>0.055</w:t>
            </w:r>
          </w:p>
        </w:tc>
        <w:tc>
          <w:tcPr>
            <w:tcW w:w="723" w:type="dxa"/>
            <w:tcBorders>
              <w:top w:val="single" w:sz="4" w:space="0" w:color="auto"/>
              <w:left w:val="single" w:sz="4" w:space="0" w:color="auto"/>
              <w:bottom w:val="single" w:sz="4" w:space="0" w:color="auto"/>
              <w:right w:val="single" w:sz="4" w:space="0" w:color="auto"/>
            </w:tcBorders>
            <w:hideMark/>
          </w:tcPr>
          <w:p w14:paraId="3B0AE7D5" w14:textId="77777777" w:rsidR="009D4A93" w:rsidRPr="00536CFD" w:rsidRDefault="009D4A93" w:rsidP="009D4A93">
            <w:pPr>
              <w:pStyle w:val="ListParagraph"/>
              <w:spacing w:after="0"/>
              <w:ind w:firstLineChars="0" w:firstLine="0"/>
              <w:jc w:val="center"/>
            </w:pPr>
            <w:r w:rsidRPr="00536CFD">
              <w:t>0.050</w:t>
            </w:r>
          </w:p>
        </w:tc>
        <w:tc>
          <w:tcPr>
            <w:tcW w:w="724" w:type="dxa"/>
            <w:tcBorders>
              <w:top w:val="single" w:sz="4" w:space="0" w:color="auto"/>
              <w:left w:val="single" w:sz="4" w:space="0" w:color="auto"/>
              <w:bottom w:val="single" w:sz="4" w:space="0" w:color="auto"/>
              <w:right w:val="single" w:sz="4" w:space="0" w:color="auto"/>
            </w:tcBorders>
            <w:hideMark/>
          </w:tcPr>
          <w:p w14:paraId="2C6C9ED6" w14:textId="77777777" w:rsidR="009D4A93" w:rsidRPr="00536CFD" w:rsidRDefault="009D4A93" w:rsidP="009D4A93">
            <w:pPr>
              <w:pStyle w:val="ListParagraph"/>
              <w:spacing w:after="0"/>
              <w:ind w:firstLineChars="0" w:firstLine="0"/>
              <w:jc w:val="center"/>
            </w:pPr>
            <w:r w:rsidRPr="00536CFD">
              <w:t>0.055</w:t>
            </w:r>
          </w:p>
        </w:tc>
      </w:tr>
      <w:tr w:rsidR="009D4A93" w:rsidRPr="00536CFD" w14:paraId="7DBA4D6A"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173C4A36"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7EF7BDA6"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013386D0" w14:textId="77777777" w:rsidR="009D4A93" w:rsidRPr="00536CFD" w:rsidRDefault="009D4A93" w:rsidP="009D4A93">
            <w:pPr>
              <w:pStyle w:val="ListParagraph"/>
              <w:spacing w:after="0"/>
              <w:ind w:firstLineChars="0" w:firstLine="0"/>
              <w:jc w:val="center"/>
            </w:pPr>
            <w:r w:rsidRPr="00536CFD">
              <w:t>50%</w:t>
            </w:r>
          </w:p>
        </w:tc>
        <w:tc>
          <w:tcPr>
            <w:tcW w:w="630" w:type="dxa"/>
            <w:tcBorders>
              <w:top w:val="single" w:sz="4" w:space="0" w:color="auto"/>
              <w:left w:val="single" w:sz="4" w:space="0" w:color="auto"/>
              <w:bottom w:val="single" w:sz="4" w:space="0" w:color="auto"/>
              <w:right w:val="single" w:sz="4" w:space="0" w:color="auto"/>
            </w:tcBorders>
            <w:hideMark/>
          </w:tcPr>
          <w:p w14:paraId="30C796A1" w14:textId="77777777" w:rsidR="009D4A93" w:rsidRPr="00536CFD" w:rsidRDefault="009D4A93" w:rsidP="009D4A93">
            <w:pPr>
              <w:pStyle w:val="ListParagraph"/>
              <w:spacing w:after="0"/>
              <w:ind w:firstLineChars="0" w:firstLine="0"/>
              <w:jc w:val="center"/>
            </w:pPr>
            <w:r w:rsidRPr="00536CFD">
              <w:t>0.050</w:t>
            </w:r>
          </w:p>
        </w:tc>
        <w:tc>
          <w:tcPr>
            <w:tcW w:w="632" w:type="dxa"/>
            <w:tcBorders>
              <w:top w:val="single" w:sz="4" w:space="0" w:color="auto"/>
              <w:left w:val="single" w:sz="4" w:space="0" w:color="auto"/>
              <w:bottom w:val="single" w:sz="4" w:space="0" w:color="auto"/>
              <w:right w:val="single" w:sz="4" w:space="0" w:color="auto"/>
            </w:tcBorders>
            <w:hideMark/>
          </w:tcPr>
          <w:p w14:paraId="73EA79C0" w14:textId="77777777" w:rsidR="009D4A93" w:rsidRPr="00536CFD" w:rsidRDefault="009D4A93" w:rsidP="009D4A93">
            <w:pPr>
              <w:pStyle w:val="ListParagraph"/>
              <w:spacing w:after="0"/>
              <w:ind w:firstLineChars="0" w:firstLine="0"/>
              <w:jc w:val="center"/>
            </w:pPr>
            <w:r w:rsidRPr="00536CFD">
              <w:t>0.060</w:t>
            </w:r>
          </w:p>
        </w:tc>
        <w:tc>
          <w:tcPr>
            <w:tcW w:w="632" w:type="dxa"/>
            <w:tcBorders>
              <w:top w:val="single" w:sz="4" w:space="0" w:color="auto"/>
              <w:left w:val="single" w:sz="4" w:space="0" w:color="auto"/>
              <w:bottom w:val="single" w:sz="4" w:space="0" w:color="auto"/>
              <w:right w:val="single" w:sz="4" w:space="0" w:color="auto"/>
            </w:tcBorders>
            <w:hideMark/>
          </w:tcPr>
          <w:p w14:paraId="054DA93C" w14:textId="77777777" w:rsidR="009D4A93" w:rsidRPr="00536CFD" w:rsidRDefault="009D4A93" w:rsidP="009D4A93">
            <w:pPr>
              <w:pStyle w:val="ListParagraph"/>
              <w:spacing w:after="0"/>
              <w:ind w:firstLineChars="0" w:firstLine="0"/>
              <w:jc w:val="center"/>
            </w:pPr>
            <w:r w:rsidRPr="00536CFD">
              <w:t>0.053</w:t>
            </w:r>
          </w:p>
        </w:tc>
        <w:tc>
          <w:tcPr>
            <w:tcW w:w="633" w:type="dxa"/>
            <w:tcBorders>
              <w:top w:val="single" w:sz="4" w:space="0" w:color="auto"/>
              <w:left w:val="single" w:sz="4" w:space="0" w:color="auto"/>
              <w:bottom w:val="single" w:sz="4" w:space="0" w:color="auto"/>
              <w:right w:val="single" w:sz="4" w:space="0" w:color="auto"/>
            </w:tcBorders>
            <w:hideMark/>
          </w:tcPr>
          <w:p w14:paraId="0F622304" w14:textId="77777777" w:rsidR="009D4A93" w:rsidRPr="00536CFD" w:rsidRDefault="009D4A93" w:rsidP="009D4A93">
            <w:pPr>
              <w:pStyle w:val="ListParagraph"/>
              <w:spacing w:after="0"/>
              <w:ind w:firstLineChars="0" w:firstLine="0"/>
              <w:jc w:val="center"/>
            </w:pPr>
            <w:r w:rsidRPr="00536CFD">
              <w:t>0.070</w:t>
            </w:r>
          </w:p>
        </w:tc>
        <w:tc>
          <w:tcPr>
            <w:tcW w:w="701" w:type="dxa"/>
            <w:tcBorders>
              <w:top w:val="single" w:sz="4" w:space="0" w:color="auto"/>
              <w:left w:val="single" w:sz="4" w:space="0" w:color="auto"/>
              <w:bottom w:val="single" w:sz="4" w:space="0" w:color="auto"/>
              <w:right w:val="single" w:sz="4" w:space="0" w:color="auto"/>
            </w:tcBorders>
            <w:hideMark/>
          </w:tcPr>
          <w:p w14:paraId="42E5F71E" w14:textId="77777777" w:rsidR="009D4A93" w:rsidRPr="00536CFD" w:rsidRDefault="009D4A93" w:rsidP="009D4A93">
            <w:pPr>
              <w:pStyle w:val="ListParagraph"/>
              <w:spacing w:after="0"/>
              <w:ind w:firstLineChars="0" w:firstLine="0"/>
              <w:jc w:val="center"/>
            </w:pPr>
            <w:r w:rsidRPr="00536CFD">
              <w:t>0.094</w:t>
            </w:r>
          </w:p>
        </w:tc>
        <w:tc>
          <w:tcPr>
            <w:tcW w:w="701" w:type="dxa"/>
            <w:tcBorders>
              <w:top w:val="single" w:sz="4" w:space="0" w:color="auto"/>
              <w:left w:val="single" w:sz="4" w:space="0" w:color="auto"/>
              <w:bottom w:val="single" w:sz="4" w:space="0" w:color="auto"/>
              <w:right w:val="single" w:sz="4" w:space="0" w:color="auto"/>
            </w:tcBorders>
            <w:hideMark/>
          </w:tcPr>
          <w:p w14:paraId="0B460940" w14:textId="77777777" w:rsidR="009D4A93" w:rsidRPr="00536CFD" w:rsidRDefault="009D4A93" w:rsidP="009D4A93">
            <w:pPr>
              <w:pStyle w:val="ListParagraph"/>
              <w:spacing w:after="0"/>
              <w:ind w:firstLineChars="0" w:firstLine="0"/>
              <w:jc w:val="center"/>
            </w:pPr>
            <w:r w:rsidRPr="00536CFD">
              <w:t>0.116</w:t>
            </w:r>
          </w:p>
        </w:tc>
        <w:tc>
          <w:tcPr>
            <w:tcW w:w="701" w:type="dxa"/>
            <w:tcBorders>
              <w:top w:val="single" w:sz="4" w:space="0" w:color="auto"/>
              <w:left w:val="single" w:sz="4" w:space="0" w:color="auto"/>
              <w:bottom w:val="single" w:sz="4" w:space="0" w:color="auto"/>
              <w:right w:val="single" w:sz="4" w:space="0" w:color="auto"/>
            </w:tcBorders>
            <w:hideMark/>
          </w:tcPr>
          <w:p w14:paraId="18DD9D71" w14:textId="77777777" w:rsidR="009D4A93" w:rsidRPr="00536CFD" w:rsidRDefault="009D4A93" w:rsidP="009D4A93">
            <w:pPr>
              <w:pStyle w:val="ListParagraph"/>
              <w:spacing w:after="0"/>
              <w:ind w:firstLineChars="0" w:firstLine="0"/>
              <w:jc w:val="center"/>
            </w:pPr>
            <w:r w:rsidRPr="00536CFD">
              <w:t>0.125</w:t>
            </w:r>
          </w:p>
        </w:tc>
        <w:tc>
          <w:tcPr>
            <w:tcW w:w="704" w:type="dxa"/>
            <w:tcBorders>
              <w:top w:val="single" w:sz="4" w:space="0" w:color="auto"/>
              <w:left w:val="single" w:sz="4" w:space="0" w:color="auto"/>
              <w:bottom w:val="single" w:sz="4" w:space="0" w:color="auto"/>
              <w:right w:val="single" w:sz="4" w:space="0" w:color="auto"/>
            </w:tcBorders>
            <w:hideMark/>
          </w:tcPr>
          <w:p w14:paraId="08EDAC94" w14:textId="77777777" w:rsidR="009D4A93" w:rsidRPr="00536CFD" w:rsidRDefault="009D4A93" w:rsidP="009D4A93">
            <w:pPr>
              <w:pStyle w:val="ListParagraph"/>
              <w:spacing w:after="0"/>
              <w:ind w:firstLineChars="0" w:firstLine="0"/>
              <w:jc w:val="center"/>
            </w:pPr>
            <w:r w:rsidRPr="00536CFD">
              <w:t>0.131</w:t>
            </w:r>
          </w:p>
        </w:tc>
        <w:tc>
          <w:tcPr>
            <w:tcW w:w="723" w:type="dxa"/>
            <w:tcBorders>
              <w:top w:val="single" w:sz="4" w:space="0" w:color="auto"/>
              <w:left w:val="single" w:sz="4" w:space="0" w:color="auto"/>
              <w:bottom w:val="single" w:sz="4" w:space="0" w:color="auto"/>
              <w:right w:val="single" w:sz="4" w:space="0" w:color="auto"/>
            </w:tcBorders>
            <w:hideMark/>
          </w:tcPr>
          <w:p w14:paraId="210269E8" w14:textId="77777777" w:rsidR="009D4A93" w:rsidRPr="00536CFD" w:rsidRDefault="009D4A93" w:rsidP="009D4A93">
            <w:pPr>
              <w:pStyle w:val="ListParagraph"/>
              <w:spacing w:after="0"/>
              <w:ind w:firstLineChars="0" w:firstLine="0"/>
              <w:jc w:val="center"/>
            </w:pPr>
            <w:r w:rsidRPr="00536CFD">
              <w:t>0.243</w:t>
            </w:r>
          </w:p>
        </w:tc>
        <w:tc>
          <w:tcPr>
            <w:tcW w:w="724" w:type="dxa"/>
            <w:tcBorders>
              <w:top w:val="single" w:sz="4" w:space="0" w:color="auto"/>
              <w:left w:val="single" w:sz="4" w:space="0" w:color="auto"/>
              <w:bottom w:val="single" w:sz="4" w:space="0" w:color="auto"/>
              <w:right w:val="single" w:sz="4" w:space="0" w:color="auto"/>
            </w:tcBorders>
            <w:hideMark/>
          </w:tcPr>
          <w:p w14:paraId="74A5AF56" w14:textId="77777777" w:rsidR="009D4A93" w:rsidRPr="00536CFD" w:rsidRDefault="009D4A93" w:rsidP="009D4A93">
            <w:pPr>
              <w:pStyle w:val="ListParagraph"/>
              <w:spacing w:after="0"/>
              <w:ind w:firstLineChars="0" w:firstLine="0"/>
              <w:jc w:val="center"/>
            </w:pPr>
            <w:r w:rsidRPr="00536CFD">
              <w:t>0.261</w:t>
            </w:r>
          </w:p>
        </w:tc>
        <w:tc>
          <w:tcPr>
            <w:tcW w:w="723" w:type="dxa"/>
            <w:tcBorders>
              <w:top w:val="single" w:sz="4" w:space="0" w:color="auto"/>
              <w:left w:val="single" w:sz="4" w:space="0" w:color="auto"/>
              <w:bottom w:val="single" w:sz="4" w:space="0" w:color="auto"/>
              <w:right w:val="single" w:sz="4" w:space="0" w:color="auto"/>
            </w:tcBorders>
            <w:hideMark/>
          </w:tcPr>
          <w:p w14:paraId="13447014" w14:textId="77777777" w:rsidR="009D4A93" w:rsidRPr="00536CFD" w:rsidRDefault="009D4A93" w:rsidP="009D4A93">
            <w:pPr>
              <w:pStyle w:val="ListParagraph"/>
              <w:spacing w:after="0"/>
              <w:ind w:firstLineChars="0" w:firstLine="0"/>
              <w:jc w:val="center"/>
            </w:pPr>
            <w:r w:rsidRPr="00536CFD">
              <w:t>0.391</w:t>
            </w:r>
          </w:p>
        </w:tc>
        <w:tc>
          <w:tcPr>
            <w:tcW w:w="724" w:type="dxa"/>
            <w:tcBorders>
              <w:top w:val="single" w:sz="4" w:space="0" w:color="auto"/>
              <w:left w:val="single" w:sz="4" w:space="0" w:color="auto"/>
              <w:bottom w:val="single" w:sz="4" w:space="0" w:color="auto"/>
              <w:right w:val="single" w:sz="4" w:space="0" w:color="auto"/>
            </w:tcBorders>
            <w:hideMark/>
          </w:tcPr>
          <w:p w14:paraId="438C703B" w14:textId="77777777" w:rsidR="009D4A93" w:rsidRPr="00536CFD" w:rsidRDefault="009D4A93" w:rsidP="009D4A93">
            <w:pPr>
              <w:pStyle w:val="ListParagraph"/>
              <w:spacing w:after="0"/>
              <w:ind w:firstLineChars="0" w:firstLine="0"/>
              <w:jc w:val="center"/>
            </w:pPr>
            <w:r w:rsidRPr="00536CFD">
              <w:t>0.241</w:t>
            </w:r>
          </w:p>
        </w:tc>
      </w:tr>
      <w:tr w:rsidR="009D4A93" w:rsidRPr="00536CFD" w14:paraId="27E1D878"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6F38CE5F"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7151FDE2"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7185AC2D" w14:textId="77777777" w:rsidR="009D4A93" w:rsidRPr="00536CFD" w:rsidRDefault="009D4A93" w:rsidP="009D4A93">
            <w:pPr>
              <w:pStyle w:val="ListParagraph"/>
              <w:spacing w:after="0"/>
              <w:ind w:firstLineChars="0" w:firstLine="0"/>
              <w:jc w:val="center"/>
            </w:pPr>
            <w:r w:rsidRPr="00536CFD">
              <w:t>95%</w:t>
            </w:r>
          </w:p>
        </w:tc>
        <w:tc>
          <w:tcPr>
            <w:tcW w:w="630" w:type="dxa"/>
            <w:tcBorders>
              <w:top w:val="single" w:sz="4" w:space="0" w:color="auto"/>
              <w:left w:val="single" w:sz="4" w:space="0" w:color="auto"/>
              <w:bottom w:val="single" w:sz="4" w:space="0" w:color="auto"/>
              <w:right w:val="single" w:sz="4" w:space="0" w:color="auto"/>
            </w:tcBorders>
            <w:hideMark/>
          </w:tcPr>
          <w:p w14:paraId="302B3BE6" w14:textId="77777777" w:rsidR="009D4A93" w:rsidRPr="00536CFD" w:rsidRDefault="009D4A93" w:rsidP="009D4A93">
            <w:pPr>
              <w:pStyle w:val="ListParagraph"/>
              <w:spacing w:after="0"/>
              <w:ind w:firstLineChars="0" w:firstLine="0"/>
              <w:jc w:val="center"/>
            </w:pPr>
            <w:r w:rsidRPr="00536CFD">
              <w:t>0.265</w:t>
            </w:r>
          </w:p>
        </w:tc>
        <w:tc>
          <w:tcPr>
            <w:tcW w:w="632" w:type="dxa"/>
            <w:tcBorders>
              <w:top w:val="single" w:sz="4" w:space="0" w:color="auto"/>
              <w:left w:val="single" w:sz="4" w:space="0" w:color="auto"/>
              <w:bottom w:val="single" w:sz="4" w:space="0" w:color="auto"/>
              <w:right w:val="single" w:sz="4" w:space="0" w:color="auto"/>
            </w:tcBorders>
            <w:hideMark/>
          </w:tcPr>
          <w:p w14:paraId="05A5C2A5" w14:textId="77777777" w:rsidR="009D4A93" w:rsidRPr="00536CFD" w:rsidRDefault="009D4A93" w:rsidP="009D4A93">
            <w:pPr>
              <w:pStyle w:val="ListParagraph"/>
              <w:spacing w:after="0"/>
              <w:ind w:firstLineChars="0" w:firstLine="0"/>
              <w:jc w:val="center"/>
            </w:pPr>
            <w:r w:rsidRPr="00536CFD">
              <w:t>0.201</w:t>
            </w:r>
          </w:p>
        </w:tc>
        <w:tc>
          <w:tcPr>
            <w:tcW w:w="632" w:type="dxa"/>
            <w:tcBorders>
              <w:top w:val="single" w:sz="4" w:space="0" w:color="auto"/>
              <w:left w:val="single" w:sz="4" w:space="0" w:color="auto"/>
              <w:bottom w:val="single" w:sz="4" w:space="0" w:color="auto"/>
              <w:right w:val="single" w:sz="4" w:space="0" w:color="auto"/>
            </w:tcBorders>
            <w:hideMark/>
          </w:tcPr>
          <w:p w14:paraId="4328F07C" w14:textId="77777777" w:rsidR="009D4A93" w:rsidRPr="00536CFD" w:rsidRDefault="009D4A93" w:rsidP="009D4A93">
            <w:pPr>
              <w:pStyle w:val="ListParagraph"/>
              <w:spacing w:after="0"/>
              <w:ind w:firstLineChars="0" w:firstLine="0"/>
              <w:jc w:val="center"/>
            </w:pPr>
            <w:r w:rsidRPr="00536CFD">
              <w:t>2.338</w:t>
            </w:r>
          </w:p>
        </w:tc>
        <w:tc>
          <w:tcPr>
            <w:tcW w:w="633" w:type="dxa"/>
            <w:tcBorders>
              <w:top w:val="single" w:sz="4" w:space="0" w:color="auto"/>
              <w:left w:val="single" w:sz="4" w:space="0" w:color="auto"/>
              <w:bottom w:val="single" w:sz="4" w:space="0" w:color="auto"/>
              <w:right w:val="single" w:sz="4" w:space="0" w:color="auto"/>
            </w:tcBorders>
            <w:hideMark/>
          </w:tcPr>
          <w:p w14:paraId="149E95E6" w14:textId="77777777" w:rsidR="009D4A93" w:rsidRPr="00536CFD" w:rsidRDefault="009D4A93" w:rsidP="009D4A93">
            <w:pPr>
              <w:pStyle w:val="ListParagraph"/>
              <w:spacing w:after="0"/>
              <w:ind w:firstLineChars="0" w:firstLine="0"/>
              <w:jc w:val="center"/>
            </w:pPr>
            <w:r w:rsidRPr="00536CFD">
              <w:t>0.205</w:t>
            </w:r>
          </w:p>
        </w:tc>
        <w:tc>
          <w:tcPr>
            <w:tcW w:w="701" w:type="dxa"/>
            <w:tcBorders>
              <w:top w:val="single" w:sz="4" w:space="0" w:color="auto"/>
              <w:left w:val="single" w:sz="4" w:space="0" w:color="auto"/>
              <w:bottom w:val="single" w:sz="4" w:space="0" w:color="auto"/>
              <w:right w:val="single" w:sz="4" w:space="0" w:color="auto"/>
            </w:tcBorders>
            <w:hideMark/>
          </w:tcPr>
          <w:p w14:paraId="22E94BA8" w14:textId="77777777" w:rsidR="009D4A93" w:rsidRPr="00536CFD" w:rsidRDefault="009D4A93" w:rsidP="009D4A93">
            <w:pPr>
              <w:pStyle w:val="ListParagraph"/>
              <w:spacing w:after="0"/>
              <w:ind w:firstLineChars="0" w:firstLine="0"/>
              <w:jc w:val="center"/>
            </w:pPr>
            <w:r w:rsidRPr="00536CFD">
              <w:t>2.458</w:t>
            </w:r>
          </w:p>
        </w:tc>
        <w:tc>
          <w:tcPr>
            <w:tcW w:w="701" w:type="dxa"/>
            <w:tcBorders>
              <w:top w:val="single" w:sz="4" w:space="0" w:color="auto"/>
              <w:left w:val="single" w:sz="4" w:space="0" w:color="auto"/>
              <w:bottom w:val="single" w:sz="4" w:space="0" w:color="auto"/>
              <w:right w:val="single" w:sz="4" w:space="0" w:color="auto"/>
            </w:tcBorders>
            <w:hideMark/>
          </w:tcPr>
          <w:p w14:paraId="6B084139" w14:textId="77777777" w:rsidR="009D4A93" w:rsidRPr="00536CFD" w:rsidRDefault="009D4A93" w:rsidP="009D4A93">
            <w:pPr>
              <w:pStyle w:val="ListParagraph"/>
              <w:spacing w:after="0"/>
              <w:ind w:firstLineChars="0" w:firstLine="0"/>
              <w:jc w:val="center"/>
            </w:pPr>
            <w:r w:rsidRPr="00536CFD">
              <w:t>0.741</w:t>
            </w:r>
          </w:p>
        </w:tc>
        <w:tc>
          <w:tcPr>
            <w:tcW w:w="701" w:type="dxa"/>
            <w:tcBorders>
              <w:top w:val="single" w:sz="4" w:space="0" w:color="auto"/>
              <w:left w:val="single" w:sz="4" w:space="0" w:color="auto"/>
              <w:bottom w:val="single" w:sz="4" w:space="0" w:color="auto"/>
              <w:right w:val="single" w:sz="4" w:space="0" w:color="auto"/>
            </w:tcBorders>
            <w:hideMark/>
          </w:tcPr>
          <w:p w14:paraId="36BB15B4" w14:textId="77777777" w:rsidR="009D4A93" w:rsidRPr="00536CFD" w:rsidRDefault="009D4A93" w:rsidP="009D4A93">
            <w:pPr>
              <w:pStyle w:val="ListParagraph"/>
              <w:spacing w:after="0"/>
              <w:ind w:firstLineChars="0" w:firstLine="0"/>
              <w:jc w:val="center"/>
            </w:pPr>
            <w:r w:rsidRPr="00536CFD">
              <w:t>1.499</w:t>
            </w:r>
          </w:p>
        </w:tc>
        <w:tc>
          <w:tcPr>
            <w:tcW w:w="704" w:type="dxa"/>
            <w:tcBorders>
              <w:top w:val="single" w:sz="4" w:space="0" w:color="auto"/>
              <w:left w:val="single" w:sz="4" w:space="0" w:color="auto"/>
              <w:bottom w:val="single" w:sz="4" w:space="0" w:color="auto"/>
              <w:right w:val="single" w:sz="4" w:space="0" w:color="auto"/>
            </w:tcBorders>
            <w:hideMark/>
          </w:tcPr>
          <w:p w14:paraId="423C66BE" w14:textId="77777777" w:rsidR="009D4A93" w:rsidRPr="00536CFD" w:rsidRDefault="009D4A93" w:rsidP="009D4A93">
            <w:pPr>
              <w:pStyle w:val="ListParagraph"/>
              <w:spacing w:after="0"/>
              <w:ind w:firstLineChars="0" w:firstLine="0"/>
              <w:jc w:val="center"/>
            </w:pPr>
            <w:r w:rsidRPr="00536CFD">
              <w:t>0.843</w:t>
            </w:r>
          </w:p>
        </w:tc>
        <w:tc>
          <w:tcPr>
            <w:tcW w:w="723" w:type="dxa"/>
            <w:tcBorders>
              <w:top w:val="single" w:sz="4" w:space="0" w:color="auto"/>
              <w:left w:val="single" w:sz="4" w:space="0" w:color="auto"/>
              <w:bottom w:val="single" w:sz="4" w:space="0" w:color="auto"/>
              <w:right w:val="single" w:sz="4" w:space="0" w:color="auto"/>
            </w:tcBorders>
            <w:hideMark/>
          </w:tcPr>
          <w:p w14:paraId="223E6463" w14:textId="77777777" w:rsidR="009D4A93" w:rsidRPr="00536CFD" w:rsidRDefault="009D4A93" w:rsidP="009D4A93">
            <w:pPr>
              <w:pStyle w:val="ListParagraph"/>
              <w:spacing w:after="0"/>
              <w:ind w:firstLineChars="0" w:firstLine="0"/>
              <w:jc w:val="center"/>
            </w:pPr>
            <w:r w:rsidRPr="00536CFD">
              <w:t>4.341</w:t>
            </w:r>
          </w:p>
        </w:tc>
        <w:tc>
          <w:tcPr>
            <w:tcW w:w="724" w:type="dxa"/>
            <w:tcBorders>
              <w:top w:val="single" w:sz="4" w:space="0" w:color="auto"/>
              <w:left w:val="single" w:sz="4" w:space="0" w:color="auto"/>
              <w:bottom w:val="single" w:sz="4" w:space="0" w:color="auto"/>
              <w:right w:val="single" w:sz="4" w:space="0" w:color="auto"/>
            </w:tcBorders>
            <w:hideMark/>
          </w:tcPr>
          <w:p w14:paraId="4E9DE9E1" w14:textId="77777777" w:rsidR="009D4A93" w:rsidRPr="00536CFD" w:rsidRDefault="009D4A93" w:rsidP="009D4A93">
            <w:pPr>
              <w:pStyle w:val="ListParagraph"/>
              <w:spacing w:after="0"/>
              <w:ind w:firstLineChars="0" w:firstLine="0"/>
              <w:jc w:val="center"/>
            </w:pPr>
            <w:r w:rsidRPr="00536CFD">
              <w:t>1.507</w:t>
            </w:r>
          </w:p>
        </w:tc>
        <w:tc>
          <w:tcPr>
            <w:tcW w:w="723" w:type="dxa"/>
            <w:tcBorders>
              <w:top w:val="single" w:sz="4" w:space="0" w:color="auto"/>
              <w:left w:val="single" w:sz="4" w:space="0" w:color="auto"/>
              <w:bottom w:val="single" w:sz="4" w:space="0" w:color="auto"/>
              <w:right w:val="single" w:sz="4" w:space="0" w:color="auto"/>
            </w:tcBorders>
            <w:hideMark/>
          </w:tcPr>
          <w:p w14:paraId="1B223442" w14:textId="77777777" w:rsidR="009D4A93" w:rsidRPr="00536CFD" w:rsidRDefault="009D4A93" w:rsidP="009D4A93">
            <w:pPr>
              <w:pStyle w:val="ListParagraph"/>
              <w:spacing w:after="0"/>
              <w:ind w:firstLineChars="0" w:firstLine="0"/>
              <w:jc w:val="center"/>
            </w:pPr>
            <w:r w:rsidRPr="00536CFD">
              <w:t>4.090</w:t>
            </w:r>
          </w:p>
        </w:tc>
        <w:tc>
          <w:tcPr>
            <w:tcW w:w="724" w:type="dxa"/>
            <w:tcBorders>
              <w:top w:val="single" w:sz="4" w:space="0" w:color="auto"/>
              <w:left w:val="single" w:sz="4" w:space="0" w:color="auto"/>
              <w:bottom w:val="single" w:sz="4" w:space="0" w:color="auto"/>
              <w:right w:val="single" w:sz="4" w:space="0" w:color="auto"/>
            </w:tcBorders>
            <w:hideMark/>
          </w:tcPr>
          <w:p w14:paraId="0A3B8173" w14:textId="77777777" w:rsidR="009D4A93" w:rsidRPr="00536CFD" w:rsidRDefault="009D4A93" w:rsidP="009D4A93">
            <w:pPr>
              <w:pStyle w:val="ListParagraph"/>
              <w:spacing w:after="0"/>
              <w:ind w:firstLineChars="0" w:firstLine="0"/>
              <w:jc w:val="center"/>
            </w:pPr>
            <w:r w:rsidRPr="00536CFD">
              <w:t>1.390</w:t>
            </w:r>
          </w:p>
        </w:tc>
      </w:tr>
      <w:tr w:rsidR="009D4A93" w:rsidRPr="00536CFD" w14:paraId="16171717"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1E3A3635" w14:textId="77777777" w:rsidR="009D4A93" w:rsidRPr="00536CFD" w:rsidRDefault="009D4A93" w:rsidP="009D4A93">
            <w:pPr>
              <w:spacing w:after="0"/>
              <w:rPr>
                <w:lang w:eastAsia="zh-CN"/>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3A3E5516"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045311ED" w14:textId="77777777" w:rsidR="009D4A93" w:rsidRPr="00536CFD" w:rsidRDefault="009D4A93" w:rsidP="009D4A93">
            <w:pPr>
              <w:pStyle w:val="ListParagraph"/>
              <w:spacing w:after="0"/>
              <w:ind w:firstLineChars="0" w:firstLine="0"/>
              <w:jc w:val="center"/>
            </w:pPr>
            <w:r w:rsidRPr="00536CFD">
              <w:t>Mean</w:t>
            </w:r>
          </w:p>
        </w:tc>
        <w:tc>
          <w:tcPr>
            <w:tcW w:w="630" w:type="dxa"/>
            <w:tcBorders>
              <w:top w:val="single" w:sz="4" w:space="0" w:color="auto"/>
              <w:left w:val="single" w:sz="4" w:space="0" w:color="auto"/>
              <w:bottom w:val="single" w:sz="4" w:space="0" w:color="auto"/>
              <w:right w:val="single" w:sz="4" w:space="0" w:color="auto"/>
            </w:tcBorders>
            <w:hideMark/>
          </w:tcPr>
          <w:p w14:paraId="01E357EA" w14:textId="77777777" w:rsidR="009D4A93" w:rsidRPr="00536CFD" w:rsidRDefault="009D4A93" w:rsidP="009D4A93">
            <w:pPr>
              <w:pStyle w:val="ListParagraph"/>
              <w:spacing w:after="0"/>
              <w:ind w:firstLineChars="0" w:firstLine="0"/>
              <w:jc w:val="center"/>
            </w:pPr>
            <w:r w:rsidRPr="00536CFD">
              <w:t>0.089</w:t>
            </w:r>
          </w:p>
        </w:tc>
        <w:tc>
          <w:tcPr>
            <w:tcW w:w="632" w:type="dxa"/>
            <w:tcBorders>
              <w:top w:val="single" w:sz="4" w:space="0" w:color="auto"/>
              <w:left w:val="single" w:sz="4" w:space="0" w:color="auto"/>
              <w:bottom w:val="single" w:sz="4" w:space="0" w:color="auto"/>
              <w:right w:val="single" w:sz="4" w:space="0" w:color="auto"/>
            </w:tcBorders>
            <w:hideMark/>
          </w:tcPr>
          <w:p w14:paraId="09B062EF" w14:textId="77777777" w:rsidR="009D4A93" w:rsidRPr="00536CFD" w:rsidRDefault="009D4A93" w:rsidP="009D4A93">
            <w:pPr>
              <w:pStyle w:val="ListParagraph"/>
              <w:spacing w:after="0"/>
              <w:ind w:firstLineChars="0" w:firstLine="0"/>
              <w:jc w:val="center"/>
            </w:pPr>
            <w:r w:rsidRPr="00536CFD">
              <w:t>0.088</w:t>
            </w:r>
          </w:p>
        </w:tc>
        <w:tc>
          <w:tcPr>
            <w:tcW w:w="632" w:type="dxa"/>
            <w:tcBorders>
              <w:top w:val="single" w:sz="4" w:space="0" w:color="auto"/>
              <w:left w:val="single" w:sz="4" w:space="0" w:color="auto"/>
              <w:bottom w:val="single" w:sz="4" w:space="0" w:color="auto"/>
              <w:right w:val="single" w:sz="4" w:space="0" w:color="auto"/>
            </w:tcBorders>
            <w:hideMark/>
          </w:tcPr>
          <w:p w14:paraId="4ED023C6" w14:textId="77777777" w:rsidR="009D4A93" w:rsidRPr="00536CFD" w:rsidRDefault="009D4A93" w:rsidP="009D4A93">
            <w:pPr>
              <w:pStyle w:val="ListParagraph"/>
              <w:spacing w:after="0"/>
              <w:ind w:firstLineChars="0" w:firstLine="0"/>
              <w:jc w:val="center"/>
            </w:pPr>
            <w:r w:rsidRPr="00536CFD">
              <w:t>0.270</w:t>
            </w:r>
          </w:p>
        </w:tc>
        <w:tc>
          <w:tcPr>
            <w:tcW w:w="633" w:type="dxa"/>
            <w:tcBorders>
              <w:top w:val="single" w:sz="4" w:space="0" w:color="auto"/>
              <w:left w:val="single" w:sz="4" w:space="0" w:color="auto"/>
              <w:bottom w:val="single" w:sz="4" w:space="0" w:color="auto"/>
              <w:right w:val="single" w:sz="4" w:space="0" w:color="auto"/>
            </w:tcBorders>
            <w:hideMark/>
          </w:tcPr>
          <w:p w14:paraId="21F92F33" w14:textId="77777777" w:rsidR="009D4A93" w:rsidRPr="00536CFD" w:rsidRDefault="009D4A93" w:rsidP="009D4A93">
            <w:pPr>
              <w:pStyle w:val="ListParagraph"/>
              <w:spacing w:after="0"/>
              <w:ind w:firstLineChars="0" w:firstLine="0"/>
              <w:jc w:val="center"/>
            </w:pPr>
            <w:r w:rsidRPr="00536CFD">
              <w:t>0.091</w:t>
            </w:r>
          </w:p>
        </w:tc>
        <w:tc>
          <w:tcPr>
            <w:tcW w:w="701" w:type="dxa"/>
            <w:tcBorders>
              <w:top w:val="single" w:sz="4" w:space="0" w:color="auto"/>
              <w:left w:val="single" w:sz="4" w:space="0" w:color="auto"/>
              <w:bottom w:val="single" w:sz="4" w:space="0" w:color="auto"/>
              <w:right w:val="single" w:sz="4" w:space="0" w:color="auto"/>
            </w:tcBorders>
            <w:hideMark/>
          </w:tcPr>
          <w:p w14:paraId="6F947EA2" w14:textId="77777777" w:rsidR="009D4A93" w:rsidRPr="00536CFD" w:rsidRDefault="009D4A93" w:rsidP="009D4A93">
            <w:pPr>
              <w:pStyle w:val="ListParagraph"/>
              <w:spacing w:after="0"/>
              <w:ind w:firstLineChars="0" w:firstLine="0"/>
              <w:jc w:val="center"/>
            </w:pPr>
            <w:r w:rsidRPr="00536CFD">
              <w:t>0.459</w:t>
            </w:r>
          </w:p>
        </w:tc>
        <w:tc>
          <w:tcPr>
            <w:tcW w:w="701" w:type="dxa"/>
            <w:tcBorders>
              <w:top w:val="single" w:sz="4" w:space="0" w:color="auto"/>
              <w:left w:val="single" w:sz="4" w:space="0" w:color="auto"/>
              <w:bottom w:val="single" w:sz="4" w:space="0" w:color="auto"/>
              <w:right w:val="single" w:sz="4" w:space="0" w:color="auto"/>
            </w:tcBorders>
            <w:hideMark/>
          </w:tcPr>
          <w:p w14:paraId="2ECAF527" w14:textId="77777777" w:rsidR="009D4A93" w:rsidRPr="00536CFD" w:rsidRDefault="009D4A93" w:rsidP="009D4A93">
            <w:pPr>
              <w:pStyle w:val="ListParagraph"/>
              <w:spacing w:after="0"/>
              <w:ind w:firstLineChars="0" w:firstLine="0"/>
              <w:jc w:val="center"/>
            </w:pPr>
            <w:r w:rsidRPr="00536CFD">
              <w:t>0.198</w:t>
            </w:r>
          </w:p>
        </w:tc>
        <w:tc>
          <w:tcPr>
            <w:tcW w:w="701" w:type="dxa"/>
            <w:tcBorders>
              <w:top w:val="single" w:sz="4" w:space="0" w:color="auto"/>
              <w:left w:val="single" w:sz="4" w:space="0" w:color="auto"/>
              <w:bottom w:val="single" w:sz="4" w:space="0" w:color="auto"/>
              <w:right w:val="single" w:sz="4" w:space="0" w:color="auto"/>
            </w:tcBorders>
            <w:hideMark/>
          </w:tcPr>
          <w:p w14:paraId="3B2BAD03" w14:textId="77777777" w:rsidR="009D4A93" w:rsidRPr="00536CFD" w:rsidRDefault="009D4A93" w:rsidP="009D4A93">
            <w:pPr>
              <w:pStyle w:val="ListParagraph"/>
              <w:spacing w:after="0"/>
              <w:ind w:firstLineChars="0" w:firstLine="0"/>
              <w:jc w:val="center"/>
            </w:pPr>
            <w:r w:rsidRPr="00536CFD">
              <w:t>0.364</w:t>
            </w:r>
          </w:p>
        </w:tc>
        <w:tc>
          <w:tcPr>
            <w:tcW w:w="704" w:type="dxa"/>
            <w:tcBorders>
              <w:top w:val="single" w:sz="4" w:space="0" w:color="auto"/>
              <w:left w:val="single" w:sz="4" w:space="0" w:color="auto"/>
              <w:bottom w:val="single" w:sz="4" w:space="0" w:color="auto"/>
              <w:right w:val="single" w:sz="4" w:space="0" w:color="auto"/>
            </w:tcBorders>
            <w:hideMark/>
          </w:tcPr>
          <w:p w14:paraId="15992FBF" w14:textId="77777777" w:rsidR="009D4A93" w:rsidRPr="00536CFD" w:rsidRDefault="009D4A93" w:rsidP="009D4A93">
            <w:pPr>
              <w:pStyle w:val="ListParagraph"/>
              <w:spacing w:after="0"/>
              <w:ind w:firstLineChars="0" w:firstLine="0"/>
              <w:jc w:val="center"/>
            </w:pPr>
            <w:r w:rsidRPr="00536CFD">
              <w:t>0.251</w:t>
            </w:r>
          </w:p>
        </w:tc>
        <w:tc>
          <w:tcPr>
            <w:tcW w:w="723" w:type="dxa"/>
            <w:tcBorders>
              <w:top w:val="single" w:sz="4" w:space="0" w:color="auto"/>
              <w:left w:val="single" w:sz="4" w:space="0" w:color="auto"/>
              <w:bottom w:val="single" w:sz="4" w:space="0" w:color="auto"/>
              <w:right w:val="single" w:sz="4" w:space="0" w:color="auto"/>
            </w:tcBorders>
            <w:hideMark/>
          </w:tcPr>
          <w:p w14:paraId="30C97C31" w14:textId="77777777" w:rsidR="009D4A93" w:rsidRPr="00536CFD" w:rsidRDefault="009D4A93" w:rsidP="009D4A93">
            <w:pPr>
              <w:pStyle w:val="ListParagraph"/>
              <w:spacing w:after="0"/>
              <w:ind w:firstLineChars="0" w:firstLine="0"/>
              <w:jc w:val="center"/>
            </w:pPr>
            <w:r w:rsidRPr="00536CFD">
              <w:t>0.928</w:t>
            </w:r>
          </w:p>
        </w:tc>
        <w:tc>
          <w:tcPr>
            <w:tcW w:w="724" w:type="dxa"/>
            <w:tcBorders>
              <w:top w:val="single" w:sz="4" w:space="0" w:color="auto"/>
              <w:left w:val="single" w:sz="4" w:space="0" w:color="auto"/>
              <w:bottom w:val="single" w:sz="4" w:space="0" w:color="auto"/>
              <w:right w:val="single" w:sz="4" w:space="0" w:color="auto"/>
            </w:tcBorders>
            <w:hideMark/>
          </w:tcPr>
          <w:p w14:paraId="3CAE3A6B" w14:textId="77777777" w:rsidR="009D4A93" w:rsidRPr="00536CFD" w:rsidRDefault="009D4A93" w:rsidP="009D4A93">
            <w:pPr>
              <w:pStyle w:val="ListParagraph"/>
              <w:spacing w:after="0"/>
              <w:ind w:firstLineChars="0" w:firstLine="0"/>
              <w:jc w:val="center"/>
            </w:pPr>
            <w:r w:rsidRPr="00536CFD">
              <w:t>0.430</w:t>
            </w:r>
          </w:p>
        </w:tc>
        <w:tc>
          <w:tcPr>
            <w:tcW w:w="723" w:type="dxa"/>
            <w:tcBorders>
              <w:top w:val="single" w:sz="4" w:space="0" w:color="auto"/>
              <w:left w:val="single" w:sz="4" w:space="0" w:color="auto"/>
              <w:bottom w:val="single" w:sz="4" w:space="0" w:color="auto"/>
              <w:right w:val="single" w:sz="4" w:space="0" w:color="auto"/>
            </w:tcBorders>
            <w:hideMark/>
          </w:tcPr>
          <w:p w14:paraId="0303F3D1" w14:textId="77777777" w:rsidR="009D4A93" w:rsidRPr="00536CFD" w:rsidRDefault="009D4A93" w:rsidP="009D4A93">
            <w:pPr>
              <w:pStyle w:val="ListParagraph"/>
              <w:spacing w:after="0"/>
              <w:ind w:firstLineChars="0" w:firstLine="0"/>
              <w:jc w:val="center"/>
            </w:pPr>
            <w:r w:rsidRPr="00536CFD">
              <w:t>1.112</w:t>
            </w:r>
          </w:p>
        </w:tc>
        <w:tc>
          <w:tcPr>
            <w:tcW w:w="724" w:type="dxa"/>
            <w:tcBorders>
              <w:top w:val="single" w:sz="4" w:space="0" w:color="auto"/>
              <w:left w:val="single" w:sz="4" w:space="0" w:color="auto"/>
              <w:bottom w:val="single" w:sz="4" w:space="0" w:color="auto"/>
              <w:right w:val="single" w:sz="4" w:space="0" w:color="auto"/>
            </w:tcBorders>
            <w:hideMark/>
          </w:tcPr>
          <w:p w14:paraId="49AD3D57" w14:textId="77777777" w:rsidR="009D4A93" w:rsidRPr="00536CFD" w:rsidRDefault="009D4A93" w:rsidP="009D4A93">
            <w:pPr>
              <w:pStyle w:val="ListParagraph"/>
              <w:spacing w:after="0"/>
              <w:ind w:firstLineChars="0" w:firstLine="0"/>
              <w:jc w:val="center"/>
            </w:pPr>
            <w:r w:rsidRPr="00536CFD">
              <w:t>0.415</w:t>
            </w:r>
          </w:p>
        </w:tc>
      </w:tr>
      <w:tr w:rsidR="009D4A93" w:rsidRPr="00536CFD" w14:paraId="5880F278"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0EDD87BA"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hideMark/>
          </w:tcPr>
          <w:p w14:paraId="63ACB127" w14:textId="77777777" w:rsidR="009D4A93" w:rsidRPr="00536CFD" w:rsidRDefault="009D4A93" w:rsidP="009D4A93">
            <w:pPr>
              <w:pStyle w:val="ListParagraph"/>
              <w:spacing w:after="0"/>
              <w:ind w:firstLineChars="0" w:firstLine="0"/>
              <w:jc w:val="center"/>
              <w:rPr>
                <w:rFonts w:ascii="Cambria Math" w:hAnsi="Cambria Math"/>
              </w:rPr>
            </w:pPr>
            <w:r w:rsidRPr="00536CFD">
              <w:rPr>
                <w:rFonts w:ascii="Cambria Math" w:hAnsi="Cambria Math"/>
              </w:rPr>
              <w:t>𝜌</w:t>
            </w:r>
            <w:r w:rsidRPr="00536CFD">
              <w:rPr>
                <w:rFonts w:ascii="Cambria Math" w:hAnsi="Cambria Math"/>
                <w:vertAlign w:val="subscript"/>
              </w:rPr>
              <w:t>DL</w:t>
            </w:r>
          </w:p>
        </w:tc>
        <w:tc>
          <w:tcPr>
            <w:tcW w:w="630" w:type="dxa"/>
            <w:tcBorders>
              <w:top w:val="single" w:sz="4" w:space="0" w:color="auto"/>
              <w:left w:val="single" w:sz="4" w:space="0" w:color="auto"/>
              <w:bottom w:val="single" w:sz="4" w:space="0" w:color="auto"/>
              <w:right w:val="single" w:sz="4" w:space="0" w:color="auto"/>
            </w:tcBorders>
            <w:hideMark/>
          </w:tcPr>
          <w:p w14:paraId="7315030D" w14:textId="77777777" w:rsidR="009D4A93" w:rsidRPr="00536CFD" w:rsidRDefault="009D4A93" w:rsidP="009D4A93">
            <w:pPr>
              <w:pStyle w:val="ListParagraph"/>
              <w:spacing w:after="0"/>
              <w:ind w:firstLineChars="0" w:firstLine="0"/>
              <w:jc w:val="center"/>
            </w:pPr>
            <w:r w:rsidRPr="00536CFD">
              <w:t>0.992</w:t>
            </w:r>
          </w:p>
        </w:tc>
        <w:tc>
          <w:tcPr>
            <w:tcW w:w="632" w:type="dxa"/>
            <w:tcBorders>
              <w:top w:val="single" w:sz="4" w:space="0" w:color="auto"/>
              <w:left w:val="single" w:sz="4" w:space="0" w:color="auto"/>
              <w:bottom w:val="single" w:sz="4" w:space="0" w:color="auto"/>
              <w:right w:val="single" w:sz="4" w:space="0" w:color="auto"/>
            </w:tcBorders>
            <w:hideMark/>
          </w:tcPr>
          <w:p w14:paraId="0822FA6B" w14:textId="77777777" w:rsidR="009D4A93" w:rsidRPr="00536CFD" w:rsidRDefault="009D4A93" w:rsidP="009D4A93">
            <w:pPr>
              <w:pStyle w:val="ListParagraph"/>
              <w:spacing w:after="0"/>
              <w:ind w:firstLineChars="0" w:firstLine="0"/>
              <w:jc w:val="center"/>
            </w:pPr>
            <w:r w:rsidRPr="00536CFD">
              <w:t>0.992</w:t>
            </w:r>
          </w:p>
        </w:tc>
        <w:tc>
          <w:tcPr>
            <w:tcW w:w="632" w:type="dxa"/>
            <w:tcBorders>
              <w:top w:val="single" w:sz="4" w:space="0" w:color="auto"/>
              <w:left w:val="single" w:sz="4" w:space="0" w:color="auto"/>
              <w:bottom w:val="single" w:sz="4" w:space="0" w:color="auto"/>
              <w:right w:val="single" w:sz="4" w:space="0" w:color="auto"/>
            </w:tcBorders>
            <w:hideMark/>
          </w:tcPr>
          <w:p w14:paraId="40ED958A" w14:textId="77777777" w:rsidR="009D4A93" w:rsidRPr="00536CFD" w:rsidRDefault="009D4A93" w:rsidP="009D4A93">
            <w:pPr>
              <w:pStyle w:val="ListParagraph"/>
              <w:spacing w:after="0"/>
              <w:ind w:firstLineChars="0" w:firstLine="0"/>
              <w:jc w:val="center"/>
            </w:pPr>
            <w:r w:rsidRPr="00536CFD">
              <w:t>0.99</w:t>
            </w:r>
          </w:p>
        </w:tc>
        <w:tc>
          <w:tcPr>
            <w:tcW w:w="633" w:type="dxa"/>
            <w:tcBorders>
              <w:top w:val="single" w:sz="4" w:space="0" w:color="auto"/>
              <w:left w:val="single" w:sz="4" w:space="0" w:color="auto"/>
              <w:bottom w:val="single" w:sz="4" w:space="0" w:color="auto"/>
              <w:right w:val="single" w:sz="4" w:space="0" w:color="auto"/>
            </w:tcBorders>
            <w:hideMark/>
          </w:tcPr>
          <w:p w14:paraId="758EB196" w14:textId="77777777" w:rsidR="009D4A93" w:rsidRPr="00536CFD" w:rsidRDefault="009D4A93" w:rsidP="009D4A93">
            <w:pPr>
              <w:pStyle w:val="ListParagraph"/>
              <w:spacing w:after="0"/>
              <w:ind w:firstLineChars="0" w:firstLine="0"/>
              <w:jc w:val="center"/>
            </w:pPr>
            <w:r w:rsidRPr="00536CFD">
              <w:t>1</w:t>
            </w:r>
          </w:p>
        </w:tc>
        <w:tc>
          <w:tcPr>
            <w:tcW w:w="701" w:type="dxa"/>
            <w:tcBorders>
              <w:top w:val="single" w:sz="4" w:space="0" w:color="auto"/>
              <w:left w:val="single" w:sz="4" w:space="0" w:color="auto"/>
              <w:bottom w:val="single" w:sz="4" w:space="0" w:color="auto"/>
              <w:right w:val="single" w:sz="4" w:space="0" w:color="auto"/>
            </w:tcBorders>
            <w:hideMark/>
          </w:tcPr>
          <w:p w14:paraId="7E3FBB41" w14:textId="77777777" w:rsidR="009D4A93" w:rsidRPr="00536CFD" w:rsidRDefault="009D4A93" w:rsidP="009D4A93">
            <w:pPr>
              <w:pStyle w:val="ListParagraph"/>
              <w:spacing w:after="0"/>
              <w:ind w:firstLineChars="0" w:firstLine="0"/>
              <w:jc w:val="center"/>
            </w:pPr>
            <w:r w:rsidRPr="00536CFD">
              <w:t>0.959</w:t>
            </w:r>
          </w:p>
        </w:tc>
        <w:tc>
          <w:tcPr>
            <w:tcW w:w="701" w:type="dxa"/>
            <w:tcBorders>
              <w:top w:val="single" w:sz="4" w:space="0" w:color="auto"/>
              <w:left w:val="single" w:sz="4" w:space="0" w:color="auto"/>
              <w:bottom w:val="single" w:sz="4" w:space="0" w:color="auto"/>
              <w:right w:val="single" w:sz="4" w:space="0" w:color="auto"/>
            </w:tcBorders>
            <w:hideMark/>
          </w:tcPr>
          <w:p w14:paraId="6DFF9EE0" w14:textId="77777777" w:rsidR="009D4A93" w:rsidRPr="00536CFD" w:rsidRDefault="009D4A93" w:rsidP="009D4A93">
            <w:pPr>
              <w:pStyle w:val="ListParagraph"/>
              <w:spacing w:after="0"/>
              <w:ind w:firstLineChars="0" w:firstLine="0"/>
              <w:jc w:val="center"/>
            </w:pPr>
            <w:r w:rsidRPr="00536CFD">
              <w:t>0.973</w:t>
            </w:r>
          </w:p>
        </w:tc>
        <w:tc>
          <w:tcPr>
            <w:tcW w:w="701" w:type="dxa"/>
            <w:tcBorders>
              <w:top w:val="single" w:sz="4" w:space="0" w:color="auto"/>
              <w:left w:val="single" w:sz="4" w:space="0" w:color="auto"/>
              <w:bottom w:val="single" w:sz="4" w:space="0" w:color="auto"/>
              <w:right w:val="single" w:sz="4" w:space="0" w:color="auto"/>
            </w:tcBorders>
            <w:hideMark/>
          </w:tcPr>
          <w:p w14:paraId="027EF7BB" w14:textId="77777777" w:rsidR="009D4A93" w:rsidRPr="00536CFD" w:rsidRDefault="009D4A93" w:rsidP="009D4A93">
            <w:pPr>
              <w:pStyle w:val="ListParagraph"/>
              <w:spacing w:after="0"/>
              <w:ind w:firstLineChars="0" w:firstLine="0"/>
              <w:jc w:val="center"/>
            </w:pPr>
            <w:r w:rsidRPr="00536CFD">
              <w:t>0.993</w:t>
            </w:r>
          </w:p>
        </w:tc>
        <w:tc>
          <w:tcPr>
            <w:tcW w:w="704" w:type="dxa"/>
            <w:tcBorders>
              <w:top w:val="single" w:sz="4" w:space="0" w:color="auto"/>
              <w:left w:val="single" w:sz="4" w:space="0" w:color="auto"/>
              <w:bottom w:val="single" w:sz="4" w:space="0" w:color="auto"/>
              <w:right w:val="single" w:sz="4" w:space="0" w:color="auto"/>
            </w:tcBorders>
            <w:hideMark/>
          </w:tcPr>
          <w:p w14:paraId="5BF27A41" w14:textId="77777777" w:rsidR="009D4A93" w:rsidRPr="00536CFD" w:rsidRDefault="009D4A93" w:rsidP="009D4A93">
            <w:pPr>
              <w:pStyle w:val="ListParagraph"/>
              <w:spacing w:after="0"/>
              <w:ind w:firstLineChars="0" w:firstLine="0"/>
              <w:jc w:val="center"/>
            </w:pPr>
            <w:r w:rsidRPr="00536CFD">
              <w:t>0.976</w:t>
            </w:r>
          </w:p>
        </w:tc>
        <w:tc>
          <w:tcPr>
            <w:tcW w:w="723" w:type="dxa"/>
            <w:tcBorders>
              <w:top w:val="single" w:sz="4" w:space="0" w:color="auto"/>
              <w:left w:val="single" w:sz="4" w:space="0" w:color="auto"/>
              <w:bottom w:val="single" w:sz="4" w:space="0" w:color="auto"/>
              <w:right w:val="single" w:sz="4" w:space="0" w:color="auto"/>
            </w:tcBorders>
            <w:hideMark/>
          </w:tcPr>
          <w:p w14:paraId="0048E7BC" w14:textId="77777777" w:rsidR="009D4A93" w:rsidRPr="00536CFD" w:rsidRDefault="009D4A93" w:rsidP="009D4A93">
            <w:pPr>
              <w:pStyle w:val="ListParagraph"/>
              <w:spacing w:after="0"/>
              <w:ind w:firstLineChars="0" w:firstLine="0"/>
              <w:jc w:val="center"/>
            </w:pPr>
            <w:r w:rsidRPr="00536CFD">
              <w:t>0.906</w:t>
            </w:r>
          </w:p>
        </w:tc>
        <w:tc>
          <w:tcPr>
            <w:tcW w:w="724" w:type="dxa"/>
            <w:tcBorders>
              <w:top w:val="single" w:sz="4" w:space="0" w:color="auto"/>
              <w:left w:val="single" w:sz="4" w:space="0" w:color="auto"/>
              <w:bottom w:val="single" w:sz="4" w:space="0" w:color="auto"/>
              <w:right w:val="single" w:sz="4" w:space="0" w:color="auto"/>
            </w:tcBorders>
            <w:hideMark/>
          </w:tcPr>
          <w:p w14:paraId="07EED2CB" w14:textId="77777777" w:rsidR="009D4A93" w:rsidRPr="00536CFD" w:rsidRDefault="009D4A93" w:rsidP="009D4A93">
            <w:pPr>
              <w:pStyle w:val="ListParagraph"/>
              <w:spacing w:after="0"/>
              <w:ind w:firstLineChars="0" w:firstLine="0"/>
              <w:jc w:val="center"/>
            </w:pPr>
            <w:r w:rsidRPr="00536CFD">
              <w:t>0.967</w:t>
            </w:r>
          </w:p>
        </w:tc>
        <w:tc>
          <w:tcPr>
            <w:tcW w:w="723" w:type="dxa"/>
            <w:tcBorders>
              <w:top w:val="single" w:sz="4" w:space="0" w:color="auto"/>
              <w:left w:val="single" w:sz="4" w:space="0" w:color="auto"/>
              <w:bottom w:val="single" w:sz="4" w:space="0" w:color="auto"/>
              <w:right w:val="single" w:sz="4" w:space="0" w:color="auto"/>
            </w:tcBorders>
            <w:hideMark/>
          </w:tcPr>
          <w:p w14:paraId="701971C3" w14:textId="77777777" w:rsidR="009D4A93" w:rsidRPr="00536CFD" w:rsidRDefault="009D4A93" w:rsidP="009D4A93">
            <w:pPr>
              <w:pStyle w:val="ListParagraph"/>
              <w:spacing w:after="0"/>
              <w:ind w:firstLineChars="0" w:firstLine="0"/>
              <w:jc w:val="center"/>
            </w:pPr>
            <w:r w:rsidRPr="00536CFD">
              <w:t>0.910</w:t>
            </w:r>
          </w:p>
        </w:tc>
        <w:tc>
          <w:tcPr>
            <w:tcW w:w="724" w:type="dxa"/>
            <w:tcBorders>
              <w:top w:val="single" w:sz="4" w:space="0" w:color="auto"/>
              <w:left w:val="single" w:sz="4" w:space="0" w:color="auto"/>
              <w:bottom w:val="single" w:sz="4" w:space="0" w:color="auto"/>
              <w:right w:val="single" w:sz="4" w:space="0" w:color="auto"/>
            </w:tcBorders>
            <w:hideMark/>
          </w:tcPr>
          <w:p w14:paraId="1B2E4104" w14:textId="77777777" w:rsidR="009D4A93" w:rsidRPr="00536CFD" w:rsidRDefault="009D4A93" w:rsidP="009D4A93">
            <w:pPr>
              <w:pStyle w:val="ListParagraph"/>
              <w:spacing w:after="0"/>
              <w:ind w:firstLineChars="0" w:firstLine="0"/>
              <w:jc w:val="center"/>
            </w:pPr>
            <w:r w:rsidRPr="00536CFD">
              <w:t>0.905</w:t>
            </w:r>
          </w:p>
        </w:tc>
      </w:tr>
      <w:tr w:rsidR="009D4A93" w:rsidRPr="00536CFD" w14:paraId="7B89DCC2"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65E2D263"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hideMark/>
          </w:tcPr>
          <w:p w14:paraId="49AE1647" w14:textId="77777777" w:rsidR="009D4A93" w:rsidRPr="00536CFD" w:rsidRDefault="009D4A93" w:rsidP="009D4A93">
            <w:pPr>
              <w:pStyle w:val="ListParagraph"/>
              <w:spacing w:after="0"/>
              <w:ind w:firstLineChars="0" w:firstLine="0"/>
              <w:jc w:val="center"/>
              <w:rPr>
                <w:rFonts w:ascii="Cambria Math" w:hAnsi="Cambria Math"/>
              </w:rPr>
            </w:pPr>
            <w:r w:rsidRPr="00536CFD">
              <w:rPr>
                <w:rFonts w:ascii="Cambria Math" w:hAnsi="Cambria Math"/>
              </w:rPr>
              <w:t>𝜌</w:t>
            </w:r>
            <w:r w:rsidRPr="00536CFD">
              <w:rPr>
                <w:rFonts w:ascii="Cambria Math" w:hAnsi="Cambria Math"/>
                <w:vertAlign w:val="subscript"/>
              </w:rPr>
              <w:t>UL</w:t>
            </w:r>
          </w:p>
        </w:tc>
        <w:tc>
          <w:tcPr>
            <w:tcW w:w="630" w:type="dxa"/>
            <w:tcBorders>
              <w:top w:val="single" w:sz="4" w:space="0" w:color="auto"/>
              <w:left w:val="single" w:sz="4" w:space="0" w:color="auto"/>
              <w:bottom w:val="single" w:sz="4" w:space="0" w:color="auto"/>
              <w:right w:val="single" w:sz="4" w:space="0" w:color="auto"/>
            </w:tcBorders>
            <w:hideMark/>
          </w:tcPr>
          <w:p w14:paraId="3699745D" w14:textId="77777777" w:rsidR="009D4A93" w:rsidRPr="00536CFD" w:rsidRDefault="009D4A93" w:rsidP="009D4A93">
            <w:pPr>
              <w:pStyle w:val="ListParagraph"/>
              <w:spacing w:after="0"/>
              <w:ind w:firstLineChars="0" w:firstLine="0"/>
              <w:jc w:val="center"/>
            </w:pPr>
            <w:r w:rsidRPr="00536CFD">
              <w:t>0.987</w:t>
            </w:r>
          </w:p>
        </w:tc>
        <w:tc>
          <w:tcPr>
            <w:tcW w:w="632" w:type="dxa"/>
            <w:tcBorders>
              <w:top w:val="single" w:sz="4" w:space="0" w:color="auto"/>
              <w:left w:val="single" w:sz="4" w:space="0" w:color="auto"/>
              <w:bottom w:val="single" w:sz="4" w:space="0" w:color="auto"/>
              <w:right w:val="single" w:sz="4" w:space="0" w:color="auto"/>
            </w:tcBorders>
            <w:hideMark/>
          </w:tcPr>
          <w:p w14:paraId="3811F412" w14:textId="77777777" w:rsidR="009D4A93" w:rsidRPr="00536CFD" w:rsidRDefault="009D4A93" w:rsidP="009D4A93">
            <w:pPr>
              <w:pStyle w:val="ListParagraph"/>
              <w:spacing w:after="0"/>
              <w:ind w:firstLineChars="0" w:firstLine="0"/>
              <w:jc w:val="center"/>
            </w:pPr>
            <w:r w:rsidRPr="00536CFD">
              <w:t>0.996</w:t>
            </w:r>
          </w:p>
        </w:tc>
        <w:tc>
          <w:tcPr>
            <w:tcW w:w="632" w:type="dxa"/>
            <w:tcBorders>
              <w:top w:val="single" w:sz="4" w:space="0" w:color="auto"/>
              <w:left w:val="single" w:sz="4" w:space="0" w:color="auto"/>
              <w:bottom w:val="single" w:sz="4" w:space="0" w:color="auto"/>
              <w:right w:val="single" w:sz="4" w:space="0" w:color="auto"/>
            </w:tcBorders>
            <w:hideMark/>
          </w:tcPr>
          <w:p w14:paraId="23CD19AD" w14:textId="77777777" w:rsidR="009D4A93" w:rsidRPr="00536CFD" w:rsidRDefault="009D4A93" w:rsidP="009D4A93">
            <w:pPr>
              <w:pStyle w:val="ListParagraph"/>
              <w:spacing w:after="0"/>
              <w:ind w:firstLineChars="0" w:firstLine="0"/>
              <w:jc w:val="center"/>
            </w:pPr>
            <w:r w:rsidRPr="00536CFD">
              <w:t>1</w:t>
            </w:r>
          </w:p>
        </w:tc>
        <w:tc>
          <w:tcPr>
            <w:tcW w:w="633" w:type="dxa"/>
            <w:tcBorders>
              <w:top w:val="single" w:sz="4" w:space="0" w:color="auto"/>
              <w:left w:val="single" w:sz="4" w:space="0" w:color="auto"/>
              <w:bottom w:val="single" w:sz="4" w:space="0" w:color="auto"/>
              <w:right w:val="single" w:sz="4" w:space="0" w:color="auto"/>
            </w:tcBorders>
            <w:hideMark/>
          </w:tcPr>
          <w:p w14:paraId="0E5ED219" w14:textId="77777777" w:rsidR="009D4A93" w:rsidRPr="00536CFD" w:rsidRDefault="009D4A93" w:rsidP="009D4A93">
            <w:pPr>
              <w:pStyle w:val="ListParagraph"/>
              <w:spacing w:after="0"/>
              <w:ind w:firstLineChars="0" w:firstLine="0"/>
              <w:jc w:val="center"/>
            </w:pPr>
            <w:r w:rsidRPr="00536CFD">
              <w:t>0.995</w:t>
            </w:r>
          </w:p>
        </w:tc>
        <w:tc>
          <w:tcPr>
            <w:tcW w:w="701" w:type="dxa"/>
            <w:tcBorders>
              <w:top w:val="single" w:sz="4" w:space="0" w:color="auto"/>
              <w:left w:val="single" w:sz="4" w:space="0" w:color="auto"/>
              <w:bottom w:val="single" w:sz="4" w:space="0" w:color="auto"/>
              <w:right w:val="single" w:sz="4" w:space="0" w:color="auto"/>
            </w:tcBorders>
            <w:hideMark/>
          </w:tcPr>
          <w:p w14:paraId="66AED129" w14:textId="77777777" w:rsidR="009D4A93" w:rsidRPr="00536CFD" w:rsidRDefault="009D4A93" w:rsidP="009D4A93">
            <w:pPr>
              <w:pStyle w:val="ListParagraph"/>
              <w:spacing w:after="0"/>
              <w:ind w:firstLineChars="0" w:firstLine="0"/>
              <w:jc w:val="center"/>
            </w:pPr>
            <w:r w:rsidRPr="00536CFD">
              <w:t>0.962</w:t>
            </w:r>
          </w:p>
        </w:tc>
        <w:tc>
          <w:tcPr>
            <w:tcW w:w="701" w:type="dxa"/>
            <w:tcBorders>
              <w:top w:val="single" w:sz="4" w:space="0" w:color="auto"/>
              <w:left w:val="single" w:sz="4" w:space="0" w:color="auto"/>
              <w:bottom w:val="single" w:sz="4" w:space="0" w:color="auto"/>
              <w:right w:val="single" w:sz="4" w:space="0" w:color="auto"/>
            </w:tcBorders>
            <w:hideMark/>
          </w:tcPr>
          <w:p w14:paraId="5B9B080E" w14:textId="77777777" w:rsidR="009D4A93" w:rsidRPr="00536CFD" w:rsidRDefault="009D4A93" w:rsidP="009D4A93">
            <w:pPr>
              <w:pStyle w:val="ListParagraph"/>
              <w:spacing w:after="0"/>
              <w:ind w:firstLineChars="0" w:firstLine="0"/>
              <w:jc w:val="center"/>
            </w:pPr>
            <w:r w:rsidRPr="00536CFD">
              <w:t>0.956</w:t>
            </w:r>
          </w:p>
        </w:tc>
        <w:tc>
          <w:tcPr>
            <w:tcW w:w="701" w:type="dxa"/>
            <w:tcBorders>
              <w:top w:val="single" w:sz="4" w:space="0" w:color="auto"/>
              <w:left w:val="single" w:sz="4" w:space="0" w:color="auto"/>
              <w:bottom w:val="single" w:sz="4" w:space="0" w:color="auto"/>
              <w:right w:val="single" w:sz="4" w:space="0" w:color="auto"/>
            </w:tcBorders>
            <w:hideMark/>
          </w:tcPr>
          <w:p w14:paraId="6590EC15" w14:textId="77777777" w:rsidR="009D4A93" w:rsidRPr="00536CFD" w:rsidRDefault="009D4A93" w:rsidP="009D4A93">
            <w:pPr>
              <w:pStyle w:val="ListParagraph"/>
              <w:spacing w:after="0"/>
              <w:ind w:firstLineChars="0" w:firstLine="0"/>
              <w:jc w:val="center"/>
            </w:pPr>
            <w:r w:rsidRPr="00536CFD">
              <w:t>0.975</w:t>
            </w:r>
          </w:p>
        </w:tc>
        <w:tc>
          <w:tcPr>
            <w:tcW w:w="704" w:type="dxa"/>
            <w:tcBorders>
              <w:top w:val="single" w:sz="4" w:space="0" w:color="auto"/>
              <w:left w:val="single" w:sz="4" w:space="0" w:color="auto"/>
              <w:bottom w:val="single" w:sz="4" w:space="0" w:color="auto"/>
              <w:right w:val="single" w:sz="4" w:space="0" w:color="auto"/>
            </w:tcBorders>
            <w:hideMark/>
          </w:tcPr>
          <w:p w14:paraId="03BDCA28" w14:textId="77777777" w:rsidR="009D4A93" w:rsidRPr="00536CFD" w:rsidRDefault="009D4A93" w:rsidP="009D4A93">
            <w:pPr>
              <w:pStyle w:val="ListParagraph"/>
              <w:spacing w:after="0"/>
              <w:ind w:firstLineChars="0" w:firstLine="0"/>
              <w:jc w:val="center"/>
            </w:pPr>
            <w:r w:rsidRPr="00536CFD">
              <w:t>0.942</w:t>
            </w:r>
          </w:p>
        </w:tc>
        <w:tc>
          <w:tcPr>
            <w:tcW w:w="723" w:type="dxa"/>
            <w:tcBorders>
              <w:top w:val="single" w:sz="4" w:space="0" w:color="auto"/>
              <w:left w:val="single" w:sz="4" w:space="0" w:color="auto"/>
              <w:bottom w:val="single" w:sz="4" w:space="0" w:color="auto"/>
              <w:right w:val="single" w:sz="4" w:space="0" w:color="auto"/>
            </w:tcBorders>
            <w:hideMark/>
          </w:tcPr>
          <w:p w14:paraId="230122EB" w14:textId="77777777" w:rsidR="009D4A93" w:rsidRPr="00536CFD" w:rsidRDefault="009D4A93" w:rsidP="009D4A93">
            <w:pPr>
              <w:pStyle w:val="ListParagraph"/>
              <w:spacing w:after="0"/>
              <w:ind w:firstLineChars="0" w:firstLine="0"/>
              <w:jc w:val="center"/>
            </w:pPr>
            <w:r w:rsidRPr="00536CFD">
              <w:t>0.888</w:t>
            </w:r>
          </w:p>
        </w:tc>
        <w:tc>
          <w:tcPr>
            <w:tcW w:w="724" w:type="dxa"/>
            <w:tcBorders>
              <w:top w:val="single" w:sz="4" w:space="0" w:color="auto"/>
              <w:left w:val="single" w:sz="4" w:space="0" w:color="auto"/>
              <w:bottom w:val="single" w:sz="4" w:space="0" w:color="auto"/>
              <w:right w:val="single" w:sz="4" w:space="0" w:color="auto"/>
            </w:tcBorders>
            <w:hideMark/>
          </w:tcPr>
          <w:p w14:paraId="7DA568A9" w14:textId="77777777" w:rsidR="009D4A93" w:rsidRPr="00536CFD" w:rsidRDefault="009D4A93" w:rsidP="009D4A93">
            <w:pPr>
              <w:pStyle w:val="ListParagraph"/>
              <w:spacing w:after="0"/>
              <w:ind w:firstLineChars="0" w:firstLine="0"/>
              <w:jc w:val="center"/>
            </w:pPr>
            <w:r w:rsidRPr="00536CFD">
              <w:t>0.915</w:t>
            </w:r>
          </w:p>
        </w:tc>
        <w:tc>
          <w:tcPr>
            <w:tcW w:w="723" w:type="dxa"/>
            <w:tcBorders>
              <w:top w:val="single" w:sz="4" w:space="0" w:color="auto"/>
              <w:left w:val="single" w:sz="4" w:space="0" w:color="auto"/>
              <w:bottom w:val="single" w:sz="4" w:space="0" w:color="auto"/>
              <w:right w:val="single" w:sz="4" w:space="0" w:color="auto"/>
            </w:tcBorders>
            <w:hideMark/>
          </w:tcPr>
          <w:p w14:paraId="4DAD0CB0" w14:textId="77777777" w:rsidR="009D4A93" w:rsidRPr="00536CFD" w:rsidRDefault="009D4A93" w:rsidP="009D4A93">
            <w:pPr>
              <w:pStyle w:val="ListParagraph"/>
              <w:spacing w:after="0"/>
              <w:ind w:firstLineChars="0" w:firstLine="0"/>
              <w:jc w:val="center"/>
            </w:pPr>
            <w:r w:rsidRPr="00536CFD">
              <w:t>0.86</w:t>
            </w:r>
          </w:p>
        </w:tc>
        <w:tc>
          <w:tcPr>
            <w:tcW w:w="724" w:type="dxa"/>
            <w:tcBorders>
              <w:top w:val="single" w:sz="4" w:space="0" w:color="auto"/>
              <w:left w:val="single" w:sz="4" w:space="0" w:color="auto"/>
              <w:bottom w:val="single" w:sz="4" w:space="0" w:color="auto"/>
              <w:right w:val="single" w:sz="4" w:space="0" w:color="auto"/>
            </w:tcBorders>
            <w:hideMark/>
          </w:tcPr>
          <w:p w14:paraId="02CC87FE" w14:textId="77777777" w:rsidR="009D4A93" w:rsidRPr="00536CFD" w:rsidRDefault="009D4A93" w:rsidP="009D4A93">
            <w:pPr>
              <w:pStyle w:val="ListParagraph"/>
              <w:spacing w:after="0"/>
              <w:ind w:firstLineChars="0" w:firstLine="0"/>
              <w:jc w:val="center"/>
            </w:pPr>
            <w:r w:rsidRPr="00536CFD">
              <w:t>0.921</w:t>
            </w:r>
          </w:p>
        </w:tc>
      </w:tr>
      <w:tr w:rsidR="009D4A93" w:rsidRPr="00536CFD" w14:paraId="5F0C4632" w14:textId="77777777" w:rsidTr="009D4A93">
        <w:trPr>
          <w:gridAfter w:val="1"/>
          <w:wAfter w:w="8" w:type="dxa"/>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72E6F53D"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hideMark/>
          </w:tcPr>
          <w:p w14:paraId="215B122F" w14:textId="77777777" w:rsidR="009D4A93" w:rsidRPr="00536CFD" w:rsidRDefault="009D4A93" w:rsidP="009D4A93">
            <w:pPr>
              <w:pStyle w:val="ListParagraph"/>
              <w:spacing w:after="0"/>
              <w:ind w:firstLineChars="0" w:firstLine="0"/>
              <w:jc w:val="center"/>
            </w:pPr>
            <w:r w:rsidRPr="00536CFD">
              <w:t>BO</w:t>
            </w:r>
          </w:p>
        </w:tc>
        <w:tc>
          <w:tcPr>
            <w:tcW w:w="630" w:type="dxa"/>
            <w:tcBorders>
              <w:top w:val="single" w:sz="4" w:space="0" w:color="auto"/>
              <w:left w:val="single" w:sz="4" w:space="0" w:color="auto"/>
              <w:bottom w:val="single" w:sz="4" w:space="0" w:color="auto"/>
              <w:right w:val="single" w:sz="4" w:space="0" w:color="auto"/>
            </w:tcBorders>
            <w:hideMark/>
          </w:tcPr>
          <w:p w14:paraId="3DD553A4" w14:textId="77777777" w:rsidR="009D4A93" w:rsidRPr="00536CFD" w:rsidRDefault="009D4A93" w:rsidP="009D4A93">
            <w:pPr>
              <w:pStyle w:val="ListParagraph"/>
              <w:spacing w:after="0"/>
              <w:ind w:firstLineChars="0" w:firstLine="0"/>
              <w:jc w:val="center"/>
            </w:pPr>
            <w:r w:rsidRPr="00536CFD">
              <w:t>0.057</w:t>
            </w:r>
          </w:p>
        </w:tc>
        <w:tc>
          <w:tcPr>
            <w:tcW w:w="632" w:type="dxa"/>
            <w:tcBorders>
              <w:top w:val="single" w:sz="4" w:space="0" w:color="auto"/>
              <w:left w:val="single" w:sz="4" w:space="0" w:color="auto"/>
              <w:bottom w:val="single" w:sz="4" w:space="0" w:color="auto"/>
              <w:right w:val="single" w:sz="4" w:space="0" w:color="auto"/>
            </w:tcBorders>
            <w:hideMark/>
          </w:tcPr>
          <w:p w14:paraId="3BF687C1" w14:textId="77777777" w:rsidR="009D4A93" w:rsidRPr="00536CFD" w:rsidRDefault="009D4A93" w:rsidP="009D4A93">
            <w:pPr>
              <w:pStyle w:val="ListParagraph"/>
              <w:spacing w:after="0"/>
              <w:ind w:firstLineChars="0" w:firstLine="0"/>
              <w:jc w:val="center"/>
            </w:pPr>
            <w:r w:rsidRPr="00536CFD">
              <w:t>0.061</w:t>
            </w:r>
          </w:p>
        </w:tc>
        <w:tc>
          <w:tcPr>
            <w:tcW w:w="632" w:type="dxa"/>
            <w:tcBorders>
              <w:top w:val="single" w:sz="4" w:space="0" w:color="auto"/>
              <w:left w:val="single" w:sz="4" w:space="0" w:color="auto"/>
              <w:bottom w:val="single" w:sz="4" w:space="0" w:color="auto"/>
              <w:right w:val="single" w:sz="4" w:space="0" w:color="auto"/>
            </w:tcBorders>
            <w:hideMark/>
          </w:tcPr>
          <w:p w14:paraId="7BC2D465" w14:textId="77777777" w:rsidR="009D4A93" w:rsidRPr="00536CFD" w:rsidRDefault="009D4A93" w:rsidP="009D4A93">
            <w:pPr>
              <w:pStyle w:val="ListParagraph"/>
              <w:spacing w:after="0"/>
              <w:ind w:firstLineChars="0" w:firstLine="0"/>
              <w:jc w:val="center"/>
            </w:pPr>
            <w:r w:rsidRPr="00536CFD">
              <w:t>0.105</w:t>
            </w:r>
          </w:p>
        </w:tc>
        <w:tc>
          <w:tcPr>
            <w:tcW w:w="633" w:type="dxa"/>
            <w:tcBorders>
              <w:top w:val="single" w:sz="4" w:space="0" w:color="auto"/>
              <w:left w:val="single" w:sz="4" w:space="0" w:color="auto"/>
              <w:bottom w:val="single" w:sz="4" w:space="0" w:color="auto"/>
              <w:right w:val="single" w:sz="4" w:space="0" w:color="auto"/>
            </w:tcBorders>
            <w:hideMark/>
          </w:tcPr>
          <w:p w14:paraId="7C5B2C5C" w14:textId="77777777" w:rsidR="009D4A93" w:rsidRPr="00536CFD" w:rsidRDefault="009D4A93" w:rsidP="009D4A93">
            <w:pPr>
              <w:pStyle w:val="ListParagraph"/>
              <w:spacing w:after="0"/>
              <w:ind w:firstLineChars="0" w:firstLine="0"/>
              <w:jc w:val="center"/>
            </w:pPr>
            <w:r w:rsidRPr="00536CFD">
              <w:t>0.096</w:t>
            </w:r>
          </w:p>
        </w:tc>
        <w:tc>
          <w:tcPr>
            <w:tcW w:w="701" w:type="dxa"/>
            <w:tcBorders>
              <w:top w:val="single" w:sz="4" w:space="0" w:color="auto"/>
              <w:left w:val="single" w:sz="4" w:space="0" w:color="auto"/>
              <w:bottom w:val="single" w:sz="4" w:space="0" w:color="auto"/>
              <w:right w:val="single" w:sz="4" w:space="0" w:color="auto"/>
            </w:tcBorders>
            <w:hideMark/>
          </w:tcPr>
          <w:p w14:paraId="50C1C76C" w14:textId="77777777" w:rsidR="009D4A93" w:rsidRPr="00536CFD" w:rsidRDefault="009D4A93" w:rsidP="009D4A93">
            <w:pPr>
              <w:pStyle w:val="ListParagraph"/>
              <w:spacing w:after="0"/>
              <w:ind w:firstLineChars="0" w:firstLine="0"/>
              <w:jc w:val="center"/>
            </w:pPr>
            <w:r w:rsidRPr="00536CFD">
              <w:t>0.244</w:t>
            </w:r>
          </w:p>
        </w:tc>
        <w:tc>
          <w:tcPr>
            <w:tcW w:w="701" w:type="dxa"/>
            <w:tcBorders>
              <w:top w:val="single" w:sz="4" w:space="0" w:color="auto"/>
              <w:left w:val="single" w:sz="4" w:space="0" w:color="auto"/>
              <w:bottom w:val="single" w:sz="4" w:space="0" w:color="auto"/>
              <w:right w:val="single" w:sz="4" w:space="0" w:color="auto"/>
            </w:tcBorders>
            <w:hideMark/>
          </w:tcPr>
          <w:p w14:paraId="350C59C5" w14:textId="77777777" w:rsidR="009D4A93" w:rsidRPr="00536CFD" w:rsidRDefault="009D4A93" w:rsidP="009D4A93">
            <w:pPr>
              <w:pStyle w:val="ListParagraph"/>
              <w:spacing w:after="0"/>
              <w:ind w:firstLineChars="0" w:firstLine="0"/>
              <w:jc w:val="center"/>
            </w:pPr>
            <w:r w:rsidRPr="00536CFD">
              <w:t>0.32</w:t>
            </w:r>
          </w:p>
        </w:tc>
        <w:tc>
          <w:tcPr>
            <w:tcW w:w="701" w:type="dxa"/>
            <w:tcBorders>
              <w:top w:val="single" w:sz="4" w:space="0" w:color="auto"/>
              <w:left w:val="single" w:sz="4" w:space="0" w:color="auto"/>
              <w:bottom w:val="single" w:sz="4" w:space="0" w:color="auto"/>
              <w:right w:val="single" w:sz="4" w:space="0" w:color="auto"/>
            </w:tcBorders>
            <w:hideMark/>
          </w:tcPr>
          <w:p w14:paraId="35DCA4BF" w14:textId="77777777" w:rsidR="009D4A93" w:rsidRPr="00536CFD" w:rsidRDefault="009D4A93" w:rsidP="009D4A93">
            <w:pPr>
              <w:pStyle w:val="ListParagraph"/>
              <w:spacing w:after="0"/>
              <w:ind w:firstLineChars="0" w:firstLine="0"/>
              <w:jc w:val="center"/>
            </w:pPr>
            <w:r w:rsidRPr="00536CFD">
              <w:t>0.26</w:t>
            </w:r>
          </w:p>
        </w:tc>
        <w:tc>
          <w:tcPr>
            <w:tcW w:w="704" w:type="dxa"/>
            <w:tcBorders>
              <w:top w:val="single" w:sz="4" w:space="0" w:color="auto"/>
              <w:left w:val="single" w:sz="4" w:space="0" w:color="auto"/>
              <w:bottom w:val="single" w:sz="4" w:space="0" w:color="auto"/>
              <w:right w:val="single" w:sz="4" w:space="0" w:color="auto"/>
            </w:tcBorders>
            <w:hideMark/>
          </w:tcPr>
          <w:p w14:paraId="6CA9067B" w14:textId="77777777" w:rsidR="009D4A93" w:rsidRPr="00536CFD" w:rsidRDefault="009D4A93" w:rsidP="009D4A93">
            <w:pPr>
              <w:pStyle w:val="ListParagraph"/>
              <w:spacing w:after="0"/>
              <w:ind w:firstLineChars="0" w:firstLine="0"/>
              <w:jc w:val="center"/>
            </w:pPr>
            <w:r w:rsidRPr="00536CFD">
              <w:t>0.321</w:t>
            </w:r>
          </w:p>
        </w:tc>
        <w:tc>
          <w:tcPr>
            <w:tcW w:w="723" w:type="dxa"/>
            <w:tcBorders>
              <w:top w:val="single" w:sz="4" w:space="0" w:color="auto"/>
              <w:left w:val="single" w:sz="4" w:space="0" w:color="auto"/>
              <w:bottom w:val="single" w:sz="4" w:space="0" w:color="auto"/>
              <w:right w:val="single" w:sz="4" w:space="0" w:color="auto"/>
            </w:tcBorders>
            <w:hideMark/>
          </w:tcPr>
          <w:p w14:paraId="2B6A8762" w14:textId="77777777" w:rsidR="009D4A93" w:rsidRPr="00536CFD" w:rsidRDefault="009D4A93" w:rsidP="009D4A93">
            <w:pPr>
              <w:pStyle w:val="ListParagraph"/>
              <w:spacing w:after="0"/>
              <w:ind w:firstLineChars="0" w:firstLine="0"/>
              <w:jc w:val="center"/>
            </w:pPr>
            <w:r w:rsidRPr="00536CFD">
              <w:t>0.541</w:t>
            </w:r>
          </w:p>
        </w:tc>
        <w:tc>
          <w:tcPr>
            <w:tcW w:w="724" w:type="dxa"/>
            <w:tcBorders>
              <w:top w:val="single" w:sz="4" w:space="0" w:color="auto"/>
              <w:left w:val="single" w:sz="4" w:space="0" w:color="auto"/>
              <w:bottom w:val="single" w:sz="4" w:space="0" w:color="auto"/>
              <w:right w:val="single" w:sz="4" w:space="0" w:color="auto"/>
            </w:tcBorders>
            <w:hideMark/>
          </w:tcPr>
          <w:p w14:paraId="30D88741" w14:textId="77777777" w:rsidR="009D4A93" w:rsidRPr="00536CFD" w:rsidRDefault="009D4A93" w:rsidP="009D4A93">
            <w:pPr>
              <w:pStyle w:val="ListParagraph"/>
              <w:spacing w:after="0"/>
              <w:ind w:firstLineChars="0" w:firstLine="0"/>
              <w:jc w:val="center"/>
            </w:pPr>
            <w:r w:rsidRPr="00536CFD">
              <w:t>0.566</w:t>
            </w:r>
          </w:p>
        </w:tc>
        <w:tc>
          <w:tcPr>
            <w:tcW w:w="723" w:type="dxa"/>
            <w:tcBorders>
              <w:top w:val="single" w:sz="4" w:space="0" w:color="auto"/>
              <w:left w:val="single" w:sz="4" w:space="0" w:color="auto"/>
              <w:bottom w:val="single" w:sz="4" w:space="0" w:color="auto"/>
              <w:right w:val="single" w:sz="4" w:space="0" w:color="auto"/>
            </w:tcBorders>
            <w:hideMark/>
          </w:tcPr>
          <w:p w14:paraId="7DC99B7B" w14:textId="77777777" w:rsidR="009D4A93" w:rsidRPr="00536CFD" w:rsidRDefault="009D4A93" w:rsidP="009D4A93">
            <w:pPr>
              <w:pStyle w:val="ListParagraph"/>
              <w:spacing w:after="0"/>
              <w:ind w:firstLineChars="0" w:firstLine="0"/>
              <w:jc w:val="center"/>
            </w:pPr>
            <w:r w:rsidRPr="00536CFD">
              <w:t>0.572</w:t>
            </w:r>
          </w:p>
        </w:tc>
        <w:tc>
          <w:tcPr>
            <w:tcW w:w="724" w:type="dxa"/>
            <w:tcBorders>
              <w:top w:val="single" w:sz="4" w:space="0" w:color="auto"/>
              <w:left w:val="single" w:sz="4" w:space="0" w:color="auto"/>
              <w:bottom w:val="single" w:sz="4" w:space="0" w:color="auto"/>
              <w:right w:val="single" w:sz="4" w:space="0" w:color="auto"/>
            </w:tcBorders>
            <w:hideMark/>
          </w:tcPr>
          <w:p w14:paraId="3A5EB9D7" w14:textId="77777777" w:rsidR="009D4A93" w:rsidRPr="00536CFD" w:rsidRDefault="009D4A93" w:rsidP="009D4A93">
            <w:pPr>
              <w:pStyle w:val="ListParagraph"/>
              <w:spacing w:after="0"/>
              <w:ind w:firstLineChars="0" w:firstLine="0"/>
              <w:jc w:val="center"/>
            </w:pPr>
            <w:r w:rsidRPr="00536CFD">
              <w:t>0.550</w:t>
            </w:r>
          </w:p>
        </w:tc>
      </w:tr>
      <w:tr w:rsidR="009D4A93" w:rsidRPr="00536CFD" w14:paraId="55E7245A" w14:textId="77777777" w:rsidTr="009D4A93">
        <w:trPr>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74EDC4E0"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hideMark/>
          </w:tcPr>
          <w:p w14:paraId="60A6C7F9" w14:textId="77777777" w:rsidR="009D4A93" w:rsidRPr="00536CFD" w:rsidRDefault="009D4A93" w:rsidP="009D4A93">
            <w:pPr>
              <w:pStyle w:val="ListParagraph"/>
              <w:spacing w:after="0"/>
              <w:ind w:firstLineChars="0" w:firstLine="0"/>
              <w:jc w:val="center"/>
            </w:pPr>
            <w:r w:rsidRPr="00536CFD">
              <w:rPr>
                <w:rFonts w:ascii="Cambria Math" w:hAnsi="Cambria Math"/>
              </w:rPr>
              <w:t>𝜆</w:t>
            </w:r>
          </w:p>
        </w:tc>
        <w:tc>
          <w:tcPr>
            <w:tcW w:w="2527" w:type="dxa"/>
            <w:gridSpan w:val="4"/>
            <w:tcBorders>
              <w:top w:val="single" w:sz="4" w:space="0" w:color="auto"/>
              <w:left w:val="single" w:sz="4" w:space="0" w:color="auto"/>
              <w:bottom w:val="single" w:sz="4" w:space="0" w:color="auto"/>
              <w:right w:val="single" w:sz="4" w:space="0" w:color="auto"/>
            </w:tcBorders>
            <w:hideMark/>
          </w:tcPr>
          <w:p w14:paraId="79528C5F" w14:textId="77777777" w:rsidR="009D4A93" w:rsidRPr="00536CFD" w:rsidRDefault="009D4A93" w:rsidP="009D4A93">
            <w:pPr>
              <w:pStyle w:val="ListParagraph"/>
              <w:spacing w:after="0"/>
              <w:ind w:firstLineChars="0" w:firstLine="0"/>
              <w:jc w:val="center"/>
            </w:pPr>
            <w:r w:rsidRPr="00536CFD">
              <w:t>0.15</w:t>
            </w:r>
          </w:p>
        </w:tc>
        <w:tc>
          <w:tcPr>
            <w:tcW w:w="2807" w:type="dxa"/>
            <w:gridSpan w:val="4"/>
            <w:tcBorders>
              <w:top w:val="single" w:sz="4" w:space="0" w:color="auto"/>
              <w:left w:val="single" w:sz="4" w:space="0" w:color="auto"/>
              <w:bottom w:val="single" w:sz="4" w:space="0" w:color="auto"/>
              <w:right w:val="single" w:sz="4" w:space="0" w:color="auto"/>
            </w:tcBorders>
            <w:hideMark/>
          </w:tcPr>
          <w:p w14:paraId="6EE00E72" w14:textId="77777777" w:rsidR="009D4A93" w:rsidRPr="00536CFD" w:rsidRDefault="009D4A93" w:rsidP="009D4A93">
            <w:pPr>
              <w:pStyle w:val="ListParagraph"/>
              <w:spacing w:after="0"/>
              <w:ind w:firstLineChars="0" w:firstLine="0"/>
              <w:jc w:val="center"/>
            </w:pPr>
            <w:r w:rsidRPr="00536CFD">
              <w:t>0.22</w:t>
            </w:r>
          </w:p>
        </w:tc>
        <w:tc>
          <w:tcPr>
            <w:tcW w:w="2902" w:type="dxa"/>
            <w:gridSpan w:val="5"/>
            <w:tcBorders>
              <w:top w:val="single" w:sz="4" w:space="0" w:color="auto"/>
              <w:left w:val="single" w:sz="4" w:space="0" w:color="auto"/>
              <w:bottom w:val="single" w:sz="4" w:space="0" w:color="auto"/>
              <w:right w:val="single" w:sz="4" w:space="0" w:color="auto"/>
            </w:tcBorders>
            <w:hideMark/>
          </w:tcPr>
          <w:p w14:paraId="24972806" w14:textId="77777777" w:rsidR="009D4A93" w:rsidRPr="00536CFD" w:rsidRDefault="009D4A93" w:rsidP="009D4A93">
            <w:pPr>
              <w:pStyle w:val="ListParagraph"/>
              <w:spacing w:after="0"/>
              <w:ind w:firstLineChars="0" w:firstLine="0"/>
              <w:jc w:val="center"/>
            </w:pPr>
            <w:r w:rsidRPr="00536CFD">
              <w:t>0.3</w:t>
            </w:r>
          </w:p>
        </w:tc>
      </w:tr>
      <w:tr w:rsidR="009D4A93" w:rsidRPr="00536CFD" w14:paraId="3DA6BE86" w14:textId="77777777" w:rsidTr="009D4A93">
        <w:trPr>
          <w:cantSplit/>
          <w:trHeight w:val="24"/>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1F6A770D"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tcPr>
          <w:p w14:paraId="5265E5D8" w14:textId="77777777" w:rsidR="009D4A93" w:rsidRPr="00536CFD" w:rsidRDefault="009D4A93" w:rsidP="009D4A93">
            <w:pPr>
              <w:pStyle w:val="ListParagraph"/>
              <w:spacing w:after="0"/>
              <w:ind w:firstLineChars="0" w:firstLine="0"/>
              <w:jc w:val="both"/>
            </w:pPr>
          </w:p>
        </w:tc>
        <w:tc>
          <w:tcPr>
            <w:tcW w:w="8236" w:type="dxa"/>
            <w:gridSpan w:val="13"/>
            <w:tcBorders>
              <w:top w:val="single" w:sz="4" w:space="0" w:color="auto"/>
              <w:left w:val="single" w:sz="4" w:space="0" w:color="auto"/>
              <w:bottom w:val="single" w:sz="4" w:space="0" w:color="auto"/>
              <w:right w:val="single" w:sz="4" w:space="0" w:color="auto"/>
            </w:tcBorders>
          </w:tcPr>
          <w:p w14:paraId="2A2F6B2F" w14:textId="77777777" w:rsidR="009D4A93" w:rsidRPr="00536CFD" w:rsidRDefault="009D4A93" w:rsidP="009D4A93">
            <w:pPr>
              <w:pStyle w:val="ListParagraph"/>
              <w:spacing w:after="0"/>
              <w:ind w:firstLineChars="0" w:firstLine="0"/>
              <w:jc w:val="both"/>
            </w:pPr>
            <w:r w:rsidRPr="00536CFD">
              <w:t>Additional comments:</w:t>
            </w:r>
          </w:p>
          <w:p w14:paraId="782FAA23" w14:textId="22C07717" w:rsidR="009D4A93" w:rsidRPr="00536CFD" w:rsidRDefault="00A92E07" w:rsidP="00A92E07">
            <w:pPr>
              <w:pStyle w:val="B1"/>
              <w:spacing w:after="0"/>
            </w:pPr>
            <w:r w:rsidRPr="00536CFD">
              <w:t>-</w:t>
            </w:r>
            <w:r w:rsidRPr="00536CFD">
              <w:tab/>
            </w:r>
            <w:r w:rsidR="009D4A93" w:rsidRPr="00536CFD">
              <w:t>4ms for both Wi-Fi and NR-U</w:t>
            </w:r>
          </w:p>
          <w:p w14:paraId="579EE62B" w14:textId="742405F5" w:rsidR="009D4A93" w:rsidRPr="00536CFD" w:rsidRDefault="00A92E07" w:rsidP="00A92E07">
            <w:pPr>
              <w:pStyle w:val="B1"/>
              <w:spacing w:after="0"/>
            </w:pPr>
            <w:r w:rsidRPr="00536CFD">
              <w:t>-</w:t>
            </w:r>
            <w:r w:rsidRPr="00536CFD">
              <w:tab/>
            </w:r>
            <w:r w:rsidR="009D4A93" w:rsidRPr="00536CFD">
              <w:t>No</w:t>
            </w:r>
          </w:p>
          <w:p w14:paraId="05F0D75E" w14:textId="05D25ABE" w:rsidR="009D4A93" w:rsidRPr="00536CFD" w:rsidRDefault="00A92E07" w:rsidP="00A92E07">
            <w:pPr>
              <w:pStyle w:val="B1"/>
              <w:spacing w:after="0"/>
            </w:pPr>
            <w:r w:rsidRPr="00536CFD">
              <w:t>-</w:t>
            </w:r>
            <w:r w:rsidRPr="00536CFD">
              <w:tab/>
            </w:r>
            <w:r w:rsidR="009D4A93" w:rsidRPr="00536CFD">
              <w:t>For Wi-Fi, PDT = -82 dBm, EDT = -62 dBm; for NR-U, if preamble is enabled PDT = -82 dBm and EDT = -72 dBm; for NR-U with -82 dBm EDT, preamble detection is not enabled</w:t>
            </w:r>
          </w:p>
          <w:p w14:paraId="0382D92A" w14:textId="52928096" w:rsidR="009D4A93" w:rsidRPr="00536CFD" w:rsidRDefault="00A92E07" w:rsidP="00A92E07">
            <w:pPr>
              <w:pStyle w:val="B1"/>
              <w:spacing w:after="0"/>
            </w:pPr>
            <w:r w:rsidRPr="00536CFD">
              <w:t>-</w:t>
            </w:r>
            <w:r w:rsidRPr="00536CFD">
              <w:tab/>
            </w:r>
            <w:r w:rsidR="009D4A93" w:rsidRPr="00536CFD">
              <w:t>256 QAM for both Wi-Fi and NR-U</w:t>
            </w:r>
          </w:p>
          <w:p w14:paraId="4DD1D395" w14:textId="5D543DA7" w:rsidR="009D4A93" w:rsidRPr="00536CFD" w:rsidRDefault="00A92E07" w:rsidP="00A92E07">
            <w:pPr>
              <w:pStyle w:val="B1"/>
              <w:spacing w:after="0"/>
            </w:pPr>
            <w:r w:rsidRPr="00536CFD">
              <w:t>-</w:t>
            </w:r>
            <w:r w:rsidRPr="00536CFD">
              <w:tab/>
            </w:r>
            <w:r w:rsidR="009D4A93" w:rsidRPr="00536CFD">
              <w:t>NR-U with array radiation pattern according to TR38.802 and max BF gain of 5 dBi; omni-directional for Wi-Fi</w:t>
            </w:r>
          </w:p>
          <w:p w14:paraId="05AEE53B" w14:textId="5DBB8E25" w:rsidR="009D4A93" w:rsidRPr="00536CFD" w:rsidRDefault="00A92E07" w:rsidP="00A92E07">
            <w:pPr>
              <w:pStyle w:val="B1"/>
              <w:spacing w:after="0"/>
            </w:pPr>
            <w:r w:rsidRPr="00536CFD">
              <w:t>-</w:t>
            </w:r>
            <w:r w:rsidRPr="00536CFD">
              <w:tab/>
            </w:r>
            <w:r w:rsidR="009D4A93" w:rsidRPr="00536CFD">
              <w:t xml:space="preserve">MPDU size = 3250 bytes by default, 1ms per MPDU </w:t>
            </w:r>
          </w:p>
          <w:p w14:paraId="219CC3B4" w14:textId="1BD95C61" w:rsidR="009D4A93" w:rsidRPr="00536CFD" w:rsidRDefault="00A92E07" w:rsidP="00A92E07">
            <w:pPr>
              <w:pStyle w:val="B1"/>
              <w:spacing w:after="0"/>
            </w:pPr>
            <w:r w:rsidRPr="00536CFD">
              <w:t>-</w:t>
            </w:r>
            <w:r w:rsidRPr="00536CFD">
              <w:tab/>
            </w:r>
            <w:r w:rsidR="009D4A93" w:rsidRPr="00536CFD">
              <w:t>30 kHz</w:t>
            </w:r>
          </w:p>
          <w:p w14:paraId="160C9DDF" w14:textId="41642AD4" w:rsidR="009D4A93" w:rsidRPr="00536CFD" w:rsidRDefault="00A92E07" w:rsidP="00A92E07">
            <w:pPr>
              <w:pStyle w:val="B1"/>
              <w:spacing w:after="0"/>
            </w:pPr>
            <w:r w:rsidRPr="00536CFD">
              <w:t>-</w:t>
            </w:r>
            <w:r w:rsidRPr="00536CFD">
              <w:tab/>
            </w:r>
            <w:r w:rsidR="009D4A93" w:rsidRPr="00536CFD">
              <w:t xml:space="preserve">0.8 </w:t>
            </w:r>
            <w:r w:rsidR="00200090" w:rsidRPr="00C64ECB">
              <w:rPr>
                <w:rFonts w:ascii="Symbol" w:hAnsi="Symbol"/>
              </w:rPr>
              <w:t></w:t>
            </w:r>
            <w:r w:rsidR="009D4A93" w:rsidRPr="00536CFD">
              <w:t>s</w:t>
            </w:r>
          </w:p>
          <w:p w14:paraId="7D112071" w14:textId="5674D2DF" w:rsidR="009D4A93" w:rsidRPr="00536CFD" w:rsidRDefault="00A92E07" w:rsidP="00A92E07">
            <w:pPr>
              <w:pStyle w:val="B1"/>
              <w:spacing w:after="0"/>
            </w:pPr>
            <w:r w:rsidRPr="00536CFD">
              <w:t>-</w:t>
            </w:r>
            <w:r w:rsidRPr="00536CFD">
              <w:tab/>
            </w:r>
            <w:r w:rsidR="009D4A93" w:rsidRPr="00536CFD">
              <w:t>Capability #1</w:t>
            </w:r>
          </w:p>
          <w:p w14:paraId="1516843E" w14:textId="5B060638" w:rsidR="009D4A93" w:rsidRPr="00536CFD" w:rsidRDefault="00A92E07" w:rsidP="00A92E07">
            <w:pPr>
              <w:pStyle w:val="B1"/>
              <w:spacing w:after="0"/>
            </w:pPr>
            <w:r w:rsidRPr="00536CFD">
              <w:t>-</w:t>
            </w:r>
            <w:r w:rsidRPr="00536CFD">
              <w:tab/>
            </w:r>
            <w:r w:rsidR="009D4A93" w:rsidRPr="00536CFD">
              <w:t>Mapping type B in the starting slot of TxOP; per-symbol PDCCH monitoring for flexible starting position</w:t>
            </w:r>
          </w:p>
          <w:p w14:paraId="1BDBF54C" w14:textId="6A345A99" w:rsidR="009D4A93" w:rsidRPr="00536CFD" w:rsidRDefault="00A92E07" w:rsidP="00A92E07">
            <w:pPr>
              <w:pStyle w:val="B1"/>
              <w:spacing w:after="0"/>
            </w:pPr>
            <w:r w:rsidRPr="00536CFD">
              <w:t>-</w:t>
            </w:r>
            <w:r w:rsidRPr="00536CFD">
              <w:tab/>
            </w:r>
            <w:r w:rsidR="009D4A93" w:rsidRPr="00536CFD">
              <w:t>No fast link adaptation utilizing multiple switching points within COT for NR-U</w:t>
            </w:r>
          </w:p>
          <w:p w14:paraId="1949C211" w14:textId="798938DC" w:rsidR="009D4A93" w:rsidRPr="00536CFD" w:rsidRDefault="00A92E07" w:rsidP="00A92E07">
            <w:pPr>
              <w:pStyle w:val="B1"/>
              <w:spacing w:after="0"/>
            </w:pPr>
            <w:r w:rsidRPr="00536CFD">
              <w:t>-</w:t>
            </w:r>
            <w:r w:rsidRPr="00536CFD">
              <w:tab/>
            </w:r>
            <w:r w:rsidR="009D4A93" w:rsidRPr="00536CFD">
              <w:t>Cross-carrier scheduling in UL</w:t>
            </w:r>
          </w:p>
        </w:tc>
      </w:tr>
    </w:tbl>
    <w:p w14:paraId="1B467EE4" w14:textId="4F2C0335" w:rsidR="009D4A93" w:rsidRPr="00C64ECB" w:rsidRDefault="009D4A93" w:rsidP="009D4A93">
      <w:pPr>
        <w:spacing w:line="288" w:lineRule="auto"/>
        <w:rPr>
          <w:color w:val="000000"/>
          <w:szCs w:val="14"/>
        </w:rPr>
      </w:pPr>
    </w:p>
    <w:p w14:paraId="7A7EB10A" w14:textId="455FA984" w:rsidR="009D4A93" w:rsidRPr="00C64ECB" w:rsidRDefault="009D4A93" w:rsidP="00E126D2">
      <w:pPr>
        <w:pStyle w:val="TH"/>
        <w:pageBreakBefore/>
      </w:pPr>
      <w:r w:rsidRPr="00C64ECB">
        <w:t>T</w:t>
      </w:r>
      <w:r w:rsidR="00006578">
        <w:t>able</w:t>
      </w:r>
      <w:r w:rsidRPr="00C64ECB">
        <w:t xml:space="preserve"> B.1.1-7: NR-U/NR-U coexistence when NR-U uses -82 dBm EDT or NR-U enables preamble detection</w:t>
      </w:r>
    </w:p>
    <w:tbl>
      <w:tblPr>
        <w:tblStyle w:val="TableGrid"/>
        <w:tblW w:w="8640" w:type="dxa"/>
        <w:jc w:val="center"/>
        <w:tblLayout w:type="fixed"/>
        <w:tblCellMar>
          <w:left w:w="0" w:type="dxa"/>
          <w:right w:w="0" w:type="dxa"/>
        </w:tblCellMar>
        <w:tblLook w:val="04A0" w:firstRow="1" w:lastRow="0" w:firstColumn="1" w:lastColumn="0" w:noHBand="0" w:noVBand="1"/>
      </w:tblPr>
      <w:tblGrid>
        <w:gridCol w:w="488"/>
        <w:gridCol w:w="494"/>
        <w:gridCol w:w="494"/>
        <w:gridCol w:w="1219"/>
        <w:gridCol w:w="1171"/>
        <w:gridCol w:w="1171"/>
        <w:gridCol w:w="1171"/>
        <w:gridCol w:w="1171"/>
        <w:gridCol w:w="1261"/>
      </w:tblGrid>
      <w:tr w:rsidR="009D4A93" w:rsidRPr="00536CFD" w14:paraId="59857587" w14:textId="77777777" w:rsidTr="009D4A93">
        <w:trPr>
          <w:cantSplit/>
          <w:trHeight w:val="24"/>
          <w:jc w:val="center"/>
        </w:trPr>
        <w:tc>
          <w:tcPr>
            <w:tcW w:w="8640" w:type="dxa"/>
            <w:gridSpan w:val="9"/>
            <w:tcBorders>
              <w:top w:val="single" w:sz="4" w:space="0" w:color="auto"/>
              <w:left w:val="single" w:sz="4" w:space="0" w:color="auto"/>
              <w:bottom w:val="single" w:sz="4" w:space="0" w:color="auto"/>
              <w:right w:val="single" w:sz="4" w:space="0" w:color="auto"/>
            </w:tcBorders>
          </w:tcPr>
          <w:p w14:paraId="695AC005" w14:textId="77777777" w:rsidR="009D4A93" w:rsidRPr="00536CFD" w:rsidRDefault="009D4A93" w:rsidP="009D4A93">
            <w:pPr>
              <w:pStyle w:val="ListParagraph"/>
              <w:spacing w:after="0"/>
              <w:ind w:firstLineChars="0" w:firstLine="0"/>
              <w:jc w:val="center"/>
              <w:rPr>
                <w:u w:val="single"/>
              </w:rPr>
            </w:pPr>
          </w:p>
        </w:tc>
      </w:tr>
      <w:tr w:rsidR="009D4A93" w:rsidRPr="00536CFD" w14:paraId="63012E5B" w14:textId="77777777" w:rsidTr="00536CFD">
        <w:trPr>
          <w:cantSplit/>
          <w:trHeight w:val="24"/>
          <w:jc w:val="center"/>
        </w:trPr>
        <w:tc>
          <w:tcPr>
            <w:tcW w:w="488" w:type="dxa"/>
            <w:vMerge w:val="restart"/>
            <w:tcBorders>
              <w:top w:val="single" w:sz="4" w:space="0" w:color="auto"/>
              <w:left w:val="single" w:sz="4" w:space="0" w:color="auto"/>
              <w:bottom w:val="single" w:sz="4" w:space="0" w:color="auto"/>
              <w:right w:val="single" w:sz="4" w:space="0" w:color="auto"/>
            </w:tcBorders>
            <w:textDirection w:val="btLr"/>
          </w:tcPr>
          <w:p w14:paraId="542FC762" w14:textId="2FC4EBE0" w:rsidR="009D4A93" w:rsidRPr="00536CFD" w:rsidRDefault="009D4A93" w:rsidP="00536CFD">
            <w:pPr>
              <w:spacing w:after="0"/>
              <w:ind w:left="113" w:right="113"/>
              <w:jc w:val="center"/>
            </w:pPr>
            <w:r w:rsidRPr="00536CFD">
              <w:t>Tdoc /Source</w:t>
            </w:r>
          </w:p>
        </w:tc>
        <w:tc>
          <w:tcPr>
            <w:tcW w:w="988" w:type="dxa"/>
            <w:gridSpan w:val="2"/>
            <w:vMerge w:val="restart"/>
            <w:tcBorders>
              <w:top w:val="single" w:sz="4" w:space="0" w:color="auto"/>
              <w:left w:val="single" w:sz="4" w:space="0" w:color="auto"/>
              <w:bottom w:val="single" w:sz="4" w:space="0" w:color="auto"/>
              <w:right w:val="single" w:sz="4" w:space="0" w:color="auto"/>
            </w:tcBorders>
          </w:tcPr>
          <w:p w14:paraId="4800EE11" w14:textId="77777777" w:rsidR="009D4A93" w:rsidRPr="00536CFD" w:rsidRDefault="009D4A93" w:rsidP="009D4A93">
            <w:pPr>
              <w:pStyle w:val="ListParagraph"/>
              <w:spacing w:after="0"/>
              <w:ind w:firstLineChars="0" w:firstLine="0"/>
              <w:jc w:val="center"/>
            </w:pPr>
          </w:p>
          <w:p w14:paraId="66B9D87E" w14:textId="77777777" w:rsidR="009D4A93" w:rsidRPr="00536CFD" w:rsidRDefault="009D4A93" w:rsidP="009D4A93">
            <w:pPr>
              <w:pStyle w:val="ListParagraph"/>
              <w:spacing w:after="0"/>
              <w:ind w:firstLineChars="0" w:firstLine="0"/>
              <w:jc w:val="center"/>
            </w:pPr>
            <w:r w:rsidRPr="00536CFD">
              <w:t>Reported parameters</w:t>
            </w:r>
          </w:p>
        </w:tc>
        <w:tc>
          <w:tcPr>
            <w:tcW w:w="2390" w:type="dxa"/>
            <w:gridSpan w:val="2"/>
            <w:tcBorders>
              <w:top w:val="single" w:sz="4" w:space="0" w:color="auto"/>
              <w:left w:val="single" w:sz="4" w:space="0" w:color="auto"/>
              <w:bottom w:val="single" w:sz="4" w:space="0" w:color="auto"/>
              <w:right w:val="single" w:sz="4" w:space="0" w:color="auto"/>
            </w:tcBorders>
            <w:hideMark/>
          </w:tcPr>
          <w:p w14:paraId="02B33D35" w14:textId="77777777" w:rsidR="009D4A93" w:rsidRPr="00536CFD" w:rsidRDefault="009D4A93" w:rsidP="009D4A93">
            <w:pPr>
              <w:pStyle w:val="ListParagraph"/>
              <w:spacing w:after="0"/>
              <w:ind w:firstLineChars="0" w:firstLine="0"/>
              <w:jc w:val="center"/>
              <w:rPr>
                <w:u w:val="single"/>
              </w:rPr>
            </w:pPr>
            <w:r w:rsidRPr="00536CFD">
              <w:rPr>
                <w:u w:val="single"/>
              </w:rPr>
              <w:t>Low load</w:t>
            </w:r>
          </w:p>
          <w:p w14:paraId="313FCF28" w14:textId="77777777" w:rsidR="009D4A93" w:rsidRPr="00536CFD" w:rsidRDefault="009D4A93" w:rsidP="009D4A93">
            <w:pPr>
              <w:pStyle w:val="ListParagraph"/>
              <w:spacing w:after="0"/>
              <w:ind w:firstLineChars="0" w:firstLine="0"/>
              <w:jc w:val="center"/>
              <w:rPr>
                <w:u w:val="single"/>
              </w:rPr>
            </w:pPr>
            <w:r w:rsidRPr="00536CFD">
              <w:t xml:space="preserve">BO range for Wi-Fi in </w:t>
            </w:r>
            <w:r w:rsidRPr="00536CFD">
              <w:br/>
              <w:t xml:space="preserve">WiFi+WiFi: </w:t>
            </w:r>
            <w:r w:rsidRPr="00536CFD">
              <w:rPr>
                <w:rFonts w:eastAsia="MS Mincho"/>
                <w:lang w:eastAsia="ja-JP"/>
              </w:rPr>
              <w:t>10%~25%</w:t>
            </w:r>
          </w:p>
        </w:tc>
        <w:tc>
          <w:tcPr>
            <w:tcW w:w="2342" w:type="dxa"/>
            <w:gridSpan w:val="2"/>
            <w:tcBorders>
              <w:top w:val="single" w:sz="4" w:space="0" w:color="auto"/>
              <w:left w:val="single" w:sz="4" w:space="0" w:color="auto"/>
              <w:bottom w:val="single" w:sz="4" w:space="0" w:color="auto"/>
              <w:right w:val="single" w:sz="4" w:space="0" w:color="auto"/>
            </w:tcBorders>
            <w:hideMark/>
          </w:tcPr>
          <w:p w14:paraId="77FAEE26" w14:textId="77777777" w:rsidR="009D4A93" w:rsidRPr="00536CFD" w:rsidRDefault="009D4A93" w:rsidP="009D4A93">
            <w:pPr>
              <w:pStyle w:val="ListParagraph"/>
              <w:spacing w:after="0"/>
              <w:ind w:firstLineChars="0" w:firstLine="0"/>
              <w:jc w:val="center"/>
              <w:rPr>
                <w:u w:val="single"/>
              </w:rPr>
            </w:pPr>
            <w:r w:rsidRPr="00536CFD">
              <w:rPr>
                <w:u w:val="single"/>
              </w:rPr>
              <w:t>Medium load</w:t>
            </w:r>
          </w:p>
          <w:p w14:paraId="708F169F" w14:textId="77777777" w:rsidR="009D4A93" w:rsidRPr="00536CFD" w:rsidRDefault="009D4A93" w:rsidP="009D4A93">
            <w:pPr>
              <w:pStyle w:val="ListParagraph"/>
              <w:spacing w:after="0"/>
              <w:ind w:firstLineChars="0" w:firstLine="0"/>
              <w:jc w:val="center"/>
              <w:rPr>
                <w:u w:val="single"/>
              </w:rPr>
            </w:pPr>
            <w:r w:rsidRPr="00536CFD">
              <w:t xml:space="preserve">BO range for Wi-Fi in </w:t>
            </w:r>
            <w:r w:rsidRPr="00536CFD">
              <w:br/>
              <w:t xml:space="preserve">WiFi+WiFi: </w:t>
            </w:r>
            <w:r w:rsidRPr="00536CFD">
              <w:rPr>
                <w:rFonts w:eastAsia="MS Mincho"/>
                <w:lang w:eastAsia="ja-JP"/>
              </w:rPr>
              <w:t>35%~50%</w:t>
            </w:r>
          </w:p>
        </w:tc>
        <w:tc>
          <w:tcPr>
            <w:tcW w:w="2432" w:type="dxa"/>
            <w:gridSpan w:val="2"/>
            <w:tcBorders>
              <w:top w:val="single" w:sz="4" w:space="0" w:color="auto"/>
              <w:left w:val="single" w:sz="4" w:space="0" w:color="auto"/>
              <w:bottom w:val="single" w:sz="4" w:space="0" w:color="auto"/>
              <w:right w:val="single" w:sz="4" w:space="0" w:color="auto"/>
            </w:tcBorders>
            <w:hideMark/>
          </w:tcPr>
          <w:p w14:paraId="3C63C47A" w14:textId="77777777" w:rsidR="009D4A93" w:rsidRPr="00536CFD" w:rsidRDefault="009D4A93" w:rsidP="009D4A93">
            <w:pPr>
              <w:pStyle w:val="ListParagraph"/>
              <w:spacing w:after="0"/>
              <w:ind w:firstLineChars="0" w:firstLine="0"/>
              <w:jc w:val="center"/>
              <w:rPr>
                <w:u w:val="single"/>
              </w:rPr>
            </w:pPr>
            <w:r w:rsidRPr="00536CFD">
              <w:rPr>
                <w:u w:val="single"/>
              </w:rPr>
              <w:t>High load</w:t>
            </w:r>
          </w:p>
          <w:p w14:paraId="5A7559C1" w14:textId="77777777" w:rsidR="009D4A93" w:rsidRPr="00536CFD" w:rsidRDefault="009D4A93" w:rsidP="009D4A93">
            <w:pPr>
              <w:pStyle w:val="ListParagraph"/>
              <w:spacing w:after="0"/>
              <w:ind w:firstLineChars="0" w:firstLine="0"/>
              <w:jc w:val="center"/>
              <w:rPr>
                <w:u w:val="single"/>
              </w:rPr>
            </w:pPr>
            <w:r w:rsidRPr="00536CFD">
              <w:t xml:space="preserve">BO range for Wi-Fi in </w:t>
            </w:r>
            <w:r w:rsidRPr="00536CFD">
              <w:br/>
              <w:t>WiFi+WiFi: above 55%</w:t>
            </w:r>
          </w:p>
        </w:tc>
      </w:tr>
      <w:tr w:rsidR="009D4A93" w:rsidRPr="00536CFD" w14:paraId="5E3FF205"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3F5C52D1" w14:textId="77777777" w:rsidR="009D4A93" w:rsidRPr="00536CFD" w:rsidRDefault="009D4A93" w:rsidP="009D4A93">
            <w:pPr>
              <w:spacing w:after="0"/>
              <w:rPr>
                <w:lang w:eastAsia="zh-CN"/>
              </w:rPr>
            </w:pPr>
          </w:p>
        </w:tc>
        <w:tc>
          <w:tcPr>
            <w:tcW w:w="988" w:type="dxa"/>
            <w:gridSpan w:val="2"/>
            <w:vMerge/>
            <w:tcBorders>
              <w:top w:val="single" w:sz="4" w:space="0" w:color="auto"/>
              <w:left w:val="single" w:sz="4" w:space="0" w:color="auto"/>
              <w:bottom w:val="single" w:sz="4" w:space="0" w:color="auto"/>
              <w:right w:val="single" w:sz="4" w:space="0" w:color="auto"/>
            </w:tcBorders>
            <w:vAlign w:val="center"/>
            <w:hideMark/>
          </w:tcPr>
          <w:p w14:paraId="53E1FC22" w14:textId="77777777" w:rsidR="009D4A93" w:rsidRPr="00536CFD" w:rsidRDefault="009D4A93" w:rsidP="009D4A93">
            <w:pPr>
              <w:spacing w:after="0"/>
              <w:rPr>
                <w:lang w:eastAsia="zh-CN"/>
              </w:rPr>
            </w:pPr>
          </w:p>
        </w:tc>
        <w:tc>
          <w:tcPr>
            <w:tcW w:w="1219" w:type="dxa"/>
            <w:tcBorders>
              <w:top w:val="single" w:sz="4" w:space="0" w:color="auto"/>
              <w:left w:val="single" w:sz="4" w:space="0" w:color="auto"/>
              <w:bottom w:val="single" w:sz="4" w:space="0" w:color="auto"/>
              <w:right w:val="single" w:sz="4" w:space="0" w:color="auto"/>
            </w:tcBorders>
            <w:hideMark/>
          </w:tcPr>
          <w:p w14:paraId="1F9286E2" w14:textId="77777777" w:rsidR="009D4A93" w:rsidRPr="00536CFD" w:rsidRDefault="009D4A93" w:rsidP="009D4A93">
            <w:pPr>
              <w:pStyle w:val="ListParagraph"/>
              <w:spacing w:after="0"/>
              <w:ind w:firstLineChars="0" w:firstLine="0"/>
              <w:jc w:val="center"/>
            </w:pPr>
            <w:r w:rsidRPr="00536CFD">
              <w:t>NR-U in</w:t>
            </w:r>
          </w:p>
          <w:p w14:paraId="534D6078" w14:textId="77777777" w:rsidR="009D4A93" w:rsidRPr="00536CFD" w:rsidRDefault="009D4A93" w:rsidP="009D4A93">
            <w:pPr>
              <w:pStyle w:val="ListParagraph"/>
              <w:spacing w:after="0"/>
              <w:ind w:firstLineChars="0" w:firstLine="0"/>
              <w:jc w:val="center"/>
            </w:pPr>
            <w:r w:rsidRPr="00536CFD">
              <w:t>NR-U+</w:t>
            </w:r>
            <w:r w:rsidRPr="00536CFD">
              <w:br/>
              <w:t>NR-U with -82 dBm EDT for NR-U</w:t>
            </w:r>
          </w:p>
        </w:tc>
        <w:tc>
          <w:tcPr>
            <w:tcW w:w="1171" w:type="dxa"/>
            <w:tcBorders>
              <w:top w:val="single" w:sz="4" w:space="0" w:color="auto"/>
              <w:left w:val="single" w:sz="4" w:space="0" w:color="auto"/>
              <w:bottom w:val="single" w:sz="4" w:space="0" w:color="auto"/>
              <w:right w:val="single" w:sz="4" w:space="0" w:color="auto"/>
            </w:tcBorders>
            <w:hideMark/>
          </w:tcPr>
          <w:p w14:paraId="5A7AC9AA" w14:textId="77777777" w:rsidR="009D4A93" w:rsidRPr="00536CFD" w:rsidRDefault="009D4A93" w:rsidP="009D4A93">
            <w:pPr>
              <w:pStyle w:val="ListParagraph"/>
              <w:spacing w:after="0"/>
              <w:ind w:firstLineChars="0" w:firstLine="0"/>
              <w:jc w:val="center"/>
            </w:pPr>
            <w:r w:rsidRPr="00536CFD">
              <w:t>NR-U in</w:t>
            </w:r>
          </w:p>
          <w:p w14:paraId="33975214" w14:textId="77777777" w:rsidR="009D4A93" w:rsidRPr="00536CFD" w:rsidRDefault="009D4A93" w:rsidP="009D4A93">
            <w:pPr>
              <w:pStyle w:val="ListParagraph"/>
              <w:spacing w:after="0"/>
              <w:ind w:firstLineChars="0" w:firstLine="0"/>
              <w:jc w:val="center"/>
            </w:pPr>
            <w:r w:rsidRPr="00536CFD">
              <w:t>NR-U+</w:t>
            </w:r>
            <w:r w:rsidRPr="00536CFD">
              <w:br/>
              <w:t>NR-U with preamble for NR-U</w:t>
            </w:r>
          </w:p>
        </w:tc>
        <w:tc>
          <w:tcPr>
            <w:tcW w:w="1171" w:type="dxa"/>
            <w:tcBorders>
              <w:top w:val="single" w:sz="4" w:space="0" w:color="auto"/>
              <w:left w:val="single" w:sz="4" w:space="0" w:color="auto"/>
              <w:bottom w:val="single" w:sz="4" w:space="0" w:color="auto"/>
              <w:right w:val="single" w:sz="4" w:space="0" w:color="auto"/>
            </w:tcBorders>
            <w:hideMark/>
          </w:tcPr>
          <w:p w14:paraId="4F34A281" w14:textId="77777777" w:rsidR="009D4A93" w:rsidRPr="00536CFD" w:rsidRDefault="009D4A93" w:rsidP="009D4A93">
            <w:pPr>
              <w:pStyle w:val="ListParagraph"/>
              <w:spacing w:after="0"/>
              <w:ind w:firstLineChars="0" w:firstLine="0"/>
              <w:jc w:val="center"/>
            </w:pPr>
            <w:r w:rsidRPr="00536CFD">
              <w:t>NR-U in</w:t>
            </w:r>
          </w:p>
          <w:p w14:paraId="314B1584" w14:textId="77777777" w:rsidR="009D4A93" w:rsidRPr="00536CFD" w:rsidRDefault="009D4A93" w:rsidP="009D4A93">
            <w:pPr>
              <w:pStyle w:val="ListParagraph"/>
              <w:spacing w:after="0"/>
              <w:ind w:firstLineChars="0" w:firstLine="0"/>
              <w:jc w:val="center"/>
            </w:pPr>
            <w:r w:rsidRPr="00536CFD">
              <w:t>NR-U+</w:t>
            </w:r>
            <w:r w:rsidRPr="00536CFD">
              <w:br/>
              <w:t>NR-U with -82 dBm EDT for NR-U</w:t>
            </w:r>
          </w:p>
        </w:tc>
        <w:tc>
          <w:tcPr>
            <w:tcW w:w="1171" w:type="dxa"/>
            <w:tcBorders>
              <w:top w:val="single" w:sz="4" w:space="0" w:color="auto"/>
              <w:left w:val="single" w:sz="4" w:space="0" w:color="auto"/>
              <w:bottom w:val="single" w:sz="4" w:space="0" w:color="auto"/>
              <w:right w:val="single" w:sz="4" w:space="0" w:color="auto"/>
            </w:tcBorders>
            <w:hideMark/>
          </w:tcPr>
          <w:p w14:paraId="28853CF3" w14:textId="77777777" w:rsidR="009D4A93" w:rsidRPr="00536CFD" w:rsidRDefault="009D4A93" w:rsidP="009D4A93">
            <w:pPr>
              <w:pStyle w:val="ListParagraph"/>
              <w:spacing w:after="0"/>
              <w:ind w:firstLineChars="0" w:firstLine="0"/>
              <w:jc w:val="center"/>
            </w:pPr>
            <w:r w:rsidRPr="00536CFD">
              <w:t>NR-U in</w:t>
            </w:r>
          </w:p>
          <w:p w14:paraId="1A800182" w14:textId="77777777" w:rsidR="009D4A93" w:rsidRPr="00536CFD" w:rsidRDefault="009D4A93" w:rsidP="009D4A93">
            <w:pPr>
              <w:pStyle w:val="ListParagraph"/>
              <w:spacing w:after="0"/>
              <w:ind w:firstLineChars="0" w:firstLine="0"/>
              <w:jc w:val="center"/>
            </w:pPr>
            <w:r w:rsidRPr="00536CFD">
              <w:t>NR-U+</w:t>
            </w:r>
            <w:r w:rsidRPr="00536CFD">
              <w:br/>
              <w:t>NR-U with preamble for NR-U</w:t>
            </w:r>
          </w:p>
        </w:tc>
        <w:tc>
          <w:tcPr>
            <w:tcW w:w="1171" w:type="dxa"/>
            <w:tcBorders>
              <w:top w:val="single" w:sz="4" w:space="0" w:color="auto"/>
              <w:left w:val="single" w:sz="4" w:space="0" w:color="auto"/>
              <w:bottom w:val="single" w:sz="4" w:space="0" w:color="auto"/>
              <w:right w:val="single" w:sz="4" w:space="0" w:color="auto"/>
            </w:tcBorders>
            <w:hideMark/>
          </w:tcPr>
          <w:p w14:paraId="3BC699CA" w14:textId="77777777" w:rsidR="009D4A93" w:rsidRPr="00536CFD" w:rsidRDefault="009D4A93" w:rsidP="009D4A93">
            <w:pPr>
              <w:pStyle w:val="ListParagraph"/>
              <w:spacing w:after="0"/>
              <w:ind w:firstLineChars="0" w:firstLine="0"/>
              <w:jc w:val="center"/>
            </w:pPr>
            <w:r w:rsidRPr="00536CFD">
              <w:t>NR-U in</w:t>
            </w:r>
          </w:p>
          <w:p w14:paraId="4D06B1C0" w14:textId="77777777" w:rsidR="009D4A93" w:rsidRPr="00536CFD" w:rsidRDefault="009D4A93" w:rsidP="009D4A93">
            <w:pPr>
              <w:pStyle w:val="ListParagraph"/>
              <w:spacing w:after="0"/>
              <w:ind w:firstLineChars="0" w:firstLine="0"/>
              <w:jc w:val="center"/>
            </w:pPr>
            <w:r w:rsidRPr="00536CFD">
              <w:t>NR-U+</w:t>
            </w:r>
            <w:r w:rsidRPr="00536CFD">
              <w:br/>
              <w:t>NR-U with -82 dBm EDT for NR-U</w:t>
            </w:r>
          </w:p>
        </w:tc>
        <w:tc>
          <w:tcPr>
            <w:tcW w:w="1261" w:type="dxa"/>
            <w:tcBorders>
              <w:top w:val="single" w:sz="4" w:space="0" w:color="auto"/>
              <w:left w:val="single" w:sz="4" w:space="0" w:color="auto"/>
              <w:bottom w:val="single" w:sz="4" w:space="0" w:color="auto"/>
              <w:right w:val="single" w:sz="4" w:space="0" w:color="auto"/>
            </w:tcBorders>
            <w:hideMark/>
          </w:tcPr>
          <w:p w14:paraId="14DDE4A6" w14:textId="77777777" w:rsidR="009D4A93" w:rsidRPr="00536CFD" w:rsidRDefault="009D4A93" w:rsidP="009D4A93">
            <w:pPr>
              <w:pStyle w:val="ListParagraph"/>
              <w:spacing w:after="0"/>
              <w:ind w:firstLineChars="0" w:firstLine="0"/>
              <w:jc w:val="center"/>
            </w:pPr>
            <w:r w:rsidRPr="00536CFD">
              <w:t>NR-U in</w:t>
            </w:r>
          </w:p>
          <w:p w14:paraId="1F997C3D" w14:textId="77777777" w:rsidR="009D4A93" w:rsidRPr="00536CFD" w:rsidRDefault="009D4A93" w:rsidP="009D4A93">
            <w:pPr>
              <w:pStyle w:val="ListParagraph"/>
              <w:spacing w:after="0"/>
              <w:ind w:firstLineChars="0" w:firstLine="0"/>
              <w:jc w:val="center"/>
            </w:pPr>
            <w:r w:rsidRPr="00536CFD">
              <w:t>NR-U+</w:t>
            </w:r>
            <w:r w:rsidRPr="00536CFD">
              <w:br/>
              <w:t>NR-U with preamble for NR-U</w:t>
            </w:r>
          </w:p>
        </w:tc>
      </w:tr>
      <w:tr w:rsidR="009D4A93" w:rsidRPr="00536CFD" w14:paraId="4F3A8417" w14:textId="77777777" w:rsidTr="009D4A93">
        <w:trPr>
          <w:cantSplit/>
          <w:trHeight w:val="24"/>
          <w:jc w:val="center"/>
        </w:trPr>
        <w:tc>
          <w:tcPr>
            <w:tcW w:w="488" w:type="dxa"/>
            <w:vMerge w:val="restart"/>
            <w:tcBorders>
              <w:top w:val="single" w:sz="4" w:space="0" w:color="auto"/>
              <w:left w:val="single" w:sz="4" w:space="0" w:color="auto"/>
              <w:bottom w:val="single" w:sz="4" w:space="0" w:color="auto"/>
              <w:right w:val="single" w:sz="4" w:space="0" w:color="auto"/>
            </w:tcBorders>
            <w:textDirection w:val="btLr"/>
            <w:hideMark/>
          </w:tcPr>
          <w:p w14:paraId="56349D0E" w14:textId="77777777" w:rsidR="009D4A93" w:rsidRPr="00536CFD" w:rsidRDefault="009D4A93" w:rsidP="009D4A93">
            <w:pPr>
              <w:pStyle w:val="ListParagraph"/>
              <w:spacing w:after="0"/>
              <w:ind w:left="113" w:right="113" w:firstLineChars="0" w:firstLine="0"/>
              <w:jc w:val="center"/>
            </w:pPr>
            <w:r w:rsidRPr="00536CFD">
              <w:t>R1-1814074 / Source 5</w:t>
            </w:r>
          </w:p>
        </w:tc>
        <w:tc>
          <w:tcPr>
            <w:tcW w:w="494" w:type="dxa"/>
            <w:vMerge w:val="restart"/>
            <w:tcBorders>
              <w:top w:val="single" w:sz="4" w:space="0" w:color="auto"/>
              <w:left w:val="single" w:sz="4" w:space="0" w:color="auto"/>
              <w:bottom w:val="single" w:sz="4" w:space="0" w:color="auto"/>
              <w:right w:val="single" w:sz="4" w:space="0" w:color="auto"/>
            </w:tcBorders>
            <w:hideMark/>
          </w:tcPr>
          <w:p w14:paraId="3B7A09DD" w14:textId="77777777" w:rsidR="009D4A93" w:rsidRPr="00536CFD" w:rsidRDefault="009D4A93" w:rsidP="009D4A93">
            <w:pPr>
              <w:pStyle w:val="ListParagraph"/>
              <w:spacing w:after="0"/>
              <w:ind w:firstLineChars="0" w:firstLine="0"/>
              <w:jc w:val="center"/>
              <w:rPr>
                <w:b/>
              </w:rPr>
            </w:pPr>
            <w:r w:rsidRPr="00536CFD">
              <w:rPr>
                <w:b/>
              </w:rPr>
              <w:t xml:space="preserve">DL: </w:t>
            </w:r>
          </w:p>
          <w:p w14:paraId="53D92CB7" w14:textId="77777777" w:rsidR="009D4A93" w:rsidRPr="00536CFD" w:rsidRDefault="009D4A93" w:rsidP="009D4A93">
            <w:pPr>
              <w:pStyle w:val="ListParagraph"/>
              <w:spacing w:after="0"/>
              <w:ind w:firstLineChars="0" w:firstLine="0"/>
              <w:jc w:val="center"/>
            </w:pPr>
            <w:r w:rsidRPr="00536CFD">
              <w:t>UPT CDF</w:t>
            </w:r>
          </w:p>
          <w:p w14:paraId="4D95429E" w14:textId="77777777" w:rsidR="009D4A93" w:rsidRPr="00536CFD" w:rsidRDefault="009D4A93" w:rsidP="009D4A93">
            <w:pPr>
              <w:pStyle w:val="ListParagraph"/>
              <w:spacing w:after="0"/>
              <w:ind w:firstLineChars="0" w:firstLine="0"/>
              <w:jc w:val="center"/>
            </w:pPr>
            <w:r w:rsidRPr="00536CFD">
              <w:t>[Mbps]</w:t>
            </w:r>
          </w:p>
        </w:tc>
        <w:tc>
          <w:tcPr>
            <w:tcW w:w="494" w:type="dxa"/>
            <w:tcBorders>
              <w:top w:val="single" w:sz="4" w:space="0" w:color="auto"/>
              <w:left w:val="single" w:sz="4" w:space="0" w:color="auto"/>
              <w:bottom w:val="single" w:sz="4" w:space="0" w:color="auto"/>
              <w:right w:val="single" w:sz="4" w:space="0" w:color="auto"/>
            </w:tcBorders>
            <w:hideMark/>
          </w:tcPr>
          <w:p w14:paraId="722994F1" w14:textId="77777777" w:rsidR="009D4A93" w:rsidRPr="00536CFD" w:rsidRDefault="009D4A93" w:rsidP="009D4A93">
            <w:pPr>
              <w:pStyle w:val="ListParagraph"/>
              <w:spacing w:after="0"/>
              <w:ind w:firstLineChars="0" w:firstLine="0"/>
              <w:jc w:val="center"/>
            </w:pPr>
            <w:r w:rsidRPr="00536CFD">
              <w:t>5%</w:t>
            </w:r>
          </w:p>
        </w:tc>
        <w:tc>
          <w:tcPr>
            <w:tcW w:w="1219" w:type="dxa"/>
            <w:tcBorders>
              <w:top w:val="single" w:sz="4" w:space="0" w:color="auto"/>
              <w:left w:val="single" w:sz="4" w:space="0" w:color="auto"/>
              <w:bottom w:val="single" w:sz="4" w:space="0" w:color="auto"/>
              <w:right w:val="single" w:sz="4" w:space="0" w:color="auto"/>
            </w:tcBorders>
            <w:vAlign w:val="center"/>
            <w:hideMark/>
          </w:tcPr>
          <w:p w14:paraId="4043D0D2" w14:textId="77777777" w:rsidR="009D4A93" w:rsidRPr="00536CFD" w:rsidRDefault="009D4A93" w:rsidP="009D4A93">
            <w:pPr>
              <w:pStyle w:val="BodyText"/>
              <w:spacing w:after="0"/>
              <w:jc w:val="center"/>
            </w:pPr>
            <w:r w:rsidRPr="00536CFD">
              <w:t>7.381</w:t>
            </w:r>
          </w:p>
        </w:tc>
        <w:tc>
          <w:tcPr>
            <w:tcW w:w="1171" w:type="dxa"/>
            <w:tcBorders>
              <w:top w:val="single" w:sz="4" w:space="0" w:color="auto"/>
              <w:left w:val="single" w:sz="4" w:space="0" w:color="auto"/>
              <w:bottom w:val="single" w:sz="4" w:space="0" w:color="auto"/>
              <w:right w:val="single" w:sz="4" w:space="0" w:color="auto"/>
            </w:tcBorders>
            <w:hideMark/>
          </w:tcPr>
          <w:p w14:paraId="04AED817" w14:textId="77777777" w:rsidR="009D4A93" w:rsidRPr="00536CFD" w:rsidRDefault="009D4A93" w:rsidP="009D4A93">
            <w:pPr>
              <w:pStyle w:val="BodyText"/>
              <w:spacing w:after="0"/>
              <w:jc w:val="center"/>
            </w:pPr>
            <w:r w:rsidRPr="00536CFD">
              <w:t>7.145</w:t>
            </w:r>
          </w:p>
        </w:tc>
        <w:tc>
          <w:tcPr>
            <w:tcW w:w="1171" w:type="dxa"/>
            <w:tcBorders>
              <w:top w:val="single" w:sz="4" w:space="0" w:color="auto"/>
              <w:left w:val="single" w:sz="4" w:space="0" w:color="auto"/>
              <w:bottom w:val="single" w:sz="4" w:space="0" w:color="auto"/>
              <w:right w:val="single" w:sz="4" w:space="0" w:color="auto"/>
            </w:tcBorders>
            <w:vAlign w:val="center"/>
            <w:hideMark/>
          </w:tcPr>
          <w:p w14:paraId="42A4AEFD" w14:textId="77777777" w:rsidR="009D4A93" w:rsidRPr="00536CFD" w:rsidRDefault="009D4A93" w:rsidP="009D4A93">
            <w:pPr>
              <w:pStyle w:val="BodyText"/>
              <w:spacing w:after="0"/>
              <w:jc w:val="center"/>
            </w:pPr>
            <w:r w:rsidRPr="00536CFD">
              <w:t>7.594</w:t>
            </w:r>
          </w:p>
        </w:tc>
        <w:tc>
          <w:tcPr>
            <w:tcW w:w="1171" w:type="dxa"/>
            <w:tcBorders>
              <w:top w:val="single" w:sz="4" w:space="0" w:color="auto"/>
              <w:left w:val="single" w:sz="4" w:space="0" w:color="auto"/>
              <w:bottom w:val="single" w:sz="4" w:space="0" w:color="auto"/>
              <w:right w:val="single" w:sz="4" w:space="0" w:color="auto"/>
            </w:tcBorders>
            <w:vAlign w:val="center"/>
            <w:hideMark/>
          </w:tcPr>
          <w:p w14:paraId="42DA086F" w14:textId="77777777" w:rsidR="009D4A93" w:rsidRPr="00536CFD" w:rsidRDefault="009D4A93" w:rsidP="009D4A93">
            <w:pPr>
              <w:pStyle w:val="BodyText"/>
              <w:spacing w:after="0"/>
              <w:jc w:val="center"/>
            </w:pPr>
            <w:r w:rsidRPr="00536CFD">
              <w:t>5.92</w:t>
            </w:r>
          </w:p>
        </w:tc>
        <w:tc>
          <w:tcPr>
            <w:tcW w:w="1171" w:type="dxa"/>
            <w:tcBorders>
              <w:top w:val="single" w:sz="4" w:space="0" w:color="auto"/>
              <w:left w:val="single" w:sz="4" w:space="0" w:color="auto"/>
              <w:bottom w:val="single" w:sz="4" w:space="0" w:color="auto"/>
              <w:right w:val="single" w:sz="4" w:space="0" w:color="auto"/>
            </w:tcBorders>
            <w:vAlign w:val="center"/>
            <w:hideMark/>
          </w:tcPr>
          <w:p w14:paraId="41827313" w14:textId="77777777" w:rsidR="009D4A93" w:rsidRPr="00536CFD" w:rsidRDefault="009D4A93" w:rsidP="009D4A93">
            <w:pPr>
              <w:pStyle w:val="BodyText"/>
              <w:spacing w:after="0"/>
              <w:jc w:val="center"/>
            </w:pPr>
            <w:r w:rsidRPr="00536CFD">
              <w:t>2.152</w:t>
            </w:r>
          </w:p>
        </w:tc>
        <w:tc>
          <w:tcPr>
            <w:tcW w:w="1261" w:type="dxa"/>
            <w:tcBorders>
              <w:top w:val="single" w:sz="4" w:space="0" w:color="auto"/>
              <w:left w:val="single" w:sz="4" w:space="0" w:color="auto"/>
              <w:bottom w:val="single" w:sz="4" w:space="0" w:color="auto"/>
              <w:right w:val="single" w:sz="4" w:space="0" w:color="auto"/>
            </w:tcBorders>
            <w:hideMark/>
          </w:tcPr>
          <w:p w14:paraId="44857732" w14:textId="77777777" w:rsidR="009D4A93" w:rsidRPr="00536CFD" w:rsidRDefault="009D4A93" w:rsidP="009D4A93">
            <w:pPr>
              <w:pStyle w:val="BodyText"/>
              <w:spacing w:after="0"/>
              <w:jc w:val="center"/>
            </w:pPr>
            <w:r w:rsidRPr="00536CFD">
              <w:t>0.838</w:t>
            </w:r>
          </w:p>
        </w:tc>
      </w:tr>
      <w:tr w:rsidR="009D4A93" w:rsidRPr="00536CFD" w14:paraId="6A27C2EA"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12EA58C6"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435C656B"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4AAB8A45" w14:textId="77777777" w:rsidR="009D4A93" w:rsidRPr="00536CFD" w:rsidRDefault="009D4A93" w:rsidP="009D4A93">
            <w:pPr>
              <w:pStyle w:val="ListParagraph"/>
              <w:spacing w:after="0"/>
              <w:ind w:firstLineChars="0" w:firstLine="0"/>
              <w:jc w:val="center"/>
            </w:pPr>
            <w:r w:rsidRPr="00536CFD">
              <w:t>50%</w:t>
            </w:r>
          </w:p>
        </w:tc>
        <w:tc>
          <w:tcPr>
            <w:tcW w:w="1219" w:type="dxa"/>
            <w:tcBorders>
              <w:top w:val="single" w:sz="4" w:space="0" w:color="auto"/>
              <w:left w:val="single" w:sz="4" w:space="0" w:color="auto"/>
              <w:bottom w:val="single" w:sz="4" w:space="0" w:color="auto"/>
              <w:right w:val="single" w:sz="4" w:space="0" w:color="auto"/>
            </w:tcBorders>
            <w:vAlign w:val="center"/>
            <w:hideMark/>
          </w:tcPr>
          <w:p w14:paraId="31E44F16" w14:textId="77777777" w:rsidR="009D4A93" w:rsidRPr="00536CFD" w:rsidRDefault="009D4A93" w:rsidP="009D4A93">
            <w:pPr>
              <w:pStyle w:val="BodyText"/>
              <w:spacing w:after="0"/>
              <w:jc w:val="center"/>
            </w:pPr>
            <w:r w:rsidRPr="00536CFD">
              <w:t>64.293</w:t>
            </w:r>
          </w:p>
        </w:tc>
        <w:tc>
          <w:tcPr>
            <w:tcW w:w="1171" w:type="dxa"/>
            <w:tcBorders>
              <w:top w:val="single" w:sz="4" w:space="0" w:color="auto"/>
              <w:left w:val="single" w:sz="4" w:space="0" w:color="auto"/>
              <w:bottom w:val="single" w:sz="4" w:space="0" w:color="auto"/>
              <w:right w:val="single" w:sz="4" w:space="0" w:color="auto"/>
            </w:tcBorders>
            <w:hideMark/>
          </w:tcPr>
          <w:p w14:paraId="1EBAC68D" w14:textId="77777777" w:rsidR="009D4A93" w:rsidRPr="00536CFD" w:rsidRDefault="009D4A93" w:rsidP="009D4A93">
            <w:pPr>
              <w:pStyle w:val="BodyText"/>
              <w:spacing w:after="0"/>
              <w:jc w:val="center"/>
            </w:pPr>
            <w:r w:rsidRPr="00536CFD">
              <w:t>64.227</w:t>
            </w:r>
          </w:p>
        </w:tc>
        <w:tc>
          <w:tcPr>
            <w:tcW w:w="1171" w:type="dxa"/>
            <w:tcBorders>
              <w:top w:val="single" w:sz="4" w:space="0" w:color="auto"/>
              <w:left w:val="single" w:sz="4" w:space="0" w:color="auto"/>
              <w:bottom w:val="single" w:sz="4" w:space="0" w:color="auto"/>
              <w:right w:val="single" w:sz="4" w:space="0" w:color="auto"/>
            </w:tcBorders>
            <w:vAlign w:val="center"/>
            <w:hideMark/>
          </w:tcPr>
          <w:p w14:paraId="7E5FD49A" w14:textId="77777777" w:rsidR="009D4A93" w:rsidRPr="00536CFD" w:rsidRDefault="009D4A93" w:rsidP="009D4A93">
            <w:pPr>
              <w:pStyle w:val="BodyText"/>
              <w:spacing w:after="0"/>
              <w:jc w:val="center"/>
            </w:pPr>
            <w:r w:rsidRPr="00536CFD">
              <w:t>42.450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3D6C1FCA" w14:textId="77777777" w:rsidR="009D4A93" w:rsidRPr="00536CFD" w:rsidRDefault="009D4A93" w:rsidP="009D4A93">
            <w:pPr>
              <w:pStyle w:val="BodyText"/>
              <w:spacing w:after="0"/>
              <w:jc w:val="center"/>
            </w:pPr>
            <w:r w:rsidRPr="00536CFD">
              <w:t>41.796</w:t>
            </w:r>
          </w:p>
        </w:tc>
        <w:tc>
          <w:tcPr>
            <w:tcW w:w="1171" w:type="dxa"/>
            <w:tcBorders>
              <w:top w:val="single" w:sz="4" w:space="0" w:color="auto"/>
              <w:left w:val="single" w:sz="4" w:space="0" w:color="auto"/>
              <w:bottom w:val="single" w:sz="4" w:space="0" w:color="auto"/>
              <w:right w:val="single" w:sz="4" w:space="0" w:color="auto"/>
            </w:tcBorders>
            <w:vAlign w:val="center"/>
            <w:hideMark/>
          </w:tcPr>
          <w:p w14:paraId="780C6E5B" w14:textId="77777777" w:rsidR="009D4A93" w:rsidRPr="00536CFD" w:rsidRDefault="009D4A93" w:rsidP="009D4A93">
            <w:pPr>
              <w:pStyle w:val="BodyText"/>
              <w:spacing w:after="0"/>
              <w:jc w:val="center"/>
            </w:pPr>
            <w:r w:rsidRPr="00536CFD">
              <w:t>26.792</w:t>
            </w:r>
          </w:p>
        </w:tc>
        <w:tc>
          <w:tcPr>
            <w:tcW w:w="1261" w:type="dxa"/>
            <w:tcBorders>
              <w:top w:val="single" w:sz="4" w:space="0" w:color="auto"/>
              <w:left w:val="single" w:sz="4" w:space="0" w:color="auto"/>
              <w:bottom w:val="single" w:sz="4" w:space="0" w:color="auto"/>
              <w:right w:val="single" w:sz="4" w:space="0" w:color="auto"/>
            </w:tcBorders>
            <w:hideMark/>
          </w:tcPr>
          <w:p w14:paraId="0FF2A16E" w14:textId="77777777" w:rsidR="009D4A93" w:rsidRPr="00536CFD" w:rsidRDefault="009D4A93" w:rsidP="009D4A93">
            <w:pPr>
              <w:pStyle w:val="BodyText"/>
              <w:spacing w:after="0"/>
              <w:jc w:val="center"/>
            </w:pPr>
            <w:r w:rsidRPr="00536CFD">
              <w:t>19.590</w:t>
            </w:r>
          </w:p>
        </w:tc>
      </w:tr>
      <w:tr w:rsidR="009D4A93" w:rsidRPr="00536CFD" w14:paraId="7246827C"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126D6F91"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0B5DB804"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2569169F" w14:textId="77777777" w:rsidR="009D4A93" w:rsidRPr="00536CFD" w:rsidRDefault="009D4A93" w:rsidP="009D4A93">
            <w:pPr>
              <w:pStyle w:val="ListParagraph"/>
              <w:spacing w:after="0"/>
              <w:ind w:firstLineChars="0" w:firstLine="0"/>
              <w:jc w:val="center"/>
            </w:pPr>
            <w:r w:rsidRPr="00536CFD">
              <w:t>95%</w:t>
            </w:r>
          </w:p>
        </w:tc>
        <w:tc>
          <w:tcPr>
            <w:tcW w:w="1219" w:type="dxa"/>
            <w:tcBorders>
              <w:top w:val="single" w:sz="4" w:space="0" w:color="auto"/>
              <w:left w:val="single" w:sz="4" w:space="0" w:color="auto"/>
              <w:bottom w:val="single" w:sz="4" w:space="0" w:color="auto"/>
              <w:right w:val="single" w:sz="4" w:space="0" w:color="auto"/>
            </w:tcBorders>
            <w:vAlign w:val="center"/>
            <w:hideMark/>
          </w:tcPr>
          <w:p w14:paraId="4B9588D5" w14:textId="77777777" w:rsidR="009D4A93" w:rsidRPr="00536CFD" w:rsidRDefault="009D4A93" w:rsidP="009D4A93">
            <w:pPr>
              <w:pStyle w:val="BodyText"/>
              <w:spacing w:after="0"/>
              <w:jc w:val="center"/>
            </w:pPr>
            <w:r w:rsidRPr="00536CFD">
              <w:t>74.074</w:t>
            </w:r>
          </w:p>
        </w:tc>
        <w:tc>
          <w:tcPr>
            <w:tcW w:w="1171" w:type="dxa"/>
            <w:tcBorders>
              <w:top w:val="single" w:sz="4" w:space="0" w:color="auto"/>
              <w:left w:val="single" w:sz="4" w:space="0" w:color="auto"/>
              <w:bottom w:val="single" w:sz="4" w:space="0" w:color="auto"/>
              <w:right w:val="single" w:sz="4" w:space="0" w:color="auto"/>
            </w:tcBorders>
            <w:hideMark/>
          </w:tcPr>
          <w:p w14:paraId="42AF40A0" w14:textId="77777777" w:rsidR="009D4A93" w:rsidRPr="00536CFD" w:rsidRDefault="009D4A93" w:rsidP="009D4A93">
            <w:pPr>
              <w:pStyle w:val="BodyText"/>
              <w:spacing w:after="0"/>
              <w:jc w:val="center"/>
            </w:pPr>
            <w:r w:rsidRPr="00536CFD">
              <w:t>74.017</w:t>
            </w:r>
          </w:p>
        </w:tc>
        <w:tc>
          <w:tcPr>
            <w:tcW w:w="1171" w:type="dxa"/>
            <w:tcBorders>
              <w:top w:val="single" w:sz="4" w:space="0" w:color="auto"/>
              <w:left w:val="single" w:sz="4" w:space="0" w:color="auto"/>
              <w:bottom w:val="single" w:sz="4" w:space="0" w:color="auto"/>
              <w:right w:val="single" w:sz="4" w:space="0" w:color="auto"/>
            </w:tcBorders>
            <w:vAlign w:val="center"/>
            <w:hideMark/>
          </w:tcPr>
          <w:p w14:paraId="584F0D85" w14:textId="77777777" w:rsidR="009D4A93" w:rsidRPr="00536CFD" w:rsidRDefault="009D4A93" w:rsidP="009D4A93">
            <w:pPr>
              <w:pStyle w:val="BodyText"/>
              <w:spacing w:after="0"/>
              <w:jc w:val="center"/>
            </w:pPr>
            <w:r w:rsidRPr="00536CFD">
              <w:t>72.321</w:t>
            </w:r>
          </w:p>
        </w:tc>
        <w:tc>
          <w:tcPr>
            <w:tcW w:w="1171" w:type="dxa"/>
            <w:tcBorders>
              <w:top w:val="single" w:sz="4" w:space="0" w:color="auto"/>
              <w:left w:val="single" w:sz="4" w:space="0" w:color="auto"/>
              <w:bottom w:val="single" w:sz="4" w:space="0" w:color="auto"/>
              <w:right w:val="single" w:sz="4" w:space="0" w:color="auto"/>
            </w:tcBorders>
            <w:vAlign w:val="center"/>
            <w:hideMark/>
          </w:tcPr>
          <w:p w14:paraId="6BC68786" w14:textId="77777777" w:rsidR="009D4A93" w:rsidRPr="00536CFD" w:rsidRDefault="009D4A93" w:rsidP="009D4A93">
            <w:pPr>
              <w:pStyle w:val="BodyText"/>
              <w:spacing w:after="0"/>
              <w:jc w:val="center"/>
            </w:pPr>
            <w:r w:rsidRPr="00536CFD">
              <w:t>73.868</w:t>
            </w:r>
          </w:p>
        </w:tc>
        <w:tc>
          <w:tcPr>
            <w:tcW w:w="1171" w:type="dxa"/>
            <w:tcBorders>
              <w:top w:val="single" w:sz="4" w:space="0" w:color="auto"/>
              <w:left w:val="single" w:sz="4" w:space="0" w:color="auto"/>
              <w:bottom w:val="single" w:sz="4" w:space="0" w:color="auto"/>
              <w:right w:val="single" w:sz="4" w:space="0" w:color="auto"/>
            </w:tcBorders>
            <w:vAlign w:val="center"/>
            <w:hideMark/>
          </w:tcPr>
          <w:p w14:paraId="3A4A0236" w14:textId="77777777" w:rsidR="009D4A93" w:rsidRPr="00536CFD" w:rsidRDefault="009D4A93" w:rsidP="009D4A93">
            <w:pPr>
              <w:pStyle w:val="BodyText"/>
              <w:spacing w:after="0"/>
              <w:jc w:val="center"/>
            </w:pPr>
            <w:r w:rsidRPr="00536CFD">
              <w:t>73.921</w:t>
            </w:r>
          </w:p>
        </w:tc>
        <w:tc>
          <w:tcPr>
            <w:tcW w:w="1261" w:type="dxa"/>
            <w:tcBorders>
              <w:top w:val="single" w:sz="4" w:space="0" w:color="auto"/>
              <w:left w:val="single" w:sz="4" w:space="0" w:color="auto"/>
              <w:bottom w:val="single" w:sz="4" w:space="0" w:color="auto"/>
              <w:right w:val="single" w:sz="4" w:space="0" w:color="auto"/>
            </w:tcBorders>
            <w:hideMark/>
          </w:tcPr>
          <w:p w14:paraId="4443A610" w14:textId="77777777" w:rsidR="009D4A93" w:rsidRPr="00536CFD" w:rsidRDefault="009D4A93" w:rsidP="009D4A93">
            <w:pPr>
              <w:pStyle w:val="BodyText"/>
              <w:spacing w:after="0"/>
              <w:jc w:val="center"/>
            </w:pPr>
            <w:r w:rsidRPr="00536CFD">
              <w:t>73.523</w:t>
            </w:r>
          </w:p>
        </w:tc>
      </w:tr>
      <w:tr w:rsidR="009D4A93" w:rsidRPr="00536CFD" w14:paraId="77AB0136"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1608C49D"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696B6E5C"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5975A985" w14:textId="77777777" w:rsidR="009D4A93" w:rsidRPr="00536CFD" w:rsidRDefault="009D4A93" w:rsidP="009D4A93">
            <w:pPr>
              <w:pStyle w:val="ListParagraph"/>
              <w:spacing w:after="0"/>
              <w:ind w:firstLineChars="0" w:firstLine="0"/>
              <w:jc w:val="center"/>
            </w:pPr>
            <w:r w:rsidRPr="00536CFD">
              <w:t>Mean</w:t>
            </w:r>
          </w:p>
        </w:tc>
        <w:tc>
          <w:tcPr>
            <w:tcW w:w="1219" w:type="dxa"/>
            <w:tcBorders>
              <w:top w:val="single" w:sz="4" w:space="0" w:color="auto"/>
              <w:left w:val="single" w:sz="4" w:space="0" w:color="auto"/>
              <w:bottom w:val="single" w:sz="4" w:space="0" w:color="auto"/>
              <w:right w:val="single" w:sz="4" w:space="0" w:color="auto"/>
            </w:tcBorders>
            <w:hideMark/>
          </w:tcPr>
          <w:p w14:paraId="11F534F3" w14:textId="77777777" w:rsidR="009D4A93" w:rsidRPr="00536CFD" w:rsidRDefault="009D4A93" w:rsidP="009D4A93">
            <w:pPr>
              <w:pStyle w:val="ListParagraph"/>
              <w:spacing w:after="0"/>
              <w:ind w:firstLineChars="0" w:firstLine="0"/>
              <w:jc w:val="center"/>
            </w:pPr>
            <w:r w:rsidRPr="00536CFD">
              <w:t>55.454</w:t>
            </w:r>
          </w:p>
        </w:tc>
        <w:tc>
          <w:tcPr>
            <w:tcW w:w="1171" w:type="dxa"/>
            <w:tcBorders>
              <w:top w:val="single" w:sz="4" w:space="0" w:color="auto"/>
              <w:left w:val="single" w:sz="4" w:space="0" w:color="auto"/>
              <w:bottom w:val="single" w:sz="4" w:space="0" w:color="auto"/>
              <w:right w:val="single" w:sz="4" w:space="0" w:color="auto"/>
            </w:tcBorders>
            <w:hideMark/>
          </w:tcPr>
          <w:p w14:paraId="06FD1BC2" w14:textId="77777777" w:rsidR="009D4A93" w:rsidRPr="00536CFD" w:rsidRDefault="009D4A93" w:rsidP="009D4A93">
            <w:pPr>
              <w:pStyle w:val="ListParagraph"/>
              <w:spacing w:after="0"/>
              <w:ind w:firstLineChars="0" w:firstLine="0"/>
              <w:jc w:val="center"/>
            </w:pPr>
            <w:r w:rsidRPr="00536CFD">
              <w:t>55.155</w:t>
            </w:r>
          </w:p>
        </w:tc>
        <w:tc>
          <w:tcPr>
            <w:tcW w:w="1171" w:type="dxa"/>
            <w:tcBorders>
              <w:top w:val="single" w:sz="4" w:space="0" w:color="auto"/>
              <w:left w:val="single" w:sz="4" w:space="0" w:color="auto"/>
              <w:bottom w:val="single" w:sz="4" w:space="0" w:color="auto"/>
              <w:right w:val="single" w:sz="4" w:space="0" w:color="auto"/>
            </w:tcBorders>
            <w:hideMark/>
          </w:tcPr>
          <w:p w14:paraId="371E8DE9" w14:textId="77777777" w:rsidR="009D4A93" w:rsidRPr="00536CFD" w:rsidRDefault="009D4A93" w:rsidP="009D4A93">
            <w:pPr>
              <w:pStyle w:val="ListParagraph"/>
              <w:spacing w:after="0"/>
              <w:ind w:firstLineChars="0" w:firstLine="0"/>
              <w:jc w:val="center"/>
            </w:pPr>
            <w:r w:rsidRPr="00536CFD">
              <w:t>41.821</w:t>
            </w:r>
          </w:p>
        </w:tc>
        <w:tc>
          <w:tcPr>
            <w:tcW w:w="1171" w:type="dxa"/>
            <w:tcBorders>
              <w:top w:val="single" w:sz="4" w:space="0" w:color="auto"/>
              <w:left w:val="single" w:sz="4" w:space="0" w:color="auto"/>
              <w:bottom w:val="single" w:sz="4" w:space="0" w:color="auto"/>
              <w:right w:val="single" w:sz="4" w:space="0" w:color="auto"/>
            </w:tcBorders>
            <w:hideMark/>
          </w:tcPr>
          <w:p w14:paraId="2A36F279" w14:textId="77777777" w:rsidR="009D4A93" w:rsidRPr="00536CFD" w:rsidRDefault="009D4A93" w:rsidP="009D4A93">
            <w:pPr>
              <w:pStyle w:val="ListParagraph"/>
              <w:spacing w:after="0"/>
              <w:ind w:firstLineChars="0" w:firstLine="0"/>
              <w:jc w:val="center"/>
            </w:pPr>
            <w:r w:rsidRPr="00536CFD">
              <w:t>40.578</w:t>
            </w:r>
          </w:p>
        </w:tc>
        <w:tc>
          <w:tcPr>
            <w:tcW w:w="1171" w:type="dxa"/>
            <w:tcBorders>
              <w:top w:val="single" w:sz="4" w:space="0" w:color="auto"/>
              <w:left w:val="single" w:sz="4" w:space="0" w:color="auto"/>
              <w:bottom w:val="single" w:sz="4" w:space="0" w:color="auto"/>
              <w:right w:val="single" w:sz="4" w:space="0" w:color="auto"/>
            </w:tcBorders>
            <w:hideMark/>
          </w:tcPr>
          <w:p w14:paraId="1900C2BB" w14:textId="77777777" w:rsidR="009D4A93" w:rsidRPr="00536CFD" w:rsidRDefault="009D4A93" w:rsidP="009D4A93">
            <w:pPr>
              <w:pStyle w:val="ListParagraph"/>
              <w:spacing w:after="0"/>
              <w:ind w:firstLineChars="0" w:firstLine="0"/>
              <w:jc w:val="center"/>
            </w:pPr>
            <w:r w:rsidRPr="00536CFD">
              <w:t>30.035</w:t>
            </w:r>
          </w:p>
        </w:tc>
        <w:tc>
          <w:tcPr>
            <w:tcW w:w="1261" w:type="dxa"/>
            <w:tcBorders>
              <w:top w:val="single" w:sz="4" w:space="0" w:color="auto"/>
              <w:left w:val="single" w:sz="4" w:space="0" w:color="auto"/>
              <w:bottom w:val="single" w:sz="4" w:space="0" w:color="auto"/>
              <w:right w:val="single" w:sz="4" w:space="0" w:color="auto"/>
            </w:tcBorders>
            <w:hideMark/>
          </w:tcPr>
          <w:p w14:paraId="4D3B514E" w14:textId="77777777" w:rsidR="009D4A93" w:rsidRPr="00536CFD" w:rsidRDefault="009D4A93" w:rsidP="009D4A93">
            <w:pPr>
              <w:pStyle w:val="ListParagraph"/>
              <w:spacing w:after="0"/>
              <w:ind w:firstLineChars="0" w:firstLine="0"/>
              <w:jc w:val="center"/>
            </w:pPr>
            <w:r w:rsidRPr="00536CFD">
              <w:t>25.640</w:t>
            </w:r>
          </w:p>
        </w:tc>
      </w:tr>
      <w:tr w:rsidR="009D4A93" w:rsidRPr="00536CFD" w14:paraId="4EAEB52B"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765A79B0" w14:textId="77777777" w:rsidR="009D4A93" w:rsidRPr="00536CFD" w:rsidRDefault="009D4A93" w:rsidP="009D4A93">
            <w:pPr>
              <w:spacing w:after="0"/>
              <w:rPr>
                <w:lang w:eastAsia="zh-CN"/>
              </w:rPr>
            </w:pPr>
          </w:p>
        </w:tc>
        <w:tc>
          <w:tcPr>
            <w:tcW w:w="494" w:type="dxa"/>
            <w:vMerge w:val="restart"/>
            <w:tcBorders>
              <w:top w:val="single" w:sz="4" w:space="0" w:color="auto"/>
              <w:left w:val="single" w:sz="4" w:space="0" w:color="auto"/>
              <w:bottom w:val="single" w:sz="4" w:space="0" w:color="auto"/>
              <w:right w:val="single" w:sz="4" w:space="0" w:color="auto"/>
            </w:tcBorders>
            <w:hideMark/>
          </w:tcPr>
          <w:p w14:paraId="07FB458F" w14:textId="77777777" w:rsidR="009D4A93" w:rsidRPr="00536CFD" w:rsidRDefault="009D4A93" w:rsidP="009D4A93">
            <w:pPr>
              <w:pStyle w:val="ListParagraph"/>
              <w:spacing w:after="0"/>
              <w:ind w:firstLineChars="0" w:firstLine="0"/>
              <w:jc w:val="center"/>
            </w:pPr>
            <w:r w:rsidRPr="00536CFD">
              <w:rPr>
                <w:b/>
              </w:rPr>
              <w:t>DL:</w:t>
            </w:r>
          </w:p>
          <w:p w14:paraId="4DA832B9" w14:textId="77777777" w:rsidR="009D4A93" w:rsidRPr="00536CFD" w:rsidRDefault="009D4A93" w:rsidP="009D4A93">
            <w:pPr>
              <w:pStyle w:val="ListParagraph"/>
              <w:spacing w:after="0"/>
              <w:ind w:firstLineChars="0" w:firstLine="0"/>
              <w:jc w:val="center"/>
            </w:pPr>
            <w:r w:rsidRPr="00536CFD">
              <w:t>Delay CDF</w:t>
            </w:r>
          </w:p>
          <w:p w14:paraId="48AED0C1" w14:textId="77777777" w:rsidR="009D4A93" w:rsidRPr="00536CFD" w:rsidRDefault="009D4A93" w:rsidP="009D4A93">
            <w:pPr>
              <w:pStyle w:val="ListParagraph"/>
              <w:spacing w:after="0"/>
              <w:ind w:firstLineChars="0" w:firstLine="0"/>
              <w:jc w:val="center"/>
            </w:pPr>
            <w:r w:rsidRPr="00536CFD">
              <w:t>[s]</w:t>
            </w:r>
          </w:p>
        </w:tc>
        <w:tc>
          <w:tcPr>
            <w:tcW w:w="494" w:type="dxa"/>
            <w:tcBorders>
              <w:top w:val="single" w:sz="4" w:space="0" w:color="auto"/>
              <w:left w:val="single" w:sz="4" w:space="0" w:color="auto"/>
              <w:bottom w:val="single" w:sz="4" w:space="0" w:color="auto"/>
              <w:right w:val="single" w:sz="4" w:space="0" w:color="auto"/>
            </w:tcBorders>
            <w:hideMark/>
          </w:tcPr>
          <w:p w14:paraId="758B4504" w14:textId="77777777" w:rsidR="009D4A93" w:rsidRPr="00536CFD" w:rsidRDefault="009D4A93" w:rsidP="009D4A93">
            <w:pPr>
              <w:pStyle w:val="ListParagraph"/>
              <w:spacing w:after="0"/>
              <w:ind w:firstLineChars="0" w:firstLine="0"/>
              <w:jc w:val="center"/>
            </w:pPr>
            <w:r w:rsidRPr="00536CFD">
              <w:t>5%</w:t>
            </w:r>
          </w:p>
        </w:tc>
        <w:tc>
          <w:tcPr>
            <w:tcW w:w="1219" w:type="dxa"/>
            <w:tcBorders>
              <w:top w:val="single" w:sz="4" w:space="0" w:color="auto"/>
              <w:left w:val="single" w:sz="4" w:space="0" w:color="auto"/>
              <w:bottom w:val="single" w:sz="4" w:space="0" w:color="auto"/>
              <w:right w:val="single" w:sz="4" w:space="0" w:color="auto"/>
            </w:tcBorders>
            <w:vAlign w:val="center"/>
            <w:hideMark/>
          </w:tcPr>
          <w:p w14:paraId="7AE3A089" w14:textId="77777777" w:rsidR="009D4A93" w:rsidRPr="00536CFD" w:rsidRDefault="009D4A93" w:rsidP="009D4A93">
            <w:pPr>
              <w:pStyle w:val="BodyText"/>
              <w:spacing w:after="0"/>
              <w:jc w:val="center"/>
            </w:pPr>
            <w:r w:rsidRPr="00536CFD">
              <w:t>0.054</w:t>
            </w:r>
          </w:p>
        </w:tc>
        <w:tc>
          <w:tcPr>
            <w:tcW w:w="1171" w:type="dxa"/>
            <w:tcBorders>
              <w:top w:val="single" w:sz="4" w:space="0" w:color="auto"/>
              <w:left w:val="single" w:sz="4" w:space="0" w:color="auto"/>
              <w:bottom w:val="single" w:sz="4" w:space="0" w:color="auto"/>
              <w:right w:val="single" w:sz="4" w:space="0" w:color="auto"/>
            </w:tcBorders>
            <w:hideMark/>
          </w:tcPr>
          <w:p w14:paraId="0992B22A" w14:textId="77777777" w:rsidR="009D4A93" w:rsidRPr="00536CFD" w:rsidRDefault="009D4A93" w:rsidP="009D4A93">
            <w:pPr>
              <w:pStyle w:val="BodyText"/>
              <w:spacing w:after="0"/>
              <w:jc w:val="center"/>
            </w:pPr>
            <w:r w:rsidRPr="00536CFD">
              <w:t>0.054</w:t>
            </w:r>
          </w:p>
        </w:tc>
        <w:tc>
          <w:tcPr>
            <w:tcW w:w="1171" w:type="dxa"/>
            <w:tcBorders>
              <w:top w:val="single" w:sz="4" w:space="0" w:color="auto"/>
              <w:left w:val="single" w:sz="4" w:space="0" w:color="auto"/>
              <w:bottom w:val="single" w:sz="4" w:space="0" w:color="auto"/>
              <w:right w:val="single" w:sz="4" w:space="0" w:color="auto"/>
            </w:tcBorders>
            <w:vAlign w:val="center"/>
            <w:hideMark/>
          </w:tcPr>
          <w:p w14:paraId="5BC9BB9D" w14:textId="77777777" w:rsidR="009D4A93" w:rsidRPr="00536CFD" w:rsidRDefault="009D4A93" w:rsidP="009D4A93">
            <w:pPr>
              <w:pStyle w:val="BodyText"/>
              <w:spacing w:after="0"/>
              <w:jc w:val="center"/>
            </w:pPr>
            <w:r w:rsidRPr="00536CFD">
              <w:t>0.054</w:t>
            </w:r>
          </w:p>
        </w:tc>
        <w:tc>
          <w:tcPr>
            <w:tcW w:w="1171" w:type="dxa"/>
            <w:tcBorders>
              <w:top w:val="single" w:sz="4" w:space="0" w:color="auto"/>
              <w:left w:val="single" w:sz="4" w:space="0" w:color="auto"/>
              <w:bottom w:val="single" w:sz="4" w:space="0" w:color="auto"/>
              <w:right w:val="single" w:sz="4" w:space="0" w:color="auto"/>
            </w:tcBorders>
            <w:vAlign w:val="center"/>
            <w:hideMark/>
          </w:tcPr>
          <w:p w14:paraId="652F6560" w14:textId="77777777" w:rsidR="009D4A93" w:rsidRPr="00536CFD" w:rsidRDefault="009D4A93" w:rsidP="009D4A93">
            <w:pPr>
              <w:pStyle w:val="BodyText"/>
              <w:spacing w:after="0"/>
              <w:jc w:val="center"/>
            </w:pPr>
            <w:r w:rsidRPr="00536CFD">
              <w:t>0.054</w:t>
            </w:r>
          </w:p>
        </w:tc>
        <w:tc>
          <w:tcPr>
            <w:tcW w:w="1171" w:type="dxa"/>
            <w:tcBorders>
              <w:top w:val="single" w:sz="4" w:space="0" w:color="auto"/>
              <w:left w:val="single" w:sz="4" w:space="0" w:color="auto"/>
              <w:bottom w:val="single" w:sz="4" w:space="0" w:color="auto"/>
              <w:right w:val="single" w:sz="4" w:space="0" w:color="auto"/>
            </w:tcBorders>
            <w:vAlign w:val="center"/>
            <w:hideMark/>
          </w:tcPr>
          <w:p w14:paraId="665110EE" w14:textId="77777777" w:rsidR="009D4A93" w:rsidRPr="00536CFD" w:rsidRDefault="009D4A93" w:rsidP="009D4A93">
            <w:pPr>
              <w:pStyle w:val="BodyText"/>
              <w:spacing w:after="0"/>
              <w:jc w:val="center"/>
            </w:pPr>
            <w:r w:rsidRPr="00536CFD">
              <w:t>0.054</w:t>
            </w:r>
          </w:p>
        </w:tc>
        <w:tc>
          <w:tcPr>
            <w:tcW w:w="1261" w:type="dxa"/>
            <w:tcBorders>
              <w:top w:val="single" w:sz="4" w:space="0" w:color="auto"/>
              <w:left w:val="single" w:sz="4" w:space="0" w:color="auto"/>
              <w:bottom w:val="single" w:sz="4" w:space="0" w:color="auto"/>
              <w:right w:val="single" w:sz="4" w:space="0" w:color="auto"/>
            </w:tcBorders>
            <w:hideMark/>
          </w:tcPr>
          <w:p w14:paraId="4F035A5E" w14:textId="77777777" w:rsidR="009D4A93" w:rsidRPr="00536CFD" w:rsidRDefault="009D4A93" w:rsidP="009D4A93">
            <w:pPr>
              <w:pStyle w:val="BodyText"/>
              <w:spacing w:after="0"/>
              <w:jc w:val="center"/>
            </w:pPr>
            <w:r w:rsidRPr="00536CFD">
              <w:t>0.054</w:t>
            </w:r>
          </w:p>
        </w:tc>
      </w:tr>
      <w:tr w:rsidR="009D4A93" w:rsidRPr="00536CFD" w14:paraId="6AFE2715"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1F69177A"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1DB66988"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79FB4172" w14:textId="77777777" w:rsidR="009D4A93" w:rsidRPr="00536CFD" w:rsidRDefault="009D4A93" w:rsidP="009D4A93">
            <w:pPr>
              <w:pStyle w:val="ListParagraph"/>
              <w:spacing w:after="0"/>
              <w:ind w:firstLineChars="0" w:firstLine="0"/>
              <w:jc w:val="center"/>
            </w:pPr>
            <w:r w:rsidRPr="00536CFD">
              <w:t>50%</w:t>
            </w:r>
          </w:p>
        </w:tc>
        <w:tc>
          <w:tcPr>
            <w:tcW w:w="1219" w:type="dxa"/>
            <w:tcBorders>
              <w:top w:val="single" w:sz="4" w:space="0" w:color="auto"/>
              <w:left w:val="single" w:sz="4" w:space="0" w:color="auto"/>
              <w:bottom w:val="single" w:sz="4" w:space="0" w:color="auto"/>
              <w:right w:val="single" w:sz="4" w:space="0" w:color="auto"/>
            </w:tcBorders>
            <w:vAlign w:val="center"/>
            <w:hideMark/>
          </w:tcPr>
          <w:p w14:paraId="370AB7B6" w14:textId="77777777" w:rsidR="009D4A93" w:rsidRPr="00536CFD" w:rsidRDefault="009D4A93" w:rsidP="009D4A93">
            <w:pPr>
              <w:pStyle w:val="BodyText"/>
              <w:spacing w:after="0"/>
              <w:jc w:val="center"/>
            </w:pPr>
            <w:r w:rsidRPr="00536CFD">
              <w:t>0.056</w:t>
            </w:r>
          </w:p>
        </w:tc>
        <w:tc>
          <w:tcPr>
            <w:tcW w:w="1171" w:type="dxa"/>
            <w:tcBorders>
              <w:top w:val="single" w:sz="4" w:space="0" w:color="auto"/>
              <w:left w:val="single" w:sz="4" w:space="0" w:color="auto"/>
              <w:bottom w:val="single" w:sz="4" w:space="0" w:color="auto"/>
              <w:right w:val="single" w:sz="4" w:space="0" w:color="auto"/>
            </w:tcBorders>
            <w:hideMark/>
          </w:tcPr>
          <w:p w14:paraId="3136A05A" w14:textId="77777777" w:rsidR="009D4A93" w:rsidRPr="00536CFD" w:rsidRDefault="009D4A93" w:rsidP="009D4A93">
            <w:pPr>
              <w:pStyle w:val="BodyText"/>
              <w:spacing w:after="0"/>
              <w:jc w:val="center"/>
            </w:pPr>
            <w:r w:rsidRPr="00536CFD">
              <w:t>0.055</w:t>
            </w:r>
          </w:p>
        </w:tc>
        <w:tc>
          <w:tcPr>
            <w:tcW w:w="1171" w:type="dxa"/>
            <w:tcBorders>
              <w:top w:val="single" w:sz="4" w:space="0" w:color="auto"/>
              <w:left w:val="single" w:sz="4" w:space="0" w:color="auto"/>
              <w:bottom w:val="single" w:sz="4" w:space="0" w:color="auto"/>
              <w:right w:val="single" w:sz="4" w:space="0" w:color="auto"/>
            </w:tcBorders>
            <w:vAlign w:val="center"/>
            <w:hideMark/>
          </w:tcPr>
          <w:p w14:paraId="17B2715E" w14:textId="77777777" w:rsidR="009D4A93" w:rsidRPr="00536CFD" w:rsidRDefault="009D4A93" w:rsidP="009D4A93">
            <w:pPr>
              <w:pStyle w:val="BodyText"/>
              <w:spacing w:after="0"/>
              <w:jc w:val="center"/>
            </w:pPr>
            <w:r w:rsidRPr="00536CFD">
              <w:t>0.113</w:t>
            </w:r>
          </w:p>
        </w:tc>
        <w:tc>
          <w:tcPr>
            <w:tcW w:w="1171" w:type="dxa"/>
            <w:tcBorders>
              <w:top w:val="single" w:sz="4" w:space="0" w:color="auto"/>
              <w:left w:val="single" w:sz="4" w:space="0" w:color="auto"/>
              <w:bottom w:val="single" w:sz="4" w:space="0" w:color="auto"/>
              <w:right w:val="single" w:sz="4" w:space="0" w:color="auto"/>
            </w:tcBorders>
            <w:vAlign w:val="center"/>
            <w:hideMark/>
          </w:tcPr>
          <w:p w14:paraId="33B3E05E" w14:textId="77777777" w:rsidR="009D4A93" w:rsidRPr="00536CFD" w:rsidRDefault="009D4A93" w:rsidP="009D4A93">
            <w:pPr>
              <w:pStyle w:val="BodyText"/>
              <w:spacing w:after="0"/>
              <w:jc w:val="center"/>
            </w:pPr>
            <w:r w:rsidRPr="00536CFD">
              <w:t>0.118</w:t>
            </w:r>
          </w:p>
        </w:tc>
        <w:tc>
          <w:tcPr>
            <w:tcW w:w="1171" w:type="dxa"/>
            <w:tcBorders>
              <w:top w:val="single" w:sz="4" w:space="0" w:color="auto"/>
              <w:left w:val="single" w:sz="4" w:space="0" w:color="auto"/>
              <w:bottom w:val="single" w:sz="4" w:space="0" w:color="auto"/>
              <w:right w:val="single" w:sz="4" w:space="0" w:color="auto"/>
            </w:tcBorders>
            <w:vAlign w:val="center"/>
            <w:hideMark/>
          </w:tcPr>
          <w:p w14:paraId="16B338FD" w14:textId="77777777" w:rsidR="009D4A93" w:rsidRPr="00536CFD" w:rsidRDefault="009D4A93" w:rsidP="009D4A93">
            <w:pPr>
              <w:pStyle w:val="BodyText"/>
              <w:spacing w:after="0"/>
              <w:jc w:val="center"/>
            </w:pPr>
            <w:r w:rsidRPr="00536CFD">
              <w:t>0.160</w:t>
            </w:r>
          </w:p>
        </w:tc>
        <w:tc>
          <w:tcPr>
            <w:tcW w:w="1261" w:type="dxa"/>
            <w:tcBorders>
              <w:top w:val="single" w:sz="4" w:space="0" w:color="auto"/>
              <w:left w:val="single" w:sz="4" w:space="0" w:color="auto"/>
              <w:bottom w:val="single" w:sz="4" w:space="0" w:color="auto"/>
              <w:right w:val="single" w:sz="4" w:space="0" w:color="auto"/>
            </w:tcBorders>
            <w:hideMark/>
          </w:tcPr>
          <w:p w14:paraId="749DF648" w14:textId="77777777" w:rsidR="009D4A93" w:rsidRPr="00536CFD" w:rsidRDefault="009D4A93" w:rsidP="009D4A93">
            <w:pPr>
              <w:pStyle w:val="BodyText"/>
              <w:spacing w:after="0"/>
              <w:jc w:val="center"/>
            </w:pPr>
            <w:r w:rsidRPr="00536CFD">
              <w:t>0.197</w:t>
            </w:r>
          </w:p>
        </w:tc>
      </w:tr>
      <w:tr w:rsidR="009D4A93" w:rsidRPr="00536CFD" w14:paraId="7F7CC236"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332E4571"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112AE0C9"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34FE459A" w14:textId="77777777" w:rsidR="009D4A93" w:rsidRPr="00536CFD" w:rsidRDefault="009D4A93" w:rsidP="009D4A93">
            <w:pPr>
              <w:pStyle w:val="ListParagraph"/>
              <w:spacing w:after="0"/>
              <w:ind w:firstLineChars="0" w:firstLine="0"/>
              <w:jc w:val="center"/>
            </w:pPr>
            <w:r w:rsidRPr="00536CFD">
              <w:t>95%</w:t>
            </w:r>
          </w:p>
        </w:tc>
        <w:tc>
          <w:tcPr>
            <w:tcW w:w="1219" w:type="dxa"/>
            <w:tcBorders>
              <w:top w:val="single" w:sz="4" w:space="0" w:color="auto"/>
              <w:left w:val="single" w:sz="4" w:space="0" w:color="auto"/>
              <w:bottom w:val="single" w:sz="4" w:space="0" w:color="auto"/>
              <w:right w:val="single" w:sz="4" w:space="0" w:color="auto"/>
            </w:tcBorders>
            <w:vAlign w:val="center"/>
            <w:hideMark/>
          </w:tcPr>
          <w:p w14:paraId="19C102D5" w14:textId="77777777" w:rsidR="009D4A93" w:rsidRPr="00536CFD" w:rsidRDefault="009D4A93" w:rsidP="009D4A93">
            <w:pPr>
              <w:pStyle w:val="BodyText"/>
              <w:spacing w:after="0"/>
              <w:jc w:val="center"/>
            </w:pPr>
            <w:r w:rsidRPr="00536CFD">
              <w:t>0.300</w:t>
            </w:r>
          </w:p>
        </w:tc>
        <w:tc>
          <w:tcPr>
            <w:tcW w:w="1171" w:type="dxa"/>
            <w:tcBorders>
              <w:top w:val="single" w:sz="4" w:space="0" w:color="auto"/>
              <w:left w:val="single" w:sz="4" w:space="0" w:color="auto"/>
              <w:bottom w:val="single" w:sz="4" w:space="0" w:color="auto"/>
              <w:right w:val="single" w:sz="4" w:space="0" w:color="auto"/>
            </w:tcBorders>
            <w:hideMark/>
          </w:tcPr>
          <w:p w14:paraId="1C966FB6" w14:textId="77777777" w:rsidR="009D4A93" w:rsidRPr="00536CFD" w:rsidRDefault="009D4A93" w:rsidP="009D4A93">
            <w:pPr>
              <w:pStyle w:val="BodyText"/>
              <w:spacing w:after="0"/>
              <w:jc w:val="center"/>
            </w:pPr>
            <w:r w:rsidRPr="00536CFD">
              <w:t>0.277</w:t>
            </w:r>
          </w:p>
        </w:tc>
        <w:tc>
          <w:tcPr>
            <w:tcW w:w="1171" w:type="dxa"/>
            <w:tcBorders>
              <w:top w:val="single" w:sz="4" w:space="0" w:color="auto"/>
              <w:left w:val="single" w:sz="4" w:space="0" w:color="auto"/>
              <w:bottom w:val="single" w:sz="4" w:space="0" w:color="auto"/>
              <w:right w:val="single" w:sz="4" w:space="0" w:color="auto"/>
            </w:tcBorders>
            <w:vAlign w:val="center"/>
            <w:hideMark/>
          </w:tcPr>
          <w:p w14:paraId="524853C9" w14:textId="77777777" w:rsidR="009D4A93" w:rsidRPr="00536CFD" w:rsidRDefault="009D4A93" w:rsidP="009D4A93">
            <w:pPr>
              <w:pStyle w:val="BodyText"/>
              <w:spacing w:after="0"/>
              <w:jc w:val="center"/>
            </w:pPr>
            <w:r w:rsidRPr="00536CFD">
              <w:t>0.441</w:t>
            </w:r>
          </w:p>
        </w:tc>
        <w:tc>
          <w:tcPr>
            <w:tcW w:w="1171" w:type="dxa"/>
            <w:tcBorders>
              <w:top w:val="single" w:sz="4" w:space="0" w:color="auto"/>
              <w:left w:val="single" w:sz="4" w:space="0" w:color="auto"/>
              <w:bottom w:val="single" w:sz="4" w:space="0" w:color="auto"/>
              <w:right w:val="single" w:sz="4" w:space="0" w:color="auto"/>
            </w:tcBorders>
            <w:vAlign w:val="center"/>
            <w:hideMark/>
          </w:tcPr>
          <w:p w14:paraId="3BC3287A" w14:textId="77777777" w:rsidR="009D4A93" w:rsidRPr="00536CFD" w:rsidRDefault="009D4A93" w:rsidP="009D4A93">
            <w:pPr>
              <w:pStyle w:val="BodyText"/>
              <w:spacing w:after="0"/>
              <w:jc w:val="center"/>
            </w:pPr>
            <w:r w:rsidRPr="00536CFD">
              <w:t>0.679</w:t>
            </w:r>
          </w:p>
        </w:tc>
        <w:tc>
          <w:tcPr>
            <w:tcW w:w="1171" w:type="dxa"/>
            <w:tcBorders>
              <w:top w:val="single" w:sz="4" w:space="0" w:color="auto"/>
              <w:left w:val="single" w:sz="4" w:space="0" w:color="auto"/>
              <w:bottom w:val="single" w:sz="4" w:space="0" w:color="auto"/>
              <w:right w:val="single" w:sz="4" w:space="0" w:color="auto"/>
            </w:tcBorders>
            <w:vAlign w:val="center"/>
            <w:hideMark/>
          </w:tcPr>
          <w:p w14:paraId="48F49DB9" w14:textId="77777777" w:rsidR="009D4A93" w:rsidRPr="00536CFD" w:rsidRDefault="009D4A93" w:rsidP="009D4A93">
            <w:pPr>
              <w:pStyle w:val="BodyText"/>
              <w:spacing w:after="0"/>
              <w:jc w:val="center"/>
            </w:pPr>
            <w:r w:rsidRPr="00536CFD">
              <w:t>1.233</w:t>
            </w:r>
          </w:p>
        </w:tc>
        <w:tc>
          <w:tcPr>
            <w:tcW w:w="1261" w:type="dxa"/>
            <w:tcBorders>
              <w:top w:val="single" w:sz="4" w:space="0" w:color="auto"/>
              <w:left w:val="single" w:sz="4" w:space="0" w:color="auto"/>
              <w:bottom w:val="single" w:sz="4" w:space="0" w:color="auto"/>
              <w:right w:val="single" w:sz="4" w:space="0" w:color="auto"/>
            </w:tcBorders>
            <w:hideMark/>
          </w:tcPr>
          <w:p w14:paraId="6B538E08" w14:textId="77777777" w:rsidR="009D4A93" w:rsidRPr="00536CFD" w:rsidRDefault="009D4A93" w:rsidP="009D4A93">
            <w:pPr>
              <w:pStyle w:val="BodyText"/>
              <w:spacing w:after="0"/>
              <w:jc w:val="center"/>
            </w:pPr>
            <w:r w:rsidRPr="00536CFD">
              <w:t>1.266</w:t>
            </w:r>
          </w:p>
        </w:tc>
      </w:tr>
      <w:tr w:rsidR="009D4A93" w:rsidRPr="00536CFD" w14:paraId="772BBDF3"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703394D0"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05E0F1DE"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21AB8055" w14:textId="77777777" w:rsidR="009D4A93" w:rsidRPr="00536CFD" w:rsidRDefault="009D4A93" w:rsidP="009D4A93">
            <w:pPr>
              <w:pStyle w:val="ListParagraph"/>
              <w:spacing w:after="0"/>
              <w:ind w:firstLineChars="0" w:firstLine="0"/>
              <w:jc w:val="center"/>
            </w:pPr>
            <w:r w:rsidRPr="00536CFD">
              <w:t>Mean</w:t>
            </w:r>
          </w:p>
        </w:tc>
        <w:tc>
          <w:tcPr>
            <w:tcW w:w="1219" w:type="dxa"/>
            <w:tcBorders>
              <w:top w:val="single" w:sz="4" w:space="0" w:color="auto"/>
              <w:left w:val="single" w:sz="4" w:space="0" w:color="auto"/>
              <w:bottom w:val="single" w:sz="4" w:space="0" w:color="auto"/>
              <w:right w:val="single" w:sz="4" w:space="0" w:color="auto"/>
            </w:tcBorders>
            <w:hideMark/>
          </w:tcPr>
          <w:p w14:paraId="4B66F693" w14:textId="77777777" w:rsidR="009D4A93" w:rsidRPr="00536CFD" w:rsidRDefault="009D4A93" w:rsidP="009D4A93">
            <w:pPr>
              <w:pStyle w:val="ListParagraph"/>
              <w:spacing w:after="0"/>
              <w:ind w:firstLineChars="0" w:firstLine="0"/>
              <w:jc w:val="center"/>
            </w:pPr>
            <w:r w:rsidRPr="00536CFD">
              <w:t>0.105</w:t>
            </w:r>
          </w:p>
        </w:tc>
        <w:tc>
          <w:tcPr>
            <w:tcW w:w="1171" w:type="dxa"/>
            <w:tcBorders>
              <w:top w:val="single" w:sz="4" w:space="0" w:color="auto"/>
              <w:left w:val="single" w:sz="4" w:space="0" w:color="auto"/>
              <w:bottom w:val="single" w:sz="4" w:space="0" w:color="auto"/>
              <w:right w:val="single" w:sz="4" w:space="0" w:color="auto"/>
            </w:tcBorders>
            <w:hideMark/>
          </w:tcPr>
          <w:p w14:paraId="480E39FF" w14:textId="77777777" w:rsidR="009D4A93" w:rsidRPr="00536CFD" w:rsidRDefault="009D4A93" w:rsidP="009D4A93">
            <w:pPr>
              <w:pStyle w:val="ListParagraph"/>
              <w:spacing w:after="0"/>
              <w:ind w:firstLineChars="0" w:firstLine="0"/>
              <w:jc w:val="center"/>
            </w:pPr>
            <w:r w:rsidRPr="00536CFD">
              <w:t>0.107</w:t>
            </w:r>
          </w:p>
        </w:tc>
        <w:tc>
          <w:tcPr>
            <w:tcW w:w="1171" w:type="dxa"/>
            <w:tcBorders>
              <w:top w:val="single" w:sz="4" w:space="0" w:color="auto"/>
              <w:left w:val="single" w:sz="4" w:space="0" w:color="auto"/>
              <w:bottom w:val="single" w:sz="4" w:space="0" w:color="auto"/>
              <w:right w:val="single" w:sz="4" w:space="0" w:color="auto"/>
            </w:tcBorders>
            <w:hideMark/>
          </w:tcPr>
          <w:p w14:paraId="64D3C83F" w14:textId="77777777" w:rsidR="009D4A93" w:rsidRPr="00536CFD" w:rsidRDefault="009D4A93" w:rsidP="009D4A93">
            <w:pPr>
              <w:pStyle w:val="ListParagraph"/>
              <w:spacing w:after="0"/>
              <w:ind w:firstLineChars="0" w:firstLine="0"/>
              <w:jc w:val="center"/>
            </w:pPr>
            <w:r w:rsidRPr="00536CFD">
              <w:t>0.162</w:t>
            </w:r>
          </w:p>
        </w:tc>
        <w:tc>
          <w:tcPr>
            <w:tcW w:w="1171" w:type="dxa"/>
            <w:tcBorders>
              <w:top w:val="single" w:sz="4" w:space="0" w:color="auto"/>
              <w:left w:val="single" w:sz="4" w:space="0" w:color="auto"/>
              <w:bottom w:val="single" w:sz="4" w:space="0" w:color="auto"/>
              <w:right w:val="single" w:sz="4" w:space="0" w:color="auto"/>
            </w:tcBorders>
            <w:hideMark/>
          </w:tcPr>
          <w:p w14:paraId="2BB60635" w14:textId="77777777" w:rsidR="009D4A93" w:rsidRPr="00536CFD" w:rsidRDefault="009D4A93" w:rsidP="009D4A93">
            <w:pPr>
              <w:pStyle w:val="ListParagraph"/>
              <w:spacing w:after="0"/>
              <w:ind w:firstLineChars="0" w:firstLine="0"/>
              <w:jc w:val="center"/>
            </w:pPr>
            <w:r w:rsidRPr="00536CFD">
              <w:t>0.203</w:t>
            </w:r>
          </w:p>
        </w:tc>
        <w:tc>
          <w:tcPr>
            <w:tcW w:w="1171" w:type="dxa"/>
            <w:tcBorders>
              <w:top w:val="single" w:sz="4" w:space="0" w:color="auto"/>
              <w:left w:val="single" w:sz="4" w:space="0" w:color="auto"/>
              <w:bottom w:val="single" w:sz="4" w:space="0" w:color="auto"/>
              <w:right w:val="single" w:sz="4" w:space="0" w:color="auto"/>
            </w:tcBorders>
            <w:hideMark/>
          </w:tcPr>
          <w:p w14:paraId="0118F99F" w14:textId="77777777" w:rsidR="009D4A93" w:rsidRPr="00536CFD" w:rsidRDefault="009D4A93" w:rsidP="009D4A93">
            <w:pPr>
              <w:pStyle w:val="ListParagraph"/>
              <w:spacing w:after="0"/>
              <w:ind w:firstLineChars="0" w:firstLine="0"/>
              <w:jc w:val="center"/>
            </w:pPr>
            <w:r w:rsidRPr="00536CFD">
              <w:t>0.325</w:t>
            </w:r>
          </w:p>
        </w:tc>
        <w:tc>
          <w:tcPr>
            <w:tcW w:w="1261" w:type="dxa"/>
            <w:tcBorders>
              <w:top w:val="single" w:sz="4" w:space="0" w:color="auto"/>
              <w:left w:val="single" w:sz="4" w:space="0" w:color="auto"/>
              <w:bottom w:val="single" w:sz="4" w:space="0" w:color="auto"/>
              <w:right w:val="single" w:sz="4" w:space="0" w:color="auto"/>
            </w:tcBorders>
            <w:hideMark/>
          </w:tcPr>
          <w:p w14:paraId="362CFE7C" w14:textId="77777777" w:rsidR="009D4A93" w:rsidRPr="00536CFD" w:rsidRDefault="009D4A93" w:rsidP="009D4A93">
            <w:pPr>
              <w:pStyle w:val="ListParagraph"/>
              <w:spacing w:after="0"/>
              <w:ind w:firstLineChars="0" w:firstLine="0"/>
              <w:jc w:val="center"/>
            </w:pPr>
            <w:r w:rsidRPr="00536CFD">
              <w:t>0.344</w:t>
            </w:r>
          </w:p>
        </w:tc>
      </w:tr>
      <w:tr w:rsidR="009D4A93" w:rsidRPr="00536CFD" w14:paraId="75A4B896"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642315F3" w14:textId="77777777" w:rsidR="009D4A93" w:rsidRPr="00536CFD" w:rsidRDefault="009D4A93" w:rsidP="009D4A93">
            <w:pPr>
              <w:spacing w:after="0"/>
              <w:rPr>
                <w:lang w:eastAsia="zh-CN"/>
              </w:rPr>
            </w:pPr>
          </w:p>
        </w:tc>
        <w:tc>
          <w:tcPr>
            <w:tcW w:w="494" w:type="dxa"/>
            <w:vMerge w:val="restart"/>
            <w:tcBorders>
              <w:top w:val="single" w:sz="4" w:space="0" w:color="auto"/>
              <w:left w:val="single" w:sz="4" w:space="0" w:color="auto"/>
              <w:bottom w:val="single" w:sz="4" w:space="0" w:color="auto"/>
              <w:right w:val="single" w:sz="4" w:space="0" w:color="auto"/>
            </w:tcBorders>
            <w:hideMark/>
          </w:tcPr>
          <w:p w14:paraId="310E0317" w14:textId="77777777" w:rsidR="009D4A93" w:rsidRPr="00536CFD" w:rsidRDefault="009D4A93" w:rsidP="009D4A93">
            <w:pPr>
              <w:pStyle w:val="ListParagraph"/>
              <w:spacing w:after="0"/>
              <w:ind w:firstLineChars="0" w:firstLine="0"/>
              <w:jc w:val="center"/>
            </w:pPr>
            <w:r w:rsidRPr="00536CFD">
              <w:rPr>
                <w:b/>
              </w:rPr>
              <w:t>UL:</w:t>
            </w:r>
          </w:p>
          <w:p w14:paraId="01994DD8" w14:textId="77777777" w:rsidR="009D4A93" w:rsidRPr="00536CFD" w:rsidRDefault="009D4A93" w:rsidP="009D4A93">
            <w:pPr>
              <w:pStyle w:val="ListParagraph"/>
              <w:spacing w:after="0"/>
              <w:ind w:firstLineChars="0" w:firstLine="0"/>
              <w:jc w:val="center"/>
            </w:pPr>
            <w:r w:rsidRPr="00536CFD">
              <w:t>UPT CDF</w:t>
            </w:r>
          </w:p>
          <w:p w14:paraId="714C0BB1" w14:textId="77777777" w:rsidR="009D4A93" w:rsidRPr="00536CFD" w:rsidRDefault="009D4A93" w:rsidP="009D4A93">
            <w:pPr>
              <w:pStyle w:val="ListParagraph"/>
              <w:spacing w:after="0"/>
              <w:ind w:firstLineChars="0" w:firstLine="0"/>
              <w:jc w:val="center"/>
            </w:pPr>
            <w:r w:rsidRPr="00536CFD">
              <w:t>[Mbps]</w:t>
            </w:r>
          </w:p>
        </w:tc>
        <w:tc>
          <w:tcPr>
            <w:tcW w:w="494" w:type="dxa"/>
            <w:tcBorders>
              <w:top w:val="single" w:sz="4" w:space="0" w:color="auto"/>
              <w:left w:val="single" w:sz="4" w:space="0" w:color="auto"/>
              <w:bottom w:val="single" w:sz="4" w:space="0" w:color="auto"/>
              <w:right w:val="single" w:sz="4" w:space="0" w:color="auto"/>
            </w:tcBorders>
            <w:hideMark/>
          </w:tcPr>
          <w:p w14:paraId="0D69764C" w14:textId="77777777" w:rsidR="009D4A93" w:rsidRPr="00536CFD" w:rsidRDefault="009D4A93" w:rsidP="009D4A93">
            <w:pPr>
              <w:pStyle w:val="ListParagraph"/>
              <w:spacing w:after="0"/>
              <w:ind w:firstLineChars="0" w:firstLine="0"/>
              <w:jc w:val="center"/>
            </w:pPr>
            <w:r w:rsidRPr="00536CFD">
              <w:t>5%</w:t>
            </w:r>
          </w:p>
        </w:tc>
        <w:tc>
          <w:tcPr>
            <w:tcW w:w="1219" w:type="dxa"/>
            <w:tcBorders>
              <w:top w:val="single" w:sz="4" w:space="0" w:color="auto"/>
              <w:left w:val="single" w:sz="4" w:space="0" w:color="auto"/>
              <w:bottom w:val="single" w:sz="4" w:space="0" w:color="auto"/>
              <w:right w:val="single" w:sz="4" w:space="0" w:color="auto"/>
            </w:tcBorders>
            <w:hideMark/>
          </w:tcPr>
          <w:p w14:paraId="21EBFD54" w14:textId="77777777" w:rsidR="009D4A93" w:rsidRPr="00536CFD" w:rsidRDefault="009D4A93" w:rsidP="009D4A93">
            <w:pPr>
              <w:pStyle w:val="ListParagraph"/>
              <w:spacing w:after="0"/>
              <w:ind w:firstLineChars="0" w:firstLine="0"/>
              <w:jc w:val="center"/>
            </w:pPr>
            <w:r w:rsidRPr="00536CFD">
              <w:t>21.794</w:t>
            </w:r>
          </w:p>
        </w:tc>
        <w:tc>
          <w:tcPr>
            <w:tcW w:w="1171" w:type="dxa"/>
            <w:tcBorders>
              <w:top w:val="single" w:sz="4" w:space="0" w:color="auto"/>
              <w:left w:val="single" w:sz="4" w:space="0" w:color="auto"/>
              <w:bottom w:val="single" w:sz="4" w:space="0" w:color="auto"/>
              <w:right w:val="single" w:sz="4" w:space="0" w:color="auto"/>
            </w:tcBorders>
            <w:hideMark/>
          </w:tcPr>
          <w:p w14:paraId="7562506F" w14:textId="77777777" w:rsidR="009D4A93" w:rsidRPr="00536CFD" w:rsidRDefault="009D4A93" w:rsidP="009D4A93">
            <w:pPr>
              <w:pStyle w:val="ListParagraph"/>
              <w:spacing w:after="0"/>
              <w:ind w:firstLineChars="0" w:firstLine="0"/>
              <w:jc w:val="center"/>
            </w:pPr>
            <w:r w:rsidRPr="00536CFD">
              <w:t>18.683</w:t>
            </w:r>
          </w:p>
        </w:tc>
        <w:tc>
          <w:tcPr>
            <w:tcW w:w="1171" w:type="dxa"/>
            <w:tcBorders>
              <w:top w:val="single" w:sz="4" w:space="0" w:color="auto"/>
              <w:left w:val="single" w:sz="4" w:space="0" w:color="auto"/>
              <w:bottom w:val="single" w:sz="4" w:space="0" w:color="auto"/>
              <w:right w:val="single" w:sz="4" w:space="0" w:color="auto"/>
            </w:tcBorders>
            <w:hideMark/>
          </w:tcPr>
          <w:p w14:paraId="57B4B91E" w14:textId="77777777" w:rsidR="009D4A93" w:rsidRPr="00536CFD" w:rsidRDefault="009D4A93" w:rsidP="009D4A93">
            <w:pPr>
              <w:pStyle w:val="ListParagraph"/>
              <w:spacing w:after="0"/>
              <w:ind w:firstLineChars="0" w:firstLine="0"/>
              <w:jc w:val="center"/>
            </w:pPr>
            <w:r w:rsidRPr="00536CFD">
              <w:t>12.913</w:t>
            </w:r>
          </w:p>
        </w:tc>
        <w:tc>
          <w:tcPr>
            <w:tcW w:w="1171" w:type="dxa"/>
            <w:tcBorders>
              <w:top w:val="single" w:sz="4" w:space="0" w:color="auto"/>
              <w:left w:val="single" w:sz="4" w:space="0" w:color="auto"/>
              <w:bottom w:val="single" w:sz="4" w:space="0" w:color="auto"/>
              <w:right w:val="single" w:sz="4" w:space="0" w:color="auto"/>
            </w:tcBorders>
            <w:hideMark/>
          </w:tcPr>
          <w:p w14:paraId="4B2EAB69" w14:textId="77777777" w:rsidR="009D4A93" w:rsidRPr="00536CFD" w:rsidRDefault="009D4A93" w:rsidP="009D4A93">
            <w:pPr>
              <w:pStyle w:val="ListParagraph"/>
              <w:spacing w:after="0"/>
              <w:ind w:firstLineChars="0" w:firstLine="0"/>
              <w:jc w:val="center"/>
            </w:pPr>
            <w:r w:rsidRPr="00536CFD">
              <w:t>3.75</w:t>
            </w:r>
          </w:p>
        </w:tc>
        <w:tc>
          <w:tcPr>
            <w:tcW w:w="1171" w:type="dxa"/>
            <w:tcBorders>
              <w:top w:val="single" w:sz="4" w:space="0" w:color="auto"/>
              <w:left w:val="single" w:sz="4" w:space="0" w:color="auto"/>
              <w:bottom w:val="single" w:sz="4" w:space="0" w:color="auto"/>
              <w:right w:val="single" w:sz="4" w:space="0" w:color="auto"/>
            </w:tcBorders>
            <w:hideMark/>
          </w:tcPr>
          <w:p w14:paraId="5872AA1E" w14:textId="77777777" w:rsidR="009D4A93" w:rsidRPr="00536CFD" w:rsidRDefault="009D4A93" w:rsidP="009D4A93">
            <w:pPr>
              <w:pStyle w:val="ListParagraph"/>
              <w:spacing w:after="0"/>
              <w:ind w:firstLineChars="0" w:firstLine="0"/>
              <w:jc w:val="center"/>
            </w:pPr>
            <w:r w:rsidRPr="00536CFD">
              <w:t>3.052</w:t>
            </w:r>
          </w:p>
        </w:tc>
        <w:tc>
          <w:tcPr>
            <w:tcW w:w="1261" w:type="dxa"/>
            <w:tcBorders>
              <w:top w:val="single" w:sz="4" w:space="0" w:color="auto"/>
              <w:left w:val="single" w:sz="4" w:space="0" w:color="auto"/>
              <w:bottom w:val="single" w:sz="4" w:space="0" w:color="auto"/>
              <w:right w:val="single" w:sz="4" w:space="0" w:color="auto"/>
            </w:tcBorders>
            <w:hideMark/>
          </w:tcPr>
          <w:p w14:paraId="41F52BF9" w14:textId="77777777" w:rsidR="009D4A93" w:rsidRPr="00536CFD" w:rsidRDefault="009D4A93" w:rsidP="009D4A93">
            <w:pPr>
              <w:pStyle w:val="ListParagraph"/>
              <w:spacing w:after="0"/>
              <w:ind w:firstLineChars="0" w:firstLine="0"/>
              <w:jc w:val="center"/>
            </w:pPr>
            <w:r w:rsidRPr="00536CFD">
              <w:t>2.554</w:t>
            </w:r>
          </w:p>
        </w:tc>
      </w:tr>
      <w:tr w:rsidR="009D4A93" w:rsidRPr="00536CFD" w14:paraId="129F1FBB"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4B4A371F"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79317800"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79D58CBC" w14:textId="77777777" w:rsidR="009D4A93" w:rsidRPr="00536CFD" w:rsidRDefault="009D4A93" w:rsidP="009D4A93">
            <w:pPr>
              <w:pStyle w:val="ListParagraph"/>
              <w:spacing w:after="0"/>
              <w:ind w:firstLineChars="0" w:firstLine="0"/>
              <w:jc w:val="center"/>
            </w:pPr>
            <w:r w:rsidRPr="00536CFD">
              <w:t>50%</w:t>
            </w:r>
          </w:p>
        </w:tc>
        <w:tc>
          <w:tcPr>
            <w:tcW w:w="1219" w:type="dxa"/>
            <w:tcBorders>
              <w:top w:val="single" w:sz="4" w:space="0" w:color="auto"/>
              <w:left w:val="single" w:sz="4" w:space="0" w:color="auto"/>
              <w:bottom w:val="single" w:sz="4" w:space="0" w:color="auto"/>
              <w:right w:val="single" w:sz="4" w:space="0" w:color="auto"/>
            </w:tcBorders>
            <w:hideMark/>
          </w:tcPr>
          <w:p w14:paraId="10850881" w14:textId="77777777" w:rsidR="009D4A93" w:rsidRPr="00536CFD" w:rsidRDefault="009D4A93" w:rsidP="009D4A93">
            <w:pPr>
              <w:pStyle w:val="ListParagraph"/>
              <w:spacing w:after="0"/>
              <w:ind w:firstLineChars="0" w:firstLine="0"/>
              <w:jc w:val="center"/>
            </w:pPr>
            <w:r w:rsidRPr="00536CFD">
              <w:t>55.064</w:t>
            </w:r>
          </w:p>
        </w:tc>
        <w:tc>
          <w:tcPr>
            <w:tcW w:w="1171" w:type="dxa"/>
            <w:tcBorders>
              <w:top w:val="single" w:sz="4" w:space="0" w:color="auto"/>
              <w:left w:val="single" w:sz="4" w:space="0" w:color="auto"/>
              <w:bottom w:val="single" w:sz="4" w:space="0" w:color="auto"/>
              <w:right w:val="single" w:sz="4" w:space="0" w:color="auto"/>
            </w:tcBorders>
            <w:hideMark/>
          </w:tcPr>
          <w:p w14:paraId="5AA3E83F" w14:textId="77777777" w:rsidR="009D4A93" w:rsidRPr="00536CFD" w:rsidRDefault="009D4A93" w:rsidP="009D4A93">
            <w:pPr>
              <w:pStyle w:val="ListParagraph"/>
              <w:spacing w:after="0"/>
              <w:ind w:firstLineChars="0" w:firstLine="0"/>
              <w:jc w:val="center"/>
            </w:pPr>
            <w:r w:rsidRPr="00536CFD">
              <w:t>55.591</w:t>
            </w:r>
          </w:p>
        </w:tc>
        <w:tc>
          <w:tcPr>
            <w:tcW w:w="1171" w:type="dxa"/>
            <w:tcBorders>
              <w:top w:val="single" w:sz="4" w:space="0" w:color="auto"/>
              <w:left w:val="single" w:sz="4" w:space="0" w:color="auto"/>
              <w:bottom w:val="single" w:sz="4" w:space="0" w:color="auto"/>
              <w:right w:val="single" w:sz="4" w:space="0" w:color="auto"/>
            </w:tcBorders>
            <w:hideMark/>
          </w:tcPr>
          <w:p w14:paraId="5D11993E" w14:textId="77777777" w:rsidR="009D4A93" w:rsidRPr="00536CFD" w:rsidRDefault="009D4A93" w:rsidP="009D4A93">
            <w:pPr>
              <w:pStyle w:val="ListParagraph"/>
              <w:spacing w:after="0"/>
              <w:ind w:firstLineChars="0" w:firstLine="0"/>
              <w:jc w:val="center"/>
            </w:pPr>
            <w:r w:rsidRPr="00536CFD">
              <w:t>41.878</w:t>
            </w:r>
          </w:p>
        </w:tc>
        <w:tc>
          <w:tcPr>
            <w:tcW w:w="1171" w:type="dxa"/>
            <w:tcBorders>
              <w:top w:val="single" w:sz="4" w:space="0" w:color="auto"/>
              <w:left w:val="single" w:sz="4" w:space="0" w:color="auto"/>
              <w:bottom w:val="single" w:sz="4" w:space="0" w:color="auto"/>
              <w:right w:val="single" w:sz="4" w:space="0" w:color="auto"/>
            </w:tcBorders>
            <w:hideMark/>
          </w:tcPr>
          <w:p w14:paraId="0730CFFF" w14:textId="77777777" w:rsidR="009D4A93" w:rsidRPr="00536CFD" w:rsidRDefault="009D4A93" w:rsidP="009D4A93">
            <w:pPr>
              <w:pStyle w:val="ListParagraph"/>
              <w:spacing w:after="0"/>
              <w:ind w:firstLineChars="0" w:firstLine="0"/>
              <w:jc w:val="center"/>
            </w:pPr>
            <w:r w:rsidRPr="00536CFD">
              <w:t>41.489</w:t>
            </w:r>
          </w:p>
        </w:tc>
        <w:tc>
          <w:tcPr>
            <w:tcW w:w="1171" w:type="dxa"/>
            <w:tcBorders>
              <w:top w:val="single" w:sz="4" w:space="0" w:color="auto"/>
              <w:left w:val="single" w:sz="4" w:space="0" w:color="auto"/>
              <w:bottom w:val="single" w:sz="4" w:space="0" w:color="auto"/>
              <w:right w:val="single" w:sz="4" w:space="0" w:color="auto"/>
            </w:tcBorders>
            <w:hideMark/>
          </w:tcPr>
          <w:p w14:paraId="76A80F66" w14:textId="77777777" w:rsidR="009D4A93" w:rsidRPr="00536CFD" w:rsidRDefault="009D4A93" w:rsidP="009D4A93">
            <w:pPr>
              <w:pStyle w:val="ListParagraph"/>
              <w:spacing w:after="0"/>
              <w:ind w:firstLineChars="0" w:firstLine="0"/>
              <w:jc w:val="center"/>
            </w:pPr>
            <w:r w:rsidRPr="00536CFD">
              <w:t>30.016</w:t>
            </w:r>
          </w:p>
        </w:tc>
        <w:tc>
          <w:tcPr>
            <w:tcW w:w="1261" w:type="dxa"/>
            <w:tcBorders>
              <w:top w:val="single" w:sz="4" w:space="0" w:color="auto"/>
              <w:left w:val="single" w:sz="4" w:space="0" w:color="auto"/>
              <w:bottom w:val="single" w:sz="4" w:space="0" w:color="auto"/>
              <w:right w:val="single" w:sz="4" w:space="0" w:color="auto"/>
            </w:tcBorders>
            <w:hideMark/>
          </w:tcPr>
          <w:p w14:paraId="2863AAE0" w14:textId="77777777" w:rsidR="009D4A93" w:rsidRPr="00536CFD" w:rsidRDefault="009D4A93" w:rsidP="009D4A93">
            <w:pPr>
              <w:pStyle w:val="ListParagraph"/>
              <w:spacing w:after="0"/>
              <w:ind w:firstLineChars="0" w:firstLine="0"/>
              <w:jc w:val="center"/>
            </w:pPr>
            <w:r w:rsidRPr="00536CFD">
              <w:t>19.780</w:t>
            </w:r>
          </w:p>
        </w:tc>
      </w:tr>
      <w:tr w:rsidR="009D4A93" w:rsidRPr="00536CFD" w14:paraId="7C752349"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7D90FFED"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3EB733BD"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1548B141" w14:textId="77777777" w:rsidR="009D4A93" w:rsidRPr="00536CFD" w:rsidRDefault="009D4A93" w:rsidP="009D4A93">
            <w:pPr>
              <w:pStyle w:val="ListParagraph"/>
              <w:spacing w:after="0"/>
              <w:ind w:firstLineChars="0" w:firstLine="0"/>
              <w:jc w:val="center"/>
            </w:pPr>
            <w:r w:rsidRPr="00536CFD">
              <w:t>95%</w:t>
            </w:r>
          </w:p>
        </w:tc>
        <w:tc>
          <w:tcPr>
            <w:tcW w:w="1219" w:type="dxa"/>
            <w:tcBorders>
              <w:top w:val="single" w:sz="4" w:space="0" w:color="auto"/>
              <w:left w:val="single" w:sz="4" w:space="0" w:color="auto"/>
              <w:bottom w:val="single" w:sz="4" w:space="0" w:color="auto"/>
              <w:right w:val="single" w:sz="4" w:space="0" w:color="auto"/>
            </w:tcBorders>
            <w:hideMark/>
          </w:tcPr>
          <w:p w14:paraId="20C4CB0E" w14:textId="77777777" w:rsidR="009D4A93" w:rsidRPr="00536CFD" w:rsidRDefault="009D4A93" w:rsidP="009D4A93">
            <w:pPr>
              <w:pStyle w:val="ListParagraph"/>
              <w:spacing w:after="0"/>
              <w:ind w:firstLineChars="0" w:firstLine="0"/>
              <w:jc w:val="center"/>
            </w:pPr>
            <w:r w:rsidRPr="00536CFD">
              <w:t>73.547</w:t>
            </w:r>
          </w:p>
        </w:tc>
        <w:tc>
          <w:tcPr>
            <w:tcW w:w="1171" w:type="dxa"/>
            <w:tcBorders>
              <w:top w:val="single" w:sz="4" w:space="0" w:color="auto"/>
              <w:left w:val="single" w:sz="4" w:space="0" w:color="auto"/>
              <w:bottom w:val="single" w:sz="4" w:space="0" w:color="auto"/>
              <w:right w:val="single" w:sz="4" w:space="0" w:color="auto"/>
            </w:tcBorders>
            <w:hideMark/>
          </w:tcPr>
          <w:p w14:paraId="38AE93A8" w14:textId="77777777" w:rsidR="009D4A93" w:rsidRPr="00536CFD" w:rsidRDefault="009D4A93" w:rsidP="009D4A93">
            <w:pPr>
              <w:pStyle w:val="ListParagraph"/>
              <w:spacing w:after="0"/>
              <w:ind w:firstLineChars="0" w:firstLine="0"/>
              <w:jc w:val="center"/>
            </w:pPr>
            <w:r w:rsidRPr="00536CFD">
              <w:t>73.566</w:t>
            </w:r>
          </w:p>
        </w:tc>
        <w:tc>
          <w:tcPr>
            <w:tcW w:w="1171" w:type="dxa"/>
            <w:tcBorders>
              <w:top w:val="single" w:sz="4" w:space="0" w:color="auto"/>
              <w:left w:val="single" w:sz="4" w:space="0" w:color="auto"/>
              <w:bottom w:val="single" w:sz="4" w:space="0" w:color="auto"/>
              <w:right w:val="single" w:sz="4" w:space="0" w:color="auto"/>
            </w:tcBorders>
            <w:hideMark/>
          </w:tcPr>
          <w:p w14:paraId="1C635705" w14:textId="77777777" w:rsidR="009D4A93" w:rsidRPr="00536CFD" w:rsidRDefault="009D4A93" w:rsidP="009D4A93">
            <w:pPr>
              <w:pStyle w:val="ListParagraph"/>
              <w:spacing w:after="0"/>
              <w:ind w:firstLineChars="0" w:firstLine="0"/>
              <w:jc w:val="center"/>
            </w:pPr>
            <w:r w:rsidRPr="00536CFD">
              <w:t>72.849</w:t>
            </w:r>
          </w:p>
        </w:tc>
        <w:tc>
          <w:tcPr>
            <w:tcW w:w="1171" w:type="dxa"/>
            <w:tcBorders>
              <w:top w:val="single" w:sz="4" w:space="0" w:color="auto"/>
              <w:left w:val="single" w:sz="4" w:space="0" w:color="auto"/>
              <w:bottom w:val="single" w:sz="4" w:space="0" w:color="auto"/>
              <w:right w:val="single" w:sz="4" w:space="0" w:color="auto"/>
            </w:tcBorders>
            <w:hideMark/>
          </w:tcPr>
          <w:p w14:paraId="2A0E1D21" w14:textId="77777777" w:rsidR="009D4A93" w:rsidRPr="00536CFD" w:rsidRDefault="009D4A93" w:rsidP="009D4A93">
            <w:pPr>
              <w:pStyle w:val="ListParagraph"/>
              <w:spacing w:after="0"/>
              <w:ind w:firstLineChars="0" w:firstLine="0"/>
              <w:jc w:val="center"/>
            </w:pPr>
            <w:r w:rsidRPr="00536CFD">
              <w:t>73.248</w:t>
            </w:r>
          </w:p>
        </w:tc>
        <w:tc>
          <w:tcPr>
            <w:tcW w:w="1171" w:type="dxa"/>
            <w:tcBorders>
              <w:top w:val="single" w:sz="4" w:space="0" w:color="auto"/>
              <w:left w:val="single" w:sz="4" w:space="0" w:color="auto"/>
              <w:bottom w:val="single" w:sz="4" w:space="0" w:color="auto"/>
              <w:right w:val="single" w:sz="4" w:space="0" w:color="auto"/>
            </w:tcBorders>
            <w:hideMark/>
          </w:tcPr>
          <w:p w14:paraId="7A804B4F" w14:textId="77777777" w:rsidR="009D4A93" w:rsidRPr="00536CFD" w:rsidRDefault="009D4A93" w:rsidP="009D4A93">
            <w:pPr>
              <w:pStyle w:val="ListParagraph"/>
              <w:spacing w:after="0"/>
              <w:ind w:firstLineChars="0" w:firstLine="0"/>
              <w:jc w:val="center"/>
            </w:pPr>
            <w:r w:rsidRPr="00536CFD">
              <w:t>72.988</w:t>
            </w:r>
          </w:p>
        </w:tc>
        <w:tc>
          <w:tcPr>
            <w:tcW w:w="1261" w:type="dxa"/>
            <w:tcBorders>
              <w:top w:val="single" w:sz="4" w:space="0" w:color="auto"/>
              <w:left w:val="single" w:sz="4" w:space="0" w:color="auto"/>
              <w:bottom w:val="single" w:sz="4" w:space="0" w:color="auto"/>
              <w:right w:val="single" w:sz="4" w:space="0" w:color="auto"/>
            </w:tcBorders>
            <w:hideMark/>
          </w:tcPr>
          <w:p w14:paraId="26D60B1D" w14:textId="77777777" w:rsidR="009D4A93" w:rsidRPr="00536CFD" w:rsidRDefault="009D4A93" w:rsidP="009D4A93">
            <w:pPr>
              <w:pStyle w:val="ListParagraph"/>
              <w:spacing w:after="0"/>
              <w:ind w:firstLineChars="0" w:firstLine="0"/>
              <w:jc w:val="center"/>
            </w:pPr>
            <w:r w:rsidRPr="00536CFD">
              <w:t>61.286</w:t>
            </w:r>
          </w:p>
        </w:tc>
      </w:tr>
      <w:tr w:rsidR="009D4A93" w:rsidRPr="00536CFD" w14:paraId="01E369EF"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34D799DC"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4E366DF4"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19250C19" w14:textId="77777777" w:rsidR="009D4A93" w:rsidRPr="00536CFD" w:rsidRDefault="009D4A93" w:rsidP="009D4A93">
            <w:pPr>
              <w:pStyle w:val="ListParagraph"/>
              <w:spacing w:after="0"/>
              <w:ind w:firstLineChars="0" w:firstLine="0"/>
              <w:jc w:val="center"/>
            </w:pPr>
            <w:r w:rsidRPr="00536CFD">
              <w:t>Mean</w:t>
            </w:r>
          </w:p>
        </w:tc>
        <w:tc>
          <w:tcPr>
            <w:tcW w:w="1219" w:type="dxa"/>
            <w:tcBorders>
              <w:top w:val="single" w:sz="4" w:space="0" w:color="auto"/>
              <w:left w:val="single" w:sz="4" w:space="0" w:color="auto"/>
              <w:bottom w:val="single" w:sz="4" w:space="0" w:color="auto"/>
              <w:right w:val="single" w:sz="4" w:space="0" w:color="auto"/>
            </w:tcBorders>
            <w:hideMark/>
          </w:tcPr>
          <w:p w14:paraId="3D4DE87C" w14:textId="77777777" w:rsidR="009D4A93" w:rsidRPr="00536CFD" w:rsidRDefault="009D4A93" w:rsidP="009D4A93">
            <w:pPr>
              <w:pStyle w:val="ListParagraph"/>
              <w:spacing w:after="0"/>
              <w:ind w:firstLineChars="0" w:firstLine="0"/>
              <w:jc w:val="center"/>
            </w:pPr>
            <w:r w:rsidRPr="00536CFD">
              <w:t>54.467</w:t>
            </w:r>
          </w:p>
        </w:tc>
        <w:tc>
          <w:tcPr>
            <w:tcW w:w="1171" w:type="dxa"/>
            <w:tcBorders>
              <w:top w:val="single" w:sz="4" w:space="0" w:color="auto"/>
              <w:left w:val="single" w:sz="4" w:space="0" w:color="auto"/>
              <w:bottom w:val="single" w:sz="4" w:space="0" w:color="auto"/>
              <w:right w:val="single" w:sz="4" w:space="0" w:color="auto"/>
            </w:tcBorders>
            <w:hideMark/>
          </w:tcPr>
          <w:p w14:paraId="70DCA8DF" w14:textId="77777777" w:rsidR="009D4A93" w:rsidRPr="00536CFD" w:rsidRDefault="009D4A93" w:rsidP="009D4A93">
            <w:pPr>
              <w:pStyle w:val="ListParagraph"/>
              <w:spacing w:after="0"/>
              <w:ind w:firstLineChars="0" w:firstLine="0"/>
              <w:jc w:val="center"/>
            </w:pPr>
            <w:r w:rsidRPr="00536CFD">
              <w:t>53.842</w:t>
            </w:r>
          </w:p>
        </w:tc>
        <w:tc>
          <w:tcPr>
            <w:tcW w:w="1171" w:type="dxa"/>
            <w:tcBorders>
              <w:top w:val="single" w:sz="4" w:space="0" w:color="auto"/>
              <w:left w:val="single" w:sz="4" w:space="0" w:color="auto"/>
              <w:bottom w:val="single" w:sz="4" w:space="0" w:color="auto"/>
              <w:right w:val="single" w:sz="4" w:space="0" w:color="auto"/>
            </w:tcBorders>
            <w:hideMark/>
          </w:tcPr>
          <w:p w14:paraId="5C476C52" w14:textId="77777777" w:rsidR="009D4A93" w:rsidRPr="00536CFD" w:rsidRDefault="009D4A93" w:rsidP="009D4A93">
            <w:pPr>
              <w:pStyle w:val="ListParagraph"/>
              <w:spacing w:after="0"/>
              <w:ind w:firstLineChars="0" w:firstLine="0"/>
              <w:jc w:val="center"/>
            </w:pPr>
            <w:r w:rsidRPr="00536CFD">
              <w:t>42.875</w:t>
            </w:r>
          </w:p>
        </w:tc>
        <w:tc>
          <w:tcPr>
            <w:tcW w:w="1171" w:type="dxa"/>
            <w:tcBorders>
              <w:top w:val="single" w:sz="4" w:space="0" w:color="auto"/>
              <w:left w:val="single" w:sz="4" w:space="0" w:color="auto"/>
              <w:bottom w:val="single" w:sz="4" w:space="0" w:color="auto"/>
              <w:right w:val="single" w:sz="4" w:space="0" w:color="auto"/>
            </w:tcBorders>
            <w:hideMark/>
          </w:tcPr>
          <w:p w14:paraId="3B1362A0" w14:textId="77777777" w:rsidR="009D4A93" w:rsidRPr="00536CFD" w:rsidRDefault="009D4A93" w:rsidP="009D4A93">
            <w:pPr>
              <w:pStyle w:val="ListParagraph"/>
              <w:spacing w:after="0"/>
              <w:ind w:firstLineChars="0" w:firstLine="0"/>
              <w:jc w:val="center"/>
            </w:pPr>
            <w:r w:rsidRPr="00536CFD">
              <w:t>40.371</w:t>
            </w:r>
          </w:p>
        </w:tc>
        <w:tc>
          <w:tcPr>
            <w:tcW w:w="1171" w:type="dxa"/>
            <w:tcBorders>
              <w:top w:val="single" w:sz="4" w:space="0" w:color="auto"/>
              <w:left w:val="single" w:sz="4" w:space="0" w:color="auto"/>
              <w:bottom w:val="single" w:sz="4" w:space="0" w:color="auto"/>
              <w:right w:val="single" w:sz="4" w:space="0" w:color="auto"/>
            </w:tcBorders>
            <w:hideMark/>
          </w:tcPr>
          <w:p w14:paraId="71BB6FFC" w14:textId="77777777" w:rsidR="009D4A93" w:rsidRPr="00536CFD" w:rsidRDefault="009D4A93" w:rsidP="009D4A93">
            <w:pPr>
              <w:pStyle w:val="ListParagraph"/>
              <w:spacing w:after="0"/>
              <w:ind w:firstLineChars="0" w:firstLine="0"/>
              <w:jc w:val="center"/>
            </w:pPr>
            <w:r w:rsidRPr="00536CFD">
              <w:t>30.031</w:t>
            </w:r>
          </w:p>
        </w:tc>
        <w:tc>
          <w:tcPr>
            <w:tcW w:w="1261" w:type="dxa"/>
            <w:tcBorders>
              <w:top w:val="single" w:sz="4" w:space="0" w:color="auto"/>
              <w:left w:val="single" w:sz="4" w:space="0" w:color="auto"/>
              <w:bottom w:val="single" w:sz="4" w:space="0" w:color="auto"/>
              <w:right w:val="single" w:sz="4" w:space="0" w:color="auto"/>
            </w:tcBorders>
            <w:hideMark/>
          </w:tcPr>
          <w:p w14:paraId="3EC40AE9" w14:textId="77777777" w:rsidR="009D4A93" w:rsidRPr="00536CFD" w:rsidRDefault="009D4A93" w:rsidP="009D4A93">
            <w:pPr>
              <w:pStyle w:val="ListParagraph"/>
              <w:spacing w:after="0"/>
              <w:ind w:firstLineChars="0" w:firstLine="0"/>
              <w:jc w:val="center"/>
            </w:pPr>
            <w:r w:rsidRPr="00536CFD">
              <w:t>26.182</w:t>
            </w:r>
          </w:p>
        </w:tc>
      </w:tr>
      <w:tr w:rsidR="009D4A93" w:rsidRPr="00536CFD" w14:paraId="095B0EAD"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0C63AEC6" w14:textId="77777777" w:rsidR="009D4A93" w:rsidRPr="00536CFD" w:rsidRDefault="009D4A93" w:rsidP="009D4A93">
            <w:pPr>
              <w:spacing w:after="0"/>
              <w:rPr>
                <w:lang w:eastAsia="zh-CN"/>
              </w:rPr>
            </w:pPr>
          </w:p>
        </w:tc>
        <w:tc>
          <w:tcPr>
            <w:tcW w:w="494" w:type="dxa"/>
            <w:vMerge w:val="restart"/>
            <w:tcBorders>
              <w:top w:val="single" w:sz="4" w:space="0" w:color="auto"/>
              <w:left w:val="single" w:sz="4" w:space="0" w:color="auto"/>
              <w:bottom w:val="single" w:sz="4" w:space="0" w:color="auto"/>
              <w:right w:val="single" w:sz="4" w:space="0" w:color="auto"/>
            </w:tcBorders>
            <w:hideMark/>
          </w:tcPr>
          <w:p w14:paraId="67349734" w14:textId="77777777" w:rsidR="009D4A93" w:rsidRPr="00536CFD" w:rsidRDefault="009D4A93" w:rsidP="009D4A93">
            <w:pPr>
              <w:pStyle w:val="ListParagraph"/>
              <w:spacing w:after="0"/>
              <w:ind w:firstLineChars="0" w:firstLine="0"/>
              <w:jc w:val="center"/>
            </w:pPr>
            <w:r w:rsidRPr="00536CFD">
              <w:rPr>
                <w:b/>
              </w:rPr>
              <w:t>UL:</w:t>
            </w:r>
          </w:p>
          <w:p w14:paraId="67999C57" w14:textId="77777777" w:rsidR="009D4A93" w:rsidRPr="00536CFD" w:rsidRDefault="009D4A93" w:rsidP="009D4A93">
            <w:pPr>
              <w:pStyle w:val="ListParagraph"/>
              <w:spacing w:after="0"/>
              <w:ind w:firstLineChars="0" w:firstLine="0"/>
              <w:jc w:val="center"/>
            </w:pPr>
            <w:r w:rsidRPr="00536CFD">
              <w:t>Delay CDF</w:t>
            </w:r>
          </w:p>
          <w:p w14:paraId="0B0FAD32" w14:textId="77777777" w:rsidR="009D4A93" w:rsidRPr="00536CFD" w:rsidRDefault="009D4A93" w:rsidP="009D4A93">
            <w:pPr>
              <w:pStyle w:val="ListParagraph"/>
              <w:spacing w:after="0"/>
              <w:ind w:firstLineChars="0" w:firstLine="0"/>
              <w:jc w:val="center"/>
            </w:pPr>
            <w:r w:rsidRPr="00536CFD">
              <w:t>[s]</w:t>
            </w:r>
          </w:p>
        </w:tc>
        <w:tc>
          <w:tcPr>
            <w:tcW w:w="494" w:type="dxa"/>
            <w:tcBorders>
              <w:top w:val="single" w:sz="4" w:space="0" w:color="auto"/>
              <w:left w:val="single" w:sz="4" w:space="0" w:color="auto"/>
              <w:bottom w:val="single" w:sz="4" w:space="0" w:color="auto"/>
              <w:right w:val="single" w:sz="4" w:space="0" w:color="auto"/>
            </w:tcBorders>
            <w:hideMark/>
          </w:tcPr>
          <w:p w14:paraId="737406BE" w14:textId="77777777" w:rsidR="009D4A93" w:rsidRPr="00536CFD" w:rsidRDefault="009D4A93" w:rsidP="009D4A93">
            <w:pPr>
              <w:pStyle w:val="ListParagraph"/>
              <w:spacing w:after="0"/>
              <w:ind w:firstLineChars="0" w:firstLine="0"/>
              <w:jc w:val="center"/>
            </w:pPr>
            <w:r w:rsidRPr="00536CFD">
              <w:t>5%</w:t>
            </w:r>
          </w:p>
        </w:tc>
        <w:tc>
          <w:tcPr>
            <w:tcW w:w="1219" w:type="dxa"/>
            <w:tcBorders>
              <w:top w:val="single" w:sz="4" w:space="0" w:color="auto"/>
              <w:left w:val="single" w:sz="4" w:space="0" w:color="auto"/>
              <w:bottom w:val="single" w:sz="4" w:space="0" w:color="auto"/>
              <w:right w:val="single" w:sz="4" w:space="0" w:color="auto"/>
            </w:tcBorders>
            <w:hideMark/>
          </w:tcPr>
          <w:p w14:paraId="45338DFA" w14:textId="77777777" w:rsidR="009D4A93" w:rsidRPr="00536CFD" w:rsidRDefault="009D4A93" w:rsidP="009D4A93">
            <w:pPr>
              <w:pStyle w:val="ListParagraph"/>
              <w:spacing w:after="0"/>
              <w:ind w:firstLineChars="0" w:firstLine="0"/>
              <w:jc w:val="center"/>
            </w:pPr>
            <w:r w:rsidRPr="00536CFD">
              <w:t>0.054</w:t>
            </w:r>
          </w:p>
        </w:tc>
        <w:tc>
          <w:tcPr>
            <w:tcW w:w="1171" w:type="dxa"/>
            <w:tcBorders>
              <w:top w:val="single" w:sz="4" w:space="0" w:color="auto"/>
              <w:left w:val="single" w:sz="4" w:space="0" w:color="auto"/>
              <w:bottom w:val="single" w:sz="4" w:space="0" w:color="auto"/>
              <w:right w:val="single" w:sz="4" w:space="0" w:color="auto"/>
            </w:tcBorders>
            <w:hideMark/>
          </w:tcPr>
          <w:p w14:paraId="65DA7979" w14:textId="77777777" w:rsidR="009D4A93" w:rsidRPr="00536CFD" w:rsidRDefault="009D4A93" w:rsidP="009D4A93">
            <w:pPr>
              <w:pStyle w:val="ListParagraph"/>
              <w:spacing w:after="0"/>
              <w:ind w:firstLineChars="0" w:firstLine="0"/>
              <w:jc w:val="center"/>
            </w:pPr>
            <w:r w:rsidRPr="00536CFD">
              <w:t>0.054</w:t>
            </w:r>
          </w:p>
        </w:tc>
        <w:tc>
          <w:tcPr>
            <w:tcW w:w="1171" w:type="dxa"/>
            <w:tcBorders>
              <w:top w:val="single" w:sz="4" w:space="0" w:color="auto"/>
              <w:left w:val="single" w:sz="4" w:space="0" w:color="auto"/>
              <w:bottom w:val="single" w:sz="4" w:space="0" w:color="auto"/>
              <w:right w:val="single" w:sz="4" w:space="0" w:color="auto"/>
            </w:tcBorders>
            <w:hideMark/>
          </w:tcPr>
          <w:p w14:paraId="09730601" w14:textId="77777777" w:rsidR="009D4A93" w:rsidRPr="00536CFD" w:rsidRDefault="009D4A93" w:rsidP="009D4A93">
            <w:pPr>
              <w:pStyle w:val="ListParagraph"/>
              <w:spacing w:after="0"/>
              <w:ind w:firstLineChars="0" w:firstLine="0"/>
              <w:jc w:val="center"/>
            </w:pPr>
            <w:r w:rsidRPr="00536CFD">
              <w:t>0.054</w:t>
            </w:r>
          </w:p>
        </w:tc>
        <w:tc>
          <w:tcPr>
            <w:tcW w:w="1171" w:type="dxa"/>
            <w:tcBorders>
              <w:top w:val="single" w:sz="4" w:space="0" w:color="auto"/>
              <w:left w:val="single" w:sz="4" w:space="0" w:color="auto"/>
              <w:bottom w:val="single" w:sz="4" w:space="0" w:color="auto"/>
              <w:right w:val="single" w:sz="4" w:space="0" w:color="auto"/>
            </w:tcBorders>
            <w:hideMark/>
          </w:tcPr>
          <w:p w14:paraId="1CBA0F2F" w14:textId="77777777" w:rsidR="009D4A93" w:rsidRPr="00536CFD" w:rsidRDefault="009D4A93" w:rsidP="009D4A93">
            <w:pPr>
              <w:pStyle w:val="ListParagraph"/>
              <w:spacing w:after="0"/>
              <w:ind w:firstLineChars="0" w:firstLine="0"/>
              <w:jc w:val="center"/>
            </w:pPr>
            <w:r w:rsidRPr="00536CFD">
              <w:t>0.054</w:t>
            </w:r>
          </w:p>
        </w:tc>
        <w:tc>
          <w:tcPr>
            <w:tcW w:w="1171" w:type="dxa"/>
            <w:tcBorders>
              <w:top w:val="single" w:sz="4" w:space="0" w:color="auto"/>
              <w:left w:val="single" w:sz="4" w:space="0" w:color="auto"/>
              <w:bottom w:val="single" w:sz="4" w:space="0" w:color="auto"/>
              <w:right w:val="single" w:sz="4" w:space="0" w:color="auto"/>
            </w:tcBorders>
            <w:hideMark/>
          </w:tcPr>
          <w:p w14:paraId="28E5481B" w14:textId="77777777" w:rsidR="009D4A93" w:rsidRPr="00536CFD" w:rsidRDefault="009D4A93" w:rsidP="009D4A93">
            <w:pPr>
              <w:pStyle w:val="ListParagraph"/>
              <w:spacing w:after="0"/>
              <w:ind w:firstLineChars="0" w:firstLine="0"/>
              <w:jc w:val="center"/>
            </w:pPr>
            <w:r w:rsidRPr="00536CFD">
              <w:t>0.054</w:t>
            </w:r>
          </w:p>
        </w:tc>
        <w:tc>
          <w:tcPr>
            <w:tcW w:w="1261" w:type="dxa"/>
            <w:tcBorders>
              <w:top w:val="single" w:sz="4" w:space="0" w:color="auto"/>
              <w:left w:val="single" w:sz="4" w:space="0" w:color="auto"/>
              <w:bottom w:val="single" w:sz="4" w:space="0" w:color="auto"/>
              <w:right w:val="single" w:sz="4" w:space="0" w:color="auto"/>
            </w:tcBorders>
            <w:hideMark/>
          </w:tcPr>
          <w:p w14:paraId="7F0BF8F7" w14:textId="77777777" w:rsidR="009D4A93" w:rsidRPr="00536CFD" w:rsidRDefault="009D4A93" w:rsidP="009D4A93">
            <w:pPr>
              <w:pStyle w:val="ListParagraph"/>
              <w:spacing w:after="0"/>
              <w:ind w:firstLineChars="0" w:firstLine="0"/>
              <w:jc w:val="center"/>
            </w:pPr>
            <w:r w:rsidRPr="00536CFD">
              <w:t>0.054</w:t>
            </w:r>
          </w:p>
        </w:tc>
      </w:tr>
      <w:tr w:rsidR="009D4A93" w:rsidRPr="00536CFD" w14:paraId="40C5632F"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054EA88A"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35A4779F"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018DDF2A" w14:textId="77777777" w:rsidR="009D4A93" w:rsidRPr="00536CFD" w:rsidRDefault="009D4A93" w:rsidP="009D4A93">
            <w:pPr>
              <w:pStyle w:val="ListParagraph"/>
              <w:spacing w:after="0"/>
              <w:ind w:firstLineChars="0" w:firstLine="0"/>
              <w:jc w:val="center"/>
            </w:pPr>
            <w:r w:rsidRPr="00536CFD">
              <w:t>50%</w:t>
            </w:r>
          </w:p>
        </w:tc>
        <w:tc>
          <w:tcPr>
            <w:tcW w:w="1219" w:type="dxa"/>
            <w:tcBorders>
              <w:top w:val="single" w:sz="4" w:space="0" w:color="auto"/>
              <w:left w:val="single" w:sz="4" w:space="0" w:color="auto"/>
              <w:bottom w:val="single" w:sz="4" w:space="0" w:color="auto"/>
              <w:right w:val="single" w:sz="4" w:space="0" w:color="auto"/>
            </w:tcBorders>
            <w:hideMark/>
          </w:tcPr>
          <w:p w14:paraId="3AB6FDEA" w14:textId="77777777" w:rsidR="009D4A93" w:rsidRPr="00536CFD" w:rsidRDefault="009D4A93" w:rsidP="009D4A93">
            <w:pPr>
              <w:pStyle w:val="ListParagraph"/>
              <w:spacing w:after="0"/>
              <w:ind w:firstLineChars="0" w:firstLine="0"/>
              <w:jc w:val="center"/>
            </w:pPr>
            <w:r w:rsidRPr="00536CFD">
              <w:t>0.067</w:t>
            </w:r>
          </w:p>
        </w:tc>
        <w:tc>
          <w:tcPr>
            <w:tcW w:w="1171" w:type="dxa"/>
            <w:tcBorders>
              <w:top w:val="single" w:sz="4" w:space="0" w:color="auto"/>
              <w:left w:val="single" w:sz="4" w:space="0" w:color="auto"/>
              <w:bottom w:val="single" w:sz="4" w:space="0" w:color="auto"/>
              <w:right w:val="single" w:sz="4" w:space="0" w:color="auto"/>
            </w:tcBorders>
            <w:hideMark/>
          </w:tcPr>
          <w:p w14:paraId="1937C191" w14:textId="77777777" w:rsidR="009D4A93" w:rsidRPr="00536CFD" w:rsidRDefault="009D4A93" w:rsidP="009D4A93">
            <w:pPr>
              <w:pStyle w:val="ListParagraph"/>
              <w:spacing w:after="0"/>
              <w:ind w:firstLineChars="0" w:firstLine="0"/>
              <w:jc w:val="center"/>
            </w:pPr>
            <w:r w:rsidRPr="00536CFD">
              <w:t>0.064</w:t>
            </w:r>
          </w:p>
        </w:tc>
        <w:tc>
          <w:tcPr>
            <w:tcW w:w="1171" w:type="dxa"/>
            <w:tcBorders>
              <w:top w:val="single" w:sz="4" w:space="0" w:color="auto"/>
              <w:left w:val="single" w:sz="4" w:space="0" w:color="auto"/>
              <w:bottom w:val="single" w:sz="4" w:space="0" w:color="auto"/>
              <w:right w:val="single" w:sz="4" w:space="0" w:color="auto"/>
            </w:tcBorders>
            <w:hideMark/>
          </w:tcPr>
          <w:p w14:paraId="0B09A887" w14:textId="77777777" w:rsidR="009D4A93" w:rsidRPr="00536CFD" w:rsidRDefault="009D4A93" w:rsidP="009D4A93">
            <w:pPr>
              <w:pStyle w:val="ListParagraph"/>
              <w:spacing w:after="0"/>
              <w:ind w:firstLineChars="0" w:firstLine="0"/>
              <w:jc w:val="center"/>
            </w:pPr>
            <w:r w:rsidRPr="00536CFD">
              <w:t>0.085</w:t>
            </w:r>
          </w:p>
        </w:tc>
        <w:tc>
          <w:tcPr>
            <w:tcW w:w="1171" w:type="dxa"/>
            <w:tcBorders>
              <w:top w:val="single" w:sz="4" w:space="0" w:color="auto"/>
              <w:left w:val="single" w:sz="4" w:space="0" w:color="auto"/>
              <w:bottom w:val="single" w:sz="4" w:space="0" w:color="auto"/>
              <w:right w:val="single" w:sz="4" w:space="0" w:color="auto"/>
            </w:tcBorders>
            <w:hideMark/>
          </w:tcPr>
          <w:p w14:paraId="0C92F626" w14:textId="77777777" w:rsidR="009D4A93" w:rsidRPr="00536CFD" w:rsidRDefault="009D4A93" w:rsidP="009D4A93">
            <w:pPr>
              <w:pStyle w:val="ListParagraph"/>
              <w:spacing w:after="0"/>
              <w:ind w:firstLineChars="0" w:firstLine="0"/>
              <w:jc w:val="center"/>
            </w:pPr>
            <w:r w:rsidRPr="00536CFD">
              <w:t>0.106</w:t>
            </w:r>
          </w:p>
        </w:tc>
        <w:tc>
          <w:tcPr>
            <w:tcW w:w="1171" w:type="dxa"/>
            <w:tcBorders>
              <w:top w:val="single" w:sz="4" w:space="0" w:color="auto"/>
              <w:left w:val="single" w:sz="4" w:space="0" w:color="auto"/>
              <w:bottom w:val="single" w:sz="4" w:space="0" w:color="auto"/>
              <w:right w:val="single" w:sz="4" w:space="0" w:color="auto"/>
            </w:tcBorders>
            <w:hideMark/>
          </w:tcPr>
          <w:p w14:paraId="7CF9BEA2" w14:textId="77777777" w:rsidR="009D4A93" w:rsidRPr="00536CFD" w:rsidRDefault="009D4A93" w:rsidP="009D4A93">
            <w:pPr>
              <w:pStyle w:val="ListParagraph"/>
              <w:spacing w:after="0"/>
              <w:ind w:firstLineChars="0" w:firstLine="0"/>
              <w:jc w:val="center"/>
            </w:pPr>
            <w:r w:rsidRPr="00536CFD">
              <w:t>0.165</w:t>
            </w:r>
          </w:p>
        </w:tc>
        <w:tc>
          <w:tcPr>
            <w:tcW w:w="1261" w:type="dxa"/>
            <w:tcBorders>
              <w:top w:val="single" w:sz="4" w:space="0" w:color="auto"/>
              <w:left w:val="single" w:sz="4" w:space="0" w:color="auto"/>
              <w:bottom w:val="single" w:sz="4" w:space="0" w:color="auto"/>
              <w:right w:val="single" w:sz="4" w:space="0" w:color="auto"/>
            </w:tcBorders>
            <w:hideMark/>
          </w:tcPr>
          <w:p w14:paraId="14133AD9" w14:textId="77777777" w:rsidR="009D4A93" w:rsidRPr="00536CFD" w:rsidRDefault="009D4A93" w:rsidP="009D4A93">
            <w:pPr>
              <w:pStyle w:val="ListParagraph"/>
              <w:spacing w:after="0"/>
              <w:ind w:firstLineChars="0" w:firstLine="0"/>
              <w:jc w:val="center"/>
            </w:pPr>
            <w:r w:rsidRPr="00536CFD">
              <w:t>0.164</w:t>
            </w:r>
          </w:p>
        </w:tc>
      </w:tr>
      <w:tr w:rsidR="009D4A93" w:rsidRPr="00536CFD" w14:paraId="5AED4717"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6F7ADF6F"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57DA8B9A"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762A6A89" w14:textId="77777777" w:rsidR="009D4A93" w:rsidRPr="00536CFD" w:rsidRDefault="009D4A93" w:rsidP="009D4A93">
            <w:pPr>
              <w:pStyle w:val="ListParagraph"/>
              <w:spacing w:after="0"/>
              <w:ind w:firstLineChars="0" w:firstLine="0"/>
              <w:jc w:val="center"/>
            </w:pPr>
            <w:r w:rsidRPr="00536CFD">
              <w:t>95%</w:t>
            </w:r>
          </w:p>
        </w:tc>
        <w:tc>
          <w:tcPr>
            <w:tcW w:w="1219" w:type="dxa"/>
            <w:tcBorders>
              <w:top w:val="single" w:sz="4" w:space="0" w:color="auto"/>
              <w:left w:val="single" w:sz="4" w:space="0" w:color="auto"/>
              <w:bottom w:val="single" w:sz="4" w:space="0" w:color="auto"/>
              <w:right w:val="single" w:sz="4" w:space="0" w:color="auto"/>
            </w:tcBorders>
            <w:hideMark/>
          </w:tcPr>
          <w:p w14:paraId="5445F092" w14:textId="77777777" w:rsidR="009D4A93" w:rsidRPr="00536CFD" w:rsidRDefault="009D4A93" w:rsidP="009D4A93">
            <w:pPr>
              <w:pStyle w:val="ListParagraph"/>
              <w:spacing w:after="0"/>
              <w:ind w:firstLineChars="0" w:firstLine="0"/>
              <w:jc w:val="center"/>
            </w:pPr>
            <w:r w:rsidRPr="00536CFD">
              <w:t>0.175</w:t>
            </w:r>
          </w:p>
        </w:tc>
        <w:tc>
          <w:tcPr>
            <w:tcW w:w="1171" w:type="dxa"/>
            <w:tcBorders>
              <w:top w:val="single" w:sz="4" w:space="0" w:color="auto"/>
              <w:left w:val="single" w:sz="4" w:space="0" w:color="auto"/>
              <w:bottom w:val="single" w:sz="4" w:space="0" w:color="auto"/>
              <w:right w:val="single" w:sz="4" w:space="0" w:color="auto"/>
            </w:tcBorders>
            <w:hideMark/>
          </w:tcPr>
          <w:p w14:paraId="1A2AF2F9" w14:textId="77777777" w:rsidR="009D4A93" w:rsidRPr="00536CFD" w:rsidRDefault="009D4A93" w:rsidP="009D4A93">
            <w:pPr>
              <w:pStyle w:val="ListParagraph"/>
              <w:spacing w:after="0"/>
              <w:ind w:firstLineChars="0" w:firstLine="0"/>
              <w:jc w:val="center"/>
            </w:pPr>
            <w:r w:rsidRPr="00536CFD">
              <w:t>0.205</w:t>
            </w:r>
          </w:p>
        </w:tc>
        <w:tc>
          <w:tcPr>
            <w:tcW w:w="1171" w:type="dxa"/>
            <w:tcBorders>
              <w:top w:val="single" w:sz="4" w:space="0" w:color="auto"/>
              <w:left w:val="single" w:sz="4" w:space="0" w:color="auto"/>
              <w:bottom w:val="single" w:sz="4" w:space="0" w:color="auto"/>
              <w:right w:val="single" w:sz="4" w:space="0" w:color="auto"/>
            </w:tcBorders>
            <w:hideMark/>
          </w:tcPr>
          <w:p w14:paraId="7CB7FD71" w14:textId="77777777" w:rsidR="009D4A93" w:rsidRPr="00536CFD" w:rsidRDefault="009D4A93" w:rsidP="009D4A93">
            <w:pPr>
              <w:pStyle w:val="ListParagraph"/>
              <w:spacing w:after="0"/>
              <w:ind w:firstLineChars="0" w:firstLine="0"/>
              <w:jc w:val="center"/>
            </w:pPr>
            <w:r w:rsidRPr="00536CFD">
              <w:t>0.540</w:t>
            </w:r>
          </w:p>
        </w:tc>
        <w:tc>
          <w:tcPr>
            <w:tcW w:w="1171" w:type="dxa"/>
            <w:tcBorders>
              <w:top w:val="single" w:sz="4" w:space="0" w:color="auto"/>
              <w:left w:val="single" w:sz="4" w:space="0" w:color="auto"/>
              <w:bottom w:val="single" w:sz="4" w:space="0" w:color="auto"/>
              <w:right w:val="single" w:sz="4" w:space="0" w:color="auto"/>
            </w:tcBorders>
            <w:hideMark/>
          </w:tcPr>
          <w:p w14:paraId="3982C0BA" w14:textId="77777777" w:rsidR="009D4A93" w:rsidRPr="00536CFD" w:rsidRDefault="009D4A93" w:rsidP="009D4A93">
            <w:pPr>
              <w:pStyle w:val="ListParagraph"/>
              <w:spacing w:after="0"/>
              <w:ind w:firstLineChars="0" w:firstLine="0"/>
              <w:jc w:val="center"/>
            </w:pPr>
            <w:r w:rsidRPr="00536CFD">
              <w:t>0.910</w:t>
            </w:r>
          </w:p>
        </w:tc>
        <w:tc>
          <w:tcPr>
            <w:tcW w:w="1171" w:type="dxa"/>
            <w:tcBorders>
              <w:top w:val="single" w:sz="4" w:space="0" w:color="auto"/>
              <w:left w:val="single" w:sz="4" w:space="0" w:color="auto"/>
              <w:bottom w:val="single" w:sz="4" w:space="0" w:color="auto"/>
              <w:right w:val="single" w:sz="4" w:space="0" w:color="auto"/>
            </w:tcBorders>
            <w:hideMark/>
          </w:tcPr>
          <w:p w14:paraId="68286FF7" w14:textId="77777777" w:rsidR="009D4A93" w:rsidRPr="00536CFD" w:rsidRDefault="009D4A93" w:rsidP="009D4A93">
            <w:pPr>
              <w:pStyle w:val="ListParagraph"/>
              <w:spacing w:after="0"/>
              <w:ind w:firstLineChars="0" w:firstLine="0"/>
              <w:jc w:val="center"/>
            </w:pPr>
            <w:r w:rsidRPr="00536CFD">
              <w:t>1.260</w:t>
            </w:r>
          </w:p>
        </w:tc>
        <w:tc>
          <w:tcPr>
            <w:tcW w:w="1261" w:type="dxa"/>
            <w:tcBorders>
              <w:top w:val="single" w:sz="4" w:space="0" w:color="auto"/>
              <w:left w:val="single" w:sz="4" w:space="0" w:color="auto"/>
              <w:bottom w:val="single" w:sz="4" w:space="0" w:color="auto"/>
              <w:right w:val="single" w:sz="4" w:space="0" w:color="auto"/>
            </w:tcBorders>
            <w:hideMark/>
          </w:tcPr>
          <w:p w14:paraId="725C531C" w14:textId="77777777" w:rsidR="009D4A93" w:rsidRPr="00536CFD" w:rsidRDefault="009D4A93" w:rsidP="009D4A93">
            <w:pPr>
              <w:pStyle w:val="ListParagraph"/>
              <w:spacing w:after="0"/>
              <w:ind w:firstLineChars="0" w:firstLine="0"/>
              <w:jc w:val="center"/>
            </w:pPr>
            <w:r w:rsidRPr="00536CFD">
              <w:t>1.089</w:t>
            </w:r>
          </w:p>
        </w:tc>
      </w:tr>
      <w:tr w:rsidR="009D4A93" w:rsidRPr="00536CFD" w14:paraId="7256AA97"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5BCD292D" w14:textId="77777777" w:rsidR="009D4A93" w:rsidRPr="00536CFD" w:rsidRDefault="009D4A93" w:rsidP="009D4A93">
            <w:pPr>
              <w:spacing w:after="0"/>
              <w:rPr>
                <w:lang w:eastAsia="zh-CN"/>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68B18BCC" w14:textId="77777777" w:rsidR="009D4A93" w:rsidRPr="00536CFD" w:rsidRDefault="009D4A93" w:rsidP="009D4A93">
            <w:pPr>
              <w:spacing w:after="0"/>
              <w:rPr>
                <w:lang w:eastAsia="zh-CN"/>
              </w:rPr>
            </w:pPr>
          </w:p>
        </w:tc>
        <w:tc>
          <w:tcPr>
            <w:tcW w:w="494" w:type="dxa"/>
            <w:tcBorders>
              <w:top w:val="single" w:sz="4" w:space="0" w:color="auto"/>
              <w:left w:val="single" w:sz="4" w:space="0" w:color="auto"/>
              <w:bottom w:val="single" w:sz="4" w:space="0" w:color="auto"/>
              <w:right w:val="single" w:sz="4" w:space="0" w:color="auto"/>
            </w:tcBorders>
            <w:hideMark/>
          </w:tcPr>
          <w:p w14:paraId="7E4CF2E3" w14:textId="77777777" w:rsidR="009D4A93" w:rsidRPr="00536CFD" w:rsidRDefault="009D4A93" w:rsidP="009D4A93">
            <w:pPr>
              <w:pStyle w:val="ListParagraph"/>
              <w:spacing w:after="0"/>
              <w:ind w:firstLineChars="0" w:firstLine="0"/>
              <w:jc w:val="center"/>
            </w:pPr>
            <w:r w:rsidRPr="00536CFD">
              <w:t>Mean</w:t>
            </w:r>
          </w:p>
        </w:tc>
        <w:tc>
          <w:tcPr>
            <w:tcW w:w="1219" w:type="dxa"/>
            <w:tcBorders>
              <w:top w:val="single" w:sz="4" w:space="0" w:color="auto"/>
              <w:left w:val="single" w:sz="4" w:space="0" w:color="auto"/>
              <w:bottom w:val="single" w:sz="4" w:space="0" w:color="auto"/>
              <w:right w:val="single" w:sz="4" w:space="0" w:color="auto"/>
            </w:tcBorders>
            <w:hideMark/>
          </w:tcPr>
          <w:p w14:paraId="690EF03D" w14:textId="77777777" w:rsidR="009D4A93" w:rsidRPr="00536CFD" w:rsidRDefault="009D4A93" w:rsidP="009D4A93">
            <w:pPr>
              <w:pStyle w:val="ListParagraph"/>
              <w:spacing w:after="0"/>
              <w:ind w:firstLineChars="0" w:firstLine="0"/>
              <w:jc w:val="center"/>
            </w:pPr>
            <w:r w:rsidRPr="00536CFD">
              <w:t>0.088</w:t>
            </w:r>
          </w:p>
        </w:tc>
        <w:tc>
          <w:tcPr>
            <w:tcW w:w="1171" w:type="dxa"/>
            <w:tcBorders>
              <w:top w:val="single" w:sz="4" w:space="0" w:color="auto"/>
              <w:left w:val="single" w:sz="4" w:space="0" w:color="auto"/>
              <w:bottom w:val="single" w:sz="4" w:space="0" w:color="auto"/>
              <w:right w:val="single" w:sz="4" w:space="0" w:color="auto"/>
            </w:tcBorders>
            <w:hideMark/>
          </w:tcPr>
          <w:p w14:paraId="7D234513" w14:textId="77777777" w:rsidR="009D4A93" w:rsidRPr="00536CFD" w:rsidRDefault="009D4A93" w:rsidP="009D4A93">
            <w:pPr>
              <w:pStyle w:val="ListParagraph"/>
              <w:spacing w:after="0"/>
              <w:ind w:firstLineChars="0" w:firstLine="0"/>
              <w:jc w:val="center"/>
            </w:pPr>
            <w:r w:rsidRPr="00536CFD">
              <w:t>0.111</w:t>
            </w:r>
          </w:p>
        </w:tc>
        <w:tc>
          <w:tcPr>
            <w:tcW w:w="1171" w:type="dxa"/>
            <w:tcBorders>
              <w:top w:val="single" w:sz="4" w:space="0" w:color="auto"/>
              <w:left w:val="single" w:sz="4" w:space="0" w:color="auto"/>
              <w:bottom w:val="single" w:sz="4" w:space="0" w:color="auto"/>
              <w:right w:val="single" w:sz="4" w:space="0" w:color="auto"/>
            </w:tcBorders>
            <w:hideMark/>
          </w:tcPr>
          <w:p w14:paraId="4D1DDFD7" w14:textId="77777777" w:rsidR="009D4A93" w:rsidRPr="00536CFD" w:rsidRDefault="009D4A93" w:rsidP="009D4A93">
            <w:pPr>
              <w:pStyle w:val="ListParagraph"/>
              <w:spacing w:after="0"/>
              <w:ind w:firstLineChars="0" w:firstLine="0"/>
              <w:jc w:val="center"/>
            </w:pPr>
            <w:r w:rsidRPr="00536CFD">
              <w:t>0.149</w:t>
            </w:r>
          </w:p>
        </w:tc>
        <w:tc>
          <w:tcPr>
            <w:tcW w:w="1171" w:type="dxa"/>
            <w:tcBorders>
              <w:top w:val="single" w:sz="4" w:space="0" w:color="auto"/>
              <w:left w:val="single" w:sz="4" w:space="0" w:color="auto"/>
              <w:bottom w:val="single" w:sz="4" w:space="0" w:color="auto"/>
              <w:right w:val="single" w:sz="4" w:space="0" w:color="auto"/>
            </w:tcBorders>
            <w:hideMark/>
          </w:tcPr>
          <w:p w14:paraId="0E21115A" w14:textId="77777777" w:rsidR="009D4A93" w:rsidRPr="00536CFD" w:rsidRDefault="009D4A93" w:rsidP="009D4A93">
            <w:pPr>
              <w:pStyle w:val="ListParagraph"/>
              <w:spacing w:after="0"/>
              <w:ind w:firstLineChars="0" w:firstLine="0"/>
              <w:jc w:val="center"/>
            </w:pPr>
            <w:r w:rsidRPr="00536CFD">
              <w:t>0.227</w:t>
            </w:r>
          </w:p>
        </w:tc>
        <w:tc>
          <w:tcPr>
            <w:tcW w:w="1171" w:type="dxa"/>
            <w:tcBorders>
              <w:top w:val="single" w:sz="4" w:space="0" w:color="auto"/>
              <w:left w:val="single" w:sz="4" w:space="0" w:color="auto"/>
              <w:bottom w:val="single" w:sz="4" w:space="0" w:color="auto"/>
              <w:right w:val="single" w:sz="4" w:space="0" w:color="auto"/>
            </w:tcBorders>
            <w:hideMark/>
          </w:tcPr>
          <w:p w14:paraId="25A35FCC" w14:textId="77777777" w:rsidR="009D4A93" w:rsidRPr="00536CFD" w:rsidRDefault="009D4A93" w:rsidP="009D4A93">
            <w:pPr>
              <w:pStyle w:val="ListParagraph"/>
              <w:spacing w:after="0"/>
              <w:ind w:firstLineChars="0" w:firstLine="0"/>
              <w:jc w:val="center"/>
            </w:pPr>
            <w:r w:rsidRPr="00536CFD">
              <w:t>0.320</w:t>
            </w:r>
          </w:p>
        </w:tc>
        <w:tc>
          <w:tcPr>
            <w:tcW w:w="1261" w:type="dxa"/>
            <w:tcBorders>
              <w:top w:val="single" w:sz="4" w:space="0" w:color="auto"/>
              <w:left w:val="single" w:sz="4" w:space="0" w:color="auto"/>
              <w:bottom w:val="single" w:sz="4" w:space="0" w:color="auto"/>
              <w:right w:val="single" w:sz="4" w:space="0" w:color="auto"/>
            </w:tcBorders>
            <w:hideMark/>
          </w:tcPr>
          <w:p w14:paraId="079ECE22" w14:textId="77777777" w:rsidR="009D4A93" w:rsidRPr="00536CFD" w:rsidRDefault="009D4A93" w:rsidP="009D4A93">
            <w:pPr>
              <w:pStyle w:val="ListParagraph"/>
              <w:spacing w:after="0"/>
              <w:ind w:firstLineChars="0" w:firstLine="0"/>
              <w:jc w:val="center"/>
            </w:pPr>
            <w:r w:rsidRPr="00536CFD">
              <w:t>0.321</w:t>
            </w:r>
          </w:p>
        </w:tc>
      </w:tr>
      <w:tr w:rsidR="009D4A93" w:rsidRPr="00536CFD" w14:paraId="7AC39603"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01DB648F"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hideMark/>
          </w:tcPr>
          <w:p w14:paraId="58AD859C" w14:textId="77777777" w:rsidR="009D4A93" w:rsidRPr="00536CFD" w:rsidRDefault="009D4A93" w:rsidP="009D4A93">
            <w:pPr>
              <w:pStyle w:val="ListParagraph"/>
              <w:spacing w:after="0"/>
              <w:ind w:firstLineChars="0" w:firstLine="0"/>
              <w:jc w:val="center"/>
              <w:rPr>
                <w:rFonts w:ascii="Cambria Math" w:hAnsi="Cambria Math"/>
              </w:rPr>
            </w:pPr>
            <w:r w:rsidRPr="00536CFD">
              <w:rPr>
                <w:rFonts w:ascii="Cambria Math" w:hAnsi="Cambria Math"/>
              </w:rPr>
              <w:t>𝜌</w:t>
            </w:r>
            <w:r w:rsidRPr="00536CFD">
              <w:rPr>
                <w:rFonts w:ascii="Cambria Math" w:hAnsi="Cambria Math"/>
                <w:vertAlign w:val="subscript"/>
              </w:rPr>
              <w:t>DL</w:t>
            </w:r>
          </w:p>
        </w:tc>
        <w:tc>
          <w:tcPr>
            <w:tcW w:w="1219" w:type="dxa"/>
            <w:tcBorders>
              <w:top w:val="single" w:sz="4" w:space="0" w:color="auto"/>
              <w:left w:val="single" w:sz="4" w:space="0" w:color="auto"/>
              <w:bottom w:val="single" w:sz="4" w:space="0" w:color="auto"/>
              <w:right w:val="single" w:sz="4" w:space="0" w:color="auto"/>
            </w:tcBorders>
            <w:hideMark/>
          </w:tcPr>
          <w:p w14:paraId="13EB8C57" w14:textId="77777777" w:rsidR="009D4A93" w:rsidRPr="00536CFD" w:rsidRDefault="009D4A93" w:rsidP="009D4A93">
            <w:pPr>
              <w:pStyle w:val="ListParagraph"/>
              <w:spacing w:after="0"/>
              <w:ind w:firstLineChars="0" w:firstLine="0"/>
              <w:jc w:val="center"/>
            </w:pPr>
            <w:r w:rsidRPr="00536CFD">
              <w:t>1</w:t>
            </w:r>
          </w:p>
        </w:tc>
        <w:tc>
          <w:tcPr>
            <w:tcW w:w="1171" w:type="dxa"/>
            <w:tcBorders>
              <w:top w:val="single" w:sz="4" w:space="0" w:color="auto"/>
              <w:left w:val="single" w:sz="4" w:space="0" w:color="auto"/>
              <w:bottom w:val="single" w:sz="4" w:space="0" w:color="auto"/>
              <w:right w:val="single" w:sz="4" w:space="0" w:color="auto"/>
            </w:tcBorders>
            <w:hideMark/>
          </w:tcPr>
          <w:p w14:paraId="4E73A7D7" w14:textId="77777777" w:rsidR="009D4A93" w:rsidRPr="00536CFD" w:rsidRDefault="009D4A93" w:rsidP="009D4A93">
            <w:pPr>
              <w:pStyle w:val="ListParagraph"/>
              <w:spacing w:after="0"/>
              <w:ind w:firstLineChars="0" w:firstLine="0"/>
              <w:jc w:val="center"/>
            </w:pPr>
            <w:r w:rsidRPr="00536CFD">
              <w:t>1</w:t>
            </w:r>
          </w:p>
        </w:tc>
        <w:tc>
          <w:tcPr>
            <w:tcW w:w="1171" w:type="dxa"/>
            <w:tcBorders>
              <w:top w:val="single" w:sz="4" w:space="0" w:color="auto"/>
              <w:left w:val="single" w:sz="4" w:space="0" w:color="auto"/>
              <w:bottom w:val="single" w:sz="4" w:space="0" w:color="auto"/>
              <w:right w:val="single" w:sz="4" w:space="0" w:color="auto"/>
            </w:tcBorders>
            <w:hideMark/>
          </w:tcPr>
          <w:p w14:paraId="45FAD2D3" w14:textId="77777777" w:rsidR="009D4A93" w:rsidRPr="00536CFD" w:rsidRDefault="009D4A93" w:rsidP="009D4A93">
            <w:pPr>
              <w:pStyle w:val="ListParagraph"/>
              <w:spacing w:after="0"/>
              <w:ind w:firstLineChars="0" w:firstLine="0"/>
              <w:jc w:val="center"/>
            </w:pPr>
            <w:r w:rsidRPr="00536CFD">
              <w:t>0.988</w:t>
            </w:r>
          </w:p>
        </w:tc>
        <w:tc>
          <w:tcPr>
            <w:tcW w:w="1171" w:type="dxa"/>
            <w:tcBorders>
              <w:top w:val="single" w:sz="4" w:space="0" w:color="auto"/>
              <w:left w:val="single" w:sz="4" w:space="0" w:color="auto"/>
              <w:bottom w:val="single" w:sz="4" w:space="0" w:color="auto"/>
              <w:right w:val="single" w:sz="4" w:space="0" w:color="auto"/>
            </w:tcBorders>
            <w:hideMark/>
          </w:tcPr>
          <w:p w14:paraId="4276BBD3" w14:textId="77777777" w:rsidR="009D4A93" w:rsidRPr="00536CFD" w:rsidRDefault="009D4A93" w:rsidP="009D4A93">
            <w:pPr>
              <w:pStyle w:val="ListParagraph"/>
              <w:spacing w:after="0"/>
              <w:ind w:firstLineChars="0" w:firstLine="0"/>
              <w:jc w:val="center"/>
            </w:pPr>
            <w:r w:rsidRPr="00536CFD">
              <w:t>0.968</w:t>
            </w:r>
          </w:p>
        </w:tc>
        <w:tc>
          <w:tcPr>
            <w:tcW w:w="1171" w:type="dxa"/>
            <w:tcBorders>
              <w:top w:val="single" w:sz="4" w:space="0" w:color="auto"/>
              <w:left w:val="single" w:sz="4" w:space="0" w:color="auto"/>
              <w:bottom w:val="single" w:sz="4" w:space="0" w:color="auto"/>
              <w:right w:val="single" w:sz="4" w:space="0" w:color="auto"/>
            </w:tcBorders>
            <w:hideMark/>
          </w:tcPr>
          <w:p w14:paraId="601058F4" w14:textId="77777777" w:rsidR="009D4A93" w:rsidRPr="00536CFD" w:rsidRDefault="009D4A93" w:rsidP="009D4A93">
            <w:pPr>
              <w:pStyle w:val="ListParagraph"/>
              <w:spacing w:after="0"/>
              <w:ind w:firstLineChars="0" w:firstLine="0"/>
              <w:jc w:val="center"/>
            </w:pPr>
            <w:r w:rsidRPr="00536CFD">
              <w:t>0.985</w:t>
            </w:r>
          </w:p>
        </w:tc>
        <w:tc>
          <w:tcPr>
            <w:tcW w:w="1261" w:type="dxa"/>
            <w:tcBorders>
              <w:top w:val="single" w:sz="4" w:space="0" w:color="auto"/>
              <w:left w:val="single" w:sz="4" w:space="0" w:color="auto"/>
              <w:bottom w:val="single" w:sz="4" w:space="0" w:color="auto"/>
              <w:right w:val="single" w:sz="4" w:space="0" w:color="auto"/>
            </w:tcBorders>
            <w:hideMark/>
          </w:tcPr>
          <w:p w14:paraId="6E317788" w14:textId="77777777" w:rsidR="009D4A93" w:rsidRPr="00536CFD" w:rsidRDefault="009D4A93" w:rsidP="009D4A93">
            <w:pPr>
              <w:pStyle w:val="ListParagraph"/>
              <w:spacing w:after="0"/>
              <w:ind w:firstLineChars="0" w:firstLine="0"/>
              <w:jc w:val="center"/>
            </w:pPr>
            <w:r w:rsidRPr="00536CFD">
              <w:t>0.931</w:t>
            </w:r>
          </w:p>
        </w:tc>
      </w:tr>
      <w:tr w:rsidR="009D4A93" w:rsidRPr="00536CFD" w14:paraId="4030B5BC"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3C5EE9CD"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hideMark/>
          </w:tcPr>
          <w:p w14:paraId="203C28ED" w14:textId="77777777" w:rsidR="009D4A93" w:rsidRPr="00536CFD" w:rsidRDefault="009D4A93" w:rsidP="009D4A93">
            <w:pPr>
              <w:pStyle w:val="ListParagraph"/>
              <w:spacing w:after="0"/>
              <w:ind w:firstLineChars="0" w:firstLine="0"/>
              <w:jc w:val="center"/>
              <w:rPr>
                <w:rFonts w:ascii="Cambria Math" w:hAnsi="Cambria Math"/>
              </w:rPr>
            </w:pPr>
            <w:r w:rsidRPr="00536CFD">
              <w:rPr>
                <w:rFonts w:ascii="Cambria Math" w:hAnsi="Cambria Math"/>
              </w:rPr>
              <w:t>𝜌</w:t>
            </w:r>
            <w:r w:rsidRPr="00536CFD">
              <w:rPr>
                <w:rFonts w:ascii="Cambria Math" w:hAnsi="Cambria Math"/>
                <w:vertAlign w:val="subscript"/>
              </w:rPr>
              <w:t>UL</w:t>
            </w:r>
          </w:p>
        </w:tc>
        <w:tc>
          <w:tcPr>
            <w:tcW w:w="1219" w:type="dxa"/>
            <w:tcBorders>
              <w:top w:val="single" w:sz="4" w:space="0" w:color="auto"/>
              <w:left w:val="single" w:sz="4" w:space="0" w:color="auto"/>
              <w:bottom w:val="single" w:sz="4" w:space="0" w:color="auto"/>
              <w:right w:val="single" w:sz="4" w:space="0" w:color="auto"/>
            </w:tcBorders>
            <w:hideMark/>
          </w:tcPr>
          <w:p w14:paraId="3EFAE291" w14:textId="77777777" w:rsidR="009D4A93" w:rsidRPr="00536CFD" w:rsidRDefault="009D4A93" w:rsidP="009D4A93">
            <w:pPr>
              <w:pStyle w:val="ListParagraph"/>
              <w:spacing w:after="0"/>
              <w:ind w:firstLineChars="0" w:firstLine="0"/>
              <w:jc w:val="center"/>
            </w:pPr>
            <w:r w:rsidRPr="00536CFD">
              <w:t>1</w:t>
            </w:r>
          </w:p>
        </w:tc>
        <w:tc>
          <w:tcPr>
            <w:tcW w:w="1171" w:type="dxa"/>
            <w:tcBorders>
              <w:top w:val="single" w:sz="4" w:space="0" w:color="auto"/>
              <w:left w:val="single" w:sz="4" w:space="0" w:color="auto"/>
              <w:bottom w:val="single" w:sz="4" w:space="0" w:color="auto"/>
              <w:right w:val="single" w:sz="4" w:space="0" w:color="auto"/>
            </w:tcBorders>
            <w:hideMark/>
          </w:tcPr>
          <w:p w14:paraId="39D29FAE" w14:textId="77777777" w:rsidR="009D4A93" w:rsidRPr="00536CFD" w:rsidRDefault="009D4A93" w:rsidP="009D4A93">
            <w:pPr>
              <w:pStyle w:val="ListParagraph"/>
              <w:spacing w:after="0"/>
              <w:ind w:firstLineChars="0" w:firstLine="0"/>
              <w:jc w:val="center"/>
            </w:pPr>
            <w:r w:rsidRPr="00536CFD">
              <w:t>1</w:t>
            </w:r>
          </w:p>
        </w:tc>
        <w:tc>
          <w:tcPr>
            <w:tcW w:w="1171" w:type="dxa"/>
            <w:tcBorders>
              <w:top w:val="single" w:sz="4" w:space="0" w:color="auto"/>
              <w:left w:val="single" w:sz="4" w:space="0" w:color="auto"/>
              <w:bottom w:val="single" w:sz="4" w:space="0" w:color="auto"/>
              <w:right w:val="single" w:sz="4" w:space="0" w:color="auto"/>
            </w:tcBorders>
            <w:hideMark/>
          </w:tcPr>
          <w:p w14:paraId="6044A93B" w14:textId="77777777" w:rsidR="009D4A93" w:rsidRPr="00536CFD" w:rsidRDefault="009D4A93" w:rsidP="009D4A93">
            <w:pPr>
              <w:pStyle w:val="ListParagraph"/>
              <w:spacing w:after="0"/>
              <w:ind w:firstLineChars="0" w:firstLine="0"/>
              <w:jc w:val="center"/>
            </w:pPr>
            <w:r w:rsidRPr="00536CFD">
              <w:t>0.991</w:t>
            </w:r>
          </w:p>
        </w:tc>
        <w:tc>
          <w:tcPr>
            <w:tcW w:w="1171" w:type="dxa"/>
            <w:tcBorders>
              <w:top w:val="single" w:sz="4" w:space="0" w:color="auto"/>
              <w:left w:val="single" w:sz="4" w:space="0" w:color="auto"/>
              <w:bottom w:val="single" w:sz="4" w:space="0" w:color="auto"/>
              <w:right w:val="single" w:sz="4" w:space="0" w:color="auto"/>
            </w:tcBorders>
            <w:hideMark/>
          </w:tcPr>
          <w:p w14:paraId="451D202A" w14:textId="77777777" w:rsidR="009D4A93" w:rsidRPr="00536CFD" w:rsidRDefault="009D4A93" w:rsidP="009D4A93">
            <w:pPr>
              <w:pStyle w:val="ListParagraph"/>
              <w:spacing w:after="0"/>
              <w:ind w:firstLineChars="0" w:firstLine="0"/>
              <w:jc w:val="center"/>
            </w:pPr>
            <w:r w:rsidRPr="00536CFD">
              <w:t>0.992</w:t>
            </w:r>
          </w:p>
        </w:tc>
        <w:tc>
          <w:tcPr>
            <w:tcW w:w="1171" w:type="dxa"/>
            <w:tcBorders>
              <w:top w:val="single" w:sz="4" w:space="0" w:color="auto"/>
              <w:left w:val="single" w:sz="4" w:space="0" w:color="auto"/>
              <w:bottom w:val="single" w:sz="4" w:space="0" w:color="auto"/>
              <w:right w:val="single" w:sz="4" w:space="0" w:color="auto"/>
            </w:tcBorders>
            <w:hideMark/>
          </w:tcPr>
          <w:p w14:paraId="0967BC09" w14:textId="77777777" w:rsidR="009D4A93" w:rsidRPr="00536CFD" w:rsidRDefault="009D4A93" w:rsidP="009D4A93">
            <w:pPr>
              <w:pStyle w:val="ListParagraph"/>
              <w:spacing w:after="0"/>
              <w:ind w:firstLineChars="0" w:firstLine="0"/>
              <w:jc w:val="center"/>
            </w:pPr>
            <w:r w:rsidRPr="00536CFD">
              <w:t>0.984</w:t>
            </w:r>
          </w:p>
        </w:tc>
        <w:tc>
          <w:tcPr>
            <w:tcW w:w="1261" w:type="dxa"/>
            <w:tcBorders>
              <w:top w:val="single" w:sz="4" w:space="0" w:color="auto"/>
              <w:left w:val="single" w:sz="4" w:space="0" w:color="auto"/>
              <w:bottom w:val="single" w:sz="4" w:space="0" w:color="auto"/>
              <w:right w:val="single" w:sz="4" w:space="0" w:color="auto"/>
            </w:tcBorders>
            <w:hideMark/>
          </w:tcPr>
          <w:p w14:paraId="6BA55166" w14:textId="77777777" w:rsidR="009D4A93" w:rsidRPr="00536CFD" w:rsidRDefault="009D4A93" w:rsidP="009D4A93">
            <w:pPr>
              <w:pStyle w:val="ListParagraph"/>
              <w:spacing w:after="0"/>
              <w:ind w:firstLineChars="0" w:firstLine="0"/>
              <w:jc w:val="center"/>
            </w:pPr>
            <w:r w:rsidRPr="00536CFD">
              <w:t>0.978</w:t>
            </w:r>
          </w:p>
        </w:tc>
      </w:tr>
      <w:tr w:rsidR="009D4A93" w:rsidRPr="00536CFD" w14:paraId="77D82E7A"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27B8B48E"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hideMark/>
          </w:tcPr>
          <w:p w14:paraId="73F37B75" w14:textId="77777777" w:rsidR="009D4A93" w:rsidRPr="00536CFD" w:rsidRDefault="009D4A93" w:rsidP="009D4A93">
            <w:pPr>
              <w:pStyle w:val="ListParagraph"/>
              <w:spacing w:after="0"/>
              <w:ind w:firstLineChars="0" w:firstLine="0"/>
              <w:jc w:val="center"/>
            </w:pPr>
            <w:r w:rsidRPr="00536CFD">
              <w:t>BO</w:t>
            </w:r>
          </w:p>
        </w:tc>
        <w:tc>
          <w:tcPr>
            <w:tcW w:w="1219" w:type="dxa"/>
            <w:tcBorders>
              <w:top w:val="single" w:sz="4" w:space="0" w:color="auto"/>
              <w:left w:val="single" w:sz="4" w:space="0" w:color="auto"/>
              <w:bottom w:val="single" w:sz="4" w:space="0" w:color="auto"/>
              <w:right w:val="single" w:sz="4" w:space="0" w:color="auto"/>
            </w:tcBorders>
            <w:hideMark/>
          </w:tcPr>
          <w:p w14:paraId="5ED42978" w14:textId="77777777" w:rsidR="009D4A93" w:rsidRPr="00536CFD" w:rsidRDefault="009D4A93" w:rsidP="009D4A93">
            <w:pPr>
              <w:pStyle w:val="ListParagraph"/>
              <w:spacing w:after="0"/>
              <w:ind w:firstLineChars="0" w:firstLine="0"/>
              <w:jc w:val="center"/>
            </w:pPr>
            <w:r w:rsidRPr="00536CFD">
              <w:t>0.075</w:t>
            </w:r>
          </w:p>
        </w:tc>
        <w:tc>
          <w:tcPr>
            <w:tcW w:w="1171" w:type="dxa"/>
            <w:tcBorders>
              <w:top w:val="single" w:sz="4" w:space="0" w:color="auto"/>
              <w:left w:val="single" w:sz="4" w:space="0" w:color="auto"/>
              <w:bottom w:val="single" w:sz="4" w:space="0" w:color="auto"/>
              <w:right w:val="single" w:sz="4" w:space="0" w:color="auto"/>
            </w:tcBorders>
            <w:hideMark/>
          </w:tcPr>
          <w:p w14:paraId="0C47C513" w14:textId="77777777" w:rsidR="009D4A93" w:rsidRPr="00536CFD" w:rsidRDefault="009D4A93" w:rsidP="009D4A93">
            <w:pPr>
              <w:pStyle w:val="ListParagraph"/>
              <w:spacing w:after="0"/>
              <w:ind w:firstLineChars="0" w:firstLine="0"/>
              <w:jc w:val="center"/>
            </w:pPr>
            <w:r w:rsidRPr="00536CFD">
              <w:t>0.081</w:t>
            </w:r>
          </w:p>
        </w:tc>
        <w:tc>
          <w:tcPr>
            <w:tcW w:w="1171" w:type="dxa"/>
            <w:tcBorders>
              <w:top w:val="single" w:sz="4" w:space="0" w:color="auto"/>
              <w:left w:val="single" w:sz="4" w:space="0" w:color="auto"/>
              <w:bottom w:val="single" w:sz="4" w:space="0" w:color="auto"/>
              <w:right w:val="single" w:sz="4" w:space="0" w:color="auto"/>
            </w:tcBorders>
            <w:hideMark/>
          </w:tcPr>
          <w:p w14:paraId="386033A2" w14:textId="77777777" w:rsidR="009D4A93" w:rsidRPr="00536CFD" w:rsidRDefault="009D4A93" w:rsidP="009D4A93">
            <w:pPr>
              <w:pStyle w:val="ListParagraph"/>
              <w:spacing w:after="0"/>
              <w:ind w:firstLineChars="0" w:firstLine="0"/>
              <w:jc w:val="center"/>
            </w:pPr>
            <w:r w:rsidRPr="00536CFD">
              <w:t>0.199</w:t>
            </w:r>
          </w:p>
        </w:tc>
        <w:tc>
          <w:tcPr>
            <w:tcW w:w="1171" w:type="dxa"/>
            <w:tcBorders>
              <w:top w:val="single" w:sz="4" w:space="0" w:color="auto"/>
              <w:left w:val="single" w:sz="4" w:space="0" w:color="auto"/>
              <w:bottom w:val="single" w:sz="4" w:space="0" w:color="auto"/>
              <w:right w:val="single" w:sz="4" w:space="0" w:color="auto"/>
            </w:tcBorders>
            <w:hideMark/>
          </w:tcPr>
          <w:p w14:paraId="5DA99D80" w14:textId="77777777" w:rsidR="009D4A93" w:rsidRPr="00536CFD" w:rsidRDefault="009D4A93" w:rsidP="009D4A93">
            <w:pPr>
              <w:pStyle w:val="ListParagraph"/>
              <w:spacing w:after="0"/>
              <w:ind w:firstLineChars="0" w:firstLine="0"/>
              <w:jc w:val="center"/>
            </w:pPr>
            <w:r w:rsidRPr="00536CFD">
              <w:t>0.252</w:t>
            </w:r>
          </w:p>
        </w:tc>
        <w:tc>
          <w:tcPr>
            <w:tcW w:w="1171" w:type="dxa"/>
            <w:tcBorders>
              <w:top w:val="single" w:sz="4" w:space="0" w:color="auto"/>
              <w:left w:val="single" w:sz="4" w:space="0" w:color="auto"/>
              <w:bottom w:val="single" w:sz="4" w:space="0" w:color="auto"/>
              <w:right w:val="single" w:sz="4" w:space="0" w:color="auto"/>
            </w:tcBorders>
            <w:hideMark/>
          </w:tcPr>
          <w:p w14:paraId="4F0C148F" w14:textId="77777777" w:rsidR="009D4A93" w:rsidRPr="00536CFD" w:rsidRDefault="009D4A93" w:rsidP="009D4A93">
            <w:pPr>
              <w:pStyle w:val="ListParagraph"/>
              <w:spacing w:after="0"/>
              <w:ind w:firstLineChars="0" w:firstLine="0"/>
              <w:jc w:val="center"/>
            </w:pPr>
            <w:r w:rsidRPr="00536CFD">
              <w:t>0.395</w:t>
            </w:r>
          </w:p>
        </w:tc>
        <w:tc>
          <w:tcPr>
            <w:tcW w:w="1261" w:type="dxa"/>
            <w:tcBorders>
              <w:top w:val="single" w:sz="4" w:space="0" w:color="auto"/>
              <w:left w:val="single" w:sz="4" w:space="0" w:color="auto"/>
              <w:bottom w:val="single" w:sz="4" w:space="0" w:color="auto"/>
              <w:right w:val="single" w:sz="4" w:space="0" w:color="auto"/>
            </w:tcBorders>
            <w:hideMark/>
          </w:tcPr>
          <w:p w14:paraId="1D7DA2B8" w14:textId="77777777" w:rsidR="009D4A93" w:rsidRPr="00536CFD" w:rsidRDefault="009D4A93" w:rsidP="009D4A93">
            <w:pPr>
              <w:pStyle w:val="ListParagraph"/>
              <w:spacing w:after="0"/>
              <w:ind w:firstLineChars="0" w:firstLine="0"/>
              <w:jc w:val="center"/>
            </w:pPr>
            <w:r w:rsidRPr="00536CFD">
              <w:t>0.51</w:t>
            </w:r>
          </w:p>
        </w:tc>
      </w:tr>
      <w:tr w:rsidR="009D4A93" w:rsidRPr="00536CFD" w14:paraId="01C064B1"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3B7C0305"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hideMark/>
          </w:tcPr>
          <w:p w14:paraId="1F8CA4AB" w14:textId="77777777" w:rsidR="009D4A93" w:rsidRPr="00536CFD" w:rsidRDefault="009D4A93" w:rsidP="009D4A93">
            <w:pPr>
              <w:pStyle w:val="ListParagraph"/>
              <w:spacing w:after="0"/>
              <w:ind w:firstLineChars="0" w:firstLine="0"/>
              <w:jc w:val="center"/>
            </w:pPr>
            <w:r w:rsidRPr="00536CFD">
              <w:rPr>
                <w:rFonts w:ascii="Cambria Math" w:hAnsi="Cambria Math"/>
              </w:rPr>
              <w:t>𝜆</w:t>
            </w:r>
          </w:p>
        </w:tc>
        <w:tc>
          <w:tcPr>
            <w:tcW w:w="2390" w:type="dxa"/>
            <w:gridSpan w:val="2"/>
            <w:tcBorders>
              <w:top w:val="single" w:sz="4" w:space="0" w:color="auto"/>
              <w:left w:val="single" w:sz="4" w:space="0" w:color="auto"/>
              <w:bottom w:val="single" w:sz="4" w:space="0" w:color="auto"/>
              <w:right w:val="single" w:sz="4" w:space="0" w:color="auto"/>
            </w:tcBorders>
            <w:hideMark/>
          </w:tcPr>
          <w:p w14:paraId="71960364" w14:textId="77777777" w:rsidR="009D4A93" w:rsidRPr="00536CFD" w:rsidRDefault="009D4A93" w:rsidP="009D4A93">
            <w:pPr>
              <w:pStyle w:val="ListParagraph"/>
              <w:spacing w:after="0"/>
              <w:ind w:firstLineChars="0" w:firstLine="0"/>
              <w:jc w:val="center"/>
            </w:pPr>
            <w:r w:rsidRPr="00536CFD">
              <w:t>0.15</w:t>
            </w:r>
          </w:p>
        </w:tc>
        <w:tc>
          <w:tcPr>
            <w:tcW w:w="2342" w:type="dxa"/>
            <w:gridSpan w:val="2"/>
            <w:tcBorders>
              <w:top w:val="single" w:sz="4" w:space="0" w:color="auto"/>
              <w:left w:val="single" w:sz="4" w:space="0" w:color="auto"/>
              <w:bottom w:val="single" w:sz="4" w:space="0" w:color="auto"/>
              <w:right w:val="single" w:sz="4" w:space="0" w:color="auto"/>
            </w:tcBorders>
            <w:hideMark/>
          </w:tcPr>
          <w:p w14:paraId="230D1A47" w14:textId="77777777" w:rsidR="009D4A93" w:rsidRPr="00536CFD" w:rsidRDefault="009D4A93" w:rsidP="009D4A93">
            <w:pPr>
              <w:pStyle w:val="ListParagraph"/>
              <w:spacing w:after="0"/>
              <w:ind w:firstLineChars="0" w:firstLine="0"/>
              <w:jc w:val="center"/>
            </w:pPr>
            <w:r w:rsidRPr="00536CFD">
              <w:t>0.22</w:t>
            </w:r>
          </w:p>
        </w:tc>
        <w:tc>
          <w:tcPr>
            <w:tcW w:w="2432" w:type="dxa"/>
            <w:gridSpan w:val="2"/>
            <w:tcBorders>
              <w:top w:val="single" w:sz="4" w:space="0" w:color="auto"/>
              <w:left w:val="single" w:sz="4" w:space="0" w:color="auto"/>
              <w:bottom w:val="single" w:sz="4" w:space="0" w:color="auto"/>
              <w:right w:val="single" w:sz="4" w:space="0" w:color="auto"/>
            </w:tcBorders>
            <w:hideMark/>
          </w:tcPr>
          <w:p w14:paraId="48B5CE83" w14:textId="77777777" w:rsidR="009D4A93" w:rsidRPr="00536CFD" w:rsidRDefault="009D4A93" w:rsidP="009D4A93">
            <w:pPr>
              <w:pStyle w:val="ListParagraph"/>
              <w:spacing w:after="0"/>
              <w:ind w:firstLineChars="0" w:firstLine="0"/>
              <w:jc w:val="center"/>
            </w:pPr>
            <w:r w:rsidRPr="00536CFD">
              <w:t>0.3</w:t>
            </w:r>
          </w:p>
        </w:tc>
      </w:tr>
      <w:tr w:rsidR="009D4A93" w:rsidRPr="00536CFD" w14:paraId="7BD0F923" w14:textId="77777777" w:rsidTr="009D4A93">
        <w:trPr>
          <w:cantSplit/>
          <w:trHeight w:val="24"/>
          <w:jc w:val="center"/>
        </w:trPr>
        <w:tc>
          <w:tcPr>
            <w:tcW w:w="488" w:type="dxa"/>
            <w:vMerge/>
            <w:tcBorders>
              <w:top w:val="single" w:sz="4" w:space="0" w:color="auto"/>
              <w:left w:val="single" w:sz="4" w:space="0" w:color="auto"/>
              <w:bottom w:val="single" w:sz="4" w:space="0" w:color="auto"/>
              <w:right w:val="single" w:sz="4" w:space="0" w:color="auto"/>
            </w:tcBorders>
            <w:vAlign w:val="center"/>
            <w:hideMark/>
          </w:tcPr>
          <w:p w14:paraId="4CE37965" w14:textId="77777777" w:rsidR="009D4A93" w:rsidRPr="00536CFD" w:rsidRDefault="009D4A93" w:rsidP="009D4A93">
            <w:pPr>
              <w:spacing w:after="0"/>
              <w:rPr>
                <w:lang w:eastAsia="zh-CN"/>
              </w:rPr>
            </w:pPr>
          </w:p>
        </w:tc>
        <w:tc>
          <w:tcPr>
            <w:tcW w:w="988" w:type="dxa"/>
            <w:gridSpan w:val="2"/>
            <w:tcBorders>
              <w:top w:val="single" w:sz="4" w:space="0" w:color="auto"/>
              <w:left w:val="single" w:sz="4" w:space="0" w:color="auto"/>
              <w:bottom w:val="single" w:sz="4" w:space="0" w:color="auto"/>
              <w:right w:val="single" w:sz="4" w:space="0" w:color="auto"/>
            </w:tcBorders>
          </w:tcPr>
          <w:p w14:paraId="4DB50025" w14:textId="77777777" w:rsidR="009D4A93" w:rsidRPr="00536CFD" w:rsidRDefault="009D4A93" w:rsidP="009D4A93">
            <w:pPr>
              <w:pStyle w:val="ListParagraph"/>
              <w:spacing w:after="0"/>
              <w:ind w:firstLineChars="0" w:firstLine="0"/>
              <w:jc w:val="both"/>
            </w:pPr>
          </w:p>
        </w:tc>
        <w:tc>
          <w:tcPr>
            <w:tcW w:w="7164" w:type="dxa"/>
            <w:gridSpan w:val="6"/>
            <w:tcBorders>
              <w:top w:val="single" w:sz="4" w:space="0" w:color="auto"/>
              <w:left w:val="single" w:sz="4" w:space="0" w:color="auto"/>
              <w:bottom w:val="single" w:sz="4" w:space="0" w:color="auto"/>
              <w:right w:val="single" w:sz="4" w:space="0" w:color="auto"/>
            </w:tcBorders>
          </w:tcPr>
          <w:p w14:paraId="33D35DDD" w14:textId="77777777" w:rsidR="009D4A93" w:rsidRPr="00536CFD" w:rsidRDefault="009D4A93" w:rsidP="009D4A93">
            <w:pPr>
              <w:pStyle w:val="ListParagraph"/>
              <w:spacing w:after="0"/>
              <w:ind w:firstLineChars="0" w:firstLine="0"/>
              <w:jc w:val="both"/>
            </w:pPr>
            <w:r w:rsidRPr="00536CFD">
              <w:t>Additional comments:</w:t>
            </w:r>
          </w:p>
          <w:p w14:paraId="4EC4B9A1" w14:textId="6AC4C461" w:rsidR="009D4A93" w:rsidRPr="00536CFD" w:rsidRDefault="00E64987" w:rsidP="00E64987">
            <w:pPr>
              <w:pStyle w:val="B1"/>
              <w:spacing w:after="0"/>
            </w:pPr>
            <w:r w:rsidRPr="00536CFD">
              <w:t>-</w:t>
            </w:r>
            <w:r w:rsidRPr="00536CFD">
              <w:tab/>
            </w:r>
            <w:r w:rsidR="009D4A93" w:rsidRPr="00536CFD">
              <w:t xml:space="preserve">4ms </w:t>
            </w:r>
          </w:p>
          <w:p w14:paraId="6C12473A" w14:textId="22116BFC" w:rsidR="009D4A93" w:rsidRPr="00536CFD" w:rsidRDefault="00E64987" w:rsidP="00E64987">
            <w:pPr>
              <w:pStyle w:val="B1"/>
              <w:spacing w:after="0"/>
            </w:pPr>
            <w:r w:rsidRPr="00536CFD">
              <w:t>-</w:t>
            </w:r>
            <w:r w:rsidRPr="00536CFD">
              <w:tab/>
            </w:r>
            <w:r w:rsidR="009D4A93" w:rsidRPr="00536CFD">
              <w:t>No</w:t>
            </w:r>
          </w:p>
          <w:p w14:paraId="144371EF" w14:textId="0D1B7E82" w:rsidR="009D4A93" w:rsidRPr="00536CFD" w:rsidRDefault="00E64987" w:rsidP="00E64987">
            <w:pPr>
              <w:pStyle w:val="B1"/>
              <w:spacing w:after="0"/>
            </w:pPr>
            <w:r w:rsidRPr="00536CFD">
              <w:t>-</w:t>
            </w:r>
            <w:r w:rsidRPr="00536CFD">
              <w:tab/>
            </w:r>
            <w:r w:rsidR="009D4A93" w:rsidRPr="00536CFD">
              <w:t>for NR-U, if preamble is enabled PDT = -82 dBm and EDT = -72 dBm; for NR-U with -82 dBm EDT, preamble detection is not enabled</w:t>
            </w:r>
          </w:p>
          <w:p w14:paraId="7A76AD05" w14:textId="73DD63BC" w:rsidR="009D4A93" w:rsidRPr="00536CFD" w:rsidRDefault="00E64987" w:rsidP="00E64987">
            <w:pPr>
              <w:pStyle w:val="B1"/>
              <w:spacing w:after="0"/>
            </w:pPr>
            <w:r w:rsidRPr="00536CFD">
              <w:t>-</w:t>
            </w:r>
            <w:r w:rsidRPr="00536CFD">
              <w:tab/>
            </w:r>
            <w:r w:rsidR="009D4A93" w:rsidRPr="00536CFD">
              <w:t>256 QAM for NR-U</w:t>
            </w:r>
          </w:p>
          <w:p w14:paraId="35D898CB" w14:textId="59523D98" w:rsidR="009D4A93" w:rsidRPr="00536CFD" w:rsidRDefault="00E64987" w:rsidP="00E64987">
            <w:pPr>
              <w:pStyle w:val="B1"/>
              <w:spacing w:after="0"/>
            </w:pPr>
            <w:r w:rsidRPr="00536CFD">
              <w:t>-</w:t>
            </w:r>
            <w:r w:rsidRPr="00536CFD">
              <w:tab/>
            </w:r>
            <w:r w:rsidR="009D4A93" w:rsidRPr="00536CFD">
              <w:t>NR-U with array radiation pattern according to TR38.802 and max BF gain of 5 dBi</w:t>
            </w:r>
          </w:p>
          <w:p w14:paraId="516A86E0" w14:textId="79871010" w:rsidR="009D4A93" w:rsidRPr="00536CFD" w:rsidRDefault="00E64987" w:rsidP="00E64987">
            <w:pPr>
              <w:pStyle w:val="B1"/>
              <w:spacing w:after="0"/>
            </w:pPr>
            <w:r w:rsidRPr="00536CFD">
              <w:t>-</w:t>
            </w:r>
            <w:r w:rsidRPr="00536CFD">
              <w:tab/>
            </w:r>
            <w:r w:rsidR="009D4A93" w:rsidRPr="00536CFD">
              <w:t>30 kHz</w:t>
            </w:r>
          </w:p>
          <w:p w14:paraId="7EC52520" w14:textId="57E7F0BD" w:rsidR="009D4A93" w:rsidRPr="00536CFD" w:rsidRDefault="00E64987" w:rsidP="00E64987">
            <w:pPr>
              <w:pStyle w:val="B1"/>
              <w:spacing w:after="0"/>
            </w:pPr>
            <w:r w:rsidRPr="00536CFD">
              <w:t>-</w:t>
            </w:r>
            <w:r w:rsidRPr="00536CFD">
              <w:tab/>
            </w:r>
            <w:r w:rsidR="009D4A93" w:rsidRPr="00536CFD">
              <w:t>Capability #1</w:t>
            </w:r>
          </w:p>
          <w:p w14:paraId="6C2E3016" w14:textId="011A3B4B" w:rsidR="009D4A93" w:rsidRPr="00536CFD" w:rsidRDefault="00E64987" w:rsidP="00E64987">
            <w:pPr>
              <w:pStyle w:val="B1"/>
              <w:spacing w:after="0"/>
            </w:pPr>
            <w:r w:rsidRPr="00536CFD">
              <w:t>-</w:t>
            </w:r>
            <w:r w:rsidRPr="00536CFD">
              <w:tab/>
            </w:r>
            <w:r w:rsidR="009D4A93" w:rsidRPr="00536CFD">
              <w:t>Mapping type B in the starting slot of TxOP; per-symbol PDCCH monitoring for flexible starting position</w:t>
            </w:r>
          </w:p>
          <w:p w14:paraId="42F7B8BF" w14:textId="577F6E12" w:rsidR="009D4A93" w:rsidRPr="00536CFD" w:rsidRDefault="00E64987" w:rsidP="00E64987">
            <w:pPr>
              <w:pStyle w:val="B1"/>
              <w:spacing w:after="0"/>
            </w:pPr>
            <w:r w:rsidRPr="00536CFD">
              <w:t>-</w:t>
            </w:r>
            <w:r w:rsidRPr="00536CFD">
              <w:tab/>
            </w:r>
            <w:r w:rsidR="009D4A93" w:rsidRPr="00536CFD">
              <w:t>No fast link adaptation utilizing multiple switching points within COT for NR-U</w:t>
            </w:r>
          </w:p>
          <w:p w14:paraId="62F21308" w14:textId="5DA5331C" w:rsidR="009D4A93" w:rsidRPr="00536CFD" w:rsidRDefault="00E64987" w:rsidP="00E64987">
            <w:pPr>
              <w:pStyle w:val="B1"/>
              <w:spacing w:after="0"/>
            </w:pPr>
            <w:r w:rsidRPr="00536CFD">
              <w:t>-</w:t>
            </w:r>
            <w:r w:rsidRPr="00536CFD">
              <w:tab/>
            </w:r>
            <w:r w:rsidR="009D4A93" w:rsidRPr="00536CFD">
              <w:t>Cross-carrier scheduling in UL</w:t>
            </w:r>
          </w:p>
        </w:tc>
      </w:tr>
    </w:tbl>
    <w:p w14:paraId="6B26B91D" w14:textId="4515B716" w:rsidR="009D4A93" w:rsidRDefault="009D4A93" w:rsidP="009D4A93"/>
    <w:p w14:paraId="6D1D948A" w14:textId="77777777" w:rsidR="00006578" w:rsidRPr="00C64ECB" w:rsidRDefault="00006578" w:rsidP="009D4A93"/>
    <w:p w14:paraId="479884AC" w14:textId="77777777" w:rsidR="009D4A93" w:rsidRPr="00C64ECB" w:rsidRDefault="009D4A93" w:rsidP="00E126D2">
      <w:pPr>
        <w:pStyle w:val="TH"/>
        <w:pageBreakBefore/>
      </w:pPr>
      <w:r w:rsidRPr="00C64ECB">
        <w:t>Table B.1.1-8: coexistence results of 11ax and NRU in indoor scenario of scheme 1</w:t>
      </w:r>
    </w:p>
    <w:tbl>
      <w:tblPr>
        <w:tblW w:w="6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947"/>
        <w:gridCol w:w="927"/>
        <w:gridCol w:w="968"/>
        <w:gridCol w:w="968"/>
        <w:gridCol w:w="968"/>
        <w:gridCol w:w="968"/>
      </w:tblGrid>
      <w:tr w:rsidR="009D4A93" w:rsidRPr="00536CFD" w14:paraId="5612E7E8" w14:textId="77777777" w:rsidTr="009D4A93">
        <w:trPr>
          <w:trHeight w:val="368"/>
          <w:jc w:val="center"/>
        </w:trPr>
        <w:tc>
          <w:tcPr>
            <w:tcW w:w="445" w:type="dxa"/>
            <w:vMerge w:val="restart"/>
            <w:textDirection w:val="btLr"/>
          </w:tcPr>
          <w:p w14:paraId="41268D21"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val="restart"/>
            <w:shd w:val="clear" w:color="auto" w:fill="auto"/>
            <w:vAlign w:val="center"/>
            <w:hideMark/>
          </w:tcPr>
          <w:p w14:paraId="6725938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Reported parameters</w:t>
            </w:r>
          </w:p>
        </w:tc>
        <w:tc>
          <w:tcPr>
            <w:tcW w:w="3880" w:type="dxa"/>
            <w:gridSpan w:val="4"/>
            <w:shd w:val="clear" w:color="auto" w:fill="auto"/>
            <w:vAlign w:val="center"/>
            <w:hideMark/>
          </w:tcPr>
          <w:p w14:paraId="2799E5D5" w14:textId="77777777" w:rsidR="009D4A93" w:rsidRPr="00536CFD" w:rsidRDefault="009D4A93" w:rsidP="009D4A93">
            <w:pPr>
              <w:spacing w:after="0"/>
              <w:jc w:val="center"/>
              <w:rPr>
                <w:rFonts w:eastAsia="Times New Roman"/>
                <w:color w:val="000000"/>
                <w:u w:val="single"/>
                <w:lang w:eastAsia="zh-CN"/>
              </w:rPr>
            </w:pPr>
            <w:r w:rsidRPr="00536CFD">
              <w:rPr>
                <w:color w:val="000000"/>
                <w:u w:val="single"/>
              </w:rPr>
              <w:t>11ax PD=ED = -82dbm</w:t>
            </w:r>
            <w:r w:rsidRPr="00536CFD">
              <w:rPr>
                <w:color w:val="000000"/>
                <w:u w:val="single"/>
              </w:rPr>
              <w:br/>
              <w:t>NRU ED=-82dbm</w:t>
            </w:r>
          </w:p>
        </w:tc>
      </w:tr>
      <w:tr w:rsidR="009D4A93" w:rsidRPr="00536CFD" w14:paraId="485A5DC8" w14:textId="77777777" w:rsidTr="009D4A93">
        <w:trPr>
          <w:trHeight w:val="23"/>
          <w:jc w:val="center"/>
        </w:trPr>
        <w:tc>
          <w:tcPr>
            <w:tcW w:w="445" w:type="dxa"/>
            <w:vMerge/>
            <w:textDirection w:val="btLr"/>
          </w:tcPr>
          <w:p w14:paraId="2E578CB8" w14:textId="77777777" w:rsidR="009D4A93" w:rsidRPr="00536CFD" w:rsidRDefault="009D4A93" w:rsidP="009D4A93">
            <w:pPr>
              <w:spacing w:after="0"/>
              <w:ind w:left="113" w:right="113"/>
              <w:rPr>
                <w:rFonts w:ascii="Calibri" w:eastAsia="Times New Roman" w:hAnsi="Calibri" w:cs="Calibri"/>
                <w:color w:val="000000"/>
                <w:lang w:eastAsia="zh-CN"/>
              </w:rPr>
            </w:pPr>
          </w:p>
        </w:tc>
        <w:tc>
          <w:tcPr>
            <w:tcW w:w="1880" w:type="dxa"/>
            <w:gridSpan w:val="2"/>
            <w:vMerge/>
            <w:shd w:val="clear" w:color="auto" w:fill="auto"/>
            <w:hideMark/>
          </w:tcPr>
          <w:p w14:paraId="6FBE35B9" w14:textId="77777777" w:rsidR="009D4A93" w:rsidRPr="00536CFD" w:rsidRDefault="009D4A93" w:rsidP="009D4A93">
            <w:pPr>
              <w:spacing w:after="0"/>
              <w:rPr>
                <w:rFonts w:ascii="Calibri" w:eastAsia="Times New Roman" w:hAnsi="Calibri" w:cs="Calibri"/>
                <w:color w:val="000000"/>
                <w:lang w:eastAsia="zh-CN"/>
              </w:rPr>
            </w:pPr>
          </w:p>
        </w:tc>
        <w:tc>
          <w:tcPr>
            <w:tcW w:w="970" w:type="dxa"/>
            <w:shd w:val="clear" w:color="auto" w:fill="auto"/>
            <w:vAlign w:val="center"/>
            <w:hideMark/>
          </w:tcPr>
          <w:p w14:paraId="6F1FF3F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37DF2B0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0781FBA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c>
          <w:tcPr>
            <w:tcW w:w="970" w:type="dxa"/>
            <w:shd w:val="clear" w:color="auto" w:fill="auto"/>
            <w:vAlign w:val="center"/>
            <w:hideMark/>
          </w:tcPr>
          <w:p w14:paraId="20A07FF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r>
      <w:tr w:rsidR="009D4A93" w:rsidRPr="00536CFD" w14:paraId="7AAB93B8" w14:textId="77777777" w:rsidTr="009D4A93">
        <w:trPr>
          <w:trHeight w:val="23"/>
          <w:jc w:val="center"/>
        </w:trPr>
        <w:tc>
          <w:tcPr>
            <w:tcW w:w="445" w:type="dxa"/>
            <w:vMerge/>
            <w:textDirection w:val="btLr"/>
          </w:tcPr>
          <w:p w14:paraId="4DCC91D4" w14:textId="77777777" w:rsidR="009D4A93" w:rsidRPr="00536CFD" w:rsidRDefault="009D4A93" w:rsidP="009D4A93">
            <w:pPr>
              <w:spacing w:after="0"/>
              <w:ind w:left="113" w:right="113"/>
              <w:rPr>
                <w:rFonts w:ascii="Calibri" w:eastAsia="Times New Roman" w:hAnsi="Calibri" w:cs="Calibri"/>
                <w:color w:val="000000"/>
                <w:lang w:eastAsia="zh-CN"/>
              </w:rPr>
            </w:pPr>
          </w:p>
        </w:tc>
        <w:tc>
          <w:tcPr>
            <w:tcW w:w="1880" w:type="dxa"/>
            <w:gridSpan w:val="2"/>
            <w:vMerge/>
            <w:shd w:val="clear" w:color="auto" w:fill="auto"/>
            <w:hideMark/>
          </w:tcPr>
          <w:p w14:paraId="3C03597E" w14:textId="77777777" w:rsidR="009D4A93" w:rsidRPr="00536CFD" w:rsidRDefault="009D4A93" w:rsidP="009D4A93">
            <w:pPr>
              <w:spacing w:after="0"/>
              <w:rPr>
                <w:rFonts w:ascii="Calibri" w:eastAsia="Times New Roman" w:hAnsi="Calibri" w:cs="Calibri"/>
                <w:color w:val="000000"/>
                <w:lang w:eastAsia="zh-CN"/>
              </w:rPr>
            </w:pPr>
          </w:p>
        </w:tc>
        <w:tc>
          <w:tcPr>
            <w:tcW w:w="970" w:type="dxa"/>
            <w:shd w:val="clear" w:color="auto" w:fill="auto"/>
            <w:vAlign w:val="center"/>
            <w:hideMark/>
          </w:tcPr>
          <w:p w14:paraId="678D0AB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28E012E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3742D3C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19C376A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59407BE2" w14:textId="77777777" w:rsidTr="009D4A93">
        <w:trPr>
          <w:trHeight w:val="23"/>
          <w:jc w:val="center"/>
        </w:trPr>
        <w:tc>
          <w:tcPr>
            <w:tcW w:w="445" w:type="dxa"/>
            <w:vMerge/>
            <w:textDirection w:val="btLr"/>
          </w:tcPr>
          <w:p w14:paraId="234EFCBF" w14:textId="77777777" w:rsidR="009D4A93" w:rsidRPr="00536CFD" w:rsidRDefault="009D4A93" w:rsidP="009D4A93">
            <w:pPr>
              <w:spacing w:after="0"/>
              <w:ind w:left="113" w:right="113"/>
              <w:rPr>
                <w:rFonts w:ascii="Calibri" w:eastAsia="Times New Roman" w:hAnsi="Calibri" w:cs="Calibri"/>
                <w:color w:val="000000"/>
                <w:lang w:eastAsia="zh-CN"/>
              </w:rPr>
            </w:pPr>
          </w:p>
        </w:tc>
        <w:tc>
          <w:tcPr>
            <w:tcW w:w="1880" w:type="dxa"/>
            <w:gridSpan w:val="2"/>
            <w:vMerge/>
            <w:shd w:val="clear" w:color="auto" w:fill="auto"/>
            <w:hideMark/>
          </w:tcPr>
          <w:p w14:paraId="2842EB74" w14:textId="77777777" w:rsidR="009D4A93" w:rsidRPr="00536CFD" w:rsidRDefault="009D4A93" w:rsidP="009D4A93">
            <w:pPr>
              <w:spacing w:after="0"/>
              <w:rPr>
                <w:rFonts w:ascii="Calibri" w:eastAsia="Times New Roman" w:hAnsi="Calibri" w:cs="Calibri"/>
                <w:color w:val="000000"/>
                <w:lang w:eastAsia="zh-CN"/>
              </w:rPr>
            </w:pPr>
          </w:p>
        </w:tc>
        <w:tc>
          <w:tcPr>
            <w:tcW w:w="970" w:type="dxa"/>
            <w:shd w:val="clear" w:color="auto" w:fill="auto"/>
            <w:vAlign w:val="center"/>
            <w:hideMark/>
          </w:tcPr>
          <w:p w14:paraId="2A4F803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46F72F0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13D3DFF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4244821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430FC5A8" w14:textId="77777777" w:rsidTr="009D4A93">
        <w:trPr>
          <w:trHeight w:val="23"/>
          <w:jc w:val="center"/>
        </w:trPr>
        <w:tc>
          <w:tcPr>
            <w:tcW w:w="445" w:type="dxa"/>
            <w:vMerge w:val="restart"/>
            <w:textDirection w:val="btLr"/>
          </w:tcPr>
          <w:p w14:paraId="19DD75C7" w14:textId="77777777" w:rsidR="009D4A93" w:rsidRPr="00536CFD" w:rsidRDefault="009D4A93" w:rsidP="009D4A93">
            <w:pPr>
              <w:spacing w:after="0"/>
              <w:ind w:left="113" w:right="113"/>
              <w:jc w:val="center"/>
              <w:rPr>
                <w:rFonts w:eastAsia="Times New Roman"/>
                <w:b/>
                <w:bCs/>
                <w:color w:val="000000"/>
                <w:lang w:eastAsia="zh-CN"/>
              </w:rPr>
            </w:pPr>
            <w:r w:rsidRPr="00536CFD">
              <w:rPr>
                <w:rFonts w:eastAsia="Times New Roman"/>
                <w:b/>
                <w:bCs/>
                <w:color w:val="000000"/>
                <w:lang w:eastAsia="zh-CN"/>
              </w:rPr>
              <w:t>R-1814085(Source 4)</w:t>
            </w:r>
          </w:p>
        </w:tc>
        <w:tc>
          <w:tcPr>
            <w:tcW w:w="949" w:type="dxa"/>
            <w:vMerge w:val="restart"/>
            <w:shd w:val="clear" w:color="auto" w:fill="auto"/>
            <w:vAlign w:val="center"/>
            <w:hideMark/>
          </w:tcPr>
          <w:p w14:paraId="5FFC239D"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 xml:space="preserve">DL: </w:t>
            </w:r>
          </w:p>
          <w:p w14:paraId="66EF337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01958E7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6186E38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0ED2FD99"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16.54</w:t>
            </w:r>
          </w:p>
        </w:tc>
        <w:tc>
          <w:tcPr>
            <w:tcW w:w="970" w:type="dxa"/>
            <w:shd w:val="clear" w:color="auto" w:fill="auto"/>
            <w:vAlign w:val="center"/>
            <w:hideMark/>
          </w:tcPr>
          <w:p w14:paraId="4F578FD4"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18.31</w:t>
            </w:r>
          </w:p>
        </w:tc>
        <w:tc>
          <w:tcPr>
            <w:tcW w:w="970" w:type="dxa"/>
            <w:shd w:val="clear" w:color="auto" w:fill="auto"/>
            <w:vAlign w:val="center"/>
            <w:hideMark/>
          </w:tcPr>
          <w:p w14:paraId="6D358929"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22.78</w:t>
            </w:r>
          </w:p>
        </w:tc>
        <w:tc>
          <w:tcPr>
            <w:tcW w:w="970" w:type="dxa"/>
            <w:shd w:val="clear" w:color="auto" w:fill="auto"/>
            <w:vAlign w:val="center"/>
            <w:hideMark/>
          </w:tcPr>
          <w:p w14:paraId="39DBDF3C"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23.7</w:t>
            </w:r>
          </w:p>
        </w:tc>
      </w:tr>
      <w:tr w:rsidR="009D4A93" w:rsidRPr="00536CFD" w14:paraId="72194979" w14:textId="77777777" w:rsidTr="009D4A93">
        <w:trPr>
          <w:trHeight w:val="23"/>
          <w:jc w:val="center"/>
        </w:trPr>
        <w:tc>
          <w:tcPr>
            <w:tcW w:w="445" w:type="dxa"/>
            <w:vMerge/>
          </w:tcPr>
          <w:p w14:paraId="4F1E9519"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634ABC77"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452D200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6F31D373"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55.92</w:t>
            </w:r>
          </w:p>
        </w:tc>
        <w:tc>
          <w:tcPr>
            <w:tcW w:w="970" w:type="dxa"/>
            <w:shd w:val="clear" w:color="auto" w:fill="auto"/>
            <w:vAlign w:val="center"/>
            <w:hideMark/>
          </w:tcPr>
          <w:p w14:paraId="6589E41A"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62.74</w:t>
            </w:r>
          </w:p>
        </w:tc>
        <w:tc>
          <w:tcPr>
            <w:tcW w:w="970" w:type="dxa"/>
            <w:shd w:val="clear" w:color="auto" w:fill="auto"/>
            <w:vAlign w:val="center"/>
            <w:hideMark/>
          </w:tcPr>
          <w:p w14:paraId="7600A710"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60.73</w:t>
            </w:r>
          </w:p>
        </w:tc>
        <w:tc>
          <w:tcPr>
            <w:tcW w:w="970" w:type="dxa"/>
            <w:shd w:val="clear" w:color="auto" w:fill="auto"/>
            <w:vAlign w:val="center"/>
            <w:hideMark/>
          </w:tcPr>
          <w:p w14:paraId="1216070D"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70.72</w:t>
            </w:r>
          </w:p>
        </w:tc>
      </w:tr>
      <w:tr w:rsidR="009D4A93" w:rsidRPr="00536CFD" w14:paraId="49B546E3" w14:textId="77777777" w:rsidTr="009D4A93">
        <w:trPr>
          <w:trHeight w:val="23"/>
          <w:jc w:val="center"/>
        </w:trPr>
        <w:tc>
          <w:tcPr>
            <w:tcW w:w="445" w:type="dxa"/>
            <w:vMerge/>
          </w:tcPr>
          <w:p w14:paraId="3060C675"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0BAA5358"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204C0C7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20872599"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100.97</w:t>
            </w:r>
          </w:p>
        </w:tc>
        <w:tc>
          <w:tcPr>
            <w:tcW w:w="970" w:type="dxa"/>
            <w:shd w:val="clear" w:color="auto" w:fill="auto"/>
            <w:vAlign w:val="center"/>
            <w:hideMark/>
          </w:tcPr>
          <w:p w14:paraId="7BBA156D"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101.1</w:t>
            </w:r>
          </w:p>
        </w:tc>
        <w:tc>
          <w:tcPr>
            <w:tcW w:w="970" w:type="dxa"/>
            <w:shd w:val="clear" w:color="auto" w:fill="auto"/>
            <w:vAlign w:val="center"/>
            <w:hideMark/>
          </w:tcPr>
          <w:p w14:paraId="2CD4F54E"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96.67</w:t>
            </w:r>
          </w:p>
        </w:tc>
        <w:tc>
          <w:tcPr>
            <w:tcW w:w="970" w:type="dxa"/>
            <w:shd w:val="clear" w:color="auto" w:fill="auto"/>
            <w:vAlign w:val="center"/>
            <w:hideMark/>
          </w:tcPr>
          <w:p w14:paraId="00D36ACF"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99.12</w:t>
            </w:r>
          </w:p>
        </w:tc>
      </w:tr>
      <w:tr w:rsidR="009D4A93" w:rsidRPr="00536CFD" w14:paraId="21851C1C" w14:textId="77777777" w:rsidTr="00E126D2">
        <w:trPr>
          <w:trHeight w:val="23"/>
          <w:jc w:val="center"/>
        </w:trPr>
        <w:tc>
          <w:tcPr>
            <w:tcW w:w="445" w:type="dxa"/>
            <w:vMerge/>
          </w:tcPr>
          <w:p w14:paraId="4A6D5B71" w14:textId="77777777" w:rsidR="009D4A93" w:rsidRPr="00536CFD" w:rsidRDefault="009D4A93" w:rsidP="009D4A93">
            <w:pPr>
              <w:spacing w:after="0"/>
              <w:rPr>
                <w:rFonts w:ascii="Calibri" w:eastAsia="Times New Roman" w:hAnsi="Calibri" w:cs="Calibri"/>
                <w:color w:val="000000"/>
                <w:lang w:eastAsia="zh-CN"/>
              </w:rPr>
            </w:pPr>
          </w:p>
        </w:tc>
        <w:tc>
          <w:tcPr>
            <w:tcW w:w="949" w:type="dxa"/>
            <w:vMerge/>
            <w:shd w:val="clear" w:color="auto" w:fill="auto"/>
            <w:hideMark/>
          </w:tcPr>
          <w:p w14:paraId="6059CF59" w14:textId="77777777" w:rsidR="009D4A93" w:rsidRPr="00536CFD" w:rsidRDefault="009D4A93" w:rsidP="009D4A93">
            <w:pPr>
              <w:spacing w:after="0"/>
              <w:rPr>
                <w:rFonts w:ascii="Calibri" w:eastAsia="Times New Roman" w:hAnsi="Calibri" w:cs="Calibri"/>
                <w:color w:val="000000"/>
                <w:lang w:eastAsia="zh-CN"/>
              </w:rPr>
            </w:pPr>
          </w:p>
        </w:tc>
        <w:tc>
          <w:tcPr>
            <w:tcW w:w="931" w:type="dxa"/>
            <w:shd w:val="clear" w:color="auto" w:fill="auto"/>
            <w:vAlign w:val="center"/>
            <w:hideMark/>
          </w:tcPr>
          <w:p w14:paraId="7074663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3C833B5B" w14:textId="77777777" w:rsidR="009D4A93" w:rsidRPr="00536CFD" w:rsidRDefault="009D4A93" w:rsidP="009D4A93">
            <w:pPr>
              <w:spacing w:after="0"/>
              <w:jc w:val="center"/>
              <w:rPr>
                <w:rFonts w:ascii="Calibri" w:hAnsi="Calibri" w:cs="Calibri"/>
                <w:color w:val="000000"/>
              </w:rPr>
            </w:pPr>
            <w:r w:rsidRPr="00536CFD">
              <w:rPr>
                <w:rFonts w:ascii="Calibri" w:hAnsi="Calibri" w:cs="Calibri"/>
                <w:color w:val="000000"/>
              </w:rPr>
              <w:t>58.21</w:t>
            </w:r>
          </w:p>
        </w:tc>
        <w:tc>
          <w:tcPr>
            <w:tcW w:w="970" w:type="dxa"/>
            <w:shd w:val="clear" w:color="auto" w:fill="auto"/>
            <w:vAlign w:val="center"/>
            <w:hideMark/>
          </w:tcPr>
          <w:p w14:paraId="1188DC04" w14:textId="77777777" w:rsidR="009D4A93" w:rsidRPr="00536CFD" w:rsidRDefault="009D4A93" w:rsidP="009D4A93">
            <w:pPr>
              <w:spacing w:after="0"/>
              <w:jc w:val="center"/>
              <w:rPr>
                <w:rFonts w:ascii="Calibri" w:hAnsi="Calibri" w:cs="Calibri"/>
                <w:color w:val="000000"/>
              </w:rPr>
            </w:pPr>
            <w:r w:rsidRPr="00536CFD">
              <w:rPr>
                <w:rFonts w:ascii="Calibri" w:hAnsi="Calibri" w:cs="Calibri"/>
                <w:color w:val="000000"/>
              </w:rPr>
              <w:t>62.87</w:t>
            </w:r>
          </w:p>
        </w:tc>
        <w:tc>
          <w:tcPr>
            <w:tcW w:w="970" w:type="dxa"/>
            <w:shd w:val="clear" w:color="auto" w:fill="auto"/>
            <w:vAlign w:val="center"/>
            <w:hideMark/>
          </w:tcPr>
          <w:p w14:paraId="4A6D43A5" w14:textId="77777777" w:rsidR="009D4A93" w:rsidRPr="00536CFD" w:rsidRDefault="009D4A93" w:rsidP="009D4A93">
            <w:pPr>
              <w:spacing w:after="0"/>
              <w:jc w:val="center"/>
              <w:rPr>
                <w:rFonts w:ascii="Calibri" w:hAnsi="Calibri" w:cs="Calibri"/>
                <w:color w:val="000000"/>
              </w:rPr>
            </w:pPr>
            <w:r w:rsidRPr="00536CFD">
              <w:rPr>
                <w:rFonts w:ascii="Calibri" w:hAnsi="Calibri" w:cs="Calibri"/>
                <w:color w:val="000000"/>
              </w:rPr>
              <w:t>62.37</w:t>
            </w:r>
          </w:p>
        </w:tc>
        <w:tc>
          <w:tcPr>
            <w:tcW w:w="970" w:type="dxa"/>
            <w:shd w:val="clear" w:color="auto" w:fill="auto"/>
            <w:vAlign w:val="center"/>
            <w:hideMark/>
          </w:tcPr>
          <w:p w14:paraId="5CC8E1A3" w14:textId="77777777" w:rsidR="009D4A93" w:rsidRPr="00536CFD" w:rsidRDefault="009D4A93" w:rsidP="009D4A93">
            <w:pPr>
              <w:spacing w:after="0"/>
              <w:jc w:val="center"/>
              <w:rPr>
                <w:rFonts w:ascii="Calibri" w:hAnsi="Calibri" w:cs="Calibri"/>
                <w:color w:val="000000"/>
              </w:rPr>
            </w:pPr>
            <w:r w:rsidRPr="00536CFD">
              <w:rPr>
                <w:rFonts w:ascii="Calibri" w:hAnsi="Calibri" w:cs="Calibri"/>
                <w:color w:val="000000"/>
              </w:rPr>
              <w:t>68.40</w:t>
            </w:r>
          </w:p>
        </w:tc>
      </w:tr>
      <w:tr w:rsidR="009D4A93" w:rsidRPr="00536CFD" w14:paraId="6C191DB3" w14:textId="77777777" w:rsidTr="009D4A93">
        <w:trPr>
          <w:trHeight w:val="23"/>
          <w:jc w:val="center"/>
        </w:trPr>
        <w:tc>
          <w:tcPr>
            <w:tcW w:w="445" w:type="dxa"/>
            <w:vMerge/>
          </w:tcPr>
          <w:p w14:paraId="0A94153F" w14:textId="77777777" w:rsidR="009D4A93" w:rsidRPr="00536CFD" w:rsidRDefault="009D4A93" w:rsidP="009D4A93">
            <w:pPr>
              <w:spacing w:after="0"/>
              <w:jc w:val="center"/>
              <w:rPr>
                <w:rFonts w:eastAsia="Times New Roman"/>
                <w:b/>
                <w:bCs/>
                <w:color w:val="000000"/>
                <w:lang w:eastAsia="zh-CN"/>
              </w:rPr>
            </w:pPr>
          </w:p>
        </w:tc>
        <w:tc>
          <w:tcPr>
            <w:tcW w:w="949" w:type="dxa"/>
            <w:shd w:val="clear" w:color="auto" w:fill="auto"/>
            <w:vAlign w:val="center"/>
            <w:hideMark/>
          </w:tcPr>
          <w:p w14:paraId="6DFFD8C4"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DL:</w:t>
            </w:r>
          </w:p>
        </w:tc>
        <w:tc>
          <w:tcPr>
            <w:tcW w:w="931" w:type="dxa"/>
            <w:shd w:val="clear" w:color="auto" w:fill="auto"/>
            <w:vAlign w:val="center"/>
            <w:hideMark/>
          </w:tcPr>
          <w:p w14:paraId="0B2BD0F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2AFC4DA7"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0.04</w:t>
            </w:r>
          </w:p>
        </w:tc>
        <w:tc>
          <w:tcPr>
            <w:tcW w:w="970" w:type="dxa"/>
            <w:shd w:val="clear" w:color="auto" w:fill="auto"/>
            <w:vAlign w:val="center"/>
            <w:hideMark/>
          </w:tcPr>
          <w:p w14:paraId="2C3BC2CE"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0.04</w:t>
            </w:r>
          </w:p>
        </w:tc>
        <w:tc>
          <w:tcPr>
            <w:tcW w:w="970" w:type="dxa"/>
            <w:shd w:val="clear" w:color="auto" w:fill="auto"/>
            <w:vAlign w:val="center"/>
            <w:hideMark/>
          </w:tcPr>
          <w:p w14:paraId="0BAD2916"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0.04</w:t>
            </w:r>
          </w:p>
        </w:tc>
        <w:tc>
          <w:tcPr>
            <w:tcW w:w="970" w:type="dxa"/>
            <w:shd w:val="clear" w:color="auto" w:fill="auto"/>
            <w:vAlign w:val="center"/>
            <w:hideMark/>
          </w:tcPr>
          <w:p w14:paraId="0D0DF914"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0.04</w:t>
            </w:r>
          </w:p>
        </w:tc>
      </w:tr>
      <w:tr w:rsidR="009D4A93" w:rsidRPr="00536CFD" w14:paraId="03690A90" w14:textId="77777777" w:rsidTr="009D4A93">
        <w:trPr>
          <w:trHeight w:val="23"/>
          <w:jc w:val="center"/>
        </w:trPr>
        <w:tc>
          <w:tcPr>
            <w:tcW w:w="445" w:type="dxa"/>
            <w:vMerge/>
          </w:tcPr>
          <w:p w14:paraId="1A954707" w14:textId="77777777" w:rsidR="009D4A93" w:rsidRPr="00536CFD" w:rsidRDefault="009D4A93" w:rsidP="009D4A93">
            <w:pPr>
              <w:spacing w:after="0"/>
              <w:jc w:val="center"/>
              <w:rPr>
                <w:rFonts w:eastAsia="Times New Roman"/>
                <w:color w:val="000000"/>
                <w:lang w:eastAsia="zh-CN"/>
              </w:rPr>
            </w:pPr>
          </w:p>
        </w:tc>
        <w:tc>
          <w:tcPr>
            <w:tcW w:w="949" w:type="dxa"/>
            <w:vMerge w:val="restart"/>
            <w:shd w:val="clear" w:color="auto" w:fill="auto"/>
            <w:vAlign w:val="center"/>
            <w:hideMark/>
          </w:tcPr>
          <w:p w14:paraId="6BD299B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095F772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2E6A778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4578022E"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0.07</w:t>
            </w:r>
          </w:p>
        </w:tc>
        <w:tc>
          <w:tcPr>
            <w:tcW w:w="970" w:type="dxa"/>
            <w:shd w:val="clear" w:color="auto" w:fill="auto"/>
            <w:vAlign w:val="center"/>
            <w:hideMark/>
          </w:tcPr>
          <w:p w14:paraId="27F888E3"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0.06</w:t>
            </w:r>
          </w:p>
        </w:tc>
        <w:tc>
          <w:tcPr>
            <w:tcW w:w="970" w:type="dxa"/>
            <w:shd w:val="clear" w:color="auto" w:fill="auto"/>
            <w:vAlign w:val="center"/>
            <w:hideMark/>
          </w:tcPr>
          <w:p w14:paraId="04A82EB5"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0.07</w:t>
            </w:r>
          </w:p>
        </w:tc>
        <w:tc>
          <w:tcPr>
            <w:tcW w:w="970" w:type="dxa"/>
            <w:shd w:val="clear" w:color="auto" w:fill="auto"/>
            <w:vAlign w:val="center"/>
            <w:hideMark/>
          </w:tcPr>
          <w:p w14:paraId="431478BF"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0.06</w:t>
            </w:r>
          </w:p>
        </w:tc>
      </w:tr>
      <w:tr w:rsidR="009D4A93" w:rsidRPr="00536CFD" w14:paraId="4485A5E5" w14:textId="77777777" w:rsidTr="009D4A93">
        <w:trPr>
          <w:trHeight w:val="23"/>
          <w:jc w:val="center"/>
        </w:trPr>
        <w:tc>
          <w:tcPr>
            <w:tcW w:w="445" w:type="dxa"/>
            <w:vMerge/>
          </w:tcPr>
          <w:p w14:paraId="6FC6DB40"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3AD61525"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41F5FFB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155ED536"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0.24</w:t>
            </w:r>
          </w:p>
        </w:tc>
        <w:tc>
          <w:tcPr>
            <w:tcW w:w="970" w:type="dxa"/>
            <w:shd w:val="clear" w:color="auto" w:fill="auto"/>
            <w:vAlign w:val="center"/>
            <w:hideMark/>
          </w:tcPr>
          <w:p w14:paraId="72263D06"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0.22</w:t>
            </w:r>
          </w:p>
        </w:tc>
        <w:tc>
          <w:tcPr>
            <w:tcW w:w="970" w:type="dxa"/>
            <w:shd w:val="clear" w:color="auto" w:fill="auto"/>
            <w:vAlign w:val="center"/>
            <w:hideMark/>
          </w:tcPr>
          <w:p w14:paraId="4000092A"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0.17</w:t>
            </w:r>
          </w:p>
        </w:tc>
        <w:tc>
          <w:tcPr>
            <w:tcW w:w="970" w:type="dxa"/>
            <w:shd w:val="clear" w:color="auto" w:fill="auto"/>
            <w:vAlign w:val="center"/>
            <w:hideMark/>
          </w:tcPr>
          <w:p w14:paraId="5C6C5F02"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0.17</w:t>
            </w:r>
          </w:p>
        </w:tc>
      </w:tr>
      <w:tr w:rsidR="009D4A93" w:rsidRPr="00536CFD" w14:paraId="25CDC486" w14:textId="77777777" w:rsidTr="009D4A93">
        <w:trPr>
          <w:trHeight w:val="23"/>
          <w:jc w:val="center"/>
        </w:trPr>
        <w:tc>
          <w:tcPr>
            <w:tcW w:w="445" w:type="dxa"/>
            <w:vMerge/>
          </w:tcPr>
          <w:p w14:paraId="563A17AF" w14:textId="77777777" w:rsidR="009D4A93" w:rsidRPr="00536CFD" w:rsidRDefault="009D4A93" w:rsidP="009D4A93">
            <w:pPr>
              <w:spacing w:after="0"/>
              <w:rPr>
                <w:rFonts w:ascii="Calibri" w:eastAsia="Times New Roman" w:hAnsi="Calibri" w:cs="Calibri"/>
                <w:color w:val="000000"/>
                <w:lang w:eastAsia="zh-CN"/>
              </w:rPr>
            </w:pPr>
          </w:p>
        </w:tc>
        <w:tc>
          <w:tcPr>
            <w:tcW w:w="949" w:type="dxa"/>
            <w:vMerge/>
            <w:shd w:val="clear" w:color="auto" w:fill="auto"/>
            <w:hideMark/>
          </w:tcPr>
          <w:p w14:paraId="0DAB7815" w14:textId="77777777" w:rsidR="009D4A93" w:rsidRPr="00536CFD" w:rsidRDefault="009D4A93" w:rsidP="009D4A93">
            <w:pPr>
              <w:spacing w:after="0"/>
              <w:rPr>
                <w:rFonts w:ascii="Calibri" w:eastAsia="Times New Roman" w:hAnsi="Calibri" w:cs="Calibri"/>
                <w:color w:val="000000"/>
                <w:lang w:eastAsia="zh-CN"/>
              </w:rPr>
            </w:pPr>
          </w:p>
        </w:tc>
        <w:tc>
          <w:tcPr>
            <w:tcW w:w="931" w:type="dxa"/>
            <w:shd w:val="clear" w:color="auto" w:fill="auto"/>
            <w:vAlign w:val="center"/>
            <w:hideMark/>
          </w:tcPr>
          <w:p w14:paraId="062A798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2683DBFF"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0.1</w:t>
            </w:r>
          </w:p>
        </w:tc>
        <w:tc>
          <w:tcPr>
            <w:tcW w:w="970" w:type="dxa"/>
            <w:shd w:val="clear" w:color="auto" w:fill="auto"/>
            <w:vAlign w:val="center"/>
            <w:hideMark/>
          </w:tcPr>
          <w:p w14:paraId="2B9B9DD4"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0.09</w:t>
            </w:r>
          </w:p>
        </w:tc>
        <w:tc>
          <w:tcPr>
            <w:tcW w:w="970" w:type="dxa"/>
            <w:shd w:val="clear" w:color="auto" w:fill="auto"/>
            <w:vAlign w:val="center"/>
            <w:hideMark/>
          </w:tcPr>
          <w:p w14:paraId="0C029FD7"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0.08</w:t>
            </w:r>
          </w:p>
        </w:tc>
        <w:tc>
          <w:tcPr>
            <w:tcW w:w="970" w:type="dxa"/>
            <w:shd w:val="clear" w:color="auto" w:fill="auto"/>
            <w:vAlign w:val="center"/>
            <w:hideMark/>
          </w:tcPr>
          <w:p w14:paraId="5BBABC11"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0.07</w:t>
            </w:r>
          </w:p>
        </w:tc>
      </w:tr>
      <w:tr w:rsidR="009D4A93" w:rsidRPr="00536CFD" w14:paraId="7EEBBABB" w14:textId="77777777" w:rsidTr="009D4A93">
        <w:trPr>
          <w:trHeight w:val="23"/>
          <w:jc w:val="center"/>
        </w:trPr>
        <w:tc>
          <w:tcPr>
            <w:tcW w:w="445" w:type="dxa"/>
            <w:vMerge/>
          </w:tcPr>
          <w:p w14:paraId="61F9152E"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2BAE7103"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5E3237C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47920C1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48E74099"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eastAsia="Times New Roman" w:hAnsi="Calibri" w:cs="Calibri"/>
                <w:color w:val="000000"/>
                <w:lang w:eastAsia="zh-CN"/>
              </w:rPr>
              <w:t>5%</w:t>
            </w:r>
          </w:p>
        </w:tc>
        <w:tc>
          <w:tcPr>
            <w:tcW w:w="970" w:type="dxa"/>
            <w:shd w:val="clear" w:color="auto" w:fill="auto"/>
            <w:vAlign w:val="center"/>
            <w:hideMark/>
          </w:tcPr>
          <w:p w14:paraId="6AA610C9"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13.05</w:t>
            </w:r>
          </w:p>
        </w:tc>
        <w:tc>
          <w:tcPr>
            <w:tcW w:w="970" w:type="dxa"/>
            <w:shd w:val="clear" w:color="auto" w:fill="auto"/>
            <w:vAlign w:val="center"/>
            <w:hideMark/>
          </w:tcPr>
          <w:p w14:paraId="7FDEDBBD"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15.91</w:t>
            </w:r>
          </w:p>
        </w:tc>
        <w:tc>
          <w:tcPr>
            <w:tcW w:w="970" w:type="dxa"/>
            <w:shd w:val="clear" w:color="auto" w:fill="auto"/>
            <w:vAlign w:val="center"/>
            <w:hideMark/>
          </w:tcPr>
          <w:p w14:paraId="23A0D101"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11.96</w:t>
            </w:r>
          </w:p>
        </w:tc>
        <w:tc>
          <w:tcPr>
            <w:tcW w:w="970" w:type="dxa"/>
            <w:shd w:val="clear" w:color="auto" w:fill="auto"/>
            <w:vAlign w:val="center"/>
            <w:hideMark/>
          </w:tcPr>
          <w:p w14:paraId="6B7EEA34"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17.21</w:t>
            </w:r>
          </w:p>
        </w:tc>
      </w:tr>
      <w:tr w:rsidR="009D4A93" w:rsidRPr="00536CFD" w14:paraId="2B072E0D" w14:textId="77777777" w:rsidTr="009D4A93">
        <w:trPr>
          <w:trHeight w:val="23"/>
          <w:jc w:val="center"/>
        </w:trPr>
        <w:tc>
          <w:tcPr>
            <w:tcW w:w="445" w:type="dxa"/>
            <w:vMerge/>
          </w:tcPr>
          <w:p w14:paraId="3467A33A"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06EDB553"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6851EF0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2A4C542F"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49.55</w:t>
            </w:r>
          </w:p>
        </w:tc>
        <w:tc>
          <w:tcPr>
            <w:tcW w:w="970" w:type="dxa"/>
            <w:shd w:val="clear" w:color="auto" w:fill="auto"/>
            <w:vAlign w:val="center"/>
            <w:hideMark/>
          </w:tcPr>
          <w:p w14:paraId="4D466B16"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54.82</w:t>
            </w:r>
          </w:p>
        </w:tc>
        <w:tc>
          <w:tcPr>
            <w:tcW w:w="970" w:type="dxa"/>
            <w:shd w:val="clear" w:color="auto" w:fill="auto"/>
            <w:vAlign w:val="center"/>
            <w:hideMark/>
          </w:tcPr>
          <w:p w14:paraId="218706EE"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37.97</w:t>
            </w:r>
          </w:p>
        </w:tc>
        <w:tc>
          <w:tcPr>
            <w:tcW w:w="970" w:type="dxa"/>
            <w:shd w:val="clear" w:color="auto" w:fill="auto"/>
            <w:vAlign w:val="center"/>
            <w:hideMark/>
          </w:tcPr>
          <w:p w14:paraId="5421AD6E"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52.34</w:t>
            </w:r>
          </w:p>
        </w:tc>
      </w:tr>
      <w:tr w:rsidR="009D4A93" w:rsidRPr="00536CFD" w14:paraId="31B04860" w14:textId="77777777" w:rsidTr="009D4A93">
        <w:trPr>
          <w:trHeight w:val="23"/>
          <w:jc w:val="center"/>
        </w:trPr>
        <w:tc>
          <w:tcPr>
            <w:tcW w:w="445" w:type="dxa"/>
            <w:vMerge/>
          </w:tcPr>
          <w:p w14:paraId="4D7E8170"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093881EE"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57DD2B9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5ADD955F"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90.84</w:t>
            </w:r>
          </w:p>
        </w:tc>
        <w:tc>
          <w:tcPr>
            <w:tcW w:w="970" w:type="dxa"/>
            <w:shd w:val="clear" w:color="auto" w:fill="auto"/>
            <w:vAlign w:val="center"/>
            <w:hideMark/>
          </w:tcPr>
          <w:p w14:paraId="01B837BB"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91.08</w:t>
            </w:r>
          </w:p>
        </w:tc>
        <w:tc>
          <w:tcPr>
            <w:tcW w:w="970" w:type="dxa"/>
            <w:shd w:val="clear" w:color="auto" w:fill="auto"/>
            <w:vAlign w:val="center"/>
            <w:hideMark/>
          </w:tcPr>
          <w:p w14:paraId="133EA8B9"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76.75</w:t>
            </w:r>
          </w:p>
        </w:tc>
        <w:tc>
          <w:tcPr>
            <w:tcW w:w="970" w:type="dxa"/>
            <w:shd w:val="clear" w:color="auto" w:fill="auto"/>
            <w:vAlign w:val="center"/>
            <w:hideMark/>
          </w:tcPr>
          <w:p w14:paraId="65DB85FE"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84.96</w:t>
            </w:r>
          </w:p>
        </w:tc>
      </w:tr>
      <w:tr w:rsidR="009D4A93" w:rsidRPr="00536CFD" w14:paraId="48104BE1" w14:textId="77777777" w:rsidTr="00E126D2">
        <w:trPr>
          <w:trHeight w:val="23"/>
          <w:jc w:val="center"/>
        </w:trPr>
        <w:tc>
          <w:tcPr>
            <w:tcW w:w="445" w:type="dxa"/>
            <w:vMerge/>
          </w:tcPr>
          <w:p w14:paraId="52D56251" w14:textId="77777777" w:rsidR="009D4A93" w:rsidRPr="00536CFD" w:rsidRDefault="009D4A93" w:rsidP="009D4A93">
            <w:pPr>
              <w:spacing w:after="0"/>
              <w:rPr>
                <w:rFonts w:ascii="Calibri" w:eastAsia="Times New Roman" w:hAnsi="Calibri" w:cs="Calibri"/>
                <w:color w:val="000000"/>
                <w:lang w:eastAsia="zh-CN"/>
              </w:rPr>
            </w:pPr>
          </w:p>
        </w:tc>
        <w:tc>
          <w:tcPr>
            <w:tcW w:w="949" w:type="dxa"/>
            <w:vMerge/>
            <w:shd w:val="clear" w:color="auto" w:fill="auto"/>
            <w:hideMark/>
          </w:tcPr>
          <w:p w14:paraId="5F29964A" w14:textId="77777777" w:rsidR="009D4A93" w:rsidRPr="00536CFD" w:rsidRDefault="009D4A93" w:rsidP="009D4A93">
            <w:pPr>
              <w:spacing w:after="0"/>
              <w:rPr>
                <w:rFonts w:ascii="Calibri" w:eastAsia="Times New Roman" w:hAnsi="Calibri" w:cs="Calibri"/>
                <w:color w:val="000000"/>
                <w:lang w:eastAsia="zh-CN"/>
              </w:rPr>
            </w:pPr>
          </w:p>
        </w:tc>
        <w:tc>
          <w:tcPr>
            <w:tcW w:w="931" w:type="dxa"/>
            <w:shd w:val="clear" w:color="auto" w:fill="auto"/>
            <w:vAlign w:val="center"/>
            <w:hideMark/>
          </w:tcPr>
          <w:p w14:paraId="59777F0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585224AF" w14:textId="77777777" w:rsidR="009D4A93" w:rsidRPr="00536CFD" w:rsidRDefault="009D4A93" w:rsidP="009D4A93">
            <w:pPr>
              <w:spacing w:after="0"/>
              <w:jc w:val="center"/>
              <w:rPr>
                <w:rFonts w:ascii="Calibri" w:hAnsi="Calibri" w:cs="Calibri"/>
                <w:color w:val="000000"/>
              </w:rPr>
            </w:pPr>
            <w:r w:rsidRPr="00536CFD">
              <w:rPr>
                <w:rFonts w:ascii="Calibri" w:hAnsi="Calibri" w:cs="Calibri"/>
                <w:color w:val="000000"/>
              </w:rPr>
              <w:t>52.10</w:t>
            </w:r>
          </w:p>
        </w:tc>
        <w:tc>
          <w:tcPr>
            <w:tcW w:w="970" w:type="dxa"/>
            <w:shd w:val="clear" w:color="auto" w:fill="auto"/>
            <w:vAlign w:val="center"/>
            <w:hideMark/>
          </w:tcPr>
          <w:p w14:paraId="62563D4A" w14:textId="77777777" w:rsidR="009D4A93" w:rsidRPr="00536CFD" w:rsidRDefault="009D4A93" w:rsidP="009D4A93">
            <w:pPr>
              <w:spacing w:after="0"/>
              <w:jc w:val="center"/>
              <w:rPr>
                <w:rFonts w:ascii="Calibri" w:hAnsi="Calibri" w:cs="Calibri"/>
                <w:color w:val="000000"/>
              </w:rPr>
            </w:pPr>
            <w:r w:rsidRPr="00536CFD">
              <w:rPr>
                <w:rFonts w:ascii="Calibri" w:hAnsi="Calibri" w:cs="Calibri"/>
                <w:color w:val="000000"/>
              </w:rPr>
              <w:t>55.44</w:t>
            </w:r>
          </w:p>
        </w:tc>
        <w:tc>
          <w:tcPr>
            <w:tcW w:w="970" w:type="dxa"/>
            <w:shd w:val="clear" w:color="auto" w:fill="auto"/>
            <w:vAlign w:val="center"/>
            <w:hideMark/>
          </w:tcPr>
          <w:p w14:paraId="217A396B" w14:textId="77777777" w:rsidR="009D4A93" w:rsidRPr="00536CFD" w:rsidRDefault="009D4A93" w:rsidP="009D4A93">
            <w:pPr>
              <w:spacing w:after="0"/>
              <w:jc w:val="center"/>
              <w:rPr>
                <w:rFonts w:ascii="Calibri" w:hAnsi="Calibri" w:cs="Calibri"/>
                <w:color w:val="000000"/>
              </w:rPr>
            </w:pPr>
            <w:r w:rsidRPr="00536CFD">
              <w:rPr>
                <w:rFonts w:ascii="Calibri" w:hAnsi="Calibri" w:cs="Calibri"/>
                <w:color w:val="000000"/>
              </w:rPr>
              <w:t>42.26</w:t>
            </w:r>
          </w:p>
        </w:tc>
        <w:tc>
          <w:tcPr>
            <w:tcW w:w="970" w:type="dxa"/>
            <w:shd w:val="clear" w:color="auto" w:fill="auto"/>
            <w:vAlign w:val="center"/>
            <w:hideMark/>
          </w:tcPr>
          <w:p w14:paraId="68F9892C" w14:textId="77777777" w:rsidR="009D4A93" w:rsidRPr="00536CFD" w:rsidRDefault="009D4A93" w:rsidP="009D4A93">
            <w:pPr>
              <w:spacing w:after="0"/>
              <w:jc w:val="center"/>
              <w:rPr>
                <w:rFonts w:ascii="Calibri" w:hAnsi="Calibri" w:cs="Calibri"/>
                <w:color w:val="000000"/>
              </w:rPr>
            </w:pPr>
            <w:r w:rsidRPr="00536CFD">
              <w:rPr>
                <w:rFonts w:ascii="Calibri" w:hAnsi="Calibri" w:cs="Calibri"/>
                <w:color w:val="000000"/>
              </w:rPr>
              <w:t>53.95</w:t>
            </w:r>
          </w:p>
        </w:tc>
      </w:tr>
      <w:tr w:rsidR="009D4A93" w:rsidRPr="00536CFD" w14:paraId="340D8343" w14:textId="77777777" w:rsidTr="009D4A93">
        <w:trPr>
          <w:trHeight w:val="23"/>
          <w:jc w:val="center"/>
        </w:trPr>
        <w:tc>
          <w:tcPr>
            <w:tcW w:w="445" w:type="dxa"/>
            <w:vMerge/>
          </w:tcPr>
          <w:p w14:paraId="343BC9FC"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74C09AD1"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1C002EB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4E0C5CB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4B4DFAE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09A02826"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0.04</w:t>
            </w:r>
          </w:p>
        </w:tc>
        <w:tc>
          <w:tcPr>
            <w:tcW w:w="970" w:type="dxa"/>
            <w:shd w:val="clear" w:color="auto" w:fill="auto"/>
            <w:vAlign w:val="center"/>
            <w:hideMark/>
          </w:tcPr>
          <w:p w14:paraId="6030E94F"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0.04</w:t>
            </w:r>
          </w:p>
        </w:tc>
        <w:tc>
          <w:tcPr>
            <w:tcW w:w="970" w:type="dxa"/>
            <w:shd w:val="clear" w:color="auto" w:fill="auto"/>
            <w:vAlign w:val="center"/>
            <w:hideMark/>
          </w:tcPr>
          <w:p w14:paraId="4F735BAF"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0.05</w:t>
            </w:r>
          </w:p>
        </w:tc>
        <w:tc>
          <w:tcPr>
            <w:tcW w:w="970" w:type="dxa"/>
            <w:shd w:val="clear" w:color="auto" w:fill="auto"/>
            <w:vAlign w:val="center"/>
            <w:hideMark/>
          </w:tcPr>
          <w:p w14:paraId="17911634"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0.05</w:t>
            </w:r>
          </w:p>
        </w:tc>
      </w:tr>
      <w:tr w:rsidR="009D4A93" w:rsidRPr="00536CFD" w14:paraId="5D189B2F" w14:textId="77777777" w:rsidTr="009D4A93">
        <w:trPr>
          <w:trHeight w:val="23"/>
          <w:jc w:val="center"/>
        </w:trPr>
        <w:tc>
          <w:tcPr>
            <w:tcW w:w="445" w:type="dxa"/>
            <w:vMerge/>
          </w:tcPr>
          <w:p w14:paraId="057167ED"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6AACA69E"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C80EC1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78EE0F62"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0.08</w:t>
            </w:r>
          </w:p>
        </w:tc>
        <w:tc>
          <w:tcPr>
            <w:tcW w:w="970" w:type="dxa"/>
            <w:shd w:val="clear" w:color="auto" w:fill="auto"/>
            <w:vAlign w:val="center"/>
            <w:hideMark/>
          </w:tcPr>
          <w:p w14:paraId="5FD12B7E"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0.07</w:t>
            </w:r>
          </w:p>
        </w:tc>
        <w:tc>
          <w:tcPr>
            <w:tcW w:w="970" w:type="dxa"/>
            <w:shd w:val="clear" w:color="auto" w:fill="auto"/>
            <w:vAlign w:val="center"/>
            <w:hideMark/>
          </w:tcPr>
          <w:p w14:paraId="767E7B94"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0.1</w:t>
            </w:r>
          </w:p>
        </w:tc>
        <w:tc>
          <w:tcPr>
            <w:tcW w:w="970" w:type="dxa"/>
            <w:shd w:val="clear" w:color="auto" w:fill="auto"/>
            <w:vAlign w:val="center"/>
            <w:hideMark/>
          </w:tcPr>
          <w:p w14:paraId="6D57D1CD"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0.08</w:t>
            </w:r>
          </w:p>
        </w:tc>
      </w:tr>
      <w:tr w:rsidR="009D4A93" w:rsidRPr="00536CFD" w14:paraId="4ABBEF74" w14:textId="77777777" w:rsidTr="009D4A93">
        <w:trPr>
          <w:trHeight w:val="23"/>
          <w:jc w:val="center"/>
        </w:trPr>
        <w:tc>
          <w:tcPr>
            <w:tcW w:w="445" w:type="dxa"/>
            <w:vMerge/>
          </w:tcPr>
          <w:p w14:paraId="140641B4"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4F1351E2"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33392D7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3392B47B"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0.3</w:t>
            </w:r>
          </w:p>
        </w:tc>
        <w:tc>
          <w:tcPr>
            <w:tcW w:w="970" w:type="dxa"/>
            <w:shd w:val="clear" w:color="auto" w:fill="auto"/>
            <w:vAlign w:val="center"/>
            <w:hideMark/>
          </w:tcPr>
          <w:p w14:paraId="1E22A2A2"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0.25</w:t>
            </w:r>
          </w:p>
        </w:tc>
        <w:tc>
          <w:tcPr>
            <w:tcW w:w="970" w:type="dxa"/>
            <w:shd w:val="clear" w:color="auto" w:fill="auto"/>
            <w:vAlign w:val="center"/>
            <w:hideMark/>
          </w:tcPr>
          <w:p w14:paraId="31C5F36C"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0.33</w:t>
            </w:r>
          </w:p>
        </w:tc>
        <w:tc>
          <w:tcPr>
            <w:tcW w:w="970" w:type="dxa"/>
            <w:shd w:val="clear" w:color="auto" w:fill="auto"/>
            <w:vAlign w:val="center"/>
            <w:hideMark/>
          </w:tcPr>
          <w:p w14:paraId="12185685"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0.23</w:t>
            </w:r>
          </w:p>
        </w:tc>
      </w:tr>
      <w:tr w:rsidR="009D4A93" w:rsidRPr="00536CFD" w14:paraId="397066D7" w14:textId="77777777" w:rsidTr="009D4A93">
        <w:trPr>
          <w:trHeight w:val="23"/>
          <w:jc w:val="center"/>
        </w:trPr>
        <w:tc>
          <w:tcPr>
            <w:tcW w:w="445" w:type="dxa"/>
            <w:vMerge/>
          </w:tcPr>
          <w:p w14:paraId="26DE0564" w14:textId="77777777" w:rsidR="009D4A93" w:rsidRPr="00536CFD" w:rsidRDefault="009D4A93" w:rsidP="009D4A93">
            <w:pPr>
              <w:spacing w:after="0"/>
              <w:rPr>
                <w:rFonts w:ascii="Calibri" w:eastAsia="Times New Roman" w:hAnsi="Calibri" w:cs="Calibri"/>
                <w:color w:val="000000"/>
                <w:lang w:eastAsia="zh-CN"/>
              </w:rPr>
            </w:pPr>
          </w:p>
        </w:tc>
        <w:tc>
          <w:tcPr>
            <w:tcW w:w="949" w:type="dxa"/>
            <w:vMerge/>
            <w:shd w:val="clear" w:color="auto" w:fill="auto"/>
            <w:hideMark/>
          </w:tcPr>
          <w:p w14:paraId="2E819569" w14:textId="77777777" w:rsidR="009D4A93" w:rsidRPr="00536CFD" w:rsidRDefault="009D4A93" w:rsidP="009D4A93">
            <w:pPr>
              <w:spacing w:after="0"/>
              <w:rPr>
                <w:rFonts w:ascii="Calibri" w:eastAsia="Times New Roman" w:hAnsi="Calibri" w:cs="Calibri"/>
                <w:color w:val="000000"/>
                <w:lang w:eastAsia="zh-CN"/>
              </w:rPr>
            </w:pPr>
          </w:p>
        </w:tc>
        <w:tc>
          <w:tcPr>
            <w:tcW w:w="931" w:type="dxa"/>
            <w:shd w:val="clear" w:color="auto" w:fill="auto"/>
            <w:vAlign w:val="center"/>
            <w:hideMark/>
          </w:tcPr>
          <w:p w14:paraId="3C4DACF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0AF0848D"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0.12</w:t>
            </w:r>
          </w:p>
        </w:tc>
        <w:tc>
          <w:tcPr>
            <w:tcW w:w="970" w:type="dxa"/>
            <w:shd w:val="clear" w:color="auto" w:fill="auto"/>
            <w:vAlign w:val="center"/>
            <w:hideMark/>
          </w:tcPr>
          <w:p w14:paraId="4819D762"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0.1</w:t>
            </w:r>
          </w:p>
        </w:tc>
        <w:tc>
          <w:tcPr>
            <w:tcW w:w="970" w:type="dxa"/>
            <w:shd w:val="clear" w:color="auto" w:fill="auto"/>
            <w:vAlign w:val="center"/>
            <w:hideMark/>
          </w:tcPr>
          <w:p w14:paraId="2268B35A"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0.14</w:t>
            </w:r>
          </w:p>
        </w:tc>
        <w:tc>
          <w:tcPr>
            <w:tcW w:w="970" w:type="dxa"/>
            <w:shd w:val="clear" w:color="auto" w:fill="auto"/>
            <w:vAlign w:val="center"/>
            <w:hideMark/>
          </w:tcPr>
          <w:p w14:paraId="25B55AFD"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0.1</w:t>
            </w:r>
          </w:p>
        </w:tc>
      </w:tr>
      <w:tr w:rsidR="009D4A93" w:rsidRPr="00536CFD" w14:paraId="0B50AA76" w14:textId="77777777" w:rsidTr="009D4A93">
        <w:trPr>
          <w:trHeight w:val="23"/>
          <w:jc w:val="center"/>
        </w:trPr>
        <w:tc>
          <w:tcPr>
            <w:tcW w:w="445" w:type="dxa"/>
            <w:vMerge/>
          </w:tcPr>
          <w:p w14:paraId="28261229" w14:textId="77777777" w:rsidR="009D4A93" w:rsidRPr="00536CFD" w:rsidRDefault="009D4A93" w:rsidP="009D4A93">
            <w:pPr>
              <w:spacing w:after="0"/>
              <w:jc w:val="center"/>
              <w:rPr>
                <w:rFonts w:ascii="Cambria Math" w:eastAsia="Times New Roman" w:hAnsi="Cambria Math" w:cs="Calibri"/>
                <w:color w:val="000000"/>
                <w:lang w:eastAsia="zh-CN"/>
              </w:rPr>
            </w:pPr>
          </w:p>
        </w:tc>
        <w:tc>
          <w:tcPr>
            <w:tcW w:w="1880" w:type="dxa"/>
            <w:gridSpan w:val="2"/>
            <w:shd w:val="clear" w:color="auto" w:fill="auto"/>
            <w:vAlign w:val="center"/>
            <w:hideMark/>
          </w:tcPr>
          <w:p w14:paraId="57937061" w14:textId="77777777" w:rsidR="009D4A93" w:rsidRPr="00536CFD" w:rsidRDefault="009D4A93" w:rsidP="009D4A93">
            <w:pPr>
              <w:spacing w:after="0"/>
              <w:jc w:val="center"/>
              <w:rPr>
                <w:rFonts w:ascii="Cambria Math" w:eastAsia="Times New Roman" w:hAnsi="Cambria Math" w:cs="Calibri"/>
                <w:color w:val="000000"/>
                <w:lang w:eastAsia="zh-CN"/>
              </w:rPr>
            </w:pPr>
            <w:r w:rsidRPr="00536CFD">
              <w:rPr>
                <w:rFonts w:ascii="Cambria Math" w:eastAsia="Times New Roman" w:hAnsi="Cambria Math" w:cs="Calibri"/>
                <w:color w:val="000000"/>
                <w:lang w:eastAsia="zh-CN"/>
              </w:rPr>
              <w:t>𝜌</w:t>
            </w:r>
            <w:r w:rsidRPr="00536CFD">
              <w:rPr>
                <w:rFonts w:ascii="Cambria Math" w:eastAsia="Times New Roman" w:hAnsi="Cambria Math" w:cs="Calibri"/>
                <w:color w:val="000000"/>
                <w:vertAlign w:val="subscript"/>
                <w:lang w:eastAsia="zh-CN"/>
              </w:rPr>
              <w:t>DL</w:t>
            </w:r>
          </w:p>
        </w:tc>
        <w:tc>
          <w:tcPr>
            <w:tcW w:w="970" w:type="dxa"/>
            <w:shd w:val="clear" w:color="auto" w:fill="auto"/>
            <w:vAlign w:val="center"/>
            <w:hideMark/>
          </w:tcPr>
          <w:p w14:paraId="4E4B3000"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99.80%</w:t>
            </w:r>
          </w:p>
        </w:tc>
        <w:tc>
          <w:tcPr>
            <w:tcW w:w="970" w:type="dxa"/>
            <w:shd w:val="clear" w:color="auto" w:fill="auto"/>
            <w:vAlign w:val="center"/>
            <w:hideMark/>
          </w:tcPr>
          <w:p w14:paraId="357D4605"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99.71%</w:t>
            </w:r>
          </w:p>
        </w:tc>
        <w:tc>
          <w:tcPr>
            <w:tcW w:w="970" w:type="dxa"/>
            <w:shd w:val="clear" w:color="auto" w:fill="auto"/>
            <w:vAlign w:val="center"/>
            <w:hideMark/>
          </w:tcPr>
          <w:p w14:paraId="21F3F560"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99.87%</w:t>
            </w:r>
          </w:p>
        </w:tc>
        <w:tc>
          <w:tcPr>
            <w:tcW w:w="970" w:type="dxa"/>
            <w:shd w:val="clear" w:color="auto" w:fill="auto"/>
            <w:vAlign w:val="center"/>
            <w:hideMark/>
          </w:tcPr>
          <w:p w14:paraId="27192943"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99.88%</w:t>
            </w:r>
          </w:p>
        </w:tc>
      </w:tr>
      <w:tr w:rsidR="009D4A93" w:rsidRPr="00536CFD" w14:paraId="738AEDB4" w14:textId="77777777" w:rsidTr="009D4A93">
        <w:trPr>
          <w:trHeight w:val="23"/>
          <w:jc w:val="center"/>
        </w:trPr>
        <w:tc>
          <w:tcPr>
            <w:tcW w:w="445" w:type="dxa"/>
            <w:vMerge/>
          </w:tcPr>
          <w:p w14:paraId="30A83068" w14:textId="77777777" w:rsidR="009D4A93" w:rsidRPr="00536CFD" w:rsidRDefault="009D4A93" w:rsidP="009D4A93">
            <w:pPr>
              <w:spacing w:after="0"/>
              <w:jc w:val="center"/>
              <w:rPr>
                <w:rFonts w:ascii="Cambria Math" w:eastAsia="Times New Roman" w:hAnsi="Cambria Math" w:cs="Calibri"/>
                <w:color w:val="000000"/>
                <w:lang w:eastAsia="zh-CN"/>
              </w:rPr>
            </w:pPr>
          </w:p>
        </w:tc>
        <w:tc>
          <w:tcPr>
            <w:tcW w:w="1880" w:type="dxa"/>
            <w:gridSpan w:val="2"/>
            <w:shd w:val="clear" w:color="auto" w:fill="auto"/>
            <w:vAlign w:val="center"/>
            <w:hideMark/>
          </w:tcPr>
          <w:p w14:paraId="3F55E0D2" w14:textId="77777777" w:rsidR="009D4A93" w:rsidRPr="00536CFD" w:rsidRDefault="009D4A93" w:rsidP="009D4A93">
            <w:pPr>
              <w:spacing w:after="0"/>
              <w:jc w:val="center"/>
              <w:rPr>
                <w:rFonts w:ascii="Cambria Math" w:eastAsia="Times New Roman" w:hAnsi="Cambria Math" w:cs="Calibri"/>
                <w:color w:val="000000"/>
                <w:lang w:eastAsia="zh-CN"/>
              </w:rPr>
            </w:pPr>
            <w:r w:rsidRPr="00536CFD">
              <w:rPr>
                <w:rFonts w:ascii="Cambria Math" w:eastAsia="Times New Roman" w:hAnsi="Cambria Math" w:cs="Calibri"/>
                <w:color w:val="000000"/>
                <w:lang w:eastAsia="zh-CN"/>
              </w:rPr>
              <w:t>𝜌</w:t>
            </w:r>
            <w:r w:rsidRPr="00536CFD">
              <w:rPr>
                <w:rFonts w:ascii="Cambria Math" w:eastAsia="Times New Roman" w:hAnsi="Cambria Math" w:cs="Calibri"/>
                <w:color w:val="000000"/>
                <w:vertAlign w:val="subscript"/>
                <w:lang w:eastAsia="zh-CN"/>
              </w:rPr>
              <w:t>UL</w:t>
            </w:r>
          </w:p>
        </w:tc>
        <w:tc>
          <w:tcPr>
            <w:tcW w:w="970" w:type="dxa"/>
            <w:shd w:val="clear" w:color="auto" w:fill="auto"/>
            <w:vAlign w:val="center"/>
            <w:hideMark/>
          </w:tcPr>
          <w:p w14:paraId="5C9EA65D"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99.67%</w:t>
            </w:r>
          </w:p>
        </w:tc>
        <w:tc>
          <w:tcPr>
            <w:tcW w:w="970" w:type="dxa"/>
            <w:shd w:val="clear" w:color="auto" w:fill="auto"/>
            <w:vAlign w:val="center"/>
            <w:hideMark/>
          </w:tcPr>
          <w:p w14:paraId="4D6121F7"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99.72%</w:t>
            </w:r>
          </w:p>
        </w:tc>
        <w:tc>
          <w:tcPr>
            <w:tcW w:w="970" w:type="dxa"/>
            <w:shd w:val="clear" w:color="auto" w:fill="auto"/>
            <w:vAlign w:val="center"/>
            <w:hideMark/>
          </w:tcPr>
          <w:p w14:paraId="2260D4F4"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99.63%</w:t>
            </w:r>
          </w:p>
        </w:tc>
        <w:tc>
          <w:tcPr>
            <w:tcW w:w="970" w:type="dxa"/>
            <w:shd w:val="clear" w:color="auto" w:fill="auto"/>
            <w:vAlign w:val="center"/>
            <w:hideMark/>
          </w:tcPr>
          <w:p w14:paraId="77D64E68"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99.68%</w:t>
            </w:r>
          </w:p>
        </w:tc>
      </w:tr>
      <w:tr w:rsidR="009D4A93" w:rsidRPr="00536CFD" w14:paraId="0A209987" w14:textId="77777777" w:rsidTr="009D4A93">
        <w:trPr>
          <w:trHeight w:val="23"/>
          <w:jc w:val="center"/>
        </w:trPr>
        <w:tc>
          <w:tcPr>
            <w:tcW w:w="445" w:type="dxa"/>
            <w:vMerge/>
          </w:tcPr>
          <w:p w14:paraId="33CE1165"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037E250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BO</w:t>
            </w:r>
          </w:p>
        </w:tc>
        <w:tc>
          <w:tcPr>
            <w:tcW w:w="970" w:type="dxa"/>
            <w:shd w:val="clear" w:color="auto" w:fill="auto"/>
            <w:vAlign w:val="center"/>
            <w:hideMark/>
          </w:tcPr>
          <w:p w14:paraId="195F9FD7"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23%</w:t>
            </w:r>
          </w:p>
        </w:tc>
        <w:tc>
          <w:tcPr>
            <w:tcW w:w="970" w:type="dxa"/>
            <w:shd w:val="clear" w:color="auto" w:fill="auto"/>
            <w:vAlign w:val="center"/>
            <w:hideMark/>
          </w:tcPr>
          <w:p w14:paraId="0483BF38"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21%</w:t>
            </w:r>
          </w:p>
        </w:tc>
        <w:tc>
          <w:tcPr>
            <w:tcW w:w="970" w:type="dxa"/>
            <w:shd w:val="clear" w:color="auto" w:fill="auto"/>
            <w:vAlign w:val="center"/>
            <w:hideMark/>
          </w:tcPr>
          <w:p w14:paraId="4D4B7F17"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25%</w:t>
            </w:r>
          </w:p>
        </w:tc>
        <w:tc>
          <w:tcPr>
            <w:tcW w:w="970" w:type="dxa"/>
            <w:shd w:val="clear" w:color="auto" w:fill="auto"/>
            <w:vAlign w:val="center"/>
            <w:hideMark/>
          </w:tcPr>
          <w:p w14:paraId="64577496"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20%</w:t>
            </w:r>
          </w:p>
        </w:tc>
      </w:tr>
      <w:tr w:rsidR="009D4A93" w:rsidRPr="00536CFD" w14:paraId="1AB56F8F" w14:textId="77777777" w:rsidTr="009D4A93">
        <w:trPr>
          <w:trHeight w:val="23"/>
          <w:jc w:val="center"/>
        </w:trPr>
        <w:tc>
          <w:tcPr>
            <w:tcW w:w="445" w:type="dxa"/>
            <w:vMerge/>
          </w:tcPr>
          <w:p w14:paraId="1FAE8D43" w14:textId="77777777" w:rsidR="009D4A93" w:rsidRPr="00536CFD" w:rsidRDefault="009D4A93" w:rsidP="009D4A93">
            <w:pPr>
              <w:spacing w:after="0"/>
              <w:jc w:val="center"/>
              <w:rPr>
                <w:rFonts w:ascii="Cambria Math" w:eastAsia="Times New Roman" w:hAnsi="Cambria Math" w:cs="Calibri"/>
                <w:color w:val="000000"/>
                <w:lang w:eastAsia="zh-CN"/>
              </w:rPr>
            </w:pPr>
          </w:p>
        </w:tc>
        <w:tc>
          <w:tcPr>
            <w:tcW w:w="1880" w:type="dxa"/>
            <w:gridSpan w:val="2"/>
            <w:shd w:val="clear" w:color="auto" w:fill="auto"/>
            <w:vAlign w:val="center"/>
            <w:hideMark/>
          </w:tcPr>
          <w:p w14:paraId="066E062E" w14:textId="77777777" w:rsidR="009D4A93" w:rsidRPr="00536CFD" w:rsidRDefault="009D4A93" w:rsidP="009D4A93">
            <w:pPr>
              <w:spacing w:after="0"/>
              <w:jc w:val="center"/>
              <w:rPr>
                <w:rFonts w:ascii="Cambria Math" w:eastAsia="Times New Roman" w:hAnsi="Cambria Math" w:cs="Calibri"/>
                <w:color w:val="000000"/>
                <w:lang w:eastAsia="zh-CN"/>
              </w:rPr>
            </w:pPr>
            <w:r w:rsidRPr="00536CFD">
              <w:rPr>
                <w:rFonts w:ascii="Cambria Math" w:eastAsia="Times New Roman" w:hAnsi="Cambria Math" w:cs="Calibri"/>
                <w:color w:val="000000"/>
                <w:lang w:eastAsia="zh-CN"/>
              </w:rPr>
              <w:t>𝜆</w:t>
            </w:r>
          </w:p>
        </w:tc>
        <w:tc>
          <w:tcPr>
            <w:tcW w:w="3880" w:type="dxa"/>
            <w:gridSpan w:val="4"/>
            <w:shd w:val="clear" w:color="auto" w:fill="auto"/>
            <w:vAlign w:val="center"/>
            <w:hideMark/>
          </w:tcPr>
          <w:p w14:paraId="45EFC716" w14:textId="77777777" w:rsidR="009D4A93" w:rsidRPr="00536CFD" w:rsidRDefault="009D4A93" w:rsidP="009D4A93">
            <w:pPr>
              <w:spacing w:after="0"/>
              <w:jc w:val="center"/>
              <w:rPr>
                <w:rFonts w:ascii="Calibri" w:eastAsia="Times New Roman" w:hAnsi="Calibri" w:cs="Calibri"/>
                <w:color w:val="000000"/>
                <w:lang w:eastAsia="zh-CN"/>
              </w:rPr>
            </w:pPr>
            <w:r w:rsidRPr="00536CFD">
              <w:rPr>
                <w:rFonts w:ascii="Calibri" w:hAnsi="Calibri" w:cs="Calibri"/>
                <w:color w:val="000000"/>
              </w:rPr>
              <w:t>0.3 files/s</w:t>
            </w:r>
          </w:p>
        </w:tc>
      </w:tr>
      <w:tr w:rsidR="009D4A93" w:rsidRPr="00536CFD" w14:paraId="268299B6" w14:textId="77777777" w:rsidTr="009D4A93">
        <w:trPr>
          <w:trHeight w:val="23"/>
          <w:jc w:val="center"/>
        </w:trPr>
        <w:tc>
          <w:tcPr>
            <w:tcW w:w="445" w:type="dxa"/>
            <w:vMerge/>
          </w:tcPr>
          <w:p w14:paraId="3D858F40" w14:textId="77777777" w:rsidR="009D4A93" w:rsidRPr="00536CFD" w:rsidRDefault="009D4A93" w:rsidP="009D4A93">
            <w:pPr>
              <w:spacing w:after="0"/>
              <w:jc w:val="center"/>
              <w:rPr>
                <w:rFonts w:ascii="Cambria Math" w:eastAsia="Times New Roman" w:hAnsi="Cambria Math" w:cs="Calibri"/>
                <w:color w:val="000000"/>
                <w:lang w:eastAsia="zh-CN"/>
              </w:rPr>
            </w:pPr>
          </w:p>
        </w:tc>
        <w:tc>
          <w:tcPr>
            <w:tcW w:w="1880" w:type="dxa"/>
            <w:gridSpan w:val="2"/>
            <w:shd w:val="clear" w:color="auto" w:fill="auto"/>
          </w:tcPr>
          <w:p w14:paraId="47D55CF8" w14:textId="77777777" w:rsidR="009D4A93" w:rsidRPr="00536CFD" w:rsidRDefault="009D4A93" w:rsidP="009D4A93">
            <w:pPr>
              <w:spacing w:after="0"/>
              <w:jc w:val="center"/>
              <w:rPr>
                <w:rFonts w:ascii="Cambria Math" w:eastAsia="Times New Roman" w:hAnsi="Cambria Math" w:cs="Calibri"/>
                <w:color w:val="000000"/>
                <w:lang w:eastAsia="zh-CN"/>
              </w:rPr>
            </w:pPr>
          </w:p>
        </w:tc>
        <w:tc>
          <w:tcPr>
            <w:tcW w:w="3880" w:type="dxa"/>
            <w:gridSpan w:val="4"/>
            <w:shd w:val="clear" w:color="auto" w:fill="auto"/>
          </w:tcPr>
          <w:p w14:paraId="5F5C8450" w14:textId="77777777" w:rsidR="009D4A93" w:rsidRPr="00536CFD" w:rsidRDefault="009D4A93" w:rsidP="009D4A93">
            <w:pPr>
              <w:spacing w:after="0"/>
              <w:jc w:val="both"/>
            </w:pPr>
            <w:r w:rsidRPr="00536CFD">
              <w:t>Additional comments:</w:t>
            </w:r>
          </w:p>
          <w:p w14:paraId="7B4CD251" w14:textId="77777777" w:rsidR="009D4A93" w:rsidRPr="00536CFD" w:rsidRDefault="009D4A93" w:rsidP="009D4A93">
            <w:pPr>
              <w:spacing w:after="0"/>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4D2D64C9" w14:textId="77777777" w:rsidR="009D4A93" w:rsidRPr="00536CFD" w:rsidRDefault="009D4A93" w:rsidP="009D4A93">
            <w:pPr>
              <w:spacing w:after="0"/>
              <w:contextualSpacing/>
              <w:rPr>
                <w:lang w:val="en-US" w:bidi="ar"/>
              </w:rPr>
            </w:pPr>
            <w:r w:rsidRPr="00536CFD">
              <w:rPr>
                <w:b/>
                <w:lang w:val="en-US" w:bidi="ar"/>
              </w:rPr>
              <w:t>NRU assumption:</w:t>
            </w:r>
            <w:r w:rsidRPr="00536CFD">
              <w:rPr>
                <w:lang w:val="en-US" w:bidi="ar"/>
              </w:rPr>
              <w:t xml:space="preserve"> 8ms MCOT;  ED=-82dBm; 256 QAM LDPC; 60 kHz SCS NCP; UE processing time capability #1; NR type B for PDSCH, type A for PUSCH</w:t>
            </w:r>
          </w:p>
          <w:p w14:paraId="61805A7E" w14:textId="77777777" w:rsidR="009D4A93" w:rsidRPr="00536CFD" w:rsidRDefault="009D4A93" w:rsidP="009D4A93">
            <w:pPr>
              <w:spacing w:after="0"/>
              <w:contextualSpacing/>
              <w:rPr>
                <w:lang w:val="en-US"/>
              </w:rPr>
            </w:pPr>
            <w:r w:rsidRPr="00536CFD">
              <w:rPr>
                <w:b/>
                <w:lang w:val="en-US" w:bidi="ar"/>
              </w:rPr>
              <w:t>802.11ax assumption:</w:t>
            </w:r>
            <w:r w:rsidRPr="00536CFD">
              <w:rPr>
                <w:lang w:val="en-US" w:bidi="ar"/>
              </w:rPr>
              <w:t xml:space="preserve"> 4ms TXOP; RTS/CTS disabled for WiFi, NAV set based on L-SIG; PD=-82dBm/ED=--82dBm EDCA; 256 QAM BCC; A-MPDU, 1500B MSDU + 14 B header; Immediate ACK,78.125kHz SCS  GI= 0.8us, HE MU PPDU in DL and HE TB PPDU in UL.</w:t>
            </w:r>
          </w:p>
          <w:p w14:paraId="141C8E0F" w14:textId="77777777" w:rsidR="009D4A93" w:rsidRPr="00536CFD" w:rsidRDefault="009D4A93" w:rsidP="009D4A93">
            <w:pPr>
              <w:spacing w:after="0"/>
              <w:jc w:val="center"/>
              <w:rPr>
                <w:rFonts w:ascii="Calibri" w:hAnsi="Calibri" w:cs="Calibri"/>
                <w:color w:val="000000"/>
              </w:rPr>
            </w:pPr>
          </w:p>
        </w:tc>
      </w:tr>
    </w:tbl>
    <w:p w14:paraId="7B4FA0CC" w14:textId="77777777" w:rsidR="009D4A93" w:rsidRPr="00C64ECB" w:rsidRDefault="009D4A93" w:rsidP="009D4A93">
      <w:pPr>
        <w:keepNext/>
        <w:keepLines/>
        <w:spacing w:before="60"/>
        <w:jc w:val="center"/>
        <w:rPr>
          <w:rFonts w:ascii="Arial" w:hAnsi="Arial"/>
          <w:b/>
          <w:sz w:val="18"/>
          <w:lang w:eastAsia="x-none"/>
        </w:rPr>
      </w:pPr>
    </w:p>
    <w:p w14:paraId="38D8AF77" w14:textId="77777777" w:rsidR="009D4A93" w:rsidRPr="00C64ECB" w:rsidRDefault="009D4A93" w:rsidP="00E126D2">
      <w:pPr>
        <w:pStyle w:val="TH"/>
        <w:pageBreakBefore/>
      </w:pPr>
      <w:r w:rsidRPr="00C64ECB">
        <w:t>Table B.1.1-9: coexistence results of 11ax and NRU in indoor scenario of scheme 2</w:t>
      </w:r>
    </w:p>
    <w:tbl>
      <w:tblPr>
        <w:tblW w:w="6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936"/>
        <w:gridCol w:w="907"/>
        <w:gridCol w:w="957"/>
        <w:gridCol w:w="957"/>
        <w:gridCol w:w="957"/>
        <w:gridCol w:w="957"/>
      </w:tblGrid>
      <w:tr w:rsidR="009D4A93" w:rsidRPr="00536CFD" w14:paraId="6ABEB1FD" w14:textId="77777777" w:rsidTr="009D4A93">
        <w:trPr>
          <w:trHeight w:val="368"/>
          <w:jc w:val="center"/>
        </w:trPr>
        <w:tc>
          <w:tcPr>
            <w:tcW w:w="370" w:type="dxa"/>
            <w:vMerge w:val="restart"/>
            <w:textDirection w:val="btLr"/>
          </w:tcPr>
          <w:p w14:paraId="6BD03DB9"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val="restart"/>
            <w:shd w:val="clear" w:color="auto" w:fill="auto"/>
            <w:vAlign w:val="center"/>
            <w:hideMark/>
          </w:tcPr>
          <w:p w14:paraId="6699B95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Reported parameters</w:t>
            </w:r>
          </w:p>
        </w:tc>
        <w:tc>
          <w:tcPr>
            <w:tcW w:w="3880" w:type="dxa"/>
            <w:gridSpan w:val="4"/>
            <w:shd w:val="clear" w:color="auto" w:fill="auto"/>
            <w:vAlign w:val="center"/>
            <w:hideMark/>
          </w:tcPr>
          <w:p w14:paraId="32686A31" w14:textId="77777777" w:rsidR="009D4A93" w:rsidRPr="00536CFD" w:rsidRDefault="009D4A93" w:rsidP="009D4A93">
            <w:pPr>
              <w:spacing w:after="0"/>
              <w:jc w:val="center"/>
              <w:rPr>
                <w:rFonts w:eastAsia="Times New Roman"/>
                <w:color w:val="000000"/>
                <w:u w:val="single"/>
                <w:lang w:eastAsia="zh-CN"/>
              </w:rPr>
            </w:pPr>
            <w:r w:rsidRPr="00536CFD">
              <w:rPr>
                <w:rFonts w:eastAsia="Times New Roman"/>
                <w:color w:val="000000"/>
                <w:u w:val="single"/>
                <w:lang w:eastAsia="zh-CN"/>
              </w:rPr>
              <w:t>11ax PD=ED=  = 72dbm</w:t>
            </w:r>
            <w:r w:rsidRPr="00536CFD">
              <w:rPr>
                <w:rFonts w:eastAsia="Times New Roman"/>
                <w:color w:val="000000"/>
                <w:u w:val="single"/>
                <w:lang w:eastAsia="zh-CN"/>
              </w:rPr>
              <w:br/>
              <w:t>NRU ED=-72dbm</w:t>
            </w:r>
          </w:p>
        </w:tc>
      </w:tr>
      <w:tr w:rsidR="009D4A93" w:rsidRPr="00536CFD" w14:paraId="17ABA98E" w14:textId="77777777" w:rsidTr="009D4A93">
        <w:trPr>
          <w:trHeight w:val="23"/>
          <w:jc w:val="center"/>
        </w:trPr>
        <w:tc>
          <w:tcPr>
            <w:tcW w:w="370" w:type="dxa"/>
            <w:vMerge/>
            <w:textDirection w:val="btLr"/>
          </w:tcPr>
          <w:p w14:paraId="30BF2F19"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textDirection w:val="btLr"/>
            <w:hideMark/>
          </w:tcPr>
          <w:p w14:paraId="317E930C" w14:textId="77777777" w:rsidR="009D4A93" w:rsidRPr="00536CFD" w:rsidRDefault="009D4A93" w:rsidP="009D4A93">
            <w:pPr>
              <w:spacing w:after="0"/>
              <w:ind w:left="113" w:right="113"/>
              <w:rPr>
                <w:rFonts w:eastAsia="Times New Roman"/>
                <w:color w:val="000000"/>
                <w:lang w:eastAsia="zh-CN"/>
              </w:rPr>
            </w:pPr>
          </w:p>
        </w:tc>
        <w:tc>
          <w:tcPr>
            <w:tcW w:w="970" w:type="dxa"/>
            <w:shd w:val="clear" w:color="auto" w:fill="auto"/>
            <w:vAlign w:val="center"/>
            <w:hideMark/>
          </w:tcPr>
          <w:p w14:paraId="5FDBF95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14F9717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4082F3E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c>
          <w:tcPr>
            <w:tcW w:w="970" w:type="dxa"/>
            <w:shd w:val="clear" w:color="auto" w:fill="auto"/>
            <w:vAlign w:val="center"/>
            <w:hideMark/>
          </w:tcPr>
          <w:p w14:paraId="7AD34FD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r>
      <w:tr w:rsidR="009D4A93" w:rsidRPr="00536CFD" w14:paraId="42B747D3" w14:textId="77777777" w:rsidTr="009D4A93">
        <w:trPr>
          <w:trHeight w:val="23"/>
          <w:jc w:val="center"/>
        </w:trPr>
        <w:tc>
          <w:tcPr>
            <w:tcW w:w="370" w:type="dxa"/>
            <w:vMerge/>
            <w:textDirection w:val="btLr"/>
          </w:tcPr>
          <w:p w14:paraId="2F945F2A"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textDirection w:val="btLr"/>
            <w:hideMark/>
          </w:tcPr>
          <w:p w14:paraId="6A139909" w14:textId="77777777" w:rsidR="009D4A93" w:rsidRPr="00536CFD" w:rsidRDefault="009D4A93" w:rsidP="009D4A93">
            <w:pPr>
              <w:spacing w:after="0"/>
              <w:ind w:left="113" w:right="113"/>
              <w:rPr>
                <w:rFonts w:eastAsia="Times New Roman"/>
                <w:color w:val="000000"/>
                <w:lang w:eastAsia="zh-CN"/>
              </w:rPr>
            </w:pPr>
          </w:p>
        </w:tc>
        <w:tc>
          <w:tcPr>
            <w:tcW w:w="970" w:type="dxa"/>
            <w:shd w:val="clear" w:color="auto" w:fill="auto"/>
            <w:vAlign w:val="center"/>
            <w:hideMark/>
          </w:tcPr>
          <w:p w14:paraId="0CE2D2C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74BBD97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6593135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5659810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6B55943F" w14:textId="77777777" w:rsidTr="009D4A93">
        <w:trPr>
          <w:trHeight w:val="23"/>
          <w:jc w:val="center"/>
        </w:trPr>
        <w:tc>
          <w:tcPr>
            <w:tcW w:w="370" w:type="dxa"/>
            <w:vMerge/>
            <w:textDirection w:val="btLr"/>
          </w:tcPr>
          <w:p w14:paraId="0C4B4D89"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hideMark/>
          </w:tcPr>
          <w:p w14:paraId="3FEA391E" w14:textId="77777777" w:rsidR="009D4A93" w:rsidRPr="00536CFD" w:rsidRDefault="009D4A93" w:rsidP="009D4A93">
            <w:pPr>
              <w:spacing w:after="0"/>
              <w:rPr>
                <w:rFonts w:eastAsia="Times New Roman"/>
                <w:color w:val="000000"/>
                <w:lang w:eastAsia="zh-CN"/>
              </w:rPr>
            </w:pPr>
          </w:p>
        </w:tc>
        <w:tc>
          <w:tcPr>
            <w:tcW w:w="970" w:type="dxa"/>
            <w:shd w:val="clear" w:color="auto" w:fill="auto"/>
            <w:vAlign w:val="center"/>
            <w:hideMark/>
          </w:tcPr>
          <w:p w14:paraId="179DFE2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232BF83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68DED60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47C4FE1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47983C4B" w14:textId="77777777" w:rsidTr="009D4A93">
        <w:trPr>
          <w:trHeight w:val="23"/>
          <w:jc w:val="center"/>
        </w:trPr>
        <w:tc>
          <w:tcPr>
            <w:tcW w:w="370" w:type="dxa"/>
            <w:vMerge w:val="restart"/>
            <w:textDirection w:val="btLr"/>
          </w:tcPr>
          <w:p w14:paraId="4D251C70" w14:textId="77777777" w:rsidR="009D4A93" w:rsidRPr="00536CFD" w:rsidRDefault="009D4A93" w:rsidP="009D4A93">
            <w:pPr>
              <w:spacing w:after="0"/>
              <w:ind w:left="113" w:right="113"/>
              <w:jc w:val="center"/>
              <w:rPr>
                <w:rFonts w:eastAsia="Times New Roman"/>
                <w:b/>
                <w:bCs/>
                <w:color w:val="000000"/>
                <w:lang w:eastAsia="zh-CN"/>
              </w:rPr>
            </w:pPr>
            <w:r w:rsidRPr="00536CFD">
              <w:rPr>
                <w:rFonts w:eastAsia="Times New Roman"/>
                <w:b/>
                <w:bCs/>
                <w:color w:val="000000"/>
                <w:lang w:eastAsia="zh-CN"/>
              </w:rPr>
              <w:t>R-1814085(Source 4)</w:t>
            </w:r>
          </w:p>
        </w:tc>
        <w:tc>
          <w:tcPr>
            <w:tcW w:w="949" w:type="dxa"/>
            <w:vMerge w:val="restart"/>
            <w:shd w:val="clear" w:color="auto" w:fill="auto"/>
            <w:vAlign w:val="center"/>
            <w:hideMark/>
          </w:tcPr>
          <w:p w14:paraId="23C0CFBA"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 xml:space="preserve">DL: </w:t>
            </w:r>
          </w:p>
          <w:p w14:paraId="36EDE0A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5ECFFE1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6C54BF7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0A42B1D2" w14:textId="77777777" w:rsidR="009D4A93" w:rsidRPr="00536CFD" w:rsidRDefault="009D4A93" w:rsidP="009D4A93">
            <w:pPr>
              <w:spacing w:after="0"/>
              <w:jc w:val="center"/>
              <w:rPr>
                <w:rFonts w:eastAsia="Times New Roman"/>
                <w:color w:val="000000"/>
                <w:lang w:eastAsia="zh-CN"/>
              </w:rPr>
            </w:pPr>
            <w:r w:rsidRPr="00536CFD">
              <w:rPr>
                <w:color w:val="000000"/>
              </w:rPr>
              <w:t>14.76</w:t>
            </w:r>
          </w:p>
        </w:tc>
        <w:tc>
          <w:tcPr>
            <w:tcW w:w="970" w:type="dxa"/>
            <w:shd w:val="clear" w:color="auto" w:fill="auto"/>
            <w:vAlign w:val="center"/>
            <w:hideMark/>
          </w:tcPr>
          <w:p w14:paraId="3BAC7A90" w14:textId="77777777" w:rsidR="009D4A93" w:rsidRPr="00536CFD" w:rsidRDefault="009D4A93" w:rsidP="009D4A93">
            <w:pPr>
              <w:spacing w:after="0"/>
              <w:jc w:val="center"/>
              <w:rPr>
                <w:rFonts w:eastAsia="Times New Roman"/>
                <w:color w:val="000000"/>
                <w:lang w:eastAsia="zh-CN"/>
              </w:rPr>
            </w:pPr>
            <w:r w:rsidRPr="00536CFD">
              <w:rPr>
                <w:color w:val="000000"/>
              </w:rPr>
              <w:t>18.62</w:t>
            </w:r>
          </w:p>
        </w:tc>
        <w:tc>
          <w:tcPr>
            <w:tcW w:w="970" w:type="dxa"/>
            <w:shd w:val="clear" w:color="auto" w:fill="auto"/>
            <w:vAlign w:val="center"/>
            <w:hideMark/>
          </w:tcPr>
          <w:p w14:paraId="62E6C5C5" w14:textId="77777777" w:rsidR="009D4A93" w:rsidRPr="00536CFD" w:rsidRDefault="009D4A93" w:rsidP="009D4A93">
            <w:pPr>
              <w:spacing w:after="0"/>
              <w:jc w:val="center"/>
              <w:rPr>
                <w:rFonts w:eastAsia="Times New Roman"/>
                <w:color w:val="000000"/>
                <w:lang w:eastAsia="zh-CN"/>
              </w:rPr>
            </w:pPr>
            <w:r w:rsidRPr="00536CFD">
              <w:rPr>
                <w:color w:val="000000"/>
              </w:rPr>
              <w:t>29.88</w:t>
            </w:r>
          </w:p>
        </w:tc>
        <w:tc>
          <w:tcPr>
            <w:tcW w:w="970" w:type="dxa"/>
            <w:shd w:val="clear" w:color="auto" w:fill="auto"/>
            <w:vAlign w:val="center"/>
            <w:hideMark/>
          </w:tcPr>
          <w:p w14:paraId="4A3E0024" w14:textId="77777777" w:rsidR="009D4A93" w:rsidRPr="00536CFD" w:rsidRDefault="009D4A93" w:rsidP="009D4A93">
            <w:pPr>
              <w:spacing w:after="0"/>
              <w:jc w:val="center"/>
              <w:rPr>
                <w:rFonts w:eastAsia="Times New Roman"/>
                <w:color w:val="000000"/>
                <w:lang w:eastAsia="zh-CN"/>
              </w:rPr>
            </w:pPr>
            <w:r w:rsidRPr="00536CFD">
              <w:rPr>
                <w:color w:val="000000"/>
              </w:rPr>
              <w:t>30.67</w:t>
            </w:r>
          </w:p>
        </w:tc>
      </w:tr>
      <w:tr w:rsidR="009D4A93" w:rsidRPr="00536CFD" w14:paraId="69E5F31B" w14:textId="77777777" w:rsidTr="009D4A93">
        <w:trPr>
          <w:trHeight w:val="23"/>
          <w:jc w:val="center"/>
        </w:trPr>
        <w:tc>
          <w:tcPr>
            <w:tcW w:w="370" w:type="dxa"/>
            <w:vMerge/>
          </w:tcPr>
          <w:p w14:paraId="364DF392"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6785F836"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1990171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47D2C7A3" w14:textId="77777777" w:rsidR="009D4A93" w:rsidRPr="00536CFD" w:rsidRDefault="009D4A93" w:rsidP="009D4A93">
            <w:pPr>
              <w:spacing w:after="0"/>
              <w:jc w:val="center"/>
              <w:rPr>
                <w:rFonts w:eastAsia="Times New Roman"/>
                <w:color w:val="000000"/>
                <w:lang w:eastAsia="zh-CN"/>
              </w:rPr>
            </w:pPr>
            <w:r w:rsidRPr="00536CFD">
              <w:rPr>
                <w:color w:val="000000"/>
              </w:rPr>
              <w:t>67.54</w:t>
            </w:r>
          </w:p>
        </w:tc>
        <w:tc>
          <w:tcPr>
            <w:tcW w:w="970" w:type="dxa"/>
            <w:shd w:val="clear" w:color="auto" w:fill="auto"/>
            <w:vAlign w:val="center"/>
            <w:hideMark/>
          </w:tcPr>
          <w:p w14:paraId="7C41A2D6" w14:textId="77777777" w:rsidR="009D4A93" w:rsidRPr="00536CFD" w:rsidRDefault="009D4A93" w:rsidP="009D4A93">
            <w:pPr>
              <w:spacing w:after="0"/>
              <w:jc w:val="center"/>
              <w:rPr>
                <w:rFonts w:eastAsia="Times New Roman"/>
                <w:color w:val="000000"/>
                <w:lang w:eastAsia="zh-CN"/>
              </w:rPr>
            </w:pPr>
            <w:r w:rsidRPr="00536CFD">
              <w:rPr>
                <w:color w:val="000000"/>
              </w:rPr>
              <w:t>72.49</w:t>
            </w:r>
          </w:p>
        </w:tc>
        <w:tc>
          <w:tcPr>
            <w:tcW w:w="970" w:type="dxa"/>
            <w:shd w:val="clear" w:color="auto" w:fill="auto"/>
            <w:vAlign w:val="center"/>
            <w:hideMark/>
          </w:tcPr>
          <w:p w14:paraId="7D10D7C9" w14:textId="77777777" w:rsidR="009D4A93" w:rsidRPr="00536CFD" w:rsidRDefault="009D4A93" w:rsidP="009D4A93">
            <w:pPr>
              <w:spacing w:after="0"/>
              <w:jc w:val="center"/>
              <w:rPr>
                <w:rFonts w:eastAsia="Times New Roman"/>
                <w:color w:val="000000"/>
                <w:lang w:eastAsia="zh-CN"/>
              </w:rPr>
            </w:pPr>
            <w:r w:rsidRPr="00536CFD">
              <w:rPr>
                <w:color w:val="000000"/>
              </w:rPr>
              <w:t>78.04</w:t>
            </w:r>
          </w:p>
        </w:tc>
        <w:tc>
          <w:tcPr>
            <w:tcW w:w="970" w:type="dxa"/>
            <w:shd w:val="clear" w:color="auto" w:fill="auto"/>
            <w:vAlign w:val="center"/>
            <w:hideMark/>
          </w:tcPr>
          <w:p w14:paraId="0A333787" w14:textId="77777777" w:rsidR="009D4A93" w:rsidRPr="00536CFD" w:rsidRDefault="009D4A93" w:rsidP="009D4A93">
            <w:pPr>
              <w:spacing w:after="0"/>
              <w:jc w:val="center"/>
              <w:rPr>
                <w:rFonts w:eastAsia="Times New Roman"/>
                <w:color w:val="000000"/>
                <w:lang w:eastAsia="zh-CN"/>
              </w:rPr>
            </w:pPr>
            <w:r w:rsidRPr="00536CFD">
              <w:rPr>
                <w:color w:val="000000"/>
              </w:rPr>
              <w:t>83.06</w:t>
            </w:r>
          </w:p>
        </w:tc>
      </w:tr>
      <w:tr w:rsidR="009D4A93" w:rsidRPr="00536CFD" w14:paraId="7D5D9F0F" w14:textId="77777777" w:rsidTr="009D4A93">
        <w:trPr>
          <w:trHeight w:val="23"/>
          <w:jc w:val="center"/>
        </w:trPr>
        <w:tc>
          <w:tcPr>
            <w:tcW w:w="370" w:type="dxa"/>
            <w:vMerge/>
          </w:tcPr>
          <w:p w14:paraId="35AC546F"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2F30094E"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60E1CD2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51882683" w14:textId="77777777" w:rsidR="009D4A93" w:rsidRPr="00536CFD" w:rsidRDefault="009D4A93" w:rsidP="009D4A93">
            <w:pPr>
              <w:spacing w:after="0"/>
              <w:jc w:val="center"/>
              <w:rPr>
                <w:rFonts w:eastAsia="Times New Roman"/>
                <w:color w:val="000000"/>
                <w:lang w:eastAsia="zh-CN"/>
              </w:rPr>
            </w:pPr>
            <w:r w:rsidRPr="00536CFD">
              <w:rPr>
                <w:color w:val="000000"/>
              </w:rPr>
              <w:t>101.74</w:t>
            </w:r>
          </w:p>
        </w:tc>
        <w:tc>
          <w:tcPr>
            <w:tcW w:w="970" w:type="dxa"/>
            <w:shd w:val="clear" w:color="auto" w:fill="auto"/>
            <w:vAlign w:val="center"/>
            <w:hideMark/>
          </w:tcPr>
          <w:p w14:paraId="6F3A4528" w14:textId="77777777" w:rsidR="009D4A93" w:rsidRPr="00536CFD" w:rsidRDefault="009D4A93" w:rsidP="009D4A93">
            <w:pPr>
              <w:spacing w:after="0"/>
              <w:jc w:val="center"/>
              <w:rPr>
                <w:rFonts w:eastAsia="Times New Roman"/>
                <w:color w:val="000000"/>
                <w:lang w:eastAsia="zh-CN"/>
              </w:rPr>
            </w:pPr>
            <w:r w:rsidRPr="00536CFD">
              <w:rPr>
                <w:color w:val="000000"/>
              </w:rPr>
              <w:t>101.66</w:t>
            </w:r>
          </w:p>
        </w:tc>
        <w:tc>
          <w:tcPr>
            <w:tcW w:w="970" w:type="dxa"/>
            <w:shd w:val="clear" w:color="auto" w:fill="auto"/>
            <w:vAlign w:val="center"/>
            <w:hideMark/>
          </w:tcPr>
          <w:p w14:paraId="297BFA02" w14:textId="77777777" w:rsidR="009D4A93" w:rsidRPr="00536CFD" w:rsidRDefault="009D4A93" w:rsidP="009D4A93">
            <w:pPr>
              <w:spacing w:after="0"/>
              <w:jc w:val="center"/>
              <w:rPr>
                <w:rFonts w:eastAsia="Times New Roman"/>
                <w:color w:val="000000"/>
                <w:lang w:eastAsia="zh-CN"/>
              </w:rPr>
            </w:pPr>
            <w:r w:rsidRPr="00536CFD">
              <w:rPr>
                <w:color w:val="000000"/>
              </w:rPr>
              <w:t>96.79</w:t>
            </w:r>
          </w:p>
        </w:tc>
        <w:tc>
          <w:tcPr>
            <w:tcW w:w="970" w:type="dxa"/>
            <w:shd w:val="clear" w:color="auto" w:fill="auto"/>
            <w:vAlign w:val="center"/>
            <w:hideMark/>
          </w:tcPr>
          <w:p w14:paraId="1432D68D" w14:textId="77777777" w:rsidR="009D4A93" w:rsidRPr="00536CFD" w:rsidRDefault="009D4A93" w:rsidP="009D4A93">
            <w:pPr>
              <w:spacing w:after="0"/>
              <w:jc w:val="center"/>
              <w:rPr>
                <w:rFonts w:eastAsia="Times New Roman"/>
                <w:color w:val="000000"/>
                <w:lang w:eastAsia="zh-CN"/>
              </w:rPr>
            </w:pPr>
            <w:r w:rsidRPr="00536CFD">
              <w:rPr>
                <w:color w:val="000000"/>
              </w:rPr>
              <w:t>99.24</w:t>
            </w:r>
          </w:p>
        </w:tc>
      </w:tr>
      <w:tr w:rsidR="009D4A93" w:rsidRPr="00536CFD" w14:paraId="15DDCBAB" w14:textId="77777777" w:rsidTr="00E126D2">
        <w:trPr>
          <w:trHeight w:val="23"/>
          <w:jc w:val="center"/>
        </w:trPr>
        <w:tc>
          <w:tcPr>
            <w:tcW w:w="370" w:type="dxa"/>
            <w:vMerge/>
          </w:tcPr>
          <w:p w14:paraId="0BABF95D"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5F8A2273"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5158826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4B90519C" w14:textId="77777777" w:rsidR="009D4A93" w:rsidRPr="00536CFD" w:rsidRDefault="009D4A93" w:rsidP="009D4A93">
            <w:pPr>
              <w:spacing w:after="0"/>
              <w:jc w:val="center"/>
              <w:rPr>
                <w:color w:val="000000"/>
              </w:rPr>
            </w:pPr>
            <w:r w:rsidRPr="00536CFD">
              <w:rPr>
                <w:color w:val="000000"/>
              </w:rPr>
              <w:t>65.34</w:t>
            </w:r>
          </w:p>
        </w:tc>
        <w:tc>
          <w:tcPr>
            <w:tcW w:w="970" w:type="dxa"/>
            <w:shd w:val="clear" w:color="auto" w:fill="auto"/>
            <w:vAlign w:val="center"/>
            <w:hideMark/>
          </w:tcPr>
          <w:p w14:paraId="7A97A87B" w14:textId="77777777" w:rsidR="009D4A93" w:rsidRPr="00536CFD" w:rsidRDefault="009D4A93" w:rsidP="009D4A93">
            <w:pPr>
              <w:spacing w:after="0"/>
              <w:jc w:val="center"/>
              <w:rPr>
                <w:color w:val="000000"/>
              </w:rPr>
            </w:pPr>
            <w:r w:rsidRPr="00536CFD">
              <w:rPr>
                <w:color w:val="000000"/>
              </w:rPr>
              <w:t>68.89</w:t>
            </w:r>
          </w:p>
        </w:tc>
        <w:tc>
          <w:tcPr>
            <w:tcW w:w="970" w:type="dxa"/>
            <w:shd w:val="clear" w:color="auto" w:fill="auto"/>
            <w:vAlign w:val="center"/>
            <w:hideMark/>
          </w:tcPr>
          <w:p w14:paraId="27277C95" w14:textId="77777777" w:rsidR="009D4A93" w:rsidRPr="00536CFD" w:rsidRDefault="009D4A93" w:rsidP="009D4A93">
            <w:pPr>
              <w:spacing w:after="0"/>
              <w:jc w:val="center"/>
              <w:rPr>
                <w:color w:val="000000"/>
              </w:rPr>
            </w:pPr>
            <w:r w:rsidRPr="00536CFD">
              <w:rPr>
                <w:color w:val="000000"/>
              </w:rPr>
              <w:t>72.01</w:t>
            </w:r>
          </w:p>
        </w:tc>
        <w:tc>
          <w:tcPr>
            <w:tcW w:w="970" w:type="dxa"/>
            <w:shd w:val="clear" w:color="auto" w:fill="auto"/>
            <w:vAlign w:val="center"/>
            <w:hideMark/>
          </w:tcPr>
          <w:p w14:paraId="30E32A62" w14:textId="77777777" w:rsidR="009D4A93" w:rsidRPr="00536CFD" w:rsidRDefault="009D4A93" w:rsidP="009D4A93">
            <w:pPr>
              <w:spacing w:after="0"/>
              <w:jc w:val="center"/>
              <w:rPr>
                <w:color w:val="000000"/>
              </w:rPr>
            </w:pPr>
            <w:r w:rsidRPr="00536CFD">
              <w:rPr>
                <w:color w:val="000000"/>
              </w:rPr>
              <w:t>75.01</w:t>
            </w:r>
          </w:p>
        </w:tc>
      </w:tr>
      <w:tr w:rsidR="009D4A93" w:rsidRPr="00536CFD" w14:paraId="048EBFE3" w14:textId="77777777" w:rsidTr="009D4A93">
        <w:trPr>
          <w:trHeight w:val="23"/>
          <w:jc w:val="center"/>
        </w:trPr>
        <w:tc>
          <w:tcPr>
            <w:tcW w:w="370" w:type="dxa"/>
            <w:vMerge/>
          </w:tcPr>
          <w:p w14:paraId="78DB1F55" w14:textId="77777777" w:rsidR="009D4A93" w:rsidRPr="00536CFD" w:rsidRDefault="009D4A93" w:rsidP="009D4A93">
            <w:pPr>
              <w:spacing w:after="0"/>
              <w:jc w:val="center"/>
              <w:rPr>
                <w:rFonts w:eastAsia="Times New Roman"/>
                <w:b/>
                <w:bCs/>
                <w:color w:val="000000"/>
                <w:lang w:eastAsia="zh-CN"/>
              </w:rPr>
            </w:pPr>
          </w:p>
        </w:tc>
        <w:tc>
          <w:tcPr>
            <w:tcW w:w="949" w:type="dxa"/>
            <w:shd w:val="clear" w:color="auto" w:fill="auto"/>
            <w:vAlign w:val="center"/>
            <w:hideMark/>
          </w:tcPr>
          <w:p w14:paraId="094DF346"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DL:</w:t>
            </w:r>
          </w:p>
        </w:tc>
        <w:tc>
          <w:tcPr>
            <w:tcW w:w="931" w:type="dxa"/>
            <w:shd w:val="clear" w:color="auto" w:fill="auto"/>
            <w:vAlign w:val="center"/>
            <w:hideMark/>
          </w:tcPr>
          <w:p w14:paraId="0E7A6D6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09C46310"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4E191156"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32BAF6BF"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4998C372" w14:textId="77777777" w:rsidR="009D4A93" w:rsidRPr="00536CFD" w:rsidRDefault="009D4A93" w:rsidP="009D4A93">
            <w:pPr>
              <w:spacing w:after="0"/>
              <w:jc w:val="center"/>
              <w:rPr>
                <w:rFonts w:eastAsia="Times New Roman"/>
                <w:color w:val="000000"/>
                <w:lang w:eastAsia="zh-CN"/>
              </w:rPr>
            </w:pPr>
            <w:r w:rsidRPr="00536CFD">
              <w:rPr>
                <w:color w:val="000000"/>
              </w:rPr>
              <w:t>0.04</w:t>
            </w:r>
          </w:p>
        </w:tc>
      </w:tr>
      <w:tr w:rsidR="009D4A93" w:rsidRPr="00536CFD" w14:paraId="741BD600" w14:textId="77777777" w:rsidTr="009D4A93">
        <w:trPr>
          <w:trHeight w:val="23"/>
          <w:jc w:val="center"/>
        </w:trPr>
        <w:tc>
          <w:tcPr>
            <w:tcW w:w="370" w:type="dxa"/>
            <w:vMerge/>
          </w:tcPr>
          <w:p w14:paraId="73642846" w14:textId="77777777" w:rsidR="009D4A93" w:rsidRPr="00536CFD" w:rsidRDefault="009D4A93" w:rsidP="009D4A93">
            <w:pPr>
              <w:spacing w:after="0"/>
              <w:jc w:val="center"/>
              <w:rPr>
                <w:rFonts w:eastAsia="Times New Roman"/>
                <w:color w:val="000000"/>
                <w:lang w:eastAsia="zh-CN"/>
              </w:rPr>
            </w:pPr>
          </w:p>
        </w:tc>
        <w:tc>
          <w:tcPr>
            <w:tcW w:w="949" w:type="dxa"/>
            <w:vMerge w:val="restart"/>
            <w:shd w:val="clear" w:color="auto" w:fill="auto"/>
            <w:vAlign w:val="center"/>
            <w:hideMark/>
          </w:tcPr>
          <w:p w14:paraId="646A0A3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531641A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17E0CE6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265B0423"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0CBA6778"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66201546"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970" w:type="dxa"/>
            <w:shd w:val="clear" w:color="auto" w:fill="auto"/>
            <w:vAlign w:val="center"/>
            <w:hideMark/>
          </w:tcPr>
          <w:p w14:paraId="77DCFE7C"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52F181CF" w14:textId="77777777" w:rsidTr="009D4A93">
        <w:trPr>
          <w:trHeight w:val="23"/>
          <w:jc w:val="center"/>
        </w:trPr>
        <w:tc>
          <w:tcPr>
            <w:tcW w:w="370" w:type="dxa"/>
            <w:vMerge/>
          </w:tcPr>
          <w:p w14:paraId="6AEDC10C"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3E13DDB9"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1B2DDF7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49E3C415" w14:textId="77777777" w:rsidR="009D4A93" w:rsidRPr="00536CFD" w:rsidRDefault="009D4A93" w:rsidP="009D4A93">
            <w:pPr>
              <w:spacing w:after="0"/>
              <w:jc w:val="center"/>
              <w:rPr>
                <w:rFonts w:eastAsia="Times New Roman"/>
                <w:color w:val="000000"/>
                <w:lang w:eastAsia="zh-CN"/>
              </w:rPr>
            </w:pPr>
            <w:r w:rsidRPr="00536CFD">
              <w:rPr>
                <w:color w:val="000000"/>
              </w:rPr>
              <w:t>0.26</w:t>
            </w:r>
          </w:p>
        </w:tc>
        <w:tc>
          <w:tcPr>
            <w:tcW w:w="970" w:type="dxa"/>
            <w:shd w:val="clear" w:color="auto" w:fill="auto"/>
            <w:vAlign w:val="center"/>
            <w:hideMark/>
          </w:tcPr>
          <w:p w14:paraId="41E63544" w14:textId="77777777" w:rsidR="009D4A93" w:rsidRPr="00536CFD" w:rsidRDefault="009D4A93" w:rsidP="009D4A93">
            <w:pPr>
              <w:spacing w:after="0"/>
              <w:jc w:val="center"/>
              <w:rPr>
                <w:rFonts w:eastAsia="Times New Roman"/>
                <w:color w:val="000000"/>
                <w:lang w:eastAsia="zh-CN"/>
              </w:rPr>
            </w:pPr>
            <w:r w:rsidRPr="00536CFD">
              <w:rPr>
                <w:color w:val="000000"/>
              </w:rPr>
              <w:t>0.21</w:t>
            </w:r>
          </w:p>
        </w:tc>
        <w:tc>
          <w:tcPr>
            <w:tcW w:w="970" w:type="dxa"/>
            <w:shd w:val="clear" w:color="auto" w:fill="auto"/>
            <w:vAlign w:val="center"/>
            <w:hideMark/>
          </w:tcPr>
          <w:p w14:paraId="3796512A" w14:textId="77777777" w:rsidR="009D4A93" w:rsidRPr="00536CFD" w:rsidRDefault="009D4A93" w:rsidP="009D4A93">
            <w:pPr>
              <w:spacing w:after="0"/>
              <w:jc w:val="center"/>
              <w:rPr>
                <w:rFonts w:eastAsia="Times New Roman"/>
                <w:color w:val="000000"/>
                <w:lang w:eastAsia="zh-CN"/>
              </w:rPr>
            </w:pPr>
            <w:r w:rsidRPr="00536CFD">
              <w:rPr>
                <w:color w:val="000000"/>
              </w:rPr>
              <w:t>0.13</w:t>
            </w:r>
          </w:p>
        </w:tc>
        <w:tc>
          <w:tcPr>
            <w:tcW w:w="970" w:type="dxa"/>
            <w:shd w:val="clear" w:color="auto" w:fill="auto"/>
            <w:vAlign w:val="center"/>
            <w:hideMark/>
          </w:tcPr>
          <w:p w14:paraId="1CB47B79" w14:textId="77777777" w:rsidR="009D4A93" w:rsidRPr="00536CFD" w:rsidRDefault="009D4A93" w:rsidP="009D4A93">
            <w:pPr>
              <w:spacing w:after="0"/>
              <w:jc w:val="center"/>
              <w:rPr>
                <w:rFonts w:eastAsia="Times New Roman"/>
                <w:color w:val="000000"/>
                <w:lang w:eastAsia="zh-CN"/>
              </w:rPr>
            </w:pPr>
            <w:r w:rsidRPr="00536CFD">
              <w:rPr>
                <w:color w:val="000000"/>
              </w:rPr>
              <w:t>0.13</w:t>
            </w:r>
          </w:p>
        </w:tc>
      </w:tr>
      <w:tr w:rsidR="009D4A93" w:rsidRPr="00536CFD" w14:paraId="06904B63" w14:textId="77777777" w:rsidTr="009D4A93">
        <w:trPr>
          <w:trHeight w:val="23"/>
          <w:jc w:val="center"/>
        </w:trPr>
        <w:tc>
          <w:tcPr>
            <w:tcW w:w="370" w:type="dxa"/>
            <w:vMerge/>
          </w:tcPr>
          <w:p w14:paraId="160DCC86"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2A6C00DB"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0C6992A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492CA467" w14:textId="77777777" w:rsidR="009D4A93" w:rsidRPr="00536CFD" w:rsidRDefault="009D4A93" w:rsidP="009D4A93">
            <w:pPr>
              <w:spacing w:after="0"/>
              <w:jc w:val="center"/>
              <w:rPr>
                <w:rFonts w:eastAsia="Times New Roman"/>
                <w:color w:val="000000"/>
                <w:lang w:eastAsia="zh-CN"/>
              </w:rPr>
            </w:pPr>
            <w:r w:rsidRPr="00536CFD">
              <w:rPr>
                <w:color w:val="000000"/>
              </w:rPr>
              <w:t>0.11</w:t>
            </w:r>
          </w:p>
        </w:tc>
        <w:tc>
          <w:tcPr>
            <w:tcW w:w="970" w:type="dxa"/>
            <w:shd w:val="clear" w:color="auto" w:fill="auto"/>
            <w:vAlign w:val="center"/>
            <w:hideMark/>
          </w:tcPr>
          <w:p w14:paraId="50ABEE0A"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970" w:type="dxa"/>
            <w:shd w:val="clear" w:color="auto" w:fill="auto"/>
            <w:vAlign w:val="center"/>
            <w:hideMark/>
          </w:tcPr>
          <w:p w14:paraId="6ED7E1AD"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6AF9A733" w14:textId="77777777" w:rsidR="009D4A93" w:rsidRPr="00536CFD" w:rsidRDefault="009D4A93" w:rsidP="009D4A93">
            <w:pPr>
              <w:spacing w:after="0"/>
              <w:jc w:val="center"/>
              <w:rPr>
                <w:rFonts w:eastAsia="Times New Roman"/>
                <w:color w:val="000000"/>
                <w:lang w:eastAsia="zh-CN"/>
              </w:rPr>
            </w:pPr>
            <w:r w:rsidRPr="00536CFD">
              <w:rPr>
                <w:color w:val="000000"/>
              </w:rPr>
              <w:t>0.06</w:t>
            </w:r>
          </w:p>
        </w:tc>
      </w:tr>
      <w:tr w:rsidR="009D4A93" w:rsidRPr="00536CFD" w14:paraId="5664F906" w14:textId="77777777" w:rsidTr="009D4A93">
        <w:trPr>
          <w:trHeight w:val="23"/>
          <w:jc w:val="center"/>
        </w:trPr>
        <w:tc>
          <w:tcPr>
            <w:tcW w:w="370" w:type="dxa"/>
            <w:vMerge/>
          </w:tcPr>
          <w:p w14:paraId="68A8D22E"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2F9417E9"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5F66206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6BF5282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3712C7E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668C7B87" w14:textId="77777777" w:rsidR="009D4A93" w:rsidRPr="00536CFD" w:rsidRDefault="009D4A93" w:rsidP="009D4A93">
            <w:pPr>
              <w:spacing w:after="0"/>
              <w:jc w:val="center"/>
              <w:rPr>
                <w:rFonts w:eastAsia="Times New Roman"/>
                <w:color w:val="000000"/>
                <w:lang w:eastAsia="zh-CN"/>
              </w:rPr>
            </w:pPr>
            <w:r w:rsidRPr="00536CFD">
              <w:rPr>
                <w:color w:val="000000"/>
              </w:rPr>
              <w:t>12.77</w:t>
            </w:r>
          </w:p>
        </w:tc>
        <w:tc>
          <w:tcPr>
            <w:tcW w:w="970" w:type="dxa"/>
            <w:shd w:val="clear" w:color="auto" w:fill="auto"/>
            <w:vAlign w:val="center"/>
            <w:hideMark/>
          </w:tcPr>
          <w:p w14:paraId="366BDF3B" w14:textId="77777777" w:rsidR="009D4A93" w:rsidRPr="00536CFD" w:rsidRDefault="009D4A93" w:rsidP="009D4A93">
            <w:pPr>
              <w:spacing w:after="0"/>
              <w:jc w:val="center"/>
              <w:rPr>
                <w:rFonts w:eastAsia="Times New Roman"/>
                <w:color w:val="000000"/>
                <w:lang w:eastAsia="zh-CN"/>
              </w:rPr>
            </w:pPr>
            <w:r w:rsidRPr="00536CFD">
              <w:rPr>
                <w:color w:val="000000"/>
              </w:rPr>
              <w:t>19.28</w:t>
            </w:r>
          </w:p>
        </w:tc>
        <w:tc>
          <w:tcPr>
            <w:tcW w:w="970" w:type="dxa"/>
            <w:shd w:val="clear" w:color="auto" w:fill="auto"/>
            <w:vAlign w:val="center"/>
            <w:hideMark/>
          </w:tcPr>
          <w:p w14:paraId="635FB791" w14:textId="77777777" w:rsidR="009D4A93" w:rsidRPr="00536CFD" w:rsidRDefault="009D4A93" w:rsidP="009D4A93">
            <w:pPr>
              <w:spacing w:after="0"/>
              <w:jc w:val="center"/>
              <w:rPr>
                <w:rFonts w:eastAsia="Times New Roman"/>
                <w:color w:val="000000"/>
                <w:lang w:eastAsia="zh-CN"/>
              </w:rPr>
            </w:pPr>
            <w:r w:rsidRPr="00536CFD">
              <w:rPr>
                <w:color w:val="000000"/>
              </w:rPr>
              <w:t>18.3</w:t>
            </w:r>
          </w:p>
        </w:tc>
        <w:tc>
          <w:tcPr>
            <w:tcW w:w="970" w:type="dxa"/>
            <w:shd w:val="clear" w:color="auto" w:fill="auto"/>
            <w:vAlign w:val="center"/>
            <w:hideMark/>
          </w:tcPr>
          <w:p w14:paraId="6A122D69" w14:textId="77777777" w:rsidR="009D4A93" w:rsidRPr="00536CFD" w:rsidRDefault="009D4A93" w:rsidP="009D4A93">
            <w:pPr>
              <w:spacing w:after="0"/>
              <w:jc w:val="center"/>
              <w:rPr>
                <w:rFonts w:eastAsia="Times New Roman"/>
                <w:color w:val="000000"/>
                <w:lang w:eastAsia="zh-CN"/>
              </w:rPr>
            </w:pPr>
            <w:r w:rsidRPr="00536CFD">
              <w:rPr>
                <w:color w:val="000000"/>
              </w:rPr>
              <w:t>24.58</w:t>
            </w:r>
          </w:p>
        </w:tc>
      </w:tr>
      <w:tr w:rsidR="009D4A93" w:rsidRPr="00536CFD" w14:paraId="0FCC3CBA" w14:textId="77777777" w:rsidTr="009D4A93">
        <w:trPr>
          <w:trHeight w:val="23"/>
          <w:jc w:val="center"/>
        </w:trPr>
        <w:tc>
          <w:tcPr>
            <w:tcW w:w="370" w:type="dxa"/>
            <w:vMerge/>
          </w:tcPr>
          <w:p w14:paraId="7AB239E3"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2263AA16"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6480C1C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3A9669C0" w14:textId="77777777" w:rsidR="009D4A93" w:rsidRPr="00536CFD" w:rsidRDefault="009D4A93" w:rsidP="009D4A93">
            <w:pPr>
              <w:spacing w:after="0"/>
              <w:jc w:val="center"/>
              <w:rPr>
                <w:rFonts w:eastAsia="Times New Roman"/>
                <w:color w:val="000000"/>
                <w:lang w:eastAsia="zh-CN"/>
              </w:rPr>
            </w:pPr>
            <w:r w:rsidRPr="00536CFD">
              <w:rPr>
                <w:color w:val="000000"/>
              </w:rPr>
              <w:t>65.55</w:t>
            </w:r>
          </w:p>
        </w:tc>
        <w:tc>
          <w:tcPr>
            <w:tcW w:w="970" w:type="dxa"/>
            <w:shd w:val="clear" w:color="auto" w:fill="auto"/>
            <w:vAlign w:val="center"/>
            <w:hideMark/>
          </w:tcPr>
          <w:p w14:paraId="3763B3A8" w14:textId="77777777" w:rsidR="009D4A93" w:rsidRPr="00536CFD" w:rsidRDefault="009D4A93" w:rsidP="009D4A93">
            <w:pPr>
              <w:spacing w:after="0"/>
              <w:jc w:val="center"/>
              <w:rPr>
                <w:rFonts w:eastAsia="Times New Roman"/>
                <w:color w:val="000000"/>
                <w:lang w:eastAsia="zh-CN"/>
              </w:rPr>
            </w:pPr>
            <w:r w:rsidRPr="00536CFD">
              <w:rPr>
                <w:color w:val="000000"/>
              </w:rPr>
              <w:t>68.14</w:t>
            </w:r>
          </w:p>
        </w:tc>
        <w:tc>
          <w:tcPr>
            <w:tcW w:w="970" w:type="dxa"/>
            <w:shd w:val="clear" w:color="auto" w:fill="auto"/>
            <w:vAlign w:val="center"/>
            <w:hideMark/>
          </w:tcPr>
          <w:p w14:paraId="06F003C2" w14:textId="77777777" w:rsidR="009D4A93" w:rsidRPr="00536CFD" w:rsidRDefault="009D4A93" w:rsidP="009D4A93">
            <w:pPr>
              <w:spacing w:after="0"/>
              <w:jc w:val="center"/>
              <w:rPr>
                <w:rFonts w:eastAsia="Times New Roman"/>
                <w:color w:val="000000"/>
                <w:lang w:eastAsia="zh-CN"/>
              </w:rPr>
            </w:pPr>
            <w:r w:rsidRPr="00536CFD">
              <w:rPr>
                <w:color w:val="000000"/>
              </w:rPr>
              <w:t>54.13</w:t>
            </w:r>
          </w:p>
        </w:tc>
        <w:tc>
          <w:tcPr>
            <w:tcW w:w="970" w:type="dxa"/>
            <w:shd w:val="clear" w:color="auto" w:fill="auto"/>
            <w:vAlign w:val="center"/>
            <w:hideMark/>
          </w:tcPr>
          <w:p w14:paraId="40CCE725" w14:textId="77777777" w:rsidR="009D4A93" w:rsidRPr="00536CFD" w:rsidRDefault="009D4A93" w:rsidP="009D4A93">
            <w:pPr>
              <w:spacing w:after="0"/>
              <w:jc w:val="center"/>
              <w:rPr>
                <w:rFonts w:eastAsia="Times New Roman"/>
                <w:color w:val="000000"/>
                <w:lang w:eastAsia="zh-CN"/>
              </w:rPr>
            </w:pPr>
            <w:r w:rsidRPr="00536CFD">
              <w:rPr>
                <w:color w:val="000000"/>
              </w:rPr>
              <w:t>67.12</w:t>
            </w:r>
          </w:p>
        </w:tc>
      </w:tr>
      <w:tr w:rsidR="009D4A93" w:rsidRPr="00536CFD" w14:paraId="1584E00C" w14:textId="77777777" w:rsidTr="009D4A93">
        <w:trPr>
          <w:trHeight w:val="23"/>
          <w:jc w:val="center"/>
        </w:trPr>
        <w:tc>
          <w:tcPr>
            <w:tcW w:w="370" w:type="dxa"/>
            <w:vMerge/>
          </w:tcPr>
          <w:p w14:paraId="29426D95"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7472C7F0"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26D481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65733E3F" w14:textId="77777777" w:rsidR="009D4A93" w:rsidRPr="00536CFD" w:rsidRDefault="009D4A93" w:rsidP="009D4A93">
            <w:pPr>
              <w:spacing w:after="0"/>
              <w:jc w:val="center"/>
              <w:rPr>
                <w:rFonts w:eastAsia="Times New Roman"/>
                <w:color w:val="000000"/>
                <w:lang w:eastAsia="zh-CN"/>
              </w:rPr>
            </w:pPr>
            <w:r w:rsidRPr="00536CFD">
              <w:rPr>
                <w:color w:val="000000"/>
              </w:rPr>
              <w:t>91.73</w:t>
            </w:r>
          </w:p>
        </w:tc>
        <w:tc>
          <w:tcPr>
            <w:tcW w:w="970" w:type="dxa"/>
            <w:shd w:val="clear" w:color="auto" w:fill="auto"/>
            <w:vAlign w:val="center"/>
            <w:hideMark/>
          </w:tcPr>
          <w:p w14:paraId="1127D107" w14:textId="77777777" w:rsidR="009D4A93" w:rsidRPr="00536CFD" w:rsidRDefault="009D4A93" w:rsidP="009D4A93">
            <w:pPr>
              <w:spacing w:after="0"/>
              <w:jc w:val="center"/>
              <w:rPr>
                <w:rFonts w:eastAsia="Times New Roman"/>
                <w:color w:val="000000"/>
                <w:lang w:eastAsia="zh-CN"/>
              </w:rPr>
            </w:pPr>
            <w:r w:rsidRPr="00536CFD">
              <w:rPr>
                <w:color w:val="000000"/>
              </w:rPr>
              <w:t>91.69</w:t>
            </w:r>
          </w:p>
        </w:tc>
        <w:tc>
          <w:tcPr>
            <w:tcW w:w="970" w:type="dxa"/>
            <w:shd w:val="clear" w:color="auto" w:fill="auto"/>
            <w:vAlign w:val="center"/>
            <w:hideMark/>
          </w:tcPr>
          <w:p w14:paraId="3F8AC0BA" w14:textId="77777777" w:rsidR="009D4A93" w:rsidRPr="00536CFD" w:rsidRDefault="009D4A93" w:rsidP="009D4A93">
            <w:pPr>
              <w:spacing w:after="0"/>
              <w:jc w:val="center"/>
              <w:rPr>
                <w:rFonts w:eastAsia="Times New Roman"/>
                <w:color w:val="000000"/>
                <w:lang w:eastAsia="zh-CN"/>
              </w:rPr>
            </w:pPr>
            <w:r w:rsidRPr="00536CFD">
              <w:rPr>
                <w:color w:val="000000"/>
              </w:rPr>
              <w:t>76.83</w:t>
            </w:r>
          </w:p>
        </w:tc>
        <w:tc>
          <w:tcPr>
            <w:tcW w:w="970" w:type="dxa"/>
            <w:shd w:val="clear" w:color="auto" w:fill="auto"/>
            <w:vAlign w:val="center"/>
            <w:hideMark/>
          </w:tcPr>
          <w:p w14:paraId="4910687A" w14:textId="77777777" w:rsidR="009D4A93" w:rsidRPr="00536CFD" w:rsidRDefault="009D4A93" w:rsidP="009D4A93">
            <w:pPr>
              <w:spacing w:after="0"/>
              <w:jc w:val="center"/>
              <w:rPr>
                <w:rFonts w:eastAsia="Times New Roman"/>
                <w:color w:val="000000"/>
                <w:lang w:eastAsia="zh-CN"/>
              </w:rPr>
            </w:pPr>
            <w:r w:rsidRPr="00536CFD">
              <w:rPr>
                <w:color w:val="000000"/>
              </w:rPr>
              <w:t>85.02</w:t>
            </w:r>
          </w:p>
        </w:tc>
      </w:tr>
      <w:tr w:rsidR="009D4A93" w:rsidRPr="00536CFD" w14:paraId="22787181" w14:textId="77777777" w:rsidTr="00E126D2">
        <w:trPr>
          <w:trHeight w:val="23"/>
          <w:jc w:val="center"/>
        </w:trPr>
        <w:tc>
          <w:tcPr>
            <w:tcW w:w="370" w:type="dxa"/>
            <w:vMerge/>
          </w:tcPr>
          <w:p w14:paraId="2593EA07"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3685D4D4"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47428B0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5EDC665B" w14:textId="77777777" w:rsidR="009D4A93" w:rsidRPr="00536CFD" w:rsidRDefault="009D4A93" w:rsidP="009D4A93">
            <w:pPr>
              <w:spacing w:after="0"/>
              <w:jc w:val="center"/>
              <w:rPr>
                <w:color w:val="000000"/>
              </w:rPr>
            </w:pPr>
            <w:r w:rsidRPr="00536CFD">
              <w:rPr>
                <w:color w:val="000000"/>
              </w:rPr>
              <w:t>60.35</w:t>
            </w:r>
          </w:p>
        </w:tc>
        <w:tc>
          <w:tcPr>
            <w:tcW w:w="970" w:type="dxa"/>
            <w:shd w:val="clear" w:color="auto" w:fill="auto"/>
            <w:vAlign w:val="center"/>
            <w:hideMark/>
          </w:tcPr>
          <w:p w14:paraId="484F9098" w14:textId="77777777" w:rsidR="009D4A93" w:rsidRPr="00536CFD" w:rsidRDefault="009D4A93" w:rsidP="009D4A93">
            <w:pPr>
              <w:spacing w:after="0"/>
              <w:jc w:val="center"/>
              <w:rPr>
                <w:color w:val="000000"/>
              </w:rPr>
            </w:pPr>
            <w:r w:rsidRPr="00536CFD">
              <w:rPr>
                <w:color w:val="000000"/>
              </w:rPr>
              <w:t>63.39</w:t>
            </w:r>
          </w:p>
        </w:tc>
        <w:tc>
          <w:tcPr>
            <w:tcW w:w="970" w:type="dxa"/>
            <w:shd w:val="clear" w:color="auto" w:fill="auto"/>
            <w:vAlign w:val="center"/>
            <w:hideMark/>
          </w:tcPr>
          <w:p w14:paraId="2F6AE166" w14:textId="77777777" w:rsidR="009D4A93" w:rsidRPr="00536CFD" w:rsidRDefault="009D4A93" w:rsidP="009D4A93">
            <w:pPr>
              <w:spacing w:after="0"/>
              <w:jc w:val="center"/>
              <w:rPr>
                <w:color w:val="000000"/>
              </w:rPr>
            </w:pPr>
            <w:r w:rsidRPr="00536CFD">
              <w:rPr>
                <w:color w:val="000000"/>
              </w:rPr>
              <w:t>53.12</w:t>
            </w:r>
          </w:p>
        </w:tc>
        <w:tc>
          <w:tcPr>
            <w:tcW w:w="970" w:type="dxa"/>
            <w:shd w:val="clear" w:color="auto" w:fill="auto"/>
            <w:vAlign w:val="center"/>
            <w:hideMark/>
          </w:tcPr>
          <w:p w14:paraId="3255D927" w14:textId="77777777" w:rsidR="009D4A93" w:rsidRPr="00536CFD" w:rsidRDefault="009D4A93" w:rsidP="009D4A93">
            <w:pPr>
              <w:spacing w:after="0"/>
              <w:jc w:val="center"/>
              <w:rPr>
                <w:color w:val="000000"/>
              </w:rPr>
            </w:pPr>
            <w:r w:rsidRPr="00536CFD">
              <w:rPr>
                <w:color w:val="000000"/>
              </w:rPr>
              <w:t>62.43</w:t>
            </w:r>
          </w:p>
        </w:tc>
      </w:tr>
      <w:tr w:rsidR="009D4A93" w:rsidRPr="00536CFD" w14:paraId="58B8B41D" w14:textId="77777777" w:rsidTr="009D4A93">
        <w:trPr>
          <w:trHeight w:val="23"/>
          <w:jc w:val="center"/>
        </w:trPr>
        <w:tc>
          <w:tcPr>
            <w:tcW w:w="370" w:type="dxa"/>
            <w:vMerge/>
          </w:tcPr>
          <w:p w14:paraId="01A72E85"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05B050D4"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5819847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65FAEDE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668675E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4F6568AB"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006D54D9"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7D5CAB72"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970" w:type="dxa"/>
            <w:shd w:val="clear" w:color="auto" w:fill="auto"/>
            <w:vAlign w:val="center"/>
            <w:hideMark/>
          </w:tcPr>
          <w:p w14:paraId="672A3178"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65C37C76" w14:textId="77777777" w:rsidTr="009D4A93">
        <w:trPr>
          <w:trHeight w:val="23"/>
          <w:jc w:val="center"/>
        </w:trPr>
        <w:tc>
          <w:tcPr>
            <w:tcW w:w="370" w:type="dxa"/>
            <w:vMerge/>
          </w:tcPr>
          <w:p w14:paraId="40E2AF7A"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5372A739"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0860F9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62121F66"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6C4B87C2"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28A41969"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3A6F9568" w14:textId="77777777" w:rsidR="009D4A93" w:rsidRPr="00536CFD" w:rsidRDefault="009D4A93" w:rsidP="009D4A93">
            <w:pPr>
              <w:spacing w:after="0"/>
              <w:jc w:val="center"/>
              <w:rPr>
                <w:rFonts w:eastAsia="Times New Roman"/>
                <w:color w:val="000000"/>
                <w:lang w:eastAsia="zh-CN"/>
              </w:rPr>
            </w:pPr>
            <w:r w:rsidRPr="00536CFD">
              <w:rPr>
                <w:color w:val="000000"/>
              </w:rPr>
              <w:t>0.06</w:t>
            </w:r>
          </w:p>
        </w:tc>
      </w:tr>
      <w:tr w:rsidR="009D4A93" w:rsidRPr="00536CFD" w14:paraId="5EB868CE" w14:textId="77777777" w:rsidTr="009D4A93">
        <w:trPr>
          <w:trHeight w:val="23"/>
          <w:jc w:val="center"/>
        </w:trPr>
        <w:tc>
          <w:tcPr>
            <w:tcW w:w="370" w:type="dxa"/>
            <w:vMerge/>
          </w:tcPr>
          <w:p w14:paraId="178AB83A"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3FCA3820"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4BD8002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388B0B3F" w14:textId="77777777" w:rsidR="009D4A93" w:rsidRPr="00536CFD" w:rsidRDefault="009D4A93" w:rsidP="009D4A93">
            <w:pPr>
              <w:spacing w:after="0"/>
              <w:jc w:val="center"/>
              <w:rPr>
                <w:rFonts w:eastAsia="Times New Roman"/>
                <w:color w:val="000000"/>
                <w:lang w:eastAsia="zh-CN"/>
              </w:rPr>
            </w:pPr>
            <w:r w:rsidRPr="00536CFD">
              <w:rPr>
                <w:color w:val="000000"/>
              </w:rPr>
              <w:t>0.3</w:t>
            </w:r>
          </w:p>
        </w:tc>
        <w:tc>
          <w:tcPr>
            <w:tcW w:w="970" w:type="dxa"/>
            <w:shd w:val="clear" w:color="auto" w:fill="auto"/>
            <w:vAlign w:val="center"/>
            <w:hideMark/>
          </w:tcPr>
          <w:p w14:paraId="493B4E5F" w14:textId="77777777" w:rsidR="009D4A93" w:rsidRPr="00536CFD" w:rsidRDefault="009D4A93" w:rsidP="009D4A93">
            <w:pPr>
              <w:spacing w:after="0"/>
              <w:jc w:val="center"/>
              <w:rPr>
                <w:rFonts w:eastAsia="Times New Roman"/>
                <w:color w:val="000000"/>
                <w:lang w:eastAsia="zh-CN"/>
              </w:rPr>
            </w:pPr>
            <w:r w:rsidRPr="00536CFD">
              <w:rPr>
                <w:color w:val="000000"/>
              </w:rPr>
              <w:t>0.21</w:t>
            </w:r>
          </w:p>
        </w:tc>
        <w:tc>
          <w:tcPr>
            <w:tcW w:w="970" w:type="dxa"/>
            <w:shd w:val="clear" w:color="auto" w:fill="auto"/>
            <w:vAlign w:val="center"/>
            <w:hideMark/>
          </w:tcPr>
          <w:p w14:paraId="033A6E3A" w14:textId="77777777" w:rsidR="009D4A93" w:rsidRPr="00536CFD" w:rsidRDefault="009D4A93" w:rsidP="009D4A93">
            <w:pPr>
              <w:spacing w:after="0"/>
              <w:jc w:val="center"/>
              <w:rPr>
                <w:rFonts w:eastAsia="Times New Roman"/>
                <w:color w:val="000000"/>
                <w:lang w:eastAsia="zh-CN"/>
              </w:rPr>
            </w:pPr>
            <w:r w:rsidRPr="00536CFD">
              <w:rPr>
                <w:color w:val="000000"/>
              </w:rPr>
              <w:t>0.22</w:t>
            </w:r>
          </w:p>
        </w:tc>
        <w:tc>
          <w:tcPr>
            <w:tcW w:w="970" w:type="dxa"/>
            <w:shd w:val="clear" w:color="auto" w:fill="auto"/>
            <w:vAlign w:val="center"/>
            <w:hideMark/>
          </w:tcPr>
          <w:p w14:paraId="73A36722" w14:textId="77777777" w:rsidR="009D4A93" w:rsidRPr="00536CFD" w:rsidRDefault="009D4A93" w:rsidP="009D4A93">
            <w:pPr>
              <w:spacing w:after="0"/>
              <w:jc w:val="center"/>
              <w:rPr>
                <w:rFonts w:eastAsia="Times New Roman"/>
                <w:color w:val="000000"/>
                <w:lang w:eastAsia="zh-CN"/>
              </w:rPr>
            </w:pPr>
            <w:r w:rsidRPr="00536CFD">
              <w:rPr>
                <w:color w:val="000000"/>
              </w:rPr>
              <w:t>0.16</w:t>
            </w:r>
          </w:p>
        </w:tc>
      </w:tr>
      <w:tr w:rsidR="009D4A93" w:rsidRPr="00536CFD" w14:paraId="67A1F184" w14:textId="77777777" w:rsidTr="009D4A93">
        <w:trPr>
          <w:trHeight w:val="23"/>
          <w:jc w:val="center"/>
        </w:trPr>
        <w:tc>
          <w:tcPr>
            <w:tcW w:w="370" w:type="dxa"/>
            <w:vMerge/>
          </w:tcPr>
          <w:p w14:paraId="63999581"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16095A92"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FE44B4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7429FF58" w14:textId="77777777" w:rsidR="009D4A93" w:rsidRPr="00536CFD" w:rsidRDefault="009D4A93" w:rsidP="009D4A93">
            <w:pPr>
              <w:spacing w:after="0"/>
              <w:jc w:val="center"/>
              <w:rPr>
                <w:rFonts w:eastAsia="Times New Roman"/>
                <w:color w:val="000000"/>
                <w:lang w:eastAsia="zh-CN"/>
              </w:rPr>
            </w:pPr>
            <w:r w:rsidRPr="00536CFD">
              <w:rPr>
                <w:color w:val="000000"/>
              </w:rPr>
              <w:t>0.11</w:t>
            </w:r>
          </w:p>
        </w:tc>
        <w:tc>
          <w:tcPr>
            <w:tcW w:w="970" w:type="dxa"/>
            <w:shd w:val="clear" w:color="auto" w:fill="auto"/>
            <w:vAlign w:val="center"/>
            <w:hideMark/>
          </w:tcPr>
          <w:p w14:paraId="0A35D7AC"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970" w:type="dxa"/>
            <w:shd w:val="clear" w:color="auto" w:fill="auto"/>
            <w:vAlign w:val="center"/>
            <w:hideMark/>
          </w:tcPr>
          <w:p w14:paraId="4E9F88F9" w14:textId="77777777" w:rsidR="009D4A93" w:rsidRPr="00536CFD" w:rsidRDefault="009D4A93" w:rsidP="009D4A93">
            <w:pPr>
              <w:spacing w:after="0"/>
              <w:jc w:val="center"/>
              <w:rPr>
                <w:rFonts w:eastAsia="Times New Roman"/>
                <w:color w:val="000000"/>
                <w:lang w:eastAsia="zh-CN"/>
              </w:rPr>
            </w:pPr>
            <w:r w:rsidRPr="00536CFD">
              <w:rPr>
                <w:color w:val="000000"/>
              </w:rPr>
              <w:t>0.09</w:t>
            </w:r>
          </w:p>
        </w:tc>
        <w:tc>
          <w:tcPr>
            <w:tcW w:w="970" w:type="dxa"/>
            <w:shd w:val="clear" w:color="auto" w:fill="auto"/>
            <w:vAlign w:val="center"/>
            <w:hideMark/>
          </w:tcPr>
          <w:p w14:paraId="595687BB" w14:textId="77777777" w:rsidR="009D4A93" w:rsidRPr="00536CFD" w:rsidRDefault="009D4A93" w:rsidP="009D4A93">
            <w:pPr>
              <w:spacing w:after="0"/>
              <w:jc w:val="center"/>
              <w:rPr>
                <w:rFonts w:eastAsia="Times New Roman"/>
                <w:color w:val="000000"/>
                <w:lang w:eastAsia="zh-CN"/>
              </w:rPr>
            </w:pPr>
            <w:r w:rsidRPr="00536CFD">
              <w:rPr>
                <w:color w:val="000000"/>
              </w:rPr>
              <w:t>0.08</w:t>
            </w:r>
          </w:p>
        </w:tc>
      </w:tr>
      <w:tr w:rsidR="009D4A93" w:rsidRPr="00536CFD" w14:paraId="4E2E603A" w14:textId="77777777" w:rsidTr="009D4A93">
        <w:trPr>
          <w:trHeight w:val="23"/>
          <w:jc w:val="center"/>
        </w:trPr>
        <w:tc>
          <w:tcPr>
            <w:tcW w:w="370" w:type="dxa"/>
            <w:vMerge/>
          </w:tcPr>
          <w:p w14:paraId="4ABB33F6"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0AC54A7F"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DL</w:t>
            </w:r>
          </w:p>
        </w:tc>
        <w:tc>
          <w:tcPr>
            <w:tcW w:w="970" w:type="dxa"/>
            <w:shd w:val="clear" w:color="auto" w:fill="auto"/>
            <w:vAlign w:val="center"/>
            <w:hideMark/>
          </w:tcPr>
          <w:p w14:paraId="4DC7B3B7" w14:textId="77777777" w:rsidR="009D4A93" w:rsidRPr="00536CFD" w:rsidRDefault="009D4A93" w:rsidP="009D4A93">
            <w:pPr>
              <w:spacing w:after="0"/>
              <w:jc w:val="center"/>
              <w:rPr>
                <w:rFonts w:eastAsia="Times New Roman"/>
                <w:color w:val="000000"/>
                <w:lang w:eastAsia="zh-CN"/>
              </w:rPr>
            </w:pPr>
            <w:r w:rsidRPr="00536CFD">
              <w:rPr>
                <w:color w:val="000000"/>
              </w:rPr>
              <w:t>99.61%</w:t>
            </w:r>
          </w:p>
        </w:tc>
        <w:tc>
          <w:tcPr>
            <w:tcW w:w="970" w:type="dxa"/>
            <w:shd w:val="clear" w:color="auto" w:fill="auto"/>
            <w:vAlign w:val="center"/>
            <w:hideMark/>
          </w:tcPr>
          <w:p w14:paraId="01465B8F" w14:textId="77777777" w:rsidR="009D4A93" w:rsidRPr="00536CFD" w:rsidRDefault="009D4A93" w:rsidP="009D4A93">
            <w:pPr>
              <w:spacing w:after="0"/>
              <w:jc w:val="center"/>
              <w:rPr>
                <w:rFonts w:eastAsia="Times New Roman"/>
                <w:color w:val="000000"/>
                <w:lang w:eastAsia="zh-CN"/>
              </w:rPr>
            </w:pPr>
            <w:r w:rsidRPr="00536CFD">
              <w:rPr>
                <w:color w:val="000000"/>
              </w:rPr>
              <w:t>99.73%</w:t>
            </w:r>
          </w:p>
        </w:tc>
        <w:tc>
          <w:tcPr>
            <w:tcW w:w="970" w:type="dxa"/>
            <w:shd w:val="clear" w:color="auto" w:fill="auto"/>
            <w:vAlign w:val="center"/>
            <w:hideMark/>
          </w:tcPr>
          <w:p w14:paraId="03333BE5" w14:textId="77777777" w:rsidR="009D4A93" w:rsidRPr="00536CFD" w:rsidRDefault="009D4A93" w:rsidP="009D4A93">
            <w:pPr>
              <w:spacing w:after="0"/>
              <w:jc w:val="center"/>
              <w:rPr>
                <w:rFonts w:eastAsia="Times New Roman"/>
                <w:color w:val="000000"/>
                <w:lang w:eastAsia="zh-CN"/>
              </w:rPr>
            </w:pPr>
            <w:r w:rsidRPr="00536CFD">
              <w:rPr>
                <w:color w:val="000000"/>
              </w:rPr>
              <w:t>99.86%</w:t>
            </w:r>
          </w:p>
        </w:tc>
        <w:tc>
          <w:tcPr>
            <w:tcW w:w="970" w:type="dxa"/>
            <w:shd w:val="clear" w:color="auto" w:fill="auto"/>
            <w:vAlign w:val="center"/>
            <w:hideMark/>
          </w:tcPr>
          <w:p w14:paraId="5F8D637B" w14:textId="77777777" w:rsidR="009D4A93" w:rsidRPr="00536CFD" w:rsidRDefault="009D4A93" w:rsidP="009D4A93">
            <w:pPr>
              <w:spacing w:after="0"/>
              <w:jc w:val="center"/>
              <w:rPr>
                <w:rFonts w:eastAsia="Times New Roman"/>
                <w:color w:val="000000"/>
                <w:lang w:eastAsia="zh-CN"/>
              </w:rPr>
            </w:pPr>
            <w:r w:rsidRPr="00536CFD">
              <w:rPr>
                <w:color w:val="000000"/>
              </w:rPr>
              <w:t>99.89%</w:t>
            </w:r>
          </w:p>
        </w:tc>
      </w:tr>
      <w:tr w:rsidR="009D4A93" w:rsidRPr="00536CFD" w14:paraId="108150C2" w14:textId="77777777" w:rsidTr="009D4A93">
        <w:trPr>
          <w:trHeight w:val="23"/>
          <w:jc w:val="center"/>
        </w:trPr>
        <w:tc>
          <w:tcPr>
            <w:tcW w:w="370" w:type="dxa"/>
            <w:vMerge/>
          </w:tcPr>
          <w:p w14:paraId="642E69EF"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63A2DFFF"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UL</w:t>
            </w:r>
          </w:p>
        </w:tc>
        <w:tc>
          <w:tcPr>
            <w:tcW w:w="970" w:type="dxa"/>
            <w:shd w:val="clear" w:color="auto" w:fill="auto"/>
            <w:vAlign w:val="center"/>
            <w:hideMark/>
          </w:tcPr>
          <w:p w14:paraId="7A78223C" w14:textId="77777777" w:rsidR="009D4A93" w:rsidRPr="00536CFD" w:rsidRDefault="009D4A93" w:rsidP="009D4A93">
            <w:pPr>
              <w:spacing w:after="0"/>
              <w:jc w:val="center"/>
              <w:rPr>
                <w:rFonts w:eastAsia="Times New Roman"/>
                <w:color w:val="000000"/>
                <w:lang w:eastAsia="zh-CN"/>
              </w:rPr>
            </w:pPr>
            <w:r w:rsidRPr="00536CFD">
              <w:rPr>
                <w:color w:val="000000"/>
              </w:rPr>
              <w:t>99.68%</w:t>
            </w:r>
          </w:p>
        </w:tc>
        <w:tc>
          <w:tcPr>
            <w:tcW w:w="970" w:type="dxa"/>
            <w:shd w:val="clear" w:color="auto" w:fill="auto"/>
            <w:vAlign w:val="center"/>
            <w:hideMark/>
          </w:tcPr>
          <w:p w14:paraId="6DC64783" w14:textId="77777777" w:rsidR="009D4A93" w:rsidRPr="00536CFD" w:rsidRDefault="009D4A93" w:rsidP="009D4A93">
            <w:pPr>
              <w:spacing w:after="0"/>
              <w:jc w:val="center"/>
              <w:rPr>
                <w:rFonts w:eastAsia="Times New Roman"/>
                <w:color w:val="000000"/>
                <w:lang w:eastAsia="zh-CN"/>
              </w:rPr>
            </w:pPr>
            <w:r w:rsidRPr="00536CFD">
              <w:rPr>
                <w:color w:val="000000"/>
              </w:rPr>
              <w:t>99.80%</w:t>
            </w:r>
          </w:p>
        </w:tc>
        <w:tc>
          <w:tcPr>
            <w:tcW w:w="970" w:type="dxa"/>
            <w:shd w:val="clear" w:color="auto" w:fill="auto"/>
            <w:vAlign w:val="center"/>
            <w:hideMark/>
          </w:tcPr>
          <w:p w14:paraId="6AB26632" w14:textId="77777777" w:rsidR="009D4A93" w:rsidRPr="00536CFD" w:rsidRDefault="009D4A93" w:rsidP="009D4A93">
            <w:pPr>
              <w:spacing w:after="0"/>
              <w:jc w:val="center"/>
              <w:rPr>
                <w:rFonts w:eastAsia="Times New Roman"/>
                <w:color w:val="000000"/>
                <w:lang w:eastAsia="zh-CN"/>
              </w:rPr>
            </w:pPr>
            <w:r w:rsidRPr="00536CFD">
              <w:rPr>
                <w:color w:val="000000"/>
              </w:rPr>
              <w:t>99.73%</w:t>
            </w:r>
          </w:p>
        </w:tc>
        <w:tc>
          <w:tcPr>
            <w:tcW w:w="970" w:type="dxa"/>
            <w:shd w:val="clear" w:color="auto" w:fill="auto"/>
            <w:vAlign w:val="center"/>
            <w:hideMark/>
          </w:tcPr>
          <w:p w14:paraId="590784DF" w14:textId="77777777" w:rsidR="009D4A93" w:rsidRPr="00536CFD" w:rsidRDefault="009D4A93" w:rsidP="009D4A93">
            <w:pPr>
              <w:spacing w:after="0"/>
              <w:jc w:val="center"/>
              <w:rPr>
                <w:rFonts w:eastAsia="Times New Roman"/>
                <w:color w:val="000000"/>
                <w:lang w:eastAsia="zh-CN"/>
              </w:rPr>
            </w:pPr>
            <w:r w:rsidRPr="00536CFD">
              <w:rPr>
                <w:color w:val="000000"/>
              </w:rPr>
              <w:t>99.74%</w:t>
            </w:r>
          </w:p>
        </w:tc>
      </w:tr>
      <w:tr w:rsidR="009D4A93" w:rsidRPr="00536CFD" w14:paraId="749D97C1" w14:textId="77777777" w:rsidTr="009D4A93">
        <w:trPr>
          <w:trHeight w:val="23"/>
          <w:jc w:val="center"/>
        </w:trPr>
        <w:tc>
          <w:tcPr>
            <w:tcW w:w="370" w:type="dxa"/>
            <w:vMerge/>
          </w:tcPr>
          <w:p w14:paraId="4C03CB9D"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48A7152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BO</w:t>
            </w:r>
          </w:p>
        </w:tc>
        <w:tc>
          <w:tcPr>
            <w:tcW w:w="970" w:type="dxa"/>
            <w:shd w:val="clear" w:color="auto" w:fill="auto"/>
            <w:vAlign w:val="center"/>
            <w:hideMark/>
          </w:tcPr>
          <w:p w14:paraId="4CE3988A" w14:textId="77777777" w:rsidR="009D4A93" w:rsidRPr="00536CFD" w:rsidRDefault="009D4A93" w:rsidP="009D4A93">
            <w:pPr>
              <w:spacing w:after="0"/>
              <w:jc w:val="center"/>
              <w:rPr>
                <w:rFonts w:eastAsia="Times New Roman"/>
                <w:color w:val="000000"/>
                <w:lang w:eastAsia="zh-CN"/>
              </w:rPr>
            </w:pPr>
            <w:r w:rsidRPr="00536CFD">
              <w:rPr>
                <w:color w:val="000000"/>
              </w:rPr>
              <w:t>22%</w:t>
            </w:r>
          </w:p>
        </w:tc>
        <w:tc>
          <w:tcPr>
            <w:tcW w:w="970" w:type="dxa"/>
            <w:shd w:val="clear" w:color="auto" w:fill="auto"/>
            <w:vAlign w:val="center"/>
            <w:hideMark/>
          </w:tcPr>
          <w:p w14:paraId="525FCD62" w14:textId="77777777" w:rsidR="009D4A93" w:rsidRPr="00536CFD" w:rsidRDefault="009D4A93" w:rsidP="009D4A93">
            <w:pPr>
              <w:spacing w:after="0"/>
              <w:jc w:val="center"/>
              <w:rPr>
                <w:rFonts w:eastAsia="Times New Roman"/>
                <w:color w:val="000000"/>
                <w:lang w:eastAsia="zh-CN"/>
              </w:rPr>
            </w:pPr>
            <w:r w:rsidRPr="00536CFD">
              <w:rPr>
                <w:color w:val="000000"/>
              </w:rPr>
              <w:t>19%</w:t>
            </w:r>
          </w:p>
        </w:tc>
        <w:tc>
          <w:tcPr>
            <w:tcW w:w="970" w:type="dxa"/>
            <w:shd w:val="clear" w:color="auto" w:fill="auto"/>
            <w:vAlign w:val="center"/>
            <w:hideMark/>
          </w:tcPr>
          <w:p w14:paraId="40570DFB" w14:textId="77777777" w:rsidR="009D4A93" w:rsidRPr="00536CFD" w:rsidRDefault="009D4A93" w:rsidP="009D4A93">
            <w:pPr>
              <w:spacing w:after="0"/>
              <w:jc w:val="center"/>
              <w:rPr>
                <w:rFonts w:eastAsia="Times New Roman"/>
                <w:color w:val="000000"/>
                <w:lang w:eastAsia="zh-CN"/>
              </w:rPr>
            </w:pPr>
            <w:r w:rsidRPr="00536CFD">
              <w:rPr>
                <w:color w:val="000000"/>
              </w:rPr>
              <w:t>20%</w:t>
            </w:r>
          </w:p>
        </w:tc>
        <w:tc>
          <w:tcPr>
            <w:tcW w:w="970" w:type="dxa"/>
            <w:shd w:val="clear" w:color="auto" w:fill="auto"/>
            <w:vAlign w:val="center"/>
            <w:hideMark/>
          </w:tcPr>
          <w:p w14:paraId="66C026CE" w14:textId="77777777" w:rsidR="009D4A93" w:rsidRPr="00536CFD" w:rsidRDefault="009D4A93" w:rsidP="009D4A93">
            <w:pPr>
              <w:spacing w:after="0"/>
              <w:jc w:val="center"/>
              <w:rPr>
                <w:rFonts w:eastAsia="Times New Roman"/>
                <w:color w:val="000000"/>
                <w:lang w:eastAsia="zh-CN"/>
              </w:rPr>
            </w:pPr>
            <w:r w:rsidRPr="00536CFD">
              <w:rPr>
                <w:color w:val="000000"/>
              </w:rPr>
              <w:t>17%</w:t>
            </w:r>
          </w:p>
        </w:tc>
      </w:tr>
      <w:tr w:rsidR="009D4A93" w:rsidRPr="00536CFD" w14:paraId="5E0B80D9" w14:textId="77777777" w:rsidTr="009D4A93">
        <w:trPr>
          <w:trHeight w:val="23"/>
          <w:jc w:val="center"/>
        </w:trPr>
        <w:tc>
          <w:tcPr>
            <w:tcW w:w="370" w:type="dxa"/>
            <w:vMerge/>
          </w:tcPr>
          <w:p w14:paraId="5CD3CF08"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44BA52ED"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𝜆</w:t>
            </w:r>
          </w:p>
        </w:tc>
        <w:tc>
          <w:tcPr>
            <w:tcW w:w="3880" w:type="dxa"/>
            <w:gridSpan w:val="4"/>
            <w:shd w:val="clear" w:color="auto" w:fill="auto"/>
            <w:vAlign w:val="center"/>
            <w:hideMark/>
          </w:tcPr>
          <w:p w14:paraId="3B0C32F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0.3 files/s</w:t>
            </w:r>
          </w:p>
        </w:tc>
      </w:tr>
      <w:tr w:rsidR="009D4A93" w:rsidRPr="00536CFD" w14:paraId="3C4F61E1" w14:textId="77777777" w:rsidTr="009D4A93">
        <w:trPr>
          <w:trHeight w:val="23"/>
          <w:jc w:val="center"/>
        </w:trPr>
        <w:tc>
          <w:tcPr>
            <w:tcW w:w="370" w:type="dxa"/>
            <w:vMerge/>
          </w:tcPr>
          <w:p w14:paraId="7A5AE63C"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tcPr>
          <w:p w14:paraId="0C3F9119" w14:textId="77777777" w:rsidR="009D4A93" w:rsidRPr="00536CFD" w:rsidRDefault="009D4A93" w:rsidP="009D4A93">
            <w:pPr>
              <w:spacing w:after="0"/>
              <w:jc w:val="center"/>
              <w:rPr>
                <w:rFonts w:eastAsia="Times New Roman"/>
                <w:color w:val="000000"/>
                <w:lang w:eastAsia="zh-CN"/>
              </w:rPr>
            </w:pPr>
          </w:p>
        </w:tc>
        <w:tc>
          <w:tcPr>
            <w:tcW w:w="3880" w:type="dxa"/>
            <w:gridSpan w:val="4"/>
            <w:shd w:val="clear" w:color="auto" w:fill="auto"/>
            <w:vAlign w:val="center"/>
          </w:tcPr>
          <w:p w14:paraId="7DAE24F3" w14:textId="77777777" w:rsidR="009D4A93" w:rsidRPr="00536CFD" w:rsidRDefault="009D4A93" w:rsidP="009D4A93">
            <w:pPr>
              <w:spacing w:after="0"/>
              <w:jc w:val="both"/>
            </w:pPr>
            <w:r w:rsidRPr="00536CFD">
              <w:t>Additional comments:</w:t>
            </w:r>
          </w:p>
          <w:p w14:paraId="1CCC7950" w14:textId="77777777" w:rsidR="009D4A93" w:rsidRPr="00536CFD" w:rsidRDefault="009D4A93" w:rsidP="009D4A93">
            <w:pPr>
              <w:spacing w:after="0"/>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6B56AF6D" w14:textId="77777777" w:rsidR="009D4A93" w:rsidRPr="00536CFD" w:rsidRDefault="009D4A93" w:rsidP="009D4A93">
            <w:pPr>
              <w:spacing w:after="0"/>
              <w:contextualSpacing/>
              <w:rPr>
                <w:lang w:val="en-US" w:bidi="ar"/>
              </w:rPr>
            </w:pPr>
            <w:r w:rsidRPr="00536CFD">
              <w:rPr>
                <w:b/>
                <w:lang w:val="en-US" w:bidi="ar"/>
              </w:rPr>
              <w:t>NRU assumption:</w:t>
            </w:r>
            <w:r w:rsidRPr="00536CFD">
              <w:rPr>
                <w:lang w:val="en-US" w:bidi="ar"/>
              </w:rPr>
              <w:t xml:space="preserve"> 8ms MCOT;  ED=-72dBm; 256 QAM LDPC; 60 kHz SCS NCP; UE processing time capability #1; NR type B for PDSCH, type A for PUSCH</w:t>
            </w:r>
          </w:p>
          <w:p w14:paraId="7794DFBB" w14:textId="77777777" w:rsidR="009D4A93" w:rsidRPr="00536CFD" w:rsidRDefault="009D4A93" w:rsidP="009D4A93">
            <w:pPr>
              <w:spacing w:after="0"/>
              <w:contextualSpacing/>
              <w:rPr>
                <w:lang w:val="en-US" w:bidi="ar"/>
              </w:rPr>
            </w:pPr>
            <w:r w:rsidRPr="00536CFD">
              <w:rPr>
                <w:b/>
                <w:lang w:val="en-US" w:bidi="ar"/>
              </w:rPr>
              <w:t>802.11ax assumption:</w:t>
            </w:r>
            <w:r w:rsidRPr="00536CFD">
              <w:rPr>
                <w:lang w:val="en-US" w:bidi="ar"/>
              </w:rPr>
              <w:t xml:space="preserve"> 4ms TXOP; RTS/CTS disabled for WiFi, NAV set based on L-SIG; PD=-72dBm/ED=--72dBm EDCA; 256 QAM BCC; A-MPDU, 1500B MSDU + 14 B header; Immediate ACK,78.125kHz SCS  GI= 0.8us, HE MU PPDU in DL and HE TB PPDU in UL.</w:t>
            </w:r>
          </w:p>
          <w:p w14:paraId="255801F2" w14:textId="77777777" w:rsidR="009D4A93" w:rsidRPr="00536CFD" w:rsidRDefault="009D4A93" w:rsidP="009D4A93">
            <w:pPr>
              <w:spacing w:after="0"/>
              <w:jc w:val="center"/>
              <w:rPr>
                <w:rFonts w:eastAsia="Times New Roman"/>
                <w:color w:val="000000"/>
                <w:lang w:val="en-US" w:eastAsia="zh-CN"/>
              </w:rPr>
            </w:pPr>
          </w:p>
        </w:tc>
      </w:tr>
    </w:tbl>
    <w:p w14:paraId="4C6ABAB9" w14:textId="77777777" w:rsidR="009D4A93" w:rsidRPr="00C64ECB" w:rsidRDefault="009D4A93" w:rsidP="009D4A93">
      <w:pPr>
        <w:keepNext/>
        <w:keepLines/>
        <w:spacing w:before="60"/>
        <w:jc w:val="center"/>
        <w:rPr>
          <w:rFonts w:ascii="Arial" w:hAnsi="Arial"/>
          <w:b/>
          <w:sz w:val="18"/>
          <w:lang w:eastAsia="x-none"/>
        </w:rPr>
      </w:pPr>
    </w:p>
    <w:p w14:paraId="57684007" w14:textId="1912903E" w:rsidR="00E126D2" w:rsidRPr="00C64ECB" w:rsidRDefault="009D4A93" w:rsidP="00E126D2">
      <w:pPr>
        <w:pStyle w:val="TH"/>
        <w:pageBreakBefore/>
      </w:pPr>
      <w:r w:rsidRPr="00C64ECB">
        <w:t>Table B.1.1-10: coexistence results of 11ax and NRU in indoor scenario of scheme 3</w:t>
      </w:r>
    </w:p>
    <w:tbl>
      <w:tblPr>
        <w:tblW w:w="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949"/>
        <w:gridCol w:w="931"/>
        <w:gridCol w:w="970"/>
        <w:gridCol w:w="970"/>
        <w:gridCol w:w="970"/>
        <w:gridCol w:w="970"/>
      </w:tblGrid>
      <w:tr w:rsidR="00E126D2" w:rsidRPr="00536CFD" w14:paraId="21965B80" w14:textId="77777777" w:rsidTr="009220DC">
        <w:trPr>
          <w:trHeight w:val="368"/>
          <w:jc w:val="center"/>
        </w:trPr>
        <w:tc>
          <w:tcPr>
            <w:tcW w:w="535" w:type="dxa"/>
            <w:vMerge w:val="restart"/>
            <w:shd w:val="clear" w:color="auto" w:fill="auto"/>
            <w:textDirection w:val="btLr"/>
          </w:tcPr>
          <w:p w14:paraId="556D1FA3" w14:textId="77777777" w:rsidR="00E126D2" w:rsidRPr="00536CFD" w:rsidRDefault="00E126D2" w:rsidP="009220DC">
            <w:pPr>
              <w:spacing w:after="0"/>
              <w:ind w:left="113" w:right="113"/>
              <w:rPr>
                <w:rFonts w:eastAsia="Times New Roman"/>
                <w:color w:val="000000"/>
                <w:shd w:val="pct15" w:color="auto" w:fill="FFFFFF"/>
                <w:lang w:eastAsia="zh-CN"/>
              </w:rPr>
            </w:pPr>
          </w:p>
        </w:tc>
        <w:tc>
          <w:tcPr>
            <w:tcW w:w="1880" w:type="dxa"/>
            <w:gridSpan w:val="2"/>
            <w:vMerge w:val="restart"/>
            <w:shd w:val="clear" w:color="auto" w:fill="auto"/>
            <w:vAlign w:val="center"/>
          </w:tcPr>
          <w:p w14:paraId="56639AE9" w14:textId="05941011" w:rsidR="00E126D2" w:rsidRPr="00536CFD" w:rsidRDefault="00536CFD" w:rsidP="009220DC">
            <w:pPr>
              <w:spacing w:after="0"/>
              <w:jc w:val="center"/>
              <w:rPr>
                <w:rFonts w:eastAsia="Times New Roman"/>
                <w:color w:val="000000"/>
                <w:shd w:val="pct15" w:color="auto" w:fill="FFFFFF"/>
                <w:lang w:eastAsia="zh-CN"/>
              </w:rPr>
            </w:pPr>
            <w:r w:rsidRPr="00536CFD">
              <w:rPr>
                <w:rFonts w:eastAsia="Times New Roman"/>
                <w:color w:val="000000"/>
                <w:sz w:val="16"/>
                <w:lang w:eastAsia="zh-CN"/>
              </w:rPr>
              <w:t>Reported parameters</w:t>
            </w:r>
          </w:p>
        </w:tc>
        <w:tc>
          <w:tcPr>
            <w:tcW w:w="3880" w:type="dxa"/>
            <w:gridSpan w:val="4"/>
            <w:shd w:val="clear" w:color="auto" w:fill="auto"/>
            <w:vAlign w:val="center"/>
            <w:hideMark/>
          </w:tcPr>
          <w:p w14:paraId="463ACFA9" w14:textId="14AC426C" w:rsidR="00E126D2" w:rsidRPr="00536CFD" w:rsidRDefault="00E126D2" w:rsidP="009220DC">
            <w:pPr>
              <w:spacing w:after="0"/>
              <w:jc w:val="center"/>
              <w:rPr>
                <w:rFonts w:eastAsia="Times New Roman"/>
                <w:color w:val="000000"/>
                <w:u w:val="single"/>
                <w:lang w:eastAsia="zh-CN"/>
              </w:rPr>
            </w:pPr>
            <w:r w:rsidRPr="00536CFD">
              <w:rPr>
                <w:rFonts w:eastAsia="Times New Roman"/>
                <w:color w:val="000000"/>
                <w:u w:val="single"/>
                <w:lang w:eastAsia="zh-CN"/>
              </w:rPr>
              <w:t>11ax PD=ED=  - 62dbm</w:t>
            </w:r>
          </w:p>
          <w:p w14:paraId="593D5944" w14:textId="2A84CCE9" w:rsidR="00E126D2" w:rsidRPr="00536CFD" w:rsidRDefault="00E126D2" w:rsidP="009220DC">
            <w:pPr>
              <w:spacing w:after="0"/>
              <w:jc w:val="center"/>
              <w:rPr>
                <w:rFonts w:eastAsia="Times New Roman"/>
                <w:color w:val="000000"/>
                <w:u w:val="single"/>
                <w:lang w:eastAsia="zh-CN"/>
              </w:rPr>
            </w:pPr>
            <w:r w:rsidRPr="00536CFD">
              <w:rPr>
                <w:rFonts w:eastAsia="Times New Roman"/>
                <w:color w:val="000000"/>
                <w:u w:val="single"/>
                <w:lang w:eastAsia="zh-CN"/>
              </w:rPr>
              <w:t>NRU ED= - 62dbm</w:t>
            </w:r>
          </w:p>
        </w:tc>
      </w:tr>
      <w:tr w:rsidR="00E126D2" w:rsidRPr="00536CFD" w14:paraId="402637D1" w14:textId="77777777" w:rsidTr="009220DC">
        <w:trPr>
          <w:trHeight w:val="503"/>
          <w:jc w:val="center"/>
        </w:trPr>
        <w:tc>
          <w:tcPr>
            <w:tcW w:w="535" w:type="dxa"/>
            <w:vMerge/>
            <w:shd w:val="clear" w:color="auto" w:fill="auto"/>
            <w:textDirection w:val="btLr"/>
          </w:tcPr>
          <w:p w14:paraId="2040F027" w14:textId="77777777" w:rsidR="00E126D2" w:rsidRPr="00536CFD" w:rsidRDefault="00E126D2" w:rsidP="009220DC">
            <w:pPr>
              <w:spacing w:after="0"/>
              <w:ind w:left="113" w:right="113"/>
              <w:rPr>
                <w:rFonts w:eastAsia="Times New Roman"/>
                <w:color w:val="000000"/>
                <w:shd w:val="pct15" w:color="auto" w:fill="FFFFFF"/>
                <w:lang w:eastAsia="zh-CN"/>
              </w:rPr>
            </w:pPr>
          </w:p>
        </w:tc>
        <w:tc>
          <w:tcPr>
            <w:tcW w:w="1880" w:type="dxa"/>
            <w:gridSpan w:val="2"/>
            <w:vMerge/>
            <w:shd w:val="clear" w:color="auto" w:fill="auto"/>
            <w:hideMark/>
          </w:tcPr>
          <w:p w14:paraId="7649D9E9" w14:textId="77777777" w:rsidR="00E126D2" w:rsidRPr="00536CFD" w:rsidRDefault="00E126D2" w:rsidP="009220DC">
            <w:pPr>
              <w:spacing w:after="0"/>
              <w:rPr>
                <w:rFonts w:eastAsia="Times New Roman"/>
                <w:color w:val="000000"/>
                <w:shd w:val="pct15" w:color="auto" w:fill="FFFFFF"/>
                <w:lang w:eastAsia="zh-CN"/>
              </w:rPr>
            </w:pPr>
          </w:p>
        </w:tc>
        <w:tc>
          <w:tcPr>
            <w:tcW w:w="970" w:type="dxa"/>
            <w:shd w:val="clear" w:color="auto" w:fill="auto"/>
            <w:vAlign w:val="center"/>
            <w:hideMark/>
          </w:tcPr>
          <w:p w14:paraId="0A39C65F"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Wi-Fi in</w:t>
            </w:r>
          </w:p>
          <w:p w14:paraId="657BCE67"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WiFi+</w:t>
            </w:r>
          </w:p>
          <w:p w14:paraId="59AA1F7B"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6E869842"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Wi-Fi in</w:t>
            </w:r>
          </w:p>
          <w:p w14:paraId="3C8C0F5E"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WiFi+</w:t>
            </w:r>
          </w:p>
          <w:p w14:paraId="6436587F"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13EDE7B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NR-U in</w:t>
            </w:r>
          </w:p>
          <w:p w14:paraId="28DE25D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WiFi+</w:t>
            </w:r>
          </w:p>
          <w:p w14:paraId="6D5DF627"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48B92297"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NR-U in</w:t>
            </w:r>
          </w:p>
          <w:p w14:paraId="0170CE68"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NR-U+</w:t>
            </w:r>
          </w:p>
          <w:p w14:paraId="5FAB0D33" w14:textId="77777777" w:rsidR="00E126D2" w:rsidRPr="00536CFD" w:rsidRDefault="00E126D2" w:rsidP="009220DC">
            <w:pPr>
              <w:spacing w:after="0"/>
              <w:jc w:val="center"/>
              <w:rPr>
                <w:rFonts w:eastAsia="Times New Roman"/>
                <w:color w:val="000000"/>
                <w:shd w:val="pct15" w:color="auto" w:fill="FFFFFF"/>
                <w:lang w:eastAsia="zh-CN"/>
              </w:rPr>
            </w:pPr>
            <w:r w:rsidRPr="00536CFD">
              <w:rPr>
                <w:rFonts w:eastAsia="Times New Roman"/>
                <w:color w:val="000000"/>
                <w:lang w:eastAsia="zh-CN"/>
              </w:rPr>
              <w:t>NR-U</w:t>
            </w:r>
          </w:p>
        </w:tc>
      </w:tr>
      <w:tr w:rsidR="00E126D2" w:rsidRPr="00536CFD" w14:paraId="78F9328C" w14:textId="77777777" w:rsidTr="009220DC">
        <w:trPr>
          <w:trHeight w:val="23"/>
          <w:jc w:val="center"/>
        </w:trPr>
        <w:tc>
          <w:tcPr>
            <w:tcW w:w="535" w:type="dxa"/>
            <w:vMerge w:val="restart"/>
            <w:shd w:val="clear" w:color="auto" w:fill="auto"/>
            <w:textDirection w:val="btLr"/>
          </w:tcPr>
          <w:p w14:paraId="15382D83" w14:textId="77777777" w:rsidR="00E126D2" w:rsidRPr="00536CFD" w:rsidRDefault="00E126D2" w:rsidP="009220DC">
            <w:pPr>
              <w:spacing w:after="0"/>
              <w:ind w:left="113" w:right="113"/>
              <w:jc w:val="center"/>
              <w:rPr>
                <w:rFonts w:eastAsia="Times New Roman"/>
                <w:b/>
                <w:bCs/>
                <w:color w:val="000000"/>
                <w:shd w:val="pct15" w:color="auto" w:fill="FFFFFF"/>
                <w:lang w:eastAsia="zh-CN"/>
              </w:rPr>
            </w:pPr>
            <w:r w:rsidRPr="00536CFD">
              <w:rPr>
                <w:rFonts w:eastAsia="Times New Roman"/>
                <w:b/>
                <w:bCs/>
                <w:color w:val="000000"/>
                <w:lang w:eastAsia="zh-CN"/>
              </w:rPr>
              <w:t>R-1814085(Source 4)</w:t>
            </w:r>
          </w:p>
        </w:tc>
        <w:tc>
          <w:tcPr>
            <w:tcW w:w="949" w:type="dxa"/>
            <w:vMerge w:val="restart"/>
            <w:shd w:val="clear" w:color="auto" w:fill="auto"/>
            <w:vAlign w:val="center"/>
            <w:hideMark/>
          </w:tcPr>
          <w:p w14:paraId="2736B33D" w14:textId="77777777" w:rsidR="00E126D2" w:rsidRPr="00536CFD" w:rsidRDefault="00E126D2" w:rsidP="009220DC">
            <w:pPr>
              <w:spacing w:after="0"/>
              <w:jc w:val="center"/>
              <w:rPr>
                <w:rFonts w:eastAsia="Times New Roman"/>
                <w:b/>
                <w:bCs/>
                <w:color w:val="000000"/>
                <w:lang w:eastAsia="zh-CN"/>
              </w:rPr>
            </w:pPr>
            <w:r w:rsidRPr="00536CFD">
              <w:rPr>
                <w:rFonts w:eastAsia="Times New Roman"/>
                <w:b/>
                <w:bCs/>
                <w:color w:val="000000"/>
                <w:lang w:eastAsia="zh-CN"/>
              </w:rPr>
              <w:t xml:space="preserve">DL: </w:t>
            </w:r>
          </w:p>
          <w:p w14:paraId="7886EAE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UPT CDF</w:t>
            </w:r>
          </w:p>
          <w:p w14:paraId="6AEF4FAD"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79D08812"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50010DDA"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9.13</w:t>
            </w:r>
          </w:p>
        </w:tc>
        <w:tc>
          <w:tcPr>
            <w:tcW w:w="970" w:type="dxa"/>
            <w:shd w:val="clear" w:color="auto" w:fill="auto"/>
            <w:vAlign w:val="center"/>
            <w:hideMark/>
          </w:tcPr>
          <w:p w14:paraId="537D5303"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18.86</w:t>
            </w:r>
          </w:p>
        </w:tc>
        <w:tc>
          <w:tcPr>
            <w:tcW w:w="970" w:type="dxa"/>
            <w:shd w:val="clear" w:color="auto" w:fill="auto"/>
            <w:vAlign w:val="center"/>
            <w:hideMark/>
          </w:tcPr>
          <w:p w14:paraId="09E68CB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30.89</w:t>
            </w:r>
          </w:p>
        </w:tc>
        <w:tc>
          <w:tcPr>
            <w:tcW w:w="970" w:type="dxa"/>
            <w:shd w:val="clear" w:color="auto" w:fill="auto"/>
            <w:vAlign w:val="center"/>
            <w:hideMark/>
          </w:tcPr>
          <w:p w14:paraId="6CB1B853"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32.71</w:t>
            </w:r>
          </w:p>
        </w:tc>
      </w:tr>
      <w:tr w:rsidR="00E126D2" w:rsidRPr="00536CFD" w14:paraId="4DFF7683" w14:textId="77777777" w:rsidTr="009220DC">
        <w:trPr>
          <w:trHeight w:val="23"/>
          <w:jc w:val="center"/>
        </w:trPr>
        <w:tc>
          <w:tcPr>
            <w:tcW w:w="535" w:type="dxa"/>
            <w:vMerge/>
            <w:shd w:val="clear" w:color="auto" w:fill="auto"/>
          </w:tcPr>
          <w:p w14:paraId="0B15225E"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vAlign w:val="center"/>
            <w:hideMark/>
          </w:tcPr>
          <w:p w14:paraId="44D42D37"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1AD7723F"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5646978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69.11</w:t>
            </w:r>
          </w:p>
        </w:tc>
        <w:tc>
          <w:tcPr>
            <w:tcW w:w="970" w:type="dxa"/>
            <w:shd w:val="clear" w:color="auto" w:fill="auto"/>
            <w:vAlign w:val="center"/>
            <w:hideMark/>
          </w:tcPr>
          <w:p w14:paraId="6D2F07AD"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74.88</w:t>
            </w:r>
          </w:p>
        </w:tc>
        <w:tc>
          <w:tcPr>
            <w:tcW w:w="970" w:type="dxa"/>
            <w:shd w:val="clear" w:color="auto" w:fill="auto"/>
            <w:vAlign w:val="center"/>
            <w:hideMark/>
          </w:tcPr>
          <w:p w14:paraId="4046738E"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81.65</w:t>
            </w:r>
          </w:p>
        </w:tc>
        <w:tc>
          <w:tcPr>
            <w:tcW w:w="970" w:type="dxa"/>
            <w:shd w:val="clear" w:color="auto" w:fill="auto"/>
            <w:vAlign w:val="center"/>
            <w:hideMark/>
          </w:tcPr>
          <w:p w14:paraId="69CBE43A"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86.55</w:t>
            </w:r>
          </w:p>
        </w:tc>
      </w:tr>
      <w:tr w:rsidR="00E126D2" w:rsidRPr="00536CFD" w14:paraId="2409CF47" w14:textId="77777777" w:rsidTr="009220DC">
        <w:trPr>
          <w:trHeight w:val="23"/>
          <w:jc w:val="center"/>
        </w:trPr>
        <w:tc>
          <w:tcPr>
            <w:tcW w:w="535" w:type="dxa"/>
            <w:vMerge/>
            <w:shd w:val="clear" w:color="auto" w:fill="auto"/>
          </w:tcPr>
          <w:p w14:paraId="5C725994"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vAlign w:val="center"/>
            <w:hideMark/>
          </w:tcPr>
          <w:p w14:paraId="29E36260"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1341CE07"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5E898B27"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101.84</w:t>
            </w:r>
          </w:p>
        </w:tc>
        <w:tc>
          <w:tcPr>
            <w:tcW w:w="970" w:type="dxa"/>
            <w:shd w:val="clear" w:color="auto" w:fill="auto"/>
            <w:vAlign w:val="center"/>
            <w:hideMark/>
          </w:tcPr>
          <w:p w14:paraId="5DAC423D"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102.03</w:t>
            </w:r>
          </w:p>
        </w:tc>
        <w:tc>
          <w:tcPr>
            <w:tcW w:w="970" w:type="dxa"/>
            <w:shd w:val="clear" w:color="auto" w:fill="auto"/>
            <w:vAlign w:val="center"/>
            <w:hideMark/>
          </w:tcPr>
          <w:p w14:paraId="34760DA8"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96.84</w:t>
            </w:r>
          </w:p>
        </w:tc>
        <w:tc>
          <w:tcPr>
            <w:tcW w:w="970" w:type="dxa"/>
            <w:shd w:val="clear" w:color="auto" w:fill="auto"/>
            <w:vAlign w:val="center"/>
            <w:hideMark/>
          </w:tcPr>
          <w:p w14:paraId="2FF6A44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99.23</w:t>
            </w:r>
          </w:p>
        </w:tc>
      </w:tr>
      <w:tr w:rsidR="00E126D2" w:rsidRPr="00536CFD" w14:paraId="4AABE780" w14:textId="77777777" w:rsidTr="009220DC">
        <w:trPr>
          <w:trHeight w:val="23"/>
          <w:jc w:val="center"/>
        </w:trPr>
        <w:tc>
          <w:tcPr>
            <w:tcW w:w="535" w:type="dxa"/>
            <w:vMerge/>
            <w:shd w:val="clear" w:color="auto" w:fill="auto"/>
          </w:tcPr>
          <w:p w14:paraId="27619E34"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hideMark/>
          </w:tcPr>
          <w:p w14:paraId="66FEE856"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5C2414F7"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6F452CE2" w14:textId="77777777" w:rsidR="00E126D2" w:rsidRPr="00536CFD" w:rsidRDefault="00E126D2" w:rsidP="009220DC">
            <w:pPr>
              <w:spacing w:after="0"/>
              <w:jc w:val="center"/>
              <w:rPr>
                <w:color w:val="000000"/>
              </w:rPr>
            </w:pPr>
            <w:r w:rsidRPr="00536CFD">
              <w:rPr>
                <w:color w:val="000000"/>
              </w:rPr>
              <w:t>65.66</w:t>
            </w:r>
          </w:p>
        </w:tc>
        <w:tc>
          <w:tcPr>
            <w:tcW w:w="970" w:type="dxa"/>
            <w:shd w:val="clear" w:color="auto" w:fill="auto"/>
            <w:vAlign w:val="center"/>
            <w:hideMark/>
          </w:tcPr>
          <w:p w14:paraId="4BD7BC2F" w14:textId="77777777" w:rsidR="00E126D2" w:rsidRPr="00536CFD" w:rsidRDefault="00E126D2" w:rsidP="009220DC">
            <w:pPr>
              <w:spacing w:after="0"/>
              <w:jc w:val="center"/>
              <w:rPr>
                <w:color w:val="000000"/>
              </w:rPr>
            </w:pPr>
            <w:r w:rsidRPr="00536CFD">
              <w:rPr>
                <w:color w:val="000000"/>
              </w:rPr>
              <w:t>70.40</w:t>
            </w:r>
          </w:p>
        </w:tc>
        <w:tc>
          <w:tcPr>
            <w:tcW w:w="970" w:type="dxa"/>
            <w:shd w:val="clear" w:color="auto" w:fill="auto"/>
            <w:vAlign w:val="center"/>
            <w:hideMark/>
          </w:tcPr>
          <w:p w14:paraId="2E5B2813" w14:textId="77777777" w:rsidR="00E126D2" w:rsidRPr="00536CFD" w:rsidRDefault="00E126D2" w:rsidP="009220DC">
            <w:pPr>
              <w:spacing w:after="0"/>
              <w:jc w:val="center"/>
              <w:rPr>
                <w:color w:val="000000"/>
              </w:rPr>
            </w:pPr>
            <w:r w:rsidRPr="00536CFD">
              <w:rPr>
                <w:color w:val="000000"/>
              </w:rPr>
              <w:t>74.14</w:t>
            </w:r>
          </w:p>
        </w:tc>
        <w:tc>
          <w:tcPr>
            <w:tcW w:w="970" w:type="dxa"/>
            <w:shd w:val="clear" w:color="auto" w:fill="auto"/>
            <w:vAlign w:val="center"/>
            <w:hideMark/>
          </w:tcPr>
          <w:p w14:paraId="7A1D21F0" w14:textId="77777777" w:rsidR="00E126D2" w:rsidRPr="00536CFD" w:rsidRDefault="00E126D2" w:rsidP="009220DC">
            <w:pPr>
              <w:spacing w:after="0"/>
              <w:jc w:val="center"/>
              <w:rPr>
                <w:color w:val="000000"/>
              </w:rPr>
            </w:pPr>
            <w:r w:rsidRPr="00536CFD">
              <w:rPr>
                <w:color w:val="000000"/>
              </w:rPr>
              <w:t>76.87</w:t>
            </w:r>
          </w:p>
        </w:tc>
      </w:tr>
      <w:tr w:rsidR="00E126D2" w:rsidRPr="00536CFD" w14:paraId="6813890D" w14:textId="77777777" w:rsidTr="009220DC">
        <w:trPr>
          <w:trHeight w:val="23"/>
          <w:jc w:val="center"/>
        </w:trPr>
        <w:tc>
          <w:tcPr>
            <w:tcW w:w="535" w:type="dxa"/>
            <w:vMerge/>
            <w:shd w:val="clear" w:color="auto" w:fill="auto"/>
          </w:tcPr>
          <w:p w14:paraId="3FDD0852" w14:textId="77777777" w:rsidR="00E126D2" w:rsidRPr="00536CFD" w:rsidRDefault="00E126D2" w:rsidP="009220DC">
            <w:pPr>
              <w:spacing w:after="0"/>
              <w:jc w:val="center"/>
              <w:rPr>
                <w:rFonts w:eastAsia="Times New Roman"/>
                <w:b/>
                <w:bCs/>
                <w:color w:val="000000"/>
                <w:shd w:val="pct15" w:color="auto" w:fill="FFFFFF"/>
                <w:lang w:eastAsia="zh-CN"/>
              </w:rPr>
            </w:pPr>
          </w:p>
        </w:tc>
        <w:tc>
          <w:tcPr>
            <w:tcW w:w="949" w:type="dxa"/>
            <w:shd w:val="clear" w:color="auto" w:fill="auto"/>
            <w:vAlign w:val="center"/>
            <w:hideMark/>
          </w:tcPr>
          <w:p w14:paraId="1D94FE12" w14:textId="77777777" w:rsidR="00E126D2" w:rsidRPr="00536CFD" w:rsidRDefault="00E126D2" w:rsidP="009220DC">
            <w:pPr>
              <w:spacing w:after="0"/>
              <w:jc w:val="center"/>
              <w:rPr>
                <w:rFonts w:eastAsia="Times New Roman"/>
                <w:b/>
                <w:bCs/>
                <w:color w:val="000000"/>
                <w:lang w:eastAsia="zh-CN"/>
              </w:rPr>
            </w:pPr>
            <w:r w:rsidRPr="00536CFD">
              <w:rPr>
                <w:rFonts w:eastAsia="Times New Roman"/>
                <w:b/>
                <w:bCs/>
                <w:color w:val="000000"/>
                <w:lang w:eastAsia="zh-CN"/>
              </w:rPr>
              <w:t>DL:</w:t>
            </w:r>
          </w:p>
        </w:tc>
        <w:tc>
          <w:tcPr>
            <w:tcW w:w="931" w:type="dxa"/>
            <w:shd w:val="clear" w:color="auto" w:fill="auto"/>
            <w:vAlign w:val="center"/>
            <w:hideMark/>
          </w:tcPr>
          <w:p w14:paraId="77E3A89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73C6AD12"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0.04</w:t>
            </w:r>
          </w:p>
        </w:tc>
        <w:tc>
          <w:tcPr>
            <w:tcW w:w="970" w:type="dxa"/>
            <w:shd w:val="clear" w:color="auto" w:fill="auto"/>
            <w:vAlign w:val="center"/>
            <w:hideMark/>
          </w:tcPr>
          <w:p w14:paraId="27EA890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0.04</w:t>
            </w:r>
          </w:p>
        </w:tc>
        <w:tc>
          <w:tcPr>
            <w:tcW w:w="970" w:type="dxa"/>
            <w:shd w:val="clear" w:color="auto" w:fill="auto"/>
            <w:vAlign w:val="center"/>
            <w:hideMark/>
          </w:tcPr>
          <w:p w14:paraId="6B984E6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0.04</w:t>
            </w:r>
          </w:p>
        </w:tc>
        <w:tc>
          <w:tcPr>
            <w:tcW w:w="970" w:type="dxa"/>
            <w:shd w:val="clear" w:color="auto" w:fill="auto"/>
            <w:vAlign w:val="center"/>
            <w:hideMark/>
          </w:tcPr>
          <w:p w14:paraId="4D0586D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0.04</w:t>
            </w:r>
          </w:p>
        </w:tc>
      </w:tr>
      <w:tr w:rsidR="00E126D2" w:rsidRPr="00536CFD" w14:paraId="1ADDF3BC" w14:textId="77777777" w:rsidTr="009220DC">
        <w:trPr>
          <w:trHeight w:val="23"/>
          <w:jc w:val="center"/>
        </w:trPr>
        <w:tc>
          <w:tcPr>
            <w:tcW w:w="535" w:type="dxa"/>
            <w:vMerge/>
            <w:shd w:val="clear" w:color="auto" w:fill="auto"/>
          </w:tcPr>
          <w:p w14:paraId="507D9D79" w14:textId="77777777" w:rsidR="00E126D2" w:rsidRPr="00536CFD" w:rsidRDefault="00E126D2" w:rsidP="009220DC">
            <w:pPr>
              <w:spacing w:after="0"/>
              <w:jc w:val="center"/>
              <w:rPr>
                <w:rFonts w:eastAsia="Times New Roman"/>
                <w:color w:val="000000"/>
                <w:shd w:val="pct15" w:color="auto" w:fill="FFFFFF"/>
                <w:lang w:eastAsia="zh-CN"/>
              </w:rPr>
            </w:pPr>
          </w:p>
        </w:tc>
        <w:tc>
          <w:tcPr>
            <w:tcW w:w="949" w:type="dxa"/>
            <w:vMerge w:val="restart"/>
            <w:shd w:val="clear" w:color="auto" w:fill="auto"/>
            <w:vAlign w:val="center"/>
            <w:hideMark/>
          </w:tcPr>
          <w:p w14:paraId="7E0F1E6B"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Delay CDF</w:t>
            </w:r>
          </w:p>
          <w:p w14:paraId="250EEB8E"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486F63A7"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744ED8EE"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0.06</w:t>
            </w:r>
          </w:p>
        </w:tc>
        <w:tc>
          <w:tcPr>
            <w:tcW w:w="970" w:type="dxa"/>
            <w:shd w:val="clear" w:color="auto" w:fill="auto"/>
            <w:vAlign w:val="center"/>
            <w:hideMark/>
          </w:tcPr>
          <w:p w14:paraId="0FE50572"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0.05</w:t>
            </w:r>
          </w:p>
        </w:tc>
        <w:tc>
          <w:tcPr>
            <w:tcW w:w="970" w:type="dxa"/>
            <w:shd w:val="clear" w:color="auto" w:fill="auto"/>
            <w:vAlign w:val="center"/>
            <w:hideMark/>
          </w:tcPr>
          <w:p w14:paraId="600E97F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0.05</w:t>
            </w:r>
          </w:p>
        </w:tc>
        <w:tc>
          <w:tcPr>
            <w:tcW w:w="970" w:type="dxa"/>
            <w:shd w:val="clear" w:color="auto" w:fill="auto"/>
            <w:vAlign w:val="center"/>
            <w:hideMark/>
          </w:tcPr>
          <w:p w14:paraId="2AE7D4DD"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0.05</w:t>
            </w:r>
          </w:p>
        </w:tc>
      </w:tr>
      <w:tr w:rsidR="00E126D2" w:rsidRPr="00536CFD" w14:paraId="7EDCCB30" w14:textId="77777777" w:rsidTr="009220DC">
        <w:trPr>
          <w:trHeight w:val="23"/>
          <w:jc w:val="center"/>
        </w:trPr>
        <w:tc>
          <w:tcPr>
            <w:tcW w:w="535" w:type="dxa"/>
            <w:vMerge/>
            <w:shd w:val="clear" w:color="auto" w:fill="auto"/>
          </w:tcPr>
          <w:p w14:paraId="4FDC37C8"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vAlign w:val="center"/>
            <w:hideMark/>
          </w:tcPr>
          <w:p w14:paraId="4E54CE3E"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2679118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0DA1CB80"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0.41</w:t>
            </w:r>
          </w:p>
        </w:tc>
        <w:tc>
          <w:tcPr>
            <w:tcW w:w="970" w:type="dxa"/>
            <w:shd w:val="clear" w:color="auto" w:fill="auto"/>
            <w:vAlign w:val="center"/>
            <w:hideMark/>
          </w:tcPr>
          <w:p w14:paraId="1308991D"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0.21</w:t>
            </w:r>
          </w:p>
        </w:tc>
        <w:tc>
          <w:tcPr>
            <w:tcW w:w="970" w:type="dxa"/>
            <w:shd w:val="clear" w:color="auto" w:fill="auto"/>
            <w:vAlign w:val="center"/>
            <w:hideMark/>
          </w:tcPr>
          <w:p w14:paraId="4BE69612"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0.13</w:t>
            </w:r>
          </w:p>
        </w:tc>
        <w:tc>
          <w:tcPr>
            <w:tcW w:w="970" w:type="dxa"/>
            <w:shd w:val="clear" w:color="auto" w:fill="auto"/>
            <w:vAlign w:val="center"/>
            <w:hideMark/>
          </w:tcPr>
          <w:p w14:paraId="681814A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0.12</w:t>
            </w:r>
          </w:p>
        </w:tc>
      </w:tr>
      <w:tr w:rsidR="00E126D2" w:rsidRPr="00536CFD" w14:paraId="0B202E64" w14:textId="77777777" w:rsidTr="009220DC">
        <w:trPr>
          <w:trHeight w:val="23"/>
          <w:jc w:val="center"/>
        </w:trPr>
        <w:tc>
          <w:tcPr>
            <w:tcW w:w="535" w:type="dxa"/>
            <w:vMerge/>
            <w:shd w:val="clear" w:color="auto" w:fill="auto"/>
          </w:tcPr>
          <w:p w14:paraId="776BFB0D"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hideMark/>
          </w:tcPr>
          <w:p w14:paraId="048B236D"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68DAD04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2D744EA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0.13</w:t>
            </w:r>
          </w:p>
        </w:tc>
        <w:tc>
          <w:tcPr>
            <w:tcW w:w="970" w:type="dxa"/>
            <w:shd w:val="clear" w:color="auto" w:fill="auto"/>
            <w:vAlign w:val="center"/>
            <w:hideMark/>
          </w:tcPr>
          <w:p w14:paraId="61F9BB2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0.08</w:t>
            </w:r>
          </w:p>
        </w:tc>
        <w:tc>
          <w:tcPr>
            <w:tcW w:w="970" w:type="dxa"/>
            <w:shd w:val="clear" w:color="auto" w:fill="auto"/>
            <w:vAlign w:val="center"/>
            <w:hideMark/>
          </w:tcPr>
          <w:p w14:paraId="448E7FC5"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0.06</w:t>
            </w:r>
          </w:p>
        </w:tc>
        <w:tc>
          <w:tcPr>
            <w:tcW w:w="970" w:type="dxa"/>
            <w:shd w:val="clear" w:color="auto" w:fill="auto"/>
            <w:vAlign w:val="center"/>
            <w:hideMark/>
          </w:tcPr>
          <w:p w14:paraId="29C87AEA"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0.06</w:t>
            </w:r>
          </w:p>
        </w:tc>
      </w:tr>
      <w:tr w:rsidR="00E126D2" w:rsidRPr="00536CFD" w14:paraId="38C020A8" w14:textId="77777777" w:rsidTr="009220DC">
        <w:trPr>
          <w:trHeight w:val="23"/>
          <w:jc w:val="center"/>
        </w:trPr>
        <w:tc>
          <w:tcPr>
            <w:tcW w:w="535" w:type="dxa"/>
            <w:vMerge/>
            <w:shd w:val="clear" w:color="auto" w:fill="auto"/>
          </w:tcPr>
          <w:p w14:paraId="6CA05B76" w14:textId="77777777" w:rsidR="00E126D2" w:rsidRPr="00536CFD" w:rsidRDefault="00E126D2" w:rsidP="009220DC">
            <w:pPr>
              <w:spacing w:after="0"/>
              <w:jc w:val="center"/>
              <w:rPr>
                <w:rFonts w:eastAsia="Times New Roman"/>
                <w:b/>
                <w:bCs/>
                <w:color w:val="000000"/>
                <w:shd w:val="pct15" w:color="auto" w:fill="FFFFFF"/>
                <w:lang w:eastAsia="zh-CN"/>
              </w:rPr>
            </w:pPr>
          </w:p>
        </w:tc>
        <w:tc>
          <w:tcPr>
            <w:tcW w:w="949" w:type="dxa"/>
            <w:vMerge w:val="restart"/>
            <w:shd w:val="clear" w:color="auto" w:fill="auto"/>
            <w:vAlign w:val="center"/>
            <w:hideMark/>
          </w:tcPr>
          <w:p w14:paraId="5EE1B35A" w14:textId="77777777" w:rsidR="00E126D2" w:rsidRPr="00536CFD" w:rsidRDefault="00E126D2" w:rsidP="009220DC">
            <w:pPr>
              <w:spacing w:after="0"/>
              <w:jc w:val="center"/>
              <w:rPr>
                <w:rFonts w:eastAsia="Times New Roman"/>
                <w:b/>
                <w:bCs/>
                <w:color w:val="000000"/>
                <w:lang w:eastAsia="zh-CN"/>
              </w:rPr>
            </w:pPr>
            <w:r w:rsidRPr="00536CFD">
              <w:rPr>
                <w:rFonts w:eastAsia="Times New Roman"/>
                <w:b/>
                <w:bCs/>
                <w:color w:val="000000"/>
                <w:lang w:eastAsia="zh-CN"/>
              </w:rPr>
              <w:t>UL:</w:t>
            </w:r>
          </w:p>
          <w:p w14:paraId="13AA7CB5"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UPT CDF</w:t>
            </w:r>
          </w:p>
          <w:p w14:paraId="0E7EECA5"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364934F5"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31816BA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9.85</w:t>
            </w:r>
          </w:p>
        </w:tc>
        <w:tc>
          <w:tcPr>
            <w:tcW w:w="970" w:type="dxa"/>
            <w:shd w:val="clear" w:color="auto" w:fill="auto"/>
            <w:vAlign w:val="center"/>
            <w:hideMark/>
          </w:tcPr>
          <w:p w14:paraId="4D0AC40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19.31</w:t>
            </w:r>
          </w:p>
        </w:tc>
        <w:tc>
          <w:tcPr>
            <w:tcW w:w="970" w:type="dxa"/>
            <w:shd w:val="clear" w:color="auto" w:fill="auto"/>
            <w:vAlign w:val="center"/>
            <w:hideMark/>
          </w:tcPr>
          <w:p w14:paraId="310FE1EB"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23.09</w:t>
            </w:r>
          </w:p>
        </w:tc>
        <w:tc>
          <w:tcPr>
            <w:tcW w:w="970" w:type="dxa"/>
            <w:shd w:val="clear" w:color="auto" w:fill="auto"/>
            <w:vAlign w:val="center"/>
            <w:hideMark/>
          </w:tcPr>
          <w:p w14:paraId="495ABAE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28.83</w:t>
            </w:r>
          </w:p>
        </w:tc>
      </w:tr>
      <w:tr w:rsidR="00E126D2" w:rsidRPr="00536CFD" w14:paraId="51330276" w14:textId="77777777" w:rsidTr="009220DC">
        <w:trPr>
          <w:trHeight w:val="23"/>
          <w:jc w:val="center"/>
        </w:trPr>
        <w:tc>
          <w:tcPr>
            <w:tcW w:w="535" w:type="dxa"/>
            <w:vMerge/>
            <w:shd w:val="clear" w:color="auto" w:fill="auto"/>
          </w:tcPr>
          <w:p w14:paraId="3DB19B7B"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vAlign w:val="center"/>
            <w:hideMark/>
          </w:tcPr>
          <w:p w14:paraId="61A69E57"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50155595"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5D811722"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68.81</w:t>
            </w:r>
          </w:p>
        </w:tc>
        <w:tc>
          <w:tcPr>
            <w:tcW w:w="970" w:type="dxa"/>
            <w:shd w:val="clear" w:color="auto" w:fill="auto"/>
            <w:vAlign w:val="center"/>
            <w:hideMark/>
          </w:tcPr>
          <w:p w14:paraId="3C6163AB"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75.71</w:t>
            </w:r>
          </w:p>
        </w:tc>
        <w:tc>
          <w:tcPr>
            <w:tcW w:w="970" w:type="dxa"/>
            <w:shd w:val="clear" w:color="auto" w:fill="auto"/>
            <w:vAlign w:val="center"/>
            <w:hideMark/>
          </w:tcPr>
          <w:p w14:paraId="7F397BAC"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65.13</w:t>
            </w:r>
          </w:p>
        </w:tc>
        <w:tc>
          <w:tcPr>
            <w:tcW w:w="970" w:type="dxa"/>
            <w:shd w:val="clear" w:color="auto" w:fill="auto"/>
            <w:vAlign w:val="center"/>
            <w:hideMark/>
          </w:tcPr>
          <w:p w14:paraId="5B4A6C8B"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76.65</w:t>
            </w:r>
          </w:p>
        </w:tc>
      </w:tr>
      <w:tr w:rsidR="00E126D2" w:rsidRPr="00536CFD" w14:paraId="7B87BF68" w14:textId="77777777" w:rsidTr="009220DC">
        <w:trPr>
          <w:trHeight w:val="23"/>
          <w:jc w:val="center"/>
        </w:trPr>
        <w:tc>
          <w:tcPr>
            <w:tcW w:w="535" w:type="dxa"/>
            <w:vMerge/>
            <w:shd w:val="clear" w:color="auto" w:fill="auto"/>
          </w:tcPr>
          <w:p w14:paraId="2CF24D46"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vAlign w:val="center"/>
            <w:hideMark/>
          </w:tcPr>
          <w:p w14:paraId="668B3930"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061DE093"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433D1DBA"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91.8</w:t>
            </w:r>
          </w:p>
        </w:tc>
        <w:tc>
          <w:tcPr>
            <w:tcW w:w="970" w:type="dxa"/>
            <w:shd w:val="clear" w:color="auto" w:fill="auto"/>
            <w:vAlign w:val="center"/>
            <w:hideMark/>
          </w:tcPr>
          <w:p w14:paraId="1AAA3680"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91.86</w:t>
            </w:r>
          </w:p>
        </w:tc>
        <w:tc>
          <w:tcPr>
            <w:tcW w:w="970" w:type="dxa"/>
            <w:shd w:val="clear" w:color="auto" w:fill="auto"/>
            <w:vAlign w:val="center"/>
            <w:hideMark/>
          </w:tcPr>
          <w:p w14:paraId="0EF97C62"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76.85</w:t>
            </w:r>
          </w:p>
        </w:tc>
        <w:tc>
          <w:tcPr>
            <w:tcW w:w="970" w:type="dxa"/>
            <w:shd w:val="clear" w:color="auto" w:fill="auto"/>
            <w:vAlign w:val="center"/>
            <w:hideMark/>
          </w:tcPr>
          <w:p w14:paraId="142571B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85.04</w:t>
            </w:r>
          </w:p>
        </w:tc>
      </w:tr>
      <w:tr w:rsidR="00E126D2" w:rsidRPr="00536CFD" w14:paraId="2E426615" w14:textId="77777777" w:rsidTr="009220DC">
        <w:trPr>
          <w:trHeight w:val="23"/>
          <w:jc w:val="center"/>
        </w:trPr>
        <w:tc>
          <w:tcPr>
            <w:tcW w:w="535" w:type="dxa"/>
            <w:vMerge/>
            <w:shd w:val="clear" w:color="auto" w:fill="auto"/>
          </w:tcPr>
          <w:p w14:paraId="21C701C1"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hideMark/>
          </w:tcPr>
          <w:p w14:paraId="6A9AFE16"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57127BF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7B29A03E" w14:textId="77777777" w:rsidR="00E126D2" w:rsidRPr="00536CFD" w:rsidRDefault="00E126D2" w:rsidP="009220DC">
            <w:pPr>
              <w:spacing w:after="0"/>
              <w:jc w:val="center"/>
              <w:rPr>
                <w:color w:val="000000"/>
              </w:rPr>
            </w:pPr>
            <w:r w:rsidRPr="00536CFD">
              <w:rPr>
                <w:color w:val="000000"/>
              </w:rPr>
              <w:t>61.88</w:t>
            </w:r>
          </w:p>
        </w:tc>
        <w:tc>
          <w:tcPr>
            <w:tcW w:w="970" w:type="dxa"/>
            <w:shd w:val="clear" w:color="auto" w:fill="auto"/>
            <w:vAlign w:val="center"/>
            <w:hideMark/>
          </w:tcPr>
          <w:p w14:paraId="06F5669C" w14:textId="77777777" w:rsidR="00E126D2" w:rsidRPr="00536CFD" w:rsidRDefault="00E126D2" w:rsidP="009220DC">
            <w:pPr>
              <w:spacing w:after="0"/>
              <w:jc w:val="center"/>
              <w:rPr>
                <w:color w:val="000000"/>
              </w:rPr>
            </w:pPr>
            <w:r w:rsidRPr="00536CFD">
              <w:rPr>
                <w:color w:val="000000"/>
              </w:rPr>
              <w:t>66.62</w:t>
            </w:r>
          </w:p>
        </w:tc>
        <w:tc>
          <w:tcPr>
            <w:tcW w:w="970" w:type="dxa"/>
            <w:shd w:val="clear" w:color="auto" w:fill="auto"/>
            <w:vAlign w:val="center"/>
            <w:hideMark/>
          </w:tcPr>
          <w:p w14:paraId="0F6E1A5C" w14:textId="77777777" w:rsidR="00E126D2" w:rsidRPr="00536CFD" w:rsidRDefault="00E126D2" w:rsidP="009220DC">
            <w:pPr>
              <w:spacing w:after="0"/>
              <w:jc w:val="center"/>
              <w:rPr>
                <w:color w:val="000000"/>
              </w:rPr>
            </w:pPr>
            <w:r w:rsidRPr="00536CFD">
              <w:rPr>
                <w:color w:val="000000"/>
              </w:rPr>
              <w:t>58.40</w:t>
            </w:r>
          </w:p>
        </w:tc>
        <w:tc>
          <w:tcPr>
            <w:tcW w:w="970" w:type="dxa"/>
            <w:shd w:val="clear" w:color="auto" w:fill="auto"/>
            <w:vAlign w:val="center"/>
            <w:hideMark/>
          </w:tcPr>
          <w:p w14:paraId="0DF5EAEE" w14:textId="77777777" w:rsidR="00E126D2" w:rsidRPr="00536CFD" w:rsidRDefault="00E126D2" w:rsidP="009220DC">
            <w:pPr>
              <w:spacing w:after="0"/>
              <w:jc w:val="center"/>
              <w:rPr>
                <w:color w:val="000000"/>
              </w:rPr>
            </w:pPr>
            <w:r w:rsidRPr="00536CFD">
              <w:rPr>
                <w:color w:val="000000"/>
              </w:rPr>
              <w:t>66.81</w:t>
            </w:r>
          </w:p>
        </w:tc>
      </w:tr>
      <w:tr w:rsidR="00E126D2" w:rsidRPr="00536CFD" w14:paraId="344650B0" w14:textId="77777777" w:rsidTr="009220DC">
        <w:trPr>
          <w:trHeight w:val="23"/>
          <w:jc w:val="center"/>
        </w:trPr>
        <w:tc>
          <w:tcPr>
            <w:tcW w:w="535" w:type="dxa"/>
            <w:vMerge/>
            <w:shd w:val="clear" w:color="auto" w:fill="auto"/>
          </w:tcPr>
          <w:p w14:paraId="44530141" w14:textId="77777777" w:rsidR="00E126D2" w:rsidRPr="00536CFD" w:rsidRDefault="00E126D2" w:rsidP="009220DC">
            <w:pPr>
              <w:spacing w:after="0"/>
              <w:jc w:val="center"/>
              <w:rPr>
                <w:rFonts w:eastAsia="Times New Roman"/>
                <w:b/>
                <w:bCs/>
                <w:color w:val="000000"/>
                <w:shd w:val="pct15" w:color="auto" w:fill="FFFFFF"/>
                <w:lang w:eastAsia="zh-CN"/>
              </w:rPr>
            </w:pPr>
          </w:p>
        </w:tc>
        <w:tc>
          <w:tcPr>
            <w:tcW w:w="949" w:type="dxa"/>
            <w:vMerge w:val="restart"/>
            <w:shd w:val="clear" w:color="auto" w:fill="auto"/>
            <w:vAlign w:val="center"/>
            <w:hideMark/>
          </w:tcPr>
          <w:p w14:paraId="3F63FB59" w14:textId="77777777" w:rsidR="00E126D2" w:rsidRPr="00536CFD" w:rsidRDefault="00E126D2" w:rsidP="009220DC">
            <w:pPr>
              <w:spacing w:after="0"/>
              <w:jc w:val="center"/>
              <w:rPr>
                <w:rFonts w:eastAsia="Times New Roman"/>
                <w:b/>
                <w:bCs/>
                <w:color w:val="000000"/>
                <w:lang w:eastAsia="zh-CN"/>
              </w:rPr>
            </w:pPr>
            <w:r w:rsidRPr="00536CFD">
              <w:rPr>
                <w:rFonts w:eastAsia="Times New Roman"/>
                <w:b/>
                <w:bCs/>
                <w:color w:val="000000"/>
                <w:lang w:eastAsia="zh-CN"/>
              </w:rPr>
              <w:t>UL:</w:t>
            </w:r>
          </w:p>
          <w:p w14:paraId="79AE4BE9"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Delay CDF</w:t>
            </w:r>
          </w:p>
          <w:p w14:paraId="2EA32DE5"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45247498"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2299D339"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0.04</w:t>
            </w:r>
          </w:p>
        </w:tc>
        <w:tc>
          <w:tcPr>
            <w:tcW w:w="970" w:type="dxa"/>
            <w:shd w:val="clear" w:color="auto" w:fill="auto"/>
            <w:vAlign w:val="center"/>
            <w:hideMark/>
          </w:tcPr>
          <w:p w14:paraId="0248E9AF"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0.04</w:t>
            </w:r>
          </w:p>
        </w:tc>
        <w:tc>
          <w:tcPr>
            <w:tcW w:w="970" w:type="dxa"/>
            <w:shd w:val="clear" w:color="auto" w:fill="auto"/>
            <w:vAlign w:val="center"/>
            <w:hideMark/>
          </w:tcPr>
          <w:p w14:paraId="423985FD"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0.05</w:t>
            </w:r>
          </w:p>
        </w:tc>
        <w:tc>
          <w:tcPr>
            <w:tcW w:w="970" w:type="dxa"/>
            <w:shd w:val="clear" w:color="auto" w:fill="auto"/>
            <w:vAlign w:val="center"/>
            <w:hideMark/>
          </w:tcPr>
          <w:p w14:paraId="33D60338"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0.05</w:t>
            </w:r>
          </w:p>
        </w:tc>
      </w:tr>
      <w:tr w:rsidR="00E126D2" w:rsidRPr="00536CFD" w14:paraId="42037351" w14:textId="77777777" w:rsidTr="009220DC">
        <w:trPr>
          <w:trHeight w:val="23"/>
          <w:jc w:val="center"/>
        </w:trPr>
        <w:tc>
          <w:tcPr>
            <w:tcW w:w="535" w:type="dxa"/>
            <w:vMerge/>
            <w:shd w:val="clear" w:color="auto" w:fill="auto"/>
          </w:tcPr>
          <w:p w14:paraId="08924582"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vAlign w:val="center"/>
            <w:hideMark/>
          </w:tcPr>
          <w:p w14:paraId="6E815055"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71F3D159"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31B348EE"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0.06</w:t>
            </w:r>
          </w:p>
        </w:tc>
        <w:tc>
          <w:tcPr>
            <w:tcW w:w="970" w:type="dxa"/>
            <w:shd w:val="clear" w:color="auto" w:fill="auto"/>
            <w:vAlign w:val="center"/>
            <w:hideMark/>
          </w:tcPr>
          <w:p w14:paraId="4601A73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0.05</w:t>
            </w:r>
          </w:p>
        </w:tc>
        <w:tc>
          <w:tcPr>
            <w:tcW w:w="970" w:type="dxa"/>
            <w:shd w:val="clear" w:color="auto" w:fill="auto"/>
            <w:vAlign w:val="center"/>
            <w:hideMark/>
          </w:tcPr>
          <w:p w14:paraId="48786070"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0.06</w:t>
            </w:r>
          </w:p>
        </w:tc>
        <w:tc>
          <w:tcPr>
            <w:tcW w:w="970" w:type="dxa"/>
            <w:shd w:val="clear" w:color="auto" w:fill="auto"/>
            <w:vAlign w:val="center"/>
            <w:hideMark/>
          </w:tcPr>
          <w:p w14:paraId="4D188DC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0.05</w:t>
            </w:r>
          </w:p>
        </w:tc>
      </w:tr>
      <w:tr w:rsidR="00E126D2" w:rsidRPr="00536CFD" w14:paraId="736D07E7" w14:textId="77777777" w:rsidTr="009220DC">
        <w:trPr>
          <w:trHeight w:val="23"/>
          <w:jc w:val="center"/>
        </w:trPr>
        <w:tc>
          <w:tcPr>
            <w:tcW w:w="535" w:type="dxa"/>
            <w:vMerge/>
            <w:shd w:val="clear" w:color="auto" w:fill="auto"/>
          </w:tcPr>
          <w:p w14:paraId="196BBF79"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vAlign w:val="center"/>
            <w:hideMark/>
          </w:tcPr>
          <w:p w14:paraId="559D3EA7"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0C79614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279523F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0.4</w:t>
            </w:r>
          </w:p>
        </w:tc>
        <w:tc>
          <w:tcPr>
            <w:tcW w:w="970" w:type="dxa"/>
            <w:shd w:val="clear" w:color="auto" w:fill="auto"/>
            <w:vAlign w:val="center"/>
            <w:hideMark/>
          </w:tcPr>
          <w:p w14:paraId="1F910E9A"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0.2</w:t>
            </w:r>
          </w:p>
        </w:tc>
        <w:tc>
          <w:tcPr>
            <w:tcW w:w="970" w:type="dxa"/>
            <w:shd w:val="clear" w:color="auto" w:fill="auto"/>
            <w:vAlign w:val="center"/>
            <w:hideMark/>
          </w:tcPr>
          <w:p w14:paraId="1AE9DDF3"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0.17</w:t>
            </w:r>
          </w:p>
        </w:tc>
        <w:tc>
          <w:tcPr>
            <w:tcW w:w="970" w:type="dxa"/>
            <w:shd w:val="clear" w:color="auto" w:fill="auto"/>
            <w:vAlign w:val="center"/>
            <w:hideMark/>
          </w:tcPr>
          <w:p w14:paraId="18F4690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0.14</w:t>
            </w:r>
          </w:p>
        </w:tc>
      </w:tr>
      <w:tr w:rsidR="00E126D2" w:rsidRPr="00536CFD" w14:paraId="20A51F9C" w14:textId="77777777" w:rsidTr="009220DC">
        <w:trPr>
          <w:trHeight w:val="23"/>
          <w:jc w:val="center"/>
        </w:trPr>
        <w:tc>
          <w:tcPr>
            <w:tcW w:w="535" w:type="dxa"/>
            <w:vMerge/>
            <w:shd w:val="clear" w:color="auto" w:fill="auto"/>
          </w:tcPr>
          <w:p w14:paraId="38D52021" w14:textId="77777777" w:rsidR="00E126D2" w:rsidRPr="00536CFD" w:rsidRDefault="00E126D2" w:rsidP="009220DC">
            <w:pPr>
              <w:spacing w:after="0"/>
              <w:rPr>
                <w:rFonts w:eastAsia="Times New Roman"/>
                <w:color w:val="000000"/>
                <w:shd w:val="pct15" w:color="auto" w:fill="FFFFFF"/>
                <w:lang w:eastAsia="zh-CN"/>
              </w:rPr>
            </w:pPr>
          </w:p>
        </w:tc>
        <w:tc>
          <w:tcPr>
            <w:tcW w:w="949" w:type="dxa"/>
            <w:vMerge/>
            <w:shd w:val="clear" w:color="auto" w:fill="auto"/>
            <w:hideMark/>
          </w:tcPr>
          <w:p w14:paraId="633E6B87" w14:textId="77777777" w:rsidR="00E126D2" w:rsidRPr="00536CFD" w:rsidRDefault="00E126D2" w:rsidP="009220DC">
            <w:pPr>
              <w:spacing w:after="0"/>
              <w:rPr>
                <w:rFonts w:eastAsia="Times New Roman"/>
                <w:color w:val="000000"/>
                <w:lang w:eastAsia="zh-CN"/>
              </w:rPr>
            </w:pPr>
          </w:p>
        </w:tc>
        <w:tc>
          <w:tcPr>
            <w:tcW w:w="931" w:type="dxa"/>
            <w:shd w:val="clear" w:color="auto" w:fill="auto"/>
            <w:vAlign w:val="center"/>
            <w:hideMark/>
          </w:tcPr>
          <w:p w14:paraId="6CAFF63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358512C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0.13</w:t>
            </w:r>
          </w:p>
        </w:tc>
        <w:tc>
          <w:tcPr>
            <w:tcW w:w="970" w:type="dxa"/>
            <w:shd w:val="clear" w:color="auto" w:fill="auto"/>
            <w:vAlign w:val="center"/>
            <w:hideMark/>
          </w:tcPr>
          <w:p w14:paraId="4D2DB60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0.08</w:t>
            </w:r>
          </w:p>
        </w:tc>
        <w:tc>
          <w:tcPr>
            <w:tcW w:w="970" w:type="dxa"/>
            <w:shd w:val="clear" w:color="auto" w:fill="auto"/>
            <w:vAlign w:val="center"/>
            <w:hideMark/>
          </w:tcPr>
          <w:p w14:paraId="6DAC252B"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0.08</w:t>
            </w:r>
          </w:p>
        </w:tc>
        <w:tc>
          <w:tcPr>
            <w:tcW w:w="970" w:type="dxa"/>
            <w:shd w:val="clear" w:color="auto" w:fill="auto"/>
            <w:vAlign w:val="center"/>
            <w:hideMark/>
          </w:tcPr>
          <w:p w14:paraId="001AD68A"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0.07</w:t>
            </w:r>
          </w:p>
        </w:tc>
      </w:tr>
      <w:tr w:rsidR="00E126D2" w:rsidRPr="00536CFD" w14:paraId="01A537E2" w14:textId="77777777" w:rsidTr="009220DC">
        <w:trPr>
          <w:trHeight w:val="23"/>
          <w:jc w:val="center"/>
        </w:trPr>
        <w:tc>
          <w:tcPr>
            <w:tcW w:w="535" w:type="dxa"/>
            <w:vMerge/>
            <w:shd w:val="clear" w:color="auto" w:fill="auto"/>
          </w:tcPr>
          <w:p w14:paraId="79BA7558" w14:textId="77777777" w:rsidR="00E126D2" w:rsidRPr="00536CFD" w:rsidRDefault="00E126D2" w:rsidP="009220DC">
            <w:pPr>
              <w:spacing w:after="0"/>
              <w:jc w:val="center"/>
              <w:rPr>
                <w:rFonts w:eastAsia="Times New Roman"/>
                <w:color w:val="000000"/>
                <w:shd w:val="pct15" w:color="auto" w:fill="FFFFFF"/>
                <w:lang w:eastAsia="zh-CN"/>
              </w:rPr>
            </w:pPr>
          </w:p>
        </w:tc>
        <w:tc>
          <w:tcPr>
            <w:tcW w:w="1880" w:type="dxa"/>
            <w:gridSpan w:val="2"/>
            <w:shd w:val="clear" w:color="auto" w:fill="auto"/>
            <w:vAlign w:val="center"/>
            <w:hideMark/>
          </w:tcPr>
          <w:p w14:paraId="013498C0" w14:textId="77777777" w:rsidR="00E126D2" w:rsidRPr="00536CFD" w:rsidRDefault="00E126D2" w:rsidP="009220DC">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DL</w:t>
            </w:r>
          </w:p>
        </w:tc>
        <w:tc>
          <w:tcPr>
            <w:tcW w:w="970" w:type="dxa"/>
            <w:shd w:val="clear" w:color="auto" w:fill="auto"/>
            <w:vAlign w:val="center"/>
            <w:hideMark/>
          </w:tcPr>
          <w:p w14:paraId="59D4A0E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99.52%</w:t>
            </w:r>
          </w:p>
        </w:tc>
        <w:tc>
          <w:tcPr>
            <w:tcW w:w="970" w:type="dxa"/>
            <w:shd w:val="clear" w:color="auto" w:fill="auto"/>
            <w:vAlign w:val="center"/>
            <w:hideMark/>
          </w:tcPr>
          <w:p w14:paraId="4D2D2BF0"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99.67%</w:t>
            </w:r>
          </w:p>
        </w:tc>
        <w:tc>
          <w:tcPr>
            <w:tcW w:w="970" w:type="dxa"/>
            <w:shd w:val="clear" w:color="auto" w:fill="auto"/>
            <w:vAlign w:val="center"/>
            <w:hideMark/>
          </w:tcPr>
          <w:p w14:paraId="58FB64B6"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99.79%</w:t>
            </w:r>
          </w:p>
        </w:tc>
        <w:tc>
          <w:tcPr>
            <w:tcW w:w="970" w:type="dxa"/>
            <w:shd w:val="clear" w:color="auto" w:fill="auto"/>
            <w:vAlign w:val="center"/>
            <w:hideMark/>
          </w:tcPr>
          <w:p w14:paraId="3F5381BE"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99.88%</w:t>
            </w:r>
          </w:p>
        </w:tc>
      </w:tr>
      <w:tr w:rsidR="00E126D2" w:rsidRPr="00536CFD" w14:paraId="1F704BC5" w14:textId="77777777" w:rsidTr="009220DC">
        <w:trPr>
          <w:trHeight w:val="23"/>
          <w:jc w:val="center"/>
        </w:trPr>
        <w:tc>
          <w:tcPr>
            <w:tcW w:w="535" w:type="dxa"/>
            <w:vMerge/>
            <w:shd w:val="clear" w:color="auto" w:fill="auto"/>
          </w:tcPr>
          <w:p w14:paraId="3A5D951F" w14:textId="77777777" w:rsidR="00E126D2" w:rsidRPr="00536CFD" w:rsidRDefault="00E126D2" w:rsidP="009220DC">
            <w:pPr>
              <w:spacing w:after="0"/>
              <w:jc w:val="center"/>
              <w:rPr>
                <w:rFonts w:eastAsia="Times New Roman"/>
                <w:color w:val="000000"/>
                <w:shd w:val="pct15" w:color="auto" w:fill="FFFFFF"/>
                <w:lang w:eastAsia="zh-CN"/>
              </w:rPr>
            </w:pPr>
          </w:p>
        </w:tc>
        <w:tc>
          <w:tcPr>
            <w:tcW w:w="1880" w:type="dxa"/>
            <w:gridSpan w:val="2"/>
            <w:shd w:val="clear" w:color="auto" w:fill="auto"/>
            <w:vAlign w:val="center"/>
            <w:hideMark/>
          </w:tcPr>
          <w:p w14:paraId="332E8CB2" w14:textId="77777777" w:rsidR="00E126D2" w:rsidRPr="00536CFD" w:rsidRDefault="00E126D2" w:rsidP="009220DC">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UL</w:t>
            </w:r>
          </w:p>
        </w:tc>
        <w:tc>
          <w:tcPr>
            <w:tcW w:w="970" w:type="dxa"/>
            <w:shd w:val="clear" w:color="auto" w:fill="auto"/>
            <w:vAlign w:val="center"/>
            <w:hideMark/>
          </w:tcPr>
          <w:p w14:paraId="1BD86414"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99.64%</w:t>
            </w:r>
          </w:p>
        </w:tc>
        <w:tc>
          <w:tcPr>
            <w:tcW w:w="970" w:type="dxa"/>
            <w:shd w:val="clear" w:color="auto" w:fill="auto"/>
            <w:vAlign w:val="center"/>
            <w:hideMark/>
          </w:tcPr>
          <w:p w14:paraId="57841DD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99.67%</w:t>
            </w:r>
          </w:p>
        </w:tc>
        <w:tc>
          <w:tcPr>
            <w:tcW w:w="970" w:type="dxa"/>
            <w:shd w:val="clear" w:color="auto" w:fill="auto"/>
            <w:vAlign w:val="center"/>
            <w:hideMark/>
          </w:tcPr>
          <w:p w14:paraId="0278D0DE"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99.78%</w:t>
            </w:r>
          </w:p>
        </w:tc>
        <w:tc>
          <w:tcPr>
            <w:tcW w:w="970" w:type="dxa"/>
            <w:shd w:val="clear" w:color="auto" w:fill="auto"/>
            <w:vAlign w:val="center"/>
            <w:hideMark/>
          </w:tcPr>
          <w:p w14:paraId="6FF18460"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99.77%</w:t>
            </w:r>
          </w:p>
        </w:tc>
      </w:tr>
      <w:tr w:rsidR="00E126D2" w:rsidRPr="00536CFD" w14:paraId="25BEAE3C" w14:textId="77777777" w:rsidTr="009220DC">
        <w:trPr>
          <w:trHeight w:val="23"/>
          <w:jc w:val="center"/>
        </w:trPr>
        <w:tc>
          <w:tcPr>
            <w:tcW w:w="535" w:type="dxa"/>
            <w:vMerge/>
            <w:shd w:val="clear" w:color="auto" w:fill="auto"/>
          </w:tcPr>
          <w:p w14:paraId="3217768B" w14:textId="77777777" w:rsidR="00E126D2" w:rsidRPr="00536CFD" w:rsidRDefault="00E126D2" w:rsidP="009220DC">
            <w:pPr>
              <w:spacing w:after="0"/>
              <w:jc w:val="center"/>
              <w:rPr>
                <w:rFonts w:eastAsia="Times New Roman"/>
                <w:color w:val="000000"/>
                <w:shd w:val="pct15" w:color="auto" w:fill="FFFFFF"/>
                <w:lang w:eastAsia="zh-CN"/>
              </w:rPr>
            </w:pPr>
          </w:p>
        </w:tc>
        <w:tc>
          <w:tcPr>
            <w:tcW w:w="1880" w:type="dxa"/>
            <w:gridSpan w:val="2"/>
            <w:shd w:val="clear" w:color="auto" w:fill="auto"/>
            <w:vAlign w:val="center"/>
            <w:hideMark/>
          </w:tcPr>
          <w:p w14:paraId="492B9241"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BO</w:t>
            </w:r>
          </w:p>
        </w:tc>
        <w:tc>
          <w:tcPr>
            <w:tcW w:w="970" w:type="dxa"/>
            <w:shd w:val="clear" w:color="auto" w:fill="auto"/>
            <w:vAlign w:val="center"/>
            <w:hideMark/>
          </w:tcPr>
          <w:p w14:paraId="2796A6B3"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24%</w:t>
            </w:r>
          </w:p>
        </w:tc>
        <w:tc>
          <w:tcPr>
            <w:tcW w:w="970" w:type="dxa"/>
            <w:shd w:val="clear" w:color="auto" w:fill="auto"/>
            <w:vAlign w:val="center"/>
            <w:hideMark/>
          </w:tcPr>
          <w:p w14:paraId="5985E7C2"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18%</w:t>
            </w:r>
          </w:p>
        </w:tc>
        <w:tc>
          <w:tcPr>
            <w:tcW w:w="970" w:type="dxa"/>
            <w:shd w:val="clear" w:color="auto" w:fill="auto"/>
            <w:vAlign w:val="center"/>
            <w:hideMark/>
          </w:tcPr>
          <w:p w14:paraId="0118E94D" w14:textId="77777777" w:rsidR="00E126D2" w:rsidRPr="00536CFD" w:rsidRDefault="00E126D2" w:rsidP="009220DC">
            <w:pPr>
              <w:spacing w:after="0"/>
              <w:jc w:val="center"/>
              <w:rPr>
                <w:rFonts w:eastAsia="Times New Roman"/>
                <w:color w:val="000000"/>
                <w:lang w:eastAsia="zh-CN"/>
              </w:rPr>
            </w:pPr>
            <w:r w:rsidRPr="00536CFD">
              <w:rPr>
                <w:rFonts w:eastAsia="Times New Roman"/>
                <w:color w:val="000000"/>
                <w:lang w:eastAsia="zh-CN"/>
              </w:rPr>
              <w:t>18%</w:t>
            </w:r>
          </w:p>
        </w:tc>
        <w:tc>
          <w:tcPr>
            <w:tcW w:w="970" w:type="dxa"/>
            <w:shd w:val="clear" w:color="auto" w:fill="auto"/>
            <w:vAlign w:val="center"/>
            <w:hideMark/>
          </w:tcPr>
          <w:p w14:paraId="33BAF10F" w14:textId="77777777" w:rsidR="00E126D2" w:rsidRPr="00536CFD" w:rsidRDefault="00E126D2" w:rsidP="009220DC">
            <w:pPr>
              <w:spacing w:after="0"/>
              <w:jc w:val="center"/>
              <w:rPr>
                <w:rFonts w:eastAsia="Times New Roman"/>
                <w:color w:val="000000"/>
                <w:shd w:val="pct15" w:color="auto" w:fill="FFFFFF"/>
                <w:lang w:eastAsia="zh-CN"/>
              </w:rPr>
            </w:pPr>
            <w:r w:rsidRPr="00536CFD">
              <w:rPr>
                <w:rFonts w:eastAsia="Times New Roman"/>
                <w:color w:val="000000"/>
                <w:lang w:eastAsia="zh-CN"/>
              </w:rPr>
              <w:t>16%</w:t>
            </w:r>
          </w:p>
        </w:tc>
      </w:tr>
      <w:tr w:rsidR="00E126D2" w:rsidRPr="00536CFD" w14:paraId="7CFD1B4F" w14:textId="77777777" w:rsidTr="009220DC">
        <w:trPr>
          <w:trHeight w:val="23"/>
          <w:jc w:val="center"/>
        </w:trPr>
        <w:tc>
          <w:tcPr>
            <w:tcW w:w="535" w:type="dxa"/>
            <w:vMerge/>
            <w:shd w:val="clear" w:color="auto" w:fill="auto"/>
          </w:tcPr>
          <w:p w14:paraId="1F2EF45A" w14:textId="77777777" w:rsidR="00E126D2" w:rsidRPr="00536CFD" w:rsidRDefault="00E126D2" w:rsidP="009220DC">
            <w:pPr>
              <w:spacing w:after="0"/>
              <w:jc w:val="center"/>
              <w:rPr>
                <w:rFonts w:eastAsia="Times New Roman"/>
                <w:color w:val="000000"/>
                <w:shd w:val="pct15" w:color="auto" w:fill="FFFFFF"/>
                <w:lang w:eastAsia="zh-CN"/>
              </w:rPr>
            </w:pPr>
          </w:p>
        </w:tc>
        <w:tc>
          <w:tcPr>
            <w:tcW w:w="1880" w:type="dxa"/>
            <w:gridSpan w:val="2"/>
            <w:shd w:val="clear" w:color="auto" w:fill="auto"/>
            <w:vAlign w:val="center"/>
            <w:hideMark/>
          </w:tcPr>
          <w:p w14:paraId="6760D388" w14:textId="77777777" w:rsidR="00E126D2" w:rsidRPr="00536CFD" w:rsidRDefault="00E126D2" w:rsidP="009220DC">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𝜆</w:t>
            </w:r>
          </w:p>
        </w:tc>
        <w:tc>
          <w:tcPr>
            <w:tcW w:w="3880" w:type="dxa"/>
            <w:gridSpan w:val="4"/>
            <w:shd w:val="clear" w:color="auto" w:fill="auto"/>
            <w:vAlign w:val="center"/>
            <w:hideMark/>
          </w:tcPr>
          <w:p w14:paraId="089FFEC2" w14:textId="77777777" w:rsidR="00E126D2" w:rsidRPr="00536CFD" w:rsidRDefault="00E126D2" w:rsidP="009220DC">
            <w:pPr>
              <w:spacing w:after="0"/>
              <w:jc w:val="center"/>
              <w:rPr>
                <w:rFonts w:eastAsia="Times New Roman"/>
                <w:color w:val="000000"/>
                <w:shd w:val="pct15" w:color="auto" w:fill="FFFFFF"/>
                <w:lang w:eastAsia="zh-CN"/>
              </w:rPr>
            </w:pPr>
            <w:r w:rsidRPr="00536CFD">
              <w:rPr>
                <w:rFonts w:eastAsia="Times New Roman"/>
                <w:color w:val="000000"/>
                <w:lang w:eastAsia="zh-CN"/>
              </w:rPr>
              <w:t>0.3 files/s</w:t>
            </w:r>
          </w:p>
        </w:tc>
      </w:tr>
      <w:tr w:rsidR="00E126D2" w:rsidRPr="00536CFD" w14:paraId="235630A4" w14:textId="77777777" w:rsidTr="009220DC">
        <w:trPr>
          <w:trHeight w:val="23"/>
          <w:jc w:val="center"/>
        </w:trPr>
        <w:tc>
          <w:tcPr>
            <w:tcW w:w="535" w:type="dxa"/>
            <w:vMerge/>
            <w:shd w:val="clear" w:color="auto" w:fill="auto"/>
          </w:tcPr>
          <w:p w14:paraId="150DA6CE" w14:textId="77777777" w:rsidR="00E126D2" w:rsidRPr="00536CFD" w:rsidRDefault="00E126D2" w:rsidP="009220DC">
            <w:pPr>
              <w:spacing w:after="0"/>
              <w:jc w:val="center"/>
              <w:rPr>
                <w:rFonts w:eastAsia="Times New Roman"/>
                <w:color w:val="000000"/>
                <w:shd w:val="pct15" w:color="auto" w:fill="FFFFFF"/>
                <w:lang w:eastAsia="zh-CN"/>
              </w:rPr>
            </w:pPr>
          </w:p>
        </w:tc>
        <w:tc>
          <w:tcPr>
            <w:tcW w:w="1880" w:type="dxa"/>
            <w:gridSpan w:val="2"/>
            <w:shd w:val="clear" w:color="auto" w:fill="auto"/>
            <w:vAlign w:val="center"/>
          </w:tcPr>
          <w:p w14:paraId="47C4DF1D" w14:textId="77777777" w:rsidR="00E126D2" w:rsidRPr="00536CFD" w:rsidRDefault="00E126D2" w:rsidP="009220DC">
            <w:pPr>
              <w:spacing w:after="0"/>
              <w:jc w:val="center"/>
              <w:rPr>
                <w:rFonts w:eastAsia="Times New Roman"/>
                <w:color w:val="000000"/>
                <w:shd w:val="pct15" w:color="auto" w:fill="FFFFFF"/>
                <w:lang w:eastAsia="zh-CN"/>
              </w:rPr>
            </w:pPr>
          </w:p>
        </w:tc>
        <w:tc>
          <w:tcPr>
            <w:tcW w:w="3880" w:type="dxa"/>
            <w:gridSpan w:val="4"/>
            <w:shd w:val="clear" w:color="auto" w:fill="auto"/>
            <w:vAlign w:val="center"/>
          </w:tcPr>
          <w:p w14:paraId="66B030CD" w14:textId="77777777" w:rsidR="00E126D2" w:rsidRPr="00536CFD" w:rsidRDefault="00E126D2" w:rsidP="009220DC">
            <w:pPr>
              <w:spacing w:after="0"/>
              <w:jc w:val="both"/>
            </w:pPr>
            <w:r w:rsidRPr="00536CFD">
              <w:t>Additional comments:</w:t>
            </w:r>
          </w:p>
          <w:p w14:paraId="104D1D70" w14:textId="77777777" w:rsidR="00E126D2" w:rsidRPr="00536CFD" w:rsidRDefault="00E126D2" w:rsidP="009220DC">
            <w:pPr>
              <w:spacing w:after="0"/>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796F19EA" w14:textId="77777777" w:rsidR="00E126D2" w:rsidRPr="00536CFD" w:rsidRDefault="00E126D2" w:rsidP="009220DC">
            <w:pPr>
              <w:spacing w:after="0"/>
              <w:contextualSpacing/>
              <w:rPr>
                <w:lang w:val="en-US" w:bidi="ar"/>
              </w:rPr>
            </w:pPr>
            <w:r w:rsidRPr="00536CFD">
              <w:rPr>
                <w:b/>
                <w:lang w:val="en-US" w:bidi="ar"/>
              </w:rPr>
              <w:t>NRU assumption:</w:t>
            </w:r>
            <w:r w:rsidRPr="00536CFD">
              <w:rPr>
                <w:lang w:val="en-US" w:bidi="ar"/>
              </w:rPr>
              <w:t xml:space="preserve"> 8ms MCOT;  ED=-62dBm; 256 QAM LDPC; 60 kHz SCS NCP; UE processing time capability #1; NR type B for PDSCH, type A for PUSCH</w:t>
            </w:r>
          </w:p>
          <w:p w14:paraId="36422A1B" w14:textId="77777777" w:rsidR="00E126D2" w:rsidRPr="00536CFD" w:rsidRDefault="00E126D2" w:rsidP="009220DC">
            <w:pPr>
              <w:spacing w:after="0"/>
              <w:contextualSpacing/>
              <w:rPr>
                <w:rFonts w:eastAsia="Times New Roman"/>
                <w:color w:val="000000"/>
                <w:lang w:val="en-US" w:eastAsia="zh-CN"/>
              </w:rPr>
            </w:pPr>
            <w:r w:rsidRPr="00536CFD">
              <w:rPr>
                <w:b/>
                <w:lang w:val="en-US" w:bidi="ar"/>
              </w:rPr>
              <w:t>802.11ax assumption:</w:t>
            </w:r>
            <w:r w:rsidRPr="00536CFD">
              <w:rPr>
                <w:lang w:val="en-US" w:bidi="ar"/>
              </w:rPr>
              <w:t xml:space="preserve"> 4ms TXOP; RTS/CTS disabled for WiFi, NAV set based on L-SIG; PD=-62dBm/ED=--62dBm EDCA; 256 QAM BCC; A-MPDU, 1500B MSDU + 14 B header; Immediate ACK,78.125kHz SCS  GI= 0.8us, HE MU PPDU in DL and HE TB PPDU in UL.</w:t>
            </w:r>
          </w:p>
        </w:tc>
      </w:tr>
    </w:tbl>
    <w:p w14:paraId="12F0A7E4" w14:textId="26FD1DAD" w:rsidR="009D4A93" w:rsidRPr="00C64ECB" w:rsidRDefault="009D4A93" w:rsidP="00006578"/>
    <w:p w14:paraId="35659179" w14:textId="77777777" w:rsidR="009D4A93" w:rsidRPr="00C64ECB" w:rsidRDefault="009D4A93" w:rsidP="00E126D2">
      <w:pPr>
        <w:pStyle w:val="TH"/>
        <w:pageBreakBefore/>
      </w:pPr>
      <w:r w:rsidRPr="00C64ECB">
        <w:t>Table B.1.1-11: coexistence results of 11ax and NRU in indoor scenario of scheme 4</w:t>
      </w:r>
    </w:p>
    <w:tbl>
      <w:tblPr>
        <w:tblW w:w="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949"/>
        <w:gridCol w:w="931"/>
        <w:gridCol w:w="970"/>
        <w:gridCol w:w="970"/>
        <w:gridCol w:w="970"/>
        <w:gridCol w:w="970"/>
      </w:tblGrid>
      <w:tr w:rsidR="009D4A93" w:rsidRPr="00536CFD" w14:paraId="51BFD704" w14:textId="77777777" w:rsidTr="009D4A93">
        <w:trPr>
          <w:trHeight w:val="368"/>
          <w:jc w:val="center"/>
        </w:trPr>
        <w:tc>
          <w:tcPr>
            <w:tcW w:w="535" w:type="dxa"/>
            <w:vMerge w:val="restart"/>
            <w:textDirection w:val="btLr"/>
          </w:tcPr>
          <w:p w14:paraId="148A98EA"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val="restart"/>
            <w:shd w:val="clear" w:color="auto" w:fill="auto"/>
            <w:vAlign w:val="center"/>
            <w:hideMark/>
          </w:tcPr>
          <w:p w14:paraId="24190733" w14:textId="77777777" w:rsidR="009D4A93" w:rsidRPr="00536CFD" w:rsidRDefault="009D4A93" w:rsidP="009D4A93">
            <w:pPr>
              <w:spacing w:after="0"/>
              <w:rPr>
                <w:rFonts w:eastAsia="Times New Roman"/>
                <w:color w:val="000000"/>
                <w:lang w:eastAsia="zh-CN"/>
              </w:rPr>
            </w:pPr>
          </w:p>
          <w:p w14:paraId="6F36003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Reported parameters</w:t>
            </w:r>
          </w:p>
        </w:tc>
        <w:tc>
          <w:tcPr>
            <w:tcW w:w="3880" w:type="dxa"/>
            <w:gridSpan w:val="4"/>
            <w:shd w:val="clear" w:color="auto" w:fill="auto"/>
            <w:vAlign w:val="center"/>
            <w:hideMark/>
          </w:tcPr>
          <w:p w14:paraId="05B37C9A" w14:textId="77777777" w:rsidR="009D4A93" w:rsidRPr="00536CFD" w:rsidRDefault="009D4A93" w:rsidP="009D4A93">
            <w:pPr>
              <w:spacing w:after="0"/>
              <w:jc w:val="center"/>
              <w:rPr>
                <w:rFonts w:eastAsia="Times New Roman"/>
                <w:color w:val="000000"/>
                <w:u w:val="single"/>
                <w:lang w:eastAsia="zh-CN"/>
              </w:rPr>
            </w:pPr>
            <w:r w:rsidRPr="00536CFD">
              <w:rPr>
                <w:color w:val="000000"/>
                <w:u w:val="single"/>
              </w:rPr>
              <w:t>11ax PD=-82dbm, ED=-62dbm</w:t>
            </w:r>
            <w:r w:rsidRPr="00536CFD">
              <w:rPr>
                <w:color w:val="000000"/>
                <w:u w:val="single"/>
              </w:rPr>
              <w:br/>
              <w:t>NRU PD=-82dbm, ED=-62dbm</w:t>
            </w:r>
          </w:p>
        </w:tc>
      </w:tr>
      <w:tr w:rsidR="009D4A93" w:rsidRPr="00536CFD" w14:paraId="55DB4593" w14:textId="77777777" w:rsidTr="009D4A93">
        <w:trPr>
          <w:trHeight w:val="23"/>
          <w:jc w:val="center"/>
        </w:trPr>
        <w:tc>
          <w:tcPr>
            <w:tcW w:w="535" w:type="dxa"/>
            <w:vMerge/>
            <w:textDirection w:val="btLr"/>
          </w:tcPr>
          <w:p w14:paraId="47A8A1B3"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textDirection w:val="btLr"/>
            <w:hideMark/>
          </w:tcPr>
          <w:p w14:paraId="2B50236D" w14:textId="77777777" w:rsidR="009D4A93" w:rsidRPr="00536CFD" w:rsidRDefault="009D4A93" w:rsidP="009D4A93">
            <w:pPr>
              <w:spacing w:after="0"/>
              <w:ind w:left="113" w:right="113"/>
              <w:rPr>
                <w:rFonts w:eastAsia="Times New Roman"/>
                <w:color w:val="000000"/>
                <w:lang w:eastAsia="zh-CN"/>
              </w:rPr>
            </w:pPr>
          </w:p>
        </w:tc>
        <w:tc>
          <w:tcPr>
            <w:tcW w:w="970" w:type="dxa"/>
            <w:shd w:val="clear" w:color="auto" w:fill="auto"/>
            <w:vAlign w:val="center"/>
            <w:hideMark/>
          </w:tcPr>
          <w:p w14:paraId="3C6BC67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0DA8BF9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1DCA8B8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c>
          <w:tcPr>
            <w:tcW w:w="970" w:type="dxa"/>
            <w:shd w:val="clear" w:color="auto" w:fill="auto"/>
            <w:vAlign w:val="center"/>
            <w:hideMark/>
          </w:tcPr>
          <w:p w14:paraId="7E56753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r>
      <w:tr w:rsidR="009D4A93" w:rsidRPr="00536CFD" w14:paraId="73152611" w14:textId="77777777" w:rsidTr="009D4A93">
        <w:trPr>
          <w:trHeight w:val="23"/>
          <w:jc w:val="center"/>
        </w:trPr>
        <w:tc>
          <w:tcPr>
            <w:tcW w:w="535" w:type="dxa"/>
            <w:vMerge/>
            <w:textDirection w:val="btLr"/>
          </w:tcPr>
          <w:p w14:paraId="5808F1A4"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textDirection w:val="btLr"/>
            <w:hideMark/>
          </w:tcPr>
          <w:p w14:paraId="6A2B073A" w14:textId="77777777" w:rsidR="009D4A93" w:rsidRPr="00536CFD" w:rsidRDefault="009D4A93" w:rsidP="009D4A93">
            <w:pPr>
              <w:spacing w:after="0"/>
              <w:ind w:left="113" w:right="113"/>
              <w:rPr>
                <w:rFonts w:eastAsia="Times New Roman"/>
                <w:color w:val="000000"/>
                <w:lang w:eastAsia="zh-CN"/>
              </w:rPr>
            </w:pPr>
          </w:p>
        </w:tc>
        <w:tc>
          <w:tcPr>
            <w:tcW w:w="970" w:type="dxa"/>
            <w:shd w:val="clear" w:color="auto" w:fill="auto"/>
            <w:vAlign w:val="center"/>
            <w:hideMark/>
          </w:tcPr>
          <w:p w14:paraId="0FC1366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0251E53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1AD24A5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107BA92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5779B705" w14:textId="77777777" w:rsidTr="009D4A93">
        <w:trPr>
          <w:trHeight w:val="23"/>
          <w:jc w:val="center"/>
        </w:trPr>
        <w:tc>
          <w:tcPr>
            <w:tcW w:w="535" w:type="dxa"/>
            <w:vMerge/>
            <w:textDirection w:val="btLr"/>
          </w:tcPr>
          <w:p w14:paraId="0D623F68"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hideMark/>
          </w:tcPr>
          <w:p w14:paraId="0D273B8C" w14:textId="77777777" w:rsidR="009D4A93" w:rsidRPr="00536CFD" w:rsidRDefault="009D4A93" w:rsidP="009D4A93">
            <w:pPr>
              <w:spacing w:after="0"/>
              <w:rPr>
                <w:rFonts w:eastAsia="Times New Roman"/>
                <w:color w:val="000000"/>
                <w:lang w:eastAsia="zh-CN"/>
              </w:rPr>
            </w:pPr>
          </w:p>
        </w:tc>
        <w:tc>
          <w:tcPr>
            <w:tcW w:w="970" w:type="dxa"/>
            <w:shd w:val="clear" w:color="auto" w:fill="auto"/>
            <w:vAlign w:val="center"/>
            <w:hideMark/>
          </w:tcPr>
          <w:p w14:paraId="3524174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449D686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65BA924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41899DD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14A6AFC8" w14:textId="77777777" w:rsidTr="009D4A93">
        <w:trPr>
          <w:trHeight w:val="23"/>
          <w:jc w:val="center"/>
        </w:trPr>
        <w:tc>
          <w:tcPr>
            <w:tcW w:w="535" w:type="dxa"/>
            <w:vMerge w:val="restart"/>
            <w:textDirection w:val="btLr"/>
          </w:tcPr>
          <w:p w14:paraId="736F1A33" w14:textId="77777777" w:rsidR="009D4A93" w:rsidRPr="00536CFD" w:rsidRDefault="009D4A93" w:rsidP="009D4A93">
            <w:pPr>
              <w:spacing w:after="0"/>
              <w:ind w:left="113" w:right="113"/>
              <w:jc w:val="center"/>
              <w:rPr>
                <w:rFonts w:eastAsia="Times New Roman"/>
                <w:b/>
                <w:bCs/>
                <w:color w:val="000000"/>
                <w:lang w:eastAsia="zh-CN"/>
              </w:rPr>
            </w:pPr>
            <w:r w:rsidRPr="00536CFD">
              <w:rPr>
                <w:rFonts w:eastAsia="Times New Roman"/>
                <w:b/>
                <w:bCs/>
                <w:color w:val="000000"/>
                <w:lang w:eastAsia="zh-CN"/>
              </w:rPr>
              <w:t>R-1814085(Source 4)</w:t>
            </w:r>
          </w:p>
        </w:tc>
        <w:tc>
          <w:tcPr>
            <w:tcW w:w="949" w:type="dxa"/>
            <w:vMerge w:val="restart"/>
            <w:shd w:val="clear" w:color="auto" w:fill="auto"/>
            <w:vAlign w:val="center"/>
            <w:hideMark/>
          </w:tcPr>
          <w:p w14:paraId="084CF923"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 xml:space="preserve">DL: </w:t>
            </w:r>
          </w:p>
          <w:p w14:paraId="0BFE68B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3A0311E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22D2052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6E1CCB9C" w14:textId="77777777" w:rsidR="009D4A93" w:rsidRPr="00536CFD" w:rsidRDefault="009D4A93" w:rsidP="009D4A93">
            <w:pPr>
              <w:spacing w:after="0"/>
              <w:jc w:val="center"/>
              <w:rPr>
                <w:rFonts w:eastAsia="Times New Roman"/>
                <w:color w:val="000000"/>
                <w:lang w:eastAsia="zh-CN"/>
              </w:rPr>
            </w:pPr>
            <w:r w:rsidRPr="00536CFD">
              <w:rPr>
                <w:color w:val="000000"/>
              </w:rPr>
              <w:t>14.9</w:t>
            </w:r>
          </w:p>
        </w:tc>
        <w:tc>
          <w:tcPr>
            <w:tcW w:w="970" w:type="dxa"/>
            <w:shd w:val="clear" w:color="auto" w:fill="auto"/>
            <w:vAlign w:val="center"/>
            <w:hideMark/>
          </w:tcPr>
          <w:p w14:paraId="61BC1814" w14:textId="77777777" w:rsidR="009D4A93" w:rsidRPr="00536CFD" w:rsidRDefault="009D4A93" w:rsidP="009D4A93">
            <w:pPr>
              <w:spacing w:after="0"/>
              <w:jc w:val="center"/>
              <w:rPr>
                <w:rFonts w:eastAsia="Times New Roman"/>
                <w:color w:val="000000"/>
                <w:lang w:eastAsia="zh-CN"/>
              </w:rPr>
            </w:pPr>
            <w:r w:rsidRPr="00536CFD">
              <w:rPr>
                <w:color w:val="000000"/>
              </w:rPr>
              <w:t>17.69</w:t>
            </w:r>
          </w:p>
        </w:tc>
        <w:tc>
          <w:tcPr>
            <w:tcW w:w="970" w:type="dxa"/>
            <w:shd w:val="clear" w:color="auto" w:fill="auto"/>
            <w:vAlign w:val="center"/>
            <w:hideMark/>
          </w:tcPr>
          <w:p w14:paraId="07F4B393" w14:textId="77777777" w:rsidR="009D4A93" w:rsidRPr="00536CFD" w:rsidRDefault="009D4A93" w:rsidP="009D4A93">
            <w:pPr>
              <w:spacing w:after="0"/>
              <w:jc w:val="center"/>
              <w:rPr>
                <w:rFonts w:eastAsia="Times New Roman"/>
                <w:color w:val="000000"/>
                <w:lang w:eastAsia="zh-CN"/>
              </w:rPr>
            </w:pPr>
            <w:r w:rsidRPr="00536CFD">
              <w:rPr>
                <w:color w:val="000000"/>
              </w:rPr>
              <w:t>30.39</w:t>
            </w:r>
          </w:p>
        </w:tc>
        <w:tc>
          <w:tcPr>
            <w:tcW w:w="970" w:type="dxa"/>
            <w:shd w:val="clear" w:color="auto" w:fill="auto"/>
            <w:vAlign w:val="center"/>
            <w:hideMark/>
          </w:tcPr>
          <w:p w14:paraId="5199CEFD" w14:textId="77777777" w:rsidR="009D4A93" w:rsidRPr="00536CFD" w:rsidRDefault="009D4A93" w:rsidP="009D4A93">
            <w:pPr>
              <w:spacing w:after="0"/>
              <w:jc w:val="center"/>
              <w:rPr>
                <w:rFonts w:eastAsia="Times New Roman"/>
                <w:color w:val="000000"/>
                <w:lang w:eastAsia="zh-CN"/>
              </w:rPr>
            </w:pPr>
            <w:r w:rsidRPr="00536CFD">
              <w:rPr>
                <w:color w:val="000000"/>
              </w:rPr>
              <w:t>23.7</w:t>
            </w:r>
          </w:p>
        </w:tc>
      </w:tr>
      <w:tr w:rsidR="009D4A93" w:rsidRPr="00536CFD" w14:paraId="2AFB5EBD" w14:textId="77777777" w:rsidTr="009D4A93">
        <w:trPr>
          <w:trHeight w:val="23"/>
          <w:jc w:val="center"/>
        </w:trPr>
        <w:tc>
          <w:tcPr>
            <w:tcW w:w="535" w:type="dxa"/>
            <w:vMerge/>
          </w:tcPr>
          <w:p w14:paraId="59B24666"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2743A07B"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687057F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38EB6AEF" w14:textId="77777777" w:rsidR="009D4A93" w:rsidRPr="00536CFD" w:rsidRDefault="009D4A93" w:rsidP="009D4A93">
            <w:pPr>
              <w:spacing w:after="0"/>
              <w:jc w:val="center"/>
              <w:rPr>
                <w:rFonts w:eastAsia="Times New Roman"/>
                <w:color w:val="000000"/>
                <w:lang w:eastAsia="zh-CN"/>
              </w:rPr>
            </w:pPr>
            <w:r w:rsidRPr="00536CFD">
              <w:rPr>
                <w:color w:val="000000"/>
              </w:rPr>
              <w:t>57.96</w:t>
            </w:r>
          </w:p>
        </w:tc>
        <w:tc>
          <w:tcPr>
            <w:tcW w:w="970" w:type="dxa"/>
            <w:shd w:val="clear" w:color="auto" w:fill="auto"/>
            <w:vAlign w:val="center"/>
            <w:hideMark/>
          </w:tcPr>
          <w:p w14:paraId="3A722240" w14:textId="77777777" w:rsidR="009D4A93" w:rsidRPr="00536CFD" w:rsidRDefault="009D4A93" w:rsidP="009D4A93">
            <w:pPr>
              <w:spacing w:after="0"/>
              <w:jc w:val="center"/>
              <w:rPr>
                <w:rFonts w:eastAsia="Times New Roman"/>
                <w:color w:val="000000"/>
                <w:lang w:eastAsia="zh-CN"/>
              </w:rPr>
            </w:pPr>
            <w:r w:rsidRPr="00536CFD">
              <w:rPr>
                <w:color w:val="000000"/>
              </w:rPr>
              <w:t>68.55</w:t>
            </w:r>
          </w:p>
        </w:tc>
        <w:tc>
          <w:tcPr>
            <w:tcW w:w="970" w:type="dxa"/>
            <w:shd w:val="clear" w:color="auto" w:fill="auto"/>
            <w:vAlign w:val="center"/>
            <w:hideMark/>
          </w:tcPr>
          <w:p w14:paraId="4798B968" w14:textId="77777777" w:rsidR="009D4A93" w:rsidRPr="00536CFD" w:rsidRDefault="009D4A93" w:rsidP="009D4A93">
            <w:pPr>
              <w:spacing w:after="0"/>
              <w:jc w:val="center"/>
              <w:rPr>
                <w:rFonts w:eastAsia="Times New Roman"/>
                <w:color w:val="000000"/>
                <w:lang w:eastAsia="zh-CN"/>
              </w:rPr>
            </w:pPr>
            <w:r w:rsidRPr="00536CFD">
              <w:rPr>
                <w:color w:val="000000"/>
              </w:rPr>
              <w:t>78.15</w:t>
            </w:r>
          </w:p>
        </w:tc>
        <w:tc>
          <w:tcPr>
            <w:tcW w:w="970" w:type="dxa"/>
            <w:shd w:val="clear" w:color="auto" w:fill="auto"/>
            <w:vAlign w:val="center"/>
            <w:hideMark/>
          </w:tcPr>
          <w:p w14:paraId="490DA18C" w14:textId="77777777" w:rsidR="009D4A93" w:rsidRPr="00536CFD" w:rsidRDefault="009D4A93" w:rsidP="009D4A93">
            <w:pPr>
              <w:spacing w:after="0"/>
              <w:jc w:val="center"/>
              <w:rPr>
                <w:rFonts w:eastAsia="Times New Roman"/>
                <w:color w:val="000000"/>
                <w:lang w:eastAsia="zh-CN"/>
              </w:rPr>
            </w:pPr>
            <w:r w:rsidRPr="00536CFD">
              <w:rPr>
                <w:color w:val="000000"/>
              </w:rPr>
              <w:t>70.72</w:t>
            </w:r>
          </w:p>
        </w:tc>
      </w:tr>
      <w:tr w:rsidR="009D4A93" w:rsidRPr="00536CFD" w14:paraId="29B3AF06" w14:textId="77777777" w:rsidTr="009D4A93">
        <w:trPr>
          <w:trHeight w:val="23"/>
          <w:jc w:val="center"/>
        </w:trPr>
        <w:tc>
          <w:tcPr>
            <w:tcW w:w="535" w:type="dxa"/>
            <w:vMerge/>
          </w:tcPr>
          <w:p w14:paraId="086E3B33"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07E1D265"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D512F6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2E93690B" w14:textId="77777777" w:rsidR="009D4A93" w:rsidRPr="00536CFD" w:rsidRDefault="009D4A93" w:rsidP="009D4A93">
            <w:pPr>
              <w:spacing w:after="0"/>
              <w:jc w:val="center"/>
              <w:rPr>
                <w:rFonts w:eastAsia="Times New Roman"/>
                <w:color w:val="000000"/>
                <w:lang w:eastAsia="zh-CN"/>
              </w:rPr>
            </w:pPr>
            <w:r w:rsidRPr="00536CFD">
              <w:rPr>
                <w:color w:val="000000"/>
              </w:rPr>
              <w:t>101.19</w:t>
            </w:r>
          </w:p>
        </w:tc>
        <w:tc>
          <w:tcPr>
            <w:tcW w:w="970" w:type="dxa"/>
            <w:shd w:val="clear" w:color="auto" w:fill="auto"/>
            <w:vAlign w:val="center"/>
            <w:hideMark/>
          </w:tcPr>
          <w:p w14:paraId="68318583" w14:textId="77777777" w:rsidR="009D4A93" w:rsidRPr="00536CFD" w:rsidRDefault="009D4A93" w:rsidP="009D4A93">
            <w:pPr>
              <w:spacing w:after="0"/>
              <w:jc w:val="center"/>
              <w:rPr>
                <w:rFonts w:eastAsia="Times New Roman"/>
                <w:color w:val="000000"/>
                <w:lang w:eastAsia="zh-CN"/>
              </w:rPr>
            </w:pPr>
            <w:r w:rsidRPr="00536CFD">
              <w:rPr>
                <w:color w:val="000000"/>
              </w:rPr>
              <w:t>101.79</w:t>
            </w:r>
          </w:p>
        </w:tc>
        <w:tc>
          <w:tcPr>
            <w:tcW w:w="970" w:type="dxa"/>
            <w:shd w:val="clear" w:color="auto" w:fill="auto"/>
            <w:vAlign w:val="center"/>
            <w:hideMark/>
          </w:tcPr>
          <w:p w14:paraId="4EDBED79" w14:textId="77777777" w:rsidR="009D4A93" w:rsidRPr="00536CFD" w:rsidRDefault="009D4A93" w:rsidP="009D4A93">
            <w:pPr>
              <w:spacing w:after="0"/>
              <w:jc w:val="center"/>
              <w:rPr>
                <w:rFonts w:eastAsia="Times New Roman"/>
                <w:color w:val="000000"/>
                <w:lang w:eastAsia="zh-CN"/>
              </w:rPr>
            </w:pPr>
            <w:r w:rsidRPr="00536CFD">
              <w:rPr>
                <w:color w:val="000000"/>
              </w:rPr>
              <w:t>96.79</w:t>
            </w:r>
          </w:p>
        </w:tc>
        <w:tc>
          <w:tcPr>
            <w:tcW w:w="970" w:type="dxa"/>
            <w:shd w:val="clear" w:color="auto" w:fill="auto"/>
            <w:vAlign w:val="center"/>
            <w:hideMark/>
          </w:tcPr>
          <w:p w14:paraId="66321099" w14:textId="77777777" w:rsidR="009D4A93" w:rsidRPr="00536CFD" w:rsidRDefault="009D4A93" w:rsidP="009D4A93">
            <w:pPr>
              <w:spacing w:after="0"/>
              <w:jc w:val="center"/>
              <w:rPr>
                <w:rFonts w:eastAsia="Times New Roman"/>
                <w:color w:val="000000"/>
                <w:lang w:eastAsia="zh-CN"/>
              </w:rPr>
            </w:pPr>
            <w:r w:rsidRPr="00536CFD">
              <w:rPr>
                <w:color w:val="000000"/>
              </w:rPr>
              <w:t>99.12</w:t>
            </w:r>
          </w:p>
        </w:tc>
      </w:tr>
      <w:tr w:rsidR="009D4A93" w:rsidRPr="00536CFD" w14:paraId="693BB907" w14:textId="77777777" w:rsidTr="00E126D2">
        <w:trPr>
          <w:trHeight w:val="23"/>
          <w:jc w:val="center"/>
        </w:trPr>
        <w:tc>
          <w:tcPr>
            <w:tcW w:w="535" w:type="dxa"/>
            <w:vMerge/>
          </w:tcPr>
          <w:p w14:paraId="6D4E532B"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70D9783A"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61E6409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5948632D" w14:textId="77777777" w:rsidR="009D4A93" w:rsidRPr="00536CFD" w:rsidRDefault="009D4A93" w:rsidP="009D4A93">
            <w:pPr>
              <w:spacing w:after="0"/>
              <w:jc w:val="center"/>
              <w:rPr>
                <w:color w:val="000000"/>
              </w:rPr>
            </w:pPr>
            <w:r w:rsidRPr="00536CFD">
              <w:rPr>
                <w:color w:val="000000"/>
              </w:rPr>
              <w:t>59.46</w:t>
            </w:r>
          </w:p>
        </w:tc>
        <w:tc>
          <w:tcPr>
            <w:tcW w:w="970" w:type="dxa"/>
            <w:shd w:val="clear" w:color="auto" w:fill="auto"/>
            <w:vAlign w:val="center"/>
            <w:hideMark/>
          </w:tcPr>
          <w:p w14:paraId="4911A763" w14:textId="77777777" w:rsidR="009D4A93" w:rsidRPr="00536CFD" w:rsidRDefault="009D4A93" w:rsidP="009D4A93">
            <w:pPr>
              <w:spacing w:after="0"/>
              <w:jc w:val="center"/>
              <w:rPr>
                <w:color w:val="000000"/>
              </w:rPr>
            </w:pPr>
            <w:r w:rsidRPr="00536CFD">
              <w:rPr>
                <w:color w:val="000000"/>
              </w:rPr>
              <w:t>66.85</w:t>
            </w:r>
          </w:p>
        </w:tc>
        <w:tc>
          <w:tcPr>
            <w:tcW w:w="970" w:type="dxa"/>
            <w:shd w:val="clear" w:color="auto" w:fill="auto"/>
            <w:vAlign w:val="center"/>
            <w:hideMark/>
          </w:tcPr>
          <w:p w14:paraId="454F6C56" w14:textId="77777777" w:rsidR="009D4A93" w:rsidRPr="00536CFD" w:rsidRDefault="009D4A93" w:rsidP="009D4A93">
            <w:pPr>
              <w:spacing w:after="0"/>
              <w:jc w:val="center"/>
              <w:rPr>
                <w:color w:val="000000"/>
              </w:rPr>
            </w:pPr>
            <w:r w:rsidRPr="00536CFD">
              <w:rPr>
                <w:color w:val="000000"/>
              </w:rPr>
              <w:t>72.52</w:t>
            </w:r>
          </w:p>
        </w:tc>
        <w:tc>
          <w:tcPr>
            <w:tcW w:w="970" w:type="dxa"/>
            <w:shd w:val="clear" w:color="auto" w:fill="auto"/>
            <w:vAlign w:val="center"/>
            <w:hideMark/>
          </w:tcPr>
          <w:p w14:paraId="12FC0440" w14:textId="77777777" w:rsidR="009D4A93" w:rsidRPr="00536CFD" w:rsidRDefault="009D4A93" w:rsidP="009D4A93">
            <w:pPr>
              <w:spacing w:after="0"/>
              <w:jc w:val="center"/>
              <w:rPr>
                <w:color w:val="000000"/>
              </w:rPr>
            </w:pPr>
            <w:r w:rsidRPr="00536CFD">
              <w:rPr>
                <w:color w:val="000000"/>
              </w:rPr>
              <w:t>68.40</w:t>
            </w:r>
          </w:p>
        </w:tc>
      </w:tr>
      <w:tr w:rsidR="009D4A93" w:rsidRPr="00536CFD" w14:paraId="5D116B33" w14:textId="77777777" w:rsidTr="009D4A93">
        <w:trPr>
          <w:trHeight w:val="23"/>
          <w:jc w:val="center"/>
        </w:trPr>
        <w:tc>
          <w:tcPr>
            <w:tcW w:w="535" w:type="dxa"/>
            <w:vMerge/>
          </w:tcPr>
          <w:p w14:paraId="33364112" w14:textId="77777777" w:rsidR="009D4A93" w:rsidRPr="00536CFD" w:rsidRDefault="009D4A93" w:rsidP="009D4A93">
            <w:pPr>
              <w:spacing w:after="0"/>
              <w:jc w:val="center"/>
              <w:rPr>
                <w:rFonts w:eastAsia="Times New Roman"/>
                <w:b/>
                <w:bCs/>
                <w:color w:val="000000"/>
                <w:lang w:eastAsia="zh-CN"/>
              </w:rPr>
            </w:pPr>
          </w:p>
        </w:tc>
        <w:tc>
          <w:tcPr>
            <w:tcW w:w="949" w:type="dxa"/>
            <w:shd w:val="clear" w:color="auto" w:fill="auto"/>
            <w:vAlign w:val="center"/>
            <w:hideMark/>
          </w:tcPr>
          <w:p w14:paraId="436B2F39"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DL:</w:t>
            </w:r>
          </w:p>
        </w:tc>
        <w:tc>
          <w:tcPr>
            <w:tcW w:w="931" w:type="dxa"/>
            <w:shd w:val="clear" w:color="auto" w:fill="auto"/>
            <w:vAlign w:val="center"/>
            <w:hideMark/>
          </w:tcPr>
          <w:p w14:paraId="01FF75D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4057EA82"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07CC4251"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4218D3AD"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4D7D5ACE" w14:textId="77777777" w:rsidR="009D4A93" w:rsidRPr="00536CFD" w:rsidRDefault="009D4A93" w:rsidP="009D4A93">
            <w:pPr>
              <w:spacing w:after="0"/>
              <w:jc w:val="center"/>
              <w:rPr>
                <w:rFonts w:eastAsia="Times New Roman"/>
                <w:color w:val="000000"/>
                <w:lang w:eastAsia="zh-CN"/>
              </w:rPr>
            </w:pPr>
            <w:r w:rsidRPr="00536CFD">
              <w:rPr>
                <w:color w:val="000000"/>
              </w:rPr>
              <w:t>0.04</w:t>
            </w:r>
          </w:p>
        </w:tc>
      </w:tr>
      <w:tr w:rsidR="009D4A93" w:rsidRPr="00536CFD" w14:paraId="5AD9E8A9" w14:textId="77777777" w:rsidTr="009D4A93">
        <w:trPr>
          <w:trHeight w:val="23"/>
          <w:jc w:val="center"/>
        </w:trPr>
        <w:tc>
          <w:tcPr>
            <w:tcW w:w="535" w:type="dxa"/>
            <w:vMerge/>
          </w:tcPr>
          <w:p w14:paraId="004A5F9E" w14:textId="77777777" w:rsidR="009D4A93" w:rsidRPr="00536CFD" w:rsidRDefault="009D4A93" w:rsidP="009D4A93">
            <w:pPr>
              <w:spacing w:after="0"/>
              <w:jc w:val="center"/>
              <w:rPr>
                <w:rFonts w:eastAsia="Times New Roman"/>
                <w:color w:val="000000"/>
                <w:lang w:eastAsia="zh-CN"/>
              </w:rPr>
            </w:pPr>
          </w:p>
        </w:tc>
        <w:tc>
          <w:tcPr>
            <w:tcW w:w="949" w:type="dxa"/>
            <w:vMerge w:val="restart"/>
            <w:shd w:val="clear" w:color="auto" w:fill="auto"/>
            <w:vAlign w:val="center"/>
            <w:hideMark/>
          </w:tcPr>
          <w:p w14:paraId="4042ECF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6288AA6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2FFDF2E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3C5C7EAE"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4374AF3B"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6E7331FD"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970" w:type="dxa"/>
            <w:shd w:val="clear" w:color="auto" w:fill="auto"/>
            <w:vAlign w:val="center"/>
            <w:hideMark/>
          </w:tcPr>
          <w:p w14:paraId="5451A2A8" w14:textId="77777777" w:rsidR="009D4A93" w:rsidRPr="00536CFD" w:rsidRDefault="009D4A93" w:rsidP="009D4A93">
            <w:pPr>
              <w:spacing w:after="0"/>
              <w:jc w:val="center"/>
              <w:rPr>
                <w:rFonts w:eastAsia="Times New Roman"/>
                <w:color w:val="000000"/>
                <w:lang w:eastAsia="zh-CN"/>
              </w:rPr>
            </w:pPr>
            <w:r w:rsidRPr="00536CFD">
              <w:rPr>
                <w:color w:val="000000"/>
              </w:rPr>
              <w:t>0.06</w:t>
            </w:r>
          </w:p>
        </w:tc>
      </w:tr>
      <w:tr w:rsidR="009D4A93" w:rsidRPr="00536CFD" w14:paraId="4D651E1F" w14:textId="77777777" w:rsidTr="009D4A93">
        <w:trPr>
          <w:trHeight w:val="23"/>
          <w:jc w:val="center"/>
        </w:trPr>
        <w:tc>
          <w:tcPr>
            <w:tcW w:w="535" w:type="dxa"/>
            <w:vMerge/>
          </w:tcPr>
          <w:p w14:paraId="74BF8F3B"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73E6C397"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6EA6D1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1A68FC15" w14:textId="77777777" w:rsidR="009D4A93" w:rsidRPr="00536CFD" w:rsidRDefault="009D4A93" w:rsidP="009D4A93">
            <w:pPr>
              <w:spacing w:after="0"/>
              <w:jc w:val="center"/>
              <w:rPr>
                <w:rFonts w:eastAsia="Times New Roman"/>
                <w:color w:val="000000"/>
                <w:lang w:eastAsia="zh-CN"/>
              </w:rPr>
            </w:pPr>
            <w:r w:rsidRPr="00536CFD">
              <w:rPr>
                <w:color w:val="000000"/>
              </w:rPr>
              <w:t>0.27</w:t>
            </w:r>
          </w:p>
        </w:tc>
        <w:tc>
          <w:tcPr>
            <w:tcW w:w="970" w:type="dxa"/>
            <w:shd w:val="clear" w:color="auto" w:fill="auto"/>
            <w:vAlign w:val="center"/>
            <w:hideMark/>
          </w:tcPr>
          <w:p w14:paraId="489B5F8F" w14:textId="77777777" w:rsidR="009D4A93" w:rsidRPr="00536CFD" w:rsidRDefault="009D4A93" w:rsidP="009D4A93">
            <w:pPr>
              <w:spacing w:after="0"/>
              <w:jc w:val="center"/>
              <w:rPr>
                <w:rFonts w:eastAsia="Times New Roman"/>
                <w:color w:val="000000"/>
                <w:lang w:eastAsia="zh-CN"/>
              </w:rPr>
            </w:pPr>
            <w:r w:rsidRPr="00536CFD">
              <w:rPr>
                <w:color w:val="000000"/>
              </w:rPr>
              <w:t>0.22</w:t>
            </w:r>
          </w:p>
        </w:tc>
        <w:tc>
          <w:tcPr>
            <w:tcW w:w="970" w:type="dxa"/>
            <w:shd w:val="clear" w:color="auto" w:fill="auto"/>
            <w:vAlign w:val="center"/>
            <w:hideMark/>
          </w:tcPr>
          <w:p w14:paraId="0BADD80E" w14:textId="77777777" w:rsidR="009D4A93" w:rsidRPr="00536CFD" w:rsidRDefault="009D4A93" w:rsidP="009D4A93">
            <w:pPr>
              <w:spacing w:after="0"/>
              <w:jc w:val="center"/>
              <w:rPr>
                <w:rFonts w:eastAsia="Times New Roman"/>
                <w:color w:val="000000"/>
                <w:lang w:eastAsia="zh-CN"/>
              </w:rPr>
            </w:pPr>
            <w:r w:rsidRPr="00536CFD">
              <w:rPr>
                <w:color w:val="000000"/>
              </w:rPr>
              <w:t>0.13</w:t>
            </w:r>
          </w:p>
        </w:tc>
        <w:tc>
          <w:tcPr>
            <w:tcW w:w="970" w:type="dxa"/>
            <w:shd w:val="clear" w:color="auto" w:fill="auto"/>
            <w:vAlign w:val="center"/>
            <w:hideMark/>
          </w:tcPr>
          <w:p w14:paraId="2746422A" w14:textId="77777777" w:rsidR="009D4A93" w:rsidRPr="00536CFD" w:rsidRDefault="009D4A93" w:rsidP="009D4A93">
            <w:pPr>
              <w:spacing w:after="0"/>
              <w:jc w:val="center"/>
              <w:rPr>
                <w:rFonts w:eastAsia="Times New Roman"/>
                <w:color w:val="000000"/>
                <w:lang w:eastAsia="zh-CN"/>
              </w:rPr>
            </w:pPr>
            <w:r w:rsidRPr="00536CFD">
              <w:rPr>
                <w:color w:val="000000"/>
              </w:rPr>
              <w:t>0.17</w:t>
            </w:r>
          </w:p>
        </w:tc>
      </w:tr>
      <w:tr w:rsidR="009D4A93" w:rsidRPr="00536CFD" w14:paraId="7BB8CA11" w14:textId="77777777" w:rsidTr="009D4A93">
        <w:trPr>
          <w:trHeight w:val="23"/>
          <w:jc w:val="center"/>
        </w:trPr>
        <w:tc>
          <w:tcPr>
            <w:tcW w:w="535" w:type="dxa"/>
            <w:vMerge/>
          </w:tcPr>
          <w:p w14:paraId="3B417570"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59430BEC"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C2D4C7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70DAD14F" w14:textId="77777777" w:rsidR="009D4A93" w:rsidRPr="00536CFD" w:rsidRDefault="009D4A93" w:rsidP="009D4A93">
            <w:pPr>
              <w:spacing w:after="0"/>
              <w:jc w:val="center"/>
              <w:rPr>
                <w:rFonts w:eastAsia="Times New Roman"/>
                <w:color w:val="000000"/>
                <w:lang w:eastAsia="zh-CN"/>
              </w:rPr>
            </w:pPr>
            <w:r w:rsidRPr="00536CFD">
              <w:rPr>
                <w:color w:val="000000"/>
              </w:rPr>
              <w:t>0.1</w:t>
            </w:r>
          </w:p>
        </w:tc>
        <w:tc>
          <w:tcPr>
            <w:tcW w:w="970" w:type="dxa"/>
            <w:shd w:val="clear" w:color="auto" w:fill="auto"/>
            <w:vAlign w:val="center"/>
            <w:hideMark/>
          </w:tcPr>
          <w:p w14:paraId="159CB585"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970" w:type="dxa"/>
            <w:shd w:val="clear" w:color="auto" w:fill="auto"/>
            <w:vAlign w:val="center"/>
            <w:hideMark/>
          </w:tcPr>
          <w:p w14:paraId="37EC5F7F"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02185D1D" w14:textId="77777777" w:rsidR="009D4A93" w:rsidRPr="00536CFD" w:rsidRDefault="009D4A93" w:rsidP="009D4A93">
            <w:pPr>
              <w:spacing w:after="0"/>
              <w:jc w:val="center"/>
              <w:rPr>
                <w:rFonts w:eastAsia="Times New Roman"/>
                <w:color w:val="000000"/>
                <w:lang w:eastAsia="zh-CN"/>
              </w:rPr>
            </w:pPr>
            <w:r w:rsidRPr="00536CFD">
              <w:rPr>
                <w:color w:val="000000"/>
              </w:rPr>
              <w:t>0.07</w:t>
            </w:r>
          </w:p>
        </w:tc>
      </w:tr>
      <w:tr w:rsidR="009D4A93" w:rsidRPr="00536CFD" w14:paraId="7CC46BA2" w14:textId="77777777" w:rsidTr="009D4A93">
        <w:trPr>
          <w:trHeight w:val="23"/>
          <w:jc w:val="center"/>
        </w:trPr>
        <w:tc>
          <w:tcPr>
            <w:tcW w:w="535" w:type="dxa"/>
            <w:vMerge/>
          </w:tcPr>
          <w:p w14:paraId="7B2CF8A4"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074BB646"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7E9C574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4ECDDD7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4AB61CE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4780DC95" w14:textId="77777777" w:rsidR="009D4A93" w:rsidRPr="00536CFD" w:rsidRDefault="009D4A93" w:rsidP="009D4A93">
            <w:pPr>
              <w:spacing w:after="0"/>
              <w:jc w:val="center"/>
              <w:rPr>
                <w:rFonts w:eastAsia="Times New Roman"/>
                <w:color w:val="000000"/>
                <w:lang w:eastAsia="zh-CN"/>
              </w:rPr>
            </w:pPr>
            <w:r w:rsidRPr="00536CFD">
              <w:rPr>
                <w:color w:val="000000"/>
              </w:rPr>
              <w:t>14</w:t>
            </w:r>
          </w:p>
        </w:tc>
        <w:tc>
          <w:tcPr>
            <w:tcW w:w="970" w:type="dxa"/>
            <w:shd w:val="clear" w:color="auto" w:fill="auto"/>
            <w:vAlign w:val="center"/>
            <w:hideMark/>
          </w:tcPr>
          <w:p w14:paraId="359B1F37" w14:textId="77777777" w:rsidR="009D4A93" w:rsidRPr="00536CFD" w:rsidRDefault="009D4A93" w:rsidP="009D4A93">
            <w:pPr>
              <w:spacing w:after="0"/>
              <w:jc w:val="center"/>
              <w:rPr>
                <w:rFonts w:eastAsia="Times New Roman"/>
                <w:color w:val="000000"/>
                <w:lang w:eastAsia="zh-CN"/>
              </w:rPr>
            </w:pPr>
            <w:r w:rsidRPr="00536CFD">
              <w:rPr>
                <w:color w:val="000000"/>
              </w:rPr>
              <w:t>18.79</w:t>
            </w:r>
          </w:p>
        </w:tc>
        <w:tc>
          <w:tcPr>
            <w:tcW w:w="970" w:type="dxa"/>
            <w:shd w:val="clear" w:color="auto" w:fill="auto"/>
            <w:vAlign w:val="center"/>
            <w:hideMark/>
          </w:tcPr>
          <w:p w14:paraId="1B0947B7" w14:textId="77777777" w:rsidR="009D4A93" w:rsidRPr="00536CFD" w:rsidRDefault="009D4A93" w:rsidP="009D4A93">
            <w:pPr>
              <w:spacing w:after="0"/>
              <w:jc w:val="center"/>
              <w:rPr>
                <w:rFonts w:eastAsia="Times New Roman"/>
                <w:color w:val="000000"/>
                <w:lang w:eastAsia="zh-CN"/>
              </w:rPr>
            </w:pPr>
            <w:r w:rsidRPr="00536CFD">
              <w:rPr>
                <w:color w:val="000000"/>
              </w:rPr>
              <w:t>22.73</w:t>
            </w:r>
          </w:p>
        </w:tc>
        <w:tc>
          <w:tcPr>
            <w:tcW w:w="970" w:type="dxa"/>
            <w:shd w:val="clear" w:color="auto" w:fill="auto"/>
            <w:vAlign w:val="center"/>
            <w:hideMark/>
          </w:tcPr>
          <w:p w14:paraId="4E10FCF0" w14:textId="77777777" w:rsidR="009D4A93" w:rsidRPr="00536CFD" w:rsidRDefault="009D4A93" w:rsidP="009D4A93">
            <w:pPr>
              <w:spacing w:after="0"/>
              <w:jc w:val="center"/>
              <w:rPr>
                <w:rFonts w:eastAsia="Times New Roman"/>
                <w:color w:val="000000"/>
                <w:lang w:eastAsia="zh-CN"/>
              </w:rPr>
            </w:pPr>
            <w:r w:rsidRPr="00536CFD">
              <w:rPr>
                <w:color w:val="000000"/>
              </w:rPr>
              <w:t>17.21</w:t>
            </w:r>
          </w:p>
        </w:tc>
      </w:tr>
      <w:tr w:rsidR="009D4A93" w:rsidRPr="00536CFD" w14:paraId="4E4DF88F" w14:textId="77777777" w:rsidTr="009D4A93">
        <w:trPr>
          <w:trHeight w:val="23"/>
          <w:jc w:val="center"/>
        </w:trPr>
        <w:tc>
          <w:tcPr>
            <w:tcW w:w="535" w:type="dxa"/>
            <w:vMerge/>
          </w:tcPr>
          <w:p w14:paraId="16622E00"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4F8B6B20"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32997C2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453C8942" w14:textId="77777777" w:rsidR="009D4A93" w:rsidRPr="00536CFD" w:rsidRDefault="009D4A93" w:rsidP="009D4A93">
            <w:pPr>
              <w:spacing w:after="0"/>
              <w:jc w:val="center"/>
              <w:rPr>
                <w:rFonts w:eastAsia="Times New Roman"/>
                <w:color w:val="000000"/>
                <w:lang w:eastAsia="zh-CN"/>
              </w:rPr>
            </w:pPr>
            <w:r w:rsidRPr="00536CFD">
              <w:rPr>
                <w:color w:val="000000"/>
              </w:rPr>
              <w:t>53.98</w:t>
            </w:r>
          </w:p>
        </w:tc>
        <w:tc>
          <w:tcPr>
            <w:tcW w:w="970" w:type="dxa"/>
            <w:shd w:val="clear" w:color="auto" w:fill="auto"/>
            <w:vAlign w:val="center"/>
            <w:hideMark/>
          </w:tcPr>
          <w:p w14:paraId="3E6A7F72" w14:textId="77777777" w:rsidR="009D4A93" w:rsidRPr="00536CFD" w:rsidRDefault="009D4A93" w:rsidP="009D4A93">
            <w:pPr>
              <w:spacing w:after="0"/>
              <w:jc w:val="center"/>
              <w:rPr>
                <w:rFonts w:eastAsia="Times New Roman"/>
                <w:color w:val="000000"/>
                <w:lang w:eastAsia="zh-CN"/>
              </w:rPr>
            </w:pPr>
            <w:r w:rsidRPr="00536CFD">
              <w:rPr>
                <w:color w:val="000000"/>
              </w:rPr>
              <w:t>65.81</w:t>
            </w:r>
          </w:p>
        </w:tc>
        <w:tc>
          <w:tcPr>
            <w:tcW w:w="970" w:type="dxa"/>
            <w:shd w:val="clear" w:color="auto" w:fill="auto"/>
            <w:vAlign w:val="center"/>
            <w:hideMark/>
          </w:tcPr>
          <w:p w14:paraId="16A8036C" w14:textId="77777777" w:rsidR="009D4A93" w:rsidRPr="00536CFD" w:rsidRDefault="009D4A93" w:rsidP="009D4A93">
            <w:pPr>
              <w:spacing w:after="0"/>
              <w:jc w:val="center"/>
              <w:rPr>
                <w:rFonts w:eastAsia="Times New Roman"/>
                <w:color w:val="000000"/>
                <w:lang w:eastAsia="zh-CN"/>
              </w:rPr>
            </w:pPr>
            <w:r w:rsidRPr="00536CFD">
              <w:rPr>
                <w:color w:val="000000"/>
              </w:rPr>
              <w:t>61.76</w:t>
            </w:r>
          </w:p>
        </w:tc>
        <w:tc>
          <w:tcPr>
            <w:tcW w:w="970" w:type="dxa"/>
            <w:shd w:val="clear" w:color="auto" w:fill="auto"/>
            <w:vAlign w:val="center"/>
            <w:hideMark/>
          </w:tcPr>
          <w:p w14:paraId="4697F2E4" w14:textId="77777777" w:rsidR="009D4A93" w:rsidRPr="00536CFD" w:rsidRDefault="009D4A93" w:rsidP="009D4A93">
            <w:pPr>
              <w:spacing w:after="0"/>
              <w:jc w:val="center"/>
              <w:rPr>
                <w:rFonts w:eastAsia="Times New Roman"/>
                <w:color w:val="000000"/>
                <w:lang w:eastAsia="zh-CN"/>
              </w:rPr>
            </w:pPr>
            <w:r w:rsidRPr="00536CFD">
              <w:rPr>
                <w:color w:val="000000"/>
              </w:rPr>
              <w:t>52.34</w:t>
            </w:r>
          </w:p>
        </w:tc>
      </w:tr>
      <w:tr w:rsidR="009D4A93" w:rsidRPr="00536CFD" w14:paraId="2CC7A348" w14:textId="77777777" w:rsidTr="009D4A93">
        <w:trPr>
          <w:trHeight w:val="23"/>
          <w:jc w:val="center"/>
        </w:trPr>
        <w:tc>
          <w:tcPr>
            <w:tcW w:w="535" w:type="dxa"/>
            <w:vMerge/>
          </w:tcPr>
          <w:p w14:paraId="204556B9"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1F1CC9B5"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2E72D7B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06CA0204" w14:textId="77777777" w:rsidR="009D4A93" w:rsidRPr="00536CFD" w:rsidRDefault="009D4A93" w:rsidP="009D4A93">
            <w:pPr>
              <w:spacing w:after="0"/>
              <w:jc w:val="center"/>
              <w:rPr>
                <w:rFonts w:eastAsia="Times New Roman"/>
                <w:color w:val="000000"/>
                <w:lang w:eastAsia="zh-CN"/>
              </w:rPr>
            </w:pPr>
            <w:r w:rsidRPr="00536CFD">
              <w:rPr>
                <w:color w:val="000000"/>
              </w:rPr>
              <w:t>91.19</w:t>
            </w:r>
          </w:p>
        </w:tc>
        <w:tc>
          <w:tcPr>
            <w:tcW w:w="970" w:type="dxa"/>
            <w:shd w:val="clear" w:color="auto" w:fill="auto"/>
            <w:vAlign w:val="center"/>
            <w:hideMark/>
          </w:tcPr>
          <w:p w14:paraId="0EBBFCF7" w14:textId="77777777" w:rsidR="009D4A93" w:rsidRPr="00536CFD" w:rsidRDefault="009D4A93" w:rsidP="009D4A93">
            <w:pPr>
              <w:spacing w:after="0"/>
              <w:jc w:val="center"/>
              <w:rPr>
                <w:rFonts w:eastAsia="Times New Roman"/>
                <w:color w:val="000000"/>
                <w:lang w:eastAsia="zh-CN"/>
              </w:rPr>
            </w:pPr>
            <w:r w:rsidRPr="00536CFD">
              <w:rPr>
                <w:color w:val="000000"/>
              </w:rPr>
              <w:t>91.74</w:t>
            </w:r>
          </w:p>
        </w:tc>
        <w:tc>
          <w:tcPr>
            <w:tcW w:w="970" w:type="dxa"/>
            <w:shd w:val="clear" w:color="auto" w:fill="auto"/>
            <w:vAlign w:val="center"/>
            <w:hideMark/>
          </w:tcPr>
          <w:p w14:paraId="5CE45B55" w14:textId="77777777" w:rsidR="009D4A93" w:rsidRPr="00536CFD" w:rsidRDefault="009D4A93" w:rsidP="009D4A93">
            <w:pPr>
              <w:spacing w:after="0"/>
              <w:jc w:val="center"/>
              <w:rPr>
                <w:rFonts w:eastAsia="Times New Roman"/>
                <w:color w:val="000000"/>
                <w:lang w:eastAsia="zh-CN"/>
              </w:rPr>
            </w:pPr>
            <w:r w:rsidRPr="00536CFD">
              <w:rPr>
                <w:color w:val="000000"/>
              </w:rPr>
              <w:t>76.83</w:t>
            </w:r>
          </w:p>
        </w:tc>
        <w:tc>
          <w:tcPr>
            <w:tcW w:w="970" w:type="dxa"/>
            <w:shd w:val="clear" w:color="auto" w:fill="auto"/>
            <w:vAlign w:val="center"/>
            <w:hideMark/>
          </w:tcPr>
          <w:p w14:paraId="3F90B048" w14:textId="77777777" w:rsidR="009D4A93" w:rsidRPr="00536CFD" w:rsidRDefault="009D4A93" w:rsidP="009D4A93">
            <w:pPr>
              <w:spacing w:after="0"/>
              <w:jc w:val="center"/>
              <w:rPr>
                <w:rFonts w:eastAsia="Times New Roman"/>
                <w:color w:val="000000"/>
                <w:lang w:eastAsia="zh-CN"/>
              </w:rPr>
            </w:pPr>
            <w:r w:rsidRPr="00536CFD">
              <w:rPr>
                <w:color w:val="000000"/>
              </w:rPr>
              <w:t>84.96</w:t>
            </w:r>
          </w:p>
        </w:tc>
      </w:tr>
      <w:tr w:rsidR="009D4A93" w:rsidRPr="00536CFD" w14:paraId="2DFE64D6" w14:textId="77777777" w:rsidTr="00E126D2">
        <w:trPr>
          <w:trHeight w:val="23"/>
          <w:jc w:val="center"/>
        </w:trPr>
        <w:tc>
          <w:tcPr>
            <w:tcW w:w="535" w:type="dxa"/>
            <w:vMerge/>
          </w:tcPr>
          <w:p w14:paraId="01CFD4EE"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1D2864C9"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31AF40F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2B5B7129" w14:textId="77777777" w:rsidR="009D4A93" w:rsidRPr="00536CFD" w:rsidRDefault="009D4A93" w:rsidP="009D4A93">
            <w:pPr>
              <w:spacing w:after="0"/>
              <w:jc w:val="center"/>
              <w:rPr>
                <w:color w:val="000000"/>
              </w:rPr>
            </w:pPr>
            <w:r w:rsidRPr="00536CFD">
              <w:rPr>
                <w:color w:val="000000"/>
              </w:rPr>
              <w:t>55.32</w:t>
            </w:r>
          </w:p>
        </w:tc>
        <w:tc>
          <w:tcPr>
            <w:tcW w:w="970" w:type="dxa"/>
            <w:shd w:val="clear" w:color="auto" w:fill="auto"/>
            <w:vAlign w:val="center"/>
            <w:hideMark/>
          </w:tcPr>
          <w:p w14:paraId="6E11054A" w14:textId="77777777" w:rsidR="009D4A93" w:rsidRPr="00536CFD" w:rsidRDefault="009D4A93" w:rsidP="009D4A93">
            <w:pPr>
              <w:spacing w:after="0"/>
              <w:jc w:val="center"/>
              <w:rPr>
                <w:color w:val="000000"/>
              </w:rPr>
            </w:pPr>
            <w:r w:rsidRPr="00536CFD">
              <w:rPr>
                <w:color w:val="000000"/>
              </w:rPr>
              <w:t>62.56</w:t>
            </w:r>
          </w:p>
        </w:tc>
        <w:tc>
          <w:tcPr>
            <w:tcW w:w="970" w:type="dxa"/>
            <w:shd w:val="clear" w:color="auto" w:fill="auto"/>
            <w:vAlign w:val="center"/>
            <w:hideMark/>
          </w:tcPr>
          <w:p w14:paraId="1E04C818" w14:textId="77777777" w:rsidR="009D4A93" w:rsidRPr="00536CFD" w:rsidRDefault="009D4A93" w:rsidP="009D4A93">
            <w:pPr>
              <w:spacing w:after="0"/>
              <w:jc w:val="center"/>
              <w:rPr>
                <w:color w:val="000000"/>
              </w:rPr>
            </w:pPr>
            <w:r w:rsidRPr="00536CFD">
              <w:rPr>
                <w:color w:val="000000"/>
              </w:rPr>
              <w:t>57.11</w:t>
            </w:r>
          </w:p>
        </w:tc>
        <w:tc>
          <w:tcPr>
            <w:tcW w:w="970" w:type="dxa"/>
            <w:shd w:val="clear" w:color="auto" w:fill="auto"/>
            <w:vAlign w:val="center"/>
            <w:hideMark/>
          </w:tcPr>
          <w:p w14:paraId="387CFCE3" w14:textId="77777777" w:rsidR="009D4A93" w:rsidRPr="00536CFD" w:rsidRDefault="009D4A93" w:rsidP="009D4A93">
            <w:pPr>
              <w:spacing w:after="0"/>
              <w:jc w:val="center"/>
              <w:rPr>
                <w:color w:val="000000"/>
              </w:rPr>
            </w:pPr>
            <w:r w:rsidRPr="00536CFD">
              <w:rPr>
                <w:color w:val="000000"/>
              </w:rPr>
              <w:t>53.95</w:t>
            </w:r>
          </w:p>
        </w:tc>
      </w:tr>
      <w:tr w:rsidR="009D4A93" w:rsidRPr="00536CFD" w14:paraId="6B908D74" w14:textId="77777777" w:rsidTr="009D4A93">
        <w:trPr>
          <w:trHeight w:val="23"/>
          <w:jc w:val="center"/>
        </w:trPr>
        <w:tc>
          <w:tcPr>
            <w:tcW w:w="535" w:type="dxa"/>
            <w:vMerge/>
          </w:tcPr>
          <w:p w14:paraId="136F2D74"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2B2F6819"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54B9605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66B1107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31D0930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29A5FE97"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6024A86B"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795DE83C"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970" w:type="dxa"/>
            <w:shd w:val="clear" w:color="auto" w:fill="auto"/>
            <w:vAlign w:val="center"/>
            <w:hideMark/>
          </w:tcPr>
          <w:p w14:paraId="22A33E0F"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4AC1BE3B" w14:textId="77777777" w:rsidTr="009D4A93">
        <w:trPr>
          <w:trHeight w:val="23"/>
          <w:jc w:val="center"/>
        </w:trPr>
        <w:tc>
          <w:tcPr>
            <w:tcW w:w="535" w:type="dxa"/>
            <w:vMerge/>
          </w:tcPr>
          <w:p w14:paraId="238F8A56"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54BACDFF"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1D7D97C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7634E64A"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667390C7"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7A8611B5"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046250C8" w14:textId="77777777" w:rsidR="009D4A93" w:rsidRPr="00536CFD" w:rsidRDefault="009D4A93" w:rsidP="009D4A93">
            <w:pPr>
              <w:spacing w:after="0"/>
              <w:jc w:val="center"/>
              <w:rPr>
                <w:rFonts w:eastAsia="Times New Roman"/>
                <w:color w:val="000000"/>
                <w:lang w:eastAsia="zh-CN"/>
              </w:rPr>
            </w:pPr>
            <w:r w:rsidRPr="00536CFD">
              <w:rPr>
                <w:color w:val="000000"/>
              </w:rPr>
              <w:t>0.08</w:t>
            </w:r>
          </w:p>
        </w:tc>
      </w:tr>
      <w:tr w:rsidR="009D4A93" w:rsidRPr="00536CFD" w14:paraId="1899E826" w14:textId="77777777" w:rsidTr="009D4A93">
        <w:trPr>
          <w:trHeight w:val="23"/>
          <w:jc w:val="center"/>
        </w:trPr>
        <w:tc>
          <w:tcPr>
            <w:tcW w:w="535" w:type="dxa"/>
            <w:vMerge/>
          </w:tcPr>
          <w:p w14:paraId="05ABB268"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26E7F282"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2B4F3DF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1A0822CA" w14:textId="77777777" w:rsidR="009D4A93" w:rsidRPr="00536CFD" w:rsidRDefault="009D4A93" w:rsidP="009D4A93">
            <w:pPr>
              <w:spacing w:after="0"/>
              <w:jc w:val="center"/>
              <w:rPr>
                <w:rFonts w:eastAsia="Times New Roman"/>
                <w:color w:val="000000"/>
                <w:lang w:eastAsia="zh-CN"/>
              </w:rPr>
            </w:pPr>
            <w:r w:rsidRPr="00536CFD">
              <w:rPr>
                <w:color w:val="000000"/>
              </w:rPr>
              <w:t>0.28</w:t>
            </w:r>
          </w:p>
        </w:tc>
        <w:tc>
          <w:tcPr>
            <w:tcW w:w="970" w:type="dxa"/>
            <w:shd w:val="clear" w:color="auto" w:fill="auto"/>
            <w:vAlign w:val="center"/>
            <w:hideMark/>
          </w:tcPr>
          <w:p w14:paraId="452B69DD" w14:textId="77777777" w:rsidR="009D4A93" w:rsidRPr="00536CFD" w:rsidRDefault="009D4A93" w:rsidP="009D4A93">
            <w:pPr>
              <w:spacing w:after="0"/>
              <w:jc w:val="center"/>
              <w:rPr>
                <w:rFonts w:eastAsia="Times New Roman"/>
                <w:color w:val="000000"/>
                <w:lang w:eastAsia="zh-CN"/>
              </w:rPr>
            </w:pPr>
            <w:r w:rsidRPr="00536CFD">
              <w:rPr>
                <w:color w:val="000000"/>
              </w:rPr>
              <w:t>0.21</w:t>
            </w:r>
          </w:p>
        </w:tc>
        <w:tc>
          <w:tcPr>
            <w:tcW w:w="970" w:type="dxa"/>
            <w:shd w:val="clear" w:color="auto" w:fill="auto"/>
            <w:vAlign w:val="center"/>
            <w:hideMark/>
          </w:tcPr>
          <w:p w14:paraId="2D890BE4" w14:textId="77777777" w:rsidR="009D4A93" w:rsidRPr="00536CFD" w:rsidRDefault="009D4A93" w:rsidP="009D4A93">
            <w:pPr>
              <w:spacing w:after="0"/>
              <w:jc w:val="center"/>
              <w:rPr>
                <w:rFonts w:eastAsia="Times New Roman"/>
                <w:color w:val="000000"/>
                <w:lang w:eastAsia="zh-CN"/>
              </w:rPr>
            </w:pPr>
            <w:r w:rsidRPr="00536CFD">
              <w:rPr>
                <w:color w:val="000000"/>
              </w:rPr>
              <w:t>0.17</w:t>
            </w:r>
          </w:p>
        </w:tc>
        <w:tc>
          <w:tcPr>
            <w:tcW w:w="970" w:type="dxa"/>
            <w:shd w:val="clear" w:color="auto" w:fill="auto"/>
            <w:vAlign w:val="center"/>
            <w:hideMark/>
          </w:tcPr>
          <w:p w14:paraId="7D9A040A" w14:textId="77777777" w:rsidR="009D4A93" w:rsidRPr="00536CFD" w:rsidRDefault="009D4A93" w:rsidP="009D4A93">
            <w:pPr>
              <w:spacing w:after="0"/>
              <w:jc w:val="center"/>
              <w:rPr>
                <w:rFonts w:eastAsia="Times New Roman"/>
                <w:color w:val="000000"/>
                <w:lang w:eastAsia="zh-CN"/>
              </w:rPr>
            </w:pPr>
            <w:r w:rsidRPr="00536CFD">
              <w:rPr>
                <w:color w:val="000000"/>
              </w:rPr>
              <w:t>0.23</w:t>
            </w:r>
          </w:p>
        </w:tc>
      </w:tr>
      <w:tr w:rsidR="009D4A93" w:rsidRPr="00536CFD" w14:paraId="6E735278" w14:textId="77777777" w:rsidTr="009D4A93">
        <w:trPr>
          <w:trHeight w:val="23"/>
          <w:jc w:val="center"/>
        </w:trPr>
        <w:tc>
          <w:tcPr>
            <w:tcW w:w="535" w:type="dxa"/>
            <w:vMerge/>
          </w:tcPr>
          <w:p w14:paraId="636BBEA9"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377E56D3"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04D5B90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16288D0D" w14:textId="77777777" w:rsidR="009D4A93" w:rsidRPr="00536CFD" w:rsidRDefault="009D4A93" w:rsidP="009D4A93">
            <w:pPr>
              <w:spacing w:after="0"/>
              <w:jc w:val="center"/>
              <w:rPr>
                <w:rFonts w:eastAsia="Times New Roman"/>
                <w:color w:val="000000"/>
                <w:lang w:eastAsia="zh-CN"/>
              </w:rPr>
            </w:pPr>
            <w:r w:rsidRPr="00536CFD">
              <w:rPr>
                <w:color w:val="000000"/>
              </w:rPr>
              <w:t>0.11</w:t>
            </w:r>
          </w:p>
        </w:tc>
        <w:tc>
          <w:tcPr>
            <w:tcW w:w="970" w:type="dxa"/>
            <w:shd w:val="clear" w:color="auto" w:fill="auto"/>
            <w:vAlign w:val="center"/>
            <w:hideMark/>
          </w:tcPr>
          <w:p w14:paraId="2CB7EC16" w14:textId="77777777" w:rsidR="009D4A93" w:rsidRPr="00536CFD" w:rsidRDefault="009D4A93" w:rsidP="009D4A93">
            <w:pPr>
              <w:spacing w:after="0"/>
              <w:jc w:val="center"/>
              <w:rPr>
                <w:rFonts w:eastAsia="Times New Roman"/>
                <w:color w:val="000000"/>
                <w:lang w:eastAsia="zh-CN"/>
              </w:rPr>
            </w:pPr>
            <w:r w:rsidRPr="00536CFD">
              <w:rPr>
                <w:color w:val="000000"/>
              </w:rPr>
              <w:t>0.09</w:t>
            </w:r>
          </w:p>
        </w:tc>
        <w:tc>
          <w:tcPr>
            <w:tcW w:w="970" w:type="dxa"/>
            <w:shd w:val="clear" w:color="auto" w:fill="auto"/>
            <w:vAlign w:val="center"/>
            <w:hideMark/>
          </w:tcPr>
          <w:p w14:paraId="26E8E2F5"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970" w:type="dxa"/>
            <w:shd w:val="clear" w:color="auto" w:fill="auto"/>
            <w:vAlign w:val="center"/>
            <w:hideMark/>
          </w:tcPr>
          <w:p w14:paraId="4F57981C" w14:textId="77777777" w:rsidR="009D4A93" w:rsidRPr="00536CFD" w:rsidRDefault="009D4A93" w:rsidP="009D4A93">
            <w:pPr>
              <w:spacing w:after="0"/>
              <w:jc w:val="center"/>
              <w:rPr>
                <w:rFonts w:eastAsia="Times New Roman"/>
                <w:color w:val="000000"/>
                <w:lang w:eastAsia="zh-CN"/>
              </w:rPr>
            </w:pPr>
            <w:r w:rsidRPr="00536CFD">
              <w:rPr>
                <w:color w:val="000000"/>
              </w:rPr>
              <w:t>0.1</w:t>
            </w:r>
          </w:p>
        </w:tc>
      </w:tr>
      <w:tr w:rsidR="009D4A93" w:rsidRPr="00536CFD" w14:paraId="57194FB7" w14:textId="77777777" w:rsidTr="009D4A93">
        <w:trPr>
          <w:trHeight w:val="23"/>
          <w:jc w:val="center"/>
        </w:trPr>
        <w:tc>
          <w:tcPr>
            <w:tcW w:w="535" w:type="dxa"/>
            <w:vMerge/>
          </w:tcPr>
          <w:p w14:paraId="592FBFCD"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17DDFF34"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DL</w:t>
            </w:r>
          </w:p>
        </w:tc>
        <w:tc>
          <w:tcPr>
            <w:tcW w:w="970" w:type="dxa"/>
            <w:shd w:val="clear" w:color="auto" w:fill="auto"/>
            <w:vAlign w:val="center"/>
            <w:hideMark/>
          </w:tcPr>
          <w:p w14:paraId="3A943EAA" w14:textId="77777777" w:rsidR="009D4A93" w:rsidRPr="00536CFD" w:rsidRDefault="009D4A93" w:rsidP="009D4A93">
            <w:pPr>
              <w:spacing w:after="0"/>
              <w:jc w:val="center"/>
              <w:rPr>
                <w:rFonts w:eastAsia="Times New Roman"/>
                <w:color w:val="000000"/>
                <w:lang w:eastAsia="zh-CN"/>
              </w:rPr>
            </w:pPr>
            <w:r w:rsidRPr="00536CFD">
              <w:rPr>
                <w:color w:val="000000"/>
              </w:rPr>
              <w:t>99.83%</w:t>
            </w:r>
          </w:p>
        </w:tc>
        <w:tc>
          <w:tcPr>
            <w:tcW w:w="970" w:type="dxa"/>
            <w:shd w:val="clear" w:color="auto" w:fill="auto"/>
            <w:vAlign w:val="center"/>
            <w:hideMark/>
          </w:tcPr>
          <w:p w14:paraId="6434D241" w14:textId="77777777" w:rsidR="009D4A93" w:rsidRPr="00536CFD" w:rsidRDefault="009D4A93" w:rsidP="009D4A93">
            <w:pPr>
              <w:spacing w:after="0"/>
              <w:jc w:val="center"/>
              <w:rPr>
                <w:rFonts w:eastAsia="Times New Roman"/>
                <w:color w:val="000000"/>
                <w:lang w:eastAsia="zh-CN"/>
              </w:rPr>
            </w:pPr>
            <w:r w:rsidRPr="00536CFD">
              <w:rPr>
                <w:color w:val="000000"/>
              </w:rPr>
              <w:t>99.89%</w:t>
            </w:r>
          </w:p>
        </w:tc>
        <w:tc>
          <w:tcPr>
            <w:tcW w:w="970" w:type="dxa"/>
            <w:shd w:val="clear" w:color="auto" w:fill="auto"/>
            <w:vAlign w:val="center"/>
            <w:hideMark/>
          </w:tcPr>
          <w:p w14:paraId="5972E0ED" w14:textId="77777777" w:rsidR="009D4A93" w:rsidRPr="00536CFD" w:rsidRDefault="009D4A93" w:rsidP="009D4A93">
            <w:pPr>
              <w:spacing w:after="0"/>
              <w:jc w:val="center"/>
              <w:rPr>
                <w:rFonts w:eastAsia="Times New Roman"/>
                <w:color w:val="000000"/>
                <w:lang w:eastAsia="zh-CN"/>
              </w:rPr>
            </w:pPr>
            <w:r w:rsidRPr="00536CFD">
              <w:rPr>
                <w:color w:val="000000"/>
              </w:rPr>
              <w:t>99.99%</w:t>
            </w:r>
          </w:p>
        </w:tc>
        <w:tc>
          <w:tcPr>
            <w:tcW w:w="970" w:type="dxa"/>
            <w:shd w:val="clear" w:color="auto" w:fill="auto"/>
            <w:vAlign w:val="center"/>
            <w:hideMark/>
          </w:tcPr>
          <w:p w14:paraId="272BD1B8" w14:textId="77777777" w:rsidR="009D4A93" w:rsidRPr="00536CFD" w:rsidRDefault="009D4A93" w:rsidP="009D4A93">
            <w:pPr>
              <w:spacing w:after="0"/>
              <w:jc w:val="center"/>
              <w:rPr>
                <w:rFonts w:eastAsia="Times New Roman"/>
                <w:color w:val="000000"/>
                <w:lang w:eastAsia="zh-CN"/>
              </w:rPr>
            </w:pPr>
            <w:r w:rsidRPr="00536CFD">
              <w:rPr>
                <w:color w:val="000000"/>
              </w:rPr>
              <w:t>99.88%</w:t>
            </w:r>
          </w:p>
        </w:tc>
      </w:tr>
      <w:tr w:rsidR="009D4A93" w:rsidRPr="00536CFD" w14:paraId="3041426B" w14:textId="77777777" w:rsidTr="009D4A93">
        <w:trPr>
          <w:trHeight w:val="23"/>
          <w:jc w:val="center"/>
        </w:trPr>
        <w:tc>
          <w:tcPr>
            <w:tcW w:w="535" w:type="dxa"/>
            <w:vMerge/>
          </w:tcPr>
          <w:p w14:paraId="01141173"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79EE26D1"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UL</w:t>
            </w:r>
          </w:p>
        </w:tc>
        <w:tc>
          <w:tcPr>
            <w:tcW w:w="970" w:type="dxa"/>
            <w:shd w:val="clear" w:color="auto" w:fill="auto"/>
            <w:vAlign w:val="center"/>
            <w:hideMark/>
          </w:tcPr>
          <w:p w14:paraId="4054090D" w14:textId="77777777" w:rsidR="009D4A93" w:rsidRPr="00536CFD" w:rsidRDefault="009D4A93" w:rsidP="009D4A93">
            <w:pPr>
              <w:spacing w:after="0"/>
              <w:jc w:val="center"/>
              <w:rPr>
                <w:rFonts w:eastAsia="Times New Roman"/>
                <w:color w:val="000000"/>
                <w:lang w:eastAsia="zh-CN"/>
              </w:rPr>
            </w:pPr>
            <w:r w:rsidRPr="00536CFD">
              <w:rPr>
                <w:color w:val="000000"/>
              </w:rPr>
              <w:t>99.69%</w:t>
            </w:r>
          </w:p>
        </w:tc>
        <w:tc>
          <w:tcPr>
            <w:tcW w:w="970" w:type="dxa"/>
            <w:shd w:val="clear" w:color="auto" w:fill="auto"/>
            <w:vAlign w:val="center"/>
            <w:hideMark/>
          </w:tcPr>
          <w:p w14:paraId="72EC171B" w14:textId="77777777" w:rsidR="009D4A93" w:rsidRPr="00536CFD" w:rsidRDefault="009D4A93" w:rsidP="009D4A93">
            <w:pPr>
              <w:spacing w:after="0"/>
              <w:jc w:val="center"/>
              <w:rPr>
                <w:rFonts w:eastAsia="Times New Roman"/>
                <w:color w:val="000000"/>
                <w:lang w:eastAsia="zh-CN"/>
              </w:rPr>
            </w:pPr>
            <w:r w:rsidRPr="00536CFD">
              <w:rPr>
                <w:color w:val="000000"/>
              </w:rPr>
              <w:t>99.86%</w:t>
            </w:r>
          </w:p>
        </w:tc>
        <w:tc>
          <w:tcPr>
            <w:tcW w:w="970" w:type="dxa"/>
            <w:shd w:val="clear" w:color="auto" w:fill="auto"/>
            <w:vAlign w:val="center"/>
            <w:hideMark/>
          </w:tcPr>
          <w:p w14:paraId="663F496A" w14:textId="77777777" w:rsidR="009D4A93" w:rsidRPr="00536CFD" w:rsidRDefault="009D4A93" w:rsidP="009D4A93">
            <w:pPr>
              <w:spacing w:after="0"/>
              <w:jc w:val="center"/>
              <w:rPr>
                <w:rFonts w:eastAsia="Times New Roman"/>
                <w:color w:val="000000"/>
                <w:lang w:eastAsia="zh-CN"/>
              </w:rPr>
            </w:pPr>
            <w:r w:rsidRPr="00536CFD">
              <w:rPr>
                <w:color w:val="000000"/>
              </w:rPr>
              <w:t>99.78%</w:t>
            </w:r>
          </w:p>
        </w:tc>
        <w:tc>
          <w:tcPr>
            <w:tcW w:w="970" w:type="dxa"/>
            <w:shd w:val="clear" w:color="auto" w:fill="auto"/>
            <w:vAlign w:val="center"/>
            <w:hideMark/>
          </w:tcPr>
          <w:p w14:paraId="24F042D9" w14:textId="77777777" w:rsidR="009D4A93" w:rsidRPr="00536CFD" w:rsidRDefault="009D4A93" w:rsidP="009D4A93">
            <w:pPr>
              <w:spacing w:after="0"/>
              <w:jc w:val="center"/>
              <w:rPr>
                <w:rFonts w:eastAsia="Times New Roman"/>
                <w:color w:val="000000"/>
                <w:lang w:eastAsia="zh-CN"/>
              </w:rPr>
            </w:pPr>
            <w:r w:rsidRPr="00536CFD">
              <w:rPr>
                <w:color w:val="000000"/>
              </w:rPr>
              <w:t>99.68%</w:t>
            </w:r>
          </w:p>
        </w:tc>
      </w:tr>
      <w:tr w:rsidR="009D4A93" w:rsidRPr="00536CFD" w14:paraId="4679E95A" w14:textId="77777777" w:rsidTr="009D4A93">
        <w:trPr>
          <w:trHeight w:val="23"/>
          <w:jc w:val="center"/>
        </w:trPr>
        <w:tc>
          <w:tcPr>
            <w:tcW w:w="535" w:type="dxa"/>
            <w:vMerge/>
          </w:tcPr>
          <w:p w14:paraId="529DD691"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0C3D4E6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BO</w:t>
            </w:r>
          </w:p>
        </w:tc>
        <w:tc>
          <w:tcPr>
            <w:tcW w:w="970" w:type="dxa"/>
            <w:shd w:val="clear" w:color="auto" w:fill="auto"/>
            <w:vAlign w:val="center"/>
            <w:hideMark/>
          </w:tcPr>
          <w:p w14:paraId="26F54ABD" w14:textId="77777777" w:rsidR="009D4A93" w:rsidRPr="00536CFD" w:rsidRDefault="009D4A93" w:rsidP="009D4A93">
            <w:pPr>
              <w:spacing w:after="0"/>
              <w:jc w:val="center"/>
              <w:rPr>
                <w:rFonts w:eastAsia="Times New Roman"/>
                <w:color w:val="000000"/>
                <w:lang w:eastAsia="zh-CN"/>
              </w:rPr>
            </w:pPr>
            <w:r w:rsidRPr="00536CFD">
              <w:rPr>
                <w:color w:val="000000"/>
              </w:rPr>
              <w:t>23%</w:t>
            </w:r>
          </w:p>
        </w:tc>
        <w:tc>
          <w:tcPr>
            <w:tcW w:w="970" w:type="dxa"/>
            <w:shd w:val="clear" w:color="auto" w:fill="auto"/>
            <w:vAlign w:val="center"/>
            <w:hideMark/>
          </w:tcPr>
          <w:p w14:paraId="2B410A88" w14:textId="77777777" w:rsidR="009D4A93" w:rsidRPr="00536CFD" w:rsidRDefault="009D4A93" w:rsidP="009D4A93">
            <w:pPr>
              <w:spacing w:after="0"/>
              <w:jc w:val="center"/>
              <w:rPr>
                <w:rFonts w:eastAsia="Times New Roman"/>
                <w:color w:val="000000"/>
                <w:lang w:eastAsia="zh-CN"/>
              </w:rPr>
            </w:pPr>
            <w:r w:rsidRPr="00536CFD">
              <w:rPr>
                <w:color w:val="000000"/>
              </w:rPr>
              <w:t>19%</w:t>
            </w:r>
          </w:p>
        </w:tc>
        <w:tc>
          <w:tcPr>
            <w:tcW w:w="970" w:type="dxa"/>
            <w:shd w:val="clear" w:color="auto" w:fill="auto"/>
            <w:vAlign w:val="center"/>
            <w:hideMark/>
          </w:tcPr>
          <w:p w14:paraId="793DBD06" w14:textId="77777777" w:rsidR="009D4A93" w:rsidRPr="00536CFD" w:rsidRDefault="009D4A93" w:rsidP="009D4A93">
            <w:pPr>
              <w:spacing w:after="0"/>
              <w:jc w:val="center"/>
              <w:rPr>
                <w:rFonts w:eastAsia="Times New Roman"/>
                <w:color w:val="000000"/>
                <w:lang w:eastAsia="zh-CN"/>
              </w:rPr>
            </w:pPr>
            <w:r w:rsidRPr="00536CFD">
              <w:rPr>
                <w:color w:val="000000"/>
              </w:rPr>
              <w:t>18%</w:t>
            </w:r>
          </w:p>
        </w:tc>
        <w:tc>
          <w:tcPr>
            <w:tcW w:w="970" w:type="dxa"/>
            <w:shd w:val="clear" w:color="auto" w:fill="auto"/>
            <w:vAlign w:val="center"/>
            <w:hideMark/>
          </w:tcPr>
          <w:p w14:paraId="5089832B" w14:textId="77777777" w:rsidR="009D4A93" w:rsidRPr="00536CFD" w:rsidRDefault="009D4A93" w:rsidP="009D4A93">
            <w:pPr>
              <w:spacing w:after="0"/>
              <w:jc w:val="center"/>
              <w:rPr>
                <w:rFonts w:eastAsia="Times New Roman"/>
                <w:color w:val="000000"/>
                <w:lang w:eastAsia="zh-CN"/>
              </w:rPr>
            </w:pPr>
            <w:r w:rsidRPr="00536CFD">
              <w:rPr>
                <w:color w:val="000000"/>
              </w:rPr>
              <w:t>20%</w:t>
            </w:r>
          </w:p>
        </w:tc>
      </w:tr>
      <w:tr w:rsidR="009D4A93" w:rsidRPr="00536CFD" w14:paraId="2F8110FC" w14:textId="77777777" w:rsidTr="009D4A93">
        <w:trPr>
          <w:trHeight w:val="23"/>
          <w:jc w:val="center"/>
        </w:trPr>
        <w:tc>
          <w:tcPr>
            <w:tcW w:w="535" w:type="dxa"/>
            <w:vMerge/>
          </w:tcPr>
          <w:p w14:paraId="4DFA0EA4"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0D108777"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𝜆</w:t>
            </w:r>
          </w:p>
        </w:tc>
        <w:tc>
          <w:tcPr>
            <w:tcW w:w="3880" w:type="dxa"/>
            <w:gridSpan w:val="4"/>
            <w:shd w:val="clear" w:color="auto" w:fill="auto"/>
            <w:vAlign w:val="center"/>
            <w:hideMark/>
          </w:tcPr>
          <w:p w14:paraId="4E29AA8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0.3 files/s</w:t>
            </w:r>
          </w:p>
        </w:tc>
      </w:tr>
      <w:tr w:rsidR="009D4A93" w:rsidRPr="00536CFD" w14:paraId="27207814" w14:textId="77777777" w:rsidTr="009D4A93">
        <w:trPr>
          <w:trHeight w:val="23"/>
          <w:jc w:val="center"/>
        </w:trPr>
        <w:tc>
          <w:tcPr>
            <w:tcW w:w="535" w:type="dxa"/>
            <w:vMerge/>
          </w:tcPr>
          <w:p w14:paraId="05754FA5"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tcPr>
          <w:p w14:paraId="007D13FC" w14:textId="77777777" w:rsidR="009D4A93" w:rsidRPr="00536CFD" w:rsidRDefault="009D4A93" w:rsidP="009D4A93">
            <w:pPr>
              <w:spacing w:after="0"/>
              <w:jc w:val="center"/>
              <w:rPr>
                <w:rFonts w:eastAsia="Times New Roman"/>
                <w:color w:val="000000"/>
                <w:lang w:eastAsia="zh-CN"/>
              </w:rPr>
            </w:pPr>
          </w:p>
        </w:tc>
        <w:tc>
          <w:tcPr>
            <w:tcW w:w="3880" w:type="dxa"/>
            <w:gridSpan w:val="4"/>
            <w:shd w:val="clear" w:color="auto" w:fill="auto"/>
            <w:vAlign w:val="center"/>
          </w:tcPr>
          <w:p w14:paraId="59745003" w14:textId="77777777" w:rsidR="009D4A93" w:rsidRPr="00536CFD" w:rsidRDefault="009D4A93" w:rsidP="009D4A93">
            <w:pPr>
              <w:spacing w:after="0"/>
              <w:jc w:val="both"/>
            </w:pPr>
            <w:r w:rsidRPr="00536CFD">
              <w:t>Additional comments:</w:t>
            </w:r>
          </w:p>
          <w:p w14:paraId="5E2E5609" w14:textId="77777777" w:rsidR="009D4A93" w:rsidRPr="00536CFD" w:rsidRDefault="009D4A93" w:rsidP="009D4A93">
            <w:pPr>
              <w:spacing w:after="0"/>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32A77F7F" w14:textId="77777777" w:rsidR="009D4A93" w:rsidRPr="00536CFD" w:rsidRDefault="009D4A93" w:rsidP="009D4A93">
            <w:pPr>
              <w:spacing w:after="0"/>
              <w:contextualSpacing/>
              <w:rPr>
                <w:lang w:val="en-US" w:bidi="ar"/>
              </w:rPr>
            </w:pPr>
            <w:r w:rsidRPr="00536CFD">
              <w:rPr>
                <w:b/>
                <w:lang w:val="en-US" w:bidi="ar"/>
              </w:rPr>
              <w:t>NRU assumption:</w:t>
            </w:r>
            <w:r w:rsidRPr="00536CFD">
              <w:rPr>
                <w:lang w:val="en-US" w:bidi="ar"/>
              </w:rPr>
              <w:t xml:space="preserve"> 8ms MCOT;  PD= -82dBm, ED=-62dBm; 256 QAM LDPC; 60 kHz SCS NCP; UE processing time capability #1; NR type B for PDSCH, type A for PUSCH</w:t>
            </w:r>
          </w:p>
          <w:p w14:paraId="5ED2F803" w14:textId="77777777" w:rsidR="009D4A93" w:rsidRPr="00536CFD" w:rsidRDefault="009D4A93" w:rsidP="009D4A93">
            <w:pPr>
              <w:spacing w:after="0"/>
              <w:contextualSpacing/>
              <w:rPr>
                <w:lang w:val="en-US" w:bidi="ar"/>
              </w:rPr>
            </w:pPr>
            <w:r w:rsidRPr="00536CFD">
              <w:rPr>
                <w:b/>
                <w:lang w:val="en-US" w:bidi="ar"/>
              </w:rPr>
              <w:t>802.11ax assumption:</w:t>
            </w:r>
            <w:r w:rsidRPr="00536CFD">
              <w:rPr>
                <w:lang w:val="en-US" w:bidi="ar"/>
              </w:rPr>
              <w:t xml:space="preserve"> 4ms TXOP; RTS/CTS disabled for WiFi, NAV set based on L-SIG; PD=-82dBm/ED=--62dBm EDCA; 256 QAM BCC; A-MPDU, 1500B MSDU + 14 B header; Immediate ACK,78.125kHz SCS  GI= 0.8us, HE MU PPDU in DL and HE TB PPDU in UL.</w:t>
            </w:r>
          </w:p>
          <w:p w14:paraId="5E8172DD" w14:textId="77777777" w:rsidR="009D4A93" w:rsidRPr="00536CFD" w:rsidRDefault="009D4A93" w:rsidP="009D4A93">
            <w:pPr>
              <w:spacing w:after="0"/>
              <w:jc w:val="center"/>
              <w:rPr>
                <w:rFonts w:eastAsia="Times New Roman"/>
                <w:color w:val="000000"/>
                <w:lang w:val="en-US" w:eastAsia="zh-CN"/>
              </w:rPr>
            </w:pPr>
          </w:p>
        </w:tc>
      </w:tr>
    </w:tbl>
    <w:p w14:paraId="23AB7168" w14:textId="77777777" w:rsidR="009D4A93" w:rsidRPr="00C64ECB" w:rsidRDefault="009D4A93" w:rsidP="00006578"/>
    <w:p w14:paraId="032A69F8" w14:textId="77777777" w:rsidR="009D4A93" w:rsidRPr="00C64ECB" w:rsidRDefault="009D4A93" w:rsidP="00E126D2">
      <w:pPr>
        <w:pStyle w:val="TH"/>
        <w:pageBreakBefore/>
      </w:pPr>
      <w:r w:rsidRPr="00C64ECB">
        <w:t>Table B.1.1-12: coexistence results of 11ax and NRU in indoor scenario of scheme 5</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924"/>
        <w:gridCol w:w="857"/>
        <w:gridCol w:w="889"/>
        <w:gridCol w:w="889"/>
        <w:gridCol w:w="889"/>
        <w:gridCol w:w="889"/>
      </w:tblGrid>
      <w:tr w:rsidR="009D4A93" w:rsidRPr="00536CFD" w14:paraId="577933B2" w14:textId="77777777" w:rsidTr="009D4A93">
        <w:trPr>
          <w:trHeight w:val="368"/>
          <w:jc w:val="center"/>
        </w:trPr>
        <w:tc>
          <w:tcPr>
            <w:tcW w:w="513" w:type="dxa"/>
            <w:vMerge w:val="restart"/>
            <w:textDirection w:val="btLr"/>
          </w:tcPr>
          <w:p w14:paraId="0D2FF1A4" w14:textId="77777777" w:rsidR="009D4A93" w:rsidRPr="00536CFD" w:rsidRDefault="009D4A93" w:rsidP="009D4A93">
            <w:pPr>
              <w:spacing w:after="0"/>
              <w:ind w:left="113" w:right="113"/>
              <w:rPr>
                <w:rFonts w:eastAsia="Times New Roman"/>
                <w:color w:val="000000"/>
                <w:lang w:eastAsia="zh-CN"/>
              </w:rPr>
            </w:pPr>
          </w:p>
        </w:tc>
        <w:tc>
          <w:tcPr>
            <w:tcW w:w="1781" w:type="dxa"/>
            <w:gridSpan w:val="2"/>
            <w:vMerge w:val="restart"/>
            <w:shd w:val="clear" w:color="auto" w:fill="auto"/>
            <w:vAlign w:val="center"/>
            <w:hideMark/>
          </w:tcPr>
          <w:p w14:paraId="0D30F737" w14:textId="502ECAEF" w:rsidR="009D4A93" w:rsidRPr="00536CFD" w:rsidRDefault="00536CFD" w:rsidP="009D4A93">
            <w:pPr>
              <w:spacing w:after="0"/>
              <w:jc w:val="center"/>
              <w:rPr>
                <w:rFonts w:eastAsia="Times New Roman"/>
                <w:color w:val="000000"/>
                <w:lang w:eastAsia="zh-CN"/>
              </w:rPr>
            </w:pPr>
            <w:r w:rsidRPr="00536CFD">
              <w:rPr>
                <w:rFonts w:eastAsia="Times New Roman"/>
                <w:color w:val="000000"/>
                <w:lang w:eastAsia="zh-CN"/>
              </w:rPr>
              <w:t>Reported parameters</w:t>
            </w:r>
          </w:p>
        </w:tc>
        <w:tc>
          <w:tcPr>
            <w:tcW w:w="3556" w:type="dxa"/>
            <w:gridSpan w:val="4"/>
            <w:shd w:val="clear" w:color="auto" w:fill="auto"/>
            <w:vAlign w:val="center"/>
            <w:hideMark/>
          </w:tcPr>
          <w:p w14:paraId="2A88A6F1" w14:textId="77777777" w:rsidR="009D4A93" w:rsidRPr="00536CFD" w:rsidRDefault="009D4A93" w:rsidP="009D4A93">
            <w:pPr>
              <w:spacing w:after="0"/>
              <w:jc w:val="center"/>
              <w:rPr>
                <w:rFonts w:eastAsia="Times New Roman"/>
                <w:color w:val="000000"/>
                <w:u w:val="single"/>
                <w:lang w:eastAsia="zh-CN"/>
              </w:rPr>
            </w:pPr>
            <w:r w:rsidRPr="00536CFD">
              <w:rPr>
                <w:color w:val="000000"/>
                <w:u w:val="single"/>
              </w:rPr>
              <w:t>11ax: ED = -62dbm, PD=-82dbm</w:t>
            </w:r>
            <w:r w:rsidRPr="00536CFD">
              <w:rPr>
                <w:color w:val="000000"/>
                <w:u w:val="single"/>
              </w:rPr>
              <w:br/>
              <w:t>NRU: ED = -72dbm</w:t>
            </w:r>
          </w:p>
        </w:tc>
      </w:tr>
      <w:tr w:rsidR="009D4A93" w:rsidRPr="00536CFD" w14:paraId="710D149C" w14:textId="77777777" w:rsidTr="009D4A93">
        <w:trPr>
          <w:trHeight w:val="23"/>
          <w:jc w:val="center"/>
        </w:trPr>
        <w:tc>
          <w:tcPr>
            <w:tcW w:w="513" w:type="dxa"/>
            <w:vMerge/>
            <w:textDirection w:val="btLr"/>
          </w:tcPr>
          <w:p w14:paraId="5FC1218B" w14:textId="77777777" w:rsidR="009D4A93" w:rsidRPr="00536CFD" w:rsidRDefault="009D4A93" w:rsidP="009D4A93">
            <w:pPr>
              <w:spacing w:after="0"/>
              <w:ind w:left="113" w:right="113"/>
              <w:rPr>
                <w:rFonts w:eastAsia="Times New Roman"/>
                <w:color w:val="000000"/>
                <w:lang w:eastAsia="zh-CN"/>
              </w:rPr>
            </w:pPr>
          </w:p>
        </w:tc>
        <w:tc>
          <w:tcPr>
            <w:tcW w:w="1781" w:type="dxa"/>
            <w:gridSpan w:val="2"/>
            <w:vMerge/>
            <w:shd w:val="clear" w:color="auto" w:fill="auto"/>
            <w:textDirection w:val="btLr"/>
            <w:hideMark/>
          </w:tcPr>
          <w:p w14:paraId="0F30CCFB" w14:textId="77777777" w:rsidR="009D4A93" w:rsidRPr="00536CFD" w:rsidRDefault="009D4A93" w:rsidP="009D4A93">
            <w:pPr>
              <w:spacing w:after="0"/>
              <w:ind w:left="113" w:right="113"/>
              <w:rPr>
                <w:rFonts w:eastAsia="Times New Roman"/>
                <w:color w:val="000000"/>
                <w:lang w:eastAsia="zh-CN"/>
              </w:rPr>
            </w:pPr>
          </w:p>
        </w:tc>
        <w:tc>
          <w:tcPr>
            <w:tcW w:w="889" w:type="dxa"/>
            <w:vAlign w:val="center"/>
            <w:hideMark/>
          </w:tcPr>
          <w:p w14:paraId="5E3479D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889" w:type="dxa"/>
            <w:shd w:val="clear" w:color="auto" w:fill="auto"/>
            <w:vAlign w:val="center"/>
            <w:hideMark/>
          </w:tcPr>
          <w:p w14:paraId="1E334A4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889" w:type="dxa"/>
            <w:shd w:val="clear" w:color="auto" w:fill="auto"/>
            <w:vAlign w:val="center"/>
            <w:hideMark/>
          </w:tcPr>
          <w:p w14:paraId="30B66F5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c>
          <w:tcPr>
            <w:tcW w:w="889" w:type="dxa"/>
            <w:shd w:val="clear" w:color="auto" w:fill="auto"/>
            <w:vAlign w:val="center"/>
            <w:hideMark/>
          </w:tcPr>
          <w:p w14:paraId="61D9869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r>
      <w:tr w:rsidR="009D4A93" w:rsidRPr="00536CFD" w14:paraId="06F6F06F" w14:textId="77777777" w:rsidTr="009D4A93">
        <w:trPr>
          <w:trHeight w:val="23"/>
          <w:jc w:val="center"/>
        </w:trPr>
        <w:tc>
          <w:tcPr>
            <w:tcW w:w="513" w:type="dxa"/>
            <w:vMerge/>
            <w:textDirection w:val="btLr"/>
          </w:tcPr>
          <w:p w14:paraId="1DDCA8FF" w14:textId="77777777" w:rsidR="009D4A93" w:rsidRPr="00536CFD" w:rsidRDefault="009D4A93" w:rsidP="009D4A93">
            <w:pPr>
              <w:spacing w:after="0"/>
              <w:ind w:left="113" w:right="113"/>
              <w:rPr>
                <w:rFonts w:eastAsia="Times New Roman"/>
                <w:color w:val="000000"/>
                <w:lang w:eastAsia="zh-CN"/>
              </w:rPr>
            </w:pPr>
          </w:p>
        </w:tc>
        <w:tc>
          <w:tcPr>
            <w:tcW w:w="1781" w:type="dxa"/>
            <w:gridSpan w:val="2"/>
            <w:vMerge/>
            <w:shd w:val="clear" w:color="auto" w:fill="auto"/>
            <w:textDirection w:val="btLr"/>
            <w:hideMark/>
          </w:tcPr>
          <w:p w14:paraId="354C1016" w14:textId="77777777" w:rsidR="009D4A93" w:rsidRPr="00536CFD" w:rsidRDefault="009D4A93" w:rsidP="009D4A93">
            <w:pPr>
              <w:spacing w:after="0"/>
              <w:ind w:left="113" w:right="113"/>
              <w:rPr>
                <w:rFonts w:eastAsia="Times New Roman"/>
                <w:color w:val="000000"/>
                <w:lang w:eastAsia="zh-CN"/>
              </w:rPr>
            </w:pPr>
          </w:p>
        </w:tc>
        <w:tc>
          <w:tcPr>
            <w:tcW w:w="889" w:type="dxa"/>
            <w:vAlign w:val="center"/>
            <w:hideMark/>
          </w:tcPr>
          <w:p w14:paraId="4211E07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889" w:type="dxa"/>
            <w:shd w:val="clear" w:color="auto" w:fill="auto"/>
            <w:vAlign w:val="center"/>
            <w:hideMark/>
          </w:tcPr>
          <w:p w14:paraId="42DD82E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889" w:type="dxa"/>
            <w:shd w:val="clear" w:color="auto" w:fill="auto"/>
            <w:vAlign w:val="center"/>
            <w:hideMark/>
          </w:tcPr>
          <w:p w14:paraId="46F3EF4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889" w:type="dxa"/>
            <w:shd w:val="clear" w:color="auto" w:fill="auto"/>
            <w:vAlign w:val="center"/>
            <w:hideMark/>
          </w:tcPr>
          <w:p w14:paraId="172F26F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2B6412B7" w14:textId="77777777" w:rsidTr="009D4A93">
        <w:trPr>
          <w:trHeight w:val="23"/>
          <w:jc w:val="center"/>
        </w:trPr>
        <w:tc>
          <w:tcPr>
            <w:tcW w:w="513" w:type="dxa"/>
            <w:vMerge/>
            <w:textDirection w:val="btLr"/>
          </w:tcPr>
          <w:p w14:paraId="4A727ADC" w14:textId="77777777" w:rsidR="009D4A93" w:rsidRPr="00536CFD" w:rsidRDefault="009D4A93" w:rsidP="009D4A93">
            <w:pPr>
              <w:spacing w:after="0"/>
              <w:ind w:left="113" w:right="113"/>
              <w:rPr>
                <w:rFonts w:eastAsia="Times New Roman"/>
                <w:color w:val="000000"/>
                <w:lang w:eastAsia="zh-CN"/>
              </w:rPr>
            </w:pPr>
          </w:p>
        </w:tc>
        <w:tc>
          <w:tcPr>
            <w:tcW w:w="1781" w:type="dxa"/>
            <w:gridSpan w:val="2"/>
            <w:vMerge/>
            <w:shd w:val="clear" w:color="auto" w:fill="auto"/>
            <w:hideMark/>
          </w:tcPr>
          <w:p w14:paraId="24E02E07" w14:textId="77777777" w:rsidR="009D4A93" w:rsidRPr="00536CFD" w:rsidRDefault="009D4A93" w:rsidP="009D4A93">
            <w:pPr>
              <w:spacing w:after="0"/>
              <w:rPr>
                <w:rFonts w:eastAsia="Times New Roman"/>
                <w:color w:val="000000"/>
                <w:lang w:eastAsia="zh-CN"/>
              </w:rPr>
            </w:pPr>
          </w:p>
        </w:tc>
        <w:tc>
          <w:tcPr>
            <w:tcW w:w="889" w:type="dxa"/>
            <w:shd w:val="clear" w:color="auto" w:fill="auto"/>
            <w:vAlign w:val="center"/>
            <w:hideMark/>
          </w:tcPr>
          <w:p w14:paraId="47528FC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889" w:type="dxa"/>
            <w:shd w:val="clear" w:color="auto" w:fill="auto"/>
            <w:vAlign w:val="center"/>
            <w:hideMark/>
          </w:tcPr>
          <w:p w14:paraId="4563430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889" w:type="dxa"/>
            <w:shd w:val="clear" w:color="auto" w:fill="auto"/>
            <w:vAlign w:val="center"/>
            <w:hideMark/>
          </w:tcPr>
          <w:p w14:paraId="0C0E323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889" w:type="dxa"/>
            <w:shd w:val="clear" w:color="auto" w:fill="auto"/>
            <w:vAlign w:val="center"/>
            <w:hideMark/>
          </w:tcPr>
          <w:p w14:paraId="17A8377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3DE1D1D0" w14:textId="77777777" w:rsidTr="009D4A93">
        <w:trPr>
          <w:trHeight w:val="23"/>
          <w:jc w:val="center"/>
        </w:trPr>
        <w:tc>
          <w:tcPr>
            <w:tcW w:w="513" w:type="dxa"/>
            <w:vMerge w:val="restart"/>
            <w:textDirection w:val="btLr"/>
          </w:tcPr>
          <w:p w14:paraId="392ECB73" w14:textId="77777777" w:rsidR="009D4A93" w:rsidRPr="00536CFD" w:rsidRDefault="009D4A93" w:rsidP="009D4A93">
            <w:pPr>
              <w:spacing w:after="0"/>
              <w:ind w:left="113" w:right="113"/>
              <w:jc w:val="center"/>
              <w:rPr>
                <w:rFonts w:eastAsia="Times New Roman"/>
                <w:b/>
                <w:bCs/>
                <w:color w:val="000000"/>
                <w:lang w:eastAsia="zh-CN"/>
              </w:rPr>
            </w:pPr>
            <w:r w:rsidRPr="00536CFD">
              <w:rPr>
                <w:rFonts w:eastAsia="Times New Roman"/>
                <w:b/>
                <w:bCs/>
                <w:color w:val="000000"/>
                <w:lang w:eastAsia="zh-CN"/>
              </w:rPr>
              <w:t>R-1814085(Source 4)</w:t>
            </w:r>
          </w:p>
        </w:tc>
        <w:tc>
          <w:tcPr>
            <w:tcW w:w="924" w:type="dxa"/>
            <w:vMerge w:val="restart"/>
            <w:shd w:val="clear" w:color="auto" w:fill="auto"/>
            <w:vAlign w:val="center"/>
            <w:hideMark/>
          </w:tcPr>
          <w:p w14:paraId="533FD3DE"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 xml:space="preserve">DL: </w:t>
            </w:r>
          </w:p>
          <w:p w14:paraId="52AFC45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3C0D000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857" w:type="dxa"/>
            <w:shd w:val="clear" w:color="auto" w:fill="auto"/>
            <w:vAlign w:val="center"/>
            <w:hideMark/>
          </w:tcPr>
          <w:p w14:paraId="59C6B0A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889" w:type="dxa"/>
            <w:shd w:val="clear" w:color="auto" w:fill="auto"/>
            <w:vAlign w:val="center"/>
            <w:hideMark/>
          </w:tcPr>
          <w:p w14:paraId="36740C00" w14:textId="77777777" w:rsidR="009D4A93" w:rsidRPr="00536CFD" w:rsidRDefault="009D4A93" w:rsidP="009D4A93">
            <w:pPr>
              <w:spacing w:after="0"/>
              <w:jc w:val="center"/>
              <w:rPr>
                <w:rFonts w:eastAsia="Times New Roman"/>
                <w:color w:val="000000"/>
                <w:lang w:eastAsia="zh-CN"/>
              </w:rPr>
            </w:pPr>
            <w:r w:rsidRPr="00536CFD">
              <w:rPr>
                <w:color w:val="000000"/>
              </w:rPr>
              <w:t>14.9</w:t>
            </w:r>
          </w:p>
        </w:tc>
        <w:tc>
          <w:tcPr>
            <w:tcW w:w="889" w:type="dxa"/>
            <w:shd w:val="clear" w:color="auto" w:fill="auto"/>
            <w:vAlign w:val="center"/>
            <w:hideMark/>
          </w:tcPr>
          <w:p w14:paraId="1CFD3637" w14:textId="77777777" w:rsidR="009D4A93" w:rsidRPr="00536CFD" w:rsidRDefault="009D4A93" w:rsidP="009D4A93">
            <w:pPr>
              <w:spacing w:after="0"/>
              <w:jc w:val="center"/>
              <w:rPr>
                <w:rFonts w:eastAsia="Times New Roman"/>
                <w:color w:val="000000"/>
                <w:lang w:eastAsia="zh-CN"/>
              </w:rPr>
            </w:pPr>
            <w:r w:rsidRPr="00536CFD">
              <w:rPr>
                <w:color w:val="000000"/>
              </w:rPr>
              <w:t>18.99</w:t>
            </w:r>
          </w:p>
        </w:tc>
        <w:tc>
          <w:tcPr>
            <w:tcW w:w="889" w:type="dxa"/>
            <w:shd w:val="clear" w:color="auto" w:fill="auto"/>
            <w:vAlign w:val="center"/>
            <w:hideMark/>
          </w:tcPr>
          <w:p w14:paraId="3915AA22" w14:textId="77777777" w:rsidR="009D4A93" w:rsidRPr="00536CFD" w:rsidRDefault="009D4A93" w:rsidP="009D4A93">
            <w:pPr>
              <w:spacing w:after="0"/>
              <w:jc w:val="center"/>
              <w:rPr>
                <w:rFonts w:eastAsia="Times New Roman"/>
                <w:color w:val="000000"/>
                <w:lang w:eastAsia="zh-CN"/>
              </w:rPr>
            </w:pPr>
            <w:r w:rsidRPr="00536CFD">
              <w:rPr>
                <w:color w:val="000000"/>
              </w:rPr>
              <w:t>28.05</w:t>
            </w:r>
          </w:p>
        </w:tc>
        <w:tc>
          <w:tcPr>
            <w:tcW w:w="889" w:type="dxa"/>
            <w:shd w:val="clear" w:color="auto" w:fill="auto"/>
            <w:vAlign w:val="center"/>
            <w:hideMark/>
          </w:tcPr>
          <w:p w14:paraId="0F2C9F24" w14:textId="77777777" w:rsidR="009D4A93" w:rsidRPr="00536CFD" w:rsidRDefault="009D4A93" w:rsidP="009D4A93">
            <w:pPr>
              <w:spacing w:after="0"/>
              <w:jc w:val="center"/>
              <w:rPr>
                <w:rFonts w:eastAsia="Times New Roman"/>
                <w:color w:val="000000"/>
                <w:lang w:eastAsia="zh-CN"/>
              </w:rPr>
            </w:pPr>
            <w:r w:rsidRPr="00536CFD">
              <w:rPr>
                <w:color w:val="000000"/>
              </w:rPr>
              <w:t>30.67</w:t>
            </w:r>
          </w:p>
        </w:tc>
      </w:tr>
      <w:tr w:rsidR="009D4A93" w:rsidRPr="00536CFD" w14:paraId="14D3474B" w14:textId="77777777" w:rsidTr="009D4A93">
        <w:trPr>
          <w:trHeight w:val="23"/>
          <w:jc w:val="center"/>
        </w:trPr>
        <w:tc>
          <w:tcPr>
            <w:tcW w:w="513" w:type="dxa"/>
            <w:vMerge/>
          </w:tcPr>
          <w:p w14:paraId="1B3AF913" w14:textId="77777777" w:rsidR="009D4A93" w:rsidRPr="00536CFD" w:rsidRDefault="009D4A93" w:rsidP="009D4A93">
            <w:pPr>
              <w:spacing w:after="0"/>
              <w:rPr>
                <w:rFonts w:eastAsia="Times New Roman"/>
                <w:color w:val="000000"/>
                <w:lang w:eastAsia="zh-CN"/>
              </w:rPr>
            </w:pPr>
          </w:p>
        </w:tc>
        <w:tc>
          <w:tcPr>
            <w:tcW w:w="924" w:type="dxa"/>
            <w:vMerge/>
            <w:shd w:val="clear" w:color="auto" w:fill="auto"/>
            <w:vAlign w:val="center"/>
            <w:hideMark/>
          </w:tcPr>
          <w:p w14:paraId="4071FF95"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7066BB0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889" w:type="dxa"/>
            <w:shd w:val="clear" w:color="auto" w:fill="auto"/>
            <w:vAlign w:val="center"/>
            <w:hideMark/>
          </w:tcPr>
          <w:p w14:paraId="302151A9" w14:textId="77777777" w:rsidR="009D4A93" w:rsidRPr="00536CFD" w:rsidRDefault="009D4A93" w:rsidP="009D4A93">
            <w:pPr>
              <w:spacing w:after="0"/>
              <w:jc w:val="center"/>
              <w:rPr>
                <w:rFonts w:eastAsia="Times New Roman"/>
                <w:color w:val="000000"/>
                <w:lang w:eastAsia="zh-CN"/>
              </w:rPr>
            </w:pPr>
            <w:r w:rsidRPr="00536CFD">
              <w:rPr>
                <w:color w:val="000000"/>
              </w:rPr>
              <w:t>57.96</w:t>
            </w:r>
          </w:p>
        </w:tc>
        <w:tc>
          <w:tcPr>
            <w:tcW w:w="889" w:type="dxa"/>
            <w:shd w:val="clear" w:color="auto" w:fill="auto"/>
            <w:vAlign w:val="center"/>
            <w:hideMark/>
          </w:tcPr>
          <w:p w14:paraId="094685B5" w14:textId="77777777" w:rsidR="009D4A93" w:rsidRPr="00536CFD" w:rsidRDefault="009D4A93" w:rsidP="009D4A93">
            <w:pPr>
              <w:spacing w:after="0"/>
              <w:jc w:val="center"/>
              <w:rPr>
                <w:rFonts w:eastAsia="Times New Roman"/>
                <w:color w:val="000000"/>
                <w:lang w:eastAsia="zh-CN"/>
              </w:rPr>
            </w:pPr>
            <w:r w:rsidRPr="00536CFD">
              <w:rPr>
                <w:color w:val="000000"/>
              </w:rPr>
              <w:t>70.27</w:t>
            </w:r>
          </w:p>
        </w:tc>
        <w:tc>
          <w:tcPr>
            <w:tcW w:w="889" w:type="dxa"/>
            <w:shd w:val="clear" w:color="auto" w:fill="auto"/>
            <w:vAlign w:val="center"/>
            <w:hideMark/>
          </w:tcPr>
          <w:p w14:paraId="718424E7" w14:textId="77777777" w:rsidR="009D4A93" w:rsidRPr="00536CFD" w:rsidRDefault="009D4A93" w:rsidP="009D4A93">
            <w:pPr>
              <w:spacing w:after="0"/>
              <w:jc w:val="center"/>
              <w:rPr>
                <w:rFonts w:eastAsia="Times New Roman"/>
                <w:color w:val="000000"/>
                <w:lang w:eastAsia="zh-CN"/>
              </w:rPr>
            </w:pPr>
            <w:r w:rsidRPr="00536CFD">
              <w:rPr>
                <w:color w:val="000000"/>
              </w:rPr>
              <w:t>76.15</w:t>
            </w:r>
          </w:p>
        </w:tc>
        <w:tc>
          <w:tcPr>
            <w:tcW w:w="889" w:type="dxa"/>
            <w:shd w:val="clear" w:color="auto" w:fill="auto"/>
            <w:vAlign w:val="center"/>
            <w:hideMark/>
          </w:tcPr>
          <w:p w14:paraId="75889BF0" w14:textId="77777777" w:rsidR="009D4A93" w:rsidRPr="00536CFD" w:rsidRDefault="009D4A93" w:rsidP="009D4A93">
            <w:pPr>
              <w:spacing w:after="0"/>
              <w:jc w:val="center"/>
              <w:rPr>
                <w:rFonts w:eastAsia="Times New Roman"/>
                <w:color w:val="000000"/>
                <w:lang w:eastAsia="zh-CN"/>
              </w:rPr>
            </w:pPr>
            <w:r w:rsidRPr="00536CFD">
              <w:rPr>
                <w:color w:val="000000"/>
              </w:rPr>
              <w:t>83.06</w:t>
            </w:r>
          </w:p>
        </w:tc>
      </w:tr>
      <w:tr w:rsidR="009D4A93" w:rsidRPr="00536CFD" w14:paraId="4E829B8E" w14:textId="77777777" w:rsidTr="009D4A93">
        <w:trPr>
          <w:trHeight w:val="23"/>
          <w:jc w:val="center"/>
        </w:trPr>
        <w:tc>
          <w:tcPr>
            <w:tcW w:w="513" w:type="dxa"/>
            <w:vMerge/>
          </w:tcPr>
          <w:p w14:paraId="0862BA87" w14:textId="77777777" w:rsidR="009D4A93" w:rsidRPr="00536CFD" w:rsidRDefault="009D4A93" w:rsidP="009D4A93">
            <w:pPr>
              <w:spacing w:after="0"/>
              <w:rPr>
                <w:rFonts w:eastAsia="Times New Roman"/>
                <w:color w:val="000000"/>
                <w:lang w:eastAsia="zh-CN"/>
              </w:rPr>
            </w:pPr>
          </w:p>
        </w:tc>
        <w:tc>
          <w:tcPr>
            <w:tcW w:w="924" w:type="dxa"/>
            <w:vMerge/>
            <w:shd w:val="clear" w:color="auto" w:fill="auto"/>
            <w:vAlign w:val="center"/>
            <w:hideMark/>
          </w:tcPr>
          <w:p w14:paraId="4E9A7BF3"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1791E7E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889" w:type="dxa"/>
            <w:shd w:val="clear" w:color="auto" w:fill="auto"/>
            <w:vAlign w:val="center"/>
            <w:hideMark/>
          </w:tcPr>
          <w:p w14:paraId="53796AF8" w14:textId="77777777" w:rsidR="009D4A93" w:rsidRPr="00536CFD" w:rsidRDefault="009D4A93" w:rsidP="009D4A93">
            <w:pPr>
              <w:spacing w:after="0"/>
              <w:jc w:val="center"/>
              <w:rPr>
                <w:rFonts w:eastAsia="Times New Roman"/>
                <w:color w:val="000000"/>
                <w:lang w:eastAsia="zh-CN"/>
              </w:rPr>
            </w:pPr>
            <w:r w:rsidRPr="00536CFD">
              <w:rPr>
                <w:color w:val="000000"/>
              </w:rPr>
              <w:t>101.19</w:t>
            </w:r>
          </w:p>
        </w:tc>
        <w:tc>
          <w:tcPr>
            <w:tcW w:w="889" w:type="dxa"/>
            <w:shd w:val="clear" w:color="auto" w:fill="auto"/>
            <w:vAlign w:val="center"/>
            <w:hideMark/>
          </w:tcPr>
          <w:p w14:paraId="740989D4" w14:textId="77777777" w:rsidR="009D4A93" w:rsidRPr="00536CFD" w:rsidRDefault="009D4A93" w:rsidP="009D4A93">
            <w:pPr>
              <w:spacing w:after="0"/>
              <w:jc w:val="center"/>
              <w:rPr>
                <w:rFonts w:eastAsia="Times New Roman"/>
                <w:color w:val="000000"/>
                <w:lang w:eastAsia="zh-CN"/>
              </w:rPr>
            </w:pPr>
            <w:r w:rsidRPr="00536CFD">
              <w:rPr>
                <w:color w:val="000000"/>
              </w:rPr>
              <w:t>101.89</w:t>
            </w:r>
          </w:p>
        </w:tc>
        <w:tc>
          <w:tcPr>
            <w:tcW w:w="889" w:type="dxa"/>
            <w:shd w:val="clear" w:color="auto" w:fill="auto"/>
            <w:vAlign w:val="center"/>
            <w:hideMark/>
          </w:tcPr>
          <w:p w14:paraId="2CF96CC6" w14:textId="77777777" w:rsidR="009D4A93" w:rsidRPr="00536CFD" w:rsidRDefault="009D4A93" w:rsidP="009D4A93">
            <w:pPr>
              <w:spacing w:after="0"/>
              <w:jc w:val="center"/>
              <w:rPr>
                <w:rFonts w:eastAsia="Times New Roman"/>
                <w:color w:val="000000"/>
                <w:lang w:eastAsia="zh-CN"/>
              </w:rPr>
            </w:pPr>
            <w:r w:rsidRPr="00536CFD">
              <w:rPr>
                <w:color w:val="000000"/>
              </w:rPr>
              <w:t>96.8</w:t>
            </w:r>
          </w:p>
        </w:tc>
        <w:tc>
          <w:tcPr>
            <w:tcW w:w="889" w:type="dxa"/>
            <w:shd w:val="clear" w:color="auto" w:fill="auto"/>
            <w:vAlign w:val="center"/>
            <w:hideMark/>
          </w:tcPr>
          <w:p w14:paraId="77CEAAFD" w14:textId="77777777" w:rsidR="009D4A93" w:rsidRPr="00536CFD" w:rsidRDefault="009D4A93" w:rsidP="009D4A93">
            <w:pPr>
              <w:spacing w:after="0"/>
              <w:jc w:val="center"/>
              <w:rPr>
                <w:rFonts w:eastAsia="Times New Roman"/>
                <w:color w:val="000000"/>
                <w:lang w:eastAsia="zh-CN"/>
              </w:rPr>
            </w:pPr>
            <w:r w:rsidRPr="00536CFD">
              <w:rPr>
                <w:color w:val="000000"/>
              </w:rPr>
              <w:t>99.24</w:t>
            </w:r>
          </w:p>
        </w:tc>
      </w:tr>
      <w:tr w:rsidR="009D4A93" w:rsidRPr="00536CFD" w14:paraId="76737330" w14:textId="77777777" w:rsidTr="00E126D2">
        <w:trPr>
          <w:trHeight w:val="23"/>
          <w:jc w:val="center"/>
        </w:trPr>
        <w:tc>
          <w:tcPr>
            <w:tcW w:w="513" w:type="dxa"/>
            <w:vMerge/>
          </w:tcPr>
          <w:p w14:paraId="039662F1" w14:textId="77777777" w:rsidR="009D4A93" w:rsidRPr="00536CFD" w:rsidRDefault="009D4A93" w:rsidP="009D4A93">
            <w:pPr>
              <w:spacing w:after="0"/>
              <w:rPr>
                <w:rFonts w:eastAsia="Times New Roman"/>
                <w:color w:val="000000"/>
                <w:lang w:eastAsia="zh-CN"/>
              </w:rPr>
            </w:pPr>
          </w:p>
        </w:tc>
        <w:tc>
          <w:tcPr>
            <w:tcW w:w="924" w:type="dxa"/>
            <w:vMerge/>
            <w:shd w:val="clear" w:color="auto" w:fill="auto"/>
            <w:hideMark/>
          </w:tcPr>
          <w:p w14:paraId="3B5E6E8C"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30C3D72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889" w:type="dxa"/>
            <w:shd w:val="clear" w:color="auto" w:fill="auto"/>
            <w:vAlign w:val="center"/>
            <w:hideMark/>
          </w:tcPr>
          <w:p w14:paraId="6421313B" w14:textId="77777777" w:rsidR="009D4A93" w:rsidRPr="00536CFD" w:rsidRDefault="009D4A93" w:rsidP="009D4A93">
            <w:pPr>
              <w:spacing w:after="0"/>
              <w:jc w:val="center"/>
              <w:rPr>
                <w:color w:val="000000"/>
              </w:rPr>
            </w:pPr>
            <w:r w:rsidRPr="00536CFD">
              <w:rPr>
                <w:color w:val="000000"/>
              </w:rPr>
              <w:t>59.46</w:t>
            </w:r>
          </w:p>
        </w:tc>
        <w:tc>
          <w:tcPr>
            <w:tcW w:w="889" w:type="dxa"/>
            <w:shd w:val="clear" w:color="auto" w:fill="auto"/>
            <w:vAlign w:val="center"/>
            <w:hideMark/>
          </w:tcPr>
          <w:p w14:paraId="686A8444" w14:textId="77777777" w:rsidR="009D4A93" w:rsidRPr="00536CFD" w:rsidRDefault="009D4A93" w:rsidP="009D4A93">
            <w:pPr>
              <w:spacing w:after="0"/>
              <w:jc w:val="center"/>
              <w:rPr>
                <w:color w:val="000000"/>
              </w:rPr>
            </w:pPr>
            <w:r w:rsidRPr="00536CFD">
              <w:rPr>
                <w:color w:val="000000"/>
              </w:rPr>
              <w:t>68.03</w:t>
            </w:r>
          </w:p>
        </w:tc>
        <w:tc>
          <w:tcPr>
            <w:tcW w:w="889" w:type="dxa"/>
            <w:shd w:val="clear" w:color="auto" w:fill="auto"/>
            <w:vAlign w:val="center"/>
            <w:hideMark/>
          </w:tcPr>
          <w:p w14:paraId="59610AC1" w14:textId="77777777" w:rsidR="009D4A93" w:rsidRPr="00536CFD" w:rsidRDefault="009D4A93" w:rsidP="009D4A93">
            <w:pPr>
              <w:spacing w:after="0"/>
              <w:jc w:val="center"/>
              <w:rPr>
                <w:color w:val="000000"/>
              </w:rPr>
            </w:pPr>
            <w:r w:rsidRPr="00536CFD">
              <w:rPr>
                <w:color w:val="000000"/>
              </w:rPr>
              <w:t>70.85</w:t>
            </w:r>
          </w:p>
        </w:tc>
        <w:tc>
          <w:tcPr>
            <w:tcW w:w="889" w:type="dxa"/>
            <w:shd w:val="clear" w:color="auto" w:fill="auto"/>
            <w:vAlign w:val="center"/>
            <w:hideMark/>
          </w:tcPr>
          <w:p w14:paraId="7AE67716" w14:textId="77777777" w:rsidR="009D4A93" w:rsidRPr="00536CFD" w:rsidRDefault="009D4A93" w:rsidP="009D4A93">
            <w:pPr>
              <w:spacing w:after="0"/>
              <w:jc w:val="center"/>
              <w:rPr>
                <w:color w:val="000000"/>
              </w:rPr>
            </w:pPr>
            <w:r w:rsidRPr="00536CFD">
              <w:rPr>
                <w:color w:val="000000"/>
              </w:rPr>
              <w:t>75.01</w:t>
            </w:r>
          </w:p>
        </w:tc>
      </w:tr>
      <w:tr w:rsidR="009D4A93" w:rsidRPr="00536CFD" w14:paraId="149C9D9E" w14:textId="77777777" w:rsidTr="009D4A93">
        <w:trPr>
          <w:trHeight w:val="23"/>
          <w:jc w:val="center"/>
        </w:trPr>
        <w:tc>
          <w:tcPr>
            <w:tcW w:w="513" w:type="dxa"/>
            <w:vMerge/>
          </w:tcPr>
          <w:p w14:paraId="4616DD5E" w14:textId="77777777" w:rsidR="009D4A93" w:rsidRPr="00536CFD" w:rsidRDefault="009D4A93" w:rsidP="009D4A93">
            <w:pPr>
              <w:spacing w:after="0"/>
              <w:jc w:val="center"/>
              <w:rPr>
                <w:rFonts w:eastAsia="Times New Roman"/>
                <w:b/>
                <w:bCs/>
                <w:color w:val="000000"/>
                <w:lang w:eastAsia="zh-CN"/>
              </w:rPr>
            </w:pPr>
          </w:p>
        </w:tc>
        <w:tc>
          <w:tcPr>
            <w:tcW w:w="924" w:type="dxa"/>
            <w:shd w:val="clear" w:color="auto" w:fill="auto"/>
            <w:vAlign w:val="center"/>
            <w:hideMark/>
          </w:tcPr>
          <w:p w14:paraId="76372C66"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DL:</w:t>
            </w:r>
          </w:p>
        </w:tc>
        <w:tc>
          <w:tcPr>
            <w:tcW w:w="857" w:type="dxa"/>
            <w:shd w:val="clear" w:color="auto" w:fill="auto"/>
            <w:vAlign w:val="center"/>
            <w:hideMark/>
          </w:tcPr>
          <w:p w14:paraId="3DAF294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889" w:type="dxa"/>
            <w:shd w:val="clear" w:color="auto" w:fill="auto"/>
            <w:vAlign w:val="center"/>
            <w:hideMark/>
          </w:tcPr>
          <w:p w14:paraId="03D0970A"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889" w:type="dxa"/>
            <w:shd w:val="clear" w:color="auto" w:fill="auto"/>
            <w:vAlign w:val="center"/>
            <w:hideMark/>
          </w:tcPr>
          <w:p w14:paraId="743F1E37"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889" w:type="dxa"/>
            <w:shd w:val="clear" w:color="auto" w:fill="auto"/>
            <w:vAlign w:val="center"/>
            <w:hideMark/>
          </w:tcPr>
          <w:p w14:paraId="34771E0A"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889" w:type="dxa"/>
            <w:shd w:val="clear" w:color="auto" w:fill="auto"/>
            <w:vAlign w:val="center"/>
            <w:hideMark/>
          </w:tcPr>
          <w:p w14:paraId="58C83B6D" w14:textId="77777777" w:rsidR="009D4A93" w:rsidRPr="00536CFD" w:rsidRDefault="009D4A93" w:rsidP="009D4A93">
            <w:pPr>
              <w:spacing w:after="0"/>
              <w:jc w:val="center"/>
              <w:rPr>
                <w:rFonts w:eastAsia="Times New Roman"/>
                <w:color w:val="000000"/>
                <w:lang w:eastAsia="zh-CN"/>
              </w:rPr>
            </w:pPr>
            <w:r w:rsidRPr="00536CFD">
              <w:rPr>
                <w:color w:val="000000"/>
              </w:rPr>
              <w:t>0.04</w:t>
            </w:r>
          </w:p>
        </w:tc>
      </w:tr>
      <w:tr w:rsidR="009D4A93" w:rsidRPr="00536CFD" w14:paraId="21953BEB" w14:textId="77777777" w:rsidTr="009D4A93">
        <w:trPr>
          <w:trHeight w:val="23"/>
          <w:jc w:val="center"/>
        </w:trPr>
        <w:tc>
          <w:tcPr>
            <w:tcW w:w="513" w:type="dxa"/>
            <w:vMerge/>
          </w:tcPr>
          <w:p w14:paraId="575761C8" w14:textId="77777777" w:rsidR="009D4A93" w:rsidRPr="00536CFD" w:rsidRDefault="009D4A93" w:rsidP="009D4A93">
            <w:pPr>
              <w:spacing w:after="0"/>
              <w:jc w:val="center"/>
              <w:rPr>
                <w:rFonts w:eastAsia="Times New Roman"/>
                <w:color w:val="000000"/>
                <w:lang w:eastAsia="zh-CN"/>
              </w:rPr>
            </w:pPr>
          </w:p>
        </w:tc>
        <w:tc>
          <w:tcPr>
            <w:tcW w:w="924" w:type="dxa"/>
            <w:vMerge w:val="restart"/>
            <w:shd w:val="clear" w:color="auto" w:fill="auto"/>
            <w:vAlign w:val="center"/>
            <w:hideMark/>
          </w:tcPr>
          <w:p w14:paraId="4E4F160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4B0C618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857" w:type="dxa"/>
            <w:shd w:val="clear" w:color="auto" w:fill="auto"/>
            <w:vAlign w:val="center"/>
            <w:hideMark/>
          </w:tcPr>
          <w:p w14:paraId="3507771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889" w:type="dxa"/>
            <w:shd w:val="clear" w:color="auto" w:fill="auto"/>
            <w:vAlign w:val="center"/>
            <w:hideMark/>
          </w:tcPr>
          <w:p w14:paraId="7A7002B8"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889" w:type="dxa"/>
            <w:shd w:val="clear" w:color="auto" w:fill="auto"/>
            <w:vAlign w:val="center"/>
            <w:hideMark/>
          </w:tcPr>
          <w:p w14:paraId="36253F7C"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889" w:type="dxa"/>
            <w:shd w:val="clear" w:color="auto" w:fill="auto"/>
            <w:vAlign w:val="center"/>
            <w:hideMark/>
          </w:tcPr>
          <w:p w14:paraId="4E014E97"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889" w:type="dxa"/>
            <w:shd w:val="clear" w:color="auto" w:fill="auto"/>
            <w:vAlign w:val="center"/>
            <w:hideMark/>
          </w:tcPr>
          <w:p w14:paraId="2330C8D4"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0B435095" w14:textId="77777777" w:rsidTr="009D4A93">
        <w:trPr>
          <w:trHeight w:val="23"/>
          <w:jc w:val="center"/>
        </w:trPr>
        <w:tc>
          <w:tcPr>
            <w:tcW w:w="513" w:type="dxa"/>
            <w:vMerge/>
          </w:tcPr>
          <w:p w14:paraId="7528641C" w14:textId="77777777" w:rsidR="009D4A93" w:rsidRPr="00536CFD" w:rsidRDefault="009D4A93" w:rsidP="009D4A93">
            <w:pPr>
              <w:spacing w:after="0"/>
              <w:rPr>
                <w:rFonts w:eastAsia="Times New Roman"/>
                <w:color w:val="000000"/>
                <w:lang w:eastAsia="zh-CN"/>
              </w:rPr>
            </w:pPr>
          </w:p>
        </w:tc>
        <w:tc>
          <w:tcPr>
            <w:tcW w:w="924" w:type="dxa"/>
            <w:vMerge/>
            <w:shd w:val="clear" w:color="auto" w:fill="auto"/>
            <w:vAlign w:val="center"/>
            <w:hideMark/>
          </w:tcPr>
          <w:p w14:paraId="299579CA"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666DF85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889" w:type="dxa"/>
            <w:shd w:val="clear" w:color="auto" w:fill="auto"/>
            <w:vAlign w:val="center"/>
            <w:hideMark/>
          </w:tcPr>
          <w:p w14:paraId="23DD507D" w14:textId="77777777" w:rsidR="009D4A93" w:rsidRPr="00536CFD" w:rsidRDefault="009D4A93" w:rsidP="009D4A93">
            <w:pPr>
              <w:spacing w:after="0"/>
              <w:jc w:val="center"/>
              <w:rPr>
                <w:rFonts w:eastAsia="Times New Roman"/>
                <w:color w:val="000000"/>
                <w:lang w:eastAsia="zh-CN"/>
              </w:rPr>
            </w:pPr>
            <w:r w:rsidRPr="00536CFD">
              <w:rPr>
                <w:color w:val="000000"/>
              </w:rPr>
              <w:t>0.27</w:t>
            </w:r>
          </w:p>
        </w:tc>
        <w:tc>
          <w:tcPr>
            <w:tcW w:w="889" w:type="dxa"/>
            <w:shd w:val="clear" w:color="auto" w:fill="auto"/>
            <w:vAlign w:val="center"/>
            <w:hideMark/>
          </w:tcPr>
          <w:p w14:paraId="7C65A34C" w14:textId="77777777" w:rsidR="009D4A93" w:rsidRPr="00536CFD" w:rsidRDefault="009D4A93" w:rsidP="009D4A93">
            <w:pPr>
              <w:spacing w:after="0"/>
              <w:jc w:val="center"/>
              <w:rPr>
                <w:rFonts w:eastAsia="Times New Roman"/>
                <w:color w:val="000000"/>
                <w:lang w:eastAsia="zh-CN"/>
              </w:rPr>
            </w:pPr>
            <w:r w:rsidRPr="00536CFD">
              <w:rPr>
                <w:color w:val="000000"/>
              </w:rPr>
              <w:t>0.21</w:t>
            </w:r>
          </w:p>
        </w:tc>
        <w:tc>
          <w:tcPr>
            <w:tcW w:w="889" w:type="dxa"/>
            <w:shd w:val="clear" w:color="auto" w:fill="auto"/>
            <w:vAlign w:val="center"/>
            <w:hideMark/>
          </w:tcPr>
          <w:p w14:paraId="62369D48" w14:textId="77777777" w:rsidR="009D4A93" w:rsidRPr="00536CFD" w:rsidRDefault="009D4A93" w:rsidP="009D4A93">
            <w:pPr>
              <w:spacing w:after="0"/>
              <w:jc w:val="center"/>
              <w:rPr>
                <w:rFonts w:eastAsia="Times New Roman"/>
                <w:color w:val="000000"/>
                <w:lang w:eastAsia="zh-CN"/>
              </w:rPr>
            </w:pPr>
            <w:r w:rsidRPr="00536CFD">
              <w:rPr>
                <w:color w:val="000000"/>
              </w:rPr>
              <w:t>0.14</w:t>
            </w:r>
          </w:p>
        </w:tc>
        <w:tc>
          <w:tcPr>
            <w:tcW w:w="889" w:type="dxa"/>
            <w:shd w:val="clear" w:color="auto" w:fill="auto"/>
            <w:vAlign w:val="center"/>
            <w:hideMark/>
          </w:tcPr>
          <w:p w14:paraId="643CCAF7" w14:textId="77777777" w:rsidR="009D4A93" w:rsidRPr="00536CFD" w:rsidRDefault="009D4A93" w:rsidP="009D4A93">
            <w:pPr>
              <w:spacing w:after="0"/>
              <w:jc w:val="center"/>
              <w:rPr>
                <w:rFonts w:eastAsia="Times New Roman"/>
                <w:color w:val="000000"/>
                <w:lang w:eastAsia="zh-CN"/>
              </w:rPr>
            </w:pPr>
            <w:r w:rsidRPr="00536CFD">
              <w:rPr>
                <w:color w:val="000000"/>
              </w:rPr>
              <w:t>0.13</w:t>
            </w:r>
          </w:p>
        </w:tc>
      </w:tr>
      <w:tr w:rsidR="009D4A93" w:rsidRPr="00536CFD" w14:paraId="231AB36E" w14:textId="77777777" w:rsidTr="009D4A93">
        <w:trPr>
          <w:trHeight w:val="23"/>
          <w:jc w:val="center"/>
        </w:trPr>
        <w:tc>
          <w:tcPr>
            <w:tcW w:w="513" w:type="dxa"/>
            <w:vMerge/>
          </w:tcPr>
          <w:p w14:paraId="3077185B" w14:textId="77777777" w:rsidR="009D4A93" w:rsidRPr="00536CFD" w:rsidRDefault="009D4A93" w:rsidP="009D4A93">
            <w:pPr>
              <w:spacing w:after="0"/>
              <w:rPr>
                <w:rFonts w:eastAsia="Times New Roman"/>
                <w:color w:val="000000"/>
                <w:lang w:eastAsia="zh-CN"/>
              </w:rPr>
            </w:pPr>
          </w:p>
        </w:tc>
        <w:tc>
          <w:tcPr>
            <w:tcW w:w="924" w:type="dxa"/>
            <w:vMerge/>
            <w:shd w:val="clear" w:color="auto" w:fill="auto"/>
            <w:hideMark/>
          </w:tcPr>
          <w:p w14:paraId="63EE25AF"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4228A77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889" w:type="dxa"/>
            <w:shd w:val="clear" w:color="auto" w:fill="auto"/>
            <w:vAlign w:val="center"/>
            <w:hideMark/>
          </w:tcPr>
          <w:p w14:paraId="2CADEBA8" w14:textId="77777777" w:rsidR="009D4A93" w:rsidRPr="00536CFD" w:rsidRDefault="009D4A93" w:rsidP="009D4A93">
            <w:pPr>
              <w:spacing w:after="0"/>
              <w:jc w:val="center"/>
              <w:rPr>
                <w:rFonts w:eastAsia="Times New Roman"/>
                <w:color w:val="000000"/>
                <w:lang w:eastAsia="zh-CN"/>
              </w:rPr>
            </w:pPr>
            <w:r w:rsidRPr="00536CFD">
              <w:rPr>
                <w:color w:val="000000"/>
              </w:rPr>
              <w:t>0.1</w:t>
            </w:r>
          </w:p>
        </w:tc>
        <w:tc>
          <w:tcPr>
            <w:tcW w:w="889" w:type="dxa"/>
            <w:shd w:val="clear" w:color="auto" w:fill="auto"/>
            <w:vAlign w:val="center"/>
            <w:hideMark/>
          </w:tcPr>
          <w:p w14:paraId="27365AEF"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889" w:type="dxa"/>
            <w:shd w:val="clear" w:color="auto" w:fill="auto"/>
            <w:vAlign w:val="center"/>
            <w:hideMark/>
          </w:tcPr>
          <w:p w14:paraId="6B4B4090"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889" w:type="dxa"/>
            <w:shd w:val="clear" w:color="auto" w:fill="auto"/>
            <w:vAlign w:val="center"/>
            <w:hideMark/>
          </w:tcPr>
          <w:p w14:paraId="40F8C7ED" w14:textId="77777777" w:rsidR="009D4A93" w:rsidRPr="00536CFD" w:rsidRDefault="009D4A93" w:rsidP="009D4A93">
            <w:pPr>
              <w:spacing w:after="0"/>
              <w:jc w:val="center"/>
              <w:rPr>
                <w:rFonts w:eastAsia="Times New Roman"/>
                <w:color w:val="000000"/>
                <w:lang w:eastAsia="zh-CN"/>
              </w:rPr>
            </w:pPr>
            <w:r w:rsidRPr="00536CFD">
              <w:rPr>
                <w:color w:val="000000"/>
              </w:rPr>
              <w:t>0.06</w:t>
            </w:r>
          </w:p>
        </w:tc>
      </w:tr>
      <w:tr w:rsidR="009D4A93" w:rsidRPr="00536CFD" w14:paraId="5F831222" w14:textId="77777777" w:rsidTr="009D4A93">
        <w:trPr>
          <w:trHeight w:val="23"/>
          <w:jc w:val="center"/>
        </w:trPr>
        <w:tc>
          <w:tcPr>
            <w:tcW w:w="513" w:type="dxa"/>
            <w:vMerge/>
          </w:tcPr>
          <w:p w14:paraId="52623EC1" w14:textId="77777777" w:rsidR="009D4A93" w:rsidRPr="00536CFD" w:rsidRDefault="009D4A93" w:rsidP="009D4A93">
            <w:pPr>
              <w:spacing w:after="0"/>
              <w:jc w:val="center"/>
              <w:rPr>
                <w:rFonts w:eastAsia="Times New Roman"/>
                <w:b/>
                <w:bCs/>
                <w:color w:val="000000"/>
                <w:lang w:eastAsia="zh-CN"/>
              </w:rPr>
            </w:pPr>
          </w:p>
        </w:tc>
        <w:tc>
          <w:tcPr>
            <w:tcW w:w="924" w:type="dxa"/>
            <w:vMerge w:val="restart"/>
            <w:shd w:val="clear" w:color="auto" w:fill="auto"/>
            <w:vAlign w:val="center"/>
            <w:hideMark/>
          </w:tcPr>
          <w:p w14:paraId="1E0E4A02"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2539E4A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3906924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857" w:type="dxa"/>
            <w:shd w:val="clear" w:color="auto" w:fill="auto"/>
            <w:vAlign w:val="center"/>
            <w:hideMark/>
          </w:tcPr>
          <w:p w14:paraId="4C27321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889" w:type="dxa"/>
            <w:shd w:val="clear" w:color="auto" w:fill="auto"/>
            <w:vAlign w:val="center"/>
            <w:hideMark/>
          </w:tcPr>
          <w:p w14:paraId="16B99D4F" w14:textId="77777777" w:rsidR="009D4A93" w:rsidRPr="00536CFD" w:rsidRDefault="009D4A93" w:rsidP="009D4A93">
            <w:pPr>
              <w:spacing w:after="0"/>
              <w:jc w:val="center"/>
              <w:rPr>
                <w:rFonts w:eastAsia="Times New Roman"/>
                <w:color w:val="000000"/>
                <w:lang w:eastAsia="zh-CN"/>
              </w:rPr>
            </w:pPr>
            <w:r w:rsidRPr="00536CFD">
              <w:rPr>
                <w:color w:val="000000"/>
              </w:rPr>
              <w:t>14</w:t>
            </w:r>
          </w:p>
        </w:tc>
        <w:tc>
          <w:tcPr>
            <w:tcW w:w="889" w:type="dxa"/>
            <w:shd w:val="clear" w:color="auto" w:fill="auto"/>
            <w:vAlign w:val="center"/>
            <w:hideMark/>
          </w:tcPr>
          <w:p w14:paraId="69D4AA53" w14:textId="77777777" w:rsidR="009D4A93" w:rsidRPr="00536CFD" w:rsidRDefault="009D4A93" w:rsidP="009D4A93">
            <w:pPr>
              <w:spacing w:after="0"/>
              <w:jc w:val="center"/>
              <w:rPr>
                <w:rFonts w:eastAsia="Times New Roman"/>
                <w:color w:val="000000"/>
                <w:lang w:eastAsia="zh-CN"/>
              </w:rPr>
            </w:pPr>
            <w:r w:rsidRPr="00536CFD">
              <w:rPr>
                <w:color w:val="000000"/>
              </w:rPr>
              <w:t>19.78</w:t>
            </w:r>
          </w:p>
        </w:tc>
        <w:tc>
          <w:tcPr>
            <w:tcW w:w="889" w:type="dxa"/>
            <w:shd w:val="clear" w:color="auto" w:fill="auto"/>
            <w:vAlign w:val="center"/>
            <w:hideMark/>
          </w:tcPr>
          <w:p w14:paraId="1E972F0F" w14:textId="77777777" w:rsidR="009D4A93" w:rsidRPr="00536CFD" w:rsidRDefault="009D4A93" w:rsidP="009D4A93">
            <w:pPr>
              <w:spacing w:after="0"/>
              <w:jc w:val="center"/>
              <w:rPr>
                <w:rFonts w:eastAsia="Times New Roman"/>
                <w:color w:val="000000"/>
                <w:lang w:eastAsia="zh-CN"/>
              </w:rPr>
            </w:pPr>
            <w:r w:rsidRPr="00536CFD">
              <w:rPr>
                <w:color w:val="000000"/>
              </w:rPr>
              <w:t>17.78</w:t>
            </w:r>
          </w:p>
        </w:tc>
        <w:tc>
          <w:tcPr>
            <w:tcW w:w="889" w:type="dxa"/>
            <w:shd w:val="clear" w:color="auto" w:fill="auto"/>
            <w:vAlign w:val="center"/>
            <w:hideMark/>
          </w:tcPr>
          <w:p w14:paraId="28F5246C" w14:textId="77777777" w:rsidR="009D4A93" w:rsidRPr="00536CFD" w:rsidRDefault="009D4A93" w:rsidP="009D4A93">
            <w:pPr>
              <w:spacing w:after="0"/>
              <w:jc w:val="center"/>
              <w:rPr>
                <w:rFonts w:eastAsia="Times New Roman"/>
                <w:color w:val="000000"/>
                <w:lang w:eastAsia="zh-CN"/>
              </w:rPr>
            </w:pPr>
            <w:r w:rsidRPr="00536CFD">
              <w:rPr>
                <w:color w:val="000000"/>
              </w:rPr>
              <w:t>24.58</w:t>
            </w:r>
          </w:p>
        </w:tc>
      </w:tr>
      <w:tr w:rsidR="009D4A93" w:rsidRPr="00536CFD" w14:paraId="23A806E5" w14:textId="77777777" w:rsidTr="009D4A93">
        <w:trPr>
          <w:trHeight w:val="23"/>
          <w:jc w:val="center"/>
        </w:trPr>
        <w:tc>
          <w:tcPr>
            <w:tcW w:w="513" w:type="dxa"/>
            <w:vMerge/>
          </w:tcPr>
          <w:p w14:paraId="425B8675" w14:textId="77777777" w:rsidR="009D4A93" w:rsidRPr="00536CFD" w:rsidRDefault="009D4A93" w:rsidP="009D4A93">
            <w:pPr>
              <w:spacing w:after="0"/>
              <w:rPr>
                <w:rFonts w:eastAsia="Times New Roman"/>
                <w:color w:val="000000"/>
                <w:lang w:eastAsia="zh-CN"/>
              </w:rPr>
            </w:pPr>
          </w:p>
        </w:tc>
        <w:tc>
          <w:tcPr>
            <w:tcW w:w="924" w:type="dxa"/>
            <w:vMerge/>
            <w:shd w:val="clear" w:color="auto" w:fill="auto"/>
            <w:vAlign w:val="center"/>
            <w:hideMark/>
          </w:tcPr>
          <w:p w14:paraId="4C4203C1"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1B96E75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889" w:type="dxa"/>
            <w:shd w:val="clear" w:color="auto" w:fill="auto"/>
            <w:vAlign w:val="center"/>
            <w:hideMark/>
          </w:tcPr>
          <w:p w14:paraId="0736DC57" w14:textId="77777777" w:rsidR="009D4A93" w:rsidRPr="00536CFD" w:rsidRDefault="009D4A93" w:rsidP="009D4A93">
            <w:pPr>
              <w:spacing w:after="0"/>
              <w:jc w:val="center"/>
              <w:rPr>
                <w:rFonts w:eastAsia="Times New Roman"/>
                <w:color w:val="000000"/>
                <w:lang w:eastAsia="zh-CN"/>
              </w:rPr>
            </w:pPr>
            <w:r w:rsidRPr="00536CFD">
              <w:rPr>
                <w:color w:val="000000"/>
              </w:rPr>
              <w:t>53.98</w:t>
            </w:r>
          </w:p>
        </w:tc>
        <w:tc>
          <w:tcPr>
            <w:tcW w:w="889" w:type="dxa"/>
            <w:shd w:val="clear" w:color="auto" w:fill="auto"/>
            <w:vAlign w:val="center"/>
            <w:hideMark/>
          </w:tcPr>
          <w:p w14:paraId="5EAFAB41" w14:textId="77777777" w:rsidR="009D4A93" w:rsidRPr="00536CFD" w:rsidRDefault="009D4A93" w:rsidP="009D4A93">
            <w:pPr>
              <w:spacing w:after="0"/>
              <w:jc w:val="center"/>
              <w:rPr>
                <w:rFonts w:eastAsia="Times New Roman"/>
                <w:color w:val="000000"/>
                <w:lang w:eastAsia="zh-CN"/>
              </w:rPr>
            </w:pPr>
            <w:r w:rsidRPr="00536CFD">
              <w:rPr>
                <w:color w:val="000000"/>
              </w:rPr>
              <w:t>66.55</w:t>
            </w:r>
          </w:p>
        </w:tc>
        <w:tc>
          <w:tcPr>
            <w:tcW w:w="889" w:type="dxa"/>
            <w:shd w:val="clear" w:color="auto" w:fill="auto"/>
            <w:vAlign w:val="center"/>
            <w:hideMark/>
          </w:tcPr>
          <w:p w14:paraId="1449B88E" w14:textId="77777777" w:rsidR="009D4A93" w:rsidRPr="00536CFD" w:rsidRDefault="009D4A93" w:rsidP="009D4A93">
            <w:pPr>
              <w:spacing w:after="0"/>
              <w:jc w:val="center"/>
              <w:rPr>
                <w:rFonts w:eastAsia="Times New Roman"/>
                <w:color w:val="000000"/>
                <w:lang w:eastAsia="zh-CN"/>
              </w:rPr>
            </w:pPr>
            <w:r w:rsidRPr="00536CFD">
              <w:rPr>
                <w:color w:val="000000"/>
              </w:rPr>
              <w:t>53.6</w:t>
            </w:r>
          </w:p>
        </w:tc>
        <w:tc>
          <w:tcPr>
            <w:tcW w:w="889" w:type="dxa"/>
            <w:shd w:val="clear" w:color="auto" w:fill="auto"/>
            <w:vAlign w:val="center"/>
            <w:hideMark/>
          </w:tcPr>
          <w:p w14:paraId="6B39CE30" w14:textId="77777777" w:rsidR="009D4A93" w:rsidRPr="00536CFD" w:rsidRDefault="009D4A93" w:rsidP="009D4A93">
            <w:pPr>
              <w:spacing w:after="0"/>
              <w:jc w:val="center"/>
              <w:rPr>
                <w:rFonts w:eastAsia="Times New Roman"/>
                <w:color w:val="000000"/>
                <w:lang w:eastAsia="zh-CN"/>
              </w:rPr>
            </w:pPr>
            <w:r w:rsidRPr="00536CFD">
              <w:rPr>
                <w:color w:val="000000"/>
              </w:rPr>
              <w:t>67.12</w:t>
            </w:r>
          </w:p>
        </w:tc>
      </w:tr>
      <w:tr w:rsidR="009D4A93" w:rsidRPr="00536CFD" w14:paraId="7BDF03B9" w14:textId="77777777" w:rsidTr="009D4A93">
        <w:trPr>
          <w:trHeight w:val="23"/>
          <w:jc w:val="center"/>
        </w:trPr>
        <w:tc>
          <w:tcPr>
            <w:tcW w:w="513" w:type="dxa"/>
            <w:vMerge/>
          </w:tcPr>
          <w:p w14:paraId="001D319F" w14:textId="77777777" w:rsidR="009D4A93" w:rsidRPr="00536CFD" w:rsidRDefault="009D4A93" w:rsidP="009D4A93">
            <w:pPr>
              <w:spacing w:after="0"/>
              <w:rPr>
                <w:rFonts w:eastAsia="Times New Roman"/>
                <w:color w:val="000000"/>
                <w:lang w:eastAsia="zh-CN"/>
              </w:rPr>
            </w:pPr>
          </w:p>
        </w:tc>
        <w:tc>
          <w:tcPr>
            <w:tcW w:w="924" w:type="dxa"/>
            <w:vMerge/>
            <w:shd w:val="clear" w:color="auto" w:fill="auto"/>
            <w:vAlign w:val="center"/>
            <w:hideMark/>
          </w:tcPr>
          <w:p w14:paraId="7B055D9A"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17E4C9A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889" w:type="dxa"/>
            <w:shd w:val="clear" w:color="auto" w:fill="auto"/>
            <w:vAlign w:val="center"/>
            <w:hideMark/>
          </w:tcPr>
          <w:p w14:paraId="3F197C90" w14:textId="77777777" w:rsidR="009D4A93" w:rsidRPr="00536CFD" w:rsidRDefault="009D4A93" w:rsidP="009D4A93">
            <w:pPr>
              <w:spacing w:after="0"/>
              <w:jc w:val="center"/>
              <w:rPr>
                <w:rFonts w:eastAsia="Times New Roman"/>
                <w:color w:val="000000"/>
                <w:lang w:eastAsia="zh-CN"/>
              </w:rPr>
            </w:pPr>
            <w:r w:rsidRPr="00536CFD">
              <w:rPr>
                <w:color w:val="000000"/>
              </w:rPr>
              <w:t>91.19</w:t>
            </w:r>
          </w:p>
        </w:tc>
        <w:tc>
          <w:tcPr>
            <w:tcW w:w="889" w:type="dxa"/>
            <w:shd w:val="clear" w:color="auto" w:fill="auto"/>
            <w:vAlign w:val="center"/>
            <w:hideMark/>
          </w:tcPr>
          <w:p w14:paraId="4FCC792D" w14:textId="77777777" w:rsidR="009D4A93" w:rsidRPr="00536CFD" w:rsidRDefault="009D4A93" w:rsidP="009D4A93">
            <w:pPr>
              <w:spacing w:after="0"/>
              <w:jc w:val="center"/>
              <w:rPr>
                <w:rFonts w:eastAsia="Times New Roman"/>
                <w:color w:val="000000"/>
                <w:lang w:eastAsia="zh-CN"/>
              </w:rPr>
            </w:pPr>
            <w:r w:rsidRPr="00536CFD">
              <w:rPr>
                <w:color w:val="000000"/>
              </w:rPr>
              <w:t>91.39</w:t>
            </w:r>
          </w:p>
        </w:tc>
        <w:tc>
          <w:tcPr>
            <w:tcW w:w="889" w:type="dxa"/>
            <w:shd w:val="clear" w:color="auto" w:fill="auto"/>
            <w:vAlign w:val="center"/>
            <w:hideMark/>
          </w:tcPr>
          <w:p w14:paraId="72519D85" w14:textId="77777777" w:rsidR="009D4A93" w:rsidRPr="00536CFD" w:rsidRDefault="009D4A93" w:rsidP="009D4A93">
            <w:pPr>
              <w:spacing w:after="0"/>
              <w:jc w:val="center"/>
              <w:rPr>
                <w:rFonts w:eastAsia="Times New Roman"/>
                <w:color w:val="000000"/>
                <w:lang w:eastAsia="zh-CN"/>
              </w:rPr>
            </w:pPr>
            <w:r w:rsidRPr="00536CFD">
              <w:rPr>
                <w:color w:val="000000"/>
              </w:rPr>
              <w:t>76.83</w:t>
            </w:r>
          </w:p>
        </w:tc>
        <w:tc>
          <w:tcPr>
            <w:tcW w:w="889" w:type="dxa"/>
            <w:shd w:val="clear" w:color="auto" w:fill="auto"/>
            <w:vAlign w:val="center"/>
            <w:hideMark/>
          </w:tcPr>
          <w:p w14:paraId="4014DFEB" w14:textId="77777777" w:rsidR="009D4A93" w:rsidRPr="00536CFD" w:rsidRDefault="009D4A93" w:rsidP="009D4A93">
            <w:pPr>
              <w:spacing w:after="0"/>
              <w:jc w:val="center"/>
              <w:rPr>
                <w:rFonts w:eastAsia="Times New Roman"/>
                <w:color w:val="000000"/>
                <w:lang w:eastAsia="zh-CN"/>
              </w:rPr>
            </w:pPr>
            <w:r w:rsidRPr="00536CFD">
              <w:rPr>
                <w:color w:val="000000"/>
              </w:rPr>
              <w:t>85.02</w:t>
            </w:r>
          </w:p>
        </w:tc>
      </w:tr>
      <w:tr w:rsidR="009D4A93" w:rsidRPr="00536CFD" w14:paraId="257E0F2C" w14:textId="77777777" w:rsidTr="00E126D2">
        <w:trPr>
          <w:trHeight w:val="23"/>
          <w:jc w:val="center"/>
        </w:trPr>
        <w:tc>
          <w:tcPr>
            <w:tcW w:w="513" w:type="dxa"/>
            <w:vMerge/>
          </w:tcPr>
          <w:p w14:paraId="359EC9BE" w14:textId="77777777" w:rsidR="009D4A93" w:rsidRPr="00536CFD" w:rsidRDefault="009D4A93" w:rsidP="009D4A93">
            <w:pPr>
              <w:spacing w:after="0"/>
              <w:rPr>
                <w:rFonts w:eastAsia="Times New Roman"/>
                <w:color w:val="000000"/>
                <w:lang w:eastAsia="zh-CN"/>
              </w:rPr>
            </w:pPr>
          </w:p>
        </w:tc>
        <w:tc>
          <w:tcPr>
            <w:tcW w:w="924" w:type="dxa"/>
            <w:vMerge/>
            <w:shd w:val="clear" w:color="auto" w:fill="auto"/>
            <w:hideMark/>
          </w:tcPr>
          <w:p w14:paraId="27AE497A"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6445A3C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889" w:type="dxa"/>
            <w:shd w:val="clear" w:color="auto" w:fill="auto"/>
            <w:vAlign w:val="center"/>
            <w:hideMark/>
          </w:tcPr>
          <w:p w14:paraId="5EA94762" w14:textId="77777777" w:rsidR="009D4A93" w:rsidRPr="00536CFD" w:rsidRDefault="009D4A93" w:rsidP="009D4A93">
            <w:pPr>
              <w:spacing w:after="0"/>
              <w:jc w:val="center"/>
              <w:rPr>
                <w:color w:val="000000"/>
              </w:rPr>
            </w:pPr>
            <w:r w:rsidRPr="00536CFD">
              <w:rPr>
                <w:color w:val="000000"/>
              </w:rPr>
              <w:t>55.32</w:t>
            </w:r>
          </w:p>
        </w:tc>
        <w:tc>
          <w:tcPr>
            <w:tcW w:w="889" w:type="dxa"/>
            <w:shd w:val="clear" w:color="auto" w:fill="auto"/>
            <w:vAlign w:val="center"/>
            <w:hideMark/>
          </w:tcPr>
          <w:p w14:paraId="1F2473FD" w14:textId="77777777" w:rsidR="009D4A93" w:rsidRPr="00536CFD" w:rsidRDefault="009D4A93" w:rsidP="009D4A93">
            <w:pPr>
              <w:spacing w:after="0"/>
              <w:jc w:val="center"/>
              <w:rPr>
                <w:color w:val="000000"/>
              </w:rPr>
            </w:pPr>
            <w:r w:rsidRPr="00536CFD">
              <w:rPr>
                <w:color w:val="000000"/>
              </w:rPr>
              <w:t>62.89</w:t>
            </w:r>
          </w:p>
        </w:tc>
        <w:tc>
          <w:tcPr>
            <w:tcW w:w="889" w:type="dxa"/>
            <w:shd w:val="clear" w:color="auto" w:fill="auto"/>
            <w:vAlign w:val="center"/>
            <w:hideMark/>
          </w:tcPr>
          <w:p w14:paraId="54826E47" w14:textId="77777777" w:rsidR="009D4A93" w:rsidRPr="00536CFD" w:rsidRDefault="009D4A93" w:rsidP="009D4A93">
            <w:pPr>
              <w:spacing w:after="0"/>
              <w:jc w:val="center"/>
              <w:rPr>
                <w:color w:val="000000"/>
              </w:rPr>
            </w:pPr>
            <w:r w:rsidRPr="00536CFD">
              <w:rPr>
                <w:color w:val="000000"/>
              </w:rPr>
              <w:t>52.62</w:t>
            </w:r>
          </w:p>
        </w:tc>
        <w:tc>
          <w:tcPr>
            <w:tcW w:w="889" w:type="dxa"/>
            <w:shd w:val="clear" w:color="auto" w:fill="auto"/>
            <w:vAlign w:val="center"/>
            <w:hideMark/>
          </w:tcPr>
          <w:p w14:paraId="2ACD6A91" w14:textId="77777777" w:rsidR="009D4A93" w:rsidRPr="00536CFD" w:rsidRDefault="009D4A93" w:rsidP="009D4A93">
            <w:pPr>
              <w:spacing w:after="0"/>
              <w:jc w:val="center"/>
              <w:rPr>
                <w:color w:val="000000"/>
              </w:rPr>
            </w:pPr>
            <w:r w:rsidRPr="00536CFD">
              <w:rPr>
                <w:color w:val="000000"/>
              </w:rPr>
              <w:t>62.43</w:t>
            </w:r>
          </w:p>
        </w:tc>
      </w:tr>
      <w:tr w:rsidR="009D4A93" w:rsidRPr="00536CFD" w14:paraId="70816D4C" w14:textId="77777777" w:rsidTr="009D4A93">
        <w:trPr>
          <w:trHeight w:val="23"/>
          <w:jc w:val="center"/>
        </w:trPr>
        <w:tc>
          <w:tcPr>
            <w:tcW w:w="513" w:type="dxa"/>
            <w:vMerge/>
          </w:tcPr>
          <w:p w14:paraId="7018E44C" w14:textId="77777777" w:rsidR="009D4A93" w:rsidRPr="00536CFD" w:rsidRDefault="009D4A93" w:rsidP="009D4A93">
            <w:pPr>
              <w:spacing w:after="0"/>
              <w:jc w:val="center"/>
              <w:rPr>
                <w:rFonts w:eastAsia="Times New Roman"/>
                <w:b/>
                <w:bCs/>
                <w:color w:val="000000"/>
                <w:lang w:eastAsia="zh-CN"/>
              </w:rPr>
            </w:pPr>
          </w:p>
        </w:tc>
        <w:tc>
          <w:tcPr>
            <w:tcW w:w="924" w:type="dxa"/>
            <w:vMerge w:val="restart"/>
            <w:shd w:val="clear" w:color="auto" w:fill="auto"/>
            <w:vAlign w:val="center"/>
            <w:hideMark/>
          </w:tcPr>
          <w:p w14:paraId="05FB253C"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0ED0186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60443A2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857" w:type="dxa"/>
            <w:shd w:val="clear" w:color="auto" w:fill="auto"/>
            <w:vAlign w:val="center"/>
            <w:hideMark/>
          </w:tcPr>
          <w:p w14:paraId="34788A4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889" w:type="dxa"/>
            <w:shd w:val="clear" w:color="auto" w:fill="auto"/>
            <w:vAlign w:val="center"/>
            <w:hideMark/>
          </w:tcPr>
          <w:p w14:paraId="0F5D3C35"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889" w:type="dxa"/>
            <w:shd w:val="clear" w:color="auto" w:fill="auto"/>
            <w:vAlign w:val="center"/>
            <w:hideMark/>
          </w:tcPr>
          <w:p w14:paraId="06DB6725"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889" w:type="dxa"/>
            <w:shd w:val="clear" w:color="auto" w:fill="auto"/>
            <w:vAlign w:val="center"/>
            <w:hideMark/>
          </w:tcPr>
          <w:p w14:paraId="2A109829"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889" w:type="dxa"/>
            <w:shd w:val="clear" w:color="auto" w:fill="auto"/>
            <w:vAlign w:val="center"/>
            <w:hideMark/>
          </w:tcPr>
          <w:p w14:paraId="59AA2CB1"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7FD66712" w14:textId="77777777" w:rsidTr="009D4A93">
        <w:trPr>
          <w:trHeight w:val="23"/>
          <w:jc w:val="center"/>
        </w:trPr>
        <w:tc>
          <w:tcPr>
            <w:tcW w:w="513" w:type="dxa"/>
            <w:vMerge/>
          </w:tcPr>
          <w:p w14:paraId="304AE523" w14:textId="77777777" w:rsidR="009D4A93" w:rsidRPr="00536CFD" w:rsidRDefault="009D4A93" w:rsidP="009D4A93">
            <w:pPr>
              <w:spacing w:after="0"/>
              <w:rPr>
                <w:rFonts w:eastAsia="Times New Roman"/>
                <w:color w:val="000000"/>
                <w:lang w:eastAsia="zh-CN"/>
              </w:rPr>
            </w:pPr>
          </w:p>
        </w:tc>
        <w:tc>
          <w:tcPr>
            <w:tcW w:w="924" w:type="dxa"/>
            <w:vMerge/>
            <w:shd w:val="clear" w:color="auto" w:fill="auto"/>
            <w:vAlign w:val="center"/>
            <w:hideMark/>
          </w:tcPr>
          <w:p w14:paraId="4445322D"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2DA2C69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889" w:type="dxa"/>
            <w:shd w:val="clear" w:color="auto" w:fill="auto"/>
            <w:vAlign w:val="center"/>
            <w:hideMark/>
          </w:tcPr>
          <w:p w14:paraId="58AA157A"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889" w:type="dxa"/>
            <w:shd w:val="clear" w:color="auto" w:fill="auto"/>
            <w:vAlign w:val="center"/>
            <w:hideMark/>
          </w:tcPr>
          <w:p w14:paraId="1006DC1D"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889" w:type="dxa"/>
            <w:shd w:val="clear" w:color="auto" w:fill="auto"/>
            <w:vAlign w:val="center"/>
            <w:hideMark/>
          </w:tcPr>
          <w:p w14:paraId="72370280"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889" w:type="dxa"/>
            <w:shd w:val="clear" w:color="auto" w:fill="auto"/>
            <w:vAlign w:val="center"/>
            <w:hideMark/>
          </w:tcPr>
          <w:p w14:paraId="4367CAA8" w14:textId="77777777" w:rsidR="009D4A93" w:rsidRPr="00536CFD" w:rsidRDefault="009D4A93" w:rsidP="009D4A93">
            <w:pPr>
              <w:spacing w:after="0"/>
              <w:jc w:val="center"/>
              <w:rPr>
                <w:rFonts w:eastAsia="Times New Roman"/>
                <w:color w:val="000000"/>
                <w:lang w:eastAsia="zh-CN"/>
              </w:rPr>
            </w:pPr>
            <w:r w:rsidRPr="00536CFD">
              <w:rPr>
                <w:color w:val="000000"/>
              </w:rPr>
              <w:t>0.06</w:t>
            </w:r>
          </w:p>
        </w:tc>
      </w:tr>
      <w:tr w:rsidR="009D4A93" w:rsidRPr="00536CFD" w14:paraId="51EC8FED" w14:textId="77777777" w:rsidTr="009D4A93">
        <w:trPr>
          <w:trHeight w:val="23"/>
          <w:jc w:val="center"/>
        </w:trPr>
        <w:tc>
          <w:tcPr>
            <w:tcW w:w="513" w:type="dxa"/>
            <w:vMerge/>
          </w:tcPr>
          <w:p w14:paraId="5F3D07C9" w14:textId="77777777" w:rsidR="009D4A93" w:rsidRPr="00536CFD" w:rsidRDefault="009D4A93" w:rsidP="009D4A93">
            <w:pPr>
              <w:spacing w:after="0"/>
              <w:rPr>
                <w:rFonts w:eastAsia="Times New Roman"/>
                <w:color w:val="000000"/>
                <w:lang w:eastAsia="zh-CN"/>
              </w:rPr>
            </w:pPr>
          </w:p>
        </w:tc>
        <w:tc>
          <w:tcPr>
            <w:tcW w:w="924" w:type="dxa"/>
            <w:vMerge/>
            <w:shd w:val="clear" w:color="auto" w:fill="auto"/>
            <w:vAlign w:val="center"/>
            <w:hideMark/>
          </w:tcPr>
          <w:p w14:paraId="436099BD"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6BF6BAD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889" w:type="dxa"/>
            <w:shd w:val="clear" w:color="auto" w:fill="auto"/>
            <w:vAlign w:val="center"/>
            <w:hideMark/>
          </w:tcPr>
          <w:p w14:paraId="736A48AE" w14:textId="77777777" w:rsidR="009D4A93" w:rsidRPr="00536CFD" w:rsidRDefault="009D4A93" w:rsidP="009D4A93">
            <w:pPr>
              <w:spacing w:after="0"/>
              <w:jc w:val="center"/>
              <w:rPr>
                <w:rFonts w:eastAsia="Times New Roman"/>
                <w:color w:val="000000"/>
                <w:lang w:eastAsia="zh-CN"/>
              </w:rPr>
            </w:pPr>
            <w:r w:rsidRPr="00536CFD">
              <w:rPr>
                <w:color w:val="000000"/>
              </w:rPr>
              <w:t>0.28</w:t>
            </w:r>
          </w:p>
        </w:tc>
        <w:tc>
          <w:tcPr>
            <w:tcW w:w="889" w:type="dxa"/>
            <w:shd w:val="clear" w:color="auto" w:fill="auto"/>
            <w:vAlign w:val="center"/>
            <w:hideMark/>
          </w:tcPr>
          <w:p w14:paraId="4F732A2E" w14:textId="77777777" w:rsidR="009D4A93" w:rsidRPr="00536CFD" w:rsidRDefault="009D4A93" w:rsidP="009D4A93">
            <w:pPr>
              <w:spacing w:after="0"/>
              <w:jc w:val="center"/>
              <w:rPr>
                <w:rFonts w:eastAsia="Times New Roman"/>
                <w:color w:val="000000"/>
                <w:lang w:eastAsia="zh-CN"/>
              </w:rPr>
            </w:pPr>
            <w:r w:rsidRPr="00536CFD">
              <w:rPr>
                <w:color w:val="000000"/>
              </w:rPr>
              <w:t>0.2</w:t>
            </w:r>
          </w:p>
        </w:tc>
        <w:tc>
          <w:tcPr>
            <w:tcW w:w="889" w:type="dxa"/>
            <w:shd w:val="clear" w:color="auto" w:fill="auto"/>
            <w:vAlign w:val="center"/>
            <w:hideMark/>
          </w:tcPr>
          <w:p w14:paraId="10260101" w14:textId="77777777" w:rsidR="009D4A93" w:rsidRPr="00536CFD" w:rsidRDefault="009D4A93" w:rsidP="009D4A93">
            <w:pPr>
              <w:spacing w:after="0"/>
              <w:jc w:val="center"/>
              <w:rPr>
                <w:rFonts w:eastAsia="Times New Roman"/>
                <w:color w:val="000000"/>
                <w:lang w:eastAsia="zh-CN"/>
              </w:rPr>
            </w:pPr>
            <w:r w:rsidRPr="00536CFD">
              <w:rPr>
                <w:color w:val="000000"/>
              </w:rPr>
              <w:t>0.23</w:t>
            </w:r>
          </w:p>
        </w:tc>
        <w:tc>
          <w:tcPr>
            <w:tcW w:w="889" w:type="dxa"/>
            <w:shd w:val="clear" w:color="auto" w:fill="auto"/>
            <w:vAlign w:val="center"/>
            <w:hideMark/>
          </w:tcPr>
          <w:p w14:paraId="1D01321F" w14:textId="77777777" w:rsidR="009D4A93" w:rsidRPr="00536CFD" w:rsidRDefault="009D4A93" w:rsidP="009D4A93">
            <w:pPr>
              <w:spacing w:after="0"/>
              <w:jc w:val="center"/>
              <w:rPr>
                <w:rFonts w:eastAsia="Times New Roman"/>
                <w:color w:val="000000"/>
                <w:lang w:eastAsia="zh-CN"/>
              </w:rPr>
            </w:pPr>
            <w:r w:rsidRPr="00536CFD">
              <w:rPr>
                <w:color w:val="000000"/>
              </w:rPr>
              <w:t>0.16</w:t>
            </w:r>
          </w:p>
        </w:tc>
      </w:tr>
      <w:tr w:rsidR="009D4A93" w:rsidRPr="00536CFD" w14:paraId="6117746D" w14:textId="77777777" w:rsidTr="009D4A93">
        <w:trPr>
          <w:trHeight w:val="23"/>
          <w:jc w:val="center"/>
        </w:trPr>
        <w:tc>
          <w:tcPr>
            <w:tcW w:w="513" w:type="dxa"/>
            <w:vMerge/>
          </w:tcPr>
          <w:p w14:paraId="7B5A4791" w14:textId="77777777" w:rsidR="009D4A93" w:rsidRPr="00536CFD" w:rsidRDefault="009D4A93" w:rsidP="009D4A93">
            <w:pPr>
              <w:spacing w:after="0"/>
              <w:rPr>
                <w:rFonts w:eastAsia="Times New Roman"/>
                <w:color w:val="000000"/>
                <w:lang w:eastAsia="zh-CN"/>
              </w:rPr>
            </w:pPr>
          </w:p>
        </w:tc>
        <w:tc>
          <w:tcPr>
            <w:tcW w:w="924" w:type="dxa"/>
            <w:vMerge/>
            <w:shd w:val="clear" w:color="auto" w:fill="auto"/>
            <w:hideMark/>
          </w:tcPr>
          <w:p w14:paraId="51788906" w14:textId="77777777" w:rsidR="009D4A93" w:rsidRPr="00536CFD" w:rsidRDefault="009D4A93" w:rsidP="009D4A93">
            <w:pPr>
              <w:spacing w:after="0"/>
              <w:rPr>
                <w:rFonts w:eastAsia="Times New Roman"/>
                <w:color w:val="000000"/>
                <w:lang w:eastAsia="zh-CN"/>
              </w:rPr>
            </w:pPr>
          </w:p>
        </w:tc>
        <w:tc>
          <w:tcPr>
            <w:tcW w:w="857" w:type="dxa"/>
            <w:shd w:val="clear" w:color="auto" w:fill="auto"/>
            <w:vAlign w:val="center"/>
            <w:hideMark/>
          </w:tcPr>
          <w:p w14:paraId="182D950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889" w:type="dxa"/>
            <w:shd w:val="clear" w:color="auto" w:fill="auto"/>
            <w:vAlign w:val="center"/>
            <w:hideMark/>
          </w:tcPr>
          <w:p w14:paraId="27BC06D0" w14:textId="77777777" w:rsidR="009D4A93" w:rsidRPr="00536CFD" w:rsidRDefault="009D4A93" w:rsidP="009D4A93">
            <w:pPr>
              <w:spacing w:after="0"/>
              <w:jc w:val="center"/>
              <w:rPr>
                <w:rFonts w:eastAsia="Times New Roman"/>
                <w:color w:val="000000"/>
                <w:lang w:eastAsia="zh-CN"/>
              </w:rPr>
            </w:pPr>
            <w:r w:rsidRPr="00536CFD">
              <w:rPr>
                <w:color w:val="000000"/>
              </w:rPr>
              <w:t>0.11</w:t>
            </w:r>
          </w:p>
        </w:tc>
        <w:tc>
          <w:tcPr>
            <w:tcW w:w="889" w:type="dxa"/>
            <w:shd w:val="clear" w:color="auto" w:fill="auto"/>
            <w:vAlign w:val="center"/>
            <w:hideMark/>
          </w:tcPr>
          <w:p w14:paraId="735E3366" w14:textId="77777777" w:rsidR="009D4A93" w:rsidRPr="00536CFD" w:rsidRDefault="009D4A93" w:rsidP="009D4A93">
            <w:pPr>
              <w:spacing w:after="0"/>
              <w:jc w:val="center"/>
              <w:rPr>
                <w:rFonts w:eastAsia="Times New Roman"/>
                <w:color w:val="000000"/>
                <w:lang w:eastAsia="zh-CN"/>
              </w:rPr>
            </w:pPr>
            <w:r w:rsidRPr="00536CFD">
              <w:rPr>
                <w:color w:val="000000"/>
              </w:rPr>
              <w:t>0.09</w:t>
            </w:r>
          </w:p>
        </w:tc>
        <w:tc>
          <w:tcPr>
            <w:tcW w:w="889" w:type="dxa"/>
            <w:shd w:val="clear" w:color="auto" w:fill="auto"/>
            <w:vAlign w:val="center"/>
            <w:hideMark/>
          </w:tcPr>
          <w:p w14:paraId="7FE6C816" w14:textId="77777777" w:rsidR="009D4A93" w:rsidRPr="00536CFD" w:rsidRDefault="009D4A93" w:rsidP="009D4A93">
            <w:pPr>
              <w:spacing w:after="0"/>
              <w:jc w:val="center"/>
              <w:rPr>
                <w:rFonts w:eastAsia="Times New Roman"/>
                <w:color w:val="000000"/>
                <w:lang w:eastAsia="zh-CN"/>
              </w:rPr>
            </w:pPr>
            <w:r w:rsidRPr="00536CFD">
              <w:rPr>
                <w:color w:val="000000"/>
              </w:rPr>
              <w:t>0.1</w:t>
            </w:r>
          </w:p>
        </w:tc>
        <w:tc>
          <w:tcPr>
            <w:tcW w:w="889" w:type="dxa"/>
            <w:shd w:val="clear" w:color="auto" w:fill="auto"/>
            <w:vAlign w:val="center"/>
            <w:hideMark/>
          </w:tcPr>
          <w:p w14:paraId="5396F3E5" w14:textId="77777777" w:rsidR="009D4A93" w:rsidRPr="00536CFD" w:rsidRDefault="009D4A93" w:rsidP="009D4A93">
            <w:pPr>
              <w:spacing w:after="0"/>
              <w:jc w:val="center"/>
              <w:rPr>
                <w:rFonts w:eastAsia="Times New Roman"/>
                <w:color w:val="000000"/>
                <w:lang w:eastAsia="zh-CN"/>
              </w:rPr>
            </w:pPr>
            <w:r w:rsidRPr="00536CFD">
              <w:rPr>
                <w:color w:val="000000"/>
              </w:rPr>
              <w:t>0.08</w:t>
            </w:r>
          </w:p>
        </w:tc>
      </w:tr>
      <w:tr w:rsidR="009D4A93" w:rsidRPr="00536CFD" w14:paraId="3B029D9A" w14:textId="77777777" w:rsidTr="009D4A93">
        <w:trPr>
          <w:trHeight w:val="23"/>
          <w:jc w:val="center"/>
        </w:trPr>
        <w:tc>
          <w:tcPr>
            <w:tcW w:w="513" w:type="dxa"/>
            <w:vMerge/>
          </w:tcPr>
          <w:p w14:paraId="5BDA6A70" w14:textId="77777777" w:rsidR="009D4A93" w:rsidRPr="00536CFD" w:rsidRDefault="009D4A93" w:rsidP="009D4A93">
            <w:pPr>
              <w:spacing w:after="0"/>
              <w:jc w:val="center"/>
              <w:rPr>
                <w:rFonts w:eastAsia="Times New Roman"/>
                <w:color w:val="000000"/>
                <w:lang w:eastAsia="zh-CN"/>
              </w:rPr>
            </w:pPr>
          </w:p>
        </w:tc>
        <w:tc>
          <w:tcPr>
            <w:tcW w:w="1781" w:type="dxa"/>
            <w:gridSpan w:val="2"/>
            <w:shd w:val="clear" w:color="auto" w:fill="auto"/>
            <w:vAlign w:val="center"/>
            <w:hideMark/>
          </w:tcPr>
          <w:p w14:paraId="653239A8"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DL</w:t>
            </w:r>
          </w:p>
        </w:tc>
        <w:tc>
          <w:tcPr>
            <w:tcW w:w="889" w:type="dxa"/>
            <w:shd w:val="clear" w:color="auto" w:fill="auto"/>
            <w:vAlign w:val="center"/>
            <w:hideMark/>
          </w:tcPr>
          <w:p w14:paraId="52DABC3E" w14:textId="77777777" w:rsidR="009D4A93" w:rsidRPr="00536CFD" w:rsidRDefault="009D4A93" w:rsidP="009D4A93">
            <w:pPr>
              <w:spacing w:after="0"/>
              <w:jc w:val="center"/>
              <w:rPr>
                <w:rFonts w:eastAsia="Times New Roman"/>
                <w:color w:val="000000"/>
                <w:lang w:eastAsia="zh-CN"/>
              </w:rPr>
            </w:pPr>
            <w:r w:rsidRPr="00536CFD">
              <w:rPr>
                <w:color w:val="000000"/>
              </w:rPr>
              <w:t>99.83%</w:t>
            </w:r>
          </w:p>
        </w:tc>
        <w:tc>
          <w:tcPr>
            <w:tcW w:w="889" w:type="dxa"/>
            <w:shd w:val="clear" w:color="auto" w:fill="auto"/>
            <w:vAlign w:val="center"/>
            <w:hideMark/>
          </w:tcPr>
          <w:p w14:paraId="2C748B0A" w14:textId="77777777" w:rsidR="009D4A93" w:rsidRPr="00536CFD" w:rsidRDefault="009D4A93" w:rsidP="009D4A93">
            <w:pPr>
              <w:spacing w:after="0"/>
              <w:jc w:val="center"/>
              <w:rPr>
                <w:rFonts w:eastAsia="Times New Roman"/>
                <w:color w:val="000000"/>
                <w:lang w:eastAsia="zh-CN"/>
              </w:rPr>
            </w:pPr>
            <w:r w:rsidRPr="00536CFD">
              <w:rPr>
                <w:color w:val="000000"/>
              </w:rPr>
              <w:t>99.68%</w:t>
            </w:r>
          </w:p>
        </w:tc>
        <w:tc>
          <w:tcPr>
            <w:tcW w:w="889" w:type="dxa"/>
            <w:shd w:val="clear" w:color="auto" w:fill="auto"/>
            <w:vAlign w:val="center"/>
            <w:hideMark/>
          </w:tcPr>
          <w:p w14:paraId="0E06C36C" w14:textId="77777777" w:rsidR="009D4A93" w:rsidRPr="00536CFD" w:rsidRDefault="009D4A93" w:rsidP="009D4A93">
            <w:pPr>
              <w:spacing w:after="0"/>
              <w:jc w:val="center"/>
              <w:rPr>
                <w:rFonts w:eastAsia="Times New Roman"/>
                <w:color w:val="000000"/>
                <w:lang w:eastAsia="zh-CN"/>
              </w:rPr>
            </w:pPr>
            <w:r w:rsidRPr="00536CFD">
              <w:rPr>
                <w:color w:val="000000"/>
              </w:rPr>
              <w:t>99.85%</w:t>
            </w:r>
          </w:p>
        </w:tc>
        <w:tc>
          <w:tcPr>
            <w:tcW w:w="889" w:type="dxa"/>
            <w:shd w:val="clear" w:color="auto" w:fill="auto"/>
            <w:vAlign w:val="center"/>
            <w:hideMark/>
          </w:tcPr>
          <w:p w14:paraId="3483AFF8" w14:textId="77777777" w:rsidR="009D4A93" w:rsidRPr="00536CFD" w:rsidRDefault="009D4A93" w:rsidP="009D4A93">
            <w:pPr>
              <w:spacing w:after="0"/>
              <w:jc w:val="center"/>
              <w:rPr>
                <w:rFonts w:eastAsia="Times New Roman"/>
                <w:color w:val="000000"/>
                <w:lang w:eastAsia="zh-CN"/>
              </w:rPr>
            </w:pPr>
            <w:r w:rsidRPr="00536CFD">
              <w:rPr>
                <w:color w:val="000000"/>
              </w:rPr>
              <w:t>99.89%</w:t>
            </w:r>
          </w:p>
        </w:tc>
      </w:tr>
      <w:tr w:rsidR="009D4A93" w:rsidRPr="00536CFD" w14:paraId="61EF1CE7" w14:textId="77777777" w:rsidTr="009D4A93">
        <w:trPr>
          <w:trHeight w:val="23"/>
          <w:jc w:val="center"/>
        </w:trPr>
        <w:tc>
          <w:tcPr>
            <w:tcW w:w="513" w:type="dxa"/>
            <w:vMerge/>
          </w:tcPr>
          <w:p w14:paraId="6E64F4FC" w14:textId="77777777" w:rsidR="009D4A93" w:rsidRPr="00536CFD" w:rsidRDefault="009D4A93" w:rsidP="009D4A93">
            <w:pPr>
              <w:spacing w:after="0"/>
              <w:jc w:val="center"/>
              <w:rPr>
                <w:rFonts w:eastAsia="Times New Roman"/>
                <w:color w:val="000000"/>
                <w:lang w:eastAsia="zh-CN"/>
              </w:rPr>
            </w:pPr>
          </w:p>
        </w:tc>
        <w:tc>
          <w:tcPr>
            <w:tcW w:w="1781" w:type="dxa"/>
            <w:gridSpan w:val="2"/>
            <w:shd w:val="clear" w:color="auto" w:fill="auto"/>
            <w:vAlign w:val="center"/>
            <w:hideMark/>
          </w:tcPr>
          <w:p w14:paraId="321751CC"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UL</w:t>
            </w:r>
          </w:p>
        </w:tc>
        <w:tc>
          <w:tcPr>
            <w:tcW w:w="889" w:type="dxa"/>
            <w:shd w:val="clear" w:color="auto" w:fill="auto"/>
            <w:vAlign w:val="center"/>
            <w:hideMark/>
          </w:tcPr>
          <w:p w14:paraId="43A9C877" w14:textId="77777777" w:rsidR="009D4A93" w:rsidRPr="00536CFD" w:rsidRDefault="009D4A93" w:rsidP="009D4A93">
            <w:pPr>
              <w:spacing w:after="0"/>
              <w:jc w:val="center"/>
              <w:rPr>
                <w:rFonts w:eastAsia="Times New Roman"/>
                <w:color w:val="000000"/>
                <w:lang w:eastAsia="zh-CN"/>
              </w:rPr>
            </w:pPr>
            <w:r w:rsidRPr="00536CFD">
              <w:rPr>
                <w:color w:val="000000"/>
              </w:rPr>
              <w:t>99.69%</w:t>
            </w:r>
          </w:p>
        </w:tc>
        <w:tc>
          <w:tcPr>
            <w:tcW w:w="889" w:type="dxa"/>
            <w:shd w:val="clear" w:color="auto" w:fill="auto"/>
            <w:vAlign w:val="center"/>
            <w:hideMark/>
          </w:tcPr>
          <w:p w14:paraId="637C5066" w14:textId="77777777" w:rsidR="009D4A93" w:rsidRPr="00536CFD" w:rsidRDefault="009D4A93" w:rsidP="009D4A93">
            <w:pPr>
              <w:spacing w:after="0"/>
              <w:jc w:val="center"/>
              <w:rPr>
                <w:rFonts w:eastAsia="Times New Roman"/>
                <w:color w:val="000000"/>
                <w:lang w:eastAsia="zh-CN"/>
              </w:rPr>
            </w:pPr>
            <w:r w:rsidRPr="00536CFD">
              <w:rPr>
                <w:color w:val="000000"/>
              </w:rPr>
              <w:t>99.72%</w:t>
            </w:r>
          </w:p>
        </w:tc>
        <w:tc>
          <w:tcPr>
            <w:tcW w:w="889" w:type="dxa"/>
            <w:shd w:val="clear" w:color="auto" w:fill="auto"/>
            <w:vAlign w:val="center"/>
            <w:hideMark/>
          </w:tcPr>
          <w:p w14:paraId="33254AB9" w14:textId="77777777" w:rsidR="009D4A93" w:rsidRPr="00536CFD" w:rsidRDefault="009D4A93" w:rsidP="009D4A93">
            <w:pPr>
              <w:spacing w:after="0"/>
              <w:jc w:val="center"/>
              <w:rPr>
                <w:rFonts w:eastAsia="Times New Roman"/>
                <w:color w:val="000000"/>
                <w:lang w:eastAsia="zh-CN"/>
              </w:rPr>
            </w:pPr>
            <w:r w:rsidRPr="00536CFD">
              <w:rPr>
                <w:color w:val="000000"/>
              </w:rPr>
              <w:t>99.62%</w:t>
            </w:r>
          </w:p>
        </w:tc>
        <w:tc>
          <w:tcPr>
            <w:tcW w:w="889" w:type="dxa"/>
            <w:shd w:val="clear" w:color="auto" w:fill="auto"/>
            <w:vAlign w:val="center"/>
            <w:hideMark/>
          </w:tcPr>
          <w:p w14:paraId="38B063BD" w14:textId="77777777" w:rsidR="009D4A93" w:rsidRPr="00536CFD" w:rsidRDefault="009D4A93" w:rsidP="009D4A93">
            <w:pPr>
              <w:spacing w:after="0"/>
              <w:jc w:val="center"/>
              <w:rPr>
                <w:rFonts w:eastAsia="Times New Roman"/>
                <w:color w:val="000000"/>
                <w:lang w:eastAsia="zh-CN"/>
              </w:rPr>
            </w:pPr>
            <w:r w:rsidRPr="00536CFD">
              <w:rPr>
                <w:color w:val="000000"/>
              </w:rPr>
              <w:t>99.74%</w:t>
            </w:r>
          </w:p>
        </w:tc>
      </w:tr>
      <w:tr w:rsidR="009D4A93" w:rsidRPr="00536CFD" w14:paraId="211F25AD" w14:textId="77777777" w:rsidTr="009D4A93">
        <w:trPr>
          <w:trHeight w:val="23"/>
          <w:jc w:val="center"/>
        </w:trPr>
        <w:tc>
          <w:tcPr>
            <w:tcW w:w="513" w:type="dxa"/>
            <w:vMerge/>
          </w:tcPr>
          <w:p w14:paraId="2D34C28E" w14:textId="77777777" w:rsidR="009D4A93" w:rsidRPr="00536CFD" w:rsidRDefault="009D4A93" w:rsidP="009D4A93">
            <w:pPr>
              <w:spacing w:after="0"/>
              <w:jc w:val="center"/>
              <w:rPr>
                <w:rFonts w:eastAsia="Times New Roman"/>
                <w:color w:val="000000"/>
                <w:lang w:eastAsia="zh-CN"/>
              </w:rPr>
            </w:pPr>
          </w:p>
        </w:tc>
        <w:tc>
          <w:tcPr>
            <w:tcW w:w="1781" w:type="dxa"/>
            <w:gridSpan w:val="2"/>
            <w:shd w:val="clear" w:color="auto" w:fill="auto"/>
            <w:vAlign w:val="center"/>
            <w:hideMark/>
          </w:tcPr>
          <w:p w14:paraId="5C1885F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BO</w:t>
            </w:r>
          </w:p>
        </w:tc>
        <w:tc>
          <w:tcPr>
            <w:tcW w:w="889" w:type="dxa"/>
            <w:shd w:val="clear" w:color="auto" w:fill="auto"/>
            <w:vAlign w:val="center"/>
            <w:hideMark/>
          </w:tcPr>
          <w:p w14:paraId="33D95B42" w14:textId="77777777" w:rsidR="009D4A93" w:rsidRPr="00536CFD" w:rsidRDefault="009D4A93" w:rsidP="009D4A93">
            <w:pPr>
              <w:spacing w:after="0"/>
              <w:jc w:val="center"/>
              <w:rPr>
                <w:rFonts w:eastAsia="Times New Roman"/>
                <w:color w:val="000000"/>
                <w:lang w:eastAsia="zh-CN"/>
              </w:rPr>
            </w:pPr>
            <w:r w:rsidRPr="00536CFD">
              <w:rPr>
                <w:color w:val="000000"/>
              </w:rPr>
              <w:t>23%</w:t>
            </w:r>
          </w:p>
        </w:tc>
        <w:tc>
          <w:tcPr>
            <w:tcW w:w="889" w:type="dxa"/>
            <w:shd w:val="clear" w:color="auto" w:fill="auto"/>
            <w:vAlign w:val="center"/>
            <w:hideMark/>
          </w:tcPr>
          <w:p w14:paraId="348EC1BA" w14:textId="77777777" w:rsidR="009D4A93" w:rsidRPr="00536CFD" w:rsidRDefault="009D4A93" w:rsidP="009D4A93">
            <w:pPr>
              <w:spacing w:after="0"/>
              <w:jc w:val="center"/>
              <w:rPr>
                <w:rFonts w:eastAsia="Times New Roman"/>
                <w:color w:val="000000"/>
                <w:lang w:eastAsia="zh-CN"/>
              </w:rPr>
            </w:pPr>
            <w:r w:rsidRPr="00536CFD">
              <w:rPr>
                <w:color w:val="000000"/>
              </w:rPr>
              <w:t>19%</w:t>
            </w:r>
          </w:p>
        </w:tc>
        <w:tc>
          <w:tcPr>
            <w:tcW w:w="889" w:type="dxa"/>
            <w:shd w:val="clear" w:color="auto" w:fill="auto"/>
            <w:vAlign w:val="center"/>
            <w:hideMark/>
          </w:tcPr>
          <w:p w14:paraId="63AAD2BC" w14:textId="77777777" w:rsidR="009D4A93" w:rsidRPr="00536CFD" w:rsidRDefault="009D4A93" w:rsidP="009D4A93">
            <w:pPr>
              <w:spacing w:after="0"/>
              <w:jc w:val="center"/>
              <w:rPr>
                <w:rFonts w:eastAsia="Times New Roman"/>
                <w:color w:val="000000"/>
                <w:lang w:eastAsia="zh-CN"/>
              </w:rPr>
            </w:pPr>
            <w:r w:rsidRPr="00536CFD">
              <w:rPr>
                <w:color w:val="000000"/>
              </w:rPr>
              <w:t>20%</w:t>
            </w:r>
          </w:p>
        </w:tc>
        <w:tc>
          <w:tcPr>
            <w:tcW w:w="889" w:type="dxa"/>
            <w:shd w:val="clear" w:color="auto" w:fill="auto"/>
            <w:vAlign w:val="center"/>
            <w:hideMark/>
          </w:tcPr>
          <w:p w14:paraId="2B637228" w14:textId="77777777" w:rsidR="009D4A93" w:rsidRPr="00536CFD" w:rsidRDefault="009D4A93" w:rsidP="009D4A93">
            <w:pPr>
              <w:spacing w:after="0"/>
              <w:jc w:val="center"/>
              <w:rPr>
                <w:rFonts w:eastAsia="Times New Roman"/>
                <w:color w:val="000000"/>
                <w:lang w:eastAsia="zh-CN"/>
              </w:rPr>
            </w:pPr>
            <w:r w:rsidRPr="00536CFD">
              <w:rPr>
                <w:color w:val="000000"/>
              </w:rPr>
              <w:t>17%</w:t>
            </w:r>
          </w:p>
        </w:tc>
      </w:tr>
      <w:tr w:rsidR="009D4A93" w:rsidRPr="00536CFD" w14:paraId="374B80EF" w14:textId="77777777" w:rsidTr="009D4A93">
        <w:trPr>
          <w:trHeight w:val="23"/>
          <w:jc w:val="center"/>
        </w:trPr>
        <w:tc>
          <w:tcPr>
            <w:tcW w:w="513" w:type="dxa"/>
            <w:vMerge/>
          </w:tcPr>
          <w:p w14:paraId="42F519B7" w14:textId="77777777" w:rsidR="009D4A93" w:rsidRPr="00536CFD" w:rsidRDefault="009D4A93" w:rsidP="009D4A93">
            <w:pPr>
              <w:spacing w:after="0"/>
              <w:jc w:val="center"/>
              <w:rPr>
                <w:rFonts w:eastAsia="Times New Roman"/>
                <w:color w:val="000000"/>
                <w:lang w:eastAsia="zh-CN"/>
              </w:rPr>
            </w:pPr>
          </w:p>
        </w:tc>
        <w:tc>
          <w:tcPr>
            <w:tcW w:w="1781" w:type="dxa"/>
            <w:gridSpan w:val="2"/>
            <w:shd w:val="clear" w:color="auto" w:fill="auto"/>
            <w:vAlign w:val="center"/>
            <w:hideMark/>
          </w:tcPr>
          <w:p w14:paraId="4FE86057"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𝜆</w:t>
            </w:r>
          </w:p>
        </w:tc>
        <w:tc>
          <w:tcPr>
            <w:tcW w:w="3556" w:type="dxa"/>
            <w:gridSpan w:val="4"/>
            <w:shd w:val="clear" w:color="auto" w:fill="auto"/>
            <w:vAlign w:val="center"/>
            <w:hideMark/>
          </w:tcPr>
          <w:p w14:paraId="20C4C1C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0.3 files/s</w:t>
            </w:r>
          </w:p>
        </w:tc>
      </w:tr>
      <w:tr w:rsidR="009D4A93" w:rsidRPr="00536CFD" w14:paraId="4ABFE0E1" w14:textId="77777777" w:rsidTr="009D4A93">
        <w:trPr>
          <w:trHeight w:val="23"/>
          <w:jc w:val="center"/>
        </w:trPr>
        <w:tc>
          <w:tcPr>
            <w:tcW w:w="513" w:type="dxa"/>
            <w:vMerge/>
          </w:tcPr>
          <w:p w14:paraId="669E11C9" w14:textId="77777777" w:rsidR="009D4A93" w:rsidRPr="00536CFD" w:rsidRDefault="009D4A93" w:rsidP="009D4A93">
            <w:pPr>
              <w:spacing w:after="0"/>
              <w:jc w:val="center"/>
              <w:rPr>
                <w:rFonts w:eastAsia="Times New Roman"/>
                <w:color w:val="000000"/>
                <w:lang w:eastAsia="zh-CN"/>
              </w:rPr>
            </w:pPr>
          </w:p>
        </w:tc>
        <w:tc>
          <w:tcPr>
            <w:tcW w:w="1781" w:type="dxa"/>
            <w:gridSpan w:val="2"/>
            <w:shd w:val="clear" w:color="auto" w:fill="auto"/>
            <w:vAlign w:val="center"/>
          </w:tcPr>
          <w:p w14:paraId="591D385D" w14:textId="77777777" w:rsidR="009D4A93" w:rsidRPr="00536CFD" w:rsidRDefault="009D4A93" w:rsidP="009D4A93">
            <w:pPr>
              <w:spacing w:after="0"/>
              <w:jc w:val="center"/>
              <w:rPr>
                <w:rFonts w:eastAsia="Times New Roman"/>
                <w:color w:val="000000"/>
                <w:lang w:eastAsia="zh-CN"/>
              </w:rPr>
            </w:pPr>
          </w:p>
        </w:tc>
        <w:tc>
          <w:tcPr>
            <w:tcW w:w="3556" w:type="dxa"/>
            <w:gridSpan w:val="4"/>
            <w:shd w:val="clear" w:color="auto" w:fill="auto"/>
            <w:vAlign w:val="center"/>
          </w:tcPr>
          <w:p w14:paraId="51083AA6" w14:textId="77777777" w:rsidR="009D4A93" w:rsidRPr="00536CFD" w:rsidRDefault="009D4A93" w:rsidP="009D4A93">
            <w:pPr>
              <w:spacing w:after="0"/>
              <w:jc w:val="both"/>
            </w:pPr>
            <w:r w:rsidRPr="00536CFD">
              <w:t>Additional comments:</w:t>
            </w:r>
          </w:p>
          <w:p w14:paraId="43BEDD9A" w14:textId="77777777" w:rsidR="009D4A93" w:rsidRPr="00536CFD" w:rsidRDefault="009D4A93" w:rsidP="009D4A93">
            <w:pPr>
              <w:spacing w:after="0"/>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0C483AFC" w14:textId="77777777" w:rsidR="009D4A93" w:rsidRPr="00536CFD" w:rsidRDefault="009D4A93" w:rsidP="009D4A93">
            <w:pPr>
              <w:spacing w:after="0"/>
              <w:contextualSpacing/>
              <w:rPr>
                <w:lang w:val="en-US" w:bidi="ar"/>
              </w:rPr>
            </w:pPr>
            <w:r w:rsidRPr="00536CFD">
              <w:rPr>
                <w:b/>
                <w:lang w:val="en-US" w:bidi="ar"/>
              </w:rPr>
              <w:t>NRU assumption:</w:t>
            </w:r>
            <w:r w:rsidRPr="00536CFD">
              <w:rPr>
                <w:lang w:val="en-US" w:bidi="ar"/>
              </w:rPr>
              <w:t xml:space="preserve"> 8ms MCOT;  ED=-72dBm; 256 QAM LDPC; 60 kHz SCS NCP; UE processing time capability #1; NR type B for PDSCH, type A for PUSCH</w:t>
            </w:r>
          </w:p>
          <w:p w14:paraId="4A0B8773" w14:textId="77777777" w:rsidR="009D4A93" w:rsidRPr="00536CFD" w:rsidRDefault="009D4A93" w:rsidP="009D4A93">
            <w:pPr>
              <w:spacing w:after="0"/>
              <w:contextualSpacing/>
              <w:rPr>
                <w:lang w:val="en-US" w:bidi="ar"/>
              </w:rPr>
            </w:pPr>
            <w:r w:rsidRPr="00536CFD">
              <w:rPr>
                <w:b/>
                <w:lang w:val="en-US" w:bidi="ar"/>
              </w:rPr>
              <w:t>802.11ax assumption:</w:t>
            </w:r>
            <w:r w:rsidRPr="00536CFD">
              <w:rPr>
                <w:lang w:val="en-US" w:bidi="ar"/>
              </w:rPr>
              <w:t xml:space="preserve"> 4ms TXOP; RTS/CTS disabled for WiFi, NAV set based on L-SIG; PD=-82dBm/ED=--62dBm EDCA; 256 QAM BCC; A-MPDU, 1500B MSDU + 14 B header; Immediate ACK,78.125kHz SCS  GI= 0.8us, HE MU PPDU in DL and HE TB PPDU in UL.</w:t>
            </w:r>
          </w:p>
          <w:p w14:paraId="37581F91" w14:textId="77777777" w:rsidR="009D4A93" w:rsidRPr="00536CFD" w:rsidRDefault="009D4A93" w:rsidP="009D4A93">
            <w:pPr>
              <w:spacing w:after="0"/>
              <w:jc w:val="center"/>
              <w:rPr>
                <w:rFonts w:eastAsia="Times New Roman"/>
                <w:color w:val="000000"/>
                <w:lang w:val="en-US" w:eastAsia="zh-CN"/>
              </w:rPr>
            </w:pPr>
          </w:p>
        </w:tc>
      </w:tr>
    </w:tbl>
    <w:p w14:paraId="3E230476" w14:textId="77777777" w:rsidR="009D4A93" w:rsidRPr="00C64ECB" w:rsidRDefault="009D4A93" w:rsidP="009D4A93">
      <w:pPr>
        <w:keepNext/>
        <w:keepLines/>
        <w:spacing w:before="60"/>
        <w:jc w:val="center"/>
        <w:rPr>
          <w:rFonts w:ascii="Arial" w:hAnsi="Arial"/>
          <w:b/>
          <w:sz w:val="18"/>
          <w:lang w:eastAsia="x-none"/>
        </w:rPr>
      </w:pPr>
    </w:p>
    <w:p w14:paraId="606EEBD8" w14:textId="77777777" w:rsidR="009D4A93" w:rsidRPr="00C64ECB" w:rsidRDefault="009D4A93" w:rsidP="00E126D2">
      <w:pPr>
        <w:pStyle w:val="TH"/>
        <w:pageBreakBefore/>
      </w:pPr>
      <w:r w:rsidRPr="00C64ECB">
        <w:t xml:space="preserve">Table </w:t>
      </w:r>
      <w:r w:rsidRPr="00C64ECB">
        <w:rPr>
          <w:lang w:eastAsia="zh-CN"/>
        </w:rPr>
        <w:t>B1.1-13</w:t>
      </w:r>
      <w:r w:rsidRPr="00C64ECB">
        <w:t>: coexistence results of 11ax and NRU in indoor scenario of scheme 6</w:t>
      </w:r>
    </w:p>
    <w:tbl>
      <w:tblPr>
        <w:tblW w:w="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949"/>
        <w:gridCol w:w="931"/>
        <w:gridCol w:w="970"/>
        <w:gridCol w:w="970"/>
        <w:gridCol w:w="970"/>
        <w:gridCol w:w="970"/>
      </w:tblGrid>
      <w:tr w:rsidR="009D4A93" w:rsidRPr="00536CFD" w14:paraId="3BD6069F" w14:textId="77777777" w:rsidTr="009D4A93">
        <w:trPr>
          <w:trHeight w:val="368"/>
          <w:jc w:val="center"/>
        </w:trPr>
        <w:tc>
          <w:tcPr>
            <w:tcW w:w="535" w:type="dxa"/>
            <w:vMerge w:val="restart"/>
            <w:textDirection w:val="btLr"/>
          </w:tcPr>
          <w:p w14:paraId="1A5ABA87"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val="restart"/>
            <w:shd w:val="clear" w:color="auto" w:fill="auto"/>
            <w:vAlign w:val="center"/>
            <w:hideMark/>
          </w:tcPr>
          <w:p w14:paraId="4CE21583" w14:textId="07FA4CCE" w:rsidR="009D4A93" w:rsidRPr="00536CFD" w:rsidRDefault="00536CFD" w:rsidP="009D4A93">
            <w:pPr>
              <w:spacing w:after="0"/>
              <w:jc w:val="center"/>
              <w:rPr>
                <w:rFonts w:eastAsia="Times New Roman"/>
                <w:color w:val="000000"/>
                <w:lang w:eastAsia="zh-CN"/>
              </w:rPr>
            </w:pPr>
            <w:r w:rsidRPr="00536CFD">
              <w:rPr>
                <w:rFonts w:eastAsia="Times New Roman"/>
                <w:color w:val="000000"/>
                <w:lang w:eastAsia="zh-CN"/>
              </w:rPr>
              <w:t>Reported parameters</w:t>
            </w:r>
          </w:p>
        </w:tc>
        <w:tc>
          <w:tcPr>
            <w:tcW w:w="3880" w:type="dxa"/>
            <w:gridSpan w:val="4"/>
            <w:shd w:val="clear" w:color="auto" w:fill="auto"/>
            <w:vAlign w:val="center"/>
            <w:hideMark/>
          </w:tcPr>
          <w:p w14:paraId="18602772" w14:textId="77777777" w:rsidR="009D4A93" w:rsidRPr="00536CFD" w:rsidRDefault="009D4A93" w:rsidP="009D4A93">
            <w:pPr>
              <w:spacing w:after="0"/>
              <w:jc w:val="center"/>
              <w:rPr>
                <w:rFonts w:eastAsia="Times New Roman"/>
                <w:color w:val="000000"/>
                <w:u w:val="single"/>
                <w:lang w:eastAsia="zh-CN"/>
              </w:rPr>
            </w:pPr>
            <w:r w:rsidRPr="00536CFD">
              <w:rPr>
                <w:color w:val="000000"/>
                <w:u w:val="single"/>
              </w:rPr>
              <w:t>11ax: ED = -72dbm, PD=-82dbm</w:t>
            </w:r>
            <w:r w:rsidRPr="00536CFD">
              <w:rPr>
                <w:color w:val="000000"/>
                <w:u w:val="single"/>
              </w:rPr>
              <w:br/>
              <w:t>NRU: ED = -72dbm</w:t>
            </w:r>
          </w:p>
        </w:tc>
      </w:tr>
      <w:tr w:rsidR="009D4A93" w:rsidRPr="00536CFD" w14:paraId="0C0F69E3" w14:textId="77777777" w:rsidTr="009D4A93">
        <w:trPr>
          <w:trHeight w:val="23"/>
          <w:jc w:val="center"/>
        </w:trPr>
        <w:tc>
          <w:tcPr>
            <w:tcW w:w="535" w:type="dxa"/>
            <w:vMerge/>
            <w:textDirection w:val="btLr"/>
          </w:tcPr>
          <w:p w14:paraId="1CC8E32C"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textDirection w:val="btLr"/>
            <w:hideMark/>
          </w:tcPr>
          <w:p w14:paraId="61BFC78E" w14:textId="77777777" w:rsidR="009D4A93" w:rsidRPr="00536CFD" w:rsidRDefault="009D4A93" w:rsidP="009D4A93">
            <w:pPr>
              <w:spacing w:after="0"/>
              <w:ind w:left="113" w:right="113"/>
              <w:rPr>
                <w:rFonts w:eastAsia="Times New Roman"/>
                <w:color w:val="000000"/>
                <w:lang w:eastAsia="zh-CN"/>
              </w:rPr>
            </w:pPr>
          </w:p>
        </w:tc>
        <w:tc>
          <w:tcPr>
            <w:tcW w:w="970" w:type="dxa"/>
            <w:shd w:val="clear" w:color="auto" w:fill="auto"/>
            <w:vAlign w:val="center"/>
            <w:hideMark/>
          </w:tcPr>
          <w:p w14:paraId="155771B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56B37A1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3E5F85B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c>
          <w:tcPr>
            <w:tcW w:w="970" w:type="dxa"/>
            <w:shd w:val="clear" w:color="auto" w:fill="auto"/>
            <w:vAlign w:val="center"/>
            <w:hideMark/>
          </w:tcPr>
          <w:p w14:paraId="7198C01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r>
      <w:tr w:rsidR="009D4A93" w:rsidRPr="00536CFD" w14:paraId="24C993F1" w14:textId="77777777" w:rsidTr="009D4A93">
        <w:trPr>
          <w:trHeight w:val="23"/>
          <w:jc w:val="center"/>
        </w:trPr>
        <w:tc>
          <w:tcPr>
            <w:tcW w:w="535" w:type="dxa"/>
            <w:vMerge/>
            <w:textDirection w:val="btLr"/>
          </w:tcPr>
          <w:p w14:paraId="465DF06C"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textDirection w:val="btLr"/>
            <w:hideMark/>
          </w:tcPr>
          <w:p w14:paraId="1CDD399A" w14:textId="77777777" w:rsidR="009D4A93" w:rsidRPr="00536CFD" w:rsidRDefault="009D4A93" w:rsidP="009D4A93">
            <w:pPr>
              <w:spacing w:after="0"/>
              <w:ind w:left="113" w:right="113"/>
              <w:rPr>
                <w:rFonts w:eastAsia="Times New Roman"/>
                <w:color w:val="000000"/>
                <w:lang w:eastAsia="zh-CN"/>
              </w:rPr>
            </w:pPr>
          </w:p>
        </w:tc>
        <w:tc>
          <w:tcPr>
            <w:tcW w:w="970" w:type="dxa"/>
            <w:shd w:val="clear" w:color="auto" w:fill="auto"/>
            <w:vAlign w:val="center"/>
            <w:hideMark/>
          </w:tcPr>
          <w:p w14:paraId="6DF77EA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4AC3490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40D5626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552C6FC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37C41A7B" w14:textId="77777777" w:rsidTr="009D4A93">
        <w:trPr>
          <w:trHeight w:val="23"/>
          <w:jc w:val="center"/>
        </w:trPr>
        <w:tc>
          <w:tcPr>
            <w:tcW w:w="535" w:type="dxa"/>
            <w:vMerge/>
            <w:textDirection w:val="btLr"/>
          </w:tcPr>
          <w:p w14:paraId="643D4C2E"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hideMark/>
          </w:tcPr>
          <w:p w14:paraId="1EA0736E" w14:textId="77777777" w:rsidR="009D4A93" w:rsidRPr="00536CFD" w:rsidRDefault="009D4A93" w:rsidP="009D4A93">
            <w:pPr>
              <w:spacing w:after="0"/>
              <w:rPr>
                <w:rFonts w:eastAsia="Times New Roman"/>
                <w:color w:val="000000"/>
                <w:lang w:eastAsia="zh-CN"/>
              </w:rPr>
            </w:pPr>
          </w:p>
        </w:tc>
        <w:tc>
          <w:tcPr>
            <w:tcW w:w="970" w:type="dxa"/>
            <w:shd w:val="clear" w:color="auto" w:fill="auto"/>
            <w:vAlign w:val="center"/>
            <w:hideMark/>
          </w:tcPr>
          <w:p w14:paraId="0C78F9F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181A124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3B3C2BA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0E64455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5FA95CBA" w14:textId="77777777" w:rsidTr="009D4A93">
        <w:trPr>
          <w:trHeight w:val="23"/>
          <w:jc w:val="center"/>
        </w:trPr>
        <w:tc>
          <w:tcPr>
            <w:tcW w:w="535" w:type="dxa"/>
            <w:vMerge w:val="restart"/>
            <w:textDirection w:val="btLr"/>
          </w:tcPr>
          <w:p w14:paraId="7938A34B" w14:textId="77777777" w:rsidR="009D4A93" w:rsidRPr="00536CFD" w:rsidRDefault="009D4A93" w:rsidP="009D4A93">
            <w:pPr>
              <w:spacing w:after="0"/>
              <w:ind w:left="113" w:right="113"/>
              <w:jc w:val="center"/>
              <w:rPr>
                <w:rFonts w:eastAsia="Times New Roman"/>
                <w:b/>
                <w:bCs/>
                <w:color w:val="000000"/>
                <w:lang w:eastAsia="zh-CN"/>
              </w:rPr>
            </w:pPr>
            <w:r w:rsidRPr="00536CFD">
              <w:rPr>
                <w:rFonts w:eastAsia="Times New Roman"/>
                <w:b/>
                <w:bCs/>
                <w:color w:val="000000"/>
                <w:lang w:eastAsia="zh-CN"/>
              </w:rPr>
              <w:t>R-1814085(Source 4)</w:t>
            </w:r>
          </w:p>
        </w:tc>
        <w:tc>
          <w:tcPr>
            <w:tcW w:w="949" w:type="dxa"/>
            <w:vMerge w:val="restart"/>
            <w:shd w:val="clear" w:color="auto" w:fill="auto"/>
            <w:vAlign w:val="center"/>
            <w:hideMark/>
          </w:tcPr>
          <w:p w14:paraId="0CDD6072"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 xml:space="preserve">DL: </w:t>
            </w:r>
          </w:p>
          <w:p w14:paraId="23C9B3F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0C0A715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07ABB3B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611A0610" w14:textId="77777777" w:rsidR="009D4A93" w:rsidRPr="00536CFD" w:rsidRDefault="009D4A93" w:rsidP="009D4A93">
            <w:pPr>
              <w:spacing w:after="0"/>
              <w:jc w:val="center"/>
              <w:rPr>
                <w:rFonts w:eastAsia="Times New Roman"/>
                <w:color w:val="000000"/>
                <w:lang w:eastAsia="zh-CN"/>
              </w:rPr>
            </w:pPr>
            <w:r w:rsidRPr="00536CFD">
              <w:rPr>
                <w:color w:val="000000"/>
              </w:rPr>
              <w:t>15.82</w:t>
            </w:r>
          </w:p>
        </w:tc>
        <w:tc>
          <w:tcPr>
            <w:tcW w:w="970" w:type="dxa"/>
            <w:shd w:val="clear" w:color="auto" w:fill="auto"/>
            <w:vAlign w:val="center"/>
            <w:hideMark/>
          </w:tcPr>
          <w:p w14:paraId="3E676F73" w14:textId="77777777" w:rsidR="009D4A93" w:rsidRPr="00536CFD" w:rsidRDefault="009D4A93" w:rsidP="009D4A93">
            <w:pPr>
              <w:spacing w:after="0"/>
              <w:jc w:val="center"/>
              <w:rPr>
                <w:rFonts w:eastAsia="Times New Roman"/>
                <w:color w:val="000000"/>
                <w:lang w:eastAsia="zh-CN"/>
              </w:rPr>
            </w:pPr>
            <w:r w:rsidRPr="00536CFD">
              <w:rPr>
                <w:color w:val="000000"/>
              </w:rPr>
              <w:t>18.64</w:t>
            </w:r>
          </w:p>
        </w:tc>
        <w:tc>
          <w:tcPr>
            <w:tcW w:w="970" w:type="dxa"/>
            <w:shd w:val="clear" w:color="auto" w:fill="auto"/>
            <w:vAlign w:val="center"/>
            <w:hideMark/>
          </w:tcPr>
          <w:p w14:paraId="212B6E3D" w14:textId="77777777" w:rsidR="009D4A93" w:rsidRPr="00536CFD" w:rsidRDefault="009D4A93" w:rsidP="009D4A93">
            <w:pPr>
              <w:spacing w:after="0"/>
              <w:jc w:val="center"/>
              <w:rPr>
                <w:rFonts w:eastAsia="Times New Roman"/>
                <w:color w:val="000000"/>
                <w:lang w:eastAsia="zh-CN"/>
              </w:rPr>
            </w:pPr>
            <w:r w:rsidRPr="00536CFD">
              <w:rPr>
                <w:color w:val="000000"/>
              </w:rPr>
              <w:t>29.8</w:t>
            </w:r>
          </w:p>
        </w:tc>
        <w:tc>
          <w:tcPr>
            <w:tcW w:w="970" w:type="dxa"/>
            <w:shd w:val="clear" w:color="auto" w:fill="auto"/>
            <w:vAlign w:val="center"/>
            <w:hideMark/>
          </w:tcPr>
          <w:p w14:paraId="1A30DD60" w14:textId="77777777" w:rsidR="009D4A93" w:rsidRPr="00536CFD" w:rsidRDefault="009D4A93" w:rsidP="009D4A93">
            <w:pPr>
              <w:spacing w:after="0"/>
              <w:jc w:val="center"/>
              <w:rPr>
                <w:rFonts w:eastAsia="Times New Roman"/>
                <w:color w:val="000000"/>
                <w:lang w:eastAsia="zh-CN"/>
              </w:rPr>
            </w:pPr>
            <w:r w:rsidRPr="00536CFD">
              <w:rPr>
                <w:color w:val="000000"/>
              </w:rPr>
              <w:t>30.67</w:t>
            </w:r>
          </w:p>
        </w:tc>
      </w:tr>
      <w:tr w:rsidR="009D4A93" w:rsidRPr="00536CFD" w14:paraId="36B010AD" w14:textId="77777777" w:rsidTr="009D4A93">
        <w:trPr>
          <w:trHeight w:val="23"/>
          <w:jc w:val="center"/>
        </w:trPr>
        <w:tc>
          <w:tcPr>
            <w:tcW w:w="535" w:type="dxa"/>
            <w:vMerge/>
          </w:tcPr>
          <w:p w14:paraId="7F5735E4"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4FBB625D"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62B9716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7F40AAFF" w14:textId="77777777" w:rsidR="009D4A93" w:rsidRPr="00536CFD" w:rsidRDefault="009D4A93" w:rsidP="009D4A93">
            <w:pPr>
              <w:spacing w:after="0"/>
              <w:jc w:val="center"/>
              <w:rPr>
                <w:rFonts w:eastAsia="Times New Roman"/>
                <w:color w:val="000000"/>
                <w:lang w:eastAsia="zh-CN"/>
              </w:rPr>
            </w:pPr>
            <w:r w:rsidRPr="00536CFD">
              <w:rPr>
                <w:color w:val="000000"/>
              </w:rPr>
              <w:t>57.3</w:t>
            </w:r>
          </w:p>
        </w:tc>
        <w:tc>
          <w:tcPr>
            <w:tcW w:w="970" w:type="dxa"/>
            <w:shd w:val="clear" w:color="auto" w:fill="auto"/>
            <w:vAlign w:val="center"/>
            <w:hideMark/>
          </w:tcPr>
          <w:p w14:paraId="6EED0161" w14:textId="77777777" w:rsidR="009D4A93" w:rsidRPr="00536CFD" w:rsidRDefault="009D4A93" w:rsidP="009D4A93">
            <w:pPr>
              <w:spacing w:after="0"/>
              <w:jc w:val="center"/>
              <w:rPr>
                <w:rFonts w:eastAsia="Times New Roman"/>
                <w:color w:val="000000"/>
                <w:lang w:eastAsia="zh-CN"/>
              </w:rPr>
            </w:pPr>
            <w:r w:rsidRPr="00536CFD">
              <w:rPr>
                <w:color w:val="000000"/>
              </w:rPr>
              <w:t>68.45</w:t>
            </w:r>
          </w:p>
        </w:tc>
        <w:tc>
          <w:tcPr>
            <w:tcW w:w="970" w:type="dxa"/>
            <w:shd w:val="clear" w:color="auto" w:fill="auto"/>
            <w:vAlign w:val="center"/>
            <w:hideMark/>
          </w:tcPr>
          <w:p w14:paraId="155AD31D" w14:textId="77777777" w:rsidR="009D4A93" w:rsidRPr="00536CFD" w:rsidRDefault="009D4A93" w:rsidP="009D4A93">
            <w:pPr>
              <w:spacing w:after="0"/>
              <w:jc w:val="center"/>
              <w:rPr>
                <w:rFonts w:eastAsia="Times New Roman"/>
                <w:color w:val="000000"/>
                <w:lang w:eastAsia="zh-CN"/>
              </w:rPr>
            </w:pPr>
            <w:r w:rsidRPr="00536CFD">
              <w:rPr>
                <w:color w:val="000000"/>
              </w:rPr>
              <w:t>77.53</w:t>
            </w:r>
          </w:p>
        </w:tc>
        <w:tc>
          <w:tcPr>
            <w:tcW w:w="970" w:type="dxa"/>
            <w:shd w:val="clear" w:color="auto" w:fill="auto"/>
            <w:vAlign w:val="center"/>
            <w:hideMark/>
          </w:tcPr>
          <w:p w14:paraId="5861B02A" w14:textId="77777777" w:rsidR="009D4A93" w:rsidRPr="00536CFD" w:rsidRDefault="009D4A93" w:rsidP="009D4A93">
            <w:pPr>
              <w:spacing w:after="0"/>
              <w:jc w:val="center"/>
              <w:rPr>
                <w:rFonts w:eastAsia="Times New Roman"/>
                <w:color w:val="000000"/>
                <w:lang w:eastAsia="zh-CN"/>
              </w:rPr>
            </w:pPr>
            <w:r w:rsidRPr="00536CFD">
              <w:rPr>
                <w:color w:val="000000"/>
              </w:rPr>
              <w:t>83.06</w:t>
            </w:r>
          </w:p>
        </w:tc>
      </w:tr>
      <w:tr w:rsidR="009D4A93" w:rsidRPr="00536CFD" w14:paraId="23DD2B14" w14:textId="77777777" w:rsidTr="009D4A93">
        <w:trPr>
          <w:trHeight w:val="23"/>
          <w:jc w:val="center"/>
        </w:trPr>
        <w:tc>
          <w:tcPr>
            <w:tcW w:w="535" w:type="dxa"/>
            <w:vMerge/>
          </w:tcPr>
          <w:p w14:paraId="1B7C9963"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16152AF5"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451DB12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1F20F457" w14:textId="77777777" w:rsidR="009D4A93" w:rsidRPr="00536CFD" w:rsidRDefault="009D4A93" w:rsidP="009D4A93">
            <w:pPr>
              <w:spacing w:after="0"/>
              <w:jc w:val="center"/>
              <w:rPr>
                <w:rFonts w:eastAsia="Times New Roman"/>
                <w:color w:val="000000"/>
                <w:lang w:eastAsia="zh-CN"/>
              </w:rPr>
            </w:pPr>
            <w:r w:rsidRPr="00536CFD">
              <w:rPr>
                <w:color w:val="000000"/>
              </w:rPr>
              <w:t>100.87</w:t>
            </w:r>
          </w:p>
        </w:tc>
        <w:tc>
          <w:tcPr>
            <w:tcW w:w="970" w:type="dxa"/>
            <w:shd w:val="clear" w:color="auto" w:fill="auto"/>
            <w:vAlign w:val="center"/>
            <w:hideMark/>
          </w:tcPr>
          <w:p w14:paraId="4E4A6DAB" w14:textId="77777777" w:rsidR="009D4A93" w:rsidRPr="00536CFD" w:rsidRDefault="009D4A93" w:rsidP="009D4A93">
            <w:pPr>
              <w:spacing w:after="0"/>
              <w:jc w:val="center"/>
              <w:rPr>
                <w:rFonts w:eastAsia="Times New Roman"/>
                <w:color w:val="000000"/>
                <w:lang w:eastAsia="zh-CN"/>
              </w:rPr>
            </w:pPr>
            <w:r w:rsidRPr="00536CFD">
              <w:rPr>
                <w:color w:val="000000"/>
              </w:rPr>
              <w:t>101.7</w:t>
            </w:r>
          </w:p>
        </w:tc>
        <w:tc>
          <w:tcPr>
            <w:tcW w:w="970" w:type="dxa"/>
            <w:shd w:val="clear" w:color="auto" w:fill="auto"/>
            <w:vAlign w:val="center"/>
            <w:hideMark/>
          </w:tcPr>
          <w:p w14:paraId="185E1E94" w14:textId="77777777" w:rsidR="009D4A93" w:rsidRPr="00536CFD" w:rsidRDefault="009D4A93" w:rsidP="009D4A93">
            <w:pPr>
              <w:spacing w:after="0"/>
              <w:jc w:val="center"/>
              <w:rPr>
                <w:rFonts w:eastAsia="Times New Roman"/>
                <w:color w:val="000000"/>
                <w:lang w:eastAsia="zh-CN"/>
              </w:rPr>
            </w:pPr>
            <w:r w:rsidRPr="00536CFD">
              <w:rPr>
                <w:color w:val="000000"/>
              </w:rPr>
              <w:t>96.86</w:t>
            </w:r>
          </w:p>
        </w:tc>
        <w:tc>
          <w:tcPr>
            <w:tcW w:w="970" w:type="dxa"/>
            <w:shd w:val="clear" w:color="auto" w:fill="auto"/>
            <w:vAlign w:val="center"/>
            <w:hideMark/>
          </w:tcPr>
          <w:p w14:paraId="6DC7C4FE" w14:textId="77777777" w:rsidR="009D4A93" w:rsidRPr="00536CFD" w:rsidRDefault="009D4A93" w:rsidP="009D4A93">
            <w:pPr>
              <w:spacing w:after="0"/>
              <w:jc w:val="center"/>
              <w:rPr>
                <w:rFonts w:eastAsia="Times New Roman"/>
                <w:color w:val="000000"/>
                <w:lang w:eastAsia="zh-CN"/>
              </w:rPr>
            </w:pPr>
            <w:r w:rsidRPr="00536CFD">
              <w:rPr>
                <w:color w:val="000000"/>
              </w:rPr>
              <w:t>99.24</w:t>
            </w:r>
          </w:p>
        </w:tc>
      </w:tr>
      <w:tr w:rsidR="009D4A93" w:rsidRPr="00536CFD" w14:paraId="102BFD81" w14:textId="77777777" w:rsidTr="00E126D2">
        <w:trPr>
          <w:trHeight w:val="23"/>
          <w:jc w:val="center"/>
        </w:trPr>
        <w:tc>
          <w:tcPr>
            <w:tcW w:w="535" w:type="dxa"/>
            <w:vMerge/>
          </w:tcPr>
          <w:p w14:paraId="76CA59D5"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4BE529BA"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317EAD6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63CED9F3" w14:textId="77777777" w:rsidR="009D4A93" w:rsidRPr="00536CFD" w:rsidRDefault="009D4A93" w:rsidP="009D4A93">
            <w:pPr>
              <w:spacing w:after="0"/>
              <w:jc w:val="center"/>
              <w:rPr>
                <w:color w:val="000000"/>
              </w:rPr>
            </w:pPr>
            <w:r w:rsidRPr="00536CFD">
              <w:rPr>
                <w:color w:val="000000"/>
              </w:rPr>
              <w:t>59.38</w:t>
            </w:r>
          </w:p>
        </w:tc>
        <w:tc>
          <w:tcPr>
            <w:tcW w:w="970" w:type="dxa"/>
            <w:shd w:val="clear" w:color="auto" w:fill="auto"/>
            <w:vAlign w:val="center"/>
            <w:hideMark/>
          </w:tcPr>
          <w:p w14:paraId="118C2C73" w14:textId="77777777" w:rsidR="009D4A93" w:rsidRPr="00536CFD" w:rsidRDefault="009D4A93" w:rsidP="009D4A93">
            <w:pPr>
              <w:spacing w:after="0"/>
              <w:jc w:val="center"/>
              <w:rPr>
                <w:color w:val="000000"/>
              </w:rPr>
            </w:pPr>
            <w:r w:rsidRPr="00536CFD">
              <w:rPr>
                <w:color w:val="000000"/>
              </w:rPr>
              <w:t>66.68</w:t>
            </w:r>
          </w:p>
        </w:tc>
        <w:tc>
          <w:tcPr>
            <w:tcW w:w="970" w:type="dxa"/>
            <w:shd w:val="clear" w:color="auto" w:fill="auto"/>
            <w:vAlign w:val="center"/>
            <w:hideMark/>
          </w:tcPr>
          <w:p w14:paraId="49920434" w14:textId="77777777" w:rsidR="009D4A93" w:rsidRPr="00536CFD" w:rsidRDefault="009D4A93" w:rsidP="009D4A93">
            <w:pPr>
              <w:spacing w:after="0"/>
              <w:jc w:val="center"/>
              <w:rPr>
                <w:color w:val="000000"/>
              </w:rPr>
            </w:pPr>
            <w:r w:rsidRPr="00536CFD">
              <w:rPr>
                <w:color w:val="000000"/>
              </w:rPr>
              <w:t>71.81</w:t>
            </w:r>
          </w:p>
        </w:tc>
        <w:tc>
          <w:tcPr>
            <w:tcW w:w="970" w:type="dxa"/>
            <w:shd w:val="clear" w:color="auto" w:fill="auto"/>
            <w:vAlign w:val="center"/>
            <w:hideMark/>
          </w:tcPr>
          <w:p w14:paraId="01B82339" w14:textId="77777777" w:rsidR="009D4A93" w:rsidRPr="00536CFD" w:rsidRDefault="009D4A93" w:rsidP="009D4A93">
            <w:pPr>
              <w:spacing w:after="0"/>
              <w:jc w:val="center"/>
              <w:rPr>
                <w:color w:val="000000"/>
              </w:rPr>
            </w:pPr>
            <w:r w:rsidRPr="00536CFD">
              <w:rPr>
                <w:color w:val="000000"/>
              </w:rPr>
              <w:t>75.01</w:t>
            </w:r>
          </w:p>
        </w:tc>
      </w:tr>
      <w:tr w:rsidR="009D4A93" w:rsidRPr="00536CFD" w14:paraId="3BF2F83E" w14:textId="77777777" w:rsidTr="009D4A93">
        <w:trPr>
          <w:trHeight w:val="23"/>
          <w:jc w:val="center"/>
        </w:trPr>
        <w:tc>
          <w:tcPr>
            <w:tcW w:w="535" w:type="dxa"/>
            <w:vMerge/>
          </w:tcPr>
          <w:p w14:paraId="02A8EF66" w14:textId="77777777" w:rsidR="009D4A93" w:rsidRPr="00536CFD" w:rsidRDefault="009D4A93" w:rsidP="009D4A93">
            <w:pPr>
              <w:spacing w:after="0"/>
              <w:jc w:val="center"/>
              <w:rPr>
                <w:rFonts w:eastAsia="Times New Roman"/>
                <w:b/>
                <w:bCs/>
                <w:color w:val="000000"/>
                <w:lang w:eastAsia="zh-CN"/>
              </w:rPr>
            </w:pPr>
          </w:p>
        </w:tc>
        <w:tc>
          <w:tcPr>
            <w:tcW w:w="949" w:type="dxa"/>
            <w:shd w:val="clear" w:color="auto" w:fill="auto"/>
            <w:vAlign w:val="center"/>
            <w:hideMark/>
          </w:tcPr>
          <w:p w14:paraId="25F4C2A5"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DL:</w:t>
            </w:r>
          </w:p>
        </w:tc>
        <w:tc>
          <w:tcPr>
            <w:tcW w:w="931" w:type="dxa"/>
            <w:shd w:val="clear" w:color="auto" w:fill="auto"/>
            <w:vAlign w:val="center"/>
            <w:hideMark/>
          </w:tcPr>
          <w:p w14:paraId="39DBFC5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476BD877"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0F5C1EAE"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5C11BDB2"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2FA73041" w14:textId="77777777" w:rsidR="009D4A93" w:rsidRPr="00536CFD" w:rsidRDefault="009D4A93" w:rsidP="009D4A93">
            <w:pPr>
              <w:spacing w:after="0"/>
              <w:jc w:val="center"/>
              <w:rPr>
                <w:rFonts w:eastAsia="Times New Roman"/>
                <w:color w:val="000000"/>
                <w:lang w:eastAsia="zh-CN"/>
              </w:rPr>
            </w:pPr>
            <w:r w:rsidRPr="00536CFD">
              <w:rPr>
                <w:color w:val="000000"/>
              </w:rPr>
              <w:t>0.04</w:t>
            </w:r>
          </w:p>
        </w:tc>
      </w:tr>
      <w:tr w:rsidR="009D4A93" w:rsidRPr="00536CFD" w14:paraId="0410341F" w14:textId="77777777" w:rsidTr="009D4A93">
        <w:trPr>
          <w:trHeight w:val="23"/>
          <w:jc w:val="center"/>
        </w:trPr>
        <w:tc>
          <w:tcPr>
            <w:tcW w:w="535" w:type="dxa"/>
            <w:vMerge/>
          </w:tcPr>
          <w:p w14:paraId="732A3910" w14:textId="77777777" w:rsidR="009D4A93" w:rsidRPr="00536CFD" w:rsidRDefault="009D4A93" w:rsidP="009D4A93">
            <w:pPr>
              <w:spacing w:after="0"/>
              <w:jc w:val="center"/>
              <w:rPr>
                <w:rFonts w:eastAsia="Times New Roman"/>
                <w:color w:val="000000"/>
                <w:lang w:eastAsia="zh-CN"/>
              </w:rPr>
            </w:pPr>
          </w:p>
        </w:tc>
        <w:tc>
          <w:tcPr>
            <w:tcW w:w="949" w:type="dxa"/>
            <w:vMerge w:val="restart"/>
            <w:shd w:val="clear" w:color="auto" w:fill="auto"/>
            <w:vAlign w:val="center"/>
            <w:hideMark/>
          </w:tcPr>
          <w:p w14:paraId="35DC132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56D767D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20B8083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4F20D12B"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390543A0"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1A002546"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970" w:type="dxa"/>
            <w:shd w:val="clear" w:color="auto" w:fill="auto"/>
            <w:vAlign w:val="center"/>
            <w:hideMark/>
          </w:tcPr>
          <w:p w14:paraId="12A2A13C"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6080C732" w14:textId="77777777" w:rsidTr="009D4A93">
        <w:trPr>
          <w:trHeight w:val="23"/>
          <w:jc w:val="center"/>
        </w:trPr>
        <w:tc>
          <w:tcPr>
            <w:tcW w:w="535" w:type="dxa"/>
            <w:vMerge/>
          </w:tcPr>
          <w:p w14:paraId="7CAC3B03"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7660D34E"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B9742D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74ECBE92" w14:textId="77777777" w:rsidR="009D4A93" w:rsidRPr="00536CFD" w:rsidRDefault="009D4A93" w:rsidP="009D4A93">
            <w:pPr>
              <w:spacing w:after="0"/>
              <w:jc w:val="center"/>
              <w:rPr>
                <w:rFonts w:eastAsia="Times New Roman"/>
                <w:color w:val="000000"/>
                <w:lang w:eastAsia="zh-CN"/>
              </w:rPr>
            </w:pPr>
            <w:r w:rsidRPr="00536CFD">
              <w:rPr>
                <w:color w:val="000000"/>
              </w:rPr>
              <w:t>0.25</w:t>
            </w:r>
          </w:p>
        </w:tc>
        <w:tc>
          <w:tcPr>
            <w:tcW w:w="970" w:type="dxa"/>
            <w:shd w:val="clear" w:color="auto" w:fill="auto"/>
            <w:vAlign w:val="center"/>
            <w:hideMark/>
          </w:tcPr>
          <w:p w14:paraId="3957E059" w14:textId="77777777" w:rsidR="009D4A93" w:rsidRPr="00536CFD" w:rsidRDefault="009D4A93" w:rsidP="009D4A93">
            <w:pPr>
              <w:spacing w:after="0"/>
              <w:jc w:val="center"/>
              <w:rPr>
                <w:rFonts w:eastAsia="Times New Roman"/>
                <w:color w:val="000000"/>
                <w:lang w:eastAsia="zh-CN"/>
              </w:rPr>
            </w:pPr>
            <w:r w:rsidRPr="00536CFD">
              <w:rPr>
                <w:color w:val="000000"/>
              </w:rPr>
              <w:t>0.21</w:t>
            </w:r>
          </w:p>
        </w:tc>
        <w:tc>
          <w:tcPr>
            <w:tcW w:w="970" w:type="dxa"/>
            <w:shd w:val="clear" w:color="auto" w:fill="auto"/>
            <w:vAlign w:val="center"/>
            <w:hideMark/>
          </w:tcPr>
          <w:p w14:paraId="7B46932A" w14:textId="77777777" w:rsidR="009D4A93" w:rsidRPr="00536CFD" w:rsidRDefault="009D4A93" w:rsidP="009D4A93">
            <w:pPr>
              <w:spacing w:after="0"/>
              <w:jc w:val="center"/>
              <w:rPr>
                <w:rFonts w:eastAsia="Times New Roman"/>
                <w:color w:val="000000"/>
                <w:lang w:eastAsia="zh-CN"/>
              </w:rPr>
            </w:pPr>
            <w:r w:rsidRPr="00536CFD">
              <w:rPr>
                <w:color w:val="000000"/>
              </w:rPr>
              <w:t>0.14</w:t>
            </w:r>
          </w:p>
        </w:tc>
        <w:tc>
          <w:tcPr>
            <w:tcW w:w="970" w:type="dxa"/>
            <w:shd w:val="clear" w:color="auto" w:fill="auto"/>
            <w:vAlign w:val="center"/>
            <w:hideMark/>
          </w:tcPr>
          <w:p w14:paraId="5D88B47B" w14:textId="77777777" w:rsidR="009D4A93" w:rsidRPr="00536CFD" w:rsidRDefault="009D4A93" w:rsidP="009D4A93">
            <w:pPr>
              <w:spacing w:after="0"/>
              <w:jc w:val="center"/>
              <w:rPr>
                <w:rFonts w:eastAsia="Times New Roman"/>
                <w:color w:val="000000"/>
                <w:lang w:eastAsia="zh-CN"/>
              </w:rPr>
            </w:pPr>
            <w:r w:rsidRPr="00536CFD">
              <w:rPr>
                <w:color w:val="000000"/>
              </w:rPr>
              <w:t>0.13</w:t>
            </w:r>
          </w:p>
        </w:tc>
      </w:tr>
      <w:tr w:rsidR="009D4A93" w:rsidRPr="00536CFD" w14:paraId="464DE4BA" w14:textId="77777777" w:rsidTr="009D4A93">
        <w:trPr>
          <w:trHeight w:val="23"/>
          <w:jc w:val="center"/>
        </w:trPr>
        <w:tc>
          <w:tcPr>
            <w:tcW w:w="535" w:type="dxa"/>
            <w:vMerge/>
          </w:tcPr>
          <w:p w14:paraId="4766B450"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4A203129"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500AD26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4A369175" w14:textId="77777777" w:rsidR="009D4A93" w:rsidRPr="00536CFD" w:rsidRDefault="009D4A93" w:rsidP="009D4A93">
            <w:pPr>
              <w:spacing w:after="0"/>
              <w:jc w:val="center"/>
              <w:rPr>
                <w:rFonts w:eastAsia="Times New Roman"/>
                <w:color w:val="000000"/>
                <w:lang w:eastAsia="zh-CN"/>
              </w:rPr>
            </w:pPr>
            <w:r w:rsidRPr="00536CFD">
              <w:rPr>
                <w:color w:val="000000"/>
              </w:rPr>
              <w:t>0.1</w:t>
            </w:r>
          </w:p>
        </w:tc>
        <w:tc>
          <w:tcPr>
            <w:tcW w:w="970" w:type="dxa"/>
            <w:shd w:val="clear" w:color="auto" w:fill="auto"/>
            <w:vAlign w:val="center"/>
            <w:hideMark/>
          </w:tcPr>
          <w:p w14:paraId="2A771FC1"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970" w:type="dxa"/>
            <w:shd w:val="clear" w:color="auto" w:fill="auto"/>
            <w:vAlign w:val="center"/>
            <w:hideMark/>
          </w:tcPr>
          <w:p w14:paraId="3709F852"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14882707" w14:textId="77777777" w:rsidR="009D4A93" w:rsidRPr="00536CFD" w:rsidRDefault="009D4A93" w:rsidP="009D4A93">
            <w:pPr>
              <w:spacing w:after="0"/>
              <w:jc w:val="center"/>
              <w:rPr>
                <w:rFonts w:eastAsia="Times New Roman"/>
                <w:color w:val="000000"/>
                <w:lang w:eastAsia="zh-CN"/>
              </w:rPr>
            </w:pPr>
            <w:r w:rsidRPr="00536CFD">
              <w:rPr>
                <w:color w:val="000000"/>
              </w:rPr>
              <w:t>0.06</w:t>
            </w:r>
          </w:p>
        </w:tc>
      </w:tr>
      <w:tr w:rsidR="009D4A93" w:rsidRPr="00536CFD" w14:paraId="38CC1DAF" w14:textId="77777777" w:rsidTr="009D4A93">
        <w:trPr>
          <w:trHeight w:val="23"/>
          <w:jc w:val="center"/>
        </w:trPr>
        <w:tc>
          <w:tcPr>
            <w:tcW w:w="535" w:type="dxa"/>
            <w:vMerge/>
          </w:tcPr>
          <w:p w14:paraId="354C7B5A"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522505FC"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716369A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0DD985C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6CEE409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0B2FDEA2" w14:textId="77777777" w:rsidR="009D4A93" w:rsidRPr="00536CFD" w:rsidRDefault="009D4A93" w:rsidP="009D4A93">
            <w:pPr>
              <w:spacing w:after="0"/>
              <w:jc w:val="center"/>
              <w:rPr>
                <w:rFonts w:eastAsia="Times New Roman"/>
                <w:color w:val="000000"/>
                <w:lang w:eastAsia="zh-CN"/>
              </w:rPr>
            </w:pPr>
            <w:r w:rsidRPr="00536CFD">
              <w:rPr>
                <w:color w:val="000000"/>
              </w:rPr>
              <w:t>13.02</w:t>
            </w:r>
          </w:p>
        </w:tc>
        <w:tc>
          <w:tcPr>
            <w:tcW w:w="970" w:type="dxa"/>
            <w:shd w:val="clear" w:color="auto" w:fill="auto"/>
            <w:vAlign w:val="center"/>
            <w:hideMark/>
          </w:tcPr>
          <w:p w14:paraId="467CAC51" w14:textId="77777777" w:rsidR="009D4A93" w:rsidRPr="00536CFD" w:rsidRDefault="009D4A93" w:rsidP="009D4A93">
            <w:pPr>
              <w:spacing w:after="0"/>
              <w:jc w:val="center"/>
              <w:rPr>
                <w:rFonts w:eastAsia="Times New Roman"/>
                <w:color w:val="000000"/>
                <w:lang w:eastAsia="zh-CN"/>
              </w:rPr>
            </w:pPr>
            <w:r w:rsidRPr="00536CFD">
              <w:rPr>
                <w:color w:val="000000"/>
              </w:rPr>
              <w:t>18</w:t>
            </w:r>
          </w:p>
        </w:tc>
        <w:tc>
          <w:tcPr>
            <w:tcW w:w="970" w:type="dxa"/>
            <w:shd w:val="clear" w:color="auto" w:fill="auto"/>
            <w:vAlign w:val="center"/>
            <w:hideMark/>
          </w:tcPr>
          <w:p w14:paraId="37EB737F" w14:textId="77777777" w:rsidR="009D4A93" w:rsidRPr="00536CFD" w:rsidRDefault="009D4A93" w:rsidP="009D4A93">
            <w:pPr>
              <w:spacing w:after="0"/>
              <w:jc w:val="center"/>
              <w:rPr>
                <w:rFonts w:eastAsia="Times New Roman"/>
                <w:color w:val="000000"/>
                <w:lang w:eastAsia="zh-CN"/>
              </w:rPr>
            </w:pPr>
            <w:r w:rsidRPr="00536CFD">
              <w:rPr>
                <w:color w:val="000000"/>
              </w:rPr>
              <w:t>18.16</w:t>
            </w:r>
          </w:p>
        </w:tc>
        <w:tc>
          <w:tcPr>
            <w:tcW w:w="970" w:type="dxa"/>
            <w:shd w:val="clear" w:color="auto" w:fill="auto"/>
            <w:vAlign w:val="center"/>
            <w:hideMark/>
          </w:tcPr>
          <w:p w14:paraId="5EBAA155" w14:textId="77777777" w:rsidR="009D4A93" w:rsidRPr="00536CFD" w:rsidRDefault="009D4A93" w:rsidP="009D4A93">
            <w:pPr>
              <w:spacing w:after="0"/>
              <w:jc w:val="center"/>
              <w:rPr>
                <w:rFonts w:eastAsia="Times New Roman"/>
                <w:color w:val="000000"/>
                <w:lang w:eastAsia="zh-CN"/>
              </w:rPr>
            </w:pPr>
            <w:r w:rsidRPr="00536CFD">
              <w:rPr>
                <w:color w:val="000000"/>
              </w:rPr>
              <w:t>24.58</w:t>
            </w:r>
          </w:p>
        </w:tc>
      </w:tr>
      <w:tr w:rsidR="009D4A93" w:rsidRPr="00536CFD" w14:paraId="2241CE42" w14:textId="77777777" w:rsidTr="009D4A93">
        <w:trPr>
          <w:trHeight w:val="23"/>
          <w:jc w:val="center"/>
        </w:trPr>
        <w:tc>
          <w:tcPr>
            <w:tcW w:w="535" w:type="dxa"/>
            <w:vMerge/>
          </w:tcPr>
          <w:p w14:paraId="099B9A52"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317BE3CD"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8DF092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1F6F53FF" w14:textId="77777777" w:rsidR="009D4A93" w:rsidRPr="00536CFD" w:rsidRDefault="009D4A93" w:rsidP="009D4A93">
            <w:pPr>
              <w:spacing w:after="0"/>
              <w:jc w:val="center"/>
              <w:rPr>
                <w:rFonts w:eastAsia="Times New Roman"/>
                <w:color w:val="000000"/>
                <w:lang w:eastAsia="zh-CN"/>
              </w:rPr>
            </w:pPr>
            <w:r w:rsidRPr="00536CFD">
              <w:rPr>
                <w:color w:val="000000"/>
              </w:rPr>
              <w:t>52.69</w:t>
            </w:r>
          </w:p>
        </w:tc>
        <w:tc>
          <w:tcPr>
            <w:tcW w:w="970" w:type="dxa"/>
            <w:shd w:val="clear" w:color="auto" w:fill="auto"/>
            <w:vAlign w:val="center"/>
            <w:hideMark/>
          </w:tcPr>
          <w:p w14:paraId="0CF618E9" w14:textId="77777777" w:rsidR="009D4A93" w:rsidRPr="00536CFD" w:rsidRDefault="009D4A93" w:rsidP="009D4A93">
            <w:pPr>
              <w:spacing w:after="0"/>
              <w:jc w:val="center"/>
              <w:rPr>
                <w:rFonts w:eastAsia="Times New Roman"/>
                <w:color w:val="000000"/>
                <w:lang w:eastAsia="zh-CN"/>
              </w:rPr>
            </w:pPr>
            <w:r w:rsidRPr="00536CFD">
              <w:rPr>
                <w:color w:val="000000"/>
              </w:rPr>
              <w:t>59.95</w:t>
            </w:r>
          </w:p>
        </w:tc>
        <w:tc>
          <w:tcPr>
            <w:tcW w:w="970" w:type="dxa"/>
            <w:shd w:val="clear" w:color="auto" w:fill="auto"/>
            <w:vAlign w:val="center"/>
            <w:hideMark/>
          </w:tcPr>
          <w:p w14:paraId="582649C2" w14:textId="77777777" w:rsidR="009D4A93" w:rsidRPr="00536CFD" w:rsidRDefault="009D4A93" w:rsidP="009D4A93">
            <w:pPr>
              <w:spacing w:after="0"/>
              <w:jc w:val="center"/>
              <w:rPr>
                <w:rFonts w:eastAsia="Times New Roman"/>
                <w:color w:val="000000"/>
                <w:lang w:eastAsia="zh-CN"/>
              </w:rPr>
            </w:pPr>
            <w:r w:rsidRPr="00536CFD">
              <w:rPr>
                <w:color w:val="000000"/>
              </w:rPr>
              <w:t>54.28</w:t>
            </w:r>
          </w:p>
        </w:tc>
        <w:tc>
          <w:tcPr>
            <w:tcW w:w="970" w:type="dxa"/>
            <w:shd w:val="clear" w:color="auto" w:fill="auto"/>
            <w:vAlign w:val="center"/>
            <w:hideMark/>
          </w:tcPr>
          <w:p w14:paraId="4FE86A46" w14:textId="77777777" w:rsidR="009D4A93" w:rsidRPr="00536CFD" w:rsidRDefault="009D4A93" w:rsidP="009D4A93">
            <w:pPr>
              <w:spacing w:after="0"/>
              <w:jc w:val="center"/>
              <w:rPr>
                <w:rFonts w:eastAsia="Times New Roman"/>
                <w:color w:val="000000"/>
                <w:lang w:eastAsia="zh-CN"/>
              </w:rPr>
            </w:pPr>
            <w:r w:rsidRPr="00536CFD">
              <w:rPr>
                <w:color w:val="000000"/>
              </w:rPr>
              <w:t>67.12</w:t>
            </w:r>
          </w:p>
        </w:tc>
      </w:tr>
      <w:tr w:rsidR="009D4A93" w:rsidRPr="00536CFD" w14:paraId="760C83E7" w14:textId="77777777" w:rsidTr="009D4A93">
        <w:trPr>
          <w:trHeight w:val="23"/>
          <w:jc w:val="center"/>
        </w:trPr>
        <w:tc>
          <w:tcPr>
            <w:tcW w:w="535" w:type="dxa"/>
            <w:vMerge/>
          </w:tcPr>
          <w:p w14:paraId="519270C0"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79FC471E"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5E41542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0B45C7DE" w14:textId="77777777" w:rsidR="009D4A93" w:rsidRPr="00536CFD" w:rsidRDefault="009D4A93" w:rsidP="009D4A93">
            <w:pPr>
              <w:spacing w:after="0"/>
              <w:jc w:val="center"/>
              <w:rPr>
                <w:rFonts w:eastAsia="Times New Roman"/>
                <w:color w:val="000000"/>
                <w:lang w:eastAsia="zh-CN"/>
              </w:rPr>
            </w:pPr>
            <w:r w:rsidRPr="00536CFD">
              <w:rPr>
                <w:color w:val="000000"/>
              </w:rPr>
              <w:t>91.05</w:t>
            </w:r>
          </w:p>
        </w:tc>
        <w:tc>
          <w:tcPr>
            <w:tcW w:w="970" w:type="dxa"/>
            <w:shd w:val="clear" w:color="auto" w:fill="auto"/>
            <w:vAlign w:val="center"/>
            <w:hideMark/>
          </w:tcPr>
          <w:p w14:paraId="0F113A83" w14:textId="77777777" w:rsidR="009D4A93" w:rsidRPr="00536CFD" w:rsidRDefault="009D4A93" w:rsidP="009D4A93">
            <w:pPr>
              <w:spacing w:after="0"/>
              <w:jc w:val="center"/>
              <w:rPr>
                <w:rFonts w:eastAsia="Times New Roman"/>
                <w:color w:val="000000"/>
                <w:lang w:eastAsia="zh-CN"/>
              </w:rPr>
            </w:pPr>
            <w:r w:rsidRPr="00536CFD">
              <w:rPr>
                <w:color w:val="000000"/>
              </w:rPr>
              <w:t>91.69</w:t>
            </w:r>
          </w:p>
        </w:tc>
        <w:tc>
          <w:tcPr>
            <w:tcW w:w="970" w:type="dxa"/>
            <w:shd w:val="clear" w:color="auto" w:fill="auto"/>
            <w:vAlign w:val="center"/>
            <w:hideMark/>
          </w:tcPr>
          <w:p w14:paraId="22FE632C" w14:textId="77777777" w:rsidR="009D4A93" w:rsidRPr="00536CFD" w:rsidRDefault="009D4A93" w:rsidP="009D4A93">
            <w:pPr>
              <w:spacing w:after="0"/>
              <w:jc w:val="center"/>
              <w:rPr>
                <w:rFonts w:eastAsia="Times New Roman"/>
                <w:color w:val="000000"/>
                <w:lang w:eastAsia="zh-CN"/>
              </w:rPr>
            </w:pPr>
            <w:r w:rsidRPr="00536CFD">
              <w:rPr>
                <w:color w:val="000000"/>
              </w:rPr>
              <w:t>76.83</w:t>
            </w:r>
          </w:p>
        </w:tc>
        <w:tc>
          <w:tcPr>
            <w:tcW w:w="970" w:type="dxa"/>
            <w:shd w:val="clear" w:color="auto" w:fill="auto"/>
            <w:vAlign w:val="center"/>
            <w:hideMark/>
          </w:tcPr>
          <w:p w14:paraId="142F4F93" w14:textId="77777777" w:rsidR="009D4A93" w:rsidRPr="00536CFD" w:rsidRDefault="009D4A93" w:rsidP="009D4A93">
            <w:pPr>
              <w:spacing w:after="0"/>
              <w:jc w:val="center"/>
              <w:rPr>
                <w:rFonts w:eastAsia="Times New Roman"/>
                <w:color w:val="000000"/>
                <w:lang w:eastAsia="zh-CN"/>
              </w:rPr>
            </w:pPr>
            <w:r w:rsidRPr="00536CFD">
              <w:rPr>
                <w:color w:val="000000"/>
              </w:rPr>
              <w:t>85.02</w:t>
            </w:r>
          </w:p>
        </w:tc>
      </w:tr>
      <w:tr w:rsidR="009D4A93" w:rsidRPr="00536CFD" w14:paraId="157A9F7E" w14:textId="77777777" w:rsidTr="00E126D2">
        <w:trPr>
          <w:trHeight w:val="23"/>
          <w:jc w:val="center"/>
        </w:trPr>
        <w:tc>
          <w:tcPr>
            <w:tcW w:w="535" w:type="dxa"/>
            <w:vMerge/>
          </w:tcPr>
          <w:p w14:paraId="592D3C63"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37728B64"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405A449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6206E0DF" w14:textId="77777777" w:rsidR="009D4A93" w:rsidRPr="00536CFD" w:rsidRDefault="009D4A93" w:rsidP="009D4A93">
            <w:pPr>
              <w:spacing w:after="0"/>
              <w:jc w:val="center"/>
              <w:rPr>
                <w:color w:val="000000"/>
              </w:rPr>
            </w:pPr>
            <w:r w:rsidRPr="00536CFD">
              <w:rPr>
                <w:color w:val="000000"/>
              </w:rPr>
              <w:t>54.07</w:t>
            </w:r>
          </w:p>
        </w:tc>
        <w:tc>
          <w:tcPr>
            <w:tcW w:w="970" w:type="dxa"/>
            <w:shd w:val="clear" w:color="auto" w:fill="auto"/>
            <w:vAlign w:val="center"/>
            <w:hideMark/>
          </w:tcPr>
          <w:p w14:paraId="3CEDC0CD" w14:textId="77777777" w:rsidR="009D4A93" w:rsidRPr="00536CFD" w:rsidRDefault="009D4A93" w:rsidP="009D4A93">
            <w:pPr>
              <w:spacing w:after="0"/>
              <w:jc w:val="center"/>
              <w:rPr>
                <w:color w:val="000000"/>
              </w:rPr>
            </w:pPr>
            <w:r w:rsidRPr="00536CFD">
              <w:rPr>
                <w:color w:val="000000"/>
              </w:rPr>
              <w:t>59.82</w:t>
            </w:r>
          </w:p>
        </w:tc>
        <w:tc>
          <w:tcPr>
            <w:tcW w:w="970" w:type="dxa"/>
            <w:shd w:val="clear" w:color="auto" w:fill="auto"/>
            <w:vAlign w:val="center"/>
            <w:hideMark/>
          </w:tcPr>
          <w:p w14:paraId="080A40A2" w14:textId="77777777" w:rsidR="009D4A93" w:rsidRPr="00536CFD" w:rsidRDefault="009D4A93" w:rsidP="009D4A93">
            <w:pPr>
              <w:spacing w:after="0"/>
              <w:jc w:val="center"/>
              <w:rPr>
                <w:color w:val="000000"/>
              </w:rPr>
            </w:pPr>
            <w:r w:rsidRPr="00536CFD">
              <w:rPr>
                <w:color w:val="000000"/>
              </w:rPr>
              <w:t>52.86</w:t>
            </w:r>
          </w:p>
        </w:tc>
        <w:tc>
          <w:tcPr>
            <w:tcW w:w="970" w:type="dxa"/>
            <w:shd w:val="clear" w:color="auto" w:fill="auto"/>
            <w:vAlign w:val="center"/>
            <w:hideMark/>
          </w:tcPr>
          <w:p w14:paraId="0C5E3742" w14:textId="77777777" w:rsidR="009D4A93" w:rsidRPr="00536CFD" w:rsidRDefault="009D4A93" w:rsidP="009D4A93">
            <w:pPr>
              <w:spacing w:after="0"/>
              <w:jc w:val="center"/>
              <w:rPr>
                <w:color w:val="000000"/>
              </w:rPr>
            </w:pPr>
            <w:r w:rsidRPr="00536CFD">
              <w:rPr>
                <w:color w:val="000000"/>
              </w:rPr>
              <w:t>62.43</w:t>
            </w:r>
          </w:p>
        </w:tc>
      </w:tr>
      <w:tr w:rsidR="009D4A93" w:rsidRPr="00536CFD" w14:paraId="0E0047B0" w14:textId="77777777" w:rsidTr="009D4A93">
        <w:trPr>
          <w:trHeight w:val="23"/>
          <w:jc w:val="center"/>
        </w:trPr>
        <w:tc>
          <w:tcPr>
            <w:tcW w:w="535" w:type="dxa"/>
            <w:vMerge/>
          </w:tcPr>
          <w:p w14:paraId="1C456750"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2D9926EE"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67773B2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6424ED9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77BC341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0A283074"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42D7859E"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612DD012"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970" w:type="dxa"/>
            <w:shd w:val="clear" w:color="auto" w:fill="auto"/>
            <w:vAlign w:val="center"/>
            <w:hideMark/>
          </w:tcPr>
          <w:p w14:paraId="35941BEE"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11AED48F" w14:textId="77777777" w:rsidTr="009D4A93">
        <w:trPr>
          <w:trHeight w:val="23"/>
          <w:jc w:val="center"/>
        </w:trPr>
        <w:tc>
          <w:tcPr>
            <w:tcW w:w="535" w:type="dxa"/>
            <w:vMerge/>
          </w:tcPr>
          <w:p w14:paraId="3BCAF6B1"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7466B046"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228574A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74D9E570"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970" w:type="dxa"/>
            <w:shd w:val="clear" w:color="auto" w:fill="auto"/>
            <w:vAlign w:val="center"/>
            <w:hideMark/>
          </w:tcPr>
          <w:p w14:paraId="6643FCA9"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5940CCB7"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25FA62D9" w14:textId="77777777" w:rsidR="009D4A93" w:rsidRPr="00536CFD" w:rsidRDefault="009D4A93" w:rsidP="009D4A93">
            <w:pPr>
              <w:spacing w:after="0"/>
              <w:jc w:val="center"/>
              <w:rPr>
                <w:rFonts w:eastAsia="Times New Roman"/>
                <w:color w:val="000000"/>
                <w:lang w:eastAsia="zh-CN"/>
              </w:rPr>
            </w:pPr>
            <w:r w:rsidRPr="00536CFD">
              <w:rPr>
                <w:color w:val="000000"/>
              </w:rPr>
              <w:t>0.06</w:t>
            </w:r>
          </w:p>
        </w:tc>
      </w:tr>
      <w:tr w:rsidR="009D4A93" w:rsidRPr="00536CFD" w14:paraId="602FE0F3" w14:textId="77777777" w:rsidTr="009D4A93">
        <w:trPr>
          <w:trHeight w:val="23"/>
          <w:jc w:val="center"/>
        </w:trPr>
        <w:tc>
          <w:tcPr>
            <w:tcW w:w="535" w:type="dxa"/>
            <w:vMerge/>
          </w:tcPr>
          <w:p w14:paraId="7B1D2E7D"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298D689F"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30F3754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06E7E723" w14:textId="77777777" w:rsidR="009D4A93" w:rsidRPr="00536CFD" w:rsidRDefault="009D4A93" w:rsidP="009D4A93">
            <w:pPr>
              <w:spacing w:after="0"/>
              <w:jc w:val="center"/>
              <w:rPr>
                <w:rFonts w:eastAsia="Times New Roman"/>
                <w:color w:val="000000"/>
                <w:lang w:eastAsia="zh-CN"/>
              </w:rPr>
            </w:pPr>
            <w:r w:rsidRPr="00536CFD">
              <w:rPr>
                <w:color w:val="000000"/>
              </w:rPr>
              <w:t>0.31</w:t>
            </w:r>
          </w:p>
        </w:tc>
        <w:tc>
          <w:tcPr>
            <w:tcW w:w="970" w:type="dxa"/>
            <w:shd w:val="clear" w:color="auto" w:fill="auto"/>
            <w:vAlign w:val="center"/>
            <w:hideMark/>
          </w:tcPr>
          <w:p w14:paraId="099AED3B" w14:textId="77777777" w:rsidR="009D4A93" w:rsidRPr="00536CFD" w:rsidRDefault="009D4A93" w:rsidP="009D4A93">
            <w:pPr>
              <w:spacing w:after="0"/>
              <w:jc w:val="center"/>
              <w:rPr>
                <w:rFonts w:eastAsia="Times New Roman"/>
                <w:color w:val="000000"/>
                <w:lang w:eastAsia="zh-CN"/>
              </w:rPr>
            </w:pPr>
            <w:r w:rsidRPr="00536CFD">
              <w:rPr>
                <w:color w:val="000000"/>
              </w:rPr>
              <w:t>0.22</w:t>
            </w:r>
          </w:p>
        </w:tc>
        <w:tc>
          <w:tcPr>
            <w:tcW w:w="970" w:type="dxa"/>
            <w:shd w:val="clear" w:color="auto" w:fill="auto"/>
            <w:vAlign w:val="center"/>
            <w:hideMark/>
          </w:tcPr>
          <w:p w14:paraId="178B96CD" w14:textId="77777777" w:rsidR="009D4A93" w:rsidRPr="00536CFD" w:rsidRDefault="009D4A93" w:rsidP="009D4A93">
            <w:pPr>
              <w:spacing w:after="0"/>
              <w:jc w:val="center"/>
              <w:rPr>
                <w:rFonts w:eastAsia="Times New Roman"/>
                <w:color w:val="000000"/>
                <w:lang w:eastAsia="zh-CN"/>
              </w:rPr>
            </w:pPr>
            <w:r w:rsidRPr="00536CFD">
              <w:rPr>
                <w:color w:val="000000"/>
              </w:rPr>
              <w:t>0.22</w:t>
            </w:r>
          </w:p>
        </w:tc>
        <w:tc>
          <w:tcPr>
            <w:tcW w:w="970" w:type="dxa"/>
            <w:shd w:val="clear" w:color="auto" w:fill="auto"/>
            <w:vAlign w:val="center"/>
            <w:hideMark/>
          </w:tcPr>
          <w:p w14:paraId="6124E9F2" w14:textId="77777777" w:rsidR="009D4A93" w:rsidRPr="00536CFD" w:rsidRDefault="009D4A93" w:rsidP="009D4A93">
            <w:pPr>
              <w:spacing w:after="0"/>
              <w:jc w:val="center"/>
              <w:rPr>
                <w:rFonts w:eastAsia="Times New Roman"/>
                <w:color w:val="000000"/>
                <w:lang w:eastAsia="zh-CN"/>
              </w:rPr>
            </w:pPr>
            <w:r w:rsidRPr="00536CFD">
              <w:rPr>
                <w:color w:val="000000"/>
              </w:rPr>
              <w:t>0.16</w:t>
            </w:r>
          </w:p>
        </w:tc>
      </w:tr>
      <w:tr w:rsidR="009D4A93" w:rsidRPr="00536CFD" w14:paraId="26BDD854" w14:textId="77777777" w:rsidTr="009D4A93">
        <w:trPr>
          <w:trHeight w:val="23"/>
          <w:jc w:val="center"/>
        </w:trPr>
        <w:tc>
          <w:tcPr>
            <w:tcW w:w="535" w:type="dxa"/>
            <w:vMerge/>
          </w:tcPr>
          <w:p w14:paraId="27D5A3AB"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49F4A559"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4978131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1E80FEF9" w14:textId="77777777" w:rsidR="009D4A93" w:rsidRPr="00536CFD" w:rsidRDefault="009D4A93" w:rsidP="009D4A93">
            <w:pPr>
              <w:spacing w:after="0"/>
              <w:jc w:val="center"/>
              <w:rPr>
                <w:rFonts w:eastAsia="Times New Roman"/>
                <w:color w:val="000000"/>
                <w:lang w:eastAsia="zh-CN"/>
              </w:rPr>
            </w:pPr>
            <w:r w:rsidRPr="00536CFD">
              <w:rPr>
                <w:color w:val="000000"/>
              </w:rPr>
              <w:t>0.11</w:t>
            </w:r>
          </w:p>
        </w:tc>
        <w:tc>
          <w:tcPr>
            <w:tcW w:w="970" w:type="dxa"/>
            <w:shd w:val="clear" w:color="auto" w:fill="auto"/>
            <w:vAlign w:val="center"/>
            <w:hideMark/>
          </w:tcPr>
          <w:p w14:paraId="55C250FA" w14:textId="77777777" w:rsidR="009D4A93" w:rsidRPr="00536CFD" w:rsidRDefault="009D4A93" w:rsidP="009D4A93">
            <w:pPr>
              <w:spacing w:after="0"/>
              <w:jc w:val="center"/>
              <w:rPr>
                <w:rFonts w:eastAsia="Times New Roman"/>
                <w:color w:val="000000"/>
                <w:lang w:eastAsia="zh-CN"/>
              </w:rPr>
            </w:pPr>
            <w:r w:rsidRPr="00536CFD">
              <w:rPr>
                <w:color w:val="000000"/>
              </w:rPr>
              <w:t>0.09</w:t>
            </w:r>
          </w:p>
        </w:tc>
        <w:tc>
          <w:tcPr>
            <w:tcW w:w="970" w:type="dxa"/>
            <w:shd w:val="clear" w:color="auto" w:fill="auto"/>
            <w:vAlign w:val="center"/>
            <w:hideMark/>
          </w:tcPr>
          <w:p w14:paraId="1AA95B58" w14:textId="77777777" w:rsidR="009D4A93" w:rsidRPr="00536CFD" w:rsidRDefault="009D4A93" w:rsidP="009D4A93">
            <w:pPr>
              <w:spacing w:after="0"/>
              <w:jc w:val="center"/>
              <w:rPr>
                <w:rFonts w:eastAsia="Times New Roman"/>
                <w:color w:val="000000"/>
                <w:lang w:eastAsia="zh-CN"/>
              </w:rPr>
            </w:pPr>
            <w:r w:rsidRPr="00536CFD">
              <w:rPr>
                <w:color w:val="000000"/>
              </w:rPr>
              <w:t>0.09</w:t>
            </w:r>
          </w:p>
        </w:tc>
        <w:tc>
          <w:tcPr>
            <w:tcW w:w="970" w:type="dxa"/>
            <w:shd w:val="clear" w:color="auto" w:fill="auto"/>
            <w:vAlign w:val="center"/>
            <w:hideMark/>
          </w:tcPr>
          <w:p w14:paraId="6E21EE3F" w14:textId="77777777" w:rsidR="009D4A93" w:rsidRPr="00536CFD" w:rsidRDefault="009D4A93" w:rsidP="009D4A93">
            <w:pPr>
              <w:spacing w:after="0"/>
              <w:jc w:val="center"/>
              <w:rPr>
                <w:rFonts w:eastAsia="Times New Roman"/>
                <w:color w:val="000000"/>
                <w:lang w:eastAsia="zh-CN"/>
              </w:rPr>
            </w:pPr>
            <w:r w:rsidRPr="00536CFD">
              <w:rPr>
                <w:color w:val="000000"/>
              </w:rPr>
              <w:t>0.08</w:t>
            </w:r>
          </w:p>
        </w:tc>
      </w:tr>
      <w:tr w:rsidR="009D4A93" w:rsidRPr="00536CFD" w14:paraId="12B9FA08" w14:textId="77777777" w:rsidTr="009D4A93">
        <w:trPr>
          <w:trHeight w:val="23"/>
          <w:jc w:val="center"/>
        </w:trPr>
        <w:tc>
          <w:tcPr>
            <w:tcW w:w="535" w:type="dxa"/>
            <w:vMerge/>
          </w:tcPr>
          <w:p w14:paraId="5C20E8A7"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758A3C36"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DL</w:t>
            </w:r>
          </w:p>
        </w:tc>
        <w:tc>
          <w:tcPr>
            <w:tcW w:w="970" w:type="dxa"/>
            <w:shd w:val="clear" w:color="auto" w:fill="auto"/>
            <w:vAlign w:val="center"/>
            <w:hideMark/>
          </w:tcPr>
          <w:p w14:paraId="5334D2E3" w14:textId="77777777" w:rsidR="009D4A93" w:rsidRPr="00536CFD" w:rsidRDefault="009D4A93" w:rsidP="009D4A93">
            <w:pPr>
              <w:spacing w:after="0"/>
              <w:jc w:val="center"/>
              <w:rPr>
                <w:rFonts w:eastAsia="Times New Roman"/>
                <w:color w:val="000000"/>
                <w:lang w:eastAsia="zh-CN"/>
              </w:rPr>
            </w:pPr>
            <w:r w:rsidRPr="00536CFD">
              <w:rPr>
                <w:color w:val="000000"/>
              </w:rPr>
              <w:t>99.77%</w:t>
            </w:r>
          </w:p>
        </w:tc>
        <w:tc>
          <w:tcPr>
            <w:tcW w:w="970" w:type="dxa"/>
            <w:shd w:val="clear" w:color="auto" w:fill="auto"/>
            <w:vAlign w:val="center"/>
            <w:hideMark/>
          </w:tcPr>
          <w:p w14:paraId="2C8B1E44" w14:textId="77777777" w:rsidR="009D4A93" w:rsidRPr="00536CFD" w:rsidRDefault="009D4A93" w:rsidP="009D4A93">
            <w:pPr>
              <w:spacing w:after="0"/>
              <w:jc w:val="center"/>
              <w:rPr>
                <w:rFonts w:eastAsia="Times New Roman"/>
                <w:color w:val="000000"/>
                <w:lang w:eastAsia="zh-CN"/>
              </w:rPr>
            </w:pPr>
            <w:r w:rsidRPr="00536CFD">
              <w:rPr>
                <w:color w:val="000000"/>
              </w:rPr>
              <w:t>99.60%</w:t>
            </w:r>
          </w:p>
        </w:tc>
        <w:tc>
          <w:tcPr>
            <w:tcW w:w="970" w:type="dxa"/>
            <w:shd w:val="clear" w:color="auto" w:fill="auto"/>
            <w:vAlign w:val="center"/>
            <w:hideMark/>
          </w:tcPr>
          <w:p w14:paraId="7014DB56" w14:textId="77777777" w:rsidR="009D4A93" w:rsidRPr="00536CFD" w:rsidRDefault="009D4A93" w:rsidP="009D4A93">
            <w:pPr>
              <w:spacing w:after="0"/>
              <w:jc w:val="center"/>
              <w:rPr>
                <w:rFonts w:eastAsia="Times New Roman"/>
                <w:color w:val="000000"/>
                <w:lang w:eastAsia="zh-CN"/>
              </w:rPr>
            </w:pPr>
            <w:r w:rsidRPr="00536CFD">
              <w:rPr>
                <w:color w:val="000000"/>
              </w:rPr>
              <w:t>99.86%</w:t>
            </w:r>
          </w:p>
        </w:tc>
        <w:tc>
          <w:tcPr>
            <w:tcW w:w="970" w:type="dxa"/>
            <w:shd w:val="clear" w:color="auto" w:fill="auto"/>
            <w:vAlign w:val="center"/>
            <w:hideMark/>
          </w:tcPr>
          <w:p w14:paraId="6B2F5AC4" w14:textId="77777777" w:rsidR="009D4A93" w:rsidRPr="00536CFD" w:rsidRDefault="009D4A93" w:rsidP="009D4A93">
            <w:pPr>
              <w:spacing w:after="0"/>
              <w:jc w:val="center"/>
              <w:rPr>
                <w:rFonts w:eastAsia="Times New Roman"/>
                <w:color w:val="000000"/>
                <w:lang w:eastAsia="zh-CN"/>
              </w:rPr>
            </w:pPr>
            <w:r w:rsidRPr="00536CFD">
              <w:rPr>
                <w:color w:val="000000"/>
              </w:rPr>
              <w:t>99.89%</w:t>
            </w:r>
          </w:p>
        </w:tc>
      </w:tr>
      <w:tr w:rsidR="009D4A93" w:rsidRPr="00536CFD" w14:paraId="2A8CB316" w14:textId="77777777" w:rsidTr="009D4A93">
        <w:trPr>
          <w:trHeight w:val="23"/>
          <w:jc w:val="center"/>
        </w:trPr>
        <w:tc>
          <w:tcPr>
            <w:tcW w:w="535" w:type="dxa"/>
            <w:vMerge/>
          </w:tcPr>
          <w:p w14:paraId="03B9BCE2"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078FD185"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UL</w:t>
            </w:r>
          </w:p>
        </w:tc>
        <w:tc>
          <w:tcPr>
            <w:tcW w:w="970" w:type="dxa"/>
            <w:shd w:val="clear" w:color="auto" w:fill="auto"/>
            <w:vAlign w:val="center"/>
            <w:hideMark/>
          </w:tcPr>
          <w:p w14:paraId="33657D43" w14:textId="77777777" w:rsidR="009D4A93" w:rsidRPr="00536CFD" w:rsidRDefault="009D4A93" w:rsidP="009D4A93">
            <w:pPr>
              <w:spacing w:after="0"/>
              <w:jc w:val="center"/>
              <w:rPr>
                <w:rFonts w:eastAsia="Times New Roman"/>
                <w:color w:val="000000"/>
                <w:lang w:eastAsia="zh-CN"/>
              </w:rPr>
            </w:pPr>
            <w:r w:rsidRPr="00536CFD">
              <w:rPr>
                <w:color w:val="000000"/>
              </w:rPr>
              <w:t>99.68%</w:t>
            </w:r>
          </w:p>
        </w:tc>
        <w:tc>
          <w:tcPr>
            <w:tcW w:w="970" w:type="dxa"/>
            <w:shd w:val="clear" w:color="auto" w:fill="auto"/>
            <w:vAlign w:val="center"/>
            <w:hideMark/>
          </w:tcPr>
          <w:p w14:paraId="578331AE" w14:textId="77777777" w:rsidR="009D4A93" w:rsidRPr="00536CFD" w:rsidRDefault="009D4A93" w:rsidP="009D4A93">
            <w:pPr>
              <w:spacing w:after="0"/>
              <w:jc w:val="center"/>
              <w:rPr>
                <w:rFonts w:eastAsia="Times New Roman"/>
                <w:color w:val="000000"/>
                <w:lang w:eastAsia="zh-CN"/>
              </w:rPr>
            </w:pPr>
            <w:r w:rsidRPr="00536CFD">
              <w:rPr>
                <w:color w:val="000000"/>
              </w:rPr>
              <w:t>99.70%</w:t>
            </w:r>
          </w:p>
        </w:tc>
        <w:tc>
          <w:tcPr>
            <w:tcW w:w="970" w:type="dxa"/>
            <w:shd w:val="clear" w:color="auto" w:fill="auto"/>
            <w:vAlign w:val="center"/>
            <w:hideMark/>
          </w:tcPr>
          <w:p w14:paraId="5F15BED8" w14:textId="77777777" w:rsidR="009D4A93" w:rsidRPr="00536CFD" w:rsidRDefault="009D4A93" w:rsidP="009D4A93">
            <w:pPr>
              <w:spacing w:after="0"/>
              <w:jc w:val="center"/>
              <w:rPr>
                <w:rFonts w:eastAsia="Times New Roman"/>
                <w:color w:val="000000"/>
                <w:lang w:eastAsia="zh-CN"/>
              </w:rPr>
            </w:pPr>
            <w:r w:rsidRPr="00536CFD">
              <w:rPr>
                <w:color w:val="000000"/>
              </w:rPr>
              <w:t>99.65%</w:t>
            </w:r>
          </w:p>
        </w:tc>
        <w:tc>
          <w:tcPr>
            <w:tcW w:w="970" w:type="dxa"/>
            <w:shd w:val="clear" w:color="auto" w:fill="auto"/>
            <w:vAlign w:val="center"/>
            <w:hideMark/>
          </w:tcPr>
          <w:p w14:paraId="60474E1E" w14:textId="77777777" w:rsidR="009D4A93" w:rsidRPr="00536CFD" w:rsidRDefault="009D4A93" w:rsidP="009D4A93">
            <w:pPr>
              <w:spacing w:after="0"/>
              <w:jc w:val="center"/>
              <w:rPr>
                <w:rFonts w:eastAsia="Times New Roman"/>
                <w:color w:val="000000"/>
                <w:lang w:eastAsia="zh-CN"/>
              </w:rPr>
            </w:pPr>
            <w:r w:rsidRPr="00536CFD">
              <w:rPr>
                <w:color w:val="000000"/>
              </w:rPr>
              <w:t>99.74%</w:t>
            </w:r>
          </w:p>
        </w:tc>
      </w:tr>
      <w:tr w:rsidR="009D4A93" w:rsidRPr="00536CFD" w14:paraId="6D14DAD1" w14:textId="77777777" w:rsidTr="009D4A93">
        <w:trPr>
          <w:trHeight w:val="23"/>
          <w:jc w:val="center"/>
        </w:trPr>
        <w:tc>
          <w:tcPr>
            <w:tcW w:w="535" w:type="dxa"/>
            <w:vMerge/>
          </w:tcPr>
          <w:p w14:paraId="72BF12D4"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274245E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BO</w:t>
            </w:r>
          </w:p>
        </w:tc>
        <w:tc>
          <w:tcPr>
            <w:tcW w:w="970" w:type="dxa"/>
            <w:shd w:val="clear" w:color="auto" w:fill="auto"/>
            <w:vAlign w:val="center"/>
            <w:hideMark/>
          </w:tcPr>
          <w:p w14:paraId="34817921" w14:textId="77777777" w:rsidR="009D4A93" w:rsidRPr="00536CFD" w:rsidRDefault="009D4A93" w:rsidP="009D4A93">
            <w:pPr>
              <w:spacing w:after="0"/>
              <w:jc w:val="center"/>
              <w:rPr>
                <w:rFonts w:eastAsia="Times New Roman"/>
                <w:color w:val="000000"/>
                <w:lang w:eastAsia="zh-CN"/>
              </w:rPr>
            </w:pPr>
            <w:r w:rsidRPr="00536CFD">
              <w:rPr>
                <w:color w:val="000000"/>
              </w:rPr>
              <w:t>23%</w:t>
            </w:r>
          </w:p>
        </w:tc>
        <w:tc>
          <w:tcPr>
            <w:tcW w:w="970" w:type="dxa"/>
            <w:shd w:val="clear" w:color="auto" w:fill="auto"/>
            <w:vAlign w:val="center"/>
            <w:hideMark/>
          </w:tcPr>
          <w:p w14:paraId="6610AD45" w14:textId="77777777" w:rsidR="009D4A93" w:rsidRPr="00536CFD" w:rsidRDefault="009D4A93" w:rsidP="009D4A93">
            <w:pPr>
              <w:spacing w:after="0"/>
              <w:jc w:val="center"/>
              <w:rPr>
                <w:rFonts w:eastAsia="Times New Roman"/>
                <w:color w:val="000000"/>
                <w:lang w:eastAsia="zh-CN"/>
              </w:rPr>
            </w:pPr>
            <w:r w:rsidRPr="00536CFD">
              <w:rPr>
                <w:color w:val="000000"/>
              </w:rPr>
              <w:t>19%</w:t>
            </w:r>
          </w:p>
        </w:tc>
        <w:tc>
          <w:tcPr>
            <w:tcW w:w="970" w:type="dxa"/>
            <w:shd w:val="clear" w:color="auto" w:fill="auto"/>
            <w:vAlign w:val="center"/>
            <w:hideMark/>
          </w:tcPr>
          <w:p w14:paraId="28D41871" w14:textId="77777777" w:rsidR="009D4A93" w:rsidRPr="00536CFD" w:rsidRDefault="009D4A93" w:rsidP="009D4A93">
            <w:pPr>
              <w:spacing w:after="0"/>
              <w:jc w:val="center"/>
              <w:rPr>
                <w:rFonts w:eastAsia="Times New Roman"/>
                <w:color w:val="000000"/>
                <w:lang w:eastAsia="zh-CN"/>
              </w:rPr>
            </w:pPr>
            <w:r w:rsidRPr="00536CFD">
              <w:rPr>
                <w:color w:val="000000"/>
              </w:rPr>
              <w:t>20%</w:t>
            </w:r>
          </w:p>
        </w:tc>
        <w:tc>
          <w:tcPr>
            <w:tcW w:w="970" w:type="dxa"/>
            <w:shd w:val="clear" w:color="auto" w:fill="auto"/>
            <w:vAlign w:val="center"/>
            <w:hideMark/>
          </w:tcPr>
          <w:p w14:paraId="6BBA81DD" w14:textId="77777777" w:rsidR="009D4A93" w:rsidRPr="00536CFD" w:rsidRDefault="009D4A93" w:rsidP="009D4A93">
            <w:pPr>
              <w:spacing w:after="0"/>
              <w:jc w:val="center"/>
              <w:rPr>
                <w:rFonts w:eastAsia="Times New Roman"/>
                <w:color w:val="000000"/>
                <w:lang w:eastAsia="zh-CN"/>
              </w:rPr>
            </w:pPr>
            <w:r w:rsidRPr="00536CFD">
              <w:rPr>
                <w:color w:val="000000"/>
              </w:rPr>
              <w:t>17%</w:t>
            </w:r>
          </w:p>
        </w:tc>
      </w:tr>
      <w:tr w:rsidR="009D4A93" w:rsidRPr="00536CFD" w14:paraId="2D68D7F6" w14:textId="77777777" w:rsidTr="009D4A93">
        <w:trPr>
          <w:trHeight w:val="23"/>
          <w:jc w:val="center"/>
        </w:trPr>
        <w:tc>
          <w:tcPr>
            <w:tcW w:w="535" w:type="dxa"/>
            <w:vMerge/>
          </w:tcPr>
          <w:p w14:paraId="541B748B"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3C52D2A3"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𝜆</w:t>
            </w:r>
          </w:p>
        </w:tc>
        <w:tc>
          <w:tcPr>
            <w:tcW w:w="3880" w:type="dxa"/>
            <w:gridSpan w:val="4"/>
            <w:shd w:val="clear" w:color="auto" w:fill="auto"/>
            <w:vAlign w:val="center"/>
            <w:hideMark/>
          </w:tcPr>
          <w:p w14:paraId="50677E6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0.3 files/s</w:t>
            </w:r>
          </w:p>
        </w:tc>
      </w:tr>
      <w:tr w:rsidR="009D4A93" w:rsidRPr="00536CFD" w14:paraId="356CE657" w14:textId="77777777" w:rsidTr="009D4A93">
        <w:trPr>
          <w:trHeight w:val="23"/>
          <w:jc w:val="center"/>
        </w:trPr>
        <w:tc>
          <w:tcPr>
            <w:tcW w:w="535" w:type="dxa"/>
            <w:vMerge/>
          </w:tcPr>
          <w:p w14:paraId="2A31C818"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tcPr>
          <w:p w14:paraId="52D5FE62" w14:textId="77777777" w:rsidR="009D4A93" w:rsidRPr="00536CFD" w:rsidRDefault="009D4A93" w:rsidP="009D4A93">
            <w:pPr>
              <w:spacing w:after="0"/>
              <w:jc w:val="center"/>
              <w:rPr>
                <w:rFonts w:eastAsia="Times New Roman"/>
                <w:color w:val="000000"/>
                <w:lang w:eastAsia="zh-CN"/>
              </w:rPr>
            </w:pPr>
          </w:p>
        </w:tc>
        <w:tc>
          <w:tcPr>
            <w:tcW w:w="3880" w:type="dxa"/>
            <w:gridSpan w:val="4"/>
            <w:shd w:val="clear" w:color="auto" w:fill="auto"/>
            <w:vAlign w:val="center"/>
          </w:tcPr>
          <w:p w14:paraId="768CE23F" w14:textId="77777777" w:rsidR="009D4A93" w:rsidRPr="00536CFD" w:rsidRDefault="009D4A93" w:rsidP="009D4A93">
            <w:pPr>
              <w:jc w:val="both"/>
            </w:pPr>
            <w:r w:rsidRPr="00536CFD">
              <w:t>Additional comments:</w:t>
            </w:r>
          </w:p>
          <w:p w14:paraId="15D07344" w14:textId="77777777" w:rsidR="009D4A93" w:rsidRPr="00536CFD" w:rsidRDefault="009D4A93" w:rsidP="009D4A93">
            <w:pPr>
              <w:spacing w:after="0" w:line="360" w:lineRule="auto"/>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78E2AC3A" w14:textId="77777777" w:rsidR="009D4A93" w:rsidRPr="00536CFD" w:rsidRDefault="009D4A93" w:rsidP="009D4A93">
            <w:pPr>
              <w:spacing w:after="0" w:line="360" w:lineRule="auto"/>
              <w:contextualSpacing/>
              <w:rPr>
                <w:lang w:val="en-US" w:bidi="ar"/>
              </w:rPr>
            </w:pPr>
            <w:r w:rsidRPr="00536CFD">
              <w:rPr>
                <w:b/>
                <w:lang w:val="en-US" w:bidi="ar"/>
              </w:rPr>
              <w:t>NRU assumption:</w:t>
            </w:r>
            <w:r w:rsidRPr="00536CFD">
              <w:rPr>
                <w:lang w:val="en-US" w:bidi="ar"/>
              </w:rPr>
              <w:t xml:space="preserve"> 8ms MCOT;  ED=-72dBm; 256 QAM LDPC; 60 kHz SCS NCP; UE processing time capability #1; NR type B for PDSCH, type A for PUSCH</w:t>
            </w:r>
          </w:p>
          <w:p w14:paraId="2AF61393" w14:textId="77777777" w:rsidR="009D4A93" w:rsidRPr="00536CFD" w:rsidRDefault="009D4A93" w:rsidP="009D4A93">
            <w:pPr>
              <w:spacing w:after="0" w:line="360" w:lineRule="auto"/>
              <w:contextualSpacing/>
              <w:rPr>
                <w:lang w:val="en-US" w:bidi="ar"/>
              </w:rPr>
            </w:pPr>
            <w:r w:rsidRPr="00536CFD">
              <w:rPr>
                <w:b/>
                <w:lang w:val="en-US" w:bidi="ar"/>
              </w:rPr>
              <w:t>802.11ax assumption:</w:t>
            </w:r>
            <w:r w:rsidRPr="00536CFD">
              <w:rPr>
                <w:lang w:val="en-US" w:bidi="ar"/>
              </w:rPr>
              <w:t xml:space="preserve"> 4ms TXOP; RTS/CTS disabled for WiFi, NAV set based on L-SIG; PD=-82dBm/ED=--72dBm EDCA; 256 QAM BCC; A-MPDU, 1500B MSDU + 14 B header; Immediate ACK,78.125kHz SCS  GI= 0.8us, HE MU PPDU in DL and HE TB PPDU in UL.</w:t>
            </w:r>
          </w:p>
          <w:p w14:paraId="3D59B476" w14:textId="77777777" w:rsidR="009D4A93" w:rsidRPr="00536CFD" w:rsidRDefault="009D4A93" w:rsidP="009D4A93">
            <w:pPr>
              <w:spacing w:after="0"/>
              <w:jc w:val="center"/>
              <w:rPr>
                <w:rFonts w:eastAsia="Times New Roman"/>
                <w:color w:val="000000"/>
                <w:lang w:val="en-US" w:eastAsia="zh-CN"/>
              </w:rPr>
            </w:pPr>
          </w:p>
        </w:tc>
      </w:tr>
    </w:tbl>
    <w:p w14:paraId="2DCD586B" w14:textId="77777777" w:rsidR="009D4A93" w:rsidRPr="00C64ECB" w:rsidRDefault="009D4A93" w:rsidP="009D4A93">
      <w:pPr>
        <w:keepNext/>
        <w:keepLines/>
        <w:spacing w:before="60"/>
        <w:jc w:val="center"/>
        <w:rPr>
          <w:rFonts w:ascii="Arial" w:hAnsi="Arial"/>
          <w:b/>
          <w:sz w:val="18"/>
          <w:lang w:eastAsia="x-none"/>
        </w:rPr>
      </w:pPr>
    </w:p>
    <w:p w14:paraId="39C5DF48" w14:textId="77777777" w:rsidR="009D4A93" w:rsidRPr="00C64ECB" w:rsidRDefault="009D4A93" w:rsidP="003A0B03">
      <w:pPr>
        <w:pStyle w:val="TH"/>
        <w:pageBreakBefore/>
      </w:pPr>
      <w:r w:rsidRPr="00C64ECB">
        <w:t>Table B.1.1-14: coexistence results of 11ax and NRU in indoor scenario of scheme 7</w:t>
      </w:r>
    </w:p>
    <w:tbl>
      <w:tblPr>
        <w:tblW w:w="6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947"/>
        <w:gridCol w:w="927"/>
        <w:gridCol w:w="968"/>
        <w:gridCol w:w="968"/>
        <w:gridCol w:w="968"/>
        <w:gridCol w:w="968"/>
      </w:tblGrid>
      <w:tr w:rsidR="009D4A93" w:rsidRPr="00536CFD" w14:paraId="20C3DC93" w14:textId="77777777" w:rsidTr="009D4A93">
        <w:trPr>
          <w:trHeight w:val="368"/>
          <w:jc w:val="center"/>
        </w:trPr>
        <w:tc>
          <w:tcPr>
            <w:tcW w:w="445" w:type="dxa"/>
            <w:vMerge w:val="restart"/>
            <w:textDirection w:val="btLr"/>
          </w:tcPr>
          <w:p w14:paraId="7713A1E6"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val="restart"/>
            <w:shd w:val="clear" w:color="auto" w:fill="auto"/>
            <w:vAlign w:val="center"/>
            <w:hideMark/>
          </w:tcPr>
          <w:p w14:paraId="1F19CDAD" w14:textId="4BE70E00" w:rsidR="009D4A93" w:rsidRPr="00536CFD" w:rsidRDefault="00536CFD" w:rsidP="009D4A93">
            <w:pPr>
              <w:spacing w:after="0"/>
              <w:jc w:val="center"/>
              <w:rPr>
                <w:rFonts w:eastAsia="Times New Roman"/>
                <w:color w:val="000000"/>
                <w:lang w:eastAsia="zh-CN"/>
              </w:rPr>
            </w:pPr>
            <w:r w:rsidRPr="00536CFD">
              <w:rPr>
                <w:rFonts w:eastAsia="Times New Roman"/>
                <w:color w:val="000000"/>
                <w:lang w:eastAsia="zh-CN"/>
              </w:rPr>
              <w:t>Reported parameters</w:t>
            </w:r>
          </w:p>
        </w:tc>
        <w:tc>
          <w:tcPr>
            <w:tcW w:w="3880" w:type="dxa"/>
            <w:gridSpan w:val="4"/>
            <w:shd w:val="clear" w:color="auto" w:fill="auto"/>
            <w:vAlign w:val="center"/>
            <w:hideMark/>
          </w:tcPr>
          <w:p w14:paraId="3BF42889" w14:textId="77777777" w:rsidR="009D4A93" w:rsidRPr="00536CFD" w:rsidRDefault="009D4A93" w:rsidP="009D4A93">
            <w:pPr>
              <w:spacing w:after="0"/>
              <w:jc w:val="center"/>
              <w:rPr>
                <w:rFonts w:eastAsia="Times New Roman"/>
                <w:color w:val="000000"/>
                <w:u w:val="single"/>
                <w:lang w:eastAsia="zh-CN"/>
              </w:rPr>
            </w:pPr>
            <w:r w:rsidRPr="00536CFD">
              <w:rPr>
                <w:color w:val="000000"/>
                <w:u w:val="single"/>
              </w:rPr>
              <w:t>11ax: ED = -62dbm, PD=-82dbm</w:t>
            </w:r>
            <w:r w:rsidRPr="00536CFD">
              <w:rPr>
                <w:color w:val="000000"/>
                <w:u w:val="single"/>
              </w:rPr>
              <w:br/>
              <w:t>NRU:  ED = -62dbm</w:t>
            </w:r>
          </w:p>
        </w:tc>
      </w:tr>
      <w:tr w:rsidR="009D4A93" w:rsidRPr="00536CFD" w14:paraId="4471F295" w14:textId="77777777" w:rsidTr="009D4A93">
        <w:trPr>
          <w:trHeight w:val="23"/>
          <w:jc w:val="center"/>
        </w:trPr>
        <w:tc>
          <w:tcPr>
            <w:tcW w:w="445" w:type="dxa"/>
            <w:vMerge/>
            <w:textDirection w:val="btLr"/>
          </w:tcPr>
          <w:p w14:paraId="14F1ADD9"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hideMark/>
          </w:tcPr>
          <w:p w14:paraId="16A72B63" w14:textId="77777777" w:rsidR="009D4A93" w:rsidRPr="00536CFD" w:rsidRDefault="009D4A93" w:rsidP="009D4A93">
            <w:pPr>
              <w:spacing w:after="0"/>
              <w:rPr>
                <w:rFonts w:eastAsia="Times New Roman"/>
                <w:color w:val="000000"/>
                <w:lang w:eastAsia="zh-CN"/>
              </w:rPr>
            </w:pPr>
          </w:p>
        </w:tc>
        <w:tc>
          <w:tcPr>
            <w:tcW w:w="970" w:type="dxa"/>
            <w:shd w:val="clear" w:color="auto" w:fill="auto"/>
            <w:vAlign w:val="center"/>
            <w:hideMark/>
          </w:tcPr>
          <w:p w14:paraId="2638285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537168DA"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 in</w:t>
            </w:r>
          </w:p>
        </w:tc>
        <w:tc>
          <w:tcPr>
            <w:tcW w:w="970" w:type="dxa"/>
            <w:shd w:val="clear" w:color="auto" w:fill="auto"/>
            <w:vAlign w:val="center"/>
            <w:hideMark/>
          </w:tcPr>
          <w:p w14:paraId="40D050B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c>
          <w:tcPr>
            <w:tcW w:w="970" w:type="dxa"/>
            <w:shd w:val="clear" w:color="auto" w:fill="auto"/>
            <w:vAlign w:val="center"/>
            <w:hideMark/>
          </w:tcPr>
          <w:p w14:paraId="12B4FD9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 in</w:t>
            </w:r>
          </w:p>
        </w:tc>
      </w:tr>
      <w:tr w:rsidR="009D4A93" w:rsidRPr="00536CFD" w14:paraId="75C94D3C" w14:textId="77777777" w:rsidTr="009D4A93">
        <w:trPr>
          <w:trHeight w:val="23"/>
          <w:jc w:val="center"/>
        </w:trPr>
        <w:tc>
          <w:tcPr>
            <w:tcW w:w="445" w:type="dxa"/>
            <w:vMerge/>
            <w:textDirection w:val="btLr"/>
          </w:tcPr>
          <w:p w14:paraId="62741EB6"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hideMark/>
          </w:tcPr>
          <w:p w14:paraId="1BCB0B21" w14:textId="77777777" w:rsidR="009D4A93" w:rsidRPr="00536CFD" w:rsidRDefault="009D4A93" w:rsidP="009D4A93">
            <w:pPr>
              <w:spacing w:after="0"/>
              <w:rPr>
                <w:rFonts w:eastAsia="Times New Roman"/>
                <w:color w:val="000000"/>
                <w:lang w:eastAsia="zh-CN"/>
              </w:rPr>
            </w:pPr>
          </w:p>
        </w:tc>
        <w:tc>
          <w:tcPr>
            <w:tcW w:w="970" w:type="dxa"/>
            <w:shd w:val="clear" w:color="auto" w:fill="auto"/>
            <w:vAlign w:val="center"/>
            <w:hideMark/>
          </w:tcPr>
          <w:p w14:paraId="5776B0C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7F67A5B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464C5F6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7AF3CB4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2B003E4A" w14:textId="77777777" w:rsidTr="009D4A93">
        <w:trPr>
          <w:trHeight w:val="23"/>
          <w:jc w:val="center"/>
        </w:trPr>
        <w:tc>
          <w:tcPr>
            <w:tcW w:w="445" w:type="dxa"/>
            <w:vMerge/>
            <w:textDirection w:val="btLr"/>
          </w:tcPr>
          <w:p w14:paraId="46A4E1B8" w14:textId="77777777" w:rsidR="009D4A93" w:rsidRPr="00536CFD" w:rsidRDefault="009D4A93" w:rsidP="009D4A93">
            <w:pPr>
              <w:spacing w:after="0"/>
              <w:ind w:left="113" w:right="113"/>
              <w:rPr>
                <w:rFonts w:eastAsia="Times New Roman"/>
                <w:color w:val="000000"/>
                <w:lang w:eastAsia="zh-CN"/>
              </w:rPr>
            </w:pPr>
          </w:p>
        </w:tc>
        <w:tc>
          <w:tcPr>
            <w:tcW w:w="1880" w:type="dxa"/>
            <w:gridSpan w:val="2"/>
            <w:vMerge/>
            <w:shd w:val="clear" w:color="auto" w:fill="auto"/>
            <w:hideMark/>
          </w:tcPr>
          <w:p w14:paraId="3E74317A" w14:textId="77777777" w:rsidR="009D4A93" w:rsidRPr="00536CFD" w:rsidRDefault="009D4A93" w:rsidP="009D4A93">
            <w:pPr>
              <w:spacing w:after="0"/>
              <w:rPr>
                <w:rFonts w:eastAsia="Times New Roman"/>
                <w:color w:val="000000"/>
                <w:lang w:eastAsia="zh-CN"/>
              </w:rPr>
            </w:pPr>
          </w:p>
        </w:tc>
        <w:tc>
          <w:tcPr>
            <w:tcW w:w="970" w:type="dxa"/>
            <w:shd w:val="clear" w:color="auto" w:fill="auto"/>
            <w:vAlign w:val="center"/>
            <w:hideMark/>
          </w:tcPr>
          <w:p w14:paraId="0A9AE2C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WiFi</w:t>
            </w:r>
          </w:p>
        </w:tc>
        <w:tc>
          <w:tcPr>
            <w:tcW w:w="970" w:type="dxa"/>
            <w:shd w:val="clear" w:color="auto" w:fill="auto"/>
            <w:vAlign w:val="center"/>
            <w:hideMark/>
          </w:tcPr>
          <w:p w14:paraId="72FB7EE7"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3540591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c>
          <w:tcPr>
            <w:tcW w:w="970" w:type="dxa"/>
            <w:shd w:val="clear" w:color="auto" w:fill="auto"/>
            <w:vAlign w:val="center"/>
            <w:hideMark/>
          </w:tcPr>
          <w:p w14:paraId="00A73DF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NR-U</w:t>
            </w:r>
          </w:p>
        </w:tc>
      </w:tr>
      <w:tr w:rsidR="009D4A93" w:rsidRPr="00536CFD" w14:paraId="25032CCF" w14:textId="77777777" w:rsidTr="009D4A93">
        <w:trPr>
          <w:trHeight w:val="23"/>
          <w:jc w:val="center"/>
        </w:trPr>
        <w:tc>
          <w:tcPr>
            <w:tcW w:w="445" w:type="dxa"/>
            <w:vMerge w:val="restart"/>
            <w:textDirection w:val="btLr"/>
          </w:tcPr>
          <w:p w14:paraId="43625A66" w14:textId="77777777" w:rsidR="009D4A93" w:rsidRPr="00536CFD" w:rsidRDefault="009D4A93" w:rsidP="009D4A93">
            <w:pPr>
              <w:spacing w:after="0"/>
              <w:ind w:left="113" w:right="113"/>
              <w:jc w:val="center"/>
              <w:rPr>
                <w:rFonts w:eastAsia="Times New Roman"/>
                <w:b/>
                <w:bCs/>
                <w:color w:val="000000"/>
                <w:lang w:eastAsia="zh-CN"/>
              </w:rPr>
            </w:pPr>
            <w:r w:rsidRPr="00536CFD">
              <w:rPr>
                <w:rFonts w:eastAsia="Times New Roman"/>
                <w:b/>
                <w:bCs/>
                <w:color w:val="000000"/>
                <w:lang w:eastAsia="zh-CN"/>
              </w:rPr>
              <w:t>R-1814085(Source 4)</w:t>
            </w:r>
          </w:p>
        </w:tc>
        <w:tc>
          <w:tcPr>
            <w:tcW w:w="949" w:type="dxa"/>
            <w:vMerge w:val="restart"/>
            <w:shd w:val="clear" w:color="auto" w:fill="auto"/>
            <w:vAlign w:val="center"/>
            <w:hideMark/>
          </w:tcPr>
          <w:p w14:paraId="2F32E544"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 xml:space="preserve">DL: </w:t>
            </w:r>
          </w:p>
          <w:p w14:paraId="4E923A9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5ADDB6D9"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06BC8B7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0A3DEAAF" w14:textId="77777777" w:rsidR="009D4A93" w:rsidRPr="00536CFD" w:rsidRDefault="009D4A93" w:rsidP="009D4A93">
            <w:pPr>
              <w:spacing w:after="0"/>
              <w:jc w:val="center"/>
              <w:rPr>
                <w:rFonts w:eastAsia="Times New Roman"/>
                <w:color w:val="000000"/>
                <w:lang w:eastAsia="zh-CN"/>
              </w:rPr>
            </w:pPr>
            <w:r w:rsidRPr="00536CFD">
              <w:rPr>
                <w:color w:val="000000"/>
              </w:rPr>
              <w:t>14.9</w:t>
            </w:r>
          </w:p>
        </w:tc>
        <w:tc>
          <w:tcPr>
            <w:tcW w:w="970" w:type="dxa"/>
            <w:shd w:val="clear" w:color="auto" w:fill="auto"/>
            <w:vAlign w:val="center"/>
            <w:hideMark/>
          </w:tcPr>
          <w:p w14:paraId="0460E863" w14:textId="77777777" w:rsidR="009D4A93" w:rsidRPr="00536CFD" w:rsidRDefault="009D4A93" w:rsidP="009D4A93">
            <w:pPr>
              <w:spacing w:after="0"/>
              <w:jc w:val="center"/>
              <w:rPr>
                <w:rFonts w:eastAsia="Times New Roman"/>
                <w:color w:val="000000"/>
                <w:lang w:eastAsia="zh-CN"/>
              </w:rPr>
            </w:pPr>
            <w:r w:rsidRPr="00536CFD">
              <w:rPr>
                <w:color w:val="000000"/>
              </w:rPr>
              <w:t>17.72</w:t>
            </w:r>
          </w:p>
        </w:tc>
        <w:tc>
          <w:tcPr>
            <w:tcW w:w="970" w:type="dxa"/>
            <w:shd w:val="clear" w:color="auto" w:fill="auto"/>
            <w:vAlign w:val="center"/>
            <w:hideMark/>
          </w:tcPr>
          <w:p w14:paraId="14BFC2E8" w14:textId="77777777" w:rsidR="009D4A93" w:rsidRPr="00536CFD" w:rsidRDefault="009D4A93" w:rsidP="009D4A93">
            <w:pPr>
              <w:spacing w:after="0"/>
              <w:jc w:val="center"/>
              <w:rPr>
                <w:rFonts w:eastAsia="Times New Roman"/>
                <w:color w:val="000000"/>
                <w:lang w:eastAsia="zh-CN"/>
              </w:rPr>
            </w:pPr>
            <w:r w:rsidRPr="00536CFD">
              <w:rPr>
                <w:color w:val="000000"/>
              </w:rPr>
              <w:t>30.29</w:t>
            </w:r>
          </w:p>
        </w:tc>
        <w:tc>
          <w:tcPr>
            <w:tcW w:w="970" w:type="dxa"/>
            <w:shd w:val="clear" w:color="auto" w:fill="auto"/>
            <w:vAlign w:val="center"/>
            <w:hideMark/>
          </w:tcPr>
          <w:p w14:paraId="1BA506D0" w14:textId="77777777" w:rsidR="009D4A93" w:rsidRPr="00536CFD" w:rsidRDefault="009D4A93" w:rsidP="009D4A93">
            <w:pPr>
              <w:spacing w:after="0"/>
              <w:jc w:val="center"/>
              <w:rPr>
                <w:rFonts w:eastAsia="Times New Roman"/>
                <w:color w:val="000000"/>
                <w:lang w:eastAsia="zh-CN"/>
              </w:rPr>
            </w:pPr>
            <w:r w:rsidRPr="00536CFD">
              <w:rPr>
                <w:color w:val="000000"/>
              </w:rPr>
              <w:t>32.71</w:t>
            </w:r>
          </w:p>
        </w:tc>
      </w:tr>
      <w:tr w:rsidR="009D4A93" w:rsidRPr="00536CFD" w14:paraId="604D01FE" w14:textId="77777777" w:rsidTr="009D4A93">
        <w:trPr>
          <w:trHeight w:val="23"/>
          <w:jc w:val="center"/>
        </w:trPr>
        <w:tc>
          <w:tcPr>
            <w:tcW w:w="445" w:type="dxa"/>
            <w:vMerge/>
          </w:tcPr>
          <w:p w14:paraId="05DAD379"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36EF8D5E"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1F0F22C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22B5AE51" w14:textId="77777777" w:rsidR="009D4A93" w:rsidRPr="00536CFD" w:rsidRDefault="009D4A93" w:rsidP="009D4A93">
            <w:pPr>
              <w:spacing w:after="0"/>
              <w:jc w:val="center"/>
              <w:rPr>
                <w:rFonts w:eastAsia="Times New Roman"/>
                <w:color w:val="000000"/>
                <w:lang w:eastAsia="zh-CN"/>
              </w:rPr>
            </w:pPr>
            <w:r w:rsidRPr="00536CFD">
              <w:rPr>
                <w:color w:val="000000"/>
              </w:rPr>
              <w:t>57.96</w:t>
            </w:r>
          </w:p>
        </w:tc>
        <w:tc>
          <w:tcPr>
            <w:tcW w:w="970" w:type="dxa"/>
            <w:shd w:val="clear" w:color="auto" w:fill="auto"/>
            <w:vAlign w:val="center"/>
            <w:hideMark/>
          </w:tcPr>
          <w:p w14:paraId="2EED2F98" w14:textId="77777777" w:rsidR="009D4A93" w:rsidRPr="00536CFD" w:rsidRDefault="009D4A93" w:rsidP="009D4A93">
            <w:pPr>
              <w:spacing w:after="0"/>
              <w:jc w:val="center"/>
              <w:rPr>
                <w:rFonts w:eastAsia="Times New Roman"/>
                <w:color w:val="000000"/>
                <w:lang w:eastAsia="zh-CN"/>
              </w:rPr>
            </w:pPr>
            <w:r w:rsidRPr="00536CFD">
              <w:rPr>
                <w:color w:val="000000"/>
              </w:rPr>
              <w:t>69.19</w:t>
            </w:r>
          </w:p>
        </w:tc>
        <w:tc>
          <w:tcPr>
            <w:tcW w:w="970" w:type="dxa"/>
            <w:shd w:val="clear" w:color="auto" w:fill="auto"/>
            <w:vAlign w:val="center"/>
            <w:hideMark/>
          </w:tcPr>
          <w:p w14:paraId="5C47AFB6" w14:textId="77777777" w:rsidR="009D4A93" w:rsidRPr="00536CFD" w:rsidRDefault="009D4A93" w:rsidP="009D4A93">
            <w:pPr>
              <w:spacing w:after="0"/>
              <w:jc w:val="center"/>
              <w:rPr>
                <w:rFonts w:eastAsia="Times New Roman"/>
                <w:color w:val="000000"/>
                <w:lang w:eastAsia="zh-CN"/>
              </w:rPr>
            </w:pPr>
            <w:r w:rsidRPr="00536CFD">
              <w:rPr>
                <w:color w:val="000000"/>
              </w:rPr>
              <w:t>80.72</w:t>
            </w:r>
          </w:p>
        </w:tc>
        <w:tc>
          <w:tcPr>
            <w:tcW w:w="970" w:type="dxa"/>
            <w:shd w:val="clear" w:color="auto" w:fill="auto"/>
            <w:vAlign w:val="center"/>
            <w:hideMark/>
          </w:tcPr>
          <w:p w14:paraId="452CBC9F" w14:textId="77777777" w:rsidR="009D4A93" w:rsidRPr="00536CFD" w:rsidRDefault="009D4A93" w:rsidP="009D4A93">
            <w:pPr>
              <w:spacing w:after="0"/>
              <w:jc w:val="center"/>
              <w:rPr>
                <w:rFonts w:eastAsia="Times New Roman"/>
                <w:color w:val="000000"/>
                <w:lang w:eastAsia="zh-CN"/>
              </w:rPr>
            </w:pPr>
            <w:r w:rsidRPr="00536CFD">
              <w:rPr>
                <w:color w:val="000000"/>
              </w:rPr>
              <w:t>86.55</w:t>
            </w:r>
          </w:p>
        </w:tc>
      </w:tr>
      <w:tr w:rsidR="009D4A93" w:rsidRPr="00536CFD" w14:paraId="063F1782" w14:textId="77777777" w:rsidTr="009D4A93">
        <w:trPr>
          <w:trHeight w:val="23"/>
          <w:jc w:val="center"/>
        </w:trPr>
        <w:tc>
          <w:tcPr>
            <w:tcW w:w="445" w:type="dxa"/>
            <w:vMerge/>
          </w:tcPr>
          <w:p w14:paraId="05524C23"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413F8C8B"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3DFF8251"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0E3744C1" w14:textId="77777777" w:rsidR="009D4A93" w:rsidRPr="00536CFD" w:rsidRDefault="009D4A93" w:rsidP="009D4A93">
            <w:pPr>
              <w:spacing w:after="0"/>
              <w:jc w:val="center"/>
              <w:rPr>
                <w:rFonts w:eastAsia="Times New Roman"/>
                <w:color w:val="000000"/>
                <w:lang w:eastAsia="zh-CN"/>
              </w:rPr>
            </w:pPr>
            <w:r w:rsidRPr="00536CFD">
              <w:rPr>
                <w:color w:val="000000"/>
              </w:rPr>
              <w:t>101.19</w:t>
            </w:r>
          </w:p>
        </w:tc>
        <w:tc>
          <w:tcPr>
            <w:tcW w:w="970" w:type="dxa"/>
            <w:shd w:val="clear" w:color="auto" w:fill="auto"/>
            <w:vAlign w:val="center"/>
            <w:hideMark/>
          </w:tcPr>
          <w:p w14:paraId="79556618" w14:textId="77777777" w:rsidR="009D4A93" w:rsidRPr="00536CFD" w:rsidRDefault="009D4A93" w:rsidP="009D4A93">
            <w:pPr>
              <w:spacing w:after="0"/>
              <w:jc w:val="center"/>
              <w:rPr>
                <w:rFonts w:eastAsia="Times New Roman"/>
                <w:color w:val="000000"/>
                <w:lang w:eastAsia="zh-CN"/>
              </w:rPr>
            </w:pPr>
            <w:r w:rsidRPr="00536CFD">
              <w:rPr>
                <w:color w:val="000000"/>
              </w:rPr>
              <w:t>101.81</w:t>
            </w:r>
          </w:p>
        </w:tc>
        <w:tc>
          <w:tcPr>
            <w:tcW w:w="970" w:type="dxa"/>
            <w:shd w:val="clear" w:color="auto" w:fill="auto"/>
            <w:vAlign w:val="center"/>
            <w:hideMark/>
          </w:tcPr>
          <w:p w14:paraId="5C3A9995" w14:textId="77777777" w:rsidR="009D4A93" w:rsidRPr="00536CFD" w:rsidRDefault="009D4A93" w:rsidP="009D4A93">
            <w:pPr>
              <w:spacing w:after="0"/>
              <w:jc w:val="center"/>
              <w:rPr>
                <w:rFonts w:eastAsia="Times New Roman"/>
                <w:color w:val="000000"/>
                <w:lang w:eastAsia="zh-CN"/>
              </w:rPr>
            </w:pPr>
            <w:r w:rsidRPr="00536CFD">
              <w:rPr>
                <w:color w:val="000000"/>
              </w:rPr>
              <w:t>96.87</w:t>
            </w:r>
          </w:p>
        </w:tc>
        <w:tc>
          <w:tcPr>
            <w:tcW w:w="970" w:type="dxa"/>
            <w:shd w:val="clear" w:color="auto" w:fill="auto"/>
            <w:vAlign w:val="center"/>
            <w:hideMark/>
          </w:tcPr>
          <w:p w14:paraId="4F22D480" w14:textId="77777777" w:rsidR="009D4A93" w:rsidRPr="00536CFD" w:rsidRDefault="009D4A93" w:rsidP="009D4A93">
            <w:pPr>
              <w:spacing w:after="0"/>
              <w:jc w:val="center"/>
              <w:rPr>
                <w:rFonts w:eastAsia="Times New Roman"/>
                <w:color w:val="000000"/>
                <w:lang w:eastAsia="zh-CN"/>
              </w:rPr>
            </w:pPr>
            <w:r w:rsidRPr="00536CFD">
              <w:rPr>
                <w:color w:val="000000"/>
              </w:rPr>
              <w:t>99.23</w:t>
            </w:r>
          </w:p>
        </w:tc>
      </w:tr>
      <w:tr w:rsidR="009D4A93" w:rsidRPr="00536CFD" w14:paraId="0F6BAF05" w14:textId="77777777" w:rsidTr="003A0B03">
        <w:trPr>
          <w:trHeight w:val="23"/>
          <w:jc w:val="center"/>
        </w:trPr>
        <w:tc>
          <w:tcPr>
            <w:tcW w:w="445" w:type="dxa"/>
            <w:vMerge/>
          </w:tcPr>
          <w:p w14:paraId="3D758402"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605619E4"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622C1F8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51C1BCB4" w14:textId="77777777" w:rsidR="009D4A93" w:rsidRPr="00536CFD" w:rsidRDefault="009D4A93" w:rsidP="009D4A93">
            <w:pPr>
              <w:spacing w:after="0"/>
              <w:jc w:val="center"/>
              <w:rPr>
                <w:color w:val="000000"/>
              </w:rPr>
            </w:pPr>
            <w:r w:rsidRPr="00536CFD">
              <w:rPr>
                <w:color w:val="000000"/>
              </w:rPr>
              <w:t>59.46</w:t>
            </w:r>
          </w:p>
        </w:tc>
        <w:tc>
          <w:tcPr>
            <w:tcW w:w="970" w:type="dxa"/>
            <w:shd w:val="clear" w:color="auto" w:fill="auto"/>
            <w:vAlign w:val="center"/>
            <w:hideMark/>
          </w:tcPr>
          <w:p w14:paraId="1071369C" w14:textId="77777777" w:rsidR="009D4A93" w:rsidRPr="00536CFD" w:rsidRDefault="009D4A93" w:rsidP="009D4A93">
            <w:pPr>
              <w:spacing w:after="0"/>
              <w:jc w:val="center"/>
              <w:rPr>
                <w:color w:val="000000"/>
              </w:rPr>
            </w:pPr>
            <w:r w:rsidRPr="00536CFD">
              <w:rPr>
                <w:color w:val="000000"/>
              </w:rPr>
              <w:t>67.08</w:t>
            </w:r>
          </w:p>
        </w:tc>
        <w:tc>
          <w:tcPr>
            <w:tcW w:w="970" w:type="dxa"/>
            <w:shd w:val="clear" w:color="auto" w:fill="auto"/>
            <w:vAlign w:val="center"/>
            <w:hideMark/>
          </w:tcPr>
          <w:p w14:paraId="6248C3C1" w14:textId="77777777" w:rsidR="009D4A93" w:rsidRPr="00536CFD" w:rsidRDefault="009D4A93" w:rsidP="009D4A93">
            <w:pPr>
              <w:spacing w:after="0"/>
              <w:jc w:val="center"/>
              <w:rPr>
                <w:color w:val="000000"/>
              </w:rPr>
            </w:pPr>
            <w:r w:rsidRPr="00536CFD">
              <w:rPr>
                <w:color w:val="000000"/>
              </w:rPr>
              <w:t>73.72</w:t>
            </w:r>
          </w:p>
        </w:tc>
        <w:tc>
          <w:tcPr>
            <w:tcW w:w="970" w:type="dxa"/>
            <w:shd w:val="clear" w:color="auto" w:fill="auto"/>
            <w:vAlign w:val="center"/>
            <w:hideMark/>
          </w:tcPr>
          <w:p w14:paraId="1C8AAF16" w14:textId="77777777" w:rsidR="009D4A93" w:rsidRPr="00536CFD" w:rsidRDefault="009D4A93" w:rsidP="009D4A93">
            <w:pPr>
              <w:spacing w:after="0"/>
              <w:jc w:val="center"/>
              <w:rPr>
                <w:color w:val="000000"/>
              </w:rPr>
            </w:pPr>
            <w:r w:rsidRPr="00536CFD">
              <w:rPr>
                <w:color w:val="000000"/>
              </w:rPr>
              <w:t>76.87</w:t>
            </w:r>
          </w:p>
        </w:tc>
      </w:tr>
      <w:tr w:rsidR="009D4A93" w:rsidRPr="00536CFD" w14:paraId="1A4122F1" w14:textId="77777777" w:rsidTr="009D4A93">
        <w:trPr>
          <w:trHeight w:val="23"/>
          <w:jc w:val="center"/>
        </w:trPr>
        <w:tc>
          <w:tcPr>
            <w:tcW w:w="445" w:type="dxa"/>
            <w:vMerge/>
          </w:tcPr>
          <w:p w14:paraId="312605FE" w14:textId="77777777" w:rsidR="009D4A93" w:rsidRPr="00536CFD" w:rsidRDefault="009D4A93" w:rsidP="009D4A93">
            <w:pPr>
              <w:spacing w:after="0"/>
              <w:jc w:val="center"/>
              <w:rPr>
                <w:rFonts w:eastAsia="Times New Roman"/>
                <w:b/>
                <w:bCs/>
                <w:color w:val="000000"/>
                <w:lang w:eastAsia="zh-CN"/>
              </w:rPr>
            </w:pPr>
          </w:p>
        </w:tc>
        <w:tc>
          <w:tcPr>
            <w:tcW w:w="949" w:type="dxa"/>
            <w:shd w:val="clear" w:color="auto" w:fill="auto"/>
            <w:vAlign w:val="center"/>
            <w:hideMark/>
          </w:tcPr>
          <w:p w14:paraId="1AC0BD70"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DL:</w:t>
            </w:r>
          </w:p>
        </w:tc>
        <w:tc>
          <w:tcPr>
            <w:tcW w:w="931" w:type="dxa"/>
            <w:shd w:val="clear" w:color="auto" w:fill="auto"/>
            <w:vAlign w:val="center"/>
            <w:hideMark/>
          </w:tcPr>
          <w:p w14:paraId="6F30353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2775B241"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69444173"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7A8FD0CF" w14:textId="77777777" w:rsidR="009D4A93" w:rsidRPr="00536CFD" w:rsidRDefault="009D4A93" w:rsidP="009D4A93">
            <w:pPr>
              <w:spacing w:after="0"/>
              <w:jc w:val="center"/>
              <w:rPr>
                <w:rFonts w:eastAsia="Times New Roman"/>
                <w:color w:val="000000"/>
                <w:lang w:eastAsia="zh-CN"/>
              </w:rPr>
            </w:pPr>
            <w:r w:rsidRPr="00536CFD">
              <w:rPr>
                <w:color w:val="000000"/>
              </w:rPr>
              <w:t>0.04</w:t>
            </w:r>
          </w:p>
        </w:tc>
        <w:tc>
          <w:tcPr>
            <w:tcW w:w="970" w:type="dxa"/>
            <w:shd w:val="clear" w:color="auto" w:fill="auto"/>
            <w:vAlign w:val="center"/>
            <w:hideMark/>
          </w:tcPr>
          <w:p w14:paraId="7A4A94F3" w14:textId="77777777" w:rsidR="009D4A93" w:rsidRPr="00536CFD" w:rsidRDefault="009D4A93" w:rsidP="009D4A93">
            <w:pPr>
              <w:spacing w:after="0"/>
              <w:jc w:val="center"/>
              <w:rPr>
                <w:rFonts w:eastAsia="Times New Roman"/>
                <w:color w:val="000000"/>
                <w:lang w:eastAsia="zh-CN"/>
              </w:rPr>
            </w:pPr>
            <w:r w:rsidRPr="00536CFD">
              <w:rPr>
                <w:color w:val="000000"/>
              </w:rPr>
              <w:t>0.04</w:t>
            </w:r>
          </w:p>
        </w:tc>
      </w:tr>
      <w:tr w:rsidR="009D4A93" w:rsidRPr="00536CFD" w14:paraId="7837F351" w14:textId="77777777" w:rsidTr="009D4A93">
        <w:trPr>
          <w:trHeight w:val="23"/>
          <w:jc w:val="center"/>
        </w:trPr>
        <w:tc>
          <w:tcPr>
            <w:tcW w:w="445" w:type="dxa"/>
            <w:vMerge/>
          </w:tcPr>
          <w:p w14:paraId="4FE64A59" w14:textId="77777777" w:rsidR="009D4A93" w:rsidRPr="00536CFD" w:rsidRDefault="009D4A93" w:rsidP="009D4A93">
            <w:pPr>
              <w:spacing w:after="0"/>
              <w:jc w:val="center"/>
              <w:rPr>
                <w:rFonts w:eastAsia="Times New Roman"/>
                <w:color w:val="000000"/>
                <w:lang w:eastAsia="zh-CN"/>
              </w:rPr>
            </w:pPr>
          </w:p>
        </w:tc>
        <w:tc>
          <w:tcPr>
            <w:tcW w:w="949" w:type="dxa"/>
            <w:vMerge w:val="restart"/>
            <w:shd w:val="clear" w:color="auto" w:fill="auto"/>
            <w:vAlign w:val="center"/>
            <w:hideMark/>
          </w:tcPr>
          <w:p w14:paraId="50BF0728"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4B8266AB"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64A97F7E"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558CE8A7"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19C62D61"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62C7AC7E" w14:textId="77777777" w:rsidR="009D4A93" w:rsidRPr="00536CFD" w:rsidRDefault="009D4A93" w:rsidP="009D4A93">
            <w:pPr>
              <w:spacing w:after="0"/>
              <w:jc w:val="center"/>
              <w:rPr>
                <w:rFonts w:eastAsia="Times New Roman"/>
                <w:color w:val="000000"/>
                <w:lang w:eastAsia="zh-CN"/>
              </w:rPr>
            </w:pPr>
            <w:r w:rsidRPr="00536CFD">
              <w:rPr>
                <w:color w:val="000000"/>
              </w:rPr>
              <w:t>0.05</w:t>
            </w:r>
          </w:p>
        </w:tc>
        <w:tc>
          <w:tcPr>
            <w:tcW w:w="970" w:type="dxa"/>
            <w:shd w:val="clear" w:color="auto" w:fill="auto"/>
            <w:vAlign w:val="center"/>
            <w:hideMark/>
          </w:tcPr>
          <w:p w14:paraId="213137D7"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163E19C4" w14:textId="77777777" w:rsidTr="009D4A93">
        <w:trPr>
          <w:trHeight w:val="23"/>
          <w:jc w:val="center"/>
        </w:trPr>
        <w:tc>
          <w:tcPr>
            <w:tcW w:w="445" w:type="dxa"/>
            <w:vMerge/>
          </w:tcPr>
          <w:p w14:paraId="157E5DD1"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2BE1EA47"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14E566FC"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3FAC8612" w14:textId="77777777" w:rsidR="009D4A93" w:rsidRPr="00536CFD" w:rsidRDefault="009D4A93" w:rsidP="009D4A93">
            <w:pPr>
              <w:spacing w:after="0"/>
              <w:jc w:val="center"/>
              <w:rPr>
                <w:rFonts w:eastAsia="Times New Roman"/>
                <w:color w:val="000000"/>
                <w:lang w:eastAsia="zh-CN"/>
              </w:rPr>
            </w:pPr>
            <w:r w:rsidRPr="00536CFD">
              <w:rPr>
                <w:color w:val="000000"/>
              </w:rPr>
              <w:t>0.27</w:t>
            </w:r>
          </w:p>
        </w:tc>
        <w:tc>
          <w:tcPr>
            <w:tcW w:w="970" w:type="dxa"/>
            <w:shd w:val="clear" w:color="auto" w:fill="auto"/>
            <w:vAlign w:val="center"/>
            <w:hideMark/>
          </w:tcPr>
          <w:p w14:paraId="58A0470A" w14:textId="77777777" w:rsidR="009D4A93" w:rsidRPr="00536CFD" w:rsidRDefault="009D4A93" w:rsidP="009D4A93">
            <w:pPr>
              <w:spacing w:after="0"/>
              <w:jc w:val="center"/>
              <w:rPr>
                <w:rFonts w:eastAsia="Times New Roman"/>
                <w:color w:val="000000"/>
                <w:lang w:eastAsia="zh-CN"/>
              </w:rPr>
            </w:pPr>
            <w:r w:rsidRPr="00536CFD">
              <w:rPr>
                <w:color w:val="000000"/>
              </w:rPr>
              <w:t>0.23</w:t>
            </w:r>
          </w:p>
        </w:tc>
        <w:tc>
          <w:tcPr>
            <w:tcW w:w="970" w:type="dxa"/>
            <w:shd w:val="clear" w:color="auto" w:fill="auto"/>
            <w:vAlign w:val="center"/>
            <w:hideMark/>
          </w:tcPr>
          <w:p w14:paraId="17D2370F" w14:textId="77777777" w:rsidR="009D4A93" w:rsidRPr="00536CFD" w:rsidRDefault="009D4A93" w:rsidP="009D4A93">
            <w:pPr>
              <w:spacing w:after="0"/>
              <w:jc w:val="center"/>
              <w:rPr>
                <w:rFonts w:eastAsia="Times New Roman"/>
                <w:color w:val="000000"/>
                <w:lang w:eastAsia="zh-CN"/>
              </w:rPr>
            </w:pPr>
            <w:r w:rsidRPr="00536CFD">
              <w:rPr>
                <w:color w:val="000000"/>
              </w:rPr>
              <w:t>0.13</w:t>
            </w:r>
          </w:p>
        </w:tc>
        <w:tc>
          <w:tcPr>
            <w:tcW w:w="970" w:type="dxa"/>
            <w:shd w:val="clear" w:color="auto" w:fill="auto"/>
            <w:vAlign w:val="center"/>
            <w:hideMark/>
          </w:tcPr>
          <w:p w14:paraId="7696E78E" w14:textId="77777777" w:rsidR="009D4A93" w:rsidRPr="00536CFD" w:rsidRDefault="009D4A93" w:rsidP="009D4A93">
            <w:pPr>
              <w:spacing w:after="0"/>
              <w:jc w:val="center"/>
              <w:rPr>
                <w:rFonts w:eastAsia="Times New Roman"/>
                <w:color w:val="000000"/>
                <w:lang w:eastAsia="zh-CN"/>
              </w:rPr>
            </w:pPr>
            <w:r w:rsidRPr="00536CFD">
              <w:rPr>
                <w:color w:val="000000"/>
              </w:rPr>
              <w:t>0.12</w:t>
            </w:r>
          </w:p>
        </w:tc>
      </w:tr>
      <w:tr w:rsidR="009D4A93" w:rsidRPr="00536CFD" w14:paraId="061918EB" w14:textId="77777777" w:rsidTr="009D4A93">
        <w:trPr>
          <w:trHeight w:val="23"/>
          <w:jc w:val="center"/>
        </w:trPr>
        <w:tc>
          <w:tcPr>
            <w:tcW w:w="445" w:type="dxa"/>
            <w:vMerge/>
          </w:tcPr>
          <w:p w14:paraId="676F2C53"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2F0447DE"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5245CFB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5B3E5E92" w14:textId="77777777" w:rsidR="009D4A93" w:rsidRPr="00536CFD" w:rsidRDefault="009D4A93" w:rsidP="009D4A93">
            <w:pPr>
              <w:spacing w:after="0"/>
              <w:jc w:val="center"/>
              <w:rPr>
                <w:rFonts w:eastAsia="Times New Roman"/>
                <w:color w:val="000000"/>
                <w:lang w:eastAsia="zh-CN"/>
              </w:rPr>
            </w:pPr>
            <w:r w:rsidRPr="00536CFD">
              <w:rPr>
                <w:color w:val="000000"/>
              </w:rPr>
              <w:t>0.1</w:t>
            </w:r>
          </w:p>
        </w:tc>
        <w:tc>
          <w:tcPr>
            <w:tcW w:w="970" w:type="dxa"/>
            <w:shd w:val="clear" w:color="auto" w:fill="auto"/>
            <w:vAlign w:val="center"/>
            <w:hideMark/>
          </w:tcPr>
          <w:p w14:paraId="02BEDEA2"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970" w:type="dxa"/>
            <w:shd w:val="clear" w:color="auto" w:fill="auto"/>
            <w:vAlign w:val="center"/>
            <w:hideMark/>
          </w:tcPr>
          <w:p w14:paraId="6F6FAD4A"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2A57D1D1" w14:textId="77777777" w:rsidR="009D4A93" w:rsidRPr="00536CFD" w:rsidRDefault="009D4A93" w:rsidP="009D4A93">
            <w:pPr>
              <w:spacing w:after="0"/>
              <w:jc w:val="center"/>
              <w:rPr>
                <w:rFonts w:eastAsia="Times New Roman"/>
                <w:color w:val="000000"/>
                <w:lang w:eastAsia="zh-CN"/>
              </w:rPr>
            </w:pPr>
            <w:r w:rsidRPr="00536CFD">
              <w:rPr>
                <w:color w:val="000000"/>
              </w:rPr>
              <w:t>0.06</w:t>
            </w:r>
          </w:p>
        </w:tc>
      </w:tr>
      <w:tr w:rsidR="009D4A93" w:rsidRPr="00536CFD" w14:paraId="4E3A112F" w14:textId="77777777" w:rsidTr="009D4A93">
        <w:trPr>
          <w:trHeight w:val="23"/>
          <w:jc w:val="center"/>
        </w:trPr>
        <w:tc>
          <w:tcPr>
            <w:tcW w:w="445" w:type="dxa"/>
            <w:vMerge/>
          </w:tcPr>
          <w:p w14:paraId="0BDDA89F"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519A868C"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302877D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UPT CDF</w:t>
            </w:r>
          </w:p>
          <w:p w14:paraId="1B8A117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[Mbps]</w:t>
            </w:r>
          </w:p>
        </w:tc>
        <w:tc>
          <w:tcPr>
            <w:tcW w:w="931" w:type="dxa"/>
            <w:shd w:val="clear" w:color="auto" w:fill="auto"/>
            <w:vAlign w:val="center"/>
            <w:hideMark/>
          </w:tcPr>
          <w:p w14:paraId="1ACC584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2C6333B2" w14:textId="77777777" w:rsidR="009D4A93" w:rsidRPr="00536CFD" w:rsidRDefault="009D4A93" w:rsidP="009D4A93">
            <w:pPr>
              <w:spacing w:after="0"/>
              <w:jc w:val="center"/>
              <w:rPr>
                <w:rFonts w:eastAsia="Times New Roman"/>
                <w:color w:val="000000"/>
                <w:lang w:eastAsia="zh-CN"/>
              </w:rPr>
            </w:pPr>
            <w:r w:rsidRPr="00536CFD">
              <w:rPr>
                <w:color w:val="000000"/>
              </w:rPr>
              <w:t>14</w:t>
            </w:r>
          </w:p>
        </w:tc>
        <w:tc>
          <w:tcPr>
            <w:tcW w:w="970" w:type="dxa"/>
            <w:shd w:val="clear" w:color="auto" w:fill="auto"/>
            <w:vAlign w:val="center"/>
            <w:hideMark/>
          </w:tcPr>
          <w:p w14:paraId="74C30B54" w14:textId="77777777" w:rsidR="009D4A93" w:rsidRPr="00536CFD" w:rsidRDefault="009D4A93" w:rsidP="009D4A93">
            <w:pPr>
              <w:spacing w:after="0"/>
              <w:jc w:val="center"/>
              <w:rPr>
                <w:rFonts w:eastAsia="Times New Roman"/>
                <w:color w:val="000000"/>
                <w:lang w:eastAsia="zh-CN"/>
              </w:rPr>
            </w:pPr>
            <w:r w:rsidRPr="00536CFD">
              <w:rPr>
                <w:color w:val="000000"/>
              </w:rPr>
              <w:t>18.74</w:t>
            </w:r>
          </w:p>
        </w:tc>
        <w:tc>
          <w:tcPr>
            <w:tcW w:w="970" w:type="dxa"/>
            <w:shd w:val="clear" w:color="auto" w:fill="auto"/>
            <w:vAlign w:val="center"/>
            <w:hideMark/>
          </w:tcPr>
          <w:p w14:paraId="79968348" w14:textId="77777777" w:rsidR="009D4A93" w:rsidRPr="00536CFD" w:rsidRDefault="009D4A93" w:rsidP="009D4A93">
            <w:pPr>
              <w:spacing w:after="0"/>
              <w:jc w:val="center"/>
              <w:rPr>
                <w:rFonts w:eastAsia="Times New Roman"/>
                <w:color w:val="000000"/>
                <w:lang w:eastAsia="zh-CN"/>
              </w:rPr>
            </w:pPr>
            <w:r w:rsidRPr="00536CFD">
              <w:rPr>
                <w:color w:val="000000"/>
              </w:rPr>
              <w:t>23.44</w:t>
            </w:r>
          </w:p>
        </w:tc>
        <w:tc>
          <w:tcPr>
            <w:tcW w:w="970" w:type="dxa"/>
            <w:shd w:val="clear" w:color="auto" w:fill="auto"/>
            <w:vAlign w:val="center"/>
            <w:hideMark/>
          </w:tcPr>
          <w:p w14:paraId="1E376568" w14:textId="77777777" w:rsidR="009D4A93" w:rsidRPr="00536CFD" w:rsidRDefault="009D4A93" w:rsidP="009D4A93">
            <w:pPr>
              <w:spacing w:after="0"/>
              <w:jc w:val="center"/>
              <w:rPr>
                <w:rFonts w:eastAsia="Times New Roman"/>
                <w:color w:val="000000"/>
                <w:lang w:eastAsia="zh-CN"/>
              </w:rPr>
            </w:pPr>
            <w:r w:rsidRPr="00536CFD">
              <w:rPr>
                <w:color w:val="000000"/>
              </w:rPr>
              <w:t>28.83</w:t>
            </w:r>
          </w:p>
        </w:tc>
      </w:tr>
      <w:tr w:rsidR="009D4A93" w:rsidRPr="00536CFD" w14:paraId="2CF1D646" w14:textId="77777777" w:rsidTr="009D4A93">
        <w:trPr>
          <w:trHeight w:val="23"/>
          <w:jc w:val="center"/>
        </w:trPr>
        <w:tc>
          <w:tcPr>
            <w:tcW w:w="445" w:type="dxa"/>
            <w:vMerge/>
          </w:tcPr>
          <w:p w14:paraId="24B22014"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6085573C"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6708CE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56DB9B7E" w14:textId="77777777" w:rsidR="009D4A93" w:rsidRPr="00536CFD" w:rsidRDefault="009D4A93" w:rsidP="009D4A93">
            <w:pPr>
              <w:spacing w:after="0"/>
              <w:jc w:val="center"/>
              <w:rPr>
                <w:rFonts w:eastAsia="Times New Roman"/>
                <w:color w:val="000000"/>
                <w:lang w:eastAsia="zh-CN"/>
              </w:rPr>
            </w:pPr>
            <w:r w:rsidRPr="00536CFD">
              <w:rPr>
                <w:color w:val="000000"/>
              </w:rPr>
              <w:t>53.98</w:t>
            </w:r>
          </w:p>
        </w:tc>
        <w:tc>
          <w:tcPr>
            <w:tcW w:w="970" w:type="dxa"/>
            <w:shd w:val="clear" w:color="auto" w:fill="auto"/>
            <w:vAlign w:val="center"/>
            <w:hideMark/>
          </w:tcPr>
          <w:p w14:paraId="41E9158D" w14:textId="77777777" w:rsidR="009D4A93" w:rsidRPr="00536CFD" w:rsidRDefault="009D4A93" w:rsidP="009D4A93">
            <w:pPr>
              <w:spacing w:after="0"/>
              <w:jc w:val="center"/>
              <w:rPr>
                <w:rFonts w:eastAsia="Times New Roman"/>
                <w:color w:val="000000"/>
                <w:lang w:eastAsia="zh-CN"/>
              </w:rPr>
            </w:pPr>
            <w:r w:rsidRPr="00536CFD">
              <w:rPr>
                <w:color w:val="000000"/>
              </w:rPr>
              <w:t>66.53</w:t>
            </w:r>
          </w:p>
        </w:tc>
        <w:tc>
          <w:tcPr>
            <w:tcW w:w="970" w:type="dxa"/>
            <w:shd w:val="clear" w:color="auto" w:fill="auto"/>
            <w:vAlign w:val="center"/>
            <w:hideMark/>
          </w:tcPr>
          <w:p w14:paraId="25ECA7D4" w14:textId="77777777" w:rsidR="009D4A93" w:rsidRPr="00536CFD" w:rsidRDefault="009D4A93" w:rsidP="009D4A93">
            <w:pPr>
              <w:spacing w:after="0"/>
              <w:jc w:val="center"/>
              <w:rPr>
                <w:rFonts w:eastAsia="Times New Roman"/>
                <w:color w:val="000000"/>
                <w:lang w:eastAsia="zh-CN"/>
              </w:rPr>
            </w:pPr>
            <w:r w:rsidRPr="00536CFD">
              <w:rPr>
                <w:color w:val="000000"/>
              </w:rPr>
              <w:t>64.89</w:t>
            </w:r>
          </w:p>
        </w:tc>
        <w:tc>
          <w:tcPr>
            <w:tcW w:w="970" w:type="dxa"/>
            <w:shd w:val="clear" w:color="auto" w:fill="auto"/>
            <w:vAlign w:val="center"/>
            <w:hideMark/>
          </w:tcPr>
          <w:p w14:paraId="02EF2F2F" w14:textId="77777777" w:rsidR="009D4A93" w:rsidRPr="00536CFD" w:rsidRDefault="009D4A93" w:rsidP="009D4A93">
            <w:pPr>
              <w:spacing w:after="0"/>
              <w:jc w:val="center"/>
              <w:rPr>
                <w:rFonts w:eastAsia="Times New Roman"/>
                <w:color w:val="000000"/>
                <w:lang w:eastAsia="zh-CN"/>
              </w:rPr>
            </w:pPr>
            <w:r w:rsidRPr="00536CFD">
              <w:rPr>
                <w:color w:val="000000"/>
              </w:rPr>
              <w:t>76.65</w:t>
            </w:r>
          </w:p>
        </w:tc>
      </w:tr>
      <w:tr w:rsidR="009D4A93" w:rsidRPr="00536CFD" w14:paraId="40B282C8" w14:textId="77777777" w:rsidTr="009D4A93">
        <w:trPr>
          <w:trHeight w:val="23"/>
          <w:jc w:val="center"/>
        </w:trPr>
        <w:tc>
          <w:tcPr>
            <w:tcW w:w="445" w:type="dxa"/>
            <w:vMerge/>
          </w:tcPr>
          <w:p w14:paraId="54B5F7C0"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63EE53B2"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490DB06D"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2D361A7E" w14:textId="77777777" w:rsidR="009D4A93" w:rsidRPr="00536CFD" w:rsidRDefault="009D4A93" w:rsidP="009D4A93">
            <w:pPr>
              <w:spacing w:after="0"/>
              <w:jc w:val="center"/>
              <w:rPr>
                <w:rFonts w:eastAsia="Times New Roman"/>
                <w:color w:val="000000"/>
                <w:lang w:eastAsia="zh-CN"/>
              </w:rPr>
            </w:pPr>
            <w:r w:rsidRPr="00536CFD">
              <w:rPr>
                <w:color w:val="000000"/>
              </w:rPr>
              <w:t>91.19</w:t>
            </w:r>
          </w:p>
        </w:tc>
        <w:tc>
          <w:tcPr>
            <w:tcW w:w="970" w:type="dxa"/>
            <w:shd w:val="clear" w:color="auto" w:fill="auto"/>
            <w:vAlign w:val="center"/>
            <w:hideMark/>
          </w:tcPr>
          <w:p w14:paraId="0FA325E6" w14:textId="77777777" w:rsidR="009D4A93" w:rsidRPr="00536CFD" w:rsidRDefault="009D4A93" w:rsidP="009D4A93">
            <w:pPr>
              <w:spacing w:after="0"/>
              <w:jc w:val="center"/>
              <w:rPr>
                <w:rFonts w:eastAsia="Times New Roman"/>
                <w:color w:val="000000"/>
                <w:lang w:eastAsia="zh-CN"/>
              </w:rPr>
            </w:pPr>
            <w:r w:rsidRPr="00536CFD">
              <w:rPr>
                <w:color w:val="000000"/>
              </w:rPr>
              <w:t>91.8</w:t>
            </w:r>
          </w:p>
        </w:tc>
        <w:tc>
          <w:tcPr>
            <w:tcW w:w="970" w:type="dxa"/>
            <w:shd w:val="clear" w:color="auto" w:fill="auto"/>
            <w:vAlign w:val="center"/>
            <w:hideMark/>
          </w:tcPr>
          <w:p w14:paraId="00F19F08" w14:textId="77777777" w:rsidR="009D4A93" w:rsidRPr="00536CFD" w:rsidRDefault="009D4A93" w:rsidP="009D4A93">
            <w:pPr>
              <w:spacing w:after="0"/>
              <w:jc w:val="center"/>
              <w:rPr>
                <w:rFonts w:eastAsia="Times New Roman"/>
                <w:color w:val="000000"/>
                <w:lang w:eastAsia="zh-CN"/>
              </w:rPr>
            </w:pPr>
            <w:r w:rsidRPr="00536CFD">
              <w:rPr>
                <w:color w:val="000000"/>
              </w:rPr>
              <w:t>76.85</w:t>
            </w:r>
          </w:p>
        </w:tc>
        <w:tc>
          <w:tcPr>
            <w:tcW w:w="970" w:type="dxa"/>
            <w:shd w:val="clear" w:color="auto" w:fill="auto"/>
            <w:vAlign w:val="center"/>
            <w:hideMark/>
          </w:tcPr>
          <w:p w14:paraId="506EAB68" w14:textId="77777777" w:rsidR="009D4A93" w:rsidRPr="00536CFD" w:rsidRDefault="009D4A93" w:rsidP="009D4A93">
            <w:pPr>
              <w:spacing w:after="0"/>
              <w:jc w:val="center"/>
              <w:rPr>
                <w:rFonts w:eastAsia="Times New Roman"/>
                <w:color w:val="000000"/>
                <w:lang w:eastAsia="zh-CN"/>
              </w:rPr>
            </w:pPr>
            <w:r w:rsidRPr="00536CFD">
              <w:rPr>
                <w:color w:val="000000"/>
              </w:rPr>
              <w:t>85.04</w:t>
            </w:r>
          </w:p>
        </w:tc>
      </w:tr>
      <w:tr w:rsidR="009D4A93" w:rsidRPr="00536CFD" w14:paraId="79EF0AE8" w14:textId="77777777" w:rsidTr="003A0B03">
        <w:trPr>
          <w:trHeight w:val="23"/>
          <w:jc w:val="center"/>
        </w:trPr>
        <w:tc>
          <w:tcPr>
            <w:tcW w:w="445" w:type="dxa"/>
            <w:vMerge/>
          </w:tcPr>
          <w:p w14:paraId="1B501B55"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6B355C33"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91F05F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3633BA4E" w14:textId="77777777" w:rsidR="009D4A93" w:rsidRPr="00536CFD" w:rsidRDefault="009D4A93" w:rsidP="009D4A93">
            <w:pPr>
              <w:spacing w:after="0"/>
              <w:jc w:val="center"/>
              <w:rPr>
                <w:color w:val="000000"/>
              </w:rPr>
            </w:pPr>
            <w:r w:rsidRPr="00536CFD">
              <w:rPr>
                <w:color w:val="000000"/>
              </w:rPr>
              <w:t>55.33</w:t>
            </w:r>
          </w:p>
        </w:tc>
        <w:tc>
          <w:tcPr>
            <w:tcW w:w="970" w:type="dxa"/>
            <w:shd w:val="clear" w:color="auto" w:fill="auto"/>
            <w:vAlign w:val="center"/>
            <w:hideMark/>
          </w:tcPr>
          <w:p w14:paraId="797F0E63" w14:textId="77777777" w:rsidR="009D4A93" w:rsidRPr="00536CFD" w:rsidRDefault="009D4A93" w:rsidP="009D4A93">
            <w:pPr>
              <w:spacing w:after="0"/>
              <w:jc w:val="center"/>
              <w:rPr>
                <w:color w:val="000000"/>
              </w:rPr>
            </w:pPr>
            <w:r w:rsidRPr="00536CFD">
              <w:rPr>
                <w:color w:val="000000"/>
              </w:rPr>
              <w:t>62.82</w:t>
            </w:r>
          </w:p>
        </w:tc>
        <w:tc>
          <w:tcPr>
            <w:tcW w:w="970" w:type="dxa"/>
            <w:shd w:val="clear" w:color="auto" w:fill="auto"/>
            <w:vAlign w:val="center"/>
            <w:hideMark/>
          </w:tcPr>
          <w:p w14:paraId="1A57D3D1" w14:textId="77777777" w:rsidR="009D4A93" w:rsidRPr="00536CFD" w:rsidRDefault="009D4A93" w:rsidP="009D4A93">
            <w:pPr>
              <w:spacing w:after="0"/>
              <w:jc w:val="center"/>
              <w:rPr>
                <w:color w:val="000000"/>
              </w:rPr>
            </w:pPr>
            <w:r w:rsidRPr="00536CFD">
              <w:rPr>
                <w:color w:val="000000"/>
              </w:rPr>
              <w:t>58.26</w:t>
            </w:r>
          </w:p>
        </w:tc>
        <w:tc>
          <w:tcPr>
            <w:tcW w:w="970" w:type="dxa"/>
            <w:shd w:val="clear" w:color="auto" w:fill="auto"/>
            <w:vAlign w:val="center"/>
            <w:hideMark/>
          </w:tcPr>
          <w:p w14:paraId="3665C979" w14:textId="77777777" w:rsidR="009D4A93" w:rsidRPr="00536CFD" w:rsidRDefault="009D4A93" w:rsidP="009D4A93">
            <w:pPr>
              <w:spacing w:after="0"/>
              <w:jc w:val="center"/>
              <w:rPr>
                <w:color w:val="000000"/>
              </w:rPr>
            </w:pPr>
            <w:r w:rsidRPr="00536CFD">
              <w:rPr>
                <w:color w:val="000000"/>
              </w:rPr>
              <w:t>66.81</w:t>
            </w:r>
          </w:p>
        </w:tc>
      </w:tr>
      <w:tr w:rsidR="009D4A93" w:rsidRPr="00536CFD" w14:paraId="4EFD1823" w14:textId="77777777" w:rsidTr="009D4A93">
        <w:trPr>
          <w:trHeight w:val="23"/>
          <w:jc w:val="center"/>
        </w:trPr>
        <w:tc>
          <w:tcPr>
            <w:tcW w:w="445" w:type="dxa"/>
            <w:vMerge/>
          </w:tcPr>
          <w:p w14:paraId="62827252" w14:textId="77777777" w:rsidR="009D4A93" w:rsidRPr="00536CFD" w:rsidRDefault="009D4A93" w:rsidP="009D4A93">
            <w:pPr>
              <w:spacing w:after="0"/>
              <w:jc w:val="center"/>
              <w:rPr>
                <w:rFonts w:eastAsia="Times New Roman"/>
                <w:b/>
                <w:bCs/>
                <w:color w:val="000000"/>
                <w:lang w:eastAsia="zh-CN"/>
              </w:rPr>
            </w:pPr>
          </w:p>
        </w:tc>
        <w:tc>
          <w:tcPr>
            <w:tcW w:w="949" w:type="dxa"/>
            <w:vMerge w:val="restart"/>
            <w:shd w:val="clear" w:color="auto" w:fill="auto"/>
            <w:vAlign w:val="center"/>
            <w:hideMark/>
          </w:tcPr>
          <w:p w14:paraId="4168A05C" w14:textId="77777777" w:rsidR="009D4A93" w:rsidRPr="00536CFD" w:rsidRDefault="009D4A93" w:rsidP="009D4A93">
            <w:pPr>
              <w:spacing w:after="0"/>
              <w:jc w:val="center"/>
              <w:rPr>
                <w:rFonts w:eastAsia="Times New Roman"/>
                <w:b/>
                <w:bCs/>
                <w:color w:val="000000"/>
                <w:lang w:eastAsia="zh-CN"/>
              </w:rPr>
            </w:pPr>
            <w:r w:rsidRPr="00536CFD">
              <w:rPr>
                <w:rFonts w:eastAsia="Times New Roman"/>
                <w:b/>
                <w:bCs/>
                <w:color w:val="000000"/>
                <w:lang w:eastAsia="zh-CN"/>
              </w:rPr>
              <w:t>UL:</w:t>
            </w:r>
          </w:p>
          <w:p w14:paraId="65DCCAD4"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Delay CDF</w:t>
            </w:r>
          </w:p>
          <w:p w14:paraId="625E05F3"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[s]</w:t>
            </w:r>
          </w:p>
        </w:tc>
        <w:tc>
          <w:tcPr>
            <w:tcW w:w="931" w:type="dxa"/>
            <w:shd w:val="clear" w:color="auto" w:fill="auto"/>
            <w:vAlign w:val="center"/>
            <w:hideMark/>
          </w:tcPr>
          <w:p w14:paraId="4C171A70"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w:t>
            </w:r>
          </w:p>
        </w:tc>
        <w:tc>
          <w:tcPr>
            <w:tcW w:w="970" w:type="dxa"/>
            <w:shd w:val="clear" w:color="auto" w:fill="auto"/>
            <w:vAlign w:val="center"/>
            <w:hideMark/>
          </w:tcPr>
          <w:p w14:paraId="2D5E0864" w14:textId="77777777" w:rsidR="009D4A93" w:rsidRPr="00536CFD" w:rsidRDefault="009D4A93" w:rsidP="009D4A93">
            <w:pPr>
              <w:spacing w:after="0"/>
              <w:jc w:val="center"/>
              <w:rPr>
                <w:color w:val="000000"/>
              </w:rPr>
            </w:pPr>
            <w:r w:rsidRPr="00536CFD">
              <w:rPr>
                <w:color w:val="000000"/>
              </w:rPr>
              <w:t>0.04</w:t>
            </w:r>
          </w:p>
        </w:tc>
        <w:tc>
          <w:tcPr>
            <w:tcW w:w="970" w:type="dxa"/>
            <w:shd w:val="clear" w:color="auto" w:fill="auto"/>
            <w:vAlign w:val="center"/>
            <w:hideMark/>
          </w:tcPr>
          <w:p w14:paraId="0B74A5AB" w14:textId="77777777" w:rsidR="009D4A93" w:rsidRPr="00536CFD" w:rsidRDefault="009D4A93" w:rsidP="009D4A93">
            <w:pPr>
              <w:spacing w:after="0"/>
              <w:jc w:val="center"/>
              <w:rPr>
                <w:color w:val="000000"/>
              </w:rPr>
            </w:pPr>
            <w:r w:rsidRPr="00536CFD">
              <w:rPr>
                <w:color w:val="000000"/>
              </w:rPr>
              <w:t>0.04</w:t>
            </w:r>
          </w:p>
        </w:tc>
        <w:tc>
          <w:tcPr>
            <w:tcW w:w="970" w:type="dxa"/>
            <w:shd w:val="clear" w:color="auto" w:fill="auto"/>
            <w:vAlign w:val="center"/>
            <w:hideMark/>
          </w:tcPr>
          <w:p w14:paraId="15045396" w14:textId="77777777" w:rsidR="009D4A93" w:rsidRPr="00536CFD" w:rsidRDefault="009D4A93" w:rsidP="009D4A93">
            <w:pPr>
              <w:spacing w:after="0"/>
              <w:jc w:val="center"/>
              <w:rPr>
                <w:color w:val="000000"/>
              </w:rPr>
            </w:pPr>
            <w:r w:rsidRPr="00536CFD">
              <w:rPr>
                <w:color w:val="000000"/>
              </w:rPr>
              <w:t>0.05</w:t>
            </w:r>
          </w:p>
        </w:tc>
        <w:tc>
          <w:tcPr>
            <w:tcW w:w="970" w:type="dxa"/>
            <w:shd w:val="clear" w:color="auto" w:fill="auto"/>
            <w:vAlign w:val="center"/>
            <w:hideMark/>
          </w:tcPr>
          <w:p w14:paraId="62075963" w14:textId="77777777" w:rsidR="009D4A93" w:rsidRPr="00536CFD" w:rsidRDefault="009D4A93" w:rsidP="009D4A93">
            <w:pPr>
              <w:spacing w:after="0"/>
              <w:jc w:val="center"/>
              <w:rPr>
                <w:color w:val="000000"/>
              </w:rPr>
            </w:pPr>
            <w:r w:rsidRPr="00536CFD">
              <w:rPr>
                <w:color w:val="000000"/>
              </w:rPr>
              <w:t>0.05</w:t>
            </w:r>
          </w:p>
        </w:tc>
      </w:tr>
      <w:tr w:rsidR="009D4A93" w:rsidRPr="00536CFD" w14:paraId="45C28206" w14:textId="77777777" w:rsidTr="009D4A93">
        <w:trPr>
          <w:trHeight w:val="23"/>
          <w:jc w:val="center"/>
        </w:trPr>
        <w:tc>
          <w:tcPr>
            <w:tcW w:w="445" w:type="dxa"/>
            <w:vMerge/>
          </w:tcPr>
          <w:p w14:paraId="5E93C324"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65B22068"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7D9217EF"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50%</w:t>
            </w:r>
          </w:p>
        </w:tc>
        <w:tc>
          <w:tcPr>
            <w:tcW w:w="970" w:type="dxa"/>
            <w:shd w:val="clear" w:color="auto" w:fill="auto"/>
            <w:vAlign w:val="center"/>
            <w:hideMark/>
          </w:tcPr>
          <w:p w14:paraId="68AD2A14" w14:textId="77777777" w:rsidR="009D4A93" w:rsidRPr="00536CFD" w:rsidRDefault="009D4A93" w:rsidP="009D4A93">
            <w:pPr>
              <w:spacing w:after="0"/>
              <w:jc w:val="center"/>
              <w:rPr>
                <w:rFonts w:eastAsia="Times New Roman"/>
                <w:color w:val="000000"/>
                <w:lang w:eastAsia="zh-CN"/>
              </w:rPr>
            </w:pPr>
            <w:r w:rsidRPr="00536CFD">
              <w:rPr>
                <w:color w:val="000000"/>
              </w:rPr>
              <w:t>0.07</w:t>
            </w:r>
          </w:p>
        </w:tc>
        <w:tc>
          <w:tcPr>
            <w:tcW w:w="970" w:type="dxa"/>
            <w:shd w:val="clear" w:color="auto" w:fill="auto"/>
            <w:vAlign w:val="center"/>
            <w:hideMark/>
          </w:tcPr>
          <w:p w14:paraId="56341DA7"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28626816" w14:textId="77777777" w:rsidR="009D4A93" w:rsidRPr="00536CFD" w:rsidRDefault="009D4A93" w:rsidP="009D4A93">
            <w:pPr>
              <w:spacing w:after="0"/>
              <w:jc w:val="center"/>
              <w:rPr>
                <w:rFonts w:eastAsia="Times New Roman"/>
                <w:color w:val="000000"/>
                <w:lang w:eastAsia="zh-CN"/>
              </w:rPr>
            </w:pPr>
            <w:r w:rsidRPr="00536CFD">
              <w:rPr>
                <w:color w:val="000000"/>
              </w:rPr>
              <w:t>0.06</w:t>
            </w:r>
          </w:p>
        </w:tc>
        <w:tc>
          <w:tcPr>
            <w:tcW w:w="970" w:type="dxa"/>
            <w:shd w:val="clear" w:color="auto" w:fill="auto"/>
            <w:vAlign w:val="center"/>
            <w:hideMark/>
          </w:tcPr>
          <w:p w14:paraId="623FD45B" w14:textId="77777777" w:rsidR="009D4A93" w:rsidRPr="00536CFD" w:rsidRDefault="009D4A93" w:rsidP="009D4A93">
            <w:pPr>
              <w:spacing w:after="0"/>
              <w:jc w:val="center"/>
              <w:rPr>
                <w:rFonts w:eastAsia="Times New Roman"/>
                <w:color w:val="000000"/>
                <w:lang w:eastAsia="zh-CN"/>
              </w:rPr>
            </w:pPr>
            <w:r w:rsidRPr="00536CFD">
              <w:rPr>
                <w:color w:val="000000"/>
              </w:rPr>
              <w:t>0.05</w:t>
            </w:r>
          </w:p>
        </w:tc>
      </w:tr>
      <w:tr w:rsidR="009D4A93" w:rsidRPr="00536CFD" w14:paraId="01875C1F" w14:textId="77777777" w:rsidTr="009D4A93">
        <w:trPr>
          <w:trHeight w:val="23"/>
          <w:jc w:val="center"/>
        </w:trPr>
        <w:tc>
          <w:tcPr>
            <w:tcW w:w="445" w:type="dxa"/>
            <w:vMerge/>
          </w:tcPr>
          <w:p w14:paraId="5202E749" w14:textId="77777777" w:rsidR="009D4A93" w:rsidRPr="00536CFD" w:rsidRDefault="009D4A93" w:rsidP="009D4A93">
            <w:pPr>
              <w:spacing w:after="0"/>
              <w:rPr>
                <w:rFonts w:eastAsia="Times New Roman"/>
                <w:color w:val="000000"/>
                <w:lang w:eastAsia="zh-CN"/>
              </w:rPr>
            </w:pPr>
          </w:p>
        </w:tc>
        <w:tc>
          <w:tcPr>
            <w:tcW w:w="949" w:type="dxa"/>
            <w:vMerge/>
            <w:shd w:val="clear" w:color="auto" w:fill="auto"/>
            <w:vAlign w:val="center"/>
            <w:hideMark/>
          </w:tcPr>
          <w:p w14:paraId="546FC3D2"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5EB82322"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95%</w:t>
            </w:r>
          </w:p>
        </w:tc>
        <w:tc>
          <w:tcPr>
            <w:tcW w:w="970" w:type="dxa"/>
            <w:shd w:val="clear" w:color="auto" w:fill="auto"/>
            <w:vAlign w:val="center"/>
            <w:hideMark/>
          </w:tcPr>
          <w:p w14:paraId="5928B301" w14:textId="77777777" w:rsidR="009D4A93" w:rsidRPr="00536CFD" w:rsidRDefault="009D4A93" w:rsidP="009D4A93">
            <w:pPr>
              <w:spacing w:after="0"/>
              <w:jc w:val="center"/>
              <w:rPr>
                <w:rFonts w:eastAsia="Times New Roman"/>
                <w:color w:val="000000"/>
                <w:lang w:eastAsia="zh-CN"/>
              </w:rPr>
            </w:pPr>
            <w:r w:rsidRPr="00536CFD">
              <w:rPr>
                <w:color w:val="000000"/>
              </w:rPr>
              <w:t>0.28</w:t>
            </w:r>
          </w:p>
        </w:tc>
        <w:tc>
          <w:tcPr>
            <w:tcW w:w="970" w:type="dxa"/>
            <w:shd w:val="clear" w:color="auto" w:fill="auto"/>
            <w:vAlign w:val="center"/>
            <w:hideMark/>
          </w:tcPr>
          <w:p w14:paraId="09681D89" w14:textId="77777777" w:rsidR="009D4A93" w:rsidRPr="00536CFD" w:rsidRDefault="009D4A93" w:rsidP="009D4A93">
            <w:pPr>
              <w:spacing w:after="0"/>
              <w:jc w:val="center"/>
              <w:rPr>
                <w:rFonts w:eastAsia="Times New Roman"/>
                <w:color w:val="000000"/>
                <w:lang w:eastAsia="zh-CN"/>
              </w:rPr>
            </w:pPr>
            <w:r w:rsidRPr="00536CFD">
              <w:rPr>
                <w:color w:val="000000"/>
              </w:rPr>
              <w:t>0.21</w:t>
            </w:r>
          </w:p>
        </w:tc>
        <w:tc>
          <w:tcPr>
            <w:tcW w:w="970" w:type="dxa"/>
            <w:shd w:val="clear" w:color="auto" w:fill="auto"/>
            <w:vAlign w:val="center"/>
            <w:hideMark/>
          </w:tcPr>
          <w:p w14:paraId="7A41C105" w14:textId="77777777" w:rsidR="009D4A93" w:rsidRPr="00536CFD" w:rsidRDefault="009D4A93" w:rsidP="009D4A93">
            <w:pPr>
              <w:spacing w:after="0"/>
              <w:jc w:val="center"/>
              <w:rPr>
                <w:rFonts w:eastAsia="Times New Roman"/>
                <w:color w:val="000000"/>
                <w:lang w:eastAsia="zh-CN"/>
              </w:rPr>
            </w:pPr>
            <w:r w:rsidRPr="00536CFD">
              <w:rPr>
                <w:color w:val="000000"/>
              </w:rPr>
              <w:t>0.17</w:t>
            </w:r>
          </w:p>
        </w:tc>
        <w:tc>
          <w:tcPr>
            <w:tcW w:w="970" w:type="dxa"/>
            <w:shd w:val="clear" w:color="auto" w:fill="auto"/>
            <w:vAlign w:val="center"/>
            <w:hideMark/>
          </w:tcPr>
          <w:p w14:paraId="4796DC1F" w14:textId="77777777" w:rsidR="009D4A93" w:rsidRPr="00536CFD" w:rsidRDefault="009D4A93" w:rsidP="009D4A93">
            <w:pPr>
              <w:spacing w:after="0"/>
              <w:jc w:val="center"/>
              <w:rPr>
                <w:rFonts w:eastAsia="Times New Roman"/>
                <w:color w:val="000000"/>
                <w:lang w:eastAsia="zh-CN"/>
              </w:rPr>
            </w:pPr>
            <w:r w:rsidRPr="00536CFD">
              <w:rPr>
                <w:color w:val="000000"/>
              </w:rPr>
              <w:t>0.14</w:t>
            </w:r>
          </w:p>
        </w:tc>
      </w:tr>
      <w:tr w:rsidR="009D4A93" w:rsidRPr="00536CFD" w14:paraId="452D44A3" w14:textId="77777777" w:rsidTr="009D4A93">
        <w:trPr>
          <w:trHeight w:val="23"/>
          <w:jc w:val="center"/>
        </w:trPr>
        <w:tc>
          <w:tcPr>
            <w:tcW w:w="445" w:type="dxa"/>
            <w:vMerge/>
          </w:tcPr>
          <w:p w14:paraId="40E5AFFC" w14:textId="77777777" w:rsidR="009D4A93" w:rsidRPr="00536CFD" w:rsidRDefault="009D4A93" w:rsidP="009D4A93">
            <w:pPr>
              <w:spacing w:after="0"/>
              <w:rPr>
                <w:rFonts w:eastAsia="Times New Roman"/>
                <w:color w:val="000000"/>
                <w:lang w:eastAsia="zh-CN"/>
              </w:rPr>
            </w:pPr>
          </w:p>
        </w:tc>
        <w:tc>
          <w:tcPr>
            <w:tcW w:w="949" w:type="dxa"/>
            <w:vMerge/>
            <w:shd w:val="clear" w:color="auto" w:fill="auto"/>
            <w:hideMark/>
          </w:tcPr>
          <w:p w14:paraId="469D1C28" w14:textId="77777777" w:rsidR="009D4A93" w:rsidRPr="00536CFD" w:rsidRDefault="009D4A93" w:rsidP="009D4A93">
            <w:pPr>
              <w:spacing w:after="0"/>
              <w:rPr>
                <w:rFonts w:eastAsia="Times New Roman"/>
                <w:color w:val="000000"/>
                <w:lang w:eastAsia="zh-CN"/>
              </w:rPr>
            </w:pPr>
          </w:p>
        </w:tc>
        <w:tc>
          <w:tcPr>
            <w:tcW w:w="931" w:type="dxa"/>
            <w:shd w:val="clear" w:color="auto" w:fill="auto"/>
            <w:vAlign w:val="center"/>
            <w:hideMark/>
          </w:tcPr>
          <w:p w14:paraId="144E060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Mean</w:t>
            </w:r>
          </w:p>
        </w:tc>
        <w:tc>
          <w:tcPr>
            <w:tcW w:w="970" w:type="dxa"/>
            <w:shd w:val="clear" w:color="auto" w:fill="auto"/>
            <w:vAlign w:val="center"/>
            <w:hideMark/>
          </w:tcPr>
          <w:p w14:paraId="1049BF57" w14:textId="77777777" w:rsidR="009D4A93" w:rsidRPr="00536CFD" w:rsidRDefault="009D4A93" w:rsidP="009D4A93">
            <w:pPr>
              <w:spacing w:after="0"/>
              <w:jc w:val="center"/>
              <w:rPr>
                <w:rFonts w:eastAsia="Times New Roman"/>
                <w:color w:val="000000"/>
                <w:lang w:eastAsia="zh-CN"/>
              </w:rPr>
            </w:pPr>
            <w:r w:rsidRPr="00536CFD">
              <w:rPr>
                <w:color w:val="000000"/>
              </w:rPr>
              <w:t>0.11</w:t>
            </w:r>
          </w:p>
        </w:tc>
        <w:tc>
          <w:tcPr>
            <w:tcW w:w="970" w:type="dxa"/>
            <w:shd w:val="clear" w:color="auto" w:fill="auto"/>
            <w:vAlign w:val="center"/>
            <w:hideMark/>
          </w:tcPr>
          <w:p w14:paraId="783E380E" w14:textId="77777777" w:rsidR="009D4A93" w:rsidRPr="00536CFD" w:rsidRDefault="009D4A93" w:rsidP="009D4A93">
            <w:pPr>
              <w:spacing w:after="0"/>
              <w:jc w:val="center"/>
              <w:rPr>
                <w:rFonts w:eastAsia="Times New Roman"/>
                <w:color w:val="000000"/>
                <w:lang w:eastAsia="zh-CN"/>
              </w:rPr>
            </w:pPr>
            <w:r w:rsidRPr="00536CFD">
              <w:rPr>
                <w:color w:val="000000"/>
              </w:rPr>
              <w:t>0.09</w:t>
            </w:r>
          </w:p>
        </w:tc>
        <w:tc>
          <w:tcPr>
            <w:tcW w:w="970" w:type="dxa"/>
            <w:shd w:val="clear" w:color="auto" w:fill="auto"/>
            <w:vAlign w:val="center"/>
            <w:hideMark/>
          </w:tcPr>
          <w:p w14:paraId="05F96DEC" w14:textId="77777777" w:rsidR="009D4A93" w:rsidRPr="00536CFD" w:rsidRDefault="009D4A93" w:rsidP="009D4A93">
            <w:pPr>
              <w:spacing w:after="0"/>
              <w:jc w:val="center"/>
              <w:rPr>
                <w:rFonts w:eastAsia="Times New Roman"/>
                <w:color w:val="000000"/>
                <w:lang w:eastAsia="zh-CN"/>
              </w:rPr>
            </w:pPr>
            <w:r w:rsidRPr="00536CFD">
              <w:rPr>
                <w:color w:val="000000"/>
              </w:rPr>
              <w:t>0.08</w:t>
            </w:r>
          </w:p>
        </w:tc>
        <w:tc>
          <w:tcPr>
            <w:tcW w:w="970" w:type="dxa"/>
            <w:shd w:val="clear" w:color="auto" w:fill="auto"/>
            <w:vAlign w:val="center"/>
            <w:hideMark/>
          </w:tcPr>
          <w:p w14:paraId="4CFA9B86" w14:textId="77777777" w:rsidR="009D4A93" w:rsidRPr="00536CFD" w:rsidRDefault="009D4A93" w:rsidP="009D4A93">
            <w:pPr>
              <w:spacing w:after="0"/>
              <w:jc w:val="center"/>
              <w:rPr>
                <w:rFonts w:eastAsia="Times New Roman"/>
                <w:color w:val="000000"/>
                <w:lang w:eastAsia="zh-CN"/>
              </w:rPr>
            </w:pPr>
            <w:r w:rsidRPr="00536CFD">
              <w:rPr>
                <w:color w:val="000000"/>
              </w:rPr>
              <w:t>0.07</w:t>
            </w:r>
          </w:p>
        </w:tc>
      </w:tr>
      <w:tr w:rsidR="009D4A93" w:rsidRPr="00536CFD" w14:paraId="6A3FC036" w14:textId="77777777" w:rsidTr="009D4A93">
        <w:trPr>
          <w:trHeight w:val="23"/>
          <w:jc w:val="center"/>
        </w:trPr>
        <w:tc>
          <w:tcPr>
            <w:tcW w:w="445" w:type="dxa"/>
            <w:vMerge/>
          </w:tcPr>
          <w:p w14:paraId="74AEFCB3"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782156E9"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DL</w:t>
            </w:r>
          </w:p>
        </w:tc>
        <w:tc>
          <w:tcPr>
            <w:tcW w:w="970" w:type="dxa"/>
            <w:shd w:val="clear" w:color="auto" w:fill="auto"/>
            <w:vAlign w:val="center"/>
            <w:hideMark/>
          </w:tcPr>
          <w:p w14:paraId="32101A76" w14:textId="77777777" w:rsidR="009D4A93" w:rsidRPr="00536CFD" w:rsidRDefault="009D4A93" w:rsidP="009D4A93">
            <w:pPr>
              <w:spacing w:after="0"/>
              <w:jc w:val="center"/>
              <w:rPr>
                <w:rFonts w:eastAsia="Times New Roman"/>
                <w:color w:val="000000"/>
                <w:lang w:eastAsia="zh-CN"/>
              </w:rPr>
            </w:pPr>
            <w:r w:rsidRPr="00536CFD">
              <w:rPr>
                <w:color w:val="000000"/>
              </w:rPr>
              <w:t>99.83%</w:t>
            </w:r>
          </w:p>
        </w:tc>
        <w:tc>
          <w:tcPr>
            <w:tcW w:w="970" w:type="dxa"/>
            <w:shd w:val="clear" w:color="auto" w:fill="auto"/>
            <w:vAlign w:val="center"/>
            <w:hideMark/>
          </w:tcPr>
          <w:p w14:paraId="2ED3F769" w14:textId="77777777" w:rsidR="009D4A93" w:rsidRPr="00536CFD" w:rsidRDefault="009D4A93" w:rsidP="009D4A93">
            <w:pPr>
              <w:spacing w:after="0"/>
              <w:jc w:val="center"/>
              <w:rPr>
                <w:rFonts w:eastAsia="Times New Roman"/>
                <w:color w:val="000000"/>
                <w:lang w:eastAsia="zh-CN"/>
              </w:rPr>
            </w:pPr>
            <w:r w:rsidRPr="00536CFD">
              <w:rPr>
                <w:color w:val="000000"/>
              </w:rPr>
              <w:t>99.85%</w:t>
            </w:r>
          </w:p>
        </w:tc>
        <w:tc>
          <w:tcPr>
            <w:tcW w:w="970" w:type="dxa"/>
            <w:shd w:val="clear" w:color="auto" w:fill="auto"/>
            <w:vAlign w:val="center"/>
            <w:hideMark/>
          </w:tcPr>
          <w:p w14:paraId="14C7491E" w14:textId="77777777" w:rsidR="009D4A93" w:rsidRPr="00536CFD" w:rsidRDefault="009D4A93" w:rsidP="009D4A93">
            <w:pPr>
              <w:spacing w:after="0"/>
              <w:jc w:val="center"/>
              <w:rPr>
                <w:rFonts w:eastAsia="Times New Roman"/>
                <w:color w:val="000000"/>
                <w:lang w:eastAsia="zh-CN"/>
              </w:rPr>
            </w:pPr>
            <w:r w:rsidRPr="00536CFD">
              <w:rPr>
                <w:color w:val="000000"/>
              </w:rPr>
              <w:t>99.87%</w:t>
            </w:r>
          </w:p>
        </w:tc>
        <w:tc>
          <w:tcPr>
            <w:tcW w:w="970" w:type="dxa"/>
            <w:shd w:val="clear" w:color="auto" w:fill="auto"/>
            <w:vAlign w:val="center"/>
            <w:hideMark/>
          </w:tcPr>
          <w:p w14:paraId="3C4CD2CC" w14:textId="77777777" w:rsidR="009D4A93" w:rsidRPr="00536CFD" w:rsidRDefault="009D4A93" w:rsidP="009D4A93">
            <w:pPr>
              <w:spacing w:after="0"/>
              <w:jc w:val="center"/>
              <w:rPr>
                <w:rFonts w:eastAsia="Times New Roman"/>
                <w:color w:val="000000"/>
                <w:lang w:eastAsia="zh-CN"/>
              </w:rPr>
            </w:pPr>
            <w:r w:rsidRPr="00536CFD">
              <w:rPr>
                <w:color w:val="000000"/>
              </w:rPr>
              <w:t>99.88%</w:t>
            </w:r>
          </w:p>
        </w:tc>
      </w:tr>
      <w:tr w:rsidR="009D4A93" w:rsidRPr="00536CFD" w14:paraId="4A33A1CE" w14:textId="77777777" w:rsidTr="009D4A93">
        <w:trPr>
          <w:trHeight w:val="23"/>
          <w:jc w:val="center"/>
        </w:trPr>
        <w:tc>
          <w:tcPr>
            <w:tcW w:w="445" w:type="dxa"/>
            <w:vMerge/>
          </w:tcPr>
          <w:p w14:paraId="2ABDCB3C"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4E2A7AB0"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𝜌</w:t>
            </w:r>
            <w:r w:rsidRPr="00536CFD">
              <w:rPr>
                <w:rFonts w:eastAsia="Times New Roman"/>
                <w:color w:val="000000"/>
                <w:vertAlign w:val="subscript"/>
                <w:lang w:eastAsia="zh-CN"/>
              </w:rPr>
              <w:t>UL</w:t>
            </w:r>
          </w:p>
        </w:tc>
        <w:tc>
          <w:tcPr>
            <w:tcW w:w="970" w:type="dxa"/>
            <w:shd w:val="clear" w:color="auto" w:fill="auto"/>
            <w:vAlign w:val="center"/>
            <w:hideMark/>
          </w:tcPr>
          <w:p w14:paraId="4EB18D20" w14:textId="77777777" w:rsidR="009D4A93" w:rsidRPr="00536CFD" w:rsidRDefault="009D4A93" w:rsidP="009D4A93">
            <w:pPr>
              <w:spacing w:after="0"/>
              <w:jc w:val="center"/>
              <w:rPr>
                <w:rFonts w:eastAsia="Times New Roman"/>
                <w:color w:val="000000"/>
                <w:lang w:eastAsia="zh-CN"/>
              </w:rPr>
            </w:pPr>
            <w:r w:rsidRPr="00536CFD">
              <w:rPr>
                <w:color w:val="000000"/>
              </w:rPr>
              <w:t>99.69%</w:t>
            </w:r>
          </w:p>
        </w:tc>
        <w:tc>
          <w:tcPr>
            <w:tcW w:w="970" w:type="dxa"/>
            <w:shd w:val="clear" w:color="auto" w:fill="auto"/>
            <w:vAlign w:val="center"/>
            <w:hideMark/>
          </w:tcPr>
          <w:p w14:paraId="0C7FE0A4" w14:textId="77777777" w:rsidR="009D4A93" w:rsidRPr="00536CFD" w:rsidRDefault="009D4A93" w:rsidP="009D4A93">
            <w:pPr>
              <w:spacing w:after="0"/>
              <w:jc w:val="center"/>
              <w:rPr>
                <w:rFonts w:eastAsia="Times New Roman"/>
                <w:color w:val="000000"/>
                <w:lang w:eastAsia="zh-CN"/>
              </w:rPr>
            </w:pPr>
            <w:r w:rsidRPr="00536CFD">
              <w:rPr>
                <w:color w:val="000000"/>
              </w:rPr>
              <w:t>99.70%</w:t>
            </w:r>
          </w:p>
        </w:tc>
        <w:tc>
          <w:tcPr>
            <w:tcW w:w="970" w:type="dxa"/>
            <w:shd w:val="clear" w:color="auto" w:fill="auto"/>
            <w:vAlign w:val="center"/>
            <w:hideMark/>
          </w:tcPr>
          <w:p w14:paraId="20D9A927" w14:textId="77777777" w:rsidR="009D4A93" w:rsidRPr="00536CFD" w:rsidRDefault="009D4A93" w:rsidP="009D4A93">
            <w:pPr>
              <w:spacing w:after="0"/>
              <w:jc w:val="center"/>
              <w:rPr>
                <w:rFonts w:eastAsia="Times New Roman"/>
                <w:color w:val="000000"/>
                <w:lang w:eastAsia="zh-CN"/>
              </w:rPr>
            </w:pPr>
            <w:r w:rsidRPr="00536CFD">
              <w:rPr>
                <w:color w:val="000000"/>
              </w:rPr>
              <w:t>99.72%</w:t>
            </w:r>
          </w:p>
        </w:tc>
        <w:tc>
          <w:tcPr>
            <w:tcW w:w="970" w:type="dxa"/>
            <w:shd w:val="clear" w:color="auto" w:fill="auto"/>
            <w:vAlign w:val="center"/>
            <w:hideMark/>
          </w:tcPr>
          <w:p w14:paraId="593B1223" w14:textId="77777777" w:rsidR="009D4A93" w:rsidRPr="00536CFD" w:rsidRDefault="009D4A93" w:rsidP="009D4A93">
            <w:pPr>
              <w:spacing w:after="0"/>
              <w:jc w:val="center"/>
              <w:rPr>
                <w:rFonts w:eastAsia="Times New Roman"/>
                <w:color w:val="000000"/>
                <w:lang w:eastAsia="zh-CN"/>
              </w:rPr>
            </w:pPr>
            <w:r w:rsidRPr="00536CFD">
              <w:rPr>
                <w:color w:val="000000"/>
              </w:rPr>
              <w:t>99.77%</w:t>
            </w:r>
          </w:p>
        </w:tc>
      </w:tr>
      <w:tr w:rsidR="009D4A93" w:rsidRPr="00536CFD" w14:paraId="7C52343A" w14:textId="77777777" w:rsidTr="009D4A93">
        <w:trPr>
          <w:trHeight w:val="23"/>
          <w:jc w:val="center"/>
        </w:trPr>
        <w:tc>
          <w:tcPr>
            <w:tcW w:w="445" w:type="dxa"/>
            <w:vMerge/>
          </w:tcPr>
          <w:p w14:paraId="39D3348D"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7693E175"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BO</w:t>
            </w:r>
          </w:p>
        </w:tc>
        <w:tc>
          <w:tcPr>
            <w:tcW w:w="970" w:type="dxa"/>
            <w:shd w:val="clear" w:color="auto" w:fill="auto"/>
            <w:vAlign w:val="center"/>
            <w:hideMark/>
          </w:tcPr>
          <w:p w14:paraId="223D3659" w14:textId="77777777" w:rsidR="009D4A93" w:rsidRPr="00536CFD" w:rsidRDefault="009D4A93" w:rsidP="009D4A93">
            <w:pPr>
              <w:spacing w:after="0"/>
              <w:jc w:val="center"/>
              <w:rPr>
                <w:rFonts w:eastAsia="Times New Roman"/>
                <w:color w:val="000000"/>
                <w:lang w:eastAsia="zh-CN"/>
              </w:rPr>
            </w:pPr>
            <w:r w:rsidRPr="00536CFD">
              <w:rPr>
                <w:color w:val="000000"/>
              </w:rPr>
              <w:t>23%</w:t>
            </w:r>
          </w:p>
        </w:tc>
        <w:tc>
          <w:tcPr>
            <w:tcW w:w="970" w:type="dxa"/>
            <w:shd w:val="clear" w:color="auto" w:fill="auto"/>
            <w:vAlign w:val="center"/>
            <w:hideMark/>
          </w:tcPr>
          <w:p w14:paraId="215ABD17" w14:textId="77777777" w:rsidR="009D4A93" w:rsidRPr="00536CFD" w:rsidRDefault="009D4A93" w:rsidP="009D4A93">
            <w:pPr>
              <w:spacing w:after="0"/>
              <w:jc w:val="center"/>
              <w:rPr>
                <w:rFonts w:eastAsia="Times New Roman"/>
                <w:color w:val="000000"/>
                <w:lang w:eastAsia="zh-CN"/>
              </w:rPr>
            </w:pPr>
            <w:r w:rsidRPr="00536CFD">
              <w:rPr>
                <w:color w:val="000000"/>
              </w:rPr>
              <w:t>19%</w:t>
            </w:r>
          </w:p>
        </w:tc>
        <w:tc>
          <w:tcPr>
            <w:tcW w:w="970" w:type="dxa"/>
            <w:shd w:val="clear" w:color="auto" w:fill="auto"/>
            <w:vAlign w:val="center"/>
            <w:hideMark/>
          </w:tcPr>
          <w:p w14:paraId="3114DD25" w14:textId="77777777" w:rsidR="009D4A93" w:rsidRPr="00536CFD" w:rsidRDefault="009D4A93" w:rsidP="009D4A93">
            <w:pPr>
              <w:spacing w:after="0"/>
              <w:jc w:val="center"/>
              <w:rPr>
                <w:rFonts w:eastAsia="Times New Roman"/>
                <w:color w:val="000000"/>
                <w:lang w:eastAsia="zh-CN"/>
              </w:rPr>
            </w:pPr>
            <w:r w:rsidRPr="00536CFD">
              <w:rPr>
                <w:color w:val="000000"/>
              </w:rPr>
              <w:t>18%</w:t>
            </w:r>
          </w:p>
        </w:tc>
        <w:tc>
          <w:tcPr>
            <w:tcW w:w="970" w:type="dxa"/>
            <w:shd w:val="clear" w:color="auto" w:fill="auto"/>
            <w:vAlign w:val="center"/>
            <w:hideMark/>
          </w:tcPr>
          <w:p w14:paraId="08749A5A" w14:textId="77777777" w:rsidR="009D4A93" w:rsidRPr="00536CFD" w:rsidRDefault="009D4A93" w:rsidP="009D4A93">
            <w:pPr>
              <w:spacing w:after="0"/>
              <w:jc w:val="center"/>
              <w:rPr>
                <w:rFonts w:eastAsia="Times New Roman"/>
                <w:color w:val="000000"/>
                <w:lang w:eastAsia="zh-CN"/>
              </w:rPr>
            </w:pPr>
            <w:r w:rsidRPr="00536CFD">
              <w:rPr>
                <w:color w:val="000000"/>
              </w:rPr>
              <w:t>16%</w:t>
            </w:r>
          </w:p>
        </w:tc>
      </w:tr>
      <w:tr w:rsidR="009D4A93" w:rsidRPr="00536CFD" w14:paraId="5255F24F" w14:textId="77777777" w:rsidTr="009D4A93">
        <w:trPr>
          <w:trHeight w:val="23"/>
          <w:jc w:val="center"/>
        </w:trPr>
        <w:tc>
          <w:tcPr>
            <w:tcW w:w="445" w:type="dxa"/>
            <w:vMerge/>
          </w:tcPr>
          <w:p w14:paraId="78AA847C"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hideMark/>
          </w:tcPr>
          <w:p w14:paraId="40A98D25" w14:textId="77777777" w:rsidR="009D4A93" w:rsidRPr="00536CFD" w:rsidRDefault="009D4A93" w:rsidP="009D4A93">
            <w:pPr>
              <w:spacing w:after="0"/>
              <w:jc w:val="center"/>
              <w:rPr>
                <w:rFonts w:eastAsia="Times New Roman"/>
                <w:color w:val="000000"/>
                <w:lang w:eastAsia="zh-CN"/>
              </w:rPr>
            </w:pPr>
            <w:r w:rsidRPr="00536CFD">
              <w:rPr>
                <w:rFonts w:ascii="Cambria Math" w:eastAsia="Times New Roman" w:hAnsi="Cambria Math" w:cs="Cambria Math"/>
                <w:color w:val="000000"/>
                <w:lang w:eastAsia="zh-CN"/>
              </w:rPr>
              <w:t>𝜆</w:t>
            </w:r>
          </w:p>
        </w:tc>
        <w:tc>
          <w:tcPr>
            <w:tcW w:w="3880" w:type="dxa"/>
            <w:gridSpan w:val="4"/>
            <w:shd w:val="clear" w:color="auto" w:fill="auto"/>
            <w:vAlign w:val="center"/>
            <w:hideMark/>
          </w:tcPr>
          <w:p w14:paraId="4398A746" w14:textId="77777777" w:rsidR="009D4A93" w:rsidRPr="00536CFD" w:rsidRDefault="009D4A93" w:rsidP="009D4A93">
            <w:pPr>
              <w:spacing w:after="0"/>
              <w:jc w:val="center"/>
              <w:rPr>
                <w:rFonts w:eastAsia="Times New Roman"/>
                <w:color w:val="000000"/>
                <w:lang w:eastAsia="zh-CN"/>
              </w:rPr>
            </w:pPr>
            <w:r w:rsidRPr="00536CFD">
              <w:rPr>
                <w:rFonts w:eastAsia="Times New Roman"/>
                <w:color w:val="000000"/>
                <w:lang w:eastAsia="zh-CN"/>
              </w:rPr>
              <w:t>0.3 files/s</w:t>
            </w:r>
          </w:p>
        </w:tc>
      </w:tr>
      <w:tr w:rsidR="009D4A93" w:rsidRPr="00536CFD" w14:paraId="58A0BCA7" w14:textId="77777777" w:rsidTr="009D4A93">
        <w:trPr>
          <w:trHeight w:val="23"/>
          <w:jc w:val="center"/>
        </w:trPr>
        <w:tc>
          <w:tcPr>
            <w:tcW w:w="445" w:type="dxa"/>
            <w:vMerge/>
          </w:tcPr>
          <w:p w14:paraId="463D9E49" w14:textId="77777777" w:rsidR="009D4A93" w:rsidRPr="00536CFD" w:rsidRDefault="009D4A93" w:rsidP="009D4A93">
            <w:pPr>
              <w:spacing w:after="0"/>
              <w:jc w:val="center"/>
              <w:rPr>
                <w:rFonts w:eastAsia="Times New Roman"/>
                <w:color w:val="000000"/>
                <w:lang w:eastAsia="zh-CN"/>
              </w:rPr>
            </w:pPr>
          </w:p>
        </w:tc>
        <w:tc>
          <w:tcPr>
            <w:tcW w:w="1880" w:type="dxa"/>
            <w:gridSpan w:val="2"/>
            <w:shd w:val="clear" w:color="auto" w:fill="auto"/>
            <w:vAlign w:val="center"/>
          </w:tcPr>
          <w:p w14:paraId="44EE2B57" w14:textId="77777777" w:rsidR="009D4A93" w:rsidRPr="00536CFD" w:rsidRDefault="009D4A93" w:rsidP="009D4A93">
            <w:pPr>
              <w:spacing w:after="0"/>
              <w:jc w:val="center"/>
              <w:rPr>
                <w:rFonts w:eastAsia="Times New Roman"/>
                <w:color w:val="000000"/>
                <w:lang w:eastAsia="zh-CN"/>
              </w:rPr>
            </w:pPr>
          </w:p>
        </w:tc>
        <w:tc>
          <w:tcPr>
            <w:tcW w:w="3880" w:type="dxa"/>
            <w:gridSpan w:val="4"/>
            <w:shd w:val="clear" w:color="auto" w:fill="auto"/>
            <w:vAlign w:val="center"/>
          </w:tcPr>
          <w:p w14:paraId="000173C3" w14:textId="77777777" w:rsidR="009D4A93" w:rsidRPr="00536CFD" w:rsidRDefault="009D4A93" w:rsidP="009D4A93">
            <w:pPr>
              <w:jc w:val="both"/>
            </w:pPr>
            <w:r w:rsidRPr="00536CFD">
              <w:t>Additional comments:</w:t>
            </w:r>
          </w:p>
          <w:p w14:paraId="52C2BA6F" w14:textId="77777777" w:rsidR="009D4A93" w:rsidRPr="00536CFD" w:rsidRDefault="009D4A93" w:rsidP="009D4A93">
            <w:pPr>
              <w:spacing w:after="0" w:line="360" w:lineRule="auto"/>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13770FD1" w14:textId="77777777" w:rsidR="009D4A93" w:rsidRPr="00536CFD" w:rsidRDefault="009D4A93" w:rsidP="009D4A93">
            <w:pPr>
              <w:spacing w:after="0" w:line="360" w:lineRule="auto"/>
              <w:contextualSpacing/>
              <w:rPr>
                <w:lang w:val="en-US" w:bidi="ar"/>
              </w:rPr>
            </w:pPr>
            <w:r w:rsidRPr="00536CFD">
              <w:rPr>
                <w:b/>
                <w:lang w:val="en-US" w:bidi="ar"/>
              </w:rPr>
              <w:t>NRU assumption:</w:t>
            </w:r>
            <w:r w:rsidRPr="00536CFD">
              <w:rPr>
                <w:lang w:val="en-US" w:bidi="ar"/>
              </w:rPr>
              <w:t xml:space="preserve"> 8ms MCOT;  ED=-62dBm; 256 QAM LDPC; 60 kHz SCS NCP; UE processing time capability #1; NR type B for PDSCH, type A for PUSCH</w:t>
            </w:r>
          </w:p>
          <w:p w14:paraId="59A67DF2" w14:textId="77777777" w:rsidR="009D4A93" w:rsidRPr="00536CFD" w:rsidRDefault="009D4A93" w:rsidP="009D4A93">
            <w:pPr>
              <w:spacing w:after="0" w:line="360" w:lineRule="auto"/>
              <w:contextualSpacing/>
              <w:rPr>
                <w:lang w:val="en-US" w:bidi="ar"/>
              </w:rPr>
            </w:pPr>
            <w:r w:rsidRPr="00536CFD">
              <w:rPr>
                <w:b/>
                <w:lang w:val="en-US" w:bidi="ar"/>
              </w:rPr>
              <w:t>802.11ax assumption:</w:t>
            </w:r>
            <w:r w:rsidRPr="00536CFD">
              <w:rPr>
                <w:lang w:val="en-US" w:bidi="ar"/>
              </w:rPr>
              <w:t xml:space="preserve"> 4ms TXOP; RTS/CTS disabled for WiFi, NAV set based on L-SIG; PD=-82dBm/ED=--62dBm EDCA; 256 QAM BCC; A-MPDU, 1500B MSDU + 14 B header; Immediate ACK,78.125kHz SCS  GI= 0.8us, HE MU PPDU in DL and HE TB PPDU in UL.</w:t>
            </w:r>
          </w:p>
          <w:p w14:paraId="633A8F85" w14:textId="77777777" w:rsidR="009D4A93" w:rsidRPr="00536CFD" w:rsidRDefault="009D4A93" w:rsidP="009D4A93">
            <w:pPr>
              <w:spacing w:after="0"/>
              <w:jc w:val="center"/>
              <w:rPr>
                <w:rFonts w:eastAsia="Times New Roman"/>
                <w:color w:val="000000"/>
                <w:lang w:val="en-US" w:eastAsia="zh-CN"/>
              </w:rPr>
            </w:pPr>
          </w:p>
        </w:tc>
      </w:tr>
    </w:tbl>
    <w:p w14:paraId="29723C9E" w14:textId="77777777" w:rsidR="009D4A93" w:rsidRPr="00C64ECB" w:rsidRDefault="009D4A93" w:rsidP="009D4A93"/>
    <w:p w14:paraId="1E8C4D19" w14:textId="77777777" w:rsidR="009D4A93" w:rsidRPr="00C64ECB" w:rsidRDefault="009D4A93" w:rsidP="009D4A93">
      <w:pPr>
        <w:pStyle w:val="Heading3"/>
        <w:pageBreakBefore/>
        <w:ind w:left="1138" w:hanging="1138"/>
      </w:pPr>
      <w:bookmarkStart w:id="109" w:name="_Toc531343050"/>
      <w:r w:rsidRPr="00C64ECB">
        <w:t>B.1.2</w:t>
      </w:r>
      <w:r w:rsidRPr="00C64ECB">
        <w:tab/>
        <w:t>Wi-Fi and NR-U coexistence evaluation with 20MHz and mixed traffic</w:t>
      </w:r>
      <w:bookmarkEnd w:id="109"/>
    </w:p>
    <w:p w14:paraId="07766771" w14:textId="77777777" w:rsidR="009D4A93" w:rsidRPr="00C64ECB" w:rsidRDefault="009D4A93" w:rsidP="009D4A93">
      <w:pPr>
        <w:pStyle w:val="TH"/>
      </w:pPr>
      <w:r w:rsidRPr="00C64ECB">
        <w:t>Table B.1.2-1: Wi-Fi and NR-U coexistence evaluation with 20MHz and mixed traffic</w:t>
      </w:r>
    </w:p>
    <w:tbl>
      <w:tblPr>
        <w:tblW w:w="0" w:type="auto"/>
        <w:jc w:val="center"/>
        <w:tblCellMar>
          <w:left w:w="0" w:type="dxa"/>
          <w:right w:w="0" w:type="dxa"/>
        </w:tblCellMar>
        <w:tblLook w:val="04A0" w:firstRow="1" w:lastRow="0" w:firstColumn="1" w:lastColumn="0" w:noHBand="0" w:noVBand="1"/>
      </w:tblPr>
      <w:tblGrid>
        <w:gridCol w:w="577"/>
        <w:gridCol w:w="697"/>
        <w:gridCol w:w="493"/>
        <w:gridCol w:w="843"/>
        <w:gridCol w:w="926"/>
        <w:gridCol w:w="849"/>
        <w:gridCol w:w="926"/>
        <w:gridCol w:w="843"/>
        <w:gridCol w:w="849"/>
        <w:gridCol w:w="926"/>
        <w:gridCol w:w="843"/>
        <w:gridCol w:w="849"/>
      </w:tblGrid>
      <w:tr w:rsidR="009D4A93" w:rsidRPr="00536CFD" w14:paraId="6195E867" w14:textId="77777777" w:rsidTr="00536CFD">
        <w:trPr>
          <w:cantSplit/>
          <w:trHeight w:val="22"/>
          <w:jc w:val="center"/>
        </w:trPr>
        <w:tc>
          <w:tcPr>
            <w:tcW w:w="0" w:type="auto"/>
            <w:vMerge w:val="restart"/>
            <w:tcBorders>
              <w:top w:val="single" w:sz="8" w:space="0" w:color="auto"/>
              <w:left w:val="single" w:sz="8" w:space="0" w:color="auto"/>
              <w:bottom w:val="single" w:sz="8" w:space="0" w:color="auto"/>
              <w:right w:val="single" w:sz="8" w:space="0" w:color="auto"/>
            </w:tcBorders>
          </w:tcPr>
          <w:p w14:paraId="646B05BB" w14:textId="77777777" w:rsidR="009D4A93" w:rsidRPr="00536CFD" w:rsidRDefault="009D4A93" w:rsidP="009D4A93">
            <w:pPr>
              <w:spacing w:after="0"/>
              <w:jc w:val="center"/>
              <w:rPr>
                <w:lang w:eastAsia="zh-CN"/>
              </w:rPr>
            </w:pPr>
          </w:p>
          <w:p w14:paraId="78C7D329" w14:textId="77777777" w:rsidR="009D4A93" w:rsidRPr="00536CFD" w:rsidRDefault="009D4A93" w:rsidP="009D4A93">
            <w:pPr>
              <w:spacing w:after="0"/>
              <w:jc w:val="center"/>
            </w:pPr>
            <w:r w:rsidRPr="00536CFD">
              <w:t>Tdoc /</w:t>
            </w:r>
          </w:p>
          <w:p w14:paraId="24FCD23E" w14:textId="77777777" w:rsidR="009D4A93" w:rsidRPr="00536CFD" w:rsidRDefault="009D4A93" w:rsidP="009D4A93">
            <w:pPr>
              <w:spacing w:after="0"/>
              <w:jc w:val="center"/>
            </w:pPr>
            <w:r w:rsidRPr="00536CFD">
              <w:t>Source</w:t>
            </w:r>
          </w:p>
        </w:tc>
        <w:tc>
          <w:tcPr>
            <w:tcW w:w="0" w:type="auto"/>
            <w:gridSpan w:val="2"/>
            <w:vMerge w:val="restart"/>
            <w:tcBorders>
              <w:top w:val="single" w:sz="8" w:space="0" w:color="auto"/>
              <w:left w:val="nil"/>
              <w:bottom w:val="single" w:sz="8" w:space="0" w:color="auto"/>
              <w:right w:val="single" w:sz="8" w:space="0" w:color="auto"/>
            </w:tcBorders>
          </w:tcPr>
          <w:p w14:paraId="121A623A" w14:textId="77777777" w:rsidR="009D4A93" w:rsidRPr="00536CFD" w:rsidRDefault="009D4A93" w:rsidP="009D4A93">
            <w:pPr>
              <w:spacing w:after="0"/>
              <w:jc w:val="center"/>
            </w:pPr>
          </w:p>
          <w:p w14:paraId="19370C69" w14:textId="77777777" w:rsidR="009D4A93" w:rsidRPr="00536CFD" w:rsidRDefault="009D4A93" w:rsidP="009D4A93">
            <w:pPr>
              <w:spacing w:after="0"/>
              <w:jc w:val="center"/>
            </w:pPr>
            <w:r w:rsidRPr="00536CFD">
              <w:t>Reported parameters</w:t>
            </w:r>
          </w:p>
        </w:tc>
        <w:tc>
          <w:tcPr>
            <w:tcW w:w="0" w:type="auto"/>
            <w:gridSpan w:val="3"/>
            <w:tcBorders>
              <w:top w:val="single" w:sz="8" w:space="0" w:color="auto"/>
              <w:left w:val="nil"/>
              <w:bottom w:val="single" w:sz="8" w:space="0" w:color="auto"/>
              <w:right w:val="single" w:sz="8" w:space="0" w:color="auto"/>
            </w:tcBorders>
            <w:hideMark/>
          </w:tcPr>
          <w:p w14:paraId="6FE3DA9A" w14:textId="77777777" w:rsidR="009D4A93" w:rsidRPr="00536CFD" w:rsidRDefault="009D4A93" w:rsidP="009D4A93">
            <w:pPr>
              <w:spacing w:after="0"/>
              <w:jc w:val="center"/>
              <w:rPr>
                <w:u w:val="single"/>
              </w:rPr>
            </w:pPr>
            <w:r w:rsidRPr="00536CFD">
              <w:rPr>
                <w:u w:val="single"/>
              </w:rPr>
              <w:t>Low load</w:t>
            </w:r>
          </w:p>
          <w:p w14:paraId="13464A92" w14:textId="77777777" w:rsidR="009D4A93" w:rsidRPr="00536CFD" w:rsidRDefault="009D4A93" w:rsidP="009D4A93">
            <w:pPr>
              <w:spacing w:after="0"/>
              <w:jc w:val="center"/>
              <w:rPr>
                <w:u w:val="single"/>
              </w:rPr>
            </w:pPr>
            <w:r w:rsidRPr="00536CFD">
              <w:t xml:space="preserve">BO range for Wi-Fi in </w:t>
            </w:r>
            <w:r w:rsidRPr="00536CFD">
              <w:br/>
              <w:t xml:space="preserve">WiFi+WiFi: </w:t>
            </w:r>
            <w:r w:rsidRPr="00536CFD">
              <w:rPr>
                <w:lang w:eastAsia="ja-JP"/>
              </w:rPr>
              <w:t>10%~25%</w:t>
            </w:r>
          </w:p>
        </w:tc>
        <w:tc>
          <w:tcPr>
            <w:tcW w:w="0" w:type="auto"/>
            <w:gridSpan w:val="3"/>
            <w:tcBorders>
              <w:top w:val="single" w:sz="8" w:space="0" w:color="auto"/>
              <w:left w:val="nil"/>
              <w:bottom w:val="single" w:sz="8" w:space="0" w:color="auto"/>
              <w:right w:val="single" w:sz="8" w:space="0" w:color="auto"/>
            </w:tcBorders>
            <w:hideMark/>
          </w:tcPr>
          <w:p w14:paraId="0AA78A00" w14:textId="77777777" w:rsidR="009D4A93" w:rsidRPr="00536CFD" w:rsidRDefault="009D4A93" w:rsidP="009D4A93">
            <w:pPr>
              <w:spacing w:after="0"/>
              <w:jc w:val="center"/>
              <w:rPr>
                <w:u w:val="single"/>
              </w:rPr>
            </w:pPr>
            <w:r w:rsidRPr="00536CFD">
              <w:rPr>
                <w:u w:val="single"/>
              </w:rPr>
              <w:t>Medium load</w:t>
            </w:r>
          </w:p>
          <w:p w14:paraId="5865D600" w14:textId="77777777" w:rsidR="009D4A93" w:rsidRPr="00536CFD" w:rsidRDefault="009D4A93" w:rsidP="009D4A93">
            <w:pPr>
              <w:spacing w:after="0"/>
              <w:jc w:val="center"/>
              <w:rPr>
                <w:u w:val="single"/>
              </w:rPr>
            </w:pPr>
            <w:r w:rsidRPr="00536CFD">
              <w:t xml:space="preserve">BO range for Wi-Fi in </w:t>
            </w:r>
            <w:r w:rsidRPr="00536CFD">
              <w:br/>
              <w:t xml:space="preserve">WiFi+WiFi: </w:t>
            </w:r>
            <w:r w:rsidRPr="00536CFD">
              <w:rPr>
                <w:lang w:eastAsia="ja-JP"/>
              </w:rPr>
              <w:t>35%~50%</w:t>
            </w:r>
          </w:p>
        </w:tc>
        <w:tc>
          <w:tcPr>
            <w:tcW w:w="0" w:type="auto"/>
            <w:gridSpan w:val="3"/>
            <w:tcBorders>
              <w:top w:val="single" w:sz="8" w:space="0" w:color="auto"/>
              <w:left w:val="nil"/>
              <w:bottom w:val="single" w:sz="8" w:space="0" w:color="auto"/>
              <w:right w:val="single" w:sz="8" w:space="0" w:color="auto"/>
            </w:tcBorders>
            <w:hideMark/>
          </w:tcPr>
          <w:p w14:paraId="55CF9A16" w14:textId="77777777" w:rsidR="009D4A93" w:rsidRPr="00536CFD" w:rsidRDefault="009D4A93" w:rsidP="009D4A93">
            <w:pPr>
              <w:spacing w:after="0"/>
              <w:jc w:val="center"/>
              <w:rPr>
                <w:u w:val="single"/>
              </w:rPr>
            </w:pPr>
            <w:r w:rsidRPr="00536CFD">
              <w:rPr>
                <w:u w:val="single"/>
              </w:rPr>
              <w:t>High load</w:t>
            </w:r>
          </w:p>
          <w:p w14:paraId="185720E6" w14:textId="77777777" w:rsidR="009D4A93" w:rsidRPr="00536CFD" w:rsidRDefault="009D4A93" w:rsidP="009D4A93">
            <w:pPr>
              <w:spacing w:after="0"/>
              <w:jc w:val="center"/>
              <w:rPr>
                <w:u w:val="single"/>
              </w:rPr>
            </w:pPr>
            <w:r w:rsidRPr="00536CFD">
              <w:t xml:space="preserve">BO range for Wi-Fi in </w:t>
            </w:r>
            <w:r w:rsidRPr="00536CFD">
              <w:br/>
              <w:t>WiFi+WiFi: above 55%</w:t>
            </w:r>
          </w:p>
        </w:tc>
      </w:tr>
      <w:tr w:rsidR="009D4A93" w:rsidRPr="00536CFD" w14:paraId="2368F28F" w14:textId="77777777" w:rsidTr="00536CFD">
        <w:trPr>
          <w:cantSplit/>
          <w:trHeight w:val="22"/>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4F0190E2" w14:textId="77777777" w:rsidR="009D4A93" w:rsidRPr="00536CFD" w:rsidRDefault="009D4A93" w:rsidP="009D4A93">
            <w:pPr>
              <w:spacing w:after="0"/>
              <w:rPr>
                <w:rFonts w:eastAsiaTheme="minorEastAsia"/>
              </w:rPr>
            </w:pPr>
          </w:p>
        </w:tc>
        <w:tc>
          <w:tcPr>
            <w:tcW w:w="0" w:type="auto"/>
            <w:gridSpan w:val="2"/>
            <w:vMerge/>
            <w:tcBorders>
              <w:top w:val="single" w:sz="8" w:space="0" w:color="auto"/>
              <w:left w:val="nil"/>
              <w:bottom w:val="single" w:sz="8" w:space="0" w:color="auto"/>
              <w:right w:val="single" w:sz="8" w:space="0" w:color="auto"/>
            </w:tcBorders>
            <w:vAlign w:val="center"/>
            <w:hideMark/>
          </w:tcPr>
          <w:p w14:paraId="0A20034C"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092B423F" w14:textId="77777777" w:rsidR="009D4A93" w:rsidRPr="00536CFD" w:rsidRDefault="009D4A93" w:rsidP="009D4A93">
            <w:pPr>
              <w:spacing w:after="0"/>
              <w:jc w:val="center"/>
            </w:pPr>
            <w:r w:rsidRPr="00536CFD">
              <w:t>Wi-Fi in</w:t>
            </w:r>
          </w:p>
          <w:p w14:paraId="5B9910E0" w14:textId="77777777" w:rsidR="009D4A93" w:rsidRPr="00536CFD" w:rsidRDefault="009D4A93" w:rsidP="009D4A93">
            <w:pPr>
              <w:spacing w:after="0"/>
              <w:jc w:val="center"/>
            </w:pPr>
            <w:r w:rsidRPr="00536CFD">
              <w:t>WiFi+</w:t>
            </w:r>
            <w:r w:rsidRPr="00536CFD">
              <w:br/>
              <w:t>WiFi</w:t>
            </w:r>
          </w:p>
        </w:tc>
        <w:tc>
          <w:tcPr>
            <w:tcW w:w="0" w:type="auto"/>
            <w:tcBorders>
              <w:top w:val="nil"/>
              <w:left w:val="nil"/>
              <w:bottom w:val="single" w:sz="8" w:space="0" w:color="auto"/>
              <w:right w:val="single" w:sz="8" w:space="0" w:color="auto"/>
            </w:tcBorders>
            <w:hideMark/>
          </w:tcPr>
          <w:p w14:paraId="1A293EBD" w14:textId="77777777" w:rsidR="009D4A93" w:rsidRPr="00536CFD" w:rsidRDefault="009D4A93" w:rsidP="009D4A93">
            <w:pPr>
              <w:spacing w:after="0"/>
              <w:jc w:val="center"/>
            </w:pPr>
            <w:r w:rsidRPr="00536CFD">
              <w:t>Wi-Fi in</w:t>
            </w:r>
          </w:p>
          <w:p w14:paraId="3B589893" w14:textId="77777777" w:rsidR="009D4A93" w:rsidRPr="00536CFD" w:rsidRDefault="009D4A93" w:rsidP="009D4A93">
            <w:pPr>
              <w:spacing w:after="0"/>
              <w:jc w:val="center"/>
            </w:pPr>
            <w:r w:rsidRPr="00536CFD">
              <w:t>WiFi+</w:t>
            </w:r>
            <w:r w:rsidRPr="00536CFD">
              <w:br/>
              <w:t>NR-U</w:t>
            </w:r>
          </w:p>
        </w:tc>
        <w:tc>
          <w:tcPr>
            <w:tcW w:w="0" w:type="auto"/>
            <w:tcBorders>
              <w:top w:val="nil"/>
              <w:left w:val="nil"/>
              <w:bottom w:val="single" w:sz="8" w:space="0" w:color="auto"/>
              <w:right w:val="single" w:sz="8" w:space="0" w:color="auto"/>
            </w:tcBorders>
            <w:hideMark/>
          </w:tcPr>
          <w:p w14:paraId="50E216EB" w14:textId="77777777" w:rsidR="009D4A93" w:rsidRPr="00536CFD" w:rsidRDefault="009D4A93" w:rsidP="009D4A93">
            <w:pPr>
              <w:spacing w:after="0"/>
              <w:jc w:val="center"/>
            </w:pPr>
            <w:r w:rsidRPr="00536CFD">
              <w:t>NR-U in</w:t>
            </w:r>
          </w:p>
          <w:p w14:paraId="0C961535" w14:textId="77777777" w:rsidR="009D4A93" w:rsidRPr="00536CFD" w:rsidRDefault="009D4A93" w:rsidP="009D4A93">
            <w:pPr>
              <w:spacing w:after="0"/>
              <w:jc w:val="center"/>
            </w:pPr>
            <w:r w:rsidRPr="00536CFD">
              <w:t>WiFi+</w:t>
            </w:r>
          </w:p>
          <w:p w14:paraId="74B851F1" w14:textId="77777777" w:rsidR="009D4A93" w:rsidRPr="00536CFD" w:rsidRDefault="009D4A93" w:rsidP="009D4A93">
            <w:pPr>
              <w:spacing w:after="0"/>
              <w:jc w:val="center"/>
            </w:pPr>
            <w:r w:rsidRPr="00536CFD">
              <w:t>NR-U</w:t>
            </w:r>
          </w:p>
        </w:tc>
        <w:tc>
          <w:tcPr>
            <w:tcW w:w="0" w:type="auto"/>
            <w:tcBorders>
              <w:top w:val="nil"/>
              <w:left w:val="nil"/>
              <w:bottom w:val="single" w:sz="8" w:space="0" w:color="auto"/>
              <w:right w:val="single" w:sz="8" w:space="0" w:color="auto"/>
            </w:tcBorders>
            <w:hideMark/>
          </w:tcPr>
          <w:p w14:paraId="5E2C7386" w14:textId="77777777" w:rsidR="009D4A93" w:rsidRPr="00536CFD" w:rsidRDefault="009D4A93" w:rsidP="009D4A93">
            <w:pPr>
              <w:spacing w:after="0"/>
              <w:jc w:val="center"/>
            </w:pPr>
            <w:r w:rsidRPr="00536CFD">
              <w:t>Wi-Fi in</w:t>
            </w:r>
          </w:p>
          <w:p w14:paraId="6A58C7F3" w14:textId="77777777" w:rsidR="009D4A93" w:rsidRPr="00536CFD" w:rsidRDefault="009D4A93" w:rsidP="009D4A93">
            <w:pPr>
              <w:spacing w:after="0"/>
              <w:jc w:val="center"/>
            </w:pPr>
            <w:r w:rsidRPr="00536CFD">
              <w:t>WiFi+</w:t>
            </w:r>
            <w:r w:rsidRPr="00536CFD">
              <w:br/>
              <w:t>WiFi</w:t>
            </w:r>
          </w:p>
        </w:tc>
        <w:tc>
          <w:tcPr>
            <w:tcW w:w="0" w:type="auto"/>
            <w:tcBorders>
              <w:top w:val="nil"/>
              <w:left w:val="nil"/>
              <w:bottom w:val="single" w:sz="8" w:space="0" w:color="auto"/>
              <w:right w:val="single" w:sz="8" w:space="0" w:color="auto"/>
            </w:tcBorders>
            <w:hideMark/>
          </w:tcPr>
          <w:p w14:paraId="6AFBA12C" w14:textId="77777777" w:rsidR="009D4A93" w:rsidRPr="00536CFD" w:rsidRDefault="009D4A93" w:rsidP="009D4A93">
            <w:pPr>
              <w:spacing w:after="0"/>
              <w:jc w:val="center"/>
            </w:pPr>
            <w:r w:rsidRPr="00536CFD">
              <w:t>Wi-Fi in</w:t>
            </w:r>
          </w:p>
          <w:p w14:paraId="52630467" w14:textId="77777777" w:rsidR="009D4A93" w:rsidRPr="00536CFD" w:rsidRDefault="009D4A93" w:rsidP="009D4A93">
            <w:pPr>
              <w:spacing w:after="0"/>
              <w:jc w:val="center"/>
            </w:pPr>
            <w:r w:rsidRPr="00536CFD">
              <w:t>WiFi+</w:t>
            </w:r>
            <w:r w:rsidRPr="00536CFD">
              <w:br/>
              <w:t>NR-U</w:t>
            </w:r>
          </w:p>
        </w:tc>
        <w:tc>
          <w:tcPr>
            <w:tcW w:w="0" w:type="auto"/>
            <w:tcBorders>
              <w:top w:val="nil"/>
              <w:left w:val="nil"/>
              <w:bottom w:val="single" w:sz="8" w:space="0" w:color="auto"/>
              <w:right w:val="single" w:sz="8" w:space="0" w:color="auto"/>
            </w:tcBorders>
            <w:hideMark/>
          </w:tcPr>
          <w:p w14:paraId="3BACC127" w14:textId="77777777" w:rsidR="009D4A93" w:rsidRPr="00536CFD" w:rsidRDefault="009D4A93" w:rsidP="009D4A93">
            <w:pPr>
              <w:spacing w:after="0"/>
              <w:jc w:val="center"/>
            </w:pPr>
            <w:r w:rsidRPr="00536CFD">
              <w:t>NR-U in</w:t>
            </w:r>
          </w:p>
          <w:p w14:paraId="6D7AD7EC" w14:textId="77777777" w:rsidR="009D4A93" w:rsidRPr="00536CFD" w:rsidRDefault="009D4A93" w:rsidP="009D4A93">
            <w:pPr>
              <w:spacing w:after="0"/>
              <w:jc w:val="center"/>
            </w:pPr>
            <w:r w:rsidRPr="00536CFD">
              <w:t>WiFi+</w:t>
            </w:r>
          </w:p>
          <w:p w14:paraId="1CBA6203" w14:textId="77777777" w:rsidR="009D4A93" w:rsidRPr="00536CFD" w:rsidRDefault="009D4A93" w:rsidP="009D4A93">
            <w:pPr>
              <w:spacing w:after="0"/>
              <w:jc w:val="center"/>
            </w:pPr>
            <w:r w:rsidRPr="00536CFD">
              <w:t>NR-U</w:t>
            </w:r>
          </w:p>
        </w:tc>
        <w:tc>
          <w:tcPr>
            <w:tcW w:w="0" w:type="auto"/>
            <w:tcBorders>
              <w:top w:val="nil"/>
              <w:left w:val="nil"/>
              <w:bottom w:val="single" w:sz="8" w:space="0" w:color="auto"/>
              <w:right w:val="single" w:sz="8" w:space="0" w:color="auto"/>
            </w:tcBorders>
            <w:hideMark/>
          </w:tcPr>
          <w:p w14:paraId="354EC882" w14:textId="77777777" w:rsidR="009D4A93" w:rsidRPr="00536CFD" w:rsidRDefault="009D4A93" w:rsidP="009D4A93">
            <w:pPr>
              <w:spacing w:after="0"/>
              <w:jc w:val="center"/>
            </w:pPr>
            <w:r w:rsidRPr="00536CFD">
              <w:t>Wi-Fi in</w:t>
            </w:r>
          </w:p>
          <w:p w14:paraId="2A6EFEA4" w14:textId="77777777" w:rsidR="009D4A93" w:rsidRPr="00536CFD" w:rsidRDefault="009D4A93" w:rsidP="009D4A93">
            <w:pPr>
              <w:spacing w:after="0"/>
              <w:jc w:val="center"/>
            </w:pPr>
            <w:r w:rsidRPr="00536CFD">
              <w:t>WiFi+</w:t>
            </w:r>
            <w:r w:rsidRPr="00536CFD">
              <w:br/>
              <w:t>WiFi</w:t>
            </w:r>
          </w:p>
        </w:tc>
        <w:tc>
          <w:tcPr>
            <w:tcW w:w="0" w:type="auto"/>
            <w:tcBorders>
              <w:top w:val="nil"/>
              <w:left w:val="nil"/>
              <w:bottom w:val="single" w:sz="8" w:space="0" w:color="auto"/>
              <w:right w:val="single" w:sz="8" w:space="0" w:color="auto"/>
            </w:tcBorders>
            <w:hideMark/>
          </w:tcPr>
          <w:p w14:paraId="7F2BA421" w14:textId="77777777" w:rsidR="009D4A93" w:rsidRPr="00536CFD" w:rsidRDefault="009D4A93" w:rsidP="009D4A93">
            <w:pPr>
              <w:spacing w:after="0"/>
              <w:jc w:val="center"/>
            </w:pPr>
            <w:r w:rsidRPr="00536CFD">
              <w:t>Wi-Fi in</w:t>
            </w:r>
          </w:p>
          <w:p w14:paraId="48447BED" w14:textId="77777777" w:rsidR="009D4A93" w:rsidRPr="00536CFD" w:rsidRDefault="009D4A93" w:rsidP="009D4A93">
            <w:pPr>
              <w:spacing w:after="0"/>
              <w:jc w:val="center"/>
            </w:pPr>
            <w:r w:rsidRPr="00536CFD">
              <w:t>WiFi+</w:t>
            </w:r>
            <w:r w:rsidRPr="00536CFD">
              <w:br/>
              <w:t>NR-U</w:t>
            </w:r>
          </w:p>
        </w:tc>
        <w:tc>
          <w:tcPr>
            <w:tcW w:w="0" w:type="auto"/>
            <w:tcBorders>
              <w:top w:val="nil"/>
              <w:left w:val="nil"/>
              <w:bottom w:val="single" w:sz="8" w:space="0" w:color="auto"/>
              <w:right w:val="single" w:sz="8" w:space="0" w:color="auto"/>
            </w:tcBorders>
            <w:hideMark/>
          </w:tcPr>
          <w:p w14:paraId="06530958" w14:textId="77777777" w:rsidR="009D4A93" w:rsidRPr="00536CFD" w:rsidRDefault="009D4A93" w:rsidP="009D4A93">
            <w:pPr>
              <w:spacing w:after="0"/>
              <w:jc w:val="center"/>
            </w:pPr>
            <w:r w:rsidRPr="00536CFD">
              <w:t>NR-U in</w:t>
            </w:r>
          </w:p>
          <w:p w14:paraId="3A9A2B11" w14:textId="77777777" w:rsidR="009D4A93" w:rsidRPr="00536CFD" w:rsidRDefault="009D4A93" w:rsidP="009D4A93">
            <w:pPr>
              <w:spacing w:after="0"/>
              <w:jc w:val="center"/>
            </w:pPr>
            <w:r w:rsidRPr="00536CFD">
              <w:t>WiFi+</w:t>
            </w:r>
          </w:p>
          <w:p w14:paraId="47730A8F" w14:textId="77777777" w:rsidR="009D4A93" w:rsidRPr="00536CFD" w:rsidRDefault="009D4A93" w:rsidP="009D4A93">
            <w:pPr>
              <w:spacing w:after="0"/>
              <w:jc w:val="center"/>
            </w:pPr>
            <w:r w:rsidRPr="00536CFD">
              <w:t>NR-U</w:t>
            </w:r>
          </w:p>
        </w:tc>
      </w:tr>
      <w:tr w:rsidR="009D4A93" w:rsidRPr="00536CFD" w14:paraId="015E13E7" w14:textId="77777777" w:rsidTr="00536CFD">
        <w:trPr>
          <w:cantSplit/>
          <w:trHeight w:val="22"/>
          <w:jc w:val="center"/>
        </w:trPr>
        <w:tc>
          <w:tcPr>
            <w:tcW w:w="0" w:type="auto"/>
            <w:vMerge w:val="restart"/>
            <w:tcBorders>
              <w:top w:val="nil"/>
              <w:left w:val="single" w:sz="8" w:space="0" w:color="auto"/>
              <w:bottom w:val="single" w:sz="8" w:space="0" w:color="auto"/>
              <w:right w:val="single" w:sz="8" w:space="0" w:color="auto"/>
            </w:tcBorders>
            <w:textDirection w:val="btLr"/>
            <w:hideMark/>
          </w:tcPr>
          <w:p w14:paraId="0C2E0CED" w14:textId="77777777" w:rsidR="009D4A93" w:rsidRPr="00536CFD" w:rsidRDefault="009D4A93" w:rsidP="009D4A93">
            <w:pPr>
              <w:spacing w:after="0"/>
              <w:ind w:left="113" w:right="113"/>
              <w:jc w:val="center"/>
            </w:pPr>
            <w:r w:rsidRPr="00536CFD">
              <w:t>R1-1812556 / SOURCE 2</w:t>
            </w:r>
          </w:p>
        </w:tc>
        <w:tc>
          <w:tcPr>
            <w:tcW w:w="0" w:type="auto"/>
            <w:vMerge w:val="restart"/>
            <w:tcBorders>
              <w:top w:val="nil"/>
              <w:left w:val="nil"/>
              <w:bottom w:val="single" w:sz="8" w:space="0" w:color="auto"/>
              <w:right w:val="single" w:sz="8" w:space="0" w:color="auto"/>
            </w:tcBorders>
            <w:hideMark/>
          </w:tcPr>
          <w:p w14:paraId="5DB2A3AE" w14:textId="77777777" w:rsidR="009D4A93" w:rsidRPr="00536CFD" w:rsidRDefault="009D4A93" w:rsidP="009D4A93">
            <w:pPr>
              <w:spacing w:after="0"/>
              <w:jc w:val="center"/>
              <w:rPr>
                <w:b/>
                <w:bCs/>
              </w:rPr>
            </w:pPr>
            <w:r w:rsidRPr="00536CFD">
              <w:rPr>
                <w:b/>
                <w:bCs/>
              </w:rPr>
              <w:t xml:space="preserve">DL: </w:t>
            </w:r>
          </w:p>
          <w:p w14:paraId="293E4445" w14:textId="77777777" w:rsidR="009D4A93" w:rsidRPr="00536CFD" w:rsidRDefault="009D4A93" w:rsidP="009D4A93">
            <w:pPr>
              <w:spacing w:after="0"/>
              <w:jc w:val="center"/>
            </w:pPr>
            <w:r w:rsidRPr="00536CFD">
              <w:t>UPT CDF</w:t>
            </w:r>
          </w:p>
          <w:p w14:paraId="54CDE0C9" w14:textId="77777777" w:rsidR="009D4A93" w:rsidRPr="00536CFD" w:rsidRDefault="009D4A93" w:rsidP="009D4A93">
            <w:pPr>
              <w:spacing w:after="0"/>
              <w:jc w:val="center"/>
            </w:pPr>
            <w:r w:rsidRPr="00536CFD">
              <w:t>[Mbps]</w:t>
            </w:r>
          </w:p>
        </w:tc>
        <w:tc>
          <w:tcPr>
            <w:tcW w:w="0" w:type="auto"/>
            <w:tcBorders>
              <w:top w:val="nil"/>
              <w:left w:val="nil"/>
              <w:bottom w:val="single" w:sz="8" w:space="0" w:color="auto"/>
              <w:right w:val="single" w:sz="8" w:space="0" w:color="auto"/>
            </w:tcBorders>
            <w:hideMark/>
          </w:tcPr>
          <w:p w14:paraId="79355110" w14:textId="77777777" w:rsidR="009D4A93" w:rsidRPr="00536CFD" w:rsidRDefault="009D4A93" w:rsidP="009D4A93">
            <w:pPr>
              <w:spacing w:after="0"/>
              <w:jc w:val="center"/>
            </w:pPr>
            <w:r w:rsidRPr="00536CFD">
              <w:t>5%</w:t>
            </w:r>
          </w:p>
        </w:tc>
        <w:tc>
          <w:tcPr>
            <w:tcW w:w="0" w:type="auto"/>
            <w:tcBorders>
              <w:top w:val="nil"/>
              <w:left w:val="nil"/>
              <w:bottom w:val="single" w:sz="8" w:space="0" w:color="auto"/>
              <w:right w:val="single" w:sz="8" w:space="0" w:color="auto"/>
            </w:tcBorders>
            <w:vAlign w:val="center"/>
            <w:hideMark/>
          </w:tcPr>
          <w:p w14:paraId="0D73CF0C" w14:textId="77777777" w:rsidR="009D4A93" w:rsidRPr="00536CFD" w:rsidRDefault="009D4A93" w:rsidP="009D4A93">
            <w:pPr>
              <w:spacing w:after="0"/>
              <w:jc w:val="center"/>
              <w:rPr>
                <w:lang w:eastAsia="ko-KR"/>
              </w:rPr>
            </w:pPr>
            <w:r w:rsidRPr="00536CFD">
              <w:rPr>
                <w:lang w:eastAsia="ko-KR"/>
              </w:rPr>
              <w:t>11.845</w:t>
            </w:r>
          </w:p>
        </w:tc>
        <w:tc>
          <w:tcPr>
            <w:tcW w:w="0" w:type="auto"/>
            <w:tcBorders>
              <w:top w:val="nil"/>
              <w:left w:val="nil"/>
              <w:bottom w:val="single" w:sz="8" w:space="0" w:color="auto"/>
              <w:right w:val="single" w:sz="8" w:space="0" w:color="auto"/>
            </w:tcBorders>
            <w:vAlign w:val="center"/>
            <w:hideMark/>
          </w:tcPr>
          <w:p w14:paraId="2EDAB921" w14:textId="77777777" w:rsidR="009D4A93" w:rsidRPr="00536CFD" w:rsidRDefault="009D4A93" w:rsidP="009D4A93">
            <w:pPr>
              <w:spacing w:after="0"/>
              <w:jc w:val="center"/>
              <w:rPr>
                <w:lang w:eastAsia="x-none"/>
              </w:rPr>
            </w:pPr>
            <w:r w:rsidRPr="00536CFD">
              <w:rPr>
                <w:lang w:eastAsia="ko-KR"/>
              </w:rPr>
              <w:t>17.576</w:t>
            </w:r>
          </w:p>
        </w:tc>
        <w:tc>
          <w:tcPr>
            <w:tcW w:w="0" w:type="auto"/>
            <w:tcBorders>
              <w:top w:val="nil"/>
              <w:left w:val="nil"/>
              <w:bottom w:val="single" w:sz="8" w:space="0" w:color="auto"/>
              <w:right w:val="single" w:sz="8" w:space="0" w:color="auto"/>
            </w:tcBorders>
            <w:vAlign w:val="center"/>
            <w:hideMark/>
          </w:tcPr>
          <w:p w14:paraId="17FD028E" w14:textId="77777777" w:rsidR="009D4A93" w:rsidRPr="00536CFD" w:rsidRDefault="009D4A93" w:rsidP="009D4A93">
            <w:pPr>
              <w:spacing w:after="0"/>
              <w:jc w:val="center"/>
              <w:rPr>
                <w:lang w:eastAsia="x-none"/>
              </w:rPr>
            </w:pPr>
            <w:r w:rsidRPr="00536CFD">
              <w:rPr>
                <w:lang w:eastAsia="ko-KR"/>
              </w:rPr>
              <w:t>10.459</w:t>
            </w:r>
          </w:p>
        </w:tc>
        <w:tc>
          <w:tcPr>
            <w:tcW w:w="0" w:type="auto"/>
            <w:tcBorders>
              <w:top w:val="nil"/>
              <w:left w:val="nil"/>
              <w:bottom w:val="single" w:sz="8" w:space="0" w:color="auto"/>
              <w:right w:val="single" w:sz="8" w:space="0" w:color="auto"/>
            </w:tcBorders>
            <w:vAlign w:val="center"/>
            <w:hideMark/>
          </w:tcPr>
          <w:p w14:paraId="6057B3B6" w14:textId="77777777" w:rsidR="009D4A93" w:rsidRPr="00536CFD" w:rsidRDefault="009D4A93" w:rsidP="009D4A93">
            <w:pPr>
              <w:spacing w:after="0"/>
              <w:jc w:val="center"/>
              <w:rPr>
                <w:lang w:eastAsia="ko-KR"/>
              </w:rPr>
            </w:pPr>
            <w:r w:rsidRPr="00536CFD">
              <w:rPr>
                <w:lang w:eastAsia="ko-KR"/>
              </w:rPr>
              <w:t>1.504</w:t>
            </w:r>
          </w:p>
        </w:tc>
        <w:tc>
          <w:tcPr>
            <w:tcW w:w="0" w:type="auto"/>
            <w:tcBorders>
              <w:top w:val="nil"/>
              <w:left w:val="nil"/>
              <w:bottom w:val="single" w:sz="8" w:space="0" w:color="auto"/>
              <w:right w:val="single" w:sz="8" w:space="0" w:color="auto"/>
            </w:tcBorders>
            <w:vAlign w:val="center"/>
            <w:hideMark/>
          </w:tcPr>
          <w:p w14:paraId="1F963AD1" w14:textId="77777777" w:rsidR="009D4A93" w:rsidRPr="00536CFD" w:rsidRDefault="009D4A93" w:rsidP="009D4A93">
            <w:pPr>
              <w:spacing w:after="0"/>
              <w:jc w:val="center"/>
              <w:rPr>
                <w:lang w:eastAsia="x-none"/>
              </w:rPr>
            </w:pPr>
            <w:r w:rsidRPr="00536CFD">
              <w:rPr>
                <w:lang w:eastAsia="ko-KR"/>
              </w:rPr>
              <w:t>11.294</w:t>
            </w:r>
          </w:p>
        </w:tc>
        <w:tc>
          <w:tcPr>
            <w:tcW w:w="0" w:type="auto"/>
            <w:tcBorders>
              <w:top w:val="nil"/>
              <w:left w:val="nil"/>
              <w:bottom w:val="single" w:sz="8" w:space="0" w:color="auto"/>
              <w:right w:val="single" w:sz="8" w:space="0" w:color="auto"/>
            </w:tcBorders>
            <w:vAlign w:val="center"/>
            <w:hideMark/>
          </w:tcPr>
          <w:p w14:paraId="615B1467" w14:textId="77777777" w:rsidR="009D4A93" w:rsidRPr="00536CFD" w:rsidRDefault="009D4A93" w:rsidP="009D4A93">
            <w:pPr>
              <w:spacing w:after="0"/>
              <w:jc w:val="center"/>
              <w:rPr>
                <w:lang w:eastAsia="x-none"/>
              </w:rPr>
            </w:pPr>
            <w:r w:rsidRPr="00536CFD">
              <w:rPr>
                <w:lang w:eastAsia="ko-KR"/>
              </w:rPr>
              <w:t>6.872</w:t>
            </w:r>
          </w:p>
        </w:tc>
        <w:tc>
          <w:tcPr>
            <w:tcW w:w="0" w:type="auto"/>
            <w:tcBorders>
              <w:top w:val="nil"/>
              <w:left w:val="nil"/>
              <w:bottom w:val="single" w:sz="8" w:space="0" w:color="auto"/>
              <w:right w:val="single" w:sz="8" w:space="0" w:color="auto"/>
            </w:tcBorders>
            <w:vAlign w:val="center"/>
            <w:hideMark/>
          </w:tcPr>
          <w:p w14:paraId="7E2AA142" w14:textId="77777777" w:rsidR="009D4A93" w:rsidRPr="00536CFD" w:rsidRDefault="009D4A93" w:rsidP="009D4A93">
            <w:pPr>
              <w:spacing w:after="0"/>
              <w:jc w:val="center"/>
              <w:rPr>
                <w:lang w:eastAsia="ko-KR"/>
              </w:rPr>
            </w:pPr>
            <w:r w:rsidRPr="00536CFD">
              <w:rPr>
                <w:lang w:eastAsia="ko-KR"/>
              </w:rPr>
              <w:t>0.392</w:t>
            </w:r>
          </w:p>
        </w:tc>
        <w:tc>
          <w:tcPr>
            <w:tcW w:w="0" w:type="auto"/>
            <w:tcBorders>
              <w:top w:val="nil"/>
              <w:left w:val="nil"/>
              <w:bottom w:val="single" w:sz="8" w:space="0" w:color="auto"/>
              <w:right w:val="single" w:sz="8" w:space="0" w:color="auto"/>
            </w:tcBorders>
            <w:vAlign w:val="center"/>
            <w:hideMark/>
          </w:tcPr>
          <w:p w14:paraId="44796C1E" w14:textId="77777777" w:rsidR="009D4A93" w:rsidRPr="00536CFD" w:rsidRDefault="009D4A93" w:rsidP="009D4A93">
            <w:pPr>
              <w:spacing w:after="0"/>
              <w:jc w:val="center"/>
              <w:rPr>
                <w:lang w:eastAsia="x-none"/>
              </w:rPr>
            </w:pPr>
            <w:r w:rsidRPr="00536CFD">
              <w:rPr>
                <w:lang w:eastAsia="ko-KR"/>
              </w:rPr>
              <w:t>8.180</w:t>
            </w:r>
          </w:p>
        </w:tc>
        <w:tc>
          <w:tcPr>
            <w:tcW w:w="0" w:type="auto"/>
            <w:tcBorders>
              <w:top w:val="nil"/>
              <w:left w:val="nil"/>
              <w:bottom w:val="single" w:sz="8" w:space="0" w:color="auto"/>
              <w:right w:val="single" w:sz="8" w:space="0" w:color="auto"/>
            </w:tcBorders>
            <w:vAlign w:val="center"/>
            <w:hideMark/>
          </w:tcPr>
          <w:p w14:paraId="0135A095" w14:textId="77777777" w:rsidR="009D4A93" w:rsidRPr="00536CFD" w:rsidRDefault="009D4A93" w:rsidP="009D4A93">
            <w:pPr>
              <w:spacing w:after="0"/>
              <w:jc w:val="center"/>
              <w:rPr>
                <w:lang w:eastAsia="x-none"/>
              </w:rPr>
            </w:pPr>
            <w:r w:rsidRPr="00536CFD">
              <w:rPr>
                <w:lang w:eastAsia="ko-KR"/>
              </w:rPr>
              <w:t>4.933</w:t>
            </w:r>
          </w:p>
        </w:tc>
      </w:tr>
      <w:tr w:rsidR="009D4A93" w:rsidRPr="00536CFD" w14:paraId="1FDBABF8"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112E38FF"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354D56D4"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7308D971" w14:textId="77777777" w:rsidR="009D4A93" w:rsidRPr="00536CFD" w:rsidRDefault="009D4A93" w:rsidP="009D4A93">
            <w:pPr>
              <w:spacing w:after="0"/>
              <w:jc w:val="center"/>
              <w:rPr>
                <w:lang w:eastAsia="zh-CN"/>
              </w:rPr>
            </w:pPr>
            <w:r w:rsidRPr="00536CFD">
              <w:t>50%</w:t>
            </w:r>
          </w:p>
        </w:tc>
        <w:tc>
          <w:tcPr>
            <w:tcW w:w="0" w:type="auto"/>
            <w:tcBorders>
              <w:top w:val="nil"/>
              <w:left w:val="nil"/>
              <w:bottom w:val="single" w:sz="8" w:space="0" w:color="auto"/>
              <w:right w:val="single" w:sz="8" w:space="0" w:color="auto"/>
            </w:tcBorders>
            <w:vAlign w:val="center"/>
            <w:hideMark/>
          </w:tcPr>
          <w:p w14:paraId="358AC51E" w14:textId="77777777" w:rsidR="009D4A93" w:rsidRPr="00536CFD" w:rsidRDefault="009D4A93" w:rsidP="009D4A93">
            <w:pPr>
              <w:spacing w:after="0"/>
              <w:jc w:val="center"/>
              <w:rPr>
                <w:lang w:eastAsia="ko-KR"/>
              </w:rPr>
            </w:pPr>
            <w:r w:rsidRPr="00536CFD">
              <w:rPr>
                <w:lang w:eastAsia="ko-KR"/>
              </w:rPr>
              <w:t>48.261</w:t>
            </w:r>
          </w:p>
        </w:tc>
        <w:tc>
          <w:tcPr>
            <w:tcW w:w="0" w:type="auto"/>
            <w:tcBorders>
              <w:top w:val="nil"/>
              <w:left w:val="nil"/>
              <w:bottom w:val="single" w:sz="8" w:space="0" w:color="auto"/>
              <w:right w:val="single" w:sz="8" w:space="0" w:color="auto"/>
            </w:tcBorders>
            <w:vAlign w:val="center"/>
            <w:hideMark/>
          </w:tcPr>
          <w:p w14:paraId="27B8D1E9" w14:textId="77777777" w:rsidR="009D4A93" w:rsidRPr="00536CFD" w:rsidRDefault="009D4A93" w:rsidP="009D4A93">
            <w:pPr>
              <w:spacing w:after="0"/>
              <w:jc w:val="center"/>
              <w:rPr>
                <w:lang w:eastAsia="x-none"/>
              </w:rPr>
            </w:pPr>
            <w:r w:rsidRPr="00536CFD">
              <w:rPr>
                <w:lang w:eastAsia="ko-KR"/>
              </w:rPr>
              <w:t>52.692</w:t>
            </w:r>
          </w:p>
        </w:tc>
        <w:tc>
          <w:tcPr>
            <w:tcW w:w="0" w:type="auto"/>
            <w:tcBorders>
              <w:top w:val="nil"/>
              <w:left w:val="nil"/>
              <w:bottom w:val="single" w:sz="8" w:space="0" w:color="auto"/>
              <w:right w:val="single" w:sz="8" w:space="0" w:color="auto"/>
            </w:tcBorders>
            <w:vAlign w:val="center"/>
            <w:hideMark/>
          </w:tcPr>
          <w:p w14:paraId="7859B274" w14:textId="77777777" w:rsidR="009D4A93" w:rsidRPr="00536CFD" w:rsidRDefault="009D4A93" w:rsidP="009D4A93">
            <w:pPr>
              <w:spacing w:after="0"/>
              <w:jc w:val="center"/>
              <w:rPr>
                <w:lang w:eastAsia="x-none"/>
              </w:rPr>
            </w:pPr>
            <w:r w:rsidRPr="00536CFD">
              <w:rPr>
                <w:lang w:eastAsia="ko-KR"/>
              </w:rPr>
              <w:t>56.665</w:t>
            </w:r>
          </w:p>
        </w:tc>
        <w:tc>
          <w:tcPr>
            <w:tcW w:w="0" w:type="auto"/>
            <w:tcBorders>
              <w:top w:val="nil"/>
              <w:left w:val="nil"/>
              <w:bottom w:val="single" w:sz="8" w:space="0" w:color="auto"/>
              <w:right w:val="single" w:sz="8" w:space="0" w:color="auto"/>
            </w:tcBorders>
            <w:vAlign w:val="center"/>
            <w:hideMark/>
          </w:tcPr>
          <w:p w14:paraId="2420120A" w14:textId="77777777" w:rsidR="009D4A93" w:rsidRPr="00536CFD" w:rsidRDefault="009D4A93" w:rsidP="009D4A93">
            <w:pPr>
              <w:spacing w:after="0"/>
              <w:jc w:val="center"/>
              <w:rPr>
                <w:lang w:eastAsia="ko-KR"/>
              </w:rPr>
            </w:pPr>
            <w:r w:rsidRPr="00536CFD">
              <w:rPr>
                <w:lang w:eastAsia="ko-KR"/>
              </w:rPr>
              <w:t>30.353</w:t>
            </w:r>
          </w:p>
        </w:tc>
        <w:tc>
          <w:tcPr>
            <w:tcW w:w="0" w:type="auto"/>
            <w:tcBorders>
              <w:top w:val="nil"/>
              <w:left w:val="nil"/>
              <w:bottom w:val="single" w:sz="8" w:space="0" w:color="auto"/>
              <w:right w:val="single" w:sz="8" w:space="0" w:color="auto"/>
            </w:tcBorders>
            <w:vAlign w:val="center"/>
            <w:hideMark/>
          </w:tcPr>
          <w:p w14:paraId="7D60D3E2" w14:textId="77777777" w:rsidR="009D4A93" w:rsidRPr="00536CFD" w:rsidRDefault="009D4A93" w:rsidP="009D4A93">
            <w:pPr>
              <w:spacing w:after="0"/>
              <w:jc w:val="center"/>
              <w:rPr>
                <w:lang w:eastAsia="x-none"/>
              </w:rPr>
            </w:pPr>
            <w:r w:rsidRPr="00536CFD">
              <w:rPr>
                <w:lang w:eastAsia="ko-KR"/>
              </w:rPr>
              <w:t>46.675</w:t>
            </w:r>
          </w:p>
        </w:tc>
        <w:tc>
          <w:tcPr>
            <w:tcW w:w="0" w:type="auto"/>
            <w:tcBorders>
              <w:top w:val="nil"/>
              <w:left w:val="nil"/>
              <w:bottom w:val="single" w:sz="8" w:space="0" w:color="auto"/>
              <w:right w:val="single" w:sz="8" w:space="0" w:color="auto"/>
            </w:tcBorders>
            <w:vAlign w:val="center"/>
            <w:hideMark/>
          </w:tcPr>
          <w:p w14:paraId="06AD8588" w14:textId="77777777" w:rsidR="009D4A93" w:rsidRPr="00536CFD" w:rsidRDefault="009D4A93" w:rsidP="009D4A93">
            <w:pPr>
              <w:spacing w:after="0"/>
              <w:jc w:val="center"/>
              <w:rPr>
                <w:lang w:eastAsia="x-none"/>
              </w:rPr>
            </w:pPr>
            <w:r w:rsidRPr="00536CFD">
              <w:rPr>
                <w:lang w:eastAsia="ko-KR"/>
              </w:rPr>
              <w:t>50.226</w:t>
            </w:r>
          </w:p>
        </w:tc>
        <w:tc>
          <w:tcPr>
            <w:tcW w:w="0" w:type="auto"/>
            <w:tcBorders>
              <w:top w:val="nil"/>
              <w:left w:val="nil"/>
              <w:bottom w:val="single" w:sz="8" w:space="0" w:color="auto"/>
              <w:right w:val="single" w:sz="8" w:space="0" w:color="auto"/>
            </w:tcBorders>
            <w:vAlign w:val="center"/>
            <w:hideMark/>
          </w:tcPr>
          <w:p w14:paraId="49E872C5" w14:textId="77777777" w:rsidR="009D4A93" w:rsidRPr="00536CFD" w:rsidRDefault="009D4A93" w:rsidP="009D4A93">
            <w:pPr>
              <w:spacing w:after="0"/>
              <w:jc w:val="center"/>
              <w:rPr>
                <w:lang w:eastAsia="ko-KR"/>
              </w:rPr>
            </w:pPr>
            <w:r w:rsidRPr="00536CFD">
              <w:rPr>
                <w:lang w:eastAsia="ko-KR"/>
              </w:rPr>
              <w:t>14.451</w:t>
            </w:r>
          </w:p>
        </w:tc>
        <w:tc>
          <w:tcPr>
            <w:tcW w:w="0" w:type="auto"/>
            <w:tcBorders>
              <w:top w:val="nil"/>
              <w:left w:val="nil"/>
              <w:bottom w:val="single" w:sz="8" w:space="0" w:color="auto"/>
              <w:right w:val="single" w:sz="8" w:space="0" w:color="auto"/>
            </w:tcBorders>
            <w:vAlign w:val="center"/>
            <w:hideMark/>
          </w:tcPr>
          <w:p w14:paraId="7587CA87" w14:textId="77777777" w:rsidR="009D4A93" w:rsidRPr="00536CFD" w:rsidRDefault="009D4A93" w:rsidP="009D4A93">
            <w:pPr>
              <w:spacing w:after="0"/>
              <w:jc w:val="center"/>
              <w:rPr>
                <w:lang w:eastAsia="x-none"/>
              </w:rPr>
            </w:pPr>
            <w:r w:rsidRPr="00536CFD">
              <w:rPr>
                <w:lang w:eastAsia="ko-KR"/>
              </w:rPr>
              <w:t>43.011</w:t>
            </w:r>
          </w:p>
        </w:tc>
        <w:tc>
          <w:tcPr>
            <w:tcW w:w="0" w:type="auto"/>
            <w:tcBorders>
              <w:top w:val="nil"/>
              <w:left w:val="nil"/>
              <w:bottom w:val="single" w:sz="8" w:space="0" w:color="auto"/>
              <w:right w:val="single" w:sz="8" w:space="0" w:color="auto"/>
            </w:tcBorders>
            <w:vAlign w:val="center"/>
            <w:hideMark/>
          </w:tcPr>
          <w:p w14:paraId="75718A83" w14:textId="77777777" w:rsidR="009D4A93" w:rsidRPr="00536CFD" w:rsidRDefault="009D4A93" w:rsidP="009D4A93">
            <w:pPr>
              <w:spacing w:after="0"/>
              <w:jc w:val="center"/>
              <w:rPr>
                <w:lang w:eastAsia="x-none"/>
              </w:rPr>
            </w:pPr>
            <w:r w:rsidRPr="00536CFD">
              <w:rPr>
                <w:lang w:eastAsia="ko-KR"/>
              </w:rPr>
              <w:t>44.292</w:t>
            </w:r>
          </w:p>
        </w:tc>
      </w:tr>
      <w:tr w:rsidR="009D4A93" w:rsidRPr="00536CFD" w14:paraId="69326085"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4960FD9E"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28EE7CE7"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603A6FF9" w14:textId="77777777" w:rsidR="009D4A93" w:rsidRPr="00536CFD" w:rsidRDefault="009D4A93" w:rsidP="009D4A93">
            <w:pPr>
              <w:spacing w:after="0"/>
              <w:jc w:val="center"/>
              <w:rPr>
                <w:lang w:eastAsia="zh-CN"/>
              </w:rPr>
            </w:pPr>
            <w:r w:rsidRPr="00536CFD">
              <w:t>95%</w:t>
            </w:r>
          </w:p>
        </w:tc>
        <w:tc>
          <w:tcPr>
            <w:tcW w:w="0" w:type="auto"/>
            <w:tcBorders>
              <w:top w:val="nil"/>
              <w:left w:val="nil"/>
              <w:bottom w:val="single" w:sz="8" w:space="0" w:color="auto"/>
              <w:right w:val="single" w:sz="8" w:space="0" w:color="auto"/>
            </w:tcBorders>
            <w:vAlign w:val="center"/>
            <w:hideMark/>
          </w:tcPr>
          <w:p w14:paraId="3CE69D4A" w14:textId="77777777" w:rsidR="009D4A93" w:rsidRPr="00536CFD" w:rsidRDefault="009D4A93" w:rsidP="009D4A93">
            <w:pPr>
              <w:spacing w:after="0"/>
              <w:jc w:val="center"/>
              <w:rPr>
                <w:lang w:eastAsia="ko-KR"/>
              </w:rPr>
            </w:pPr>
            <w:r w:rsidRPr="00536CFD">
              <w:rPr>
                <w:lang w:eastAsia="ko-KR"/>
              </w:rPr>
              <w:t>61.006</w:t>
            </w:r>
          </w:p>
        </w:tc>
        <w:tc>
          <w:tcPr>
            <w:tcW w:w="0" w:type="auto"/>
            <w:tcBorders>
              <w:top w:val="nil"/>
              <w:left w:val="nil"/>
              <w:bottom w:val="single" w:sz="8" w:space="0" w:color="auto"/>
              <w:right w:val="single" w:sz="8" w:space="0" w:color="auto"/>
            </w:tcBorders>
            <w:vAlign w:val="center"/>
            <w:hideMark/>
          </w:tcPr>
          <w:p w14:paraId="762D070E" w14:textId="77777777" w:rsidR="009D4A93" w:rsidRPr="00536CFD" w:rsidRDefault="009D4A93" w:rsidP="009D4A93">
            <w:pPr>
              <w:spacing w:after="0"/>
              <w:jc w:val="center"/>
              <w:rPr>
                <w:lang w:eastAsia="x-none"/>
              </w:rPr>
            </w:pPr>
            <w:r w:rsidRPr="00536CFD">
              <w:rPr>
                <w:lang w:eastAsia="ko-KR"/>
              </w:rPr>
              <w:t>61.163</w:t>
            </w:r>
          </w:p>
        </w:tc>
        <w:tc>
          <w:tcPr>
            <w:tcW w:w="0" w:type="auto"/>
            <w:tcBorders>
              <w:top w:val="nil"/>
              <w:left w:val="nil"/>
              <w:bottom w:val="single" w:sz="8" w:space="0" w:color="auto"/>
              <w:right w:val="single" w:sz="8" w:space="0" w:color="auto"/>
            </w:tcBorders>
            <w:vAlign w:val="center"/>
            <w:hideMark/>
          </w:tcPr>
          <w:p w14:paraId="3874A8DC" w14:textId="77777777" w:rsidR="009D4A93" w:rsidRPr="00536CFD" w:rsidRDefault="009D4A93" w:rsidP="009D4A93">
            <w:pPr>
              <w:spacing w:after="0"/>
              <w:jc w:val="center"/>
              <w:rPr>
                <w:lang w:eastAsia="x-none"/>
              </w:rPr>
            </w:pPr>
            <w:r w:rsidRPr="00536CFD">
              <w:rPr>
                <w:lang w:eastAsia="ko-KR"/>
              </w:rPr>
              <w:t>70.429</w:t>
            </w:r>
          </w:p>
        </w:tc>
        <w:tc>
          <w:tcPr>
            <w:tcW w:w="0" w:type="auto"/>
            <w:tcBorders>
              <w:top w:val="nil"/>
              <w:left w:val="nil"/>
              <w:bottom w:val="single" w:sz="8" w:space="0" w:color="auto"/>
              <w:right w:val="single" w:sz="8" w:space="0" w:color="auto"/>
            </w:tcBorders>
            <w:vAlign w:val="center"/>
            <w:hideMark/>
          </w:tcPr>
          <w:p w14:paraId="6E7ED4AA" w14:textId="77777777" w:rsidR="009D4A93" w:rsidRPr="00536CFD" w:rsidRDefault="009D4A93" w:rsidP="009D4A93">
            <w:pPr>
              <w:spacing w:after="0"/>
              <w:jc w:val="center"/>
              <w:rPr>
                <w:lang w:eastAsia="ko-KR"/>
              </w:rPr>
            </w:pPr>
            <w:r w:rsidRPr="00536CFD">
              <w:rPr>
                <w:lang w:eastAsia="ko-KR"/>
              </w:rPr>
              <w:t>56.713</w:t>
            </w:r>
          </w:p>
        </w:tc>
        <w:tc>
          <w:tcPr>
            <w:tcW w:w="0" w:type="auto"/>
            <w:tcBorders>
              <w:top w:val="nil"/>
              <w:left w:val="nil"/>
              <w:bottom w:val="single" w:sz="8" w:space="0" w:color="auto"/>
              <w:right w:val="single" w:sz="8" w:space="0" w:color="auto"/>
            </w:tcBorders>
            <w:vAlign w:val="center"/>
            <w:hideMark/>
          </w:tcPr>
          <w:p w14:paraId="12B1684F" w14:textId="77777777" w:rsidR="009D4A93" w:rsidRPr="00536CFD" w:rsidRDefault="009D4A93" w:rsidP="009D4A93">
            <w:pPr>
              <w:spacing w:after="0"/>
              <w:jc w:val="center"/>
              <w:rPr>
                <w:lang w:eastAsia="x-none"/>
              </w:rPr>
            </w:pPr>
            <w:r w:rsidRPr="00536CFD">
              <w:rPr>
                <w:lang w:eastAsia="ko-KR"/>
              </w:rPr>
              <w:t>59.760</w:t>
            </w:r>
          </w:p>
        </w:tc>
        <w:tc>
          <w:tcPr>
            <w:tcW w:w="0" w:type="auto"/>
            <w:tcBorders>
              <w:top w:val="nil"/>
              <w:left w:val="nil"/>
              <w:bottom w:val="single" w:sz="8" w:space="0" w:color="auto"/>
              <w:right w:val="single" w:sz="8" w:space="0" w:color="auto"/>
            </w:tcBorders>
            <w:vAlign w:val="center"/>
            <w:hideMark/>
          </w:tcPr>
          <w:p w14:paraId="3AFB5D91" w14:textId="77777777" w:rsidR="009D4A93" w:rsidRPr="00536CFD" w:rsidRDefault="009D4A93" w:rsidP="009D4A93">
            <w:pPr>
              <w:spacing w:after="0"/>
              <w:jc w:val="center"/>
              <w:rPr>
                <w:lang w:eastAsia="x-none"/>
              </w:rPr>
            </w:pPr>
            <w:r w:rsidRPr="00536CFD">
              <w:rPr>
                <w:lang w:eastAsia="ko-KR"/>
              </w:rPr>
              <w:t>67.631</w:t>
            </w:r>
          </w:p>
        </w:tc>
        <w:tc>
          <w:tcPr>
            <w:tcW w:w="0" w:type="auto"/>
            <w:tcBorders>
              <w:top w:val="nil"/>
              <w:left w:val="nil"/>
              <w:bottom w:val="single" w:sz="8" w:space="0" w:color="auto"/>
              <w:right w:val="single" w:sz="8" w:space="0" w:color="auto"/>
            </w:tcBorders>
            <w:vAlign w:val="center"/>
            <w:hideMark/>
          </w:tcPr>
          <w:p w14:paraId="5841465C" w14:textId="77777777" w:rsidR="009D4A93" w:rsidRPr="00536CFD" w:rsidRDefault="009D4A93" w:rsidP="009D4A93">
            <w:pPr>
              <w:spacing w:after="0"/>
              <w:jc w:val="center"/>
              <w:rPr>
                <w:lang w:eastAsia="ko-KR"/>
              </w:rPr>
            </w:pPr>
            <w:r w:rsidRPr="00536CFD">
              <w:rPr>
                <w:lang w:eastAsia="ko-KR"/>
              </w:rPr>
              <w:t>50.558</w:t>
            </w:r>
          </w:p>
        </w:tc>
        <w:tc>
          <w:tcPr>
            <w:tcW w:w="0" w:type="auto"/>
            <w:tcBorders>
              <w:top w:val="nil"/>
              <w:left w:val="nil"/>
              <w:bottom w:val="single" w:sz="8" w:space="0" w:color="auto"/>
              <w:right w:val="single" w:sz="8" w:space="0" w:color="auto"/>
            </w:tcBorders>
            <w:vAlign w:val="center"/>
            <w:hideMark/>
          </w:tcPr>
          <w:p w14:paraId="5B352A96" w14:textId="77777777" w:rsidR="009D4A93" w:rsidRPr="00536CFD" w:rsidRDefault="009D4A93" w:rsidP="009D4A93">
            <w:pPr>
              <w:spacing w:after="0"/>
              <w:jc w:val="center"/>
              <w:rPr>
                <w:lang w:eastAsia="x-none"/>
              </w:rPr>
            </w:pPr>
            <w:r w:rsidRPr="00536CFD">
              <w:rPr>
                <w:lang w:eastAsia="ko-KR"/>
              </w:rPr>
              <w:t>57.934</w:t>
            </w:r>
          </w:p>
        </w:tc>
        <w:tc>
          <w:tcPr>
            <w:tcW w:w="0" w:type="auto"/>
            <w:tcBorders>
              <w:top w:val="nil"/>
              <w:left w:val="nil"/>
              <w:bottom w:val="single" w:sz="8" w:space="0" w:color="auto"/>
              <w:right w:val="single" w:sz="8" w:space="0" w:color="auto"/>
            </w:tcBorders>
            <w:vAlign w:val="center"/>
            <w:hideMark/>
          </w:tcPr>
          <w:p w14:paraId="21AF9D4D" w14:textId="77777777" w:rsidR="009D4A93" w:rsidRPr="00536CFD" w:rsidRDefault="009D4A93" w:rsidP="009D4A93">
            <w:pPr>
              <w:spacing w:after="0"/>
              <w:jc w:val="center"/>
              <w:rPr>
                <w:lang w:eastAsia="x-none"/>
              </w:rPr>
            </w:pPr>
            <w:r w:rsidRPr="00536CFD">
              <w:rPr>
                <w:lang w:eastAsia="ko-KR"/>
              </w:rPr>
              <w:t>65.325</w:t>
            </w:r>
          </w:p>
        </w:tc>
      </w:tr>
      <w:tr w:rsidR="009D4A93" w:rsidRPr="00536CFD" w14:paraId="700D6EA8"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4CADCE71"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42D5B61E"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1BB87A69" w14:textId="77777777" w:rsidR="009D4A93" w:rsidRPr="00536CFD" w:rsidRDefault="009D4A93" w:rsidP="009D4A93">
            <w:pPr>
              <w:spacing w:after="0"/>
              <w:jc w:val="center"/>
              <w:rPr>
                <w:lang w:eastAsia="zh-CN"/>
              </w:rPr>
            </w:pPr>
            <w:r w:rsidRPr="00536CFD">
              <w:t>Mean</w:t>
            </w:r>
          </w:p>
        </w:tc>
        <w:tc>
          <w:tcPr>
            <w:tcW w:w="0" w:type="auto"/>
            <w:tcBorders>
              <w:top w:val="nil"/>
              <w:left w:val="nil"/>
              <w:bottom w:val="single" w:sz="8" w:space="0" w:color="auto"/>
              <w:right w:val="single" w:sz="8" w:space="0" w:color="auto"/>
            </w:tcBorders>
            <w:hideMark/>
          </w:tcPr>
          <w:p w14:paraId="0F3CDC00" w14:textId="77777777" w:rsidR="009D4A93" w:rsidRPr="00536CFD" w:rsidRDefault="009D4A93" w:rsidP="009D4A93">
            <w:pPr>
              <w:spacing w:after="0"/>
              <w:jc w:val="center"/>
              <w:rPr>
                <w:lang w:eastAsia="ko-KR"/>
              </w:rPr>
            </w:pPr>
            <w:r w:rsidRPr="00536CFD">
              <w:rPr>
                <w:lang w:eastAsia="ko-KR"/>
              </w:rPr>
              <w:t>44.053</w:t>
            </w:r>
          </w:p>
        </w:tc>
        <w:tc>
          <w:tcPr>
            <w:tcW w:w="0" w:type="auto"/>
            <w:tcBorders>
              <w:top w:val="nil"/>
              <w:left w:val="nil"/>
              <w:bottom w:val="single" w:sz="8" w:space="0" w:color="auto"/>
              <w:right w:val="single" w:sz="8" w:space="0" w:color="auto"/>
            </w:tcBorders>
            <w:hideMark/>
          </w:tcPr>
          <w:p w14:paraId="2CD094EA" w14:textId="77777777" w:rsidR="009D4A93" w:rsidRPr="00536CFD" w:rsidRDefault="009D4A93" w:rsidP="009D4A93">
            <w:pPr>
              <w:spacing w:after="0"/>
              <w:jc w:val="center"/>
              <w:rPr>
                <w:lang w:eastAsia="zh-CN"/>
              </w:rPr>
            </w:pPr>
            <w:r w:rsidRPr="00536CFD">
              <w:rPr>
                <w:lang w:eastAsia="ko-KR"/>
              </w:rPr>
              <w:t>48.2196</w:t>
            </w:r>
          </w:p>
        </w:tc>
        <w:tc>
          <w:tcPr>
            <w:tcW w:w="0" w:type="auto"/>
            <w:tcBorders>
              <w:top w:val="nil"/>
              <w:left w:val="nil"/>
              <w:bottom w:val="single" w:sz="8" w:space="0" w:color="auto"/>
              <w:right w:val="single" w:sz="8" w:space="0" w:color="auto"/>
            </w:tcBorders>
            <w:hideMark/>
          </w:tcPr>
          <w:p w14:paraId="58ED8F3A" w14:textId="77777777" w:rsidR="009D4A93" w:rsidRPr="00536CFD" w:rsidRDefault="009D4A93" w:rsidP="009D4A93">
            <w:pPr>
              <w:spacing w:after="0"/>
              <w:jc w:val="center"/>
            </w:pPr>
            <w:r w:rsidRPr="00536CFD">
              <w:rPr>
                <w:lang w:eastAsia="ko-KR"/>
              </w:rPr>
              <w:t>50.420</w:t>
            </w:r>
          </w:p>
        </w:tc>
        <w:tc>
          <w:tcPr>
            <w:tcW w:w="0" w:type="auto"/>
            <w:tcBorders>
              <w:top w:val="nil"/>
              <w:left w:val="nil"/>
              <w:bottom w:val="single" w:sz="8" w:space="0" w:color="auto"/>
              <w:right w:val="single" w:sz="8" w:space="0" w:color="auto"/>
            </w:tcBorders>
            <w:hideMark/>
          </w:tcPr>
          <w:p w14:paraId="2C9C8315" w14:textId="77777777" w:rsidR="009D4A93" w:rsidRPr="00536CFD" w:rsidRDefault="009D4A93" w:rsidP="009D4A93">
            <w:pPr>
              <w:spacing w:after="0"/>
              <w:jc w:val="center"/>
              <w:rPr>
                <w:lang w:eastAsia="ko-KR"/>
              </w:rPr>
            </w:pPr>
            <w:r w:rsidRPr="00536CFD">
              <w:rPr>
                <w:lang w:eastAsia="ko-KR"/>
              </w:rPr>
              <w:t>30.1075</w:t>
            </w:r>
          </w:p>
        </w:tc>
        <w:tc>
          <w:tcPr>
            <w:tcW w:w="0" w:type="auto"/>
            <w:tcBorders>
              <w:top w:val="nil"/>
              <w:left w:val="nil"/>
              <w:bottom w:val="single" w:sz="8" w:space="0" w:color="auto"/>
              <w:right w:val="single" w:sz="8" w:space="0" w:color="auto"/>
            </w:tcBorders>
            <w:hideMark/>
          </w:tcPr>
          <w:p w14:paraId="0B5D7C65" w14:textId="77777777" w:rsidR="009D4A93" w:rsidRPr="00536CFD" w:rsidRDefault="009D4A93" w:rsidP="009D4A93">
            <w:pPr>
              <w:spacing w:after="0"/>
              <w:jc w:val="center"/>
              <w:rPr>
                <w:lang w:eastAsia="zh-CN"/>
              </w:rPr>
            </w:pPr>
            <w:r w:rsidRPr="00536CFD">
              <w:rPr>
                <w:lang w:eastAsia="ko-KR"/>
              </w:rPr>
              <w:t>42.783</w:t>
            </w:r>
          </w:p>
        </w:tc>
        <w:tc>
          <w:tcPr>
            <w:tcW w:w="0" w:type="auto"/>
            <w:tcBorders>
              <w:top w:val="nil"/>
              <w:left w:val="nil"/>
              <w:bottom w:val="single" w:sz="8" w:space="0" w:color="auto"/>
              <w:right w:val="single" w:sz="8" w:space="0" w:color="auto"/>
            </w:tcBorders>
            <w:hideMark/>
          </w:tcPr>
          <w:p w14:paraId="1C79F846" w14:textId="77777777" w:rsidR="009D4A93" w:rsidRPr="00536CFD" w:rsidRDefault="009D4A93" w:rsidP="009D4A93">
            <w:pPr>
              <w:spacing w:after="0"/>
              <w:jc w:val="center"/>
            </w:pPr>
            <w:r w:rsidRPr="00536CFD">
              <w:rPr>
                <w:lang w:eastAsia="ko-KR"/>
              </w:rPr>
              <w:t>44.870</w:t>
            </w:r>
          </w:p>
        </w:tc>
        <w:tc>
          <w:tcPr>
            <w:tcW w:w="0" w:type="auto"/>
            <w:tcBorders>
              <w:top w:val="nil"/>
              <w:left w:val="nil"/>
              <w:bottom w:val="single" w:sz="8" w:space="0" w:color="auto"/>
              <w:right w:val="single" w:sz="8" w:space="0" w:color="auto"/>
            </w:tcBorders>
            <w:hideMark/>
          </w:tcPr>
          <w:p w14:paraId="0E365725" w14:textId="77777777" w:rsidR="009D4A93" w:rsidRPr="00536CFD" w:rsidRDefault="009D4A93" w:rsidP="009D4A93">
            <w:pPr>
              <w:spacing w:after="0"/>
              <w:jc w:val="center"/>
              <w:rPr>
                <w:lang w:eastAsia="ko-KR"/>
              </w:rPr>
            </w:pPr>
            <w:r w:rsidRPr="00536CFD">
              <w:rPr>
                <w:lang w:eastAsia="ko-KR"/>
              </w:rPr>
              <w:t>18.945</w:t>
            </w:r>
          </w:p>
        </w:tc>
        <w:tc>
          <w:tcPr>
            <w:tcW w:w="0" w:type="auto"/>
            <w:tcBorders>
              <w:top w:val="nil"/>
              <w:left w:val="nil"/>
              <w:bottom w:val="single" w:sz="8" w:space="0" w:color="auto"/>
              <w:right w:val="single" w:sz="8" w:space="0" w:color="auto"/>
            </w:tcBorders>
            <w:hideMark/>
          </w:tcPr>
          <w:p w14:paraId="55B9E561" w14:textId="77777777" w:rsidR="009D4A93" w:rsidRPr="00536CFD" w:rsidRDefault="009D4A93" w:rsidP="009D4A93">
            <w:pPr>
              <w:spacing w:after="0"/>
              <w:jc w:val="center"/>
              <w:rPr>
                <w:lang w:eastAsia="zh-CN"/>
              </w:rPr>
            </w:pPr>
            <w:r w:rsidRPr="00536CFD">
              <w:rPr>
                <w:lang w:eastAsia="ko-KR"/>
              </w:rPr>
              <w:t>39.168</w:t>
            </w:r>
          </w:p>
        </w:tc>
        <w:tc>
          <w:tcPr>
            <w:tcW w:w="0" w:type="auto"/>
            <w:tcBorders>
              <w:top w:val="nil"/>
              <w:left w:val="nil"/>
              <w:bottom w:val="single" w:sz="8" w:space="0" w:color="auto"/>
              <w:right w:val="single" w:sz="8" w:space="0" w:color="auto"/>
            </w:tcBorders>
            <w:hideMark/>
          </w:tcPr>
          <w:p w14:paraId="57A1AA41" w14:textId="77777777" w:rsidR="009D4A93" w:rsidRPr="00536CFD" w:rsidRDefault="009D4A93" w:rsidP="009D4A93">
            <w:pPr>
              <w:spacing w:after="0"/>
              <w:jc w:val="center"/>
            </w:pPr>
            <w:r w:rsidRPr="00536CFD">
              <w:rPr>
                <w:lang w:eastAsia="ko-KR"/>
              </w:rPr>
              <w:t>40.457</w:t>
            </w:r>
          </w:p>
        </w:tc>
      </w:tr>
      <w:tr w:rsidR="009D4A93" w:rsidRPr="00536CFD" w14:paraId="120DB295"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4E5B0436" w14:textId="77777777" w:rsidR="009D4A93" w:rsidRPr="00536CFD" w:rsidRDefault="009D4A93" w:rsidP="009D4A93">
            <w:pPr>
              <w:spacing w:after="0"/>
              <w:rPr>
                <w:rFonts w:eastAsiaTheme="minorEastAsia"/>
              </w:rPr>
            </w:pPr>
          </w:p>
        </w:tc>
        <w:tc>
          <w:tcPr>
            <w:tcW w:w="0" w:type="auto"/>
            <w:vMerge w:val="restart"/>
            <w:tcBorders>
              <w:top w:val="nil"/>
              <w:left w:val="nil"/>
              <w:bottom w:val="single" w:sz="8" w:space="0" w:color="auto"/>
              <w:right w:val="single" w:sz="8" w:space="0" w:color="auto"/>
            </w:tcBorders>
            <w:hideMark/>
          </w:tcPr>
          <w:p w14:paraId="14BD7C16" w14:textId="77777777" w:rsidR="009D4A93" w:rsidRPr="00536CFD" w:rsidRDefault="009D4A93" w:rsidP="009D4A93">
            <w:pPr>
              <w:spacing w:after="0"/>
              <w:jc w:val="center"/>
            </w:pPr>
            <w:r w:rsidRPr="00536CFD">
              <w:rPr>
                <w:b/>
                <w:bCs/>
              </w:rPr>
              <w:t>DL:</w:t>
            </w:r>
          </w:p>
          <w:p w14:paraId="444E241F" w14:textId="77777777" w:rsidR="009D4A93" w:rsidRPr="00536CFD" w:rsidRDefault="009D4A93" w:rsidP="009D4A93">
            <w:pPr>
              <w:spacing w:after="0"/>
              <w:jc w:val="center"/>
            </w:pPr>
            <w:r w:rsidRPr="00536CFD">
              <w:t>Delay CDF</w:t>
            </w:r>
          </w:p>
          <w:p w14:paraId="04CC81B9" w14:textId="77777777" w:rsidR="009D4A93" w:rsidRPr="00536CFD" w:rsidRDefault="009D4A93" w:rsidP="009D4A93">
            <w:pPr>
              <w:spacing w:after="0"/>
              <w:jc w:val="center"/>
            </w:pPr>
            <w:r w:rsidRPr="00536CFD">
              <w:t>[s]</w:t>
            </w:r>
          </w:p>
        </w:tc>
        <w:tc>
          <w:tcPr>
            <w:tcW w:w="0" w:type="auto"/>
            <w:tcBorders>
              <w:top w:val="nil"/>
              <w:left w:val="nil"/>
              <w:bottom w:val="single" w:sz="8" w:space="0" w:color="auto"/>
              <w:right w:val="single" w:sz="8" w:space="0" w:color="auto"/>
            </w:tcBorders>
            <w:hideMark/>
          </w:tcPr>
          <w:p w14:paraId="34993C1F" w14:textId="77777777" w:rsidR="009D4A93" w:rsidRPr="00536CFD" w:rsidRDefault="009D4A93" w:rsidP="009D4A93">
            <w:pPr>
              <w:spacing w:after="0"/>
              <w:jc w:val="center"/>
            </w:pPr>
            <w:r w:rsidRPr="00536CFD">
              <w:t>5%</w:t>
            </w:r>
          </w:p>
        </w:tc>
        <w:tc>
          <w:tcPr>
            <w:tcW w:w="0" w:type="auto"/>
            <w:tcBorders>
              <w:top w:val="nil"/>
              <w:left w:val="nil"/>
              <w:bottom w:val="single" w:sz="8" w:space="0" w:color="auto"/>
              <w:right w:val="single" w:sz="8" w:space="0" w:color="auto"/>
            </w:tcBorders>
            <w:vAlign w:val="center"/>
            <w:hideMark/>
          </w:tcPr>
          <w:p w14:paraId="75A447A7" w14:textId="77777777" w:rsidR="009D4A93" w:rsidRPr="00536CFD" w:rsidRDefault="009D4A93" w:rsidP="009D4A93">
            <w:pPr>
              <w:spacing w:after="0"/>
              <w:jc w:val="center"/>
              <w:rPr>
                <w:lang w:eastAsia="ko-KR"/>
              </w:rPr>
            </w:pPr>
            <w:r w:rsidRPr="00536CFD">
              <w:rPr>
                <w:lang w:eastAsia="ko-KR"/>
              </w:rPr>
              <w:t>0.069</w:t>
            </w:r>
          </w:p>
        </w:tc>
        <w:tc>
          <w:tcPr>
            <w:tcW w:w="0" w:type="auto"/>
            <w:tcBorders>
              <w:top w:val="nil"/>
              <w:left w:val="nil"/>
              <w:bottom w:val="single" w:sz="8" w:space="0" w:color="auto"/>
              <w:right w:val="single" w:sz="8" w:space="0" w:color="auto"/>
            </w:tcBorders>
            <w:vAlign w:val="center"/>
            <w:hideMark/>
          </w:tcPr>
          <w:p w14:paraId="3A5DBC11" w14:textId="77777777" w:rsidR="009D4A93" w:rsidRPr="00536CFD" w:rsidRDefault="009D4A93" w:rsidP="009D4A93">
            <w:pPr>
              <w:spacing w:after="0"/>
              <w:jc w:val="center"/>
              <w:rPr>
                <w:lang w:eastAsia="x-none"/>
              </w:rPr>
            </w:pPr>
            <w:r w:rsidRPr="00536CFD">
              <w:rPr>
                <w:lang w:eastAsia="ko-KR"/>
              </w:rPr>
              <w:t>0.069</w:t>
            </w:r>
          </w:p>
        </w:tc>
        <w:tc>
          <w:tcPr>
            <w:tcW w:w="0" w:type="auto"/>
            <w:tcBorders>
              <w:top w:val="nil"/>
              <w:left w:val="nil"/>
              <w:bottom w:val="single" w:sz="8" w:space="0" w:color="auto"/>
              <w:right w:val="single" w:sz="8" w:space="0" w:color="auto"/>
            </w:tcBorders>
            <w:vAlign w:val="center"/>
            <w:hideMark/>
          </w:tcPr>
          <w:p w14:paraId="3904AF51" w14:textId="77777777" w:rsidR="009D4A93" w:rsidRPr="00536CFD" w:rsidRDefault="009D4A93" w:rsidP="009D4A93">
            <w:pPr>
              <w:spacing w:after="0"/>
              <w:jc w:val="center"/>
              <w:rPr>
                <w:lang w:eastAsia="x-none"/>
              </w:rPr>
            </w:pPr>
            <w:r w:rsidRPr="00536CFD">
              <w:rPr>
                <w:lang w:eastAsia="ko-KR"/>
              </w:rPr>
              <w:t>0.060</w:t>
            </w:r>
          </w:p>
        </w:tc>
        <w:tc>
          <w:tcPr>
            <w:tcW w:w="0" w:type="auto"/>
            <w:tcBorders>
              <w:top w:val="nil"/>
              <w:left w:val="nil"/>
              <w:bottom w:val="single" w:sz="8" w:space="0" w:color="auto"/>
              <w:right w:val="single" w:sz="8" w:space="0" w:color="auto"/>
            </w:tcBorders>
            <w:vAlign w:val="center"/>
            <w:hideMark/>
          </w:tcPr>
          <w:p w14:paraId="03C699C9" w14:textId="77777777" w:rsidR="009D4A93" w:rsidRPr="00536CFD" w:rsidRDefault="009D4A93" w:rsidP="009D4A93">
            <w:pPr>
              <w:spacing w:after="0"/>
              <w:jc w:val="center"/>
              <w:rPr>
                <w:lang w:eastAsia="ko-KR"/>
              </w:rPr>
            </w:pPr>
            <w:r w:rsidRPr="00536CFD">
              <w:rPr>
                <w:lang w:eastAsia="ko-KR"/>
              </w:rPr>
              <w:t>0.076</w:t>
            </w:r>
          </w:p>
        </w:tc>
        <w:tc>
          <w:tcPr>
            <w:tcW w:w="0" w:type="auto"/>
            <w:tcBorders>
              <w:top w:val="nil"/>
              <w:left w:val="nil"/>
              <w:bottom w:val="single" w:sz="8" w:space="0" w:color="auto"/>
              <w:right w:val="single" w:sz="8" w:space="0" w:color="auto"/>
            </w:tcBorders>
            <w:vAlign w:val="center"/>
            <w:hideMark/>
          </w:tcPr>
          <w:p w14:paraId="750661F3" w14:textId="77777777" w:rsidR="009D4A93" w:rsidRPr="00536CFD" w:rsidRDefault="009D4A93" w:rsidP="009D4A93">
            <w:pPr>
              <w:spacing w:after="0"/>
              <w:jc w:val="center"/>
              <w:rPr>
                <w:lang w:eastAsia="x-none"/>
              </w:rPr>
            </w:pPr>
            <w:r w:rsidRPr="00536CFD">
              <w:rPr>
                <w:lang w:eastAsia="ko-KR"/>
              </w:rPr>
              <w:t>0.070</w:t>
            </w:r>
          </w:p>
        </w:tc>
        <w:tc>
          <w:tcPr>
            <w:tcW w:w="0" w:type="auto"/>
            <w:tcBorders>
              <w:top w:val="nil"/>
              <w:left w:val="nil"/>
              <w:bottom w:val="single" w:sz="8" w:space="0" w:color="auto"/>
              <w:right w:val="single" w:sz="8" w:space="0" w:color="auto"/>
            </w:tcBorders>
            <w:vAlign w:val="center"/>
            <w:hideMark/>
          </w:tcPr>
          <w:p w14:paraId="10E88E62" w14:textId="77777777" w:rsidR="009D4A93" w:rsidRPr="00536CFD" w:rsidRDefault="009D4A93" w:rsidP="009D4A93">
            <w:pPr>
              <w:spacing w:after="0"/>
              <w:jc w:val="center"/>
              <w:rPr>
                <w:lang w:eastAsia="x-none"/>
              </w:rPr>
            </w:pPr>
            <w:r w:rsidRPr="00536CFD">
              <w:rPr>
                <w:lang w:eastAsia="ko-KR"/>
              </w:rPr>
              <w:t>0.063</w:t>
            </w:r>
          </w:p>
        </w:tc>
        <w:tc>
          <w:tcPr>
            <w:tcW w:w="0" w:type="auto"/>
            <w:tcBorders>
              <w:top w:val="nil"/>
              <w:left w:val="nil"/>
              <w:bottom w:val="single" w:sz="8" w:space="0" w:color="auto"/>
              <w:right w:val="single" w:sz="8" w:space="0" w:color="auto"/>
            </w:tcBorders>
            <w:vAlign w:val="center"/>
            <w:hideMark/>
          </w:tcPr>
          <w:p w14:paraId="44AAF6AE" w14:textId="77777777" w:rsidR="009D4A93" w:rsidRPr="00536CFD" w:rsidRDefault="009D4A93" w:rsidP="009D4A93">
            <w:pPr>
              <w:spacing w:after="0"/>
              <w:jc w:val="center"/>
              <w:rPr>
                <w:lang w:eastAsia="ko-KR"/>
              </w:rPr>
            </w:pPr>
            <w:r w:rsidRPr="00536CFD">
              <w:rPr>
                <w:lang w:eastAsia="ko-KR"/>
              </w:rPr>
              <w:t>0.094</w:t>
            </w:r>
          </w:p>
        </w:tc>
        <w:tc>
          <w:tcPr>
            <w:tcW w:w="0" w:type="auto"/>
            <w:tcBorders>
              <w:top w:val="nil"/>
              <w:left w:val="nil"/>
              <w:bottom w:val="single" w:sz="8" w:space="0" w:color="auto"/>
              <w:right w:val="single" w:sz="8" w:space="0" w:color="auto"/>
            </w:tcBorders>
            <w:vAlign w:val="center"/>
            <w:hideMark/>
          </w:tcPr>
          <w:p w14:paraId="6DC64A13" w14:textId="77777777" w:rsidR="009D4A93" w:rsidRPr="00536CFD" w:rsidRDefault="009D4A93" w:rsidP="009D4A93">
            <w:pPr>
              <w:spacing w:after="0"/>
              <w:jc w:val="center"/>
              <w:rPr>
                <w:lang w:eastAsia="x-none"/>
              </w:rPr>
            </w:pPr>
            <w:r w:rsidRPr="00536CFD">
              <w:rPr>
                <w:lang w:eastAsia="ko-KR"/>
              </w:rPr>
              <w:t>0.074</w:t>
            </w:r>
          </w:p>
        </w:tc>
        <w:tc>
          <w:tcPr>
            <w:tcW w:w="0" w:type="auto"/>
            <w:tcBorders>
              <w:top w:val="nil"/>
              <w:left w:val="nil"/>
              <w:bottom w:val="single" w:sz="8" w:space="0" w:color="auto"/>
              <w:right w:val="single" w:sz="8" w:space="0" w:color="auto"/>
            </w:tcBorders>
            <w:vAlign w:val="center"/>
            <w:hideMark/>
          </w:tcPr>
          <w:p w14:paraId="6B14A513" w14:textId="77777777" w:rsidR="009D4A93" w:rsidRPr="00536CFD" w:rsidRDefault="009D4A93" w:rsidP="009D4A93">
            <w:pPr>
              <w:spacing w:after="0"/>
              <w:jc w:val="center"/>
              <w:rPr>
                <w:lang w:eastAsia="x-none"/>
              </w:rPr>
            </w:pPr>
            <w:r w:rsidRPr="00536CFD">
              <w:rPr>
                <w:lang w:eastAsia="ko-KR"/>
              </w:rPr>
              <w:t>0.067</w:t>
            </w:r>
          </w:p>
        </w:tc>
      </w:tr>
      <w:tr w:rsidR="009D4A93" w:rsidRPr="00536CFD" w14:paraId="44F4F2B1"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3288A82A"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3FA82947"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3144505A" w14:textId="77777777" w:rsidR="009D4A93" w:rsidRPr="00536CFD" w:rsidRDefault="009D4A93" w:rsidP="009D4A93">
            <w:pPr>
              <w:spacing w:after="0"/>
              <w:jc w:val="center"/>
              <w:rPr>
                <w:lang w:eastAsia="zh-CN"/>
              </w:rPr>
            </w:pPr>
            <w:r w:rsidRPr="00536CFD">
              <w:t>50%</w:t>
            </w:r>
          </w:p>
        </w:tc>
        <w:tc>
          <w:tcPr>
            <w:tcW w:w="0" w:type="auto"/>
            <w:tcBorders>
              <w:top w:val="nil"/>
              <w:left w:val="nil"/>
              <w:bottom w:val="single" w:sz="8" w:space="0" w:color="auto"/>
              <w:right w:val="single" w:sz="8" w:space="0" w:color="auto"/>
            </w:tcBorders>
            <w:vAlign w:val="center"/>
            <w:hideMark/>
          </w:tcPr>
          <w:p w14:paraId="24CB5215" w14:textId="77777777" w:rsidR="009D4A93" w:rsidRPr="00536CFD" w:rsidRDefault="009D4A93" w:rsidP="009D4A93">
            <w:pPr>
              <w:spacing w:after="0"/>
              <w:jc w:val="center"/>
              <w:rPr>
                <w:lang w:eastAsia="ko-KR"/>
              </w:rPr>
            </w:pPr>
            <w:r w:rsidRPr="00536CFD">
              <w:rPr>
                <w:lang w:eastAsia="ko-KR"/>
              </w:rPr>
              <w:t>0.095</w:t>
            </w:r>
          </w:p>
        </w:tc>
        <w:tc>
          <w:tcPr>
            <w:tcW w:w="0" w:type="auto"/>
            <w:tcBorders>
              <w:top w:val="nil"/>
              <w:left w:val="nil"/>
              <w:bottom w:val="single" w:sz="8" w:space="0" w:color="auto"/>
              <w:right w:val="single" w:sz="8" w:space="0" w:color="auto"/>
            </w:tcBorders>
            <w:vAlign w:val="center"/>
            <w:hideMark/>
          </w:tcPr>
          <w:p w14:paraId="2718AAC0" w14:textId="77777777" w:rsidR="009D4A93" w:rsidRPr="00536CFD" w:rsidRDefault="009D4A93" w:rsidP="009D4A93">
            <w:pPr>
              <w:spacing w:after="0"/>
              <w:jc w:val="center"/>
              <w:rPr>
                <w:lang w:eastAsia="x-none"/>
              </w:rPr>
            </w:pPr>
            <w:r w:rsidRPr="00536CFD">
              <w:rPr>
                <w:lang w:eastAsia="ko-KR"/>
              </w:rPr>
              <w:t>0.083</w:t>
            </w:r>
          </w:p>
        </w:tc>
        <w:tc>
          <w:tcPr>
            <w:tcW w:w="0" w:type="auto"/>
            <w:tcBorders>
              <w:top w:val="nil"/>
              <w:left w:val="nil"/>
              <w:bottom w:val="single" w:sz="8" w:space="0" w:color="auto"/>
              <w:right w:val="single" w:sz="8" w:space="0" w:color="auto"/>
            </w:tcBorders>
            <w:vAlign w:val="center"/>
            <w:hideMark/>
          </w:tcPr>
          <w:p w14:paraId="785B4749" w14:textId="77777777" w:rsidR="009D4A93" w:rsidRPr="00536CFD" w:rsidRDefault="009D4A93" w:rsidP="009D4A93">
            <w:pPr>
              <w:spacing w:after="0"/>
              <w:jc w:val="center"/>
              <w:rPr>
                <w:lang w:eastAsia="x-none"/>
              </w:rPr>
            </w:pPr>
            <w:r w:rsidRPr="00536CFD">
              <w:rPr>
                <w:lang w:eastAsia="ko-KR"/>
              </w:rPr>
              <w:t>0.082</w:t>
            </w:r>
          </w:p>
        </w:tc>
        <w:tc>
          <w:tcPr>
            <w:tcW w:w="0" w:type="auto"/>
            <w:tcBorders>
              <w:top w:val="nil"/>
              <w:left w:val="nil"/>
              <w:bottom w:val="single" w:sz="8" w:space="0" w:color="auto"/>
              <w:right w:val="single" w:sz="8" w:space="0" w:color="auto"/>
            </w:tcBorders>
            <w:vAlign w:val="center"/>
            <w:hideMark/>
          </w:tcPr>
          <w:p w14:paraId="60CABCEB" w14:textId="77777777" w:rsidR="009D4A93" w:rsidRPr="00536CFD" w:rsidRDefault="009D4A93" w:rsidP="009D4A93">
            <w:pPr>
              <w:spacing w:after="0"/>
              <w:jc w:val="center"/>
              <w:rPr>
                <w:lang w:eastAsia="ko-KR"/>
              </w:rPr>
            </w:pPr>
            <w:r w:rsidRPr="00536CFD">
              <w:rPr>
                <w:lang w:eastAsia="ko-KR"/>
              </w:rPr>
              <w:t>0.253</w:t>
            </w:r>
          </w:p>
        </w:tc>
        <w:tc>
          <w:tcPr>
            <w:tcW w:w="0" w:type="auto"/>
            <w:tcBorders>
              <w:top w:val="nil"/>
              <w:left w:val="nil"/>
              <w:bottom w:val="single" w:sz="8" w:space="0" w:color="auto"/>
              <w:right w:val="single" w:sz="8" w:space="0" w:color="auto"/>
            </w:tcBorders>
            <w:vAlign w:val="center"/>
            <w:hideMark/>
          </w:tcPr>
          <w:p w14:paraId="5CBE77E2" w14:textId="77777777" w:rsidR="009D4A93" w:rsidRPr="00536CFD" w:rsidRDefault="009D4A93" w:rsidP="009D4A93">
            <w:pPr>
              <w:spacing w:after="0"/>
              <w:jc w:val="center"/>
              <w:rPr>
                <w:lang w:eastAsia="x-none"/>
              </w:rPr>
            </w:pPr>
            <w:r w:rsidRPr="00536CFD">
              <w:rPr>
                <w:lang w:eastAsia="ko-KR"/>
              </w:rPr>
              <w:t>0.104</w:t>
            </w:r>
          </w:p>
        </w:tc>
        <w:tc>
          <w:tcPr>
            <w:tcW w:w="0" w:type="auto"/>
            <w:tcBorders>
              <w:top w:val="nil"/>
              <w:left w:val="nil"/>
              <w:bottom w:val="single" w:sz="8" w:space="0" w:color="auto"/>
              <w:right w:val="single" w:sz="8" w:space="0" w:color="auto"/>
            </w:tcBorders>
            <w:vAlign w:val="center"/>
            <w:hideMark/>
          </w:tcPr>
          <w:p w14:paraId="120A0441" w14:textId="77777777" w:rsidR="009D4A93" w:rsidRPr="00536CFD" w:rsidRDefault="009D4A93" w:rsidP="009D4A93">
            <w:pPr>
              <w:spacing w:after="0"/>
              <w:jc w:val="center"/>
              <w:rPr>
                <w:lang w:eastAsia="x-none"/>
              </w:rPr>
            </w:pPr>
            <w:r w:rsidRPr="00536CFD">
              <w:rPr>
                <w:lang w:eastAsia="ko-KR"/>
              </w:rPr>
              <w:t>0.116</w:t>
            </w:r>
          </w:p>
        </w:tc>
        <w:tc>
          <w:tcPr>
            <w:tcW w:w="0" w:type="auto"/>
            <w:tcBorders>
              <w:top w:val="nil"/>
              <w:left w:val="nil"/>
              <w:bottom w:val="single" w:sz="8" w:space="0" w:color="auto"/>
              <w:right w:val="single" w:sz="8" w:space="0" w:color="auto"/>
            </w:tcBorders>
            <w:vAlign w:val="center"/>
            <w:hideMark/>
          </w:tcPr>
          <w:p w14:paraId="2551DB5A" w14:textId="77777777" w:rsidR="009D4A93" w:rsidRPr="00536CFD" w:rsidRDefault="009D4A93" w:rsidP="009D4A93">
            <w:pPr>
              <w:spacing w:after="0"/>
              <w:jc w:val="center"/>
              <w:rPr>
                <w:lang w:eastAsia="ko-KR"/>
              </w:rPr>
            </w:pPr>
            <w:r w:rsidRPr="00536CFD">
              <w:rPr>
                <w:lang w:eastAsia="ko-KR"/>
              </w:rPr>
              <w:t>1.558</w:t>
            </w:r>
          </w:p>
        </w:tc>
        <w:tc>
          <w:tcPr>
            <w:tcW w:w="0" w:type="auto"/>
            <w:tcBorders>
              <w:top w:val="nil"/>
              <w:left w:val="nil"/>
              <w:bottom w:val="single" w:sz="8" w:space="0" w:color="auto"/>
              <w:right w:val="single" w:sz="8" w:space="0" w:color="auto"/>
            </w:tcBorders>
            <w:vAlign w:val="center"/>
            <w:hideMark/>
          </w:tcPr>
          <w:p w14:paraId="5058C5D7" w14:textId="77777777" w:rsidR="009D4A93" w:rsidRPr="00536CFD" w:rsidRDefault="009D4A93" w:rsidP="009D4A93">
            <w:pPr>
              <w:spacing w:after="0"/>
              <w:jc w:val="center"/>
              <w:rPr>
                <w:lang w:eastAsia="x-none"/>
              </w:rPr>
            </w:pPr>
            <w:r w:rsidRPr="00536CFD">
              <w:rPr>
                <w:lang w:eastAsia="ko-KR"/>
              </w:rPr>
              <w:t>0.129</w:t>
            </w:r>
          </w:p>
        </w:tc>
        <w:tc>
          <w:tcPr>
            <w:tcW w:w="0" w:type="auto"/>
            <w:tcBorders>
              <w:top w:val="nil"/>
              <w:left w:val="nil"/>
              <w:bottom w:val="single" w:sz="8" w:space="0" w:color="auto"/>
              <w:right w:val="single" w:sz="8" w:space="0" w:color="auto"/>
            </w:tcBorders>
            <w:vAlign w:val="center"/>
            <w:hideMark/>
          </w:tcPr>
          <w:p w14:paraId="78AAA125" w14:textId="77777777" w:rsidR="009D4A93" w:rsidRPr="00536CFD" w:rsidRDefault="009D4A93" w:rsidP="009D4A93">
            <w:pPr>
              <w:spacing w:after="0"/>
              <w:jc w:val="center"/>
              <w:rPr>
                <w:lang w:eastAsia="x-none"/>
              </w:rPr>
            </w:pPr>
            <w:r w:rsidRPr="00536CFD">
              <w:rPr>
                <w:lang w:eastAsia="ko-KR"/>
              </w:rPr>
              <w:t>0.165</w:t>
            </w:r>
          </w:p>
        </w:tc>
      </w:tr>
      <w:tr w:rsidR="009D4A93" w:rsidRPr="00536CFD" w14:paraId="34DF1258"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040F39A9"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5723B533"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0FEB5732" w14:textId="77777777" w:rsidR="009D4A93" w:rsidRPr="00536CFD" w:rsidRDefault="009D4A93" w:rsidP="009D4A93">
            <w:pPr>
              <w:spacing w:after="0"/>
              <w:jc w:val="center"/>
              <w:rPr>
                <w:lang w:eastAsia="zh-CN"/>
              </w:rPr>
            </w:pPr>
            <w:r w:rsidRPr="00536CFD">
              <w:t>95%</w:t>
            </w:r>
          </w:p>
        </w:tc>
        <w:tc>
          <w:tcPr>
            <w:tcW w:w="0" w:type="auto"/>
            <w:tcBorders>
              <w:top w:val="nil"/>
              <w:left w:val="nil"/>
              <w:bottom w:val="single" w:sz="8" w:space="0" w:color="auto"/>
              <w:right w:val="single" w:sz="8" w:space="0" w:color="auto"/>
            </w:tcBorders>
            <w:vAlign w:val="center"/>
            <w:hideMark/>
          </w:tcPr>
          <w:p w14:paraId="527CE1B2" w14:textId="77777777" w:rsidR="009D4A93" w:rsidRPr="00536CFD" w:rsidRDefault="009D4A93" w:rsidP="009D4A93">
            <w:pPr>
              <w:spacing w:after="0"/>
              <w:jc w:val="center"/>
              <w:rPr>
                <w:lang w:eastAsia="ko-KR"/>
              </w:rPr>
            </w:pPr>
            <w:r w:rsidRPr="00536CFD">
              <w:rPr>
                <w:lang w:eastAsia="ko-KR"/>
              </w:rPr>
              <w:t>1.615</w:t>
            </w:r>
          </w:p>
        </w:tc>
        <w:tc>
          <w:tcPr>
            <w:tcW w:w="0" w:type="auto"/>
            <w:tcBorders>
              <w:top w:val="nil"/>
              <w:left w:val="nil"/>
              <w:bottom w:val="single" w:sz="8" w:space="0" w:color="auto"/>
              <w:right w:val="single" w:sz="8" w:space="0" w:color="auto"/>
            </w:tcBorders>
            <w:vAlign w:val="center"/>
            <w:hideMark/>
          </w:tcPr>
          <w:p w14:paraId="1BEB3CE9" w14:textId="77777777" w:rsidR="009D4A93" w:rsidRPr="00536CFD" w:rsidRDefault="009D4A93" w:rsidP="009D4A93">
            <w:pPr>
              <w:spacing w:after="0"/>
              <w:jc w:val="center"/>
              <w:rPr>
                <w:lang w:eastAsia="x-none"/>
              </w:rPr>
            </w:pPr>
            <w:r w:rsidRPr="00536CFD">
              <w:rPr>
                <w:lang w:eastAsia="ko-KR"/>
              </w:rPr>
              <w:t>0.442</w:t>
            </w:r>
          </w:p>
        </w:tc>
        <w:tc>
          <w:tcPr>
            <w:tcW w:w="0" w:type="auto"/>
            <w:tcBorders>
              <w:top w:val="nil"/>
              <w:left w:val="nil"/>
              <w:bottom w:val="single" w:sz="8" w:space="0" w:color="auto"/>
              <w:right w:val="single" w:sz="8" w:space="0" w:color="auto"/>
            </w:tcBorders>
            <w:vAlign w:val="center"/>
            <w:hideMark/>
          </w:tcPr>
          <w:p w14:paraId="2A8C88EB" w14:textId="77777777" w:rsidR="009D4A93" w:rsidRPr="00536CFD" w:rsidRDefault="009D4A93" w:rsidP="009D4A93">
            <w:pPr>
              <w:spacing w:after="0"/>
              <w:jc w:val="center"/>
              <w:rPr>
                <w:lang w:eastAsia="x-none"/>
              </w:rPr>
            </w:pPr>
            <w:r w:rsidRPr="00536CFD">
              <w:rPr>
                <w:lang w:eastAsia="ko-KR"/>
              </w:rPr>
              <w:t>8.361</w:t>
            </w:r>
          </w:p>
        </w:tc>
        <w:tc>
          <w:tcPr>
            <w:tcW w:w="0" w:type="auto"/>
            <w:tcBorders>
              <w:top w:val="nil"/>
              <w:left w:val="nil"/>
              <w:bottom w:val="single" w:sz="8" w:space="0" w:color="auto"/>
              <w:right w:val="single" w:sz="8" w:space="0" w:color="auto"/>
            </w:tcBorders>
            <w:vAlign w:val="center"/>
            <w:hideMark/>
          </w:tcPr>
          <w:p w14:paraId="6C6D63C7" w14:textId="77777777" w:rsidR="009D4A93" w:rsidRPr="00536CFD" w:rsidRDefault="009D4A93" w:rsidP="009D4A93">
            <w:pPr>
              <w:spacing w:after="0"/>
              <w:jc w:val="center"/>
              <w:rPr>
                <w:lang w:eastAsia="ko-KR"/>
              </w:rPr>
            </w:pPr>
            <w:r w:rsidRPr="00536CFD">
              <w:rPr>
                <w:lang w:eastAsia="ko-KR"/>
              </w:rPr>
              <w:t>18.513</w:t>
            </w:r>
          </w:p>
        </w:tc>
        <w:tc>
          <w:tcPr>
            <w:tcW w:w="0" w:type="auto"/>
            <w:tcBorders>
              <w:top w:val="nil"/>
              <w:left w:val="nil"/>
              <w:bottom w:val="single" w:sz="8" w:space="0" w:color="auto"/>
              <w:right w:val="single" w:sz="8" w:space="0" w:color="auto"/>
            </w:tcBorders>
            <w:vAlign w:val="center"/>
            <w:hideMark/>
          </w:tcPr>
          <w:p w14:paraId="3B99C347" w14:textId="77777777" w:rsidR="009D4A93" w:rsidRPr="00536CFD" w:rsidRDefault="009D4A93" w:rsidP="009D4A93">
            <w:pPr>
              <w:spacing w:after="0"/>
              <w:jc w:val="center"/>
              <w:rPr>
                <w:lang w:eastAsia="x-none"/>
              </w:rPr>
            </w:pPr>
            <w:r w:rsidRPr="00536CFD">
              <w:rPr>
                <w:lang w:eastAsia="ko-KR"/>
              </w:rPr>
              <w:t>0.782</w:t>
            </w:r>
          </w:p>
        </w:tc>
        <w:tc>
          <w:tcPr>
            <w:tcW w:w="0" w:type="auto"/>
            <w:tcBorders>
              <w:top w:val="nil"/>
              <w:left w:val="nil"/>
              <w:bottom w:val="single" w:sz="8" w:space="0" w:color="auto"/>
              <w:right w:val="single" w:sz="8" w:space="0" w:color="auto"/>
            </w:tcBorders>
            <w:vAlign w:val="center"/>
            <w:hideMark/>
          </w:tcPr>
          <w:p w14:paraId="14E5498C" w14:textId="77777777" w:rsidR="009D4A93" w:rsidRPr="00536CFD" w:rsidRDefault="009D4A93" w:rsidP="009D4A93">
            <w:pPr>
              <w:spacing w:after="0"/>
              <w:jc w:val="center"/>
              <w:rPr>
                <w:lang w:eastAsia="x-none"/>
              </w:rPr>
            </w:pPr>
            <w:r w:rsidRPr="00536CFD">
              <w:rPr>
                <w:lang w:eastAsia="ko-KR"/>
              </w:rPr>
              <w:t>9.628</w:t>
            </w:r>
          </w:p>
        </w:tc>
        <w:tc>
          <w:tcPr>
            <w:tcW w:w="0" w:type="auto"/>
            <w:tcBorders>
              <w:top w:val="nil"/>
              <w:left w:val="nil"/>
              <w:bottom w:val="single" w:sz="8" w:space="0" w:color="auto"/>
              <w:right w:val="single" w:sz="8" w:space="0" w:color="auto"/>
            </w:tcBorders>
            <w:vAlign w:val="center"/>
            <w:hideMark/>
          </w:tcPr>
          <w:p w14:paraId="3B432FAA" w14:textId="77777777" w:rsidR="009D4A93" w:rsidRPr="00536CFD" w:rsidRDefault="009D4A93" w:rsidP="009D4A93">
            <w:pPr>
              <w:spacing w:after="0"/>
              <w:jc w:val="center"/>
              <w:rPr>
                <w:lang w:eastAsia="ko-KR"/>
              </w:rPr>
            </w:pPr>
            <w:r w:rsidRPr="00536CFD">
              <w:rPr>
                <w:lang w:eastAsia="ko-KR"/>
              </w:rPr>
              <w:t>37.181</w:t>
            </w:r>
          </w:p>
        </w:tc>
        <w:tc>
          <w:tcPr>
            <w:tcW w:w="0" w:type="auto"/>
            <w:tcBorders>
              <w:top w:val="nil"/>
              <w:left w:val="nil"/>
              <w:bottom w:val="single" w:sz="8" w:space="0" w:color="auto"/>
              <w:right w:val="single" w:sz="8" w:space="0" w:color="auto"/>
            </w:tcBorders>
            <w:vAlign w:val="center"/>
            <w:hideMark/>
          </w:tcPr>
          <w:p w14:paraId="1B886241" w14:textId="77777777" w:rsidR="009D4A93" w:rsidRPr="00536CFD" w:rsidRDefault="009D4A93" w:rsidP="009D4A93">
            <w:pPr>
              <w:spacing w:after="0"/>
              <w:jc w:val="center"/>
              <w:rPr>
                <w:lang w:eastAsia="x-none"/>
              </w:rPr>
            </w:pPr>
            <w:r w:rsidRPr="00536CFD">
              <w:rPr>
                <w:lang w:eastAsia="ko-KR"/>
              </w:rPr>
              <w:t>1.296</w:t>
            </w:r>
          </w:p>
        </w:tc>
        <w:tc>
          <w:tcPr>
            <w:tcW w:w="0" w:type="auto"/>
            <w:tcBorders>
              <w:top w:val="nil"/>
              <w:left w:val="nil"/>
              <w:bottom w:val="single" w:sz="8" w:space="0" w:color="auto"/>
              <w:right w:val="single" w:sz="8" w:space="0" w:color="auto"/>
            </w:tcBorders>
            <w:vAlign w:val="center"/>
            <w:hideMark/>
          </w:tcPr>
          <w:p w14:paraId="5A2E14C1" w14:textId="77777777" w:rsidR="009D4A93" w:rsidRPr="00536CFD" w:rsidRDefault="009D4A93" w:rsidP="009D4A93">
            <w:pPr>
              <w:spacing w:after="0"/>
              <w:jc w:val="center"/>
              <w:rPr>
                <w:lang w:eastAsia="x-none"/>
              </w:rPr>
            </w:pPr>
            <w:r w:rsidRPr="00536CFD">
              <w:rPr>
                <w:lang w:eastAsia="ko-KR"/>
              </w:rPr>
              <w:t>9.323</w:t>
            </w:r>
          </w:p>
        </w:tc>
      </w:tr>
      <w:tr w:rsidR="009D4A93" w:rsidRPr="00536CFD" w14:paraId="5905D4CE"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6CCF98D3"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7326D534"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33CE2427" w14:textId="77777777" w:rsidR="009D4A93" w:rsidRPr="00536CFD" w:rsidRDefault="009D4A93" w:rsidP="009D4A93">
            <w:pPr>
              <w:spacing w:after="0"/>
              <w:jc w:val="center"/>
              <w:rPr>
                <w:lang w:eastAsia="zh-CN"/>
              </w:rPr>
            </w:pPr>
            <w:r w:rsidRPr="00536CFD">
              <w:t>Mean</w:t>
            </w:r>
          </w:p>
        </w:tc>
        <w:tc>
          <w:tcPr>
            <w:tcW w:w="0" w:type="auto"/>
            <w:tcBorders>
              <w:top w:val="nil"/>
              <w:left w:val="nil"/>
              <w:bottom w:val="single" w:sz="8" w:space="0" w:color="auto"/>
              <w:right w:val="single" w:sz="8" w:space="0" w:color="auto"/>
            </w:tcBorders>
            <w:hideMark/>
          </w:tcPr>
          <w:p w14:paraId="064DB42E" w14:textId="77777777" w:rsidR="009D4A93" w:rsidRPr="00536CFD" w:rsidRDefault="009D4A93" w:rsidP="009D4A93">
            <w:pPr>
              <w:spacing w:after="0"/>
              <w:jc w:val="center"/>
              <w:rPr>
                <w:lang w:eastAsia="ko-KR"/>
              </w:rPr>
            </w:pPr>
            <w:r w:rsidRPr="00536CFD">
              <w:rPr>
                <w:lang w:eastAsia="ko-KR"/>
              </w:rPr>
              <w:t>0.559</w:t>
            </w:r>
          </w:p>
        </w:tc>
        <w:tc>
          <w:tcPr>
            <w:tcW w:w="0" w:type="auto"/>
            <w:tcBorders>
              <w:top w:val="nil"/>
              <w:left w:val="nil"/>
              <w:bottom w:val="single" w:sz="8" w:space="0" w:color="auto"/>
              <w:right w:val="single" w:sz="8" w:space="0" w:color="auto"/>
            </w:tcBorders>
            <w:hideMark/>
          </w:tcPr>
          <w:p w14:paraId="6E05EB2D" w14:textId="77777777" w:rsidR="009D4A93" w:rsidRPr="00536CFD" w:rsidRDefault="009D4A93" w:rsidP="009D4A93">
            <w:pPr>
              <w:spacing w:after="0"/>
              <w:jc w:val="center"/>
              <w:rPr>
                <w:lang w:eastAsia="zh-CN"/>
              </w:rPr>
            </w:pPr>
            <w:r w:rsidRPr="00536CFD">
              <w:rPr>
                <w:lang w:eastAsia="ko-KR"/>
              </w:rPr>
              <w:t>0.211</w:t>
            </w:r>
          </w:p>
        </w:tc>
        <w:tc>
          <w:tcPr>
            <w:tcW w:w="0" w:type="auto"/>
            <w:tcBorders>
              <w:top w:val="nil"/>
              <w:left w:val="nil"/>
              <w:bottom w:val="single" w:sz="8" w:space="0" w:color="auto"/>
              <w:right w:val="single" w:sz="8" w:space="0" w:color="auto"/>
            </w:tcBorders>
            <w:hideMark/>
          </w:tcPr>
          <w:p w14:paraId="741C0C77" w14:textId="77777777" w:rsidR="009D4A93" w:rsidRPr="00536CFD" w:rsidRDefault="009D4A93" w:rsidP="009D4A93">
            <w:pPr>
              <w:spacing w:after="0"/>
              <w:jc w:val="center"/>
            </w:pPr>
            <w:r w:rsidRPr="00536CFD">
              <w:rPr>
                <w:lang w:eastAsia="ko-KR"/>
              </w:rPr>
              <w:t>2.812</w:t>
            </w:r>
          </w:p>
        </w:tc>
        <w:tc>
          <w:tcPr>
            <w:tcW w:w="0" w:type="auto"/>
            <w:tcBorders>
              <w:top w:val="nil"/>
              <w:left w:val="nil"/>
              <w:bottom w:val="single" w:sz="8" w:space="0" w:color="auto"/>
              <w:right w:val="single" w:sz="8" w:space="0" w:color="auto"/>
            </w:tcBorders>
            <w:hideMark/>
          </w:tcPr>
          <w:p w14:paraId="73171974" w14:textId="77777777" w:rsidR="009D4A93" w:rsidRPr="00536CFD" w:rsidRDefault="009D4A93" w:rsidP="009D4A93">
            <w:pPr>
              <w:spacing w:after="0"/>
              <w:jc w:val="center"/>
              <w:rPr>
                <w:lang w:eastAsia="ko-KR"/>
              </w:rPr>
            </w:pPr>
            <w:r w:rsidRPr="00536CFD">
              <w:rPr>
                <w:lang w:eastAsia="ko-KR"/>
              </w:rPr>
              <w:t>3.816</w:t>
            </w:r>
          </w:p>
        </w:tc>
        <w:tc>
          <w:tcPr>
            <w:tcW w:w="0" w:type="auto"/>
            <w:tcBorders>
              <w:top w:val="nil"/>
              <w:left w:val="nil"/>
              <w:bottom w:val="single" w:sz="8" w:space="0" w:color="auto"/>
              <w:right w:val="single" w:sz="8" w:space="0" w:color="auto"/>
            </w:tcBorders>
            <w:hideMark/>
          </w:tcPr>
          <w:p w14:paraId="58386A74" w14:textId="77777777" w:rsidR="009D4A93" w:rsidRPr="00536CFD" w:rsidRDefault="009D4A93" w:rsidP="009D4A93">
            <w:pPr>
              <w:spacing w:after="0"/>
              <w:jc w:val="center"/>
              <w:rPr>
                <w:lang w:eastAsia="zh-CN"/>
              </w:rPr>
            </w:pPr>
            <w:r w:rsidRPr="00536CFD">
              <w:rPr>
                <w:lang w:eastAsia="ko-KR"/>
              </w:rPr>
              <w:t>0.321</w:t>
            </w:r>
          </w:p>
        </w:tc>
        <w:tc>
          <w:tcPr>
            <w:tcW w:w="0" w:type="auto"/>
            <w:tcBorders>
              <w:top w:val="nil"/>
              <w:left w:val="nil"/>
              <w:bottom w:val="single" w:sz="8" w:space="0" w:color="auto"/>
              <w:right w:val="single" w:sz="8" w:space="0" w:color="auto"/>
            </w:tcBorders>
            <w:hideMark/>
          </w:tcPr>
          <w:p w14:paraId="0758D2F7" w14:textId="77777777" w:rsidR="009D4A93" w:rsidRPr="00536CFD" w:rsidRDefault="009D4A93" w:rsidP="009D4A93">
            <w:pPr>
              <w:spacing w:after="0"/>
              <w:jc w:val="center"/>
            </w:pPr>
            <w:r w:rsidRPr="00536CFD">
              <w:rPr>
                <w:lang w:eastAsia="ko-KR"/>
              </w:rPr>
              <w:t>2.866</w:t>
            </w:r>
          </w:p>
        </w:tc>
        <w:tc>
          <w:tcPr>
            <w:tcW w:w="0" w:type="auto"/>
            <w:tcBorders>
              <w:top w:val="nil"/>
              <w:left w:val="nil"/>
              <w:bottom w:val="single" w:sz="8" w:space="0" w:color="auto"/>
              <w:right w:val="single" w:sz="8" w:space="0" w:color="auto"/>
            </w:tcBorders>
            <w:hideMark/>
          </w:tcPr>
          <w:p w14:paraId="75A1F3A4" w14:textId="77777777" w:rsidR="009D4A93" w:rsidRPr="00536CFD" w:rsidRDefault="009D4A93" w:rsidP="009D4A93">
            <w:pPr>
              <w:spacing w:after="0"/>
              <w:jc w:val="center"/>
              <w:rPr>
                <w:lang w:eastAsia="ko-KR"/>
              </w:rPr>
            </w:pPr>
            <w:r w:rsidRPr="00536CFD">
              <w:rPr>
                <w:lang w:eastAsia="ko-KR"/>
              </w:rPr>
              <w:t>7.723</w:t>
            </w:r>
          </w:p>
        </w:tc>
        <w:tc>
          <w:tcPr>
            <w:tcW w:w="0" w:type="auto"/>
            <w:tcBorders>
              <w:top w:val="nil"/>
              <w:left w:val="nil"/>
              <w:bottom w:val="single" w:sz="8" w:space="0" w:color="auto"/>
              <w:right w:val="single" w:sz="8" w:space="0" w:color="auto"/>
            </w:tcBorders>
            <w:hideMark/>
          </w:tcPr>
          <w:p w14:paraId="610CD755" w14:textId="77777777" w:rsidR="009D4A93" w:rsidRPr="00536CFD" w:rsidRDefault="009D4A93" w:rsidP="009D4A93">
            <w:pPr>
              <w:spacing w:after="0"/>
              <w:jc w:val="center"/>
              <w:rPr>
                <w:lang w:eastAsia="zh-CN"/>
              </w:rPr>
            </w:pPr>
            <w:r w:rsidRPr="00536CFD">
              <w:rPr>
                <w:lang w:eastAsia="ko-KR"/>
              </w:rPr>
              <w:t>0.434</w:t>
            </w:r>
          </w:p>
        </w:tc>
        <w:tc>
          <w:tcPr>
            <w:tcW w:w="0" w:type="auto"/>
            <w:tcBorders>
              <w:top w:val="nil"/>
              <w:left w:val="nil"/>
              <w:bottom w:val="single" w:sz="8" w:space="0" w:color="auto"/>
              <w:right w:val="single" w:sz="8" w:space="0" w:color="auto"/>
            </w:tcBorders>
            <w:hideMark/>
          </w:tcPr>
          <w:p w14:paraId="44ADC25A" w14:textId="77777777" w:rsidR="009D4A93" w:rsidRPr="00536CFD" w:rsidRDefault="009D4A93" w:rsidP="009D4A93">
            <w:pPr>
              <w:spacing w:after="0"/>
              <w:jc w:val="center"/>
            </w:pPr>
            <w:r w:rsidRPr="00536CFD">
              <w:rPr>
                <w:lang w:eastAsia="ko-KR"/>
              </w:rPr>
              <w:t>3.028</w:t>
            </w:r>
          </w:p>
        </w:tc>
      </w:tr>
      <w:tr w:rsidR="009D4A93" w:rsidRPr="00536CFD" w14:paraId="38FDB5F3"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4FC1C212" w14:textId="77777777" w:rsidR="009D4A93" w:rsidRPr="00536CFD" w:rsidRDefault="009D4A93" w:rsidP="009D4A93">
            <w:pPr>
              <w:spacing w:after="0"/>
              <w:rPr>
                <w:rFonts w:eastAsiaTheme="minorEastAsia"/>
              </w:rPr>
            </w:pPr>
          </w:p>
        </w:tc>
        <w:tc>
          <w:tcPr>
            <w:tcW w:w="0" w:type="auto"/>
            <w:vMerge w:val="restart"/>
            <w:tcBorders>
              <w:top w:val="nil"/>
              <w:left w:val="nil"/>
              <w:bottom w:val="single" w:sz="8" w:space="0" w:color="auto"/>
              <w:right w:val="single" w:sz="8" w:space="0" w:color="auto"/>
            </w:tcBorders>
            <w:hideMark/>
          </w:tcPr>
          <w:p w14:paraId="573F0135" w14:textId="77777777" w:rsidR="009D4A93" w:rsidRPr="00536CFD" w:rsidRDefault="009D4A93" w:rsidP="009D4A93">
            <w:pPr>
              <w:spacing w:after="0"/>
              <w:jc w:val="center"/>
            </w:pPr>
            <w:r w:rsidRPr="00536CFD">
              <w:rPr>
                <w:b/>
                <w:bCs/>
              </w:rPr>
              <w:t>UL:</w:t>
            </w:r>
          </w:p>
          <w:p w14:paraId="271E31D6" w14:textId="77777777" w:rsidR="009D4A93" w:rsidRPr="00536CFD" w:rsidRDefault="009D4A93" w:rsidP="009D4A93">
            <w:pPr>
              <w:spacing w:after="0"/>
              <w:jc w:val="center"/>
            </w:pPr>
            <w:r w:rsidRPr="00536CFD">
              <w:t>UPT CDF</w:t>
            </w:r>
          </w:p>
          <w:p w14:paraId="4C6AA194" w14:textId="77777777" w:rsidR="009D4A93" w:rsidRPr="00536CFD" w:rsidRDefault="009D4A93" w:rsidP="009D4A93">
            <w:pPr>
              <w:spacing w:after="0"/>
              <w:jc w:val="center"/>
            </w:pPr>
            <w:r w:rsidRPr="00536CFD">
              <w:t>[Mbps]</w:t>
            </w:r>
          </w:p>
        </w:tc>
        <w:tc>
          <w:tcPr>
            <w:tcW w:w="0" w:type="auto"/>
            <w:tcBorders>
              <w:top w:val="nil"/>
              <w:left w:val="nil"/>
              <w:bottom w:val="single" w:sz="8" w:space="0" w:color="auto"/>
              <w:right w:val="single" w:sz="8" w:space="0" w:color="auto"/>
            </w:tcBorders>
            <w:hideMark/>
          </w:tcPr>
          <w:p w14:paraId="31C58581" w14:textId="77777777" w:rsidR="009D4A93" w:rsidRPr="00536CFD" w:rsidRDefault="009D4A93" w:rsidP="009D4A93">
            <w:pPr>
              <w:spacing w:after="0"/>
              <w:jc w:val="center"/>
            </w:pPr>
            <w:r w:rsidRPr="00536CFD">
              <w:t>5%</w:t>
            </w:r>
          </w:p>
        </w:tc>
        <w:tc>
          <w:tcPr>
            <w:tcW w:w="0" w:type="auto"/>
            <w:tcBorders>
              <w:top w:val="nil"/>
              <w:left w:val="nil"/>
              <w:bottom w:val="single" w:sz="8" w:space="0" w:color="auto"/>
              <w:right w:val="single" w:sz="8" w:space="0" w:color="auto"/>
            </w:tcBorders>
            <w:hideMark/>
          </w:tcPr>
          <w:p w14:paraId="019F7E6F" w14:textId="77777777" w:rsidR="009D4A93" w:rsidRPr="00536CFD" w:rsidRDefault="009D4A93" w:rsidP="009D4A93">
            <w:pPr>
              <w:spacing w:after="0"/>
              <w:jc w:val="center"/>
              <w:rPr>
                <w:lang w:eastAsia="ko-KR"/>
              </w:rPr>
            </w:pPr>
            <w:r w:rsidRPr="00536CFD">
              <w:rPr>
                <w:lang w:eastAsia="ko-KR"/>
              </w:rPr>
              <w:t>4.112</w:t>
            </w:r>
          </w:p>
        </w:tc>
        <w:tc>
          <w:tcPr>
            <w:tcW w:w="0" w:type="auto"/>
            <w:tcBorders>
              <w:top w:val="nil"/>
              <w:left w:val="nil"/>
              <w:bottom w:val="single" w:sz="8" w:space="0" w:color="auto"/>
              <w:right w:val="single" w:sz="8" w:space="0" w:color="auto"/>
            </w:tcBorders>
            <w:hideMark/>
          </w:tcPr>
          <w:p w14:paraId="5EC21042" w14:textId="77777777" w:rsidR="009D4A93" w:rsidRPr="00536CFD" w:rsidRDefault="009D4A93" w:rsidP="009D4A93">
            <w:pPr>
              <w:spacing w:after="0"/>
              <w:jc w:val="center"/>
              <w:rPr>
                <w:lang w:eastAsia="zh-CN"/>
              </w:rPr>
            </w:pPr>
            <w:r w:rsidRPr="00536CFD">
              <w:rPr>
                <w:lang w:eastAsia="ko-KR"/>
              </w:rPr>
              <w:t>15.514</w:t>
            </w:r>
          </w:p>
        </w:tc>
        <w:tc>
          <w:tcPr>
            <w:tcW w:w="0" w:type="auto"/>
            <w:tcBorders>
              <w:top w:val="nil"/>
              <w:left w:val="nil"/>
              <w:bottom w:val="single" w:sz="8" w:space="0" w:color="auto"/>
              <w:right w:val="single" w:sz="8" w:space="0" w:color="auto"/>
            </w:tcBorders>
            <w:hideMark/>
          </w:tcPr>
          <w:p w14:paraId="55F6AD10" w14:textId="77777777" w:rsidR="009D4A93" w:rsidRPr="00536CFD" w:rsidRDefault="009D4A93" w:rsidP="009D4A93">
            <w:pPr>
              <w:spacing w:after="0"/>
              <w:jc w:val="center"/>
            </w:pPr>
            <w:r w:rsidRPr="00536CFD">
              <w:rPr>
                <w:lang w:eastAsia="ko-KR"/>
              </w:rPr>
              <w:t>0.224</w:t>
            </w:r>
          </w:p>
        </w:tc>
        <w:tc>
          <w:tcPr>
            <w:tcW w:w="0" w:type="auto"/>
            <w:tcBorders>
              <w:top w:val="nil"/>
              <w:left w:val="nil"/>
              <w:bottom w:val="single" w:sz="8" w:space="0" w:color="auto"/>
              <w:right w:val="single" w:sz="8" w:space="0" w:color="auto"/>
            </w:tcBorders>
            <w:hideMark/>
          </w:tcPr>
          <w:p w14:paraId="735A1221" w14:textId="77777777" w:rsidR="009D4A93" w:rsidRPr="00536CFD" w:rsidRDefault="009D4A93" w:rsidP="009D4A93">
            <w:pPr>
              <w:spacing w:after="0"/>
              <w:jc w:val="center"/>
              <w:rPr>
                <w:lang w:eastAsia="ko-KR"/>
              </w:rPr>
            </w:pPr>
            <w:r w:rsidRPr="00536CFD">
              <w:rPr>
                <w:lang w:eastAsia="ko-KR"/>
              </w:rPr>
              <w:t>0.057</w:t>
            </w:r>
          </w:p>
        </w:tc>
        <w:tc>
          <w:tcPr>
            <w:tcW w:w="0" w:type="auto"/>
            <w:tcBorders>
              <w:top w:val="nil"/>
              <w:left w:val="nil"/>
              <w:bottom w:val="single" w:sz="8" w:space="0" w:color="auto"/>
              <w:right w:val="single" w:sz="8" w:space="0" w:color="auto"/>
            </w:tcBorders>
            <w:hideMark/>
          </w:tcPr>
          <w:p w14:paraId="61767B97" w14:textId="77777777" w:rsidR="009D4A93" w:rsidRPr="00536CFD" w:rsidRDefault="009D4A93" w:rsidP="009D4A93">
            <w:pPr>
              <w:spacing w:after="0"/>
              <w:jc w:val="center"/>
              <w:rPr>
                <w:lang w:eastAsia="zh-CN"/>
              </w:rPr>
            </w:pPr>
            <w:r w:rsidRPr="00536CFD">
              <w:rPr>
                <w:lang w:eastAsia="ko-KR"/>
              </w:rPr>
              <w:t>10.791</w:t>
            </w:r>
          </w:p>
        </w:tc>
        <w:tc>
          <w:tcPr>
            <w:tcW w:w="0" w:type="auto"/>
            <w:tcBorders>
              <w:top w:val="nil"/>
              <w:left w:val="nil"/>
              <w:bottom w:val="single" w:sz="8" w:space="0" w:color="auto"/>
              <w:right w:val="single" w:sz="8" w:space="0" w:color="auto"/>
            </w:tcBorders>
            <w:hideMark/>
          </w:tcPr>
          <w:p w14:paraId="19703696" w14:textId="77777777" w:rsidR="009D4A93" w:rsidRPr="00536CFD" w:rsidRDefault="009D4A93" w:rsidP="009D4A93">
            <w:pPr>
              <w:spacing w:after="0"/>
              <w:jc w:val="center"/>
            </w:pPr>
            <w:r w:rsidRPr="00536CFD">
              <w:rPr>
                <w:lang w:eastAsia="ko-KR"/>
              </w:rPr>
              <w:t>0.787</w:t>
            </w:r>
          </w:p>
        </w:tc>
        <w:tc>
          <w:tcPr>
            <w:tcW w:w="0" w:type="auto"/>
            <w:tcBorders>
              <w:top w:val="nil"/>
              <w:left w:val="nil"/>
              <w:bottom w:val="single" w:sz="8" w:space="0" w:color="auto"/>
              <w:right w:val="single" w:sz="8" w:space="0" w:color="auto"/>
            </w:tcBorders>
            <w:hideMark/>
          </w:tcPr>
          <w:p w14:paraId="00EACD19" w14:textId="77777777" w:rsidR="009D4A93" w:rsidRPr="00536CFD" w:rsidRDefault="009D4A93" w:rsidP="009D4A93">
            <w:pPr>
              <w:spacing w:after="0"/>
              <w:jc w:val="center"/>
              <w:rPr>
                <w:lang w:eastAsia="ko-KR"/>
              </w:rPr>
            </w:pPr>
            <w:r w:rsidRPr="00536CFD">
              <w:rPr>
                <w:lang w:eastAsia="ko-KR"/>
              </w:rPr>
              <w:t>0.003</w:t>
            </w:r>
          </w:p>
        </w:tc>
        <w:tc>
          <w:tcPr>
            <w:tcW w:w="0" w:type="auto"/>
            <w:tcBorders>
              <w:top w:val="nil"/>
              <w:left w:val="nil"/>
              <w:bottom w:val="single" w:sz="8" w:space="0" w:color="auto"/>
              <w:right w:val="single" w:sz="8" w:space="0" w:color="auto"/>
            </w:tcBorders>
            <w:hideMark/>
          </w:tcPr>
          <w:p w14:paraId="4ACAD8D3" w14:textId="77777777" w:rsidR="009D4A93" w:rsidRPr="00536CFD" w:rsidRDefault="009D4A93" w:rsidP="009D4A93">
            <w:pPr>
              <w:spacing w:after="0"/>
              <w:jc w:val="center"/>
              <w:rPr>
                <w:lang w:eastAsia="zh-CN"/>
              </w:rPr>
            </w:pPr>
            <w:r w:rsidRPr="00536CFD">
              <w:rPr>
                <w:lang w:eastAsia="ko-KR"/>
              </w:rPr>
              <w:t>4.825</w:t>
            </w:r>
          </w:p>
        </w:tc>
        <w:tc>
          <w:tcPr>
            <w:tcW w:w="0" w:type="auto"/>
            <w:tcBorders>
              <w:top w:val="nil"/>
              <w:left w:val="nil"/>
              <w:bottom w:val="single" w:sz="8" w:space="0" w:color="auto"/>
              <w:right w:val="single" w:sz="8" w:space="0" w:color="auto"/>
            </w:tcBorders>
            <w:hideMark/>
          </w:tcPr>
          <w:p w14:paraId="62ECFEF4" w14:textId="77777777" w:rsidR="009D4A93" w:rsidRPr="00536CFD" w:rsidRDefault="009D4A93" w:rsidP="009D4A93">
            <w:pPr>
              <w:spacing w:after="0"/>
              <w:jc w:val="center"/>
            </w:pPr>
            <w:r w:rsidRPr="00536CFD">
              <w:rPr>
                <w:lang w:eastAsia="ko-KR"/>
              </w:rPr>
              <w:t>0.027</w:t>
            </w:r>
          </w:p>
        </w:tc>
      </w:tr>
      <w:tr w:rsidR="009D4A93" w:rsidRPr="00536CFD" w14:paraId="21D2E772"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783A06E9"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65281E77"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4F25A4F4" w14:textId="77777777" w:rsidR="009D4A93" w:rsidRPr="00536CFD" w:rsidRDefault="009D4A93" w:rsidP="009D4A93">
            <w:pPr>
              <w:spacing w:after="0"/>
              <w:jc w:val="center"/>
            </w:pPr>
            <w:r w:rsidRPr="00536CFD">
              <w:t>50%</w:t>
            </w:r>
          </w:p>
        </w:tc>
        <w:tc>
          <w:tcPr>
            <w:tcW w:w="0" w:type="auto"/>
            <w:tcBorders>
              <w:top w:val="nil"/>
              <w:left w:val="nil"/>
              <w:bottom w:val="single" w:sz="8" w:space="0" w:color="auto"/>
              <w:right w:val="single" w:sz="8" w:space="0" w:color="auto"/>
            </w:tcBorders>
            <w:hideMark/>
          </w:tcPr>
          <w:p w14:paraId="723609CB" w14:textId="77777777" w:rsidR="009D4A93" w:rsidRPr="00536CFD" w:rsidRDefault="009D4A93" w:rsidP="009D4A93">
            <w:pPr>
              <w:spacing w:after="0"/>
              <w:jc w:val="center"/>
              <w:rPr>
                <w:lang w:eastAsia="ko-KR"/>
              </w:rPr>
            </w:pPr>
            <w:r w:rsidRPr="00536CFD">
              <w:rPr>
                <w:lang w:eastAsia="ko-KR"/>
              </w:rPr>
              <w:t>45.472</w:t>
            </w:r>
          </w:p>
        </w:tc>
        <w:tc>
          <w:tcPr>
            <w:tcW w:w="0" w:type="auto"/>
            <w:tcBorders>
              <w:top w:val="nil"/>
              <w:left w:val="nil"/>
              <w:bottom w:val="single" w:sz="8" w:space="0" w:color="auto"/>
              <w:right w:val="single" w:sz="8" w:space="0" w:color="auto"/>
            </w:tcBorders>
            <w:hideMark/>
          </w:tcPr>
          <w:p w14:paraId="1E2292D4" w14:textId="77777777" w:rsidR="009D4A93" w:rsidRPr="00536CFD" w:rsidRDefault="009D4A93" w:rsidP="009D4A93">
            <w:pPr>
              <w:spacing w:after="0"/>
              <w:jc w:val="center"/>
              <w:rPr>
                <w:lang w:eastAsia="zh-CN"/>
              </w:rPr>
            </w:pPr>
            <w:r w:rsidRPr="00536CFD">
              <w:rPr>
                <w:lang w:eastAsia="ko-KR"/>
              </w:rPr>
              <w:t>49.085</w:t>
            </w:r>
          </w:p>
        </w:tc>
        <w:tc>
          <w:tcPr>
            <w:tcW w:w="0" w:type="auto"/>
            <w:tcBorders>
              <w:top w:val="nil"/>
              <w:left w:val="nil"/>
              <w:bottom w:val="single" w:sz="8" w:space="0" w:color="auto"/>
              <w:right w:val="single" w:sz="8" w:space="0" w:color="auto"/>
            </w:tcBorders>
            <w:hideMark/>
          </w:tcPr>
          <w:p w14:paraId="2F67A004" w14:textId="77777777" w:rsidR="009D4A93" w:rsidRPr="00536CFD" w:rsidRDefault="009D4A93" w:rsidP="009D4A93">
            <w:pPr>
              <w:spacing w:after="0"/>
              <w:jc w:val="center"/>
            </w:pPr>
            <w:r w:rsidRPr="00536CFD">
              <w:rPr>
                <w:lang w:eastAsia="ko-KR"/>
              </w:rPr>
              <w:t>40.040</w:t>
            </w:r>
          </w:p>
        </w:tc>
        <w:tc>
          <w:tcPr>
            <w:tcW w:w="0" w:type="auto"/>
            <w:tcBorders>
              <w:top w:val="nil"/>
              <w:left w:val="nil"/>
              <w:bottom w:val="single" w:sz="8" w:space="0" w:color="auto"/>
              <w:right w:val="single" w:sz="8" w:space="0" w:color="auto"/>
            </w:tcBorders>
            <w:hideMark/>
          </w:tcPr>
          <w:p w14:paraId="35727A7E" w14:textId="77777777" w:rsidR="009D4A93" w:rsidRPr="00536CFD" w:rsidRDefault="009D4A93" w:rsidP="009D4A93">
            <w:pPr>
              <w:spacing w:after="0"/>
              <w:jc w:val="center"/>
              <w:rPr>
                <w:lang w:eastAsia="ko-KR"/>
              </w:rPr>
            </w:pPr>
            <w:r w:rsidRPr="00536CFD">
              <w:rPr>
                <w:lang w:eastAsia="ko-KR"/>
              </w:rPr>
              <w:t>31.349</w:t>
            </w:r>
          </w:p>
        </w:tc>
        <w:tc>
          <w:tcPr>
            <w:tcW w:w="0" w:type="auto"/>
            <w:tcBorders>
              <w:top w:val="nil"/>
              <w:left w:val="nil"/>
              <w:bottom w:val="single" w:sz="8" w:space="0" w:color="auto"/>
              <w:right w:val="single" w:sz="8" w:space="0" w:color="auto"/>
            </w:tcBorders>
            <w:hideMark/>
          </w:tcPr>
          <w:p w14:paraId="03D200BB" w14:textId="77777777" w:rsidR="009D4A93" w:rsidRPr="00536CFD" w:rsidRDefault="009D4A93" w:rsidP="009D4A93">
            <w:pPr>
              <w:spacing w:after="0"/>
              <w:jc w:val="center"/>
              <w:rPr>
                <w:lang w:eastAsia="zh-CN"/>
              </w:rPr>
            </w:pPr>
            <w:r w:rsidRPr="00536CFD">
              <w:rPr>
                <w:lang w:eastAsia="ko-KR"/>
              </w:rPr>
              <w:t>44.644</w:t>
            </w:r>
          </w:p>
        </w:tc>
        <w:tc>
          <w:tcPr>
            <w:tcW w:w="0" w:type="auto"/>
            <w:tcBorders>
              <w:top w:val="nil"/>
              <w:left w:val="nil"/>
              <w:bottom w:val="single" w:sz="8" w:space="0" w:color="auto"/>
              <w:right w:val="single" w:sz="8" w:space="0" w:color="auto"/>
            </w:tcBorders>
            <w:hideMark/>
          </w:tcPr>
          <w:p w14:paraId="2A72A7F4" w14:textId="77777777" w:rsidR="009D4A93" w:rsidRPr="00536CFD" w:rsidRDefault="009D4A93" w:rsidP="009D4A93">
            <w:pPr>
              <w:spacing w:after="0"/>
              <w:jc w:val="center"/>
            </w:pPr>
            <w:r w:rsidRPr="00536CFD">
              <w:rPr>
                <w:lang w:eastAsia="ko-KR"/>
              </w:rPr>
              <w:t>32.840</w:t>
            </w:r>
          </w:p>
        </w:tc>
        <w:tc>
          <w:tcPr>
            <w:tcW w:w="0" w:type="auto"/>
            <w:tcBorders>
              <w:top w:val="nil"/>
              <w:left w:val="nil"/>
              <w:bottom w:val="single" w:sz="8" w:space="0" w:color="auto"/>
              <w:right w:val="single" w:sz="8" w:space="0" w:color="auto"/>
            </w:tcBorders>
            <w:hideMark/>
          </w:tcPr>
          <w:p w14:paraId="0BA200F4" w14:textId="77777777" w:rsidR="009D4A93" w:rsidRPr="00536CFD" w:rsidRDefault="009D4A93" w:rsidP="009D4A93">
            <w:pPr>
              <w:spacing w:after="0"/>
              <w:jc w:val="center"/>
              <w:rPr>
                <w:lang w:eastAsia="ko-KR"/>
              </w:rPr>
            </w:pPr>
            <w:r w:rsidRPr="00536CFD">
              <w:rPr>
                <w:lang w:eastAsia="ko-KR"/>
              </w:rPr>
              <w:t>13.472</w:t>
            </w:r>
          </w:p>
        </w:tc>
        <w:tc>
          <w:tcPr>
            <w:tcW w:w="0" w:type="auto"/>
            <w:tcBorders>
              <w:top w:val="nil"/>
              <w:left w:val="nil"/>
              <w:bottom w:val="single" w:sz="8" w:space="0" w:color="auto"/>
              <w:right w:val="single" w:sz="8" w:space="0" w:color="auto"/>
            </w:tcBorders>
            <w:hideMark/>
          </w:tcPr>
          <w:p w14:paraId="610B44CA" w14:textId="77777777" w:rsidR="009D4A93" w:rsidRPr="00536CFD" w:rsidRDefault="009D4A93" w:rsidP="009D4A93">
            <w:pPr>
              <w:spacing w:after="0"/>
              <w:jc w:val="center"/>
              <w:rPr>
                <w:lang w:eastAsia="zh-CN"/>
              </w:rPr>
            </w:pPr>
            <w:r w:rsidRPr="00536CFD">
              <w:rPr>
                <w:lang w:eastAsia="ko-KR"/>
              </w:rPr>
              <w:t>40.906</w:t>
            </w:r>
          </w:p>
        </w:tc>
        <w:tc>
          <w:tcPr>
            <w:tcW w:w="0" w:type="auto"/>
            <w:tcBorders>
              <w:top w:val="nil"/>
              <w:left w:val="nil"/>
              <w:bottom w:val="single" w:sz="8" w:space="0" w:color="auto"/>
              <w:right w:val="single" w:sz="8" w:space="0" w:color="auto"/>
            </w:tcBorders>
            <w:hideMark/>
          </w:tcPr>
          <w:p w14:paraId="085AE369" w14:textId="77777777" w:rsidR="009D4A93" w:rsidRPr="00536CFD" w:rsidRDefault="009D4A93" w:rsidP="009D4A93">
            <w:pPr>
              <w:spacing w:after="0"/>
              <w:jc w:val="center"/>
            </w:pPr>
            <w:r w:rsidRPr="00536CFD">
              <w:rPr>
                <w:lang w:eastAsia="ko-KR"/>
              </w:rPr>
              <w:t>24.945</w:t>
            </w:r>
          </w:p>
        </w:tc>
      </w:tr>
      <w:tr w:rsidR="009D4A93" w:rsidRPr="00536CFD" w14:paraId="03822522"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3305D203"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01568F84"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70CC66EF" w14:textId="77777777" w:rsidR="009D4A93" w:rsidRPr="00536CFD" w:rsidRDefault="009D4A93" w:rsidP="009D4A93">
            <w:pPr>
              <w:spacing w:after="0"/>
              <w:jc w:val="center"/>
            </w:pPr>
            <w:r w:rsidRPr="00536CFD">
              <w:t>95%</w:t>
            </w:r>
          </w:p>
        </w:tc>
        <w:tc>
          <w:tcPr>
            <w:tcW w:w="0" w:type="auto"/>
            <w:tcBorders>
              <w:top w:val="nil"/>
              <w:left w:val="nil"/>
              <w:bottom w:val="single" w:sz="8" w:space="0" w:color="auto"/>
              <w:right w:val="single" w:sz="8" w:space="0" w:color="auto"/>
            </w:tcBorders>
            <w:hideMark/>
          </w:tcPr>
          <w:p w14:paraId="6C95D090" w14:textId="77777777" w:rsidR="009D4A93" w:rsidRPr="00536CFD" w:rsidRDefault="009D4A93" w:rsidP="009D4A93">
            <w:pPr>
              <w:spacing w:after="0"/>
              <w:jc w:val="center"/>
              <w:rPr>
                <w:lang w:eastAsia="ko-KR"/>
              </w:rPr>
            </w:pPr>
            <w:r w:rsidRPr="00536CFD">
              <w:rPr>
                <w:lang w:eastAsia="ko-KR"/>
              </w:rPr>
              <w:t>60.703</w:t>
            </w:r>
          </w:p>
        </w:tc>
        <w:tc>
          <w:tcPr>
            <w:tcW w:w="0" w:type="auto"/>
            <w:tcBorders>
              <w:top w:val="nil"/>
              <w:left w:val="nil"/>
              <w:bottom w:val="single" w:sz="8" w:space="0" w:color="auto"/>
              <w:right w:val="single" w:sz="8" w:space="0" w:color="auto"/>
            </w:tcBorders>
            <w:hideMark/>
          </w:tcPr>
          <w:p w14:paraId="4A6F25B7" w14:textId="77777777" w:rsidR="009D4A93" w:rsidRPr="00536CFD" w:rsidRDefault="009D4A93" w:rsidP="009D4A93">
            <w:pPr>
              <w:spacing w:after="0"/>
              <w:jc w:val="center"/>
              <w:rPr>
                <w:lang w:eastAsia="zh-CN"/>
              </w:rPr>
            </w:pPr>
            <w:r w:rsidRPr="00536CFD">
              <w:rPr>
                <w:lang w:eastAsia="ko-KR"/>
              </w:rPr>
              <w:t>61.251</w:t>
            </w:r>
          </w:p>
        </w:tc>
        <w:tc>
          <w:tcPr>
            <w:tcW w:w="0" w:type="auto"/>
            <w:tcBorders>
              <w:top w:val="nil"/>
              <w:left w:val="nil"/>
              <w:bottom w:val="single" w:sz="8" w:space="0" w:color="auto"/>
              <w:right w:val="single" w:sz="8" w:space="0" w:color="auto"/>
            </w:tcBorders>
            <w:hideMark/>
          </w:tcPr>
          <w:p w14:paraId="2506ABA2" w14:textId="77777777" w:rsidR="009D4A93" w:rsidRPr="00536CFD" w:rsidRDefault="009D4A93" w:rsidP="009D4A93">
            <w:pPr>
              <w:spacing w:after="0"/>
              <w:jc w:val="center"/>
            </w:pPr>
            <w:r w:rsidRPr="00536CFD">
              <w:rPr>
                <w:lang w:eastAsia="ko-KR"/>
              </w:rPr>
              <w:t>57.964</w:t>
            </w:r>
          </w:p>
        </w:tc>
        <w:tc>
          <w:tcPr>
            <w:tcW w:w="0" w:type="auto"/>
            <w:tcBorders>
              <w:top w:val="nil"/>
              <w:left w:val="nil"/>
              <w:bottom w:val="single" w:sz="8" w:space="0" w:color="auto"/>
              <w:right w:val="single" w:sz="8" w:space="0" w:color="auto"/>
            </w:tcBorders>
            <w:hideMark/>
          </w:tcPr>
          <w:p w14:paraId="0BF32AA4" w14:textId="77777777" w:rsidR="009D4A93" w:rsidRPr="00536CFD" w:rsidRDefault="009D4A93" w:rsidP="009D4A93">
            <w:pPr>
              <w:spacing w:after="0"/>
              <w:jc w:val="center"/>
              <w:rPr>
                <w:lang w:eastAsia="ko-KR"/>
              </w:rPr>
            </w:pPr>
            <w:r w:rsidRPr="00536CFD">
              <w:rPr>
                <w:lang w:eastAsia="ko-KR"/>
              </w:rPr>
              <w:t>55.631</w:t>
            </w:r>
          </w:p>
        </w:tc>
        <w:tc>
          <w:tcPr>
            <w:tcW w:w="0" w:type="auto"/>
            <w:tcBorders>
              <w:top w:val="nil"/>
              <w:left w:val="nil"/>
              <w:bottom w:val="single" w:sz="8" w:space="0" w:color="auto"/>
              <w:right w:val="single" w:sz="8" w:space="0" w:color="auto"/>
            </w:tcBorders>
            <w:hideMark/>
          </w:tcPr>
          <w:p w14:paraId="0AB77F51" w14:textId="77777777" w:rsidR="009D4A93" w:rsidRPr="00536CFD" w:rsidRDefault="009D4A93" w:rsidP="009D4A93">
            <w:pPr>
              <w:spacing w:after="0"/>
              <w:jc w:val="center"/>
              <w:rPr>
                <w:lang w:eastAsia="zh-CN"/>
              </w:rPr>
            </w:pPr>
            <w:r w:rsidRPr="00536CFD">
              <w:rPr>
                <w:lang w:eastAsia="ko-KR"/>
              </w:rPr>
              <w:t>59.234</w:t>
            </w:r>
          </w:p>
        </w:tc>
        <w:tc>
          <w:tcPr>
            <w:tcW w:w="0" w:type="auto"/>
            <w:tcBorders>
              <w:top w:val="nil"/>
              <w:left w:val="nil"/>
              <w:bottom w:val="single" w:sz="8" w:space="0" w:color="auto"/>
              <w:right w:val="single" w:sz="8" w:space="0" w:color="auto"/>
            </w:tcBorders>
            <w:hideMark/>
          </w:tcPr>
          <w:p w14:paraId="3C9C0092" w14:textId="77777777" w:rsidR="009D4A93" w:rsidRPr="00536CFD" w:rsidRDefault="009D4A93" w:rsidP="009D4A93">
            <w:pPr>
              <w:spacing w:after="0"/>
              <w:jc w:val="center"/>
            </w:pPr>
            <w:r w:rsidRPr="00536CFD">
              <w:rPr>
                <w:lang w:eastAsia="ko-KR"/>
              </w:rPr>
              <w:t>54.085</w:t>
            </w:r>
          </w:p>
        </w:tc>
        <w:tc>
          <w:tcPr>
            <w:tcW w:w="0" w:type="auto"/>
            <w:tcBorders>
              <w:top w:val="nil"/>
              <w:left w:val="nil"/>
              <w:bottom w:val="single" w:sz="8" w:space="0" w:color="auto"/>
              <w:right w:val="single" w:sz="8" w:space="0" w:color="auto"/>
            </w:tcBorders>
            <w:hideMark/>
          </w:tcPr>
          <w:p w14:paraId="47CEB914" w14:textId="77777777" w:rsidR="009D4A93" w:rsidRPr="00536CFD" w:rsidRDefault="009D4A93" w:rsidP="009D4A93">
            <w:pPr>
              <w:spacing w:after="0"/>
              <w:jc w:val="center"/>
              <w:rPr>
                <w:lang w:eastAsia="ko-KR"/>
              </w:rPr>
            </w:pPr>
            <w:r w:rsidRPr="00536CFD">
              <w:rPr>
                <w:lang w:eastAsia="ko-KR"/>
              </w:rPr>
              <w:t>49.442</w:t>
            </w:r>
          </w:p>
        </w:tc>
        <w:tc>
          <w:tcPr>
            <w:tcW w:w="0" w:type="auto"/>
            <w:tcBorders>
              <w:top w:val="nil"/>
              <w:left w:val="nil"/>
              <w:bottom w:val="single" w:sz="8" w:space="0" w:color="auto"/>
              <w:right w:val="single" w:sz="8" w:space="0" w:color="auto"/>
            </w:tcBorders>
            <w:hideMark/>
          </w:tcPr>
          <w:p w14:paraId="609F1E83" w14:textId="77777777" w:rsidR="009D4A93" w:rsidRPr="00536CFD" w:rsidRDefault="009D4A93" w:rsidP="009D4A93">
            <w:pPr>
              <w:spacing w:after="0"/>
              <w:jc w:val="center"/>
              <w:rPr>
                <w:lang w:eastAsia="zh-CN"/>
              </w:rPr>
            </w:pPr>
            <w:r w:rsidRPr="00536CFD">
              <w:rPr>
                <w:lang w:eastAsia="ko-KR"/>
              </w:rPr>
              <w:t>57.907</w:t>
            </w:r>
          </w:p>
        </w:tc>
        <w:tc>
          <w:tcPr>
            <w:tcW w:w="0" w:type="auto"/>
            <w:tcBorders>
              <w:top w:val="nil"/>
              <w:left w:val="nil"/>
              <w:bottom w:val="single" w:sz="8" w:space="0" w:color="auto"/>
              <w:right w:val="single" w:sz="8" w:space="0" w:color="auto"/>
            </w:tcBorders>
            <w:hideMark/>
          </w:tcPr>
          <w:p w14:paraId="53627728" w14:textId="77777777" w:rsidR="009D4A93" w:rsidRPr="00536CFD" w:rsidRDefault="009D4A93" w:rsidP="009D4A93">
            <w:pPr>
              <w:spacing w:after="0"/>
              <w:jc w:val="center"/>
            </w:pPr>
            <w:r w:rsidRPr="00536CFD">
              <w:rPr>
                <w:lang w:eastAsia="ko-KR"/>
              </w:rPr>
              <w:t>50.253</w:t>
            </w:r>
          </w:p>
        </w:tc>
      </w:tr>
      <w:tr w:rsidR="009D4A93" w:rsidRPr="00536CFD" w14:paraId="7CA44F83"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32D73689"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0553ED8E"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7FCD1482" w14:textId="77777777" w:rsidR="009D4A93" w:rsidRPr="00536CFD" w:rsidRDefault="009D4A93" w:rsidP="009D4A93">
            <w:pPr>
              <w:spacing w:after="0"/>
              <w:jc w:val="center"/>
            </w:pPr>
            <w:r w:rsidRPr="00536CFD">
              <w:t>Mean</w:t>
            </w:r>
          </w:p>
        </w:tc>
        <w:tc>
          <w:tcPr>
            <w:tcW w:w="0" w:type="auto"/>
            <w:tcBorders>
              <w:top w:val="nil"/>
              <w:left w:val="nil"/>
              <w:bottom w:val="single" w:sz="8" w:space="0" w:color="auto"/>
              <w:right w:val="single" w:sz="8" w:space="0" w:color="auto"/>
            </w:tcBorders>
            <w:hideMark/>
          </w:tcPr>
          <w:p w14:paraId="7998BAB5" w14:textId="77777777" w:rsidR="009D4A93" w:rsidRPr="00536CFD" w:rsidRDefault="009D4A93" w:rsidP="009D4A93">
            <w:pPr>
              <w:spacing w:after="0"/>
              <w:jc w:val="center"/>
              <w:rPr>
                <w:lang w:eastAsia="ko-KR"/>
              </w:rPr>
            </w:pPr>
            <w:r w:rsidRPr="00536CFD">
              <w:rPr>
                <w:lang w:eastAsia="ko-KR"/>
              </w:rPr>
              <w:t>41.35</w:t>
            </w:r>
          </w:p>
        </w:tc>
        <w:tc>
          <w:tcPr>
            <w:tcW w:w="0" w:type="auto"/>
            <w:tcBorders>
              <w:top w:val="nil"/>
              <w:left w:val="nil"/>
              <w:bottom w:val="single" w:sz="8" w:space="0" w:color="auto"/>
              <w:right w:val="single" w:sz="8" w:space="0" w:color="auto"/>
            </w:tcBorders>
            <w:hideMark/>
          </w:tcPr>
          <w:p w14:paraId="733F98C7" w14:textId="77777777" w:rsidR="009D4A93" w:rsidRPr="00536CFD" w:rsidRDefault="009D4A93" w:rsidP="009D4A93">
            <w:pPr>
              <w:spacing w:after="0"/>
              <w:jc w:val="center"/>
              <w:rPr>
                <w:lang w:eastAsia="zh-CN"/>
              </w:rPr>
            </w:pPr>
            <w:r w:rsidRPr="00536CFD">
              <w:rPr>
                <w:lang w:eastAsia="ko-KR"/>
              </w:rPr>
              <w:t>46.203</w:t>
            </w:r>
          </w:p>
        </w:tc>
        <w:tc>
          <w:tcPr>
            <w:tcW w:w="0" w:type="auto"/>
            <w:tcBorders>
              <w:top w:val="nil"/>
              <w:left w:val="nil"/>
              <w:bottom w:val="single" w:sz="8" w:space="0" w:color="auto"/>
              <w:right w:val="single" w:sz="8" w:space="0" w:color="auto"/>
            </w:tcBorders>
            <w:hideMark/>
          </w:tcPr>
          <w:p w14:paraId="69D50134" w14:textId="77777777" w:rsidR="009D4A93" w:rsidRPr="00536CFD" w:rsidRDefault="009D4A93" w:rsidP="009D4A93">
            <w:pPr>
              <w:spacing w:after="0"/>
              <w:jc w:val="center"/>
            </w:pPr>
            <w:r w:rsidRPr="00536CFD">
              <w:rPr>
                <w:lang w:eastAsia="ko-KR"/>
              </w:rPr>
              <w:t>35.636</w:t>
            </w:r>
          </w:p>
        </w:tc>
        <w:tc>
          <w:tcPr>
            <w:tcW w:w="0" w:type="auto"/>
            <w:tcBorders>
              <w:top w:val="nil"/>
              <w:left w:val="nil"/>
              <w:bottom w:val="single" w:sz="8" w:space="0" w:color="auto"/>
              <w:right w:val="single" w:sz="8" w:space="0" w:color="auto"/>
            </w:tcBorders>
            <w:hideMark/>
          </w:tcPr>
          <w:p w14:paraId="2B9C0BEC" w14:textId="77777777" w:rsidR="009D4A93" w:rsidRPr="00536CFD" w:rsidRDefault="009D4A93" w:rsidP="009D4A93">
            <w:pPr>
              <w:spacing w:after="0"/>
              <w:jc w:val="center"/>
              <w:rPr>
                <w:lang w:eastAsia="ko-KR"/>
              </w:rPr>
            </w:pPr>
            <w:r w:rsidRPr="00536CFD">
              <w:rPr>
                <w:lang w:eastAsia="ko-KR"/>
              </w:rPr>
              <w:t>29.192</w:t>
            </w:r>
          </w:p>
        </w:tc>
        <w:tc>
          <w:tcPr>
            <w:tcW w:w="0" w:type="auto"/>
            <w:tcBorders>
              <w:top w:val="nil"/>
              <w:left w:val="nil"/>
              <w:bottom w:val="single" w:sz="8" w:space="0" w:color="auto"/>
              <w:right w:val="single" w:sz="8" w:space="0" w:color="auto"/>
            </w:tcBorders>
            <w:hideMark/>
          </w:tcPr>
          <w:p w14:paraId="1C822305" w14:textId="77777777" w:rsidR="009D4A93" w:rsidRPr="00536CFD" w:rsidRDefault="009D4A93" w:rsidP="009D4A93">
            <w:pPr>
              <w:spacing w:after="0"/>
              <w:jc w:val="center"/>
              <w:rPr>
                <w:lang w:eastAsia="zh-CN"/>
              </w:rPr>
            </w:pPr>
            <w:r w:rsidRPr="00536CFD">
              <w:rPr>
                <w:lang w:eastAsia="ko-KR"/>
              </w:rPr>
              <w:t>41.656</w:t>
            </w:r>
          </w:p>
        </w:tc>
        <w:tc>
          <w:tcPr>
            <w:tcW w:w="0" w:type="auto"/>
            <w:tcBorders>
              <w:top w:val="nil"/>
              <w:left w:val="nil"/>
              <w:bottom w:val="single" w:sz="8" w:space="0" w:color="auto"/>
              <w:right w:val="single" w:sz="8" w:space="0" w:color="auto"/>
            </w:tcBorders>
            <w:hideMark/>
          </w:tcPr>
          <w:p w14:paraId="478638D4" w14:textId="77777777" w:rsidR="009D4A93" w:rsidRPr="00536CFD" w:rsidRDefault="009D4A93" w:rsidP="009D4A93">
            <w:pPr>
              <w:spacing w:after="0"/>
              <w:jc w:val="center"/>
            </w:pPr>
            <w:r w:rsidRPr="00536CFD">
              <w:rPr>
                <w:lang w:eastAsia="ko-KR"/>
              </w:rPr>
              <w:t>29.668</w:t>
            </w:r>
          </w:p>
        </w:tc>
        <w:tc>
          <w:tcPr>
            <w:tcW w:w="0" w:type="auto"/>
            <w:tcBorders>
              <w:top w:val="nil"/>
              <w:left w:val="nil"/>
              <w:bottom w:val="single" w:sz="8" w:space="0" w:color="auto"/>
              <w:right w:val="single" w:sz="8" w:space="0" w:color="auto"/>
            </w:tcBorders>
            <w:hideMark/>
          </w:tcPr>
          <w:p w14:paraId="033EF7D5" w14:textId="77777777" w:rsidR="009D4A93" w:rsidRPr="00536CFD" w:rsidRDefault="009D4A93" w:rsidP="009D4A93">
            <w:pPr>
              <w:spacing w:after="0"/>
              <w:jc w:val="center"/>
              <w:rPr>
                <w:lang w:eastAsia="ko-KR"/>
              </w:rPr>
            </w:pPr>
            <w:r w:rsidRPr="00536CFD">
              <w:rPr>
                <w:lang w:eastAsia="ko-KR"/>
              </w:rPr>
              <w:t>18.145</w:t>
            </w:r>
          </w:p>
        </w:tc>
        <w:tc>
          <w:tcPr>
            <w:tcW w:w="0" w:type="auto"/>
            <w:tcBorders>
              <w:top w:val="nil"/>
              <w:left w:val="nil"/>
              <w:bottom w:val="single" w:sz="8" w:space="0" w:color="auto"/>
              <w:right w:val="single" w:sz="8" w:space="0" w:color="auto"/>
            </w:tcBorders>
            <w:hideMark/>
          </w:tcPr>
          <w:p w14:paraId="21B65F8D" w14:textId="77777777" w:rsidR="009D4A93" w:rsidRPr="00536CFD" w:rsidRDefault="009D4A93" w:rsidP="009D4A93">
            <w:pPr>
              <w:spacing w:after="0"/>
              <w:jc w:val="center"/>
              <w:rPr>
                <w:lang w:eastAsia="zh-CN"/>
              </w:rPr>
            </w:pPr>
            <w:r w:rsidRPr="00536CFD">
              <w:rPr>
                <w:lang w:eastAsia="ko-KR"/>
              </w:rPr>
              <w:t>38.301</w:t>
            </w:r>
          </w:p>
        </w:tc>
        <w:tc>
          <w:tcPr>
            <w:tcW w:w="0" w:type="auto"/>
            <w:tcBorders>
              <w:top w:val="nil"/>
              <w:left w:val="nil"/>
              <w:bottom w:val="single" w:sz="8" w:space="0" w:color="auto"/>
              <w:right w:val="single" w:sz="8" w:space="0" w:color="auto"/>
            </w:tcBorders>
            <w:hideMark/>
          </w:tcPr>
          <w:p w14:paraId="6C7C6E67" w14:textId="77777777" w:rsidR="009D4A93" w:rsidRPr="00536CFD" w:rsidRDefault="009D4A93" w:rsidP="009D4A93">
            <w:pPr>
              <w:spacing w:after="0"/>
              <w:jc w:val="center"/>
            </w:pPr>
            <w:r w:rsidRPr="00536CFD">
              <w:rPr>
                <w:lang w:eastAsia="ko-KR"/>
              </w:rPr>
              <w:t>24.805</w:t>
            </w:r>
          </w:p>
        </w:tc>
      </w:tr>
      <w:tr w:rsidR="009D4A93" w:rsidRPr="00536CFD" w14:paraId="7216485C"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468B5C96" w14:textId="77777777" w:rsidR="009D4A93" w:rsidRPr="00536CFD" w:rsidRDefault="009D4A93" w:rsidP="009D4A93">
            <w:pPr>
              <w:spacing w:after="0"/>
              <w:rPr>
                <w:rFonts w:eastAsiaTheme="minorEastAsia"/>
              </w:rPr>
            </w:pPr>
          </w:p>
        </w:tc>
        <w:tc>
          <w:tcPr>
            <w:tcW w:w="0" w:type="auto"/>
            <w:vMerge w:val="restart"/>
            <w:tcBorders>
              <w:top w:val="nil"/>
              <w:left w:val="nil"/>
              <w:bottom w:val="single" w:sz="8" w:space="0" w:color="auto"/>
              <w:right w:val="single" w:sz="8" w:space="0" w:color="auto"/>
            </w:tcBorders>
            <w:hideMark/>
          </w:tcPr>
          <w:p w14:paraId="6B6BB40A" w14:textId="77777777" w:rsidR="009D4A93" w:rsidRPr="00536CFD" w:rsidRDefault="009D4A93" w:rsidP="009D4A93">
            <w:pPr>
              <w:spacing w:after="0"/>
              <w:jc w:val="center"/>
            </w:pPr>
            <w:r w:rsidRPr="00536CFD">
              <w:rPr>
                <w:b/>
                <w:bCs/>
              </w:rPr>
              <w:t>UL:</w:t>
            </w:r>
          </w:p>
          <w:p w14:paraId="1DE6E3C3" w14:textId="77777777" w:rsidR="009D4A93" w:rsidRPr="00536CFD" w:rsidRDefault="009D4A93" w:rsidP="009D4A93">
            <w:pPr>
              <w:spacing w:after="0"/>
              <w:jc w:val="center"/>
            </w:pPr>
            <w:r w:rsidRPr="00536CFD">
              <w:t>Delay CDF</w:t>
            </w:r>
          </w:p>
          <w:p w14:paraId="3DBC7AB2" w14:textId="77777777" w:rsidR="009D4A93" w:rsidRPr="00536CFD" w:rsidRDefault="009D4A93" w:rsidP="009D4A93">
            <w:pPr>
              <w:spacing w:after="0"/>
              <w:jc w:val="center"/>
            </w:pPr>
            <w:r w:rsidRPr="00536CFD">
              <w:t>[s]</w:t>
            </w:r>
          </w:p>
        </w:tc>
        <w:tc>
          <w:tcPr>
            <w:tcW w:w="0" w:type="auto"/>
            <w:tcBorders>
              <w:top w:val="nil"/>
              <w:left w:val="nil"/>
              <w:bottom w:val="single" w:sz="8" w:space="0" w:color="auto"/>
              <w:right w:val="single" w:sz="8" w:space="0" w:color="auto"/>
            </w:tcBorders>
            <w:hideMark/>
          </w:tcPr>
          <w:p w14:paraId="02BBC3C1" w14:textId="77777777" w:rsidR="009D4A93" w:rsidRPr="00536CFD" w:rsidRDefault="009D4A93" w:rsidP="009D4A93">
            <w:pPr>
              <w:spacing w:after="0"/>
              <w:jc w:val="center"/>
            </w:pPr>
            <w:r w:rsidRPr="00536CFD">
              <w:t>5%</w:t>
            </w:r>
          </w:p>
        </w:tc>
        <w:tc>
          <w:tcPr>
            <w:tcW w:w="0" w:type="auto"/>
            <w:tcBorders>
              <w:top w:val="nil"/>
              <w:left w:val="nil"/>
              <w:bottom w:val="single" w:sz="8" w:space="0" w:color="auto"/>
              <w:right w:val="single" w:sz="8" w:space="0" w:color="auto"/>
            </w:tcBorders>
            <w:hideMark/>
          </w:tcPr>
          <w:p w14:paraId="7851625B" w14:textId="77777777" w:rsidR="009D4A93" w:rsidRPr="00536CFD" w:rsidRDefault="009D4A93" w:rsidP="009D4A93">
            <w:pPr>
              <w:spacing w:after="0"/>
              <w:jc w:val="center"/>
              <w:rPr>
                <w:lang w:eastAsia="ko-KR"/>
              </w:rPr>
            </w:pPr>
            <w:r w:rsidRPr="00536CFD">
              <w:rPr>
                <w:lang w:eastAsia="ko-KR"/>
              </w:rPr>
              <w:t>0.069</w:t>
            </w:r>
          </w:p>
        </w:tc>
        <w:tc>
          <w:tcPr>
            <w:tcW w:w="0" w:type="auto"/>
            <w:tcBorders>
              <w:top w:val="nil"/>
              <w:left w:val="nil"/>
              <w:bottom w:val="single" w:sz="8" w:space="0" w:color="auto"/>
              <w:right w:val="single" w:sz="8" w:space="0" w:color="auto"/>
            </w:tcBorders>
            <w:hideMark/>
          </w:tcPr>
          <w:p w14:paraId="65373372" w14:textId="77777777" w:rsidR="009D4A93" w:rsidRPr="00536CFD" w:rsidRDefault="009D4A93" w:rsidP="009D4A93">
            <w:pPr>
              <w:spacing w:after="0"/>
              <w:jc w:val="center"/>
              <w:rPr>
                <w:lang w:eastAsia="zh-CN"/>
              </w:rPr>
            </w:pPr>
            <w:r w:rsidRPr="00536CFD">
              <w:rPr>
                <w:lang w:eastAsia="ko-KR"/>
              </w:rPr>
              <w:t>0.068</w:t>
            </w:r>
          </w:p>
        </w:tc>
        <w:tc>
          <w:tcPr>
            <w:tcW w:w="0" w:type="auto"/>
            <w:tcBorders>
              <w:top w:val="nil"/>
              <w:left w:val="nil"/>
              <w:bottom w:val="single" w:sz="8" w:space="0" w:color="auto"/>
              <w:right w:val="single" w:sz="8" w:space="0" w:color="auto"/>
            </w:tcBorders>
            <w:hideMark/>
          </w:tcPr>
          <w:p w14:paraId="11BD8D09" w14:textId="77777777" w:rsidR="009D4A93" w:rsidRPr="00536CFD" w:rsidRDefault="009D4A93" w:rsidP="009D4A93">
            <w:pPr>
              <w:spacing w:after="0"/>
              <w:jc w:val="center"/>
            </w:pPr>
            <w:r w:rsidRPr="00536CFD">
              <w:rPr>
                <w:lang w:eastAsia="ko-KR"/>
              </w:rPr>
              <w:t>0.072</w:t>
            </w:r>
          </w:p>
        </w:tc>
        <w:tc>
          <w:tcPr>
            <w:tcW w:w="0" w:type="auto"/>
            <w:tcBorders>
              <w:top w:val="nil"/>
              <w:left w:val="nil"/>
              <w:bottom w:val="single" w:sz="8" w:space="0" w:color="auto"/>
              <w:right w:val="single" w:sz="8" w:space="0" w:color="auto"/>
            </w:tcBorders>
            <w:hideMark/>
          </w:tcPr>
          <w:p w14:paraId="2FD845F9" w14:textId="77777777" w:rsidR="009D4A93" w:rsidRPr="00536CFD" w:rsidRDefault="009D4A93" w:rsidP="009D4A93">
            <w:pPr>
              <w:spacing w:after="0"/>
              <w:jc w:val="center"/>
              <w:rPr>
                <w:lang w:eastAsia="ko-KR"/>
              </w:rPr>
            </w:pPr>
            <w:r w:rsidRPr="00536CFD">
              <w:rPr>
                <w:lang w:eastAsia="ko-KR"/>
              </w:rPr>
              <w:t>0.079</w:t>
            </w:r>
          </w:p>
        </w:tc>
        <w:tc>
          <w:tcPr>
            <w:tcW w:w="0" w:type="auto"/>
            <w:tcBorders>
              <w:top w:val="nil"/>
              <w:left w:val="nil"/>
              <w:bottom w:val="single" w:sz="8" w:space="0" w:color="auto"/>
              <w:right w:val="single" w:sz="8" w:space="0" w:color="auto"/>
            </w:tcBorders>
            <w:hideMark/>
          </w:tcPr>
          <w:p w14:paraId="170121AC" w14:textId="77777777" w:rsidR="009D4A93" w:rsidRPr="00536CFD" w:rsidRDefault="009D4A93" w:rsidP="009D4A93">
            <w:pPr>
              <w:spacing w:after="0"/>
              <w:jc w:val="center"/>
              <w:rPr>
                <w:lang w:eastAsia="zh-CN"/>
              </w:rPr>
            </w:pPr>
            <w:r w:rsidRPr="00536CFD">
              <w:rPr>
                <w:lang w:eastAsia="ko-KR"/>
              </w:rPr>
              <w:t>0.071</w:t>
            </w:r>
          </w:p>
        </w:tc>
        <w:tc>
          <w:tcPr>
            <w:tcW w:w="0" w:type="auto"/>
            <w:tcBorders>
              <w:top w:val="nil"/>
              <w:left w:val="nil"/>
              <w:bottom w:val="single" w:sz="8" w:space="0" w:color="auto"/>
              <w:right w:val="single" w:sz="8" w:space="0" w:color="auto"/>
            </w:tcBorders>
            <w:hideMark/>
          </w:tcPr>
          <w:p w14:paraId="21759083" w14:textId="77777777" w:rsidR="009D4A93" w:rsidRPr="00536CFD" w:rsidRDefault="009D4A93" w:rsidP="009D4A93">
            <w:pPr>
              <w:spacing w:after="0"/>
              <w:jc w:val="center"/>
            </w:pPr>
            <w:r w:rsidRPr="00536CFD">
              <w:rPr>
                <w:lang w:eastAsia="ko-KR"/>
              </w:rPr>
              <w:t>0.080</w:t>
            </w:r>
          </w:p>
        </w:tc>
        <w:tc>
          <w:tcPr>
            <w:tcW w:w="0" w:type="auto"/>
            <w:tcBorders>
              <w:top w:val="nil"/>
              <w:left w:val="nil"/>
              <w:bottom w:val="single" w:sz="8" w:space="0" w:color="auto"/>
              <w:right w:val="single" w:sz="8" w:space="0" w:color="auto"/>
            </w:tcBorders>
            <w:hideMark/>
          </w:tcPr>
          <w:p w14:paraId="3635C0F1" w14:textId="77777777" w:rsidR="009D4A93" w:rsidRPr="00536CFD" w:rsidRDefault="009D4A93" w:rsidP="009D4A93">
            <w:pPr>
              <w:spacing w:after="0"/>
              <w:jc w:val="center"/>
              <w:rPr>
                <w:lang w:eastAsia="ko-KR"/>
              </w:rPr>
            </w:pPr>
            <w:r w:rsidRPr="00536CFD">
              <w:rPr>
                <w:lang w:eastAsia="ko-KR"/>
              </w:rPr>
              <w:t>0.099</w:t>
            </w:r>
          </w:p>
        </w:tc>
        <w:tc>
          <w:tcPr>
            <w:tcW w:w="0" w:type="auto"/>
            <w:tcBorders>
              <w:top w:val="nil"/>
              <w:left w:val="nil"/>
              <w:bottom w:val="single" w:sz="8" w:space="0" w:color="auto"/>
              <w:right w:val="single" w:sz="8" w:space="0" w:color="auto"/>
            </w:tcBorders>
            <w:hideMark/>
          </w:tcPr>
          <w:p w14:paraId="47379EBD" w14:textId="77777777" w:rsidR="009D4A93" w:rsidRPr="00536CFD" w:rsidRDefault="009D4A93" w:rsidP="009D4A93">
            <w:pPr>
              <w:spacing w:after="0"/>
              <w:jc w:val="center"/>
              <w:rPr>
                <w:lang w:eastAsia="zh-CN"/>
              </w:rPr>
            </w:pPr>
            <w:r w:rsidRPr="00536CFD">
              <w:rPr>
                <w:lang w:eastAsia="ko-KR"/>
              </w:rPr>
              <w:t>0.074</w:t>
            </w:r>
          </w:p>
        </w:tc>
        <w:tc>
          <w:tcPr>
            <w:tcW w:w="0" w:type="auto"/>
            <w:tcBorders>
              <w:top w:val="nil"/>
              <w:left w:val="nil"/>
              <w:bottom w:val="single" w:sz="8" w:space="0" w:color="auto"/>
              <w:right w:val="single" w:sz="8" w:space="0" w:color="auto"/>
            </w:tcBorders>
            <w:hideMark/>
          </w:tcPr>
          <w:p w14:paraId="3BD1938C" w14:textId="77777777" w:rsidR="009D4A93" w:rsidRPr="00536CFD" w:rsidRDefault="009D4A93" w:rsidP="009D4A93">
            <w:pPr>
              <w:spacing w:after="0"/>
              <w:jc w:val="center"/>
            </w:pPr>
            <w:r w:rsidRPr="00536CFD">
              <w:rPr>
                <w:lang w:eastAsia="ko-KR"/>
              </w:rPr>
              <w:t>0.089</w:t>
            </w:r>
          </w:p>
        </w:tc>
      </w:tr>
      <w:tr w:rsidR="009D4A93" w:rsidRPr="00536CFD" w14:paraId="1FD1E9C4"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5BE2DDD7"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29657B04"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352D103C" w14:textId="77777777" w:rsidR="009D4A93" w:rsidRPr="00536CFD" w:rsidRDefault="009D4A93" w:rsidP="009D4A93">
            <w:pPr>
              <w:spacing w:after="0"/>
              <w:jc w:val="center"/>
            </w:pPr>
            <w:r w:rsidRPr="00536CFD">
              <w:t>50%</w:t>
            </w:r>
          </w:p>
        </w:tc>
        <w:tc>
          <w:tcPr>
            <w:tcW w:w="0" w:type="auto"/>
            <w:tcBorders>
              <w:top w:val="nil"/>
              <w:left w:val="nil"/>
              <w:bottom w:val="single" w:sz="8" w:space="0" w:color="auto"/>
              <w:right w:val="single" w:sz="8" w:space="0" w:color="auto"/>
            </w:tcBorders>
            <w:hideMark/>
          </w:tcPr>
          <w:p w14:paraId="1CD4A817" w14:textId="77777777" w:rsidR="009D4A93" w:rsidRPr="00536CFD" w:rsidRDefault="009D4A93" w:rsidP="009D4A93">
            <w:pPr>
              <w:spacing w:after="0"/>
              <w:jc w:val="center"/>
              <w:rPr>
                <w:lang w:eastAsia="ko-KR"/>
              </w:rPr>
            </w:pPr>
            <w:r w:rsidRPr="00536CFD">
              <w:rPr>
                <w:lang w:eastAsia="ko-KR"/>
              </w:rPr>
              <w:t>0.106</w:t>
            </w:r>
          </w:p>
        </w:tc>
        <w:tc>
          <w:tcPr>
            <w:tcW w:w="0" w:type="auto"/>
            <w:tcBorders>
              <w:top w:val="nil"/>
              <w:left w:val="nil"/>
              <w:bottom w:val="single" w:sz="8" w:space="0" w:color="auto"/>
              <w:right w:val="single" w:sz="8" w:space="0" w:color="auto"/>
            </w:tcBorders>
            <w:hideMark/>
          </w:tcPr>
          <w:p w14:paraId="2541291D" w14:textId="77777777" w:rsidR="009D4A93" w:rsidRPr="00536CFD" w:rsidRDefault="009D4A93" w:rsidP="009D4A93">
            <w:pPr>
              <w:spacing w:after="0"/>
              <w:jc w:val="center"/>
              <w:rPr>
                <w:lang w:eastAsia="zh-CN"/>
              </w:rPr>
            </w:pPr>
            <w:r w:rsidRPr="00536CFD">
              <w:rPr>
                <w:lang w:eastAsia="ko-KR"/>
              </w:rPr>
              <w:t>0.090</w:t>
            </w:r>
          </w:p>
        </w:tc>
        <w:tc>
          <w:tcPr>
            <w:tcW w:w="0" w:type="auto"/>
            <w:tcBorders>
              <w:top w:val="nil"/>
              <w:left w:val="nil"/>
              <w:bottom w:val="single" w:sz="8" w:space="0" w:color="auto"/>
              <w:right w:val="single" w:sz="8" w:space="0" w:color="auto"/>
            </w:tcBorders>
            <w:hideMark/>
          </w:tcPr>
          <w:p w14:paraId="4FD2FE33" w14:textId="77777777" w:rsidR="009D4A93" w:rsidRPr="00536CFD" w:rsidRDefault="009D4A93" w:rsidP="009D4A93">
            <w:pPr>
              <w:spacing w:after="0"/>
              <w:jc w:val="center"/>
            </w:pPr>
            <w:r w:rsidRPr="00536CFD">
              <w:rPr>
                <w:lang w:eastAsia="ko-KR"/>
              </w:rPr>
              <w:t>0.121</w:t>
            </w:r>
          </w:p>
        </w:tc>
        <w:tc>
          <w:tcPr>
            <w:tcW w:w="0" w:type="auto"/>
            <w:tcBorders>
              <w:top w:val="nil"/>
              <w:left w:val="nil"/>
              <w:bottom w:val="single" w:sz="8" w:space="0" w:color="auto"/>
              <w:right w:val="single" w:sz="8" w:space="0" w:color="auto"/>
            </w:tcBorders>
            <w:hideMark/>
          </w:tcPr>
          <w:p w14:paraId="6C6EBAFF" w14:textId="77777777" w:rsidR="009D4A93" w:rsidRPr="00536CFD" w:rsidRDefault="009D4A93" w:rsidP="009D4A93">
            <w:pPr>
              <w:spacing w:after="0"/>
              <w:jc w:val="center"/>
              <w:rPr>
                <w:lang w:eastAsia="ko-KR"/>
              </w:rPr>
            </w:pPr>
            <w:r w:rsidRPr="00536CFD">
              <w:rPr>
                <w:lang w:eastAsia="ko-KR"/>
              </w:rPr>
              <w:t>0.272</w:t>
            </w:r>
          </w:p>
        </w:tc>
        <w:tc>
          <w:tcPr>
            <w:tcW w:w="0" w:type="auto"/>
            <w:tcBorders>
              <w:top w:val="nil"/>
              <w:left w:val="nil"/>
              <w:bottom w:val="single" w:sz="8" w:space="0" w:color="auto"/>
              <w:right w:val="single" w:sz="8" w:space="0" w:color="auto"/>
            </w:tcBorders>
            <w:hideMark/>
          </w:tcPr>
          <w:p w14:paraId="6F08CBFC" w14:textId="77777777" w:rsidR="009D4A93" w:rsidRPr="00536CFD" w:rsidRDefault="009D4A93" w:rsidP="009D4A93">
            <w:pPr>
              <w:spacing w:after="0"/>
              <w:jc w:val="center"/>
              <w:rPr>
                <w:lang w:eastAsia="zh-CN"/>
              </w:rPr>
            </w:pPr>
            <w:r w:rsidRPr="00536CFD">
              <w:rPr>
                <w:lang w:eastAsia="ko-KR"/>
              </w:rPr>
              <w:t>0.117</w:t>
            </w:r>
          </w:p>
        </w:tc>
        <w:tc>
          <w:tcPr>
            <w:tcW w:w="0" w:type="auto"/>
            <w:tcBorders>
              <w:top w:val="nil"/>
              <w:left w:val="nil"/>
              <w:bottom w:val="single" w:sz="8" w:space="0" w:color="auto"/>
              <w:right w:val="single" w:sz="8" w:space="0" w:color="auto"/>
            </w:tcBorders>
            <w:hideMark/>
          </w:tcPr>
          <w:p w14:paraId="3F866C6C" w14:textId="77777777" w:rsidR="009D4A93" w:rsidRPr="00536CFD" w:rsidRDefault="009D4A93" w:rsidP="009D4A93">
            <w:pPr>
              <w:spacing w:after="0"/>
              <w:jc w:val="center"/>
            </w:pPr>
            <w:r w:rsidRPr="00536CFD">
              <w:rPr>
                <w:lang w:eastAsia="ko-KR"/>
              </w:rPr>
              <w:t>0.215</w:t>
            </w:r>
          </w:p>
        </w:tc>
        <w:tc>
          <w:tcPr>
            <w:tcW w:w="0" w:type="auto"/>
            <w:tcBorders>
              <w:top w:val="nil"/>
              <w:left w:val="nil"/>
              <w:bottom w:val="single" w:sz="8" w:space="0" w:color="auto"/>
              <w:right w:val="single" w:sz="8" w:space="0" w:color="auto"/>
            </w:tcBorders>
            <w:hideMark/>
          </w:tcPr>
          <w:p w14:paraId="22FA380A" w14:textId="77777777" w:rsidR="009D4A93" w:rsidRPr="00536CFD" w:rsidRDefault="009D4A93" w:rsidP="009D4A93">
            <w:pPr>
              <w:spacing w:after="0"/>
              <w:jc w:val="center"/>
              <w:rPr>
                <w:lang w:eastAsia="ko-KR"/>
              </w:rPr>
            </w:pPr>
            <w:r w:rsidRPr="00536CFD">
              <w:rPr>
                <w:lang w:eastAsia="ko-KR"/>
              </w:rPr>
              <w:t>1.170</w:t>
            </w:r>
          </w:p>
        </w:tc>
        <w:tc>
          <w:tcPr>
            <w:tcW w:w="0" w:type="auto"/>
            <w:tcBorders>
              <w:top w:val="nil"/>
              <w:left w:val="nil"/>
              <w:bottom w:val="single" w:sz="8" w:space="0" w:color="auto"/>
              <w:right w:val="single" w:sz="8" w:space="0" w:color="auto"/>
            </w:tcBorders>
            <w:hideMark/>
          </w:tcPr>
          <w:p w14:paraId="74449213" w14:textId="77777777" w:rsidR="009D4A93" w:rsidRPr="00536CFD" w:rsidRDefault="009D4A93" w:rsidP="009D4A93">
            <w:pPr>
              <w:spacing w:after="0"/>
              <w:jc w:val="center"/>
              <w:rPr>
                <w:lang w:eastAsia="zh-CN"/>
              </w:rPr>
            </w:pPr>
            <w:r w:rsidRPr="00536CFD">
              <w:rPr>
                <w:lang w:eastAsia="ko-KR"/>
              </w:rPr>
              <w:t>0.143</w:t>
            </w:r>
          </w:p>
        </w:tc>
        <w:tc>
          <w:tcPr>
            <w:tcW w:w="0" w:type="auto"/>
            <w:tcBorders>
              <w:top w:val="nil"/>
              <w:left w:val="nil"/>
              <w:bottom w:val="single" w:sz="8" w:space="0" w:color="auto"/>
              <w:right w:val="single" w:sz="8" w:space="0" w:color="auto"/>
            </w:tcBorders>
            <w:hideMark/>
          </w:tcPr>
          <w:p w14:paraId="05A4D6D2" w14:textId="77777777" w:rsidR="009D4A93" w:rsidRPr="00536CFD" w:rsidRDefault="009D4A93" w:rsidP="009D4A93">
            <w:pPr>
              <w:spacing w:after="0"/>
              <w:jc w:val="center"/>
            </w:pPr>
            <w:r w:rsidRPr="00536CFD">
              <w:rPr>
                <w:lang w:eastAsia="ko-KR"/>
              </w:rPr>
              <w:t>0.406</w:t>
            </w:r>
          </w:p>
        </w:tc>
      </w:tr>
      <w:tr w:rsidR="009D4A93" w:rsidRPr="00536CFD" w14:paraId="4C9BC2A5"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5301D5E0"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0876CBC5"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5073EC6D" w14:textId="77777777" w:rsidR="009D4A93" w:rsidRPr="00536CFD" w:rsidRDefault="009D4A93" w:rsidP="009D4A93">
            <w:pPr>
              <w:spacing w:after="0"/>
              <w:jc w:val="center"/>
            </w:pPr>
            <w:r w:rsidRPr="00536CFD">
              <w:t>95%</w:t>
            </w:r>
          </w:p>
        </w:tc>
        <w:tc>
          <w:tcPr>
            <w:tcW w:w="0" w:type="auto"/>
            <w:tcBorders>
              <w:top w:val="nil"/>
              <w:left w:val="nil"/>
              <w:bottom w:val="single" w:sz="8" w:space="0" w:color="auto"/>
              <w:right w:val="single" w:sz="8" w:space="0" w:color="auto"/>
            </w:tcBorders>
            <w:hideMark/>
          </w:tcPr>
          <w:p w14:paraId="0A4203B8" w14:textId="77777777" w:rsidR="009D4A93" w:rsidRPr="00536CFD" w:rsidRDefault="009D4A93" w:rsidP="009D4A93">
            <w:pPr>
              <w:spacing w:after="0"/>
              <w:jc w:val="center"/>
              <w:rPr>
                <w:lang w:eastAsia="ko-KR"/>
              </w:rPr>
            </w:pPr>
            <w:r w:rsidRPr="00536CFD">
              <w:rPr>
                <w:lang w:eastAsia="ko-KR"/>
              </w:rPr>
              <w:t>7.043</w:t>
            </w:r>
          </w:p>
        </w:tc>
        <w:tc>
          <w:tcPr>
            <w:tcW w:w="0" w:type="auto"/>
            <w:tcBorders>
              <w:top w:val="nil"/>
              <w:left w:val="nil"/>
              <w:bottom w:val="single" w:sz="8" w:space="0" w:color="auto"/>
              <w:right w:val="single" w:sz="8" w:space="0" w:color="auto"/>
            </w:tcBorders>
            <w:hideMark/>
          </w:tcPr>
          <w:p w14:paraId="21954F76" w14:textId="77777777" w:rsidR="009D4A93" w:rsidRPr="00536CFD" w:rsidRDefault="009D4A93" w:rsidP="009D4A93">
            <w:pPr>
              <w:spacing w:after="0"/>
              <w:jc w:val="center"/>
              <w:rPr>
                <w:lang w:eastAsia="zh-CN"/>
              </w:rPr>
            </w:pPr>
            <w:r w:rsidRPr="00536CFD">
              <w:rPr>
                <w:lang w:eastAsia="ko-KR"/>
              </w:rPr>
              <w:t>0.655</w:t>
            </w:r>
          </w:p>
        </w:tc>
        <w:tc>
          <w:tcPr>
            <w:tcW w:w="0" w:type="auto"/>
            <w:tcBorders>
              <w:top w:val="nil"/>
              <w:left w:val="nil"/>
              <w:bottom w:val="single" w:sz="8" w:space="0" w:color="auto"/>
              <w:right w:val="single" w:sz="8" w:space="0" w:color="auto"/>
            </w:tcBorders>
            <w:hideMark/>
          </w:tcPr>
          <w:p w14:paraId="78161C62" w14:textId="77777777" w:rsidR="009D4A93" w:rsidRPr="00536CFD" w:rsidRDefault="009D4A93" w:rsidP="009D4A93">
            <w:pPr>
              <w:spacing w:after="0"/>
              <w:jc w:val="center"/>
            </w:pPr>
            <w:r w:rsidRPr="00536CFD">
              <w:rPr>
                <w:lang w:eastAsia="ko-KR"/>
              </w:rPr>
              <w:t>43.810</w:t>
            </w:r>
          </w:p>
        </w:tc>
        <w:tc>
          <w:tcPr>
            <w:tcW w:w="0" w:type="auto"/>
            <w:tcBorders>
              <w:top w:val="nil"/>
              <w:left w:val="nil"/>
              <w:bottom w:val="single" w:sz="8" w:space="0" w:color="auto"/>
              <w:right w:val="single" w:sz="8" w:space="0" w:color="auto"/>
            </w:tcBorders>
            <w:hideMark/>
          </w:tcPr>
          <w:p w14:paraId="034BD67D" w14:textId="77777777" w:rsidR="009D4A93" w:rsidRPr="00536CFD" w:rsidRDefault="009D4A93" w:rsidP="009D4A93">
            <w:pPr>
              <w:spacing w:after="0"/>
              <w:jc w:val="center"/>
              <w:rPr>
                <w:lang w:eastAsia="ko-KR"/>
              </w:rPr>
            </w:pPr>
            <w:r w:rsidRPr="00536CFD">
              <w:rPr>
                <w:lang w:eastAsia="ko-KR"/>
              </w:rPr>
              <w:t>52.377</w:t>
            </w:r>
          </w:p>
        </w:tc>
        <w:tc>
          <w:tcPr>
            <w:tcW w:w="0" w:type="auto"/>
            <w:tcBorders>
              <w:top w:val="nil"/>
              <w:left w:val="nil"/>
              <w:bottom w:val="single" w:sz="8" w:space="0" w:color="auto"/>
              <w:right w:val="single" w:sz="8" w:space="0" w:color="auto"/>
            </w:tcBorders>
            <w:hideMark/>
          </w:tcPr>
          <w:p w14:paraId="0F7028B1" w14:textId="77777777" w:rsidR="009D4A93" w:rsidRPr="00536CFD" w:rsidRDefault="009D4A93" w:rsidP="009D4A93">
            <w:pPr>
              <w:spacing w:after="0"/>
              <w:jc w:val="center"/>
              <w:rPr>
                <w:lang w:eastAsia="zh-CN"/>
              </w:rPr>
            </w:pPr>
            <w:r w:rsidRPr="00536CFD">
              <w:rPr>
                <w:lang w:eastAsia="ko-KR"/>
              </w:rPr>
              <w:t>2.011</w:t>
            </w:r>
          </w:p>
        </w:tc>
        <w:tc>
          <w:tcPr>
            <w:tcW w:w="0" w:type="auto"/>
            <w:tcBorders>
              <w:top w:val="nil"/>
              <w:left w:val="nil"/>
              <w:bottom w:val="single" w:sz="8" w:space="0" w:color="auto"/>
              <w:right w:val="single" w:sz="8" w:space="0" w:color="auto"/>
            </w:tcBorders>
            <w:hideMark/>
          </w:tcPr>
          <w:p w14:paraId="5CD5D961" w14:textId="77777777" w:rsidR="009D4A93" w:rsidRPr="00536CFD" w:rsidRDefault="009D4A93" w:rsidP="009D4A93">
            <w:pPr>
              <w:spacing w:after="0"/>
              <w:jc w:val="center"/>
            </w:pPr>
            <w:r w:rsidRPr="00536CFD">
              <w:rPr>
                <w:lang w:eastAsia="ko-KR"/>
              </w:rPr>
              <w:t>30.033</w:t>
            </w:r>
          </w:p>
        </w:tc>
        <w:tc>
          <w:tcPr>
            <w:tcW w:w="0" w:type="auto"/>
            <w:tcBorders>
              <w:top w:val="nil"/>
              <w:left w:val="nil"/>
              <w:bottom w:val="single" w:sz="8" w:space="0" w:color="auto"/>
              <w:right w:val="single" w:sz="8" w:space="0" w:color="auto"/>
            </w:tcBorders>
            <w:hideMark/>
          </w:tcPr>
          <w:p w14:paraId="13014F3C" w14:textId="77777777" w:rsidR="009D4A93" w:rsidRPr="00536CFD" w:rsidRDefault="009D4A93" w:rsidP="009D4A93">
            <w:pPr>
              <w:spacing w:after="0"/>
              <w:jc w:val="center"/>
              <w:rPr>
                <w:lang w:eastAsia="ko-KR"/>
              </w:rPr>
            </w:pPr>
            <w:r w:rsidRPr="00536CFD">
              <w:rPr>
                <w:lang w:eastAsia="ko-KR"/>
              </w:rPr>
              <w:t>110.253</w:t>
            </w:r>
          </w:p>
        </w:tc>
        <w:tc>
          <w:tcPr>
            <w:tcW w:w="0" w:type="auto"/>
            <w:tcBorders>
              <w:top w:val="nil"/>
              <w:left w:val="nil"/>
              <w:bottom w:val="single" w:sz="8" w:space="0" w:color="auto"/>
              <w:right w:val="single" w:sz="8" w:space="0" w:color="auto"/>
            </w:tcBorders>
            <w:hideMark/>
          </w:tcPr>
          <w:p w14:paraId="344960FA" w14:textId="77777777" w:rsidR="009D4A93" w:rsidRPr="00536CFD" w:rsidRDefault="009D4A93" w:rsidP="009D4A93">
            <w:pPr>
              <w:spacing w:after="0"/>
              <w:jc w:val="center"/>
              <w:rPr>
                <w:lang w:eastAsia="zh-CN"/>
              </w:rPr>
            </w:pPr>
            <w:r w:rsidRPr="00536CFD">
              <w:rPr>
                <w:lang w:eastAsia="ko-KR"/>
              </w:rPr>
              <w:t>6.593</w:t>
            </w:r>
          </w:p>
        </w:tc>
        <w:tc>
          <w:tcPr>
            <w:tcW w:w="0" w:type="auto"/>
            <w:tcBorders>
              <w:top w:val="nil"/>
              <w:left w:val="nil"/>
              <w:bottom w:val="single" w:sz="8" w:space="0" w:color="auto"/>
              <w:right w:val="single" w:sz="8" w:space="0" w:color="auto"/>
            </w:tcBorders>
            <w:hideMark/>
          </w:tcPr>
          <w:p w14:paraId="7E1A28CA" w14:textId="77777777" w:rsidR="009D4A93" w:rsidRPr="00536CFD" w:rsidRDefault="009D4A93" w:rsidP="009D4A93">
            <w:pPr>
              <w:spacing w:after="0"/>
              <w:jc w:val="center"/>
            </w:pPr>
            <w:r w:rsidRPr="00536CFD">
              <w:rPr>
                <w:lang w:eastAsia="ko-KR"/>
              </w:rPr>
              <w:t>86.192</w:t>
            </w:r>
          </w:p>
        </w:tc>
      </w:tr>
      <w:tr w:rsidR="009D4A93" w:rsidRPr="00536CFD" w14:paraId="4D9DBBAE"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0E871820" w14:textId="77777777" w:rsidR="009D4A93" w:rsidRPr="00536CFD" w:rsidRDefault="009D4A93" w:rsidP="009D4A93">
            <w:pPr>
              <w:spacing w:after="0"/>
              <w:rPr>
                <w:rFonts w:eastAsiaTheme="minorEastAsia"/>
              </w:rPr>
            </w:pPr>
          </w:p>
        </w:tc>
        <w:tc>
          <w:tcPr>
            <w:tcW w:w="0" w:type="auto"/>
            <w:vMerge/>
            <w:tcBorders>
              <w:top w:val="nil"/>
              <w:left w:val="nil"/>
              <w:bottom w:val="single" w:sz="8" w:space="0" w:color="auto"/>
              <w:right w:val="single" w:sz="8" w:space="0" w:color="auto"/>
            </w:tcBorders>
            <w:vAlign w:val="center"/>
            <w:hideMark/>
          </w:tcPr>
          <w:p w14:paraId="6FB5317B" w14:textId="77777777" w:rsidR="009D4A93" w:rsidRPr="00536CFD" w:rsidRDefault="009D4A93" w:rsidP="009D4A93">
            <w:pPr>
              <w:spacing w:after="0"/>
              <w:rPr>
                <w:rFonts w:eastAsiaTheme="minorEastAsia"/>
              </w:rPr>
            </w:pPr>
          </w:p>
        </w:tc>
        <w:tc>
          <w:tcPr>
            <w:tcW w:w="0" w:type="auto"/>
            <w:tcBorders>
              <w:top w:val="nil"/>
              <w:left w:val="nil"/>
              <w:bottom w:val="single" w:sz="8" w:space="0" w:color="auto"/>
              <w:right w:val="single" w:sz="8" w:space="0" w:color="auto"/>
            </w:tcBorders>
            <w:hideMark/>
          </w:tcPr>
          <w:p w14:paraId="15381BD2" w14:textId="77777777" w:rsidR="009D4A93" w:rsidRPr="00536CFD" w:rsidRDefault="009D4A93" w:rsidP="009D4A93">
            <w:pPr>
              <w:spacing w:after="0"/>
              <w:jc w:val="center"/>
            </w:pPr>
            <w:r w:rsidRPr="00536CFD">
              <w:t>Mean</w:t>
            </w:r>
          </w:p>
        </w:tc>
        <w:tc>
          <w:tcPr>
            <w:tcW w:w="0" w:type="auto"/>
            <w:tcBorders>
              <w:top w:val="nil"/>
              <w:left w:val="nil"/>
              <w:bottom w:val="single" w:sz="8" w:space="0" w:color="auto"/>
              <w:right w:val="single" w:sz="8" w:space="0" w:color="auto"/>
            </w:tcBorders>
            <w:hideMark/>
          </w:tcPr>
          <w:p w14:paraId="248FFC91" w14:textId="77777777" w:rsidR="009D4A93" w:rsidRPr="00536CFD" w:rsidRDefault="009D4A93" w:rsidP="009D4A93">
            <w:pPr>
              <w:spacing w:after="0"/>
              <w:jc w:val="center"/>
              <w:rPr>
                <w:lang w:eastAsia="ko-KR"/>
              </w:rPr>
            </w:pPr>
            <w:r w:rsidRPr="00536CFD">
              <w:rPr>
                <w:lang w:eastAsia="ko-KR"/>
              </w:rPr>
              <w:t>7.396</w:t>
            </w:r>
          </w:p>
        </w:tc>
        <w:tc>
          <w:tcPr>
            <w:tcW w:w="0" w:type="auto"/>
            <w:tcBorders>
              <w:top w:val="nil"/>
              <w:left w:val="nil"/>
              <w:bottom w:val="single" w:sz="8" w:space="0" w:color="auto"/>
              <w:right w:val="single" w:sz="8" w:space="0" w:color="auto"/>
            </w:tcBorders>
            <w:hideMark/>
          </w:tcPr>
          <w:p w14:paraId="42D8FFC5" w14:textId="77777777" w:rsidR="009D4A93" w:rsidRPr="00536CFD" w:rsidRDefault="009D4A93" w:rsidP="009D4A93">
            <w:pPr>
              <w:spacing w:after="0"/>
              <w:jc w:val="center"/>
              <w:rPr>
                <w:lang w:eastAsia="zh-CN"/>
              </w:rPr>
            </w:pPr>
            <w:r w:rsidRPr="00536CFD">
              <w:rPr>
                <w:lang w:eastAsia="ko-KR"/>
              </w:rPr>
              <w:t>7.060</w:t>
            </w:r>
          </w:p>
        </w:tc>
        <w:tc>
          <w:tcPr>
            <w:tcW w:w="0" w:type="auto"/>
            <w:tcBorders>
              <w:top w:val="nil"/>
              <w:left w:val="nil"/>
              <w:bottom w:val="single" w:sz="8" w:space="0" w:color="auto"/>
              <w:right w:val="single" w:sz="8" w:space="0" w:color="auto"/>
            </w:tcBorders>
            <w:hideMark/>
          </w:tcPr>
          <w:p w14:paraId="19D91225" w14:textId="77777777" w:rsidR="009D4A93" w:rsidRPr="00536CFD" w:rsidRDefault="009D4A93" w:rsidP="009D4A93">
            <w:pPr>
              <w:spacing w:after="0"/>
              <w:jc w:val="center"/>
            </w:pPr>
            <w:r w:rsidRPr="00536CFD">
              <w:rPr>
                <w:lang w:eastAsia="ko-KR"/>
              </w:rPr>
              <w:t>10.243</w:t>
            </w:r>
          </w:p>
        </w:tc>
        <w:tc>
          <w:tcPr>
            <w:tcW w:w="0" w:type="auto"/>
            <w:tcBorders>
              <w:top w:val="nil"/>
              <w:left w:val="nil"/>
              <w:bottom w:val="single" w:sz="8" w:space="0" w:color="auto"/>
              <w:right w:val="single" w:sz="8" w:space="0" w:color="auto"/>
            </w:tcBorders>
            <w:hideMark/>
          </w:tcPr>
          <w:p w14:paraId="3799C64C" w14:textId="77777777" w:rsidR="009D4A93" w:rsidRPr="00536CFD" w:rsidRDefault="009D4A93" w:rsidP="009D4A93">
            <w:pPr>
              <w:spacing w:after="0"/>
              <w:jc w:val="center"/>
              <w:rPr>
                <w:lang w:eastAsia="ko-KR"/>
              </w:rPr>
            </w:pPr>
            <w:r w:rsidRPr="00536CFD">
              <w:rPr>
                <w:lang w:eastAsia="ko-KR"/>
              </w:rPr>
              <w:t>11.316</w:t>
            </w:r>
          </w:p>
        </w:tc>
        <w:tc>
          <w:tcPr>
            <w:tcW w:w="0" w:type="auto"/>
            <w:tcBorders>
              <w:top w:val="nil"/>
              <w:left w:val="nil"/>
              <w:bottom w:val="single" w:sz="8" w:space="0" w:color="auto"/>
              <w:right w:val="single" w:sz="8" w:space="0" w:color="auto"/>
            </w:tcBorders>
            <w:hideMark/>
          </w:tcPr>
          <w:p w14:paraId="21591592" w14:textId="77777777" w:rsidR="009D4A93" w:rsidRPr="00536CFD" w:rsidRDefault="009D4A93" w:rsidP="009D4A93">
            <w:pPr>
              <w:spacing w:after="0"/>
              <w:jc w:val="center"/>
              <w:rPr>
                <w:lang w:eastAsia="zh-CN"/>
              </w:rPr>
            </w:pPr>
            <w:r w:rsidRPr="00536CFD">
              <w:rPr>
                <w:lang w:eastAsia="ko-KR"/>
              </w:rPr>
              <w:t>7.205</w:t>
            </w:r>
          </w:p>
        </w:tc>
        <w:tc>
          <w:tcPr>
            <w:tcW w:w="0" w:type="auto"/>
            <w:tcBorders>
              <w:top w:val="nil"/>
              <w:left w:val="nil"/>
              <w:bottom w:val="single" w:sz="8" w:space="0" w:color="auto"/>
              <w:right w:val="single" w:sz="8" w:space="0" w:color="auto"/>
            </w:tcBorders>
            <w:hideMark/>
          </w:tcPr>
          <w:p w14:paraId="719D5236" w14:textId="77777777" w:rsidR="009D4A93" w:rsidRPr="00536CFD" w:rsidRDefault="009D4A93" w:rsidP="009D4A93">
            <w:pPr>
              <w:spacing w:after="0"/>
              <w:jc w:val="center"/>
            </w:pPr>
            <w:r w:rsidRPr="00536CFD">
              <w:rPr>
                <w:lang w:eastAsia="ko-KR"/>
              </w:rPr>
              <w:t>8.287</w:t>
            </w:r>
          </w:p>
        </w:tc>
        <w:tc>
          <w:tcPr>
            <w:tcW w:w="0" w:type="auto"/>
            <w:tcBorders>
              <w:top w:val="nil"/>
              <w:left w:val="nil"/>
              <w:bottom w:val="single" w:sz="8" w:space="0" w:color="auto"/>
              <w:right w:val="single" w:sz="8" w:space="0" w:color="auto"/>
            </w:tcBorders>
            <w:hideMark/>
          </w:tcPr>
          <w:p w14:paraId="3B67C918" w14:textId="77777777" w:rsidR="009D4A93" w:rsidRPr="00536CFD" w:rsidRDefault="009D4A93" w:rsidP="009D4A93">
            <w:pPr>
              <w:spacing w:after="0"/>
              <w:jc w:val="center"/>
              <w:rPr>
                <w:lang w:eastAsia="ko-KR"/>
              </w:rPr>
            </w:pPr>
            <w:r w:rsidRPr="00536CFD">
              <w:rPr>
                <w:lang w:eastAsia="ko-KR"/>
              </w:rPr>
              <w:t>15.990</w:t>
            </w:r>
          </w:p>
        </w:tc>
        <w:tc>
          <w:tcPr>
            <w:tcW w:w="0" w:type="auto"/>
            <w:tcBorders>
              <w:top w:val="nil"/>
              <w:left w:val="nil"/>
              <w:bottom w:val="single" w:sz="8" w:space="0" w:color="auto"/>
              <w:right w:val="single" w:sz="8" w:space="0" w:color="auto"/>
            </w:tcBorders>
            <w:hideMark/>
          </w:tcPr>
          <w:p w14:paraId="179A71B7" w14:textId="77777777" w:rsidR="009D4A93" w:rsidRPr="00536CFD" w:rsidRDefault="009D4A93" w:rsidP="009D4A93">
            <w:pPr>
              <w:spacing w:after="0"/>
              <w:jc w:val="center"/>
              <w:rPr>
                <w:lang w:eastAsia="zh-CN"/>
              </w:rPr>
            </w:pPr>
            <w:r w:rsidRPr="00536CFD">
              <w:rPr>
                <w:lang w:eastAsia="ko-KR"/>
              </w:rPr>
              <w:t>7.411</w:t>
            </w:r>
          </w:p>
        </w:tc>
        <w:tc>
          <w:tcPr>
            <w:tcW w:w="0" w:type="auto"/>
            <w:tcBorders>
              <w:top w:val="nil"/>
              <w:left w:val="nil"/>
              <w:bottom w:val="single" w:sz="8" w:space="0" w:color="auto"/>
              <w:right w:val="single" w:sz="8" w:space="0" w:color="auto"/>
            </w:tcBorders>
            <w:hideMark/>
          </w:tcPr>
          <w:p w14:paraId="1B0944B6" w14:textId="77777777" w:rsidR="009D4A93" w:rsidRPr="00536CFD" w:rsidRDefault="009D4A93" w:rsidP="009D4A93">
            <w:pPr>
              <w:spacing w:after="0"/>
              <w:jc w:val="center"/>
            </w:pPr>
            <w:r w:rsidRPr="00536CFD">
              <w:rPr>
                <w:lang w:eastAsia="ko-KR"/>
              </w:rPr>
              <w:t>12.311</w:t>
            </w:r>
          </w:p>
        </w:tc>
      </w:tr>
      <w:tr w:rsidR="009D4A93" w:rsidRPr="00536CFD" w14:paraId="2EDEE08B"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3735D994" w14:textId="77777777" w:rsidR="009D4A93" w:rsidRPr="00536CFD" w:rsidRDefault="009D4A93" w:rsidP="009D4A93">
            <w:pPr>
              <w:spacing w:after="0"/>
              <w:rPr>
                <w:rFonts w:eastAsiaTheme="minorEastAsia"/>
              </w:rPr>
            </w:pPr>
          </w:p>
        </w:tc>
        <w:tc>
          <w:tcPr>
            <w:tcW w:w="0" w:type="auto"/>
            <w:gridSpan w:val="2"/>
            <w:tcBorders>
              <w:top w:val="nil"/>
              <w:left w:val="nil"/>
              <w:bottom w:val="single" w:sz="8" w:space="0" w:color="auto"/>
              <w:right w:val="single" w:sz="8" w:space="0" w:color="auto"/>
            </w:tcBorders>
            <w:hideMark/>
          </w:tcPr>
          <w:p w14:paraId="27E8D4AA" w14:textId="77777777" w:rsidR="009D4A93" w:rsidRPr="00536CFD" w:rsidRDefault="009D4A93" w:rsidP="009D4A93">
            <w:pPr>
              <w:spacing w:after="0"/>
              <w:jc w:val="center"/>
              <w:rPr>
                <w:lang w:eastAsia="ko-KR"/>
              </w:rPr>
            </w:pPr>
            <w:r w:rsidRPr="00536CFD">
              <w:rPr>
                <w:lang w:eastAsia="ko-KR"/>
              </w:rPr>
              <w:t>VoIP outage</w:t>
            </w:r>
          </w:p>
        </w:tc>
        <w:tc>
          <w:tcPr>
            <w:tcW w:w="0" w:type="auto"/>
            <w:tcBorders>
              <w:top w:val="nil"/>
              <w:left w:val="nil"/>
              <w:bottom w:val="single" w:sz="8" w:space="0" w:color="auto"/>
              <w:right w:val="single" w:sz="8" w:space="0" w:color="auto"/>
            </w:tcBorders>
            <w:hideMark/>
          </w:tcPr>
          <w:p w14:paraId="2A3345B1" w14:textId="77777777" w:rsidR="009D4A93" w:rsidRPr="00536CFD" w:rsidRDefault="009D4A93" w:rsidP="009D4A93">
            <w:pPr>
              <w:spacing w:after="0"/>
              <w:jc w:val="center"/>
              <w:rPr>
                <w:lang w:eastAsia="ko-KR"/>
              </w:rPr>
            </w:pPr>
            <w:r w:rsidRPr="00536CFD">
              <w:rPr>
                <w:lang w:eastAsia="ko-KR"/>
              </w:rPr>
              <w:t>0.06</w:t>
            </w:r>
          </w:p>
        </w:tc>
        <w:tc>
          <w:tcPr>
            <w:tcW w:w="0" w:type="auto"/>
            <w:tcBorders>
              <w:top w:val="nil"/>
              <w:left w:val="nil"/>
              <w:bottom w:val="single" w:sz="8" w:space="0" w:color="auto"/>
              <w:right w:val="single" w:sz="8" w:space="0" w:color="auto"/>
            </w:tcBorders>
            <w:hideMark/>
          </w:tcPr>
          <w:p w14:paraId="0C05592B" w14:textId="77777777" w:rsidR="009D4A93" w:rsidRPr="00536CFD" w:rsidRDefault="009D4A93" w:rsidP="009D4A93">
            <w:pPr>
              <w:spacing w:after="0"/>
              <w:jc w:val="center"/>
              <w:rPr>
                <w:lang w:eastAsia="zh-CN"/>
              </w:rPr>
            </w:pPr>
            <w:r w:rsidRPr="00536CFD">
              <w:rPr>
                <w:lang w:eastAsia="ko-KR"/>
              </w:rPr>
              <w:t>0.01</w:t>
            </w:r>
          </w:p>
        </w:tc>
        <w:tc>
          <w:tcPr>
            <w:tcW w:w="0" w:type="auto"/>
            <w:tcBorders>
              <w:top w:val="nil"/>
              <w:left w:val="nil"/>
              <w:bottom w:val="single" w:sz="8" w:space="0" w:color="auto"/>
              <w:right w:val="single" w:sz="8" w:space="0" w:color="auto"/>
            </w:tcBorders>
          </w:tcPr>
          <w:p w14:paraId="443A6D22" w14:textId="77777777" w:rsidR="009D4A93" w:rsidRPr="00536CFD" w:rsidRDefault="009D4A93" w:rsidP="009D4A93">
            <w:pPr>
              <w:spacing w:after="0"/>
              <w:jc w:val="center"/>
            </w:pPr>
          </w:p>
        </w:tc>
        <w:tc>
          <w:tcPr>
            <w:tcW w:w="0" w:type="auto"/>
            <w:tcBorders>
              <w:top w:val="nil"/>
              <w:left w:val="nil"/>
              <w:bottom w:val="single" w:sz="8" w:space="0" w:color="auto"/>
              <w:right w:val="single" w:sz="8" w:space="0" w:color="auto"/>
            </w:tcBorders>
            <w:hideMark/>
          </w:tcPr>
          <w:p w14:paraId="10799921" w14:textId="77777777" w:rsidR="009D4A93" w:rsidRPr="00536CFD" w:rsidRDefault="009D4A93" w:rsidP="009D4A93">
            <w:pPr>
              <w:spacing w:after="0"/>
              <w:jc w:val="center"/>
              <w:rPr>
                <w:lang w:eastAsia="ko-KR"/>
              </w:rPr>
            </w:pPr>
            <w:r w:rsidRPr="00536CFD">
              <w:rPr>
                <w:lang w:eastAsia="ko-KR"/>
              </w:rPr>
              <w:t>0.2</w:t>
            </w:r>
          </w:p>
        </w:tc>
        <w:tc>
          <w:tcPr>
            <w:tcW w:w="0" w:type="auto"/>
            <w:tcBorders>
              <w:top w:val="nil"/>
              <w:left w:val="nil"/>
              <w:bottom w:val="single" w:sz="8" w:space="0" w:color="auto"/>
              <w:right w:val="single" w:sz="8" w:space="0" w:color="auto"/>
            </w:tcBorders>
            <w:hideMark/>
          </w:tcPr>
          <w:p w14:paraId="23F4506C" w14:textId="77777777" w:rsidR="009D4A93" w:rsidRPr="00536CFD" w:rsidRDefault="009D4A93" w:rsidP="009D4A93">
            <w:pPr>
              <w:spacing w:after="0"/>
              <w:jc w:val="center"/>
              <w:rPr>
                <w:lang w:eastAsia="zh-CN"/>
              </w:rPr>
            </w:pPr>
            <w:r w:rsidRPr="00536CFD">
              <w:rPr>
                <w:lang w:eastAsia="ko-KR"/>
              </w:rPr>
              <w:t>0.01</w:t>
            </w:r>
          </w:p>
        </w:tc>
        <w:tc>
          <w:tcPr>
            <w:tcW w:w="0" w:type="auto"/>
            <w:tcBorders>
              <w:top w:val="nil"/>
              <w:left w:val="nil"/>
              <w:bottom w:val="single" w:sz="8" w:space="0" w:color="auto"/>
              <w:right w:val="single" w:sz="8" w:space="0" w:color="auto"/>
            </w:tcBorders>
          </w:tcPr>
          <w:p w14:paraId="6EBDF302" w14:textId="77777777" w:rsidR="009D4A93" w:rsidRPr="00536CFD" w:rsidRDefault="009D4A93" w:rsidP="009D4A93">
            <w:pPr>
              <w:spacing w:after="0"/>
              <w:jc w:val="center"/>
            </w:pPr>
          </w:p>
        </w:tc>
        <w:tc>
          <w:tcPr>
            <w:tcW w:w="0" w:type="auto"/>
            <w:tcBorders>
              <w:top w:val="nil"/>
              <w:left w:val="nil"/>
              <w:bottom w:val="single" w:sz="8" w:space="0" w:color="auto"/>
              <w:right w:val="single" w:sz="8" w:space="0" w:color="auto"/>
            </w:tcBorders>
            <w:hideMark/>
          </w:tcPr>
          <w:p w14:paraId="08208147" w14:textId="77777777" w:rsidR="009D4A93" w:rsidRPr="00536CFD" w:rsidRDefault="009D4A93" w:rsidP="009D4A93">
            <w:pPr>
              <w:spacing w:after="0"/>
              <w:jc w:val="center"/>
              <w:rPr>
                <w:lang w:eastAsia="ko-KR"/>
              </w:rPr>
            </w:pPr>
            <w:r w:rsidRPr="00536CFD">
              <w:rPr>
                <w:lang w:eastAsia="ko-KR"/>
              </w:rPr>
              <w:t>0.39</w:t>
            </w:r>
          </w:p>
        </w:tc>
        <w:tc>
          <w:tcPr>
            <w:tcW w:w="0" w:type="auto"/>
            <w:tcBorders>
              <w:top w:val="nil"/>
              <w:left w:val="nil"/>
              <w:bottom w:val="single" w:sz="8" w:space="0" w:color="auto"/>
              <w:right w:val="single" w:sz="8" w:space="0" w:color="auto"/>
            </w:tcBorders>
            <w:hideMark/>
          </w:tcPr>
          <w:p w14:paraId="620C237C" w14:textId="77777777" w:rsidR="009D4A93" w:rsidRPr="00536CFD" w:rsidRDefault="009D4A93" w:rsidP="009D4A93">
            <w:pPr>
              <w:spacing w:after="0"/>
              <w:jc w:val="center"/>
              <w:rPr>
                <w:lang w:eastAsia="zh-CN"/>
              </w:rPr>
            </w:pPr>
            <w:r w:rsidRPr="00536CFD">
              <w:rPr>
                <w:lang w:eastAsia="ko-KR"/>
              </w:rPr>
              <w:t>0.025</w:t>
            </w:r>
          </w:p>
        </w:tc>
        <w:tc>
          <w:tcPr>
            <w:tcW w:w="0" w:type="auto"/>
            <w:tcBorders>
              <w:top w:val="nil"/>
              <w:left w:val="nil"/>
              <w:bottom w:val="single" w:sz="8" w:space="0" w:color="auto"/>
              <w:right w:val="single" w:sz="8" w:space="0" w:color="auto"/>
            </w:tcBorders>
          </w:tcPr>
          <w:p w14:paraId="06BA29B6" w14:textId="77777777" w:rsidR="009D4A93" w:rsidRPr="00536CFD" w:rsidRDefault="009D4A93" w:rsidP="009D4A93">
            <w:pPr>
              <w:spacing w:after="0"/>
              <w:jc w:val="center"/>
            </w:pPr>
          </w:p>
        </w:tc>
      </w:tr>
      <w:tr w:rsidR="009D4A93" w:rsidRPr="00536CFD" w14:paraId="69D0189C"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3758FB87" w14:textId="77777777" w:rsidR="009D4A93" w:rsidRPr="00536CFD" w:rsidRDefault="009D4A93" w:rsidP="009D4A93">
            <w:pPr>
              <w:spacing w:after="0"/>
              <w:rPr>
                <w:rFonts w:eastAsiaTheme="minorEastAsia"/>
              </w:rPr>
            </w:pPr>
          </w:p>
        </w:tc>
        <w:tc>
          <w:tcPr>
            <w:tcW w:w="0" w:type="auto"/>
            <w:gridSpan w:val="2"/>
            <w:tcBorders>
              <w:top w:val="nil"/>
              <w:left w:val="nil"/>
              <w:bottom w:val="single" w:sz="8" w:space="0" w:color="auto"/>
              <w:right w:val="single" w:sz="8" w:space="0" w:color="auto"/>
            </w:tcBorders>
            <w:hideMark/>
          </w:tcPr>
          <w:p w14:paraId="6BB64B5F" w14:textId="77777777" w:rsidR="009D4A93" w:rsidRPr="00536CFD" w:rsidRDefault="009D4A93" w:rsidP="009D4A93">
            <w:pPr>
              <w:spacing w:after="0"/>
              <w:jc w:val="center"/>
              <w:rPr>
                <w:lang w:eastAsia="ko-KR"/>
              </w:rPr>
            </w:pPr>
            <w:r w:rsidRPr="00536CFD">
              <w:rPr>
                <w:lang w:eastAsia="ko-KR"/>
              </w:rPr>
              <w:t>VoIP outage(DL)</w:t>
            </w:r>
          </w:p>
        </w:tc>
        <w:tc>
          <w:tcPr>
            <w:tcW w:w="0" w:type="auto"/>
            <w:tcBorders>
              <w:top w:val="nil"/>
              <w:left w:val="nil"/>
              <w:bottom w:val="single" w:sz="8" w:space="0" w:color="auto"/>
              <w:right w:val="single" w:sz="8" w:space="0" w:color="auto"/>
            </w:tcBorders>
            <w:hideMark/>
          </w:tcPr>
          <w:p w14:paraId="4B7679D7" w14:textId="77777777" w:rsidR="009D4A93" w:rsidRPr="00536CFD" w:rsidRDefault="009D4A93" w:rsidP="009D4A93">
            <w:pPr>
              <w:spacing w:after="0"/>
              <w:jc w:val="center"/>
              <w:rPr>
                <w:lang w:eastAsia="ko-KR"/>
              </w:rPr>
            </w:pPr>
            <w:r w:rsidRPr="00536CFD">
              <w:rPr>
                <w:lang w:eastAsia="ko-KR"/>
              </w:rPr>
              <w:t>0.03</w:t>
            </w:r>
          </w:p>
        </w:tc>
        <w:tc>
          <w:tcPr>
            <w:tcW w:w="0" w:type="auto"/>
            <w:tcBorders>
              <w:top w:val="nil"/>
              <w:left w:val="nil"/>
              <w:bottom w:val="single" w:sz="8" w:space="0" w:color="auto"/>
              <w:right w:val="single" w:sz="8" w:space="0" w:color="auto"/>
            </w:tcBorders>
            <w:hideMark/>
          </w:tcPr>
          <w:p w14:paraId="1B2D108A" w14:textId="77777777" w:rsidR="009D4A93" w:rsidRPr="00536CFD" w:rsidRDefault="009D4A93" w:rsidP="009D4A93">
            <w:pPr>
              <w:spacing w:after="0"/>
              <w:jc w:val="center"/>
              <w:rPr>
                <w:lang w:eastAsia="zh-CN"/>
              </w:rPr>
            </w:pPr>
            <w:r w:rsidRPr="00536CFD">
              <w:rPr>
                <w:lang w:eastAsia="ko-KR"/>
              </w:rPr>
              <w:t>0</w:t>
            </w:r>
          </w:p>
        </w:tc>
        <w:tc>
          <w:tcPr>
            <w:tcW w:w="0" w:type="auto"/>
            <w:tcBorders>
              <w:top w:val="nil"/>
              <w:left w:val="nil"/>
              <w:bottom w:val="single" w:sz="8" w:space="0" w:color="auto"/>
              <w:right w:val="single" w:sz="8" w:space="0" w:color="auto"/>
            </w:tcBorders>
          </w:tcPr>
          <w:p w14:paraId="2AE03309" w14:textId="77777777" w:rsidR="009D4A93" w:rsidRPr="00536CFD" w:rsidRDefault="009D4A93" w:rsidP="009D4A93">
            <w:pPr>
              <w:spacing w:after="0"/>
              <w:jc w:val="center"/>
            </w:pPr>
          </w:p>
        </w:tc>
        <w:tc>
          <w:tcPr>
            <w:tcW w:w="0" w:type="auto"/>
            <w:tcBorders>
              <w:top w:val="nil"/>
              <w:left w:val="nil"/>
              <w:bottom w:val="single" w:sz="8" w:space="0" w:color="auto"/>
              <w:right w:val="single" w:sz="8" w:space="0" w:color="auto"/>
            </w:tcBorders>
            <w:hideMark/>
          </w:tcPr>
          <w:p w14:paraId="76129CE2" w14:textId="77777777" w:rsidR="009D4A93" w:rsidRPr="00536CFD" w:rsidRDefault="009D4A93" w:rsidP="009D4A93">
            <w:pPr>
              <w:spacing w:after="0"/>
              <w:jc w:val="center"/>
              <w:rPr>
                <w:lang w:eastAsia="ko-KR"/>
              </w:rPr>
            </w:pPr>
            <w:r w:rsidRPr="00536CFD">
              <w:rPr>
                <w:lang w:eastAsia="ko-KR"/>
              </w:rPr>
              <w:t>0.07</w:t>
            </w:r>
          </w:p>
        </w:tc>
        <w:tc>
          <w:tcPr>
            <w:tcW w:w="0" w:type="auto"/>
            <w:tcBorders>
              <w:top w:val="nil"/>
              <w:left w:val="nil"/>
              <w:bottom w:val="single" w:sz="8" w:space="0" w:color="auto"/>
              <w:right w:val="single" w:sz="8" w:space="0" w:color="auto"/>
            </w:tcBorders>
            <w:hideMark/>
          </w:tcPr>
          <w:p w14:paraId="43198848" w14:textId="77777777" w:rsidR="009D4A93" w:rsidRPr="00536CFD" w:rsidRDefault="009D4A93" w:rsidP="009D4A93">
            <w:pPr>
              <w:spacing w:after="0"/>
              <w:jc w:val="center"/>
              <w:rPr>
                <w:lang w:eastAsia="zh-CN"/>
              </w:rPr>
            </w:pPr>
            <w:r w:rsidRPr="00536CFD">
              <w:rPr>
                <w:lang w:eastAsia="ko-KR"/>
              </w:rPr>
              <w:t>0</w:t>
            </w:r>
          </w:p>
        </w:tc>
        <w:tc>
          <w:tcPr>
            <w:tcW w:w="0" w:type="auto"/>
            <w:tcBorders>
              <w:top w:val="nil"/>
              <w:left w:val="nil"/>
              <w:bottom w:val="single" w:sz="8" w:space="0" w:color="auto"/>
              <w:right w:val="single" w:sz="8" w:space="0" w:color="auto"/>
            </w:tcBorders>
          </w:tcPr>
          <w:p w14:paraId="458E0780" w14:textId="77777777" w:rsidR="009D4A93" w:rsidRPr="00536CFD" w:rsidRDefault="009D4A93" w:rsidP="009D4A93">
            <w:pPr>
              <w:spacing w:after="0"/>
              <w:jc w:val="center"/>
            </w:pPr>
          </w:p>
        </w:tc>
        <w:tc>
          <w:tcPr>
            <w:tcW w:w="0" w:type="auto"/>
            <w:tcBorders>
              <w:top w:val="nil"/>
              <w:left w:val="nil"/>
              <w:bottom w:val="single" w:sz="8" w:space="0" w:color="auto"/>
              <w:right w:val="single" w:sz="8" w:space="0" w:color="auto"/>
            </w:tcBorders>
            <w:hideMark/>
          </w:tcPr>
          <w:p w14:paraId="74C28F11" w14:textId="77777777" w:rsidR="009D4A93" w:rsidRPr="00536CFD" w:rsidRDefault="009D4A93" w:rsidP="009D4A93">
            <w:pPr>
              <w:spacing w:after="0"/>
              <w:jc w:val="center"/>
              <w:rPr>
                <w:lang w:eastAsia="ko-KR"/>
              </w:rPr>
            </w:pPr>
            <w:r w:rsidRPr="00536CFD">
              <w:rPr>
                <w:lang w:eastAsia="ko-KR"/>
              </w:rPr>
              <w:t>0.14</w:t>
            </w:r>
          </w:p>
        </w:tc>
        <w:tc>
          <w:tcPr>
            <w:tcW w:w="0" w:type="auto"/>
            <w:tcBorders>
              <w:top w:val="nil"/>
              <w:left w:val="nil"/>
              <w:bottom w:val="single" w:sz="8" w:space="0" w:color="auto"/>
              <w:right w:val="single" w:sz="8" w:space="0" w:color="auto"/>
            </w:tcBorders>
            <w:hideMark/>
          </w:tcPr>
          <w:p w14:paraId="66F769A6" w14:textId="77777777" w:rsidR="009D4A93" w:rsidRPr="00536CFD" w:rsidRDefault="009D4A93" w:rsidP="009D4A93">
            <w:pPr>
              <w:spacing w:after="0"/>
              <w:jc w:val="center"/>
              <w:rPr>
                <w:lang w:eastAsia="zh-CN"/>
              </w:rPr>
            </w:pPr>
            <w:r w:rsidRPr="00536CFD">
              <w:rPr>
                <w:lang w:eastAsia="ko-KR"/>
              </w:rPr>
              <w:t>0.005</w:t>
            </w:r>
          </w:p>
        </w:tc>
        <w:tc>
          <w:tcPr>
            <w:tcW w:w="0" w:type="auto"/>
            <w:tcBorders>
              <w:top w:val="nil"/>
              <w:left w:val="nil"/>
              <w:bottom w:val="single" w:sz="8" w:space="0" w:color="auto"/>
              <w:right w:val="single" w:sz="8" w:space="0" w:color="auto"/>
            </w:tcBorders>
          </w:tcPr>
          <w:p w14:paraId="3C9CE37D" w14:textId="77777777" w:rsidR="009D4A93" w:rsidRPr="00536CFD" w:rsidRDefault="009D4A93" w:rsidP="009D4A93">
            <w:pPr>
              <w:spacing w:after="0"/>
              <w:jc w:val="center"/>
            </w:pPr>
          </w:p>
        </w:tc>
      </w:tr>
      <w:tr w:rsidR="009D4A93" w:rsidRPr="00536CFD" w14:paraId="6D6C2721"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6F4D0F95" w14:textId="77777777" w:rsidR="009D4A93" w:rsidRPr="00536CFD" w:rsidRDefault="009D4A93" w:rsidP="009D4A93">
            <w:pPr>
              <w:spacing w:after="0"/>
              <w:rPr>
                <w:rFonts w:eastAsiaTheme="minorEastAsia"/>
              </w:rPr>
            </w:pPr>
          </w:p>
        </w:tc>
        <w:tc>
          <w:tcPr>
            <w:tcW w:w="0" w:type="auto"/>
            <w:gridSpan w:val="2"/>
            <w:tcBorders>
              <w:top w:val="nil"/>
              <w:left w:val="nil"/>
              <w:bottom w:val="single" w:sz="8" w:space="0" w:color="auto"/>
              <w:right w:val="single" w:sz="8" w:space="0" w:color="auto"/>
            </w:tcBorders>
            <w:hideMark/>
          </w:tcPr>
          <w:p w14:paraId="7A5BAB14" w14:textId="77777777" w:rsidR="009D4A93" w:rsidRPr="00536CFD" w:rsidRDefault="009D4A93" w:rsidP="009D4A93">
            <w:pPr>
              <w:spacing w:after="0"/>
              <w:jc w:val="center"/>
              <w:rPr>
                <w:lang w:eastAsia="ko-KR"/>
              </w:rPr>
            </w:pPr>
            <w:r w:rsidRPr="00536CFD">
              <w:rPr>
                <w:lang w:eastAsia="ko-KR"/>
              </w:rPr>
              <w:t>VoIP outage(UL)</w:t>
            </w:r>
          </w:p>
        </w:tc>
        <w:tc>
          <w:tcPr>
            <w:tcW w:w="0" w:type="auto"/>
            <w:tcBorders>
              <w:top w:val="nil"/>
              <w:left w:val="nil"/>
              <w:bottom w:val="single" w:sz="8" w:space="0" w:color="auto"/>
              <w:right w:val="single" w:sz="8" w:space="0" w:color="auto"/>
            </w:tcBorders>
            <w:hideMark/>
          </w:tcPr>
          <w:p w14:paraId="29BF2A75" w14:textId="77777777" w:rsidR="009D4A93" w:rsidRPr="00536CFD" w:rsidRDefault="009D4A93" w:rsidP="009D4A93">
            <w:pPr>
              <w:spacing w:after="0"/>
              <w:jc w:val="center"/>
              <w:rPr>
                <w:lang w:eastAsia="ko-KR"/>
              </w:rPr>
            </w:pPr>
            <w:r w:rsidRPr="00536CFD">
              <w:rPr>
                <w:lang w:eastAsia="ko-KR"/>
              </w:rPr>
              <w:t>0.05</w:t>
            </w:r>
          </w:p>
        </w:tc>
        <w:tc>
          <w:tcPr>
            <w:tcW w:w="0" w:type="auto"/>
            <w:tcBorders>
              <w:top w:val="nil"/>
              <w:left w:val="nil"/>
              <w:bottom w:val="single" w:sz="8" w:space="0" w:color="auto"/>
              <w:right w:val="single" w:sz="8" w:space="0" w:color="auto"/>
            </w:tcBorders>
            <w:hideMark/>
          </w:tcPr>
          <w:p w14:paraId="25CC9EA6" w14:textId="77777777" w:rsidR="009D4A93" w:rsidRPr="00536CFD" w:rsidRDefault="009D4A93" w:rsidP="009D4A93">
            <w:pPr>
              <w:spacing w:after="0"/>
              <w:jc w:val="center"/>
              <w:rPr>
                <w:lang w:eastAsia="zh-CN"/>
              </w:rPr>
            </w:pPr>
            <w:r w:rsidRPr="00536CFD">
              <w:rPr>
                <w:lang w:eastAsia="ko-KR"/>
              </w:rPr>
              <w:t>0.01</w:t>
            </w:r>
          </w:p>
        </w:tc>
        <w:tc>
          <w:tcPr>
            <w:tcW w:w="0" w:type="auto"/>
            <w:tcBorders>
              <w:top w:val="nil"/>
              <w:left w:val="nil"/>
              <w:bottom w:val="single" w:sz="8" w:space="0" w:color="auto"/>
              <w:right w:val="single" w:sz="8" w:space="0" w:color="auto"/>
            </w:tcBorders>
          </w:tcPr>
          <w:p w14:paraId="35EF1F78" w14:textId="77777777" w:rsidR="009D4A93" w:rsidRPr="00536CFD" w:rsidRDefault="009D4A93" w:rsidP="009D4A93">
            <w:pPr>
              <w:spacing w:after="0"/>
              <w:jc w:val="center"/>
            </w:pPr>
          </w:p>
        </w:tc>
        <w:tc>
          <w:tcPr>
            <w:tcW w:w="0" w:type="auto"/>
            <w:tcBorders>
              <w:top w:val="nil"/>
              <w:left w:val="nil"/>
              <w:bottom w:val="single" w:sz="8" w:space="0" w:color="auto"/>
              <w:right w:val="single" w:sz="8" w:space="0" w:color="auto"/>
            </w:tcBorders>
            <w:hideMark/>
          </w:tcPr>
          <w:p w14:paraId="31971E47" w14:textId="77777777" w:rsidR="009D4A93" w:rsidRPr="00536CFD" w:rsidRDefault="009D4A93" w:rsidP="009D4A93">
            <w:pPr>
              <w:spacing w:after="0"/>
              <w:jc w:val="center"/>
              <w:rPr>
                <w:lang w:eastAsia="ko-KR"/>
              </w:rPr>
            </w:pPr>
            <w:r w:rsidRPr="00536CFD">
              <w:rPr>
                <w:lang w:eastAsia="ko-KR"/>
              </w:rPr>
              <w:t>0.2</w:t>
            </w:r>
          </w:p>
        </w:tc>
        <w:tc>
          <w:tcPr>
            <w:tcW w:w="0" w:type="auto"/>
            <w:tcBorders>
              <w:top w:val="nil"/>
              <w:left w:val="nil"/>
              <w:bottom w:val="single" w:sz="8" w:space="0" w:color="auto"/>
              <w:right w:val="single" w:sz="8" w:space="0" w:color="auto"/>
            </w:tcBorders>
            <w:hideMark/>
          </w:tcPr>
          <w:p w14:paraId="0D7161E9" w14:textId="77777777" w:rsidR="009D4A93" w:rsidRPr="00536CFD" w:rsidRDefault="009D4A93" w:rsidP="009D4A93">
            <w:pPr>
              <w:spacing w:after="0"/>
              <w:jc w:val="center"/>
              <w:rPr>
                <w:lang w:eastAsia="zh-CN"/>
              </w:rPr>
            </w:pPr>
            <w:r w:rsidRPr="00536CFD">
              <w:rPr>
                <w:lang w:eastAsia="ko-KR"/>
              </w:rPr>
              <w:t>0.01</w:t>
            </w:r>
          </w:p>
        </w:tc>
        <w:tc>
          <w:tcPr>
            <w:tcW w:w="0" w:type="auto"/>
            <w:tcBorders>
              <w:top w:val="nil"/>
              <w:left w:val="nil"/>
              <w:bottom w:val="single" w:sz="8" w:space="0" w:color="auto"/>
              <w:right w:val="single" w:sz="8" w:space="0" w:color="auto"/>
            </w:tcBorders>
          </w:tcPr>
          <w:p w14:paraId="51C5F27F" w14:textId="77777777" w:rsidR="009D4A93" w:rsidRPr="00536CFD" w:rsidRDefault="009D4A93" w:rsidP="009D4A93">
            <w:pPr>
              <w:spacing w:after="0"/>
              <w:jc w:val="center"/>
            </w:pPr>
          </w:p>
        </w:tc>
        <w:tc>
          <w:tcPr>
            <w:tcW w:w="0" w:type="auto"/>
            <w:tcBorders>
              <w:top w:val="nil"/>
              <w:left w:val="nil"/>
              <w:bottom w:val="single" w:sz="8" w:space="0" w:color="auto"/>
              <w:right w:val="single" w:sz="8" w:space="0" w:color="auto"/>
            </w:tcBorders>
            <w:hideMark/>
          </w:tcPr>
          <w:p w14:paraId="31F4DD96" w14:textId="77777777" w:rsidR="009D4A93" w:rsidRPr="00536CFD" w:rsidRDefault="009D4A93" w:rsidP="009D4A93">
            <w:pPr>
              <w:spacing w:after="0"/>
              <w:jc w:val="center"/>
              <w:rPr>
                <w:lang w:eastAsia="ko-KR"/>
              </w:rPr>
            </w:pPr>
            <w:r w:rsidRPr="00536CFD">
              <w:rPr>
                <w:lang w:eastAsia="ko-KR"/>
              </w:rPr>
              <w:t>0.39</w:t>
            </w:r>
          </w:p>
        </w:tc>
        <w:tc>
          <w:tcPr>
            <w:tcW w:w="0" w:type="auto"/>
            <w:tcBorders>
              <w:top w:val="nil"/>
              <w:left w:val="nil"/>
              <w:bottom w:val="single" w:sz="8" w:space="0" w:color="auto"/>
              <w:right w:val="single" w:sz="8" w:space="0" w:color="auto"/>
            </w:tcBorders>
            <w:hideMark/>
          </w:tcPr>
          <w:p w14:paraId="19E5891A" w14:textId="77777777" w:rsidR="009D4A93" w:rsidRPr="00536CFD" w:rsidRDefault="009D4A93" w:rsidP="009D4A93">
            <w:pPr>
              <w:spacing w:after="0"/>
              <w:jc w:val="center"/>
              <w:rPr>
                <w:lang w:eastAsia="zh-CN"/>
              </w:rPr>
            </w:pPr>
            <w:r w:rsidRPr="00536CFD">
              <w:rPr>
                <w:lang w:eastAsia="ko-KR"/>
              </w:rPr>
              <w:t>0.025</w:t>
            </w:r>
          </w:p>
        </w:tc>
        <w:tc>
          <w:tcPr>
            <w:tcW w:w="0" w:type="auto"/>
            <w:tcBorders>
              <w:top w:val="nil"/>
              <w:left w:val="nil"/>
              <w:bottom w:val="single" w:sz="8" w:space="0" w:color="auto"/>
              <w:right w:val="single" w:sz="8" w:space="0" w:color="auto"/>
            </w:tcBorders>
          </w:tcPr>
          <w:p w14:paraId="15C97A79" w14:textId="77777777" w:rsidR="009D4A93" w:rsidRPr="00536CFD" w:rsidRDefault="009D4A93" w:rsidP="009D4A93">
            <w:pPr>
              <w:spacing w:after="0"/>
              <w:jc w:val="center"/>
            </w:pPr>
          </w:p>
        </w:tc>
      </w:tr>
      <w:tr w:rsidR="009D4A93" w:rsidRPr="00536CFD" w14:paraId="7CC1F7C7"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69261F83" w14:textId="77777777" w:rsidR="009D4A93" w:rsidRPr="00536CFD" w:rsidRDefault="009D4A93" w:rsidP="009D4A93">
            <w:pPr>
              <w:spacing w:after="0"/>
              <w:rPr>
                <w:rFonts w:eastAsiaTheme="minorEastAsia"/>
              </w:rPr>
            </w:pPr>
          </w:p>
        </w:tc>
        <w:tc>
          <w:tcPr>
            <w:tcW w:w="0" w:type="auto"/>
            <w:gridSpan w:val="2"/>
            <w:tcBorders>
              <w:top w:val="nil"/>
              <w:left w:val="nil"/>
              <w:bottom w:val="single" w:sz="8" w:space="0" w:color="auto"/>
              <w:right w:val="single" w:sz="8" w:space="0" w:color="auto"/>
            </w:tcBorders>
            <w:hideMark/>
          </w:tcPr>
          <w:p w14:paraId="7693CE9C" w14:textId="77777777" w:rsidR="009D4A93" w:rsidRPr="00536CFD" w:rsidRDefault="009D4A93" w:rsidP="009D4A93">
            <w:pPr>
              <w:spacing w:after="0"/>
              <w:jc w:val="center"/>
            </w:pPr>
            <w:r w:rsidRPr="00536CFD">
              <w:rPr>
                <w:rFonts w:ascii="Cambria Math" w:hAnsi="Cambria Math" w:cs="Cambria Math"/>
              </w:rPr>
              <w:t>𝜌</w:t>
            </w:r>
            <w:r w:rsidRPr="00536CFD">
              <w:rPr>
                <w:vertAlign w:val="subscript"/>
              </w:rPr>
              <w:t>DL</w:t>
            </w:r>
          </w:p>
        </w:tc>
        <w:tc>
          <w:tcPr>
            <w:tcW w:w="0" w:type="auto"/>
            <w:tcBorders>
              <w:top w:val="nil"/>
              <w:left w:val="nil"/>
              <w:bottom w:val="single" w:sz="8" w:space="0" w:color="auto"/>
              <w:right w:val="single" w:sz="8" w:space="0" w:color="auto"/>
            </w:tcBorders>
            <w:hideMark/>
          </w:tcPr>
          <w:p w14:paraId="1F6A37B3" w14:textId="77777777" w:rsidR="009D4A93" w:rsidRPr="00536CFD" w:rsidRDefault="009D4A93" w:rsidP="009D4A93">
            <w:pPr>
              <w:spacing w:after="0"/>
              <w:jc w:val="center"/>
              <w:rPr>
                <w:lang w:eastAsia="ko-KR"/>
              </w:rPr>
            </w:pPr>
            <w:r w:rsidRPr="00536CFD">
              <w:rPr>
                <w:lang w:eastAsia="ko-KR"/>
              </w:rPr>
              <w:t>1.00</w:t>
            </w:r>
          </w:p>
        </w:tc>
        <w:tc>
          <w:tcPr>
            <w:tcW w:w="0" w:type="auto"/>
            <w:tcBorders>
              <w:top w:val="nil"/>
              <w:left w:val="nil"/>
              <w:bottom w:val="single" w:sz="8" w:space="0" w:color="auto"/>
              <w:right w:val="single" w:sz="8" w:space="0" w:color="auto"/>
            </w:tcBorders>
            <w:hideMark/>
          </w:tcPr>
          <w:p w14:paraId="48E79FC6" w14:textId="77777777" w:rsidR="009D4A93" w:rsidRPr="00536CFD" w:rsidRDefault="009D4A93" w:rsidP="009D4A93">
            <w:pPr>
              <w:spacing w:after="0"/>
              <w:jc w:val="center"/>
              <w:rPr>
                <w:lang w:eastAsia="zh-CN"/>
              </w:rPr>
            </w:pPr>
            <w:r w:rsidRPr="00536CFD">
              <w:rPr>
                <w:lang w:eastAsia="ko-KR"/>
              </w:rPr>
              <w:t>1.00</w:t>
            </w:r>
          </w:p>
        </w:tc>
        <w:tc>
          <w:tcPr>
            <w:tcW w:w="0" w:type="auto"/>
            <w:tcBorders>
              <w:top w:val="nil"/>
              <w:left w:val="nil"/>
              <w:bottom w:val="single" w:sz="8" w:space="0" w:color="auto"/>
              <w:right w:val="single" w:sz="8" w:space="0" w:color="auto"/>
            </w:tcBorders>
            <w:hideMark/>
          </w:tcPr>
          <w:p w14:paraId="78E94F49" w14:textId="77777777" w:rsidR="009D4A93" w:rsidRPr="00536CFD" w:rsidRDefault="009D4A93" w:rsidP="009D4A93">
            <w:pPr>
              <w:spacing w:after="0"/>
              <w:jc w:val="center"/>
            </w:pPr>
            <w:r w:rsidRPr="00536CFD">
              <w:rPr>
                <w:lang w:eastAsia="ko-KR"/>
              </w:rPr>
              <w:t>0.98</w:t>
            </w:r>
          </w:p>
        </w:tc>
        <w:tc>
          <w:tcPr>
            <w:tcW w:w="0" w:type="auto"/>
            <w:tcBorders>
              <w:top w:val="nil"/>
              <w:left w:val="nil"/>
              <w:bottom w:val="single" w:sz="8" w:space="0" w:color="auto"/>
              <w:right w:val="single" w:sz="8" w:space="0" w:color="auto"/>
            </w:tcBorders>
            <w:hideMark/>
          </w:tcPr>
          <w:p w14:paraId="299393FD" w14:textId="77777777" w:rsidR="009D4A93" w:rsidRPr="00536CFD" w:rsidRDefault="009D4A93" w:rsidP="009D4A93">
            <w:pPr>
              <w:spacing w:after="0"/>
              <w:jc w:val="center"/>
              <w:rPr>
                <w:lang w:eastAsia="ko-KR"/>
              </w:rPr>
            </w:pPr>
            <w:r w:rsidRPr="00536CFD">
              <w:rPr>
                <w:lang w:eastAsia="ko-KR"/>
              </w:rPr>
              <w:t>0.96</w:t>
            </w:r>
          </w:p>
        </w:tc>
        <w:tc>
          <w:tcPr>
            <w:tcW w:w="0" w:type="auto"/>
            <w:tcBorders>
              <w:top w:val="nil"/>
              <w:left w:val="nil"/>
              <w:bottom w:val="single" w:sz="8" w:space="0" w:color="auto"/>
              <w:right w:val="single" w:sz="8" w:space="0" w:color="auto"/>
            </w:tcBorders>
            <w:hideMark/>
          </w:tcPr>
          <w:p w14:paraId="1DA11D1D" w14:textId="77777777" w:rsidR="009D4A93" w:rsidRPr="00536CFD" w:rsidRDefault="009D4A93" w:rsidP="009D4A93">
            <w:pPr>
              <w:spacing w:after="0"/>
              <w:jc w:val="center"/>
              <w:rPr>
                <w:lang w:eastAsia="zh-CN"/>
              </w:rPr>
            </w:pPr>
            <w:r w:rsidRPr="00536CFD">
              <w:rPr>
                <w:lang w:eastAsia="ko-KR"/>
              </w:rPr>
              <w:t>1.00</w:t>
            </w:r>
          </w:p>
        </w:tc>
        <w:tc>
          <w:tcPr>
            <w:tcW w:w="0" w:type="auto"/>
            <w:tcBorders>
              <w:top w:val="nil"/>
              <w:left w:val="nil"/>
              <w:bottom w:val="single" w:sz="8" w:space="0" w:color="auto"/>
              <w:right w:val="single" w:sz="8" w:space="0" w:color="auto"/>
            </w:tcBorders>
            <w:hideMark/>
          </w:tcPr>
          <w:p w14:paraId="48E6B0F5" w14:textId="77777777" w:rsidR="009D4A93" w:rsidRPr="00536CFD" w:rsidRDefault="009D4A93" w:rsidP="009D4A93">
            <w:pPr>
              <w:spacing w:after="0"/>
              <w:jc w:val="center"/>
            </w:pPr>
            <w:r w:rsidRPr="00536CFD">
              <w:rPr>
                <w:lang w:eastAsia="ko-KR"/>
              </w:rPr>
              <w:t>0.98</w:t>
            </w:r>
          </w:p>
        </w:tc>
        <w:tc>
          <w:tcPr>
            <w:tcW w:w="0" w:type="auto"/>
            <w:tcBorders>
              <w:top w:val="nil"/>
              <w:left w:val="nil"/>
              <w:bottom w:val="single" w:sz="8" w:space="0" w:color="auto"/>
              <w:right w:val="single" w:sz="8" w:space="0" w:color="auto"/>
            </w:tcBorders>
            <w:hideMark/>
          </w:tcPr>
          <w:p w14:paraId="551F9586" w14:textId="77777777" w:rsidR="009D4A93" w:rsidRPr="00536CFD" w:rsidRDefault="009D4A93" w:rsidP="009D4A93">
            <w:pPr>
              <w:spacing w:after="0"/>
              <w:jc w:val="center"/>
              <w:rPr>
                <w:lang w:eastAsia="ko-KR"/>
              </w:rPr>
            </w:pPr>
            <w:r w:rsidRPr="00536CFD">
              <w:rPr>
                <w:lang w:eastAsia="ko-KR"/>
              </w:rPr>
              <w:t>0.90</w:t>
            </w:r>
          </w:p>
        </w:tc>
        <w:tc>
          <w:tcPr>
            <w:tcW w:w="0" w:type="auto"/>
            <w:tcBorders>
              <w:top w:val="nil"/>
              <w:left w:val="nil"/>
              <w:bottom w:val="single" w:sz="8" w:space="0" w:color="auto"/>
              <w:right w:val="single" w:sz="8" w:space="0" w:color="auto"/>
            </w:tcBorders>
            <w:hideMark/>
          </w:tcPr>
          <w:p w14:paraId="37B80C73" w14:textId="77777777" w:rsidR="009D4A93" w:rsidRPr="00536CFD" w:rsidRDefault="009D4A93" w:rsidP="009D4A93">
            <w:pPr>
              <w:spacing w:after="0"/>
              <w:jc w:val="center"/>
              <w:rPr>
                <w:lang w:eastAsia="zh-CN"/>
              </w:rPr>
            </w:pPr>
            <w:r w:rsidRPr="00536CFD">
              <w:rPr>
                <w:lang w:eastAsia="ko-KR"/>
              </w:rPr>
              <w:t>1.00</w:t>
            </w:r>
          </w:p>
        </w:tc>
        <w:tc>
          <w:tcPr>
            <w:tcW w:w="0" w:type="auto"/>
            <w:tcBorders>
              <w:top w:val="nil"/>
              <w:left w:val="nil"/>
              <w:bottom w:val="single" w:sz="8" w:space="0" w:color="auto"/>
              <w:right w:val="single" w:sz="8" w:space="0" w:color="auto"/>
            </w:tcBorders>
            <w:hideMark/>
          </w:tcPr>
          <w:p w14:paraId="2AC2584B" w14:textId="77777777" w:rsidR="009D4A93" w:rsidRPr="00536CFD" w:rsidRDefault="009D4A93" w:rsidP="009D4A93">
            <w:pPr>
              <w:spacing w:after="0"/>
              <w:jc w:val="center"/>
            </w:pPr>
            <w:r w:rsidRPr="00536CFD">
              <w:rPr>
                <w:lang w:eastAsia="ko-KR"/>
              </w:rPr>
              <w:t>0.97</w:t>
            </w:r>
          </w:p>
        </w:tc>
      </w:tr>
      <w:tr w:rsidR="009D4A93" w:rsidRPr="00536CFD" w14:paraId="4C1E64F0"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384B98E3" w14:textId="77777777" w:rsidR="009D4A93" w:rsidRPr="00536CFD" w:rsidRDefault="009D4A93" w:rsidP="009D4A93">
            <w:pPr>
              <w:spacing w:after="0"/>
              <w:rPr>
                <w:rFonts w:eastAsiaTheme="minorEastAsia"/>
              </w:rPr>
            </w:pPr>
          </w:p>
        </w:tc>
        <w:tc>
          <w:tcPr>
            <w:tcW w:w="0" w:type="auto"/>
            <w:gridSpan w:val="2"/>
            <w:tcBorders>
              <w:top w:val="nil"/>
              <w:left w:val="nil"/>
              <w:bottom w:val="single" w:sz="8" w:space="0" w:color="auto"/>
              <w:right w:val="single" w:sz="8" w:space="0" w:color="auto"/>
            </w:tcBorders>
            <w:hideMark/>
          </w:tcPr>
          <w:p w14:paraId="4734FF3A" w14:textId="77777777" w:rsidR="009D4A93" w:rsidRPr="00536CFD" w:rsidRDefault="009D4A93" w:rsidP="009D4A93">
            <w:pPr>
              <w:spacing w:after="0"/>
              <w:jc w:val="center"/>
            </w:pPr>
            <w:r w:rsidRPr="00536CFD">
              <w:rPr>
                <w:rFonts w:ascii="Cambria Math" w:hAnsi="Cambria Math" w:cs="Cambria Math"/>
              </w:rPr>
              <w:t>𝜌</w:t>
            </w:r>
            <w:r w:rsidRPr="00536CFD">
              <w:rPr>
                <w:vertAlign w:val="subscript"/>
              </w:rPr>
              <w:t>UL</w:t>
            </w:r>
          </w:p>
        </w:tc>
        <w:tc>
          <w:tcPr>
            <w:tcW w:w="0" w:type="auto"/>
            <w:tcBorders>
              <w:top w:val="nil"/>
              <w:left w:val="nil"/>
              <w:bottom w:val="single" w:sz="8" w:space="0" w:color="auto"/>
              <w:right w:val="single" w:sz="8" w:space="0" w:color="auto"/>
            </w:tcBorders>
            <w:hideMark/>
          </w:tcPr>
          <w:p w14:paraId="573027D7" w14:textId="77777777" w:rsidR="009D4A93" w:rsidRPr="00536CFD" w:rsidRDefault="009D4A93" w:rsidP="009D4A93">
            <w:pPr>
              <w:spacing w:after="0"/>
              <w:jc w:val="center"/>
              <w:rPr>
                <w:lang w:eastAsia="ko-KR"/>
              </w:rPr>
            </w:pPr>
            <w:r w:rsidRPr="00536CFD">
              <w:rPr>
                <w:lang w:eastAsia="ko-KR"/>
              </w:rPr>
              <w:t>0.96</w:t>
            </w:r>
          </w:p>
        </w:tc>
        <w:tc>
          <w:tcPr>
            <w:tcW w:w="0" w:type="auto"/>
            <w:tcBorders>
              <w:top w:val="nil"/>
              <w:left w:val="nil"/>
              <w:bottom w:val="single" w:sz="8" w:space="0" w:color="auto"/>
              <w:right w:val="single" w:sz="8" w:space="0" w:color="auto"/>
            </w:tcBorders>
            <w:hideMark/>
          </w:tcPr>
          <w:p w14:paraId="6D753FCA" w14:textId="77777777" w:rsidR="009D4A93" w:rsidRPr="00536CFD" w:rsidRDefault="009D4A93" w:rsidP="009D4A93">
            <w:pPr>
              <w:spacing w:after="0"/>
              <w:jc w:val="center"/>
              <w:rPr>
                <w:lang w:eastAsia="zh-CN"/>
              </w:rPr>
            </w:pPr>
            <w:r w:rsidRPr="00536CFD">
              <w:rPr>
                <w:lang w:eastAsia="ko-KR"/>
              </w:rPr>
              <w:t>0.97</w:t>
            </w:r>
          </w:p>
        </w:tc>
        <w:tc>
          <w:tcPr>
            <w:tcW w:w="0" w:type="auto"/>
            <w:tcBorders>
              <w:top w:val="nil"/>
              <w:left w:val="nil"/>
              <w:bottom w:val="single" w:sz="8" w:space="0" w:color="auto"/>
              <w:right w:val="single" w:sz="8" w:space="0" w:color="auto"/>
            </w:tcBorders>
            <w:hideMark/>
          </w:tcPr>
          <w:p w14:paraId="461D1CAC" w14:textId="77777777" w:rsidR="009D4A93" w:rsidRPr="00536CFD" w:rsidRDefault="009D4A93" w:rsidP="009D4A93">
            <w:pPr>
              <w:spacing w:after="0"/>
              <w:jc w:val="center"/>
            </w:pPr>
            <w:r w:rsidRPr="00536CFD">
              <w:rPr>
                <w:lang w:eastAsia="ko-KR"/>
              </w:rPr>
              <w:t>0.92</w:t>
            </w:r>
          </w:p>
        </w:tc>
        <w:tc>
          <w:tcPr>
            <w:tcW w:w="0" w:type="auto"/>
            <w:tcBorders>
              <w:top w:val="nil"/>
              <w:left w:val="nil"/>
              <w:bottom w:val="single" w:sz="8" w:space="0" w:color="auto"/>
              <w:right w:val="single" w:sz="8" w:space="0" w:color="auto"/>
            </w:tcBorders>
            <w:hideMark/>
          </w:tcPr>
          <w:p w14:paraId="65E1C8BA" w14:textId="77777777" w:rsidR="009D4A93" w:rsidRPr="00536CFD" w:rsidRDefault="009D4A93" w:rsidP="009D4A93">
            <w:pPr>
              <w:spacing w:after="0"/>
              <w:jc w:val="center"/>
              <w:rPr>
                <w:lang w:eastAsia="ko-KR"/>
              </w:rPr>
            </w:pPr>
            <w:r w:rsidRPr="00536CFD">
              <w:rPr>
                <w:lang w:eastAsia="ko-KR"/>
              </w:rPr>
              <w:t>0.91</w:t>
            </w:r>
          </w:p>
        </w:tc>
        <w:tc>
          <w:tcPr>
            <w:tcW w:w="0" w:type="auto"/>
            <w:tcBorders>
              <w:top w:val="nil"/>
              <w:left w:val="nil"/>
              <w:bottom w:val="single" w:sz="8" w:space="0" w:color="auto"/>
              <w:right w:val="single" w:sz="8" w:space="0" w:color="auto"/>
            </w:tcBorders>
            <w:hideMark/>
          </w:tcPr>
          <w:p w14:paraId="21DE6409" w14:textId="77777777" w:rsidR="009D4A93" w:rsidRPr="00536CFD" w:rsidRDefault="009D4A93" w:rsidP="009D4A93">
            <w:pPr>
              <w:spacing w:after="0"/>
              <w:jc w:val="center"/>
              <w:rPr>
                <w:lang w:eastAsia="zh-CN"/>
              </w:rPr>
            </w:pPr>
            <w:r w:rsidRPr="00536CFD">
              <w:rPr>
                <w:lang w:eastAsia="ko-KR"/>
              </w:rPr>
              <w:t>0.96</w:t>
            </w:r>
          </w:p>
        </w:tc>
        <w:tc>
          <w:tcPr>
            <w:tcW w:w="0" w:type="auto"/>
            <w:tcBorders>
              <w:top w:val="nil"/>
              <w:left w:val="nil"/>
              <w:bottom w:val="single" w:sz="8" w:space="0" w:color="auto"/>
              <w:right w:val="single" w:sz="8" w:space="0" w:color="auto"/>
            </w:tcBorders>
            <w:hideMark/>
          </w:tcPr>
          <w:p w14:paraId="6BB0664A" w14:textId="77777777" w:rsidR="009D4A93" w:rsidRPr="00536CFD" w:rsidRDefault="009D4A93" w:rsidP="009D4A93">
            <w:pPr>
              <w:spacing w:after="0"/>
              <w:jc w:val="center"/>
            </w:pPr>
            <w:r w:rsidRPr="00536CFD">
              <w:rPr>
                <w:lang w:eastAsia="ko-KR"/>
              </w:rPr>
              <w:t>0.90</w:t>
            </w:r>
          </w:p>
        </w:tc>
        <w:tc>
          <w:tcPr>
            <w:tcW w:w="0" w:type="auto"/>
            <w:tcBorders>
              <w:top w:val="nil"/>
              <w:left w:val="nil"/>
              <w:bottom w:val="single" w:sz="8" w:space="0" w:color="auto"/>
              <w:right w:val="single" w:sz="8" w:space="0" w:color="auto"/>
            </w:tcBorders>
            <w:hideMark/>
          </w:tcPr>
          <w:p w14:paraId="6951077C" w14:textId="77777777" w:rsidR="009D4A93" w:rsidRPr="00536CFD" w:rsidRDefault="009D4A93" w:rsidP="009D4A93">
            <w:pPr>
              <w:spacing w:after="0"/>
              <w:jc w:val="center"/>
              <w:rPr>
                <w:lang w:eastAsia="ko-KR"/>
              </w:rPr>
            </w:pPr>
            <w:r w:rsidRPr="00536CFD">
              <w:rPr>
                <w:lang w:eastAsia="ko-KR"/>
              </w:rPr>
              <w:t>0.82</w:t>
            </w:r>
          </w:p>
        </w:tc>
        <w:tc>
          <w:tcPr>
            <w:tcW w:w="0" w:type="auto"/>
            <w:tcBorders>
              <w:top w:val="nil"/>
              <w:left w:val="nil"/>
              <w:bottom w:val="single" w:sz="8" w:space="0" w:color="auto"/>
              <w:right w:val="single" w:sz="8" w:space="0" w:color="auto"/>
            </w:tcBorders>
            <w:hideMark/>
          </w:tcPr>
          <w:p w14:paraId="649921BF" w14:textId="77777777" w:rsidR="009D4A93" w:rsidRPr="00536CFD" w:rsidRDefault="009D4A93" w:rsidP="009D4A93">
            <w:pPr>
              <w:spacing w:after="0"/>
              <w:jc w:val="center"/>
              <w:rPr>
                <w:lang w:eastAsia="zh-CN"/>
              </w:rPr>
            </w:pPr>
            <w:r w:rsidRPr="00536CFD">
              <w:rPr>
                <w:lang w:eastAsia="ko-KR"/>
              </w:rPr>
              <w:t>0.96</w:t>
            </w:r>
          </w:p>
        </w:tc>
        <w:tc>
          <w:tcPr>
            <w:tcW w:w="0" w:type="auto"/>
            <w:tcBorders>
              <w:top w:val="nil"/>
              <w:left w:val="nil"/>
              <w:bottom w:val="single" w:sz="8" w:space="0" w:color="auto"/>
              <w:right w:val="single" w:sz="8" w:space="0" w:color="auto"/>
            </w:tcBorders>
            <w:hideMark/>
          </w:tcPr>
          <w:p w14:paraId="61B08655" w14:textId="77777777" w:rsidR="009D4A93" w:rsidRPr="00536CFD" w:rsidRDefault="009D4A93" w:rsidP="009D4A93">
            <w:pPr>
              <w:spacing w:after="0"/>
              <w:jc w:val="center"/>
            </w:pPr>
            <w:r w:rsidRPr="00536CFD">
              <w:rPr>
                <w:lang w:eastAsia="ko-KR"/>
              </w:rPr>
              <w:t>0.87</w:t>
            </w:r>
          </w:p>
        </w:tc>
      </w:tr>
      <w:tr w:rsidR="009D4A93" w:rsidRPr="00536CFD" w14:paraId="49F220FE"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451320E8" w14:textId="77777777" w:rsidR="009D4A93" w:rsidRPr="00536CFD" w:rsidRDefault="009D4A93" w:rsidP="009D4A93">
            <w:pPr>
              <w:spacing w:after="0"/>
              <w:rPr>
                <w:rFonts w:eastAsiaTheme="minorEastAsia"/>
              </w:rPr>
            </w:pPr>
          </w:p>
        </w:tc>
        <w:tc>
          <w:tcPr>
            <w:tcW w:w="0" w:type="auto"/>
            <w:gridSpan w:val="2"/>
            <w:tcBorders>
              <w:top w:val="nil"/>
              <w:left w:val="nil"/>
              <w:bottom w:val="single" w:sz="8" w:space="0" w:color="auto"/>
              <w:right w:val="single" w:sz="8" w:space="0" w:color="auto"/>
            </w:tcBorders>
            <w:hideMark/>
          </w:tcPr>
          <w:p w14:paraId="09E23655" w14:textId="77777777" w:rsidR="009D4A93" w:rsidRPr="00536CFD" w:rsidRDefault="009D4A93" w:rsidP="009D4A93">
            <w:pPr>
              <w:spacing w:after="0"/>
              <w:jc w:val="center"/>
            </w:pPr>
            <w:r w:rsidRPr="00536CFD">
              <w:t>BO</w:t>
            </w:r>
          </w:p>
        </w:tc>
        <w:tc>
          <w:tcPr>
            <w:tcW w:w="0" w:type="auto"/>
            <w:tcBorders>
              <w:top w:val="nil"/>
              <w:left w:val="nil"/>
              <w:bottom w:val="single" w:sz="8" w:space="0" w:color="auto"/>
              <w:right w:val="single" w:sz="8" w:space="0" w:color="auto"/>
            </w:tcBorders>
            <w:hideMark/>
          </w:tcPr>
          <w:p w14:paraId="464B0A62" w14:textId="77777777" w:rsidR="009D4A93" w:rsidRPr="00536CFD" w:rsidRDefault="009D4A93" w:rsidP="009D4A93">
            <w:pPr>
              <w:spacing w:after="0"/>
              <w:jc w:val="center"/>
              <w:rPr>
                <w:lang w:eastAsia="ko-KR"/>
              </w:rPr>
            </w:pPr>
            <w:r w:rsidRPr="00536CFD">
              <w:rPr>
                <w:lang w:eastAsia="ko-KR"/>
              </w:rPr>
              <w:t>0.17</w:t>
            </w:r>
          </w:p>
        </w:tc>
        <w:tc>
          <w:tcPr>
            <w:tcW w:w="0" w:type="auto"/>
            <w:tcBorders>
              <w:top w:val="nil"/>
              <w:left w:val="nil"/>
              <w:bottom w:val="single" w:sz="8" w:space="0" w:color="auto"/>
              <w:right w:val="single" w:sz="8" w:space="0" w:color="auto"/>
            </w:tcBorders>
            <w:hideMark/>
          </w:tcPr>
          <w:p w14:paraId="47DA3196" w14:textId="77777777" w:rsidR="009D4A93" w:rsidRPr="00536CFD" w:rsidRDefault="009D4A93" w:rsidP="009D4A93">
            <w:pPr>
              <w:spacing w:after="0"/>
              <w:jc w:val="center"/>
              <w:rPr>
                <w:lang w:eastAsia="zh-CN"/>
              </w:rPr>
            </w:pPr>
            <w:r w:rsidRPr="00536CFD">
              <w:rPr>
                <w:lang w:eastAsia="ko-KR"/>
              </w:rPr>
              <w:t>0.19</w:t>
            </w:r>
          </w:p>
        </w:tc>
        <w:tc>
          <w:tcPr>
            <w:tcW w:w="0" w:type="auto"/>
            <w:tcBorders>
              <w:top w:val="nil"/>
              <w:left w:val="nil"/>
              <w:bottom w:val="single" w:sz="8" w:space="0" w:color="auto"/>
              <w:right w:val="single" w:sz="8" w:space="0" w:color="auto"/>
            </w:tcBorders>
            <w:hideMark/>
          </w:tcPr>
          <w:p w14:paraId="18AD151F" w14:textId="77777777" w:rsidR="009D4A93" w:rsidRPr="00536CFD" w:rsidRDefault="009D4A93" w:rsidP="009D4A93">
            <w:pPr>
              <w:spacing w:after="0"/>
              <w:jc w:val="center"/>
            </w:pPr>
            <w:r w:rsidRPr="00536CFD">
              <w:rPr>
                <w:lang w:eastAsia="ko-KR"/>
              </w:rPr>
              <w:t>0.32</w:t>
            </w:r>
          </w:p>
        </w:tc>
        <w:tc>
          <w:tcPr>
            <w:tcW w:w="0" w:type="auto"/>
            <w:tcBorders>
              <w:top w:val="nil"/>
              <w:left w:val="nil"/>
              <w:bottom w:val="single" w:sz="8" w:space="0" w:color="auto"/>
              <w:right w:val="single" w:sz="8" w:space="0" w:color="auto"/>
            </w:tcBorders>
            <w:hideMark/>
          </w:tcPr>
          <w:p w14:paraId="431000A2" w14:textId="77777777" w:rsidR="009D4A93" w:rsidRPr="00536CFD" w:rsidRDefault="009D4A93" w:rsidP="009D4A93">
            <w:pPr>
              <w:spacing w:after="0"/>
              <w:jc w:val="center"/>
              <w:rPr>
                <w:lang w:eastAsia="ko-KR"/>
              </w:rPr>
            </w:pPr>
            <w:r w:rsidRPr="00536CFD">
              <w:rPr>
                <w:lang w:eastAsia="ko-KR"/>
              </w:rPr>
              <w:t>0.38</w:t>
            </w:r>
          </w:p>
        </w:tc>
        <w:tc>
          <w:tcPr>
            <w:tcW w:w="0" w:type="auto"/>
            <w:tcBorders>
              <w:top w:val="nil"/>
              <w:left w:val="nil"/>
              <w:bottom w:val="single" w:sz="8" w:space="0" w:color="auto"/>
              <w:right w:val="single" w:sz="8" w:space="0" w:color="auto"/>
            </w:tcBorders>
            <w:hideMark/>
          </w:tcPr>
          <w:p w14:paraId="57F50D6F" w14:textId="77777777" w:rsidR="009D4A93" w:rsidRPr="00536CFD" w:rsidRDefault="009D4A93" w:rsidP="009D4A93">
            <w:pPr>
              <w:spacing w:after="0"/>
              <w:jc w:val="center"/>
              <w:rPr>
                <w:lang w:eastAsia="zh-CN"/>
              </w:rPr>
            </w:pPr>
            <w:r w:rsidRPr="00536CFD">
              <w:rPr>
                <w:lang w:eastAsia="ko-KR"/>
              </w:rPr>
              <w:t>0.25</w:t>
            </w:r>
          </w:p>
        </w:tc>
        <w:tc>
          <w:tcPr>
            <w:tcW w:w="0" w:type="auto"/>
            <w:tcBorders>
              <w:top w:val="nil"/>
              <w:left w:val="nil"/>
              <w:bottom w:val="single" w:sz="8" w:space="0" w:color="auto"/>
              <w:right w:val="single" w:sz="8" w:space="0" w:color="auto"/>
            </w:tcBorders>
            <w:hideMark/>
          </w:tcPr>
          <w:p w14:paraId="6F113935" w14:textId="77777777" w:rsidR="009D4A93" w:rsidRPr="00536CFD" w:rsidRDefault="009D4A93" w:rsidP="009D4A93">
            <w:pPr>
              <w:spacing w:after="0"/>
              <w:jc w:val="center"/>
            </w:pPr>
            <w:r w:rsidRPr="00536CFD">
              <w:rPr>
                <w:lang w:eastAsia="ko-KR"/>
              </w:rPr>
              <w:t>0.44</w:t>
            </w:r>
          </w:p>
        </w:tc>
        <w:tc>
          <w:tcPr>
            <w:tcW w:w="0" w:type="auto"/>
            <w:tcBorders>
              <w:top w:val="nil"/>
              <w:left w:val="nil"/>
              <w:bottom w:val="single" w:sz="8" w:space="0" w:color="auto"/>
              <w:right w:val="single" w:sz="8" w:space="0" w:color="auto"/>
            </w:tcBorders>
            <w:hideMark/>
          </w:tcPr>
          <w:p w14:paraId="02CC96F3" w14:textId="77777777" w:rsidR="009D4A93" w:rsidRPr="00536CFD" w:rsidRDefault="009D4A93" w:rsidP="009D4A93">
            <w:pPr>
              <w:spacing w:after="0"/>
              <w:jc w:val="center"/>
              <w:rPr>
                <w:lang w:eastAsia="ko-KR"/>
              </w:rPr>
            </w:pPr>
            <w:r w:rsidRPr="00536CFD">
              <w:rPr>
                <w:lang w:eastAsia="ko-KR"/>
              </w:rPr>
              <w:t>0.61</w:t>
            </w:r>
          </w:p>
        </w:tc>
        <w:tc>
          <w:tcPr>
            <w:tcW w:w="0" w:type="auto"/>
            <w:tcBorders>
              <w:top w:val="nil"/>
              <w:left w:val="nil"/>
              <w:bottom w:val="single" w:sz="8" w:space="0" w:color="auto"/>
              <w:right w:val="single" w:sz="8" w:space="0" w:color="auto"/>
            </w:tcBorders>
            <w:hideMark/>
          </w:tcPr>
          <w:p w14:paraId="7DC7A2F1" w14:textId="77777777" w:rsidR="009D4A93" w:rsidRPr="00536CFD" w:rsidRDefault="009D4A93" w:rsidP="009D4A93">
            <w:pPr>
              <w:spacing w:after="0"/>
              <w:jc w:val="center"/>
              <w:rPr>
                <w:lang w:eastAsia="zh-CN"/>
              </w:rPr>
            </w:pPr>
            <w:r w:rsidRPr="00536CFD">
              <w:rPr>
                <w:lang w:eastAsia="ko-KR"/>
              </w:rPr>
              <w:t>0.30</w:t>
            </w:r>
          </w:p>
        </w:tc>
        <w:tc>
          <w:tcPr>
            <w:tcW w:w="0" w:type="auto"/>
            <w:tcBorders>
              <w:top w:val="nil"/>
              <w:left w:val="nil"/>
              <w:bottom w:val="single" w:sz="8" w:space="0" w:color="auto"/>
              <w:right w:val="single" w:sz="8" w:space="0" w:color="auto"/>
            </w:tcBorders>
            <w:hideMark/>
          </w:tcPr>
          <w:p w14:paraId="6EC3005F" w14:textId="77777777" w:rsidR="009D4A93" w:rsidRPr="00536CFD" w:rsidRDefault="009D4A93" w:rsidP="009D4A93">
            <w:pPr>
              <w:spacing w:after="0"/>
              <w:jc w:val="center"/>
            </w:pPr>
            <w:r w:rsidRPr="00536CFD">
              <w:rPr>
                <w:lang w:eastAsia="ko-KR"/>
              </w:rPr>
              <w:t>0.54</w:t>
            </w:r>
          </w:p>
        </w:tc>
      </w:tr>
      <w:tr w:rsidR="009D4A93" w:rsidRPr="00536CFD" w14:paraId="794B2FF2"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68E87A13" w14:textId="77777777" w:rsidR="009D4A93" w:rsidRPr="00536CFD" w:rsidRDefault="009D4A93" w:rsidP="009D4A93">
            <w:pPr>
              <w:spacing w:after="0"/>
              <w:rPr>
                <w:rFonts w:eastAsiaTheme="minorEastAsia"/>
              </w:rPr>
            </w:pPr>
          </w:p>
        </w:tc>
        <w:tc>
          <w:tcPr>
            <w:tcW w:w="0" w:type="auto"/>
            <w:gridSpan w:val="2"/>
            <w:tcBorders>
              <w:top w:val="nil"/>
              <w:left w:val="nil"/>
              <w:bottom w:val="single" w:sz="8" w:space="0" w:color="auto"/>
              <w:right w:val="single" w:sz="8" w:space="0" w:color="auto"/>
            </w:tcBorders>
            <w:hideMark/>
          </w:tcPr>
          <w:p w14:paraId="39A027E2" w14:textId="77777777" w:rsidR="009D4A93" w:rsidRPr="00536CFD" w:rsidRDefault="009D4A93" w:rsidP="009D4A93">
            <w:pPr>
              <w:spacing w:after="0"/>
              <w:jc w:val="center"/>
            </w:pPr>
            <w:r w:rsidRPr="00536CFD">
              <w:rPr>
                <w:rFonts w:ascii="Cambria Math" w:hAnsi="Cambria Math" w:cs="Cambria Math"/>
              </w:rPr>
              <w:t>𝜆</w:t>
            </w:r>
          </w:p>
        </w:tc>
        <w:tc>
          <w:tcPr>
            <w:tcW w:w="0" w:type="auto"/>
            <w:gridSpan w:val="3"/>
            <w:tcBorders>
              <w:top w:val="nil"/>
              <w:left w:val="nil"/>
              <w:bottom w:val="single" w:sz="8" w:space="0" w:color="auto"/>
              <w:right w:val="single" w:sz="8" w:space="0" w:color="auto"/>
            </w:tcBorders>
            <w:hideMark/>
          </w:tcPr>
          <w:p w14:paraId="5026E20A" w14:textId="77777777" w:rsidR="009D4A93" w:rsidRPr="00536CFD" w:rsidRDefault="009D4A93" w:rsidP="009D4A93">
            <w:pPr>
              <w:spacing w:after="0"/>
              <w:jc w:val="center"/>
              <w:rPr>
                <w:lang w:eastAsia="ko-KR"/>
              </w:rPr>
            </w:pPr>
            <w:r w:rsidRPr="00536CFD">
              <w:rPr>
                <w:lang w:eastAsia="ko-KR"/>
              </w:rPr>
              <w:t>0.06</w:t>
            </w:r>
          </w:p>
        </w:tc>
        <w:tc>
          <w:tcPr>
            <w:tcW w:w="0" w:type="auto"/>
            <w:gridSpan w:val="3"/>
            <w:tcBorders>
              <w:top w:val="nil"/>
              <w:left w:val="nil"/>
              <w:bottom w:val="single" w:sz="8" w:space="0" w:color="auto"/>
              <w:right w:val="single" w:sz="8" w:space="0" w:color="auto"/>
            </w:tcBorders>
            <w:hideMark/>
          </w:tcPr>
          <w:p w14:paraId="7EBA8AC5" w14:textId="77777777" w:rsidR="009D4A93" w:rsidRPr="00536CFD" w:rsidRDefault="009D4A93" w:rsidP="009D4A93">
            <w:pPr>
              <w:spacing w:after="0"/>
              <w:jc w:val="center"/>
              <w:rPr>
                <w:lang w:eastAsia="ko-KR"/>
              </w:rPr>
            </w:pPr>
            <w:r w:rsidRPr="00536CFD">
              <w:rPr>
                <w:lang w:eastAsia="ko-KR"/>
              </w:rPr>
              <w:t>0.11</w:t>
            </w:r>
          </w:p>
        </w:tc>
        <w:tc>
          <w:tcPr>
            <w:tcW w:w="0" w:type="auto"/>
            <w:gridSpan w:val="3"/>
            <w:tcBorders>
              <w:top w:val="nil"/>
              <w:left w:val="nil"/>
              <w:bottom w:val="single" w:sz="8" w:space="0" w:color="auto"/>
              <w:right w:val="single" w:sz="8" w:space="0" w:color="auto"/>
            </w:tcBorders>
            <w:hideMark/>
          </w:tcPr>
          <w:p w14:paraId="556AB268" w14:textId="77777777" w:rsidR="009D4A93" w:rsidRPr="00536CFD" w:rsidRDefault="009D4A93" w:rsidP="009D4A93">
            <w:pPr>
              <w:spacing w:after="0"/>
              <w:jc w:val="center"/>
              <w:rPr>
                <w:lang w:eastAsia="ko-KR"/>
              </w:rPr>
            </w:pPr>
            <w:r w:rsidRPr="00536CFD">
              <w:rPr>
                <w:lang w:eastAsia="ko-KR"/>
              </w:rPr>
              <w:t>0.14</w:t>
            </w:r>
          </w:p>
        </w:tc>
      </w:tr>
      <w:tr w:rsidR="009D4A93" w:rsidRPr="00536CFD" w14:paraId="6F14A8FE" w14:textId="77777777" w:rsidTr="00536CFD">
        <w:trPr>
          <w:cantSplit/>
          <w:trHeight w:val="22"/>
          <w:jc w:val="center"/>
        </w:trPr>
        <w:tc>
          <w:tcPr>
            <w:tcW w:w="0" w:type="auto"/>
            <w:vMerge/>
            <w:tcBorders>
              <w:top w:val="nil"/>
              <w:left w:val="single" w:sz="8" w:space="0" w:color="auto"/>
              <w:bottom w:val="single" w:sz="8" w:space="0" w:color="auto"/>
              <w:right w:val="single" w:sz="8" w:space="0" w:color="auto"/>
            </w:tcBorders>
            <w:vAlign w:val="center"/>
            <w:hideMark/>
          </w:tcPr>
          <w:p w14:paraId="547B53E5" w14:textId="77777777" w:rsidR="009D4A93" w:rsidRPr="00536CFD" w:rsidRDefault="009D4A93" w:rsidP="009D4A93">
            <w:pPr>
              <w:spacing w:after="0"/>
              <w:rPr>
                <w:rFonts w:eastAsiaTheme="minorEastAsia"/>
              </w:rPr>
            </w:pPr>
          </w:p>
        </w:tc>
        <w:tc>
          <w:tcPr>
            <w:tcW w:w="0" w:type="auto"/>
            <w:gridSpan w:val="2"/>
            <w:tcBorders>
              <w:top w:val="nil"/>
              <w:left w:val="nil"/>
              <w:bottom w:val="single" w:sz="8" w:space="0" w:color="auto"/>
              <w:right w:val="single" w:sz="8" w:space="0" w:color="auto"/>
            </w:tcBorders>
          </w:tcPr>
          <w:p w14:paraId="1A4E5122" w14:textId="77777777" w:rsidR="009D4A93" w:rsidRPr="00536CFD" w:rsidRDefault="009D4A93" w:rsidP="009D4A93">
            <w:pPr>
              <w:spacing w:after="0"/>
              <w:rPr>
                <w:lang w:eastAsia="zh-CN"/>
              </w:rPr>
            </w:pPr>
          </w:p>
        </w:tc>
        <w:tc>
          <w:tcPr>
            <w:tcW w:w="0" w:type="auto"/>
            <w:gridSpan w:val="9"/>
            <w:tcBorders>
              <w:top w:val="nil"/>
              <w:left w:val="nil"/>
              <w:bottom w:val="single" w:sz="8" w:space="0" w:color="auto"/>
              <w:right w:val="single" w:sz="8" w:space="0" w:color="auto"/>
            </w:tcBorders>
            <w:hideMark/>
          </w:tcPr>
          <w:p w14:paraId="498B5021" w14:textId="77777777" w:rsidR="009D4A93" w:rsidRPr="00536CFD" w:rsidRDefault="009D4A93" w:rsidP="009D4A93">
            <w:pPr>
              <w:spacing w:after="0"/>
            </w:pPr>
            <w:r w:rsidRPr="00536CFD">
              <w:t>Additional comments:</w:t>
            </w:r>
          </w:p>
          <w:p w14:paraId="008DE679" w14:textId="77777777" w:rsidR="009D4A93" w:rsidRPr="00536CFD" w:rsidRDefault="009D4A93" w:rsidP="009D4A93">
            <w:pPr>
              <w:spacing w:after="0"/>
            </w:pPr>
            <w:r w:rsidRPr="00536CFD">
              <w:t>- TxOP assumptions of WiFi and NR-U: Up to 4 msec TxOP for both DL/UL Wi-Fi and DL/UL NR-U transmission</w:t>
            </w:r>
          </w:p>
          <w:p w14:paraId="5ECF5352" w14:textId="77777777" w:rsidR="009D4A93" w:rsidRPr="00536CFD" w:rsidRDefault="009D4A93" w:rsidP="009D4A93">
            <w:pPr>
              <w:spacing w:after="0"/>
            </w:pPr>
            <w:r w:rsidRPr="00536CFD">
              <w:t>- Is RTS/CTS enabled for WiFi: No</w:t>
            </w:r>
          </w:p>
          <w:p w14:paraId="52BC66CD" w14:textId="77777777" w:rsidR="009D4A93" w:rsidRPr="00536CFD" w:rsidRDefault="009D4A93" w:rsidP="009D4A93">
            <w:pPr>
              <w:spacing w:after="0"/>
            </w:pPr>
            <w:r w:rsidRPr="00536CFD">
              <w:t>- PD/ED threshold assumptions: For Wi-Fi, -82/62 dBm PD/ED threshold and for NR-U, -72 dBm ED threshold</w:t>
            </w:r>
          </w:p>
          <w:p w14:paraId="20C0AF00" w14:textId="77777777" w:rsidR="009D4A93" w:rsidRPr="00536CFD" w:rsidRDefault="009D4A93" w:rsidP="009D4A93">
            <w:pPr>
              <w:spacing w:after="0"/>
            </w:pPr>
            <w:r w:rsidRPr="00536CFD">
              <w:t>- Max modulation order supported in each technology: 64 QAM for both Wi-Fi and NR-U</w:t>
            </w:r>
          </w:p>
          <w:p w14:paraId="1B065564" w14:textId="77777777" w:rsidR="009D4A93" w:rsidRPr="00536CFD" w:rsidRDefault="009D4A93" w:rsidP="009D4A93">
            <w:pPr>
              <w:spacing w:after="0"/>
            </w:pPr>
            <w:r w:rsidRPr="00536CFD">
              <w:t>- MIMO scheme and number of MIMO layers used for both technologies: 1Tx2Rx antenna configuration for both Wi-Fi and NR-U</w:t>
            </w:r>
          </w:p>
          <w:p w14:paraId="5D068E41" w14:textId="77777777" w:rsidR="009D4A93" w:rsidRPr="00536CFD" w:rsidRDefault="009D4A93" w:rsidP="009D4A93">
            <w:pPr>
              <w:spacing w:after="0"/>
            </w:pPr>
            <w:r w:rsidRPr="00536CFD">
              <w:t>- WiFi MAC layer A-MPDU/A-MSDU aggregation level, MPDU size: 802.11ac</w:t>
            </w:r>
          </w:p>
          <w:p w14:paraId="5F8C44E7" w14:textId="77777777" w:rsidR="009D4A93" w:rsidRPr="00536CFD" w:rsidRDefault="009D4A93" w:rsidP="009D4A93">
            <w:pPr>
              <w:spacing w:after="0"/>
            </w:pPr>
            <w:r w:rsidRPr="00536CFD">
              <w:t>- NR-U SCS: 15 kHz</w:t>
            </w:r>
          </w:p>
          <w:p w14:paraId="233C4456" w14:textId="62C83A85" w:rsidR="009D4A93" w:rsidRPr="00536CFD" w:rsidRDefault="009D4A93" w:rsidP="009D4A93">
            <w:pPr>
              <w:spacing w:after="0"/>
            </w:pPr>
            <w:r w:rsidRPr="00536CFD">
              <w:t xml:space="preserve">- WiFi guard interval: 0.8 </w:t>
            </w:r>
            <w:r w:rsidR="00200090" w:rsidRPr="00C64ECB">
              <w:rPr>
                <w:rFonts w:ascii="Symbol" w:hAnsi="Symbol"/>
              </w:rPr>
              <w:t></w:t>
            </w:r>
            <w:r w:rsidRPr="00536CFD">
              <w:t>sec</w:t>
            </w:r>
          </w:p>
          <w:p w14:paraId="5A1658BA" w14:textId="77777777" w:rsidR="009D4A93" w:rsidRPr="00536CFD" w:rsidRDefault="009D4A93" w:rsidP="009D4A93">
            <w:pPr>
              <w:spacing w:after="0"/>
            </w:pPr>
            <w:r w:rsidRPr="00536CFD">
              <w:t>- NR UE processing time capability (#1 or #2): Processing time capability #1</w:t>
            </w:r>
          </w:p>
          <w:p w14:paraId="2656CE55" w14:textId="77777777" w:rsidR="009D4A93" w:rsidRPr="00536CFD" w:rsidRDefault="009D4A93" w:rsidP="009D4A93">
            <w:pPr>
              <w:spacing w:after="0"/>
            </w:pPr>
            <w:r w:rsidRPr="00536CFD">
              <w:t>- NR PDSCH/PUSCH mapping type, PDCCH monitoring configuration: For PDSCH, PDSCH mapping type A and B (with 7 symbols), for PUSCH, PUSCH mapping type A with 14 symbols, for PDCCH, PDCCH monitoring every 7 symbols</w:t>
            </w:r>
          </w:p>
          <w:p w14:paraId="6B3668E5" w14:textId="77777777" w:rsidR="009D4A93" w:rsidRPr="00536CFD" w:rsidRDefault="009D4A93" w:rsidP="009D4A93">
            <w:pPr>
              <w:spacing w:after="0"/>
            </w:pPr>
            <w:r w:rsidRPr="00536CFD">
              <w:t>- Link adaptation assumptions: For Wi-Fi, open loop rate adaptation, for NR-U, realistic closed loop link adaptation</w:t>
            </w:r>
          </w:p>
          <w:p w14:paraId="2163071D" w14:textId="77777777" w:rsidR="009D4A93" w:rsidRPr="00536CFD" w:rsidRDefault="009D4A93" w:rsidP="009D4A93">
            <w:pPr>
              <w:spacing w:after="0"/>
            </w:pPr>
            <w:r w:rsidRPr="00536CFD">
              <w:t>- Cross-carrier scheduling for NR-U</w:t>
            </w:r>
          </w:p>
        </w:tc>
      </w:tr>
    </w:tbl>
    <w:p w14:paraId="06A400BA" w14:textId="77777777" w:rsidR="009D4A93" w:rsidRPr="00C64ECB" w:rsidRDefault="009D4A93" w:rsidP="009D4A93"/>
    <w:p w14:paraId="5CBC9B23" w14:textId="77777777" w:rsidR="009D4A93" w:rsidRPr="00C64ECB" w:rsidRDefault="009D4A93" w:rsidP="009D4A93">
      <w:pPr>
        <w:pStyle w:val="TH"/>
        <w:keepNext w:val="0"/>
        <w:keepLines w:val="0"/>
        <w:pageBreakBefore/>
      </w:pPr>
      <w:r w:rsidRPr="00C64ECB">
        <w:t>Table B.1.2-2: Wi-Fi and NR-U coexistence evaluation with 20MHz and mixed traffic</w:t>
      </w:r>
    </w:p>
    <w:tbl>
      <w:tblPr>
        <w:tblW w:w="4667" w:type="pct"/>
        <w:tblInd w:w="5" w:type="dxa"/>
        <w:tblLayout w:type="fixed"/>
        <w:tblLook w:val="04A0" w:firstRow="1" w:lastRow="0" w:firstColumn="1" w:lastColumn="0" w:noHBand="0" w:noVBand="1"/>
      </w:tblPr>
      <w:tblGrid>
        <w:gridCol w:w="1165"/>
        <w:gridCol w:w="624"/>
        <w:gridCol w:w="631"/>
        <w:gridCol w:w="721"/>
        <w:gridCol w:w="668"/>
        <w:gridCol w:w="785"/>
        <w:gridCol w:w="936"/>
        <w:gridCol w:w="931"/>
        <w:gridCol w:w="866"/>
        <w:gridCol w:w="785"/>
        <w:gridCol w:w="873"/>
      </w:tblGrid>
      <w:tr w:rsidR="009D4A93" w:rsidRPr="00536CFD" w14:paraId="3D392103" w14:textId="77777777" w:rsidTr="00536CFD">
        <w:trPr>
          <w:trHeight w:val="248"/>
        </w:trPr>
        <w:tc>
          <w:tcPr>
            <w:tcW w:w="648" w:type="pct"/>
            <w:vMerge w:val="restart"/>
            <w:tcBorders>
              <w:top w:val="single" w:sz="4" w:space="0" w:color="auto"/>
              <w:left w:val="single" w:sz="4" w:space="0" w:color="auto"/>
              <w:bottom w:val="single" w:sz="4" w:space="0" w:color="auto"/>
              <w:right w:val="single" w:sz="4" w:space="0" w:color="auto"/>
            </w:tcBorders>
          </w:tcPr>
          <w:p w14:paraId="3FF8884D" w14:textId="77777777" w:rsidR="00536CFD" w:rsidRDefault="009D4A93" w:rsidP="00536CFD">
            <w:pPr>
              <w:spacing w:after="0"/>
              <w:jc w:val="center"/>
              <w:rPr>
                <w:lang w:val="en-US" w:bidi="ar"/>
              </w:rPr>
            </w:pPr>
            <w:r w:rsidRPr="00536CFD">
              <w:rPr>
                <w:lang w:val="en-US" w:bidi="ar"/>
              </w:rPr>
              <w:t>Tdoc/</w:t>
            </w:r>
          </w:p>
          <w:p w14:paraId="4A987710" w14:textId="68A93F91" w:rsidR="009D4A93" w:rsidRPr="00536CFD" w:rsidRDefault="009D4A93" w:rsidP="00536CFD">
            <w:pPr>
              <w:spacing w:after="0"/>
              <w:jc w:val="center"/>
              <w:rPr>
                <w:lang w:val="en-US" w:bidi="ar"/>
              </w:rPr>
            </w:pPr>
            <w:r w:rsidRPr="00536CFD">
              <w:rPr>
                <w:lang w:val="en-US" w:bidi="ar"/>
              </w:rPr>
              <w:t>Source</w:t>
            </w:r>
          </w:p>
        </w:tc>
        <w:tc>
          <w:tcPr>
            <w:tcW w:w="698" w:type="pct"/>
            <w:gridSpan w:val="2"/>
            <w:tcBorders>
              <w:top w:val="single" w:sz="8" w:space="0" w:color="auto"/>
              <w:left w:val="single" w:sz="4" w:space="0" w:color="auto"/>
              <w:bottom w:val="single" w:sz="8" w:space="0" w:color="auto"/>
              <w:right w:val="single" w:sz="8" w:space="0" w:color="000000"/>
            </w:tcBorders>
            <w:shd w:val="clear" w:color="auto" w:fill="auto"/>
            <w:noWrap/>
            <w:vAlign w:val="center"/>
          </w:tcPr>
          <w:p w14:paraId="561C897C" w14:textId="77777777" w:rsidR="009D4A93" w:rsidRPr="00536CFD" w:rsidRDefault="009D4A93" w:rsidP="009D4A93">
            <w:pPr>
              <w:spacing w:after="0"/>
              <w:jc w:val="center"/>
              <w:rPr>
                <w:rFonts w:eastAsia="Times New Roman"/>
                <w:color w:val="000000"/>
              </w:rPr>
            </w:pPr>
            <w:r w:rsidRPr="00536CFD">
              <w:rPr>
                <w:lang w:val="en-US" w:bidi="ar"/>
              </w:rPr>
              <w:t>Reported parameters</w:t>
            </w:r>
          </w:p>
        </w:tc>
        <w:tc>
          <w:tcPr>
            <w:tcW w:w="3654" w:type="pct"/>
            <w:gridSpan w:val="8"/>
            <w:tcBorders>
              <w:top w:val="single" w:sz="8" w:space="0" w:color="auto"/>
              <w:left w:val="nil"/>
              <w:bottom w:val="single" w:sz="8" w:space="0" w:color="auto"/>
              <w:right w:val="single" w:sz="8" w:space="0" w:color="000000"/>
            </w:tcBorders>
            <w:shd w:val="clear" w:color="auto" w:fill="auto"/>
            <w:noWrap/>
            <w:vAlign w:val="center"/>
          </w:tcPr>
          <w:p w14:paraId="1FD350BC" w14:textId="77777777" w:rsidR="009D4A93" w:rsidRPr="00536CFD" w:rsidRDefault="009D4A93" w:rsidP="009D4A93">
            <w:pPr>
              <w:spacing w:after="0"/>
              <w:jc w:val="center"/>
              <w:rPr>
                <w:u w:val="single"/>
              </w:rPr>
            </w:pPr>
            <w:r w:rsidRPr="00536CFD">
              <w:rPr>
                <w:u w:val="single"/>
              </w:rPr>
              <w:t xml:space="preserve">High load  : </w:t>
            </w:r>
          </w:p>
          <w:p w14:paraId="08CD0B5A" w14:textId="77777777" w:rsidR="009D4A93" w:rsidRPr="00536CFD" w:rsidRDefault="009D4A93" w:rsidP="009D4A93">
            <w:pPr>
              <w:spacing w:after="0"/>
              <w:jc w:val="center"/>
              <w:rPr>
                <w:rFonts w:eastAsiaTheme="minorHAnsi"/>
                <w:u w:val="single"/>
              </w:rPr>
            </w:pPr>
            <w:r w:rsidRPr="00536CFD">
              <w:rPr>
                <w:lang w:val="en-US" w:bidi="ar"/>
              </w:rPr>
              <w:t>BO range for Wi-Fi in Wi</w:t>
            </w:r>
            <w:r w:rsidRPr="00536CFD">
              <w:rPr>
                <w:lang w:bidi="ar"/>
              </w:rPr>
              <w:t>-</w:t>
            </w:r>
            <w:r w:rsidRPr="00536CFD">
              <w:rPr>
                <w:lang w:val="en-US" w:bidi="ar"/>
              </w:rPr>
              <w:t>Fi+Wi</w:t>
            </w:r>
            <w:r w:rsidRPr="00536CFD">
              <w:rPr>
                <w:lang w:bidi="ar"/>
              </w:rPr>
              <w:t>-</w:t>
            </w:r>
            <w:r w:rsidRPr="00536CFD">
              <w:rPr>
                <w:lang w:val="en-US" w:bidi="ar"/>
              </w:rPr>
              <w:t>Fi: above 55%</w:t>
            </w:r>
          </w:p>
        </w:tc>
      </w:tr>
      <w:tr w:rsidR="009D4A93" w:rsidRPr="00536CFD" w14:paraId="3C9CF58D" w14:textId="77777777" w:rsidTr="00536CFD">
        <w:trPr>
          <w:trHeight w:val="248"/>
        </w:trPr>
        <w:tc>
          <w:tcPr>
            <w:tcW w:w="648" w:type="pct"/>
            <w:vMerge/>
            <w:tcBorders>
              <w:top w:val="single" w:sz="4" w:space="0" w:color="auto"/>
              <w:left w:val="single" w:sz="4" w:space="0" w:color="auto"/>
              <w:bottom w:val="single" w:sz="4" w:space="0" w:color="auto"/>
              <w:right w:val="single" w:sz="4" w:space="0" w:color="auto"/>
            </w:tcBorders>
            <w:textDirection w:val="btLr"/>
          </w:tcPr>
          <w:p w14:paraId="53B43519" w14:textId="77777777" w:rsidR="009D4A93" w:rsidRPr="00536CFD" w:rsidRDefault="009D4A93" w:rsidP="00536CFD">
            <w:pPr>
              <w:spacing w:after="0"/>
              <w:ind w:left="113" w:right="113"/>
              <w:jc w:val="center"/>
              <w:rPr>
                <w:rFonts w:eastAsia="Times New Roman"/>
                <w:color w:val="000000"/>
              </w:rPr>
            </w:pPr>
          </w:p>
        </w:tc>
        <w:tc>
          <w:tcPr>
            <w:tcW w:w="698" w:type="pct"/>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4365E516" w14:textId="77777777" w:rsidR="009D4A93" w:rsidRPr="00536CFD" w:rsidRDefault="009D4A93" w:rsidP="009D4A93">
            <w:pPr>
              <w:spacing w:after="0"/>
              <w:jc w:val="center"/>
              <w:rPr>
                <w:rFonts w:eastAsia="Times New Roman"/>
                <w:color w:val="000000"/>
              </w:rPr>
            </w:pPr>
            <w:r w:rsidRPr="00536CFD">
              <w:rPr>
                <w:rFonts w:eastAsia="Times New Roman"/>
                <w:color w:val="000000"/>
              </w:rPr>
              <w:t> </w:t>
            </w:r>
          </w:p>
        </w:tc>
        <w:tc>
          <w:tcPr>
            <w:tcW w:w="77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37125123" w14:textId="77777777" w:rsidR="009D4A93" w:rsidRPr="00536CFD" w:rsidRDefault="009D4A93" w:rsidP="009D4A93">
            <w:pPr>
              <w:spacing w:after="0"/>
              <w:jc w:val="center"/>
              <w:rPr>
                <w:rFonts w:eastAsia="Times New Roman"/>
                <w:color w:val="000000"/>
              </w:rPr>
            </w:pPr>
            <w:r w:rsidRPr="00536CFD">
              <w:rPr>
                <w:rFonts w:eastAsia="Times New Roman"/>
                <w:color w:val="000000"/>
              </w:rPr>
              <w:t>baseline</w:t>
            </w:r>
          </w:p>
        </w:tc>
        <w:tc>
          <w:tcPr>
            <w:tcW w:w="958" w:type="pct"/>
            <w:gridSpan w:val="2"/>
            <w:tcBorders>
              <w:top w:val="single" w:sz="8" w:space="0" w:color="auto"/>
              <w:left w:val="single" w:sz="8" w:space="0" w:color="000000"/>
              <w:bottom w:val="single" w:sz="8" w:space="0" w:color="auto"/>
              <w:right w:val="single" w:sz="8" w:space="0" w:color="000000"/>
            </w:tcBorders>
            <w:shd w:val="clear" w:color="auto" w:fill="auto"/>
            <w:noWrap/>
            <w:vAlign w:val="center"/>
            <w:hideMark/>
          </w:tcPr>
          <w:p w14:paraId="54BF84E1" w14:textId="77777777" w:rsidR="009D4A93" w:rsidRPr="00536CFD" w:rsidRDefault="009D4A93" w:rsidP="009D4A93">
            <w:pPr>
              <w:spacing w:after="0"/>
              <w:jc w:val="center"/>
              <w:rPr>
                <w:rFonts w:eastAsia="Times New Roman"/>
                <w:color w:val="000000"/>
              </w:rPr>
            </w:pPr>
            <w:r w:rsidRPr="00536CFD">
              <w:rPr>
                <w:rFonts w:eastAsia="Times New Roman"/>
                <w:color w:val="000000"/>
              </w:rPr>
              <w:t>Configuration 1</w:t>
            </w:r>
          </w:p>
        </w:tc>
        <w:tc>
          <w:tcPr>
            <w:tcW w:w="1000" w:type="pct"/>
            <w:gridSpan w:val="2"/>
            <w:tcBorders>
              <w:top w:val="single" w:sz="8" w:space="0" w:color="auto"/>
              <w:left w:val="single" w:sz="8" w:space="0" w:color="000000"/>
              <w:bottom w:val="single" w:sz="8" w:space="0" w:color="auto"/>
              <w:right w:val="single" w:sz="8" w:space="0" w:color="000000"/>
            </w:tcBorders>
            <w:shd w:val="clear" w:color="auto" w:fill="auto"/>
            <w:noWrap/>
            <w:vAlign w:val="center"/>
            <w:hideMark/>
          </w:tcPr>
          <w:p w14:paraId="52598B6C" w14:textId="77777777" w:rsidR="009D4A93" w:rsidRPr="00536CFD" w:rsidRDefault="009D4A93" w:rsidP="009D4A93">
            <w:pPr>
              <w:spacing w:after="0"/>
              <w:jc w:val="center"/>
              <w:rPr>
                <w:rFonts w:eastAsia="Times New Roman"/>
                <w:color w:val="000000"/>
              </w:rPr>
            </w:pPr>
            <w:r w:rsidRPr="00536CFD">
              <w:rPr>
                <w:rFonts w:eastAsia="Times New Roman"/>
                <w:color w:val="000000"/>
              </w:rPr>
              <w:t>Configuration 2</w:t>
            </w:r>
          </w:p>
        </w:tc>
        <w:tc>
          <w:tcPr>
            <w:tcW w:w="923" w:type="pct"/>
            <w:gridSpan w:val="2"/>
            <w:tcBorders>
              <w:top w:val="single" w:sz="8" w:space="0" w:color="auto"/>
              <w:left w:val="single" w:sz="8" w:space="0" w:color="000000"/>
              <w:bottom w:val="single" w:sz="8" w:space="0" w:color="auto"/>
              <w:right w:val="single" w:sz="8" w:space="0" w:color="000000"/>
            </w:tcBorders>
            <w:shd w:val="clear" w:color="auto" w:fill="auto"/>
            <w:noWrap/>
            <w:vAlign w:val="center"/>
            <w:hideMark/>
          </w:tcPr>
          <w:p w14:paraId="50468659" w14:textId="77777777" w:rsidR="009D4A93" w:rsidRPr="00536CFD" w:rsidRDefault="009D4A93" w:rsidP="009D4A93">
            <w:pPr>
              <w:spacing w:after="0"/>
              <w:jc w:val="center"/>
              <w:rPr>
                <w:rFonts w:eastAsia="Times New Roman"/>
                <w:color w:val="000000"/>
              </w:rPr>
            </w:pPr>
            <w:r w:rsidRPr="00536CFD">
              <w:rPr>
                <w:rFonts w:eastAsia="Times New Roman"/>
                <w:color w:val="000000"/>
              </w:rPr>
              <w:t>Configuration 3</w:t>
            </w:r>
          </w:p>
        </w:tc>
      </w:tr>
      <w:tr w:rsidR="009D4A93" w:rsidRPr="00536CFD" w14:paraId="772B6B25" w14:textId="77777777" w:rsidTr="00536CFD">
        <w:trPr>
          <w:trHeight w:val="356"/>
        </w:trPr>
        <w:tc>
          <w:tcPr>
            <w:tcW w:w="648" w:type="pct"/>
            <w:vMerge/>
            <w:tcBorders>
              <w:top w:val="single" w:sz="4" w:space="0" w:color="auto"/>
              <w:left w:val="single" w:sz="4" w:space="0" w:color="auto"/>
              <w:bottom w:val="single" w:sz="4" w:space="0" w:color="auto"/>
              <w:right w:val="single" w:sz="4" w:space="0" w:color="auto"/>
            </w:tcBorders>
            <w:textDirection w:val="btLr"/>
          </w:tcPr>
          <w:p w14:paraId="6C84E74E" w14:textId="77777777" w:rsidR="009D4A93" w:rsidRPr="00536CFD" w:rsidRDefault="009D4A93" w:rsidP="00536CFD">
            <w:pPr>
              <w:spacing w:after="0"/>
              <w:ind w:left="113" w:right="113"/>
              <w:rPr>
                <w:rFonts w:eastAsia="Times New Roman"/>
                <w:color w:val="000000"/>
              </w:rPr>
            </w:pPr>
          </w:p>
        </w:tc>
        <w:tc>
          <w:tcPr>
            <w:tcW w:w="347" w:type="pct"/>
            <w:tcBorders>
              <w:top w:val="nil"/>
              <w:left w:val="single" w:sz="4" w:space="0" w:color="auto"/>
              <w:bottom w:val="single" w:sz="8" w:space="0" w:color="auto"/>
              <w:right w:val="single" w:sz="8" w:space="0" w:color="auto"/>
            </w:tcBorders>
            <w:shd w:val="clear" w:color="auto" w:fill="auto"/>
            <w:noWrap/>
            <w:vAlign w:val="center"/>
            <w:hideMark/>
          </w:tcPr>
          <w:p w14:paraId="41AA874F" w14:textId="77777777" w:rsidR="009D4A93" w:rsidRPr="00536CFD" w:rsidRDefault="009D4A93" w:rsidP="009D4A93">
            <w:pPr>
              <w:spacing w:after="0"/>
              <w:rPr>
                <w:rFonts w:eastAsia="Times New Roman"/>
                <w:color w:val="000000"/>
              </w:rPr>
            </w:pPr>
            <w:r w:rsidRPr="00536CFD">
              <w:rPr>
                <w:rFonts w:eastAsia="Times New Roman"/>
                <w:color w:val="000000"/>
              </w:rPr>
              <w:t> </w:t>
            </w:r>
          </w:p>
        </w:tc>
        <w:tc>
          <w:tcPr>
            <w:tcW w:w="351" w:type="pct"/>
            <w:tcBorders>
              <w:top w:val="nil"/>
              <w:left w:val="nil"/>
              <w:bottom w:val="single" w:sz="8" w:space="0" w:color="auto"/>
              <w:right w:val="single" w:sz="8" w:space="0" w:color="auto"/>
            </w:tcBorders>
            <w:shd w:val="clear" w:color="auto" w:fill="auto"/>
            <w:noWrap/>
            <w:vAlign w:val="center"/>
            <w:hideMark/>
          </w:tcPr>
          <w:p w14:paraId="4615B1CC" w14:textId="77777777" w:rsidR="009D4A93" w:rsidRPr="00536CFD" w:rsidRDefault="009D4A93" w:rsidP="009D4A93">
            <w:pPr>
              <w:spacing w:after="0"/>
              <w:rPr>
                <w:rFonts w:eastAsia="Times New Roman"/>
                <w:color w:val="000000"/>
              </w:rPr>
            </w:pPr>
            <w:r w:rsidRPr="00536CFD">
              <w:rPr>
                <w:rFonts w:eastAsia="Times New Roman"/>
                <w:color w:val="000000"/>
              </w:rPr>
              <w:t> </w:t>
            </w:r>
          </w:p>
        </w:tc>
        <w:tc>
          <w:tcPr>
            <w:tcW w:w="401" w:type="pct"/>
            <w:tcBorders>
              <w:top w:val="nil"/>
              <w:left w:val="nil"/>
              <w:bottom w:val="single" w:sz="8" w:space="0" w:color="auto"/>
              <w:right w:val="single" w:sz="8" w:space="0" w:color="auto"/>
            </w:tcBorders>
            <w:shd w:val="clear" w:color="auto" w:fill="auto"/>
            <w:noWrap/>
            <w:vAlign w:val="center"/>
            <w:hideMark/>
          </w:tcPr>
          <w:p w14:paraId="4952BF9E" w14:textId="77777777" w:rsidR="009D4A93" w:rsidRPr="00536CFD" w:rsidRDefault="009D4A93" w:rsidP="009D4A93">
            <w:pPr>
              <w:spacing w:after="0"/>
              <w:jc w:val="center"/>
              <w:rPr>
                <w:rFonts w:eastAsia="Times New Roman"/>
                <w:color w:val="000000"/>
              </w:rPr>
            </w:pPr>
            <w:r w:rsidRPr="00536CFD">
              <w:rPr>
                <w:rFonts w:eastAsia="Times New Roman"/>
                <w:color w:val="000000"/>
              </w:rPr>
              <w:t>Wi-Fi</w:t>
            </w:r>
          </w:p>
        </w:tc>
        <w:tc>
          <w:tcPr>
            <w:tcW w:w="372" w:type="pct"/>
            <w:tcBorders>
              <w:top w:val="nil"/>
              <w:left w:val="nil"/>
              <w:bottom w:val="single" w:sz="8" w:space="0" w:color="auto"/>
              <w:right w:val="single" w:sz="8" w:space="0" w:color="auto"/>
            </w:tcBorders>
            <w:shd w:val="clear" w:color="auto" w:fill="auto"/>
            <w:noWrap/>
            <w:vAlign w:val="center"/>
            <w:hideMark/>
          </w:tcPr>
          <w:p w14:paraId="068DE871" w14:textId="77777777" w:rsidR="009D4A93" w:rsidRPr="00536CFD" w:rsidRDefault="009D4A93" w:rsidP="009D4A93">
            <w:pPr>
              <w:spacing w:after="0"/>
              <w:jc w:val="center"/>
              <w:rPr>
                <w:rFonts w:eastAsia="Times New Roman"/>
                <w:color w:val="000000"/>
              </w:rPr>
            </w:pPr>
            <w:r w:rsidRPr="00536CFD">
              <w:rPr>
                <w:rFonts w:eastAsia="Times New Roman"/>
                <w:color w:val="000000"/>
              </w:rPr>
              <w:t>Wi-Fi</w:t>
            </w:r>
          </w:p>
        </w:tc>
        <w:tc>
          <w:tcPr>
            <w:tcW w:w="437" w:type="pct"/>
            <w:tcBorders>
              <w:top w:val="nil"/>
              <w:left w:val="nil"/>
              <w:bottom w:val="single" w:sz="8" w:space="0" w:color="auto"/>
              <w:right w:val="single" w:sz="8" w:space="0" w:color="auto"/>
            </w:tcBorders>
            <w:shd w:val="clear" w:color="auto" w:fill="auto"/>
            <w:noWrap/>
            <w:vAlign w:val="center"/>
            <w:hideMark/>
          </w:tcPr>
          <w:p w14:paraId="0D1AFAF0" w14:textId="77777777" w:rsidR="009D4A93" w:rsidRPr="00536CFD" w:rsidRDefault="009D4A93" w:rsidP="009D4A93">
            <w:pPr>
              <w:spacing w:after="0"/>
              <w:jc w:val="center"/>
              <w:rPr>
                <w:rFonts w:eastAsia="Times New Roman"/>
                <w:color w:val="000000"/>
              </w:rPr>
            </w:pPr>
            <w:r w:rsidRPr="00536CFD">
              <w:rPr>
                <w:rFonts w:eastAsia="Times New Roman"/>
                <w:color w:val="000000"/>
              </w:rPr>
              <w:t>Wi-Fi</w:t>
            </w:r>
          </w:p>
        </w:tc>
        <w:tc>
          <w:tcPr>
            <w:tcW w:w="521" w:type="pct"/>
            <w:tcBorders>
              <w:top w:val="nil"/>
              <w:left w:val="nil"/>
              <w:bottom w:val="single" w:sz="8" w:space="0" w:color="auto"/>
              <w:right w:val="single" w:sz="8" w:space="0" w:color="auto"/>
            </w:tcBorders>
            <w:shd w:val="clear" w:color="auto" w:fill="auto"/>
            <w:noWrap/>
            <w:vAlign w:val="center"/>
            <w:hideMark/>
          </w:tcPr>
          <w:p w14:paraId="5F199264" w14:textId="77777777" w:rsidR="009D4A93" w:rsidRPr="00536CFD" w:rsidRDefault="009D4A93" w:rsidP="009D4A93">
            <w:pPr>
              <w:spacing w:after="0"/>
              <w:jc w:val="center"/>
              <w:rPr>
                <w:rFonts w:eastAsia="Times New Roman"/>
                <w:color w:val="000000"/>
              </w:rPr>
            </w:pPr>
            <w:r w:rsidRPr="00536CFD">
              <w:rPr>
                <w:rFonts w:eastAsia="Times New Roman"/>
                <w:color w:val="000000"/>
              </w:rPr>
              <w:t>NR-U</w:t>
            </w:r>
          </w:p>
        </w:tc>
        <w:tc>
          <w:tcPr>
            <w:tcW w:w="518" w:type="pct"/>
            <w:tcBorders>
              <w:top w:val="nil"/>
              <w:left w:val="nil"/>
              <w:bottom w:val="single" w:sz="8" w:space="0" w:color="auto"/>
              <w:right w:val="single" w:sz="8" w:space="0" w:color="auto"/>
            </w:tcBorders>
            <w:shd w:val="clear" w:color="auto" w:fill="auto"/>
            <w:noWrap/>
            <w:vAlign w:val="center"/>
            <w:hideMark/>
          </w:tcPr>
          <w:p w14:paraId="7311F1EC" w14:textId="77777777" w:rsidR="009D4A93" w:rsidRPr="00536CFD" w:rsidRDefault="009D4A93" w:rsidP="009D4A93">
            <w:pPr>
              <w:spacing w:after="0"/>
              <w:jc w:val="center"/>
              <w:rPr>
                <w:rFonts w:eastAsia="Times New Roman"/>
                <w:color w:val="000000"/>
              </w:rPr>
            </w:pPr>
            <w:r w:rsidRPr="00536CFD">
              <w:rPr>
                <w:rFonts w:eastAsia="Times New Roman"/>
                <w:color w:val="000000"/>
              </w:rPr>
              <w:t>Wi-Fi</w:t>
            </w:r>
          </w:p>
        </w:tc>
        <w:tc>
          <w:tcPr>
            <w:tcW w:w="482" w:type="pct"/>
            <w:tcBorders>
              <w:top w:val="nil"/>
              <w:left w:val="nil"/>
              <w:bottom w:val="single" w:sz="8" w:space="0" w:color="auto"/>
              <w:right w:val="single" w:sz="8" w:space="0" w:color="auto"/>
            </w:tcBorders>
            <w:shd w:val="clear" w:color="auto" w:fill="auto"/>
            <w:noWrap/>
            <w:vAlign w:val="center"/>
            <w:hideMark/>
          </w:tcPr>
          <w:p w14:paraId="127AE4A5" w14:textId="77777777" w:rsidR="009D4A93" w:rsidRPr="00536CFD" w:rsidRDefault="009D4A93" w:rsidP="009D4A93">
            <w:pPr>
              <w:spacing w:after="0"/>
              <w:jc w:val="center"/>
              <w:rPr>
                <w:rFonts w:eastAsia="Times New Roman"/>
                <w:color w:val="000000"/>
              </w:rPr>
            </w:pPr>
            <w:r w:rsidRPr="00536CFD">
              <w:rPr>
                <w:rFonts w:eastAsia="Times New Roman"/>
                <w:color w:val="000000"/>
              </w:rPr>
              <w:t>NR-U</w:t>
            </w:r>
          </w:p>
        </w:tc>
        <w:tc>
          <w:tcPr>
            <w:tcW w:w="437" w:type="pct"/>
            <w:tcBorders>
              <w:top w:val="nil"/>
              <w:left w:val="nil"/>
              <w:bottom w:val="single" w:sz="8" w:space="0" w:color="auto"/>
              <w:right w:val="single" w:sz="8" w:space="0" w:color="auto"/>
            </w:tcBorders>
            <w:shd w:val="clear" w:color="auto" w:fill="auto"/>
            <w:noWrap/>
            <w:vAlign w:val="center"/>
            <w:hideMark/>
          </w:tcPr>
          <w:p w14:paraId="0FA255CD" w14:textId="77777777" w:rsidR="009D4A93" w:rsidRPr="00536CFD" w:rsidRDefault="009D4A93" w:rsidP="009D4A93">
            <w:pPr>
              <w:spacing w:after="0"/>
              <w:jc w:val="center"/>
              <w:rPr>
                <w:rFonts w:eastAsia="Times New Roman"/>
                <w:color w:val="000000"/>
              </w:rPr>
            </w:pPr>
            <w:r w:rsidRPr="00536CFD">
              <w:rPr>
                <w:rFonts w:eastAsia="Times New Roman"/>
                <w:color w:val="000000"/>
              </w:rPr>
              <w:t>Wi-Fi</w:t>
            </w:r>
          </w:p>
        </w:tc>
        <w:tc>
          <w:tcPr>
            <w:tcW w:w="486" w:type="pct"/>
            <w:tcBorders>
              <w:top w:val="nil"/>
              <w:left w:val="nil"/>
              <w:bottom w:val="single" w:sz="8" w:space="0" w:color="auto"/>
              <w:right w:val="single" w:sz="8" w:space="0" w:color="auto"/>
            </w:tcBorders>
            <w:shd w:val="clear" w:color="auto" w:fill="auto"/>
            <w:noWrap/>
            <w:vAlign w:val="center"/>
            <w:hideMark/>
          </w:tcPr>
          <w:p w14:paraId="61C2545D" w14:textId="77777777" w:rsidR="009D4A93" w:rsidRPr="00536CFD" w:rsidRDefault="009D4A93" w:rsidP="009D4A93">
            <w:pPr>
              <w:spacing w:after="0"/>
              <w:jc w:val="center"/>
              <w:rPr>
                <w:rFonts w:eastAsia="Times New Roman"/>
                <w:color w:val="000000"/>
              </w:rPr>
            </w:pPr>
            <w:r w:rsidRPr="00536CFD">
              <w:rPr>
                <w:rFonts w:eastAsia="Times New Roman"/>
                <w:color w:val="000000"/>
              </w:rPr>
              <w:t>NR-U</w:t>
            </w:r>
          </w:p>
        </w:tc>
      </w:tr>
      <w:tr w:rsidR="009D4A93" w:rsidRPr="00536CFD" w14:paraId="19DDD992" w14:textId="77777777" w:rsidTr="00536CFD">
        <w:trPr>
          <w:trHeight w:val="248"/>
        </w:trPr>
        <w:tc>
          <w:tcPr>
            <w:tcW w:w="648" w:type="pct"/>
            <w:vMerge w:val="restart"/>
            <w:tcBorders>
              <w:top w:val="single" w:sz="4" w:space="0" w:color="auto"/>
              <w:left w:val="single" w:sz="4" w:space="0" w:color="auto"/>
              <w:bottom w:val="single" w:sz="4" w:space="0" w:color="auto"/>
              <w:right w:val="single" w:sz="4" w:space="0" w:color="auto"/>
            </w:tcBorders>
            <w:textDirection w:val="btLr"/>
          </w:tcPr>
          <w:p w14:paraId="57BA51D7" w14:textId="77777777" w:rsidR="009D4A93" w:rsidRPr="00536CFD" w:rsidRDefault="009D4A93" w:rsidP="00536CFD">
            <w:pPr>
              <w:spacing w:after="0"/>
              <w:ind w:left="113" w:right="113"/>
              <w:jc w:val="center"/>
              <w:rPr>
                <w:lang w:bidi="ar"/>
              </w:rPr>
            </w:pPr>
            <w:r w:rsidRPr="00536CFD">
              <w:rPr>
                <w:lang w:bidi="ar"/>
              </w:rPr>
              <w:t>R1-1811460/ Source 9</w:t>
            </w:r>
          </w:p>
          <w:p w14:paraId="21E2986C" w14:textId="77777777" w:rsidR="009D4A93" w:rsidRPr="00536CFD" w:rsidRDefault="009D4A93" w:rsidP="00536CFD">
            <w:pPr>
              <w:spacing w:after="0"/>
              <w:ind w:left="113" w:right="113"/>
              <w:jc w:val="center"/>
              <w:rPr>
                <w:rFonts w:eastAsia="Times New Roman"/>
                <w:color w:val="000000"/>
              </w:rPr>
            </w:pPr>
          </w:p>
        </w:tc>
        <w:tc>
          <w:tcPr>
            <w:tcW w:w="347" w:type="pct"/>
            <w:vMerge w:val="restart"/>
            <w:tcBorders>
              <w:top w:val="nil"/>
              <w:left w:val="single" w:sz="4" w:space="0" w:color="auto"/>
              <w:bottom w:val="single" w:sz="8" w:space="0" w:color="000000"/>
              <w:right w:val="single" w:sz="8" w:space="0" w:color="auto"/>
            </w:tcBorders>
            <w:shd w:val="clear" w:color="auto" w:fill="auto"/>
            <w:vAlign w:val="center"/>
            <w:hideMark/>
          </w:tcPr>
          <w:p w14:paraId="0CFE2F9E" w14:textId="77777777" w:rsidR="009D4A93" w:rsidRPr="00536CFD" w:rsidRDefault="009D4A93" w:rsidP="009D4A93">
            <w:pPr>
              <w:spacing w:after="0"/>
              <w:jc w:val="center"/>
              <w:rPr>
                <w:rFonts w:eastAsia="Times New Roman"/>
                <w:color w:val="000000"/>
              </w:rPr>
            </w:pPr>
            <w:r w:rsidRPr="00536CFD">
              <w:rPr>
                <w:rFonts w:eastAsia="Times New Roman"/>
                <w:color w:val="000000"/>
              </w:rPr>
              <w:t>DL: UPT CDF (Mbps)</w:t>
            </w:r>
          </w:p>
        </w:tc>
        <w:tc>
          <w:tcPr>
            <w:tcW w:w="351" w:type="pct"/>
            <w:tcBorders>
              <w:top w:val="nil"/>
              <w:left w:val="nil"/>
              <w:bottom w:val="single" w:sz="8" w:space="0" w:color="auto"/>
              <w:right w:val="single" w:sz="8" w:space="0" w:color="auto"/>
            </w:tcBorders>
            <w:shd w:val="clear" w:color="auto" w:fill="auto"/>
            <w:vAlign w:val="center"/>
            <w:hideMark/>
          </w:tcPr>
          <w:p w14:paraId="0E7585B6" w14:textId="77777777" w:rsidR="009D4A93" w:rsidRPr="00536CFD" w:rsidRDefault="009D4A93" w:rsidP="009D4A93">
            <w:pPr>
              <w:spacing w:after="0"/>
              <w:jc w:val="center"/>
              <w:rPr>
                <w:rFonts w:eastAsia="Times New Roman"/>
                <w:color w:val="000000"/>
              </w:rPr>
            </w:pPr>
            <w:r w:rsidRPr="00536CFD">
              <w:rPr>
                <w:rFonts w:eastAsia="Times New Roman"/>
                <w:color w:val="000000"/>
              </w:rPr>
              <w:t>5%</w:t>
            </w:r>
          </w:p>
        </w:tc>
        <w:tc>
          <w:tcPr>
            <w:tcW w:w="401" w:type="pct"/>
            <w:tcBorders>
              <w:top w:val="nil"/>
              <w:left w:val="nil"/>
              <w:bottom w:val="single" w:sz="8" w:space="0" w:color="auto"/>
              <w:right w:val="single" w:sz="8" w:space="0" w:color="auto"/>
            </w:tcBorders>
            <w:shd w:val="clear" w:color="auto" w:fill="auto"/>
            <w:noWrap/>
            <w:vAlign w:val="center"/>
            <w:hideMark/>
          </w:tcPr>
          <w:p w14:paraId="4D974B44" w14:textId="77777777" w:rsidR="009D4A93" w:rsidRPr="00536CFD" w:rsidRDefault="009D4A93" w:rsidP="009D4A93">
            <w:pPr>
              <w:spacing w:after="0"/>
              <w:jc w:val="center"/>
              <w:rPr>
                <w:rFonts w:eastAsia="Times New Roman"/>
                <w:color w:val="000000"/>
              </w:rPr>
            </w:pPr>
            <w:r w:rsidRPr="00536CFD">
              <w:rPr>
                <w:rFonts w:eastAsia="Times New Roman"/>
                <w:color w:val="000000"/>
              </w:rPr>
              <w:t>5.49</w:t>
            </w:r>
          </w:p>
        </w:tc>
        <w:tc>
          <w:tcPr>
            <w:tcW w:w="372" w:type="pct"/>
            <w:tcBorders>
              <w:top w:val="nil"/>
              <w:left w:val="nil"/>
              <w:bottom w:val="single" w:sz="8" w:space="0" w:color="auto"/>
              <w:right w:val="single" w:sz="8" w:space="0" w:color="auto"/>
            </w:tcBorders>
            <w:shd w:val="clear" w:color="auto" w:fill="auto"/>
            <w:noWrap/>
            <w:vAlign w:val="center"/>
            <w:hideMark/>
          </w:tcPr>
          <w:p w14:paraId="402F59BA" w14:textId="77777777" w:rsidR="009D4A93" w:rsidRPr="00536CFD" w:rsidRDefault="009D4A93" w:rsidP="009D4A93">
            <w:pPr>
              <w:spacing w:after="0"/>
              <w:jc w:val="center"/>
              <w:rPr>
                <w:rFonts w:eastAsia="Times New Roman"/>
                <w:color w:val="000000"/>
              </w:rPr>
            </w:pPr>
            <w:r w:rsidRPr="00536CFD">
              <w:rPr>
                <w:rFonts w:eastAsia="Times New Roman"/>
                <w:color w:val="000000"/>
              </w:rPr>
              <w:t>6.15</w:t>
            </w:r>
          </w:p>
        </w:tc>
        <w:tc>
          <w:tcPr>
            <w:tcW w:w="437" w:type="pct"/>
            <w:tcBorders>
              <w:top w:val="nil"/>
              <w:left w:val="nil"/>
              <w:bottom w:val="single" w:sz="8" w:space="0" w:color="auto"/>
              <w:right w:val="single" w:sz="8" w:space="0" w:color="auto"/>
            </w:tcBorders>
            <w:shd w:val="clear" w:color="auto" w:fill="auto"/>
            <w:noWrap/>
            <w:vAlign w:val="center"/>
            <w:hideMark/>
          </w:tcPr>
          <w:p w14:paraId="73920F3B" w14:textId="77777777" w:rsidR="009D4A93" w:rsidRPr="00536CFD" w:rsidRDefault="009D4A93" w:rsidP="009D4A93">
            <w:pPr>
              <w:spacing w:after="0"/>
              <w:jc w:val="center"/>
              <w:rPr>
                <w:rFonts w:eastAsia="Times New Roman"/>
                <w:color w:val="000000"/>
              </w:rPr>
            </w:pPr>
            <w:r w:rsidRPr="00536CFD">
              <w:rPr>
                <w:rFonts w:eastAsia="Times New Roman"/>
                <w:color w:val="000000"/>
              </w:rPr>
              <w:t>3.12</w:t>
            </w:r>
          </w:p>
        </w:tc>
        <w:tc>
          <w:tcPr>
            <w:tcW w:w="521" w:type="pct"/>
            <w:tcBorders>
              <w:top w:val="nil"/>
              <w:left w:val="nil"/>
              <w:bottom w:val="single" w:sz="8" w:space="0" w:color="auto"/>
              <w:right w:val="single" w:sz="8" w:space="0" w:color="auto"/>
            </w:tcBorders>
            <w:shd w:val="clear" w:color="auto" w:fill="auto"/>
            <w:noWrap/>
            <w:vAlign w:val="center"/>
            <w:hideMark/>
          </w:tcPr>
          <w:p w14:paraId="455F4265" w14:textId="77777777" w:rsidR="009D4A93" w:rsidRPr="00536CFD" w:rsidRDefault="009D4A93" w:rsidP="009D4A93">
            <w:pPr>
              <w:spacing w:after="0"/>
              <w:jc w:val="center"/>
              <w:rPr>
                <w:rFonts w:eastAsia="Times New Roman"/>
                <w:color w:val="000000"/>
              </w:rPr>
            </w:pPr>
            <w:r w:rsidRPr="00536CFD">
              <w:rPr>
                <w:rFonts w:eastAsia="Times New Roman"/>
                <w:color w:val="000000"/>
              </w:rPr>
              <w:t>9.15</w:t>
            </w:r>
          </w:p>
        </w:tc>
        <w:tc>
          <w:tcPr>
            <w:tcW w:w="518" w:type="pct"/>
            <w:tcBorders>
              <w:top w:val="nil"/>
              <w:left w:val="nil"/>
              <w:bottom w:val="single" w:sz="8" w:space="0" w:color="auto"/>
              <w:right w:val="single" w:sz="8" w:space="0" w:color="auto"/>
            </w:tcBorders>
            <w:shd w:val="clear" w:color="auto" w:fill="auto"/>
            <w:noWrap/>
            <w:vAlign w:val="center"/>
            <w:hideMark/>
          </w:tcPr>
          <w:p w14:paraId="7282EF2F" w14:textId="77777777" w:rsidR="009D4A93" w:rsidRPr="00536CFD" w:rsidRDefault="009D4A93" w:rsidP="009D4A93">
            <w:pPr>
              <w:spacing w:after="0"/>
              <w:jc w:val="center"/>
              <w:rPr>
                <w:rFonts w:eastAsia="Times New Roman"/>
                <w:color w:val="000000"/>
              </w:rPr>
            </w:pPr>
            <w:r w:rsidRPr="00536CFD">
              <w:rPr>
                <w:rFonts w:eastAsia="Times New Roman"/>
                <w:color w:val="000000"/>
              </w:rPr>
              <w:t>6.75</w:t>
            </w:r>
          </w:p>
        </w:tc>
        <w:tc>
          <w:tcPr>
            <w:tcW w:w="482" w:type="pct"/>
            <w:tcBorders>
              <w:top w:val="nil"/>
              <w:left w:val="nil"/>
              <w:bottom w:val="single" w:sz="8" w:space="0" w:color="auto"/>
              <w:right w:val="single" w:sz="8" w:space="0" w:color="auto"/>
            </w:tcBorders>
            <w:shd w:val="clear" w:color="auto" w:fill="auto"/>
            <w:noWrap/>
            <w:vAlign w:val="center"/>
            <w:hideMark/>
          </w:tcPr>
          <w:p w14:paraId="241EDDC1" w14:textId="77777777" w:rsidR="009D4A93" w:rsidRPr="00536CFD" w:rsidRDefault="009D4A93" w:rsidP="009D4A93">
            <w:pPr>
              <w:spacing w:after="0"/>
              <w:jc w:val="center"/>
              <w:rPr>
                <w:rFonts w:eastAsia="Times New Roman"/>
                <w:color w:val="000000"/>
              </w:rPr>
            </w:pPr>
            <w:r w:rsidRPr="00536CFD">
              <w:rPr>
                <w:rFonts w:eastAsia="Times New Roman"/>
                <w:color w:val="000000"/>
              </w:rPr>
              <w:t>12.98</w:t>
            </w:r>
          </w:p>
        </w:tc>
        <w:tc>
          <w:tcPr>
            <w:tcW w:w="437" w:type="pct"/>
            <w:tcBorders>
              <w:top w:val="nil"/>
              <w:left w:val="nil"/>
              <w:bottom w:val="single" w:sz="8" w:space="0" w:color="auto"/>
              <w:right w:val="single" w:sz="8" w:space="0" w:color="auto"/>
            </w:tcBorders>
            <w:shd w:val="clear" w:color="auto" w:fill="auto"/>
            <w:noWrap/>
            <w:vAlign w:val="center"/>
            <w:hideMark/>
          </w:tcPr>
          <w:p w14:paraId="4F2DFC5F" w14:textId="77777777" w:rsidR="009D4A93" w:rsidRPr="00536CFD" w:rsidRDefault="009D4A93" w:rsidP="009D4A93">
            <w:pPr>
              <w:spacing w:after="0"/>
              <w:jc w:val="center"/>
              <w:rPr>
                <w:rFonts w:eastAsia="Times New Roman"/>
                <w:color w:val="000000"/>
              </w:rPr>
            </w:pPr>
            <w:r w:rsidRPr="00536CFD">
              <w:rPr>
                <w:rFonts w:eastAsia="Times New Roman"/>
                <w:color w:val="000000"/>
              </w:rPr>
              <w:t>7.55</w:t>
            </w:r>
          </w:p>
        </w:tc>
        <w:tc>
          <w:tcPr>
            <w:tcW w:w="486" w:type="pct"/>
            <w:tcBorders>
              <w:top w:val="nil"/>
              <w:left w:val="nil"/>
              <w:bottom w:val="single" w:sz="8" w:space="0" w:color="auto"/>
              <w:right w:val="single" w:sz="8" w:space="0" w:color="auto"/>
            </w:tcBorders>
            <w:shd w:val="clear" w:color="auto" w:fill="auto"/>
            <w:noWrap/>
            <w:vAlign w:val="center"/>
            <w:hideMark/>
          </w:tcPr>
          <w:p w14:paraId="32379863" w14:textId="77777777" w:rsidR="009D4A93" w:rsidRPr="00536CFD" w:rsidRDefault="009D4A93" w:rsidP="009D4A93">
            <w:pPr>
              <w:spacing w:after="0"/>
              <w:jc w:val="center"/>
              <w:rPr>
                <w:rFonts w:eastAsia="Times New Roman"/>
                <w:color w:val="000000"/>
              </w:rPr>
            </w:pPr>
            <w:r w:rsidRPr="00536CFD">
              <w:rPr>
                <w:rFonts w:eastAsia="Times New Roman"/>
                <w:color w:val="000000"/>
              </w:rPr>
              <w:t>21.21</w:t>
            </w:r>
          </w:p>
        </w:tc>
      </w:tr>
      <w:tr w:rsidR="009D4A93" w:rsidRPr="00536CFD" w14:paraId="2F42CF7D"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6EF07414"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19A20C65"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78C22C2B" w14:textId="77777777" w:rsidR="009D4A93" w:rsidRPr="00536CFD" w:rsidRDefault="009D4A93" w:rsidP="009D4A93">
            <w:pPr>
              <w:spacing w:after="0"/>
              <w:jc w:val="center"/>
              <w:rPr>
                <w:rFonts w:eastAsia="Times New Roman"/>
                <w:color w:val="000000"/>
              </w:rPr>
            </w:pPr>
            <w:r w:rsidRPr="00536CFD">
              <w:rPr>
                <w:rFonts w:eastAsia="Times New Roman"/>
                <w:color w:val="000000"/>
              </w:rPr>
              <w:t>50%</w:t>
            </w:r>
          </w:p>
        </w:tc>
        <w:tc>
          <w:tcPr>
            <w:tcW w:w="401" w:type="pct"/>
            <w:tcBorders>
              <w:top w:val="nil"/>
              <w:left w:val="nil"/>
              <w:bottom w:val="single" w:sz="8" w:space="0" w:color="auto"/>
              <w:right w:val="single" w:sz="8" w:space="0" w:color="auto"/>
            </w:tcBorders>
            <w:shd w:val="clear" w:color="auto" w:fill="auto"/>
            <w:noWrap/>
            <w:vAlign w:val="center"/>
            <w:hideMark/>
          </w:tcPr>
          <w:p w14:paraId="4C2577A3" w14:textId="77777777" w:rsidR="009D4A93" w:rsidRPr="00536CFD" w:rsidRDefault="009D4A93" w:rsidP="009D4A93">
            <w:pPr>
              <w:spacing w:after="0"/>
              <w:jc w:val="center"/>
              <w:rPr>
                <w:rFonts w:eastAsia="Times New Roman"/>
                <w:color w:val="000000"/>
              </w:rPr>
            </w:pPr>
            <w:r w:rsidRPr="00536CFD">
              <w:rPr>
                <w:rFonts w:eastAsia="Times New Roman"/>
                <w:color w:val="000000"/>
              </w:rPr>
              <w:t>43.18</w:t>
            </w:r>
          </w:p>
        </w:tc>
        <w:tc>
          <w:tcPr>
            <w:tcW w:w="372" w:type="pct"/>
            <w:tcBorders>
              <w:top w:val="nil"/>
              <w:left w:val="nil"/>
              <w:bottom w:val="single" w:sz="8" w:space="0" w:color="auto"/>
              <w:right w:val="single" w:sz="8" w:space="0" w:color="auto"/>
            </w:tcBorders>
            <w:shd w:val="clear" w:color="auto" w:fill="auto"/>
            <w:noWrap/>
            <w:vAlign w:val="center"/>
            <w:hideMark/>
          </w:tcPr>
          <w:p w14:paraId="546B9888" w14:textId="77777777" w:rsidR="009D4A93" w:rsidRPr="00536CFD" w:rsidRDefault="009D4A93" w:rsidP="009D4A93">
            <w:pPr>
              <w:spacing w:after="0"/>
              <w:jc w:val="center"/>
              <w:rPr>
                <w:rFonts w:eastAsia="Times New Roman"/>
                <w:color w:val="000000"/>
              </w:rPr>
            </w:pPr>
            <w:r w:rsidRPr="00536CFD">
              <w:rPr>
                <w:rFonts w:eastAsia="Times New Roman"/>
                <w:color w:val="000000"/>
              </w:rPr>
              <w:t>45.81</w:t>
            </w:r>
          </w:p>
        </w:tc>
        <w:tc>
          <w:tcPr>
            <w:tcW w:w="437" w:type="pct"/>
            <w:tcBorders>
              <w:top w:val="nil"/>
              <w:left w:val="nil"/>
              <w:bottom w:val="single" w:sz="8" w:space="0" w:color="auto"/>
              <w:right w:val="single" w:sz="8" w:space="0" w:color="auto"/>
            </w:tcBorders>
            <w:shd w:val="clear" w:color="auto" w:fill="auto"/>
            <w:noWrap/>
            <w:vAlign w:val="center"/>
            <w:hideMark/>
          </w:tcPr>
          <w:p w14:paraId="3EC77DF6" w14:textId="77777777" w:rsidR="009D4A93" w:rsidRPr="00536CFD" w:rsidRDefault="009D4A93" w:rsidP="009D4A93">
            <w:pPr>
              <w:spacing w:after="0"/>
              <w:jc w:val="center"/>
              <w:rPr>
                <w:rFonts w:eastAsia="Times New Roman"/>
                <w:color w:val="000000"/>
              </w:rPr>
            </w:pPr>
            <w:r w:rsidRPr="00536CFD">
              <w:rPr>
                <w:rFonts w:eastAsia="Times New Roman"/>
                <w:color w:val="000000"/>
              </w:rPr>
              <w:t>37.95</w:t>
            </w:r>
          </w:p>
        </w:tc>
        <w:tc>
          <w:tcPr>
            <w:tcW w:w="521" w:type="pct"/>
            <w:tcBorders>
              <w:top w:val="nil"/>
              <w:left w:val="nil"/>
              <w:bottom w:val="single" w:sz="8" w:space="0" w:color="auto"/>
              <w:right w:val="single" w:sz="8" w:space="0" w:color="auto"/>
            </w:tcBorders>
            <w:shd w:val="clear" w:color="auto" w:fill="auto"/>
            <w:noWrap/>
            <w:vAlign w:val="center"/>
            <w:hideMark/>
          </w:tcPr>
          <w:p w14:paraId="06381712" w14:textId="77777777" w:rsidR="009D4A93" w:rsidRPr="00536CFD" w:rsidRDefault="009D4A93" w:rsidP="009D4A93">
            <w:pPr>
              <w:spacing w:after="0"/>
              <w:jc w:val="center"/>
              <w:rPr>
                <w:rFonts w:eastAsia="Times New Roman"/>
                <w:color w:val="000000"/>
              </w:rPr>
            </w:pPr>
            <w:r w:rsidRPr="00536CFD">
              <w:rPr>
                <w:rFonts w:eastAsia="Times New Roman"/>
                <w:color w:val="000000"/>
              </w:rPr>
              <w:t>47.11</w:t>
            </w:r>
          </w:p>
        </w:tc>
        <w:tc>
          <w:tcPr>
            <w:tcW w:w="518" w:type="pct"/>
            <w:tcBorders>
              <w:top w:val="nil"/>
              <w:left w:val="nil"/>
              <w:bottom w:val="single" w:sz="8" w:space="0" w:color="auto"/>
              <w:right w:val="single" w:sz="8" w:space="0" w:color="auto"/>
            </w:tcBorders>
            <w:shd w:val="clear" w:color="auto" w:fill="auto"/>
            <w:noWrap/>
            <w:vAlign w:val="center"/>
            <w:hideMark/>
          </w:tcPr>
          <w:p w14:paraId="30D9B2B4" w14:textId="77777777" w:rsidR="009D4A93" w:rsidRPr="00536CFD" w:rsidRDefault="009D4A93" w:rsidP="009D4A93">
            <w:pPr>
              <w:spacing w:after="0"/>
              <w:jc w:val="center"/>
              <w:rPr>
                <w:rFonts w:eastAsia="Times New Roman"/>
                <w:color w:val="000000"/>
              </w:rPr>
            </w:pPr>
            <w:r w:rsidRPr="00536CFD">
              <w:rPr>
                <w:rFonts w:eastAsia="Times New Roman"/>
                <w:color w:val="000000"/>
              </w:rPr>
              <w:t>42.06</w:t>
            </w:r>
          </w:p>
        </w:tc>
        <w:tc>
          <w:tcPr>
            <w:tcW w:w="482" w:type="pct"/>
            <w:tcBorders>
              <w:top w:val="nil"/>
              <w:left w:val="nil"/>
              <w:bottom w:val="single" w:sz="8" w:space="0" w:color="auto"/>
              <w:right w:val="single" w:sz="8" w:space="0" w:color="auto"/>
            </w:tcBorders>
            <w:shd w:val="clear" w:color="auto" w:fill="auto"/>
            <w:noWrap/>
            <w:vAlign w:val="center"/>
            <w:hideMark/>
          </w:tcPr>
          <w:p w14:paraId="2AA980D4" w14:textId="77777777" w:rsidR="009D4A93" w:rsidRPr="00536CFD" w:rsidRDefault="009D4A93" w:rsidP="009D4A93">
            <w:pPr>
              <w:spacing w:after="0"/>
              <w:jc w:val="center"/>
              <w:rPr>
                <w:rFonts w:eastAsia="Times New Roman"/>
                <w:color w:val="000000"/>
              </w:rPr>
            </w:pPr>
            <w:r w:rsidRPr="00536CFD">
              <w:rPr>
                <w:rFonts w:eastAsia="Times New Roman"/>
                <w:color w:val="000000"/>
              </w:rPr>
              <w:t>48.27</w:t>
            </w:r>
          </w:p>
        </w:tc>
        <w:tc>
          <w:tcPr>
            <w:tcW w:w="437" w:type="pct"/>
            <w:tcBorders>
              <w:top w:val="nil"/>
              <w:left w:val="nil"/>
              <w:bottom w:val="single" w:sz="8" w:space="0" w:color="auto"/>
              <w:right w:val="single" w:sz="8" w:space="0" w:color="auto"/>
            </w:tcBorders>
            <w:shd w:val="clear" w:color="auto" w:fill="auto"/>
            <w:noWrap/>
            <w:vAlign w:val="center"/>
            <w:hideMark/>
          </w:tcPr>
          <w:p w14:paraId="43C00BE6" w14:textId="77777777" w:rsidR="009D4A93" w:rsidRPr="00536CFD" w:rsidRDefault="009D4A93" w:rsidP="009D4A93">
            <w:pPr>
              <w:spacing w:after="0"/>
              <w:jc w:val="center"/>
              <w:rPr>
                <w:rFonts w:eastAsia="Times New Roman"/>
                <w:color w:val="000000"/>
              </w:rPr>
            </w:pPr>
            <w:r w:rsidRPr="00536CFD">
              <w:rPr>
                <w:rFonts w:eastAsia="Times New Roman"/>
                <w:color w:val="000000"/>
              </w:rPr>
              <w:t>48.36</w:t>
            </w:r>
          </w:p>
        </w:tc>
        <w:tc>
          <w:tcPr>
            <w:tcW w:w="486" w:type="pct"/>
            <w:tcBorders>
              <w:top w:val="nil"/>
              <w:left w:val="nil"/>
              <w:bottom w:val="single" w:sz="8" w:space="0" w:color="auto"/>
              <w:right w:val="single" w:sz="8" w:space="0" w:color="auto"/>
            </w:tcBorders>
            <w:shd w:val="clear" w:color="auto" w:fill="auto"/>
            <w:noWrap/>
            <w:vAlign w:val="center"/>
            <w:hideMark/>
          </w:tcPr>
          <w:p w14:paraId="399549F3" w14:textId="77777777" w:rsidR="009D4A93" w:rsidRPr="00536CFD" w:rsidRDefault="009D4A93" w:rsidP="009D4A93">
            <w:pPr>
              <w:spacing w:after="0"/>
              <w:jc w:val="center"/>
              <w:rPr>
                <w:rFonts w:eastAsia="Times New Roman"/>
                <w:color w:val="000000"/>
              </w:rPr>
            </w:pPr>
            <w:r w:rsidRPr="00536CFD">
              <w:rPr>
                <w:rFonts w:eastAsia="Times New Roman"/>
                <w:color w:val="000000"/>
              </w:rPr>
              <w:t>60.21</w:t>
            </w:r>
          </w:p>
        </w:tc>
      </w:tr>
      <w:tr w:rsidR="009D4A93" w:rsidRPr="00536CFD" w14:paraId="0A7A4AD1"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311EAA94"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0082C424"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33AB3A6C" w14:textId="77777777" w:rsidR="009D4A93" w:rsidRPr="00536CFD" w:rsidRDefault="009D4A93" w:rsidP="009D4A93">
            <w:pPr>
              <w:spacing w:after="0"/>
              <w:jc w:val="center"/>
              <w:rPr>
                <w:rFonts w:eastAsia="Times New Roman"/>
                <w:color w:val="000000"/>
              </w:rPr>
            </w:pPr>
            <w:r w:rsidRPr="00536CFD">
              <w:rPr>
                <w:rFonts w:eastAsia="Times New Roman"/>
                <w:color w:val="000000"/>
              </w:rPr>
              <w:t>95%</w:t>
            </w:r>
          </w:p>
        </w:tc>
        <w:tc>
          <w:tcPr>
            <w:tcW w:w="401" w:type="pct"/>
            <w:tcBorders>
              <w:top w:val="nil"/>
              <w:left w:val="nil"/>
              <w:bottom w:val="single" w:sz="8" w:space="0" w:color="auto"/>
              <w:right w:val="single" w:sz="8" w:space="0" w:color="auto"/>
            </w:tcBorders>
            <w:shd w:val="clear" w:color="auto" w:fill="auto"/>
            <w:noWrap/>
            <w:vAlign w:val="center"/>
            <w:hideMark/>
          </w:tcPr>
          <w:p w14:paraId="4AED148E" w14:textId="77777777" w:rsidR="009D4A93" w:rsidRPr="00536CFD" w:rsidRDefault="009D4A93" w:rsidP="009D4A93">
            <w:pPr>
              <w:spacing w:after="0"/>
              <w:jc w:val="center"/>
              <w:rPr>
                <w:rFonts w:eastAsia="Times New Roman"/>
                <w:color w:val="000000"/>
              </w:rPr>
            </w:pPr>
            <w:r w:rsidRPr="00536CFD">
              <w:rPr>
                <w:rFonts w:eastAsia="Times New Roman"/>
                <w:color w:val="000000"/>
              </w:rPr>
              <w:t>94.95</w:t>
            </w:r>
          </w:p>
        </w:tc>
        <w:tc>
          <w:tcPr>
            <w:tcW w:w="372" w:type="pct"/>
            <w:tcBorders>
              <w:top w:val="nil"/>
              <w:left w:val="nil"/>
              <w:bottom w:val="single" w:sz="8" w:space="0" w:color="auto"/>
              <w:right w:val="single" w:sz="8" w:space="0" w:color="auto"/>
            </w:tcBorders>
            <w:shd w:val="clear" w:color="auto" w:fill="auto"/>
            <w:noWrap/>
            <w:vAlign w:val="center"/>
            <w:hideMark/>
          </w:tcPr>
          <w:p w14:paraId="043A7055" w14:textId="77777777" w:rsidR="009D4A93" w:rsidRPr="00536CFD" w:rsidRDefault="009D4A93" w:rsidP="009D4A93">
            <w:pPr>
              <w:spacing w:after="0"/>
              <w:jc w:val="center"/>
              <w:rPr>
                <w:rFonts w:eastAsia="Times New Roman"/>
                <w:color w:val="000000"/>
              </w:rPr>
            </w:pPr>
            <w:r w:rsidRPr="00536CFD">
              <w:rPr>
                <w:rFonts w:eastAsia="Times New Roman"/>
                <w:color w:val="000000"/>
              </w:rPr>
              <w:t>93.69</w:t>
            </w:r>
          </w:p>
        </w:tc>
        <w:tc>
          <w:tcPr>
            <w:tcW w:w="437" w:type="pct"/>
            <w:tcBorders>
              <w:top w:val="nil"/>
              <w:left w:val="nil"/>
              <w:bottom w:val="single" w:sz="8" w:space="0" w:color="auto"/>
              <w:right w:val="single" w:sz="8" w:space="0" w:color="auto"/>
            </w:tcBorders>
            <w:shd w:val="clear" w:color="auto" w:fill="auto"/>
            <w:noWrap/>
            <w:vAlign w:val="center"/>
            <w:hideMark/>
          </w:tcPr>
          <w:p w14:paraId="50F4157D" w14:textId="77777777" w:rsidR="009D4A93" w:rsidRPr="00536CFD" w:rsidRDefault="009D4A93" w:rsidP="009D4A93">
            <w:pPr>
              <w:spacing w:after="0"/>
              <w:jc w:val="center"/>
              <w:rPr>
                <w:rFonts w:eastAsia="Times New Roman"/>
                <w:color w:val="000000"/>
              </w:rPr>
            </w:pPr>
            <w:r w:rsidRPr="00536CFD">
              <w:rPr>
                <w:rFonts w:eastAsia="Times New Roman"/>
                <w:color w:val="000000"/>
              </w:rPr>
              <w:t>94.57</w:t>
            </w:r>
          </w:p>
        </w:tc>
        <w:tc>
          <w:tcPr>
            <w:tcW w:w="521" w:type="pct"/>
            <w:tcBorders>
              <w:top w:val="nil"/>
              <w:left w:val="nil"/>
              <w:bottom w:val="single" w:sz="8" w:space="0" w:color="auto"/>
              <w:right w:val="single" w:sz="8" w:space="0" w:color="auto"/>
            </w:tcBorders>
            <w:shd w:val="clear" w:color="auto" w:fill="auto"/>
            <w:noWrap/>
            <w:vAlign w:val="center"/>
            <w:hideMark/>
          </w:tcPr>
          <w:p w14:paraId="3EE9477C" w14:textId="77777777" w:rsidR="009D4A93" w:rsidRPr="00536CFD" w:rsidRDefault="009D4A93" w:rsidP="009D4A93">
            <w:pPr>
              <w:spacing w:after="0"/>
              <w:jc w:val="center"/>
              <w:rPr>
                <w:rFonts w:eastAsia="Times New Roman"/>
                <w:color w:val="000000"/>
              </w:rPr>
            </w:pPr>
            <w:r w:rsidRPr="00536CFD">
              <w:rPr>
                <w:rFonts w:eastAsia="Times New Roman"/>
                <w:color w:val="000000"/>
              </w:rPr>
              <w:t>116.18</w:t>
            </w:r>
          </w:p>
        </w:tc>
        <w:tc>
          <w:tcPr>
            <w:tcW w:w="518" w:type="pct"/>
            <w:tcBorders>
              <w:top w:val="nil"/>
              <w:left w:val="nil"/>
              <w:bottom w:val="single" w:sz="8" w:space="0" w:color="auto"/>
              <w:right w:val="single" w:sz="8" w:space="0" w:color="auto"/>
            </w:tcBorders>
            <w:shd w:val="clear" w:color="auto" w:fill="auto"/>
            <w:noWrap/>
            <w:vAlign w:val="center"/>
            <w:hideMark/>
          </w:tcPr>
          <w:p w14:paraId="1668292E" w14:textId="77777777" w:rsidR="009D4A93" w:rsidRPr="00536CFD" w:rsidRDefault="009D4A93" w:rsidP="009D4A93">
            <w:pPr>
              <w:spacing w:after="0"/>
              <w:jc w:val="center"/>
              <w:rPr>
                <w:rFonts w:eastAsia="Times New Roman"/>
                <w:color w:val="000000"/>
              </w:rPr>
            </w:pPr>
            <w:r w:rsidRPr="00536CFD">
              <w:rPr>
                <w:rFonts w:eastAsia="Times New Roman"/>
                <w:color w:val="000000"/>
              </w:rPr>
              <w:t>92.26</w:t>
            </w:r>
          </w:p>
        </w:tc>
        <w:tc>
          <w:tcPr>
            <w:tcW w:w="482" w:type="pct"/>
            <w:tcBorders>
              <w:top w:val="nil"/>
              <w:left w:val="nil"/>
              <w:bottom w:val="single" w:sz="8" w:space="0" w:color="auto"/>
              <w:right w:val="single" w:sz="8" w:space="0" w:color="auto"/>
            </w:tcBorders>
            <w:shd w:val="clear" w:color="auto" w:fill="auto"/>
            <w:noWrap/>
            <w:vAlign w:val="center"/>
            <w:hideMark/>
          </w:tcPr>
          <w:p w14:paraId="350087FA" w14:textId="77777777" w:rsidR="009D4A93" w:rsidRPr="00536CFD" w:rsidRDefault="009D4A93" w:rsidP="009D4A93">
            <w:pPr>
              <w:spacing w:after="0"/>
              <w:jc w:val="center"/>
              <w:rPr>
                <w:rFonts w:eastAsia="Times New Roman"/>
                <w:color w:val="000000"/>
              </w:rPr>
            </w:pPr>
            <w:r w:rsidRPr="00536CFD">
              <w:rPr>
                <w:rFonts w:eastAsia="Times New Roman"/>
                <w:color w:val="000000"/>
              </w:rPr>
              <w:t>112.36</w:t>
            </w:r>
          </w:p>
        </w:tc>
        <w:tc>
          <w:tcPr>
            <w:tcW w:w="437" w:type="pct"/>
            <w:tcBorders>
              <w:top w:val="nil"/>
              <w:left w:val="nil"/>
              <w:bottom w:val="single" w:sz="8" w:space="0" w:color="auto"/>
              <w:right w:val="single" w:sz="8" w:space="0" w:color="auto"/>
            </w:tcBorders>
            <w:shd w:val="clear" w:color="auto" w:fill="auto"/>
            <w:noWrap/>
            <w:vAlign w:val="center"/>
            <w:hideMark/>
          </w:tcPr>
          <w:p w14:paraId="706D597C" w14:textId="77777777" w:rsidR="009D4A93" w:rsidRPr="00536CFD" w:rsidRDefault="009D4A93" w:rsidP="009D4A93">
            <w:pPr>
              <w:spacing w:after="0"/>
              <w:jc w:val="center"/>
              <w:rPr>
                <w:rFonts w:eastAsia="Times New Roman"/>
                <w:color w:val="000000"/>
              </w:rPr>
            </w:pPr>
            <w:r w:rsidRPr="00536CFD">
              <w:rPr>
                <w:rFonts w:eastAsia="Times New Roman"/>
                <w:color w:val="000000"/>
              </w:rPr>
              <w:t>96.47</w:t>
            </w:r>
          </w:p>
        </w:tc>
        <w:tc>
          <w:tcPr>
            <w:tcW w:w="486" w:type="pct"/>
            <w:tcBorders>
              <w:top w:val="nil"/>
              <w:left w:val="nil"/>
              <w:bottom w:val="single" w:sz="8" w:space="0" w:color="auto"/>
              <w:right w:val="single" w:sz="8" w:space="0" w:color="auto"/>
            </w:tcBorders>
            <w:shd w:val="clear" w:color="auto" w:fill="auto"/>
            <w:noWrap/>
            <w:vAlign w:val="center"/>
            <w:hideMark/>
          </w:tcPr>
          <w:p w14:paraId="2E0ED7D1" w14:textId="77777777" w:rsidR="009D4A93" w:rsidRPr="00536CFD" w:rsidRDefault="009D4A93" w:rsidP="009D4A93">
            <w:pPr>
              <w:spacing w:after="0"/>
              <w:jc w:val="center"/>
              <w:rPr>
                <w:rFonts w:eastAsia="Times New Roman"/>
                <w:color w:val="000000"/>
              </w:rPr>
            </w:pPr>
            <w:r w:rsidRPr="00536CFD">
              <w:rPr>
                <w:rFonts w:eastAsia="Times New Roman"/>
                <w:color w:val="000000"/>
              </w:rPr>
              <w:t>125.65</w:t>
            </w:r>
          </w:p>
        </w:tc>
      </w:tr>
      <w:tr w:rsidR="009D4A93" w:rsidRPr="00536CFD" w14:paraId="4B3313D7"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1094D7E5"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392B26DC"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477EA861" w14:textId="77777777" w:rsidR="009D4A93" w:rsidRPr="00536CFD" w:rsidRDefault="009D4A93" w:rsidP="009D4A93">
            <w:pPr>
              <w:spacing w:after="0"/>
              <w:jc w:val="center"/>
              <w:rPr>
                <w:rFonts w:eastAsia="Times New Roman"/>
                <w:color w:val="000000"/>
              </w:rPr>
            </w:pPr>
            <w:r w:rsidRPr="00536CFD">
              <w:rPr>
                <w:rFonts w:eastAsia="Times New Roman"/>
                <w:color w:val="000000"/>
              </w:rPr>
              <w:t>Mean</w:t>
            </w:r>
          </w:p>
        </w:tc>
        <w:tc>
          <w:tcPr>
            <w:tcW w:w="401" w:type="pct"/>
            <w:tcBorders>
              <w:top w:val="nil"/>
              <w:left w:val="nil"/>
              <w:bottom w:val="single" w:sz="8" w:space="0" w:color="auto"/>
              <w:right w:val="single" w:sz="8" w:space="0" w:color="auto"/>
            </w:tcBorders>
            <w:shd w:val="clear" w:color="auto" w:fill="auto"/>
            <w:noWrap/>
            <w:vAlign w:val="center"/>
            <w:hideMark/>
          </w:tcPr>
          <w:p w14:paraId="610E5EA3" w14:textId="77777777" w:rsidR="009D4A93" w:rsidRPr="00536CFD" w:rsidRDefault="009D4A93" w:rsidP="009D4A93">
            <w:pPr>
              <w:spacing w:after="0"/>
              <w:jc w:val="center"/>
              <w:rPr>
                <w:rFonts w:eastAsia="Times New Roman"/>
                <w:color w:val="000000"/>
              </w:rPr>
            </w:pPr>
            <w:r w:rsidRPr="00536CFD">
              <w:rPr>
                <w:rFonts w:eastAsia="Times New Roman"/>
                <w:color w:val="000000"/>
              </w:rPr>
              <w:t>49.41</w:t>
            </w:r>
          </w:p>
        </w:tc>
        <w:tc>
          <w:tcPr>
            <w:tcW w:w="372" w:type="pct"/>
            <w:tcBorders>
              <w:top w:val="nil"/>
              <w:left w:val="nil"/>
              <w:bottom w:val="single" w:sz="8" w:space="0" w:color="auto"/>
              <w:right w:val="single" w:sz="8" w:space="0" w:color="auto"/>
            </w:tcBorders>
            <w:shd w:val="clear" w:color="auto" w:fill="auto"/>
            <w:noWrap/>
            <w:vAlign w:val="center"/>
            <w:hideMark/>
          </w:tcPr>
          <w:p w14:paraId="7F518567" w14:textId="77777777" w:rsidR="009D4A93" w:rsidRPr="00536CFD" w:rsidRDefault="009D4A93" w:rsidP="009D4A93">
            <w:pPr>
              <w:spacing w:after="0"/>
              <w:jc w:val="center"/>
              <w:rPr>
                <w:rFonts w:eastAsia="Times New Roman"/>
                <w:color w:val="000000"/>
              </w:rPr>
            </w:pPr>
            <w:r w:rsidRPr="00536CFD">
              <w:rPr>
                <w:rFonts w:eastAsia="Times New Roman"/>
                <w:color w:val="000000"/>
              </w:rPr>
              <w:t>50.15</w:t>
            </w:r>
          </w:p>
        </w:tc>
        <w:tc>
          <w:tcPr>
            <w:tcW w:w="437" w:type="pct"/>
            <w:tcBorders>
              <w:top w:val="nil"/>
              <w:left w:val="nil"/>
              <w:bottom w:val="single" w:sz="8" w:space="0" w:color="auto"/>
              <w:right w:val="single" w:sz="8" w:space="0" w:color="auto"/>
            </w:tcBorders>
            <w:shd w:val="clear" w:color="auto" w:fill="auto"/>
            <w:noWrap/>
            <w:vAlign w:val="center"/>
            <w:hideMark/>
          </w:tcPr>
          <w:p w14:paraId="7577B9B9" w14:textId="77777777" w:rsidR="009D4A93" w:rsidRPr="00536CFD" w:rsidRDefault="009D4A93" w:rsidP="009D4A93">
            <w:pPr>
              <w:spacing w:after="0"/>
              <w:jc w:val="center"/>
              <w:rPr>
                <w:rFonts w:eastAsia="Times New Roman"/>
                <w:color w:val="000000"/>
              </w:rPr>
            </w:pPr>
            <w:r w:rsidRPr="00536CFD">
              <w:rPr>
                <w:rFonts w:eastAsia="Times New Roman"/>
                <w:color w:val="000000"/>
              </w:rPr>
              <w:t>43.02</w:t>
            </w:r>
          </w:p>
        </w:tc>
        <w:tc>
          <w:tcPr>
            <w:tcW w:w="521" w:type="pct"/>
            <w:tcBorders>
              <w:top w:val="nil"/>
              <w:left w:val="nil"/>
              <w:bottom w:val="single" w:sz="8" w:space="0" w:color="auto"/>
              <w:right w:val="single" w:sz="8" w:space="0" w:color="auto"/>
            </w:tcBorders>
            <w:shd w:val="clear" w:color="auto" w:fill="auto"/>
            <w:noWrap/>
            <w:vAlign w:val="center"/>
            <w:hideMark/>
          </w:tcPr>
          <w:p w14:paraId="0D1CF169" w14:textId="77777777" w:rsidR="009D4A93" w:rsidRPr="00536CFD" w:rsidRDefault="009D4A93" w:rsidP="009D4A93">
            <w:pPr>
              <w:spacing w:after="0"/>
              <w:jc w:val="center"/>
              <w:rPr>
                <w:rFonts w:eastAsia="Times New Roman"/>
                <w:color w:val="000000"/>
              </w:rPr>
            </w:pPr>
            <w:r w:rsidRPr="00536CFD">
              <w:rPr>
                <w:rFonts w:eastAsia="Times New Roman"/>
                <w:color w:val="000000"/>
              </w:rPr>
              <w:t>57.52</w:t>
            </w:r>
          </w:p>
        </w:tc>
        <w:tc>
          <w:tcPr>
            <w:tcW w:w="518" w:type="pct"/>
            <w:tcBorders>
              <w:top w:val="nil"/>
              <w:left w:val="nil"/>
              <w:bottom w:val="single" w:sz="8" w:space="0" w:color="auto"/>
              <w:right w:val="single" w:sz="8" w:space="0" w:color="auto"/>
            </w:tcBorders>
            <w:shd w:val="clear" w:color="auto" w:fill="auto"/>
            <w:noWrap/>
            <w:vAlign w:val="center"/>
            <w:hideMark/>
          </w:tcPr>
          <w:p w14:paraId="2A65FEB8" w14:textId="77777777" w:rsidR="009D4A93" w:rsidRPr="00536CFD" w:rsidRDefault="009D4A93" w:rsidP="009D4A93">
            <w:pPr>
              <w:spacing w:after="0"/>
              <w:jc w:val="center"/>
              <w:rPr>
                <w:rFonts w:eastAsia="Times New Roman"/>
                <w:color w:val="000000"/>
              </w:rPr>
            </w:pPr>
            <w:r w:rsidRPr="00536CFD">
              <w:rPr>
                <w:rFonts w:eastAsia="Times New Roman"/>
                <w:color w:val="000000"/>
              </w:rPr>
              <w:t>51.01</w:t>
            </w:r>
          </w:p>
        </w:tc>
        <w:tc>
          <w:tcPr>
            <w:tcW w:w="482" w:type="pct"/>
            <w:tcBorders>
              <w:top w:val="nil"/>
              <w:left w:val="nil"/>
              <w:bottom w:val="single" w:sz="8" w:space="0" w:color="auto"/>
              <w:right w:val="single" w:sz="8" w:space="0" w:color="auto"/>
            </w:tcBorders>
            <w:shd w:val="clear" w:color="auto" w:fill="auto"/>
            <w:noWrap/>
            <w:vAlign w:val="center"/>
            <w:hideMark/>
          </w:tcPr>
          <w:p w14:paraId="25E9ADD0" w14:textId="77777777" w:rsidR="009D4A93" w:rsidRPr="00536CFD" w:rsidRDefault="009D4A93" w:rsidP="009D4A93">
            <w:pPr>
              <w:spacing w:after="0"/>
              <w:jc w:val="center"/>
              <w:rPr>
                <w:rFonts w:eastAsia="Times New Roman"/>
                <w:color w:val="000000"/>
              </w:rPr>
            </w:pPr>
            <w:r w:rsidRPr="00536CFD">
              <w:rPr>
                <w:rFonts w:eastAsia="Times New Roman"/>
                <w:color w:val="000000"/>
              </w:rPr>
              <w:t>59.94</w:t>
            </w:r>
          </w:p>
        </w:tc>
        <w:tc>
          <w:tcPr>
            <w:tcW w:w="437" w:type="pct"/>
            <w:tcBorders>
              <w:top w:val="nil"/>
              <w:left w:val="nil"/>
              <w:bottom w:val="single" w:sz="8" w:space="0" w:color="auto"/>
              <w:right w:val="single" w:sz="8" w:space="0" w:color="auto"/>
            </w:tcBorders>
            <w:shd w:val="clear" w:color="auto" w:fill="auto"/>
            <w:noWrap/>
            <w:vAlign w:val="center"/>
            <w:hideMark/>
          </w:tcPr>
          <w:p w14:paraId="10BDDDA8" w14:textId="77777777" w:rsidR="009D4A93" w:rsidRPr="00536CFD" w:rsidRDefault="009D4A93" w:rsidP="009D4A93">
            <w:pPr>
              <w:spacing w:after="0"/>
              <w:jc w:val="center"/>
              <w:rPr>
                <w:rFonts w:eastAsia="Times New Roman"/>
                <w:color w:val="000000"/>
              </w:rPr>
            </w:pPr>
            <w:r w:rsidRPr="00536CFD">
              <w:rPr>
                <w:rFonts w:eastAsia="Times New Roman"/>
                <w:color w:val="000000"/>
              </w:rPr>
              <w:t>57.02</w:t>
            </w:r>
          </w:p>
        </w:tc>
        <w:tc>
          <w:tcPr>
            <w:tcW w:w="486" w:type="pct"/>
            <w:tcBorders>
              <w:top w:val="nil"/>
              <w:left w:val="nil"/>
              <w:bottom w:val="single" w:sz="8" w:space="0" w:color="auto"/>
              <w:right w:val="single" w:sz="8" w:space="0" w:color="auto"/>
            </w:tcBorders>
            <w:shd w:val="clear" w:color="auto" w:fill="auto"/>
            <w:noWrap/>
            <w:vAlign w:val="center"/>
            <w:hideMark/>
          </w:tcPr>
          <w:p w14:paraId="5EED2862" w14:textId="77777777" w:rsidR="009D4A93" w:rsidRPr="00536CFD" w:rsidRDefault="009D4A93" w:rsidP="009D4A93">
            <w:pPr>
              <w:spacing w:after="0"/>
              <w:jc w:val="center"/>
              <w:rPr>
                <w:rFonts w:eastAsia="Times New Roman"/>
                <w:color w:val="000000"/>
              </w:rPr>
            </w:pPr>
            <w:r w:rsidRPr="00536CFD">
              <w:rPr>
                <w:rFonts w:eastAsia="Times New Roman"/>
                <w:color w:val="000000"/>
              </w:rPr>
              <w:t>77.07</w:t>
            </w:r>
          </w:p>
        </w:tc>
      </w:tr>
      <w:tr w:rsidR="009D4A93" w:rsidRPr="00536CFD" w14:paraId="0B2436EC"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018CE997" w14:textId="77777777" w:rsidR="009D4A93" w:rsidRPr="00536CFD" w:rsidRDefault="009D4A93" w:rsidP="009D4A93">
            <w:pPr>
              <w:spacing w:after="0"/>
              <w:jc w:val="center"/>
              <w:rPr>
                <w:rFonts w:eastAsia="Times New Roman"/>
                <w:color w:val="000000"/>
              </w:rPr>
            </w:pPr>
          </w:p>
        </w:tc>
        <w:tc>
          <w:tcPr>
            <w:tcW w:w="347" w:type="pct"/>
            <w:vMerge w:val="restart"/>
            <w:tcBorders>
              <w:top w:val="nil"/>
              <w:left w:val="single" w:sz="4" w:space="0" w:color="auto"/>
              <w:bottom w:val="single" w:sz="8" w:space="0" w:color="000000"/>
              <w:right w:val="single" w:sz="8" w:space="0" w:color="auto"/>
            </w:tcBorders>
            <w:shd w:val="clear" w:color="auto" w:fill="auto"/>
            <w:vAlign w:val="center"/>
            <w:hideMark/>
          </w:tcPr>
          <w:p w14:paraId="15E9E81A" w14:textId="77777777" w:rsidR="009D4A93" w:rsidRPr="00536CFD" w:rsidRDefault="009D4A93" w:rsidP="009D4A93">
            <w:pPr>
              <w:spacing w:after="0"/>
              <w:jc w:val="center"/>
              <w:rPr>
                <w:rFonts w:eastAsia="Times New Roman"/>
                <w:color w:val="000000"/>
              </w:rPr>
            </w:pPr>
            <w:r w:rsidRPr="00536CFD">
              <w:rPr>
                <w:rFonts w:eastAsia="Times New Roman"/>
                <w:color w:val="000000"/>
              </w:rPr>
              <w:t>DL: Latency CDF (s)</w:t>
            </w:r>
          </w:p>
        </w:tc>
        <w:tc>
          <w:tcPr>
            <w:tcW w:w="351" w:type="pct"/>
            <w:tcBorders>
              <w:top w:val="nil"/>
              <w:left w:val="nil"/>
              <w:bottom w:val="single" w:sz="8" w:space="0" w:color="auto"/>
              <w:right w:val="single" w:sz="8" w:space="0" w:color="auto"/>
            </w:tcBorders>
            <w:shd w:val="clear" w:color="auto" w:fill="auto"/>
            <w:vAlign w:val="center"/>
            <w:hideMark/>
          </w:tcPr>
          <w:p w14:paraId="4979E14C" w14:textId="77777777" w:rsidR="009D4A93" w:rsidRPr="00536CFD" w:rsidRDefault="009D4A93" w:rsidP="009D4A93">
            <w:pPr>
              <w:spacing w:after="0"/>
              <w:jc w:val="center"/>
              <w:rPr>
                <w:rFonts w:eastAsia="Times New Roman"/>
                <w:color w:val="000000"/>
              </w:rPr>
            </w:pPr>
            <w:r w:rsidRPr="00536CFD">
              <w:rPr>
                <w:rFonts w:eastAsia="Times New Roman"/>
                <w:color w:val="000000"/>
              </w:rPr>
              <w:t>5%</w:t>
            </w:r>
          </w:p>
        </w:tc>
        <w:tc>
          <w:tcPr>
            <w:tcW w:w="401" w:type="pct"/>
            <w:tcBorders>
              <w:top w:val="nil"/>
              <w:left w:val="nil"/>
              <w:bottom w:val="single" w:sz="8" w:space="0" w:color="auto"/>
              <w:right w:val="single" w:sz="8" w:space="0" w:color="auto"/>
            </w:tcBorders>
            <w:shd w:val="clear" w:color="auto" w:fill="auto"/>
            <w:noWrap/>
            <w:vAlign w:val="center"/>
            <w:hideMark/>
          </w:tcPr>
          <w:p w14:paraId="63C4FA42" w14:textId="77777777" w:rsidR="009D4A93" w:rsidRPr="00536CFD" w:rsidRDefault="009D4A93" w:rsidP="009D4A93">
            <w:pPr>
              <w:spacing w:after="0"/>
              <w:jc w:val="center"/>
              <w:rPr>
                <w:rFonts w:eastAsia="Times New Roman"/>
                <w:color w:val="000000"/>
              </w:rPr>
            </w:pPr>
            <w:r w:rsidRPr="00536CFD">
              <w:rPr>
                <w:rFonts w:eastAsia="Times New Roman"/>
                <w:color w:val="000000"/>
              </w:rPr>
              <w:t>0.05</w:t>
            </w:r>
          </w:p>
        </w:tc>
        <w:tc>
          <w:tcPr>
            <w:tcW w:w="372" w:type="pct"/>
            <w:tcBorders>
              <w:top w:val="nil"/>
              <w:left w:val="nil"/>
              <w:bottom w:val="single" w:sz="8" w:space="0" w:color="auto"/>
              <w:right w:val="single" w:sz="8" w:space="0" w:color="auto"/>
            </w:tcBorders>
            <w:shd w:val="clear" w:color="auto" w:fill="auto"/>
            <w:noWrap/>
            <w:vAlign w:val="center"/>
            <w:hideMark/>
          </w:tcPr>
          <w:p w14:paraId="16C1AFD0" w14:textId="77777777" w:rsidR="009D4A93" w:rsidRPr="00536CFD" w:rsidRDefault="009D4A93" w:rsidP="009D4A93">
            <w:pPr>
              <w:spacing w:after="0"/>
              <w:jc w:val="center"/>
              <w:rPr>
                <w:rFonts w:eastAsia="Times New Roman"/>
                <w:color w:val="000000"/>
              </w:rPr>
            </w:pPr>
            <w:r w:rsidRPr="00536CFD">
              <w:rPr>
                <w:rFonts w:eastAsia="Times New Roman"/>
                <w:color w:val="000000"/>
              </w:rPr>
              <w:t>0.06</w:t>
            </w:r>
          </w:p>
        </w:tc>
        <w:tc>
          <w:tcPr>
            <w:tcW w:w="437" w:type="pct"/>
            <w:tcBorders>
              <w:top w:val="nil"/>
              <w:left w:val="nil"/>
              <w:bottom w:val="single" w:sz="8" w:space="0" w:color="auto"/>
              <w:right w:val="single" w:sz="8" w:space="0" w:color="auto"/>
            </w:tcBorders>
            <w:shd w:val="clear" w:color="auto" w:fill="auto"/>
            <w:noWrap/>
            <w:vAlign w:val="center"/>
            <w:hideMark/>
          </w:tcPr>
          <w:p w14:paraId="1F827F61" w14:textId="77777777" w:rsidR="009D4A93" w:rsidRPr="00536CFD" w:rsidRDefault="009D4A93" w:rsidP="009D4A93">
            <w:pPr>
              <w:spacing w:after="0"/>
              <w:jc w:val="center"/>
              <w:rPr>
                <w:rFonts w:eastAsia="Times New Roman"/>
                <w:color w:val="000000"/>
              </w:rPr>
            </w:pPr>
            <w:r w:rsidRPr="00536CFD">
              <w:rPr>
                <w:rFonts w:eastAsia="Times New Roman"/>
                <w:color w:val="000000"/>
              </w:rPr>
              <w:t>0.06</w:t>
            </w:r>
          </w:p>
        </w:tc>
        <w:tc>
          <w:tcPr>
            <w:tcW w:w="521" w:type="pct"/>
            <w:tcBorders>
              <w:top w:val="nil"/>
              <w:left w:val="nil"/>
              <w:bottom w:val="single" w:sz="8" w:space="0" w:color="auto"/>
              <w:right w:val="single" w:sz="8" w:space="0" w:color="auto"/>
            </w:tcBorders>
            <w:shd w:val="clear" w:color="auto" w:fill="auto"/>
            <w:noWrap/>
            <w:vAlign w:val="center"/>
            <w:hideMark/>
          </w:tcPr>
          <w:p w14:paraId="6C5D6448" w14:textId="77777777" w:rsidR="009D4A93" w:rsidRPr="00536CFD" w:rsidRDefault="009D4A93" w:rsidP="009D4A93">
            <w:pPr>
              <w:spacing w:after="0"/>
              <w:jc w:val="center"/>
              <w:rPr>
                <w:rFonts w:eastAsia="Times New Roman"/>
                <w:color w:val="000000"/>
              </w:rPr>
            </w:pPr>
            <w:r w:rsidRPr="00536CFD">
              <w:rPr>
                <w:rFonts w:eastAsia="Times New Roman"/>
                <w:color w:val="000000"/>
              </w:rPr>
              <w:t>0.02</w:t>
            </w:r>
          </w:p>
        </w:tc>
        <w:tc>
          <w:tcPr>
            <w:tcW w:w="518" w:type="pct"/>
            <w:tcBorders>
              <w:top w:val="nil"/>
              <w:left w:val="nil"/>
              <w:bottom w:val="single" w:sz="8" w:space="0" w:color="auto"/>
              <w:right w:val="single" w:sz="8" w:space="0" w:color="auto"/>
            </w:tcBorders>
            <w:shd w:val="clear" w:color="auto" w:fill="auto"/>
            <w:noWrap/>
            <w:vAlign w:val="center"/>
            <w:hideMark/>
          </w:tcPr>
          <w:p w14:paraId="55DD1943" w14:textId="77777777" w:rsidR="009D4A93" w:rsidRPr="00536CFD" w:rsidRDefault="009D4A93" w:rsidP="009D4A93">
            <w:pPr>
              <w:spacing w:after="0"/>
              <w:jc w:val="center"/>
              <w:rPr>
                <w:rFonts w:eastAsia="Times New Roman"/>
                <w:color w:val="000000"/>
              </w:rPr>
            </w:pPr>
            <w:r w:rsidRPr="00536CFD">
              <w:rPr>
                <w:rFonts w:eastAsia="Times New Roman"/>
                <w:color w:val="000000"/>
              </w:rPr>
              <w:t>0.05</w:t>
            </w:r>
          </w:p>
        </w:tc>
        <w:tc>
          <w:tcPr>
            <w:tcW w:w="482" w:type="pct"/>
            <w:tcBorders>
              <w:top w:val="nil"/>
              <w:left w:val="nil"/>
              <w:bottom w:val="single" w:sz="8" w:space="0" w:color="auto"/>
              <w:right w:val="single" w:sz="8" w:space="0" w:color="auto"/>
            </w:tcBorders>
            <w:shd w:val="clear" w:color="auto" w:fill="auto"/>
            <w:noWrap/>
            <w:vAlign w:val="center"/>
            <w:hideMark/>
          </w:tcPr>
          <w:p w14:paraId="1E1F09F7" w14:textId="77777777" w:rsidR="009D4A93" w:rsidRPr="00536CFD" w:rsidRDefault="009D4A93" w:rsidP="009D4A93">
            <w:pPr>
              <w:spacing w:after="0"/>
              <w:jc w:val="center"/>
              <w:rPr>
                <w:rFonts w:eastAsia="Times New Roman"/>
                <w:color w:val="000000"/>
              </w:rPr>
            </w:pPr>
            <w:r w:rsidRPr="00536CFD">
              <w:rPr>
                <w:rFonts w:eastAsia="Times New Roman"/>
                <w:color w:val="000000"/>
              </w:rPr>
              <w:t>0.03</w:t>
            </w:r>
          </w:p>
        </w:tc>
        <w:tc>
          <w:tcPr>
            <w:tcW w:w="437" w:type="pct"/>
            <w:tcBorders>
              <w:top w:val="nil"/>
              <w:left w:val="nil"/>
              <w:bottom w:val="single" w:sz="8" w:space="0" w:color="auto"/>
              <w:right w:val="single" w:sz="8" w:space="0" w:color="auto"/>
            </w:tcBorders>
            <w:shd w:val="clear" w:color="auto" w:fill="auto"/>
            <w:noWrap/>
            <w:vAlign w:val="center"/>
            <w:hideMark/>
          </w:tcPr>
          <w:p w14:paraId="27CE0E6A" w14:textId="77777777" w:rsidR="009D4A93" w:rsidRPr="00536CFD" w:rsidRDefault="009D4A93" w:rsidP="009D4A93">
            <w:pPr>
              <w:spacing w:after="0"/>
              <w:jc w:val="center"/>
              <w:rPr>
                <w:rFonts w:eastAsia="Times New Roman"/>
                <w:color w:val="000000"/>
              </w:rPr>
            </w:pPr>
            <w:r w:rsidRPr="00536CFD">
              <w:rPr>
                <w:rFonts w:eastAsia="Times New Roman"/>
                <w:color w:val="000000"/>
              </w:rPr>
              <w:t>0.04</w:t>
            </w:r>
          </w:p>
        </w:tc>
        <w:tc>
          <w:tcPr>
            <w:tcW w:w="486" w:type="pct"/>
            <w:tcBorders>
              <w:top w:val="nil"/>
              <w:left w:val="nil"/>
              <w:bottom w:val="single" w:sz="8" w:space="0" w:color="auto"/>
              <w:right w:val="single" w:sz="8" w:space="0" w:color="auto"/>
            </w:tcBorders>
            <w:shd w:val="clear" w:color="auto" w:fill="auto"/>
            <w:noWrap/>
            <w:vAlign w:val="center"/>
            <w:hideMark/>
          </w:tcPr>
          <w:p w14:paraId="270BCF80" w14:textId="77777777" w:rsidR="009D4A93" w:rsidRPr="00536CFD" w:rsidRDefault="009D4A93" w:rsidP="009D4A93">
            <w:pPr>
              <w:spacing w:after="0"/>
              <w:jc w:val="center"/>
              <w:rPr>
                <w:rFonts w:eastAsia="Times New Roman"/>
                <w:color w:val="000000"/>
              </w:rPr>
            </w:pPr>
            <w:r w:rsidRPr="00536CFD">
              <w:rPr>
                <w:rFonts w:eastAsia="Times New Roman"/>
                <w:color w:val="000000"/>
              </w:rPr>
              <w:t>0.02</w:t>
            </w:r>
          </w:p>
        </w:tc>
      </w:tr>
      <w:tr w:rsidR="009D4A93" w:rsidRPr="00536CFD" w14:paraId="101E0EF3"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075BB1E9"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63C4F7A2"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165CE057" w14:textId="77777777" w:rsidR="009D4A93" w:rsidRPr="00536CFD" w:rsidRDefault="009D4A93" w:rsidP="009D4A93">
            <w:pPr>
              <w:spacing w:after="0"/>
              <w:jc w:val="center"/>
              <w:rPr>
                <w:rFonts w:eastAsia="Times New Roman"/>
                <w:color w:val="000000"/>
              </w:rPr>
            </w:pPr>
            <w:r w:rsidRPr="00536CFD">
              <w:rPr>
                <w:rFonts w:eastAsia="Times New Roman"/>
                <w:color w:val="000000"/>
              </w:rPr>
              <w:t>50%</w:t>
            </w:r>
          </w:p>
        </w:tc>
        <w:tc>
          <w:tcPr>
            <w:tcW w:w="401" w:type="pct"/>
            <w:tcBorders>
              <w:top w:val="nil"/>
              <w:left w:val="nil"/>
              <w:bottom w:val="single" w:sz="8" w:space="0" w:color="auto"/>
              <w:right w:val="single" w:sz="8" w:space="0" w:color="auto"/>
            </w:tcBorders>
            <w:shd w:val="clear" w:color="auto" w:fill="auto"/>
            <w:noWrap/>
            <w:vAlign w:val="center"/>
            <w:hideMark/>
          </w:tcPr>
          <w:p w14:paraId="04171EF5" w14:textId="77777777" w:rsidR="009D4A93" w:rsidRPr="00536CFD" w:rsidRDefault="009D4A93" w:rsidP="009D4A93">
            <w:pPr>
              <w:spacing w:after="0"/>
              <w:jc w:val="center"/>
              <w:rPr>
                <w:rFonts w:eastAsia="Times New Roman"/>
                <w:color w:val="000000"/>
              </w:rPr>
            </w:pPr>
            <w:r w:rsidRPr="00536CFD">
              <w:rPr>
                <w:rFonts w:eastAsia="Times New Roman"/>
                <w:color w:val="000000"/>
              </w:rPr>
              <w:t>0.72</w:t>
            </w:r>
          </w:p>
        </w:tc>
        <w:tc>
          <w:tcPr>
            <w:tcW w:w="372" w:type="pct"/>
            <w:tcBorders>
              <w:top w:val="nil"/>
              <w:left w:val="nil"/>
              <w:bottom w:val="single" w:sz="8" w:space="0" w:color="auto"/>
              <w:right w:val="single" w:sz="8" w:space="0" w:color="auto"/>
            </w:tcBorders>
            <w:shd w:val="clear" w:color="auto" w:fill="auto"/>
            <w:noWrap/>
            <w:vAlign w:val="center"/>
            <w:hideMark/>
          </w:tcPr>
          <w:p w14:paraId="060B5D12" w14:textId="77777777" w:rsidR="009D4A93" w:rsidRPr="00536CFD" w:rsidRDefault="009D4A93" w:rsidP="009D4A93">
            <w:pPr>
              <w:spacing w:after="0"/>
              <w:jc w:val="center"/>
              <w:rPr>
                <w:rFonts w:eastAsia="Times New Roman"/>
                <w:color w:val="000000"/>
              </w:rPr>
            </w:pPr>
            <w:r w:rsidRPr="00536CFD">
              <w:rPr>
                <w:rFonts w:eastAsia="Times New Roman"/>
                <w:color w:val="000000"/>
              </w:rPr>
              <w:t>0.81</w:t>
            </w:r>
          </w:p>
        </w:tc>
        <w:tc>
          <w:tcPr>
            <w:tcW w:w="437" w:type="pct"/>
            <w:tcBorders>
              <w:top w:val="nil"/>
              <w:left w:val="nil"/>
              <w:bottom w:val="single" w:sz="8" w:space="0" w:color="auto"/>
              <w:right w:val="single" w:sz="8" w:space="0" w:color="auto"/>
            </w:tcBorders>
            <w:shd w:val="clear" w:color="auto" w:fill="auto"/>
            <w:noWrap/>
            <w:vAlign w:val="center"/>
            <w:hideMark/>
          </w:tcPr>
          <w:p w14:paraId="7CFE3AA0" w14:textId="77777777" w:rsidR="009D4A93" w:rsidRPr="00536CFD" w:rsidRDefault="009D4A93" w:rsidP="009D4A93">
            <w:pPr>
              <w:spacing w:after="0"/>
              <w:jc w:val="center"/>
              <w:rPr>
                <w:rFonts w:eastAsia="Times New Roman"/>
                <w:color w:val="000000"/>
              </w:rPr>
            </w:pPr>
            <w:r w:rsidRPr="00536CFD">
              <w:rPr>
                <w:rFonts w:eastAsia="Times New Roman"/>
                <w:color w:val="000000"/>
              </w:rPr>
              <w:t>0.82</w:t>
            </w:r>
          </w:p>
        </w:tc>
        <w:tc>
          <w:tcPr>
            <w:tcW w:w="521" w:type="pct"/>
            <w:tcBorders>
              <w:top w:val="nil"/>
              <w:left w:val="nil"/>
              <w:bottom w:val="single" w:sz="8" w:space="0" w:color="auto"/>
              <w:right w:val="single" w:sz="8" w:space="0" w:color="auto"/>
            </w:tcBorders>
            <w:shd w:val="clear" w:color="auto" w:fill="auto"/>
            <w:noWrap/>
            <w:vAlign w:val="center"/>
            <w:hideMark/>
          </w:tcPr>
          <w:p w14:paraId="401C0A14" w14:textId="77777777" w:rsidR="009D4A93" w:rsidRPr="00536CFD" w:rsidRDefault="009D4A93" w:rsidP="009D4A93">
            <w:pPr>
              <w:spacing w:after="0"/>
              <w:jc w:val="center"/>
              <w:rPr>
                <w:rFonts w:eastAsia="Times New Roman"/>
                <w:color w:val="000000"/>
              </w:rPr>
            </w:pPr>
            <w:r w:rsidRPr="00536CFD">
              <w:rPr>
                <w:rFonts w:eastAsia="Times New Roman"/>
                <w:color w:val="000000"/>
              </w:rPr>
              <w:t>0.63</w:t>
            </w:r>
          </w:p>
        </w:tc>
        <w:tc>
          <w:tcPr>
            <w:tcW w:w="518" w:type="pct"/>
            <w:tcBorders>
              <w:top w:val="nil"/>
              <w:left w:val="nil"/>
              <w:bottom w:val="single" w:sz="8" w:space="0" w:color="auto"/>
              <w:right w:val="single" w:sz="8" w:space="0" w:color="auto"/>
            </w:tcBorders>
            <w:shd w:val="clear" w:color="auto" w:fill="auto"/>
            <w:noWrap/>
            <w:vAlign w:val="center"/>
            <w:hideMark/>
          </w:tcPr>
          <w:p w14:paraId="0EBB8825" w14:textId="77777777" w:rsidR="009D4A93" w:rsidRPr="00536CFD" w:rsidRDefault="009D4A93" w:rsidP="009D4A93">
            <w:pPr>
              <w:spacing w:after="0"/>
              <w:jc w:val="center"/>
              <w:rPr>
                <w:rFonts w:eastAsia="Times New Roman"/>
                <w:color w:val="000000"/>
              </w:rPr>
            </w:pPr>
            <w:r w:rsidRPr="00536CFD">
              <w:rPr>
                <w:rFonts w:eastAsia="Times New Roman"/>
                <w:color w:val="000000"/>
              </w:rPr>
              <w:t>0.71</w:t>
            </w:r>
          </w:p>
        </w:tc>
        <w:tc>
          <w:tcPr>
            <w:tcW w:w="482" w:type="pct"/>
            <w:tcBorders>
              <w:top w:val="nil"/>
              <w:left w:val="nil"/>
              <w:bottom w:val="single" w:sz="8" w:space="0" w:color="auto"/>
              <w:right w:val="single" w:sz="8" w:space="0" w:color="auto"/>
            </w:tcBorders>
            <w:shd w:val="clear" w:color="auto" w:fill="auto"/>
            <w:noWrap/>
            <w:vAlign w:val="center"/>
            <w:hideMark/>
          </w:tcPr>
          <w:p w14:paraId="4B62B5FA" w14:textId="77777777" w:rsidR="009D4A93" w:rsidRPr="00536CFD" w:rsidRDefault="009D4A93" w:rsidP="009D4A93">
            <w:pPr>
              <w:spacing w:after="0"/>
              <w:jc w:val="center"/>
              <w:rPr>
                <w:rFonts w:eastAsia="Times New Roman"/>
                <w:color w:val="000000"/>
              </w:rPr>
            </w:pPr>
            <w:r w:rsidRPr="00536CFD">
              <w:rPr>
                <w:rFonts w:eastAsia="Times New Roman"/>
                <w:color w:val="000000"/>
              </w:rPr>
              <w:t>0.60</w:t>
            </w:r>
          </w:p>
        </w:tc>
        <w:tc>
          <w:tcPr>
            <w:tcW w:w="437" w:type="pct"/>
            <w:tcBorders>
              <w:top w:val="nil"/>
              <w:left w:val="nil"/>
              <w:bottom w:val="single" w:sz="8" w:space="0" w:color="auto"/>
              <w:right w:val="single" w:sz="8" w:space="0" w:color="auto"/>
            </w:tcBorders>
            <w:shd w:val="clear" w:color="auto" w:fill="auto"/>
            <w:noWrap/>
            <w:vAlign w:val="center"/>
            <w:hideMark/>
          </w:tcPr>
          <w:p w14:paraId="24EC1D0D" w14:textId="77777777" w:rsidR="009D4A93" w:rsidRPr="00536CFD" w:rsidRDefault="009D4A93" w:rsidP="009D4A93">
            <w:pPr>
              <w:spacing w:after="0"/>
              <w:jc w:val="center"/>
              <w:rPr>
                <w:rFonts w:eastAsia="Times New Roman"/>
                <w:color w:val="000000"/>
              </w:rPr>
            </w:pPr>
            <w:r w:rsidRPr="00536CFD">
              <w:rPr>
                <w:rFonts w:eastAsia="Times New Roman"/>
                <w:color w:val="000000"/>
              </w:rPr>
              <w:t>0.61</w:t>
            </w:r>
          </w:p>
        </w:tc>
        <w:tc>
          <w:tcPr>
            <w:tcW w:w="486" w:type="pct"/>
            <w:tcBorders>
              <w:top w:val="nil"/>
              <w:left w:val="nil"/>
              <w:bottom w:val="single" w:sz="8" w:space="0" w:color="auto"/>
              <w:right w:val="single" w:sz="8" w:space="0" w:color="auto"/>
            </w:tcBorders>
            <w:shd w:val="clear" w:color="auto" w:fill="auto"/>
            <w:noWrap/>
            <w:vAlign w:val="center"/>
            <w:hideMark/>
          </w:tcPr>
          <w:p w14:paraId="11233E69" w14:textId="77777777" w:rsidR="009D4A93" w:rsidRPr="00536CFD" w:rsidRDefault="009D4A93" w:rsidP="009D4A93">
            <w:pPr>
              <w:spacing w:after="0"/>
              <w:jc w:val="center"/>
              <w:rPr>
                <w:rFonts w:eastAsia="Times New Roman"/>
                <w:color w:val="000000"/>
              </w:rPr>
            </w:pPr>
            <w:r w:rsidRPr="00536CFD">
              <w:rPr>
                <w:rFonts w:eastAsia="Times New Roman"/>
                <w:color w:val="000000"/>
              </w:rPr>
              <w:t>0.55</w:t>
            </w:r>
          </w:p>
        </w:tc>
      </w:tr>
      <w:tr w:rsidR="009D4A93" w:rsidRPr="00536CFD" w14:paraId="483B6481"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6C303AB8"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114998C3"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4F762451" w14:textId="77777777" w:rsidR="009D4A93" w:rsidRPr="00536CFD" w:rsidRDefault="009D4A93" w:rsidP="009D4A93">
            <w:pPr>
              <w:spacing w:after="0"/>
              <w:jc w:val="center"/>
              <w:rPr>
                <w:rFonts w:eastAsia="Times New Roman"/>
                <w:color w:val="000000"/>
              </w:rPr>
            </w:pPr>
            <w:r w:rsidRPr="00536CFD">
              <w:rPr>
                <w:rFonts w:eastAsia="Times New Roman"/>
                <w:color w:val="000000"/>
              </w:rPr>
              <w:t>95%</w:t>
            </w:r>
          </w:p>
        </w:tc>
        <w:tc>
          <w:tcPr>
            <w:tcW w:w="401" w:type="pct"/>
            <w:tcBorders>
              <w:top w:val="nil"/>
              <w:left w:val="nil"/>
              <w:bottom w:val="single" w:sz="8" w:space="0" w:color="auto"/>
              <w:right w:val="single" w:sz="8" w:space="0" w:color="auto"/>
            </w:tcBorders>
            <w:shd w:val="clear" w:color="auto" w:fill="auto"/>
            <w:noWrap/>
            <w:vAlign w:val="center"/>
            <w:hideMark/>
          </w:tcPr>
          <w:p w14:paraId="025C091A" w14:textId="77777777" w:rsidR="009D4A93" w:rsidRPr="00536CFD" w:rsidRDefault="009D4A93" w:rsidP="009D4A93">
            <w:pPr>
              <w:spacing w:after="0"/>
              <w:jc w:val="center"/>
              <w:rPr>
                <w:rFonts w:eastAsia="Times New Roman"/>
                <w:color w:val="000000"/>
              </w:rPr>
            </w:pPr>
            <w:r w:rsidRPr="00536CFD">
              <w:rPr>
                <w:rFonts w:eastAsia="Times New Roman"/>
                <w:color w:val="000000"/>
              </w:rPr>
              <w:t>1.35</w:t>
            </w:r>
          </w:p>
        </w:tc>
        <w:tc>
          <w:tcPr>
            <w:tcW w:w="372" w:type="pct"/>
            <w:tcBorders>
              <w:top w:val="nil"/>
              <w:left w:val="nil"/>
              <w:bottom w:val="single" w:sz="8" w:space="0" w:color="auto"/>
              <w:right w:val="single" w:sz="8" w:space="0" w:color="auto"/>
            </w:tcBorders>
            <w:shd w:val="clear" w:color="auto" w:fill="auto"/>
            <w:noWrap/>
            <w:vAlign w:val="center"/>
            <w:hideMark/>
          </w:tcPr>
          <w:p w14:paraId="1FD5DD79" w14:textId="77777777" w:rsidR="009D4A93" w:rsidRPr="00536CFD" w:rsidRDefault="009D4A93" w:rsidP="009D4A93">
            <w:pPr>
              <w:spacing w:after="0"/>
              <w:jc w:val="center"/>
              <w:rPr>
                <w:rFonts w:eastAsia="Times New Roman"/>
                <w:color w:val="000000"/>
              </w:rPr>
            </w:pPr>
            <w:r w:rsidRPr="00536CFD">
              <w:rPr>
                <w:rFonts w:eastAsia="Times New Roman"/>
                <w:color w:val="000000"/>
              </w:rPr>
              <w:t>1.13</w:t>
            </w:r>
          </w:p>
        </w:tc>
        <w:tc>
          <w:tcPr>
            <w:tcW w:w="437" w:type="pct"/>
            <w:tcBorders>
              <w:top w:val="nil"/>
              <w:left w:val="nil"/>
              <w:bottom w:val="single" w:sz="8" w:space="0" w:color="auto"/>
              <w:right w:val="single" w:sz="8" w:space="0" w:color="auto"/>
            </w:tcBorders>
            <w:shd w:val="clear" w:color="auto" w:fill="auto"/>
            <w:noWrap/>
            <w:vAlign w:val="center"/>
            <w:hideMark/>
          </w:tcPr>
          <w:p w14:paraId="6A9E392F" w14:textId="77777777" w:rsidR="009D4A93" w:rsidRPr="00536CFD" w:rsidRDefault="009D4A93" w:rsidP="009D4A93">
            <w:pPr>
              <w:spacing w:after="0"/>
              <w:jc w:val="center"/>
              <w:rPr>
                <w:rFonts w:eastAsia="Times New Roman"/>
                <w:color w:val="000000"/>
              </w:rPr>
            </w:pPr>
            <w:r w:rsidRPr="00536CFD">
              <w:rPr>
                <w:rFonts w:eastAsia="Times New Roman"/>
                <w:color w:val="000000"/>
              </w:rPr>
              <w:t>1.74</w:t>
            </w:r>
          </w:p>
        </w:tc>
        <w:tc>
          <w:tcPr>
            <w:tcW w:w="521" w:type="pct"/>
            <w:tcBorders>
              <w:top w:val="nil"/>
              <w:left w:val="nil"/>
              <w:bottom w:val="single" w:sz="8" w:space="0" w:color="auto"/>
              <w:right w:val="single" w:sz="8" w:space="0" w:color="auto"/>
            </w:tcBorders>
            <w:shd w:val="clear" w:color="auto" w:fill="auto"/>
            <w:noWrap/>
            <w:vAlign w:val="center"/>
            <w:hideMark/>
          </w:tcPr>
          <w:p w14:paraId="5304A2D4" w14:textId="77777777" w:rsidR="009D4A93" w:rsidRPr="00536CFD" w:rsidRDefault="009D4A93" w:rsidP="009D4A93">
            <w:pPr>
              <w:spacing w:after="0"/>
              <w:jc w:val="center"/>
              <w:rPr>
                <w:rFonts w:eastAsia="Times New Roman"/>
                <w:color w:val="000000"/>
              </w:rPr>
            </w:pPr>
            <w:r w:rsidRPr="00536CFD">
              <w:rPr>
                <w:rFonts w:eastAsia="Times New Roman"/>
                <w:color w:val="000000"/>
              </w:rPr>
              <w:t>1.16</w:t>
            </w:r>
          </w:p>
        </w:tc>
        <w:tc>
          <w:tcPr>
            <w:tcW w:w="518" w:type="pct"/>
            <w:tcBorders>
              <w:top w:val="nil"/>
              <w:left w:val="nil"/>
              <w:bottom w:val="single" w:sz="8" w:space="0" w:color="auto"/>
              <w:right w:val="single" w:sz="8" w:space="0" w:color="auto"/>
            </w:tcBorders>
            <w:shd w:val="clear" w:color="auto" w:fill="auto"/>
            <w:noWrap/>
            <w:vAlign w:val="center"/>
            <w:hideMark/>
          </w:tcPr>
          <w:p w14:paraId="73E78849" w14:textId="77777777" w:rsidR="009D4A93" w:rsidRPr="00536CFD" w:rsidRDefault="009D4A93" w:rsidP="009D4A93">
            <w:pPr>
              <w:spacing w:after="0"/>
              <w:jc w:val="center"/>
              <w:rPr>
                <w:rFonts w:eastAsia="Times New Roman"/>
                <w:color w:val="000000"/>
              </w:rPr>
            </w:pPr>
            <w:r w:rsidRPr="00536CFD">
              <w:rPr>
                <w:rFonts w:eastAsia="Times New Roman"/>
                <w:color w:val="000000"/>
              </w:rPr>
              <w:t>1.13</w:t>
            </w:r>
          </w:p>
        </w:tc>
        <w:tc>
          <w:tcPr>
            <w:tcW w:w="482" w:type="pct"/>
            <w:tcBorders>
              <w:top w:val="nil"/>
              <w:left w:val="nil"/>
              <w:bottom w:val="single" w:sz="8" w:space="0" w:color="auto"/>
              <w:right w:val="single" w:sz="8" w:space="0" w:color="auto"/>
            </w:tcBorders>
            <w:shd w:val="clear" w:color="auto" w:fill="auto"/>
            <w:noWrap/>
            <w:vAlign w:val="center"/>
            <w:hideMark/>
          </w:tcPr>
          <w:p w14:paraId="14646098" w14:textId="77777777" w:rsidR="009D4A93" w:rsidRPr="00536CFD" w:rsidRDefault="009D4A93" w:rsidP="009D4A93">
            <w:pPr>
              <w:spacing w:after="0"/>
              <w:jc w:val="center"/>
              <w:rPr>
                <w:rFonts w:eastAsia="Times New Roman"/>
                <w:color w:val="000000"/>
              </w:rPr>
            </w:pPr>
            <w:r w:rsidRPr="00536CFD">
              <w:rPr>
                <w:rFonts w:eastAsia="Times New Roman"/>
                <w:color w:val="000000"/>
              </w:rPr>
              <w:t>1.04</w:t>
            </w:r>
          </w:p>
        </w:tc>
        <w:tc>
          <w:tcPr>
            <w:tcW w:w="437" w:type="pct"/>
            <w:tcBorders>
              <w:top w:val="nil"/>
              <w:left w:val="nil"/>
              <w:bottom w:val="single" w:sz="8" w:space="0" w:color="auto"/>
              <w:right w:val="single" w:sz="8" w:space="0" w:color="auto"/>
            </w:tcBorders>
            <w:shd w:val="clear" w:color="auto" w:fill="auto"/>
            <w:noWrap/>
            <w:vAlign w:val="center"/>
            <w:hideMark/>
          </w:tcPr>
          <w:p w14:paraId="69DA554C" w14:textId="77777777" w:rsidR="009D4A93" w:rsidRPr="00536CFD" w:rsidRDefault="009D4A93" w:rsidP="009D4A93">
            <w:pPr>
              <w:spacing w:after="0"/>
              <w:jc w:val="center"/>
              <w:rPr>
                <w:rFonts w:eastAsia="Times New Roman"/>
                <w:color w:val="000000"/>
              </w:rPr>
            </w:pPr>
            <w:r w:rsidRPr="00536CFD">
              <w:rPr>
                <w:rFonts w:eastAsia="Times New Roman"/>
                <w:color w:val="000000"/>
              </w:rPr>
              <w:t>0.78</w:t>
            </w:r>
          </w:p>
        </w:tc>
        <w:tc>
          <w:tcPr>
            <w:tcW w:w="486" w:type="pct"/>
            <w:tcBorders>
              <w:top w:val="nil"/>
              <w:left w:val="nil"/>
              <w:bottom w:val="single" w:sz="8" w:space="0" w:color="auto"/>
              <w:right w:val="single" w:sz="8" w:space="0" w:color="auto"/>
            </w:tcBorders>
            <w:shd w:val="clear" w:color="auto" w:fill="auto"/>
            <w:noWrap/>
            <w:vAlign w:val="center"/>
            <w:hideMark/>
          </w:tcPr>
          <w:p w14:paraId="780739A5" w14:textId="77777777" w:rsidR="009D4A93" w:rsidRPr="00536CFD" w:rsidRDefault="009D4A93" w:rsidP="009D4A93">
            <w:pPr>
              <w:spacing w:after="0"/>
              <w:jc w:val="center"/>
              <w:rPr>
                <w:rFonts w:eastAsia="Times New Roman"/>
                <w:color w:val="000000"/>
              </w:rPr>
            </w:pPr>
            <w:r w:rsidRPr="00536CFD">
              <w:rPr>
                <w:rFonts w:eastAsia="Times New Roman"/>
                <w:color w:val="000000"/>
              </w:rPr>
              <w:t>0.64</w:t>
            </w:r>
          </w:p>
        </w:tc>
      </w:tr>
      <w:tr w:rsidR="009D4A93" w:rsidRPr="00536CFD" w14:paraId="09325124"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298B828E"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681C4552"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1F9C3C6C" w14:textId="77777777" w:rsidR="009D4A93" w:rsidRPr="00536CFD" w:rsidRDefault="009D4A93" w:rsidP="009D4A93">
            <w:pPr>
              <w:spacing w:after="0"/>
              <w:jc w:val="center"/>
              <w:rPr>
                <w:rFonts w:eastAsia="Times New Roman"/>
                <w:color w:val="000000"/>
              </w:rPr>
            </w:pPr>
            <w:r w:rsidRPr="00536CFD">
              <w:rPr>
                <w:rFonts w:eastAsia="Times New Roman"/>
                <w:color w:val="000000"/>
              </w:rPr>
              <w:t>Mean</w:t>
            </w:r>
          </w:p>
        </w:tc>
        <w:tc>
          <w:tcPr>
            <w:tcW w:w="401" w:type="pct"/>
            <w:tcBorders>
              <w:top w:val="nil"/>
              <w:left w:val="nil"/>
              <w:bottom w:val="single" w:sz="8" w:space="0" w:color="auto"/>
              <w:right w:val="single" w:sz="8" w:space="0" w:color="auto"/>
            </w:tcBorders>
            <w:shd w:val="clear" w:color="auto" w:fill="auto"/>
            <w:noWrap/>
            <w:vAlign w:val="center"/>
            <w:hideMark/>
          </w:tcPr>
          <w:p w14:paraId="47C6C8B6" w14:textId="77777777" w:rsidR="009D4A93" w:rsidRPr="00536CFD" w:rsidRDefault="009D4A93" w:rsidP="009D4A93">
            <w:pPr>
              <w:spacing w:after="0"/>
              <w:jc w:val="center"/>
              <w:rPr>
                <w:rFonts w:eastAsia="Times New Roman"/>
                <w:color w:val="000000"/>
              </w:rPr>
            </w:pPr>
            <w:r w:rsidRPr="00536CFD">
              <w:rPr>
                <w:rFonts w:eastAsia="Times New Roman"/>
                <w:color w:val="000000"/>
              </w:rPr>
              <w:t>0.76</w:t>
            </w:r>
          </w:p>
        </w:tc>
        <w:tc>
          <w:tcPr>
            <w:tcW w:w="372" w:type="pct"/>
            <w:tcBorders>
              <w:top w:val="nil"/>
              <w:left w:val="nil"/>
              <w:bottom w:val="single" w:sz="8" w:space="0" w:color="auto"/>
              <w:right w:val="single" w:sz="8" w:space="0" w:color="auto"/>
            </w:tcBorders>
            <w:shd w:val="clear" w:color="auto" w:fill="auto"/>
            <w:noWrap/>
            <w:vAlign w:val="center"/>
            <w:hideMark/>
          </w:tcPr>
          <w:p w14:paraId="300EC0EA" w14:textId="77777777" w:rsidR="009D4A93" w:rsidRPr="00536CFD" w:rsidRDefault="009D4A93" w:rsidP="009D4A93">
            <w:pPr>
              <w:spacing w:after="0"/>
              <w:jc w:val="center"/>
              <w:rPr>
                <w:rFonts w:eastAsia="Times New Roman"/>
                <w:color w:val="000000"/>
              </w:rPr>
            </w:pPr>
            <w:r w:rsidRPr="00536CFD">
              <w:rPr>
                <w:rFonts w:eastAsia="Times New Roman"/>
                <w:color w:val="000000"/>
              </w:rPr>
              <w:t>0.72</w:t>
            </w:r>
          </w:p>
        </w:tc>
        <w:tc>
          <w:tcPr>
            <w:tcW w:w="437" w:type="pct"/>
            <w:tcBorders>
              <w:top w:val="nil"/>
              <w:left w:val="nil"/>
              <w:bottom w:val="single" w:sz="8" w:space="0" w:color="auto"/>
              <w:right w:val="single" w:sz="8" w:space="0" w:color="auto"/>
            </w:tcBorders>
            <w:shd w:val="clear" w:color="auto" w:fill="auto"/>
            <w:noWrap/>
            <w:vAlign w:val="center"/>
            <w:hideMark/>
          </w:tcPr>
          <w:p w14:paraId="410B9FD5" w14:textId="77777777" w:rsidR="009D4A93" w:rsidRPr="00536CFD" w:rsidRDefault="009D4A93" w:rsidP="009D4A93">
            <w:pPr>
              <w:spacing w:after="0"/>
              <w:jc w:val="center"/>
              <w:rPr>
                <w:rFonts w:eastAsia="Times New Roman"/>
                <w:color w:val="000000"/>
              </w:rPr>
            </w:pPr>
            <w:r w:rsidRPr="00536CFD">
              <w:rPr>
                <w:rFonts w:eastAsia="Times New Roman"/>
                <w:color w:val="000000"/>
              </w:rPr>
              <w:t>0.89</w:t>
            </w:r>
          </w:p>
        </w:tc>
        <w:tc>
          <w:tcPr>
            <w:tcW w:w="521" w:type="pct"/>
            <w:tcBorders>
              <w:top w:val="nil"/>
              <w:left w:val="nil"/>
              <w:bottom w:val="single" w:sz="8" w:space="0" w:color="auto"/>
              <w:right w:val="single" w:sz="8" w:space="0" w:color="auto"/>
            </w:tcBorders>
            <w:shd w:val="clear" w:color="auto" w:fill="auto"/>
            <w:noWrap/>
            <w:vAlign w:val="center"/>
            <w:hideMark/>
          </w:tcPr>
          <w:p w14:paraId="75FF8B83" w14:textId="77777777" w:rsidR="009D4A93" w:rsidRPr="00536CFD" w:rsidRDefault="009D4A93" w:rsidP="009D4A93">
            <w:pPr>
              <w:spacing w:after="0"/>
              <w:jc w:val="center"/>
              <w:rPr>
                <w:rFonts w:eastAsia="Times New Roman"/>
                <w:color w:val="000000"/>
              </w:rPr>
            </w:pPr>
            <w:r w:rsidRPr="00536CFD">
              <w:rPr>
                <w:rFonts w:eastAsia="Times New Roman"/>
                <w:color w:val="000000"/>
              </w:rPr>
              <w:t>0.64</w:t>
            </w:r>
          </w:p>
        </w:tc>
        <w:tc>
          <w:tcPr>
            <w:tcW w:w="518" w:type="pct"/>
            <w:tcBorders>
              <w:top w:val="nil"/>
              <w:left w:val="nil"/>
              <w:bottom w:val="single" w:sz="8" w:space="0" w:color="auto"/>
              <w:right w:val="single" w:sz="8" w:space="0" w:color="auto"/>
            </w:tcBorders>
            <w:shd w:val="clear" w:color="auto" w:fill="auto"/>
            <w:noWrap/>
            <w:vAlign w:val="center"/>
            <w:hideMark/>
          </w:tcPr>
          <w:p w14:paraId="67981853" w14:textId="77777777" w:rsidR="009D4A93" w:rsidRPr="00536CFD" w:rsidRDefault="009D4A93" w:rsidP="009D4A93">
            <w:pPr>
              <w:spacing w:after="0"/>
              <w:jc w:val="center"/>
              <w:rPr>
                <w:rFonts w:eastAsia="Times New Roman"/>
                <w:color w:val="000000"/>
              </w:rPr>
            </w:pPr>
            <w:r w:rsidRPr="00536CFD">
              <w:rPr>
                <w:rFonts w:eastAsia="Times New Roman"/>
                <w:color w:val="000000"/>
              </w:rPr>
              <w:t>0.74</w:t>
            </w:r>
          </w:p>
        </w:tc>
        <w:tc>
          <w:tcPr>
            <w:tcW w:w="482" w:type="pct"/>
            <w:tcBorders>
              <w:top w:val="nil"/>
              <w:left w:val="nil"/>
              <w:bottom w:val="single" w:sz="8" w:space="0" w:color="auto"/>
              <w:right w:val="single" w:sz="8" w:space="0" w:color="auto"/>
            </w:tcBorders>
            <w:shd w:val="clear" w:color="auto" w:fill="auto"/>
            <w:noWrap/>
            <w:vAlign w:val="center"/>
            <w:hideMark/>
          </w:tcPr>
          <w:p w14:paraId="50EA0C2E" w14:textId="77777777" w:rsidR="009D4A93" w:rsidRPr="00536CFD" w:rsidRDefault="009D4A93" w:rsidP="009D4A93">
            <w:pPr>
              <w:spacing w:after="0"/>
              <w:jc w:val="center"/>
              <w:rPr>
                <w:rFonts w:eastAsia="Times New Roman"/>
                <w:color w:val="000000"/>
              </w:rPr>
            </w:pPr>
            <w:r w:rsidRPr="00536CFD">
              <w:rPr>
                <w:rFonts w:eastAsia="Times New Roman"/>
                <w:color w:val="000000"/>
              </w:rPr>
              <w:t>0.61</w:t>
            </w:r>
          </w:p>
        </w:tc>
        <w:tc>
          <w:tcPr>
            <w:tcW w:w="437" w:type="pct"/>
            <w:tcBorders>
              <w:top w:val="nil"/>
              <w:left w:val="nil"/>
              <w:bottom w:val="single" w:sz="8" w:space="0" w:color="auto"/>
              <w:right w:val="single" w:sz="8" w:space="0" w:color="auto"/>
            </w:tcBorders>
            <w:shd w:val="clear" w:color="auto" w:fill="auto"/>
            <w:noWrap/>
            <w:vAlign w:val="center"/>
            <w:hideMark/>
          </w:tcPr>
          <w:p w14:paraId="3DE22D5B" w14:textId="77777777" w:rsidR="009D4A93" w:rsidRPr="00536CFD" w:rsidRDefault="009D4A93" w:rsidP="009D4A93">
            <w:pPr>
              <w:spacing w:after="0"/>
              <w:jc w:val="center"/>
              <w:rPr>
                <w:rFonts w:eastAsia="Times New Roman"/>
                <w:color w:val="000000"/>
              </w:rPr>
            </w:pPr>
            <w:r w:rsidRPr="00536CFD">
              <w:rPr>
                <w:rFonts w:eastAsia="Times New Roman"/>
                <w:color w:val="000000"/>
              </w:rPr>
              <w:t>0.62</w:t>
            </w:r>
          </w:p>
        </w:tc>
        <w:tc>
          <w:tcPr>
            <w:tcW w:w="486" w:type="pct"/>
            <w:tcBorders>
              <w:top w:val="nil"/>
              <w:left w:val="nil"/>
              <w:bottom w:val="single" w:sz="8" w:space="0" w:color="auto"/>
              <w:right w:val="single" w:sz="8" w:space="0" w:color="auto"/>
            </w:tcBorders>
            <w:shd w:val="clear" w:color="auto" w:fill="auto"/>
            <w:noWrap/>
            <w:vAlign w:val="center"/>
            <w:hideMark/>
          </w:tcPr>
          <w:p w14:paraId="28F2E46F" w14:textId="77777777" w:rsidR="009D4A93" w:rsidRPr="00536CFD" w:rsidRDefault="009D4A93" w:rsidP="009D4A93">
            <w:pPr>
              <w:spacing w:after="0"/>
              <w:jc w:val="center"/>
              <w:rPr>
                <w:rFonts w:eastAsia="Times New Roman"/>
                <w:color w:val="000000"/>
              </w:rPr>
            </w:pPr>
            <w:r w:rsidRPr="00536CFD">
              <w:rPr>
                <w:rFonts w:eastAsia="Times New Roman"/>
                <w:color w:val="000000"/>
              </w:rPr>
              <w:t>0.50</w:t>
            </w:r>
          </w:p>
        </w:tc>
      </w:tr>
      <w:tr w:rsidR="009D4A93" w:rsidRPr="00536CFD" w14:paraId="18B9D4F0"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6A5F8B3F" w14:textId="77777777" w:rsidR="009D4A93" w:rsidRPr="00536CFD" w:rsidRDefault="009D4A93" w:rsidP="009D4A93">
            <w:pPr>
              <w:spacing w:after="0"/>
              <w:jc w:val="center"/>
              <w:rPr>
                <w:rFonts w:eastAsia="Times New Roman"/>
                <w:color w:val="000000"/>
              </w:rPr>
            </w:pPr>
          </w:p>
        </w:tc>
        <w:tc>
          <w:tcPr>
            <w:tcW w:w="347" w:type="pct"/>
            <w:vMerge w:val="restart"/>
            <w:tcBorders>
              <w:top w:val="nil"/>
              <w:left w:val="single" w:sz="4" w:space="0" w:color="auto"/>
              <w:bottom w:val="single" w:sz="8" w:space="0" w:color="000000"/>
              <w:right w:val="single" w:sz="8" w:space="0" w:color="auto"/>
            </w:tcBorders>
            <w:shd w:val="clear" w:color="auto" w:fill="auto"/>
            <w:vAlign w:val="center"/>
            <w:hideMark/>
          </w:tcPr>
          <w:p w14:paraId="6E6DE06D" w14:textId="77777777" w:rsidR="009D4A93" w:rsidRPr="00536CFD" w:rsidRDefault="009D4A93" w:rsidP="009D4A93">
            <w:pPr>
              <w:spacing w:after="0"/>
              <w:jc w:val="center"/>
              <w:rPr>
                <w:rFonts w:eastAsia="Times New Roman"/>
                <w:color w:val="000000"/>
              </w:rPr>
            </w:pPr>
            <w:r w:rsidRPr="00536CFD">
              <w:rPr>
                <w:rFonts w:eastAsia="Times New Roman"/>
                <w:color w:val="000000"/>
              </w:rPr>
              <w:t>UL: UPT CDF (Mbps)</w:t>
            </w:r>
          </w:p>
        </w:tc>
        <w:tc>
          <w:tcPr>
            <w:tcW w:w="351" w:type="pct"/>
            <w:tcBorders>
              <w:top w:val="nil"/>
              <w:left w:val="nil"/>
              <w:bottom w:val="single" w:sz="8" w:space="0" w:color="auto"/>
              <w:right w:val="single" w:sz="8" w:space="0" w:color="auto"/>
            </w:tcBorders>
            <w:shd w:val="clear" w:color="auto" w:fill="auto"/>
            <w:vAlign w:val="center"/>
            <w:hideMark/>
          </w:tcPr>
          <w:p w14:paraId="0847AF0F" w14:textId="77777777" w:rsidR="009D4A93" w:rsidRPr="00536CFD" w:rsidRDefault="009D4A93" w:rsidP="009D4A93">
            <w:pPr>
              <w:spacing w:after="0"/>
              <w:jc w:val="center"/>
              <w:rPr>
                <w:rFonts w:eastAsia="Times New Roman"/>
                <w:color w:val="000000"/>
              </w:rPr>
            </w:pPr>
            <w:r w:rsidRPr="00536CFD">
              <w:rPr>
                <w:rFonts w:eastAsia="Times New Roman"/>
                <w:color w:val="000000"/>
              </w:rPr>
              <w:t>5%</w:t>
            </w:r>
          </w:p>
        </w:tc>
        <w:tc>
          <w:tcPr>
            <w:tcW w:w="401" w:type="pct"/>
            <w:tcBorders>
              <w:top w:val="nil"/>
              <w:left w:val="nil"/>
              <w:bottom w:val="single" w:sz="8" w:space="0" w:color="auto"/>
              <w:right w:val="single" w:sz="8" w:space="0" w:color="auto"/>
            </w:tcBorders>
            <w:shd w:val="clear" w:color="auto" w:fill="auto"/>
            <w:noWrap/>
            <w:vAlign w:val="center"/>
            <w:hideMark/>
          </w:tcPr>
          <w:p w14:paraId="411396DC" w14:textId="77777777" w:rsidR="009D4A93" w:rsidRPr="00536CFD" w:rsidRDefault="009D4A93" w:rsidP="009D4A93">
            <w:pPr>
              <w:spacing w:after="0"/>
              <w:jc w:val="center"/>
              <w:rPr>
                <w:rFonts w:eastAsia="Times New Roman"/>
                <w:color w:val="000000"/>
              </w:rPr>
            </w:pPr>
            <w:r w:rsidRPr="00536CFD">
              <w:rPr>
                <w:rFonts w:eastAsia="Times New Roman"/>
                <w:color w:val="000000"/>
              </w:rPr>
              <w:t>4.06</w:t>
            </w:r>
          </w:p>
        </w:tc>
        <w:tc>
          <w:tcPr>
            <w:tcW w:w="372" w:type="pct"/>
            <w:tcBorders>
              <w:top w:val="nil"/>
              <w:left w:val="nil"/>
              <w:bottom w:val="single" w:sz="8" w:space="0" w:color="auto"/>
              <w:right w:val="single" w:sz="8" w:space="0" w:color="auto"/>
            </w:tcBorders>
            <w:shd w:val="clear" w:color="auto" w:fill="auto"/>
            <w:noWrap/>
            <w:vAlign w:val="center"/>
            <w:hideMark/>
          </w:tcPr>
          <w:p w14:paraId="278F498B" w14:textId="77777777" w:rsidR="009D4A93" w:rsidRPr="00536CFD" w:rsidRDefault="009D4A93" w:rsidP="009D4A93">
            <w:pPr>
              <w:spacing w:after="0"/>
              <w:jc w:val="center"/>
              <w:rPr>
                <w:rFonts w:eastAsia="Times New Roman"/>
                <w:color w:val="000000"/>
              </w:rPr>
            </w:pPr>
            <w:r w:rsidRPr="00536CFD">
              <w:rPr>
                <w:rFonts w:eastAsia="Times New Roman"/>
                <w:color w:val="000000"/>
              </w:rPr>
              <w:t>4.01</w:t>
            </w:r>
          </w:p>
        </w:tc>
        <w:tc>
          <w:tcPr>
            <w:tcW w:w="437" w:type="pct"/>
            <w:tcBorders>
              <w:top w:val="nil"/>
              <w:left w:val="nil"/>
              <w:bottom w:val="single" w:sz="8" w:space="0" w:color="auto"/>
              <w:right w:val="single" w:sz="8" w:space="0" w:color="auto"/>
            </w:tcBorders>
            <w:shd w:val="clear" w:color="auto" w:fill="auto"/>
            <w:noWrap/>
            <w:vAlign w:val="center"/>
            <w:hideMark/>
          </w:tcPr>
          <w:p w14:paraId="3F05283F" w14:textId="77777777" w:rsidR="009D4A93" w:rsidRPr="00536CFD" w:rsidRDefault="009D4A93" w:rsidP="009D4A93">
            <w:pPr>
              <w:spacing w:after="0"/>
              <w:jc w:val="center"/>
              <w:rPr>
                <w:rFonts w:eastAsia="Times New Roman"/>
                <w:color w:val="000000"/>
              </w:rPr>
            </w:pPr>
            <w:r w:rsidRPr="00536CFD">
              <w:rPr>
                <w:rFonts w:eastAsia="Times New Roman"/>
                <w:color w:val="000000"/>
              </w:rPr>
              <w:t>2.14</w:t>
            </w:r>
          </w:p>
        </w:tc>
        <w:tc>
          <w:tcPr>
            <w:tcW w:w="521" w:type="pct"/>
            <w:tcBorders>
              <w:top w:val="nil"/>
              <w:left w:val="nil"/>
              <w:bottom w:val="single" w:sz="8" w:space="0" w:color="auto"/>
              <w:right w:val="single" w:sz="8" w:space="0" w:color="auto"/>
            </w:tcBorders>
            <w:shd w:val="clear" w:color="auto" w:fill="auto"/>
            <w:noWrap/>
            <w:vAlign w:val="center"/>
            <w:hideMark/>
          </w:tcPr>
          <w:p w14:paraId="43E5CF0E" w14:textId="77777777" w:rsidR="009D4A93" w:rsidRPr="00536CFD" w:rsidRDefault="009D4A93" w:rsidP="009D4A93">
            <w:pPr>
              <w:spacing w:after="0"/>
              <w:jc w:val="center"/>
              <w:rPr>
                <w:rFonts w:eastAsia="Times New Roman"/>
                <w:color w:val="000000"/>
              </w:rPr>
            </w:pPr>
            <w:r w:rsidRPr="00536CFD">
              <w:rPr>
                <w:rFonts w:eastAsia="Times New Roman"/>
                <w:color w:val="000000"/>
              </w:rPr>
              <w:t>6.61</w:t>
            </w:r>
          </w:p>
        </w:tc>
        <w:tc>
          <w:tcPr>
            <w:tcW w:w="518" w:type="pct"/>
            <w:tcBorders>
              <w:top w:val="nil"/>
              <w:left w:val="nil"/>
              <w:bottom w:val="single" w:sz="8" w:space="0" w:color="auto"/>
              <w:right w:val="single" w:sz="8" w:space="0" w:color="auto"/>
            </w:tcBorders>
            <w:shd w:val="clear" w:color="auto" w:fill="auto"/>
            <w:noWrap/>
            <w:vAlign w:val="center"/>
            <w:hideMark/>
          </w:tcPr>
          <w:p w14:paraId="62452194" w14:textId="77777777" w:rsidR="009D4A93" w:rsidRPr="00536CFD" w:rsidRDefault="009D4A93" w:rsidP="009D4A93">
            <w:pPr>
              <w:spacing w:after="0"/>
              <w:jc w:val="center"/>
              <w:rPr>
                <w:rFonts w:eastAsia="Times New Roman"/>
                <w:color w:val="000000"/>
              </w:rPr>
            </w:pPr>
            <w:r w:rsidRPr="00536CFD">
              <w:rPr>
                <w:rFonts w:eastAsia="Times New Roman"/>
                <w:color w:val="000000"/>
              </w:rPr>
              <w:t>4.62</w:t>
            </w:r>
          </w:p>
        </w:tc>
        <w:tc>
          <w:tcPr>
            <w:tcW w:w="482" w:type="pct"/>
            <w:tcBorders>
              <w:top w:val="nil"/>
              <w:left w:val="nil"/>
              <w:bottom w:val="single" w:sz="8" w:space="0" w:color="auto"/>
              <w:right w:val="single" w:sz="8" w:space="0" w:color="auto"/>
            </w:tcBorders>
            <w:shd w:val="clear" w:color="auto" w:fill="auto"/>
            <w:noWrap/>
            <w:vAlign w:val="center"/>
            <w:hideMark/>
          </w:tcPr>
          <w:p w14:paraId="11260E46" w14:textId="77777777" w:rsidR="009D4A93" w:rsidRPr="00536CFD" w:rsidRDefault="009D4A93" w:rsidP="009D4A93">
            <w:pPr>
              <w:spacing w:after="0"/>
              <w:jc w:val="center"/>
              <w:rPr>
                <w:rFonts w:eastAsia="Times New Roman"/>
                <w:color w:val="000000"/>
              </w:rPr>
            </w:pPr>
            <w:r w:rsidRPr="00536CFD">
              <w:rPr>
                <w:rFonts w:eastAsia="Times New Roman"/>
                <w:color w:val="000000"/>
              </w:rPr>
              <w:t>8.09</w:t>
            </w:r>
          </w:p>
        </w:tc>
        <w:tc>
          <w:tcPr>
            <w:tcW w:w="437" w:type="pct"/>
            <w:tcBorders>
              <w:top w:val="nil"/>
              <w:left w:val="nil"/>
              <w:bottom w:val="single" w:sz="8" w:space="0" w:color="auto"/>
              <w:right w:val="single" w:sz="8" w:space="0" w:color="auto"/>
            </w:tcBorders>
            <w:shd w:val="clear" w:color="auto" w:fill="auto"/>
            <w:noWrap/>
            <w:vAlign w:val="center"/>
            <w:hideMark/>
          </w:tcPr>
          <w:p w14:paraId="7BFE4F4B" w14:textId="77777777" w:rsidR="009D4A93" w:rsidRPr="00536CFD" w:rsidRDefault="009D4A93" w:rsidP="009D4A93">
            <w:pPr>
              <w:spacing w:after="0"/>
              <w:jc w:val="center"/>
              <w:rPr>
                <w:rFonts w:eastAsia="Times New Roman"/>
                <w:color w:val="000000"/>
              </w:rPr>
            </w:pPr>
            <w:r w:rsidRPr="00536CFD">
              <w:rPr>
                <w:rFonts w:eastAsia="Times New Roman"/>
                <w:color w:val="000000"/>
              </w:rPr>
              <w:t>6.65</w:t>
            </w:r>
          </w:p>
        </w:tc>
        <w:tc>
          <w:tcPr>
            <w:tcW w:w="486" w:type="pct"/>
            <w:tcBorders>
              <w:top w:val="nil"/>
              <w:left w:val="nil"/>
              <w:bottom w:val="single" w:sz="8" w:space="0" w:color="auto"/>
              <w:right w:val="single" w:sz="8" w:space="0" w:color="auto"/>
            </w:tcBorders>
            <w:shd w:val="clear" w:color="auto" w:fill="auto"/>
            <w:noWrap/>
            <w:vAlign w:val="center"/>
            <w:hideMark/>
          </w:tcPr>
          <w:p w14:paraId="6634F577" w14:textId="77777777" w:rsidR="009D4A93" w:rsidRPr="00536CFD" w:rsidRDefault="009D4A93" w:rsidP="009D4A93">
            <w:pPr>
              <w:spacing w:after="0"/>
              <w:jc w:val="center"/>
              <w:rPr>
                <w:rFonts w:eastAsia="Times New Roman"/>
                <w:color w:val="000000"/>
              </w:rPr>
            </w:pPr>
            <w:r w:rsidRPr="00536CFD">
              <w:rPr>
                <w:rFonts w:eastAsia="Times New Roman"/>
                <w:color w:val="000000"/>
              </w:rPr>
              <w:t>12.38</w:t>
            </w:r>
          </w:p>
        </w:tc>
      </w:tr>
      <w:tr w:rsidR="009D4A93" w:rsidRPr="00536CFD" w14:paraId="24901FD4"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2C2AB496"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7D5E9736"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30DBDFB7" w14:textId="77777777" w:rsidR="009D4A93" w:rsidRPr="00536CFD" w:rsidRDefault="009D4A93" w:rsidP="009D4A93">
            <w:pPr>
              <w:spacing w:after="0"/>
              <w:jc w:val="center"/>
              <w:rPr>
                <w:rFonts w:eastAsia="Times New Roman"/>
                <w:color w:val="000000"/>
              </w:rPr>
            </w:pPr>
            <w:r w:rsidRPr="00536CFD">
              <w:rPr>
                <w:rFonts w:eastAsia="Times New Roman"/>
                <w:color w:val="000000"/>
              </w:rPr>
              <w:t>50%</w:t>
            </w:r>
          </w:p>
        </w:tc>
        <w:tc>
          <w:tcPr>
            <w:tcW w:w="401" w:type="pct"/>
            <w:tcBorders>
              <w:top w:val="nil"/>
              <w:left w:val="nil"/>
              <w:bottom w:val="single" w:sz="8" w:space="0" w:color="auto"/>
              <w:right w:val="single" w:sz="8" w:space="0" w:color="auto"/>
            </w:tcBorders>
            <w:shd w:val="clear" w:color="auto" w:fill="auto"/>
            <w:noWrap/>
            <w:vAlign w:val="center"/>
            <w:hideMark/>
          </w:tcPr>
          <w:p w14:paraId="7E2234EF" w14:textId="77777777" w:rsidR="009D4A93" w:rsidRPr="00536CFD" w:rsidRDefault="009D4A93" w:rsidP="009D4A93">
            <w:pPr>
              <w:spacing w:after="0"/>
              <w:jc w:val="center"/>
              <w:rPr>
                <w:rFonts w:eastAsia="Times New Roman"/>
                <w:color w:val="000000"/>
              </w:rPr>
            </w:pPr>
            <w:r w:rsidRPr="00536CFD">
              <w:rPr>
                <w:rFonts w:eastAsia="Times New Roman"/>
                <w:color w:val="000000"/>
              </w:rPr>
              <w:t>42.43</w:t>
            </w:r>
          </w:p>
        </w:tc>
        <w:tc>
          <w:tcPr>
            <w:tcW w:w="372" w:type="pct"/>
            <w:tcBorders>
              <w:top w:val="nil"/>
              <w:left w:val="nil"/>
              <w:bottom w:val="single" w:sz="8" w:space="0" w:color="auto"/>
              <w:right w:val="single" w:sz="8" w:space="0" w:color="auto"/>
            </w:tcBorders>
            <w:shd w:val="clear" w:color="auto" w:fill="auto"/>
            <w:noWrap/>
            <w:vAlign w:val="center"/>
            <w:hideMark/>
          </w:tcPr>
          <w:p w14:paraId="0155C3A4" w14:textId="77777777" w:rsidR="009D4A93" w:rsidRPr="00536CFD" w:rsidRDefault="009D4A93" w:rsidP="009D4A93">
            <w:pPr>
              <w:spacing w:after="0"/>
              <w:jc w:val="center"/>
              <w:rPr>
                <w:rFonts w:eastAsia="Times New Roman"/>
                <w:color w:val="000000"/>
              </w:rPr>
            </w:pPr>
            <w:r w:rsidRPr="00536CFD">
              <w:rPr>
                <w:rFonts w:eastAsia="Times New Roman"/>
                <w:color w:val="000000"/>
              </w:rPr>
              <w:t>42.27</w:t>
            </w:r>
          </w:p>
        </w:tc>
        <w:tc>
          <w:tcPr>
            <w:tcW w:w="437" w:type="pct"/>
            <w:tcBorders>
              <w:top w:val="nil"/>
              <w:left w:val="nil"/>
              <w:bottom w:val="single" w:sz="8" w:space="0" w:color="auto"/>
              <w:right w:val="single" w:sz="8" w:space="0" w:color="auto"/>
            </w:tcBorders>
            <w:shd w:val="clear" w:color="auto" w:fill="auto"/>
            <w:noWrap/>
            <w:vAlign w:val="center"/>
            <w:hideMark/>
          </w:tcPr>
          <w:p w14:paraId="523F2625" w14:textId="77777777" w:rsidR="009D4A93" w:rsidRPr="00536CFD" w:rsidRDefault="009D4A93" w:rsidP="009D4A93">
            <w:pPr>
              <w:spacing w:after="0"/>
              <w:jc w:val="center"/>
              <w:rPr>
                <w:rFonts w:eastAsia="Times New Roman"/>
                <w:color w:val="000000"/>
              </w:rPr>
            </w:pPr>
            <w:r w:rsidRPr="00536CFD">
              <w:rPr>
                <w:rFonts w:eastAsia="Times New Roman"/>
                <w:color w:val="000000"/>
              </w:rPr>
              <w:t>25.43</w:t>
            </w:r>
          </w:p>
        </w:tc>
        <w:tc>
          <w:tcPr>
            <w:tcW w:w="521" w:type="pct"/>
            <w:tcBorders>
              <w:top w:val="nil"/>
              <w:left w:val="nil"/>
              <w:bottom w:val="single" w:sz="8" w:space="0" w:color="auto"/>
              <w:right w:val="single" w:sz="8" w:space="0" w:color="auto"/>
            </w:tcBorders>
            <w:shd w:val="clear" w:color="auto" w:fill="auto"/>
            <w:noWrap/>
            <w:vAlign w:val="center"/>
            <w:hideMark/>
          </w:tcPr>
          <w:p w14:paraId="5BA742CA" w14:textId="77777777" w:rsidR="009D4A93" w:rsidRPr="00536CFD" w:rsidRDefault="009D4A93" w:rsidP="009D4A93">
            <w:pPr>
              <w:spacing w:after="0"/>
              <w:jc w:val="center"/>
              <w:rPr>
                <w:rFonts w:eastAsia="Times New Roman"/>
                <w:color w:val="000000"/>
              </w:rPr>
            </w:pPr>
            <w:r w:rsidRPr="00536CFD">
              <w:rPr>
                <w:rFonts w:eastAsia="Times New Roman"/>
                <w:color w:val="000000"/>
              </w:rPr>
              <w:t>36.01</w:t>
            </w:r>
          </w:p>
        </w:tc>
        <w:tc>
          <w:tcPr>
            <w:tcW w:w="518" w:type="pct"/>
            <w:tcBorders>
              <w:top w:val="nil"/>
              <w:left w:val="nil"/>
              <w:bottom w:val="single" w:sz="8" w:space="0" w:color="auto"/>
              <w:right w:val="single" w:sz="8" w:space="0" w:color="auto"/>
            </w:tcBorders>
            <w:shd w:val="clear" w:color="auto" w:fill="auto"/>
            <w:noWrap/>
            <w:vAlign w:val="center"/>
            <w:hideMark/>
          </w:tcPr>
          <w:p w14:paraId="3ABA3386" w14:textId="77777777" w:rsidR="009D4A93" w:rsidRPr="00536CFD" w:rsidRDefault="009D4A93" w:rsidP="009D4A93">
            <w:pPr>
              <w:spacing w:after="0"/>
              <w:jc w:val="center"/>
              <w:rPr>
                <w:rFonts w:eastAsia="Times New Roman"/>
                <w:color w:val="000000"/>
              </w:rPr>
            </w:pPr>
            <w:r w:rsidRPr="00536CFD">
              <w:rPr>
                <w:rFonts w:eastAsia="Times New Roman"/>
                <w:color w:val="000000"/>
              </w:rPr>
              <w:t>37.17</w:t>
            </w:r>
          </w:p>
        </w:tc>
        <w:tc>
          <w:tcPr>
            <w:tcW w:w="482" w:type="pct"/>
            <w:tcBorders>
              <w:top w:val="nil"/>
              <w:left w:val="nil"/>
              <w:bottom w:val="single" w:sz="8" w:space="0" w:color="auto"/>
              <w:right w:val="single" w:sz="8" w:space="0" w:color="auto"/>
            </w:tcBorders>
            <w:shd w:val="clear" w:color="auto" w:fill="auto"/>
            <w:noWrap/>
            <w:vAlign w:val="center"/>
            <w:hideMark/>
          </w:tcPr>
          <w:p w14:paraId="145763FD" w14:textId="77777777" w:rsidR="009D4A93" w:rsidRPr="00536CFD" w:rsidRDefault="009D4A93" w:rsidP="009D4A93">
            <w:pPr>
              <w:spacing w:after="0"/>
              <w:jc w:val="center"/>
              <w:rPr>
                <w:rFonts w:eastAsia="Times New Roman"/>
                <w:color w:val="000000"/>
              </w:rPr>
            </w:pPr>
            <w:r w:rsidRPr="00536CFD">
              <w:rPr>
                <w:rFonts w:eastAsia="Times New Roman"/>
                <w:color w:val="000000"/>
              </w:rPr>
              <w:t>35.46</w:t>
            </w:r>
          </w:p>
        </w:tc>
        <w:tc>
          <w:tcPr>
            <w:tcW w:w="437" w:type="pct"/>
            <w:tcBorders>
              <w:top w:val="nil"/>
              <w:left w:val="nil"/>
              <w:bottom w:val="single" w:sz="8" w:space="0" w:color="auto"/>
              <w:right w:val="single" w:sz="8" w:space="0" w:color="auto"/>
            </w:tcBorders>
            <w:shd w:val="clear" w:color="auto" w:fill="auto"/>
            <w:noWrap/>
            <w:vAlign w:val="center"/>
            <w:hideMark/>
          </w:tcPr>
          <w:p w14:paraId="77A39F3F" w14:textId="77777777" w:rsidR="009D4A93" w:rsidRPr="00536CFD" w:rsidRDefault="009D4A93" w:rsidP="009D4A93">
            <w:pPr>
              <w:spacing w:after="0"/>
              <w:jc w:val="center"/>
              <w:rPr>
                <w:rFonts w:eastAsia="Times New Roman"/>
                <w:color w:val="000000"/>
              </w:rPr>
            </w:pPr>
            <w:r w:rsidRPr="00536CFD">
              <w:rPr>
                <w:rFonts w:eastAsia="Times New Roman"/>
                <w:color w:val="000000"/>
              </w:rPr>
              <w:t>42.74</w:t>
            </w:r>
          </w:p>
        </w:tc>
        <w:tc>
          <w:tcPr>
            <w:tcW w:w="486" w:type="pct"/>
            <w:tcBorders>
              <w:top w:val="nil"/>
              <w:left w:val="nil"/>
              <w:bottom w:val="single" w:sz="8" w:space="0" w:color="auto"/>
              <w:right w:val="single" w:sz="8" w:space="0" w:color="auto"/>
            </w:tcBorders>
            <w:shd w:val="clear" w:color="auto" w:fill="auto"/>
            <w:noWrap/>
            <w:vAlign w:val="center"/>
            <w:hideMark/>
          </w:tcPr>
          <w:p w14:paraId="5B2138E2" w14:textId="77777777" w:rsidR="009D4A93" w:rsidRPr="00536CFD" w:rsidRDefault="009D4A93" w:rsidP="009D4A93">
            <w:pPr>
              <w:spacing w:after="0"/>
              <w:jc w:val="center"/>
              <w:rPr>
                <w:rFonts w:eastAsia="Times New Roman"/>
                <w:color w:val="000000"/>
              </w:rPr>
            </w:pPr>
            <w:r w:rsidRPr="00536CFD">
              <w:rPr>
                <w:rFonts w:eastAsia="Times New Roman"/>
                <w:color w:val="000000"/>
              </w:rPr>
              <w:t>44.85</w:t>
            </w:r>
          </w:p>
        </w:tc>
      </w:tr>
      <w:tr w:rsidR="009D4A93" w:rsidRPr="00536CFD" w14:paraId="6869E0AF"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4821C6CE"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52D4AEEB"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44473E4B" w14:textId="77777777" w:rsidR="009D4A93" w:rsidRPr="00536CFD" w:rsidRDefault="009D4A93" w:rsidP="009D4A93">
            <w:pPr>
              <w:spacing w:after="0"/>
              <w:jc w:val="center"/>
              <w:rPr>
                <w:rFonts w:eastAsia="Times New Roman"/>
                <w:color w:val="000000"/>
              </w:rPr>
            </w:pPr>
            <w:r w:rsidRPr="00536CFD">
              <w:rPr>
                <w:rFonts w:eastAsia="Times New Roman"/>
                <w:color w:val="000000"/>
              </w:rPr>
              <w:t>95%</w:t>
            </w:r>
          </w:p>
        </w:tc>
        <w:tc>
          <w:tcPr>
            <w:tcW w:w="401" w:type="pct"/>
            <w:tcBorders>
              <w:top w:val="nil"/>
              <w:left w:val="nil"/>
              <w:bottom w:val="single" w:sz="8" w:space="0" w:color="auto"/>
              <w:right w:val="single" w:sz="8" w:space="0" w:color="auto"/>
            </w:tcBorders>
            <w:shd w:val="clear" w:color="auto" w:fill="auto"/>
            <w:noWrap/>
            <w:vAlign w:val="center"/>
            <w:hideMark/>
          </w:tcPr>
          <w:p w14:paraId="7C2DA3AD" w14:textId="77777777" w:rsidR="009D4A93" w:rsidRPr="00536CFD" w:rsidRDefault="009D4A93" w:rsidP="009D4A93">
            <w:pPr>
              <w:spacing w:after="0"/>
              <w:jc w:val="center"/>
              <w:rPr>
                <w:rFonts w:eastAsia="Times New Roman"/>
                <w:color w:val="000000"/>
              </w:rPr>
            </w:pPr>
            <w:r w:rsidRPr="00536CFD">
              <w:rPr>
                <w:rFonts w:eastAsia="Times New Roman"/>
                <w:color w:val="000000"/>
              </w:rPr>
              <w:t>106.45</w:t>
            </w:r>
          </w:p>
        </w:tc>
        <w:tc>
          <w:tcPr>
            <w:tcW w:w="372" w:type="pct"/>
            <w:tcBorders>
              <w:top w:val="nil"/>
              <w:left w:val="nil"/>
              <w:bottom w:val="single" w:sz="8" w:space="0" w:color="auto"/>
              <w:right w:val="single" w:sz="8" w:space="0" w:color="auto"/>
            </w:tcBorders>
            <w:shd w:val="clear" w:color="auto" w:fill="auto"/>
            <w:noWrap/>
            <w:vAlign w:val="center"/>
            <w:hideMark/>
          </w:tcPr>
          <w:p w14:paraId="7DED1B48" w14:textId="77777777" w:rsidR="009D4A93" w:rsidRPr="00536CFD" w:rsidRDefault="009D4A93" w:rsidP="009D4A93">
            <w:pPr>
              <w:spacing w:after="0"/>
              <w:jc w:val="center"/>
              <w:rPr>
                <w:rFonts w:eastAsia="Times New Roman"/>
                <w:color w:val="000000"/>
              </w:rPr>
            </w:pPr>
            <w:r w:rsidRPr="00536CFD">
              <w:rPr>
                <w:rFonts w:eastAsia="Times New Roman"/>
                <w:color w:val="000000"/>
              </w:rPr>
              <w:t>109.80</w:t>
            </w:r>
          </w:p>
        </w:tc>
        <w:tc>
          <w:tcPr>
            <w:tcW w:w="437" w:type="pct"/>
            <w:tcBorders>
              <w:top w:val="nil"/>
              <w:left w:val="nil"/>
              <w:bottom w:val="single" w:sz="8" w:space="0" w:color="auto"/>
              <w:right w:val="single" w:sz="8" w:space="0" w:color="auto"/>
            </w:tcBorders>
            <w:shd w:val="clear" w:color="auto" w:fill="auto"/>
            <w:noWrap/>
            <w:vAlign w:val="center"/>
            <w:hideMark/>
          </w:tcPr>
          <w:p w14:paraId="0C3C87AE" w14:textId="77777777" w:rsidR="009D4A93" w:rsidRPr="00536CFD" w:rsidRDefault="009D4A93" w:rsidP="009D4A93">
            <w:pPr>
              <w:spacing w:after="0"/>
              <w:jc w:val="center"/>
              <w:rPr>
                <w:rFonts w:eastAsia="Times New Roman"/>
                <w:color w:val="000000"/>
              </w:rPr>
            </w:pPr>
            <w:r w:rsidRPr="00536CFD">
              <w:rPr>
                <w:rFonts w:eastAsia="Times New Roman"/>
                <w:color w:val="000000"/>
              </w:rPr>
              <w:t>94.42</w:t>
            </w:r>
          </w:p>
        </w:tc>
        <w:tc>
          <w:tcPr>
            <w:tcW w:w="521" w:type="pct"/>
            <w:tcBorders>
              <w:top w:val="nil"/>
              <w:left w:val="nil"/>
              <w:bottom w:val="single" w:sz="8" w:space="0" w:color="auto"/>
              <w:right w:val="single" w:sz="8" w:space="0" w:color="auto"/>
            </w:tcBorders>
            <w:shd w:val="clear" w:color="auto" w:fill="auto"/>
            <w:noWrap/>
            <w:vAlign w:val="center"/>
            <w:hideMark/>
          </w:tcPr>
          <w:p w14:paraId="092DCEB1" w14:textId="77777777" w:rsidR="009D4A93" w:rsidRPr="00536CFD" w:rsidRDefault="009D4A93" w:rsidP="009D4A93">
            <w:pPr>
              <w:spacing w:after="0"/>
              <w:jc w:val="center"/>
              <w:rPr>
                <w:rFonts w:eastAsia="Times New Roman"/>
                <w:color w:val="000000"/>
              </w:rPr>
            </w:pPr>
            <w:r w:rsidRPr="00536CFD">
              <w:rPr>
                <w:rFonts w:eastAsia="Times New Roman"/>
                <w:color w:val="000000"/>
              </w:rPr>
              <w:t>95.95</w:t>
            </w:r>
          </w:p>
        </w:tc>
        <w:tc>
          <w:tcPr>
            <w:tcW w:w="518" w:type="pct"/>
            <w:tcBorders>
              <w:top w:val="nil"/>
              <w:left w:val="nil"/>
              <w:bottom w:val="single" w:sz="8" w:space="0" w:color="auto"/>
              <w:right w:val="single" w:sz="8" w:space="0" w:color="auto"/>
            </w:tcBorders>
            <w:shd w:val="clear" w:color="auto" w:fill="auto"/>
            <w:noWrap/>
            <w:vAlign w:val="center"/>
            <w:hideMark/>
          </w:tcPr>
          <w:p w14:paraId="3D5F23C8" w14:textId="77777777" w:rsidR="009D4A93" w:rsidRPr="00536CFD" w:rsidRDefault="009D4A93" w:rsidP="009D4A93">
            <w:pPr>
              <w:spacing w:after="0"/>
              <w:jc w:val="center"/>
              <w:rPr>
                <w:rFonts w:eastAsia="Times New Roman"/>
                <w:color w:val="000000"/>
              </w:rPr>
            </w:pPr>
            <w:r w:rsidRPr="00536CFD">
              <w:rPr>
                <w:rFonts w:eastAsia="Times New Roman"/>
                <w:color w:val="000000"/>
              </w:rPr>
              <w:t>94.10</w:t>
            </w:r>
          </w:p>
        </w:tc>
        <w:tc>
          <w:tcPr>
            <w:tcW w:w="482" w:type="pct"/>
            <w:tcBorders>
              <w:top w:val="nil"/>
              <w:left w:val="nil"/>
              <w:bottom w:val="single" w:sz="8" w:space="0" w:color="auto"/>
              <w:right w:val="single" w:sz="8" w:space="0" w:color="auto"/>
            </w:tcBorders>
            <w:shd w:val="clear" w:color="auto" w:fill="auto"/>
            <w:noWrap/>
            <w:vAlign w:val="center"/>
            <w:hideMark/>
          </w:tcPr>
          <w:p w14:paraId="05EC9470" w14:textId="77777777" w:rsidR="009D4A93" w:rsidRPr="00536CFD" w:rsidRDefault="009D4A93" w:rsidP="009D4A93">
            <w:pPr>
              <w:spacing w:after="0"/>
              <w:jc w:val="center"/>
              <w:rPr>
                <w:rFonts w:eastAsia="Times New Roman"/>
                <w:color w:val="000000"/>
              </w:rPr>
            </w:pPr>
            <w:r w:rsidRPr="00536CFD">
              <w:rPr>
                <w:rFonts w:eastAsia="Times New Roman"/>
                <w:color w:val="000000"/>
              </w:rPr>
              <w:t>90.43</w:t>
            </w:r>
          </w:p>
        </w:tc>
        <w:tc>
          <w:tcPr>
            <w:tcW w:w="437" w:type="pct"/>
            <w:tcBorders>
              <w:top w:val="nil"/>
              <w:left w:val="nil"/>
              <w:bottom w:val="single" w:sz="8" w:space="0" w:color="auto"/>
              <w:right w:val="single" w:sz="8" w:space="0" w:color="auto"/>
            </w:tcBorders>
            <w:shd w:val="clear" w:color="auto" w:fill="auto"/>
            <w:noWrap/>
            <w:vAlign w:val="center"/>
            <w:hideMark/>
          </w:tcPr>
          <w:p w14:paraId="60074BED" w14:textId="77777777" w:rsidR="009D4A93" w:rsidRPr="00536CFD" w:rsidRDefault="009D4A93" w:rsidP="009D4A93">
            <w:pPr>
              <w:spacing w:after="0"/>
              <w:jc w:val="center"/>
              <w:rPr>
                <w:rFonts w:eastAsia="Times New Roman"/>
                <w:color w:val="000000"/>
              </w:rPr>
            </w:pPr>
            <w:r w:rsidRPr="00536CFD">
              <w:rPr>
                <w:rFonts w:eastAsia="Times New Roman"/>
                <w:color w:val="000000"/>
              </w:rPr>
              <w:t>92.41</w:t>
            </w:r>
          </w:p>
        </w:tc>
        <w:tc>
          <w:tcPr>
            <w:tcW w:w="486" w:type="pct"/>
            <w:tcBorders>
              <w:top w:val="nil"/>
              <w:left w:val="nil"/>
              <w:bottom w:val="single" w:sz="8" w:space="0" w:color="auto"/>
              <w:right w:val="single" w:sz="8" w:space="0" w:color="auto"/>
            </w:tcBorders>
            <w:shd w:val="clear" w:color="auto" w:fill="auto"/>
            <w:noWrap/>
            <w:vAlign w:val="center"/>
            <w:hideMark/>
          </w:tcPr>
          <w:p w14:paraId="12F8A8A1" w14:textId="77777777" w:rsidR="009D4A93" w:rsidRPr="00536CFD" w:rsidRDefault="009D4A93" w:rsidP="009D4A93">
            <w:pPr>
              <w:spacing w:after="0"/>
              <w:jc w:val="center"/>
              <w:rPr>
                <w:rFonts w:eastAsia="Times New Roman"/>
                <w:color w:val="000000"/>
              </w:rPr>
            </w:pPr>
            <w:r w:rsidRPr="00536CFD">
              <w:rPr>
                <w:rFonts w:eastAsia="Times New Roman"/>
                <w:color w:val="000000"/>
              </w:rPr>
              <w:t>87.24</w:t>
            </w:r>
          </w:p>
        </w:tc>
      </w:tr>
      <w:tr w:rsidR="009D4A93" w:rsidRPr="00536CFD" w14:paraId="41ABBB2F"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40DD7C41"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0BF4ABEC"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44743C33" w14:textId="77777777" w:rsidR="009D4A93" w:rsidRPr="00536CFD" w:rsidRDefault="009D4A93" w:rsidP="009D4A93">
            <w:pPr>
              <w:spacing w:after="0"/>
              <w:jc w:val="center"/>
              <w:rPr>
                <w:rFonts w:eastAsia="Times New Roman"/>
                <w:color w:val="000000"/>
              </w:rPr>
            </w:pPr>
            <w:r w:rsidRPr="00536CFD">
              <w:rPr>
                <w:rFonts w:eastAsia="Times New Roman"/>
                <w:color w:val="000000"/>
              </w:rPr>
              <w:t>Mean</w:t>
            </w:r>
          </w:p>
        </w:tc>
        <w:tc>
          <w:tcPr>
            <w:tcW w:w="401" w:type="pct"/>
            <w:tcBorders>
              <w:top w:val="nil"/>
              <w:left w:val="nil"/>
              <w:bottom w:val="single" w:sz="8" w:space="0" w:color="auto"/>
              <w:right w:val="single" w:sz="8" w:space="0" w:color="auto"/>
            </w:tcBorders>
            <w:shd w:val="clear" w:color="auto" w:fill="auto"/>
            <w:noWrap/>
            <w:vAlign w:val="center"/>
            <w:hideMark/>
          </w:tcPr>
          <w:p w14:paraId="3A364499" w14:textId="77777777" w:rsidR="009D4A93" w:rsidRPr="00536CFD" w:rsidRDefault="009D4A93" w:rsidP="009D4A93">
            <w:pPr>
              <w:spacing w:after="0"/>
              <w:jc w:val="center"/>
              <w:rPr>
                <w:rFonts w:eastAsia="Times New Roman"/>
                <w:color w:val="000000"/>
              </w:rPr>
            </w:pPr>
            <w:r w:rsidRPr="00536CFD">
              <w:rPr>
                <w:rFonts w:eastAsia="Times New Roman"/>
                <w:color w:val="000000"/>
              </w:rPr>
              <w:t>50.54</w:t>
            </w:r>
          </w:p>
        </w:tc>
        <w:tc>
          <w:tcPr>
            <w:tcW w:w="372" w:type="pct"/>
            <w:tcBorders>
              <w:top w:val="nil"/>
              <w:left w:val="nil"/>
              <w:bottom w:val="single" w:sz="8" w:space="0" w:color="auto"/>
              <w:right w:val="single" w:sz="8" w:space="0" w:color="auto"/>
            </w:tcBorders>
            <w:shd w:val="clear" w:color="auto" w:fill="auto"/>
            <w:noWrap/>
            <w:vAlign w:val="center"/>
            <w:hideMark/>
          </w:tcPr>
          <w:p w14:paraId="4EF273C7" w14:textId="77777777" w:rsidR="009D4A93" w:rsidRPr="00536CFD" w:rsidRDefault="009D4A93" w:rsidP="009D4A93">
            <w:pPr>
              <w:spacing w:after="0"/>
              <w:jc w:val="center"/>
              <w:rPr>
                <w:rFonts w:eastAsia="Times New Roman"/>
                <w:color w:val="000000"/>
              </w:rPr>
            </w:pPr>
            <w:r w:rsidRPr="00536CFD">
              <w:rPr>
                <w:rFonts w:eastAsia="Times New Roman"/>
                <w:color w:val="000000"/>
              </w:rPr>
              <w:t>50.99</w:t>
            </w:r>
          </w:p>
        </w:tc>
        <w:tc>
          <w:tcPr>
            <w:tcW w:w="437" w:type="pct"/>
            <w:tcBorders>
              <w:top w:val="nil"/>
              <w:left w:val="nil"/>
              <w:bottom w:val="single" w:sz="8" w:space="0" w:color="auto"/>
              <w:right w:val="single" w:sz="8" w:space="0" w:color="auto"/>
            </w:tcBorders>
            <w:shd w:val="clear" w:color="auto" w:fill="auto"/>
            <w:noWrap/>
            <w:vAlign w:val="center"/>
            <w:hideMark/>
          </w:tcPr>
          <w:p w14:paraId="46507D19" w14:textId="77777777" w:rsidR="009D4A93" w:rsidRPr="00536CFD" w:rsidRDefault="009D4A93" w:rsidP="009D4A93">
            <w:pPr>
              <w:spacing w:after="0"/>
              <w:jc w:val="center"/>
              <w:rPr>
                <w:rFonts w:eastAsia="Times New Roman"/>
                <w:color w:val="000000"/>
              </w:rPr>
            </w:pPr>
            <w:r w:rsidRPr="00536CFD">
              <w:rPr>
                <w:rFonts w:eastAsia="Times New Roman"/>
                <w:color w:val="000000"/>
              </w:rPr>
              <w:t>34.09</w:t>
            </w:r>
          </w:p>
        </w:tc>
        <w:tc>
          <w:tcPr>
            <w:tcW w:w="521" w:type="pct"/>
            <w:tcBorders>
              <w:top w:val="nil"/>
              <w:left w:val="nil"/>
              <w:bottom w:val="single" w:sz="8" w:space="0" w:color="auto"/>
              <w:right w:val="single" w:sz="8" w:space="0" w:color="auto"/>
            </w:tcBorders>
            <w:shd w:val="clear" w:color="auto" w:fill="auto"/>
            <w:noWrap/>
            <w:vAlign w:val="center"/>
            <w:hideMark/>
          </w:tcPr>
          <w:p w14:paraId="18DBFFD3" w14:textId="77777777" w:rsidR="009D4A93" w:rsidRPr="00536CFD" w:rsidRDefault="009D4A93" w:rsidP="009D4A93">
            <w:pPr>
              <w:spacing w:after="0"/>
              <w:jc w:val="center"/>
              <w:rPr>
                <w:rFonts w:eastAsia="Times New Roman"/>
                <w:color w:val="000000"/>
              </w:rPr>
            </w:pPr>
            <w:r w:rsidRPr="00536CFD">
              <w:rPr>
                <w:rFonts w:eastAsia="Times New Roman"/>
                <w:color w:val="000000"/>
              </w:rPr>
              <w:t>42.26</w:t>
            </w:r>
          </w:p>
        </w:tc>
        <w:tc>
          <w:tcPr>
            <w:tcW w:w="518" w:type="pct"/>
            <w:tcBorders>
              <w:top w:val="nil"/>
              <w:left w:val="nil"/>
              <w:bottom w:val="single" w:sz="8" w:space="0" w:color="auto"/>
              <w:right w:val="single" w:sz="8" w:space="0" w:color="auto"/>
            </w:tcBorders>
            <w:shd w:val="clear" w:color="auto" w:fill="auto"/>
            <w:noWrap/>
            <w:vAlign w:val="center"/>
            <w:hideMark/>
          </w:tcPr>
          <w:p w14:paraId="4AF21007" w14:textId="77777777" w:rsidR="009D4A93" w:rsidRPr="00536CFD" w:rsidRDefault="009D4A93" w:rsidP="009D4A93">
            <w:pPr>
              <w:spacing w:after="0"/>
              <w:jc w:val="center"/>
              <w:rPr>
                <w:rFonts w:eastAsia="Times New Roman"/>
                <w:color w:val="000000"/>
              </w:rPr>
            </w:pPr>
            <w:r w:rsidRPr="00536CFD">
              <w:rPr>
                <w:rFonts w:eastAsia="Times New Roman"/>
                <w:color w:val="000000"/>
              </w:rPr>
              <w:t>45.00</w:t>
            </w:r>
          </w:p>
        </w:tc>
        <w:tc>
          <w:tcPr>
            <w:tcW w:w="482" w:type="pct"/>
            <w:tcBorders>
              <w:top w:val="nil"/>
              <w:left w:val="nil"/>
              <w:bottom w:val="single" w:sz="8" w:space="0" w:color="auto"/>
              <w:right w:val="single" w:sz="8" w:space="0" w:color="auto"/>
            </w:tcBorders>
            <w:shd w:val="clear" w:color="auto" w:fill="auto"/>
            <w:noWrap/>
            <w:vAlign w:val="center"/>
            <w:hideMark/>
          </w:tcPr>
          <w:p w14:paraId="435DB63B" w14:textId="77777777" w:rsidR="009D4A93" w:rsidRPr="00536CFD" w:rsidRDefault="009D4A93" w:rsidP="009D4A93">
            <w:pPr>
              <w:spacing w:after="0"/>
              <w:jc w:val="center"/>
              <w:rPr>
                <w:rFonts w:eastAsia="Times New Roman"/>
                <w:color w:val="000000"/>
              </w:rPr>
            </w:pPr>
            <w:r w:rsidRPr="00536CFD">
              <w:rPr>
                <w:rFonts w:eastAsia="Times New Roman"/>
                <w:color w:val="000000"/>
              </w:rPr>
              <w:t>43.23</w:t>
            </w:r>
          </w:p>
        </w:tc>
        <w:tc>
          <w:tcPr>
            <w:tcW w:w="437" w:type="pct"/>
            <w:tcBorders>
              <w:top w:val="nil"/>
              <w:left w:val="nil"/>
              <w:bottom w:val="single" w:sz="8" w:space="0" w:color="auto"/>
              <w:right w:val="single" w:sz="8" w:space="0" w:color="auto"/>
            </w:tcBorders>
            <w:shd w:val="clear" w:color="auto" w:fill="auto"/>
            <w:noWrap/>
            <w:vAlign w:val="center"/>
            <w:hideMark/>
          </w:tcPr>
          <w:p w14:paraId="7D24DF87" w14:textId="77777777" w:rsidR="009D4A93" w:rsidRPr="00536CFD" w:rsidRDefault="009D4A93" w:rsidP="009D4A93">
            <w:pPr>
              <w:spacing w:after="0"/>
              <w:jc w:val="center"/>
              <w:rPr>
                <w:rFonts w:eastAsia="Times New Roman"/>
                <w:color w:val="000000"/>
              </w:rPr>
            </w:pPr>
            <w:r w:rsidRPr="00536CFD">
              <w:rPr>
                <w:rFonts w:eastAsia="Times New Roman"/>
                <w:color w:val="000000"/>
              </w:rPr>
              <w:t>51.67</w:t>
            </w:r>
          </w:p>
        </w:tc>
        <w:tc>
          <w:tcPr>
            <w:tcW w:w="486" w:type="pct"/>
            <w:tcBorders>
              <w:top w:val="nil"/>
              <w:left w:val="nil"/>
              <w:bottom w:val="single" w:sz="8" w:space="0" w:color="auto"/>
              <w:right w:val="single" w:sz="8" w:space="0" w:color="auto"/>
            </w:tcBorders>
            <w:shd w:val="clear" w:color="auto" w:fill="auto"/>
            <w:noWrap/>
            <w:vAlign w:val="center"/>
            <w:hideMark/>
          </w:tcPr>
          <w:p w14:paraId="0AA0460B" w14:textId="77777777" w:rsidR="009D4A93" w:rsidRPr="00536CFD" w:rsidRDefault="009D4A93" w:rsidP="009D4A93">
            <w:pPr>
              <w:spacing w:after="0"/>
              <w:jc w:val="center"/>
              <w:rPr>
                <w:rFonts w:eastAsia="Times New Roman"/>
                <w:color w:val="000000"/>
              </w:rPr>
            </w:pPr>
            <w:r w:rsidRPr="00536CFD">
              <w:rPr>
                <w:rFonts w:eastAsia="Times New Roman"/>
                <w:color w:val="000000"/>
              </w:rPr>
              <w:t>52.72</w:t>
            </w:r>
          </w:p>
        </w:tc>
      </w:tr>
      <w:tr w:rsidR="009D4A93" w:rsidRPr="00536CFD" w14:paraId="51DF6D67"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7438D3D6" w14:textId="77777777" w:rsidR="009D4A93" w:rsidRPr="00536CFD" w:rsidRDefault="009D4A93" w:rsidP="009D4A93">
            <w:pPr>
              <w:spacing w:after="0"/>
              <w:jc w:val="center"/>
              <w:rPr>
                <w:rFonts w:eastAsia="Times New Roman"/>
                <w:color w:val="000000"/>
              </w:rPr>
            </w:pPr>
          </w:p>
        </w:tc>
        <w:tc>
          <w:tcPr>
            <w:tcW w:w="347" w:type="pct"/>
            <w:vMerge w:val="restart"/>
            <w:tcBorders>
              <w:top w:val="nil"/>
              <w:left w:val="single" w:sz="4" w:space="0" w:color="auto"/>
              <w:bottom w:val="single" w:sz="8" w:space="0" w:color="000000"/>
              <w:right w:val="single" w:sz="8" w:space="0" w:color="auto"/>
            </w:tcBorders>
            <w:shd w:val="clear" w:color="auto" w:fill="auto"/>
            <w:vAlign w:val="center"/>
            <w:hideMark/>
          </w:tcPr>
          <w:p w14:paraId="4323A9CF" w14:textId="77777777" w:rsidR="009D4A93" w:rsidRPr="00536CFD" w:rsidRDefault="009D4A93" w:rsidP="009D4A93">
            <w:pPr>
              <w:spacing w:after="0"/>
              <w:jc w:val="center"/>
              <w:rPr>
                <w:rFonts w:eastAsia="Times New Roman"/>
                <w:color w:val="000000"/>
              </w:rPr>
            </w:pPr>
            <w:r w:rsidRPr="00536CFD">
              <w:rPr>
                <w:rFonts w:eastAsia="Times New Roman"/>
                <w:color w:val="000000"/>
              </w:rPr>
              <w:t>UL: Latency CDF (s)</w:t>
            </w:r>
          </w:p>
        </w:tc>
        <w:tc>
          <w:tcPr>
            <w:tcW w:w="351" w:type="pct"/>
            <w:tcBorders>
              <w:top w:val="nil"/>
              <w:left w:val="nil"/>
              <w:bottom w:val="single" w:sz="8" w:space="0" w:color="auto"/>
              <w:right w:val="single" w:sz="8" w:space="0" w:color="auto"/>
            </w:tcBorders>
            <w:shd w:val="clear" w:color="auto" w:fill="auto"/>
            <w:vAlign w:val="center"/>
            <w:hideMark/>
          </w:tcPr>
          <w:p w14:paraId="4A3647C9" w14:textId="77777777" w:rsidR="009D4A93" w:rsidRPr="00536CFD" w:rsidRDefault="009D4A93" w:rsidP="009D4A93">
            <w:pPr>
              <w:spacing w:after="0"/>
              <w:jc w:val="center"/>
              <w:rPr>
                <w:rFonts w:eastAsia="Times New Roman"/>
                <w:color w:val="000000"/>
              </w:rPr>
            </w:pPr>
            <w:r w:rsidRPr="00536CFD">
              <w:rPr>
                <w:rFonts w:eastAsia="Times New Roman"/>
                <w:color w:val="000000"/>
              </w:rPr>
              <w:t>5%</w:t>
            </w:r>
          </w:p>
        </w:tc>
        <w:tc>
          <w:tcPr>
            <w:tcW w:w="401" w:type="pct"/>
            <w:tcBorders>
              <w:top w:val="nil"/>
              <w:left w:val="nil"/>
              <w:bottom w:val="single" w:sz="8" w:space="0" w:color="auto"/>
              <w:right w:val="single" w:sz="8" w:space="0" w:color="auto"/>
            </w:tcBorders>
            <w:shd w:val="clear" w:color="auto" w:fill="auto"/>
            <w:noWrap/>
            <w:vAlign w:val="center"/>
            <w:hideMark/>
          </w:tcPr>
          <w:p w14:paraId="1F6CBED7" w14:textId="77777777" w:rsidR="009D4A93" w:rsidRPr="00536CFD" w:rsidRDefault="009D4A93" w:rsidP="009D4A93">
            <w:pPr>
              <w:spacing w:after="0"/>
              <w:jc w:val="center"/>
              <w:rPr>
                <w:rFonts w:eastAsia="Times New Roman"/>
                <w:color w:val="000000"/>
              </w:rPr>
            </w:pPr>
            <w:r w:rsidRPr="00536CFD">
              <w:rPr>
                <w:rFonts w:eastAsia="Times New Roman"/>
                <w:color w:val="000000"/>
              </w:rPr>
              <w:t>0.04</w:t>
            </w:r>
          </w:p>
        </w:tc>
        <w:tc>
          <w:tcPr>
            <w:tcW w:w="372" w:type="pct"/>
            <w:tcBorders>
              <w:top w:val="nil"/>
              <w:left w:val="nil"/>
              <w:bottom w:val="single" w:sz="8" w:space="0" w:color="auto"/>
              <w:right w:val="single" w:sz="8" w:space="0" w:color="auto"/>
            </w:tcBorders>
            <w:shd w:val="clear" w:color="auto" w:fill="auto"/>
            <w:noWrap/>
            <w:vAlign w:val="center"/>
            <w:hideMark/>
          </w:tcPr>
          <w:p w14:paraId="29E20943" w14:textId="77777777" w:rsidR="009D4A93" w:rsidRPr="00536CFD" w:rsidRDefault="009D4A93" w:rsidP="009D4A93">
            <w:pPr>
              <w:spacing w:after="0"/>
              <w:jc w:val="center"/>
              <w:rPr>
                <w:rFonts w:eastAsia="Times New Roman"/>
                <w:color w:val="000000"/>
              </w:rPr>
            </w:pPr>
            <w:r w:rsidRPr="00536CFD">
              <w:rPr>
                <w:rFonts w:eastAsia="Times New Roman"/>
                <w:color w:val="000000"/>
              </w:rPr>
              <w:t>0.04</w:t>
            </w:r>
          </w:p>
        </w:tc>
        <w:tc>
          <w:tcPr>
            <w:tcW w:w="437" w:type="pct"/>
            <w:tcBorders>
              <w:top w:val="nil"/>
              <w:left w:val="nil"/>
              <w:bottom w:val="single" w:sz="8" w:space="0" w:color="auto"/>
              <w:right w:val="single" w:sz="8" w:space="0" w:color="auto"/>
            </w:tcBorders>
            <w:shd w:val="clear" w:color="auto" w:fill="auto"/>
            <w:noWrap/>
            <w:vAlign w:val="center"/>
            <w:hideMark/>
          </w:tcPr>
          <w:p w14:paraId="5F8A09EF" w14:textId="77777777" w:rsidR="009D4A93" w:rsidRPr="00536CFD" w:rsidRDefault="009D4A93" w:rsidP="009D4A93">
            <w:pPr>
              <w:spacing w:after="0"/>
              <w:jc w:val="center"/>
              <w:rPr>
                <w:rFonts w:eastAsia="Times New Roman"/>
                <w:color w:val="000000"/>
              </w:rPr>
            </w:pPr>
            <w:r w:rsidRPr="00536CFD">
              <w:rPr>
                <w:rFonts w:eastAsia="Times New Roman"/>
                <w:color w:val="000000"/>
              </w:rPr>
              <w:t>0.05</w:t>
            </w:r>
          </w:p>
        </w:tc>
        <w:tc>
          <w:tcPr>
            <w:tcW w:w="521" w:type="pct"/>
            <w:tcBorders>
              <w:top w:val="nil"/>
              <w:left w:val="nil"/>
              <w:bottom w:val="single" w:sz="8" w:space="0" w:color="auto"/>
              <w:right w:val="single" w:sz="8" w:space="0" w:color="auto"/>
            </w:tcBorders>
            <w:shd w:val="clear" w:color="auto" w:fill="auto"/>
            <w:noWrap/>
            <w:vAlign w:val="center"/>
            <w:hideMark/>
          </w:tcPr>
          <w:p w14:paraId="4DABF150" w14:textId="77777777" w:rsidR="009D4A93" w:rsidRPr="00536CFD" w:rsidRDefault="009D4A93" w:rsidP="009D4A93">
            <w:pPr>
              <w:spacing w:after="0"/>
              <w:jc w:val="center"/>
              <w:rPr>
                <w:rFonts w:eastAsia="Times New Roman"/>
                <w:color w:val="000000"/>
              </w:rPr>
            </w:pPr>
            <w:r w:rsidRPr="00536CFD">
              <w:rPr>
                <w:rFonts w:eastAsia="Times New Roman"/>
                <w:color w:val="000000"/>
              </w:rPr>
              <w:t>0.04</w:t>
            </w:r>
          </w:p>
        </w:tc>
        <w:tc>
          <w:tcPr>
            <w:tcW w:w="518" w:type="pct"/>
            <w:tcBorders>
              <w:top w:val="nil"/>
              <w:left w:val="nil"/>
              <w:bottom w:val="single" w:sz="8" w:space="0" w:color="auto"/>
              <w:right w:val="single" w:sz="8" w:space="0" w:color="auto"/>
            </w:tcBorders>
            <w:shd w:val="clear" w:color="auto" w:fill="auto"/>
            <w:noWrap/>
            <w:vAlign w:val="center"/>
            <w:hideMark/>
          </w:tcPr>
          <w:p w14:paraId="58555B95" w14:textId="77777777" w:rsidR="009D4A93" w:rsidRPr="00536CFD" w:rsidRDefault="009D4A93" w:rsidP="009D4A93">
            <w:pPr>
              <w:spacing w:after="0"/>
              <w:jc w:val="center"/>
              <w:rPr>
                <w:rFonts w:eastAsia="Times New Roman"/>
                <w:color w:val="000000"/>
              </w:rPr>
            </w:pPr>
            <w:r w:rsidRPr="00536CFD">
              <w:rPr>
                <w:rFonts w:eastAsia="Times New Roman"/>
                <w:color w:val="000000"/>
              </w:rPr>
              <w:t>0.05</w:t>
            </w:r>
          </w:p>
        </w:tc>
        <w:tc>
          <w:tcPr>
            <w:tcW w:w="482" w:type="pct"/>
            <w:tcBorders>
              <w:top w:val="nil"/>
              <w:left w:val="nil"/>
              <w:bottom w:val="single" w:sz="8" w:space="0" w:color="auto"/>
              <w:right w:val="single" w:sz="8" w:space="0" w:color="auto"/>
            </w:tcBorders>
            <w:shd w:val="clear" w:color="auto" w:fill="auto"/>
            <w:noWrap/>
            <w:vAlign w:val="center"/>
            <w:hideMark/>
          </w:tcPr>
          <w:p w14:paraId="5DA754F2" w14:textId="77777777" w:rsidR="009D4A93" w:rsidRPr="00536CFD" w:rsidRDefault="009D4A93" w:rsidP="009D4A93">
            <w:pPr>
              <w:spacing w:after="0"/>
              <w:jc w:val="center"/>
              <w:rPr>
                <w:rFonts w:eastAsia="Times New Roman"/>
                <w:color w:val="000000"/>
              </w:rPr>
            </w:pPr>
            <w:r w:rsidRPr="00536CFD">
              <w:rPr>
                <w:rFonts w:eastAsia="Times New Roman"/>
                <w:color w:val="000000"/>
              </w:rPr>
              <w:t>0.03</w:t>
            </w:r>
          </w:p>
        </w:tc>
        <w:tc>
          <w:tcPr>
            <w:tcW w:w="437" w:type="pct"/>
            <w:tcBorders>
              <w:top w:val="nil"/>
              <w:left w:val="nil"/>
              <w:bottom w:val="single" w:sz="8" w:space="0" w:color="auto"/>
              <w:right w:val="single" w:sz="8" w:space="0" w:color="auto"/>
            </w:tcBorders>
            <w:shd w:val="clear" w:color="auto" w:fill="auto"/>
            <w:noWrap/>
            <w:vAlign w:val="center"/>
            <w:hideMark/>
          </w:tcPr>
          <w:p w14:paraId="77729E61" w14:textId="77777777" w:rsidR="009D4A93" w:rsidRPr="00536CFD" w:rsidRDefault="009D4A93" w:rsidP="009D4A93">
            <w:pPr>
              <w:spacing w:after="0"/>
              <w:jc w:val="center"/>
              <w:rPr>
                <w:rFonts w:eastAsia="Times New Roman"/>
                <w:color w:val="000000"/>
              </w:rPr>
            </w:pPr>
            <w:r w:rsidRPr="00536CFD">
              <w:rPr>
                <w:rFonts w:eastAsia="Times New Roman"/>
                <w:color w:val="000000"/>
              </w:rPr>
              <w:t>0.04</w:t>
            </w:r>
          </w:p>
        </w:tc>
        <w:tc>
          <w:tcPr>
            <w:tcW w:w="486" w:type="pct"/>
            <w:tcBorders>
              <w:top w:val="nil"/>
              <w:left w:val="nil"/>
              <w:bottom w:val="single" w:sz="8" w:space="0" w:color="auto"/>
              <w:right w:val="single" w:sz="8" w:space="0" w:color="auto"/>
            </w:tcBorders>
            <w:shd w:val="clear" w:color="auto" w:fill="auto"/>
            <w:noWrap/>
            <w:vAlign w:val="center"/>
            <w:hideMark/>
          </w:tcPr>
          <w:p w14:paraId="0332E09C" w14:textId="77777777" w:rsidR="009D4A93" w:rsidRPr="00536CFD" w:rsidRDefault="009D4A93" w:rsidP="009D4A93">
            <w:pPr>
              <w:spacing w:after="0"/>
              <w:jc w:val="center"/>
              <w:rPr>
                <w:rFonts w:eastAsia="Times New Roman"/>
                <w:color w:val="000000"/>
              </w:rPr>
            </w:pPr>
            <w:r w:rsidRPr="00536CFD">
              <w:rPr>
                <w:rFonts w:eastAsia="Times New Roman"/>
                <w:color w:val="000000"/>
              </w:rPr>
              <w:t>0.02</w:t>
            </w:r>
          </w:p>
        </w:tc>
      </w:tr>
      <w:tr w:rsidR="009D4A93" w:rsidRPr="00536CFD" w14:paraId="184F8251"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0374F31F"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389FA98E"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60387663" w14:textId="77777777" w:rsidR="009D4A93" w:rsidRPr="00536CFD" w:rsidRDefault="009D4A93" w:rsidP="009D4A93">
            <w:pPr>
              <w:spacing w:after="0"/>
              <w:jc w:val="center"/>
              <w:rPr>
                <w:rFonts w:eastAsia="Times New Roman"/>
                <w:color w:val="000000"/>
              </w:rPr>
            </w:pPr>
            <w:r w:rsidRPr="00536CFD">
              <w:rPr>
                <w:rFonts w:eastAsia="Times New Roman"/>
                <w:color w:val="000000"/>
              </w:rPr>
              <w:t>50%</w:t>
            </w:r>
          </w:p>
        </w:tc>
        <w:tc>
          <w:tcPr>
            <w:tcW w:w="401" w:type="pct"/>
            <w:tcBorders>
              <w:top w:val="nil"/>
              <w:left w:val="nil"/>
              <w:bottom w:val="single" w:sz="8" w:space="0" w:color="auto"/>
              <w:right w:val="single" w:sz="8" w:space="0" w:color="auto"/>
            </w:tcBorders>
            <w:shd w:val="clear" w:color="auto" w:fill="auto"/>
            <w:noWrap/>
            <w:vAlign w:val="center"/>
            <w:hideMark/>
          </w:tcPr>
          <w:p w14:paraId="7122B0F1" w14:textId="77777777" w:rsidR="009D4A93" w:rsidRPr="00536CFD" w:rsidRDefault="009D4A93" w:rsidP="009D4A93">
            <w:pPr>
              <w:spacing w:after="0"/>
              <w:jc w:val="center"/>
              <w:rPr>
                <w:rFonts w:eastAsia="Times New Roman"/>
                <w:color w:val="000000"/>
              </w:rPr>
            </w:pPr>
            <w:r w:rsidRPr="00536CFD">
              <w:rPr>
                <w:rFonts w:eastAsia="Times New Roman"/>
                <w:color w:val="000000"/>
              </w:rPr>
              <w:t>0.70</w:t>
            </w:r>
          </w:p>
        </w:tc>
        <w:tc>
          <w:tcPr>
            <w:tcW w:w="372" w:type="pct"/>
            <w:tcBorders>
              <w:top w:val="nil"/>
              <w:left w:val="nil"/>
              <w:bottom w:val="single" w:sz="8" w:space="0" w:color="auto"/>
              <w:right w:val="single" w:sz="8" w:space="0" w:color="auto"/>
            </w:tcBorders>
            <w:shd w:val="clear" w:color="auto" w:fill="auto"/>
            <w:noWrap/>
            <w:vAlign w:val="center"/>
            <w:hideMark/>
          </w:tcPr>
          <w:p w14:paraId="5AEB0CDA" w14:textId="77777777" w:rsidR="009D4A93" w:rsidRPr="00536CFD" w:rsidRDefault="009D4A93" w:rsidP="009D4A93">
            <w:pPr>
              <w:spacing w:after="0"/>
              <w:jc w:val="center"/>
              <w:rPr>
                <w:rFonts w:eastAsia="Times New Roman"/>
                <w:color w:val="000000"/>
              </w:rPr>
            </w:pPr>
            <w:r w:rsidRPr="00536CFD">
              <w:rPr>
                <w:rFonts w:eastAsia="Times New Roman"/>
                <w:color w:val="000000"/>
              </w:rPr>
              <w:t>0.70</w:t>
            </w:r>
          </w:p>
        </w:tc>
        <w:tc>
          <w:tcPr>
            <w:tcW w:w="437" w:type="pct"/>
            <w:tcBorders>
              <w:top w:val="nil"/>
              <w:left w:val="nil"/>
              <w:bottom w:val="single" w:sz="8" w:space="0" w:color="auto"/>
              <w:right w:val="single" w:sz="8" w:space="0" w:color="auto"/>
            </w:tcBorders>
            <w:shd w:val="clear" w:color="auto" w:fill="auto"/>
            <w:noWrap/>
            <w:vAlign w:val="center"/>
            <w:hideMark/>
          </w:tcPr>
          <w:p w14:paraId="0658F86A" w14:textId="77777777" w:rsidR="009D4A93" w:rsidRPr="00536CFD" w:rsidRDefault="009D4A93" w:rsidP="009D4A93">
            <w:pPr>
              <w:spacing w:after="0"/>
              <w:jc w:val="center"/>
              <w:rPr>
                <w:rFonts w:eastAsia="Times New Roman"/>
                <w:color w:val="000000"/>
              </w:rPr>
            </w:pPr>
            <w:r w:rsidRPr="00536CFD">
              <w:rPr>
                <w:rFonts w:eastAsia="Times New Roman"/>
                <w:color w:val="000000"/>
              </w:rPr>
              <w:t>0.95</w:t>
            </w:r>
          </w:p>
        </w:tc>
        <w:tc>
          <w:tcPr>
            <w:tcW w:w="521" w:type="pct"/>
            <w:tcBorders>
              <w:top w:val="nil"/>
              <w:left w:val="nil"/>
              <w:bottom w:val="single" w:sz="8" w:space="0" w:color="auto"/>
              <w:right w:val="single" w:sz="8" w:space="0" w:color="auto"/>
            </w:tcBorders>
            <w:shd w:val="clear" w:color="auto" w:fill="auto"/>
            <w:noWrap/>
            <w:vAlign w:val="center"/>
            <w:hideMark/>
          </w:tcPr>
          <w:p w14:paraId="1E3EBF98" w14:textId="77777777" w:rsidR="009D4A93" w:rsidRPr="00536CFD" w:rsidRDefault="009D4A93" w:rsidP="009D4A93">
            <w:pPr>
              <w:spacing w:after="0"/>
              <w:jc w:val="center"/>
              <w:rPr>
                <w:rFonts w:eastAsia="Times New Roman"/>
                <w:color w:val="000000"/>
              </w:rPr>
            </w:pPr>
            <w:r w:rsidRPr="00536CFD">
              <w:rPr>
                <w:rFonts w:eastAsia="Times New Roman"/>
                <w:color w:val="000000"/>
              </w:rPr>
              <w:t>0.90</w:t>
            </w:r>
          </w:p>
        </w:tc>
        <w:tc>
          <w:tcPr>
            <w:tcW w:w="518" w:type="pct"/>
            <w:tcBorders>
              <w:top w:val="nil"/>
              <w:left w:val="nil"/>
              <w:bottom w:val="single" w:sz="8" w:space="0" w:color="auto"/>
              <w:right w:val="single" w:sz="8" w:space="0" w:color="auto"/>
            </w:tcBorders>
            <w:shd w:val="clear" w:color="auto" w:fill="auto"/>
            <w:noWrap/>
            <w:vAlign w:val="center"/>
            <w:hideMark/>
          </w:tcPr>
          <w:p w14:paraId="6848EFD3" w14:textId="77777777" w:rsidR="009D4A93" w:rsidRPr="00536CFD" w:rsidRDefault="009D4A93" w:rsidP="009D4A93">
            <w:pPr>
              <w:spacing w:after="0"/>
              <w:jc w:val="center"/>
              <w:rPr>
                <w:rFonts w:eastAsia="Times New Roman"/>
                <w:color w:val="000000"/>
              </w:rPr>
            </w:pPr>
            <w:r w:rsidRPr="00536CFD">
              <w:rPr>
                <w:rFonts w:eastAsia="Times New Roman"/>
                <w:color w:val="000000"/>
              </w:rPr>
              <w:t>0.75</w:t>
            </w:r>
          </w:p>
        </w:tc>
        <w:tc>
          <w:tcPr>
            <w:tcW w:w="482" w:type="pct"/>
            <w:tcBorders>
              <w:top w:val="nil"/>
              <w:left w:val="nil"/>
              <w:bottom w:val="single" w:sz="8" w:space="0" w:color="auto"/>
              <w:right w:val="single" w:sz="8" w:space="0" w:color="auto"/>
            </w:tcBorders>
            <w:shd w:val="clear" w:color="auto" w:fill="auto"/>
            <w:noWrap/>
            <w:vAlign w:val="center"/>
            <w:hideMark/>
          </w:tcPr>
          <w:p w14:paraId="5125680A" w14:textId="77777777" w:rsidR="009D4A93" w:rsidRPr="00536CFD" w:rsidRDefault="009D4A93" w:rsidP="009D4A93">
            <w:pPr>
              <w:spacing w:after="0"/>
              <w:jc w:val="center"/>
              <w:rPr>
                <w:rFonts w:eastAsia="Times New Roman"/>
                <w:color w:val="000000"/>
              </w:rPr>
            </w:pPr>
            <w:r w:rsidRPr="00536CFD">
              <w:rPr>
                <w:rFonts w:eastAsia="Times New Roman"/>
                <w:color w:val="000000"/>
              </w:rPr>
              <w:t>0.92</w:t>
            </w:r>
          </w:p>
        </w:tc>
        <w:tc>
          <w:tcPr>
            <w:tcW w:w="437" w:type="pct"/>
            <w:tcBorders>
              <w:top w:val="nil"/>
              <w:left w:val="nil"/>
              <w:bottom w:val="single" w:sz="8" w:space="0" w:color="auto"/>
              <w:right w:val="single" w:sz="8" w:space="0" w:color="auto"/>
            </w:tcBorders>
            <w:shd w:val="clear" w:color="auto" w:fill="auto"/>
            <w:noWrap/>
            <w:vAlign w:val="center"/>
            <w:hideMark/>
          </w:tcPr>
          <w:p w14:paraId="2315212D" w14:textId="77777777" w:rsidR="009D4A93" w:rsidRPr="00536CFD" w:rsidRDefault="009D4A93" w:rsidP="009D4A93">
            <w:pPr>
              <w:spacing w:after="0"/>
              <w:jc w:val="center"/>
              <w:rPr>
                <w:rFonts w:eastAsia="Times New Roman"/>
                <w:color w:val="000000"/>
              </w:rPr>
            </w:pPr>
            <w:r w:rsidRPr="00536CFD">
              <w:rPr>
                <w:rFonts w:eastAsia="Times New Roman"/>
                <w:color w:val="000000"/>
              </w:rPr>
              <w:t>0.66</w:t>
            </w:r>
          </w:p>
        </w:tc>
        <w:tc>
          <w:tcPr>
            <w:tcW w:w="486" w:type="pct"/>
            <w:tcBorders>
              <w:top w:val="nil"/>
              <w:left w:val="nil"/>
              <w:bottom w:val="single" w:sz="8" w:space="0" w:color="auto"/>
              <w:right w:val="single" w:sz="8" w:space="0" w:color="auto"/>
            </w:tcBorders>
            <w:shd w:val="clear" w:color="auto" w:fill="auto"/>
            <w:noWrap/>
            <w:vAlign w:val="center"/>
            <w:hideMark/>
          </w:tcPr>
          <w:p w14:paraId="7CA67125" w14:textId="77777777" w:rsidR="009D4A93" w:rsidRPr="00536CFD" w:rsidRDefault="009D4A93" w:rsidP="009D4A93">
            <w:pPr>
              <w:spacing w:after="0"/>
              <w:jc w:val="center"/>
              <w:rPr>
                <w:rFonts w:eastAsia="Times New Roman"/>
                <w:color w:val="000000"/>
              </w:rPr>
            </w:pPr>
            <w:r w:rsidRPr="00536CFD">
              <w:rPr>
                <w:rFonts w:eastAsia="Times New Roman"/>
                <w:color w:val="000000"/>
              </w:rPr>
              <w:t>0.70</w:t>
            </w:r>
          </w:p>
        </w:tc>
      </w:tr>
      <w:tr w:rsidR="009D4A93" w:rsidRPr="00536CFD" w14:paraId="2F77BCC6"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3D472A3A"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6E2BD3E0"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226C2C4B" w14:textId="77777777" w:rsidR="009D4A93" w:rsidRPr="00536CFD" w:rsidRDefault="009D4A93" w:rsidP="009D4A93">
            <w:pPr>
              <w:spacing w:after="0"/>
              <w:jc w:val="center"/>
              <w:rPr>
                <w:rFonts w:eastAsia="Times New Roman"/>
                <w:color w:val="000000"/>
              </w:rPr>
            </w:pPr>
            <w:r w:rsidRPr="00536CFD">
              <w:rPr>
                <w:rFonts w:eastAsia="Times New Roman"/>
                <w:color w:val="000000"/>
              </w:rPr>
              <w:t>95%</w:t>
            </w:r>
          </w:p>
        </w:tc>
        <w:tc>
          <w:tcPr>
            <w:tcW w:w="401" w:type="pct"/>
            <w:tcBorders>
              <w:top w:val="nil"/>
              <w:left w:val="nil"/>
              <w:bottom w:val="single" w:sz="8" w:space="0" w:color="auto"/>
              <w:right w:val="single" w:sz="8" w:space="0" w:color="auto"/>
            </w:tcBorders>
            <w:shd w:val="clear" w:color="auto" w:fill="auto"/>
            <w:noWrap/>
            <w:vAlign w:val="center"/>
            <w:hideMark/>
          </w:tcPr>
          <w:p w14:paraId="2AEBECB9" w14:textId="77777777" w:rsidR="009D4A93" w:rsidRPr="00536CFD" w:rsidRDefault="009D4A93" w:rsidP="009D4A93">
            <w:pPr>
              <w:spacing w:after="0"/>
              <w:jc w:val="center"/>
              <w:rPr>
                <w:rFonts w:eastAsia="Times New Roman"/>
                <w:color w:val="000000"/>
              </w:rPr>
            </w:pPr>
            <w:r w:rsidRPr="00536CFD">
              <w:rPr>
                <w:rFonts w:eastAsia="Times New Roman"/>
                <w:color w:val="000000"/>
              </w:rPr>
              <w:t>1.61</w:t>
            </w:r>
          </w:p>
        </w:tc>
        <w:tc>
          <w:tcPr>
            <w:tcW w:w="372" w:type="pct"/>
            <w:tcBorders>
              <w:top w:val="nil"/>
              <w:left w:val="nil"/>
              <w:bottom w:val="single" w:sz="8" w:space="0" w:color="auto"/>
              <w:right w:val="single" w:sz="8" w:space="0" w:color="auto"/>
            </w:tcBorders>
            <w:shd w:val="clear" w:color="auto" w:fill="auto"/>
            <w:noWrap/>
            <w:vAlign w:val="center"/>
            <w:hideMark/>
          </w:tcPr>
          <w:p w14:paraId="37E546E1" w14:textId="77777777" w:rsidR="009D4A93" w:rsidRPr="00536CFD" w:rsidRDefault="009D4A93" w:rsidP="009D4A93">
            <w:pPr>
              <w:spacing w:after="0"/>
              <w:jc w:val="center"/>
              <w:rPr>
                <w:rFonts w:eastAsia="Times New Roman"/>
                <w:color w:val="000000"/>
              </w:rPr>
            </w:pPr>
            <w:r w:rsidRPr="00536CFD">
              <w:rPr>
                <w:rFonts w:eastAsia="Times New Roman"/>
                <w:color w:val="000000"/>
              </w:rPr>
              <w:t>1.69</w:t>
            </w:r>
          </w:p>
        </w:tc>
        <w:tc>
          <w:tcPr>
            <w:tcW w:w="437" w:type="pct"/>
            <w:tcBorders>
              <w:top w:val="nil"/>
              <w:left w:val="nil"/>
              <w:bottom w:val="single" w:sz="8" w:space="0" w:color="auto"/>
              <w:right w:val="single" w:sz="8" w:space="0" w:color="auto"/>
            </w:tcBorders>
            <w:shd w:val="clear" w:color="auto" w:fill="auto"/>
            <w:noWrap/>
            <w:vAlign w:val="center"/>
            <w:hideMark/>
          </w:tcPr>
          <w:p w14:paraId="71DCFF20" w14:textId="77777777" w:rsidR="009D4A93" w:rsidRPr="00536CFD" w:rsidRDefault="009D4A93" w:rsidP="009D4A93">
            <w:pPr>
              <w:spacing w:after="0"/>
              <w:jc w:val="center"/>
              <w:rPr>
                <w:rFonts w:eastAsia="Times New Roman"/>
                <w:color w:val="000000"/>
              </w:rPr>
            </w:pPr>
            <w:r w:rsidRPr="00536CFD">
              <w:rPr>
                <w:rFonts w:eastAsia="Times New Roman"/>
                <w:color w:val="000000"/>
              </w:rPr>
              <w:t>2.35</w:t>
            </w:r>
          </w:p>
        </w:tc>
        <w:tc>
          <w:tcPr>
            <w:tcW w:w="521" w:type="pct"/>
            <w:tcBorders>
              <w:top w:val="nil"/>
              <w:left w:val="nil"/>
              <w:bottom w:val="single" w:sz="8" w:space="0" w:color="auto"/>
              <w:right w:val="single" w:sz="8" w:space="0" w:color="auto"/>
            </w:tcBorders>
            <w:shd w:val="clear" w:color="auto" w:fill="auto"/>
            <w:noWrap/>
            <w:vAlign w:val="center"/>
            <w:hideMark/>
          </w:tcPr>
          <w:p w14:paraId="46346337" w14:textId="77777777" w:rsidR="009D4A93" w:rsidRPr="00536CFD" w:rsidRDefault="009D4A93" w:rsidP="009D4A93">
            <w:pPr>
              <w:spacing w:after="0"/>
              <w:jc w:val="center"/>
              <w:rPr>
                <w:rFonts w:eastAsia="Times New Roman"/>
                <w:color w:val="000000"/>
              </w:rPr>
            </w:pPr>
            <w:r w:rsidRPr="00536CFD">
              <w:rPr>
                <w:rFonts w:eastAsia="Times New Roman"/>
                <w:color w:val="000000"/>
              </w:rPr>
              <w:t>1.21</w:t>
            </w:r>
          </w:p>
        </w:tc>
        <w:tc>
          <w:tcPr>
            <w:tcW w:w="518" w:type="pct"/>
            <w:tcBorders>
              <w:top w:val="nil"/>
              <w:left w:val="nil"/>
              <w:bottom w:val="single" w:sz="8" w:space="0" w:color="auto"/>
              <w:right w:val="single" w:sz="8" w:space="0" w:color="auto"/>
            </w:tcBorders>
            <w:shd w:val="clear" w:color="auto" w:fill="auto"/>
            <w:noWrap/>
            <w:vAlign w:val="center"/>
            <w:hideMark/>
          </w:tcPr>
          <w:p w14:paraId="62CF00BB" w14:textId="77777777" w:rsidR="009D4A93" w:rsidRPr="00536CFD" w:rsidRDefault="009D4A93" w:rsidP="009D4A93">
            <w:pPr>
              <w:spacing w:after="0"/>
              <w:jc w:val="center"/>
              <w:rPr>
                <w:rFonts w:eastAsia="Times New Roman"/>
                <w:color w:val="000000"/>
              </w:rPr>
            </w:pPr>
            <w:r w:rsidRPr="00536CFD">
              <w:rPr>
                <w:rFonts w:eastAsia="Times New Roman"/>
                <w:color w:val="000000"/>
              </w:rPr>
              <w:t>1.51</w:t>
            </w:r>
          </w:p>
        </w:tc>
        <w:tc>
          <w:tcPr>
            <w:tcW w:w="482" w:type="pct"/>
            <w:tcBorders>
              <w:top w:val="nil"/>
              <w:left w:val="nil"/>
              <w:bottom w:val="single" w:sz="8" w:space="0" w:color="auto"/>
              <w:right w:val="single" w:sz="8" w:space="0" w:color="auto"/>
            </w:tcBorders>
            <w:shd w:val="clear" w:color="auto" w:fill="auto"/>
            <w:noWrap/>
            <w:vAlign w:val="center"/>
            <w:hideMark/>
          </w:tcPr>
          <w:p w14:paraId="3A5BF846" w14:textId="77777777" w:rsidR="009D4A93" w:rsidRPr="00536CFD" w:rsidRDefault="009D4A93" w:rsidP="009D4A93">
            <w:pPr>
              <w:spacing w:after="0"/>
              <w:jc w:val="center"/>
              <w:rPr>
                <w:rFonts w:eastAsia="Times New Roman"/>
                <w:color w:val="000000"/>
              </w:rPr>
            </w:pPr>
            <w:r w:rsidRPr="00536CFD">
              <w:rPr>
                <w:rFonts w:eastAsia="Times New Roman"/>
                <w:color w:val="000000"/>
              </w:rPr>
              <w:t>1.27</w:t>
            </w:r>
          </w:p>
        </w:tc>
        <w:tc>
          <w:tcPr>
            <w:tcW w:w="437" w:type="pct"/>
            <w:tcBorders>
              <w:top w:val="nil"/>
              <w:left w:val="nil"/>
              <w:bottom w:val="single" w:sz="8" w:space="0" w:color="auto"/>
              <w:right w:val="single" w:sz="8" w:space="0" w:color="auto"/>
            </w:tcBorders>
            <w:shd w:val="clear" w:color="auto" w:fill="auto"/>
            <w:noWrap/>
            <w:vAlign w:val="center"/>
            <w:hideMark/>
          </w:tcPr>
          <w:p w14:paraId="7550764F" w14:textId="77777777" w:rsidR="009D4A93" w:rsidRPr="00536CFD" w:rsidRDefault="009D4A93" w:rsidP="009D4A93">
            <w:pPr>
              <w:spacing w:after="0"/>
              <w:jc w:val="center"/>
              <w:rPr>
                <w:rFonts w:eastAsia="Times New Roman"/>
                <w:color w:val="000000"/>
              </w:rPr>
            </w:pPr>
            <w:r w:rsidRPr="00536CFD">
              <w:rPr>
                <w:rFonts w:eastAsia="Times New Roman"/>
                <w:color w:val="000000"/>
              </w:rPr>
              <w:t>1.54</w:t>
            </w:r>
          </w:p>
        </w:tc>
        <w:tc>
          <w:tcPr>
            <w:tcW w:w="486" w:type="pct"/>
            <w:tcBorders>
              <w:top w:val="nil"/>
              <w:left w:val="nil"/>
              <w:bottom w:val="single" w:sz="8" w:space="0" w:color="auto"/>
              <w:right w:val="single" w:sz="8" w:space="0" w:color="auto"/>
            </w:tcBorders>
            <w:shd w:val="clear" w:color="auto" w:fill="auto"/>
            <w:noWrap/>
            <w:vAlign w:val="center"/>
            <w:hideMark/>
          </w:tcPr>
          <w:p w14:paraId="2AD7AF95" w14:textId="77777777" w:rsidR="009D4A93" w:rsidRPr="00536CFD" w:rsidRDefault="009D4A93" w:rsidP="009D4A93">
            <w:pPr>
              <w:spacing w:after="0"/>
              <w:jc w:val="center"/>
              <w:rPr>
                <w:rFonts w:eastAsia="Times New Roman"/>
                <w:color w:val="000000"/>
              </w:rPr>
            </w:pPr>
            <w:r w:rsidRPr="00536CFD">
              <w:rPr>
                <w:rFonts w:eastAsia="Times New Roman"/>
                <w:color w:val="000000"/>
              </w:rPr>
              <w:t>1.32</w:t>
            </w:r>
          </w:p>
        </w:tc>
      </w:tr>
      <w:tr w:rsidR="009D4A93" w:rsidRPr="00536CFD" w14:paraId="0F38DABA"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1F91C303" w14:textId="77777777" w:rsidR="009D4A93" w:rsidRPr="00536CFD" w:rsidRDefault="009D4A93" w:rsidP="009D4A93">
            <w:pPr>
              <w:spacing w:after="0"/>
              <w:rPr>
                <w:rFonts w:eastAsia="Times New Roman"/>
                <w:color w:val="000000"/>
              </w:rPr>
            </w:pPr>
          </w:p>
        </w:tc>
        <w:tc>
          <w:tcPr>
            <w:tcW w:w="347" w:type="pct"/>
            <w:vMerge/>
            <w:tcBorders>
              <w:top w:val="nil"/>
              <w:left w:val="single" w:sz="4" w:space="0" w:color="auto"/>
              <w:bottom w:val="single" w:sz="8" w:space="0" w:color="000000"/>
              <w:right w:val="single" w:sz="8" w:space="0" w:color="auto"/>
            </w:tcBorders>
            <w:vAlign w:val="center"/>
            <w:hideMark/>
          </w:tcPr>
          <w:p w14:paraId="35F2FDB7" w14:textId="77777777" w:rsidR="009D4A93" w:rsidRPr="00536CFD" w:rsidRDefault="009D4A93" w:rsidP="009D4A93">
            <w:pPr>
              <w:spacing w:after="0"/>
              <w:rPr>
                <w:rFonts w:eastAsia="Times New Roman"/>
                <w:color w:val="000000"/>
              </w:rPr>
            </w:pPr>
          </w:p>
        </w:tc>
        <w:tc>
          <w:tcPr>
            <w:tcW w:w="351" w:type="pct"/>
            <w:tcBorders>
              <w:top w:val="nil"/>
              <w:left w:val="nil"/>
              <w:bottom w:val="single" w:sz="8" w:space="0" w:color="auto"/>
              <w:right w:val="single" w:sz="8" w:space="0" w:color="auto"/>
            </w:tcBorders>
            <w:shd w:val="clear" w:color="auto" w:fill="auto"/>
            <w:vAlign w:val="center"/>
            <w:hideMark/>
          </w:tcPr>
          <w:p w14:paraId="45FC3517" w14:textId="77777777" w:rsidR="009D4A93" w:rsidRPr="00536CFD" w:rsidRDefault="009D4A93" w:rsidP="009D4A93">
            <w:pPr>
              <w:spacing w:after="0"/>
              <w:jc w:val="center"/>
              <w:rPr>
                <w:rFonts w:eastAsia="Times New Roman"/>
                <w:color w:val="000000"/>
              </w:rPr>
            </w:pPr>
            <w:r w:rsidRPr="00536CFD">
              <w:rPr>
                <w:rFonts w:eastAsia="Times New Roman"/>
                <w:color w:val="000000"/>
              </w:rPr>
              <w:t>Mean</w:t>
            </w:r>
          </w:p>
        </w:tc>
        <w:tc>
          <w:tcPr>
            <w:tcW w:w="401" w:type="pct"/>
            <w:tcBorders>
              <w:top w:val="nil"/>
              <w:left w:val="nil"/>
              <w:bottom w:val="single" w:sz="8" w:space="0" w:color="auto"/>
              <w:right w:val="single" w:sz="8" w:space="0" w:color="auto"/>
            </w:tcBorders>
            <w:shd w:val="clear" w:color="auto" w:fill="auto"/>
            <w:noWrap/>
            <w:vAlign w:val="center"/>
            <w:hideMark/>
          </w:tcPr>
          <w:p w14:paraId="778D8480" w14:textId="77777777" w:rsidR="009D4A93" w:rsidRPr="00536CFD" w:rsidRDefault="009D4A93" w:rsidP="009D4A93">
            <w:pPr>
              <w:spacing w:after="0"/>
              <w:jc w:val="center"/>
              <w:rPr>
                <w:rFonts w:eastAsia="Times New Roman"/>
                <w:color w:val="000000"/>
              </w:rPr>
            </w:pPr>
            <w:r w:rsidRPr="00536CFD">
              <w:rPr>
                <w:rFonts w:eastAsia="Times New Roman"/>
                <w:color w:val="000000"/>
              </w:rPr>
              <w:t>0.76</w:t>
            </w:r>
          </w:p>
        </w:tc>
        <w:tc>
          <w:tcPr>
            <w:tcW w:w="372" w:type="pct"/>
            <w:tcBorders>
              <w:top w:val="nil"/>
              <w:left w:val="nil"/>
              <w:bottom w:val="single" w:sz="8" w:space="0" w:color="auto"/>
              <w:right w:val="single" w:sz="8" w:space="0" w:color="auto"/>
            </w:tcBorders>
            <w:shd w:val="clear" w:color="auto" w:fill="auto"/>
            <w:noWrap/>
            <w:vAlign w:val="center"/>
            <w:hideMark/>
          </w:tcPr>
          <w:p w14:paraId="0B2117D7" w14:textId="77777777" w:rsidR="009D4A93" w:rsidRPr="00536CFD" w:rsidRDefault="009D4A93" w:rsidP="009D4A93">
            <w:pPr>
              <w:spacing w:after="0"/>
              <w:jc w:val="center"/>
              <w:rPr>
                <w:rFonts w:eastAsia="Times New Roman"/>
                <w:color w:val="000000"/>
              </w:rPr>
            </w:pPr>
            <w:r w:rsidRPr="00536CFD">
              <w:rPr>
                <w:rFonts w:eastAsia="Times New Roman"/>
                <w:color w:val="000000"/>
              </w:rPr>
              <w:t>0.75</w:t>
            </w:r>
          </w:p>
        </w:tc>
        <w:tc>
          <w:tcPr>
            <w:tcW w:w="437" w:type="pct"/>
            <w:tcBorders>
              <w:top w:val="nil"/>
              <w:left w:val="nil"/>
              <w:bottom w:val="single" w:sz="8" w:space="0" w:color="auto"/>
              <w:right w:val="single" w:sz="8" w:space="0" w:color="auto"/>
            </w:tcBorders>
            <w:shd w:val="clear" w:color="auto" w:fill="auto"/>
            <w:noWrap/>
            <w:vAlign w:val="center"/>
            <w:hideMark/>
          </w:tcPr>
          <w:p w14:paraId="0F9C57F8" w14:textId="77777777" w:rsidR="009D4A93" w:rsidRPr="00536CFD" w:rsidRDefault="009D4A93" w:rsidP="009D4A93">
            <w:pPr>
              <w:spacing w:after="0"/>
              <w:jc w:val="center"/>
              <w:rPr>
                <w:rFonts w:eastAsia="Times New Roman"/>
                <w:color w:val="000000"/>
              </w:rPr>
            </w:pPr>
            <w:r w:rsidRPr="00536CFD">
              <w:rPr>
                <w:rFonts w:eastAsia="Times New Roman"/>
                <w:color w:val="000000"/>
              </w:rPr>
              <w:t>0.97</w:t>
            </w:r>
          </w:p>
        </w:tc>
        <w:tc>
          <w:tcPr>
            <w:tcW w:w="521" w:type="pct"/>
            <w:tcBorders>
              <w:top w:val="nil"/>
              <w:left w:val="nil"/>
              <w:bottom w:val="single" w:sz="8" w:space="0" w:color="auto"/>
              <w:right w:val="single" w:sz="8" w:space="0" w:color="auto"/>
            </w:tcBorders>
            <w:shd w:val="clear" w:color="auto" w:fill="auto"/>
            <w:noWrap/>
            <w:vAlign w:val="center"/>
            <w:hideMark/>
          </w:tcPr>
          <w:p w14:paraId="7BE775CB" w14:textId="77777777" w:rsidR="009D4A93" w:rsidRPr="00536CFD" w:rsidRDefault="009D4A93" w:rsidP="009D4A93">
            <w:pPr>
              <w:spacing w:after="0"/>
              <w:jc w:val="center"/>
              <w:rPr>
                <w:rFonts w:eastAsia="Times New Roman"/>
                <w:color w:val="000000"/>
              </w:rPr>
            </w:pPr>
            <w:r w:rsidRPr="00536CFD">
              <w:rPr>
                <w:rFonts w:eastAsia="Times New Roman"/>
                <w:color w:val="000000"/>
              </w:rPr>
              <w:t>0.86</w:t>
            </w:r>
          </w:p>
        </w:tc>
        <w:tc>
          <w:tcPr>
            <w:tcW w:w="518" w:type="pct"/>
            <w:tcBorders>
              <w:top w:val="nil"/>
              <w:left w:val="nil"/>
              <w:bottom w:val="single" w:sz="8" w:space="0" w:color="auto"/>
              <w:right w:val="single" w:sz="8" w:space="0" w:color="auto"/>
            </w:tcBorders>
            <w:shd w:val="clear" w:color="auto" w:fill="auto"/>
            <w:noWrap/>
            <w:vAlign w:val="center"/>
            <w:hideMark/>
          </w:tcPr>
          <w:p w14:paraId="799EEF7E" w14:textId="77777777" w:rsidR="009D4A93" w:rsidRPr="00536CFD" w:rsidRDefault="009D4A93" w:rsidP="009D4A93">
            <w:pPr>
              <w:spacing w:after="0"/>
              <w:jc w:val="center"/>
              <w:rPr>
                <w:rFonts w:eastAsia="Times New Roman"/>
                <w:color w:val="000000"/>
              </w:rPr>
            </w:pPr>
            <w:r w:rsidRPr="00536CFD">
              <w:rPr>
                <w:rFonts w:eastAsia="Times New Roman"/>
                <w:color w:val="000000"/>
              </w:rPr>
              <w:t>0.86</w:t>
            </w:r>
          </w:p>
        </w:tc>
        <w:tc>
          <w:tcPr>
            <w:tcW w:w="482" w:type="pct"/>
            <w:tcBorders>
              <w:top w:val="nil"/>
              <w:left w:val="nil"/>
              <w:bottom w:val="single" w:sz="8" w:space="0" w:color="auto"/>
              <w:right w:val="single" w:sz="8" w:space="0" w:color="auto"/>
            </w:tcBorders>
            <w:shd w:val="clear" w:color="auto" w:fill="auto"/>
            <w:noWrap/>
            <w:vAlign w:val="center"/>
            <w:hideMark/>
          </w:tcPr>
          <w:p w14:paraId="6156B3A0" w14:textId="77777777" w:rsidR="009D4A93" w:rsidRPr="00536CFD" w:rsidRDefault="009D4A93" w:rsidP="009D4A93">
            <w:pPr>
              <w:spacing w:after="0"/>
              <w:jc w:val="center"/>
              <w:rPr>
                <w:rFonts w:eastAsia="Times New Roman"/>
                <w:color w:val="000000"/>
              </w:rPr>
            </w:pPr>
            <w:r w:rsidRPr="00536CFD">
              <w:rPr>
                <w:rFonts w:eastAsia="Times New Roman"/>
                <w:color w:val="000000"/>
              </w:rPr>
              <w:t>0.87</w:t>
            </w:r>
          </w:p>
        </w:tc>
        <w:tc>
          <w:tcPr>
            <w:tcW w:w="437" w:type="pct"/>
            <w:tcBorders>
              <w:top w:val="nil"/>
              <w:left w:val="nil"/>
              <w:bottom w:val="single" w:sz="8" w:space="0" w:color="auto"/>
              <w:right w:val="single" w:sz="8" w:space="0" w:color="auto"/>
            </w:tcBorders>
            <w:shd w:val="clear" w:color="auto" w:fill="auto"/>
            <w:noWrap/>
            <w:vAlign w:val="center"/>
            <w:hideMark/>
          </w:tcPr>
          <w:p w14:paraId="5635EEE5" w14:textId="77777777" w:rsidR="009D4A93" w:rsidRPr="00536CFD" w:rsidRDefault="009D4A93" w:rsidP="009D4A93">
            <w:pPr>
              <w:spacing w:after="0"/>
              <w:jc w:val="center"/>
              <w:rPr>
                <w:rFonts w:eastAsia="Times New Roman"/>
                <w:color w:val="000000"/>
              </w:rPr>
            </w:pPr>
            <w:r w:rsidRPr="00536CFD">
              <w:rPr>
                <w:rFonts w:eastAsia="Times New Roman"/>
                <w:color w:val="000000"/>
              </w:rPr>
              <w:t>0.72</w:t>
            </w:r>
          </w:p>
        </w:tc>
        <w:tc>
          <w:tcPr>
            <w:tcW w:w="486" w:type="pct"/>
            <w:tcBorders>
              <w:top w:val="nil"/>
              <w:left w:val="nil"/>
              <w:bottom w:val="single" w:sz="8" w:space="0" w:color="auto"/>
              <w:right w:val="single" w:sz="8" w:space="0" w:color="auto"/>
            </w:tcBorders>
            <w:shd w:val="clear" w:color="auto" w:fill="auto"/>
            <w:noWrap/>
            <w:vAlign w:val="center"/>
            <w:hideMark/>
          </w:tcPr>
          <w:p w14:paraId="6E1AA500" w14:textId="77777777" w:rsidR="009D4A93" w:rsidRPr="00536CFD" w:rsidRDefault="009D4A93" w:rsidP="009D4A93">
            <w:pPr>
              <w:spacing w:after="0"/>
              <w:jc w:val="center"/>
              <w:rPr>
                <w:rFonts w:eastAsia="Times New Roman"/>
                <w:color w:val="000000"/>
              </w:rPr>
            </w:pPr>
            <w:r w:rsidRPr="00536CFD">
              <w:rPr>
                <w:rFonts w:eastAsia="Times New Roman"/>
                <w:color w:val="000000"/>
              </w:rPr>
              <w:t>0.69</w:t>
            </w:r>
          </w:p>
        </w:tc>
      </w:tr>
      <w:tr w:rsidR="009D4A93" w:rsidRPr="00536CFD" w14:paraId="1F413991"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132BD070" w14:textId="77777777" w:rsidR="009D4A93" w:rsidRPr="00536CFD" w:rsidRDefault="009D4A93" w:rsidP="009D4A93">
            <w:pPr>
              <w:spacing w:after="0"/>
              <w:jc w:val="center"/>
              <w:rPr>
                <w:rFonts w:eastAsia="Times New Roman"/>
                <w:color w:val="000000"/>
              </w:rPr>
            </w:pPr>
          </w:p>
        </w:tc>
        <w:tc>
          <w:tcPr>
            <w:tcW w:w="698" w:type="pct"/>
            <w:gridSpan w:val="2"/>
            <w:tcBorders>
              <w:top w:val="nil"/>
              <w:left w:val="single" w:sz="4" w:space="0" w:color="auto"/>
              <w:bottom w:val="single" w:sz="8" w:space="0" w:color="auto"/>
              <w:right w:val="single" w:sz="8" w:space="0" w:color="000000"/>
            </w:tcBorders>
            <w:shd w:val="clear" w:color="auto" w:fill="auto"/>
            <w:vAlign w:val="center"/>
            <w:hideMark/>
          </w:tcPr>
          <w:p w14:paraId="12E81B60" w14:textId="77777777" w:rsidR="009D4A93" w:rsidRPr="00536CFD" w:rsidRDefault="009D4A93" w:rsidP="009D4A93">
            <w:pPr>
              <w:spacing w:after="0"/>
              <w:jc w:val="center"/>
              <w:rPr>
                <w:rFonts w:eastAsia="Times New Roman"/>
                <w:color w:val="000000"/>
              </w:rPr>
            </w:pPr>
            <w:r w:rsidRPr="00536CFD">
              <w:rPr>
                <w:rFonts w:eastAsia="Times New Roman"/>
                <w:color w:val="000000"/>
              </w:rPr>
              <w:t>VoIP outage</w:t>
            </w:r>
          </w:p>
        </w:tc>
        <w:tc>
          <w:tcPr>
            <w:tcW w:w="401" w:type="pct"/>
            <w:tcBorders>
              <w:top w:val="nil"/>
              <w:left w:val="nil"/>
              <w:bottom w:val="single" w:sz="8" w:space="0" w:color="auto"/>
              <w:right w:val="single" w:sz="8" w:space="0" w:color="auto"/>
            </w:tcBorders>
            <w:shd w:val="clear" w:color="auto" w:fill="auto"/>
            <w:noWrap/>
            <w:vAlign w:val="center"/>
            <w:hideMark/>
          </w:tcPr>
          <w:p w14:paraId="6D6EFEAD" w14:textId="77777777" w:rsidR="009D4A93" w:rsidRPr="00536CFD" w:rsidRDefault="009D4A93" w:rsidP="009D4A93">
            <w:pPr>
              <w:spacing w:after="0"/>
              <w:jc w:val="center"/>
              <w:rPr>
                <w:rFonts w:eastAsia="Times New Roman"/>
                <w:color w:val="000000"/>
              </w:rPr>
            </w:pPr>
            <w:r w:rsidRPr="00536CFD">
              <w:rPr>
                <w:rFonts w:eastAsia="Times New Roman"/>
                <w:color w:val="000000"/>
              </w:rPr>
              <w:t>9.09</w:t>
            </w:r>
          </w:p>
        </w:tc>
        <w:tc>
          <w:tcPr>
            <w:tcW w:w="372" w:type="pct"/>
            <w:tcBorders>
              <w:top w:val="nil"/>
              <w:left w:val="nil"/>
              <w:bottom w:val="single" w:sz="8" w:space="0" w:color="auto"/>
              <w:right w:val="single" w:sz="8" w:space="0" w:color="auto"/>
            </w:tcBorders>
            <w:shd w:val="clear" w:color="auto" w:fill="auto"/>
            <w:noWrap/>
            <w:vAlign w:val="center"/>
            <w:hideMark/>
          </w:tcPr>
          <w:p w14:paraId="562D13A7" w14:textId="77777777" w:rsidR="009D4A93" w:rsidRPr="00536CFD" w:rsidRDefault="009D4A93" w:rsidP="009D4A93">
            <w:pPr>
              <w:spacing w:after="0"/>
              <w:jc w:val="center"/>
              <w:rPr>
                <w:rFonts w:eastAsia="Times New Roman"/>
                <w:color w:val="000000"/>
              </w:rPr>
            </w:pPr>
            <w:r w:rsidRPr="00536CFD">
              <w:rPr>
                <w:rFonts w:eastAsia="Times New Roman"/>
                <w:color w:val="000000"/>
              </w:rPr>
              <w:t>NA</w:t>
            </w:r>
          </w:p>
        </w:tc>
        <w:tc>
          <w:tcPr>
            <w:tcW w:w="437" w:type="pct"/>
            <w:tcBorders>
              <w:top w:val="nil"/>
              <w:left w:val="nil"/>
              <w:bottom w:val="single" w:sz="8" w:space="0" w:color="auto"/>
              <w:right w:val="single" w:sz="8" w:space="0" w:color="auto"/>
            </w:tcBorders>
            <w:shd w:val="clear" w:color="auto" w:fill="auto"/>
            <w:noWrap/>
            <w:vAlign w:val="center"/>
            <w:hideMark/>
          </w:tcPr>
          <w:p w14:paraId="1A57E196" w14:textId="77777777" w:rsidR="009D4A93" w:rsidRPr="00536CFD" w:rsidRDefault="009D4A93" w:rsidP="009D4A93">
            <w:pPr>
              <w:spacing w:after="0"/>
              <w:jc w:val="center"/>
              <w:rPr>
                <w:rFonts w:eastAsia="Times New Roman"/>
                <w:color w:val="000000"/>
              </w:rPr>
            </w:pPr>
            <w:r w:rsidRPr="00536CFD">
              <w:rPr>
                <w:rFonts w:eastAsia="Times New Roman"/>
                <w:color w:val="000000"/>
              </w:rPr>
              <w:t>31.18</w:t>
            </w:r>
          </w:p>
        </w:tc>
        <w:tc>
          <w:tcPr>
            <w:tcW w:w="521" w:type="pct"/>
            <w:tcBorders>
              <w:top w:val="nil"/>
              <w:left w:val="nil"/>
              <w:bottom w:val="single" w:sz="8" w:space="0" w:color="auto"/>
              <w:right w:val="single" w:sz="8" w:space="0" w:color="auto"/>
            </w:tcBorders>
            <w:shd w:val="clear" w:color="auto" w:fill="auto"/>
            <w:noWrap/>
            <w:vAlign w:val="center"/>
            <w:hideMark/>
          </w:tcPr>
          <w:p w14:paraId="3875EAE5" w14:textId="77777777" w:rsidR="009D4A93" w:rsidRPr="00536CFD" w:rsidRDefault="009D4A93" w:rsidP="009D4A93">
            <w:pPr>
              <w:spacing w:after="0"/>
              <w:jc w:val="center"/>
              <w:rPr>
                <w:rFonts w:eastAsia="Times New Roman"/>
                <w:color w:val="000000"/>
              </w:rPr>
            </w:pPr>
            <w:r w:rsidRPr="00536CFD">
              <w:rPr>
                <w:rFonts w:eastAsia="Times New Roman"/>
                <w:color w:val="000000"/>
              </w:rPr>
              <w:t>NA</w:t>
            </w:r>
          </w:p>
        </w:tc>
        <w:tc>
          <w:tcPr>
            <w:tcW w:w="518" w:type="pct"/>
            <w:tcBorders>
              <w:top w:val="nil"/>
              <w:left w:val="nil"/>
              <w:bottom w:val="single" w:sz="8" w:space="0" w:color="auto"/>
              <w:right w:val="single" w:sz="8" w:space="0" w:color="auto"/>
            </w:tcBorders>
            <w:shd w:val="clear" w:color="auto" w:fill="auto"/>
            <w:noWrap/>
            <w:vAlign w:val="center"/>
            <w:hideMark/>
          </w:tcPr>
          <w:p w14:paraId="1EC11DE6" w14:textId="77777777" w:rsidR="009D4A93" w:rsidRPr="00536CFD" w:rsidRDefault="009D4A93" w:rsidP="009D4A93">
            <w:pPr>
              <w:spacing w:after="0"/>
              <w:jc w:val="center"/>
              <w:rPr>
                <w:rFonts w:eastAsia="Times New Roman"/>
                <w:color w:val="000000"/>
              </w:rPr>
            </w:pPr>
            <w:r w:rsidRPr="00536CFD">
              <w:rPr>
                <w:rFonts w:eastAsia="Times New Roman"/>
                <w:color w:val="000000"/>
              </w:rPr>
              <w:t>27.27</w:t>
            </w:r>
          </w:p>
        </w:tc>
        <w:tc>
          <w:tcPr>
            <w:tcW w:w="482" w:type="pct"/>
            <w:tcBorders>
              <w:top w:val="nil"/>
              <w:left w:val="nil"/>
              <w:bottom w:val="single" w:sz="8" w:space="0" w:color="auto"/>
              <w:right w:val="single" w:sz="8" w:space="0" w:color="auto"/>
            </w:tcBorders>
            <w:shd w:val="clear" w:color="auto" w:fill="auto"/>
            <w:noWrap/>
            <w:vAlign w:val="center"/>
            <w:hideMark/>
          </w:tcPr>
          <w:p w14:paraId="71A4B7B3" w14:textId="77777777" w:rsidR="009D4A93" w:rsidRPr="00536CFD" w:rsidRDefault="009D4A93" w:rsidP="009D4A93">
            <w:pPr>
              <w:spacing w:after="0"/>
              <w:jc w:val="center"/>
              <w:rPr>
                <w:rFonts w:eastAsia="Times New Roman"/>
                <w:color w:val="000000"/>
              </w:rPr>
            </w:pPr>
            <w:r w:rsidRPr="00536CFD">
              <w:rPr>
                <w:rFonts w:eastAsia="Times New Roman"/>
                <w:color w:val="000000"/>
              </w:rPr>
              <w:t>NA</w:t>
            </w:r>
          </w:p>
        </w:tc>
        <w:tc>
          <w:tcPr>
            <w:tcW w:w="437" w:type="pct"/>
            <w:tcBorders>
              <w:top w:val="nil"/>
              <w:left w:val="nil"/>
              <w:bottom w:val="single" w:sz="8" w:space="0" w:color="auto"/>
              <w:right w:val="single" w:sz="8" w:space="0" w:color="auto"/>
            </w:tcBorders>
            <w:shd w:val="clear" w:color="auto" w:fill="auto"/>
            <w:noWrap/>
            <w:vAlign w:val="center"/>
            <w:hideMark/>
          </w:tcPr>
          <w:p w14:paraId="5728423D" w14:textId="77777777" w:rsidR="009D4A93" w:rsidRPr="00536CFD" w:rsidRDefault="009D4A93" w:rsidP="009D4A93">
            <w:pPr>
              <w:spacing w:after="0"/>
              <w:jc w:val="center"/>
              <w:rPr>
                <w:rFonts w:eastAsia="Times New Roman"/>
                <w:color w:val="000000"/>
              </w:rPr>
            </w:pPr>
            <w:r w:rsidRPr="00536CFD">
              <w:rPr>
                <w:rFonts w:eastAsia="Times New Roman"/>
                <w:color w:val="000000"/>
              </w:rPr>
              <w:t>18.18</w:t>
            </w:r>
          </w:p>
        </w:tc>
        <w:tc>
          <w:tcPr>
            <w:tcW w:w="486" w:type="pct"/>
            <w:tcBorders>
              <w:top w:val="nil"/>
              <w:left w:val="nil"/>
              <w:bottom w:val="single" w:sz="8" w:space="0" w:color="auto"/>
              <w:right w:val="single" w:sz="8" w:space="0" w:color="auto"/>
            </w:tcBorders>
            <w:shd w:val="clear" w:color="auto" w:fill="auto"/>
            <w:noWrap/>
            <w:vAlign w:val="center"/>
            <w:hideMark/>
          </w:tcPr>
          <w:p w14:paraId="3E8213DF" w14:textId="77777777" w:rsidR="009D4A93" w:rsidRPr="00536CFD" w:rsidRDefault="009D4A93" w:rsidP="009D4A93">
            <w:pPr>
              <w:spacing w:after="0"/>
              <w:jc w:val="center"/>
              <w:rPr>
                <w:rFonts w:eastAsia="Times New Roman"/>
                <w:color w:val="000000"/>
              </w:rPr>
            </w:pPr>
            <w:r w:rsidRPr="00536CFD">
              <w:rPr>
                <w:rFonts w:eastAsia="Times New Roman"/>
                <w:color w:val="000000"/>
              </w:rPr>
              <w:t>NA</w:t>
            </w:r>
          </w:p>
        </w:tc>
      </w:tr>
      <w:tr w:rsidR="009D4A93" w:rsidRPr="00536CFD" w14:paraId="4BC6DBD3"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244A2434" w14:textId="77777777" w:rsidR="009D4A93" w:rsidRPr="00536CFD" w:rsidRDefault="009D4A93" w:rsidP="009D4A93">
            <w:pPr>
              <w:spacing w:after="0"/>
              <w:jc w:val="center"/>
              <w:rPr>
                <w:rFonts w:eastAsia="Times New Roman"/>
                <w:color w:val="000000"/>
              </w:rPr>
            </w:pPr>
          </w:p>
        </w:tc>
        <w:tc>
          <w:tcPr>
            <w:tcW w:w="698" w:type="pct"/>
            <w:gridSpan w:val="2"/>
            <w:tcBorders>
              <w:top w:val="single" w:sz="8" w:space="0" w:color="auto"/>
              <w:left w:val="single" w:sz="4" w:space="0" w:color="auto"/>
              <w:bottom w:val="single" w:sz="8" w:space="0" w:color="auto"/>
              <w:right w:val="single" w:sz="8" w:space="0" w:color="auto"/>
            </w:tcBorders>
            <w:shd w:val="clear" w:color="auto" w:fill="auto"/>
            <w:vAlign w:val="center"/>
          </w:tcPr>
          <w:p w14:paraId="4B5B9F07" w14:textId="77777777" w:rsidR="009D4A93" w:rsidRPr="00536CFD" w:rsidRDefault="009D4A93" w:rsidP="009D4A93">
            <w:pPr>
              <w:spacing w:after="0"/>
              <w:jc w:val="center"/>
              <w:rPr>
                <w:rFonts w:eastAsia="Times New Roman"/>
                <w:color w:val="000000"/>
              </w:rPr>
            </w:pPr>
            <w:r w:rsidRPr="00536CFD">
              <w:rPr>
                <w:rFonts w:eastAsia="Times New Roman"/>
                <w:color w:val="000000"/>
              </w:rPr>
              <w:t>ρ (DL)</w:t>
            </w:r>
          </w:p>
        </w:tc>
        <w:tc>
          <w:tcPr>
            <w:tcW w:w="40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14F0BBF8" w14:textId="77777777" w:rsidR="009D4A93" w:rsidRPr="00536CFD" w:rsidRDefault="009D4A93" w:rsidP="009D4A93">
            <w:pPr>
              <w:spacing w:after="0"/>
              <w:jc w:val="center"/>
              <w:rPr>
                <w:rFonts w:eastAsia="Times New Roman"/>
                <w:color w:val="000000"/>
              </w:rPr>
            </w:pPr>
            <w:r w:rsidRPr="00536CFD">
              <w:rPr>
                <w:rFonts w:eastAsia="Times New Roman"/>
                <w:color w:val="000000"/>
              </w:rPr>
              <w:t>0.97</w:t>
            </w:r>
          </w:p>
        </w:tc>
        <w:tc>
          <w:tcPr>
            <w:tcW w:w="372" w:type="pct"/>
            <w:tcBorders>
              <w:top w:val="single" w:sz="8" w:space="0" w:color="auto"/>
              <w:left w:val="nil"/>
              <w:bottom w:val="single" w:sz="8" w:space="0" w:color="auto"/>
              <w:right w:val="single" w:sz="8" w:space="0" w:color="auto"/>
            </w:tcBorders>
            <w:shd w:val="clear" w:color="auto" w:fill="auto"/>
            <w:noWrap/>
            <w:vAlign w:val="center"/>
          </w:tcPr>
          <w:p w14:paraId="7267C633" w14:textId="77777777" w:rsidR="009D4A93" w:rsidRPr="00536CFD" w:rsidRDefault="009D4A93" w:rsidP="009D4A93">
            <w:pPr>
              <w:spacing w:after="0"/>
              <w:jc w:val="center"/>
              <w:rPr>
                <w:rFonts w:eastAsia="Times New Roman"/>
                <w:color w:val="000000"/>
              </w:rPr>
            </w:pPr>
            <w:r w:rsidRPr="00536CFD">
              <w:rPr>
                <w:rFonts w:eastAsia="Times New Roman"/>
                <w:color w:val="000000"/>
              </w:rPr>
              <w:t>0.97</w:t>
            </w:r>
          </w:p>
        </w:tc>
        <w:tc>
          <w:tcPr>
            <w:tcW w:w="437" w:type="pct"/>
            <w:tcBorders>
              <w:top w:val="single" w:sz="8" w:space="0" w:color="auto"/>
              <w:left w:val="nil"/>
              <w:bottom w:val="single" w:sz="8" w:space="0" w:color="auto"/>
              <w:right w:val="single" w:sz="8" w:space="0" w:color="auto"/>
            </w:tcBorders>
            <w:shd w:val="clear" w:color="auto" w:fill="auto"/>
            <w:noWrap/>
            <w:vAlign w:val="center"/>
          </w:tcPr>
          <w:p w14:paraId="122B79B5" w14:textId="77777777" w:rsidR="009D4A93" w:rsidRPr="00536CFD" w:rsidRDefault="009D4A93" w:rsidP="009D4A93">
            <w:pPr>
              <w:spacing w:after="0"/>
              <w:jc w:val="center"/>
              <w:rPr>
                <w:rFonts w:eastAsia="Times New Roman"/>
                <w:color w:val="000000"/>
              </w:rPr>
            </w:pPr>
            <w:r w:rsidRPr="00536CFD">
              <w:rPr>
                <w:rFonts w:eastAsia="Times New Roman"/>
                <w:color w:val="000000"/>
              </w:rPr>
              <w:t>0.95</w:t>
            </w:r>
          </w:p>
        </w:tc>
        <w:tc>
          <w:tcPr>
            <w:tcW w:w="521" w:type="pct"/>
            <w:tcBorders>
              <w:top w:val="single" w:sz="8" w:space="0" w:color="auto"/>
              <w:left w:val="nil"/>
              <w:bottom w:val="single" w:sz="8" w:space="0" w:color="auto"/>
              <w:right w:val="single" w:sz="8" w:space="0" w:color="auto"/>
            </w:tcBorders>
            <w:shd w:val="clear" w:color="auto" w:fill="auto"/>
            <w:noWrap/>
            <w:vAlign w:val="center"/>
          </w:tcPr>
          <w:p w14:paraId="28E8CCE0" w14:textId="77777777" w:rsidR="009D4A93" w:rsidRPr="00536CFD" w:rsidRDefault="009D4A93" w:rsidP="009D4A93">
            <w:pPr>
              <w:spacing w:after="0"/>
              <w:jc w:val="center"/>
              <w:rPr>
                <w:rFonts w:eastAsia="Times New Roman"/>
                <w:color w:val="000000"/>
              </w:rPr>
            </w:pPr>
            <w:r w:rsidRPr="00536CFD">
              <w:rPr>
                <w:rFonts w:eastAsia="Times New Roman"/>
                <w:color w:val="000000"/>
              </w:rPr>
              <w:t>0.97</w:t>
            </w:r>
          </w:p>
        </w:tc>
        <w:tc>
          <w:tcPr>
            <w:tcW w:w="518" w:type="pct"/>
            <w:tcBorders>
              <w:top w:val="single" w:sz="8" w:space="0" w:color="auto"/>
              <w:left w:val="nil"/>
              <w:bottom w:val="single" w:sz="8" w:space="0" w:color="auto"/>
              <w:right w:val="single" w:sz="8" w:space="0" w:color="auto"/>
            </w:tcBorders>
            <w:shd w:val="clear" w:color="auto" w:fill="auto"/>
            <w:noWrap/>
            <w:vAlign w:val="center"/>
          </w:tcPr>
          <w:p w14:paraId="06088917" w14:textId="77777777" w:rsidR="009D4A93" w:rsidRPr="00536CFD" w:rsidRDefault="009D4A93" w:rsidP="009D4A93">
            <w:pPr>
              <w:spacing w:after="0"/>
              <w:jc w:val="center"/>
              <w:rPr>
                <w:rFonts w:eastAsia="Times New Roman"/>
                <w:color w:val="000000"/>
              </w:rPr>
            </w:pPr>
            <w:r w:rsidRPr="00536CFD">
              <w:rPr>
                <w:rFonts w:eastAsia="Times New Roman"/>
                <w:color w:val="000000"/>
              </w:rPr>
              <w:t>0.97</w:t>
            </w:r>
          </w:p>
        </w:tc>
        <w:tc>
          <w:tcPr>
            <w:tcW w:w="482" w:type="pct"/>
            <w:tcBorders>
              <w:top w:val="single" w:sz="8" w:space="0" w:color="auto"/>
              <w:left w:val="nil"/>
              <w:bottom w:val="single" w:sz="8" w:space="0" w:color="auto"/>
              <w:right w:val="single" w:sz="8" w:space="0" w:color="auto"/>
            </w:tcBorders>
            <w:shd w:val="clear" w:color="auto" w:fill="auto"/>
            <w:noWrap/>
            <w:vAlign w:val="center"/>
          </w:tcPr>
          <w:p w14:paraId="107FF76C" w14:textId="77777777" w:rsidR="009D4A93" w:rsidRPr="00536CFD" w:rsidRDefault="009D4A93" w:rsidP="009D4A93">
            <w:pPr>
              <w:spacing w:after="0"/>
              <w:jc w:val="center"/>
              <w:rPr>
                <w:rFonts w:eastAsia="Times New Roman"/>
                <w:color w:val="000000"/>
              </w:rPr>
            </w:pPr>
            <w:r w:rsidRPr="00536CFD">
              <w:rPr>
                <w:rFonts w:eastAsia="Times New Roman"/>
                <w:color w:val="000000"/>
              </w:rPr>
              <w:t>0.97</w:t>
            </w:r>
          </w:p>
        </w:tc>
        <w:tc>
          <w:tcPr>
            <w:tcW w:w="437" w:type="pct"/>
            <w:tcBorders>
              <w:top w:val="single" w:sz="8" w:space="0" w:color="auto"/>
              <w:left w:val="nil"/>
              <w:bottom w:val="single" w:sz="8" w:space="0" w:color="auto"/>
              <w:right w:val="single" w:sz="8" w:space="0" w:color="auto"/>
            </w:tcBorders>
            <w:shd w:val="clear" w:color="auto" w:fill="auto"/>
            <w:noWrap/>
            <w:vAlign w:val="center"/>
          </w:tcPr>
          <w:p w14:paraId="1843A954" w14:textId="77777777" w:rsidR="009D4A93" w:rsidRPr="00536CFD" w:rsidRDefault="009D4A93" w:rsidP="009D4A93">
            <w:pPr>
              <w:spacing w:after="0"/>
              <w:jc w:val="center"/>
              <w:rPr>
                <w:rFonts w:eastAsia="Times New Roman"/>
                <w:color w:val="000000"/>
              </w:rPr>
            </w:pPr>
            <w:r w:rsidRPr="00536CFD">
              <w:rPr>
                <w:rFonts w:eastAsia="Times New Roman"/>
                <w:color w:val="000000"/>
              </w:rPr>
              <w:t>0.98</w:t>
            </w:r>
          </w:p>
        </w:tc>
        <w:tc>
          <w:tcPr>
            <w:tcW w:w="486" w:type="pct"/>
            <w:tcBorders>
              <w:top w:val="single" w:sz="8" w:space="0" w:color="auto"/>
              <w:left w:val="nil"/>
              <w:bottom w:val="single" w:sz="8" w:space="0" w:color="auto"/>
              <w:right w:val="single" w:sz="8" w:space="0" w:color="auto"/>
            </w:tcBorders>
            <w:shd w:val="clear" w:color="auto" w:fill="auto"/>
            <w:noWrap/>
            <w:vAlign w:val="center"/>
          </w:tcPr>
          <w:p w14:paraId="76C3ACBE" w14:textId="77777777" w:rsidR="009D4A93" w:rsidRPr="00536CFD" w:rsidRDefault="009D4A93" w:rsidP="009D4A93">
            <w:pPr>
              <w:spacing w:after="0"/>
              <w:jc w:val="center"/>
              <w:rPr>
                <w:rFonts w:eastAsia="Times New Roman"/>
                <w:color w:val="000000"/>
              </w:rPr>
            </w:pPr>
            <w:r w:rsidRPr="00536CFD">
              <w:rPr>
                <w:rFonts w:eastAsia="Times New Roman"/>
                <w:color w:val="000000"/>
              </w:rPr>
              <w:t>0.99</w:t>
            </w:r>
          </w:p>
        </w:tc>
      </w:tr>
      <w:tr w:rsidR="009D4A93" w:rsidRPr="00536CFD" w14:paraId="23B530FB"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26EC0F96" w14:textId="77777777" w:rsidR="009D4A93" w:rsidRPr="00536CFD" w:rsidRDefault="009D4A93" w:rsidP="009D4A93">
            <w:pPr>
              <w:spacing w:after="0"/>
              <w:jc w:val="center"/>
              <w:rPr>
                <w:rFonts w:eastAsia="Times New Roman"/>
                <w:color w:val="000000"/>
              </w:rPr>
            </w:pPr>
          </w:p>
        </w:tc>
        <w:tc>
          <w:tcPr>
            <w:tcW w:w="698" w:type="pct"/>
            <w:gridSpan w:val="2"/>
            <w:tcBorders>
              <w:top w:val="single" w:sz="8" w:space="0" w:color="auto"/>
              <w:left w:val="single" w:sz="4" w:space="0" w:color="auto"/>
              <w:bottom w:val="single" w:sz="8" w:space="0" w:color="auto"/>
              <w:right w:val="single" w:sz="8" w:space="0" w:color="auto"/>
            </w:tcBorders>
            <w:shd w:val="clear" w:color="auto" w:fill="auto"/>
            <w:vAlign w:val="center"/>
          </w:tcPr>
          <w:p w14:paraId="491EB07A" w14:textId="77777777" w:rsidR="009D4A93" w:rsidRPr="00536CFD" w:rsidRDefault="009D4A93" w:rsidP="009D4A93">
            <w:pPr>
              <w:spacing w:after="0"/>
              <w:jc w:val="center"/>
              <w:rPr>
                <w:rFonts w:eastAsia="Times New Roman"/>
                <w:color w:val="000000"/>
              </w:rPr>
            </w:pPr>
            <w:r w:rsidRPr="00536CFD">
              <w:rPr>
                <w:rFonts w:eastAsia="Times New Roman"/>
                <w:color w:val="000000"/>
              </w:rPr>
              <w:t>ρ (UL)</w:t>
            </w:r>
          </w:p>
        </w:tc>
        <w:tc>
          <w:tcPr>
            <w:tcW w:w="40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396520FF" w14:textId="77777777" w:rsidR="009D4A93" w:rsidRPr="00536CFD" w:rsidRDefault="009D4A93" w:rsidP="009D4A93">
            <w:pPr>
              <w:spacing w:after="0"/>
              <w:jc w:val="center"/>
              <w:rPr>
                <w:rFonts w:eastAsia="Times New Roman"/>
                <w:color w:val="000000"/>
              </w:rPr>
            </w:pPr>
            <w:r w:rsidRPr="00536CFD">
              <w:rPr>
                <w:rFonts w:eastAsia="Times New Roman"/>
                <w:color w:val="000000"/>
              </w:rPr>
              <w:t>0.97</w:t>
            </w:r>
          </w:p>
        </w:tc>
        <w:tc>
          <w:tcPr>
            <w:tcW w:w="372" w:type="pct"/>
            <w:tcBorders>
              <w:top w:val="single" w:sz="8" w:space="0" w:color="auto"/>
              <w:left w:val="nil"/>
              <w:bottom w:val="single" w:sz="8" w:space="0" w:color="auto"/>
              <w:right w:val="single" w:sz="8" w:space="0" w:color="auto"/>
            </w:tcBorders>
            <w:shd w:val="clear" w:color="auto" w:fill="auto"/>
            <w:noWrap/>
            <w:vAlign w:val="center"/>
          </w:tcPr>
          <w:p w14:paraId="77AFA6F5" w14:textId="77777777" w:rsidR="009D4A93" w:rsidRPr="00536CFD" w:rsidRDefault="009D4A93" w:rsidP="009D4A93">
            <w:pPr>
              <w:spacing w:after="0"/>
              <w:jc w:val="center"/>
              <w:rPr>
                <w:rFonts w:eastAsia="Times New Roman"/>
                <w:color w:val="000000"/>
              </w:rPr>
            </w:pPr>
            <w:r w:rsidRPr="00536CFD">
              <w:rPr>
                <w:rFonts w:eastAsia="Times New Roman"/>
                <w:color w:val="000000"/>
              </w:rPr>
              <w:t>0.97</w:t>
            </w:r>
          </w:p>
        </w:tc>
        <w:tc>
          <w:tcPr>
            <w:tcW w:w="437" w:type="pct"/>
            <w:tcBorders>
              <w:top w:val="single" w:sz="8" w:space="0" w:color="auto"/>
              <w:left w:val="nil"/>
              <w:bottom w:val="single" w:sz="8" w:space="0" w:color="auto"/>
              <w:right w:val="single" w:sz="8" w:space="0" w:color="auto"/>
            </w:tcBorders>
            <w:shd w:val="clear" w:color="auto" w:fill="auto"/>
            <w:noWrap/>
            <w:vAlign w:val="center"/>
          </w:tcPr>
          <w:p w14:paraId="28A4FA6B" w14:textId="77777777" w:rsidR="009D4A93" w:rsidRPr="00536CFD" w:rsidRDefault="009D4A93" w:rsidP="009D4A93">
            <w:pPr>
              <w:spacing w:after="0"/>
              <w:jc w:val="center"/>
              <w:rPr>
                <w:rFonts w:eastAsia="Times New Roman"/>
                <w:color w:val="000000"/>
              </w:rPr>
            </w:pPr>
            <w:r w:rsidRPr="00536CFD">
              <w:rPr>
                <w:rFonts w:eastAsia="Times New Roman"/>
                <w:color w:val="000000"/>
              </w:rPr>
              <w:t>0.94</w:t>
            </w:r>
          </w:p>
        </w:tc>
        <w:tc>
          <w:tcPr>
            <w:tcW w:w="521" w:type="pct"/>
            <w:tcBorders>
              <w:top w:val="single" w:sz="8" w:space="0" w:color="auto"/>
              <w:left w:val="nil"/>
              <w:bottom w:val="single" w:sz="8" w:space="0" w:color="auto"/>
              <w:right w:val="single" w:sz="8" w:space="0" w:color="auto"/>
            </w:tcBorders>
            <w:shd w:val="clear" w:color="auto" w:fill="auto"/>
            <w:noWrap/>
            <w:vAlign w:val="center"/>
          </w:tcPr>
          <w:p w14:paraId="5C27A69F" w14:textId="77777777" w:rsidR="009D4A93" w:rsidRPr="00536CFD" w:rsidRDefault="009D4A93" w:rsidP="009D4A93">
            <w:pPr>
              <w:spacing w:after="0"/>
              <w:jc w:val="center"/>
              <w:rPr>
                <w:rFonts w:eastAsia="Times New Roman"/>
                <w:color w:val="000000"/>
              </w:rPr>
            </w:pPr>
            <w:r w:rsidRPr="00536CFD">
              <w:rPr>
                <w:rFonts w:eastAsia="Times New Roman"/>
                <w:color w:val="000000"/>
              </w:rPr>
              <w:t>0.96</w:t>
            </w:r>
          </w:p>
        </w:tc>
        <w:tc>
          <w:tcPr>
            <w:tcW w:w="518" w:type="pct"/>
            <w:tcBorders>
              <w:top w:val="single" w:sz="8" w:space="0" w:color="auto"/>
              <w:left w:val="nil"/>
              <w:bottom w:val="single" w:sz="8" w:space="0" w:color="auto"/>
              <w:right w:val="single" w:sz="8" w:space="0" w:color="auto"/>
            </w:tcBorders>
            <w:shd w:val="clear" w:color="auto" w:fill="auto"/>
            <w:noWrap/>
            <w:vAlign w:val="center"/>
          </w:tcPr>
          <w:p w14:paraId="78301419" w14:textId="77777777" w:rsidR="009D4A93" w:rsidRPr="00536CFD" w:rsidRDefault="009D4A93" w:rsidP="009D4A93">
            <w:pPr>
              <w:spacing w:after="0"/>
              <w:jc w:val="center"/>
              <w:rPr>
                <w:rFonts w:eastAsia="Times New Roman"/>
                <w:color w:val="000000"/>
              </w:rPr>
            </w:pPr>
            <w:r w:rsidRPr="00536CFD">
              <w:rPr>
                <w:rFonts w:eastAsia="Times New Roman"/>
                <w:color w:val="000000"/>
              </w:rPr>
              <w:t>0.96</w:t>
            </w:r>
          </w:p>
        </w:tc>
        <w:tc>
          <w:tcPr>
            <w:tcW w:w="482" w:type="pct"/>
            <w:tcBorders>
              <w:top w:val="single" w:sz="8" w:space="0" w:color="auto"/>
              <w:left w:val="nil"/>
              <w:bottom w:val="single" w:sz="8" w:space="0" w:color="auto"/>
              <w:right w:val="single" w:sz="8" w:space="0" w:color="auto"/>
            </w:tcBorders>
            <w:shd w:val="clear" w:color="auto" w:fill="auto"/>
            <w:noWrap/>
            <w:vAlign w:val="center"/>
          </w:tcPr>
          <w:p w14:paraId="67800A53" w14:textId="77777777" w:rsidR="009D4A93" w:rsidRPr="00536CFD" w:rsidRDefault="009D4A93" w:rsidP="009D4A93">
            <w:pPr>
              <w:spacing w:after="0"/>
              <w:jc w:val="center"/>
              <w:rPr>
                <w:rFonts w:eastAsia="Times New Roman"/>
                <w:color w:val="000000"/>
              </w:rPr>
            </w:pPr>
            <w:r w:rsidRPr="00536CFD">
              <w:rPr>
                <w:rFonts w:eastAsia="Times New Roman"/>
                <w:color w:val="000000"/>
              </w:rPr>
              <w:t>0.95</w:t>
            </w:r>
          </w:p>
        </w:tc>
        <w:tc>
          <w:tcPr>
            <w:tcW w:w="437" w:type="pct"/>
            <w:tcBorders>
              <w:top w:val="single" w:sz="8" w:space="0" w:color="auto"/>
              <w:left w:val="nil"/>
              <w:bottom w:val="single" w:sz="8" w:space="0" w:color="auto"/>
              <w:right w:val="single" w:sz="8" w:space="0" w:color="auto"/>
            </w:tcBorders>
            <w:shd w:val="clear" w:color="auto" w:fill="auto"/>
            <w:noWrap/>
            <w:vAlign w:val="center"/>
          </w:tcPr>
          <w:p w14:paraId="36190D1C" w14:textId="77777777" w:rsidR="009D4A93" w:rsidRPr="00536CFD" w:rsidRDefault="009D4A93" w:rsidP="009D4A93">
            <w:pPr>
              <w:spacing w:after="0"/>
              <w:jc w:val="center"/>
              <w:rPr>
                <w:rFonts w:eastAsia="Times New Roman"/>
                <w:color w:val="000000"/>
              </w:rPr>
            </w:pPr>
            <w:r w:rsidRPr="00536CFD">
              <w:rPr>
                <w:rFonts w:eastAsia="Times New Roman"/>
                <w:color w:val="000000"/>
              </w:rPr>
              <w:t>0.98</w:t>
            </w:r>
          </w:p>
        </w:tc>
        <w:tc>
          <w:tcPr>
            <w:tcW w:w="486" w:type="pct"/>
            <w:tcBorders>
              <w:top w:val="single" w:sz="8" w:space="0" w:color="auto"/>
              <w:left w:val="nil"/>
              <w:bottom w:val="single" w:sz="8" w:space="0" w:color="auto"/>
              <w:right w:val="single" w:sz="8" w:space="0" w:color="auto"/>
            </w:tcBorders>
            <w:shd w:val="clear" w:color="auto" w:fill="auto"/>
            <w:noWrap/>
            <w:vAlign w:val="center"/>
          </w:tcPr>
          <w:p w14:paraId="7A18C7C8" w14:textId="77777777" w:rsidR="009D4A93" w:rsidRPr="00536CFD" w:rsidRDefault="009D4A93" w:rsidP="009D4A93">
            <w:pPr>
              <w:spacing w:after="0"/>
              <w:jc w:val="center"/>
              <w:rPr>
                <w:rFonts w:eastAsia="Times New Roman"/>
                <w:color w:val="000000"/>
              </w:rPr>
            </w:pPr>
            <w:r w:rsidRPr="00536CFD">
              <w:rPr>
                <w:rFonts w:eastAsia="Times New Roman"/>
                <w:color w:val="000000"/>
              </w:rPr>
              <w:t>0.98</w:t>
            </w:r>
          </w:p>
        </w:tc>
      </w:tr>
      <w:tr w:rsidR="009D4A93" w:rsidRPr="00536CFD" w14:paraId="0D462EAC"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7924C141" w14:textId="77777777" w:rsidR="009D4A93" w:rsidRPr="00536CFD" w:rsidRDefault="009D4A93" w:rsidP="009D4A93">
            <w:pPr>
              <w:spacing w:after="0"/>
              <w:jc w:val="center"/>
              <w:rPr>
                <w:rFonts w:eastAsia="Times New Roman"/>
                <w:color w:val="000000"/>
              </w:rPr>
            </w:pPr>
          </w:p>
        </w:tc>
        <w:tc>
          <w:tcPr>
            <w:tcW w:w="698" w:type="pct"/>
            <w:gridSpan w:val="2"/>
            <w:tcBorders>
              <w:top w:val="single" w:sz="8" w:space="0" w:color="auto"/>
              <w:left w:val="single" w:sz="4" w:space="0" w:color="auto"/>
              <w:bottom w:val="single" w:sz="8" w:space="0" w:color="auto"/>
              <w:right w:val="single" w:sz="8" w:space="0" w:color="000000"/>
            </w:tcBorders>
            <w:shd w:val="clear" w:color="auto" w:fill="auto"/>
            <w:vAlign w:val="center"/>
            <w:hideMark/>
          </w:tcPr>
          <w:p w14:paraId="1216E409" w14:textId="77777777" w:rsidR="009D4A93" w:rsidRPr="00536CFD" w:rsidRDefault="009D4A93" w:rsidP="009D4A93">
            <w:pPr>
              <w:spacing w:after="0"/>
              <w:jc w:val="center"/>
              <w:rPr>
                <w:rFonts w:eastAsia="Times New Roman"/>
                <w:color w:val="000000"/>
              </w:rPr>
            </w:pPr>
            <w:r w:rsidRPr="00536CFD">
              <w:rPr>
                <w:rFonts w:eastAsia="Times New Roman"/>
                <w:color w:val="000000"/>
              </w:rPr>
              <w:t>BO</w:t>
            </w:r>
          </w:p>
        </w:tc>
        <w:tc>
          <w:tcPr>
            <w:tcW w:w="401" w:type="pct"/>
            <w:tcBorders>
              <w:top w:val="single" w:sz="8" w:space="0" w:color="auto"/>
              <w:left w:val="nil"/>
              <w:bottom w:val="nil"/>
              <w:right w:val="single" w:sz="8" w:space="0" w:color="auto"/>
            </w:tcBorders>
            <w:shd w:val="clear" w:color="auto" w:fill="auto"/>
            <w:noWrap/>
            <w:vAlign w:val="center"/>
            <w:hideMark/>
          </w:tcPr>
          <w:p w14:paraId="1336E5D8" w14:textId="77777777" w:rsidR="009D4A93" w:rsidRPr="00536CFD" w:rsidRDefault="009D4A93" w:rsidP="009D4A93">
            <w:pPr>
              <w:spacing w:after="0"/>
              <w:jc w:val="center"/>
              <w:rPr>
                <w:rFonts w:eastAsia="Times New Roman"/>
                <w:color w:val="000000"/>
              </w:rPr>
            </w:pPr>
            <w:r w:rsidRPr="00536CFD">
              <w:rPr>
                <w:rFonts w:eastAsia="Times New Roman"/>
                <w:color w:val="000000"/>
              </w:rPr>
              <w:t>0.56</w:t>
            </w:r>
          </w:p>
        </w:tc>
        <w:tc>
          <w:tcPr>
            <w:tcW w:w="372" w:type="pct"/>
            <w:tcBorders>
              <w:top w:val="single" w:sz="8" w:space="0" w:color="auto"/>
              <w:left w:val="nil"/>
              <w:bottom w:val="nil"/>
              <w:right w:val="single" w:sz="8" w:space="0" w:color="auto"/>
            </w:tcBorders>
            <w:shd w:val="clear" w:color="auto" w:fill="auto"/>
            <w:noWrap/>
            <w:vAlign w:val="center"/>
            <w:hideMark/>
          </w:tcPr>
          <w:p w14:paraId="3C1C4844" w14:textId="77777777" w:rsidR="009D4A93" w:rsidRPr="00536CFD" w:rsidRDefault="009D4A93" w:rsidP="009D4A93">
            <w:pPr>
              <w:spacing w:after="0"/>
              <w:jc w:val="center"/>
              <w:rPr>
                <w:rFonts w:eastAsia="Times New Roman"/>
                <w:color w:val="000000"/>
              </w:rPr>
            </w:pPr>
            <w:r w:rsidRPr="00536CFD">
              <w:rPr>
                <w:rFonts w:eastAsia="Times New Roman"/>
                <w:color w:val="000000"/>
              </w:rPr>
              <w:t>0.57</w:t>
            </w:r>
          </w:p>
        </w:tc>
        <w:tc>
          <w:tcPr>
            <w:tcW w:w="437" w:type="pct"/>
            <w:tcBorders>
              <w:top w:val="single" w:sz="8" w:space="0" w:color="auto"/>
              <w:left w:val="nil"/>
              <w:bottom w:val="nil"/>
              <w:right w:val="single" w:sz="8" w:space="0" w:color="auto"/>
            </w:tcBorders>
            <w:shd w:val="clear" w:color="auto" w:fill="auto"/>
            <w:noWrap/>
            <w:vAlign w:val="center"/>
            <w:hideMark/>
          </w:tcPr>
          <w:p w14:paraId="240D2668" w14:textId="77777777" w:rsidR="009D4A93" w:rsidRPr="00536CFD" w:rsidRDefault="009D4A93" w:rsidP="009D4A93">
            <w:pPr>
              <w:spacing w:after="0"/>
              <w:jc w:val="center"/>
              <w:rPr>
                <w:rFonts w:eastAsia="Times New Roman"/>
                <w:color w:val="000000"/>
              </w:rPr>
            </w:pPr>
            <w:r w:rsidRPr="00536CFD">
              <w:rPr>
                <w:rFonts w:eastAsia="Times New Roman"/>
                <w:color w:val="000000"/>
              </w:rPr>
              <w:t>0.67</w:t>
            </w:r>
          </w:p>
        </w:tc>
        <w:tc>
          <w:tcPr>
            <w:tcW w:w="521" w:type="pct"/>
            <w:tcBorders>
              <w:top w:val="single" w:sz="8" w:space="0" w:color="auto"/>
              <w:left w:val="nil"/>
              <w:bottom w:val="nil"/>
              <w:right w:val="single" w:sz="8" w:space="0" w:color="auto"/>
            </w:tcBorders>
            <w:shd w:val="clear" w:color="auto" w:fill="auto"/>
            <w:noWrap/>
            <w:vAlign w:val="center"/>
            <w:hideMark/>
          </w:tcPr>
          <w:p w14:paraId="2787251F" w14:textId="77777777" w:rsidR="009D4A93" w:rsidRPr="00536CFD" w:rsidRDefault="009D4A93" w:rsidP="009D4A93">
            <w:pPr>
              <w:spacing w:after="0"/>
              <w:jc w:val="center"/>
              <w:rPr>
                <w:rFonts w:eastAsia="Times New Roman"/>
                <w:color w:val="000000"/>
              </w:rPr>
            </w:pPr>
            <w:r w:rsidRPr="00536CFD">
              <w:rPr>
                <w:rFonts w:eastAsia="Times New Roman"/>
                <w:color w:val="000000"/>
              </w:rPr>
              <w:t>0.58</w:t>
            </w:r>
          </w:p>
        </w:tc>
        <w:tc>
          <w:tcPr>
            <w:tcW w:w="518" w:type="pct"/>
            <w:tcBorders>
              <w:top w:val="single" w:sz="8" w:space="0" w:color="auto"/>
              <w:left w:val="nil"/>
              <w:bottom w:val="nil"/>
              <w:right w:val="single" w:sz="8" w:space="0" w:color="auto"/>
            </w:tcBorders>
            <w:shd w:val="clear" w:color="auto" w:fill="auto"/>
            <w:noWrap/>
            <w:vAlign w:val="center"/>
            <w:hideMark/>
          </w:tcPr>
          <w:p w14:paraId="06A7D8BA" w14:textId="77777777" w:rsidR="009D4A93" w:rsidRPr="00536CFD" w:rsidRDefault="009D4A93" w:rsidP="009D4A93">
            <w:pPr>
              <w:spacing w:after="0"/>
              <w:jc w:val="center"/>
              <w:rPr>
                <w:rFonts w:eastAsia="Times New Roman"/>
                <w:color w:val="000000"/>
              </w:rPr>
            </w:pPr>
            <w:r w:rsidRPr="00536CFD">
              <w:rPr>
                <w:rFonts w:eastAsia="Times New Roman"/>
                <w:color w:val="000000"/>
              </w:rPr>
              <w:t>0.59</w:t>
            </w:r>
          </w:p>
        </w:tc>
        <w:tc>
          <w:tcPr>
            <w:tcW w:w="482" w:type="pct"/>
            <w:tcBorders>
              <w:top w:val="single" w:sz="8" w:space="0" w:color="auto"/>
              <w:left w:val="nil"/>
              <w:bottom w:val="nil"/>
              <w:right w:val="single" w:sz="8" w:space="0" w:color="auto"/>
            </w:tcBorders>
            <w:shd w:val="clear" w:color="auto" w:fill="auto"/>
            <w:noWrap/>
            <w:vAlign w:val="center"/>
            <w:hideMark/>
          </w:tcPr>
          <w:p w14:paraId="70320F77" w14:textId="77777777" w:rsidR="009D4A93" w:rsidRPr="00536CFD" w:rsidRDefault="009D4A93" w:rsidP="009D4A93">
            <w:pPr>
              <w:spacing w:after="0"/>
              <w:jc w:val="center"/>
              <w:rPr>
                <w:rFonts w:eastAsia="Times New Roman"/>
                <w:color w:val="000000"/>
              </w:rPr>
            </w:pPr>
            <w:r w:rsidRPr="00536CFD">
              <w:rPr>
                <w:rFonts w:eastAsia="Times New Roman"/>
                <w:color w:val="000000"/>
              </w:rPr>
              <w:t>0.51</w:t>
            </w:r>
          </w:p>
        </w:tc>
        <w:tc>
          <w:tcPr>
            <w:tcW w:w="437" w:type="pct"/>
            <w:tcBorders>
              <w:top w:val="single" w:sz="8" w:space="0" w:color="auto"/>
              <w:left w:val="nil"/>
              <w:bottom w:val="nil"/>
              <w:right w:val="single" w:sz="8" w:space="0" w:color="auto"/>
            </w:tcBorders>
            <w:shd w:val="clear" w:color="auto" w:fill="auto"/>
            <w:noWrap/>
            <w:vAlign w:val="center"/>
            <w:hideMark/>
          </w:tcPr>
          <w:p w14:paraId="4B883567" w14:textId="77777777" w:rsidR="009D4A93" w:rsidRPr="00536CFD" w:rsidRDefault="009D4A93" w:rsidP="009D4A93">
            <w:pPr>
              <w:spacing w:after="0"/>
              <w:jc w:val="center"/>
              <w:rPr>
                <w:rFonts w:eastAsia="Times New Roman"/>
                <w:color w:val="000000"/>
              </w:rPr>
            </w:pPr>
            <w:r w:rsidRPr="00536CFD">
              <w:rPr>
                <w:rFonts w:eastAsia="Times New Roman"/>
                <w:color w:val="000000"/>
              </w:rPr>
              <w:t>0.48</w:t>
            </w:r>
          </w:p>
        </w:tc>
        <w:tc>
          <w:tcPr>
            <w:tcW w:w="486" w:type="pct"/>
            <w:tcBorders>
              <w:top w:val="single" w:sz="8" w:space="0" w:color="auto"/>
              <w:left w:val="nil"/>
              <w:bottom w:val="nil"/>
              <w:right w:val="single" w:sz="8" w:space="0" w:color="auto"/>
            </w:tcBorders>
            <w:shd w:val="clear" w:color="auto" w:fill="auto"/>
            <w:noWrap/>
            <w:vAlign w:val="center"/>
            <w:hideMark/>
          </w:tcPr>
          <w:p w14:paraId="43757CEB" w14:textId="77777777" w:rsidR="009D4A93" w:rsidRPr="00536CFD" w:rsidRDefault="009D4A93" w:rsidP="009D4A93">
            <w:pPr>
              <w:spacing w:after="0"/>
              <w:jc w:val="center"/>
              <w:rPr>
                <w:rFonts w:eastAsia="Times New Roman"/>
                <w:color w:val="000000"/>
              </w:rPr>
            </w:pPr>
            <w:r w:rsidRPr="00536CFD">
              <w:rPr>
                <w:rFonts w:eastAsia="Times New Roman"/>
                <w:color w:val="000000"/>
              </w:rPr>
              <w:t>0.43</w:t>
            </w:r>
          </w:p>
        </w:tc>
      </w:tr>
      <w:tr w:rsidR="009D4A93" w:rsidRPr="00536CFD" w14:paraId="0676E6C3"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58793428" w14:textId="77777777" w:rsidR="009D4A93" w:rsidRPr="00536CFD" w:rsidRDefault="009D4A93" w:rsidP="009D4A93">
            <w:pPr>
              <w:spacing w:after="0"/>
              <w:jc w:val="center"/>
              <w:rPr>
                <w:rFonts w:eastAsia="Times New Roman"/>
                <w:color w:val="000000"/>
              </w:rPr>
            </w:pPr>
          </w:p>
        </w:tc>
        <w:tc>
          <w:tcPr>
            <w:tcW w:w="698" w:type="pct"/>
            <w:gridSpan w:val="2"/>
            <w:tcBorders>
              <w:top w:val="single" w:sz="8" w:space="0" w:color="auto"/>
              <w:left w:val="single" w:sz="4" w:space="0" w:color="auto"/>
              <w:bottom w:val="single" w:sz="8" w:space="0" w:color="auto"/>
              <w:right w:val="single" w:sz="8" w:space="0" w:color="000000"/>
            </w:tcBorders>
            <w:shd w:val="clear" w:color="auto" w:fill="auto"/>
            <w:vAlign w:val="center"/>
          </w:tcPr>
          <w:p w14:paraId="3CD2BACC" w14:textId="77777777" w:rsidR="009D4A93" w:rsidRPr="00536CFD" w:rsidRDefault="009D4A93" w:rsidP="009D4A93">
            <w:pPr>
              <w:spacing w:after="0"/>
              <w:jc w:val="center"/>
              <w:rPr>
                <w:rFonts w:eastAsia="Times New Roman"/>
                <w:color w:val="000000"/>
              </w:rPr>
            </w:pPr>
            <w:r w:rsidRPr="00536CFD">
              <w:rPr>
                <w:rFonts w:eastAsia="Times New Roman"/>
                <w:color w:val="000000"/>
              </w:rPr>
              <w:t xml:space="preserve">               λ</w:t>
            </w:r>
          </w:p>
        </w:tc>
        <w:tc>
          <w:tcPr>
            <w:tcW w:w="3654" w:type="pct"/>
            <w:gridSpan w:val="8"/>
            <w:tcBorders>
              <w:top w:val="single" w:sz="8" w:space="0" w:color="auto"/>
              <w:left w:val="nil"/>
              <w:bottom w:val="nil"/>
              <w:right w:val="single" w:sz="8" w:space="0" w:color="auto"/>
            </w:tcBorders>
            <w:shd w:val="clear" w:color="auto" w:fill="auto"/>
            <w:noWrap/>
            <w:vAlign w:val="center"/>
          </w:tcPr>
          <w:p w14:paraId="7B54FCE5" w14:textId="77777777" w:rsidR="009D4A93" w:rsidRPr="00536CFD" w:rsidRDefault="009D4A93" w:rsidP="009D4A93">
            <w:pPr>
              <w:spacing w:after="0"/>
              <w:jc w:val="center"/>
              <w:rPr>
                <w:rFonts w:eastAsia="Times New Roman"/>
                <w:color w:val="000000"/>
              </w:rPr>
            </w:pPr>
            <w:r w:rsidRPr="00536CFD">
              <w:rPr>
                <w:rFonts w:eastAsia="Times New Roman"/>
                <w:color w:val="000000"/>
              </w:rPr>
              <w:t>0.81</w:t>
            </w:r>
          </w:p>
        </w:tc>
      </w:tr>
      <w:tr w:rsidR="009D4A93" w:rsidRPr="00536CFD" w14:paraId="78091E49" w14:textId="77777777" w:rsidTr="009D4A93">
        <w:trPr>
          <w:trHeight w:val="248"/>
        </w:trPr>
        <w:tc>
          <w:tcPr>
            <w:tcW w:w="648" w:type="pct"/>
            <w:vMerge/>
            <w:tcBorders>
              <w:top w:val="single" w:sz="4" w:space="0" w:color="auto"/>
              <w:left w:val="single" w:sz="4" w:space="0" w:color="auto"/>
              <w:bottom w:val="single" w:sz="4" w:space="0" w:color="auto"/>
              <w:right w:val="single" w:sz="4" w:space="0" w:color="auto"/>
            </w:tcBorders>
          </w:tcPr>
          <w:p w14:paraId="1A7F8D33" w14:textId="77777777" w:rsidR="009D4A93" w:rsidRPr="00536CFD" w:rsidRDefault="009D4A93" w:rsidP="009D4A93">
            <w:pPr>
              <w:spacing w:after="0"/>
              <w:jc w:val="both"/>
              <w:rPr>
                <w:b/>
              </w:rPr>
            </w:pPr>
          </w:p>
        </w:tc>
        <w:tc>
          <w:tcPr>
            <w:tcW w:w="4352" w:type="pct"/>
            <w:gridSpan w:val="10"/>
            <w:tcBorders>
              <w:top w:val="single" w:sz="8" w:space="0" w:color="auto"/>
              <w:left w:val="single" w:sz="4" w:space="0" w:color="auto"/>
              <w:bottom w:val="single" w:sz="8" w:space="0" w:color="auto"/>
              <w:right w:val="single" w:sz="8" w:space="0" w:color="auto"/>
            </w:tcBorders>
            <w:shd w:val="clear" w:color="auto" w:fill="auto"/>
            <w:vAlign w:val="center"/>
          </w:tcPr>
          <w:p w14:paraId="2A58A682" w14:textId="77777777" w:rsidR="009D4A93" w:rsidRPr="00536CFD" w:rsidRDefault="009D4A93" w:rsidP="009D4A93">
            <w:pPr>
              <w:spacing w:after="0"/>
              <w:jc w:val="both"/>
              <w:rPr>
                <w:b/>
              </w:rPr>
            </w:pPr>
            <w:r w:rsidRPr="00536CFD">
              <w:rPr>
                <w:b/>
              </w:rPr>
              <w:t>Additional Comments</w:t>
            </w:r>
          </w:p>
          <w:p w14:paraId="25F89FEC" w14:textId="77777777" w:rsidR="009D4A93" w:rsidRPr="00536CFD" w:rsidRDefault="009D4A93" w:rsidP="009D4A93">
            <w:pPr>
              <w:spacing w:after="0"/>
              <w:jc w:val="both"/>
            </w:pPr>
            <w:r w:rsidRPr="00536CFD">
              <w:rPr>
                <w:b/>
              </w:rPr>
              <w:t>Wi-Fi 802.11ac</w:t>
            </w:r>
            <w:r w:rsidRPr="00536CFD">
              <w:t xml:space="preserve">: DL and UL transmissions use independent CAT4 LBT. No COT sharing between AP and Client, since it is not allowed by 802.11ac. Only ACK transmitted with no-LBT within 16us of the corresponding data transmission. Short guard interval, beam-forming and closed loop link adaptation based on channel reciprocity, MCS and rank update based on measured and target error, spatial probing and Null Data Packets. </w:t>
            </w:r>
          </w:p>
          <w:p w14:paraId="4E1BDA47" w14:textId="77777777" w:rsidR="009D4A93" w:rsidRPr="00536CFD" w:rsidRDefault="009D4A93" w:rsidP="009D4A93">
            <w:pPr>
              <w:tabs>
                <w:tab w:val="left" w:pos="720"/>
              </w:tabs>
              <w:spacing w:after="0"/>
              <w:jc w:val="both"/>
            </w:pPr>
            <w:r w:rsidRPr="00536CFD">
              <w:rPr>
                <w:b/>
              </w:rPr>
              <w:t>Licensed Assisted NR-U</w:t>
            </w:r>
            <w:r w:rsidRPr="00536CFD">
              <w:t xml:space="preserve">: UL always transmitted within a shared COT won by the gNB. The gNB COT won with CAT4 LBT and UL transmissions occur within 16us of the preceding DL transmission. DRS transmitted with CAT4 LBT with the access priority of Voice. </w:t>
            </w:r>
          </w:p>
          <w:p w14:paraId="1D91C2D1" w14:textId="7ED43A2F" w:rsidR="009D4A93" w:rsidRPr="00536CFD" w:rsidRDefault="00D54005" w:rsidP="00D54005">
            <w:pPr>
              <w:spacing w:after="0"/>
            </w:pPr>
            <w:r w:rsidRPr="00536CFD">
              <w:rPr>
                <w:b/>
              </w:rPr>
              <w:t>Configuration 1:</w:t>
            </w:r>
            <w:r w:rsidRPr="00536CFD">
              <w:t xml:space="preserve"> </w:t>
            </w:r>
            <w:r w:rsidR="009D4A93" w:rsidRPr="00536CFD">
              <w:t>NR-U LBT is ED-only with ED = -72dBm and no LBT in the 16us gap before UL transmission within the gNB COT.</w:t>
            </w:r>
          </w:p>
          <w:p w14:paraId="7BEB8A6A" w14:textId="659F8714" w:rsidR="009D4A93" w:rsidRPr="00536CFD" w:rsidRDefault="00D54005" w:rsidP="00D54005">
            <w:pPr>
              <w:spacing w:after="0"/>
            </w:pPr>
            <w:r w:rsidRPr="00536CFD">
              <w:rPr>
                <w:b/>
              </w:rPr>
              <w:t>Configuration 2:</w:t>
            </w:r>
            <w:r w:rsidR="009D4A93" w:rsidRPr="00536CFD">
              <w:t xml:space="preserve"> NR-U LBT is ED-only with ED = -72dBm and fixed duration LBT with ED = -72dBm in the 16us gap before UL transmission within the gNB COT.</w:t>
            </w:r>
          </w:p>
          <w:p w14:paraId="1629F115" w14:textId="5F634149" w:rsidR="009D4A93" w:rsidRPr="00536CFD" w:rsidRDefault="00D54005" w:rsidP="00D54005">
            <w:pPr>
              <w:spacing w:after="0"/>
            </w:pPr>
            <w:r w:rsidRPr="00536CFD">
              <w:rPr>
                <w:b/>
              </w:rPr>
              <w:t>Configuration 3:</w:t>
            </w:r>
            <w:r w:rsidR="009D4A93" w:rsidRPr="00536CFD">
              <w:t>NR-U LBT consists of ED = -62dBm and PD = -82dBm and fixed duration LBT with ED = -62dBm in the 16us gap before UL transmission within the gNB COT.</w:t>
            </w:r>
          </w:p>
          <w:p w14:paraId="62126DBF" w14:textId="77777777" w:rsidR="009D4A93" w:rsidRPr="00536CFD" w:rsidRDefault="009D4A93" w:rsidP="009D4A93">
            <w:pPr>
              <w:spacing w:after="0"/>
              <w:rPr>
                <w:rFonts w:eastAsia="Times New Roman"/>
                <w:color w:val="000000"/>
              </w:rPr>
            </w:pPr>
            <w:r w:rsidRPr="00536CFD">
              <w:rPr>
                <w:rFonts w:eastAsia="Times New Roman"/>
                <w:color w:val="000000"/>
              </w:rPr>
              <w:t>NR-U assumptions: SCS 30KHz, MCOT 6ms for UL and 8ms for DL for best effort, and 2ms for DL/UL for VoIP.</w:t>
            </w:r>
          </w:p>
        </w:tc>
      </w:tr>
    </w:tbl>
    <w:p w14:paraId="6DCE7985" w14:textId="77777777" w:rsidR="009D4A93" w:rsidRPr="00C64ECB" w:rsidRDefault="009D4A93" w:rsidP="009D4A93"/>
    <w:p w14:paraId="67977A09" w14:textId="77777777" w:rsidR="00EC7E4A" w:rsidRPr="00C64ECB" w:rsidRDefault="00EC7E4A" w:rsidP="00831ADB">
      <w:pPr>
        <w:pStyle w:val="Heading2"/>
        <w:pageBreakBefore/>
        <w:ind w:left="1138" w:hanging="1138"/>
      </w:pPr>
      <w:bookmarkStart w:id="110" w:name="_Toc531343051"/>
      <w:r w:rsidRPr="00C64ECB">
        <w:t>B.2</w:t>
      </w:r>
      <w:r w:rsidRPr="00C64ECB">
        <w:tab/>
        <w:t>Evaluation results for sub7GHz outdoor scenario 1</w:t>
      </w:r>
      <w:bookmarkEnd w:id="110"/>
    </w:p>
    <w:p w14:paraId="39319BBD" w14:textId="77777777" w:rsidR="00EC7E4A" w:rsidRPr="00C64ECB" w:rsidRDefault="00EC7E4A" w:rsidP="00EC7E4A">
      <w:pPr>
        <w:pStyle w:val="Heading3"/>
      </w:pPr>
      <w:bookmarkStart w:id="111" w:name="_Toc531343052"/>
      <w:r w:rsidRPr="00C64ECB">
        <w:t>B.2.1</w:t>
      </w:r>
      <w:r w:rsidRPr="00C64ECB">
        <w:tab/>
        <w:t>Wi-Fi and NR-U coexistence evaluation with 20MHz and FTP traffic</w:t>
      </w:r>
      <w:bookmarkEnd w:id="111"/>
    </w:p>
    <w:p w14:paraId="331941FA" w14:textId="77777777" w:rsidR="004346F3" w:rsidRPr="00C64ECB" w:rsidRDefault="004346F3" w:rsidP="004346F3">
      <w:pPr>
        <w:pStyle w:val="TH"/>
      </w:pPr>
      <w:r w:rsidRPr="00C64ECB">
        <w:t>Table B.2.1-1: Wi-Fi and NR-U coexistence evaluation with 20MHz and FTP traffic</w:t>
      </w:r>
    </w:p>
    <w:tbl>
      <w:tblPr>
        <w:tblStyle w:val="TableGrid"/>
        <w:tblW w:w="9627" w:type="dxa"/>
        <w:tblInd w:w="-5" w:type="dxa"/>
        <w:tblLayout w:type="fixed"/>
        <w:tblCellMar>
          <w:left w:w="0" w:type="dxa"/>
          <w:right w:w="0" w:type="dxa"/>
        </w:tblCellMar>
        <w:tblLook w:val="04A0" w:firstRow="1" w:lastRow="0" w:firstColumn="1" w:lastColumn="0" w:noHBand="0" w:noVBand="1"/>
      </w:tblPr>
      <w:tblGrid>
        <w:gridCol w:w="269"/>
        <w:gridCol w:w="541"/>
        <w:gridCol w:w="538"/>
        <w:gridCol w:w="13"/>
        <w:gridCol w:w="580"/>
        <w:gridCol w:w="34"/>
        <w:gridCol w:w="609"/>
        <w:gridCol w:w="20"/>
        <w:gridCol w:w="629"/>
        <w:gridCol w:w="629"/>
        <w:gridCol w:w="14"/>
        <w:gridCol w:w="705"/>
        <w:gridCol w:w="9"/>
        <w:gridCol w:w="714"/>
        <w:gridCol w:w="719"/>
        <w:gridCol w:w="719"/>
        <w:gridCol w:w="719"/>
        <w:gridCol w:w="17"/>
        <w:gridCol w:w="702"/>
        <w:gridCol w:w="35"/>
        <w:gridCol w:w="684"/>
        <w:gridCol w:w="52"/>
        <w:gridCol w:w="676"/>
      </w:tblGrid>
      <w:tr w:rsidR="004346F3" w:rsidRPr="00C64ECB" w14:paraId="54F1E795" w14:textId="77777777" w:rsidTr="00802ABC">
        <w:trPr>
          <w:cantSplit/>
          <w:trHeight w:val="20"/>
          <w:tblHeader/>
        </w:trPr>
        <w:tc>
          <w:tcPr>
            <w:tcW w:w="26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14:paraId="6B04D12F" w14:textId="77777777" w:rsidR="004346F3" w:rsidRPr="00536CFD" w:rsidRDefault="004346F3" w:rsidP="00802ABC">
            <w:pPr>
              <w:spacing w:after="0"/>
              <w:ind w:left="113" w:right="113"/>
              <w:contextualSpacing/>
              <w:jc w:val="center"/>
            </w:pPr>
            <w:r w:rsidRPr="00536CFD">
              <w:rPr>
                <w:lang w:val="en-US" w:bidi="ar"/>
              </w:rPr>
              <w:t>Tdoc/Source</w:t>
            </w:r>
          </w:p>
        </w:tc>
        <w:tc>
          <w:tcPr>
            <w:tcW w:w="1092" w:type="dxa"/>
            <w:gridSpan w:val="3"/>
            <w:vMerge w:val="restart"/>
            <w:tcBorders>
              <w:top w:val="single" w:sz="4" w:space="0" w:color="auto"/>
              <w:left w:val="nil"/>
              <w:bottom w:val="single" w:sz="4" w:space="0" w:color="auto"/>
              <w:right w:val="single" w:sz="4" w:space="0" w:color="auto"/>
            </w:tcBorders>
            <w:shd w:val="clear" w:color="auto" w:fill="auto"/>
          </w:tcPr>
          <w:p w14:paraId="32D9EF36" w14:textId="77777777" w:rsidR="004346F3" w:rsidRPr="00536CFD" w:rsidRDefault="004346F3" w:rsidP="00802ABC">
            <w:pPr>
              <w:spacing w:after="0"/>
              <w:contextualSpacing/>
            </w:pPr>
            <w:r w:rsidRPr="00536CFD">
              <w:rPr>
                <w:lang w:val="en-US" w:bidi="ar"/>
              </w:rPr>
              <w:t>Reported parameters</w:t>
            </w:r>
          </w:p>
        </w:tc>
        <w:tc>
          <w:tcPr>
            <w:tcW w:w="2515" w:type="dxa"/>
            <w:gridSpan w:val="7"/>
            <w:tcBorders>
              <w:top w:val="single" w:sz="4" w:space="0" w:color="auto"/>
              <w:left w:val="nil"/>
              <w:bottom w:val="single" w:sz="4" w:space="0" w:color="auto"/>
              <w:right w:val="single" w:sz="4" w:space="0" w:color="auto"/>
            </w:tcBorders>
            <w:shd w:val="clear" w:color="auto" w:fill="auto"/>
          </w:tcPr>
          <w:p w14:paraId="6DBABD43" w14:textId="77777777" w:rsidR="004346F3" w:rsidRPr="00536CFD" w:rsidRDefault="004346F3" w:rsidP="00802ABC">
            <w:pPr>
              <w:spacing w:after="0"/>
              <w:contextualSpacing/>
              <w:jc w:val="center"/>
              <w:rPr>
                <w:b/>
                <w:bCs/>
                <w:u w:val="single"/>
              </w:rPr>
            </w:pPr>
            <w:r w:rsidRPr="00536CFD">
              <w:rPr>
                <w:b/>
                <w:bCs/>
                <w:u w:val="single"/>
                <w:lang w:val="en-US" w:bidi="ar"/>
              </w:rPr>
              <w:t>Low load</w:t>
            </w:r>
          </w:p>
          <w:p w14:paraId="2FFB9A98" w14:textId="77777777" w:rsidR="004346F3" w:rsidRPr="00536CFD" w:rsidRDefault="004346F3" w:rsidP="00802ABC">
            <w:pPr>
              <w:spacing w:after="0"/>
              <w:contextualSpacing/>
              <w:jc w:val="center"/>
              <w:rPr>
                <w:u w:val="single"/>
              </w:rPr>
            </w:pPr>
            <w:r w:rsidRPr="00536CFD">
              <w:rPr>
                <w:lang w:val="en-US" w:bidi="ar"/>
              </w:rPr>
              <w:t xml:space="preserve">BO range for Wi-Fi in </w:t>
            </w:r>
            <w:r w:rsidRPr="00536CFD">
              <w:rPr>
                <w:lang w:val="en-US" w:bidi="ar"/>
              </w:rPr>
              <w:br/>
              <w:t xml:space="preserve">WiFi+WiFi: </w:t>
            </w:r>
            <w:r w:rsidRPr="00536CFD">
              <w:rPr>
                <w:rFonts w:eastAsia="MS Mincho"/>
                <w:lang w:val="en-US" w:bidi="ar"/>
              </w:rPr>
              <w:t>10%~25%</w:t>
            </w:r>
          </w:p>
        </w:tc>
        <w:tc>
          <w:tcPr>
            <w:tcW w:w="2866" w:type="dxa"/>
            <w:gridSpan w:val="5"/>
            <w:tcBorders>
              <w:top w:val="single" w:sz="4" w:space="0" w:color="auto"/>
              <w:left w:val="nil"/>
              <w:bottom w:val="single" w:sz="4" w:space="0" w:color="auto"/>
              <w:right w:val="single" w:sz="4" w:space="0" w:color="auto"/>
            </w:tcBorders>
            <w:shd w:val="clear" w:color="auto" w:fill="auto"/>
          </w:tcPr>
          <w:p w14:paraId="62667862" w14:textId="77777777" w:rsidR="004346F3" w:rsidRPr="00536CFD" w:rsidRDefault="004346F3" w:rsidP="00802ABC">
            <w:pPr>
              <w:spacing w:after="0"/>
              <w:contextualSpacing/>
              <w:jc w:val="center"/>
              <w:rPr>
                <w:b/>
                <w:bCs/>
                <w:u w:val="single"/>
              </w:rPr>
            </w:pPr>
            <w:r w:rsidRPr="00536CFD">
              <w:rPr>
                <w:b/>
                <w:bCs/>
                <w:u w:val="single"/>
                <w:lang w:val="en-US" w:bidi="ar"/>
              </w:rPr>
              <w:t>Medium load</w:t>
            </w:r>
          </w:p>
          <w:p w14:paraId="1025262A" w14:textId="77777777" w:rsidR="004346F3" w:rsidRPr="00536CFD" w:rsidRDefault="004346F3" w:rsidP="00802ABC">
            <w:pPr>
              <w:spacing w:after="0"/>
              <w:contextualSpacing/>
              <w:jc w:val="center"/>
              <w:rPr>
                <w:u w:val="single"/>
              </w:rPr>
            </w:pPr>
            <w:r w:rsidRPr="00536CFD">
              <w:rPr>
                <w:lang w:val="en-US" w:bidi="ar"/>
              </w:rPr>
              <w:t xml:space="preserve">BO range for Wi-Fi in </w:t>
            </w:r>
            <w:r w:rsidRPr="00536CFD">
              <w:rPr>
                <w:lang w:val="en-US" w:bidi="ar"/>
              </w:rPr>
              <w:br/>
              <w:t xml:space="preserve">WiFi+WiFi: </w:t>
            </w:r>
            <w:r w:rsidRPr="00536CFD">
              <w:rPr>
                <w:rFonts w:eastAsia="MS Mincho"/>
                <w:lang w:val="en-US" w:bidi="ar"/>
              </w:rPr>
              <w:t>35%~50%</w:t>
            </w:r>
          </w:p>
        </w:tc>
        <w:tc>
          <w:tcPr>
            <w:tcW w:w="2885" w:type="dxa"/>
            <w:gridSpan w:val="7"/>
            <w:tcBorders>
              <w:top w:val="single" w:sz="4" w:space="0" w:color="auto"/>
              <w:left w:val="nil"/>
              <w:bottom w:val="single" w:sz="4" w:space="0" w:color="auto"/>
              <w:right w:val="single" w:sz="4" w:space="0" w:color="auto"/>
            </w:tcBorders>
            <w:shd w:val="clear" w:color="auto" w:fill="auto"/>
          </w:tcPr>
          <w:p w14:paraId="7C35D592" w14:textId="77777777" w:rsidR="004346F3" w:rsidRPr="00536CFD" w:rsidRDefault="004346F3" w:rsidP="00802ABC">
            <w:pPr>
              <w:spacing w:after="0"/>
              <w:contextualSpacing/>
              <w:jc w:val="center"/>
              <w:rPr>
                <w:b/>
                <w:bCs/>
                <w:u w:val="single"/>
              </w:rPr>
            </w:pPr>
            <w:r w:rsidRPr="00536CFD">
              <w:rPr>
                <w:b/>
                <w:bCs/>
                <w:u w:val="single"/>
                <w:lang w:val="en-US" w:bidi="ar"/>
              </w:rPr>
              <w:t>High load</w:t>
            </w:r>
          </w:p>
          <w:p w14:paraId="384F4AB6" w14:textId="77777777" w:rsidR="004346F3" w:rsidRPr="00536CFD" w:rsidRDefault="004346F3" w:rsidP="00802ABC">
            <w:pPr>
              <w:spacing w:after="0"/>
              <w:contextualSpacing/>
              <w:jc w:val="center"/>
              <w:rPr>
                <w:u w:val="single"/>
              </w:rPr>
            </w:pPr>
            <w:r w:rsidRPr="00536CFD">
              <w:rPr>
                <w:lang w:val="en-US" w:bidi="ar"/>
              </w:rPr>
              <w:t xml:space="preserve">BO range for Wi-Fi in </w:t>
            </w:r>
            <w:r w:rsidRPr="00536CFD">
              <w:rPr>
                <w:lang w:val="en-US" w:bidi="ar"/>
              </w:rPr>
              <w:br/>
              <w:t>WiFi+WiFi: above 55%</w:t>
            </w:r>
          </w:p>
        </w:tc>
      </w:tr>
      <w:tr w:rsidR="004346F3" w:rsidRPr="00C64ECB" w14:paraId="2F9FB219" w14:textId="77777777" w:rsidTr="00802ABC">
        <w:trPr>
          <w:cantSplit/>
          <w:trHeight w:val="20"/>
          <w:tblHeader/>
        </w:trPr>
        <w:tc>
          <w:tcPr>
            <w:tcW w:w="269" w:type="dxa"/>
            <w:vMerge/>
            <w:tcBorders>
              <w:top w:val="single" w:sz="4" w:space="0" w:color="auto"/>
              <w:left w:val="single" w:sz="4" w:space="0" w:color="auto"/>
              <w:bottom w:val="single" w:sz="4" w:space="0" w:color="auto"/>
              <w:right w:val="single" w:sz="4" w:space="0" w:color="auto"/>
            </w:tcBorders>
            <w:shd w:val="clear" w:color="auto" w:fill="auto"/>
            <w:textDirection w:val="btLr"/>
          </w:tcPr>
          <w:p w14:paraId="5F4E1332" w14:textId="77777777" w:rsidR="004346F3" w:rsidRPr="00536CFD" w:rsidRDefault="004346F3" w:rsidP="00802ABC">
            <w:pPr>
              <w:spacing w:after="0"/>
              <w:ind w:left="113" w:right="113"/>
            </w:pPr>
          </w:p>
        </w:tc>
        <w:tc>
          <w:tcPr>
            <w:tcW w:w="1092" w:type="dxa"/>
            <w:gridSpan w:val="3"/>
            <w:vMerge/>
            <w:tcBorders>
              <w:top w:val="single" w:sz="4" w:space="0" w:color="auto"/>
              <w:left w:val="nil"/>
              <w:bottom w:val="single" w:sz="4" w:space="0" w:color="auto"/>
              <w:right w:val="single" w:sz="4" w:space="0" w:color="auto"/>
            </w:tcBorders>
            <w:shd w:val="clear" w:color="auto" w:fill="auto"/>
          </w:tcPr>
          <w:p w14:paraId="51435DB9" w14:textId="77777777" w:rsidR="004346F3" w:rsidRPr="00536CFD" w:rsidRDefault="004346F3" w:rsidP="00802ABC">
            <w:pPr>
              <w:spacing w:after="0"/>
            </w:pPr>
          </w:p>
        </w:tc>
        <w:tc>
          <w:tcPr>
            <w:tcW w:w="580" w:type="dxa"/>
            <w:tcBorders>
              <w:top w:val="single" w:sz="4" w:space="0" w:color="auto"/>
              <w:left w:val="nil"/>
              <w:bottom w:val="single" w:sz="4" w:space="0" w:color="auto"/>
              <w:right w:val="single" w:sz="4" w:space="0" w:color="auto"/>
            </w:tcBorders>
            <w:shd w:val="clear" w:color="auto" w:fill="auto"/>
          </w:tcPr>
          <w:p w14:paraId="206F660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WiFi</w:t>
            </w:r>
          </w:p>
        </w:tc>
        <w:tc>
          <w:tcPr>
            <w:tcW w:w="643" w:type="dxa"/>
            <w:gridSpan w:val="2"/>
            <w:tcBorders>
              <w:top w:val="single" w:sz="4" w:space="0" w:color="auto"/>
              <w:left w:val="nil"/>
              <w:bottom w:val="single" w:sz="4" w:space="0" w:color="auto"/>
              <w:right w:val="single" w:sz="4" w:space="0" w:color="auto"/>
            </w:tcBorders>
            <w:shd w:val="clear" w:color="auto" w:fill="auto"/>
          </w:tcPr>
          <w:p w14:paraId="6CA958D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649" w:type="dxa"/>
            <w:gridSpan w:val="2"/>
            <w:tcBorders>
              <w:top w:val="single" w:sz="4" w:space="0" w:color="auto"/>
              <w:left w:val="nil"/>
              <w:bottom w:val="single" w:sz="4" w:space="0" w:color="auto"/>
              <w:right w:val="single" w:sz="4" w:space="0" w:color="auto"/>
            </w:tcBorders>
            <w:shd w:val="clear" w:color="auto" w:fill="auto"/>
          </w:tcPr>
          <w:p w14:paraId="37C1B1C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643" w:type="dxa"/>
            <w:gridSpan w:val="2"/>
            <w:tcBorders>
              <w:top w:val="single" w:sz="4" w:space="0" w:color="auto"/>
              <w:left w:val="nil"/>
              <w:bottom w:val="single" w:sz="4" w:space="0" w:color="auto"/>
              <w:right w:val="single" w:sz="4" w:space="0" w:color="auto"/>
            </w:tcBorders>
            <w:shd w:val="clear" w:color="auto" w:fill="auto"/>
          </w:tcPr>
          <w:p w14:paraId="1CCD12F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c>
          <w:tcPr>
            <w:tcW w:w="714" w:type="dxa"/>
            <w:gridSpan w:val="2"/>
            <w:tcBorders>
              <w:top w:val="single" w:sz="4" w:space="0" w:color="auto"/>
              <w:left w:val="nil"/>
              <w:bottom w:val="single" w:sz="4" w:space="0" w:color="auto"/>
              <w:right w:val="single" w:sz="4" w:space="0" w:color="auto"/>
            </w:tcBorders>
            <w:shd w:val="clear" w:color="auto" w:fill="auto"/>
          </w:tcPr>
          <w:p w14:paraId="025CEC5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 WiFi</w:t>
            </w:r>
          </w:p>
        </w:tc>
        <w:tc>
          <w:tcPr>
            <w:tcW w:w="714" w:type="dxa"/>
            <w:tcBorders>
              <w:top w:val="single" w:sz="4" w:space="0" w:color="auto"/>
              <w:left w:val="nil"/>
              <w:bottom w:val="single" w:sz="4" w:space="0" w:color="auto"/>
              <w:right w:val="single" w:sz="4" w:space="0" w:color="auto"/>
            </w:tcBorders>
            <w:shd w:val="clear" w:color="auto" w:fill="auto"/>
          </w:tcPr>
          <w:p w14:paraId="41E2927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719" w:type="dxa"/>
            <w:tcBorders>
              <w:top w:val="single" w:sz="4" w:space="0" w:color="auto"/>
              <w:left w:val="nil"/>
              <w:bottom w:val="single" w:sz="4" w:space="0" w:color="auto"/>
              <w:right w:val="single" w:sz="4" w:space="0" w:color="auto"/>
            </w:tcBorders>
            <w:shd w:val="clear" w:color="auto" w:fill="auto"/>
          </w:tcPr>
          <w:p w14:paraId="2C193A5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719" w:type="dxa"/>
            <w:tcBorders>
              <w:top w:val="single" w:sz="4" w:space="0" w:color="auto"/>
              <w:left w:val="nil"/>
              <w:bottom w:val="single" w:sz="4" w:space="0" w:color="auto"/>
              <w:right w:val="single" w:sz="4" w:space="0" w:color="auto"/>
            </w:tcBorders>
            <w:shd w:val="clear" w:color="auto" w:fill="auto"/>
          </w:tcPr>
          <w:p w14:paraId="5EE10AE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c>
          <w:tcPr>
            <w:tcW w:w="736" w:type="dxa"/>
            <w:gridSpan w:val="2"/>
            <w:tcBorders>
              <w:top w:val="single" w:sz="4" w:space="0" w:color="auto"/>
              <w:left w:val="nil"/>
              <w:bottom w:val="single" w:sz="4" w:space="0" w:color="auto"/>
              <w:right w:val="single" w:sz="4" w:space="0" w:color="auto"/>
            </w:tcBorders>
            <w:shd w:val="clear" w:color="auto" w:fill="auto"/>
          </w:tcPr>
          <w:p w14:paraId="7A6C293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WiFi</w:t>
            </w:r>
          </w:p>
        </w:tc>
        <w:tc>
          <w:tcPr>
            <w:tcW w:w="737" w:type="dxa"/>
            <w:gridSpan w:val="2"/>
            <w:tcBorders>
              <w:top w:val="single" w:sz="4" w:space="0" w:color="auto"/>
              <w:left w:val="nil"/>
              <w:bottom w:val="single" w:sz="4" w:space="0" w:color="auto"/>
              <w:right w:val="single" w:sz="4" w:space="0" w:color="auto"/>
            </w:tcBorders>
            <w:shd w:val="clear" w:color="auto" w:fill="auto"/>
          </w:tcPr>
          <w:p w14:paraId="22751E8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736" w:type="dxa"/>
            <w:gridSpan w:val="2"/>
            <w:tcBorders>
              <w:top w:val="single" w:sz="4" w:space="0" w:color="auto"/>
              <w:left w:val="nil"/>
              <w:bottom w:val="single" w:sz="4" w:space="0" w:color="auto"/>
              <w:right w:val="single" w:sz="4" w:space="0" w:color="auto"/>
            </w:tcBorders>
            <w:shd w:val="clear" w:color="auto" w:fill="auto"/>
          </w:tcPr>
          <w:p w14:paraId="022035A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676" w:type="dxa"/>
            <w:tcBorders>
              <w:top w:val="single" w:sz="4" w:space="0" w:color="auto"/>
              <w:left w:val="nil"/>
              <w:bottom w:val="single" w:sz="4" w:space="0" w:color="auto"/>
              <w:right w:val="single" w:sz="4" w:space="0" w:color="auto"/>
            </w:tcBorders>
            <w:shd w:val="clear" w:color="auto" w:fill="auto"/>
          </w:tcPr>
          <w:p w14:paraId="28B7D62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r>
      <w:tr w:rsidR="004346F3" w:rsidRPr="00C64ECB" w14:paraId="1A57E5E4" w14:textId="77777777" w:rsidTr="00802ABC">
        <w:trPr>
          <w:cantSplit/>
          <w:trHeight w:val="20"/>
        </w:trPr>
        <w:tc>
          <w:tcPr>
            <w:tcW w:w="269" w:type="dxa"/>
            <w:vMerge w:val="restart"/>
            <w:tcBorders>
              <w:top w:val="nil"/>
              <w:left w:val="single" w:sz="4" w:space="0" w:color="auto"/>
              <w:bottom w:val="single" w:sz="4" w:space="0" w:color="auto"/>
              <w:right w:val="single" w:sz="4" w:space="0" w:color="auto"/>
            </w:tcBorders>
            <w:shd w:val="clear" w:color="auto" w:fill="auto"/>
            <w:textDirection w:val="btLr"/>
          </w:tcPr>
          <w:p w14:paraId="1C803357" w14:textId="77777777" w:rsidR="004346F3" w:rsidRPr="00536CFD" w:rsidRDefault="004346F3" w:rsidP="00802ABC">
            <w:pPr>
              <w:pStyle w:val="NormalWeb"/>
              <w:spacing w:before="0" w:beforeAutospacing="0" w:after="0" w:afterAutospacing="0"/>
              <w:ind w:left="113" w:right="113"/>
              <w:jc w:val="center"/>
              <w:rPr>
                <w:rFonts w:eastAsia="SimSun"/>
                <w:sz w:val="20"/>
                <w:szCs w:val="20"/>
              </w:rPr>
            </w:pPr>
            <w:r w:rsidRPr="00536CFD">
              <w:rPr>
                <w:rFonts w:eastAsia="SimSun"/>
                <w:sz w:val="20"/>
                <w:szCs w:val="20"/>
                <w:lang w:bidi="ar"/>
              </w:rPr>
              <w:t>R1-1814085/ Source 4</w:t>
            </w:r>
          </w:p>
        </w:tc>
        <w:tc>
          <w:tcPr>
            <w:tcW w:w="541" w:type="dxa"/>
            <w:vMerge w:val="restart"/>
            <w:tcBorders>
              <w:top w:val="nil"/>
              <w:left w:val="nil"/>
              <w:bottom w:val="single" w:sz="4" w:space="0" w:color="auto"/>
              <w:right w:val="single" w:sz="4" w:space="0" w:color="auto"/>
            </w:tcBorders>
            <w:shd w:val="clear" w:color="auto" w:fill="auto"/>
          </w:tcPr>
          <w:p w14:paraId="7D3E444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58CF4AE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center"/>
          </w:tcPr>
          <w:p w14:paraId="2379C01C" w14:textId="77777777" w:rsidR="004346F3" w:rsidRPr="00536CFD" w:rsidRDefault="004346F3" w:rsidP="00802ABC">
            <w:pPr>
              <w:spacing w:after="0"/>
              <w:jc w:val="center"/>
              <w:rPr>
                <w:lang w:val="zh-CN"/>
              </w:rPr>
            </w:pPr>
            <w:r w:rsidRPr="00536CFD">
              <w:rPr>
                <w:lang w:eastAsia="x-none"/>
              </w:rPr>
              <w:t>12.65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0CBC87E" w14:textId="77777777" w:rsidR="004346F3" w:rsidRPr="00536CFD" w:rsidRDefault="004346F3" w:rsidP="00802ABC">
            <w:pPr>
              <w:spacing w:after="0"/>
              <w:jc w:val="center"/>
              <w:rPr>
                <w:lang w:val="zh-CN"/>
              </w:rPr>
            </w:pPr>
            <w:r w:rsidRPr="00536CFD">
              <w:rPr>
                <w:lang w:eastAsia="x-none"/>
              </w:rPr>
              <w:t>16.99</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74D746D6" w14:textId="77777777" w:rsidR="004346F3" w:rsidRPr="00536CFD" w:rsidRDefault="004346F3" w:rsidP="00802ABC">
            <w:pPr>
              <w:spacing w:after="0"/>
              <w:jc w:val="center"/>
              <w:rPr>
                <w:lang w:val="zh-CN"/>
              </w:rPr>
            </w:pPr>
            <w:r w:rsidRPr="00536CFD">
              <w:rPr>
                <w:lang w:eastAsia="x-none"/>
              </w:rPr>
              <w:t>27.10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1C5815F" w14:textId="77777777" w:rsidR="004346F3" w:rsidRPr="00536CFD" w:rsidRDefault="004346F3" w:rsidP="00802ABC">
            <w:pPr>
              <w:spacing w:after="0"/>
              <w:jc w:val="center"/>
              <w:rPr>
                <w:lang w:val="zh-CN"/>
              </w:rPr>
            </w:pPr>
            <w:r w:rsidRPr="00536CFD">
              <w:rPr>
                <w:lang w:eastAsia="x-none"/>
              </w:rPr>
              <w:t>26.11</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1100D648" w14:textId="77777777" w:rsidR="004346F3" w:rsidRPr="00536CFD" w:rsidRDefault="004346F3" w:rsidP="00802ABC">
            <w:pPr>
              <w:spacing w:after="0"/>
              <w:jc w:val="center"/>
              <w:rPr>
                <w:lang w:val="zh-CN"/>
              </w:rPr>
            </w:pPr>
            <w:r w:rsidRPr="00536CFD">
              <w:rPr>
                <w:lang w:eastAsia="x-none"/>
              </w:rPr>
              <w:t>1.14</w:t>
            </w:r>
          </w:p>
        </w:tc>
        <w:tc>
          <w:tcPr>
            <w:tcW w:w="714" w:type="dxa"/>
            <w:tcBorders>
              <w:top w:val="single" w:sz="4" w:space="0" w:color="auto"/>
              <w:left w:val="nil"/>
              <w:bottom w:val="single" w:sz="4" w:space="0" w:color="auto"/>
              <w:right w:val="single" w:sz="4" w:space="0" w:color="auto"/>
            </w:tcBorders>
            <w:shd w:val="clear" w:color="auto" w:fill="auto"/>
            <w:vAlign w:val="center"/>
          </w:tcPr>
          <w:p w14:paraId="6829478C" w14:textId="77777777" w:rsidR="004346F3" w:rsidRPr="00536CFD" w:rsidRDefault="004346F3" w:rsidP="00802ABC">
            <w:pPr>
              <w:spacing w:after="0"/>
              <w:jc w:val="center"/>
              <w:rPr>
                <w:lang w:val="zh-CN"/>
              </w:rPr>
            </w:pPr>
            <w:r w:rsidRPr="00536CFD">
              <w:rPr>
                <w:lang w:eastAsia="x-none"/>
              </w:rPr>
              <w:t>8.09</w:t>
            </w:r>
          </w:p>
        </w:tc>
        <w:tc>
          <w:tcPr>
            <w:tcW w:w="719" w:type="dxa"/>
            <w:tcBorders>
              <w:top w:val="single" w:sz="4" w:space="0" w:color="auto"/>
              <w:left w:val="nil"/>
              <w:bottom w:val="single" w:sz="4" w:space="0" w:color="auto"/>
              <w:right w:val="single" w:sz="4" w:space="0" w:color="auto"/>
            </w:tcBorders>
            <w:shd w:val="clear" w:color="auto" w:fill="auto"/>
            <w:vAlign w:val="center"/>
          </w:tcPr>
          <w:p w14:paraId="12AAA9F7" w14:textId="77777777" w:rsidR="004346F3" w:rsidRPr="00536CFD" w:rsidRDefault="004346F3" w:rsidP="00802ABC">
            <w:pPr>
              <w:spacing w:after="0"/>
              <w:jc w:val="center"/>
              <w:rPr>
                <w:lang w:val="zh-CN"/>
              </w:rPr>
            </w:pPr>
            <w:r w:rsidRPr="00536CFD">
              <w:rPr>
                <w:lang w:eastAsia="x-none"/>
              </w:rPr>
              <w:t>15.33</w:t>
            </w:r>
          </w:p>
        </w:tc>
        <w:tc>
          <w:tcPr>
            <w:tcW w:w="719" w:type="dxa"/>
            <w:tcBorders>
              <w:top w:val="single" w:sz="4" w:space="0" w:color="auto"/>
              <w:left w:val="nil"/>
              <w:bottom w:val="single" w:sz="4" w:space="0" w:color="auto"/>
              <w:right w:val="single" w:sz="4" w:space="0" w:color="auto"/>
            </w:tcBorders>
            <w:shd w:val="clear" w:color="auto" w:fill="auto"/>
            <w:vAlign w:val="center"/>
          </w:tcPr>
          <w:p w14:paraId="384735FB" w14:textId="77777777" w:rsidR="004346F3" w:rsidRPr="00536CFD" w:rsidRDefault="004346F3" w:rsidP="00802ABC">
            <w:pPr>
              <w:spacing w:after="0"/>
              <w:jc w:val="center"/>
              <w:rPr>
                <w:lang w:val="zh-CN"/>
              </w:rPr>
            </w:pPr>
            <w:r w:rsidRPr="00536CFD">
              <w:rPr>
                <w:lang w:eastAsia="x-none"/>
              </w:rPr>
              <w:t>18.34</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EEEC271" w14:textId="77777777" w:rsidR="004346F3" w:rsidRPr="00536CFD" w:rsidRDefault="004346F3" w:rsidP="00802ABC">
            <w:pPr>
              <w:spacing w:after="0"/>
              <w:jc w:val="center"/>
              <w:rPr>
                <w:lang w:val="zh-CN"/>
              </w:rPr>
            </w:pPr>
            <w:r w:rsidRPr="00536CFD">
              <w:rPr>
                <w:lang w:eastAsia="x-none"/>
              </w:rPr>
              <w:t>0.06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8A61DE0" w14:textId="77777777" w:rsidR="004346F3" w:rsidRPr="00536CFD" w:rsidRDefault="004346F3" w:rsidP="00802ABC">
            <w:pPr>
              <w:spacing w:after="0"/>
              <w:jc w:val="center"/>
              <w:rPr>
                <w:lang w:val="zh-CN"/>
              </w:rPr>
            </w:pPr>
            <w:r w:rsidRPr="00536CFD">
              <w:rPr>
                <w:lang w:eastAsia="x-none"/>
              </w:rPr>
              <w:t>3.89</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7D4F664" w14:textId="77777777" w:rsidR="004346F3" w:rsidRPr="00536CFD" w:rsidRDefault="004346F3" w:rsidP="00802ABC">
            <w:pPr>
              <w:spacing w:after="0"/>
              <w:jc w:val="center"/>
              <w:rPr>
                <w:lang w:val="zh-CN"/>
              </w:rPr>
            </w:pPr>
            <w:r w:rsidRPr="00536CFD">
              <w:rPr>
                <w:lang w:eastAsia="x-none"/>
              </w:rPr>
              <w:t>8.83</w:t>
            </w:r>
          </w:p>
        </w:tc>
        <w:tc>
          <w:tcPr>
            <w:tcW w:w="676" w:type="dxa"/>
            <w:tcBorders>
              <w:top w:val="single" w:sz="4" w:space="0" w:color="auto"/>
              <w:left w:val="nil"/>
              <w:bottom w:val="single" w:sz="4" w:space="0" w:color="auto"/>
              <w:right w:val="single" w:sz="4" w:space="0" w:color="auto"/>
            </w:tcBorders>
            <w:shd w:val="clear" w:color="auto" w:fill="auto"/>
            <w:vAlign w:val="center"/>
          </w:tcPr>
          <w:p w14:paraId="2FFD0FE7" w14:textId="77777777" w:rsidR="004346F3" w:rsidRPr="00536CFD" w:rsidRDefault="004346F3" w:rsidP="00802ABC">
            <w:pPr>
              <w:spacing w:after="0"/>
              <w:jc w:val="center"/>
              <w:rPr>
                <w:lang w:val="zh-CN"/>
              </w:rPr>
            </w:pPr>
            <w:r w:rsidRPr="00536CFD">
              <w:rPr>
                <w:lang w:eastAsia="x-none"/>
              </w:rPr>
              <w:t>13.68</w:t>
            </w:r>
          </w:p>
        </w:tc>
      </w:tr>
      <w:tr w:rsidR="004346F3" w:rsidRPr="00C64ECB" w14:paraId="738600E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91B0E8E"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E0A364D"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8D2043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center"/>
          </w:tcPr>
          <w:p w14:paraId="3BF85619" w14:textId="77777777" w:rsidR="004346F3" w:rsidRPr="00536CFD" w:rsidRDefault="004346F3" w:rsidP="00802ABC">
            <w:pPr>
              <w:spacing w:after="0"/>
              <w:jc w:val="center"/>
              <w:rPr>
                <w:lang w:val="zh-CN"/>
              </w:rPr>
            </w:pPr>
            <w:r w:rsidRPr="00536CFD">
              <w:rPr>
                <w:lang w:eastAsia="x-none"/>
              </w:rPr>
              <w:t>45.79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10BC5B0" w14:textId="77777777" w:rsidR="004346F3" w:rsidRPr="00536CFD" w:rsidRDefault="004346F3" w:rsidP="00802ABC">
            <w:pPr>
              <w:spacing w:after="0"/>
              <w:jc w:val="center"/>
              <w:rPr>
                <w:lang w:val="zh-CN"/>
              </w:rPr>
            </w:pPr>
            <w:r w:rsidRPr="00536CFD">
              <w:rPr>
                <w:lang w:eastAsia="x-none"/>
              </w:rPr>
              <w:t>55.25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7BABCB26" w14:textId="77777777" w:rsidR="004346F3" w:rsidRPr="00536CFD" w:rsidRDefault="004346F3" w:rsidP="00802ABC">
            <w:pPr>
              <w:spacing w:after="0"/>
              <w:jc w:val="center"/>
              <w:rPr>
                <w:lang w:val="zh-CN"/>
              </w:rPr>
            </w:pPr>
            <w:r w:rsidRPr="00536CFD">
              <w:rPr>
                <w:lang w:eastAsia="x-none"/>
              </w:rPr>
              <w:t>78.00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89D6552" w14:textId="77777777" w:rsidR="004346F3" w:rsidRPr="00536CFD" w:rsidRDefault="004346F3" w:rsidP="00802ABC">
            <w:pPr>
              <w:spacing w:after="0"/>
              <w:jc w:val="center"/>
              <w:rPr>
                <w:lang w:val="zh-CN"/>
              </w:rPr>
            </w:pPr>
            <w:r w:rsidRPr="00536CFD">
              <w:rPr>
                <w:lang w:eastAsia="x-none"/>
              </w:rPr>
              <w:t>76.88</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1944BFA7" w14:textId="77777777" w:rsidR="004346F3" w:rsidRPr="00536CFD" w:rsidRDefault="004346F3" w:rsidP="00802ABC">
            <w:pPr>
              <w:spacing w:after="0"/>
              <w:jc w:val="center"/>
              <w:rPr>
                <w:lang w:val="zh-CN"/>
              </w:rPr>
            </w:pPr>
            <w:r w:rsidRPr="00536CFD">
              <w:rPr>
                <w:lang w:eastAsia="x-none"/>
              </w:rPr>
              <w:t>18.42</w:t>
            </w:r>
          </w:p>
        </w:tc>
        <w:tc>
          <w:tcPr>
            <w:tcW w:w="714" w:type="dxa"/>
            <w:tcBorders>
              <w:top w:val="single" w:sz="4" w:space="0" w:color="auto"/>
              <w:left w:val="nil"/>
              <w:bottom w:val="single" w:sz="4" w:space="0" w:color="auto"/>
              <w:right w:val="single" w:sz="4" w:space="0" w:color="auto"/>
            </w:tcBorders>
            <w:shd w:val="clear" w:color="auto" w:fill="auto"/>
            <w:vAlign w:val="center"/>
          </w:tcPr>
          <w:p w14:paraId="7D791A5E" w14:textId="77777777" w:rsidR="004346F3" w:rsidRPr="00536CFD" w:rsidRDefault="004346F3" w:rsidP="00802ABC">
            <w:pPr>
              <w:spacing w:after="0"/>
              <w:jc w:val="center"/>
              <w:rPr>
                <w:lang w:val="zh-CN"/>
              </w:rPr>
            </w:pPr>
            <w:r w:rsidRPr="00536CFD">
              <w:rPr>
                <w:lang w:eastAsia="x-none"/>
              </w:rPr>
              <w:t>40.32</w:t>
            </w:r>
          </w:p>
        </w:tc>
        <w:tc>
          <w:tcPr>
            <w:tcW w:w="719" w:type="dxa"/>
            <w:tcBorders>
              <w:top w:val="single" w:sz="4" w:space="0" w:color="auto"/>
              <w:left w:val="nil"/>
              <w:bottom w:val="single" w:sz="4" w:space="0" w:color="auto"/>
              <w:right w:val="single" w:sz="4" w:space="0" w:color="auto"/>
            </w:tcBorders>
            <w:shd w:val="clear" w:color="auto" w:fill="auto"/>
            <w:vAlign w:val="center"/>
          </w:tcPr>
          <w:p w14:paraId="29F58AE6" w14:textId="77777777" w:rsidR="004346F3" w:rsidRPr="00536CFD" w:rsidRDefault="004346F3" w:rsidP="00802ABC">
            <w:pPr>
              <w:spacing w:after="0"/>
              <w:jc w:val="center"/>
              <w:rPr>
                <w:lang w:val="zh-CN"/>
              </w:rPr>
            </w:pPr>
            <w:r w:rsidRPr="00536CFD">
              <w:rPr>
                <w:lang w:eastAsia="x-none"/>
              </w:rPr>
              <w:t>56.81</w:t>
            </w:r>
          </w:p>
        </w:tc>
        <w:tc>
          <w:tcPr>
            <w:tcW w:w="719" w:type="dxa"/>
            <w:tcBorders>
              <w:top w:val="single" w:sz="4" w:space="0" w:color="auto"/>
              <w:left w:val="nil"/>
              <w:bottom w:val="single" w:sz="4" w:space="0" w:color="auto"/>
              <w:right w:val="single" w:sz="4" w:space="0" w:color="auto"/>
            </w:tcBorders>
            <w:shd w:val="clear" w:color="auto" w:fill="auto"/>
            <w:vAlign w:val="center"/>
          </w:tcPr>
          <w:p w14:paraId="4BDE720B" w14:textId="77777777" w:rsidR="004346F3" w:rsidRPr="00536CFD" w:rsidRDefault="004346F3" w:rsidP="00802ABC">
            <w:pPr>
              <w:spacing w:after="0"/>
              <w:jc w:val="center"/>
              <w:rPr>
                <w:lang w:val="zh-CN"/>
              </w:rPr>
            </w:pPr>
            <w:r w:rsidRPr="00536CFD">
              <w:rPr>
                <w:lang w:eastAsia="x-none"/>
              </w:rPr>
              <w:t>60.68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FC9FDB1" w14:textId="77777777" w:rsidR="004346F3" w:rsidRPr="00536CFD" w:rsidRDefault="004346F3" w:rsidP="00802ABC">
            <w:pPr>
              <w:spacing w:after="0"/>
              <w:jc w:val="center"/>
              <w:rPr>
                <w:lang w:val="zh-CN"/>
              </w:rPr>
            </w:pPr>
            <w:r w:rsidRPr="00536CFD">
              <w:rPr>
                <w:lang w:eastAsia="x-none"/>
              </w:rPr>
              <w:t>10.22</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3164624" w14:textId="77777777" w:rsidR="004346F3" w:rsidRPr="00536CFD" w:rsidRDefault="004346F3" w:rsidP="00802ABC">
            <w:pPr>
              <w:spacing w:after="0"/>
              <w:jc w:val="center"/>
              <w:rPr>
                <w:lang w:val="zh-CN"/>
              </w:rPr>
            </w:pPr>
            <w:r w:rsidRPr="00536CFD">
              <w:rPr>
                <w:lang w:eastAsia="x-none"/>
              </w:rPr>
              <w:t>31.13</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388DC0EC" w14:textId="77777777" w:rsidR="004346F3" w:rsidRPr="00536CFD" w:rsidRDefault="004346F3" w:rsidP="00802ABC">
            <w:pPr>
              <w:spacing w:after="0"/>
              <w:jc w:val="center"/>
              <w:rPr>
                <w:lang w:val="zh-CN"/>
              </w:rPr>
            </w:pPr>
            <w:r w:rsidRPr="00536CFD">
              <w:rPr>
                <w:lang w:eastAsia="x-none"/>
              </w:rPr>
              <w:t>40.25</w:t>
            </w:r>
          </w:p>
        </w:tc>
        <w:tc>
          <w:tcPr>
            <w:tcW w:w="676" w:type="dxa"/>
            <w:tcBorders>
              <w:top w:val="single" w:sz="4" w:space="0" w:color="auto"/>
              <w:left w:val="nil"/>
              <w:bottom w:val="single" w:sz="4" w:space="0" w:color="auto"/>
              <w:right w:val="single" w:sz="4" w:space="0" w:color="auto"/>
            </w:tcBorders>
            <w:shd w:val="clear" w:color="auto" w:fill="auto"/>
            <w:vAlign w:val="center"/>
          </w:tcPr>
          <w:p w14:paraId="312F02AA" w14:textId="77777777" w:rsidR="004346F3" w:rsidRPr="00536CFD" w:rsidRDefault="004346F3" w:rsidP="00802ABC">
            <w:pPr>
              <w:spacing w:after="0"/>
              <w:jc w:val="center"/>
              <w:rPr>
                <w:lang w:val="zh-CN"/>
              </w:rPr>
            </w:pPr>
            <w:r w:rsidRPr="00536CFD">
              <w:rPr>
                <w:lang w:eastAsia="x-none"/>
              </w:rPr>
              <w:t>50.70</w:t>
            </w:r>
          </w:p>
        </w:tc>
      </w:tr>
      <w:tr w:rsidR="004346F3" w:rsidRPr="00C64ECB" w14:paraId="2914306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6DEAE1B"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7CA478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627F54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center"/>
          </w:tcPr>
          <w:p w14:paraId="45F91402" w14:textId="77777777" w:rsidR="004346F3" w:rsidRPr="00536CFD" w:rsidRDefault="004346F3" w:rsidP="00802ABC">
            <w:pPr>
              <w:spacing w:after="0"/>
              <w:jc w:val="center"/>
              <w:rPr>
                <w:lang w:val="zh-CN"/>
              </w:rPr>
            </w:pPr>
            <w:r w:rsidRPr="00536CFD">
              <w:rPr>
                <w:lang w:eastAsia="x-none"/>
              </w:rPr>
              <w:t>77.19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7F81768D" w14:textId="77777777" w:rsidR="004346F3" w:rsidRPr="00536CFD" w:rsidRDefault="004346F3" w:rsidP="00802ABC">
            <w:pPr>
              <w:spacing w:after="0"/>
              <w:jc w:val="center"/>
              <w:rPr>
                <w:lang w:val="zh-CN"/>
              </w:rPr>
            </w:pPr>
            <w:r w:rsidRPr="00536CFD">
              <w:rPr>
                <w:lang w:eastAsia="x-none"/>
              </w:rPr>
              <w:t>77.55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24ADF9A8" w14:textId="77777777" w:rsidR="004346F3" w:rsidRPr="00536CFD" w:rsidRDefault="004346F3" w:rsidP="00802ABC">
            <w:pPr>
              <w:spacing w:after="0"/>
              <w:jc w:val="center"/>
              <w:rPr>
                <w:lang w:val="zh-CN"/>
              </w:rPr>
            </w:pPr>
            <w:r w:rsidRPr="00536CFD">
              <w:rPr>
                <w:lang w:eastAsia="x-none"/>
              </w:rPr>
              <w:t>100.88</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14F7461" w14:textId="77777777" w:rsidR="004346F3" w:rsidRPr="00536CFD" w:rsidRDefault="004346F3" w:rsidP="00802ABC">
            <w:pPr>
              <w:spacing w:after="0"/>
              <w:jc w:val="center"/>
              <w:rPr>
                <w:lang w:val="zh-CN"/>
              </w:rPr>
            </w:pPr>
            <w:r w:rsidRPr="00536CFD">
              <w:rPr>
                <w:lang w:eastAsia="x-none"/>
              </w:rPr>
              <w:t>100.91</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2030789E" w14:textId="77777777" w:rsidR="004346F3" w:rsidRPr="00536CFD" w:rsidRDefault="004346F3" w:rsidP="00802ABC">
            <w:pPr>
              <w:spacing w:after="0"/>
              <w:jc w:val="center"/>
              <w:rPr>
                <w:lang w:val="zh-CN"/>
              </w:rPr>
            </w:pPr>
            <w:r w:rsidRPr="00536CFD">
              <w:rPr>
                <w:lang w:eastAsia="x-none"/>
              </w:rPr>
              <w:t>68.22</w:t>
            </w:r>
          </w:p>
        </w:tc>
        <w:tc>
          <w:tcPr>
            <w:tcW w:w="714" w:type="dxa"/>
            <w:tcBorders>
              <w:top w:val="single" w:sz="4" w:space="0" w:color="auto"/>
              <w:left w:val="nil"/>
              <w:bottom w:val="single" w:sz="4" w:space="0" w:color="auto"/>
              <w:right w:val="single" w:sz="4" w:space="0" w:color="auto"/>
            </w:tcBorders>
            <w:shd w:val="clear" w:color="auto" w:fill="auto"/>
            <w:vAlign w:val="center"/>
          </w:tcPr>
          <w:p w14:paraId="7E9014E5" w14:textId="77777777" w:rsidR="004346F3" w:rsidRPr="00536CFD" w:rsidRDefault="004346F3" w:rsidP="00802ABC">
            <w:pPr>
              <w:spacing w:after="0"/>
              <w:jc w:val="center"/>
              <w:rPr>
                <w:lang w:val="zh-CN"/>
              </w:rPr>
            </w:pPr>
            <w:r w:rsidRPr="00536CFD">
              <w:rPr>
                <w:lang w:eastAsia="x-none"/>
              </w:rPr>
              <w:t>77.05</w:t>
            </w:r>
          </w:p>
        </w:tc>
        <w:tc>
          <w:tcPr>
            <w:tcW w:w="719" w:type="dxa"/>
            <w:tcBorders>
              <w:top w:val="single" w:sz="4" w:space="0" w:color="auto"/>
              <w:left w:val="nil"/>
              <w:bottom w:val="single" w:sz="4" w:space="0" w:color="auto"/>
              <w:right w:val="single" w:sz="4" w:space="0" w:color="auto"/>
            </w:tcBorders>
            <w:shd w:val="clear" w:color="auto" w:fill="auto"/>
            <w:vAlign w:val="center"/>
          </w:tcPr>
          <w:p w14:paraId="787E8AAD" w14:textId="77777777" w:rsidR="004346F3" w:rsidRPr="00536CFD" w:rsidRDefault="004346F3" w:rsidP="00802ABC">
            <w:pPr>
              <w:spacing w:after="0"/>
              <w:jc w:val="center"/>
              <w:rPr>
                <w:lang w:val="zh-CN"/>
              </w:rPr>
            </w:pPr>
            <w:r w:rsidRPr="00536CFD">
              <w:rPr>
                <w:lang w:eastAsia="x-none"/>
              </w:rPr>
              <w:t>100.26</w:t>
            </w:r>
          </w:p>
        </w:tc>
        <w:tc>
          <w:tcPr>
            <w:tcW w:w="719" w:type="dxa"/>
            <w:tcBorders>
              <w:top w:val="single" w:sz="4" w:space="0" w:color="auto"/>
              <w:left w:val="nil"/>
              <w:bottom w:val="single" w:sz="4" w:space="0" w:color="auto"/>
              <w:right w:val="single" w:sz="4" w:space="0" w:color="auto"/>
            </w:tcBorders>
            <w:shd w:val="clear" w:color="auto" w:fill="auto"/>
            <w:vAlign w:val="center"/>
          </w:tcPr>
          <w:p w14:paraId="299B07DC" w14:textId="77777777" w:rsidR="004346F3" w:rsidRPr="00536CFD" w:rsidRDefault="004346F3" w:rsidP="00802ABC">
            <w:pPr>
              <w:spacing w:after="0"/>
              <w:jc w:val="center"/>
              <w:rPr>
                <w:lang w:val="zh-CN"/>
              </w:rPr>
            </w:pPr>
            <w:r w:rsidRPr="00536CFD">
              <w:rPr>
                <w:lang w:eastAsia="x-none"/>
              </w:rPr>
              <w:t>100.48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3B8943E3" w14:textId="77777777" w:rsidR="004346F3" w:rsidRPr="00536CFD" w:rsidRDefault="004346F3" w:rsidP="00802ABC">
            <w:pPr>
              <w:spacing w:after="0"/>
              <w:jc w:val="center"/>
              <w:rPr>
                <w:lang w:val="zh-CN"/>
              </w:rPr>
            </w:pPr>
            <w:r w:rsidRPr="00536CFD">
              <w:rPr>
                <w:lang w:eastAsia="x-none"/>
              </w:rPr>
              <w:t>53.68</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BFE2173" w14:textId="77777777" w:rsidR="004346F3" w:rsidRPr="00536CFD" w:rsidRDefault="004346F3" w:rsidP="00802ABC">
            <w:pPr>
              <w:spacing w:after="0"/>
              <w:jc w:val="center"/>
              <w:rPr>
                <w:lang w:val="zh-CN"/>
              </w:rPr>
            </w:pPr>
            <w:r w:rsidRPr="00536CFD">
              <w:rPr>
                <w:lang w:eastAsia="x-none"/>
              </w:rPr>
              <w:t>75.15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F560547" w14:textId="77777777" w:rsidR="004346F3" w:rsidRPr="00536CFD" w:rsidRDefault="004346F3" w:rsidP="00802ABC">
            <w:pPr>
              <w:spacing w:after="0"/>
              <w:jc w:val="center"/>
              <w:rPr>
                <w:lang w:val="zh-CN"/>
              </w:rPr>
            </w:pPr>
            <w:r w:rsidRPr="00536CFD">
              <w:rPr>
                <w:lang w:eastAsia="x-none"/>
              </w:rPr>
              <w:t>98.67</w:t>
            </w:r>
          </w:p>
        </w:tc>
        <w:tc>
          <w:tcPr>
            <w:tcW w:w="676" w:type="dxa"/>
            <w:tcBorders>
              <w:top w:val="single" w:sz="4" w:space="0" w:color="auto"/>
              <w:left w:val="nil"/>
              <w:bottom w:val="single" w:sz="4" w:space="0" w:color="auto"/>
              <w:right w:val="single" w:sz="4" w:space="0" w:color="auto"/>
            </w:tcBorders>
            <w:shd w:val="clear" w:color="auto" w:fill="auto"/>
            <w:vAlign w:val="center"/>
          </w:tcPr>
          <w:p w14:paraId="22156018" w14:textId="77777777" w:rsidR="004346F3" w:rsidRPr="00536CFD" w:rsidRDefault="004346F3" w:rsidP="00802ABC">
            <w:pPr>
              <w:spacing w:after="0"/>
              <w:jc w:val="center"/>
              <w:rPr>
                <w:lang w:val="zh-CN"/>
              </w:rPr>
            </w:pPr>
            <w:r w:rsidRPr="00536CFD">
              <w:rPr>
                <w:lang w:eastAsia="x-none"/>
              </w:rPr>
              <w:t>100.18</w:t>
            </w:r>
          </w:p>
        </w:tc>
      </w:tr>
      <w:tr w:rsidR="004346F3" w:rsidRPr="00C64ECB" w14:paraId="7046311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691449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E015403"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400B3E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center"/>
          </w:tcPr>
          <w:p w14:paraId="0A039E2F" w14:textId="77777777" w:rsidR="004346F3" w:rsidRPr="00536CFD" w:rsidRDefault="004346F3" w:rsidP="00802ABC">
            <w:pPr>
              <w:spacing w:after="0"/>
              <w:jc w:val="center"/>
              <w:rPr>
                <w:lang w:val="zh-CN"/>
              </w:rPr>
            </w:pPr>
            <w:r w:rsidRPr="00536CFD">
              <w:rPr>
                <w:lang w:eastAsia="x-none"/>
              </w:rPr>
              <w:t>46.02</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7D83A0E" w14:textId="77777777" w:rsidR="004346F3" w:rsidRPr="00536CFD" w:rsidRDefault="004346F3" w:rsidP="00802ABC">
            <w:pPr>
              <w:spacing w:after="0"/>
              <w:jc w:val="center"/>
              <w:rPr>
                <w:lang w:val="zh-CN"/>
              </w:rPr>
            </w:pPr>
            <w:r w:rsidRPr="00536CFD">
              <w:rPr>
                <w:lang w:eastAsia="x-none"/>
              </w:rPr>
              <w:t>52.38</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4D3801C7" w14:textId="77777777" w:rsidR="004346F3" w:rsidRPr="00536CFD" w:rsidRDefault="004346F3" w:rsidP="00802ABC">
            <w:pPr>
              <w:spacing w:after="0"/>
              <w:jc w:val="center"/>
              <w:rPr>
                <w:lang w:val="zh-CN"/>
              </w:rPr>
            </w:pPr>
            <w:r w:rsidRPr="00536CFD">
              <w:rPr>
                <w:lang w:eastAsia="x-none"/>
              </w:rPr>
              <w:t>72.04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78A90F33" w14:textId="77777777" w:rsidR="004346F3" w:rsidRPr="00536CFD" w:rsidRDefault="004346F3" w:rsidP="00802ABC">
            <w:pPr>
              <w:spacing w:after="0"/>
              <w:jc w:val="center"/>
              <w:rPr>
                <w:lang w:val="zh-CN"/>
              </w:rPr>
            </w:pPr>
            <w:r w:rsidRPr="00536CFD">
              <w:rPr>
                <w:lang w:eastAsia="x-none"/>
              </w:rPr>
              <w:t>71.35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08B9048D" w14:textId="77777777" w:rsidR="004346F3" w:rsidRPr="00536CFD" w:rsidRDefault="004346F3" w:rsidP="00802ABC">
            <w:pPr>
              <w:spacing w:after="0"/>
              <w:jc w:val="center"/>
              <w:rPr>
                <w:lang w:val="zh-CN"/>
              </w:rPr>
            </w:pPr>
            <w:r w:rsidRPr="00536CFD">
              <w:rPr>
                <w:lang w:eastAsia="x-none"/>
              </w:rPr>
              <w:t>24.58</w:t>
            </w:r>
          </w:p>
        </w:tc>
        <w:tc>
          <w:tcPr>
            <w:tcW w:w="714" w:type="dxa"/>
            <w:tcBorders>
              <w:top w:val="single" w:sz="4" w:space="0" w:color="auto"/>
              <w:left w:val="nil"/>
              <w:bottom w:val="single" w:sz="4" w:space="0" w:color="auto"/>
              <w:right w:val="single" w:sz="4" w:space="0" w:color="auto"/>
            </w:tcBorders>
            <w:shd w:val="clear" w:color="auto" w:fill="auto"/>
            <w:vAlign w:val="center"/>
          </w:tcPr>
          <w:p w14:paraId="3CF053CA" w14:textId="77777777" w:rsidR="004346F3" w:rsidRPr="00536CFD" w:rsidRDefault="004346F3" w:rsidP="00802ABC">
            <w:pPr>
              <w:spacing w:after="0"/>
              <w:jc w:val="center"/>
              <w:rPr>
                <w:lang w:val="zh-CN"/>
              </w:rPr>
            </w:pPr>
            <w:r w:rsidRPr="00536CFD">
              <w:rPr>
                <w:lang w:eastAsia="x-none"/>
              </w:rPr>
              <w:t>41.90</w:t>
            </w:r>
          </w:p>
        </w:tc>
        <w:tc>
          <w:tcPr>
            <w:tcW w:w="719" w:type="dxa"/>
            <w:tcBorders>
              <w:top w:val="single" w:sz="4" w:space="0" w:color="auto"/>
              <w:left w:val="nil"/>
              <w:bottom w:val="single" w:sz="4" w:space="0" w:color="auto"/>
              <w:right w:val="single" w:sz="4" w:space="0" w:color="auto"/>
            </w:tcBorders>
            <w:shd w:val="clear" w:color="auto" w:fill="auto"/>
            <w:vAlign w:val="center"/>
          </w:tcPr>
          <w:p w14:paraId="6ACB398F" w14:textId="77777777" w:rsidR="004346F3" w:rsidRPr="00536CFD" w:rsidRDefault="004346F3" w:rsidP="00802ABC">
            <w:pPr>
              <w:spacing w:after="0"/>
              <w:jc w:val="center"/>
              <w:rPr>
                <w:lang w:val="zh-CN"/>
              </w:rPr>
            </w:pPr>
            <w:r w:rsidRPr="00536CFD">
              <w:rPr>
                <w:lang w:eastAsia="x-none"/>
              </w:rPr>
              <w:t>58.17</w:t>
            </w:r>
          </w:p>
        </w:tc>
        <w:tc>
          <w:tcPr>
            <w:tcW w:w="719" w:type="dxa"/>
            <w:tcBorders>
              <w:top w:val="single" w:sz="4" w:space="0" w:color="auto"/>
              <w:left w:val="nil"/>
              <w:bottom w:val="single" w:sz="4" w:space="0" w:color="auto"/>
              <w:right w:val="single" w:sz="4" w:space="0" w:color="auto"/>
            </w:tcBorders>
            <w:shd w:val="clear" w:color="auto" w:fill="auto"/>
            <w:vAlign w:val="center"/>
          </w:tcPr>
          <w:p w14:paraId="116C003D" w14:textId="77777777" w:rsidR="004346F3" w:rsidRPr="00536CFD" w:rsidRDefault="004346F3" w:rsidP="00802ABC">
            <w:pPr>
              <w:spacing w:after="0"/>
              <w:jc w:val="center"/>
              <w:rPr>
                <w:lang w:val="zh-CN"/>
              </w:rPr>
            </w:pPr>
            <w:r w:rsidRPr="00536CFD">
              <w:rPr>
                <w:lang w:eastAsia="x-none"/>
              </w:rPr>
              <w:t>61.38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751DD2D" w14:textId="77777777" w:rsidR="004346F3" w:rsidRPr="00536CFD" w:rsidRDefault="004346F3" w:rsidP="00802ABC">
            <w:pPr>
              <w:spacing w:after="0"/>
              <w:jc w:val="center"/>
              <w:rPr>
                <w:lang w:val="zh-CN"/>
              </w:rPr>
            </w:pPr>
            <w:r w:rsidRPr="00536CFD">
              <w:rPr>
                <w:lang w:eastAsia="x-none"/>
              </w:rPr>
              <w:t>16.28</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A9F1052" w14:textId="77777777" w:rsidR="004346F3" w:rsidRPr="00536CFD" w:rsidRDefault="004346F3" w:rsidP="00802ABC">
            <w:pPr>
              <w:spacing w:after="0"/>
              <w:jc w:val="center"/>
              <w:rPr>
                <w:lang w:val="zh-CN"/>
              </w:rPr>
            </w:pPr>
            <w:r w:rsidRPr="00536CFD">
              <w:rPr>
                <w:lang w:eastAsia="x-none"/>
              </w:rPr>
              <w:t>33.91</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6341CEC3" w14:textId="77777777" w:rsidR="004346F3" w:rsidRPr="00536CFD" w:rsidRDefault="004346F3" w:rsidP="00802ABC">
            <w:pPr>
              <w:spacing w:after="0"/>
              <w:jc w:val="center"/>
              <w:rPr>
                <w:lang w:val="zh-CN"/>
              </w:rPr>
            </w:pPr>
            <w:r w:rsidRPr="00536CFD">
              <w:rPr>
                <w:lang w:eastAsia="x-none"/>
              </w:rPr>
              <w:t>46.59</w:t>
            </w:r>
          </w:p>
        </w:tc>
        <w:tc>
          <w:tcPr>
            <w:tcW w:w="676" w:type="dxa"/>
            <w:tcBorders>
              <w:top w:val="single" w:sz="4" w:space="0" w:color="auto"/>
              <w:left w:val="nil"/>
              <w:bottom w:val="single" w:sz="4" w:space="0" w:color="auto"/>
              <w:right w:val="single" w:sz="4" w:space="0" w:color="auto"/>
            </w:tcBorders>
            <w:shd w:val="clear" w:color="auto" w:fill="auto"/>
            <w:vAlign w:val="center"/>
          </w:tcPr>
          <w:p w14:paraId="6EA5F8C9" w14:textId="77777777" w:rsidR="004346F3" w:rsidRPr="00536CFD" w:rsidRDefault="004346F3" w:rsidP="00802ABC">
            <w:pPr>
              <w:spacing w:after="0"/>
              <w:jc w:val="center"/>
              <w:rPr>
                <w:lang w:val="zh-CN"/>
              </w:rPr>
            </w:pPr>
            <w:r w:rsidRPr="00536CFD">
              <w:rPr>
                <w:lang w:eastAsia="x-none"/>
              </w:rPr>
              <w:t>54.64</w:t>
            </w:r>
          </w:p>
        </w:tc>
      </w:tr>
      <w:tr w:rsidR="004346F3" w:rsidRPr="00C64ECB" w14:paraId="6447F4A5"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FD5A20F"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51B6F28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728370D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center"/>
          </w:tcPr>
          <w:p w14:paraId="378D1112" w14:textId="77777777" w:rsidR="004346F3" w:rsidRPr="00536CFD" w:rsidRDefault="004346F3" w:rsidP="00802ABC">
            <w:pPr>
              <w:spacing w:after="0"/>
              <w:jc w:val="center"/>
              <w:rPr>
                <w:lang w:val="zh-CN"/>
              </w:rPr>
            </w:pPr>
            <w:r w:rsidRPr="00536CFD">
              <w:rPr>
                <w:lang w:eastAsia="x-none"/>
              </w:rPr>
              <w:t>0.05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9D4AA18" w14:textId="77777777" w:rsidR="004346F3" w:rsidRPr="00536CFD" w:rsidRDefault="004346F3" w:rsidP="00802ABC">
            <w:pPr>
              <w:spacing w:after="0"/>
              <w:jc w:val="center"/>
              <w:rPr>
                <w:lang w:val="zh-CN"/>
              </w:rPr>
            </w:pPr>
            <w:r w:rsidRPr="00536CFD">
              <w:rPr>
                <w:lang w:eastAsia="x-none"/>
              </w:rPr>
              <w:t>0.05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2E8E2A4B" w14:textId="77777777" w:rsidR="004346F3" w:rsidRPr="00536CFD" w:rsidRDefault="004346F3" w:rsidP="00802ABC">
            <w:pPr>
              <w:spacing w:after="0"/>
              <w:jc w:val="center"/>
              <w:rPr>
                <w:lang w:val="zh-CN"/>
              </w:rPr>
            </w:pPr>
            <w:r w:rsidRPr="00536CFD">
              <w:rPr>
                <w:lang w:eastAsia="x-none"/>
              </w:rPr>
              <w:t>0.04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EF95557" w14:textId="77777777" w:rsidR="004346F3" w:rsidRPr="00536CFD" w:rsidRDefault="004346F3" w:rsidP="00802ABC">
            <w:pPr>
              <w:spacing w:after="0"/>
              <w:jc w:val="center"/>
              <w:rPr>
                <w:lang w:val="zh-CN"/>
              </w:rPr>
            </w:pPr>
            <w:r w:rsidRPr="00536CFD">
              <w:rPr>
                <w:lang w:eastAsia="x-none"/>
              </w:rPr>
              <w:t>0.04</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5E4BB921" w14:textId="77777777" w:rsidR="004346F3" w:rsidRPr="00536CFD" w:rsidRDefault="004346F3" w:rsidP="00802ABC">
            <w:pPr>
              <w:spacing w:after="0"/>
              <w:jc w:val="center"/>
              <w:rPr>
                <w:lang w:val="zh-CN"/>
              </w:rPr>
            </w:pPr>
            <w:r w:rsidRPr="00536CFD">
              <w:rPr>
                <w:lang w:eastAsia="x-none"/>
              </w:rPr>
              <w:t>0.06</w:t>
            </w:r>
          </w:p>
        </w:tc>
        <w:tc>
          <w:tcPr>
            <w:tcW w:w="714" w:type="dxa"/>
            <w:tcBorders>
              <w:top w:val="single" w:sz="4" w:space="0" w:color="auto"/>
              <w:left w:val="nil"/>
              <w:bottom w:val="single" w:sz="4" w:space="0" w:color="auto"/>
              <w:right w:val="single" w:sz="4" w:space="0" w:color="auto"/>
            </w:tcBorders>
            <w:shd w:val="clear" w:color="auto" w:fill="auto"/>
            <w:vAlign w:val="center"/>
          </w:tcPr>
          <w:p w14:paraId="1A0A0E9E" w14:textId="77777777" w:rsidR="004346F3" w:rsidRPr="00536CFD" w:rsidRDefault="004346F3" w:rsidP="00802ABC">
            <w:pPr>
              <w:spacing w:after="0"/>
              <w:jc w:val="center"/>
              <w:rPr>
                <w:lang w:val="zh-CN"/>
              </w:rPr>
            </w:pPr>
            <w:r w:rsidRPr="00536CFD">
              <w:rPr>
                <w:lang w:eastAsia="x-none"/>
              </w:rPr>
              <w:t>0.05</w:t>
            </w:r>
          </w:p>
        </w:tc>
        <w:tc>
          <w:tcPr>
            <w:tcW w:w="719" w:type="dxa"/>
            <w:tcBorders>
              <w:top w:val="single" w:sz="4" w:space="0" w:color="auto"/>
              <w:left w:val="nil"/>
              <w:bottom w:val="single" w:sz="4" w:space="0" w:color="auto"/>
              <w:right w:val="single" w:sz="4" w:space="0" w:color="auto"/>
            </w:tcBorders>
            <w:shd w:val="clear" w:color="auto" w:fill="auto"/>
            <w:vAlign w:val="center"/>
          </w:tcPr>
          <w:p w14:paraId="0EDF7EE5" w14:textId="77777777" w:rsidR="004346F3" w:rsidRPr="00536CFD" w:rsidRDefault="004346F3" w:rsidP="00802ABC">
            <w:pPr>
              <w:spacing w:after="0"/>
              <w:jc w:val="center"/>
              <w:rPr>
                <w:lang w:val="zh-CN"/>
              </w:rPr>
            </w:pPr>
            <w:r w:rsidRPr="00536CFD">
              <w:rPr>
                <w:lang w:eastAsia="x-none"/>
              </w:rPr>
              <w:t>0.04</w:t>
            </w:r>
          </w:p>
        </w:tc>
        <w:tc>
          <w:tcPr>
            <w:tcW w:w="719" w:type="dxa"/>
            <w:tcBorders>
              <w:top w:val="single" w:sz="4" w:space="0" w:color="auto"/>
              <w:left w:val="nil"/>
              <w:bottom w:val="single" w:sz="4" w:space="0" w:color="auto"/>
              <w:right w:val="single" w:sz="4" w:space="0" w:color="auto"/>
            </w:tcBorders>
            <w:shd w:val="clear" w:color="auto" w:fill="auto"/>
            <w:vAlign w:val="center"/>
          </w:tcPr>
          <w:p w14:paraId="2F13D336" w14:textId="77777777" w:rsidR="004346F3" w:rsidRPr="00536CFD" w:rsidRDefault="004346F3" w:rsidP="00802ABC">
            <w:pPr>
              <w:spacing w:after="0"/>
              <w:jc w:val="center"/>
              <w:rPr>
                <w:lang w:val="zh-CN"/>
              </w:rPr>
            </w:pPr>
            <w:r w:rsidRPr="00536CFD">
              <w:rPr>
                <w:lang w:eastAsia="x-none"/>
              </w:rPr>
              <w:t>0.04</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69A850D" w14:textId="77777777" w:rsidR="004346F3" w:rsidRPr="00536CFD" w:rsidRDefault="004346F3" w:rsidP="00802ABC">
            <w:pPr>
              <w:spacing w:after="0"/>
              <w:jc w:val="center"/>
              <w:rPr>
                <w:lang w:val="zh-CN"/>
              </w:rPr>
            </w:pPr>
            <w:r w:rsidRPr="00536CFD">
              <w:rPr>
                <w:lang w:eastAsia="x-none"/>
              </w:rPr>
              <w:t>0.07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0EF13AD" w14:textId="77777777" w:rsidR="004346F3" w:rsidRPr="00536CFD" w:rsidRDefault="004346F3" w:rsidP="00802ABC">
            <w:pPr>
              <w:spacing w:after="0"/>
              <w:jc w:val="center"/>
              <w:rPr>
                <w:lang w:val="zh-CN"/>
              </w:rPr>
            </w:pPr>
            <w:r w:rsidRPr="00536CFD">
              <w:rPr>
                <w:lang w:eastAsia="x-none"/>
              </w:rPr>
              <w:t>0.05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3ED2800E" w14:textId="77777777" w:rsidR="004346F3" w:rsidRPr="00536CFD" w:rsidRDefault="004346F3" w:rsidP="00802ABC">
            <w:pPr>
              <w:spacing w:after="0"/>
              <w:jc w:val="center"/>
              <w:rPr>
                <w:lang w:val="zh-CN"/>
              </w:rPr>
            </w:pPr>
            <w:r w:rsidRPr="00536CFD">
              <w:rPr>
                <w:lang w:eastAsia="x-none"/>
              </w:rPr>
              <w:t>0.04</w:t>
            </w:r>
          </w:p>
        </w:tc>
        <w:tc>
          <w:tcPr>
            <w:tcW w:w="676" w:type="dxa"/>
            <w:tcBorders>
              <w:top w:val="single" w:sz="4" w:space="0" w:color="auto"/>
              <w:left w:val="nil"/>
              <w:bottom w:val="single" w:sz="4" w:space="0" w:color="auto"/>
              <w:right w:val="single" w:sz="4" w:space="0" w:color="auto"/>
            </w:tcBorders>
            <w:shd w:val="clear" w:color="auto" w:fill="auto"/>
            <w:vAlign w:val="center"/>
          </w:tcPr>
          <w:p w14:paraId="2C87795F" w14:textId="77777777" w:rsidR="004346F3" w:rsidRPr="00536CFD" w:rsidRDefault="004346F3" w:rsidP="00802ABC">
            <w:pPr>
              <w:spacing w:after="0"/>
              <w:jc w:val="center"/>
              <w:rPr>
                <w:lang w:val="zh-CN"/>
              </w:rPr>
            </w:pPr>
            <w:r w:rsidRPr="00536CFD">
              <w:rPr>
                <w:lang w:eastAsia="x-none"/>
              </w:rPr>
              <w:t>0.04</w:t>
            </w:r>
          </w:p>
        </w:tc>
      </w:tr>
      <w:tr w:rsidR="004346F3" w:rsidRPr="00C64ECB" w14:paraId="650AE1F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781548E"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79593A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04ED6E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center"/>
          </w:tcPr>
          <w:p w14:paraId="2B97E072" w14:textId="77777777" w:rsidR="004346F3" w:rsidRPr="00536CFD" w:rsidRDefault="004346F3" w:rsidP="00802ABC">
            <w:pPr>
              <w:spacing w:after="0"/>
              <w:jc w:val="center"/>
              <w:rPr>
                <w:lang w:val="zh-CN"/>
              </w:rPr>
            </w:pPr>
            <w:r w:rsidRPr="00536CFD">
              <w:rPr>
                <w:lang w:eastAsia="x-none"/>
              </w:rPr>
              <w:t>0.09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7C8A3E8A" w14:textId="77777777" w:rsidR="004346F3" w:rsidRPr="00536CFD" w:rsidRDefault="004346F3" w:rsidP="00802ABC">
            <w:pPr>
              <w:spacing w:after="0"/>
              <w:jc w:val="center"/>
              <w:rPr>
                <w:lang w:val="zh-CN"/>
              </w:rPr>
            </w:pPr>
            <w:r w:rsidRPr="00536CFD">
              <w:rPr>
                <w:lang w:eastAsia="x-none"/>
              </w:rPr>
              <w:t>0.07</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5E8E3F20" w14:textId="77777777" w:rsidR="004346F3" w:rsidRPr="00536CFD" w:rsidRDefault="004346F3" w:rsidP="00802ABC">
            <w:pPr>
              <w:spacing w:after="0"/>
              <w:jc w:val="center"/>
              <w:rPr>
                <w:lang w:val="zh-CN"/>
              </w:rPr>
            </w:pPr>
            <w:r w:rsidRPr="00536CFD">
              <w:rPr>
                <w:lang w:eastAsia="x-none"/>
              </w:rPr>
              <w:t>0.05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218865F" w14:textId="77777777" w:rsidR="004346F3" w:rsidRPr="00536CFD" w:rsidRDefault="004346F3" w:rsidP="00802ABC">
            <w:pPr>
              <w:spacing w:after="0"/>
              <w:jc w:val="center"/>
              <w:rPr>
                <w:lang w:val="zh-CN"/>
              </w:rPr>
            </w:pPr>
            <w:r w:rsidRPr="00536CFD">
              <w:rPr>
                <w:lang w:eastAsia="x-none"/>
              </w:rPr>
              <w:t>0.05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51E79286" w14:textId="77777777" w:rsidR="004346F3" w:rsidRPr="00536CFD" w:rsidRDefault="004346F3" w:rsidP="00802ABC">
            <w:pPr>
              <w:spacing w:after="0"/>
              <w:jc w:val="center"/>
              <w:rPr>
                <w:lang w:val="zh-CN"/>
              </w:rPr>
            </w:pPr>
            <w:r w:rsidRPr="00536CFD">
              <w:rPr>
                <w:lang w:eastAsia="x-none"/>
              </w:rPr>
              <w:t>0.21</w:t>
            </w:r>
          </w:p>
        </w:tc>
        <w:tc>
          <w:tcPr>
            <w:tcW w:w="714" w:type="dxa"/>
            <w:tcBorders>
              <w:top w:val="single" w:sz="4" w:space="0" w:color="auto"/>
              <w:left w:val="nil"/>
              <w:bottom w:val="single" w:sz="4" w:space="0" w:color="auto"/>
              <w:right w:val="single" w:sz="4" w:space="0" w:color="auto"/>
            </w:tcBorders>
            <w:shd w:val="clear" w:color="auto" w:fill="auto"/>
            <w:vAlign w:val="center"/>
          </w:tcPr>
          <w:p w14:paraId="3BECF85F" w14:textId="77777777" w:rsidR="004346F3" w:rsidRPr="00536CFD" w:rsidRDefault="004346F3" w:rsidP="00802ABC">
            <w:pPr>
              <w:spacing w:after="0"/>
              <w:jc w:val="center"/>
              <w:rPr>
                <w:lang w:val="zh-CN"/>
              </w:rPr>
            </w:pPr>
            <w:r w:rsidRPr="00536CFD">
              <w:rPr>
                <w:lang w:eastAsia="x-none"/>
              </w:rPr>
              <w:t>0.10</w:t>
            </w:r>
          </w:p>
        </w:tc>
        <w:tc>
          <w:tcPr>
            <w:tcW w:w="719" w:type="dxa"/>
            <w:tcBorders>
              <w:top w:val="single" w:sz="4" w:space="0" w:color="auto"/>
              <w:left w:val="nil"/>
              <w:bottom w:val="single" w:sz="4" w:space="0" w:color="auto"/>
              <w:right w:val="single" w:sz="4" w:space="0" w:color="auto"/>
            </w:tcBorders>
            <w:shd w:val="clear" w:color="auto" w:fill="auto"/>
            <w:vAlign w:val="center"/>
          </w:tcPr>
          <w:p w14:paraId="0D011840" w14:textId="77777777" w:rsidR="004346F3" w:rsidRPr="00536CFD" w:rsidRDefault="004346F3" w:rsidP="00802ABC">
            <w:pPr>
              <w:spacing w:after="0"/>
              <w:jc w:val="center"/>
              <w:rPr>
                <w:lang w:val="zh-CN"/>
              </w:rPr>
            </w:pPr>
            <w:r w:rsidRPr="00536CFD">
              <w:rPr>
                <w:lang w:eastAsia="x-none"/>
              </w:rPr>
              <w:t>0.07</w:t>
            </w:r>
          </w:p>
        </w:tc>
        <w:tc>
          <w:tcPr>
            <w:tcW w:w="719" w:type="dxa"/>
            <w:tcBorders>
              <w:top w:val="single" w:sz="4" w:space="0" w:color="auto"/>
              <w:left w:val="nil"/>
              <w:bottom w:val="single" w:sz="4" w:space="0" w:color="auto"/>
              <w:right w:val="single" w:sz="4" w:space="0" w:color="auto"/>
            </w:tcBorders>
            <w:shd w:val="clear" w:color="auto" w:fill="auto"/>
            <w:vAlign w:val="center"/>
          </w:tcPr>
          <w:p w14:paraId="7E0C0A84" w14:textId="77777777" w:rsidR="004346F3" w:rsidRPr="00536CFD" w:rsidRDefault="004346F3" w:rsidP="00802ABC">
            <w:pPr>
              <w:spacing w:after="0"/>
              <w:jc w:val="center"/>
              <w:rPr>
                <w:lang w:val="zh-CN"/>
              </w:rPr>
            </w:pPr>
            <w:r w:rsidRPr="00536CFD">
              <w:rPr>
                <w:lang w:eastAsia="x-none"/>
              </w:rPr>
              <w:t>0.07</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EFC5DCB" w14:textId="77777777" w:rsidR="004346F3" w:rsidRPr="00536CFD" w:rsidRDefault="004346F3" w:rsidP="00802ABC">
            <w:pPr>
              <w:spacing w:after="0"/>
              <w:jc w:val="center"/>
              <w:rPr>
                <w:lang w:val="zh-CN"/>
              </w:rPr>
            </w:pPr>
            <w:r w:rsidRPr="00536CFD">
              <w:rPr>
                <w:lang w:eastAsia="x-none"/>
              </w:rPr>
              <w:t>0.35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2A707B2" w14:textId="77777777" w:rsidR="004346F3" w:rsidRPr="00536CFD" w:rsidRDefault="004346F3" w:rsidP="00802ABC">
            <w:pPr>
              <w:spacing w:after="0"/>
              <w:jc w:val="center"/>
              <w:rPr>
                <w:lang w:val="zh-CN"/>
              </w:rPr>
            </w:pPr>
            <w:r w:rsidRPr="00536CFD">
              <w:rPr>
                <w:lang w:eastAsia="x-none"/>
              </w:rPr>
              <w:t>0.13</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CDEEE0F" w14:textId="77777777" w:rsidR="004346F3" w:rsidRPr="00536CFD" w:rsidRDefault="004346F3" w:rsidP="00802ABC">
            <w:pPr>
              <w:spacing w:after="0"/>
              <w:jc w:val="center"/>
              <w:rPr>
                <w:lang w:val="zh-CN"/>
              </w:rPr>
            </w:pPr>
            <w:r w:rsidRPr="00536CFD">
              <w:rPr>
                <w:lang w:eastAsia="x-none"/>
              </w:rPr>
              <w:t>0.10</w:t>
            </w:r>
          </w:p>
        </w:tc>
        <w:tc>
          <w:tcPr>
            <w:tcW w:w="676" w:type="dxa"/>
            <w:tcBorders>
              <w:top w:val="single" w:sz="4" w:space="0" w:color="auto"/>
              <w:left w:val="nil"/>
              <w:bottom w:val="single" w:sz="4" w:space="0" w:color="auto"/>
              <w:right w:val="single" w:sz="4" w:space="0" w:color="auto"/>
            </w:tcBorders>
            <w:shd w:val="clear" w:color="auto" w:fill="auto"/>
            <w:vAlign w:val="center"/>
          </w:tcPr>
          <w:p w14:paraId="0F5FB0B6" w14:textId="77777777" w:rsidR="004346F3" w:rsidRPr="00536CFD" w:rsidRDefault="004346F3" w:rsidP="00802ABC">
            <w:pPr>
              <w:spacing w:after="0"/>
              <w:jc w:val="center"/>
              <w:rPr>
                <w:lang w:val="zh-CN"/>
              </w:rPr>
            </w:pPr>
            <w:r w:rsidRPr="00536CFD">
              <w:rPr>
                <w:lang w:eastAsia="x-none"/>
              </w:rPr>
              <w:t>0.08</w:t>
            </w:r>
          </w:p>
        </w:tc>
      </w:tr>
      <w:tr w:rsidR="004346F3" w:rsidRPr="00C64ECB" w14:paraId="5F40148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D8B0B14"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A34FC60"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DC296F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center"/>
          </w:tcPr>
          <w:p w14:paraId="1D263C07" w14:textId="77777777" w:rsidR="004346F3" w:rsidRPr="00536CFD" w:rsidRDefault="004346F3" w:rsidP="00802ABC">
            <w:pPr>
              <w:spacing w:after="0"/>
              <w:jc w:val="center"/>
              <w:rPr>
                <w:lang w:val="zh-CN"/>
              </w:rPr>
            </w:pPr>
            <w:r w:rsidRPr="00536CFD">
              <w:rPr>
                <w:lang w:eastAsia="x-none"/>
              </w:rPr>
              <w:t>0.31</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5ED99828" w14:textId="77777777" w:rsidR="004346F3" w:rsidRPr="00536CFD" w:rsidRDefault="004346F3" w:rsidP="00802ABC">
            <w:pPr>
              <w:spacing w:after="0"/>
              <w:jc w:val="center"/>
              <w:rPr>
                <w:lang w:val="zh-CN"/>
              </w:rPr>
            </w:pPr>
            <w:r w:rsidRPr="00536CFD">
              <w:rPr>
                <w:lang w:eastAsia="x-none"/>
              </w:rPr>
              <w:t>0.23</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5CAF1889" w14:textId="77777777" w:rsidR="004346F3" w:rsidRPr="00536CFD" w:rsidRDefault="004346F3" w:rsidP="00802ABC">
            <w:pPr>
              <w:spacing w:after="0"/>
              <w:jc w:val="center"/>
              <w:rPr>
                <w:lang w:val="zh-CN"/>
              </w:rPr>
            </w:pPr>
            <w:r w:rsidRPr="00536CFD">
              <w:rPr>
                <w:lang w:eastAsia="x-none"/>
              </w:rPr>
              <w:t>0.15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44D3016" w14:textId="77777777" w:rsidR="004346F3" w:rsidRPr="00536CFD" w:rsidRDefault="004346F3" w:rsidP="00802ABC">
            <w:pPr>
              <w:spacing w:after="0"/>
              <w:jc w:val="center"/>
              <w:rPr>
                <w:lang w:val="zh-CN"/>
              </w:rPr>
            </w:pPr>
            <w:r w:rsidRPr="00536CFD">
              <w:rPr>
                <w:lang w:eastAsia="x-none"/>
              </w:rPr>
              <w:t>0.15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603AA08B" w14:textId="77777777" w:rsidR="004346F3" w:rsidRPr="00536CFD" w:rsidRDefault="004346F3" w:rsidP="00802ABC">
            <w:pPr>
              <w:spacing w:after="0"/>
              <w:jc w:val="center"/>
              <w:rPr>
                <w:lang w:val="zh-CN"/>
              </w:rPr>
            </w:pPr>
            <w:r w:rsidRPr="00536CFD">
              <w:rPr>
                <w:lang w:eastAsia="x-none"/>
              </w:rPr>
              <w:t>2.45</w:t>
            </w:r>
          </w:p>
        </w:tc>
        <w:tc>
          <w:tcPr>
            <w:tcW w:w="714" w:type="dxa"/>
            <w:tcBorders>
              <w:top w:val="single" w:sz="4" w:space="0" w:color="auto"/>
              <w:left w:val="nil"/>
              <w:bottom w:val="single" w:sz="4" w:space="0" w:color="auto"/>
              <w:right w:val="single" w:sz="4" w:space="0" w:color="auto"/>
            </w:tcBorders>
            <w:shd w:val="clear" w:color="auto" w:fill="auto"/>
            <w:vAlign w:val="center"/>
          </w:tcPr>
          <w:p w14:paraId="442DEB8F" w14:textId="77777777" w:rsidR="004346F3" w:rsidRPr="00536CFD" w:rsidRDefault="004346F3" w:rsidP="00802ABC">
            <w:pPr>
              <w:spacing w:after="0"/>
              <w:jc w:val="center"/>
              <w:rPr>
                <w:lang w:val="zh-CN"/>
              </w:rPr>
            </w:pPr>
            <w:r w:rsidRPr="00536CFD">
              <w:rPr>
                <w:lang w:eastAsia="x-none"/>
              </w:rPr>
              <w:t>0.48</w:t>
            </w:r>
          </w:p>
        </w:tc>
        <w:tc>
          <w:tcPr>
            <w:tcW w:w="719" w:type="dxa"/>
            <w:tcBorders>
              <w:top w:val="single" w:sz="4" w:space="0" w:color="auto"/>
              <w:left w:val="nil"/>
              <w:bottom w:val="single" w:sz="4" w:space="0" w:color="auto"/>
              <w:right w:val="single" w:sz="4" w:space="0" w:color="auto"/>
            </w:tcBorders>
            <w:shd w:val="clear" w:color="auto" w:fill="auto"/>
            <w:vAlign w:val="center"/>
          </w:tcPr>
          <w:p w14:paraId="30B2987A" w14:textId="77777777" w:rsidR="004346F3" w:rsidRPr="00536CFD" w:rsidRDefault="004346F3" w:rsidP="00802ABC">
            <w:pPr>
              <w:spacing w:after="0"/>
              <w:jc w:val="center"/>
              <w:rPr>
                <w:lang w:val="zh-CN"/>
              </w:rPr>
            </w:pPr>
            <w:r w:rsidRPr="00536CFD">
              <w:rPr>
                <w:lang w:eastAsia="x-none"/>
              </w:rPr>
              <w:t>0.26</w:t>
            </w:r>
          </w:p>
        </w:tc>
        <w:tc>
          <w:tcPr>
            <w:tcW w:w="719" w:type="dxa"/>
            <w:tcBorders>
              <w:top w:val="single" w:sz="4" w:space="0" w:color="auto"/>
              <w:left w:val="nil"/>
              <w:bottom w:val="single" w:sz="4" w:space="0" w:color="auto"/>
              <w:right w:val="single" w:sz="4" w:space="0" w:color="auto"/>
            </w:tcBorders>
            <w:shd w:val="clear" w:color="auto" w:fill="auto"/>
            <w:vAlign w:val="center"/>
          </w:tcPr>
          <w:p w14:paraId="4E905DC1" w14:textId="77777777" w:rsidR="004346F3" w:rsidRPr="00536CFD" w:rsidRDefault="004346F3" w:rsidP="00802ABC">
            <w:pPr>
              <w:spacing w:after="0"/>
              <w:jc w:val="center"/>
              <w:rPr>
                <w:lang w:val="zh-CN"/>
              </w:rPr>
            </w:pPr>
            <w:r w:rsidRPr="00536CFD">
              <w:rPr>
                <w:lang w:eastAsia="x-none"/>
              </w:rPr>
              <w:t>0.22</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369A25D" w14:textId="77777777" w:rsidR="004346F3" w:rsidRPr="00536CFD" w:rsidRDefault="004346F3" w:rsidP="00802ABC">
            <w:pPr>
              <w:spacing w:after="0"/>
              <w:jc w:val="center"/>
              <w:rPr>
                <w:lang w:val="zh-CN"/>
              </w:rPr>
            </w:pPr>
            <w:r w:rsidRPr="00536CFD">
              <w:rPr>
                <w:lang w:eastAsia="x-none"/>
              </w:rPr>
              <w:t>5.44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68676D1" w14:textId="77777777" w:rsidR="004346F3" w:rsidRPr="00536CFD" w:rsidRDefault="004346F3" w:rsidP="00802ABC">
            <w:pPr>
              <w:spacing w:after="0"/>
              <w:jc w:val="center"/>
              <w:rPr>
                <w:lang w:val="zh-CN"/>
              </w:rPr>
            </w:pPr>
            <w:r w:rsidRPr="00536CFD">
              <w:rPr>
                <w:lang w:eastAsia="x-none"/>
              </w:rPr>
              <w:t>0.93</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F891021" w14:textId="77777777" w:rsidR="004346F3" w:rsidRPr="00536CFD" w:rsidRDefault="004346F3" w:rsidP="00802ABC">
            <w:pPr>
              <w:spacing w:after="0"/>
              <w:jc w:val="center"/>
              <w:rPr>
                <w:lang w:val="zh-CN"/>
              </w:rPr>
            </w:pPr>
            <w:r w:rsidRPr="00536CFD">
              <w:rPr>
                <w:lang w:eastAsia="x-none"/>
              </w:rPr>
              <w:t>0.44</w:t>
            </w:r>
          </w:p>
        </w:tc>
        <w:tc>
          <w:tcPr>
            <w:tcW w:w="676" w:type="dxa"/>
            <w:tcBorders>
              <w:top w:val="single" w:sz="4" w:space="0" w:color="auto"/>
              <w:left w:val="nil"/>
              <w:bottom w:val="single" w:sz="4" w:space="0" w:color="auto"/>
              <w:right w:val="single" w:sz="4" w:space="0" w:color="auto"/>
            </w:tcBorders>
            <w:shd w:val="clear" w:color="auto" w:fill="auto"/>
            <w:vAlign w:val="center"/>
          </w:tcPr>
          <w:p w14:paraId="483CCAE2" w14:textId="77777777" w:rsidR="004346F3" w:rsidRPr="00536CFD" w:rsidRDefault="004346F3" w:rsidP="00802ABC">
            <w:pPr>
              <w:spacing w:after="0"/>
              <w:jc w:val="center"/>
              <w:rPr>
                <w:lang w:val="zh-CN"/>
              </w:rPr>
            </w:pPr>
            <w:r w:rsidRPr="00536CFD">
              <w:rPr>
                <w:lang w:eastAsia="x-none"/>
              </w:rPr>
              <w:t>0.29</w:t>
            </w:r>
          </w:p>
        </w:tc>
      </w:tr>
      <w:tr w:rsidR="004346F3" w:rsidRPr="00C64ECB" w14:paraId="41BDADE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8610D8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E510FF7"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6DE76B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center"/>
          </w:tcPr>
          <w:p w14:paraId="1F7CE0E3" w14:textId="77777777" w:rsidR="004346F3" w:rsidRPr="00536CFD" w:rsidRDefault="004346F3" w:rsidP="00802ABC">
            <w:pPr>
              <w:spacing w:after="0"/>
              <w:jc w:val="center"/>
              <w:rPr>
                <w:lang w:val="zh-CN"/>
              </w:rPr>
            </w:pPr>
            <w:r w:rsidRPr="00536CFD">
              <w:rPr>
                <w:lang w:eastAsia="x-none"/>
              </w:rPr>
              <w:t>0.13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4CC23DB" w14:textId="77777777" w:rsidR="004346F3" w:rsidRPr="00536CFD" w:rsidRDefault="004346F3" w:rsidP="00802ABC">
            <w:pPr>
              <w:spacing w:after="0"/>
              <w:jc w:val="center"/>
              <w:rPr>
                <w:lang w:val="zh-CN"/>
              </w:rPr>
            </w:pPr>
            <w:r w:rsidRPr="00536CFD">
              <w:rPr>
                <w:lang w:eastAsia="x-none"/>
              </w:rPr>
              <w:t>0.10</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768855A8" w14:textId="77777777" w:rsidR="004346F3" w:rsidRPr="00536CFD" w:rsidRDefault="004346F3" w:rsidP="00802ABC">
            <w:pPr>
              <w:spacing w:after="0"/>
              <w:jc w:val="center"/>
              <w:rPr>
                <w:lang w:val="zh-CN"/>
              </w:rPr>
            </w:pPr>
            <w:r w:rsidRPr="00536CFD">
              <w:rPr>
                <w:lang w:eastAsia="x-none"/>
              </w:rPr>
              <w:t>0.07</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674B0AB6" w14:textId="77777777" w:rsidR="004346F3" w:rsidRPr="00536CFD" w:rsidRDefault="004346F3" w:rsidP="00802ABC">
            <w:pPr>
              <w:spacing w:after="0"/>
              <w:jc w:val="center"/>
              <w:rPr>
                <w:lang w:val="zh-CN"/>
              </w:rPr>
            </w:pPr>
            <w:r w:rsidRPr="00536CFD">
              <w:rPr>
                <w:lang w:eastAsia="x-none"/>
              </w:rPr>
              <w:t>0.07</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44E6CB8C" w14:textId="77777777" w:rsidR="004346F3" w:rsidRPr="00536CFD" w:rsidRDefault="004346F3" w:rsidP="00802ABC">
            <w:pPr>
              <w:spacing w:after="0"/>
              <w:jc w:val="center"/>
              <w:rPr>
                <w:lang w:val="zh-CN"/>
              </w:rPr>
            </w:pPr>
            <w:r w:rsidRPr="00536CFD">
              <w:rPr>
                <w:lang w:eastAsia="x-none"/>
              </w:rPr>
              <w:t>0.59</w:t>
            </w:r>
          </w:p>
        </w:tc>
        <w:tc>
          <w:tcPr>
            <w:tcW w:w="714" w:type="dxa"/>
            <w:tcBorders>
              <w:top w:val="single" w:sz="4" w:space="0" w:color="auto"/>
              <w:left w:val="nil"/>
              <w:bottom w:val="single" w:sz="4" w:space="0" w:color="auto"/>
              <w:right w:val="single" w:sz="4" w:space="0" w:color="auto"/>
            </w:tcBorders>
            <w:shd w:val="clear" w:color="auto" w:fill="auto"/>
            <w:vAlign w:val="center"/>
          </w:tcPr>
          <w:p w14:paraId="651B951F" w14:textId="77777777" w:rsidR="004346F3" w:rsidRPr="00536CFD" w:rsidRDefault="004346F3" w:rsidP="00802ABC">
            <w:pPr>
              <w:spacing w:after="0"/>
              <w:jc w:val="center"/>
              <w:rPr>
                <w:lang w:val="zh-CN"/>
              </w:rPr>
            </w:pPr>
            <w:r w:rsidRPr="00536CFD">
              <w:rPr>
                <w:lang w:eastAsia="x-none"/>
              </w:rPr>
              <w:t>0.16</w:t>
            </w:r>
          </w:p>
        </w:tc>
        <w:tc>
          <w:tcPr>
            <w:tcW w:w="719" w:type="dxa"/>
            <w:tcBorders>
              <w:top w:val="single" w:sz="4" w:space="0" w:color="auto"/>
              <w:left w:val="nil"/>
              <w:bottom w:val="single" w:sz="4" w:space="0" w:color="auto"/>
              <w:right w:val="single" w:sz="4" w:space="0" w:color="auto"/>
            </w:tcBorders>
            <w:shd w:val="clear" w:color="auto" w:fill="auto"/>
            <w:vAlign w:val="center"/>
          </w:tcPr>
          <w:p w14:paraId="6E34A93D" w14:textId="77777777" w:rsidR="004346F3" w:rsidRPr="00536CFD" w:rsidRDefault="004346F3" w:rsidP="00802ABC">
            <w:pPr>
              <w:spacing w:after="0"/>
              <w:jc w:val="center"/>
              <w:rPr>
                <w:lang w:val="zh-CN"/>
              </w:rPr>
            </w:pPr>
            <w:r w:rsidRPr="00536CFD">
              <w:rPr>
                <w:lang w:eastAsia="x-none"/>
              </w:rPr>
              <w:t>0.10</w:t>
            </w:r>
          </w:p>
        </w:tc>
        <w:tc>
          <w:tcPr>
            <w:tcW w:w="719" w:type="dxa"/>
            <w:tcBorders>
              <w:top w:val="single" w:sz="4" w:space="0" w:color="auto"/>
              <w:left w:val="nil"/>
              <w:bottom w:val="single" w:sz="4" w:space="0" w:color="auto"/>
              <w:right w:val="single" w:sz="4" w:space="0" w:color="auto"/>
            </w:tcBorders>
            <w:shd w:val="clear" w:color="auto" w:fill="auto"/>
            <w:vAlign w:val="center"/>
          </w:tcPr>
          <w:p w14:paraId="754D8756" w14:textId="77777777" w:rsidR="004346F3" w:rsidRPr="00536CFD" w:rsidRDefault="004346F3" w:rsidP="00802ABC">
            <w:pPr>
              <w:spacing w:after="0"/>
              <w:jc w:val="center"/>
              <w:rPr>
                <w:lang w:val="zh-CN"/>
              </w:rPr>
            </w:pPr>
            <w:r w:rsidRPr="00536CFD">
              <w:rPr>
                <w:lang w:eastAsia="x-none"/>
              </w:rPr>
              <w:t>0.09</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3A4DE9F3" w14:textId="77777777" w:rsidR="004346F3" w:rsidRPr="00536CFD" w:rsidRDefault="004346F3" w:rsidP="00802ABC">
            <w:pPr>
              <w:spacing w:after="0"/>
              <w:jc w:val="center"/>
              <w:rPr>
                <w:lang w:val="zh-CN"/>
              </w:rPr>
            </w:pPr>
            <w:r w:rsidRPr="00536CFD">
              <w:rPr>
                <w:lang w:eastAsia="x-none"/>
              </w:rPr>
              <w:t>1.04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A14E4EB" w14:textId="77777777" w:rsidR="004346F3" w:rsidRPr="00536CFD" w:rsidRDefault="004346F3" w:rsidP="00802ABC">
            <w:pPr>
              <w:spacing w:after="0"/>
              <w:jc w:val="center"/>
              <w:rPr>
                <w:lang w:val="zh-CN"/>
              </w:rPr>
            </w:pPr>
            <w:r w:rsidRPr="00536CFD">
              <w:rPr>
                <w:lang w:eastAsia="x-none"/>
              </w:rPr>
              <w:t>0.28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6E9EFCCF" w14:textId="77777777" w:rsidR="004346F3" w:rsidRPr="00536CFD" w:rsidRDefault="004346F3" w:rsidP="00802ABC">
            <w:pPr>
              <w:spacing w:after="0"/>
              <w:jc w:val="center"/>
              <w:rPr>
                <w:lang w:val="zh-CN"/>
              </w:rPr>
            </w:pPr>
            <w:r w:rsidRPr="00536CFD">
              <w:rPr>
                <w:lang w:eastAsia="x-none"/>
              </w:rPr>
              <w:t>0.15</w:t>
            </w:r>
          </w:p>
        </w:tc>
        <w:tc>
          <w:tcPr>
            <w:tcW w:w="676" w:type="dxa"/>
            <w:tcBorders>
              <w:top w:val="single" w:sz="4" w:space="0" w:color="auto"/>
              <w:left w:val="nil"/>
              <w:bottom w:val="single" w:sz="4" w:space="0" w:color="auto"/>
              <w:right w:val="single" w:sz="4" w:space="0" w:color="auto"/>
            </w:tcBorders>
            <w:shd w:val="clear" w:color="auto" w:fill="auto"/>
            <w:vAlign w:val="center"/>
          </w:tcPr>
          <w:p w14:paraId="6455918D" w14:textId="77777777" w:rsidR="004346F3" w:rsidRPr="00536CFD" w:rsidRDefault="004346F3" w:rsidP="00802ABC">
            <w:pPr>
              <w:spacing w:after="0"/>
              <w:jc w:val="center"/>
              <w:rPr>
                <w:lang w:val="zh-CN"/>
              </w:rPr>
            </w:pPr>
            <w:r w:rsidRPr="00536CFD">
              <w:rPr>
                <w:lang w:eastAsia="x-none"/>
              </w:rPr>
              <w:t>0.11</w:t>
            </w:r>
          </w:p>
        </w:tc>
      </w:tr>
      <w:tr w:rsidR="004346F3" w:rsidRPr="00C64ECB" w14:paraId="4D9FFD1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4C57566"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463594E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109E73B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center"/>
          </w:tcPr>
          <w:p w14:paraId="29CA928B" w14:textId="77777777" w:rsidR="004346F3" w:rsidRPr="00536CFD" w:rsidRDefault="004346F3" w:rsidP="00802ABC">
            <w:pPr>
              <w:spacing w:after="0"/>
              <w:jc w:val="center"/>
              <w:rPr>
                <w:lang w:val="zh-CN"/>
              </w:rPr>
            </w:pPr>
            <w:r w:rsidRPr="00536CFD">
              <w:rPr>
                <w:lang w:eastAsia="x-none"/>
              </w:rPr>
              <w:t>9.82</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5B64AE85" w14:textId="77777777" w:rsidR="004346F3" w:rsidRPr="00536CFD" w:rsidRDefault="004346F3" w:rsidP="00802ABC">
            <w:pPr>
              <w:spacing w:after="0"/>
              <w:jc w:val="center"/>
              <w:rPr>
                <w:lang w:val="zh-CN"/>
              </w:rPr>
            </w:pPr>
            <w:r w:rsidRPr="00536CFD">
              <w:rPr>
                <w:lang w:eastAsia="x-none"/>
              </w:rPr>
              <w:t>15.94</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4087FDDB" w14:textId="77777777" w:rsidR="004346F3" w:rsidRPr="00536CFD" w:rsidRDefault="004346F3" w:rsidP="00802ABC">
            <w:pPr>
              <w:spacing w:after="0"/>
              <w:jc w:val="center"/>
              <w:rPr>
                <w:lang w:val="zh-CN"/>
              </w:rPr>
            </w:pPr>
            <w:r w:rsidRPr="00536CFD">
              <w:rPr>
                <w:lang w:eastAsia="x-none"/>
              </w:rPr>
              <w:t>20.73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C2296B9" w14:textId="77777777" w:rsidR="004346F3" w:rsidRPr="00536CFD" w:rsidRDefault="004346F3" w:rsidP="00802ABC">
            <w:pPr>
              <w:spacing w:after="0"/>
              <w:jc w:val="center"/>
              <w:rPr>
                <w:lang w:val="zh-CN"/>
              </w:rPr>
            </w:pPr>
            <w:r w:rsidRPr="00536CFD">
              <w:rPr>
                <w:lang w:eastAsia="x-none"/>
              </w:rPr>
              <w:t>22.60</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15FCFAB8" w14:textId="77777777" w:rsidR="004346F3" w:rsidRPr="00536CFD" w:rsidRDefault="004346F3" w:rsidP="00802ABC">
            <w:pPr>
              <w:spacing w:after="0"/>
              <w:jc w:val="center"/>
              <w:rPr>
                <w:lang w:val="zh-CN"/>
              </w:rPr>
            </w:pPr>
            <w:r w:rsidRPr="00536CFD">
              <w:rPr>
                <w:lang w:eastAsia="x-none"/>
              </w:rPr>
              <w:t>0.13</w:t>
            </w:r>
          </w:p>
        </w:tc>
        <w:tc>
          <w:tcPr>
            <w:tcW w:w="714" w:type="dxa"/>
            <w:tcBorders>
              <w:top w:val="single" w:sz="4" w:space="0" w:color="auto"/>
              <w:left w:val="nil"/>
              <w:bottom w:val="single" w:sz="4" w:space="0" w:color="auto"/>
              <w:right w:val="single" w:sz="4" w:space="0" w:color="auto"/>
            </w:tcBorders>
            <w:shd w:val="clear" w:color="auto" w:fill="auto"/>
            <w:vAlign w:val="center"/>
          </w:tcPr>
          <w:p w14:paraId="252B3193" w14:textId="77777777" w:rsidR="004346F3" w:rsidRPr="00536CFD" w:rsidRDefault="004346F3" w:rsidP="00802ABC">
            <w:pPr>
              <w:spacing w:after="0"/>
              <w:jc w:val="center"/>
              <w:rPr>
                <w:lang w:val="zh-CN"/>
              </w:rPr>
            </w:pPr>
            <w:r w:rsidRPr="00536CFD">
              <w:rPr>
                <w:lang w:eastAsia="x-none"/>
              </w:rPr>
              <w:t>6.04</w:t>
            </w:r>
          </w:p>
        </w:tc>
        <w:tc>
          <w:tcPr>
            <w:tcW w:w="719" w:type="dxa"/>
            <w:tcBorders>
              <w:top w:val="single" w:sz="4" w:space="0" w:color="auto"/>
              <w:left w:val="nil"/>
              <w:bottom w:val="single" w:sz="4" w:space="0" w:color="auto"/>
              <w:right w:val="single" w:sz="4" w:space="0" w:color="auto"/>
            </w:tcBorders>
            <w:shd w:val="clear" w:color="auto" w:fill="auto"/>
            <w:vAlign w:val="center"/>
          </w:tcPr>
          <w:p w14:paraId="051987E2" w14:textId="77777777" w:rsidR="004346F3" w:rsidRPr="00536CFD" w:rsidRDefault="004346F3" w:rsidP="00802ABC">
            <w:pPr>
              <w:spacing w:after="0"/>
              <w:jc w:val="center"/>
              <w:rPr>
                <w:lang w:val="zh-CN"/>
              </w:rPr>
            </w:pPr>
            <w:r w:rsidRPr="00536CFD">
              <w:rPr>
                <w:lang w:eastAsia="x-none"/>
              </w:rPr>
              <w:t>11.24</w:t>
            </w:r>
          </w:p>
        </w:tc>
        <w:tc>
          <w:tcPr>
            <w:tcW w:w="719" w:type="dxa"/>
            <w:tcBorders>
              <w:top w:val="single" w:sz="4" w:space="0" w:color="auto"/>
              <w:left w:val="nil"/>
              <w:bottom w:val="single" w:sz="4" w:space="0" w:color="auto"/>
              <w:right w:val="single" w:sz="4" w:space="0" w:color="auto"/>
            </w:tcBorders>
            <w:shd w:val="clear" w:color="auto" w:fill="auto"/>
            <w:vAlign w:val="center"/>
          </w:tcPr>
          <w:p w14:paraId="3F7E9469" w14:textId="77777777" w:rsidR="004346F3" w:rsidRPr="00536CFD" w:rsidRDefault="004346F3" w:rsidP="00802ABC">
            <w:pPr>
              <w:spacing w:after="0"/>
              <w:jc w:val="center"/>
              <w:rPr>
                <w:lang w:val="zh-CN"/>
              </w:rPr>
            </w:pPr>
            <w:r w:rsidRPr="00536CFD">
              <w:rPr>
                <w:lang w:eastAsia="x-none"/>
              </w:rPr>
              <w:t>15.23</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6105988" w14:textId="77777777" w:rsidR="004346F3" w:rsidRPr="00536CFD" w:rsidRDefault="004346F3" w:rsidP="00802ABC">
            <w:pPr>
              <w:spacing w:after="0"/>
              <w:jc w:val="center"/>
              <w:rPr>
                <w:lang w:val="zh-CN"/>
              </w:rPr>
            </w:pPr>
            <w:r w:rsidRPr="00536CFD">
              <w:rPr>
                <w:lang w:eastAsia="x-none"/>
              </w:rPr>
              <w:t>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C47AAFE" w14:textId="77777777" w:rsidR="004346F3" w:rsidRPr="00536CFD" w:rsidRDefault="004346F3" w:rsidP="00802ABC">
            <w:pPr>
              <w:spacing w:after="0"/>
              <w:jc w:val="center"/>
              <w:rPr>
                <w:lang w:val="zh-CN"/>
              </w:rPr>
            </w:pPr>
            <w:r w:rsidRPr="00536CFD">
              <w:rPr>
                <w:lang w:eastAsia="x-none"/>
              </w:rPr>
              <w:t>2.27</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477C464" w14:textId="77777777" w:rsidR="004346F3" w:rsidRPr="00536CFD" w:rsidRDefault="004346F3" w:rsidP="00802ABC">
            <w:pPr>
              <w:spacing w:after="0"/>
              <w:jc w:val="center"/>
              <w:rPr>
                <w:lang w:val="zh-CN"/>
              </w:rPr>
            </w:pPr>
            <w:r w:rsidRPr="00536CFD">
              <w:rPr>
                <w:lang w:eastAsia="x-none"/>
              </w:rPr>
              <w:t>5.13</w:t>
            </w:r>
          </w:p>
        </w:tc>
        <w:tc>
          <w:tcPr>
            <w:tcW w:w="676" w:type="dxa"/>
            <w:tcBorders>
              <w:top w:val="single" w:sz="4" w:space="0" w:color="auto"/>
              <w:left w:val="nil"/>
              <w:bottom w:val="single" w:sz="4" w:space="0" w:color="auto"/>
              <w:right w:val="single" w:sz="4" w:space="0" w:color="auto"/>
            </w:tcBorders>
            <w:shd w:val="clear" w:color="auto" w:fill="auto"/>
            <w:vAlign w:val="center"/>
          </w:tcPr>
          <w:p w14:paraId="51B5FC61" w14:textId="77777777" w:rsidR="004346F3" w:rsidRPr="00536CFD" w:rsidRDefault="004346F3" w:rsidP="00802ABC">
            <w:pPr>
              <w:spacing w:after="0"/>
              <w:jc w:val="center"/>
              <w:rPr>
                <w:lang w:val="zh-CN"/>
              </w:rPr>
            </w:pPr>
            <w:r w:rsidRPr="00536CFD">
              <w:rPr>
                <w:lang w:eastAsia="x-none"/>
              </w:rPr>
              <w:t>10.83</w:t>
            </w:r>
          </w:p>
        </w:tc>
      </w:tr>
      <w:tr w:rsidR="004346F3" w:rsidRPr="00C64ECB" w14:paraId="1AA7CFE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DBD2BC2"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2D446122"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34F1CE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center"/>
          </w:tcPr>
          <w:p w14:paraId="7D14DC06" w14:textId="77777777" w:rsidR="004346F3" w:rsidRPr="00536CFD" w:rsidRDefault="004346F3" w:rsidP="00802ABC">
            <w:pPr>
              <w:spacing w:after="0"/>
              <w:jc w:val="center"/>
              <w:rPr>
                <w:lang w:val="zh-CN"/>
              </w:rPr>
            </w:pPr>
            <w:r w:rsidRPr="00536CFD">
              <w:rPr>
                <w:lang w:eastAsia="x-none"/>
              </w:rPr>
              <w:t>53.34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449DA07" w14:textId="77777777" w:rsidR="004346F3" w:rsidRPr="00536CFD" w:rsidRDefault="004346F3" w:rsidP="00802ABC">
            <w:pPr>
              <w:spacing w:after="0"/>
              <w:jc w:val="center"/>
              <w:rPr>
                <w:lang w:val="zh-CN"/>
              </w:rPr>
            </w:pPr>
            <w:r w:rsidRPr="00536CFD">
              <w:rPr>
                <w:lang w:eastAsia="x-none"/>
              </w:rPr>
              <w:t>61.85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403DFE28" w14:textId="77777777" w:rsidR="004346F3" w:rsidRPr="00536CFD" w:rsidRDefault="004346F3" w:rsidP="00802ABC">
            <w:pPr>
              <w:spacing w:after="0"/>
              <w:jc w:val="center"/>
              <w:rPr>
                <w:lang w:val="zh-CN"/>
              </w:rPr>
            </w:pPr>
            <w:r w:rsidRPr="00536CFD">
              <w:rPr>
                <w:lang w:eastAsia="x-none"/>
              </w:rPr>
              <w:t>64.43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54C268A" w14:textId="77777777" w:rsidR="004346F3" w:rsidRPr="00536CFD" w:rsidRDefault="004346F3" w:rsidP="00802ABC">
            <w:pPr>
              <w:spacing w:after="0"/>
              <w:jc w:val="center"/>
              <w:rPr>
                <w:lang w:val="zh-CN"/>
              </w:rPr>
            </w:pPr>
            <w:r w:rsidRPr="00536CFD">
              <w:rPr>
                <w:lang w:eastAsia="x-none"/>
              </w:rPr>
              <w:t>67.16</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756F4616" w14:textId="77777777" w:rsidR="004346F3" w:rsidRPr="00536CFD" w:rsidRDefault="004346F3" w:rsidP="00802ABC">
            <w:pPr>
              <w:spacing w:after="0"/>
              <w:jc w:val="center"/>
              <w:rPr>
                <w:lang w:val="zh-CN"/>
              </w:rPr>
            </w:pPr>
            <w:r w:rsidRPr="00536CFD">
              <w:rPr>
                <w:lang w:eastAsia="x-none"/>
              </w:rPr>
              <w:t>21.97</w:t>
            </w:r>
          </w:p>
        </w:tc>
        <w:tc>
          <w:tcPr>
            <w:tcW w:w="714" w:type="dxa"/>
            <w:tcBorders>
              <w:top w:val="single" w:sz="4" w:space="0" w:color="auto"/>
              <w:left w:val="nil"/>
              <w:bottom w:val="single" w:sz="4" w:space="0" w:color="auto"/>
              <w:right w:val="single" w:sz="4" w:space="0" w:color="auto"/>
            </w:tcBorders>
            <w:shd w:val="clear" w:color="auto" w:fill="auto"/>
            <w:vAlign w:val="center"/>
          </w:tcPr>
          <w:p w14:paraId="48E09E8C" w14:textId="77777777" w:rsidR="004346F3" w:rsidRPr="00536CFD" w:rsidRDefault="004346F3" w:rsidP="00802ABC">
            <w:pPr>
              <w:spacing w:after="0"/>
              <w:jc w:val="center"/>
              <w:rPr>
                <w:lang w:val="zh-CN"/>
              </w:rPr>
            </w:pPr>
            <w:r w:rsidRPr="00536CFD">
              <w:rPr>
                <w:lang w:eastAsia="x-none"/>
              </w:rPr>
              <w:t>49.45</w:t>
            </w:r>
          </w:p>
        </w:tc>
        <w:tc>
          <w:tcPr>
            <w:tcW w:w="719" w:type="dxa"/>
            <w:tcBorders>
              <w:top w:val="single" w:sz="4" w:space="0" w:color="auto"/>
              <w:left w:val="nil"/>
              <w:bottom w:val="single" w:sz="4" w:space="0" w:color="auto"/>
              <w:right w:val="single" w:sz="4" w:space="0" w:color="auto"/>
            </w:tcBorders>
            <w:shd w:val="clear" w:color="auto" w:fill="auto"/>
            <w:vAlign w:val="center"/>
          </w:tcPr>
          <w:p w14:paraId="6C2F31B4" w14:textId="77777777" w:rsidR="004346F3" w:rsidRPr="00536CFD" w:rsidRDefault="004346F3" w:rsidP="00802ABC">
            <w:pPr>
              <w:spacing w:after="0"/>
              <w:jc w:val="center"/>
              <w:rPr>
                <w:lang w:val="zh-CN"/>
              </w:rPr>
            </w:pPr>
            <w:r w:rsidRPr="00536CFD">
              <w:rPr>
                <w:lang w:eastAsia="x-none"/>
              </w:rPr>
              <w:t>44.78</w:t>
            </w:r>
          </w:p>
        </w:tc>
        <w:tc>
          <w:tcPr>
            <w:tcW w:w="719" w:type="dxa"/>
            <w:tcBorders>
              <w:top w:val="single" w:sz="4" w:space="0" w:color="auto"/>
              <w:left w:val="nil"/>
              <w:bottom w:val="single" w:sz="4" w:space="0" w:color="auto"/>
              <w:right w:val="single" w:sz="4" w:space="0" w:color="auto"/>
            </w:tcBorders>
            <w:shd w:val="clear" w:color="auto" w:fill="auto"/>
            <w:vAlign w:val="center"/>
          </w:tcPr>
          <w:p w14:paraId="6992C637" w14:textId="77777777" w:rsidR="004346F3" w:rsidRPr="00536CFD" w:rsidRDefault="004346F3" w:rsidP="00802ABC">
            <w:pPr>
              <w:spacing w:after="0"/>
              <w:jc w:val="center"/>
              <w:rPr>
                <w:lang w:val="zh-CN"/>
              </w:rPr>
            </w:pPr>
            <w:r w:rsidRPr="00536CFD">
              <w:rPr>
                <w:lang w:eastAsia="x-none"/>
              </w:rPr>
              <w:t>51.61</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3ECB27B0" w14:textId="77777777" w:rsidR="004346F3" w:rsidRPr="00536CFD" w:rsidRDefault="004346F3" w:rsidP="00802ABC">
            <w:pPr>
              <w:spacing w:after="0"/>
              <w:jc w:val="center"/>
              <w:rPr>
                <w:lang w:val="zh-CN"/>
              </w:rPr>
            </w:pPr>
            <w:r w:rsidRPr="00536CFD">
              <w:rPr>
                <w:lang w:eastAsia="x-none"/>
              </w:rPr>
              <w:t>10.85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2BE6082" w14:textId="77777777" w:rsidR="004346F3" w:rsidRPr="00536CFD" w:rsidRDefault="004346F3" w:rsidP="00802ABC">
            <w:pPr>
              <w:spacing w:after="0"/>
              <w:jc w:val="center"/>
              <w:rPr>
                <w:lang w:val="zh-CN"/>
              </w:rPr>
            </w:pPr>
            <w:r w:rsidRPr="00536CFD">
              <w:rPr>
                <w:lang w:eastAsia="x-none"/>
              </w:rPr>
              <w:t>37.78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C891F57" w14:textId="77777777" w:rsidR="004346F3" w:rsidRPr="00536CFD" w:rsidRDefault="004346F3" w:rsidP="00802ABC">
            <w:pPr>
              <w:spacing w:after="0"/>
              <w:jc w:val="center"/>
              <w:rPr>
                <w:lang w:val="zh-CN"/>
              </w:rPr>
            </w:pPr>
            <w:r w:rsidRPr="00536CFD">
              <w:rPr>
                <w:lang w:eastAsia="x-none"/>
              </w:rPr>
              <w:t>32.18</w:t>
            </w:r>
          </w:p>
        </w:tc>
        <w:tc>
          <w:tcPr>
            <w:tcW w:w="676" w:type="dxa"/>
            <w:tcBorders>
              <w:top w:val="single" w:sz="4" w:space="0" w:color="auto"/>
              <w:left w:val="nil"/>
              <w:bottom w:val="single" w:sz="4" w:space="0" w:color="auto"/>
              <w:right w:val="single" w:sz="4" w:space="0" w:color="auto"/>
            </w:tcBorders>
            <w:shd w:val="clear" w:color="auto" w:fill="auto"/>
            <w:vAlign w:val="center"/>
          </w:tcPr>
          <w:p w14:paraId="2384045B" w14:textId="77777777" w:rsidR="004346F3" w:rsidRPr="00536CFD" w:rsidRDefault="004346F3" w:rsidP="00802ABC">
            <w:pPr>
              <w:spacing w:after="0"/>
              <w:jc w:val="center"/>
              <w:rPr>
                <w:lang w:val="zh-CN"/>
              </w:rPr>
            </w:pPr>
            <w:r w:rsidRPr="00536CFD">
              <w:rPr>
                <w:lang w:eastAsia="x-none"/>
              </w:rPr>
              <w:t>44.13</w:t>
            </w:r>
          </w:p>
        </w:tc>
      </w:tr>
      <w:tr w:rsidR="004346F3" w:rsidRPr="00C64ECB" w14:paraId="74BD4ED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2E0B222"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11E7F91"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A10C6E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center"/>
          </w:tcPr>
          <w:p w14:paraId="30AA5A1D" w14:textId="77777777" w:rsidR="004346F3" w:rsidRPr="00536CFD" w:rsidRDefault="004346F3" w:rsidP="00802ABC">
            <w:pPr>
              <w:spacing w:after="0"/>
              <w:jc w:val="center"/>
              <w:rPr>
                <w:lang w:val="zh-CN"/>
              </w:rPr>
            </w:pPr>
            <w:r w:rsidRPr="00536CFD">
              <w:rPr>
                <w:lang w:eastAsia="x-none"/>
              </w:rPr>
              <w:t>78.72</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24FE31A" w14:textId="77777777" w:rsidR="004346F3" w:rsidRPr="00536CFD" w:rsidRDefault="004346F3" w:rsidP="00802ABC">
            <w:pPr>
              <w:spacing w:after="0"/>
              <w:jc w:val="center"/>
              <w:rPr>
                <w:lang w:val="zh-CN"/>
              </w:rPr>
            </w:pPr>
            <w:r w:rsidRPr="00536CFD">
              <w:rPr>
                <w:lang w:eastAsia="x-none"/>
              </w:rPr>
              <w:t>78.94</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1DC82ABF" w14:textId="77777777" w:rsidR="004346F3" w:rsidRPr="00536CFD" w:rsidRDefault="004346F3" w:rsidP="00802ABC">
            <w:pPr>
              <w:spacing w:after="0"/>
              <w:jc w:val="center"/>
              <w:rPr>
                <w:lang w:val="zh-CN"/>
              </w:rPr>
            </w:pPr>
            <w:r w:rsidRPr="00536CFD">
              <w:rPr>
                <w:lang w:eastAsia="x-none"/>
              </w:rPr>
              <w:t>83.22</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31CB41C" w14:textId="77777777" w:rsidR="004346F3" w:rsidRPr="00536CFD" w:rsidRDefault="004346F3" w:rsidP="00802ABC">
            <w:pPr>
              <w:spacing w:after="0"/>
              <w:jc w:val="center"/>
              <w:rPr>
                <w:lang w:val="zh-CN"/>
              </w:rPr>
            </w:pPr>
            <w:r w:rsidRPr="00536CFD">
              <w:rPr>
                <w:lang w:eastAsia="x-none"/>
              </w:rPr>
              <w:t>83.27</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1F365E08" w14:textId="77777777" w:rsidR="004346F3" w:rsidRPr="00536CFD" w:rsidRDefault="004346F3" w:rsidP="00802ABC">
            <w:pPr>
              <w:spacing w:after="0"/>
              <w:jc w:val="center"/>
              <w:rPr>
                <w:lang w:val="zh-CN"/>
              </w:rPr>
            </w:pPr>
            <w:r w:rsidRPr="00536CFD">
              <w:rPr>
                <w:lang w:eastAsia="x-none"/>
              </w:rPr>
              <w:t>74.24</w:t>
            </w:r>
          </w:p>
        </w:tc>
        <w:tc>
          <w:tcPr>
            <w:tcW w:w="714" w:type="dxa"/>
            <w:tcBorders>
              <w:top w:val="single" w:sz="4" w:space="0" w:color="auto"/>
              <w:left w:val="nil"/>
              <w:bottom w:val="single" w:sz="4" w:space="0" w:color="auto"/>
              <w:right w:val="single" w:sz="4" w:space="0" w:color="auto"/>
            </w:tcBorders>
            <w:shd w:val="clear" w:color="auto" w:fill="auto"/>
            <w:vAlign w:val="center"/>
          </w:tcPr>
          <w:p w14:paraId="03C213CE" w14:textId="77777777" w:rsidR="004346F3" w:rsidRPr="00536CFD" w:rsidRDefault="004346F3" w:rsidP="00802ABC">
            <w:pPr>
              <w:spacing w:after="0"/>
              <w:jc w:val="center"/>
              <w:rPr>
                <w:lang w:val="zh-CN"/>
              </w:rPr>
            </w:pPr>
            <w:r w:rsidRPr="00536CFD">
              <w:rPr>
                <w:lang w:eastAsia="x-none"/>
              </w:rPr>
              <w:t>78.63</w:t>
            </w:r>
          </w:p>
        </w:tc>
        <w:tc>
          <w:tcPr>
            <w:tcW w:w="719" w:type="dxa"/>
            <w:tcBorders>
              <w:top w:val="single" w:sz="4" w:space="0" w:color="auto"/>
              <w:left w:val="nil"/>
              <w:bottom w:val="single" w:sz="4" w:space="0" w:color="auto"/>
              <w:right w:val="single" w:sz="4" w:space="0" w:color="auto"/>
            </w:tcBorders>
            <w:shd w:val="clear" w:color="auto" w:fill="auto"/>
            <w:vAlign w:val="center"/>
          </w:tcPr>
          <w:p w14:paraId="477E7078" w14:textId="77777777" w:rsidR="004346F3" w:rsidRPr="00536CFD" w:rsidRDefault="004346F3" w:rsidP="00802ABC">
            <w:pPr>
              <w:spacing w:after="0"/>
              <w:jc w:val="center"/>
              <w:rPr>
                <w:lang w:val="zh-CN"/>
              </w:rPr>
            </w:pPr>
            <w:r w:rsidRPr="00536CFD">
              <w:rPr>
                <w:lang w:eastAsia="x-none"/>
              </w:rPr>
              <w:t>82.95</w:t>
            </w:r>
          </w:p>
        </w:tc>
        <w:tc>
          <w:tcPr>
            <w:tcW w:w="719" w:type="dxa"/>
            <w:tcBorders>
              <w:top w:val="single" w:sz="4" w:space="0" w:color="auto"/>
              <w:left w:val="nil"/>
              <w:bottom w:val="single" w:sz="4" w:space="0" w:color="auto"/>
              <w:right w:val="single" w:sz="4" w:space="0" w:color="auto"/>
            </w:tcBorders>
            <w:shd w:val="clear" w:color="auto" w:fill="auto"/>
            <w:vAlign w:val="center"/>
          </w:tcPr>
          <w:p w14:paraId="58AD92FE" w14:textId="77777777" w:rsidR="004346F3" w:rsidRPr="00536CFD" w:rsidRDefault="004346F3" w:rsidP="00802ABC">
            <w:pPr>
              <w:spacing w:after="0"/>
              <w:jc w:val="center"/>
              <w:rPr>
                <w:lang w:val="zh-CN"/>
              </w:rPr>
            </w:pPr>
            <w:r w:rsidRPr="00536CFD">
              <w:rPr>
                <w:lang w:eastAsia="x-none"/>
              </w:rPr>
              <w:t>83.10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5ED0D97" w14:textId="77777777" w:rsidR="004346F3" w:rsidRPr="00536CFD" w:rsidRDefault="004346F3" w:rsidP="00802ABC">
            <w:pPr>
              <w:spacing w:after="0"/>
              <w:jc w:val="center"/>
              <w:rPr>
                <w:lang w:val="zh-CN"/>
              </w:rPr>
            </w:pPr>
            <w:r w:rsidRPr="00536CFD">
              <w:rPr>
                <w:lang w:eastAsia="x-none"/>
              </w:rPr>
              <w:t>65.55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22F223D" w14:textId="77777777" w:rsidR="004346F3" w:rsidRPr="00536CFD" w:rsidRDefault="004346F3" w:rsidP="00802ABC">
            <w:pPr>
              <w:spacing w:after="0"/>
              <w:jc w:val="center"/>
              <w:rPr>
                <w:lang w:val="zh-CN"/>
              </w:rPr>
            </w:pPr>
            <w:r w:rsidRPr="00536CFD">
              <w:rPr>
                <w:lang w:eastAsia="x-none"/>
              </w:rPr>
              <w:t>78.07</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5414379" w14:textId="77777777" w:rsidR="004346F3" w:rsidRPr="00536CFD" w:rsidRDefault="004346F3" w:rsidP="00802ABC">
            <w:pPr>
              <w:spacing w:after="0"/>
              <w:jc w:val="center"/>
              <w:rPr>
                <w:lang w:val="zh-CN"/>
              </w:rPr>
            </w:pPr>
            <w:r w:rsidRPr="00536CFD">
              <w:rPr>
                <w:lang w:eastAsia="x-none"/>
              </w:rPr>
              <w:t>82.45</w:t>
            </w:r>
          </w:p>
        </w:tc>
        <w:tc>
          <w:tcPr>
            <w:tcW w:w="676" w:type="dxa"/>
            <w:tcBorders>
              <w:top w:val="single" w:sz="4" w:space="0" w:color="auto"/>
              <w:left w:val="nil"/>
              <w:bottom w:val="single" w:sz="4" w:space="0" w:color="auto"/>
              <w:right w:val="single" w:sz="4" w:space="0" w:color="auto"/>
            </w:tcBorders>
            <w:shd w:val="clear" w:color="auto" w:fill="auto"/>
            <w:vAlign w:val="center"/>
          </w:tcPr>
          <w:p w14:paraId="53C62D1B" w14:textId="77777777" w:rsidR="004346F3" w:rsidRPr="00536CFD" w:rsidRDefault="004346F3" w:rsidP="00802ABC">
            <w:pPr>
              <w:spacing w:after="0"/>
              <w:jc w:val="center"/>
              <w:rPr>
                <w:lang w:val="zh-CN"/>
              </w:rPr>
            </w:pPr>
            <w:r w:rsidRPr="00536CFD">
              <w:rPr>
                <w:lang w:eastAsia="x-none"/>
              </w:rPr>
              <w:t>82.91</w:t>
            </w:r>
          </w:p>
        </w:tc>
      </w:tr>
      <w:tr w:rsidR="004346F3" w:rsidRPr="00C64ECB" w14:paraId="181615B1"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D861C0B"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3CEEA3B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A0C906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center"/>
          </w:tcPr>
          <w:p w14:paraId="3F0BC9B5" w14:textId="77777777" w:rsidR="004346F3" w:rsidRPr="00536CFD" w:rsidRDefault="004346F3" w:rsidP="00802ABC">
            <w:pPr>
              <w:spacing w:after="0"/>
              <w:jc w:val="center"/>
              <w:rPr>
                <w:lang w:val="zh-CN"/>
              </w:rPr>
            </w:pPr>
            <w:r w:rsidRPr="00536CFD">
              <w:rPr>
                <w:lang w:eastAsia="x-none"/>
              </w:rPr>
              <w:t>50.04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245F0E2" w14:textId="77777777" w:rsidR="004346F3" w:rsidRPr="00536CFD" w:rsidRDefault="004346F3" w:rsidP="00802ABC">
            <w:pPr>
              <w:spacing w:after="0"/>
              <w:jc w:val="center"/>
              <w:rPr>
                <w:lang w:val="zh-CN"/>
              </w:rPr>
            </w:pPr>
            <w:r w:rsidRPr="00536CFD">
              <w:rPr>
                <w:lang w:eastAsia="x-none"/>
              </w:rPr>
              <w:t>56.20</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1036D68F" w14:textId="77777777" w:rsidR="004346F3" w:rsidRPr="00536CFD" w:rsidRDefault="004346F3" w:rsidP="00802ABC">
            <w:pPr>
              <w:spacing w:after="0"/>
              <w:jc w:val="center"/>
              <w:rPr>
                <w:lang w:val="zh-CN"/>
              </w:rPr>
            </w:pPr>
            <w:r w:rsidRPr="00536CFD">
              <w:rPr>
                <w:lang w:eastAsia="x-none"/>
              </w:rPr>
              <w:t>59.64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2D1F83A" w14:textId="77777777" w:rsidR="004346F3" w:rsidRPr="00536CFD" w:rsidRDefault="004346F3" w:rsidP="00802ABC">
            <w:pPr>
              <w:spacing w:after="0"/>
              <w:jc w:val="center"/>
              <w:rPr>
                <w:lang w:val="zh-CN"/>
              </w:rPr>
            </w:pPr>
            <w:r w:rsidRPr="00536CFD">
              <w:rPr>
                <w:lang w:eastAsia="x-none"/>
              </w:rPr>
              <w:t>61.19</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6C2C9F76" w14:textId="77777777" w:rsidR="004346F3" w:rsidRPr="00536CFD" w:rsidRDefault="004346F3" w:rsidP="00802ABC">
            <w:pPr>
              <w:spacing w:after="0"/>
              <w:jc w:val="center"/>
              <w:rPr>
                <w:lang w:val="zh-CN"/>
              </w:rPr>
            </w:pPr>
            <w:r w:rsidRPr="00536CFD">
              <w:rPr>
                <w:lang w:eastAsia="x-none"/>
              </w:rPr>
              <w:t>27.91</w:t>
            </w:r>
          </w:p>
        </w:tc>
        <w:tc>
          <w:tcPr>
            <w:tcW w:w="714" w:type="dxa"/>
            <w:tcBorders>
              <w:top w:val="single" w:sz="4" w:space="0" w:color="auto"/>
              <w:left w:val="nil"/>
              <w:bottom w:val="single" w:sz="4" w:space="0" w:color="auto"/>
              <w:right w:val="single" w:sz="4" w:space="0" w:color="auto"/>
            </w:tcBorders>
            <w:shd w:val="clear" w:color="auto" w:fill="auto"/>
            <w:vAlign w:val="center"/>
          </w:tcPr>
          <w:p w14:paraId="06EE5C45" w14:textId="77777777" w:rsidR="004346F3" w:rsidRPr="00536CFD" w:rsidRDefault="004346F3" w:rsidP="00802ABC">
            <w:pPr>
              <w:spacing w:after="0"/>
              <w:jc w:val="center"/>
              <w:rPr>
                <w:lang w:val="zh-CN"/>
              </w:rPr>
            </w:pPr>
            <w:r w:rsidRPr="00536CFD">
              <w:rPr>
                <w:lang w:eastAsia="x-none"/>
              </w:rPr>
              <w:t>46.73</w:t>
            </w:r>
          </w:p>
        </w:tc>
        <w:tc>
          <w:tcPr>
            <w:tcW w:w="719" w:type="dxa"/>
            <w:tcBorders>
              <w:top w:val="single" w:sz="4" w:space="0" w:color="auto"/>
              <w:left w:val="nil"/>
              <w:bottom w:val="single" w:sz="4" w:space="0" w:color="auto"/>
              <w:right w:val="single" w:sz="4" w:space="0" w:color="auto"/>
            </w:tcBorders>
            <w:shd w:val="clear" w:color="auto" w:fill="auto"/>
            <w:vAlign w:val="center"/>
          </w:tcPr>
          <w:p w14:paraId="015673D9" w14:textId="77777777" w:rsidR="004346F3" w:rsidRPr="00536CFD" w:rsidRDefault="004346F3" w:rsidP="00802ABC">
            <w:pPr>
              <w:spacing w:after="0"/>
              <w:jc w:val="center"/>
              <w:rPr>
                <w:lang w:val="zh-CN"/>
              </w:rPr>
            </w:pPr>
            <w:r w:rsidRPr="00536CFD">
              <w:rPr>
                <w:lang w:eastAsia="x-none"/>
              </w:rPr>
              <w:t>47.22</w:t>
            </w:r>
          </w:p>
        </w:tc>
        <w:tc>
          <w:tcPr>
            <w:tcW w:w="719" w:type="dxa"/>
            <w:tcBorders>
              <w:top w:val="single" w:sz="4" w:space="0" w:color="auto"/>
              <w:left w:val="nil"/>
              <w:bottom w:val="single" w:sz="4" w:space="0" w:color="auto"/>
              <w:right w:val="single" w:sz="4" w:space="0" w:color="auto"/>
            </w:tcBorders>
            <w:shd w:val="clear" w:color="auto" w:fill="auto"/>
            <w:vAlign w:val="center"/>
          </w:tcPr>
          <w:p w14:paraId="6CA708D2" w14:textId="77777777" w:rsidR="004346F3" w:rsidRPr="00536CFD" w:rsidRDefault="004346F3" w:rsidP="00802ABC">
            <w:pPr>
              <w:spacing w:after="0"/>
              <w:jc w:val="center"/>
              <w:rPr>
                <w:lang w:val="zh-CN"/>
              </w:rPr>
            </w:pPr>
            <w:r w:rsidRPr="00536CFD">
              <w:rPr>
                <w:lang w:eastAsia="x-none"/>
              </w:rPr>
              <w:t>52.26</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F0A5AF2" w14:textId="77777777" w:rsidR="004346F3" w:rsidRPr="00536CFD" w:rsidRDefault="004346F3" w:rsidP="00802ABC">
            <w:pPr>
              <w:spacing w:after="0"/>
              <w:jc w:val="center"/>
              <w:rPr>
                <w:lang w:val="zh-CN"/>
              </w:rPr>
            </w:pPr>
            <w:r w:rsidRPr="00536CFD">
              <w:rPr>
                <w:lang w:eastAsia="x-none"/>
              </w:rPr>
              <w:t>19.15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B4FE8A2" w14:textId="77777777" w:rsidR="004346F3" w:rsidRPr="00536CFD" w:rsidRDefault="004346F3" w:rsidP="00802ABC">
            <w:pPr>
              <w:spacing w:after="0"/>
              <w:jc w:val="center"/>
              <w:rPr>
                <w:lang w:val="zh-CN"/>
              </w:rPr>
            </w:pPr>
            <w:r w:rsidRPr="00536CFD">
              <w:rPr>
                <w:lang w:eastAsia="x-none"/>
              </w:rPr>
              <w:t>38.77</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339C45DA" w14:textId="77777777" w:rsidR="004346F3" w:rsidRPr="00536CFD" w:rsidRDefault="004346F3" w:rsidP="00802ABC">
            <w:pPr>
              <w:spacing w:after="0"/>
              <w:jc w:val="center"/>
              <w:rPr>
                <w:lang w:val="zh-CN"/>
              </w:rPr>
            </w:pPr>
            <w:r w:rsidRPr="00536CFD">
              <w:rPr>
                <w:lang w:eastAsia="x-none"/>
              </w:rPr>
              <w:t>37.81</w:t>
            </w:r>
          </w:p>
        </w:tc>
        <w:tc>
          <w:tcPr>
            <w:tcW w:w="676" w:type="dxa"/>
            <w:tcBorders>
              <w:top w:val="single" w:sz="4" w:space="0" w:color="auto"/>
              <w:left w:val="nil"/>
              <w:bottom w:val="single" w:sz="4" w:space="0" w:color="auto"/>
              <w:right w:val="single" w:sz="4" w:space="0" w:color="auto"/>
            </w:tcBorders>
            <w:shd w:val="clear" w:color="auto" w:fill="auto"/>
            <w:vAlign w:val="center"/>
          </w:tcPr>
          <w:p w14:paraId="0D307C1D" w14:textId="77777777" w:rsidR="004346F3" w:rsidRPr="00536CFD" w:rsidRDefault="004346F3" w:rsidP="00802ABC">
            <w:pPr>
              <w:spacing w:after="0"/>
              <w:jc w:val="center"/>
              <w:rPr>
                <w:lang w:val="zh-CN"/>
              </w:rPr>
            </w:pPr>
            <w:r w:rsidRPr="00536CFD">
              <w:rPr>
                <w:lang w:eastAsia="x-none"/>
              </w:rPr>
              <w:t>46.70</w:t>
            </w:r>
          </w:p>
        </w:tc>
      </w:tr>
      <w:tr w:rsidR="004346F3" w:rsidRPr="00C64ECB" w14:paraId="7C8CD2F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24AE0C6"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2D9DCB9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1999556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center"/>
          </w:tcPr>
          <w:p w14:paraId="2A6D09B6" w14:textId="77777777" w:rsidR="004346F3" w:rsidRPr="00536CFD" w:rsidRDefault="004346F3" w:rsidP="00802ABC">
            <w:pPr>
              <w:spacing w:after="0"/>
              <w:jc w:val="center"/>
              <w:rPr>
                <w:lang w:val="zh-CN"/>
              </w:rPr>
            </w:pPr>
            <w:r w:rsidRPr="00536CFD">
              <w:rPr>
                <w:lang w:eastAsia="x-none"/>
              </w:rPr>
              <w:t>0.05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41A49AF" w14:textId="77777777" w:rsidR="004346F3" w:rsidRPr="00536CFD" w:rsidRDefault="004346F3" w:rsidP="00802ABC">
            <w:pPr>
              <w:spacing w:after="0"/>
              <w:jc w:val="center"/>
              <w:rPr>
                <w:lang w:val="zh-CN"/>
              </w:rPr>
            </w:pPr>
            <w:r w:rsidRPr="00536CFD">
              <w:rPr>
                <w:lang w:eastAsia="x-none"/>
              </w:rPr>
              <w:t>0.05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6F898BBF" w14:textId="77777777" w:rsidR="004346F3" w:rsidRPr="00536CFD" w:rsidRDefault="004346F3" w:rsidP="00802ABC">
            <w:pPr>
              <w:spacing w:after="0"/>
              <w:jc w:val="center"/>
              <w:rPr>
                <w:lang w:val="zh-CN"/>
              </w:rPr>
            </w:pPr>
            <w:r w:rsidRPr="00536CFD">
              <w:rPr>
                <w:lang w:eastAsia="x-none"/>
              </w:rPr>
              <w:t>0.05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AC3220A" w14:textId="77777777" w:rsidR="004346F3" w:rsidRPr="00536CFD" w:rsidRDefault="004346F3" w:rsidP="00802ABC">
            <w:pPr>
              <w:spacing w:after="0"/>
              <w:jc w:val="center"/>
              <w:rPr>
                <w:lang w:val="zh-CN"/>
              </w:rPr>
            </w:pPr>
            <w:r w:rsidRPr="00536CFD">
              <w:rPr>
                <w:lang w:eastAsia="x-none"/>
              </w:rPr>
              <w:t>0.05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7AFD92A6" w14:textId="77777777" w:rsidR="004346F3" w:rsidRPr="00536CFD" w:rsidRDefault="004346F3" w:rsidP="00802ABC">
            <w:pPr>
              <w:spacing w:after="0"/>
              <w:jc w:val="center"/>
              <w:rPr>
                <w:lang w:val="zh-CN"/>
              </w:rPr>
            </w:pPr>
            <w:r w:rsidRPr="00536CFD">
              <w:rPr>
                <w:lang w:eastAsia="x-none"/>
              </w:rPr>
              <w:t>0.05</w:t>
            </w:r>
          </w:p>
        </w:tc>
        <w:tc>
          <w:tcPr>
            <w:tcW w:w="714" w:type="dxa"/>
            <w:tcBorders>
              <w:top w:val="single" w:sz="4" w:space="0" w:color="auto"/>
              <w:left w:val="nil"/>
              <w:bottom w:val="single" w:sz="4" w:space="0" w:color="auto"/>
              <w:right w:val="single" w:sz="4" w:space="0" w:color="auto"/>
            </w:tcBorders>
            <w:shd w:val="clear" w:color="auto" w:fill="auto"/>
            <w:vAlign w:val="bottom"/>
          </w:tcPr>
          <w:p w14:paraId="6CEFF345" w14:textId="77777777" w:rsidR="004346F3" w:rsidRPr="00536CFD" w:rsidRDefault="004346F3" w:rsidP="00802ABC">
            <w:pPr>
              <w:spacing w:after="0"/>
              <w:jc w:val="center"/>
              <w:rPr>
                <w:lang w:val="zh-CN"/>
              </w:rPr>
            </w:pPr>
            <w:r w:rsidRPr="00536CFD">
              <w:rPr>
                <w:lang w:eastAsia="x-none"/>
              </w:rPr>
              <w:t>0.05</w:t>
            </w:r>
          </w:p>
        </w:tc>
        <w:tc>
          <w:tcPr>
            <w:tcW w:w="719" w:type="dxa"/>
            <w:tcBorders>
              <w:top w:val="single" w:sz="4" w:space="0" w:color="auto"/>
              <w:left w:val="nil"/>
              <w:bottom w:val="single" w:sz="4" w:space="0" w:color="auto"/>
              <w:right w:val="single" w:sz="4" w:space="0" w:color="auto"/>
            </w:tcBorders>
            <w:shd w:val="clear" w:color="auto" w:fill="auto"/>
            <w:vAlign w:val="center"/>
          </w:tcPr>
          <w:p w14:paraId="4C549FC4" w14:textId="77777777" w:rsidR="004346F3" w:rsidRPr="00536CFD" w:rsidRDefault="004346F3" w:rsidP="00802ABC">
            <w:pPr>
              <w:spacing w:after="0"/>
              <w:jc w:val="center"/>
              <w:rPr>
                <w:lang w:val="zh-CN"/>
              </w:rPr>
            </w:pPr>
            <w:r w:rsidRPr="00536CFD">
              <w:rPr>
                <w:lang w:eastAsia="x-none"/>
              </w:rPr>
              <w:t>0.05</w:t>
            </w:r>
          </w:p>
        </w:tc>
        <w:tc>
          <w:tcPr>
            <w:tcW w:w="719" w:type="dxa"/>
            <w:tcBorders>
              <w:top w:val="single" w:sz="4" w:space="0" w:color="auto"/>
              <w:left w:val="nil"/>
              <w:bottom w:val="single" w:sz="4" w:space="0" w:color="auto"/>
              <w:right w:val="single" w:sz="4" w:space="0" w:color="auto"/>
            </w:tcBorders>
            <w:shd w:val="clear" w:color="auto" w:fill="auto"/>
            <w:vAlign w:val="center"/>
          </w:tcPr>
          <w:p w14:paraId="65820C3A" w14:textId="77777777" w:rsidR="004346F3" w:rsidRPr="00536CFD" w:rsidRDefault="004346F3" w:rsidP="00802ABC">
            <w:pPr>
              <w:spacing w:after="0"/>
              <w:jc w:val="center"/>
              <w:rPr>
                <w:lang w:val="zh-CN"/>
              </w:rPr>
            </w:pPr>
            <w:r w:rsidRPr="00536CFD">
              <w:rPr>
                <w:lang w:eastAsia="x-none"/>
              </w:rPr>
              <w:t>0.05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491BE7BC" w14:textId="77777777" w:rsidR="004346F3" w:rsidRPr="00536CFD" w:rsidRDefault="004346F3" w:rsidP="00802ABC">
            <w:pPr>
              <w:spacing w:after="0"/>
              <w:jc w:val="center"/>
              <w:rPr>
                <w:lang w:val="zh-CN"/>
              </w:rPr>
            </w:pPr>
            <w:r w:rsidRPr="00536CFD">
              <w:rPr>
                <w:lang w:eastAsia="x-none"/>
              </w:rPr>
              <w:t>0.06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E95E8E5" w14:textId="77777777" w:rsidR="004346F3" w:rsidRPr="00536CFD" w:rsidRDefault="004346F3" w:rsidP="00802ABC">
            <w:pPr>
              <w:spacing w:after="0"/>
              <w:jc w:val="center"/>
              <w:rPr>
                <w:lang w:val="zh-CN"/>
              </w:rPr>
            </w:pPr>
            <w:r w:rsidRPr="00536CFD">
              <w:rPr>
                <w:lang w:eastAsia="x-none"/>
              </w:rPr>
              <w:t>0.05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68146B9C" w14:textId="77777777" w:rsidR="004346F3" w:rsidRPr="00536CFD" w:rsidRDefault="004346F3" w:rsidP="00802ABC">
            <w:pPr>
              <w:spacing w:after="0"/>
              <w:jc w:val="center"/>
              <w:rPr>
                <w:lang w:val="zh-CN"/>
              </w:rPr>
            </w:pPr>
            <w:r w:rsidRPr="00536CFD">
              <w:rPr>
                <w:lang w:eastAsia="x-none"/>
              </w:rPr>
              <w:t>0.05</w:t>
            </w:r>
          </w:p>
        </w:tc>
        <w:tc>
          <w:tcPr>
            <w:tcW w:w="676" w:type="dxa"/>
            <w:tcBorders>
              <w:top w:val="single" w:sz="4" w:space="0" w:color="auto"/>
              <w:left w:val="nil"/>
              <w:bottom w:val="single" w:sz="4" w:space="0" w:color="auto"/>
              <w:right w:val="single" w:sz="4" w:space="0" w:color="auto"/>
            </w:tcBorders>
            <w:shd w:val="clear" w:color="auto" w:fill="auto"/>
            <w:vAlign w:val="center"/>
          </w:tcPr>
          <w:p w14:paraId="72713861" w14:textId="77777777" w:rsidR="004346F3" w:rsidRPr="00536CFD" w:rsidRDefault="004346F3" w:rsidP="00802ABC">
            <w:pPr>
              <w:spacing w:after="0"/>
              <w:jc w:val="center"/>
              <w:rPr>
                <w:lang w:val="zh-CN"/>
              </w:rPr>
            </w:pPr>
            <w:r w:rsidRPr="00536CFD">
              <w:rPr>
                <w:lang w:eastAsia="x-none"/>
              </w:rPr>
              <w:t>0.05</w:t>
            </w:r>
          </w:p>
        </w:tc>
      </w:tr>
      <w:tr w:rsidR="004346F3" w:rsidRPr="00C64ECB" w14:paraId="7087DC9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186B6D5"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820E683"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5138275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center"/>
          </w:tcPr>
          <w:p w14:paraId="72497F07" w14:textId="77777777" w:rsidR="004346F3" w:rsidRPr="00536CFD" w:rsidRDefault="004346F3" w:rsidP="00802ABC">
            <w:pPr>
              <w:spacing w:after="0"/>
              <w:jc w:val="center"/>
              <w:rPr>
                <w:lang w:val="zh-CN"/>
              </w:rPr>
            </w:pPr>
            <w:r w:rsidRPr="00536CFD">
              <w:rPr>
                <w:lang w:eastAsia="x-none"/>
              </w:rPr>
              <w:t>0.07</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89B349F" w14:textId="77777777" w:rsidR="004346F3" w:rsidRPr="00536CFD" w:rsidRDefault="004346F3" w:rsidP="00802ABC">
            <w:pPr>
              <w:spacing w:after="0"/>
              <w:jc w:val="center"/>
              <w:rPr>
                <w:lang w:val="zh-CN"/>
              </w:rPr>
            </w:pPr>
            <w:r w:rsidRPr="00536CFD">
              <w:rPr>
                <w:lang w:eastAsia="x-none"/>
              </w:rPr>
              <w:t>0.06</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453E5BA7" w14:textId="77777777" w:rsidR="004346F3" w:rsidRPr="00536CFD" w:rsidRDefault="004346F3" w:rsidP="00802ABC">
            <w:pPr>
              <w:spacing w:after="0"/>
              <w:jc w:val="center"/>
              <w:rPr>
                <w:lang w:val="zh-CN"/>
              </w:rPr>
            </w:pPr>
            <w:r w:rsidRPr="00536CFD">
              <w:rPr>
                <w:lang w:eastAsia="x-none"/>
              </w:rPr>
              <w:t>0.06</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44EEFBC" w14:textId="77777777" w:rsidR="004346F3" w:rsidRPr="00536CFD" w:rsidRDefault="004346F3" w:rsidP="00802ABC">
            <w:pPr>
              <w:spacing w:after="0"/>
              <w:jc w:val="center"/>
              <w:rPr>
                <w:lang w:val="zh-CN"/>
              </w:rPr>
            </w:pPr>
            <w:r w:rsidRPr="00536CFD">
              <w:rPr>
                <w:lang w:eastAsia="x-none"/>
              </w:rPr>
              <w:t>0.06</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634FBF82" w14:textId="77777777" w:rsidR="004346F3" w:rsidRPr="00536CFD" w:rsidRDefault="004346F3" w:rsidP="00802ABC">
            <w:pPr>
              <w:spacing w:after="0"/>
              <w:jc w:val="center"/>
              <w:rPr>
                <w:lang w:val="zh-CN"/>
              </w:rPr>
            </w:pPr>
            <w:r w:rsidRPr="00536CFD">
              <w:rPr>
                <w:lang w:eastAsia="x-none"/>
              </w:rPr>
              <w:t>0.17</w:t>
            </w:r>
          </w:p>
        </w:tc>
        <w:tc>
          <w:tcPr>
            <w:tcW w:w="714" w:type="dxa"/>
            <w:tcBorders>
              <w:top w:val="single" w:sz="4" w:space="0" w:color="auto"/>
              <w:left w:val="nil"/>
              <w:bottom w:val="single" w:sz="4" w:space="0" w:color="auto"/>
              <w:right w:val="single" w:sz="4" w:space="0" w:color="auto"/>
            </w:tcBorders>
            <w:shd w:val="clear" w:color="auto" w:fill="auto"/>
            <w:vAlign w:val="bottom"/>
          </w:tcPr>
          <w:p w14:paraId="0572D19F" w14:textId="77777777" w:rsidR="004346F3" w:rsidRPr="00536CFD" w:rsidRDefault="004346F3" w:rsidP="00802ABC">
            <w:pPr>
              <w:spacing w:after="0"/>
              <w:jc w:val="center"/>
              <w:rPr>
                <w:lang w:val="zh-CN"/>
              </w:rPr>
            </w:pPr>
            <w:r w:rsidRPr="00536CFD">
              <w:rPr>
                <w:lang w:eastAsia="x-none"/>
              </w:rPr>
              <w:t>0.08</w:t>
            </w:r>
          </w:p>
        </w:tc>
        <w:tc>
          <w:tcPr>
            <w:tcW w:w="719" w:type="dxa"/>
            <w:tcBorders>
              <w:top w:val="single" w:sz="4" w:space="0" w:color="auto"/>
              <w:left w:val="nil"/>
              <w:bottom w:val="single" w:sz="4" w:space="0" w:color="auto"/>
              <w:right w:val="single" w:sz="4" w:space="0" w:color="auto"/>
            </w:tcBorders>
            <w:shd w:val="clear" w:color="auto" w:fill="auto"/>
            <w:vAlign w:val="center"/>
          </w:tcPr>
          <w:p w14:paraId="20E069C0" w14:textId="77777777" w:rsidR="004346F3" w:rsidRPr="00536CFD" w:rsidRDefault="004346F3" w:rsidP="00802ABC">
            <w:pPr>
              <w:spacing w:after="0"/>
              <w:jc w:val="center"/>
              <w:rPr>
                <w:lang w:val="zh-CN"/>
              </w:rPr>
            </w:pPr>
            <w:r w:rsidRPr="00536CFD">
              <w:rPr>
                <w:lang w:eastAsia="x-none"/>
              </w:rPr>
              <w:t>0.09</w:t>
            </w:r>
          </w:p>
        </w:tc>
        <w:tc>
          <w:tcPr>
            <w:tcW w:w="719" w:type="dxa"/>
            <w:tcBorders>
              <w:top w:val="single" w:sz="4" w:space="0" w:color="auto"/>
              <w:left w:val="nil"/>
              <w:bottom w:val="single" w:sz="4" w:space="0" w:color="auto"/>
              <w:right w:val="single" w:sz="4" w:space="0" w:color="auto"/>
            </w:tcBorders>
            <w:shd w:val="clear" w:color="auto" w:fill="auto"/>
            <w:vAlign w:val="center"/>
          </w:tcPr>
          <w:p w14:paraId="5C45ABF0" w14:textId="77777777" w:rsidR="004346F3" w:rsidRPr="00536CFD" w:rsidRDefault="004346F3" w:rsidP="00802ABC">
            <w:pPr>
              <w:spacing w:after="0"/>
              <w:jc w:val="center"/>
              <w:rPr>
                <w:lang w:val="zh-CN"/>
              </w:rPr>
            </w:pPr>
            <w:r w:rsidRPr="00536CFD">
              <w:rPr>
                <w:lang w:eastAsia="x-none"/>
              </w:rPr>
              <w:t>0.08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7E1F113" w14:textId="77777777" w:rsidR="004346F3" w:rsidRPr="00536CFD" w:rsidRDefault="004346F3" w:rsidP="00802ABC">
            <w:pPr>
              <w:spacing w:after="0"/>
              <w:jc w:val="center"/>
              <w:rPr>
                <w:lang w:val="zh-CN"/>
              </w:rPr>
            </w:pPr>
            <w:r w:rsidRPr="00536CFD">
              <w:rPr>
                <w:lang w:eastAsia="x-none"/>
              </w:rPr>
              <w:t>0.30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1EA4C68" w14:textId="77777777" w:rsidR="004346F3" w:rsidRPr="00536CFD" w:rsidRDefault="004346F3" w:rsidP="00802ABC">
            <w:pPr>
              <w:spacing w:after="0"/>
              <w:jc w:val="center"/>
              <w:rPr>
                <w:lang w:val="zh-CN"/>
              </w:rPr>
            </w:pPr>
            <w:r w:rsidRPr="00536CFD">
              <w:rPr>
                <w:lang w:eastAsia="x-none"/>
              </w:rPr>
              <w:t>0.10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481F7D8" w14:textId="77777777" w:rsidR="004346F3" w:rsidRPr="00536CFD" w:rsidRDefault="004346F3" w:rsidP="00802ABC">
            <w:pPr>
              <w:spacing w:after="0"/>
              <w:jc w:val="center"/>
              <w:rPr>
                <w:lang w:val="zh-CN"/>
              </w:rPr>
            </w:pPr>
            <w:r w:rsidRPr="00536CFD">
              <w:rPr>
                <w:lang w:eastAsia="x-none"/>
              </w:rPr>
              <w:t>0.12</w:t>
            </w:r>
          </w:p>
        </w:tc>
        <w:tc>
          <w:tcPr>
            <w:tcW w:w="676" w:type="dxa"/>
            <w:tcBorders>
              <w:top w:val="single" w:sz="4" w:space="0" w:color="auto"/>
              <w:left w:val="nil"/>
              <w:bottom w:val="single" w:sz="4" w:space="0" w:color="auto"/>
              <w:right w:val="single" w:sz="4" w:space="0" w:color="auto"/>
            </w:tcBorders>
            <w:shd w:val="clear" w:color="auto" w:fill="auto"/>
            <w:vAlign w:val="center"/>
          </w:tcPr>
          <w:p w14:paraId="090DC694" w14:textId="77777777" w:rsidR="004346F3" w:rsidRPr="00536CFD" w:rsidRDefault="004346F3" w:rsidP="00802ABC">
            <w:pPr>
              <w:spacing w:after="0"/>
              <w:jc w:val="center"/>
              <w:rPr>
                <w:lang w:val="zh-CN"/>
              </w:rPr>
            </w:pPr>
            <w:r w:rsidRPr="00536CFD">
              <w:rPr>
                <w:lang w:eastAsia="x-none"/>
              </w:rPr>
              <w:t>0.09</w:t>
            </w:r>
          </w:p>
        </w:tc>
      </w:tr>
      <w:tr w:rsidR="004346F3" w:rsidRPr="00C64ECB" w14:paraId="453E7C0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725F82D"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6AEAB17"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5E67BE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center"/>
          </w:tcPr>
          <w:p w14:paraId="162C3226" w14:textId="77777777" w:rsidR="004346F3" w:rsidRPr="00536CFD" w:rsidRDefault="004346F3" w:rsidP="00802ABC">
            <w:pPr>
              <w:spacing w:after="0"/>
              <w:jc w:val="center"/>
              <w:rPr>
                <w:lang w:val="zh-CN"/>
              </w:rPr>
            </w:pPr>
            <w:r w:rsidRPr="00536CFD">
              <w:rPr>
                <w:lang w:eastAsia="x-none"/>
              </w:rPr>
              <w:t>0.39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88C9E7E" w14:textId="77777777" w:rsidR="004346F3" w:rsidRPr="00536CFD" w:rsidRDefault="004346F3" w:rsidP="00802ABC">
            <w:pPr>
              <w:spacing w:after="0"/>
              <w:jc w:val="center"/>
              <w:rPr>
                <w:lang w:val="zh-CN"/>
              </w:rPr>
            </w:pPr>
            <w:r w:rsidRPr="00536CFD">
              <w:rPr>
                <w:lang w:eastAsia="x-none"/>
              </w:rPr>
              <w:t>0.25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05A91494" w14:textId="77777777" w:rsidR="004346F3" w:rsidRPr="00536CFD" w:rsidRDefault="004346F3" w:rsidP="00802ABC">
            <w:pPr>
              <w:spacing w:after="0"/>
              <w:jc w:val="center"/>
              <w:rPr>
                <w:lang w:val="zh-CN"/>
              </w:rPr>
            </w:pPr>
            <w:r w:rsidRPr="00536CFD">
              <w:rPr>
                <w:lang w:eastAsia="x-none"/>
              </w:rPr>
              <w:t>0.19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2872C36" w14:textId="77777777" w:rsidR="004346F3" w:rsidRPr="00536CFD" w:rsidRDefault="004346F3" w:rsidP="00802ABC">
            <w:pPr>
              <w:spacing w:after="0"/>
              <w:jc w:val="center"/>
              <w:rPr>
                <w:lang w:val="zh-CN"/>
              </w:rPr>
            </w:pPr>
            <w:r w:rsidRPr="00536CFD">
              <w:rPr>
                <w:lang w:eastAsia="x-none"/>
              </w:rPr>
              <w:t>0.18</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56B7E12B" w14:textId="77777777" w:rsidR="004346F3" w:rsidRPr="00536CFD" w:rsidRDefault="004346F3" w:rsidP="00802ABC">
            <w:pPr>
              <w:spacing w:after="0"/>
              <w:jc w:val="center"/>
              <w:rPr>
                <w:lang w:val="zh-CN"/>
              </w:rPr>
            </w:pPr>
            <w:r w:rsidRPr="00536CFD">
              <w:rPr>
                <w:lang w:eastAsia="x-none"/>
              </w:rPr>
              <w:t>5.07</w:t>
            </w:r>
          </w:p>
        </w:tc>
        <w:tc>
          <w:tcPr>
            <w:tcW w:w="714" w:type="dxa"/>
            <w:tcBorders>
              <w:top w:val="single" w:sz="4" w:space="0" w:color="auto"/>
              <w:left w:val="nil"/>
              <w:bottom w:val="single" w:sz="4" w:space="0" w:color="auto"/>
              <w:right w:val="single" w:sz="4" w:space="0" w:color="auto"/>
            </w:tcBorders>
            <w:shd w:val="clear" w:color="auto" w:fill="auto"/>
            <w:vAlign w:val="center"/>
          </w:tcPr>
          <w:p w14:paraId="67460862" w14:textId="77777777" w:rsidR="004346F3" w:rsidRPr="00536CFD" w:rsidRDefault="004346F3" w:rsidP="00802ABC">
            <w:pPr>
              <w:spacing w:after="0"/>
              <w:jc w:val="center"/>
              <w:rPr>
                <w:lang w:val="zh-CN"/>
              </w:rPr>
            </w:pPr>
            <w:r w:rsidRPr="00536CFD">
              <w:rPr>
                <w:lang w:eastAsia="x-none"/>
              </w:rPr>
              <w:t>0.63</w:t>
            </w:r>
          </w:p>
        </w:tc>
        <w:tc>
          <w:tcPr>
            <w:tcW w:w="719" w:type="dxa"/>
            <w:tcBorders>
              <w:top w:val="single" w:sz="4" w:space="0" w:color="auto"/>
              <w:left w:val="nil"/>
              <w:bottom w:val="single" w:sz="4" w:space="0" w:color="auto"/>
              <w:right w:val="single" w:sz="4" w:space="0" w:color="auto"/>
            </w:tcBorders>
            <w:shd w:val="clear" w:color="auto" w:fill="auto"/>
            <w:vAlign w:val="center"/>
          </w:tcPr>
          <w:p w14:paraId="04BC88AC" w14:textId="77777777" w:rsidR="004346F3" w:rsidRPr="00536CFD" w:rsidRDefault="004346F3" w:rsidP="00802ABC">
            <w:pPr>
              <w:spacing w:after="0"/>
              <w:jc w:val="center"/>
              <w:rPr>
                <w:lang w:val="zh-CN"/>
              </w:rPr>
            </w:pPr>
            <w:r w:rsidRPr="00536CFD">
              <w:rPr>
                <w:lang w:eastAsia="x-none"/>
              </w:rPr>
              <w:t>0.35</w:t>
            </w:r>
          </w:p>
        </w:tc>
        <w:tc>
          <w:tcPr>
            <w:tcW w:w="719" w:type="dxa"/>
            <w:tcBorders>
              <w:top w:val="single" w:sz="4" w:space="0" w:color="auto"/>
              <w:left w:val="nil"/>
              <w:bottom w:val="single" w:sz="4" w:space="0" w:color="auto"/>
              <w:right w:val="single" w:sz="4" w:space="0" w:color="auto"/>
            </w:tcBorders>
            <w:shd w:val="clear" w:color="auto" w:fill="auto"/>
            <w:vAlign w:val="center"/>
          </w:tcPr>
          <w:p w14:paraId="4FD3E5A2" w14:textId="77777777" w:rsidR="004346F3" w:rsidRPr="00536CFD" w:rsidRDefault="004346F3" w:rsidP="00802ABC">
            <w:pPr>
              <w:spacing w:after="0"/>
              <w:jc w:val="center"/>
              <w:rPr>
                <w:lang w:val="zh-CN"/>
              </w:rPr>
            </w:pPr>
            <w:r w:rsidRPr="00536CFD">
              <w:rPr>
                <w:lang w:eastAsia="x-none"/>
              </w:rPr>
              <w:t>0.26</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F1D45B5" w14:textId="77777777" w:rsidR="004346F3" w:rsidRPr="00536CFD" w:rsidRDefault="004346F3" w:rsidP="00802ABC">
            <w:pPr>
              <w:spacing w:after="0"/>
              <w:jc w:val="center"/>
              <w:rPr>
                <w:lang w:val="zh-CN"/>
              </w:rPr>
            </w:pPr>
            <w:r w:rsidRPr="00536CFD">
              <w:rPr>
                <w:lang w:eastAsia="x-none"/>
              </w:rPr>
              <w:t>8.00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107D9A9" w14:textId="77777777" w:rsidR="004346F3" w:rsidRPr="00536CFD" w:rsidRDefault="004346F3" w:rsidP="00802ABC">
            <w:pPr>
              <w:spacing w:after="0"/>
              <w:jc w:val="center"/>
              <w:rPr>
                <w:lang w:val="zh-CN"/>
              </w:rPr>
            </w:pPr>
            <w:r w:rsidRPr="00536CFD">
              <w:rPr>
                <w:lang w:eastAsia="x-none"/>
              </w:rPr>
              <w:t>1.51</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5362F57" w14:textId="77777777" w:rsidR="004346F3" w:rsidRPr="00536CFD" w:rsidRDefault="004346F3" w:rsidP="00802ABC">
            <w:pPr>
              <w:spacing w:after="0"/>
              <w:jc w:val="center"/>
              <w:rPr>
                <w:lang w:val="zh-CN"/>
              </w:rPr>
            </w:pPr>
            <w:r w:rsidRPr="00536CFD">
              <w:rPr>
                <w:lang w:eastAsia="x-none"/>
              </w:rPr>
              <w:t>0.70</w:t>
            </w:r>
          </w:p>
        </w:tc>
        <w:tc>
          <w:tcPr>
            <w:tcW w:w="676" w:type="dxa"/>
            <w:tcBorders>
              <w:top w:val="single" w:sz="4" w:space="0" w:color="auto"/>
              <w:left w:val="nil"/>
              <w:bottom w:val="single" w:sz="4" w:space="0" w:color="auto"/>
              <w:right w:val="single" w:sz="4" w:space="0" w:color="auto"/>
            </w:tcBorders>
            <w:shd w:val="clear" w:color="auto" w:fill="auto"/>
            <w:vAlign w:val="center"/>
          </w:tcPr>
          <w:p w14:paraId="1AC2FBB1" w14:textId="77777777" w:rsidR="004346F3" w:rsidRPr="00536CFD" w:rsidRDefault="004346F3" w:rsidP="00802ABC">
            <w:pPr>
              <w:spacing w:after="0"/>
              <w:jc w:val="center"/>
              <w:rPr>
                <w:lang w:val="zh-CN"/>
              </w:rPr>
            </w:pPr>
            <w:r w:rsidRPr="00536CFD">
              <w:rPr>
                <w:lang w:eastAsia="x-none"/>
              </w:rPr>
              <w:t>0.36</w:t>
            </w:r>
          </w:p>
        </w:tc>
      </w:tr>
      <w:tr w:rsidR="004346F3" w:rsidRPr="00C64ECB" w14:paraId="19920B1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9292ABB"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B590A06"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1E2439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center"/>
          </w:tcPr>
          <w:p w14:paraId="10481FFF" w14:textId="77777777" w:rsidR="004346F3" w:rsidRPr="00536CFD" w:rsidRDefault="004346F3" w:rsidP="00802ABC">
            <w:pPr>
              <w:spacing w:after="0"/>
              <w:jc w:val="center"/>
              <w:rPr>
                <w:lang w:val="zh-CN"/>
              </w:rPr>
            </w:pPr>
            <w:r w:rsidRPr="00536CFD">
              <w:rPr>
                <w:lang w:eastAsia="x-none"/>
              </w:rPr>
              <w:t>0.13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A004431" w14:textId="77777777" w:rsidR="004346F3" w:rsidRPr="00536CFD" w:rsidRDefault="004346F3" w:rsidP="00802ABC">
            <w:pPr>
              <w:spacing w:after="0"/>
              <w:jc w:val="center"/>
              <w:rPr>
                <w:lang w:val="zh-CN"/>
              </w:rPr>
            </w:pPr>
            <w:r w:rsidRPr="00536CFD">
              <w:rPr>
                <w:lang w:eastAsia="x-none"/>
              </w:rPr>
              <w:t>0.10</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3744DB60" w14:textId="77777777" w:rsidR="004346F3" w:rsidRPr="00536CFD" w:rsidRDefault="004346F3" w:rsidP="00802ABC">
            <w:pPr>
              <w:spacing w:after="0"/>
              <w:jc w:val="center"/>
              <w:rPr>
                <w:lang w:val="zh-CN"/>
              </w:rPr>
            </w:pPr>
            <w:r w:rsidRPr="00536CFD">
              <w:rPr>
                <w:lang w:eastAsia="x-none"/>
              </w:rPr>
              <w:t>0.08</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67A0C7F7" w14:textId="77777777" w:rsidR="004346F3" w:rsidRPr="00536CFD" w:rsidRDefault="004346F3" w:rsidP="00802ABC">
            <w:pPr>
              <w:spacing w:after="0"/>
              <w:jc w:val="center"/>
              <w:rPr>
                <w:lang w:val="zh-CN"/>
              </w:rPr>
            </w:pPr>
            <w:r w:rsidRPr="00536CFD">
              <w:rPr>
                <w:lang w:eastAsia="x-none"/>
              </w:rPr>
              <w:t>0.08</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1E24439F" w14:textId="77777777" w:rsidR="004346F3" w:rsidRPr="00536CFD" w:rsidRDefault="004346F3" w:rsidP="00802ABC">
            <w:pPr>
              <w:spacing w:after="0"/>
              <w:jc w:val="center"/>
              <w:rPr>
                <w:lang w:val="zh-CN"/>
              </w:rPr>
            </w:pPr>
            <w:r w:rsidRPr="00536CFD">
              <w:rPr>
                <w:lang w:eastAsia="x-none"/>
              </w:rPr>
              <w:t>0.83</w:t>
            </w:r>
          </w:p>
        </w:tc>
        <w:tc>
          <w:tcPr>
            <w:tcW w:w="714" w:type="dxa"/>
            <w:tcBorders>
              <w:top w:val="single" w:sz="4" w:space="0" w:color="auto"/>
              <w:left w:val="nil"/>
              <w:bottom w:val="single" w:sz="4" w:space="0" w:color="auto"/>
              <w:right w:val="single" w:sz="4" w:space="0" w:color="auto"/>
            </w:tcBorders>
            <w:shd w:val="clear" w:color="auto" w:fill="auto"/>
            <w:vAlign w:val="center"/>
          </w:tcPr>
          <w:p w14:paraId="7042EC06" w14:textId="77777777" w:rsidR="004346F3" w:rsidRPr="00536CFD" w:rsidRDefault="004346F3" w:rsidP="00802ABC">
            <w:pPr>
              <w:spacing w:after="0"/>
              <w:jc w:val="center"/>
              <w:rPr>
                <w:lang w:val="zh-CN"/>
              </w:rPr>
            </w:pPr>
            <w:r w:rsidRPr="00536CFD">
              <w:rPr>
                <w:lang w:eastAsia="x-none"/>
              </w:rPr>
              <w:t>0.19</w:t>
            </w:r>
          </w:p>
        </w:tc>
        <w:tc>
          <w:tcPr>
            <w:tcW w:w="719" w:type="dxa"/>
            <w:tcBorders>
              <w:top w:val="single" w:sz="4" w:space="0" w:color="auto"/>
              <w:left w:val="nil"/>
              <w:bottom w:val="single" w:sz="4" w:space="0" w:color="auto"/>
              <w:right w:val="single" w:sz="4" w:space="0" w:color="auto"/>
            </w:tcBorders>
            <w:shd w:val="clear" w:color="auto" w:fill="auto"/>
            <w:vAlign w:val="center"/>
          </w:tcPr>
          <w:p w14:paraId="52658409" w14:textId="77777777" w:rsidR="004346F3" w:rsidRPr="00536CFD" w:rsidRDefault="004346F3" w:rsidP="00802ABC">
            <w:pPr>
              <w:spacing w:after="0"/>
              <w:jc w:val="center"/>
              <w:rPr>
                <w:lang w:val="zh-CN"/>
              </w:rPr>
            </w:pPr>
            <w:r w:rsidRPr="00536CFD">
              <w:rPr>
                <w:lang w:eastAsia="x-none"/>
              </w:rPr>
              <w:t>0.13</w:t>
            </w:r>
          </w:p>
        </w:tc>
        <w:tc>
          <w:tcPr>
            <w:tcW w:w="719" w:type="dxa"/>
            <w:tcBorders>
              <w:top w:val="single" w:sz="4" w:space="0" w:color="auto"/>
              <w:left w:val="nil"/>
              <w:bottom w:val="single" w:sz="4" w:space="0" w:color="auto"/>
              <w:right w:val="single" w:sz="4" w:space="0" w:color="auto"/>
            </w:tcBorders>
            <w:shd w:val="clear" w:color="auto" w:fill="auto"/>
            <w:vAlign w:val="center"/>
          </w:tcPr>
          <w:p w14:paraId="1B872FCE" w14:textId="77777777" w:rsidR="004346F3" w:rsidRPr="00536CFD" w:rsidRDefault="004346F3" w:rsidP="00802ABC">
            <w:pPr>
              <w:spacing w:after="0"/>
              <w:jc w:val="center"/>
              <w:rPr>
                <w:lang w:val="zh-CN"/>
              </w:rPr>
            </w:pPr>
            <w:r w:rsidRPr="00536CFD">
              <w:rPr>
                <w:lang w:eastAsia="x-none"/>
              </w:rPr>
              <w:t>0.11</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C419FD8" w14:textId="77777777" w:rsidR="004346F3" w:rsidRPr="00536CFD" w:rsidRDefault="004346F3" w:rsidP="00802ABC">
            <w:pPr>
              <w:spacing w:after="0"/>
              <w:jc w:val="center"/>
              <w:rPr>
                <w:lang w:val="zh-CN"/>
              </w:rPr>
            </w:pPr>
            <w:r w:rsidRPr="00536CFD">
              <w:rPr>
                <w:lang w:eastAsia="x-none"/>
              </w:rPr>
              <w:t>1.39</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C9DE92C" w14:textId="77777777" w:rsidR="004346F3" w:rsidRPr="00536CFD" w:rsidRDefault="004346F3" w:rsidP="00802ABC">
            <w:pPr>
              <w:spacing w:after="0"/>
              <w:jc w:val="center"/>
              <w:rPr>
                <w:lang w:val="zh-CN"/>
              </w:rPr>
            </w:pPr>
            <w:r w:rsidRPr="00536CFD">
              <w:rPr>
                <w:lang w:eastAsia="x-none"/>
              </w:rPr>
              <w:t>0.38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10736AC" w14:textId="77777777" w:rsidR="004346F3" w:rsidRPr="00536CFD" w:rsidRDefault="004346F3" w:rsidP="00802ABC">
            <w:pPr>
              <w:spacing w:after="0"/>
              <w:jc w:val="center"/>
              <w:rPr>
                <w:lang w:val="zh-CN"/>
              </w:rPr>
            </w:pPr>
            <w:r w:rsidRPr="00536CFD">
              <w:rPr>
                <w:lang w:eastAsia="x-none"/>
              </w:rPr>
              <w:t>0.22</w:t>
            </w:r>
          </w:p>
        </w:tc>
        <w:tc>
          <w:tcPr>
            <w:tcW w:w="676" w:type="dxa"/>
            <w:tcBorders>
              <w:top w:val="single" w:sz="4" w:space="0" w:color="auto"/>
              <w:left w:val="nil"/>
              <w:bottom w:val="single" w:sz="4" w:space="0" w:color="auto"/>
              <w:right w:val="single" w:sz="4" w:space="0" w:color="auto"/>
            </w:tcBorders>
            <w:shd w:val="clear" w:color="auto" w:fill="auto"/>
            <w:vAlign w:val="center"/>
          </w:tcPr>
          <w:p w14:paraId="0CC9175D" w14:textId="77777777" w:rsidR="004346F3" w:rsidRPr="00536CFD" w:rsidRDefault="004346F3" w:rsidP="00802ABC">
            <w:pPr>
              <w:spacing w:after="0"/>
              <w:jc w:val="center"/>
              <w:rPr>
                <w:lang w:val="zh-CN"/>
              </w:rPr>
            </w:pPr>
            <w:r w:rsidRPr="00536CFD">
              <w:rPr>
                <w:lang w:eastAsia="x-none"/>
              </w:rPr>
              <w:t>0.13</w:t>
            </w:r>
          </w:p>
        </w:tc>
      </w:tr>
      <w:tr w:rsidR="004346F3" w:rsidRPr="00C64ECB" w14:paraId="0E73F93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2BFB767"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5FEB9DEE"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0" w:type="dxa"/>
            <w:tcBorders>
              <w:top w:val="single" w:sz="4" w:space="0" w:color="auto"/>
              <w:left w:val="nil"/>
              <w:bottom w:val="single" w:sz="4" w:space="0" w:color="auto"/>
              <w:right w:val="single" w:sz="4" w:space="0" w:color="auto"/>
            </w:tcBorders>
            <w:shd w:val="clear" w:color="auto" w:fill="auto"/>
            <w:vAlign w:val="center"/>
          </w:tcPr>
          <w:p w14:paraId="6D169BCC" w14:textId="77777777" w:rsidR="004346F3" w:rsidRPr="00536CFD" w:rsidRDefault="004346F3" w:rsidP="00802ABC">
            <w:pPr>
              <w:spacing w:after="0"/>
              <w:jc w:val="center"/>
              <w:rPr>
                <w:lang w:val="zh-CN"/>
              </w:rPr>
            </w:pPr>
            <w:r w:rsidRPr="00536CFD">
              <w:rPr>
                <w:lang w:eastAsia="x-none"/>
              </w:rPr>
              <w:t>100.0%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763CBA9" w14:textId="77777777" w:rsidR="004346F3" w:rsidRPr="00536CFD" w:rsidRDefault="004346F3" w:rsidP="00802ABC">
            <w:pPr>
              <w:spacing w:after="0"/>
              <w:jc w:val="center"/>
              <w:rPr>
                <w:lang w:val="zh-CN"/>
              </w:rPr>
            </w:pPr>
            <w:r w:rsidRPr="00536CFD">
              <w:rPr>
                <w:lang w:eastAsia="x-none"/>
              </w:rPr>
              <w:t>100.0%</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6A88D142" w14:textId="77777777" w:rsidR="004346F3" w:rsidRPr="00536CFD" w:rsidRDefault="004346F3" w:rsidP="00802ABC">
            <w:pPr>
              <w:spacing w:after="0"/>
              <w:jc w:val="center"/>
              <w:rPr>
                <w:lang w:val="zh-CN"/>
              </w:rPr>
            </w:pPr>
            <w:r w:rsidRPr="00536CFD">
              <w:rPr>
                <w:lang w:eastAsia="x-none"/>
              </w:rPr>
              <w:t>100.0%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DD0BA07" w14:textId="77777777" w:rsidR="004346F3" w:rsidRPr="00536CFD" w:rsidRDefault="004346F3" w:rsidP="00802ABC">
            <w:pPr>
              <w:spacing w:after="0"/>
              <w:jc w:val="center"/>
              <w:rPr>
                <w:lang w:val="zh-CN"/>
              </w:rPr>
            </w:pPr>
            <w:r w:rsidRPr="00536CFD">
              <w:rPr>
                <w:lang w:eastAsia="x-none"/>
              </w:rPr>
              <w:t>100.0%</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6B7D6B58" w14:textId="77777777" w:rsidR="004346F3" w:rsidRPr="00536CFD" w:rsidRDefault="004346F3" w:rsidP="00802ABC">
            <w:pPr>
              <w:spacing w:after="0"/>
              <w:jc w:val="center"/>
              <w:rPr>
                <w:lang w:val="zh-CN"/>
              </w:rPr>
            </w:pPr>
            <w:r w:rsidRPr="00536CFD">
              <w:rPr>
                <w:lang w:eastAsia="x-none"/>
              </w:rPr>
              <w:t>99.6%</w:t>
            </w:r>
          </w:p>
        </w:tc>
        <w:tc>
          <w:tcPr>
            <w:tcW w:w="714" w:type="dxa"/>
            <w:tcBorders>
              <w:top w:val="single" w:sz="4" w:space="0" w:color="auto"/>
              <w:left w:val="nil"/>
              <w:bottom w:val="single" w:sz="4" w:space="0" w:color="auto"/>
              <w:right w:val="single" w:sz="4" w:space="0" w:color="auto"/>
            </w:tcBorders>
            <w:shd w:val="clear" w:color="auto" w:fill="auto"/>
            <w:vAlign w:val="center"/>
          </w:tcPr>
          <w:p w14:paraId="458BEFC7" w14:textId="77777777" w:rsidR="004346F3" w:rsidRPr="00536CFD" w:rsidRDefault="004346F3" w:rsidP="00802ABC">
            <w:pPr>
              <w:spacing w:after="0"/>
              <w:jc w:val="center"/>
              <w:rPr>
                <w:lang w:val="zh-CN"/>
              </w:rPr>
            </w:pPr>
            <w:r w:rsidRPr="00536CFD">
              <w:rPr>
                <w:lang w:eastAsia="x-none"/>
              </w:rPr>
              <w:t>100.0%</w:t>
            </w:r>
          </w:p>
        </w:tc>
        <w:tc>
          <w:tcPr>
            <w:tcW w:w="719" w:type="dxa"/>
            <w:tcBorders>
              <w:top w:val="single" w:sz="4" w:space="0" w:color="auto"/>
              <w:left w:val="nil"/>
              <w:bottom w:val="single" w:sz="4" w:space="0" w:color="auto"/>
              <w:right w:val="single" w:sz="4" w:space="0" w:color="auto"/>
            </w:tcBorders>
            <w:shd w:val="clear" w:color="auto" w:fill="auto"/>
            <w:vAlign w:val="center"/>
          </w:tcPr>
          <w:p w14:paraId="247A72D9" w14:textId="77777777" w:rsidR="004346F3" w:rsidRPr="00536CFD" w:rsidRDefault="004346F3" w:rsidP="00802ABC">
            <w:pPr>
              <w:spacing w:after="0"/>
              <w:jc w:val="center"/>
              <w:rPr>
                <w:lang w:val="zh-CN"/>
              </w:rPr>
            </w:pPr>
            <w:r w:rsidRPr="00536CFD">
              <w:rPr>
                <w:lang w:eastAsia="x-none"/>
              </w:rPr>
              <w:t>100.0%</w:t>
            </w:r>
          </w:p>
        </w:tc>
        <w:tc>
          <w:tcPr>
            <w:tcW w:w="719" w:type="dxa"/>
            <w:tcBorders>
              <w:top w:val="single" w:sz="4" w:space="0" w:color="auto"/>
              <w:left w:val="nil"/>
              <w:bottom w:val="single" w:sz="4" w:space="0" w:color="auto"/>
              <w:right w:val="single" w:sz="4" w:space="0" w:color="auto"/>
            </w:tcBorders>
            <w:shd w:val="clear" w:color="auto" w:fill="auto"/>
            <w:vAlign w:val="center"/>
          </w:tcPr>
          <w:p w14:paraId="0894A23D" w14:textId="77777777" w:rsidR="004346F3" w:rsidRPr="00536CFD" w:rsidRDefault="004346F3" w:rsidP="00802ABC">
            <w:pPr>
              <w:spacing w:after="0"/>
              <w:jc w:val="center"/>
              <w:rPr>
                <w:lang w:val="zh-CN"/>
              </w:rPr>
            </w:pPr>
            <w:r w:rsidRPr="00536CFD">
              <w:rPr>
                <w:lang w:eastAsia="x-none"/>
              </w:rPr>
              <w:t>100.0%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4920A280" w14:textId="77777777" w:rsidR="004346F3" w:rsidRPr="00536CFD" w:rsidRDefault="004346F3" w:rsidP="00802ABC">
            <w:pPr>
              <w:spacing w:after="0"/>
              <w:jc w:val="center"/>
              <w:rPr>
                <w:lang w:val="zh-CN"/>
              </w:rPr>
            </w:pPr>
            <w:r w:rsidRPr="00536CFD">
              <w:rPr>
                <w:lang w:eastAsia="x-none"/>
              </w:rPr>
              <w:t>98.0%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0406E604" w14:textId="77777777" w:rsidR="004346F3" w:rsidRPr="00536CFD" w:rsidRDefault="004346F3" w:rsidP="00802ABC">
            <w:pPr>
              <w:spacing w:after="0"/>
              <w:jc w:val="center"/>
              <w:rPr>
                <w:lang w:val="zh-CN"/>
              </w:rPr>
            </w:pPr>
            <w:r w:rsidRPr="00536CFD">
              <w:rPr>
                <w:lang w:eastAsia="x-none"/>
              </w:rPr>
              <w:t>99.9%</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7B2CEF1" w14:textId="77777777" w:rsidR="004346F3" w:rsidRPr="00536CFD" w:rsidRDefault="004346F3" w:rsidP="00802ABC">
            <w:pPr>
              <w:spacing w:after="0"/>
              <w:jc w:val="center"/>
              <w:rPr>
                <w:lang w:val="zh-CN"/>
              </w:rPr>
            </w:pPr>
            <w:r w:rsidRPr="00536CFD">
              <w:rPr>
                <w:lang w:eastAsia="x-none"/>
              </w:rPr>
              <w:t>100.0%</w:t>
            </w:r>
          </w:p>
        </w:tc>
        <w:tc>
          <w:tcPr>
            <w:tcW w:w="676" w:type="dxa"/>
            <w:tcBorders>
              <w:top w:val="single" w:sz="4" w:space="0" w:color="auto"/>
              <w:left w:val="nil"/>
              <w:bottom w:val="single" w:sz="4" w:space="0" w:color="auto"/>
              <w:right w:val="single" w:sz="4" w:space="0" w:color="auto"/>
            </w:tcBorders>
            <w:shd w:val="clear" w:color="auto" w:fill="auto"/>
            <w:vAlign w:val="center"/>
          </w:tcPr>
          <w:p w14:paraId="41B9C2D3" w14:textId="77777777" w:rsidR="004346F3" w:rsidRPr="00536CFD" w:rsidRDefault="004346F3" w:rsidP="00802ABC">
            <w:pPr>
              <w:spacing w:after="0"/>
              <w:jc w:val="center"/>
              <w:rPr>
                <w:lang w:val="zh-CN"/>
              </w:rPr>
            </w:pPr>
            <w:r w:rsidRPr="00536CFD">
              <w:rPr>
                <w:lang w:eastAsia="x-none"/>
              </w:rPr>
              <w:t>100.0%</w:t>
            </w:r>
          </w:p>
        </w:tc>
      </w:tr>
      <w:tr w:rsidR="004346F3" w:rsidRPr="00C64ECB" w14:paraId="5E3E561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22D51CF"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6FA831F6"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0" w:type="dxa"/>
            <w:tcBorders>
              <w:top w:val="single" w:sz="4" w:space="0" w:color="auto"/>
              <w:left w:val="nil"/>
              <w:bottom w:val="single" w:sz="4" w:space="0" w:color="auto"/>
              <w:right w:val="single" w:sz="4" w:space="0" w:color="auto"/>
            </w:tcBorders>
            <w:shd w:val="clear" w:color="auto" w:fill="auto"/>
            <w:vAlign w:val="center"/>
          </w:tcPr>
          <w:p w14:paraId="22919A50" w14:textId="77777777" w:rsidR="004346F3" w:rsidRPr="00536CFD" w:rsidRDefault="004346F3" w:rsidP="00802ABC">
            <w:pPr>
              <w:spacing w:after="0"/>
              <w:jc w:val="center"/>
              <w:rPr>
                <w:lang w:val="zh-CN"/>
              </w:rPr>
            </w:pPr>
            <w:r w:rsidRPr="00536CFD">
              <w:rPr>
                <w:lang w:eastAsia="x-none"/>
              </w:rPr>
              <w:t>100.0%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6D9B0ED" w14:textId="77777777" w:rsidR="004346F3" w:rsidRPr="00536CFD" w:rsidRDefault="004346F3" w:rsidP="00802ABC">
            <w:pPr>
              <w:spacing w:after="0"/>
              <w:jc w:val="center"/>
              <w:rPr>
                <w:lang w:val="zh-CN"/>
              </w:rPr>
            </w:pPr>
            <w:r w:rsidRPr="00536CFD">
              <w:rPr>
                <w:lang w:eastAsia="x-none"/>
              </w:rPr>
              <w:t>100.0%</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286540FA" w14:textId="77777777" w:rsidR="004346F3" w:rsidRPr="00536CFD" w:rsidRDefault="004346F3" w:rsidP="00802ABC">
            <w:pPr>
              <w:spacing w:after="0"/>
              <w:jc w:val="center"/>
              <w:rPr>
                <w:lang w:val="zh-CN"/>
              </w:rPr>
            </w:pPr>
            <w:r w:rsidRPr="00536CFD">
              <w:rPr>
                <w:lang w:eastAsia="x-none"/>
              </w:rPr>
              <w:t>100.0%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F7A783B" w14:textId="77777777" w:rsidR="004346F3" w:rsidRPr="00536CFD" w:rsidRDefault="004346F3" w:rsidP="00802ABC">
            <w:pPr>
              <w:spacing w:after="0"/>
              <w:jc w:val="center"/>
              <w:rPr>
                <w:lang w:val="zh-CN"/>
              </w:rPr>
            </w:pPr>
            <w:r w:rsidRPr="00536CFD">
              <w:rPr>
                <w:lang w:eastAsia="x-none"/>
              </w:rPr>
              <w:t>100.0%</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28635F3A" w14:textId="77777777" w:rsidR="004346F3" w:rsidRPr="00536CFD" w:rsidRDefault="004346F3" w:rsidP="00802ABC">
            <w:pPr>
              <w:spacing w:after="0"/>
              <w:jc w:val="center"/>
              <w:rPr>
                <w:lang w:val="zh-CN"/>
              </w:rPr>
            </w:pPr>
            <w:r w:rsidRPr="00536CFD">
              <w:rPr>
                <w:lang w:eastAsia="x-none"/>
              </w:rPr>
              <w:t>97.8%</w:t>
            </w:r>
          </w:p>
        </w:tc>
        <w:tc>
          <w:tcPr>
            <w:tcW w:w="714" w:type="dxa"/>
            <w:tcBorders>
              <w:top w:val="single" w:sz="4" w:space="0" w:color="auto"/>
              <w:left w:val="nil"/>
              <w:bottom w:val="single" w:sz="4" w:space="0" w:color="auto"/>
              <w:right w:val="single" w:sz="4" w:space="0" w:color="auto"/>
            </w:tcBorders>
            <w:shd w:val="clear" w:color="auto" w:fill="auto"/>
            <w:vAlign w:val="center"/>
          </w:tcPr>
          <w:p w14:paraId="07490E36" w14:textId="77777777" w:rsidR="004346F3" w:rsidRPr="00536CFD" w:rsidRDefault="004346F3" w:rsidP="00802ABC">
            <w:pPr>
              <w:spacing w:after="0"/>
              <w:jc w:val="center"/>
              <w:rPr>
                <w:lang w:val="zh-CN"/>
              </w:rPr>
            </w:pPr>
            <w:r w:rsidRPr="00536CFD">
              <w:rPr>
                <w:lang w:eastAsia="x-none"/>
              </w:rPr>
              <w:t>100.0%</w:t>
            </w:r>
          </w:p>
        </w:tc>
        <w:tc>
          <w:tcPr>
            <w:tcW w:w="719" w:type="dxa"/>
            <w:tcBorders>
              <w:top w:val="single" w:sz="4" w:space="0" w:color="auto"/>
              <w:left w:val="nil"/>
              <w:bottom w:val="single" w:sz="4" w:space="0" w:color="auto"/>
              <w:right w:val="single" w:sz="4" w:space="0" w:color="auto"/>
            </w:tcBorders>
            <w:shd w:val="clear" w:color="auto" w:fill="auto"/>
            <w:vAlign w:val="center"/>
          </w:tcPr>
          <w:p w14:paraId="18B2F4CD" w14:textId="77777777" w:rsidR="004346F3" w:rsidRPr="00536CFD" w:rsidRDefault="004346F3" w:rsidP="00802ABC">
            <w:pPr>
              <w:spacing w:after="0"/>
              <w:jc w:val="center"/>
              <w:rPr>
                <w:lang w:val="zh-CN"/>
              </w:rPr>
            </w:pPr>
            <w:r w:rsidRPr="00536CFD">
              <w:rPr>
                <w:lang w:eastAsia="x-none"/>
              </w:rPr>
              <w:t>100.0%</w:t>
            </w:r>
          </w:p>
        </w:tc>
        <w:tc>
          <w:tcPr>
            <w:tcW w:w="719" w:type="dxa"/>
            <w:tcBorders>
              <w:top w:val="single" w:sz="4" w:space="0" w:color="auto"/>
              <w:left w:val="nil"/>
              <w:bottom w:val="single" w:sz="4" w:space="0" w:color="auto"/>
              <w:right w:val="single" w:sz="4" w:space="0" w:color="auto"/>
            </w:tcBorders>
            <w:shd w:val="clear" w:color="auto" w:fill="auto"/>
            <w:vAlign w:val="center"/>
          </w:tcPr>
          <w:p w14:paraId="24662561" w14:textId="77777777" w:rsidR="004346F3" w:rsidRPr="00536CFD" w:rsidRDefault="004346F3" w:rsidP="00802ABC">
            <w:pPr>
              <w:spacing w:after="0"/>
              <w:jc w:val="center"/>
              <w:rPr>
                <w:lang w:val="zh-CN"/>
              </w:rPr>
            </w:pPr>
            <w:r w:rsidRPr="00536CFD">
              <w:rPr>
                <w:lang w:eastAsia="x-none"/>
              </w:rPr>
              <w:t>100.0%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DB4C9F5" w14:textId="77777777" w:rsidR="004346F3" w:rsidRPr="00536CFD" w:rsidRDefault="004346F3" w:rsidP="00802ABC">
            <w:pPr>
              <w:spacing w:after="0"/>
              <w:jc w:val="center"/>
              <w:rPr>
                <w:lang w:val="zh-CN"/>
              </w:rPr>
            </w:pPr>
            <w:r w:rsidRPr="00536CFD">
              <w:rPr>
                <w:lang w:eastAsia="x-none"/>
              </w:rPr>
              <w:t>94.1%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BB4C666" w14:textId="77777777" w:rsidR="004346F3" w:rsidRPr="00536CFD" w:rsidRDefault="004346F3" w:rsidP="00802ABC">
            <w:pPr>
              <w:spacing w:after="0"/>
              <w:jc w:val="center"/>
              <w:rPr>
                <w:lang w:val="zh-CN"/>
              </w:rPr>
            </w:pPr>
            <w:r w:rsidRPr="00536CFD">
              <w:rPr>
                <w:lang w:eastAsia="x-none"/>
              </w:rPr>
              <w:t>99.6%</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12BFD6B" w14:textId="77777777" w:rsidR="004346F3" w:rsidRPr="00536CFD" w:rsidRDefault="004346F3" w:rsidP="00802ABC">
            <w:pPr>
              <w:spacing w:after="0"/>
              <w:jc w:val="center"/>
              <w:rPr>
                <w:lang w:val="zh-CN"/>
              </w:rPr>
            </w:pPr>
            <w:r w:rsidRPr="00536CFD">
              <w:rPr>
                <w:lang w:eastAsia="x-none"/>
              </w:rPr>
              <w:t>100.0%</w:t>
            </w:r>
          </w:p>
        </w:tc>
        <w:tc>
          <w:tcPr>
            <w:tcW w:w="676" w:type="dxa"/>
            <w:tcBorders>
              <w:top w:val="single" w:sz="4" w:space="0" w:color="auto"/>
              <w:left w:val="nil"/>
              <w:bottom w:val="single" w:sz="4" w:space="0" w:color="auto"/>
              <w:right w:val="single" w:sz="4" w:space="0" w:color="auto"/>
            </w:tcBorders>
            <w:shd w:val="clear" w:color="auto" w:fill="auto"/>
            <w:vAlign w:val="center"/>
          </w:tcPr>
          <w:p w14:paraId="0FA5947E" w14:textId="77777777" w:rsidR="004346F3" w:rsidRPr="00536CFD" w:rsidRDefault="004346F3" w:rsidP="00802ABC">
            <w:pPr>
              <w:spacing w:after="0"/>
              <w:jc w:val="center"/>
              <w:rPr>
                <w:lang w:val="zh-CN"/>
              </w:rPr>
            </w:pPr>
            <w:r w:rsidRPr="00536CFD">
              <w:rPr>
                <w:lang w:eastAsia="x-none"/>
              </w:rPr>
              <w:t>100.0%</w:t>
            </w:r>
          </w:p>
        </w:tc>
      </w:tr>
      <w:tr w:rsidR="004346F3" w:rsidRPr="00C64ECB" w14:paraId="126E1F9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87A0EDC"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1D98BCD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0" w:type="dxa"/>
            <w:tcBorders>
              <w:top w:val="single" w:sz="4" w:space="0" w:color="auto"/>
              <w:left w:val="nil"/>
              <w:bottom w:val="single" w:sz="4" w:space="0" w:color="auto"/>
              <w:right w:val="single" w:sz="4" w:space="0" w:color="auto"/>
            </w:tcBorders>
            <w:shd w:val="clear" w:color="auto" w:fill="auto"/>
            <w:vAlign w:val="center"/>
          </w:tcPr>
          <w:p w14:paraId="0790DF9F" w14:textId="77777777" w:rsidR="004346F3" w:rsidRPr="00536CFD" w:rsidRDefault="004346F3" w:rsidP="00802ABC">
            <w:pPr>
              <w:spacing w:after="0"/>
              <w:jc w:val="center"/>
              <w:rPr>
                <w:lang w:val="zh-CN"/>
              </w:rPr>
            </w:pPr>
            <w:r w:rsidRPr="00536CFD">
              <w:rPr>
                <w:lang w:eastAsia="x-none"/>
              </w:rPr>
              <w:t>13.5%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5BDF78A1" w14:textId="77777777" w:rsidR="004346F3" w:rsidRPr="00536CFD" w:rsidRDefault="004346F3" w:rsidP="00802ABC">
            <w:pPr>
              <w:spacing w:after="0"/>
              <w:jc w:val="center"/>
              <w:rPr>
                <w:lang w:val="zh-CN"/>
              </w:rPr>
            </w:pPr>
            <w:r w:rsidRPr="00536CFD">
              <w:rPr>
                <w:lang w:eastAsia="x-none"/>
              </w:rPr>
              <w:t>10.7%</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2723963A" w14:textId="77777777" w:rsidR="004346F3" w:rsidRPr="00536CFD" w:rsidRDefault="004346F3" w:rsidP="00802ABC">
            <w:pPr>
              <w:spacing w:after="0"/>
              <w:jc w:val="center"/>
              <w:rPr>
                <w:lang w:val="zh-CN"/>
              </w:rPr>
            </w:pPr>
            <w:r w:rsidRPr="00536CFD">
              <w:rPr>
                <w:lang w:eastAsia="x-none"/>
              </w:rPr>
              <w:t>8.5%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B46EB77" w14:textId="77777777" w:rsidR="004346F3" w:rsidRPr="00536CFD" w:rsidRDefault="004346F3" w:rsidP="00802ABC">
            <w:pPr>
              <w:spacing w:after="0"/>
              <w:jc w:val="center"/>
              <w:rPr>
                <w:lang w:val="zh-CN"/>
              </w:rPr>
            </w:pPr>
            <w:r w:rsidRPr="00536CFD">
              <w:rPr>
                <w:lang w:eastAsia="x-none"/>
              </w:rPr>
              <w:t>8.3%</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0AC3F725" w14:textId="77777777" w:rsidR="004346F3" w:rsidRPr="00536CFD" w:rsidRDefault="004346F3" w:rsidP="00802ABC">
            <w:pPr>
              <w:spacing w:after="0"/>
              <w:jc w:val="center"/>
              <w:rPr>
                <w:lang w:val="zh-CN"/>
              </w:rPr>
            </w:pPr>
            <w:r w:rsidRPr="00536CFD">
              <w:rPr>
                <w:lang w:eastAsia="x-none"/>
              </w:rPr>
              <w:t>48.4%</w:t>
            </w:r>
          </w:p>
        </w:tc>
        <w:tc>
          <w:tcPr>
            <w:tcW w:w="714" w:type="dxa"/>
            <w:tcBorders>
              <w:top w:val="single" w:sz="4" w:space="0" w:color="auto"/>
              <w:left w:val="nil"/>
              <w:bottom w:val="single" w:sz="4" w:space="0" w:color="auto"/>
              <w:right w:val="single" w:sz="4" w:space="0" w:color="auto"/>
            </w:tcBorders>
            <w:shd w:val="clear" w:color="auto" w:fill="auto"/>
            <w:vAlign w:val="center"/>
          </w:tcPr>
          <w:p w14:paraId="1AED01CA" w14:textId="77777777" w:rsidR="004346F3" w:rsidRPr="00536CFD" w:rsidRDefault="004346F3" w:rsidP="00802ABC">
            <w:pPr>
              <w:spacing w:after="0"/>
              <w:jc w:val="center"/>
              <w:rPr>
                <w:lang w:val="zh-CN"/>
              </w:rPr>
            </w:pPr>
            <w:r w:rsidRPr="00536CFD">
              <w:rPr>
                <w:lang w:eastAsia="x-none"/>
              </w:rPr>
              <w:t>21.0%</w:t>
            </w:r>
          </w:p>
        </w:tc>
        <w:tc>
          <w:tcPr>
            <w:tcW w:w="719" w:type="dxa"/>
            <w:tcBorders>
              <w:top w:val="single" w:sz="4" w:space="0" w:color="auto"/>
              <w:left w:val="nil"/>
              <w:bottom w:val="single" w:sz="4" w:space="0" w:color="auto"/>
              <w:right w:val="single" w:sz="4" w:space="0" w:color="auto"/>
            </w:tcBorders>
            <w:shd w:val="clear" w:color="auto" w:fill="auto"/>
            <w:vAlign w:val="center"/>
          </w:tcPr>
          <w:p w14:paraId="116A5078" w14:textId="77777777" w:rsidR="004346F3" w:rsidRPr="00536CFD" w:rsidRDefault="004346F3" w:rsidP="00802ABC">
            <w:pPr>
              <w:spacing w:after="0"/>
              <w:jc w:val="center"/>
              <w:rPr>
                <w:lang w:val="zh-CN"/>
              </w:rPr>
            </w:pPr>
            <w:r w:rsidRPr="00536CFD">
              <w:rPr>
                <w:lang w:eastAsia="x-none"/>
              </w:rPr>
              <w:t>15.3%</w:t>
            </w:r>
          </w:p>
        </w:tc>
        <w:tc>
          <w:tcPr>
            <w:tcW w:w="719" w:type="dxa"/>
            <w:tcBorders>
              <w:top w:val="single" w:sz="4" w:space="0" w:color="auto"/>
              <w:left w:val="nil"/>
              <w:bottom w:val="single" w:sz="4" w:space="0" w:color="auto"/>
              <w:right w:val="single" w:sz="4" w:space="0" w:color="auto"/>
            </w:tcBorders>
            <w:shd w:val="clear" w:color="auto" w:fill="auto"/>
            <w:vAlign w:val="center"/>
          </w:tcPr>
          <w:p w14:paraId="369DB3E8" w14:textId="77777777" w:rsidR="004346F3" w:rsidRPr="00536CFD" w:rsidRDefault="004346F3" w:rsidP="00802ABC">
            <w:pPr>
              <w:spacing w:after="0"/>
              <w:jc w:val="center"/>
              <w:rPr>
                <w:lang w:val="zh-CN"/>
              </w:rPr>
            </w:pPr>
            <w:r w:rsidRPr="00536CFD">
              <w:rPr>
                <w:lang w:eastAsia="x-none"/>
              </w:rPr>
              <w:t>13.5%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B0B9A7B" w14:textId="77777777" w:rsidR="004346F3" w:rsidRPr="00536CFD" w:rsidRDefault="004346F3" w:rsidP="00802ABC">
            <w:pPr>
              <w:spacing w:after="0"/>
              <w:jc w:val="center"/>
              <w:rPr>
                <w:lang w:val="zh-CN"/>
              </w:rPr>
            </w:pPr>
            <w:r w:rsidRPr="00536CFD">
              <w:rPr>
                <w:lang w:eastAsia="x-none"/>
              </w:rPr>
              <w:t>66.6%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7323A4C" w14:textId="77777777" w:rsidR="004346F3" w:rsidRPr="00536CFD" w:rsidRDefault="004346F3" w:rsidP="00802ABC">
            <w:pPr>
              <w:spacing w:after="0"/>
              <w:jc w:val="center"/>
              <w:rPr>
                <w:lang w:val="zh-CN"/>
              </w:rPr>
            </w:pPr>
            <w:r w:rsidRPr="00536CFD">
              <w:rPr>
                <w:lang w:eastAsia="x-none"/>
              </w:rPr>
              <w:t>33.5%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CF358BE" w14:textId="77777777" w:rsidR="004346F3" w:rsidRPr="00536CFD" w:rsidRDefault="004346F3" w:rsidP="00802ABC">
            <w:pPr>
              <w:spacing w:after="0"/>
              <w:jc w:val="center"/>
              <w:rPr>
                <w:lang w:val="zh-CN"/>
              </w:rPr>
            </w:pPr>
            <w:r w:rsidRPr="00536CFD">
              <w:rPr>
                <w:lang w:eastAsia="x-none"/>
              </w:rPr>
              <w:t>23.7%</w:t>
            </w:r>
          </w:p>
        </w:tc>
        <w:tc>
          <w:tcPr>
            <w:tcW w:w="676" w:type="dxa"/>
            <w:tcBorders>
              <w:top w:val="single" w:sz="4" w:space="0" w:color="auto"/>
              <w:left w:val="nil"/>
              <w:bottom w:val="single" w:sz="4" w:space="0" w:color="auto"/>
              <w:right w:val="single" w:sz="4" w:space="0" w:color="auto"/>
            </w:tcBorders>
            <w:shd w:val="clear" w:color="auto" w:fill="auto"/>
            <w:vAlign w:val="center"/>
          </w:tcPr>
          <w:p w14:paraId="6EA03069" w14:textId="77777777" w:rsidR="004346F3" w:rsidRPr="00536CFD" w:rsidRDefault="004346F3" w:rsidP="00802ABC">
            <w:pPr>
              <w:spacing w:after="0"/>
              <w:jc w:val="center"/>
              <w:rPr>
                <w:lang w:val="zh-CN"/>
              </w:rPr>
            </w:pPr>
            <w:r w:rsidRPr="00536CFD">
              <w:rPr>
                <w:lang w:eastAsia="x-none"/>
              </w:rPr>
              <w:t>17.7%</w:t>
            </w:r>
          </w:p>
        </w:tc>
      </w:tr>
      <w:tr w:rsidR="004346F3" w:rsidRPr="00C64ECB" w14:paraId="7F795595"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5BF7A11"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3DBAA236" w14:textId="77777777" w:rsidR="004346F3" w:rsidRPr="00536CFD" w:rsidRDefault="004346F3" w:rsidP="00802ABC">
            <w:pPr>
              <w:spacing w:after="0"/>
              <w:jc w:val="center"/>
            </w:pPr>
            <w:r w:rsidRPr="00536CFD">
              <w:rPr>
                <w:rFonts w:ascii="Cambria Math" w:hAnsi="Cambria Math" w:cs="Cambria Math"/>
              </w:rPr>
              <w:t>𝜆</w:t>
            </w:r>
          </w:p>
        </w:tc>
        <w:tc>
          <w:tcPr>
            <w:tcW w:w="2515" w:type="dxa"/>
            <w:gridSpan w:val="7"/>
            <w:tcBorders>
              <w:top w:val="single" w:sz="4" w:space="0" w:color="auto"/>
              <w:left w:val="nil"/>
              <w:bottom w:val="single" w:sz="4" w:space="0" w:color="auto"/>
              <w:right w:val="single" w:sz="4" w:space="0" w:color="auto"/>
            </w:tcBorders>
            <w:shd w:val="clear" w:color="auto" w:fill="auto"/>
            <w:vAlign w:val="center"/>
          </w:tcPr>
          <w:p w14:paraId="3BEDC8C2" w14:textId="77777777" w:rsidR="004346F3" w:rsidRPr="00536CFD" w:rsidRDefault="004346F3" w:rsidP="00802ABC">
            <w:pPr>
              <w:spacing w:after="0"/>
              <w:jc w:val="center"/>
              <w:rPr>
                <w:lang w:eastAsia="x-none"/>
              </w:rPr>
            </w:pPr>
            <w:r w:rsidRPr="00536CFD">
              <w:rPr>
                <w:lang w:eastAsia="x-none"/>
              </w:rPr>
              <w:t>0.13</w:t>
            </w:r>
          </w:p>
        </w:tc>
        <w:tc>
          <w:tcPr>
            <w:tcW w:w="2866" w:type="dxa"/>
            <w:gridSpan w:val="5"/>
            <w:tcBorders>
              <w:top w:val="single" w:sz="4" w:space="0" w:color="auto"/>
              <w:left w:val="nil"/>
              <w:bottom w:val="single" w:sz="4" w:space="0" w:color="auto"/>
              <w:right w:val="single" w:sz="4" w:space="0" w:color="auto"/>
            </w:tcBorders>
            <w:shd w:val="clear" w:color="auto" w:fill="auto"/>
            <w:vAlign w:val="center"/>
          </w:tcPr>
          <w:p w14:paraId="2C3B9DD5" w14:textId="77777777" w:rsidR="004346F3" w:rsidRPr="00536CFD" w:rsidRDefault="004346F3" w:rsidP="00802ABC">
            <w:pPr>
              <w:spacing w:after="0"/>
              <w:jc w:val="center"/>
              <w:rPr>
                <w:lang w:eastAsia="x-none"/>
              </w:rPr>
            </w:pPr>
            <w:r w:rsidRPr="00536CFD">
              <w:rPr>
                <w:lang w:eastAsia="x-none"/>
              </w:rPr>
              <w:t>0.17</w:t>
            </w:r>
          </w:p>
        </w:tc>
        <w:tc>
          <w:tcPr>
            <w:tcW w:w="2885" w:type="dxa"/>
            <w:gridSpan w:val="7"/>
            <w:tcBorders>
              <w:top w:val="single" w:sz="4" w:space="0" w:color="auto"/>
              <w:left w:val="nil"/>
              <w:bottom w:val="single" w:sz="4" w:space="0" w:color="auto"/>
              <w:right w:val="single" w:sz="4" w:space="0" w:color="auto"/>
            </w:tcBorders>
            <w:shd w:val="clear" w:color="auto" w:fill="auto"/>
            <w:vAlign w:val="center"/>
          </w:tcPr>
          <w:p w14:paraId="0622C8AD" w14:textId="77777777" w:rsidR="004346F3" w:rsidRPr="00536CFD" w:rsidRDefault="004346F3" w:rsidP="00802ABC">
            <w:pPr>
              <w:spacing w:after="0"/>
              <w:jc w:val="center"/>
              <w:rPr>
                <w:lang w:eastAsia="x-none"/>
              </w:rPr>
            </w:pPr>
            <w:r w:rsidRPr="00536CFD">
              <w:rPr>
                <w:lang w:eastAsia="x-none"/>
              </w:rPr>
              <w:t>0.19</w:t>
            </w:r>
          </w:p>
        </w:tc>
      </w:tr>
      <w:tr w:rsidR="004346F3" w:rsidRPr="00C64ECB" w14:paraId="659542B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CD532EE"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4A0FD3C4" w14:textId="77777777" w:rsidR="004346F3" w:rsidRPr="00536CFD" w:rsidRDefault="004346F3" w:rsidP="00802ABC">
            <w:pPr>
              <w:spacing w:after="0"/>
              <w:contextualSpacing/>
              <w:rPr>
                <w:lang w:val="en-US" w:bidi="ar"/>
              </w:rPr>
            </w:pPr>
          </w:p>
        </w:tc>
        <w:tc>
          <w:tcPr>
            <w:tcW w:w="8266" w:type="dxa"/>
            <w:gridSpan w:val="19"/>
            <w:tcBorders>
              <w:top w:val="single" w:sz="4" w:space="0" w:color="auto"/>
              <w:left w:val="nil"/>
              <w:bottom w:val="single" w:sz="4" w:space="0" w:color="auto"/>
              <w:right w:val="single" w:sz="4" w:space="0" w:color="auto"/>
            </w:tcBorders>
            <w:shd w:val="clear" w:color="auto" w:fill="auto"/>
          </w:tcPr>
          <w:p w14:paraId="5C3BD10E" w14:textId="77777777" w:rsidR="004346F3" w:rsidRPr="00536CFD" w:rsidRDefault="004346F3" w:rsidP="00802ABC">
            <w:pPr>
              <w:spacing w:after="0"/>
              <w:rPr>
                <w:lang w:eastAsia="x-none"/>
              </w:rPr>
            </w:pPr>
            <w:r w:rsidRPr="00536CFD">
              <w:rPr>
                <w:lang w:eastAsia="x-none"/>
              </w:rPr>
              <w:t xml:space="preserve">Additional comments: </w:t>
            </w:r>
          </w:p>
          <w:p w14:paraId="7DCFF188" w14:textId="77777777" w:rsidR="004346F3" w:rsidRPr="00536CFD" w:rsidRDefault="004346F3" w:rsidP="00802ABC">
            <w:pPr>
              <w:spacing w:after="0" w:line="360" w:lineRule="auto"/>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2D71DA61" w14:textId="77777777" w:rsidR="004346F3" w:rsidRPr="00536CFD" w:rsidRDefault="004346F3" w:rsidP="00802ABC">
            <w:pPr>
              <w:spacing w:after="0" w:line="360" w:lineRule="auto"/>
              <w:contextualSpacing/>
              <w:rPr>
                <w:lang w:val="en-US" w:bidi="ar"/>
              </w:rPr>
            </w:pPr>
            <w:r w:rsidRPr="00536CFD">
              <w:rPr>
                <w:b/>
                <w:lang w:val="en-US" w:bidi="ar"/>
              </w:rPr>
              <w:t>NRU assumption:</w:t>
            </w:r>
            <w:r w:rsidRPr="00536CFD">
              <w:rPr>
                <w:lang w:val="en-US" w:bidi="ar"/>
              </w:rPr>
              <w:t xml:space="preserve"> 8ms MCOT;  ED=-72dBm; 256 QAM LDPC; 30 kHz SCS NCP; UE processing time capability #1; NR type B for PDSCH, type A for PUSCH</w:t>
            </w:r>
          </w:p>
          <w:p w14:paraId="03D38B57" w14:textId="77777777" w:rsidR="004346F3" w:rsidRPr="00536CFD" w:rsidRDefault="004346F3" w:rsidP="00802ABC">
            <w:pPr>
              <w:spacing w:after="0"/>
              <w:jc w:val="center"/>
              <w:rPr>
                <w:lang w:eastAsia="x-none"/>
              </w:rPr>
            </w:pPr>
            <w:r w:rsidRPr="00536CFD">
              <w:rPr>
                <w:b/>
                <w:lang w:val="en-US" w:bidi="ar"/>
              </w:rPr>
              <w:t>802.11ac assumption:</w:t>
            </w:r>
            <w:r w:rsidRPr="00536CFD">
              <w:rPr>
                <w:lang w:val="en-US" w:bidi="ar"/>
              </w:rPr>
              <w:t xml:space="preserve"> 4ms TXOP; RTS/CTS disabled for WiFi, NAV set based on L-SIG; PD=-82dBm/ED=-62dBm EDCA; 256 QAM BCC; A-MPDU, 1500B MSDU + 14 B header; Immediate ACK,312.5kHz SCS GI= 0.8us</w:t>
            </w:r>
          </w:p>
        </w:tc>
      </w:tr>
      <w:tr w:rsidR="004346F3" w:rsidRPr="00C64ECB" w14:paraId="7FC85806" w14:textId="77777777" w:rsidTr="00802ABC">
        <w:trPr>
          <w:cantSplit/>
          <w:trHeight w:val="20"/>
        </w:trPr>
        <w:tc>
          <w:tcPr>
            <w:tcW w:w="269" w:type="dxa"/>
            <w:vMerge w:val="restart"/>
            <w:tcBorders>
              <w:top w:val="nil"/>
              <w:left w:val="single" w:sz="4" w:space="0" w:color="auto"/>
              <w:bottom w:val="single" w:sz="4" w:space="0" w:color="auto"/>
              <w:right w:val="single" w:sz="4" w:space="0" w:color="auto"/>
            </w:tcBorders>
            <w:shd w:val="clear" w:color="auto" w:fill="auto"/>
            <w:textDirection w:val="btLr"/>
          </w:tcPr>
          <w:p w14:paraId="2A2E97CB"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R1-1814085/ Source 4</w:t>
            </w:r>
          </w:p>
        </w:tc>
        <w:tc>
          <w:tcPr>
            <w:tcW w:w="541" w:type="dxa"/>
            <w:vMerge w:val="restart"/>
            <w:tcBorders>
              <w:top w:val="nil"/>
              <w:left w:val="nil"/>
              <w:bottom w:val="single" w:sz="4" w:space="0" w:color="auto"/>
              <w:right w:val="single" w:sz="4" w:space="0" w:color="auto"/>
            </w:tcBorders>
            <w:shd w:val="clear" w:color="auto" w:fill="auto"/>
          </w:tcPr>
          <w:p w14:paraId="58820AA1"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0FDEB20F"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center"/>
          </w:tcPr>
          <w:p w14:paraId="6D61AEAE" w14:textId="77777777" w:rsidR="004346F3" w:rsidRPr="00536CFD" w:rsidRDefault="004346F3" w:rsidP="00802ABC">
            <w:pPr>
              <w:pageBreakBefore/>
              <w:spacing w:after="0"/>
              <w:jc w:val="center"/>
              <w:rPr>
                <w:lang w:val="zh-CN"/>
              </w:rPr>
            </w:pPr>
            <w:r w:rsidRPr="00536CFD">
              <w:rPr>
                <w:lang w:eastAsia="x-none"/>
              </w:rPr>
              <w:t>12.65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5777431E" w14:textId="77777777" w:rsidR="004346F3" w:rsidRPr="00536CFD" w:rsidRDefault="004346F3" w:rsidP="00802ABC">
            <w:pPr>
              <w:pageBreakBefore/>
              <w:spacing w:after="0"/>
              <w:jc w:val="center"/>
              <w:rPr>
                <w:lang w:val="zh-CN" w:eastAsia="zh-CN"/>
              </w:rPr>
            </w:pPr>
            <w:r w:rsidRPr="00536CFD">
              <w:rPr>
                <w:lang w:eastAsia="x-none"/>
              </w:rPr>
              <w:t>17.18</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1556C41F" w14:textId="77777777" w:rsidR="004346F3" w:rsidRPr="00536CFD" w:rsidRDefault="004346F3" w:rsidP="00802ABC">
            <w:pPr>
              <w:pageBreakBefore/>
              <w:spacing w:after="0"/>
              <w:jc w:val="center"/>
              <w:rPr>
                <w:lang w:val="zh-CN"/>
              </w:rPr>
            </w:pPr>
            <w:r w:rsidRPr="00536CFD">
              <w:rPr>
                <w:lang w:eastAsia="x-none"/>
              </w:rPr>
              <w:t>28.67</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CAE9428" w14:textId="77777777" w:rsidR="004346F3" w:rsidRPr="00536CFD" w:rsidRDefault="004346F3" w:rsidP="00802ABC">
            <w:pPr>
              <w:pageBreakBefore/>
              <w:spacing w:after="0"/>
              <w:jc w:val="center"/>
              <w:rPr>
                <w:lang w:val="zh-CN"/>
              </w:rPr>
            </w:pPr>
            <w:r w:rsidRPr="00536CFD">
              <w:rPr>
                <w:lang w:eastAsia="x-none"/>
              </w:rPr>
              <w:t>31.65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10769388" w14:textId="77777777" w:rsidR="004346F3" w:rsidRPr="00536CFD" w:rsidRDefault="004346F3" w:rsidP="00802ABC">
            <w:pPr>
              <w:pageBreakBefore/>
              <w:spacing w:after="0"/>
              <w:jc w:val="center"/>
              <w:rPr>
                <w:lang w:val="zh-CN"/>
              </w:rPr>
            </w:pPr>
            <w:r w:rsidRPr="00536CFD">
              <w:rPr>
                <w:lang w:eastAsia="x-none"/>
              </w:rPr>
              <w:t>1.14</w:t>
            </w:r>
          </w:p>
        </w:tc>
        <w:tc>
          <w:tcPr>
            <w:tcW w:w="714" w:type="dxa"/>
            <w:tcBorders>
              <w:top w:val="single" w:sz="4" w:space="0" w:color="auto"/>
              <w:left w:val="nil"/>
              <w:bottom w:val="single" w:sz="4" w:space="0" w:color="auto"/>
              <w:right w:val="single" w:sz="4" w:space="0" w:color="auto"/>
            </w:tcBorders>
            <w:shd w:val="clear" w:color="auto" w:fill="auto"/>
            <w:vAlign w:val="center"/>
          </w:tcPr>
          <w:p w14:paraId="30068972" w14:textId="77777777" w:rsidR="004346F3" w:rsidRPr="00536CFD" w:rsidRDefault="004346F3" w:rsidP="00802ABC">
            <w:pPr>
              <w:pageBreakBefore/>
              <w:spacing w:after="0"/>
              <w:jc w:val="center"/>
              <w:rPr>
                <w:lang w:val="zh-CN"/>
              </w:rPr>
            </w:pPr>
            <w:r w:rsidRPr="00536CFD">
              <w:rPr>
                <w:lang w:eastAsia="x-none"/>
              </w:rPr>
              <w:t>9.73</w:t>
            </w:r>
          </w:p>
        </w:tc>
        <w:tc>
          <w:tcPr>
            <w:tcW w:w="719" w:type="dxa"/>
            <w:tcBorders>
              <w:top w:val="single" w:sz="4" w:space="0" w:color="auto"/>
              <w:left w:val="nil"/>
              <w:bottom w:val="single" w:sz="4" w:space="0" w:color="auto"/>
              <w:right w:val="single" w:sz="4" w:space="0" w:color="auto"/>
            </w:tcBorders>
            <w:shd w:val="clear" w:color="auto" w:fill="auto"/>
            <w:vAlign w:val="center"/>
          </w:tcPr>
          <w:p w14:paraId="05D3A75F" w14:textId="77777777" w:rsidR="004346F3" w:rsidRPr="00536CFD" w:rsidRDefault="004346F3" w:rsidP="00802ABC">
            <w:pPr>
              <w:pageBreakBefore/>
              <w:spacing w:after="0"/>
              <w:jc w:val="center"/>
              <w:rPr>
                <w:lang w:val="zh-CN"/>
              </w:rPr>
            </w:pPr>
            <w:r w:rsidRPr="00536CFD">
              <w:rPr>
                <w:lang w:eastAsia="x-none"/>
              </w:rPr>
              <w:t>17.90</w:t>
            </w:r>
          </w:p>
        </w:tc>
        <w:tc>
          <w:tcPr>
            <w:tcW w:w="719" w:type="dxa"/>
            <w:tcBorders>
              <w:top w:val="single" w:sz="4" w:space="0" w:color="auto"/>
              <w:left w:val="nil"/>
              <w:bottom w:val="single" w:sz="4" w:space="0" w:color="auto"/>
              <w:right w:val="single" w:sz="4" w:space="0" w:color="auto"/>
            </w:tcBorders>
            <w:shd w:val="clear" w:color="auto" w:fill="auto"/>
            <w:vAlign w:val="center"/>
          </w:tcPr>
          <w:p w14:paraId="23C88988" w14:textId="77777777" w:rsidR="004346F3" w:rsidRPr="00536CFD" w:rsidRDefault="004346F3" w:rsidP="00802ABC">
            <w:pPr>
              <w:pageBreakBefore/>
              <w:spacing w:after="0"/>
              <w:jc w:val="center"/>
              <w:rPr>
                <w:lang w:val="zh-CN"/>
              </w:rPr>
            </w:pPr>
            <w:r w:rsidRPr="00536CFD">
              <w:rPr>
                <w:lang w:eastAsia="x-none"/>
              </w:rPr>
              <w:t>25.19</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F50EBB7" w14:textId="77777777" w:rsidR="004346F3" w:rsidRPr="00536CFD" w:rsidRDefault="004346F3" w:rsidP="00802ABC">
            <w:pPr>
              <w:pageBreakBefore/>
              <w:spacing w:after="0"/>
              <w:jc w:val="center"/>
              <w:rPr>
                <w:lang w:val="zh-CN"/>
              </w:rPr>
            </w:pPr>
            <w:r w:rsidRPr="00536CFD">
              <w:rPr>
                <w:lang w:eastAsia="x-none"/>
              </w:rPr>
              <w:t>0.06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E6FA5FF" w14:textId="77777777" w:rsidR="004346F3" w:rsidRPr="00536CFD" w:rsidRDefault="004346F3" w:rsidP="00802ABC">
            <w:pPr>
              <w:pageBreakBefore/>
              <w:spacing w:after="0"/>
              <w:jc w:val="center"/>
              <w:rPr>
                <w:lang w:val="zh-CN"/>
              </w:rPr>
            </w:pPr>
            <w:r w:rsidRPr="00536CFD">
              <w:rPr>
                <w:lang w:eastAsia="x-none"/>
              </w:rPr>
              <w:t>4.72</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C3FEB4C" w14:textId="77777777" w:rsidR="004346F3" w:rsidRPr="00536CFD" w:rsidRDefault="004346F3" w:rsidP="00802ABC">
            <w:pPr>
              <w:pageBreakBefore/>
              <w:spacing w:after="0"/>
              <w:jc w:val="center"/>
              <w:rPr>
                <w:lang w:val="zh-CN"/>
              </w:rPr>
            </w:pPr>
            <w:r w:rsidRPr="00536CFD">
              <w:rPr>
                <w:lang w:eastAsia="x-none"/>
              </w:rPr>
              <w:t>10.28</w:t>
            </w:r>
          </w:p>
        </w:tc>
        <w:tc>
          <w:tcPr>
            <w:tcW w:w="676" w:type="dxa"/>
            <w:tcBorders>
              <w:top w:val="single" w:sz="4" w:space="0" w:color="auto"/>
              <w:left w:val="nil"/>
              <w:bottom w:val="single" w:sz="4" w:space="0" w:color="auto"/>
              <w:right w:val="single" w:sz="4" w:space="0" w:color="auto"/>
            </w:tcBorders>
            <w:shd w:val="clear" w:color="auto" w:fill="auto"/>
            <w:vAlign w:val="center"/>
          </w:tcPr>
          <w:p w14:paraId="1B329D46" w14:textId="77777777" w:rsidR="004346F3" w:rsidRPr="00536CFD" w:rsidRDefault="004346F3" w:rsidP="00802ABC">
            <w:pPr>
              <w:pageBreakBefore/>
              <w:spacing w:after="0"/>
              <w:jc w:val="center"/>
              <w:rPr>
                <w:lang w:val="zh-CN"/>
              </w:rPr>
            </w:pPr>
            <w:r w:rsidRPr="00536CFD">
              <w:rPr>
                <w:lang w:eastAsia="x-none"/>
              </w:rPr>
              <w:t>20.36</w:t>
            </w:r>
          </w:p>
        </w:tc>
      </w:tr>
      <w:tr w:rsidR="004346F3" w:rsidRPr="00C64ECB" w14:paraId="269D0AF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3E5D6F7"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3749413"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A618EA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center"/>
          </w:tcPr>
          <w:p w14:paraId="5BAA1F70" w14:textId="77777777" w:rsidR="004346F3" w:rsidRPr="00536CFD" w:rsidRDefault="004346F3" w:rsidP="00802ABC">
            <w:pPr>
              <w:spacing w:after="0"/>
              <w:jc w:val="center"/>
              <w:rPr>
                <w:lang w:val="zh-CN"/>
              </w:rPr>
            </w:pPr>
            <w:r w:rsidRPr="00536CFD">
              <w:rPr>
                <w:lang w:eastAsia="x-none"/>
              </w:rPr>
              <w:t>45.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885012D" w14:textId="77777777" w:rsidR="004346F3" w:rsidRPr="00536CFD" w:rsidRDefault="004346F3" w:rsidP="00802ABC">
            <w:pPr>
              <w:spacing w:after="0"/>
              <w:jc w:val="center"/>
              <w:rPr>
                <w:lang w:val="zh-CN"/>
              </w:rPr>
            </w:pPr>
            <w:r w:rsidRPr="00536CFD">
              <w:rPr>
                <w:lang w:eastAsia="x-none"/>
              </w:rPr>
              <w:t>56.78</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118AEDFF" w14:textId="77777777" w:rsidR="004346F3" w:rsidRPr="00536CFD" w:rsidRDefault="004346F3" w:rsidP="00802ABC">
            <w:pPr>
              <w:spacing w:after="0"/>
              <w:jc w:val="center"/>
              <w:rPr>
                <w:lang w:val="zh-CN"/>
              </w:rPr>
            </w:pPr>
            <w:r w:rsidRPr="00536CFD">
              <w:rPr>
                <w:lang w:eastAsia="x-none"/>
              </w:rPr>
              <w:t>85.04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9D91087" w14:textId="77777777" w:rsidR="004346F3" w:rsidRPr="00536CFD" w:rsidRDefault="004346F3" w:rsidP="00802ABC">
            <w:pPr>
              <w:spacing w:after="0"/>
              <w:jc w:val="center"/>
              <w:rPr>
                <w:lang w:val="zh-CN"/>
              </w:rPr>
            </w:pPr>
            <w:r w:rsidRPr="00536CFD">
              <w:rPr>
                <w:lang w:eastAsia="x-none"/>
              </w:rPr>
              <w:t>87.18</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375BCA0F" w14:textId="77777777" w:rsidR="004346F3" w:rsidRPr="00536CFD" w:rsidRDefault="004346F3" w:rsidP="00802ABC">
            <w:pPr>
              <w:spacing w:after="0"/>
              <w:jc w:val="center"/>
              <w:rPr>
                <w:lang w:val="zh-CN"/>
              </w:rPr>
            </w:pPr>
            <w:r w:rsidRPr="00536CFD">
              <w:rPr>
                <w:lang w:eastAsia="x-none"/>
              </w:rPr>
              <w:t>18.42</w:t>
            </w:r>
          </w:p>
        </w:tc>
        <w:tc>
          <w:tcPr>
            <w:tcW w:w="714" w:type="dxa"/>
            <w:tcBorders>
              <w:top w:val="single" w:sz="4" w:space="0" w:color="auto"/>
              <w:left w:val="nil"/>
              <w:bottom w:val="single" w:sz="4" w:space="0" w:color="auto"/>
              <w:right w:val="single" w:sz="4" w:space="0" w:color="auto"/>
            </w:tcBorders>
            <w:shd w:val="clear" w:color="auto" w:fill="auto"/>
            <w:vAlign w:val="center"/>
          </w:tcPr>
          <w:p w14:paraId="57637212" w14:textId="77777777" w:rsidR="004346F3" w:rsidRPr="00536CFD" w:rsidRDefault="004346F3" w:rsidP="00802ABC">
            <w:pPr>
              <w:spacing w:after="0"/>
              <w:jc w:val="center"/>
              <w:rPr>
                <w:lang w:val="zh-CN"/>
              </w:rPr>
            </w:pPr>
            <w:r w:rsidRPr="00536CFD">
              <w:rPr>
                <w:lang w:eastAsia="x-none"/>
              </w:rPr>
              <w:t>41.94</w:t>
            </w:r>
          </w:p>
        </w:tc>
        <w:tc>
          <w:tcPr>
            <w:tcW w:w="719" w:type="dxa"/>
            <w:tcBorders>
              <w:top w:val="single" w:sz="4" w:space="0" w:color="auto"/>
              <w:left w:val="nil"/>
              <w:bottom w:val="single" w:sz="4" w:space="0" w:color="auto"/>
              <w:right w:val="single" w:sz="4" w:space="0" w:color="auto"/>
            </w:tcBorders>
            <w:shd w:val="clear" w:color="auto" w:fill="auto"/>
            <w:vAlign w:val="center"/>
          </w:tcPr>
          <w:p w14:paraId="1D1C0777" w14:textId="77777777" w:rsidR="004346F3" w:rsidRPr="00536CFD" w:rsidRDefault="004346F3" w:rsidP="00802ABC">
            <w:pPr>
              <w:spacing w:after="0"/>
              <w:jc w:val="center"/>
              <w:rPr>
                <w:lang w:val="zh-CN"/>
              </w:rPr>
            </w:pPr>
            <w:r w:rsidRPr="00536CFD">
              <w:rPr>
                <w:lang w:eastAsia="x-none"/>
              </w:rPr>
              <w:t>61.98</w:t>
            </w:r>
          </w:p>
        </w:tc>
        <w:tc>
          <w:tcPr>
            <w:tcW w:w="719" w:type="dxa"/>
            <w:tcBorders>
              <w:top w:val="single" w:sz="4" w:space="0" w:color="auto"/>
              <w:left w:val="nil"/>
              <w:bottom w:val="single" w:sz="4" w:space="0" w:color="auto"/>
              <w:right w:val="single" w:sz="4" w:space="0" w:color="auto"/>
            </w:tcBorders>
            <w:shd w:val="clear" w:color="auto" w:fill="auto"/>
            <w:vAlign w:val="center"/>
          </w:tcPr>
          <w:p w14:paraId="57571B6C" w14:textId="77777777" w:rsidR="004346F3" w:rsidRPr="00536CFD" w:rsidRDefault="004346F3" w:rsidP="00802ABC">
            <w:pPr>
              <w:spacing w:after="0"/>
              <w:jc w:val="center"/>
              <w:rPr>
                <w:lang w:val="zh-CN"/>
              </w:rPr>
            </w:pPr>
            <w:r w:rsidRPr="00536CFD">
              <w:rPr>
                <w:lang w:eastAsia="x-none"/>
              </w:rPr>
              <w:t>73.61</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43C3EB1B" w14:textId="77777777" w:rsidR="004346F3" w:rsidRPr="00536CFD" w:rsidRDefault="004346F3" w:rsidP="00802ABC">
            <w:pPr>
              <w:spacing w:after="0"/>
              <w:jc w:val="center"/>
              <w:rPr>
                <w:lang w:val="zh-CN"/>
              </w:rPr>
            </w:pPr>
            <w:r w:rsidRPr="00536CFD">
              <w:rPr>
                <w:lang w:eastAsia="x-none"/>
              </w:rPr>
              <w:t>10.22</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E1F41BA" w14:textId="77777777" w:rsidR="004346F3" w:rsidRPr="00536CFD" w:rsidRDefault="004346F3" w:rsidP="00802ABC">
            <w:pPr>
              <w:spacing w:after="0"/>
              <w:jc w:val="center"/>
              <w:rPr>
                <w:lang w:val="zh-CN"/>
              </w:rPr>
            </w:pPr>
            <w:r w:rsidRPr="00536CFD">
              <w:rPr>
                <w:lang w:eastAsia="x-none"/>
              </w:rPr>
              <w:t>32.83</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0294B06" w14:textId="77777777" w:rsidR="004346F3" w:rsidRPr="00536CFD" w:rsidRDefault="004346F3" w:rsidP="00802ABC">
            <w:pPr>
              <w:spacing w:after="0"/>
              <w:jc w:val="center"/>
              <w:rPr>
                <w:lang w:val="zh-CN"/>
              </w:rPr>
            </w:pPr>
            <w:r w:rsidRPr="00536CFD">
              <w:rPr>
                <w:lang w:eastAsia="x-none"/>
              </w:rPr>
              <w:t>46.49</w:t>
            </w:r>
          </w:p>
        </w:tc>
        <w:tc>
          <w:tcPr>
            <w:tcW w:w="676" w:type="dxa"/>
            <w:tcBorders>
              <w:top w:val="single" w:sz="4" w:space="0" w:color="auto"/>
              <w:left w:val="nil"/>
              <w:bottom w:val="single" w:sz="4" w:space="0" w:color="auto"/>
              <w:right w:val="single" w:sz="4" w:space="0" w:color="auto"/>
            </w:tcBorders>
            <w:shd w:val="clear" w:color="auto" w:fill="auto"/>
            <w:vAlign w:val="center"/>
          </w:tcPr>
          <w:p w14:paraId="6B2FDF79" w14:textId="77777777" w:rsidR="004346F3" w:rsidRPr="00536CFD" w:rsidRDefault="004346F3" w:rsidP="00802ABC">
            <w:pPr>
              <w:spacing w:after="0"/>
              <w:jc w:val="center"/>
              <w:rPr>
                <w:lang w:val="zh-CN"/>
              </w:rPr>
            </w:pPr>
            <w:r w:rsidRPr="00536CFD">
              <w:rPr>
                <w:lang w:eastAsia="x-none"/>
              </w:rPr>
              <w:t>65.43</w:t>
            </w:r>
          </w:p>
        </w:tc>
      </w:tr>
      <w:tr w:rsidR="004346F3" w:rsidRPr="00C64ECB" w14:paraId="2D78D269"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1B954E7"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DFB1934"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5502C05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center"/>
          </w:tcPr>
          <w:p w14:paraId="6599014C" w14:textId="77777777" w:rsidR="004346F3" w:rsidRPr="00536CFD" w:rsidRDefault="004346F3" w:rsidP="00802ABC">
            <w:pPr>
              <w:spacing w:after="0"/>
              <w:jc w:val="center"/>
              <w:rPr>
                <w:lang w:val="zh-CN"/>
              </w:rPr>
            </w:pPr>
            <w:r w:rsidRPr="00536CFD">
              <w:rPr>
                <w:lang w:eastAsia="x-none"/>
              </w:rPr>
              <w:t>77.19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9D3B5F3" w14:textId="77777777" w:rsidR="004346F3" w:rsidRPr="00536CFD" w:rsidRDefault="004346F3" w:rsidP="00802ABC">
            <w:pPr>
              <w:spacing w:after="0"/>
              <w:jc w:val="center"/>
              <w:rPr>
                <w:lang w:val="zh-CN"/>
              </w:rPr>
            </w:pPr>
            <w:r w:rsidRPr="00536CFD">
              <w:rPr>
                <w:lang w:eastAsia="x-none"/>
              </w:rPr>
              <w:t>77.77</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09F7EFFD" w14:textId="77777777" w:rsidR="004346F3" w:rsidRPr="00536CFD" w:rsidRDefault="004346F3" w:rsidP="00802ABC">
            <w:pPr>
              <w:spacing w:after="0"/>
              <w:jc w:val="center"/>
              <w:rPr>
                <w:lang w:val="zh-CN"/>
              </w:rPr>
            </w:pPr>
            <w:r w:rsidRPr="00536CFD">
              <w:rPr>
                <w:lang w:eastAsia="x-none"/>
              </w:rPr>
              <w:t>105.64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7BE860B" w14:textId="77777777" w:rsidR="004346F3" w:rsidRPr="00536CFD" w:rsidRDefault="004346F3" w:rsidP="00802ABC">
            <w:pPr>
              <w:spacing w:after="0"/>
              <w:jc w:val="center"/>
              <w:rPr>
                <w:lang w:val="zh-CN"/>
              </w:rPr>
            </w:pPr>
            <w:r w:rsidRPr="00536CFD">
              <w:rPr>
                <w:lang w:eastAsia="x-none"/>
              </w:rPr>
              <w:t>105.64</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33291243" w14:textId="77777777" w:rsidR="004346F3" w:rsidRPr="00536CFD" w:rsidRDefault="004346F3" w:rsidP="00802ABC">
            <w:pPr>
              <w:spacing w:after="0"/>
              <w:jc w:val="center"/>
              <w:rPr>
                <w:lang w:val="zh-CN"/>
              </w:rPr>
            </w:pPr>
            <w:r w:rsidRPr="00536CFD">
              <w:rPr>
                <w:lang w:eastAsia="x-none"/>
              </w:rPr>
              <w:t>68.22</w:t>
            </w:r>
          </w:p>
        </w:tc>
        <w:tc>
          <w:tcPr>
            <w:tcW w:w="714" w:type="dxa"/>
            <w:tcBorders>
              <w:top w:val="single" w:sz="4" w:space="0" w:color="auto"/>
              <w:left w:val="nil"/>
              <w:bottom w:val="single" w:sz="4" w:space="0" w:color="auto"/>
              <w:right w:val="single" w:sz="4" w:space="0" w:color="auto"/>
            </w:tcBorders>
            <w:shd w:val="clear" w:color="auto" w:fill="auto"/>
            <w:vAlign w:val="center"/>
          </w:tcPr>
          <w:p w14:paraId="49AE6C01" w14:textId="77777777" w:rsidR="004346F3" w:rsidRPr="00536CFD" w:rsidRDefault="004346F3" w:rsidP="00802ABC">
            <w:pPr>
              <w:spacing w:after="0"/>
              <w:jc w:val="center"/>
              <w:rPr>
                <w:lang w:val="zh-CN"/>
              </w:rPr>
            </w:pPr>
            <w:r w:rsidRPr="00536CFD">
              <w:rPr>
                <w:lang w:eastAsia="x-none"/>
              </w:rPr>
              <w:t>77.20</w:t>
            </w:r>
          </w:p>
        </w:tc>
        <w:tc>
          <w:tcPr>
            <w:tcW w:w="719" w:type="dxa"/>
            <w:tcBorders>
              <w:top w:val="single" w:sz="4" w:space="0" w:color="auto"/>
              <w:left w:val="nil"/>
              <w:bottom w:val="single" w:sz="4" w:space="0" w:color="auto"/>
              <w:right w:val="single" w:sz="4" w:space="0" w:color="auto"/>
            </w:tcBorders>
            <w:shd w:val="clear" w:color="auto" w:fill="auto"/>
            <w:vAlign w:val="center"/>
          </w:tcPr>
          <w:p w14:paraId="43725022" w14:textId="77777777" w:rsidR="004346F3" w:rsidRPr="00536CFD" w:rsidRDefault="004346F3" w:rsidP="00802ABC">
            <w:pPr>
              <w:spacing w:after="0"/>
              <w:jc w:val="center"/>
              <w:rPr>
                <w:lang w:val="zh-CN"/>
              </w:rPr>
            </w:pPr>
            <w:r w:rsidRPr="00536CFD">
              <w:rPr>
                <w:lang w:eastAsia="x-none"/>
              </w:rPr>
              <w:t>105.38</w:t>
            </w:r>
          </w:p>
        </w:tc>
        <w:tc>
          <w:tcPr>
            <w:tcW w:w="719" w:type="dxa"/>
            <w:tcBorders>
              <w:top w:val="single" w:sz="4" w:space="0" w:color="auto"/>
              <w:left w:val="nil"/>
              <w:bottom w:val="single" w:sz="4" w:space="0" w:color="auto"/>
              <w:right w:val="single" w:sz="4" w:space="0" w:color="auto"/>
            </w:tcBorders>
            <w:shd w:val="clear" w:color="auto" w:fill="auto"/>
            <w:vAlign w:val="center"/>
          </w:tcPr>
          <w:p w14:paraId="1379062A" w14:textId="77777777" w:rsidR="004346F3" w:rsidRPr="00536CFD" w:rsidRDefault="004346F3" w:rsidP="00802ABC">
            <w:pPr>
              <w:spacing w:after="0"/>
              <w:jc w:val="center"/>
              <w:rPr>
                <w:lang w:val="zh-CN"/>
              </w:rPr>
            </w:pPr>
            <w:r w:rsidRPr="00536CFD">
              <w:rPr>
                <w:lang w:eastAsia="x-none"/>
              </w:rPr>
              <w:t>105.53</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4EE3C9F" w14:textId="77777777" w:rsidR="004346F3" w:rsidRPr="00536CFD" w:rsidRDefault="004346F3" w:rsidP="00802ABC">
            <w:pPr>
              <w:spacing w:after="0"/>
              <w:jc w:val="center"/>
              <w:rPr>
                <w:lang w:val="zh-CN"/>
              </w:rPr>
            </w:pPr>
            <w:r w:rsidRPr="00536CFD">
              <w:rPr>
                <w:lang w:eastAsia="x-none"/>
              </w:rPr>
              <w:t>53.68</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2985E8D" w14:textId="77777777" w:rsidR="004346F3" w:rsidRPr="00536CFD" w:rsidRDefault="004346F3" w:rsidP="00802ABC">
            <w:pPr>
              <w:spacing w:after="0"/>
              <w:jc w:val="center"/>
              <w:rPr>
                <w:lang w:val="zh-CN"/>
              </w:rPr>
            </w:pPr>
            <w:r w:rsidRPr="00536CFD">
              <w:rPr>
                <w:lang w:eastAsia="x-none"/>
              </w:rPr>
              <w:t>76.06</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A70294F" w14:textId="77777777" w:rsidR="004346F3" w:rsidRPr="00536CFD" w:rsidRDefault="004346F3" w:rsidP="00802ABC">
            <w:pPr>
              <w:spacing w:after="0"/>
              <w:jc w:val="center"/>
              <w:rPr>
                <w:lang w:val="zh-CN"/>
              </w:rPr>
            </w:pPr>
            <w:r w:rsidRPr="00536CFD">
              <w:rPr>
                <w:lang w:eastAsia="x-none"/>
              </w:rPr>
              <w:t>104.41</w:t>
            </w:r>
          </w:p>
        </w:tc>
        <w:tc>
          <w:tcPr>
            <w:tcW w:w="676" w:type="dxa"/>
            <w:tcBorders>
              <w:top w:val="single" w:sz="4" w:space="0" w:color="auto"/>
              <w:left w:val="nil"/>
              <w:bottom w:val="single" w:sz="4" w:space="0" w:color="auto"/>
              <w:right w:val="single" w:sz="4" w:space="0" w:color="auto"/>
            </w:tcBorders>
            <w:shd w:val="clear" w:color="auto" w:fill="auto"/>
            <w:vAlign w:val="center"/>
          </w:tcPr>
          <w:p w14:paraId="0BED6643" w14:textId="77777777" w:rsidR="004346F3" w:rsidRPr="00536CFD" w:rsidRDefault="004346F3" w:rsidP="00802ABC">
            <w:pPr>
              <w:spacing w:after="0"/>
              <w:jc w:val="center"/>
              <w:rPr>
                <w:lang w:val="zh-CN"/>
              </w:rPr>
            </w:pPr>
            <w:r w:rsidRPr="00536CFD">
              <w:rPr>
                <w:lang w:eastAsia="x-none"/>
              </w:rPr>
              <w:t>105.45</w:t>
            </w:r>
          </w:p>
        </w:tc>
      </w:tr>
      <w:tr w:rsidR="004346F3" w:rsidRPr="00C64ECB" w14:paraId="4B2B64D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F2CD738"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649475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443108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center"/>
          </w:tcPr>
          <w:p w14:paraId="1BDDD3CD" w14:textId="77777777" w:rsidR="004346F3" w:rsidRPr="00536CFD" w:rsidRDefault="004346F3" w:rsidP="00802ABC">
            <w:pPr>
              <w:spacing w:after="0"/>
              <w:jc w:val="center"/>
              <w:rPr>
                <w:lang w:val="zh-CN"/>
              </w:rPr>
            </w:pPr>
            <w:r w:rsidRPr="00536CFD">
              <w:rPr>
                <w:lang w:eastAsia="x-none"/>
              </w:rPr>
              <w:t>46.02</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8132143" w14:textId="77777777" w:rsidR="004346F3" w:rsidRPr="00536CFD" w:rsidRDefault="004346F3" w:rsidP="00802ABC">
            <w:pPr>
              <w:spacing w:after="0"/>
              <w:jc w:val="center"/>
              <w:rPr>
                <w:lang w:val="zh-CN"/>
              </w:rPr>
            </w:pPr>
            <w:r w:rsidRPr="00536CFD">
              <w:rPr>
                <w:lang w:eastAsia="x-none"/>
              </w:rPr>
              <w:t>53.63</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00EFCD41" w14:textId="77777777" w:rsidR="004346F3" w:rsidRPr="00536CFD" w:rsidRDefault="004346F3" w:rsidP="00802ABC">
            <w:pPr>
              <w:spacing w:after="0"/>
              <w:jc w:val="center"/>
              <w:rPr>
                <w:lang w:val="zh-CN"/>
              </w:rPr>
            </w:pPr>
            <w:r w:rsidRPr="00536CFD">
              <w:rPr>
                <w:lang w:eastAsia="x-none"/>
              </w:rPr>
              <w:t>77.18</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AA1D5C9" w14:textId="77777777" w:rsidR="004346F3" w:rsidRPr="00536CFD" w:rsidRDefault="004346F3" w:rsidP="00802ABC">
            <w:pPr>
              <w:spacing w:after="0"/>
              <w:jc w:val="center"/>
              <w:rPr>
                <w:lang w:val="zh-CN"/>
              </w:rPr>
            </w:pPr>
            <w:r w:rsidRPr="00536CFD">
              <w:rPr>
                <w:lang w:eastAsia="x-none"/>
              </w:rPr>
              <w:t>79.34</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7D934913" w14:textId="77777777" w:rsidR="004346F3" w:rsidRPr="00536CFD" w:rsidRDefault="004346F3" w:rsidP="00802ABC">
            <w:pPr>
              <w:spacing w:after="0"/>
              <w:jc w:val="center"/>
              <w:rPr>
                <w:lang w:val="zh-CN"/>
              </w:rPr>
            </w:pPr>
            <w:r w:rsidRPr="00536CFD">
              <w:rPr>
                <w:lang w:eastAsia="x-none"/>
              </w:rPr>
              <w:t>24.58</w:t>
            </w:r>
          </w:p>
        </w:tc>
        <w:tc>
          <w:tcPr>
            <w:tcW w:w="714" w:type="dxa"/>
            <w:tcBorders>
              <w:top w:val="single" w:sz="4" w:space="0" w:color="auto"/>
              <w:left w:val="nil"/>
              <w:bottom w:val="single" w:sz="4" w:space="0" w:color="auto"/>
              <w:right w:val="single" w:sz="4" w:space="0" w:color="auto"/>
            </w:tcBorders>
            <w:shd w:val="clear" w:color="auto" w:fill="auto"/>
            <w:vAlign w:val="center"/>
          </w:tcPr>
          <w:p w14:paraId="16674711" w14:textId="77777777" w:rsidR="004346F3" w:rsidRPr="00536CFD" w:rsidRDefault="004346F3" w:rsidP="00802ABC">
            <w:pPr>
              <w:spacing w:after="0"/>
              <w:jc w:val="center"/>
              <w:rPr>
                <w:lang w:val="zh-CN"/>
              </w:rPr>
            </w:pPr>
            <w:r w:rsidRPr="00536CFD">
              <w:rPr>
                <w:lang w:eastAsia="x-none"/>
              </w:rPr>
              <w:t>43.43</w:t>
            </w:r>
          </w:p>
        </w:tc>
        <w:tc>
          <w:tcPr>
            <w:tcW w:w="719" w:type="dxa"/>
            <w:tcBorders>
              <w:top w:val="single" w:sz="4" w:space="0" w:color="auto"/>
              <w:left w:val="nil"/>
              <w:bottom w:val="single" w:sz="4" w:space="0" w:color="auto"/>
              <w:right w:val="single" w:sz="4" w:space="0" w:color="auto"/>
            </w:tcBorders>
            <w:shd w:val="clear" w:color="auto" w:fill="auto"/>
            <w:vAlign w:val="center"/>
          </w:tcPr>
          <w:p w14:paraId="131E1B4A" w14:textId="77777777" w:rsidR="004346F3" w:rsidRPr="00536CFD" w:rsidRDefault="004346F3" w:rsidP="00802ABC">
            <w:pPr>
              <w:spacing w:after="0"/>
              <w:jc w:val="center"/>
              <w:rPr>
                <w:lang w:val="zh-CN"/>
              </w:rPr>
            </w:pPr>
            <w:r w:rsidRPr="00536CFD">
              <w:rPr>
                <w:lang w:eastAsia="x-none"/>
              </w:rPr>
              <w:t>63.36</w:t>
            </w:r>
          </w:p>
        </w:tc>
        <w:tc>
          <w:tcPr>
            <w:tcW w:w="719" w:type="dxa"/>
            <w:tcBorders>
              <w:top w:val="single" w:sz="4" w:space="0" w:color="auto"/>
              <w:left w:val="nil"/>
              <w:bottom w:val="single" w:sz="4" w:space="0" w:color="auto"/>
              <w:right w:val="single" w:sz="4" w:space="0" w:color="auto"/>
            </w:tcBorders>
            <w:shd w:val="clear" w:color="auto" w:fill="auto"/>
            <w:vAlign w:val="center"/>
          </w:tcPr>
          <w:p w14:paraId="05099DA2" w14:textId="77777777" w:rsidR="004346F3" w:rsidRPr="00536CFD" w:rsidRDefault="004346F3" w:rsidP="00802ABC">
            <w:pPr>
              <w:spacing w:after="0"/>
              <w:jc w:val="center"/>
              <w:rPr>
                <w:lang w:val="zh-CN"/>
              </w:rPr>
            </w:pPr>
            <w:r w:rsidRPr="00536CFD">
              <w:rPr>
                <w:lang w:eastAsia="x-none"/>
              </w:rPr>
              <w:t>71.22</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CF108B8" w14:textId="77777777" w:rsidR="004346F3" w:rsidRPr="00536CFD" w:rsidRDefault="004346F3" w:rsidP="00802ABC">
            <w:pPr>
              <w:spacing w:after="0"/>
              <w:jc w:val="center"/>
              <w:rPr>
                <w:lang w:val="zh-CN"/>
              </w:rPr>
            </w:pPr>
            <w:r w:rsidRPr="00536CFD">
              <w:rPr>
                <w:lang w:eastAsia="x-none"/>
              </w:rPr>
              <w:t>16.28</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5E875E1" w14:textId="77777777" w:rsidR="004346F3" w:rsidRPr="00536CFD" w:rsidRDefault="004346F3" w:rsidP="00802ABC">
            <w:pPr>
              <w:spacing w:after="0"/>
              <w:jc w:val="center"/>
              <w:rPr>
                <w:lang w:val="zh-CN"/>
              </w:rPr>
            </w:pPr>
            <w:r w:rsidRPr="00536CFD">
              <w:rPr>
                <w:lang w:eastAsia="x-none"/>
              </w:rPr>
              <w:t>35.91</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61FEF5F4" w14:textId="77777777" w:rsidR="004346F3" w:rsidRPr="00536CFD" w:rsidRDefault="004346F3" w:rsidP="00802ABC">
            <w:pPr>
              <w:spacing w:after="0"/>
              <w:jc w:val="center"/>
              <w:rPr>
                <w:lang w:val="zh-CN"/>
              </w:rPr>
            </w:pPr>
            <w:r w:rsidRPr="00536CFD">
              <w:rPr>
                <w:lang w:eastAsia="x-none"/>
              </w:rPr>
              <w:t>52.18</w:t>
            </w:r>
          </w:p>
        </w:tc>
        <w:tc>
          <w:tcPr>
            <w:tcW w:w="676" w:type="dxa"/>
            <w:tcBorders>
              <w:top w:val="single" w:sz="4" w:space="0" w:color="auto"/>
              <w:left w:val="nil"/>
              <w:bottom w:val="single" w:sz="4" w:space="0" w:color="auto"/>
              <w:right w:val="single" w:sz="4" w:space="0" w:color="auto"/>
            </w:tcBorders>
            <w:shd w:val="clear" w:color="auto" w:fill="auto"/>
            <w:vAlign w:val="center"/>
          </w:tcPr>
          <w:p w14:paraId="0D2E7AD8" w14:textId="77777777" w:rsidR="004346F3" w:rsidRPr="00536CFD" w:rsidRDefault="004346F3" w:rsidP="00802ABC">
            <w:pPr>
              <w:spacing w:after="0"/>
              <w:jc w:val="center"/>
              <w:rPr>
                <w:lang w:val="zh-CN"/>
              </w:rPr>
            </w:pPr>
            <w:r w:rsidRPr="00536CFD">
              <w:rPr>
                <w:lang w:eastAsia="x-none"/>
              </w:rPr>
              <w:t>66.05</w:t>
            </w:r>
          </w:p>
        </w:tc>
      </w:tr>
      <w:tr w:rsidR="004346F3" w:rsidRPr="00C64ECB" w14:paraId="60FC42A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AC88B08"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5A8AA69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142501C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center"/>
          </w:tcPr>
          <w:p w14:paraId="6AC15DB2" w14:textId="77777777" w:rsidR="004346F3" w:rsidRPr="00536CFD" w:rsidRDefault="004346F3" w:rsidP="00802ABC">
            <w:pPr>
              <w:spacing w:after="0"/>
              <w:jc w:val="center"/>
              <w:rPr>
                <w:lang w:val="zh-CN"/>
              </w:rPr>
            </w:pPr>
            <w:r w:rsidRPr="00536CFD">
              <w:rPr>
                <w:lang w:eastAsia="x-none"/>
              </w:rPr>
              <w:t>0.05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73456EC" w14:textId="77777777" w:rsidR="004346F3" w:rsidRPr="00536CFD" w:rsidRDefault="004346F3" w:rsidP="00802ABC">
            <w:pPr>
              <w:spacing w:after="0"/>
              <w:jc w:val="center"/>
              <w:rPr>
                <w:lang w:val="zh-CN"/>
              </w:rPr>
            </w:pPr>
            <w:r w:rsidRPr="00536CFD">
              <w:rPr>
                <w:lang w:eastAsia="x-none"/>
              </w:rPr>
              <w:t>0.05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4DF76CBB" w14:textId="77777777" w:rsidR="004346F3" w:rsidRPr="00536CFD" w:rsidRDefault="004346F3" w:rsidP="00802ABC">
            <w:pPr>
              <w:spacing w:after="0"/>
              <w:jc w:val="center"/>
              <w:rPr>
                <w:lang w:val="zh-CN"/>
              </w:rPr>
            </w:pPr>
            <w:r w:rsidRPr="00536CFD">
              <w:rPr>
                <w:lang w:eastAsia="x-none"/>
              </w:rPr>
              <w:t>0.04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8132956" w14:textId="77777777" w:rsidR="004346F3" w:rsidRPr="00536CFD" w:rsidRDefault="004346F3" w:rsidP="00802ABC">
            <w:pPr>
              <w:spacing w:after="0"/>
              <w:jc w:val="center"/>
              <w:rPr>
                <w:lang w:val="zh-CN"/>
              </w:rPr>
            </w:pPr>
            <w:r w:rsidRPr="00536CFD">
              <w:rPr>
                <w:lang w:eastAsia="x-none"/>
              </w:rPr>
              <w:t>0.04</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02259533" w14:textId="77777777" w:rsidR="004346F3" w:rsidRPr="00536CFD" w:rsidRDefault="004346F3" w:rsidP="00802ABC">
            <w:pPr>
              <w:spacing w:after="0"/>
              <w:jc w:val="center"/>
              <w:rPr>
                <w:lang w:val="zh-CN"/>
              </w:rPr>
            </w:pPr>
            <w:r w:rsidRPr="00536CFD">
              <w:rPr>
                <w:lang w:eastAsia="x-none"/>
              </w:rPr>
              <w:t>0.06</w:t>
            </w:r>
          </w:p>
        </w:tc>
        <w:tc>
          <w:tcPr>
            <w:tcW w:w="714" w:type="dxa"/>
            <w:tcBorders>
              <w:top w:val="single" w:sz="4" w:space="0" w:color="auto"/>
              <w:left w:val="nil"/>
              <w:bottom w:val="single" w:sz="4" w:space="0" w:color="auto"/>
              <w:right w:val="single" w:sz="4" w:space="0" w:color="auto"/>
            </w:tcBorders>
            <w:shd w:val="clear" w:color="auto" w:fill="auto"/>
            <w:vAlign w:val="center"/>
          </w:tcPr>
          <w:p w14:paraId="76D9678B" w14:textId="77777777" w:rsidR="004346F3" w:rsidRPr="00536CFD" w:rsidRDefault="004346F3" w:rsidP="00802ABC">
            <w:pPr>
              <w:spacing w:after="0"/>
              <w:jc w:val="center"/>
              <w:rPr>
                <w:lang w:val="zh-CN"/>
              </w:rPr>
            </w:pPr>
            <w:r w:rsidRPr="00536CFD">
              <w:rPr>
                <w:lang w:eastAsia="x-none"/>
              </w:rPr>
              <w:t>0.05</w:t>
            </w:r>
          </w:p>
        </w:tc>
        <w:tc>
          <w:tcPr>
            <w:tcW w:w="719" w:type="dxa"/>
            <w:tcBorders>
              <w:top w:val="single" w:sz="4" w:space="0" w:color="auto"/>
              <w:left w:val="nil"/>
              <w:bottom w:val="single" w:sz="4" w:space="0" w:color="auto"/>
              <w:right w:val="single" w:sz="4" w:space="0" w:color="auto"/>
            </w:tcBorders>
            <w:shd w:val="clear" w:color="auto" w:fill="auto"/>
            <w:vAlign w:val="center"/>
          </w:tcPr>
          <w:p w14:paraId="0D662B2C" w14:textId="77777777" w:rsidR="004346F3" w:rsidRPr="00536CFD" w:rsidRDefault="004346F3" w:rsidP="00802ABC">
            <w:pPr>
              <w:spacing w:after="0"/>
              <w:jc w:val="center"/>
              <w:rPr>
                <w:lang w:val="zh-CN"/>
              </w:rPr>
            </w:pPr>
            <w:r w:rsidRPr="00536CFD">
              <w:rPr>
                <w:lang w:eastAsia="x-none"/>
              </w:rPr>
              <w:t>0.04</w:t>
            </w:r>
          </w:p>
        </w:tc>
        <w:tc>
          <w:tcPr>
            <w:tcW w:w="719" w:type="dxa"/>
            <w:tcBorders>
              <w:top w:val="single" w:sz="4" w:space="0" w:color="auto"/>
              <w:left w:val="nil"/>
              <w:bottom w:val="single" w:sz="4" w:space="0" w:color="auto"/>
              <w:right w:val="single" w:sz="4" w:space="0" w:color="auto"/>
            </w:tcBorders>
            <w:shd w:val="clear" w:color="auto" w:fill="auto"/>
            <w:vAlign w:val="center"/>
          </w:tcPr>
          <w:p w14:paraId="23930224" w14:textId="77777777" w:rsidR="004346F3" w:rsidRPr="00536CFD" w:rsidRDefault="004346F3" w:rsidP="00802ABC">
            <w:pPr>
              <w:spacing w:after="0"/>
              <w:jc w:val="center"/>
              <w:rPr>
                <w:lang w:val="zh-CN"/>
              </w:rPr>
            </w:pPr>
            <w:r w:rsidRPr="00536CFD">
              <w:rPr>
                <w:lang w:eastAsia="x-none"/>
              </w:rPr>
              <w:t>0.04</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9C5D9AC" w14:textId="77777777" w:rsidR="004346F3" w:rsidRPr="00536CFD" w:rsidRDefault="004346F3" w:rsidP="00802ABC">
            <w:pPr>
              <w:spacing w:after="0"/>
              <w:jc w:val="center"/>
              <w:rPr>
                <w:lang w:val="zh-CN"/>
              </w:rPr>
            </w:pPr>
            <w:r w:rsidRPr="00536CFD">
              <w:rPr>
                <w:lang w:eastAsia="x-none"/>
              </w:rPr>
              <w:t>0.07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63C76FA" w14:textId="77777777" w:rsidR="004346F3" w:rsidRPr="00536CFD" w:rsidRDefault="004346F3" w:rsidP="00802ABC">
            <w:pPr>
              <w:spacing w:after="0"/>
              <w:jc w:val="center"/>
              <w:rPr>
                <w:lang w:val="zh-CN"/>
              </w:rPr>
            </w:pPr>
            <w:r w:rsidRPr="00536CFD">
              <w:rPr>
                <w:lang w:eastAsia="x-none"/>
              </w:rPr>
              <w:t>0.05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8ACFFFB" w14:textId="77777777" w:rsidR="004346F3" w:rsidRPr="00536CFD" w:rsidRDefault="004346F3" w:rsidP="00802ABC">
            <w:pPr>
              <w:spacing w:after="0"/>
              <w:jc w:val="center"/>
              <w:rPr>
                <w:lang w:val="zh-CN"/>
              </w:rPr>
            </w:pPr>
            <w:r w:rsidRPr="00536CFD">
              <w:rPr>
                <w:lang w:eastAsia="x-none"/>
              </w:rPr>
              <w:t>0.04</w:t>
            </w:r>
          </w:p>
        </w:tc>
        <w:tc>
          <w:tcPr>
            <w:tcW w:w="676" w:type="dxa"/>
            <w:tcBorders>
              <w:top w:val="single" w:sz="4" w:space="0" w:color="auto"/>
              <w:left w:val="nil"/>
              <w:bottom w:val="single" w:sz="4" w:space="0" w:color="auto"/>
              <w:right w:val="single" w:sz="4" w:space="0" w:color="auto"/>
            </w:tcBorders>
            <w:shd w:val="clear" w:color="auto" w:fill="auto"/>
            <w:vAlign w:val="center"/>
          </w:tcPr>
          <w:p w14:paraId="0FE50BA4" w14:textId="77777777" w:rsidR="004346F3" w:rsidRPr="00536CFD" w:rsidRDefault="004346F3" w:rsidP="00802ABC">
            <w:pPr>
              <w:spacing w:after="0"/>
              <w:jc w:val="center"/>
              <w:rPr>
                <w:lang w:val="zh-CN"/>
              </w:rPr>
            </w:pPr>
            <w:r w:rsidRPr="00536CFD">
              <w:rPr>
                <w:lang w:eastAsia="x-none"/>
              </w:rPr>
              <w:t>0.04</w:t>
            </w:r>
          </w:p>
        </w:tc>
      </w:tr>
      <w:tr w:rsidR="004346F3" w:rsidRPr="00C64ECB" w14:paraId="323E2AE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896FE94"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3B146C9"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2F570C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center"/>
          </w:tcPr>
          <w:p w14:paraId="3CF34686" w14:textId="77777777" w:rsidR="004346F3" w:rsidRPr="00536CFD" w:rsidRDefault="004346F3" w:rsidP="00802ABC">
            <w:pPr>
              <w:spacing w:after="0"/>
              <w:jc w:val="center"/>
              <w:rPr>
                <w:lang w:val="zh-CN"/>
              </w:rPr>
            </w:pPr>
            <w:r w:rsidRPr="00536CFD">
              <w:rPr>
                <w:lang w:eastAsia="x-none"/>
              </w:rPr>
              <w:t>0.09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5BE5552D" w14:textId="77777777" w:rsidR="004346F3" w:rsidRPr="00536CFD" w:rsidRDefault="004346F3" w:rsidP="00802ABC">
            <w:pPr>
              <w:spacing w:after="0"/>
              <w:jc w:val="center"/>
              <w:rPr>
                <w:lang w:val="zh-CN"/>
              </w:rPr>
            </w:pPr>
            <w:r w:rsidRPr="00536CFD">
              <w:rPr>
                <w:lang w:eastAsia="x-none"/>
              </w:rPr>
              <w:t>0.07</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080178AA" w14:textId="77777777" w:rsidR="004346F3" w:rsidRPr="00536CFD" w:rsidRDefault="004346F3" w:rsidP="00802ABC">
            <w:pPr>
              <w:spacing w:after="0"/>
              <w:jc w:val="center"/>
              <w:rPr>
                <w:lang w:val="zh-CN"/>
              </w:rPr>
            </w:pPr>
            <w:r w:rsidRPr="00536CFD">
              <w:rPr>
                <w:lang w:eastAsia="x-none"/>
              </w:rPr>
              <w:t>0.05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B7ED904" w14:textId="77777777" w:rsidR="004346F3" w:rsidRPr="00536CFD" w:rsidRDefault="004346F3" w:rsidP="00802ABC">
            <w:pPr>
              <w:spacing w:after="0"/>
              <w:jc w:val="center"/>
              <w:rPr>
                <w:lang w:val="zh-CN"/>
              </w:rPr>
            </w:pPr>
            <w:r w:rsidRPr="00536CFD">
              <w:rPr>
                <w:lang w:eastAsia="x-none"/>
              </w:rPr>
              <w:t>0.05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0C583E55" w14:textId="77777777" w:rsidR="004346F3" w:rsidRPr="00536CFD" w:rsidRDefault="004346F3" w:rsidP="00802ABC">
            <w:pPr>
              <w:spacing w:after="0"/>
              <w:jc w:val="center"/>
              <w:rPr>
                <w:lang w:val="zh-CN"/>
              </w:rPr>
            </w:pPr>
            <w:r w:rsidRPr="00536CFD">
              <w:rPr>
                <w:lang w:eastAsia="x-none"/>
              </w:rPr>
              <w:t>0.21</w:t>
            </w:r>
          </w:p>
        </w:tc>
        <w:tc>
          <w:tcPr>
            <w:tcW w:w="714" w:type="dxa"/>
            <w:tcBorders>
              <w:top w:val="single" w:sz="4" w:space="0" w:color="auto"/>
              <w:left w:val="nil"/>
              <w:bottom w:val="single" w:sz="4" w:space="0" w:color="auto"/>
              <w:right w:val="single" w:sz="4" w:space="0" w:color="auto"/>
            </w:tcBorders>
            <w:shd w:val="clear" w:color="auto" w:fill="auto"/>
            <w:vAlign w:val="center"/>
          </w:tcPr>
          <w:p w14:paraId="305BE81F" w14:textId="77777777" w:rsidR="004346F3" w:rsidRPr="00536CFD" w:rsidRDefault="004346F3" w:rsidP="00802ABC">
            <w:pPr>
              <w:spacing w:after="0"/>
              <w:jc w:val="center"/>
              <w:rPr>
                <w:lang w:val="zh-CN"/>
              </w:rPr>
            </w:pPr>
            <w:r w:rsidRPr="00536CFD">
              <w:rPr>
                <w:lang w:eastAsia="x-none"/>
              </w:rPr>
              <w:t>0.10</w:t>
            </w:r>
          </w:p>
        </w:tc>
        <w:tc>
          <w:tcPr>
            <w:tcW w:w="719" w:type="dxa"/>
            <w:tcBorders>
              <w:top w:val="single" w:sz="4" w:space="0" w:color="auto"/>
              <w:left w:val="nil"/>
              <w:bottom w:val="single" w:sz="4" w:space="0" w:color="auto"/>
              <w:right w:val="single" w:sz="4" w:space="0" w:color="auto"/>
            </w:tcBorders>
            <w:shd w:val="clear" w:color="auto" w:fill="auto"/>
            <w:vAlign w:val="center"/>
          </w:tcPr>
          <w:p w14:paraId="50E4AB4D" w14:textId="77777777" w:rsidR="004346F3" w:rsidRPr="00536CFD" w:rsidRDefault="004346F3" w:rsidP="00802ABC">
            <w:pPr>
              <w:spacing w:after="0"/>
              <w:jc w:val="center"/>
              <w:rPr>
                <w:lang w:val="zh-CN"/>
              </w:rPr>
            </w:pPr>
            <w:r w:rsidRPr="00536CFD">
              <w:rPr>
                <w:lang w:eastAsia="x-none"/>
              </w:rPr>
              <w:t>0.06</w:t>
            </w:r>
          </w:p>
        </w:tc>
        <w:tc>
          <w:tcPr>
            <w:tcW w:w="719" w:type="dxa"/>
            <w:tcBorders>
              <w:top w:val="single" w:sz="4" w:space="0" w:color="auto"/>
              <w:left w:val="nil"/>
              <w:bottom w:val="single" w:sz="4" w:space="0" w:color="auto"/>
              <w:right w:val="single" w:sz="4" w:space="0" w:color="auto"/>
            </w:tcBorders>
            <w:shd w:val="clear" w:color="auto" w:fill="auto"/>
            <w:vAlign w:val="center"/>
          </w:tcPr>
          <w:p w14:paraId="6F8C9218" w14:textId="77777777" w:rsidR="004346F3" w:rsidRPr="00536CFD" w:rsidRDefault="004346F3" w:rsidP="00802ABC">
            <w:pPr>
              <w:spacing w:after="0"/>
              <w:jc w:val="center"/>
              <w:rPr>
                <w:lang w:val="zh-CN"/>
              </w:rPr>
            </w:pPr>
            <w:r w:rsidRPr="00536CFD">
              <w:rPr>
                <w:lang w:eastAsia="x-none"/>
              </w:rPr>
              <w:t>0.05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ECD9CD9" w14:textId="77777777" w:rsidR="004346F3" w:rsidRPr="00536CFD" w:rsidRDefault="004346F3" w:rsidP="00802ABC">
            <w:pPr>
              <w:spacing w:after="0"/>
              <w:jc w:val="center"/>
              <w:rPr>
                <w:lang w:val="zh-CN"/>
              </w:rPr>
            </w:pPr>
            <w:r w:rsidRPr="00536CFD">
              <w:rPr>
                <w:lang w:eastAsia="x-none"/>
              </w:rPr>
              <w:t>0.35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1073408" w14:textId="77777777" w:rsidR="004346F3" w:rsidRPr="00536CFD" w:rsidRDefault="004346F3" w:rsidP="00802ABC">
            <w:pPr>
              <w:spacing w:after="0"/>
              <w:jc w:val="center"/>
              <w:rPr>
                <w:lang w:val="zh-CN"/>
              </w:rPr>
            </w:pPr>
            <w:r w:rsidRPr="00536CFD">
              <w:rPr>
                <w:lang w:eastAsia="x-none"/>
              </w:rPr>
              <w:t>0.12</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C63F2D7" w14:textId="77777777" w:rsidR="004346F3" w:rsidRPr="00536CFD" w:rsidRDefault="004346F3" w:rsidP="00802ABC">
            <w:pPr>
              <w:spacing w:after="0"/>
              <w:jc w:val="center"/>
              <w:rPr>
                <w:lang w:val="zh-CN"/>
              </w:rPr>
            </w:pPr>
            <w:r w:rsidRPr="00536CFD">
              <w:rPr>
                <w:lang w:eastAsia="x-none"/>
              </w:rPr>
              <w:t>0.09</w:t>
            </w:r>
          </w:p>
        </w:tc>
        <w:tc>
          <w:tcPr>
            <w:tcW w:w="676" w:type="dxa"/>
            <w:tcBorders>
              <w:top w:val="single" w:sz="4" w:space="0" w:color="auto"/>
              <w:left w:val="nil"/>
              <w:bottom w:val="single" w:sz="4" w:space="0" w:color="auto"/>
              <w:right w:val="single" w:sz="4" w:space="0" w:color="auto"/>
            </w:tcBorders>
            <w:shd w:val="clear" w:color="auto" w:fill="auto"/>
            <w:vAlign w:val="center"/>
          </w:tcPr>
          <w:p w14:paraId="21681D71" w14:textId="77777777" w:rsidR="004346F3" w:rsidRPr="00536CFD" w:rsidRDefault="004346F3" w:rsidP="00802ABC">
            <w:pPr>
              <w:spacing w:after="0"/>
              <w:jc w:val="center"/>
              <w:rPr>
                <w:lang w:val="zh-CN"/>
              </w:rPr>
            </w:pPr>
            <w:r w:rsidRPr="00536CFD">
              <w:rPr>
                <w:lang w:eastAsia="x-none"/>
              </w:rPr>
              <w:t>0.06</w:t>
            </w:r>
          </w:p>
        </w:tc>
      </w:tr>
      <w:tr w:rsidR="004346F3" w:rsidRPr="00C64ECB" w14:paraId="2D50C5A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601ACC1"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94D15B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D480B9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center"/>
          </w:tcPr>
          <w:p w14:paraId="4FF26DF6" w14:textId="77777777" w:rsidR="004346F3" w:rsidRPr="00536CFD" w:rsidRDefault="004346F3" w:rsidP="00802ABC">
            <w:pPr>
              <w:spacing w:after="0"/>
              <w:jc w:val="center"/>
              <w:rPr>
                <w:lang w:val="zh-CN"/>
              </w:rPr>
            </w:pPr>
            <w:r w:rsidRPr="00536CFD">
              <w:rPr>
                <w:lang w:eastAsia="x-none"/>
              </w:rPr>
              <w:t>0.31</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2714DD0" w14:textId="77777777" w:rsidR="004346F3" w:rsidRPr="00536CFD" w:rsidRDefault="004346F3" w:rsidP="00802ABC">
            <w:pPr>
              <w:spacing w:after="0"/>
              <w:jc w:val="center"/>
              <w:rPr>
                <w:lang w:val="zh-CN"/>
              </w:rPr>
            </w:pPr>
            <w:r w:rsidRPr="00536CFD">
              <w:rPr>
                <w:lang w:eastAsia="x-none"/>
              </w:rPr>
              <w:t>0.23</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6FC2D710" w14:textId="77777777" w:rsidR="004346F3" w:rsidRPr="00536CFD" w:rsidRDefault="004346F3" w:rsidP="00802ABC">
            <w:pPr>
              <w:spacing w:after="0"/>
              <w:jc w:val="center"/>
              <w:rPr>
                <w:lang w:val="zh-CN"/>
              </w:rPr>
            </w:pPr>
            <w:r w:rsidRPr="00536CFD">
              <w:rPr>
                <w:lang w:eastAsia="x-none"/>
              </w:rPr>
              <w:t>0.14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0C16AFD" w14:textId="77777777" w:rsidR="004346F3" w:rsidRPr="00536CFD" w:rsidRDefault="004346F3" w:rsidP="00802ABC">
            <w:pPr>
              <w:spacing w:after="0"/>
              <w:jc w:val="center"/>
              <w:rPr>
                <w:lang w:val="zh-CN"/>
              </w:rPr>
            </w:pPr>
            <w:r w:rsidRPr="00536CFD">
              <w:rPr>
                <w:lang w:eastAsia="x-none"/>
              </w:rPr>
              <w:t>0.13</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37322E39" w14:textId="77777777" w:rsidR="004346F3" w:rsidRPr="00536CFD" w:rsidRDefault="004346F3" w:rsidP="00802ABC">
            <w:pPr>
              <w:spacing w:after="0"/>
              <w:jc w:val="center"/>
              <w:rPr>
                <w:lang w:val="zh-CN"/>
              </w:rPr>
            </w:pPr>
            <w:r w:rsidRPr="00536CFD">
              <w:rPr>
                <w:lang w:eastAsia="x-none"/>
              </w:rPr>
              <w:t>2.45</w:t>
            </w:r>
          </w:p>
        </w:tc>
        <w:tc>
          <w:tcPr>
            <w:tcW w:w="714" w:type="dxa"/>
            <w:tcBorders>
              <w:top w:val="single" w:sz="4" w:space="0" w:color="auto"/>
              <w:left w:val="nil"/>
              <w:bottom w:val="single" w:sz="4" w:space="0" w:color="auto"/>
              <w:right w:val="single" w:sz="4" w:space="0" w:color="auto"/>
            </w:tcBorders>
            <w:shd w:val="clear" w:color="auto" w:fill="auto"/>
            <w:vAlign w:val="center"/>
          </w:tcPr>
          <w:p w14:paraId="1B241108" w14:textId="77777777" w:rsidR="004346F3" w:rsidRPr="00536CFD" w:rsidRDefault="004346F3" w:rsidP="00802ABC">
            <w:pPr>
              <w:spacing w:after="0"/>
              <w:jc w:val="center"/>
              <w:rPr>
                <w:lang w:val="zh-CN"/>
              </w:rPr>
            </w:pPr>
            <w:r w:rsidRPr="00536CFD">
              <w:rPr>
                <w:lang w:eastAsia="x-none"/>
              </w:rPr>
              <w:t>0.41</w:t>
            </w:r>
          </w:p>
        </w:tc>
        <w:tc>
          <w:tcPr>
            <w:tcW w:w="719" w:type="dxa"/>
            <w:tcBorders>
              <w:top w:val="single" w:sz="4" w:space="0" w:color="auto"/>
              <w:left w:val="nil"/>
              <w:bottom w:val="single" w:sz="4" w:space="0" w:color="auto"/>
              <w:right w:val="single" w:sz="4" w:space="0" w:color="auto"/>
            </w:tcBorders>
            <w:shd w:val="clear" w:color="auto" w:fill="auto"/>
            <w:vAlign w:val="center"/>
          </w:tcPr>
          <w:p w14:paraId="51AE2EF4" w14:textId="77777777" w:rsidR="004346F3" w:rsidRPr="00536CFD" w:rsidRDefault="004346F3" w:rsidP="00802ABC">
            <w:pPr>
              <w:spacing w:after="0"/>
              <w:jc w:val="center"/>
              <w:rPr>
                <w:lang w:val="zh-CN"/>
              </w:rPr>
            </w:pPr>
            <w:r w:rsidRPr="00536CFD">
              <w:rPr>
                <w:lang w:eastAsia="x-none"/>
              </w:rPr>
              <w:t>0.22</w:t>
            </w:r>
          </w:p>
        </w:tc>
        <w:tc>
          <w:tcPr>
            <w:tcW w:w="719" w:type="dxa"/>
            <w:tcBorders>
              <w:top w:val="single" w:sz="4" w:space="0" w:color="auto"/>
              <w:left w:val="nil"/>
              <w:bottom w:val="single" w:sz="4" w:space="0" w:color="auto"/>
              <w:right w:val="single" w:sz="4" w:space="0" w:color="auto"/>
            </w:tcBorders>
            <w:shd w:val="clear" w:color="auto" w:fill="auto"/>
            <w:vAlign w:val="center"/>
          </w:tcPr>
          <w:p w14:paraId="224C38AF" w14:textId="77777777" w:rsidR="004346F3" w:rsidRPr="00536CFD" w:rsidRDefault="004346F3" w:rsidP="00802ABC">
            <w:pPr>
              <w:spacing w:after="0"/>
              <w:jc w:val="center"/>
              <w:rPr>
                <w:lang w:val="zh-CN"/>
              </w:rPr>
            </w:pPr>
            <w:r w:rsidRPr="00536CFD">
              <w:rPr>
                <w:lang w:eastAsia="x-none"/>
              </w:rPr>
              <w:t>0.16</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61275695" w14:textId="77777777" w:rsidR="004346F3" w:rsidRPr="00536CFD" w:rsidRDefault="004346F3" w:rsidP="00802ABC">
            <w:pPr>
              <w:spacing w:after="0"/>
              <w:jc w:val="center"/>
              <w:rPr>
                <w:lang w:val="zh-CN"/>
              </w:rPr>
            </w:pPr>
            <w:r w:rsidRPr="00536CFD">
              <w:rPr>
                <w:lang w:eastAsia="x-none"/>
              </w:rPr>
              <w:t>5.44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D317722" w14:textId="77777777" w:rsidR="004346F3" w:rsidRPr="00536CFD" w:rsidRDefault="004346F3" w:rsidP="00802ABC">
            <w:pPr>
              <w:spacing w:after="0"/>
              <w:jc w:val="center"/>
              <w:rPr>
                <w:lang w:val="zh-CN"/>
              </w:rPr>
            </w:pPr>
            <w:r w:rsidRPr="00536CFD">
              <w:rPr>
                <w:lang w:eastAsia="x-none"/>
              </w:rPr>
              <w:t>0.80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DB4277F" w14:textId="77777777" w:rsidR="004346F3" w:rsidRPr="00536CFD" w:rsidRDefault="004346F3" w:rsidP="00802ABC">
            <w:pPr>
              <w:spacing w:after="0"/>
              <w:jc w:val="center"/>
              <w:rPr>
                <w:lang w:val="zh-CN"/>
              </w:rPr>
            </w:pPr>
            <w:r w:rsidRPr="00536CFD">
              <w:rPr>
                <w:lang w:eastAsia="x-none"/>
              </w:rPr>
              <w:t>0.37</w:t>
            </w:r>
          </w:p>
        </w:tc>
        <w:tc>
          <w:tcPr>
            <w:tcW w:w="676" w:type="dxa"/>
            <w:tcBorders>
              <w:top w:val="single" w:sz="4" w:space="0" w:color="auto"/>
              <w:left w:val="nil"/>
              <w:bottom w:val="single" w:sz="4" w:space="0" w:color="auto"/>
              <w:right w:val="single" w:sz="4" w:space="0" w:color="auto"/>
            </w:tcBorders>
            <w:shd w:val="clear" w:color="auto" w:fill="auto"/>
            <w:vAlign w:val="center"/>
          </w:tcPr>
          <w:p w14:paraId="735C0C4C" w14:textId="77777777" w:rsidR="004346F3" w:rsidRPr="00536CFD" w:rsidRDefault="004346F3" w:rsidP="00802ABC">
            <w:pPr>
              <w:spacing w:after="0"/>
              <w:jc w:val="center"/>
              <w:rPr>
                <w:lang w:val="zh-CN"/>
              </w:rPr>
            </w:pPr>
            <w:r w:rsidRPr="00536CFD">
              <w:rPr>
                <w:lang w:eastAsia="x-none"/>
              </w:rPr>
              <w:t>0.19</w:t>
            </w:r>
          </w:p>
        </w:tc>
      </w:tr>
      <w:tr w:rsidR="004346F3" w:rsidRPr="00C64ECB" w14:paraId="6413860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EBB963A"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D7EDA87"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692545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center"/>
          </w:tcPr>
          <w:p w14:paraId="06BB8680" w14:textId="77777777" w:rsidR="004346F3" w:rsidRPr="00536CFD" w:rsidRDefault="004346F3" w:rsidP="00802ABC">
            <w:pPr>
              <w:spacing w:after="0"/>
              <w:jc w:val="center"/>
              <w:rPr>
                <w:lang w:val="zh-CN"/>
              </w:rPr>
            </w:pPr>
            <w:r w:rsidRPr="00536CFD">
              <w:rPr>
                <w:lang w:eastAsia="x-none"/>
              </w:rPr>
              <w:t>0.13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632382A3" w14:textId="77777777" w:rsidR="004346F3" w:rsidRPr="00536CFD" w:rsidRDefault="004346F3" w:rsidP="00802ABC">
            <w:pPr>
              <w:spacing w:after="0"/>
              <w:jc w:val="center"/>
              <w:rPr>
                <w:lang w:val="zh-CN"/>
              </w:rPr>
            </w:pPr>
            <w:r w:rsidRPr="00536CFD">
              <w:rPr>
                <w:lang w:eastAsia="x-none"/>
              </w:rPr>
              <w:t>0.10</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64579283" w14:textId="77777777" w:rsidR="004346F3" w:rsidRPr="00536CFD" w:rsidRDefault="004346F3" w:rsidP="00802ABC">
            <w:pPr>
              <w:spacing w:after="0"/>
              <w:jc w:val="center"/>
              <w:rPr>
                <w:lang w:val="zh-CN"/>
              </w:rPr>
            </w:pPr>
            <w:r w:rsidRPr="00536CFD">
              <w:rPr>
                <w:lang w:eastAsia="x-none"/>
              </w:rPr>
              <w:t>0.06</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E9C89A1" w14:textId="77777777" w:rsidR="004346F3" w:rsidRPr="00536CFD" w:rsidRDefault="004346F3" w:rsidP="00802ABC">
            <w:pPr>
              <w:spacing w:after="0"/>
              <w:jc w:val="center"/>
              <w:rPr>
                <w:lang w:val="zh-CN"/>
              </w:rPr>
            </w:pPr>
            <w:r w:rsidRPr="00536CFD">
              <w:rPr>
                <w:lang w:eastAsia="x-none"/>
              </w:rPr>
              <w:t>0.06</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26589764" w14:textId="77777777" w:rsidR="004346F3" w:rsidRPr="00536CFD" w:rsidRDefault="004346F3" w:rsidP="00802ABC">
            <w:pPr>
              <w:spacing w:after="0"/>
              <w:jc w:val="center"/>
              <w:rPr>
                <w:lang w:val="zh-CN"/>
              </w:rPr>
            </w:pPr>
            <w:r w:rsidRPr="00536CFD">
              <w:rPr>
                <w:lang w:eastAsia="x-none"/>
              </w:rPr>
              <w:t>0.59</w:t>
            </w:r>
          </w:p>
        </w:tc>
        <w:tc>
          <w:tcPr>
            <w:tcW w:w="714" w:type="dxa"/>
            <w:tcBorders>
              <w:top w:val="single" w:sz="4" w:space="0" w:color="auto"/>
              <w:left w:val="nil"/>
              <w:bottom w:val="single" w:sz="4" w:space="0" w:color="auto"/>
              <w:right w:val="single" w:sz="4" w:space="0" w:color="auto"/>
            </w:tcBorders>
            <w:shd w:val="clear" w:color="auto" w:fill="auto"/>
            <w:vAlign w:val="center"/>
          </w:tcPr>
          <w:p w14:paraId="2FB4B01F" w14:textId="77777777" w:rsidR="004346F3" w:rsidRPr="00536CFD" w:rsidRDefault="004346F3" w:rsidP="00802ABC">
            <w:pPr>
              <w:spacing w:after="0"/>
              <w:jc w:val="center"/>
              <w:rPr>
                <w:lang w:val="zh-CN"/>
              </w:rPr>
            </w:pPr>
            <w:r w:rsidRPr="00536CFD">
              <w:rPr>
                <w:lang w:eastAsia="x-none"/>
              </w:rPr>
              <w:t>0.14</w:t>
            </w:r>
          </w:p>
        </w:tc>
        <w:tc>
          <w:tcPr>
            <w:tcW w:w="719" w:type="dxa"/>
            <w:tcBorders>
              <w:top w:val="single" w:sz="4" w:space="0" w:color="auto"/>
              <w:left w:val="nil"/>
              <w:bottom w:val="single" w:sz="4" w:space="0" w:color="auto"/>
              <w:right w:val="single" w:sz="4" w:space="0" w:color="auto"/>
            </w:tcBorders>
            <w:shd w:val="clear" w:color="auto" w:fill="auto"/>
            <w:vAlign w:val="center"/>
          </w:tcPr>
          <w:p w14:paraId="41D5521B" w14:textId="77777777" w:rsidR="004346F3" w:rsidRPr="00536CFD" w:rsidRDefault="004346F3" w:rsidP="00802ABC">
            <w:pPr>
              <w:spacing w:after="0"/>
              <w:jc w:val="center"/>
              <w:rPr>
                <w:lang w:val="zh-CN"/>
              </w:rPr>
            </w:pPr>
            <w:r w:rsidRPr="00536CFD">
              <w:rPr>
                <w:lang w:eastAsia="x-none"/>
              </w:rPr>
              <w:t>0.09</w:t>
            </w:r>
          </w:p>
        </w:tc>
        <w:tc>
          <w:tcPr>
            <w:tcW w:w="719" w:type="dxa"/>
            <w:tcBorders>
              <w:top w:val="single" w:sz="4" w:space="0" w:color="auto"/>
              <w:left w:val="nil"/>
              <w:bottom w:val="single" w:sz="4" w:space="0" w:color="auto"/>
              <w:right w:val="single" w:sz="4" w:space="0" w:color="auto"/>
            </w:tcBorders>
            <w:shd w:val="clear" w:color="auto" w:fill="auto"/>
            <w:vAlign w:val="center"/>
          </w:tcPr>
          <w:p w14:paraId="2FBB9C2B" w14:textId="77777777" w:rsidR="004346F3" w:rsidRPr="00536CFD" w:rsidRDefault="004346F3" w:rsidP="00802ABC">
            <w:pPr>
              <w:spacing w:after="0"/>
              <w:jc w:val="center"/>
              <w:rPr>
                <w:lang w:val="zh-CN"/>
              </w:rPr>
            </w:pPr>
            <w:r w:rsidRPr="00536CFD">
              <w:rPr>
                <w:lang w:eastAsia="x-none"/>
              </w:rPr>
              <w:t>0.07</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4B62E69A" w14:textId="77777777" w:rsidR="004346F3" w:rsidRPr="00536CFD" w:rsidRDefault="004346F3" w:rsidP="00802ABC">
            <w:pPr>
              <w:spacing w:after="0"/>
              <w:jc w:val="center"/>
              <w:rPr>
                <w:lang w:val="zh-CN"/>
              </w:rPr>
            </w:pPr>
            <w:r w:rsidRPr="00536CFD">
              <w:rPr>
                <w:lang w:eastAsia="x-none"/>
              </w:rPr>
              <w:t>1.04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C3578A4" w14:textId="77777777" w:rsidR="004346F3" w:rsidRPr="00536CFD" w:rsidRDefault="004346F3" w:rsidP="00802ABC">
            <w:pPr>
              <w:spacing w:after="0"/>
              <w:jc w:val="center"/>
              <w:rPr>
                <w:lang w:val="zh-CN"/>
              </w:rPr>
            </w:pPr>
            <w:r w:rsidRPr="00536CFD">
              <w:rPr>
                <w:lang w:eastAsia="x-none"/>
              </w:rPr>
              <w:t>0.25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A61E520" w14:textId="77777777" w:rsidR="004346F3" w:rsidRPr="00536CFD" w:rsidRDefault="004346F3" w:rsidP="00802ABC">
            <w:pPr>
              <w:spacing w:after="0"/>
              <w:jc w:val="center"/>
              <w:rPr>
                <w:lang w:val="zh-CN"/>
              </w:rPr>
            </w:pPr>
            <w:r w:rsidRPr="00536CFD">
              <w:rPr>
                <w:lang w:eastAsia="x-none"/>
              </w:rPr>
              <w:t>0.13</w:t>
            </w:r>
          </w:p>
        </w:tc>
        <w:tc>
          <w:tcPr>
            <w:tcW w:w="676" w:type="dxa"/>
            <w:tcBorders>
              <w:top w:val="single" w:sz="4" w:space="0" w:color="auto"/>
              <w:left w:val="nil"/>
              <w:bottom w:val="single" w:sz="4" w:space="0" w:color="auto"/>
              <w:right w:val="single" w:sz="4" w:space="0" w:color="auto"/>
            </w:tcBorders>
            <w:shd w:val="clear" w:color="auto" w:fill="auto"/>
            <w:vAlign w:val="center"/>
          </w:tcPr>
          <w:p w14:paraId="389FC348" w14:textId="77777777" w:rsidR="004346F3" w:rsidRPr="00536CFD" w:rsidRDefault="004346F3" w:rsidP="00802ABC">
            <w:pPr>
              <w:spacing w:after="0"/>
              <w:jc w:val="center"/>
              <w:rPr>
                <w:lang w:val="zh-CN"/>
              </w:rPr>
            </w:pPr>
            <w:r w:rsidRPr="00536CFD">
              <w:rPr>
                <w:lang w:eastAsia="x-none"/>
              </w:rPr>
              <w:t>0.08</w:t>
            </w:r>
          </w:p>
        </w:tc>
      </w:tr>
      <w:tr w:rsidR="004346F3" w:rsidRPr="00C64ECB" w14:paraId="50918FD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C08E74C"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5C9E300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3BA4E86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center"/>
          </w:tcPr>
          <w:p w14:paraId="4073FD20" w14:textId="77777777" w:rsidR="004346F3" w:rsidRPr="00536CFD" w:rsidRDefault="004346F3" w:rsidP="00802ABC">
            <w:pPr>
              <w:spacing w:after="0"/>
              <w:jc w:val="center"/>
              <w:rPr>
                <w:lang w:val="zh-CN"/>
              </w:rPr>
            </w:pPr>
            <w:r w:rsidRPr="00536CFD">
              <w:rPr>
                <w:lang w:eastAsia="x-none"/>
              </w:rPr>
              <w:t>9.82</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CC28253" w14:textId="77777777" w:rsidR="004346F3" w:rsidRPr="00536CFD" w:rsidRDefault="004346F3" w:rsidP="00802ABC">
            <w:pPr>
              <w:spacing w:after="0"/>
              <w:jc w:val="center"/>
              <w:rPr>
                <w:lang w:val="zh-CN"/>
              </w:rPr>
            </w:pPr>
            <w:r w:rsidRPr="00536CFD">
              <w:rPr>
                <w:lang w:eastAsia="x-none"/>
              </w:rPr>
              <w:t>16.08</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0D0E91DB" w14:textId="77777777" w:rsidR="004346F3" w:rsidRPr="00536CFD" w:rsidRDefault="004346F3" w:rsidP="00802ABC">
            <w:pPr>
              <w:spacing w:after="0"/>
              <w:jc w:val="center"/>
              <w:rPr>
                <w:lang w:val="zh-CN"/>
              </w:rPr>
            </w:pPr>
            <w:r w:rsidRPr="00536CFD">
              <w:rPr>
                <w:lang w:eastAsia="x-none"/>
              </w:rPr>
              <w:t>25.53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2FE4106" w14:textId="77777777" w:rsidR="004346F3" w:rsidRPr="00536CFD" w:rsidRDefault="004346F3" w:rsidP="00802ABC">
            <w:pPr>
              <w:spacing w:after="0"/>
              <w:jc w:val="center"/>
              <w:rPr>
                <w:lang w:val="zh-CN"/>
              </w:rPr>
            </w:pPr>
            <w:r w:rsidRPr="00536CFD">
              <w:rPr>
                <w:lang w:eastAsia="x-none"/>
              </w:rPr>
              <w:t>29.25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6F113B13" w14:textId="77777777" w:rsidR="004346F3" w:rsidRPr="00536CFD" w:rsidRDefault="004346F3" w:rsidP="00802ABC">
            <w:pPr>
              <w:spacing w:after="0"/>
              <w:jc w:val="center"/>
              <w:rPr>
                <w:lang w:val="zh-CN"/>
              </w:rPr>
            </w:pPr>
            <w:r w:rsidRPr="00536CFD">
              <w:rPr>
                <w:lang w:eastAsia="x-none"/>
              </w:rPr>
              <w:t>0.13</w:t>
            </w:r>
          </w:p>
        </w:tc>
        <w:tc>
          <w:tcPr>
            <w:tcW w:w="714" w:type="dxa"/>
            <w:tcBorders>
              <w:top w:val="single" w:sz="4" w:space="0" w:color="auto"/>
              <w:left w:val="nil"/>
              <w:bottom w:val="single" w:sz="4" w:space="0" w:color="auto"/>
              <w:right w:val="single" w:sz="4" w:space="0" w:color="auto"/>
            </w:tcBorders>
            <w:shd w:val="clear" w:color="auto" w:fill="auto"/>
            <w:vAlign w:val="center"/>
          </w:tcPr>
          <w:p w14:paraId="03143514" w14:textId="77777777" w:rsidR="004346F3" w:rsidRPr="00536CFD" w:rsidRDefault="004346F3" w:rsidP="00802ABC">
            <w:pPr>
              <w:spacing w:after="0"/>
              <w:jc w:val="center"/>
              <w:rPr>
                <w:lang w:val="zh-CN"/>
              </w:rPr>
            </w:pPr>
            <w:r w:rsidRPr="00536CFD">
              <w:rPr>
                <w:lang w:eastAsia="x-none"/>
              </w:rPr>
              <w:t>7.83</w:t>
            </w:r>
          </w:p>
        </w:tc>
        <w:tc>
          <w:tcPr>
            <w:tcW w:w="719" w:type="dxa"/>
            <w:tcBorders>
              <w:top w:val="single" w:sz="4" w:space="0" w:color="auto"/>
              <w:left w:val="nil"/>
              <w:bottom w:val="single" w:sz="4" w:space="0" w:color="auto"/>
              <w:right w:val="single" w:sz="4" w:space="0" w:color="auto"/>
            </w:tcBorders>
            <w:shd w:val="clear" w:color="auto" w:fill="auto"/>
            <w:vAlign w:val="center"/>
          </w:tcPr>
          <w:p w14:paraId="3944FD55" w14:textId="77777777" w:rsidR="004346F3" w:rsidRPr="00536CFD" w:rsidRDefault="004346F3" w:rsidP="00802ABC">
            <w:pPr>
              <w:spacing w:after="0"/>
              <w:jc w:val="center"/>
              <w:rPr>
                <w:lang w:val="zh-CN"/>
              </w:rPr>
            </w:pPr>
            <w:r w:rsidRPr="00536CFD">
              <w:rPr>
                <w:lang w:eastAsia="x-none"/>
              </w:rPr>
              <w:t>14.05</w:t>
            </w:r>
          </w:p>
        </w:tc>
        <w:tc>
          <w:tcPr>
            <w:tcW w:w="719" w:type="dxa"/>
            <w:tcBorders>
              <w:top w:val="single" w:sz="4" w:space="0" w:color="auto"/>
              <w:left w:val="nil"/>
              <w:bottom w:val="single" w:sz="4" w:space="0" w:color="auto"/>
              <w:right w:val="single" w:sz="4" w:space="0" w:color="auto"/>
            </w:tcBorders>
            <w:shd w:val="clear" w:color="auto" w:fill="auto"/>
            <w:vAlign w:val="center"/>
          </w:tcPr>
          <w:p w14:paraId="26B78125" w14:textId="77777777" w:rsidR="004346F3" w:rsidRPr="00536CFD" w:rsidRDefault="004346F3" w:rsidP="00802ABC">
            <w:pPr>
              <w:spacing w:after="0"/>
              <w:jc w:val="center"/>
              <w:rPr>
                <w:lang w:val="zh-CN"/>
              </w:rPr>
            </w:pPr>
            <w:r w:rsidRPr="00536CFD">
              <w:rPr>
                <w:lang w:eastAsia="x-none"/>
              </w:rPr>
              <w:t>21.25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68E23C0F" w14:textId="77777777" w:rsidR="004346F3" w:rsidRPr="00536CFD" w:rsidRDefault="004346F3" w:rsidP="00802ABC">
            <w:pPr>
              <w:spacing w:after="0"/>
              <w:jc w:val="center"/>
              <w:rPr>
                <w:lang w:val="zh-CN"/>
              </w:rPr>
            </w:pPr>
            <w:r w:rsidRPr="00536CFD">
              <w:rPr>
                <w:lang w:eastAsia="x-none"/>
              </w:rPr>
              <w:t>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A270090" w14:textId="77777777" w:rsidR="004346F3" w:rsidRPr="00536CFD" w:rsidRDefault="004346F3" w:rsidP="00802ABC">
            <w:pPr>
              <w:spacing w:after="0"/>
              <w:jc w:val="center"/>
              <w:rPr>
                <w:lang w:val="zh-CN"/>
              </w:rPr>
            </w:pPr>
            <w:r w:rsidRPr="00536CFD">
              <w:rPr>
                <w:lang w:eastAsia="x-none"/>
              </w:rPr>
              <w:t>2.83</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54D6A7B" w14:textId="77777777" w:rsidR="004346F3" w:rsidRPr="00536CFD" w:rsidRDefault="004346F3" w:rsidP="00802ABC">
            <w:pPr>
              <w:spacing w:after="0"/>
              <w:jc w:val="center"/>
              <w:rPr>
                <w:lang w:val="zh-CN"/>
              </w:rPr>
            </w:pPr>
            <w:r w:rsidRPr="00536CFD">
              <w:rPr>
                <w:lang w:eastAsia="x-none"/>
              </w:rPr>
              <w:t>7.07</w:t>
            </w:r>
          </w:p>
        </w:tc>
        <w:tc>
          <w:tcPr>
            <w:tcW w:w="676" w:type="dxa"/>
            <w:tcBorders>
              <w:top w:val="single" w:sz="4" w:space="0" w:color="auto"/>
              <w:left w:val="nil"/>
              <w:bottom w:val="single" w:sz="4" w:space="0" w:color="auto"/>
              <w:right w:val="single" w:sz="4" w:space="0" w:color="auto"/>
            </w:tcBorders>
            <w:shd w:val="clear" w:color="auto" w:fill="auto"/>
            <w:vAlign w:val="center"/>
          </w:tcPr>
          <w:p w14:paraId="15FAC62E" w14:textId="77777777" w:rsidR="004346F3" w:rsidRPr="00536CFD" w:rsidRDefault="004346F3" w:rsidP="00802ABC">
            <w:pPr>
              <w:spacing w:after="0"/>
              <w:jc w:val="center"/>
              <w:rPr>
                <w:lang w:val="zh-CN"/>
              </w:rPr>
            </w:pPr>
            <w:r w:rsidRPr="00536CFD">
              <w:rPr>
                <w:lang w:eastAsia="x-none"/>
              </w:rPr>
              <w:t>17.86</w:t>
            </w:r>
          </w:p>
        </w:tc>
      </w:tr>
      <w:tr w:rsidR="004346F3" w:rsidRPr="00C64ECB" w14:paraId="3A38B05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B48806C"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2773B475"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CDEC4D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center"/>
          </w:tcPr>
          <w:p w14:paraId="2932723B" w14:textId="77777777" w:rsidR="004346F3" w:rsidRPr="00536CFD" w:rsidRDefault="004346F3" w:rsidP="00802ABC">
            <w:pPr>
              <w:spacing w:after="0"/>
              <w:jc w:val="center"/>
              <w:rPr>
                <w:lang w:val="zh-CN"/>
              </w:rPr>
            </w:pPr>
            <w:r w:rsidRPr="00536CFD">
              <w:rPr>
                <w:lang w:eastAsia="x-none"/>
              </w:rPr>
              <w:t>53.34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F54FA28" w14:textId="77777777" w:rsidR="004346F3" w:rsidRPr="00536CFD" w:rsidRDefault="004346F3" w:rsidP="00802ABC">
            <w:pPr>
              <w:spacing w:after="0"/>
              <w:jc w:val="center"/>
              <w:rPr>
                <w:lang w:val="zh-CN"/>
              </w:rPr>
            </w:pPr>
            <w:r w:rsidRPr="00536CFD">
              <w:rPr>
                <w:lang w:eastAsia="x-none"/>
              </w:rPr>
              <w:t>63.65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4A0D9743" w14:textId="77777777" w:rsidR="004346F3" w:rsidRPr="00536CFD" w:rsidRDefault="004346F3" w:rsidP="00802ABC">
            <w:pPr>
              <w:spacing w:after="0"/>
              <w:jc w:val="center"/>
              <w:rPr>
                <w:lang w:val="zh-CN"/>
              </w:rPr>
            </w:pPr>
            <w:r w:rsidRPr="00536CFD">
              <w:rPr>
                <w:lang w:eastAsia="x-none"/>
              </w:rPr>
              <w:t>76.09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670D12A" w14:textId="77777777" w:rsidR="004346F3" w:rsidRPr="00536CFD" w:rsidRDefault="004346F3" w:rsidP="00802ABC">
            <w:pPr>
              <w:spacing w:after="0"/>
              <w:jc w:val="center"/>
              <w:rPr>
                <w:lang w:val="zh-CN"/>
              </w:rPr>
            </w:pPr>
            <w:r w:rsidRPr="00536CFD">
              <w:rPr>
                <w:lang w:eastAsia="x-none"/>
              </w:rPr>
              <w:t>80.89</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3114FA59" w14:textId="77777777" w:rsidR="004346F3" w:rsidRPr="00536CFD" w:rsidRDefault="004346F3" w:rsidP="00802ABC">
            <w:pPr>
              <w:spacing w:after="0"/>
              <w:jc w:val="center"/>
              <w:rPr>
                <w:lang w:val="zh-CN"/>
              </w:rPr>
            </w:pPr>
            <w:r w:rsidRPr="00536CFD">
              <w:rPr>
                <w:lang w:eastAsia="x-none"/>
              </w:rPr>
              <w:t>21.97</w:t>
            </w:r>
          </w:p>
        </w:tc>
        <w:tc>
          <w:tcPr>
            <w:tcW w:w="714" w:type="dxa"/>
            <w:tcBorders>
              <w:top w:val="single" w:sz="4" w:space="0" w:color="auto"/>
              <w:left w:val="nil"/>
              <w:bottom w:val="single" w:sz="4" w:space="0" w:color="auto"/>
              <w:right w:val="single" w:sz="4" w:space="0" w:color="auto"/>
            </w:tcBorders>
            <w:shd w:val="clear" w:color="auto" w:fill="auto"/>
            <w:vAlign w:val="center"/>
          </w:tcPr>
          <w:p w14:paraId="0CD4E3C1" w14:textId="77777777" w:rsidR="004346F3" w:rsidRPr="00536CFD" w:rsidRDefault="004346F3" w:rsidP="00802ABC">
            <w:pPr>
              <w:spacing w:after="0"/>
              <w:jc w:val="center"/>
              <w:rPr>
                <w:lang w:val="zh-CN"/>
              </w:rPr>
            </w:pPr>
            <w:r w:rsidRPr="00536CFD">
              <w:rPr>
                <w:lang w:eastAsia="x-none"/>
              </w:rPr>
              <w:t>50.69</w:t>
            </w:r>
          </w:p>
        </w:tc>
        <w:tc>
          <w:tcPr>
            <w:tcW w:w="719" w:type="dxa"/>
            <w:tcBorders>
              <w:top w:val="single" w:sz="4" w:space="0" w:color="auto"/>
              <w:left w:val="nil"/>
              <w:bottom w:val="single" w:sz="4" w:space="0" w:color="auto"/>
              <w:right w:val="single" w:sz="4" w:space="0" w:color="auto"/>
            </w:tcBorders>
            <w:shd w:val="clear" w:color="auto" w:fill="auto"/>
            <w:vAlign w:val="center"/>
          </w:tcPr>
          <w:p w14:paraId="5E321829" w14:textId="77777777" w:rsidR="004346F3" w:rsidRPr="00536CFD" w:rsidRDefault="004346F3" w:rsidP="00802ABC">
            <w:pPr>
              <w:spacing w:after="0"/>
              <w:jc w:val="center"/>
              <w:rPr>
                <w:lang w:val="zh-CN"/>
              </w:rPr>
            </w:pPr>
            <w:r w:rsidRPr="00536CFD">
              <w:rPr>
                <w:lang w:eastAsia="x-none"/>
              </w:rPr>
              <w:t>53.75</w:t>
            </w:r>
          </w:p>
        </w:tc>
        <w:tc>
          <w:tcPr>
            <w:tcW w:w="719" w:type="dxa"/>
            <w:tcBorders>
              <w:top w:val="single" w:sz="4" w:space="0" w:color="auto"/>
              <w:left w:val="nil"/>
              <w:bottom w:val="single" w:sz="4" w:space="0" w:color="auto"/>
              <w:right w:val="single" w:sz="4" w:space="0" w:color="auto"/>
            </w:tcBorders>
            <w:shd w:val="clear" w:color="auto" w:fill="auto"/>
            <w:vAlign w:val="center"/>
          </w:tcPr>
          <w:p w14:paraId="42D5CDD0" w14:textId="77777777" w:rsidR="004346F3" w:rsidRPr="00536CFD" w:rsidRDefault="004346F3" w:rsidP="00802ABC">
            <w:pPr>
              <w:spacing w:after="0"/>
              <w:jc w:val="center"/>
              <w:rPr>
                <w:lang w:val="zh-CN"/>
              </w:rPr>
            </w:pPr>
            <w:r w:rsidRPr="00536CFD">
              <w:rPr>
                <w:lang w:eastAsia="x-none"/>
              </w:rPr>
              <w:t>65.80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F457423" w14:textId="77777777" w:rsidR="004346F3" w:rsidRPr="00536CFD" w:rsidRDefault="004346F3" w:rsidP="00802ABC">
            <w:pPr>
              <w:spacing w:after="0"/>
              <w:jc w:val="center"/>
              <w:rPr>
                <w:lang w:val="zh-CN"/>
              </w:rPr>
            </w:pPr>
            <w:r w:rsidRPr="00536CFD">
              <w:rPr>
                <w:lang w:eastAsia="x-none"/>
              </w:rPr>
              <w:t>10.85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68538CF" w14:textId="77777777" w:rsidR="004346F3" w:rsidRPr="00536CFD" w:rsidRDefault="004346F3" w:rsidP="00802ABC">
            <w:pPr>
              <w:spacing w:after="0"/>
              <w:jc w:val="center"/>
              <w:rPr>
                <w:lang w:val="zh-CN"/>
              </w:rPr>
            </w:pPr>
            <w:r w:rsidRPr="00536CFD">
              <w:rPr>
                <w:lang w:eastAsia="x-none"/>
              </w:rPr>
              <w:t>39.49</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FE12BB8" w14:textId="77777777" w:rsidR="004346F3" w:rsidRPr="00536CFD" w:rsidRDefault="004346F3" w:rsidP="00802ABC">
            <w:pPr>
              <w:spacing w:after="0"/>
              <w:jc w:val="center"/>
              <w:rPr>
                <w:lang w:val="zh-CN"/>
              </w:rPr>
            </w:pPr>
            <w:r w:rsidRPr="00536CFD">
              <w:rPr>
                <w:lang w:eastAsia="x-none"/>
              </w:rPr>
              <w:t>40.01</w:t>
            </w:r>
          </w:p>
        </w:tc>
        <w:tc>
          <w:tcPr>
            <w:tcW w:w="676" w:type="dxa"/>
            <w:tcBorders>
              <w:top w:val="single" w:sz="4" w:space="0" w:color="auto"/>
              <w:left w:val="nil"/>
              <w:bottom w:val="single" w:sz="4" w:space="0" w:color="auto"/>
              <w:right w:val="single" w:sz="4" w:space="0" w:color="auto"/>
            </w:tcBorders>
            <w:shd w:val="clear" w:color="auto" w:fill="auto"/>
            <w:vAlign w:val="center"/>
          </w:tcPr>
          <w:p w14:paraId="7C573FD4" w14:textId="77777777" w:rsidR="004346F3" w:rsidRPr="00536CFD" w:rsidRDefault="004346F3" w:rsidP="00802ABC">
            <w:pPr>
              <w:spacing w:after="0"/>
              <w:jc w:val="center"/>
              <w:rPr>
                <w:lang w:val="zh-CN"/>
              </w:rPr>
            </w:pPr>
            <w:r w:rsidRPr="00536CFD">
              <w:rPr>
                <w:lang w:eastAsia="x-none"/>
              </w:rPr>
              <w:t>58.05</w:t>
            </w:r>
          </w:p>
        </w:tc>
      </w:tr>
      <w:tr w:rsidR="004346F3" w:rsidRPr="00C64ECB" w14:paraId="612B247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BD0B020"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00184E9"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5554847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center"/>
          </w:tcPr>
          <w:p w14:paraId="266B5879" w14:textId="77777777" w:rsidR="004346F3" w:rsidRPr="00536CFD" w:rsidRDefault="004346F3" w:rsidP="00802ABC">
            <w:pPr>
              <w:spacing w:after="0"/>
              <w:jc w:val="center"/>
              <w:rPr>
                <w:lang w:val="zh-CN"/>
              </w:rPr>
            </w:pPr>
            <w:r w:rsidRPr="00536CFD">
              <w:rPr>
                <w:lang w:eastAsia="x-none"/>
              </w:rPr>
              <w:t>78.72</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7F2DEFF9" w14:textId="77777777" w:rsidR="004346F3" w:rsidRPr="00536CFD" w:rsidRDefault="004346F3" w:rsidP="00802ABC">
            <w:pPr>
              <w:spacing w:after="0"/>
              <w:jc w:val="center"/>
              <w:rPr>
                <w:lang w:val="zh-CN"/>
              </w:rPr>
            </w:pPr>
            <w:r w:rsidRPr="00536CFD">
              <w:rPr>
                <w:lang w:eastAsia="x-none"/>
              </w:rPr>
              <w:t>79.01</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205C1161" w14:textId="77777777" w:rsidR="004346F3" w:rsidRPr="00536CFD" w:rsidRDefault="004346F3" w:rsidP="00802ABC">
            <w:pPr>
              <w:spacing w:after="0"/>
              <w:jc w:val="center"/>
              <w:rPr>
                <w:lang w:val="zh-CN"/>
              </w:rPr>
            </w:pPr>
            <w:r w:rsidRPr="00536CFD">
              <w:rPr>
                <w:lang w:eastAsia="x-none"/>
              </w:rPr>
              <w:t>93.43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7137BB3" w14:textId="77777777" w:rsidR="004346F3" w:rsidRPr="00536CFD" w:rsidRDefault="004346F3" w:rsidP="00802ABC">
            <w:pPr>
              <w:spacing w:after="0"/>
              <w:jc w:val="center"/>
              <w:rPr>
                <w:lang w:val="zh-CN"/>
              </w:rPr>
            </w:pPr>
            <w:r w:rsidRPr="00536CFD">
              <w:rPr>
                <w:lang w:eastAsia="x-none"/>
              </w:rPr>
              <w:t>93.45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117D441E" w14:textId="77777777" w:rsidR="004346F3" w:rsidRPr="00536CFD" w:rsidRDefault="004346F3" w:rsidP="00802ABC">
            <w:pPr>
              <w:spacing w:after="0"/>
              <w:jc w:val="center"/>
              <w:rPr>
                <w:lang w:val="zh-CN"/>
              </w:rPr>
            </w:pPr>
            <w:r w:rsidRPr="00536CFD">
              <w:rPr>
                <w:lang w:eastAsia="x-none"/>
              </w:rPr>
              <w:t>74.24</w:t>
            </w:r>
          </w:p>
        </w:tc>
        <w:tc>
          <w:tcPr>
            <w:tcW w:w="714" w:type="dxa"/>
            <w:tcBorders>
              <w:top w:val="single" w:sz="4" w:space="0" w:color="auto"/>
              <w:left w:val="nil"/>
              <w:bottom w:val="single" w:sz="4" w:space="0" w:color="auto"/>
              <w:right w:val="single" w:sz="4" w:space="0" w:color="auto"/>
            </w:tcBorders>
            <w:shd w:val="clear" w:color="auto" w:fill="auto"/>
            <w:vAlign w:val="center"/>
          </w:tcPr>
          <w:p w14:paraId="0DAAEE52" w14:textId="77777777" w:rsidR="004346F3" w:rsidRPr="00536CFD" w:rsidRDefault="004346F3" w:rsidP="00802ABC">
            <w:pPr>
              <w:spacing w:after="0"/>
              <w:jc w:val="center"/>
              <w:rPr>
                <w:lang w:val="zh-CN"/>
              </w:rPr>
            </w:pPr>
            <w:r w:rsidRPr="00536CFD">
              <w:rPr>
                <w:lang w:eastAsia="x-none"/>
              </w:rPr>
              <w:t>78.65</w:t>
            </w:r>
          </w:p>
        </w:tc>
        <w:tc>
          <w:tcPr>
            <w:tcW w:w="719" w:type="dxa"/>
            <w:tcBorders>
              <w:top w:val="single" w:sz="4" w:space="0" w:color="auto"/>
              <w:left w:val="nil"/>
              <w:bottom w:val="single" w:sz="4" w:space="0" w:color="auto"/>
              <w:right w:val="single" w:sz="4" w:space="0" w:color="auto"/>
            </w:tcBorders>
            <w:shd w:val="clear" w:color="auto" w:fill="auto"/>
            <w:vAlign w:val="center"/>
          </w:tcPr>
          <w:p w14:paraId="718574D6" w14:textId="77777777" w:rsidR="004346F3" w:rsidRPr="00536CFD" w:rsidRDefault="004346F3" w:rsidP="00802ABC">
            <w:pPr>
              <w:spacing w:after="0"/>
              <w:jc w:val="center"/>
              <w:rPr>
                <w:lang w:val="zh-CN"/>
              </w:rPr>
            </w:pPr>
            <w:r w:rsidRPr="00536CFD">
              <w:rPr>
                <w:lang w:eastAsia="x-none"/>
              </w:rPr>
              <w:t>93.29</w:t>
            </w:r>
          </w:p>
        </w:tc>
        <w:tc>
          <w:tcPr>
            <w:tcW w:w="719" w:type="dxa"/>
            <w:tcBorders>
              <w:top w:val="single" w:sz="4" w:space="0" w:color="auto"/>
              <w:left w:val="nil"/>
              <w:bottom w:val="single" w:sz="4" w:space="0" w:color="auto"/>
              <w:right w:val="single" w:sz="4" w:space="0" w:color="auto"/>
            </w:tcBorders>
            <w:shd w:val="clear" w:color="auto" w:fill="auto"/>
            <w:vAlign w:val="center"/>
          </w:tcPr>
          <w:p w14:paraId="27E026A9" w14:textId="77777777" w:rsidR="004346F3" w:rsidRPr="00536CFD" w:rsidRDefault="004346F3" w:rsidP="00802ABC">
            <w:pPr>
              <w:spacing w:after="0"/>
              <w:jc w:val="center"/>
              <w:rPr>
                <w:lang w:val="zh-CN"/>
              </w:rPr>
            </w:pPr>
            <w:r w:rsidRPr="00536CFD">
              <w:rPr>
                <w:lang w:eastAsia="x-none"/>
              </w:rPr>
              <w:t>93.39</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5D37F10B" w14:textId="77777777" w:rsidR="004346F3" w:rsidRPr="00536CFD" w:rsidRDefault="004346F3" w:rsidP="00802ABC">
            <w:pPr>
              <w:spacing w:after="0"/>
              <w:jc w:val="center"/>
              <w:rPr>
                <w:lang w:val="zh-CN"/>
              </w:rPr>
            </w:pPr>
            <w:r w:rsidRPr="00536CFD">
              <w:rPr>
                <w:lang w:eastAsia="x-none"/>
              </w:rPr>
              <w:t>65.55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627100F" w14:textId="77777777" w:rsidR="004346F3" w:rsidRPr="00536CFD" w:rsidRDefault="004346F3" w:rsidP="00802ABC">
            <w:pPr>
              <w:spacing w:after="0"/>
              <w:jc w:val="center"/>
              <w:rPr>
                <w:lang w:val="zh-CN"/>
              </w:rPr>
            </w:pPr>
            <w:r w:rsidRPr="00536CFD">
              <w:rPr>
                <w:lang w:eastAsia="x-none"/>
              </w:rPr>
              <w:t>78.36</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639FD9DA" w14:textId="77777777" w:rsidR="004346F3" w:rsidRPr="00536CFD" w:rsidRDefault="004346F3" w:rsidP="00802ABC">
            <w:pPr>
              <w:spacing w:after="0"/>
              <w:jc w:val="center"/>
              <w:rPr>
                <w:lang w:val="zh-CN"/>
              </w:rPr>
            </w:pPr>
            <w:r w:rsidRPr="00536CFD">
              <w:rPr>
                <w:lang w:eastAsia="x-none"/>
              </w:rPr>
              <w:t>93.06</w:t>
            </w:r>
          </w:p>
        </w:tc>
        <w:tc>
          <w:tcPr>
            <w:tcW w:w="676" w:type="dxa"/>
            <w:tcBorders>
              <w:top w:val="single" w:sz="4" w:space="0" w:color="auto"/>
              <w:left w:val="nil"/>
              <w:bottom w:val="single" w:sz="4" w:space="0" w:color="auto"/>
              <w:right w:val="single" w:sz="4" w:space="0" w:color="auto"/>
            </w:tcBorders>
            <w:shd w:val="clear" w:color="auto" w:fill="auto"/>
            <w:vAlign w:val="center"/>
          </w:tcPr>
          <w:p w14:paraId="06756833" w14:textId="77777777" w:rsidR="004346F3" w:rsidRPr="00536CFD" w:rsidRDefault="004346F3" w:rsidP="00802ABC">
            <w:pPr>
              <w:spacing w:after="0"/>
              <w:jc w:val="center"/>
              <w:rPr>
                <w:lang w:val="zh-CN"/>
              </w:rPr>
            </w:pPr>
            <w:r w:rsidRPr="00536CFD">
              <w:rPr>
                <w:lang w:eastAsia="x-none"/>
              </w:rPr>
              <w:t>93.33</w:t>
            </w:r>
          </w:p>
        </w:tc>
      </w:tr>
      <w:tr w:rsidR="004346F3" w:rsidRPr="00C64ECB" w14:paraId="2AFA263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F241046"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35913C1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FBB6FC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center"/>
          </w:tcPr>
          <w:p w14:paraId="74BC50A7" w14:textId="77777777" w:rsidR="004346F3" w:rsidRPr="00536CFD" w:rsidRDefault="004346F3" w:rsidP="00802ABC">
            <w:pPr>
              <w:spacing w:after="0"/>
              <w:jc w:val="center"/>
              <w:rPr>
                <w:lang w:val="zh-CN"/>
              </w:rPr>
            </w:pPr>
            <w:r w:rsidRPr="00536CFD">
              <w:rPr>
                <w:lang w:eastAsia="x-none"/>
              </w:rPr>
              <w:t>50.04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776F0050" w14:textId="77777777" w:rsidR="004346F3" w:rsidRPr="00536CFD" w:rsidRDefault="004346F3" w:rsidP="00802ABC">
            <w:pPr>
              <w:spacing w:after="0"/>
              <w:jc w:val="center"/>
              <w:rPr>
                <w:lang w:val="zh-CN"/>
              </w:rPr>
            </w:pPr>
            <w:r w:rsidRPr="00536CFD">
              <w:rPr>
                <w:lang w:eastAsia="x-none"/>
              </w:rPr>
              <w:t>57.01</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786C01C2" w14:textId="77777777" w:rsidR="004346F3" w:rsidRPr="00536CFD" w:rsidRDefault="004346F3" w:rsidP="00802ABC">
            <w:pPr>
              <w:spacing w:after="0"/>
              <w:jc w:val="center"/>
              <w:rPr>
                <w:lang w:val="zh-CN"/>
              </w:rPr>
            </w:pPr>
            <w:r w:rsidRPr="00536CFD">
              <w:rPr>
                <w:lang w:eastAsia="x-none"/>
              </w:rPr>
              <w:t>68.73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628C63B0" w14:textId="77777777" w:rsidR="004346F3" w:rsidRPr="00536CFD" w:rsidRDefault="004346F3" w:rsidP="00802ABC">
            <w:pPr>
              <w:spacing w:after="0"/>
              <w:jc w:val="center"/>
              <w:rPr>
                <w:lang w:val="zh-CN"/>
              </w:rPr>
            </w:pPr>
            <w:r w:rsidRPr="00536CFD">
              <w:rPr>
                <w:lang w:eastAsia="x-none"/>
              </w:rPr>
              <w:t>71.52</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3ED94CA6" w14:textId="77777777" w:rsidR="004346F3" w:rsidRPr="00536CFD" w:rsidRDefault="004346F3" w:rsidP="00802ABC">
            <w:pPr>
              <w:spacing w:after="0"/>
              <w:jc w:val="center"/>
              <w:rPr>
                <w:lang w:val="zh-CN"/>
              </w:rPr>
            </w:pPr>
            <w:r w:rsidRPr="00536CFD">
              <w:rPr>
                <w:lang w:eastAsia="x-none"/>
              </w:rPr>
              <w:t>27.91</w:t>
            </w:r>
          </w:p>
        </w:tc>
        <w:tc>
          <w:tcPr>
            <w:tcW w:w="714" w:type="dxa"/>
            <w:tcBorders>
              <w:top w:val="single" w:sz="4" w:space="0" w:color="auto"/>
              <w:left w:val="nil"/>
              <w:bottom w:val="single" w:sz="4" w:space="0" w:color="auto"/>
              <w:right w:val="single" w:sz="4" w:space="0" w:color="auto"/>
            </w:tcBorders>
            <w:shd w:val="clear" w:color="auto" w:fill="auto"/>
            <w:vAlign w:val="center"/>
          </w:tcPr>
          <w:p w14:paraId="315E63DB" w14:textId="77777777" w:rsidR="004346F3" w:rsidRPr="00536CFD" w:rsidRDefault="004346F3" w:rsidP="00802ABC">
            <w:pPr>
              <w:spacing w:after="0"/>
              <w:jc w:val="center"/>
              <w:rPr>
                <w:lang w:val="zh-CN"/>
              </w:rPr>
            </w:pPr>
            <w:r w:rsidRPr="00536CFD">
              <w:rPr>
                <w:lang w:eastAsia="x-none"/>
              </w:rPr>
              <w:t>47.94</w:t>
            </w:r>
          </w:p>
        </w:tc>
        <w:tc>
          <w:tcPr>
            <w:tcW w:w="719" w:type="dxa"/>
            <w:tcBorders>
              <w:top w:val="single" w:sz="4" w:space="0" w:color="auto"/>
              <w:left w:val="nil"/>
              <w:bottom w:val="single" w:sz="4" w:space="0" w:color="auto"/>
              <w:right w:val="single" w:sz="4" w:space="0" w:color="auto"/>
            </w:tcBorders>
            <w:shd w:val="clear" w:color="auto" w:fill="auto"/>
            <w:vAlign w:val="center"/>
          </w:tcPr>
          <w:p w14:paraId="0D29A373" w14:textId="77777777" w:rsidR="004346F3" w:rsidRPr="00536CFD" w:rsidRDefault="004346F3" w:rsidP="00802ABC">
            <w:pPr>
              <w:spacing w:after="0"/>
              <w:jc w:val="center"/>
              <w:rPr>
                <w:lang w:val="zh-CN"/>
              </w:rPr>
            </w:pPr>
            <w:r w:rsidRPr="00536CFD">
              <w:rPr>
                <w:lang w:eastAsia="x-none"/>
              </w:rPr>
              <w:t>55.80</w:t>
            </w:r>
          </w:p>
        </w:tc>
        <w:tc>
          <w:tcPr>
            <w:tcW w:w="719" w:type="dxa"/>
            <w:tcBorders>
              <w:top w:val="single" w:sz="4" w:space="0" w:color="auto"/>
              <w:left w:val="nil"/>
              <w:bottom w:val="single" w:sz="4" w:space="0" w:color="auto"/>
              <w:right w:val="single" w:sz="4" w:space="0" w:color="auto"/>
            </w:tcBorders>
            <w:shd w:val="clear" w:color="auto" w:fill="auto"/>
            <w:vAlign w:val="center"/>
          </w:tcPr>
          <w:p w14:paraId="117032EB" w14:textId="77777777" w:rsidR="004346F3" w:rsidRPr="00536CFD" w:rsidRDefault="004346F3" w:rsidP="00802ABC">
            <w:pPr>
              <w:spacing w:after="0"/>
              <w:jc w:val="center"/>
              <w:rPr>
                <w:lang w:val="zh-CN"/>
              </w:rPr>
            </w:pPr>
            <w:r w:rsidRPr="00536CFD">
              <w:rPr>
                <w:lang w:eastAsia="x-none"/>
              </w:rPr>
              <w:t>63.71</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85E276F" w14:textId="77777777" w:rsidR="004346F3" w:rsidRPr="00536CFD" w:rsidRDefault="004346F3" w:rsidP="00802ABC">
            <w:pPr>
              <w:spacing w:after="0"/>
              <w:jc w:val="center"/>
              <w:rPr>
                <w:lang w:val="zh-CN"/>
              </w:rPr>
            </w:pPr>
            <w:r w:rsidRPr="00536CFD">
              <w:rPr>
                <w:lang w:eastAsia="x-none"/>
              </w:rPr>
              <w:t>19.15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F1B7A6E" w14:textId="77777777" w:rsidR="004346F3" w:rsidRPr="00536CFD" w:rsidRDefault="004346F3" w:rsidP="00802ABC">
            <w:pPr>
              <w:spacing w:after="0"/>
              <w:jc w:val="center"/>
              <w:rPr>
                <w:lang w:val="zh-CN"/>
              </w:rPr>
            </w:pPr>
            <w:r w:rsidRPr="00536CFD">
              <w:rPr>
                <w:lang w:eastAsia="x-none"/>
              </w:rPr>
              <w:t>40.20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C34B524" w14:textId="77777777" w:rsidR="004346F3" w:rsidRPr="00536CFD" w:rsidRDefault="004346F3" w:rsidP="00802ABC">
            <w:pPr>
              <w:spacing w:after="0"/>
              <w:jc w:val="center"/>
              <w:rPr>
                <w:lang w:val="zh-CN"/>
              </w:rPr>
            </w:pPr>
            <w:r w:rsidRPr="00536CFD">
              <w:rPr>
                <w:lang w:eastAsia="x-none"/>
              </w:rPr>
              <w:t>45.24</w:t>
            </w:r>
          </w:p>
        </w:tc>
        <w:tc>
          <w:tcPr>
            <w:tcW w:w="676" w:type="dxa"/>
            <w:tcBorders>
              <w:top w:val="single" w:sz="4" w:space="0" w:color="auto"/>
              <w:left w:val="nil"/>
              <w:bottom w:val="single" w:sz="4" w:space="0" w:color="auto"/>
              <w:right w:val="single" w:sz="4" w:space="0" w:color="auto"/>
            </w:tcBorders>
            <w:shd w:val="clear" w:color="auto" w:fill="auto"/>
            <w:vAlign w:val="center"/>
          </w:tcPr>
          <w:p w14:paraId="5D15DE33" w14:textId="77777777" w:rsidR="004346F3" w:rsidRPr="00536CFD" w:rsidRDefault="004346F3" w:rsidP="00802ABC">
            <w:pPr>
              <w:spacing w:after="0"/>
              <w:jc w:val="center"/>
              <w:rPr>
                <w:lang w:val="zh-CN"/>
              </w:rPr>
            </w:pPr>
            <w:r w:rsidRPr="00536CFD">
              <w:rPr>
                <w:lang w:eastAsia="x-none"/>
              </w:rPr>
              <w:t>58.95</w:t>
            </w:r>
          </w:p>
        </w:tc>
      </w:tr>
      <w:tr w:rsidR="004346F3" w:rsidRPr="00C64ECB" w14:paraId="4FB8BAD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999D896"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7E16D7F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4D67368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center"/>
          </w:tcPr>
          <w:p w14:paraId="0BA2D9BE" w14:textId="77777777" w:rsidR="004346F3" w:rsidRPr="00536CFD" w:rsidRDefault="004346F3" w:rsidP="00802ABC">
            <w:pPr>
              <w:spacing w:after="0"/>
              <w:jc w:val="center"/>
              <w:rPr>
                <w:lang w:val="zh-CN"/>
              </w:rPr>
            </w:pPr>
            <w:r w:rsidRPr="00536CFD">
              <w:rPr>
                <w:lang w:eastAsia="x-none"/>
              </w:rPr>
              <w:t>0.05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1881090" w14:textId="77777777" w:rsidR="004346F3" w:rsidRPr="00536CFD" w:rsidRDefault="004346F3" w:rsidP="00802ABC">
            <w:pPr>
              <w:spacing w:after="0"/>
              <w:jc w:val="center"/>
              <w:rPr>
                <w:lang w:val="zh-CN"/>
              </w:rPr>
            </w:pPr>
            <w:r w:rsidRPr="00536CFD">
              <w:rPr>
                <w:lang w:eastAsia="x-none"/>
              </w:rPr>
              <w:t>0.05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5BF0232D" w14:textId="77777777" w:rsidR="004346F3" w:rsidRPr="00536CFD" w:rsidRDefault="004346F3" w:rsidP="00802ABC">
            <w:pPr>
              <w:spacing w:after="0"/>
              <w:jc w:val="center"/>
              <w:rPr>
                <w:lang w:val="zh-CN"/>
              </w:rPr>
            </w:pPr>
            <w:r w:rsidRPr="00536CFD">
              <w:rPr>
                <w:lang w:eastAsia="x-none"/>
              </w:rPr>
              <w:t>0.04</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26825E66" w14:textId="77777777" w:rsidR="004346F3" w:rsidRPr="00536CFD" w:rsidRDefault="004346F3" w:rsidP="00802ABC">
            <w:pPr>
              <w:spacing w:after="0"/>
              <w:jc w:val="center"/>
              <w:rPr>
                <w:lang w:val="zh-CN"/>
              </w:rPr>
            </w:pPr>
            <w:r w:rsidRPr="00536CFD">
              <w:rPr>
                <w:lang w:eastAsia="x-none"/>
              </w:rPr>
              <w:t>0.04</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726C4751" w14:textId="77777777" w:rsidR="004346F3" w:rsidRPr="00536CFD" w:rsidRDefault="004346F3" w:rsidP="00802ABC">
            <w:pPr>
              <w:spacing w:after="0"/>
              <w:jc w:val="center"/>
              <w:rPr>
                <w:lang w:val="zh-CN"/>
              </w:rPr>
            </w:pPr>
            <w:r w:rsidRPr="00536CFD">
              <w:rPr>
                <w:lang w:eastAsia="x-none"/>
              </w:rPr>
              <w:t>0.05</w:t>
            </w:r>
          </w:p>
        </w:tc>
        <w:tc>
          <w:tcPr>
            <w:tcW w:w="714" w:type="dxa"/>
            <w:tcBorders>
              <w:top w:val="single" w:sz="4" w:space="0" w:color="auto"/>
              <w:left w:val="nil"/>
              <w:bottom w:val="single" w:sz="4" w:space="0" w:color="auto"/>
              <w:right w:val="single" w:sz="4" w:space="0" w:color="auto"/>
            </w:tcBorders>
            <w:shd w:val="clear" w:color="auto" w:fill="auto"/>
            <w:vAlign w:val="bottom"/>
          </w:tcPr>
          <w:p w14:paraId="3EF8ED94" w14:textId="77777777" w:rsidR="004346F3" w:rsidRPr="00536CFD" w:rsidRDefault="004346F3" w:rsidP="00802ABC">
            <w:pPr>
              <w:spacing w:after="0"/>
              <w:jc w:val="center"/>
              <w:rPr>
                <w:lang w:val="zh-CN"/>
              </w:rPr>
            </w:pPr>
            <w:r w:rsidRPr="00536CFD">
              <w:rPr>
                <w:lang w:eastAsia="x-none"/>
              </w:rPr>
              <w:t>0.05</w:t>
            </w:r>
          </w:p>
        </w:tc>
        <w:tc>
          <w:tcPr>
            <w:tcW w:w="719" w:type="dxa"/>
            <w:tcBorders>
              <w:top w:val="single" w:sz="4" w:space="0" w:color="auto"/>
              <w:left w:val="nil"/>
              <w:bottom w:val="single" w:sz="4" w:space="0" w:color="auto"/>
              <w:right w:val="single" w:sz="4" w:space="0" w:color="auto"/>
            </w:tcBorders>
            <w:shd w:val="clear" w:color="auto" w:fill="auto"/>
            <w:vAlign w:val="center"/>
          </w:tcPr>
          <w:p w14:paraId="6EBF2A0B" w14:textId="77777777" w:rsidR="004346F3" w:rsidRPr="00536CFD" w:rsidRDefault="004346F3" w:rsidP="00802ABC">
            <w:pPr>
              <w:spacing w:after="0"/>
              <w:jc w:val="center"/>
              <w:rPr>
                <w:lang w:val="zh-CN"/>
              </w:rPr>
            </w:pPr>
            <w:r w:rsidRPr="00536CFD">
              <w:rPr>
                <w:lang w:eastAsia="x-none"/>
              </w:rPr>
              <w:t>0.04</w:t>
            </w:r>
          </w:p>
        </w:tc>
        <w:tc>
          <w:tcPr>
            <w:tcW w:w="719" w:type="dxa"/>
            <w:tcBorders>
              <w:top w:val="single" w:sz="4" w:space="0" w:color="auto"/>
              <w:left w:val="nil"/>
              <w:bottom w:val="single" w:sz="4" w:space="0" w:color="auto"/>
              <w:right w:val="single" w:sz="4" w:space="0" w:color="auto"/>
            </w:tcBorders>
            <w:shd w:val="clear" w:color="auto" w:fill="auto"/>
            <w:vAlign w:val="center"/>
          </w:tcPr>
          <w:p w14:paraId="36BCDBB0" w14:textId="77777777" w:rsidR="004346F3" w:rsidRPr="00536CFD" w:rsidRDefault="004346F3" w:rsidP="00802ABC">
            <w:pPr>
              <w:spacing w:after="0"/>
              <w:jc w:val="center"/>
              <w:rPr>
                <w:lang w:val="zh-CN"/>
              </w:rPr>
            </w:pPr>
            <w:r w:rsidRPr="00536CFD">
              <w:rPr>
                <w:lang w:eastAsia="x-none"/>
              </w:rPr>
              <w:t>0.04</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644B3CD" w14:textId="77777777" w:rsidR="004346F3" w:rsidRPr="00536CFD" w:rsidRDefault="004346F3" w:rsidP="00802ABC">
            <w:pPr>
              <w:spacing w:after="0"/>
              <w:jc w:val="center"/>
              <w:rPr>
                <w:lang w:val="zh-CN"/>
              </w:rPr>
            </w:pPr>
            <w:r w:rsidRPr="00536CFD">
              <w:rPr>
                <w:lang w:eastAsia="x-none"/>
              </w:rPr>
              <w:t>0.06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4B2702E" w14:textId="77777777" w:rsidR="004346F3" w:rsidRPr="00536CFD" w:rsidRDefault="004346F3" w:rsidP="00802ABC">
            <w:pPr>
              <w:spacing w:after="0"/>
              <w:jc w:val="center"/>
              <w:rPr>
                <w:lang w:val="zh-CN"/>
              </w:rPr>
            </w:pPr>
            <w:r w:rsidRPr="00536CFD">
              <w:rPr>
                <w:lang w:eastAsia="x-none"/>
              </w:rPr>
              <w:t>0.05</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C864ABD" w14:textId="77777777" w:rsidR="004346F3" w:rsidRPr="00536CFD" w:rsidRDefault="004346F3" w:rsidP="00802ABC">
            <w:pPr>
              <w:spacing w:after="0"/>
              <w:jc w:val="center"/>
              <w:rPr>
                <w:lang w:val="zh-CN"/>
              </w:rPr>
            </w:pPr>
            <w:r w:rsidRPr="00536CFD">
              <w:rPr>
                <w:lang w:eastAsia="x-none"/>
              </w:rPr>
              <w:t>0.04</w:t>
            </w:r>
          </w:p>
        </w:tc>
        <w:tc>
          <w:tcPr>
            <w:tcW w:w="676" w:type="dxa"/>
            <w:tcBorders>
              <w:top w:val="single" w:sz="4" w:space="0" w:color="auto"/>
              <w:left w:val="nil"/>
              <w:bottom w:val="single" w:sz="4" w:space="0" w:color="auto"/>
              <w:right w:val="single" w:sz="4" w:space="0" w:color="auto"/>
            </w:tcBorders>
            <w:shd w:val="clear" w:color="auto" w:fill="auto"/>
            <w:vAlign w:val="center"/>
          </w:tcPr>
          <w:p w14:paraId="66EDE6B6" w14:textId="77777777" w:rsidR="004346F3" w:rsidRPr="00536CFD" w:rsidRDefault="004346F3" w:rsidP="00802ABC">
            <w:pPr>
              <w:spacing w:after="0"/>
              <w:jc w:val="center"/>
              <w:rPr>
                <w:lang w:val="zh-CN"/>
              </w:rPr>
            </w:pPr>
            <w:r w:rsidRPr="00536CFD">
              <w:rPr>
                <w:lang w:eastAsia="x-none"/>
              </w:rPr>
              <w:t>0.04</w:t>
            </w:r>
          </w:p>
        </w:tc>
      </w:tr>
      <w:tr w:rsidR="004346F3" w:rsidRPr="00C64ECB" w14:paraId="4FA28DC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CE4CB6E"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05D286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0E4EC5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center"/>
          </w:tcPr>
          <w:p w14:paraId="294B7A22" w14:textId="77777777" w:rsidR="004346F3" w:rsidRPr="00536CFD" w:rsidRDefault="004346F3" w:rsidP="00802ABC">
            <w:pPr>
              <w:spacing w:after="0"/>
              <w:jc w:val="center"/>
              <w:rPr>
                <w:lang w:val="zh-CN"/>
              </w:rPr>
            </w:pPr>
            <w:r w:rsidRPr="00536CFD">
              <w:rPr>
                <w:lang w:eastAsia="x-none"/>
              </w:rPr>
              <w:t>0.07</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4F992A7D" w14:textId="77777777" w:rsidR="004346F3" w:rsidRPr="00536CFD" w:rsidRDefault="004346F3" w:rsidP="00802ABC">
            <w:pPr>
              <w:spacing w:after="0"/>
              <w:jc w:val="center"/>
              <w:rPr>
                <w:lang w:val="zh-CN"/>
              </w:rPr>
            </w:pPr>
            <w:r w:rsidRPr="00536CFD">
              <w:rPr>
                <w:lang w:eastAsia="x-none"/>
              </w:rPr>
              <w:t>0.06</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41FFE9D5" w14:textId="77777777" w:rsidR="004346F3" w:rsidRPr="00536CFD" w:rsidRDefault="004346F3" w:rsidP="00802ABC">
            <w:pPr>
              <w:spacing w:after="0"/>
              <w:jc w:val="center"/>
              <w:rPr>
                <w:lang w:val="zh-CN"/>
              </w:rPr>
            </w:pPr>
            <w:r w:rsidRPr="00536CFD">
              <w:rPr>
                <w:lang w:eastAsia="x-none"/>
              </w:rPr>
              <w:t>0.05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1BA63DA" w14:textId="77777777" w:rsidR="004346F3" w:rsidRPr="00536CFD" w:rsidRDefault="004346F3" w:rsidP="00802ABC">
            <w:pPr>
              <w:spacing w:after="0"/>
              <w:jc w:val="center"/>
              <w:rPr>
                <w:lang w:val="zh-CN"/>
              </w:rPr>
            </w:pPr>
            <w:r w:rsidRPr="00536CFD">
              <w:rPr>
                <w:lang w:eastAsia="x-none"/>
              </w:rPr>
              <w:t>0.05</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36956302" w14:textId="77777777" w:rsidR="004346F3" w:rsidRPr="00536CFD" w:rsidRDefault="004346F3" w:rsidP="00802ABC">
            <w:pPr>
              <w:spacing w:after="0"/>
              <w:jc w:val="center"/>
              <w:rPr>
                <w:lang w:val="zh-CN"/>
              </w:rPr>
            </w:pPr>
            <w:r w:rsidRPr="00536CFD">
              <w:rPr>
                <w:lang w:eastAsia="x-none"/>
              </w:rPr>
              <w:t>0.17</w:t>
            </w:r>
          </w:p>
        </w:tc>
        <w:tc>
          <w:tcPr>
            <w:tcW w:w="714" w:type="dxa"/>
            <w:tcBorders>
              <w:top w:val="single" w:sz="4" w:space="0" w:color="auto"/>
              <w:left w:val="nil"/>
              <w:bottom w:val="single" w:sz="4" w:space="0" w:color="auto"/>
              <w:right w:val="single" w:sz="4" w:space="0" w:color="auto"/>
            </w:tcBorders>
            <w:shd w:val="clear" w:color="auto" w:fill="auto"/>
            <w:vAlign w:val="bottom"/>
          </w:tcPr>
          <w:p w14:paraId="1C042224" w14:textId="77777777" w:rsidR="004346F3" w:rsidRPr="00536CFD" w:rsidRDefault="004346F3" w:rsidP="00802ABC">
            <w:pPr>
              <w:spacing w:after="0"/>
              <w:jc w:val="center"/>
              <w:rPr>
                <w:lang w:val="zh-CN"/>
              </w:rPr>
            </w:pPr>
            <w:r w:rsidRPr="00536CFD">
              <w:rPr>
                <w:lang w:eastAsia="x-none"/>
              </w:rPr>
              <w:t>0.08</w:t>
            </w:r>
          </w:p>
        </w:tc>
        <w:tc>
          <w:tcPr>
            <w:tcW w:w="719" w:type="dxa"/>
            <w:tcBorders>
              <w:top w:val="single" w:sz="4" w:space="0" w:color="auto"/>
              <w:left w:val="nil"/>
              <w:bottom w:val="single" w:sz="4" w:space="0" w:color="auto"/>
              <w:right w:val="single" w:sz="4" w:space="0" w:color="auto"/>
            </w:tcBorders>
            <w:shd w:val="clear" w:color="auto" w:fill="auto"/>
            <w:vAlign w:val="center"/>
          </w:tcPr>
          <w:p w14:paraId="659E6D75" w14:textId="77777777" w:rsidR="004346F3" w:rsidRPr="00536CFD" w:rsidRDefault="004346F3" w:rsidP="00802ABC">
            <w:pPr>
              <w:spacing w:after="0"/>
              <w:jc w:val="center"/>
              <w:rPr>
                <w:lang w:val="zh-CN"/>
              </w:rPr>
            </w:pPr>
            <w:r w:rsidRPr="00536CFD">
              <w:rPr>
                <w:lang w:eastAsia="x-none"/>
              </w:rPr>
              <w:t>0.07</w:t>
            </w:r>
          </w:p>
        </w:tc>
        <w:tc>
          <w:tcPr>
            <w:tcW w:w="719" w:type="dxa"/>
            <w:tcBorders>
              <w:top w:val="single" w:sz="4" w:space="0" w:color="auto"/>
              <w:left w:val="nil"/>
              <w:bottom w:val="single" w:sz="4" w:space="0" w:color="auto"/>
              <w:right w:val="single" w:sz="4" w:space="0" w:color="auto"/>
            </w:tcBorders>
            <w:shd w:val="clear" w:color="auto" w:fill="auto"/>
            <w:vAlign w:val="center"/>
          </w:tcPr>
          <w:p w14:paraId="09DA0C0E" w14:textId="77777777" w:rsidR="004346F3" w:rsidRPr="00536CFD" w:rsidRDefault="004346F3" w:rsidP="00802ABC">
            <w:pPr>
              <w:spacing w:after="0"/>
              <w:jc w:val="center"/>
              <w:rPr>
                <w:lang w:val="zh-CN"/>
              </w:rPr>
            </w:pPr>
            <w:r w:rsidRPr="00536CFD">
              <w:rPr>
                <w:lang w:eastAsia="x-none"/>
              </w:rPr>
              <w:t>0.06</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D0D33CE" w14:textId="77777777" w:rsidR="004346F3" w:rsidRPr="00536CFD" w:rsidRDefault="004346F3" w:rsidP="00802ABC">
            <w:pPr>
              <w:spacing w:after="0"/>
              <w:jc w:val="center"/>
              <w:rPr>
                <w:lang w:val="zh-CN"/>
              </w:rPr>
            </w:pPr>
            <w:r w:rsidRPr="00536CFD">
              <w:rPr>
                <w:lang w:eastAsia="x-none"/>
              </w:rPr>
              <w:t>0.30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E891A96" w14:textId="77777777" w:rsidR="004346F3" w:rsidRPr="00536CFD" w:rsidRDefault="004346F3" w:rsidP="00802ABC">
            <w:pPr>
              <w:spacing w:after="0"/>
              <w:jc w:val="center"/>
              <w:rPr>
                <w:lang w:val="zh-CN"/>
              </w:rPr>
            </w:pPr>
            <w:r w:rsidRPr="00536CFD">
              <w:rPr>
                <w:lang w:eastAsia="x-none"/>
              </w:rPr>
              <w:t>0.10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CCDC188" w14:textId="77777777" w:rsidR="004346F3" w:rsidRPr="00536CFD" w:rsidRDefault="004346F3" w:rsidP="00802ABC">
            <w:pPr>
              <w:spacing w:after="0"/>
              <w:jc w:val="center"/>
              <w:rPr>
                <w:lang w:val="zh-CN"/>
              </w:rPr>
            </w:pPr>
            <w:r w:rsidRPr="00536CFD">
              <w:rPr>
                <w:lang w:eastAsia="x-none"/>
              </w:rPr>
              <w:t>0.10</w:t>
            </w:r>
          </w:p>
        </w:tc>
        <w:tc>
          <w:tcPr>
            <w:tcW w:w="676" w:type="dxa"/>
            <w:tcBorders>
              <w:top w:val="single" w:sz="4" w:space="0" w:color="auto"/>
              <w:left w:val="nil"/>
              <w:bottom w:val="single" w:sz="4" w:space="0" w:color="auto"/>
              <w:right w:val="single" w:sz="4" w:space="0" w:color="auto"/>
            </w:tcBorders>
            <w:shd w:val="clear" w:color="auto" w:fill="auto"/>
            <w:vAlign w:val="center"/>
          </w:tcPr>
          <w:p w14:paraId="7C8684D3" w14:textId="77777777" w:rsidR="004346F3" w:rsidRPr="00536CFD" w:rsidRDefault="004346F3" w:rsidP="00802ABC">
            <w:pPr>
              <w:spacing w:after="0"/>
              <w:jc w:val="center"/>
              <w:rPr>
                <w:lang w:val="zh-CN"/>
              </w:rPr>
            </w:pPr>
            <w:r w:rsidRPr="00536CFD">
              <w:rPr>
                <w:lang w:eastAsia="x-none"/>
              </w:rPr>
              <w:t>0.07</w:t>
            </w:r>
          </w:p>
        </w:tc>
      </w:tr>
      <w:tr w:rsidR="004346F3" w:rsidRPr="00C64ECB" w14:paraId="7AFC0FB6"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A25361A"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0994920"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3974DF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center"/>
          </w:tcPr>
          <w:p w14:paraId="1E976BAE" w14:textId="77777777" w:rsidR="004346F3" w:rsidRPr="00536CFD" w:rsidRDefault="004346F3" w:rsidP="00802ABC">
            <w:pPr>
              <w:spacing w:after="0"/>
              <w:jc w:val="center"/>
              <w:rPr>
                <w:lang w:val="zh-CN"/>
              </w:rPr>
            </w:pPr>
            <w:r w:rsidRPr="00536CFD">
              <w:rPr>
                <w:lang w:eastAsia="x-none"/>
              </w:rPr>
              <w:t>0.39</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20AAF5B" w14:textId="77777777" w:rsidR="004346F3" w:rsidRPr="00536CFD" w:rsidRDefault="004346F3" w:rsidP="00802ABC">
            <w:pPr>
              <w:spacing w:after="0"/>
              <w:jc w:val="center"/>
              <w:rPr>
                <w:lang w:val="zh-CN"/>
              </w:rPr>
            </w:pPr>
            <w:r w:rsidRPr="00536CFD">
              <w:rPr>
                <w:lang w:eastAsia="x-none"/>
              </w:rPr>
              <w:t>0.25</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5EF5F1ED" w14:textId="77777777" w:rsidR="004346F3" w:rsidRPr="00536CFD" w:rsidRDefault="004346F3" w:rsidP="00802ABC">
            <w:pPr>
              <w:spacing w:after="0"/>
              <w:jc w:val="center"/>
              <w:rPr>
                <w:lang w:val="zh-CN"/>
              </w:rPr>
            </w:pPr>
            <w:r w:rsidRPr="00536CFD">
              <w:rPr>
                <w:lang w:eastAsia="x-none"/>
              </w:rPr>
              <w:t>0.16</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C4EEFF6" w14:textId="77777777" w:rsidR="004346F3" w:rsidRPr="00536CFD" w:rsidRDefault="004346F3" w:rsidP="00802ABC">
            <w:pPr>
              <w:spacing w:after="0"/>
              <w:jc w:val="center"/>
              <w:rPr>
                <w:lang w:val="zh-CN"/>
              </w:rPr>
            </w:pPr>
            <w:r w:rsidRPr="00536CFD">
              <w:rPr>
                <w:lang w:eastAsia="x-none"/>
              </w:rPr>
              <w:t>0.14</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1B586232" w14:textId="77777777" w:rsidR="004346F3" w:rsidRPr="00536CFD" w:rsidRDefault="004346F3" w:rsidP="00802ABC">
            <w:pPr>
              <w:spacing w:after="0"/>
              <w:jc w:val="center"/>
              <w:rPr>
                <w:lang w:val="zh-CN"/>
              </w:rPr>
            </w:pPr>
            <w:r w:rsidRPr="00536CFD">
              <w:rPr>
                <w:lang w:eastAsia="x-none"/>
              </w:rPr>
              <w:t>5.07</w:t>
            </w:r>
          </w:p>
        </w:tc>
        <w:tc>
          <w:tcPr>
            <w:tcW w:w="714" w:type="dxa"/>
            <w:tcBorders>
              <w:top w:val="single" w:sz="4" w:space="0" w:color="auto"/>
              <w:left w:val="nil"/>
              <w:bottom w:val="single" w:sz="4" w:space="0" w:color="auto"/>
              <w:right w:val="single" w:sz="4" w:space="0" w:color="auto"/>
            </w:tcBorders>
            <w:shd w:val="clear" w:color="auto" w:fill="auto"/>
            <w:vAlign w:val="center"/>
          </w:tcPr>
          <w:p w14:paraId="28BBE9FD" w14:textId="77777777" w:rsidR="004346F3" w:rsidRPr="00536CFD" w:rsidRDefault="004346F3" w:rsidP="00802ABC">
            <w:pPr>
              <w:spacing w:after="0"/>
              <w:jc w:val="center"/>
              <w:rPr>
                <w:lang w:val="zh-CN"/>
              </w:rPr>
            </w:pPr>
            <w:r w:rsidRPr="00536CFD">
              <w:rPr>
                <w:lang w:eastAsia="x-none"/>
              </w:rPr>
              <w:t>0.50</w:t>
            </w:r>
          </w:p>
        </w:tc>
        <w:tc>
          <w:tcPr>
            <w:tcW w:w="719" w:type="dxa"/>
            <w:tcBorders>
              <w:top w:val="single" w:sz="4" w:space="0" w:color="auto"/>
              <w:left w:val="nil"/>
              <w:bottom w:val="single" w:sz="4" w:space="0" w:color="auto"/>
              <w:right w:val="single" w:sz="4" w:space="0" w:color="auto"/>
            </w:tcBorders>
            <w:shd w:val="clear" w:color="auto" w:fill="auto"/>
            <w:vAlign w:val="center"/>
          </w:tcPr>
          <w:p w14:paraId="4C0C4FDF" w14:textId="77777777" w:rsidR="004346F3" w:rsidRPr="00536CFD" w:rsidRDefault="004346F3" w:rsidP="00802ABC">
            <w:pPr>
              <w:spacing w:after="0"/>
              <w:jc w:val="center"/>
              <w:rPr>
                <w:lang w:val="zh-CN"/>
              </w:rPr>
            </w:pPr>
            <w:r w:rsidRPr="00536CFD">
              <w:rPr>
                <w:lang w:eastAsia="x-none"/>
              </w:rPr>
              <w:t>0.28</w:t>
            </w:r>
          </w:p>
        </w:tc>
        <w:tc>
          <w:tcPr>
            <w:tcW w:w="719" w:type="dxa"/>
            <w:tcBorders>
              <w:top w:val="single" w:sz="4" w:space="0" w:color="auto"/>
              <w:left w:val="nil"/>
              <w:bottom w:val="single" w:sz="4" w:space="0" w:color="auto"/>
              <w:right w:val="single" w:sz="4" w:space="0" w:color="auto"/>
            </w:tcBorders>
            <w:shd w:val="clear" w:color="auto" w:fill="auto"/>
            <w:vAlign w:val="center"/>
          </w:tcPr>
          <w:p w14:paraId="0F610A5C" w14:textId="77777777" w:rsidR="004346F3" w:rsidRPr="00536CFD" w:rsidRDefault="004346F3" w:rsidP="00802ABC">
            <w:pPr>
              <w:spacing w:after="0"/>
              <w:jc w:val="center"/>
              <w:rPr>
                <w:lang w:val="zh-CN"/>
              </w:rPr>
            </w:pPr>
            <w:r w:rsidRPr="00536CFD">
              <w:rPr>
                <w:lang w:eastAsia="x-none"/>
              </w:rPr>
              <w:t>0.19</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8D737ED" w14:textId="77777777" w:rsidR="004346F3" w:rsidRPr="00536CFD" w:rsidRDefault="004346F3" w:rsidP="00802ABC">
            <w:pPr>
              <w:spacing w:after="0"/>
              <w:jc w:val="center"/>
              <w:rPr>
                <w:lang w:val="zh-CN"/>
              </w:rPr>
            </w:pPr>
            <w:r w:rsidRPr="00536CFD">
              <w:rPr>
                <w:lang w:eastAsia="x-none"/>
              </w:rPr>
              <w:t>8.00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3894409" w14:textId="77777777" w:rsidR="004346F3" w:rsidRPr="00536CFD" w:rsidRDefault="004346F3" w:rsidP="00802ABC">
            <w:pPr>
              <w:spacing w:after="0"/>
              <w:jc w:val="center"/>
              <w:rPr>
                <w:lang w:val="zh-CN"/>
              </w:rPr>
            </w:pPr>
            <w:r w:rsidRPr="00536CFD">
              <w:rPr>
                <w:lang w:eastAsia="x-none"/>
              </w:rPr>
              <w:t>1.24</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403C4F2" w14:textId="77777777" w:rsidR="004346F3" w:rsidRPr="00536CFD" w:rsidRDefault="004346F3" w:rsidP="00802ABC">
            <w:pPr>
              <w:spacing w:after="0"/>
              <w:jc w:val="center"/>
              <w:rPr>
                <w:lang w:val="zh-CN"/>
              </w:rPr>
            </w:pPr>
            <w:r w:rsidRPr="00536CFD">
              <w:rPr>
                <w:lang w:eastAsia="x-none"/>
              </w:rPr>
              <w:t>0.54</w:t>
            </w:r>
          </w:p>
        </w:tc>
        <w:tc>
          <w:tcPr>
            <w:tcW w:w="676" w:type="dxa"/>
            <w:tcBorders>
              <w:top w:val="single" w:sz="4" w:space="0" w:color="auto"/>
              <w:left w:val="nil"/>
              <w:bottom w:val="single" w:sz="4" w:space="0" w:color="auto"/>
              <w:right w:val="single" w:sz="4" w:space="0" w:color="auto"/>
            </w:tcBorders>
            <w:shd w:val="clear" w:color="auto" w:fill="auto"/>
            <w:vAlign w:val="center"/>
          </w:tcPr>
          <w:p w14:paraId="6FA729D0" w14:textId="77777777" w:rsidR="004346F3" w:rsidRPr="00536CFD" w:rsidRDefault="004346F3" w:rsidP="00802ABC">
            <w:pPr>
              <w:spacing w:after="0"/>
              <w:jc w:val="center"/>
              <w:rPr>
                <w:lang w:val="zh-CN"/>
              </w:rPr>
            </w:pPr>
            <w:r w:rsidRPr="00536CFD">
              <w:rPr>
                <w:lang w:eastAsia="x-none"/>
              </w:rPr>
              <w:t>0.22</w:t>
            </w:r>
          </w:p>
        </w:tc>
      </w:tr>
      <w:tr w:rsidR="004346F3" w:rsidRPr="00C64ECB" w14:paraId="4AE37ED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2F3C2C3"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C83803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BDB965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center"/>
          </w:tcPr>
          <w:p w14:paraId="6223CDA4" w14:textId="77777777" w:rsidR="004346F3" w:rsidRPr="00536CFD" w:rsidRDefault="004346F3" w:rsidP="00802ABC">
            <w:pPr>
              <w:spacing w:after="0"/>
              <w:jc w:val="center"/>
              <w:rPr>
                <w:lang w:val="zh-CN"/>
              </w:rPr>
            </w:pPr>
            <w:r w:rsidRPr="00536CFD">
              <w:rPr>
                <w:lang w:eastAsia="x-none"/>
              </w:rPr>
              <w:t>0.13</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294E96B" w14:textId="77777777" w:rsidR="004346F3" w:rsidRPr="00536CFD" w:rsidRDefault="004346F3" w:rsidP="00802ABC">
            <w:pPr>
              <w:spacing w:after="0"/>
              <w:jc w:val="center"/>
              <w:rPr>
                <w:lang w:val="zh-CN"/>
              </w:rPr>
            </w:pPr>
            <w:r w:rsidRPr="00536CFD">
              <w:rPr>
                <w:lang w:eastAsia="x-none"/>
              </w:rPr>
              <w:t>0.09</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75CB635E" w14:textId="77777777" w:rsidR="004346F3" w:rsidRPr="00536CFD" w:rsidRDefault="004346F3" w:rsidP="00802ABC">
            <w:pPr>
              <w:spacing w:after="0"/>
              <w:jc w:val="center"/>
              <w:rPr>
                <w:lang w:val="zh-CN"/>
              </w:rPr>
            </w:pPr>
            <w:r w:rsidRPr="00536CFD">
              <w:rPr>
                <w:lang w:eastAsia="x-none"/>
              </w:rPr>
              <w:t>0.07</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16B00184" w14:textId="77777777" w:rsidR="004346F3" w:rsidRPr="00536CFD" w:rsidRDefault="004346F3" w:rsidP="00802ABC">
            <w:pPr>
              <w:spacing w:after="0"/>
              <w:jc w:val="center"/>
              <w:rPr>
                <w:lang w:val="zh-CN"/>
              </w:rPr>
            </w:pPr>
            <w:r w:rsidRPr="00536CFD">
              <w:rPr>
                <w:lang w:eastAsia="x-none"/>
              </w:rPr>
              <w:t>0.07</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7936DBDF" w14:textId="77777777" w:rsidR="004346F3" w:rsidRPr="00536CFD" w:rsidRDefault="004346F3" w:rsidP="00802ABC">
            <w:pPr>
              <w:spacing w:after="0"/>
              <w:jc w:val="center"/>
              <w:rPr>
                <w:lang w:val="zh-CN"/>
              </w:rPr>
            </w:pPr>
            <w:r w:rsidRPr="00536CFD">
              <w:rPr>
                <w:lang w:eastAsia="x-none"/>
              </w:rPr>
              <w:t>0.83</w:t>
            </w:r>
          </w:p>
        </w:tc>
        <w:tc>
          <w:tcPr>
            <w:tcW w:w="714" w:type="dxa"/>
            <w:tcBorders>
              <w:top w:val="single" w:sz="4" w:space="0" w:color="auto"/>
              <w:left w:val="nil"/>
              <w:bottom w:val="single" w:sz="4" w:space="0" w:color="auto"/>
              <w:right w:val="single" w:sz="4" w:space="0" w:color="auto"/>
            </w:tcBorders>
            <w:shd w:val="clear" w:color="auto" w:fill="auto"/>
            <w:vAlign w:val="center"/>
          </w:tcPr>
          <w:p w14:paraId="489DFFAF" w14:textId="77777777" w:rsidR="004346F3" w:rsidRPr="00536CFD" w:rsidRDefault="004346F3" w:rsidP="00802ABC">
            <w:pPr>
              <w:spacing w:after="0"/>
              <w:jc w:val="center"/>
              <w:rPr>
                <w:lang w:val="zh-CN"/>
              </w:rPr>
            </w:pPr>
            <w:r w:rsidRPr="00536CFD">
              <w:rPr>
                <w:lang w:eastAsia="x-none"/>
              </w:rPr>
              <w:t>0.16</w:t>
            </w:r>
          </w:p>
        </w:tc>
        <w:tc>
          <w:tcPr>
            <w:tcW w:w="719" w:type="dxa"/>
            <w:tcBorders>
              <w:top w:val="single" w:sz="4" w:space="0" w:color="auto"/>
              <w:left w:val="nil"/>
              <w:bottom w:val="single" w:sz="4" w:space="0" w:color="auto"/>
              <w:right w:val="single" w:sz="4" w:space="0" w:color="auto"/>
            </w:tcBorders>
            <w:shd w:val="clear" w:color="auto" w:fill="auto"/>
            <w:vAlign w:val="center"/>
          </w:tcPr>
          <w:p w14:paraId="7066B835" w14:textId="77777777" w:rsidR="004346F3" w:rsidRPr="00536CFD" w:rsidRDefault="004346F3" w:rsidP="00802ABC">
            <w:pPr>
              <w:spacing w:after="0"/>
              <w:jc w:val="center"/>
              <w:rPr>
                <w:lang w:val="zh-CN"/>
              </w:rPr>
            </w:pPr>
            <w:r w:rsidRPr="00536CFD">
              <w:rPr>
                <w:lang w:eastAsia="x-none"/>
              </w:rPr>
              <w:t>0.11</w:t>
            </w:r>
          </w:p>
        </w:tc>
        <w:tc>
          <w:tcPr>
            <w:tcW w:w="719" w:type="dxa"/>
            <w:tcBorders>
              <w:top w:val="single" w:sz="4" w:space="0" w:color="auto"/>
              <w:left w:val="nil"/>
              <w:bottom w:val="single" w:sz="4" w:space="0" w:color="auto"/>
              <w:right w:val="single" w:sz="4" w:space="0" w:color="auto"/>
            </w:tcBorders>
            <w:shd w:val="clear" w:color="auto" w:fill="auto"/>
            <w:vAlign w:val="center"/>
          </w:tcPr>
          <w:p w14:paraId="2FB5CF14" w14:textId="77777777" w:rsidR="004346F3" w:rsidRPr="00536CFD" w:rsidRDefault="004346F3" w:rsidP="00802ABC">
            <w:pPr>
              <w:spacing w:after="0"/>
              <w:jc w:val="center"/>
              <w:rPr>
                <w:lang w:val="zh-CN"/>
              </w:rPr>
            </w:pPr>
            <w:r w:rsidRPr="00536CFD">
              <w:rPr>
                <w:lang w:eastAsia="x-none"/>
              </w:rPr>
              <w:t>0.08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6CD5F5A0" w14:textId="77777777" w:rsidR="004346F3" w:rsidRPr="00536CFD" w:rsidRDefault="004346F3" w:rsidP="00802ABC">
            <w:pPr>
              <w:spacing w:after="0"/>
              <w:jc w:val="center"/>
              <w:rPr>
                <w:lang w:val="zh-CN"/>
              </w:rPr>
            </w:pPr>
            <w:r w:rsidRPr="00536CFD">
              <w:rPr>
                <w:lang w:eastAsia="x-none"/>
              </w:rPr>
              <w:t>1.39</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73CE047" w14:textId="77777777" w:rsidR="004346F3" w:rsidRPr="00536CFD" w:rsidRDefault="004346F3" w:rsidP="00802ABC">
            <w:pPr>
              <w:spacing w:after="0"/>
              <w:jc w:val="center"/>
              <w:rPr>
                <w:lang w:val="zh-CN"/>
              </w:rPr>
            </w:pPr>
            <w:r w:rsidRPr="00536CFD">
              <w:rPr>
                <w:lang w:eastAsia="x-none"/>
              </w:rPr>
              <w:t>0.34</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574E607" w14:textId="77777777" w:rsidR="004346F3" w:rsidRPr="00536CFD" w:rsidRDefault="004346F3" w:rsidP="00802ABC">
            <w:pPr>
              <w:spacing w:after="0"/>
              <w:jc w:val="center"/>
              <w:rPr>
                <w:lang w:val="zh-CN"/>
              </w:rPr>
            </w:pPr>
            <w:r w:rsidRPr="00536CFD">
              <w:rPr>
                <w:lang w:eastAsia="x-none"/>
              </w:rPr>
              <w:t>0.17</w:t>
            </w:r>
          </w:p>
        </w:tc>
        <w:tc>
          <w:tcPr>
            <w:tcW w:w="676" w:type="dxa"/>
            <w:tcBorders>
              <w:top w:val="single" w:sz="4" w:space="0" w:color="auto"/>
              <w:left w:val="nil"/>
              <w:bottom w:val="single" w:sz="4" w:space="0" w:color="auto"/>
              <w:right w:val="single" w:sz="4" w:space="0" w:color="auto"/>
            </w:tcBorders>
            <w:shd w:val="clear" w:color="auto" w:fill="auto"/>
            <w:vAlign w:val="center"/>
          </w:tcPr>
          <w:p w14:paraId="10A9530B" w14:textId="77777777" w:rsidR="004346F3" w:rsidRPr="00536CFD" w:rsidRDefault="004346F3" w:rsidP="00802ABC">
            <w:pPr>
              <w:spacing w:after="0"/>
              <w:jc w:val="center"/>
              <w:rPr>
                <w:lang w:val="zh-CN"/>
              </w:rPr>
            </w:pPr>
            <w:r w:rsidRPr="00536CFD">
              <w:rPr>
                <w:lang w:eastAsia="x-none"/>
              </w:rPr>
              <w:t>0.09</w:t>
            </w:r>
          </w:p>
        </w:tc>
      </w:tr>
      <w:tr w:rsidR="004346F3" w:rsidRPr="00C64ECB" w14:paraId="748BCFBC"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485367A"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5587A748"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0" w:type="dxa"/>
            <w:tcBorders>
              <w:top w:val="single" w:sz="4" w:space="0" w:color="auto"/>
              <w:left w:val="nil"/>
              <w:bottom w:val="single" w:sz="4" w:space="0" w:color="auto"/>
              <w:right w:val="single" w:sz="4" w:space="0" w:color="auto"/>
            </w:tcBorders>
            <w:shd w:val="clear" w:color="auto" w:fill="auto"/>
            <w:vAlign w:val="center"/>
          </w:tcPr>
          <w:p w14:paraId="50296180" w14:textId="77777777" w:rsidR="004346F3" w:rsidRPr="00536CFD" w:rsidRDefault="004346F3" w:rsidP="00802ABC">
            <w:pPr>
              <w:spacing w:after="0"/>
              <w:jc w:val="center"/>
              <w:rPr>
                <w:lang w:val="zh-CN"/>
              </w:rPr>
            </w:pPr>
            <w:r w:rsidRPr="00536CFD">
              <w:rPr>
                <w:lang w:eastAsia="x-none"/>
              </w:rPr>
              <w:t>100.0%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5E8E5E5D" w14:textId="77777777" w:rsidR="004346F3" w:rsidRPr="00536CFD" w:rsidRDefault="004346F3" w:rsidP="00802ABC">
            <w:pPr>
              <w:spacing w:after="0"/>
              <w:jc w:val="center"/>
              <w:rPr>
                <w:lang w:val="zh-CN"/>
              </w:rPr>
            </w:pPr>
            <w:r w:rsidRPr="00536CFD">
              <w:rPr>
                <w:lang w:eastAsia="x-none"/>
              </w:rPr>
              <w:t>100.0%</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16C70116" w14:textId="77777777" w:rsidR="004346F3" w:rsidRPr="00536CFD" w:rsidRDefault="004346F3" w:rsidP="00802ABC">
            <w:pPr>
              <w:spacing w:after="0"/>
              <w:jc w:val="center"/>
              <w:rPr>
                <w:lang w:val="zh-CN"/>
              </w:rPr>
            </w:pPr>
            <w:r w:rsidRPr="00536CFD">
              <w:rPr>
                <w:lang w:eastAsia="x-none"/>
              </w:rPr>
              <w:t>100.0%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6B8160A9" w14:textId="77777777" w:rsidR="004346F3" w:rsidRPr="00536CFD" w:rsidRDefault="004346F3" w:rsidP="00802ABC">
            <w:pPr>
              <w:spacing w:after="0"/>
              <w:jc w:val="center"/>
              <w:rPr>
                <w:lang w:val="zh-CN"/>
              </w:rPr>
            </w:pPr>
            <w:r w:rsidRPr="00536CFD">
              <w:rPr>
                <w:lang w:eastAsia="x-none"/>
              </w:rPr>
              <w:t>100.0%</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5D663206" w14:textId="77777777" w:rsidR="004346F3" w:rsidRPr="00536CFD" w:rsidRDefault="004346F3" w:rsidP="00802ABC">
            <w:pPr>
              <w:spacing w:after="0"/>
              <w:jc w:val="center"/>
              <w:rPr>
                <w:lang w:val="zh-CN"/>
              </w:rPr>
            </w:pPr>
            <w:r w:rsidRPr="00536CFD">
              <w:rPr>
                <w:lang w:eastAsia="x-none"/>
              </w:rPr>
              <w:t>99.6%</w:t>
            </w:r>
          </w:p>
        </w:tc>
        <w:tc>
          <w:tcPr>
            <w:tcW w:w="714" w:type="dxa"/>
            <w:tcBorders>
              <w:top w:val="single" w:sz="4" w:space="0" w:color="auto"/>
              <w:left w:val="nil"/>
              <w:bottom w:val="single" w:sz="4" w:space="0" w:color="auto"/>
              <w:right w:val="single" w:sz="4" w:space="0" w:color="auto"/>
            </w:tcBorders>
            <w:shd w:val="clear" w:color="auto" w:fill="auto"/>
            <w:vAlign w:val="center"/>
          </w:tcPr>
          <w:p w14:paraId="3499E91F" w14:textId="77777777" w:rsidR="004346F3" w:rsidRPr="00536CFD" w:rsidRDefault="004346F3" w:rsidP="00802ABC">
            <w:pPr>
              <w:spacing w:after="0"/>
              <w:jc w:val="center"/>
              <w:rPr>
                <w:lang w:val="zh-CN"/>
              </w:rPr>
            </w:pPr>
            <w:r w:rsidRPr="00536CFD">
              <w:rPr>
                <w:lang w:eastAsia="x-none"/>
              </w:rPr>
              <w:t>100.0%</w:t>
            </w:r>
          </w:p>
        </w:tc>
        <w:tc>
          <w:tcPr>
            <w:tcW w:w="719" w:type="dxa"/>
            <w:tcBorders>
              <w:top w:val="single" w:sz="4" w:space="0" w:color="auto"/>
              <w:left w:val="nil"/>
              <w:bottom w:val="single" w:sz="4" w:space="0" w:color="auto"/>
              <w:right w:val="single" w:sz="4" w:space="0" w:color="auto"/>
            </w:tcBorders>
            <w:shd w:val="clear" w:color="auto" w:fill="auto"/>
            <w:vAlign w:val="center"/>
          </w:tcPr>
          <w:p w14:paraId="0F91150B" w14:textId="77777777" w:rsidR="004346F3" w:rsidRPr="00536CFD" w:rsidRDefault="004346F3" w:rsidP="00802ABC">
            <w:pPr>
              <w:spacing w:after="0"/>
              <w:jc w:val="center"/>
              <w:rPr>
                <w:lang w:val="zh-CN"/>
              </w:rPr>
            </w:pPr>
            <w:r w:rsidRPr="00536CFD">
              <w:rPr>
                <w:lang w:eastAsia="x-none"/>
              </w:rPr>
              <w:t>100.0%</w:t>
            </w:r>
          </w:p>
        </w:tc>
        <w:tc>
          <w:tcPr>
            <w:tcW w:w="719" w:type="dxa"/>
            <w:tcBorders>
              <w:top w:val="single" w:sz="4" w:space="0" w:color="auto"/>
              <w:left w:val="nil"/>
              <w:bottom w:val="single" w:sz="4" w:space="0" w:color="auto"/>
              <w:right w:val="single" w:sz="4" w:space="0" w:color="auto"/>
            </w:tcBorders>
            <w:shd w:val="clear" w:color="auto" w:fill="auto"/>
            <w:vAlign w:val="center"/>
          </w:tcPr>
          <w:p w14:paraId="4BE1051C" w14:textId="77777777" w:rsidR="004346F3" w:rsidRPr="00536CFD" w:rsidRDefault="004346F3" w:rsidP="00802ABC">
            <w:pPr>
              <w:spacing w:after="0"/>
              <w:jc w:val="center"/>
              <w:rPr>
                <w:lang w:val="zh-CN"/>
              </w:rPr>
            </w:pPr>
            <w:r w:rsidRPr="00536CFD">
              <w:rPr>
                <w:lang w:eastAsia="x-none"/>
              </w:rPr>
              <w:t>100.0%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128DF345" w14:textId="77777777" w:rsidR="004346F3" w:rsidRPr="00536CFD" w:rsidRDefault="004346F3" w:rsidP="00802ABC">
            <w:pPr>
              <w:spacing w:after="0"/>
              <w:jc w:val="center"/>
              <w:rPr>
                <w:lang w:val="zh-CN"/>
              </w:rPr>
            </w:pPr>
            <w:r w:rsidRPr="00536CFD">
              <w:rPr>
                <w:lang w:eastAsia="x-none"/>
              </w:rPr>
              <w:t>98.0%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ABA475A" w14:textId="77777777" w:rsidR="004346F3" w:rsidRPr="00536CFD" w:rsidRDefault="004346F3" w:rsidP="00802ABC">
            <w:pPr>
              <w:spacing w:after="0"/>
              <w:jc w:val="center"/>
              <w:rPr>
                <w:lang w:val="zh-CN"/>
              </w:rPr>
            </w:pPr>
            <w:r w:rsidRPr="00536CFD">
              <w:rPr>
                <w:lang w:eastAsia="x-none"/>
              </w:rPr>
              <w:t>100.0%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075024C3" w14:textId="77777777" w:rsidR="004346F3" w:rsidRPr="00536CFD" w:rsidRDefault="004346F3" w:rsidP="00802ABC">
            <w:pPr>
              <w:spacing w:after="0"/>
              <w:jc w:val="center"/>
              <w:rPr>
                <w:lang w:val="zh-CN"/>
              </w:rPr>
            </w:pPr>
            <w:r w:rsidRPr="00536CFD">
              <w:rPr>
                <w:lang w:eastAsia="x-none"/>
              </w:rPr>
              <w:t>100.0%</w:t>
            </w:r>
          </w:p>
        </w:tc>
        <w:tc>
          <w:tcPr>
            <w:tcW w:w="676" w:type="dxa"/>
            <w:tcBorders>
              <w:top w:val="single" w:sz="4" w:space="0" w:color="auto"/>
              <w:left w:val="nil"/>
              <w:bottom w:val="single" w:sz="4" w:space="0" w:color="auto"/>
              <w:right w:val="single" w:sz="4" w:space="0" w:color="auto"/>
            </w:tcBorders>
            <w:shd w:val="clear" w:color="auto" w:fill="auto"/>
            <w:vAlign w:val="center"/>
          </w:tcPr>
          <w:p w14:paraId="289EF0E2" w14:textId="77777777" w:rsidR="004346F3" w:rsidRPr="00536CFD" w:rsidRDefault="004346F3" w:rsidP="00802ABC">
            <w:pPr>
              <w:spacing w:after="0"/>
              <w:jc w:val="center"/>
              <w:rPr>
                <w:lang w:val="zh-CN"/>
              </w:rPr>
            </w:pPr>
            <w:r w:rsidRPr="00536CFD">
              <w:rPr>
                <w:lang w:eastAsia="x-none"/>
              </w:rPr>
              <w:t>100.0%</w:t>
            </w:r>
          </w:p>
        </w:tc>
      </w:tr>
      <w:tr w:rsidR="004346F3" w:rsidRPr="00C64ECB" w14:paraId="0A61482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2AD63FF"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40E1FB7D"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0" w:type="dxa"/>
            <w:tcBorders>
              <w:top w:val="single" w:sz="4" w:space="0" w:color="auto"/>
              <w:left w:val="nil"/>
              <w:bottom w:val="single" w:sz="4" w:space="0" w:color="auto"/>
              <w:right w:val="single" w:sz="4" w:space="0" w:color="auto"/>
            </w:tcBorders>
            <w:shd w:val="clear" w:color="auto" w:fill="auto"/>
            <w:vAlign w:val="center"/>
          </w:tcPr>
          <w:p w14:paraId="3879B9AF" w14:textId="77777777" w:rsidR="004346F3" w:rsidRPr="00536CFD" w:rsidRDefault="004346F3" w:rsidP="00802ABC">
            <w:pPr>
              <w:spacing w:after="0"/>
              <w:jc w:val="center"/>
              <w:rPr>
                <w:lang w:val="zh-CN"/>
              </w:rPr>
            </w:pPr>
            <w:r w:rsidRPr="00536CFD">
              <w:rPr>
                <w:lang w:eastAsia="x-none"/>
              </w:rPr>
              <w:t>100.0%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0D54F28" w14:textId="77777777" w:rsidR="004346F3" w:rsidRPr="00536CFD" w:rsidRDefault="004346F3" w:rsidP="00802ABC">
            <w:pPr>
              <w:spacing w:after="0"/>
              <w:jc w:val="center"/>
              <w:rPr>
                <w:lang w:val="zh-CN"/>
              </w:rPr>
            </w:pPr>
            <w:r w:rsidRPr="00536CFD">
              <w:rPr>
                <w:lang w:eastAsia="x-none"/>
              </w:rPr>
              <w:t>100.0%</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024A908B" w14:textId="77777777" w:rsidR="004346F3" w:rsidRPr="00536CFD" w:rsidRDefault="004346F3" w:rsidP="00802ABC">
            <w:pPr>
              <w:spacing w:after="0"/>
              <w:jc w:val="center"/>
              <w:rPr>
                <w:lang w:val="zh-CN"/>
              </w:rPr>
            </w:pPr>
            <w:r w:rsidRPr="00536CFD">
              <w:rPr>
                <w:lang w:eastAsia="x-none"/>
              </w:rPr>
              <w:t>100.0%</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0197E444" w14:textId="77777777" w:rsidR="004346F3" w:rsidRPr="00536CFD" w:rsidRDefault="004346F3" w:rsidP="00802ABC">
            <w:pPr>
              <w:spacing w:after="0"/>
              <w:jc w:val="center"/>
              <w:rPr>
                <w:lang w:val="zh-CN"/>
              </w:rPr>
            </w:pPr>
            <w:r w:rsidRPr="00536CFD">
              <w:rPr>
                <w:lang w:eastAsia="x-none"/>
              </w:rPr>
              <w:t>100.0%</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3B1CA7EC" w14:textId="77777777" w:rsidR="004346F3" w:rsidRPr="00536CFD" w:rsidRDefault="004346F3" w:rsidP="00802ABC">
            <w:pPr>
              <w:spacing w:after="0"/>
              <w:jc w:val="center"/>
              <w:rPr>
                <w:lang w:val="zh-CN"/>
              </w:rPr>
            </w:pPr>
            <w:r w:rsidRPr="00536CFD">
              <w:rPr>
                <w:lang w:eastAsia="x-none"/>
              </w:rPr>
              <w:t>97.8%</w:t>
            </w:r>
          </w:p>
        </w:tc>
        <w:tc>
          <w:tcPr>
            <w:tcW w:w="714" w:type="dxa"/>
            <w:tcBorders>
              <w:top w:val="single" w:sz="4" w:space="0" w:color="auto"/>
              <w:left w:val="nil"/>
              <w:bottom w:val="single" w:sz="4" w:space="0" w:color="auto"/>
              <w:right w:val="single" w:sz="4" w:space="0" w:color="auto"/>
            </w:tcBorders>
            <w:shd w:val="clear" w:color="auto" w:fill="auto"/>
            <w:vAlign w:val="center"/>
          </w:tcPr>
          <w:p w14:paraId="5562E171" w14:textId="77777777" w:rsidR="004346F3" w:rsidRPr="00536CFD" w:rsidRDefault="004346F3" w:rsidP="00802ABC">
            <w:pPr>
              <w:spacing w:after="0"/>
              <w:jc w:val="center"/>
              <w:rPr>
                <w:lang w:val="zh-CN"/>
              </w:rPr>
            </w:pPr>
            <w:r w:rsidRPr="00536CFD">
              <w:rPr>
                <w:lang w:eastAsia="x-none"/>
              </w:rPr>
              <w:t>100.0%</w:t>
            </w:r>
          </w:p>
        </w:tc>
        <w:tc>
          <w:tcPr>
            <w:tcW w:w="719" w:type="dxa"/>
            <w:tcBorders>
              <w:top w:val="single" w:sz="4" w:space="0" w:color="auto"/>
              <w:left w:val="nil"/>
              <w:bottom w:val="single" w:sz="4" w:space="0" w:color="auto"/>
              <w:right w:val="single" w:sz="4" w:space="0" w:color="auto"/>
            </w:tcBorders>
            <w:shd w:val="clear" w:color="auto" w:fill="auto"/>
            <w:vAlign w:val="center"/>
          </w:tcPr>
          <w:p w14:paraId="4D6F9B8B" w14:textId="77777777" w:rsidR="004346F3" w:rsidRPr="00536CFD" w:rsidRDefault="004346F3" w:rsidP="00802ABC">
            <w:pPr>
              <w:spacing w:after="0"/>
              <w:jc w:val="center"/>
              <w:rPr>
                <w:lang w:val="zh-CN"/>
              </w:rPr>
            </w:pPr>
            <w:r w:rsidRPr="00536CFD">
              <w:rPr>
                <w:lang w:eastAsia="x-none"/>
              </w:rPr>
              <w:t>100.0%</w:t>
            </w:r>
          </w:p>
        </w:tc>
        <w:tc>
          <w:tcPr>
            <w:tcW w:w="719" w:type="dxa"/>
            <w:tcBorders>
              <w:top w:val="single" w:sz="4" w:space="0" w:color="auto"/>
              <w:left w:val="nil"/>
              <w:bottom w:val="single" w:sz="4" w:space="0" w:color="auto"/>
              <w:right w:val="single" w:sz="4" w:space="0" w:color="auto"/>
            </w:tcBorders>
            <w:shd w:val="clear" w:color="auto" w:fill="auto"/>
            <w:vAlign w:val="center"/>
          </w:tcPr>
          <w:p w14:paraId="4DAF0820" w14:textId="77777777" w:rsidR="004346F3" w:rsidRPr="00536CFD" w:rsidRDefault="004346F3" w:rsidP="00802ABC">
            <w:pPr>
              <w:spacing w:after="0"/>
              <w:jc w:val="center"/>
              <w:rPr>
                <w:lang w:val="zh-CN"/>
              </w:rPr>
            </w:pPr>
            <w:r w:rsidRPr="00536CFD">
              <w:rPr>
                <w:lang w:eastAsia="x-none"/>
              </w:rPr>
              <w:t>100.0%</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4ED78B4A" w14:textId="77777777" w:rsidR="004346F3" w:rsidRPr="00536CFD" w:rsidRDefault="004346F3" w:rsidP="00802ABC">
            <w:pPr>
              <w:spacing w:after="0"/>
              <w:jc w:val="center"/>
              <w:rPr>
                <w:lang w:val="zh-CN"/>
              </w:rPr>
            </w:pPr>
            <w:r w:rsidRPr="00536CFD">
              <w:rPr>
                <w:lang w:eastAsia="x-none"/>
              </w:rPr>
              <w:t>94.1%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E0783A7" w14:textId="77777777" w:rsidR="004346F3" w:rsidRPr="00536CFD" w:rsidRDefault="004346F3" w:rsidP="00802ABC">
            <w:pPr>
              <w:spacing w:after="0"/>
              <w:jc w:val="center"/>
              <w:rPr>
                <w:lang w:val="zh-CN"/>
              </w:rPr>
            </w:pPr>
            <w:r w:rsidRPr="00536CFD">
              <w:rPr>
                <w:lang w:eastAsia="x-none"/>
              </w:rPr>
              <w:t>99.8%</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41527B7A" w14:textId="77777777" w:rsidR="004346F3" w:rsidRPr="00536CFD" w:rsidRDefault="004346F3" w:rsidP="00802ABC">
            <w:pPr>
              <w:spacing w:after="0"/>
              <w:jc w:val="center"/>
              <w:rPr>
                <w:lang w:val="zh-CN"/>
              </w:rPr>
            </w:pPr>
            <w:r w:rsidRPr="00536CFD">
              <w:rPr>
                <w:lang w:eastAsia="x-none"/>
              </w:rPr>
              <w:t>100.0%</w:t>
            </w:r>
          </w:p>
        </w:tc>
        <w:tc>
          <w:tcPr>
            <w:tcW w:w="676" w:type="dxa"/>
            <w:tcBorders>
              <w:top w:val="single" w:sz="4" w:space="0" w:color="auto"/>
              <w:left w:val="nil"/>
              <w:bottom w:val="single" w:sz="4" w:space="0" w:color="auto"/>
              <w:right w:val="single" w:sz="4" w:space="0" w:color="auto"/>
            </w:tcBorders>
            <w:shd w:val="clear" w:color="auto" w:fill="auto"/>
            <w:vAlign w:val="center"/>
          </w:tcPr>
          <w:p w14:paraId="1457E10C" w14:textId="77777777" w:rsidR="004346F3" w:rsidRPr="00536CFD" w:rsidRDefault="004346F3" w:rsidP="00802ABC">
            <w:pPr>
              <w:spacing w:after="0"/>
              <w:jc w:val="center"/>
              <w:rPr>
                <w:lang w:val="zh-CN"/>
              </w:rPr>
            </w:pPr>
            <w:r w:rsidRPr="00536CFD">
              <w:rPr>
                <w:lang w:eastAsia="x-none"/>
              </w:rPr>
              <w:t>100.0%</w:t>
            </w:r>
          </w:p>
        </w:tc>
      </w:tr>
      <w:tr w:rsidR="004346F3" w:rsidRPr="00C64ECB" w14:paraId="3F1AE9D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119BBE3"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6349C46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0" w:type="dxa"/>
            <w:tcBorders>
              <w:top w:val="single" w:sz="4" w:space="0" w:color="auto"/>
              <w:left w:val="nil"/>
              <w:bottom w:val="single" w:sz="4" w:space="0" w:color="auto"/>
              <w:right w:val="single" w:sz="4" w:space="0" w:color="auto"/>
            </w:tcBorders>
            <w:shd w:val="clear" w:color="auto" w:fill="auto"/>
            <w:vAlign w:val="center"/>
          </w:tcPr>
          <w:p w14:paraId="1FFFEA66" w14:textId="77777777" w:rsidR="004346F3" w:rsidRPr="00536CFD" w:rsidRDefault="004346F3" w:rsidP="00802ABC">
            <w:pPr>
              <w:spacing w:after="0"/>
              <w:jc w:val="center"/>
              <w:rPr>
                <w:lang w:val="zh-CN"/>
              </w:rPr>
            </w:pPr>
            <w:r w:rsidRPr="00536CFD">
              <w:rPr>
                <w:lang w:eastAsia="x-none"/>
              </w:rPr>
              <w:t>13.5%</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37D01C21" w14:textId="77777777" w:rsidR="004346F3" w:rsidRPr="00536CFD" w:rsidRDefault="004346F3" w:rsidP="00802ABC">
            <w:pPr>
              <w:spacing w:after="0"/>
              <w:jc w:val="center"/>
              <w:rPr>
                <w:lang w:val="zh-CN"/>
              </w:rPr>
            </w:pPr>
            <w:r w:rsidRPr="00536CFD">
              <w:rPr>
                <w:lang w:eastAsia="x-none"/>
              </w:rPr>
              <w:t>10.4%</w:t>
            </w:r>
          </w:p>
        </w:tc>
        <w:tc>
          <w:tcPr>
            <w:tcW w:w="649" w:type="dxa"/>
            <w:gridSpan w:val="2"/>
            <w:tcBorders>
              <w:top w:val="single" w:sz="4" w:space="0" w:color="auto"/>
              <w:left w:val="nil"/>
              <w:bottom w:val="single" w:sz="4" w:space="0" w:color="auto"/>
              <w:right w:val="single" w:sz="4" w:space="0" w:color="auto"/>
            </w:tcBorders>
            <w:shd w:val="clear" w:color="auto" w:fill="auto"/>
            <w:vAlign w:val="center"/>
          </w:tcPr>
          <w:p w14:paraId="45D3E5FF" w14:textId="77777777" w:rsidR="004346F3" w:rsidRPr="00536CFD" w:rsidRDefault="004346F3" w:rsidP="00802ABC">
            <w:pPr>
              <w:spacing w:after="0"/>
              <w:jc w:val="center"/>
              <w:rPr>
                <w:lang w:val="zh-CN"/>
              </w:rPr>
            </w:pPr>
            <w:r w:rsidRPr="00536CFD">
              <w:rPr>
                <w:lang w:eastAsia="x-none"/>
              </w:rPr>
              <w:t>7.6%</w:t>
            </w:r>
          </w:p>
        </w:tc>
        <w:tc>
          <w:tcPr>
            <w:tcW w:w="643" w:type="dxa"/>
            <w:gridSpan w:val="2"/>
            <w:tcBorders>
              <w:top w:val="single" w:sz="4" w:space="0" w:color="auto"/>
              <w:left w:val="nil"/>
              <w:bottom w:val="single" w:sz="4" w:space="0" w:color="auto"/>
              <w:right w:val="single" w:sz="4" w:space="0" w:color="auto"/>
            </w:tcBorders>
            <w:shd w:val="clear" w:color="auto" w:fill="auto"/>
            <w:vAlign w:val="center"/>
          </w:tcPr>
          <w:p w14:paraId="6D2B3077" w14:textId="77777777" w:rsidR="004346F3" w:rsidRPr="00536CFD" w:rsidRDefault="004346F3" w:rsidP="00802ABC">
            <w:pPr>
              <w:spacing w:after="0"/>
              <w:jc w:val="center"/>
              <w:rPr>
                <w:lang w:val="zh-CN"/>
              </w:rPr>
            </w:pPr>
            <w:r w:rsidRPr="00536CFD">
              <w:rPr>
                <w:lang w:eastAsia="x-none"/>
              </w:rPr>
              <w:t>7.1%</w:t>
            </w:r>
          </w:p>
        </w:tc>
        <w:tc>
          <w:tcPr>
            <w:tcW w:w="714" w:type="dxa"/>
            <w:gridSpan w:val="2"/>
            <w:tcBorders>
              <w:top w:val="single" w:sz="4" w:space="0" w:color="auto"/>
              <w:left w:val="nil"/>
              <w:bottom w:val="single" w:sz="4" w:space="0" w:color="auto"/>
              <w:right w:val="single" w:sz="4" w:space="0" w:color="auto"/>
            </w:tcBorders>
            <w:shd w:val="clear" w:color="auto" w:fill="auto"/>
            <w:vAlign w:val="center"/>
          </w:tcPr>
          <w:p w14:paraId="2CEF345A" w14:textId="77777777" w:rsidR="004346F3" w:rsidRPr="00536CFD" w:rsidRDefault="004346F3" w:rsidP="00802ABC">
            <w:pPr>
              <w:spacing w:after="0"/>
              <w:jc w:val="center"/>
              <w:rPr>
                <w:lang w:val="zh-CN"/>
              </w:rPr>
            </w:pPr>
            <w:r w:rsidRPr="00536CFD">
              <w:rPr>
                <w:lang w:eastAsia="x-none"/>
              </w:rPr>
              <w:t>48.4%</w:t>
            </w:r>
          </w:p>
        </w:tc>
        <w:tc>
          <w:tcPr>
            <w:tcW w:w="714" w:type="dxa"/>
            <w:tcBorders>
              <w:top w:val="single" w:sz="4" w:space="0" w:color="auto"/>
              <w:left w:val="nil"/>
              <w:bottom w:val="single" w:sz="4" w:space="0" w:color="auto"/>
              <w:right w:val="single" w:sz="4" w:space="0" w:color="auto"/>
            </w:tcBorders>
            <w:shd w:val="clear" w:color="auto" w:fill="auto"/>
            <w:vAlign w:val="center"/>
          </w:tcPr>
          <w:p w14:paraId="6FB8228E" w14:textId="77777777" w:rsidR="004346F3" w:rsidRPr="00536CFD" w:rsidRDefault="004346F3" w:rsidP="00802ABC">
            <w:pPr>
              <w:spacing w:after="0"/>
              <w:jc w:val="center"/>
              <w:rPr>
                <w:lang w:val="zh-CN"/>
              </w:rPr>
            </w:pPr>
            <w:r w:rsidRPr="00536CFD">
              <w:rPr>
                <w:lang w:eastAsia="x-none"/>
              </w:rPr>
              <w:t>19.4%</w:t>
            </w:r>
          </w:p>
        </w:tc>
        <w:tc>
          <w:tcPr>
            <w:tcW w:w="719" w:type="dxa"/>
            <w:tcBorders>
              <w:top w:val="single" w:sz="4" w:space="0" w:color="auto"/>
              <w:left w:val="nil"/>
              <w:bottom w:val="single" w:sz="4" w:space="0" w:color="auto"/>
              <w:right w:val="single" w:sz="4" w:space="0" w:color="auto"/>
            </w:tcBorders>
            <w:shd w:val="clear" w:color="auto" w:fill="auto"/>
            <w:vAlign w:val="center"/>
          </w:tcPr>
          <w:p w14:paraId="061294D4" w14:textId="77777777" w:rsidR="004346F3" w:rsidRPr="00536CFD" w:rsidRDefault="004346F3" w:rsidP="00802ABC">
            <w:pPr>
              <w:spacing w:after="0"/>
              <w:jc w:val="center"/>
              <w:rPr>
                <w:lang w:val="zh-CN"/>
              </w:rPr>
            </w:pPr>
            <w:r w:rsidRPr="00536CFD">
              <w:rPr>
                <w:lang w:eastAsia="x-none"/>
              </w:rPr>
              <w:t>13.3%</w:t>
            </w:r>
          </w:p>
        </w:tc>
        <w:tc>
          <w:tcPr>
            <w:tcW w:w="719" w:type="dxa"/>
            <w:tcBorders>
              <w:top w:val="single" w:sz="4" w:space="0" w:color="auto"/>
              <w:left w:val="nil"/>
              <w:bottom w:val="single" w:sz="4" w:space="0" w:color="auto"/>
              <w:right w:val="single" w:sz="4" w:space="0" w:color="auto"/>
            </w:tcBorders>
            <w:shd w:val="clear" w:color="auto" w:fill="auto"/>
            <w:vAlign w:val="center"/>
          </w:tcPr>
          <w:p w14:paraId="11E44A95" w14:textId="77777777" w:rsidR="004346F3" w:rsidRPr="00536CFD" w:rsidRDefault="004346F3" w:rsidP="00802ABC">
            <w:pPr>
              <w:spacing w:after="0"/>
              <w:jc w:val="center"/>
              <w:rPr>
                <w:lang w:val="zh-CN"/>
              </w:rPr>
            </w:pPr>
            <w:r w:rsidRPr="00536CFD">
              <w:rPr>
                <w:lang w:eastAsia="x-none"/>
              </w:rPr>
              <w:t>10.9%</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7E0DE721" w14:textId="77777777" w:rsidR="004346F3" w:rsidRPr="00536CFD" w:rsidRDefault="004346F3" w:rsidP="00802ABC">
            <w:pPr>
              <w:spacing w:after="0"/>
              <w:jc w:val="center"/>
              <w:rPr>
                <w:lang w:val="zh-CN"/>
              </w:rPr>
            </w:pPr>
            <w:r w:rsidRPr="00536CFD">
              <w:rPr>
                <w:lang w:eastAsia="x-none"/>
              </w:rPr>
              <w:t>66.6%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668D53F" w14:textId="77777777" w:rsidR="004346F3" w:rsidRPr="00536CFD" w:rsidRDefault="004346F3" w:rsidP="00802ABC">
            <w:pPr>
              <w:spacing w:after="0"/>
              <w:jc w:val="center"/>
              <w:rPr>
                <w:lang w:val="zh-CN"/>
              </w:rPr>
            </w:pPr>
            <w:r w:rsidRPr="00536CFD">
              <w:rPr>
                <w:lang w:eastAsia="x-none"/>
              </w:rPr>
              <w:t>31.4%</w:t>
            </w:r>
          </w:p>
        </w:tc>
        <w:tc>
          <w:tcPr>
            <w:tcW w:w="736" w:type="dxa"/>
            <w:gridSpan w:val="2"/>
            <w:tcBorders>
              <w:top w:val="single" w:sz="4" w:space="0" w:color="auto"/>
              <w:left w:val="nil"/>
              <w:bottom w:val="single" w:sz="4" w:space="0" w:color="auto"/>
              <w:right w:val="single" w:sz="4" w:space="0" w:color="auto"/>
            </w:tcBorders>
            <w:shd w:val="clear" w:color="auto" w:fill="auto"/>
            <w:vAlign w:val="center"/>
          </w:tcPr>
          <w:p w14:paraId="2EC9C042" w14:textId="77777777" w:rsidR="004346F3" w:rsidRPr="00536CFD" w:rsidRDefault="004346F3" w:rsidP="00802ABC">
            <w:pPr>
              <w:spacing w:after="0"/>
              <w:jc w:val="center"/>
              <w:rPr>
                <w:lang w:val="zh-CN"/>
              </w:rPr>
            </w:pPr>
            <w:r w:rsidRPr="00536CFD">
              <w:rPr>
                <w:lang w:eastAsia="x-none"/>
              </w:rPr>
              <w:t>20.5%</w:t>
            </w:r>
          </w:p>
        </w:tc>
        <w:tc>
          <w:tcPr>
            <w:tcW w:w="676" w:type="dxa"/>
            <w:tcBorders>
              <w:top w:val="single" w:sz="4" w:space="0" w:color="auto"/>
              <w:left w:val="nil"/>
              <w:bottom w:val="single" w:sz="4" w:space="0" w:color="auto"/>
              <w:right w:val="single" w:sz="4" w:space="0" w:color="auto"/>
            </w:tcBorders>
            <w:shd w:val="clear" w:color="auto" w:fill="auto"/>
            <w:vAlign w:val="center"/>
          </w:tcPr>
          <w:p w14:paraId="0CE16CE3" w14:textId="77777777" w:rsidR="004346F3" w:rsidRPr="00536CFD" w:rsidRDefault="004346F3" w:rsidP="00802ABC">
            <w:pPr>
              <w:spacing w:after="0"/>
              <w:jc w:val="center"/>
              <w:rPr>
                <w:lang w:val="zh-CN"/>
              </w:rPr>
            </w:pPr>
            <w:r w:rsidRPr="00536CFD">
              <w:rPr>
                <w:lang w:eastAsia="x-none"/>
              </w:rPr>
              <w:t>13.5%</w:t>
            </w:r>
          </w:p>
        </w:tc>
      </w:tr>
      <w:tr w:rsidR="004346F3" w:rsidRPr="00C64ECB" w14:paraId="1BEC55E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68927AF"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56C42ADB" w14:textId="77777777" w:rsidR="004346F3" w:rsidRPr="00536CFD" w:rsidRDefault="004346F3" w:rsidP="00802ABC">
            <w:pPr>
              <w:spacing w:after="0"/>
              <w:jc w:val="center"/>
            </w:pPr>
            <w:r w:rsidRPr="00536CFD">
              <w:rPr>
                <w:rFonts w:ascii="Cambria Math" w:hAnsi="Cambria Math" w:cs="Cambria Math"/>
              </w:rPr>
              <w:t>𝜆</w:t>
            </w:r>
          </w:p>
        </w:tc>
        <w:tc>
          <w:tcPr>
            <w:tcW w:w="2515" w:type="dxa"/>
            <w:gridSpan w:val="7"/>
            <w:tcBorders>
              <w:top w:val="single" w:sz="4" w:space="0" w:color="auto"/>
              <w:left w:val="nil"/>
              <w:bottom w:val="single" w:sz="4" w:space="0" w:color="auto"/>
              <w:right w:val="single" w:sz="4" w:space="0" w:color="auto"/>
            </w:tcBorders>
            <w:shd w:val="clear" w:color="auto" w:fill="auto"/>
            <w:vAlign w:val="center"/>
          </w:tcPr>
          <w:p w14:paraId="3EACFBEF" w14:textId="77777777" w:rsidR="004346F3" w:rsidRPr="00536CFD" w:rsidRDefault="004346F3" w:rsidP="00802ABC">
            <w:pPr>
              <w:spacing w:after="0"/>
              <w:jc w:val="center"/>
              <w:rPr>
                <w:lang w:val="zh-CN"/>
              </w:rPr>
            </w:pPr>
            <w:r w:rsidRPr="00536CFD">
              <w:rPr>
                <w:lang w:eastAsia="x-none"/>
              </w:rPr>
              <w:t>0.13</w:t>
            </w:r>
          </w:p>
        </w:tc>
        <w:tc>
          <w:tcPr>
            <w:tcW w:w="2866" w:type="dxa"/>
            <w:gridSpan w:val="5"/>
            <w:tcBorders>
              <w:top w:val="single" w:sz="4" w:space="0" w:color="auto"/>
              <w:left w:val="nil"/>
              <w:bottom w:val="single" w:sz="4" w:space="0" w:color="auto"/>
              <w:right w:val="single" w:sz="4" w:space="0" w:color="auto"/>
            </w:tcBorders>
            <w:shd w:val="clear" w:color="auto" w:fill="auto"/>
            <w:vAlign w:val="center"/>
          </w:tcPr>
          <w:p w14:paraId="0D49DAA4" w14:textId="77777777" w:rsidR="004346F3" w:rsidRPr="00536CFD" w:rsidRDefault="004346F3" w:rsidP="00802ABC">
            <w:pPr>
              <w:spacing w:after="0"/>
              <w:jc w:val="center"/>
              <w:rPr>
                <w:lang w:val="zh-CN"/>
              </w:rPr>
            </w:pPr>
            <w:r w:rsidRPr="00536CFD">
              <w:rPr>
                <w:lang w:eastAsia="x-none"/>
              </w:rPr>
              <w:t>0.17</w:t>
            </w:r>
          </w:p>
        </w:tc>
        <w:tc>
          <w:tcPr>
            <w:tcW w:w="2885" w:type="dxa"/>
            <w:gridSpan w:val="7"/>
            <w:tcBorders>
              <w:top w:val="single" w:sz="4" w:space="0" w:color="auto"/>
              <w:left w:val="nil"/>
              <w:bottom w:val="single" w:sz="4" w:space="0" w:color="auto"/>
              <w:right w:val="single" w:sz="4" w:space="0" w:color="auto"/>
            </w:tcBorders>
            <w:shd w:val="clear" w:color="auto" w:fill="auto"/>
            <w:vAlign w:val="center"/>
          </w:tcPr>
          <w:p w14:paraId="65557EBF" w14:textId="77777777" w:rsidR="004346F3" w:rsidRPr="00536CFD" w:rsidRDefault="004346F3" w:rsidP="00802ABC">
            <w:pPr>
              <w:spacing w:after="0"/>
              <w:jc w:val="center"/>
              <w:rPr>
                <w:lang w:val="zh-CN"/>
              </w:rPr>
            </w:pPr>
            <w:r w:rsidRPr="00536CFD">
              <w:rPr>
                <w:lang w:eastAsia="x-none"/>
              </w:rPr>
              <w:t>0.19</w:t>
            </w:r>
          </w:p>
        </w:tc>
      </w:tr>
      <w:tr w:rsidR="004346F3" w:rsidRPr="00C64ECB" w14:paraId="1B7AC0B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4A95E8E"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009D584A" w14:textId="77777777" w:rsidR="004346F3" w:rsidRPr="00536CFD" w:rsidRDefault="004346F3" w:rsidP="00802ABC">
            <w:pPr>
              <w:spacing w:after="0"/>
              <w:contextualSpacing/>
              <w:rPr>
                <w:lang w:val="en-US" w:bidi="ar"/>
              </w:rPr>
            </w:pPr>
          </w:p>
        </w:tc>
        <w:tc>
          <w:tcPr>
            <w:tcW w:w="8266" w:type="dxa"/>
            <w:gridSpan w:val="19"/>
            <w:tcBorders>
              <w:top w:val="single" w:sz="4" w:space="0" w:color="auto"/>
              <w:left w:val="nil"/>
              <w:bottom w:val="single" w:sz="4" w:space="0" w:color="auto"/>
              <w:right w:val="single" w:sz="4" w:space="0" w:color="auto"/>
            </w:tcBorders>
            <w:shd w:val="clear" w:color="auto" w:fill="auto"/>
          </w:tcPr>
          <w:p w14:paraId="2F50B52C" w14:textId="77777777" w:rsidR="004346F3" w:rsidRPr="00536CFD" w:rsidRDefault="004346F3" w:rsidP="00802ABC">
            <w:pPr>
              <w:spacing w:after="0"/>
              <w:contextualSpacing/>
            </w:pPr>
            <w:r w:rsidRPr="00536CFD">
              <w:t xml:space="preserve">Additional comments: </w:t>
            </w:r>
          </w:p>
          <w:p w14:paraId="46432BDB" w14:textId="77777777" w:rsidR="004346F3" w:rsidRPr="00536CFD" w:rsidRDefault="004346F3" w:rsidP="00802ABC">
            <w:pPr>
              <w:spacing w:after="0" w:line="360" w:lineRule="auto"/>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19F651DB" w14:textId="77777777" w:rsidR="004346F3" w:rsidRPr="00536CFD" w:rsidRDefault="004346F3" w:rsidP="00802ABC">
            <w:pPr>
              <w:spacing w:after="0" w:line="360" w:lineRule="auto"/>
              <w:contextualSpacing/>
              <w:rPr>
                <w:lang w:val="en-US" w:bidi="ar"/>
              </w:rPr>
            </w:pPr>
            <w:r w:rsidRPr="00536CFD">
              <w:rPr>
                <w:b/>
                <w:lang w:val="en-US" w:bidi="ar"/>
              </w:rPr>
              <w:t>NRU assumption:</w:t>
            </w:r>
            <w:r w:rsidRPr="00536CFD">
              <w:rPr>
                <w:lang w:val="en-US" w:bidi="ar"/>
              </w:rPr>
              <w:t xml:space="preserve"> 8ms MCOT;  ED=-72dBm; 256 QAM LDPC; 60 kHz SCS NCP; UE processing time capability #1; NR type B for PDSCH, type A for PUSCH</w:t>
            </w:r>
          </w:p>
          <w:p w14:paraId="19AEFFE6" w14:textId="77777777" w:rsidR="004346F3" w:rsidRPr="00536CFD" w:rsidRDefault="004346F3" w:rsidP="00802ABC">
            <w:pPr>
              <w:spacing w:after="0" w:line="360" w:lineRule="auto"/>
              <w:contextualSpacing/>
              <w:rPr>
                <w:lang w:val="en-US" w:bidi="ar"/>
              </w:rPr>
            </w:pPr>
            <w:r w:rsidRPr="00536CFD">
              <w:rPr>
                <w:b/>
                <w:lang w:val="en-US" w:bidi="ar"/>
              </w:rPr>
              <w:t>802.11ac assumption:</w:t>
            </w:r>
            <w:r w:rsidRPr="00536CFD">
              <w:rPr>
                <w:lang w:val="en-US" w:bidi="ar"/>
              </w:rPr>
              <w:t xml:space="preserve"> 4ms TXOP; RTS/CTS disabled for WiFi, NAV set based on L-SIG; PD=-82dBm/ED=-62dBm EDCA; 256 QAM BCC; A-MPDU, 1500B MSDU + 14 B header; Immediate ACK,312.5kHz SCS GI= 0.8us</w:t>
            </w:r>
          </w:p>
          <w:p w14:paraId="699BDD04" w14:textId="77777777" w:rsidR="004346F3" w:rsidRPr="00536CFD" w:rsidRDefault="004346F3" w:rsidP="00802ABC">
            <w:pPr>
              <w:spacing w:after="0"/>
              <w:contextualSpacing/>
              <w:rPr>
                <w:lang w:val="en-US" w:bidi="ar"/>
              </w:rPr>
            </w:pPr>
          </w:p>
        </w:tc>
      </w:tr>
      <w:tr w:rsidR="004346F3" w:rsidRPr="00C64ECB" w14:paraId="7510F863" w14:textId="77777777" w:rsidTr="00802ABC">
        <w:trPr>
          <w:cantSplit/>
          <w:trHeight w:val="20"/>
        </w:trPr>
        <w:tc>
          <w:tcPr>
            <w:tcW w:w="269" w:type="dxa"/>
            <w:vMerge w:val="restart"/>
            <w:tcBorders>
              <w:top w:val="nil"/>
              <w:left w:val="single" w:sz="4" w:space="0" w:color="auto"/>
              <w:bottom w:val="single" w:sz="4" w:space="0" w:color="auto"/>
              <w:right w:val="single" w:sz="4" w:space="0" w:color="auto"/>
            </w:tcBorders>
            <w:shd w:val="clear" w:color="auto" w:fill="auto"/>
            <w:textDirection w:val="btLr"/>
          </w:tcPr>
          <w:p w14:paraId="4F3FF349"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541" w:type="dxa"/>
            <w:vMerge w:val="restart"/>
            <w:tcBorders>
              <w:top w:val="nil"/>
              <w:left w:val="nil"/>
              <w:bottom w:val="single" w:sz="4" w:space="0" w:color="auto"/>
              <w:right w:val="single" w:sz="4" w:space="0" w:color="auto"/>
            </w:tcBorders>
            <w:shd w:val="clear" w:color="auto" w:fill="auto"/>
          </w:tcPr>
          <w:p w14:paraId="63652A4F"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3B14FD07"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2F3BD7B3" w14:textId="77777777" w:rsidR="004346F3" w:rsidRPr="00536CFD" w:rsidRDefault="004346F3" w:rsidP="00802ABC">
            <w:pPr>
              <w:pageBreakBefore/>
              <w:spacing w:after="0"/>
              <w:jc w:val="center"/>
              <w:rPr>
                <w:lang w:val="zh-CN"/>
              </w:rPr>
            </w:pPr>
            <w:r w:rsidRPr="00536CFD">
              <w:rPr>
                <w:lang w:val="zh-CN"/>
              </w:rPr>
              <w:t>22.15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5CEC5EC" w14:textId="77777777" w:rsidR="004346F3" w:rsidRPr="00536CFD" w:rsidRDefault="004346F3" w:rsidP="00802ABC">
            <w:pPr>
              <w:pageBreakBefore/>
              <w:spacing w:after="0"/>
              <w:jc w:val="center"/>
              <w:rPr>
                <w:lang w:val="zh-CN"/>
              </w:rPr>
            </w:pPr>
            <w:r w:rsidRPr="00536CFD">
              <w:rPr>
                <w:lang w:val="zh-CN"/>
              </w:rPr>
              <w:t>26.85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88BA4B0" w14:textId="77777777" w:rsidR="004346F3" w:rsidRPr="00536CFD" w:rsidRDefault="004346F3" w:rsidP="00802ABC">
            <w:pPr>
              <w:pageBreakBefore/>
              <w:spacing w:after="0"/>
              <w:jc w:val="center"/>
              <w:rPr>
                <w:lang w:val="zh-CN"/>
              </w:rPr>
            </w:pPr>
            <w:r w:rsidRPr="00536CFD">
              <w:rPr>
                <w:lang w:val="zh-CN"/>
              </w:rPr>
              <w:t>65.59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0399F05" w14:textId="77777777" w:rsidR="004346F3" w:rsidRPr="00536CFD" w:rsidRDefault="004346F3" w:rsidP="00802ABC">
            <w:pPr>
              <w:pageBreakBefore/>
              <w:spacing w:after="0"/>
              <w:jc w:val="center"/>
              <w:rPr>
                <w:lang w:val="zh-CN"/>
              </w:rPr>
            </w:pPr>
            <w:r w:rsidRPr="00536CFD">
              <w:rPr>
                <w:lang w:val="zh-CN"/>
              </w:rPr>
              <w:t>80.74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D966DA9" w14:textId="77777777" w:rsidR="004346F3" w:rsidRPr="00536CFD" w:rsidRDefault="004346F3" w:rsidP="00802ABC">
            <w:pPr>
              <w:pageBreakBefore/>
              <w:spacing w:after="0"/>
              <w:jc w:val="center"/>
              <w:rPr>
                <w:lang w:val="zh-CN"/>
              </w:rPr>
            </w:pPr>
            <w:r w:rsidRPr="00536CFD">
              <w:rPr>
                <w:lang w:val="zh-CN"/>
              </w:rPr>
              <w:t>10.8</w:t>
            </w:r>
          </w:p>
        </w:tc>
        <w:tc>
          <w:tcPr>
            <w:tcW w:w="714" w:type="dxa"/>
            <w:tcBorders>
              <w:top w:val="single" w:sz="4" w:space="0" w:color="auto"/>
              <w:left w:val="nil"/>
              <w:bottom w:val="single" w:sz="4" w:space="0" w:color="auto"/>
              <w:right w:val="single" w:sz="4" w:space="0" w:color="auto"/>
            </w:tcBorders>
            <w:shd w:val="clear" w:color="auto" w:fill="auto"/>
            <w:vAlign w:val="bottom"/>
          </w:tcPr>
          <w:p w14:paraId="3EF9ED7F" w14:textId="77777777" w:rsidR="004346F3" w:rsidRPr="00536CFD" w:rsidRDefault="004346F3" w:rsidP="00802ABC">
            <w:pPr>
              <w:pageBreakBefore/>
              <w:spacing w:after="0"/>
              <w:jc w:val="center"/>
              <w:rPr>
                <w:lang w:val="zh-CN"/>
              </w:rPr>
            </w:pPr>
            <w:r w:rsidRPr="00536CFD">
              <w:rPr>
                <w:lang w:val="zh-CN"/>
              </w:rPr>
              <w:t>13.69</w:t>
            </w:r>
          </w:p>
        </w:tc>
        <w:tc>
          <w:tcPr>
            <w:tcW w:w="719" w:type="dxa"/>
            <w:tcBorders>
              <w:top w:val="single" w:sz="4" w:space="0" w:color="auto"/>
              <w:left w:val="nil"/>
              <w:bottom w:val="single" w:sz="4" w:space="0" w:color="auto"/>
              <w:right w:val="single" w:sz="4" w:space="0" w:color="auto"/>
            </w:tcBorders>
            <w:shd w:val="clear" w:color="auto" w:fill="auto"/>
            <w:vAlign w:val="bottom"/>
          </w:tcPr>
          <w:p w14:paraId="1518F9C8" w14:textId="77777777" w:rsidR="004346F3" w:rsidRPr="00536CFD" w:rsidRDefault="004346F3" w:rsidP="00802ABC">
            <w:pPr>
              <w:pageBreakBefore/>
              <w:spacing w:after="0"/>
              <w:jc w:val="center"/>
              <w:rPr>
                <w:lang w:val="zh-CN"/>
              </w:rPr>
            </w:pPr>
            <w:r w:rsidRPr="00536CFD">
              <w:rPr>
                <w:lang w:val="zh-CN"/>
              </w:rPr>
              <w:t>39.89</w:t>
            </w:r>
          </w:p>
        </w:tc>
        <w:tc>
          <w:tcPr>
            <w:tcW w:w="719" w:type="dxa"/>
            <w:tcBorders>
              <w:top w:val="single" w:sz="4" w:space="0" w:color="auto"/>
              <w:left w:val="nil"/>
              <w:bottom w:val="single" w:sz="4" w:space="0" w:color="auto"/>
              <w:right w:val="single" w:sz="4" w:space="0" w:color="auto"/>
            </w:tcBorders>
            <w:shd w:val="clear" w:color="auto" w:fill="auto"/>
            <w:vAlign w:val="bottom"/>
          </w:tcPr>
          <w:p w14:paraId="7A331C8F" w14:textId="77777777" w:rsidR="004346F3" w:rsidRPr="00536CFD" w:rsidRDefault="004346F3" w:rsidP="00802ABC">
            <w:pPr>
              <w:pageBreakBefore/>
              <w:spacing w:after="0"/>
              <w:jc w:val="center"/>
              <w:rPr>
                <w:lang w:val="zh-CN"/>
              </w:rPr>
            </w:pPr>
            <w:r w:rsidRPr="00536CFD">
              <w:rPr>
                <w:lang w:val="zh-CN"/>
              </w:rPr>
              <w:t>73.09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5DB8EEA" w14:textId="77777777" w:rsidR="004346F3" w:rsidRPr="00536CFD" w:rsidRDefault="004346F3" w:rsidP="00802ABC">
            <w:pPr>
              <w:pageBreakBefore/>
              <w:spacing w:after="0"/>
              <w:jc w:val="center"/>
              <w:rPr>
                <w:lang w:val="zh-CN"/>
              </w:rPr>
            </w:pPr>
            <w:r w:rsidRPr="00536CFD">
              <w:rPr>
                <w:lang w:val="zh-CN"/>
              </w:rPr>
              <w:t>1.48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3066F51" w14:textId="77777777" w:rsidR="004346F3" w:rsidRPr="00536CFD" w:rsidRDefault="004346F3" w:rsidP="00802ABC">
            <w:pPr>
              <w:pageBreakBefore/>
              <w:spacing w:after="0"/>
              <w:jc w:val="center"/>
              <w:rPr>
                <w:lang w:val="zh-CN"/>
              </w:rPr>
            </w:pPr>
            <w:r w:rsidRPr="00536CFD">
              <w:rPr>
                <w:lang w:val="zh-CN"/>
              </w:rPr>
              <w:t>1.96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8E934C4" w14:textId="77777777" w:rsidR="004346F3" w:rsidRPr="00536CFD" w:rsidRDefault="004346F3" w:rsidP="00802ABC">
            <w:pPr>
              <w:pageBreakBefore/>
              <w:spacing w:after="0"/>
              <w:jc w:val="center"/>
              <w:rPr>
                <w:lang w:val="zh-CN"/>
              </w:rPr>
            </w:pPr>
            <w:r w:rsidRPr="00536CFD">
              <w:rPr>
                <w:lang w:val="zh-CN"/>
              </w:rPr>
              <w:t>25.17</w:t>
            </w:r>
          </w:p>
        </w:tc>
        <w:tc>
          <w:tcPr>
            <w:tcW w:w="676" w:type="dxa"/>
            <w:tcBorders>
              <w:top w:val="single" w:sz="4" w:space="0" w:color="auto"/>
              <w:left w:val="nil"/>
              <w:bottom w:val="single" w:sz="4" w:space="0" w:color="auto"/>
              <w:right w:val="single" w:sz="4" w:space="0" w:color="auto"/>
            </w:tcBorders>
            <w:shd w:val="clear" w:color="auto" w:fill="auto"/>
            <w:vAlign w:val="bottom"/>
          </w:tcPr>
          <w:p w14:paraId="359A21D7" w14:textId="77777777" w:rsidR="004346F3" w:rsidRPr="00536CFD" w:rsidRDefault="004346F3" w:rsidP="00802ABC">
            <w:pPr>
              <w:pageBreakBefore/>
              <w:spacing w:after="0"/>
              <w:jc w:val="center"/>
              <w:rPr>
                <w:lang w:val="zh-CN"/>
              </w:rPr>
            </w:pPr>
            <w:r w:rsidRPr="00536CFD">
              <w:rPr>
                <w:lang w:val="zh-CN"/>
              </w:rPr>
              <w:t>67.11</w:t>
            </w:r>
          </w:p>
        </w:tc>
      </w:tr>
      <w:tr w:rsidR="004346F3" w:rsidRPr="00C64ECB" w14:paraId="203A678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715F284"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00571DF"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BEE292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3AAE1017" w14:textId="77777777" w:rsidR="004346F3" w:rsidRPr="00536CFD" w:rsidRDefault="004346F3" w:rsidP="00802ABC">
            <w:pPr>
              <w:spacing w:after="0"/>
              <w:jc w:val="center"/>
              <w:rPr>
                <w:lang w:val="zh-CN"/>
              </w:rPr>
            </w:pPr>
            <w:r w:rsidRPr="00536CFD">
              <w:rPr>
                <w:lang w:val="zh-CN"/>
              </w:rPr>
              <w:t>58.38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2AC2868" w14:textId="77777777" w:rsidR="004346F3" w:rsidRPr="00536CFD" w:rsidRDefault="004346F3" w:rsidP="00802ABC">
            <w:pPr>
              <w:spacing w:after="0"/>
              <w:jc w:val="center"/>
              <w:rPr>
                <w:lang w:val="zh-CN"/>
              </w:rPr>
            </w:pPr>
            <w:r w:rsidRPr="00536CFD">
              <w:rPr>
                <w:lang w:val="zh-CN"/>
              </w:rPr>
              <w:t>69.04</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19706C1" w14:textId="77777777" w:rsidR="004346F3" w:rsidRPr="00536CFD" w:rsidRDefault="004346F3" w:rsidP="00802ABC">
            <w:pPr>
              <w:spacing w:after="0"/>
              <w:jc w:val="center"/>
              <w:rPr>
                <w:lang w:val="zh-CN"/>
              </w:rPr>
            </w:pPr>
            <w:r w:rsidRPr="00536CFD">
              <w:rPr>
                <w:lang w:val="zh-CN"/>
              </w:rPr>
              <w:t>119.83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9EB064E" w14:textId="77777777" w:rsidR="004346F3" w:rsidRPr="00536CFD" w:rsidRDefault="004346F3" w:rsidP="00802ABC">
            <w:pPr>
              <w:spacing w:after="0"/>
              <w:jc w:val="center"/>
              <w:rPr>
                <w:lang w:val="zh-CN"/>
              </w:rPr>
            </w:pPr>
            <w:r w:rsidRPr="00536CFD">
              <w:rPr>
                <w:lang w:val="zh-CN"/>
              </w:rPr>
              <w:t>139.14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85DE9A1" w14:textId="77777777" w:rsidR="004346F3" w:rsidRPr="00536CFD" w:rsidRDefault="004346F3" w:rsidP="00802ABC">
            <w:pPr>
              <w:spacing w:after="0"/>
              <w:jc w:val="center"/>
              <w:rPr>
                <w:lang w:val="zh-CN"/>
              </w:rPr>
            </w:pPr>
            <w:r w:rsidRPr="00536CFD">
              <w:rPr>
                <w:lang w:val="zh-CN"/>
              </w:rPr>
              <w:t>42.64</w:t>
            </w:r>
          </w:p>
        </w:tc>
        <w:tc>
          <w:tcPr>
            <w:tcW w:w="714" w:type="dxa"/>
            <w:tcBorders>
              <w:top w:val="single" w:sz="4" w:space="0" w:color="auto"/>
              <w:left w:val="nil"/>
              <w:bottom w:val="single" w:sz="4" w:space="0" w:color="auto"/>
              <w:right w:val="single" w:sz="4" w:space="0" w:color="auto"/>
            </w:tcBorders>
            <w:shd w:val="clear" w:color="auto" w:fill="auto"/>
            <w:vAlign w:val="bottom"/>
          </w:tcPr>
          <w:p w14:paraId="55D892BD" w14:textId="77777777" w:rsidR="004346F3" w:rsidRPr="00536CFD" w:rsidRDefault="004346F3" w:rsidP="00802ABC">
            <w:pPr>
              <w:spacing w:after="0"/>
              <w:jc w:val="center"/>
              <w:rPr>
                <w:lang w:val="zh-CN"/>
              </w:rPr>
            </w:pPr>
            <w:r w:rsidRPr="00536CFD">
              <w:rPr>
                <w:lang w:val="zh-CN"/>
              </w:rPr>
              <w:t>53.74</w:t>
            </w:r>
          </w:p>
        </w:tc>
        <w:tc>
          <w:tcPr>
            <w:tcW w:w="719" w:type="dxa"/>
            <w:tcBorders>
              <w:top w:val="single" w:sz="4" w:space="0" w:color="auto"/>
              <w:left w:val="nil"/>
              <w:bottom w:val="single" w:sz="4" w:space="0" w:color="auto"/>
              <w:right w:val="single" w:sz="4" w:space="0" w:color="auto"/>
            </w:tcBorders>
            <w:shd w:val="clear" w:color="auto" w:fill="auto"/>
            <w:vAlign w:val="bottom"/>
          </w:tcPr>
          <w:p w14:paraId="708240E9" w14:textId="77777777" w:rsidR="004346F3" w:rsidRPr="00536CFD" w:rsidRDefault="004346F3" w:rsidP="00802ABC">
            <w:pPr>
              <w:spacing w:after="0"/>
              <w:jc w:val="center"/>
              <w:rPr>
                <w:lang w:val="zh-CN"/>
              </w:rPr>
            </w:pPr>
            <w:r w:rsidRPr="00536CFD">
              <w:rPr>
                <w:lang w:val="zh-CN"/>
              </w:rPr>
              <w:t>97.39</w:t>
            </w:r>
          </w:p>
        </w:tc>
        <w:tc>
          <w:tcPr>
            <w:tcW w:w="719" w:type="dxa"/>
            <w:tcBorders>
              <w:top w:val="single" w:sz="4" w:space="0" w:color="auto"/>
              <w:left w:val="nil"/>
              <w:bottom w:val="single" w:sz="4" w:space="0" w:color="auto"/>
              <w:right w:val="single" w:sz="4" w:space="0" w:color="auto"/>
            </w:tcBorders>
            <w:shd w:val="clear" w:color="auto" w:fill="auto"/>
            <w:vAlign w:val="bottom"/>
          </w:tcPr>
          <w:p w14:paraId="50012C32" w14:textId="77777777" w:rsidR="004346F3" w:rsidRPr="00536CFD" w:rsidRDefault="004346F3" w:rsidP="00802ABC">
            <w:pPr>
              <w:spacing w:after="0"/>
              <w:jc w:val="center"/>
              <w:rPr>
                <w:lang w:val="zh-CN"/>
              </w:rPr>
            </w:pPr>
            <w:r w:rsidRPr="00536CFD">
              <w:rPr>
                <w:lang w:val="zh-CN"/>
              </w:rPr>
              <w:t>132.23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8095640" w14:textId="77777777" w:rsidR="004346F3" w:rsidRPr="00536CFD" w:rsidRDefault="004346F3" w:rsidP="00802ABC">
            <w:pPr>
              <w:spacing w:after="0"/>
              <w:jc w:val="center"/>
              <w:rPr>
                <w:lang w:val="zh-CN"/>
              </w:rPr>
            </w:pPr>
            <w:r w:rsidRPr="00536CFD">
              <w:rPr>
                <w:lang w:val="zh-CN"/>
              </w:rPr>
              <w:t>28.99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93EB827" w14:textId="77777777" w:rsidR="004346F3" w:rsidRPr="00536CFD" w:rsidRDefault="004346F3" w:rsidP="00802ABC">
            <w:pPr>
              <w:spacing w:after="0"/>
              <w:jc w:val="center"/>
              <w:rPr>
                <w:lang w:val="zh-CN"/>
              </w:rPr>
            </w:pPr>
            <w:r w:rsidRPr="00536CFD">
              <w:rPr>
                <w:lang w:val="zh-CN"/>
              </w:rPr>
              <w:t>34.27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62BA760" w14:textId="77777777" w:rsidR="004346F3" w:rsidRPr="00536CFD" w:rsidRDefault="004346F3" w:rsidP="00802ABC">
            <w:pPr>
              <w:spacing w:after="0"/>
              <w:jc w:val="center"/>
              <w:rPr>
                <w:lang w:val="zh-CN"/>
              </w:rPr>
            </w:pPr>
            <w:r w:rsidRPr="00536CFD">
              <w:rPr>
                <w:lang w:val="zh-CN"/>
              </w:rPr>
              <w:t>69.27</w:t>
            </w:r>
          </w:p>
        </w:tc>
        <w:tc>
          <w:tcPr>
            <w:tcW w:w="676" w:type="dxa"/>
            <w:tcBorders>
              <w:top w:val="single" w:sz="4" w:space="0" w:color="auto"/>
              <w:left w:val="nil"/>
              <w:bottom w:val="single" w:sz="4" w:space="0" w:color="auto"/>
              <w:right w:val="single" w:sz="4" w:space="0" w:color="auto"/>
            </w:tcBorders>
            <w:shd w:val="clear" w:color="auto" w:fill="auto"/>
            <w:vAlign w:val="bottom"/>
          </w:tcPr>
          <w:p w14:paraId="03C10DC8" w14:textId="77777777" w:rsidR="004346F3" w:rsidRPr="00536CFD" w:rsidRDefault="004346F3" w:rsidP="00802ABC">
            <w:pPr>
              <w:spacing w:after="0"/>
              <w:jc w:val="center"/>
              <w:rPr>
                <w:lang w:val="zh-CN"/>
              </w:rPr>
            </w:pPr>
            <w:r w:rsidRPr="00536CFD">
              <w:rPr>
                <w:lang w:val="zh-CN"/>
              </w:rPr>
              <w:t>123.92</w:t>
            </w:r>
          </w:p>
        </w:tc>
      </w:tr>
      <w:tr w:rsidR="004346F3" w:rsidRPr="00C64ECB" w14:paraId="783E8B11"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BA296E2"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27834B12"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2E3CBD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280F5923" w14:textId="77777777" w:rsidR="004346F3" w:rsidRPr="00536CFD" w:rsidRDefault="004346F3" w:rsidP="00802ABC">
            <w:pPr>
              <w:spacing w:after="0"/>
              <w:jc w:val="center"/>
              <w:rPr>
                <w:lang w:val="zh-CN"/>
              </w:rPr>
            </w:pPr>
            <w:r w:rsidRPr="00536CFD">
              <w:rPr>
                <w:lang w:val="zh-CN"/>
              </w:rPr>
              <w:t>92.06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FDB5460" w14:textId="77777777" w:rsidR="004346F3" w:rsidRPr="00536CFD" w:rsidRDefault="004346F3" w:rsidP="00802ABC">
            <w:pPr>
              <w:spacing w:after="0"/>
              <w:jc w:val="center"/>
              <w:rPr>
                <w:lang w:val="zh-CN"/>
              </w:rPr>
            </w:pPr>
            <w:r w:rsidRPr="00536CFD">
              <w:rPr>
                <w:lang w:val="zh-CN"/>
              </w:rPr>
              <w:t>100.73</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C40DDB6" w14:textId="77777777" w:rsidR="004346F3" w:rsidRPr="00536CFD" w:rsidRDefault="004346F3" w:rsidP="00802ABC">
            <w:pPr>
              <w:spacing w:after="0"/>
              <w:jc w:val="center"/>
              <w:rPr>
                <w:lang w:val="zh-CN"/>
              </w:rPr>
            </w:pPr>
            <w:r w:rsidRPr="00536CFD">
              <w:rPr>
                <w:lang w:val="zh-CN"/>
              </w:rPr>
              <w:t>146.38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F866C40" w14:textId="77777777" w:rsidR="004346F3" w:rsidRPr="00536CFD" w:rsidRDefault="004346F3" w:rsidP="00802ABC">
            <w:pPr>
              <w:spacing w:after="0"/>
              <w:jc w:val="center"/>
              <w:rPr>
                <w:lang w:val="zh-CN"/>
              </w:rPr>
            </w:pPr>
            <w:r w:rsidRPr="00536CFD">
              <w:rPr>
                <w:lang w:val="zh-CN"/>
              </w:rPr>
              <w:t>159.23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2F3CAFD" w14:textId="77777777" w:rsidR="004346F3" w:rsidRPr="00536CFD" w:rsidRDefault="004346F3" w:rsidP="00802ABC">
            <w:pPr>
              <w:spacing w:after="0"/>
              <w:jc w:val="center"/>
              <w:rPr>
                <w:lang w:val="zh-CN"/>
              </w:rPr>
            </w:pPr>
            <w:r w:rsidRPr="00536CFD">
              <w:rPr>
                <w:lang w:val="zh-CN"/>
              </w:rPr>
              <w:t>71.86</w:t>
            </w:r>
          </w:p>
        </w:tc>
        <w:tc>
          <w:tcPr>
            <w:tcW w:w="714" w:type="dxa"/>
            <w:tcBorders>
              <w:top w:val="single" w:sz="4" w:space="0" w:color="auto"/>
              <w:left w:val="nil"/>
              <w:bottom w:val="single" w:sz="4" w:space="0" w:color="auto"/>
              <w:right w:val="single" w:sz="4" w:space="0" w:color="auto"/>
            </w:tcBorders>
            <w:shd w:val="clear" w:color="auto" w:fill="auto"/>
            <w:vAlign w:val="bottom"/>
          </w:tcPr>
          <w:p w14:paraId="2DBF0994" w14:textId="77777777" w:rsidR="004346F3" w:rsidRPr="00536CFD" w:rsidRDefault="004346F3" w:rsidP="00802ABC">
            <w:pPr>
              <w:spacing w:after="0"/>
              <w:jc w:val="center"/>
              <w:rPr>
                <w:lang w:val="zh-CN"/>
              </w:rPr>
            </w:pPr>
            <w:r w:rsidRPr="00536CFD">
              <w:rPr>
                <w:lang w:val="zh-CN"/>
              </w:rPr>
              <w:t>86.45</w:t>
            </w:r>
          </w:p>
        </w:tc>
        <w:tc>
          <w:tcPr>
            <w:tcW w:w="719" w:type="dxa"/>
            <w:tcBorders>
              <w:top w:val="single" w:sz="4" w:space="0" w:color="auto"/>
              <w:left w:val="nil"/>
              <w:bottom w:val="single" w:sz="4" w:space="0" w:color="auto"/>
              <w:right w:val="single" w:sz="4" w:space="0" w:color="auto"/>
            </w:tcBorders>
            <w:shd w:val="clear" w:color="auto" w:fill="auto"/>
            <w:vAlign w:val="bottom"/>
          </w:tcPr>
          <w:p w14:paraId="14DF390D" w14:textId="77777777" w:rsidR="004346F3" w:rsidRPr="00536CFD" w:rsidRDefault="004346F3" w:rsidP="00802ABC">
            <w:pPr>
              <w:spacing w:after="0"/>
              <w:jc w:val="center"/>
              <w:rPr>
                <w:lang w:val="zh-CN"/>
              </w:rPr>
            </w:pPr>
            <w:r w:rsidRPr="00536CFD">
              <w:rPr>
                <w:lang w:val="zh-CN"/>
              </w:rPr>
              <w:t>135.37</w:t>
            </w:r>
          </w:p>
        </w:tc>
        <w:tc>
          <w:tcPr>
            <w:tcW w:w="719" w:type="dxa"/>
            <w:tcBorders>
              <w:top w:val="single" w:sz="4" w:space="0" w:color="auto"/>
              <w:left w:val="nil"/>
              <w:bottom w:val="single" w:sz="4" w:space="0" w:color="auto"/>
              <w:right w:val="single" w:sz="4" w:space="0" w:color="auto"/>
            </w:tcBorders>
            <w:shd w:val="clear" w:color="auto" w:fill="auto"/>
            <w:vAlign w:val="bottom"/>
          </w:tcPr>
          <w:p w14:paraId="529C69BC" w14:textId="77777777" w:rsidR="004346F3" w:rsidRPr="00536CFD" w:rsidRDefault="004346F3" w:rsidP="00802ABC">
            <w:pPr>
              <w:spacing w:after="0"/>
              <w:jc w:val="center"/>
              <w:rPr>
                <w:lang w:val="zh-CN"/>
              </w:rPr>
            </w:pPr>
            <w:r w:rsidRPr="00536CFD">
              <w:rPr>
                <w:lang w:val="zh-CN"/>
              </w:rPr>
              <w:t>155.23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5912C1C" w14:textId="77777777" w:rsidR="004346F3" w:rsidRPr="00536CFD" w:rsidRDefault="004346F3" w:rsidP="00802ABC">
            <w:pPr>
              <w:spacing w:after="0"/>
              <w:jc w:val="center"/>
              <w:rPr>
                <w:lang w:val="zh-CN"/>
              </w:rPr>
            </w:pPr>
            <w:r w:rsidRPr="00536CFD">
              <w:rPr>
                <w:lang w:val="zh-CN"/>
              </w:rPr>
              <w:t>55.1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D560DB5" w14:textId="77777777" w:rsidR="004346F3" w:rsidRPr="00536CFD" w:rsidRDefault="004346F3" w:rsidP="00802ABC">
            <w:pPr>
              <w:spacing w:after="0"/>
              <w:jc w:val="center"/>
              <w:rPr>
                <w:lang w:val="zh-CN"/>
              </w:rPr>
            </w:pPr>
            <w:r w:rsidRPr="00536CFD">
              <w:rPr>
                <w:lang w:val="zh-CN"/>
              </w:rPr>
              <w:t>66.48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958A2EF" w14:textId="77777777" w:rsidR="004346F3" w:rsidRPr="00536CFD" w:rsidRDefault="004346F3" w:rsidP="00802ABC">
            <w:pPr>
              <w:spacing w:after="0"/>
              <w:jc w:val="center"/>
              <w:rPr>
                <w:lang w:val="zh-CN"/>
              </w:rPr>
            </w:pPr>
            <w:r w:rsidRPr="00536CFD">
              <w:rPr>
                <w:lang w:val="zh-CN"/>
              </w:rPr>
              <w:t>113.51</w:t>
            </w:r>
          </w:p>
        </w:tc>
        <w:tc>
          <w:tcPr>
            <w:tcW w:w="676" w:type="dxa"/>
            <w:tcBorders>
              <w:top w:val="single" w:sz="4" w:space="0" w:color="auto"/>
              <w:left w:val="nil"/>
              <w:bottom w:val="single" w:sz="4" w:space="0" w:color="auto"/>
              <w:right w:val="single" w:sz="4" w:space="0" w:color="auto"/>
            </w:tcBorders>
            <w:shd w:val="clear" w:color="auto" w:fill="auto"/>
            <w:vAlign w:val="bottom"/>
          </w:tcPr>
          <w:p w14:paraId="486F7DEB" w14:textId="77777777" w:rsidR="004346F3" w:rsidRPr="00536CFD" w:rsidRDefault="004346F3" w:rsidP="00802ABC">
            <w:pPr>
              <w:spacing w:after="0"/>
              <w:jc w:val="center"/>
              <w:rPr>
                <w:lang w:val="zh-CN"/>
              </w:rPr>
            </w:pPr>
            <w:r w:rsidRPr="00536CFD">
              <w:rPr>
                <w:lang w:val="zh-CN"/>
              </w:rPr>
              <w:t>149.93</w:t>
            </w:r>
          </w:p>
        </w:tc>
      </w:tr>
      <w:tr w:rsidR="004346F3" w:rsidRPr="00C64ECB" w14:paraId="1723C3A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269FE32"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74970C0"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7772C2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21E582B3" w14:textId="77777777" w:rsidR="004346F3" w:rsidRPr="00536CFD" w:rsidRDefault="004346F3" w:rsidP="00802ABC">
            <w:pPr>
              <w:spacing w:after="0"/>
              <w:jc w:val="center"/>
              <w:rPr>
                <w:lang w:val="zh-CN"/>
              </w:rPr>
            </w:pPr>
            <w:r w:rsidRPr="00536CFD">
              <w:rPr>
                <w:lang w:val="zh-CN"/>
              </w:rPr>
              <w:t>57.8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CD3DF25" w14:textId="77777777" w:rsidR="004346F3" w:rsidRPr="00536CFD" w:rsidRDefault="004346F3" w:rsidP="00802ABC">
            <w:pPr>
              <w:spacing w:after="0"/>
              <w:jc w:val="center"/>
              <w:rPr>
                <w:lang w:val="zh-CN"/>
              </w:rPr>
            </w:pPr>
            <w:r w:rsidRPr="00536CFD">
              <w:rPr>
                <w:lang w:val="zh-CN"/>
              </w:rPr>
              <w:t>67.65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72491A4" w14:textId="77777777" w:rsidR="004346F3" w:rsidRPr="00536CFD" w:rsidRDefault="004346F3" w:rsidP="00802ABC">
            <w:pPr>
              <w:spacing w:after="0"/>
              <w:jc w:val="center"/>
              <w:rPr>
                <w:lang w:val="zh-CN"/>
              </w:rPr>
            </w:pPr>
            <w:r w:rsidRPr="00536CFD">
              <w:rPr>
                <w:lang w:val="zh-CN"/>
              </w:rPr>
              <w:t>115.46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0F41C85" w14:textId="77777777" w:rsidR="004346F3" w:rsidRPr="00536CFD" w:rsidRDefault="004346F3" w:rsidP="00802ABC">
            <w:pPr>
              <w:spacing w:after="0"/>
              <w:jc w:val="center"/>
              <w:rPr>
                <w:lang w:val="zh-CN"/>
              </w:rPr>
            </w:pPr>
            <w:r w:rsidRPr="00536CFD">
              <w:rPr>
                <w:lang w:val="zh-CN"/>
              </w:rPr>
              <w:t>133.23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FF6C8EC" w14:textId="77777777" w:rsidR="004346F3" w:rsidRPr="00536CFD" w:rsidRDefault="004346F3" w:rsidP="00802ABC">
            <w:pPr>
              <w:spacing w:after="0"/>
              <w:jc w:val="center"/>
              <w:rPr>
                <w:lang w:val="zh-CN"/>
              </w:rPr>
            </w:pPr>
            <w:r w:rsidRPr="00536CFD">
              <w:rPr>
                <w:lang w:val="zh-CN"/>
              </w:rPr>
              <w:t>42.17</w:t>
            </w:r>
          </w:p>
        </w:tc>
        <w:tc>
          <w:tcPr>
            <w:tcW w:w="714" w:type="dxa"/>
            <w:tcBorders>
              <w:top w:val="single" w:sz="4" w:space="0" w:color="auto"/>
              <w:left w:val="nil"/>
              <w:bottom w:val="single" w:sz="4" w:space="0" w:color="auto"/>
              <w:right w:val="single" w:sz="4" w:space="0" w:color="auto"/>
            </w:tcBorders>
            <w:shd w:val="clear" w:color="auto" w:fill="auto"/>
            <w:vAlign w:val="bottom"/>
          </w:tcPr>
          <w:p w14:paraId="2986DED4" w14:textId="77777777" w:rsidR="004346F3" w:rsidRPr="00536CFD" w:rsidRDefault="004346F3" w:rsidP="00802ABC">
            <w:pPr>
              <w:spacing w:after="0"/>
              <w:jc w:val="center"/>
              <w:rPr>
                <w:lang w:val="zh-CN"/>
              </w:rPr>
            </w:pPr>
            <w:r w:rsidRPr="00536CFD">
              <w:rPr>
                <w:lang w:val="zh-CN"/>
              </w:rPr>
              <w:t>52.03</w:t>
            </w:r>
          </w:p>
        </w:tc>
        <w:tc>
          <w:tcPr>
            <w:tcW w:w="719" w:type="dxa"/>
            <w:tcBorders>
              <w:top w:val="single" w:sz="4" w:space="0" w:color="auto"/>
              <w:left w:val="nil"/>
              <w:bottom w:val="single" w:sz="4" w:space="0" w:color="auto"/>
              <w:right w:val="single" w:sz="4" w:space="0" w:color="auto"/>
            </w:tcBorders>
            <w:shd w:val="clear" w:color="auto" w:fill="auto"/>
            <w:vAlign w:val="bottom"/>
          </w:tcPr>
          <w:p w14:paraId="361F28DF" w14:textId="77777777" w:rsidR="004346F3" w:rsidRPr="00536CFD" w:rsidRDefault="004346F3" w:rsidP="00802ABC">
            <w:pPr>
              <w:spacing w:after="0"/>
              <w:jc w:val="center"/>
              <w:rPr>
                <w:lang w:val="zh-CN"/>
              </w:rPr>
            </w:pPr>
            <w:r w:rsidRPr="00536CFD">
              <w:rPr>
                <w:lang w:val="zh-CN"/>
              </w:rPr>
              <w:t>93.96</w:t>
            </w:r>
          </w:p>
        </w:tc>
        <w:tc>
          <w:tcPr>
            <w:tcW w:w="719" w:type="dxa"/>
            <w:tcBorders>
              <w:top w:val="single" w:sz="4" w:space="0" w:color="auto"/>
              <w:left w:val="nil"/>
              <w:bottom w:val="single" w:sz="4" w:space="0" w:color="auto"/>
              <w:right w:val="single" w:sz="4" w:space="0" w:color="auto"/>
            </w:tcBorders>
            <w:shd w:val="clear" w:color="auto" w:fill="auto"/>
            <w:vAlign w:val="bottom"/>
          </w:tcPr>
          <w:p w14:paraId="646FB788" w14:textId="77777777" w:rsidR="004346F3" w:rsidRPr="00536CFD" w:rsidRDefault="004346F3" w:rsidP="00802ABC">
            <w:pPr>
              <w:spacing w:after="0"/>
              <w:jc w:val="center"/>
              <w:rPr>
                <w:lang w:val="zh-CN"/>
              </w:rPr>
            </w:pPr>
            <w:r w:rsidRPr="00536CFD">
              <w:rPr>
                <w:lang w:val="zh-CN"/>
              </w:rPr>
              <w:t>126.75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CE0CDB3" w14:textId="77777777" w:rsidR="004346F3" w:rsidRPr="00536CFD" w:rsidRDefault="004346F3" w:rsidP="00802ABC">
            <w:pPr>
              <w:spacing w:after="0"/>
              <w:jc w:val="center"/>
              <w:rPr>
                <w:lang w:val="zh-CN"/>
              </w:rPr>
            </w:pPr>
            <w:r w:rsidRPr="00536CFD">
              <w:rPr>
                <w:lang w:val="zh-CN"/>
              </w:rPr>
              <w:t>29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7401814" w14:textId="77777777" w:rsidR="004346F3" w:rsidRPr="00536CFD" w:rsidRDefault="004346F3" w:rsidP="00802ABC">
            <w:pPr>
              <w:spacing w:after="0"/>
              <w:jc w:val="center"/>
              <w:rPr>
                <w:lang w:val="zh-CN"/>
              </w:rPr>
            </w:pPr>
            <w:r w:rsidRPr="00536CFD">
              <w:rPr>
                <w:lang w:val="zh-CN"/>
              </w:rPr>
              <w:t>35.01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0E89F1F" w14:textId="77777777" w:rsidR="004346F3" w:rsidRPr="00536CFD" w:rsidRDefault="004346F3" w:rsidP="00802ABC">
            <w:pPr>
              <w:spacing w:after="0"/>
              <w:jc w:val="center"/>
              <w:rPr>
                <w:lang w:val="zh-CN"/>
              </w:rPr>
            </w:pPr>
            <w:r w:rsidRPr="00536CFD">
              <w:rPr>
                <w:lang w:val="zh-CN"/>
              </w:rPr>
              <w:t>69.36</w:t>
            </w:r>
          </w:p>
        </w:tc>
        <w:tc>
          <w:tcPr>
            <w:tcW w:w="676" w:type="dxa"/>
            <w:tcBorders>
              <w:top w:val="single" w:sz="4" w:space="0" w:color="auto"/>
              <w:left w:val="nil"/>
              <w:bottom w:val="single" w:sz="4" w:space="0" w:color="auto"/>
              <w:right w:val="single" w:sz="4" w:space="0" w:color="auto"/>
            </w:tcBorders>
            <w:shd w:val="clear" w:color="auto" w:fill="auto"/>
            <w:vAlign w:val="bottom"/>
          </w:tcPr>
          <w:p w14:paraId="772D124B" w14:textId="77777777" w:rsidR="004346F3" w:rsidRPr="00536CFD" w:rsidRDefault="004346F3" w:rsidP="00802ABC">
            <w:pPr>
              <w:spacing w:after="0"/>
              <w:jc w:val="center"/>
              <w:rPr>
                <w:lang w:val="zh-CN"/>
              </w:rPr>
            </w:pPr>
            <w:r w:rsidRPr="00536CFD">
              <w:rPr>
                <w:lang w:val="zh-CN"/>
              </w:rPr>
              <w:t>119.08</w:t>
            </w:r>
          </w:p>
        </w:tc>
      </w:tr>
      <w:tr w:rsidR="004346F3" w:rsidRPr="00C64ECB" w14:paraId="12553A05"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214CA95"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02ACA0D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33A2B1A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0386C000" w14:textId="77777777" w:rsidR="004346F3" w:rsidRPr="00536CFD" w:rsidRDefault="004346F3" w:rsidP="00802ABC">
            <w:pPr>
              <w:spacing w:after="0"/>
              <w:jc w:val="center"/>
              <w:rPr>
                <w:lang w:val="zh-CN"/>
              </w:rPr>
            </w:pPr>
            <w:r w:rsidRPr="00536CFD">
              <w:rPr>
                <w:lang w:val="zh-CN"/>
              </w:rPr>
              <w:t>0.03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3806011" w14:textId="77777777" w:rsidR="004346F3" w:rsidRPr="00536CFD" w:rsidRDefault="004346F3" w:rsidP="00802ABC">
            <w:pPr>
              <w:spacing w:after="0"/>
              <w:jc w:val="center"/>
              <w:rPr>
                <w:lang w:val="zh-CN"/>
              </w:rPr>
            </w:pPr>
            <w:r w:rsidRPr="00536CFD">
              <w:rPr>
                <w:lang w:val="zh-CN"/>
              </w:rPr>
              <w:t>0.029</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EF2627D" w14:textId="77777777" w:rsidR="004346F3" w:rsidRPr="00536CFD" w:rsidRDefault="004346F3" w:rsidP="00802ABC">
            <w:pPr>
              <w:spacing w:after="0"/>
              <w:jc w:val="center"/>
              <w:rPr>
                <w:lang w:val="zh-CN"/>
              </w:rPr>
            </w:pPr>
            <w:r w:rsidRPr="00536CFD">
              <w:rPr>
                <w:lang w:val="zh-CN"/>
              </w:rPr>
              <w:t>0.021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3B927FB" w14:textId="77777777" w:rsidR="004346F3" w:rsidRPr="00536CFD" w:rsidRDefault="004346F3" w:rsidP="00802ABC">
            <w:pPr>
              <w:spacing w:after="0"/>
              <w:jc w:val="center"/>
              <w:rPr>
                <w:lang w:val="zh-CN"/>
              </w:rPr>
            </w:pPr>
            <w:r w:rsidRPr="00536CFD">
              <w:rPr>
                <w:lang w:val="zh-CN"/>
              </w:rPr>
              <w:t>0.021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13FA878" w14:textId="77777777" w:rsidR="004346F3" w:rsidRPr="00536CFD" w:rsidRDefault="004346F3" w:rsidP="00802ABC">
            <w:pPr>
              <w:spacing w:after="0"/>
              <w:jc w:val="center"/>
              <w:rPr>
                <w:lang w:val="zh-CN"/>
              </w:rPr>
            </w:pPr>
            <w:r w:rsidRPr="00536CFD">
              <w:rPr>
                <w:lang w:val="zh-CN"/>
              </w:rPr>
              <w:t>0.036</w:t>
            </w:r>
          </w:p>
        </w:tc>
        <w:tc>
          <w:tcPr>
            <w:tcW w:w="714" w:type="dxa"/>
            <w:tcBorders>
              <w:top w:val="single" w:sz="4" w:space="0" w:color="auto"/>
              <w:left w:val="nil"/>
              <w:bottom w:val="single" w:sz="4" w:space="0" w:color="auto"/>
              <w:right w:val="single" w:sz="4" w:space="0" w:color="auto"/>
            </w:tcBorders>
            <w:shd w:val="clear" w:color="auto" w:fill="auto"/>
            <w:vAlign w:val="bottom"/>
          </w:tcPr>
          <w:p w14:paraId="722EC6BA" w14:textId="77777777" w:rsidR="004346F3" w:rsidRPr="00536CFD" w:rsidRDefault="004346F3" w:rsidP="00802ABC">
            <w:pPr>
              <w:spacing w:after="0"/>
              <w:jc w:val="center"/>
              <w:rPr>
                <w:lang w:val="zh-CN"/>
              </w:rPr>
            </w:pPr>
            <w:r w:rsidRPr="00536CFD">
              <w:rPr>
                <w:lang w:val="zh-CN"/>
              </w:rPr>
              <w:t>0.034</w:t>
            </w:r>
          </w:p>
        </w:tc>
        <w:tc>
          <w:tcPr>
            <w:tcW w:w="719" w:type="dxa"/>
            <w:tcBorders>
              <w:top w:val="single" w:sz="4" w:space="0" w:color="auto"/>
              <w:left w:val="nil"/>
              <w:bottom w:val="single" w:sz="4" w:space="0" w:color="auto"/>
              <w:right w:val="single" w:sz="4" w:space="0" w:color="auto"/>
            </w:tcBorders>
            <w:shd w:val="clear" w:color="auto" w:fill="auto"/>
            <w:vAlign w:val="bottom"/>
          </w:tcPr>
          <w:p w14:paraId="078AC430" w14:textId="77777777" w:rsidR="004346F3" w:rsidRPr="00536CFD" w:rsidRDefault="004346F3" w:rsidP="00802ABC">
            <w:pPr>
              <w:spacing w:after="0"/>
              <w:jc w:val="center"/>
              <w:rPr>
                <w:lang w:val="zh-CN"/>
              </w:rPr>
            </w:pPr>
            <w:r w:rsidRPr="00536CFD">
              <w:rPr>
                <w:lang w:val="zh-CN"/>
              </w:rPr>
              <w:t>0.022</w:t>
            </w:r>
          </w:p>
        </w:tc>
        <w:tc>
          <w:tcPr>
            <w:tcW w:w="719" w:type="dxa"/>
            <w:tcBorders>
              <w:top w:val="single" w:sz="4" w:space="0" w:color="auto"/>
              <w:left w:val="nil"/>
              <w:bottom w:val="single" w:sz="4" w:space="0" w:color="auto"/>
              <w:right w:val="single" w:sz="4" w:space="0" w:color="auto"/>
            </w:tcBorders>
            <w:shd w:val="clear" w:color="auto" w:fill="auto"/>
            <w:vAlign w:val="bottom"/>
          </w:tcPr>
          <w:p w14:paraId="7195073A" w14:textId="77777777" w:rsidR="004346F3" w:rsidRPr="00536CFD" w:rsidRDefault="004346F3" w:rsidP="00802ABC">
            <w:pPr>
              <w:spacing w:after="0"/>
              <w:jc w:val="center"/>
              <w:rPr>
                <w:lang w:val="zh-CN"/>
              </w:rPr>
            </w:pPr>
            <w:r w:rsidRPr="00536CFD">
              <w:rPr>
                <w:lang w:val="zh-CN"/>
              </w:rPr>
              <w:t>0.021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D433932" w14:textId="77777777" w:rsidR="004346F3" w:rsidRPr="00536CFD" w:rsidRDefault="004346F3" w:rsidP="00802ABC">
            <w:pPr>
              <w:spacing w:after="0"/>
              <w:jc w:val="center"/>
              <w:rPr>
                <w:lang w:val="zh-CN"/>
              </w:rPr>
            </w:pPr>
            <w:r w:rsidRPr="00536CFD">
              <w:rPr>
                <w:lang w:val="zh-CN"/>
              </w:rPr>
              <w:t>0.043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6F6408E" w14:textId="77777777" w:rsidR="004346F3" w:rsidRPr="00536CFD" w:rsidRDefault="004346F3" w:rsidP="00802ABC">
            <w:pPr>
              <w:spacing w:after="0"/>
              <w:jc w:val="center"/>
              <w:rPr>
                <w:lang w:val="zh-CN"/>
              </w:rPr>
            </w:pPr>
            <w:r w:rsidRPr="00536CFD">
              <w:rPr>
                <w:lang w:val="zh-CN"/>
              </w:rPr>
              <w:t>0.039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0175823" w14:textId="77777777" w:rsidR="004346F3" w:rsidRPr="00536CFD" w:rsidRDefault="004346F3" w:rsidP="00802ABC">
            <w:pPr>
              <w:spacing w:after="0"/>
              <w:jc w:val="center"/>
              <w:rPr>
                <w:lang w:val="zh-CN"/>
              </w:rPr>
            </w:pPr>
            <w:r w:rsidRPr="00536CFD">
              <w:rPr>
                <w:lang w:val="zh-CN"/>
              </w:rPr>
              <w:t>0.024</w:t>
            </w:r>
          </w:p>
        </w:tc>
        <w:tc>
          <w:tcPr>
            <w:tcW w:w="676" w:type="dxa"/>
            <w:tcBorders>
              <w:top w:val="single" w:sz="4" w:space="0" w:color="auto"/>
              <w:left w:val="nil"/>
              <w:bottom w:val="single" w:sz="4" w:space="0" w:color="auto"/>
              <w:right w:val="single" w:sz="4" w:space="0" w:color="auto"/>
            </w:tcBorders>
            <w:shd w:val="clear" w:color="auto" w:fill="auto"/>
            <w:vAlign w:val="bottom"/>
          </w:tcPr>
          <w:p w14:paraId="1A9CF44F" w14:textId="77777777" w:rsidR="004346F3" w:rsidRPr="00536CFD" w:rsidRDefault="004346F3" w:rsidP="00802ABC">
            <w:pPr>
              <w:spacing w:after="0"/>
              <w:jc w:val="center"/>
              <w:rPr>
                <w:lang w:val="zh-CN"/>
              </w:rPr>
            </w:pPr>
            <w:r w:rsidRPr="00536CFD">
              <w:rPr>
                <w:lang w:val="zh-CN"/>
              </w:rPr>
              <w:t>0.021</w:t>
            </w:r>
          </w:p>
        </w:tc>
      </w:tr>
      <w:tr w:rsidR="004346F3" w:rsidRPr="00C64ECB" w14:paraId="680701B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A9F7F3D"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3E1425D"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3BBAD1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01EB69BA" w14:textId="77777777" w:rsidR="004346F3" w:rsidRPr="00536CFD" w:rsidRDefault="004346F3" w:rsidP="00802ABC">
            <w:pPr>
              <w:spacing w:after="0"/>
              <w:jc w:val="center"/>
              <w:rPr>
                <w:lang w:val="zh-CN"/>
              </w:rPr>
            </w:pPr>
            <w:r w:rsidRPr="00536CFD">
              <w:rPr>
                <w:lang w:val="zh-CN"/>
              </w:rPr>
              <w:t>0.079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F43C47C" w14:textId="77777777" w:rsidR="004346F3" w:rsidRPr="00536CFD" w:rsidRDefault="004346F3" w:rsidP="00802ABC">
            <w:pPr>
              <w:spacing w:after="0"/>
              <w:jc w:val="center"/>
              <w:rPr>
                <w:lang w:val="zh-CN"/>
              </w:rPr>
            </w:pPr>
            <w:r w:rsidRPr="00536CFD">
              <w:rPr>
                <w:lang w:val="zh-CN"/>
              </w:rPr>
              <w:t>0.062</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25D5A091" w14:textId="77777777" w:rsidR="004346F3" w:rsidRPr="00536CFD" w:rsidRDefault="004346F3" w:rsidP="00802ABC">
            <w:pPr>
              <w:spacing w:after="0"/>
              <w:jc w:val="center"/>
              <w:rPr>
                <w:lang w:val="zh-CN"/>
              </w:rPr>
            </w:pPr>
            <w:r w:rsidRPr="00536CFD">
              <w:rPr>
                <w:lang w:val="zh-CN"/>
              </w:rPr>
              <w:t>0.031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F7DAB27" w14:textId="77777777" w:rsidR="004346F3" w:rsidRPr="00536CFD" w:rsidRDefault="004346F3" w:rsidP="00802ABC">
            <w:pPr>
              <w:spacing w:after="0"/>
              <w:jc w:val="center"/>
              <w:rPr>
                <w:lang w:val="zh-CN"/>
              </w:rPr>
            </w:pPr>
            <w:r w:rsidRPr="00536CFD">
              <w:rPr>
                <w:lang w:val="zh-CN"/>
              </w:rPr>
              <w:t>0.026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31BADCA" w14:textId="77777777" w:rsidR="004346F3" w:rsidRPr="00536CFD" w:rsidRDefault="004346F3" w:rsidP="00802ABC">
            <w:pPr>
              <w:spacing w:after="0"/>
              <w:jc w:val="center"/>
              <w:rPr>
                <w:lang w:val="zh-CN"/>
              </w:rPr>
            </w:pPr>
            <w:r w:rsidRPr="00536CFD">
              <w:rPr>
                <w:lang w:val="zh-CN"/>
              </w:rPr>
              <w:t>0.126</w:t>
            </w:r>
          </w:p>
        </w:tc>
        <w:tc>
          <w:tcPr>
            <w:tcW w:w="714" w:type="dxa"/>
            <w:tcBorders>
              <w:top w:val="single" w:sz="4" w:space="0" w:color="auto"/>
              <w:left w:val="nil"/>
              <w:bottom w:val="single" w:sz="4" w:space="0" w:color="auto"/>
              <w:right w:val="single" w:sz="4" w:space="0" w:color="auto"/>
            </w:tcBorders>
            <w:shd w:val="clear" w:color="auto" w:fill="auto"/>
            <w:vAlign w:val="bottom"/>
          </w:tcPr>
          <w:p w14:paraId="37E7082F" w14:textId="77777777" w:rsidR="004346F3" w:rsidRPr="00536CFD" w:rsidRDefault="004346F3" w:rsidP="00802ABC">
            <w:pPr>
              <w:spacing w:after="0"/>
              <w:jc w:val="center"/>
              <w:rPr>
                <w:lang w:val="zh-CN"/>
              </w:rPr>
            </w:pPr>
            <w:r w:rsidRPr="00536CFD">
              <w:rPr>
                <w:lang w:val="zh-CN"/>
              </w:rPr>
              <w:t>0.09</w:t>
            </w:r>
          </w:p>
        </w:tc>
        <w:tc>
          <w:tcPr>
            <w:tcW w:w="719" w:type="dxa"/>
            <w:tcBorders>
              <w:top w:val="single" w:sz="4" w:space="0" w:color="auto"/>
              <w:left w:val="nil"/>
              <w:bottom w:val="single" w:sz="4" w:space="0" w:color="auto"/>
              <w:right w:val="single" w:sz="4" w:space="0" w:color="auto"/>
            </w:tcBorders>
            <w:shd w:val="clear" w:color="auto" w:fill="auto"/>
            <w:vAlign w:val="bottom"/>
          </w:tcPr>
          <w:p w14:paraId="3531B8D5" w14:textId="77777777" w:rsidR="004346F3" w:rsidRPr="00536CFD" w:rsidRDefault="004346F3" w:rsidP="00802ABC">
            <w:pPr>
              <w:spacing w:after="0"/>
              <w:jc w:val="center"/>
              <w:rPr>
                <w:lang w:val="zh-CN"/>
              </w:rPr>
            </w:pPr>
            <w:r w:rsidRPr="00536CFD">
              <w:rPr>
                <w:lang w:val="zh-CN"/>
              </w:rPr>
              <w:t>0.043</w:t>
            </w:r>
          </w:p>
        </w:tc>
        <w:tc>
          <w:tcPr>
            <w:tcW w:w="719" w:type="dxa"/>
            <w:tcBorders>
              <w:top w:val="single" w:sz="4" w:space="0" w:color="auto"/>
              <w:left w:val="nil"/>
              <w:bottom w:val="single" w:sz="4" w:space="0" w:color="auto"/>
              <w:right w:val="single" w:sz="4" w:space="0" w:color="auto"/>
            </w:tcBorders>
            <w:shd w:val="clear" w:color="auto" w:fill="auto"/>
            <w:vAlign w:val="bottom"/>
          </w:tcPr>
          <w:p w14:paraId="4F8CA157" w14:textId="77777777" w:rsidR="004346F3" w:rsidRPr="00536CFD" w:rsidRDefault="004346F3" w:rsidP="00802ABC">
            <w:pPr>
              <w:spacing w:after="0"/>
              <w:jc w:val="center"/>
              <w:rPr>
                <w:lang w:val="zh-CN"/>
              </w:rPr>
            </w:pPr>
            <w:r w:rsidRPr="00536CFD">
              <w:rPr>
                <w:lang w:val="zh-CN"/>
              </w:rPr>
              <w:t>0.028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11657E7" w14:textId="77777777" w:rsidR="004346F3" w:rsidRPr="00536CFD" w:rsidRDefault="004346F3" w:rsidP="00802ABC">
            <w:pPr>
              <w:spacing w:after="0"/>
              <w:jc w:val="center"/>
              <w:rPr>
                <w:lang w:val="zh-CN"/>
              </w:rPr>
            </w:pPr>
            <w:r w:rsidRPr="00536CFD">
              <w:rPr>
                <w:lang w:val="zh-CN"/>
              </w:rPr>
              <w:t>0.213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13715D5" w14:textId="77777777" w:rsidR="004346F3" w:rsidRPr="00536CFD" w:rsidRDefault="004346F3" w:rsidP="00802ABC">
            <w:pPr>
              <w:spacing w:after="0"/>
              <w:jc w:val="center"/>
              <w:rPr>
                <w:lang w:val="zh-CN"/>
              </w:rPr>
            </w:pPr>
            <w:r w:rsidRPr="00536CFD">
              <w:rPr>
                <w:lang w:val="zh-CN"/>
              </w:rPr>
              <w:t>0.155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94D48D9" w14:textId="77777777" w:rsidR="004346F3" w:rsidRPr="00536CFD" w:rsidRDefault="004346F3" w:rsidP="00802ABC">
            <w:pPr>
              <w:spacing w:after="0"/>
              <w:jc w:val="center"/>
              <w:rPr>
                <w:lang w:val="zh-CN"/>
              </w:rPr>
            </w:pPr>
            <w:r w:rsidRPr="00536CFD">
              <w:rPr>
                <w:lang w:val="zh-CN"/>
              </w:rPr>
              <w:t>0.067</w:t>
            </w:r>
          </w:p>
        </w:tc>
        <w:tc>
          <w:tcPr>
            <w:tcW w:w="676" w:type="dxa"/>
            <w:tcBorders>
              <w:top w:val="single" w:sz="4" w:space="0" w:color="auto"/>
              <w:left w:val="nil"/>
              <w:bottom w:val="single" w:sz="4" w:space="0" w:color="auto"/>
              <w:right w:val="single" w:sz="4" w:space="0" w:color="auto"/>
            </w:tcBorders>
            <w:shd w:val="clear" w:color="auto" w:fill="auto"/>
            <w:vAlign w:val="bottom"/>
          </w:tcPr>
          <w:p w14:paraId="14F076B7" w14:textId="77777777" w:rsidR="004346F3" w:rsidRPr="00536CFD" w:rsidRDefault="004346F3" w:rsidP="00802ABC">
            <w:pPr>
              <w:spacing w:after="0"/>
              <w:jc w:val="center"/>
              <w:rPr>
                <w:lang w:val="zh-CN"/>
              </w:rPr>
            </w:pPr>
            <w:r w:rsidRPr="00536CFD">
              <w:rPr>
                <w:lang w:val="zh-CN"/>
              </w:rPr>
              <w:t>0.03</w:t>
            </w:r>
          </w:p>
        </w:tc>
      </w:tr>
      <w:tr w:rsidR="004346F3" w:rsidRPr="00C64ECB" w14:paraId="1272AEF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FD92B35"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95B81C4"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68E439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5AC4271D" w14:textId="77777777" w:rsidR="004346F3" w:rsidRPr="00536CFD" w:rsidRDefault="004346F3" w:rsidP="00802ABC">
            <w:pPr>
              <w:spacing w:after="0"/>
              <w:jc w:val="center"/>
              <w:rPr>
                <w:lang w:val="zh-CN"/>
              </w:rPr>
            </w:pPr>
            <w:r w:rsidRPr="00536CFD">
              <w:rPr>
                <w:lang w:val="zh-CN"/>
              </w:rPr>
              <w:t>0.414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21D57E8" w14:textId="77777777" w:rsidR="004346F3" w:rsidRPr="00536CFD" w:rsidRDefault="004346F3" w:rsidP="00802ABC">
            <w:pPr>
              <w:spacing w:after="0"/>
              <w:jc w:val="center"/>
              <w:rPr>
                <w:lang w:val="zh-CN"/>
              </w:rPr>
            </w:pPr>
            <w:r w:rsidRPr="00536CFD">
              <w:rPr>
                <w:lang w:val="zh-CN"/>
              </w:rPr>
              <w:t>0.305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2AC226FD" w14:textId="77777777" w:rsidR="004346F3" w:rsidRPr="00536CFD" w:rsidRDefault="004346F3" w:rsidP="00802ABC">
            <w:pPr>
              <w:spacing w:after="0"/>
              <w:jc w:val="center"/>
              <w:rPr>
                <w:lang w:val="zh-CN"/>
              </w:rPr>
            </w:pPr>
            <w:r w:rsidRPr="00536CFD">
              <w:rPr>
                <w:lang w:val="zh-CN"/>
              </w:rPr>
              <w:t>0.135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55E8B3A" w14:textId="77777777" w:rsidR="004346F3" w:rsidRPr="00536CFD" w:rsidRDefault="004346F3" w:rsidP="00802ABC">
            <w:pPr>
              <w:spacing w:after="0"/>
              <w:jc w:val="center"/>
              <w:rPr>
                <w:lang w:val="zh-CN"/>
              </w:rPr>
            </w:pPr>
            <w:r w:rsidRPr="00536CFD">
              <w:rPr>
                <w:lang w:val="zh-CN"/>
              </w:rPr>
              <w:t>0.072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7102FAC" w14:textId="77777777" w:rsidR="004346F3" w:rsidRPr="00536CFD" w:rsidRDefault="004346F3" w:rsidP="00802ABC">
            <w:pPr>
              <w:spacing w:after="0"/>
              <w:jc w:val="center"/>
              <w:rPr>
                <w:lang w:val="zh-CN"/>
              </w:rPr>
            </w:pPr>
            <w:r w:rsidRPr="00536CFD">
              <w:rPr>
                <w:lang w:val="zh-CN"/>
              </w:rPr>
              <w:t>1.049</w:t>
            </w:r>
          </w:p>
        </w:tc>
        <w:tc>
          <w:tcPr>
            <w:tcW w:w="714" w:type="dxa"/>
            <w:tcBorders>
              <w:top w:val="single" w:sz="4" w:space="0" w:color="auto"/>
              <w:left w:val="nil"/>
              <w:bottom w:val="single" w:sz="4" w:space="0" w:color="auto"/>
              <w:right w:val="single" w:sz="4" w:space="0" w:color="auto"/>
            </w:tcBorders>
            <w:shd w:val="clear" w:color="auto" w:fill="auto"/>
            <w:vAlign w:val="bottom"/>
          </w:tcPr>
          <w:p w14:paraId="5301C036" w14:textId="77777777" w:rsidR="004346F3" w:rsidRPr="00536CFD" w:rsidRDefault="004346F3" w:rsidP="00802ABC">
            <w:pPr>
              <w:spacing w:after="0"/>
              <w:jc w:val="center"/>
              <w:rPr>
                <w:lang w:val="zh-CN"/>
              </w:rPr>
            </w:pPr>
            <w:r w:rsidRPr="00536CFD">
              <w:rPr>
                <w:lang w:val="zh-CN"/>
              </w:rPr>
              <w:t>0.711</w:t>
            </w:r>
          </w:p>
        </w:tc>
        <w:tc>
          <w:tcPr>
            <w:tcW w:w="719" w:type="dxa"/>
            <w:tcBorders>
              <w:top w:val="single" w:sz="4" w:space="0" w:color="auto"/>
              <w:left w:val="nil"/>
              <w:bottom w:val="single" w:sz="4" w:space="0" w:color="auto"/>
              <w:right w:val="single" w:sz="4" w:space="0" w:color="auto"/>
            </w:tcBorders>
            <w:shd w:val="clear" w:color="auto" w:fill="auto"/>
            <w:vAlign w:val="bottom"/>
          </w:tcPr>
          <w:p w14:paraId="0537B296" w14:textId="77777777" w:rsidR="004346F3" w:rsidRPr="00536CFD" w:rsidRDefault="004346F3" w:rsidP="00802ABC">
            <w:pPr>
              <w:spacing w:after="0"/>
              <w:jc w:val="center"/>
              <w:rPr>
                <w:lang w:val="zh-CN"/>
              </w:rPr>
            </w:pPr>
            <w:r w:rsidRPr="00536CFD">
              <w:rPr>
                <w:lang w:val="zh-CN"/>
              </w:rPr>
              <w:t>0.25</w:t>
            </w:r>
          </w:p>
        </w:tc>
        <w:tc>
          <w:tcPr>
            <w:tcW w:w="719" w:type="dxa"/>
            <w:tcBorders>
              <w:top w:val="single" w:sz="4" w:space="0" w:color="auto"/>
              <w:left w:val="nil"/>
              <w:bottom w:val="single" w:sz="4" w:space="0" w:color="auto"/>
              <w:right w:val="single" w:sz="4" w:space="0" w:color="auto"/>
            </w:tcBorders>
            <w:shd w:val="clear" w:color="auto" w:fill="auto"/>
            <w:vAlign w:val="bottom"/>
          </w:tcPr>
          <w:p w14:paraId="44CAC53C" w14:textId="77777777" w:rsidR="004346F3" w:rsidRPr="00536CFD" w:rsidRDefault="004346F3" w:rsidP="00802ABC">
            <w:pPr>
              <w:spacing w:after="0"/>
              <w:jc w:val="center"/>
              <w:rPr>
                <w:lang w:val="zh-CN"/>
              </w:rPr>
            </w:pPr>
            <w:r w:rsidRPr="00536CFD">
              <w:rPr>
                <w:lang w:val="zh-CN"/>
              </w:rPr>
              <w:t>0.085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1FD7719" w14:textId="77777777" w:rsidR="004346F3" w:rsidRPr="00536CFD" w:rsidRDefault="004346F3" w:rsidP="00802ABC">
            <w:pPr>
              <w:spacing w:after="0"/>
              <w:jc w:val="center"/>
              <w:rPr>
                <w:lang w:val="zh-CN"/>
              </w:rPr>
            </w:pPr>
            <w:r w:rsidRPr="00536CFD">
              <w:rPr>
                <w:lang w:val="zh-CN"/>
              </w:rPr>
              <w:t>16.009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3CECDED" w14:textId="77777777" w:rsidR="004346F3" w:rsidRPr="00536CFD" w:rsidRDefault="004346F3" w:rsidP="00802ABC">
            <w:pPr>
              <w:spacing w:after="0"/>
              <w:jc w:val="center"/>
              <w:rPr>
                <w:lang w:val="zh-CN"/>
              </w:rPr>
            </w:pPr>
            <w:r w:rsidRPr="00536CFD">
              <w:rPr>
                <w:lang w:val="zh-CN"/>
              </w:rPr>
              <w:t>3.592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FBEE0C1" w14:textId="77777777" w:rsidR="004346F3" w:rsidRPr="00536CFD" w:rsidRDefault="004346F3" w:rsidP="00802ABC">
            <w:pPr>
              <w:spacing w:after="0"/>
              <w:jc w:val="center"/>
              <w:rPr>
                <w:lang w:val="zh-CN"/>
              </w:rPr>
            </w:pPr>
            <w:r w:rsidRPr="00536CFD">
              <w:rPr>
                <w:lang w:val="zh-CN"/>
              </w:rPr>
              <w:t>0.504</w:t>
            </w:r>
          </w:p>
        </w:tc>
        <w:tc>
          <w:tcPr>
            <w:tcW w:w="676" w:type="dxa"/>
            <w:tcBorders>
              <w:top w:val="single" w:sz="4" w:space="0" w:color="auto"/>
              <w:left w:val="nil"/>
              <w:bottom w:val="single" w:sz="4" w:space="0" w:color="auto"/>
              <w:right w:val="single" w:sz="4" w:space="0" w:color="auto"/>
            </w:tcBorders>
            <w:shd w:val="clear" w:color="auto" w:fill="auto"/>
            <w:vAlign w:val="bottom"/>
          </w:tcPr>
          <w:p w14:paraId="28C115EB" w14:textId="77777777" w:rsidR="004346F3" w:rsidRPr="00536CFD" w:rsidRDefault="004346F3" w:rsidP="00802ABC">
            <w:pPr>
              <w:spacing w:after="0"/>
              <w:jc w:val="center"/>
              <w:rPr>
                <w:lang w:val="zh-CN"/>
              </w:rPr>
            </w:pPr>
            <w:r w:rsidRPr="00536CFD">
              <w:rPr>
                <w:lang w:val="zh-CN"/>
              </w:rPr>
              <w:t>0.102</w:t>
            </w:r>
          </w:p>
        </w:tc>
      </w:tr>
      <w:tr w:rsidR="004346F3" w:rsidRPr="00C64ECB" w14:paraId="7E878DD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4AFF8D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DEA8DF8"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A556DF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2A6759FE" w14:textId="77777777" w:rsidR="004346F3" w:rsidRPr="00536CFD" w:rsidRDefault="004346F3" w:rsidP="00802ABC">
            <w:pPr>
              <w:spacing w:after="0"/>
              <w:jc w:val="center"/>
              <w:rPr>
                <w:lang w:val="zh-CN"/>
              </w:rPr>
            </w:pPr>
            <w:r w:rsidRPr="00536CFD">
              <w:rPr>
                <w:lang w:val="zh-CN"/>
              </w:rPr>
              <w:t>0.148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9F43BE4" w14:textId="77777777" w:rsidR="004346F3" w:rsidRPr="00536CFD" w:rsidRDefault="004346F3" w:rsidP="00802ABC">
            <w:pPr>
              <w:spacing w:after="0"/>
              <w:jc w:val="center"/>
              <w:rPr>
                <w:lang w:val="zh-CN"/>
              </w:rPr>
            </w:pPr>
            <w:r w:rsidRPr="00536CFD">
              <w:rPr>
                <w:lang w:val="zh-CN"/>
              </w:rPr>
              <w:t>0.103</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9AA72C6" w14:textId="77777777" w:rsidR="004346F3" w:rsidRPr="00536CFD" w:rsidRDefault="004346F3" w:rsidP="00802ABC">
            <w:pPr>
              <w:spacing w:after="0"/>
              <w:jc w:val="center"/>
              <w:rPr>
                <w:lang w:val="zh-CN"/>
              </w:rPr>
            </w:pPr>
            <w:r w:rsidRPr="00536CFD">
              <w:rPr>
                <w:lang w:val="zh-CN"/>
              </w:rPr>
              <w:t>0.05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B01BA58" w14:textId="77777777" w:rsidR="004346F3" w:rsidRPr="00536CFD" w:rsidRDefault="004346F3" w:rsidP="00802ABC">
            <w:pPr>
              <w:spacing w:after="0"/>
              <w:jc w:val="center"/>
              <w:rPr>
                <w:lang w:val="zh-CN"/>
              </w:rPr>
            </w:pPr>
            <w:r w:rsidRPr="00536CFD">
              <w:rPr>
                <w:lang w:val="zh-CN"/>
              </w:rPr>
              <w:t>0.034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C56A673" w14:textId="77777777" w:rsidR="004346F3" w:rsidRPr="00536CFD" w:rsidRDefault="004346F3" w:rsidP="00802ABC">
            <w:pPr>
              <w:spacing w:after="0"/>
              <w:jc w:val="center"/>
              <w:rPr>
                <w:lang w:val="zh-CN"/>
              </w:rPr>
            </w:pPr>
            <w:r w:rsidRPr="00536CFD">
              <w:rPr>
                <w:lang w:val="zh-CN"/>
              </w:rPr>
              <w:t>0.99</w:t>
            </w:r>
          </w:p>
        </w:tc>
        <w:tc>
          <w:tcPr>
            <w:tcW w:w="714" w:type="dxa"/>
            <w:tcBorders>
              <w:top w:val="single" w:sz="4" w:space="0" w:color="auto"/>
              <w:left w:val="nil"/>
              <w:bottom w:val="single" w:sz="4" w:space="0" w:color="auto"/>
              <w:right w:val="single" w:sz="4" w:space="0" w:color="auto"/>
            </w:tcBorders>
            <w:shd w:val="clear" w:color="auto" w:fill="auto"/>
            <w:vAlign w:val="bottom"/>
          </w:tcPr>
          <w:p w14:paraId="633C5394" w14:textId="77777777" w:rsidR="004346F3" w:rsidRPr="00536CFD" w:rsidRDefault="004346F3" w:rsidP="00802ABC">
            <w:pPr>
              <w:spacing w:after="0"/>
              <w:jc w:val="center"/>
              <w:rPr>
                <w:lang w:val="zh-CN"/>
              </w:rPr>
            </w:pPr>
            <w:r w:rsidRPr="00536CFD">
              <w:rPr>
                <w:lang w:val="zh-CN"/>
              </w:rPr>
              <w:t>0.928</w:t>
            </w:r>
          </w:p>
        </w:tc>
        <w:tc>
          <w:tcPr>
            <w:tcW w:w="719" w:type="dxa"/>
            <w:tcBorders>
              <w:top w:val="single" w:sz="4" w:space="0" w:color="auto"/>
              <w:left w:val="nil"/>
              <w:bottom w:val="single" w:sz="4" w:space="0" w:color="auto"/>
              <w:right w:val="single" w:sz="4" w:space="0" w:color="auto"/>
            </w:tcBorders>
            <w:shd w:val="clear" w:color="auto" w:fill="auto"/>
            <w:vAlign w:val="bottom"/>
          </w:tcPr>
          <w:p w14:paraId="1C5F51C0" w14:textId="77777777" w:rsidR="004346F3" w:rsidRPr="00536CFD" w:rsidRDefault="004346F3" w:rsidP="00802ABC">
            <w:pPr>
              <w:spacing w:after="0"/>
              <w:jc w:val="center"/>
              <w:rPr>
                <w:lang w:val="zh-CN"/>
              </w:rPr>
            </w:pPr>
            <w:r w:rsidRPr="00536CFD">
              <w:rPr>
                <w:lang w:val="zh-CN"/>
              </w:rPr>
              <w:t>0.081</w:t>
            </w:r>
          </w:p>
        </w:tc>
        <w:tc>
          <w:tcPr>
            <w:tcW w:w="719" w:type="dxa"/>
            <w:tcBorders>
              <w:top w:val="single" w:sz="4" w:space="0" w:color="auto"/>
              <w:left w:val="nil"/>
              <w:bottom w:val="single" w:sz="4" w:space="0" w:color="auto"/>
              <w:right w:val="single" w:sz="4" w:space="0" w:color="auto"/>
            </w:tcBorders>
            <w:shd w:val="clear" w:color="auto" w:fill="auto"/>
            <w:vAlign w:val="bottom"/>
          </w:tcPr>
          <w:p w14:paraId="0FCFE554" w14:textId="77777777" w:rsidR="004346F3" w:rsidRPr="00536CFD" w:rsidRDefault="004346F3" w:rsidP="00802ABC">
            <w:pPr>
              <w:spacing w:after="0"/>
              <w:jc w:val="center"/>
              <w:rPr>
                <w:lang w:val="zh-CN"/>
              </w:rPr>
            </w:pPr>
            <w:r w:rsidRPr="00536CFD">
              <w:rPr>
                <w:lang w:val="zh-CN"/>
              </w:rPr>
              <w:t>0.038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59D924C" w14:textId="77777777" w:rsidR="004346F3" w:rsidRPr="00536CFD" w:rsidRDefault="004346F3" w:rsidP="00802ABC">
            <w:pPr>
              <w:spacing w:after="0"/>
              <w:jc w:val="center"/>
              <w:rPr>
                <w:lang w:val="zh-CN"/>
              </w:rPr>
            </w:pPr>
            <w:r w:rsidRPr="00536CFD">
              <w:rPr>
                <w:lang w:val="zh-CN"/>
              </w:rPr>
              <w:t>6.301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9022BB9" w14:textId="77777777" w:rsidR="004346F3" w:rsidRPr="00536CFD" w:rsidRDefault="004346F3" w:rsidP="00802ABC">
            <w:pPr>
              <w:spacing w:after="0"/>
              <w:jc w:val="center"/>
              <w:rPr>
                <w:lang w:val="zh-CN"/>
              </w:rPr>
            </w:pPr>
            <w:r w:rsidRPr="00536CFD">
              <w:rPr>
                <w:lang w:val="zh-CN"/>
              </w:rPr>
              <w:t>5.514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354484C" w14:textId="77777777" w:rsidR="004346F3" w:rsidRPr="00536CFD" w:rsidRDefault="004346F3" w:rsidP="00802ABC">
            <w:pPr>
              <w:spacing w:after="0"/>
              <w:jc w:val="center"/>
              <w:rPr>
                <w:lang w:val="zh-CN"/>
              </w:rPr>
            </w:pPr>
            <w:r w:rsidRPr="00536CFD">
              <w:rPr>
                <w:lang w:val="zh-CN"/>
              </w:rPr>
              <w:t>0.156</w:t>
            </w:r>
          </w:p>
        </w:tc>
        <w:tc>
          <w:tcPr>
            <w:tcW w:w="676" w:type="dxa"/>
            <w:tcBorders>
              <w:top w:val="single" w:sz="4" w:space="0" w:color="auto"/>
              <w:left w:val="nil"/>
              <w:bottom w:val="single" w:sz="4" w:space="0" w:color="auto"/>
              <w:right w:val="single" w:sz="4" w:space="0" w:color="auto"/>
            </w:tcBorders>
            <w:shd w:val="clear" w:color="auto" w:fill="auto"/>
            <w:vAlign w:val="bottom"/>
          </w:tcPr>
          <w:p w14:paraId="3366819F" w14:textId="77777777" w:rsidR="004346F3" w:rsidRPr="00536CFD" w:rsidRDefault="004346F3" w:rsidP="00802ABC">
            <w:pPr>
              <w:spacing w:after="0"/>
              <w:jc w:val="center"/>
              <w:rPr>
                <w:lang w:val="zh-CN"/>
              </w:rPr>
            </w:pPr>
            <w:r w:rsidRPr="00536CFD">
              <w:rPr>
                <w:lang w:val="zh-CN"/>
              </w:rPr>
              <w:t>0.042</w:t>
            </w:r>
          </w:p>
        </w:tc>
      </w:tr>
      <w:tr w:rsidR="004346F3" w:rsidRPr="00C64ECB" w14:paraId="489416C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158A20F"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304DDB2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35DD993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114B032F" w14:textId="77777777" w:rsidR="004346F3" w:rsidRPr="00536CFD" w:rsidRDefault="004346F3" w:rsidP="00802ABC">
            <w:pPr>
              <w:spacing w:after="0"/>
              <w:jc w:val="center"/>
              <w:rPr>
                <w:lang w:val="zh-CN"/>
              </w:rPr>
            </w:pPr>
            <w:r w:rsidRPr="00536CFD">
              <w:rPr>
                <w:lang w:val="zh-CN"/>
              </w:rPr>
              <w:t>10.66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5C5EAC2" w14:textId="77777777" w:rsidR="004346F3" w:rsidRPr="00536CFD" w:rsidRDefault="004346F3" w:rsidP="00802ABC">
            <w:pPr>
              <w:spacing w:after="0"/>
              <w:jc w:val="center"/>
              <w:rPr>
                <w:lang w:val="zh-CN"/>
              </w:rPr>
            </w:pPr>
            <w:r w:rsidRPr="00536CFD">
              <w:rPr>
                <w:lang w:val="zh-CN"/>
              </w:rPr>
              <w:t>15.32</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4CBCF4C" w14:textId="77777777" w:rsidR="004346F3" w:rsidRPr="00536CFD" w:rsidRDefault="004346F3" w:rsidP="00802ABC">
            <w:pPr>
              <w:spacing w:after="0"/>
              <w:jc w:val="center"/>
              <w:rPr>
                <w:lang w:val="zh-CN"/>
              </w:rPr>
            </w:pPr>
            <w:r w:rsidRPr="00536CFD">
              <w:rPr>
                <w:lang w:val="zh-CN"/>
              </w:rPr>
              <w:t>34.56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9DC60A3" w14:textId="77777777" w:rsidR="004346F3" w:rsidRPr="00536CFD" w:rsidRDefault="004346F3" w:rsidP="00802ABC">
            <w:pPr>
              <w:spacing w:after="0"/>
              <w:jc w:val="center"/>
              <w:rPr>
                <w:lang w:val="zh-CN"/>
              </w:rPr>
            </w:pPr>
            <w:r w:rsidRPr="00536CFD">
              <w:rPr>
                <w:lang w:val="zh-CN"/>
              </w:rPr>
              <w:t>45.84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67438BD" w14:textId="77777777" w:rsidR="004346F3" w:rsidRPr="00536CFD" w:rsidRDefault="004346F3" w:rsidP="00802ABC">
            <w:pPr>
              <w:spacing w:after="0"/>
              <w:jc w:val="center"/>
              <w:rPr>
                <w:lang w:val="zh-CN"/>
              </w:rPr>
            </w:pPr>
            <w:r w:rsidRPr="00536CFD">
              <w:rPr>
                <w:lang w:val="zh-CN"/>
              </w:rPr>
              <w:t>4.6</w:t>
            </w:r>
          </w:p>
        </w:tc>
        <w:tc>
          <w:tcPr>
            <w:tcW w:w="714" w:type="dxa"/>
            <w:tcBorders>
              <w:top w:val="single" w:sz="4" w:space="0" w:color="auto"/>
              <w:left w:val="nil"/>
              <w:bottom w:val="single" w:sz="4" w:space="0" w:color="auto"/>
              <w:right w:val="single" w:sz="4" w:space="0" w:color="auto"/>
            </w:tcBorders>
            <w:shd w:val="clear" w:color="auto" w:fill="auto"/>
            <w:vAlign w:val="bottom"/>
          </w:tcPr>
          <w:p w14:paraId="73B1773C" w14:textId="77777777" w:rsidR="004346F3" w:rsidRPr="00536CFD" w:rsidRDefault="004346F3" w:rsidP="00802ABC">
            <w:pPr>
              <w:spacing w:after="0"/>
              <w:jc w:val="center"/>
              <w:rPr>
                <w:lang w:val="zh-CN"/>
              </w:rPr>
            </w:pPr>
            <w:r w:rsidRPr="00536CFD">
              <w:rPr>
                <w:lang w:val="zh-CN"/>
              </w:rPr>
              <w:t>6.85</w:t>
            </w:r>
          </w:p>
        </w:tc>
        <w:tc>
          <w:tcPr>
            <w:tcW w:w="719" w:type="dxa"/>
            <w:tcBorders>
              <w:top w:val="single" w:sz="4" w:space="0" w:color="auto"/>
              <w:left w:val="nil"/>
              <w:bottom w:val="single" w:sz="4" w:space="0" w:color="auto"/>
              <w:right w:val="single" w:sz="4" w:space="0" w:color="auto"/>
            </w:tcBorders>
            <w:shd w:val="clear" w:color="auto" w:fill="auto"/>
            <w:vAlign w:val="bottom"/>
          </w:tcPr>
          <w:p w14:paraId="7A382B0F" w14:textId="77777777" w:rsidR="004346F3" w:rsidRPr="00536CFD" w:rsidRDefault="004346F3" w:rsidP="00802ABC">
            <w:pPr>
              <w:spacing w:after="0"/>
              <w:jc w:val="center"/>
              <w:rPr>
                <w:lang w:val="zh-CN"/>
              </w:rPr>
            </w:pPr>
            <w:r w:rsidRPr="00536CFD">
              <w:rPr>
                <w:lang w:val="zh-CN"/>
              </w:rPr>
              <w:t>18.88</w:t>
            </w:r>
          </w:p>
        </w:tc>
        <w:tc>
          <w:tcPr>
            <w:tcW w:w="719" w:type="dxa"/>
            <w:tcBorders>
              <w:top w:val="single" w:sz="4" w:space="0" w:color="auto"/>
              <w:left w:val="nil"/>
              <w:bottom w:val="single" w:sz="4" w:space="0" w:color="auto"/>
              <w:right w:val="single" w:sz="4" w:space="0" w:color="auto"/>
            </w:tcBorders>
            <w:shd w:val="clear" w:color="auto" w:fill="auto"/>
            <w:vAlign w:val="bottom"/>
          </w:tcPr>
          <w:p w14:paraId="57D8DECD" w14:textId="77777777" w:rsidR="004346F3" w:rsidRPr="00536CFD" w:rsidRDefault="004346F3" w:rsidP="00802ABC">
            <w:pPr>
              <w:spacing w:after="0"/>
              <w:jc w:val="center"/>
              <w:rPr>
                <w:lang w:val="zh-CN"/>
              </w:rPr>
            </w:pPr>
            <w:r w:rsidRPr="00536CFD">
              <w:rPr>
                <w:lang w:val="zh-CN"/>
              </w:rPr>
              <w:t>40.08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5E83E28" w14:textId="77777777" w:rsidR="004346F3" w:rsidRPr="00536CFD" w:rsidRDefault="004346F3" w:rsidP="00802ABC">
            <w:pPr>
              <w:spacing w:after="0"/>
              <w:jc w:val="center"/>
              <w:rPr>
                <w:lang w:val="zh-CN"/>
              </w:rPr>
            </w:pPr>
            <w:r w:rsidRPr="00536CFD">
              <w:rPr>
                <w:lang w:val="zh-CN"/>
              </w:rPr>
              <w:t>0.04</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9A55CA6" w14:textId="77777777" w:rsidR="004346F3" w:rsidRPr="00536CFD" w:rsidRDefault="004346F3" w:rsidP="00802ABC">
            <w:pPr>
              <w:spacing w:after="0"/>
              <w:jc w:val="center"/>
              <w:rPr>
                <w:lang w:val="zh-CN"/>
              </w:rPr>
            </w:pPr>
            <w:r w:rsidRPr="00536CFD">
              <w:rPr>
                <w:lang w:val="zh-CN"/>
              </w:rPr>
              <w:t>0.1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7E01728" w14:textId="77777777" w:rsidR="004346F3" w:rsidRPr="00536CFD" w:rsidRDefault="004346F3" w:rsidP="00802ABC">
            <w:pPr>
              <w:spacing w:after="0"/>
              <w:jc w:val="center"/>
              <w:rPr>
                <w:lang w:val="zh-CN"/>
              </w:rPr>
            </w:pPr>
            <w:r w:rsidRPr="00536CFD">
              <w:rPr>
                <w:lang w:val="zh-CN"/>
              </w:rPr>
              <w:t>7.78</w:t>
            </w:r>
          </w:p>
        </w:tc>
        <w:tc>
          <w:tcPr>
            <w:tcW w:w="676" w:type="dxa"/>
            <w:tcBorders>
              <w:top w:val="single" w:sz="4" w:space="0" w:color="auto"/>
              <w:left w:val="nil"/>
              <w:bottom w:val="single" w:sz="4" w:space="0" w:color="auto"/>
              <w:right w:val="single" w:sz="4" w:space="0" w:color="auto"/>
            </w:tcBorders>
            <w:shd w:val="clear" w:color="auto" w:fill="auto"/>
            <w:vAlign w:val="bottom"/>
          </w:tcPr>
          <w:p w14:paraId="7AE544FA" w14:textId="77777777" w:rsidR="004346F3" w:rsidRPr="00536CFD" w:rsidRDefault="004346F3" w:rsidP="00802ABC">
            <w:pPr>
              <w:spacing w:after="0"/>
              <w:jc w:val="center"/>
              <w:rPr>
                <w:lang w:val="zh-CN"/>
              </w:rPr>
            </w:pPr>
            <w:r w:rsidRPr="00536CFD">
              <w:rPr>
                <w:lang w:val="zh-CN"/>
              </w:rPr>
              <w:t>34.84</w:t>
            </w:r>
          </w:p>
        </w:tc>
      </w:tr>
      <w:tr w:rsidR="004346F3" w:rsidRPr="00C64ECB" w14:paraId="6310676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43B39D7"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F26F3FB"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46A95D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7804032B" w14:textId="77777777" w:rsidR="004346F3" w:rsidRPr="00536CFD" w:rsidRDefault="004346F3" w:rsidP="00802ABC">
            <w:pPr>
              <w:spacing w:after="0"/>
              <w:jc w:val="center"/>
              <w:rPr>
                <w:lang w:val="zh-CN"/>
              </w:rPr>
            </w:pPr>
            <w:r w:rsidRPr="00536CFD">
              <w:rPr>
                <w:lang w:val="zh-CN"/>
              </w:rPr>
              <w:t>47.54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CFA7830" w14:textId="77777777" w:rsidR="004346F3" w:rsidRPr="00536CFD" w:rsidRDefault="004346F3" w:rsidP="00802ABC">
            <w:pPr>
              <w:spacing w:after="0"/>
              <w:jc w:val="center"/>
              <w:rPr>
                <w:lang w:val="zh-CN"/>
              </w:rPr>
            </w:pPr>
            <w:r w:rsidRPr="00536CFD">
              <w:rPr>
                <w:lang w:val="zh-CN"/>
              </w:rPr>
              <w:t>53.83</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FE1B51C" w14:textId="77777777" w:rsidR="004346F3" w:rsidRPr="00536CFD" w:rsidRDefault="004346F3" w:rsidP="00802ABC">
            <w:pPr>
              <w:spacing w:after="0"/>
              <w:jc w:val="center"/>
              <w:rPr>
                <w:lang w:val="zh-CN"/>
              </w:rPr>
            </w:pPr>
            <w:r w:rsidRPr="00536CFD">
              <w:rPr>
                <w:lang w:val="zh-CN"/>
              </w:rPr>
              <w:t>93.96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0EDCDAF" w14:textId="77777777" w:rsidR="004346F3" w:rsidRPr="00536CFD" w:rsidRDefault="004346F3" w:rsidP="00802ABC">
            <w:pPr>
              <w:spacing w:after="0"/>
              <w:jc w:val="center"/>
              <w:rPr>
                <w:lang w:val="zh-CN"/>
              </w:rPr>
            </w:pPr>
            <w:r w:rsidRPr="00536CFD">
              <w:rPr>
                <w:lang w:val="zh-CN"/>
              </w:rPr>
              <w:t>116.77</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DF89C99" w14:textId="77777777" w:rsidR="004346F3" w:rsidRPr="00536CFD" w:rsidRDefault="004346F3" w:rsidP="00802ABC">
            <w:pPr>
              <w:spacing w:after="0"/>
              <w:jc w:val="center"/>
              <w:rPr>
                <w:lang w:val="zh-CN"/>
              </w:rPr>
            </w:pPr>
            <w:r w:rsidRPr="00536CFD">
              <w:rPr>
                <w:lang w:val="zh-CN"/>
              </w:rPr>
              <w:t>29.75</w:t>
            </w:r>
          </w:p>
        </w:tc>
        <w:tc>
          <w:tcPr>
            <w:tcW w:w="714" w:type="dxa"/>
            <w:tcBorders>
              <w:top w:val="single" w:sz="4" w:space="0" w:color="auto"/>
              <w:left w:val="nil"/>
              <w:bottom w:val="single" w:sz="4" w:space="0" w:color="auto"/>
              <w:right w:val="single" w:sz="4" w:space="0" w:color="auto"/>
            </w:tcBorders>
            <w:shd w:val="clear" w:color="auto" w:fill="auto"/>
            <w:vAlign w:val="bottom"/>
          </w:tcPr>
          <w:p w14:paraId="559C743F" w14:textId="77777777" w:rsidR="004346F3" w:rsidRPr="00536CFD" w:rsidRDefault="004346F3" w:rsidP="00802ABC">
            <w:pPr>
              <w:spacing w:after="0"/>
              <w:jc w:val="center"/>
              <w:rPr>
                <w:lang w:val="zh-CN"/>
              </w:rPr>
            </w:pPr>
            <w:r w:rsidRPr="00536CFD">
              <w:rPr>
                <w:lang w:val="zh-CN"/>
              </w:rPr>
              <w:t>35.74</w:t>
            </w:r>
          </w:p>
        </w:tc>
        <w:tc>
          <w:tcPr>
            <w:tcW w:w="719" w:type="dxa"/>
            <w:tcBorders>
              <w:top w:val="single" w:sz="4" w:space="0" w:color="auto"/>
              <w:left w:val="nil"/>
              <w:bottom w:val="single" w:sz="4" w:space="0" w:color="auto"/>
              <w:right w:val="single" w:sz="4" w:space="0" w:color="auto"/>
            </w:tcBorders>
            <w:shd w:val="clear" w:color="auto" w:fill="auto"/>
            <w:vAlign w:val="bottom"/>
          </w:tcPr>
          <w:p w14:paraId="6E24667B" w14:textId="77777777" w:rsidR="004346F3" w:rsidRPr="00536CFD" w:rsidRDefault="004346F3" w:rsidP="00802ABC">
            <w:pPr>
              <w:spacing w:after="0"/>
              <w:jc w:val="center"/>
              <w:rPr>
                <w:lang w:val="zh-CN"/>
              </w:rPr>
            </w:pPr>
            <w:r w:rsidRPr="00536CFD">
              <w:rPr>
                <w:lang w:val="zh-CN"/>
              </w:rPr>
              <w:t>66.55</w:t>
            </w:r>
          </w:p>
        </w:tc>
        <w:tc>
          <w:tcPr>
            <w:tcW w:w="719" w:type="dxa"/>
            <w:tcBorders>
              <w:top w:val="single" w:sz="4" w:space="0" w:color="auto"/>
              <w:left w:val="nil"/>
              <w:bottom w:val="single" w:sz="4" w:space="0" w:color="auto"/>
              <w:right w:val="single" w:sz="4" w:space="0" w:color="auto"/>
            </w:tcBorders>
            <w:shd w:val="clear" w:color="auto" w:fill="auto"/>
            <w:vAlign w:val="bottom"/>
          </w:tcPr>
          <w:p w14:paraId="057C7579" w14:textId="77777777" w:rsidR="004346F3" w:rsidRPr="00536CFD" w:rsidRDefault="004346F3" w:rsidP="00802ABC">
            <w:pPr>
              <w:spacing w:after="0"/>
              <w:jc w:val="center"/>
              <w:rPr>
                <w:lang w:val="zh-CN"/>
              </w:rPr>
            </w:pPr>
            <w:r w:rsidRPr="00536CFD">
              <w:rPr>
                <w:lang w:val="zh-CN"/>
              </w:rPr>
              <w:t>105.77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2B34EF1" w14:textId="77777777" w:rsidR="004346F3" w:rsidRPr="00536CFD" w:rsidRDefault="004346F3" w:rsidP="00802ABC">
            <w:pPr>
              <w:spacing w:after="0"/>
              <w:jc w:val="center"/>
              <w:rPr>
                <w:lang w:val="zh-CN"/>
              </w:rPr>
            </w:pPr>
            <w:r w:rsidRPr="00536CFD">
              <w:rPr>
                <w:lang w:val="zh-CN"/>
              </w:rPr>
              <w:t>18.6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3E83EEF" w14:textId="77777777" w:rsidR="004346F3" w:rsidRPr="00536CFD" w:rsidRDefault="004346F3" w:rsidP="00802ABC">
            <w:pPr>
              <w:spacing w:after="0"/>
              <w:jc w:val="center"/>
              <w:rPr>
                <w:lang w:val="zh-CN"/>
              </w:rPr>
            </w:pPr>
            <w:r w:rsidRPr="00536CFD">
              <w:rPr>
                <w:lang w:val="zh-CN"/>
              </w:rPr>
              <w:t>20.98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FC2FFF5" w14:textId="77777777" w:rsidR="004346F3" w:rsidRPr="00536CFD" w:rsidRDefault="004346F3" w:rsidP="00802ABC">
            <w:pPr>
              <w:spacing w:after="0"/>
              <w:jc w:val="center"/>
              <w:rPr>
                <w:lang w:val="zh-CN"/>
              </w:rPr>
            </w:pPr>
            <w:r w:rsidRPr="00536CFD">
              <w:rPr>
                <w:lang w:val="zh-CN"/>
              </w:rPr>
              <w:t>36.26</w:t>
            </w:r>
          </w:p>
        </w:tc>
        <w:tc>
          <w:tcPr>
            <w:tcW w:w="676" w:type="dxa"/>
            <w:tcBorders>
              <w:top w:val="single" w:sz="4" w:space="0" w:color="auto"/>
              <w:left w:val="nil"/>
              <w:bottom w:val="single" w:sz="4" w:space="0" w:color="auto"/>
              <w:right w:val="single" w:sz="4" w:space="0" w:color="auto"/>
            </w:tcBorders>
            <w:shd w:val="clear" w:color="auto" w:fill="auto"/>
            <w:vAlign w:val="bottom"/>
          </w:tcPr>
          <w:p w14:paraId="76E24F7D" w14:textId="77777777" w:rsidR="004346F3" w:rsidRPr="00536CFD" w:rsidRDefault="004346F3" w:rsidP="00802ABC">
            <w:pPr>
              <w:spacing w:after="0"/>
              <w:jc w:val="center"/>
              <w:rPr>
                <w:lang w:val="zh-CN"/>
              </w:rPr>
            </w:pPr>
            <w:r w:rsidRPr="00536CFD">
              <w:rPr>
                <w:lang w:val="zh-CN"/>
              </w:rPr>
              <w:t>94.6</w:t>
            </w:r>
          </w:p>
        </w:tc>
      </w:tr>
      <w:tr w:rsidR="004346F3" w:rsidRPr="00C64ECB" w14:paraId="7B3B3189"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75C5B33"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D237982"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54F9631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7E5B54B9" w14:textId="77777777" w:rsidR="004346F3" w:rsidRPr="00536CFD" w:rsidRDefault="004346F3" w:rsidP="00802ABC">
            <w:pPr>
              <w:spacing w:after="0"/>
              <w:jc w:val="center"/>
              <w:rPr>
                <w:lang w:val="zh-CN"/>
              </w:rPr>
            </w:pPr>
            <w:r w:rsidRPr="00536CFD">
              <w:rPr>
                <w:lang w:val="zh-CN"/>
              </w:rPr>
              <w:t>73.16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0CE4894" w14:textId="77777777" w:rsidR="004346F3" w:rsidRPr="00536CFD" w:rsidRDefault="004346F3" w:rsidP="00802ABC">
            <w:pPr>
              <w:spacing w:after="0"/>
              <w:jc w:val="center"/>
              <w:rPr>
                <w:lang w:val="zh-CN"/>
              </w:rPr>
            </w:pPr>
            <w:r w:rsidRPr="00536CFD">
              <w:rPr>
                <w:lang w:val="zh-CN"/>
              </w:rPr>
              <w:t>84.02</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54C3038C" w14:textId="77777777" w:rsidR="004346F3" w:rsidRPr="00536CFD" w:rsidRDefault="004346F3" w:rsidP="00802ABC">
            <w:pPr>
              <w:spacing w:after="0"/>
              <w:jc w:val="center"/>
              <w:rPr>
                <w:lang w:val="zh-CN"/>
              </w:rPr>
            </w:pPr>
            <w:r w:rsidRPr="00536CFD">
              <w:rPr>
                <w:lang w:val="zh-CN"/>
              </w:rPr>
              <w:t>127.68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86BEB06" w14:textId="77777777" w:rsidR="004346F3" w:rsidRPr="00536CFD" w:rsidRDefault="004346F3" w:rsidP="00802ABC">
            <w:pPr>
              <w:spacing w:after="0"/>
              <w:jc w:val="center"/>
              <w:rPr>
                <w:lang w:val="zh-CN"/>
              </w:rPr>
            </w:pPr>
            <w:r w:rsidRPr="00536CFD">
              <w:rPr>
                <w:lang w:val="zh-CN"/>
              </w:rPr>
              <w:t>146.13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F2424DD" w14:textId="77777777" w:rsidR="004346F3" w:rsidRPr="00536CFD" w:rsidRDefault="004346F3" w:rsidP="00802ABC">
            <w:pPr>
              <w:spacing w:after="0"/>
              <w:jc w:val="center"/>
              <w:rPr>
                <w:lang w:val="zh-CN"/>
              </w:rPr>
            </w:pPr>
            <w:r w:rsidRPr="00536CFD">
              <w:rPr>
                <w:lang w:val="zh-CN"/>
              </w:rPr>
              <w:t>58.6</w:t>
            </w:r>
          </w:p>
        </w:tc>
        <w:tc>
          <w:tcPr>
            <w:tcW w:w="714" w:type="dxa"/>
            <w:tcBorders>
              <w:top w:val="single" w:sz="4" w:space="0" w:color="auto"/>
              <w:left w:val="nil"/>
              <w:bottom w:val="single" w:sz="4" w:space="0" w:color="auto"/>
              <w:right w:val="single" w:sz="4" w:space="0" w:color="auto"/>
            </w:tcBorders>
            <w:shd w:val="clear" w:color="auto" w:fill="auto"/>
            <w:vAlign w:val="bottom"/>
          </w:tcPr>
          <w:p w14:paraId="68A70A66" w14:textId="77777777" w:rsidR="004346F3" w:rsidRPr="00536CFD" w:rsidRDefault="004346F3" w:rsidP="00802ABC">
            <w:pPr>
              <w:spacing w:after="0"/>
              <w:jc w:val="center"/>
              <w:rPr>
                <w:lang w:val="zh-CN"/>
              </w:rPr>
            </w:pPr>
            <w:r w:rsidRPr="00536CFD">
              <w:rPr>
                <w:lang w:val="zh-CN"/>
              </w:rPr>
              <w:t>69.19</w:t>
            </w:r>
          </w:p>
        </w:tc>
        <w:tc>
          <w:tcPr>
            <w:tcW w:w="719" w:type="dxa"/>
            <w:tcBorders>
              <w:top w:val="single" w:sz="4" w:space="0" w:color="auto"/>
              <w:left w:val="nil"/>
              <w:bottom w:val="single" w:sz="4" w:space="0" w:color="auto"/>
              <w:right w:val="single" w:sz="4" w:space="0" w:color="auto"/>
            </w:tcBorders>
            <w:shd w:val="clear" w:color="auto" w:fill="auto"/>
            <w:vAlign w:val="bottom"/>
          </w:tcPr>
          <w:p w14:paraId="6B46DC45" w14:textId="77777777" w:rsidR="004346F3" w:rsidRPr="00536CFD" w:rsidRDefault="004346F3" w:rsidP="00802ABC">
            <w:pPr>
              <w:spacing w:after="0"/>
              <w:jc w:val="center"/>
              <w:rPr>
                <w:lang w:val="zh-CN"/>
              </w:rPr>
            </w:pPr>
            <w:r w:rsidRPr="00536CFD">
              <w:rPr>
                <w:lang w:val="zh-CN"/>
              </w:rPr>
              <w:t>108.39</w:t>
            </w:r>
          </w:p>
        </w:tc>
        <w:tc>
          <w:tcPr>
            <w:tcW w:w="719" w:type="dxa"/>
            <w:tcBorders>
              <w:top w:val="single" w:sz="4" w:space="0" w:color="auto"/>
              <w:left w:val="nil"/>
              <w:bottom w:val="single" w:sz="4" w:space="0" w:color="auto"/>
              <w:right w:val="single" w:sz="4" w:space="0" w:color="auto"/>
            </w:tcBorders>
            <w:shd w:val="clear" w:color="auto" w:fill="auto"/>
            <w:vAlign w:val="bottom"/>
          </w:tcPr>
          <w:p w14:paraId="187D2E84" w14:textId="77777777" w:rsidR="004346F3" w:rsidRPr="00536CFD" w:rsidRDefault="004346F3" w:rsidP="00802ABC">
            <w:pPr>
              <w:spacing w:after="0"/>
              <w:jc w:val="center"/>
              <w:rPr>
                <w:lang w:val="zh-CN"/>
              </w:rPr>
            </w:pPr>
            <w:r w:rsidRPr="00536CFD">
              <w:rPr>
                <w:lang w:val="zh-CN"/>
              </w:rPr>
              <w:t>138.23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56E43B7" w14:textId="77777777" w:rsidR="004346F3" w:rsidRPr="00536CFD" w:rsidRDefault="004346F3" w:rsidP="00802ABC">
            <w:pPr>
              <w:spacing w:after="0"/>
              <w:jc w:val="center"/>
              <w:rPr>
                <w:lang w:val="zh-CN"/>
              </w:rPr>
            </w:pPr>
            <w:r w:rsidRPr="00536CFD">
              <w:rPr>
                <w:lang w:val="zh-CN"/>
              </w:rPr>
              <w:t>43.8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2287B14" w14:textId="77777777" w:rsidR="004346F3" w:rsidRPr="00536CFD" w:rsidRDefault="004346F3" w:rsidP="00802ABC">
            <w:pPr>
              <w:spacing w:after="0"/>
              <w:jc w:val="center"/>
              <w:rPr>
                <w:lang w:val="zh-CN"/>
              </w:rPr>
            </w:pPr>
            <w:r w:rsidRPr="00536CFD">
              <w:rPr>
                <w:lang w:val="zh-CN"/>
              </w:rPr>
              <w:t>49.61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6067F91" w14:textId="77777777" w:rsidR="004346F3" w:rsidRPr="00536CFD" w:rsidRDefault="004346F3" w:rsidP="00802ABC">
            <w:pPr>
              <w:spacing w:after="0"/>
              <w:jc w:val="center"/>
              <w:rPr>
                <w:lang w:val="zh-CN"/>
              </w:rPr>
            </w:pPr>
            <w:r w:rsidRPr="00536CFD">
              <w:rPr>
                <w:lang w:val="zh-CN"/>
              </w:rPr>
              <w:t>79.79</w:t>
            </w:r>
          </w:p>
        </w:tc>
        <w:tc>
          <w:tcPr>
            <w:tcW w:w="676" w:type="dxa"/>
            <w:tcBorders>
              <w:top w:val="single" w:sz="4" w:space="0" w:color="auto"/>
              <w:left w:val="nil"/>
              <w:bottom w:val="single" w:sz="4" w:space="0" w:color="auto"/>
              <w:right w:val="single" w:sz="4" w:space="0" w:color="auto"/>
            </w:tcBorders>
            <w:shd w:val="clear" w:color="auto" w:fill="auto"/>
            <w:vAlign w:val="bottom"/>
          </w:tcPr>
          <w:p w14:paraId="62589439" w14:textId="77777777" w:rsidR="004346F3" w:rsidRPr="00536CFD" w:rsidRDefault="004346F3" w:rsidP="00802ABC">
            <w:pPr>
              <w:spacing w:after="0"/>
              <w:jc w:val="center"/>
              <w:rPr>
                <w:lang w:val="zh-CN"/>
              </w:rPr>
            </w:pPr>
            <w:r w:rsidRPr="00536CFD">
              <w:rPr>
                <w:lang w:val="zh-CN"/>
              </w:rPr>
              <w:t>129.62</w:t>
            </w:r>
          </w:p>
        </w:tc>
      </w:tr>
      <w:tr w:rsidR="004346F3" w:rsidRPr="00C64ECB" w14:paraId="14A6CDE6"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8E84504"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1AC61D3"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D31BE6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78628534" w14:textId="77777777" w:rsidR="004346F3" w:rsidRPr="00536CFD" w:rsidRDefault="004346F3" w:rsidP="00802ABC">
            <w:pPr>
              <w:spacing w:after="0"/>
              <w:jc w:val="center"/>
              <w:rPr>
                <w:lang w:val="zh-CN"/>
              </w:rPr>
            </w:pPr>
            <w:r w:rsidRPr="00536CFD">
              <w:rPr>
                <w:lang w:val="zh-CN"/>
              </w:rPr>
              <w:t>45.26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69D0B9B" w14:textId="77777777" w:rsidR="004346F3" w:rsidRPr="00536CFD" w:rsidRDefault="004346F3" w:rsidP="00802ABC">
            <w:pPr>
              <w:spacing w:after="0"/>
              <w:jc w:val="center"/>
              <w:rPr>
                <w:lang w:val="zh-CN"/>
              </w:rPr>
            </w:pPr>
            <w:r w:rsidRPr="00536CFD">
              <w:rPr>
                <w:lang w:val="zh-CN"/>
              </w:rPr>
              <w:t>52.75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1D332EC" w14:textId="77777777" w:rsidR="004346F3" w:rsidRPr="00536CFD" w:rsidRDefault="004346F3" w:rsidP="00802ABC">
            <w:pPr>
              <w:spacing w:after="0"/>
              <w:jc w:val="center"/>
              <w:rPr>
                <w:lang w:val="zh-CN"/>
              </w:rPr>
            </w:pPr>
            <w:r w:rsidRPr="00536CFD">
              <w:rPr>
                <w:lang w:val="zh-CN"/>
              </w:rPr>
              <w:t>90.12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E5533B8" w14:textId="77777777" w:rsidR="004346F3" w:rsidRPr="00536CFD" w:rsidRDefault="004346F3" w:rsidP="00802ABC">
            <w:pPr>
              <w:spacing w:after="0"/>
              <w:jc w:val="center"/>
              <w:rPr>
                <w:lang w:val="zh-CN"/>
              </w:rPr>
            </w:pPr>
            <w:r w:rsidRPr="00536CFD">
              <w:rPr>
                <w:lang w:val="zh-CN"/>
              </w:rPr>
              <w:t>109.82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5ADE539" w14:textId="77777777" w:rsidR="004346F3" w:rsidRPr="00536CFD" w:rsidRDefault="004346F3" w:rsidP="00802ABC">
            <w:pPr>
              <w:spacing w:after="0"/>
              <w:jc w:val="center"/>
              <w:rPr>
                <w:lang w:val="zh-CN"/>
              </w:rPr>
            </w:pPr>
            <w:r w:rsidRPr="00536CFD">
              <w:rPr>
                <w:lang w:val="zh-CN"/>
              </w:rPr>
              <w:t>30.93</w:t>
            </w:r>
          </w:p>
        </w:tc>
        <w:tc>
          <w:tcPr>
            <w:tcW w:w="714" w:type="dxa"/>
            <w:tcBorders>
              <w:top w:val="single" w:sz="4" w:space="0" w:color="auto"/>
              <w:left w:val="nil"/>
              <w:bottom w:val="single" w:sz="4" w:space="0" w:color="auto"/>
              <w:right w:val="single" w:sz="4" w:space="0" w:color="auto"/>
            </w:tcBorders>
            <w:shd w:val="clear" w:color="auto" w:fill="auto"/>
            <w:vAlign w:val="bottom"/>
          </w:tcPr>
          <w:p w14:paraId="3B3FA236" w14:textId="77777777" w:rsidR="004346F3" w:rsidRPr="00536CFD" w:rsidRDefault="004346F3" w:rsidP="00802ABC">
            <w:pPr>
              <w:spacing w:after="0"/>
              <w:jc w:val="center"/>
              <w:rPr>
                <w:lang w:val="zh-CN"/>
              </w:rPr>
            </w:pPr>
            <w:r w:rsidRPr="00536CFD">
              <w:rPr>
                <w:lang w:val="zh-CN"/>
              </w:rPr>
              <w:t>37.31</w:t>
            </w:r>
          </w:p>
        </w:tc>
        <w:tc>
          <w:tcPr>
            <w:tcW w:w="719" w:type="dxa"/>
            <w:tcBorders>
              <w:top w:val="single" w:sz="4" w:space="0" w:color="auto"/>
              <w:left w:val="nil"/>
              <w:bottom w:val="single" w:sz="4" w:space="0" w:color="auto"/>
              <w:right w:val="single" w:sz="4" w:space="0" w:color="auto"/>
            </w:tcBorders>
            <w:shd w:val="clear" w:color="auto" w:fill="auto"/>
            <w:vAlign w:val="bottom"/>
          </w:tcPr>
          <w:p w14:paraId="133EB7AE" w14:textId="77777777" w:rsidR="004346F3" w:rsidRPr="00536CFD" w:rsidRDefault="004346F3" w:rsidP="00802ABC">
            <w:pPr>
              <w:spacing w:after="0"/>
              <w:jc w:val="center"/>
              <w:rPr>
                <w:lang w:val="zh-CN"/>
              </w:rPr>
            </w:pPr>
            <w:r w:rsidRPr="00536CFD">
              <w:rPr>
                <w:lang w:val="zh-CN"/>
              </w:rPr>
              <w:t>65.42</w:t>
            </w:r>
          </w:p>
        </w:tc>
        <w:tc>
          <w:tcPr>
            <w:tcW w:w="719" w:type="dxa"/>
            <w:tcBorders>
              <w:top w:val="single" w:sz="4" w:space="0" w:color="auto"/>
              <w:left w:val="nil"/>
              <w:bottom w:val="single" w:sz="4" w:space="0" w:color="auto"/>
              <w:right w:val="single" w:sz="4" w:space="0" w:color="auto"/>
            </w:tcBorders>
            <w:shd w:val="clear" w:color="auto" w:fill="auto"/>
            <w:vAlign w:val="bottom"/>
          </w:tcPr>
          <w:p w14:paraId="68193B51" w14:textId="77777777" w:rsidR="004346F3" w:rsidRPr="00536CFD" w:rsidRDefault="004346F3" w:rsidP="00802ABC">
            <w:pPr>
              <w:spacing w:after="0"/>
              <w:jc w:val="center"/>
              <w:rPr>
                <w:lang w:val="zh-CN"/>
              </w:rPr>
            </w:pPr>
            <w:r w:rsidRPr="00536CFD">
              <w:rPr>
                <w:lang w:val="zh-CN"/>
              </w:rPr>
              <w:t>100.84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B05799B" w14:textId="77777777" w:rsidR="004346F3" w:rsidRPr="00536CFD" w:rsidRDefault="004346F3" w:rsidP="00802ABC">
            <w:pPr>
              <w:spacing w:after="0"/>
              <w:jc w:val="center"/>
              <w:rPr>
                <w:lang w:val="zh-CN"/>
              </w:rPr>
            </w:pPr>
            <w:r w:rsidRPr="00536CFD">
              <w:rPr>
                <w:lang w:val="zh-CN"/>
              </w:rPr>
              <w:t>19.92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C16E75C" w14:textId="77777777" w:rsidR="004346F3" w:rsidRPr="00536CFD" w:rsidRDefault="004346F3" w:rsidP="00802ABC">
            <w:pPr>
              <w:spacing w:after="0"/>
              <w:jc w:val="center"/>
              <w:rPr>
                <w:lang w:val="zh-CN"/>
              </w:rPr>
            </w:pPr>
            <w:r w:rsidRPr="00536CFD">
              <w:rPr>
                <w:lang w:val="zh-CN"/>
              </w:rPr>
              <w:t>23.2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5B662CD" w14:textId="77777777" w:rsidR="004346F3" w:rsidRPr="00536CFD" w:rsidRDefault="004346F3" w:rsidP="00802ABC">
            <w:pPr>
              <w:spacing w:after="0"/>
              <w:jc w:val="center"/>
              <w:rPr>
                <w:lang w:val="zh-CN"/>
              </w:rPr>
            </w:pPr>
            <w:r w:rsidRPr="00536CFD">
              <w:rPr>
                <w:lang w:val="zh-CN"/>
              </w:rPr>
              <w:t>39.65</w:t>
            </w:r>
          </w:p>
        </w:tc>
        <w:tc>
          <w:tcPr>
            <w:tcW w:w="676" w:type="dxa"/>
            <w:tcBorders>
              <w:top w:val="single" w:sz="4" w:space="0" w:color="auto"/>
              <w:left w:val="nil"/>
              <w:bottom w:val="single" w:sz="4" w:space="0" w:color="auto"/>
              <w:right w:val="single" w:sz="4" w:space="0" w:color="auto"/>
            </w:tcBorders>
            <w:shd w:val="clear" w:color="auto" w:fill="auto"/>
            <w:vAlign w:val="bottom"/>
          </w:tcPr>
          <w:p w14:paraId="20F93D06" w14:textId="77777777" w:rsidR="004346F3" w:rsidRPr="00536CFD" w:rsidRDefault="004346F3" w:rsidP="00802ABC">
            <w:pPr>
              <w:spacing w:after="0"/>
              <w:jc w:val="center"/>
              <w:rPr>
                <w:lang w:val="zh-CN"/>
              </w:rPr>
            </w:pPr>
            <w:r w:rsidRPr="00536CFD">
              <w:rPr>
                <w:lang w:val="zh-CN"/>
              </w:rPr>
              <w:t>91</w:t>
            </w:r>
          </w:p>
        </w:tc>
      </w:tr>
      <w:tr w:rsidR="004346F3" w:rsidRPr="00C64ECB" w14:paraId="1D5406F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E35A54D"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4B13766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44B1474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60090334" w14:textId="77777777" w:rsidR="004346F3" w:rsidRPr="00536CFD" w:rsidRDefault="004346F3" w:rsidP="00802ABC">
            <w:pPr>
              <w:spacing w:after="0"/>
              <w:jc w:val="center"/>
              <w:rPr>
                <w:lang w:val="zh-CN"/>
              </w:rPr>
            </w:pPr>
            <w:r w:rsidRPr="00536CFD">
              <w:rPr>
                <w:lang w:val="zh-CN"/>
              </w:rPr>
              <w:t>0.035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4CCBE80" w14:textId="77777777" w:rsidR="004346F3" w:rsidRPr="00536CFD" w:rsidRDefault="004346F3" w:rsidP="00802ABC">
            <w:pPr>
              <w:spacing w:after="0"/>
              <w:jc w:val="center"/>
              <w:rPr>
                <w:lang w:val="zh-CN"/>
              </w:rPr>
            </w:pPr>
            <w:r w:rsidRPr="00536CFD">
              <w:rPr>
                <w:lang w:val="zh-CN"/>
              </w:rPr>
              <w:t>0.035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DB521D2" w14:textId="77777777" w:rsidR="004346F3" w:rsidRPr="00536CFD" w:rsidRDefault="004346F3" w:rsidP="00802ABC">
            <w:pPr>
              <w:spacing w:after="0"/>
              <w:jc w:val="center"/>
              <w:rPr>
                <w:lang w:val="zh-CN"/>
              </w:rPr>
            </w:pPr>
            <w:r w:rsidRPr="00536CFD">
              <w:rPr>
                <w:lang w:val="zh-CN"/>
              </w:rPr>
              <w:t>0.022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8DF4FA7" w14:textId="77777777" w:rsidR="004346F3" w:rsidRPr="00536CFD" w:rsidRDefault="004346F3" w:rsidP="00802ABC">
            <w:pPr>
              <w:spacing w:after="0"/>
              <w:jc w:val="center"/>
              <w:rPr>
                <w:lang w:val="zh-CN"/>
              </w:rPr>
            </w:pPr>
            <w:r w:rsidRPr="00536CFD">
              <w:rPr>
                <w:lang w:val="zh-CN"/>
              </w:rPr>
              <w:t>0.022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9FF95C1" w14:textId="77777777" w:rsidR="004346F3" w:rsidRPr="00536CFD" w:rsidRDefault="004346F3" w:rsidP="00802ABC">
            <w:pPr>
              <w:spacing w:after="0"/>
              <w:jc w:val="center"/>
              <w:rPr>
                <w:lang w:val="zh-CN"/>
              </w:rPr>
            </w:pPr>
            <w:r w:rsidRPr="00536CFD">
              <w:rPr>
                <w:lang w:val="zh-CN"/>
              </w:rPr>
              <w:t>0.042</w:t>
            </w:r>
          </w:p>
        </w:tc>
        <w:tc>
          <w:tcPr>
            <w:tcW w:w="714" w:type="dxa"/>
            <w:tcBorders>
              <w:top w:val="single" w:sz="4" w:space="0" w:color="auto"/>
              <w:left w:val="nil"/>
              <w:bottom w:val="single" w:sz="4" w:space="0" w:color="auto"/>
              <w:right w:val="single" w:sz="4" w:space="0" w:color="auto"/>
            </w:tcBorders>
            <w:shd w:val="clear" w:color="auto" w:fill="auto"/>
            <w:vAlign w:val="bottom"/>
          </w:tcPr>
          <w:p w14:paraId="0D20F006" w14:textId="77777777" w:rsidR="004346F3" w:rsidRPr="00536CFD" w:rsidRDefault="004346F3" w:rsidP="00802ABC">
            <w:pPr>
              <w:spacing w:after="0"/>
              <w:jc w:val="center"/>
              <w:rPr>
                <w:lang w:val="zh-CN"/>
              </w:rPr>
            </w:pPr>
            <w:r w:rsidRPr="00536CFD">
              <w:rPr>
                <w:lang w:val="zh-CN"/>
              </w:rPr>
              <w:t>0.037</w:t>
            </w:r>
          </w:p>
        </w:tc>
        <w:tc>
          <w:tcPr>
            <w:tcW w:w="719" w:type="dxa"/>
            <w:tcBorders>
              <w:top w:val="single" w:sz="4" w:space="0" w:color="auto"/>
              <w:left w:val="nil"/>
              <w:bottom w:val="single" w:sz="4" w:space="0" w:color="auto"/>
              <w:right w:val="single" w:sz="4" w:space="0" w:color="auto"/>
            </w:tcBorders>
            <w:shd w:val="clear" w:color="auto" w:fill="auto"/>
            <w:vAlign w:val="bottom"/>
          </w:tcPr>
          <w:p w14:paraId="43A4C0AA" w14:textId="77777777" w:rsidR="004346F3" w:rsidRPr="00536CFD" w:rsidRDefault="004346F3" w:rsidP="00802ABC">
            <w:pPr>
              <w:spacing w:after="0"/>
              <w:jc w:val="center"/>
              <w:rPr>
                <w:lang w:val="zh-CN"/>
              </w:rPr>
            </w:pPr>
            <w:r w:rsidRPr="00536CFD">
              <w:rPr>
                <w:lang w:val="zh-CN"/>
              </w:rPr>
              <w:t>0.023</w:t>
            </w:r>
          </w:p>
        </w:tc>
        <w:tc>
          <w:tcPr>
            <w:tcW w:w="719" w:type="dxa"/>
            <w:tcBorders>
              <w:top w:val="single" w:sz="4" w:space="0" w:color="auto"/>
              <w:left w:val="nil"/>
              <w:bottom w:val="single" w:sz="4" w:space="0" w:color="auto"/>
              <w:right w:val="single" w:sz="4" w:space="0" w:color="auto"/>
            </w:tcBorders>
            <w:shd w:val="clear" w:color="auto" w:fill="auto"/>
            <w:vAlign w:val="bottom"/>
          </w:tcPr>
          <w:p w14:paraId="22801339" w14:textId="77777777" w:rsidR="004346F3" w:rsidRPr="00536CFD" w:rsidRDefault="004346F3" w:rsidP="00802ABC">
            <w:pPr>
              <w:spacing w:after="0"/>
              <w:jc w:val="center"/>
              <w:rPr>
                <w:lang w:val="zh-CN"/>
              </w:rPr>
            </w:pPr>
            <w:r w:rsidRPr="00536CFD">
              <w:rPr>
                <w:lang w:val="zh-CN"/>
              </w:rPr>
              <w:t>0.022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66E46E7" w14:textId="77777777" w:rsidR="004346F3" w:rsidRPr="00536CFD" w:rsidRDefault="004346F3" w:rsidP="00802ABC">
            <w:pPr>
              <w:spacing w:after="0"/>
              <w:jc w:val="center"/>
              <w:rPr>
                <w:lang w:val="zh-CN"/>
              </w:rPr>
            </w:pPr>
            <w:r w:rsidRPr="00536CFD">
              <w:rPr>
                <w:lang w:val="zh-CN"/>
              </w:rPr>
              <w:t>0.057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FA2D38C" w14:textId="77777777" w:rsidR="004346F3" w:rsidRPr="00536CFD" w:rsidRDefault="004346F3" w:rsidP="00802ABC">
            <w:pPr>
              <w:spacing w:after="0"/>
              <w:jc w:val="center"/>
              <w:rPr>
                <w:lang w:val="zh-CN"/>
              </w:rPr>
            </w:pPr>
            <w:r w:rsidRPr="00536CFD">
              <w:rPr>
                <w:lang w:val="zh-CN"/>
              </w:rPr>
              <w:t>0.052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49A9493" w14:textId="77777777" w:rsidR="004346F3" w:rsidRPr="00536CFD" w:rsidRDefault="004346F3" w:rsidP="00802ABC">
            <w:pPr>
              <w:spacing w:after="0"/>
              <w:jc w:val="center"/>
              <w:rPr>
                <w:lang w:val="zh-CN"/>
              </w:rPr>
            </w:pPr>
            <w:r w:rsidRPr="00536CFD">
              <w:rPr>
                <w:lang w:val="zh-CN"/>
              </w:rPr>
              <w:t>0.028</w:t>
            </w:r>
          </w:p>
        </w:tc>
        <w:tc>
          <w:tcPr>
            <w:tcW w:w="676" w:type="dxa"/>
            <w:tcBorders>
              <w:top w:val="single" w:sz="4" w:space="0" w:color="auto"/>
              <w:left w:val="nil"/>
              <w:bottom w:val="single" w:sz="4" w:space="0" w:color="auto"/>
              <w:right w:val="single" w:sz="4" w:space="0" w:color="auto"/>
            </w:tcBorders>
            <w:shd w:val="clear" w:color="auto" w:fill="auto"/>
            <w:vAlign w:val="bottom"/>
          </w:tcPr>
          <w:p w14:paraId="4942A8D6" w14:textId="77777777" w:rsidR="004346F3" w:rsidRPr="00536CFD" w:rsidRDefault="004346F3" w:rsidP="00802ABC">
            <w:pPr>
              <w:spacing w:after="0"/>
              <w:jc w:val="center"/>
              <w:rPr>
                <w:lang w:val="zh-CN"/>
              </w:rPr>
            </w:pPr>
            <w:r w:rsidRPr="00536CFD">
              <w:rPr>
                <w:lang w:val="zh-CN"/>
              </w:rPr>
              <w:t>0.022</w:t>
            </w:r>
          </w:p>
        </w:tc>
      </w:tr>
      <w:tr w:rsidR="004346F3" w:rsidRPr="00C64ECB" w14:paraId="3F84D2E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B9CEB4E"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DFBEF8C"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5218A0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42B902EA" w14:textId="77777777" w:rsidR="004346F3" w:rsidRPr="00536CFD" w:rsidRDefault="004346F3" w:rsidP="00802ABC">
            <w:pPr>
              <w:spacing w:after="0"/>
              <w:jc w:val="center"/>
              <w:rPr>
                <w:lang w:val="zh-CN"/>
              </w:rPr>
            </w:pPr>
            <w:r w:rsidRPr="00536CFD">
              <w:rPr>
                <w:lang w:val="zh-CN"/>
              </w:rPr>
              <w:t>0.111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EB192B7" w14:textId="77777777" w:rsidR="004346F3" w:rsidRPr="00536CFD" w:rsidRDefault="004346F3" w:rsidP="00802ABC">
            <w:pPr>
              <w:spacing w:after="0"/>
              <w:jc w:val="center"/>
              <w:rPr>
                <w:lang w:val="zh-CN"/>
              </w:rPr>
            </w:pPr>
            <w:r w:rsidRPr="00536CFD">
              <w:rPr>
                <w:lang w:val="zh-CN"/>
              </w:rPr>
              <w:t>0.087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D5649CE" w14:textId="77777777" w:rsidR="004346F3" w:rsidRPr="00536CFD" w:rsidRDefault="004346F3" w:rsidP="00802ABC">
            <w:pPr>
              <w:spacing w:after="0"/>
              <w:jc w:val="center"/>
              <w:rPr>
                <w:lang w:val="zh-CN"/>
              </w:rPr>
            </w:pPr>
            <w:r w:rsidRPr="00536CFD">
              <w:rPr>
                <w:lang w:val="zh-CN"/>
              </w:rPr>
              <w:t>0.047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25A16B6" w14:textId="77777777" w:rsidR="004346F3" w:rsidRPr="00536CFD" w:rsidRDefault="004346F3" w:rsidP="00802ABC">
            <w:pPr>
              <w:spacing w:after="0"/>
              <w:jc w:val="center"/>
              <w:rPr>
                <w:lang w:val="zh-CN"/>
              </w:rPr>
            </w:pPr>
            <w:r w:rsidRPr="00536CFD">
              <w:rPr>
                <w:lang w:val="zh-CN"/>
              </w:rPr>
              <w:t>0.033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5262AC6" w14:textId="77777777" w:rsidR="004346F3" w:rsidRPr="00536CFD" w:rsidRDefault="004346F3" w:rsidP="00802ABC">
            <w:pPr>
              <w:spacing w:after="0"/>
              <w:jc w:val="center"/>
              <w:rPr>
                <w:lang w:val="zh-CN"/>
              </w:rPr>
            </w:pPr>
            <w:r w:rsidRPr="00536CFD">
              <w:rPr>
                <w:lang w:val="zh-CN"/>
              </w:rPr>
              <w:t>0.197</w:t>
            </w:r>
          </w:p>
        </w:tc>
        <w:tc>
          <w:tcPr>
            <w:tcW w:w="714" w:type="dxa"/>
            <w:tcBorders>
              <w:top w:val="single" w:sz="4" w:space="0" w:color="auto"/>
              <w:left w:val="nil"/>
              <w:bottom w:val="single" w:sz="4" w:space="0" w:color="auto"/>
              <w:right w:val="single" w:sz="4" w:space="0" w:color="auto"/>
            </w:tcBorders>
            <w:shd w:val="clear" w:color="auto" w:fill="auto"/>
            <w:vAlign w:val="bottom"/>
          </w:tcPr>
          <w:p w14:paraId="74439B8F" w14:textId="77777777" w:rsidR="004346F3" w:rsidRPr="00536CFD" w:rsidRDefault="004346F3" w:rsidP="00802ABC">
            <w:pPr>
              <w:spacing w:after="0"/>
              <w:jc w:val="center"/>
              <w:rPr>
                <w:lang w:val="zh-CN"/>
              </w:rPr>
            </w:pPr>
            <w:r w:rsidRPr="00536CFD">
              <w:rPr>
                <w:lang w:val="zh-CN"/>
              </w:rPr>
              <w:t>0.147</w:t>
            </w:r>
          </w:p>
        </w:tc>
        <w:tc>
          <w:tcPr>
            <w:tcW w:w="719" w:type="dxa"/>
            <w:tcBorders>
              <w:top w:val="single" w:sz="4" w:space="0" w:color="auto"/>
              <w:left w:val="nil"/>
              <w:bottom w:val="single" w:sz="4" w:space="0" w:color="auto"/>
              <w:right w:val="single" w:sz="4" w:space="0" w:color="auto"/>
            </w:tcBorders>
            <w:shd w:val="clear" w:color="auto" w:fill="auto"/>
            <w:vAlign w:val="bottom"/>
          </w:tcPr>
          <w:p w14:paraId="60B3AE8A" w14:textId="77777777" w:rsidR="004346F3" w:rsidRPr="00536CFD" w:rsidRDefault="004346F3" w:rsidP="00802ABC">
            <w:pPr>
              <w:spacing w:after="0"/>
              <w:jc w:val="center"/>
              <w:rPr>
                <w:lang w:val="zh-CN"/>
              </w:rPr>
            </w:pPr>
            <w:r w:rsidRPr="00536CFD">
              <w:rPr>
                <w:lang w:val="zh-CN"/>
              </w:rPr>
              <w:t>0.084</w:t>
            </w:r>
          </w:p>
        </w:tc>
        <w:tc>
          <w:tcPr>
            <w:tcW w:w="719" w:type="dxa"/>
            <w:tcBorders>
              <w:top w:val="single" w:sz="4" w:space="0" w:color="auto"/>
              <w:left w:val="nil"/>
              <w:bottom w:val="single" w:sz="4" w:space="0" w:color="auto"/>
              <w:right w:val="single" w:sz="4" w:space="0" w:color="auto"/>
            </w:tcBorders>
            <w:shd w:val="clear" w:color="auto" w:fill="auto"/>
            <w:vAlign w:val="bottom"/>
          </w:tcPr>
          <w:p w14:paraId="683BCC0E" w14:textId="77777777" w:rsidR="004346F3" w:rsidRPr="00536CFD" w:rsidRDefault="004346F3" w:rsidP="00802ABC">
            <w:pPr>
              <w:spacing w:after="0"/>
              <w:jc w:val="center"/>
              <w:rPr>
                <w:lang w:val="zh-CN"/>
              </w:rPr>
            </w:pPr>
            <w:r w:rsidRPr="00536CFD">
              <w:rPr>
                <w:lang w:val="zh-CN"/>
              </w:rPr>
              <w:t>0.038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91032D0" w14:textId="77777777" w:rsidR="004346F3" w:rsidRPr="00536CFD" w:rsidRDefault="004346F3" w:rsidP="00802ABC">
            <w:pPr>
              <w:spacing w:after="0"/>
              <w:jc w:val="center"/>
              <w:rPr>
                <w:lang w:val="zh-CN"/>
              </w:rPr>
            </w:pPr>
            <w:r w:rsidRPr="00536CFD">
              <w:rPr>
                <w:lang w:val="zh-CN"/>
              </w:rPr>
              <w:t>0.338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D7A4DD2" w14:textId="77777777" w:rsidR="004346F3" w:rsidRPr="00536CFD" w:rsidRDefault="004346F3" w:rsidP="00802ABC">
            <w:pPr>
              <w:spacing w:after="0"/>
              <w:jc w:val="center"/>
              <w:rPr>
                <w:lang w:val="zh-CN"/>
              </w:rPr>
            </w:pPr>
            <w:r w:rsidRPr="00536CFD">
              <w:rPr>
                <w:lang w:val="zh-CN"/>
              </w:rPr>
              <w:t>0.263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8085F96" w14:textId="77777777" w:rsidR="004346F3" w:rsidRPr="00536CFD" w:rsidRDefault="004346F3" w:rsidP="00802ABC">
            <w:pPr>
              <w:spacing w:after="0"/>
              <w:jc w:val="center"/>
              <w:rPr>
                <w:lang w:val="zh-CN"/>
              </w:rPr>
            </w:pPr>
            <w:r w:rsidRPr="00536CFD">
              <w:rPr>
                <w:lang w:val="zh-CN"/>
              </w:rPr>
              <w:t>0.182</w:t>
            </w:r>
          </w:p>
        </w:tc>
        <w:tc>
          <w:tcPr>
            <w:tcW w:w="676" w:type="dxa"/>
            <w:tcBorders>
              <w:top w:val="single" w:sz="4" w:space="0" w:color="auto"/>
              <w:left w:val="nil"/>
              <w:bottom w:val="single" w:sz="4" w:space="0" w:color="auto"/>
              <w:right w:val="single" w:sz="4" w:space="0" w:color="auto"/>
            </w:tcBorders>
            <w:shd w:val="clear" w:color="auto" w:fill="auto"/>
            <w:vAlign w:val="bottom"/>
          </w:tcPr>
          <w:p w14:paraId="3447BF5B" w14:textId="77777777" w:rsidR="004346F3" w:rsidRPr="00536CFD" w:rsidRDefault="004346F3" w:rsidP="00802ABC">
            <w:pPr>
              <w:spacing w:after="0"/>
              <w:jc w:val="center"/>
              <w:rPr>
                <w:lang w:val="zh-CN"/>
              </w:rPr>
            </w:pPr>
            <w:r w:rsidRPr="00536CFD">
              <w:rPr>
                <w:lang w:val="zh-CN"/>
              </w:rPr>
              <w:t>0.046</w:t>
            </w:r>
          </w:p>
        </w:tc>
      </w:tr>
      <w:tr w:rsidR="004346F3" w:rsidRPr="00C64ECB" w14:paraId="06844AB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59D029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3799760"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AB1180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76F318A2" w14:textId="77777777" w:rsidR="004346F3" w:rsidRPr="00536CFD" w:rsidRDefault="004346F3" w:rsidP="00802ABC">
            <w:pPr>
              <w:spacing w:after="0"/>
              <w:jc w:val="center"/>
              <w:rPr>
                <w:lang w:val="zh-CN"/>
              </w:rPr>
            </w:pPr>
            <w:r w:rsidRPr="00536CFD">
              <w:rPr>
                <w:lang w:val="zh-CN"/>
              </w:rPr>
              <w:t>0.768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704EE45" w14:textId="77777777" w:rsidR="004346F3" w:rsidRPr="00536CFD" w:rsidRDefault="004346F3" w:rsidP="00802ABC">
            <w:pPr>
              <w:spacing w:after="0"/>
              <w:jc w:val="center"/>
              <w:rPr>
                <w:lang w:val="zh-CN"/>
              </w:rPr>
            </w:pPr>
            <w:r w:rsidRPr="00536CFD">
              <w:rPr>
                <w:lang w:val="zh-CN"/>
              </w:rPr>
              <w:t>0.544</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335AACD" w14:textId="77777777" w:rsidR="004346F3" w:rsidRPr="00536CFD" w:rsidRDefault="004346F3" w:rsidP="00802ABC">
            <w:pPr>
              <w:spacing w:after="0"/>
              <w:jc w:val="center"/>
              <w:rPr>
                <w:lang w:val="zh-CN"/>
              </w:rPr>
            </w:pPr>
            <w:r w:rsidRPr="00536CFD">
              <w:rPr>
                <w:lang w:val="zh-CN"/>
              </w:rPr>
              <w:t>0.311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CE65D3A" w14:textId="77777777" w:rsidR="004346F3" w:rsidRPr="00536CFD" w:rsidRDefault="004346F3" w:rsidP="00802ABC">
            <w:pPr>
              <w:spacing w:after="0"/>
              <w:jc w:val="center"/>
              <w:rPr>
                <w:lang w:val="zh-CN"/>
              </w:rPr>
            </w:pPr>
            <w:r w:rsidRPr="00536CFD">
              <w:rPr>
                <w:lang w:val="zh-CN"/>
              </w:rPr>
              <w:t>0.132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C936359" w14:textId="77777777" w:rsidR="004346F3" w:rsidRPr="00536CFD" w:rsidRDefault="004346F3" w:rsidP="00802ABC">
            <w:pPr>
              <w:spacing w:after="0"/>
              <w:jc w:val="center"/>
              <w:rPr>
                <w:lang w:val="zh-CN"/>
              </w:rPr>
            </w:pPr>
            <w:r w:rsidRPr="00536CFD">
              <w:rPr>
                <w:lang w:val="zh-CN"/>
              </w:rPr>
              <w:t>2.332</w:t>
            </w:r>
          </w:p>
        </w:tc>
        <w:tc>
          <w:tcPr>
            <w:tcW w:w="714" w:type="dxa"/>
            <w:tcBorders>
              <w:top w:val="single" w:sz="4" w:space="0" w:color="auto"/>
              <w:left w:val="nil"/>
              <w:bottom w:val="single" w:sz="4" w:space="0" w:color="auto"/>
              <w:right w:val="single" w:sz="4" w:space="0" w:color="auto"/>
            </w:tcBorders>
            <w:shd w:val="clear" w:color="auto" w:fill="auto"/>
            <w:vAlign w:val="bottom"/>
          </w:tcPr>
          <w:p w14:paraId="2D5708C0" w14:textId="77777777" w:rsidR="004346F3" w:rsidRPr="00536CFD" w:rsidRDefault="004346F3" w:rsidP="00802ABC">
            <w:pPr>
              <w:spacing w:after="0"/>
              <w:jc w:val="center"/>
              <w:rPr>
                <w:lang w:val="zh-CN"/>
              </w:rPr>
            </w:pPr>
            <w:r w:rsidRPr="00536CFD">
              <w:rPr>
                <w:lang w:val="zh-CN"/>
              </w:rPr>
              <w:t>1.638</w:t>
            </w:r>
          </w:p>
        </w:tc>
        <w:tc>
          <w:tcPr>
            <w:tcW w:w="719" w:type="dxa"/>
            <w:tcBorders>
              <w:top w:val="single" w:sz="4" w:space="0" w:color="auto"/>
              <w:left w:val="nil"/>
              <w:bottom w:val="single" w:sz="4" w:space="0" w:color="auto"/>
              <w:right w:val="single" w:sz="4" w:space="0" w:color="auto"/>
            </w:tcBorders>
            <w:shd w:val="clear" w:color="auto" w:fill="auto"/>
            <w:vAlign w:val="bottom"/>
          </w:tcPr>
          <w:p w14:paraId="7EF78929" w14:textId="77777777" w:rsidR="004346F3" w:rsidRPr="00536CFD" w:rsidRDefault="004346F3" w:rsidP="00802ABC">
            <w:pPr>
              <w:spacing w:after="0"/>
              <w:jc w:val="center"/>
              <w:rPr>
                <w:lang w:val="zh-CN"/>
              </w:rPr>
            </w:pPr>
            <w:r w:rsidRPr="00536CFD">
              <w:rPr>
                <w:lang w:val="zh-CN"/>
              </w:rPr>
              <w:t>0.736</w:t>
            </w:r>
          </w:p>
        </w:tc>
        <w:tc>
          <w:tcPr>
            <w:tcW w:w="719" w:type="dxa"/>
            <w:tcBorders>
              <w:top w:val="single" w:sz="4" w:space="0" w:color="auto"/>
              <w:left w:val="nil"/>
              <w:bottom w:val="single" w:sz="4" w:space="0" w:color="auto"/>
              <w:right w:val="single" w:sz="4" w:space="0" w:color="auto"/>
            </w:tcBorders>
            <w:shd w:val="clear" w:color="auto" w:fill="auto"/>
            <w:vAlign w:val="bottom"/>
          </w:tcPr>
          <w:p w14:paraId="7955DACF" w14:textId="77777777" w:rsidR="004346F3" w:rsidRPr="00536CFD" w:rsidRDefault="004346F3" w:rsidP="00802ABC">
            <w:pPr>
              <w:spacing w:after="0"/>
              <w:jc w:val="center"/>
              <w:rPr>
                <w:lang w:val="zh-CN"/>
              </w:rPr>
            </w:pPr>
            <w:r w:rsidRPr="00536CFD">
              <w:rPr>
                <w:lang w:val="zh-CN"/>
              </w:rPr>
              <w:t>0.168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DB82D35" w14:textId="77777777" w:rsidR="004346F3" w:rsidRPr="00536CFD" w:rsidRDefault="004346F3" w:rsidP="00802ABC">
            <w:pPr>
              <w:spacing w:after="0"/>
              <w:jc w:val="center"/>
              <w:rPr>
                <w:lang w:val="zh-CN"/>
              </w:rPr>
            </w:pPr>
            <w:r w:rsidRPr="00536CFD">
              <w:rPr>
                <w:lang w:val="zh-CN"/>
              </w:rPr>
              <w:t>47.548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DAB4DC1" w14:textId="77777777" w:rsidR="004346F3" w:rsidRPr="00536CFD" w:rsidRDefault="004346F3" w:rsidP="00802ABC">
            <w:pPr>
              <w:spacing w:after="0"/>
              <w:jc w:val="center"/>
              <w:rPr>
                <w:lang w:val="zh-CN"/>
              </w:rPr>
            </w:pPr>
            <w:r w:rsidRPr="00536CFD">
              <w:rPr>
                <w:lang w:val="zh-CN"/>
              </w:rPr>
              <w:t>7.623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FD2B690" w14:textId="77777777" w:rsidR="004346F3" w:rsidRPr="00536CFD" w:rsidRDefault="004346F3" w:rsidP="00802ABC">
            <w:pPr>
              <w:spacing w:after="0"/>
              <w:jc w:val="center"/>
              <w:rPr>
                <w:lang w:val="zh-CN"/>
              </w:rPr>
            </w:pPr>
            <w:r w:rsidRPr="00536CFD">
              <w:rPr>
                <w:lang w:val="zh-CN"/>
              </w:rPr>
              <w:t>1.759</w:t>
            </w:r>
          </w:p>
        </w:tc>
        <w:tc>
          <w:tcPr>
            <w:tcW w:w="676" w:type="dxa"/>
            <w:tcBorders>
              <w:top w:val="single" w:sz="4" w:space="0" w:color="auto"/>
              <w:left w:val="nil"/>
              <w:bottom w:val="single" w:sz="4" w:space="0" w:color="auto"/>
              <w:right w:val="single" w:sz="4" w:space="0" w:color="auto"/>
            </w:tcBorders>
            <w:shd w:val="clear" w:color="auto" w:fill="auto"/>
            <w:vAlign w:val="bottom"/>
          </w:tcPr>
          <w:p w14:paraId="11B276CD" w14:textId="77777777" w:rsidR="004346F3" w:rsidRPr="00536CFD" w:rsidRDefault="004346F3" w:rsidP="00802ABC">
            <w:pPr>
              <w:spacing w:after="0"/>
              <w:jc w:val="center"/>
              <w:rPr>
                <w:lang w:val="zh-CN"/>
              </w:rPr>
            </w:pPr>
            <w:r w:rsidRPr="00536CFD">
              <w:rPr>
                <w:lang w:val="zh-CN"/>
              </w:rPr>
              <w:t>0.224</w:t>
            </w:r>
          </w:p>
        </w:tc>
      </w:tr>
      <w:tr w:rsidR="004346F3" w:rsidRPr="00C64ECB" w14:paraId="2644584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C327FA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8582693"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8CCA76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6E3DDCC6" w14:textId="77777777" w:rsidR="004346F3" w:rsidRPr="00536CFD" w:rsidRDefault="004346F3" w:rsidP="00802ABC">
            <w:pPr>
              <w:spacing w:after="0"/>
              <w:jc w:val="center"/>
              <w:rPr>
                <w:lang w:val="zh-CN"/>
              </w:rPr>
            </w:pPr>
            <w:r w:rsidRPr="00536CFD">
              <w:rPr>
                <w:lang w:val="zh-CN"/>
              </w:rPr>
              <w:t>0.241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64B7C08" w14:textId="77777777" w:rsidR="004346F3" w:rsidRPr="00536CFD" w:rsidRDefault="004346F3" w:rsidP="00802ABC">
            <w:pPr>
              <w:spacing w:after="0"/>
              <w:jc w:val="center"/>
              <w:rPr>
                <w:lang w:val="zh-CN"/>
              </w:rPr>
            </w:pPr>
            <w:r w:rsidRPr="00536CFD">
              <w:rPr>
                <w:lang w:val="zh-CN"/>
              </w:rPr>
              <w:t>0.167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28E23286" w14:textId="77777777" w:rsidR="004346F3" w:rsidRPr="00536CFD" w:rsidRDefault="004346F3" w:rsidP="00802ABC">
            <w:pPr>
              <w:spacing w:after="0"/>
              <w:jc w:val="center"/>
              <w:rPr>
                <w:lang w:val="zh-CN"/>
              </w:rPr>
            </w:pPr>
            <w:r w:rsidRPr="00536CFD">
              <w:rPr>
                <w:lang w:val="zh-CN"/>
              </w:rPr>
              <w:t>0.093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8B8FC93" w14:textId="77777777" w:rsidR="004346F3" w:rsidRPr="00536CFD" w:rsidRDefault="004346F3" w:rsidP="00802ABC">
            <w:pPr>
              <w:spacing w:after="0"/>
              <w:jc w:val="center"/>
              <w:rPr>
                <w:lang w:val="zh-CN"/>
              </w:rPr>
            </w:pPr>
            <w:r w:rsidRPr="00536CFD">
              <w:rPr>
                <w:lang w:val="zh-CN"/>
              </w:rPr>
              <w:t>0.05</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BBE483A" w14:textId="77777777" w:rsidR="004346F3" w:rsidRPr="00536CFD" w:rsidRDefault="004346F3" w:rsidP="00802ABC">
            <w:pPr>
              <w:spacing w:after="0"/>
              <w:jc w:val="center"/>
              <w:rPr>
                <w:lang w:val="zh-CN"/>
              </w:rPr>
            </w:pPr>
            <w:r w:rsidRPr="00536CFD">
              <w:rPr>
                <w:lang w:val="zh-CN"/>
              </w:rPr>
              <w:t>2.098</w:t>
            </w:r>
          </w:p>
        </w:tc>
        <w:tc>
          <w:tcPr>
            <w:tcW w:w="714" w:type="dxa"/>
            <w:tcBorders>
              <w:top w:val="single" w:sz="4" w:space="0" w:color="auto"/>
              <w:left w:val="nil"/>
              <w:bottom w:val="single" w:sz="4" w:space="0" w:color="auto"/>
              <w:right w:val="single" w:sz="4" w:space="0" w:color="auto"/>
            </w:tcBorders>
            <w:shd w:val="clear" w:color="auto" w:fill="auto"/>
            <w:vAlign w:val="bottom"/>
          </w:tcPr>
          <w:p w14:paraId="0DE5B516" w14:textId="77777777" w:rsidR="004346F3" w:rsidRPr="00536CFD" w:rsidRDefault="004346F3" w:rsidP="00802ABC">
            <w:pPr>
              <w:spacing w:after="0"/>
              <w:jc w:val="center"/>
              <w:rPr>
                <w:lang w:val="zh-CN"/>
              </w:rPr>
            </w:pPr>
            <w:r w:rsidRPr="00536CFD">
              <w:rPr>
                <w:lang w:val="zh-CN"/>
              </w:rPr>
              <w:t>1.097</w:t>
            </w:r>
          </w:p>
        </w:tc>
        <w:tc>
          <w:tcPr>
            <w:tcW w:w="719" w:type="dxa"/>
            <w:tcBorders>
              <w:top w:val="single" w:sz="4" w:space="0" w:color="auto"/>
              <w:left w:val="nil"/>
              <w:bottom w:val="single" w:sz="4" w:space="0" w:color="auto"/>
              <w:right w:val="single" w:sz="4" w:space="0" w:color="auto"/>
            </w:tcBorders>
            <w:shd w:val="clear" w:color="auto" w:fill="auto"/>
            <w:vAlign w:val="bottom"/>
          </w:tcPr>
          <w:p w14:paraId="4060C291" w14:textId="77777777" w:rsidR="004346F3" w:rsidRPr="00536CFD" w:rsidRDefault="004346F3" w:rsidP="00802ABC">
            <w:pPr>
              <w:spacing w:after="0"/>
              <w:jc w:val="center"/>
              <w:rPr>
                <w:lang w:val="zh-CN"/>
              </w:rPr>
            </w:pPr>
            <w:r w:rsidRPr="00536CFD">
              <w:rPr>
                <w:lang w:val="zh-CN"/>
              </w:rPr>
              <w:t>0.212</w:t>
            </w:r>
          </w:p>
        </w:tc>
        <w:tc>
          <w:tcPr>
            <w:tcW w:w="719" w:type="dxa"/>
            <w:tcBorders>
              <w:top w:val="single" w:sz="4" w:space="0" w:color="auto"/>
              <w:left w:val="nil"/>
              <w:bottom w:val="single" w:sz="4" w:space="0" w:color="auto"/>
              <w:right w:val="single" w:sz="4" w:space="0" w:color="auto"/>
            </w:tcBorders>
            <w:shd w:val="clear" w:color="auto" w:fill="auto"/>
            <w:vAlign w:val="bottom"/>
          </w:tcPr>
          <w:p w14:paraId="5B1509A5" w14:textId="77777777" w:rsidR="004346F3" w:rsidRPr="00536CFD" w:rsidRDefault="004346F3" w:rsidP="00802ABC">
            <w:pPr>
              <w:spacing w:after="0"/>
              <w:jc w:val="center"/>
              <w:rPr>
                <w:lang w:val="zh-CN"/>
              </w:rPr>
            </w:pPr>
            <w:r w:rsidRPr="00536CFD">
              <w:rPr>
                <w:lang w:val="zh-CN"/>
              </w:rPr>
              <w:t>0.06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11FD808" w14:textId="77777777" w:rsidR="004346F3" w:rsidRPr="00536CFD" w:rsidRDefault="004346F3" w:rsidP="00802ABC">
            <w:pPr>
              <w:spacing w:after="0"/>
              <w:jc w:val="center"/>
              <w:rPr>
                <w:lang w:val="zh-CN"/>
              </w:rPr>
            </w:pPr>
            <w:r w:rsidRPr="00536CFD">
              <w:rPr>
                <w:lang w:val="zh-CN"/>
              </w:rPr>
              <w:t>12.036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DAF839F" w14:textId="77777777" w:rsidR="004346F3" w:rsidRPr="00536CFD" w:rsidRDefault="004346F3" w:rsidP="00802ABC">
            <w:pPr>
              <w:spacing w:after="0"/>
              <w:jc w:val="center"/>
              <w:rPr>
                <w:lang w:val="zh-CN"/>
              </w:rPr>
            </w:pPr>
            <w:r w:rsidRPr="00536CFD">
              <w:rPr>
                <w:lang w:val="zh-CN"/>
              </w:rPr>
              <w:t>8.295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15946FF" w14:textId="77777777" w:rsidR="004346F3" w:rsidRPr="00536CFD" w:rsidRDefault="004346F3" w:rsidP="00802ABC">
            <w:pPr>
              <w:spacing w:after="0"/>
              <w:jc w:val="center"/>
              <w:rPr>
                <w:lang w:val="zh-CN"/>
              </w:rPr>
            </w:pPr>
            <w:r w:rsidRPr="00536CFD">
              <w:rPr>
                <w:lang w:val="zh-CN"/>
              </w:rPr>
              <w:t>0.608</w:t>
            </w:r>
          </w:p>
        </w:tc>
        <w:tc>
          <w:tcPr>
            <w:tcW w:w="676" w:type="dxa"/>
            <w:tcBorders>
              <w:top w:val="single" w:sz="4" w:space="0" w:color="auto"/>
              <w:left w:val="nil"/>
              <w:bottom w:val="single" w:sz="4" w:space="0" w:color="auto"/>
              <w:right w:val="single" w:sz="4" w:space="0" w:color="auto"/>
            </w:tcBorders>
            <w:shd w:val="clear" w:color="auto" w:fill="auto"/>
            <w:vAlign w:val="bottom"/>
          </w:tcPr>
          <w:p w14:paraId="3905957B" w14:textId="77777777" w:rsidR="004346F3" w:rsidRPr="00536CFD" w:rsidRDefault="004346F3" w:rsidP="00802ABC">
            <w:pPr>
              <w:spacing w:after="0"/>
              <w:jc w:val="center"/>
              <w:rPr>
                <w:lang w:val="zh-CN"/>
              </w:rPr>
            </w:pPr>
            <w:r w:rsidRPr="00536CFD">
              <w:rPr>
                <w:lang w:val="zh-CN"/>
              </w:rPr>
              <w:t>0.074</w:t>
            </w:r>
          </w:p>
        </w:tc>
      </w:tr>
      <w:tr w:rsidR="004346F3" w:rsidRPr="00C64ECB" w14:paraId="3ACBC106"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6FBE919"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292A323C"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0" w:type="dxa"/>
            <w:tcBorders>
              <w:top w:val="single" w:sz="4" w:space="0" w:color="auto"/>
              <w:left w:val="nil"/>
              <w:bottom w:val="single" w:sz="4" w:space="0" w:color="auto"/>
              <w:right w:val="single" w:sz="4" w:space="0" w:color="auto"/>
            </w:tcBorders>
            <w:shd w:val="clear" w:color="auto" w:fill="auto"/>
            <w:vAlign w:val="bottom"/>
          </w:tcPr>
          <w:p w14:paraId="52D5EC95"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3E1E039" w14:textId="77777777" w:rsidR="004346F3" w:rsidRPr="00536CFD" w:rsidRDefault="004346F3" w:rsidP="00802ABC">
            <w:pPr>
              <w:spacing w:after="0"/>
              <w:jc w:val="center"/>
              <w:rPr>
                <w:lang w:val="zh-CN"/>
              </w:rPr>
            </w:pPr>
            <w:r w:rsidRPr="00536CFD">
              <w:rPr>
                <w:lang w:val="zh-CN"/>
              </w:rPr>
              <w:t>1.00</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B63F194"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43792CF" w14:textId="77777777" w:rsidR="004346F3" w:rsidRPr="00536CFD" w:rsidRDefault="004346F3" w:rsidP="00802ABC">
            <w:pPr>
              <w:spacing w:after="0"/>
              <w:jc w:val="center"/>
              <w:rPr>
                <w:lang w:val="zh-CN"/>
              </w:rPr>
            </w:pPr>
            <w:r w:rsidRPr="00536CFD">
              <w:rPr>
                <w:lang w:val="zh-CN"/>
              </w:rPr>
              <w:t>1.00</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307D315" w14:textId="77777777" w:rsidR="004346F3" w:rsidRPr="00536CFD" w:rsidRDefault="004346F3" w:rsidP="00802ABC">
            <w:pPr>
              <w:spacing w:after="0"/>
              <w:jc w:val="center"/>
              <w:rPr>
                <w:lang w:val="zh-CN"/>
              </w:rPr>
            </w:pPr>
            <w:r w:rsidRPr="00536CFD">
              <w:rPr>
                <w:lang w:val="zh-CN"/>
              </w:rPr>
              <w:t>1.00</w:t>
            </w:r>
          </w:p>
        </w:tc>
        <w:tc>
          <w:tcPr>
            <w:tcW w:w="714" w:type="dxa"/>
            <w:tcBorders>
              <w:top w:val="single" w:sz="4" w:space="0" w:color="auto"/>
              <w:left w:val="nil"/>
              <w:bottom w:val="single" w:sz="4" w:space="0" w:color="auto"/>
              <w:right w:val="single" w:sz="4" w:space="0" w:color="auto"/>
            </w:tcBorders>
            <w:shd w:val="clear" w:color="auto" w:fill="auto"/>
            <w:vAlign w:val="bottom"/>
          </w:tcPr>
          <w:p w14:paraId="3E39BC33"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47F5B5C3"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384ACD63"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8B616BF" w14:textId="77777777" w:rsidR="004346F3" w:rsidRPr="00536CFD" w:rsidRDefault="004346F3" w:rsidP="00802ABC">
            <w:pPr>
              <w:spacing w:after="0"/>
              <w:jc w:val="center"/>
              <w:rPr>
                <w:lang w:val="zh-CN"/>
              </w:rPr>
            </w:pPr>
            <w:r w:rsidRPr="00536CFD">
              <w:rPr>
                <w:lang w:val="zh-CN"/>
              </w:rPr>
              <w:t>0.98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C9377AC" w14:textId="77777777" w:rsidR="004346F3" w:rsidRPr="00536CFD" w:rsidRDefault="004346F3" w:rsidP="00802ABC">
            <w:pPr>
              <w:spacing w:after="0"/>
              <w:jc w:val="center"/>
              <w:rPr>
                <w:lang w:val="zh-CN"/>
              </w:rPr>
            </w:pPr>
            <w:r w:rsidRPr="00536CFD">
              <w:rPr>
                <w:lang w:val="zh-CN"/>
              </w:rPr>
              <w:t>0.97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062FCF7" w14:textId="77777777" w:rsidR="004346F3" w:rsidRPr="00536CFD" w:rsidRDefault="004346F3" w:rsidP="00802ABC">
            <w:pPr>
              <w:spacing w:after="0"/>
              <w:jc w:val="center"/>
              <w:rPr>
                <w:lang w:val="zh-CN"/>
              </w:rPr>
            </w:pPr>
            <w:r w:rsidRPr="00536CFD">
              <w:rPr>
                <w:lang w:val="zh-CN"/>
              </w:rPr>
              <w:t>0.99</w:t>
            </w:r>
          </w:p>
        </w:tc>
        <w:tc>
          <w:tcPr>
            <w:tcW w:w="676" w:type="dxa"/>
            <w:tcBorders>
              <w:top w:val="single" w:sz="4" w:space="0" w:color="auto"/>
              <w:left w:val="nil"/>
              <w:bottom w:val="single" w:sz="4" w:space="0" w:color="auto"/>
              <w:right w:val="single" w:sz="4" w:space="0" w:color="auto"/>
            </w:tcBorders>
            <w:shd w:val="clear" w:color="auto" w:fill="auto"/>
            <w:vAlign w:val="bottom"/>
          </w:tcPr>
          <w:p w14:paraId="208F76C2" w14:textId="77777777" w:rsidR="004346F3" w:rsidRPr="00536CFD" w:rsidRDefault="004346F3" w:rsidP="00802ABC">
            <w:pPr>
              <w:spacing w:after="0"/>
              <w:jc w:val="center"/>
              <w:rPr>
                <w:lang w:val="zh-CN"/>
              </w:rPr>
            </w:pPr>
            <w:r w:rsidRPr="00536CFD">
              <w:rPr>
                <w:lang w:val="zh-CN"/>
              </w:rPr>
              <w:t>1.00</w:t>
            </w:r>
          </w:p>
        </w:tc>
      </w:tr>
      <w:tr w:rsidR="004346F3" w:rsidRPr="00C64ECB" w14:paraId="30DEC7E9"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5B8E723"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1187E908"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0" w:type="dxa"/>
            <w:tcBorders>
              <w:top w:val="single" w:sz="4" w:space="0" w:color="auto"/>
              <w:left w:val="nil"/>
              <w:bottom w:val="single" w:sz="4" w:space="0" w:color="auto"/>
              <w:right w:val="single" w:sz="4" w:space="0" w:color="auto"/>
            </w:tcBorders>
            <w:shd w:val="clear" w:color="auto" w:fill="auto"/>
            <w:vAlign w:val="bottom"/>
          </w:tcPr>
          <w:p w14:paraId="26039E0B"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3D2C012" w14:textId="77777777" w:rsidR="004346F3" w:rsidRPr="00536CFD" w:rsidRDefault="004346F3" w:rsidP="00802ABC">
            <w:pPr>
              <w:spacing w:after="0"/>
              <w:jc w:val="center"/>
              <w:rPr>
                <w:lang w:val="zh-CN"/>
              </w:rPr>
            </w:pPr>
            <w:r w:rsidRPr="00536CFD">
              <w:rPr>
                <w:lang w:val="zh-CN"/>
              </w:rPr>
              <w:t>1.00</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771F5597"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8238728" w14:textId="77777777" w:rsidR="004346F3" w:rsidRPr="00536CFD" w:rsidRDefault="004346F3" w:rsidP="00802ABC">
            <w:pPr>
              <w:spacing w:after="0"/>
              <w:jc w:val="center"/>
              <w:rPr>
                <w:lang w:val="zh-CN"/>
              </w:rPr>
            </w:pPr>
            <w:r w:rsidRPr="00536CFD">
              <w:rPr>
                <w:lang w:val="zh-CN"/>
              </w:rPr>
              <w:t>1.00</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5604C267" w14:textId="77777777" w:rsidR="004346F3" w:rsidRPr="00536CFD" w:rsidRDefault="004346F3" w:rsidP="00802ABC">
            <w:pPr>
              <w:spacing w:after="0"/>
              <w:jc w:val="center"/>
              <w:rPr>
                <w:lang w:val="zh-CN"/>
              </w:rPr>
            </w:pPr>
            <w:r w:rsidRPr="00536CFD">
              <w:rPr>
                <w:lang w:val="zh-CN"/>
              </w:rPr>
              <w:t>0.99</w:t>
            </w:r>
          </w:p>
        </w:tc>
        <w:tc>
          <w:tcPr>
            <w:tcW w:w="714" w:type="dxa"/>
            <w:tcBorders>
              <w:top w:val="single" w:sz="4" w:space="0" w:color="auto"/>
              <w:left w:val="nil"/>
              <w:bottom w:val="single" w:sz="4" w:space="0" w:color="auto"/>
              <w:right w:val="single" w:sz="4" w:space="0" w:color="auto"/>
            </w:tcBorders>
            <w:shd w:val="clear" w:color="auto" w:fill="auto"/>
            <w:vAlign w:val="bottom"/>
          </w:tcPr>
          <w:p w14:paraId="0FA2BE17"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71633592"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060B0B3E"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0BAFDE5" w14:textId="77777777" w:rsidR="004346F3" w:rsidRPr="00536CFD" w:rsidRDefault="004346F3" w:rsidP="00802ABC">
            <w:pPr>
              <w:spacing w:after="0"/>
              <w:jc w:val="center"/>
              <w:rPr>
                <w:lang w:val="zh-CN"/>
              </w:rPr>
            </w:pPr>
            <w:r w:rsidRPr="00536CFD">
              <w:rPr>
                <w:lang w:val="zh-CN"/>
              </w:rPr>
              <w:t>0.96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0AB391F" w14:textId="77777777" w:rsidR="004346F3" w:rsidRPr="00536CFD" w:rsidRDefault="004346F3" w:rsidP="00802ABC">
            <w:pPr>
              <w:spacing w:after="0"/>
              <w:jc w:val="center"/>
              <w:rPr>
                <w:lang w:val="zh-CN"/>
              </w:rPr>
            </w:pPr>
            <w:r w:rsidRPr="00536CFD">
              <w:rPr>
                <w:lang w:val="zh-CN"/>
              </w:rPr>
              <w:t>0.96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3BB28B6" w14:textId="77777777" w:rsidR="004346F3" w:rsidRPr="00536CFD" w:rsidRDefault="004346F3" w:rsidP="00802ABC">
            <w:pPr>
              <w:spacing w:after="0"/>
              <w:jc w:val="center"/>
              <w:rPr>
                <w:lang w:val="zh-CN"/>
              </w:rPr>
            </w:pPr>
            <w:r w:rsidRPr="00536CFD">
              <w:rPr>
                <w:lang w:val="zh-CN"/>
              </w:rPr>
              <w:t>1.00</w:t>
            </w:r>
          </w:p>
        </w:tc>
        <w:tc>
          <w:tcPr>
            <w:tcW w:w="676" w:type="dxa"/>
            <w:tcBorders>
              <w:top w:val="single" w:sz="4" w:space="0" w:color="auto"/>
              <w:left w:val="nil"/>
              <w:bottom w:val="single" w:sz="4" w:space="0" w:color="auto"/>
              <w:right w:val="single" w:sz="4" w:space="0" w:color="auto"/>
            </w:tcBorders>
            <w:shd w:val="clear" w:color="auto" w:fill="auto"/>
            <w:vAlign w:val="bottom"/>
          </w:tcPr>
          <w:p w14:paraId="4E15AEC6" w14:textId="77777777" w:rsidR="004346F3" w:rsidRPr="00536CFD" w:rsidRDefault="004346F3" w:rsidP="00802ABC">
            <w:pPr>
              <w:spacing w:after="0"/>
              <w:jc w:val="center"/>
              <w:rPr>
                <w:lang w:val="zh-CN"/>
              </w:rPr>
            </w:pPr>
            <w:r w:rsidRPr="00536CFD">
              <w:rPr>
                <w:lang w:val="zh-CN"/>
              </w:rPr>
              <w:t>1.00</w:t>
            </w:r>
          </w:p>
        </w:tc>
      </w:tr>
      <w:tr w:rsidR="004346F3" w:rsidRPr="00C64ECB" w14:paraId="6808081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DA7F149"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5EE06DD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0" w:type="dxa"/>
            <w:tcBorders>
              <w:top w:val="single" w:sz="4" w:space="0" w:color="auto"/>
              <w:left w:val="nil"/>
              <w:bottom w:val="single" w:sz="4" w:space="0" w:color="auto"/>
              <w:right w:val="single" w:sz="4" w:space="0" w:color="auto"/>
            </w:tcBorders>
            <w:shd w:val="clear" w:color="auto" w:fill="auto"/>
            <w:vAlign w:val="bottom"/>
          </w:tcPr>
          <w:p w14:paraId="62E28F5E" w14:textId="77777777" w:rsidR="004346F3" w:rsidRPr="00536CFD" w:rsidRDefault="004346F3" w:rsidP="00802ABC">
            <w:pPr>
              <w:spacing w:after="0"/>
              <w:jc w:val="center"/>
              <w:rPr>
                <w:lang w:val="zh-CN"/>
              </w:rPr>
            </w:pPr>
            <w:r w:rsidRPr="00536CFD">
              <w:rPr>
                <w:lang w:val="zh-CN"/>
              </w:rPr>
              <w:t>0.21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8A3072E" w14:textId="77777777" w:rsidR="004346F3" w:rsidRPr="00536CFD" w:rsidRDefault="004346F3" w:rsidP="00802ABC">
            <w:pPr>
              <w:spacing w:after="0"/>
              <w:jc w:val="center"/>
              <w:rPr>
                <w:lang w:val="zh-CN"/>
              </w:rPr>
            </w:pPr>
            <w:r w:rsidRPr="00536CFD">
              <w:rPr>
                <w:lang w:val="zh-CN"/>
              </w:rPr>
              <w:t>0.17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157371F" w14:textId="77777777" w:rsidR="004346F3" w:rsidRPr="00536CFD" w:rsidRDefault="004346F3" w:rsidP="00802ABC">
            <w:pPr>
              <w:spacing w:after="0"/>
              <w:jc w:val="center"/>
              <w:rPr>
                <w:lang w:val="zh-CN"/>
              </w:rPr>
            </w:pPr>
            <w:r w:rsidRPr="00536CFD">
              <w:rPr>
                <w:lang w:val="zh-CN"/>
              </w:rPr>
              <w:t>0.10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9EA57B5" w14:textId="77777777" w:rsidR="004346F3" w:rsidRPr="00536CFD" w:rsidRDefault="004346F3" w:rsidP="00802ABC">
            <w:pPr>
              <w:spacing w:after="0"/>
              <w:jc w:val="center"/>
              <w:rPr>
                <w:lang w:val="zh-CN"/>
              </w:rPr>
            </w:pPr>
            <w:r w:rsidRPr="00536CFD">
              <w:rPr>
                <w:lang w:val="zh-CN"/>
              </w:rPr>
              <w:t>0.06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0E33A47B" w14:textId="77777777" w:rsidR="004346F3" w:rsidRPr="00536CFD" w:rsidRDefault="004346F3" w:rsidP="00802ABC">
            <w:pPr>
              <w:spacing w:after="0"/>
              <w:jc w:val="center"/>
              <w:rPr>
                <w:lang w:val="zh-CN"/>
              </w:rPr>
            </w:pPr>
            <w:r w:rsidRPr="00536CFD">
              <w:rPr>
                <w:lang w:val="zh-CN"/>
              </w:rPr>
              <w:t>0.41</w:t>
            </w:r>
          </w:p>
        </w:tc>
        <w:tc>
          <w:tcPr>
            <w:tcW w:w="714" w:type="dxa"/>
            <w:tcBorders>
              <w:top w:val="single" w:sz="4" w:space="0" w:color="auto"/>
              <w:left w:val="nil"/>
              <w:bottom w:val="single" w:sz="4" w:space="0" w:color="auto"/>
              <w:right w:val="single" w:sz="4" w:space="0" w:color="auto"/>
            </w:tcBorders>
            <w:shd w:val="clear" w:color="auto" w:fill="auto"/>
            <w:vAlign w:val="bottom"/>
          </w:tcPr>
          <w:p w14:paraId="6E39C179" w14:textId="77777777" w:rsidR="004346F3" w:rsidRPr="00536CFD" w:rsidRDefault="004346F3" w:rsidP="00802ABC">
            <w:pPr>
              <w:spacing w:after="0"/>
              <w:jc w:val="center"/>
              <w:rPr>
                <w:lang w:val="zh-CN"/>
              </w:rPr>
            </w:pPr>
            <w:r w:rsidRPr="00536CFD">
              <w:rPr>
                <w:lang w:val="zh-CN"/>
              </w:rPr>
              <w:t>0.33</w:t>
            </w:r>
          </w:p>
        </w:tc>
        <w:tc>
          <w:tcPr>
            <w:tcW w:w="719" w:type="dxa"/>
            <w:tcBorders>
              <w:top w:val="single" w:sz="4" w:space="0" w:color="auto"/>
              <w:left w:val="nil"/>
              <w:bottom w:val="single" w:sz="4" w:space="0" w:color="auto"/>
              <w:right w:val="single" w:sz="4" w:space="0" w:color="auto"/>
            </w:tcBorders>
            <w:shd w:val="clear" w:color="auto" w:fill="auto"/>
            <w:vAlign w:val="bottom"/>
          </w:tcPr>
          <w:p w14:paraId="38C0210A" w14:textId="77777777" w:rsidR="004346F3" w:rsidRPr="00536CFD" w:rsidRDefault="004346F3" w:rsidP="00802ABC">
            <w:pPr>
              <w:spacing w:after="0"/>
              <w:jc w:val="center"/>
              <w:rPr>
                <w:lang w:val="zh-CN"/>
              </w:rPr>
            </w:pPr>
            <w:r w:rsidRPr="00536CFD">
              <w:rPr>
                <w:lang w:val="zh-CN"/>
              </w:rPr>
              <w:t>0.20</w:t>
            </w:r>
          </w:p>
        </w:tc>
        <w:tc>
          <w:tcPr>
            <w:tcW w:w="719" w:type="dxa"/>
            <w:tcBorders>
              <w:top w:val="single" w:sz="4" w:space="0" w:color="auto"/>
              <w:left w:val="nil"/>
              <w:bottom w:val="single" w:sz="4" w:space="0" w:color="auto"/>
              <w:right w:val="single" w:sz="4" w:space="0" w:color="auto"/>
            </w:tcBorders>
            <w:shd w:val="clear" w:color="auto" w:fill="auto"/>
            <w:vAlign w:val="bottom"/>
          </w:tcPr>
          <w:p w14:paraId="3DC04DA1" w14:textId="77777777" w:rsidR="004346F3" w:rsidRPr="00536CFD" w:rsidRDefault="004346F3" w:rsidP="00802ABC">
            <w:pPr>
              <w:spacing w:after="0"/>
              <w:jc w:val="center"/>
              <w:rPr>
                <w:lang w:val="zh-CN"/>
              </w:rPr>
            </w:pPr>
            <w:r w:rsidRPr="00536CFD">
              <w:rPr>
                <w:lang w:val="zh-CN"/>
              </w:rPr>
              <w:t>0.08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56F00E4" w14:textId="77777777" w:rsidR="004346F3" w:rsidRPr="00536CFD" w:rsidRDefault="004346F3" w:rsidP="00802ABC">
            <w:pPr>
              <w:spacing w:after="0"/>
              <w:jc w:val="center"/>
              <w:rPr>
                <w:lang w:val="zh-CN"/>
              </w:rPr>
            </w:pPr>
            <w:r w:rsidRPr="00536CFD">
              <w:rPr>
                <w:lang w:val="zh-CN"/>
              </w:rPr>
              <w:t>0.67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E81F7C7" w14:textId="77777777" w:rsidR="004346F3" w:rsidRPr="00536CFD" w:rsidRDefault="004346F3" w:rsidP="00802ABC">
            <w:pPr>
              <w:spacing w:after="0"/>
              <w:jc w:val="center"/>
              <w:rPr>
                <w:lang w:val="zh-CN"/>
              </w:rPr>
            </w:pPr>
            <w:r w:rsidRPr="00536CFD">
              <w:rPr>
                <w:lang w:val="zh-CN"/>
              </w:rPr>
              <w:t>0.58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B0B7C0A" w14:textId="77777777" w:rsidR="004346F3" w:rsidRPr="00536CFD" w:rsidRDefault="004346F3" w:rsidP="00802ABC">
            <w:pPr>
              <w:spacing w:after="0"/>
              <w:jc w:val="center"/>
              <w:rPr>
                <w:lang w:val="zh-CN"/>
              </w:rPr>
            </w:pPr>
            <w:r w:rsidRPr="00536CFD">
              <w:rPr>
                <w:lang w:val="zh-CN"/>
              </w:rPr>
              <w:t>0.39</w:t>
            </w:r>
          </w:p>
        </w:tc>
        <w:tc>
          <w:tcPr>
            <w:tcW w:w="676" w:type="dxa"/>
            <w:tcBorders>
              <w:top w:val="single" w:sz="4" w:space="0" w:color="auto"/>
              <w:left w:val="nil"/>
              <w:bottom w:val="single" w:sz="4" w:space="0" w:color="auto"/>
              <w:right w:val="single" w:sz="4" w:space="0" w:color="auto"/>
            </w:tcBorders>
            <w:shd w:val="clear" w:color="auto" w:fill="auto"/>
            <w:vAlign w:val="bottom"/>
          </w:tcPr>
          <w:p w14:paraId="42A250F1" w14:textId="77777777" w:rsidR="004346F3" w:rsidRPr="00536CFD" w:rsidRDefault="004346F3" w:rsidP="00802ABC">
            <w:pPr>
              <w:spacing w:after="0"/>
              <w:jc w:val="center"/>
              <w:rPr>
                <w:lang w:val="zh-CN"/>
              </w:rPr>
            </w:pPr>
            <w:r w:rsidRPr="00536CFD">
              <w:rPr>
                <w:lang w:val="zh-CN"/>
              </w:rPr>
              <w:t>0.12</w:t>
            </w:r>
          </w:p>
        </w:tc>
      </w:tr>
      <w:tr w:rsidR="004346F3" w:rsidRPr="00C64ECB" w14:paraId="354BC26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72A37D7"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49ACE768" w14:textId="77777777" w:rsidR="004346F3" w:rsidRPr="00536CFD" w:rsidRDefault="004346F3" w:rsidP="00802ABC">
            <w:pPr>
              <w:spacing w:after="0"/>
              <w:jc w:val="center"/>
            </w:pPr>
            <w:r w:rsidRPr="00536CFD">
              <w:rPr>
                <w:rFonts w:ascii="Cambria Math" w:hAnsi="Cambria Math" w:cs="Cambria Math"/>
              </w:rPr>
              <w:t>𝜆</w:t>
            </w:r>
          </w:p>
        </w:tc>
        <w:tc>
          <w:tcPr>
            <w:tcW w:w="2515" w:type="dxa"/>
            <w:gridSpan w:val="7"/>
            <w:tcBorders>
              <w:top w:val="single" w:sz="4" w:space="0" w:color="auto"/>
              <w:left w:val="nil"/>
              <w:bottom w:val="single" w:sz="4" w:space="0" w:color="auto"/>
              <w:right w:val="single" w:sz="4" w:space="0" w:color="auto"/>
            </w:tcBorders>
            <w:shd w:val="clear" w:color="auto" w:fill="auto"/>
          </w:tcPr>
          <w:p w14:paraId="09365262" w14:textId="77777777" w:rsidR="004346F3" w:rsidRPr="00536CFD" w:rsidRDefault="004346F3" w:rsidP="00802ABC">
            <w:pPr>
              <w:spacing w:after="0"/>
              <w:jc w:val="center"/>
              <w:rPr>
                <w:lang w:val="zh-CN"/>
              </w:rPr>
            </w:pPr>
            <w:r w:rsidRPr="00536CFD">
              <w:rPr>
                <w:lang w:val="zh-CN"/>
              </w:rPr>
              <w:t>1.2Mbps</w:t>
            </w:r>
          </w:p>
        </w:tc>
        <w:tc>
          <w:tcPr>
            <w:tcW w:w="2866" w:type="dxa"/>
            <w:gridSpan w:val="5"/>
            <w:tcBorders>
              <w:top w:val="single" w:sz="4" w:space="0" w:color="auto"/>
              <w:left w:val="nil"/>
              <w:bottom w:val="single" w:sz="4" w:space="0" w:color="auto"/>
              <w:right w:val="single" w:sz="4" w:space="0" w:color="auto"/>
            </w:tcBorders>
            <w:shd w:val="clear" w:color="auto" w:fill="auto"/>
          </w:tcPr>
          <w:p w14:paraId="040325AA" w14:textId="77777777" w:rsidR="004346F3" w:rsidRPr="00536CFD" w:rsidRDefault="004346F3" w:rsidP="00802ABC">
            <w:pPr>
              <w:spacing w:after="0"/>
              <w:jc w:val="center"/>
              <w:rPr>
                <w:lang w:val="zh-CN"/>
              </w:rPr>
            </w:pPr>
            <w:r w:rsidRPr="00536CFD">
              <w:rPr>
                <w:lang w:val="zh-CN"/>
              </w:rPr>
              <w:t>1.5Mbps</w:t>
            </w:r>
          </w:p>
        </w:tc>
        <w:tc>
          <w:tcPr>
            <w:tcW w:w="2885" w:type="dxa"/>
            <w:gridSpan w:val="7"/>
            <w:tcBorders>
              <w:top w:val="single" w:sz="4" w:space="0" w:color="auto"/>
              <w:left w:val="nil"/>
              <w:bottom w:val="single" w:sz="4" w:space="0" w:color="auto"/>
              <w:right w:val="single" w:sz="4" w:space="0" w:color="auto"/>
            </w:tcBorders>
            <w:shd w:val="clear" w:color="auto" w:fill="auto"/>
          </w:tcPr>
          <w:p w14:paraId="07C896BF" w14:textId="77777777" w:rsidR="004346F3" w:rsidRPr="00536CFD" w:rsidRDefault="004346F3" w:rsidP="00802ABC">
            <w:pPr>
              <w:spacing w:after="0"/>
              <w:jc w:val="center"/>
              <w:rPr>
                <w:lang w:val="zh-CN"/>
              </w:rPr>
            </w:pPr>
            <w:r w:rsidRPr="00536CFD">
              <w:rPr>
                <w:lang w:val="zh-CN"/>
              </w:rPr>
              <w:t>1.8Mbps</w:t>
            </w:r>
          </w:p>
        </w:tc>
      </w:tr>
      <w:tr w:rsidR="004346F3" w:rsidRPr="00C64ECB" w14:paraId="67205FE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66DB8EB"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2A5BDE7F" w14:textId="77777777" w:rsidR="004346F3" w:rsidRPr="00536CFD" w:rsidRDefault="004346F3" w:rsidP="00802ABC">
            <w:pPr>
              <w:spacing w:after="0"/>
              <w:contextualSpacing/>
              <w:rPr>
                <w:lang w:val="en-US" w:bidi="ar"/>
              </w:rPr>
            </w:pPr>
          </w:p>
        </w:tc>
        <w:tc>
          <w:tcPr>
            <w:tcW w:w="8266" w:type="dxa"/>
            <w:gridSpan w:val="19"/>
            <w:tcBorders>
              <w:top w:val="single" w:sz="4" w:space="0" w:color="auto"/>
              <w:left w:val="nil"/>
              <w:bottom w:val="single" w:sz="4" w:space="0" w:color="auto"/>
              <w:right w:val="single" w:sz="4" w:space="0" w:color="auto"/>
            </w:tcBorders>
            <w:shd w:val="clear" w:color="auto" w:fill="auto"/>
          </w:tcPr>
          <w:p w14:paraId="217380C9" w14:textId="77777777" w:rsidR="004346F3" w:rsidRPr="00536CFD" w:rsidRDefault="004346F3" w:rsidP="00802ABC">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enabled, ED/PD threshold -62/-82 dBm, A-MPDU size is chosen to get MPDU duration of 1ms, Wi-Fi Guard Interval long,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Switching points no longer than than 16 µs every 2ms for CSI feedback, UL grant update.</w:t>
            </w:r>
          </w:p>
        </w:tc>
      </w:tr>
      <w:tr w:rsidR="004346F3" w:rsidRPr="00C64ECB" w14:paraId="68D69C04" w14:textId="77777777" w:rsidTr="00802ABC">
        <w:trPr>
          <w:cantSplit/>
          <w:trHeight w:val="20"/>
        </w:trPr>
        <w:tc>
          <w:tcPr>
            <w:tcW w:w="269" w:type="dxa"/>
            <w:vMerge w:val="restart"/>
            <w:tcBorders>
              <w:top w:val="nil"/>
              <w:left w:val="single" w:sz="4" w:space="0" w:color="auto"/>
              <w:bottom w:val="single" w:sz="4" w:space="0" w:color="auto"/>
              <w:right w:val="single" w:sz="4" w:space="0" w:color="auto"/>
            </w:tcBorders>
            <w:shd w:val="clear" w:color="auto" w:fill="auto"/>
            <w:textDirection w:val="btLr"/>
          </w:tcPr>
          <w:p w14:paraId="600C2CA8"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541" w:type="dxa"/>
            <w:vMerge w:val="restart"/>
            <w:tcBorders>
              <w:top w:val="nil"/>
              <w:left w:val="nil"/>
              <w:bottom w:val="single" w:sz="4" w:space="0" w:color="auto"/>
              <w:right w:val="single" w:sz="4" w:space="0" w:color="auto"/>
            </w:tcBorders>
            <w:shd w:val="clear" w:color="auto" w:fill="auto"/>
          </w:tcPr>
          <w:p w14:paraId="4E1A2004"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5B4B2460"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6CBF586E" w14:textId="77777777" w:rsidR="004346F3" w:rsidRPr="00536CFD" w:rsidRDefault="004346F3" w:rsidP="00802ABC">
            <w:pPr>
              <w:pageBreakBefore/>
              <w:spacing w:after="0"/>
              <w:jc w:val="center"/>
              <w:rPr>
                <w:lang w:val="zh-CN"/>
              </w:rPr>
            </w:pPr>
            <w:r w:rsidRPr="00536CFD">
              <w:rPr>
                <w:color w:val="000000"/>
              </w:rPr>
              <w:t>22.15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3B060D6" w14:textId="77777777" w:rsidR="004346F3" w:rsidRPr="00536CFD" w:rsidRDefault="004346F3" w:rsidP="00802ABC">
            <w:pPr>
              <w:pageBreakBefore/>
              <w:spacing w:after="0"/>
              <w:jc w:val="center"/>
              <w:rPr>
                <w:lang w:val="zh-CN"/>
              </w:rPr>
            </w:pPr>
            <w:r w:rsidRPr="00536CFD">
              <w:rPr>
                <w:color w:val="000000"/>
              </w:rPr>
              <w:t>28.73</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207FA25F" w14:textId="77777777" w:rsidR="004346F3" w:rsidRPr="00536CFD" w:rsidRDefault="004346F3" w:rsidP="00802ABC">
            <w:pPr>
              <w:pageBreakBefore/>
              <w:spacing w:after="0"/>
              <w:jc w:val="center"/>
              <w:rPr>
                <w:lang w:val="zh-CN"/>
              </w:rPr>
            </w:pPr>
            <w:r w:rsidRPr="00536CFD">
              <w:rPr>
                <w:color w:val="000000"/>
              </w:rPr>
              <w:t>61.1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B84EBEE" w14:textId="77777777" w:rsidR="004346F3" w:rsidRPr="00536CFD" w:rsidRDefault="004346F3" w:rsidP="00802ABC">
            <w:pPr>
              <w:pageBreakBefore/>
              <w:spacing w:after="0"/>
              <w:jc w:val="center"/>
              <w:rPr>
                <w:lang w:val="zh-CN"/>
              </w:rPr>
            </w:pPr>
            <w:r w:rsidRPr="00536CFD">
              <w:rPr>
                <w:color w:val="000000"/>
              </w:rPr>
              <w:t>76.71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55BE600" w14:textId="77777777" w:rsidR="004346F3" w:rsidRPr="00536CFD" w:rsidRDefault="004346F3" w:rsidP="00802ABC">
            <w:pPr>
              <w:pageBreakBefore/>
              <w:spacing w:after="0"/>
              <w:jc w:val="center"/>
              <w:rPr>
                <w:lang w:val="zh-CN"/>
              </w:rPr>
            </w:pPr>
            <w:r w:rsidRPr="00536CFD">
              <w:rPr>
                <w:color w:val="000000"/>
              </w:rPr>
              <w:t>10.8</w:t>
            </w:r>
          </w:p>
        </w:tc>
        <w:tc>
          <w:tcPr>
            <w:tcW w:w="714" w:type="dxa"/>
            <w:tcBorders>
              <w:top w:val="single" w:sz="4" w:space="0" w:color="auto"/>
              <w:left w:val="nil"/>
              <w:bottom w:val="single" w:sz="4" w:space="0" w:color="auto"/>
              <w:right w:val="single" w:sz="4" w:space="0" w:color="auto"/>
            </w:tcBorders>
            <w:shd w:val="clear" w:color="auto" w:fill="auto"/>
            <w:vAlign w:val="bottom"/>
          </w:tcPr>
          <w:p w14:paraId="01934DFE" w14:textId="77777777" w:rsidR="004346F3" w:rsidRPr="00536CFD" w:rsidRDefault="004346F3" w:rsidP="00802ABC">
            <w:pPr>
              <w:pageBreakBefore/>
              <w:spacing w:after="0"/>
              <w:jc w:val="center"/>
              <w:rPr>
                <w:lang w:val="zh-CN"/>
              </w:rPr>
            </w:pPr>
            <w:r w:rsidRPr="00536CFD">
              <w:rPr>
                <w:color w:val="000000"/>
              </w:rPr>
              <w:t>12.12</w:t>
            </w:r>
          </w:p>
        </w:tc>
        <w:tc>
          <w:tcPr>
            <w:tcW w:w="719" w:type="dxa"/>
            <w:tcBorders>
              <w:top w:val="single" w:sz="4" w:space="0" w:color="auto"/>
              <w:left w:val="nil"/>
              <w:bottom w:val="single" w:sz="4" w:space="0" w:color="auto"/>
              <w:right w:val="single" w:sz="4" w:space="0" w:color="auto"/>
            </w:tcBorders>
            <w:shd w:val="clear" w:color="auto" w:fill="auto"/>
            <w:vAlign w:val="bottom"/>
          </w:tcPr>
          <w:p w14:paraId="0B23C166" w14:textId="77777777" w:rsidR="004346F3" w:rsidRPr="00536CFD" w:rsidRDefault="004346F3" w:rsidP="00802ABC">
            <w:pPr>
              <w:pageBreakBefore/>
              <w:spacing w:after="0"/>
              <w:jc w:val="center"/>
              <w:rPr>
                <w:lang w:val="zh-CN"/>
              </w:rPr>
            </w:pPr>
            <w:r w:rsidRPr="00536CFD">
              <w:rPr>
                <w:color w:val="000000"/>
              </w:rPr>
              <w:t>37.04</w:t>
            </w:r>
          </w:p>
        </w:tc>
        <w:tc>
          <w:tcPr>
            <w:tcW w:w="719" w:type="dxa"/>
            <w:tcBorders>
              <w:top w:val="single" w:sz="4" w:space="0" w:color="auto"/>
              <w:left w:val="nil"/>
              <w:bottom w:val="single" w:sz="4" w:space="0" w:color="auto"/>
              <w:right w:val="single" w:sz="4" w:space="0" w:color="auto"/>
            </w:tcBorders>
            <w:shd w:val="clear" w:color="auto" w:fill="auto"/>
            <w:vAlign w:val="bottom"/>
          </w:tcPr>
          <w:p w14:paraId="75BF1B67" w14:textId="77777777" w:rsidR="004346F3" w:rsidRPr="00536CFD" w:rsidRDefault="004346F3" w:rsidP="00802ABC">
            <w:pPr>
              <w:pageBreakBefore/>
              <w:spacing w:after="0"/>
              <w:jc w:val="center"/>
              <w:rPr>
                <w:lang w:val="zh-CN"/>
              </w:rPr>
            </w:pPr>
            <w:r w:rsidRPr="00536CFD">
              <w:rPr>
                <w:color w:val="000000"/>
              </w:rPr>
              <w:t>70.95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F8B3059" w14:textId="77777777" w:rsidR="004346F3" w:rsidRPr="00536CFD" w:rsidRDefault="004346F3" w:rsidP="00802ABC">
            <w:pPr>
              <w:pageBreakBefore/>
              <w:spacing w:after="0"/>
              <w:jc w:val="center"/>
              <w:rPr>
                <w:lang w:val="zh-CN"/>
              </w:rPr>
            </w:pPr>
            <w:r w:rsidRPr="00536CFD">
              <w:rPr>
                <w:color w:val="000000"/>
              </w:rPr>
              <w:t>1.48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9CA942E" w14:textId="77777777" w:rsidR="004346F3" w:rsidRPr="00536CFD" w:rsidRDefault="004346F3" w:rsidP="00802ABC">
            <w:pPr>
              <w:pageBreakBefore/>
              <w:spacing w:after="0"/>
              <w:jc w:val="center"/>
              <w:rPr>
                <w:lang w:val="zh-CN"/>
              </w:rPr>
            </w:pPr>
            <w:r w:rsidRPr="00536CFD">
              <w:rPr>
                <w:color w:val="000000"/>
              </w:rPr>
              <w:t>0.88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BA39E59" w14:textId="77777777" w:rsidR="004346F3" w:rsidRPr="00536CFD" w:rsidRDefault="004346F3" w:rsidP="00802ABC">
            <w:pPr>
              <w:pageBreakBefore/>
              <w:spacing w:after="0"/>
              <w:jc w:val="center"/>
              <w:rPr>
                <w:lang w:val="zh-CN"/>
              </w:rPr>
            </w:pPr>
            <w:r w:rsidRPr="00536CFD">
              <w:rPr>
                <w:color w:val="000000"/>
              </w:rPr>
              <w:t>17.93</w:t>
            </w:r>
          </w:p>
        </w:tc>
        <w:tc>
          <w:tcPr>
            <w:tcW w:w="676" w:type="dxa"/>
            <w:tcBorders>
              <w:top w:val="single" w:sz="4" w:space="0" w:color="auto"/>
              <w:left w:val="nil"/>
              <w:bottom w:val="single" w:sz="4" w:space="0" w:color="auto"/>
              <w:right w:val="single" w:sz="4" w:space="0" w:color="auto"/>
            </w:tcBorders>
            <w:shd w:val="clear" w:color="auto" w:fill="auto"/>
            <w:vAlign w:val="bottom"/>
          </w:tcPr>
          <w:p w14:paraId="5EFE9CEA" w14:textId="77777777" w:rsidR="004346F3" w:rsidRPr="00536CFD" w:rsidRDefault="004346F3" w:rsidP="00802ABC">
            <w:pPr>
              <w:pageBreakBefore/>
              <w:spacing w:after="0"/>
              <w:jc w:val="center"/>
              <w:rPr>
                <w:lang w:val="zh-CN"/>
              </w:rPr>
            </w:pPr>
            <w:r w:rsidRPr="00536CFD">
              <w:rPr>
                <w:color w:val="000000"/>
              </w:rPr>
              <w:t>62.72</w:t>
            </w:r>
          </w:p>
        </w:tc>
      </w:tr>
      <w:tr w:rsidR="004346F3" w:rsidRPr="00C64ECB" w14:paraId="3088DA19"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C2C2B95"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590BCB6"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CA453D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7730D151" w14:textId="77777777" w:rsidR="004346F3" w:rsidRPr="00536CFD" w:rsidRDefault="004346F3" w:rsidP="00802ABC">
            <w:pPr>
              <w:spacing w:after="0"/>
              <w:jc w:val="center"/>
              <w:rPr>
                <w:lang w:val="zh-CN"/>
              </w:rPr>
            </w:pPr>
            <w:r w:rsidRPr="00536CFD">
              <w:rPr>
                <w:color w:val="000000"/>
              </w:rPr>
              <w:t>58.38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6DB0072" w14:textId="77777777" w:rsidR="004346F3" w:rsidRPr="00536CFD" w:rsidRDefault="004346F3" w:rsidP="00802ABC">
            <w:pPr>
              <w:spacing w:after="0"/>
              <w:jc w:val="center"/>
              <w:rPr>
                <w:lang w:val="zh-CN"/>
              </w:rPr>
            </w:pPr>
            <w:r w:rsidRPr="00536CFD">
              <w:rPr>
                <w:color w:val="000000"/>
              </w:rPr>
              <w:t>70.21</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AACDE2C" w14:textId="77777777" w:rsidR="004346F3" w:rsidRPr="00536CFD" w:rsidRDefault="004346F3" w:rsidP="00802ABC">
            <w:pPr>
              <w:spacing w:after="0"/>
              <w:jc w:val="center"/>
              <w:rPr>
                <w:lang w:val="zh-CN"/>
              </w:rPr>
            </w:pPr>
            <w:r w:rsidRPr="00536CFD">
              <w:rPr>
                <w:color w:val="000000"/>
              </w:rPr>
              <w:t>114.44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4D3FFC6" w14:textId="77777777" w:rsidR="004346F3" w:rsidRPr="00536CFD" w:rsidRDefault="004346F3" w:rsidP="00802ABC">
            <w:pPr>
              <w:spacing w:after="0"/>
              <w:jc w:val="center"/>
              <w:rPr>
                <w:lang w:val="zh-CN"/>
              </w:rPr>
            </w:pPr>
            <w:r w:rsidRPr="00536CFD">
              <w:rPr>
                <w:color w:val="000000"/>
              </w:rPr>
              <w:t>136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40814D7" w14:textId="77777777" w:rsidR="004346F3" w:rsidRPr="00536CFD" w:rsidRDefault="004346F3" w:rsidP="00802ABC">
            <w:pPr>
              <w:spacing w:after="0"/>
              <w:jc w:val="center"/>
              <w:rPr>
                <w:lang w:val="zh-CN"/>
              </w:rPr>
            </w:pPr>
            <w:r w:rsidRPr="00536CFD">
              <w:rPr>
                <w:color w:val="000000"/>
              </w:rPr>
              <w:t>42.64</w:t>
            </w:r>
          </w:p>
        </w:tc>
        <w:tc>
          <w:tcPr>
            <w:tcW w:w="714" w:type="dxa"/>
            <w:tcBorders>
              <w:top w:val="single" w:sz="4" w:space="0" w:color="auto"/>
              <w:left w:val="nil"/>
              <w:bottom w:val="single" w:sz="4" w:space="0" w:color="auto"/>
              <w:right w:val="single" w:sz="4" w:space="0" w:color="auto"/>
            </w:tcBorders>
            <w:shd w:val="clear" w:color="auto" w:fill="auto"/>
            <w:vAlign w:val="bottom"/>
          </w:tcPr>
          <w:p w14:paraId="651441A3" w14:textId="77777777" w:rsidR="004346F3" w:rsidRPr="00536CFD" w:rsidRDefault="004346F3" w:rsidP="00802ABC">
            <w:pPr>
              <w:spacing w:after="0"/>
              <w:jc w:val="center"/>
              <w:rPr>
                <w:lang w:val="zh-CN"/>
              </w:rPr>
            </w:pPr>
            <w:r w:rsidRPr="00536CFD">
              <w:rPr>
                <w:color w:val="000000"/>
              </w:rPr>
              <w:t>49.87</w:t>
            </w:r>
          </w:p>
        </w:tc>
        <w:tc>
          <w:tcPr>
            <w:tcW w:w="719" w:type="dxa"/>
            <w:tcBorders>
              <w:top w:val="single" w:sz="4" w:space="0" w:color="auto"/>
              <w:left w:val="nil"/>
              <w:bottom w:val="single" w:sz="4" w:space="0" w:color="auto"/>
              <w:right w:val="single" w:sz="4" w:space="0" w:color="auto"/>
            </w:tcBorders>
            <w:shd w:val="clear" w:color="auto" w:fill="auto"/>
            <w:vAlign w:val="bottom"/>
          </w:tcPr>
          <w:p w14:paraId="5526F9A2" w14:textId="77777777" w:rsidR="004346F3" w:rsidRPr="00536CFD" w:rsidRDefault="004346F3" w:rsidP="00802ABC">
            <w:pPr>
              <w:spacing w:after="0"/>
              <w:jc w:val="center"/>
              <w:rPr>
                <w:lang w:val="zh-CN"/>
              </w:rPr>
            </w:pPr>
            <w:r w:rsidRPr="00536CFD">
              <w:rPr>
                <w:color w:val="000000"/>
              </w:rPr>
              <w:t>91.36</w:t>
            </w:r>
          </w:p>
        </w:tc>
        <w:tc>
          <w:tcPr>
            <w:tcW w:w="719" w:type="dxa"/>
            <w:tcBorders>
              <w:top w:val="single" w:sz="4" w:space="0" w:color="auto"/>
              <w:left w:val="nil"/>
              <w:bottom w:val="single" w:sz="4" w:space="0" w:color="auto"/>
              <w:right w:val="single" w:sz="4" w:space="0" w:color="auto"/>
            </w:tcBorders>
            <w:shd w:val="clear" w:color="auto" w:fill="auto"/>
            <w:vAlign w:val="bottom"/>
          </w:tcPr>
          <w:p w14:paraId="53439983" w14:textId="77777777" w:rsidR="004346F3" w:rsidRPr="00536CFD" w:rsidRDefault="004346F3" w:rsidP="00802ABC">
            <w:pPr>
              <w:spacing w:after="0"/>
              <w:jc w:val="center"/>
              <w:rPr>
                <w:lang w:val="zh-CN"/>
              </w:rPr>
            </w:pPr>
            <w:r w:rsidRPr="00536CFD">
              <w:rPr>
                <w:color w:val="000000"/>
              </w:rPr>
              <w:t>127.98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3651260" w14:textId="77777777" w:rsidR="004346F3" w:rsidRPr="00536CFD" w:rsidRDefault="004346F3" w:rsidP="00802ABC">
            <w:pPr>
              <w:spacing w:after="0"/>
              <w:jc w:val="center"/>
              <w:rPr>
                <w:lang w:val="zh-CN"/>
              </w:rPr>
            </w:pPr>
            <w:r w:rsidRPr="00536CFD">
              <w:rPr>
                <w:color w:val="000000"/>
              </w:rPr>
              <w:t>28.99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77EDA45" w14:textId="77777777" w:rsidR="004346F3" w:rsidRPr="00536CFD" w:rsidRDefault="004346F3" w:rsidP="00802ABC">
            <w:pPr>
              <w:spacing w:after="0"/>
              <w:jc w:val="center"/>
              <w:rPr>
                <w:lang w:val="zh-CN"/>
              </w:rPr>
            </w:pPr>
            <w:r w:rsidRPr="00536CFD">
              <w:rPr>
                <w:color w:val="000000"/>
              </w:rPr>
              <w:t>30.64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8886A67" w14:textId="77777777" w:rsidR="004346F3" w:rsidRPr="00536CFD" w:rsidRDefault="004346F3" w:rsidP="00802ABC">
            <w:pPr>
              <w:spacing w:after="0"/>
              <w:jc w:val="center"/>
              <w:rPr>
                <w:lang w:val="zh-CN"/>
              </w:rPr>
            </w:pPr>
            <w:r w:rsidRPr="00536CFD">
              <w:rPr>
                <w:color w:val="000000"/>
              </w:rPr>
              <w:t>58.8</w:t>
            </w:r>
          </w:p>
        </w:tc>
        <w:tc>
          <w:tcPr>
            <w:tcW w:w="676" w:type="dxa"/>
            <w:tcBorders>
              <w:top w:val="single" w:sz="4" w:space="0" w:color="auto"/>
              <w:left w:val="nil"/>
              <w:bottom w:val="single" w:sz="4" w:space="0" w:color="auto"/>
              <w:right w:val="single" w:sz="4" w:space="0" w:color="auto"/>
            </w:tcBorders>
            <w:shd w:val="clear" w:color="auto" w:fill="auto"/>
            <w:vAlign w:val="bottom"/>
          </w:tcPr>
          <w:p w14:paraId="4466A305" w14:textId="77777777" w:rsidR="004346F3" w:rsidRPr="00536CFD" w:rsidRDefault="004346F3" w:rsidP="00802ABC">
            <w:pPr>
              <w:spacing w:after="0"/>
              <w:jc w:val="center"/>
              <w:rPr>
                <w:lang w:val="zh-CN"/>
              </w:rPr>
            </w:pPr>
            <w:r w:rsidRPr="00536CFD">
              <w:rPr>
                <w:color w:val="000000"/>
              </w:rPr>
              <w:t>119.67</w:t>
            </w:r>
          </w:p>
        </w:tc>
      </w:tr>
      <w:tr w:rsidR="004346F3" w:rsidRPr="00C64ECB" w14:paraId="4434904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D23BE6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2F4C8701"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5E4086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38244059" w14:textId="77777777" w:rsidR="004346F3" w:rsidRPr="00536CFD" w:rsidRDefault="004346F3" w:rsidP="00802ABC">
            <w:pPr>
              <w:spacing w:after="0"/>
              <w:jc w:val="center"/>
              <w:rPr>
                <w:lang w:val="zh-CN"/>
              </w:rPr>
            </w:pPr>
            <w:r w:rsidRPr="00536CFD">
              <w:rPr>
                <w:color w:val="000000"/>
              </w:rPr>
              <w:t>92.06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1C56EBF" w14:textId="77777777" w:rsidR="004346F3" w:rsidRPr="00536CFD" w:rsidRDefault="004346F3" w:rsidP="00802ABC">
            <w:pPr>
              <w:spacing w:after="0"/>
              <w:jc w:val="center"/>
              <w:rPr>
                <w:lang w:val="zh-CN"/>
              </w:rPr>
            </w:pPr>
            <w:r w:rsidRPr="00536CFD">
              <w:rPr>
                <w:color w:val="000000"/>
              </w:rPr>
              <w:t>100.09</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E367C1C" w14:textId="77777777" w:rsidR="004346F3" w:rsidRPr="00536CFD" w:rsidRDefault="004346F3" w:rsidP="00802ABC">
            <w:pPr>
              <w:spacing w:after="0"/>
              <w:jc w:val="center"/>
              <w:rPr>
                <w:lang w:val="zh-CN"/>
              </w:rPr>
            </w:pPr>
            <w:r w:rsidRPr="00536CFD">
              <w:rPr>
                <w:color w:val="000000"/>
              </w:rPr>
              <w:t>140.99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B443F80" w14:textId="77777777" w:rsidR="004346F3" w:rsidRPr="00536CFD" w:rsidRDefault="004346F3" w:rsidP="00802ABC">
            <w:pPr>
              <w:spacing w:after="0"/>
              <w:jc w:val="center"/>
              <w:rPr>
                <w:lang w:val="zh-CN"/>
              </w:rPr>
            </w:pPr>
            <w:r w:rsidRPr="00536CFD">
              <w:rPr>
                <w:color w:val="000000"/>
              </w:rPr>
              <w:t>154.49</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444D8C2" w14:textId="77777777" w:rsidR="004346F3" w:rsidRPr="00536CFD" w:rsidRDefault="004346F3" w:rsidP="00802ABC">
            <w:pPr>
              <w:spacing w:after="0"/>
              <w:jc w:val="center"/>
              <w:rPr>
                <w:lang w:val="zh-CN"/>
              </w:rPr>
            </w:pPr>
            <w:r w:rsidRPr="00536CFD">
              <w:rPr>
                <w:color w:val="000000"/>
              </w:rPr>
              <w:t>71.86</w:t>
            </w:r>
          </w:p>
        </w:tc>
        <w:tc>
          <w:tcPr>
            <w:tcW w:w="714" w:type="dxa"/>
            <w:tcBorders>
              <w:top w:val="single" w:sz="4" w:space="0" w:color="auto"/>
              <w:left w:val="nil"/>
              <w:bottom w:val="single" w:sz="4" w:space="0" w:color="auto"/>
              <w:right w:val="single" w:sz="4" w:space="0" w:color="auto"/>
            </w:tcBorders>
            <w:shd w:val="clear" w:color="auto" w:fill="auto"/>
            <w:vAlign w:val="bottom"/>
          </w:tcPr>
          <w:p w14:paraId="203C5A5A" w14:textId="77777777" w:rsidR="004346F3" w:rsidRPr="00536CFD" w:rsidRDefault="004346F3" w:rsidP="00802ABC">
            <w:pPr>
              <w:spacing w:after="0"/>
              <w:jc w:val="center"/>
              <w:rPr>
                <w:lang w:val="zh-CN"/>
              </w:rPr>
            </w:pPr>
            <w:r w:rsidRPr="00536CFD">
              <w:rPr>
                <w:color w:val="000000"/>
              </w:rPr>
              <w:t>81.22</w:t>
            </w:r>
          </w:p>
        </w:tc>
        <w:tc>
          <w:tcPr>
            <w:tcW w:w="719" w:type="dxa"/>
            <w:tcBorders>
              <w:top w:val="single" w:sz="4" w:space="0" w:color="auto"/>
              <w:left w:val="nil"/>
              <w:bottom w:val="single" w:sz="4" w:space="0" w:color="auto"/>
              <w:right w:val="single" w:sz="4" w:space="0" w:color="auto"/>
            </w:tcBorders>
            <w:shd w:val="clear" w:color="auto" w:fill="auto"/>
            <w:vAlign w:val="bottom"/>
          </w:tcPr>
          <w:p w14:paraId="4662FA4C" w14:textId="77777777" w:rsidR="004346F3" w:rsidRPr="00536CFD" w:rsidRDefault="004346F3" w:rsidP="00802ABC">
            <w:pPr>
              <w:spacing w:after="0"/>
              <w:jc w:val="center"/>
              <w:rPr>
                <w:lang w:val="zh-CN"/>
              </w:rPr>
            </w:pPr>
            <w:r w:rsidRPr="00536CFD">
              <w:rPr>
                <w:color w:val="000000"/>
              </w:rPr>
              <w:t>126.52</w:t>
            </w:r>
          </w:p>
        </w:tc>
        <w:tc>
          <w:tcPr>
            <w:tcW w:w="719" w:type="dxa"/>
            <w:tcBorders>
              <w:top w:val="single" w:sz="4" w:space="0" w:color="auto"/>
              <w:left w:val="nil"/>
              <w:bottom w:val="single" w:sz="4" w:space="0" w:color="auto"/>
              <w:right w:val="single" w:sz="4" w:space="0" w:color="auto"/>
            </w:tcBorders>
            <w:shd w:val="clear" w:color="auto" w:fill="auto"/>
            <w:vAlign w:val="bottom"/>
          </w:tcPr>
          <w:p w14:paraId="5E291A03" w14:textId="77777777" w:rsidR="004346F3" w:rsidRPr="00536CFD" w:rsidRDefault="004346F3" w:rsidP="00802ABC">
            <w:pPr>
              <w:spacing w:after="0"/>
              <w:jc w:val="center"/>
              <w:rPr>
                <w:lang w:val="zh-CN"/>
              </w:rPr>
            </w:pPr>
            <w:r w:rsidRPr="00536CFD">
              <w:rPr>
                <w:color w:val="000000"/>
              </w:rPr>
              <w:t>150.1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9D7CE36" w14:textId="77777777" w:rsidR="004346F3" w:rsidRPr="00536CFD" w:rsidRDefault="004346F3" w:rsidP="00802ABC">
            <w:pPr>
              <w:spacing w:after="0"/>
              <w:jc w:val="center"/>
              <w:rPr>
                <w:lang w:val="zh-CN"/>
              </w:rPr>
            </w:pPr>
            <w:r w:rsidRPr="00536CFD">
              <w:rPr>
                <w:color w:val="000000"/>
              </w:rPr>
              <w:t>55.1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70EE7C1" w14:textId="77777777" w:rsidR="004346F3" w:rsidRPr="00536CFD" w:rsidRDefault="004346F3" w:rsidP="00802ABC">
            <w:pPr>
              <w:spacing w:after="0"/>
              <w:jc w:val="center"/>
              <w:rPr>
                <w:lang w:val="zh-CN"/>
              </w:rPr>
            </w:pPr>
            <w:r w:rsidRPr="00536CFD">
              <w:rPr>
                <w:color w:val="000000"/>
              </w:rPr>
              <w:t>64.17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1DD8D70" w14:textId="77777777" w:rsidR="004346F3" w:rsidRPr="00536CFD" w:rsidRDefault="004346F3" w:rsidP="00802ABC">
            <w:pPr>
              <w:spacing w:after="0"/>
              <w:jc w:val="center"/>
              <w:rPr>
                <w:lang w:val="zh-CN"/>
              </w:rPr>
            </w:pPr>
            <w:r w:rsidRPr="00536CFD">
              <w:rPr>
                <w:color w:val="000000"/>
              </w:rPr>
              <w:t>104.12</w:t>
            </w:r>
          </w:p>
        </w:tc>
        <w:tc>
          <w:tcPr>
            <w:tcW w:w="676" w:type="dxa"/>
            <w:tcBorders>
              <w:top w:val="single" w:sz="4" w:space="0" w:color="auto"/>
              <w:left w:val="nil"/>
              <w:bottom w:val="single" w:sz="4" w:space="0" w:color="auto"/>
              <w:right w:val="single" w:sz="4" w:space="0" w:color="auto"/>
            </w:tcBorders>
            <w:shd w:val="clear" w:color="auto" w:fill="auto"/>
            <w:vAlign w:val="bottom"/>
          </w:tcPr>
          <w:p w14:paraId="1B87CF9E" w14:textId="77777777" w:rsidR="004346F3" w:rsidRPr="00536CFD" w:rsidRDefault="004346F3" w:rsidP="00802ABC">
            <w:pPr>
              <w:spacing w:after="0"/>
              <w:jc w:val="center"/>
              <w:rPr>
                <w:lang w:val="zh-CN"/>
              </w:rPr>
            </w:pPr>
            <w:r w:rsidRPr="00536CFD">
              <w:rPr>
                <w:color w:val="000000"/>
              </w:rPr>
              <w:t>144.52</w:t>
            </w:r>
          </w:p>
        </w:tc>
      </w:tr>
      <w:tr w:rsidR="004346F3" w:rsidRPr="00C64ECB" w14:paraId="1737F58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F8FD041"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3B352CFF"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20C153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2497C6DD" w14:textId="77777777" w:rsidR="004346F3" w:rsidRPr="00536CFD" w:rsidRDefault="004346F3" w:rsidP="00802ABC">
            <w:pPr>
              <w:spacing w:after="0"/>
              <w:jc w:val="center"/>
              <w:rPr>
                <w:lang w:val="zh-CN"/>
              </w:rPr>
            </w:pPr>
            <w:r w:rsidRPr="00536CFD">
              <w:rPr>
                <w:color w:val="000000"/>
              </w:rPr>
              <w:t>57.8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DB4CFDF" w14:textId="77777777" w:rsidR="004346F3" w:rsidRPr="00536CFD" w:rsidRDefault="004346F3" w:rsidP="00802ABC">
            <w:pPr>
              <w:spacing w:after="0"/>
              <w:jc w:val="center"/>
              <w:rPr>
                <w:lang w:val="zh-CN"/>
              </w:rPr>
            </w:pPr>
            <w:r w:rsidRPr="00536CFD">
              <w:rPr>
                <w:color w:val="000000"/>
              </w:rPr>
              <w:t>66.75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C9788B6" w14:textId="77777777" w:rsidR="004346F3" w:rsidRPr="00536CFD" w:rsidRDefault="004346F3" w:rsidP="00802ABC">
            <w:pPr>
              <w:spacing w:after="0"/>
              <w:jc w:val="center"/>
              <w:rPr>
                <w:lang w:val="zh-CN"/>
              </w:rPr>
            </w:pPr>
            <w:r w:rsidRPr="00536CFD">
              <w:rPr>
                <w:color w:val="000000"/>
              </w:rPr>
              <w:t>110.54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C647AC4" w14:textId="77777777" w:rsidR="004346F3" w:rsidRPr="00536CFD" w:rsidRDefault="004346F3" w:rsidP="00802ABC">
            <w:pPr>
              <w:spacing w:after="0"/>
              <w:jc w:val="center"/>
              <w:rPr>
                <w:lang w:val="zh-CN"/>
              </w:rPr>
            </w:pPr>
            <w:r w:rsidRPr="00536CFD">
              <w:rPr>
                <w:color w:val="000000"/>
              </w:rPr>
              <w:t>129.38</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5C6AA6F" w14:textId="77777777" w:rsidR="004346F3" w:rsidRPr="00536CFD" w:rsidRDefault="004346F3" w:rsidP="00802ABC">
            <w:pPr>
              <w:spacing w:after="0"/>
              <w:jc w:val="center"/>
              <w:rPr>
                <w:lang w:val="zh-CN"/>
              </w:rPr>
            </w:pPr>
            <w:r w:rsidRPr="00536CFD">
              <w:rPr>
                <w:color w:val="000000"/>
              </w:rPr>
              <w:t>42.17</w:t>
            </w:r>
          </w:p>
        </w:tc>
        <w:tc>
          <w:tcPr>
            <w:tcW w:w="714" w:type="dxa"/>
            <w:tcBorders>
              <w:top w:val="single" w:sz="4" w:space="0" w:color="auto"/>
              <w:left w:val="nil"/>
              <w:bottom w:val="single" w:sz="4" w:space="0" w:color="auto"/>
              <w:right w:val="single" w:sz="4" w:space="0" w:color="auto"/>
            </w:tcBorders>
            <w:shd w:val="clear" w:color="auto" w:fill="auto"/>
            <w:vAlign w:val="bottom"/>
          </w:tcPr>
          <w:p w14:paraId="118560A2" w14:textId="77777777" w:rsidR="004346F3" w:rsidRPr="00536CFD" w:rsidRDefault="004346F3" w:rsidP="00802ABC">
            <w:pPr>
              <w:spacing w:after="0"/>
              <w:jc w:val="center"/>
              <w:rPr>
                <w:lang w:val="zh-CN"/>
              </w:rPr>
            </w:pPr>
            <w:r w:rsidRPr="00536CFD">
              <w:rPr>
                <w:color w:val="000000"/>
              </w:rPr>
              <w:t>49.54</w:t>
            </w:r>
          </w:p>
        </w:tc>
        <w:tc>
          <w:tcPr>
            <w:tcW w:w="719" w:type="dxa"/>
            <w:tcBorders>
              <w:top w:val="single" w:sz="4" w:space="0" w:color="auto"/>
              <w:left w:val="nil"/>
              <w:bottom w:val="single" w:sz="4" w:space="0" w:color="auto"/>
              <w:right w:val="single" w:sz="4" w:space="0" w:color="auto"/>
            </w:tcBorders>
            <w:shd w:val="clear" w:color="auto" w:fill="auto"/>
            <w:vAlign w:val="bottom"/>
          </w:tcPr>
          <w:p w14:paraId="44D8E771" w14:textId="77777777" w:rsidR="004346F3" w:rsidRPr="00536CFD" w:rsidRDefault="004346F3" w:rsidP="00802ABC">
            <w:pPr>
              <w:spacing w:after="0"/>
              <w:jc w:val="center"/>
              <w:rPr>
                <w:lang w:val="zh-CN"/>
              </w:rPr>
            </w:pPr>
            <w:r w:rsidRPr="00536CFD">
              <w:rPr>
                <w:color w:val="000000"/>
              </w:rPr>
              <w:t>87.52</w:t>
            </w:r>
          </w:p>
        </w:tc>
        <w:tc>
          <w:tcPr>
            <w:tcW w:w="719" w:type="dxa"/>
            <w:tcBorders>
              <w:top w:val="single" w:sz="4" w:space="0" w:color="auto"/>
              <w:left w:val="nil"/>
              <w:bottom w:val="single" w:sz="4" w:space="0" w:color="auto"/>
              <w:right w:val="single" w:sz="4" w:space="0" w:color="auto"/>
            </w:tcBorders>
            <w:shd w:val="clear" w:color="auto" w:fill="auto"/>
            <w:vAlign w:val="bottom"/>
          </w:tcPr>
          <w:p w14:paraId="5033A38E" w14:textId="77777777" w:rsidR="004346F3" w:rsidRPr="00536CFD" w:rsidRDefault="004346F3" w:rsidP="00802ABC">
            <w:pPr>
              <w:spacing w:after="0"/>
              <w:jc w:val="center"/>
              <w:rPr>
                <w:lang w:val="zh-CN"/>
              </w:rPr>
            </w:pPr>
            <w:r w:rsidRPr="00536CFD">
              <w:rPr>
                <w:color w:val="000000"/>
              </w:rPr>
              <w:t>122.4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8165FB1" w14:textId="77777777" w:rsidR="004346F3" w:rsidRPr="00536CFD" w:rsidRDefault="004346F3" w:rsidP="00802ABC">
            <w:pPr>
              <w:spacing w:after="0"/>
              <w:jc w:val="center"/>
              <w:rPr>
                <w:lang w:val="zh-CN"/>
              </w:rPr>
            </w:pPr>
            <w:r w:rsidRPr="00536CFD">
              <w:rPr>
                <w:color w:val="000000"/>
              </w:rPr>
              <w:t>29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D61F2BA" w14:textId="77777777" w:rsidR="004346F3" w:rsidRPr="00536CFD" w:rsidRDefault="004346F3" w:rsidP="00802ABC">
            <w:pPr>
              <w:spacing w:after="0"/>
              <w:jc w:val="center"/>
              <w:rPr>
                <w:lang w:val="zh-CN"/>
              </w:rPr>
            </w:pPr>
            <w:r w:rsidRPr="00536CFD">
              <w:rPr>
                <w:color w:val="000000"/>
              </w:rPr>
              <w:t>32.19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1A992D9" w14:textId="77777777" w:rsidR="004346F3" w:rsidRPr="00536CFD" w:rsidRDefault="004346F3" w:rsidP="00802ABC">
            <w:pPr>
              <w:spacing w:after="0"/>
              <w:jc w:val="center"/>
              <w:rPr>
                <w:lang w:val="zh-CN"/>
              </w:rPr>
            </w:pPr>
            <w:r w:rsidRPr="00536CFD">
              <w:rPr>
                <w:color w:val="000000"/>
              </w:rPr>
              <w:t>60.77</w:t>
            </w:r>
          </w:p>
        </w:tc>
        <w:tc>
          <w:tcPr>
            <w:tcW w:w="676" w:type="dxa"/>
            <w:tcBorders>
              <w:top w:val="single" w:sz="4" w:space="0" w:color="auto"/>
              <w:left w:val="nil"/>
              <w:bottom w:val="single" w:sz="4" w:space="0" w:color="auto"/>
              <w:right w:val="single" w:sz="4" w:space="0" w:color="auto"/>
            </w:tcBorders>
            <w:shd w:val="clear" w:color="auto" w:fill="auto"/>
            <w:vAlign w:val="bottom"/>
          </w:tcPr>
          <w:p w14:paraId="11738167" w14:textId="77777777" w:rsidR="004346F3" w:rsidRPr="00536CFD" w:rsidRDefault="004346F3" w:rsidP="00802ABC">
            <w:pPr>
              <w:spacing w:after="0"/>
              <w:jc w:val="center"/>
              <w:rPr>
                <w:lang w:val="zh-CN"/>
              </w:rPr>
            </w:pPr>
            <w:r w:rsidRPr="00536CFD">
              <w:rPr>
                <w:color w:val="000000"/>
              </w:rPr>
              <w:t>114.67</w:t>
            </w:r>
          </w:p>
        </w:tc>
      </w:tr>
      <w:tr w:rsidR="004346F3" w:rsidRPr="00C64ECB" w14:paraId="785A6F6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8D417B6"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5B9E73C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68CBE71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716D42BB" w14:textId="77777777" w:rsidR="004346F3" w:rsidRPr="00536CFD" w:rsidRDefault="004346F3" w:rsidP="00802ABC">
            <w:pPr>
              <w:spacing w:after="0"/>
              <w:jc w:val="center"/>
              <w:rPr>
                <w:lang w:val="zh-CN"/>
              </w:rPr>
            </w:pPr>
            <w:r w:rsidRPr="00536CFD">
              <w:rPr>
                <w:color w:val="000000"/>
              </w:rPr>
              <w:t>0.03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7A5F6EC" w14:textId="77777777" w:rsidR="004346F3" w:rsidRPr="00536CFD" w:rsidRDefault="004346F3" w:rsidP="00802ABC">
            <w:pPr>
              <w:spacing w:after="0"/>
              <w:jc w:val="center"/>
              <w:rPr>
                <w:lang w:val="zh-CN"/>
              </w:rPr>
            </w:pPr>
            <w:r w:rsidRPr="00536CFD">
              <w:rPr>
                <w:color w:val="000000"/>
              </w:rPr>
              <w:t>0.03</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4FE804C" w14:textId="77777777" w:rsidR="004346F3" w:rsidRPr="00536CFD" w:rsidRDefault="004346F3" w:rsidP="00802ABC">
            <w:pPr>
              <w:spacing w:after="0"/>
              <w:jc w:val="center"/>
              <w:rPr>
                <w:lang w:val="zh-CN"/>
              </w:rPr>
            </w:pPr>
            <w:r w:rsidRPr="00536CFD">
              <w:rPr>
                <w:color w:val="000000"/>
              </w:rPr>
              <w:t>0.02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28C9ECE" w14:textId="77777777" w:rsidR="004346F3" w:rsidRPr="00536CFD" w:rsidRDefault="004346F3" w:rsidP="00802ABC">
            <w:pPr>
              <w:spacing w:after="0"/>
              <w:jc w:val="center"/>
              <w:rPr>
                <w:lang w:val="zh-CN"/>
              </w:rPr>
            </w:pPr>
            <w:r w:rsidRPr="00536CFD">
              <w:rPr>
                <w:color w:val="000000"/>
              </w:rPr>
              <w:t>0.02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57B50B58" w14:textId="77777777" w:rsidR="004346F3" w:rsidRPr="00536CFD" w:rsidRDefault="004346F3" w:rsidP="00802ABC">
            <w:pPr>
              <w:spacing w:after="0"/>
              <w:jc w:val="center"/>
              <w:rPr>
                <w:lang w:val="zh-CN"/>
              </w:rPr>
            </w:pPr>
            <w:r w:rsidRPr="00536CFD">
              <w:rPr>
                <w:color w:val="000000"/>
              </w:rPr>
              <w:t>0.036</w:t>
            </w:r>
          </w:p>
        </w:tc>
        <w:tc>
          <w:tcPr>
            <w:tcW w:w="714" w:type="dxa"/>
            <w:tcBorders>
              <w:top w:val="single" w:sz="4" w:space="0" w:color="auto"/>
              <w:left w:val="nil"/>
              <w:bottom w:val="single" w:sz="4" w:space="0" w:color="auto"/>
              <w:right w:val="single" w:sz="4" w:space="0" w:color="auto"/>
            </w:tcBorders>
            <w:shd w:val="clear" w:color="auto" w:fill="auto"/>
            <w:vAlign w:val="bottom"/>
          </w:tcPr>
          <w:p w14:paraId="578105E2" w14:textId="77777777" w:rsidR="004346F3" w:rsidRPr="00536CFD" w:rsidRDefault="004346F3" w:rsidP="00802ABC">
            <w:pPr>
              <w:spacing w:after="0"/>
              <w:jc w:val="center"/>
              <w:rPr>
                <w:lang w:val="zh-CN"/>
              </w:rPr>
            </w:pPr>
            <w:r w:rsidRPr="00536CFD">
              <w:rPr>
                <w:color w:val="000000"/>
              </w:rPr>
              <w:t>0.035</w:t>
            </w:r>
          </w:p>
        </w:tc>
        <w:tc>
          <w:tcPr>
            <w:tcW w:w="719" w:type="dxa"/>
            <w:tcBorders>
              <w:top w:val="single" w:sz="4" w:space="0" w:color="auto"/>
              <w:left w:val="nil"/>
              <w:bottom w:val="single" w:sz="4" w:space="0" w:color="auto"/>
              <w:right w:val="single" w:sz="4" w:space="0" w:color="auto"/>
            </w:tcBorders>
            <w:shd w:val="clear" w:color="auto" w:fill="auto"/>
            <w:vAlign w:val="bottom"/>
          </w:tcPr>
          <w:p w14:paraId="0BCBA3EB" w14:textId="77777777" w:rsidR="004346F3" w:rsidRPr="00536CFD" w:rsidRDefault="004346F3" w:rsidP="00802ABC">
            <w:pPr>
              <w:spacing w:after="0"/>
              <w:jc w:val="center"/>
              <w:rPr>
                <w:lang w:val="zh-CN"/>
              </w:rPr>
            </w:pPr>
            <w:r w:rsidRPr="00536CFD">
              <w:rPr>
                <w:color w:val="000000"/>
              </w:rPr>
              <w:t>0.021</w:t>
            </w:r>
          </w:p>
        </w:tc>
        <w:tc>
          <w:tcPr>
            <w:tcW w:w="719" w:type="dxa"/>
            <w:tcBorders>
              <w:top w:val="single" w:sz="4" w:space="0" w:color="auto"/>
              <w:left w:val="nil"/>
              <w:bottom w:val="single" w:sz="4" w:space="0" w:color="auto"/>
              <w:right w:val="single" w:sz="4" w:space="0" w:color="auto"/>
            </w:tcBorders>
            <w:shd w:val="clear" w:color="auto" w:fill="auto"/>
            <w:vAlign w:val="bottom"/>
          </w:tcPr>
          <w:p w14:paraId="1E5C28AB" w14:textId="77777777" w:rsidR="004346F3" w:rsidRPr="00536CFD" w:rsidRDefault="004346F3" w:rsidP="00802ABC">
            <w:pPr>
              <w:spacing w:after="0"/>
              <w:jc w:val="center"/>
              <w:rPr>
                <w:lang w:val="zh-CN"/>
              </w:rPr>
            </w:pPr>
            <w:r w:rsidRPr="00536CFD">
              <w:rPr>
                <w:color w:val="000000"/>
              </w:rPr>
              <w:t>0.02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090E7BC" w14:textId="77777777" w:rsidR="004346F3" w:rsidRPr="00536CFD" w:rsidRDefault="004346F3" w:rsidP="00802ABC">
            <w:pPr>
              <w:spacing w:after="0"/>
              <w:jc w:val="center"/>
              <w:rPr>
                <w:lang w:val="zh-CN"/>
              </w:rPr>
            </w:pPr>
            <w:r w:rsidRPr="00536CFD">
              <w:rPr>
                <w:color w:val="000000"/>
              </w:rPr>
              <w:t>0.043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216F94D" w14:textId="77777777" w:rsidR="004346F3" w:rsidRPr="00536CFD" w:rsidRDefault="004346F3" w:rsidP="00802ABC">
            <w:pPr>
              <w:spacing w:after="0"/>
              <w:jc w:val="center"/>
              <w:rPr>
                <w:lang w:val="zh-CN"/>
              </w:rPr>
            </w:pPr>
            <w:r w:rsidRPr="00536CFD">
              <w:rPr>
                <w:color w:val="000000"/>
              </w:rPr>
              <w:t>0.04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666EF4B" w14:textId="77777777" w:rsidR="004346F3" w:rsidRPr="00536CFD" w:rsidRDefault="004346F3" w:rsidP="00802ABC">
            <w:pPr>
              <w:spacing w:after="0"/>
              <w:jc w:val="center"/>
              <w:rPr>
                <w:lang w:val="zh-CN"/>
              </w:rPr>
            </w:pPr>
            <w:r w:rsidRPr="00536CFD">
              <w:rPr>
                <w:color w:val="000000"/>
              </w:rPr>
              <w:t>0.026</w:t>
            </w:r>
          </w:p>
        </w:tc>
        <w:tc>
          <w:tcPr>
            <w:tcW w:w="676" w:type="dxa"/>
            <w:tcBorders>
              <w:top w:val="single" w:sz="4" w:space="0" w:color="auto"/>
              <w:left w:val="nil"/>
              <w:bottom w:val="single" w:sz="4" w:space="0" w:color="auto"/>
              <w:right w:val="single" w:sz="4" w:space="0" w:color="auto"/>
            </w:tcBorders>
            <w:shd w:val="clear" w:color="auto" w:fill="auto"/>
            <w:vAlign w:val="bottom"/>
          </w:tcPr>
          <w:p w14:paraId="55F6CE70" w14:textId="77777777" w:rsidR="004346F3" w:rsidRPr="00536CFD" w:rsidRDefault="004346F3" w:rsidP="00802ABC">
            <w:pPr>
              <w:spacing w:after="0"/>
              <w:jc w:val="center"/>
              <w:rPr>
                <w:lang w:val="zh-CN"/>
              </w:rPr>
            </w:pPr>
            <w:r w:rsidRPr="00536CFD">
              <w:rPr>
                <w:color w:val="000000"/>
              </w:rPr>
              <w:t>0.02</w:t>
            </w:r>
          </w:p>
        </w:tc>
      </w:tr>
      <w:tr w:rsidR="004346F3" w:rsidRPr="00C64ECB" w14:paraId="7D401C96"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06FF47E"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22036336"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701D57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1C6862E6" w14:textId="77777777" w:rsidR="004346F3" w:rsidRPr="00536CFD" w:rsidRDefault="004346F3" w:rsidP="00802ABC">
            <w:pPr>
              <w:spacing w:after="0"/>
              <w:jc w:val="center"/>
              <w:rPr>
                <w:lang w:val="zh-CN"/>
              </w:rPr>
            </w:pPr>
            <w:r w:rsidRPr="00536CFD">
              <w:rPr>
                <w:color w:val="000000"/>
              </w:rPr>
              <w:t>0.079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BA6CB79" w14:textId="77777777" w:rsidR="004346F3" w:rsidRPr="00536CFD" w:rsidRDefault="004346F3" w:rsidP="00802ABC">
            <w:pPr>
              <w:spacing w:after="0"/>
              <w:jc w:val="center"/>
              <w:rPr>
                <w:lang w:val="zh-CN"/>
              </w:rPr>
            </w:pPr>
            <w:r w:rsidRPr="00536CFD">
              <w:rPr>
                <w:color w:val="000000"/>
              </w:rPr>
              <w:t>0.064</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78D8CA74" w14:textId="77777777" w:rsidR="004346F3" w:rsidRPr="00536CFD" w:rsidRDefault="004346F3" w:rsidP="00802ABC">
            <w:pPr>
              <w:spacing w:after="0"/>
              <w:jc w:val="center"/>
              <w:rPr>
                <w:lang w:val="zh-CN"/>
              </w:rPr>
            </w:pPr>
            <w:r w:rsidRPr="00536CFD">
              <w:rPr>
                <w:color w:val="000000"/>
              </w:rPr>
              <w:t>0.033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FDBBAC1" w14:textId="77777777" w:rsidR="004346F3" w:rsidRPr="00536CFD" w:rsidRDefault="004346F3" w:rsidP="00802ABC">
            <w:pPr>
              <w:spacing w:after="0"/>
              <w:jc w:val="center"/>
              <w:rPr>
                <w:lang w:val="zh-CN"/>
              </w:rPr>
            </w:pPr>
            <w:r w:rsidRPr="00536CFD">
              <w:rPr>
                <w:color w:val="000000"/>
              </w:rPr>
              <w:t>0.027</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B984646" w14:textId="77777777" w:rsidR="004346F3" w:rsidRPr="00536CFD" w:rsidRDefault="004346F3" w:rsidP="00802ABC">
            <w:pPr>
              <w:spacing w:after="0"/>
              <w:jc w:val="center"/>
              <w:rPr>
                <w:lang w:val="zh-CN"/>
              </w:rPr>
            </w:pPr>
            <w:r w:rsidRPr="00536CFD">
              <w:rPr>
                <w:color w:val="000000"/>
              </w:rPr>
              <w:t>0.126</w:t>
            </w:r>
          </w:p>
        </w:tc>
        <w:tc>
          <w:tcPr>
            <w:tcW w:w="714" w:type="dxa"/>
            <w:tcBorders>
              <w:top w:val="single" w:sz="4" w:space="0" w:color="auto"/>
              <w:left w:val="nil"/>
              <w:bottom w:val="single" w:sz="4" w:space="0" w:color="auto"/>
              <w:right w:val="single" w:sz="4" w:space="0" w:color="auto"/>
            </w:tcBorders>
            <w:shd w:val="clear" w:color="auto" w:fill="auto"/>
            <w:vAlign w:val="bottom"/>
          </w:tcPr>
          <w:p w14:paraId="3BCC9BD5" w14:textId="77777777" w:rsidR="004346F3" w:rsidRPr="00536CFD" w:rsidRDefault="004346F3" w:rsidP="00802ABC">
            <w:pPr>
              <w:spacing w:after="0"/>
              <w:jc w:val="center"/>
              <w:rPr>
                <w:lang w:val="zh-CN"/>
              </w:rPr>
            </w:pPr>
            <w:r w:rsidRPr="00536CFD">
              <w:rPr>
                <w:color w:val="000000"/>
              </w:rPr>
              <w:t>0.097</w:t>
            </w:r>
          </w:p>
        </w:tc>
        <w:tc>
          <w:tcPr>
            <w:tcW w:w="719" w:type="dxa"/>
            <w:tcBorders>
              <w:top w:val="single" w:sz="4" w:space="0" w:color="auto"/>
              <w:left w:val="nil"/>
              <w:bottom w:val="single" w:sz="4" w:space="0" w:color="auto"/>
              <w:right w:val="single" w:sz="4" w:space="0" w:color="auto"/>
            </w:tcBorders>
            <w:shd w:val="clear" w:color="auto" w:fill="auto"/>
            <w:vAlign w:val="bottom"/>
          </w:tcPr>
          <w:p w14:paraId="33832142" w14:textId="77777777" w:rsidR="004346F3" w:rsidRPr="00536CFD" w:rsidRDefault="004346F3" w:rsidP="00802ABC">
            <w:pPr>
              <w:spacing w:after="0"/>
              <w:jc w:val="center"/>
              <w:rPr>
                <w:lang w:val="zh-CN"/>
              </w:rPr>
            </w:pPr>
            <w:r w:rsidRPr="00536CFD">
              <w:rPr>
                <w:color w:val="000000"/>
              </w:rPr>
              <w:t>0.048</w:t>
            </w:r>
          </w:p>
        </w:tc>
        <w:tc>
          <w:tcPr>
            <w:tcW w:w="719" w:type="dxa"/>
            <w:tcBorders>
              <w:top w:val="single" w:sz="4" w:space="0" w:color="auto"/>
              <w:left w:val="nil"/>
              <w:bottom w:val="single" w:sz="4" w:space="0" w:color="auto"/>
              <w:right w:val="single" w:sz="4" w:space="0" w:color="auto"/>
            </w:tcBorders>
            <w:shd w:val="clear" w:color="auto" w:fill="auto"/>
            <w:vAlign w:val="bottom"/>
          </w:tcPr>
          <w:p w14:paraId="489FA383" w14:textId="77777777" w:rsidR="004346F3" w:rsidRPr="00536CFD" w:rsidRDefault="004346F3" w:rsidP="00802ABC">
            <w:pPr>
              <w:spacing w:after="0"/>
              <w:jc w:val="center"/>
              <w:rPr>
                <w:lang w:val="zh-CN"/>
              </w:rPr>
            </w:pPr>
            <w:r w:rsidRPr="00536CFD">
              <w:rPr>
                <w:color w:val="000000"/>
              </w:rPr>
              <w:t>0.029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F50BDD2" w14:textId="77777777" w:rsidR="004346F3" w:rsidRPr="00536CFD" w:rsidRDefault="004346F3" w:rsidP="00802ABC">
            <w:pPr>
              <w:spacing w:after="0"/>
              <w:jc w:val="center"/>
              <w:rPr>
                <w:lang w:val="zh-CN"/>
              </w:rPr>
            </w:pPr>
            <w:r w:rsidRPr="00536CFD">
              <w:rPr>
                <w:color w:val="000000"/>
              </w:rPr>
              <w:t>0.213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78EE3FA" w14:textId="77777777" w:rsidR="004346F3" w:rsidRPr="00536CFD" w:rsidRDefault="004346F3" w:rsidP="00802ABC">
            <w:pPr>
              <w:spacing w:after="0"/>
              <w:jc w:val="center"/>
              <w:rPr>
                <w:lang w:val="zh-CN"/>
              </w:rPr>
            </w:pPr>
            <w:r w:rsidRPr="00536CFD">
              <w:rPr>
                <w:color w:val="000000"/>
              </w:rPr>
              <w:t>0.173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FCCBA9F" w14:textId="77777777" w:rsidR="004346F3" w:rsidRPr="00536CFD" w:rsidRDefault="004346F3" w:rsidP="00802ABC">
            <w:pPr>
              <w:spacing w:after="0"/>
              <w:jc w:val="center"/>
              <w:rPr>
                <w:lang w:val="zh-CN"/>
              </w:rPr>
            </w:pPr>
            <w:r w:rsidRPr="00536CFD">
              <w:rPr>
                <w:color w:val="000000"/>
              </w:rPr>
              <w:t>0.082</w:t>
            </w:r>
          </w:p>
        </w:tc>
        <w:tc>
          <w:tcPr>
            <w:tcW w:w="676" w:type="dxa"/>
            <w:tcBorders>
              <w:top w:val="single" w:sz="4" w:space="0" w:color="auto"/>
              <w:left w:val="nil"/>
              <w:bottom w:val="single" w:sz="4" w:space="0" w:color="auto"/>
              <w:right w:val="single" w:sz="4" w:space="0" w:color="auto"/>
            </w:tcBorders>
            <w:shd w:val="clear" w:color="auto" w:fill="auto"/>
            <w:vAlign w:val="bottom"/>
          </w:tcPr>
          <w:p w14:paraId="7C204691" w14:textId="77777777" w:rsidR="004346F3" w:rsidRPr="00536CFD" w:rsidRDefault="004346F3" w:rsidP="00802ABC">
            <w:pPr>
              <w:spacing w:after="0"/>
              <w:jc w:val="center"/>
              <w:rPr>
                <w:lang w:val="zh-CN"/>
              </w:rPr>
            </w:pPr>
            <w:r w:rsidRPr="00536CFD">
              <w:rPr>
                <w:color w:val="000000"/>
              </w:rPr>
              <w:t>0.032</w:t>
            </w:r>
          </w:p>
        </w:tc>
      </w:tr>
      <w:tr w:rsidR="004346F3" w:rsidRPr="00C64ECB" w14:paraId="53004A9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F95A6B2"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B28CC69"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736B88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0950F6F9" w14:textId="77777777" w:rsidR="004346F3" w:rsidRPr="00536CFD" w:rsidRDefault="004346F3" w:rsidP="00802ABC">
            <w:pPr>
              <w:spacing w:after="0"/>
              <w:jc w:val="center"/>
              <w:rPr>
                <w:lang w:val="zh-CN"/>
              </w:rPr>
            </w:pPr>
            <w:r w:rsidRPr="00536CFD">
              <w:rPr>
                <w:color w:val="000000"/>
              </w:rPr>
              <w:t>0.414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21F544D" w14:textId="77777777" w:rsidR="004346F3" w:rsidRPr="00536CFD" w:rsidRDefault="004346F3" w:rsidP="00802ABC">
            <w:pPr>
              <w:spacing w:after="0"/>
              <w:jc w:val="center"/>
              <w:rPr>
                <w:lang w:val="zh-CN"/>
              </w:rPr>
            </w:pPr>
            <w:r w:rsidRPr="00536CFD">
              <w:rPr>
                <w:color w:val="000000"/>
              </w:rPr>
              <w:t>0.328</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6F1B70A" w14:textId="77777777" w:rsidR="004346F3" w:rsidRPr="00536CFD" w:rsidRDefault="004346F3" w:rsidP="00802ABC">
            <w:pPr>
              <w:spacing w:after="0"/>
              <w:jc w:val="center"/>
              <w:rPr>
                <w:lang w:val="zh-CN"/>
              </w:rPr>
            </w:pPr>
            <w:r w:rsidRPr="00536CFD">
              <w:rPr>
                <w:color w:val="000000"/>
              </w:rPr>
              <w:t>0.151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2079C6F" w14:textId="77777777" w:rsidR="004346F3" w:rsidRPr="00536CFD" w:rsidRDefault="004346F3" w:rsidP="00802ABC">
            <w:pPr>
              <w:spacing w:after="0"/>
              <w:jc w:val="center"/>
              <w:rPr>
                <w:lang w:val="zh-CN"/>
              </w:rPr>
            </w:pPr>
            <w:r w:rsidRPr="00536CFD">
              <w:rPr>
                <w:color w:val="000000"/>
              </w:rPr>
              <w:t>0.076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7908EF5B" w14:textId="77777777" w:rsidR="004346F3" w:rsidRPr="00536CFD" w:rsidRDefault="004346F3" w:rsidP="00802ABC">
            <w:pPr>
              <w:spacing w:after="0"/>
              <w:jc w:val="center"/>
              <w:rPr>
                <w:lang w:val="zh-CN"/>
              </w:rPr>
            </w:pPr>
            <w:r w:rsidRPr="00536CFD">
              <w:rPr>
                <w:color w:val="000000"/>
              </w:rPr>
              <w:t>1.049</w:t>
            </w:r>
          </w:p>
        </w:tc>
        <w:tc>
          <w:tcPr>
            <w:tcW w:w="714" w:type="dxa"/>
            <w:tcBorders>
              <w:top w:val="single" w:sz="4" w:space="0" w:color="auto"/>
              <w:left w:val="nil"/>
              <w:bottom w:val="single" w:sz="4" w:space="0" w:color="auto"/>
              <w:right w:val="single" w:sz="4" w:space="0" w:color="auto"/>
            </w:tcBorders>
            <w:shd w:val="clear" w:color="auto" w:fill="auto"/>
            <w:vAlign w:val="bottom"/>
          </w:tcPr>
          <w:p w14:paraId="66D36AFA" w14:textId="77777777" w:rsidR="004346F3" w:rsidRPr="00536CFD" w:rsidRDefault="004346F3" w:rsidP="00802ABC">
            <w:pPr>
              <w:spacing w:after="0"/>
              <w:jc w:val="center"/>
              <w:rPr>
                <w:lang w:val="zh-CN"/>
              </w:rPr>
            </w:pPr>
            <w:r w:rsidRPr="00536CFD">
              <w:rPr>
                <w:color w:val="000000"/>
              </w:rPr>
              <w:t>0.808</w:t>
            </w:r>
          </w:p>
        </w:tc>
        <w:tc>
          <w:tcPr>
            <w:tcW w:w="719" w:type="dxa"/>
            <w:tcBorders>
              <w:top w:val="single" w:sz="4" w:space="0" w:color="auto"/>
              <w:left w:val="nil"/>
              <w:bottom w:val="single" w:sz="4" w:space="0" w:color="auto"/>
              <w:right w:val="single" w:sz="4" w:space="0" w:color="auto"/>
            </w:tcBorders>
            <w:shd w:val="clear" w:color="auto" w:fill="auto"/>
            <w:vAlign w:val="bottom"/>
          </w:tcPr>
          <w:p w14:paraId="57BBD881" w14:textId="77777777" w:rsidR="004346F3" w:rsidRPr="00536CFD" w:rsidRDefault="004346F3" w:rsidP="00802ABC">
            <w:pPr>
              <w:spacing w:after="0"/>
              <w:jc w:val="center"/>
              <w:rPr>
                <w:lang w:val="zh-CN"/>
              </w:rPr>
            </w:pPr>
            <w:r w:rsidRPr="00536CFD">
              <w:rPr>
                <w:color w:val="000000"/>
              </w:rPr>
              <w:t>0.308</w:t>
            </w:r>
          </w:p>
        </w:tc>
        <w:tc>
          <w:tcPr>
            <w:tcW w:w="719" w:type="dxa"/>
            <w:tcBorders>
              <w:top w:val="single" w:sz="4" w:space="0" w:color="auto"/>
              <w:left w:val="nil"/>
              <w:bottom w:val="single" w:sz="4" w:space="0" w:color="auto"/>
              <w:right w:val="single" w:sz="4" w:space="0" w:color="auto"/>
            </w:tcBorders>
            <w:shd w:val="clear" w:color="auto" w:fill="auto"/>
            <w:vAlign w:val="bottom"/>
          </w:tcPr>
          <w:p w14:paraId="5C6DA4FA" w14:textId="77777777" w:rsidR="004346F3" w:rsidRPr="00536CFD" w:rsidRDefault="004346F3" w:rsidP="00802ABC">
            <w:pPr>
              <w:spacing w:after="0"/>
              <w:jc w:val="center"/>
              <w:rPr>
                <w:lang w:val="zh-CN"/>
              </w:rPr>
            </w:pPr>
            <w:r w:rsidRPr="00536CFD">
              <w:rPr>
                <w:color w:val="000000"/>
              </w:rPr>
              <w:t>0.091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55EFC09" w14:textId="77777777" w:rsidR="004346F3" w:rsidRPr="00536CFD" w:rsidRDefault="004346F3" w:rsidP="00802ABC">
            <w:pPr>
              <w:spacing w:after="0"/>
              <w:jc w:val="center"/>
              <w:rPr>
                <w:lang w:val="zh-CN"/>
              </w:rPr>
            </w:pPr>
            <w:r w:rsidRPr="00536CFD">
              <w:rPr>
                <w:color w:val="000000"/>
              </w:rPr>
              <w:t>16.009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7F7D0B7" w14:textId="77777777" w:rsidR="004346F3" w:rsidRPr="00536CFD" w:rsidRDefault="004346F3" w:rsidP="00802ABC">
            <w:pPr>
              <w:spacing w:after="0"/>
              <w:jc w:val="center"/>
              <w:rPr>
                <w:lang w:val="zh-CN"/>
              </w:rPr>
            </w:pPr>
            <w:r w:rsidRPr="00536CFD">
              <w:rPr>
                <w:color w:val="000000"/>
              </w:rPr>
              <w:t>7.014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90EE89A" w14:textId="77777777" w:rsidR="004346F3" w:rsidRPr="00536CFD" w:rsidRDefault="004346F3" w:rsidP="00802ABC">
            <w:pPr>
              <w:spacing w:after="0"/>
              <w:jc w:val="center"/>
              <w:rPr>
                <w:lang w:val="zh-CN"/>
              </w:rPr>
            </w:pPr>
            <w:r w:rsidRPr="00536CFD">
              <w:rPr>
                <w:color w:val="000000"/>
              </w:rPr>
              <w:t>0.769</w:t>
            </w:r>
          </w:p>
        </w:tc>
        <w:tc>
          <w:tcPr>
            <w:tcW w:w="676" w:type="dxa"/>
            <w:tcBorders>
              <w:top w:val="single" w:sz="4" w:space="0" w:color="auto"/>
              <w:left w:val="nil"/>
              <w:bottom w:val="single" w:sz="4" w:space="0" w:color="auto"/>
              <w:right w:val="single" w:sz="4" w:space="0" w:color="auto"/>
            </w:tcBorders>
            <w:shd w:val="clear" w:color="auto" w:fill="auto"/>
            <w:vAlign w:val="bottom"/>
          </w:tcPr>
          <w:p w14:paraId="2BFE39E8" w14:textId="77777777" w:rsidR="004346F3" w:rsidRPr="00536CFD" w:rsidRDefault="004346F3" w:rsidP="00802ABC">
            <w:pPr>
              <w:spacing w:after="0"/>
              <w:jc w:val="center"/>
              <w:rPr>
                <w:lang w:val="zh-CN"/>
              </w:rPr>
            </w:pPr>
            <w:r w:rsidRPr="00536CFD">
              <w:rPr>
                <w:color w:val="000000"/>
              </w:rPr>
              <w:t>0.112</w:t>
            </w:r>
          </w:p>
        </w:tc>
      </w:tr>
      <w:tr w:rsidR="004346F3" w:rsidRPr="00C64ECB" w14:paraId="1161438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D39ECAD"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2398BA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4B05C1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6CC9BBF0" w14:textId="77777777" w:rsidR="004346F3" w:rsidRPr="00536CFD" w:rsidRDefault="004346F3" w:rsidP="00802ABC">
            <w:pPr>
              <w:spacing w:after="0"/>
              <w:jc w:val="center"/>
              <w:rPr>
                <w:lang w:val="zh-CN"/>
              </w:rPr>
            </w:pPr>
            <w:r w:rsidRPr="00536CFD">
              <w:rPr>
                <w:color w:val="000000"/>
              </w:rPr>
              <w:t>0.148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23BE15F" w14:textId="77777777" w:rsidR="004346F3" w:rsidRPr="00536CFD" w:rsidRDefault="004346F3" w:rsidP="00802ABC">
            <w:pPr>
              <w:spacing w:after="0"/>
              <w:jc w:val="center"/>
              <w:rPr>
                <w:lang w:val="zh-CN"/>
              </w:rPr>
            </w:pPr>
            <w:r w:rsidRPr="00536CFD">
              <w:rPr>
                <w:color w:val="000000"/>
              </w:rPr>
              <w:t>0.109</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E41C4AB" w14:textId="77777777" w:rsidR="004346F3" w:rsidRPr="00536CFD" w:rsidRDefault="004346F3" w:rsidP="00802ABC">
            <w:pPr>
              <w:spacing w:after="0"/>
              <w:jc w:val="center"/>
              <w:rPr>
                <w:lang w:val="zh-CN"/>
              </w:rPr>
            </w:pPr>
            <w:r w:rsidRPr="00536CFD">
              <w:rPr>
                <w:color w:val="000000"/>
              </w:rPr>
              <w:t>0.055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C228EB7" w14:textId="77777777" w:rsidR="004346F3" w:rsidRPr="00536CFD" w:rsidRDefault="004346F3" w:rsidP="00802ABC">
            <w:pPr>
              <w:spacing w:after="0"/>
              <w:jc w:val="center"/>
              <w:rPr>
                <w:lang w:val="zh-CN"/>
              </w:rPr>
            </w:pPr>
            <w:r w:rsidRPr="00536CFD">
              <w:rPr>
                <w:color w:val="000000"/>
              </w:rPr>
              <w:t>0.036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4C9DDF8" w14:textId="77777777" w:rsidR="004346F3" w:rsidRPr="00536CFD" w:rsidRDefault="004346F3" w:rsidP="00802ABC">
            <w:pPr>
              <w:spacing w:after="0"/>
              <w:jc w:val="center"/>
              <w:rPr>
                <w:lang w:val="zh-CN"/>
              </w:rPr>
            </w:pPr>
            <w:r w:rsidRPr="00536CFD">
              <w:rPr>
                <w:color w:val="000000"/>
              </w:rPr>
              <w:t>0.99</w:t>
            </w:r>
          </w:p>
        </w:tc>
        <w:tc>
          <w:tcPr>
            <w:tcW w:w="714" w:type="dxa"/>
            <w:tcBorders>
              <w:top w:val="single" w:sz="4" w:space="0" w:color="auto"/>
              <w:left w:val="nil"/>
              <w:bottom w:val="single" w:sz="4" w:space="0" w:color="auto"/>
              <w:right w:val="single" w:sz="4" w:space="0" w:color="auto"/>
            </w:tcBorders>
            <w:shd w:val="clear" w:color="auto" w:fill="auto"/>
            <w:vAlign w:val="bottom"/>
          </w:tcPr>
          <w:p w14:paraId="3F55449E" w14:textId="77777777" w:rsidR="004346F3" w:rsidRPr="00536CFD" w:rsidRDefault="004346F3" w:rsidP="00802ABC">
            <w:pPr>
              <w:spacing w:after="0"/>
              <w:jc w:val="center"/>
              <w:rPr>
                <w:lang w:val="zh-CN"/>
              </w:rPr>
            </w:pPr>
            <w:r w:rsidRPr="00536CFD">
              <w:rPr>
                <w:color w:val="000000"/>
              </w:rPr>
              <w:t>1.031</w:t>
            </w:r>
          </w:p>
        </w:tc>
        <w:tc>
          <w:tcPr>
            <w:tcW w:w="719" w:type="dxa"/>
            <w:tcBorders>
              <w:top w:val="single" w:sz="4" w:space="0" w:color="auto"/>
              <w:left w:val="nil"/>
              <w:bottom w:val="single" w:sz="4" w:space="0" w:color="auto"/>
              <w:right w:val="single" w:sz="4" w:space="0" w:color="auto"/>
            </w:tcBorders>
            <w:shd w:val="clear" w:color="auto" w:fill="auto"/>
            <w:vAlign w:val="bottom"/>
          </w:tcPr>
          <w:p w14:paraId="45362CDA" w14:textId="77777777" w:rsidR="004346F3" w:rsidRPr="00536CFD" w:rsidRDefault="004346F3" w:rsidP="00802ABC">
            <w:pPr>
              <w:spacing w:after="0"/>
              <w:jc w:val="center"/>
              <w:rPr>
                <w:lang w:val="zh-CN"/>
              </w:rPr>
            </w:pPr>
            <w:r w:rsidRPr="00536CFD">
              <w:rPr>
                <w:color w:val="000000"/>
              </w:rPr>
              <w:t>0.098</w:t>
            </w:r>
          </w:p>
        </w:tc>
        <w:tc>
          <w:tcPr>
            <w:tcW w:w="719" w:type="dxa"/>
            <w:tcBorders>
              <w:top w:val="single" w:sz="4" w:space="0" w:color="auto"/>
              <w:left w:val="nil"/>
              <w:bottom w:val="single" w:sz="4" w:space="0" w:color="auto"/>
              <w:right w:val="single" w:sz="4" w:space="0" w:color="auto"/>
            </w:tcBorders>
            <w:shd w:val="clear" w:color="auto" w:fill="auto"/>
            <w:vAlign w:val="bottom"/>
          </w:tcPr>
          <w:p w14:paraId="4A637DAA" w14:textId="77777777" w:rsidR="004346F3" w:rsidRPr="00536CFD" w:rsidRDefault="004346F3" w:rsidP="00802ABC">
            <w:pPr>
              <w:spacing w:after="0"/>
              <w:jc w:val="center"/>
              <w:rPr>
                <w:lang w:val="zh-CN"/>
              </w:rPr>
            </w:pPr>
            <w:r w:rsidRPr="00536CFD">
              <w:rPr>
                <w:color w:val="000000"/>
              </w:rPr>
              <w:t>0.04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5D8ADC2" w14:textId="77777777" w:rsidR="004346F3" w:rsidRPr="00536CFD" w:rsidRDefault="004346F3" w:rsidP="00802ABC">
            <w:pPr>
              <w:spacing w:after="0"/>
              <w:jc w:val="center"/>
              <w:rPr>
                <w:lang w:val="zh-CN"/>
              </w:rPr>
            </w:pPr>
            <w:r w:rsidRPr="00536CFD">
              <w:rPr>
                <w:color w:val="000000"/>
              </w:rPr>
              <w:t>6.301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48EE4DC" w14:textId="77777777" w:rsidR="004346F3" w:rsidRPr="00536CFD" w:rsidRDefault="004346F3" w:rsidP="00802ABC">
            <w:pPr>
              <w:spacing w:after="0"/>
              <w:jc w:val="center"/>
              <w:rPr>
                <w:lang w:val="zh-CN"/>
              </w:rPr>
            </w:pPr>
            <w:r w:rsidRPr="00536CFD">
              <w:rPr>
                <w:color w:val="000000"/>
              </w:rPr>
              <w:t>7.385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8EEAFA7" w14:textId="77777777" w:rsidR="004346F3" w:rsidRPr="00536CFD" w:rsidRDefault="004346F3" w:rsidP="00802ABC">
            <w:pPr>
              <w:spacing w:after="0"/>
              <w:jc w:val="center"/>
              <w:rPr>
                <w:lang w:val="zh-CN"/>
              </w:rPr>
            </w:pPr>
            <w:r w:rsidRPr="00536CFD">
              <w:rPr>
                <w:color w:val="000000"/>
              </w:rPr>
              <w:t>0.217</w:t>
            </w:r>
          </w:p>
        </w:tc>
        <w:tc>
          <w:tcPr>
            <w:tcW w:w="676" w:type="dxa"/>
            <w:tcBorders>
              <w:top w:val="single" w:sz="4" w:space="0" w:color="auto"/>
              <w:left w:val="nil"/>
              <w:bottom w:val="single" w:sz="4" w:space="0" w:color="auto"/>
              <w:right w:val="single" w:sz="4" w:space="0" w:color="auto"/>
            </w:tcBorders>
            <w:shd w:val="clear" w:color="auto" w:fill="auto"/>
            <w:vAlign w:val="bottom"/>
          </w:tcPr>
          <w:p w14:paraId="37D56A71" w14:textId="77777777" w:rsidR="004346F3" w:rsidRPr="00536CFD" w:rsidRDefault="004346F3" w:rsidP="00802ABC">
            <w:pPr>
              <w:spacing w:after="0"/>
              <w:jc w:val="center"/>
              <w:rPr>
                <w:lang w:val="zh-CN"/>
              </w:rPr>
            </w:pPr>
            <w:r w:rsidRPr="00536CFD">
              <w:rPr>
                <w:color w:val="000000"/>
              </w:rPr>
              <w:t>0.045</w:t>
            </w:r>
          </w:p>
        </w:tc>
      </w:tr>
      <w:tr w:rsidR="004346F3" w:rsidRPr="00C64ECB" w14:paraId="385FDE8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B692B2C"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6CAA249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564B1E2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1AD1BCD4" w14:textId="77777777" w:rsidR="004346F3" w:rsidRPr="00536CFD" w:rsidRDefault="004346F3" w:rsidP="00802ABC">
            <w:pPr>
              <w:spacing w:after="0"/>
              <w:jc w:val="center"/>
              <w:rPr>
                <w:lang w:val="zh-CN"/>
              </w:rPr>
            </w:pPr>
            <w:r w:rsidRPr="00536CFD">
              <w:rPr>
                <w:color w:val="000000"/>
              </w:rPr>
              <w:t>10.66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B45DCFD" w14:textId="77777777" w:rsidR="004346F3" w:rsidRPr="00536CFD" w:rsidRDefault="004346F3" w:rsidP="00802ABC">
            <w:pPr>
              <w:spacing w:after="0"/>
              <w:jc w:val="center"/>
              <w:rPr>
                <w:lang w:val="zh-CN"/>
              </w:rPr>
            </w:pPr>
            <w:r w:rsidRPr="00536CFD">
              <w:rPr>
                <w:color w:val="000000"/>
              </w:rPr>
              <w:t>14.93</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23BDD28" w14:textId="77777777" w:rsidR="004346F3" w:rsidRPr="00536CFD" w:rsidRDefault="004346F3" w:rsidP="00802ABC">
            <w:pPr>
              <w:spacing w:after="0"/>
              <w:jc w:val="center"/>
              <w:rPr>
                <w:lang w:val="zh-CN"/>
              </w:rPr>
            </w:pPr>
            <w:r w:rsidRPr="00536CFD">
              <w:rPr>
                <w:color w:val="000000"/>
              </w:rPr>
              <w:t>33.54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DA01C21" w14:textId="77777777" w:rsidR="004346F3" w:rsidRPr="00536CFD" w:rsidRDefault="004346F3" w:rsidP="00802ABC">
            <w:pPr>
              <w:spacing w:after="0"/>
              <w:jc w:val="center"/>
              <w:rPr>
                <w:lang w:val="zh-CN"/>
              </w:rPr>
            </w:pPr>
            <w:r w:rsidRPr="00536CFD">
              <w:rPr>
                <w:color w:val="000000"/>
              </w:rPr>
              <w:t>45.52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5263D43C" w14:textId="77777777" w:rsidR="004346F3" w:rsidRPr="00536CFD" w:rsidRDefault="004346F3" w:rsidP="00802ABC">
            <w:pPr>
              <w:spacing w:after="0"/>
              <w:jc w:val="center"/>
              <w:rPr>
                <w:lang w:val="zh-CN"/>
              </w:rPr>
            </w:pPr>
            <w:r w:rsidRPr="00536CFD">
              <w:rPr>
                <w:color w:val="000000"/>
              </w:rPr>
              <w:t>4.6</w:t>
            </w:r>
          </w:p>
        </w:tc>
        <w:tc>
          <w:tcPr>
            <w:tcW w:w="714" w:type="dxa"/>
            <w:tcBorders>
              <w:top w:val="single" w:sz="4" w:space="0" w:color="auto"/>
              <w:left w:val="nil"/>
              <w:bottom w:val="single" w:sz="4" w:space="0" w:color="auto"/>
              <w:right w:val="single" w:sz="4" w:space="0" w:color="auto"/>
            </w:tcBorders>
            <w:shd w:val="clear" w:color="auto" w:fill="auto"/>
            <w:vAlign w:val="bottom"/>
          </w:tcPr>
          <w:p w14:paraId="5AD1EF1E" w14:textId="77777777" w:rsidR="004346F3" w:rsidRPr="00536CFD" w:rsidRDefault="004346F3" w:rsidP="00802ABC">
            <w:pPr>
              <w:spacing w:after="0"/>
              <w:jc w:val="center"/>
              <w:rPr>
                <w:lang w:val="zh-CN"/>
              </w:rPr>
            </w:pPr>
            <w:r w:rsidRPr="00536CFD">
              <w:rPr>
                <w:color w:val="000000"/>
              </w:rPr>
              <w:t>5.43</w:t>
            </w:r>
          </w:p>
        </w:tc>
        <w:tc>
          <w:tcPr>
            <w:tcW w:w="719" w:type="dxa"/>
            <w:tcBorders>
              <w:top w:val="single" w:sz="4" w:space="0" w:color="auto"/>
              <w:left w:val="nil"/>
              <w:bottom w:val="single" w:sz="4" w:space="0" w:color="auto"/>
              <w:right w:val="single" w:sz="4" w:space="0" w:color="auto"/>
            </w:tcBorders>
            <w:shd w:val="clear" w:color="auto" w:fill="auto"/>
            <w:vAlign w:val="bottom"/>
          </w:tcPr>
          <w:p w14:paraId="42CF2C43" w14:textId="77777777" w:rsidR="004346F3" w:rsidRPr="00536CFD" w:rsidRDefault="004346F3" w:rsidP="00802ABC">
            <w:pPr>
              <w:spacing w:after="0"/>
              <w:jc w:val="center"/>
              <w:rPr>
                <w:lang w:val="zh-CN"/>
              </w:rPr>
            </w:pPr>
            <w:r w:rsidRPr="00536CFD">
              <w:rPr>
                <w:color w:val="000000"/>
              </w:rPr>
              <w:t>15.52</w:t>
            </w:r>
          </w:p>
        </w:tc>
        <w:tc>
          <w:tcPr>
            <w:tcW w:w="719" w:type="dxa"/>
            <w:tcBorders>
              <w:top w:val="single" w:sz="4" w:space="0" w:color="auto"/>
              <w:left w:val="nil"/>
              <w:bottom w:val="single" w:sz="4" w:space="0" w:color="auto"/>
              <w:right w:val="single" w:sz="4" w:space="0" w:color="auto"/>
            </w:tcBorders>
            <w:shd w:val="clear" w:color="auto" w:fill="auto"/>
            <w:vAlign w:val="bottom"/>
          </w:tcPr>
          <w:p w14:paraId="20E1E26E" w14:textId="77777777" w:rsidR="004346F3" w:rsidRPr="00536CFD" w:rsidRDefault="004346F3" w:rsidP="00802ABC">
            <w:pPr>
              <w:spacing w:after="0"/>
              <w:jc w:val="center"/>
              <w:rPr>
                <w:lang w:val="zh-CN"/>
              </w:rPr>
            </w:pPr>
            <w:r w:rsidRPr="00536CFD">
              <w:rPr>
                <w:color w:val="000000"/>
              </w:rPr>
              <w:t>39.28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4B85282" w14:textId="77777777" w:rsidR="004346F3" w:rsidRPr="00536CFD" w:rsidRDefault="004346F3" w:rsidP="00802ABC">
            <w:pPr>
              <w:spacing w:after="0"/>
              <w:jc w:val="center"/>
              <w:rPr>
                <w:lang w:val="zh-CN"/>
              </w:rPr>
            </w:pPr>
            <w:r w:rsidRPr="00536CFD">
              <w:rPr>
                <w:color w:val="000000"/>
              </w:rPr>
              <w:t>0.04</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E41EFB5" w14:textId="77777777" w:rsidR="004346F3" w:rsidRPr="00536CFD" w:rsidRDefault="004346F3" w:rsidP="00802ABC">
            <w:pPr>
              <w:spacing w:after="0"/>
              <w:jc w:val="center"/>
              <w:rPr>
                <w:lang w:val="zh-CN"/>
              </w:rPr>
            </w:pPr>
            <w:r w:rsidRPr="00536CFD">
              <w:rPr>
                <w:color w:val="000000"/>
              </w:rPr>
              <w:t>0.05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295F295" w14:textId="77777777" w:rsidR="004346F3" w:rsidRPr="00536CFD" w:rsidRDefault="004346F3" w:rsidP="00802ABC">
            <w:pPr>
              <w:spacing w:after="0"/>
              <w:jc w:val="center"/>
              <w:rPr>
                <w:lang w:val="zh-CN"/>
              </w:rPr>
            </w:pPr>
            <w:r w:rsidRPr="00536CFD">
              <w:rPr>
                <w:color w:val="000000"/>
              </w:rPr>
              <w:t>5.34</w:t>
            </w:r>
          </w:p>
        </w:tc>
        <w:tc>
          <w:tcPr>
            <w:tcW w:w="676" w:type="dxa"/>
            <w:tcBorders>
              <w:top w:val="single" w:sz="4" w:space="0" w:color="auto"/>
              <w:left w:val="nil"/>
              <w:bottom w:val="single" w:sz="4" w:space="0" w:color="auto"/>
              <w:right w:val="single" w:sz="4" w:space="0" w:color="auto"/>
            </w:tcBorders>
            <w:shd w:val="clear" w:color="auto" w:fill="auto"/>
            <w:vAlign w:val="bottom"/>
          </w:tcPr>
          <w:p w14:paraId="0D88137A" w14:textId="77777777" w:rsidR="004346F3" w:rsidRPr="00536CFD" w:rsidRDefault="004346F3" w:rsidP="00802ABC">
            <w:pPr>
              <w:spacing w:after="0"/>
              <w:jc w:val="center"/>
              <w:rPr>
                <w:lang w:val="zh-CN"/>
              </w:rPr>
            </w:pPr>
            <w:r w:rsidRPr="00536CFD">
              <w:rPr>
                <w:color w:val="000000"/>
              </w:rPr>
              <w:t>33.67</w:t>
            </w:r>
          </w:p>
        </w:tc>
      </w:tr>
      <w:tr w:rsidR="004346F3" w:rsidRPr="00C64ECB" w14:paraId="63550A9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0E8A527"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814A748"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B622E0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208C9737" w14:textId="77777777" w:rsidR="004346F3" w:rsidRPr="00536CFD" w:rsidRDefault="004346F3" w:rsidP="00802ABC">
            <w:pPr>
              <w:spacing w:after="0"/>
              <w:jc w:val="center"/>
              <w:rPr>
                <w:lang w:val="zh-CN"/>
              </w:rPr>
            </w:pPr>
            <w:r w:rsidRPr="00536CFD">
              <w:rPr>
                <w:color w:val="000000"/>
              </w:rPr>
              <w:t>47.54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C91D632" w14:textId="77777777" w:rsidR="004346F3" w:rsidRPr="00536CFD" w:rsidRDefault="004346F3" w:rsidP="00802ABC">
            <w:pPr>
              <w:spacing w:after="0"/>
              <w:jc w:val="center"/>
              <w:rPr>
                <w:lang w:val="zh-CN"/>
              </w:rPr>
            </w:pPr>
            <w:r w:rsidRPr="00536CFD">
              <w:rPr>
                <w:color w:val="000000"/>
              </w:rPr>
              <w:t>51.75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1D3255E" w14:textId="77777777" w:rsidR="004346F3" w:rsidRPr="00536CFD" w:rsidRDefault="004346F3" w:rsidP="00802ABC">
            <w:pPr>
              <w:spacing w:after="0"/>
              <w:jc w:val="center"/>
              <w:rPr>
                <w:lang w:val="zh-CN"/>
              </w:rPr>
            </w:pPr>
            <w:r w:rsidRPr="00536CFD">
              <w:rPr>
                <w:color w:val="000000"/>
              </w:rPr>
              <w:t>92.67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C4D3B85" w14:textId="77777777" w:rsidR="004346F3" w:rsidRPr="00536CFD" w:rsidRDefault="004346F3" w:rsidP="00802ABC">
            <w:pPr>
              <w:spacing w:after="0"/>
              <w:jc w:val="center"/>
              <w:rPr>
                <w:lang w:val="zh-CN"/>
              </w:rPr>
            </w:pPr>
            <w:r w:rsidRPr="00536CFD">
              <w:rPr>
                <w:color w:val="000000"/>
              </w:rPr>
              <w:t>117.9</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9F15C3E" w14:textId="77777777" w:rsidR="004346F3" w:rsidRPr="00536CFD" w:rsidRDefault="004346F3" w:rsidP="00802ABC">
            <w:pPr>
              <w:spacing w:after="0"/>
              <w:jc w:val="center"/>
              <w:rPr>
                <w:lang w:val="zh-CN"/>
              </w:rPr>
            </w:pPr>
            <w:r w:rsidRPr="00536CFD">
              <w:rPr>
                <w:color w:val="000000"/>
              </w:rPr>
              <w:t>29.75</w:t>
            </w:r>
          </w:p>
        </w:tc>
        <w:tc>
          <w:tcPr>
            <w:tcW w:w="714" w:type="dxa"/>
            <w:tcBorders>
              <w:top w:val="single" w:sz="4" w:space="0" w:color="auto"/>
              <w:left w:val="nil"/>
              <w:bottom w:val="single" w:sz="4" w:space="0" w:color="auto"/>
              <w:right w:val="single" w:sz="4" w:space="0" w:color="auto"/>
            </w:tcBorders>
            <w:shd w:val="clear" w:color="auto" w:fill="auto"/>
            <w:vAlign w:val="bottom"/>
          </w:tcPr>
          <w:p w14:paraId="6B6CAB56" w14:textId="77777777" w:rsidR="004346F3" w:rsidRPr="00536CFD" w:rsidRDefault="004346F3" w:rsidP="00802ABC">
            <w:pPr>
              <w:spacing w:after="0"/>
              <w:jc w:val="center"/>
              <w:rPr>
                <w:lang w:val="zh-CN"/>
              </w:rPr>
            </w:pPr>
            <w:r w:rsidRPr="00536CFD">
              <w:rPr>
                <w:color w:val="000000"/>
              </w:rPr>
              <w:t>34.28</w:t>
            </w:r>
          </w:p>
        </w:tc>
        <w:tc>
          <w:tcPr>
            <w:tcW w:w="719" w:type="dxa"/>
            <w:tcBorders>
              <w:top w:val="single" w:sz="4" w:space="0" w:color="auto"/>
              <w:left w:val="nil"/>
              <w:bottom w:val="single" w:sz="4" w:space="0" w:color="auto"/>
              <w:right w:val="single" w:sz="4" w:space="0" w:color="auto"/>
            </w:tcBorders>
            <w:shd w:val="clear" w:color="auto" w:fill="auto"/>
            <w:vAlign w:val="bottom"/>
          </w:tcPr>
          <w:p w14:paraId="42F5E2E6" w14:textId="77777777" w:rsidR="004346F3" w:rsidRPr="00536CFD" w:rsidRDefault="004346F3" w:rsidP="00802ABC">
            <w:pPr>
              <w:spacing w:after="0"/>
              <w:jc w:val="center"/>
              <w:rPr>
                <w:lang w:val="zh-CN"/>
              </w:rPr>
            </w:pPr>
            <w:r w:rsidRPr="00536CFD">
              <w:rPr>
                <w:color w:val="000000"/>
              </w:rPr>
              <w:t>63.25</w:t>
            </w:r>
          </w:p>
        </w:tc>
        <w:tc>
          <w:tcPr>
            <w:tcW w:w="719" w:type="dxa"/>
            <w:tcBorders>
              <w:top w:val="single" w:sz="4" w:space="0" w:color="auto"/>
              <w:left w:val="nil"/>
              <w:bottom w:val="single" w:sz="4" w:space="0" w:color="auto"/>
              <w:right w:val="single" w:sz="4" w:space="0" w:color="auto"/>
            </w:tcBorders>
            <w:shd w:val="clear" w:color="auto" w:fill="auto"/>
            <w:vAlign w:val="bottom"/>
          </w:tcPr>
          <w:p w14:paraId="6E0E77AE" w14:textId="77777777" w:rsidR="004346F3" w:rsidRPr="00536CFD" w:rsidRDefault="004346F3" w:rsidP="00802ABC">
            <w:pPr>
              <w:spacing w:after="0"/>
              <w:jc w:val="center"/>
              <w:rPr>
                <w:lang w:val="zh-CN"/>
              </w:rPr>
            </w:pPr>
            <w:r w:rsidRPr="00536CFD">
              <w:rPr>
                <w:color w:val="000000"/>
              </w:rPr>
              <w:t>107.57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C123E28" w14:textId="77777777" w:rsidR="004346F3" w:rsidRPr="00536CFD" w:rsidRDefault="004346F3" w:rsidP="00802ABC">
            <w:pPr>
              <w:spacing w:after="0"/>
              <w:jc w:val="center"/>
              <w:rPr>
                <w:lang w:val="zh-CN"/>
              </w:rPr>
            </w:pPr>
            <w:r w:rsidRPr="00536CFD">
              <w:rPr>
                <w:color w:val="000000"/>
              </w:rPr>
              <w:t>18.6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2E74665" w14:textId="77777777" w:rsidR="004346F3" w:rsidRPr="00536CFD" w:rsidRDefault="004346F3" w:rsidP="00802ABC">
            <w:pPr>
              <w:spacing w:after="0"/>
              <w:jc w:val="center"/>
              <w:rPr>
                <w:lang w:val="zh-CN"/>
              </w:rPr>
            </w:pPr>
            <w:r w:rsidRPr="00536CFD">
              <w:rPr>
                <w:color w:val="000000"/>
              </w:rPr>
              <w:t>18.99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D845D92" w14:textId="77777777" w:rsidR="004346F3" w:rsidRPr="00536CFD" w:rsidRDefault="004346F3" w:rsidP="00802ABC">
            <w:pPr>
              <w:spacing w:after="0"/>
              <w:jc w:val="center"/>
              <w:rPr>
                <w:lang w:val="zh-CN"/>
              </w:rPr>
            </w:pPr>
            <w:r w:rsidRPr="00536CFD">
              <w:rPr>
                <w:color w:val="000000"/>
              </w:rPr>
              <w:t>30.04</w:t>
            </w:r>
          </w:p>
        </w:tc>
        <w:tc>
          <w:tcPr>
            <w:tcW w:w="676" w:type="dxa"/>
            <w:tcBorders>
              <w:top w:val="single" w:sz="4" w:space="0" w:color="auto"/>
              <w:left w:val="nil"/>
              <w:bottom w:val="single" w:sz="4" w:space="0" w:color="auto"/>
              <w:right w:val="single" w:sz="4" w:space="0" w:color="auto"/>
            </w:tcBorders>
            <w:shd w:val="clear" w:color="auto" w:fill="auto"/>
            <w:vAlign w:val="bottom"/>
          </w:tcPr>
          <w:p w14:paraId="7A066B73" w14:textId="77777777" w:rsidR="004346F3" w:rsidRPr="00536CFD" w:rsidRDefault="004346F3" w:rsidP="00802ABC">
            <w:pPr>
              <w:spacing w:after="0"/>
              <w:jc w:val="center"/>
              <w:rPr>
                <w:lang w:val="zh-CN"/>
              </w:rPr>
            </w:pPr>
            <w:r w:rsidRPr="00536CFD">
              <w:rPr>
                <w:color w:val="000000"/>
              </w:rPr>
              <w:t>94.92</w:t>
            </w:r>
          </w:p>
        </w:tc>
      </w:tr>
      <w:tr w:rsidR="004346F3" w:rsidRPr="00C64ECB" w14:paraId="5479753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0835D2D"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A9A74E4"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2833E1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2FF214CF" w14:textId="77777777" w:rsidR="004346F3" w:rsidRPr="00536CFD" w:rsidRDefault="004346F3" w:rsidP="00802ABC">
            <w:pPr>
              <w:spacing w:after="0"/>
              <w:jc w:val="center"/>
              <w:rPr>
                <w:lang w:val="zh-CN"/>
              </w:rPr>
            </w:pPr>
            <w:r w:rsidRPr="00536CFD">
              <w:rPr>
                <w:color w:val="000000"/>
              </w:rPr>
              <w:t>73.16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51506DD" w14:textId="77777777" w:rsidR="004346F3" w:rsidRPr="00536CFD" w:rsidRDefault="004346F3" w:rsidP="00802ABC">
            <w:pPr>
              <w:spacing w:after="0"/>
              <w:jc w:val="center"/>
              <w:rPr>
                <w:lang w:val="zh-CN"/>
              </w:rPr>
            </w:pPr>
            <w:r w:rsidRPr="00536CFD">
              <w:rPr>
                <w:color w:val="000000"/>
              </w:rPr>
              <w:t>82.6</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2B538EE" w14:textId="77777777" w:rsidR="004346F3" w:rsidRPr="00536CFD" w:rsidRDefault="004346F3" w:rsidP="00802ABC">
            <w:pPr>
              <w:spacing w:after="0"/>
              <w:jc w:val="center"/>
              <w:rPr>
                <w:lang w:val="zh-CN"/>
              </w:rPr>
            </w:pPr>
            <w:r w:rsidRPr="00536CFD">
              <w:rPr>
                <w:color w:val="000000"/>
              </w:rPr>
              <w:t>129.02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D55EAFD" w14:textId="77777777" w:rsidR="004346F3" w:rsidRPr="00536CFD" w:rsidRDefault="004346F3" w:rsidP="00802ABC">
            <w:pPr>
              <w:spacing w:after="0"/>
              <w:jc w:val="center"/>
              <w:rPr>
                <w:lang w:val="zh-CN"/>
              </w:rPr>
            </w:pPr>
            <w:r w:rsidRPr="00536CFD">
              <w:rPr>
                <w:color w:val="000000"/>
              </w:rPr>
              <w:t>148.02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424AE4C" w14:textId="77777777" w:rsidR="004346F3" w:rsidRPr="00536CFD" w:rsidRDefault="004346F3" w:rsidP="00802ABC">
            <w:pPr>
              <w:spacing w:after="0"/>
              <w:jc w:val="center"/>
              <w:rPr>
                <w:lang w:val="zh-CN"/>
              </w:rPr>
            </w:pPr>
            <w:r w:rsidRPr="00536CFD">
              <w:rPr>
                <w:color w:val="000000"/>
              </w:rPr>
              <w:t>58.6</w:t>
            </w:r>
          </w:p>
        </w:tc>
        <w:tc>
          <w:tcPr>
            <w:tcW w:w="714" w:type="dxa"/>
            <w:tcBorders>
              <w:top w:val="single" w:sz="4" w:space="0" w:color="auto"/>
              <w:left w:val="nil"/>
              <w:bottom w:val="single" w:sz="4" w:space="0" w:color="auto"/>
              <w:right w:val="single" w:sz="4" w:space="0" w:color="auto"/>
            </w:tcBorders>
            <w:shd w:val="clear" w:color="auto" w:fill="auto"/>
            <w:vAlign w:val="bottom"/>
          </w:tcPr>
          <w:p w14:paraId="2E3F70E7" w14:textId="77777777" w:rsidR="004346F3" w:rsidRPr="00536CFD" w:rsidRDefault="004346F3" w:rsidP="00802ABC">
            <w:pPr>
              <w:spacing w:after="0"/>
              <w:jc w:val="center"/>
              <w:rPr>
                <w:lang w:val="zh-CN"/>
              </w:rPr>
            </w:pPr>
            <w:r w:rsidRPr="00536CFD">
              <w:rPr>
                <w:color w:val="000000"/>
              </w:rPr>
              <w:t>66.25</w:t>
            </w:r>
          </w:p>
        </w:tc>
        <w:tc>
          <w:tcPr>
            <w:tcW w:w="719" w:type="dxa"/>
            <w:tcBorders>
              <w:top w:val="single" w:sz="4" w:space="0" w:color="auto"/>
              <w:left w:val="nil"/>
              <w:bottom w:val="single" w:sz="4" w:space="0" w:color="auto"/>
              <w:right w:val="single" w:sz="4" w:space="0" w:color="auto"/>
            </w:tcBorders>
            <w:shd w:val="clear" w:color="auto" w:fill="auto"/>
            <w:vAlign w:val="bottom"/>
          </w:tcPr>
          <w:p w14:paraId="52DB18D8" w14:textId="77777777" w:rsidR="004346F3" w:rsidRPr="00536CFD" w:rsidRDefault="004346F3" w:rsidP="00802ABC">
            <w:pPr>
              <w:spacing w:after="0"/>
              <w:jc w:val="center"/>
              <w:rPr>
                <w:lang w:val="zh-CN"/>
              </w:rPr>
            </w:pPr>
            <w:r w:rsidRPr="00536CFD">
              <w:rPr>
                <w:color w:val="000000"/>
              </w:rPr>
              <w:t>107.24</w:t>
            </w:r>
          </w:p>
        </w:tc>
        <w:tc>
          <w:tcPr>
            <w:tcW w:w="719" w:type="dxa"/>
            <w:tcBorders>
              <w:top w:val="single" w:sz="4" w:space="0" w:color="auto"/>
              <w:left w:val="nil"/>
              <w:bottom w:val="single" w:sz="4" w:space="0" w:color="auto"/>
              <w:right w:val="single" w:sz="4" w:space="0" w:color="auto"/>
            </w:tcBorders>
            <w:shd w:val="clear" w:color="auto" w:fill="auto"/>
            <w:vAlign w:val="bottom"/>
          </w:tcPr>
          <w:p w14:paraId="3A5508E3" w14:textId="77777777" w:rsidR="004346F3" w:rsidRPr="00536CFD" w:rsidRDefault="004346F3" w:rsidP="00802ABC">
            <w:pPr>
              <w:spacing w:after="0"/>
              <w:jc w:val="center"/>
              <w:rPr>
                <w:lang w:val="zh-CN"/>
              </w:rPr>
            </w:pPr>
            <w:r w:rsidRPr="00536CFD">
              <w:rPr>
                <w:color w:val="000000"/>
              </w:rPr>
              <w:t>139.89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B42ADF3" w14:textId="77777777" w:rsidR="004346F3" w:rsidRPr="00536CFD" w:rsidRDefault="004346F3" w:rsidP="00802ABC">
            <w:pPr>
              <w:spacing w:after="0"/>
              <w:jc w:val="center"/>
              <w:rPr>
                <w:lang w:val="zh-CN"/>
              </w:rPr>
            </w:pPr>
            <w:r w:rsidRPr="00536CFD">
              <w:rPr>
                <w:color w:val="000000"/>
              </w:rPr>
              <w:t>43.8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8183A09" w14:textId="77777777" w:rsidR="004346F3" w:rsidRPr="00536CFD" w:rsidRDefault="004346F3" w:rsidP="00802ABC">
            <w:pPr>
              <w:spacing w:after="0"/>
              <w:jc w:val="center"/>
              <w:rPr>
                <w:lang w:val="zh-CN"/>
              </w:rPr>
            </w:pPr>
            <w:r w:rsidRPr="00536CFD">
              <w:rPr>
                <w:color w:val="000000"/>
              </w:rPr>
              <w:t>49.21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47767B9" w14:textId="77777777" w:rsidR="004346F3" w:rsidRPr="00536CFD" w:rsidRDefault="004346F3" w:rsidP="00802ABC">
            <w:pPr>
              <w:spacing w:after="0"/>
              <w:jc w:val="center"/>
              <w:rPr>
                <w:lang w:val="zh-CN"/>
              </w:rPr>
            </w:pPr>
            <w:r w:rsidRPr="00536CFD">
              <w:rPr>
                <w:color w:val="000000"/>
              </w:rPr>
              <w:t>76.47</w:t>
            </w:r>
          </w:p>
        </w:tc>
        <w:tc>
          <w:tcPr>
            <w:tcW w:w="676" w:type="dxa"/>
            <w:tcBorders>
              <w:top w:val="single" w:sz="4" w:space="0" w:color="auto"/>
              <w:left w:val="nil"/>
              <w:bottom w:val="single" w:sz="4" w:space="0" w:color="auto"/>
              <w:right w:val="single" w:sz="4" w:space="0" w:color="auto"/>
            </w:tcBorders>
            <w:shd w:val="clear" w:color="auto" w:fill="auto"/>
            <w:vAlign w:val="bottom"/>
          </w:tcPr>
          <w:p w14:paraId="03D3192D" w14:textId="77777777" w:rsidR="004346F3" w:rsidRPr="00536CFD" w:rsidRDefault="004346F3" w:rsidP="00802ABC">
            <w:pPr>
              <w:spacing w:after="0"/>
              <w:jc w:val="center"/>
              <w:rPr>
                <w:lang w:val="zh-CN"/>
              </w:rPr>
            </w:pPr>
            <w:r w:rsidRPr="00536CFD">
              <w:rPr>
                <w:color w:val="000000"/>
              </w:rPr>
              <w:t>132.16</w:t>
            </w:r>
          </w:p>
        </w:tc>
      </w:tr>
      <w:tr w:rsidR="004346F3" w:rsidRPr="00C64ECB" w14:paraId="45C5747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2929CB7"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D92FB3C"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ABD161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7304923E" w14:textId="77777777" w:rsidR="004346F3" w:rsidRPr="00536CFD" w:rsidRDefault="004346F3" w:rsidP="00802ABC">
            <w:pPr>
              <w:spacing w:after="0"/>
              <w:jc w:val="center"/>
              <w:rPr>
                <w:lang w:val="zh-CN"/>
              </w:rPr>
            </w:pPr>
            <w:r w:rsidRPr="00536CFD">
              <w:rPr>
                <w:color w:val="000000"/>
              </w:rPr>
              <w:t>45.26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16B4F56" w14:textId="77777777" w:rsidR="004346F3" w:rsidRPr="00536CFD" w:rsidRDefault="004346F3" w:rsidP="00802ABC">
            <w:pPr>
              <w:spacing w:after="0"/>
              <w:jc w:val="center"/>
              <w:rPr>
                <w:lang w:val="zh-CN"/>
              </w:rPr>
            </w:pPr>
            <w:r w:rsidRPr="00536CFD">
              <w:rPr>
                <w:color w:val="000000"/>
              </w:rPr>
              <w:t>51.62</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5CCF3EA1" w14:textId="77777777" w:rsidR="004346F3" w:rsidRPr="00536CFD" w:rsidRDefault="004346F3" w:rsidP="00802ABC">
            <w:pPr>
              <w:spacing w:after="0"/>
              <w:jc w:val="center"/>
              <w:rPr>
                <w:lang w:val="zh-CN"/>
              </w:rPr>
            </w:pPr>
            <w:r w:rsidRPr="00536CFD">
              <w:rPr>
                <w:color w:val="000000"/>
              </w:rPr>
              <w:t>89.82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5A27CA9" w14:textId="77777777" w:rsidR="004346F3" w:rsidRPr="00536CFD" w:rsidRDefault="004346F3" w:rsidP="00802ABC">
            <w:pPr>
              <w:spacing w:after="0"/>
              <w:jc w:val="center"/>
              <w:rPr>
                <w:lang w:val="zh-CN"/>
              </w:rPr>
            </w:pPr>
            <w:r w:rsidRPr="00536CFD">
              <w:rPr>
                <w:color w:val="000000"/>
              </w:rPr>
              <w:t>111.49</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5950E87" w14:textId="77777777" w:rsidR="004346F3" w:rsidRPr="00536CFD" w:rsidRDefault="004346F3" w:rsidP="00802ABC">
            <w:pPr>
              <w:spacing w:after="0"/>
              <w:jc w:val="center"/>
              <w:rPr>
                <w:lang w:val="zh-CN"/>
              </w:rPr>
            </w:pPr>
            <w:r w:rsidRPr="00536CFD">
              <w:rPr>
                <w:color w:val="000000"/>
              </w:rPr>
              <w:t>30.93</w:t>
            </w:r>
          </w:p>
        </w:tc>
        <w:tc>
          <w:tcPr>
            <w:tcW w:w="714" w:type="dxa"/>
            <w:tcBorders>
              <w:top w:val="single" w:sz="4" w:space="0" w:color="auto"/>
              <w:left w:val="nil"/>
              <w:bottom w:val="single" w:sz="4" w:space="0" w:color="auto"/>
              <w:right w:val="single" w:sz="4" w:space="0" w:color="auto"/>
            </w:tcBorders>
            <w:shd w:val="clear" w:color="auto" w:fill="auto"/>
            <w:vAlign w:val="bottom"/>
          </w:tcPr>
          <w:p w14:paraId="125B0E30" w14:textId="77777777" w:rsidR="004346F3" w:rsidRPr="00536CFD" w:rsidRDefault="004346F3" w:rsidP="00802ABC">
            <w:pPr>
              <w:spacing w:after="0"/>
              <w:jc w:val="center"/>
              <w:rPr>
                <w:lang w:val="zh-CN"/>
              </w:rPr>
            </w:pPr>
            <w:r w:rsidRPr="00536CFD">
              <w:rPr>
                <w:color w:val="000000"/>
              </w:rPr>
              <w:t>35.36</w:t>
            </w:r>
          </w:p>
        </w:tc>
        <w:tc>
          <w:tcPr>
            <w:tcW w:w="719" w:type="dxa"/>
            <w:tcBorders>
              <w:top w:val="single" w:sz="4" w:space="0" w:color="auto"/>
              <w:left w:val="nil"/>
              <w:bottom w:val="single" w:sz="4" w:space="0" w:color="auto"/>
              <w:right w:val="single" w:sz="4" w:space="0" w:color="auto"/>
            </w:tcBorders>
            <w:shd w:val="clear" w:color="auto" w:fill="auto"/>
            <w:vAlign w:val="bottom"/>
          </w:tcPr>
          <w:p w14:paraId="4A3C034E" w14:textId="77777777" w:rsidR="004346F3" w:rsidRPr="00536CFD" w:rsidRDefault="004346F3" w:rsidP="00802ABC">
            <w:pPr>
              <w:spacing w:after="0"/>
              <w:jc w:val="center"/>
              <w:rPr>
                <w:lang w:val="zh-CN"/>
              </w:rPr>
            </w:pPr>
            <w:r w:rsidRPr="00536CFD">
              <w:rPr>
                <w:color w:val="000000"/>
              </w:rPr>
              <w:t>62.66</w:t>
            </w:r>
          </w:p>
        </w:tc>
        <w:tc>
          <w:tcPr>
            <w:tcW w:w="719" w:type="dxa"/>
            <w:tcBorders>
              <w:top w:val="single" w:sz="4" w:space="0" w:color="auto"/>
              <w:left w:val="nil"/>
              <w:bottom w:val="single" w:sz="4" w:space="0" w:color="auto"/>
              <w:right w:val="single" w:sz="4" w:space="0" w:color="auto"/>
            </w:tcBorders>
            <w:shd w:val="clear" w:color="auto" w:fill="auto"/>
            <w:vAlign w:val="bottom"/>
          </w:tcPr>
          <w:p w14:paraId="7B57A631" w14:textId="77777777" w:rsidR="004346F3" w:rsidRPr="00536CFD" w:rsidRDefault="004346F3" w:rsidP="00802ABC">
            <w:pPr>
              <w:spacing w:after="0"/>
              <w:jc w:val="center"/>
              <w:rPr>
                <w:lang w:val="zh-CN"/>
              </w:rPr>
            </w:pPr>
            <w:r w:rsidRPr="00536CFD">
              <w:rPr>
                <w:color w:val="000000"/>
              </w:rPr>
              <w:t>101.79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C8FA45A" w14:textId="77777777" w:rsidR="004346F3" w:rsidRPr="00536CFD" w:rsidRDefault="004346F3" w:rsidP="00802ABC">
            <w:pPr>
              <w:spacing w:after="0"/>
              <w:jc w:val="center"/>
              <w:rPr>
                <w:lang w:val="zh-CN"/>
              </w:rPr>
            </w:pPr>
            <w:r w:rsidRPr="00536CFD">
              <w:rPr>
                <w:color w:val="000000"/>
              </w:rPr>
              <w:t>19.92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DA108F4" w14:textId="77777777" w:rsidR="004346F3" w:rsidRPr="00536CFD" w:rsidRDefault="004346F3" w:rsidP="00802ABC">
            <w:pPr>
              <w:spacing w:after="0"/>
              <w:jc w:val="center"/>
              <w:rPr>
                <w:lang w:val="zh-CN"/>
              </w:rPr>
            </w:pPr>
            <w:r w:rsidRPr="00536CFD">
              <w:rPr>
                <w:color w:val="000000"/>
              </w:rPr>
              <w:t>21.31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5E16704" w14:textId="77777777" w:rsidR="004346F3" w:rsidRPr="00536CFD" w:rsidRDefault="004346F3" w:rsidP="00802ABC">
            <w:pPr>
              <w:spacing w:after="0"/>
              <w:jc w:val="center"/>
              <w:rPr>
                <w:lang w:val="zh-CN"/>
              </w:rPr>
            </w:pPr>
            <w:r w:rsidRPr="00536CFD">
              <w:rPr>
                <w:color w:val="000000"/>
              </w:rPr>
              <w:t>35.19</w:t>
            </w:r>
          </w:p>
        </w:tc>
        <w:tc>
          <w:tcPr>
            <w:tcW w:w="676" w:type="dxa"/>
            <w:tcBorders>
              <w:top w:val="single" w:sz="4" w:space="0" w:color="auto"/>
              <w:left w:val="nil"/>
              <w:bottom w:val="single" w:sz="4" w:space="0" w:color="auto"/>
              <w:right w:val="single" w:sz="4" w:space="0" w:color="auto"/>
            </w:tcBorders>
            <w:shd w:val="clear" w:color="auto" w:fill="auto"/>
            <w:vAlign w:val="bottom"/>
          </w:tcPr>
          <w:p w14:paraId="3339A6EC" w14:textId="77777777" w:rsidR="004346F3" w:rsidRPr="00536CFD" w:rsidRDefault="004346F3" w:rsidP="00802ABC">
            <w:pPr>
              <w:spacing w:after="0"/>
              <w:jc w:val="center"/>
              <w:rPr>
                <w:lang w:val="zh-CN"/>
              </w:rPr>
            </w:pPr>
            <w:r w:rsidRPr="00536CFD">
              <w:rPr>
                <w:color w:val="000000"/>
              </w:rPr>
              <w:t>91.25</w:t>
            </w:r>
          </w:p>
        </w:tc>
      </w:tr>
      <w:tr w:rsidR="004346F3" w:rsidRPr="00C64ECB" w14:paraId="2078690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312C790"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427EA53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0F95413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6BF4B093" w14:textId="77777777" w:rsidR="004346F3" w:rsidRPr="00536CFD" w:rsidRDefault="004346F3" w:rsidP="00802ABC">
            <w:pPr>
              <w:spacing w:after="0"/>
              <w:jc w:val="center"/>
              <w:rPr>
                <w:lang w:val="zh-CN"/>
              </w:rPr>
            </w:pPr>
            <w:r w:rsidRPr="00536CFD">
              <w:rPr>
                <w:color w:val="000000"/>
              </w:rPr>
              <w:t>0.035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526FB6E" w14:textId="77777777" w:rsidR="004346F3" w:rsidRPr="00536CFD" w:rsidRDefault="004346F3" w:rsidP="00802ABC">
            <w:pPr>
              <w:spacing w:after="0"/>
              <w:jc w:val="center"/>
              <w:rPr>
                <w:lang w:val="zh-CN"/>
              </w:rPr>
            </w:pPr>
            <w:r w:rsidRPr="00536CFD">
              <w:rPr>
                <w:color w:val="000000"/>
              </w:rPr>
              <w:t>0.035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3886088" w14:textId="77777777" w:rsidR="004346F3" w:rsidRPr="00536CFD" w:rsidRDefault="004346F3" w:rsidP="00802ABC">
            <w:pPr>
              <w:spacing w:after="0"/>
              <w:jc w:val="center"/>
              <w:rPr>
                <w:lang w:val="zh-CN"/>
              </w:rPr>
            </w:pPr>
            <w:r w:rsidRPr="00536CFD">
              <w:rPr>
                <w:color w:val="000000"/>
              </w:rPr>
              <w:t>0.021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1EC3CBE" w14:textId="77777777" w:rsidR="004346F3" w:rsidRPr="00536CFD" w:rsidRDefault="004346F3" w:rsidP="00802ABC">
            <w:pPr>
              <w:spacing w:after="0"/>
              <w:jc w:val="center"/>
              <w:rPr>
                <w:lang w:val="zh-CN"/>
              </w:rPr>
            </w:pPr>
            <w:r w:rsidRPr="00536CFD">
              <w:rPr>
                <w:color w:val="000000"/>
              </w:rPr>
              <w:t>0.021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5EE2F7C0" w14:textId="77777777" w:rsidR="004346F3" w:rsidRPr="00536CFD" w:rsidRDefault="004346F3" w:rsidP="00802ABC">
            <w:pPr>
              <w:spacing w:after="0"/>
              <w:jc w:val="center"/>
              <w:rPr>
                <w:lang w:val="zh-CN"/>
              </w:rPr>
            </w:pPr>
            <w:r w:rsidRPr="00536CFD">
              <w:rPr>
                <w:color w:val="000000"/>
              </w:rPr>
              <w:t>0.042</w:t>
            </w:r>
          </w:p>
        </w:tc>
        <w:tc>
          <w:tcPr>
            <w:tcW w:w="714" w:type="dxa"/>
            <w:tcBorders>
              <w:top w:val="single" w:sz="4" w:space="0" w:color="auto"/>
              <w:left w:val="nil"/>
              <w:bottom w:val="single" w:sz="4" w:space="0" w:color="auto"/>
              <w:right w:val="single" w:sz="4" w:space="0" w:color="auto"/>
            </w:tcBorders>
            <w:shd w:val="clear" w:color="auto" w:fill="auto"/>
            <w:vAlign w:val="bottom"/>
          </w:tcPr>
          <w:p w14:paraId="44475978" w14:textId="77777777" w:rsidR="004346F3" w:rsidRPr="00536CFD" w:rsidRDefault="004346F3" w:rsidP="00802ABC">
            <w:pPr>
              <w:spacing w:after="0"/>
              <w:jc w:val="center"/>
              <w:rPr>
                <w:lang w:val="zh-CN"/>
              </w:rPr>
            </w:pPr>
            <w:r w:rsidRPr="00536CFD">
              <w:rPr>
                <w:color w:val="000000"/>
              </w:rPr>
              <w:t>0.038</w:t>
            </w:r>
          </w:p>
        </w:tc>
        <w:tc>
          <w:tcPr>
            <w:tcW w:w="719" w:type="dxa"/>
            <w:tcBorders>
              <w:top w:val="single" w:sz="4" w:space="0" w:color="auto"/>
              <w:left w:val="nil"/>
              <w:bottom w:val="single" w:sz="4" w:space="0" w:color="auto"/>
              <w:right w:val="single" w:sz="4" w:space="0" w:color="auto"/>
            </w:tcBorders>
            <w:shd w:val="clear" w:color="auto" w:fill="auto"/>
            <w:vAlign w:val="bottom"/>
          </w:tcPr>
          <w:p w14:paraId="00401D79" w14:textId="77777777" w:rsidR="004346F3" w:rsidRPr="00536CFD" w:rsidRDefault="004346F3" w:rsidP="00802ABC">
            <w:pPr>
              <w:spacing w:after="0"/>
              <w:jc w:val="center"/>
              <w:rPr>
                <w:lang w:val="zh-CN"/>
              </w:rPr>
            </w:pPr>
            <w:r w:rsidRPr="00536CFD">
              <w:rPr>
                <w:color w:val="000000"/>
              </w:rPr>
              <w:t>0.022</w:t>
            </w:r>
          </w:p>
        </w:tc>
        <w:tc>
          <w:tcPr>
            <w:tcW w:w="719" w:type="dxa"/>
            <w:tcBorders>
              <w:top w:val="single" w:sz="4" w:space="0" w:color="auto"/>
              <w:left w:val="nil"/>
              <w:bottom w:val="single" w:sz="4" w:space="0" w:color="auto"/>
              <w:right w:val="single" w:sz="4" w:space="0" w:color="auto"/>
            </w:tcBorders>
            <w:shd w:val="clear" w:color="auto" w:fill="auto"/>
            <w:vAlign w:val="bottom"/>
          </w:tcPr>
          <w:p w14:paraId="36B76C5F" w14:textId="77777777" w:rsidR="004346F3" w:rsidRPr="00536CFD" w:rsidRDefault="004346F3" w:rsidP="00802ABC">
            <w:pPr>
              <w:spacing w:after="0"/>
              <w:jc w:val="center"/>
              <w:rPr>
                <w:lang w:val="zh-CN"/>
              </w:rPr>
            </w:pPr>
            <w:r w:rsidRPr="00536CFD">
              <w:rPr>
                <w:color w:val="000000"/>
              </w:rPr>
              <w:t>0.021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5C541F2" w14:textId="77777777" w:rsidR="004346F3" w:rsidRPr="00536CFD" w:rsidRDefault="004346F3" w:rsidP="00802ABC">
            <w:pPr>
              <w:spacing w:after="0"/>
              <w:jc w:val="center"/>
              <w:rPr>
                <w:lang w:val="zh-CN"/>
              </w:rPr>
            </w:pPr>
            <w:r w:rsidRPr="00536CFD">
              <w:rPr>
                <w:color w:val="000000"/>
              </w:rPr>
              <w:t>0.057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B7FA313" w14:textId="77777777" w:rsidR="004346F3" w:rsidRPr="00536CFD" w:rsidRDefault="004346F3" w:rsidP="00802ABC">
            <w:pPr>
              <w:spacing w:after="0"/>
              <w:jc w:val="center"/>
              <w:rPr>
                <w:lang w:val="zh-CN"/>
              </w:rPr>
            </w:pPr>
            <w:r w:rsidRPr="00536CFD">
              <w:rPr>
                <w:color w:val="000000"/>
              </w:rPr>
              <w:t>0.057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A9FF8A8" w14:textId="77777777" w:rsidR="004346F3" w:rsidRPr="00536CFD" w:rsidRDefault="004346F3" w:rsidP="00802ABC">
            <w:pPr>
              <w:spacing w:after="0"/>
              <w:jc w:val="center"/>
              <w:rPr>
                <w:lang w:val="zh-CN"/>
              </w:rPr>
            </w:pPr>
            <w:r w:rsidRPr="00536CFD">
              <w:rPr>
                <w:color w:val="000000"/>
              </w:rPr>
              <w:t>0.03</w:t>
            </w:r>
          </w:p>
        </w:tc>
        <w:tc>
          <w:tcPr>
            <w:tcW w:w="676" w:type="dxa"/>
            <w:tcBorders>
              <w:top w:val="single" w:sz="4" w:space="0" w:color="auto"/>
              <w:left w:val="nil"/>
              <w:bottom w:val="single" w:sz="4" w:space="0" w:color="auto"/>
              <w:right w:val="single" w:sz="4" w:space="0" w:color="auto"/>
            </w:tcBorders>
            <w:shd w:val="clear" w:color="auto" w:fill="auto"/>
            <w:vAlign w:val="bottom"/>
          </w:tcPr>
          <w:p w14:paraId="0612F61D" w14:textId="77777777" w:rsidR="004346F3" w:rsidRPr="00536CFD" w:rsidRDefault="004346F3" w:rsidP="00802ABC">
            <w:pPr>
              <w:spacing w:after="0"/>
              <w:jc w:val="center"/>
              <w:rPr>
                <w:lang w:val="zh-CN"/>
              </w:rPr>
            </w:pPr>
            <w:r w:rsidRPr="00536CFD">
              <w:rPr>
                <w:color w:val="000000"/>
              </w:rPr>
              <w:t>0.022</w:t>
            </w:r>
          </w:p>
        </w:tc>
      </w:tr>
      <w:tr w:rsidR="004346F3" w:rsidRPr="00C64ECB" w14:paraId="48FEF3A9"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6626871"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84D9FA7"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4F2930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48FF205A" w14:textId="77777777" w:rsidR="004346F3" w:rsidRPr="00536CFD" w:rsidRDefault="004346F3" w:rsidP="00802ABC">
            <w:pPr>
              <w:spacing w:after="0"/>
              <w:jc w:val="center"/>
              <w:rPr>
                <w:lang w:val="zh-CN"/>
              </w:rPr>
            </w:pPr>
            <w:r w:rsidRPr="00536CFD">
              <w:rPr>
                <w:color w:val="000000"/>
              </w:rPr>
              <w:t>0.111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E88E7FF" w14:textId="77777777" w:rsidR="004346F3" w:rsidRPr="00536CFD" w:rsidRDefault="004346F3" w:rsidP="00802ABC">
            <w:pPr>
              <w:spacing w:after="0"/>
              <w:jc w:val="center"/>
              <w:rPr>
                <w:lang w:val="zh-CN"/>
              </w:rPr>
            </w:pPr>
            <w:r w:rsidRPr="00536CFD">
              <w:rPr>
                <w:color w:val="000000"/>
              </w:rPr>
              <w:t>0.089</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5391087" w14:textId="77777777" w:rsidR="004346F3" w:rsidRPr="00536CFD" w:rsidRDefault="004346F3" w:rsidP="00802ABC">
            <w:pPr>
              <w:spacing w:after="0"/>
              <w:jc w:val="center"/>
              <w:rPr>
                <w:lang w:val="zh-CN"/>
              </w:rPr>
            </w:pPr>
            <w:r w:rsidRPr="00536CFD">
              <w:rPr>
                <w:color w:val="000000"/>
              </w:rPr>
              <w:t>0.047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93C04A6" w14:textId="77777777" w:rsidR="004346F3" w:rsidRPr="00536CFD" w:rsidRDefault="004346F3" w:rsidP="00802ABC">
            <w:pPr>
              <w:spacing w:after="0"/>
              <w:jc w:val="center"/>
              <w:rPr>
                <w:lang w:val="zh-CN"/>
              </w:rPr>
            </w:pPr>
            <w:r w:rsidRPr="00536CFD">
              <w:rPr>
                <w:color w:val="000000"/>
              </w:rPr>
              <w:t>0.033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E8B4CF0" w14:textId="77777777" w:rsidR="004346F3" w:rsidRPr="00536CFD" w:rsidRDefault="004346F3" w:rsidP="00802ABC">
            <w:pPr>
              <w:spacing w:after="0"/>
              <w:jc w:val="center"/>
              <w:rPr>
                <w:lang w:val="zh-CN"/>
              </w:rPr>
            </w:pPr>
            <w:r w:rsidRPr="00536CFD">
              <w:rPr>
                <w:color w:val="000000"/>
              </w:rPr>
              <w:t>0.197</w:t>
            </w:r>
          </w:p>
        </w:tc>
        <w:tc>
          <w:tcPr>
            <w:tcW w:w="714" w:type="dxa"/>
            <w:tcBorders>
              <w:top w:val="single" w:sz="4" w:space="0" w:color="auto"/>
              <w:left w:val="nil"/>
              <w:bottom w:val="single" w:sz="4" w:space="0" w:color="auto"/>
              <w:right w:val="single" w:sz="4" w:space="0" w:color="auto"/>
            </w:tcBorders>
            <w:shd w:val="clear" w:color="auto" w:fill="auto"/>
            <w:vAlign w:val="bottom"/>
          </w:tcPr>
          <w:p w14:paraId="71137DF5" w14:textId="77777777" w:rsidR="004346F3" w:rsidRPr="00536CFD" w:rsidRDefault="004346F3" w:rsidP="00802ABC">
            <w:pPr>
              <w:spacing w:after="0"/>
              <w:jc w:val="center"/>
              <w:rPr>
                <w:lang w:val="zh-CN"/>
              </w:rPr>
            </w:pPr>
            <w:r w:rsidRPr="00536CFD">
              <w:rPr>
                <w:color w:val="000000"/>
              </w:rPr>
              <w:t>0.155</w:t>
            </w:r>
          </w:p>
        </w:tc>
        <w:tc>
          <w:tcPr>
            <w:tcW w:w="719" w:type="dxa"/>
            <w:tcBorders>
              <w:top w:val="single" w:sz="4" w:space="0" w:color="auto"/>
              <w:left w:val="nil"/>
              <w:bottom w:val="single" w:sz="4" w:space="0" w:color="auto"/>
              <w:right w:val="single" w:sz="4" w:space="0" w:color="auto"/>
            </w:tcBorders>
            <w:shd w:val="clear" w:color="auto" w:fill="auto"/>
            <w:vAlign w:val="bottom"/>
          </w:tcPr>
          <w:p w14:paraId="13D41A11" w14:textId="77777777" w:rsidR="004346F3" w:rsidRPr="00536CFD" w:rsidRDefault="004346F3" w:rsidP="00802ABC">
            <w:pPr>
              <w:spacing w:after="0"/>
              <w:jc w:val="center"/>
              <w:rPr>
                <w:lang w:val="zh-CN"/>
              </w:rPr>
            </w:pPr>
            <w:r w:rsidRPr="00536CFD">
              <w:rPr>
                <w:color w:val="000000"/>
              </w:rPr>
              <w:t>0.094</w:t>
            </w:r>
          </w:p>
        </w:tc>
        <w:tc>
          <w:tcPr>
            <w:tcW w:w="719" w:type="dxa"/>
            <w:tcBorders>
              <w:top w:val="single" w:sz="4" w:space="0" w:color="auto"/>
              <w:left w:val="nil"/>
              <w:bottom w:val="single" w:sz="4" w:space="0" w:color="auto"/>
              <w:right w:val="single" w:sz="4" w:space="0" w:color="auto"/>
            </w:tcBorders>
            <w:shd w:val="clear" w:color="auto" w:fill="auto"/>
            <w:vAlign w:val="bottom"/>
          </w:tcPr>
          <w:p w14:paraId="4AF8AD9B" w14:textId="77777777" w:rsidR="004346F3" w:rsidRPr="00536CFD" w:rsidRDefault="004346F3" w:rsidP="00802ABC">
            <w:pPr>
              <w:spacing w:after="0"/>
              <w:jc w:val="center"/>
              <w:rPr>
                <w:lang w:val="zh-CN"/>
              </w:rPr>
            </w:pPr>
            <w:r w:rsidRPr="00536CFD">
              <w:rPr>
                <w:color w:val="000000"/>
              </w:rPr>
              <w:t>0.038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128EC53" w14:textId="77777777" w:rsidR="004346F3" w:rsidRPr="00536CFD" w:rsidRDefault="004346F3" w:rsidP="00802ABC">
            <w:pPr>
              <w:spacing w:after="0"/>
              <w:jc w:val="center"/>
              <w:rPr>
                <w:lang w:val="zh-CN"/>
              </w:rPr>
            </w:pPr>
            <w:r w:rsidRPr="00536CFD">
              <w:rPr>
                <w:color w:val="000000"/>
              </w:rPr>
              <w:t>0.338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9FEFDE6" w14:textId="77777777" w:rsidR="004346F3" w:rsidRPr="00536CFD" w:rsidRDefault="004346F3" w:rsidP="00802ABC">
            <w:pPr>
              <w:spacing w:after="0"/>
              <w:jc w:val="center"/>
              <w:rPr>
                <w:lang w:val="zh-CN"/>
              </w:rPr>
            </w:pPr>
            <w:r w:rsidRPr="00536CFD">
              <w:rPr>
                <w:color w:val="000000"/>
              </w:rPr>
              <w:t>0.293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65F40EA" w14:textId="77777777" w:rsidR="004346F3" w:rsidRPr="00536CFD" w:rsidRDefault="004346F3" w:rsidP="00802ABC">
            <w:pPr>
              <w:spacing w:after="0"/>
              <w:jc w:val="center"/>
              <w:rPr>
                <w:lang w:val="zh-CN"/>
              </w:rPr>
            </w:pPr>
            <w:r w:rsidRPr="00536CFD">
              <w:rPr>
                <w:color w:val="000000"/>
              </w:rPr>
              <w:t>0.228</w:t>
            </w:r>
          </w:p>
        </w:tc>
        <w:tc>
          <w:tcPr>
            <w:tcW w:w="676" w:type="dxa"/>
            <w:tcBorders>
              <w:top w:val="single" w:sz="4" w:space="0" w:color="auto"/>
              <w:left w:val="nil"/>
              <w:bottom w:val="single" w:sz="4" w:space="0" w:color="auto"/>
              <w:right w:val="single" w:sz="4" w:space="0" w:color="auto"/>
            </w:tcBorders>
            <w:shd w:val="clear" w:color="auto" w:fill="auto"/>
            <w:vAlign w:val="bottom"/>
          </w:tcPr>
          <w:p w14:paraId="2F4A1B1D" w14:textId="77777777" w:rsidR="004346F3" w:rsidRPr="00536CFD" w:rsidRDefault="004346F3" w:rsidP="00802ABC">
            <w:pPr>
              <w:spacing w:after="0"/>
              <w:jc w:val="center"/>
              <w:rPr>
                <w:lang w:val="zh-CN"/>
              </w:rPr>
            </w:pPr>
            <w:r w:rsidRPr="00536CFD">
              <w:rPr>
                <w:color w:val="000000"/>
              </w:rPr>
              <w:t>0.046</w:t>
            </w:r>
          </w:p>
        </w:tc>
      </w:tr>
      <w:tr w:rsidR="004346F3" w:rsidRPr="00C64ECB" w14:paraId="552195D6"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7D68936"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C5ACF41"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2CDED8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711DD95C" w14:textId="77777777" w:rsidR="004346F3" w:rsidRPr="00536CFD" w:rsidRDefault="004346F3" w:rsidP="00802ABC">
            <w:pPr>
              <w:spacing w:after="0"/>
              <w:jc w:val="center"/>
              <w:rPr>
                <w:lang w:val="zh-CN"/>
              </w:rPr>
            </w:pPr>
            <w:r w:rsidRPr="00536CFD">
              <w:rPr>
                <w:color w:val="000000"/>
              </w:rPr>
              <w:t>0.768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1289AA8" w14:textId="77777777" w:rsidR="004346F3" w:rsidRPr="00536CFD" w:rsidRDefault="004346F3" w:rsidP="00802ABC">
            <w:pPr>
              <w:spacing w:after="0"/>
              <w:jc w:val="center"/>
              <w:rPr>
                <w:lang w:val="zh-CN"/>
              </w:rPr>
            </w:pPr>
            <w:r w:rsidRPr="00536CFD">
              <w:rPr>
                <w:color w:val="000000"/>
              </w:rPr>
              <w:t>0.601</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2DC1D8CD" w14:textId="77777777" w:rsidR="004346F3" w:rsidRPr="00536CFD" w:rsidRDefault="004346F3" w:rsidP="00802ABC">
            <w:pPr>
              <w:spacing w:after="0"/>
              <w:jc w:val="center"/>
              <w:rPr>
                <w:lang w:val="zh-CN"/>
              </w:rPr>
            </w:pPr>
            <w:r w:rsidRPr="00536CFD">
              <w:rPr>
                <w:color w:val="000000"/>
              </w:rPr>
              <w:t>0.339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0A70C0A" w14:textId="77777777" w:rsidR="004346F3" w:rsidRPr="00536CFD" w:rsidRDefault="004346F3" w:rsidP="00802ABC">
            <w:pPr>
              <w:spacing w:after="0"/>
              <w:jc w:val="center"/>
              <w:rPr>
                <w:lang w:val="zh-CN"/>
              </w:rPr>
            </w:pPr>
            <w:r w:rsidRPr="00536CFD">
              <w:rPr>
                <w:color w:val="000000"/>
              </w:rPr>
              <w:t>0.136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3858DC3" w14:textId="77777777" w:rsidR="004346F3" w:rsidRPr="00536CFD" w:rsidRDefault="004346F3" w:rsidP="00802ABC">
            <w:pPr>
              <w:spacing w:after="0"/>
              <w:jc w:val="center"/>
              <w:rPr>
                <w:lang w:val="zh-CN"/>
              </w:rPr>
            </w:pPr>
            <w:r w:rsidRPr="00536CFD">
              <w:rPr>
                <w:color w:val="000000"/>
              </w:rPr>
              <w:t>2.332</w:t>
            </w:r>
          </w:p>
        </w:tc>
        <w:tc>
          <w:tcPr>
            <w:tcW w:w="714" w:type="dxa"/>
            <w:tcBorders>
              <w:top w:val="single" w:sz="4" w:space="0" w:color="auto"/>
              <w:left w:val="nil"/>
              <w:bottom w:val="single" w:sz="4" w:space="0" w:color="auto"/>
              <w:right w:val="single" w:sz="4" w:space="0" w:color="auto"/>
            </w:tcBorders>
            <w:shd w:val="clear" w:color="auto" w:fill="auto"/>
            <w:vAlign w:val="bottom"/>
          </w:tcPr>
          <w:p w14:paraId="559C392C" w14:textId="77777777" w:rsidR="004346F3" w:rsidRPr="00536CFD" w:rsidRDefault="004346F3" w:rsidP="00802ABC">
            <w:pPr>
              <w:spacing w:after="0"/>
              <w:jc w:val="center"/>
              <w:rPr>
                <w:lang w:val="zh-CN"/>
              </w:rPr>
            </w:pPr>
            <w:r w:rsidRPr="00536CFD">
              <w:rPr>
                <w:color w:val="000000"/>
              </w:rPr>
              <w:t>1.721</w:t>
            </w:r>
          </w:p>
        </w:tc>
        <w:tc>
          <w:tcPr>
            <w:tcW w:w="719" w:type="dxa"/>
            <w:tcBorders>
              <w:top w:val="single" w:sz="4" w:space="0" w:color="auto"/>
              <w:left w:val="nil"/>
              <w:bottom w:val="single" w:sz="4" w:space="0" w:color="auto"/>
              <w:right w:val="single" w:sz="4" w:space="0" w:color="auto"/>
            </w:tcBorders>
            <w:shd w:val="clear" w:color="auto" w:fill="auto"/>
            <w:vAlign w:val="bottom"/>
          </w:tcPr>
          <w:p w14:paraId="654A2F53" w14:textId="77777777" w:rsidR="004346F3" w:rsidRPr="00536CFD" w:rsidRDefault="004346F3" w:rsidP="00802ABC">
            <w:pPr>
              <w:spacing w:after="0"/>
              <w:jc w:val="center"/>
              <w:rPr>
                <w:lang w:val="zh-CN"/>
              </w:rPr>
            </w:pPr>
            <w:r w:rsidRPr="00536CFD">
              <w:rPr>
                <w:color w:val="000000"/>
              </w:rPr>
              <w:t>0.926</w:t>
            </w:r>
          </w:p>
        </w:tc>
        <w:tc>
          <w:tcPr>
            <w:tcW w:w="719" w:type="dxa"/>
            <w:tcBorders>
              <w:top w:val="single" w:sz="4" w:space="0" w:color="auto"/>
              <w:left w:val="nil"/>
              <w:bottom w:val="single" w:sz="4" w:space="0" w:color="auto"/>
              <w:right w:val="single" w:sz="4" w:space="0" w:color="auto"/>
            </w:tcBorders>
            <w:shd w:val="clear" w:color="auto" w:fill="auto"/>
            <w:vAlign w:val="bottom"/>
          </w:tcPr>
          <w:p w14:paraId="6A067FAE" w14:textId="77777777" w:rsidR="004346F3" w:rsidRPr="00536CFD" w:rsidRDefault="004346F3" w:rsidP="00802ABC">
            <w:pPr>
              <w:spacing w:after="0"/>
              <w:jc w:val="center"/>
              <w:rPr>
                <w:lang w:val="zh-CN"/>
              </w:rPr>
            </w:pPr>
            <w:r w:rsidRPr="00536CFD">
              <w:rPr>
                <w:color w:val="000000"/>
              </w:rPr>
              <w:t>0.178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65D3212" w14:textId="77777777" w:rsidR="004346F3" w:rsidRPr="00536CFD" w:rsidRDefault="004346F3" w:rsidP="00802ABC">
            <w:pPr>
              <w:spacing w:after="0"/>
              <w:jc w:val="center"/>
              <w:rPr>
                <w:lang w:val="zh-CN"/>
              </w:rPr>
            </w:pPr>
            <w:r w:rsidRPr="00536CFD">
              <w:rPr>
                <w:color w:val="000000"/>
              </w:rPr>
              <w:t>47.548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05699AF" w14:textId="77777777" w:rsidR="004346F3" w:rsidRPr="00536CFD" w:rsidRDefault="004346F3" w:rsidP="00802ABC">
            <w:pPr>
              <w:spacing w:after="0"/>
              <w:jc w:val="center"/>
              <w:rPr>
                <w:lang w:val="zh-CN"/>
              </w:rPr>
            </w:pPr>
            <w:r w:rsidRPr="00536CFD">
              <w:rPr>
                <w:color w:val="000000"/>
              </w:rPr>
              <w:t>20.827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5528A71" w14:textId="77777777" w:rsidR="004346F3" w:rsidRPr="00536CFD" w:rsidRDefault="004346F3" w:rsidP="00802ABC">
            <w:pPr>
              <w:spacing w:after="0"/>
              <w:jc w:val="center"/>
              <w:rPr>
                <w:lang w:val="zh-CN"/>
              </w:rPr>
            </w:pPr>
            <w:r w:rsidRPr="00536CFD">
              <w:rPr>
                <w:color w:val="000000"/>
              </w:rPr>
              <w:t>2.622</w:t>
            </w:r>
          </w:p>
        </w:tc>
        <w:tc>
          <w:tcPr>
            <w:tcW w:w="676" w:type="dxa"/>
            <w:tcBorders>
              <w:top w:val="single" w:sz="4" w:space="0" w:color="auto"/>
              <w:left w:val="nil"/>
              <w:bottom w:val="single" w:sz="4" w:space="0" w:color="auto"/>
              <w:right w:val="single" w:sz="4" w:space="0" w:color="auto"/>
            </w:tcBorders>
            <w:shd w:val="clear" w:color="auto" w:fill="auto"/>
            <w:vAlign w:val="bottom"/>
          </w:tcPr>
          <w:p w14:paraId="2A95EFE9" w14:textId="77777777" w:rsidR="004346F3" w:rsidRPr="00536CFD" w:rsidRDefault="004346F3" w:rsidP="00802ABC">
            <w:pPr>
              <w:spacing w:after="0"/>
              <w:jc w:val="center"/>
              <w:rPr>
                <w:lang w:val="zh-CN"/>
              </w:rPr>
            </w:pPr>
            <w:r w:rsidRPr="00536CFD">
              <w:rPr>
                <w:color w:val="000000"/>
              </w:rPr>
              <w:t>0.239</w:t>
            </w:r>
          </w:p>
        </w:tc>
      </w:tr>
      <w:tr w:rsidR="004346F3" w:rsidRPr="00C64ECB" w14:paraId="57A9E141"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47E0491"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181EFA3"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0D32C9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60615CF6" w14:textId="77777777" w:rsidR="004346F3" w:rsidRPr="00536CFD" w:rsidRDefault="004346F3" w:rsidP="00802ABC">
            <w:pPr>
              <w:spacing w:after="0"/>
              <w:jc w:val="center"/>
              <w:rPr>
                <w:lang w:val="zh-CN"/>
              </w:rPr>
            </w:pPr>
            <w:r w:rsidRPr="00536CFD">
              <w:rPr>
                <w:color w:val="000000"/>
              </w:rPr>
              <w:t>0.241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238429B" w14:textId="77777777" w:rsidR="004346F3" w:rsidRPr="00536CFD" w:rsidRDefault="004346F3" w:rsidP="00802ABC">
            <w:pPr>
              <w:spacing w:after="0"/>
              <w:jc w:val="center"/>
              <w:rPr>
                <w:lang w:val="zh-CN"/>
              </w:rPr>
            </w:pPr>
            <w:r w:rsidRPr="00536CFD">
              <w:rPr>
                <w:color w:val="000000"/>
              </w:rPr>
              <w:t>0.18</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35FE3BE" w14:textId="77777777" w:rsidR="004346F3" w:rsidRPr="00536CFD" w:rsidRDefault="004346F3" w:rsidP="00802ABC">
            <w:pPr>
              <w:spacing w:after="0"/>
              <w:jc w:val="center"/>
              <w:rPr>
                <w:lang w:val="zh-CN"/>
              </w:rPr>
            </w:pPr>
            <w:r w:rsidRPr="00536CFD">
              <w:rPr>
                <w:color w:val="000000"/>
              </w:rPr>
              <w:t>0.1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0B0A2AC" w14:textId="77777777" w:rsidR="004346F3" w:rsidRPr="00536CFD" w:rsidRDefault="004346F3" w:rsidP="00802ABC">
            <w:pPr>
              <w:spacing w:after="0"/>
              <w:jc w:val="center"/>
              <w:rPr>
                <w:lang w:val="zh-CN"/>
              </w:rPr>
            </w:pPr>
            <w:r w:rsidRPr="00536CFD">
              <w:rPr>
                <w:color w:val="000000"/>
              </w:rPr>
              <w:t>0.05</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735D9897" w14:textId="77777777" w:rsidR="004346F3" w:rsidRPr="00536CFD" w:rsidRDefault="004346F3" w:rsidP="00802ABC">
            <w:pPr>
              <w:spacing w:after="0"/>
              <w:jc w:val="center"/>
              <w:rPr>
                <w:lang w:val="zh-CN"/>
              </w:rPr>
            </w:pPr>
            <w:r w:rsidRPr="00536CFD">
              <w:rPr>
                <w:color w:val="000000"/>
              </w:rPr>
              <w:t>2.098</w:t>
            </w:r>
          </w:p>
        </w:tc>
        <w:tc>
          <w:tcPr>
            <w:tcW w:w="714" w:type="dxa"/>
            <w:tcBorders>
              <w:top w:val="single" w:sz="4" w:space="0" w:color="auto"/>
              <w:left w:val="nil"/>
              <w:bottom w:val="single" w:sz="4" w:space="0" w:color="auto"/>
              <w:right w:val="single" w:sz="4" w:space="0" w:color="auto"/>
            </w:tcBorders>
            <w:shd w:val="clear" w:color="auto" w:fill="auto"/>
            <w:vAlign w:val="bottom"/>
          </w:tcPr>
          <w:p w14:paraId="68B3DF93" w14:textId="77777777" w:rsidR="004346F3" w:rsidRPr="00536CFD" w:rsidRDefault="004346F3" w:rsidP="00802ABC">
            <w:pPr>
              <w:spacing w:after="0"/>
              <w:jc w:val="center"/>
              <w:rPr>
                <w:lang w:val="zh-CN"/>
              </w:rPr>
            </w:pPr>
            <w:r w:rsidRPr="00536CFD">
              <w:rPr>
                <w:color w:val="000000"/>
              </w:rPr>
              <w:t>1.831</w:t>
            </w:r>
          </w:p>
        </w:tc>
        <w:tc>
          <w:tcPr>
            <w:tcW w:w="719" w:type="dxa"/>
            <w:tcBorders>
              <w:top w:val="single" w:sz="4" w:space="0" w:color="auto"/>
              <w:left w:val="nil"/>
              <w:bottom w:val="single" w:sz="4" w:space="0" w:color="auto"/>
              <w:right w:val="single" w:sz="4" w:space="0" w:color="auto"/>
            </w:tcBorders>
            <w:shd w:val="clear" w:color="auto" w:fill="auto"/>
            <w:vAlign w:val="bottom"/>
          </w:tcPr>
          <w:p w14:paraId="5794FB05" w14:textId="77777777" w:rsidR="004346F3" w:rsidRPr="00536CFD" w:rsidRDefault="004346F3" w:rsidP="00802ABC">
            <w:pPr>
              <w:spacing w:after="0"/>
              <w:jc w:val="center"/>
              <w:rPr>
                <w:lang w:val="zh-CN"/>
              </w:rPr>
            </w:pPr>
            <w:r w:rsidRPr="00536CFD">
              <w:rPr>
                <w:color w:val="000000"/>
              </w:rPr>
              <w:t>0.266</w:t>
            </w:r>
          </w:p>
        </w:tc>
        <w:tc>
          <w:tcPr>
            <w:tcW w:w="719" w:type="dxa"/>
            <w:tcBorders>
              <w:top w:val="single" w:sz="4" w:space="0" w:color="auto"/>
              <w:left w:val="nil"/>
              <w:bottom w:val="single" w:sz="4" w:space="0" w:color="auto"/>
              <w:right w:val="single" w:sz="4" w:space="0" w:color="auto"/>
            </w:tcBorders>
            <w:shd w:val="clear" w:color="auto" w:fill="auto"/>
            <w:vAlign w:val="bottom"/>
          </w:tcPr>
          <w:p w14:paraId="096EC8E2" w14:textId="77777777" w:rsidR="004346F3" w:rsidRPr="00536CFD" w:rsidRDefault="004346F3" w:rsidP="00802ABC">
            <w:pPr>
              <w:spacing w:after="0"/>
              <w:jc w:val="center"/>
              <w:rPr>
                <w:lang w:val="zh-CN"/>
              </w:rPr>
            </w:pPr>
            <w:r w:rsidRPr="00536CFD">
              <w:rPr>
                <w:color w:val="000000"/>
              </w:rPr>
              <w:t>0.062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A1D4650" w14:textId="77777777" w:rsidR="004346F3" w:rsidRPr="00536CFD" w:rsidRDefault="004346F3" w:rsidP="00802ABC">
            <w:pPr>
              <w:spacing w:after="0"/>
              <w:jc w:val="center"/>
              <w:rPr>
                <w:lang w:val="zh-CN"/>
              </w:rPr>
            </w:pPr>
            <w:r w:rsidRPr="00536CFD">
              <w:rPr>
                <w:color w:val="000000"/>
              </w:rPr>
              <w:t>12.036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01F5E74" w14:textId="77777777" w:rsidR="004346F3" w:rsidRPr="00536CFD" w:rsidRDefault="004346F3" w:rsidP="00802ABC">
            <w:pPr>
              <w:spacing w:after="0"/>
              <w:jc w:val="center"/>
              <w:rPr>
                <w:lang w:val="zh-CN"/>
              </w:rPr>
            </w:pPr>
            <w:r w:rsidRPr="00536CFD">
              <w:rPr>
                <w:color w:val="000000"/>
              </w:rPr>
              <w:t>9.764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E77577D" w14:textId="77777777" w:rsidR="004346F3" w:rsidRPr="00536CFD" w:rsidRDefault="004346F3" w:rsidP="00802ABC">
            <w:pPr>
              <w:spacing w:after="0"/>
              <w:jc w:val="center"/>
              <w:rPr>
                <w:lang w:val="zh-CN"/>
              </w:rPr>
            </w:pPr>
            <w:r w:rsidRPr="00536CFD">
              <w:rPr>
                <w:color w:val="000000"/>
              </w:rPr>
              <w:t>1.198</w:t>
            </w:r>
          </w:p>
        </w:tc>
        <w:tc>
          <w:tcPr>
            <w:tcW w:w="676" w:type="dxa"/>
            <w:tcBorders>
              <w:top w:val="single" w:sz="4" w:space="0" w:color="auto"/>
              <w:left w:val="nil"/>
              <w:bottom w:val="single" w:sz="4" w:space="0" w:color="auto"/>
              <w:right w:val="single" w:sz="4" w:space="0" w:color="auto"/>
            </w:tcBorders>
            <w:shd w:val="clear" w:color="auto" w:fill="auto"/>
            <w:vAlign w:val="bottom"/>
          </w:tcPr>
          <w:p w14:paraId="23643DF7" w14:textId="77777777" w:rsidR="004346F3" w:rsidRPr="00536CFD" w:rsidRDefault="004346F3" w:rsidP="00802ABC">
            <w:pPr>
              <w:spacing w:after="0"/>
              <w:jc w:val="center"/>
              <w:rPr>
                <w:lang w:val="zh-CN"/>
              </w:rPr>
            </w:pPr>
            <w:r w:rsidRPr="00536CFD">
              <w:rPr>
                <w:color w:val="000000"/>
              </w:rPr>
              <w:t>0.078</w:t>
            </w:r>
          </w:p>
        </w:tc>
      </w:tr>
      <w:tr w:rsidR="004346F3" w:rsidRPr="00C64ECB" w14:paraId="01C6E1D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B33611E"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6D2181F4"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0" w:type="dxa"/>
            <w:tcBorders>
              <w:top w:val="single" w:sz="4" w:space="0" w:color="auto"/>
              <w:left w:val="nil"/>
              <w:bottom w:val="single" w:sz="4" w:space="0" w:color="auto"/>
              <w:right w:val="single" w:sz="4" w:space="0" w:color="auto"/>
            </w:tcBorders>
            <w:shd w:val="clear" w:color="auto" w:fill="auto"/>
            <w:vAlign w:val="bottom"/>
          </w:tcPr>
          <w:p w14:paraId="3983677A" w14:textId="77777777" w:rsidR="004346F3" w:rsidRPr="00536CFD" w:rsidRDefault="004346F3" w:rsidP="00802ABC">
            <w:pPr>
              <w:spacing w:after="0"/>
              <w:jc w:val="center"/>
              <w:rPr>
                <w:lang w:val="zh-CN"/>
              </w:rPr>
            </w:pPr>
            <w:r w:rsidRPr="00536CFD">
              <w:rPr>
                <w:color w:val="000000"/>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125744A" w14:textId="77777777" w:rsidR="004346F3" w:rsidRPr="00536CFD" w:rsidRDefault="004346F3" w:rsidP="00802ABC">
            <w:pPr>
              <w:spacing w:after="0"/>
              <w:jc w:val="center"/>
              <w:rPr>
                <w:lang w:val="zh-CN"/>
              </w:rPr>
            </w:pPr>
            <w:r w:rsidRPr="00536CFD">
              <w:rPr>
                <w:color w:val="000000"/>
              </w:rPr>
              <w:t>1.00</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4EADA81" w14:textId="77777777" w:rsidR="004346F3" w:rsidRPr="00536CFD" w:rsidRDefault="004346F3" w:rsidP="00802ABC">
            <w:pPr>
              <w:spacing w:after="0"/>
              <w:jc w:val="center"/>
              <w:rPr>
                <w:lang w:val="zh-CN"/>
              </w:rPr>
            </w:pPr>
            <w:r w:rsidRPr="00536CFD">
              <w:rPr>
                <w:color w:val="000000"/>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0CD535F" w14:textId="77777777" w:rsidR="004346F3" w:rsidRPr="00536CFD" w:rsidRDefault="004346F3" w:rsidP="00802ABC">
            <w:pPr>
              <w:spacing w:after="0"/>
              <w:jc w:val="center"/>
              <w:rPr>
                <w:lang w:val="zh-CN"/>
              </w:rPr>
            </w:pPr>
            <w:r w:rsidRPr="00536CFD">
              <w:rPr>
                <w:color w:val="000000"/>
              </w:rPr>
              <w:t>1.00</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0040D96" w14:textId="77777777" w:rsidR="004346F3" w:rsidRPr="00536CFD" w:rsidRDefault="004346F3" w:rsidP="00802ABC">
            <w:pPr>
              <w:spacing w:after="0"/>
              <w:jc w:val="center"/>
              <w:rPr>
                <w:lang w:val="zh-CN"/>
              </w:rPr>
            </w:pPr>
            <w:r w:rsidRPr="00536CFD">
              <w:rPr>
                <w:color w:val="000000"/>
              </w:rPr>
              <w:t>1.00</w:t>
            </w:r>
          </w:p>
        </w:tc>
        <w:tc>
          <w:tcPr>
            <w:tcW w:w="714" w:type="dxa"/>
            <w:tcBorders>
              <w:top w:val="single" w:sz="4" w:space="0" w:color="auto"/>
              <w:left w:val="nil"/>
              <w:bottom w:val="single" w:sz="4" w:space="0" w:color="auto"/>
              <w:right w:val="single" w:sz="4" w:space="0" w:color="auto"/>
            </w:tcBorders>
            <w:shd w:val="clear" w:color="auto" w:fill="auto"/>
            <w:vAlign w:val="bottom"/>
          </w:tcPr>
          <w:p w14:paraId="2689F9D0" w14:textId="77777777" w:rsidR="004346F3" w:rsidRPr="00536CFD" w:rsidRDefault="004346F3" w:rsidP="00802ABC">
            <w:pPr>
              <w:spacing w:after="0"/>
              <w:jc w:val="center"/>
              <w:rPr>
                <w:lang w:val="zh-CN"/>
              </w:rPr>
            </w:pPr>
            <w:r w:rsidRPr="00536CFD">
              <w:rPr>
                <w:color w:val="000000"/>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1641793E" w14:textId="77777777" w:rsidR="004346F3" w:rsidRPr="00536CFD" w:rsidRDefault="004346F3" w:rsidP="00802ABC">
            <w:pPr>
              <w:spacing w:after="0"/>
              <w:jc w:val="center"/>
              <w:rPr>
                <w:lang w:val="zh-CN"/>
              </w:rPr>
            </w:pPr>
            <w:r w:rsidRPr="00536CFD">
              <w:rPr>
                <w:color w:val="000000"/>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68D50518" w14:textId="77777777" w:rsidR="004346F3" w:rsidRPr="00536CFD" w:rsidRDefault="004346F3" w:rsidP="00802ABC">
            <w:pPr>
              <w:spacing w:after="0"/>
              <w:jc w:val="center"/>
              <w:rPr>
                <w:lang w:val="zh-CN"/>
              </w:rPr>
            </w:pPr>
            <w:r w:rsidRPr="00536CFD">
              <w:rPr>
                <w:color w:val="000000"/>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F314970" w14:textId="77777777" w:rsidR="004346F3" w:rsidRPr="00536CFD" w:rsidRDefault="004346F3" w:rsidP="00802ABC">
            <w:pPr>
              <w:spacing w:after="0"/>
              <w:jc w:val="center"/>
              <w:rPr>
                <w:lang w:val="zh-CN"/>
              </w:rPr>
            </w:pPr>
            <w:r w:rsidRPr="00536CFD">
              <w:rPr>
                <w:color w:val="000000"/>
              </w:rPr>
              <w:t>0.98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0DB3C6F" w14:textId="77777777" w:rsidR="004346F3" w:rsidRPr="00536CFD" w:rsidRDefault="004346F3" w:rsidP="00802ABC">
            <w:pPr>
              <w:spacing w:after="0"/>
              <w:jc w:val="center"/>
              <w:rPr>
                <w:lang w:val="zh-CN"/>
              </w:rPr>
            </w:pPr>
            <w:r w:rsidRPr="00536CFD">
              <w:rPr>
                <w:color w:val="000000"/>
              </w:rPr>
              <w:t>0.97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5AA33A2" w14:textId="77777777" w:rsidR="004346F3" w:rsidRPr="00536CFD" w:rsidRDefault="004346F3" w:rsidP="00802ABC">
            <w:pPr>
              <w:spacing w:after="0"/>
              <w:jc w:val="center"/>
              <w:rPr>
                <w:lang w:val="zh-CN"/>
              </w:rPr>
            </w:pPr>
            <w:r w:rsidRPr="00536CFD">
              <w:rPr>
                <w:color w:val="000000"/>
              </w:rPr>
              <w:t>1.00</w:t>
            </w:r>
          </w:p>
        </w:tc>
        <w:tc>
          <w:tcPr>
            <w:tcW w:w="676" w:type="dxa"/>
            <w:tcBorders>
              <w:top w:val="single" w:sz="4" w:space="0" w:color="auto"/>
              <w:left w:val="nil"/>
              <w:bottom w:val="single" w:sz="4" w:space="0" w:color="auto"/>
              <w:right w:val="single" w:sz="4" w:space="0" w:color="auto"/>
            </w:tcBorders>
            <w:shd w:val="clear" w:color="auto" w:fill="auto"/>
            <w:vAlign w:val="bottom"/>
          </w:tcPr>
          <w:p w14:paraId="4D8BA85D" w14:textId="77777777" w:rsidR="004346F3" w:rsidRPr="00536CFD" w:rsidRDefault="004346F3" w:rsidP="00802ABC">
            <w:pPr>
              <w:spacing w:after="0"/>
              <w:jc w:val="center"/>
              <w:rPr>
                <w:lang w:val="zh-CN"/>
              </w:rPr>
            </w:pPr>
            <w:r w:rsidRPr="00536CFD">
              <w:rPr>
                <w:color w:val="000000"/>
              </w:rPr>
              <w:t>1.00</w:t>
            </w:r>
          </w:p>
        </w:tc>
      </w:tr>
      <w:tr w:rsidR="004346F3" w:rsidRPr="00C64ECB" w14:paraId="5358C38C"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5D19CDD"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157B9BE3"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0" w:type="dxa"/>
            <w:tcBorders>
              <w:top w:val="single" w:sz="4" w:space="0" w:color="auto"/>
              <w:left w:val="nil"/>
              <w:bottom w:val="single" w:sz="4" w:space="0" w:color="auto"/>
              <w:right w:val="single" w:sz="4" w:space="0" w:color="auto"/>
            </w:tcBorders>
            <w:shd w:val="clear" w:color="auto" w:fill="auto"/>
            <w:vAlign w:val="bottom"/>
          </w:tcPr>
          <w:p w14:paraId="42181687" w14:textId="77777777" w:rsidR="004346F3" w:rsidRPr="00536CFD" w:rsidRDefault="004346F3" w:rsidP="00802ABC">
            <w:pPr>
              <w:spacing w:after="0"/>
              <w:jc w:val="center"/>
              <w:rPr>
                <w:lang w:val="zh-CN"/>
              </w:rPr>
            </w:pPr>
            <w:r w:rsidRPr="00536CFD">
              <w:rPr>
                <w:color w:val="000000"/>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1250253" w14:textId="77777777" w:rsidR="004346F3" w:rsidRPr="00536CFD" w:rsidRDefault="004346F3" w:rsidP="00802ABC">
            <w:pPr>
              <w:spacing w:after="0"/>
              <w:jc w:val="center"/>
              <w:rPr>
                <w:lang w:val="zh-CN"/>
              </w:rPr>
            </w:pPr>
            <w:r w:rsidRPr="00536CFD">
              <w:rPr>
                <w:color w:val="000000"/>
              </w:rPr>
              <w:t>1.00</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73D6F65A" w14:textId="77777777" w:rsidR="004346F3" w:rsidRPr="00536CFD" w:rsidRDefault="004346F3" w:rsidP="00802ABC">
            <w:pPr>
              <w:spacing w:after="0"/>
              <w:jc w:val="center"/>
              <w:rPr>
                <w:lang w:val="zh-CN"/>
              </w:rPr>
            </w:pPr>
            <w:r w:rsidRPr="00536CFD">
              <w:rPr>
                <w:color w:val="000000"/>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8B5D07C" w14:textId="77777777" w:rsidR="004346F3" w:rsidRPr="00536CFD" w:rsidRDefault="004346F3" w:rsidP="00802ABC">
            <w:pPr>
              <w:spacing w:after="0"/>
              <w:jc w:val="center"/>
              <w:rPr>
                <w:lang w:val="zh-CN"/>
              </w:rPr>
            </w:pPr>
            <w:r w:rsidRPr="00536CFD">
              <w:rPr>
                <w:color w:val="000000"/>
              </w:rPr>
              <w:t>1.00</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20BED35" w14:textId="77777777" w:rsidR="004346F3" w:rsidRPr="00536CFD" w:rsidRDefault="004346F3" w:rsidP="00802ABC">
            <w:pPr>
              <w:spacing w:after="0"/>
              <w:jc w:val="center"/>
              <w:rPr>
                <w:lang w:val="zh-CN"/>
              </w:rPr>
            </w:pPr>
            <w:r w:rsidRPr="00536CFD">
              <w:rPr>
                <w:color w:val="000000"/>
              </w:rPr>
              <w:t>0.99</w:t>
            </w:r>
          </w:p>
        </w:tc>
        <w:tc>
          <w:tcPr>
            <w:tcW w:w="714" w:type="dxa"/>
            <w:tcBorders>
              <w:top w:val="single" w:sz="4" w:space="0" w:color="auto"/>
              <w:left w:val="nil"/>
              <w:bottom w:val="single" w:sz="4" w:space="0" w:color="auto"/>
              <w:right w:val="single" w:sz="4" w:space="0" w:color="auto"/>
            </w:tcBorders>
            <w:shd w:val="clear" w:color="auto" w:fill="auto"/>
            <w:vAlign w:val="bottom"/>
          </w:tcPr>
          <w:p w14:paraId="6E97BAA8" w14:textId="77777777" w:rsidR="004346F3" w:rsidRPr="00536CFD" w:rsidRDefault="004346F3" w:rsidP="00802ABC">
            <w:pPr>
              <w:spacing w:after="0"/>
              <w:jc w:val="center"/>
              <w:rPr>
                <w:lang w:val="zh-CN"/>
              </w:rPr>
            </w:pPr>
            <w:r w:rsidRPr="00536CFD">
              <w:rPr>
                <w:color w:val="000000"/>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4DE0A5E8" w14:textId="77777777" w:rsidR="004346F3" w:rsidRPr="00536CFD" w:rsidRDefault="004346F3" w:rsidP="00802ABC">
            <w:pPr>
              <w:spacing w:after="0"/>
              <w:jc w:val="center"/>
              <w:rPr>
                <w:lang w:val="zh-CN"/>
              </w:rPr>
            </w:pPr>
            <w:r w:rsidRPr="00536CFD">
              <w:rPr>
                <w:color w:val="000000"/>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3E499E42" w14:textId="77777777" w:rsidR="004346F3" w:rsidRPr="00536CFD" w:rsidRDefault="004346F3" w:rsidP="00802ABC">
            <w:pPr>
              <w:spacing w:after="0"/>
              <w:jc w:val="center"/>
              <w:rPr>
                <w:lang w:val="zh-CN"/>
              </w:rPr>
            </w:pPr>
            <w:r w:rsidRPr="00536CFD">
              <w:rPr>
                <w:color w:val="000000"/>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9490FD0" w14:textId="77777777" w:rsidR="004346F3" w:rsidRPr="00536CFD" w:rsidRDefault="004346F3" w:rsidP="00802ABC">
            <w:pPr>
              <w:spacing w:after="0"/>
              <w:jc w:val="center"/>
              <w:rPr>
                <w:lang w:val="zh-CN"/>
              </w:rPr>
            </w:pPr>
            <w:r w:rsidRPr="00536CFD">
              <w:rPr>
                <w:color w:val="000000"/>
              </w:rPr>
              <w:t>0.96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2F05D20" w14:textId="77777777" w:rsidR="004346F3" w:rsidRPr="00536CFD" w:rsidRDefault="004346F3" w:rsidP="00802ABC">
            <w:pPr>
              <w:spacing w:after="0"/>
              <w:jc w:val="center"/>
              <w:rPr>
                <w:lang w:val="zh-CN"/>
              </w:rPr>
            </w:pPr>
            <w:r w:rsidRPr="00536CFD">
              <w:rPr>
                <w:color w:val="000000"/>
              </w:rPr>
              <w:t>0.95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A31882B" w14:textId="77777777" w:rsidR="004346F3" w:rsidRPr="00536CFD" w:rsidRDefault="004346F3" w:rsidP="00802ABC">
            <w:pPr>
              <w:spacing w:after="0"/>
              <w:jc w:val="center"/>
              <w:rPr>
                <w:lang w:val="zh-CN"/>
              </w:rPr>
            </w:pPr>
            <w:r w:rsidRPr="00536CFD">
              <w:rPr>
                <w:color w:val="000000"/>
              </w:rPr>
              <w:t>0.99</w:t>
            </w:r>
          </w:p>
        </w:tc>
        <w:tc>
          <w:tcPr>
            <w:tcW w:w="676" w:type="dxa"/>
            <w:tcBorders>
              <w:top w:val="single" w:sz="4" w:space="0" w:color="auto"/>
              <w:left w:val="nil"/>
              <w:bottom w:val="single" w:sz="4" w:space="0" w:color="auto"/>
              <w:right w:val="single" w:sz="4" w:space="0" w:color="auto"/>
            </w:tcBorders>
            <w:shd w:val="clear" w:color="auto" w:fill="auto"/>
            <w:vAlign w:val="bottom"/>
          </w:tcPr>
          <w:p w14:paraId="294190B2" w14:textId="77777777" w:rsidR="004346F3" w:rsidRPr="00536CFD" w:rsidRDefault="004346F3" w:rsidP="00802ABC">
            <w:pPr>
              <w:spacing w:after="0"/>
              <w:jc w:val="center"/>
              <w:rPr>
                <w:lang w:val="zh-CN"/>
              </w:rPr>
            </w:pPr>
            <w:r w:rsidRPr="00536CFD">
              <w:rPr>
                <w:color w:val="000000"/>
              </w:rPr>
              <w:t>1.00</w:t>
            </w:r>
          </w:p>
        </w:tc>
      </w:tr>
      <w:tr w:rsidR="004346F3" w:rsidRPr="00C64ECB" w14:paraId="4D8B7999"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F52A542"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709A8ED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0" w:type="dxa"/>
            <w:tcBorders>
              <w:top w:val="single" w:sz="4" w:space="0" w:color="auto"/>
              <w:left w:val="nil"/>
              <w:bottom w:val="single" w:sz="4" w:space="0" w:color="auto"/>
              <w:right w:val="single" w:sz="4" w:space="0" w:color="auto"/>
            </w:tcBorders>
            <w:shd w:val="clear" w:color="auto" w:fill="auto"/>
            <w:vAlign w:val="bottom"/>
          </w:tcPr>
          <w:p w14:paraId="7465F0D1" w14:textId="77777777" w:rsidR="004346F3" w:rsidRPr="00536CFD" w:rsidRDefault="004346F3" w:rsidP="00802ABC">
            <w:pPr>
              <w:spacing w:after="0"/>
              <w:jc w:val="center"/>
              <w:rPr>
                <w:lang w:val="zh-CN"/>
              </w:rPr>
            </w:pPr>
            <w:r w:rsidRPr="00536CFD">
              <w:rPr>
                <w:color w:val="000000"/>
              </w:rPr>
              <w:t>0.21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5D47CBD" w14:textId="77777777" w:rsidR="004346F3" w:rsidRPr="00536CFD" w:rsidRDefault="004346F3" w:rsidP="00802ABC">
            <w:pPr>
              <w:spacing w:after="0"/>
              <w:jc w:val="center"/>
              <w:rPr>
                <w:lang w:val="zh-CN"/>
              </w:rPr>
            </w:pPr>
            <w:r w:rsidRPr="00536CFD">
              <w:rPr>
                <w:color w:val="000000"/>
              </w:rPr>
              <w:t>0.17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3C2070C" w14:textId="77777777" w:rsidR="004346F3" w:rsidRPr="00536CFD" w:rsidRDefault="004346F3" w:rsidP="00802ABC">
            <w:pPr>
              <w:spacing w:after="0"/>
              <w:jc w:val="center"/>
              <w:rPr>
                <w:lang w:val="zh-CN"/>
              </w:rPr>
            </w:pPr>
            <w:r w:rsidRPr="00536CFD">
              <w:rPr>
                <w:color w:val="000000"/>
              </w:rPr>
              <w:t>0.10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5952D88" w14:textId="77777777" w:rsidR="004346F3" w:rsidRPr="00536CFD" w:rsidRDefault="004346F3" w:rsidP="00802ABC">
            <w:pPr>
              <w:spacing w:after="0"/>
              <w:jc w:val="center"/>
              <w:rPr>
                <w:lang w:val="zh-CN"/>
              </w:rPr>
            </w:pPr>
            <w:r w:rsidRPr="00536CFD">
              <w:rPr>
                <w:color w:val="000000"/>
              </w:rPr>
              <w:t>0.06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7006989" w14:textId="77777777" w:rsidR="004346F3" w:rsidRPr="00536CFD" w:rsidRDefault="004346F3" w:rsidP="00802ABC">
            <w:pPr>
              <w:spacing w:after="0"/>
              <w:jc w:val="center"/>
              <w:rPr>
                <w:lang w:val="zh-CN"/>
              </w:rPr>
            </w:pPr>
            <w:r w:rsidRPr="00536CFD">
              <w:rPr>
                <w:color w:val="000000"/>
              </w:rPr>
              <w:t>0.41</w:t>
            </w:r>
          </w:p>
        </w:tc>
        <w:tc>
          <w:tcPr>
            <w:tcW w:w="714" w:type="dxa"/>
            <w:tcBorders>
              <w:top w:val="single" w:sz="4" w:space="0" w:color="auto"/>
              <w:left w:val="nil"/>
              <w:bottom w:val="single" w:sz="4" w:space="0" w:color="auto"/>
              <w:right w:val="single" w:sz="4" w:space="0" w:color="auto"/>
            </w:tcBorders>
            <w:shd w:val="clear" w:color="auto" w:fill="auto"/>
            <w:vAlign w:val="bottom"/>
          </w:tcPr>
          <w:p w14:paraId="75DD9045" w14:textId="77777777" w:rsidR="004346F3" w:rsidRPr="00536CFD" w:rsidRDefault="004346F3" w:rsidP="00802ABC">
            <w:pPr>
              <w:spacing w:after="0"/>
              <w:jc w:val="center"/>
              <w:rPr>
                <w:lang w:val="zh-CN"/>
              </w:rPr>
            </w:pPr>
            <w:r w:rsidRPr="00536CFD">
              <w:rPr>
                <w:color w:val="000000"/>
              </w:rPr>
              <w:t>0.36</w:t>
            </w:r>
          </w:p>
        </w:tc>
        <w:tc>
          <w:tcPr>
            <w:tcW w:w="719" w:type="dxa"/>
            <w:tcBorders>
              <w:top w:val="single" w:sz="4" w:space="0" w:color="auto"/>
              <w:left w:val="nil"/>
              <w:bottom w:val="single" w:sz="4" w:space="0" w:color="auto"/>
              <w:right w:val="single" w:sz="4" w:space="0" w:color="auto"/>
            </w:tcBorders>
            <w:shd w:val="clear" w:color="auto" w:fill="auto"/>
            <w:vAlign w:val="bottom"/>
          </w:tcPr>
          <w:p w14:paraId="4FF4AFA9" w14:textId="77777777" w:rsidR="004346F3" w:rsidRPr="00536CFD" w:rsidRDefault="004346F3" w:rsidP="00802ABC">
            <w:pPr>
              <w:spacing w:after="0"/>
              <w:jc w:val="center"/>
              <w:rPr>
                <w:lang w:val="zh-CN"/>
              </w:rPr>
            </w:pPr>
            <w:r w:rsidRPr="00536CFD">
              <w:rPr>
                <w:color w:val="000000"/>
              </w:rPr>
              <w:t>0.23</w:t>
            </w:r>
          </w:p>
        </w:tc>
        <w:tc>
          <w:tcPr>
            <w:tcW w:w="719" w:type="dxa"/>
            <w:tcBorders>
              <w:top w:val="single" w:sz="4" w:space="0" w:color="auto"/>
              <w:left w:val="nil"/>
              <w:bottom w:val="single" w:sz="4" w:space="0" w:color="auto"/>
              <w:right w:val="single" w:sz="4" w:space="0" w:color="auto"/>
            </w:tcBorders>
            <w:shd w:val="clear" w:color="auto" w:fill="auto"/>
            <w:vAlign w:val="bottom"/>
          </w:tcPr>
          <w:p w14:paraId="7903C553" w14:textId="77777777" w:rsidR="004346F3" w:rsidRPr="00536CFD" w:rsidRDefault="004346F3" w:rsidP="00802ABC">
            <w:pPr>
              <w:spacing w:after="0"/>
              <w:jc w:val="center"/>
              <w:rPr>
                <w:lang w:val="zh-CN"/>
              </w:rPr>
            </w:pPr>
            <w:r w:rsidRPr="00536CFD">
              <w:rPr>
                <w:color w:val="000000"/>
              </w:rPr>
              <w:t>0.09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0B606AD" w14:textId="77777777" w:rsidR="004346F3" w:rsidRPr="00536CFD" w:rsidRDefault="004346F3" w:rsidP="00802ABC">
            <w:pPr>
              <w:spacing w:after="0"/>
              <w:jc w:val="center"/>
              <w:rPr>
                <w:lang w:val="zh-CN"/>
              </w:rPr>
            </w:pPr>
            <w:r w:rsidRPr="00536CFD">
              <w:rPr>
                <w:color w:val="000000"/>
              </w:rPr>
              <w:t>0.67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22AE8B4" w14:textId="77777777" w:rsidR="004346F3" w:rsidRPr="00536CFD" w:rsidRDefault="004346F3" w:rsidP="00802ABC">
            <w:pPr>
              <w:spacing w:after="0"/>
              <w:jc w:val="center"/>
              <w:rPr>
                <w:lang w:val="zh-CN"/>
              </w:rPr>
            </w:pPr>
            <w:r w:rsidRPr="00536CFD">
              <w:rPr>
                <w:color w:val="000000"/>
              </w:rPr>
              <w:t>0.63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32DEA4D" w14:textId="77777777" w:rsidR="004346F3" w:rsidRPr="00536CFD" w:rsidRDefault="004346F3" w:rsidP="00802ABC">
            <w:pPr>
              <w:spacing w:after="0"/>
              <w:jc w:val="center"/>
              <w:rPr>
                <w:lang w:val="zh-CN"/>
              </w:rPr>
            </w:pPr>
            <w:r w:rsidRPr="00536CFD">
              <w:rPr>
                <w:color w:val="000000"/>
              </w:rPr>
              <w:t>0.46</w:t>
            </w:r>
          </w:p>
        </w:tc>
        <w:tc>
          <w:tcPr>
            <w:tcW w:w="676" w:type="dxa"/>
            <w:tcBorders>
              <w:top w:val="single" w:sz="4" w:space="0" w:color="auto"/>
              <w:left w:val="nil"/>
              <w:bottom w:val="single" w:sz="4" w:space="0" w:color="auto"/>
              <w:right w:val="single" w:sz="4" w:space="0" w:color="auto"/>
            </w:tcBorders>
            <w:shd w:val="clear" w:color="auto" w:fill="auto"/>
            <w:vAlign w:val="bottom"/>
          </w:tcPr>
          <w:p w14:paraId="53826C8F" w14:textId="77777777" w:rsidR="004346F3" w:rsidRPr="00536CFD" w:rsidRDefault="004346F3" w:rsidP="00802ABC">
            <w:pPr>
              <w:spacing w:after="0"/>
              <w:jc w:val="center"/>
              <w:rPr>
                <w:lang w:val="zh-CN"/>
              </w:rPr>
            </w:pPr>
            <w:r w:rsidRPr="00536CFD">
              <w:rPr>
                <w:color w:val="000000"/>
              </w:rPr>
              <w:t>0.12</w:t>
            </w:r>
          </w:p>
        </w:tc>
      </w:tr>
      <w:tr w:rsidR="004346F3" w:rsidRPr="00C64ECB" w14:paraId="29BF422C"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AC4BFA4"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68F8E758" w14:textId="77777777" w:rsidR="004346F3" w:rsidRPr="00536CFD" w:rsidRDefault="004346F3" w:rsidP="00802ABC">
            <w:pPr>
              <w:spacing w:after="0"/>
              <w:jc w:val="center"/>
            </w:pPr>
            <w:r w:rsidRPr="00536CFD">
              <w:rPr>
                <w:rFonts w:ascii="Cambria Math" w:hAnsi="Cambria Math" w:cs="Cambria Math"/>
              </w:rPr>
              <w:t>𝜆</w:t>
            </w:r>
          </w:p>
        </w:tc>
        <w:tc>
          <w:tcPr>
            <w:tcW w:w="2515" w:type="dxa"/>
            <w:gridSpan w:val="7"/>
            <w:tcBorders>
              <w:top w:val="single" w:sz="4" w:space="0" w:color="auto"/>
              <w:left w:val="nil"/>
              <w:bottom w:val="single" w:sz="4" w:space="0" w:color="auto"/>
              <w:right w:val="single" w:sz="4" w:space="0" w:color="auto"/>
            </w:tcBorders>
            <w:shd w:val="clear" w:color="auto" w:fill="auto"/>
          </w:tcPr>
          <w:p w14:paraId="2FD0030C" w14:textId="77777777" w:rsidR="004346F3" w:rsidRPr="00536CFD" w:rsidRDefault="004346F3" w:rsidP="00802ABC">
            <w:pPr>
              <w:spacing w:after="0"/>
              <w:jc w:val="center"/>
              <w:rPr>
                <w:lang w:val="zh-CN"/>
              </w:rPr>
            </w:pPr>
            <w:r w:rsidRPr="00536CFD">
              <w:rPr>
                <w:lang w:val="zh-CN"/>
              </w:rPr>
              <w:t>1.2 Mbps</w:t>
            </w:r>
          </w:p>
        </w:tc>
        <w:tc>
          <w:tcPr>
            <w:tcW w:w="2866" w:type="dxa"/>
            <w:gridSpan w:val="5"/>
            <w:tcBorders>
              <w:top w:val="single" w:sz="4" w:space="0" w:color="auto"/>
              <w:left w:val="nil"/>
              <w:bottom w:val="single" w:sz="4" w:space="0" w:color="auto"/>
              <w:right w:val="single" w:sz="4" w:space="0" w:color="auto"/>
            </w:tcBorders>
            <w:shd w:val="clear" w:color="auto" w:fill="auto"/>
          </w:tcPr>
          <w:p w14:paraId="5A11A24C" w14:textId="77777777" w:rsidR="004346F3" w:rsidRPr="00536CFD" w:rsidRDefault="004346F3" w:rsidP="00802ABC">
            <w:pPr>
              <w:spacing w:after="0"/>
              <w:jc w:val="center"/>
              <w:rPr>
                <w:lang w:val="zh-CN"/>
              </w:rPr>
            </w:pPr>
            <w:r w:rsidRPr="00536CFD">
              <w:rPr>
                <w:lang w:val="zh-CN"/>
              </w:rPr>
              <w:t>1.5 Mbps</w:t>
            </w:r>
          </w:p>
        </w:tc>
        <w:tc>
          <w:tcPr>
            <w:tcW w:w="2885" w:type="dxa"/>
            <w:gridSpan w:val="7"/>
            <w:tcBorders>
              <w:top w:val="single" w:sz="4" w:space="0" w:color="auto"/>
              <w:left w:val="nil"/>
              <w:bottom w:val="single" w:sz="4" w:space="0" w:color="auto"/>
              <w:right w:val="single" w:sz="4" w:space="0" w:color="auto"/>
            </w:tcBorders>
            <w:shd w:val="clear" w:color="auto" w:fill="auto"/>
          </w:tcPr>
          <w:p w14:paraId="718C2DA0" w14:textId="77777777" w:rsidR="004346F3" w:rsidRPr="00536CFD" w:rsidRDefault="004346F3" w:rsidP="00802ABC">
            <w:pPr>
              <w:spacing w:after="0"/>
              <w:jc w:val="center"/>
              <w:rPr>
                <w:lang w:val="zh-CN"/>
              </w:rPr>
            </w:pPr>
            <w:r w:rsidRPr="00536CFD">
              <w:rPr>
                <w:lang w:val="zh-CN"/>
              </w:rPr>
              <w:t>1.8 Mbps</w:t>
            </w:r>
          </w:p>
        </w:tc>
      </w:tr>
      <w:tr w:rsidR="004346F3" w:rsidRPr="00C64ECB" w14:paraId="3D461B2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95A4CF4"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0847049C" w14:textId="77777777" w:rsidR="004346F3" w:rsidRPr="00536CFD" w:rsidRDefault="004346F3" w:rsidP="00802ABC">
            <w:pPr>
              <w:spacing w:after="0"/>
              <w:contextualSpacing/>
              <w:rPr>
                <w:lang w:val="en-US" w:bidi="ar"/>
              </w:rPr>
            </w:pPr>
          </w:p>
        </w:tc>
        <w:tc>
          <w:tcPr>
            <w:tcW w:w="8266" w:type="dxa"/>
            <w:gridSpan w:val="19"/>
            <w:tcBorders>
              <w:top w:val="single" w:sz="4" w:space="0" w:color="auto"/>
              <w:left w:val="nil"/>
              <w:bottom w:val="single" w:sz="4" w:space="0" w:color="auto"/>
              <w:right w:val="single" w:sz="4" w:space="0" w:color="auto"/>
            </w:tcBorders>
            <w:shd w:val="clear" w:color="auto" w:fill="auto"/>
          </w:tcPr>
          <w:p w14:paraId="27889197" w14:textId="77777777" w:rsidR="004346F3" w:rsidRPr="00536CFD" w:rsidRDefault="004346F3" w:rsidP="00802ABC">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enabled, ED/PD threshold -62/-82 dBm, A-MPDU size is chosen to get MPDU duration of 1ms, Wi-Fi Guard Interval long,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COT structure includes a preparation stage for CSI exchange leading to total of 2 switching points.</w:t>
            </w:r>
          </w:p>
        </w:tc>
      </w:tr>
      <w:tr w:rsidR="004346F3" w:rsidRPr="00C64ECB" w14:paraId="1A4CF349" w14:textId="77777777" w:rsidTr="00802ABC">
        <w:trPr>
          <w:cantSplit/>
          <w:trHeight w:val="20"/>
        </w:trPr>
        <w:tc>
          <w:tcPr>
            <w:tcW w:w="269" w:type="dxa"/>
            <w:vMerge w:val="restart"/>
            <w:tcBorders>
              <w:top w:val="nil"/>
              <w:left w:val="single" w:sz="4" w:space="0" w:color="auto"/>
              <w:bottom w:val="single" w:sz="4" w:space="0" w:color="auto"/>
              <w:right w:val="single" w:sz="4" w:space="0" w:color="auto"/>
            </w:tcBorders>
            <w:shd w:val="clear" w:color="auto" w:fill="auto"/>
            <w:textDirection w:val="btLr"/>
          </w:tcPr>
          <w:p w14:paraId="458D9EEF"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541" w:type="dxa"/>
            <w:vMerge w:val="restart"/>
            <w:tcBorders>
              <w:top w:val="nil"/>
              <w:left w:val="nil"/>
              <w:bottom w:val="single" w:sz="4" w:space="0" w:color="auto"/>
              <w:right w:val="single" w:sz="4" w:space="0" w:color="auto"/>
            </w:tcBorders>
            <w:shd w:val="clear" w:color="auto" w:fill="auto"/>
          </w:tcPr>
          <w:p w14:paraId="65170DE4"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407CC037"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0CE6D666" w14:textId="77777777" w:rsidR="004346F3" w:rsidRPr="00536CFD" w:rsidRDefault="004346F3" w:rsidP="00802ABC">
            <w:pPr>
              <w:pageBreakBefore/>
              <w:spacing w:after="0"/>
              <w:jc w:val="center"/>
              <w:rPr>
                <w:lang w:val="zh-CN"/>
              </w:rPr>
            </w:pPr>
            <w:r w:rsidRPr="00536CFD">
              <w:rPr>
                <w:lang w:val="zh-CN"/>
              </w:rPr>
              <w:t>26.13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EBBC76C" w14:textId="77777777" w:rsidR="004346F3" w:rsidRPr="00536CFD" w:rsidRDefault="004346F3" w:rsidP="00802ABC">
            <w:pPr>
              <w:pageBreakBefore/>
              <w:spacing w:after="0"/>
              <w:jc w:val="center"/>
              <w:rPr>
                <w:lang w:val="zh-CN"/>
              </w:rPr>
            </w:pPr>
            <w:r w:rsidRPr="00536CFD">
              <w:rPr>
                <w:lang w:val="zh-CN"/>
              </w:rPr>
              <w:t>38.54</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54DE2ED5" w14:textId="77777777" w:rsidR="004346F3" w:rsidRPr="00536CFD" w:rsidRDefault="004346F3" w:rsidP="00802ABC">
            <w:pPr>
              <w:pageBreakBefore/>
              <w:spacing w:after="0"/>
              <w:jc w:val="center"/>
              <w:rPr>
                <w:lang w:val="zh-CN"/>
              </w:rPr>
            </w:pPr>
            <w:r w:rsidRPr="00536CFD">
              <w:rPr>
                <w:lang w:val="zh-CN"/>
              </w:rPr>
              <w:t>72.29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AB78ED9" w14:textId="77777777" w:rsidR="004346F3" w:rsidRPr="00536CFD" w:rsidRDefault="004346F3" w:rsidP="00802ABC">
            <w:pPr>
              <w:pageBreakBefore/>
              <w:spacing w:after="0"/>
              <w:jc w:val="center"/>
              <w:rPr>
                <w:lang w:val="zh-CN"/>
              </w:rPr>
            </w:pPr>
            <w:r w:rsidRPr="00536CFD">
              <w:rPr>
                <w:lang w:val="zh-CN"/>
              </w:rPr>
              <w:t>84.56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EF00322" w14:textId="77777777" w:rsidR="004346F3" w:rsidRPr="00536CFD" w:rsidRDefault="004346F3" w:rsidP="00802ABC">
            <w:pPr>
              <w:pageBreakBefore/>
              <w:spacing w:after="0"/>
              <w:jc w:val="center"/>
              <w:rPr>
                <w:lang w:val="zh-CN"/>
              </w:rPr>
            </w:pPr>
            <w:r w:rsidRPr="00536CFD">
              <w:rPr>
                <w:lang w:val="zh-CN"/>
              </w:rPr>
              <w:t>7.82</w:t>
            </w:r>
          </w:p>
        </w:tc>
        <w:tc>
          <w:tcPr>
            <w:tcW w:w="714" w:type="dxa"/>
            <w:tcBorders>
              <w:top w:val="single" w:sz="4" w:space="0" w:color="auto"/>
              <w:left w:val="nil"/>
              <w:bottom w:val="single" w:sz="4" w:space="0" w:color="auto"/>
              <w:right w:val="single" w:sz="4" w:space="0" w:color="auto"/>
            </w:tcBorders>
            <w:shd w:val="clear" w:color="auto" w:fill="auto"/>
            <w:vAlign w:val="bottom"/>
          </w:tcPr>
          <w:p w14:paraId="78B50331" w14:textId="77777777" w:rsidR="004346F3" w:rsidRPr="00536CFD" w:rsidRDefault="004346F3" w:rsidP="00802ABC">
            <w:pPr>
              <w:pageBreakBefore/>
              <w:spacing w:after="0"/>
              <w:jc w:val="center"/>
              <w:rPr>
                <w:lang w:val="zh-CN"/>
              </w:rPr>
            </w:pPr>
            <w:r w:rsidRPr="00536CFD">
              <w:rPr>
                <w:lang w:val="zh-CN"/>
              </w:rPr>
              <w:t>25.52</w:t>
            </w:r>
          </w:p>
        </w:tc>
        <w:tc>
          <w:tcPr>
            <w:tcW w:w="719" w:type="dxa"/>
            <w:tcBorders>
              <w:top w:val="single" w:sz="4" w:space="0" w:color="auto"/>
              <w:left w:val="nil"/>
              <w:bottom w:val="single" w:sz="4" w:space="0" w:color="auto"/>
              <w:right w:val="single" w:sz="4" w:space="0" w:color="auto"/>
            </w:tcBorders>
            <w:shd w:val="clear" w:color="auto" w:fill="auto"/>
            <w:vAlign w:val="bottom"/>
          </w:tcPr>
          <w:p w14:paraId="534878D1" w14:textId="77777777" w:rsidR="004346F3" w:rsidRPr="00536CFD" w:rsidRDefault="004346F3" w:rsidP="00802ABC">
            <w:pPr>
              <w:pageBreakBefore/>
              <w:spacing w:after="0"/>
              <w:jc w:val="center"/>
              <w:rPr>
                <w:lang w:val="zh-CN"/>
              </w:rPr>
            </w:pPr>
            <w:r w:rsidRPr="00536CFD">
              <w:rPr>
                <w:lang w:val="zh-CN"/>
              </w:rPr>
              <w:t>56.73</w:t>
            </w:r>
          </w:p>
        </w:tc>
        <w:tc>
          <w:tcPr>
            <w:tcW w:w="719" w:type="dxa"/>
            <w:tcBorders>
              <w:top w:val="single" w:sz="4" w:space="0" w:color="auto"/>
              <w:left w:val="nil"/>
              <w:bottom w:val="single" w:sz="4" w:space="0" w:color="auto"/>
              <w:right w:val="single" w:sz="4" w:space="0" w:color="auto"/>
            </w:tcBorders>
            <w:shd w:val="clear" w:color="auto" w:fill="auto"/>
            <w:vAlign w:val="bottom"/>
          </w:tcPr>
          <w:p w14:paraId="1E4FDA3F" w14:textId="77777777" w:rsidR="004346F3" w:rsidRPr="00536CFD" w:rsidRDefault="004346F3" w:rsidP="00802ABC">
            <w:pPr>
              <w:pageBreakBefore/>
              <w:spacing w:after="0"/>
              <w:jc w:val="center"/>
              <w:rPr>
                <w:lang w:val="zh-CN"/>
              </w:rPr>
            </w:pPr>
            <w:r w:rsidRPr="00536CFD">
              <w:rPr>
                <w:lang w:val="zh-CN"/>
              </w:rPr>
              <w:t>76.19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8746113" w14:textId="77777777" w:rsidR="004346F3" w:rsidRPr="00536CFD" w:rsidRDefault="004346F3" w:rsidP="00802ABC">
            <w:pPr>
              <w:pageBreakBefore/>
              <w:spacing w:after="0"/>
              <w:jc w:val="center"/>
              <w:rPr>
                <w:lang w:val="zh-CN"/>
              </w:rPr>
            </w:pPr>
            <w:r w:rsidRPr="00536CFD">
              <w:rPr>
                <w:lang w:val="zh-CN"/>
              </w:rPr>
              <w:t>0.56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3BD0CF7" w14:textId="77777777" w:rsidR="004346F3" w:rsidRPr="00536CFD" w:rsidRDefault="004346F3" w:rsidP="00802ABC">
            <w:pPr>
              <w:pageBreakBefore/>
              <w:spacing w:after="0"/>
              <w:jc w:val="center"/>
              <w:rPr>
                <w:lang w:val="zh-CN"/>
              </w:rPr>
            </w:pPr>
            <w:r w:rsidRPr="00536CFD">
              <w:rPr>
                <w:lang w:val="zh-CN"/>
              </w:rPr>
              <w:t>17.81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6A72B56" w14:textId="77777777" w:rsidR="004346F3" w:rsidRPr="00536CFD" w:rsidRDefault="004346F3" w:rsidP="00802ABC">
            <w:pPr>
              <w:pageBreakBefore/>
              <w:spacing w:after="0"/>
              <w:jc w:val="center"/>
              <w:rPr>
                <w:lang w:val="zh-CN"/>
              </w:rPr>
            </w:pPr>
            <w:r w:rsidRPr="00536CFD">
              <w:rPr>
                <w:lang w:val="zh-CN"/>
              </w:rPr>
              <w:t>34.62</w:t>
            </w:r>
          </w:p>
        </w:tc>
        <w:tc>
          <w:tcPr>
            <w:tcW w:w="676" w:type="dxa"/>
            <w:tcBorders>
              <w:top w:val="single" w:sz="4" w:space="0" w:color="auto"/>
              <w:left w:val="nil"/>
              <w:bottom w:val="single" w:sz="4" w:space="0" w:color="auto"/>
              <w:right w:val="single" w:sz="4" w:space="0" w:color="auto"/>
            </w:tcBorders>
            <w:shd w:val="clear" w:color="auto" w:fill="auto"/>
            <w:vAlign w:val="bottom"/>
          </w:tcPr>
          <w:p w14:paraId="76364048" w14:textId="77777777" w:rsidR="004346F3" w:rsidRPr="00536CFD" w:rsidRDefault="004346F3" w:rsidP="00802ABC">
            <w:pPr>
              <w:pageBreakBefore/>
              <w:spacing w:after="0"/>
              <w:jc w:val="center"/>
              <w:rPr>
                <w:lang w:val="zh-CN"/>
              </w:rPr>
            </w:pPr>
            <w:r w:rsidRPr="00536CFD">
              <w:rPr>
                <w:lang w:val="zh-CN"/>
              </w:rPr>
              <w:t>69.39</w:t>
            </w:r>
          </w:p>
        </w:tc>
      </w:tr>
      <w:tr w:rsidR="004346F3" w:rsidRPr="00C64ECB" w14:paraId="3A70BF4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51DE501"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36E714A8"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5A103AD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3BADFA5C" w14:textId="77777777" w:rsidR="004346F3" w:rsidRPr="00536CFD" w:rsidRDefault="004346F3" w:rsidP="00802ABC">
            <w:pPr>
              <w:spacing w:after="0"/>
              <w:jc w:val="center"/>
              <w:rPr>
                <w:lang w:val="zh-CN"/>
              </w:rPr>
            </w:pPr>
            <w:r w:rsidRPr="00536CFD">
              <w:rPr>
                <w:lang w:val="zh-CN"/>
              </w:rPr>
              <w:t>63.27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C6A745D" w14:textId="77777777" w:rsidR="004346F3" w:rsidRPr="00536CFD" w:rsidRDefault="004346F3" w:rsidP="00802ABC">
            <w:pPr>
              <w:spacing w:after="0"/>
              <w:jc w:val="center"/>
              <w:rPr>
                <w:lang w:val="zh-CN"/>
              </w:rPr>
            </w:pPr>
            <w:r w:rsidRPr="00536CFD">
              <w:rPr>
                <w:lang w:val="zh-CN"/>
              </w:rPr>
              <w:t>81.48</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AFEDE90" w14:textId="77777777" w:rsidR="004346F3" w:rsidRPr="00536CFD" w:rsidRDefault="004346F3" w:rsidP="00802ABC">
            <w:pPr>
              <w:spacing w:after="0"/>
              <w:jc w:val="center"/>
              <w:rPr>
                <w:lang w:val="zh-CN"/>
              </w:rPr>
            </w:pPr>
            <w:r w:rsidRPr="00536CFD">
              <w:rPr>
                <w:lang w:val="zh-CN"/>
              </w:rPr>
              <w:t>134.03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EAD1ECA" w14:textId="77777777" w:rsidR="004346F3" w:rsidRPr="00536CFD" w:rsidRDefault="004346F3" w:rsidP="00802ABC">
            <w:pPr>
              <w:spacing w:after="0"/>
              <w:jc w:val="center"/>
              <w:rPr>
                <w:lang w:val="zh-CN"/>
              </w:rPr>
            </w:pPr>
            <w:r w:rsidRPr="00536CFD">
              <w:rPr>
                <w:lang w:val="zh-CN"/>
              </w:rPr>
              <w:t>147.14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2831B7A" w14:textId="77777777" w:rsidR="004346F3" w:rsidRPr="00536CFD" w:rsidRDefault="004346F3" w:rsidP="00802ABC">
            <w:pPr>
              <w:spacing w:after="0"/>
              <w:jc w:val="center"/>
              <w:rPr>
                <w:lang w:val="zh-CN"/>
              </w:rPr>
            </w:pPr>
            <w:r w:rsidRPr="00536CFD">
              <w:rPr>
                <w:lang w:val="zh-CN"/>
              </w:rPr>
              <w:t>33.99</w:t>
            </w:r>
          </w:p>
        </w:tc>
        <w:tc>
          <w:tcPr>
            <w:tcW w:w="714" w:type="dxa"/>
            <w:tcBorders>
              <w:top w:val="single" w:sz="4" w:space="0" w:color="auto"/>
              <w:left w:val="nil"/>
              <w:bottom w:val="single" w:sz="4" w:space="0" w:color="auto"/>
              <w:right w:val="single" w:sz="4" w:space="0" w:color="auto"/>
            </w:tcBorders>
            <w:shd w:val="clear" w:color="auto" w:fill="auto"/>
            <w:vAlign w:val="bottom"/>
          </w:tcPr>
          <w:p w14:paraId="6AC1E6F8" w14:textId="77777777" w:rsidR="004346F3" w:rsidRPr="00536CFD" w:rsidRDefault="004346F3" w:rsidP="00802ABC">
            <w:pPr>
              <w:spacing w:after="0"/>
              <w:jc w:val="center"/>
              <w:rPr>
                <w:lang w:val="zh-CN"/>
              </w:rPr>
            </w:pPr>
            <w:r w:rsidRPr="00536CFD">
              <w:rPr>
                <w:lang w:val="zh-CN"/>
              </w:rPr>
              <w:t>63.43</w:t>
            </w:r>
          </w:p>
        </w:tc>
        <w:tc>
          <w:tcPr>
            <w:tcW w:w="719" w:type="dxa"/>
            <w:tcBorders>
              <w:top w:val="single" w:sz="4" w:space="0" w:color="auto"/>
              <w:left w:val="nil"/>
              <w:bottom w:val="single" w:sz="4" w:space="0" w:color="auto"/>
              <w:right w:val="single" w:sz="4" w:space="0" w:color="auto"/>
            </w:tcBorders>
            <w:shd w:val="clear" w:color="auto" w:fill="auto"/>
            <w:vAlign w:val="bottom"/>
          </w:tcPr>
          <w:p w14:paraId="2BC69528" w14:textId="77777777" w:rsidR="004346F3" w:rsidRPr="00536CFD" w:rsidRDefault="004346F3" w:rsidP="00802ABC">
            <w:pPr>
              <w:spacing w:after="0"/>
              <w:jc w:val="center"/>
              <w:rPr>
                <w:lang w:val="zh-CN"/>
              </w:rPr>
            </w:pPr>
            <w:r w:rsidRPr="00536CFD">
              <w:rPr>
                <w:lang w:val="zh-CN"/>
              </w:rPr>
              <w:t>110.67</w:t>
            </w:r>
          </w:p>
        </w:tc>
        <w:tc>
          <w:tcPr>
            <w:tcW w:w="719" w:type="dxa"/>
            <w:tcBorders>
              <w:top w:val="single" w:sz="4" w:space="0" w:color="auto"/>
              <w:left w:val="nil"/>
              <w:bottom w:val="single" w:sz="4" w:space="0" w:color="auto"/>
              <w:right w:val="single" w:sz="4" w:space="0" w:color="auto"/>
            </w:tcBorders>
            <w:shd w:val="clear" w:color="auto" w:fill="auto"/>
            <w:vAlign w:val="bottom"/>
          </w:tcPr>
          <w:p w14:paraId="7C54E9EF" w14:textId="77777777" w:rsidR="004346F3" w:rsidRPr="00536CFD" w:rsidRDefault="004346F3" w:rsidP="00802ABC">
            <w:pPr>
              <w:spacing w:after="0"/>
              <w:jc w:val="center"/>
              <w:rPr>
                <w:lang w:val="zh-CN"/>
              </w:rPr>
            </w:pPr>
            <w:r w:rsidRPr="00536CFD">
              <w:rPr>
                <w:lang w:val="zh-CN"/>
              </w:rPr>
              <w:t>137.91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09F5DD3" w14:textId="77777777" w:rsidR="004346F3" w:rsidRPr="00536CFD" w:rsidRDefault="004346F3" w:rsidP="00802ABC">
            <w:pPr>
              <w:spacing w:after="0"/>
              <w:jc w:val="center"/>
              <w:rPr>
                <w:lang w:val="zh-CN"/>
              </w:rPr>
            </w:pPr>
            <w:r w:rsidRPr="00536CFD">
              <w:rPr>
                <w:lang w:val="zh-CN"/>
              </w:rPr>
              <w:t>24.5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CDF45FC" w14:textId="77777777" w:rsidR="004346F3" w:rsidRPr="00536CFD" w:rsidRDefault="004346F3" w:rsidP="00802ABC">
            <w:pPr>
              <w:spacing w:after="0"/>
              <w:jc w:val="center"/>
              <w:rPr>
                <w:lang w:val="zh-CN"/>
              </w:rPr>
            </w:pPr>
            <w:r w:rsidRPr="00536CFD">
              <w:rPr>
                <w:lang w:val="zh-CN"/>
              </w:rPr>
              <w:t>52.16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C8CC8AF" w14:textId="77777777" w:rsidR="004346F3" w:rsidRPr="00536CFD" w:rsidRDefault="004346F3" w:rsidP="00802ABC">
            <w:pPr>
              <w:spacing w:after="0"/>
              <w:jc w:val="center"/>
              <w:rPr>
                <w:lang w:val="zh-CN"/>
              </w:rPr>
            </w:pPr>
            <w:r w:rsidRPr="00536CFD">
              <w:rPr>
                <w:lang w:val="zh-CN"/>
              </w:rPr>
              <w:t>95.71</w:t>
            </w:r>
          </w:p>
        </w:tc>
        <w:tc>
          <w:tcPr>
            <w:tcW w:w="676" w:type="dxa"/>
            <w:tcBorders>
              <w:top w:val="single" w:sz="4" w:space="0" w:color="auto"/>
              <w:left w:val="nil"/>
              <w:bottom w:val="single" w:sz="4" w:space="0" w:color="auto"/>
              <w:right w:val="single" w:sz="4" w:space="0" w:color="auto"/>
            </w:tcBorders>
            <w:shd w:val="clear" w:color="auto" w:fill="auto"/>
            <w:vAlign w:val="bottom"/>
          </w:tcPr>
          <w:p w14:paraId="3FFBD03E" w14:textId="77777777" w:rsidR="004346F3" w:rsidRPr="00536CFD" w:rsidRDefault="004346F3" w:rsidP="00802ABC">
            <w:pPr>
              <w:spacing w:after="0"/>
              <w:jc w:val="center"/>
              <w:rPr>
                <w:lang w:val="zh-CN"/>
              </w:rPr>
            </w:pPr>
            <w:r w:rsidRPr="00536CFD">
              <w:rPr>
                <w:lang w:val="zh-CN"/>
              </w:rPr>
              <w:t>133.27</w:t>
            </w:r>
          </w:p>
        </w:tc>
      </w:tr>
      <w:tr w:rsidR="004346F3" w:rsidRPr="00C64ECB" w14:paraId="59BF837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267D294"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340636E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D76270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68C3CD7F" w14:textId="77777777" w:rsidR="004346F3" w:rsidRPr="00536CFD" w:rsidRDefault="004346F3" w:rsidP="00802ABC">
            <w:pPr>
              <w:spacing w:after="0"/>
              <w:jc w:val="center"/>
              <w:rPr>
                <w:lang w:val="zh-CN"/>
              </w:rPr>
            </w:pPr>
            <w:r w:rsidRPr="00536CFD">
              <w:rPr>
                <w:lang w:val="zh-CN"/>
              </w:rPr>
              <w:t>93.83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AAF6385" w14:textId="77777777" w:rsidR="004346F3" w:rsidRPr="00536CFD" w:rsidRDefault="004346F3" w:rsidP="00802ABC">
            <w:pPr>
              <w:spacing w:after="0"/>
              <w:jc w:val="center"/>
              <w:rPr>
                <w:lang w:val="zh-CN"/>
              </w:rPr>
            </w:pPr>
            <w:r w:rsidRPr="00536CFD">
              <w:rPr>
                <w:lang w:val="zh-CN"/>
              </w:rPr>
              <w:t>113.44</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7589ABBF" w14:textId="77777777" w:rsidR="004346F3" w:rsidRPr="00536CFD" w:rsidRDefault="004346F3" w:rsidP="00802ABC">
            <w:pPr>
              <w:spacing w:after="0"/>
              <w:jc w:val="center"/>
              <w:rPr>
                <w:lang w:val="zh-CN"/>
              </w:rPr>
            </w:pPr>
            <w:r w:rsidRPr="00536CFD">
              <w:rPr>
                <w:lang w:val="zh-CN"/>
              </w:rPr>
              <w:t>154.94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D8EB4B3" w14:textId="77777777" w:rsidR="004346F3" w:rsidRPr="00536CFD" w:rsidRDefault="004346F3" w:rsidP="00802ABC">
            <w:pPr>
              <w:spacing w:after="0"/>
              <w:jc w:val="center"/>
              <w:rPr>
                <w:lang w:val="zh-CN"/>
              </w:rPr>
            </w:pPr>
            <w:r w:rsidRPr="00536CFD">
              <w:rPr>
                <w:lang w:val="zh-CN"/>
              </w:rPr>
              <w:t>163.63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6B709AD" w14:textId="77777777" w:rsidR="004346F3" w:rsidRPr="00536CFD" w:rsidRDefault="004346F3" w:rsidP="00802ABC">
            <w:pPr>
              <w:spacing w:after="0"/>
              <w:jc w:val="center"/>
              <w:rPr>
                <w:lang w:val="zh-CN"/>
              </w:rPr>
            </w:pPr>
            <w:r w:rsidRPr="00536CFD">
              <w:rPr>
                <w:lang w:val="zh-CN"/>
              </w:rPr>
              <w:t>67.76</w:t>
            </w:r>
          </w:p>
        </w:tc>
        <w:tc>
          <w:tcPr>
            <w:tcW w:w="714" w:type="dxa"/>
            <w:tcBorders>
              <w:top w:val="single" w:sz="4" w:space="0" w:color="auto"/>
              <w:left w:val="nil"/>
              <w:bottom w:val="single" w:sz="4" w:space="0" w:color="auto"/>
              <w:right w:val="single" w:sz="4" w:space="0" w:color="auto"/>
            </w:tcBorders>
            <w:shd w:val="clear" w:color="auto" w:fill="auto"/>
            <w:vAlign w:val="bottom"/>
          </w:tcPr>
          <w:p w14:paraId="56FAF2BC" w14:textId="77777777" w:rsidR="004346F3" w:rsidRPr="00536CFD" w:rsidRDefault="004346F3" w:rsidP="00802ABC">
            <w:pPr>
              <w:spacing w:after="0"/>
              <w:jc w:val="center"/>
              <w:rPr>
                <w:lang w:val="zh-CN"/>
              </w:rPr>
            </w:pPr>
            <w:r w:rsidRPr="00536CFD">
              <w:rPr>
                <w:lang w:val="zh-CN"/>
              </w:rPr>
              <w:t>95.79</w:t>
            </w:r>
          </w:p>
        </w:tc>
        <w:tc>
          <w:tcPr>
            <w:tcW w:w="719" w:type="dxa"/>
            <w:tcBorders>
              <w:top w:val="single" w:sz="4" w:space="0" w:color="auto"/>
              <w:left w:val="nil"/>
              <w:bottom w:val="single" w:sz="4" w:space="0" w:color="auto"/>
              <w:right w:val="single" w:sz="4" w:space="0" w:color="auto"/>
            </w:tcBorders>
            <w:shd w:val="clear" w:color="auto" w:fill="auto"/>
            <w:vAlign w:val="bottom"/>
          </w:tcPr>
          <w:p w14:paraId="743EFBAC" w14:textId="77777777" w:rsidR="004346F3" w:rsidRPr="00536CFD" w:rsidRDefault="004346F3" w:rsidP="00802ABC">
            <w:pPr>
              <w:spacing w:after="0"/>
              <w:jc w:val="center"/>
              <w:rPr>
                <w:lang w:val="zh-CN"/>
              </w:rPr>
            </w:pPr>
            <w:r w:rsidRPr="00536CFD">
              <w:rPr>
                <w:lang w:val="zh-CN"/>
              </w:rPr>
              <w:t>140.37</w:t>
            </w:r>
          </w:p>
        </w:tc>
        <w:tc>
          <w:tcPr>
            <w:tcW w:w="719" w:type="dxa"/>
            <w:tcBorders>
              <w:top w:val="single" w:sz="4" w:space="0" w:color="auto"/>
              <w:left w:val="nil"/>
              <w:bottom w:val="single" w:sz="4" w:space="0" w:color="auto"/>
              <w:right w:val="single" w:sz="4" w:space="0" w:color="auto"/>
            </w:tcBorders>
            <w:shd w:val="clear" w:color="auto" w:fill="auto"/>
            <w:vAlign w:val="bottom"/>
          </w:tcPr>
          <w:p w14:paraId="2F49EC79" w14:textId="77777777" w:rsidR="004346F3" w:rsidRPr="00536CFD" w:rsidRDefault="004346F3" w:rsidP="00802ABC">
            <w:pPr>
              <w:spacing w:after="0"/>
              <w:jc w:val="center"/>
              <w:rPr>
                <w:lang w:val="zh-CN"/>
              </w:rPr>
            </w:pPr>
            <w:r w:rsidRPr="00536CFD">
              <w:rPr>
                <w:lang w:val="zh-CN"/>
              </w:rPr>
              <w:t>158.94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201A284" w14:textId="77777777" w:rsidR="004346F3" w:rsidRPr="00536CFD" w:rsidRDefault="004346F3" w:rsidP="00802ABC">
            <w:pPr>
              <w:spacing w:after="0"/>
              <w:jc w:val="center"/>
              <w:rPr>
                <w:lang w:val="zh-CN"/>
              </w:rPr>
            </w:pPr>
            <w:r w:rsidRPr="00536CFD">
              <w:rPr>
                <w:lang w:val="zh-CN"/>
              </w:rPr>
              <w:t>53.37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3C48382" w14:textId="77777777" w:rsidR="004346F3" w:rsidRPr="00536CFD" w:rsidRDefault="004346F3" w:rsidP="00802ABC">
            <w:pPr>
              <w:spacing w:after="0"/>
              <w:jc w:val="center"/>
              <w:rPr>
                <w:lang w:val="zh-CN"/>
              </w:rPr>
            </w:pPr>
            <w:r w:rsidRPr="00536CFD">
              <w:rPr>
                <w:lang w:val="zh-CN"/>
              </w:rPr>
              <w:t>86.73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4F5FF19" w14:textId="77777777" w:rsidR="004346F3" w:rsidRPr="00536CFD" w:rsidRDefault="004346F3" w:rsidP="00802ABC">
            <w:pPr>
              <w:spacing w:after="0"/>
              <w:jc w:val="center"/>
              <w:rPr>
                <w:lang w:val="zh-CN"/>
              </w:rPr>
            </w:pPr>
            <w:r w:rsidRPr="00536CFD">
              <w:rPr>
                <w:lang w:val="zh-CN"/>
              </w:rPr>
              <w:t>129.68</w:t>
            </w:r>
          </w:p>
        </w:tc>
        <w:tc>
          <w:tcPr>
            <w:tcW w:w="676" w:type="dxa"/>
            <w:tcBorders>
              <w:top w:val="single" w:sz="4" w:space="0" w:color="auto"/>
              <w:left w:val="nil"/>
              <w:bottom w:val="single" w:sz="4" w:space="0" w:color="auto"/>
              <w:right w:val="single" w:sz="4" w:space="0" w:color="auto"/>
            </w:tcBorders>
            <w:shd w:val="clear" w:color="auto" w:fill="auto"/>
            <w:vAlign w:val="bottom"/>
          </w:tcPr>
          <w:p w14:paraId="5C4838FF" w14:textId="77777777" w:rsidR="004346F3" w:rsidRPr="00536CFD" w:rsidRDefault="004346F3" w:rsidP="00802ABC">
            <w:pPr>
              <w:spacing w:after="0"/>
              <w:jc w:val="center"/>
              <w:rPr>
                <w:lang w:val="zh-CN"/>
              </w:rPr>
            </w:pPr>
            <w:r w:rsidRPr="00536CFD">
              <w:rPr>
                <w:lang w:val="zh-CN"/>
              </w:rPr>
              <w:t>154.86</w:t>
            </w:r>
          </w:p>
        </w:tc>
      </w:tr>
      <w:tr w:rsidR="004346F3" w:rsidRPr="00C64ECB" w14:paraId="35D40521"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322B370"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54A8F4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8685EF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77108D23" w14:textId="77777777" w:rsidR="004346F3" w:rsidRPr="00536CFD" w:rsidRDefault="004346F3" w:rsidP="00802ABC">
            <w:pPr>
              <w:spacing w:after="0"/>
              <w:jc w:val="center"/>
              <w:rPr>
                <w:lang w:val="zh-CN"/>
              </w:rPr>
            </w:pPr>
            <w:r w:rsidRPr="00536CFD">
              <w:rPr>
                <w:lang w:val="zh-CN"/>
              </w:rPr>
              <w:t>62.52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1035C45" w14:textId="77777777" w:rsidR="004346F3" w:rsidRPr="00536CFD" w:rsidRDefault="004346F3" w:rsidP="00802ABC">
            <w:pPr>
              <w:spacing w:after="0"/>
              <w:jc w:val="center"/>
              <w:rPr>
                <w:lang w:val="zh-CN"/>
              </w:rPr>
            </w:pPr>
            <w:r w:rsidRPr="00536CFD">
              <w:rPr>
                <w:lang w:val="zh-CN"/>
              </w:rPr>
              <w:t>78.57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8F793EB" w14:textId="77777777" w:rsidR="004346F3" w:rsidRPr="00536CFD" w:rsidRDefault="004346F3" w:rsidP="00802ABC">
            <w:pPr>
              <w:spacing w:after="0"/>
              <w:jc w:val="center"/>
              <w:rPr>
                <w:lang w:val="zh-CN"/>
              </w:rPr>
            </w:pPr>
            <w:r w:rsidRPr="00536CFD">
              <w:rPr>
                <w:lang w:val="zh-CN"/>
              </w:rPr>
              <w:t>127.32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CF2517A" w14:textId="77777777" w:rsidR="004346F3" w:rsidRPr="00536CFD" w:rsidRDefault="004346F3" w:rsidP="00802ABC">
            <w:pPr>
              <w:spacing w:after="0"/>
              <w:jc w:val="center"/>
              <w:rPr>
                <w:lang w:val="zh-CN"/>
              </w:rPr>
            </w:pPr>
            <w:r w:rsidRPr="00536CFD">
              <w:rPr>
                <w:lang w:val="zh-CN"/>
              </w:rPr>
              <w:t>139.54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72C6427" w14:textId="77777777" w:rsidR="004346F3" w:rsidRPr="00536CFD" w:rsidRDefault="004346F3" w:rsidP="00802ABC">
            <w:pPr>
              <w:spacing w:after="0"/>
              <w:jc w:val="center"/>
              <w:rPr>
                <w:lang w:val="zh-CN"/>
              </w:rPr>
            </w:pPr>
            <w:r w:rsidRPr="00536CFD">
              <w:rPr>
                <w:lang w:val="zh-CN"/>
              </w:rPr>
              <w:t>35.67</w:t>
            </w:r>
          </w:p>
        </w:tc>
        <w:tc>
          <w:tcPr>
            <w:tcW w:w="714" w:type="dxa"/>
            <w:tcBorders>
              <w:top w:val="single" w:sz="4" w:space="0" w:color="auto"/>
              <w:left w:val="nil"/>
              <w:bottom w:val="single" w:sz="4" w:space="0" w:color="auto"/>
              <w:right w:val="single" w:sz="4" w:space="0" w:color="auto"/>
            </w:tcBorders>
            <w:shd w:val="clear" w:color="auto" w:fill="auto"/>
            <w:vAlign w:val="bottom"/>
          </w:tcPr>
          <w:p w14:paraId="1D0AF3CD" w14:textId="77777777" w:rsidR="004346F3" w:rsidRPr="00536CFD" w:rsidRDefault="004346F3" w:rsidP="00802ABC">
            <w:pPr>
              <w:spacing w:after="0"/>
              <w:jc w:val="center"/>
              <w:rPr>
                <w:lang w:val="zh-CN"/>
              </w:rPr>
            </w:pPr>
            <w:r w:rsidRPr="00536CFD">
              <w:rPr>
                <w:lang w:val="zh-CN"/>
              </w:rPr>
              <w:t>62.49</w:t>
            </w:r>
          </w:p>
        </w:tc>
        <w:tc>
          <w:tcPr>
            <w:tcW w:w="719" w:type="dxa"/>
            <w:tcBorders>
              <w:top w:val="single" w:sz="4" w:space="0" w:color="auto"/>
              <w:left w:val="nil"/>
              <w:bottom w:val="single" w:sz="4" w:space="0" w:color="auto"/>
              <w:right w:val="single" w:sz="4" w:space="0" w:color="auto"/>
            </w:tcBorders>
            <w:shd w:val="clear" w:color="auto" w:fill="auto"/>
            <w:vAlign w:val="bottom"/>
          </w:tcPr>
          <w:p w14:paraId="4837CBD3" w14:textId="77777777" w:rsidR="004346F3" w:rsidRPr="00536CFD" w:rsidRDefault="004346F3" w:rsidP="00802ABC">
            <w:pPr>
              <w:spacing w:after="0"/>
              <w:jc w:val="center"/>
              <w:rPr>
                <w:lang w:val="zh-CN"/>
              </w:rPr>
            </w:pPr>
            <w:r w:rsidRPr="00536CFD">
              <w:rPr>
                <w:lang w:val="zh-CN"/>
              </w:rPr>
              <w:t>106.23</w:t>
            </w:r>
          </w:p>
        </w:tc>
        <w:tc>
          <w:tcPr>
            <w:tcW w:w="719" w:type="dxa"/>
            <w:tcBorders>
              <w:top w:val="single" w:sz="4" w:space="0" w:color="auto"/>
              <w:left w:val="nil"/>
              <w:bottom w:val="single" w:sz="4" w:space="0" w:color="auto"/>
              <w:right w:val="single" w:sz="4" w:space="0" w:color="auto"/>
            </w:tcBorders>
            <w:shd w:val="clear" w:color="auto" w:fill="auto"/>
            <w:vAlign w:val="bottom"/>
          </w:tcPr>
          <w:p w14:paraId="1F933B04" w14:textId="77777777" w:rsidR="004346F3" w:rsidRPr="00536CFD" w:rsidRDefault="004346F3" w:rsidP="00802ABC">
            <w:pPr>
              <w:spacing w:after="0"/>
              <w:jc w:val="center"/>
              <w:rPr>
                <w:lang w:val="zh-CN"/>
              </w:rPr>
            </w:pPr>
            <w:r w:rsidRPr="00536CFD">
              <w:rPr>
                <w:lang w:val="zh-CN"/>
              </w:rPr>
              <w:t>131.48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E4BC85D" w14:textId="77777777" w:rsidR="004346F3" w:rsidRPr="00536CFD" w:rsidRDefault="004346F3" w:rsidP="00802ABC">
            <w:pPr>
              <w:spacing w:after="0"/>
              <w:jc w:val="center"/>
              <w:rPr>
                <w:lang w:val="zh-CN"/>
              </w:rPr>
            </w:pPr>
            <w:r w:rsidRPr="00536CFD">
              <w:rPr>
                <w:lang w:val="zh-CN"/>
              </w:rPr>
              <w:t>25.15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C5295AA" w14:textId="77777777" w:rsidR="004346F3" w:rsidRPr="00536CFD" w:rsidRDefault="004346F3" w:rsidP="00802ABC">
            <w:pPr>
              <w:spacing w:after="0"/>
              <w:jc w:val="center"/>
              <w:rPr>
                <w:lang w:val="zh-CN"/>
              </w:rPr>
            </w:pPr>
            <w:r w:rsidRPr="00536CFD">
              <w:rPr>
                <w:lang w:val="zh-CN"/>
              </w:rPr>
              <w:t>52.63</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7447A98" w14:textId="77777777" w:rsidR="004346F3" w:rsidRPr="00536CFD" w:rsidRDefault="004346F3" w:rsidP="00802ABC">
            <w:pPr>
              <w:spacing w:after="0"/>
              <w:jc w:val="center"/>
              <w:rPr>
                <w:lang w:val="zh-CN"/>
              </w:rPr>
            </w:pPr>
            <w:r w:rsidRPr="00536CFD">
              <w:rPr>
                <w:lang w:val="zh-CN"/>
              </w:rPr>
              <w:t>90.34</w:t>
            </w:r>
          </w:p>
        </w:tc>
        <w:tc>
          <w:tcPr>
            <w:tcW w:w="676" w:type="dxa"/>
            <w:tcBorders>
              <w:top w:val="single" w:sz="4" w:space="0" w:color="auto"/>
              <w:left w:val="nil"/>
              <w:bottom w:val="single" w:sz="4" w:space="0" w:color="auto"/>
              <w:right w:val="single" w:sz="4" w:space="0" w:color="auto"/>
            </w:tcBorders>
            <w:shd w:val="clear" w:color="auto" w:fill="auto"/>
            <w:vAlign w:val="bottom"/>
          </w:tcPr>
          <w:p w14:paraId="591FD8FB" w14:textId="77777777" w:rsidR="004346F3" w:rsidRPr="00536CFD" w:rsidRDefault="004346F3" w:rsidP="00802ABC">
            <w:pPr>
              <w:spacing w:after="0"/>
              <w:jc w:val="center"/>
              <w:rPr>
                <w:lang w:val="zh-CN"/>
              </w:rPr>
            </w:pPr>
            <w:r w:rsidRPr="00536CFD">
              <w:rPr>
                <w:lang w:val="zh-CN"/>
              </w:rPr>
              <w:t>127.29</w:t>
            </w:r>
          </w:p>
        </w:tc>
      </w:tr>
      <w:tr w:rsidR="004346F3" w:rsidRPr="00C64ECB" w14:paraId="2ED37BD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1D584B4"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1750AC5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0CF0028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6E9E0A73" w14:textId="77777777" w:rsidR="004346F3" w:rsidRPr="00536CFD" w:rsidRDefault="004346F3" w:rsidP="00802ABC">
            <w:pPr>
              <w:spacing w:after="0"/>
              <w:jc w:val="center"/>
              <w:rPr>
                <w:lang w:val="zh-CN"/>
              </w:rPr>
            </w:pPr>
            <w:r w:rsidRPr="00536CFD">
              <w:rPr>
                <w:lang w:val="zh-CN"/>
              </w:rPr>
              <w:t>0.034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003BEF6" w14:textId="77777777" w:rsidR="004346F3" w:rsidRPr="00536CFD" w:rsidRDefault="004346F3" w:rsidP="00802ABC">
            <w:pPr>
              <w:spacing w:after="0"/>
              <w:jc w:val="center"/>
              <w:rPr>
                <w:lang w:val="zh-CN"/>
              </w:rPr>
            </w:pPr>
            <w:r w:rsidRPr="00536CFD">
              <w:rPr>
                <w:lang w:val="zh-CN"/>
              </w:rPr>
              <w:t>0.029</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AC1AD78" w14:textId="77777777" w:rsidR="004346F3" w:rsidRPr="00536CFD" w:rsidRDefault="004346F3" w:rsidP="00802ABC">
            <w:pPr>
              <w:spacing w:after="0"/>
              <w:jc w:val="center"/>
              <w:rPr>
                <w:lang w:val="zh-CN"/>
              </w:rPr>
            </w:pPr>
            <w:r w:rsidRPr="00536CFD">
              <w:rPr>
                <w:lang w:val="zh-CN"/>
              </w:rPr>
              <w:t>0.02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328C716" w14:textId="77777777" w:rsidR="004346F3" w:rsidRPr="00536CFD" w:rsidRDefault="004346F3" w:rsidP="00802ABC">
            <w:pPr>
              <w:spacing w:after="0"/>
              <w:jc w:val="center"/>
              <w:rPr>
                <w:lang w:val="zh-CN"/>
              </w:rPr>
            </w:pPr>
            <w:r w:rsidRPr="00536CFD">
              <w:rPr>
                <w:lang w:val="zh-CN"/>
              </w:rPr>
              <w:t>0.02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E6A5F72" w14:textId="77777777" w:rsidR="004346F3" w:rsidRPr="00536CFD" w:rsidRDefault="004346F3" w:rsidP="00802ABC">
            <w:pPr>
              <w:spacing w:after="0"/>
              <w:jc w:val="center"/>
              <w:rPr>
                <w:lang w:val="zh-CN"/>
              </w:rPr>
            </w:pPr>
            <w:r w:rsidRPr="00536CFD">
              <w:rPr>
                <w:lang w:val="zh-CN"/>
              </w:rPr>
              <w:t>0.039</w:t>
            </w:r>
          </w:p>
        </w:tc>
        <w:tc>
          <w:tcPr>
            <w:tcW w:w="714" w:type="dxa"/>
            <w:tcBorders>
              <w:top w:val="single" w:sz="4" w:space="0" w:color="auto"/>
              <w:left w:val="nil"/>
              <w:bottom w:val="single" w:sz="4" w:space="0" w:color="auto"/>
              <w:right w:val="single" w:sz="4" w:space="0" w:color="auto"/>
            </w:tcBorders>
            <w:shd w:val="clear" w:color="auto" w:fill="auto"/>
            <w:vAlign w:val="bottom"/>
          </w:tcPr>
          <w:p w14:paraId="01DC8B0F" w14:textId="77777777" w:rsidR="004346F3" w:rsidRPr="00536CFD" w:rsidRDefault="004346F3" w:rsidP="00802ABC">
            <w:pPr>
              <w:spacing w:after="0"/>
              <w:jc w:val="center"/>
              <w:rPr>
                <w:lang w:val="zh-CN"/>
              </w:rPr>
            </w:pPr>
            <w:r w:rsidRPr="00536CFD">
              <w:rPr>
                <w:lang w:val="zh-CN"/>
              </w:rPr>
              <w:t>0.034</w:t>
            </w:r>
          </w:p>
        </w:tc>
        <w:tc>
          <w:tcPr>
            <w:tcW w:w="719" w:type="dxa"/>
            <w:tcBorders>
              <w:top w:val="single" w:sz="4" w:space="0" w:color="auto"/>
              <w:left w:val="nil"/>
              <w:bottom w:val="single" w:sz="4" w:space="0" w:color="auto"/>
              <w:right w:val="single" w:sz="4" w:space="0" w:color="auto"/>
            </w:tcBorders>
            <w:shd w:val="clear" w:color="auto" w:fill="auto"/>
            <w:vAlign w:val="bottom"/>
          </w:tcPr>
          <w:p w14:paraId="04CF6EA2" w14:textId="77777777" w:rsidR="004346F3" w:rsidRPr="00536CFD" w:rsidRDefault="004346F3" w:rsidP="00802ABC">
            <w:pPr>
              <w:spacing w:after="0"/>
              <w:jc w:val="center"/>
              <w:rPr>
                <w:lang w:val="zh-CN"/>
              </w:rPr>
            </w:pPr>
            <w:r w:rsidRPr="00536CFD">
              <w:rPr>
                <w:lang w:val="zh-CN"/>
              </w:rPr>
              <w:t>0.021</w:t>
            </w:r>
          </w:p>
        </w:tc>
        <w:tc>
          <w:tcPr>
            <w:tcW w:w="719" w:type="dxa"/>
            <w:tcBorders>
              <w:top w:val="single" w:sz="4" w:space="0" w:color="auto"/>
              <w:left w:val="nil"/>
              <w:bottom w:val="single" w:sz="4" w:space="0" w:color="auto"/>
              <w:right w:val="single" w:sz="4" w:space="0" w:color="auto"/>
            </w:tcBorders>
            <w:shd w:val="clear" w:color="auto" w:fill="auto"/>
            <w:vAlign w:val="bottom"/>
          </w:tcPr>
          <w:p w14:paraId="24D3E877" w14:textId="77777777" w:rsidR="004346F3" w:rsidRPr="00536CFD" w:rsidRDefault="004346F3" w:rsidP="00802ABC">
            <w:pPr>
              <w:spacing w:after="0"/>
              <w:jc w:val="center"/>
              <w:rPr>
                <w:lang w:val="zh-CN"/>
              </w:rPr>
            </w:pPr>
            <w:r w:rsidRPr="00536CFD">
              <w:rPr>
                <w:lang w:val="zh-CN"/>
              </w:rPr>
              <w:t>0.021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089DCC2" w14:textId="77777777" w:rsidR="004346F3" w:rsidRPr="00536CFD" w:rsidRDefault="004346F3" w:rsidP="00802ABC">
            <w:pPr>
              <w:spacing w:after="0"/>
              <w:jc w:val="center"/>
              <w:rPr>
                <w:lang w:val="zh-CN"/>
              </w:rPr>
            </w:pPr>
            <w:r w:rsidRPr="00536CFD">
              <w:rPr>
                <w:lang w:val="zh-CN"/>
              </w:rPr>
              <w:t>0.05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3E6F0A1" w14:textId="77777777" w:rsidR="004346F3" w:rsidRPr="00536CFD" w:rsidRDefault="004346F3" w:rsidP="00802ABC">
            <w:pPr>
              <w:spacing w:after="0"/>
              <w:jc w:val="center"/>
              <w:rPr>
                <w:lang w:val="zh-CN"/>
              </w:rPr>
            </w:pPr>
            <w:r w:rsidRPr="00536CFD">
              <w:rPr>
                <w:lang w:val="zh-CN"/>
              </w:rPr>
              <w:t>0.035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DAA332A" w14:textId="77777777" w:rsidR="004346F3" w:rsidRPr="00536CFD" w:rsidRDefault="004346F3" w:rsidP="00802ABC">
            <w:pPr>
              <w:spacing w:after="0"/>
              <w:jc w:val="center"/>
              <w:rPr>
                <w:lang w:val="zh-CN"/>
              </w:rPr>
            </w:pPr>
            <w:r w:rsidRPr="00536CFD">
              <w:rPr>
                <w:lang w:val="zh-CN"/>
              </w:rPr>
              <w:t>0.022</w:t>
            </w:r>
          </w:p>
        </w:tc>
        <w:tc>
          <w:tcPr>
            <w:tcW w:w="676" w:type="dxa"/>
            <w:tcBorders>
              <w:top w:val="single" w:sz="4" w:space="0" w:color="auto"/>
              <w:left w:val="nil"/>
              <w:bottom w:val="single" w:sz="4" w:space="0" w:color="auto"/>
              <w:right w:val="single" w:sz="4" w:space="0" w:color="auto"/>
            </w:tcBorders>
            <w:shd w:val="clear" w:color="auto" w:fill="auto"/>
            <w:vAlign w:val="bottom"/>
          </w:tcPr>
          <w:p w14:paraId="0579DB01" w14:textId="77777777" w:rsidR="004346F3" w:rsidRPr="00536CFD" w:rsidRDefault="004346F3" w:rsidP="00802ABC">
            <w:pPr>
              <w:spacing w:after="0"/>
              <w:jc w:val="center"/>
              <w:rPr>
                <w:lang w:val="zh-CN"/>
              </w:rPr>
            </w:pPr>
            <w:r w:rsidRPr="00536CFD">
              <w:rPr>
                <w:lang w:val="zh-CN"/>
              </w:rPr>
              <w:t>0.021</w:t>
            </w:r>
          </w:p>
        </w:tc>
      </w:tr>
      <w:tr w:rsidR="004346F3" w:rsidRPr="00C64ECB" w14:paraId="2DDA902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243F0EF"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37EA8E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D22D34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2C112DF2" w14:textId="77777777" w:rsidR="004346F3" w:rsidRPr="00536CFD" w:rsidRDefault="004346F3" w:rsidP="00802ABC">
            <w:pPr>
              <w:spacing w:after="0"/>
              <w:jc w:val="center"/>
              <w:rPr>
                <w:lang w:val="zh-CN"/>
              </w:rPr>
            </w:pPr>
            <w:r w:rsidRPr="00536CFD">
              <w:rPr>
                <w:lang w:val="zh-CN"/>
              </w:rPr>
              <w:t>0.066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A1C669C" w14:textId="77777777" w:rsidR="004346F3" w:rsidRPr="00536CFD" w:rsidRDefault="004346F3" w:rsidP="00802ABC">
            <w:pPr>
              <w:spacing w:after="0"/>
              <w:jc w:val="center"/>
              <w:rPr>
                <w:lang w:val="zh-CN"/>
              </w:rPr>
            </w:pPr>
            <w:r w:rsidRPr="00536CFD">
              <w:rPr>
                <w:lang w:val="zh-CN"/>
              </w:rPr>
              <w:t>0.047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E9927A8" w14:textId="77777777" w:rsidR="004346F3" w:rsidRPr="00536CFD" w:rsidRDefault="004346F3" w:rsidP="00802ABC">
            <w:pPr>
              <w:spacing w:after="0"/>
              <w:jc w:val="center"/>
              <w:rPr>
                <w:lang w:val="zh-CN"/>
              </w:rPr>
            </w:pPr>
            <w:r w:rsidRPr="00536CFD">
              <w:rPr>
                <w:lang w:val="zh-CN"/>
              </w:rPr>
              <w:t>0.027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49323F8" w14:textId="77777777" w:rsidR="004346F3" w:rsidRPr="00536CFD" w:rsidRDefault="004346F3" w:rsidP="00802ABC">
            <w:pPr>
              <w:spacing w:after="0"/>
              <w:jc w:val="center"/>
              <w:rPr>
                <w:lang w:val="zh-CN"/>
              </w:rPr>
            </w:pPr>
            <w:r w:rsidRPr="00536CFD">
              <w:rPr>
                <w:lang w:val="zh-CN"/>
              </w:rPr>
              <w:t>0.025</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BD7D1AC" w14:textId="77777777" w:rsidR="004346F3" w:rsidRPr="00536CFD" w:rsidRDefault="004346F3" w:rsidP="00802ABC">
            <w:pPr>
              <w:spacing w:after="0"/>
              <w:jc w:val="center"/>
              <w:rPr>
                <w:lang w:val="zh-CN"/>
              </w:rPr>
            </w:pPr>
            <w:r w:rsidRPr="00536CFD">
              <w:rPr>
                <w:lang w:val="zh-CN"/>
              </w:rPr>
              <w:t>0.148</w:t>
            </w:r>
          </w:p>
        </w:tc>
        <w:tc>
          <w:tcPr>
            <w:tcW w:w="714" w:type="dxa"/>
            <w:tcBorders>
              <w:top w:val="single" w:sz="4" w:space="0" w:color="auto"/>
              <w:left w:val="nil"/>
              <w:bottom w:val="single" w:sz="4" w:space="0" w:color="auto"/>
              <w:right w:val="single" w:sz="4" w:space="0" w:color="auto"/>
            </w:tcBorders>
            <w:shd w:val="clear" w:color="auto" w:fill="auto"/>
            <w:vAlign w:val="bottom"/>
          </w:tcPr>
          <w:p w14:paraId="31939D5C" w14:textId="77777777" w:rsidR="004346F3" w:rsidRPr="00536CFD" w:rsidRDefault="004346F3" w:rsidP="00802ABC">
            <w:pPr>
              <w:spacing w:after="0"/>
              <w:jc w:val="center"/>
              <w:rPr>
                <w:lang w:val="zh-CN"/>
              </w:rPr>
            </w:pPr>
            <w:r w:rsidRPr="00536CFD">
              <w:rPr>
                <w:lang w:val="zh-CN"/>
              </w:rPr>
              <w:t>0.066</w:t>
            </w:r>
          </w:p>
        </w:tc>
        <w:tc>
          <w:tcPr>
            <w:tcW w:w="719" w:type="dxa"/>
            <w:tcBorders>
              <w:top w:val="single" w:sz="4" w:space="0" w:color="auto"/>
              <w:left w:val="nil"/>
              <w:bottom w:val="single" w:sz="4" w:space="0" w:color="auto"/>
              <w:right w:val="single" w:sz="4" w:space="0" w:color="auto"/>
            </w:tcBorders>
            <w:shd w:val="clear" w:color="auto" w:fill="auto"/>
            <w:vAlign w:val="bottom"/>
          </w:tcPr>
          <w:p w14:paraId="07089F27" w14:textId="77777777" w:rsidR="004346F3" w:rsidRPr="00536CFD" w:rsidRDefault="004346F3" w:rsidP="00802ABC">
            <w:pPr>
              <w:spacing w:after="0"/>
              <w:jc w:val="center"/>
              <w:rPr>
                <w:lang w:val="zh-CN"/>
              </w:rPr>
            </w:pPr>
            <w:r w:rsidRPr="00536CFD">
              <w:rPr>
                <w:lang w:val="zh-CN"/>
              </w:rPr>
              <w:t>0.035</w:t>
            </w:r>
          </w:p>
        </w:tc>
        <w:tc>
          <w:tcPr>
            <w:tcW w:w="719" w:type="dxa"/>
            <w:tcBorders>
              <w:top w:val="single" w:sz="4" w:space="0" w:color="auto"/>
              <w:left w:val="nil"/>
              <w:bottom w:val="single" w:sz="4" w:space="0" w:color="auto"/>
              <w:right w:val="single" w:sz="4" w:space="0" w:color="auto"/>
            </w:tcBorders>
            <w:shd w:val="clear" w:color="auto" w:fill="auto"/>
            <w:vAlign w:val="bottom"/>
          </w:tcPr>
          <w:p w14:paraId="70CE4EA4" w14:textId="77777777" w:rsidR="004346F3" w:rsidRPr="00536CFD" w:rsidRDefault="004346F3" w:rsidP="00802ABC">
            <w:pPr>
              <w:spacing w:after="0"/>
              <w:jc w:val="center"/>
              <w:rPr>
                <w:lang w:val="zh-CN"/>
              </w:rPr>
            </w:pPr>
            <w:r w:rsidRPr="00536CFD">
              <w:rPr>
                <w:lang w:val="zh-CN"/>
              </w:rPr>
              <w:t>0.027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5ABE19D" w14:textId="77777777" w:rsidR="004346F3" w:rsidRPr="00536CFD" w:rsidRDefault="004346F3" w:rsidP="00802ABC">
            <w:pPr>
              <w:spacing w:after="0"/>
              <w:jc w:val="center"/>
              <w:rPr>
                <w:lang w:val="zh-CN"/>
              </w:rPr>
            </w:pPr>
            <w:r w:rsidRPr="00536CFD">
              <w:rPr>
                <w:lang w:val="zh-CN"/>
              </w:rPr>
              <w:t>0.23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DFB1D94" w14:textId="77777777" w:rsidR="004346F3" w:rsidRPr="00536CFD" w:rsidRDefault="004346F3" w:rsidP="00802ABC">
            <w:pPr>
              <w:spacing w:after="0"/>
              <w:jc w:val="center"/>
              <w:rPr>
                <w:lang w:val="zh-CN"/>
              </w:rPr>
            </w:pPr>
            <w:r w:rsidRPr="00536CFD">
              <w:rPr>
                <w:lang w:val="zh-CN"/>
              </w:rPr>
              <w:t>0.082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5AA6C90" w14:textId="77777777" w:rsidR="004346F3" w:rsidRPr="00536CFD" w:rsidRDefault="004346F3" w:rsidP="00802ABC">
            <w:pPr>
              <w:spacing w:after="0"/>
              <w:jc w:val="center"/>
              <w:rPr>
                <w:lang w:val="zh-CN"/>
              </w:rPr>
            </w:pPr>
            <w:r w:rsidRPr="00536CFD">
              <w:rPr>
                <w:lang w:val="zh-CN"/>
              </w:rPr>
              <w:t>0.046</w:t>
            </w:r>
          </w:p>
        </w:tc>
        <w:tc>
          <w:tcPr>
            <w:tcW w:w="676" w:type="dxa"/>
            <w:tcBorders>
              <w:top w:val="single" w:sz="4" w:space="0" w:color="auto"/>
              <w:left w:val="nil"/>
              <w:bottom w:val="single" w:sz="4" w:space="0" w:color="auto"/>
              <w:right w:val="single" w:sz="4" w:space="0" w:color="auto"/>
            </w:tcBorders>
            <w:shd w:val="clear" w:color="auto" w:fill="auto"/>
            <w:vAlign w:val="bottom"/>
          </w:tcPr>
          <w:p w14:paraId="3613BA30" w14:textId="77777777" w:rsidR="004346F3" w:rsidRPr="00536CFD" w:rsidRDefault="004346F3" w:rsidP="00802ABC">
            <w:pPr>
              <w:spacing w:after="0"/>
              <w:jc w:val="center"/>
              <w:rPr>
                <w:lang w:val="zh-CN"/>
              </w:rPr>
            </w:pPr>
            <w:r w:rsidRPr="00536CFD">
              <w:rPr>
                <w:lang w:val="zh-CN"/>
              </w:rPr>
              <w:t>0.028</w:t>
            </w:r>
          </w:p>
        </w:tc>
      </w:tr>
      <w:tr w:rsidR="004346F3" w:rsidRPr="00C64ECB" w14:paraId="68C7968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4D9751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56E11C2"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AABF28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71830D16" w14:textId="77777777" w:rsidR="004346F3" w:rsidRPr="00536CFD" w:rsidRDefault="004346F3" w:rsidP="00802ABC">
            <w:pPr>
              <w:spacing w:after="0"/>
              <w:jc w:val="center"/>
              <w:rPr>
                <w:lang w:val="zh-CN"/>
              </w:rPr>
            </w:pPr>
            <w:r w:rsidRPr="00536CFD">
              <w:rPr>
                <w:lang w:val="zh-CN"/>
              </w:rPr>
              <w:t>0.348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B99F71C" w14:textId="77777777" w:rsidR="004346F3" w:rsidRPr="00536CFD" w:rsidRDefault="004346F3" w:rsidP="00802ABC">
            <w:pPr>
              <w:spacing w:after="0"/>
              <w:jc w:val="center"/>
              <w:rPr>
                <w:lang w:val="zh-CN"/>
              </w:rPr>
            </w:pPr>
            <w:r w:rsidRPr="00536CFD">
              <w:rPr>
                <w:lang w:val="zh-CN"/>
              </w:rPr>
              <w:t>0.208</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CA9B939" w14:textId="77777777" w:rsidR="004346F3" w:rsidRPr="00536CFD" w:rsidRDefault="004346F3" w:rsidP="00802ABC">
            <w:pPr>
              <w:spacing w:after="0"/>
              <w:jc w:val="center"/>
              <w:rPr>
                <w:lang w:val="zh-CN"/>
              </w:rPr>
            </w:pPr>
            <w:r w:rsidRPr="00536CFD">
              <w:rPr>
                <w:lang w:val="zh-CN"/>
              </w:rPr>
              <w:t>0.1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633A78F" w14:textId="77777777" w:rsidR="004346F3" w:rsidRPr="00536CFD" w:rsidRDefault="004346F3" w:rsidP="00802ABC">
            <w:pPr>
              <w:spacing w:after="0"/>
              <w:jc w:val="center"/>
              <w:rPr>
                <w:lang w:val="zh-CN"/>
              </w:rPr>
            </w:pPr>
            <w:r w:rsidRPr="00536CFD">
              <w:rPr>
                <w:lang w:val="zh-CN"/>
              </w:rPr>
              <w:t>0.062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6AFE97F" w14:textId="77777777" w:rsidR="004346F3" w:rsidRPr="00536CFD" w:rsidRDefault="004346F3" w:rsidP="00802ABC">
            <w:pPr>
              <w:spacing w:after="0"/>
              <w:jc w:val="center"/>
              <w:rPr>
                <w:lang w:val="zh-CN"/>
              </w:rPr>
            </w:pPr>
            <w:r w:rsidRPr="00536CFD">
              <w:rPr>
                <w:lang w:val="zh-CN"/>
              </w:rPr>
              <w:t>1.862</w:t>
            </w:r>
          </w:p>
        </w:tc>
        <w:tc>
          <w:tcPr>
            <w:tcW w:w="714" w:type="dxa"/>
            <w:tcBorders>
              <w:top w:val="single" w:sz="4" w:space="0" w:color="auto"/>
              <w:left w:val="nil"/>
              <w:bottom w:val="single" w:sz="4" w:space="0" w:color="auto"/>
              <w:right w:val="single" w:sz="4" w:space="0" w:color="auto"/>
            </w:tcBorders>
            <w:shd w:val="clear" w:color="auto" w:fill="auto"/>
            <w:vAlign w:val="bottom"/>
          </w:tcPr>
          <w:p w14:paraId="659D9117" w14:textId="77777777" w:rsidR="004346F3" w:rsidRPr="00536CFD" w:rsidRDefault="004346F3" w:rsidP="00802ABC">
            <w:pPr>
              <w:spacing w:after="0"/>
              <w:jc w:val="center"/>
              <w:rPr>
                <w:lang w:val="zh-CN"/>
              </w:rPr>
            </w:pPr>
            <w:r w:rsidRPr="00536CFD">
              <w:rPr>
                <w:lang w:val="zh-CN"/>
              </w:rPr>
              <w:t>0.359</w:t>
            </w:r>
          </w:p>
        </w:tc>
        <w:tc>
          <w:tcPr>
            <w:tcW w:w="719" w:type="dxa"/>
            <w:tcBorders>
              <w:top w:val="single" w:sz="4" w:space="0" w:color="auto"/>
              <w:left w:val="nil"/>
              <w:bottom w:val="single" w:sz="4" w:space="0" w:color="auto"/>
              <w:right w:val="single" w:sz="4" w:space="0" w:color="auto"/>
            </w:tcBorders>
            <w:shd w:val="clear" w:color="auto" w:fill="auto"/>
            <w:vAlign w:val="bottom"/>
          </w:tcPr>
          <w:p w14:paraId="68D40508" w14:textId="77777777" w:rsidR="004346F3" w:rsidRPr="00536CFD" w:rsidRDefault="004346F3" w:rsidP="00802ABC">
            <w:pPr>
              <w:spacing w:after="0"/>
              <w:jc w:val="center"/>
              <w:rPr>
                <w:lang w:val="zh-CN"/>
              </w:rPr>
            </w:pPr>
            <w:r w:rsidRPr="00536CFD">
              <w:rPr>
                <w:lang w:val="zh-CN"/>
              </w:rPr>
              <w:t>0.188</w:t>
            </w:r>
          </w:p>
        </w:tc>
        <w:tc>
          <w:tcPr>
            <w:tcW w:w="719" w:type="dxa"/>
            <w:tcBorders>
              <w:top w:val="single" w:sz="4" w:space="0" w:color="auto"/>
              <w:left w:val="nil"/>
              <w:bottom w:val="single" w:sz="4" w:space="0" w:color="auto"/>
              <w:right w:val="single" w:sz="4" w:space="0" w:color="auto"/>
            </w:tcBorders>
            <w:shd w:val="clear" w:color="auto" w:fill="auto"/>
            <w:vAlign w:val="bottom"/>
          </w:tcPr>
          <w:p w14:paraId="28D1F067" w14:textId="77777777" w:rsidR="004346F3" w:rsidRPr="00536CFD" w:rsidRDefault="004346F3" w:rsidP="00802ABC">
            <w:pPr>
              <w:spacing w:after="0"/>
              <w:jc w:val="center"/>
              <w:rPr>
                <w:lang w:val="zh-CN"/>
              </w:rPr>
            </w:pPr>
            <w:r w:rsidRPr="00536CFD">
              <w:rPr>
                <w:lang w:val="zh-CN"/>
              </w:rPr>
              <w:t>0.075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90079DC" w14:textId="77777777" w:rsidR="004346F3" w:rsidRPr="00536CFD" w:rsidRDefault="004346F3" w:rsidP="00802ABC">
            <w:pPr>
              <w:spacing w:after="0"/>
              <w:jc w:val="center"/>
              <w:rPr>
                <w:lang w:val="zh-CN"/>
              </w:rPr>
            </w:pPr>
            <w:r w:rsidRPr="00536CFD">
              <w:rPr>
                <w:lang w:val="zh-CN"/>
              </w:rPr>
              <w:t>38.46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24FA99D" w14:textId="77777777" w:rsidR="004346F3" w:rsidRPr="00536CFD" w:rsidRDefault="004346F3" w:rsidP="00802ABC">
            <w:pPr>
              <w:spacing w:after="0"/>
              <w:jc w:val="center"/>
              <w:rPr>
                <w:lang w:val="zh-CN"/>
              </w:rPr>
            </w:pPr>
            <w:r w:rsidRPr="00536CFD">
              <w:rPr>
                <w:lang w:val="zh-CN"/>
              </w:rPr>
              <w:t>0.622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52ACAD3" w14:textId="77777777" w:rsidR="004346F3" w:rsidRPr="00536CFD" w:rsidRDefault="004346F3" w:rsidP="00802ABC">
            <w:pPr>
              <w:spacing w:after="0"/>
              <w:jc w:val="center"/>
              <w:rPr>
                <w:lang w:val="zh-CN"/>
              </w:rPr>
            </w:pPr>
            <w:r w:rsidRPr="00536CFD">
              <w:rPr>
                <w:lang w:val="zh-CN"/>
              </w:rPr>
              <w:t>0.354</w:t>
            </w:r>
          </w:p>
        </w:tc>
        <w:tc>
          <w:tcPr>
            <w:tcW w:w="676" w:type="dxa"/>
            <w:tcBorders>
              <w:top w:val="single" w:sz="4" w:space="0" w:color="auto"/>
              <w:left w:val="nil"/>
              <w:bottom w:val="single" w:sz="4" w:space="0" w:color="auto"/>
              <w:right w:val="single" w:sz="4" w:space="0" w:color="auto"/>
            </w:tcBorders>
            <w:shd w:val="clear" w:color="auto" w:fill="auto"/>
            <w:vAlign w:val="bottom"/>
          </w:tcPr>
          <w:p w14:paraId="55B3AB83" w14:textId="77777777" w:rsidR="004346F3" w:rsidRPr="00536CFD" w:rsidRDefault="004346F3" w:rsidP="00802ABC">
            <w:pPr>
              <w:spacing w:after="0"/>
              <w:jc w:val="center"/>
              <w:rPr>
                <w:lang w:val="zh-CN"/>
              </w:rPr>
            </w:pPr>
            <w:r w:rsidRPr="00536CFD">
              <w:rPr>
                <w:lang w:val="zh-CN"/>
              </w:rPr>
              <w:t>0.083</w:t>
            </w:r>
          </w:p>
        </w:tc>
      </w:tr>
      <w:tr w:rsidR="004346F3" w:rsidRPr="00C64ECB" w14:paraId="618F59A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BE6C65B"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F5480ED"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7E2E53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767FE550" w14:textId="77777777" w:rsidR="004346F3" w:rsidRPr="00536CFD" w:rsidRDefault="004346F3" w:rsidP="00802ABC">
            <w:pPr>
              <w:spacing w:after="0"/>
              <w:jc w:val="center"/>
              <w:rPr>
                <w:lang w:val="zh-CN"/>
              </w:rPr>
            </w:pPr>
            <w:r w:rsidRPr="00536CFD">
              <w:rPr>
                <w:lang w:val="zh-CN"/>
              </w:rPr>
              <w:t>0.117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38D1DB5" w14:textId="77777777" w:rsidR="004346F3" w:rsidRPr="00536CFD" w:rsidRDefault="004346F3" w:rsidP="00802ABC">
            <w:pPr>
              <w:spacing w:after="0"/>
              <w:jc w:val="center"/>
              <w:rPr>
                <w:lang w:val="zh-CN"/>
              </w:rPr>
            </w:pPr>
            <w:r w:rsidRPr="00536CFD">
              <w:rPr>
                <w:lang w:val="zh-CN"/>
              </w:rPr>
              <w:t>0.075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77B9751A" w14:textId="77777777" w:rsidR="004346F3" w:rsidRPr="00536CFD" w:rsidRDefault="004346F3" w:rsidP="00802ABC">
            <w:pPr>
              <w:spacing w:after="0"/>
              <w:jc w:val="center"/>
              <w:rPr>
                <w:lang w:val="zh-CN"/>
              </w:rPr>
            </w:pPr>
            <w:r w:rsidRPr="00536CFD">
              <w:rPr>
                <w:lang w:val="zh-CN"/>
              </w:rPr>
              <w:t>0.041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0CE6A2C" w14:textId="77777777" w:rsidR="004346F3" w:rsidRPr="00536CFD" w:rsidRDefault="004346F3" w:rsidP="00802ABC">
            <w:pPr>
              <w:spacing w:after="0"/>
              <w:jc w:val="center"/>
              <w:rPr>
                <w:lang w:val="zh-CN"/>
              </w:rPr>
            </w:pPr>
            <w:r w:rsidRPr="00536CFD">
              <w:rPr>
                <w:lang w:val="zh-CN"/>
              </w:rPr>
              <w:t>0.031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9CBDA0D" w14:textId="77777777" w:rsidR="004346F3" w:rsidRPr="00536CFD" w:rsidRDefault="004346F3" w:rsidP="00802ABC">
            <w:pPr>
              <w:spacing w:after="0"/>
              <w:jc w:val="center"/>
              <w:rPr>
                <w:lang w:val="zh-CN"/>
              </w:rPr>
            </w:pPr>
            <w:r w:rsidRPr="00536CFD">
              <w:rPr>
                <w:lang w:val="zh-CN"/>
              </w:rPr>
              <w:t>2.353</w:t>
            </w:r>
          </w:p>
        </w:tc>
        <w:tc>
          <w:tcPr>
            <w:tcW w:w="714" w:type="dxa"/>
            <w:tcBorders>
              <w:top w:val="single" w:sz="4" w:space="0" w:color="auto"/>
              <w:left w:val="nil"/>
              <w:bottom w:val="single" w:sz="4" w:space="0" w:color="auto"/>
              <w:right w:val="single" w:sz="4" w:space="0" w:color="auto"/>
            </w:tcBorders>
            <w:shd w:val="clear" w:color="auto" w:fill="auto"/>
            <w:vAlign w:val="bottom"/>
          </w:tcPr>
          <w:p w14:paraId="0C78E3D1" w14:textId="77777777" w:rsidR="004346F3" w:rsidRPr="00536CFD" w:rsidRDefault="004346F3" w:rsidP="00802ABC">
            <w:pPr>
              <w:spacing w:after="0"/>
              <w:jc w:val="center"/>
              <w:rPr>
                <w:lang w:val="zh-CN"/>
              </w:rPr>
            </w:pPr>
            <w:r w:rsidRPr="00536CFD">
              <w:rPr>
                <w:lang w:val="zh-CN"/>
              </w:rPr>
              <w:t>0.119</w:t>
            </w:r>
          </w:p>
        </w:tc>
        <w:tc>
          <w:tcPr>
            <w:tcW w:w="719" w:type="dxa"/>
            <w:tcBorders>
              <w:top w:val="single" w:sz="4" w:space="0" w:color="auto"/>
              <w:left w:val="nil"/>
              <w:bottom w:val="single" w:sz="4" w:space="0" w:color="auto"/>
              <w:right w:val="single" w:sz="4" w:space="0" w:color="auto"/>
            </w:tcBorders>
            <w:shd w:val="clear" w:color="auto" w:fill="auto"/>
            <w:vAlign w:val="bottom"/>
          </w:tcPr>
          <w:p w14:paraId="14C87A28" w14:textId="77777777" w:rsidR="004346F3" w:rsidRPr="00536CFD" w:rsidRDefault="004346F3" w:rsidP="00802ABC">
            <w:pPr>
              <w:spacing w:after="0"/>
              <w:jc w:val="center"/>
              <w:rPr>
                <w:lang w:val="zh-CN"/>
              </w:rPr>
            </w:pPr>
            <w:r w:rsidRPr="00536CFD">
              <w:rPr>
                <w:lang w:val="zh-CN"/>
              </w:rPr>
              <w:t>0.066</w:t>
            </w:r>
          </w:p>
        </w:tc>
        <w:tc>
          <w:tcPr>
            <w:tcW w:w="719" w:type="dxa"/>
            <w:tcBorders>
              <w:top w:val="single" w:sz="4" w:space="0" w:color="auto"/>
              <w:left w:val="nil"/>
              <w:bottom w:val="single" w:sz="4" w:space="0" w:color="auto"/>
              <w:right w:val="single" w:sz="4" w:space="0" w:color="auto"/>
            </w:tcBorders>
            <w:shd w:val="clear" w:color="auto" w:fill="auto"/>
            <w:vAlign w:val="bottom"/>
          </w:tcPr>
          <w:p w14:paraId="6A0310F8" w14:textId="77777777" w:rsidR="004346F3" w:rsidRPr="00536CFD" w:rsidRDefault="004346F3" w:rsidP="00802ABC">
            <w:pPr>
              <w:spacing w:after="0"/>
              <w:jc w:val="center"/>
              <w:rPr>
                <w:lang w:val="zh-CN"/>
              </w:rPr>
            </w:pPr>
            <w:r w:rsidRPr="00536CFD">
              <w:rPr>
                <w:lang w:val="zh-CN"/>
              </w:rPr>
              <w:t>0.035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2AEDC07" w14:textId="77777777" w:rsidR="004346F3" w:rsidRPr="00536CFD" w:rsidRDefault="004346F3" w:rsidP="00802ABC">
            <w:pPr>
              <w:spacing w:after="0"/>
              <w:jc w:val="center"/>
              <w:rPr>
                <w:lang w:val="zh-CN"/>
              </w:rPr>
            </w:pPr>
            <w:r w:rsidRPr="00536CFD">
              <w:rPr>
                <w:lang w:val="zh-CN"/>
              </w:rPr>
              <w:t>9.439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93BBB87" w14:textId="77777777" w:rsidR="004346F3" w:rsidRPr="00536CFD" w:rsidRDefault="004346F3" w:rsidP="00802ABC">
            <w:pPr>
              <w:spacing w:after="0"/>
              <w:jc w:val="center"/>
              <w:rPr>
                <w:lang w:val="zh-CN"/>
              </w:rPr>
            </w:pPr>
            <w:r w:rsidRPr="00536CFD">
              <w:rPr>
                <w:lang w:val="zh-CN"/>
              </w:rPr>
              <w:t>1.126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39612B7" w14:textId="77777777" w:rsidR="004346F3" w:rsidRPr="00536CFD" w:rsidRDefault="004346F3" w:rsidP="00802ABC">
            <w:pPr>
              <w:spacing w:after="0"/>
              <w:jc w:val="center"/>
              <w:rPr>
                <w:lang w:val="zh-CN"/>
              </w:rPr>
            </w:pPr>
            <w:r w:rsidRPr="00536CFD">
              <w:rPr>
                <w:lang w:val="zh-CN"/>
              </w:rPr>
              <w:t>0.132</w:t>
            </w:r>
          </w:p>
        </w:tc>
        <w:tc>
          <w:tcPr>
            <w:tcW w:w="676" w:type="dxa"/>
            <w:tcBorders>
              <w:top w:val="single" w:sz="4" w:space="0" w:color="auto"/>
              <w:left w:val="nil"/>
              <w:bottom w:val="single" w:sz="4" w:space="0" w:color="auto"/>
              <w:right w:val="single" w:sz="4" w:space="0" w:color="auto"/>
            </w:tcBorders>
            <w:shd w:val="clear" w:color="auto" w:fill="auto"/>
            <w:vAlign w:val="bottom"/>
          </w:tcPr>
          <w:p w14:paraId="0F58ED2C" w14:textId="77777777" w:rsidR="004346F3" w:rsidRPr="00536CFD" w:rsidRDefault="004346F3" w:rsidP="00802ABC">
            <w:pPr>
              <w:spacing w:after="0"/>
              <w:jc w:val="center"/>
              <w:rPr>
                <w:lang w:val="zh-CN"/>
              </w:rPr>
            </w:pPr>
            <w:r w:rsidRPr="00536CFD">
              <w:rPr>
                <w:lang w:val="zh-CN"/>
              </w:rPr>
              <w:t>0.037</w:t>
            </w:r>
          </w:p>
        </w:tc>
      </w:tr>
      <w:tr w:rsidR="004346F3" w:rsidRPr="00C64ECB" w14:paraId="396FEE0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36FE729"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0703FB4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3ECB44B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1717A7E7" w14:textId="77777777" w:rsidR="004346F3" w:rsidRPr="00536CFD" w:rsidRDefault="004346F3" w:rsidP="00802ABC">
            <w:pPr>
              <w:spacing w:after="0"/>
              <w:jc w:val="center"/>
              <w:rPr>
                <w:lang w:val="zh-CN"/>
              </w:rPr>
            </w:pPr>
            <w:r w:rsidRPr="00536CFD">
              <w:rPr>
                <w:lang w:val="zh-CN"/>
              </w:rPr>
              <w:t>14.34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190FBB9" w14:textId="77777777" w:rsidR="004346F3" w:rsidRPr="00536CFD" w:rsidRDefault="004346F3" w:rsidP="00802ABC">
            <w:pPr>
              <w:spacing w:after="0"/>
              <w:jc w:val="center"/>
              <w:rPr>
                <w:lang w:val="zh-CN"/>
              </w:rPr>
            </w:pPr>
            <w:r w:rsidRPr="00536CFD">
              <w:rPr>
                <w:lang w:val="zh-CN"/>
              </w:rPr>
              <w:t>22.76</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215A187" w14:textId="77777777" w:rsidR="004346F3" w:rsidRPr="00536CFD" w:rsidRDefault="004346F3" w:rsidP="00802ABC">
            <w:pPr>
              <w:spacing w:after="0"/>
              <w:jc w:val="center"/>
              <w:rPr>
                <w:lang w:val="zh-CN"/>
              </w:rPr>
            </w:pPr>
            <w:r w:rsidRPr="00536CFD">
              <w:rPr>
                <w:lang w:val="zh-CN"/>
              </w:rPr>
              <w:t>44.74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2E2902A" w14:textId="77777777" w:rsidR="004346F3" w:rsidRPr="00536CFD" w:rsidRDefault="004346F3" w:rsidP="00802ABC">
            <w:pPr>
              <w:spacing w:after="0"/>
              <w:jc w:val="center"/>
              <w:rPr>
                <w:lang w:val="zh-CN"/>
              </w:rPr>
            </w:pPr>
            <w:r w:rsidRPr="00536CFD">
              <w:rPr>
                <w:lang w:val="zh-CN"/>
              </w:rPr>
              <w:t>50.92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8C14B40" w14:textId="77777777" w:rsidR="004346F3" w:rsidRPr="00536CFD" w:rsidRDefault="004346F3" w:rsidP="00802ABC">
            <w:pPr>
              <w:spacing w:after="0"/>
              <w:jc w:val="center"/>
              <w:rPr>
                <w:lang w:val="zh-CN"/>
              </w:rPr>
            </w:pPr>
            <w:r w:rsidRPr="00536CFD">
              <w:rPr>
                <w:lang w:val="zh-CN"/>
              </w:rPr>
              <w:t>2.36</w:t>
            </w:r>
          </w:p>
        </w:tc>
        <w:tc>
          <w:tcPr>
            <w:tcW w:w="714" w:type="dxa"/>
            <w:tcBorders>
              <w:top w:val="single" w:sz="4" w:space="0" w:color="auto"/>
              <w:left w:val="nil"/>
              <w:bottom w:val="single" w:sz="4" w:space="0" w:color="auto"/>
              <w:right w:val="single" w:sz="4" w:space="0" w:color="auto"/>
            </w:tcBorders>
            <w:shd w:val="clear" w:color="auto" w:fill="auto"/>
            <w:vAlign w:val="bottom"/>
          </w:tcPr>
          <w:p w14:paraId="3A70A9FC" w14:textId="77777777" w:rsidR="004346F3" w:rsidRPr="00536CFD" w:rsidRDefault="004346F3" w:rsidP="00802ABC">
            <w:pPr>
              <w:spacing w:after="0"/>
              <w:jc w:val="center"/>
              <w:rPr>
                <w:lang w:val="zh-CN"/>
              </w:rPr>
            </w:pPr>
            <w:r w:rsidRPr="00536CFD">
              <w:rPr>
                <w:lang w:val="zh-CN"/>
              </w:rPr>
              <w:t>13.09</w:t>
            </w:r>
          </w:p>
        </w:tc>
        <w:tc>
          <w:tcPr>
            <w:tcW w:w="719" w:type="dxa"/>
            <w:tcBorders>
              <w:top w:val="single" w:sz="4" w:space="0" w:color="auto"/>
              <w:left w:val="nil"/>
              <w:bottom w:val="single" w:sz="4" w:space="0" w:color="auto"/>
              <w:right w:val="single" w:sz="4" w:space="0" w:color="auto"/>
            </w:tcBorders>
            <w:shd w:val="clear" w:color="auto" w:fill="auto"/>
            <w:vAlign w:val="bottom"/>
          </w:tcPr>
          <w:p w14:paraId="0F360589" w14:textId="77777777" w:rsidR="004346F3" w:rsidRPr="00536CFD" w:rsidRDefault="004346F3" w:rsidP="00802ABC">
            <w:pPr>
              <w:spacing w:after="0"/>
              <w:jc w:val="center"/>
              <w:rPr>
                <w:lang w:val="zh-CN"/>
              </w:rPr>
            </w:pPr>
            <w:r w:rsidRPr="00536CFD">
              <w:rPr>
                <w:lang w:val="zh-CN"/>
              </w:rPr>
              <w:t>30.95</w:t>
            </w:r>
          </w:p>
        </w:tc>
        <w:tc>
          <w:tcPr>
            <w:tcW w:w="719" w:type="dxa"/>
            <w:tcBorders>
              <w:top w:val="single" w:sz="4" w:space="0" w:color="auto"/>
              <w:left w:val="nil"/>
              <w:bottom w:val="single" w:sz="4" w:space="0" w:color="auto"/>
              <w:right w:val="single" w:sz="4" w:space="0" w:color="auto"/>
            </w:tcBorders>
            <w:shd w:val="clear" w:color="auto" w:fill="auto"/>
            <w:vAlign w:val="bottom"/>
          </w:tcPr>
          <w:p w14:paraId="267F1C35" w14:textId="77777777" w:rsidR="004346F3" w:rsidRPr="00536CFD" w:rsidRDefault="004346F3" w:rsidP="00802ABC">
            <w:pPr>
              <w:spacing w:after="0"/>
              <w:jc w:val="center"/>
              <w:rPr>
                <w:lang w:val="zh-CN"/>
              </w:rPr>
            </w:pPr>
            <w:r w:rsidRPr="00536CFD">
              <w:rPr>
                <w:lang w:val="zh-CN"/>
              </w:rPr>
              <w:t>44.87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569E302" w14:textId="77777777" w:rsidR="004346F3" w:rsidRPr="00536CFD" w:rsidRDefault="004346F3" w:rsidP="00802ABC">
            <w:pPr>
              <w:spacing w:after="0"/>
              <w:jc w:val="center"/>
              <w:rPr>
                <w:lang w:val="zh-CN"/>
              </w:rPr>
            </w:pPr>
            <w:r w:rsidRPr="00536CFD">
              <w:rPr>
                <w:lang w:val="zh-CN"/>
              </w:rPr>
              <w:t>0.03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A36C80C" w14:textId="77777777" w:rsidR="004346F3" w:rsidRPr="00536CFD" w:rsidRDefault="004346F3" w:rsidP="00802ABC">
            <w:pPr>
              <w:spacing w:after="0"/>
              <w:jc w:val="center"/>
              <w:rPr>
                <w:lang w:val="zh-CN"/>
              </w:rPr>
            </w:pPr>
            <w:r w:rsidRPr="00536CFD">
              <w:rPr>
                <w:lang w:val="zh-CN"/>
              </w:rPr>
              <w:t>7.1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2A56C2C" w14:textId="77777777" w:rsidR="004346F3" w:rsidRPr="00536CFD" w:rsidRDefault="004346F3" w:rsidP="00802ABC">
            <w:pPr>
              <w:spacing w:after="0"/>
              <w:jc w:val="center"/>
              <w:rPr>
                <w:lang w:val="zh-CN"/>
              </w:rPr>
            </w:pPr>
            <w:r w:rsidRPr="00536CFD">
              <w:rPr>
                <w:lang w:val="zh-CN"/>
              </w:rPr>
              <w:t>15.92</w:t>
            </w:r>
          </w:p>
        </w:tc>
        <w:tc>
          <w:tcPr>
            <w:tcW w:w="676" w:type="dxa"/>
            <w:tcBorders>
              <w:top w:val="single" w:sz="4" w:space="0" w:color="auto"/>
              <w:left w:val="nil"/>
              <w:bottom w:val="single" w:sz="4" w:space="0" w:color="auto"/>
              <w:right w:val="single" w:sz="4" w:space="0" w:color="auto"/>
            </w:tcBorders>
            <w:shd w:val="clear" w:color="auto" w:fill="auto"/>
            <w:vAlign w:val="bottom"/>
          </w:tcPr>
          <w:p w14:paraId="3F33988B" w14:textId="77777777" w:rsidR="004346F3" w:rsidRPr="00536CFD" w:rsidRDefault="004346F3" w:rsidP="00802ABC">
            <w:pPr>
              <w:spacing w:after="0"/>
              <w:jc w:val="center"/>
              <w:rPr>
                <w:lang w:val="zh-CN"/>
              </w:rPr>
            </w:pPr>
            <w:r w:rsidRPr="00536CFD">
              <w:rPr>
                <w:lang w:val="zh-CN"/>
              </w:rPr>
              <w:t>41.32</w:t>
            </w:r>
          </w:p>
        </w:tc>
      </w:tr>
      <w:tr w:rsidR="004346F3" w:rsidRPr="00C64ECB" w14:paraId="755C890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60C559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23C7F22"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5E6302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3AD29BFE" w14:textId="77777777" w:rsidR="004346F3" w:rsidRPr="00536CFD" w:rsidRDefault="004346F3" w:rsidP="00802ABC">
            <w:pPr>
              <w:spacing w:after="0"/>
              <w:jc w:val="center"/>
              <w:rPr>
                <w:lang w:val="zh-CN"/>
              </w:rPr>
            </w:pPr>
            <w:r w:rsidRPr="00536CFD">
              <w:rPr>
                <w:lang w:val="zh-CN"/>
              </w:rPr>
              <w:t>46.55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CB725DB" w14:textId="77777777" w:rsidR="004346F3" w:rsidRPr="00536CFD" w:rsidRDefault="004346F3" w:rsidP="00802ABC">
            <w:pPr>
              <w:spacing w:after="0"/>
              <w:jc w:val="center"/>
              <w:rPr>
                <w:lang w:val="zh-CN"/>
              </w:rPr>
            </w:pPr>
            <w:r w:rsidRPr="00536CFD">
              <w:rPr>
                <w:lang w:val="zh-CN"/>
              </w:rPr>
              <w:t>63.76</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59342071" w14:textId="77777777" w:rsidR="004346F3" w:rsidRPr="00536CFD" w:rsidRDefault="004346F3" w:rsidP="00802ABC">
            <w:pPr>
              <w:spacing w:after="0"/>
              <w:jc w:val="center"/>
              <w:rPr>
                <w:lang w:val="zh-CN"/>
              </w:rPr>
            </w:pPr>
            <w:r w:rsidRPr="00536CFD">
              <w:rPr>
                <w:lang w:val="zh-CN"/>
              </w:rPr>
              <w:t>112.64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FCD7FBE" w14:textId="77777777" w:rsidR="004346F3" w:rsidRPr="00536CFD" w:rsidRDefault="004346F3" w:rsidP="00802ABC">
            <w:pPr>
              <w:spacing w:after="0"/>
              <w:jc w:val="center"/>
              <w:rPr>
                <w:lang w:val="zh-CN"/>
              </w:rPr>
            </w:pPr>
            <w:r w:rsidRPr="00536CFD">
              <w:rPr>
                <w:lang w:val="zh-CN"/>
              </w:rPr>
              <w:t>125.83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9AA7D0E" w14:textId="77777777" w:rsidR="004346F3" w:rsidRPr="00536CFD" w:rsidRDefault="004346F3" w:rsidP="00802ABC">
            <w:pPr>
              <w:spacing w:after="0"/>
              <w:jc w:val="center"/>
              <w:rPr>
                <w:lang w:val="zh-CN"/>
              </w:rPr>
            </w:pPr>
            <w:r w:rsidRPr="00536CFD">
              <w:rPr>
                <w:lang w:val="zh-CN"/>
              </w:rPr>
              <w:t>21.72</w:t>
            </w:r>
          </w:p>
        </w:tc>
        <w:tc>
          <w:tcPr>
            <w:tcW w:w="714" w:type="dxa"/>
            <w:tcBorders>
              <w:top w:val="single" w:sz="4" w:space="0" w:color="auto"/>
              <w:left w:val="nil"/>
              <w:bottom w:val="single" w:sz="4" w:space="0" w:color="auto"/>
              <w:right w:val="single" w:sz="4" w:space="0" w:color="auto"/>
            </w:tcBorders>
            <w:shd w:val="clear" w:color="auto" w:fill="auto"/>
            <w:vAlign w:val="bottom"/>
          </w:tcPr>
          <w:p w14:paraId="2C8C648B" w14:textId="77777777" w:rsidR="004346F3" w:rsidRPr="00536CFD" w:rsidRDefault="004346F3" w:rsidP="00802ABC">
            <w:pPr>
              <w:spacing w:after="0"/>
              <w:jc w:val="center"/>
              <w:rPr>
                <w:lang w:val="zh-CN"/>
              </w:rPr>
            </w:pPr>
            <w:r w:rsidRPr="00536CFD">
              <w:rPr>
                <w:lang w:val="zh-CN"/>
              </w:rPr>
              <w:t>44.32</w:t>
            </w:r>
          </w:p>
        </w:tc>
        <w:tc>
          <w:tcPr>
            <w:tcW w:w="719" w:type="dxa"/>
            <w:tcBorders>
              <w:top w:val="single" w:sz="4" w:space="0" w:color="auto"/>
              <w:left w:val="nil"/>
              <w:bottom w:val="single" w:sz="4" w:space="0" w:color="auto"/>
              <w:right w:val="single" w:sz="4" w:space="0" w:color="auto"/>
            </w:tcBorders>
            <w:shd w:val="clear" w:color="auto" w:fill="auto"/>
            <w:vAlign w:val="bottom"/>
          </w:tcPr>
          <w:p w14:paraId="20F9F5E6" w14:textId="77777777" w:rsidR="004346F3" w:rsidRPr="00536CFD" w:rsidRDefault="004346F3" w:rsidP="00802ABC">
            <w:pPr>
              <w:spacing w:after="0"/>
              <w:jc w:val="center"/>
              <w:rPr>
                <w:lang w:val="zh-CN"/>
              </w:rPr>
            </w:pPr>
            <w:r w:rsidRPr="00536CFD">
              <w:rPr>
                <w:lang w:val="zh-CN"/>
              </w:rPr>
              <w:t>85.68</w:t>
            </w:r>
          </w:p>
        </w:tc>
        <w:tc>
          <w:tcPr>
            <w:tcW w:w="719" w:type="dxa"/>
            <w:tcBorders>
              <w:top w:val="single" w:sz="4" w:space="0" w:color="auto"/>
              <w:left w:val="nil"/>
              <w:bottom w:val="single" w:sz="4" w:space="0" w:color="auto"/>
              <w:right w:val="single" w:sz="4" w:space="0" w:color="auto"/>
            </w:tcBorders>
            <w:shd w:val="clear" w:color="auto" w:fill="auto"/>
            <w:vAlign w:val="bottom"/>
          </w:tcPr>
          <w:p w14:paraId="305B4462" w14:textId="77777777" w:rsidR="004346F3" w:rsidRPr="00536CFD" w:rsidRDefault="004346F3" w:rsidP="00802ABC">
            <w:pPr>
              <w:spacing w:after="0"/>
              <w:jc w:val="center"/>
              <w:rPr>
                <w:lang w:val="zh-CN"/>
              </w:rPr>
            </w:pPr>
            <w:r w:rsidRPr="00536CFD">
              <w:rPr>
                <w:lang w:val="zh-CN"/>
              </w:rPr>
              <w:t>114.1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85B368C" w14:textId="77777777" w:rsidR="004346F3" w:rsidRPr="00536CFD" w:rsidRDefault="004346F3" w:rsidP="00802ABC">
            <w:pPr>
              <w:spacing w:after="0"/>
              <w:jc w:val="center"/>
              <w:rPr>
                <w:lang w:val="zh-CN"/>
              </w:rPr>
            </w:pPr>
            <w:r w:rsidRPr="00536CFD">
              <w:rPr>
                <w:lang w:val="zh-CN"/>
              </w:rPr>
              <w:t>14.03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E48759F" w14:textId="77777777" w:rsidR="004346F3" w:rsidRPr="00536CFD" w:rsidRDefault="004346F3" w:rsidP="00802ABC">
            <w:pPr>
              <w:spacing w:after="0"/>
              <w:jc w:val="center"/>
              <w:rPr>
                <w:lang w:val="zh-CN"/>
              </w:rPr>
            </w:pPr>
            <w:r w:rsidRPr="00536CFD">
              <w:rPr>
                <w:lang w:val="zh-CN"/>
              </w:rPr>
              <w:t>35.69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CD529A7" w14:textId="77777777" w:rsidR="004346F3" w:rsidRPr="00536CFD" w:rsidRDefault="004346F3" w:rsidP="00802ABC">
            <w:pPr>
              <w:spacing w:after="0"/>
              <w:jc w:val="center"/>
              <w:rPr>
                <w:lang w:val="zh-CN"/>
              </w:rPr>
            </w:pPr>
            <w:r w:rsidRPr="00536CFD">
              <w:rPr>
                <w:lang w:val="zh-CN"/>
              </w:rPr>
              <w:t>67.15</w:t>
            </w:r>
          </w:p>
        </w:tc>
        <w:tc>
          <w:tcPr>
            <w:tcW w:w="676" w:type="dxa"/>
            <w:tcBorders>
              <w:top w:val="single" w:sz="4" w:space="0" w:color="auto"/>
              <w:left w:val="nil"/>
              <w:bottom w:val="single" w:sz="4" w:space="0" w:color="auto"/>
              <w:right w:val="single" w:sz="4" w:space="0" w:color="auto"/>
            </w:tcBorders>
            <w:shd w:val="clear" w:color="auto" w:fill="auto"/>
            <w:vAlign w:val="bottom"/>
          </w:tcPr>
          <w:p w14:paraId="78ABE426" w14:textId="77777777" w:rsidR="004346F3" w:rsidRPr="00536CFD" w:rsidRDefault="004346F3" w:rsidP="00802ABC">
            <w:pPr>
              <w:spacing w:after="0"/>
              <w:jc w:val="center"/>
              <w:rPr>
                <w:lang w:val="zh-CN"/>
              </w:rPr>
            </w:pPr>
            <w:r w:rsidRPr="00536CFD">
              <w:rPr>
                <w:lang w:val="zh-CN"/>
              </w:rPr>
              <w:t>107.98</w:t>
            </w:r>
          </w:p>
        </w:tc>
      </w:tr>
      <w:tr w:rsidR="004346F3" w:rsidRPr="00C64ECB" w14:paraId="7BFBC89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A00C74C"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AEAAA05"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7893B9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16BFC50F" w14:textId="77777777" w:rsidR="004346F3" w:rsidRPr="00536CFD" w:rsidRDefault="004346F3" w:rsidP="00802ABC">
            <w:pPr>
              <w:spacing w:after="0"/>
              <w:jc w:val="center"/>
              <w:rPr>
                <w:lang w:val="zh-CN"/>
              </w:rPr>
            </w:pPr>
            <w:r w:rsidRPr="00536CFD">
              <w:rPr>
                <w:lang w:val="zh-CN"/>
              </w:rPr>
              <w:t>80.98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5F78293" w14:textId="77777777" w:rsidR="004346F3" w:rsidRPr="00536CFD" w:rsidRDefault="004346F3" w:rsidP="00802ABC">
            <w:pPr>
              <w:spacing w:after="0"/>
              <w:jc w:val="center"/>
              <w:rPr>
                <w:lang w:val="zh-CN"/>
              </w:rPr>
            </w:pPr>
            <w:r w:rsidRPr="00536CFD">
              <w:rPr>
                <w:lang w:val="zh-CN"/>
              </w:rPr>
              <w:t>97.52</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3592F1A" w14:textId="77777777" w:rsidR="004346F3" w:rsidRPr="00536CFD" w:rsidRDefault="004346F3" w:rsidP="00802ABC">
            <w:pPr>
              <w:spacing w:after="0"/>
              <w:jc w:val="center"/>
              <w:rPr>
                <w:lang w:val="zh-CN"/>
              </w:rPr>
            </w:pPr>
            <w:r w:rsidRPr="00536CFD">
              <w:rPr>
                <w:lang w:val="zh-CN"/>
              </w:rPr>
              <w:t>141.37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F70A8EC" w14:textId="77777777" w:rsidR="004346F3" w:rsidRPr="00536CFD" w:rsidRDefault="004346F3" w:rsidP="00802ABC">
            <w:pPr>
              <w:spacing w:after="0"/>
              <w:jc w:val="center"/>
              <w:rPr>
                <w:lang w:val="zh-CN"/>
              </w:rPr>
            </w:pPr>
            <w:r w:rsidRPr="00536CFD">
              <w:rPr>
                <w:lang w:val="zh-CN"/>
              </w:rPr>
              <w:t>155.32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000D5395" w14:textId="77777777" w:rsidR="004346F3" w:rsidRPr="00536CFD" w:rsidRDefault="004346F3" w:rsidP="00802ABC">
            <w:pPr>
              <w:spacing w:after="0"/>
              <w:jc w:val="center"/>
              <w:rPr>
                <w:lang w:val="zh-CN"/>
              </w:rPr>
            </w:pPr>
            <w:r w:rsidRPr="00536CFD">
              <w:rPr>
                <w:lang w:val="zh-CN"/>
              </w:rPr>
              <w:t>54.88</w:t>
            </w:r>
          </w:p>
        </w:tc>
        <w:tc>
          <w:tcPr>
            <w:tcW w:w="714" w:type="dxa"/>
            <w:tcBorders>
              <w:top w:val="single" w:sz="4" w:space="0" w:color="auto"/>
              <w:left w:val="nil"/>
              <w:bottom w:val="single" w:sz="4" w:space="0" w:color="auto"/>
              <w:right w:val="single" w:sz="4" w:space="0" w:color="auto"/>
            </w:tcBorders>
            <w:shd w:val="clear" w:color="auto" w:fill="auto"/>
            <w:vAlign w:val="bottom"/>
          </w:tcPr>
          <w:p w14:paraId="1A4C398C" w14:textId="77777777" w:rsidR="004346F3" w:rsidRPr="00536CFD" w:rsidRDefault="004346F3" w:rsidP="00802ABC">
            <w:pPr>
              <w:spacing w:after="0"/>
              <w:jc w:val="center"/>
              <w:rPr>
                <w:lang w:val="zh-CN"/>
              </w:rPr>
            </w:pPr>
            <w:r w:rsidRPr="00536CFD">
              <w:rPr>
                <w:lang w:val="zh-CN"/>
              </w:rPr>
              <w:t>82.84</w:t>
            </w:r>
          </w:p>
        </w:tc>
        <w:tc>
          <w:tcPr>
            <w:tcW w:w="719" w:type="dxa"/>
            <w:tcBorders>
              <w:top w:val="single" w:sz="4" w:space="0" w:color="auto"/>
              <w:left w:val="nil"/>
              <w:bottom w:val="single" w:sz="4" w:space="0" w:color="auto"/>
              <w:right w:val="single" w:sz="4" w:space="0" w:color="auto"/>
            </w:tcBorders>
            <w:shd w:val="clear" w:color="auto" w:fill="auto"/>
            <w:vAlign w:val="bottom"/>
          </w:tcPr>
          <w:p w14:paraId="79486F19" w14:textId="77777777" w:rsidR="004346F3" w:rsidRPr="00536CFD" w:rsidRDefault="004346F3" w:rsidP="00802ABC">
            <w:pPr>
              <w:spacing w:after="0"/>
              <w:jc w:val="center"/>
              <w:rPr>
                <w:lang w:val="zh-CN"/>
              </w:rPr>
            </w:pPr>
            <w:r w:rsidRPr="00536CFD">
              <w:rPr>
                <w:lang w:val="zh-CN"/>
              </w:rPr>
              <w:t>118.07</w:t>
            </w:r>
          </w:p>
        </w:tc>
        <w:tc>
          <w:tcPr>
            <w:tcW w:w="719" w:type="dxa"/>
            <w:tcBorders>
              <w:top w:val="single" w:sz="4" w:space="0" w:color="auto"/>
              <w:left w:val="nil"/>
              <w:bottom w:val="single" w:sz="4" w:space="0" w:color="auto"/>
              <w:right w:val="single" w:sz="4" w:space="0" w:color="auto"/>
            </w:tcBorders>
            <w:shd w:val="clear" w:color="auto" w:fill="auto"/>
            <w:vAlign w:val="bottom"/>
          </w:tcPr>
          <w:p w14:paraId="6ADB0543" w14:textId="77777777" w:rsidR="004346F3" w:rsidRPr="00536CFD" w:rsidRDefault="004346F3" w:rsidP="00802ABC">
            <w:pPr>
              <w:spacing w:after="0"/>
              <w:jc w:val="center"/>
              <w:rPr>
                <w:lang w:val="zh-CN"/>
              </w:rPr>
            </w:pPr>
            <w:r w:rsidRPr="00536CFD">
              <w:rPr>
                <w:lang w:val="zh-CN"/>
              </w:rPr>
              <w:t>145.1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F65DACA" w14:textId="77777777" w:rsidR="004346F3" w:rsidRPr="00536CFD" w:rsidRDefault="004346F3" w:rsidP="00802ABC">
            <w:pPr>
              <w:spacing w:after="0"/>
              <w:jc w:val="center"/>
              <w:rPr>
                <w:lang w:val="zh-CN"/>
              </w:rPr>
            </w:pPr>
            <w:r w:rsidRPr="00536CFD">
              <w:rPr>
                <w:lang w:val="zh-CN"/>
              </w:rPr>
              <w:t>40.71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187768A" w14:textId="77777777" w:rsidR="004346F3" w:rsidRPr="00536CFD" w:rsidRDefault="004346F3" w:rsidP="00802ABC">
            <w:pPr>
              <w:spacing w:after="0"/>
              <w:jc w:val="center"/>
              <w:rPr>
                <w:lang w:val="zh-CN"/>
              </w:rPr>
            </w:pPr>
            <w:r w:rsidRPr="00536CFD">
              <w:rPr>
                <w:lang w:val="zh-CN"/>
              </w:rPr>
              <w:t>74.52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4DB490D" w14:textId="77777777" w:rsidR="004346F3" w:rsidRPr="00536CFD" w:rsidRDefault="004346F3" w:rsidP="00802ABC">
            <w:pPr>
              <w:spacing w:after="0"/>
              <w:jc w:val="center"/>
              <w:rPr>
                <w:lang w:val="zh-CN"/>
              </w:rPr>
            </w:pPr>
            <w:r w:rsidRPr="00536CFD">
              <w:rPr>
                <w:lang w:val="zh-CN"/>
              </w:rPr>
              <w:t>103.97</w:t>
            </w:r>
          </w:p>
        </w:tc>
        <w:tc>
          <w:tcPr>
            <w:tcW w:w="676" w:type="dxa"/>
            <w:tcBorders>
              <w:top w:val="single" w:sz="4" w:space="0" w:color="auto"/>
              <w:left w:val="nil"/>
              <w:bottom w:val="single" w:sz="4" w:space="0" w:color="auto"/>
              <w:right w:val="single" w:sz="4" w:space="0" w:color="auto"/>
            </w:tcBorders>
            <w:shd w:val="clear" w:color="auto" w:fill="auto"/>
            <w:vAlign w:val="bottom"/>
          </w:tcPr>
          <w:p w14:paraId="5B8E450C" w14:textId="77777777" w:rsidR="004346F3" w:rsidRPr="00536CFD" w:rsidRDefault="004346F3" w:rsidP="00802ABC">
            <w:pPr>
              <w:spacing w:after="0"/>
              <w:jc w:val="center"/>
              <w:rPr>
                <w:lang w:val="zh-CN"/>
              </w:rPr>
            </w:pPr>
            <w:r w:rsidRPr="00536CFD">
              <w:rPr>
                <w:lang w:val="zh-CN"/>
              </w:rPr>
              <w:t>140.52</w:t>
            </w:r>
          </w:p>
        </w:tc>
      </w:tr>
      <w:tr w:rsidR="004346F3" w:rsidRPr="00C64ECB" w14:paraId="61AE117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54AD333"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229501B4"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96F166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45BA65B9" w14:textId="77777777" w:rsidR="004346F3" w:rsidRPr="00536CFD" w:rsidRDefault="004346F3" w:rsidP="00802ABC">
            <w:pPr>
              <w:spacing w:after="0"/>
              <w:jc w:val="center"/>
              <w:rPr>
                <w:lang w:val="zh-CN"/>
              </w:rPr>
            </w:pPr>
            <w:r w:rsidRPr="00536CFD">
              <w:rPr>
                <w:lang w:val="zh-CN"/>
              </w:rPr>
              <w:t>47.11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ADD45EC" w14:textId="77777777" w:rsidR="004346F3" w:rsidRPr="00536CFD" w:rsidRDefault="004346F3" w:rsidP="00802ABC">
            <w:pPr>
              <w:spacing w:after="0"/>
              <w:jc w:val="center"/>
              <w:rPr>
                <w:lang w:val="zh-CN"/>
              </w:rPr>
            </w:pPr>
            <w:r w:rsidRPr="00536CFD">
              <w:rPr>
                <w:lang w:val="zh-CN"/>
              </w:rPr>
              <w:t>63.05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5D02ECD" w14:textId="77777777" w:rsidR="004346F3" w:rsidRPr="00536CFD" w:rsidRDefault="004346F3" w:rsidP="00802ABC">
            <w:pPr>
              <w:spacing w:after="0"/>
              <w:jc w:val="center"/>
              <w:rPr>
                <w:lang w:val="zh-CN"/>
              </w:rPr>
            </w:pPr>
            <w:r w:rsidRPr="00536CFD">
              <w:rPr>
                <w:lang w:val="zh-CN"/>
              </w:rPr>
              <w:t>106.4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EA02D91" w14:textId="77777777" w:rsidR="004346F3" w:rsidRPr="00536CFD" w:rsidRDefault="004346F3" w:rsidP="00802ABC">
            <w:pPr>
              <w:spacing w:after="0"/>
              <w:jc w:val="center"/>
              <w:rPr>
                <w:lang w:val="zh-CN"/>
              </w:rPr>
            </w:pPr>
            <w:r w:rsidRPr="00536CFD">
              <w:rPr>
                <w:lang w:val="zh-CN"/>
              </w:rPr>
              <w:t>118.3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200C4E8" w14:textId="77777777" w:rsidR="004346F3" w:rsidRPr="00536CFD" w:rsidRDefault="004346F3" w:rsidP="00802ABC">
            <w:pPr>
              <w:spacing w:after="0"/>
              <w:jc w:val="center"/>
              <w:rPr>
                <w:lang w:val="zh-CN"/>
              </w:rPr>
            </w:pPr>
            <w:r w:rsidRPr="00536CFD">
              <w:rPr>
                <w:lang w:val="zh-CN"/>
              </w:rPr>
              <w:t>23.83</w:t>
            </w:r>
          </w:p>
        </w:tc>
        <w:tc>
          <w:tcPr>
            <w:tcW w:w="714" w:type="dxa"/>
            <w:tcBorders>
              <w:top w:val="single" w:sz="4" w:space="0" w:color="auto"/>
              <w:left w:val="nil"/>
              <w:bottom w:val="single" w:sz="4" w:space="0" w:color="auto"/>
              <w:right w:val="single" w:sz="4" w:space="0" w:color="auto"/>
            </w:tcBorders>
            <w:shd w:val="clear" w:color="auto" w:fill="auto"/>
            <w:vAlign w:val="bottom"/>
          </w:tcPr>
          <w:p w14:paraId="628EB8B8" w14:textId="77777777" w:rsidR="004346F3" w:rsidRPr="00536CFD" w:rsidRDefault="004346F3" w:rsidP="00802ABC">
            <w:pPr>
              <w:spacing w:after="0"/>
              <w:jc w:val="center"/>
              <w:rPr>
                <w:lang w:val="zh-CN"/>
              </w:rPr>
            </w:pPr>
            <w:r w:rsidRPr="00536CFD">
              <w:rPr>
                <w:lang w:val="zh-CN"/>
              </w:rPr>
              <w:t>46.4</w:t>
            </w:r>
          </w:p>
        </w:tc>
        <w:tc>
          <w:tcPr>
            <w:tcW w:w="719" w:type="dxa"/>
            <w:tcBorders>
              <w:top w:val="single" w:sz="4" w:space="0" w:color="auto"/>
              <w:left w:val="nil"/>
              <w:bottom w:val="single" w:sz="4" w:space="0" w:color="auto"/>
              <w:right w:val="single" w:sz="4" w:space="0" w:color="auto"/>
            </w:tcBorders>
            <w:shd w:val="clear" w:color="auto" w:fill="auto"/>
            <w:vAlign w:val="bottom"/>
          </w:tcPr>
          <w:p w14:paraId="18514CC7" w14:textId="77777777" w:rsidR="004346F3" w:rsidRPr="00536CFD" w:rsidRDefault="004346F3" w:rsidP="00802ABC">
            <w:pPr>
              <w:spacing w:after="0"/>
              <w:jc w:val="center"/>
              <w:rPr>
                <w:lang w:val="zh-CN"/>
              </w:rPr>
            </w:pPr>
            <w:r w:rsidRPr="00536CFD">
              <w:rPr>
                <w:lang w:val="zh-CN"/>
              </w:rPr>
              <w:t>80.51</w:t>
            </w:r>
          </w:p>
        </w:tc>
        <w:tc>
          <w:tcPr>
            <w:tcW w:w="719" w:type="dxa"/>
            <w:tcBorders>
              <w:top w:val="single" w:sz="4" w:space="0" w:color="auto"/>
              <w:left w:val="nil"/>
              <w:bottom w:val="single" w:sz="4" w:space="0" w:color="auto"/>
              <w:right w:val="single" w:sz="4" w:space="0" w:color="auto"/>
            </w:tcBorders>
            <w:shd w:val="clear" w:color="auto" w:fill="auto"/>
            <w:vAlign w:val="bottom"/>
          </w:tcPr>
          <w:p w14:paraId="01FB3148" w14:textId="77777777" w:rsidR="004346F3" w:rsidRPr="00536CFD" w:rsidRDefault="004346F3" w:rsidP="00802ABC">
            <w:pPr>
              <w:spacing w:after="0"/>
              <w:jc w:val="center"/>
              <w:rPr>
                <w:lang w:val="zh-CN"/>
              </w:rPr>
            </w:pPr>
            <w:r w:rsidRPr="00536CFD">
              <w:rPr>
                <w:lang w:val="zh-CN"/>
              </w:rPr>
              <w:t>106.99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C9E5978" w14:textId="77777777" w:rsidR="004346F3" w:rsidRPr="00536CFD" w:rsidRDefault="004346F3" w:rsidP="00802ABC">
            <w:pPr>
              <w:spacing w:after="0"/>
              <w:jc w:val="center"/>
              <w:rPr>
                <w:lang w:val="zh-CN"/>
              </w:rPr>
            </w:pPr>
            <w:r w:rsidRPr="00536CFD">
              <w:rPr>
                <w:lang w:val="zh-CN"/>
              </w:rPr>
              <w:t>15.86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1DB20EC" w14:textId="77777777" w:rsidR="004346F3" w:rsidRPr="00536CFD" w:rsidRDefault="004346F3" w:rsidP="00802ABC">
            <w:pPr>
              <w:spacing w:after="0"/>
              <w:jc w:val="center"/>
              <w:rPr>
                <w:lang w:val="zh-CN"/>
              </w:rPr>
            </w:pPr>
            <w:r w:rsidRPr="00536CFD">
              <w:rPr>
                <w:lang w:val="zh-CN"/>
              </w:rPr>
              <w:t>37.49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E8ABD6C" w14:textId="77777777" w:rsidR="004346F3" w:rsidRPr="00536CFD" w:rsidRDefault="004346F3" w:rsidP="00802ABC">
            <w:pPr>
              <w:spacing w:after="0"/>
              <w:jc w:val="center"/>
              <w:rPr>
                <w:lang w:val="zh-CN"/>
              </w:rPr>
            </w:pPr>
            <w:r w:rsidRPr="00536CFD">
              <w:rPr>
                <w:lang w:val="zh-CN"/>
              </w:rPr>
              <w:t>62.95</w:t>
            </w:r>
          </w:p>
        </w:tc>
        <w:tc>
          <w:tcPr>
            <w:tcW w:w="676" w:type="dxa"/>
            <w:tcBorders>
              <w:top w:val="single" w:sz="4" w:space="0" w:color="auto"/>
              <w:left w:val="nil"/>
              <w:bottom w:val="single" w:sz="4" w:space="0" w:color="auto"/>
              <w:right w:val="single" w:sz="4" w:space="0" w:color="auto"/>
            </w:tcBorders>
            <w:shd w:val="clear" w:color="auto" w:fill="auto"/>
            <w:vAlign w:val="bottom"/>
          </w:tcPr>
          <w:p w14:paraId="3B91C136" w14:textId="77777777" w:rsidR="004346F3" w:rsidRPr="00536CFD" w:rsidRDefault="004346F3" w:rsidP="00802ABC">
            <w:pPr>
              <w:spacing w:after="0"/>
              <w:jc w:val="center"/>
              <w:rPr>
                <w:lang w:val="zh-CN"/>
              </w:rPr>
            </w:pPr>
            <w:r w:rsidRPr="00536CFD">
              <w:rPr>
                <w:lang w:val="zh-CN"/>
              </w:rPr>
              <w:t>101.59</w:t>
            </w:r>
          </w:p>
        </w:tc>
      </w:tr>
      <w:tr w:rsidR="004346F3" w:rsidRPr="00C64ECB" w14:paraId="2A6363D5"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DE06B00"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5575D35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243A741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7183B5D8" w14:textId="77777777" w:rsidR="004346F3" w:rsidRPr="00536CFD" w:rsidRDefault="004346F3" w:rsidP="00802ABC">
            <w:pPr>
              <w:spacing w:after="0"/>
              <w:jc w:val="center"/>
              <w:rPr>
                <w:lang w:val="zh-CN"/>
              </w:rPr>
            </w:pPr>
            <w:r w:rsidRPr="00536CFD">
              <w:rPr>
                <w:lang w:val="zh-CN"/>
              </w:rPr>
              <w:t>0.035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4E42178" w14:textId="77777777" w:rsidR="004346F3" w:rsidRPr="00536CFD" w:rsidRDefault="004346F3" w:rsidP="00802ABC">
            <w:pPr>
              <w:spacing w:after="0"/>
              <w:jc w:val="center"/>
              <w:rPr>
                <w:lang w:val="zh-CN"/>
              </w:rPr>
            </w:pPr>
            <w:r w:rsidRPr="00536CFD">
              <w:rPr>
                <w:lang w:val="zh-CN"/>
              </w:rPr>
              <w:t>0.034</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EE4D821" w14:textId="77777777" w:rsidR="004346F3" w:rsidRPr="00536CFD" w:rsidRDefault="004346F3" w:rsidP="00802ABC">
            <w:pPr>
              <w:spacing w:after="0"/>
              <w:jc w:val="center"/>
              <w:rPr>
                <w:lang w:val="zh-CN"/>
              </w:rPr>
            </w:pPr>
            <w:r w:rsidRPr="00536CFD">
              <w:rPr>
                <w:lang w:val="zh-CN"/>
              </w:rPr>
              <w:t>0.022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C44342B" w14:textId="77777777" w:rsidR="004346F3" w:rsidRPr="00536CFD" w:rsidRDefault="004346F3" w:rsidP="00802ABC">
            <w:pPr>
              <w:spacing w:after="0"/>
              <w:jc w:val="center"/>
              <w:rPr>
                <w:lang w:val="zh-CN"/>
              </w:rPr>
            </w:pPr>
            <w:r w:rsidRPr="00536CFD">
              <w:rPr>
                <w:lang w:val="zh-CN"/>
              </w:rPr>
              <w:t>0.022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F9228B7" w14:textId="77777777" w:rsidR="004346F3" w:rsidRPr="00536CFD" w:rsidRDefault="004346F3" w:rsidP="00802ABC">
            <w:pPr>
              <w:spacing w:after="0"/>
              <w:jc w:val="center"/>
              <w:rPr>
                <w:lang w:val="zh-CN"/>
              </w:rPr>
            </w:pPr>
            <w:r w:rsidRPr="00536CFD">
              <w:rPr>
                <w:lang w:val="zh-CN"/>
              </w:rPr>
              <w:t>0.058</w:t>
            </w:r>
          </w:p>
        </w:tc>
        <w:tc>
          <w:tcPr>
            <w:tcW w:w="714" w:type="dxa"/>
            <w:tcBorders>
              <w:top w:val="single" w:sz="4" w:space="0" w:color="auto"/>
              <w:left w:val="nil"/>
              <w:bottom w:val="single" w:sz="4" w:space="0" w:color="auto"/>
              <w:right w:val="single" w:sz="4" w:space="0" w:color="auto"/>
            </w:tcBorders>
            <w:shd w:val="clear" w:color="auto" w:fill="auto"/>
            <w:vAlign w:val="bottom"/>
          </w:tcPr>
          <w:p w14:paraId="5530DF2D" w14:textId="77777777" w:rsidR="004346F3" w:rsidRPr="00536CFD" w:rsidRDefault="004346F3" w:rsidP="00802ABC">
            <w:pPr>
              <w:spacing w:after="0"/>
              <w:jc w:val="center"/>
              <w:rPr>
                <w:lang w:val="zh-CN"/>
              </w:rPr>
            </w:pPr>
            <w:r w:rsidRPr="00536CFD">
              <w:rPr>
                <w:lang w:val="zh-CN"/>
              </w:rPr>
              <w:t>0.035</w:t>
            </w:r>
          </w:p>
        </w:tc>
        <w:tc>
          <w:tcPr>
            <w:tcW w:w="719" w:type="dxa"/>
            <w:tcBorders>
              <w:top w:val="single" w:sz="4" w:space="0" w:color="auto"/>
              <w:left w:val="nil"/>
              <w:bottom w:val="single" w:sz="4" w:space="0" w:color="auto"/>
              <w:right w:val="single" w:sz="4" w:space="0" w:color="auto"/>
            </w:tcBorders>
            <w:shd w:val="clear" w:color="auto" w:fill="auto"/>
            <w:vAlign w:val="bottom"/>
          </w:tcPr>
          <w:p w14:paraId="4EEEB45D" w14:textId="77777777" w:rsidR="004346F3" w:rsidRPr="00536CFD" w:rsidRDefault="004346F3" w:rsidP="00802ABC">
            <w:pPr>
              <w:spacing w:after="0"/>
              <w:jc w:val="center"/>
              <w:rPr>
                <w:lang w:val="zh-CN"/>
              </w:rPr>
            </w:pPr>
            <w:r w:rsidRPr="00536CFD">
              <w:rPr>
                <w:lang w:val="zh-CN"/>
              </w:rPr>
              <w:t>0.022</w:t>
            </w:r>
          </w:p>
        </w:tc>
        <w:tc>
          <w:tcPr>
            <w:tcW w:w="719" w:type="dxa"/>
            <w:tcBorders>
              <w:top w:val="single" w:sz="4" w:space="0" w:color="auto"/>
              <w:left w:val="nil"/>
              <w:bottom w:val="single" w:sz="4" w:space="0" w:color="auto"/>
              <w:right w:val="single" w:sz="4" w:space="0" w:color="auto"/>
            </w:tcBorders>
            <w:shd w:val="clear" w:color="auto" w:fill="auto"/>
            <w:vAlign w:val="bottom"/>
          </w:tcPr>
          <w:p w14:paraId="368A26A8" w14:textId="77777777" w:rsidR="004346F3" w:rsidRPr="00536CFD" w:rsidRDefault="004346F3" w:rsidP="00802ABC">
            <w:pPr>
              <w:spacing w:after="0"/>
              <w:jc w:val="center"/>
              <w:rPr>
                <w:lang w:val="zh-CN"/>
              </w:rPr>
            </w:pPr>
            <w:r w:rsidRPr="00536CFD">
              <w:rPr>
                <w:lang w:val="zh-CN"/>
              </w:rPr>
              <w:t>0.022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CF9D0D2" w14:textId="77777777" w:rsidR="004346F3" w:rsidRPr="00536CFD" w:rsidRDefault="004346F3" w:rsidP="00802ABC">
            <w:pPr>
              <w:spacing w:after="0"/>
              <w:jc w:val="center"/>
              <w:rPr>
                <w:lang w:val="zh-CN"/>
              </w:rPr>
            </w:pPr>
            <w:r w:rsidRPr="00536CFD">
              <w:rPr>
                <w:lang w:val="zh-CN"/>
              </w:rPr>
              <w:t>0.072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6CD07AB" w14:textId="77777777" w:rsidR="004346F3" w:rsidRPr="00536CFD" w:rsidRDefault="004346F3" w:rsidP="00802ABC">
            <w:pPr>
              <w:spacing w:after="0"/>
              <w:jc w:val="center"/>
              <w:rPr>
                <w:lang w:val="zh-CN"/>
              </w:rPr>
            </w:pPr>
            <w:r w:rsidRPr="00536CFD">
              <w:rPr>
                <w:lang w:val="zh-CN"/>
              </w:rPr>
              <w:t>0.037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2ABFCDE" w14:textId="77777777" w:rsidR="004346F3" w:rsidRPr="00536CFD" w:rsidRDefault="004346F3" w:rsidP="00802ABC">
            <w:pPr>
              <w:spacing w:after="0"/>
              <w:jc w:val="center"/>
              <w:rPr>
                <w:lang w:val="zh-CN"/>
              </w:rPr>
            </w:pPr>
            <w:r w:rsidRPr="00536CFD">
              <w:rPr>
                <w:lang w:val="zh-CN"/>
              </w:rPr>
              <w:t>0.023</w:t>
            </w:r>
          </w:p>
        </w:tc>
        <w:tc>
          <w:tcPr>
            <w:tcW w:w="676" w:type="dxa"/>
            <w:tcBorders>
              <w:top w:val="single" w:sz="4" w:space="0" w:color="auto"/>
              <w:left w:val="nil"/>
              <w:bottom w:val="single" w:sz="4" w:space="0" w:color="auto"/>
              <w:right w:val="single" w:sz="4" w:space="0" w:color="auto"/>
            </w:tcBorders>
            <w:shd w:val="clear" w:color="auto" w:fill="auto"/>
            <w:vAlign w:val="bottom"/>
          </w:tcPr>
          <w:p w14:paraId="5B10B101" w14:textId="77777777" w:rsidR="004346F3" w:rsidRPr="00536CFD" w:rsidRDefault="004346F3" w:rsidP="00802ABC">
            <w:pPr>
              <w:spacing w:after="0"/>
              <w:jc w:val="center"/>
              <w:rPr>
                <w:lang w:val="zh-CN"/>
              </w:rPr>
            </w:pPr>
            <w:r w:rsidRPr="00536CFD">
              <w:rPr>
                <w:lang w:val="zh-CN"/>
              </w:rPr>
              <w:t>0.022</w:t>
            </w:r>
          </w:p>
        </w:tc>
      </w:tr>
      <w:tr w:rsidR="004346F3" w:rsidRPr="00C64ECB" w14:paraId="5021C5A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1F9AE82"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22A879AF"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450FAD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21B45397" w14:textId="77777777" w:rsidR="004346F3" w:rsidRPr="00536CFD" w:rsidRDefault="004346F3" w:rsidP="00802ABC">
            <w:pPr>
              <w:spacing w:after="0"/>
              <w:jc w:val="center"/>
              <w:rPr>
                <w:lang w:val="zh-CN"/>
              </w:rPr>
            </w:pPr>
            <w:r w:rsidRPr="00536CFD">
              <w:rPr>
                <w:lang w:val="zh-CN"/>
              </w:rPr>
              <w:t>0.096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DF78BE5" w14:textId="77777777" w:rsidR="004346F3" w:rsidRPr="00536CFD" w:rsidRDefault="004346F3" w:rsidP="00802ABC">
            <w:pPr>
              <w:spacing w:after="0"/>
              <w:jc w:val="center"/>
              <w:rPr>
                <w:lang w:val="zh-CN"/>
              </w:rPr>
            </w:pPr>
            <w:r w:rsidRPr="00536CFD">
              <w:rPr>
                <w:lang w:val="zh-CN"/>
              </w:rPr>
              <w:t>0.066</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CBE80F8" w14:textId="77777777" w:rsidR="004346F3" w:rsidRPr="00536CFD" w:rsidRDefault="004346F3" w:rsidP="00802ABC">
            <w:pPr>
              <w:spacing w:after="0"/>
              <w:jc w:val="center"/>
              <w:rPr>
                <w:lang w:val="zh-CN"/>
              </w:rPr>
            </w:pPr>
            <w:r w:rsidRPr="00536CFD">
              <w:rPr>
                <w:lang w:val="zh-CN"/>
              </w:rPr>
              <w:t>0.033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3668D72" w14:textId="77777777" w:rsidR="004346F3" w:rsidRPr="00536CFD" w:rsidRDefault="004346F3" w:rsidP="00802ABC">
            <w:pPr>
              <w:spacing w:after="0"/>
              <w:jc w:val="center"/>
              <w:rPr>
                <w:lang w:val="zh-CN"/>
              </w:rPr>
            </w:pPr>
            <w:r w:rsidRPr="00536CFD">
              <w:rPr>
                <w:lang w:val="zh-CN"/>
              </w:rPr>
              <w:t>0.03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04D4912" w14:textId="77777777" w:rsidR="004346F3" w:rsidRPr="00536CFD" w:rsidRDefault="004346F3" w:rsidP="00802ABC">
            <w:pPr>
              <w:spacing w:after="0"/>
              <w:jc w:val="center"/>
              <w:rPr>
                <w:lang w:val="zh-CN"/>
              </w:rPr>
            </w:pPr>
            <w:r w:rsidRPr="00536CFD">
              <w:rPr>
                <w:lang w:val="zh-CN"/>
              </w:rPr>
              <w:t>0.258</w:t>
            </w:r>
          </w:p>
        </w:tc>
        <w:tc>
          <w:tcPr>
            <w:tcW w:w="714" w:type="dxa"/>
            <w:tcBorders>
              <w:top w:val="single" w:sz="4" w:space="0" w:color="auto"/>
              <w:left w:val="nil"/>
              <w:bottom w:val="single" w:sz="4" w:space="0" w:color="auto"/>
              <w:right w:val="single" w:sz="4" w:space="0" w:color="auto"/>
            </w:tcBorders>
            <w:shd w:val="clear" w:color="auto" w:fill="auto"/>
            <w:vAlign w:val="bottom"/>
          </w:tcPr>
          <w:p w14:paraId="6FF91EB6" w14:textId="77777777" w:rsidR="004346F3" w:rsidRPr="00536CFD" w:rsidRDefault="004346F3" w:rsidP="00802ABC">
            <w:pPr>
              <w:spacing w:after="0"/>
              <w:jc w:val="center"/>
              <w:rPr>
                <w:lang w:val="zh-CN"/>
              </w:rPr>
            </w:pPr>
            <w:r w:rsidRPr="00536CFD">
              <w:rPr>
                <w:lang w:val="zh-CN"/>
              </w:rPr>
              <w:t>0.101</w:t>
            </w:r>
          </w:p>
        </w:tc>
        <w:tc>
          <w:tcPr>
            <w:tcW w:w="719" w:type="dxa"/>
            <w:tcBorders>
              <w:top w:val="single" w:sz="4" w:space="0" w:color="auto"/>
              <w:left w:val="nil"/>
              <w:bottom w:val="single" w:sz="4" w:space="0" w:color="auto"/>
              <w:right w:val="single" w:sz="4" w:space="0" w:color="auto"/>
            </w:tcBorders>
            <w:shd w:val="clear" w:color="auto" w:fill="auto"/>
            <w:vAlign w:val="bottom"/>
          </w:tcPr>
          <w:p w14:paraId="431C30E4" w14:textId="77777777" w:rsidR="004346F3" w:rsidRPr="00536CFD" w:rsidRDefault="004346F3" w:rsidP="00802ABC">
            <w:pPr>
              <w:spacing w:after="0"/>
              <w:jc w:val="center"/>
              <w:rPr>
                <w:lang w:val="zh-CN"/>
              </w:rPr>
            </w:pPr>
            <w:r w:rsidRPr="00536CFD">
              <w:rPr>
                <w:lang w:val="zh-CN"/>
              </w:rPr>
              <w:t>0.056</w:t>
            </w:r>
          </w:p>
        </w:tc>
        <w:tc>
          <w:tcPr>
            <w:tcW w:w="719" w:type="dxa"/>
            <w:tcBorders>
              <w:top w:val="single" w:sz="4" w:space="0" w:color="auto"/>
              <w:left w:val="nil"/>
              <w:bottom w:val="single" w:sz="4" w:space="0" w:color="auto"/>
              <w:right w:val="single" w:sz="4" w:space="0" w:color="auto"/>
            </w:tcBorders>
            <w:shd w:val="clear" w:color="auto" w:fill="auto"/>
            <w:vAlign w:val="bottom"/>
          </w:tcPr>
          <w:p w14:paraId="2B8C6F93" w14:textId="77777777" w:rsidR="004346F3" w:rsidRPr="00536CFD" w:rsidRDefault="004346F3" w:rsidP="00802ABC">
            <w:pPr>
              <w:spacing w:after="0"/>
              <w:jc w:val="center"/>
              <w:rPr>
                <w:lang w:val="zh-CN"/>
              </w:rPr>
            </w:pPr>
            <w:r w:rsidRPr="00536CFD">
              <w:rPr>
                <w:lang w:val="zh-CN"/>
              </w:rPr>
              <w:t>0.034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5A11E96" w14:textId="77777777" w:rsidR="004346F3" w:rsidRPr="00536CFD" w:rsidRDefault="004346F3" w:rsidP="00802ABC">
            <w:pPr>
              <w:spacing w:after="0"/>
              <w:jc w:val="center"/>
              <w:rPr>
                <w:lang w:val="zh-CN"/>
              </w:rPr>
            </w:pPr>
            <w:r w:rsidRPr="00536CFD">
              <w:rPr>
                <w:lang w:val="zh-CN"/>
              </w:rPr>
              <w:t>0.391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11F4592" w14:textId="77777777" w:rsidR="004346F3" w:rsidRPr="00536CFD" w:rsidRDefault="004346F3" w:rsidP="00802ABC">
            <w:pPr>
              <w:spacing w:after="0"/>
              <w:jc w:val="center"/>
              <w:rPr>
                <w:lang w:val="zh-CN"/>
              </w:rPr>
            </w:pPr>
            <w:r w:rsidRPr="00536CFD">
              <w:rPr>
                <w:lang w:val="zh-CN"/>
              </w:rPr>
              <w:t>0.136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7BCCD27" w14:textId="77777777" w:rsidR="004346F3" w:rsidRPr="00536CFD" w:rsidRDefault="004346F3" w:rsidP="00802ABC">
            <w:pPr>
              <w:spacing w:after="0"/>
              <w:jc w:val="center"/>
              <w:rPr>
                <w:lang w:val="zh-CN"/>
              </w:rPr>
            </w:pPr>
            <w:r w:rsidRPr="00536CFD">
              <w:rPr>
                <w:lang w:val="zh-CN"/>
              </w:rPr>
              <w:t>0.091</w:t>
            </w:r>
          </w:p>
        </w:tc>
        <w:tc>
          <w:tcPr>
            <w:tcW w:w="676" w:type="dxa"/>
            <w:tcBorders>
              <w:top w:val="single" w:sz="4" w:space="0" w:color="auto"/>
              <w:left w:val="nil"/>
              <w:bottom w:val="single" w:sz="4" w:space="0" w:color="auto"/>
              <w:right w:val="single" w:sz="4" w:space="0" w:color="auto"/>
            </w:tcBorders>
            <w:shd w:val="clear" w:color="auto" w:fill="auto"/>
            <w:vAlign w:val="bottom"/>
          </w:tcPr>
          <w:p w14:paraId="61172636" w14:textId="77777777" w:rsidR="004346F3" w:rsidRPr="00536CFD" w:rsidRDefault="004346F3" w:rsidP="00802ABC">
            <w:pPr>
              <w:spacing w:after="0"/>
              <w:jc w:val="center"/>
              <w:rPr>
                <w:lang w:val="zh-CN"/>
              </w:rPr>
            </w:pPr>
            <w:r w:rsidRPr="00536CFD">
              <w:rPr>
                <w:lang w:val="zh-CN"/>
              </w:rPr>
              <w:t>0.037</w:t>
            </w:r>
          </w:p>
        </w:tc>
      </w:tr>
      <w:tr w:rsidR="004346F3" w:rsidRPr="00C64ECB" w14:paraId="75857E7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AA95271"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CCC95A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F9661B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672F83D8" w14:textId="77777777" w:rsidR="004346F3" w:rsidRPr="00536CFD" w:rsidRDefault="004346F3" w:rsidP="00802ABC">
            <w:pPr>
              <w:spacing w:after="0"/>
              <w:jc w:val="center"/>
              <w:rPr>
                <w:lang w:val="zh-CN"/>
              </w:rPr>
            </w:pPr>
            <w:r w:rsidRPr="00536CFD">
              <w:rPr>
                <w:lang w:val="zh-CN"/>
              </w:rPr>
              <w:t>0.633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4E1D18F" w14:textId="77777777" w:rsidR="004346F3" w:rsidRPr="00536CFD" w:rsidRDefault="004346F3" w:rsidP="00802ABC">
            <w:pPr>
              <w:spacing w:after="0"/>
              <w:jc w:val="center"/>
              <w:rPr>
                <w:lang w:val="zh-CN"/>
              </w:rPr>
            </w:pPr>
            <w:r w:rsidRPr="00536CFD">
              <w:rPr>
                <w:lang w:val="zh-CN"/>
              </w:rPr>
              <w:t>0.337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631177F" w14:textId="77777777" w:rsidR="004346F3" w:rsidRPr="00536CFD" w:rsidRDefault="004346F3" w:rsidP="00802ABC">
            <w:pPr>
              <w:spacing w:after="0"/>
              <w:jc w:val="center"/>
              <w:rPr>
                <w:lang w:val="zh-CN"/>
              </w:rPr>
            </w:pPr>
            <w:r w:rsidRPr="00536CFD">
              <w:rPr>
                <w:lang w:val="zh-CN"/>
              </w:rPr>
              <w:t>0.199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45F0DA0" w14:textId="77777777" w:rsidR="004346F3" w:rsidRPr="00536CFD" w:rsidRDefault="004346F3" w:rsidP="00802ABC">
            <w:pPr>
              <w:spacing w:after="0"/>
              <w:jc w:val="center"/>
              <w:rPr>
                <w:lang w:val="zh-CN"/>
              </w:rPr>
            </w:pPr>
            <w:r w:rsidRPr="00536CFD">
              <w:rPr>
                <w:lang w:val="zh-CN"/>
              </w:rPr>
              <w:t>0.104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D9A6639" w14:textId="77777777" w:rsidR="004346F3" w:rsidRPr="00536CFD" w:rsidRDefault="004346F3" w:rsidP="00802ABC">
            <w:pPr>
              <w:spacing w:after="0"/>
              <w:jc w:val="center"/>
              <w:rPr>
                <w:lang w:val="zh-CN"/>
              </w:rPr>
            </w:pPr>
            <w:r w:rsidRPr="00536CFD">
              <w:rPr>
                <w:lang w:val="zh-CN"/>
              </w:rPr>
              <w:t>5.15</w:t>
            </w:r>
          </w:p>
        </w:tc>
        <w:tc>
          <w:tcPr>
            <w:tcW w:w="714" w:type="dxa"/>
            <w:tcBorders>
              <w:top w:val="single" w:sz="4" w:space="0" w:color="auto"/>
              <w:left w:val="nil"/>
              <w:bottom w:val="single" w:sz="4" w:space="0" w:color="auto"/>
              <w:right w:val="single" w:sz="4" w:space="0" w:color="auto"/>
            </w:tcBorders>
            <w:shd w:val="clear" w:color="auto" w:fill="auto"/>
            <w:vAlign w:val="bottom"/>
          </w:tcPr>
          <w:p w14:paraId="57509443" w14:textId="77777777" w:rsidR="004346F3" w:rsidRPr="00536CFD" w:rsidRDefault="004346F3" w:rsidP="00802ABC">
            <w:pPr>
              <w:spacing w:after="0"/>
              <w:jc w:val="center"/>
              <w:rPr>
                <w:lang w:val="zh-CN"/>
              </w:rPr>
            </w:pPr>
            <w:r w:rsidRPr="00536CFD">
              <w:rPr>
                <w:lang w:val="zh-CN"/>
              </w:rPr>
              <w:t>0.679</w:t>
            </w:r>
          </w:p>
        </w:tc>
        <w:tc>
          <w:tcPr>
            <w:tcW w:w="719" w:type="dxa"/>
            <w:tcBorders>
              <w:top w:val="single" w:sz="4" w:space="0" w:color="auto"/>
              <w:left w:val="nil"/>
              <w:bottom w:val="single" w:sz="4" w:space="0" w:color="auto"/>
              <w:right w:val="single" w:sz="4" w:space="0" w:color="auto"/>
            </w:tcBorders>
            <w:shd w:val="clear" w:color="auto" w:fill="auto"/>
            <w:vAlign w:val="bottom"/>
          </w:tcPr>
          <w:p w14:paraId="4954BC69" w14:textId="77777777" w:rsidR="004346F3" w:rsidRPr="00536CFD" w:rsidRDefault="004346F3" w:rsidP="00802ABC">
            <w:pPr>
              <w:spacing w:after="0"/>
              <w:jc w:val="center"/>
              <w:rPr>
                <w:lang w:val="zh-CN"/>
              </w:rPr>
            </w:pPr>
            <w:r w:rsidRPr="00536CFD">
              <w:rPr>
                <w:lang w:val="zh-CN"/>
              </w:rPr>
              <w:t>0.495</w:t>
            </w:r>
          </w:p>
        </w:tc>
        <w:tc>
          <w:tcPr>
            <w:tcW w:w="719" w:type="dxa"/>
            <w:tcBorders>
              <w:top w:val="single" w:sz="4" w:space="0" w:color="auto"/>
              <w:left w:val="nil"/>
              <w:bottom w:val="single" w:sz="4" w:space="0" w:color="auto"/>
              <w:right w:val="single" w:sz="4" w:space="0" w:color="auto"/>
            </w:tcBorders>
            <w:shd w:val="clear" w:color="auto" w:fill="auto"/>
            <w:vAlign w:val="bottom"/>
          </w:tcPr>
          <w:p w14:paraId="52CCDB77" w14:textId="77777777" w:rsidR="004346F3" w:rsidRPr="00536CFD" w:rsidRDefault="004346F3" w:rsidP="00802ABC">
            <w:pPr>
              <w:spacing w:after="0"/>
              <w:jc w:val="center"/>
              <w:rPr>
                <w:lang w:val="zh-CN"/>
              </w:rPr>
            </w:pPr>
            <w:r w:rsidRPr="00536CFD">
              <w:rPr>
                <w:lang w:val="zh-CN"/>
              </w:rPr>
              <w:t>0.139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80C3D79" w14:textId="77777777" w:rsidR="004346F3" w:rsidRPr="00536CFD" w:rsidRDefault="004346F3" w:rsidP="00802ABC">
            <w:pPr>
              <w:spacing w:after="0"/>
              <w:jc w:val="center"/>
              <w:rPr>
                <w:lang w:val="zh-CN"/>
              </w:rPr>
            </w:pPr>
            <w:r w:rsidRPr="00536CFD">
              <w:rPr>
                <w:lang w:val="zh-CN"/>
              </w:rPr>
              <w:t>78.754</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89F0B3F" w14:textId="77777777" w:rsidR="004346F3" w:rsidRPr="00536CFD" w:rsidRDefault="004346F3" w:rsidP="00802ABC">
            <w:pPr>
              <w:spacing w:after="0"/>
              <w:jc w:val="center"/>
              <w:rPr>
                <w:lang w:val="zh-CN"/>
              </w:rPr>
            </w:pPr>
            <w:r w:rsidRPr="00536CFD">
              <w:rPr>
                <w:lang w:val="zh-CN"/>
              </w:rPr>
              <w:t>1.24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87F43E1" w14:textId="77777777" w:rsidR="004346F3" w:rsidRPr="00536CFD" w:rsidRDefault="004346F3" w:rsidP="00802ABC">
            <w:pPr>
              <w:spacing w:after="0"/>
              <w:jc w:val="center"/>
              <w:rPr>
                <w:lang w:val="zh-CN"/>
              </w:rPr>
            </w:pPr>
            <w:r w:rsidRPr="00536CFD">
              <w:rPr>
                <w:lang w:val="zh-CN"/>
              </w:rPr>
              <w:t>1.192</w:t>
            </w:r>
          </w:p>
        </w:tc>
        <w:tc>
          <w:tcPr>
            <w:tcW w:w="676" w:type="dxa"/>
            <w:tcBorders>
              <w:top w:val="single" w:sz="4" w:space="0" w:color="auto"/>
              <w:left w:val="nil"/>
              <w:bottom w:val="single" w:sz="4" w:space="0" w:color="auto"/>
              <w:right w:val="single" w:sz="4" w:space="0" w:color="auto"/>
            </w:tcBorders>
            <w:shd w:val="clear" w:color="auto" w:fill="auto"/>
            <w:vAlign w:val="bottom"/>
          </w:tcPr>
          <w:p w14:paraId="455C0054" w14:textId="77777777" w:rsidR="004346F3" w:rsidRPr="00536CFD" w:rsidRDefault="004346F3" w:rsidP="00802ABC">
            <w:pPr>
              <w:spacing w:after="0"/>
              <w:jc w:val="center"/>
              <w:rPr>
                <w:lang w:val="zh-CN"/>
              </w:rPr>
            </w:pPr>
            <w:r w:rsidRPr="00536CFD">
              <w:rPr>
                <w:lang w:val="zh-CN"/>
              </w:rPr>
              <w:t>0.161</w:t>
            </w:r>
          </w:p>
        </w:tc>
      </w:tr>
      <w:tr w:rsidR="004346F3" w:rsidRPr="00C64ECB" w14:paraId="1DC369C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D508C6B"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3627B6EB"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CA12B3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3E04A325" w14:textId="77777777" w:rsidR="004346F3" w:rsidRPr="00536CFD" w:rsidRDefault="004346F3" w:rsidP="00802ABC">
            <w:pPr>
              <w:spacing w:after="0"/>
              <w:jc w:val="center"/>
              <w:rPr>
                <w:lang w:val="zh-CN"/>
              </w:rPr>
            </w:pPr>
            <w:r w:rsidRPr="00536CFD">
              <w:rPr>
                <w:lang w:val="zh-CN"/>
              </w:rPr>
              <w:t>0.198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2F39011" w14:textId="77777777" w:rsidR="004346F3" w:rsidRPr="00536CFD" w:rsidRDefault="004346F3" w:rsidP="00802ABC">
            <w:pPr>
              <w:spacing w:after="0"/>
              <w:jc w:val="center"/>
              <w:rPr>
                <w:lang w:val="zh-CN"/>
              </w:rPr>
            </w:pPr>
            <w:r w:rsidRPr="00536CFD">
              <w:rPr>
                <w:lang w:val="zh-CN"/>
              </w:rPr>
              <w:t>0.109</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4EABCE8" w14:textId="77777777" w:rsidR="004346F3" w:rsidRPr="00536CFD" w:rsidRDefault="004346F3" w:rsidP="00802ABC">
            <w:pPr>
              <w:spacing w:after="0"/>
              <w:jc w:val="center"/>
              <w:rPr>
                <w:lang w:val="zh-CN"/>
              </w:rPr>
            </w:pPr>
            <w:r w:rsidRPr="00536CFD">
              <w:rPr>
                <w:lang w:val="zh-CN"/>
              </w:rPr>
              <w:t>0.063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C5DFD3B" w14:textId="77777777" w:rsidR="004346F3" w:rsidRPr="00536CFD" w:rsidRDefault="004346F3" w:rsidP="00802ABC">
            <w:pPr>
              <w:spacing w:after="0"/>
              <w:jc w:val="center"/>
              <w:rPr>
                <w:lang w:val="zh-CN"/>
              </w:rPr>
            </w:pPr>
            <w:r w:rsidRPr="00536CFD">
              <w:rPr>
                <w:lang w:val="zh-CN"/>
              </w:rPr>
              <w:t>0.042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5CC877F4" w14:textId="77777777" w:rsidR="004346F3" w:rsidRPr="00536CFD" w:rsidRDefault="004346F3" w:rsidP="00802ABC">
            <w:pPr>
              <w:spacing w:after="0"/>
              <w:jc w:val="center"/>
              <w:rPr>
                <w:lang w:val="zh-CN"/>
              </w:rPr>
            </w:pPr>
            <w:r w:rsidRPr="00536CFD">
              <w:rPr>
                <w:lang w:val="zh-CN"/>
              </w:rPr>
              <w:t>4.003</w:t>
            </w:r>
          </w:p>
        </w:tc>
        <w:tc>
          <w:tcPr>
            <w:tcW w:w="714" w:type="dxa"/>
            <w:tcBorders>
              <w:top w:val="single" w:sz="4" w:space="0" w:color="auto"/>
              <w:left w:val="nil"/>
              <w:bottom w:val="single" w:sz="4" w:space="0" w:color="auto"/>
              <w:right w:val="single" w:sz="4" w:space="0" w:color="auto"/>
            </w:tcBorders>
            <w:shd w:val="clear" w:color="auto" w:fill="auto"/>
            <w:vAlign w:val="bottom"/>
          </w:tcPr>
          <w:p w14:paraId="11AEBC56" w14:textId="77777777" w:rsidR="004346F3" w:rsidRPr="00536CFD" w:rsidRDefault="004346F3" w:rsidP="00802ABC">
            <w:pPr>
              <w:spacing w:after="0"/>
              <w:jc w:val="center"/>
              <w:rPr>
                <w:lang w:val="zh-CN"/>
              </w:rPr>
            </w:pPr>
            <w:r w:rsidRPr="00536CFD">
              <w:rPr>
                <w:lang w:val="zh-CN"/>
              </w:rPr>
              <w:t>0.21</w:t>
            </w:r>
          </w:p>
        </w:tc>
        <w:tc>
          <w:tcPr>
            <w:tcW w:w="719" w:type="dxa"/>
            <w:tcBorders>
              <w:top w:val="single" w:sz="4" w:space="0" w:color="auto"/>
              <w:left w:val="nil"/>
              <w:bottom w:val="single" w:sz="4" w:space="0" w:color="auto"/>
              <w:right w:val="single" w:sz="4" w:space="0" w:color="auto"/>
            </w:tcBorders>
            <w:shd w:val="clear" w:color="auto" w:fill="auto"/>
            <w:vAlign w:val="bottom"/>
          </w:tcPr>
          <w:p w14:paraId="777BE9E8" w14:textId="77777777" w:rsidR="004346F3" w:rsidRPr="00536CFD" w:rsidRDefault="004346F3" w:rsidP="00802ABC">
            <w:pPr>
              <w:spacing w:after="0"/>
              <w:jc w:val="center"/>
              <w:rPr>
                <w:lang w:val="zh-CN"/>
              </w:rPr>
            </w:pPr>
            <w:r w:rsidRPr="00536CFD">
              <w:rPr>
                <w:lang w:val="zh-CN"/>
              </w:rPr>
              <w:t>0.143</w:t>
            </w:r>
          </w:p>
        </w:tc>
        <w:tc>
          <w:tcPr>
            <w:tcW w:w="719" w:type="dxa"/>
            <w:tcBorders>
              <w:top w:val="single" w:sz="4" w:space="0" w:color="auto"/>
              <w:left w:val="nil"/>
              <w:bottom w:val="single" w:sz="4" w:space="0" w:color="auto"/>
              <w:right w:val="single" w:sz="4" w:space="0" w:color="auto"/>
            </w:tcBorders>
            <w:shd w:val="clear" w:color="auto" w:fill="auto"/>
            <w:vAlign w:val="bottom"/>
          </w:tcPr>
          <w:p w14:paraId="67C97219" w14:textId="77777777" w:rsidR="004346F3" w:rsidRPr="00536CFD" w:rsidRDefault="004346F3" w:rsidP="00802ABC">
            <w:pPr>
              <w:spacing w:after="0"/>
              <w:jc w:val="center"/>
              <w:rPr>
                <w:lang w:val="zh-CN"/>
              </w:rPr>
            </w:pPr>
            <w:r w:rsidRPr="00536CFD">
              <w:rPr>
                <w:lang w:val="zh-CN"/>
              </w:rPr>
              <w:t>0.052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62B1CFF" w14:textId="77777777" w:rsidR="004346F3" w:rsidRPr="00536CFD" w:rsidRDefault="004346F3" w:rsidP="00802ABC">
            <w:pPr>
              <w:spacing w:after="0"/>
              <w:jc w:val="center"/>
              <w:rPr>
                <w:lang w:val="zh-CN"/>
              </w:rPr>
            </w:pPr>
            <w:r w:rsidRPr="00536CFD">
              <w:rPr>
                <w:lang w:val="zh-CN"/>
              </w:rPr>
              <w:t>15.221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F043C67" w14:textId="77777777" w:rsidR="004346F3" w:rsidRPr="00536CFD" w:rsidRDefault="004346F3" w:rsidP="00802ABC">
            <w:pPr>
              <w:spacing w:after="0"/>
              <w:jc w:val="center"/>
              <w:rPr>
                <w:lang w:val="zh-CN"/>
              </w:rPr>
            </w:pPr>
            <w:r w:rsidRPr="00536CFD">
              <w:rPr>
                <w:lang w:val="zh-CN"/>
              </w:rPr>
              <w:t>1.649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08E061F" w14:textId="77777777" w:rsidR="004346F3" w:rsidRPr="00536CFD" w:rsidRDefault="004346F3" w:rsidP="00802ABC">
            <w:pPr>
              <w:spacing w:after="0"/>
              <w:jc w:val="center"/>
              <w:rPr>
                <w:lang w:val="zh-CN"/>
              </w:rPr>
            </w:pPr>
            <w:r w:rsidRPr="00536CFD">
              <w:rPr>
                <w:lang w:val="zh-CN"/>
              </w:rPr>
              <w:t>0.407</w:t>
            </w:r>
          </w:p>
        </w:tc>
        <w:tc>
          <w:tcPr>
            <w:tcW w:w="676" w:type="dxa"/>
            <w:tcBorders>
              <w:top w:val="single" w:sz="4" w:space="0" w:color="auto"/>
              <w:left w:val="nil"/>
              <w:bottom w:val="single" w:sz="4" w:space="0" w:color="auto"/>
              <w:right w:val="single" w:sz="4" w:space="0" w:color="auto"/>
            </w:tcBorders>
            <w:shd w:val="clear" w:color="auto" w:fill="auto"/>
            <w:vAlign w:val="bottom"/>
          </w:tcPr>
          <w:p w14:paraId="738DB0C5" w14:textId="77777777" w:rsidR="004346F3" w:rsidRPr="00536CFD" w:rsidRDefault="004346F3" w:rsidP="00802ABC">
            <w:pPr>
              <w:spacing w:after="0"/>
              <w:jc w:val="center"/>
              <w:rPr>
                <w:lang w:val="zh-CN"/>
              </w:rPr>
            </w:pPr>
            <w:r w:rsidRPr="00536CFD">
              <w:rPr>
                <w:lang w:val="zh-CN"/>
              </w:rPr>
              <w:t>0.058</w:t>
            </w:r>
          </w:p>
        </w:tc>
      </w:tr>
      <w:tr w:rsidR="004346F3" w:rsidRPr="00C64ECB" w14:paraId="47D1B7F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CBDED01"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4D3A26EA"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0" w:type="dxa"/>
            <w:tcBorders>
              <w:top w:val="single" w:sz="4" w:space="0" w:color="auto"/>
              <w:left w:val="nil"/>
              <w:bottom w:val="single" w:sz="4" w:space="0" w:color="auto"/>
              <w:right w:val="single" w:sz="4" w:space="0" w:color="auto"/>
            </w:tcBorders>
            <w:shd w:val="clear" w:color="auto" w:fill="auto"/>
            <w:vAlign w:val="bottom"/>
          </w:tcPr>
          <w:p w14:paraId="4AF3BA0C"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3352C70" w14:textId="77777777" w:rsidR="004346F3" w:rsidRPr="00536CFD" w:rsidRDefault="004346F3" w:rsidP="00802ABC">
            <w:pPr>
              <w:spacing w:after="0"/>
              <w:jc w:val="center"/>
              <w:rPr>
                <w:lang w:val="zh-CN"/>
              </w:rPr>
            </w:pPr>
            <w:r w:rsidRPr="00536CFD">
              <w:rPr>
                <w:lang w:val="zh-CN"/>
              </w:rPr>
              <w:t>1.00</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29F68281"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0F96315" w14:textId="77777777" w:rsidR="004346F3" w:rsidRPr="00536CFD" w:rsidRDefault="004346F3" w:rsidP="00802ABC">
            <w:pPr>
              <w:spacing w:after="0"/>
              <w:jc w:val="center"/>
              <w:rPr>
                <w:lang w:val="zh-CN"/>
              </w:rPr>
            </w:pPr>
            <w:r w:rsidRPr="00536CFD">
              <w:rPr>
                <w:lang w:val="zh-CN"/>
              </w:rPr>
              <w:t>1.01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A5B13C4" w14:textId="77777777" w:rsidR="004346F3" w:rsidRPr="00536CFD" w:rsidRDefault="004346F3" w:rsidP="00802ABC">
            <w:pPr>
              <w:spacing w:after="0"/>
              <w:jc w:val="center"/>
              <w:rPr>
                <w:lang w:val="zh-CN"/>
              </w:rPr>
            </w:pPr>
            <w:r w:rsidRPr="00536CFD">
              <w:rPr>
                <w:lang w:val="zh-CN"/>
              </w:rPr>
              <w:t>0.99</w:t>
            </w:r>
          </w:p>
        </w:tc>
        <w:tc>
          <w:tcPr>
            <w:tcW w:w="714" w:type="dxa"/>
            <w:tcBorders>
              <w:top w:val="single" w:sz="4" w:space="0" w:color="auto"/>
              <w:left w:val="nil"/>
              <w:bottom w:val="single" w:sz="4" w:space="0" w:color="auto"/>
              <w:right w:val="single" w:sz="4" w:space="0" w:color="auto"/>
            </w:tcBorders>
            <w:shd w:val="clear" w:color="auto" w:fill="auto"/>
            <w:vAlign w:val="bottom"/>
          </w:tcPr>
          <w:p w14:paraId="031218DA"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68502415"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65851F02"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F03775A" w14:textId="77777777" w:rsidR="004346F3" w:rsidRPr="00536CFD" w:rsidRDefault="004346F3" w:rsidP="00802ABC">
            <w:pPr>
              <w:spacing w:after="0"/>
              <w:jc w:val="center"/>
              <w:rPr>
                <w:lang w:val="zh-CN"/>
              </w:rPr>
            </w:pPr>
            <w:r w:rsidRPr="00536CFD">
              <w:rPr>
                <w:lang w:val="zh-CN"/>
              </w:rPr>
              <w:t>0.97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306998E"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F3D989B" w14:textId="77777777" w:rsidR="004346F3" w:rsidRPr="00536CFD" w:rsidRDefault="004346F3" w:rsidP="00802ABC">
            <w:pPr>
              <w:spacing w:after="0"/>
              <w:jc w:val="center"/>
              <w:rPr>
                <w:lang w:val="zh-CN"/>
              </w:rPr>
            </w:pPr>
            <w:r w:rsidRPr="00536CFD">
              <w:rPr>
                <w:lang w:val="zh-CN"/>
              </w:rPr>
              <w:t>1.00</w:t>
            </w:r>
          </w:p>
        </w:tc>
        <w:tc>
          <w:tcPr>
            <w:tcW w:w="676" w:type="dxa"/>
            <w:tcBorders>
              <w:top w:val="single" w:sz="4" w:space="0" w:color="auto"/>
              <w:left w:val="nil"/>
              <w:bottom w:val="single" w:sz="4" w:space="0" w:color="auto"/>
              <w:right w:val="single" w:sz="4" w:space="0" w:color="auto"/>
            </w:tcBorders>
            <w:shd w:val="clear" w:color="auto" w:fill="auto"/>
            <w:vAlign w:val="bottom"/>
          </w:tcPr>
          <w:p w14:paraId="691438BE" w14:textId="77777777" w:rsidR="004346F3" w:rsidRPr="00536CFD" w:rsidRDefault="004346F3" w:rsidP="00802ABC">
            <w:pPr>
              <w:spacing w:after="0"/>
              <w:jc w:val="center"/>
              <w:rPr>
                <w:lang w:val="zh-CN"/>
              </w:rPr>
            </w:pPr>
            <w:r w:rsidRPr="00536CFD">
              <w:rPr>
                <w:lang w:val="zh-CN"/>
              </w:rPr>
              <w:t>0.99</w:t>
            </w:r>
          </w:p>
        </w:tc>
      </w:tr>
      <w:tr w:rsidR="004346F3" w:rsidRPr="00C64ECB" w14:paraId="5AC6DA86"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38BBB53"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329E4043"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0" w:type="dxa"/>
            <w:tcBorders>
              <w:top w:val="single" w:sz="4" w:space="0" w:color="auto"/>
              <w:left w:val="nil"/>
              <w:bottom w:val="single" w:sz="4" w:space="0" w:color="auto"/>
              <w:right w:val="single" w:sz="4" w:space="0" w:color="auto"/>
            </w:tcBorders>
            <w:shd w:val="clear" w:color="auto" w:fill="auto"/>
            <w:vAlign w:val="bottom"/>
          </w:tcPr>
          <w:p w14:paraId="7C140D66" w14:textId="77777777" w:rsidR="004346F3" w:rsidRPr="00536CFD" w:rsidRDefault="004346F3" w:rsidP="00802ABC">
            <w:pPr>
              <w:spacing w:after="0"/>
              <w:jc w:val="center"/>
              <w:rPr>
                <w:lang w:val="zh-CN"/>
              </w:rPr>
            </w:pPr>
            <w:r w:rsidRPr="00536CFD">
              <w:rPr>
                <w:lang w:val="zh-CN"/>
              </w:rPr>
              <w:t>0.99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852F1B3" w14:textId="77777777" w:rsidR="004346F3" w:rsidRPr="00536CFD" w:rsidRDefault="004346F3" w:rsidP="00802ABC">
            <w:pPr>
              <w:spacing w:after="0"/>
              <w:jc w:val="center"/>
              <w:rPr>
                <w:lang w:val="zh-CN"/>
              </w:rPr>
            </w:pPr>
            <w:r w:rsidRPr="00536CFD">
              <w:rPr>
                <w:lang w:val="zh-CN"/>
              </w:rPr>
              <w:t>1.00</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10F2C62" w14:textId="77777777" w:rsidR="004346F3" w:rsidRPr="00536CFD" w:rsidRDefault="004346F3" w:rsidP="00802ABC">
            <w:pPr>
              <w:spacing w:after="0"/>
              <w:jc w:val="center"/>
              <w:rPr>
                <w:lang w:val="zh-CN"/>
              </w:rPr>
            </w:pPr>
            <w:r w:rsidRPr="00536CFD">
              <w:rPr>
                <w:lang w:val="zh-CN"/>
              </w:rPr>
              <w:t>0.99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E26629A" w14:textId="77777777" w:rsidR="004346F3" w:rsidRPr="00536CFD" w:rsidRDefault="004346F3" w:rsidP="00802ABC">
            <w:pPr>
              <w:spacing w:after="0"/>
              <w:jc w:val="center"/>
              <w:rPr>
                <w:lang w:val="zh-CN"/>
              </w:rPr>
            </w:pPr>
            <w:r w:rsidRPr="00536CFD">
              <w:rPr>
                <w:lang w:val="zh-CN"/>
              </w:rPr>
              <w:t>1.01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71A16DDB" w14:textId="77777777" w:rsidR="004346F3" w:rsidRPr="00536CFD" w:rsidRDefault="004346F3" w:rsidP="00802ABC">
            <w:pPr>
              <w:spacing w:after="0"/>
              <w:jc w:val="center"/>
              <w:rPr>
                <w:lang w:val="zh-CN"/>
              </w:rPr>
            </w:pPr>
            <w:r w:rsidRPr="00536CFD">
              <w:rPr>
                <w:lang w:val="zh-CN"/>
              </w:rPr>
              <w:t>0.99</w:t>
            </w:r>
          </w:p>
        </w:tc>
        <w:tc>
          <w:tcPr>
            <w:tcW w:w="714" w:type="dxa"/>
            <w:tcBorders>
              <w:top w:val="single" w:sz="4" w:space="0" w:color="auto"/>
              <w:left w:val="nil"/>
              <w:bottom w:val="single" w:sz="4" w:space="0" w:color="auto"/>
              <w:right w:val="single" w:sz="4" w:space="0" w:color="auto"/>
            </w:tcBorders>
            <w:shd w:val="clear" w:color="auto" w:fill="auto"/>
            <w:vAlign w:val="bottom"/>
          </w:tcPr>
          <w:p w14:paraId="59006870"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7FB37084" w14:textId="77777777" w:rsidR="004346F3" w:rsidRPr="00536CFD" w:rsidRDefault="004346F3" w:rsidP="00802ABC">
            <w:pPr>
              <w:spacing w:after="0"/>
              <w:jc w:val="center"/>
              <w:rPr>
                <w:lang w:val="zh-CN"/>
              </w:rPr>
            </w:pPr>
            <w:r w:rsidRPr="00536CFD">
              <w:rPr>
                <w:lang w:val="zh-CN"/>
              </w:rPr>
              <w:t>1.01</w:t>
            </w:r>
          </w:p>
        </w:tc>
        <w:tc>
          <w:tcPr>
            <w:tcW w:w="719" w:type="dxa"/>
            <w:tcBorders>
              <w:top w:val="single" w:sz="4" w:space="0" w:color="auto"/>
              <w:left w:val="nil"/>
              <w:bottom w:val="single" w:sz="4" w:space="0" w:color="auto"/>
              <w:right w:val="single" w:sz="4" w:space="0" w:color="auto"/>
            </w:tcBorders>
            <w:shd w:val="clear" w:color="auto" w:fill="auto"/>
            <w:vAlign w:val="bottom"/>
          </w:tcPr>
          <w:p w14:paraId="21F0845F"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312F346" w14:textId="77777777" w:rsidR="004346F3" w:rsidRPr="00536CFD" w:rsidRDefault="004346F3" w:rsidP="00802ABC">
            <w:pPr>
              <w:spacing w:after="0"/>
              <w:jc w:val="center"/>
              <w:rPr>
                <w:lang w:val="zh-CN"/>
              </w:rPr>
            </w:pPr>
            <w:r w:rsidRPr="00536CFD">
              <w:rPr>
                <w:lang w:val="zh-CN"/>
              </w:rPr>
              <w:t>0.94</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90B9834"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CDAB937" w14:textId="77777777" w:rsidR="004346F3" w:rsidRPr="00536CFD" w:rsidRDefault="004346F3" w:rsidP="00802ABC">
            <w:pPr>
              <w:spacing w:after="0"/>
              <w:jc w:val="center"/>
              <w:rPr>
                <w:lang w:val="zh-CN"/>
              </w:rPr>
            </w:pPr>
            <w:r w:rsidRPr="00536CFD">
              <w:rPr>
                <w:lang w:val="zh-CN"/>
              </w:rPr>
              <w:t>1.00</w:t>
            </w:r>
          </w:p>
        </w:tc>
        <w:tc>
          <w:tcPr>
            <w:tcW w:w="676" w:type="dxa"/>
            <w:tcBorders>
              <w:top w:val="single" w:sz="4" w:space="0" w:color="auto"/>
              <w:left w:val="nil"/>
              <w:bottom w:val="single" w:sz="4" w:space="0" w:color="auto"/>
              <w:right w:val="single" w:sz="4" w:space="0" w:color="auto"/>
            </w:tcBorders>
            <w:shd w:val="clear" w:color="auto" w:fill="auto"/>
            <w:vAlign w:val="bottom"/>
          </w:tcPr>
          <w:p w14:paraId="2E0040E8" w14:textId="77777777" w:rsidR="004346F3" w:rsidRPr="00536CFD" w:rsidRDefault="004346F3" w:rsidP="00802ABC">
            <w:pPr>
              <w:spacing w:after="0"/>
              <w:jc w:val="center"/>
              <w:rPr>
                <w:lang w:val="zh-CN"/>
              </w:rPr>
            </w:pPr>
            <w:r w:rsidRPr="00536CFD">
              <w:rPr>
                <w:lang w:val="zh-CN"/>
              </w:rPr>
              <w:t>1.00</w:t>
            </w:r>
          </w:p>
        </w:tc>
      </w:tr>
      <w:tr w:rsidR="004346F3" w:rsidRPr="00C64ECB" w14:paraId="48E9B62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9BA2325"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14E2FB7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0" w:type="dxa"/>
            <w:tcBorders>
              <w:top w:val="single" w:sz="4" w:space="0" w:color="auto"/>
              <w:left w:val="nil"/>
              <w:bottom w:val="single" w:sz="4" w:space="0" w:color="auto"/>
              <w:right w:val="single" w:sz="4" w:space="0" w:color="auto"/>
            </w:tcBorders>
            <w:shd w:val="clear" w:color="auto" w:fill="auto"/>
            <w:vAlign w:val="bottom"/>
          </w:tcPr>
          <w:p w14:paraId="62D5C079" w14:textId="77777777" w:rsidR="004346F3" w:rsidRPr="00536CFD" w:rsidRDefault="004346F3" w:rsidP="00802ABC">
            <w:pPr>
              <w:spacing w:after="0"/>
              <w:jc w:val="center"/>
              <w:rPr>
                <w:lang w:val="zh-CN"/>
              </w:rPr>
            </w:pPr>
            <w:r w:rsidRPr="00536CFD">
              <w:rPr>
                <w:lang w:val="zh-CN"/>
              </w:rPr>
              <w:t>0.13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D45BD4C" w14:textId="77777777" w:rsidR="004346F3" w:rsidRPr="00536CFD" w:rsidRDefault="004346F3" w:rsidP="00802ABC">
            <w:pPr>
              <w:spacing w:after="0"/>
              <w:jc w:val="center"/>
              <w:rPr>
                <w:lang w:val="zh-CN"/>
              </w:rPr>
            </w:pPr>
            <w:r w:rsidRPr="00536CFD">
              <w:rPr>
                <w:lang w:val="zh-CN"/>
              </w:rPr>
              <w:t>0.08</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77BD032" w14:textId="77777777" w:rsidR="004346F3" w:rsidRPr="00536CFD" w:rsidRDefault="004346F3" w:rsidP="00802ABC">
            <w:pPr>
              <w:spacing w:after="0"/>
              <w:jc w:val="center"/>
              <w:rPr>
                <w:lang w:val="zh-CN"/>
              </w:rPr>
            </w:pPr>
            <w:r w:rsidRPr="00536CFD">
              <w:rPr>
                <w:lang w:val="zh-CN"/>
              </w:rPr>
              <w:t>0.05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3EEE1DC" w14:textId="77777777" w:rsidR="004346F3" w:rsidRPr="00536CFD" w:rsidRDefault="004346F3" w:rsidP="00802ABC">
            <w:pPr>
              <w:spacing w:after="0"/>
              <w:jc w:val="center"/>
              <w:rPr>
                <w:lang w:val="zh-CN"/>
              </w:rPr>
            </w:pPr>
            <w:r w:rsidRPr="00536CFD">
              <w:rPr>
                <w:lang w:val="zh-CN"/>
              </w:rPr>
              <w:t>0.04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E5B8AA4" w14:textId="77777777" w:rsidR="004346F3" w:rsidRPr="00536CFD" w:rsidRDefault="004346F3" w:rsidP="00802ABC">
            <w:pPr>
              <w:spacing w:after="0"/>
              <w:jc w:val="center"/>
              <w:rPr>
                <w:lang w:val="zh-CN"/>
              </w:rPr>
            </w:pPr>
            <w:r w:rsidRPr="00536CFD">
              <w:rPr>
                <w:lang w:val="zh-CN"/>
              </w:rPr>
              <w:t>0.45</w:t>
            </w:r>
          </w:p>
        </w:tc>
        <w:tc>
          <w:tcPr>
            <w:tcW w:w="714" w:type="dxa"/>
            <w:tcBorders>
              <w:top w:val="single" w:sz="4" w:space="0" w:color="auto"/>
              <w:left w:val="nil"/>
              <w:bottom w:val="single" w:sz="4" w:space="0" w:color="auto"/>
              <w:right w:val="single" w:sz="4" w:space="0" w:color="auto"/>
            </w:tcBorders>
            <w:shd w:val="clear" w:color="auto" w:fill="auto"/>
            <w:vAlign w:val="bottom"/>
          </w:tcPr>
          <w:p w14:paraId="38E287A0" w14:textId="77777777" w:rsidR="004346F3" w:rsidRPr="00536CFD" w:rsidRDefault="004346F3" w:rsidP="00802ABC">
            <w:pPr>
              <w:spacing w:after="0"/>
              <w:jc w:val="center"/>
              <w:rPr>
                <w:lang w:val="zh-CN"/>
              </w:rPr>
            </w:pPr>
            <w:r w:rsidRPr="00536CFD">
              <w:rPr>
                <w:lang w:val="zh-CN"/>
              </w:rPr>
              <w:t>0.19</w:t>
            </w:r>
          </w:p>
        </w:tc>
        <w:tc>
          <w:tcPr>
            <w:tcW w:w="719" w:type="dxa"/>
            <w:tcBorders>
              <w:top w:val="single" w:sz="4" w:space="0" w:color="auto"/>
              <w:left w:val="nil"/>
              <w:bottom w:val="single" w:sz="4" w:space="0" w:color="auto"/>
              <w:right w:val="single" w:sz="4" w:space="0" w:color="auto"/>
            </w:tcBorders>
            <w:shd w:val="clear" w:color="auto" w:fill="auto"/>
            <w:vAlign w:val="bottom"/>
          </w:tcPr>
          <w:p w14:paraId="6579DAFE" w14:textId="77777777" w:rsidR="004346F3" w:rsidRPr="00536CFD" w:rsidRDefault="004346F3" w:rsidP="00802ABC">
            <w:pPr>
              <w:spacing w:after="0"/>
              <w:jc w:val="center"/>
              <w:rPr>
                <w:lang w:val="zh-CN"/>
              </w:rPr>
            </w:pPr>
            <w:r w:rsidRPr="00536CFD">
              <w:rPr>
                <w:lang w:val="zh-CN"/>
              </w:rPr>
              <w:t>0.13</w:t>
            </w:r>
          </w:p>
        </w:tc>
        <w:tc>
          <w:tcPr>
            <w:tcW w:w="719" w:type="dxa"/>
            <w:tcBorders>
              <w:top w:val="single" w:sz="4" w:space="0" w:color="auto"/>
              <w:left w:val="nil"/>
              <w:bottom w:val="single" w:sz="4" w:space="0" w:color="auto"/>
              <w:right w:val="single" w:sz="4" w:space="0" w:color="auto"/>
            </w:tcBorders>
            <w:shd w:val="clear" w:color="auto" w:fill="auto"/>
            <w:vAlign w:val="bottom"/>
          </w:tcPr>
          <w:p w14:paraId="0ED32243" w14:textId="77777777" w:rsidR="004346F3" w:rsidRPr="00536CFD" w:rsidRDefault="004346F3" w:rsidP="00802ABC">
            <w:pPr>
              <w:spacing w:after="0"/>
              <w:jc w:val="center"/>
              <w:rPr>
                <w:lang w:val="zh-CN"/>
              </w:rPr>
            </w:pPr>
            <w:r w:rsidRPr="00536CFD">
              <w:rPr>
                <w:lang w:val="zh-CN"/>
              </w:rPr>
              <w:t>0.06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4D60B9A" w14:textId="77777777" w:rsidR="004346F3" w:rsidRPr="00536CFD" w:rsidRDefault="004346F3" w:rsidP="00802ABC">
            <w:pPr>
              <w:spacing w:after="0"/>
              <w:jc w:val="center"/>
              <w:rPr>
                <w:lang w:val="zh-CN"/>
              </w:rPr>
            </w:pPr>
            <w:r w:rsidRPr="00536CFD">
              <w:rPr>
                <w:lang w:val="zh-CN"/>
              </w:rPr>
              <w:t>0.67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287F3AE" w14:textId="77777777" w:rsidR="004346F3" w:rsidRPr="00536CFD" w:rsidRDefault="004346F3" w:rsidP="00802ABC">
            <w:pPr>
              <w:spacing w:after="0"/>
              <w:jc w:val="center"/>
              <w:rPr>
                <w:lang w:val="zh-CN"/>
              </w:rPr>
            </w:pPr>
            <w:r w:rsidRPr="00536CFD">
              <w:rPr>
                <w:lang w:val="zh-CN"/>
              </w:rPr>
              <w:t>0.30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49C20CC" w14:textId="77777777" w:rsidR="004346F3" w:rsidRPr="00536CFD" w:rsidRDefault="004346F3" w:rsidP="00802ABC">
            <w:pPr>
              <w:spacing w:after="0"/>
              <w:jc w:val="center"/>
              <w:rPr>
                <w:lang w:val="zh-CN"/>
              </w:rPr>
            </w:pPr>
            <w:r w:rsidRPr="00536CFD">
              <w:rPr>
                <w:lang w:val="zh-CN"/>
              </w:rPr>
              <w:t>0.23</w:t>
            </w:r>
          </w:p>
        </w:tc>
        <w:tc>
          <w:tcPr>
            <w:tcW w:w="676" w:type="dxa"/>
            <w:tcBorders>
              <w:top w:val="single" w:sz="4" w:space="0" w:color="auto"/>
              <w:left w:val="nil"/>
              <w:bottom w:val="single" w:sz="4" w:space="0" w:color="auto"/>
              <w:right w:val="single" w:sz="4" w:space="0" w:color="auto"/>
            </w:tcBorders>
            <w:shd w:val="clear" w:color="auto" w:fill="auto"/>
            <w:vAlign w:val="bottom"/>
          </w:tcPr>
          <w:p w14:paraId="14A2E9A2" w14:textId="77777777" w:rsidR="004346F3" w:rsidRPr="00536CFD" w:rsidRDefault="004346F3" w:rsidP="00802ABC">
            <w:pPr>
              <w:spacing w:after="0"/>
              <w:jc w:val="center"/>
              <w:rPr>
                <w:lang w:val="zh-CN"/>
              </w:rPr>
            </w:pPr>
            <w:r w:rsidRPr="00536CFD">
              <w:rPr>
                <w:lang w:val="zh-CN"/>
              </w:rPr>
              <w:t>0.08</w:t>
            </w:r>
          </w:p>
        </w:tc>
      </w:tr>
      <w:tr w:rsidR="004346F3" w:rsidRPr="00C64ECB" w14:paraId="64BE105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8FEE3BE"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7573D27A" w14:textId="77777777" w:rsidR="004346F3" w:rsidRPr="00536CFD" w:rsidRDefault="004346F3" w:rsidP="00802ABC">
            <w:pPr>
              <w:spacing w:after="0"/>
              <w:jc w:val="center"/>
            </w:pPr>
            <w:r w:rsidRPr="00536CFD">
              <w:rPr>
                <w:rFonts w:ascii="Cambria Math" w:hAnsi="Cambria Math" w:cs="Cambria Math"/>
              </w:rPr>
              <w:t>𝜆</w:t>
            </w:r>
          </w:p>
        </w:tc>
        <w:tc>
          <w:tcPr>
            <w:tcW w:w="2515" w:type="dxa"/>
            <w:gridSpan w:val="7"/>
            <w:tcBorders>
              <w:top w:val="single" w:sz="4" w:space="0" w:color="auto"/>
              <w:left w:val="nil"/>
              <w:bottom w:val="single" w:sz="4" w:space="0" w:color="auto"/>
              <w:right w:val="single" w:sz="4" w:space="0" w:color="auto"/>
            </w:tcBorders>
            <w:shd w:val="clear" w:color="auto" w:fill="auto"/>
          </w:tcPr>
          <w:p w14:paraId="775E8615" w14:textId="77777777" w:rsidR="004346F3" w:rsidRPr="00536CFD" w:rsidRDefault="004346F3" w:rsidP="00802ABC">
            <w:pPr>
              <w:spacing w:after="0"/>
              <w:jc w:val="center"/>
              <w:rPr>
                <w:lang w:val="zh-CN"/>
              </w:rPr>
            </w:pPr>
            <w:r w:rsidRPr="00536CFD">
              <w:rPr>
                <w:lang w:val="zh-CN"/>
              </w:rPr>
              <w:t>0.8 Mbps</w:t>
            </w:r>
          </w:p>
        </w:tc>
        <w:tc>
          <w:tcPr>
            <w:tcW w:w="2866" w:type="dxa"/>
            <w:gridSpan w:val="5"/>
            <w:tcBorders>
              <w:top w:val="single" w:sz="4" w:space="0" w:color="auto"/>
              <w:left w:val="nil"/>
              <w:bottom w:val="single" w:sz="4" w:space="0" w:color="auto"/>
              <w:right w:val="single" w:sz="4" w:space="0" w:color="auto"/>
            </w:tcBorders>
            <w:shd w:val="clear" w:color="auto" w:fill="auto"/>
          </w:tcPr>
          <w:p w14:paraId="004AC5E6" w14:textId="77777777" w:rsidR="004346F3" w:rsidRPr="00536CFD" w:rsidRDefault="004346F3" w:rsidP="00802ABC">
            <w:pPr>
              <w:spacing w:after="0"/>
              <w:jc w:val="center"/>
              <w:rPr>
                <w:lang w:val="zh-CN"/>
              </w:rPr>
            </w:pPr>
            <w:r w:rsidRPr="00536CFD">
              <w:rPr>
                <w:lang w:val="zh-CN"/>
              </w:rPr>
              <w:t>1.2 Mbps</w:t>
            </w:r>
          </w:p>
        </w:tc>
        <w:tc>
          <w:tcPr>
            <w:tcW w:w="2885" w:type="dxa"/>
            <w:gridSpan w:val="7"/>
            <w:tcBorders>
              <w:top w:val="single" w:sz="4" w:space="0" w:color="auto"/>
              <w:left w:val="nil"/>
              <w:bottom w:val="single" w:sz="4" w:space="0" w:color="auto"/>
              <w:right w:val="single" w:sz="4" w:space="0" w:color="auto"/>
            </w:tcBorders>
            <w:shd w:val="clear" w:color="auto" w:fill="auto"/>
          </w:tcPr>
          <w:p w14:paraId="4F96BC2E" w14:textId="77777777" w:rsidR="004346F3" w:rsidRPr="00536CFD" w:rsidRDefault="004346F3" w:rsidP="00802ABC">
            <w:pPr>
              <w:spacing w:after="0"/>
              <w:jc w:val="center"/>
              <w:rPr>
                <w:lang w:val="zh-CN"/>
              </w:rPr>
            </w:pPr>
            <w:r w:rsidRPr="00536CFD">
              <w:rPr>
                <w:lang w:val="zh-CN"/>
              </w:rPr>
              <w:t>1.4 Mbps</w:t>
            </w:r>
          </w:p>
        </w:tc>
      </w:tr>
      <w:tr w:rsidR="004346F3" w:rsidRPr="00C64ECB" w14:paraId="1D76952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A84F952"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0A5DAF56" w14:textId="77777777" w:rsidR="004346F3" w:rsidRPr="00536CFD" w:rsidRDefault="004346F3" w:rsidP="00802ABC">
            <w:pPr>
              <w:spacing w:after="0"/>
              <w:contextualSpacing/>
              <w:rPr>
                <w:lang w:val="en-US" w:bidi="ar"/>
              </w:rPr>
            </w:pPr>
          </w:p>
        </w:tc>
        <w:tc>
          <w:tcPr>
            <w:tcW w:w="8266" w:type="dxa"/>
            <w:gridSpan w:val="19"/>
            <w:tcBorders>
              <w:top w:val="single" w:sz="4" w:space="0" w:color="auto"/>
              <w:left w:val="nil"/>
              <w:bottom w:val="single" w:sz="4" w:space="0" w:color="auto"/>
              <w:right w:val="single" w:sz="4" w:space="0" w:color="auto"/>
            </w:tcBorders>
            <w:shd w:val="clear" w:color="auto" w:fill="auto"/>
          </w:tcPr>
          <w:p w14:paraId="471C22F9" w14:textId="77777777" w:rsidR="004346F3" w:rsidRPr="00536CFD" w:rsidRDefault="004346F3" w:rsidP="00802ABC">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disabled, Preamble detection enabled, ED/PD threshold -62/-82 dBm, A-MPDU size is chosen to get MPDU duration of 1ms, Wi-Fi Guard Interval long,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Switching points no longer than than 16 µs every 2ms for CSI feedback, UL grant update.</w:t>
            </w:r>
          </w:p>
        </w:tc>
      </w:tr>
      <w:tr w:rsidR="004346F3" w:rsidRPr="00C64ECB" w14:paraId="169C0E1E" w14:textId="77777777" w:rsidTr="00802ABC">
        <w:trPr>
          <w:cantSplit/>
          <w:trHeight w:val="20"/>
        </w:trPr>
        <w:tc>
          <w:tcPr>
            <w:tcW w:w="269" w:type="dxa"/>
            <w:vMerge w:val="restart"/>
            <w:tcBorders>
              <w:top w:val="nil"/>
              <w:left w:val="single" w:sz="4" w:space="0" w:color="auto"/>
              <w:bottom w:val="single" w:sz="4" w:space="0" w:color="auto"/>
              <w:right w:val="single" w:sz="4" w:space="0" w:color="auto"/>
            </w:tcBorders>
            <w:shd w:val="clear" w:color="auto" w:fill="auto"/>
            <w:textDirection w:val="btLr"/>
          </w:tcPr>
          <w:p w14:paraId="6944EC2E"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541" w:type="dxa"/>
            <w:vMerge w:val="restart"/>
            <w:tcBorders>
              <w:top w:val="nil"/>
              <w:left w:val="nil"/>
              <w:bottom w:val="single" w:sz="4" w:space="0" w:color="auto"/>
              <w:right w:val="single" w:sz="4" w:space="0" w:color="auto"/>
            </w:tcBorders>
            <w:shd w:val="clear" w:color="auto" w:fill="auto"/>
          </w:tcPr>
          <w:p w14:paraId="142599F3"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018FAEB6"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002E2EC6" w14:textId="77777777" w:rsidR="004346F3" w:rsidRPr="00536CFD" w:rsidRDefault="004346F3" w:rsidP="00802ABC">
            <w:pPr>
              <w:pageBreakBefore/>
              <w:spacing w:after="0"/>
              <w:jc w:val="center"/>
              <w:rPr>
                <w:lang w:val="zh-CN"/>
              </w:rPr>
            </w:pPr>
            <w:r w:rsidRPr="00536CFD">
              <w:rPr>
                <w:lang w:val="zh-CN"/>
              </w:rPr>
              <w:t>29.01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6C50D51" w14:textId="77777777" w:rsidR="004346F3" w:rsidRPr="00536CFD" w:rsidRDefault="004346F3" w:rsidP="00802ABC">
            <w:pPr>
              <w:pageBreakBefore/>
              <w:spacing w:after="0"/>
              <w:jc w:val="center"/>
              <w:rPr>
                <w:lang w:val="zh-CN"/>
              </w:rPr>
            </w:pPr>
            <w:r w:rsidRPr="00536CFD">
              <w:rPr>
                <w:lang w:val="zh-CN"/>
              </w:rPr>
              <w:t>41.01</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509CA1EB" w14:textId="77777777" w:rsidR="004346F3" w:rsidRPr="00536CFD" w:rsidRDefault="004346F3" w:rsidP="00802ABC">
            <w:pPr>
              <w:pageBreakBefore/>
              <w:spacing w:after="0"/>
              <w:jc w:val="center"/>
              <w:rPr>
                <w:lang w:val="zh-CN"/>
              </w:rPr>
            </w:pPr>
            <w:r w:rsidRPr="00536CFD">
              <w:rPr>
                <w:lang w:val="zh-CN"/>
              </w:rPr>
              <w:t>75.62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3FC9F5F" w14:textId="77777777" w:rsidR="004346F3" w:rsidRPr="00536CFD" w:rsidRDefault="004346F3" w:rsidP="00802ABC">
            <w:pPr>
              <w:pageBreakBefore/>
              <w:spacing w:after="0"/>
              <w:jc w:val="center"/>
              <w:rPr>
                <w:lang w:val="zh-CN"/>
              </w:rPr>
            </w:pPr>
            <w:r w:rsidRPr="00536CFD">
              <w:rPr>
                <w:lang w:val="zh-CN"/>
              </w:rPr>
              <w:t>84.56</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D7AC1AD" w14:textId="77777777" w:rsidR="004346F3" w:rsidRPr="00536CFD" w:rsidRDefault="004346F3" w:rsidP="00802ABC">
            <w:pPr>
              <w:pageBreakBefore/>
              <w:spacing w:after="0"/>
              <w:jc w:val="center"/>
              <w:rPr>
                <w:lang w:val="zh-CN"/>
              </w:rPr>
            </w:pPr>
            <w:r w:rsidRPr="00536CFD">
              <w:rPr>
                <w:lang w:val="zh-CN"/>
              </w:rPr>
              <w:t>16.74</w:t>
            </w:r>
          </w:p>
        </w:tc>
        <w:tc>
          <w:tcPr>
            <w:tcW w:w="714" w:type="dxa"/>
            <w:tcBorders>
              <w:top w:val="single" w:sz="4" w:space="0" w:color="auto"/>
              <w:left w:val="nil"/>
              <w:bottom w:val="single" w:sz="4" w:space="0" w:color="auto"/>
              <w:right w:val="single" w:sz="4" w:space="0" w:color="auto"/>
            </w:tcBorders>
            <w:shd w:val="clear" w:color="auto" w:fill="auto"/>
            <w:vAlign w:val="bottom"/>
          </w:tcPr>
          <w:p w14:paraId="5964CC3C" w14:textId="77777777" w:rsidR="004346F3" w:rsidRPr="00536CFD" w:rsidRDefault="004346F3" w:rsidP="00802ABC">
            <w:pPr>
              <w:pageBreakBefore/>
              <w:spacing w:after="0"/>
              <w:jc w:val="center"/>
              <w:rPr>
                <w:lang w:val="zh-CN"/>
              </w:rPr>
            </w:pPr>
            <w:r w:rsidRPr="00536CFD">
              <w:rPr>
                <w:lang w:val="zh-CN"/>
              </w:rPr>
              <w:t>29.07</w:t>
            </w:r>
          </w:p>
        </w:tc>
        <w:tc>
          <w:tcPr>
            <w:tcW w:w="719" w:type="dxa"/>
            <w:tcBorders>
              <w:top w:val="single" w:sz="4" w:space="0" w:color="auto"/>
              <w:left w:val="nil"/>
              <w:bottom w:val="single" w:sz="4" w:space="0" w:color="auto"/>
              <w:right w:val="single" w:sz="4" w:space="0" w:color="auto"/>
            </w:tcBorders>
            <w:shd w:val="clear" w:color="auto" w:fill="auto"/>
            <w:vAlign w:val="bottom"/>
          </w:tcPr>
          <w:p w14:paraId="0AFBF118" w14:textId="77777777" w:rsidR="004346F3" w:rsidRPr="00536CFD" w:rsidRDefault="004346F3" w:rsidP="00802ABC">
            <w:pPr>
              <w:pageBreakBefore/>
              <w:spacing w:after="0"/>
              <w:jc w:val="center"/>
              <w:rPr>
                <w:lang w:val="zh-CN"/>
              </w:rPr>
            </w:pPr>
            <w:r w:rsidRPr="00536CFD">
              <w:rPr>
                <w:lang w:val="zh-CN"/>
              </w:rPr>
              <w:t>61.5</w:t>
            </w:r>
          </w:p>
        </w:tc>
        <w:tc>
          <w:tcPr>
            <w:tcW w:w="719" w:type="dxa"/>
            <w:tcBorders>
              <w:top w:val="single" w:sz="4" w:space="0" w:color="auto"/>
              <w:left w:val="nil"/>
              <w:bottom w:val="single" w:sz="4" w:space="0" w:color="auto"/>
              <w:right w:val="single" w:sz="4" w:space="0" w:color="auto"/>
            </w:tcBorders>
            <w:shd w:val="clear" w:color="auto" w:fill="auto"/>
            <w:vAlign w:val="bottom"/>
          </w:tcPr>
          <w:p w14:paraId="7E5CCA48" w14:textId="77777777" w:rsidR="004346F3" w:rsidRPr="00536CFD" w:rsidRDefault="004346F3" w:rsidP="00802ABC">
            <w:pPr>
              <w:pageBreakBefore/>
              <w:spacing w:after="0"/>
              <w:jc w:val="center"/>
              <w:rPr>
                <w:lang w:val="zh-CN"/>
              </w:rPr>
            </w:pPr>
            <w:r w:rsidRPr="00536CFD">
              <w:rPr>
                <w:lang w:val="zh-CN"/>
              </w:rPr>
              <w:t>76.19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8C91E92" w14:textId="77777777" w:rsidR="004346F3" w:rsidRPr="00536CFD" w:rsidRDefault="004346F3" w:rsidP="00802ABC">
            <w:pPr>
              <w:pageBreakBefore/>
              <w:spacing w:after="0"/>
              <w:jc w:val="center"/>
              <w:rPr>
                <w:lang w:val="zh-CN"/>
              </w:rPr>
            </w:pPr>
            <w:r w:rsidRPr="00536CFD">
              <w:rPr>
                <w:lang w:val="zh-CN"/>
              </w:rPr>
              <w:t>8.8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6A6AEF6" w14:textId="77777777" w:rsidR="004346F3" w:rsidRPr="00536CFD" w:rsidRDefault="004346F3" w:rsidP="00802ABC">
            <w:pPr>
              <w:pageBreakBefore/>
              <w:spacing w:after="0"/>
              <w:jc w:val="center"/>
              <w:rPr>
                <w:lang w:val="zh-CN"/>
              </w:rPr>
            </w:pPr>
            <w:r w:rsidRPr="00536CFD">
              <w:rPr>
                <w:lang w:val="zh-CN"/>
              </w:rPr>
              <w:t>20.1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3931119" w14:textId="77777777" w:rsidR="004346F3" w:rsidRPr="00536CFD" w:rsidRDefault="004346F3" w:rsidP="00802ABC">
            <w:pPr>
              <w:pageBreakBefore/>
              <w:spacing w:after="0"/>
              <w:jc w:val="center"/>
              <w:rPr>
                <w:lang w:val="zh-CN"/>
              </w:rPr>
            </w:pPr>
            <w:r w:rsidRPr="00536CFD">
              <w:rPr>
                <w:lang w:val="zh-CN"/>
              </w:rPr>
              <w:t>53.08</w:t>
            </w:r>
          </w:p>
        </w:tc>
        <w:tc>
          <w:tcPr>
            <w:tcW w:w="676" w:type="dxa"/>
            <w:tcBorders>
              <w:top w:val="single" w:sz="4" w:space="0" w:color="auto"/>
              <w:left w:val="nil"/>
              <w:bottom w:val="single" w:sz="4" w:space="0" w:color="auto"/>
              <w:right w:val="single" w:sz="4" w:space="0" w:color="auto"/>
            </w:tcBorders>
            <w:shd w:val="clear" w:color="auto" w:fill="auto"/>
            <w:vAlign w:val="bottom"/>
          </w:tcPr>
          <w:p w14:paraId="5C03BDFA" w14:textId="77777777" w:rsidR="004346F3" w:rsidRPr="00536CFD" w:rsidRDefault="004346F3" w:rsidP="00802ABC">
            <w:pPr>
              <w:pageBreakBefore/>
              <w:spacing w:after="0"/>
              <w:jc w:val="center"/>
              <w:rPr>
                <w:lang w:val="zh-CN"/>
              </w:rPr>
            </w:pPr>
            <w:r w:rsidRPr="00536CFD">
              <w:rPr>
                <w:lang w:val="zh-CN"/>
              </w:rPr>
              <w:t>69.39</w:t>
            </w:r>
          </w:p>
        </w:tc>
      </w:tr>
      <w:tr w:rsidR="004346F3" w:rsidRPr="00C64ECB" w14:paraId="283E2581"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BD656C2"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8CB43B7"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58F1AB6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4A498C26" w14:textId="77777777" w:rsidR="004346F3" w:rsidRPr="00536CFD" w:rsidRDefault="004346F3" w:rsidP="00802ABC">
            <w:pPr>
              <w:spacing w:after="0"/>
              <w:jc w:val="center"/>
              <w:rPr>
                <w:lang w:val="zh-CN"/>
              </w:rPr>
            </w:pPr>
            <w:r w:rsidRPr="00536CFD">
              <w:rPr>
                <w:lang w:val="zh-CN"/>
              </w:rPr>
              <w:t>70.59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2925FB5" w14:textId="77777777" w:rsidR="004346F3" w:rsidRPr="00536CFD" w:rsidRDefault="004346F3" w:rsidP="00802ABC">
            <w:pPr>
              <w:spacing w:after="0"/>
              <w:jc w:val="center"/>
              <w:rPr>
                <w:lang w:val="zh-CN"/>
              </w:rPr>
            </w:pPr>
            <w:r w:rsidRPr="00536CFD">
              <w:rPr>
                <w:lang w:val="zh-CN"/>
              </w:rPr>
              <w:t>81.96</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46E4452" w14:textId="77777777" w:rsidR="004346F3" w:rsidRPr="00536CFD" w:rsidRDefault="004346F3" w:rsidP="00802ABC">
            <w:pPr>
              <w:spacing w:after="0"/>
              <w:jc w:val="center"/>
              <w:rPr>
                <w:lang w:val="zh-CN"/>
              </w:rPr>
            </w:pPr>
            <w:r w:rsidRPr="00536CFD">
              <w:rPr>
                <w:lang w:val="zh-CN"/>
              </w:rPr>
              <w:t>137.01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53FE604" w14:textId="77777777" w:rsidR="004346F3" w:rsidRPr="00536CFD" w:rsidRDefault="004346F3" w:rsidP="00802ABC">
            <w:pPr>
              <w:spacing w:after="0"/>
              <w:jc w:val="center"/>
              <w:rPr>
                <w:lang w:val="zh-CN"/>
              </w:rPr>
            </w:pPr>
            <w:r w:rsidRPr="00536CFD">
              <w:rPr>
                <w:lang w:val="zh-CN"/>
              </w:rPr>
              <w:t>147.14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0F680B56" w14:textId="77777777" w:rsidR="004346F3" w:rsidRPr="00536CFD" w:rsidRDefault="004346F3" w:rsidP="00802ABC">
            <w:pPr>
              <w:spacing w:after="0"/>
              <w:jc w:val="center"/>
              <w:rPr>
                <w:lang w:val="zh-CN"/>
              </w:rPr>
            </w:pPr>
            <w:r w:rsidRPr="00536CFD">
              <w:rPr>
                <w:lang w:val="zh-CN"/>
              </w:rPr>
              <w:t>47.62</w:t>
            </w:r>
          </w:p>
        </w:tc>
        <w:tc>
          <w:tcPr>
            <w:tcW w:w="714" w:type="dxa"/>
            <w:tcBorders>
              <w:top w:val="single" w:sz="4" w:space="0" w:color="auto"/>
              <w:left w:val="nil"/>
              <w:bottom w:val="single" w:sz="4" w:space="0" w:color="auto"/>
              <w:right w:val="single" w:sz="4" w:space="0" w:color="auto"/>
            </w:tcBorders>
            <w:shd w:val="clear" w:color="auto" w:fill="auto"/>
            <w:vAlign w:val="bottom"/>
          </w:tcPr>
          <w:p w14:paraId="25879A97" w14:textId="77777777" w:rsidR="004346F3" w:rsidRPr="00536CFD" w:rsidRDefault="004346F3" w:rsidP="00802ABC">
            <w:pPr>
              <w:spacing w:after="0"/>
              <w:jc w:val="center"/>
              <w:rPr>
                <w:lang w:val="zh-CN"/>
              </w:rPr>
            </w:pPr>
            <w:r w:rsidRPr="00536CFD">
              <w:rPr>
                <w:lang w:val="zh-CN"/>
              </w:rPr>
              <w:t>65.55</w:t>
            </w:r>
          </w:p>
        </w:tc>
        <w:tc>
          <w:tcPr>
            <w:tcW w:w="719" w:type="dxa"/>
            <w:tcBorders>
              <w:top w:val="single" w:sz="4" w:space="0" w:color="auto"/>
              <w:left w:val="nil"/>
              <w:bottom w:val="single" w:sz="4" w:space="0" w:color="auto"/>
              <w:right w:val="single" w:sz="4" w:space="0" w:color="auto"/>
            </w:tcBorders>
            <w:shd w:val="clear" w:color="auto" w:fill="auto"/>
            <w:vAlign w:val="bottom"/>
          </w:tcPr>
          <w:p w14:paraId="5E425D1C" w14:textId="77777777" w:rsidR="004346F3" w:rsidRPr="00536CFD" w:rsidRDefault="004346F3" w:rsidP="00802ABC">
            <w:pPr>
              <w:spacing w:after="0"/>
              <w:jc w:val="center"/>
              <w:rPr>
                <w:lang w:val="zh-CN"/>
              </w:rPr>
            </w:pPr>
            <w:r w:rsidRPr="00536CFD">
              <w:rPr>
                <w:lang w:val="zh-CN"/>
              </w:rPr>
              <w:t>119.37</w:t>
            </w:r>
          </w:p>
        </w:tc>
        <w:tc>
          <w:tcPr>
            <w:tcW w:w="719" w:type="dxa"/>
            <w:tcBorders>
              <w:top w:val="single" w:sz="4" w:space="0" w:color="auto"/>
              <w:left w:val="nil"/>
              <w:bottom w:val="single" w:sz="4" w:space="0" w:color="auto"/>
              <w:right w:val="single" w:sz="4" w:space="0" w:color="auto"/>
            </w:tcBorders>
            <w:shd w:val="clear" w:color="auto" w:fill="auto"/>
            <w:vAlign w:val="bottom"/>
          </w:tcPr>
          <w:p w14:paraId="32FAD53D" w14:textId="77777777" w:rsidR="004346F3" w:rsidRPr="00536CFD" w:rsidRDefault="004346F3" w:rsidP="00802ABC">
            <w:pPr>
              <w:spacing w:after="0"/>
              <w:jc w:val="center"/>
              <w:rPr>
                <w:lang w:val="zh-CN"/>
              </w:rPr>
            </w:pPr>
            <w:r w:rsidRPr="00536CFD">
              <w:rPr>
                <w:lang w:val="zh-CN"/>
              </w:rPr>
              <w:t>137.91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BD3455F" w14:textId="77777777" w:rsidR="004346F3" w:rsidRPr="00536CFD" w:rsidRDefault="004346F3" w:rsidP="00802ABC">
            <w:pPr>
              <w:spacing w:after="0"/>
              <w:jc w:val="center"/>
              <w:rPr>
                <w:lang w:val="zh-CN"/>
              </w:rPr>
            </w:pPr>
            <w:r w:rsidRPr="00536CFD">
              <w:rPr>
                <w:lang w:val="zh-CN"/>
              </w:rPr>
              <w:t>36.12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31940E7" w14:textId="77777777" w:rsidR="004346F3" w:rsidRPr="00536CFD" w:rsidRDefault="004346F3" w:rsidP="00802ABC">
            <w:pPr>
              <w:spacing w:after="0"/>
              <w:jc w:val="center"/>
              <w:rPr>
                <w:lang w:val="zh-CN"/>
              </w:rPr>
            </w:pPr>
            <w:r w:rsidRPr="00536CFD">
              <w:rPr>
                <w:lang w:val="zh-CN"/>
              </w:rPr>
              <w:t>58.72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ADBAD45" w14:textId="77777777" w:rsidR="004346F3" w:rsidRPr="00536CFD" w:rsidRDefault="004346F3" w:rsidP="00802ABC">
            <w:pPr>
              <w:spacing w:after="0"/>
              <w:jc w:val="center"/>
              <w:rPr>
                <w:lang w:val="zh-CN"/>
              </w:rPr>
            </w:pPr>
            <w:r w:rsidRPr="00536CFD">
              <w:rPr>
                <w:lang w:val="zh-CN"/>
              </w:rPr>
              <w:t>107.35</w:t>
            </w:r>
          </w:p>
        </w:tc>
        <w:tc>
          <w:tcPr>
            <w:tcW w:w="676" w:type="dxa"/>
            <w:tcBorders>
              <w:top w:val="single" w:sz="4" w:space="0" w:color="auto"/>
              <w:left w:val="nil"/>
              <w:bottom w:val="single" w:sz="4" w:space="0" w:color="auto"/>
              <w:right w:val="single" w:sz="4" w:space="0" w:color="auto"/>
            </w:tcBorders>
            <w:shd w:val="clear" w:color="auto" w:fill="auto"/>
            <w:vAlign w:val="bottom"/>
          </w:tcPr>
          <w:p w14:paraId="2892F141" w14:textId="77777777" w:rsidR="004346F3" w:rsidRPr="00536CFD" w:rsidRDefault="004346F3" w:rsidP="00802ABC">
            <w:pPr>
              <w:spacing w:after="0"/>
              <w:jc w:val="center"/>
              <w:rPr>
                <w:lang w:val="zh-CN"/>
              </w:rPr>
            </w:pPr>
            <w:r w:rsidRPr="00536CFD">
              <w:rPr>
                <w:lang w:val="zh-CN"/>
              </w:rPr>
              <w:t>133.27</w:t>
            </w:r>
          </w:p>
        </w:tc>
      </w:tr>
      <w:tr w:rsidR="004346F3" w:rsidRPr="00C64ECB" w14:paraId="36117A49"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3318600"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DEE9A6C"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55A6F4C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01096471" w14:textId="77777777" w:rsidR="004346F3" w:rsidRPr="00536CFD" w:rsidRDefault="004346F3" w:rsidP="00802ABC">
            <w:pPr>
              <w:spacing w:after="0"/>
              <w:jc w:val="center"/>
              <w:rPr>
                <w:lang w:val="zh-CN"/>
              </w:rPr>
            </w:pPr>
            <w:r w:rsidRPr="00536CFD">
              <w:rPr>
                <w:lang w:val="zh-CN"/>
              </w:rPr>
              <w:t>100.54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05EF6F9" w14:textId="77777777" w:rsidR="004346F3" w:rsidRPr="00536CFD" w:rsidRDefault="004346F3" w:rsidP="00802ABC">
            <w:pPr>
              <w:spacing w:after="0"/>
              <w:jc w:val="center"/>
              <w:rPr>
                <w:lang w:val="zh-CN"/>
              </w:rPr>
            </w:pPr>
            <w:r w:rsidRPr="00536CFD">
              <w:rPr>
                <w:lang w:val="zh-CN"/>
              </w:rPr>
              <w:t>113.27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635A9F1" w14:textId="77777777" w:rsidR="004346F3" w:rsidRPr="00536CFD" w:rsidRDefault="004346F3" w:rsidP="00802ABC">
            <w:pPr>
              <w:spacing w:after="0"/>
              <w:jc w:val="center"/>
              <w:rPr>
                <w:lang w:val="zh-CN"/>
              </w:rPr>
            </w:pPr>
            <w:r w:rsidRPr="00536CFD">
              <w:rPr>
                <w:lang w:val="zh-CN"/>
              </w:rPr>
              <w:t>157.14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3C54EAE" w14:textId="77777777" w:rsidR="004346F3" w:rsidRPr="00536CFD" w:rsidRDefault="004346F3" w:rsidP="00802ABC">
            <w:pPr>
              <w:spacing w:after="0"/>
              <w:jc w:val="center"/>
              <w:rPr>
                <w:lang w:val="zh-CN"/>
              </w:rPr>
            </w:pPr>
            <w:r w:rsidRPr="00536CFD">
              <w:rPr>
                <w:lang w:val="zh-CN"/>
              </w:rPr>
              <w:t>163.63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036831AC" w14:textId="77777777" w:rsidR="004346F3" w:rsidRPr="00536CFD" w:rsidRDefault="004346F3" w:rsidP="00802ABC">
            <w:pPr>
              <w:spacing w:after="0"/>
              <w:jc w:val="center"/>
              <w:rPr>
                <w:lang w:val="zh-CN"/>
              </w:rPr>
            </w:pPr>
            <w:r w:rsidRPr="00536CFD">
              <w:rPr>
                <w:lang w:val="zh-CN"/>
              </w:rPr>
              <w:t>77.53</w:t>
            </w:r>
          </w:p>
        </w:tc>
        <w:tc>
          <w:tcPr>
            <w:tcW w:w="714" w:type="dxa"/>
            <w:tcBorders>
              <w:top w:val="single" w:sz="4" w:space="0" w:color="auto"/>
              <w:left w:val="nil"/>
              <w:bottom w:val="single" w:sz="4" w:space="0" w:color="auto"/>
              <w:right w:val="single" w:sz="4" w:space="0" w:color="auto"/>
            </w:tcBorders>
            <w:shd w:val="clear" w:color="auto" w:fill="auto"/>
            <w:vAlign w:val="bottom"/>
          </w:tcPr>
          <w:p w14:paraId="4F463966" w14:textId="77777777" w:rsidR="004346F3" w:rsidRPr="00536CFD" w:rsidRDefault="004346F3" w:rsidP="00802ABC">
            <w:pPr>
              <w:spacing w:after="0"/>
              <w:jc w:val="center"/>
              <w:rPr>
                <w:lang w:val="zh-CN"/>
              </w:rPr>
            </w:pPr>
            <w:r w:rsidRPr="00536CFD">
              <w:rPr>
                <w:lang w:val="zh-CN"/>
              </w:rPr>
              <w:t>97.46</w:t>
            </w:r>
          </w:p>
        </w:tc>
        <w:tc>
          <w:tcPr>
            <w:tcW w:w="719" w:type="dxa"/>
            <w:tcBorders>
              <w:top w:val="single" w:sz="4" w:space="0" w:color="auto"/>
              <w:left w:val="nil"/>
              <w:bottom w:val="single" w:sz="4" w:space="0" w:color="auto"/>
              <w:right w:val="single" w:sz="4" w:space="0" w:color="auto"/>
            </w:tcBorders>
            <w:shd w:val="clear" w:color="auto" w:fill="auto"/>
            <w:vAlign w:val="bottom"/>
          </w:tcPr>
          <w:p w14:paraId="5414D472" w14:textId="77777777" w:rsidR="004346F3" w:rsidRPr="00536CFD" w:rsidRDefault="004346F3" w:rsidP="00802ABC">
            <w:pPr>
              <w:spacing w:after="0"/>
              <w:jc w:val="center"/>
              <w:rPr>
                <w:lang w:val="zh-CN"/>
              </w:rPr>
            </w:pPr>
            <w:r w:rsidRPr="00536CFD">
              <w:rPr>
                <w:lang w:val="zh-CN"/>
              </w:rPr>
              <w:t>145.32</w:t>
            </w:r>
          </w:p>
        </w:tc>
        <w:tc>
          <w:tcPr>
            <w:tcW w:w="719" w:type="dxa"/>
            <w:tcBorders>
              <w:top w:val="single" w:sz="4" w:space="0" w:color="auto"/>
              <w:left w:val="nil"/>
              <w:bottom w:val="single" w:sz="4" w:space="0" w:color="auto"/>
              <w:right w:val="single" w:sz="4" w:space="0" w:color="auto"/>
            </w:tcBorders>
            <w:shd w:val="clear" w:color="auto" w:fill="auto"/>
            <w:vAlign w:val="bottom"/>
          </w:tcPr>
          <w:p w14:paraId="3E2703D0" w14:textId="77777777" w:rsidR="004346F3" w:rsidRPr="00536CFD" w:rsidRDefault="004346F3" w:rsidP="00802ABC">
            <w:pPr>
              <w:spacing w:after="0"/>
              <w:jc w:val="center"/>
              <w:rPr>
                <w:lang w:val="zh-CN"/>
              </w:rPr>
            </w:pPr>
            <w:r w:rsidRPr="00536CFD">
              <w:rPr>
                <w:lang w:val="zh-CN"/>
              </w:rPr>
              <w:t>158.94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9CA19B3" w14:textId="77777777" w:rsidR="004346F3" w:rsidRPr="00536CFD" w:rsidRDefault="004346F3" w:rsidP="00802ABC">
            <w:pPr>
              <w:spacing w:after="0"/>
              <w:jc w:val="center"/>
              <w:rPr>
                <w:lang w:val="zh-CN"/>
              </w:rPr>
            </w:pPr>
            <w:r w:rsidRPr="00536CFD">
              <w:rPr>
                <w:lang w:val="zh-CN"/>
              </w:rPr>
              <w:t>66.91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948F1BF" w14:textId="77777777" w:rsidR="004346F3" w:rsidRPr="00536CFD" w:rsidRDefault="004346F3" w:rsidP="00802ABC">
            <w:pPr>
              <w:spacing w:after="0"/>
              <w:jc w:val="center"/>
              <w:rPr>
                <w:lang w:val="zh-CN"/>
              </w:rPr>
            </w:pPr>
            <w:r w:rsidRPr="00536CFD">
              <w:rPr>
                <w:lang w:val="zh-CN"/>
              </w:rPr>
              <w:t>90.32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E6F00D4" w14:textId="77777777" w:rsidR="004346F3" w:rsidRPr="00536CFD" w:rsidRDefault="004346F3" w:rsidP="00802ABC">
            <w:pPr>
              <w:spacing w:after="0"/>
              <w:jc w:val="center"/>
              <w:rPr>
                <w:lang w:val="zh-CN"/>
              </w:rPr>
            </w:pPr>
            <w:r w:rsidRPr="00536CFD">
              <w:rPr>
                <w:lang w:val="zh-CN"/>
              </w:rPr>
              <w:t>138.98</w:t>
            </w:r>
          </w:p>
        </w:tc>
        <w:tc>
          <w:tcPr>
            <w:tcW w:w="676" w:type="dxa"/>
            <w:tcBorders>
              <w:top w:val="single" w:sz="4" w:space="0" w:color="auto"/>
              <w:left w:val="nil"/>
              <w:bottom w:val="single" w:sz="4" w:space="0" w:color="auto"/>
              <w:right w:val="single" w:sz="4" w:space="0" w:color="auto"/>
            </w:tcBorders>
            <w:shd w:val="clear" w:color="auto" w:fill="auto"/>
            <w:vAlign w:val="bottom"/>
          </w:tcPr>
          <w:p w14:paraId="637FBA0D" w14:textId="77777777" w:rsidR="004346F3" w:rsidRPr="00536CFD" w:rsidRDefault="004346F3" w:rsidP="00802ABC">
            <w:pPr>
              <w:spacing w:after="0"/>
              <w:jc w:val="center"/>
              <w:rPr>
                <w:lang w:val="zh-CN"/>
              </w:rPr>
            </w:pPr>
            <w:r w:rsidRPr="00536CFD">
              <w:rPr>
                <w:lang w:val="zh-CN"/>
              </w:rPr>
              <w:t>154.86</w:t>
            </w:r>
          </w:p>
        </w:tc>
      </w:tr>
      <w:tr w:rsidR="004346F3" w:rsidRPr="00C64ECB" w14:paraId="520F760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78D1C22"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B7D277B"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B607F6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7005B8C9" w14:textId="77777777" w:rsidR="004346F3" w:rsidRPr="00536CFD" w:rsidRDefault="004346F3" w:rsidP="00802ABC">
            <w:pPr>
              <w:spacing w:after="0"/>
              <w:jc w:val="center"/>
              <w:rPr>
                <w:lang w:val="zh-CN"/>
              </w:rPr>
            </w:pPr>
            <w:r w:rsidRPr="00536CFD">
              <w:rPr>
                <w:lang w:val="zh-CN"/>
              </w:rPr>
              <w:t>68.46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68EF3C7" w14:textId="77777777" w:rsidR="004346F3" w:rsidRPr="00536CFD" w:rsidRDefault="004346F3" w:rsidP="00802ABC">
            <w:pPr>
              <w:spacing w:after="0"/>
              <w:jc w:val="center"/>
              <w:rPr>
                <w:lang w:val="zh-CN"/>
              </w:rPr>
            </w:pPr>
            <w:r w:rsidRPr="00536CFD">
              <w:rPr>
                <w:lang w:val="zh-CN"/>
              </w:rPr>
              <w:t>79.2</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552ADD67" w14:textId="77777777" w:rsidR="004346F3" w:rsidRPr="00536CFD" w:rsidRDefault="004346F3" w:rsidP="00802ABC">
            <w:pPr>
              <w:spacing w:after="0"/>
              <w:jc w:val="center"/>
              <w:rPr>
                <w:lang w:val="zh-CN"/>
              </w:rPr>
            </w:pPr>
            <w:r w:rsidRPr="00536CFD">
              <w:rPr>
                <w:lang w:val="zh-CN"/>
              </w:rPr>
              <w:t>129.9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87C9687" w14:textId="77777777" w:rsidR="004346F3" w:rsidRPr="00536CFD" w:rsidRDefault="004346F3" w:rsidP="00802ABC">
            <w:pPr>
              <w:spacing w:after="0"/>
              <w:jc w:val="center"/>
              <w:rPr>
                <w:lang w:val="zh-CN"/>
              </w:rPr>
            </w:pPr>
            <w:r w:rsidRPr="00536CFD">
              <w:rPr>
                <w:lang w:val="zh-CN"/>
              </w:rPr>
              <w:t>139.54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0EA79848" w14:textId="77777777" w:rsidR="004346F3" w:rsidRPr="00536CFD" w:rsidRDefault="004346F3" w:rsidP="00802ABC">
            <w:pPr>
              <w:spacing w:after="0"/>
              <w:jc w:val="center"/>
              <w:rPr>
                <w:lang w:val="zh-CN"/>
              </w:rPr>
            </w:pPr>
            <w:r w:rsidRPr="00536CFD">
              <w:rPr>
                <w:lang w:val="zh-CN"/>
              </w:rPr>
              <w:t>48.3</w:t>
            </w:r>
          </w:p>
        </w:tc>
        <w:tc>
          <w:tcPr>
            <w:tcW w:w="714" w:type="dxa"/>
            <w:tcBorders>
              <w:top w:val="single" w:sz="4" w:space="0" w:color="auto"/>
              <w:left w:val="nil"/>
              <w:bottom w:val="single" w:sz="4" w:space="0" w:color="auto"/>
              <w:right w:val="single" w:sz="4" w:space="0" w:color="auto"/>
            </w:tcBorders>
            <w:shd w:val="clear" w:color="auto" w:fill="auto"/>
            <w:vAlign w:val="bottom"/>
          </w:tcPr>
          <w:p w14:paraId="4E89B076" w14:textId="77777777" w:rsidR="004346F3" w:rsidRPr="00536CFD" w:rsidRDefault="004346F3" w:rsidP="00802ABC">
            <w:pPr>
              <w:spacing w:after="0"/>
              <w:jc w:val="center"/>
              <w:rPr>
                <w:lang w:val="zh-CN"/>
              </w:rPr>
            </w:pPr>
            <w:r w:rsidRPr="00536CFD">
              <w:rPr>
                <w:lang w:val="zh-CN"/>
              </w:rPr>
              <w:t>65.61</w:t>
            </w:r>
          </w:p>
        </w:tc>
        <w:tc>
          <w:tcPr>
            <w:tcW w:w="719" w:type="dxa"/>
            <w:tcBorders>
              <w:top w:val="single" w:sz="4" w:space="0" w:color="auto"/>
              <w:left w:val="nil"/>
              <w:bottom w:val="single" w:sz="4" w:space="0" w:color="auto"/>
              <w:right w:val="single" w:sz="4" w:space="0" w:color="auto"/>
            </w:tcBorders>
            <w:shd w:val="clear" w:color="auto" w:fill="auto"/>
            <w:vAlign w:val="bottom"/>
          </w:tcPr>
          <w:p w14:paraId="13438273" w14:textId="77777777" w:rsidR="004346F3" w:rsidRPr="00536CFD" w:rsidRDefault="004346F3" w:rsidP="00802ABC">
            <w:pPr>
              <w:spacing w:after="0"/>
              <w:jc w:val="center"/>
              <w:rPr>
                <w:lang w:val="zh-CN"/>
              </w:rPr>
            </w:pPr>
            <w:r w:rsidRPr="00536CFD">
              <w:rPr>
                <w:lang w:val="zh-CN"/>
              </w:rPr>
              <w:t>112.96</w:t>
            </w:r>
          </w:p>
        </w:tc>
        <w:tc>
          <w:tcPr>
            <w:tcW w:w="719" w:type="dxa"/>
            <w:tcBorders>
              <w:top w:val="single" w:sz="4" w:space="0" w:color="auto"/>
              <w:left w:val="nil"/>
              <w:bottom w:val="single" w:sz="4" w:space="0" w:color="auto"/>
              <w:right w:val="single" w:sz="4" w:space="0" w:color="auto"/>
            </w:tcBorders>
            <w:shd w:val="clear" w:color="auto" w:fill="auto"/>
            <w:vAlign w:val="bottom"/>
          </w:tcPr>
          <w:p w14:paraId="1FF0389E" w14:textId="77777777" w:rsidR="004346F3" w:rsidRPr="00536CFD" w:rsidRDefault="004346F3" w:rsidP="00802ABC">
            <w:pPr>
              <w:spacing w:after="0"/>
              <w:jc w:val="center"/>
              <w:rPr>
                <w:lang w:val="zh-CN"/>
              </w:rPr>
            </w:pPr>
            <w:r w:rsidRPr="00536CFD">
              <w:rPr>
                <w:lang w:val="zh-CN"/>
              </w:rPr>
              <w:t>131.48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DB8B9C6" w14:textId="77777777" w:rsidR="004346F3" w:rsidRPr="00536CFD" w:rsidRDefault="004346F3" w:rsidP="00802ABC">
            <w:pPr>
              <w:spacing w:after="0"/>
              <w:jc w:val="center"/>
              <w:rPr>
                <w:lang w:val="zh-CN"/>
              </w:rPr>
            </w:pPr>
            <w:r w:rsidRPr="00536CFD">
              <w:rPr>
                <w:lang w:val="zh-CN"/>
              </w:rPr>
              <w:t>37.13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2BBB97F" w14:textId="77777777" w:rsidR="004346F3" w:rsidRPr="00536CFD" w:rsidRDefault="004346F3" w:rsidP="00802ABC">
            <w:pPr>
              <w:spacing w:after="0"/>
              <w:jc w:val="center"/>
              <w:rPr>
                <w:lang w:val="zh-CN"/>
              </w:rPr>
            </w:pPr>
            <w:r w:rsidRPr="00536CFD">
              <w:rPr>
                <w:lang w:val="zh-CN"/>
              </w:rPr>
              <w:t>57.97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6C80B70" w14:textId="77777777" w:rsidR="004346F3" w:rsidRPr="00536CFD" w:rsidRDefault="004346F3" w:rsidP="00802ABC">
            <w:pPr>
              <w:spacing w:after="0"/>
              <w:jc w:val="center"/>
              <w:rPr>
                <w:lang w:val="zh-CN"/>
              </w:rPr>
            </w:pPr>
            <w:r w:rsidRPr="00536CFD">
              <w:rPr>
                <w:lang w:val="zh-CN"/>
              </w:rPr>
              <w:t>102.71</w:t>
            </w:r>
          </w:p>
        </w:tc>
        <w:tc>
          <w:tcPr>
            <w:tcW w:w="676" w:type="dxa"/>
            <w:tcBorders>
              <w:top w:val="single" w:sz="4" w:space="0" w:color="auto"/>
              <w:left w:val="nil"/>
              <w:bottom w:val="single" w:sz="4" w:space="0" w:color="auto"/>
              <w:right w:val="single" w:sz="4" w:space="0" w:color="auto"/>
            </w:tcBorders>
            <w:shd w:val="clear" w:color="auto" w:fill="auto"/>
            <w:vAlign w:val="bottom"/>
          </w:tcPr>
          <w:p w14:paraId="036B9A6A" w14:textId="77777777" w:rsidR="004346F3" w:rsidRPr="00536CFD" w:rsidRDefault="004346F3" w:rsidP="00802ABC">
            <w:pPr>
              <w:spacing w:after="0"/>
              <w:jc w:val="center"/>
              <w:rPr>
                <w:lang w:val="zh-CN"/>
              </w:rPr>
            </w:pPr>
            <w:r w:rsidRPr="00536CFD">
              <w:rPr>
                <w:lang w:val="zh-CN"/>
              </w:rPr>
              <w:t>127.29</w:t>
            </w:r>
          </w:p>
        </w:tc>
      </w:tr>
      <w:tr w:rsidR="004346F3" w:rsidRPr="00C64ECB" w14:paraId="0C9DB25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62EBF42"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3A6C17F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5FE092D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456ECEE0" w14:textId="77777777" w:rsidR="004346F3" w:rsidRPr="00536CFD" w:rsidRDefault="004346F3" w:rsidP="00802ABC">
            <w:pPr>
              <w:spacing w:after="0"/>
              <w:jc w:val="center"/>
              <w:rPr>
                <w:lang w:val="zh-CN"/>
              </w:rPr>
            </w:pPr>
            <w:r w:rsidRPr="00536CFD">
              <w:rPr>
                <w:lang w:val="zh-CN"/>
              </w:rPr>
              <w:t>0.03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7032FC1" w14:textId="77777777" w:rsidR="004346F3" w:rsidRPr="00536CFD" w:rsidRDefault="004346F3" w:rsidP="00802ABC">
            <w:pPr>
              <w:spacing w:after="0"/>
              <w:jc w:val="center"/>
              <w:rPr>
                <w:lang w:val="zh-CN"/>
              </w:rPr>
            </w:pPr>
            <w:r w:rsidRPr="00536CFD">
              <w:rPr>
                <w:lang w:val="zh-CN"/>
              </w:rPr>
              <w:t>0.029</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04BEAC9" w14:textId="77777777" w:rsidR="004346F3" w:rsidRPr="00536CFD" w:rsidRDefault="004346F3" w:rsidP="00802ABC">
            <w:pPr>
              <w:spacing w:after="0"/>
              <w:jc w:val="center"/>
              <w:rPr>
                <w:lang w:val="zh-CN"/>
              </w:rPr>
            </w:pPr>
            <w:r w:rsidRPr="00536CFD">
              <w:rPr>
                <w:lang w:val="zh-CN"/>
              </w:rPr>
              <w:t>0.02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B7AFB88" w14:textId="77777777" w:rsidR="004346F3" w:rsidRPr="00536CFD" w:rsidRDefault="004346F3" w:rsidP="00802ABC">
            <w:pPr>
              <w:spacing w:after="0"/>
              <w:jc w:val="center"/>
              <w:rPr>
                <w:lang w:val="zh-CN"/>
              </w:rPr>
            </w:pPr>
            <w:r w:rsidRPr="00536CFD">
              <w:rPr>
                <w:lang w:val="zh-CN"/>
              </w:rPr>
              <w:t>0.02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8107A6F" w14:textId="77777777" w:rsidR="004346F3" w:rsidRPr="00536CFD" w:rsidRDefault="004346F3" w:rsidP="00802ABC">
            <w:pPr>
              <w:spacing w:after="0"/>
              <w:jc w:val="center"/>
              <w:rPr>
                <w:lang w:val="zh-CN"/>
              </w:rPr>
            </w:pPr>
            <w:r w:rsidRPr="00536CFD">
              <w:rPr>
                <w:lang w:val="zh-CN"/>
              </w:rPr>
              <w:t>0.035</w:t>
            </w:r>
          </w:p>
        </w:tc>
        <w:tc>
          <w:tcPr>
            <w:tcW w:w="714" w:type="dxa"/>
            <w:tcBorders>
              <w:top w:val="single" w:sz="4" w:space="0" w:color="auto"/>
              <w:left w:val="nil"/>
              <w:bottom w:val="single" w:sz="4" w:space="0" w:color="auto"/>
              <w:right w:val="single" w:sz="4" w:space="0" w:color="auto"/>
            </w:tcBorders>
            <w:shd w:val="clear" w:color="auto" w:fill="auto"/>
            <w:vAlign w:val="bottom"/>
          </w:tcPr>
          <w:p w14:paraId="4B35A8A0" w14:textId="77777777" w:rsidR="004346F3" w:rsidRPr="00536CFD" w:rsidRDefault="004346F3" w:rsidP="00802ABC">
            <w:pPr>
              <w:spacing w:after="0"/>
              <w:jc w:val="center"/>
              <w:rPr>
                <w:lang w:val="zh-CN"/>
              </w:rPr>
            </w:pPr>
            <w:r w:rsidRPr="00536CFD">
              <w:rPr>
                <w:lang w:val="zh-CN"/>
              </w:rPr>
              <w:t>0.031</w:t>
            </w:r>
          </w:p>
        </w:tc>
        <w:tc>
          <w:tcPr>
            <w:tcW w:w="719" w:type="dxa"/>
            <w:tcBorders>
              <w:top w:val="single" w:sz="4" w:space="0" w:color="auto"/>
              <w:left w:val="nil"/>
              <w:bottom w:val="single" w:sz="4" w:space="0" w:color="auto"/>
              <w:right w:val="single" w:sz="4" w:space="0" w:color="auto"/>
            </w:tcBorders>
            <w:shd w:val="clear" w:color="auto" w:fill="auto"/>
            <w:vAlign w:val="bottom"/>
          </w:tcPr>
          <w:p w14:paraId="6492D3B8" w14:textId="77777777" w:rsidR="004346F3" w:rsidRPr="00536CFD" w:rsidRDefault="004346F3" w:rsidP="00802ABC">
            <w:pPr>
              <w:spacing w:after="0"/>
              <w:jc w:val="center"/>
              <w:rPr>
                <w:lang w:val="zh-CN"/>
              </w:rPr>
            </w:pPr>
            <w:r w:rsidRPr="00536CFD">
              <w:rPr>
                <w:lang w:val="zh-CN"/>
              </w:rPr>
              <w:t>0.021</w:t>
            </w:r>
          </w:p>
        </w:tc>
        <w:tc>
          <w:tcPr>
            <w:tcW w:w="719" w:type="dxa"/>
            <w:tcBorders>
              <w:top w:val="single" w:sz="4" w:space="0" w:color="auto"/>
              <w:left w:val="nil"/>
              <w:bottom w:val="single" w:sz="4" w:space="0" w:color="auto"/>
              <w:right w:val="single" w:sz="4" w:space="0" w:color="auto"/>
            </w:tcBorders>
            <w:shd w:val="clear" w:color="auto" w:fill="auto"/>
            <w:vAlign w:val="bottom"/>
          </w:tcPr>
          <w:p w14:paraId="6FD132A0" w14:textId="77777777" w:rsidR="004346F3" w:rsidRPr="00536CFD" w:rsidRDefault="004346F3" w:rsidP="00802ABC">
            <w:pPr>
              <w:spacing w:after="0"/>
              <w:jc w:val="center"/>
              <w:rPr>
                <w:lang w:val="zh-CN"/>
              </w:rPr>
            </w:pPr>
            <w:r w:rsidRPr="00536CFD">
              <w:rPr>
                <w:lang w:val="zh-CN"/>
              </w:rPr>
              <w:t>0.021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7901CD6" w14:textId="77777777" w:rsidR="004346F3" w:rsidRPr="00536CFD" w:rsidRDefault="004346F3" w:rsidP="00802ABC">
            <w:pPr>
              <w:spacing w:after="0"/>
              <w:jc w:val="center"/>
              <w:rPr>
                <w:lang w:val="zh-CN"/>
              </w:rPr>
            </w:pPr>
            <w:r w:rsidRPr="00536CFD">
              <w:rPr>
                <w:lang w:val="zh-CN"/>
              </w:rPr>
              <w:t>0.038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EAF0931" w14:textId="77777777" w:rsidR="004346F3" w:rsidRPr="00536CFD" w:rsidRDefault="004346F3" w:rsidP="00802ABC">
            <w:pPr>
              <w:spacing w:after="0"/>
              <w:jc w:val="center"/>
              <w:rPr>
                <w:lang w:val="zh-CN"/>
              </w:rPr>
            </w:pPr>
            <w:r w:rsidRPr="00536CFD">
              <w:rPr>
                <w:lang w:val="zh-CN"/>
              </w:rPr>
              <w:t>0.034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C0099A2" w14:textId="77777777" w:rsidR="004346F3" w:rsidRPr="00536CFD" w:rsidRDefault="004346F3" w:rsidP="00802ABC">
            <w:pPr>
              <w:spacing w:after="0"/>
              <w:jc w:val="center"/>
              <w:rPr>
                <w:lang w:val="zh-CN"/>
              </w:rPr>
            </w:pPr>
            <w:r w:rsidRPr="00536CFD">
              <w:rPr>
                <w:lang w:val="zh-CN"/>
              </w:rPr>
              <w:t>0.021</w:t>
            </w:r>
          </w:p>
        </w:tc>
        <w:tc>
          <w:tcPr>
            <w:tcW w:w="676" w:type="dxa"/>
            <w:tcBorders>
              <w:top w:val="single" w:sz="4" w:space="0" w:color="auto"/>
              <w:left w:val="nil"/>
              <w:bottom w:val="single" w:sz="4" w:space="0" w:color="auto"/>
              <w:right w:val="single" w:sz="4" w:space="0" w:color="auto"/>
            </w:tcBorders>
            <w:shd w:val="clear" w:color="auto" w:fill="auto"/>
            <w:vAlign w:val="bottom"/>
          </w:tcPr>
          <w:p w14:paraId="5E12A701" w14:textId="77777777" w:rsidR="004346F3" w:rsidRPr="00536CFD" w:rsidRDefault="004346F3" w:rsidP="00802ABC">
            <w:pPr>
              <w:spacing w:after="0"/>
              <w:jc w:val="center"/>
              <w:rPr>
                <w:lang w:val="zh-CN"/>
              </w:rPr>
            </w:pPr>
            <w:r w:rsidRPr="00536CFD">
              <w:rPr>
                <w:lang w:val="zh-CN"/>
              </w:rPr>
              <w:t>0.021</w:t>
            </w:r>
          </w:p>
        </w:tc>
      </w:tr>
      <w:tr w:rsidR="004346F3" w:rsidRPr="00C64ECB" w14:paraId="152D3D01"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8CECF47"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50F2A850"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82FF6E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331EEC35" w14:textId="77777777" w:rsidR="004346F3" w:rsidRPr="00536CFD" w:rsidRDefault="004346F3" w:rsidP="00802ABC">
            <w:pPr>
              <w:spacing w:after="0"/>
              <w:jc w:val="center"/>
              <w:rPr>
                <w:lang w:val="zh-CN"/>
              </w:rPr>
            </w:pPr>
            <w:r w:rsidRPr="00536CFD">
              <w:rPr>
                <w:lang w:val="zh-CN"/>
              </w:rPr>
              <w:t>0.06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4587842" w14:textId="77777777" w:rsidR="004346F3" w:rsidRPr="00536CFD" w:rsidRDefault="004346F3" w:rsidP="00802ABC">
            <w:pPr>
              <w:spacing w:after="0"/>
              <w:jc w:val="center"/>
              <w:rPr>
                <w:lang w:val="zh-CN"/>
              </w:rPr>
            </w:pPr>
            <w:r w:rsidRPr="00536CFD">
              <w:rPr>
                <w:lang w:val="zh-CN"/>
              </w:rPr>
              <w:t>0.047</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10A4F00" w14:textId="77777777" w:rsidR="004346F3" w:rsidRPr="00536CFD" w:rsidRDefault="004346F3" w:rsidP="00802ABC">
            <w:pPr>
              <w:spacing w:after="0"/>
              <w:jc w:val="center"/>
              <w:rPr>
                <w:lang w:val="zh-CN"/>
              </w:rPr>
            </w:pPr>
            <w:r w:rsidRPr="00536CFD">
              <w:rPr>
                <w:lang w:val="zh-CN"/>
              </w:rPr>
              <w:t>0.026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385705E" w14:textId="77777777" w:rsidR="004346F3" w:rsidRPr="00536CFD" w:rsidRDefault="004346F3" w:rsidP="00802ABC">
            <w:pPr>
              <w:spacing w:after="0"/>
              <w:jc w:val="center"/>
              <w:rPr>
                <w:lang w:val="zh-CN"/>
              </w:rPr>
            </w:pPr>
            <w:r w:rsidRPr="00536CFD">
              <w:rPr>
                <w:lang w:val="zh-CN"/>
              </w:rPr>
              <w:t>0.025</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13496EC" w14:textId="77777777" w:rsidR="004346F3" w:rsidRPr="00536CFD" w:rsidRDefault="004346F3" w:rsidP="00802ABC">
            <w:pPr>
              <w:spacing w:after="0"/>
              <w:jc w:val="center"/>
              <w:rPr>
                <w:lang w:val="zh-CN"/>
              </w:rPr>
            </w:pPr>
            <w:r w:rsidRPr="00536CFD">
              <w:rPr>
                <w:lang w:val="zh-CN"/>
              </w:rPr>
              <w:t>0.098</w:t>
            </w:r>
          </w:p>
        </w:tc>
        <w:tc>
          <w:tcPr>
            <w:tcW w:w="714" w:type="dxa"/>
            <w:tcBorders>
              <w:top w:val="single" w:sz="4" w:space="0" w:color="auto"/>
              <w:left w:val="nil"/>
              <w:bottom w:val="single" w:sz="4" w:space="0" w:color="auto"/>
              <w:right w:val="single" w:sz="4" w:space="0" w:color="auto"/>
            </w:tcBorders>
            <w:shd w:val="clear" w:color="auto" w:fill="auto"/>
            <w:vAlign w:val="bottom"/>
          </w:tcPr>
          <w:p w14:paraId="198EAE3C" w14:textId="77777777" w:rsidR="004346F3" w:rsidRPr="00536CFD" w:rsidRDefault="004346F3" w:rsidP="00802ABC">
            <w:pPr>
              <w:spacing w:after="0"/>
              <w:jc w:val="center"/>
              <w:rPr>
                <w:lang w:val="zh-CN"/>
              </w:rPr>
            </w:pPr>
            <w:r w:rsidRPr="00536CFD">
              <w:rPr>
                <w:lang w:val="zh-CN"/>
              </w:rPr>
              <w:t>0.064</w:t>
            </w:r>
          </w:p>
        </w:tc>
        <w:tc>
          <w:tcPr>
            <w:tcW w:w="719" w:type="dxa"/>
            <w:tcBorders>
              <w:top w:val="single" w:sz="4" w:space="0" w:color="auto"/>
              <w:left w:val="nil"/>
              <w:bottom w:val="single" w:sz="4" w:space="0" w:color="auto"/>
              <w:right w:val="single" w:sz="4" w:space="0" w:color="auto"/>
            </w:tcBorders>
            <w:shd w:val="clear" w:color="auto" w:fill="auto"/>
            <w:vAlign w:val="bottom"/>
          </w:tcPr>
          <w:p w14:paraId="11BEE6C0" w14:textId="77777777" w:rsidR="004346F3" w:rsidRPr="00536CFD" w:rsidRDefault="004346F3" w:rsidP="00802ABC">
            <w:pPr>
              <w:spacing w:after="0"/>
              <w:jc w:val="center"/>
              <w:rPr>
                <w:lang w:val="zh-CN"/>
              </w:rPr>
            </w:pPr>
            <w:r w:rsidRPr="00536CFD">
              <w:rPr>
                <w:lang w:val="zh-CN"/>
              </w:rPr>
              <w:t>0.032</w:t>
            </w:r>
          </w:p>
        </w:tc>
        <w:tc>
          <w:tcPr>
            <w:tcW w:w="719" w:type="dxa"/>
            <w:tcBorders>
              <w:top w:val="single" w:sz="4" w:space="0" w:color="auto"/>
              <w:left w:val="nil"/>
              <w:bottom w:val="single" w:sz="4" w:space="0" w:color="auto"/>
              <w:right w:val="single" w:sz="4" w:space="0" w:color="auto"/>
            </w:tcBorders>
            <w:shd w:val="clear" w:color="auto" w:fill="auto"/>
            <w:vAlign w:val="bottom"/>
          </w:tcPr>
          <w:p w14:paraId="63A71B01" w14:textId="77777777" w:rsidR="004346F3" w:rsidRPr="00536CFD" w:rsidRDefault="004346F3" w:rsidP="00802ABC">
            <w:pPr>
              <w:spacing w:after="0"/>
              <w:jc w:val="center"/>
              <w:rPr>
                <w:lang w:val="zh-CN"/>
              </w:rPr>
            </w:pPr>
            <w:r w:rsidRPr="00536CFD">
              <w:rPr>
                <w:lang w:val="zh-CN"/>
              </w:rPr>
              <w:t>0.027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CC3EB9A" w14:textId="77777777" w:rsidR="004346F3" w:rsidRPr="00536CFD" w:rsidRDefault="004346F3" w:rsidP="00802ABC">
            <w:pPr>
              <w:spacing w:after="0"/>
              <w:jc w:val="center"/>
              <w:rPr>
                <w:lang w:val="zh-CN"/>
              </w:rPr>
            </w:pPr>
            <w:r w:rsidRPr="00536CFD">
              <w:rPr>
                <w:lang w:val="zh-CN"/>
              </w:rPr>
              <w:t>0.143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3323E8D" w14:textId="77777777" w:rsidR="004346F3" w:rsidRPr="00536CFD" w:rsidRDefault="004346F3" w:rsidP="00802ABC">
            <w:pPr>
              <w:spacing w:after="0"/>
              <w:jc w:val="center"/>
              <w:rPr>
                <w:lang w:val="zh-CN"/>
              </w:rPr>
            </w:pPr>
            <w:r w:rsidRPr="00536CFD">
              <w:rPr>
                <w:lang w:val="zh-CN"/>
              </w:rPr>
              <w:t>0.074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9966543" w14:textId="77777777" w:rsidR="004346F3" w:rsidRPr="00536CFD" w:rsidRDefault="004346F3" w:rsidP="00802ABC">
            <w:pPr>
              <w:spacing w:after="0"/>
              <w:jc w:val="center"/>
              <w:rPr>
                <w:lang w:val="zh-CN"/>
              </w:rPr>
            </w:pPr>
            <w:r w:rsidRPr="00536CFD">
              <w:rPr>
                <w:lang w:val="zh-CN"/>
              </w:rPr>
              <w:t>0.038</w:t>
            </w:r>
          </w:p>
        </w:tc>
        <w:tc>
          <w:tcPr>
            <w:tcW w:w="676" w:type="dxa"/>
            <w:tcBorders>
              <w:top w:val="single" w:sz="4" w:space="0" w:color="auto"/>
              <w:left w:val="nil"/>
              <w:bottom w:val="single" w:sz="4" w:space="0" w:color="auto"/>
              <w:right w:val="single" w:sz="4" w:space="0" w:color="auto"/>
            </w:tcBorders>
            <w:shd w:val="clear" w:color="auto" w:fill="auto"/>
            <w:vAlign w:val="bottom"/>
          </w:tcPr>
          <w:p w14:paraId="79B7A476" w14:textId="77777777" w:rsidR="004346F3" w:rsidRPr="00536CFD" w:rsidRDefault="004346F3" w:rsidP="00802ABC">
            <w:pPr>
              <w:spacing w:after="0"/>
              <w:jc w:val="center"/>
              <w:rPr>
                <w:lang w:val="zh-CN"/>
              </w:rPr>
            </w:pPr>
            <w:r w:rsidRPr="00536CFD">
              <w:rPr>
                <w:lang w:val="zh-CN"/>
              </w:rPr>
              <w:t>0.028</w:t>
            </w:r>
          </w:p>
        </w:tc>
      </w:tr>
      <w:tr w:rsidR="004346F3" w:rsidRPr="00C64ECB" w14:paraId="14A8E2C5"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38A05D7"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10EBE9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DB30E5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2938C9E9" w14:textId="77777777" w:rsidR="004346F3" w:rsidRPr="00536CFD" w:rsidRDefault="004346F3" w:rsidP="00802ABC">
            <w:pPr>
              <w:spacing w:after="0"/>
              <w:jc w:val="center"/>
              <w:rPr>
                <w:lang w:val="zh-CN"/>
              </w:rPr>
            </w:pPr>
            <w:r w:rsidRPr="00536CFD">
              <w:rPr>
                <w:lang w:val="zh-CN"/>
              </w:rPr>
              <w:t>0.275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2A6C7FD" w14:textId="77777777" w:rsidR="004346F3" w:rsidRPr="00536CFD" w:rsidRDefault="004346F3" w:rsidP="00802ABC">
            <w:pPr>
              <w:spacing w:after="0"/>
              <w:jc w:val="center"/>
              <w:rPr>
                <w:lang w:val="zh-CN"/>
              </w:rPr>
            </w:pPr>
            <w:r w:rsidRPr="00536CFD">
              <w:rPr>
                <w:lang w:val="zh-CN"/>
              </w:rPr>
              <w:t>0.196</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5352EE4E" w14:textId="77777777" w:rsidR="004346F3" w:rsidRPr="00536CFD" w:rsidRDefault="004346F3" w:rsidP="00802ABC">
            <w:pPr>
              <w:spacing w:after="0"/>
              <w:jc w:val="center"/>
              <w:rPr>
                <w:lang w:val="zh-CN"/>
              </w:rPr>
            </w:pPr>
            <w:r w:rsidRPr="00536CFD">
              <w:rPr>
                <w:lang w:val="zh-CN"/>
              </w:rPr>
              <w:t>0.09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F8D056C" w14:textId="77777777" w:rsidR="004346F3" w:rsidRPr="00536CFD" w:rsidRDefault="004346F3" w:rsidP="00802ABC">
            <w:pPr>
              <w:spacing w:after="0"/>
              <w:jc w:val="center"/>
              <w:rPr>
                <w:lang w:val="zh-CN"/>
              </w:rPr>
            </w:pPr>
            <w:r w:rsidRPr="00536CFD">
              <w:rPr>
                <w:lang w:val="zh-CN"/>
              </w:rPr>
              <w:t>0.062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5015DDF8" w14:textId="77777777" w:rsidR="004346F3" w:rsidRPr="00536CFD" w:rsidRDefault="004346F3" w:rsidP="00802ABC">
            <w:pPr>
              <w:spacing w:after="0"/>
              <w:jc w:val="center"/>
              <w:rPr>
                <w:lang w:val="zh-CN"/>
              </w:rPr>
            </w:pPr>
            <w:r w:rsidRPr="00536CFD">
              <w:rPr>
                <w:lang w:val="zh-CN"/>
              </w:rPr>
              <w:t>0.598</w:t>
            </w:r>
          </w:p>
        </w:tc>
        <w:tc>
          <w:tcPr>
            <w:tcW w:w="714" w:type="dxa"/>
            <w:tcBorders>
              <w:top w:val="single" w:sz="4" w:space="0" w:color="auto"/>
              <w:left w:val="nil"/>
              <w:bottom w:val="single" w:sz="4" w:space="0" w:color="auto"/>
              <w:right w:val="single" w:sz="4" w:space="0" w:color="auto"/>
            </w:tcBorders>
            <w:shd w:val="clear" w:color="auto" w:fill="auto"/>
            <w:vAlign w:val="bottom"/>
          </w:tcPr>
          <w:p w14:paraId="71F155D9" w14:textId="77777777" w:rsidR="004346F3" w:rsidRPr="00536CFD" w:rsidRDefault="004346F3" w:rsidP="00802ABC">
            <w:pPr>
              <w:spacing w:after="0"/>
              <w:jc w:val="center"/>
              <w:rPr>
                <w:lang w:val="zh-CN"/>
              </w:rPr>
            </w:pPr>
            <w:r w:rsidRPr="00536CFD">
              <w:rPr>
                <w:lang w:val="zh-CN"/>
              </w:rPr>
              <w:t>0.303</w:t>
            </w:r>
          </w:p>
        </w:tc>
        <w:tc>
          <w:tcPr>
            <w:tcW w:w="719" w:type="dxa"/>
            <w:tcBorders>
              <w:top w:val="single" w:sz="4" w:space="0" w:color="auto"/>
              <w:left w:val="nil"/>
              <w:bottom w:val="single" w:sz="4" w:space="0" w:color="auto"/>
              <w:right w:val="single" w:sz="4" w:space="0" w:color="auto"/>
            </w:tcBorders>
            <w:shd w:val="clear" w:color="auto" w:fill="auto"/>
            <w:vAlign w:val="bottom"/>
          </w:tcPr>
          <w:p w14:paraId="52774F1B" w14:textId="77777777" w:rsidR="004346F3" w:rsidRPr="00536CFD" w:rsidRDefault="004346F3" w:rsidP="00802ABC">
            <w:pPr>
              <w:spacing w:after="0"/>
              <w:jc w:val="center"/>
              <w:rPr>
                <w:lang w:val="zh-CN"/>
              </w:rPr>
            </w:pPr>
            <w:r w:rsidRPr="00536CFD">
              <w:rPr>
                <w:lang w:val="zh-CN"/>
              </w:rPr>
              <w:t>0.131</w:t>
            </w:r>
          </w:p>
        </w:tc>
        <w:tc>
          <w:tcPr>
            <w:tcW w:w="719" w:type="dxa"/>
            <w:tcBorders>
              <w:top w:val="single" w:sz="4" w:space="0" w:color="auto"/>
              <w:left w:val="nil"/>
              <w:bottom w:val="single" w:sz="4" w:space="0" w:color="auto"/>
              <w:right w:val="single" w:sz="4" w:space="0" w:color="auto"/>
            </w:tcBorders>
            <w:shd w:val="clear" w:color="auto" w:fill="auto"/>
            <w:vAlign w:val="bottom"/>
          </w:tcPr>
          <w:p w14:paraId="4622A097" w14:textId="77777777" w:rsidR="004346F3" w:rsidRPr="00536CFD" w:rsidRDefault="004346F3" w:rsidP="00802ABC">
            <w:pPr>
              <w:spacing w:after="0"/>
              <w:jc w:val="center"/>
              <w:rPr>
                <w:lang w:val="zh-CN"/>
              </w:rPr>
            </w:pPr>
            <w:r w:rsidRPr="00536CFD">
              <w:rPr>
                <w:lang w:val="zh-CN"/>
              </w:rPr>
              <w:t>0.075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9779C45" w14:textId="77777777" w:rsidR="004346F3" w:rsidRPr="00536CFD" w:rsidRDefault="004346F3" w:rsidP="00802ABC">
            <w:pPr>
              <w:spacing w:after="0"/>
              <w:jc w:val="center"/>
              <w:rPr>
                <w:lang w:val="zh-CN"/>
              </w:rPr>
            </w:pPr>
            <w:r w:rsidRPr="00536CFD">
              <w:rPr>
                <w:lang w:val="zh-CN"/>
              </w:rPr>
              <w:t>1.263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CB2CD9F" w14:textId="77777777" w:rsidR="004346F3" w:rsidRPr="00536CFD" w:rsidRDefault="004346F3" w:rsidP="00802ABC">
            <w:pPr>
              <w:spacing w:after="0"/>
              <w:jc w:val="center"/>
              <w:rPr>
                <w:lang w:val="zh-CN"/>
              </w:rPr>
            </w:pPr>
            <w:r w:rsidRPr="00536CFD">
              <w:rPr>
                <w:lang w:val="zh-CN"/>
              </w:rPr>
              <w:t>0.424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2871C56" w14:textId="77777777" w:rsidR="004346F3" w:rsidRPr="00536CFD" w:rsidRDefault="004346F3" w:rsidP="00802ABC">
            <w:pPr>
              <w:spacing w:after="0"/>
              <w:jc w:val="center"/>
              <w:rPr>
                <w:lang w:val="zh-CN"/>
              </w:rPr>
            </w:pPr>
            <w:r w:rsidRPr="00536CFD">
              <w:rPr>
                <w:lang w:val="zh-CN"/>
              </w:rPr>
              <w:t>0.171</w:t>
            </w:r>
          </w:p>
        </w:tc>
        <w:tc>
          <w:tcPr>
            <w:tcW w:w="676" w:type="dxa"/>
            <w:tcBorders>
              <w:top w:val="single" w:sz="4" w:space="0" w:color="auto"/>
              <w:left w:val="nil"/>
              <w:bottom w:val="single" w:sz="4" w:space="0" w:color="auto"/>
              <w:right w:val="single" w:sz="4" w:space="0" w:color="auto"/>
            </w:tcBorders>
            <w:shd w:val="clear" w:color="auto" w:fill="auto"/>
            <w:vAlign w:val="bottom"/>
          </w:tcPr>
          <w:p w14:paraId="0456E557" w14:textId="77777777" w:rsidR="004346F3" w:rsidRPr="00536CFD" w:rsidRDefault="004346F3" w:rsidP="00802ABC">
            <w:pPr>
              <w:spacing w:after="0"/>
              <w:jc w:val="center"/>
              <w:rPr>
                <w:lang w:val="zh-CN"/>
              </w:rPr>
            </w:pPr>
            <w:r w:rsidRPr="00536CFD">
              <w:rPr>
                <w:lang w:val="zh-CN"/>
              </w:rPr>
              <w:t>0.083</w:t>
            </w:r>
          </w:p>
        </w:tc>
      </w:tr>
      <w:tr w:rsidR="004346F3" w:rsidRPr="00C64ECB" w14:paraId="66B43CF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E1060D5"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55F86DF"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7CC5FB6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524A1820" w14:textId="77777777" w:rsidR="004346F3" w:rsidRPr="00536CFD" w:rsidRDefault="004346F3" w:rsidP="00802ABC">
            <w:pPr>
              <w:spacing w:after="0"/>
              <w:jc w:val="center"/>
              <w:rPr>
                <w:lang w:val="zh-CN"/>
              </w:rPr>
            </w:pPr>
            <w:r w:rsidRPr="00536CFD">
              <w:rPr>
                <w:lang w:val="zh-CN"/>
              </w:rPr>
              <w:t>0.095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F8C5392" w14:textId="77777777" w:rsidR="004346F3" w:rsidRPr="00536CFD" w:rsidRDefault="004346F3" w:rsidP="00802ABC">
            <w:pPr>
              <w:spacing w:after="0"/>
              <w:jc w:val="center"/>
              <w:rPr>
                <w:lang w:val="zh-CN"/>
              </w:rPr>
            </w:pPr>
            <w:r w:rsidRPr="00536CFD">
              <w:rPr>
                <w:lang w:val="zh-CN"/>
              </w:rPr>
              <w:t>0.072</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56F00F9" w14:textId="77777777" w:rsidR="004346F3" w:rsidRPr="00536CFD" w:rsidRDefault="004346F3" w:rsidP="00802ABC">
            <w:pPr>
              <w:spacing w:after="0"/>
              <w:jc w:val="center"/>
              <w:rPr>
                <w:lang w:val="zh-CN"/>
              </w:rPr>
            </w:pPr>
            <w:r w:rsidRPr="00536CFD">
              <w:rPr>
                <w:lang w:val="zh-CN"/>
              </w:rPr>
              <w:t>0.038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E8530E4" w14:textId="77777777" w:rsidR="004346F3" w:rsidRPr="00536CFD" w:rsidRDefault="004346F3" w:rsidP="00802ABC">
            <w:pPr>
              <w:spacing w:after="0"/>
              <w:jc w:val="center"/>
              <w:rPr>
                <w:lang w:val="zh-CN"/>
              </w:rPr>
            </w:pPr>
            <w:r w:rsidRPr="00536CFD">
              <w:rPr>
                <w:lang w:val="zh-CN"/>
              </w:rPr>
              <w:t>0.031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66B16BE6" w14:textId="77777777" w:rsidR="004346F3" w:rsidRPr="00536CFD" w:rsidRDefault="004346F3" w:rsidP="00802ABC">
            <w:pPr>
              <w:spacing w:after="0"/>
              <w:jc w:val="center"/>
              <w:rPr>
                <w:lang w:val="zh-CN"/>
              </w:rPr>
            </w:pPr>
            <w:r w:rsidRPr="00536CFD">
              <w:rPr>
                <w:lang w:val="zh-CN"/>
              </w:rPr>
              <w:t>0.226</w:t>
            </w:r>
          </w:p>
        </w:tc>
        <w:tc>
          <w:tcPr>
            <w:tcW w:w="714" w:type="dxa"/>
            <w:tcBorders>
              <w:top w:val="single" w:sz="4" w:space="0" w:color="auto"/>
              <w:left w:val="nil"/>
              <w:bottom w:val="single" w:sz="4" w:space="0" w:color="auto"/>
              <w:right w:val="single" w:sz="4" w:space="0" w:color="auto"/>
            </w:tcBorders>
            <w:shd w:val="clear" w:color="auto" w:fill="auto"/>
            <w:vAlign w:val="bottom"/>
          </w:tcPr>
          <w:p w14:paraId="3F8544ED" w14:textId="77777777" w:rsidR="004346F3" w:rsidRPr="00536CFD" w:rsidRDefault="004346F3" w:rsidP="00802ABC">
            <w:pPr>
              <w:spacing w:after="0"/>
              <w:jc w:val="center"/>
              <w:rPr>
                <w:lang w:val="zh-CN"/>
              </w:rPr>
            </w:pPr>
            <w:r w:rsidRPr="00536CFD">
              <w:rPr>
                <w:lang w:val="zh-CN"/>
              </w:rPr>
              <w:t>0.102</w:t>
            </w:r>
          </w:p>
        </w:tc>
        <w:tc>
          <w:tcPr>
            <w:tcW w:w="719" w:type="dxa"/>
            <w:tcBorders>
              <w:top w:val="single" w:sz="4" w:space="0" w:color="auto"/>
              <w:left w:val="nil"/>
              <w:bottom w:val="single" w:sz="4" w:space="0" w:color="auto"/>
              <w:right w:val="single" w:sz="4" w:space="0" w:color="auto"/>
            </w:tcBorders>
            <w:shd w:val="clear" w:color="auto" w:fill="auto"/>
            <w:vAlign w:val="bottom"/>
          </w:tcPr>
          <w:p w14:paraId="76B200ED" w14:textId="77777777" w:rsidR="004346F3" w:rsidRPr="00536CFD" w:rsidRDefault="004346F3" w:rsidP="00802ABC">
            <w:pPr>
              <w:spacing w:after="0"/>
              <w:jc w:val="center"/>
              <w:rPr>
                <w:lang w:val="zh-CN"/>
              </w:rPr>
            </w:pPr>
            <w:r w:rsidRPr="00536CFD">
              <w:rPr>
                <w:lang w:val="zh-CN"/>
              </w:rPr>
              <w:t>0.05</w:t>
            </w:r>
          </w:p>
        </w:tc>
        <w:tc>
          <w:tcPr>
            <w:tcW w:w="719" w:type="dxa"/>
            <w:tcBorders>
              <w:top w:val="single" w:sz="4" w:space="0" w:color="auto"/>
              <w:left w:val="nil"/>
              <w:bottom w:val="single" w:sz="4" w:space="0" w:color="auto"/>
              <w:right w:val="single" w:sz="4" w:space="0" w:color="auto"/>
            </w:tcBorders>
            <w:shd w:val="clear" w:color="auto" w:fill="auto"/>
            <w:vAlign w:val="bottom"/>
          </w:tcPr>
          <w:p w14:paraId="25DA7338" w14:textId="77777777" w:rsidR="004346F3" w:rsidRPr="00536CFD" w:rsidRDefault="004346F3" w:rsidP="00802ABC">
            <w:pPr>
              <w:spacing w:after="0"/>
              <w:jc w:val="center"/>
              <w:rPr>
                <w:lang w:val="zh-CN"/>
              </w:rPr>
            </w:pPr>
            <w:r w:rsidRPr="00536CFD">
              <w:rPr>
                <w:lang w:val="zh-CN"/>
              </w:rPr>
              <w:t>0.035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882ED35" w14:textId="77777777" w:rsidR="004346F3" w:rsidRPr="00536CFD" w:rsidRDefault="004346F3" w:rsidP="00802ABC">
            <w:pPr>
              <w:spacing w:after="0"/>
              <w:jc w:val="center"/>
              <w:rPr>
                <w:lang w:val="zh-CN"/>
              </w:rPr>
            </w:pPr>
            <w:r w:rsidRPr="00536CFD">
              <w:rPr>
                <w:lang w:val="zh-CN"/>
              </w:rPr>
              <w:t>1.625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1D2D721" w14:textId="77777777" w:rsidR="004346F3" w:rsidRPr="00536CFD" w:rsidRDefault="004346F3" w:rsidP="00802ABC">
            <w:pPr>
              <w:spacing w:after="0"/>
              <w:jc w:val="center"/>
              <w:rPr>
                <w:lang w:val="zh-CN"/>
              </w:rPr>
            </w:pPr>
            <w:r w:rsidRPr="00536CFD">
              <w:rPr>
                <w:lang w:val="zh-CN"/>
              </w:rPr>
              <w:t>0.139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093F4C3" w14:textId="77777777" w:rsidR="004346F3" w:rsidRPr="00536CFD" w:rsidRDefault="004346F3" w:rsidP="00802ABC">
            <w:pPr>
              <w:spacing w:after="0"/>
              <w:jc w:val="center"/>
              <w:rPr>
                <w:lang w:val="zh-CN"/>
              </w:rPr>
            </w:pPr>
            <w:r w:rsidRPr="00536CFD">
              <w:rPr>
                <w:lang w:val="zh-CN"/>
              </w:rPr>
              <w:t>0.061</w:t>
            </w:r>
          </w:p>
        </w:tc>
        <w:tc>
          <w:tcPr>
            <w:tcW w:w="676" w:type="dxa"/>
            <w:tcBorders>
              <w:top w:val="single" w:sz="4" w:space="0" w:color="auto"/>
              <w:left w:val="nil"/>
              <w:bottom w:val="single" w:sz="4" w:space="0" w:color="auto"/>
              <w:right w:val="single" w:sz="4" w:space="0" w:color="auto"/>
            </w:tcBorders>
            <w:shd w:val="clear" w:color="auto" w:fill="auto"/>
            <w:vAlign w:val="bottom"/>
          </w:tcPr>
          <w:p w14:paraId="7721CCA1" w14:textId="77777777" w:rsidR="004346F3" w:rsidRPr="00536CFD" w:rsidRDefault="004346F3" w:rsidP="00802ABC">
            <w:pPr>
              <w:spacing w:after="0"/>
              <w:jc w:val="center"/>
              <w:rPr>
                <w:lang w:val="zh-CN"/>
              </w:rPr>
            </w:pPr>
            <w:r w:rsidRPr="00536CFD">
              <w:rPr>
                <w:lang w:val="zh-CN"/>
              </w:rPr>
              <w:t>0.037</w:t>
            </w:r>
          </w:p>
        </w:tc>
      </w:tr>
      <w:tr w:rsidR="004346F3" w:rsidRPr="00C64ECB" w14:paraId="4D248B6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B94A388"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0052684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74775DC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2254BFE2" w14:textId="77777777" w:rsidR="004346F3" w:rsidRPr="00536CFD" w:rsidRDefault="004346F3" w:rsidP="00802ABC">
            <w:pPr>
              <w:spacing w:after="0"/>
              <w:jc w:val="center"/>
              <w:rPr>
                <w:lang w:val="zh-CN"/>
              </w:rPr>
            </w:pPr>
            <w:r w:rsidRPr="00536CFD">
              <w:rPr>
                <w:lang w:val="zh-CN"/>
              </w:rPr>
              <w:t>16.17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8521240" w14:textId="77777777" w:rsidR="004346F3" w:rsidRPr="00536CFD" w:rsidRDefault="004346F3" w:rsidP="00802ABC">
            <w:pPr>
              <w:spacing w:after="0"/>
              <w:jc w:val="center"/>
              <w:rPr>
                <w:lang w:val="zh-CN"/>
              </w:rPr>
            </w:pPr>
            <w:r w:rsidRPr="00536CFD">
              <w:rPr>
                <w:lang w:val="zh-CN"/>
              </w:rPr>
              <w:t>22.94</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F92F039" w14:textId="77777777" w:rsidR="004346F3" w:rsidRPr="00536CFD" w:rsidRDefault="004346F3" w:rsidP="00802ABC">
            <w:pPr>
              <w:spacing w:after="0"/>
              <w:jc w:val="center"/>
              <w:rPr>
                <w:lang w:val="zh-CN"/>
              </w:rPr>
            </w:pPr>
            <w:r w:rsidRPr="00536CFD">
              <w:rPr>
                <w:lang w:val="zh-CN"/>
              </w:rPr>
              <w:t>46.12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7316A5C7" w14:textId="77777777" w:rsidR="004346F3" w:rsidRPr="00536CFD" w:rsidRDefault="004346F3" w:rsidP="00802ABC">
            <w:pPr>
              <w:spacing w:after="0"/>
              <w:jc w:val="center"/>
              <w:rPr>
                <w:lang w:val="zh-CN"/>
              </w:rPr>
            </w:pPr>
            <w:r w:rsidRPr="00536CFD">
              <w:rPr>
                <w:lang w:val="zh-CN"/>
              </w:rPr>
              <w:t>50.92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6E2B2DC" w14:textId="77777777" w:rsidR="004346F3" w:rsidRPr="00536CFD" w:rsidRDefault="004346F3" w:rsidP="00802ABC">
            <w:pPr>
              <w:spacing w:after="0"/>
              <w:jc w:val="center"/>
              <w:rPr>
                <w:lang w:val="zh-CN"/>
              </w:rPr>
            </w:pPr>
            <w:r w:rsidRPr="00536CFD">
              <w:rPr>
                <w:lang w:val="zh-CN"/>
              </w:rPr>
              <w:t>7.28</w:t>
            </w:r>
          </w:p>
        </w:tc>
        <w:tc>
          <w:tcPr>
            <w:tcW w:w="714" w:type="dxa"/>
            <w:tcBorders>
              <w:top w:val="single" w:sz="4" w:space="0" w:color="auto"/>
              <w:left w:val="nil"/>
              <w:bottom w:val="single" w:sz="4" w:space="0" w:color="auto"/>
              <w:right w:val="single" w:sz="4" w:space="0" w:color="auto"/>
            </w:tcBorders>
            <w:shd w:val="clear" w:color="auto" w:fill="auto"/>
            <w:vAlign w:val="bottom"/>
          </w:tcPr>
          <w:p w14:paraId="01F48D99" w14:textId="77777777" w:rsidR="004346F3" w:rsidRPr="00536CFD" w:rsidRDefault="004346F3" w:rsidP="00802ABC">
            <w:pPr>
              <w:spacing w:after="0"/>
              <w:jc w:val="center"/>
              <w:rPr>
                <w:lang w:val="zh-CN"/>
              </w:rPr>
            </w:pPr>
            <w:r w:rsidRPr="00536CFD">
              <w:rPr>
                <w:lang w:val="zh-CN"/>
              </w:rPr>
              <w:t>17.06</w:t>
            </w:r>
          </w:p>
        </w:tc>
        <w:tc>
          <w:tcPr>
            <w:tcW w:w="719" w:type="dxa"/>
            <w:tcBorders>
              <w:top w:val="single" w:sz="4" w:space="0" w:color="auto"/>
              <w:left w:val="nil"/>
              <w:bottom w:val="single" w:sz="4" w:space="0" w:color="auto"/>
              <w:right w:val="single" w:sz="4" w:space="0" w:color="auto"/>
            </w:tcBorders>
            <w:shd w:val="clear" w:color="auto" w:fill="auto"/>
            <w:vAlign w:val="bottom"/>
          </w:tcPr>
          <w:p w14:paraId="1DE8DABC" w14:textId="77777777" w:rsidR="004346F3" w:rsidRPr="00536CFD" w:rsidRDefault="004346F3" w:rsidP="00802ABC">
            <w:pPr>
              <w:spacing w:after="0"/>
              <w:jc w:val="center"/>
              <w:rPr>
                <w:lang w:val="zh-CN"/>
              </w:rPr>
            </w:pPr>
            <w:r w:rsidRPr="00536CFD">
              <w:rPr>
                <w:lang w:val="zh-CN"/>
              </w:rPr>
              <w:t>33.21</w:t>
            </w:r>
          </w:p>
        </w:tc>
        <w:tc>
          <w:tcPr>
            <w:tcW w:w="719" w:type="dxa"/>
            <w:tcBorders>
              <w:top w:val="single" w:sz="4" w:space="0" w:color="auto"/>
              <w:left w:val="nil"/>
              <w:bottom w:val="single" w:sz="4" w:space="0" w:color="auto"/>
              <w:right w:val="single" w:sz="4" w:space="0" w:color="auto"/>
            </w:tcBorders>
            <w:shd w:val="clear" w:color="auto" w:fill="auto"/>
            <w:vAlign w:val="bottom"/>
          </w:tcPr>
          <w:p w14:paraId="091C21F7" w14:textId="77777777" w:rsidR="004346F3" w:rsidRPr="00536CFD" w:rsidRDefault="004346F3" w:rsidP="00802ABC">
            <w:pPr>
              <w:spacing w:after="0"/>
              <w:jc w:val="center"/>
              <w:rPr>
                <w:lang w:val="zh-CN"/>
              </w:rPr>
            </w:pPr>
            <w:r w:rsidRPr="00536CFD">
              <w:rPr>
                <w:lang w:val="zh-CN"/>
              </w:rPr>
              <w:t>44.87</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74FA5AC" w14:textId="77777777" w:rsidR="004346F3" w:rsidRPr="00536CFD" w:rsidRDefault="004346F3" w:rsidP="00802ABC">
            <w:pPr>
              <w:spacing w:after="0"/>
              <w:jc w:val="center"/>
              <w:rPr>
                <w:lang w:val="zh-CN"/>
              </w:rPr>
            </w:pPr>
            <w:r w:rsidRPr="00536CFD">
              <w:rPr>
                <w:lang w:val="zh-CN"/>
              </w:rPr>
              <w:t>3.69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5938003" w14:textId="77777777" w:rsidR="004346F3" w:rsidRPr="00536CFD" w:rsidRDefault="004346F3" w:rsidP="00802ABC">
            <w:pPr>
              <w:spacing w:after="0"/>
              <w:jc w:val="center"/>
              <w:rPr>
                <w:lang w:val="zh-CN"/>
              </w:rPr>
            </w:pPr>
            <w:r w:rsidRPr="00536CFD">
              <w:rPr>
                <w:lang w:val="zh-CN"/>
              </w:rPr>
              <w:t>12.09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6A2ECB2" w14:textId="77777777" w:rsidR="004346F3" w:rsidRPr="00536CFD" w:rsidRDefault="004346F3" w:rsidP="00802ABC">
            <w:pPr>
              <w:spacing w:after="0"/>
              <w:jc w:val="center"/>
              <w:rPr>
                <w:lang w:val="zh-CN"/>
              </w:rPr>
            </w:pPr>
            <w:r w:rsidRPr="00536CFD">
              <w:rPr>
                <w:lang w:val="zh-CN"/>
              </w:rPr>
              <w:t>27.53</w:t>
            </w:r>
          </w:p>
        </w:tc>
        <w:tc>
          <w:tcPr>
            <w:tcW w:w="676" w:type="dxa"/>
            <w:tcBorders>
              <w:top w:val="single" w:sz="4" w:space="0" w:color="auto"/>
              <w:left w:val="nil"/>
              <w:bottom w:val="single" w:sz="4" w:space="0" w:color="auto"/>
              <w:right w:val="single" w:sz="4" w:space="0" w:color="auto"/>
            </w:tcBorders>
            <w:shd w:val="clear" w:color="auto" w:fill="auto"/>
            <w:vAlign w:val="bottom"/>
          </w:tcPr>
          <w:p w14:paraId="135F614D" w14:textId="77777777" w:rsidR="004346F3" w:rsidRPr="00536CFD" w:rsidRDefault="004346F3" w:rsidP="00802ABC">
            <w:pPr>
              <w:spacing w:after="0"/>
              <w:jc w:val="center"/>
              <w:rPr>
                <w:lang w:val="zh-CN"/>
              </w:rPr>
            </w:pPr>
            <w:r w:rsidRPr="00536CFD">
              <w:rPr>
                <w:lang w:val="zh-CN"/>
              </w:rPr>
              <w:t>41.32</w:t>
            </w:r>
          </w:p>
        </w:tc>
      </w:tr>
      <w:tr w:rsidR="004346F3" w:rsidRPr="00C64ECB" w14:paraId="2A5C9CD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E04023A"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AD61375"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1B545A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723EACFA" w14:textId="77777777" w:rsidR="004346F3" w:rsidRPr="00536CFD" w:rsidRDefault="004346F3" w:rsidP="00802ABC">
            <w:pPr>
              <w:spacing w:after="0"/>
              <w:jc w:val="center"/>
              <w:rPr>
                <w:lang w:val="zh-CN"/>
              </w:rPr>
            </w:pPr>
            <w:r w:rsidRPr="00536CFD">
              <w:rPr>
                <w:lang w:val="zh-CN"/>
              </w:rPr>
              <w:t>55.57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97ED653" w14:textId="77777777" w:rsidR="004346F3" w:rsidRPr="00536CFD" w:rsidRDefault="004346F3" w:rsidP="00802ABC">
            <w:pPr>
              <w:spacing w:after="0"/>
              <w:jc w:val="center"/>
              <w:rPr>
                <w:lang w:val="zh-CN"/>
              </w:rPr>
            </w:pPr>
            <w:r w:rsidRPr="00536CFD">
              <w:rPr>
                <w:lang w:val="zh-CN"/>
              </w:rPr>
              <w:t>67.8</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41F11062" w14:textId="77777777" w:rsidR="004346F3" w:rsidRPr="00536CFD" w:rsidRDefault="004346F3" w:rsidP="00802ABC">
            <w:pPr>
              <w:spacing w:after="0"/>
              <w:jc w:val="center"/>
              <w:rPr>
                <w:lang w:val="zh-CN"/>
              </w:rPr>
            </w:pPr>
            <w:r w:rsidRPr="00536CFD">
              <w:rPr>
                <w:lang w:val="zh-CN"/>
              </w:rPr>
              <w:t>115.86</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80E5E76" w14:textId="77777777" w:rsidR="004346F3" w:rsidRPr="00536CFD" w:rsidRDefault="004346F3" w:rsidP="00802ABC">
            <w:pPr>
              <w:spacing w:after="0"/>
              <w:jc w:val="center"/>
              <w:rPr>
                <w:lang w:val="zh-CN"/>
              </w:rPr>
            </w:pPr>
            <w:r w:rsidRPr="00536CFD">
              <w:rPr>
                <w:lang w:val="zh-CN"/>
              </w:rPr>
              <w:t>125.83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A4AAD0F" w14:textId="77777777" w:rsidR="004346F3" w:rsidRPr="00536CFD" w:rsidRDefault="004346F3" w:rsidP="00802ABC">
            <w:pPr>
              <w:spacing w:after="0"/>
              <w:jc w:val="center"/>
              <w:rPr>
                <w:lang w:val="zh-CN"/>
              </w:rPr>
            </w:pPr>
            <w:r w:rsidRPr="00536CFD">
              <w:rPr>
                <w:lang w:val="zh-CN"/>
              </w:rPr>
              <w:t>34.08</w:t>
            </w:r>
          </w:p>
        </w:tc>
        <w:tc>
          <w:tcPr>
            <w:tcW w:w="714" w:type="dxa"/>
            <w:tcBorders>
              <w:top w:val="single" w:sz="4" w:space="0" w:color="auto"/>
              <w:left w:val="nil"/>
              <w:bottom w:val="single" w:sz="4" w:space="0" w:color="auto"/>
              <w:right w:val="single" w:sz="4" w:space="0" w:color="auto"/>
            </w:tcBorders>
            <w:shd w:val="clear" w:color="auto" w:fill="auto"/>
            <w:vAlign w:val="bottom"/>
          </w:tcPr>
          <w:p w14:paraId="5DDDEA45" w14:textId="77777777" w:rsidR="004346F3" w:rsidRPr="00536CFD" w:rsidRDefault="004346F3" w:rsidP="00802ABC">
            <w:pPr>
              <w:spacing w:after="0"/>
              <w:jc w:val="center"/>
              <w:rPr>
                <w:lang w:val="zh-CN"/>
              </w:rPr>
            </w:pPr>
            <w:r w:rsidRPr="00536CFD">
              <w:rPr>
                <w:lang w:val="zh-CN"/>
              </w:rPr>
              <w:t>50.05</w:t>
            </w:r>
          </w:p>
        </w:tc>
        <w:tc>
          <w:tcPr>
            <w:tcW w:w="719" w:type="dxa"/>
            <w:tcBorders>
              <w:top w:val="single" w:sz="4" w:space="0" w:color="auto"/>
              <w:left w:val="nil"/>
              <w:bottom w:val="single" w:sz="4" w:space="0" w:color="auto"/>
              <w:right w:val="single" w:sz="4" w:space="0" w:color="auto"/>
            </w:tcBorders>
            <w:shd w:val="clear" w:color="auto" w:fill="auto"/>
            <w:vAlign w:val="bottom"/>
          </w:tcPr>
          <w:p w14:paraId="25714065" w14:textId="77777777" w:rsidR="004346F3" w:rsidRPr="00536CFD" w:rsidRDefault="004346F3" w:rsidP="00802ABC">
            <w:pPr>
              <w:spacing w:after="0"/>
              <w:jc w:val="center"/>
              <w:rPr>
                <w:lang w:val="zh-CN"/>
              </w:rPr>
            </w:pPr>
            <w:r w:rsidRPr="00536CFD">
              <w:rPr>
                <w:lang w:val="zh-CN"/>
              </w:rPr>
              <w:t>91.38</w:t>
            </w:r>
          </w:p>
        </w:tc>
        <w:tc>
          <w:tcPr>
            <w:tcW w:w="719" w:type="dxa"/>
            <w:tcBorders>
              <w:top w:val="single" w:sz="4" w:space="0" w:color="auto"/>
              <w:left w:val="nil"/>
              <w:bottom w:val="single" w:sz="4" w:space="0" w:color="auto"/>
              <w:right w:val="single" w:sz="4" w:space="0" w:color="auto"/>
            </w:tcBorders>
            <w:shd w:val="clear" w:color="auto" w:fill="auto"/>
            <w:vAlign w:val="bottom"/>
          </w:tcPr>
          <w:p w14:paraId="04C028AE" w14:textId="77777777" w:rsidR="004346F3" w:rsidRPr="00536CFD" w:rsidRDefault="004346F3" w:rsidP="00802ABC">
            <w:pPr>
              <w:spacing w:after="0"/>
              <w:jc w:val="center"/>
              <w:rPr>
                <w:lang w:val="zh-CN"/>
              </w:rPr>
            </w:pPr>
            <w:r w:rsidRPr="00536CFD">
              <w:rPr>
                <w:lang w:val="zh-CN"/>
              </w:rPr>
              <w:t>114.1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AE54159" w14:textId="77777777" w:rsidR="004346F3" w:rsidRPr="00536CFD" w:rsidRDefault="004346F3" w:rsidP="00802ABC">
            <w:pPr>
              <w:spacing w:after="0"/>
              <w:jc w:val="center"/>
              <w:rPr>
                <w:lang w:val="zh-CN"/>
              </w:rPr>
            </w:pPr>
            <w:r w:rsidRPr="00536CFD">
              <w:rPr>
                <w:lang w:val="zh-CN"/>
              </w:rPr>
              <w:t>24.5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808DEA2" w14:textId="77777777" w:rsidR="004346F3" w:rsidRPr="00536CFD" w:rsidRDefault="004346F3" w:rsidP="00802ABC">
            <w:pPr>
              <w:spacing w:after="0"/>
              <w:jc w:val="center"/>
              <w:rPr>
                <w:lang w:val="zh-CN"/>
              </w:rPr>
            </w:pPr>
            <w:r w:rsidRPr="00536CFD">
              <w:rPr>
                <w:lang w:val="zh-CN"/>
              </w:rPr>
              <w:t>42.25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751A485" w14:textId="77777777" w:rsidR="004346F3" w:rsidRPr="00536CFD" w:rsidRDefault="004346F3" w:rsidP="00802ABC">
            <w:pPr>
              <w:spacing w:after="0"/>
              <w:jc w:val="center"/>
              <w:rPr>
                <w:lang w:val="zh-CN"/>
              </w:rPr>
            </w:pPr>
            <w:r w:rsidRPr="00536CFD">
              <w:rPr>
                <w:lang w:val="zh-CN"/>
              </w:rPr>
              <w:t>77.04</w:t>
            </w:r>
          </w:p>
        </w:tc>
        <w:tc>
          <w:tcPr>
            <w:tcW w:w="676" w:type="dxa"/>
            <w:tcBorders>
              <w:top w:val="single" w:sz="4" w:space="0" w:color="auto"/>
              <w:left w:val="nil"/>
              <w:bottom w:val="single" w:sz="4" w:space="0" w:color="auto"/>
              <w:right w:val="single" w:sz="4" w:space="0" w:color="auto"/>
            </w:tcBorders>
            <w:shd w:val="clear" w:color="auto" w:fill="auto"/>
            <w:vAlign w:val="bottom"/>
          </w:tcPr>
          <w:p w14:paraId="122180F3" w14:textId="77777777" w:rsidR="004346F3" w:rsidRPr="00536CFD" w:rsidRDefault="004346F3" w:rsidP="00802ABC">
            <w:pPr>
              <w:spacing w:after="0"/>
              <w:jc w:val="center"/>
              <w:rPr>
                <w:lang w:val="zh-CN"/>
              </w:rPr>
            </w:pPr>
            <w:r w:rsidRPr="00536CFD">
              <w:rPr>
                <w:lang w:val="zh-CN"/>
              </w:rPr>
              <w:t>107.98</w:t>
            </w:r>
          </w:p>
        </w:tc>
      </w:tr>
      <w:tr w:rsidR="004346F3" w:rsidRPr="00C64ECB" w14:paraId="4BC748F1"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DFA4856"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5B5EFB9"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FBA55E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5A7FA7D6" w14:textId="77777777" w:rsidR="004346F3" w:rsidRPr="00536CFD" w:rsidRDefault="004346F3" w:rsidP="00802ABC">
            <w:pPr>
              <w:spacing w:after="0"/>
              <w:jc w:val="center"/>
              <w:rPr>
                <w:lang w:val="zh-CN"/>
              </w:rPr>
            </w:pPr>
            <w:r w:rsidRPr="00536CFD">
              <w:rPr>
                <w:lang w:val="zh-CN"/>
              </w:rPr>
              <w:t>87.93</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E5699E0" w14:textId="77777777" w:rsidR="004346F3" w:rsidRPr="00536CFD" w:rsidRDefault="004346F3" w:rsidP="00802ABC">
            <w:pPr>
              <w:spacing w:after="0"/>
              <w:jc w:val="center"/>
              <w:rPr>
                <w:lang w:val="zh-CN"/>
              </w:rPr>
            </w:pPr>
            <w:r w:rsidRPr="00536CFD">
              <w:rPr>
                <w:lang w:val="zh-CN"/>
              </w:rPr>
              <w:t>98.91</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B5A1E1D" w14:textId="77777777" w:rsidR="004346F3" w:rsidRPr="00536CFD" w:rsidRDefault="004346F3" w:rsidP="00802ABC">
            <w:pPr>
              <w:spacing w:after="0"/>
              <w:jc w:val="center"/>
              <w:rPr>
                <w:lang w:val="zh-CN"/>
              </w:rPr>
            </w:pPr>
            <w:r w:rsidRPr="00536CFD">
              <w:rPr>
                <w:lang w:val="zh-CN"/>
              </w:rPr>
              <w:t>144.01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B41FC34" w14:textId="77777777" w:rsidR="004346F3" w:rsidRPr="00536CFD" w:rsidRDefault="004346F3" w:rsidP="00802ABC">
            <w:pPr>
              <w:spacing w:after="0"/>
              <w:jc w:val="center"/>
              <w:rPr>
                <w:lang w:val="zh-CN"/>
              </w:rPr>
            </w:pPr>
            <w:r w:rsidRPr="00536CFD">
              <w:rPr>
                <w:lang w:val="zh-CN"/>
              </w:rPr>
              <w:t>155.32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4D751D2C" w14:textId="77777777" w:rsidR="004346F3" w:rsidRPr="00536CFD" w:rsidRDefault="004346F3" w:rsidP="00802ABC">
            <w:pPr>
              <w:spacing w:after="0"/>
              <w:jc w:val="center"/>
              <w:rPr>
                <w:lang w:val="zh-CN"/>
              </w:rPr>
            </w:pPr>
            <w:r w:rsidRPr="00536CFD">
              <w:rPr>
                <w:lang w:val="zh-CN"/>
              </w:rPr>
              <w:t>68.23</w:t>
            </w:r>
          </w:p>
        </w:tc>
        <w:tc>
          <w:tcPr>
            <w:tcW w:w="714" w:type="dxa"/>
            <w:tcBorders>
              <w:top w:val="single" w:sz="4" w:space="0" w:color="auto"/>
              <w:left w:val="nil"/>
              <w:bottom w:val="single" w:sz="4" w:space="0" w:color="auto"/>
              <w:right w:val="single" w:sz="4" w:space="0" w:color="auto"/>
            </w:tcBorders>
            <w:shd w:val="clear" w:color="auto" w:fill="auto"/>
            <w:vAlign w:val="bottom"/>
          </w:tcPr>
          <w:p w14:paraId="20ED095D" w14:textId="77777777" w:rsidR="004346F3" w:rsidRPr="00536CFD" w:rsidRDefault="004346F3" w:rsidP="00802ABC">
            <w:pPr>
              <w:spacing w:after="0"/>
              <w:jc w:val="center"/>
              <w:rPr>
                <w:lang w:val="zh-CN"/>
              </w:rPr>
            </w:pPr>
            <w:r w:rsidRPr="00536CFD">
              <w:rPr>
                <w:lang w:val="zh-CN"/>
              </w:rPr>
              <w:t>86.13</w:t>
            </w:r>
          </w:p>
        </w:tc>
        <w:tc>
          <w:tcPr>
            <w:tcW w:w="719" w:type="dxa"/>
            <w:tcBorders>
              <w:top w:val="single" w:sz="4" w:space="0" w:color="auto"/>
              <w:left w:val="nil"/>
              <w:bottom w:val="single" w:sz="4" w:space="0" w:color="auto"/>
              <w:right w:val="single" w:sz="4" w:space="0" w:color="auto"/>
            </w:tcBorders>
            <w:shd w:val="clear" w:color="auto" w:fill="auto"/>
            <w:vAlign w:val="bottom"/>
          </w:tcPr>
          <w:p w14:paraId="408CE93C" w14:textId="77777777" w:rsidR="004346F3" w:rsidRPr="00536CFD" w:rsidRDefault="004346F3" w:rsidP="00802ABC">
            <w:pPr>
              <w:spacing w:after="0"/>
              <w:jc w:val="center"/>
              <w:rPr>
                <w:lang w:val="zh-CN"/>
              </w:rPr>
            </w:pPr>
            <w:r w:rsidRPr="00536CFD">
              <w:rPr>
                <w:lang w:val="zh-CN"/>
              </w:rPr>
              <w:t>124.17</w:t>
            </w:r>
          </w:p>
        </w:tc>
        <w:tc>
          <w:tcPr>
            <w:tcW w:w="719" w:type="dxa"/>
            <w:tcBorders>
              <w:top w:val="single" w:sz="4" w:space="0" w:color="auto"/>
              <w:left w:val="nil"/>
              <w:bottom w:val="single" w:sz="4" w:space="0" w:color="auto"/>
              <w:right w:val="single" w:sz="4" w:space="0" w:color="auto"/>
            </w:tcBorders>
            <w:shd w:val="clear" w:color="auto" w:fill="auto"/>
            <w:vAlign w:val="bottom"/>
          </w:tcPr>
          <w:p w14:paraId="78DC8254" w14:textId="77777777" w:rsidR="004346F3" w:rsidRPr="00536CFD" w:rsidRDefault="004346F3" w:rsidP="00802ABC">
            <w:pPr>
              <w:spacing w:after="0"/>
              <w:jc w:val="center"/>
              <w:rPr>
                <w:lang w:val="zh-CN"/>
              </w:rPr>
            </w:pPr>
            <w:r w:rsidRPr="00536CFD">
              <w:rPr>
                <w:lang w:val="zh-CN"/>
              </w:rPr>
              <w:t>145.1</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E80C10F" w14:textId="77777777" w:rsidR="004346F3" w:rsidRPr="00536CFD" w:rsidRDefault="004346F3" w:rsidP="00802ABC">
            <w:pPr>
              <w:spacing w:after="0"/>
              <w:jc w:val="center"/>
              <w:rPr>
                <w:lang w:val="zh-CN"/>
              </w:rPr>
            </w:pPr>
            <w:r w:rsidRPr="00536CFD">
              <w:rPr>
                <w:lang w:val="zh-CN"/>
              </w:rPr>
              <w:t>56.53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C7B2FB1" w14:textId="77777777" w:rsidR="004346F3" w:rsidRPr="00536CFD" w:rsidRDefault="004346F3" w:rsidP="00802ABC">
            <w:pPr>
              <w:spacing w:after="0"/>
              <w:jc w:val="center"/>
              <w:rPr>
                <w:lang w:val="zh-CN"/>
              </w:rPr>
            </w:pPr>
            <w:r w:rsidRPr="00536CFD">
              <w:rPr>
                <w:lang w:val="zh-CN"/>
              </w:rPr>
              <w:t>79.04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CE191EF" w14:textId="77777777" w:rsidR="004346F3" w:rsidRPr="00536CFD" w:rsidRDefault="004346F3" w:rsidP="00802ABC">
            <w:pPr>
              <w:spacing w:after="0"/>
              <w:jc w:val="center"/>
              <w:rPr>
                <w:lang w:val="zh-CN"/>
              </w:rPr>
            </w:pPr>
            <w:r w:rsidRPr="00536CFD">
              <w:rPr>
                <w:lang w:val="zh-CN"/>
              </w:rPr>
              <w:t>112.83</w:t>
            </w:r>
          </w:p>
        </w:tc>
        <w:tc>
          <w:tcPr>
            <w:tcW w:w="676" w:type="dxa"/>
            <w:tcBorders>
              <w:top w:val="single" w:sz="4" w:space="0" w:color="auto"/>
              <w:left w:val="nil"/>
              <w:bottom w:val="single" w:sz="4" w:space="0" w:color="auto"/>
              <w:right w:val="single" w:sz="4" w:space="0" w:color="auto"/>
            </w:tcBorders>
            <w:shd w:val="clear" w:color="auto" w:fill="auto"/>
            <w:vAlign w:val="bottom"/>
          </w:tcPr>
          <w:p w14:paraId="04A868C0" w14:textId="77777777" w:rsidR="004346F3" w:rsidRPr="00536CFD" w:rsidRDefault="004346F3" w:rsidP="00802ABC">
            <w:pPr>
              <w:spacing w:after="0"/>
              <w:jc w:val="center"/>
              <w:rPr>
                <w:lang w:val="zh-CN"/>
              </w:rPr>
            </w:pPr>
            <w:r w:rsidRPr="00536CFD">
              <w:rPr>
                <w:lang w:val="zh-CN"/>
              </w:rPr>
              <w:t>140.52</w:t>
            </w:r>
          </w:p>
        </w:tc>
      </w:tr>
      <w:tr w:rsidR="004346F3" w:rsidRPr="00C64ECB" w14:paraId="4AB7780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746326C"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B093027"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A89169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08358C0F" w14:textId="77777777" w:rsidR="004346F3" w:rsidRPr="00536CFD" w:rsidRDefault="004346F3" w:rsidP="00802ABC">
            <w:pPr>
              <w:spacing w:after="0"/>
              <w:jc w:val="center"/>
              <w:rPr>
                <w:lang w:val="zh-CN"/>
              </w:rPr>
            </w:pPr>
            <w:r w:rsidRPr="00536CFD">
              <w:rPr>
                <w:lang w:val="zh-CN"/>
              </w:rPr>
              <w:t>54.48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94ADB11" w14:textId="77777777" w:rsidR="004346F3" w:rsidRPr="00536CFD" w:rsidRDefault="004346F3" w:rsidP="00802ABC">
            <w:pPr>
              <w:spacing w:after="0"/>
              <w:jc w:val="center"/>
              <w:rPr>
                <w:lang w:val="zh-CN"/>
              </w:rPr>
            </w:pPr>
            <w:r w:rsidRPr="00536CFD">
              <w:rPr>
                <w:lang w:val="zh-CN"/>
              </w:rPr>
              <w:t>65.38</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7C2D6D2" w14:textId="77777777" w:rsidR="004346F3" w:rsidRPr="00536CFD" w:rsidRDefault="004346F3" w:rsidP="00802ABC">
            <w:pPr>
              <w:spacing w:after="0"/>
              <w:jc w:val="center"/>
              <w:rPr>
                <w:lang w:val="zh-CN"/>
              </w:rPr>
            </w:pPr>
            <w:r w:rsidRPr="00536CFD">
              <w:rPr>
                <w:lang w:val="zh-CN"/>
              </w:rPr>
              <w:t>109.12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8B8003F" w14:textId="77777777" w:rsidR="004346F3" w:rsidRPr="00536CFD" w:rsidRDefault="004346F3" w:rsidP="00802ABC">
            <w:pPr>
              <w:spacing w:after="0"/>
              <w:jc w:val="center"/>
              <w:rPr>
                <w:lang w:val="zh-CN"/>
              </w:rPr>
            </w:pPr>
            <w:r w:rsidRPr="00536CFD">
              <w:rPr>
                <w:lang w:val="zh-CN"/>
              </w:rPr>
              <w:t>118.3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5EE2F14" w14:textId="77777777" w:rsidR="004346F3" w:rsidRPr="00536CFD" w:rsidRDefault="004346F3" w:rsidP="00802ABC">
            <w:pPr>
              <w:spacing w:after="0"/>
              <w:jc w:val="center"/>
              <w:rPr>
                <w:lang w:val="zh-CN"/>
              </w:rPr>
            </w:pPr>
            <w:r w:rsidRPr="00536CFD">
              <w:rPr>
                <w:lang w:val="zh-CN"/>
              </w:rPr>
              <w:t>35.32</w:t>
            </w:r>
          </w:p>
        </w:tc>
        <w:tc>
          <w:tcPr>
            <w:tcW w:w="714" w:type="dxa"/>
            <w:tcBorders>
              <w:top w:val="single" w:sz="4" w:space="0" w:color="auto"/>
              <w:left w:val="nil"/>
              <w:bottom w:val="single" w:sz="4" w:space="0" w:color="auto"/>
              <w:right w:val="single" w:sz="4" w:space="0" w:color="auto"/>
            </w:tcBorders>
            <w:shd w:val="clear" w:color="auto" w:fill="auto"/>
            <w:vAlign w:val="bottom"/>
          </w:tcPr>
          <w:p w14:paraId="0D90E2F8" w14:textId="77777777" w:rsidR="004346F3" w:rsidRPr="00536CFD" w:rsidRDefault="004346F3" w:rsidP="00802ABC">
            <w:pPr>
              <w:spacing w:after="0"/>
              <w:jc w:val="center"/>
              <w:rPr>
                <w:lang w:val="zh-CN"/>
              </w:rPr>
            </w:pPr>
            <w:r w:rsidRPr="00536CFD">
              <w:rPr>
                <w:lang w:val="zh-CN"/>
              </w:rPr>
              <w:t>50.67</w:t>
            </w:r>
          </w:p>
        </w:tc>
        <w:tc>
          <w:tcPr>
            <w:tcW w:w="719" w:type="dxa"/>
            <w:tcBorders>
              <w:top w:val="single" w:sz="4" w:space="0" w:color="auto"/>
              <w:left w:val="nil"/>
              <w:bottom w:val="single" w:sz="4" w:space="0" w:color="auto"/>
              <w:right w:val="single" w:sz="4" w:space="0" w:color="auto"/>
            </w:tcBorders>
            <w:shd w:val="clear" w:color="auto" w:fill="auto"/>
            <w:vAlign w:val="bottom"/>
          </w:tcPr>
          <w:p w14:paraId="0A5FE943" w14:textId="77777777" w:rsidR="004346F3" w:rsidRPr="00536CFD" w:rsidRDefault="004346F3" w:rsidP="00802ABC">
            <w:pPr>
              <w:spacing w:after="0"/>
              <w:jc w:val="center"/>
              <w:rPr>
                <w:lang w:val="zh-CN"/>
              </w:rPr>
            </w:pPr>
            <w:r w:rsidRPr="00536CFD">
              <w:rPr>
                <w:lang w:val="zh-CN"/>
              </w:rPr>
              <w:t>86.68</w:t>
            </w:r>
          </w:p>
        </w:tc>
        <w:tc>
          <w:tcPr>
            <w:tcW w:w="719" w:type="dxa"/>
            <w:tcBorders>
              <w:top w:val="single" w:sz="4" w:space="0" w:color="auto"/>
              <w:left w:val="nil"/>
              <w:bottom w:val="single" w:sz="4" w:space="0" w:color="auto"/>
              <w:right w:val="single" w:sz="4" w:space="0" w:color="auto"/>
            </w:tcBorders>
            <w:shd w:val="clear" w:color="auto" w:fill="auto"/>
            <w:vAlign w:val="bottom"/>
          </w:tcPr>
          <w:p w14:paraId="1C84666A" w14:textId="77777777" w:rsidR="004346F3" w:rsidRPr="00536CFD" w:rsidRDefault="004346F3" w:rsidP="00802ABC">
            <w:pPr>
              <w:spacing w:after="0"/>
              <w:jc w:val="center"/>
              <w:rPr>
                <w:lang w:val="zh-CN"/>
              </w:rPr>
            </w:pPr>
            <w:r w:rsidRPr="00536CFD">
              <w:rPr>
                <w:lang w:val="zh-CN"/>
              </w:rPr>
              <w:t>106.99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1E59B764" w14:textId="77777777" w:rsidR="004346F3" w:rsidRPr="00536CFD" w:rsidRDefault="004346F3" w:rsidP="00802ABC">
            <w:pPr>
              <w:spacing w:after="0"/>
              <w:jc w:val="center"/>
              <w:rPr>
                <w:lang w:val="zh-CN"/>
              </w:rPr>
            </w:pPr>
            <w:r w:rsidRPr="00536CFD">
              <w:rPr>
                <w:lang w:val="zh-CN"/>
              </w:rPr>
              <w:t>25.98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2DD4AB8" w14:textId="77777777" w:rsidR="004346F3" w:rsidRPr="00536CFD" w:rsidRDefault="004346F3" w:rsidP="00802ABC">
            <w:pPr>
              <w:spacing w:after="0"/>
              <w:jc w:val="center"/>
              <w:rPr>
                <w:lang w:val="zh-CN"/>
              </w:rPr>
            </w:pPr>
            <w:r w:rsidRPr="00536CFD">
              <w:rPr>
                <w:lang w:val="zh-CN"/>
              </w:rPr>
              <w:t>43.14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E887B6B" w14:textId="77777777" w:rsidR="004346F3" w:rsidRPr="00536CFD" w:rsidRDefault="004346F3" w:rsidP="00802ABC">
            <w:pPr>
              <w:spacing w:after="0"/>
              <w:jc w:val="center"/>
              <w:rPr>
                <w:lang w:val="zh-CN"/>
              </w:rPr>
            </w:pPr>
            <w:r w:rsidRPr="00536CFD">
              <w:rPr>
                <w:lang w:val="zh-CN"/>
              </w:rPr>
              <w:t>73.75</w:t>
            </w:r>
          </w:p>
        </w:tc>
        <w:tc>
          <w:tcPr>
            <w:tcW w:w="676" w:type="dxa"/>
            <w:tcBorders>
              <w:top w:val="single" w:sz="4" w:space="0" w:color="auto"/>
              <w:left w:val="nil"/>
              <w:bottom w:val="single" w:sz="4" w:space="0" w:color="auto"/>
              <w:right w:val="single" w:sz="4" w:space="0" w:color="auto"/>
            </w:tcBorders>
            <w:shd w:val="clear" w:color="auto" w:fill="auto"/>
            <w:vAlign w:val="bottom"/>
          </w:tcPr>
          <w:p w14:paraId="44F3740A" w14:textId="77777777" w:rsidR="004346F3" w:rsidRPr="00536CFD" w:rsidRDefault="004346F3" w:rsidP="00802ABC">
            <w:pPr>
              <w:spacing w:after="0"/>
              <w:jc w:val="center"/>
              <w:rPr>
                <w:lang w:val="zh-CN"/>
              </w:rPr>
            </w:pPr>
            <w:r w:rsidRPr="00536CFD">
              <w:rPr>
                <w:lang w:val="zh-CN"/>
              </w:rPr>
              <w:t>101.59</w:t>
            </w:r>
          </w:p>
        </w:tc>
      </w:tr>
      <w:tr w:rsidR="004346F3" w:rsidRPr="00C64ECB" w14:paraId="512A6F3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B838611"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7FBB33D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4BC1582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vAlign w:val="bottom"/>
          </w:tcPr>
          <w:p w14:paraId="5360039F" w14:textId="77777777" w:rsidR="004346F3" w:rsidRPr="00536CFD" w:rsidRDefault="004346F3" w:rsidP="00802ABC">
            <w:pPr>
              <w:spacing w:after="0"/>
              <w:jc w:val="center"/>
              <w:rPr>
                <w:lang w:val="zh-CN"/>
              </w:rPr>
            </w:pPr>
            <w:r w:rsidRPr="00536CFD">
              <w:rPr>
                <w:lang w:val="zh-CN"/>
              </w:rPr>
              <w:t>0.035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577C5BA" w14:textId="77777777" w:rsidR="004346F3" w:rsidRPr="00536CFD" w:rsidRDefault="004346F3" w:rsidP="00802ABC">
            <w:pPr>
              <w:spacing w:after="0"/>
              <w:jc w:val="center"/>
              <w:rPr>
                <w:lang w:val="zh-CN"/>
              </w:rPr>
            </w:pPr>
            <w:r w:rsidRPr="00536CFD">
              <w:rPr>
                <w:lang w:val="zh-CN"/>
              </w:rPr>
              <w:t>0.034</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7EE937AC" w14:textId="77777777" w:rsidR="004346F3" w:rsidRPr="00536CFD" w:rsidRDefault="004346F3" w:rsidP="00802ABC">
            <w:pPr>
              <w:spacing w:after="0"/>
              <w:jc w:val="center"/>
              <w:rPr>
                <w:lang w:val="zh-CN"/>
              </w:rPr>
            </w:pPr>
            <w:r w:rsidRPr="00536CFD">
              <w:rPr>
                <w:lang w:val="zh-CN"/>
              </w:rPr>
              <w:t>0.022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409D026" w14:textId="77777777" w:rsidR="004346F3" w:rsidRPr="00536CFD" w:rsidRDefault="004346F3" w:rsidP="00802ABC">
            <w:pPr>
              <w:spacing w:after="0"/>
              <w:jc w:val="center"/>
              <w:rPr>
                <w:lang w:val="zh-CN"/>
              </w:rPr>
            </w:pPr>
            <w:r w:rsidRPr="00536CFD">
              <w:rPr>
                <w:lang w:val="zh-CN"/>
              </w:rPr>
              <w:t>0.022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78315A7" w14:textId="77777777" w:rsidR="004346F3" w:rsidRPr="00536CFD" w:rsidRDefault="004346F3" w:rsidP="00802ABC">
            <w:pPr>
              <w:spacing w:after="0"/>
              <w:jc w:val="center"/>
              <w:rPr>
                <w:lang w:val="zh-CN"/>
              </w:rPr>
            </w:pPr>
            <w:r w:rsidRPr="00536CFD">
              <w:rPr>
                <w:lang w:val="zh-CN"/>
              </w:rPr>
              <w:t>0.04</w:t>
            </w:r>
          </w:p>
        </w:tc>
        <w:tc>
          <w:tcPr>
            <w:tcW w:w="714" w:type="dxa"/>
            <w:tcBorders>
              <w:top w:val="single" w:sz="4" w:space="0" w:color="auto"/>
              <w:left w:val="nil"/>
              <w:bottom w:val="single" w:sz="4" w:space="0" w:color="auto"/>
              <w:right w:val="single" w:sz="4" w:space="0" w:color="auto"/>
            </w:tcBorders>
            <w:shd w:val="clear" w:color="auto" w:fill="auto"/>
            <w:vAlign w:val="bottom"/>
          </w:tcPr>
          <w:p w14:paraId="1AE264F6" w14:textId="77777777" w:rsidR="004346F3" w:rsidRPr="00536CFD" w:rsidRDefault="004346F3" w:rsidP="00802ABC">
            <w:pPr>
              <w:spacing w:after="0"/>
              <w:jc w:val="center"/>
              <w:rPr>
                <w:lang w:val="zh-CN"/>
              </w:rPr>
            </w:pPr>
            <w:r w:rsidRPr="00536CFD">
              <w:rPr>
                <w:lang w:val="zh-CN"/>
              </w:rPr>
              <w:t>0.035</w:t>
            </w:r>
          </w:p>
        </w:tc>
        <w:tc>
          <w:tcPr>
            <w:tcW w:w="719" w:type="dxa"/>
            <w:tcBorders>
              <w:top w:val="single" w:sz="4" w:space="0" w:color="auto"/>
              <w:left w:val="nil"/>
              <w:bottom w:val="single" w:sz="4" w:space="0" w:color="auto"/>
              <w:right w:val="single" w:sz="4" w:space="0" w:color="auto"/>
            </w:tcBorders>
            <w:shd w:val="clear" w:color="auto" w:fill="auto"/>
            <w:vAlign w:val="bottom"/>
          </w:tcPr>
          <w:p w14:paraId="7A47FB2B" w14:textId="77777777" w:rsidR="004346F3" w:rsidRPr="00536CFD" w:rsidRDefault="004346F3" w:rsidP="00802ABC">
            <w:pPr>
              <w:spacing w:after="0"/>
              <w:jc w:val="center"/>
              <w:rPr>
                <w:lang w:val="zh-CN"/>
              </w:rPr>
            </w:pPr>
            <w:r w:rsidRPr="00536CFD">
              <w:rPr>
                <w:lang w:val="zh-CN"/>
              </w:rPr>
              <w:t>0.022</w:t>
            </w:r>
          </w:p>
        </w:tc>
        <w:tc>
          <w:tcPr>
            <w:tcW w:w="719" w:type="dxa"/>
            <w:tcBorders>
              <w:top w:val="single" w:sz="4" w:space="0" w:color="auto"/>
              <w:left w:val="nil"/>
              <w:bottom w:val="single" w:sz="4" w:space="0" w:color="auto"/>
              <w:right w:val="single" w:sz="4" w:space="0" w:color="auto"/>
            </w:tcBorders>
            <w:shd w:val="clear" w:color="auto" w:fill="auto"/>
            <w:vAlign w:val="bottom"/>
          </w:tcPr>
          <w:p w14:paraId="367B9D9A" w14:textId="77777777" w:rsidR="004346F3" w:rsidRPr="00536CFD" w:rsidRDefault="004346F3" w:rsidP="00802ABC">
            <w:pPr>
              <w:spacing w:after="0"/>
              <w:jc w:val="center"/>
              <w:rPr>
                <w:lang w:val="zh-CN"/>
              </w:rPr>
            </w:pPr>
            <w:r w:rsidRPr="00536CFD">
              <w:rPr>
                <w:lang w:val="zh-CN"/>
              </w:rPr>
              <w:t>0.022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3F59F5E3" w14:textId="77777777" w:rsidR="004346F3" w:rsidRPr="00536CFD" w:rsidRDefault="004346F3" w:rsidP="00802ABC">
            <w:pPr>
              <w:spacing w:after="0"/>
              <w:jc w:val="center"/>
              <w:rPr>
                <w:lang w:val="zh-CN"/>
              </w:rPr>
            </w:pPr>
            <w:r w:rsidRPr="00536CFD">
              <w:rPr>
                <w:lang w:val="zh-CN"/>
              </w:rPr>
              <w:t>0.048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93AD03D" w14:textId="77777777" w:rsidR="004346F3" w:rsidRPr="00536CFD" w:rsidRDefault="004346F3" w:rsidP="00802ABC">
            <w:pPr>
              <w:spacing w:after="0"/>
              <w:jc w:val="center"/>
              <w:rPr>
                <w:lang w:val="zh-CN"/>
              </w:rPr>
            </w:pPr>
            <w:r w:rsidRPr="00536CFD">
              <w:rPr>
                <w:lang w:val="zh-CN"/>
              </w:rPr>
              <w:t>0.036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053BF00" w14:textId="77777777" w:rsidR="004346F3" w:rsidRPr="00536CFD" w:rsidRDefault="004346F3" w:rsidP="00802ABC">
            <w:pPr>
              <w:spacing w:after="0"/>
              <w:jc w:val="center"/>
              <w:rPr>
                <w:lang w:val="zh-CN"/>
              </w:rPr>
            </w:pPr>
            <w:r w:rsidRPr="00536CFD">
              <w:rPr>
                <w:lang w:val="zh-CN"/>
              </w:rPr>
              <w:t>0.023</w:t>
            </w:r>
          </w:p>
        </w:tc>
        <w:tc>
          <w:tcPr>
            <w:tcW w:w="676" w:type="dxa"/>
            <w:tcBorders>
              <w:top w:val="single" w:sz="4" w:space="0" w:color="auto"/>
              <w:left w:val="nil"/>
              <w:bottom w:val="single" w:sz="4" w:space="0" w:color="auto"/>
              <w:right w:val="single" w:sz="4" w:space="0" w:color="auto"/>
            </w:tcBorders>
            <w:shd w:val="clear" w:color="auto" w:fill="auto"/>
            <w:vAlign w:val="bottom"/>
          </w:tcPr>
          <w:p w14:paraId="07D3532C" w14:textId="77777777" w:rsidR="004346F3" w:rsidRPr="00536CFD" w:rsidRDefault="004346F3" w:rsidP="00802ABC">
            <w:pPr>
              <w:spacing w:after="0"/>
              <w:jc w:val="center"/>
              <w:rPr>
                <w:lang w:val="zh-CN"/>
              </w:rPr>
            </w:pPr>
            <w:r w:rsidRPr="00536CFD">
              <w:rPr>
                <w:lang w:val="zh-CN"/>
              </w:rPr>
              <w:t>0.022</w:t>
            </w:r>
          </w:p>
        </w:tc>
      </w:tr>
      <w:tr w:rsidR="004346F3" w:rsidRPr="00C64ECB" w14:paraId="48F96DB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3FA501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4DFC03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6DE2F2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vAlign w:val="bottom"/>
          </w:tcPr>
          <w:p w14:paraId="74C50E2A" w14:textId="77777777" w:rsidR="004346F3" w:rsidRPr="00536CFD" w:rsidRDefault="004346F3" w:rsidP="00802ABC">
            <w:pPr>
              <w:spacing w:after="0"/>
              <w:jc w:val="center"/>
              <w:rPr>
                <w:lang w:val="zh-CN"/>
              </w:rPr>
            </w:pPr>
            <w:r w:rsidRPr="00536CFD">
              <w:rPr>
                <w:lang w:val="zh-CN"/>
              </w:rPr>
              <w:t>0.08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6BD5745" w14:textId="77777777" w:rsidR="004346F3" w:rsidRPr="00536CFD" w:rsidRDefault="004346F3" w:rsidP="00802ABC">
            <w:pPr>
              <w:spacing w:after="0"/>
              <w:jc w:val="center"/>
              <w:rPr>
                <w:lang w:val="zh-CN"/>
              </w:rPr>
            </w:pPr>
            <w:r w:rsidRPr="00536CFD">
              <w:rPr>
                <w:lang w:val="zh-CN"/>
              </w:rPr>
              <w:t>0.065</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68C9CF33" w14:textId="77777777" w:rsidR="004346F3" w:rsidRPr="00536CFD" w:rsidRDefault="004346F3" w:rsidP="00802ABC">
            <w:pPr>
              <w:spacing w:after="0"/>
              <w:jc w:val="center"/>
              <w:rPr>
                <w:lang w:val="zh-CN"/>
              </w:rPr>
            </w:pPr>
            <w:r w:rsidRPr="00536CFD">
              <w:rPr>
                <w:lang w:val="zh-CN"/>
              </w:rPr>
              <w:t>0.032</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211ECF44" w14:textId="77777777" w:rsidR="004346F3" w:rsidRPr="00536CFD" w:rsidRDefault="004346F3" w:rsidP="00802ABC">
            <w:pPr>
              <w:spacing w:after="0"/>
              <w:jc w:val="center"/>
              <w:rPr>
                <w:lang w:val="zh-CN"/>
              </w:rPr>
            </w:pPr>
            <w:r w:rsidRPr="00536CFD">
              <w:rPr>
                <w:lang w:val="zh-CN"/>
              </w:rPr>
              <w:t>0.03</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6022138" w14:textId="77777777" w:rsidR="004346F3" w:rsidRPr="00536CFD" w:rsidRDefault="004346F3" w:rsidP="00802ABC">
            <w:pPr>
              <w:spacing w:after="0"/>
              <w:jc w:val="center"/>
              <w:rPr>
                <w:lang w:val="zh-CN"/>
              </w:rPr>
            </w:pPr>
            <w:r w:rsidRPr="00536CFD">
              <w:rPr>
                <w:lang w:val="zh-CN"/>
              </w:rPr>
              <w:t>0.152</w:t>
            </w:r>
          </w:p>
        </w:tc>
        <w:tc>
          <w:tcPr>
            <w:tcW w:w="714" w:type="dxa"/>
            <w:tcBorders>
              <w:top w:val="single" w:sz="4" w:space="0" w:color="auto"/>
              <w:left w:val="nil"/>
              <w:bottom w:val="single" w:sz="4" w:space="0" w:color="auto"/>
              <w:right w:val="single" w:sz="4" w:space="0" w:color="auto"/>
            </w:tcBorders>
            <w:shd w:val="clear" w:color="auto" w:fill="auto"/>
            <w:vAlign w:val="bottom"/>
          </w:tcPr>
          <w:p w14:paraId="0AC1400F" w14:textId="77777777" w:rsidR="004346F3" w:rsidRPr="00536CFD" w:rsidRDefault="004346F3" w:rsidP="00802ABC">
            <w:pPr>
              <w:spacing w:after="0"/>
              <w:jc w:val="center"/>
              <w:rPr>
                <w:lang w:val="zh-CN"/>
              </w:rPr>
            </w:pPr>
            <w:r w:rsidRPr="00536CFD">
              <w:rPr>
                <w:lang w:val="zh-CN"/>
              </w:rPr>
              <w:t>0.089</w:t>
            </w:r>
          </w:p>
        </w:tc>
        <w:tc>
          <w:tcPr>
            <w:tcW w:w="719" w:type="dxa"/>
            <w:tcBorders>
              <w:top w:val="single" w:sz="4" w:space="0" w:color="auto"/>
              <w:left w:val="nil"/>
              <w:bottom w:val="single" w:sz="4" w:space="0" w:color="auto"/>
              <w:right w:val="single" w:sz="4" w:space="0" w:color="auto"/>
            </w:tcBorders>
            <w:shd w:val="clear" w:color="auto" w:fill="auto"/>
            <w:vAlign w:val="bottom"/>
          </w:tcPr>
          <w:p w14:paraId="32C32357" w14:textId="77777777" w:rsidR="004346F3" w:rsidRPr="00536CFD" w:rsidRDefault="004346F3" w:rsidP="00802ABC">
            <w:pPr>
              <w:spacing w:after="0"/>
              <w:jc w:val="center"/>
              <w:rPr>
                <w:lang w:val="zh-CN"/>
              </w:rPr>
            </w:pPr>
            <w:r w:rsidRPr="00536CFD">
              <w:rPr>
                <w:lang w:val="zh-CN"/>
              </w:rPr>
              <w:t>0.049</w:t>
            </w:r>
          </w:p>
        </w:tc>
        <w:tc>
          <w:tcPr>
            <w:tcW w:w="719" w:type="dxa"/>
            <w:tcBorders>
              <w:top w:val="single" w:sz="4" w:space="0" w:color="auto"/>
              <w:left w:val="nil"/>
              <w:bottom w:val="single" w:sz="4" w:space="0" w:color="auto"/>
              <w:right w:val="single" w:sz="4" w:space="0" w:color="auto"/>
            </w:tcBorders>
            <w:shd w:val="clear" w:color="auto" w:fill="auto"/>
            <w:vAlign w:val="bottom"/>
          </w:tcPr>
          <w:p w14:paraId="032F9AAC" w14:textId="77777777" w:rsidR="004346F3" w:rsidRPr="00536CFD" w:rsidRDefault="004346F3" w:rsidP="00802ABC">
            <w:pPr>
              <w:spacing w:after="0"/>
              <w:jc w:val="center"/>
              <w:rPr>
                <w:lang w:val="zh-CN"/>
              </w:rPr>
            </w:pPr>
            <w:r w:rsidRPr="00536CFD">
              <w:rPr>
                <w:lang w:val="zh-CN"/>
              </w:rPr>
              <w:t>0.034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44D78B2" w14:textId="77777777" w:rsidR="004346F3" w:rsidRPr="00536CFD" w:rsidRDefault="004346F3" w:rsidP="00802ABC">
            <w:pPr>
              <w:spacing w:after="0"/>
              <w:jc w:val="center"/>
              <w:rPr>
                <w:lang w:val="zh-CN"/>
              </w:rPr>
            </w:pPr>
            <w:r w:rsidRPr="00536CFD">
              <w:rPr>
                <w:lang w:val="zh-CN"/>
              </w:rPr>
              <w:t>0.235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B1C380E" w14:textId="77777777" w:rsidR="004346F3" w:rsidRPr="00536CFD" w:rsidRDefault="004346F3" w:rsidP="00802ABC">
            <w:pPr>
              <w:spacing w:after="0"/>
              <w:jc w:val="center"/>
              <w:rPr>
                <w:lang w:val="zh-CN"/>
              </w:rPr>
            </w:pPr>
            <w:r w:rsidRPr="00536CFD">
              <w:rPr>
                <w:lang w:val="zh-CN"/>
              </w:rPr>
              <w:t>0.115</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49F5770" w14:textId="77777777" w:rsidR="004346F3" w:rsidRPr="00536CFD" w:rsidRDefault="004346F3" w:rsidP="00802ABC">
            <w:pPr>
              <w:spacing w:after="0"/>
              <w:jc w:val="center"/>
              <w:rPr>
                <w:lang w:val="zh-CN"/>
              </w:rPr>
            </w:pPr>
            <w:r w:rsidRPr="00536CFD">
              <w:rPr>
                <w:lang w:val="zh-CN"/>
              </w:rPr>
              <w:t>0.067</w:t>
            </w:r>
          </w:p>
        </w:tc>
        <w:tc>
          <w:tcPr>
            <w:tcW w:w="676" w:type="dxa"/>
            <w:tcBorders>
              <w:top w:val="single" w:sz="4" w:space="0" w:color="auto"/>
              <w:left w:val="nil"/>
              <w:bottom w:val="single" w:sz="4" w:space="0" w:color="auto"/>
              <w:right w:val="single" w:sz="4" w:space="0" w:color="auto"/>
            </w:tcBorders>
            <w:shd w:val="clear" w:color="auto" w:fill="auto"/>
            <w:vAlign w:val="bottom"/>
          </w:tcPr>
          <w:p w14:paraId="2FEA422C" w14:textId="77777777" w:rsidR="004346F3" w:rsidRPr="00536CFD" w:rsidRDefault="004346F3" w:rsidP="00802ABC">
            <w:pPr>
              <w:spacing w:after="0"/>
              <w:jc w:val="center"/>
              <w:rPr>
                <w:lang w:val="zh-CN"/>
              </w:rPr>
            </w:pPr>
            <w:r w:rsidRPr="00536CFD">
              <w:rPr>
                <w:lang w:val="zh-CN"/>
              </w:rPr>
              <w:t>0.037</w:t>
            </w:r>
          </w:p>
        </w:tc>
      </w:tr>
      <w:tr w:rsidR="004346F3" w:rsidRPr="00C64ECB" w14:paraId="78E6886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3F22C18"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C9253D0"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4A603C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vAlign w:val="bottom"/>
          </w:tcPr>
          <w:p w14:paraId="5FEC432F" w14:textId="77777777" w:rsidR="004346F3" w:rsidRPr="00536CFD" w:rsidRDefault="004346F3" w:rsidP="00802ABC">
            <w:pPr>
              <w:spacing w:after="0"/>
              <w:jc w:val="center"/>
              <w:rPr>
                <w:lang w:val="zh-CN"/>
              </w:rPr>
            </w:pPr>
            <w:r w:rsidRPr="00536CFD">
              <w:rPr>
                <w:lang w:val="zh-CN"/>
              </w:rPr>
              <w:t>0.458</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5DA4402" w14:textId="77777777" w:rsidR="004346F3" w:rsidRPr="00536CFD" w:rsidRDefault="004346F3" w:rsidP="00802ABC">
            <w:pPr>
              <w:spacing w:after="0"/>
              <w:jc w:val="center"/>
              <w:rPr>
                <w:lang w:val="zh-CN"/>
              </w:rPr>
            </w:pPr>
            <w:r w:rsidRPr="00536CFD">
              <w:rPr>
                <w:lang w:val="zh-CN"/>
              </w:rPr>
              <w:t>0.313</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216FC3B7" w14:textId="77777777" w:rsidR="004346F3" w:rsidRPr="00536CFD" w:rsidRDefault="004346F3" w:rsidP="00802ABC">
            <w:pPr>
              <w:spacing w:after="0"/>
              <w:jc w:val="center"/>
              <w:rPr>
                <w:lang w:val="zh-CN"/>
              </w:rPr>
            </w:pPr>
            <w:r w:rsidRPr="00536CFD">
              <w:rPr>
                <w:lang w:val="zh-CN"/>
              </w:rPr>
              <w:t>0.171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7B405CA" w14:textId="77777777" w:rsidR="004346F3" w:rsidRPr="00536CFD" w:rsidRDefault="004346F3" w:rsidP="00802ABC">
            <w:pPr>
              <w:spacing w:after="0"/>
              <w:jc w:val="center"/>
              <w:rPr>
                <w:lang w:val="zh-CN"/>
              </w:rPr>
            </w:pPr>
            <w:r w:rsidRPr="00536CFD">
              <w:rPr>
                <w:lang w:val="zh-CN"/>
              </w:rPr>
              <w:t>0.104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04F0D12" w14:textId="77777777" w:rsidR="004346F3" w:rsidRPr="00536CFD" w:rsidRDefault="004346F3" w:rsidP="00802ABC">
            <w:pPr>
              <w:spacing w:after="0"/>
              <w:jc w:val="center"/>
              <w:rPr>
                <w:lang w:val="zh-CN"/>
              </w:rPr>
            </w:pPr>
            <w:r w:rsidRPr="00536CFD">
              <w:rPr>
                <w:lang w:val="zh-CN"/>
              </w:rPr>
              <w:t>1.233</w:t>
            </w:r>
          </w:p>
        </w:tc>
        <w:tc>
          <w:tcPr>
            <w:tcW w:w="714" w:type="dxa"/>
            <w:tcBorders>
              <w:top w:val="single" w:sz="4" w:space="0" w:color="auto"/>
              <w:left w:val="nil"/>
              <w:bottom w:val="single" w:sz="4" w:space="0" w:color="auto"/>
              <w:right w:val="single" w:sz="4" w:space="0" w:color="auto"/>
            </w:tcBorders>
            <w:shd w:val="clear" w:color="auto" w:fill="auto"/>
            <w:vAlign w:val="bottom"/>
          </w:tcPr>
          <w:p w14:paraId="63B53A96" w14:textId="77777777" w:rsidR="004346F3" w:rsidRPr="00536CFD" w:rsidRDefault="004346F3" w:rsidP="00802ABC">
            <w:pPr>
              <w:spacing w:after="0"/>
              <w:jc w:val="center"/>
              <w:rPr>
                <w:lang w:val="zh-CN"/>
              </w:rPr>
            </w:pPr>
            <w:r w:rsidRPr="00536CFD">
              <w:rPr>
                <w:lang w:val="zh-CN"/>
              </w:rPr>
              <w:t>0.533</w:t>
            </w:r>
          </w:p>
        </w:tc>
        <w:tc>
          <w:tcPr>
            <w:tcW w:w="719" w:type="dxa"/>
            <w:tcBorders>
              <w:top w:val="single" w:sz="4" w:space="0" w:color="auto"/>
              <w:left w:val="nil"/>
              <w:bottom w:val="single" w:sz="4" w:space="0" w:color="auto"/>
              <w:right w:val="single" w:sz="4" w:space="0" w:color="auto"/>
            </w:tcBorders>
            <w:shd w:val="clear" w:color="auto" w:fill="auto"/>
            <w:vAlign w:val="bottom"/>
          </w:tcPr>
          <w:p w14:paraId="3A957E89" w14:textId="77777777" w:rsidR="004346F3" w:rsidRPr="00536CFD" w:rsidRDefault="004346F3" w:rsidP="00802ABC">
            <w:pPr>
              <w:spacing w:after="0"/>
              <w:jc w:val="center"/>
              <w:rPr>
                <w:lang w:val="zh-CN"/>
              </w:rPr>
            </w:pPr>
            <w:r w:rsidRPr="00536CFD">
              <w:rPr>
                <w:lang w:val="zh-CN"/>
              </w:rPr>
              <w:t>0.327</w:t>
            </w:r>
          </w:p>
        </w:tc>
        <w:tc>
          <w:tcPr>
            <w:tcW w:w="719" w:type="dxa"/>
            <w:tcBorders>
              <w:top w:val="single" w:sz="4" w:space="0" w:color="auto"/>
              <w:left w:val="nil"/>
              <w:bottom w:val="single" w:sz="4" w:space="0" w:color="auto"/>
              <w:right w:val="single" w:sz="4" w:space="0" w:color="auto"/>
            </w:tcBorders>
            <w:shd w:val="clear" w:color="auto" w:fill="auto"/>
            <w:vAlign w:val="bottom"/>
          </w:tcPr>
          <w:p w14:paraId="142412C8" w14:textId="77777777" w:rsidR="004346F3" w:rsidRPr="00536CFD" w:rsidRDefault="004346F3" w:rsidP="00802ABC">
            <w:pPr>
              <w:spacing w:after="0"/>
              <w:jc w:val="center"/>
              <w:rPr>
                <w:lang w:val="zh-CN"/>
              </w:rPr>
            </w:pPr>
            <w:r w:rsidRPr="00536CFD">
              <w:rPr>
                <w:lang w:val="zh-CN"/>
              </w:rPr>
              <w:t>0.139</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6F1414C" w14:textId="77777777" w:rsidR="004346F3" w:rsidRPr="00536CFD" w:rsidRDefault="004346F3" w:rsidP="00802ABC">
            <w:pPr>
              <w:spacing w:after="0"/>
              <w:jc w:val="center"/>
              <w:rPr>
                <w:lang w:val="zh-CN"/>
              </w:rPr>
            </w:pPr>
            <w:r w:rsidRPr="00536CFD">
              <w:rPr>
                <w:lang w:val="zh-CN"/>
              </w:rPr>
              <w:t>2.91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062D4C1" w14:textId="77777777" w:rsidR="004346F3" w:rsidRPr="00536CFD" w:rsidRDefault="004346F3" w:rsidP="00802ABC">
            <w:pPr>
              <w:spacing w:after="0"/>
              <w:jc w:val="center"/>
              <w:rPr>
                <w:lang w:val="zh-CN"/>
              </w:rPr>
            </w:pPr>
            <w:r w:rsidRPr="00536CFD">
              <w:rPr>
                <w:lang w:val="zh-CN"/>
              </w:rPr>
              <w:t>0.784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5A88C947" w14:textId="77777777" w:rsidR="004346F3" w:rsidRPr="00536CFD" w:rsidRDefault="004346F3" w:rsidP="00802ABC">
            <w:pPr>
              <w:spacing w:after="0"/>
              <w:jc w:val="center"/>
              <w:rPr>
                <w:lang w:val="zh-CN"/>
              </w:rPr>
            </w:pPr>
            <w:r w:rsidRPr="00536CFD">
              <w:rPr>
                <w:lang w:val="zh-CN"/>
              </w:rPr>
              <w:t>0.496</w:t>
            </w:r>
          </w:p>
        </w:tc>
        <w:tc>
          <w:tcPr>
            <w:tcW w:w="676" w:type="dxa"/>
            <w:tcBorders>
              <w:top w:val="single" w:sz="4" w:space="0" w:color="auto"/>
              <w:left w:val="nil"/>
              <w:bottom w:val="single" w:sz="4" w:space="0" w:color="auto"/>
              <w:right w:val="single" w:sz="4" w:space="0" w:color="auto"/>
            </w:tcBorders>
            <w:shd w:val="clear" w:color="auto" w:fill="auto"/>
            <w:vAlign w:val="bottom"/>
          </w:tcPr>
          <w:p w14:paraId="4C9E887A" w14:textId="77777777" w:rsidR="004346F3" w:rsidRPr="00536CFD" w:rsidRDefault="004346F3" w:rsidP="00802ABC">
            <w:pPr>
              <w:spacing w:after="0"/>
              <w:jc w:val="center"/>
              <w:rPr>
                <w:lang w:val="zh-CN"/>
              </w:rPr>
            </w:pPr>
            <w:r w:rsidRPr="00536CFD">
              <w:rPr>
                <w:lang w:val="zh-CN"/>
              </w:rPr>
              <w:t>0.161</w:t>
            </w:r>
          </w:p>
        </w:tc>
      </w:tr>
      <w:tr w:rsidR="004346F3" w:rsidRPr="00C64ECB" w14:paraId="67F52DC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F0CFB8B"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01AC8A7"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E90A19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vAlign w:val="bottom"/>
          </w:tcPr>
          <w:p w14:paraId="1D94A9BA" w14:textId="77777777" w:rsidR="004346F3" w:rsidRPr="00536CFD" w:rsidRDefault="004346F3" w:rsidP="00802ABC">
            <w:pPr>
              <w:spacing w:after="0"/>
              <w:jc w:val="center"/>
              <w:rPr>
                <w:lang w:val="zh-CN"/>
              </w:rPr>
            </w:pPr>
            <w:r w:rsidRPr="00536CFD">
              <w:rPr>
                <w:lang w:val="zh-CN"/>
              </w:rPr>
              <w:t>0.144</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6B40060E" w14:textId="77777777" w:rsidR="004346F3" w:rsidRPr="00536CFD" w:rsidRDefault="004346F3" w:rsidP="00802ABC">
            <w:pPr>
              <w:spacing w:after="0"/>
              <w:jc w:val="center"/>
              <w:rPr>
                <w:lang w:val="zh-CN"/>
              </w:rPr>
            </w:pPr>
            <w:r w:rsidRPr="00536CFD">
              <w:rPr>
                <w:lang w:val="zh-CN"/>
              </w:rPr>
              <w:t>0.102</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12353DDA" w14:textId="77777777" w:rsidR="004346F3" w:rsidRPr="00536CFD" w:rsidRDefault="004346F3" w:rsidP="00802ABC">
            <w:pPr>
              <w:spacing w:after="0"/>
              <w:jc w:val="center"/>
              <w:rPr>
                <w:lang w:val="zh-CN"/>
              </w:rPr>
            </w:pPr>
            <w:r w:rsidRPr="00536CFD">
              <w:rPr>
                <w:lang w:val="zh-CN"/>
              </w:rPr>
              <w:t>0.057</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1F9283ED" w14:textId="77777777" w:rsidR="004346F3" w:rsidRPr="00536CFD" w:rsidRDefault="004346F3" w:rsidP="00802ABC">
            <w:pPr>
              <w:spacing w:after="0"/>
              <w:jc w:val="center"/>
              <w:rPr>
                <w:lang w:val="zh-CN"/>
              </w:rPr>
            </w:pPr>
            <w:r w:rsidRPr="00536CFD">
              <w:rPr>
                <w:lang w:val="zh-CN"/>
              </w:rPr>
              <w:t>0.042</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52DBE99F" w14:textId="77777777" w:rsidR="004346F3" w:rsidRPr="00536CFD" w:rsidRDefault="004346F3" w:rsidP="00802ABC">
            <w:pPr>
              <w:spacing w:after="0"/>
              <w:jc w:val="center"/>
              <w:rPr>
                <w:lang w:val="zh-CN"/>
              </w:rPr>
            </w:pPr>
            <w:r w:rsidRPr="00536CFD">
              <w:rPr>
                <w:lang w:val="zh-CN"/>
              </w:rPr>
              <w:t>0.434</w:t>
            </w:r>
          </w:p>
        </w:tc>
        <w:tc>
          <w:tcPr>
            <w:tcW w:w="714" w:type="dxa"/>
            <w:tcBorders>
              <w:top w:val="single" w:sz="4" w:space="0" w:color="auto"/>
              <w:left w:val="nil"/>
              <w:bottom w:val="single" w:sz="4" w:space="0" w:color="auto"/>
              <w:right w:val="single" w:sz="4" w:space="0" w:color="auto"/>
            </w:tcBorders>
            <w:shd w:val="clear" w:color="auto" w:fill="auto"/>
            <w:vAlign w:val="bottom"/>
          </w:tcPr>
          <w:p w14:paraId="599E6063" w14:textId="77777777" w:rsidR="004346F3" w:rsidRPr="00536CFD" w:rsidRDefault="004346F3" w:rsidP="00802ABC">
            <w:pPr>
              <w:spacing w:after="0"/>
              <w:jc w:val="center"/>
              <w:rPr>
                <w:lang w:val="zh-CN"/>
              </w:rPr>
            </w:pPr>
            <w:r w:rsidRPr="00536CFD">
              <w:rPr>
                <w:lang w:val="zh-CN"/>
              </w:rPr>
              <w:t>0.162</w:t>
            </w:r>
          </w:p>
        </w:tc>
        <w:tc>
          <w:tcPr>
            <w:tcW w:w="719" w:type="dxa"/>
            <w:tcBorders>
              <w:top w:val="single" w:sz="4" w:space="0" w:color="auto"/>
              <w:left w:val="nil"/>
              <w:bottom w:val="single" w:sz="4" w:space="0" w:color="auto"/>
              <w:right w:val="single" w:sz="4" w:space="0" w:color="auto"/>
            </w:tcBorders>
            <w:shd w:val="clear" w:color="auto" w:fill="auto"/>
            <w:vAlign w:val="bottom"/>
          </w:tcPr>
          <w:p w14:paraId="2BE497D3" w14:textId="77777777" w:rsidR="004346F3" w:rsidRPr="00536CFD" w:rsidRDefault="004346F3" w:rsidP="00802ABC">
            <w:pPr>
              <w:spacing w:after="0"/>
              <w:jc w:val="center"/>
              <w:rPr>
                <w:lang w:val="zh-CN"/>
              </w:rPr>
            </w:pPr>
            <w:r w:rsidRPr="00536CFD">
              <w:rPr>
                <w:lang w:val="zh-CN"/>
              </w:rPr>
              <w:t>0.097</w:t>
            </w:r>
          </w:p>
        </w:tc>
        <w:tc>
          <w:tcPr>
            <w:tcW w:w="719" w:type="dxa"/>
            <w:tcBorders>
              <w:top w:val="single" w:sz="4" w:space="0" w:color="auto"/>
              <w:left w:val="nil"/>
              <w:bottom w:val="single" w:sz="4" w:space="0" w:color="auto"/>
              <w:right w:val="single" w:sz="4" w:space="0" w:color="auto"/>
            </w:tcBorders>
            <w:shd w:val="clear" w:color="auto" w:fill="auto"/>
            <w:vAlign w:val="bottom"/>
          </w:tcPr>
          <w:p w14:paraId="7BA135AB" w14:textId="77777777" w:rsidR="004346F3" w:rsidRPr="00536CFD" w:rsidRDefault="004346F3" w:rsidP="00802ABC">
            <w:pPr>
              <w:spacing w:after="0"/>
              <w:jc w:val="center"/>
              <w:rPr>
                <w:lang w:val="zh-CN"/>
              </w:rPr>
            </w:pPr>
            <w:r w:rsidRPr="00536CFD">
              <w:rPr>
                <w:lang w:val="zh-CN"/>
              </w:rPr>
              <w:t>0.052</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294CDEA" w14:textId="77777777" w:rsidR="004346F3" w:rsidRPr="00536CFD" w:rsidRDefault="004346F3" w:rsidP="00802ABC">
            <w:pPr>
              <w:spacing w:after="0"/>
              <w:jc w:val="center"/>
              <w:rPr>
                <w:lang w:val="zh-CN"/>
              </w:rPr>
            </w:pPr>
            <w:r w:rsidRPr="00536CFD">
              <w:rPr>
                <w:lang w:val="zh-CN"/>
              </w:rPr>
              <w:t>2.821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1AC8052" w14:textId="77777777" w:rsidR="004346F3" w:rsidRPr="00536CFD" w:rsidRDefault="004346F3" w:rsidP="00802ABC">
            <w:pPr>
              <w:spacing w:after="0"/>
              <w:jc w:val="center"/>
              <w:rPr>
                <w:lang w:val="zh-CN"/>
              </w:rPr>
            </w:pPr>
            <w:r w:rsidRPr="00536CFD">
              <w:rPr>
                <w:lang w:val="zh-CN"/>
              </w:rPr>
              <w:t>0.238</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61C39C6F" w14:textId="77777777" w:rsidR="004346F3" w:rsidRPr="00536CFD" w:rsidRDefault="004346F3" w:rsidP="00802ABC">
            <w:pPr>
              <w:spacing w:after="0"/>
              <w:jc w:val="center"/>
              <w:rPr>
                <w:lang w:val="zh-CN"/>
              </w:rPr>
            </w:pPr>
            <w:r w:rsidRPr="00536CFD">
              <w:rPr>
                <w:lang w:val="zh-CN"/>
              </w:rPr>
              <w:t>0.14</w:t>
            </w:r>
          </w:p>
        </w:tc>
        <w:tc>
          <w:tcPr>
            <w:tcW w:w="676" w:type="dxa"/>
            <w:tcBorders>
              <w:top w:val="single" w:sz="4" w:space="0" w:color="auto"/>
              <w:left w:val="nil"/>
              <w:bottom w:val="single" w:sz="4" w:space="0" w:color="auto"/>
              <w:right w:val="single" w:sz="4" w:space="0" w:color="auto"/>
            </w:tcBorders>
            <w:shd w:val="clear" w:color="auto" w:fill="auto"/>
            <w:vAlign w:val="bottom"/>
          </w:tcPr>
          <w:p w14:paraId="28553594" w14:textId="77777777" w:rsidR="004346F3" w:rsidRPr="00536CFD" w:rsidRDefault="004346F3" w:rsidP="00802ABC">
            <w:pPr>
              <w:spacing w:after="0"/>
              <w:jc w:val="center"/>
              <w:rPr>
                <w:lang w:val="zh-CN"/>
              </w:rPr>
            </w:pPr>
            <w:r w:rsidRPr="00536CFD">
              <w:rPr>
                <w:lang w:val="zh-CN"/>
              </w:rPr>
              <w:t>0.058</w:t>
            </w:r>
          </w:p>
        </w:tc>
      </w:tr>
      <w:tr w:rsidR="004346F3" w:rsidRPr="00C64ECB" w14:paraId="6B7A47F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3EA2247"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0831E8B8"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0" w:type="dxa"/>
            <w:tcBorders>
              <w:top w:val="single" w:sz="4" w:space="0" w:color="auto"/>
              <w:left w:val="nil"/>
              <w:bottom w:val="single" w:sz="4" w:space="0" w:color="auto"/>
              <w:right w:val="single" w:sz="4" w:space="0" w:color="auto"/>
            </w:tcBorders>
            <w:shd w:val="clear" w:color="auto" w:fill="auto"/>
            <w:vAlign w:val="bottom"/>
          </w:tcPr>
          <w:p w14:paraId="7DB99609"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53BDC424" w14:textId="77777777" w:rsidR="004346F3" w:rsidRPr="00536CFD" w:rsidRDefault="004346F3" w:rsidP="00802ABC">
            <w:pPr>
              <w:spacing w:after="0"/>
              <w:jc w:val="center"/>
              <w:rPr>
                <w:lang w:val="zh-CN"/>
              </w:rPr>
            </w:pPr>
            <w:r w:rsidRPr="00536CFD">
              <w:rPr>
                <w:lang w:val="zh-CN"/>
              </w:rPr>
              <w:t>0.99</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21A7012" w14:textId="77777777" w:rsidR="004346F3" w:rsidRPr="00536CFD" w:rsidRDefault="004346F3" w:rsidP="00802ABC">
            <w:pPr>
              <w:spacing w:after="0"/>
              <w:jc w:val="center"/>
              <w:rPr>
                <w:lang w:val="zh-CN"/>
              </w:rPr>
            </w:pPr>
            <w:r w:rsidRPr="00536CFD">
              <w:rPr>
                <w:lang w:val="zh-CN"/>
              </w:rPr>
              <w:t>0.99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B4A37F5" w14:textId="77777777" w:rsidR="004346F3" w:rsidRPr="00536CFD" w:rsidRDefault="004346F3" w:rsidP="00802ABC">
            <w:pPr>
              <w:spacing w:after="0"/>
              <w:jc w:val="center"/>
              <w:rPr>
                <w:lang w:val="zh-CN"/>
              </w:rPr>
            </w:pPr>
            <w:r w:rsidRPr="00536CFD">
              <w:rPr>
                <w:lang w:val="zh-CN"/>
              </w:rPr>
              <w:t>1.01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29518E8B" w14:textId="77777777" w:rsidR="004346F3" w:rsidRPr="00536CFD" w:rsidRDefault="004346F3" w:rsidP="00802ABC">
            <w:pPr>
              <w:spacing w:after="0"/>
              <w:jc w:val="center"/>
              <w:rPr>
                <w:lang w:val="zh-CN"/>
              </w:rPr>
            </w:pPr>
            <w:r w:rsidRPr="00536CFD">
              <w:rPr>
                <w:lang w:val="zh-CN"/>
              </w:rPr>
              <w:t>1.00</w:t>
            </w:r>
          </w:p>
        </w:tc>
        <w:tc>
          <w:tcPr>
            <w:tcW w:w="714" w:type="dxa"/>
            <w:tcBorders>
              <w:top w:val="single" w:sz="4" w:space="0" w:color="auto"/>
              <w:left w:val="nil"/>
              <w:bottom w:val="single" w:sz="4" w:space="0" w:color="auto"/>
              <w:right w:val="single" w:sz="4" w:space="0" w:color="auto"/>
            </w:tcBorders>
            <w:shd w:val="clear" w:color="auto" w:fill="auto"/>
            <w:vAlign w:val="bottom"/>
          </w:tcPr>
          <w:p w14:paraId="38D62A7C"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0B28B589"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33C8FE1F"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40C9AB53" w14:textId="77777777" w:rsidR="004346F3" w:rsidRPr="00536CFD" w:rsidRDefault="004346F3" w:rsidP="00802ABC">
            <w:pPr>
              <w:spacing w:after="0"/>
              <w:jc w:val="center"/>
              <w:rPr>
                <w:lang w:val="zh-CN"/>
              </w:rPr>
            </w:pPr>
            <w:r w:rsidRPr="00536CFD">
              <w:rPr>
                <w:lang w:val="zh-CN"/>
              </w:rPr>
              <w:t>1.00</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3BE749C"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C8C35E7" w14:textId="77777777" w:rsidR="004346F3" w:rsidRPr="00536CFD" w:rsidRDefault="004346F3" w:rsidP="00802ABC">
            <w:pPr>
              <w:spacing w:after="0"/>
              <w:jc w:val="center"/>
              <w:rPr>
                <w:lang w:val="zh-CN"/>
              </w:rPr>
            </w:pPr>
            <w:r w:rsidRPr="00536CFD">
              <w:rPr>
                <w:lang w:val="zh-CN"/>
              </w:rPr>
              <w:t>0.99</w:t>
            </w:r>
          </w:p>
        </w:tc>
        <w:tc>
          <w:tcPr>
            <w:tcW w:w="676" w:type="dxa"/>
            <w:tcBorders>
              <w:top w:val="single" w:sz="4" w:space="0" w:color="auto"/>
              <w:left w:val="nil"/>
              <w:bottom w:val="single" w:sz="4" w:space="0" w:color="auto"/>
              <w:right w:val="single" w:sz="4" w:space="0" w:color="auto"/>
            </w:tcBorders>
            <w:shd w:val="clear" w:color="auto" w:fill="auto"/>
            <w:vAlign w:val="bottom"/>
          </w:tcPr>
          <w:p w14:paraId="79FC9F5A" w14:textId="77777777" w:rsidR="004346F3" w:rsidRPr="00536CFD" w:rsidRDefault="004346F3" w:rsidP="00802ABC">
            <w:pPr>
              <w:spacing w:after="0"/>
              <w:jc w:val="center"/>
              <w:rPr>
                <w:lang w:val="zh-CN"/>
              </w:rPr>
            </w:pPr>
            <w:r w:rsidRPr="00536CFD">
              <w:rPr>
                <w:lang w:val="zh-CN"/>
              </w:rPr>
              <w:t>0.99</w:t>
            </w:r>
          </w:p>
        </w:tc>
      </w:tr>
      <w:tr w:rsidR="004346F3" w:rsidRPr="00C64ECB" w14:paraId="2EBE823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D289E55"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2A4F1299"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0" w:type="dxa"/>
            <w:tcBorders>
              <w:top w:val="single" w:sz="4" w:space="0" w:color="auto"/>
              <w:left w:val="nil"/>
              <w:bottom w:val="single" w:sz="4" w:space="0" w:color="auto"/>
              <w:right w:val="single" w:sz="4" w:space="0" w:color="auto"/>
            </w:tcBorders>
            <w:shd w:val="clear" w:color="auto" w:fill="auto"/>
            <w:vAlign w:val="bottom"/>
          </w:tcPr>
          <w:p w14:paraId="36894AC1"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4C05996A" w14:textId="77777777" w:rsidR="004346F3" w:rsidRPr="00536CFD" w:rsidRDefault="004346F3" w:rsidP="00802ABC">
            <w:pPr>
              <w:spacing w:after="0"/>
              <w:jc w:val="center"/>
              <w:rPr>
                <w:lang w:val="zh-CN"/>
              </w:rPr>
            </w:pPr>
            <w:r w:rsidRPr="00536CFD">
              <w:rPr>
                <w:lang w:val="zh-CN"/>
              </w:rPr>
              <w:t>1.00</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0DDB6668" w14:textId="77777777" w:rsidR="004346F3" w:rsidRPr="00536CFD" w:rsidRDefault="004346F3" w:rsidP="00802ABC">
            <w:pPr>
              <w:spacing w:after="0"/>
              <w:jc w:val="center"/>
              <w:rPr>
                <w:lang w:val="zh-CN"/>
              </w:rPr>
            </w:pPr>
            <w:r w:rsidRPr="00536CFD">
              <w:rPr>
                <w:lang w:val="zh-CN"/>
              </w:rPr>
              <w:t>0.99</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34F450AA" w14:textId="77777777" w:rsidR="004346F3" w:rsidRPr="00536CFD" w:rsidRDefault="004346F3" w:rsidP="00802ABC">
            <w:pPr>
              <w:spacing w:after="0"/>
              <w:jc w:val="center"/>
              <w:rPr>
                <w:lang w:val="zh-CN"/>
              </w:rPr>
            </w:pPr>
            <w:r w:rsidRPr="00536CFD">
              <w:rPr>
                <w:lang w:val="zh-CN"/>
              </w:rPr>
              <w:t>1.01</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1BC75C08" w14:textId="77777777" w:rsidR="004346F3" w:rsidRPr="00536CFD" w:rsidRDefault="004346F3" w:rsidP="00802ABC">
            <w:pPr>
              <w:spacing w:after="0"/>
              <w:jc w:val="center"/>
              <w:rPr>
                <w:lang w:val="zh-CN"/>
              </w:rPr>
            </w:pPr>
            <w:r w:rsidRPr="00536CFD">
              <w:rPr>
                <w:lang w:val="zh-CN"/>
              </w:rPr>
              <w:t>1.00</w:t>
            </w:r>
          </w:p>
        </w:tc>
        <w:tc>
          <w:tcPr>
            <w:tcW w:w="714" w:type="dxa"/>
            <w:tcBorders>
              <w:top w:val="single" w:sz="4" w:space="0" w:color="auto"/>
              <w:left w:val="nil"/>
              <w:bottom w:val="single" w:sz="4" w:space="0" w:color="auto"/>
              <w:right w:val="single" w:sz="4" w:space="0" w:color="auto"/>
            </w:tcBorders>
            <w:shd w:val="clear" w:color="auto" w:fill="auto"/>
            <w:vAlign w:val="bottom"/>
          </w:tcPr>
          <w:p w14:paraId="4A226351"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2448EE0C"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vAlign w:val="bottom"/>
          </w:tcPr>
          <w:p w14:paraId="1CE1111D"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015A3558" w14:textId="77777777" w:rsidR="004346F3" w:rsidRPr="00536CFD" w:rsidRDefault="004346F3" w:rsidP="00802ABC">
            <w:pPr>
              <w:spacing w:after="0"/>
              <w:jc w:val="center"/>
              <w:rPr>
                <w:lang w:val="zh-CN"/>
              </w:rPr>
            </w:pPr>
            <w:r w:rsidRPr="00536CFD">
              <w:rPr>
                <w:lang w:val="zh-CN"/>
              </w:rPr>
              <w:t>0.99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CBD2018"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7E854296" w14:textId="77777777" w:rsidR="004346F3" w:rsidRPr="00536CFD" w:rsidRDefault="004346F3" w:rsidP="00802ABC">
            <w:pPr>
              <w:spacing w:after="0"/>
              <w:jc w:val="center"/>
              <w:rPr>
                <w:lang w:val="zh-CN"/>
              </w:rPr>
            </w:pPr>
            <w:r w:rsidRPr="00536CFD">
              <w:rPr>
                <w:lang w:val="zh-CN"/>
              </w:rPr>
              <w:t>1.00</w:t>
            </w:r>
          </w:p>
        </w:tc>
        <w:tc>
          <w:tcPr>
            <w:tcW w:w="676" w:type="dxa"/>
            <w:tcBorders>
              <w:top w:val="single" w:sz="4" w:space="0" w:color="auto"/>
              <w:left w:val="nil"/>
              <w:bottom w:val="single" w:sz="4" w:space="0" w:color="auto"/>
              <w:right w:val="single" w:sz="4" w:space="0" w:color="auto"/>
            </w:tcBorders>
            <w:shd w:val="clear" w:color="auto" w:fill="auto"/>
            <w:vAlign w:val="bottom"/>
          </w:tcPr>
          <w:p w14:paraId="59586243" w14:textId="77777777" w:rsidR="004346F3" w:rsidRPr="00536CFD" w:rsidRDefault="004346F3" w:rsidP="00802ABC">
            <w:pPr>
              <w:spacing w:after="0"/>
              <w:jc w:val="center"/>
              <w:rPr>
                <w:lang w:val="zh-CN"/>
              </w:rPr>
            </w:pPr>
            <w:r w:rsidRPr="00536CFD">
              <w:rPr>
                <w:lang w:val="zh-CN"/>
              </w:rPr>
              <w:t>1.00</w:t>
            </w:r>
          </w:p>
        </w:tc>
      </w:tr>
      <w:tr w:rsidR="004346F3" w:rsidRPr="00C64ECB" w14:paraId="6E8D799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D96B566"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79B9EB1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0" w:type="dxa"/>
            <w:tcBorders>
              <w:top w:val="single" w:sz="4" w:space="0" w:color="auto"/>
              <w:left w:val="nil"/>
              <w:bottom w:val="single" w:sz="4" w:space="0" w:color="auto"/>
              <w:right w:val="single" w:sz="4" w:space="0" w:color="auto"/>
            </w:tcBorders>
            <w:shd w:val="clear" w:color="auto" w:fill="auto"/>
            <w:vAlign w:val="bottom"/>
          </w:tcPr>
          <w:p w14:paraId="6C7C8D72" w14:textId="77777777" w:rsidR="004346F3" w:rsidRPr="00536CFD" w:rsidRDefault="004346F3" w:rsidP="00802ABC">
            <w:pPr>
              <w:spacing w:after="0"/>
              <w:jc w:val="center"/>
              <w:rPr>
                <w:lang w:val="zh-CN"/>
              </w:rPr>
            </w:pPr>
            <w:r w:rsidRPr="00536CFD">
              <w:rPr>
                <w:lang w:val="zh-CN"/>
              </w:rPr>
              <w:t>0.11</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14B4255" w14:textId="77777777" w:rsidR="004346F3" w:rsidRPr="00536CFD" w:rsidRDefault="004346F3" w:rsidP="00802ABC">
            <w:pPr>
              <w:spacing w:after="0"/>
              <w:jc w:val="center"/>
              <w:rPr>
                <w:lang w:val="zh-CN"/>
              </w:rPr>
            </w:pPr>
            <w:r w:rsidRPr="00536CFD">
              <w:rPr>
                <w:lang w:val="zh-CN"/>
              </w:rPr>
              <w:t>0.08</w:t>
            </w:r>
          </w:p>
        </w:tc>
        <w:tc>
          <w:tcPr>
            <w:tcW w:w="649" w:type="dxa"/>
            <w:gridSpan w:val="2"/>
            <w:tcBorders>
              <w:top w:val="single" w:sz="4" w:space="0" w:color="auto"/>
              <w:left w:val="nil"/>
              <w:bottom w:val="single" w:sz="4" w:space="0" w:color="auto"/>
              <w:right w:val="single" w:sz="4" w:space="0" w:color="auto"/>
            </w:tcBorders>
            <w:shd w:val="clear" w:color="auto" w:fill="auto"/>
            <w:vAlign w:val="bottom"/>
          </w:tcPr>
          <w:p w14:paraId="3F3C6A5B" w14:textId="77777777" w:rsidR="004346F3" w:rsidRPr="00536CFD" w:rsidRDefault="004346F3" w:rsidP="00802ABC">
            <w:pPr>
              <w:spacing w:after="0"/>
              <w:jc w:val="center"/>
              <w:rPr>
                <w:lang w:val="zh-CN"/>
              </w:rPr>
            </w:pPr>
            <w:r w:rsidRPr="00536CFD">
              <w:rPr>
                <w:lang w:val="zh-CN"/>
              </w:rPr>
              <w:t>0.05</w:t>
            </w:r>
          </w:p>
        </w:tc>
        <w:tc>
          <w:tcPr>
            <w:tcW w:w="643" w:type="dxa"/>
            <w:gridSpan w:val="2"/>
            <w:tcBorders>
              <w:top w:val="single" w:sz="4" w:space="0" w:color="auto"/>
              <w:left w:val="nil"/>
              <w:bottom w:val="single" w:sz="4" w:space="0" w:color="auto"/>
              <w:right w:val="single" w:sz="4" w:space="0" w:color="auto"/>
            </w:tcBorders>
            <w:shd w:val="clear" w:color="auto" w:fill="auto"/>
            <w:vAlign w:val="bottom"/>
          </w:tcPr>
          <w:p w14:paraId="0BC8F6BC" w14:textId="77777777" w:rsidR="004346F3" w:rsidRPr="00536CFD" w:rsidRDefault="004346F3" w:rsidP="00802ABC">
            <w:pPr>
              <w:spacing w:after="0"/>
              <w:jc w:val="center"/>
              <w:rPr>
                <w:lang w:val="zh-CN"/>
              </w:rPr>
            </w:pPr>
            <w:r w:rsidRPr="00536CFD">
              <w:rPr>
                <w:lang w:val="zh-CN"/>
              </w:rPr>
              <w:t>0.04</w:t>
            </w:r>
          </w:p>
        </w:tc>
        <w:tc>
          <w:tcPr>
            <w:tcW w:w="714" w:type="dxa"/>
            <w:gridSpan w:val="2"/>
            <w:tcBorders>
              <w:top w:val="single" w:sz="4" w:space="0" w:color="auto"/>
              <w:left w:val="nil"/>
              <w:bottom w:val="single" w:sz="4" w:space="0" w:color="auto"/>
              <w:right w:val="single" w:sz="4" w:space="0" w:color="auto"/>
            </w:tcBorders>
            <w:shd w:val="clear" w:color="auto" w:fill="auto"/>
            <w:vAlign w:val="bottom"/>
          </w:tcPr>
          <w:p w14:paraId="37AE48CA" w14:textId="77777777" w:rsidR="004346F3" w:rsidRPr="00536CFD" w:rsidRDefault="004346F3" w:rsidP="00802ABC">
            <w:pPr>
              <w:spacing w:after="0"/>
              <w:jc w:val="center"/>
              <w:rPr>
                <w:lang w:val="zh-CN"/>
              </w:rPr>
            </w:pPr>
            <w:r w:rsidRPr="00536CFD">
              <w:rPr>
                <w:lang w:val="zh-CN"/>
              </w:rPr>
              <w:t>0.27</w:t>
            </w:r>
          </w:p>
        </w:tc>
        <w:tc>
          <w:tcPr>
            <w:tcW w:w="714" w:type="dxa"/>
            <w:tcBorders>
              <w:top w:val="single" w:sz="4" w:space="0" w:color="auto"/>
              <w:left w:val="nil"/>
              <w:bottom w:val="single" w:sz="4" w:space="0" w:color="auto"/>
              <w:right w:val="single" w:sz="4" w:space="0" w:color="auto"/>
            </w:tcBorders>
            <w:shd w:val="clear" w:color="auto" w:fill="auto"/>
            <w:vAlign w:val="bottom"/>
          </w:tcPr>
          <w:p w14:paraId="342B3397" w14:textId="77777777" w:rsidR="004346F3" w:rsidRPr="00536CFD" w:rsidRDefault="004346F3" w:rsidP="00802ABC">
            <w:pPr>
              <w:spacing w:after="0"/>
              <w:jc w:val="center"/>
              <w:rPr>
                <w:lang w:val="zh-CN"/>
              </w:rPr>
            </w:pPr>
            <w:r w:rsidRPr="00536CFD">
              <w:rPr>
                <w:lang w:val="zh-CN"/>
              </w:rPr>
              <w:t>0.17</w:t>
            </w:r>
          </w:p>
        </w:tc>
        <w:tc>
          <w:tcPr>
            <w:tcW w:w="719" w:type="dxa"/>
            <w:tcBorders>
              <w:top w:val="single" w:sz="4" w:space="0" w:color="auto"/>
              <w:left w:val="nil"/>
              <w:bottom w:val="single" w:sz="4" w:space="0" w:color="auto"/>
              <w:right w:val="single" w:sz="4" w:space="0" w:color="auto"/>
            </w:tcBorders>
            <w:shd w:val="clear" w:color="auto" w:fill="auto"/>
            <w:vAlign w:val="bottom"/>
          </w:tcPr>
          <w:p w14:paraId="78670942" w14:textId="77777777" w:rsidR="004346F3" w:rsidRPr="00536CFD" w:rsidRDefault="004346F3" w:rsidP="00802ABC">
            <w:pPr>
              <w:spacing w:after="0"/>
              <w:jc w:val="center"/>
              <w:rPr>
                <w:lang w:val="zh-CN"/>
              </w:rPr>
            </w:pPr>
            <w:r w:rsidRPr="00536CFD">
              <w:rPr>
                <w:lang w:val="zh-CN"/>
              </w:rPr>
              <w:t>0.10</w:t>
            </w:r>
          </w:p>
        </w:tc>
        <w:tc>
          <w:tcPr>
            <w:tcW w:w="719" w:type="dxa"/>
            <w:tcBorders>
              <w:top w:val="single" w:sz="4" w:space="0" w:color="auto"/>
              <w:left w:val="nil"/>
              <w:bottom w:val="single" w:sz="4" w:space="0" w:color="auto"/>
              <w:right w:val="single" w:sz="4" w:space="0" w:color="auto"/>
            </w:tcBorders>
            <w:shd w:val="clear" w:color="auto" w:fill="auto"/>
            <w:vAlign w:val="bottom"/>
          </w:tcPr>
          <w:p w14:paraId="23DB2E47" w14:textId="77777777" w:rsidR="004346F3" w:rsidRPr="00536CFD" w:rsidRDefault="004346F3" w:rsidP="00802ABC">
            <w:pPr>
              <w:spacing w:after="0"/>
              <w:jc w:val="center"/>
              <w:rPr>
                <w:lang w:val="zh-CN"/>
              </w:rPr>
            </w:pPr>
            <w:r w:rsidRPr="00536CFD">
              <w:rPr>
                <w:lang w:val="zh-CN"/>
              </w:rPr>
              <w:t>0.06</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A8B12AA" w14:textId="77777777" w:rsidR="004346F3" w:rsidRPr="00536CFD" w:rsidRDefault="004346F3" w:rsidP="00802ABC">
            <w:pPr>
              <w:spacing w:after="0"/>
              <w:jc w:val="center"/>
              <w:rPr>
                <w:lang w:val="zh-CN"/>
              </w:rPr>
            </w:pPr>
            <w:r w:rsidRPr="00536CFD">
              <w:rPr>
                <w:lang w:val="zh-CN"/>
              </w:rPr>
              <w:t>0.44</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457D86E" w14:textId="77777777" w:rsidR="004346F3" w:rsidRPr="00536CFD" w:rsidRDefault="004346F3" w:rsidP="00802ABC">
            <w:pPr>
              <w:spacing w:after="0"/>
              <w:jc w:val="center"/>
              <w:rPr>
                <w:lang w:val="zh-CN"/>
              </w:rPr>
            </w:pPr>
            <w:r w:rsidRPr="00536CFD">
              <w:rPr>
                <w:lang w:val="zh-CN"/>
              </w:rPr>
              <w:t>0.24</w:t>
            </w:r>
          </w:p>
        </w:tc>
        <w:tc>
          <w:tcPr>
            <w:tcW w:w="736" w:type="dxa"/>
            <w:gridSpan w:val="2"/>
            <w:tcBorders>
              <w:top w:val="single" w:sz="4" w:space="0" w:color="auto"/>
              <w:left w:val="nil"/>
              <w:bottom w:val="single" w:sz="4" w:space="0" w:color="auto"/>
              <w:right w:val="single" w:sz="4" w:space="0" w:color="auto"/>
            </w:tcBorders>
            <w:shd w:val="clear" w:color="auto" w:fill="auto"/>
            <w:vAlign w:val="bottom"/>
          </w:tcPr>
          <w:p w14:paraId="2916B12E" w14:textId="77777777" w:rsidR="004346F3" w:rsidRPr="00536CFD" w:rsidRDefault="004346F3" w:rsidP="00802ABC">
            <w:pPr>
              <w:spacing w:after="0"/>
              <w:jc w:val="center"/>
              <w:rPr>
                <w:lang w:val="zh-CN"/>
              </w:rPr>
            </w:pPr>
            <w:r w:rsidRPr="00536CFD">
              <w:rPr>
                <w:lang w:val="zh-CN"/>
              </w:rPr>
              <w:t>0.15</w:t>
            </w:r>
          </w:p>
        </w:tc>
        <w:tc>
          <w:tcPr>
            <w:tcW w:w="676" w:type="dxa"/>
            <w:tcBorders>
              <w:top w:val="single" w:sz="4" w:space="0" w:color="auto"/>
              <w:left w:val="nil"/>
              <w:bottom w:val="single" w:sz="4" w:space="0" w:color="auto"/>
              <w:right w:val="single" w:sz="4" w:space="0" w:color="auto"/>
            </w:tcBorders>
            <w:shd w:val="clear" w:color="auto" w:fill="auto"/>
            <w:vAlign w:val="bottom"/>
          </w:tcPr>
          <w:p w14:paraId="6697F48C" w14:textId="77777777" w:rsidR="004346F3" w:rsidRPr="00536CFD" w:rsidRDefault="004346F3" w:rsidP="00802ABC">
            <w:pPr>
              <w:spacing w:after="0"/>
              <w:jc w:val="center"/>
              <w:rPr>
                <w:lang w:val="zh-CN"/>
              </w:rPr>
            </w:pPr>
            <w:r w:rsidRPr="00536CFD">
              <w:rPr>
                <w:lang w:val="zh-CN"/>
              </w:rPr>
              <w:t>0.08</w:t>
            </w:r>
          </w:p>
        </w:tc>
      </w:tr>
      <w:tr w:rsidR="004346F3" w:rsidRPr="00C64ECB" w14:paraId="14EEF25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47EBB26"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4CDE6F41" w14:textId="77777777" w:rsidR="004346F3" w:rsidRPr="00536CFD" w:rsidRDefault="004346F3" w:rsidP="00802ABC">
            <w:pPr>
              <w:spacing w:after="0"/>
              <w:jc w:val="center"/>
            </w:pPr>
            <w:r w:rsidRPr="00536CFD">
              <w:rPr>
                <w:rFonts w:ascii="Cambria Math" w:hAnsi="Cambria Math" w:cs="Cambria Math"/>
              </w:rPr>
              <w:t>𝜆</w:t>
            </w:r>
          </w:p>
        </w:tc>
        <w:tc>
          <w:tcPr>
            <w:tcW w:w="2515" w:type="dxa"/>
            <w:gridSpan w:val="7"/>
            <w:tcBorders>
              <w:top w:val="single" w:sz="4" w:space="0" w:color="auto"/>
              <w:left w:val="nil"/>
              <w:bottom w:val="single" w:sz="4" w:space="0" w:color="auto"/>
              <w:right w:val="single" w:sz="4" w:space="0" w:color="auto"/>
            </w:tcBorders>
            <w:shd w:val="clear" w:color="auto" w:fill="auto"/>
          </w:tcPr>
          <w:p w14:paraId="0C5EF146" w14:textId="77777777" w:rsidR="004346F3" w:rsidRPr="00536CFD" w:rsidRDefault="004346F3" w:rsidP="00802ABC">
            <w:pPr>
              <w:spacing w:after="0"/>
              <w:jc w:val="center"/>
              <w:rPr>
                <w:lang w:val="zh-CN"/>
              </w:rPr>
            </w:pPr>
            <w:r w:rsidRPr="00536CFD">
              <w:rPr>
                <w:lang w:val="zh-CN"/>
              </w:rPr>
              <w:t>0.8 Mbps</w:t>
            </w:r>
          </w:p>
        </w:tc>
        <w:tc>
          <w:tcPr>
            <w:tcW w:w="2866" w:type="dxa"/>
            <w:gridSpan w:val="5"/>
            <w:tcBorders>
              <w:top w:val="single" w:sz="4" w:space="0" w:color="auto"/>
              <w:left w:val="nil"/>
              <w:bottom w:val="single" w:sz="4" w:space="0" w:color="auto"/>
              <w:right w:val="single" w:sz="4" w:space="0" w:color="auto"/>
            </w:tcBorders>
            <w:shd w:val="clear" w:color="auto" w:fill="auto"/>
          </w:tcPr>
          <w:p w14:paraId="315ACA0C" w14:textId="77777777" w:rsidR="004346F3" w:rsidRPr="00536CFD" w:rsidRDefault="004346F3" w:rsidP="00802ABC">
            <w:pPr>
              <w:spacing w:after="0"/>
              <w:jc w:val="center"/>
              <w:rPr>
                <w:lang w:val="zh-CN"/>
              </w:rPr>
            </w:pPr>
            <w:r w:rsidRPr="00536CFD">
              <w:rPr>
                <w:lang w:val="zh-CN"/>
              </w:rPr>
              <w:t>1.2 Mbps</w:t>
            </w:r>
          </w:p>
        </w:tc>
        <w:tc>
          <w:tcPr>
            <w:tcW w:w="2885" w:type="dxa"/>
            <w:gridSpan w:val="7"/>
            <w:tcBorders>
              <w:top w:val="single" w:sz="4" w:space="0" w:color="auto"/>
              <w:left w:val="nil"/>
              <w:bottom w:val="single" w:sz="4" w:space="0" w:color="auto"/>
              <w:right w:val="single" w:sz="4" w:space="0" w:color="auto"/>
            </w:tcBorders>
            <w:shd w:val="clear" w:color="auto" w:fill="auto"/>
          </w:tcPr>
          <w:p w14:paraId="0305EA02" w14:textId="77777777" w:rsidR="004346F3" w:rsidRPr="00536CFD" w:rsidRDefault="004346F3" w:rsidP="00802ABC">
            <w:pPr>
              <w:spacing w:after="0"/>
              <w:jc w:val="center"/>
              <w:rPr>
                <w:lang w:val="zh-CN"/>
              </w:rPr>
            </w:pPr>
            <w:r w:rsidRPr="00536CFD">
              <w:rPr>
                <w:lang w:val="zh-CN"/>
              </w:rPr>
              <w:t>1.4 Mbps</w:t>
            </w:r>
          </w:p>
        </w:tc>
      </w:tr>
      <w:tr w:rsidR="004346F3" w:rsidRPr="00C64ECB" w14:paraId="6316A95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DD2F1FC"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109A11E3" w14:textId="77777777" w:rsidR="004346F3" w:rsidRPr="00536CFD" w:rsidRDefault="004346F3" w:rsidP="00802ABC">
            <w:pPr>
              <w:spacing w:after="0"/>
              <w:contextualSpacing/>
              <w:rPr>
                <w:lang w:val="en-US" w:bidi="ar"/>
              </w:rPr>
            </w:pPr>
          </w:p>
        </w:tc>
        <w:tc>
          <w:tcPr>
            <w:tcW w:w="8266" w:type="dxa"/>
            <w:gridSpan w:val="19"/>
            <w:tcBorders>
              <w:top w:val="single" w:sz="4" w:space="0" w:color="auto"/>
              <w:left w:val="nil"/>
              <w:bottom w:val="single" w:sz="4" w:space="0" w:color="auto"/>
              <w:right w:val="single" w:sz="4" w:space="0" w:color="auto"/>
            </w:tcBorders>
            <w:shd w:val="clear" w:color="auto" w:fill="auto"/>
          </w:tcPr>
          <w:p w14:paraId="01ACF3EE" w14:textId="77777777" w:rsidR="004346F3" w:rsidRPr="00536CFD" w:rsidRDefault="004346F3" w:rsidP="00802ABC">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disabled, Preamble detection enabled, ED/PD threshold -72/-82 dBm, A-MPDU size is chosen to get MPDU duration of 1ms, Wi-Fi Guard Interval long,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Switching points no longer than than 16 µs every 2ms for CSI feedback, UL grant update.</w:t>
            </w:r>
          </w:p>
        </w:tc>
      </w:tr>
      <w:tr w:rsidR="004346F3" w:rsidRPr="00C64ECB" w14:paraId="4C295555" w14:textId="77777777" w:rsidTr="00802ABC">
        <w:trPr>
          <w:cantSplit/>
          <w:trHeight w:val="20"/>
        </w:trPr>
        <w:tc>
          <w:tcPr>
            <w:tcW w:w="269" w:type="dxa"/>
            <w:vMerge w:val="restart"/>
            <w:tcBorders>
              <w:top w:val="nil"/>
              <w:left w:val="single" w:sz="4" w:space="0" w:color="auto"/>
              <w:bottom w:val="single" w:sz="4" w:space="0" w:color="auto"/>
              <w:right w:val="single" w:sz="4" w:space="0" w:color="auto"/>
            </w:tcBorders>
            <w:shd w:val="clear" w:color="auto" w:fill="auto"/>
            <w:textDirection w:val="btLr"/>
          </w:tcPr>
          <w:p w14:paraId="776BF53A"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R1-1814018 / Srouce 8</w:t>
            </w:r>
          </w:p>
        </w:tc>
        <w:tc>
          <w:tcPr>
            <w:tcW w:w="541" w:type="dxa"/>
            <w:vMerge w:val="restart"/>
            <w:tcBorders>
              <w:top w:val="nil"/>
              <w:left w:val="nil"/>
              <w:bottom w:val="single" w:sz="4" w:space="0" w:color="auto"/>
              <w:right w:val="single" w:sz="4" w:space="0" w:color="auto"/>
            </w:tcBorders>
            <w:shd w:val="clear" w:color="auto" w:fill="auto"/>
          </w:tcPr>
          <w:p w14:paraId="03ABBBDE"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6E52E89F"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tcPr>
          <w:p w14:paraId="7DB305B5" w14:textId="77777777" w:rsidR="004346F3" w:rsidRPr="00536CFD" w:rsidRDefault="004346F3" w:rsidP="00802ABC">
            <w:pPr>
              <w:pageBreakBefore/>
              <w:spacing w:after="0"/>
              <w:jc w:val="center"/>
              <w:rPr>
                <w:lang w:val="zh-CN"/>
              </w:rPr>
            </w:pPr>
            <w:r w:rsidRPr="00536CFD">
              <w:rPr>
                <w:lang w:val="zh-CN"/>
              </w:rPr>
              <w:t>17.63</w:t>
            </w:r>
          </w:p>
        </w:tc>
        <w:tc>
          <w:tcPr>
            <w:tcW w:w="643" w:type="dxa"/>
            <w:gridSpan w:val="2"/>
            <w:tcBorders>
              <w:top w:val="single" w:sz="4" w:space="0" w:color="auto"/>
              <w:left w:val="nil"/>
              <w:bottom w:val="single" w:sz="4" w:space="0" w:color="auto"/>
              <w:right w:val="single" w:sz="4" w:space="0" w:color="auto"/>
            </w:tcBorders>
            <w:shd w:val="clear" w:color="auto" w:fill="auto"/>
          </w:tcPr>
          <w:p w14:paraId="57EEEAF6" w14:textId="77777777" w:rsidR="004346F3" w:rsidRPr="00536CFD" w:rsidRDefault="004346F3" w:rsidP="00802ABC">
            <w:pPr>
              <w:pageBreakBefore/>
              <w:spacing w:after="0"/>
              <w:jc w:val="center"/>
              <w:rPr>
                <w:lang w:val="zh-CN"/>
              </w:rPr>
            </w:pPr>
            <w:r w:rsidRPr="00536CFD">
              <w:rPr>
                <w:lang w:val="zh-CN"/>
              </w:rPr>
              <w:t>28.68</w:t>
            </w:r>
          </w:p>
        </w:tc>
        <w:tc>
          <w:tcPr>
            <w:tcW w:w="649" w:type="dxa"/>
            <w:gridSpan w:val="2"/>
            <w:tcBorders>
              <w:top w:val="single" w:sz="4" w:space="0" w:color="auto"/>
              <w:left w:val="nil"/>
              <w:bottom w:val="single" w:sz="4" w:space="0" w:color="auto"/>
              <w:right w:val="single" w:sz="4" w:space="0" w:color="auto"/>
            </w:tcBorders>
            <w:shd w:val="clear" w:color="auto" w:fill="auto"/>
          </w:tcPr>
          <w:p w14:paraId="03B8C31A" w14:textId="77777777" w:rsidR="004346F3" w:rsidRPr="00536CFD" w:rsidRDefault="004346F3" w:rsidP="00802ABC">
            <w:pPr>
              <w:pageBreakBefore/>
              <w:spacing w:after="0"/>
              <w:jc w:val="center"/>
              <w:rPr>
                <w:lang w:val="zh-CN"/>
              </w:rPr>
            </w:pPr>
            <w:r w:rsidRPr="00536CFD">
              <w:rPr>
                <w:lang w:val="zh-CN"/>
              </w:rPr>
              <w:t>40.63</w:t>
            </w:r>
          </w:p>
        </w:tc>
        <w:tc>
          <w:tcPr>
            <w:tcW w:w="643" w:type="dxa"/>
            <w:gridSpan w:val="2"/>
            <w:tcBorders>
              <w:top w:val="single" w:sz="4" w:space="0" w:color="auto"/>
              <w:left w:val="nil"/>
              <w:bottom w:val="single" w:sz="4" w:space="0" w:color="auto"/>
              <w:right w:val="single" w:sz="4" w:space="0" w:color="auto"/>
            </w:tcBorders>
            <w:shd w:val="clear" w:color="auto" w:fill="auto"/>
          </w:tcPr>
          <w:p w14:paraId="622166DA" w14:textId="77777777" w:rsidR="004346F3" w:rsidRPr="00536CFD" w:rsidRDefault="004346F3" w:rsidP="00802ABC">
            <w:pPr>
              <w:pageBreakBefore/>
              <w:spacing w:after="0"/>
              <w:jc w:val="center"/>
              <w:rPr>
                <w:lang w:val="zh-CN"/>
              </w:rPr>
            </w:pPr>
            <w:r w:rsidRPr="00536CFD">
              <w:rPr>
                <w:lang w:val="zh-CN"/>
              </w:rPr>
              <w:t>44.29</w:t>
            </w:r>
          </w:p>
        </w:tc>
        <w:tc>
          <w:tcPr>
            <w:tcW w:w="714" w:type="dxa"/>
            <w:gridSpan w:val="2"/>
            <w:tcBorders>
              <w:top w:val="single" w:sz="4" w:space="0" w:color="auto"/>
              <w:left w:val="nil"/>
              <w:bottom w:val="single" w:sz="4" w:space="0" w:color="auto"/>
              <w:right w:val="single" w:sz="4" w:space="0" w:color="auto"/>
            </w:tcBorders>
            <w:shd w:val="clear" w:color="auto" w:fill="auto"/>
          </w:tcPr>
          <w:p w14:paraId="3673B20E" w14:textId="77777777" w:rsidR="004346F3" w:rsidRPr="00536CFD" w:rsidRDefault="004346F3" w:rsidP="00802ABC">
            <w:pPr>
              <w:pageBreakBefore/>
              <w:spacing w:after="0"/>
              <w:jc w:val="center"/>
              <w:rPr>
                <w:lang w:val="zh-CN"/>
              </w:rPr>
            </w:pPr>
            <w:r w:rsidRPr="00536CFD">
              <w:rPr>
                <w:lang w:val="zh-CN"/>
              </w:rPr>
              <w:t>6.86</w:t>
            </w:r>
          </w:p>
        </w:tc>
        <w:tc>
          <w:tcPr>
            <w:tcW w:w="714" w:type="dxa"/>
            <w:tcBorders>
              <w:top w:val="single" w:sz="4" w:space="0" w:color="auto"/>
              <w:left w:val="nil"/>
              <w:bottom w:val="single" w:sz="4" w:space="0" w:color="auto"/>
              <w:right w:val="single" w:sz="4" w:space="0" w:color="auto"/>
            </w:tcBorders>
            <w:shd w:val="clear" w:color="auto" w:fill="auto"/>
          </w:tcPr>
          <w:p w14:paraId="0F829C67" w14:textId="77777777" w:rsidR="004346F3" w:rsidRPr="00536CFD" w:rsidRDefault="004346F3" w:rsidP="00802ABC">
            <w:pPr>
              <w:pageBreakBefore/>
              <w:spacing w:after="0"/>
              <w:jc w:val="center"/>
              <w:rPr>
                <w:lang w:val="zh-CN"/>
              </w:rPr>
            </w:pPr>
            <w:r w:rsidRPr="00536CFD">
              <w:rPr>
                <w:lang w:val="zh-CN"/>
              </w:rPr>
              <w:t>23.71</w:t>
            </w:r>
          </w:p>
        </w:tc>
        <w:tc>
          <w:tcPr>
            <w:tcW w:w="719" w:type="dxa"/>
            <w:tcBorders>
              <w:top w:val="single" w:sz="4" w:space="0" w:color="auto"/>
              <w:left w:val="nil"/>
              <w:bottom w:val="single" w:sz="4" w:space="0" w:color="auto"/>
              <w:right w:val="single" w:sz="4" w:space="0" w:color="auto"/>
            </w:tcBorders>
            <w:shd w:val="clear" w:color="auto" w:fill="auto"/>
          </w:tcPr>
          <w:p w14:paraId="20B6E2AD" w14:textId="77777777" w:rsidR="004346F3" w:rsidRPr="00536CFD" w:rsidRDefault="004346F3" w:rsidP="00802ABC">
            <w:pPr>
              <w:pageBreakBefore/>
              <w:spacing w:after="0"/>
              <w:jc w:val="center"/>
              <w:rPr>
                <w:lang w:val="zh-CN"/>
              </w:rPr>
            </w:pPr>
            <w:r w:rsidRPr="00536CFD">
              <w:rPr>
                <w:lang w:val="zh-CN"/>
              </w:rPr>
              <w:t>34.25</w:t>
            </w:r>
          </w:p>
        </w:tc>
        <w:tc>
          <w:tcPr>
            <w:tcW w:w="719" w:type="dxa"/>
            <w:tcBorders>
              <w:top w:val="single" w:sz="4" w:space="0" w:color="auto"/>
              <w:left w:val="nil"/>
              <w:bottom w:val="single" w:sz="4" w:space="0" w:color="auto"/>
              <w:right w:val="single" w:sz="4" w:space="0" w:color="auto"/>
            </w:tcBorders>
            <w:shd w:val="clear" w:color="auto" w:fill="auto"/>
          </w:tcPr>
          <w:p w14:paraId="2322D6B9" w14:textId="77777777" w:rsidR="004346F3" w:rsidRPr="00536CFD" w:rsidRDefault="004346F3" w:rsidP="00802ABC">
            <w:pPr>
              <w:pageBreakBefore/>
              <w:spacing w:after="0"/>
              <w:jc w:val="center"/>
              <w:rPr>
                <w:lang w:val="zh-CN"/>
              </w:rPr>
            </w:pPr>
            <w:r w:rsidRPr="00536CFD">
              <w:rPr>
                <w:lang w:val="zh-CN"/>
              </w:rPr>
              <w:t>39.91</w:t>
            </w:r>
          </w:p>
        </w:tc>
        <w:tc>
          <w:tcPr>
            <w:tcW w:w="736" w:type="dxa"/>
            <w:gridSpan w:val="2"/>
            <w:tcBorders>
              <w:top w:val="single" w:sz="4" w:space="0" w:color="auto"/>
              <w:left w:val="nil"/>
              <w:bottom w:val="single" w:sz="4" w:space="0" w:color="auto"/>
              <w:right w:val="single" w:sz="4" w:space="0" w:color="auto"/>
            </w:tcBorders>
            <w:shd w:val="clear" w:color="auto" w:fill="auto"/>
          </w:tcPr>
          <w:p w14:paraId="0A9442D0" w14:textId="77777777" w:rsidR="004346F3" w:rsidRPr="00536CFD" w:rsidRDefault="004346F3" w:rsidP="00802ABC">
            <w:pPr>
              <w:pageBreakBefore/>
              <w:spacing w:after="0"/>
              <w:jc w:val="center"/>
              <w:rPr>
                <w:lang w:val="zh-CN"/>
              </w:rPr>
            </w:pPr>
            <w:r w:rsidRPr="00536CFD">
              <w:rPr>
                <w:lang w:val="zh-CN"/>
              </w:rPr>
              <w:t>0.94</w:t>
            </w:r>
          </w:p>
        </w:tc>
        <w:tc>
          <w:tcPr>
            <w:tcW w:w="737" w:type="dxa"/>
            <w:gridSpan w:val="2"/>
            <w:tcBorders>
              <w:top w:val="single" w:sz="4" w:space="0" w:color="auto"/>
              <w:left w:val="nil"/>
              <w:bottom w:val="single" w:sz="4" w:space="0" w:color="auto"/>
              <w:right w:val="single" w:sz="4" w:space="0" w:color="auto"/>
            </w:tcBorders>
            <w:shd w:val="clear" w:color="auto" w:fill="auto"/>
          </w:tcPr>
          <w:p w14:paraId="74D3E39A" w14:textId="77777777" w:rsidR="004346F3" w:rsidRPr="00536CFD" w:rsidRDefault="004346F3" w:rsidP="00802ABC">
            <w:pPr>
              <w:pageBreakBefore/>
              <w:spacing w:after="0"/>
              <w:jc w:val="center"/>
              <w:rPr>
                <w:lang w:val="zh-CN"/>
              </w:rPr>
            </w:pPr>
            <w:r w:rsidRPr="00536CFD">
              <w:rPr>
                <w:lang w:val="zh-CN"/>
              </w:rPr>
              <w:t>16.34</w:t>
            </w:r>
          </w:p>
        </w:tc>
        <w:tc>
          <w:tcPr>
            <w:tcW w:w="736" w:type="dxa"/>
            <w:gridSpan w:val="2"/>
            <w:tcBorders>
              <w:top w:val="single" w:sz="4" w:space="0" w:color="auto"/>
              <w:left w:val="nil"/>
              <w:bottom w:val="single" w:sz="4" w:space="0" w:color="auto"/>
              <w:right w:val="single" w:sz="4" w:space="0" w:color="auto"/>
            </w:tcBorders>
            <w:shd w:val="clear" w:color="auto" w:fill="auto"/>
          </w:tcPr>
          <w:p w14:paraId="7FCF7411" w14:textId="77777777" w:rsidR="004346F3" w:rsidRPr="00536CFD" w:rsidRDefault="004346F3" w:rsidP="00802ABC">
            <w:pPr>
              <w:pageBreakBefore/>
              <w:spacing w:after="0"/>
              <w:jc w:val="center"/>
              <w:rPr>
                <w:lang w:val="zh-CN"/>
              </w:rPr>
            </w:pPr>
            <w:r w:rsidRPr="00536CFD">
              <w:rPr>
                <w:lang w:val="zh-CN"/>
              </w:rPr>
              <w:t>21.51</w:t>
            </w:r>
          </w:p>
        </w:tc>
        <w:tc>
          <w:tcPr>
            <w:tcW w:w="676" w:type="dxa"/>
            <w:tcBorders>
              <w:top w:val="single" w:sz="4" w:space="0" w:color="auto"/>
              <w:left w:val="nil"/>
              <w:bottom w:val="single" w:sz="4" w:space="0" w:color="auto"/>
              <w:right w:val="single" w:sz="4" w:space="0" w:color="auto"/>
            </w:tcBorders>
            <w:shd w:val="clear" w:color="auto" w:fill="auto"/>
          </w:tcPr>
          <w:p w14:paraId="54A4AA62" w14:textId="77777777" w:rsidR="004346F3" w:rsidRPr="00536CFD" w:rsidRDefault="004346F3" w:rsidP="00802ABC">
            <w:pPr>
              <w:pageBreakBefore/>
              <w:spacing w:after="0"/>
              <w:jc w:val="center"/>
              <w:rPr>
                <w:lang w:val="zh-CN"/>
              </w:rPr>
            </w:pPr>
            <w:r w:rsidRPr="00536CFD">
              <w:rPr>
                <w:lang w:val="zh-CN"/>
              </w:rPr>
              <w:t>36.91</w:t>
            </w:r>
          </w:p>
        </w:tc>
      </w:tr>
      <w:tr w:rsidR="004346F3" w:rsidRPr="00C64ECB" w14:paraId="7B52B75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8BB6EA6"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7990CF29"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4368579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tcPr>
          <w:p w14:paraId="14F469A9" w14:textId="77777777" w:rsidR="004346F3" w:rsidRPr="00536CFD" w:rsidRDefault="004346F3" w:rsidP="00802ABC">
            <w:pPr>
              <w:spacing w:after="0"/>
              <w:jc w:val="center"/>
              <w:rPr>
                <w:lang w:val="zh-CN"/>
              </w:rPr>
            </w:pPr>
            <w:r w:rsidRPr="00536CFD">
              <w:rPr>
                <w:lang w:val="zh-CN"/>
              </w:rPr>
              <w:t>61.31</w:t>
            </w:r>
          </w:p>
        </w:tc>
        <w:tc>
          <w:tcPr>
            <w:tcW w:w="643" w:type="dxa"/>
            <w:gridSpan w:val="2"/>
            <w:tcBorders>
              <w:top w:val="single" w:sz="4" w:space="0" w:color="auto"/>
              <w:left w:val="nil"/>
              <w:bottom w:val="single" w:sz="4" w:space="0" w:color="auto"/>
              <w:right w:val="single" w:sz="4" w:space="0" w:color="auto"/>
            </w:tcBorders>
            <w:shd w:val="clear" w:color="auto" w:fill="auto"/>
          </w:tcPr>
          <w:p w14:paraId="7F864844" w14:textId="77777777" w:rsidR="004346F3" w:rsidRPr="00536CFD" w:rsidRDefault="004346F3" w:rsidP="00802ABC">
            <w:pPr>
              <w:spacing w:after="0"/>
              <w:jc w:val="center"/>
              <w:rPr>
                <w:lang w:val="zh-CN"/>
              </w:rPr>
            </w:pPr>
            <w:r w:rsidRPr="00536CFD">
              <w:rPr>
                <w:lang w:val="zh-CN"/>
              </w:rPr>
              <w:t>75.90</w:t>
            </w:r>
          </w:p>
        </w:tc>
        <w:tc>
          <w:tcPr>
            <w:tcW w:w="649" w:type="dxa"/>
            <w:gridSpan w:val="2"/>
            <w:tcBorders>
              <w:top w:val="single" w:sz="4" w:space="0" w:color="auto"/>
              <w:left w:val="nil"/>
              <w:bottom w:val="single" w:sz="4" w:space="0" w:color="auto"/>
              <w:right w:val="single" w:sz="4" w:space="0" w:color="auto"/>
            </w:tcBorders>
            <w:shd w:val="clear" w:color="auto" w:fill="auto"/>
          </w:tcPr>
          <w:p w14:paraId="5D8F4AAB" w14:textId="77777777" w:rsidR="004346F3" w:rsidRPr="00536CFD" w:rsidRDefault="004346F3" w:rsidP="00802ABC">
            <w:pPr>
              <w:spacing w:after="0"/>
              <w:jc w:val="center"/>
              <w:rPr>
                <w:lang w:val="zh-CN"/>
              </w:rPr>
            </w:pPr>
            <w:r w:rsidRPr="00536CFD">
              <w:rPr>
                <w:lang w:val="zh-CN"/>
              </w:rPr>
              <w:t>93.31</w:t>
            </w:r>
          </w:p>
        </w:tc>
        <w:tc>
          <w:tcPr>
            <w:tcW w:w="643" w:type="dxa"/>
            <w:gridSpan w:val="2"/>
            <w:tcBorders>
              <w:top w:val="single" w:sz="4" w:space="0" w:color="auto"/>
              <w:left w:val="nil"/>
              <w:bottom w:val="single" w:sz="4" w:space="0" w:color="auto"/>
              <w:right w:val="single" w:sz="4" w:space="0" w:color="auto"/>
            </w:tcBorders>
            <w:shd w:val="clear" w:color="auto" w:fill="auto"/>
          </w:tcPr>
          <w:p w14:paraId="5D306699" w14:textId="77777777" w:rsidR="004346F3" w:rsidRPr="00536CFD" w:rsidRDefault="004346F3" w:rsidP="00802ABC">
            <w:pPr>
              <w:spacing w:after="0"/>
              <w:jc w:val="center"/>
              <w:rPr>
                <w:lang w:val="zh-CN"/>
              </w:rPr>
            </w:pPr>
            <w:r w:rsidRPr="00536CFD">
              <w:rPr>
                <w:lang w:val="zh-CN"/>
              </w:rPr>
              <w:t>99.31</w:t>
            </w:r>
          </w:p>
        </w:tc>
        <w:tc>
          <w:tcPr>
            <w:tcW w:w="714" w:type="dxa"/>
            <w:gridSpan w:val="2"/>
            <w:tcBorders>
              <w:top w:val="single" w:sz="4" w:space="0" w:color="auto"/>
              <w:left w:val="nil"/>
              <w:bottom w:val="single" w:sz="4" w:space="0" w:color="auto"/>
              <w:right w:val="single" w:sz="4" w:space="0" w:color="auto"/>
            </w:tcBorders>
            <w:shd w:val="clear" w:color="auto" w:fill="auto"/>
          </w:tcPr>
          <w:p w14:paraId="24DCEBAD" w14:textId="77777777" w:rsidR="004346F3" w:rsidRPr="00536CFD" w:rsidRDefault="004346F3" w:rsidP="00802ABC">
            <w:pPr>
              <w:spacing w:after="0"/>
              <w:jc w:val="center"/>
              <w:rPr>
                <w:lang w:val="zh-CN"/>
              </w:rPr>
            </w:pPr>
            <w:r w:rsidRPr="00536CFD">
              <w:rPr>
                <w:lang w:val="zh-CN"/>
              </w:rPr>
              <w:t>32.85</w:t>
            </w:r>
          </w:p>
        </w:tc>
        <w:tc>
          <w:tcPr>
            <w:tcW w:w="714" w:type="dxa"/>
            <w:tcBorders>
              <w:top w:val="single" w:sz="4" w:space="0" w:color="auto"/>
              <w:left w:val="nil"/>
              <w:bottom w:val="single" w:sz="4" w:space="0" w:color="auto"/>
              <w:right w:val="single" w:sz="4" w:space="0" w:color="auto"/>
            </w:tcBorders>
            <w:shd w:val="clear" w:color="auto" w:fill="auto"/>
          </w:tcPr>
          <w:p w14:paraId="4A4A1B7F" w14:textId="77777777" w:rsidR="004346F3" w:rsidRPr="00536CFD" w:rsidRDefault="004346F3" w:rsidP="00802ABC">
            <w:pPr>
              <w:spacing w:after="0"/>
              <w:jc w:val="center"/>
              <w:rPr>
                <w:lang w:val="zh-CN"/>
              </w:rPr>
            </w:pPr>
            <w:r w:rsidRPr="00536CFD">
              <w:rPr>
                <w:lang w:val="zh-CN"/>
              </w:rPr>
              <w:t>67.99</w:t>
            </w:r>
          </w:p>
        </w:tc>
        <w:tc>
          <w:tcPr>
            <w:tcW w:w="719" w:type="dxa"/>
            <w:tcBorders>
              <w:top w:val="single" w:sz="4" w:space="0" w:color="auto"/>
              <w:left w:val="nil"/>
              <w:bottom w:val="single" w:sz="4" w:space="0" w:color="auto"/>
              <w:right w:val="single" w:sz="4" w:space="0" w:color="auto"/>
            </w:tcBorders>
            <w:shd w:val="clear" w:color="auto" w:fill="auto"/>
          </w:tcPr>
          <w:p w14:paraId="180DB433" w14:textId="77777777" w:rsidR="004346F3" w:rsidRPr="00536CFD" w:rsidRDefault="004346F3" w:rsidP="00802ABC">
            <w:pPr>
              <w:spacing w:after="0"/>
              <w:jc w:val="center"/>
              <w:rPr>
                <w:lang w:val="zh-CN"/>
              </w:rPr>
            </w:pPr>
            <w:r w:rsidRPr="00536CFD">
              <w:rPr>
                <w:lang w:val="zh-CN"/>
              </w:rPr>
              <w:t>84.77</w:t>
            </w:r>
          </w:p>
        </w:tc>
        <w:tc>
          <w:tcPr>
            <w:tcW w:w="719" w:type="dxa"/>
            <w:tcBorders>
              <w:top w:val="single" w:sz="4" w:space="0" w:color="auto"/>
              <w:left w:val="nil"/>
              <w:bottom w:val="single" w:sz="4" w:space="0" w:color="auto"/>
              <w:right w:val="single" w:sz="4" w:space="0" w:color="auto"/>
            </w:tcBorders>
            <w:shd w:val="clear" w:color="auto" w:fill="auto"/>
          </w:tcPr>
          <w:p w14:paraId="60C6D2EE" w14:textId="77777777" w:rsidR="004346F3" w:rsidRPr="00536CFD" w:rsidRDefault="004346F3" w:rsidP="00802ABC">
            <w:pPr>
              <w:spacing w:after="0"/>
              <w:jc w:val="center"/>
              <w:rPr>
                <w:lang w:val="zh-CN"/>
              </w:rPr>
            </w:pPr>
            <w:r w:rsidRPr="00536CFD">
              <w:rPr>
                <w:lang w:val="zh-CN"/>
              </w:rPr>
              <w:t>95.14</w:t>
            </w:r>
          </w:p>
        </w:tc>
        <w:tc>
          <w:tcPr>
            <w:tcW w:w="736" w:type="dxa"/>
            <w:gridSpan w:val="2"/>
            <w:tcBorders>
              <w:top w:val="single" w:sz="4" w:space="0" w:color="auto"/>
              <w:left w:val="nil"/>
              <w:bottom w:val="single" w:sz="4" w:space="0" w:color="auto"/>
              <w:right w:val="single" w:sz="4" w:space="0" w:color="auto"/>
            </w:tcBorders>
            <w:shd w:val="clear" w:color="auto" w:fill="auto"/>
          </w:tcPr>
          <w:p w14:paraId="4696DC76" w14:textId="77777777" w:rsidR="004346F3" w:rsidRPr="00536CFD" w:rsidRDefault="004346F3" w:rsidP="00802ABC">
            <w:pPr>
              <w:spacing w:after="0"/>
              <w:jc w:val="center"/>
              <w:rPr>
                <w:lang w:val="zh-CN"/>
              </w:rPr>
            </w:pPr>
            <w:r w:rsidRPr="00536CFD">
              <w:rPr>
                <w:lang w:val="zh-CN"/>
              </w:rPr>
              <w:t>11.25</w:t>
            </w:r>
          </w:p>
        </w:tc>
        <w:tc>
          <w:tcPr>
            <w:tcW w:w="737" w:type="dxa"/>
            <w:gridSpan w:val="2"/>
            <w:tcBorders>
              <w:top w:val="single" w:sz="4" w:space="0" w:color="auto"/>
              <w:left w:val="nil"/>
              <w:bottom w:val="single" w:sz="4" w:space="0" w:color="auto"/>
              <w:right w:val="single" w:sz="4" w:space="0" w:color="auto"/>
            </w:tcBorders>
            <w:shd w:val="clear" w:color="auto" w:fill="auto"/>
          </w:tcPr>
          <w:p w14:paraId="24947934" w14:textId="77777777" w:rsidR="004346F3" w:rsidRPr="00536CFD" w:rsidRDefault="004346F3" w:rsidP="00802ABC">
            <w:pPr>
              <w:spacing w:after="0"/>
              <w:jc w:val="center"/>
              <w:rPr>
                <w:lang w:val="zh-CN"/>
              </w:rPr>
            </w:pPr>
            <w:r w:rsidRPr="00536CFD">
              <w:rPr>
                <w:lang w:val="zh-CN"/>
              </w:rPr>
              <w:t>56.09</w:t>
            </w:r>
          </w:p>
        </w:tc>
        <w:tc>
          <w:tcPr>
            <w:tcW w:w="736" w:type="dxa"/>
            <w:gridSpan w:val="2"/>
            <w:tcBorders>
              <w:top w:val="single" w:sz="4" w:space="0" w:color="auto"/>
              <w:left w:val="nil"/>
              <w:bottom w:val="single" w:sz="4" w:space="0" w:color="auto"/>
              <w:right w:val="single" w:sz="4" w:space="0" w:color="auto"/>
            </w:tcBorders>
            <w:shd w:val="clear" w:color="auto" w:fill="auto"/>
          </w:tcPr>
          <w:p w14:paraId="6EFA8DAA" w14:textId="77777777" w:rsidR="004346F3" w:rsidRPr="00536CFD" w:rsidRDefault="004346F3" w:rsidP="00802ABC">
            <w:pPr>
              <w:spacing w:after="0"/>
              <w:jc w:val="center"/>
              <w:rPr>
                <w:lang w:val="zh-CN"/>
              </w:rPr>
            </w:pPr>
            <w:r w:rsidRPr="00536CFD">
              <w:rPr>
                <w:lang w:val="zh-CN"/>
              </w:rPr>
              <w:t>67.55</w:t>
            </w:r>
          </w:p>
        </w:tc>
        <w:tc>
          <w:tcPr>
            <w:tcW w:w="676" w:type="dxa"/>
            <w:tcBorders>
              <w:top w:val="single" w:sz="4" w:space="0" w:color="auto"/>
              <w:left w:val="nil"/>
              <w:bottom w:val="single" w:sz="4" w:space="0" w:color="auto"/>
              <w:right w:val="single" w:sz="4" w:space="0" w:color="auto"/>
            </w:tcBorders>
            <w:shd w:val="clear" w:color="auto" w:fill="auto"/>
          </w:tcPr>
          <w:p w14:paraId="1D19A16E" w14:textId="77777777" w:rsidR="004346F3" w:rsidRPr="00536CFD" w:rsidRDefault="004346F3" w:rsidP="00802ABC">
            <w:pPr>
              <w:spacing w:after="0"/>
              <w:jc w:val="center"/>
              <w:rPr>
                <w:lang w:val="zh-CN"/>
              </w:rPr>
            </w:pPr>
            <w:r w:rsidRPr="00536CFD">
              <w:rPr>
                <w:lang w:val="zh-CN"/>
              </w:rPr>
              <w:t>90.81</w:t>
            </w:r>
          </w:p>
        </w:tc>
      </w:tr>
      <w:tr w:rsidR="004346F3" w:rsidRPr="00C64ECB" w14:paraId="3653F6DE"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F51C37B"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EC504D8"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757D76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tcPr>
          <w:p w14:paraId="1FEEFA29" w14:textId="77777777" w:rsidR="004346F3" w:rsidRPr="00536CFD" w:rsidRDefault="004346F3" w:rsidP="00802ABC">
            <w:pPr>
              <w:spacing w:after="0"/>
              <w:jc w:val="center"/>
              <w:rPr>
                <w:lang w:val="zh-CN"/>
              </w:rPr>
            </w:pPr>
            <w:r w:rsidRPr="00536CFD">
              <w:rPr>
                <w:lang w:val="zh-CN"/>
              </w:rPr>
              <w:t>90.10</w:t>
            </w:r>
          </w:p>
        </w:tc>
        <w:tc>
          <w:tcPr>
            <w:tcW w:w="643" w:type="dxa"/>
            <w:gridSpan w:val="2"/>
            <w:tcBorders>
              <w:top w:val="single" w:sz="4" w:space="0" w:color="auto"/>
              <w:left w:val="nil"/>
              <w:bottom w:val="single" w:sz="4" w:space="0" w:color="auto"/>
              <w:right w:val="single" w:sz="4" w:space="0" w:color="auto"/>
            </w:tcBorders>
            <w:shd w:val="clear" w:color="auto" w:fill="auto"/>
          </w:tcPr>
          <w:p w14:paraId="2DFFC0C6" w14:textId="77777777" w:rsidR="004346F3" w:rsidRPr="00536CFD" w:rsidRDefault="004346F3" w:rsidP="00802ABC">
            <w:pPr>
              <w:spacing w:after="0"/>
              <w:jc w:val="center"/>
              <w:rPr>
                <w:lang w:val="zh-CN"/>
              </w:rPr>
            </w:pPr>
            <w:r w:rsidRPr="00536CFD">
              <w:rPr>
                <w:lang w:val="zh-CN"/>
              </w:rPr>
              <w:t>102.08</w:t>
            </w:r>
          </w:p>
        </w:tc>
        <w:tc>
          <w:tcPr>
            <w:tcW w:w="649" w:type="dxa"/>
            <w:gridSpan w:val="2"/>
            <w:tcBorders>
              <w:top w:val="single" w:sz="4" w:space="0" w:color="auto"/>
              <w:left w:val="nil"/>
              <w:bottom w:val="single" w:sz="4" w:space="0" w:color="auto"/>
              <w:right w:val="single" w:sz="4" w:space="0" w:color="auto"/>
            </w:tcBorders>
            <w:shd w:val="clear" w:color="auto" w:fill="auto"/>
          </w:tcPr>
          <w:p w14:paraId="47934984" w14:textId="77777777" w:rsidR="004346F3" w:rsidRPr="00536CFD" w:rsidRDefault="004346F3" w:rsidP="00802ABC">
            <w:pPr>
              <w:spacing w:after="0"/>
              <w:jc w:val="center"/>
              <w:rPr>
                <w:lang w:val="zh-CN"/>
              </w:rPr>
            </w:pPr>
            <w:r w:rsidRPr="00536CFD">
              <w:rPr>
                <w:lang w:val="zh-CN"/>
              </w:rPr>
              <w:t>122.51</w:t>
            </w:r>
          </w:p>
        </w:tc>
        <w:tc>
          <w:tcPr>
            <w:tcW w:w="643" w:type="dxa"/>
            <w:gridSpan w:val="2"/>
            <w:tcBorders>
              <w:top w:val="single" w:sz="4" w:space="0" w:color="auto"/>
              <w:left w:val="nil"/>
              <w:bottom w:val="single" w:sz="4" w:space="0" w:color="auto"/>
              <w:right w:val="single" w:sz="4" w:space="0" w:color="auto"/>
            </w:tcBorders>
            <w:shd w:val="clear" w:color="auto" w:fill="auto"/>
          </w:tcPr>
          <w:p w14:paraId="787821C5" w14:textId="77777777" w:rsidR="004346F3" w:rsidRPr="00536CFD" w:rsidRDefault="004346F3" w:rsidP="00802ABC">
            <w:pPr>
              <w:spacing w:after="0"/>
              <w:jc w:val="center"/>
              <w:rPr>
                <w:lang w:val="zh-CN"/>
              </w:rPr>
            </w:pPr>
            <w:r w:rsidRPr="00536CFD">
              <w:rPr>
                <w:lang w:val="zh-CN"/>
              </w:rPr>
              <w:t>124.68</w:t>
            </w:r>
          </w:p>
        </w:tc>
        <w:tc>
          <w:tcPr>
            <w:tcW w:w="714" w:type="dxa"/>
            <w:gridSpan w:val="2"/>
            <w:tcBorders>
              <w:top w:val="single" w:sz="4" w:space="0" w:color="auto"/>
              <w:left w:val="nil"/>
              <w:bottom w:val="single" w:sz="4" w:space="0" w:color="auto"/>
              <w:right w:val="single" w:sz="4" w:space="0" w:color="auto"/>
            </w:tcBorders>
            <w:shd w:val="clear" w:color="auto" w:fill="auto"/>
          </w:tcPr>
          <w:p w14:paraId="33B47415" w14:textId="77777777" w:rsidR="004346F3" w:rsidRPr="00536CFD" w:rsidRDefault="004346F3" w:rsidP="00802ABC">
            <w:pPr>
              <w:spacing w:after="0"/>
              <w:jc w:val="center"/>
              <w:rPr>
                <w:lang w:val="zh-CN"/>
              </w:rPr>
            </w:pPr>
            <w:r w:rsidRPr="00536CFD">
              <w:rPr>
                <w:lang w:val="zh-CN"/>
              </w:rPr>
              <w:t>63.61</w:t>
            </w:r>
          </w:p>
        </w:tc>
        <w:tc>
          <w:tcPr>
            <w:tcW w:w="714" w:type="dxa"/>
            <w:tcBorders>
              <w:top w:val="single" w:sz="4" w:space="0" w:color="auto"/>
              <w:left w:val="nil"/>
              <w:bottom w:val="single" w:sz="4" w:space="0" w:color="auto"/>
              <w:right w:val="single" w:sz="4" w:space="0" w:color="auto"/>
            </w:tcBorders>
            <w:shd w:val="clear" w:color="auto" w:fill="auto"/>
          </w:tcPr>
          <w:p w14:paraId="2CD62AAA" w14:textId="77777777" w:rsidR="004346F3" w:rsidRPr="00536CFD" w:rsidRDefault="004346F3" w:rsidP="00802ABC">
            <w:pPr>
              <w:spacing w:after="0"/>
              <w:jc w:val="center"/>
              <w:rPr>
                <w:lang w:val="zh-CN"/>
              </w:rPr>
            </w:pPr>
            <w:r w:rsidRPr="00536CFD">
              <w:rPr>
                <w:lang w:val="zh-CN"/>
              </w:rPr>
              <w:t>97.22</w:t>
            </w:r>
          </w:p>
        </w:tc>
        <w:tc>
          <w:tcPr>
            <w:tcW w:w="719" w:type="dxa"/>
            <w:tcBorders>
              <w:top w:val="single" w:sz="4" w:space="0" w:color="auto"/>
              <w:left w:val="nil"/>
              <w:bottom w:val="single" w:sz="4" w:space="0" w:color="auto"/>
              <w:right w:val="single" w:sz="4" w:space="0" w:color="auto"/>
            </w:tcBorders>
            <w:shd w:val="clear" w:color="auto" w:fill="auto"/>
          </w:tcPr>
          <w:p w14:paraId="2F2F77DA" w14:textId="77777777" w:rsidR="004346F3" w:rsidRPr="00536CFD" w:rsidRDefault="004346F3" w:rsidP="00802ABC">
            <w:pPr>
              <w:spacing w:after="0"/>
              <w:jc w:val="center"/>
              <w:rPr>
                <w:lang w:val="zh-CN"/>
              </w:rPr>
            </w:pPr>
            <w:r w:rsidRPr="00536CFD">
              <w:rPr>
                <w:lang w:val="zh-CN"/>
              </w:rPr>
              <w:t>117.64</w:t>
            </w:r>
          </w:p>
        </w:tc>
        <w:tc>
          <w:tcPr>
            <w:tcW w:w="719" w:type="dxa"/>
            <w:tcBorders>
              <w:top w:val="single" w:sz="4" w:space="0" w:color="auto"/>
              <w:left w:val="nil"/>
              <w:bottom w:val="single" w:sz="4" w:space="0" w:color="auto"/>
              <w:right w:val="single" w:sz="4" w:space="0" w:color="auto"/>
            </w:tcBorders>
            <w:shd w:val="clear" w:color="auto" w:fill="auto"/>
          </w:tcPr>
          <w:p w14:paraId="4B15B399" w14:textId="77777777" w:rsidR="004346F3" w:rsidRPr="00536CFD" w:rsidRDefault="004346F3" w:rsidP="00802ABC">
            <w:pPr>
              <w:spacing w:after="0"/>
              <w:jc w:val="center"/>
              <w:rPr>
                <w:lang w:val="zh-CN"/>
              </w:rPr>
            </w:pPr>
            <w:r w:rsidRPr="00536CFD">
              <w:rPr>
                <w:lang w:val="zh-CN"/>
              </w:rPr>
              <w:t>122.39</w:t>
            </w:r>
          </w:p>
        </w:tc>
        <w:tc>
          <w:tcPr>
            <w:tcW w:w="736" w:type="dxa"/>
            <w:gridSpan w:val="2"/>
            <w:tcBorders>
              <w:top w:val="single" w:sz="4" w:space="0" w:color="auto"/>
              <w:left w:val="nil"/>
              <w:bottom w:val="single" w:sz="4" w:space="0" w:color="auto"/>
              <w:right w:val="single" w:sz="4" w:space="0" w:color="auto"/>
            </w:tcBorders>
            <w:shd w:val="clear" w:color="auto" w:fill="auto"/>
          </w:tcPr>
          <w:p w14:paraId="1A97C069" w14:textId="77777777" w:rsidR="004346F3" w:rsidRPr="00536CFD" w:rsidRDefault="004346F3" w:rsidP="00802ABC">
            <w:pPr>
              <w:spacing w:after="0"/>
              <w:jc w:val="center"/>
              <w:rPr>
                <w:lang w:val="zh-CN"/>
              </w:rPr>
            </w:pPr>
            <w:r w:rsidRPr="00536CFD">
              <w:rPr>
                <w:lang w:val="zh-CN"/>
              </w:rPr>
              <w:t>37.92</w:t>
            </w:r>
          </w:p>
        </w:tc>
        <w:tc>
          <w:tcPr>
            <w:tcW w:w="737" w:type="dxa"/>
            <w:gridSpan w:val="2"/>
            <w:tcBorders>
              <w:top w:val="single" w:sz="4" w:space="0" w:color="auto"/>
              <w:left w:val="nil"/>
              <w:bottom w:val="single" w:sz="4" w:space="0" w:color="auto"/>
              <w:right w:val="single" w:sz="4" w:space="0" w:color="auto"/>
            </w:tcBorders>
            <w:shd w:val="clear" w:color="auto" w:fill="auto"/>
          </w:tcPr>
          <w:p w14:paraId="4ABD4F17" w14:textId="77777777" w:rsidR="004346F3" w:rsidRPr="00536CFD" w:rsidRDefault="004346F3" w:rsidP="00802ABC">
            <w:pPr>
              <w:spacing w:after="0"/>
              <w:jc w:val="center"/>
              <w:rPr>
                <w:lang w:val="zh-CN"/>
              </w:rPr>
            </w:pPr>
            <w:r w:rsidRPr="00536CFD">
              <w:rPr>
                <w:lang w:val="zh-CN"/>
              </w:rPr>
              <w:t>89.19</w:t>
            </w:r>
          </w:p>
        </w:tc>
        <w:tc>
          <w:tcPr>
            <w:tcW w:w="736" w:type="dxa"/>
            <w:gridSpan w:val="2"/>
            <w:tcBorders>
              <w:top w:val="single" w:sz="4" w:space="0" w:color="auto"/>
              <w:left w:val="nil"/>
              <w:bottom w:val="single" w:sz="4" w:space="0" w:color="auto"/>
              <w:right w:val="single" w:sz="4" w:space="0" w:color="auto"/>
            </w:tcBorders>
            <w:shd w:val="clear" w:color="auto" w:fill="auto"/>
          </w:tcPr>
          <w:p w14:paraId="5B90021E" w14:textId="77777777" w:rsidR="004346F3" w:rsidRPr="00536CFD" w:rsidRDefault="004346F3" w:rsidP="00802ABC">
            <w:pPr>
              <w:spacing w:after="0"/>
              <w:jc w:val="center"/>
              <w:rPr>
                <w:lang w:val="zh-CN"/>
              </w:rPr>
            </w:pPr>
            <w:r w:rsidRPr="00536CFD">
              <w:rPr>
                <w:lang w:val="zh-CN"/>
              </w:rPr>
              <w:t>105.17</w:t>
            </w:r>
          </w:p>
        </w:tc>
        <w:tc>
          <w:tcPr>
            <w:tcW w:w="676" w:type="dxa"/>
            <w:tcBorders>
              <w:top w:val="single" w:sz="4" w:space="0" w:color="auto"/>
              <w:left w:val="nil"/>
              <w:bottom w:val="single" w:sz="4" w:space="0" w:color="auto"/>
              <w:right w:val="single" w:sz="4" w:space="0" w:color="auto"/>
            </w:tcBorders>
            <w:shd w:val="clear" w:color="auto" w:fill="auto"/>
          </w:tcPr>
          <w:p w14:paraId="3EAE0DCB" w14:textId="77777777" w:rsidR="004346F3" w:rsidRPr="00536CFD" w:rsidRDefault="004346F3" w:rsidP="00802ABC">
            <w:pPr>
              <w:spacing w:after="0"/>
              <w:jc w:val="center"/>
              <w:rPr>
                <w:lang w:val="zh-CN"/>
              </w:rPr>
            </w:pPr>
            <w:r w:rsidRPr="00536CFD">
              <w:rPr>
                <w:lang w:val="zh-CN"/>
              </w:rPr>
              <w:t>119.97</w:t>
            </w:r>
          </w:p>
        </w:tc>
      </w:tr>
      <w:tr w:rsidR="004346F3" w:rsidRPr="00C64ECB" w14:paraId="2FAD1717"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E327F7C"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25193E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EA41FA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tcPr>
          <w:p w14:paraId="495EDA28" w14:textId="77777777" w:rsidR="004346F3" w:rsidRPr="00536CFD" w:rsidRDefault="004346F3" w:rsidP="00802ABC">
            <w:pPr>
              <w:spacing w:after="0"/>
              <w:jc w:val="center"/>
              <w:rPr>
                <w:lang w:val="zh-CN"/>
              </w:rPr>
            </w:pPr>
            <w:r w:rsidRPr="00536CFD">
              <w:rPr>
                <w:lang w:val="zh-CN"/>
              </w:rPr>
              <w:t>59.49</w:t>
            </w:r>
          </w:p>
        </w:tc>
        <w:tc>
          <w:tcPr>
            <w:tcW w:w="643" w:type="dxa"/>
            <w:gridSpan w:val="2"/>
            <w:tcBorders>
              <w:top w:val="single" w:sz="4" w:space="0" w:color="auto"/>
              <w:left w:val="nil"/>
              <w:bottom w:val="single" w:sz="4" w:space="0" w:color="auto"/>
              <w:right w:val="single" w:sz="4" w:space="0" w:color="auto"/>
            </w:tcBorders>
            <w:shd w:val="clear" w:color="auto" w:fill="auto"/>
          </w:tcPr>
          <w:p w14:paraId="56E3F983" w14:textId="77777777" w:rsidR="004346F3" w:rsidRPr="00536CFD" w:rsidRDefault="004346F3" w:rsidP="00802ABC">
            <w:pPr>
              <w:spacing w:after="0"/>
              <w:jc w:val="center"/>
              <w:rPr>
                <w:lang w:val="zh-CN"/>
              </w:rPr>
            </w:pPr>
            <w:r w:rsidRPr="00536CFD">
              <w:rPr>
                <w:lang w:val="zh-CN"/>
              </w:rPr>
              <w:t>73.55</w:t>
            </w:r>
          </w:p>
        </w:tc>
        <w:tc>
          <w:tcPr>
            <w:tcW w:w="649" w:type="dxa"/>
            <w:gridSpan w:val="2"/>
            <w:tcBorders>
              <w:top w:val="single" w:sz="4" w:space="0" w:color="auto"/>
              <w:left w:val="nil"/>
              <w:bottom w:val="single" w:sz="4" w:space="0" w:color="auto"/>
              <w:right w:val="single" w:sz="4" w:space="0" w:color="auto"/>
            </w:tcBorders>
            <w:shd w:val="clear" w:color="auto" w:fill="auto"/>
          </w:tcPr>
          <w:p w14:paraId="02E7ED49" w14:textId="77777777" w:rsidR="004346F3" w:rsidRPr="00536CFD" w:rsidRDefault="004346F3" w:rsidP="00802ABC">
            <w:pPr>
              <w:spacing w:after="0"/>
              <w:jc w:val="center"/>
              <w:rPr>
                <w:lang w:val="zh-CN"/>
              </w:rPr>
            </w:pPr>
            <w:r w:rsidRPr="00536CFD">
              <w:rPr>
                <w:lang w:val="zh-CN"/>
              </w:rPr>
              <w:t>90.68</w:t>
            </w:r>
          </w:p>
        </w:tc>
        <w:tc>
          <w:tcPr>
            <w:tcW w:w="643" w:type="dxa"/>
            <w:gridSpan w:val="2"/>
            <w:tcBorders>
              <w:top w:val="single" w:sz="4" w:space="0" w:color="auto"/>
              <w:left w:val="nil"/>
              <w:bottom w:val="single" w:sz="4" w:space="0" w:color="auto"/>
              <w:right w:val="single" w:sz="4" w:space="0" w:color="auto"/>
            </w:tcBorders>
            <w:shd w:val="clear" w:color="auto" w:fill="auto"/>
          </w:tcPr>
          <w:p w14:paraId="1686C311" w14:textId="77777777" w:rsidR="004346F3" w:rsidRPr="00536CFD" w:rsidRDefault="004346F3" w:rsidP="00802ABC">
            <w:pPr>
              <w:spacing w:after="0"/>
              <w:jc w:val="center"/>
              <w:rPr>
                <w:lang w:val="zh-CN"/>
              </w:rPr>
            </w:pPr>
            <w:r w:rsidRPr="00536CFD">
              <w:rPr>
                <w:lang w:val="zh-CN"/>
              </w:rPr>
              <w:t>95.60</w:t>
            </w:r>
          </w:p>
        </w:tc>
        <w:tc>
          <w:tcPr>
            <w:tcW w:w="714" w:type="dxa"/>
            <w:gridSpan w:val="2"/>
            <w:tcBorders>
              <w:top w:val="single" w:sz="4" w:space="0" w:color="auto"/>
              <w:left w:val="nil"/>
              <w:bottom w:val="single" w:sz="4" w:space="0" w:color="auto"/>
              <w:right w:val="single" w:sz="4" w:space="0" w:color="auto"/>
            </w:tcBorders>
            <w:shd w:val="clear" w:color="auto" w:fill="auto"/>
          </w:tcPr>
          <w:p w14:paraId="4AF629D6" w14:textId="77777777" w:rsidR="004346F3" w:rsidRPr="00536CFD" w:rsidRDefault="004346F3" w:rsidP="00802ABC">
            <w:pPr>
              <w:spacing w:after="0"/>
              <w:jc w:val="center"/>
              <w:rPr>
                <w:lang w:val="zh-CN"/>
              </w:rPr>
            </w:pPr>
            <w:r w:rsidRPr="00536CFD">
              <w:rPr>
                <w:lang w:val="zh-CN"/>
              </w:rPr>
              <w:t>34.73</w:t>
            </w:r>
          </w:p>
        </w:tc>
        <w:tc>
          <w:tcPr>
            <w:tcW w:w="714" w:type="dxa"/>
            <w:tcBorders>
              <w:top w:val="single" w:sz="4" w:space="0" w:color="auto"/>
              <w:left w:val="nil"/>
              <w:bottom w:val="single" w:sz="4" w:space="0" w:color="auto"/>
              <w:right w:val="single" w:sz="4" w:space="0" w:color="auto"/>
            </w:tcBorders>
            <w:shd w:val="clear" w:color="auto" w:fill="auto"/>
          </w:tcPr>
          <w:p w14:paraId="60AFCC3C" w14:textId="77777777" w:rsidR="004346F3" w:rsidRPr="00536CFD" w:rsidRDefault="004346F3" w:rsidP="00802ABC">
            <w:pPr>
              <w:spacing w:after="0"/>
              <w:jc w:val="center"/>
              <w:rPr>
                <w:lang w:val="zh-CN"/>
              </w:rPr>
            </w:pPr>
            <w:r w:rsidRPr="00536CFD">
              <w:rPr>
                <w:lang w:val="zh-CN"/>
              </w:rPr>
              <w:t>66.77</w:t>
            </w:r>
          </w:p>
        </w:tc>
        <w:tc>
          <w:tcPr>
            <w:tcW w:w="719" w:type="dxa"/>
            <w:tcBorders>
              <w:top w:val="single" w:sz="4" w:space="0" w:color="auto"/>
              <w:left w:val="nil"/>
              <w:bottom w:val="single" w:sz="4" w:space="0" w:color="auto"/>
              <w:right w:val="single" w:sz="4" w:space="0" w:color="auto"/>
            </w:tcBorders>
            <w:shd w:val="clear" w:color="auto" w:fill="auto"/>
          </w:tcPr>
          <w:p w14:paraId="533AFD4D" w14:textId="77777777" w:rsidR="004346F3" w:rsidRPr="00536CFD" w:rsidRDefault="004346F3" w:rsidP="00802ABC">
            <w:pPr>
              <w:spacing w:after="0"/>
              <w:jc w:val="center"/>
              <w:rPr>
                <w:lang w:val="zh-CN"/>
              </w:rPr>
            </w:pPr>
            <w:r w:rsidRPr="00536CFD">
              <w:rPr>
                <w:lang w:val="zh-CN"/>
              </w:rPr>
              <w:t>83.03</w:t>
            </w:r>
          </w:p>
        </w:tc>
        <w:tc>
          <w:tcPr>
            <w:tcW w:w="719" w:type="dxa"/>
            <w:tcBorders>
              <w:top w:val="single" w:sz="4" w:space="0" w:color="auto"/>
              <w:left w:val="nil"/>
              <w:bottom w:val="single" w:sz="4" w:space="0" w:color="auto"/>
              <w:right w:val="single" w:sz="4" w:space="0" w:color="auto"/>
            </w:tcBorders>
            <w:shd w:val="clear" w:color="auto" w:fill="auto"/>
          </w:tcPr>
          <w:p w14:paraId="19145535" w14:textId="77777777" w:rsidR="004346F3" w:rsidRPr="00536CFD" w:rsidRDefault="004346F3" w:rsidP="00802ABC">
            <w:pPr>
              <w:spacing w:after="0"/>
              <w:jc w:val="center"/>
              <w:rPr>
                <w:lang w:val="zh-CN"/>
              </w:rPr>
            </w:pPr>
            <w:r w:rsidRPr="00536CFD">
              <w:rPr>
                <w:lang w:val="zh-CN"/>
              </w:rPr>
              <w:t>91.93</w:t>
            </w:r>
          </w:p>
        </w:tc>
        <w:tc>
          <w:tcPr>
            <w:tcW w:w="736" w:type="dxa"/>
            <w:gridSpan w:val="2"/>
            <w:tcBorders>
              <w:top w:val="single" w:sz="4" w:space="0" w:color="auto"/>
              <w:left w:val="nil"/>
              <w:bottom w:val="single" w:sz="4" w:space="0" w:color="auto"/>
              <w:right w:val="single" w:sz="4" w:space="0" w:color="auto"/>
            </w:tcBorders>
            <w:shd w:val="clear" w:color="auto" w:fill="auto"/>
          </w:tcPr>
          <w:p w14:paraId="3C158AC0" w14:textId="77777777" w:rsidR="004346F3" w:rsidRPr="00536CFD" w:rsidRDefault="004346F3" w:rsidP="00802ABC">
            <w:pPr>
              <w:spacing w:after="0"/>
              <w:jc w:val="center"/>
              <w:rPr>
                <w:lang w:val="zh-CN"/>
              </w:rPr>
            </w:pPr>
            <w:r w:rsidRPr="00536CFD">
              <w:rPr>
                <w:lang w:val="zh-CN"/>
              </w:rPr>
              <w:t>14.94</w:t>
            </w:r>
          </w:p>
        </w:tc>
        <w:tc>
          <w:tcPr>
            <w:tcW w:w="737" w:type="dxa"/>
            <w:gridSpan w:val="2"/>
            <w:tcBorders>
              <w:top w:val="single" w:sz="4" w:space="0" w:color="auto"/>
              <w:left w:val="nil"/>
              <w:bottom w:val="single" w:sz="4" w:space="0" w:color="auto"/>
              <w:right w:val="single" w:sz="4" w:space="0" w:color="auto"/>
            </w:tcBorders>
            <w:shd w:val="clear" w:color="auto" w:fill="auto"/>
          </w:tcPr>
          <w:p w14:paraId="2178BFF1" w14:textId="77777777" w:rsidR="004346F3" w:rsidRPr="00536CFD" w:rsidRDefault="004346F3" w:rsidP="00802ABC">
            <w:pPr>
              <w:spacing w:after="0"/>
              <w:jc w:val="center"/>
              <w:rPr>
                <w:lang w:val="zh-CN"/>
              </w:rPr>
            </w:pPr>
            <w:r w:rsidRPr="00536CFD">
              <w:rPr>
                <w:lang w:val="zh-CN"/>
              </w:rPr>
              <w:t>56.91</w:t>
            </w:r>
          </w:p>
        </w:tc>
        <w:tc>
          <w:tcPr>
            <w:tcW w:w="736" w:type="dxa"/>
            <w:gridSpan w:val="2"/>
            <w:tcBorders>
              <w:top w:val="single" w:sz="4" w:space="0" w:color="auto"/>
              <w:left w:val="nil"/>
              <w:bottom w:val="single" w:sz="4" w:space="0" w:color="auto"/>
              <w:right w:val="single" w:sz="4" w:space="0" w:color="auto"/>
            </w:tcBorders>
            <w:shd w:val="clear" w:color="auto" w:fill="auto"/>
          </w:tcPr>
          <w:p w14:paraId="30685260" w14:textId="77777777" w:rsidR="004346F3" w:rsidRPr="00536CFD" w:rsidRDefault="004346F3" w:rsidP="00802ABC">
            <w:pPr>
              <w:spacing w:after="0"/>
              <w:jc w:val="center"/>
              <w:rPr>
                <w:lang w:val="zh-CN"/>
              </w:rPr>
            </w:pPr>
            <w:r w:rsidRPr="00536CFD">
              <w:rPr>
                <w:lang w:val="zh-CN"/>
              </w:rPr>
              <w:t>68.59</w:t>
            </w:r>
          </w:p>
        </w:tc>
        <w:tc>
          <w:tcPr>
            <w:tcW w:w="676" w:type="dxa"/>
            <w:tcBorders>
              <w:top w:val="single" w:sz="4" w:space="0" w:color="auto"/>
              <w:left w:val="nil"/>
              <w:bottom w:val="single" w:sz="4" w:space="0" w:color="auto"/>
              <w:right w:val="single" w:sz="4" w:space="0" w:color="auto"/>
            </w:tcBorders>
            <w:shd w:val="clear" w:color="auto" w:fill="auto"/>
          </w:tcPr>
          <w:p w14:paraId="2D2CEDD7" w14:textId="77777777" w:rsidR="004346F3" w:rsidRPr="00536CFD" w:rsidRDefault="004346F3" w:rsidP="00802ABC">
            <w:pPr>
              <w:spacing w:after="0"/>
              <w:jc w:val="center"/>
              <w:rPr>
                <w:lang w:val="zh-CN"/>
              </w:rPr>
            </w:pPr>
            <w:r w:rsidRPr="00536CFD">
              <w:rPr>
                <w:lang w:val="zh-CN"/>
              </w:rPr>
              <w:t>87.97</w:t>
            </w:r>
          </w:p>
        </w:tc>
      </w:tr>
      <w:tr w:rsidR="004346F3" w:rsidRPr="00C64ECB" w14:paraId="35D62BB8"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E5B99DC"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3B2A51D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61931C9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tcPr>
          <w:p w14:paraId="63BCCB7C" w14:textId="77777777" w:rsidR="004346F3" w:rsidRPr="00536CFD" w:rsidRDefault="004346F3" w:rsidP="00802ABC">
            <w:pPr>
              <w:spacing w:after="0"/>
              <w:jc w:val="center"/>
              <w:rPr>
                <w:lang w:val="zh-CN"/>
              </w:rPr>
            </w:pPr>
            <w:r w:rsidRPr="00536CFD">
              <w:rPr>
                <w:lang w:val="zh-CN"/>
              </w:rPr>
              <w:t>0.038</w:t>
            </w:r>
          </w:p>
        </w:tc>
        <w:tc>
          <w:tcPr>
            <w:tcW w:w="643" w:type="dxa"/>
            <w:gridSpan w:val="2"/>
            <w:tcBorders>
              <w:top w:val="single" w:sz="4" w:space="0" w:color="auto"/>
              <w:left w:val="nil"/>
              <w:bottom w:val="single" w:sz="4" w:space="0" w:color="auto"/>
              <w:right w:val="single" w:sz="4" w:space="0" w:color="auto"/>
            </w:tcBorders>
            <w:shd w:val="clear" w:color="auto" w:fill="auto"/>
          </w:tcPr>
          <w:p w14:paraId="5CD72CD6" w14:textId="77777777" w:rsidR="004346F3" w:rsidRPr="00536CFD" w:rsidRDefault="004346F3" w:rsidP="00802ABC">
            <w:pPr>
              <w:spacing w:after="0"/>
              <w:jc w:val="center"/>
              <w:rPr>
                <w:lang w:val="zh-CN"/>
              </w:rPr>
            </w:pPr>
            <w:r w:rsidRPr="00536CFD">
              <w:rPr>
                <w:lang w:val="zh-CN"/>
              </w:rPr>
              <w:t>0.032</w:t>
            </w:r>
          </w:p>
        </w:tc>
        <w:tc>
          <w:tcPr>
            <w:tcW w:w="649" w:type="dxa"/>
            <w:gridSpan w:val="2"/>
            <w:tcBorders>
              <w:top w:val="single" w:sz="4" w:space="0" w:color="auto"/>
              <w:left w:val="nil"/>
              <w:bottom w:val="single" w:sz="4" w:space="0" w:color="auto"/>
              <w:right w:val="single" w:sz="4" w:space="0" w:color="auto"/>
            </w:tcBorders>
            <w:shd w:val="clear" w:color="auto" w:fill="auto"/>
          </w:tcPr>
          <w:p w14:paraId="45DFF0F2" w14:textId="77777777" w:rsidR="004346F3" w:rsidRPr="00536CFD" w:rsidRDefault="004346F3" w:rsidP="00802ABC">
            <w:pPr>
              <w:spacing w:after="0"/>
              <w:jc w:val="center"/>
              <w:rPr>
                <w:lang w:val="zh-CN"/>
              </w:rPr>
            </w:pPr>
            <w:r w:rsidRPr="00536CFD">
              <w:rPr>
                <w:lang w:val="zh-CN"/>
              </w:rPr>
              <w:t>0.028</w:t>
            </w:r>
          </w:p>
        </w:tc>
        <w:tc>
          <w:tcPr>
            <w:tcW w:w="643" w:type="dxa"/>
            <w:gridSpan w:val="2"/>
            <w:tcBorders>
              <w:top w:val="single" w:sz="4" w:space="0" w:color="auto"/>
              <w:left w:val="nil"/>
              <w:bottom w:val="single" w:sz="4" w:space="0" w:color="auto"/>
              <w:right w:val="single" w:sz="4" w:space="0" w:color="auto"/>
            </w:tcBorders>
            <w:shd w:val="clear" w:color="auto" w:fill="auto"/>
          </w:tcPr>
          <w:p w14:paraId="3B2B60A3" w14:textId="77777777" w:rsidR="004346F3" w:rsidRPr="00536CFD" w:rsidRDefault="004346F3" w:rsidP="00802ABC">
            <w:pPr>
              <w:spacing w:after="0"/>
              <w:jc w:val="center"/>
              <w:rPr>
                <w:lang w:val="zh-CN"/>
              </w:rPr>
            </w:pPr>
            <w:r w:rsidRPr="00536CFD">
              <w:rPr>
                <w:lang w:val="zh-CN"/>
              </w:rPr>
              <w:t>0.027</w:t>
            </w:r>
          </w:p>
        </w:tc>
        <w:tc>
          <w:tcPr>
            <w:tcW w:w="714" w:type="dxa"/>
            <w:gridSpan w:val="2"/>
            <w:tcBorders>
              <w:top w:val="single" w:sz="4" w:space="0" w:color="auto"/>
              <w:left w:val="nil"/>
              <w:bottom w:val="single" w:sz="4" w:space="0" w:color="auto"/>
              <w:right w:val="single" w:sz="4" w:space="0" w:color="auto"/>
            </w:tcBorders>
            <w:shd w:val="clear" w:color="auto" w:fill="auto"/>
          </w:tcPr>
          <w:p w14:paraId="0A271633" w14:textId="77777777" w:rsidR="004346F3" w:rsidRPr="00536CFD" w:rsidRDefault="004346F3" w:rsidP="00802ABC">
            <w:pPr>
              <w:spacing w:after="0"/>
              <w:jc w:val="center"/>
              <w:rPr>
                <w:lang w:val="zh-CN"/>
              </w:rPr>
            </w:pPr>
            <w:r w:rsidRPr="00536CFD">
              <w:rPr>
                <w:lang w:val="zh-CN"/>
              </w:rPr>
              <w:t>0.062</w:t>
            </w:r>
          </w:p>
        </w:tc>
        <w:tc>
          <w:tcPr>
            <w:tcW w:w="714" w:type="dxa"/>
            <w:tcBorders>
              <w:top w:val="single" w:sz="4" w:space="0" w:color="auto"/>
              <w:left w:val="nil"/>
              <w:bottom w:val="single" w:sz="4" w:space="0" w:color="auto"/>
              <w:right w:val="single" w:sz="4" w:space="0" w:color="auto"/>
            </w:tcBorders>
            <w:shd w:val="clear" w:color="auto" w:fill="auto"/>
          </w:tcPr>
          <w:p w14:paraId="188B52DC" w14:textId="77777777" w:rsidR="004346F3" w:rsidRPr="00536CFD" w:rsidRDefault="004346F3" w:rsidP="00802ABC">
            <w:pPr>
              <w:spacing w:after="0"/>
              <w:jc w:val="center"/>
              <w:rPr>
                <w:lang w:val="zh-CN"/>
              </w:rPr>
            </w:pPr>
            <w:r w:rsidRPr="00536CFD">
              <w:rPr>
                <w:lang w:val="zh-CN"/>
              </w:rPr>
              <w:t>0.034</w:t>
            </w:r>
          </w:p>
        </w:tc>
        <w:tc>
          <w:tcPr>
            <w:tcW w:w="719" w:type="dxa"/>
            <w:tcBorders>
              <w:top w:val="single" w:sz="4" w:space="0" w:color="auto"/>
              <w:left w:val="nil"/>
              <w:bottom w:val="single" w:sz="4" w:space="0" w:color="auto"/>
              <w:right w:val="single" w:sz="4" w:space="0" w:color="auto"/>
            </w:tcBorders>
            <w:shd w:val="clear" w:color="auto" w:fill="auto"/>
          </w:tcPr>
          <w:p w14:paraId="33F67B78" w14:textId="77777777" w:rsidR="004346F3" w:rsidRPr="00536CFD" w:rsidRDefault="004346F3" w:rsidP="00802ABC">
            <w:pPr>
              <w:spacing w:after="0"/>
              <w:jc w:val="center"/>
              <w:rPr>
                <w:lang w:val="zh-CN"/>
              </w:rPr>
            </w:pPr>
            <w:r w:rsidRPr="00536CFD">
              <w:rPr>
                <w:lang w:val="zh-CN"/>
              </w:rPr>
              <w:t>0.028</w:t>
            </w:r>
          </w:p>
        </w:tc>
        <w:tc>
          <w:tcPr>
            <w:tcW w:w="719" w:type="dxa"/>
            <w:tcBorders>
              <w:top w:val="single" w:sz="4" w:space="0" w:color="auto"/>
              <w:left w:val="nil"/>
              <w:bottom w:val="single" w:sz="4" w:space="0" w:color="auto"/>
              <w:right w:val="single" w:sz="4" w:space="0" w:color="auto"/>
            </w:tcBorders>
            <w:shd w:val="clear" w:color="auto" w:fill="auto"/>
          </w:tcPr>
          <w:p w14:paraId="11EB7141" w14:textId="77777777" w:rsidR="004346F3" w:rsidRPr="00536CFD" w:rsidRDefault="004346F3" w:rsidP="00802ABC">
            <w:pPr>
              <w:spacing w:after="0"/>
              <w:jc w:val="center"/>
              <w:rPr>
                <w:lang w:val="zh-CN"/>
              </w:rPr>
            </w:pPr>
            <w:r w:rsidRPr="00536CFD">
              <w:rPr>
                <w:lang w:val="zh-CN"/>
              </w:rPr>
              <w:t>0.027</w:t>
            </w:r>
          </w:p>
        </w:tc>
        <w:tc>
          <w:tcPr>
            <w:tcW w:w="736" w:type="dxa"/>
            <w:gridSpan w:val="2"/>
            <w:tcBorders>
              <w:top w:val="single" w:sz="4" w:space="0" w:color="auto"/>
              <w:left w:val="nil"/>
              <w:bottom w:val="single" w:sz="4" w:space="0" w:color="auto"/>
              <w:right w:val="single" w:sz="4" w:space="0" w:color="auto"/>
            </w:tcBorders>
            <w:shd w:val="clear" w:color="auto" w:fill="auto"/>
          </w:tcPr>
          <w:p w14:paraId="1064891B" w14:textId="77777777" w:rsidR="004346F3" w:rsidRPr="00536CFD" w:rsidRDefault="004346F3" w:rsidP="00802ABC">
            <w:pPr>
              <w:spacing w:after="0"/>
              <w:jc w:val="center"/>
              <w:rPr>
                <w:lang w:val="zh-CN"/>
              </w:rPr>
            </w:pPr>
            <w:r w:rsidRPr="00536CFD">
              <w:rPr>
                <w:lang w:val="zh-CN"/>
              </w:rPr>
              <w:t>0.087</w:t>
            </w:r>
          </w:p>
        </w:tc>
        <w:tc>
          <w:tcPr>
            <w:tcW w:w="737" w:type="dxa"/>
            <w:gridSpan w:val="2"/>
            <w:tcBorders>
              <w:top w:val="single" w:sz="4" w:space="0" w:color="auto"/>
              <w:left w:val="nil"/>
              <w:bottom w:val="single" w:sz="4" w:space="0" w:color="auto"/>
              <w:right w:val="single" w:sz="4" w:space="0" w:color="auto"/>
            </w:tcBorders>
            <w:shd w:val="clear" w:color="auto" w:fill="auto"/>
          </w:tcPr>
          <w:p w14:paraId="7BEC9703" w14:textId="77777777" w:rsidR="004346F3" w:rsidRPr="00536CFD" w:rsidRDefault="004346F3" w:rsidP="00802ABC">
            <w:pPr>
              <w:spacing w:after="0"/>
              <w:jc w:val="center"/>
              <w:rPr>
                <w:lang w:val="zh-CN"/>
              </w:rPr>
            </w:pPr>
            <w:r w:rsidRPr="00536CFD">
              <w:rPr>
                <w:lang w:val="zh-CN"/>
              </w:rPr>
              <w:t>0.037</w:t>
            </w:r>
          </w:p>
        </w:tc>
        <w:tc>
          <w:tcPr>
            <w:tcW w:w="736" w:type="dxa"/>
            <w:gridSpan w:val="2"/>
            <w:tcBorders>
              <w:top w:val="single" w:sz="4" w:space="0" w:color="auto"/>
              <w:left w:val="nil"/>
              <w:bottom w:val="single" w:sz="4" w:space="0" w:color="auto"/>
              <w:right w:val="single" w:sz="4" w:space="0" w:color="auto"/>
            </w:tcBorders>
            <w:shd w:val="clear" w:color="auto" w:fill="auto"/>
          </w:tcPr>
          <w:p w14:paraId="3E6A55DC" w14:textId="77777777" w:rsidR="004346F3" w:rsidRPr="00536CFD" w:rsidRDefault="004346F3" w:rsidP="00802ABC">
            <w:pPr>
              <w:spacing w:after="0"/>
              <w:jc w:val="center"/>
              <w:rPr>
                <w:lang w:val="zh-CN"/>
              </w:rPr>
            </w:pPr>
            <w:r w:rsidRPr="00536CFD">
              <w:rPr>
                <w:lang w:val="zh-CN"/>
              </w:rPr>
              <w:t>0.031</w:t>
            </w:r>
          </w:p>
        </w:tc>
        <w:tc>
          <w:tcPr>
            <w:tcW w:w="676" w:type="dxa"/>
            <w:tcBorders>
              <w:top w:val="single" w:sz="4" w:space="0" w:color="auto"/>
              <w:left w:val="nil"/>
              <w:bottom w:val="single" w:sz="4" w:space="0" w:color="auto"/>
              <w:right w:val="single" w:sz="4" w:space="0" w:color="auto"/>
            </w:tcBorders>
            <w:shd w:val="clear" w:color="auto" w:fill="auto"/>
          </w:tcPr>
          <w:p w14:paraId="106CB7DC" w14:textId="77777777" w:rsidR="004346F3" w:rsidRPr="00536CFD" w:rsidRDefault="004346F3" w:rsidP="00802ABC">
            <w:pPr>
              <w:spacing w:after="0"/>
              <w:jc w:val="center"/>
              <w:rPr>
                <w:lang w:val="zh-CN"/>
              </w:rPr>
            </w:pPr>
            <w:r w:rsidRPr="00536CFD">
              <w:rPr>
                <w:lang w:val="zh-CN"/>
              </w:rPr>
              <w:t>0.028</w:t>
            </w:r>
          </w:p>
        </w:tc>
      </w:tr>
      <w:tr w:rsidR="004346F3" w:rsidRPr="00C64ECB" w14:paraId="4F430D7C"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457FF8B"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EF35F32"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997E9F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tcPr>
          <w:p w14:paraId="23F86D3F" w14:textId="77777777" w:rsidR="004346F3" w:rsidRPr="00536CFD" w:rsidRDefault="004346F3" w:rsidP="00802ABC">
            <w:pPr>
              <w:spacing w:after="0"/>
              <w:jc w:val="center"/>
              <w:rPr>
                <w:lang w:val="zh-CN"/>
              </w:rPr>
            </w:pPr>
            <w:r w:rsidRPr="00536CFD">
              <w:rPr>
                <w:lang w:val="zh-CN"/>
              </w:rPr>
              <w:t>0.106</w:t>
            </w:r>
          </w:p>
        </w:tc>
        <w:tc>
          <w:tcPr>
            <w:tcW w:w="643" w:type="dxa"/>
            <w:gridSpan w:val="2"/>
            <w:tcBorders>
              <w:top w:val="single" w:sz="4" w:space="0" w:color="auto"/>
              <w:left w:val="nil"/>
              <w:bottom w:val="single" w:sz="4" w:space="0" w:color="auto"/>
              <w:right w:val="single" w:sz="4" w:space="0" w:color="auto"/>
            </w:tcBorders>
            <w:shd w:val="clear" w:color="auto" w:fill="auto"/>
          </w:tcPr>
          <w:p w14:paraId="0C83D7AA" w14:textId="77777777" w:rsidR="004346F3" w:rsidRPr="00536CFD" w:rsidRDefault="004346F3" w:rsidP="00802ABC">
            <w:pPr>
              <w:spacing w:after="0"/>
              <w:jc w:val="center"/>
              <w:rPr>
                <w:lang w:val="zh-CN"/>
              </w:rPr>
            </w:pPr>
            <w:r w:rsidRPr="00536CFD">
              <w:rPr>
                <w:lang w:val="zh-CN"/>
              </w:rPr>
              <w:t>0.050</w:t>
            </w:r>
          </w:p>
        </w:tc>
        <w:tc>
          <w:tcPr>
            <w:tcW w:w="649" w:type="dxa"/>
            <w:gridSpan w:val="2"/>
            <w:tcBorders>
              <w:top w:val="single" w:sz="4" w:space="0" w:color="auto"/>
              <w:left w:val="nil"/>
              <w:bottom w:val="single" w:sz="4" w:space="0" w:color="auto"/>
              <w:right w:val="single" w:sz="4" w:space="0" w:color="auto"/>
            </w:tcBorders>
            <w:shd w:val="clear" w:color="auto" w:fill="auto"/>
          </w:tcPr>
          <w:p w14:paraId="38F55D10" w14:textId="77777777" w:rsidR="004346F3" w:rsidRPr="00536CFD" w:rsidRDefault="004346F3" w:rsidP="00802ABC">
            <w:pPr>
              <w:spacing w:after="0"/>
              <w:jc w:val="center"/>
              <w:rPr>
                <w:lang w:val="zh-CN"/>
              </w:rPr>
            </w:pPr>
            <w:r w:rsidRPr="00536CFD">
              <w:rPr>
                <w:lang w:val="zh-CN"/>
              </w:rPr>
              <w:t>0.040</w:t>
            </w:r>
          </w:p>
        </w:tc>
        <w:tc>
          <w:tcPr>
            <w:tcW w:w="643" w:type="dxa"/>
            <w:gridSpan w:val="2"/>
            <w:tcBorders>
              <w:top w:val="single" w:sz="4" w:space="0" w:color="auto"/>
              <w:left w:val="nil"/>
              <w:bottom w:val="single" w:sz="4" w:space="0" w:color="auto"/>
              <w:right w:val="single" w:sz="4" w:space="0" w:color="auto"/>
            </w:tcBorders>
            <w:shd w:val="clear" w:color="auto" w:fill="auto"/>
          </w:tcPr>
          <w:p w14:paraId="38001384" w14:textId="77777777" w:rsidR="004346F3" w:rsidRPr="00536CFD" w:rsidRDefault="004346F3" w:rsidP="00802ABC">
            <w:pPr>
              <w:spacing w:after="0"/>
              <w:jc w:val="center"/>
              <w:rPr>
                <w:lang w:val="zh-CN"/>
              </w:rPr>
            </w:pPr>
            <w:r w:rsidRPr="00536CFD">
              <w:rPr>
                <w:lang w:val="zh-CN"/>
              </w:rPr>
              <w:t>0.035</w:t>
            </w:r>
          </w:p>
        </w:tc>
        <w:tc>
          <w:tcPr>
            <w:tcW w:w="714" w:type="dxa"/>
            <w:gridSpan w:val="2"/>
            <w:tcBorders>
              <w:top w:val="single" w:sz="4" w:space="0" w:color="auto"/>
              <w:left w:val="nil"/>
              <w:bottom w:val="single" w:sz="4" w:space="0" w:color="auto"/>
              <w:right w:val="single" w:sz="4" w:space="0" w:color="auto"/>
            </w:tcBorders>
            <w:shd w:val="clear" w:color="auto" w:fill="auto"/>
          </w:tcPr>
          <w:p w14:paraId="75F98D96" w14:textId="77777777" w:rsidR="004346F3" w:rsidRPr="00536CFD" w:rsidRDefault="004346F3" w:rsidP="00802ABC">
            <w:pPr>
              <w:spacing w:after="0"/>
              <w:jc w:val="center"/>
              <w:rPr>
                <w:lang w:val="zh-CN"/>
              </w:rPr>
            </w:pPr>
            <w:r w:rsidRPr="00536CFD">
              <w:rPr>
                <w:lang w:val="zh-CN"/>
              </w:rPr>
              <w:t>0.462</w:t>
            </w:r>
          </w:p>
        </w:tc>
        <w:tc>
          <w:tcPr>
            <w:tcW w:w="714" w:type="dxa"/>
            <w:tcBorders>
              <w:top w:val="single" w:sz="4" w:space="0" w:color="auto"/>
              <w:left w:val="nil"/>
              <w:bottom w:val="single" w:sz="4" w:space="0" w:color="auto"/>
              <w:right w:val="single" w:sz="4" w:space="0" w:color="auto"/>
            </w:tcBorders>
            <w:shd w:val="clear" w:color="auto" w:fill="auto"/>
          </w:tcPr>
          <w:p w14:paraId="01B99D25" w14:textId="77777777" w:rsidR="004346F3" w:rsidRPr="00536CFD" w:rsidRDefault="004346F3" w:rsidP="00802ABC">
            <w:pPr>
              <w:spacing w:after="0"/>
              <w:jc w:val="center"/>
              <w:rPr>
                <w:lang w:val="zh-CN"/>
              </w:rPr>
            </w:pPr>
            <w:r w:rsidRPr="00536CFD">
              <w:rPr>
                <w:lang w:val="zh-CN"/>
              </w:rPr>
              <w:t>0.060</w:t>
            </w:r>
          </w:p>
        </w:tc>
        <w:tc>
          <w:tcPr>
            <w:tcW w:w="719" w:type="dxa"/>
            <w:tcBorders>
              <w:top w:val="single" w:sz="4" w:space="0" w:color="auto"/>
              <w:left w:val="nil"/>
              <w:bottom w:val="single" w:sz="4" w:space="0" w:color="auto"/>
              <w:right w:val="single" w:sz="4" w:space="0" w:color="auto"/>
            </w:tcBorders>
            <w:shd w:val="clear" w:color="auto" w:fill="auto"/>
          </w:tcPr>
          <w:p w14:paraId="48CE4C6A" w14:textId="77777777" w:rsidR="004346F3" w:rsidRPr="00536CFD" w:rsidRDefault="004346F3" w:rsidP="00802ABC">
            <w:pPr>
              <w:spacing w:after="0"/>
              <w:jc w:val="center"/>
              <w:rPr>
                <w:lang w:val="zh-CN"/>
              </w:rPr>
            </w:pPr>
            <w:r w:rsidRPr="00536CFD">
              <w:rPr>
                <w:lang w:val="zh-CN"/>
              </w:rPr>
              <w:t>0.047</w:t>
            </w:r>
          </w:p>
        </w:tc>
        <w:tc>
          <w:tcPr>
            <w:tcW w:w="719" w:type="dxa"/>
            <w:tcBorders>
              <w:top w:val="single" w:sz="4" w:space="0" w:color="auto"/>
              <w:left w:val="nil"/>
              <w:bottom w:val="single" w:sz="4" w:space="0" w:color="auto"/>
              <w:right w:val="single" w:sz="4" w:space="0" w:color="auto"/>
            </w:tcBorders>
            <w:shd w:val="clear" w:color="auto" w:fill="auto"/>
          </w:tcPr>
          <w:p w14:paraId="2D564C4A" w14:textId="77777777" w:rsidR="004346F3" w:rsidRPr="00536CFD" w:rsidRDefault="004346F3" w:rsidP="00802ABC">
            <w:pPr>
              <w:spacing w:after="0"/>
              <w:jc w:val="center"/>
              <w:rPr>
                <w:lang w:val="zh-CN"/>
              </w:rPr>
            </w:pPr>
            <w:r w:rsidRPr="00536CFD">
              <w:rPr>
                <w:lang w:val="zh-CN"/>
              </w:rPr>
              <w:t>0.038</w:t>
            </w:r>
          </w:p>
        </w:tc>
        <w:tc>
          <w:tcPr>
            <w:tcW w:w="736" w:type="dxa"/>
            <w:gridSpan w:val="2"/>
            <w:tcBorders>
              <w:top w:val="single" w:sz="4" w:space="0" w:color="auto"/>
              <w:left w:val="nil"/>
              <w:bottom w:val="single" w:sz="4" w:space="0" w:color="auto"/>
              <w:right w:val="single" w:sz="4" w:space="0" w:color="auto"/>
            </w:tcBorders>
            <w:shd w:val="clear" w:color="auto" w:fill="auto"/>
          </w:tcPr>
          <w:p w14:paraId="62B96BD4" w14:textId="77777777" w:rsidR="004346F3" w:rsidRPr="00536CFD" w:rsidRDefault="004346F3" w:rsidP="00802ABC">
            <w:pPr>
              <w:spacing w:after="0"/>
              <w:jc w:val="center"/>
              <w:rPr>
                <w:lang w:val="zh-CN"/>
              </w:rPr>
            </w:pPr>
            <w:r w:rsidRPr="00536CFD">
              <w:rPr>
                <w:lang w:val="zh-CN"/>
              </w:rPr>
              <w:t>0.958</w:t>
            </w:r>
          </w:p>
        </w:tc>
        <w:tc>
          <w:tcPr>
            <w:tcW w:w="737" w:type="dxa"/>
            <w:gridSpan w:val="2"/>
            <w:tcBorders>
              <w:top w:val="single" w:sz="4" w:space="0" w:color="auto"/>
              <w:left w:val="nil"/>
              <w:bottom w:val="single" w:sz="4" w:space="0" w:color="auto"/>
              <w:right w:val="single" w:sz="4" w:space="0" w:color="auto"/>
            </w:tcBorders>
            <w:shd w:val="clear" w:color="auto" w:fill="auto"/>
          </w:tcPr>
          <w:p w14:paraId="7E6A7FA6" w14:textId="77777777" w:rsidR="004346F3" w:rsidRPr="00536CFD" w:rsidRDefault="004346F3" w:rsidP="00802ABC">
            <w:pPr>
              <w:spacing w:after="0"/>
              <w:jc w:val="center"/>
              <w:rPr>
                <w:lang w:val="zh-CN"/>
              </w:rPr>
            </w:pPr>
            <w:r w:rsidRPr="00536CFD">
              <w:rPr>
                <w:lang w:val="zh-CN"/>
              </w:rPr>
              <w:t>0.083</w:t>
            </w:r>
          </w:p>
        </w:tc>
        <w:tc>
          <w:tcPr>
            <w:tcW w:w="736" w:type="dxa"/>
            <w:gridSpan w:val="2"/>
            <w:tcBorders>
              <w:top w:val="single" w:sz="4" w:space="0" w:color="auto"/>
              <w:left w:val="nil"/>
              <w:bottom w:val="single" w:sz="4" w:space="0" w:color="auto"/>
              <w:right w:val="single" w:sz="4" w:space="0" w:color="auto"/>
            </w:tcBorders>
            <w:shd w:val="clear" w:color="auto" w:fill="auto"/>
          </w:tcPr>
          <w:p w14:paraId="56B00920" w14:textId="77777777" w:rsidR="004346F3" w:rsidRPr="00536CFD" w:rsidRDefault="004346F3" w:rsidP="00802ABC">
            <w:pPr>
              <w:spacing w:after="0"/>
              <w:jc w:val="center"/>
              <w:rPr>
                <w:lang w:val="zh-CN"/>
              </w:rPr>
            </w:pPr>
            <w:r w:rsidRPr="00536CFD">
              <w:rPr>
                <w:lang w:val="zh-CN"/>
              </w:rPr>
              <w:t>0.081</w:t>
            </w:r>
          </w:p>
        </w:tc>
        <w:tc>
          <w:tcPr>
            <w:tcW w:w="676" w:type="dxa"/>
            <w:tcBorders>
              <w:top w:val="single" w:sz="4" w:space="0" w:color="auto"/>
              <w:left w:val="nil"/>
              <w:bottom w:val="single" w:sz="4" w:space="0" w:color="auto"/>
              <w:right w:val="single" w:sz="4" w:space="0" w:color="auto"/>
            </w:tcBorders>
            <w:shd w:val="clear" w:color="auto" w:fill="auto"/>
          </w:tcPr>
          <w:p w14:paraId="3A5AFA59" w14:textId="77777777" w:rsidR="004346F3" w:rsidRPr="00536CFD" w:rsidRDefault="004346F3" w:rsidP="00802ABC">
            <w:pPr>
              <w:spacing w:after="0"/>
              <w:jc w:val="center"/>
              <w:rPr>
                <w:lang w:val="zh-CN"/>
              </w:rPr>
            </w:pPr>
            <w:r w:rsidRPr="00536CFD">
              <w:rPr>
                <w:lang w:val="zh-CN"/>
              </w:rPr>
              <w:t>0.041</w:t>
            </w:r>
          </w:p>
        </w:tc>
      </w:tr>
      <w:tr w:rsidR="004346F3" w:rsidRPr="00C64ECB" w14:paraId="0D3E8A2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5A693020"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06832EA"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875F51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tcPr>
          <w:p w14:paraId="3047D157" w14:textId="77777777" w:rsidR="004346F3" w:rsidRPr="00536CFD" w:rsidRDefault="004346F3" w:rsidP="00802ABC">
            <w:pPr>
              <w:spacing w:after="0"/>
              <w:jc w:val="center"/>
              <w:rPr>
                <w:lang w:val="zh-CN"/>
              </w:rPr>
            </w:pPr>
            <w:r w:rsidRPr="00536CFD">
              <w:rPr>
                <w:lang w:val="zh-CN"/>
              </w:rPr>
              <w:t>0.528</w:t>
            </w:r>
          </w:p>
        </w:tc>
        <w:tc>
          <w:tcPr>
            <w:tcW w:w="643" w:type="dxa"/>
            <w:gridSpan w:val="2"/>
            <w:tcBorders>
              <w:top w:val="single" w:sz="4" w:space="0" w:color="auto"/>
              <w:left w:val="nil"/>
              <w:bottom w:val="single" w:sz="4" w:space="0" w:color="auto"/>
              <w:right w:val="single" w:sz="4" w:space="0" w:color="auto"/>
            </w:tcBorders>
            <w:shd w:val="clear" w:color="auto" w:fill="auto"/>
          </w:tcPr>
          <w:p w14:paraId="4E36BE9C" w14:textId="77777777" w:rsidR="004346F3" w:rsidRPr="00536CFD" w:rsidRDefault="004346F3" w:rsidP="00802ABC">
            <w:pPr>
              <w:spacing w:after="0"/>
              <w:jc w:val="center"/>
              <w:rPr>
                <w:lang w:val="zh-CN"/>
              </w:rPr>
            </w:pPr>
            <w:r w:rsidRPr="00536CFD">
              <w:rPr>
                <w:lang w:val="zh-CN"/>
              </w:rPr>
              <w:t>0.122</w:t>
            </w:r>
          </w:p>
        </w:tc>
        <w:tc>
          <w:tcPr>
            <w:tcW w:w="649" w:type="dxa"/>
            <w:gridSpan w:val="2"/>
            <w:tcBorders>
              <w:top w:val="single" w:sz="4" w:space="0" w:color="auto"/>
              <w:left w:val="nil"/>
              <w:bottom w:val="single" w:sz="4" w:space="0" w:color="auto"/>
              <w:right w:val="single" w:sz="4" w:space="0" w:color="auto"/>
            </w:tcBorders>
            <w:shd w:val="clear" w:color="auto" w:fill="auto"/>
          </w:tcPr>
          <w:p w14:paraId="253B55DE" w14:textId="77777777" w:rsidR="004346F3" w:rsidRPr="00536CFD" w:rsidRDefault="004346F3" w:rsidP="00802ABC">
            <w:pPr>
              <w:spacing w:after="0"/>
              <w:jc w:val="center"/>
              <w:rPr>
                <w:lang w:val="zh-CN"/>
              </w:rPr>
            </w:pPr>
            <w:r w:rsidRPr="00536CFD">
              <w:rPr>
                <w:lang w:val="zh-CN"/>
              </w:rPr>
              <w:t>0.094</w:t>
            </w:r>
          </w:p>
        </w:tc>
        <w:tc>
          <w:tcPr>
            <w:tcW w:w="643" w:type="dxa"/>
            <w:gridSpan w:val="2"/>
            <w:tcBorders>
              <w:top w:val="single" w:sz="4" w:space="0" w:color="auto"/>
              <w:left w:val="nil"/>
              <w:bottom w:val="single" w:sz="4" w:space="0" w:color="auto"/>
              <w:right w:val="single" w:sz="4" w:space="0" w:color="auto"/>
            </w:tcBorders>
            <w:shd w:val="clear" w:color="auto" w:fill="auto"/>
          </w:tcPr>
          <w:p w14:paraId="7059EE67" w14:textId="77777777" w:rsidR="004346F3" w:rsidRPr="00536CFD" w:rsidRDefault="004346F3" w:rsidP="00802ABC">
            <w:pPr>
              <w:spacing w:after="0"/>
              <w:jc w:val="center"/>
              <w:rPr>
                <w:lang w:val="zh-CN"/>
              </w:rPr>
            </w:pPr>
            <w:r w:rsidRPr="00536CFD">
              <w:rPr>
                <w:lang w:val="zh-CN"/>
              </w:rPr>
              <w:t>0.075</w:t>
            </w:r>
          </w:p>
        </w:tc>
        <w:tc>
          <w:tcPr>
            <w:tcW w:w="714" w:type="dxa"/>
            <w:gridSpan w:val="2"/>
            <w:tcBorders>
              <w:top w:val="single" w:sz="4" w:space="0" w:color="auto"/>
              <w:left w:val="nil"/>
              <w:bottom w:val="single" w:sz="4" w:space="0" w:color="auto"/>
              <w:right w:val="single" w:sz="4" w:space="0" w:color="auto"/>
            </w:tcBorders>
            <w:shd w:val="clear" w:color="auto" w:fill="auto"/>
          </w:tcPr>
          <w:p w14:paraId="451BCD91" w14:textId="77777777" w:rsidR="004346F3" w:rsidRPr="00536CFD" w:rsidRDefault="004346F3" w:rsidP="00802ABC">
            <w:pPr>
              <w:spacing w:after="0"/>
              <w:jc w:val="center"/>
              <w:rPr>
                <w:lang w:val="zh-CN"/>
              </w:rPr>
            </w:pPr>
            <w:r w:rsidRPr="00536CFD">
              <w:rPr>
                <w:lang w:val="zh-CN"/>
              </w:rPr>
              <w:t>4.481</w:t>
            </w:r>
          </w:p>
        </w:tc>
        <w:tc>
          <w:tcPr>
            <w:tcW w:w="714" w:type="dxa"/>
            <w:tcBorders>
              <w:top w:val="single" w:sz="4" w:space="0" w:color="auto"/>
              <w:left w:val="nil"/>
              <w:bottom w:val="single" w:sz="4" w:space="0" w:color="auto"/>
              <w:right w:val="single" w:sz="4" w:space="0" w:color="auto"/>
            </w:tcBorders>
            <w:shd w:val="clear" w:color="auto" w:fill="auto"/>
          </w:tcPr>
          <w:p w14:paraId="56AA2019" w14:textId="77777777" w:rsidR="004346F3" w:rsidRPr="00536CFD" w:rsidRDefault="004346F3" w:rsidP="00802ABC">
            <w:pPr>
              <w:spacing w:after="0"/>
              <w:jc w:val="center"/>
              <w:rPr>
                <w:lang w:val="zh-CN"/>
              </w:rPr>
            </w:pPr>
            <w:r w:rsidRPr="00536CFD">
              <w:rPr>
                <w:lang w:val="zh-CN"/>
              </w:rPr>
              <w:t>0.188</w:t>
            </w:r>
          </w:p>
        </w:tc>
        <w:tc>
          <w:tcPr>
            <w:tcW w:w="719" w:type="dxa"/>
            <w:tcBorders>
              <w:top w:val="single" w:sz="4" w:space="0" w:color="auto"/>
              <w:left w:val="nil"/>
              <w:bottom w:val="single" w:sz="4" w:space="0" w:color="auto"/>
              <w:right w:val="single" w:sz="4" w:space="0" w:color="auto"/>
            </w:tcBorders>
            <w:shd w:val="clear" w:color="auto" w:fill="auto"/>
          </w:tcPr>
          <w:p w14:paraId="579E328D" w14:textId="77777777" w:rsidR="004346F3" w:rsidRPr="00536CFD" w:rsidRDefault="004346F3" w:rsidP="00802ABC">
            <w:pPr>
              <w:spacing w:after="0"/>
              <w:jc w:val="center"/>
              <w:rPr>
                <w:lang w:val="zh-CN"/>
              </w:rPr>
            </w:pPr>
            <w:r w:rsidRPr="00536CFD">
              <w:rPr>
                <w:lang w:val="zh-CN"/>
              </w:rPr>
              <w:t>0.133</w:t>
            </w:r>
          </w:p>
        </w:tc>
        <w:tc>
          <w:tcPr>
            <w:tcW w:w="719" w:type="dxa"/>
            <w:tcBorders>
              <w:top w:val="single" w:sz="4" w:space="0" w:color="auto"/>
              <w:left w:val="nil"/>
              <w:bottom w:val="single" w:sz="4" w:space="0" w:color="auto"/>
              <w:right w:val="single" w:sz="4" w:space="0" w:color="auto"/>
            </w:tcBorders>
            <w:shd w:val="clear" w:color="auto" w:fill="auto"/>
          </w:tcPr>
          <w:p w14:paraId="6B063266" w14:textId="77777777" w:rsidR="004346F3" w:rsidRPr="00536CFD" w:rsidRDefault="004346F3" w:rsidP="00802ABC">
            <w:pPr>
              <w:spacing w:after="0"/>
              <w:jc w:val="center"/>
              <w:rPr>
                <w:lang w:val="zh-CN"/>
              </w:rPr>
            </w:pPr>
            <w:r w:rsidRPr="00536CFD">
              <w:rPr>
                <w:lang w:val="zh-CN"/>
              </w:rPr>
              <w:t>0.085</w:t>
            </w:r>
          </w:p>
        </w:tc>
        <w:tc>
          <w:tcPr>
            <w:tcW w:w="736" w:type="dxa"/>
            <w:gridSpan w:val="2"/>
            <w:tcBorders>
              <w:top w:val="single" w:sz="4" w:space="0" w:color="auto"/>
              <w:left w:val="nil"/>
              <w:bottom w:val="single" w:sz="4" w:space="0" w:color="auto"/>
              <w:right w:val="single" w:sz="4" w:space="0" w:color="auto"/>
            </w:tcBorders>
            <w:shd w:val="clear" w:color="auto" w:fill="auto"/>
          </w:tcPr>
          <w:p w14:paraId="67C85176" w14:textId="77777777" w:rsidR="004346F3" w:rsidRPr="00536CFD" w:rsidRDefault="004346F3" w:rsidP="00802ABC">
            <w:pPr>
              <w:spacing w:after="0"/>
              <w:jc w:val="center"/>
              <w:rPr>
                <w:lang w:val="zh-CN"/>
              </w:rPr>
            </w:pPr>
            <w:r w:rsidRPr="00536CFD">
              <w:rPr>
                <w:lang w:val="zh-CN"/>
              </w:rPr>
              <w:t>10.790</w:t>
            </w:r>
          </w:p>
        </w:tc>
        <w:tc>
          <w:tcPr>
            <w:tcW w:w="737" w:type="dxa"/>
            <w:gridSpan w:val="2"/>
            <w:tcBorders>
              <w:top w:val="single" w:sz="4" w:space="0" w:color="auto"/>
              <w:left w:val="nil"/>
              <w:bottom w:val="single" w:sz="4" w:space="0" w:color="auto"/>
              <w:right w:val="single" w:sz="4" w:space="0" w:color="auto"/>
            </w:tcBorders>
            <w:shd w:val="clear" w:color="auto" w:fill="auto"/>
          </w:tcPr>
          <w:p w14:paraId="0AEA16FA" w14:textId="77777777" w:rsidR="004346F3" w:rsidRPr="00536CFD" w:rsidRDefault="004346F3" w:rsidP="00802ABC">
            <w:pPr>
              <w:spacing w:after="0"/>
              <w:jc w:val="center"/>
              <w:rPr>
                <w:lang w:val="zh-CN"/>
              </w:rPr>
            </w:pPr>
            <w:r w:rsidRPr="00536CFD">
              <w:rPr>
                <w:lang w:val="zh-CN"/>
              </w:rPr>
              <w:t>0.444</w:t>
            </w:r>
          </w:p>
        </w:tc>
        <w:tc>
          <w:tcPr>
            <w:tcW w:w="736" w:type="dxa"/>
            <w:gridSpan w:val="2"/>
            <w:tcBorders>
              <w:top w:val="single" w:sz="4" w:space="0" w:color="auto"/>
              <w:left w:val="nil"/>
              <w:bottom w:val="single" w:sz="4" w:space="0" w:color="auto"/>
              <w:right w:val="single" w:sz="4" w:space="0" w:color="auto"/>
            </w:tcBorders>
            <w:shd w:val="clear" w:color="auto" w:fill="auto"/>
          </w:tcPr>
          <w:p w14:paraId="51803901" w14:textId="77777777" w:rsidR="004346F3" w:rsidRPr="00536CFD" w:rsidRDefault="004346F3" w:rsidP="00802ABC">
            <w:pPr>
              <w:spacing w:after="0"/>
              <w:jc w:val="center"/>
              <w:rPr>
                <w:lang w:val="zh-CN"/>
              </w:rPr>
            </w:pPr>
            <w:r w:rsidRPr="00536CFD">
              <w:rPr>
                <w:lang w:val="zh-CN"/>
              </w:rPr>
              <w:t>0.480</w:t>
            </w:r>
          </w:p>
        </w:tc>
        <w:tc>
          <w:tcPr>
            <w:tcW w:w="676" w:type="dxa"/>
            <w:tcBorders>
              <w:top w:val="single" w:sz="4" w:space="0" w:color="auto"/>
              <w:left w:val="nil"/>
              <w:bottom w:val="single" w:sz="4" w:space="0" w:color="auto"/>
              <w:right w:val="single" w:sz="4" w:space="0" w:color="auto"/>
            </w:tcBorders>
            <w:shd w:val="clear" w:color="auto" w:fill="auto"/>
          </w:tcPr>
          <w:p w14:paraId="3F17C071" w14:textId="77777777" w:rsidR="004346F3" w:rsidRPr="00536CFD" w:rsidRDefault="004346F3" w:rsidP="00802ABC">
            <w:pPr>
              <w:spacing w:after="0"/>
              <w:jc w:val="center"/>
              <w:rPr>
                <w:lang w:val="zh-CN"/>
              </w:rPr>
            </w:pPr>
            <w:r w:rsidRPr="00536CFD">
              <w:rPr>
                <w:lang w:val="zh-CN"/>
              </w:rPr>
              <w:t>0.090</w:t>
            </w:r>
          </w:p>
        </w:tc>
      </w:tr>
      <w:tr w:rsidR="004346F3" w:rsidRPr="00C64ECB" w14:paraId="75B04542"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347424D"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FC76408"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F555B8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tcPr>
          <w:p w14:paraId="78A41A1C" w14:textId="77777777" w:rsidR="004346F3" w:rsidRPr="00536CFD" w:rsidRDefault="004346F3" w:rsidP="00802ABC">
            <w:pPr>
              <w:spacing w:after="0"/>
              <w:jc w:val="center"/>
              <w:rPr>
                <w:lang w:val="zh-CN"/>
              </w:rPr>
            </w:pPr>
            <w:r w:rsidRPr="00536CFD">
              <w:rPr>
                <w:lang w:val="zh-CN"/>
              </w:rPr>
              <w:t>0.190</w:t>
            </w:r>
          </w:p>
        </w:tc>
        <w:tc>
          <w:tcPr>
            <w:tcW w:w="643" w:type="dxa"/>
            <w:gridSpan w:val="2"/>
            <w:tcBorders>
              <w:top w:val="single" w:sz="4" w:space="0" w:color="auto"/>
              <w:left w:val="nil"/>
              <w:bottom w:val="single" w:sz="4" w:space="0" w:color="auto"/>
              <w:right w:val="single" w:sz="4" w:space="0" w:color="auto"/>
            </w:tcBorders>
            <w:shd w:val="clear" w:color="auto" w:fill="auto"/>
          </w:tcPr>
          <w:p w14:paraId="4A8A917E" w14:textId="77777777" w:rsidR="004346F3" w:rsidRPr="00536CFD" w:rsidRDefault="004346F3" w:rsidP="00802ABC">
            <w:pPr>
              <w:spacing w:after="0"/>
              <w:jc w:val="center"/>
              <w:rPr>
                <w:lang w:val="zh-CN"/>
              </w:rPr>
            </w:pPr>
            <w:r w:rsidRPr="00536CFD">
              <w:rPr>
                <w:lang w:val="zh-CN"/>
              </w:rPr>
              <w:t>0.064</w:t>
            </w:r>
          </w:p>
        </w:tc>
        <w:tc>
          <w:tcPr>
            <w:tcW w:w="649" w:type="dxa"/>
            <w:gridSpan w:val="2"/>
            <w:tcBorders>
              <w:top w:val="single" w:sz="4" w:space="0" w:color="auto"/>
              <w:left w:val="nil"/>
              <w:bottom w:val="single" w:sz="4" w:space="0" w:color="auto"/>
              <w:right w:val="single" w:sz="4" w:space="0" w:color="auto"/>
            </w:tcBorders>
            <w:shd w:val="clear" w:color="auto" w:fill="auto"/>
          </w:tcPr>
          <w:p w14:paraId="40FC6936" w14:textId="77777777" w:rsidR="004346F3" w:rsidRPr="00536CFD" w:rsidRDefault="004346F3" w:rsidP="00802ABC">
            <w:pPr>
              <w:spacing w:after="0"/>
              <w:jc w:val="center"/>
              <w:rPr>
                <w:lang w:val="zh-CN"/>
              </w:rPr>
            </w:pPr>
            <w:r w:rsidRPr="00536CFD">
              <w:rPr>
                <w:lang w:val="zh-CN"/>
              </w:rPr>
              <w:t>0.050</w:t>
            </w:r>
          </w:p>
        </w:tc>
        <w:tc>
          <w:tcPr>
            <w:tcW w:w="643" w:type="dxa"/>
            <w:gridSpan w:val="2"/>
            <w:tcBorders>
              <w:top w:val="single" w:sz="4" w:space="0" w:color="auto"/>
              <w:left w:val="nil"/>
              <w:bottom w:val="single" w:sz="4" w:space="0" w:color="auto"/>
              <w:right w:val="single" w:sz="4" w:space="0" w:color="auto"/>
            </w:tcBorders>
            <w:shd w:val="clear" w:color="auto" w:fill="auto"/>
          </w:tcPr>
          <w:p w14:paraId="2E5D1FAC" w14:textId="77777777" w:rsidR="004346F3" w:rsidRPr="00536CFD" w:rsidRDefault="004346F3" w:rsidP="00802ABC">
            <w:pPr>
              <w:spacing w:after="0"/>
              <w:jc w:val="center"/>
              <w:rPr>
                <w:lang w:val="zh-CN"/>
              </w:rPr>
            </w:pPr>
            <w:r w:rsidRPr="00536CFD">
              <w:rPr>
                <w:lang w:val="zh-CN"/>
              </w:rPr>
              <w:t>0.042</w:t>
            </w:r>
          </w:p>
        </w:tc>
        <w:tc>
          <w:tcPr>
            <w:tcW w:w="714" w:type="dxa"/>
            <w:gridSpan w:val="2"/>
            <w:tcBorders>
              <w:top w:val="single" w:sz="4" w:space="0" w:color="auto"/>
              <w:left w:val="nil"/>
              <w:bottom w:val="single" w:sz="4" w:space="0" w:color="auto"/>
              <w:right w:val="single" w:sz="4" w:space="0" w:color="auto"/>
            </w:tcBorders>
            <w:shd w:val="clear" w:color="auto" w:fill="auto"/>
          </w:tcPr>
          <w:p w14:paraId="4594E845" w14:textId="77777777" w:rsidR="004346F3" w:rsidRPr="00536CFD" w:rsidRDefault="004346F3" w:rsidP="00802ABC">
            <w:pPr>
              <w:spacing w:after="0"/>
              <w:jc w:val="center"/>
              <w:rPr>
                <w:lang w:val="zh-CN"/>
              </w:rPr>
            </w:pPr>
            <w:r w:rsidRPr="00536CFD">
              <w:rPr>
                <w:lang w:val="zh-CN"/>
              </w:rPr>
              <w:t>1.244</w:t>
            </w:r>
          </w:p>
        </w:tc>
        <w:tc>
          <w:tcPr>
            <w:tcW w:w="714" w:type="dxa"/>
            <w:tcBorders>
              <w:top w:val="single" w:sz="4" w:space="0" w:color="auto"/>
              <w:left w:val="nil"/>
              <w:bottom w:val="single" w:sz="4" w:space="0" w:color="auto"/>
              <w:right w:val="single" w:sz="4" w:space="0" w:color="auto"/>
            </w:tcBorders>
            <w:shd w:val="clear" w:color="auto" w:fill="auto"/>
          </w:tcPr>
          <w:p w14:paraId="7C9F7049" w14:textId="77777777" w:rsidR="004346F3" w:rsidRPr="00536CFD" w:rsidRDefault="004346F3" w:rsidP="00802ABC">
            <w:pPr>
              <w:spacing w:after="0"/>
              <w:jc w:val="center"/>
              <w:rPr>
                <w:lang w:val="zh-CN"/>
              </w:rPr>
            </w:pPr>
            <w:r w:rsidRPr="00536CFD">
              <w:rPr>
                <w:lang w:val="zh-CN"/>
              </w:rPr>
              <w:t>0.086</w:t>
            </w:r>
          </w:p>
        </w:tc>
        <w:tc>
          <w:tcPr>
            <w:tcW w:w="719" w:type="dxa"/>
            <w:tcBorders>
              <w:top w:val="single" w:sz="4" w:space="0" w:color="auto"/>
              <w:left w:val="nil"/>
              <w:bottom w:val="single" w:sz="4" w:space="0" w:color="auto"/>
              <w:right w:val="single" w:sz="4" w:space="0" w:color="auto"/>
            </w:tcBorders>
            <w:shd w:val="clear" w:color="auto" w:fill="auto"/>
          </w:tcPr>
          <w:p w14:paraId="0BA39CD4" w14:textId="77777777" w:rsidR="004346F3" w:rsidRPr="00536CFD" w:rsidRDefault="004346F3" w:rsidP="00802ABC">
            <w:pPr>
              <w:spacing w:after="0"/>
              <w:jc w:val="center"/>
              <w:rPr>
                <w:lang w:val="zh-CN"/>
              </w:rPr>
            </w:pPr>
            <w:r w:rsidRPr="00536CFD">
              <w:rPr>
                <w:lang w:val="zh-CN"/>
              </w:rPr>
              <w:t>0.064</w:t>
            </w:r>
          </w:p>
        </w:tc>
        <w:tc>
          <w:tcPr>
            <w:tcW w:w="719" w:type="dxa"/>
            <w:tcBorders>
              <w:top w:val="single" w:sz="4" w:space="0" w:color="auto"/>
              <w:left w:val="nil"/>
              <w:bottom w:val="single" w:sz="4" w:space="0" w:color="auto"/>
              <w:right w:val="single" w:sz="4" w:space="0" w:color="auto"/>
            </w:tcBorders>
            <w:shd w:val="clear" w:color="auto" w:fill="auto"/>
          </w:tcPr>
          <w:p w14:paraId="1EC431AE" w14:textId="77777777" w:rsidR="004346F3" w:rsidRPr="00536CFD" w:rsidRDefault="004346F3" w:rsidP="00802ABC">
            <w:pPr>
              <w:spacing w:after="0"/>
              <w:jc w:val="center"/>
              <w:rPr>
                <w:lang w:val="zh-CN"/>
              </w:rPr>
            </w:pPr>
            <w:r w:rsidRPr="00536CFD">
              <w:rPr>
                <w:lang w:val="zh-CN"/>
              </w:rPr>
              <w:t>0.046</w:t>
            </w:r>
          </w:p>
        </w:tc>
        <w:tc>
          <w:tcPr>
            <w:tcW w:w="736" w:type="dxa"/>
            <w:gridSpan w:val="2"/>
            <w:tcBorders>
              <w:top w:val="single" w:sz="4" w:space="0" w:color="auto"/>
              <w:left w:val="nil"/>
              <w:bottom w:val="single" w:sz="4" w:space="0" w:color="auto"/>
              <w:right w:val="single" w:sz="4" w:space="0" w:color="auto"/>
            </w:tcBorders>
            <w:shd w:val="clear" w:color="auto" w:fill="auto"/>
          </w:tcPr>
          <w:p w14:paraId="67B2B0AF" w14:textId="77777777" w:rsidR="004346F3" w:rsidRPr="00536CFD" w:rsidRDefault="004346F3" w:rsidP="00802ABC">
            <w:pPr>
              <w:spacing w:after="0"/>
              <w:jc w:val="center"/>
              <w:rPr>
                <w:lang w:val="zh-CN"/>
              </w:rPr>
            </w:pPr>
            <w:r w:rsidRPr="00536CFD">
              <w:rPr>
                <w:lang w:val="zh-CN"/>
              </w:rPr>
              <w:t>2.921</w:t>
            </w:r>
          </w:p>
        </w:tc>
        <w:tc>
          <w:tcPr>
            <w:tcW w:w="737" w:type="dxa"/>
            <w:gridSpan w:val="2"/>
            <w:tcBorders>
              <w:top w:val="single" w:sz="4" w:space="0" w:color="auto"/>
              <w:left w:val="nil"/>
              <w:bottom w:val="single" w:sz="4" w:space="0" w:color="auto"/>
              <w:right w:val="single" w:sz="4" w:space="0" w:color="auto"/>
            </w:tcBorders>
            <w:shd w:val="clear" w:color="auto" w:fill="auto"/>
          </w:tcPr>
          <w:p w14:paraId="4D31068F" w14:textId="77777777" w:rsidR="004346F3" w:rsidRPr="00536CFD" w:rsidRDefault="004346F3" w:rsidP="00802ABC">
            <w:pPr>
              <w:spacing w:after="0"/>
              <w:jc w:val="center"/>
              <w:rPr>
                <w:lang w:val="zh-CN"/>
              </w:rPr>
            </w:pPr>
            <w:r w:rsidRPr="00536CFD">
              <w:rPr>
                <w:lang w:val="zh-CN"/>
              </w:rPr>
              <w:t>0.176</w:t>
            </w:r>
          </w:p>
        </w:tc>
        <w:tc>
          <w:tcPr>
            <w:tcW w:w="736" w:type="dxa"/>
            <w:gridSpan w:val="2"/>
            <w:tcBorders>
              <w:top w:val="single" w:sz="4" w:space="0" w:color="auto"/>
              <w:left w:val="nil"/>
              <w:bottom w:val="single" w:sz="4" w:space="0" w:color="auto"/>
              <w:right w:val="single" w:sz="4" w:space="0" w:color="auto"/>
            </w:tcBorders>
            <w:shd w:val="clear" w:color="auto" w:fill="auto"/>
          </w:tcPr>
          <w:p w14:paraId="6CD585BF" w14:textId="77777777" w:rsidR="004346F3" w:rsidRPr="00536CFD" w:rsidRDefault="004346F3" w:rsidP="00802ABC">
            <w:pPr>
              <w:spacing w:after="0"/>
              <w:jc w:val="center"/>
              <w:rPr>
                <w:lang w:val="zh-CN"/>
              </w:rPr>
            </w:pPr>
            <w:r w:rsidRPr="00536CFD">
              <w:rPr>
                <w:lang w:val="zh-CN"/>
              </w:rPr>
              <w:t>0.159</w:t>
            </w:r>
          </w:p>
        </w:tc>
        <w:tc>
          <w:tcPr>
            <w:tcW w:w="676" w:type="dxa"/>
            <w:tcBorders>
              <w:top w:val="single" w:sz="4" w:space="0" w:color="auto"/>
              <w:left w:val="nil"/>
              <w:bottom w:val="single" w:sz="4" w:space="0" w:color="auto"/>
              <w:right w:val="single" w:sz="4" w:space="0" w:color="auto"/>
            </w:tcBorders>
            <w:shd w:val="clear" w:color="auto" w:fill="auto"/>
          </w:tcPr>
          <w:p w14:paraId="5678DC82" w14:textId="77777777" w:rsidR="004346F3" w:rsidRPr="00536CFD" w:rsidRDefault="004346F3" w:rsidP="00802ABC">
            <w:pPr>
              <w:spacing w:after="0"/>
              <w:jc w:val="center"/>
              <w:rPr>
                <w:lang w:val="zh-CN"/>
              </w:rPr>
            </w:pPr>
            <w:r w:rsidRPr="00536CFD">
              <w:rPr>
                <w:lang w:val="zh-CN"/>
              </w:rPr>
              <w:t>0.050</w:t>
            </w:r>
          </w:p>
        </w:tc>
      </w:tr>
      <w:tr w:rsidR="004346F3" w:rsidRPr="00C64ECB" w14:paraId="7AAE8E2D"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65DF39C"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5D575A3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1" w:type="dxa"/>
            <w:gridSpan w:val="2"/>
            <w:tcBorders>
              <w:top w:val="single" w:sz="4" w:space="0" w:color="auto"/>
              <w:left w:val="nil"/>
              <w:bottom w:val="single" w:sz="4" w:space="0" w:color="auto"/>
              <w:right w:val="single" w:sz="4" w:space="0" w:color="auto"/>
            </w:tcBorders>
            <w:shd w:val="clear" w:color="auto" w:fill="auto"/>
          </w:tcPr>
          <w:p w14:paraId="7B2E140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tcPr>
          <w:p w14:paraId="31C33506" w14:textId="77777777" w:rsidR="004346F3" w:rsidRPr="00536CFD" w:rsidRDefault="004346F3" w:rsidP="00802ABC">
            <w:pPr>
              <w:spacing w:after="0"/>
              <w:jc w:val="center"/>
              <w:rPr>
                <w:lang w:val="zh-CN"/>
              </w:rPr>
            </w:pPr>
            <w:r w:rsidRPr="00536CFD">
              <w:rPr>
                <w:lang w:val="zh-CN"/>
              </w:rPr>
              <w:t>18.02</w:t>
            </w:r>
          </w:p>
        </w:tc>
        <w:tc>
          <w:tcPr>
            <w:tcW w:w="643" w:type="dxa"/>
            <w:gridSpan w:val="2"/>
            <w:tcBorders>
              <w:top w:val="single" w:sz="4" w:space="0" w:color="auto"/>
              <w:left w:val="nil"/>
              <w:bottom w:val="single" w:sz="4" w:space="0" w:color="auto"/>
              <w:right w:val="single" w:sz="4" w:space="0" w:color="auto"/>
            </w:tcBorders>
            <w:shd w:val="clear" w:color="auto" w:fill="auto"/>
          </w:tcPr>
          <w:p w14:paraId="28D5F0FC" w14:textId="77777777" w:rsidR="004346F3" w:rsidRPr="00536CFD" w:rsidRDefault="004346F3" w:rsidP="00802ABC">
            <w:pPr>
              <w:spacing w:after="0"/>
              <w:jc w:val="center"/>
              <w:rPr>
                <w:lang w:val="zh-CN"/>
              </w:rPr>
            </w:pPr>
            <w:r w:rsidRPr="00536CFD">
              <w:rPr>
                <w:lang w:val="zh-CN"/>
              </w:rPr>
              <w:t>23.64</w:t>
            </w:r>
          </w:p>
        </w:tc>
        <w:tc>
          <w:tcPr>
            <w:tcW w:w="649" w:type="dxa"/>
            <w:gridSpan w:val="2"/>
            <w:tcBorders>
              <w:top w:val="single" w:sz="4" w:space="0" w:color="auto"/>
              <w:left w:val="nil"/>
              <w:bottom w:val="single" w:sz="4" w:space="0" w:color="auto"/>
              <w:right w:val="single" w:sz="4" w:space="0" w:color="auto"/>
            </w:tcBorders>
            <w:shd w:val="clear" w:color="auto" w:fill="auto"/>
          </w:tcPr>
          <w:p w14:paraId="328ACA2A" w14:textId="77777777" w:rsidR="004346F3" w:rsidRPr="00536CFD" w:rsidRDefault="004346F3" w:rsidP="00802ABC">
            <w:pPr>
              <w:spacing w:after="0"/>
              <w:jc w:val="center"/>
              <w:rPr>
                <w:lang w:val="zh-CN"/>
              </w:rPr>
            </w:pPr>
            <w:r w:rsidRPr="00536CFD">
              <w:rPr>
                <w:lang w:val="zh-CN"/>
              </w:rPr>
              <w:t>27.71</w:t>
            </w:r>
          </w:p>
        </w:tc>
        <w:tc>
          <w:tcPr>
            <w:tcW w:w="643" w:type="dxa"/>
            <w:gridSpan w:val="2"/>
            <w:tcBorders>
              <w:top w:val="single" w:sz="4" w:space="0" w:color="auto"/>
              <w:left w:val="nil"/>
              <w:bottom w:val="single" w:sz="4" w:space="0" w:color="auto"/>
              <w:right w:val="single" w:sz="4" w:space="0" w:color="auto"/>
            </w:tcBorders>
            <w:shd w:val="clear" w:color="auto" w:fill="auto"/>
          </w:tcPr>
          <w:p w14:paraId="117A8633" w14:textId="77777777" w:rsidR="004346F3" w:rsidRPr="00536CFD" w:rsidRDefault="004346F3" w:rsidP="00802ABC">
            <w:pPr>
              <w:spacing w:after="0"/>
              <w:jc w:val="center"/>
              <w:rPr>
                <w:lang w:val="zh-CN"/>
              </w:rPr>
            </w:pPr>
            <w:r w:rsidRPr="00536CFD">
              <w:rPr>
                <w:lang w:val="zh-CN"/>
              </w:rPr>
              <w:t>32.92</w:t>
            </w:r>
          </w:p>
        </w:tc>
        <w:tc>
          <w:tcPr>
            <w:tcW w:w="714" w:type="dxa"/>
            <w:gridSpan w:val="2"/>
            <w:tcBorders>
              <w:top w:val="single" w:sz="4" w:space="0" w:color="auto"/>
              <w:left w:val="nil"/>
              <w:bottom w:val="single" w:sz="4" w:space="0" w:color="auto"/>
              <w:right w:val="single" w:sz="4" w:space="0" w:color="auto"/>
            </w:tcBorders>
            <w:shd w:val="clear" w:color="auto" w:fill="auto"/>
          </w:tcPr>
          <w:p w14:paraId="247B1D4F" w14:textId="77777777" w:rsidR="004346F3" w:rsidRPr="00536CFD" w:rsidRDefault="004346F3" w:rsidP="00802ABC">
            <w:pPr>
              <w:spacing w:after="0"/>
              <w:jc w:val="center"/>
              <w:rPr>
                <w:lang w:val="zh-CN"/>
              </w:rPr>
            </w:pPr>
            <w:r w:rsidRPr="00536CFD">
              <w:rPr>
                <w:lang w:val="zh-CN"/>
              </w:rPr>
              <w:t>5.55</w:t>
            </w:r>
          </w:p>
        </w:tc>
        <w:tc>
          <w:tcPr>
            <w:tcW w:w="714" w:type="dxa"/>
            <w:tcBorders>
              <w:top w:val="single" w:sz="4" w:space="0" w:color="auto"/>
              <w:left w:val="nil"/>
              <w:bottom w:val="single" w:sz="4" w:space="0" w:color="auto"/>
              <w:right w:val="single" w:sz="4" w:space="0" w:color="auto"/>
            </w:tcBorders>
            <w:shd w:val="clear" w:color="auto" w:fill="auto"/>
          </w:tcPr>
          <w:p w14:paraId="22201DD1" w14:textId="77777777" w:rsidR="004346F3" w:rsidRPr="00536CFD" w:rsidRDefault="004346F3" w:rsidP="00802ABC">
            <w:pPr>
              <w:spacing w:after="0"/>
              <w:jc w:val="center"/>
              <w:rPr>
                <w:lang w:val="zh-CN"/>
              </w:rPr>
            </w:pPr>
            <w:r w:rsidRPr="00536CFD">
              <w:rPr>
                <w:lang w:val="zh-CN"/>
              </w:rPr>
              <w:t>18.96</w:t>
            </w:r>
          </w:p>
        </w:tc>
        <w:tc>
          <w:tcPr>
            <w:tcW w:w="719" w:type="dxa"/>
            <w:tcBorders>
              <w:top w:val="single" w:sz="4" w:space="0" w:color="auto"/>
              <w:left w:val="nil"/>
              <w:bottom w:val="single" w:sz="4" w:space="0" w:color="auto"/>
              <w:right w:val="single" w:sz="4" w:space="0" w:color="auto"/>
            </w:tcBorders>
            <w:shd w:val="clear" w:color="auto" w:fill="auto"/>
          </w:tcPr>
          <w:p w14:paraId="4524A4A8" w14:textId="77777777" w:rsidR="004346F3" w:rsidRPr="00536CFD" w:rsidRDefault="004346F3" w:rsidP="00802ABC">
            <w:pPr>
              <w:spacing w:after="0"/>
              <w:jc w:val="center"/>
              <w:rPr>
                <w:lang w:val="zh-CN"/>
              </w:rPr>
            </w:pPr>
            <w:r w:rsidRPr="00536CFD">
              <w:rPr>
                <w:lang w:val="zh-CN"/>
              </w:rPr>
              <w:t>23.64</w:t>
            </w:r>
          </w:p>
        </w:tc>
        <w:tc>
          <w:tcPr>
            <w:tcW w:w="719" w:type="dxa"/>
            <w:tcBorders>
              <w:top w:val="single" w:sz="4" w:space="0" w:color="auto"/>
              <w:left w:val="nil"/>
              <w:bottom w:val="single" w:sz="4" w:space="0" w:color="auto"/>
              <w:right w:val="single" w:sz="4" w:space="0" w:color="auto"/>
            </w:tcBorders>
            <w:shd w:val="clear" w:color="auto" w:fill="auto"/>
          </w:tcPr>
          <w:p w14:paraId="29CD90AF" w14:textId="77777777" w:rsidR="004346F3" w:rsidRPr="00536CFD" w:rsidRDefault="004346F3" w:rsidP="00802ABC">
            <w:pPr>
              <w:spacing w:after="0"/>
              <w:jc w:val="center"/>
              <w:rPr>
                <w:lang w:val="zh-CN"/>
              </w:rPr>
            </w:pPr>
            <w:r w:rsidRPr="00536CFD">
              <w:rPr>
                <w:lang w:val="zh-CN"/>
              </w:rPr>
              <w:t>27.68</w:t>
            </w:r>
          </w:p>
        </w:tc>
        <w:tc>
          <w:tcPr>
            <w:tcW w:w="736" w:type="dxa"/>
            <w:gridSpan w:val="2"/>
            <w:tcBorders>
              <w:top w:val="single" w:sz="4" w:space="0" w:color="auto"/>
              <w:left w:val="nil"/>
              <w:bottom w:val="single" w:sz="4" w:space="0" w:color="auto"/>
              <w:right w:val="single" w:sz="4" w:space="0" w:color="auto"/>
            </w:tcBorders>
            <w:shd w:val="clear" w:color="auto" w:fill="auto"/>
          </w:tcPr>
          <w:p w14:paraId="4E344045" w14:textId="77777777" w:rsidR="004346F3" w:rsidRPr="00536CFD" w:rsidRDefault="004346F3" w:rsidP="00802ABC">
            <w:pPr>
              <w:spacing w:after="0"/>
              <w:jc w:val="center"/>
              <w:rPr>
                <w:lang w:val="zh-CN"/>
              </w:rPr>
            </w:pPr>
            <w:r w:rsidRPr="00536CFD">
              <w:rPr>
                <w:lang w:val="zh-CN"/>
              </w:rPr>
              <w:t>0.80</w:t>
            </w:r>
          </w:p>
        </w:tc>
        <w:tc>
          <w:tcPr>
            <w:tcW w:w="737" w:type="dxa"/>
            <w:gridSpan w:val="2"/>
            <w:tcBorders>
              <w:top w:val="single" w:sz="4" w:space="0" w:color="auto"/>
              <w:left w:val="nil"/>
              <w:bottom w:val="single" w:sz="4" w:space="0" w:color="auto"/>
              <w:right w:val="single" w:sz="4" w:space="0" w:color="auto"/>
            </w:tcBorders>
            <w:shd w:val="clear" w:color="auto" w:fill="auto"/>
          </w:tcPr>
          <w:p w14:paraId="459287D5" w14:textId="77777777" w:rsidR="004346F3" w:rsidRPr="00536CFD" w:rsidRDefault="004346F3" w:rsidP="00802ABC">
            <w:pPr>
              <w:spacing w:after="0"/>
              <w:jc w:val="center"/>
              <w:rPr>
                <w:lang w:val="zh-CN"/>
              </w:rPr>
            </w:pPr>
            <w:r w:rsidRPr="00536CFD">
              <w:rPr>
                <w:lang w:val="zh-CN"/>
              </w:rPr>
              <w:t>13.26</w:t>
            </w:r>
          </w:p>
        </w:tc>
        <w:tc>
          <w:tcPr>
            <w:tcW w:w="736" w:type="dxa"/>
            <w:gridSpan w:val="2"/>
            <w:tcBorders>
              <w:top w:val="single" w:sz="4" w:space="0" w:color="auto"/>
              <w:left w:val="nil"/>
              <w:bottom w:val="single" w:sz="4" w:space="0" w:color="auto"/>
              <w:right w:val="single" w:sz="4" w:space="0" w:color="auto"/>
            </w:tcBorders>
            <w:shd w:val="clear" w:color="auto" w:fill="auto"/>
          </w:tcPr>
          <w:p w14:paraId="2171DE62" w14:textId="77777777" w:rsidR="004346F3" w:rsidRPr="00536CFD" w:rsidRDefault="004346F3" w:rsidP="00802ABC">
            <w:pPr>
              <w:spacing w:after="0"/>
              <w:jc w:val="center"/>
              <w:rPr>
                <w:lang w:val="zh-CN"/>
              </w:rPr>
            </w:pPr>
            <w:r w:rsidRPr="00536CFD">
              <w:rPr>
                <w:lang w:val="zh-CN"/>
              </w:rPr>
              <w:t>14.13</w:t>
            </w:r>
          </w:p>
        </w:tc>
        <w:tc>
          <w:tcPr>
            <w:tcW w:w="676" w:type="dxa"/>
            <w:tcBorders>
              <w:top w:val="single" w:sz="4" w:space="0" w:color="auto"/>
              <w:left w:val="nil"/>
              <w:bottom w:val="single" w:sz="4" w:space="0" w:color="auto"/>
              <w:right w:val="single" w:sz="4" w:space="0" w:color="auto"/>
            </w:tcBorders>
            <w:shd w:val="clear" w:color="auto" w:fill="auto"/>
          </w:tcPr>
          <w:p w14:paraId="286D0D93" w14:textId="77777777" w:rsidR="004346F3" w:rsidRPr="00536CFD" w:rsidRDefault="004346F3" w:rsidP="00802ABC">
            <w:pPr>
              <w:spacing w:after="0"/>
              <w:jc w:val="center"/>
              <w:rPr>
                <w:lang w:val="zh-CN"/>
              </w:rPr>
            </w:pPr>
            <w:r w:rsidRPr="00536CFD">
              <w:rPr>
                <w:lang w:val="zh-CN"/>
              </w:rPr>
              <w:t>24.39</w:t>
            </w:r>
          </w:p>
        </w:tc>
      </w:tr>
      <w:tr w:rsidR="004346F3" w:rsidRPr="00C64ECB" w14:paraId="35F45FAF"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5914305"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0C4D53C"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1A351E0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tcPr>
          <w:p w14:paraId="02CE24CD" w14:textId="77777777" w:rsidR="004346F3" w:rsidRPr="00536CFD" w:rsidRDefault="004346F3" w:rsidP="00802ABC">
            <w:pPr>
              <w:spacing w:after="0"/>
              <w:jc w:val="center"/>
              <w:rPr>
                <w:lang w:val="zh-CN"/>
              </w:rPr>
            </w:pPr>
            <w:r w:rsidRPr="00536CFD">
              <w:rPr>
                <w:lang w:val="zh-CN"/>
              </w:rPr>
              <w:t>54.43</w:t>
            </w:r>
          </w:p>
        </w:tc>
        <w:tc>
          <w:tcPr>
            <w:tcW w:w="643" w:type="dxa"/>
            <w:gridSpan w:val="2"/>
            <w:tcBorders>
              <w:top w:val="single" w:sz="4" w:space="0" w:color="auto"/>
              <w:left w:val="nil"/>
              <w:bottom w:val="single" w:sz="4" w:space="0" w:color="auto"/>
              <w:right w:val="single" w:sz="4" w:space="0" w:color="auto"/>
            </w:tcBorders>
            <w:shd w:val="clear" w:color="auto" w:fill="auto"/>
          </w:tcPr>
          <w:p w14:paraId="3966902C" w14:textId="77777777" w:rsidR="004346F3" w:rsidRPr="00536CFD" w:rsidRDefault="004346F3" w:rsidP="00802ABC">
            <w:pPr>
              <w:spacing w:after="0"/>
              <w:jc w:val="center"/>
              <w:rPr>
                <w:lang w:val="zh-CN"/>
              </w:rPr>
            </w:pPr>
            <w:r w:rsidRPr="00536CFD">
              <w:rPr>
                <w:lang w:val="zh-CN"/>
              </w:rPr>
              <w:t>57.44</w:t>
            </w:r>
          </w:p>
        </w:tc>
        <w:tc>
          <w:tcPr>
            <w:tcW w:w="649" w:type="dxa"/>
            <w:gridSpan w:val="2"/>
            <w:tcBorders>
              <w:top w:val="single" w:sz="4" w:space="0" w:color="auto"/>
              <w:left w:val="nil"/>
              <w:bottom w:val="single" w:sz="4" w:space="0" w:color="auto"/>
              <w:right w:val="single" w:sz="4" w:space="0" w:color="auto"/>
            </w:tcBorders>
            <w:shd w:val="clear" w:color="auto" w:fill="auto"/>
          </w:tcPr>
          <w:p w14:paraId="2EB5B2F4" w14:textId="77777777" w:rsidR="004346F3" w:rsidRPr="00536CFD" w:rsidRDefault="004346F3" w:rsidP="00802ABC">
            <w:pPr>
              <w:spacing w:after="0"/>
              <w:jc w:val="center"/>
              <w:rPr>
                <w:lang w:val="zh-CN"/>
              </w:rPr>
            </w:pPr>
            <w:r w:rsidRPr="00536CFD">
              <w:rPr>
                <w:lang w:val="zh-CN"/>
              </w:rPr>
              <w:t>65.55</w:t>
            </w:r>
          </w:p>
        </w:tc>
        <w:tc>
          <w:tcPr>
            <w:tcW w:w="643" w:type="dxa"/>
            <w:gridSpan w:val="2"/>
            <w:tcBorders>
              <w:top w:val="single" w:sz="4" w:space="0" w:color="auto"/>
              <w:left w:val="nil"/>
              <w:bottom w:val="single" w:sz="4" w:space="0" w:color="auto"/>
              <w:right w:val="single" w:sz="4" w:space="0" w:color="auto"/>
            </w:tcBorders>
            <w:shd w:val="clear" w:color="auto" w:fill="auto"/>
          </w:tcPr>
          <w:p w14:paraId="0B9F0DF7" w14:textId="77777777" w:rsidR="004346F3" w:rsidRPr="00536CFD" w:rsidRDefault="004346F3" w:rsidP="00802ABC">
            <w:pPr>
              <w:spacing w:after="0"/>
              <w:jc w:val="center"/>
              <w:rPr>
                <w:lang w:val="zh-CN"/>
              </w:rPr>
            </w:pPr>
            <w:r w:rsidRPr="00536CFD">
              <w:rPr>
                <w:lang w:val="zh-CN"/>
              </w:rPr>
              <w:t>70.51</w:t>
            </w:r>
          </w:p>
        </w:tc>
        <w:tc>
          <w:tcPr>
            <w:tcW w:w="714" w:type="dxa"/>
            <w:gridSpan w:val="2"/>
            <w:tcBorders>
              <w:top w:val="single" w:sz="4" w:space="0" w:color="auto"/>
              <w:left w:val="nil"/>
              <w:bottom w:val="single" w:sz="4" w:space="0" w:color="auto"/>
              <w:right w:val="single" w:sz="4" w:space="0" w:color="auto"/>
            </w:tcBorders>
            <w:shd w:val="clear" w:color="auto" w:fill="auto"/>
          </w:tcPr>
          <w:p w14:paraId="6FE76F9B" w14:textId="77777777" w:rsidR="004346F3" w:rsidRPr="00536CFD" w:rsidRDefault="004346F3" w:rsidP="00802ABC">
            <w:pPr>
              <w:spacing w:after="0"/>
              <w:jc w:val="center"/>
              <w:rPr>
                <w:lang w:val="zh-CN"/>
              </w:rPr>
            </w:pPr>
            <w:r w:rsidRPr="00536CFD">
              <w:rPr>
                <w:lang w:val="zh-CN"/>
              </w:rPr>
              <w:t>26.87</w:t>
            </w:r>
          </w:p>
        </w:tc>
        <w:tc>
          <w:tcPr>
            <w:tcW w:w="714" w:type="dxa"/>
            <w:tcBorders>
              <w:top w:val="single" w:sz="4" w:space="0" w:color="auto"/>
              <w:left w:val="nil"/>
              <w:bottom w:val="single" w:sz="4" w:space="0" w:color="auto"/>
              <w:right w:val="single" w:sz="4" w:space="0" w:color="auto"/>
            </w:tcBorders>
            <w:shd w:val="clear" w:color="auto" w:fill="auto"/>
          </w:tcPr>
          <w:p w14:paraId="1CB173F6" w14:textId="77777777" w:rsidR="004346F3" w:rsidRPr="00536CFD" w:rsidRDefault="004346F3" w:rsidP="00802ABC">
            <w:pPr>
              <w:spacing w:after="0"/>
              <w:jc w:val="center"/>
              <w:rPr>
                <w:lang w:val="zh-CN"/>
              </w:rPr>
            </w:pPr>
            <w:r w:rsidRPr="00536CFD">
              <w:rPr>
                <w:lang w:val="zh-CN"/>
              </w:rPr>
              <w:t>59.71</w:t>
            </w:r>
          </w:p>
        </w:tc>
        <w:tc>
          <w:tcPr>
            <w:tcW w:w="719" w:type="dxa"/>
            <w:tcBorders>
              <w:top w:val="single" w:sz="4" w:space="0" w:color="auto"/>
              <w:left w:val="nil"/>
              <w:bottom w:val="single" w:sz="4" w:space="0" w:color="auto"/>
              <w:right w:val="single" w:sz="4" w:space="0" w:color="auto"/>
            </w:tcBorders>
            <w:shd w:val="clear" w:color="auto" w:fill="auto"/>
          </w:tcPr>
          <w:p w14:paraId="5EBA7883" w14:textId="77777777" w:rsidR="004346F3" w:rsidRPr="00536CFD" w:rsidRDefault="004346F3" w:rsidP="00802ABC">
            <w:pPr>
              <w:spacing w:after="0"/>
              <w:jc w:val="center"/>
              <w:rPr>
                <w:lang w:val="zh-CN"/>
              </w:rPr>
            </w:pPr>
            <w:r w:rsidRPr="00536CFD">
              <w:rPr>
                <w:lang w:val="zh-CN"/>
              </w:rPr>
              <w:t>57.44</w:t>
            </w:r>
          </w:p>
        </w:tc>
        <w:tc>
          <w:tcPr>
            <w:tcW w:w="719" w:type="dxa"/>
            <w:tcBorders>
              <w:top w:val="single" w:sz="4" w:space="0" w:color="auto"/>
              <w:left w:val="nil"/>
              <w:bottom w:val="single" w:sz="4" w:space="0" w:color="auto"/>
              <w:right w:val="single" w:sz="4" w:space="0" w:color="auto"/>
            </w:tcBorders>
            <w:shd w:val="clear" w:color="auto" w:fill="auto"/>
          </w:tcPr>
          <w:p w14:paraId="32AE12C1" w14:textId="77777777" w:rsidR="004346F3" w:rsidRPr="00536CFD" w:rsidRDefault="004346F3" w:rsidP="00802ABC">
            <w:pPr>
              <w:spacing w:after="0"/>
              <w:jc w:val="center"/>
              <w:rPr>
                <w:lang w:val="zh-CN"/>
              </w:rPr>
            </w:pPr>
            <w:r w:rsidRPr="00536CFD">
              <w:rPr>
                <w:lang w:val="zh-CN"/>
              </w:rPr>
              <w:t>65.11</w:t>
            </w:r>
          </w:p>
        </w:tc>
        <w:tc>
          <w:tcPr>
            <w:tcW w:w="736" w:type="dxa"/>
            <w:gridSpan w:val="2"/>
            <w:tcBorders>
              <w:top w:val="single" w:sz="4" w:space="0" w:color="auto"/>
              <w:left w:val="nil"/>
              <w:bottom w:val="single" w:sz="4" w:space="0" w:color="auto"/>
              <w:right w:val="single" w:sz="4" w:space="0" w:color="auto"/>
            </w:tcBorders>
            <w:shd w:val="clear" w:color="auto" w:fill="auto"/>
          </w:tcPr>
          <w:p w14:paraId="5B1255CC" w14:textId="77777777" w:rsidR="004346F3" w:rsidRPr="00536CFD" w:rsidRDefault="004346F3" w:rsidP="00802ABC">
            <w:pPr>
              <w:spacing w:after="0"/>
              <w:jc w:val="center"/>
              <w:rPr>
                <w:lang w:val="zh-CN"/>
              </w:rPr>
            </w:pPr>
            <w:r w:rsidRPr="00536CFD">
              <w:rPr>
                <w:lang w:val="zh-CN"/>
              </w:rPr>
              <w:t>8.90</w:t>
            </w:r>
          </w:p>
        </w:tc>
        <w:tc>
          <w:tcPr>
            <w:tcW w:w="737" w:type="dxa"/>
            <w:gridSpan w:val="2"/>
            <w:tcBorders>
              <w:top w:val="single" w:sz="4" w:space="0" w:color="auto"/>
              <w:left w:val="nil"/>
              <w:bottom w:val="single" w:sz="4" w:space="0" w:color="auto"/>
              <w:right w:val="single" w:sz="4" w:space="0" w:color="auto"/>
            </w:tcBorders>
            <w:shd w:val="clear" w:color="auto" w:fill="auto"/>
          </w:tcPr>
          <w:p w14:paraId="69724B39" w14:textId="77777777" w:rsidR="004346F3" w:rsidRPr="00536CFD" w:rsidRDefault="004346F3" w:rsidP="00802ABC">
            <w:pPr>
              <w:spacing w:after="0"/>
              <w:jc w:val="center"/>
              <w:rPr>
                <w:lang w:val="zh-CN"/>
              </w:rPr>
            </w:pPr>
            <w:r w:rsidRPr="00536CFD">
              <w:rPr>
                <w:lang w:val="zh-CN"/>
              </w:rPr>
              <w:t>46.82</w:t>
            </w:r>
          </w:p>
        </w:tc>
        <w:tc>
          <w:tcPr>
            <w:tcW w:w="736" w:type="dxa"/>
            <w:gridSpan w:val="2"/>
            <w:tcBorders>
              <w:top w:val="single" w:sz="4" w:space="0" w:color="auto"/>
              <w:left w:val="nil"/>
              <w:bottom w:val="single" w:sz="4" w:space="0" w:color="auto"/>
              <w:right w:val="single" w:sz="4" w:space="0" w:color="auto"/>
            </w:tcBorders>
            <w:shd w:val="clear" w:color="auto" w:fill="auto"/>
          </w:tcPr>
          <w:p w14:paraId="60BCBAEC" w14:textId="77777777" w:rsidR="004346F3" w:rsidRPr="00536CFD" w:rsidRDefault="004346F3" w:rsidP="00802ABC">
            <w:pPr>
              <w:spacing w:after="0"/>
              <w:jc w:val="center"/>
              <w:rPr>
                <w:lang w:val="zh-CN"/>
              </w:rPr>
            </w:pPr>
            <w:r w:rsidRPr="00536CFD">
              <w:rPr>
                <w:lang w:val="zh-CN"/>
              </w:rPr>
              <w:t>43.75</w:t>
            </w:r>
          </w:p>
        </w:tc>
        <w:tc>
          <w:tcPr>
            <w:tcW w:w="676" w:type="dxa"/>
            <w:tcBorders>
              <w:top w:val="single" w:sz="4" w:space="0" w:color="auto"/>
              <w:left w:val="nil"/>
              <w:bottom w:val="single" w:sz="4" w:space="0" w:color="auto"/>
              <w:right w:val="single" w:sz="4" w:space="0" w:color="auto"/>
            </w:tcBorders>
            <w:shd w:val="clear" w:color="auto" w:fill="auto"/>
          </w:tcPr>
          <w:p w14:paraId="435BDB2F" w14:textId="77777777" w:rsidR="004346F3" w:rsidRPr="00536CFD" w:rsidRDefault="004346F3" w:rsidP="00802ABC">
            <w:pPr>
              <w:spacing w:after="0"/>
              <w:jc w:val="center"/>
              <w:rPr>
                <w:lang w:val="zh-CN"/>
              </w:rPr>
            </w:pPr>
            <w:r w:rsidRPr="00536CFD">
              <w:rPr>
                <w:lang w:val="zh-CN"/>
              </w:rPr>
              <w:t>61.63</w:t>
            </w:r>
          </w:p>
        </w:tc>
      </w:tr>
      <w:tr w:rsidR="004346F3" w:rsidRPr="00C64ECB" w14:paraId="33A15029"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B078C98"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BA9A31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65E3B87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tcPr>
          <w:p w14:paraId="6C29D10D" w14:textId="77777777" w:rsidR="004346F3" w:rsidRPr="00536CFD" w:rsidRDefault="004346F3" w:rsidP="00802ABC">
            <w:pPr>
              <w:spacing w:after="0"/>
              <w:jc w:val="center"/>
              <w:rPr>
                <w:lang w:val="zh-CN"/>
              </w:rPr>
            </w:pPr>
            <w:r w:rsidRPr="00536CFD">
              <w:rPr>
                <w:lang w:val="zh-CN"/>
              </w:rPr>
              <w:t>86.45</w:t>
            </w:r>
          </w:p>
        </w:tc>
        <w:tc>
          <w:tcPr>
            <w:tcW w:w="643" w:type="dxa"/>
            <w:gridSpan w:val="2"/>
            <w:tcBorders>
              <w:top w:val="single" w:sz="4" w:space="0" w:color="auto"/>
              <w:left w:val="nil"/>
              <w:bottom w:val="single" w:sz="4" w:space="0" w:color="auto"/>
              <w:right w:val="single" w:sz="4" w:space="0" w:color="auto"/>
            </w:tcBorders>
            <w:shd w:val="clear" w:color="auto" w:fill="auto"/>
          </w:tcPr>
          <w:p w14:paraId="1B45D5AA" w14:textId="77777777" w:rsidR="004346F3" w:rsidRPr="00536CFD" w:rsidRDefault="004346F3" w:rsidP="00802ABC">
            <w:pPr>
              <w:spacing w:after="0"/>
              <w:jc w:val="center"/>
              <w:rPr>
                <w:lang w:val="zh-CN"/>
              </w:rPr>
            </w:pPr>
            <w:r w:rsidRPr="00536CFD">
              <w:rPr>
                <w:lang w:val="zh-CN"/>
              </w:rPr>
              <w:t>86.22</w:t>
            </w:r>
          </w:p>
        </w:tc>
        <w:tc>
          <w:tcPr>
            <w:tcW w:w="649" w:type="dxa"/>
            <w:gridSpan w:val="2"/>
            <w:tcBorders>
              <w:top w:val="single" w:sz="4" w:space="0" w:color="auto"/>
              <w:left w:val="nil"/>
              <w:bottom w:val="single" w:sz="4" w:space="0" w:color="auto"/>
              <w:right w:val="single" w:sz="4" w:space="0" w:color="auto"/>
            </w:tcBorders>
            <w:shd w:val="clear" w:color="auto" w:fill="auto"/>
          </w:tcPr>
          <w:p w14:paraId="61228AA3" w14:textId="77777777" w:rsidR="004346F3" w:rsidRPr="00536CFD" w:rsidRDefault="004346F3" w:rsidP="00802ABC">
            <w:pPr>
              <w:spacing w:after="0"/>
              <w:jc w:val="center"/>
              <w:rPr>
                <w:lang w:val="zh-CN"/>
              </w:rPr>
            </w:pPr>
            <w:r w:rsidRPr="00536CFD">
              <w:rPr>
                <w:lang w:val="zh-CN"/>
              </w:rPr>
              <w:t>90.73</w:t>
            </w:r>
          </w:p>
        </w:tc>
        <w:tc>
          <w:tcPr>
            <w:tcW w:w="643" w:type="dxa"/>
            <w:gridSpan w:val="2"/>
            <w:tcBorders>
              <w:top w:val="single" w:sz="4" w:space="0" w:color="auto"/>
              <w:left w:val="nil"/>
              <w:bottom w:val="single" w:sz="4" w:space="0" w:color="auto"/>
              <w:right w:val="single" w:sz="4" w:space="0" w:color="auto"/>
            </w:tcBorders>
            <w:shd w:val="clear" w:color="auto" w:fill="auto"/>
          </w:tcPr>
          <w:p w14:paraId="052D6BAE" w14:textId="77777777" w:rsidR="004346F3" w:rsidRPr="00536CFD" w:rsidRDefault="004346F3" w:rsidP="00802ABC">
            <w:pPr>
              <w:spacing w:after="0"/>
              <w:jc w:val="center"/>
              <w:rPr>
                <w:lang w:val="zh-CN"/>
              </w:rPr>
            </w:pPr>
            <w:r w:rsidRPr="00536CFD">
              <w:rPr>
                <w:lang w:val="zh-CN"/>
              </w:rPr>
              <w:t>93.67</w:t>
            </w:r>
          </w:p>
        </w:tc>
        <w:tc>
          <w:tcPr>
            <w:tcW w:w="714" w:type="dxa"/>
            <w:gridSpan w:val="2"/>
            <w:tcBorders>
              <w:top w:val="single" w:sz="4" w:space="0" w:color="auto"/>
              <w:left w:val="nil"/>
              <w:bottom w:val="single" w:sz="4" w:space="0" w:color="auto"/>
              <w:right w:val="single" w:sz="4" w:space="0" w:color="auto"/>
            </w:tcBorders>
            <w:shd w:val="clear" w:color="auto" w:fill="auto"/>
          </w:tcPr>
          <w:p w14:paraId="3A88AB3B" w14:textId="77777777" w:rsidR="004346F3" w:rsidRPr="00536CFD" w:rsidRDefault="004346F3" w:rsidP="00802ABC">
            <w:pPr>
              <w:spacing w:after="0"/>
              <w:jc w:val="center"/>
              <w:rPr>
                <w:lang w:val="zh-CN"/>
              </w:rPr>
            </w:pPr>
            <w:r w:rsidRPr="00536CFD">
              <w:rPr>
                <w:lang w:val="zh-CN"/>
              </w:rPr>
              <w:t>56.83</w:t>
            </w:r>
          </w:p>
        </w:tc>
        <w:tc>
          <w:tcPr>
            <w:tcW w:w="714" w:type="dxa"/>
            <w:tcBorders>
              <w:top w:val="single" w:sz="4" w:space="0" w:color="auto"/>
              <w:left w:val="nil"/>
              <w:bottom w:val="single" w:sz="4" w:space="0" w:color="auto"/>
              <w:right w:val="single" w:sz="4" w:space="0" w:color="auto"/>
            </w:tcBorders>
            <w:shd w:val="clear" w:color="auto" w:fill="auto"/>
          </w:tcPr>
          <w:p w14:paraId="281DD90A" w14:textId="77777777" w:rsidR="004346F3" w:rsidRPr="00536CFD" w:rsidRDefault="004346F3" w:rsidP="00802ABC">
            <w:pPr>
              <w:spacing w:after="0"/>
              <w:jc w:val="center"/>
              <w:rPr>
                <w:lang w:val="zh-CN"/>
              </w:rPr>
            </w:pPr>
            <w:r w:rsidRPr="00536CFD">
              <w:rPr>
                <w:lang w:val="zh-CN"/>
              </w:rPr>
              <w:t>93.81</w:t>
            </w:r>
          </w:p>
        </w:tc>
        <w:tc>
          <w:tcPr>
            <w:tcW w:w="719" w:type="dxa"/>
            <w:tcBorders>
              <w:top w:val="single" w:sz="4" w:space="0" w:color="auto"/>
              <w:left w:val="nil"/>
              <w:bottom w:val="single" w:sz="4" w:space="0" w:color="auto"/>
              <w:right w:val="single" w:sz="4" w:space="0" w:color="auto"/>
            </w:tcBorders>
            <w:shd w:val="clear" w:color="auto" w:fill="auto"/>
          </w:tcPr>
          <w:p w14:paraId="1C1C2FF9" w14:textId="77777777" w:rsidR="004346F3" w:rsidRPr="00536CFD" w:rsidRDefault="004346F3" w:rsidP="00802ABC">
            <w:pPr>
              <w:spacing w:after="0"/>
              <w:jc w:val="center"/>
              <w:rPr>
                <w:lang w:val="zh-CN"/>
              </w:rPr>
            </w:pPr>
            <w:r w:rsidRPr="00536CFD">
              <w:rPr>
                <w:lang w:val="zh-CN"/>
              </w:rPr>
              <w:t>86.22</w:t>
            </w:r>
          </w:p>
        </w:tc>
        <w:tc>
          <w:tcPr>
            <w:tcW w:w="719" w:type="dxa"/>
            <w:tcBorders>
              <w:top w:val="single" w:sz="4" w:space="0" w:color="auto"/>
              <w:left w:val="nil"/>
              <w:bottom w:val="single" w:sz="4" w:space="0" w:color="auto"/>
              <w:right w:val="single" w:sz="4" w:space="0" w:color="auto"/>
            </w:tcBorders>
            <w:shd w:val="clear" w:color="auto" w:fill="auto"/>
          </w:tcPr>
          <w:p w14:paraId="0069270C" w14:textId="77777777" w:rsidR="004346F3" w:rsidRPr="00536CFD" w:rsidRDefault="004346F3" w:rsidP="00802ABC">
            <w:pPr>
              <w:spacing w:after="0"/>
              <w:jc w:val="center"/>
              <w:rPr>
                <w:lang w:val="zh-CN"/>
              </w:rPr>
            </w:pPr>
            <w:r w:rsidRPr="00536CFD">
              <w:rPr>
                <w:lang w:val="zh-CN"/>
              </w:rPr>
              <w:t>91.60</w:t>
            </w:r>
          </w:p>
        </w:tc>
        <w:tc>
          <w:tcPr>
            <w:tcW w:w="736" w:type="dxa"/>
            <w:gridSpan w:val="2"/>
            <w:tcBorders>
              <w:top w:val="single" w:sz="4" w:space="0" w:color="auto"/>
              <w:left w:val="nil"/>
              <w:bottom w:val="single" w:sz="4" w:space="0" w:color="auto"/>
              <w:right w:val="single" w:sz="4" w:space="0" w:color="auto"/>
            </w:tcBorders>
            <w:shd w:val="clear" w:color="auto" w:fill="auto"/>
          </w:tcPr>
          <w:p w14:paraId="5D0BA4B1" w14:textId="77777777" w:rsidR="004346F3" w:rsidRPr="00536CFD" w:rsidRDefault="004346F3" w:rsidP="00802ABC">
            <w:pPr>
              <w:spacing w:after="0"/>
              <w:jc w:val="center"/>
              <w:rPr>
                <w:lang w:val="zh-CN"/>
              </w:rPr>
            </w:pPr>
            <w:r w:rsidRPr="00536CFD">
              <w:rPr>
                <w:lang w:val="zh-CN"/>
              </w:rPr>
              <w:t>32.07</w:t>
            </w:r>
          </w:p>
        </w:tc>
        <w:tc>
          <w:tcPr>
            <w:tcW w:w="737" w:type="dxa"/>
            <w:gridSpan w:val="2"/>
            <w:tcBorders>
              <w:top w:val="single" w:sz="4" w:space="0" w:color="auto"/>
              <w:left w:val="nil"/>
              <w:bottom w:val="single" w:sz="4" w:space="0" w:color="auto"/>
              <w:right w:val="single" w:sz="4" w:space="0" w:color="auto"/>
            </w:tcBorders>
            <w:shd w:val="clear" w:color="auto" w:fill="auto"/>
          </w:tcPr>
          <w:p w14:paraId="22B9F006" w14:textId="77777777" w:rsidR="004346F3" w:rsidRPr="00536CFD" w:rsidRDefault="004346F3" w:rsidP="00802ABC">
            <w:pPr>
              <w:spacing w:after="0"/>
              <w:jc w:val="center"/>
              <w:rPr>
                <w:lang w:val="zh-CN"/>
              </w:rPr>
            </w:pPr>
            <w:r w:rsidRPr="00536CFD">
              <w:rPr>
                <w:lang w:val="zh-CN"/>
              </w:rPr>
              <w:t>83.91</w:t>
            </w:r>
          </w:p>
        </w:tc>
        <w:tc>
          <w:tcPr>
            <w:tcW w:w="736" w:type="dxa"/>
            <w:gridSpan w:val="2"/>
            <w:tcBorders>
              <w:top w:val="single" w:sz="4" w:space="0" w:color="auto"/>
              <w:left w:val="nil"/>
              <w:bottom w:val="single" w:sz="4" w:space="0" w:color="auto"/>
              <w:right w:val="single" w:sz="4" w:space="0" w:color="auto"/>
            </w:tcBorders>
            <w:shd w:val="clear" w:color="auto" w:fill="auto"/>
          </w:tcPr>
          <w:p w14:paraId="5239D040" w14:textId="77777777" w:rsidR="004346F3" w:rsidRPr="00536CFD" w:rsidRDefault="004346F3" w:rsidP="00802ABC">
            <w:pPr>
              <w:spacing w:after="0"/>
              <w:jc w:val="center"/>
              <w:rPr>
                <w:lang w:val="zh-CN"/>
              </w:rPr>
            </w:pPr>
            <w:r w:rsidRPr="00536CFD">
              <w:rPr>
                <w:lang w:val="zh-CN"/>
              </w:rPr>
              <w:t>75.56</w:t>
            </w:r>
          </w:p>
        </w:tc>
        <w:tc>
          <w:tcPr>
            <w:tcW w:w="676" w:type="dxa"/>
            <w:tcBorders>
              <w:top w:val="single" w:sz="4" w:space="0" w:color="auto"/>
              <w:left w:val="nil"/>
              <w:bottom w:val="single" w:sz="4" w:space="0" w:color="auto"/>
              <w:right w:val="single" w:sz="4" w:space="0" w:color="auto"/>
            </w:tcBorders>
            <w:shd w:val="clear" w:color="auto" w:fill="auto"/>
          </w:tcPr>
          <w:p w14:paraId="0EF6F853" w14:textId="77777777" w:rsidR="004346F3" w:rsidRPr="00536CFD" w:rsidRDefault="004346F3" w:rsidP="00802ABC">
            <w:pPr>
              <w:spacing w:after="0"/>
              <w:jc w:val="center"/>
              <w:rPr>
                <w:lang w:val="zh-CN"/>
              </w:rPr>
            </w:pPr>
            <w:r w:rsidRPr="00536CFD">
              <w:rPr>
                <w:lang w:val="zh-CN"/>
              </w:rPr>
              <w:t>89.08</w:t>
            </w:r>
          </w:p>
        </w:tc>
      </w:tr>
      <w:tr w:rsidR="004346F3" w:rsidRPr="00C64ECB" w14:paraId="2E5E1CB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4E8CFDB9"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11EE9154"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084A054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tcPr>
          <w:p w14:paraId="1ABA473F" w14:textId="77777777" w:rsidR="004346F3" w:rsidRPr="00536CFD" w:rsidRDefault="004346F3" w:rsidP="00802ABC">
            <w:pPr>
              <w:spacing w:after="0"/>
              <w:jc w:val="center"/>
              <w:rPr>
                <w:lang w:val="zh-CN"/>
              </w:rPr>
            </w:pPr>
            <w:r w:rsidRPr="00536CFD">
              <w:rPr>
                <w:lang w:val="zh-CN"/>
              </w:rPr>
              <w:t>54.84</w:t>
            </w:r>
          </w:p>
        </w:tc>
        <w:tc>
          <w:tcPr>
            <w:tcW w:w="643" w:type="dxa"/>
            <w:gridSpan w:val="2"/>
            <w:tcBorders>
              <w:top w:val="single" w:sz="4" w:space="0" w:color="auto"/>
              <w:left w:val="nil"/>
              <w:bottom w:val="single" w:sz="4" w:space="0" w:color="auto"/>
              <w:right w:val="single" w:sz="4" w:space="0" w:color="auto"/>
            </w:tcBorders>
            <w:shd w:val="clear" w:color="auto" w:fill="auto"/>
          </w:tcPr>
          <w:p w14:paraId="774C016B" w14:textId="77777777" w:rsidR="004346F3" w:rsidRPr="00536CFD" w:rsidRDefault="004346F3" w:rsidP="00802ABC">
            <w:pPr>
              <w:spacing w:after="0"/>
              <w:jc w:val="center"/>
              <w:rPr>
                <w:lang w:val="zh-CN"/>
              </w:rPr>
            </w:pPr>
            <w:r w:rsidRPr="00536CFD">
              <w:rPr>
                <w:lang w:val="zh-CN"/>
              </w:rPr>
              <w:t>57.55</w:t>
            </w:r>
          </w:p>
        </w:tc>
        <w:tc>
          <w:tcPr>
            <w:tcW w:w="649" w:type="dxa"/>
            <w:gridSpan w:val="2"/>
            <w:tcBorders>
              <w:top w:val="single" w:sz="4" w:space="0" w:color="auto"/>
              <w:left w:val="nil"/>
              <w:bottom w:val="single" w:sz="4" w:space="0" w:color="auto"/>
              <w:right w:val="single" w:sz="4" w:space="0" w:color="auto"/>
            </w:tcBorders>
            <w:shd w:val="clear" w:color="auto" w:fill="auto"/>
          </w:tcPr>
          <w:p w14:paraId="39DF554A" w14:textId="77777777" w:rsidR="004346F3" w:rsidRPr="00536CFD" w:rsidRDefault="004346F3" w:rsidP="00802ABC">
            <w:pPr>
              <w:spacing w:after="0"/>
              <w:jc w:val="center"/>
              <w:rPr>
                <w:lang w:val="zh-CN"/>
              </w:rPr>
            </w:pPr>
            <w:r w:rsidRPr="00536CFD">
              <w:rPr>
                <w:lang w:val="zh-CN"/>
              </w:rPr>
              <w:t>64.70</w:t>
            </w:r>
          </w:p>
        </w:tc>
        <w:tc>
          <w:tcPr>
            <w:tcW w:w="643" w:type="dxa"/>
            <w:gridSpan w:val="2"/>
            <w:tcBorders>
              <w:top w:val="single" w:sz="4" w:space="0" w:color="auto"/>
              <w:left w:val="nil"/>
              <w:bottom w:val="single" w:sz="4" w:space="0" w:color="auto"/>
              <w:right w:val="single" w:sz="4" w:space="0" w:color="auto"/>
            </w:tcBorders>
            <w:shd w:val="clear" w:color="auto" w:fill="auto"/>
          </w:tcPr>
          <w:p w14:paraId="47D7D59E" w14:textId="77777777" w:rsidR="004346F3" w:rsidRPr="00536CFD" w:rsidRDefault="004346F3" w:rsidP="00802ABC">
            <w:pPr>
              <w:spacing w:after="0"/>
              <w:jc w:val="center"/>
              <w:rPr>
                <w:lang w:val="zh-CN"/>
              </w:rPr>
            </w:pPr>
            <w:r w:rsidRPr="00536CFD">
              <w:rPr>
                <w:lang w:val="zh-CN"/>
              </w:rPr>
              <w:t>68.92</w:t>
            </w:r>
          </w:p>
        </w:tc>
        <w:tc>
          <w:tcPr>
            <w:tcW w:w="714" w:type="dxa"/>
            <w:gridSpan w:val="2"/>
            <w:tcBorders>
              <w:top w:val="single" w:sz="4" w:space="0" w:color="auto"/>
              <w:left w:val="nil"/>
              <w:bottom w:val="single" w:sz="4" w:space="0" w:color="auto"/>
              <w:right w:val="single" w:sz="4" w:space="0" w:color="auto"/>
            </w:tcBorders>
            <w:shd w:val="clear" w:color="auto" w:fill="auto"/>
          </w:tcPr>
          <w:p w14:paraId="3E2AF128" w14:textId="77777777" w:rsidR="004346F3" w:rsidRPr="00536CFD" w:rsidRDefault="004346F3" w:rsidP="00802ABC">
            <w:pPr>
              <w:spacing w:after="0"/>
              <w:jc w:val="center"/>
              <w:rPr>
                <w:lang w:val="zh-CN"/>
              </w:rPr>
            </w:pPr>
            <w:r w:rsidRPr="00536CFD">
              <w:rPr>
                <w:lang w:val="zh-CN"/>
              </w:rPr>
              <w:t>29.53</w:t>
            </w:r>
          </w:p>
        </w:tc>
        <w:tc>
          <w:tcPr>
            <w:tcW w:w="714" w:type="dxa"/>
            <w:tcBorders>
              <w:top w:val="single" w:sz="4" w:space="0" w:color="auto"/>
              <w:left w:val="nil"/>
              <w:bottom w:val="single" w:sz="4" w:space="0" w:color="auto"/>
              <w:right w:val="single" w:sz="4" w:space="0" w:color="auto"/>
            </w:tcBorders>
            <w:shd w:val="clear" w:color="auto" w:fill="auto"/>
          </w:tcPr>
          <w:p w14:paraId="10724E72" w14:textId="77777777" w:rsidR="004346F3" w:rsidRPr="00536CFD" w:rsidRDefault="004346F3" w:rsidP="00802ABC">
            <w:pPr>
              <w:spacing w:after="0"/>
              <w:jc w:val="center"/>
              <w:rPr>
                <w:lang w:val="zh-CN"/>
              </w:rPr>
            </w:pPr>
            <w:r w:rsidRPr="00536CFD">
              <w:rPr>
                <w:lang w:val="zh-CN"/>
              </w:rPr>
              <w:t>60.59</w:t>
            </w:r>
          </w:p>
        </w:tc>
        <w:tc>
          <w:tcPr>
            <w:tcW w:w="719" w:type="dxa"/>
            <w:tcBorders>
              <w:top w:val="single" w:sz="4" w:space="0" w:color="auto"/>
              <w:left w:val="nil"/>
              <w:bottom w:val="single" w:sz="4" w:space="0" w:color="auto"/>
              <w:right w:val="single" w:sz="4" w:space="0" w:color="auto"/>
            </w:tcBorders>
            <w:shd w:val="clear" w:color="auto" w:fill="auto"/>
          </w:tcPr>
          <w:p w14:paraId="0C3826C3" w14:textId="77777777" w:rsidR="004346F3" w:rsidRPr="00536CFD" w:rsidRDefault="004346F3" w:rsidP="00802ABC">
            <w:pPr>
              <w:spacing w:after="0"/>
              <w:jc w:val="center"/>
              <w:rPr>
                <w:lang w:val="zh-CN"/>
              </w:rPr>
            </w:pPr>
            <w:r w:rsidRPr="00536CFD">
              <w:rPr>
                <w:lang w:val="zh-CN"/>
              </w:rPr>
              <w:t>57.55</w:t>
            </w:r>
          </w:p>
        </w:tc>
        <w:tc>
          <w:tcPr>
            <w:tcW w:w="719" w:type="dxa"/>
            <w:tcBorders>
              <w:top w:val="single" w:sz="4" w:space="0" w:color="auto"/>
              <w:left w:val="nil"/>
              <w:bottom w:val="single" w:sz="4" w:space="0" w:color="auto"/>
              <w:right w:val="single" w:sz="4" w:space="0" w:color="auto"/>
            </w:tcBorders>
            <w:shd w:val="clear" w:color="auto" w:fill="auto"/>
          </w:tcPr>
          <w:p w14:paraId="6133B4EB" w14:textId="77777777" w:rsidR="004346F3" w:rsidRPr="00536CFD" w:rsidRDefault="004346F3" w:rsidP="00802ABC">
            <w:pPr>
              <w:spacing w:after="0"/>
              <w:jc w:val="center"/>
              <w:rPr>
                <w:lang w:val="zh-CN"/>
              </w:rPr>
            </w:pPr>
            <w:r w:rsidRPr="00536CFD">
              <w:rPr>
                <w:lang w:val="zh-CN"/>
              </w:rPr>
              <w:t>64.66</w:t>
            </w:r>
          </w:p>
        </w:tc>
        <w:tc>
          <w:tcPr>
            <w:tcW w:w="736" w:type="dxa"/>
            <w:gridSpan w:val="2"/>
            <w:tcBorders>
              <w:top w:val="single" w:sz="4" w:space="0" w:color="auto"/>
              <w:left w:val="nil"/>
              <w:bottom w:val="single" w:sz="4" w:space="0" w:color="auto"/>
              <w:right w:val="single" w:sz="4" w:space="0" w:color="auto"/>
            </w:tcBorders>
            <w:shd w:val="clear" w:color="auto" w:fill="auto"/>
          </w:tcPr>
          <w:p w14:paraId="17B09069" w14:textId="77777777" w:rsidR="004346F3" w:rsidRPr="00536CFD" w:rsidRDefault="004346F3" w:rsidP="00802ABC">
            <w:pPr>
              <w:spacing w:after="0"/>
              <w:jc w:val="center"/>
              <w:rPr>
                <w:lang w:val="zh-CN"/>
              </w:rPr>
            </w:pPr>
            <w:r w:rsidRPr="00536CFD">
              <w:rPr>
                <w:lang w:val="zh-CN"/>
              </w:rPr>
              <w:t>12.42</w:t>
            </w:r>
          </w:p>
        </w:tc>
        <w:tc>
          <w:tcPr>
            <w:tcW w:w="737" w:type="dxa"/>
            <w:gridSpan w:val="2"/>
            <w:tcBorders>
              <w:top w:val="single" w:sz="4" w:space="0" w:color="auto"/>
              <w:left w:val="nil"/>
              <w:bottom w:val="single" w:sz="4" w:space="0" w:color="auto"/>
              <w:right w:val="single" w:sz="4" w:space="0" w:color="auto"/>
            </w:tcBorders>
            <w:shd w:val="clear" w:color="auto" w:fill="auto"/>
          </w:tcPr>
          <w:p w14:paraId="6BA0DB57" w14:textId="77777777" w:rsidR="004346F3" w:rsidRPr="00536CFD" w:rsidRDefault="004346F3" w:rsidP="00802ABC">
            <w:pPr>
              <w:spacing w:after="0"/>
              <w:jc w:val="center"/>
              <w:rPr>
                <w:lang w:val="zh-CN"/>
              </w:rPr>
            </w:pPr>
            <w:r w:rsidRPr="00536CFD">
              <w:rPr>
                <w:lang w:val="zh-CN"/>
              </w:rPr>
              <w:t>49.08</w:t>
            </w:r>
          </w:p>
        </w:tc>
        <w:tc>
          <w:tcPr>
            <w:tcW w:w="736" w:type="dxa"/>
            <w:gridSpan w:val="2"/>
            <w:tcBorders>
              <w:top w:val="single" w:sz="4" w:space="0" w:color="auto"/>
              <w:left w:val="nil"/>
              <w:bottom w:val="single" w:sz="4" w:space="0" w:color="auto"/>
              <w:right w:val="single" w:sz="4" w:space="0" w:color="auto"/>
            </w:tcBorders>
            <w:shd w:val="clear" w:color="auto" w:fill="auto"/>
          </w:tcPr>
          <w:p w14:paraId="150B9896" w14:textId="77777777" w:rsidR="004346F3" w:rsidRPr="00536CFD" w:rsidRDefault="004346F3" w:rsidP="00802ABC">
            <w:pPr>
              <w:spacing w:after="0"/>
              <w:jc w:val="center"/>
              <w:rPr>
                <w:lang w:val="zh-CN"/>
              </w:rPr>
            </w:pPr>
            <w:r w:rsidRPr="00536CFD">
              <w:rPr>
                <w:lang w:val="zh-CN"/>
              </w:rPr>
              <w:t>45.34</w:t>
            </w:r>
          </w:p>
        </w:tc>
        <w:tc>
          <w:tcPr>
            <w:tcW w:w="676" w:type="dxa"/>
            <w:tcBorders>
              <w:top w:val="single" w:sz="4" w:space="0" w:color="auto"/>
              <w:left w:val="nil"/>
              <w:bottom w:val="single" w:sz="4" w:space="0" w:color="auto"/>
              <w:right w:val="single" w:sz="4" w:space="0" w:color="auto"/>
            </w:tcBorders>
            <w:shd w:val="clear" w:color="auto" w:fill="auto"/>
          </w:tcPr>
          <w:p w14:paraId="78E96F42" w14:textId="77777777" w:rsidR="004346F3" w:rsidRPr="00536CFD" w:rsidRDefault="004346F3" w:rsidP="00802ABC">
            <w:pPr>
              <w:spacing w:after="0"/>
              <w:jc w:val="center"/>
              <w:rPr>
                <w:lang w:val="zh-CN"/>
              </w:rPr>
            </w:pPr>
            <w:r w:rsidRPr="00536CFD">
              <w:rPr>
                <w:lang w:val="zh-CN"/>
              </w:rPr>
              <w:t>61.16</w:t>
            </w:r>
          </w:p>
        </w:tc>
      </w:tr>
      <w:tr w:rsidR="004346F3" w:rsidRPr="00C64ECB" w14:paraId="7625393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6B80FF2F" w14:textId="77777777" w:rsidR="004346F3" w:rsidRPr="00536CFD" w:rsidRDefault="004346F3" w:rsidP="00802ABC">
            <w:pPr>
              <w:spacing w:after="0"/>
              <w:ind w:left="113" w:right="113"/>
            </w:pPr>
          </w:p>
        </w:tc>
        <w:tc>
          <w:tcPr>
            <w:tcW w:w="541" w:type="dxa"/>
            <w:vMerge w:val="restart"/>
            <w:tcBorders>
              <w:top w:val="nil"/>
              <w:left w:val="nil"/>
              <w:bottom w:val="single" w:sz="4" w:space="0" w:color="auto"/>
              <w:right w:val="single" w:sz="4" w:space="0" w:color="auto"/>
            </w:tcBorders>
            <w:shd w:val="clear" w:color="auto" w:fill="auto"/>
          </w:tcPr>
          <w:p w14:paraId="4ECA925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1" w:type="dxa"/>
            <w:gridSpan w:val="2"/>
            <w:tcBorders>
              <w:top w:val="single" w:sz="4" w:space="0" w:color="auto"/>
              <w:left w:val="nil"/>
              <w:bottom w:val="single" w:sz="4" w:space="0" w:color="auto"/>
              <w:right w:val="single" w:sz="4" w:space="0" w:color="auto"/>
            </w:tcBorders>
            <w:shd w:val="clear" w:color="auto" w:fill="auto"/>
          </w:tcPr>
          <w:p w14:paraId="4C5C7BD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0" w:type="dxa"/>
            <w:tcBorders>
              <w:top w:val="single" w:sz="4" w:space="0" w:color="auto"/>
              <w:left w:val="nil"/>
              <w:bottom w:val="single" w:sz="4" w:space="0" w:color="auto"/>
              <w:right w:val="single" w:sz="4" w:space="0" w:color="auto"/>
            </w:tcBorders>
            <w:shd w:val="clear" w:color="auto" w:fill="auto"/>
          </w:tcPr>
          <w:p w14:paraId="13084426" w14:textId="77777777" w:rsidR="004346F3" w:rsidRPr="00536CFD" w:rsidRDefault="004346F3" w:rsidP="00802ABC">
            <w:pPr>
              <w:spacing w:after="0"/>
              <w:jc w:val="center"/>
              <w:rPr>
                <w:lang w:val="zh-CN"/>
              </w:rPr>
            </w:pPr>
            <w:r w:rsidRPr="00536CFD">
              <w:rPr>
                <w:lang w:val="zh-CN"/>
              </w:rPr>
              <w:t>0.042</w:t>
            </w:r>
          </w:p>
        </w:tc>
        <w:tc>
          <w:tcPr>
            <w:tcW w:w="643" w:type="dxa"/>
            <w:gridSpan w:val="2"/>
            <w:tcBorders>
              <w:top w:val="single" w:sz="4" w:space="0" w:color="auto"/>
              <w:left w:val="nil"/>
              <w:bottom w:val="single" w:sz="4" w:space="0" w:color="auto"/>
              <w:right w:val="single" w:sz="4" w:space="0" w:color="auto"/>
            </w:tcBorders>
            <w:shd w:val="clear" w:color="auto" w:fill="auto"/>
          </w:tcPr>
          <w:p w14:paraId="3F2B1323" w14:textId="77777777" w:rsidR="004346F3" w:rsidRPr="00536CFD" w:rsidRDefault="004346F3" w:rsidP="00802ABC">
            <w:pPr>
              <w:spacing w:after="0"/>
              <w:jc w:val="center"/>
              <w:rPr>
                <w:lang w:val="zh-CN"/>
              </w:rPr>
            </w:pPr>
            <w:r w:rsidRPr="00536CFD">
              <w:rPr>
                <w:lang w:val="zh-CN"/>
              </w:rPr>
              <w:t>0.038</w:t>
            </w:r>
          </w:p>
        </w:tc>
        <w:tc>
          <w:tcPr>
            <w:tcW w:w="649" w:type="dxa"/>
            <w:gridSpan w:val="2"/>
            <w:tcBorders>
              <w:top w:val="single" w:sz="4" w:space="0" w:color="auto"/>
              <w:left w:val="nil"/>
              <w:bottom w:val="single" w:sz="4" w:space="0" w:color="auto"/>
              <w:right w:val="single" w:sz="4" w:space="0" w:color="auto"/>
            </w:tcBorders>
            <w:shd w:val="clear" w:color="auto" w:fill="auto"/>
          </w:tcPr>
          <w:p w14:paraId="7289FB6E" w14:textId="77777777" w:rsidR="004346F3" w:rsidRPr="00536CFD" w:rsidRDefault="004346F3" w:rsidP="00802ABC">
            <w:pPr>
              <w:spacing w:after="0"/>
              <w:jc w:val="center"/>
              <w:rPr>
                <w:lang w:val="zh-CN"/>
              </w:rPr>
            </w:pPr>
            <w:r w:rsidRPr="00536CFD">
              <w:rPr>
                <w:lang w:val="zh-CN"/>
              </w:rPr>
              <w:t>0.037</w:t>
            </w:r>
          </w:p>
        </w:tc>
        <w:tc>
          <w:tcPr>
            <w:tcW w:w="643" w:type="dxa"/>
            <w:gridSpan w:val="2"/>
            <w:tcBorders>
              <w:top w:val="single" w:sz="4" w:space="0" w:color="auto"/>
              <w:left w:val="nil"/>
              <w:bottom w:val="single" w:sz="4" w:space="0" w:color="auto"/>
              <w:right w:val="single" w:sz="4" w:space="0" w:color="auto"/>
            </w:tcBorders>
            <w:shd w:val="clear" w:color="auto" w:fill="auto"/>
          </w:tcPr>
          <w:p w14:paraId="327FA35F" w14:textId="77777777" w:rsidR="004346F3" w:rsidRPr="00536CFD" w:rsidRDefault="004346F3" w:rsidP="00802ABC">
            <w:pPr>
              <w:spacing w:after="0"/>
              <w:jc w:val="center"/>
              <w:rPr>
                <w:lang w:val="zh-CN"/>
              </w:rPr>
            </w:pPr>
            <w:r w:rsidRPr="00536CFD">
              <w:rPr>
                <w:lang w:val="zh-CN"/>
              </w:rPr>
              <w:t>0.037</w:t>
            </w:r>
          </w:p>
        </w:tc>
        <w:tc>
          <w:tcPr>
            <w:tcW w:w="714" w:type="dxa"/>
            <w:gridSpan w:val="2"/>
            <w:tcBorders>
              <w:top w:val="single" w:sz="4" w:space="0" w:color="auto"/>
              <w:left w:val="nil"/>
              <w:bottom w:val="single" w:sz="4" w:space="0" w:color="auto"/>
              <w:right w:val="single" w:sz="4" w:space="0" w:color="auto"/>
            </w:tcBorders>
            <w:shd w:val="clear" w:color="auto" w:fill="auto"/>
          </w:tcPr>
          <w:p w14:paraId="65AB4974" w14:textId="77777777" w:rsidR="004346F3" w:rsidRPr="00536CFD" w:rsidRDefault="004346F3" w:rsidP="00802ABC">
            <w:pPr>
              <w:spacing w:after="0"/>
              <w:jc w:val="center"/>
              <w:rPr>
                <w:lang w:val="zh-CN"/>
              </w:rPr>
            </w:pPr>
            <w:r w:rsidRPr="00536CFD">
              <w:rPr>
                <w:lang w:val="zh-CN"/>
              </w:rPr>
              <w:t>0.079</w:t>
            </w:r>
          </w:p>
        </w:tc>
        <w:tc>
          <w:tcPr>
            <w:tcW w:w="714" w:type="dxa"/>
            <w:tcBorders>
              <w:top w:val="single" w:sz="4" w:space="0" w:color="auto"/>
              <w:left w:val="nil"/>
              <w:bottom w:val="single" w:sz="4" w:space="0" w:color="auto"/>
              <w:right w:val="single" w:sz="4" w:space="0" w:color="auto"/>
            </w:tcBorders>
            <w:shd w:val="clear" w:color="auto" w:fill="auto"/>
          </w:tcPr>
          <w:p w14:paraId="772DCE17" w14:textId="77777777" w:rsidR="004346F3" w:rsidRPr="00536CFD" w:rsidRDefault="004346F3" w:rsidP="00802ABC">
            <w:pPr>
              <w:spacing w:after="0"/>
              <w:jc w:val="center"/>
              <w:rPr>
                <w:lang w:val="zh-CN"/>
              </w:rPr>
            </w:pPr>
            <w:r w:rsidRPr="00536CFD">
              <w:rPr>
                <w:lang w:val="zh-CN"/>
              </w:rPr>
              <w:t>0.035</w:t>
            </w:r>
          </w:p>
        </w:tc>
        <w:tc>
          <w:tcPr>
            <w:tcW w:w="719" w:type="dxa"/>
            <w:tcBorders>
              <w:top w:val="single" w:sz="4" w:space="0" w:color="auto"/>
              <w:left w:val="nil"/>
              <w:bottom w:val="single" w:sz="4" w:space="0" w:color="auto"/>
              <w:right w:val="single" w:sz="4" w:space="0" w:color="auto"/>
            </w:tcBorders>
            <w:shd w:val="clear" w:color="auto" w:fill="auto"/>
          </w:tcPr>
          <w:p w14:paraId="33483839" w14:textId="77777777" w:rsidR="004346F3" w:rsidRPr="00536CFD" w:rsidRDefault="004346F3" w:rsidP="00802ABC">
            <w:pPr>
              <w:spacing w:after="0"/>
              <w:jc w:val="center"/>
              <w:rPr>
                <w:lang w:val="zh-CN"/>
              </w:rPr>
            </w:pPr>
            <w:r w:rsidRPr="00536CFD">
              <w:rPr>
                <w:lang w:val="zh-CN"/>
              </w:rPr>
              <w:t>0.038</w:t>
            </w:r>
          </w:p>
        </w:tc>
        <w:tc>
          <w:tcPr>
            <w:tcW w:w="719" w:type="dxa"/>
            <w:tcBorders>
              <w:top w:val="single" w:sz="4" w:space="0" w:color="auto"/>
              <w:left w:val="nil"/>
              <w:bottom w:val="single" w:sz="4" w:space="0" w:color="auto"/>
              <w:right w:val="single" w:sz="4" w:space="0" w:color="auto"/>
            </w:tcBorders>
            <w:shd w:val="clear" w:color="auto" w:fill="auto"/>
          </w:tcPr>
          <w:p w14:paraId="74A1C3E3" w14:textId="77777777" w:rsidR="004346F3" w:rsidRPr="00536CFD" w:rsidRDefault="004346F3" w:rsidP="00802ABC">
            <w:pPr>
              <w:spacing w:after="0"/>
              <w:jc w:val="center"/>
              <w:rPr>
                <w:lang w:val="zh-CN"/>
              </w:rPr>
            </w:pPr>
            <w:r w:rsidRPr="00536CFD">
              <w:rPr>
                <w:lang w:val="zh-CN"/>
              </w:rPr>
              <w:t>0.037</w:t>
            </w:r>
          </w:p>
        </w:tc>
        <w:tc>
          <w:tcPr>
            <w:tcW w:w="736" w:type="dxa"/>
            <w:gridSpan w:val="2"/>
            <w:tcBorders>
              <w:top w:val="single" w:sz="4" w:space="0" w:color="auto"/>
              <w:left w:val="nil"/>
              <w:bottom w:val="single" w:sz="4" w:space="0" w:color="auto"/>
              <w:right w:val="single" w:sz="4" w:space="0" w:color="auto"/>
            </w:tcBorders>
            <w:shd w:val="clear" w:color="auto" w:fill="auto"/>
          </w:tcPr>
          <w:p w14:paraId="7CE4CBDB" w14:textId="77777777" w:rsidR="004346F3" w:rsidRPr="00536CFD" w:rsidRDefault="004346F3" w:rsidP="00802ABC">
            <w:pPr>
              <w:spacing w:after="0"/>
              <w:jc w:val="center"/>
              <w:rPr>
                <w:lang w:val="zh-CN"/>
              </w:rPr>
            </w:pPr>
            <w:r w:rsidRPr="00536CFD">
              <w:rPr>
                <w:lang w:val="zh-CN"/>
              </w:rPr>
              <w:t>0.135</w:t>
            </w:r>
          </w:p>
        </w:tc>
        <w:tc>
          <w:tcPr>
            <w:tcW w:w="737" w:type="dxa"/>
            <w:gridSpan w:val="2"/>
            <w:tcBorders>
              <w:top w:val="single" w:sz="4" w:space="0" w:color="auto"/>
              <w:left w:val="nil"/>
              <w:bottom w:val="single" w:sz="4" w:space="0" w:color="auto"/>
              <w:right w:val="single" w:sz="4" w:space="0" w:color="auto"/>
            </w:tcBorders>
            <w:shd w:val="clear" w:color="auto" w:fill="auto"/>
          </w:tcPr>
          <w:p w14:paraId="706D7C14" w14:textId="77777777" w:rsidR="004346F3" w:rsidRPr="00536CFD" w:rsidRDefault="004346F3" w:rsidP="00802ABC">
            <w:pPr>
              <w:spacing w:after="0"/>
              <w:jc w:val="center"/>
              <w:rPr>
                <w:lang w:val="zh-CN"/>
              </w:rPr>
            </w:pPr>
            <w:r w:rsidRPr="00536CFD">
              <w:rPr>
                <w:lang w:val="zh-CN"/>
              </w:rPr>
              <w:t>0.041</w:t>
            </w:r>
          </w:p>
        </w:tc>
        <w:tc>
          <w:tcPr>
            <w:tcW w:w="736" w:type="dxa"/>
            <w:gridSpan w:val="2"/>
            <w:tcBorders>
              <w:top w:val="single" w:sz="4" w:space="0" w:color="auto"/>
              <w:left w:val="nil"/>
              <w:bottom w:val="single" w:sz="4" w:space="0" w:color="auto"/>
              <w:right w:val="single" w:sz="4" w:space="0" w:color="auto"/>
            </w:tcBorders>
            <w:shd w:val="clear" w:color="auto" w:fill="auto"/>
          </w:tcPr>
          <w:p w14:paraId="333DFE48" w14:textId="77777777" w:rsidR="004346F3" w:rsidRPr="00536CFD" w:rsidRDefault="004346F3" w:rsidP="00802ABC">
            <w:pPr>
              <w:spacing w:after="0"/>
              <w:jc w:val="center"/>
              <w:rPr>
                <w:lang w:val="zh-CN"/>
              </w:rPr>
            </w:pPr>
            <w:r w:rsidRPr="00536CFD">
              <w:rPr>
                <w:lang w:val="zh-CN"/>
              </w:rPr>
              <w:t>0.046</w:t>
            </w:r>
          </w:p>
        </w:tc>
        <w:tc>
          <w:tcPr>
            <w:tcW w:w="676" w:type="dxa"/>
            <w:tcBorders>
              <w:top w:val="single" w:sz="4" w:space="0" w:color="auto"/>
              <w:left w:val="nil"/>
              <w:bottom w:val="single" w:sz="4" w:space="0" w:color="auto"/>
              <w:right w:val="single" w:sz="4" w:space="0" w:color="auto"/>
            </w:tcBorders>
            <w:shd w:val="clear" w:color="auto" w:fill="auto"/>
          </w:tcPr>
          <w:p w14:paraId="6C50E319" w14:textId="77777777" w:rsidR="004346F3" w:rsidRPr="00536CFD" w:rsidRDefault="004346F3" w:rsidP="00802ABC">
            <w:pPr>
              <w:spacing w:after="0"/>
              <w:jc w:val="center"/>
              <w:rPr>
                <w:lang w:val="zh-CN"/>
              </w:rPr>
            </w:pPr>
            <w:r w:rsidRPr="00536CFD">
              <w:rPr>
                <w:lang w:val="zh-CN"/>
              </w:rPr>
              <w:t>0.038</w:t>
            </w:r>
          </w:p>
        </w:tc>
      </w:tr>
      <w:tr w:rsidR="004346F3" w:rsidRPr="00C64ECB" w14:paraId="08DA2E80"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D107B4D"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4C56F2BE"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EAB3E9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0" w:type="dxa"/>
            <w:tcBorders>
              <w:top w:val="single" w:sz="4" w:space="0" w:color="auto"/>
              <w:left w:val="nil"/>
              <w:bottom w:val="single" w:sz="4" w:space="0" w:color="auto"/>
              <w:right w:val="single" w:sz="4" w:space="0" w:color="auto"/>
            </w:tcBorders>
            <w:shd w:val="clear" w:color="auto" w:fill="auto"/>
          </w:tcPr>
          <w:p w14:paraId="4A8CD8FB" w14:textId="77777777" w:rsidR="004346F3" w:rsidRPr="00536CFD" w:rsidRDefault="004346F3" w:rsidP="00802ABC">
            <w:pPr>
              <w:spacing w:after="0"/>
              <w:jc w:val="center"/>
              <w:rPr>
                <w:lang w:val="zh-CN"/>
              </w:rPr>
            </w:pPr>
            <w:r w:rsidRPr="00536CFD">
              <w:rPr>
                <w:lang w:val="zh-CN"/>
              </w:rPr>
              <w:t>0.120</w:t>
            </w:r>
          </w:p>
        </w:tc>
        <w:tc>
          <w:tcPr>
            <w:tcW w:w="643" w:type="dxa"/>
            <w:gridSpan w:val="2"/>
            <w:tcBorders>
              <w:top w:val="single" w:sz="4" w:space="0" w:color="auto"/>
              <w:left w:val="nil"/>
              <w:bottom w:val="single" w:sz="4" w:space="0" w:color="auto"/>
              <w:right w:val="single" w:sz="4" w:space="0" w:color="auto"/>
            </w:tcBorders>
            <w:shd w:val="clear" w:color="auto" w:fill="auto"/>
          </w:tcPr>
          <w:p w14:paraId="186D02E2" w14:textId="77777777" w:rsidR="004346F3" w:rsidRPr="00536CFD" w:rsidRDefault="004346F3" w:rsidP="00802ABC">
            <w:pPr>
              <w:spacing w:after="0"/>
              <w:jc w:val="center"/>
              <w:rPr>
                <w:lang w:val="zh-CN"/>
              </w:rPr>
            </w:pPr>
            <w:r w:rsidRPr="00536CFD">
              <w:rPr>
                <w:lang w:val="zh-CN"/>
              </w:rPr>
              <w:t>0.080</w:t>
            </w:r>
          </w:p>
        </w:tc>
        <w:tc>
          <w:tcPr>
            <w:tcW w:w="649" w:type="dxa"/>
            <w:gridSpan w:val="2"/>
            <w:tcBorders>
              <w:top w:val="single" w:sz="4" w:space="0" w:color="auto"/>
              <w:left w:val="nil"/>
              <w:bottom w:val="single" w:sz="4" w:space="0" w:color="auto"/>
              <w:right w:val="single" w:sz="4" w:space="0" w:color="auto"/>
            </w:tcBorders>
            <w:shd w:val="clear" w:color="auto" w:fill="auto"/>
          </w:tcPr>
          <w:p w14:paraId="29144895" w14:textId="77777777" w:rsidR="004346F3" w:rsidRPr="00536CFD" w:rsidRDefault="004346F3" w:rsidP="00802ABC">
            <w:pPr>
              <w:spacing w:after="0"/>
              <w:jc w:val="center"/>
              <w:rPr>
                <w:lang w:val="zh-CN"/>
              </w:rPr>
            </w:pPr>
            <w:r w:rsidRPr="00536CFD">
              <w:rPr>
                <w:lang w:val="zh-CN"/>
              </w:rPr>
              <w:t>0.061</w:t>
            </w:r>
          </w:p>
        </w:tc>
        <w:tc>
          <w:tcPr>
            <w:tcW w:w="643" w:type="dxa"/>
            <w:gridSpan w:val="2"/>
            <w:tcBorders>
              <w:top w:val="single" w:sz="4" w:space="0" w:color="auto"/>
              <w:left w:val="nil"/>
              <w:bottom w:val="single" w:sz="4" w:space="0" w:color="auto"/>
              <w:right w:val="single" w:sz="4" w:space="0" w:color="auto"/>
            </w:tcBorders>
            <w:shd w:val="clear" w:color="auto" w:fill="auto"/>
          </w:tcPr>
          <w:p w14:paraId="0A31439D" w14:textId="77777777" w:rsidR="004346F3" w:rsidRPr="00536CFD" w:rsidRDefault="004346F3" w:rsidP="00802ABC">
            <w:pPr>
              <w:spacing w:after="0"/>
              <w:jc w:val="center"/>
              <w:rPr>
                <w:lang w:val="zh-CN"/>
              </w:rPr>
            </w:pPr>
            <w:r w:rsidRPr="00536CFD">
              <w:rPr>
                <w:lang w:val="zh-CN"/>
              </w:rPr>
              <w:t>0.053</w:t>
            </w:r>
          </w:p>
        </w:tc>
        <w:tc>
          <w:tcPr>
            <w:tcW w:w="714" w:type="dxa"/>
            <w:gridSpan w:val="2"/>
            <w:tcBorders>
              <w:top w:val="single" w:sz="4" w:space="0" w:color="auto"/>
              <w:left w:val="nil"/>
              <w:bottom w:val="single" w:sz="4" w:space="0" w:color="auto"/>
              <w:right w:val="single" w:sz="4" w:space="0" w:color="auto"/>
            </w:tcBorders>
            <w:shd w:val="clear" w:color="auto" w:fill="auto"/>
          </w:tcPr>
          <w:p w14:paraId="1EFB9C74" w14:textId="77777777" w:rsidR="004346F3" w:rsidRPr="00536CFD" w:rsidRDefault="004346F3" w:rsidP="00802ABC">
            <w:pPr>
              <w:spacing w:after="0"/>
              <w:jc w:val="center"/>
              <w:rPr>
                <w:lang w:val="zh-CN"/>
              </w:rPr>
            </w:pPr>
            <w:r w:rsidRPr="00536CFD">
              <w:rPr>
                <w:lang w:val="zh-CN"/>
              </w:rPr>
              <w:t>0.482</w:t>
            </w:r>
          </w:p>
        </w:tc>
        <w:tc>
          <w:tcPr>
            <w:tcW w:w="714" w:type="dxa"/>
            <w:tcBorders>
              <w:top w:val="single" w:sz="4" w:space="0" w:color="auto"/>
              <w:left w:val="nil"/>
              <w:bottom w:val="single" w:sz="4" w:space="0" w:color="auto"/>
              <w:right w:val="single" w:sz="4" w:space="0" w:color="auto"/>
            </w:tcBorders>
            <w:shd w:val="clear" w:color="auto" w:fill="auto"/>
          </w:tcPr>
          <w:p w14:paraId="35ADCD62" w14:textId="77777777" w:rsidR="004346F3" w:rsidRPr="00536CFD" w:rsidRDefault="004346F3" w:rsidP="00802ABC">
            <w:pPr>
              <w:spacing w:after="0"/>
              <w:jc w:val="center"/>
              <w:rPr>
                <w:lang w:val="zh-CN"/>
              </w:rPr>
            </w:pPr>
            <w:r w:rsidRPr="00536CFD">
              <w:rPr>
                <w:lang w:val="zh-CN"/>
              </w:rPr>
              <w:t>0.075</w:t>
            </w:r>
          </w:p>
        </w:tc>
        <w:tc>
          <w:tcPr>
            <w:tcW w:w="719" w:type="dxa"/>
            <w:tcBorders>
              <w:top w:val="single" w:sz="4" w:space="0" w:color="auto"/>
              <w:left w:val="nil"/>
              <w:bottom w:val="single" w:sz="4" w:space="0" w:color="auto"/>
              <w:right w:val="single" w:sz="4" w:space="0" w:color="auto"/>
            </w:tcBorders>
            <w:shd w:val="clear" w:color="auto" w:fill="auto"/>
          </w:tcPr>
          <w:p w14:paraId="67ACE7C4" w14:textId="77777777" w:rsidR="004346F3" w:rsidRPr="00536CFD" w:rsidRDefault="004346F3" w:rsidP="00802ABC">
            <w:pPr>
              <w:spacing w:after="0"/>
              <w:jc w:val="center"/>
              <w:rPr>
                <w:lang w:val="zh-CN"/>
              </w:rPr>
            </w:pPr>
            <w:r w:rsidRPr="00536CFD">
              <w:rPr>
                <w:lang w:val="zh-CN"/>
              </w:rPr>
              <w:t>0.080</w:t>
            </w:r>
          </w:p>
        </w:tc>
        <w:tc>
          <w:tcPr>
            <w:tcW w:w="719" w:type="dxa"/>
            <w:tcBorders>
              <w:top w:val="single" w:sz="4" w:space="0" w:color="auto"/>
              <w:left w:val="nil"/>
              <w:bottom w:val="single" w:sz="4" w:space="0" w:color="auto"/>
              <w:right w:val="single" w:sz="4" w:space="0" w:color="auto"/>
            </w:tcBorders>
            <w:shd w:val="clear" w:color="auto" w:fill="auto"/>
          </w:tcPr>
          <w:p w14:paraId="6F4428C3" w14:textId="77777777" w:rsidR="004346F3" w:rsidRPr="00536CFD" w:rsidRDefault="004346F3" w:rsidP="00802ABC">
            <w:pPr>
              <w:spacing w:after="0"/>
              <w:jc w:val="center"/>
              <w:rPr>
                <w:lang w:val="zh-CN"/>
              </w:rPr>
            </w:pPr>
            <w:r w:rsidRPr="00536CFD">
              <w:rPr>
                <w:lang w:val="zh-CN"/>
              </w:rPr>
              <w:t>0.059</w:t>
            </w:r>
          </w:p>
        </w:tc>
        <w:tc>
          <w:tcPr>
            <w:tcW w:w="736" w:type="dxa"/>
            <w:gridSpan w:val="2"/>
            <w:tcBorders>
              <w:top w:val="single" w:sz="4" w:space="0" w:color="auto"/>
              <w:left w:val="nil"/>
              <w:bottom w:val="single" w:sz="4" w:space="0" w:color="auto"/>
              <w:right w:val="single" w:sz="4" w:space="0" w:color="auto"/>
            </w:tcBorders>
            <w:shd w:val="clear" w:color="auto" w:fill="auto"/>
          </w:tcPr>
          <w:p w14:paraId="24DCA386" w14:textId="77777777" w:rsidR="004346F3" w:rsidRPr="00536CFD" w:rsidRDefault="004346F3" w:rsidP="00802ABC">
            <w:pPr>
              <w:spacing w:after="0"/>
              <w:jc w:val="center"/>
              <w:rPr>
                <w:lang w:val="zh-CN"/>
              </w:rPr>
            </w:pPr>
            <w:r w:rsidRPr="00536CFD">
              <w:rPr>
                <w:lang w:val="zh-CN"/>
              </w:rPr>
              <w:t>1.004</w:t>
            </w:r>
          </w:p>
        </w:tc>
        <w:tc>
          <w:tcPr>
            <w:tcW w:w="737" w:type="dxa"/>
            <w:gridSpan w:val="2"/>
            <w:tcBorders>
              <w:top w:val="single" w:sz="4" w:space="0" w:color="auto"/>
              <w:left w:val="nil"/>
              <w:bottom w:val="single" w:sz="4" w:space="0" w:color="auto"/>
              <w:right w:val="single" w:sz="4" w:space="0" w:color="auto"/>
            </w:tcBorders>
            <w:shd w:val="clear" w:color="auto" w:fill="auto"/>
          </w:tcPr>
          <w:p w14:paraId="3F7A07B3" w14:textId="77777777" w:rsidR="004346F3" w:rsidRPr="00536CFD" w:rsidRDefault="004346F3" w:rsidP="00802ABC">
            <w:pPr>
              <w:spacing w:after="0"/>
              <w:jc w:val="center"/>
              <w:rPr>
                <w:lang w:val="zh-CN"/>
              </w:rPr>
            </w:pPr>
            <w:r w:rsidRPr="00536CFD">
              <w:rPr>
                <w:lang w:val="zh-CN"/>
              </w:rPr>
              <w:t>0.108</w:t>
            </w:r>
          </w:p>
        </w:tc>
        <w:tc>
          <w:tcPr>
            <w:tcW w:w="736" w:type="dxa"/>
            <w:gridSpan w:val="2"/>
            <w:tcBorders>
              <w:top w:val="single" w:sz="4" w:space="0" w:color="auto"/>
              <w:left w:val="nil"/>
              <w:bottom w:val="single" w:sz="4" w:space="0" w:color="auto"/>
              <w:right w:val="single" w:sz="4" w:space="0" w:color="auto"/>
            </w:tcBorders>
            <w:shd w:val="clear" w:color="auto" w:fill="auto"/>
          </w:tcPr>
          <w:p w14:paraId="47862476" w14:textId="77777777" w:rsidR="004346F3" w:rsidRPr="00536CFD" w:rsidRDefault="004346F3" w:rsidP="00802ABC">
            <w:pPr>
              <w:spacing w:after="0"/>
              <w:jc w:val="center"/>
              <w:rPr>
                <w:lang w:val="zh-CN"/>
              </w:rPr>
            </w:pPr>
            <w:r w:rsidRPr="00536CFD">
              <w:rPr>
                <w:lang w:val="zh-CN"/>
              </w:rPr>
              <w:t>0.164</w:t>
            </w:r>
          </w:p>
        </w:tc>
        <w:tc>
          <w:tcPr>
            <w:tcW w:w="676" w:type="dxa"/>
            <w:tcBorders>
              <w:top w:val="single" w:sz="4" w:space="0" w:color="auto"/>
              <w:left w:val="nil"/>
              <w:bottom w:val="single" w:sz="4" w:space="0" w:color="auto"/>
              <w:right w:val="single" w:sz="4" w:space="0" w:color="auto"/>
            </w:tcBorders>
            <w:shd w:val="clear" w:color="auto" w:fill="auto"/>
          </w:tcPr>
          <w:p w14:paraId="003192D2" w14:textId="77777777" w:rsidR="004346F3" w:rsidRPr="00536CFD" w:rsidRDefault="004346F3" w:rsidP="00802ABC">
            <w:pPr>
              <w:spacing w:after="0"/>
              <w:jc w:val="center"/>
              <w:rPr>
                <w:lang w:val="zh-CN"/>
              </w:rPr>
            </w:pPr>
            <w:r w:rsidRPr="00536CFD">
              <w:rPr>
                <w:lang w:val="zh-CN"/>
              </w:rPr>
              <w:t>0.065</w:t>
            </w:r>
          </w:p>
        </w:tc>
      </w:tr>
      <w:tr w:rsidR="004346F3" w:rsidRPr="00C64ECB" w14:paraId="5ECCDE7A"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5369E6C"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0B6866C0"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3F3A8FF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0" w:type="dxa"/>
            <w:tcBorders>
              <w:top w:val="single" w:sz="4" w:space="0" w:color="auto"/>
              <w:left w:val="nil"/>
              <w:bottom w:val="single" w:sz="4" w:space="0" w:color="auto"/>
              <w:right w:val="single" w:sz="4" w:space="0" w:color="auto"/>
            </w:tcBorders>
            <w:shd w:val="clear" w:color="auto" w:fill="auto"/>
          </w:tcPr>
          <w:p w14:paraId="44B16EAD" w14:textId="77777777" w:rsidR="004346F3" w:rsidRPr="00536CFD" w:rsidRDefault="004346F3" w:rsidP="00802ABC">
            <w:pPr>
              <w:spacing w:after="0"/>
              <w:jc w:val="center"/>
              <w:rPr>
                <w:lang w:val="zh-CN"/>
              </w:rPr>
            </w:pPr>
            <w:r w:rsidRPr="00536CFD">
              <w:rPr>
                <w:lang w:val="zh-CN"/>
              </w:rPr>
              <w:t>0.599</w:t>
            </w:r>
          </w:p>
        </w:tc>
        <w:tc>
          <w:tcPr>
            <w:tcW w:w="643" w:type="dxa"/>
            <w:gridSpan w:val="2"/>
            <w:tcBorders>
              <w:top w:val="single" w:sz="4" w:space="0" w:color="auto"/>
              <w:left w:val="nil"/>
              <w:bottom w:val="single" w:sz="4" w:space="0" w:color="auto"/>
              <w:right w:val="single" w:sz="4" w:space="0" w:color="auto"/>
            </w:tcBorders>
            <w:shd w:val="clear" w:color="auto" w:fill="auto"/>
          </w:tcPr>
          <w:p w14:paraId="65EFBBB6" w14:textId="77777777" w:rsidR="004346F3" w:rsidRPr="00536CFD" w:rsidRDefault="004346F3" w:rsidP="00802ABC">
            <w:pPr>
              <w:spacing w:after="0"/>
              <w:jc w:val="center"/>
              <w:rPr>
                <w:lang w:val="zh-CN"/>
              </w:rPr>
            </w:pPr>
            <w:r w:rsidRPr="00536CFD">
              <w:rPr>
                <w:lang w:val="zh-CN"/>
              </w:rPr>
              <w:t>0.228</w:t>
            </w:r>
          </w:p>
        </w:tc>
        <w:tc>
          <w:tcPr>
            <w:tcW w:w="649" w:type="dxa"/>
            <w:gridSpan w:val="2"/>
            <w:tcBorders>
              <w:top w:val="single" w:sz="4" w:space="0" w:color="auto"/>
              <w:left w:val="nil"/>
              <w:bottom w:val="single" w:sz="4" w:space="0" w:color="auto"/>
              <w:right w:val="single" w:sz="4" w:space="0" w:color="auto"/>
            </w:tcBorders>
            <w:shd w:val="clear" w:color="auto" w:fill="auto"/>
          </w:tcPr>
          <w:p w14:paraId="39011F4B" w14:textId="77777777" w:rsidR="004346F3" w:rsidRPr="00536CFD" w:rsidRDefault="004346F3" w:rsidP="00802ABC">
            <w:pPr>
              <w:spacing w:after="0"/>
              <w:jc w:val="center"/>
              <w:rPr>
                <w:lang w:val="zh-CN"/>
              </w:rPr>
            </w:pPr>
            <w:r w:rsidRPr="00536CFD">
              <w:rPr>
                <w:lang w:val="zh-CN"/>
              </w:rPr>
              <w:t>0.139</w:t>
            </w:r>
          </w:p>
        </w:tc>
        <w:tc>
          <w:tcPr>
            <w:tcW w:w="643" w:type="dxa"/>
            <w:gridSpan w:val="2"/>
            <w:tcBorders>
              <w:top w:val="single" w:sz="4" w:space="0" w:color="auto"/>
              <w:left w:val="nil"/>
              <w:bottom w:val="single" w:sz="4" w:space="0" w:color="auto"/>
              <w:right w:val="single" w:sz="4" w:space="0" w:color="auto"/>
            </w:tcBorders>
            <w:shd w:val="clear" w:color="auto" w:fill="auto"/>
          </w:tcPr>
          <w:p w14:paraId="7B1A427B" w14:textId="77777777" w:rsidR="004346F3" w:rsidRPr="00536CFD" w:rsidRDefault="004346F3" w:rsidP="00802ABC">
            <w:pPr>
              <w:spacing w:after="0"/>
              <w:jc w:val="center"/>
              <w:rPr>
                <w:lang w:val="zh-CN"/>
              </w:rPr>
            </w:pPr>
            <w:r w:rsidRPr="00536CFD">
              <w:rPr>
                <w:lang w:val="zh-CN"/>
              </w:rPr>
              <w:t>0.106</w:t>
            </w:r>
          </w:p>
        </w:tc>
        <w:tc>
          <w:tcPr>
            <w:tcW w:w="714" w:type="dxa"/>
            <w:gridSpan w:val="2"/>
            <w:tcBorders>
              <w:top w:val="single" w:sz="4" w:space="0" w:color="auto"/>
              <w:left w:val="nil"/>
              <w:bottom w:val="single" w:sz="4" w:space="0" w:color="auto"/>
              <w:right w:val="single" w:sz="4" w:space="0" w:color="auto"/>
            </w:tcBorders>
            <w:shd w:val="clear" w:color="auto" w:fill="auto"/>
          </w:tcPr>
          <w:p w14:paraId="39755867" w14:textId="77777777" w:rsidR="004346F3" w:rsidRPr="00536CFD" w:rsidRDefault="004346F3" w:rsidP="00802ABC">
            <w:pPr>
              <w:spacing w:after="0"/>
              <w:jc w:val="center"/>
              <w:rPr>
                <w:lang w:val="zh-CN"/>
              </w:rPr>
            </w:pPr>
            <w:r w:rsidRPr="00536CFD">
              <w:rPr>
                <w:lang w:val="zh-CN"/>
              </w:rPr>
              <w:t>5.409</w:t>
            </w:r>
          </w:p>
        </w:tc>
        <w:tc>
          <w:tcPr>
            <w:tcW w:w="714" w:type="dxa"/>
            <w:tcBorders>
              <w:top w:val="single" w:sz="4" w:space="0" w:color="auto"/>
              <w:left w:val="nil"/>
              <w:bottom w:val="single" w:sz="4" w:space="0" w:color="auto"/>
              <w:right w:val="single" w:sz="4" w:space="0" w:color="auto"/>
            </w:tcBorders>
            <w:shd w:val="clear" w:color="auto" w:fill="auto"/>
          </w:tcPr>
          <w:p w14:paraId="65CD3AA9" w14:textId="77777777" w:rsidR="004346F3" w:rsidRPr="00536CFD" w:rsidRDefault="004346F3" w:rsidP="00802ABC">
            <w:pPr>
              <w:spacing w:after="0"/>
              <w:jc w:val="center"/>
              <w:rPr>
                <w:lang w:val="zh-CN"/>
              </w:rPr>
            </w:pPr>
            <w:r w:rsidRPr="00536CFD">
              <w:rPr>
                <w:lang w:val="zh-CN"/>
              </w:rPr>
              <w:t>0.229</w:t>
            </w:r>
          </w:p>
        </w:tc>
        <w:tc>
          <w:tcPr>
            <w:tcW w:w="719" w:type="dxa"/>
            <w:tcBorders>
              <w:top w:val="single" w:sz="4" w:space="0" w:color="auto"/>
              <w:left w:val="nil"/>
              <w:bottom w:val="single" w:sz="4" w:space="0" w:color="auto"/>
              <w:right w:val="single" w:sz="4" w:space="0" w:color="auto"/>
            </w:tcBorders>
            <w:shd w:val="clear" w:color="auto" w:fill="auto"/>
          </w:tcPr>
          <w:p w14:paraId="0D505E08" w14:textId="77777777" w:rsidR="004346F3" w:rsidRPr="00536CFD" w:rsidRDefault="004346F3" w:rsidP="00802ABC">
            <w:pPr>
              <w:spacing w:after="0"/>
              <w:jc w:val="center"/>
              <w:rPr>
                <w:lang w:val="zh-CN"/>
              </w:rPr>
            </w:pPr>
            <w:r w:rsidRPr="00536CFD">
              <w:rPr>
                <w:lang w:val="zh-CN"/>
              </w:rPr>
              <w:t>0.228</w:t>
            </w:r>
          </w:p>
        </w:tc>
        <w:tc>
          <w:tcPr>
            <w:tcW w:w="719" w:type="dxa"/>
            <w:tcBorders>
              <w:top w:val="single" w:sz="4" w:space="0" w:color="auto"/>
              <w:left w:val="nil"/>
              <w:bottom w:val="single" w:sz="4" w:space="0" w:color="auto"/>
              <w:right w:val="single" w:sz="4" w:space="0" w:color="auto"/>
            </w:tcBorders>
            <w:shd w:val="clear" w:color="auto" w:fill="auto"/>
          </w:tcPr>
          <w:p w14:paraId="5F341D50" w14:textId="77777777" w:rsidR="004346F3" w:rsidRPr="00536CFD" w:rsidRDefault="004346F3" w:rsidP="00802ABC">
            <w:pPr>
              <w:spacing w:after="0"/>
              <w:jc w:val="center"/>
              <w:rPr>
                <w:lang w:val="zh-CN"/>
              </w:rPr>
            </w:pPr>
            <w:r w:rsidRPr="00536CFD">
              <w:rPr>
                <w:lang w:val="zh-CN"/>
              </w:rPr>
              <w:t>0.123</w:t>
            </w:r>
          </w:p>
        </w:tc>
        <w:tc>
          <w:tcPr>
            <w:tcW w:w="736" w:type="dxa"/>
            <w:gridSpan w:val="2"/>
            <w:tcBorders>
              <w:top w:val="single" w:sz="4" w:space="0" w:color="auto"/>
              <w:left w:val="nil"/>
              <w:bottom w:val="single" w:sz="4" w:space="0" w:color="auto"/>
              <w:right w:val="single" w:sz="4" w:space="0" w:color="auto"/>
            </w:tcBorders>
            <w:shd w:val="clear" w:color="auto" w:fill="auto"/>
          </w:tcPr>
          <w:p w14:paraId="6D55800B" w14:textId="77777777" w:rsidR="004346F3" w:rsidRPr="00536CFD" w:rsidRDefault="004346F3" w:rsidP="00802ABC">
            <w:pPr>
              <w:spacing w:after="0"/>
              <w:jc w:val="center"/>
              <w:rPr>
                <w:lang w:val="zh-CN"/>
              </w:rPr>
            </w:pPr>
            <w:r w:rsidRPr="00536CFD">
              <w:rPr>
                <w:lang w:val="zh-CN"/>
              </w:rPr>
              <w:t>11.114</w:t>
            </w:r>
          </w:p>
        </w:tc>
        <w:tc>
          <w:tcPr>
            <w:tcW w:w="737" w:type="dxa"/>
            <w:gridSpan w:val="2"/>
            <w:tcBorders>
              <w:top w:val="single" w:sz="4" w:space="0" w:color="auto"/>
              <w:left w:val="nil"/>
              <w:bottom w:val="single" w:sz="4" w:space="0" w:color="auto"/>
              <w:right w:val="single" w:sz="4" w:space="0" w:color="auto"/>
            </w:tcBorders>
            <w:shd w:val="clear" w:color="auto" w:fill="auto"/>
          </w:tcPr>
          <w:p w14:paraId="041E1B1D" w14:textId="77777777" w:rsidR="004346F3" w:rsidRPr="00536CFD" w:rsidRDefault="004346F3" w:rsidP="00802ABC">
            <w:pPr>
              <w:spacing w:after="0"/>
              <w:jc w:val="center"/>
              <w:rPr>
                <w:lang w:val="zh-CN"/>
              </w:rPr>
            </w:pPr>
            <w:r w:rsidRPr="00536CFD">
              <w:rPr>
                <w:lang w:val="zh-CN"/>
              </w:rPr>
              <w:t>0.711</w:t>
            </w:r>
          </w:p>
        </w:tc>
        <w:tc>
          <w:tcPr>
            <w:tcW w:w="736" w:type="dxa"/>
            <w:gridSpan w:val="2"/>
            <w:tcBorders>
              <w:top w:val="single" w:sz="4" w:space="0" w:color="auto"/>
              <w:left w:val="nil"/>
              <w:bottom w:val="single" w:sz="4" w:space="0" w:color="auto"/>
              <w:right w:val="single" w:sz="4" w:space="0" w:color="auto"/>
            </w:tcBorders>
            <w:shd w:val="clear" w:color="auto" w:fill="auto"/>
          </w:tcPr>
          <w:p w14:paraId="1202D76B" w14:textId="77777777" w:rsidR="004346F3" w:rsidRPr="00536CFD" w:rsidRDefault="004346F3" w:rsidP="00802ABC">
            <w:pPr>
              <w:spacing w:after="0"/>
              <w:jc w:val="center"/>
              <w:rPr>
                <w:lang w:val="zh-CN"/>
              </w:rPr>
            </w:pPr>
            <w:r w:rsidRPr="00536CFD">
              <w:rPr>
                <w:lang w:val="zh-CN"/>
              </w:rPr>
              <w:t>1.058</w:t>
            </w:r>
          </w:p>
        </w:tc>
        <w:tc>
          <w:tcPr>
            <w:tcW w:w="676" w:type="dxa"/>
            <w:tcBorders>
              <w:top w:val="single" w:sz="4" w:space="0" w:color="auto"/>
              <w:left w:val="nil"/>
              <w:bottom w:val="single" w:sz="4" w:space="0" w:color="auto"/>
              <w:right w:val="single" w:sz="4" w:space="0" w:color="auto"/>
            </w:tcBorders>
            <w:shd w:val="clear" w:color="auto" w:fill="auto"/>
          </w:tcPr>
          <w:p w14:paraId="120ED9F9" w14:textId="77777777" w:rsidR="004346F3" w:rsidRPr="00536CFD" w:rsidRDefault="004346F3" w:rsidP="00802ABC">
            <w:pPr>
              <w:spacing w:after="0"/>
              <w:jc w:val="center"/>
              <w:rPr>
                <w:lang w:val="zh-CN"/>
              </w:rPr>
            </w:pPr>
            <w:r w:rsidRPr="00536CFD">
              <w:rPr>
                <w:lang w:val="zh-CN"/>
              </w:rPr>
              <w:t>0.149</w:t>
            </w:r>
          </w:p>
        </w:tc>
      </w:tr>
      <w:tr w:rsidR="004346F3" w:rsidRPr="00C64ECB" w14:paraId="2989E06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747FD0EC" w14:textId="77777777" w:rsidR="004346F3" w:rsidRPr="00536CFD" w:rsidRDefault="004346F3" w:rsidP="00802ABC">
            <w:pPr>
              <w:spacing w:after="0"/>
              <w:ind w:left="113" w:right="113"/>
            </w:pPr>
          </w:p>
        </w:tc>
        <w:tc>
          <w:tcPr>
            <w:tcW w:w="541" w:type="dxa"/>
            <w:vMerge/>
            <w:tcBorders>
              <w:top w:val="nil"/>
              <w:left w:val="nil"/>
              <w:bottom w:val="single" w:sz="4" w:space="0" w:color="auto"/>
              <w:right w:val="single" w:sz="4" w:space="0" w:color="auto"/>
            </w:tcBorders>
            <w:shd w:val="clear" w:color="auto" w:fill="auto"/>
          </w:tcPr>
          <w:p w14:paraId="667EEF6F" w14:textId="77777777" w:rsidR="004346F3" w:rsidRPr="00536CFD" w:rsidRDefault="004346F3" w:rsidP="00802ABC">
            <w:pPr>
              <w:spacing w:after="0"/>
            </w:pPr>
          </w:p>
        </w:tc>
        <w:tc>
          <w:tcPr>
            <w:tcW w:w="551" w:type="dxa"/>
            <w:gridSpan w:val="2"/>
            <w:tcBorders>
              <w:top w:val="single" w:sz="4" w:space="0" w:color="auto"/>
              <w:left w:val="nil"/>
              <w:bottom w:val="single" w:sz="4" w:space="0" w:color="auto"/>
              <w:right w:val="single" w:sz="4" w:space="0" w:color="auto"/>
            </w:tcBorders>
            <w:shd w:val="clear" w:color="auto" w:fill="auto"/>
          </w:tcPr>
          <w:p w14:paraId="2EB45F5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0" w:type="dxa"/>
            <w:tcBorders>
              <w:top w:val="single" w:sz="4" w:space="0" w:color="auto"/>
              <w:left w:val="nil"/>
              <w:bottom w:val="single" w:sz="4" w:space="0" w:color="auto"/>
              <w:right w:val="single" w:sz="4" w:space="0" w:color="auto"/>
            </w:tcBorders>
            <w:shd w:val="clear" w:color="auto" w:fill="auto"/>
          </w:tcPr>
          <w:p w14:paraId="58BAB3FE" w14:textId="77777777" w:rsidR="004346F3" w:rsidRPr="00536CFD" w:rsidRDefault="004346F3" w:rsidP="00802ABC">
            <w:pPr>
              <w:spacing w:after="0"/>
              <w:jc w:val="center"/>
              <w:rPr>
                <w:lang w:val="zh-CN"/>
              </w:rPr>
            </w:pPr>
            <w:r w:rsidRPr="00536CFD">
              <w:rPr>
                <w:lang w:val="zh-CN"/>
              </w:rPr>
              <w:t>0.214</w:t>
            </w:r>
          </w:p>
        </w:tc>
        <w:tc>
          <w:tcPr>
            <w:tcW w:w="643" w:type="dxa"/>
            <w:gridSpan w:val="2"/>
            <w:tcBorders>
              <w:top w:val="single" w:sz="4" w:space="0" w:color="auto"/>
              <w:left w:val="nil"/>
              <w:bottom w:val="single" w:sz="4" w:space="0" w:color="auto"/>
              <w:right w:val="single" w:sz="4" w:space="0" w:color="auto"/>
            </w:tcBorders>
            <w:shd w:val="clear" w:color="auto" w:fill="auto"/>
          </w:tcPr>
          <w:p w14:paraId="0D980F3D" w14:textId="77777777" w:rsidR="004346F3" w:rsidRPr="00536CFD" w:rsidRDefault="004346F3" w:rsidP="00802ABC">
            <w:pPr>
              <w:spacing w:after="0"/>
              <w:jc w:val="center"/>
              <w:rPr>
                <w:lang w:val="zh-CN"/>
              </w:rPr>
            </w:pPr>
            <w:r w:rsidRPr="00536CFD">
              <w:rPr>
                <w:lang w:val="zh-CN"/>
              </w:rPr>
              <w:t>0.103</w:t>
            </w:r>
          </w:p>
        </w:tc>
        <w:tc>
          <w:tcPr>
            <w:tcW w:w="649" w:type="dxa"/>
            <w:gridSpan w:val="2"/>
            <w:tcBorders>
              <w:top w:val="single" w:sz="4" w:space="0" w:color="auto"/>
              <w:left w:val="nil"/>
              <w:bottom w:val="single" w:sz="4" w:space="0" w:color="auto"/>
              <w:right w:val="single" w:sz="4" w:space="0" w:color="auto"/>
            </w:tcBorders>
            <w:shd w:val="clear" w:color="auto" w:fill="auto"/>
          </w:tcPr>
          <w:p w14:paraId="1D8D4338" w14:textId="77777777" w:rsidR="004346F3" w:rsidRPr="00536CFD" w:rsidRDefault="004346F3" w:rsidP="00802ABC">
            <w:pPr>
              <w:spacing w:after="0"/>
              <w:jc w:val="center"/>
              <w:rPr>
                <w:lang w:val="zh-CN"/>
              </w:rPr>
            </w:pPr>
            <w:r w:rsidRPr="00536CFD">
              <w:rPr>
                <w:lang w:val="zh-CN"/>
              </w:rPr>
              <w:t>0.075</w:t>
            </w:r>
          </w:p>
        </w:tc>
        <w:tc>
          <w:tcPr>
            <w:tcW w:w="643" w:type="dxa"/>
            <w:gridSpan w:val="2"/>
            <w:tcBorders>
              <w:top w:val="single" w:sz="4" w:space="0" w:color="auto"/>
              <w:left w:val="nil"/>
              <w:bottom w:val="single" w:sz="4" w:space="0" w:color="auto"/>
              <w:right w:val="single" w:sz="4" w:space="0" w:color="auto"/>
            </w:tcBorders>
            <w:shd w:val="clear" w:color="auto" w:fill="auto"/>
          </w:tcPr>
          <w:p w14:paraId="4F588DB0" w14:textId="77777777" w:rsidR="004346F3" w:rsidRPr="00536CFD" w:rsidRDefault="004346F3" w:rsidP="00802ABC">
            <w:pPr>
              <w:spacing w:after="0"/>
              <w:jc w:val="center"/>
              <w:rPr>
                <w:lang w:val="zh-CN"/>
              </w:rPr>
            </w:pPr>
            <w:r w:rsidRPr="00536CFD">
              <w:rPr>
                <w:lang w:val="zh-CN"/>
              </w:rPr>
              <w:t>0.062</w:t>
            </w:r>
          </w:p>
        </w:tc>
        <w:tc>
          <w:tcPr>
            <w:tcW w:w="714" w:type="dxa"/>
            <w:gridSpan w:val="2"/>
            <w:tcBorders>
              <w:top w:val="single" w:sz="4" w:space="0" w:color="auto"/>
              <w:left w:val="nil"/>
              <w:bottom w:val="single" w:sz="4" w:space="0" w:color="auto"/>
              <w:right w:val="single" w:sz="4" w:space="0" w:color="auto"/>
            </w:tcBorders>
            <w:shd w:val="clear" w:color="auto" w:fill="auto"/>
          </w:tcPr>
          <w:p w14:paraId="13408AAF" w14:textId="77777777" w:rsidR="004346F3" w:rsidRPr="00536CFD" w:rsidRDefault="004346F3" w:rsidP="00802ABC">
            <w:pPr>
              <w:spacing w:after="0"/>
              <w:jc w:val="center"/>
              <w:rPr>
                <w:lang w:val="zh-CN"/>
              </w:rPr>
            </w:pPr>
            <w:r w:rsidRPr="00536CFD">
              <w:rPr>
                <w:lang w:val="zh-CN"/>
              </w:rPr>
              <w:t>1.490</w:t>
            </w:r>
          </w:p>
        </w:tc>
        <w:tc>
          <w:tcPr>
            <w:tcW w:w="714" w:type="dxa"/>
            <w:tcBorders>
              <w:top w:val="single" w:sz="4" w:space="0" w:color="auto"/>
              <w:left w:val="nil"/>
              <w:bottom w:val="single" w:sz="4" w:space="0" w:color="auto"/>
              <w:right w:val="single" w:sz="4" w:space="0" w:color="auto"/>
            </w:tcBorders>
            <w:shd w:val="clear" w:color="auto" w:fill="auto"/>
          </w:tcPr>
          <w:p w14:paraId="2E1504B6" w14:textId="77777777" w:rsidR="004346F3" w:rsidRPr="00536CFD" w:rsidRDefault="004346F3" w:rsidP="00802ABC">
            <w:pPr>
              <w:spacing w:after="0"/>
              <w:jc w:val="center"/>
              <w:rPr>
                <w:lang w:val="zh-CN"/>
              </w:rPr>
            </w:pPr>
            <w:r w:rsidRPr="00536CFD">
              <w:rPr>
                <w:lang w:val="zh-CN"/>
              </w:rPr>
              <w:t>0.103</w:t>
            </w:r>
          </w:p>
        </w:tc>
        <w:tc>
          <w:tcPr>
            <w:tcW w:w="719" w:type="dxa"/>
            <w:tcBorders>
              <w:top w:val="single" w:sz="4" w:space="0" w:color="auto"/>
              <w:left w:val="nil"/>
              <w:bottom w:val="single" w:sz="4" w:space="0" w:color="auto"/>
              <w:right w:val="single" w:sz="4" w:space="0" w:color="auto"/>
            </w:tcBorders>
            <w:shd w:val="clear" w:color="auto" w:fill="auto"/>
          </w:tcPr>
          <w:p w14:paraId="7762893D" w14:textId="77777777" w:rsidR="004346F3" w:rsidRPr="00536CFD" w:rsidRDefault="004346F3" w:rsidP="00802ABC">
            <w:pPr>
              <w:spacing w:after="0"/>
              <w:jc w:val="center"/>
              <w:rPr>
                <w:lang w:val="zh-CN"/>
              </w:rPr>
            </w:pPr>
            <w:r w:rsidRPr="00536CFD">
              <w:rPr>
                <w:lang w:val="zh-CN"/>
              </w:rPr>
              <w:t>0.103</w:t>
            </w:r>
          </w:p>
        </w:tc>
        <w:tc>
          <w:tcPr>
            <w:tcW w:w="719" w:type="dxa"/>
            <w:tcBorders>
              <w:top w:val="single" w:sz="4" w:space="0" w:color="auto"/>
              <w:left w:val="nil"/>
              <w:bottom w:val="single" w:sz="4" w:space="0" w:color="auto"/>
              <w:right w:val="single" w:sz="4" w:space="0" w:color="auto"/>
            </w:tcBorders>
            <w:shd w:val="clear" w:color="auto" w:fill="auto"/>
          </w:tcPr>
          <w:p w14:paraId="1A37E22C" w14:textId="77777777" w:rsidR="004346F3" w:rsidRPr="00536CFD" w:rsidRDefault="004346F3" w:rsidP="00802ABC">
            <w:pPr>
              <w:spacing w:after="0"/>
              <w:jc w:val="center"/>
              <w:rPr>
                <w:lang w:val="zh-CN"/>
              </w:rPr>
            </w:pPr>
            <w:r w:rsidRPr="00536CFD">
              <w:rPr>
                <w:lang w:val="zh-CN"/>
              </w:rPr>
              <w:t>0.069</w:t>
            </w:r>
          </w:p>
        </w:tc>
        <w:tc>
          <w:tcPr>
            <w:tcW w:w="736" w:type="dxa"/>
            <w:gridSpan w:val="2"/>
            <w:tcBorders>
              <w:top w:val="single" w:sz="4" w:space="0" w:color="auto"/>
              <w:left w:val="nil"/>
              <w:bottom w:val="single" w:sz="4" w:space="0" w:color="auto"/>
              <w:right w:val="single" w:sz="4" w:space="0" w:color="auto"/>
            </w:tcBorders>
            <w:shd w:val="clear" w:color="auto" w:fill="auto"/>
          </w:tcPr>
          <w:p w14:paraId="6CEC72F2" w14:textId="77777777" w:rsidR="004346F3" w:rsidRPr="00536CFD" w:rsidRDefault="004346F3" w:rsidP="00802ABC">
            <w:pPr>
              <w:spacing w:after="0"/>
              <w:jc w:val="center"/>
              <w:rPr>
                <w:lang w:val="zh-CN"/>
              </w:rPr>
            </w:pPr>
            <w:r w:rsidRPr="00536CFD">
              <w:rPr>
                <w:lang w:val="zh-CN"/>
              </w:rPr>
              <w:t>3.021</w:t>
            </w:r>
          </w:p>
        </w:tc>
        <w:tc>
          <w:tcPr>
            <w:tcW w:w="737" w:type="dxa"/>
            <w:gridSpan w:val="2"/>
            <w:tcBorders>
              <w:top w:val="single" w:sz="4" w:space="0" w:color="auto"/>
              <w:left w:val="nil"/>
              <w:bottom w:val="single" w:sz="4" w:space="0" w:color="auto"/>
              <w:right w:val="single" w:sz="4" w:space="0" w:color="auto"/>
            </w:tcBorders>
            <w:shd w:val="clear" w:color="auto" w:fill="auto"/>
          </w:tcPr>
          <w:p w14:paraId="46029A43" w14:textId="77777777" w:rsidR="004346F3" w:rsidRPr="00536CFD" w:rsidRDefault="004346F3" w:rsidP="00802ABC">
            <w:pPr>
              <w:spacing w:after="0"/>
              <w:jc w:val="center"/>
              <w:rPr>
                <w:lang w:val="zh-CN"/>
              </w:rPr>
            </w:pPr>
            <w:r w:rsidRPr="00536CFD">
              <w:rPr>
                <w:lang w:val="zh-CN"/>
              </w:rPr>
              <w:t>0.236</w:t>
            </w:r>
          </w:p>
        </w:tc>
        <w:tc>
          <w:tcPr>
            <w:tcW w:w="736" w:type="dxa"/>
            <w:gridSpan w:val="2"/>
            <w:tcBorders>
              <w:top w:val="single" w:sz="4" w:space="0" w:color="auto"/>
              <w:left w:val="nil"/>
              <w:bottom w:val="single" w:sz="4" w:space="0" w:color="auto"/>
              <w:right w:val="single" w:sz="4" w:space="0" w:color="auto"/>
            </w:tcBorders>
            <w:shd w:val="clear" w:color="auto" w:fill="auto"/>
          </w:tcPr>
          <w:p w14:paraId="6CE4C8FD" w14:textId="77777777" w:rsidR="004346F3" w:rsidRPr="00536CFD" w:rsidRDefault="004346F3" w:rsidP="00802ABC">
            <w:pPr>
              <w:spacing w:after="0"/>
              <w:jc w:val="center"/>
              <w:rPr>
                <w:lang w:val="zh-CN"/>
              </w:rPr>
            </w:pPr>
            <w:r w:rsidRPr="00536CFD">
              <w:rPr>
                <w:lang w:val="zh-CN"/>
              </w:rPr>
              <w:t>0.443</w:t>
            </w:r>
          </w:p>
        </w:tc>
        <w:tc>
          <w:tcPr>
            <w:tcW w:w="676" w:type="dxa"/>
            <w:tcBorders>
              <w:top w:val="single" w:sz="4" w:space="0" w:color="auto"/>
              <w:left w:val="nil"/>
              <w:bottom w:val="single" w:sz="4" w:space="0" w:color="auto"/>
              <w:right w:val="single" w:sz="4" w:space="0" w:color="auto"/>
            </w:tcBorders>
            <w:shd w:val="clear" w:color="auto" w:fill="auto"/>
          </w:tcPr>
          <w:p w14:paraId="1FFF8B25" w14:textId="77777777" w:rsidR="004346F3" w:rsidRPr="00536CFD" w:rsidRDefault="004346F3" w:rsidP="00802ABC">
            <w:pPr>
              <w:spacing w:after="0"/>
              <w:jc w:val="center"/>
              <w:rPr>
                <w:lang w:val="zh-CN"/>
              </w:rPr>
            </w:pPr>
            <w:r w:rsidRPr="00536CFD">
              <w:rPr>
                <w:lang w:val="zh-CN"/>
              </w:rPr>
              <w:t>0.078</w:t>
            </w:r>
          </w:p>
        </w:tc>
      </w:tr>
      <w:tr w:rsidR="004346F3" w:rsidRPr="00C64ECB" w14:paraId="39E20C94"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2971F68E"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140C6F18"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0" w:type="dxa"/>
            <w:tcBorders>
              <w:top w:val="single" w:sz="4" w:space="0" w:color="auto"/>
              <w:left w:val="nil"/>
              <w:bottom w:val="single" w:sz="4" w:space="0" w:color="auto"/>
              <w:right w:val="single" w:sz="4" w:space="0" w:color="auto"/>
            </w:tcBorders>
            <w:shd w:val="clear" w:color="auto" w:fill="auto"/>
          </w:tcPr>
          <w:p w14:paraId="3C0EA677" w14:textId="77777777" w:rsidR="004346F3" w:rsidRPr="00536CFD" w:rsidRDefault="004346F3" w:rsidP="00802ABC">
            <w:pPr>
              <w:spacing w:after="0"/>
              <w:jc w:val="center"/>
              <w:rPr>
                <w:lang w:val="zh-CN"/>
              </w:rPr>
            </w:pPr>
            <w:r w:rsidRPr="00536CFD">
              <w:rPr>
                <w:lang w:val="zh-CN"/>
              </w:rPr>
              <w:t>99%</w:t>
            </w:r>
          </w:p>
        </w:tc>
        <w:tc>
          <w:tcPr>
            <w:tcW w:w="643" w:type="dxa"/>
            <w:gridSpan w:val="2"/>
            <w:tcBorders>
              <w:top w:val="single" w:sz="4" w:space="0" w:color="auto"/>
              <w:left w:val="nil"/>
              <w:bottom w:val="single" w:sz="4" w:space="0" w:color="auto"/>
              <w:right w:val="single" w:sz="4" w:space="0" w:color="auto"/>
            </w:tcBorders>
            <w:shd w:val="clear" w:color="auto" w:fill="auto"/>
          </w:tcPr>
          <w:p w14:paraId="1914E64B" w14:textId="77777777" w:rsidR="004346F3" w:rsidRPr="00536CFD" w:rsidRDefault="004346F3" w:rsidP="00802ABC">
            <w:pPr>
              <w:spacing w:after="0"/>
              <w:jc w:val="center"/>
              <w:rPr>
                <w:lang w:val="zh-CN"/>
              </w:rPr>
            </w:pPr>
            <w:r w:rsidRPr="00536CFD">
              <w:rPr>
                <w:lang w:val="zh-CN"/>
              </w:rPr>
              <w:t>100%</w:t>
            </w:r>
          </w:p>
        </w:tc>
        <w:tc>
          <w:tcPr>
            <w:tcW w:w="649" w:type="dxa"/>
            <w:gridSpan w:val="2"/>
            <w:tcBorders>
              <w:top w:val="single" w:sz="4" w:space="0" w:color="auto"/>
              <w:left w:val="nil"/>
              <w:bottom w:val="single" w:sz="4" w:space="0" w:color="auto"/>
              <w:right w:val="single" w:sz="4" w:space="0" w:color="auto"/>
            </w:tcBorders>
            <w:shd w:val="clear" w:color="auto" w:fill="auto"/>
          </w:tcPr>
          <w:p w14:paraId="51D39486"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tcPr>
          <w:p w14:paraId="3CF5CB3F" w14:textId="77777777" w:rsidR="004346F3" w:rsidRPr="00536CFD" w:rsidRDefault="004346F3" w:rsidP="00802ABC">
            <w:pPr>
              <w:spacing w:after="0"/>
              <w:jc w:val="center"/>
              <w:rPr>
                <w:lang w:val="zh-CN"/>
              </w:rPr>
            </w:pPr>
            <w:r w:rsidRPr="00536CFD">
              <w:rPr>
                <w:lang w:val="zh-CN"/>
              </w:rPr>
              <w:t>100%</w:t>
            </w:r>
          </w:p>
        </w:tc>
        <w:tc>
          <w:tcPr>
            <w:tcW w:w="714" w:type="dxa"/>
            <w:gridSpan w:val="2"/>
            <w:tcBorders>
              <w:top w:val="single" w:sz="4" w:space="0" w:color="auto"/>
              <w:left w:val="nil"/>
              <w:bottom w:val="single" w:sz="4" w:space="0" w:color="auto"/>
              <w:right w:val="single" w:sz="4" w:space="0" w:color="auto"/>
            </w:tcBorders>
            <w:shd w:val="clear" w:color="auto" w:fill="auto"/>
          </w:tcPr>
          <w:p w14:paraId="3C82FF50" w14:textId="77777777" w:rsidR="004346F3" w:rsidRPr="00536CFD" w:rsidRDefault="004346F3" w:rsidP="00802ABC">
            <w:pPr>
              <w:spacing w:after="0"/>
              <w:jc w:val="center"/>
              <w:rPr>
                <w:lang w:val="zh-CN"/>
              </w:rPr>
            </w:pPr>
            <w:r w:rsidRPr="00536CFD">
              <w:rPr>
                <w:lang w:val="zh-CN"/>
              </w:rPr>
              <w:t>88%</w:t>
            </w:r>
          </w:p>
        </w:tc>
        <w:tc>
          <w:tcPr>
            <w:tcW w:w="714" w:type="dxa"/>
            <w:tcBorders>
              <w:top w:val="single" w:sz="4" w:space="0" w:color="auto"/>
              <w:left w:val="nil"/>
              <w:bottom w:val="single" w:sz="4" w:space="0" w:color="auto"/>
              <w:right w:val="single" w:sz="4" w:space="0" w:color="auto"/>
            </w:tcBorders>
            <w:shd w:val="clear" w:color="auto" w:fill="auto"/>
          </w:tcPr>
          <w:p w14:paraId="08896839"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tcPr>
          <w:p w14:paraId="1A70031D"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tcPr>
          <w:p w14:paraId="5634300C"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tcPr>
          <w:p w14:paraId="2B242543" w14:textId="77777777" w:rsidR="004346F3" w:rsidRPr="00536CFD" w:rsidRDefault="004346F3" w:rsidP="00802ABC">
            <w:pPr>
              <w:spacing w:after="0"/>
              <w:jc w:val="center"/>
              <w:rPr>
                <w:lang w:val="zh-CN"/>
              </w:rPr>
            </w:pPr>
            <w:r w:rsidRPr="00536CFD">
              <w:rPr>
                <w:lang w:val="zh-CN"/>
              </w:rPr>
              <w:t>73%</w:t>
            </w:r>
          </w:p>
        </w:tc>
        <w:tc>
          <w:tcPr>
            <w:tcW w:w="737" w:type="dxa"/>
            <w:gridSpan w:val="2"/>
            <w:tcBorders>
              <w:top w:val="single" w:sz="4" w:space="0" w:color="auto"/>
              <w:left w:val="nil"/>
              <w:bottom w:val="single" w:sz="4" w:space="0" w:color="auto"/>
              <w:right w:val="single" w:sz="4" w:space="0" w:color="auto"/>
            </w:tcBorders>
            <w:shd w:val="clear" w:color="auto" w:fill="auto"/>
          </w:tcPr>
          <w:p w14:paraId="24B63A35" w14:textId="77777777" w:rsidR="004346F3" w:rsidRPr="00536CFD" w:rsidRDefault="004346F3" w:rsidP="00802ABC">
            <w:pPr>
              <w:spacing w:after="0"/>
              <w:jc w:val="center"/>
              <w:rPr>
                <w:lang w:val="zh-CN"/>
              </w:rPr>
            </w:pPr>
            <w:r w:rsidRPr="00536CFD">
              <w:rPr>
                <w:lang w:val="zh-CN"/>
              </w:rPr>
              <w:t>99%</w:t>
            </w:r>
          </w:p>
        </w:tc>
        <w:tc>
          <w:tcPr>
            <w:tcW w:w="736" w:type="dxa"/>
            <w:gridSpan w:val="2"/>
            <w:tcBorders>
              <w:top w:val="single" w:sz="4" w:space="0" w:color="auto"/>
              <w:left w:val="nil"/>
              <w:bottom w:val="single" w:sz="4" w:space="0" w:color="auto"/>
              <w:right w:val="single" w:sz="4" w:space="0" w:color="auto"/>
            </w:tcBorders>
            <w:shd w:val="clear" w:color="auto" w:fill="auto"/>
          </w:tcPr>
          <w:p w14:paraId="7DE3C5F0" w14:textId="77777777" w:rsidR="004346F3" w:rsidRPr="00536CFD" w:rsidRDefault="004346F3" w:rsidP="00802ABC">
            <w:pPr>
              <w:spacing w:after="0"/>
              <w:jc w:val="center"/>
              <w:rPr>
                <w:lang w:val="zh-CN"/>
              </w:rPr>
            </w:pPr>
            <w:r w:rsidRPr="00536CFD">
              <w:rPr>
                <w:lang w:val="zh-CN"/>
              </w:rPr>
              <w:t>99%</w:t>
            </w:r>
          </w:p>
        </w:tc>
        <w:tc>
          <w:tcPr>
            <w:tcW w:w="676" w:type="dxa"/>
            <w:tcBorders>
              <w:top w:val="single" w:sz="4" w:space="0" w:color="auto"/>
              <w:left w:val="nil"/>
              <w:bottom w:val="single" w:sz="4" w:space="0" w:color="auto"/>
              <w:right w:val="single" w:sz="4" w:space="0" w:color="auto"/>
            </w:tcBorders>
            <w:shd w:val="clear" w:color="auto" w:fill="auto"/>
          </w:tcPr>
          <w:p w14:paraId="262D7B5B" w14:textId="77777777" w:rsidR="004346F3" w:rsidRPr="00536CFD" w:rsidRDefault="004346F3" w:rsidP="00802ABC">
            <w:pPr>
              <w:spacing w:after="0"/>
              <w:jc w:val="center"/>
              <w:rPr>
                <w:lang w:val="zh-CN"/>
              </w:rPr>
            </w:pPr>
            <w:r w:rsidRPr="00536CFD">
              <w:rPr>
                <w:lang w:val="zh-CN"/>
              </w:rPr>
              <w:t>100%</w:t>
            </w:r>
          </w:p>
        </w:tc>
      </w:tr>
      <w:tr w:rsidR="004346F3" w:rsidRPr="00C64ECB" w14:paraId="2BF56B4B"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0095E49"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7272EC29"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0" w:type="dxa"/>
            <w:tcBorders>
              <w:top w:val="single" w:sz="4" w:space="0" w:color="auto"/>
              <w:left w:val="nil"/>
              <w:bottom w:val="single" w:sz="4" w:space="0" w:color="auto"/>
              <w:right w:val="single" w:sz="4" w:space="0" w:color="auto"/>
            </w:tcBorders>
            <w:shd w:val="clear" w:color="auto" w:fill="auto"/>
          </w:tcPr>
          <w:p w14:paraId="3DDAD256" w14:textId="77777777" w:rsidR="004346F3" w:rsidRPr="00536CFD" w:rsidRDefault="004346F3" w:rsidP="00802ABC">
            <w:pPr>
              <w:spacing w:after="0"/>
              <w:jc w:val="center"/>
              <w:rPr>
                <w:lang w:val="zh-CN"/>
              </w:rPr>
            </w:pPr>
            <w:r w:rsidRPr="00536CFD">
              <w:rPr>
                <w:lang w:val="zh-CN"/>
              </w:rPr>
              <w:t>99%</w:t>
            </w:r>
          </w:p>
        </w:tc>
        <w:tc>
          <w:tcPr>
            <w:tcW w:w="643" w:type="dxa"/>
            <w:gridSpan w:val="2"/>
            <w:tcBorders>
              <w:top w:val="single" w:sz="4" w:space="0" w:color="auto"/>
              <w:left w:val="nil"/>
              <w:bottom w:val="single" w:sz="4" w:space="0" w:color="auto"/>
              <w:right w:val="single" w:sz="4" w:space="0" w:color="auto"/>
            </w:tcBorders>
            <w:shd w:val="clear" w:color="auto" w:fill="auto"/>
          </w:tcPr>
          <w:p w14:paraId="0EC40762" w14:textId="77777777" w:rsidR="004346F3" w:rsidRPr="00536CFD" w:rsidRDefault="004346F3" w:rsidP="00802ABC">
            <w:pPr>
              <w:spacing w:after="0"/>
              <w:jc w:val="center"/>
              <w:rPr>
                <w:lang w:val="zh-CN"/>
              </w:rPr>
            </w:pPr>
            <w:r w:rsidRPr="00536CFD">
              <w:rPr>
                <w:lang w:val="zh-CN"/>
              </w:rPr>
              <w:t>100%</w:t>
            </w:r>
          </w:p>
        </w:tc>
        <w:tc>
          <w:tcPr>
            <w:tcW w:w="649" w:type="dxa"/>
            <w:gridSpan w:val="2"/>
            <w:tcBorders>
              <w:top w:val="single" w:sz="4" w:space="0" w:color="auto"/>
              <w:left w:val="nil"/>
              <w:bottom w:val="single" w:sz="4" w:space="0" w:color="auto"/>
              <w:right w:val="single" w:sz="4" w:space="0" w:color="auto"/>
            </w:tcBorders>
            <w:shd w:val="clear" w:color="auto" w:fill="auto"/>
          </w:tcPr>
          <w:p w14:paraId="115C01C9" w14:textId="77777777" w:rsidR="004346F3" w:rsidRPr="00536CFD" w:rsidRDefault="004346F3" w:rsidP="00802ABC">
            <w:pPr>
              <w:spacing w:after="0"/>
              <w:jc w:val="center"/>
              <w:rPr>
                <w:lang w:val="zh-CN"/>
              </w:rPr>
            </w:pPr>
            <w:r w:rsidRPr="00536CFD">
              <w:rPr>
                <w:lang w:val="zh-CN"/>
              </w:rPr>
              <w:t>100%</w:t>
            </w:r>
          </w:p>
        </w:tc>
        <w:tc>
          <w:tcPr>
            <w:tcW w:w="643" w:type="dxa"/>
            <w:gridSpan w:val="2"/>
            <w:tcBorders>
              <w:top w:val="single" w:sz="4" w:space="0" w:color="auto"/>
              <w:left w:val="nil"/>
              <w:bottom w:val="single" w:sz="4" w:space="0" w:color="auto"/>
              <w:right w:val="single" w:sz="4" w:space="0" w:color="auto"/>
            </w:tcBorders>
            <w:shd w:val="clear" w:color="auto" w:fill="auto"/>
          </w:tcPr>
          <w:p w14:paraId="11BD44EE" w14:textId="77777777" w:rsidR="004346F3" w:rsidRPr="00536CFD" w:rsidRDefault="004346F3" w:rsidP="00802ABC">
            <w:pPr>
              <w:spacing w:after="0"/>
              <w:jc w:val="center"/>
              <w:rPr>
                <w:lang w:val="zh-CN"/>
              </w:rPr>
            </w:pPr>
            <w:r w:rsidRPr="00536CFD">
              <w:rPr>
                <w:lang w:val="zh-CN"/>
              </w:rPr>
              <w:t>100%</w:t>
            </w:r>
          </w:p>
        </w:tc>
        <w:tc>
          <w:tcPr>
            <w:tcW w:w="714" w:type="dxa"/>
            <w:gridSpan w:val="2"/>
            <w:tcBorders>
              <w:top w:val="single" w:sz="4" w:space="0" w:color="auto"/>
              <w:left w:val="nil"/>
              <w:bottom w:val="single" w:sz="4" w:space="0" w:color="auto"/>
              <w:right w:val="single" w:sz="4" w:space="0" w:color="auto"/>
            </w:tcBorders>
            <w:shd w:val="clear" w:color="auto" w:fill="auto"/>
          </w:tcPr>
          <w:p w14:paraId="250A07D3" w14:textId="77777777" w:rsidR="004346F3" w:rsidRPr="00536CFD" w:rsidRDefault="004346F3" w:rsidP="00802ABC">
            <w:pPr>
              <w:spacing w:after="0"/>
              <w:jc w:val="center"/>
              <w:rPr>
                <w:lang w:val="zh-CN"/>
              </w:rPr>
            </w:pPr>
            <w:r w:rsidRPr="00536CFD">
              <w:rPr>
                <w:lang w:val="zh-CN"/>
              </w:rPr>
              <w:t>93%</w:t>
            </w:r>
          </w:p>
        </w:tc>
        <w:tc>
          <w:tcPr>
            <w:tcW w:w="714" w:type="dxa"/>
            <w:tcBorders>
              <w:top w:val="single" w:sz="4" w:space="0" w:color="auto"/>
              <w:left w:val="nil"/>
              <w:bottom w:val="single" w:sz="4" w:space="0" w:color="auto"/>
              <w:right w:val="single" w:sz="4" w:space="0" w:color="auto"/>
            </w:tcBorders>
            <w:shd w:val="clear" w:color="auto" w:fill="auto"/>
          </w:tcPr>
          <w:p w14:paraId="0CDAE752"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tcPr>
          <w:p w14:paraId="44E8FB12" w14:textId="77777777" w:rsidR="004346F3" w:rsidRPr="00536CFD" w:rsidRDefault="004346F3" w:rsidP="00802ABC">
            <w:pPr>
              <w:spacing w:after="0"/>
              <w:jc w:val="center"/>
              <w:rPr>
                <w:lang w:val="zh-CN"/>
              </w:rPr>
            </w:pPr>
            <w:r w:rsidRPr="00536CFD">
              <w:rPr>
                <w:lang w:val="zh-CN"/>
              </w:rPr>
              <w:t>100%</w:t>
            </w:r>
          </w:p>
        </w:tc>
        <w:tc>
          <w:tcPr>
            <w:tcW w:w="719" w:type="dxa"/>
            <w:tcBorders>
              <w:top w:val="single" w:sz="4" w:space="0" w:color="auto"/>
              <w:left w:val="nil"/>
              <w:bottom w:val="single" w:sz="4" w:space="0" w:color="auto"/>
              <w:right w:val="single" w:sz="4" w:space="0" w:color="auto"/>
            </w:tcBorders>
            <w:shd w:val="clear" w:color="auto" w:fill="auto"/>
          </w:tcPr>
          <w:p w14:paraId="38F4C9EA" w14:textId="77777777" w:rsidR="004346F3" w:rsidRPr="00536CFD" w:rsidRDefault="004346F3" w:rsidP="00802ABC">
            <w:pPr>
              <w:spacing w:after="0"/>
              <w:jc w:val="center"/>
              <w:rPr>
                <w:lang w:val="zh-CN"/>
              </w:rPr>
            </w:pPr>
            <w:r w:rsidRPr="00536CFD">
              <w:rPr>
                <w:lang w:val="zh-CN"/>
              </w:rPr>
              <w:t>100%</w:t>
            </w:r>
          </w:p>
        </w:tc>
        <w:tc>
          <w:tcPr>
            <w:tcW w:w="736" w:type="dxa"/>
            <w:gridSpan w:val="2"/>
            <w:tcBorders>
              <w:top w:val="single" w:sz="4" w:space="0" w:color="auto"/>
              <w:left w:val="nil"/>
              <w:bottom w:val="single" w:sz="4" w:space="0" w:color="auto"/>
              <w:right w:val="single" w:sz="4" w:space="0" w:color="auto"/>
            </w:tcBorders>
            <w:shd w:val="clear" w:color="auto" w:fill="auto"/>
          </w:tcPr>
          <w:p w14:paraId="21F2F0D3" w14:textId="77777777" w:rsidR="004346F3" w:rsidRPr="00536CFD" w:rsidRDefault="004346F3" w:rsidP="00802ABC">
            <w:pPr>
              <w:spacing w:after="0"/>
              <w:jc w:val="center"/>
              <w:rPr>
                <w:lang w:val="zh-CN"/>
              </w:rPr>
            </w:pPr>
            <w:r w:rsidRPr="00536CFD">
              <w:rPr>
                <w:lang w:val="zh-CN"/>
              </w:rPr>
              <w:t>86%</w:t>
            </w:r>
          </w:p>
        </w:tc>
        <w:tc>
          <w:tcPr>
            <w:tcW w:w="737" w:type="dxa"/>
            <w:gridSpan w:val="2"/>
            <w:tcBorders>
              <w:top w:val="single" w:sz="4" w:space="0" w:color="auto"/>
              <w:left w:val="nil"/>
              <w:bottom w:val="single" w:sz="4" w:space="0" w:color="auto"/>
              <w:right w:val="single" w:sz="4" w:space="0" w:color="auto"/>
            </w:tcBorders>
            <w:shd w:val="clear" w:color="auto" w:fill="auto"/>
          </w:tcPr>
          <w:p w14:paraId="000D87D4" w14:textId="77777777" w:rsidR="004346F3" w:rsidRPr="00536CFD" w:rsidRDefault="004346F3" w:rsidP="00802ABC">
            <w:pPr>
              <w:spacing w:after="0"/>
              <w:jc w:val="center"/>
              <w:rPr>
                <w:lang w:val="zh-CN"/>
              </w:rPr>
            </w:pPr>
            <w:r w:rsidRPr="00536CFD">
              <w:rPr>
                <w:lang w:val="zh-CN"/>
              </w:rPr>
              <w:t>99%</w:t>
            </w:r>
          </w:p>
        </w:tc>
        <w:tc>
          <w:tcPr>
            <w:tcW w:w="736" w:type="dxa"/>
            <w:gridSpan w:val="2"/>
            <w:tcBorders>
              <w:top w:val="single" w:sz="4" w:space="0" w:color="auto"/>
              <w:left w:val="nil"/>
              <w:bottom w:val="single" w:sz="4" w:space="0" w:color="auto"/>
              <w:right w:val="single" w:sz="4" w:space="0" w:color="auto"/>
            </w:tcBorders>
            <w:shd w:val="clear" w:color="auto" w:fill="auto"/>
          </w:tcPr>
          <w:p w14:paraId="222073D5" w14:textId="77777777" w:rsidR="004346F3" w:rsidRPr="00536CFD" w:rsidRDefault="004346F3" w:rsidP="00802ABC">
            <w:pPr>
              <w:spacing w:after="0"/>
              <w:jc w:val="center"/>
              <w:rPr>
                <w:lang w:val="zh-CN"/>
              </w:rPr>
            </w:pPr>
            <w:r w:rsidRPr="00536CFD">
              <w:rPr>
                <w:lang w:val="zh-CN"/>
              </w:rPr>
              <w:t>98%</w:t>
            </w:r>
          </w:p>
        </w:tc>
        <w:tc>
          <w:tcPr>
            <w:tcW w:w="676" w:type="dxa"/>
            <w:tcBorders>
              <w:top w:val="single" w:sz="4" w:space="0" w:color="auto"/>
              <w:left w:val="nil"/>
              <w:bottom w:val="single" w:sz="4" w:space="0" w:color="auto"/>
              <w:right w:val="single" w:sz="4" w:space="0" w:color="auto"/>
            </w:tcBorders>
            <w:shd w:val="clear" w:color="auto" w:fill="auto"/>
          </w:tcPr>
          <w:p w14:paraId="5208857A" w14:textId="77777777" w:rsidR="004346F3" w:rsidRPr="00536CFD" w:rsidRDefault="004346F3" w:rsidP="00802ABC">
            <w:pPr>
              <w:spacing w:after="0"/>
              <w:jc w:val="center"/>
              <w:rPr>
                <w:lang w:val="zh-CN"/>
              </w:rPr>
            </w:pPr>
            <w:r w:rsidRPr="00536CFD">
              <w:rPr>
                <w:lang w:val="zh-CN"/>
              </w:rPr>
              <w:t>100%</w:t>
            </w:r>
          </w:p>
        </w:tc>
      </w:tr>
      <w:tr w:rsidR="004346F3" w:rsidRPr="00C64ECB" w14:paraId="78DB8945"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0121EB26"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0D46CE8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0" w:type="dxa"/>
            <w:tcBorders>
              <w:top w:val="single" w:sz="4" w:space="0" w:color="auto"/>
              <w:left w:val="nil"/>
              <w:bottom w:val="single" w:sz="4" w:space="0" w:color="auto"/>
              <w:right w:val="single" w:sz="4" w:space="0" w:color="auto"/>
            </w:tcBorders>
            <w:shd w:val="clear" w:color="auto" w:fill="auto"/>
          </w:tcPr>
          <w:p w14:paraId="706E9E1C" w14:textId="77777777" w:rsidR="004346F3" w:rsidRPr="00536CFD" w:rsidRDefault="004346F3" w:rsidP="00802ABC">
            <w:pPr>
              <w:spacing w:after="0"/>
              <w:jc w:val="center"/>
              <w:rPr>
                <w:lang w:val="zh-CN"/>
              </w:rPr>
            </w:pPr>
            <w:r w:rsidRPr="00536CFD">
              <w:rPr>
                <w:lang w:val="zh-CN"/>
              </w:rPr>
              <w:t>10%</w:t>
            </w:r>
          </w:p>
        </w:tc>
        <w:tc>
          <w:tcPr>
            <w:tcW w:w="643" w:type="dxa"/>
            <w:gridSpan w:val="2"/>
            <w:tcBorders>
              <w:top w:val="single" w:sz="4" w:space="0" w:color="auto"/>
              <w:left w:val="nil"/>
              <w:bottom w:val="single" w:sz="4" w:space="0" w:color="auto"/>
              <w:right w:val="single" w:sz="4" w:space="0" w:color="auto"/>
            </w:tcBorders>
            <w:shd w:val="clear" w:color="auto" w:fill="auto"/>
          </w:tcPr>
          <w:p w14:paraId="5EB487ED" w14:textId="77777777" w:rsidR="004346F3" w:rsidRPr="00536CFD" w:rsidRDefault="004346F3" w:rsidP="00802ABC">
            <w:pPr>
              <w:spacing w:after="0"/>
              <w:jc w:val="center"/>
              <w:rPr>
                <w:lang w:val="zh-CN"/>
              </w:rPr>
            </w:pPr>
            <w:r w:rsidRPr="00536CFD">
              <w:rPr>
                <w:lang w:val="zh-CN"/>
              </w:rPr>
              <w:t>4.6%</w:t>
            </w:r>
          </w:p>
        </w:tc>
        <w:tc>
          <w:tcPr>
            <w:tcW w:w="649" w:type="dxa"/>
            <w:gridSpan w:val="2"/>
            <w:tcBorders>
              <w:top w:val="single" w:sz="4" w:space="0" w:color="auto"/>
              <w:left w:val="nil"/>
              <w:bottom w:val="single" w:sz="4" w:space="0" w:color="auto"/>
              <w:right w:val="single" w:sz="4" w:space="0" w:color="auto"/>
            </w:tcBorders>
            <w:shd w:val="clear" w:color="auto" w:fill="auto"/>
          </w:tcPr>
          <w:p w14:paraId="4ECF78F9" w14:textId="77777777" w:rsidR="004346F3" w:rsidRPr="00536CFD" w:rsidRDefault="004346F3" w:rsidP="00802ABC">
            <w:pPr>
              <w:spacing w:after="0"/>
              <w:jc w:val="center"/>
              <w:rPr>
                <w:lang w:val="zh-CN"/>
              </w:rPr>
            </w:pPr>
            <w:r w:rsidRPr="00536CFD">
              <w:rPr>
                <w:lang w:val="zh-CN"/>
              </w:rPr>
              <w:t>4.1%</w:t>
            </w:r>
          </w:p>
        </w:tc>
        <w:tc>
          <w:tcPr>
            <w:tcW w:w="643" w:type="dxa"/>
            <w:gridSpan w:val="2"/>
            <w:tcBorders>
              <w:top w:val="single" w:sz="4" w:space="0" w:color="auto"/>
              <w:left w:val="nil"/>
              <w:bottom w:val="single" w:sz="4" w:space="0" w:color="auto"/>
              <w:right w:val="single" w:sz="4" w:space="0" w:color="auto"/>
            </w:tcBorders>
            <w:shd w:val="clear" w:color="auto" w:fill="auto"/>
          </w:tcPr>
          <w:p w14:paraId="0860B530" w14:textId="77777777" w:rsidR="004346F3" w:rsidRPr="00536CFD" w:rsidRDefault="004346F3" w:rsidP="00802ABC">
            <w:pPr>
              <w:spacing w:after="0"/>
              <w:jc w:val="center"/>
              <w:rPr>
                <w:lang w:val="zh-CN"/>
              </w:rPr>
            </w:pPr>
            <w:r w:rsidRPr="00536CFD">
              <w:rPr>
                <w:lang w:val="zh-CN"/>
              </w:rPr>
              <w:t>3.6%</w:t>
            </w:r>
          </w:p>
        </w:tc>
        <w:tc>
          <w:tcPr>
            <w:tcW w:w="714" w:type="dxa"/>
            <w:gridSpan w:val="2"/>
            <w:tcBorders>
              <w:top w:val="single" w:sz="4" w:space="0" w:color="auto"/>
              <w:left w:val="nil"/>
              <w:bottom w:val="single" w:sz="4" w:space="0" w:color="auto"/>
              <w:right w:val="single" w:sz="4" w:space="0" w:color="auto"/>
            </w:tcBorders>
            <w:shd w:val="clear" w:color="auto" w:fill="auto"/>
          </w:tcPr>
          <w:p w14:paraId="0113A5EB" w14:textId="77777777" w:rsidR="004346F3" w:rsidRPr="00536CFD" w:rsidRDefault="004346F3" w:rsidP="00802ABC">
            <w:pPr>
              <w:spacing w:after="0"/>
              <w:jc w:val="center"/>
              <w:rPr>
                <w:lang w:val="zh-CN"/>
              </w:rPr>
            </w:pPr>
            <w:r w:rsidRPr="00536CFD">
              <w:rPr>
                <w:lang w:val="zh-CN"/>
              </w:rPr>
              <w:t>35%</w:t>
            </w:r>
          </w:p>
        </w:tc>
        <w:tc>
          <w:tcPr>
            <w:tcW w:w="714" w:type="dxa"/>
            <w:tcBorders>
              <w:top w:val="single" w:sz="4" w:space="0" w:color="auto"/>
              <w:left w:val="nil"/>
              <w:bottom w:val="single" w:sz="4" w:space="0" w:color="auto"/>
              <w:right w:val="single" w:sz="4" w:space="0" w:color="auto"/>
            </w:tcBorders>
            <w:shd w:val="clear" w:color="auto" w:fill="auto"/>
          </w:tcPr>
          <w:p w14:paraId="69D0D3AD" w14:textId="77777777" w:rsidR="004346F3" w:rsidRPr="00536CFD" w:rsidRDefault="004346F3" w:rsidP="00802ABC">
            <w:pPr>
              <w:spacing w:after="0"/>
              <w:jc w:val="center"/>
              <w:rPr>
                <w:lang w:val="zh-CN"/>
              </w:rPr>
            </w:pPr>
            <w:r w:rsidRPr="00536CFD">
              <w:rPr>
                <w:lang w:val="zh-CN"/>
              </w:rPr>
              <w:t>7%</w:t>
            </w:r>
          </w:p>
        </w:tc>
        <w:tc>
          <w:tcPr>
            <w:tcW w:w="719" w:type="dxa"/>
            <w:tcBorders>
              <w:top w:val="single" w:sz="4" w:space="0" w:color="auto"/>
              <w:left w:val="nil"/>
              <w:bottom w:val="single" w:sz="4" w:space="0" w:color="auto"/>
              <w:right w:val="single" w:sz="4" w:space="0" w:color="auto"/>
            </w:tcBorders>
            <w:shd w:val="clear" w:color="auto" w:fill="auto"/>
          </w:tcPr>
          <w:p w14:paraId="0B55939B" w14:textId="77777777" w:rsidR="004346F3" w:rsidRPr="00536CFD" w:rsidRDefault="004346F3" w:rsidP="00802ABC">
            <w:pPr>
              <w:spacing w:after="0"/>
              <w:jc w:val="center"/>
              <w:rPr>
                <w:lang w:val="zh-CN"/>
              </w:rPr>
            </w:pPr>
            <w:r w:rsidRPr="00536CFD">
              <w:rPr>
                <w:lang w:val="zh-CN"/>
              </w:rPr>
              <w:t>6.3%</w:t>
            </w:r>
          </w:p>
        </w:tc>
        <w:tc>
          <w:tcPr>
            <w:tcW w:w="719" w:type="dxa"/>
            <w:tcBorders>
              <w:top w:val="single" w:sz="4" w:space="0" w:color="auto"/>
              <w:left w:val="nil"/>
              <w:bottom w:val="single" w:sz="4" w:space="0" w:color="auto"/>
              <w:right w:val="single" w:sz="4" w:space="0" w:color="auto"/>
            </w:tcBorders>
            <w:shd w:val="clear" w:color="auto" w:fill="auto"/>
          </w:tcPr>
          <w:p w14:paraId="6D0C54A2" w14:textId="77777777" w:rsidR="004346F3" w:rsidRPr="00536CFD" w:rsidRDefault="004346F3" w:rsidP="00802ABC">
            <w:pPr>
              <w:spacing w:after="0"/>
              <w:jc w:val="center"/>
              <w:rPr>
                <w:lang w:val="zh-CN"/>
              </w:rPr>
            </w:pPr>
            <w:r w:rsidRPr="00536CFD">
              <w:rPr>
                <w:lang w:val="zh-CN"/>
              </w:rPr>
              <w:t>4.6%</w:t>
            </w:r>
          </w:p>
        </w:tc>
        <w:tc>
          <w:tcPr>
            <w:tcW w:w="736" w:type="dxa"/>
            <w:gridSpan w:val="2"/>
            <w:tcBorders>
              <w:top w:val="single" w:sz="4" w:space="0" w:color="auto"/>
              <w:left w:val="nil"/>
              <w:bottom w:val="single" w:sz="4" w:space="0" w:color="auto"/>
              <w:right w:val="single" w:sz="4" w:space="0" w:color="auto"/>
            </w:tcBorders>
            <w:shd w:val="clear" w:color="auto" w:fill="auto"/>
          </w:tcPr>
          <w:p w14:paraId="0D17B4F4" w14:textId="77777777" w:rsidR="004346F3" w:rsidRPr="00536CFD" w:rsidRDefault="004346F3" w:rsidP="00802ABC">
            <w:pPr>
              <w:spacing w:after="0"/>
              <w:jc w:val="center"/>
              <w:rPr>
                <w:lang w:val="zh-CN"/>
              </w:rPr>
            </w:pPr>
            <w:r w:rsidRPr="00536CFD">
              <w:rPr>
                <w:lang w:val="zh-CN"/>
              </w:rPr>
              <w:t>60%</w:t>
            </w:r>
          </w:p>
        </w:tc>
        <w:tc>
          <w:tcPr>
            <w:tcW w:w="737" w:type="dxa"/>
            <w:gridSpan w:val="2"/>
            <w:tcBorders>
              <w:top w:val="single" w:sz="4" w:space="0" w:color="auto"/>
              <w:left w:val="nil"/>
              <w:bottom w:val="single" w:sz="4" w:space="0" w:color="auto"/>
              <w:right w:val="single" w:sz="4" w:space="0" w:color="auto"/>
            </w:tcBorders>
            <w:shd w:val="clear" w:color="auto" w:fill="auto"/>
          </w:tcPr>
          <w:p w14:paraId="6185AFE8" w14:textId="77777777" w:rsidR="004346F3" w:rsidRPr="00536CFD" w:rsidRDefault="004346F3" w:rsidP="00802ABC">
            <w:pPr>
              <w:spacing w:after="0"/>
              <w:jc w:val="center"/>
              <w:rPr>
                <w:lang w:val="zh-CN"/>
              </w:rPr>
            </w:pPr>
            <w:r w:rsidRPr="00536CFD">
              <w:rPr>
                <w:lang w:val="zh-CN"/>
              </w:rPr>
              <w:t>12%</w:t>
            </w:r>
          </w:p>
        </w:tc>
        <w:tc>
          <w:tcPr>
            <w:tcW w:w="736" w:type="dxa"/>
            <w:gridSpan w:val="2"/>
            <w:tcBorders>
              <w:top w:val="single" w:sz="4" w:space="0" w:color="auto"/>
              <w:left w:val="nil"/>
              <w:bottom w:val="single" w:sz="4" w:space="0" w:color="auto"/>
              <w:right w:val="single" w:sz="4" w:space="0" w:color="auto"/>
            </w:tcBorders>
            <w:shd w:val="clear" w:color="auto" w:fill="auto"/>
          </w:tcPr>
          <w:p w14:paraId="60BA4B1E" w14:textId="77777777" w:rsidR="004346F3" w:rsidRPr="00536CFD" w:rsidRDefault="004346F3" w:rsidP="00802ABC">
            <w:pPr>
              <w:spacing w:after="0"/>
              <w:jc w:val="center"/>
              <w:rPr>
                <w:lang w:val="zh-CN"/>
              </w:rPr>
            </w:pPr>
            <w:r w:rsidRPr="00536CFD">
              <w:rPr>
                <w:lang w:val="zh-CN"/>
              </w:rPr>
              <w:t>12%</w:t>
            </w:r>
          </w:p>
        </w:tc>
        <w:tc>
          <w:tcPr>
            <w:tcW w:w="676" w:type="dxa"/>
            <w:tcBorders>
              <w:top w:val="single" w:sz="4" w:space="0" w:color="auto"/>
              <w:left w:val="nil"/>
              <w:bottom w:val="single" w:sz="4" w:space="0" w:color="auto"/>
              <w:right w:val="single" w:sz="4" w:space="0" w:color="auto"/>
            </w:tcBorders>
            <w:shd w:val="clear" w:color="auto" w:fill="auto"/>
          </w:tcPr>
          <w:p w14:paraId="65E0B70E" w14:textId="77777777" w:rsidR="004346F3" w:rsidRPr="00536CFD" w:rsidRDefault="004346F3" w:rsidP="00802ABC">
            <w:pPr>
              <w:spacing w:after="0"/>
              <w:jc w:val="center"/>
              <w:rPr>
                <w:lang w:val="zh-CN"/>
              </w:rPr>
            </w:pPr>
            <w:r w:rsidRPr="00536CFD">
              <w:rPr>
                <w:lang w:val="zh-CN"/>
              </w:rPr>
              <w:t>5.8%</w:t>
            </w:r>
          </w:p>
        </w:tc>
      </w:tr>
      <w:tr w:rsidR="004346F3" w:rsidRPr="00C64ECB" w14:paraId="3DE92423"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192E1F91"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197DCF20" w14:textId="77777777" w:rsidR="004346F3" w:rsidRPr="00536CFD" w:rsidRDefault="004346F3" w:rsidP="00802ABC">
            <w:pPr>
              <w:spacing w:after="0"/>
              <w:jc w:val="center"/>
            </w:pPr>
            <w:r w:rsidRPr="00536CFD">
              <w:rPr>
                <w:rFonts w:ascii="Cambria Math" w:hAnsi="Cambria Math" w:cs="Cambria Math"/>
              </w:rPr>
              <w:t>𝜆</w:t>
            </w:r>
          </w:p>
        </w:tc>
        <w:tc>
          <w:tcPr>
            <w:tcW w:w="2515" w:type="dxa"/>
            <w:gridSpan w:val="7"/>
            <w:tcBorders>
              <w:top w:val="single" w:sz="4" w:space="0" w:color="auto"/>
              <w:left w:val="nil"/>
              <w:bottom w:val="single" w:sz="4" w:space="0" w:color="auto"/>
              <w:right w:val="single" w:sz="4" w:space="0" w:color="auto"/>
            </w:tcBorders>
            <w:shd w:val="clear" w:color="auto" w:fill="auto"/>
          </w:tcPr>
          <w:p w14:paraId="0A7FC31D" w14:textId="77777777" w:rsidR="004346F3" w:rsidRPr="00536CFD" w:rsidRDefault="004346F3" w:rsidP="00802ABC">
            <w:pPr>
              <w:spacing w:after="0"/>
              <w:jc w:val="center"/>
              <w:rPr>
                <w:lang w:val="zh-CN"/>
              </w:rPr>
            </w:pPr>
            <w:r w:rsidRPr="00536CFD">
              <w:rPr>
                <w:lang w:val="zh-CN"/>
              </w:rPr>
              <w:t>0.15 file/s</w:t>
            </w:r>
          </w:p>
        </w:tc>
        <w:tc>
          <w:tcPr>
            <w:tcW w:w="2866" w:type="dxa"/>
            <w:gridSpan w:val="5"/>
            <w:tcBorders>
              <w:top w:val="single" w:sz="4" w:space="0" w:color="auto"/>
              <w:left w:val="nil"/>
              <w:bottom w:val="single" w:sz="4" w:space="0" w:color="auto"/>
              <w:right w:val="single" w:sz="4" w:space="0" w:color="auto"/>
            </w:tcBorders>
            <w:shd w:val="clear" w:color="auto" w:fill="auto"/>
          </w:tcPr>
          <w:p w14:paraId="626CE3C2" w14:textId="77777777" w:rsidR="004346F3" w:rsidRPr="00536CFD" w:rsidRDefault="004346F3" w:rsidP="00802ABC">
            <w:pPr>
              <w:spacing w:after="0"/>
              <w:jc w:val="center"/>
              <w:rPr>
                <w:lang w:val="zh-CN"/>
              </w:rPr>
            </w:pPr>
            <w:r w:rsidRPr="00536CFD">
              <w:rPr>
                <w:lang w:val="zh-CN"/>
              </w:rPr>
              <w:t>0.17 file/s</w:t>
            </w:r>
          </w:p>
        </w:tc>
        <w:tc>
          <w:tcPr>
            <w:tcW w:w="2885" w:type="dxa"/>
            <w:gridSpan w:val="7"/>
            <w:tcBorders>
              <w:top w:val="single" w:sz="4" w:space="0" w:color="auto"/>
              <w:left w:val="nil"/>
              <w:bottom w:val="single" w:sz="4" w:space="0" w:color="auto"/>
              <w:right w:val="single" w:sz="4" w:space="0" w:color="auto"/>
            </w:tcBorders>
            <w:shd w:val="clear" w:color="auto" w:fill="auto"/>
          </w:tcPr>
          <w:p w14:paraId="066A7A79" w14:textId="77777777" w:rsidR="004346F3" w:rsidRPr="00536CFD" w:rsidRDefault="004346F3" w:rsidP="00802ABC">
            <w:pPr>
              <w:spacing w:after="0"/>
              <w:jc w:val="center"/>
              <w:rPr>
                <w:lang w:val="zh-CN"/>
              </w:rPr>
            </w:pPr>
            <w:r w:rsidRPr="00536CFD">
              <w:rPr>
                <w:lang w:val="zh-CN"/>
              </w:rPr>
              <w:t>0.20 file/s</w:t>
            </w:r>
          </w:p>
        </w:tc>
      </w:tr>
      <w:tr w:rsidR="004346F3" w:rsidRPr="00C64ECB" w14:paraId="72097AE1" w14:textId="77777777" w:rsidTr="00802ABC">
        <w:trPr>
          <w:cantSplit/>
          <w:trHeight w:val="20"/>
        </w:trPr>
        <w:tc>
          <w:tcPr>
            <w:tcW w:w="269" w:type="dxa"/>
            <w:vMerge/>
            <w:tcBorders>
              <w:top w:val="nil"/>
              <w:left w:val="single" w:sz="4" w:space="0" w:color="auto"/>
              <w:bottom w:val="single" w:sz="4" w:space="0" w:color="auto"/>
              <w:right w:val="single" w:sz="4" w:space="0" w:color="auto"/>
            </w:tcBorders>
            <w:shd w:val="clear" w:color="auto" w:fill="auto"/>
            <w:textDirection w:val="btLr"/>
          </w:tcPr>
          <w:p w14:paraId="341C24B0" w14:textId="77777777" w:rsidR="004346F3" w:rsidRPr="00536CFD" w:rsidRDefault="004346F3" w:rsidP="00802ABC">
            <w:pPr>
              <w:spacing w:after="0"/>
              <w:ind w:left="113" w:right="113"/>
            </w:pPr>
          </w:p>
        </w:tc>
        <w:tc>
          <w:tcPr>
            <w:tcW w:w="1092" w:type="dxa"/>
            <w:gridSpan w:val="3"/>
            <w:tcBorders>
              <w:top w:val="single" w:sz="4" w:space="0" w:color="auto"/>
              <w:left w:val="nil"/>
              <w:bottom w:val="single" w:sz="4" w:space="0" w:color="auto"/>
              <w:right w:val="single" w:sz="4" w:space="0" w:color="auto"/>
            </w:tcBorders>
            <w:shd w:val="clear" w:color="auto" w:fill="auto"/>
          </w:tcPr>
          <w:p w14:paraId="36B842D6" w14:textId="77777777" w:rsidR="004346F3" w:rsidRPr="00536CFD" w:rsidRDefault="004346F3" w:rsidP="00802ABC">
            <w:pPr>
              <w:spacing w:after="0"/>
              <w:contextualSpacing/>
              <w:rPr>
                <w:lang w:val="en-US" w:bidi="ar"/>
              </w:rPr>
            </w:pPr>
          </w:p>
        </w:tc>
        <w:tc>
          <w:tcPr>
            <w:tcW w:w="8266" w:type="dxa"/>
            <w:gridSpan w:val="19"/>
            <w:tcBorders>
              <w:top w:val="single" w:sz="4" w:space="0" w:color="auto"/>
              <w:left w:val="nil"/>
              <w:bottom w:val="single" w:sz="4" w:space="0" w:color="auto"/>
              <w:right w:val="single" w:sz="4" w:space="0" w:color="auto"/>
            </w:tcBorders>
            <w:shd w:val="clear" w:color="auto" w:fill="auto"/>
          </w:tcPr>
          <w:p w14:paraId="55E8EFD8" w14:textId="77777777" w:rsidR="004346F3" w:rsidRPr="00536CFD" w:rsidRDefault="004346F3" w:rsidP="00802ABC">
            <w:pPr>
              <w:pStyle w:val="ResTable"/>
              <w:jc w:val="left"/>
              <w:rPr>
                <w:rFonts w:ascii="Times New Roman" w:hAnsi="Times New Roman" w:cs="Times New Roman"/>
                <w:sz w:val="20"/>
                <w:szCs w:val="20"/>
              </w:rPr>
            </w:pPr>
            <w:r w:rsidRPr="00536CFD">
              <w:rPr>
                <w:rFonts w:ascii="Times New Roman" w:hAnsi="Times New Roman" w:cs="Times New Roman"/>
                <w:sz w:val="20"/>
                <w:szCs w:val="20"/>
              </w:rPr>
              <w:t>Additional comments:</w:t>
            </w:r>
          </w:p>
          <w:p w14:paraId="64462515" w14:textId="77777777" w:rsidR="004346F3" w:rsidRPr="00536CFD" w:rsidRDefault="004346F3" w:rsidP="00802ABC">
            <w:pPr>
              <w:rPr>
                <w:lang w:eastAsia="sv-SE"/>
              </w:rPr>
            </w:pPr>
            <w:r w:rsidRPr="00536CFD">
              <w:rPr>
                <w:b/>
                <w:bCs/>
                <w:lang w:val="en-US" w:eastAsia="sv-SE"/>
              </w:rPr>
              <w:t>Simulation setup:</w:t>
            </w:r>
            <w:r w:rsidRPr="00536CFD">
              <w:rPr>
                <w:lang w:val="en-US" w:eastAsia="sv-SE"/>
              </w:rPr>
              <w:t xml:space="preserve"> NR-U outdoor scenario 1, 50/50 DL/UL traffics. </w:t>
            </w:r>
            <w:r w:rsidRPr="00536CFD">
              <w:br/>
            </w:r>
            <w:r w:rsidRPr="00536CFD">
              <w:rPr>
                <w:b/>
                <w:bCs/>
              </w:rPr>
              <w:t>Common assumptions:</w:t>
            </w:r>
            <w:r w:rsidRPr="00536CFD">
              <w:t xml:space="preserve"> Primary LBT: Cat-4 LBT with exponential CW back-off, MCOT duration: 6ms, Max modulation: 256 QAM, </w:t>
            </w:r>
            <w:r w:rsidRPr="00536CFD">
              <w:rPr>
                <w:lang w:val="en-US"/>
              </w:rPr>
              <w:t>Antennas: 4 for BS/AP and 2 for UE/STA,</w:t>
            </w:r>
            <w:r w:rsidRPr="00536CFD">
              <w:t xml:space="preserve"> </w:t>
            </w:r>
            <w:r w:rsidRPr="00536CFD">
              <w:rPr>
                <w:lang w:val="en-US"/>
              </w:rPr>
              <w:t xml:space="preserve">BF scheme: Tx and Rx BF at BS/AP, Maximal number of layers: 2 for DL and 2 for UL, single carrier with 20MHz BW, BS/AP transmit power 20dBm, UE/STA transmit power 18dBm, MMSE-IRC receiver. CW {min,max} </w:t>
            </w:r>
            <w:r w:rsidRPr="00536CFD">
              <w:t xml:space="preserve">DL{15,63} </w:t>
            </w:r>
            <w:r w:rsidRPr="00536CFD">
              <w:rPr>
                <w:lang w:val="en-US"/>
              </w:rPr>
              <w:t>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ED threshold  -72dBm, SCS 30kHz, UE processing time capability #1, PUSCH mapping Type A, PDSCH mapping Type B, PDCCH monitoring every 1OS, Scheduling: proportional fair, self-scheduling, COT sharing enabled (gNB initiated COT).</w:t>
            </w:r>
          </w:p>
        </w:tc>
      </w:tr>
      <w:tr w:rsidR="004346F3" w:rsidRPr="00C64ECB" w14:paraId="1C19C784" w14:textId="77777777" w:rsidTr="00802ABC">
        <w:trPr>
          <w:cantSplit/>
          <w:trHeight w:val="50"/>
        </w:trPr>
        <w:tc>
          <w:tcPr>
            <w:tcW w:w="269" w:type="dxa"/>
            <w:vMerge w:val="restart"/>
            <w:shd w:val="clear" w:color="auto" w:fill="auto"/>
            <w:textDirection w:val="btLr"/>
          </w:tcPr>
          <w:p w14:paraId="70BC0B49" w14:textId="77777777" w:rsidR="004346F3" w:rsidRPr="00536CFD" w:rsidRDefault="004346F3" w:rsidP="00536CFD">
            <w:pPr>
              <w:pStyle w:val="ListParagraph"/>
              <w:pageBreakBefore/>
              <w:spacing w:after="0"/>
              <w:ind w:left="113" w:right="113" w:firstLineChars="0" w:firstLine="0"/>
              <w:jc w:val="center"/>
            </w:pPr>
            <w:r w:rsidRPr="00536CFD">
              <w:t>R1-1814074 / Source 5</w:t>
            </w:r>
          </w:p>
        </w:tc>
        <w:tc>
          <w:tcPr>
            <w:tcW w:w="541" w:type="dxa"/>
            <w:vMerge w:val="restart"/>
            <w:shd w:val="clear" w:color="auto" w:fill="auto"/>
            <w:vAlign w:val="center"/>
          </w:tcPr>
          <w:p w14:paraId="7909F1F7" w14:textId="77777777" w:rsidR="004346F3" w:rsidRPr="00536CFD" w:rsidRDefault="004346F3" w:rsidP="00536CFD">
            <w:pPr>
              <w:pStyle w:val="ListParagraph"/>
              <w:pageBreakBefore/>
              <w:spacing w:after="0"/>
              <w:ind w:firstLineChars="0" w:firstLine="0"/>
              <w:jc w:val="center"/>
              <w:rPr>
                <w:b/>
              </w:rPr>
            </w:pPr>
            <w:r w:rsidRPr="00536CFD">
              <w:rPr>
                <w:b/>
              </w:rPr>
              <w:t xml:space="preserve">DL: </w:t>
            </w:r>
          </w:p>
          <w:p w14:paraId="0D949A14" w14:textId="77777777" w:rsidR="004346F3" w:rsidRPr="00536CFD" w:rsidRDefault="004346F3" w:rsidP="00536CFD">
            <w:pPr>
              <w:pStyle w:val="ListParagraph"/>
              <w:pageBreakBefore/>
              <w:spacing w:after="0"/>
              <w:ind w:firstLineChars="0" w:firstLine="0"/>
              <w:jc w:val="center"/>
            </w:pPr>
            <w:r w:rsidRPr="00536CFD">
              <w:t>UPT  CDF [Mbps]</w:t>
            </w:r>
          </w:p>
        </w:tc>
        <w:tc>
          <w:tcPr>
            <w:tcW w:w="538" w:type="dxa"/>
            <w:shd w:val="clear" w:color="auto" w:fill="auto"/>
            <w:vAlign w:val="center"/>
          </w:tcPr>
          <w:p w14:paraId="18E7A2CC" w14:textId="77777777" w:rsidR="004346F3" w:rsidRPr="00536CFD" w:rsidRDefault="004346F3" w:rsidP="00536CFD">
            <w:pPr>
              <w:pageBreakBefore/>
              <w:spacing w:after="0"/>
              <w:jc w:val="center"/>
            </w:pPr>
            <w:r w:rsidRPr="00536CFD">
              <w:t>5%</w:t>
            </w:r>
          </w:p>
        </w:tc>
        <w:tc>
          <w:tcPr>
            <w:tcW w:w="627" w:type="dxa"/>
            <w:gridSpan w:val="3"/>
            <w:shd w:val="clear" w:color="auto" w:fill="auto"/>
            <w:vAlign w:val="center"/>
          </w:tcPr>
          <w:p w14:paraId="095D2210"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2.686</w:t>
            </w:r>
          </w:p>
        </w:tc>
        <w:tc>
          <w:tcPr>
            <w:tcW w:w="629" w:type="dxa"/>
            <w:gridSpan w:val="2"/>
            <w:shd w:val="clear" w:color="auto" w:fill="auto"/>
            <w:vAlign w:val="center"/>
          </w:tcPr>
          <w:p w14:paraId="54F06AE5"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3.225</w:t>
            </w:r>
          </w:p>
        </w:tc>
        <w:tc>
          <w:tcPr>
            <w:tcW w:w="629" w:type="dxa"/>
            <w:shd w:val="clear" w:color="auto" w:fill="auto"/>
            <w:vAlign w:val="center"/>
          </w:tcPr>
          <w:p w14:paraId="2641BE0B"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11.137</w:t>
            </w:r>
          </w:p>
        </w:tc>
        <w:tc>
          <w:tcPr>
            <w:tcW w:w="629" w:type="dxa"/>
            <w:shd w:val="clear" w:color="auto" w:fill="auto"/>
            <w:vAlign w:val="center"/>
          </w:tcPr>
          <w:p w14:paraId="43246039"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27.422</w:t>
            </w:r>
          </w:p>
        </w:tc>
        <w:tc>
          <w:tcPr>
            <w:tcW w:w="719" w:type="dxa"/>
            <w:gridSpan w:val="2"/>
            <w:shd w:val="clear" w:color="auto" w:fill="auto"/>
            <w:vAlign w:val="center"/>
          </w:tcPr>
          <w:p w14:paraId="658C3555"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0.897</w:t>
            </w:r>
          </w:p>
        </w:tc>
        <w:tc>
          <w:tcPr>
            <w:tcW w:w="723" w:type="dxa"/>
            <w:gridSpan w:val="2"/>
            <w:shd w:val="clear" w:color="auto" w:fill="auto"/>
            <w:vAlign w:val="center"/>
          </w:tcPr>
          <w:p w14:paraId="4EE6FAC9"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1.313</w:t>
            </w:r>
          </w:p>
        </w:tc>
        <w:tc>
          <w:tcPr>
            <w:tcW w:w="719" w:type="dxa"/>
            <w:shd w:val="clear" w:color="auto" w:fill="auto"/>
            <w:vAlign w:val="center"/>
          </w:tcPr>
          <w:p w14:paraId="0E2FC2FF"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2.133</w:t>
            </w:r>
          </w:p>
        </w:tc>
        <w:tc>
          <w:tcPr>
            <w:tcW w:w="719" w:type="dxa"/>
            <w:shd w:val="clear" w:color="auto" w:fill="auto"/>
            <w:vAlign w:val="center"/>
          </w:tcPr>
          <w:p w14:paraId="5958592C" w14:textId="77777777" w:rsidR="004346F3" w:rsidRPr="00536CFD" w:rsidRDefault="004346F3" w:rsidP="00536CFD">
            <w:pPr>
              <w:pStyle w:val="BodyText"/>
              <w:pageBreakBefore/>
              <w:tabs>
                <w:tab w:val="left" w:pos="443"/>
              </w:tabs>
              <w:spacing w:after="0"/>
              <w:jc w:val="center"/>
              <w:rPr>
                <w:rFonts w:eastAsia="Malgun Gothic"/>
                <w:lang w:eastAsia="ko-KR"/>
              </w:rPr>
            </w:pPr>
            <w:r w:rsidRPr="00536CFD">
              <w:rPr>
                <w:rFonts w:eastAsia="Malgun Gothic"/>
                <w:lang w:eastAsia="ko-KR"/>
              </w:rPr>
              <w:t>12.965</w:t>
            </w:r>
          </w:p>
        </w:tc>
        <w:tc>
          <w:tcPr>
            <w:tcW w:w="719" w:type="dxa"/>
            <w:shd w:val="clear" w:color="auto" w:fill="auto"/>
            <w:vAlign w:val="center"/>
          </w:tcPr>
          <w:p w14:paraId="2D61D117"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0.360</w:t>
            </w:r>
          </w:p>
        </w:tc>
        <w:tc>
          <w:tcPr>
            <w:tcW w:w="719" w:type="dxa"/>
            <w:gridSpan w:val="2"/>
            <w:shd w:val="clear" w:color="auto" w:fill="auto"/>
            <w:vAlign w:val="center"/>
          </w:tcPr>
          <w:p w14:paraId="1C9F2C9C"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0.525</w:t>
            </w:r>
          </w:p>
        </w:tc>
        <w:tc>
          <w:tcPr>
            <w:tcW w:w="719" w:type="dxa"/>
            <w:gridSpan w:val="2"/>
            <w:shd w:val="clear" w:color="auto" w:fill="auto"/>
            <w:vAlign w:val="center"/>
          </w:tcPr>
          <w:p w14:paraId="217F1A91"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1.368</w:t>
            </w:r>
          </w:p>
        </w:tc>
        <w:tc>
          <w:tcPr>
            <w:tcW w:w="728" w:type="dxa"/>
            <w:gridSpan w:val="2"/>
            <w:shd w:val="clear" w:color="auto" w:fill="auto"/>
            <w:vAlign w:val="center"/>
          </w:tcPr>
          <w:p w14:paraId="242AE181" w14:textId="77777777" w:rsidR="004346F3" w:rsidRPr="00536CFD" w:rsidRDefault="004346F3" w:rsidP="00536CFD">
            <w:pPr>
              <w:pStyle w:val="BodyText"/>
              <w:pageBreakBefore/>
              <w:spacing w:after="0"/>
              <w:jc w:val="center"/>
              <w:rPr>
                <w:rFonts w:eastAsia="Malgun Gothic"/>
                <w:lang w:eastAsia="ko-KR"/>
              </w:rPr>
            </w:pPr>
            <w:r w:rsidRPr="00536CFD">
              <w:rPr>
                <w:rFonts w:eastAsia="Malgun Gothic"/>
                <w:lang w:eastAsia="ko-KR"/>
              </w:rPr>
              <w:t>3.483</w:t>
            </w:r>
          </w:p>
        </w:tc>
      </w:tr>
      <w:tr w:rsidR="004346F3" w:rsidRPr="00C64ECB" w14:paraId="6F0D69C3" w14:textId="77777777" w:rsidTr="00802ABC">
        <w:trPr>
          <w:cantSplit/>
          <w:trHeight w:val="22"/>
        </w:trPr>
        <w:tc>
          <w:tcPr>
            <w:tcW w:w="269" w:type="dxa"/>
            <w:vMerge/>
            <w:shd w:val="clear" w:color="auto" w:fill="auto"/>
          </w:tcPr>
          <w:p w14:paraId="2407C887" w14:textId="77777777" w:rsidR="004346F3" w:rsidRPr="00536CFD" w:rsidRDefault="004346F3" w:rsidP="00802ABC">
            <w:pPr>
              <w:pStyle w:val="ListParagraph"/>
              <w:spacing w:after="0"/>
              <w:ind w:firstLineChars="0" w:firstLine="0"/>
              <w:jc w:val="center"/>
            </w:pPr>
          </w:p>
        </w:tc>
        <w:tc>
          <w:tcPr>
            <w:tcW w:w="541" w:type="dxa"/>
            <w:vMerge/>
            <w:shd w:val="clear" w:color="auto" w:fill="auto"/>
          </w:tcPr>
          <w:p w14:paraId="59A4B803" w14:textId="77777777" w:rsidR="004346F3" w:rsidRPr="00536CFD" w:rsidRDefault="004346F3" w:rsidP="00802ABC">
            <w:pPr>
              <w:pStyle w:val="ListParagraph"/>
              <w:spacing w:after="0"/>
              <w:ind w:firstLineChars="0" w:firstLine="0"/>
              <w:jc w:val="center"/>
            </w:pPr>
          </w:p>
        </w:tc>
        <w:tc>
          <w:tcPr>
            <w:tcW w:w="538" w:type="dxa"/>
            <w:shd w:val="clear" w:color="auto" w:fill="auto"/>
          </w:tcPr>
          <w:p w14:paraId="1F34242F" w14:textId="77777777" w:rsidR="004346F3" w:rsidRPr="00536CFD" w:rsidRDefault="004346F3" w:rsidP="00802ABC">
            <w:pPr>
              <w:pStyle w:val="ListParagraph"/>
              <w:spacing w:after="0"/>
              <w:ind w:firstLineChars="0" w:firstLine="0"/>
              <w:jc w:val="center"/>
            </w:pPr>
            <w:r w:rsidRPr="00536CFD">
              <w:t>50%</w:t>
            </w:r>
          </w:p>
        </w:tc>
        <w:tc>
          <w:tcPr>
            <w:tcW w:w="627" w:type="dxa"/>
            <w:gridSpan w:val="3"/>
            <w:shd w:val="clear" w:color="auto" w:fill="auto"/>
            <w:vAlign w:val="center"/>
          </w:tcPr>
          <w:p w14:paraId="2E5CD16D"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9.141</w:t>
            </w:r>
          </w:p>
        </w:tc>
        <w:tc>
          <w:tcPr>
            <w:tcW w:w="629" w:type="dxa"/>
            <w:gridSpan w:val="2"/>
            <w:shd w:val="clear" w:color="auto" w:fill="auto"/>
            <w:vAlign w:val="center"/>
          </w:tcPr>
          <w:p w14:paraId="39DB1ED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10.743</w:t>
            </w:r>
          </w:p>
        </w:tc>
        <w:tc>
          <w:tcPr>
            <w:tcW w:w="629" w:type="dxa"/>
            <w:shd w:val="clear" w:color="auto" w:fill="auto"/>
            <w:vAlign w:val="center"/>
          </w:tcPr>
          <w:p w14:paraId="263AC239"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42.626</w:t>
            </w:r>
          </w:p>
        </w:tc>
        <w:tc>
          <w:tcPr>
            <w:tcW w:w="629" w:type="dxa"/>
            <w:shd w:val="clear" w:color="auto" w:fill="auto"/>
          </w:tcPr>
          <w:p w14:paraId="3739CD50"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56.850</w:t>
            </w:r>
          </w:p>
        </w:tc>
        <w:tc>
          <w:tcPr>
            <w:tcW w:w="719" w:type="dxa"/>
            <w:gridSpan w:val="2"/>
            <w:shd w:val="clear" w:color="auto" w:fill="auto"/>
            <w:vAlign w:val="center"/>
          </w:tcPr>
          <w:p w14:paraId="3F865047"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5.653</w:t>
            </w:r>
          </w:p>
        </w:tc>
        <w:tc>
          <w:tcPr>
            <w:tcW w:w="723" w:type="dxa"/>
            <w:gridSpan w:val="2"/>
            <w:shd w:val="clear" w:color="auto" w:fill="auto"/>
            <w:vAlign w:val="center"/>
          </w:tcPr>
          <w:p w14:paraId="1EC281F2"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7.154</w:t>
            </w:r>
          </w:p>
        </w:tc>
        <w:tc>
          <w:tcPr>
            <w:tcW w:w="719" w:type="dxa"/>
            <w:shd w:val="clear" w:color="auto" w:fill="auto"/>
            <w:vAlign w:val="center"/>
          </w:tcPr>
          <w:p w14:paraId="26FFE5B3"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21.888</w:t>
            </w:r>
          </w:p>
        </w:tc>
        <w:tc>
          <w:tcPr>
            <w:tcW w:w="719" w:type="dxa"/>
            <w:shd w:val="clear" w:color="auto" w:fill="auto"/>
          </w:tcPr>
          <w:p w14:paraId="421BD420"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45.770</w:t>
            </w:r>
          </w:p>
        </w:tc>
        <w:tc>
          <w:tcPr>
            <w:tcW w:w="719" w:type="dxa"/>
            <w:shd w:val="clear" w:color="auto" w:fill="auto"/>
            <w:vAlign w:val="center"/>
          </w:tcPr>
          <w:p w14:paraId="40A5B022"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3.850</w:t>
            </w:r>
          </w:p>
        </w:tc>
        <w:tc>
          <w:tcPr>
            <w:tcW w:w="719" w:type="dxa"/>
            <w:gridSpan w:val="2"/>
            <w:shd w:val="clear" w:color="auto" w:fill="auto"/>
            <w:vAlign w:val="center"/>
          </w:tcPr>
          <w:p w14:paraId="2F62E06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4.780</w:t>
            </w:r>
          </w:p>
        </w:tc>
        <w:tc>
          <w:tcPr>
            <w:tcW w:w="719" w:type="dxa"/>
            <w:gridSpan w:val="2"/>
            <w:shd w:val="clear" w:color="auto" w:fill="auto"/>
            <w:vAlign w:val="center"/>
          </w:tcPr>
          <w:p w14:paraId="7F474693"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11.284</w:t>
            </w:r>
          </w:p>
        </w:tc>
        <w:tc>
          <w:tcPr>
            <w:tcW w:w="728" w:type="dxa"/>
            <w:gridSpan w:val="2"/>
            <w:shd w:val="clear" w:color="auto" w:fill="auto"/>
          </w:tcPr>
          <w:p w14:paraId="6C6B64F8"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23.963</w:t>
            </w:r>
          </w:p>
        </w:tc>
      </w:tr>
      <w:tr w:rsidR="004346F3" w:rsidRPr="00C64ECB" w14:paraId="186EB779" w14:textId="77777777" w:rsidTr="00802ABC">
        <w:trPr>
          <w:cantSplit/>
          <w:trHeight w:val="22"/>
        </w:trPr>
        <w:tc>
          <w:tcPr>
            <w:tcW w:w="269" w:type="dxa"/>
            <w:vMerge/>
            <w:shd w:val="clear" w:color="auto" w:fill="auto"/>
          </w:tcPr>
          <w:p w14:paraId="709F5ECA" w14:textId="77777777" w:rsidR="004346F3" w:rsidRPr="00536CFD" w:rsidRDefault="004346F3" w:rsidP="00802ABC">
            <w:pPr>
              <w:pStyle w:val="ListParagraph"/>
              <w:spacing w:after="0"/>
              <w:ind w:firstLineChars="0" w:firstLine="0"/>
              <w:jc w:val="center"/>
            </w:pPr>
          </w:p>
        </w:tc>
        <w:tc>
          <w:tcPr>
            <w:tcW w:w="541" w:type="dxa"/>
            <w:vMerge/>
            <w:shd w:val="clear" w:color="auto" w:fill="auto"/>
          </w:tcPr>
          <w:p w14:paraId="2D045C73" w14:textId="77777777" w:rsidR="004346F3" w:rsidRPr="00536CFD" w:rsidRDefault="004346F3" w:rsidP="00802ABC">
            <w:pPr>
              <w:pStyle w:val="ListParagraph"/>
              <w:spacing w:after="0"/>
              <w:ind w:firstLineChars="0" w:firstLine="0"/>
              <w:jc w:val="center"/>
            </w:pPr>
          </w:p>
        </w:tc>
        <w:tc>
          <w:tcPr>
            <w:tcW w:w="538" w:type="dxa"/>
            <w:shd w:val="clear" w:color="auto" w:fill="auto"/>
          </w:tcPr>
          <w:p w14:paraId="1B5B855E" w14:textId="77777777" w:rsidR="004346F3" w:rsidRPr="00536CFD" w:rsidRDefault="004346F3" w:rsidP="00802ABC">
            <w:pPr>
              <w:pStyle w:val="ListParagraph"/>
              <w:spacing w:after="0"/>
              <w:ind w:firstLineChars="0" w:firstLine="0"/>
              <w:jc w:val="center"/>
            </w:pPr>
            <w:r w:rsidRPr="00536CFD">
              <w:t>95%</w:t>
            </w:r>
          </w:p>
        </w:tc>
        <w:tc>
          <w:tcPr>
            <w:tcW w:w="627" w:type="dxa"/>
            <w:gridSpan w:val="3"/>
            <w:shd w:val="clear" w:color="auto" w:fill="auto"/>
            <w:vAlign w:val="center"/>
          </w:tcPr>
          <w:p w14:paraId="2118159B"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26.689</w:t>
            </w:r>
          </w:p>
        </w:tc>
        <w:tc>
          <w:tcPr>
            <w:tcW w:w="629" w:type="dxa"/>
            <w:gridSpan w:val="2"/>
            <w:shd w:val="clear" w:color="auto" w:fill="auto"/>
            <w:vAlign w:val="center"/>
          </w:tcPr>
          <w:p w14:paraId="3401A67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29.385</w:t>
            </w:r>
          </w:p>
        </w:tc>
        <w:tc>
          <w:tcPr>
            <w:tcW w:w="629" w:type="dxa"/>
            <w:shd w:val="clear" w:color="auto" w:fill="auto"/>
            <w:vAlign w:val="center"/>
          </w:tcPr>
          <w:p w14:paraId="3E5BDDD3"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73.956</w:t>
            </w:r>
          </w:p>
        </w:tc>
        <w:tc>
          <w:tcPr>
            <w:tcW w:w="629" w:type="dxa"/>
            <w:shd w:val="clear" w:color="auto" w:fill="auto"/>
          </w:tcPr>
          <w:p w14:paraId="6559C323"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75.709</w:t>
            </w:r>
          </w:p>
        </w:tc>
        <w:tc>
          <w:tcPr>
            <w:tcW w:w="719" w:type="dxa"/>
            <w:gridSpan w:val="2"/>
            <w:shd w:val="clear" w:color="auto" w:fill="auto"/>
            <w:vAlign w:val="center"/>
          </w:tcPr>
          <w:p w14:paraId="3FA00D9A"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21.635</w:t>
            </w:r>
          </w:p>
        </w:tc>
        <w:tc>
          <w:tcPr>
            <w:tcW w:w="723" w:type="dxa"/>
            <w:gridSpan w:val="2"/>
            <w:shd w:val="clear" w:color="auto" w:fill="auto"/>
            <w:vAlign w:val="center"/>
          </w:tcPr>
          <w:p w14:paraId="7A36986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24.113</w:t>
            </w:r>
          </w:p>
        </w:tc>
        <w:tc>
          <w:tcPr>
            <w:tcW w:w="719" w:type="dxa"/>
            <w:shd w:val="clear" w:color="auto" w:fill="auto"/>
            <w:vAlign w:val="center"/>
          </w:tcPr>
          <w:p w14:paraId="1B81578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63.013</w:t>
            </w:r>
          </w:p>
        </w:tc>
        <w:tc>
          <w:tcPr>
            <w:tcW w:w="719" w:type="dxa"/>
            <w:shd w:val="clear" w:color="auto" w:fill="auto"/>
          </w:tcPr>
          <w:p w14:paraId="4C077AD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74.355</w:t>
            </w:r>
          </w:p>
        </w:tc>
        <w:tc>
          <w:tcPr>
            <w:tcW w:w="719" w:type="dxa"/>
            <w:shd w:val="clear" w:color="auto" w:fill="auto"/>
            <w:vAlign w:val="center"/>
          </w:tcPr>
          <w:p w14:paraId="56001E5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15.410</w:t>
            </w:r>
          </w:p>
        </w:tc>
        <w:tc>
          <w:tcPr>
            <w:tcW w:w="719" w:type="dxa"/>
            <w:gridSpan w:val="2"/>
            <w:shd w:val="clear" w:color="auto" w:fill="auto"/>
            <w:vAlign w:val="center"/>
          </w:tcPr>
          <w:p w14:paraId="5D98A4BA"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19.642</w:t>
            </w:r>
          </w:p>
        </w:tc>
        <w:tc>
          <w:tcPr>
            <w:tcW w:w="719" w:type="dxa"/>
            <w:gridSpan w:val="2"/>
            <w:shd w:val="clear" w:color="auto" w:fill="auto"/>
            <w:vAlign w:val="center"/>
          </w:tcPr>
          <w:p w14:paraId="43F46B7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40.608</w:t>
            </w:r>
          </w:p>
        </w:tc>
        <w:tc>
          <w:tcPr>
            <w:tcW w:w="728" w:type="dxa"/>
            <w:gridSpan w:val="2"/>
            <w:shd w:val="clear" w:color="auto" w:fill="auto"/>
          </w:tcPr>
          <w:p w14:paraId="12CB32F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62.633</w:t>
            </w:r>
          </w:p>
        </w:tc>
      </w:tr>
      <w:tr w:rsidR="004346F3" w:rsidRPr="00C64ECB" w14:paraId="31E9E553" w14:textId="77777777" w:rsidTr="00802ABC">
        <w:trPr>
          <w:cantSplit/>
          <w:trHeight w:val="22"/>
        </w:trPr>
        <w:tc>
          <w:tcPr>
            <w:tcW w:w="269" w:type="dxa"/>
            <w:vMerge/>
            <w:shd w:val="clear" w:color="auto" w:fill="auto"/>
          </w:tcPr>
          <w:p w14:paraId="6A8167F5" w14:textId="77777777" w:rsidR="004346F3" w:rsidRPr="00536CFD" w:rsidRDefault="004346F3" w:rsidP="00802ABC">
            <w:pPr>
              <w:pStyle w:val="ListParagraph"/>
              <w:spacing w:after="0"/>
              <w:ind w:firstLineChars="0" w:firstLine="0"/>
              <w:jc w:val="center"/>
            </w:pPr>
          </w:p>
        </w:tc>
        <w:tc>
          <w:tcPr>
            <w:tcW w:w="541" w:type="dxa"/>
            <w:vMerge/>
            <w:shd w:val="clear" w:color="auto" w:fill="auto"/>
          </w:tcPr>
          <w:p w14:paraId="017E1B64" w14:textId="77777777" w:rsidR="004346F3" w:rsidRPr="00536CFD" w:rsidRDefault="004346F3" w:rsidP="00802ABC">
            <w:pPr>
              <w:pStyle w:val="ListParagraph"/>
              <w:spacing w:after="0"/>
              <w:ind w:firstLineChars="0" w:firstLine="0"/>
              <w:jc w:val="center"/>
            </w:pPr>
          </w:p>
        </w:tc>
        <w:tc>
          <w:tcPr>
            <w:tcW w:w="538" w:type="dxa"/>
            <w:shd w:val="clear" w:color="auto" w:fill="auto"/>
          </w:tcPr>
          <w:p w14:paraId="5DED88B1" w14:textId="77777777" w:rsidR="004346F3" w:rsidRPr="00536CFD" w:rsidRDefault="004346F3" w:rsidP="00802ABC">
            <w:pPr>
              <w:pStyle w:val="ListParagraph"/>
              <w:spacing w:after="0"/>
              <w:ind w:firstLineChars="0" w:firstLine="0"/>
              <w:jc w:val="center"/>
            </w:pPr>
            <w:r w:rsidRPr="00536CFD">
              <w:t>Mean</w:t>
            </w:r>
          </w:p>
        </w:tc>
        <w:tc>
          <w:tcPr>
            <w:tcW w:w="627" w:type="dxa"/>
            <w:gridSpan w:val="3"/>
            <w:shd w:val="clear" w:color="auto" w:fill="auto"/>
          </w:tcPr>
          <w:p w14:paraId="7CA1E56F"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11.335</w:t>
            </w:r>
          </w:p>
        </w:tc>
        <w:tc>
          <w:tcPr>
            <w:tcW w:w="629" w:type="dxa"/>
            <w:gridSpan w:val="2"/>
            <w:shd w:val="clear" w:color="auto" w:fill="auto"/>
          </w:tcPr>
          <w:p w14:paraId="69EBD7A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12.798</w:t>
            </w:r>
          </w:p>
        </w:tc>
        <w:tc>
          <w:tcPr>
            <w:tcW w:w="629" w:type="dxa"/>
            <w:shd w:val="clear" w:color="auto" w:fill="auto"/>
          </w:tcPr>
          <w:p w14:paraId="17BCCCC1"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43.159</w:t>
            </w:r>
          </w:p>
        </w:tc>
        <w:tc>
          <w:tcPr>
            <w:tcW w:w="629" w:type="dxa"/>
            <w:shd w:val="clear" w:color="auto" w:fill="auto"/>
          </w:tcPr>
          <w:p w14:paraId="4107CC99"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55.530</w:t>
            </w:r>
          </w:p>
        </w:tc>
        <w:tc>
          <w:tcPr>
            <w:tcW w:w="719" w:type="dxa"/>
            <w:gridSpan w:val="2"/>
            <w:shd w:val="clear" w:color="auto" w:fill="auto"/>
          </w:tcPr>
          <w:p w14:paraId="6340E42B"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7.480</w:t>
            </w:r>
          </w:p>
        </w:tc>
        <w:tc>
          <w:tcPr>
            <w:tcW w:w="723" w:type="dxa"/>
            <w:gridSpan w:val="2"/>
            <w:shd w:val="clear" w:color="auto" w:fill="auto"/>
          </w:tcPr>
          <w:p w14:paraId="4B7E369D"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9.017</w:t>
            </w:r>
          </w:p>
        </w:tc>
        <w:tc>
          <w:tcPr>
            <w:tcW w:w="719" w:type="dxa"/>
            <w:shd w:val="clear" w:color="auto" w:fill="auto"/>
          </w:tcPr>
          <w:p w14:paraId="4401FB94"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25.785</w:t>
            </w:r>
          </w:p>
        </w:tc>
        <w:tc>
          <w:tcPr>
            <w:tcW w:w="719" w:type="dxa"/>
            <w:shd w:val="clear" w:color="auto" w:fill="auto"/>
          </w:tcPr>
          <w:p w14:paraId="1B1D2EBD"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44.736</w:t>
            </w:r>
          </w:p>
        </w:tc>
        <w:tc>
          <w:tcPr>
            <w:tcW w:w="719" w:type="dxa"/>
            <w:shd w:val="clear" w:color="auto" w:fill="auto"/>
          </w:tcPr>
          <w:p w14:paraId="4996D78F"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5.380</w:t>
            </w:r>
          </w:p>
        </w:tc>
        <w:tc>
          <w:tcPr>
            <w:tcW w:w="719" w:type="dxa"/>
            <w:gridSpan w:val="2"/>
            <w:shd w:val="clear" w:color="auto" w:fill="auto"/>
          </w:tcPr>
          <w:p w14:paraId="3AD86D0E"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6.515</w:t>
            </w:r>
          </w:p>
        </w:tc>
        <w:tc>
          <w:tcPr>
            <w:tcW w:w="719" w:type="dxa"/>
            <w:gridSpan w:val="2"/>
            <w:shd w:val="clear" w:color="auto" w:fill="auto"/>
          </w:tcPr>
          <w:p w14:paraId="1BDC7F57"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14.891</w:t>
            </w:r>
          </w:p>
        </w:tc>
        <w:tc>
          <w:tcPr>
            <w:tcW w:w="728" w:type="dxa"/>
            <w:gridSpan w:val="2"/>
            <w:shd w:val="clear" w:color="auto" w:fill="auto"/>
          </w:tcPr>
          <w:p w14:paraId="750DEA7E" w14:textId="77777777" w:rsidR="004346F3" w:rsidRPr="00536CFD" w:rsidRDefault="004346F3" w:rsidP="00802ABC">
            <w:pPr>
              <w:pStyle w:val="ListParagraph"/>
              <w:spacing w:after="0"/>
              <w:ind w:firstLineChars="0" w:firstLine="0"/>
              <w:jc w:val="center"/>
              <w:rPr>
                <w:rFonts w:eastAsia="Malgun Gothic"/>
                <w:lang w:eastAsia="ko-KR"/>
              </w:rPr>
            </w:pPr>
            <w:r w:rsidRPr="00536CFD">
              <w:rPr>
                <w:rFonts w:eastAsia="Malgun Gothic"/>
                <w:lang w:eastAsia="ko-KR"/>
              </w:rPr>
              <w:t>27.253</w:t>
            </w:r>
          </w:p>
        </w:tc>
      </w:tr>
      <w:tr w:rsidR="004346F3" w:rsidRPr="00C64ECB" w14:paraId="2C3B6A4E" w14:textId="77777777" w:rsidTr="00802ABC">
        <w:trPr>
          <w:cantSplit/>
          <w:trHeight w:val="22"/>
        </w:trPr>
        <w:tc>
          <w:tcPr>
            <w:tcW w:w="269" w:type="dxa"/>
            <w:vMerge/>
            <w:shd w:val="clear" w:color="auto" w:fill="auto"/>
          </w:tcPr>
          <w:p w14:paraId="750F7D3C" w14:textId="77777777" w:rsidR="004346F3" w:rsidRPr="00536CFD" w:rsidRDefault="004346F3" w:rsidP="00802ABC">
            <w:pPr>
              <w:pStyle w:val="ListParagraph"/>
              <w:spacing w:after="0"/>
              <w:ind w:firstLineChars="0" w:firstLine="0"/>
              <w:jc w:val="center"/>
            </w:pPr>
          </w:p>
        </w:tc>
        <w:tc>
          <w:tcPr>
            <w:tcW w:w="541" w:type="dxa"/>
            <w:vMerge w:val="restart"/>
            <w:shd w:val="clear" w:color="auto" w:fill="auto"/>
          </w:tcPr>
          <w:p w14:paraId="6E447010" w14:textId="77777777" w:rsidR="004346F3" w:rsidRPr="00536CFD" w:rsidRDefault="004346F3" w:rsidP="00802ABC">
            <w:pPr>
              <w:pStyle w:val="ListParagraph"/>
              <w:spacing w:after="0"/>
              <w:ind w:firstLineChars="0" w:firstLine="0"/>
              <w:jc w:val="center"/>
            </w:pPr>
            <w:r w:rsidRPr="00536CFD">
              <w:rPr>
                <w:b/>
              </w:rPr>
              <w:t>DL:</w:t>
            </w:r>
          </w:p>
          <w:p w14:paraId="528C0D06" w14:textId="77777777" w:rsidR="004346F3" w:rsidRPr="00536CFD" w:rsidRDefault="004346F3" w:rsidP="00802ABC">
            <w:pPr>
              <w:pStyle w:val="ListParagraph"/>
              <w:spacing w:after="0"/>
              <w:ind w:firstLineChars="0" w:firstLine="0"/>
              <w:jc w:val="center"/>
            </w:pPr>
            <w:r w:rsidRPr="00536CFD">
              <w:t>Delay CDF</w:t>
            </w:r>
          </w:p>
          <w:p w14:paraId="61DC78B8" w14:textId="77777777" w:rsidR="004346F3" w:rsidRPr="00536CFD" w:rsidRDefault="004346F3" w:rsidP="00802ABC">
            <w:pPr>
              <w:pStyle w:val="ListParagraph"/>
              <w:spacing w:after="0"/>
              <w:ind w:firstLineChars="0" w:firstLine="0"/>
              <w:jc w:val="center"/>
            </w:pPr>
            <w:r w:rsidRPr="00536CFD">
              <w:t>[s]</w:t>
            </w:r>
          </w:p>
        </w:tc>
        <w:tc>
          <w:tcPr>
            <w:tcW w:w="538" w:type="dxa"/>
            <w:shd w:val="clear" w:color="auto" w:fill="auto"/>
          </w:tcPr>
          <w:p w14:paraId="62100701" w14:textId="77777777" w:rsidR="004346F3" w:rsidRPr="00536CFD" w:rsidRDefault="004346F3" w:rsidP="00802ABC">
            <w:pPr>
              <w:pStyle w:val="ListParagraph"/>
              <w:spacing w:after="0"/>
              <w:ind w:firstLineChars="0" w:firstLine="0"/>
              <w:jc w:val="center"/>
            </w:pPr>
            <w:r w:rsidRPr="00536CFD">
              <w:t>5%</w:t>
            </w:r>
          </w:p>
        </w:tc>
        <w:tc>
          <w:tcPr>
            <w:tcW w:w="627" w:type="dxa"/>
            <w:gridSpan w:val="3"/>
            <w:shd w:val="clear" w:color="auto" w:fill="auto"/>
            <w:vAlign w:val="center"/>
          </w:tcPr>
          <w:p w14:paraId="1BE99B3D"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0.077</w:t>
            </w:r>
          </w:p>
        </w:tc>
        <w:tc>
          <w:tcPr>
            <w:tcW w:w="629" w:type="dxa"/>
            <w:gridSpan w:val="2"/>
            <w:shd w:val="clear" w:color="auto" w:fill="auto"/>
            <w:vAlign w:val="center"/>
          </w:tcPr>
          <w:p w14:paraId="6BF53FE2"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0.069</w:t>
            </w:r>
          </w:p>
        </w:tc>
        <w:tc>
          <w:tcPr>
            <w:tcW w:w="629" w:type="dxa"/>
            <w:shd w:val="clear" w:color="auto" w:fill="auto"/>
            <w:vAlign w:val="center"/>
          </w:tcPr>
          <w:p w14:paraId="3AA0C14E"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0.053</w:t>
            </w:r>
          </w:p>
        </w:tc>
        <w:tc>
          <w:tcPr>
            <w:tcW w:w="629" w:type="dxa"/>
            <w:shd w:val="clear" w:color="auto" w:fill="auto"/>
          </w:tcPr>
          <w:p w14:paraId="44249F1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0.051</w:t>
            </w:r>
          </w:p>
        </w:tc>
        <w:tc>
          <w:tcPr>
            <w:tcW w:w="719" w:type="dxa"/>
            <w:gridSpan w:val="2"/>
            <w:shd w:val="clear" w:color="auto" w:fill="auto"/>
            <w:vAlign w:val="center"/>
          </w:tcPr>
          <w:p w14:paraId="4BF7C8FC"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0.116</w:t>
            </w:r>
          </w:p>
        </w:tc>
        <w:tc>
          <w:tcPr>
            <w:tcW w:w="723" w:type="dxa"/>
            <w:gridSpan w:val="2"/>
            <w:shd w:val="clear" w:color="auto" w:fill="auto"/>
            <w:vAlign w:val="center"/>
          </w:tcPr>
          <w:p w14:paraId="7BE65C03"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0.099</w:t>
            </w:r>
          </w:p>
        </w:tc>
        <w:tc>
          <w:tcPr>
            <w:tcW w:w="719" w:type="dxa"/>
            <w:shd w:val="clear" w:color="auto" w:fill="auto"/>
            <w:vAlign w:val="center"/>
          </w:tcPr>
          <w:p w14:paraId="4F64D194"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0.056</w:t>
            </w:r>
          </w:p>
        </w:tc>
        <w:tc>
          <w:tcPr>
            <w:tcW w:w="719" w:type="dxa"/>
            <w:shd w:val="clear" w:color="auto" w:fill="auto"/>
          </w:tcPr>
          <w:p w14:paraId="69C9099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0.053</w:t>
            </w:r>
          </w:p>
        </w:tc>
        <w:tc>
          <w:tcPr>
            <w:tcW w:w="719" w:type="dxa"/>
            <w:shd w:val="clear" w:color="auto" w:fill="auto"/>
            <w:vAlign w:val="center"/>
          </w:tcPr>
          <w:p w14:paraId="60818BC4"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0.145</w:t>
            </w:r>
          </w:p>
        </w:tc>
        <w:tc>
          <w:tcPr>
            <w:tcW w:w="719" w:type="dxa"/>
            <w:gridSpan w:val="2"/>
            <w:shd w:val="clear" w:color="auto" w:fill="auto"/>
            <w:vAlign w:val="center"/>
          </w:tcPr>
          <w:p w14:paraId="64DBDAF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0.114</w:t>
            </w:r>
          </w:p>
        </w:tc>
        <w:tc>
          <w:tcPr>
            <w:tcW w:w="719" w:type="dxa"/>
            <w:gridSpan w:val="2"/>
            <w:shd w:val="clear" w:color="auto" w:fill="auto"/>
            <w:vAlign w:val="center"/>
          </w:tcPr>
          <w:p w14:paraId="616BD36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0.076</w:t>
            </w:r>
          </w:p>
        </w:tc>
        <w:tc>
          <w:tcPr>
            <w:tcW w:w="728" w:type="dxa"/>
            <w:gridSpan w:val="2"/>
            <w:shd w:val="clear" w:color="auto" w:fill="auto"/>
          </w:tcPr>
          <w:p w14:paraId="0099ED90"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0.056</w:t>
            </w:r>
          </w:p>
        </w:tc>
      </w:tr>
      <w:tr w:rsidR="004346F3" w:rsidRPr="00C64ECB" w14:paraId="41065A11" w14:textId="77777777" w:rsidTr="00802ABC">
        <w:trPr>
          <w:cantSplit/>
          <w:trHeight w:val="22"/>
        </w:trPr>
        <w:tc>
          <w:tcPr>
            <w:tcW w:w="269" w:type="dxa"/>
            <w:vMerge/>
            <w:shd w:val="clear" w:color="auto" w:fill="auto"/>
          </w:tcPr>
          <w:p w14:paraId="7E6A06A1" w14:textId="77777777" w:rsidR="004346F3" w:rsidRPr="00536CFD" w:rsidRDefault="004346F3" w:rsidP="00802ABC">
            <w:pPr>
              <w:pStyle w:val="ListParagraph"/>
              <w:spacing w:after="0"/>
              <w:ind w:firstLineChars="0" w:firstLine="0"/>
              <w:jc w:val="center"/>
            </w:pPr>
          </w:p>
        </w:tc>
        <w:tc>
          <w:tcPr>
            <w:tcW w:w="541" w:type="dxa"/>
            <w:vMerge/>
            <w:shd w:val="clear" w:color="auto" w:fill="auto"/>
          </w:tcPr>
          <w:p w14:paraId="448D4117" w14:textId="77777777" w:rsidR="004346F3" w:rsidRPr="00536CFD" w:rsidRDefault="004346F3" w:rsidP="00802ABC">
            <w:pPr>
              <w:pStyle w:val="ListParagraph"/>
              <w:spacing w:after="0"/>
              <w:ind w:firstLineChars="0" w:firstLine="0"/>
              <w:jc w:val="center"/>
            </w:pPr>
          </w:p>
        </w:tc>
        <w:tc>
          <w:tcPr>
            <w:tcW w:w="538" w:type="dxa"/>
            <w:shd w:val="clear" w:color="auto" w:fill="auto"/>
          </w:tcPr>
          <w:p w14:paraId="7A06F57B" w14:textId="77777777" w:rsidR="004346F3" w:rsidRPr="00536CFD" w:rsidRDefault="004346F3" w:rsidP="00802ABC">
            <w:pPr>
              <w:pStyle w:val="ListParagraph"/>
              <w:spacing w:after="0"/>
              <w:ind w:firstLineChars="0" w:firstLine="0"/>
              <w:jc w:val="center"/>
            </w:pPr>
            <w:r w:rsidRPr="00536CFD">
              <w:t>50%</w:t>
            </w:r>
          </w:p>
        </w:tc>
        <w:tc>
          <w:tcPr>
            <w:tcW w:w="627" w:type="dxa"/>
            <w:gridSpan w:val="3"/>
            <w:shd w:val="clear" w:color="auto" w:fill="auto"/>
            <w:vAlign w:val="center"/>
          </w:tcPr>
          <w:p w14:paraId="78045FA0"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0.267</w:t>
            </w:r>
          </w:p>
        </w:tc>
        <w:tc>
          <w:tcPr>
            <w:tcW w:w="629" w:type="dxa"/>
            <w:gridSpan w:val="2"/>
            <w:shd w:val="clear" w:color="auto" w:fill="auto"/>
            <w:vAlign w:val="center"/>
          </w:tcPr>
          <w:p w14:paraId="5AD56559"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0.216</w:t>
            </w:r>
          </w:p>
        </w:tc>
        <w:tc>
          <w:tcPr>
            <w:tcW w:w="629" w:type="dxa"/>
            <w:shd w:val="clear" w:color="auto" w:fill="auto"/>
            <w:vAlign w:val="center"/>
          </w:tcPr>
          <w:p w14:paraId="479DFAA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0.094</w:t>
            </w:r>
          </w:p>
        </w:tc>
        <w:tc>
          <w:tcPr>
            <w:tcW w:w="629" w:type="dxa"/>
            <w:shd w:val="clear" w:color="auto" w:fill="auto"/>
          </w:tcPr>
          <w:p w14:paraId="12A57AB0"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0.066</w:t>
            </w:r>
          </w:p>
        </w:tc>
        <w:tc>
          <w:tcPr>
            <w:tcW w:w="719" w:type="dxa"/>
            <w:gridSpan w:val="2"/>
            <w:shd w:val="clear" w:color="auto" w:fill="auto"/>
            <w:vAlign w:val="center"/>
          </w:tcPr>
          <w:p w14:paraId="7160773E"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0.490</w:t>
            </w:r>
          </w:p>
        </w:tc>
        <w:tc>
          <w:tcPr>
            <w:tcW w:w="723" w:type="dxa"/>
            <w:gridSpan w:val="2"/>
            <w:shd w:val="clear" w:color="auto" w:fill="auto"/>
            <w:vAlign w:val="center"/>
          </w:tcPr>
          <w:p w14:paraId="1CCB8667"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0.371</w:t>
            </w:r>
          </w:p>
        </w:tc>
        <w:tc>
          <w:tcPr>
            <w:tcW w:w="719" w:type="dxa"/>
            <w:shd w:val="clear" w:color="auto" w:fill="auto"/>
            <w:vAlign w:val="center"/>
          </w:tcPr>
          <w:p w14:paraId="46EFE114"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0.186</w:t>
            </w:r>
          </w:p>
        </w:tc>
        <w:tc>
          <w:tcPr>
            <w:tcW w:w="719" w:type="dxa"/>
            <w:shd w:val="clear" w:color="auto" w:fill="auto"/>
          </w:tcPr>
          <w:p w14:paraId="7B9A96ED"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0.091</w:t>
            </w:r>
          </w:p>
        </w:tc>
        <w:tc>
          <w:tcPr>
            <w:tcW w:w="719" w:type="dxa"/>
            <w:shd w:val="clear" w:color="auto" w:fill="auto"/>
            <w:vAlign w:val="center"/>
          </w:tcPr>
          <w:p w14:paraId="749CFA0E"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0.640</w:t>
            </w:r>
          </w:p>
        </w:tc>
        <w:tc>
          <w:tcPr>
            <w:tcW w:w="719" w:type="dxa"/>
            <w:gridSpan w:val="2"/>
            <w:shd w:val="clear" w:color="auto" w:fill="auto"/>
            <w:vAlign w:val="center"/>
          </w:tcPr>
          <w:p w14:paraId="4531E3F2"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0.528</w:t>
            </w:r>
          </w:p>
        </w:tc>
        <w:tc>
          <w:tcPr>
            <w:tcW w:w="719" w:type="dxa"/>
            <w:gridSpan w:val="2"/>
            <w:shd w:val="clear" w:color="auto" w:fill="auto"/>
            <w:vAlign w:val="center"/>
          </w:tcPr>
          <w:p w14:paraId="2602944E"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0.346</w:t>
            </w:r>
          </w:p>
        </w:tc>
        <w:tc>
          <w:tcPr>
            <w:tcW w:w="728" w:type="dxa"/>
            <w:gridSpan w:val="2"/>
            <w:shd w:val="clear" w:color="auto" w:fill="auto"/>
          </w:tcPr>
          <w:p w14:paraId="4C004290"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0.173</w:t>
            </w:r>
          </w:p>
        </w:tc>
      </w:tr>
      <w:tr w:rsidR="004346F3" w:rsidRPr="00C64ECB" w14:paraId="5EC847E7" w14:textId="77777777" w:rsidTr="00802ABC">
        <w:trPr>
          <w:cantSplit/>
          <w:trHeight w:val="22"/>
        </w:trPr>
        <w:tc>
          <w:tcPr>
            <w:tcW w:w="269" w:type="dxa"/>
            <w:vMerge/>
            <w:shd w:val="clear" w:color="auto" w:fill="auto"/>
          </w:tcPr>
          <w:p w14:paraId="2BBA0A28" w14:textId="77777777" w:rsidR="004346F3" w:rsidRPr="00536CFD" w:rsidRDefault="004346F3" w:rsidP="00802ABC">
            <w:pPr>
              <w:pStyle w:val="ListParagraph"/>
              <w:spacing w:after="0"/>
              <w:ind w:firstLineChars="0" w:firstLine="0"/>
              <w:jc w:val="center"/>
            </w:pPr>
          </w:p>
        </w:tc>
        <w:tc>
          <w:tcPr>
            <w:tcW w:w="541" w:type="dxa"/>
            <w:vMerge/>
            <w:shd w:val="clear" w:color="auto" w:fill="auto"/>
          </w:tcPr>
          <w:p w14:paraId="1B245B0E" w14:textId="77777777" w:rsidR="004346F3" w:rsidRPr="00536CFD" w:rsidRDefault="004346F3" w:rsidP="00802ABC">
            <w:pPr>
              <w:pStyle w:val="ListParagraph"/>
              <w:spacing w:after="0"/>
              <w:ind w:firstLineChars="0" w:firstLine="0"/>
              <w:jc w:val="center"/>
            </w:pPr>
          </w:p>
        </w:tc>
        <w:tc>
          <w:tcPr>
            <w:tcW w:w="538" w:type="dxa"/>
            <w:shd w:val="clear" w:color="auto" w:fill="auto"/>
          </w:tcPr>
          <w:p w14:paraId="5CC5D63E" w14:textId="77777777" w:rsidR="004346F3" w:rsidRPr="00536CFD" w:rsidRDefault="004346F3" w:rsidP="00802ABC">
            <w:pPr>
              <w:pStyle w:val="ListParagraph"/>
              <w:spacing w:after="0"/>
              <w:ind w:firstLineChars="0" w:firstLine="0"/>
              <w:jc w:val="center"/>
            </w:pPr>
            <w:r w:rsidRPr="00536CFD">
              <w:t>95%</w:t>
            </w:r>
          </w:p>
        </w:tc>
        <w:tc>
          <w:tcPr>
            <w:tcW w:w="627" w:type="dxa"/>
            <w:gridSpan w:val="3"/>
            <w:shd w:val="clear" w:color="auto" w:fill="auto"/>
            <w:vAlign w:val="center"/>
          </w:tcPr>
          <w:p w14:paraId="2CB8DE2B"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0.876</w:t>
            </w:r>
          </w:p>
        </w:tc>
        <w:tc>
          <w:tcPr>
            <w:tcW w:w="629" w:type="dxa"/>
            <w:gridSpan w:val="2"/>
            <w:shd w:val="clear" w:color="auto" w:fill="auto"/>
            <w:vAlign w:val="center"/>
          </w:tcPr>
          <w:p w14:paraId="4B2FE2B3"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0.905</w:t>
            </w:r>
          </w:p>
        </w:tc>
        <w:tc>
          <w:tcPr>
            <w:tcW w:w="629" w:type="dxa"/>
            <w:shd w:val="clear" w:color="auto" w:fill="auto"/>
            <w:vAlign w:val="center"/>
          </w:tcPr>
          <w:p w14:paraId="0718C70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0.451</w:t>
            </w:r>
          </w:p>
        </w:tc>
        <w:tc>
          <w:tcPr>
            <w:tcW w:w="629" w:type="dxa"/>
            <w:shd w:val="clear" w:color="auto" w:fill="auto"/>
          </w:tcPr>
          <w:p w14:paraId="5C97C40F"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0.179</w:t>
            </w:r>
          </w:p>
        </w:tc>
        <w:tc>
          <w:tcPr>
            <w:tcW w:w="719" w:type="dxa"/>
            <w:gridSpan w:val="2"/>
            <w:shd w:val="clear" w:color="auto" w:fill="auto"/>
            <w:vAlign w:val="center"/>
          </w:tcPr>
          <w:p w14:paraId="45496AF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2.692</w:t>
            </w:r>
          </w:p>
        </w:tc>
        <w:tc>
          <w:tcPr>
            <w:tcW w:w="723" w:type="dxa"/>
            <w:gridSpan w:val="2"/>
            <w:shd w:val="clear" w:color="auto" w:fill="auto"/>
            <w:vAlign w:val="center"/>
          </w:tcPr>
          <w:p w14:paraId="2C992E58"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1.731</w:t>
            </w:r>
          </w:p>
        </w:tc>
        <w:tc>
          <w:tcPr>
            <w:tcW w:w="719" w:type="dxa"/>
            <w:shd w:val="clear" w:color="auto" w:fill="auto"/>
            <w:vAlign w:val="center"/>
          </w:tcPr>
          <w:p w14:paraId="0B93AAAE"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1.039</w:t>
            </w:r>
          </w:p>
        </w:tc>
        <w:tc>
          <w:tcPr>
            <w:tcW w:w="719" w:type="dxa"/>
            <w:shd w:val="clear" w:color="auto" w:fill="auto"/>
          </w:tcPr>
          <w:p w14:paraId="3B079E57"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0.320</w:t>
            </w:r>
          </w:p>
        </w:tc>
        <w:tc>
          <w:tcPr>
            <w:tcW w:w="719" w:type="dxa"/>
            <w:shd w:val="clear" w:color="auto" w:fill="auto"/>
            <w:vAlign w:val="center"/>
          </w:tcPr>
          <w:p w14:paraId="2E52543C"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3.647</w:t>
            </w:r>
          </w:p>
        </w:tc>
        <w:tc>
          <w:tcPr>
            <w:tcW w:w="719" w:type="dxa"/>
            <w:gridSpan w:val="2"/>
            <w:shd w:val="clear" w:color="auto" w:fill="auto"/>
            <w:vAlign w:val="center"/>
          </w:tcPr>
          <w:p w14:paraId="27765977"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3.015</w:t>
            </w:r>
          </w:p>
        </w:tc>
        <w:tc>
          <w:tcPr>
            <w:tcW w:w="719" w:type="dxa"/>
            <w:gridSpan w:val="2"/>
            <w:shd w:val="clear" w:color="auto" w:fill="auto"/>
            <w:vAlign w:val="center"/>
          </w:tcPr>
          <w:p w14:paraId="0252F1A4"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1.426</w:t>
            </w:r>
          </w:p>
        </w:tc>
        <w:tc>
          <w:tcPr>
            <w:tcW w:w="728" w:type="dxa"/>
            <w:gridSpan w:val="2"/>
            <w:shd w:val="clear" w:color="auto" w:fill="auto"/>
          </w:tcPr>
          <w:p w14:paraId="430CD806"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0.875</w:t>
            </w:r>
          </w:p>
        </w:tc>
      </w:tr>
      <w:tr w:rsidR="004346F3" w:rsidRPr="00C64ECB" w14:paraId="71EEFE2A" w14:textId="77777777" w:rsidTr="00802ABC">
        <w:trPr>
          <w:cantSplit/>
          <w:trHeight w:val="22"/>
        </w:trPr>
        <w:tc>
          <w:tcPr>
            <w:tcW w:w="269" w:type="dxa"/>
            <w:vMerge/>
            <w:shd w:val="clear" w:color="auto" w:fill="auto"/>
          </w:tcPr>
          <w:p w14:paraId="447B6513" w14:textId="77777777" w:rsidR="004346F3" w:rsidRPr="00536CFD" w:rsidRDefault="004346F3" w:rsidP="00802ABC">
            <w:pPr>
              <w:pStyle w:val="ListParagraph"/>
              <w:spacing w:after="0"/>
              <w:ind w:firstLineChars="0" w:firstLine="0"/>
              <w:jc w:val="center"/>
            </w:pPr>
          </w:p>
        </w:tc>
        <w:tc>
          <w:tcPr>
            <w:tcW w:w="541" w:type="dxa"/>
            <w:vMerge/>
            <w:shd w:val="clear" w:color="auto" w:fill="auto"/>
          </w:tcPr>
          <w:p w14:paraId="4CE162EB" w14:textId="77777777" w:rsidR="004346F3" w:rsidRPr="00536CFD" w:rsidRDefault="004346F3" w:rsidP="00802ABC">
            <w:pPr>
              <w:pStyle w:val="ListParagraph"/>
              <w:spacing w:after="0"/>
              <w:ind w:firstLineChars="0" w:firstLine="0"/>
              <w:jc w:val="center"/>
            </w:pPr>
          </w:p>
        </w:tc>
        <w:tc>
          <w:tcPr>
            <w:tcW w:w="538" w:type="dxa"/>
            <w:shd w:val="clear" w:color="auto" w:fill="auto"/>
          </w:tcPr>
          <w:p w14:paraId="7D9CA31D" w14:textId="77777777" w:rsidR="004346F3" w:rsidRPr="00536CFD" w:rsidRDefault="004346F3" w:rsidP="00802ABC">
            <w:pPr>
              <w:pStyle w:val="ListParagraph"/>
              <w:spacing w:after="0"/>
              <w:ind w:firstLineChars="0" w:firstLine="0"/>
              <w:jc w:val="center"/>
            </w:pPr>
            <w:r w:rsidRPr="00536CFD">
              <w:t>Mean</w:t>
            </w:r>
          </w:p>
        </w:tc>
        <w:tc>
          <w:tcPr>
            <w:tcW w:w="627" w:type="dxa"/>
            <w:gridSpan w:val="3"/>
            <w:shd w:val="clear" w:color="auto" w:fill="auto"/>
          </w:tcPr>
          <w:p w14:paraId="7D2A9641"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0.348</w:t>
            </w:r>
          </w:p>
        </w:tc>
        <w:tc>
          <w:tcPr>
            <w:tcW w:w="629" w:type="dxa"/>
            <w:gridSpan w:val="2"/>
            <w:shd w:val="clear" w:color="auto" w:fill="auto"/>
          </w:tcPr>
          <w:p w14:paraId="65D32C3B"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0.323</w:t>
            </w:r>
          </w:p>
        </w:tc>
        <w:tc>
          <w:tcPr>
            <w:tcW w:w="629" w:type="dxa"/>
            <w:shd w:val="clear" w:color="auto" w:fill="auto"/>
          </w:tcPr>
          <w:p w14:paraId="7154AD92"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0.152</w:t>
            </w:r>
          </w:p>
        </w:tc>
        <w:tc>
          <w:tcPr>
            <w:tcW w:w="629" w:type="dxa"/>
            <w:shd w:val="clear" w:color="auto" w:fill="auto"/>
          </w:tcPr>
          <w:p w14:paraId="5893A79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0.090</w:t>
            </w:r>
          </w:p>
        </w:tc>
        <w:tc>
          <w:tcPr>
            <w:tcW w:w="719" w:type="dxa"/>
            <w:gridSpan w:val="2"/>
            <w:shd w:val="clear" w:color="auto" w:fill="auto"/>
          </w:tcPr>
          <w:p w14:paraId="3390EE8C"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0.761</w:t>
            </w:r>
          </w:p>
        </w:tc>
        <w:tc>
          <w:tcPr>
            <w:tcW w:w="723" w:type="dxa"/>
            <w:gridSpan w:val="2"/>
            <w:shd w:val="clear" w:color="auto" w:fill="auto"/>
          </w:tcPr>
          <w:p w14:paraId="5A1C4E8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0.586</w:t>
            </w:r>
          </w:p>
        </w:tc>
        <w:tc>
          <w:tcPr>
            <w:tcW w:w="719" w:type="dxa"/>
            <w:shd w:val="clear" w:color="auto" w:fill="auto"/>
          </w:tcPr>
          <w:p w14:paraId="0AFD201B"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0.311</w:t>
            </w:r>
          </w:p>
        </w:tc>
        <w:tc>
          <w:tcPr>
            <w:tcW w:w="719" w:type="dxa"/>
            <w:shd w:val="clear" w:color="auto" w:fill="auto"/>
          </w:tcPr>
          <w:p w14:paraId="2BC572D8"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0.133</w:t>
            </w:r>
          </w:p>
        </w:tc>
        <w:tc>
          <w:tcPr>
            <w:tcW w:w="719" w:type="dxa"/>
            <w:shd w:val="clear" w:color="auto" w:fill="auto"/>
          </w:tcPr>
          <w:p w14:paraId="50D38370"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1.077</w:t>
            </w:r>
          </w:p>
        </w:tc>
        <w:tc>
          <w:tcPr>
            <w:tcW w:w="719" w:type="dxa"/>
            <w:gridSpan w:val="2"/>
            <w:shd w:val="clear" w:color="auto" w:fill="auto"/>
          </w:tcPr>
          <w:p w14:paraId="5D6637A7"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0.899</w:t>
            </w:r>
          </w:p>
        </w:tc>
        <w:tc>
          <w:tcPr>
            <w:tcW w:w="719" w:type="dxa"/>
            <w:gridSpan w:val="2"/>
            <w:shd w:val="clear" w:color="auto" w:fill="auto"/>
          </w:tcPr>
          <w:p w14:paraId="3571E4F3"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0.476</w:t>
            </w:r>
          </w:p>
        </w:tc>
        <w:tc>
          <w:tcPr>
            <w:tcW w:w="728" w:type="dxa"/>
            <w:gridSpan w:val="2"/>
            <w:shd w:val="clear" w:color="auto" w:fill="auto"/>
          </w:tcPr>
          <w:p w14:paraId="6D690B9A" w14:textId="77777777" w:rsidR="004346F3" w:rsidRPr="00536CFD" w:rsidRDefault="004346F3" w:rsidP="00802ABC">
            <w:pPr>
              <w:pStyle w:val="ListParagraph"/>
              <w:spacing w:after="0"/>
              <w:ind w:firstLineChars="0" w:firstLine="0"/>
              <w:jc w:val="center"/>
              <w:rPr>
                <w:rFonts w:eastAsia="Malgun Gothic"/>
                <w:lang w:eastAsia="ko-KR"/>
              </w:rPr>
            </w:pPr>
            <w:r w:rsidRPr="00536CFD">
              <w:rPr>
                <w:rFonts w:eastAsia="Malgun Gothic"/>
                <w:lang w:eastAsia="ko-KR"/>
              </w:rPr>
              <w:t>0.273</w:t>
            </w:r>
          </w:p>
        </w:tc>
      </w:tr>
      <w:tr w:rsidR="004346F3" w:rsidRPr="00C64ECB" w14:paraId="2E3C954E" w14:textId="77777777" w:rsidTr="00802ABC">
        <w:trPr>
          <w:cantSplit/>
          <w:trHeight w:val="22"/>
        </w:trPr>
        <w:tc>
          <w:tcPr>
            <w:tcW w:w="269" w:type="dxa"/>
            <w:vMerge/>
            <w:shd w:val="clear" w:color="auto" w:fill="auto"/>
          </w:tcPr>
          <w:p w14:paraId="78998EC2" w14:textId="77777777" w:rsidR="004346F3" w:rsidRPr="00536CFD" w:rsidRDefault="004346F3" w:rsidP="00802ABC">
            <w:pPr>
              <w:pStyle w:val="ListParagraph"/>
              <w:spacing w:after="0"/>
              <w:ind w:firstLineChars="0" w:firstLine="0"/>
              <w:jc w:val="center"/>
            </w:pPr>
          </w:p>
        </w:tc>
        <w:tc>
          <w:tcPr>
            <w:tcW w:w="1079" w:type="dxa"/>
            <w:gridSpan w:val="2"/>
            <w:shd w:val="clear" w:color="auto" w:fill="auto"/>
          </w:tcPr>
          <w:p w14:paraId="3606B245" w14:textId="77777777" w:rsidR="004346F3" w:rsidRPr="00536CFD" w:rsidRDefault="004346F3" w:rsidP="00802ABC">
            <w:pPr>
              <w:pStyle w:val="ListParagraph"/>
              <w:spacing w:after="0"/>
              <w:ind w:firstLineChars="0" w:firstLine="0"/>
              <w:jc w:val="center"/>
            </w:pPr>
            <w:r w:rsidRPr="00536CFD">
              <w:rPr>
                <w:rFonts w:ascii="Cambria Math" w:hAnsi="Cambria Math" w:cs="Cambria Math"/>
              </w:rPr>
              <w:t>𝜌</w:t>
            </w:r>
          </w:p>
        </w:tc>
        <w:tc>
          <w:tcPr>
            <w:tcW w:w="627" w:type="dxa"/>
            <w:gridSpan w:val="3"/>
            <w:shd w:val="clear" w:color="auto" w:fill="auto"/>
          </w:tcPr>
          <w:p w14:paraId="39F1DC68"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0.965</w:t>
            </w:r>
          </w:p>
        </w:tc>
        <w:tc>
          <w:tcPr>
            <w:tcW w:w="629" w:type="dxa"/>
            <w:gridSpan w:val="2"/>
            <w:shd w:val="clear" w:color="auto" w:fill="auto"/>
          </w:tcPr>
          <w:p w14:paraId="0EA1455F"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0.982</w:t>
            </w:r>
          </w:p>
        </w:tc>
        <w:tc>
          <w:tcPr>
            <w:tcW w:w="629" w:type="dxa"/>
            <w:shd w:val="clear" w:color="auto" w:fill="auto"/>
          </w:tcPr>
          <w:p w14:paraId="5BEEFAD8"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0.973</w:t>
            </w:r>
          </w:p>
        </w:tc>
        <w:tc>
          <w:tcPr>
            <w:tcW w:w="629" w:type="dxa"/>
            <w:shd w:val="clear" w:color="auto" w:fill="auto"/>
          </w:tcPr>
          <w:p w14:paraId="7A1A062F"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0.988</w:t>
            </w:r>
          </w:p>
        </w:tc>
        <w:tc>
          <w:tcPr>
            <w:tcW w:w="719" w:type="dxa"/>
            <w:gridSpan w:val="2"/>
            <w:shd w:val="clear" w:color="auto" w:fill="auto"/>
          </w:tcPr>
          <w:p w14:paraId="536C317C"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0.898</w:t>
            </w:r>
          </w:p>
        </w:tc>
        <w:tc>
          <w:tcPr>
            <w:tcW w:w="723" w:type="dxa"/>
            <w:gridSpan w:val="2"/>
            <w:shd w:val="clear" w:color="auto" w:fill="auto"/>
          </w:tcPr>
          <w:p w14:paraId="78B337FD"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0.910</w:t>
            </w:r>
          </w:p>
        </w:tc>
        <w:tc>
          <w:tcPr>
            <w:tcW w:w="719" w:type="dxa"/>
            <w:shd w:val="clear" w:color="auto" w:fill="auto"/>
          </w:tcPr>
          <w:p w14:paraId="0E77CBDD"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0.852</w:t>
            </w:r>
          </w:p>
        </w:tc>
        <w:tc>
          <w:tcPr>
            <w:tcW w:w="719" w:type="dxa"/>
            <w:shd w:val="clear" w:color="auto" w:fill="auto"/>
          </w:tcPr>
          <w:p w14:paraId="24D4A6F1"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0.982</w:t>
            </w:r>
          </w:p>
        </w:tc>
        <w:tc>
          <w:tcPr>
            <w:tcW w:w="719" w:type="dxa"/>
            <w:shd w:val="clear" w:color="auto" w:fill="auto"/>
          </w:tcPr>
          <w:p w14:paraId="0D15343C"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0.786</w:t>
            </w:r>
          </w:p>
        </w:tc>
        <w:tc>
          <w:tcPr>
            <w:tcW w:w="719" w:type="dxa"/>
            <w:gridSpan w:val="2"/>
            <w:shd w:val="clear" w:color="auto" w:fill="auto"/>
          </w:tcPr>
          <w:p w14:paraId="01819C9F"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0.859</w:t>
            </w:r>
          </w:p>
        </w:tc>
        <w:tc>
          <w:tcPr>
            <w:tcW w:w="719" w:type="dxa"/>
            <w:gridSpan w:val="2"/>
            <w:shd w:val="clear" w:color="auto" w:fill="auto"/>
          </w:tcPr>
          <w:p w14:paraId="6462236D"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0.782</w:t>
            </w:r>
          </w:p>
        </w:tc>
        <w:tc>
          <w:tcPr>
            <w:tcW w:w="728" w:type="dxa"/>
            <w:gridSpan w:val="2"/>
            <w:shd w:val="clear" w:color="auto" w:fill="auto"/>
          </w:tcPr>
          <w:p w14:paraId="23F5F81F" w14:textId="77777777" w:rsidR="004346F3" w:rsidRPr="00536CFD" w:rsidRDefault="004346F3" w:rsidP="00802ABC">
            <w:pPr>
              <w:pStyle w:val="ListParagraph"/>
              <w:spacing w:after="0"/>
              <w:ind w:firstLineChars="0" w:firstLine="0"/>
              <w:jc w:val="center"/>
              <w:rPr>
                <w:rFonts w:eastAsia="Malgun Gothic"/>
                <w:lang w:eastAsia="ko-KR"/>
              </w:rPr>
            </w:pPr>
            <w:r w:rsidRPr="00536CFD">
              <w:rPr>
                <w:rFonts w:eastAsia="Malgun Gothic"/>
                <w:lang w:eastAsia="ko-KR"/>
              </w:rPr>
              <w:t>0.918</w:t>
            </w:r>
          </w:p>
        </w:tc>
      </w:tr>
      <w:tr w:rsidR="004346F3" w:rsidRPr="00C64ECB" w14:paraId="2635BB48" w14:textId="77777777" w:rsidTr="00802ABC">
        <w:trPr>
          <w:cantSplit/>
          <w:trHeight w:val="22"/>
        </w:trPr>
        <w:tc>
          <w:tcPr>
            <w:tcW w:w="269" w:type="dxa"/>
            <w:vMerge/>
            <w:shd w:val="clear" w:color="auto" w:fill="auto"/>
          </w:tcPr>
          <w:p w14:paraId="65389538" w14:textId="77777777" w:rsidR="004346F3" w:rsidRPr="00536CFD" w:rsidRDefault="004346F3" w:rsidP="00802ABC">
            <w:pPr>
              <w:pStyle w:val="ListParagraph"/>
              <w:spacing w:after="0"/>
              <w:ind w:firstLineChars="0" w:firstLine="0"/>
              <w:jc w:val="center"/>
            </w:pPr>
          </w:p>
        </w:tc>
        <w:tc>
          <w:tcPr>
            <w:tcW w:w="1079" w:type="dxa"/>
            <w:gridSpan w:val="2"/>
            <w:shd w:val="clear" w:color="auto" w:fill="auto"/>
          </w:tcPr>
          <w:p w14:paraId="46C174E9" w14:textId="77777777" w:rsidR="004346F3" w:rsidRPr="00536CFD" w:rsidRDefault="004346F3" w:rsidP="00802ABC">
            <w:pPr>
              <w:pStyle w:val="ListParagraph"/>
              <w:spacing w:after="0"/>
              <w:ind w:firstLineChars="0" w:firstLine="0"/>
              <w:jc w:val="center"/>
            </w:pPr>
            <w:r w:rsidRPr="00536CFD">
              <w:t>BO</w:t>
            </w:r>
          </w:p>
        </w:tc>
        <w:tc>
          <w:tcPr>
            <w:tcW w:w="627" w:type="dxa"/>
            <w:gridSpan w:val="3"/>
            <w:shd w:val="clear" w:color="auto" w:fill="auto"/>
          </w:tcPr>
          <w:p w14:paraId="06AEFA3F"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0.152</w:t>
            </w:r>
          </w:p>
        </w:tc>
        <w:tc>
          <w:tcPr>
            <w:tcW w:w="629" w:type="dxa"/>
            <w:gridSpan w:val="2"/>
            <w:shd w:val="clear" w:color="auto" w:fill="auto"/>
          </w:tcPr>
          <w:p w14:paraId="01C2F013"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0.127</w:t>
            </w:r>
          </w:p>
        </w:tc>
        <w:tc>
          <w:tcPr>
            <w:tcW w:w="629" w:type="dxa"/>
            <w:shd w:val="clear" w:color="auto" w:fill="auto"/>
          </w:tcPr>
          <w:p w14:paraId="2E80AA52"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0.078</w:t>
            </w:r>
          </w:p>
        </w:tc>
        <w:tc>
          <w:tcPr>
            <w:tcW w:w="629" w:type="dxa"/>
            <w:shd w:val="clear" w:color="auto" w:fill="auto"/>
          </w:tcPr>
          <w:p w14:paraId="1912E61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0.042</w:t>
            </w:r>
          </w:p>
        </w:tc>
        <w:tc>
          <w:tcPr>
            <w:tcW w:w="719" w:type="dxa"/>
            <w:gridSpan w:val="2"/>
            <w:shd w:val="clear" w:color="auto" w:fill="auto"/>
          </w:tcPr>
          <w:p w14:paraId="05117964"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0.348</w:t>
            </w:r>
          </w:p>
        </w:tc>
        <w:tc>
          <w:tcPr>
            <w:tcW w:w="723" w:type="dxa"/>
            <w:gridSpan w:val="2"/>
            <w:shd w:val="clear" w:color="auto" w:fill="auto"/>
          </w:tcPr>
          <w:p w14:paraId="0A6AA8EE"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0.299</w:t>
            </w:r>
          </w:p>
        </w:tc>
        <w:tc>
          <w:tcPr>
            <w:tcW w:w="719" w:type="dxa"/>
            <w:shd w:val="clear" w:color="auto" w:fill="auto"/>
          </w:tcPr>
          <w:p w14:paraId="38DF5D65"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0.258</w:t>
            </w:r>
          </w:p>
        </w:tc>
        <w:tc>
          <w:tcPr>
            <w:tcW w:w="719" w:type="dxa"/>
            <w:shd w:val="clear" w:color="auto" w:fill="auto"/>
          </w:tcPr>
          <w:p w14:paraId="6C0EC89A"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0.092</w:t>
            </w:r>
          </w:p>
        </w:tc>
        <w:tc>
          <w:tcPr>
            <w:tcW w:w="719" w:type="dxa"/>
            <w:shd w:val="clear" w:color="auto" w:fill="auto"/>
          </w:tcPr>
          <w:p w14:paraId="0E329EC7"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0.547</w:t>
            </w:r>
          </w:p>
        </w:tc>
        <w:tc>
          <w:tcPr>
            <w:tcW w:w="719" w:type="dxa"/>
            <w:gridSpan w:val="2"/>
            <w:shd w:val="clear" w:color="auto" w:fill="auto"/>
          </w:tcPr>
          <w:p w14:paraId="4702023F"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0.497</w:t>
            </w:r>
          </w:p>
        </w:tc>
        <w:tc>
          <w:tcPr>
            <w:tcW w:w="719" w:type="dxa"/>
            <w:gridSpan w:val="2"/>
            <w:shd w:val="clear" w:color="auto" w:fill="auto"/>
          </w:tcPr>
          <w:p w14:paraId="331D0F71" w14:textId="77777777" w:rsidR="004346F3" w:rsidRPr="00536CFD" w:rsidRDefault="004346F3" w:rsidP="00802ABC">
            <w:pPr>
              <w:pStyle w:val="BodyText"/>
              <w:spacing w:after="0"/>
              <w:jc w:val="center"/>
              <w:rPr>
                <w:rFonts w:eastAsia="Malgun Gothic"/>
                <w:lang w:eastAsia="ko-KR"/>
              </w:rPr>
            </w:pPr>
            <w:r w:rsidRPr="00536CFD">
              <w:rPr>
                <w:rFonts w:eastAsia="Malgun Gothic"/>
                <w:lang w:eastAsia="ko-KR"/>
              </w:rPr>
              <w:t>0.443</w:t>
            </w:r>
          </w:p>
        </w:tc>
        <w:tc>
          <w:tcPr>
            <w:tcW w:w="728" w:type="dxa"/>
            <w:gridSpan w:val="2"/>
            <w:shd w:val="clear" w:color="auto" w:fill="auto"/>
          </w:tcPr>
          <w:p w14:paraId="7CE632BF" w14:textId="77777777" w:rsidR="004346F3" w:rsidRPr="00536CFD" w:rsidRDefault="004346F3" w:rsidP="00802ABC">
            <w:pPr>
              <w:pStyle w:val="ListParagraph"/>
              <w:spacing w:after="0"/>
              <w:ind w:firstLineChars="0" w:firstLine="0"/>
              <w:jc w:val="center"/>
              <w:rPr>
                <w:rFonts w:eastAsia="Malgun Gothic"/>
                <w:lang w:eastAsia="ko-KR"/>
              </w:rPr>
            </w:pPr>
            <w:r w:rsidRPr="00536CFD">
              <w:rPr>
                <w:rFonts w:eastAsia="Malgun Gothic"/>
                <w:lang w:eastAsia="ko-KR"/>
              </w:rPr>
              <w:t>0.260</w:t>
            </w:r>
          </w:p>
        </w:tc>
      </w:tr>
      <w:tr w:rsidR="004346F3" w:rsidRPr="00C64ECB" w14:paraId="5C6EAAE5" w14:textId="77777777" w:rsidTr="00802ABC">
        <w:trPr>
          <w:cantSplit/>
          <w:trHeight w:val="22"/>
        </w:trPr>
        <w:tc>
          <w:tcPr>
            <w:tcW w:w="269" w:type="dxa"/>
            <w:vMerge/>
            <w:shd w:val="clear" w:color="auto" w:fill="auto"/>
          </w:tcPr>
          <w:p w14:paraId="765E703A" w14:textId="77777777" w:rsidR="004346F3" w:rsidRPr="00536CFD" w:rsidRDefault="004346F3" w:rsidP="00802ABC">
            <w:pPr>
              <w:pStyle w:val="ListParagraph"/>
              <w:spacing w:after="0"/>
              <w:ind w:firstLineChars="0" w:firstLine="0"/>
              <w:jc w:val="center"/>
            </w:pPr>
          </w:p>
        </w:tc>
        <w:tc>
          <w:tcPr>
            <w:tcW w:w="1079" w:type="dxa"/>
            <w:gridSpan w:val="2"/>
            <w:shd w:val="clear" w:color="auto" w:fill="auto"/>
          </w:tcPr>
          <w:p w14:paraId="20044E51" w14:textId="77777777" w:rsidR="004346F3" w:rsidRPr="00536CFD" w:rsidRDefault="004346F3" w:rsidP="00802ABC">
            <w:pPr>
              <w:pStyle w:val="ListParagraph"/>
              <w:spacing w:after="0"/>
              <w:ind w:firstLineChars="0" w:firstLine="0"/>
              <w:jc w:val="center"/>
            </w:pPr>
            <w:r w:rsidRPr="00536CFD">
              <w:rPr>
                <w:rFonts w:ascii="Cambria Math" w:hAnsi="Cambria Math" w:cs="Cambria Math"/>
              </w:rPr>
              <w:t>𝜆</w:t>
            </w:r>
          </w:p>
        </w:tc>
        <w:tc>
          <w:tcPr>
            <w:tcW w:w="2514" w:type="dxa"/>
            <w:gridSpan w:val="7"/>
            <w:shd w:val="clear" w:color="auto" w:fill="auto"/>
          </w:tcPr>
          <w:p w14:paraId="603D4CF8" w14:textId="77777777" w:rsidR="004346F3" w:rsidRPr="00536CFD" w:rsidRDefault="004346F3" w:rsidP="00802ABC">
            <w:pPr>
              <w:pStyle w:val="ListParagraph"/>
              <w:spacing w:after="0"/>
              <w:ind w:firstLineChars="0" w:firstLine="0"/>
              <w:jc w:val="center"/>
              <w:rPr>
                <w:rFonts w:eastAsia="Malgun Gothic"/>
                <w:lang w:eastAsia="ko-KR"/>
              </w:rPr>
            </w:pPr>
            <w:r w:rsidRPr="00536CFD">
              <w:rPr>
                <w:rFonts w:eastAsia="Malgun Gothic"/>
                <w:lang w:eastAsia="ko-KR"/>
              </w:rPr>
              <w:t>0.1</w:t>
            </w:r>
          </w:p>
        </w:tc>
        <w:tc>
          <w:tcPr>
            <w:tcW w:w="2880" w:type="dxa"/>
            <w:gridSpan w:val="6"/>
            <w:shd w:val="clear" w:color="auto" w:fill="auto"/>
          </w:tcPr>
          <w:p w14:paraId="2ABEB43D" w14:textId="77777777" w:rsidR="004346F3" w:rsidRPr="00536CFD" w:rsidRDefault="004346F3" w:rsidP="00802ABC">
            <w:pPr>
              <w:pStyle w:val="ListParagraph"/>
              <w:spacing w:after="0"/>
              <w:ind w:firstLineChars="0" w:firstLine="0"/>
              <w:jc w:val="center"/>
              <w:rPr>
                <w:rFonts w:eastAsia="Malgun Gothic"/>
                <w:lang w:eastAsia="ko-KR"/>
              </w:rPr>
            </w:pPr>
            <w:r w:rsidRPr="00536CFD">
              <w:rPr>
                <w:rFonts w:eastAsia="Malgun Gothic"/>
                <w:lang w:eastAsia="ko-KR"/>
              </w:rPr>
              <w:t>0.15</w:t>
            </w:r>
          </w:p>
        </w:tc>
        <w:tc>
          <w:tcPr>
            <w:tcW w:w="2885" w:type="dxa"/>
            <w:gridSpan w:val="7"/>
            <w:shd w:val="clear" w:color="auto" w:fill="auto"/>
          </w:tcPr>
          <w:p w14:paraId="71156272" w14:textId="77777777" w:rsidR="004346F3" w:rsidRPr="00536CFD" w:rsidRDefault="004346F3" w:rsidP="00802ABC">
            <w:pPr>
              <w:pStyle w:val="ListParagraph"/>
              <w:spacing w:after="0"/>
              <w:ind w:firstLineChars="0" w:firstLine="0"/>
              <w:jc w:val="center"/>
              <w:rPr>
                <w:rFonts w:eastAsia="Malgun Gothic"/>
                <w:lang w:eastAsia="ko-KR"/>
              </w:rPr>
            </w:pPr>
            <w:r w:rsidRPr="00536CFD">
              <w:rPr>
                <w:rFonts w:eastAsia="Malgun Gothic"/>
                <w:lang w:eastAsia="ko-KR"/>
              </w:rPr>
              <w:t>0.2</w:t>
            </w:r>
          </w:p>
        </w:tc>
      </w:tr>
      <w:tr w:rsidR="004346F3" w:rsidRPr="00C64ECB" w14:paraId="1C4CEBEC" w14:textId="77777777" w:rsidTr="00802ABC">
        <w:trPr>
          <w:cantSplit/>
          <w:trHeight w:val="22"/>
        </w:trPr>
        <w:tc>
          <w:tcPr>
            <w:tcW w:w="269" w:type="dxa"/>
            <w:vMerge/>
            <w:shd w:val="clear" w:color="auto" w:fill="auto"/>
          </w:tcPr>
          <w:p w14:paraId="1C9EFA38" w14:textId="77777777" w:rsidR="004346F3" w:rsidRPr="00536CFD" w:rsidRDefault="004346F3" w:rsidP="00802ABC">
            <w:pPr>
              <w:pStyle w:val="ListParagraph"/>
              <w:spacing w:after="0"/>
              <w:ind w:firstLineChars="0" w:firstLine="0"/>
              <w:jc w:val="center"/>
            </w:pPr>
          </w:p>
        </w:tc>
        <w:tc>
          <w:tcPr>
            <w:tcW w:w="1079" w:type="dxa"/>
            <w:gridSpan w:val="2"/>
            <w:shd w:val="clear" w:color="auto" w:fill="auto"/>
          </w:tcPr>
          <w:p w14:paraId="19F206D2" w14:textId="77777777" w:rsidR="004346F3" w:rsidRPr="00536CFD" w:rsidRDefault="004346F3" w:rsidP="00802ABC">
            <w:pPr>
              <w:pStyle w:val="ListParagraph"/>
              <w:spacing w:after="0"/>
              <w:ind w:firstLineChars="0" w:firstLine="0"/>
              <w:jc w:val="both"/>
            </w:pPr>
          </w:p>
        </w:tc>
        <w:tc>
          <w:tcPr>
            <w:tcW w:w="8279" w:type="dxa"/>
            <w:gridSpan w:val="20"/>
            <w:shd w:val="clear" w:color="auto" w:fill="auto"/>
          </w:tcPr>
          <w:p w14:paraId="74FC5CE9" w14:textId="77777777" w:rsidR="004346F3" w:rsidRPr="00536CFD" w:rsidRDefault="004346F3" w:rsidP="00802ABC">
            <w:pPr>
              <w:pStyle w:val="ListParagraph"/>
              <w:spacing w:after="0"/>
              <w:ind w:firstLineChars="0" w:firstLine="0"/>
              <w:jc w:val="both"/>
              <w:rPr>
                <w:lang w:val="en-US"/>
              </w:rPr>
            </w:pPr>
            <w:r w:rsidRPr="00536CFD">
              <w:t>Additional comments:</w:t>
            </w:r>
          </w:p>
          <w:p w14:paraId="10854072" w14:textId="4DA0E955" w:rsidR="004346F3" w:rsidRPr="00536CFD" w:rsidRDefault="00D54005" w:rsidP="00B7257D">
            <w:pPr>
              <w:pStyle w:val="B1"/>
              <w:spacing w:after="0"/>
            </w:pPr>
            <w:r w:rsidRPr="00536CFD">
              <w:t>-</w:t>
            </w:r>
            <w:r w:rsidRPr="00536CFD">
              <w:tab/>
            </w:r>
            <w:r w:rsidR="004346F3" w:rsidRPr="00536CFD">
              <w:t>4ms for both Wi-Fi and NR-U</w:t>
            </w:r>
          </w:p>
          <w:p w14:paraId="63061B2C" w14:textId="1E7F8730" w:rsidR="004346F3" w:rsidRPr="00536CFD" w:rsidRDefault="00D54005" w:rsidP="00B7257D">
            <w:pPr>
              <w:pStyle w:val="B1"/>
              <w:spacing w:after="0"/>
            </w:pPr>
            <w:r w:rsidRPr="00536CFD">
              <w:t>-</w:t>
            </w:r>
            <w:r w:rsidRPr="00536CFD">
              <w:tab/>
            </w:r>
            <w:r w:rsidR="004346F3" w:rsidRPr="00536CFD">
              <w:t>No</w:t>
            </w:r>
          </w:p>
          <w:p w14:paraId="7C4D44F1" w14:textId="6C6F92C7" w:rsidR="004346F3" w:rsidRPr="00536CFD" w:rsidRDefault="00D54005" w:rsidP="00B7257D">
            <w:pPr>
              <w:pStyle w:val="B1"/>
              <w:spacing w:after="0"/>
            </w:pPr>
            <w:r w:rsidRPr="00536CFD">
              <w:t>-</w:t>
            </w:r>
            <w:r w:rsidRPr="00536CFD">
              <w:tab/>
            </w:r>
            <w:r w:rsidR="004346F3" w:rsidRPr="00536CFD">
              <w:t>For Wi-Fi, PDT = -82 dBm, EDT = -62 dBm; for NR-U EDT = -72 dBm (baseline)</w:t>
            </w:r>
          </w:p>
          <w:p w14:paraId="3B5AC936" w14:textId="79C31C44" w:rsidR="004346F3" w:rsidRPr="00536CFD" w:rsidRDefault="00D54005" w:rsidP="00B7257D">
            <w:pPr>
              <w:pStyle w:val="B1"/>
              <w:spacing w:after="0"/>
            </w:pPr>
            <w:r w:rsidRPr="00536CFD">
              <w:t>-</w:t>
            </w:r>
            <w:r w:rsidRPr="00536CFD">
              <w:tab/>
            </w:r>
            <w:r w:rsidR="004346F3" w:rsidRPr="00536CFD">
              <w:t>256 QAM for both Wi-Fi and NR-U</w:t>
            </w:r>
          </w:p>
          <w:p w14:paraId="24E5F99B" w14:textId="747D91EF" w:rsidR="004346F3" w:rsidRPr="00536CFD" w:rsidRDefault="00D54005" w:rsidP="00B7257D">
            <w:pPr>
              <w:pStyle w:val="B1"/>
              <w:spacing w:after="0"/>
            </w:pPr>
            <w:r w:rsidRPr="00536CFD">
              <w:t>-</w:t>
            </w:r>
            <w:r w:rsidRPr="00536CFD">
              <w:tab/>
            </w:r>
            <w:r w:rsidR="004346F3" w:rsidRPr="00536CFD">
              <w:t>NR-U with array radiation pattern according to TR38.802 and max BF gain of 5 dBi; omni-directional for Wi-Fi</w:t>
            </w:r>
          </w:p>
          <w:p w14:paraId="25A572BF" w14:textId="4DA17D5A" w:rsidR="004346F3" w:rsidRPr="00536CFD" w:rsidRDefault="00D54005" w:rsidP="00B7257D">
            <w:pPr>
              <w:pStyle w:val="B1"/>
              <w:spacing w:after="0"/>
            </w:pPr>
            <w:r w:rsidRPr="00536CFD">
              <w:t>-</w:t>
            </w:r>
            <w:r w:rsidRPr="00536CFD">
              <w:tab/>
            </w:r>
            <w:r w:rsidR="004346F3" w:rsidRPr="00536CFD">
              <w:t xml:space="preserve">MPDU size = 3250 bytes by default, 1ms per MPDU </w:t>
            </w:r>
          </w:p>
          <w:p w14:paraId="572FCF25" w14:textId="41E3120B" w:rsidR="004346F3" w:rsidRPr="00536CFD" w:rsidRDefault="00D54005" w:rsidP="00B7257D">
            <w:pPr>
              <w:pStyle w:val="B1"/>
              <w:spacing w:after="0"/>
            </w:pPr>
            <w:r w:rsidRPr="00536CFD">
              <w:t>-</w:t>
            </w:r>
            <w:r w:rsidRPr="00536CFD">
              <w:tab/>
            </w:r>
            <w:r w:rsidR="004346F3" w:rsidRPr="00536CFD">
              <w:t>15 kHz</w:t>
            </w:r>
          </w:p>
          <w:p w14:paraId="602A9C66" w14:textId="0DAC7675" w:rsidR="004346F3" w:rsidRPr="00536CFD" w:rsidRDefault="00D54005" w:rsidP="00B7257D">
            <w:pPr>
              <w:pStyle w:val="B1"/>
              <w:spacing w:after="0"/>
            </w:pPr>
            <w:r w:rsidRPr="00536CFD">
              <w:t>-</w:t>
            </w:r>
            <w:r w:rsidRPr="00536CFD">
              <w:tab/>
            </w:r>
            <w:r w:rsidR="00200090">
              <w:t xml:space="preserve">0.8 </w:t>
            </w:r>
            <w:r w:rsidR="00200090" w:rsidRPr="00C64ECB">
              <w:rPr>
                <w:rFonts w:ascii="Symbol" w:hAnsi="Symbol"/>
              </w:rPr>
              <w:t></w:t>
            </w:r>
            <w:r w:rsidR="004346F3" w:rsidRPr="00536CFD">
              <w:t>s</w:t>
            </w:r>
          </w:p>
          <w:p w14:paraId="5DBEECB7" w14:textId="3D335D62" w:rsidR="004346F3" w:rsidRPr="00536CFD" w:rsidRDefault="00D54005" w:rsidP="00B7257D">
            <w:pPr>
              <w:pStyle w:val="B1"/>
              <w:spacing w:after="0"/>
            </w:pPr>
            <w:r w:rsidRPr="00536CFD">
              <w:t>-</w:t>
            </w:r>
            <w:r w:rsidRPr="00536CFD">
              <w:tab/>
            </w:r>
            <w:r w:rsidR="004346F3" w:rsidRPr="00536CFD">
              <w:t>Capability #1</w:t>
            </w:r>
          </w:p>
          <w:p w14:paraId="008C0565" w14:textId="50D3553E" w:rsidR="004346F3" w:rsidRPr="00536CFD" w:rsidRDefault="00D54005" w:rsidP="00B7257D">
            <w:pPr>
              <w:pStyle w:val="B1"/>
              <w:spacing w:after="0"/>
            </w:pPr>
            <w:r w:rsidRPr="00536CFD">
              <w:t>-</w:t>
            </w:r>
            <w:r w:rsidRPr="00536CFD">
              <w:tab/>
            </w:r>
            <w:r w:rsidR="004346F3" w:rsidRPr="00536CFD">
              <w:t>Mapping type B in the starting slot of TxOP; per-symbol PDCCH monitoring for flexible starting position</w:t>
            </w:r>
          </w:p>
          <w:p w14:paraId="16B7B029" w14:textId="3882CA22" w:rsidR="004346F3" w:rsidRPr="00536CFD" w:rsidRDefault="00D54005" w:rsidP="00B7257D">
            <w:pPr>
              <w:pStyle w:val="B1"/>
              <w:spacing w:after="0"/>
            </w:pPr>
            <w:r w:rsidRPr="00536CFD">
              <w:t>-</w:t>
            </w:r>
            <w:r w:rsidRPr="00536CFD">
              <w:tab/>
            </w:r>
            <w:r w:rsidR="004346F3" w:rsidRPr="00536CFD">
              <w:t>No fast link adaptation utilizing multiple switching points within COT for NR-U</w:t>
            </w:r>
          </w:p>
          <w:p w14:paraId="03883B05" w14:textId="5ED5C675" w:rsidR="004346F3" w:rsidRPr="00536CFD" w:rsidRDefault="00D54005" w:rsidP="00B7257D">
            <w:pPr>
              <w:pStyle w:val="B1"/>
              <w:spacing w:after="0"/>
            </w:pPr>
            <w:r w:rsidRPr="00536CFD">
              <w:t>-</w:t>
            </w:r>
            <w:r w:rsidRPr="00536CFD">
              <w:tab/>
            </w:r>
            <w:r w:rsidR="004346F3" w:rsidRPr="00536CFD">
              <w:t>Cross-carrier scheduling in UL</w:t>
            </w:r>
          </w:p>
        </w:tc>
      </w:tr>
    </w:tbl>
    <w:p w14:paraId="4E03884D" w14:textId="77777777" w:rsidR="004346F3" w:rsidRPr="00C64ECB" w:rsidRDefault="004346F3" w:rsidP="00006578">
      <w:pPr>
        <w:pStyle w:val="TH"/>
      </w:pPr>
    </w:p>
    <w:tbl>
      <w:tblPr>
        <w:tblStyle w:val="TableGrid2"/>
        <w:tblW w:w="0" w:type="auto"/>
        <w:tblCellMar>
          <w:left w:w="0" w:type="dxa"/>
          <w:right w:w="0" w:type="dxa"/>
        </w:tblCellMar>
        <w:tblLook w:val="04A0" w:firstRow="1" w:lastRow="0" w:firstColumn="1" w:lastColumn="0" w:noHBand="0" w:noVBand="1"/>
      </w:tblPr>
      <w:tblGrid>
        <w:gridCol w:w="314"/>
        <w:gridCol w:w="613"/>
        <w:gridCol w:w="469"/>
        <w:gridCol w:w="710"/>
        <w:gridCol w:w="710"/>
        <w:gridCol w:w="711"/>
        <w:gridCol w:w="711"/>
        <w:gridCol w:w="613"/>
        <w:gridCol w:w="710"/>
        <w:gridCol w:w="711"/>
        <w:gridCol w:w="711"/>
        <w:gridCol w:w="613"/>
        <w:gridCol w:w="613"/>
        <w:gridCol w:w="711"/>
        <w:gridCol w:w="711"/>
      </w:tblGrid>
      <w:tr w:rsidR="004346F3" w:rsidRPr="00536CFD" w14:paraId="1D24332A" w14:textId="77777777" w:rsidTr="00536CFD">
        <w:trPr>
          <w:cantSplit/>
          <w:trHeight w:val="22"/>
        </w:trPr>
        <w:tc>
          <w:tcPr>
            <w:tcW w:w="0" w:type="auto"/>
            <w:vMerge w:val="restart"/>
            <w:textDirection w:val="btLr"/>
          </w:tcPr>
          <w:p w14:paraId="74BFE60E" w14:textId="206CD328" w:rsidR="004346F3" w:rsidRPr="00536CFD" w:rsidRDefault="004346F3" w:rsidP="00536CFD">
            <w:pPr>
              <w:pageBreakBefore/>
              <w:spacing w:after="60"/>
              <w:ind w:left="113" w:right="113"/>
              <w:jc w:val="center"/>
              <w:rPr>
                <w:rFonts w:ascii="Times New Roman" w:hAnsi="Times New Roman"/>
                <w:sz w:val="20"/>
                <w:szCs w:val="20"/>
              </w:rPr>
            </w:pPr>
            <w:r w:rsidRPr="00536CFD">
              <w:rPr>
                <w:rFonts w:ascii="Times New Roman" w:hAnsi="Times New Roman"/>
                <w:sz w:val="20"/>
                <w:szCs w:val="20"/>
              </w:rPr>
              <w:t>Tdoc /Source</w:t>
            </w:r>
          </w:p>
        </w:tc>
        <w:tc>
          <w:tcPr>
            <w:tcW w:w="0" w:type="auto"/>
            <w:gridSpan w:val="2"/>
            <w:vMerge w:val="restart"/>
          </w:tcPr>
          <w:p w14:paraId="00E9A8B7" w14:textId="77777777" w:rsidR="004346F3" w:rsidRPr="00536CFD" w:rsidRDefault="004346F3" w:rsidP="00831ADB">
            <w:pPr>
              <w:pageBreakBefore/>
              <w:spacing w:after="60"/>
              <w:jc w:val="center"/>
              <w:rPr>
                <w:rFonts w:ascii="Times New Roman" w:hAnsi="Times New Roman"/>
                <w:sz w:val="20"/>
                <w:szCs w:val="20"/>
              </w:rPr>
            </w:pPr>
          </w:p>
          <w:p w14:paraId="1EFA3140" w14:textId="77777777" w:rsidR="004346F3" w:rsidRPr="00536CFD" w:rsidRDefault="004346F3" w:rsidP="00831ADB">
            <w:pPr>
              <w:pageBreakBefore/>
              <w:spacing w:after="60"/>
              <w:jc w:val="center"/>
              <w:rPr>
                <w:rFonts w:ascii="Times New Roman" w:hAnsi="Times New Roman"/>
                <w:sz w:val="20"/>
                <w:szCs w:val="20"/>
              </w:rPr>
            </w:pPr>
            <w:r w:rsidRPr="00536CFD">
              <w:rPr>
                <w:rFonts w:ascii="Times New Roman" w:hAnsi="Times New Roman"/>
                <w:sz w:val="20"/>
                <w:szCs w:val="20"/>
              </w:rPr>
              <w:t>Reported parameters</w:t>
            </w:r>
          </w:p>
        </w:tc>
        <w:tc>
          <w:tcPr>
            <w:tcW w:w="0" w:type="auto"/>
            <w:gridSpan w:val="4"/>
          </w:tcPr>
          <w:p w14:paraId="7F4023A3"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u w:val="single"/>
              </w:rPr>
              <w:t>Low load</w:t>
            </w:r>
          </w:p>
          <w:p w14:paraId="5AA4232E"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rPr>
              <w:t xml:space="preserve">BO range for Wi-Fi in </w:t>
            </w:r>
            <w:r w:rsidRPr="00536CFD">
              <w:rPr>
                <w:rFonts w:ascii="Times New Roman" w:hAnsi="Times New Roman"/>
                <w:sz w:val="20"/>
                <w:szCs w:val="20"/>
              </w:rPr>
              <w:br/>
              <w:t xml:space="preserve">Wi-Fi+Wi-Fi: </w:t>
            </w:r>
            <w:r w:rsidRPr="00536CFD">
              <w:rPr>
                <w:rFonts w:ascii="Times New Roman" w:eastAsia="MS Mincho" w:hAnsi="Times New Roman"/>
                <w:sz w:val="20"/>
                <w:szCs w:val="20"/>
              </w:rPr>
              <w:t>10%~25%</w:t>
            </w:r>
          </w:p>
        </w:tc>
        <w:tc>
          <w:tcPr>
            <w:tcW w:w="0" w:type="auto"/>
            <w:gridSpan w:val="4"/>
          </w:tcPr>
          <w:p w14:paraId="65E680CA"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u w:val="single"/>
              </w:rPr>
              <w:t>Medium load</w:t>
            </w:r>
          </w:p>
          <w:p w14:paraId="56E7A07F"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rPr>
              <w:t xml:space="preserve">BO range for Wi-Fi in </w:t>
            </w:r>
            <w:r w:rsidRPr="00536CFD">
              <w:rPr>
                <w:rFonts w:ascii="Times New Roman" w:hAnsi="Times New Roman"/>
                <w:sz w:val="20"/>
                <w:szCs w:val="20"/>
              </w:rPr>
              <w:br/>
              <w:t xml:space="preserve">Wi-Fi+Wi-Fi: </w:t>
            </w:r>
            <w:r w:rsidRPr="00536CFD">
              <w:rPr>
                <w:rFonts w:ascii="Times New Roman" w:eastAsia="MS Mincho" w:hAnsi="Times New Roman"/>
                <w:sz w:val="20"/>
                <w:szCs w:val="20"/>
              </w:rPr>
              <w:t>35%~50%</w:t>
            </w:r>
          </w:p>
        </w:tc>
        <w:tc>
          <w:tcPr>
            <w:tcW w:w="0" w:type="auto"/>
            <w:gridSpan w:val="4"/>
          </w:tcPr>
          <w:p w14:paraId="0F04FD2F"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u w:val="single"/>
              </w:rPr>
              <w:t>High load</w:t>
            </w:r>
          </w:p>
          <w:p w14:paraId="4D71ADC5"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rPr>
              <w:t xml:space="preserve">BO range for Wi-Fi in </w:t>
            </w:r>
            <w:r w:rsidRPr="00536CFD">
              <w:rPr>
                <w:rFonts w:ascii="Times New Roman" w:hAnsi="Times New Roman"/>
                <w:sz w:val="20"/>
                <w:szCs w:val="20"/>
              </w:rPr>
              <w:br/>
              <w:t>Wi-Fi+Wi-Fi: above 55%</w:t>
            </w:r>
          </w:p>
        </w:tc>
      </w:tr>
      <w:tr w:rsidR="004346F3" w:rsidRPr="00536CFD" w14:paraId="13156439" w14:textId="77777777" w:rsidTr="00536CFD">
        <w:trPr>
          <w:cantSplit/>
          <w:trHeight w:val="22"/>
        </w:trPr>
        <w:tc>
          <w:tcPr>
            <w:tcW w:w="0" w:type="auto"/>
            <w:vMerge/>
          </w:tcPr>
          <w:p w14:paraId="10CB8882" w14:textId="77777777" w:rsidR="004346F3" w:rsidRPr="00536CFD" w:rsidRDefault="004346F3" w:rsidP="00802ABC">
            <w:pPr>
              <w:spacing w:after="60"/>
              <w:jc w:val="center"/>
              <w:rPr>
                <w:rFonts w:ascii="Times New Roman" w:hAnsi="Times New Roman"/>
                <w:sz w:val="20"/>
                <w:szCs w:val="20"/>
              </w:rPr>
            </w:pPr>
          </w:p>
        </w:tc>
        <w:tc>
          <w:tcPr>
            <w:tcW w:w="0" w:type="auto"/>
            <w:gridSpan w:val="2"/>
            <w:vMerge/>
          </w:tcPr>
          <w:p w14:paraId="6B40AA2E" w14:textId="77777777" w:rsidR="004346F3" w:rsidRPr="00536CFD" w:rsidRDefault="004346F3" w:rsidP="00802ABC">
            <w:pPr>
              <w:spacing w:after="60"/>
              <w:jc w:val="center"/>
              <w:rPr>
                <w:rFonts w:ascii="Times New Roman" w:hAnsi="Times New Roman"/>
                <w:sz w:val="20"/>
                <w:szCs w:val="20"/>
              </w:rPr>
            </w:pPr>
          </w:p>
        </w:tc>
        <w:tc>
          <w:tcPr>
            <w:tcW w:w="0" w:type="auto"/>
          </w:tcPr>
          <w:p w14:paraId="2ACDA770"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2E9D4FED"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Wi-Fi</w:t>
            </w:r>
          </w:p>
        </w:tc>
        <w:tc>
          <w:tcPr>
            <w:tcW w:w="0" w:type="auto"/>
          </w:tcPr>
          <w:p w14:paraId="6410019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5519535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NR-U</w:t>
            </w:r>
          </w:p>
        </w:tc>
        <w:tc>
          <w:tcPr>
            <w:tcW w:w="0" w:type="auto"/>
          </w:tcPr>
          <w:p w14:paraId="47A03DB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696CD6B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p>
          <w:p w14:paraId="0F763BF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45E84F5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7C39D00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p w14:paraId="50EE27D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5B7BE6E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3B553C4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Wi-Fi</w:t>
            </w:r>
          </w:p>
        </w:tc>
        <w:tc>
          <w:tcPr>
            <w:tcW w:w="0" w:type="auto"/>
          </w:tcPr>
          <w:p w14:paraId="4FF630E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32BF083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NR-U</w:t>
            </w:r>
          </w:p>
        </w:tc>
        <w:tc>
          <w:tcPr>
            <w:tcW w:w="0" w:type="auto"/>
          </w:tcPr>
          <w:p w14:paraId="65AA7726"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57A9D8D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p>
          <w:p w14:paraId="29F0FA30"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1CBAD8DC"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471E261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p w14:paraId="6AA84D12"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55A18A06"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3138E3E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Wi-Fi</w:t>
            </w:r>
          </w:p>
        </w:tc>
        <w:tc>
          <w:tcPr>
            <w:tcW w:w="0" w:type="auto"/>
          </w:tcPr>
          <w:p w14:paraId="6E8B884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79F70B10"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NR-U</w:t>
            </w:r>
          </w:p>
        </w:tc>
        <w:tc>
          <w:tcPr>
            <w:tcW w:w="0" w:type="auto"/>
          </w:tcPr>
          <w:p w14:paraId="157062E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138F9FD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p>
          <w:p w14:paraId="07F31BF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1483F8E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25F024D6"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p w14:paraId="08C1EFB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r>
      <w:tr w:rsidR="004346F3" w:rsidRPr="00536CFD" w14:paraId="75B84982" w14:textId="77777777" w:rsidTr="00536CFD">
        <w:trPr>
          <w:cantSplit/>
          <w:trHeight w:val="22"/>
        </w:trPr>
        <w:tc>
          <w:tcPr>
            <w:tcW w:w="0" w:type="auto"/>
            <w:vMerge w:val="restart"/>
            <w:textDirection w:val="btLr"/>
          </w:tcPr>
          <w:p w14:paraId="36B2890B" w14:textId="77777777" w:rsidR="004346F3" w:rsidRPr="00536CFD" w:rsidRDefault="004346F3" w:rsidP="00802ABC">
            <w:pPr>
              <w:spacing w:after="60"/>
              <w:ind w:left="113" w:right="113"/>
              <w:jc w:val="center"/>
              <w:rPr>
                <w:rFonts w:ascii="Times New Roman" w:hAnsi="Times New Roman"/>
                <w:sz w:val="20"/>
                <w:szCs w:val="20"/>
              </w:rPr>
            </w:pPr>
            <w:r w:rsidRPr="00536CFD">
              <w:rPr>
                <w:rFonts w:ascii="Times New Roman" w:hAnsi="Times New Roman"/>
                <w:sz w:val="20"/>
                <w:szCs w:val="20"/>
              </w:rPr>
              <w:t>R1- 1814062 /Source 6</w:t>
            </w:r>
          </w:p>
        </w:tc>
        <w:tc>
          <w:tcPr>
            <w:tcW w:w="0" w:type="auto"/>
            <w:vMerge w:val="restart"/>
          </w:tcPr>
          <w:p w14:paraId="7A40368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DL</w:t>
            </w:r>
          </w:p>
          <w:p w14:paraId="0C78901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UPT CDF</w:t>
            </w:r>
          </w:p>
          <w:p w14:paraId="083D95DC"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[Mbps]</w:t>
            </w:r>
          </w:p>
        </w:tc>
        <w:tc>
          <w:tcPr>
            <w:tcW w:w="0" w:type="auto"/>
          </w:tcPr>
          <w:p w14:paraId="3DAACCEC"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C8455D2"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11.891</w:t>
            </w:r>
          </w:p>
        </w:tc>
        <w:tc>
          <w:tcPr>
            <w:tcW w:w="0" w:type="auto"/>
            <w:tcBorders>
              <w:top w:val="single" w:sz="4" w:space="0" w:color="auto"/>
              <w:left w:val="nil"/>
              <w:bottom w:val="single" w:sz="4" w:space="0" w:color="auto"/>
              <w:right w:val="single" w:sz="4" w:space="0" w:color="auto"/>
            </w:tcBorders>
            <w:shd w:val="clear" w:color="auto" w:fill="auto"/>
            <w:vAlign w:val="bottom"/>
          </w:tcPr>
          <w:p w14:paraId="5BDD3C31"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12.482</w:t>
            </w:r>
          </w:p>
        </w:tc>
        <w:tc>
          <w:tcPr>
            <w:tcW w:w="0" w:type="auto"/>
            <w:tcBorders>
              <w:top w:val="single" w:sz="4" w:space="0" w:color="auto"/>
              <w:left w:val="nil"/>
              <w:bottom w:val="single" w:sz="4" w:space="0" w:color="auto"/>
              <w:right w:val="single" w:sz="4" w:space="0" w:color="auto"/>
            </w:tcBorders>
            <w:shd w:val="clear" w:color="auto" w:fill="auto"/>
            <w:vAlign w:val="bottom"/>
          </w:tcPr>
          <w:p w14:paraId="515B1B03"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27.214</w:t>
            </w:r>
          </w:p>
        </w:tc>
        <w:tc>
          <w:tcPr>
            <w:tcW w:w="0" w:type="auto"/>
            <w:tcBorders>
              <w:top w:val="single" w:sz="4" w:space="0" w:color="auto"/>
              <w:left w:val="nil"/>
              <w:bottom w:val="single" w:sz="4" w:space="0" w:color="auto"/>
              <w:right w:val="single" w:sz="4" w:space="0" w:color="auto"/>
            </w:tcBorders>
            <w:shd w:val="clear" w:color="auto" w:fill="auto"/>
            <w:vAlign w:val="bottom"/>
          </w:tcPr>
          <w:p w14:paraId="2F281B8E"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40.856</w:t>
            </w:r>
          </w:p>
        </w:tc>
        <w:tc>
          <w:tcPr>
            <w:tcW w:w="0" w:type="auto"/>
            <w:tcBorders>
              <w:top w:val="single" w:sz="4" w:space="0" w:color="auto"/>
              <w:left w:val="nil"/>
              <w:bottom w:val="single" w:sz="4" w:space="0" w:color="auto"/>
              <w:right w:val="single" w:sz="4" w:space="0" w:color="auto"/>
            </w:tcBorders>
            <w:shd w:val="clear" w:color="auto" w:fill="auto"/>
            <w:vAlign w:val="bottom"/>
          </w:tcPr>
          <w:p w14:paraId="30B5EBC8"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1.566</w:t>
            </w:r>
          </w:p>
        </w:tc>
        <w:tc>
          <w:tcPr>
            <w:tcW w:w="0" w:type="auto"/>
            <w:tcBorders>
              <w:top w:val="single" w:sz="4" w:space="0" w:color="auto"/>
              <w:left w:val="nil"/>
              <w:bottom w:val="single" w:sz="4" w:space="0" w:color="auto"/>
              <w:right w:val="single" w:sz="4" w:space="0" w:color="auto"/>
            </w:tcBorders>
            <w:shd w:val="clear" w:color="auto" w:fill="auto"/>
            <w:vAlign w:val="bottom"/>
          </w:tcPr>
          <w:p w14:paraId="4E231F4A"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4.815</w:t>
            </w:r>
          </w:p>
        </w:tc>
        <w:tc>
          <w:tcPr>
            <w:tcW w:w="0" w:type="auto"/>
            <w:tcBorders>
              <w:top w:val="single" w:sz="4" w:space="0" w:color="auto"/>
              <w:left w:val="nil"/>
              <w:bottom w:val="single" w:sz="4" w:space="0" w:color="auto"/>
              <w:right w:val="single" w:sz="4" w:space="0" w:color="auto"/>
            </w:tcBorders>
            <w:shd w:val="clear" w:color="auto" w:fill="auto"/>
            <w:vAlign w:val="bottom"/>
          </w:tcPr>
          <w:p w14:paraId="3474263C"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7.408</w:t>
            </w:r>
          </w:p>
        </w:tc>
        <w:tc>
          <w:tcPr>
            <w:tcW w:w="0" w:type="auto"/>
            <w:tcBorders>
              <w:top w:val="single" w:sz="4" w:space="0" w:color="auto"/>
              <w:left w:val="nil"/>
              <w:bottom w:val="single" w:sz="4" w:space="0" w:color="auto"/>
              <w:right w:val="single" w:sz="4" w:space="0" w:color="auto"/>
            </w:tcBorders>
            <w:shd w:val="clear" w:color="auto" w:fill="auto"/>
            <w:vAlign w:val="bottom"/>
          </w:tcPr>
          <w:p w14:paraId="66EBA928"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13.925</w:t>
            </w:r>
          </w:p>
        </w:tc>
        <w:tc>
          <w:tcPr>
            <w:tcW w:w="0" w:type="auto"/>
            <w:tcBorders>
              <w:top w:val="single" w:sz="4" w:space="0" w:color="auto"/>
              <w:left w:val="nil"/>
              <w:bottom w:val="single" w:sz="4" w:space="0" w:color="auto"/>
              <w:right w:val="single" w:sz="4" w:space="0" w:color="auto"/>
            </w:tcBorders>
            <w:shd w:val="clear" w:color="auto" w:fill="auto"/>
            <w:vAlign w:val="bottom"/>
          </w:tcPr>
          <w:p w14:paraId="79C549CE"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0.961</w:t>
            </w:r>
          </w:p>
        </w:tc>
        <w:tc>
          <w:tcPr>
            <w:tcW w:w="0" w:type="auto"/>
            <w:tcBorders>
              <w:top w:val="single" w:sz="4" w:space="0" w:color="auto"/>
              <w:left w:val="nil"/>
              <w:bottom w:val="single" w:sz="4" w:space="0" w:color="auto"/>
              <w:right w:val="single" w:sz="4" w:space="0" w:color="auto"/>
            </w:tcBorders>
            <w:shd w:val="clear" w:color="auto" w:fill="auto"/>
            <w:vAlign w:val="bottom"/>
          </w:tcPr>
          <w:p w14:paraId="20AD61B8"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2.345</w:t>
            </w:r>
          </w:p>
        </w:tc>
        <w:tc>
          <w:tcPr>
            <w:tcW w:w="0" w:type="auto"/>
            <w:tcBorders>
              <w:top w:val="single" w:sz="4" w:space="0" w:color="auto"/>
              <w:left w:val="nil"/>
              <w:bottom w:val="single" w:sz="4" w:space="0" w:color="auto"/>
              <w:right w:val="single" w:sz="4" w:space="0" w:color="auto"/>
            </w:tcBorders>
            <w:shd w:val="clear" w:color="auto" w:fill="auto"/>
            <w:vAlign w:val="bottom"/>
          </w:tcPr>
          <w:p w14:paraId="368A8951"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5.858</w:t>
            </w:r>
          </w:p>
        </w:tc>
        <w:tc>
          <w:tcPr>
            <w:tcW w:w="0" w:type="auto"/>
            <w:tcBorders>
              <w:top w:val="single" w:sz="4" w:space="0" w:color="auto"/>
              <w:left w:val="nil"/>
              <w:bottom w:val="single" w:sz="4" w:space="0" w:color="auto"/>
              <w:right w:val="single" w:sz="4" w:space="0" w:color="auto"/>
            </w:tcBorders>
            <w:shd w:val="clear" w:color="auto" w:fill="auto"/>
            <w:vAlign w:val="bottom"/>
          </w:tcPr>
          <w:p w14:paraId="7BC2A81D"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8.077</w:t>
            </w:r>
          </w:p>
        </w:tc>
      </w:tr>
      <w:tr w:rsidR="004346F3" w:rsidRPr="00536CFD" w14:paraId="7BB455B6" w14:textId="77777777" w:rsidTr="00536CFD">
        <w:trPr>
          <w:cantSplit/>
          <w:trHeight w:val="22"/>
        </w:trPr>
        <w:tc>
          <w:tcPr>
            <w:tcW w:w="0" w:type="auto"/>
            <w:vMerge/>
          </w:tcPr>
          <w:p w14:paraId="39E8EC80" w14:textId="77777777" w:rsidR="004346F3" w:rsidRPr="00536CFD" w:rsidRDefault="004346F3" w:rsidP="00802ABC">
            <w:pPr>
              <w:spacing w:after="60"/>
              <w:jc w:val="center"/>
              <w:rPr>
                <w:rFonts w:ascii="Times New Roman" w:hAnsi="Times New Roman"/>
                <w:sz w:val="20"/>
                <w:szCs w:val="20"/>
              </w:rPr>
            </w:pPr>
          </w:p>
        </w:tc>
        <w:tc>
          <w:tcPr>
            <w:tcW w:w="0" w:type="auto"/>
            <w:vMerge/>
          </w:tcPr>
          <w:p w14:paraId="37C5B01C" w14:textId="77777777" w:rsidR="004346F3" w:rsidRPr="00536CFD" w:rsidRDefault="004346F3" w:rsidP="00802ABC">
            <w:pPr>
              <w:spacing w:after="60"/>
              <w:jc w:val="center"/>
              <w:rPr>
                <w:rFonts w:ascii="Times New Roman" w:hAnsi="Times New Roman"/>
                <w:sz w:val="20"/>
                <w:szCs w:val="20"/>
              </w:rPr>
            </w:pPr>
          </w:p>
        </w:tc>
        <w:tc>
          <w:tcPr>
            <w:tcW w:w="0" w:type="auto"/>
          </w:tcPr>
          <w:p w14:paraId="3601F232"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50%</w:t>
            </w:r>
          </w:p>
        </w:tc>
        <w:tc>
          <w:tcPr>
            <w:tcW w:w="0" w:type="auto"/>
            <w:tcBorders>
              <w:top w:val="nil"/>
              <w:left w:val="single" w:sz="4" w:space="0" w:color="auto"/>
              <w:bottom w:val="single" w:sz="4" w:space="0" w:color="auto"/>
              <w:right w:val="single" w:sz="4" w:space="0" w:color="auto"/>
            </w:tcBorders>
            <w:shd w:val="clear" w:color="auto" w:fill="auto"/>
            <w:vAlign w:val="bottom"/>
          </w:tcPr>
          <w:p w14:paraId="03B541B5"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63.790</w:t>
            </w:r>
          </w:p>
        </w:tc>
        <w:tc>
          <w:tcPr>
            <w:tcW w:w="0" w:type="auto"/>
            <w:tcBorders>
              <w:top w:val="nil"/>
              <w:left w:val="nil"/>
              <w:bottom w:val="single" w:sz="4" w:space="0" w:color="auto"/>
              <w:right w:val="single" w:sz="4" w:space="0" w:color="auto"/>
            </w:tcBorders>
            <w:shd w:val="clear" w:color="auto" w:fill="auto"/>
            <w:vAlign w:val="bottom"/>
          </w:tcPr>
          <w:p w14:paraId="5BA6728D"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80.543</w:t>
            </w:r>
          </w:p>
        </w:tc>
        <w:tc>
          <w:tcPr>
            <w:tcW w:w="0" w:type="auto"/>
            <w:tcBorders>
              <w:top w:val="nil"/>
              <w:left w:val="nil"/>
              <w:bottom w:val="single" w:sz="4" w:space="0" w:color="auto"/>
              <w:right w:val="single" w:sz="4" w:space="0" w:color="auto"/>
            </w:tcBorders>
            <w:shd w:val="clear" w:color="auto" w:fill="auto"/>
            <w:vAlign w:val="bottom"/>
          </w:tcPr>
          <w:p w14:paraId="1B857519"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134.350</w:t>
            </w:r>
          </w:p>
        </w:tc>
        <w:tc>
          <w:tcPr>
            <w:tcW w:w="0" w:type="auto"/>
            <w:tcBorders>
              <w:top w:val="nil"/>
              <w:left w:val="nil"/>
              <w:bottom w:val="single" w:sz="4" w:space="0" w:color="auto"/>
              <w:right w:val="single" w:sz="4" w:space="0" w:color="auto"/>
            </w:tcBorders>
            <w:shd w:val="clear" w:color="auto" w:fill="auto"/>
            <w:vAlign w:val="bottom"/>
          </w:tcPr>
          <w:p w14:paraId="69EA0CCE"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142.631</w:t>
            </w:r>
          </w:p>
        </w:tc>
        <w:tc>
          <w:tcPr>
            <w:tcW w:w="0" w:type="auto"/>
            <w:tcBorders>
              <w:top w:val="nil"/>
              <w:left w:val="nil"/>
              <w:bottom w:val="single" w:sz="4" w:space="0" w:color="auto"/>
              <w:right w:val="single" w:sz="4" w:space="0" w:color="auto"/>
            </w:tcBorders>
            <w:shd w:val="clear" w:color="auto" w:fill="auto"/>
            <w:vAlign w:val="bottom"/>
          </w:tcPr>
          <w:p w14:paraId="52FA3B0A"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20.597</w:t>
            </w:r>
          </w:p>
        </w:tc>
        <w:tc>
          <w:tcPr>
            <w:tcW w:w="0" w:type="auto"/>
            <w:tcBorders>
              <w:top w:val="nil"/>
              <w:left w:val="nil"/>
              <w:bottom w:val="single" w:sz="4" w:space="0" w:color="auto"/>
              <w:right w:val="single" w:sz="4" w:space="0" w:color="auto"/>
            </w:tcBorders>
            <w:shd w:val="clear" w:color="auto" w:fill="auto"/>
            <w:vAlign w:val="bottom"/>
          </w:tcPr>
          <w:p w14:paraId="64B7C04E"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41.713</w:t>
            </w:r>
          </w:p>
        </w:tc>
        <w:tc>
          <w:tcPr>
            <w:tcW w:w="0" w:type="auto"/>
            <w:tcBorders>
              <w:top w:val="nil"/>
              <w:left w:val="nil"/>
              <w:bottom w:val="single" w:sz="4" w:space="0" w:color="auto"/>
              <w:right w:val="single" w:sz="4" w:space="0" w:color="auto"/>
            </w:tcBorders>
            <w:shd w:val="clear" w:color="auto" w:fill="auto"/>
            <w:vAlign w:val="bottom"/>
          </w:tcPr>
          <w:p w14:paraId="785949B9"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69.150</w:t>
            </w:r>
          </w:p>
        </w:tc>
        <w:tc>
          <w:tcPr>
            <w:tcW w:w="0" w:type="auto"/>
            <w:tcBorders>
              <w:top w:val="nil"/>
              <w:left w:val="nil"/>
              <w:bottom w:val="single" w:sz="4" w:space="0" w:color="auto"/>
              <w:right w:val="single" w:sz="4" w:space="0" w:color="auto"/>
            </w:tcBorders>
            <w:shd w:val="clear" w:color="auto" w:fill="auto"/>
            <w:vAlign w:val="bottom"/>
          </w:tcPr>
          <w:p w14:paraId="146E32CC"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89.247</w:t>
            </w:r>
          </w:p>
        </w:tc>
        <w:tc>
          <w:tcPr>
            <w:tcW w:w="0" w:type="auto"/>
            <w:tcBorders>
              <w:top w:val="nil"/>
              <w:left w:val="nil"/>
              <w:bottom w:val="single" w:sz="4" w:space="0" w:color="auto"/>
              <w:right w:val="single" w:sz="4" w:space="0" w:color="auto"/>
            </w:tcBorders>
            <w:shd w:val="clear" w:color="auto" w:fill="auto"/>
            <w:vAlign w:val="bottom"/>
          </w:tcPr>
          <w:p w14:paraId="629F87DC"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12.230</w:t>
            </w:r>
          </w:p>
        </w:tc>
        <w:tc>
          <w:tcPr>
            <w:tcW w:w="0" w:type="auto"/>
            <w:tcBorders>
              <w:top w:val="nil"/>
              <w:left w:val="nil"/>
              <w:bottom w:val="single" w:sz="4" w:space="0" w:color="auto"/>
              <w:right w:val="single" w:sz="4" w:space="0" w:color="auto"/>
            </w:tcBorders>
            <w:shd w:val="clear" w:color="auto" w:fill="auto"/>
            <w:vAlign w:val="bottom"/>
          </w:tcPr>
          <w:p w14:paraId="1D2BF544"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18.196</w:t>
            </w:r>
          </w:p>
        </w:tc>
        <w:tc>
          <w:tcPr>
            <w:tcW w:w="0" w:type="auto"/>
            <w:tcBorders>
              <w:top w:val="nil"/>
              <w:left w:val="nil"/>
              <w:bottom w:val="single" w:sz="4" w:space="0" w:color="auto"/>
              <w:right w:val="single" w:sz="4" w:space="0" w:color="auto"/>
            </w:tcBorders>
            <w:shd w:val="clear" w:color="auto" w:fill="auto"/>
            <w:vAlign w:val="bottom"/>
          </w:tcPr>
          <w:p w14:paraId="3A6CEC39"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34.205</w:t>
            </w:r>
          </w:p>
        </w:tc>
        <w:tc>
          <w:tcPr>
            <w:tcW w:w="0" w:type="auto"/>
            <w:tcBorders>
              <w:top w:val="nil"/>
              <w:left w:val="nil"/>
              <w:bottom w:val="single" w:sz="4" w:space="0" w:color="auto"/>
              <w:right w:val="single" w:sz="4" w:space="0" w:color="auto"/>
            </w:tcBorders>
            <w:shd w:val="clear" w:color="auto" w:fill="auto"/>
            <w:vAlign w:val="bottom"/>
          </w:tcPr>
          <w:p w14:paraId="7FAF1B39"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57.872</w:t>
            </w:r>
          </w:p>
        </w:tc>
      </w:tr>
      <w:tr w:rsidR="004346F3" w:rsidRPr="00536CFD" w14:paraId="03C3BBD4" w14:textId="77777777" w:rsidTr="00536CFD">
        <w:trPr>
          <w:cantSplit/>
          <w:trHeight w:val="22"/>
        </w:trPr>
        <w:tc>
          <w:tcPr>
            <w:tcW w:w="0" w:type="auto"/>
            <w:vMerge/>
          </w:tcPr>
          <w:p w14:paraId="504918A2" w14:textId="77777777" w:rsidR="004346F3" w:rsidRPr="00536CFD" w:rsidRDefault="004346F3" w:rsidP="00802ABC">
            <w:pPr>
              <w:spacing w:after="60"/>
              <w:jc w:val="center"/>
              <w:rPr>
                <w:rFonts w:ascii="Times New Roman" w:hAnsi="Times New Roman"/>
                <w:sz w:val="20"/>
                <w:szCs w:val="20"/>
              </w:rPr>
            </w:pPr>
          </w:p>
        </w:tc>
        <w:tc>
          <w:tcPr>
            <w:tcW w:w="0" w:type="auto"/>
            <w:vMerge/>
          </w:tcPr>
          <w:p w14:paraId="1F42DFE3" w14:textId="77777777" w:rsidR="004346F3" w:rsidRPr="00536CFD" w:rsidRDefault="004346F3" w:rsidP="00802ABC">
            <w:pPr>
              <w:spacing w:after="60"/>
              <w:jc w:val="center"/>
              <w:rPr>
                <w:rFonts w:ascii="Times New Roman" w:hAnsi="Times New Roman"/>
                <w:sz w:val="20"/>
                <w:szCs w:val="20"/>
              </w:rPr>
            </w:pPr>
          </w:p>
        </w:tc>
        <w:tc>
          <w:tcPr>
            <w:tcW w:w="0" w:type="auto"/>
          </w:tcPr>
          <w:p w14:paraId="6393C38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95%</w:t>
            </w:r>
          </w:p>
        </w:tc>
        <w:tc>
          <w:tcPr>
            <w:tcW w:w="0" w:type="auto"/>
            <w:tcBorders>
              <w:top w:val="nil"/>
              <w:left w:val="single" w:sz="4" w:space="0" w:color="auto"/>
              <w:bottom w:val="single" w:sz="4" w:space="0" w:color="auto"/>
              <w:right w:val="single" w:sz="4" w:space="0" w:color="auto"/>
            </w:tcBorders>
            <w:shd w:val="clear" w:color="auto" w:fill="auto"/>
            <w:vAlign w:val="bottom"/>
          </w:tcPr>
          <w:p w14:paraId="36C2125A"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116.687</w:t>
            </w:r>
          </w:p>
        </w:tc>
        <w:tc>
          <w:tcPr>
            <w:tcW w:w="0" w:type="auto"/>
            <w:tcBorders>
              <w:top w:val="nil"/>
              <w:left w:val="nil"/>
              <w:bottom w:val="single" w:sz="4" w:space="0" w:color="auto"/>
              <w:right w:val="single" w:sz="4" w:space="0" w:color="auto"/>
            </w:tcBorders>
            <w:shd w:val="clear" w:color="auto" w:fill="auto"/>
            <w:vAlign w:val="bottom"/>
          </w:tcPr>
          <w:p w14:paraId="4E46D286"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127.743</w:t>
            </w:r>
          </w:p>
        </w:tc>
        <w:tc>
          <w:tcPr>
            <w:tcW w:w="0" w:type="auto"/>
            <w:tcBorders>
              <w:top w:val="nil"/>
              <w:left w:val="nil"/>
              <w:bottom w:val="single" w:sz="4" w:space="0" w:color="auto"/>
              <w:right w:val="single" w:sz="4" w:space="0" w:color="auto"/>
            </w:tcBorders>
            <w:shd w:val="clear" w:color="auto" w:fill="auto"/>
            <w:vAlign w:val="bottom"/>
          </w:tcPr>
          <w:p w14:paraId="0E0731A1"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201.932</w:t>
            </w:r>
          </w:p>
        </w:tc>
        <w:tc>
          <w:tcPr>
            <w:tcW w:w="0" w:type="auto"/>
            <w:tcBorders>
              <w:top w:val="nil"/>
              <w:left w:val="nil"/>
              <w:bottom w:val="single" w:sz="4" w:space="0" w:color="auto"/>
              <w:right w:val="single" w:sz="4" w:space="0" w:color="auto"/>
            </w:tcBorders>
            <w:shd w:val="clear" w:color="auto" w:fill="auto"/>
            <w:vAlign w:val="bottom"/>
          </w:tcPr>
          <w:p w14:paraId="4507A3E3"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199.782</w:t>
            </w:r>
          </w:p>
        </w:tc>
        <w:tc>
          <w:tcPr>
            <w:tcW w:w="0" w:type="auto"/>
            <w:tcBorders>
              <w:top w:val="nil"/>
              <w:left w:val="nil"/>
              <w:bottom w:val="single" w:sz="4" w:space="0" w:color="auto"/>
              <w:right w:val="single" w:sz="4" w:space="0" w:color="auto"/>
            </w:tcBorders>
            <w:shd w:val="clear" w:color="auto" w:fill="auto"/>
            <w:vAlign w:val="bottom"/>
          </w:tcPr>
          <w:p w14:paraId="5127105C"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98.768</w:t>
            </w:r>
          </w:p>
        </w:tc>
        <w:tc>
          <w:tcPr>
            <w:tcW w:w="0" w:type="auto"/>
            <w:tcBorders>
              <w:top w:val="nil"/>
              <w:left w:val="nil"/>
              <w:bottom w:val="single" w:sz="4" w:space="0" w:color="auto"/>
              <w:right w:val="single" w:sz="4" w:space="0" w:color="auto"/>
            </w:tcBorders>
            <w:shd w:val="clear" w:color="auto" w:fill="auto"/>
            <w:vAlign w:val="bottom"/>
          </w:tcPr>
          <w:p w14:paraId="62AB6B8B"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106.480</w:t>
            </w:r>
          </w:p>
        </w:tc>
        <w:tc>
          <w:tcPr>
            <w:tcW w:w="0" w:type="auto"/>
            <w:tcBorders>
              <w:top w:val="nil"/>
              <w:left w:val="nil"/>
              <w:bottom w:val="single" w:sz="4" w:space="0" w:color="auto"/>
              <w:right w:val="single" w:sz="4" w:space="0" w:color="auto"/>
            </w:tcBorders>
            <w:shd w:val="clear" w:color="auto" w:fill="auto"/>
            <w:vAlign w:val="bottom"/>
          </w:tcPr>
          <w:p w14:paraId="65499055"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181.136</w:t>
            </w:r>
          </w:p>
        </w:tc>
        <w:tc>
          <w:tcPr>
            <w:tcW w:w="0" w:type="auto"/>
            <w:tcBorders>
              <w:top w:val="nil"/>
              <w:left w:val="nil"/>
              <w:bottom w:val="single" w:sz="4" w:space="0" w:color="auto"/>
              <w:right w:val="single" w:sz="4" w:space="0" w:color="auto"/>
            </w:tcBorders>
            <w:shd w:val="clear" w:color="auto" w:fill="auto"/>
            <w:vAlign w:val="bottom"/>
          </w:tcPr>
          <w:p w14:paraId="5232E8BD"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198.498</w:t>
            </w:r>
          </w:p>
        </w:tc>
        <w:tc>
          <w:tcPr>
            <w:tcW w:w="0" w:type="auto"/>
            <w:tcBorders>
              <w:top w:val="nil"/>
              <w:left w:val="nil"/>
              <w:bottom w:val="single" w:sz="4" w:space="0" w:color="auto"/>
              <w:right w:val="single" w:sz="4" w:space="0" w:color="auto"/>
            </w:tcBorders>
            <w:shd w:val="clear" w:color="auto" w:fill="auto"/>
            <w:vAlign w:val="bottom"/>
          </w:tcPr>
          <w:p w14:paraId="06178F07"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71.163</w:t>
            </w:r>
          </w:p>
        </w:tc>
        <w:tc>
          <w:tcPr>
            <w:tcW w:w="0" w:type="auto"/>
            <w:tcBorders>
              <w:top w:val="nil"/>
              <w:left w:val="nil"/>
              <w:bottom w:val="single" w:sz="4" w:space="0" w:color="auto"/>
              <w:right w:val="single" w:sz="4" w:space="0" w:color="auto"/>
            </w:tcBorders>
            <w:shd w:val="clear" w:color="auto" w:fill="auto"/>
            <w:vAlign w:val="bottom"/>
          </w:tcPr>
          <w:p w14:paraId="50D6B664"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78.572</w:t>
            </w:r>
          </w:p>
        </w:tc>
        <w:tc>
          <w:tcPr>
            <w:tcW w:w="0" w:type="auto"/>
            <w:tcBorders>
              <w:top w:val="nil"/>
              <w:left w:val="nil"/>
              <w:bottom w:val="single" w:sz="4" w:space="0" w:color="auto"/>
              <w:right w:val="single" w:sz="4" w:space="0" w:color="auto"/>
            </w:tcBorders>
            <w:shd w:val="clear" w:color="auto" w:fill="auto"/>
            <w:vAlign w:val="bottom"/>
          </w:tcPr>
          <w:p w14:paraId="581FF2AB"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117.063</w:t>
            </w:r>
          </w:p>
        </w:tc>
        <w:tc>
          <w:tcPr>
            <w:tcW w:w="0" w:type="auto"/>
            <w:tcBorders>
              <w:top w:val="nil"/>
              <w:left w:val="nil"/>
              <w:bottom w:val="single" w:sz="4" w:space="0" w:color="auto"/>
              <w:right w:val="single" w:sz="4" w:space="0" w:color="auto"/>
            </w:tcBorders>
            <w:shd w:val="clear" w:color="auto" w:fill="auto"/>
            <w:vAlign w:val="bottom"/>
          </w:tcPr>
          <w:p w14:paraId="5CAD69E1"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179.804</w:t>
            </w:r>
          </w:p>
        </w:tc>
      </w:tr>
      <w:tr w:rsidR="004346F3" w:rsidRPr="00536CFD" w14:paraId="0AAF8B08" w14:textId="77777777" w:rsidTr="00536CFD">
        <w:trPr>
          <w:cantSplit/>
          <w:trHeight w:val="22"/>
        </w:trPr>
        <w:tc>
          <w:tcPr>
            <w:tcW w:w="0" w:type="auto"/>
            <w:vMerge/>
          </w:tcPr>
          <w:p w14:paraId="07095463" w14:textId="77777777" w:rsidR="004346F3" w:rsidRPr="00536CFD" w:rsidRDefault="004346F3" w:rsidP="00802ABC">
            <w:pPr>
              <w:spacing w:after="60"/>
              <w:jc w:val="center"/>
              <w:rPr>
                <w:rFonts w:ascii="Times New Roman" w:hAnsi="Times New Roman"/>
                <w:sz w:val="20"/>
                <w:szCs w:val="20"/>
              </w:rPr>
            </w:pPr>
          </w:p>
        </w:tc>
        <w:tc>
          <w:tcPr>
            <w:tcW w:w="0" w:type="auto"/>
            <w:vMerge/>
          </w:tcPr>
          <w:p w14:paraId="0BF71F6D" w14:textId="77777777" w:rsidR="004346F3" w:rsidRPr="00536CFD" w:rsidRDefault="004346F3" w:rsidP="00802ABC">
            <w:pPr>
              <w:spacing w:after="60"/>
              <w:jc w:val="center"/>
              <w:rPr>
                <w:rFonts w:ascii="Times New Roman" w:hAnsi="Times New Roman"/>
                <w:sz w:val="20"/>
                <w:szCs w:val="20"/>
              </w:rPr>
            </w:pPr>
          </w:p>
        </w:tc>
        <w:tc>
          <w:tcPr>
            <w:tcW w:w="0" w:type="auto"/>
          </w:tcPr>
          <w:p w14:paraId="227D5AB0"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Mean</w:t>
            </w:r>
          </w:p>
        </w:tc>
        <w:tc>
          <w:tcPr>
            <w:tcW w:w="0" w:type="auto"/>
            <w:tcBorders>
              <w:top w:val="nil"/>
              <w:left w:val="single" w:sz="4" w:space="0" w:color="auto"/>
              <w:bottom w:val="single" w:sz="4" w:space="0" w:color="auto"/>
              <w:right w:val="single" w:sz="4" w:space="0" w:color="auto"/>
            </w:tcBorders>
            <w:shd w:val="clear" w:color="auto" w:fill="auto"/>
            <w:vAlign w:val="bottom"/>
          </w:tcPr>
          <w:p w14:paraId="3E0CCD5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64.637</w:t>
            </w:r>
          </w:p>
        </w:tc>
        <w:tc>
          <w:tcPr>
            <w:tcW w:w="0" w:type="auto"/>
            <w:tcBorders>
              <w:top w:val="nil"/>
              <w:left w:val="nil"/>
              <w:bottom w:val="single" w:sz="4" w:space="0" w:color="auto"/>
              <w:right w:val="single" w:sz="4" w:space="0" w:color="auto"/>
            </w:tcBorders>
            <w:shd w:val="clear" w:color="auto" w:fill="auto"/>
            <w:vAlign w:val="bottom"/>
          </w:tcPr>
          <w:p w14:paraId="0C2EF77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73.768</w:t>
            </w:r>
          </w:p>
        </w:tc>
        <w:tc>
          <w:tcPr>
            <w:tcW w:w="0" w:type="auto"/>
            <w:tcBorders>
              <w:top w:val="nil"/>
              <w:left w:val="nil"/>
              <w:bottom w:val="single" w:sz="4" w:space="0" w:color="auto"/>
              <w:right w:val="single" w:sz="4" w:space="0" w:color="auto"/>
            </w:tcBorders>
            <w:shd w:val="clear" w:color="auto" w:fill="auto"/>
            <w:vAlign w:val="bottom"/>
          </w:tcPr>
          <w:p w14:paraId="00D8A78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131.201</w:t>
            </w:r>
          </w:p>
        </w:tc>
        <w:tc>
          <w:tcPr>
            <w:tcW w:w="0" w:type="auto"/>
            <w:tcBorders>
              <w:top w:val="nil"/>
              <w:left w:val="nil"/>
              <w:bottom w:val="single" w:sz="4" w:space="0" w:color="auto"/>
              <w:right w:val="single" w:sz="4" w:space="0" w:color="auto"/>
            </w:tcBorders>
            <w:shd w:val="clear" w:color="auto" w:fill="auto"/>
            <w:vAlign w:val="bottom"/>
          </w:tcPr>
          <w:p w14:paraId="129F1C2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148.222</w:t>
            </w:r>
          </w:p>
        </w:tc>
        <w:tc>
          <w:tcPr>
            <w:tcW w:w="0" w:type="auto"/>
            <w:tcBorders>
              <w:top w:val="nil"/>
              <w:left w:val="nil"/>
              <w:bottom w:val="single" w:sz="4" w:space="0" w:color="auto"/>
              <w:right w:val="single" w:sz="4" w:space="0" w:color="auto"/>
            </w:tcBorders>
            <w:shd w:val="clear" w:color="auto" w:fill="auto"/>
            <w:vAlign w:val="bottom"/>
          </w:tcPr>
          <w:p w14:paraId="7D084D5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31.725</w:t>
            </w:r>
          </w:p>
        </w:tc>
        <w:tc>
          <w:tcPr>
            <w:tcW w:w="0" w:type="auto"/>
            <w:tcBorders>
              <w:top w:val="nil"/>
              <w:left w:val="nil"/>
              <w:bottom w:val="single" w:sz="4" w:space="0" w:color="auto"/>
              <w:right w:val="single" w:sz="4" w:space="0" w:color="auto"/>
            </w:tcBorders>
            <w:shd w:val="clear" w:color="auto" w:fill="auto"/>
            <w:vAlign w:val="bottom"/>
          </w:tcPr>
          <w:p w14:paraId="428C4FB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47.200</w:t>
            </w:r>
          </w:p>
        </w:tc>
        <w:tc>
          <w:tcPr>
            <w:tcW w:w="0" w:type="auto"/>
            <w:tcBorders>
              <w:top w:val="nil"/>
              <w:left w:val="nil"/>
              <w:bottom w:val="single" w:sz="4" w:space="0" w:color="auto"/>
              <w:right w:val="single" w:sz="4" w:space="0" w:color="auto"/>
            </w:tcBorders>
            <w:shd w:val="clear" w:color="auto" w:fill="auto"/>
            <w:vAlign w:val="bottom"/>
          </w:tcPr>
          <w:p w14:paraId="1BDB3C2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79.495</w:t>
            </w:r>
          </w:p>
        </w:tc>
        <w:tc>
          <w:tcPr>
            <w:tcW w:w="0" w:type="auto"/>
            <w:tcBorders>
              <w:top w:val="nil"/>
              <w:left w:val="nil"/>
              <w:bottom w:val="single" w:sz="4" w:space="0" w:color="auto"/>
              <w:right w:val="single" w:sz="4" w:space="0" w:color="auto"/>
            </w:tcBorders>
            <w:shd w:val="clear" w:color="auto" w:fill="auto"/>
            <w:vAlign w:val="bottom"/>
          </w:tcPr>
          <w:p w14:paraId="449F9D1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104.393</w:t>
            </w:r>
          </w:p>
        </w:tc>
        <w:tc>
          <w:tcPr>
            <w:tcW w:w="0" w:type="auto"/>
            <w:tcBorders>
              <w:top w:val="nil"/>
              <w:left w:val="nil"/>
              <w:bottom w:val="single" w:sz="4" w:space="0" w:color="auto"/>
              <w:right w:val="single" w:sz="4" w:space="0" w:color="auto"/>
            </w:tcBorders>
            <w:shd w:val="clear" w:color="auto" w:fill="auto"/>
            <w:vAlign w:val="bottom"/>
          </w:tcPr>
          <w:p w14:paraId="3A5ACEB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20.757</w:t>
            </w:r>
          </w:p>
        </w:tc>
        <w:tc>
          <w:tcPr>
            <w:tcW w:w="0" w:type="auto"/>
            <w:tcBorders>
              <w:top w:val="nil"/>
              <w:left w:val="nil"/>
              <w:bottom w:val="single" w:sz="4" w:space="0" w:color="auto"/>
              <w:right w:val="single" w:sz="4" w:space="0" w:color="auto"/>
            </w:tcBorders>
            <w:shd w:val="clear" w:color="auto" w:fill="auto"/>
            <w:vAlign w:val="bottom"/>
          </w:tcPr>
          <w:p w14:paraId="48B99F12"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26.668</w:t>
            </w:r>
          </w:p>
        </w:tc>
        <w:tc>
          <w:tcPr>
            <w:tcW w:w="0" w:type="auto"/>
            <w:tcBorders>
              <w:top w:val="nil"/>
              <w:left w:val="nil"/>
              <w:bottom w:val="single" w:sz="4" w:space="0" w:color="auto"/>
              <w:right w:val="single" w:sz="4" w:space="0" w:color="auto"/>
            </w:tcBorders>
            <w:shd w:val="clear" w:color="auto" w:fill="auto"/>
            <w:vAlign w:val="bottom"/>
          </w:tcPr>
          <w:p w14:paraId="141845C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46.786</w:t>
            </w:r>
          </w:p>
        </w:tc>
        <w:tc>
          <w:tcPr>
            <w:tcW w:w="0" w:type="auto"/>
            <w:tcBorders>
              <w:top w:val="nil"/>
              <w:left w:val="nil"/>
              <w:bottom w:val="single" w:sz="4" w:space="0" w:color="auto"/>
              <w:right w:val="single" w:sz="4" w:space="0" w:color="auto"/>
            </w:tcBorders>
            <w:shd w:val="clear" w:color="auto" w:fill="auto"/>
            <w:vAlign w:val="bottom"/>
          </w:tcPr>
          <w:p w14:paraId="023A1E7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80.682</w:t>
            </w:r>
          </w:p>
        </w:tc>
      </w:tr>
      <w:tr w:rsidR="004346F3" w:rsidRPr="00536CFD" w14:paraId="2D72F290" w14:textId="77777777" w:rsidTr="00536CFD">
        <w:trPr>
          <w:cantSplit/>
          <w:trHeight w:val="22"/>
        </w:trPr>
        <w:tc>
          <w:tcPr>
            <w:tcW w:w="0" w:type="auto"/>
            <w:vMerge/>
          </w:tcPr>
          <w:p w14:paraId="0B75768C" w14:textId="77777777" w:rsidR="004346F3" w:rsidRPr="00536CFD" w:rsidRDefault="004346F3" w:rsidP="00802ABC">
            <w:pPr>
              <w:spacing w:after="60"/>
              <w:jc w:val="center"/>
              <w:rPr>
                <w:rFonts w:ascii="Times New Roman" w:hAnsi="Times New Roman"/>
                <w:sz w:val="20"/>
                <w:szCs w:val="20"/>
              </w:rPr>
            </w:pPr>
          </w:p>
        </w:tc>
        <w:tc>
          <w:tcPr>
            <w:tcW w:w="0" w:type="auto"/>
            <w:vMerge w:val="restart"/>
          </w:tcPr>
          <w:p w14:paraId="34518BA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DL</w:t>
            </w:r>
          </w:p>
          <w:p w14:paraId="3767561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Delay CDF</w:t>
            </w:r>
          </w:p>
          <w:p w14:paraId="125EB42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[s]</w:t>
            </w:r>
          </w:p>
        </w:tc>
        <w:tc>
          <w:tcPr>
            <w:tcW w:w="0" w:type="auto"/>
          </w:tcPr>
          <w:p w14:paraId="5632296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w:t>
            </w:r>
          </w:p>
        </w:tc>
        <w:tc>
          <w:tcPr>
            <w:tcW w:w="0" w:type="auto"/>
            <w:tcBorders>
              <w:top w:val="nil"/>
              <w:left w:val="single" w:sz="4" w:space="0" w:color="auto"/>
              <w:bottom w:val="single" w:sz="4" w:space="0" w:color="auto"/>
              <w:right w:val="single" w:sz="4" w:space="0" w:color="auto"/>
            </w:tcBorders>
            <w:shd w:val="clear" w:color="auto" w:fill="auto"/>
            <w:vAlign w:val="bottom"/>
          </w:tcPr>
          <w:p w14:paraId="5D6B9AE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0.033</w:t>
            </w:r>
          </w:p>
        </w:tc>
        <w:tc>
          <w:tcPr>
            <w:tcW w:w="0" w:type="auto"/>
            <w:tcBorders>
              <w:top w:val="nil"/>
              <w:left w:val="nil"/>
              <w:bottom w:val="single" w:sz="4" w:space="0" w:color="auto"/>
              <w:right w:val="single" w:sz="4" w:space="0" w:color="auto"/>
            </w:tcBorders>
            <w:shd w:val="clear" w:color="auto" w:fill="auto"/>
            <w:vAlign w:val="bottom"/>
          </w:tcPr>
          <w:p w14:paraId="0422702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0.030</w:t>
            </w:r>
          </w:p>
        </w:tc>
        <w:tc>
          <w:tcPr>
            <w:tcW w:w="0" w:type="auto"/>
            <w:tcBorders>
              <w:top w:val="nil"/>
              <w:left w:val="nil"/>
              <w:bottom w:val="single" w:sz="4" w:space="0" w:color="auto"/>
              <w:right w:val="single" w:sz="4" w:space="0" w:color="auto"/>
            </w:tcBorders>
            <w:shd w:val="clear" w:color="auto" w:fill="auto"/>
            <w:vAlign w:val="bottom"/>
          </w:tcPr>
          <w:p w14:paraId="38345E2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4C0CF8E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28B57DA0" w14:textId="77777777" w:rsidR="004346F3" w:rsidRPr="00536CFD" w:rsidRDefault="004346F3" w:rsidP="00802ABC">
            <w:pPr>
              <w:spacing w:after="60"/>
              <w:rPr>
                <w:rFonts w:ascii="Times New Roman" w:hAnsi="Times New Roman"/>
                <w:color w:val="000000"/>
                <w:sz w:val="20"/>
                <w:szCs w:val="20"/>
              </w:rPr>
            </w:pPr>
            <w:r w:rsidRPr="00536CFD">
              <w:rPr>
                <w:rFonts w:ascii="Times New Roman" w:hAnsi="Times New Roman"/>
                <w:color w:val="000000"/>
                <w:sz w:val="20"/>
                <w:szCs w:val="20"/>
              </w:rPr>
              <w:t xml:space="preserve">   0.042</w:t>
            </w:r>
          </w:p>
        </w:tc>
        <w:tc>
          <w:tcPr>
            <w:tcW w:w="0" w:type="auto"/>
            <w:tcBorders>
              <w:top w:val="nil"/>
              <w:left w:val="nil"/>
              <w:bottom w:val="single" w:sz="4" w:space="0" w:color="auto"/>
              <w:right w:val="single" w:sz="4" w:space="0" w:color="auto"/>
            </w:tcBorders>
            <w:shd w:val="clear" w:color="auto" w:fill="auto"/>
            <w:vAlign w:val="bottom"/>
          </w:tcPr>
          <w:p w14:paraId="55A1367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0.039</w:t>
            </w:r>
          </w:p>
        </w:tc>
        <w:tc>
          <w:tcPr>
            <w:tcW w:w="0" w:type="auto"/>
            <w:tcBorders>
              <w:top w:val="nil"/>
              <w:left w:val="nil"/>
              <w:bottom w:val="single" w:sz="4" w:space="0" w:color="auto"/>
              <w:right w:val="single" w:sz="4" w:space="0" w:color="auto"/>
            </w:tcBorders>
            <w:shd w:val="clear" w:color="auto" w:fill="auto"/>
            <w:vAlign w:val="bottom"/>
          </w:tcPr>
          <w:p w14:paraId="24B28CA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0.024</w:t>
            </w:r>
          </w:p>
        </w:tc>
        <w:tc>
          <w:tcPr>
            <w:tcW w:w="0" w:type="auto"/>
            <w:tcBorders>
              <w:top w:val="nil"/>
              <w:left w:val="nil"/>
              <w:bottom w:val="single" w:sz="4" w:space="0" w:color="auto"/>
              <w:right w:val="single" w:sz="4" w:space="0" w:color="auto"/>
            </w:tcBorders>
            <w:shd w:val="clear" w:color="auto" w:fill="auto"/>
            <w:vAlign w:val="bottom"/>
          </w:tcPr>
          <w:p w14:paraId="70CAC95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2E9A22C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0.054</w:t>
            </w:r>
          </w:p>
        </w:tc>
        <w:tc>
          <w:tcPr>
            <w:tcW w:w="0" w:type="auto"/>
            <w:tcBorders>
              <w:top w:val="nil"/>
              <w:left w:val="nil"/>
              <w:bottom w:val="single" w:sz="4" w:space="0" w:color="auto"/>
              <w:right w:val="single" w:sz="4" w:space="0" w:color="auto"/>
            </w:tcBorders>
            <w:shd w:val="clear" w:color="auto" w:fill="auto"/>
            <w:vAlign w:val="bottom"/>
          </w:tcPr>
          <w:p w14:paraId="6A35445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0.052</w:t>
            </w:r>
          </w:p>
        </w:tc>
        <w:tc>
          <w:tcPr>
            <w:tcW w:w="0" w:type="auto"/>
            <w:tcBorders>
              <w:top w:val="nil"/>
              <w:left w:val="nil"/>
              <w:bottom w:val="single" w:sz="4" w:space="0" w:color="auto"/>
              <w:right w:val="single" w:sz="4" w:space="0" w:color="auto"/>
            </w:tcBorders>
            <w:shd w:val="clear" w:color="auto" w:fill="auto"/>
            <w:vAlign w:val="bottom"/>
          </w:tcPr>
          <w:p w14:paraId="188AECB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0.038</w:t>
            </w:r>
          </w:p>
        </w:tc>
        <w:tc>
          <w:tcPr>
            <w:tcW w:w="0" w:type="auto"/>
            <w:tcBorders>
              <w:top w:val="nil"/>
              <w:left w:val="nil"/>
              <w:bottom w:val="single" w:sz="4" w:space="0" w:color="auto"/>
              <w:right w:val="single" w:sz="4" w:space="0" w:color="auto"/>
            </w:tcBorders>
            <w:shd w:val="clear" w:color="auto" w:fill="auto"/>
            <w:vAlign w:val="bottom"/>
          </w:tcPr>
          <w:p w14:paraId="24A6C8D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0.030</w:t>
            </w:r>
          </w:p>
        </w:tc>
      </w:tr>
      <w:tr w:rsidR="004346F3" w:rsidRPr="00536CFD" w14:paraId="380504AB" w14:textId="77777777" w:rsidTr="00536CFD">
        <w:trPr>
          <w:cantSplit/>
          <w:trHeight w:val="22"/>
        </w:trPr>
        <w:tc>
          <w:tcPr>
            <w:tcW w:w="0" w:type="auto"/>
            <w:vMerge/>
          </w:tcPr>
          <w:p w14:paraId="2DD042B9" w14:textId="77777777" w:rsidR="004346F3" w:rsidRPr="00536CFD" w:rsidRDefault="004346F3" w:rsidP="00802ABC">
            <w:pPr>
              <w:spacing w:after="60"/>
              <w:jc w:val="center"/>
              <w:rPr>
                <w:rFonts w:ascii="Times New Roman" w:hAnsi="Times New Roman"/>
                <w:sz w:val="20"/>
                <w:szCs w:val="20"/>
              </w:rPr>
            </w:pPr>
          </w:p>
        </w:tc>
        <w:tc>
          <w:tcPr>
            <w:tcW w:w="0" w:type="auto"/>
            <w:vMerge/>
          </w:tcPr>
          <w:p w14:paraId="299C86D4" w14:textId="77777777" w:rsidR="004346F3" w:rsidRPr="00536CFD" w:rsidRDefault="004346F3" w:rsidP="00802ABC">
            <w:pPr>
              <w:spacing w:after="60"/>
              <w:jc w:val="center"/>
              <w:rPr>
                <w:rFonts w:ascii="Times New Roman" w:hAnsi="Times New Roman"/>
                <w:sz w:val="20"/>
                <w:szCs w:val="20"/>
              </w:rPr>
            </w:pPr>
          </w:p>
        </w:tc>
        <w:tc>
          <w:tcPr>
            <w:tcW w:w="0" w:type="auto"/>
          </w:tcPr>
          <w:p w14:paraId="74ED41C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50%</w:t>
            </w:r>
          </w:p>
        </w:tc>
        <w:tc>
          <w:tcPr>
            <w:tcW w:w="0" w:type="auto"/>
            <w:tcBorders>
              <w:top w:val="nil"/>
              <w:left w:val="single" w:sz="4" w:space="0" w:color="auto"/>
              <w:bottom w:val="single" w:sz="4" w:space="0" w:color="auto"/>
              <w:right w:val="single" w:sz="4" w:space="0" w:color="auto"/>
            </w:tcBorders>
            <w:shd w:val="clear" w:color="auto" w:fill="auto"/>
            <w:vAlign w:val="bottom"/>
          </w:tcPr>
          <w:p w14:paraId="4D00D25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0.06</w:t>
            </w:r>
          </w:p>
        </w:tc>
        <w:tc>
          <w:tcPr>
            <w:tcW w:w="0" w:type="auto"/>
            <w:tcBorders>
              <w:top w:val="nil"/>
              <w:left w:val="nil"/>
              <w:bottom w:val="single" w:sz="4" w:space="0" w:color="auto"/>
              <w:right w:val="single" w:sz="4" w:space="0" w:color="auto"/>
            </w:tcBorders>
            <w:shd w:val="clear" w:color="auto" w:fill="auto"/>
            <w:vAlign w:val="bottom"/>
          </w:tcPr>
          <w:p w14:paraId="33935C2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0.051</w:t>
            </w:r>
          </w:p>
        </w:tc>
        <w:tc>
          <w:tcPr>
            <w:tcW w:w="0" w:type="auto"/>
            <w:tcBorders>
              <w:top w:val="nil"/>
              <w:left w:val="nil"/>
              <w:bottom w:val="single" w:sz="4" w:space="0" w:color="auto"/>
              <w:right w:val="single" w:sz="4" w:space="0" w:color="auto"/>
            </w:tcBorders>
            <w:shd w:val="clear" w:color="auto" w:fill="auto"/>
            <w:vAlign w:val="bottom"/>
          </w:tcPr>
          <w:p w14:paraId="3743359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0.031</w:t>
            </w:r>
          </w:p>
        </w:tc>
        <w:tc>
          <w:tcPr>
            <w:tcW w:w="0" w:type="auto"/>
            <w:tcBorders>
              <w:top w:val="nil"/>
              <w:left w:val="nil"/>
              <w:bottom w:val="single" w:sz="4" w:space="0" w:color="auto"/>
              <w:right w:val="single" w:sz="4" w:space="0" w:color="auto"/>
            </w:tcBorders>
            <w:shd w:val="clear" w:color="auto" w:fill="auto"/>
            <w:vAlign w:val="bottom"/>
          </w:tcPr>
          <w:p w14:paraId="286C7BA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0.023</w:t>
            </w:r>
          </w:p>
        </w:tc>
        <w:tc>
          <w:tcPr>
            <w:tcW w:w="0" w:type="auto"/>
            <w:tcBorders>
              <w:top w:val="nil"/>
              <w:left w:val="nil"/>
              <w:bottom w:val="single" w:sz="4" w:space="0" w:color="auto"/>
              <w:right w:val="single" w:sz="4" w:space="0" w:color="auto"/>
            </w:tcBorders>
            <w:shd w:val="clear" w:color="auto" w:fill="auto"/>
            <w:vAlign w:val="bottom"/>
          </w:tcPr>
          <w:p w14:paraId="64D0E20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0.205</w:t>
            </w:r>
          </w:p>
        </w:tc>
        <w:tc>
          <w:tcPr>
            <w:tcW w:w="0" w:type="auto"/>
            <w:tcBorders>
              <w:top w:val="nil"/>
              <w:left w:val="nil"/>
              <w:bottom w:val="single" w:sz="4" w:space="0" w:color="auto"/>
              <w:right w:val="single" w:sz="4" w:space="0" w:color="auto"/>
            </w:tcBorders>
            <w:shd w:val="clear" w:color="auto" w:fill="auto"/>
            <w:vAlign w:val="bottom"/>
          </w:tcPr>
          <w:p w14:paraId="3C7B118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0.145</w:t>
            </w:r>
          </w:p>
        </w:tc>
        <w:tc>
          <w:tcPr>
            <w:tcW w:w="0" w:type="auto"/>
            <w:tcBorders>
              <w:top w:val="nil"/>
              <w:left w:val="nil"/>
              <w:bottom w:val="single" w:sz="4" w:space="0" w:color="auto"/>
              <w:right w:val="single" w:sz="4" w:space="0" w:color="auto"/>
            </w:tcBorders>
            <w:shd w:val="clear" w:color="auto" w:fill="auto"/>
            <w:vAlign w:val="bottom"/>
          </w:tcPr>
          <w:p w14:paraId="585B9D9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0.080</w:t>
            </w:r>
          </w:p>
        </w:tc>
        <w:tc>
          <w:tcPr>
            <w:tcW w:w="0" w:type="auto"/>
            <w:tcBorders>
              <w:top w:val="nil"/>
              <w:left w:val="nil"/>
              <w:bottom w:val="single" w:sz="4" w:space="0" w:color="auto"/>
              <w:right w:val="single" w:sz="4" w:space="0" w:color="auto"/>
            </w:tcBorders>
            <w:shd w:val="clear" w:color="auto" w:fill="auto"/>
            <w:vAlign w:val="bottom"/>
          </w:tcPr>
          <w:p w14:paraId="4DB8886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0.038</w:t>
            </w:r>
          </w:p>
        </w:tc>
        <w:tc>
          <w:tcPr>
            <w:tcW w:w="0" w:type="auto"/>
            <w:tcBorders>
              <w:top w:val="nil"/>
              <w:left w:val="nil"/>
              <w:bottom w:val="single" w:sz="4" w:space="0" w:color="auto"/>
              <w:right w:val="single" w:sz="4" w:space="0" w:color="auto"/>
            </w:tcBorders>
            <w:shd w:val="clear" w:color="auto" w:fill="auto"/>
            <w:vAlign w:val="bottom"/>
          </w:tcPr>
          <w:p w14:paraId="3B55071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0.325</w:t>
            </w:r>
          </w:p>
        </w:tc>
        <w:tc>
          <w:tcPr>
            <w:tcW w:w="0" w:type="auto"/>
            <w:tcBorders>
              <w:top w:val="nil"/>
              <w:left w:val="nil"/>
              <w:bottom w:val="single" w:sz="4" w:space="0" w:color="auto"/>
              <w:right w:val="single" w:sz="4" w:space="0" w:color="auto"/>
            </w:tcBorders>
            <w:shd w:val="clear" w:color="auto" w:fill="auto"/>
            <w:vAlign w:val="bottom"/>
          </w:tcPr>
          <w:p w14:paraId="47FE085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0.304</w:t>
            </w:r>
          </w:p>
        </w:tc>
        <w:tc>
          <w:tcPr>
            <w:tcW w:w="0" w:type="auto"/>
            <w:tcBorders>
              <w:top w:val="nil"/>
              <w:left w:val="nil"/>
              <w:bottom w:val="single" w:sz="4" w:space="0" w:color="auto"/>
              <w:right w:val="single" w:sz="4" w:space="0" w:color="auto"/>
            </w:tcBorders>
            <w:shd w:val="clear" w:color="auto" w:fill="auto"/>
            <w:vAlign w:val="bottom"/>
          </w:tcPr>
          <w:p w14:paraId="779315F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0.196</w:t>
            </w:r>
          </w:p>
        </w:tc>
        <w:tc>
          <w:tcPr>
            <w:tcW w:w="0" w:type="auto"/>
            <w:tcBorders>
              <w:top w:val="nil"/>
              <w:left w:val="nil"/>
              <w:bottom w:val="single" w:sz="4" w:space="0" w:color="auto"/>
              <w:right w:val="single" w:sz="4" w:space="0" w:color="auto"/>
            </w:tcBorders>
            <w:shd w:val="clear" w:color="auto" w:fill="auto"/>
            <w:vAlign w:val="bottom"/>
          </w:tcPr>
          <w:p w14:paraId="60BFC56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0.116</w:t>
            </w:r>
          </w:p>
        </w:tc>
      </w:tr>
      <w:tr w:rsidR="004346F3" w:rsidRPr="00536CFD" w14:paraId="0CF45E39" w14:textId="77777777" w:rsidTr="00536CFD">
        <w:trPr>
          <w:cantSplit/>
          <w:trHeight w:val="22"/>
        </w:trPr>
        <w:tc>
          <w:tcPr>
            <w:tcW w:w="0" w:type="auto"/>
            <w:vMerge/>
          </w:tcPr>
          <w:p w14:paraId="3390DE73" w14:textId="77777777" w:rsidR="004346F3" w:rsidRPr="00536CFD" w:rsidRDefault="004346F3" w:rsidP="00802ABC">
            <w:pPr>
              <w:spacing w:after="60"/>
              <w:jc w:val="center"/>
              <w:rPr>
                <w:rFonts w:ascii="Times New Roman" w:hAnsi="Times New Roman"/>
                <w:sz w:val="20"/>
                <w:szCs w:val="20"/>
              </w:rPr>
            </w:pPr>
          </w:p>
        </w:tc>
        <w:tc>
          <w:tcPr>
            <w:tcW w:w="0" w:type="auto"/>
            <w:vMerge/>
          </w:tcPr>
          <w:p w14:paraId="57B2C2CF" w14:textId="77777777" w:rsidR="004346F3" w:rsidRPr="00536CFD" w:rsidRDefault="004346F3" w:rsidP="00802ABC">
            <w:pPr>
              <w:spacing w:after="60"/>
              <w:jc w:val="center"/>
              <w:rPr>
                <w:rFonts w:ascii="Times New Roman" w:hAnsi="Times New Roman"/>
                <w:sz w:val="20"/>
                <w:szCs w:val="20"/>
              </w:rPr>
            </w:pPr>
          </w:p>
        </w:tc>
        <w:tc>
          <w:tcPr>
            <w:tcW w:w="0" w:type="auto"/>
          </w:tcPr>
          <w:p w14:paraId="7FE861A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95%</w:t>
            </w:r>
          </w:p>
        </w:tc>
        <w:tc>
          <w:tcPr>
            <w:tcW w:w="0" w:type="auto"/>
            <w:tcBorders>
              <w:top w:val="nil"/>
              <w:left w:val="single" w:sz="4" w:space="0" w:color="auto"/>
              <w:bottom w:val="single" w:sz="4" w:space="0" w:color="auto"/>
              <w:right w:val="single" w:sz="4" w:space="0" w:color="auto"/>
            </w:tcBorders>
            <w:shd w:val="clear" w:color="auto" w:fill="auto"/>
            <w:vAlign w:val="bottom"/>
          </w:tcPr>
          <w:p w14:paraId="10F7376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0.355</w:t>
            </w:r>
          </w:p>
        </w:tc>
        <w:tc>
          <w:tcPr>
            <w:tcW w:w="0" w:type="auto"/>
            <w:tcBorders>
              <w:top w:val="nil"/>
              <w:left w:val="nil"/>
              <w:bottom w:val="single" w:sz="4" w:space="0" w:color="auto"/>
              <w:right w:val="single" w:sz="4" w:space="0" w:color="auto"/>
            </w:tcBorders>
            <w:shd w:val="clear" w:color="auto" w:fill="auto"/>
            <w:vAlign w:val="bottom"/>
          </w:tcPr>
          <w:p w14:paraId="7716693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0.359</w:t>
            </w:r>
          </w:p>
        </w:tc>
        <w:tc>
          <w:tcPr>
            <w:tcW w:w="0" w:type="auto"/>
            <w:tcBorders>
              <w:top w:val="nil"/>
              <w:left w:val="nil"/>
              <w:bottom w:val="single" w:sz="4" w:space="0" w:color="auto"/>
              <w:right w:val="single" w:sz="4" w:space="0" w:color="auto"/>
            </w:tcBorders>
            <w:shd w:val="clear" w:color="auto" w:fill="auto"/>
            <w:vAlign w:val="bottom"/>
          </w:tcPr>
          <w:p w14:paraId="31CFAFF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0.165</w:t>
            </w:r>
          </w:p>
        </w:tc>
        <w:tc>
          <w:tcPr>
            <w:tcW w:w="0" w:type="auto"/>
            <w:tcBorders>
              <w:top w:val="nil"/>
              <w:left w:val="nil"/>
              <w:bottom w:val="single" w:sz="4" w:space="0" w:color="auto"/>
              <w:right w:val="single" w:sz="4" w:space="0" w:color="auto"/>
            </w:tcBorders>
            <w:shd w:val="clear" w:color="auto" w:fill="auto"/>
            <w:vAlign w:val="bottom"/>
          </w:tcPr>
          <w:p w14:paraId="079F2F3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0.162</w:t>
            </w:r>
          </w:p>
        </w:tc>
        <w:tc>
          <w:tcPr>
            <w:tcW w:w="0" w:type="auto"/>
            <w:tcBorders>
              <w:top w:val="nil"/>
              <w:left w:val="nil"/>
              <w:bottom w:val="single" w:sz="4" w:space="0" w:color="auto"/>
              <w:right w:val="single" w:sz="4" w:space="0" w:color="auto"/>
            </w:tcBorders>
            <w:shd w:val="clear" w:color="auto" w:fill="auto"/>
            <w:vAlign w:val="bottom"/>
          </w:tcPr>
          <w:p w14:paraId="00E219B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1.654</w:t>
            </w:r>
          </w:p>
        </w:tc>
        <w:tc>
          <w:tcPr>
            <w:tcW w:w="0" w:type="auto"/>
            <w:tcBorders>
              <w:top w:val="nil"/>
              <w:left w:val="nil"/>
              <w:bottom w:val="single" w:sz="4" w:space="0" w:color="auto"/>
              <w:right w:val="single" w:sz="4" w:space="0" w:color="auto"/>
            </w:tcBorders>
            <w:shd w:val="clear" w:color="auto" w:fill="auto"/>
            <w:vAlign w:val="bottom"/>
          </w:tcPr>
          <w:p w14:paraId="7D01035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1.319</w:t>
            </w:r>
          </w:p>
        </w:tc>
        <w:tc>
          <w:tcPr>
            <w:tcW w:w="0" w:type="auto"/>
            <w:tcBorders>
              <w:top w:val="nil"/>
              <w:left w:val="nil"/>
              <w:bottom w:val="single" w:sz="4" w:space="0" w:color="auto"/>
              <w:right w:val="single" w:sz="4" w:space="0" w:color="auto"/>
            </w:tcBorders>
            <w:shd w:val="clear" w:color="auto" w:fill="auto"/>
            <w:vAlign w:val="bottom"/>
          </w:tcPr>
          <w:p w14:paraId="2AEA824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0.612</w:t>
            </w:r>
          </w:p>
        </w:tc>
        <w:tc>
          <w:tcPr>
            <w:tcW w:w="0" w:type="auto"/>
            <w:tcBorders>
              <w:top w:val="nil"/>
              <w:left w:val="nil"/>
              <w:bottom w:val="single" w:sz="4" w:space="0" w:color="auto"/>
              <w:right w:val="single" w:sz="4" w:space="0" w:color="auto"/>
            </w:tcBorders>
            <w:shd w:val="clear" w:color="auto" w:fill="auto"/>
            <w:vAlign w:val="bottom"/>
          </w:tcPr>
          <w:p w14:paraId="01953A2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0.301</w:t>
            </w:r>
          </w:p>
        </w:tc>
        <w:tc>
          <w:tcPr>
            <w:tcW w:w="0" w:type="auto"/>
            <w:tcBorders>
              <w:top w:val="nil"/>
              <w:left w:val="nil"/>
              <w:bottom w:val="single" w:sz="4" w:space="0" w:color="auto"/>
              <w:right w:val="single" w:sz="4" w:space="0" w:color="auto"/>
            </w:tcBorders>
            <w:shd w:val="clear" w:color="auto" w:fill="auto"/>
            <w:vAlign w:val="bottom"/>
          </w:tcPr>
          <w:p w14:paraId="54E4F23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2.264</w:t>
            </w:r>
          </w:p>
        </w:tc>
        <w:tc>
          <w:tcPr>
            <w:tcW w:w="0" w:type="auto"/>
            <w:tcBorders>
              <w:top w:val="nil"/>
              <w:left w:val="nil"/>
              <w:bottom w:val="single" w:sz="4" w:space="0" w:color="auto"/>
              <w:right w:val="single" w:sz="4" w:space="0" w:color="auto"/>
            </w:tcBorders>
            <w:shd w:val="clear" w:color="auto" w:fill="auto"/>
            <w:vAlign w:val="bottom"/>
          </w:tcPr>
          <w:p w14:paraId="6E2DE29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2.700</w:t>
            </w:r>
          </w:p>
        </w:tc>
        <w:tc>
          <w:tcPr>
            <w:tcW w:w="0" w:type="auto"/>
            <w:tcBorders>
              <w:top w:val="nil"/>
              <w:left w:val="nil"/>
              <w:bottom w:val="single" w:sz="4" w:space="0" w:color="auto"/>
              <w:right w:val="single" w:sz="4" w:space="0" w:color="auto"/>
            </w:tcBorders>
            <w:shd w:val="clear" w:color="auto" w:fill="auto"/>
            <w:vAlign w:val="bottom"/>
          </w:tcPr>
          <w:p w14:paraId="715B2E7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1.162</w:t>
            </w:r>
          </w:p>
        </w:tc>
        <w:tc>
          <w:tcPr>
            <w:tcW w:w="0" w:type="auto"/>
            <w:tcBorders>
              <w:top w:val="nil"/>
              <w:left w:val="nil"/>
              <w:bottom w:val="single" w:sz="4" w:space="0" w:color="auto"/>
              <w:right w:val="single" w:sz="4" w:space="0" w:color="auto"/>
            </w:tcBorders>
            <w:shd w:val="clear" w:color="auto" w:fill="auto"/>
            <w:vAlign w:val="bottom"/>
          </w:tcPr>
          <w:p w14:paraId="5211B90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0.645</w:t>
            </w:r>
          </w:p>
        </w:tc>
      </w:tr>
      <w:tr w:rsidR="004346F3" w:rsidRPr="00536CFD" w14:paraId="5A808D81" w14:textId="77777777" w:rsidTr="00536CFD">
        <w:trPr>
          <w:cantSplit/>
          <w:trHeight w:val="22"/>
        </w:trPr>
        <w:tc>
          <w:tcPr>
            <w:tcW w:w="0" w:type="auto"/>
            <w:vMerge/>
          </w:tcPr>
          <w:p w14:paraId="15CF5CEB" w14:textId="77777777" w:rsidR="004346F3" w:rsidRPr="00536CFD" w:rsidRDefault="004346F3" w:rsidP="00802ABC">
            <w:pPr>
              <w:spacing w:after="60"/>
              <w:jc w:val="center"/>
              <w:rPr>
                <w:rFonts w:ascii="Times New Roman" w:hAnsi="Times New Roman"/>
                <w:sz w:val="20"/>
                <w:szCs w:val="20"/>
              </w:rPr>
            </w:pPr>
          </w:p>
        </w:tc>
        <w:tc>
          <w:tcPr>
            <w:tcW w:w="0" w:type="auto"/>
            <w:vMerge/>
          </w:tcPr>
          <w:p w14:paraId="4F2C5D4A" w14:textId="77777777" w:rsidR="004346F3" w:rsidRPr="00536CFD" w:rsidRDefault="004346F3" w:rsidP="00802ABC">
            <w:pPr>
              <w:spacing w:after="60"/>
              <w:jc w:val="center"/>
              <w:rPr>
                <w:rFonts w:ascii="Times New Roman" w:hAnsi="Times New Roman"/>
                <w:sz w:val="20"/>
                <w:szCs w:val="20"/>
              </w:rPr>
            </w:pPr>
          </w:p>
        </w:tc>
        <w:tc>
          <w:tcPr>
            <w:tcW w:w="0" w:type="auto"/>
          </w:tcPr>
          <w:p w14:paraId="7403C96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Mean</w:t>
            </w:r>
          </w:p>
        </w:tc>
        <w:tc>
          <w:tcPr>
            <w:tcW w:w="0" w:type="auto"/>
            <w:tcBorders>
              <w:top w:val="nil"/>
              <w:left w:val="single" w:sz="4" w:space="0" w:color="auto"/>
              <w:bottom w:val="single" w:sz="4" w:space="0" w:color="auto"/>
              <w:right w:val="single" w:sz="4" w:space="0" w:color="auto"/>
            </w:tcBorders>
            <w:shd w:val="clear" w:color="auto" w:fill="auto"/>
            <w:vAlign w:val="bottom"/>
          </w:tcPr>
          <w:p w14:paraId="505184D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0.116</w:t>
            </w:r>
          </w:p>
        </w:tc>
        <w:tc>
          <w:tcPr>
            <w:tcW w:w="0" w:type="auto"/>
            <w:tcBorders>
              <w:top w:val="nil"/>
              <w:left w:val="nil"/>
              <w:bottom w:val="single" w:sz="4" w:space="0" w:color="auto"/>
              <w:right w:val="single" w:sz="4" w:space="0" w:color="auto"/>
            </w:tcBorders>
            <w:shd w:val="clear" w:color="auto" w:fill="auto"/>
            <w:vAlign w:val="bottom"/>
          </w:tcPr>
          <w:p w14:paraId="6262675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0.110</w:t>
            </w:r>
          </w:p>
        </w:tc>
        <w:tc>
          <w:tcPr>
            <w:tcW w:w="0" w:type="auto"/>
            <w:tcBorders>
              <w:top w:val="nil"/>
              <w:left w:val="nil"/>
              <w:bottom w:val="single" w:sz="4" w:space="0" w:color="auto"/>
              <w:right w:val="single" w:sz="4" w:space="0" w:color="auto"/>
            </w:tcBorders>
            <w:shd w:val="clear" w:color="auto" w:fill="auto"/>
            <w:vAlign w:val="bottom"/>
          </w:tcPr>
          <w:p w14:paraId="7423BE7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0.056</w:t>
            </w:r>
          </w:p>
        </w:tc>
        <w:tc>
          <w:tcPr>
            <w:tcW w:w="0" w:type="auto"/>
            <w:tcBorders>
              <w:top w:val="nil"/>
              <w:left w:val="nil"/>
              <w:bottom w:val="single" w:sz="4" w:space="0" w:color="auto"/>
              <w:right w:val="single" w:sz="4" w:space="0" w:color="auto"/>
            </w:tcBorders>
            <w:shd w:val="clear" w:color="auto" w:fill="auto"/>
            <w:vAlign w:val="bottom"/>
          </w:tcPr>
          <w:p w14:paraId="1A4E9BB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0.050</w:t>
            </w:r>
          </w:p>
        </w:tc>
        <w:tc>
          <w:tcPr>
            <w:tcW w:w="0" w:type="auto"/>
            <w:tcBorders>
              <w:top w:val="nil"/>
              <w:left w:val="nil"/>
              <w:bottom w:val="single" w:sz="4" w:space="0" w:color="auto"/>
              <w:right w:val="single" w:sz="4" w:space="0" w:color="auto"/>
            </w:tcBorders>
            <w:shd w:val="clear" w:color="auto" w:fill="auto"/>
            <w:vAlign w:val="bottom"/>
          </w:tcPr>
          <w:p w14:paraId="54B9B0F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0.439</w:t>
            </w:r>
          </w:p>
        </w:tc>
        <w:tc>
          <w:tcPr>
            <w:tcW w:w="0" w:type="auto"/>
            <w:tcBorders>
              <w:top w:val="nil"/>
              <w:left w:val="nil"/>
              <w:bottom w:val="single" w:sz="4" w:space="0" w:color="auto"/>
              <w:right w:val="single" w:sz="4" w:space="0" w:color="auto"/>
            </w:tcBorders>
            <w:shd w:val="clear" w:color="auto" w:fill="auto"/>
            <w:vAlign w:val="bottom"/>
          </w:tcPr>
          <w:p w14:paraId="72C812D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0.338</w:t>
            </w:r>
          </w:p>
        </w:tc>
        <w:tc>
          <w:tcPr>
            <w:tcW w:w="0" w:type="auto"/>
            <w:tcBorders>
              <w:top w:val="nil"/>
              <w:left w:val="nil"/>
              <w:bottom w:val="single" w:sz="4" w:space="0" w:color="auto"/>
              <w:right w:val="single" w:sz="4" w:space="0" w:color="auto"/>
            </w:tcBorders>
            <w:shd w:val="clear" w:color="auto" w:fill="auto"/>
            <w:vAlign w:val="bottom"/>
          </w:tcPr>
          <w:p w14:paraId="00875A5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0.163</w:t>
            </w:r>
          </w:p>
        </w:tc>
        <w:tc>
          <w:tcPr>
            <w:tcW w:w="0" w:type="auto"/>
            <w:tcBorders>
              <w:top w:val="nil"/>
              <w:left w:val="nil"/>
              <w:bottom w:val="single" w:sz="4" w:space="0" w:color="auto"/>
              <w:right w:val="single" w:sz="4" w:space="0" w:color="auto"/>
            </w:tcBorders>
            <w:shd w:val="clear" w:color="auto" w:fill="auto"/>
            <w:vAlign w:val="bottom"/>
          </w:tcPr>
          <w:p w14:paraId="63A055F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0.092</w:t>
            </w:r>
          </w:p>
        </w:tc>
        <w:tc>
          <w:tcPr>
            <w:tcW w:w="0" w:type="auto"/>
            <w:tcBorders>
              <w:top w:val="nil"/>
              <w:left w:val="nil"/>
              <w:bottom w:val="single" w:sz="4" w:space="0" w:color="auto"/>
              <w:right w:val="single" w:sz="4" w:space="0" w:color="auto"/>
            </w:tcBorders>
            <w:shd w:val="clear" w:color="auto" w:fill="auto"/>
            <w:vAlign w:val="bottom"/>
          </w:tcPr>
          <w:p w14:paraId="190E2F8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0.634</w:t>
            </w:r>
          </w:p>
        </w:tc>
        <w:tc>
          <w:tcPr>
            <w:tcW w:w="0" w:type="auto"/>
            <w:tcBorders>
              <w:top w:val="nil"/>
              <w:left w:val="nil"/>
              <w:bottom w:val="single" w:sz="4" w:space="0" w:color="auto"/>
              <w:right w:val="single" w:sz="4" w:space="0" w:color="auto"/>
            </w:tcBorders>
            <w:shd w:val="clear" w:color="auto" w:fill="auto"/>
            <w:vAlign w:val="bottom"/>
          </w:tcPr>
          <w:p w14:paraId="50425B0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0.612</w:t>
            </w:r>
          </w:p>
        </w:tc>
        <w:tc>
          <w:tcPr>
            <w:tcW w:w="0" w:type="auto"/>
            <w:tcBorders>
              <w:top w:val="nil"/>
              <w:left w:val="nil"/>
              <w:bottom w:val="single" w:sz="4" w:space="0" w:color="auto"/>
              <w:right w:val="single" w:sz="4" w:space="0" w:color="auto"/>
            </w:tcBorders>
            <w:shd w:val="clear" w:color="auto" w:fill="auto"/>
            <w:vAlign w:val="bottom"/>
          </w:tcPr>
          <w:p w14:paraId="1CAC227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0.344</w:t>
            </w:r>
          </w:p>
        </w:tc>
        <w:tc>
          <w:tcPr>
            <w:tcW w:w="0" w:type="auto"/>
            <w:tcBorders>
              <w:top w:val="nil"/>
              <w:left w:val="nil"/>
              <w:bottom w:val="single" w:sz="4" w:space="0" w:color="auto"/>
              <w:right w:val="single" w:sz="4" w:space="0" w:color="auto"/>
            </w:tcBorders>
            <w:shd w:val="clear" w:color="auto" w:fill="auto"/>
            <w:vAlign w:val="bottom"/>
          </w:tcPr>
          <w:p w14:paraId="12B23AA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0.240</w:t>
            </w:r>
          </w:p>
        </w:tc>
      </w:tr>
      <w:tr w:rsidR="004346F3" w:rsidRPr="00536CFD" w14:paraId="3BE52CA4" w14:textId="77777777" w:rsidTr="00536CFD">
        <w:trPr>
          <w:cantSplit/>
          <w:trHeight w:val="22"/>
        </w:trPr>
        <w:tc>
          <w:tcPr>
            <w:tcW w:w="0" w:type="auto"/>
            <w:vMerge/>
          </w:tcPr>
          <w:p w14:paraId="10C1653C" w14:textId="77777777" w:rsidR="004346F3" w:rsidRPr="00536CFD" w:rsidRDefault="004346F3" w:rsidP="00802ABC">
            <w:pPr>
              <w:spacing w:after="60"/>
              <w:jc w:val="center"/>
              <w:rPr>
                <w:rFonts w:ascii="Times New Roman" w:hAnsi="Times New Roman"/>
                <w:sz w:val="20"/>
                <w:szCs w:val="20"/>
              </w:rPr>
            </w:pPr>
          </w:p>
        </w:tc>
        <w:tc>
          <w:tcPr>
            <w:tcW w:w="0" w:type="auto"/>
            <w:vMerge w:val="restart"/>
          </w:tcPr>
          <w:p w14:paraId="66555A5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UL</w:t>
            </w:r>
          </w:p>
          <w:p w14:paraId="737736C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UPT CDF</w:t>
            </w:r>
          </w:p>
          <w:p w14:paraId="3F7E8B6D"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[Mbps]</w:t>
            </w:r>
          </w:p>
        </w:tc>
        <w:tc>
          <w:tcPr>
            <w:tcW w:w="0" w:type="auto"/>
          </w:tcPr>
          <w:p w14:paraId="74B7A18C"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w:t>
            </w:r>
          </w:p>
        </w:tc>
        <w:tc>
          <w:tcPr>
            <w:tcW w:w="0" w:type="auto"/>
            <w:tcBorders>
              <w:top w:val="nil"/>
              <w:left w:val="single" w:sz="4" w:space="0" w:color="auto"/>
              <w:bottom w:val="single" w:sz="4" w:space="0" w:color="auto"/>
              <w:right w:val="single" w:sz="4" w:space="0" w:color="auto"/>
            </w:tcBorders>
            <w:shd w:val="clear" w:color="auto" w:fill="auto"/>
            <w:vAlign w:val="bottom"/>
          </w:tcPr>
          <w:p w14:paraId="43BD669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10.305</w:t>
            </w:r>
          </w:p>
        </w:tc>
        <w:tc>
          <w:tcPr>
            <w:tcW w:w="0" w:type="auto"/>
            <w:tcBorders>
              <w:top w:val="nil"/>
              <w:left w:val="nil"/>
              <w:bottom w:val="single" w:sz="4" w:space="0" w:color="auto"/>
              <w:right w:val="single" w:sz="4" w:space="0" w:color="auto"/>
            </w:tcBorders>
            <w:shd w:val="clear" w:color="auto" w:fill="auto"/>
            <w:vAlign w:val="bottom"/>
          </w:tcPr>
          <w:p w14:paraId="54160DC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10.514</w:t>
            </w:r>
          </w:p>
        </w:tc>
        <w:tc>
          <w:tcPr>
            <w:tcW w:w="0" w:type="auto"/>
            <w:tcBorders>
              <w:top w:val="nil"/>
              <w:left w:val="nil"/>
              <w:bottom w:val="single" w:sz="4" w:space="0" w:color="auto"/>
              <w:right w:val="single" w:sz="4" w:space="0" w:color="auto"/>
            </w:tcBorders>
            <w:shd w:val="clear" w:color="auto" w:fill="auto"/>
            <w:vAlign w:val="bottom"/>
          </w:tcPr>
          <w:p w14:paraId="6D1B00A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26.193</w:t>
            </w:r>
          </w:p>
        </w:tc>
        <w:tc>
          <w:tcPr>
            <w:tcW w:w="0" w:type="auto"/>
            <w:tcBorders>
              <w:top w:val="nil"/>
              <w:left w:val="nil"/>
              <w:bottom w:val="single" w:sz="4" w:space="0" w:color="auto"/>
              <w:right w:val="single" w:sz="4" w:space="0" w:color="auto"/>
            </w:tcBorders>
            <w:shd w:val="clear" w:color="auto" w:fill="auto"/>
            <w:vAlign w:val="bottom"/>
          </w:tcPr>
          <w:p w14:paraId="3FF4E87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31.033</w:t>
            </w:r>
          </w:p>
        </w:tc>
        <w:tc>
          <w:tcPr>
            <w:tcW w:w="0" w:type="auto"/>
            <w:tcBorders>
              <w:top w:val="nil"/>
              <w:left w:val="nil"/>
              <w:bottom w:val="single" w:sz="4" w:space="0" w:color="auto"/>
              <w:right w:val="single" w:sz="4" w:space="0" w:color="auto"/>
            </w:tcBorders>
            <w:shd w:val="clear" w:color="auto" w:fill="auto"/>
            <w:vAlign w:val="bottom"/>
          </w:tcPr>
          <w:p w14:paraId="31865F4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1.327</w:t>
            </w:r>
          </w:p>
        </w:tc>
        <w:tc>
          <w:tcPr>
            <w:tcW w:w="0" w:type="auto"/>
            <w:tcBorders>
              <w:top w:val="nil"/>
              <w:left w:val="nil"/>
              <w:bottom w:val="single" w:sz="4" w:space="0" w:color="auto"/>
              <w:right w:val="single" w:sz="4" w:space="0" w:color="auto"/>
            </w:tcBorders>
            <w:shd w:val="clear" w:color="auto" w:fill="auto"/>
            <w:vAlign w:val="bottom"/>
          </w:tcPr>
          <w:p w14:paraId="0B01853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5.022</w:t>
            </w:r>
          </w:p>
        </w:tc>
        <w:tc>
          <w:tcPr>
            <w:tcW w:w="0" w:type="auto"/>
            <w:tcBorders>
              <w:top w:val="nil"/>
              <w:left w:val="nil"/>
              <w:bottom w:val="single" w:sz="4" w:space="0" w:color="auto"/>
              <w:right w:val="single" w:sz="4" w:space="0" w:color="auto"/>
            </w:tcBorders>
            <w:shd w:val="clear" w:color="auto" w:fill="auto"/>
            <w:vAlign w:val="bottom"/>
          </w:tcPr>
          <w:p w14:paraId="5460CD8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6.596</w:t>
            </w:r>
          </w:p>
        </w:tc>
        <w:tc>
          <w:tcPr>
            <w:tcW w:w="0" w:type="auto"/>
            <w:tcBorders>
              <w:top w:val="nil"/>
              <w:left w:val="nil"/>
              <w:bottom w:val="single" w:sz="4" w:space="0" w:color="auto"/>
              <w:right w:val="single" w:sz="4" w:space="0" w:color="auto"/>
            </w:tcBorders>
            <w:shd w:val="clear" w:color="auto" w:fill="auto"/>
            <w:vAlign w:val="bottom"/>
          </w:tcPr>
          <w:p w14:paraId="20B9642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12.632</w:t>
            </w:r>
          </w:p>
        </w:tc>
        <w:tc>
          <w:tcPr>
            <w:tcW w:w="0" w:type="auto"/>
            <w:tcBorders>
              <w:top w:val="nil"/>
              <w:left w:val="nil"/>
              <w:bottom w:val="single" w:sz="4" w:space="0" w:color="auto"/>
              <w:right w:val="single" w:sz="4" w:space="0" w:color="auto"/>
            </w:tcBorders>
            <w:shd w:val="clear" w:color="auto" w:fill="auto"/>
            <w:vAlign w:val="bottom"/>
          </w:tcPr>
          <w:p w14:paraId="0343D0D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0.737</w:t>
            </w:r>
          </w:p>
        </w:tc>
        <w:tc>
          <w:tcPr>
            <w:tcW w:w="0" w:type="auto"/>
            <w:tcBorders>
              <w:top w:val="nil"/>
              <w:left w:val="nil"/>
              <w:bottom w:val="single" w:sz="4" w:space="0" w:color="auto"/>
              <w:right w:val="single" w:sz="4" w:space="0" w:color="auto"/>
            </w:tcBorders>
            <w:shd w:val="clear" w:color="auto" w:fill="auto"/>
            <w:vAlign w:val="bottom"/>
          </w:tcPr>
          <w:p w14:paraId="5BAE683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2.713</w:t>
            </w:r>
          </w:p>
        </w:tc>
        <w:tc>
          <w:tcPr>
            <w:tcW w:w="0" w:type="auto"/>
            <w:tcBorders>
              <w:top w:val="nil"/>
              <w:left w:val="nil"/>
              <w:bottom w:val="single" w:sz="4" w:space="0" w:color="auto"/>
              <w:right w:val="single" w:sz="4" w:space="0" w:color="auto"/>
            </w:tcBorders>
            <w:shd w:val="clear" w:color="auto" w:fill="auto"/>
            <w:vAlign w:val="bottom"/>
          </w:tcPr>
          <w:p w14:paraId="4CE1101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3.013</w:t>
            </w:r>
          </w:p>
        </w:tc>
        <w:tc>
          <w:tcPr>
            <w:tcW w:w="0" w:type="auto"/>
            <w:tcBorders>
              <w:top w:val="nil"/>
              <w:left w:val="nil"/>
              <w:bottom w:val="single" w:sz="4" w:space="0" w:color="auto"/>
              <w:right w:val="single" w:sz="4" w:space="0" w:color="auto"/>
            </w:tcBorders>
            <w:shd w:val="clear" w:color="auto" w:fill="auto"/>
            <w:vAlign w:val="bottom"/>
          </w:tcPr>
          <w:p w14:paraId="713290A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8.462</w:t>
            </w:r>
          </w:p>
        </w:tc>
      </w:tr>
      <w:tr w:rsidR="004346F3" w:rsidRPr="00536CFD" w14:paraId="57B40C14" w14:textId="77777777" w:rsidTr="00536CFD">
        <w:trPr>
          <w:cantSplit/>
          <w:trHeight w:val="22"/>
        </w:trPr>
        <w:tc>
          <w:tcPr>
            <w:tcW w:w="0" w:type="auto"/>
            <w:vMerge/>
          </w:tcPr>
          <w:p w14:paraId="61EE69B7" w14:textId="77777777" w:rsidR="004346F3" w:rsidRPr="00536CFD" w:rsidRDefault="004346F3" w:rsidP="00802ABC">
            <w:pPr>
              <w:spacing w:after="60"/>
              <w:jc w:val="center"/>
              <w:rPr>
                <w:rFonts w:ascii="Times New Roman" w:hAnsi="Times New Roman"/>
                <w:sz w:val="20"/>
                <w:szCs w:val="20"/>
              </w:rPr>
            </w:pPr>
          </w:p>
        </w:tc>
        <w:tc>
          <w:tcPr>
            <w:tcW w:w="0" w:type="auto"/>
            <w:vMerge/>
          </w:tcPr>
          <w:p w14:paraId="125A7F07" w14:textId="77777777" w:rsidR="004346F3" w:rsidRPr="00536CFD" w:rsidRDefault="004346F3" w:rsidP="00802ABC">
            <w:pPr>
              <w:spacing w:after="60"/>
              <w:jc w:val="center"/>
              <w:rPr>
                <w:rFonts w:ascii="Times New Roman" w:hAnsi="Times New Roman"/>
                <w:sz w:val="20"/>
                <w:szCs w:val="20"/>
              </w:rPr>
            </w:pPr>
          </w:p>
        </w:tc>
        <w:tc>
          <w:tcPr>
            <w:tcW w:w="0" w:type="auto"/>
          </w:tcPr>
          <w:p w14:paraId="34C7F87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50%</w:t>
            </w:r>
          </w:p>
        </w:tc>
        <w:tc>
          <w:tcPr>
            <w:tcW w:w="0" w:type="auto"/>
            <w:tcBorders>
              <w:top w:val="nil"/>
              <w:left w:val="single" w:sz="4" w:space="0" w:color="auto"/>
              <w:bottom w:val="single" w:sz="4" w:space="0" w:color="auto"/>
              <w:right w:val="single" w:sz="4" w:space="0" w:color="auto"/>
            </w:tcBorders>
            <w:shd w:val="clear" w:color="auto" w:fill="auto"/>
            <w:vAlign w:val="bottom"/>
          </w:tcPr>
          <w:p w14:paraId="7693237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63.356</w:t>
            </w:r>
          </w:p>
        </w:tc>
        <w:tc>
          <w:tcPr>
            <w:tcW w:w="0" w:type="auto"/>
            <w:tcBorders>
              <w:top w:val="nil"/>
              <w:left w:val="nil"/>
              <w:bottom w:val="single" w:sz="4" w:space="0" w:color="auto"/>
              <w:right w:val="single" w:sz="4" w:space="0" w:color="auto"/>
            </w:tcBorders>
            <w:shd w:val="clear" w:color="auto" w:fill="auto"/>
            <w:vAlign w:val="bottom"/>
          </w:tcPr>
          <w:p w14:paraId="05C5C98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77.355</w:t>
            </w:r>
          </w:p>
        </w:tc>
        <w:tc>
          <w:tcPr>
            <w:tcW w:w="0" w:type="auto"/>
            <w:tcBorders>
              <w:top w:val="nil"/>
              <w:left w:val="nil"/>
              <w:bottom w:val="single" w:sz="4" w:space="0" w:color="auto"/>
              <w:right w:val="single" w:sz="4" w:space="0" w:color="auto"/>
            </w:tcBorders>
            <w:shd w:val="clear" w:color="auto" w:fill="auto"/>
            <w:vAlign w:val="bottom"/>
          </w:tcPr>
          <w:p w14:paraId="0FD12CC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119.294</w:t>
            </w:r>
          </w:p>
        </w:tc>
        <w:tc>
          <w:tcPr>
            <w:tcW w:w="0" w:type="auto"/>
            <w:tcBorders>
              <w:top w:val="nil"/>
              <w:left w:val="nil"/>
              <w:bottom w:val="single" w:sz="4" w:space="0" w:color="auto"/>
              <w:right w:val="single" w:sz="4" w:space="0" w:color="auto"/>
            </w:tcBorders>
            <w:shd w:val="clear" w:color="auto" w:fill="auto"/>
            <w:vAlign w:val="bottom"/>
          </w:tcPr>
          <w:p w14:paraId="66AF242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128.471</w:t>
            </w:r>
          </w:p>
        </w:tc>
        <w:tc>
          <w:tcPr>
            <w:tcW w:w="0" w:type="auto"/>
            <w:tcBorders>
              <w:top w:val="nil"/>
              <w:left w:val="nil"/>
              <w:bottom w:val="single" w:sz="4" w:space="0" w:color="auto"/>
              <w:right w:val="single" w:sz="4" w:space="0" w:color="auto"/>
            </w:tcBorders>
            <w:shd w:val="clear" w:color="auto" w:fill="auto"/>
            <w:vAlign w:val="bottom"/>
          </w:tcPr>
          <w:p w14:paraId="680BF5C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18.200</w:t>
            </w:r>
          </w:p>
        </w:tc>
        <w:tc>
          <w:tcPr>
            <w:tcW w:w="0" w:type="auto"/>
            <w:tcBorders>
              <w:top w:val="nil"/>
              <w:left w:val="nil"/>
              <w:bottom w:val="single" w:sz="4" w:space="0" w:color="auto"/>
              <w:right w:val="single" w:sz="4" w:space="0" w:color="auto"/>
            </w:tcBorders>
            <w:shd w:val="clear" w:color="auto" w:fill="auto"/>
            <w:vAlign w:val="bottom"/>
          </w:tcPr>
          <w:p w14:paraId="2DE0401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35.384</w:t>
            </w:r>
          </w:p>
        </w:tc>
        <w:tc>
          <w:tcPr>
            <w:tcW w:w="0" w:type="auto"/>
            <w:tcBorders>
              <w:top w:val="nil"/>
              <w:left w:val="nil"/>
              <w:bottom w:val="single" w:sz="4" w:space="0" w:color="auto"/>
              <w:right w:val="single" w:sz="4" w:space="0" w:color="auto"/>
            </w:tcBorders>
            <w:shd w:val="clear" w:color="auto" w:fill="auto"/>
            <w:vAlign w:val="bottom"/>
          </w:tcPr>
          <w:p w14:paraId="0F085F3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58.210</w:t>
            </w:r>
          </w:p>
        </w:tc>
        <w:tc>
          <w:tcPr>
            <w:tcW w:w="0" w:type="auto"/>
            <w:tcBorders>
              <w:top w:val="nil"/>
              <w:left w:val="nil"/>
              <w:bottom w:val="single" w:sz="4" w:space="0" w:color="auto"/>
              <w:right w:val="single" w:sz="4" w:space="0" w:color="auto"/>
            </w:tcBorders>
            <w:shd w:val="clear" w:color="auto" w:fill="auto"/>
            <w:vAlign w:val="bottom"/>
          </w:tcPr>
          <w:p w14:paraId="4F38BFA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66.122</w:t>
            </w:r>
          </w:p>
        </w:tc>
        <w:tc>
          <w:tcPr>
            <w:tcW w:w="0" w:type="auto"/>
            <w:tcBorders>
              <w:top w:val="nil"/>
              <w:left w:val="nil"/>
              <w:bottom w:val="single" w:sz="4" w:space="0" w:color="auto"/>
              <w:right w:val="single" w:sz="4" w:space="0" w:color="auto"/>
            </w:tcBorders>
            <w:shd w:val="clear" w:color="auto" w:fill="auto"/>
            <w:vAlign w:val="bottom"/>
          </w:tcPr>
          <w:p w14:paraId="4F1D563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11.274</w:t>
            </w:r>
          </w:p>
        </w:tc>
        <w:tc>
          <w:tcPr>
            <w:tcW w:w="0" w:type="auto"/>
            <w:tcBorders>
              <w:top w:val="nil"/>
              <w:left w:val="nil"/>
              <w:bottom w:val="single" w:sz="4" w:space="0" w:color="auto"/>
              <w:right w:val="single" w:sz="4" w:space="0" w:color="auto"/>
            </w:tcBorders>
            <w:shd w:val="clear" w:color="auto" w:fill="auto"/>
            <w:vAlign w:val="bottom"/>
          </w:tcPr>
          <w:p w14:paraId="3382439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20.049</w:t>
            </w:r>
          </w:p>
        </w:tc>
        <w:tc>
          <w:tcPr>
            <w:tcW w:w="0" w:type="auto"/>
            <w:tcBorders>
              <w:top w:val="nil"/>
              <w:left w:val="nil"/>
              <w:bottom w:val="single" w:sz="4" w:space="0" w:color="auto"/>
              <w:right w:val="single" w:sz="4" w:space="0" w:color="auto"/>
            </w:tcBorders>
            <w:shd w:val="clear" w:color="auto" w:fill="auto"/>
            <w:vAlign w:val="bottom"/>
          </w:tcPr>
          <w:p w14:paraId="2766F09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23.930</w:t>
            </w:r>
          </w:p>
        </w:tc>
        <w:tc>
          <w:tcPr>
            <w:tcW w:w="0" w:type="auto"/>
            <w:tcBorders>
              <w:top w:val="nil"/>
              <w:left w:val="nil"/>
              <w:bottom w:val="single" w:sz="4" w:space="0" w:color="auto"/>
              <w:right w:val="single" w:sz="4" w:space="0" w:color="auto"/>
            </w:tcBorders>
            <w:shd w:val="clear" w:color="auto" w:fill="auto"/>
            <w:vAlign w:val="bottom"/>
          </w:tcPr>
          <w:p w14:paraId="33296FD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32.478</w:t>
            </w:r>
          </w:p>
        </w:tc>
      </w:tr>
      <w:tr w:rsidR="004346F3" w:rsidRPr="00536CFD" w14:paraId="14E25AF9" w14:textId="77777777" w:rsidTr="00536CFD">
        <w:trPr>
          <w:cantSplit/>
          <w:trHeight w:val="22"/>
        </w:trPr>
        <w:tc>
          <w:tcPr>
            <w:tcW w:w="0" w:type="auto"/>
            <w:vMerge/>
          </w:tcPr>
          <w:p w14:paraId="314042F8" w14:textId="77777777" w:rsidR="004346F3" w:rsidRPr="00536CFD" w:rsidRDefault="004346F3" w:rsidP="00802ABC">
            <w:pPr>
              <w:spacing w:after="60"/>
              <w:jc w:val="center"/>
              <w:rPr>
                <w:rFonts w:ascii="Times New Roman" w:hAnsi="Times New Roman"/>
                <w:sz w:val="20"/>
                <w:szCs w:val="20"/>
              </w:rPr>
            </w:pPr>
          </w:p>
        </w:tc>
        <w:tc>
          <w:tcPr>
            <w:tcW w:w="0" w:type="auto"/>
            <w:vMerge/>
          </w:tcPr>
          <w:p w14:paraId="0955E68F" w14:textId="77777777" w:rsidR="004346F3" w:rsidRPr="00536CFD" w:rsidRDefault="004346F3" w:rsidP="00802ABC">
            <w:pPr>
              <w:spacing w:after="60"/>
              <w:jc w:val="center"/>
              <w:rPr>
                <w:rFonts w:ascii="Times New Roman" w:hAnsi="Times New Roman"/>
                <w:sz w:val="20"/>
                <w:szCs w:val="20"/>
              </w:rPr>
            </w:pPr>
          </w:p>
        </w:tc>
        <w:tc>
          <w:tcPr>
            <w:tcW w:w="0" w:type="auto"/>
          </w:tcPr>
          <w:p w14:paraId="3F7AB3D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95%</w:t>
            </w:r>
          </w:p>
        </w:tc>
        <w:tc>
          <w:tcPr>
            <w:tcW w:w="0" w:type="auto"/>
            <w:tcBorders>
              <w:top w:val="nil"/>
              <w:left w:val="single" w:sz="4" w:space="0" w:color="auto"/>
              <w:bottom w:val="single" w:sz="4" w:space="0" w:color="auto"/>
              <w:right w:val="single" w:sz="4" w:space="0" w:color="auto"/>
            </w:tcBorders>
            <w:shd w:val="clear" w:color="auto" w:fill="auto"/>
            <w:vAlign w:val="bottom"/>
          </w:tcPr>
          <w:p w14:paraId="615252A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110.755</w:t>
            </w:r>
          </w:p>
        </w:tc>
        <w:tc>
          <w:tcPr>
            <w:tcW w:w="0" w:type="auto"/>
            <w:tcBorders>
              <w:top w:val="nil"/>
              <w:left w:val="nil"/>
              <w:bottom w:val="single" w:sz="4" w:space="0" w:color="auto"/>
              <w:right w:val="single" w:sz="4" w:space="0" w:color="auto"/>
            </w:tcBorders>
            <w:shd w:val="clear" w:color="auto" w:fill="auto"/>
            <w:vAlign w:val="bottom"/>
          </w:tcPr>
          <w:p w14:paraId="2E392A0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117.296</w:t>
            </w:r>
          </w:p>
        </w:tc>
        <w:tc>
          <w:tcPr>
            <w:tcW w:w="0" w:type="auto"/>
            <w:tcBorders>
              <w:top w:val="nil"/>
              <w:left w:val="nil"/>
              <w:bottom w:val="single" w:sz="4" w:space="0" w:color="auto"/>
              <w:right w:val="single" w:sz="4" w:space="0" w:color="auto"/>
            </w:tcBorders>
            <w:shd w:val="clear" w:color="auto" w:fill="auto"/>
            <w:vAlign w:val="bottom"/>
          </w:tcPr>
          <w:p w14:paraId="620D4CB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191.984</w:t>
            </w:r>
          </w:p>
        </w:tc>
        <w:tc>
          <w:tcPr>
            <w:tcW w:w="0" w:type="auto"/>
            <w:tcBorders>
              <w:top w:val="nil"/>
              <w:left w:val="nil"/>
              <w:bottom w:val="single" w:sz="4" w:space="0" w:color="auto"/>
              <w:right w:val="single" w:sz="4" w:space="0" w:color="auto"/>
            </w:tcBorders>
            <w:shd w:val="clear" w:color="auto" w:fill="auto"/>
            <w:vAlign w:val="bottom"/>
          </w:tcPr>
          <w:p w14:paraId="3344047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194.520</w:t>
            </w:r>
          </w:p>
        </w:tc>
        <w:tc>
          <w:tcPr>
            <w:tcW w:w="0" w:type="auto"/>
            <w:tcBorders>
              <w:top w:val="nil"/>
              <w:left w:val="nil"/>
              <w:bottom w:val="single" w:sz="4" w:space="0" w:color="auto"/>
              <w:right w:val="single" w:sz="4" w:space="0" w:color="auto"/>
            </w:tcBorders>
            <w:shd w:val="clear" w:color="auto" w:fill="auto"/>
            <w:vAlign w:val="bottom"/>
          </w:tcPr>
          <w:p w14:paraId="536BD46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93.601</w:t>
            </w:r>
          </w:p>
        </w:tc>
        <w:tc>
          <w:tcPr>
            <w:tcW w:w="0" w:type="auto"/>
            <w:tcBorders>
              <w:top w:val="nil"/>
              <w:left w:val="nil"/>
              <w:bottom w:val="single" w:sz="4" w:space="0" w:color="auto"/>
              <w:right w:val="single" w:sz="4" w:space="0" w:color="auto"/>
            </w:tcBorders>
            <w:shd w:val="clear" w:color="auto" w:fill="auto"/>
            <w:vAlign w:val="bottom"/>
          </w:tcPr>
          <w:p w14:paraId="6AC0030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94.371</w:t>
            </w:r>
          </w:p>
        </w:tc>
        <w:tc>
          <w:tcPr>
            <w:tcW w:w="0" w:type="auto"/>
            <w:tcBorders>
              <w:top w:val="nil"/>
              <w:left w:val="nil"/>
              <w:bottom w:val="single" w:sz="4" w:space="0" w:color="auto"/>
              <w:right w:val="single" w:sz="4" w:space="0" w:color="auto"/>
            </w:tcBorders>
            <w:shd w:val="clear" w:color="auto" w:fill="auto"/>
            <w:vAlign w:val="bottom"/>
          </w:tcPr>
          <w:p w14:paraId="63400EC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160.740</w:t>
            </w:r>
          </w:p>
        </w:tc>
        <w:tc>
          <w:tcPr>
            <w:tcW w:w="0" w:type="auto"/>
            <w:tcBorders>
              <w:top w:val="nil"/>
              <w:left w:val="nil"/>
              <w:bottom w:val="single" w:sz="4" w:space="0" w:color="auto"/>
              <w:right w:val="single" w:sz="4" w:space="0" w:color="auto"/>
            </w:tcBorders>
            <w:shd w:val="clear" w:color="auto" w:fill="auto"/>
            <w:vAlign w:val="bottom"/>
          </w:tcPr>
          <w:p w14:paraId="2B85060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177.824</w:t>
            </w:r>
          </w:p>
        </w:tc>
        <w:tc>
          <w:tcPr>
            <w:tcW w:w="0" w:type="auto"/>
            <w:tcBorders>
              <w:top w:val="nil"/>
              <w:left w:val="nil"/>
              <w:bottom w:val="single" w:sz="4" w:space="0" w:color="auto"/>
              <w:right w:val="single" w:sz="4" w:space="0" w:color="auto"/>
            </w:tcBorders>
            <w:shd w:val="clear" w:color="auto" w:fill="auto"/>
            <w:vAlign w:val="bottom"/>
          </w:tcPr>
          <w:p w14:paraId="2945D4F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78.363</w:t>
            </w:r>
          </w:p>
        </w:tc>
        <w:tc>
          <w:tcPr>
            <w:tcW w:w="0" w:type="auto"/>
            <w:tcBorders>
              <w:top w:val="nil"/>
              <w:left w:val="nil"/>
              <w:bottom w:val="single" w:sz="4" w:space="0" w:color="auto"/>
              <w:right w:val="single" w:sz="4" w:space="0" w:color="auto"/>
            </w:tcBorders>
            <w:shd w:val="clear" w:color="auto" w:fill="auto"/>
            <w:vAlign w:val="bottom"/>
          </w:tcPr>
          <w:p w14:paraId="770738E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81.837</w:t>
            </w:r>
          </w:p>
        </w:tc>
        <w:tc>
          <w:tcPr>
            <w:tcW w:w="0" w:type="auto"/>
            <w:tcBorders>
              <w:top w:val="nil"/>
              <w:left w:val="nil"/>
              <w:bottom w:val="single" w:sz="4" w:space="0" w:color="auto"/>
              <w:right w:val="single" w:sz="4" w:space="0" w:color="auto"/>
            </w:tcBorders>
            <w:shd w:val="clear" w:color="auto" w:fill="auto"/>
            <w:vAlign w:val="bottom"/>
          </w:tcPr>
          <w:p w14:paraId="6B1EF2D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117.751</w:t>
            </w:r>
          </w:p>
        </w:tc>
        <w:tc>
          <w:tcPr>
            <w:tcW w:w="0" w:type="auto"/>
            <w:tcBorders>
              <w:top w:val="nil"/>
              <w:left w:val="nil"/>
              <w:bottom w:val="single" w:sz="4" w:space="0" w:color="auto"/>
              <w:right w:val="single" w:sz="4" w:space="0" w:color="auto"/>
            </w:tcBorders>
            <w:shd w:val="clear" w:color="auto" w:fill="auto"/>
            <w:vAlign w:val="bottom"/>
          </w:tcPr>
          <w:p w14:paraId="1D565AB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164.475</w:t>
            </w:r>
          </w:p>
        </w:tc>
      </w:tr>
      <w:tr w:rsidR="004346F3" w:rsidRPr="00536CFD" w14:paraId="12616CD0" w14:textId="77777777" w:rsidTr="00536CFD">
        <w:trPr>
          <w:cantSplit/>
          <w:trHeight w:val="22"/>
        </w:trPr>
        <w:tc>
          <w:tcPr>
            <w:tcW w:w="0" w:type="auto"/>
            <w:vMerge/>
          </w:tcPr>
          <w:p w14:paraId="4AC8C30B" w14:textId="77777777" w:rsidR="004346F3" w:rsidRPr="00536CFD" w:rsidRDefault="004346F3" w:rsidP="00802ABC">
            <w:pPr>
              <w:spacing w:after="60"/>
              <w:jc w:val="center"/>
              <w:rPr>
                <w:rFonts w:ascii="Times New Roman" w:hAnsi="Times New Roman"/>
                <w:sz w:val="20"/>
                <w:szCs w:val="20"/>
              </w:rPr>
            </w:pPr>
          </w:p>
        </w:tc>
        <w:tc>
          <w:tcPr>
            <w:tcW w:w="0" w:type="auto"/>
            <w:vMerge/>
          </w:tcPr>
          <w:p w14:paraId="12EF6CDE" w14:textId="77777777" w:rsidR="004346F3" w:rsidRPr="00536CFD" w:rsidRDefault="004346F3" w:rsidP="00802ABC">
            <w:pPr>
              <w:spacing w:after="60"/>
              <w:jc w:val="center"/>
              <w:rPr>
                <w:rFonts w:ascii="Times New Roman" w:hAnsi="Times New Roman"/>
                <w:sz w:val="20"/>
                <w:szCs w:val="20"/>
              </w:rPr>
            </w:pPr>
          </w:p>
        </w:tc>
        <w:tc>
          <w:tcPr>
            <w:tcW w:w="0" w:type="auto"/>
          </w:tcPr>
          <w:p w14:paraId="06303B6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Mean</w:t>
            </w:r>
          </w:p>
        </w:tc>
        <w:tc>
          <w:tcPr>
            <w:tcW w:w="0" w:type="auto"/>
            <w:tcBorders>
              <w:top w:val="nil"/>
              <w:left w:val="single" w:sz="4" w:space="0" w:color="auto"/>
              <w:bottom w:val="single" w:sz="4" w:space="0" w:color="auto"/>
              <w:right w:val="single" w:sz="4" w:space="0" w:color="auto"/>
            </w:tcBorders>
            <w:shd w:val="clear" w:color="auto" w:fill="auto"/>
            <w:vAlign w:val="bottom"/>
          </w:tcPr>
          <w:p w14:paraId="036354C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64.278</w:t>
            </w:r>
          </w:p>
        </w:tc>
        <w:tc>
          <w:tcPr>
            <w:tcW w:w="0" w:type="auto"/>
            <w:tcBorders>
              <w:top w:val="nil"/>
              <w:left w:val="nil"/>
              <w:bottom w:val="single" w:sz="4" w:space="0" w:color="auto"/>
              <w:right w:val="single" w:sz="4" w:space="0" w:color="auto"/>
            </w:tcBorders>
            <w:shd w:val="clear" w:color="auto" w:fill="auto"/>
            <w:vAlign w:val="bottom"/>
          </w:tcPr>
          <w:p w14:paraId="14B7396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71.860</w:t>
            </w:r>
          </w:p>
        </w:tc>
        <w:tc>
          <w:tcPr>
            <w:tcW w:w="0" w:type="auto"/>
            <w:tcBorders>
              <w:top w:val="nil"/>
              <w:left w:val="nil"/>
              <w:bottom w:val="single" w:sz="4" w:space="0" w:color="auto"/>
              <w:right w:val="single" w:sz="4" w:space="0" w:color="auto"/>
            </w:tcBorders>
            <w:shd w:val="clear" w:color="auto" w:fill="auto"/>
            <w:vAlign w:val="bottom"/>
          </w:tcPr>
          <w:p w14:paraId="5421A3E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110.596</w:t>
            </w:r>
          </w:p>
        </w:tc>
        <w:tc>
          <w:tcPr>
            <w:tcW w:w="0" w:type="auto"/>
            <w:tcBorders>
              <w:top w:val="nil"/>
              <w:left w:val="nil"/>
              <w:bottom w:val="single" w:sz="4" w:space="0" w:color="auto"/>
              <w:right w:val="single" w:sz="4" w:space="0" w:color="auto"/>
            </w:tcBorders>
            <w:shd w:val="clear" w:color="auto" w:fill="auto"/>
            <w:vAlign w:val="bottom"/>
          </w:tcPr>
          <w:p w14:paraId="2999579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118.240</w:t>
            </w:r>
          </w:p>
        </w:tc>
        <w:tc>
          <w:tcPr>
            <w:tcW w:w="0" w:type="auto"/>
            <w:tcBorders>
              <w:top w:val="nil"/>
              <w:left w:val="nil"/>
              <w:bottom w:val="single" w:sz="4" w:space="0" w:color="auto"/>
              <w:right w:val="single" w:sz="4" w:space="0" w:color="auto"/>
            </w:tcBorders>
            <w:shd w:val="clear" w:color="auto" w:fill="auto"/>
            <w:vAlign w:val="bottom"/>
          </w:tcPr>
          <w:p w14:paraId="7AC3108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31.913</w:t>
            </w:r>
          </w:p>
        </w:tc>
        <w:tc>
          <w:tcPr>
            <w:tcW w:w="0" w:type="auto"/>
            <w:tcBorders>
              <w:top w:val="nil"/>
              <w:left w:val="nil"/>
              <w:bottom w:val="single" w:sz="4" w:space="0" w:color="auto"/>
              <w:right w:val="single" w:sz="4" w:space="0" w:color="auto"/>
            </w:tcBorders>
            <w:shd w:val="clear" w:color="auto" w:fill="auto"/>
            <w:vAlign w:val="bottom"/>
          </w:tcPr>
          <w:p w14:paraId="285EEE5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43.966</w:t>
            </w:r>
          </w:p>
        </w:tc>
        <w:tc>
          <w:tcPr>
            <w:tcW w:w="0" w:type="auto"/>
            <w:tcBorders>
              <w:top w:val="nil"/>
              <w:left w:val="nil"/>
              <w:bottom w:val="single" w:sz="4" w:space="0" w:color="auto"/>
              <w:right w:val="single" w:sz="4" w:space="0" w:color="auto"/>
            </w:tcBorders>
            <w:shd w:val="clear" w:color="auto" w:fill="auto"/>
            <w:vAlign w:val="bottom"/>
          </w:tcPr>
          <w:p w14:paraId="5CEAD9B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69.836</w:t>
            </w:r>
          </w:p>
        </w:tc>
        <w:tc>
          <w:tcPr>
            <w:tcW w:w="0" w:type="auto"/>
            <w:tcBorders>
              <w:top w:val="nil"/>
              <w:left w:val="nil"/>
              <w:bottom w:val="single" w:sz="4" w:space="0" w:color="auto"/>
              <w:right w:val="single" w:sz="4" w:space="0" w:color="auto"/>
            </w:tcBorders>
            <w:shd w:val="clear" w:color="auto" w:fill="auto"/>
            <w:vAlign w:val="bottom"/>
          </w:tcPr>
          <w:p w14:paraId="38AF5EA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77.030</w:t>
            </w:r>
          </w:p>
        </w:tc>
        <w:tc>
          <w:tcPr>
            <w:tcW w:w="0" w:type="auto"/>
            <w:tcBorders>
              <w:top w:val="nil"/>
              <w:left w:val="nil"/>
              <w:bottom w:val="single" w:sz="4" w:space="0" w:color="auto"/>
              <w:right w:val="single" w:sz="4" w:space="0" w:color="auto"/>
            </w:tcBorders>
            <w:shd w:val="clear" w:color="auto" w:fill="auto"/>
            <w:vAlign w:val="bottom"/>
          </w:tcPr>
          <w:p w14:paraId="3AD0163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22.160</w:t>
            </w:r>
          </w:p>
        </w:tc>
        <w:tc>
          <w:tcPr>
            <w:tcW w:w="0" w:type="auto"/>
            <w:tcBorders>
              <w:top w:val="nil"/>
              <w:left w:val="nil"/>
              <w:bottom w:val="single" w:sz="4" w:space="0" w:color="auto"/>
              <w:right w:val="single" w:sz="4" w:space="0" w:color="auto"/>
            </w:tcBorders>
            <w:shd w:val="clear" w:color="auto" w:fill="auto"/>
            <w:vAlign w:val="bottom"/>
          </w:tcPr>
          <w:p w14:paraId="5BF065F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28.613</w:t>
            </w:r>
          </w:p>
        </w:tc>
        <w:tc>
          <w:tcPr>
            <w:tcW w:w="0" w:type="auto"/>
            <w:tcBorders>
              <w:top w:val="nil"/>
              <w:left w:val="nil"/>
              <w:bottom w:val="single" w:sz="4" w:space="0" w:color="auto"/>
              <w:right w:val="single" w:sz="4" w:space="0" w:color="auto"/>
            </w:tcBorders>
            <w:shd w:val="clear" w:color="auto" w:fill="auto"/>
            <w:vAlign w:val="bottom"/>
          </w:tcPr>
          <w:p w14:paraId="30847A7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38.368</w:t>
            </w:r>
          </w:p>
        </w:tc>
        <w:tc>
          <w:tcPr>
            <w:tcW w:w="0" w:type="auto"/>
            <w:tcBorders>
              <w:top w:val="nil"/>
              <w:left w:val="nil"/>
              <w:bottom w:val="single" w:sz="4" w:space="0" w:color="auto"/>
              <w:right w:val="single" w:sz="4" w:space="0" w:color="auto"/>
            </w:tcBorders>
            <w:shd w:val="clear" w:color="auto" w:fill="auto"/>
            <w:vAlign w:val="bottom"/>
          </w:tcPr>
          <w:p w14:paraId="655BEB5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57.172</w:t>
            </w:r>
          </w:p>
        </w:tc>
      </w:tr>
      <w:tr w:rsidR="004346F3" w:rsidRPr="00536CFD" w14:paraId="4628330A" w14:textId="77777777" w:rsidTr="00536CFD">
        <w:trPr>
          <w:cantSplit/>
          <w:trHeight w:val="22"/>
        </w:trPr>
        <w:tc>
          <w:tcPr>
            <w:tcW w:w="0" w:type="auto"/>
            <w:vMerge/>
          </w:tcPr>
          <w:p w14:paraId="3E981E1C" w14:textId="77777777" w:rsidR="004346F3" w:rsidRPr="00536CFD" w:rsidRDefault="004346F3" w:rsidP="00802ABC">
            <w:pPr>
              <w:spacing w:after="60"/>
              <w:jc w:val="center"/>
              <w:rPr>
                <w:rFonts w:ascii="Times New Roman" w:hAnsi="Times New Roman"/>
                <w:sz w:val="20"/>
                <w:szCs w:val="20"/>
              </w:rPr>
            </w:pPr>
          </w:p>
        </w:tc>
        <w:tc>
          <w:tcPr>
            <w:tcW w:w="0" w:type="auto"/>
            <w:vMerge w:val="restart"/>
          </w:tcPr>
          <w:p w14:paraId="6CC7FB00"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UL</w:t>
            </w:r>
          </w:p>
          <w:p w14:paraId="4EF51F3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Delay CDF</w:t>
            </w:r>
          </w:p>
          <w:p w14:paraId="2CBC6B4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[s]</w:t>
            </w:r>
          </w:p>
        </w:tc>
        <w:tc>
          <w:tcPr>
            <w:tcW w:w="0" w:type="auto"/>
          </w:tcPr>
          <w:p w14:paraId="536BA5B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w:t>
            </w:r>
          </w:p>
        </w:tc>
        <w:tc>
          <w:tcPr>
            <w:tcW w:w="0" w:type="auto"/>
            <w:tcBorders>
              <w:top w:val="nil"/>
              <w:left w:val="single" w:sz="4" w:space="0" w:color="auto"/>
              <w:bottom w:val="single" w:sz="4" w:space="0" w:color="auto"/>
              <w:right w:val="single" w:sz="4" w:space="0" w:color="auto"/>
            </w:tcBorders>
            <w:shd w:val="clear" w:color="auto" w:fill="auto"/>
            <w:vAlign w:val="bottom"/>
          </w:tcPr>
          <w:p w14:paraId="63C1E03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0.032</w:t>
            </w:r>
          </w:p>
        </w:tc>
        <w:tc>
          <w:tcPr>
            <w:tcW w:w="0" w:type="auto"/>
            <w:tcBorders>
              <w:top w:val="nil"/>
              <w:left w:val="nil"/>
              <w:bottom w:val="single" w:sz="4" w:space="0" w:color="auto"/>
              <w:right w:val="single" w:sz="4" w:space="0" w:color="auto"/>
            </w:tcBorders>
            <w:shd w:val="clear" w:color="auto" w:fill="auto"/>
            <w:vAlign w:val="bottom"/>
          </w:tcPr>
          <w:p w14:paraId="1FC332F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0.032</w:t>
            </w:r>
          </w:p>
        </w:tc>
        <w:tc>
          <w:tcPr>
            <w:tcW w:w="0" w:type="auto"/>
            <w:tcBorders>
              <w:top w:val="nil"/>
              <w:left w:val="nil"/>
              <w:bottom w:val="single" w:sz="4" w:space="0" w:color="auto"/>
              <w:right w:val="single" w:sz="4" w:space="0" w:color="auto"/>
            </w:tcBorders>
            <w:shd w:val="clear" w:color="auto" w:fill="auto"/>
            <w:vAlign w:val="bottom"/>
          </w:tcPr>
          <w:p w14:paraId="1E86DBD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36AB893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0.020</w:t>
            </w:r>
          </w:p>
        </w:tc>
        <w:tc>
          <w:tcPr>
            <w:tcW w:w="0" w:type="auto"/>
            <w:tcBorders>
              <w:top w:val="nil"/>
              <w:left w:val="nil"/>
              <w:bottom w:val="single" w:sz="4" w:space="0" w:color="auto"/>
              <w:right w:val="single" w:sz="4" w:space="0" w:color="auto"/>
            </w:tcBorders>
            <w:shd w:val="clear" w:color="auto" w:fill="auto"/>
            <w:vAlign w:val="bottom"/>
          </w:tcPr>
          <w:p w14:paraId="6DBCB85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0.042</w:t>
            </w:r>
          </w:p>
        </w:tc>
        <w:tc>
          <w:tcPr>
            <w:tcW w:w="0" w:type="auto"/>
            <w:tcBorders>
              <w:top w:val="nil"/>
              <w:left w:val="nil"/>
              <w:bottom w:val="single" w:sz="4" w:space="0" w:color="auto"/>
              <w:right w:val="single" w:sz="4" w:space="0" w:color="auto"/>
            </w:tcBorders>
            <w:shd w:val="clear" w:color="auto" w:fill="auto"/>
            <w:vAlign w:val="bottom"/>
          </w:tcPr>
          <w:p w14:paraId="7BF97B0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0.041</w:t>
            </w:r>
          </w:p>
        </w:tc>
        <w:tc>
          <w:tcPr>
            <w:tcW w:w="0" w:type="auto"/>
            <w:tcBorders>
              <w:top w:val="nil"/>
              <w:left w:val="nil"/>
              <w:bottom w:val="single" w:sz="4" w:space="0" w:color="auto"/>
              <w:right w:val="single" w:sz="4" w:space="0" w:color="auto"/>
            </w:tcBorders>
            <w:shd w:val="clear" w:color="auto" w:fill="auto"/>
            <w:vAlign w:val="bottom"/>
          </w:tcPr>
          <w:p w14:paraId="2CF1EB6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0.027</w:t>
            </w:r>
          </w:p>
        </w:tc>
        <w:tc>
          <w:tcPr>
            <w:tcW w:w="0" w:type="auto"/>
            <w:tcBorders>
              <w:top w:val="nil"/>
              <w:left w:val="nil"/>
              <w:bottom w:val="single" w:sz="4" w:space="0" w:color="auto"/>
              <w:right w:val="single" w:sz="4" w:space="0" w:color="auto"/>
            </w:tcBorders>
            <w:shd w:val="clear" w:color="auto" w:fill="auto"/>
            <w:vAlign w:val="bottom"/>
          </w:tcPr>
          <w:p w14:paraId="57E08DE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0.024</w:t>
            </w:r>
          </w:p>
        </w:tc>
        <w:tc>
          <w:tcPr>
            <w:tcW w:w="0" w:type="auto"/>
            <w:tcBorders>
              <w:top w:val="nil"/>
              <w:left w:val="nil"/>
              <w:bottom w:val="single" w:sz="4" w:space="0" w:color="auto"/>
              <w:right w:val="single" w:sz="4" w:space="0" w:color="auto"/>
            </w:tcBorders>
            <w:shd w:val="clear" w:color="auto" w:fill="auto"/>
            <w:vAlign w:val="bottom"/>
          </w:tcPr>
          <w:p w14:paraId="5CAFEB2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0.050</w:t>
            </w:r>
          </w:p>
        </w:tc>
        <w:tc>
          <w:tcPr>
            <w:tcW w:w="0" w:type="auto"/>
            <w:tcBorders>
              <w:top w:val="nil"/>
              <w:left w:val="nil"/>
              <w:bottom w:val="single" w:sz="4" w:space="0" w:color="auto"/>
              <w:right w:val="single" w:sz="4" w:space="0" w:color="auto"/>
            </w:tcBorders>
            <w:shd w:val="clear" w:color="auto" w:fill="auto"/>
            <w:vAlign w:val="bottom"/>
          </w:tcPr>
          <w:p w14:paraId="63DDC92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0.050</w:t>
            </w:r>
          </w:p>
        </w:tc>
        <w:tc>
          <w:tcPr>
            <w:tcW w:w="0" w:type="auto"/>
            <w:tcBorders>
              <w:top w:val="nil"/>
              <w:left w:val="nil"/>
              <w:bottom w:val="single" w:sz="4" w:space="0" w:color="auto"/>
              <w:right w:val="single" w:sz="4" w:space="0" w:color="auto"/>
            </w:tcBorders>
            <w:shd w:val="clear" w:color="auto" w:fill="auto"/>
            <w:vAlign w:val="bottom"/>
          </w:tcPr>
          <w:p w14:paraId="4E7BCD8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0.043</w:t>
            </w:r>
          </w:p>
        </w:tc>
        <w:tc>
          <w:tcPr>
            <w:tcW w:w="0" w:type="auto"/>
            <w:tcBorders>
              <w:top w:val="nil"/>
              <w:left w:val="nil"/>
              <w:bottom w:val="single" w:sz="4" w:space="0" w:color="auto"/>
              <w:right w:val="single" w:sz="4" w:space="0" w:color="auto"/>
            </w:tcBorders>
            <w:shd w:val="clear" w:color="auto" w:fill="auto"/>
            <w:vAlign w:val="bottom"/>
          </w:tcPr>
          <w:p w14:paraId="7E8818B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0.033</w:t>
            </w:r>
          </w:p>
        </w:tc>
      </w:tr>
      <w:tr w:rsidR="004346F3" w:rsidRPr="00536CFD" w14:paraId="1E4BC158" w14:textId="77777777" w:rsidTr="00536CFD">
        <w:trPr>
          <w:cantSplit/>
          <w:trHeight w:val="22"/>
        </w:trPr>
        <w:tc>
          <w:tcPr>
            <w:tcW w:w="0" w:type="auto"/>
            <w:vMerge/>
          </w:tcPr>
          <w:p w14:paraId="0F3AE07A" w14:textId="77777777" w:rsidR="004346F3" w:rsidRPr="00536CFD" w:rsidRDefault="004346F3" w:rsidP="00802ABC">
            <w:pPr>
              <w:spacing w:after="60"/>
              <w:jc w:val="center"/>
              <w:rPr>
                <w:rFonts w:ascii="Times New Roman" w:hAnsi="Times New Roman"/>
                <w:sz w:val="20"/>
                <w:szCs w:val="20"/>
              </w:rPr>
            </w:pPr>
          </w:p>
        </w:tc>
        <w:tc>
          <w:tcPr>
            <w:tcW w:w="0" w:type="auto"/>
            <w:vMerge/>
          </w:tcPr>
          <w:p w14:paraId="60C253A1" w14:textId="77777777" w:rsidR="004346F3" w:rsidRPr="00536CFD" w:rsidRDefault="004346F3" w:rsidP="00802ABC">
            <w:pPr>
              <w:spacing w:after="60"/>
              <w:jc w:val="center"/>
              <w:rPr>
                <w:rFonts w:ascii="Times New Roman" w:hAnsi="Times New Roman"/>
                <w:sz w:val="20"/>
                <w:szCs w:val="20"/>
              </w:rPr>
            </w:pPr>
          </w:p>
        </w:tc>
        <w:tc>
          <w:tcPr>
            <w:tcW w:w="0" w:type="auto"/>
          </w:tcPr>
          <w:p w14:paraId="1A0F20E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50%</w:t>
            </w:r>
          </w:p>
        </w:tc>
        <w:tc>
          <w:tcPr>
            <w:tcW w:w="0" w:type="auto"/>
            <w:tcBorders>
              <w:top w:val="nil"/>
              <w:left w:val="single" w:sz="4" w:space="0" w:color="auto"/>
              <w:bottom w:val="single" w:sz="4" w:space="0" w:color="auto"/>
              <w:right w:val="single" w:sz="4" w:space="0" w:color="auto"/>
            </w:tcBorders>
            <w:shd w:val="clear" w:color="auto" w:fill="auto"/>
            <w:vAlign w:val="bottom"/>
          </w:tcPr>
          <w:p w14:paraId="516D25F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0.063</w:t>
            </w:r>
          </w:p>
        </w:tc>
        <w:tc>
          <w:tcPr>
            <w:tcW w:w="0" w:type="auto"/>
            <w:tcBorders>
              <w:top w:val="nil"/>
              <w:left w:val="nil"/>
              <w:bottom w:val="single" w:sz="4" w:space="0" w:color="auto"/>
              <w:right w:val="single" w:sz="4" w:space="0" w:color="auto"/>
            </w:tcBorders>
            <w:shd w:val="clear" w:color="auto" w:fill="auto"/>
            <w:vAlign w:val="bottom"/>
          </w:tcPr>
          <w:p w14:paraId="6356407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0.052</w:t>
            </w:r>
          </w:p>
        </w:tc>
        <w:tc>
          <w:tcPr>
            <w:tcW w:w="0" w:type="auto"/>
            <w:tcBorders>
              <w:top w:val="nil"/>
              <w:left w:val="nil"/>
              <w:bottom w:val="single" w:sz="4" w:space="0" w:color="auto"/>
              <w:right w:val="single" w:sz="4" w:space="0" w:color="auto"/>
            </w:tcBorders>
            <w:shd w:val="clear" w:color="auto" w:fill="auto"/>
            <w:vAlign w:val="bottom"/>
          </w:tcPr>
          <w:p w14:paraId="7EF4A10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0.033</w:t>
            </w:r>
          </w:p>
        </w:tc>
        <w:tc>
          <w:tcPr>
            <w:tcW w:w="0" w:type="auto"/>
            <w:tcBorders>
              <w:top w:val="nil"/>
              <w:left w:val="nil"/>
              <w:bottom w:val="single" w:sz="4" w:space="0" w:color="auto"/>
              <w:right w:val="single" w:sz="4" w:space="0" w:color="auto"/>
            </w:tcBorders>
            <w:shd w:val="clear" w:color="auto" w:fill="auto"/>
            <w:vAlign w:val="bottom"/>
          </w:tcPr>
          <w:p w14:paraId="09D2441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0.319</w:t>
            </w:r>
          </w:p>
        </w:tc>
        <w:tc>
          <w:tcPr>
            <w:tcW w:w="0" w:type="auto"/>
            <w:tcBorders>
              <w:top w:val="nil"/>
              <w:left w:val="nil"/>
              <w:bottom w:val="single" w:sz="4" w:space="0" w:color="auto"/>
              <w:right w:val="single" w:sz="4" w:space="0" w:color="auto"/>
            </w:tcBorders>
            <w:shd w:val="clear" w:color="auto" w:fill="auto"/>
            <w:vAlign w:val="bottom"/>
          </w:tcPr>
          <w:p w14:paraId="6289EE6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0.222</w:t>
            </w:r>
          </w:p>
        </w:tc>
        <w:tc>
          <w:tcPr>
            <w:tcW w:w="0" w:type="auto"/>
            <w:tcBorders>
              <w:top w:val="nil"/>
              <w:left w:val="nil"/>
              <w:bottom w:val="single" w:sz="4" w:space="0" w:color="auto"/>
              <w:right w:val="single" w:sz="4" w:space="0" w:color="auto"/>
            </w:tcBorders>
            <w:shd w:val="clear" w:color="auto" w:fill="auto"/>
            <w:vAlign w:val="bottom"/>
          </w:tcPr>
          <w:p w14:paraId="608BE86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0.168</w:t>
            </w:r>
          </w:p>
        </w:tc>
        <w:tc>
          <w:tcPr>
            <w:tcW w:w="0" w:type="auto"/>
            <w:tcBorders>
              <w:top w:val="nil"/>
              <w:left w:val="nil"/>
              <w:bottom w:val="single" w:sz="4" w:space="0" w:color="auto"/>
              <w:right w:val="single" w:sz="4" w:space="0" w:color="auto"/>
            </w:tcBorders>
            <w:shd w:val="clear" w:color="auto" w:fill="auto"/>
            <w:vAlign w:val="bottom"/>
          </w:tcPr>
          <w:p w14:paraId="725F31A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0.113</w:t>
            </w:r>
          </w:p>
        </w:tc>
        <w:tc>
          <w:tcPr>
            <w:tcW w:w="0" w:type="auto"/>
            <w:tcBorders>
              <w:top w:val="nil"/>
              <w:left w:val="nil"/>
              <w:bottom w:val="single" w:sz="4" w:space="0" w:color="auto"/>
              <w:right w:val="single" w:sz="4" w:space="0" w:color="auto"/>
            </w:tcBorders>
            <w:shd w:val="clear" w:color="auto" w:fill="auto"/>
            <w:vAlign w:val="bottom"/>
          </w:tcPr>
          <w:p w14:paraId="490087A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0.110</w:t>
            </w:r>
          </w:p>
        </w:tc>
        <w:tc>
          <w:tcPr>
            <w:tcW w:w="0" w:type="auto"/>
            <w:tcBorders>
              <w:top w:val="nil"/>
              <w:left w:val="nil"/>
              <w:bottom w:val="single" w:sz="4" w:space="0" w:color="auto"/>
              <w:right w:val="single" w:sz="4" w:space="0" w:color="auto"/>
            </w:tcBorders>
            <w:shd w:val="clear" w:color="auto" w:fill="auto"/>
            <w:vAlign w:val="bottom"/>
          </w:tcPr>
          <w:p w14:paraId="3461875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0.371</w:t>
            </w:r>
          </w:p>
        </w:tc>
        <w:tc>
          <w:tcPr>
            <w:tcW w:w="0" w:type="auto"/>
            <w:tcBorders>
              <w:top w:val="nil"/>
              <w:left w:val="nil"/>
              <w:bottom w:val="single" w:sz="4" w:space="0" w:color="auto"/>
              <w:right w:val="single" w:sz="4" w:space="0" w:color="auto"/>
            </w:tcBorders>
            <w:shd w:val="clear" w:color="auto" w:fill="auto"/>
            <w:vAlign w:val="bottom"/>
          </w:tcPr>
          <w:p w14:paraId="1C929EE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0.315</w:t>
            </w:r>
          </w:p>
        </w:tc>
        <w:tc>
          <w:tcPr>
            <w:tcW w:w="0" w:type="auto"/>
            <w:tcBorders>
              <w:top w:val="nil"/>
              <w:left w:val="nil"/>
              <w:bottom w:val="single" w:sz="4" w:space="0" w:color="auto"/>
              <w:right w:val="single" w:sz="4" w:space="0" w:color="auto"/>
            </w:tcBorders>
            <w:shd w:val="clear" w:color="auto" w:fill="auto"/>
            <w:vAlign w:val="bottom"/>
          </w:tcPr>
          <w:p w14:paraId="3FE6CC8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0.291</w:t>
            </w:r>
          </w:p>
        </w:tc>
        <w:tc>
          <w:tcPr>
            <w:tcW w:w="0" w:type="auto"/>
            <w:tcBorders>
              <w:top w:val="nil"/>
              <w:left w:val="nil"/>
              <w:bottom w:val="single" w:sz="4" w:space="0" w:color="auto"/>
              <w:right w:val="single" w:sz="4" w:space="0" w:color="auto"/>
            </w:tcBorders>
            <w:shd w:val="clear" w:color="auto" w:fill="auto"/>
            <w:vAlign w:val="bottom"/>
          </w:tcPr>
          <w:p w14:paraId="14410AE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0.287</w:t>
            </w:r>
          </w:p>
        </w:tc>
      </w:tr>
      <w:tr w:rsidR="004346F3" w:rsidRPr="00536CFD" w14:paraId="50AEA7B3" w14:textId="77777777" w:rsidTr="00536CFD">
        <w:trPr>
          <w:cantSplit/>
          <w:trHeight w:val="22"/>
        </w:trPr>
        <w:tc>
          <w:tcPr>
            <w:tcW w:w="0" w:type="auto"/>
            <w:vMerge/>
          </w:tcPr>
          <w:p w14:paraId="5B4511C0" w14:textId="77777777" w:rsidR="004346F3" w:rsidRPr="00536CFD" w:rsidRDefault="004346F3" w:rsidP="00802ABC">
            <w:pPr>
              <w:spacing w:after="60"/>
              <w:jc w:val="center"/>
              <w:rPr>
                <w:rFonts w:ascii="Times New Roman" w:hAnsi="Times New Roman"/>
                <w:sz w:val="20"/>
                <w:szCs w:val="20"/>
              </w:rPr>
            </w:pPr>
          </w:p>
        </w:tc>
        <w:tc>
          <w:tcPr>
            <w:tcW w:w="0" w:type="auto"/>
            <w:vMerge/>
          </w:tcPr>
          <w:p w14:paraId="03C6E937" w14:textId="77777777" w:rsidR="004346F3" w:rsidRPr="00536CFD" w:rsidRDefault="004346F3" w:rsidP="00802ABC">
            <w:pPr>
              <w:spacing w:after="60"/>
              <w:jc w:val="center"/>
              <w:rPr>
                <w:rFonts w:ascii="Times New Roman" w:hAnsi="Times New Roman"/>
                <w:sz w:val="20"/>
                <w:szCs w:val="20"/>
              </w:rPr>
            </w:pPr>
          </w:p>
        </w:tc>
        <w:tc>
          <w:tcPr>
            <w:tcW w:w="0" w:type="auto"/>
          </w:tcPr>
          <w:p w14:paraId="00ED9D2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95%</w:t>
            </w:r>
          </w:p>
        </w:tc>
        <w:tc>
          <w:tcPr>
            <w:tcW w:w="0" w:type="auto"/>
            <w:tcBorders>
              <w:top w:val="nil"/>
              <w:left w:val="single" w:sz="4" w:space="0" w:color="auto"/>
              <w:bottom w:val="single" w:sz="4" w:space="0" w:color="auto"/>
              <w:right w:val="single" w:sz="4" w:space="0" w:color="auto"/>
            </w:tcBorders>
            <w:shd w:val="clear" w:color="auto" w:fill="auto"/>
            <w:vAlign w:val="bottom"/>
          </w:tcPr>
          <w:p w14:paraId="36B1ACA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0.308</w:t>
            </w:r>
          </w:p>
        </w:tc>
        <w:tc>
          <w:tcPr>
            <w:tcW w:w="0" w:type="auto"/>
            <w:tcBorders>
              <w:top w:val="nil"/>
              <w:left w:val="nil"/>
              <w:bottom w:val="single" w:sz="4" w:space="0" w:color="auto"/>
              <w:right w:val="single" w:sz="4" w:space="0" w:color="auto"/>
            </w:tcBorders>
            <w:shd w:val="clear" w:color="auto" w:fill="auto"/>
            <w:vAlign w:val="bottom"/>
          </w:tcPr>
          <w:p w14:paraId="5939E00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0.309</w:t>
            </w:r>
          </w:p>
        </w:tc>
        <w:tc>
          <w:tcPr>
            <w:tcW w:w="0" w:type="auto"/>
            <w:tcBorders>
              <w:top w:val="nil"/>
              <w:left w:val="nil"/>
              <w:bottom w:val="single" w:sz="4" w:space="0" w:color="auto"/>
              <w:right w:val="single" w:sz="4" w:space="0" w:color="auto"/>
            </w:tcBorders>
            <w:shd w:val="clear" w:color="auto" w:fill="auto"/>
            <w:vAlign w:val="bottom"/>
          </w:tcPr>
          <w:p w14:paraId="1C53816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0.144</w:t>
            </w:r>
          </w:p>
        </w:tc>
        <w:tc>
          <w:tcPr>
            <w:tcW w:w="0" w:type="auto"/>
            <w:tcBorders>
              <w:top w:val="nil"/>
              <w:left w:val="nil"/>
              <w:bottom w:val="single" w:sz="4" w:space="0" w:color="auto"/>
              <w:right w:val="single" w:sz="4" w:space="0" w:color="auto"/>
            </w:tcBorders>
            <w:shd w:val="clear" w:color="auto" w:fill="auto"/>
            <w:vAlign w:val="bottom"/>
          </w:tcPr>
          <w:p w14:paraId="4A97E34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0.144</w:t>
            </w:r>
          </w:p>
        </w:tc>
        <w:tc>
          <w:tcPr>
            <w:tcW w:w="0" w:type="auto"/>
            <w:tcBorders>
              <w:top w:val="nil"/>
              <w:left w:val="nil"/>
              <w:bottom w:val="single" w:sz="4" w:space="0" w:color="auto"/>
              <w:right w:val="single" w:sz="4" w:space="0" w:color="auto"/>
            </w:tcBorders>
            <w:shd w:val="clear" w:color="auto" w:fill="auto"/>
            <w:vAlign w:val="bottom"/>
          </w:tcPr>
          <w:p w14:paraId="3FF6B74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2.195</w:t>
            </w:r>
          </w:p>
        </w:tc>
        <w:tc>
          <w:tcPr>
            <w:tcW w:w="0" w:type="auto"/>
            <w:tcBorders>
              <w:top w:val="nil"/>
              <w:left w:val="nil"/>
              <w:bottom w:val="single" w:sz="4" w:space="0" w:color="auto"/>
              <w:right w:val="single" w:sz="4" w:space="0" w:color="auto"/>
            </w:tcBorders>
            <w:shd w:val="clear" w:color="auto" w:fill="auto"/>
            <w:vAlign w:val="bottom"/>
          </w:tcPr>
          <w:p w14:paraId="76E1867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1.283</w:t>
            </w:r>
          </w:p>
        </w:tc>
        <w:tc>
          <w:tcPr>
            <w:tcW w:w="0" w:type="auto"/>
            <w:tcBorders>
              <w:top w:val="nil"/>
              <w:left w:val="nil"/>
              <w:bottom w:val="single" w:sz="4" w:space="0" w:color="auto"/>
              <w:right w:val="single" w:sz="4" w:space="0" w:color="auto"/>
            </w:tcBorders>
            <w:shd w:val="clear" w:color="auto" w:fill="auto"/>
            <w:vAlign w:val="bottom"/>
          </w:tcPr>
          <w:p w14:paraId="44EF759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1.101</w:t>
            </w:r>
          </w:p>
        </w:tc>
        <w:tc>
          <w:tcPr>
            <w:tcW w:w="0" w:type="auto"/>
            <w:tcBorders>
              <w:top w:val="nil"/>
              <w:left w:val="nil"/>
              <w:bottom w:val="single" w:sz="4" w:space="0" w:color="auto"/>
              <w:right w:val="single" w:sz="4" w:space="0" w:color="auto"/>
            </w:tcBorders>
            <w:shd w:val="clear" w:color="auto" w:fill="auto"/>
            <w:vAlign w:val="bottom"/>
          </w:tcPr>
          <w:p w14:paraId="317FFCD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0.060</w:t>
            </w:r>
          </w:p>
        </w:tc>
        <w:tc>
          <w:tcPr>
            <w:tcW w:w="0" w:type="auto"/>
            <w:tcBorders>
              <w:top w:val="nil"/>
              <w:left w:val="nil"/>
              <w:bottom w:val="single" w:sz="4" w:space="0" w:color="auto"/>
              <w:right w:val="single" w:sz="4" w:space="0" w:color="auto"/>
            </w:tcBorders>
            <w:shd w:val="clear" w:color="auto" w:fill="auto"/>
            <w:vAlign w:val="bottom"/>
          </w:tcPr>
          <w:p w14:paraId="1613F17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3.004</w:t>
            </w:r>
          </w:p>
        </w:tc>
        <w:tc>
          <w:tcPr>
            <w:tcW w:w="0" w:type="auto"/>
            <w:tcBorders>
              <w:top w:val="nil"/>
              <w:left w:val="nil"/>
              <w:bottom w:val="single" w:sz="4" w:space="0" w:color="auto"/>
              <w:right w:val="single" w:sz="4" w:space="0" w:color="auto"/>
            </w:tcBorders>
            <w:shd w:val="clear" w:color="auto" w:fill="auto"/>
            <w:vAlign w:val="bottom"/>
          </w:tcPr>
          <w:p w14:paraId="16242E6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2.988</w:t>
            </w:r>
          </w:p>
        </w:tc>
        <w:tc>
          <w:tcPr>
            <w:tcW w:w="0" w:type="auto"/>
            <w:tcBorders>
              <w:top w:val="nil"/>
              <w:left w:val="nil"/>
              <w:bottom w:val="single" w:sz="4" w:space="0" w:color="auto"/>
              <w:right w:val="single" w:sz="4" w:space="0" w:color="auto"/>
            </w:tcBorders>
            <w:shd w:val="clear" w:color="auto" w:fill="auto"/>
            <w:vAlign w:val="bottom"/>
          </w:tcPr>
          <w:p w14:paraId="05146DF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2.029</w:t>
            </w:r>
          </w:p>
        </w:tc>
        <w:tc>
          <w:tcPr>
            <w:tcW w:w="0" w:type="auto"/>
            <w:tcBorders>
              <w:top w:val="nil"/>
              <w:left w:val="nil"/>
              <w:bottom w:val="single" w:sz="4" w:space="0" w:color="auto"/>
              <w:right w:val="single" w:sz="4" w:space="0" w:color="auto"/>
            </w:tcBorders>
            <w:shd w:val="clear" w:color="auto" w:fill="auto"/>
            <w:vAlign w:val="bottom"/>
          </w:tcPr>
          <w:p w14:paraId="7BCBB36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1.629</w:t>
            </w:r>
          </w:p>
        </w:tc>
      </w:tr>
      <w:tr w:rsidR="004346F3" w:rsidRPr="00536CFD" w14:paraId="034F24D6" w14:textId="77777777" w:rsidTr="00536CFD">
        <w:trPr>
          <w:cantSplit/>
          <w:trHeight w:val="22"/>
        </w:trPr>
        <w:tc>
          <w:tcPr>
            <w:tcW w:w="0" w:type="auto"/>
            <w:vMerge/>
          </w:tcPr>
          <w:p w14:paraId="57644EE0" w14:textId="77777777" w:rsidR="004346F3" w:rsidRPr="00536CFD" w:rsidRDefault="004346F3" w:rsidP="00802ABC">
            <w:pPr>
              <w:spacing w:after="60"/>
              <w:jc w:val="center"/>
              <w:rPr>
                <w:rFonts w:ascii="Times New Roman" w:hAnsi="Times New Roman"/>
                <w:sz w:val="20"/>
                <w:szCs w:val="20"/>
              </w:rPr>
            </w:pPr>
          </w:p>
        </w:tc>
        <w:tc>
          <w:tcPr>
            <w:tcW w:w="0" w:type="auto"/>
            <w:vMerge/>
          </w:tcPr>
          <w:p w14:paraId="3E32C0D7" w14:textId="77777777" w:rsidR="004346F3" w:rsidRPr="00536CFD" w:rsidRDefault="004346F3" w:rsidP="00802ABC">
            <w:pPr>
              <w:spacing w:after="60"/>
              <w:jc w:val="center"/>
              <w:rPr>
                <w:rFonts w:ascii="Times New Roman" w:hAnsi="Times New Roman"/>
                <w:sz w:val="20"/>
                <w:szCs w:val="20"/>
              </w:rPr>
            </w:pPr>
          </w:p>
        </w:tc>
        <w:tc>
          <w:tcPr>
            <w:tcW w:w="0" w:type="auto"/>
          </w:tcPr>
          <w:p w14:paraId="3C1CCD4D"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Mean</w:t>
            </w:r>
          </w:p>
        </w:tc>
        <w:tc>
          <w:tcPr>
            <w:tcW w:w="0" w:type="auto"/>
            <w:tcBorders>
              <w:top w:val="nil"/>
              <w:left w:val="single" w:sz="4" w:space="0" w:color="auto"/>
              <w:bottom w:val="single" w:sz="4" w:space="0" w:color="auto"/>
              <w:right w:val="single" w:sz="4" w:space="0" w:color="auto"/>
            </w:tcBorders>
            <w:shd w:val="clear" w:color="auto" w:fill="auto"/>
            <w:vAlign w:val="bottom"/>
          </w:tcPr>
          <w:p w14:paraId="37FCCA9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0.114</w:t>
            </w:r>
          </w:p>
        </w:tc>
        <w:tc>
          <w:tcPr>
            <w:tcW w:w="0" w:type="auto"/>
            <w:tcBorders>
              <w:top w:val="nil"/>
              <w:left w:val="nil"/>
              <w:bottom w:val="single" w:sz="4" w:space="0" w:color="auto"/>
              <w:right w:val="single" w:sz="4" w:space="0" w:color="auto"/>
            </w:tcBorders>
            <w:shd w:val="clear" w:color="auto" w:fill="auto"/>
            <w:vAlign w:val="bottom"/>
          </w:tcPr>
          <w:p w14:paraId="77F568A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0.099</w:t>
            </w:r>
          </w:p>
        </w:tc>
        <w:tc>
          <w:tcPr>
            <w:tcW w:w="0" w:type="auto"/>
            <w:tcBorders>
              <w:top w:val="nil"/>
              <w:left w:val="nil"/>
              <w:bottom w:val="single" w:sz="4" w:space="0" w:color="auto"/>
              <w:right w:val="single" w:sz="4" w:space="0" w:color="auto"/>
            </w:tcBorders>
            <w:shd w:val="clear" w:color="auto" w:fill="auto"/>
            <w:vAlign w:val="bottom"/>
          </w:tcPr>
          <w:p w14:paraId="1CBCF8C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0.059</w:t>
            </w:r>
          </w:p>
        </w:tc>
        <w:tc>
          <w:tcPr>
            <w:tcW w:w="0" w:type="auto"/>
            <w:tcBorders>
              <w:top w:val="nil"/>
              <w:left w:val="nil"/>
              <w:bottom w:val="single" w:sz="4" w:space="0" w:color="auto"/>
              <w:right w:val="single" w:sz="4" w:space="0" w:color="auto"/>
            </w:tcBorders>
            <w:shd w:val="clear" w:color="auto" w:fill="auto"/>
            <w:vAlign w:val="bottom"/>
          </w:tcPr>
          <w:p w14:paraId="189FEA8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0.057</w:t>
            </w:r>
          </w:p>
        </w:tc>
        <w:tc>
          <w:tcPr>
            <w:tcW w:w="0" w:type="auto"/>
            <w:tcBorders>
              <w:top w:val="nil"/>
              <w:left w:val="nil"/>
              <w:bottom w:val="single" w:sz="4" w:space="0" w:color="auto"/>
              <w:right w:val="single" w:sz="4" w:space="0" w:color="auto"/>
            </w:tcBorders>
            <w:shd w:val="clear" w:color="auto" w:fill="auto"/>
            <w:vAlign w:val="bottom"/>
          </w:tcPr>
          <w:p w14:paraId="49F5959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0.514</w:t>
            </w:r>
          </w:p>
        </w:tc>
        <w:tc>
          <w:tcPr>
            <w:tcW w:w="0" w:type="auto"/>
            <w:tcBorders>
              <w:top w:val="nil"/>
              <w:left w:val="nil"/>
              <w:bottom w:val="single" w:sz="4" w:space="0" w:color="auto"/>
              <w:right w:val="single" w:sz="4" w:space="0" w:color="auto"/>
            </w:tcBorders>
            <w:shd w:val="clear" w:color="auto" w:fill="auto"/>
            <w:vAlign w:val="bottom"/>
          </w:tcPr>
          <w:p w14:paraId="6D78731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0.362</w:t>
            </w:r>
          </w:p>
        </w:tc>
        <w:tc>
          <w:tcPr>
            <w:tcW w:w="0" w:type="auto"/>
            <w:tcBorders>
              <w:top w:val="nil"/>
              <w:left w:val="nil"/>
              <w:bottom w:val="single" w:sz="4" w:space="0" w:color="auto"/>
              <w:right w:val="single" w:sz="4" w:space="0" w:color="auto"/>
            </w:tcBorders>
            <w:shd w:val="clear" w:color="auto" w:fill="auto"/>
            <w:vAlign w:val="bottom"/>
          </w:tcPr>
          <w:p w14:paraId="40E3D36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0.256</w:t>
            </w:r>
          </w:p>
        </w:tc>
        <w:tc>
          <w:tcPr>
            <w:tcW w:w="0" w:type="auto"/>
            <w:tcBorders>
              <w:top w:val="nil"/>
              <w:left w:val="nil"/>
              <w:bottom w:val="single" w:sz="4" w:space="0" w:color="auto"/>
              <w:right w:val="single" w:sz="4" w:space="0" w:color="auto"/>
            </w:tcBorders>
            <w:shd w:val="clear" w:color="auto" w:fill="auto"/>
            <w:vAlign w:val="bottom"/>
          </w:tcPr>
          <w:p w14:paraId="7F3304E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0.246</w:t>
            </w:r>
          </w:p>
        </w:tc>
        <w:tc>
          <w:tcPr>
            <w:tcW w:w="0" w:type="auto"/>
            <w:tcBorders>
              <w:top w:val="nil"/>
              <w:left w:val="nil"/>
              <w:bottom w:val="single" w:sz="4" w:space="0" w:color="auto"/>
              <w:right w:val="single" w:sz="4" w:space="0" w:color="auto"/>
            </w:tcBorders>
            <w:shd w:val="clear" w:color="auto" w:fill="auto"/>
            <w:vAlign w:val="bottom"/>
          </w:tcPr>
          <w:p w14:paraId="634F882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0.752</w:t>
            </w:r>
          </w:p>
        </w:tc>
        <w:tc>
          <w:tcPr>
            <w:tcW w:w="0" w:type="auto"/>
            <w:tcBorders>
              <w:top w:val="nil"/>
              <w:left w:val="nil"/>
              <w:bottom w:val="single" w:sz="4" w:space="0" w:color="auto"/>
              <w:right w:val="single" w:sz="4" w:space="0" w:color="auto"/>
            </w:tcBorders>
            <w:shd w:val="clear" w:color="auto" w:fill="auto"/>
            <w:vAlign w:val="bottom"/>
          </w:tcPr>
          <w:p w14:paraId="7D280F2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0.741</w:t>
            </w:r>
          </w:p>
        </w:tc>
        <w:tc>
          <w:tcPr>
            <w:tcW w:w="0" w:type="auto"/>
            <w:tcBorders>
              <w:top w:val="nil"/>
              <w:left w:val="nil"/>
              <w:bottom w:val="single" w:sz="4" w:space="0" w:color="auto"/>
              <w:right w:val="single" w:sz="4" w:space="0" w:color="auto"/>
            </w:tcBorders>
            <w:shd w:val="clear" w:color="auto" w:fill="auto"/>
            <w:vAlign w:val="bottom"/>
          </w:tcPr>
          <w:p w14:paraId="04DAE94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0.551</w:t>
            </w:r>
          </w:p>
        </w:tc>
        <w:tc>
          <w:tcPr>
            <w:tcW w:w="0" w:type="auto"/>
            <w:tcBorders>
              <w:top w:val="nil"/>
              <w:left w:val="nil"/>
              <w:bottom w:val="single" w:sz="4" w:space="0" w:color="auto"/>
              <w:right w:val="single" w:sz="4" w:space="0" w:color="auto"/>
            </w:tcBorders>
            <w:shd w:val="clear" w:color="auto" w:fill="auto"/>
            <w:vAlign w:val="bottom"/>
          </w:tcPr>
          <w:p w14:paraId="5D32DCD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0.367</w:t>
            </w:r>
          </w:p>
        </w:tc>
      </w:tr>
      <w:tr w:rsidR="004346F3" w:rsidRPr="00536CFD" w14:paraId="25FBE78A" w14:textId="77777777" w:rsidTr="00536CFD">
        <w:trPr>
          <w:cantSplit/>
          <w:trHeight w:val="22"/>
        </w:trPr>
        <w:tc>
          <w:tcPr>
            <w:tcW w:w="0" w:type="auto"/>
            <w:vMerge/>
          </w:tcPr>
          <w:p w14:paraId="0E44DB78"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02A44724" w14:textId="77777777" w:rsidR="004346F3" w:rsidRPr="00536CFD" w:rsidRDefault="004346F3" w:rsidP="00802ABC">
            <w:pPr>
              <w:spacing w:after="60"/>
              <w:jc w:val="center"/>
              <w:rPr>
                <w:rFonts w:ascii="Times New Roman" w:hAnsi="Times New Roman"/>
                <w:sz w:val="20"/>
                <w:szCs w:val="20"/>
                <w:vertAlign w:val="subscript"/>
              </w:rPr>
            </w:pPr>
            <w:r w:rsidRPr="00536CFD">
              <w:rPr>
                <w:rFonts w:ascii="Cambria Math" w:hAnsi="Cambria Math" w:cs="Cambria Math"/>
                <w:sz w:val="20"/>
                <w:szCs w:val="20"/>
              </w:rPr>
              <w:t>𝜌</w:t>
            </w:r>
            <w:r w:rsidRPr="00536CFD">
              <w:rPr>
                <w:rFonts w:ascii="Times New Roman" w:hAnsi="Times New Roman"/>
                <w:sz w:val="20"/>
                <w:szCs w:val="20"/>
                <w:vertAlign w:val="subscript"/>
              </w:rPr>
              <w:t>DL</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349F19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0.9813</w:t>
            </w:r>
          </w:p>
        </w:tc>
        <w:tc>
          <w:tcPr>
            <w:tcW w:w="0" w:type="auto"/>
            <w:tcBorders>
              <w:top w:val="single" w:sz="4" w:space="0" w:color="auto"/>
              <w:left w:val="nil"/>
              <w:bottom w:val="single" w:sz="4" w:space="0" w:color="auto"/>
              <w:right w:val="single" w:sz="4" w:space="0" w:color="auto"/>
            </w:tcBorders>
            <w:shd w:val="clear" w:color="auto" w:fill="auto"/>
            <w:vAlign w:val="bottom"/>
          </w:tcPr>
          <w:p w14:paraId="76C5181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0.9800</w:t>
            </w:r>
          </w:p>
        </w:tc>
        <w:tc>
          <w:tcPr>
            <w:tcW w:w="0" w:type="auto"/>
            <w:tcBorders>
              <w:top w:val="single" w:sz="4" w:space="0" w:color="auto"/>
              <w:left w:val="nil"/>
              <w:bottom w:val="single" w:sz="4" w:space="0" w:color="auto"/>
              <w:right w:val="single" w:sz="4" w:space="0" w:color="auto"/>
            </w:tcBorders>
            <w:shd w:val="clear" w:color="auto" w:fill="auto"/>
            <w:vAlign w:val="bottom"/>
          </w:tcPr>
          <w:p w14:paraId="02397DE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0.9800</w:t>
            </w:r>
          </w:p>
        </w:tc>
        <w:tc>
          <w:tcPr>
            <w:tcW w:w="0" w:type="auto"/>
            <w:tcBorders>
              <w:top w:val="single" w:sz="4" w:space="0" w:color="auto"/>
              <w:left w:val="nil"/>
              <w:bottom w:val="single" w:sz="4" w:space="0" w:color="auto"/>
              <w:right w:val="single" w:sz="4" w:space="0" w:color="auto"/>
            </w:tcBorders>
            <w:shd w:val="clear" w:color="auto" w:fill="auto"/>
            <w:vAlign w:val="bottom"/>
          </w:tcPr>
          <w:p w14:paraId="72A0ABA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single" w:sz="4" w:space="0" w:color="auto"/>
              <w:left w:val="nil"/>
              <w:bottom w:val="single" w:sz="4" w:space="0" w:color="auto"/>
              <w:right w:val="single" w:sz="4" w:space="0" w:color="auto"/>
            </w:tcBorders>
            <w:shd w:val="clear" w:color="auto" w:fill="auto"/>
            <w:vAlign w:val="bottom"/>
          </w:tcPr>
          <w:p w14:paraId="18E665F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0.9280</w:t>
            </w:r>
          </w:p>
        </w:tc>
        <w:tc>
          <w:tcPr>
            <w:tcW w:w="0" w:type="auto"/>
            <w:tcBorders>
              <w:top w:val="single" w:sz="4" w:space="0" w:color="auto"/>
              <w:left w:val="nil"/>
              <w:bottom w:val="single" w:sz="4" w:space="0" w:color="auto"/>
              <w:right w:val="single" w:sz="4" w:space="0" w:color="auto"/>
            </w:tcBorders>
            <w:shd w:val="clear" w:color="auto" w:fill="auto"/>
            <w:vAlign w:val="bottom"/>
          </w:tcPr>
          <w:p w14:paraId="59E1763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0.9560</w:t>
            </w:r>
          </w:p>
        </w:tc>
        <w:tc>
          <w:tcPr>
            <w:tcW w:w="0" w:type="auto"/>
            <w:tcBorders>
              <w:top w:val="single" w:sz="4" w:space="0" w:color="auto"/>
              <w:left w:val="nil"/>
              <w:bottom w:val="single" w:sz="4" w:space="0" w:color="auto"/>
              <w:right w:val="single" w:sz="4" w:space="0" w:color="auto"/>
            </w:tcBorders>
            <w:shd w:val="clear" w:color="auto" w:fill="auto"/>
            <w:vAlign w:val="bottom"/>
          </w:tcPr>
          <w:p w14:paraId="397FECA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0.9560</w:t>
            </w:r>
          </w:p>
        </w:tc>
        <w:tc>
          <w:tcPr>
            <w:tcW w:w="0" w:type="auto"/>
            <w:tcBorders>
              <w:top w:val="single" w:sz="4" w:space="0" w:color="auto"/>
              <w:left w:val="nil"/>
              <w:bottom w:val="single" w:sz="4" w:space="0" w:color="auto"/>
              <w:right w:val="single" w:sz="4" w:space="0" w:color="auto"/>
            </w:tcBorders>
            <w:shd w:val="clear" w:color="auto" w:fill="auto"/>
            <w:vAlign w:val="bottom"/>
          </w:tcPr>
          <w:p w14:paraId="7BA674A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single" w:sz="4" w:space="0" w:color="auto"/>
              <w:left w:val="nil"/>
              <w:bottom w:val="single" w:sz="4" w:space="0" w:color="auto"/>
              <w:right w:val="single" w:sz="4" w:space="0" w:color="auto"/>
            </w:tcBorders>
            <w:shd w:val="clear" w:color="auto" w:fill="auto"/>
            <w:vAlign w:val="bottom"/>
          </w:tcPr>
          <w:p w14:paraId="3BD5BDB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0.8882</w:t>
            </w:r>
          </w:p>
        </w:tc>
        <w:tc>
          <w:tcPr>
            <w:tcW w:w="0" w:type="auto"/>
            <w:tcBorders>
              <w:top w:val="single" w:sz="4" w:space="0" w:color="auto"/>
              <w:left w:val="nil"/>
              <w:bottom w:val="single" w:sz="4" w:space="0" w:color="auto"/>
              <w:right w:val="single" w:sz="4" w:space="0" w:color="auto"/>
            </w:tcBorders>
            <w:shd w:val="clear" w:color="auto" w:fill="auto"/>
            <w:vAlign w:val="bottom"/>
          </w:tcPr>
          <w:p w14:paraId="11DB5B4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0.8880</w:t>
            </w:r>
          </w:p>
        </w:tc>
        <w:tc>
          <w:tcPr>
            <w:tcW w:w="0" w:type="auto"/>
            <w:tcBorders>
              <w:top w:val="single" w:sz="4" w:space="0" w:color="auto"/>
              <w:left w:val="nil"/>
              <w:bottom w:val="single" w:sz="4" w:space="0" w:color="auto"/>
              <w:right w:val="single" w:sz="4" w:space="0" w:color="auto"/>
            </w:tcBorders>
            <w:shd w:val="clear" w:color="auto" w:fill="auto"/>
            <w:vAlign w:val="bottom"/>
          </w:tcPr>
          <w:p w14:paraId="2748EE0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0.8880</w:t>
            </w:r>
          </w:p>
        </w:tc>
        <w:tc>
          <w:tcPr>
            <w:tcW w:w="0" w:type="auto"/>
            <w:tcBorders>
              <w:top w:val="single" w:sz="4" w:space="0" w:color="auto"/>
              <w:left w:val="nil"/>
              <w:bottom w:val="single" w:sz="4" w:space="0" w:color="auto"/>
              <w:right w:val="single" w:sz="4" w:space="0" w:color="auto"/>
            </w:tcBorders>
            <w:shd w:val="clear" w:color="auto" w:fill="auto"/>
            <w:vAlign w:val="bottom"/>
          </w:tcPr>
          <w:p w14:paraId="33DFA64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0.9530</w:t>
            </w:r>
          </w:p>
        </w:tc>
      </w:tr>
      <w:tr w:rsidR="004346F3" w:rsidRPr="00536CFD" w14:paraId="0E473D7E" w14:textId="77777777" w:rsidTr="00536CFD">
        <w:trPr>
          <w:cantSplit/>
          <w:trHeight w:val="22"/>
        </w:trPr>
        <w:tc>
          <w:tcPr>
            <w:tcW w:w="0" w:type="auto"/>
            <w:vMerge/>
          </w:tcPr>
          <w:p w14:paraId="4BEE4D82"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10204CCC" w14:textId="77777777" w:rsidR="004346F3" w:rsidRPr="00536CFD" w:rsidRDefault="004346F3" w:rsidP="00802ABC">
            <w:pPr>
              <w:spacing w:after="60"/>
              <w:jc w:val="center"/>
              <w:rPr>
                <w:rFonts w:ascii="Times New Roman" w:hAnsi="Times New Roman"/>
                <w:sz w:val="20"/>
                <w:szCs w:val="20"/>
                <w:vertAlign w:val="subscript"/>
              </w:rPr>
            </w:pPr>
            <w:r w:rsidRPr="00536CFD">
              <w:rPr>
                <w:rFonts w:ascii="Cambria Math" w:hAnsi="Cambria Math" w:cs="Cambria Math"/>
                <w:sz w:val="20"/>
                <w:szCs w:val="20"/>
              </w:rPr>
              <w:t>𝜌</w:t>
            </w:r>
            <w:r w:rsidRPr="00536CFD">
              <w:rPr>
                <w:rFonts w:ascii="Times New Roman" w:hAnsi="Times New Roman"/>
                <w:sz w:val="20"/>
                <w:szCs w:val="20"/>
                <w:vertAlign w:val="subscript"/>
              </w:rPr>
              <w:t>UL</w:t>
            </w:r>
          </w:p>
        </w:tc>
        <w:tc>
          <w:tcPr>
            <w:tcW w:w="0" w:type="auto"/>
            <w:tcBorders>
              <w:top w:val="nil"/>
              <w:left w:val="single" w:sz="4" w:space="0" w:color="auto"/>
              <w:bottom w:val="single" w:sz="4" w:space="0" w:color="auto"/>
              <w:right w:val="single" w:sz="4" w:space="0" w:color="auto"/>
            </w:tcBorders>
            <w:shd w:val="clear" w:color="auto" w:fill="auto"/>
            <w:vAlign w:val="bottom"/>
          </w:tcPr>
          <w:p w14:paraId="422ED60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0.9740</w:t>
            </w:r>
          </w:p>
        </w:tc>
        <w:tc>
          <w:tcPr>
            <w:tcW w:w="0" w:type="auto"/>
            <w:tcBorders>
              <w:top w:val="nil"/>
              <w:left w:val="nil"/>
              <w:bottom w:val="single" w:sz="4" w:space="0" w:color="auto"/>
              <w:right w:val="single" w:sz="4" w:space="0" w:color="auto"/>
            </w:tcBorders>
            <w:shd w:val="clear" w:color="auto" w:fill="auto"/>
            <w:vAlign w:val="bottom"/>
          </w:tcPr>
          <w:p w14:paraId="19D65D1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0.9700</w:t>
            </w:r>
          </w:p>
        </w:tc>
        <w:tc>
          <w:tcPr>
            <w:tcW w:w="0" w:type="auto"/>
            <w:tcBorders>
              <w:top w:val="nil"/>
              <w:left w:val="nil"/>
              <w:bottom w:val="single" w:sz="4" w:space="0" w:color="auto"/>
              <w:right w:val="single" w:sz="4" w:space="0" w:color="auto"/>
            </w:tcBorders>
            <w:shd w:val="clear" w:color="auto" w:fill="auto"/>
            <w:vAlign w:val="bottom"/>
          </w:tcPr>
          <w:p w14:paraId="4FBDB67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tcPr>
          <w:p w14:paraId="3C0E944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tcPr>
          <w:p w14:paraId="165C455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0.9285</w:t>
            </w:r>
          </w:p>
        </w:tc>
        <w:tc>
          <w:tcPr>
            <w:tcW w:w="0" w:type="auto"/>
            <w:tcBorders>
              <w:top w:val="nil"/>
              <w:left w:val="nil"/>
              <w:bottom w:val="single" w:sz="4" w:space="0" w:color="auto"/>
              <w:right w:val="single" w:sz="4" w:space="0" w:color="auto"/>
            </w:tcBorders>
            <w:shd w:val="clear" w:color="auto" w:fill="auto"/>
            <w:vAlign w:val="bottom"/>
          </w:tcPr>
          <w:p w14:paraId="6CDCB54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0.9530</w:t>
            </w:r>
          </w:p>
        </w:tc>
        <w:tc>
          <w:tcPr>
            <w:tcW w:w="0" w:type="auto"/>
            <w:tcBorders>
              <w:top w:val="nil"/>
              <w:left w:val="nil"/>
              <w:bottom w:val="single" w:sz="4" w:space="0" w:color="auto"/>
              <w:right w:val="single" w:sz="4" w:space="0" w:color="auto"/>
            </w:tcBorders>
            <w:shd w:val="clear" w:color="auto" w:fill="auto"/>
            <w:vAlign w:val="bottom"/>
          </w:tcPr>
          <w:p w14:paraId="6A23581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0.9846</w:t>
            </w:r>
          </w:p>
        </w:tc>
        <w:tc>
          <w:tcPr>
            <w:tcW w:w="0" w:type="auto"/>
            <w:tcBorders>
              <w:top w:val="nil"/>
              <w:left w:val="nil"/>
              <w:bottom w:val="single" w:sz="4" w:space="0" w:color="auto"/>
              <w:right w:val="single" w:sz="4" w:space="0" w:color="auto"/>
            </w:tcBorders>
            <w:shd w:val="clear" w:color="auto" w:fill="auto"/>
            <w:vAlign w:val="bottom"/>
          </w:tcPr>
          <w:p w14:paraId="68F7F2A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tcPr>
          <w:p w14:paraId="0B23D6C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0.9026</w:t>
            </w:r>
          </w:p>
        </w:tc>
        <w:tc>
          <w:tcPr>
            <w:tcW w:w="0" w:type="auto"/>
            <w:tcBorders>
              <w:top w:val="nil"/>
              <w:left w:val="nil"/>
              <w:bottom w:val="single" w:sz="4" w:space="0" w:color="auto"/>
              <w:right w:val="single" w:sz="4" w:space="0" w:color="auto"/>
            </w:tcBorders>
            <w:shd w:val="clear" w:color="auto" w:fill="auto"/>
            <w:vAlign w:val="bottom"/>
          </w:tcPr>
          <w:p w14:paraId="78F2F39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0.8950</w:t>
            </w:r>
          </w:p>
        </w:tc>
        <w:tc>
          <w:tcPr>
            <w:tcW w:w="0" w:type="auto"/>
            <w:tcBorders>
              <w:top w:val="nil"/>
              <w:left w:val="nil"/>
              <w:bottom w:val="single" w:sz="4" w:space="0" w:color="auto"/>
              <w:right w:val="single" w:sz="4" w:space="0" w:color="auto"/>
            </w:tcBorders>
            <w:shd w:val="clear" w:color="auto" w:fill="auto"/>
            <w:vAlign w:val="bottom"/>
          </w:tcPr>
          <w:p w14:paraId="1B77F89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0.9325</w:t>
            </w:r>
          </w:p>
        </w:tc>
        <w:tc>
          <w:tcPr>
            <w:tcW w:w="0" w:type="auto"/>
            <w:tcBorders>
              <w:top w:val="nil"/>
              <w:left w:val="nil"/>
              <w:bottom w:val="single" w:sz="4" w:space="0" w:color="auto"/>
              <w:right w:val="single" w:sz="4" w:space="0" w:color="auto"/>
            </w:tcBorders>
            <w:shd w:val="clear" w:color="auto" w:fill="auto"/>
            <w:vAlign w:val="bottom"/>
          </w:tcPr>
          <w:p w14:paraId="64899C8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0.9244</w:t>
            </w:r>
          </w:p>
        </w:tc>
      </w:tr>
      <w:tr w:rsidR="004346F3" w:rsidRPr="00536CFD" w14:paraId="3C93EBE5" w14:textId="77777777" w:rsidTr="00536CFD">
        <w:trPr>
          <w:cantSplit/>
          <w:trHeight w:val="22"/>
        </w:trPr>
        <w:tc>
          <w:tcPr>
            <w:tcW w:w="0" w:type="auto"/>
            <w:vMerge/>
          </w:tcPr>
          <w:p w14:paraId="5E0EB8B4"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75D0B87D"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BO</w:t>
            </w:r>
          </w:p>
        </w:tc>
        <w:tc>
          <w:tcPr>
            <w:tcW w:w="0" w:type="auto"/>
            <w:tcBorders>
              <w:top w:val="nil"/>
              <w:left w:val="single" w:sz="4" w:space="0" w:color="auto"/>
              <w:bottom w:val="single" w:sz="4" w:space="0" w:color="auto"/>
              <w:right w:val="single" w:sz="4" w:space="0" w:color="auto"/>
            </w:tcBorders>
            <w:shd w:val="clear" w:color="auto" w:fill="auto"/>
            <w:vAlign w:val="bottom"/>
          </w:tcPr>
          <w:p w14:paraId="6342913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tcPr>
          <w:p w14:paraId="0BC9C3E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8.7</w:t>
            </w:r>
          </w:p>
        </w:tc>
        <w:tc>
          <w:tcPr>
            <w:tcW w:w="0" w:type="auto"/>
            <w:tcBorders>
              <w:top w:val="nil"/>
              <w:left w:val="nil"/>
              <w:bottom w:val="single" w:sz="4" w:space="0" w:color="auto"/>
              <w:right w:val="single" w:sz="4" w:space="0" w:color="auto"/>
            </w:tcBorders>
            <w:shd w:val="clear" w:color="auto" w:fill="auto"/>
            <w:vAlign w:val="bottom"/>
          </w:tcPr>
          <w:p w14:paraId="566DFF8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4.05</w:t>
            </w:r>
          </w:p>
        </w:tc>
        <w:tc>
          <w:tcPr>
            <w:tcW w:w="0" w:type="auto"/>
            <w:tcBorders>
              <w:top w:val="nil"/>
              <w:left w:val="nil"/>
              <w:bottom w:val="single" w:sz="4" w:space="0" w:color="auto"/>
              <w:right w:val="single" w:sz="4" w:space="0" w:color="auto"/>
            </w:tcBorders>
            <w:shd w:val="clear" w:color="auto" w:fill="auto"/>
            <w:vAlign w:val="bottom"/>
          </w:tcPr>
          <w:p w14:paraId="54F0291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3.90</w:t>
            </w:r>
          </w:p>
        </w:tc>
        <w:tc>
          <w:tcPr>
            <w:tcW w:w="0" w:type="auto"/>
            <w:tcBorders>
              <w:top w:val="nil"/>
              <w:left w:val="nil"/>
              <w:bottom w:val="single" w:sz="4" w:space="0" w:color="auto"/>
              <w:right w:val="single" w:sz="4" w:space="0" w:color="auto"/>
            </w:tcBorders>
            <w:shd w:val="clear" w:color="auto" w:fill="auto"/>
            <w:vAlign w:val="bottom"/>
          </w:tcPr>
          <w:p w14:paraId="1C64614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40.0</w:t>
            </w:r>
          </w:p>
        </w:tc>
        <w:tc>
          <w:tcPr>
            <w:tcW w:w="0" w:type="auto"/>
            <w:tcBorders>
              <w:top w:val="nil"/>
              <w:left w:val="nil"/>
              <w:bottom w:val="single" w:sz="4" w:space="0" w:color="auto"/>
              <w:right w:val="single" w:sz="4" w:space="0" w:color="auto"/>
            </w:tcBorders>
            <w:shd w:val="clear" w:color="auto" w:fill="auto"/>
            <w:vAlign w:val="bottom"/>
          </w:tcPr>
          <w:p w14:paraId="51F463B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30.70</w:t>
            </w:r>
          </w:p>
        </w:tc>
        <w:tc>
          <w:tcPr>
            <w:tcW w:w="0" w:type="auto"/>
            <w:tcBorders>
              <w:top w:val="nil"/>
              <w:left w:val="nil"/>
              <w:bottom w:val="single" w:sz="4" w:space="0" w:color="auto"/>
              <w:right w:val="single" w:sz="4" w:space="0" w:color="auto"/>
            </w:tcBorders>
            <w:shd w:val="clear" w:color="auto" w:fill="auto"/>
            <w:vAlign w:val="bottom"/>
          </w:tcPr>
          <w:p w14:paraId="27A2408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17.80</w:t>
            </w:r>
          </w:p>
        </w:tc>
        <w:tc>
          <w:tcPr>
            <w:tcW w:w="0" w:type="auto"/>
            <w:tcBorders>
              <w:top w:val="nil"/>
              <w:left w:val="nil"/>
              <w:bottom w:val="single" w:sz="4" w:space="0" w:color="auto"/>
              <w:right w:val="single" w:sz="4" w:space="0" w:color="auto"/>
            </w:tcBorders>
            <w:shd w:val="clear" w:color="auto" w:fill="auto"/>
            <w:vAlign w:val="bottom"/>
          </w:tcPr>
          <w:p w14:paraId="1692DEE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13.65</w:t>
            </w:r>
          </w:p>
        </w:tc>
        <w:tc>
          <w:tcPr>
            <w:tcW w:w="0" w:type="auto"/>
            <w:tcBorders>
              <w:top w:val="nil"/>
              <w:left w:val="nil"/>
              <w:bottom w:val="single" w:sz="4" w:space="0" w:color="auto"/>
              <w:right w:val="single" w:sz="4" w:space="0" w:color="auto"/>
            </w:tcBorders>
            <w:shd w:val="clear" w:color="auto" w:fill="auto"/>
            <w:vAlign w:val="bottom"/>
          </w:tcPr>
          <w:p w14:paraId="1B7E058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58.0</w:t>
            </w:r>
          </w:p>
        </w:tc>
        <w:tc>
          <w:tcPr>
            <w:tcW w:w="0" w:type="auto"/>
            <w:tcBorders>
              <w:top w:val="nil"/>
              <w:left w:val="nil"/>
              <w:bottom w:val="single" w:sz="4" w:space="0" w:color="auto"/>
              <w:right w:val="single" w:sz="4" w:space="0" w:color="auto"/>
            </w:tcBorders>
            <w:shd w:val="clear" w:color="auto" w:fill="auto"/>
            <w:vAlign w:val="bottom"/>
          </w:tcPr>
          <w:p w14:paraId="4CA7F6E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54.90</w:t>
            </w:r>
          </w:p>
        </w:tc>
        <w:tc>
          <w:tcPr>
            <w:tcW w:w="0" w:type="auto"/>
            <w:tcBorders>
              <w:top w:val="nil"/>
              <w:left w:val="nil"/>
              <w:bottom w:val="single" w:sz="4" w:space="0" w:color="auto"/>
              <w:right w:val="single" w:sz="4" w:space="0" w:color="auto"/>
            </w:tcBorders>
            <w:shd w:val="clear" w:color="auto" w:fill="auto"/>
            <w:vAlign w:val="bottom"/>
          </w:tcPr>
          <w:p w14:paraId="62B8898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34.80</w:t>
            </w:r>
          </w:p>
        </w:tc>
        <w:tc>
          <w:tcPr>
            <w:tcW w:w="0" w:type="auto"/>
            <w:tcBorders>
              <w:top w:val="nil"/>
              <w:left w:val="nil"/>
              <w:bottom w:val="single" w:sz="4" w:space="0" w:color="auto"/>
              <w:right w:val="single" w:sz="4" w:space="0" w:color="auto"/>
            </w:tcBorders>
            <w:shd w:val="clear" w:color="auto" w:fill="auto"/>
            <w:vAlign w:val="bottom"/>
          </w:tcPr>
          <w:p w14:paraId="5C802EE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21.10</w:t>
            </w:r>
          </w:p>
        </w:tc>
      </w:tr>
      <w:tr w:rsidR="004346F3" w:rsidRPr="00536CFD" w14:paraId="3D03586C" w14:textId="77777777" w:rsidTr="00536CFD">
        <w:trPr>
          <w:cantSplit/>
          <w:trHeight w:val="22"/>
        </w:trPr>
        <w:tc>
          <w:tcPr>
            <w:tcW w:w="0" w:type="auto"/>
            <w:vMerge/>
          </w:tcPr>
          <w:p w14:paraId="11CD8ED4"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15ED1E4E" w14:textId="77777777" w:rsidR="004346F3" w:rsidRPr="00536CFD" w:rsidRDefault="004346F3" w:rsidP="00802ABC">
            <w:pPr>
              <w:spacing w:after="60"/>
              <w:jc w:val="center"/>
              <w:rPr>
                <w:rFonts w:ascii="Times New Roman" w:hAnsi="Times New Roman"/>
                <w:sz w:val="20"/>
                <w:szCs w:val="20"/>
              </w:rPr>
            </w:pPr>
            <w:r w:rsidRPr="00536CFD">
              <w:rPr>
                <w:rFonts w:ascii="Cambria Math" w:hAnsi="Cambria Math" w:cs="Cambria Math"/>
                <w:sz w:val="20"/>
                <w:szCs w:val="20"/>
              </w:rPr>
              <w:t>𝜆</w:t>
            </w:r>
          </w:p>
        </w:tc>
        <w:tc>
          <w:tcPr>
            <w:tcW w:w="0" w:type="auto"/>
            <w:gridSpan w:val="4"/>
          </w:tcPr>
          <w:p w14:paraId="44B04E2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0.086/0.086</w:t>
            </w:r>
          </w:p>
        </w:tc>
        <w:tc>
          <w:tcPr>
            <w:tcW w:w="0" w:type="auto"/>
            <w:gridSpan w:val="4"/>
          </w:tcPr>
          <w:p w14:paraId="3AB33ABC"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0.114/0.114</w:t>
            </w:r>
          </w:p>
        </w:tc>
        <w:tc>
          <w:tcPr>
            <w:tcW w:w="0" w:type="auto"/>
            <w:gridSpan w:val="4"/>
          </w:tcPr>
          <w:p w14:paraId="08E10ED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0.143/0.143</w:t>
            </w:r>
          </w:p>
        </w:tc>
      </w:tr>
      <w:tr w:rsidR="004346F3" w:rsidRPr="00536CFD" w14:paraId="5BC232D0" w14:textId="77777777" w:rsidTr="00536CFD">
        <w:trPr>
          <w:cantSplit/>
          <w:trHeight w:val="22"/>
        </w:trPr>
        <w:tc>
          <w:tcPr>
            <w:tcW w:w="0" w:type="auto"/>
            <w:vMerge/>
          </w:tcPr>
          <w:p w14:paraId="44640CEA"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4D503324" w14:textId="77777777" w:rsidR="004346F3" w:rsidRPr="00536CFD" w:rsidRDefault="004346F3" w:rsidP="00802ABC">
            <w:pPr>
              <w:spacing w:after="60"/>
              <w:rPr>
                <w:rFonts w:ascii="Times New Roman" w:hAnsi="Times New Roman"/>
                <w:sz w:val="20"/>
                <w:szCs w:val="20"/>
              </w:rPr>
            </w:pPr>
          </w:p>
        </w:tc>
        <w:tc>
          <w:tcPr>
            <w:tcW w:w="0" w:type="auto"/>
            <w:gridSpan w:val="12"/>
          </w:tcPr>
          <w:p w14:paraId="18C6C685" w14:textId="77777777" w:rsidR="004346F3" w:rsidRPr="00536CFD" w:rsidRDefault="004346F3" w:rsidP="00802ABC">
            <w:pPr>
              <w:spacing w:after="60"/>
              <w:rPr>
                <w:rFonts w:ascii="Times New Roman" w:hAnsi="Times New Roman"/>
                <w:sz w:val="20"/>
                <w:szCs w:val="20"/>
              </w:rPr>
            </w:pPr>
            <w:r w:rsidRPr="00536CFD">
              <w:rPr>
                <w:rFonts w:ascii="Times New Roman" w:hAnsi="Times New Roman"/>
                <w:sz w:val="20"/>
                <w:szCs w:val="20"/>
              </w:rPr>
              <w:t>Additional comments: Outdoor Sub-7GHz deployment Scenario 1</w:t>
            </w:r>
          </w:p>
          <w:p w14:paraId="1CBA9903" w14:textId="77777777" w:rsidR="004346F3" w:rsidRPr="00536CFD" w:rsidRDefault="004346F3" w:rsidP="00802ABC">
            <w:pPr>
              <w:spacing w:after="60"/>
              <w:rPr>
                <w:rFonts w:ascii="Times New Roman" w:hAnsi="Times New Roman"/>
                <w:sz w:val="20"/>
                <w:szCs w:val="20"/>
              </w:rPr>
            </w:pPr>
            <w:r w:rsidRPr="00536CFD">
              <w:rPr>
                <w:rFonts w:ascii="Times New Roman" w:hAnsi="Times New Roman"/>
                <w:sz w:val="20"/>
                <w:szCs w:val="20"/>
              </w:rPr>
              <w:t>WiFi settings: 802.11ac MCS table including 256 QAM, 2Tx2Rx in DL (cross-polarized, open loop), 2Tx2Rx in UL, 2 streams in both DL and UL. GI:0.8 µs, TXOP=4 ms, LDPC, A-MPDU enabled, RTS/CTS disabled, link adaptation: Minstrel algorithm, CWS: DL{15,63} and UL{15,1023}, CCA: CS=-82dBm, ED=-62dBm.</w:t>
            </w:r>
          </w:p>
          <w:p w14:paraId="3D8CC083" w14:textId="77777777" w:rsidR="004346F3" w:rsidRPr="00536CFD" w:rsidRDefault="004346F3" w:rsidP="00802ABC">
            <w:pPr>
              <w:spacing w:after="60"/>
              <w:rPr>
                <w:rFonts w:ascii="Times New Roman" w:hAnsi="Times New Roman"/>
                <w:sz w:val="20"/>
                <w:szCs w:val="20"/>
              </w:rPr>
            </w:pPr>
            <w:r w:rsidRPr="00536CFD">
              <w:rPr>
                <w:rFonts w:ascii="Times New Roman" w:hAnsi="Times New Roman"/>
                <w:sz w:val="20"/>
                <w:szCs w:val="20"/>
              </w:rPr>
              <w:t>NR-U settings: 4Tx2Rx in DL, Cross-polarized. MCS=4/16/64/256QAM, scheduling: proportional fair, link adaptation realistic, ED=-72 dBm, CP=Normal, SCS=30KHz, TXOP=4 ms, UE Capability #1, MCS: DL{15,63} and UL{15,1023}, COT sharing enabled, COT details: flexible DL/UL only and mixed DL/UL based on traffic needs, 3/11 DL control/data symbols, 3/11 symbols UL control/data.</w:t>
            </w:r>
          </w:p>
        </w:tc>
      </w:tr>
    </w:tbl>
    <w:p w14:paraId="44242B81" w14:textId="77777777" w:rsidR="004346F3" w:rsidRPr="00C64ECB" w:rsidRDefault="004346F3" w:rsidP="004346F3"/>
    <w:p w14:paraId="3AA5DAD1" w14:textId="77777777" w:rsidR="004346F3" w:rsidRPr="00C64ECB" w:rsidRDefault="004346F3" w:rsidP="003A0B03">
      <w:pPr>
        <w:pStyle w:val="TH"/>
        <w:pageBreakBefore/>
      </w:pPr>
      <w:r w:rsidRPr="00C64ECB">
        <w:t>Table B.2.1-2: Wi-Fi and NR-U coexistence evaluation (20MHz/FTP traffic) with &amp; without NR-U PD (@-82)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0"/>
        <w:gridCol w:w="651"/>
        <w:gridCol w:w="475"/>
        <w:gridCol w:w="1089"/>
        <w:gridCol w:w="1181"/>
        <w:gridCol w:w="574"/>
        <w:gridCol w:w="516"/>
        <w:gridCol w:w="416"/>
        <w:gridCol w:w="590"/>
        <w:gridCol w:w="556"/>
        <w:gridCol w:w="563"/>
        <w:gridCol w:w="648"/>
        <w:gridCol w:w="350"/>
        <w:gridCol w:w="273"/>
        <w:gridCol w:w="1259"/>
      </w:tblGrid>
      <w:tr w:rsidR="004346F3" w:rsidRPr="00536CFD" w14:paraId="2A4F5612" w14:textId="77777777" w:rsidTr="00536CFD">
        <w:trPr>
          <w:cantSplit/>
          <w:trHeight w:val="22"/>
        </w:trPr>
        <w:tc>
          <w:tcPr>
            <w:tcW w:w="0" w:type="auto"/>
            <w:gridSpan w:val="15"/>
          </w:tcPr>
          <w:p w14:paraId="07C84D6F" w14:textId="77777777" w:rsidR="004346F3" w:rsidRPr="00536CFD" w:rsidRDefault="004346F3" w:rsidP="00536CFD">
            <w:pPr>
              <w:spacing w:after="0"/>
              <w:jc w:val="center"/>
              <w:rPr>
                <w:u w:val="single"/>
              </w:rPr>
            </w:pPr>
            <w:r w:rsidRPr="00536CFD">
              <w:t>Evaluation results of NR-U in an NR-U + NR-U coexistence in outdoor scenario 1</w:t>
            </w:r>
          </w:p>
        </w:tc>
      </w:tr>
      <w:tr w:rsidR="004346F3" w:rsidRPr="00536CFD" w14:paraId="5F25A5EB" w14:textId="77777777" w:rsidTr="00536CFD">
        <w:trPr>
          <w:cantSplit/>
          <w:trHeight w:val="22"/>
        </w:trPr>
        <w:tc>
          <w:tcPr>
            <w:tcW w:w="0" w:type="auto"/>
            <w:vMerge w:val="restart"/>
            <w:textDirection w:val="btLr"/>
          </w:tcPr>
          <w:p w14:paraId="6E2B5145" w14:textId="23A726BE" w:rsidR="004346F3" w:rsidRPr="00536CFD" w:rsidRDefault="004346F3" w:rsidP="00536CFD">
            <w:pPr>
              <w:spacing w:after="0"/>
              <w:ind w:left="113" w:right="113"/>
              <w:jc w:val="center"/>
            </w:pPr>
            <w:r w:rsidRPr="00536CFD">
              <w:t>Tdoc /Source</w:t>
            </w:r>
          </w:p>
        </w:tc>
        <w:tc>
          <w:tcPr>
            <w:tcW w:w="0" w:type="auto"/>
            <w:gridSpan w:val="2"/>
            <w:vMerge w:val="restart"/>
          </w:tcPr>
          <w:p w14:paraId="0ED9B9DB" w14:textId="77777777" w:rsidR="004346F3" w:rsidRPr="00536CFD" w:rsidRDefault="004346F3" w:rsidP="00536CFD">
            <w:pPr>
              <w:spacing w:after="0"/>
              <w:jc w:val="center"/>
            </w:pPr>
          </w:p>
          <w:p w14:paraId="51BBCEB7" w14:textId="77777777" w:rsidR="004346F3" w:rsidRPr="00536CFD" w:rsidRDefault="004346F3" w:rsidP="00536CFD">
            <w:pPr>
              <w:spacing w:after="0"/>
              <w:jc w:val="center"/>
            </w:pPr>
            <w:r w:rsidRPr="00536CFD">
              <w:t>Reported parameters</w:t>
            </w:r>
          </w:p>
        </w:tc>
        <w:tc>
          <w:tcPr>
            <w:tcW w:w="0" w:type="auto"/>
            <w:gridSpan w:val="2"/>
          </w:tcPr>
          <w:p w14:paraId="2CF61940" w14:textId="77777777" w:rsidR="004346F3" w:rsidRPr="00536CFD" w:rsidRDefault="004346F3" w:rsidP="00536CFD">
            <w:pPr>
              <w:spacing w:after="0"/>
              <w:jc w:val="center"/>
              <w:rPr>
                <w:u w:val="single"/>
              </w:rPr>
            </w:pPr>
            <w:r w:rsidRPr="00536CFD">
              <w:rPr>
                <w:u w:val="single"/>
              </w:rPr>
              <w:t>Low load</w:t>
            </w:r>
          </w:p>
          <w:p w14:paraId="78336CC3" w14:textId="77777777" w:rsidR="004346F3" w:rsidRPr="00536CFD" w:rsidRDefault="004346F3" w:rsidP="00536CFD">
            <w:pPr>
              <w:spacing w:after="0"/>
              <w:jc w:val="center"/>
              <w:rPr>
                <w:u w:val="single"/>
              </w:rPr>
            </w:pPr>
            <w:r w:rsidRPr="00536CFD">
              <w:t xml:space="preserve">BO range for NR-U in </w:t>
            </w:r>
            <w:r w:rsidRPr="00536CFD">
              <w:br/>
              <w:t xml:space="preserve">NR-U + Wi-Fi, with NR-U uses ED = -72dBm: </w:t>
            </w:r>
            <w:r w:rsidRPr="00536CFD">
              <w:rPr>
                <w:rFonts w:eastAsia="MS Mincho"/>
              </w:rPr>
              <w:t>10%~25%</w:t>
            </w:r>
          </w:p>
        </w:tc>
        <w:tc>
          <w:tcPr>
            <w:tcW w:w="0" w:type="auto"/>
            <w:gridSpan w:val="5"/>
          </w:tcPr>
          <w:p w14:paraId="67E05DBD" w14:textId="77777777" w:rsidR="004346F3" w:rsidRPr="00536CFD" w:rsidRDefault="004346F3" w:rsidP="00536CFD">
            <w:pPr>
              <w:spacing w:after="0"/>
              <w:jc w:val="center"/>
              <w:rPr>
                <w:u w:val="single"/>
              </w:rPr>
            </w:pPr>
            <w:r w:rsidRPr="00536CFD">
              <w:rPr>
                <w:u w:val="single"/>
              </w:rPr>
              <w:t>Medium load</w:t>
            </w:r>
          </w:p>
          <w:p w14:paraId="257900E4" w14:textId="77777777" w:rsidR="004346F3" w:rsidRPr="00536CFD" w:rsidRDefault="004346F3" w:rsidP="00536CFD">
            <w:pPr>
              <w:spacing w:after="0"/>
              <w:jc w:val="center"/>
              <w:rPr>
                <w:u w:val="single"/>
              </w:rPr>
            </w:pPr>
            <w:r w:rsidRPr="00536CFD">
              <w:t xml:space="preserve">BO range for NR-U in </w:t>
            </w:r>
            <w:r w:rsidRPr="00536CFD">
              <w:br/>
              <w:t xml:space="preserve">NR-U + Wi-Fi, with NR-U uses ED = -72dBm: </w:t>
            </w:r>
            <w:r w:rsidRPr="00536CFD">
              <w:rPr>
                <w:rFonts w:eastAsia="MS Mincho"/>
              </w:rPr>
              <w:t>35%~50%</w:t>
            </w:r>
          </w:p>
        </w:tc>
        <w:tc>
          <w:tcPr>
            <w:tcW w:w="0" w:type="auto"/>
            <w:gridSpan w:val="5"/>
          </w:tcPr>
          <w:p w14:paraId="2E23ED84" w14:textId="77777777" w:rsidR="004346F3" w:rsidRPr="00536CFD" w:rsidRDefault="004346F3" w:rsidP="00536CFD">
            <w:pPr>
              <w:spacing w:after="0"/>
              <w:jc w:val="center"/>
              <w:rPr>
                <w:u w:val="single"/>
              </w:rPr>
            </w:pPr>
            <w:r w:rsidRPr="00536CFD">
              <w:rPr>
                <w:u w:val="single"/>
              </w:rPr>
              <w:t>High load</w:t>
            </w:r>
          </w:p>
          <w:p w14:paraId="335BADC1" w14:textId="77777777" w:rsidR="004346F3" w:rsidRPr="00536CFD" w:rsidRDefault="004346F3" w:rsidP="00536CFD">
            <w:pPr>
              <w:spacing w:after="0"/>
              <w:jc w:val="center"/>
              <w:rPr>
                <w:u w:val="single"/>
              </w:rPr>
            </w:pPr>
            <w:r w:rsidRPr="00536CFD">
              <w:t xml:space="preserve">BO range for NR-U in </w:t>
            </w:r>
            <w:r w:rsidRPr="00536CFD">
              <w:br/>
              <w:t>NR-U + Wi-Fi, with NR-U uses ED = -72dBm: above 55%</w:t>
            </w:r>
          </w:p>
        </w:tc>
      </w:tr>
      <w:tr w:rsidR="004346F3" w:rsidRPr="00536CFD" w14:paraId="70FDB900" w14:textId="77777777" w:rsidTr="00536CFD">
        <w:trPr>
          <w:cantSplit/>
          <w:trHeight w:val="22"/>
        </w:trPr>
        <w:tc>
          <w:tcPr>
            <w:tcW w:w="0" w:type="auto"/>
            <w:vMerge/>
          </w:tcPr>
          <w:p w14:paraId="425B1C49" w14:textId="77777777" w:rsidR="004346F3" w:rsidRPr="00536CFD" w:rsidRDefault="004346F3" w:rsidP="00536CFD">
            <w:pPr>
              <w:spacing w:after="0"/>
              <w:jc w:val="center"/>
            </w:pPr>
          </w:p>
        </w:tc>
        <w:tc>
          <w:tcPr>
            <w:tcW w:w="0" w:type="auto"/>
            <w:gridSpan w:val="2"/>
            <w:vMerge/>
          </w:tcPr>
          <w:p w14:paraId="3C58F649" w14:textId="77777777" w:rsidR="004346F3" w:rsidRPr="00536CFD" w:rsidRDefault="004346F3" w:rsidP="00536CFD">
            <w:pPr>
              <w:spacing w:after="0"/>
              <w:jc w:val="center"/>
            </w:pPr>
          </w:p>
        </w:tc>
        <w:tc>
          <w:tcPr>
            <w:tcW w:w="0" w:type="auto"/>
          </w:tcPr>
          <w:p w14:paraId="3BED1939" w14:textId="77777777" w:rsidR="004346F3" w:rsidRPr="00536CFD" w:rsidRDefault="004346F3" w:rsidP="00536CFD">
            <w:pPr>
              <w:spacing w:after="0"/>
              <w:jc w:val="center"/>
            </w:pPr>
            <w:r w:rsidRPr="00536CFD">
              <w:t>NR-U in NR-U + NR-U, with NR-U uses ED = -72dBm</w:t>
            </w:r>
          </w:p>
          <w:p w14:paraId="11ED7D38" w14:textId="77777777" w:rsidR="004346F3" w:rsidRPr="00536CFD" w:rsidRDefault="004346F3" w:rsidP="00536CFD">
            <w:pPr>
              <w:spacing w:after="0"/>
              <w:jc w:val="center"/>
            </w:pPr>
          </w:p>
        </w:tc>
        <w:tc>
          <w:tcPr>
            <w:tcW w:w="0" w:type="auto"/>
          </w:tcPr>
          <w:p w14:paraId="5EE99B31" w14:textId="77777777" w:rsidR="004346F3" w:rsidRPr="00536CFD" w:rsidRDefault="004346F3" w:rsidP="00536CFD">
            <w:pPr>
              <w:spacing w:after="0"/>
              <w:jc w:val="center"/>
            </w:pPr>
            <w:r w:rsidRPr="00536CFD">
              <w:t>NR-U in NR-U + NR-U, with NR-U uses preamble</w:t>
            </w:r>
          </w:p>
          <w:p w14:paraId="42F39C70" w14:textId="77777777" w:rsidR="004346F3" w:rsidRPr="00536CFD" w:rsidRDefault="004346F3" w:rsidP="00536CFD">
            <w:pPr>
              <w:spacing w:after="0"/>
              <w:jc w:val="center"/>
            </w:pPr>
          </w:p>
        </w:tc>
        <w:tc>
          <w:tcPr>
            <w:tcW w:w="0" w:type="auto"/>
            <w:gridSpan w:val="2"/>
          </w:tcPr>
          <w:p w14:paraId="16C55546" w14:textId="77777777" w:rsidR="004346F3" w:rsidRPr="00536CFD" w:rsidRDefault="004346F3" w:rsidP="00536CFD">
            <w:pPr>
              <w:spacing w:after="0"/>
              <w:jc w:val="center"/>
            </w:pPr>
            <w:r w:rsidRPr="00536CFD">
              <w:t>NR-U in NR-U + NR-U, with NR-U uses ED = -72dBm</w:t>
            </w:r>
          </w:p>
          <w:p w14:paraId="2B651714" w14:textId="77777777" w:rsidR="004346F3" w:rsidRPr="00536CFD" w:rsidRDefault="004346F3" w:rsidP="00536CFD">
            <w:pPr>
              <w:spacing w:after="0"/>
              <w:jc w:val="center"/>
            </w:pPr>
          </w:p>
        </w:tc>
        <w:tc>
          <w:tcPr>
            <w:tcW w:w="0" w:type="auto"/>
            <w:gridSpan w:val="3"/>
          </w:tcPr>
          <w:p w14:paraId="60331A07" w14:textId="77777777" w:rsidR="004346F3" w:rsidRPr="00536CFD" w:rsidRDefault="004346F3" w:rsidP="00536CFD">
            <w:pPr>
              <w:spacing w:after="0"/>
              <w:jc w:val="center"/>
            </w:pPr>
            <w:r w:rsidRPr="00536CFD">
              <w:t>NR-U in NR-U + NR-U, with NR-U uses preamble</w:t>
            </w:r>
          </w:p>
          <w:p w14:paraId="237A6E7D" w14:textId="77777777" w:rsidR="004346F3" w:rsidRPr="00536CFD" w:rsidRDefault="004346F3" w:rsidP="00536CFD">
            <w:pPr>
              <w:spacing w:after="0"/>
              <w:jc w:val="center"/>
            </w:pPr>
          </w:p>
        </w:tc>
        <w:tc>
          <w:tcPr>
            <w:tcW w:w="0" w:type="auto"/>
            <w:gridSpan w:val="4"/>
          </w:tcPr>
          <w:p w14:paraId="2AED7320" w14:textId="77777777" w:rsidR="004346F3" w:rsidRPr="00536CFD" w:rsidRDefault="004346F3" w:rsidP="00536CFD">
            <w:pPr>
              <w:spacing w:after="0"/>
              <w:jc w:val="center"/>
            </w:pPr>
            <w:r w:rsidRPr="00536CFD">
              <w:t>NR-U in NR-U + NR-U, with NR-U uses ED = -72dBm</w:t>
            </w:r>
          </w:p>
          <w:p w14:paraId="72665190" w14:textId="77777777" w:rsidR="004346F3" w:rsidRPr="00536CFD" w:rsidRDefault="004346F3" w:rsidP="00536CFD">
            <w:pPr>
              <w:spacing w:after="0"/>
              <w:jc w:val="center"/>
            </w:pPr>
          </w:p>
        </w:tc>
        <w:tc>
          <w:tcPr>
            <w:tcW w:w="0" w:type="auto"/>
          </w:tcPr>
          <w:p w14:paraId="5A53F154" w14:textId="77777777" w:rsidR="004346F3" w:rsidRPr="00536CFD" w:rsidRDefault="004346F3" w:rsidP="00536CFD">
            <w:pPr>
              <w:spacing w:after="0"/>
              <w:jc w:val="center"/>
            </w:pPr>
            <w:r w:rsidRPr="00536CFD">
              <w:t>NR-U in NR-U + NR-U, with NR-U uses preamble</w:t>
            </w:r>
          </w:p>
          <w:p w14:paraId="615E12A2" w14:textId="77777777" w:rsidR="004346F3" w:rsidRPr="00536CFD" w:rsidRDefault="004346F3" w:rsidP="00536CFD">
            <w:pPr>
              <w:spacing w:after="0"/>
              <w:jc w:val="center"/>
            </w:pPr>
          </w:p>
        </w:tc>
      </w:tr>
      <w:tr w:rsidR="00536CFD" w:rsidRPr="00536CFD" w14:paraId="721C4E42" w14:textId="77777777" w:rsidTr="00536CFD">
        <w:trPr>
          <w:cantSplit/>
          <w:trHeight w:val="70"/>
        </w:trPr>
        <w:tc>
          <w:tcPr>
            <w:tcW w:w="0" w:type="auto"/>
            <w:vMerge w:val="restart"/>
            <w:textDirection w:val="btLr"/>
          </w:tcPr>
          <w:p w14:paraId="50AF2145" w14:textId="77777777" w:rsidR="004346F3" w:rsidRPr="00536CFD" w:rsidRDefault="004346F3" w:rsidP="00536CFD">
            <w:pPr>
              <w:spacing w:after="0"/>
              <w:ind w:left="113" w:right="113"/>
              <w:jc w:val="center"/>
            </w:pPr>
            <w:r w:rsidRPr="00536CFD">
              <w:t>R1-1814021 / Source 8</w:t>
            </w:r>
          </w:p>
        </w:tc>
        <w:tc>
          <w:tcPr>
            <w:tcW w:w="0" w:type="auto"/>
            <w:vMerge w:val="restart"/>
          </w:tcPr>
          <w:p w14:paraId="699C4009" w14:textId="507D37E2" w:rsidR="004346F3" w:rsidRPr="00536CFD" w:rsidRDefault="004346F3" w:rsidP="00536CFD">
            <w:pPr>
              <w:spacing w:after="0"/>
              <w:jc w:val="center"/>
            </w:pPr>
            <w:r w:rsidRPr="00536CFD">
              <w:t>DL:</w:t>
            </w:r>
          </w:p>
          <w:p w14:paraId="2A518FA8" w14:textId="77777777" w:rsidR="004346F3" w:rsidRPr="00536CFD" w:rsidRDefault="004346F3" w:rsidP="00536CFD">
            <w:pPr>
              <w:spacing w:after="0"/>
              <w:jc w:val="center"/>
            </w:pPr>
            <w:r w:rsidRPr="00536CFD">
              <w:t>UPT CDF</w:t>
            </w:r>
          </w:p>
          <w:p w14:paraId="1600F993" w14:textId="77777777" w:rsidR="004346F3" w:rsidRPr="00536CFD" w:rsidRDefault="004346F3" w:rsidP="00536CFD">
            <w:pPr>
              <w:spacing w:after="0"/>
              <w:jc w:val="center"/>
            </w:pPr>
            <w:r w:rsidRPr="00536CFD">
              <w:t>[Mbps]</w:t>
            </w:r>
          </w:p>
        </w:tc>
        <w:tc>
          <w:tcPr>
            <w:tcW w:w="0" w:type="auto"/>
          </w:tcPr>
          <w:p w14:paraId="3E733234" w14:textId="77777777" w:rsidR="004346F3" w:rsidRPr="00536CFD" w:rsidRDefault="004346F3" w:rsidP="00536CFD">
            <w:pPr>
              <w:spacing w:after="0"/>
              <w:jc w:val="center"/>
            </w:pPr>
            <w:r w:rsidRPr="00536CFD">
              <w:t>5%</w:t>
            </w:r>
          </w:p>
        </w:tc>
        <w:tc>
          <w:tcPr>
            <w:tcW w:w="0" w:type="auto"/>
          </w:tcPr>
          <w:p w14:paraId="6459B866" w14:textId="77777777" w:rsidR="004346F3" w:rsidRPr="00536CFD" w:rsidRDefault="004346F3" w:rsidP="00536CFD">
            <w:pPr>
              <w:spacing w:after="0"/>
              <w:jc w:val="center"/>
            </w:pPr>
            <w:r w:rsidRPr="00536CFD">
              <w:t>38.85</w:t>
            </w:r>
          </w:p>
        </w:tc>
        <w:tc>
          <w:tcPr>
            <w:tcW w:w="0" w:type="auto"/>
          </w:tcPr>
          <w:p w14:paraId="61041425" w14:textId="77777777" w:rsidR="004346F3" w:rsidRPr="00536CFD" w:rsidRDefault="004346F3" w:rsidP="00536CFD">
            <w:pPr>
              <w:spacing w:after="0"/>
              <w:jc w:val="center"/>
            </w:pPr>
            <w:r w:rsidRPr="00536CFD">
              <w:t>35.91</w:t>
            </w:r>
          </w:p>
        </w:tc>
        <w:tc>
          <w:tcPr>
            <w:tcW w:w="0" w:type="auto"/>
            <w:gridSpan w:val="2"/>
          </w:tcPr>
          <w:p w14:paraId="7485A947" w14:textId="77777777" w:rsidR="004346F3" w:rsidRPr="00536CFD" w:rsidRDefault="004346F3" w:rsidP="00536CFD">
            <w:pPr>
              <w:spacing w:after="0"/>
              <w:jc w:val="center"/>
            </w:pPr>
            <w:r w:rsidRPr="00536CFD">
              <w:t>31.86</w:t>
            </w:r>
          </w:p>
        </w:tc>
        <w:tc>
          <w:tcPr>
            <w:tcW w:w="0" w:type="auto"/>
            <w:gridSpan w:val="3"/>
          </w:tcPr>
          <w:p w14:paraId="46BC00D4" w14:textId="77777777" w:rsidR="004346F3" w:rsidRPr="00536CFD" w:rsidRDefault="004346F3" w:rsidP="00536CFD">
            <w:pPr>
              <w:spacing w:after="0"/>
              <w:jc w:val="center"/>
            </w:pPr>
            <w:r w:rsidRPr="00536CFD">
              <w:t>26.86</w:t>
            </w:r>
          </w:p>
        </w:tc>
        <w:tc>
          <w:tcPr>
            <w:tcW w:w="0" w:type="auto"/>
            <w:gridSpan w:val="4"/>
          </w:tcPr>
          <w:p w14:paraId="35789E8E" w14:textId="77777777" w:rsidR="004346F3" w:rsidRPr="00536CFD" w:rsidRDefault="004346F3" w:rsidP="00536CFD">
            <w:pPr>
              <w:spacing w:after="0"/>
              <w:jc w:val="center"/>
            </w:pPr>
            <w:r w:rsidRPr="00536CFD">
              <w:t>25.32</w:t>
            </w:r>
          </w:p>
        </w:tc>
        <w:tc>
          <w:tcPr>
            <w:tcW w:w="0" w:type="auto"/>
          </w:tcPr>
          <w:p w14:paraId="6F6789BF" w14:textId="77777777" w:rsidR="004346F3" w:rsidRPr="00536CFD" w:rsidRDefault="004346F3" w:rsidP="00536CFD">
            <w:pPr>
              <w:spacing w:after="0"/>
              <w:jc w:val="center"/>
            </w:pPr>
            <w:r w:rsidRPr="00536CFD">
              <w:t>13.87</w:t>
            </w:r>
          </w:p>
        </w:tc>
      </w:tr>
      <w:tr w:rsidR="00536CFD" w:rsidRPr="00536CFD" w14:paraId="71D87329" w14:textId="77777777" w:rsidTr="00536CFD">
        <w:trPr>
          <w:cantSplit/>
          <w:trHeight w:val="22"/>
        </w:trPr>
        <w:tc>
          <w:tcPr>
            <w:tcW w:w="0" w:type="auto"/>
            <w:vMerge/>
          </w:tcPr>
          <w:p w14:paraId="42F32D24" w14:textId="77777777" w:rsidR="004346F3" w:rsidRPr="00536CFD" w:rsidRDefault="004346F3" w:rsidP="00536CFD">
            <w:pPr>
              <w:spacing w:after="0"/>
              <w:jc w:val="center"/>
            </w:pPr>
          </w:p>
        </w:tc>
        <w:tc>
          <w:tcPr>
            <w:tcW w:w="0" w:type="auto"/>
            <w:vMerge/>
          </w:tcPr>
          <w:p w14:paraId="06179EF7" w14:textId="77777777" w:rsidR="004346F3" w:rsidRPr="00536CFD" w:rsidRDefault="004346F3" w:rsidP="00536CFD">
            <w:pPr>
              <w:spacing w:after="0"/>
              <w:jc w:val="center"/>
            </w:pPr>
          </w:p>
        </w:tc>
        <w:tc>
          <w:tcPr>
            <w:tcW w:w="0" w:type="auto"/>
          </w:tcPr>
          <w:p w14:paraId="533A17E3" w14:textId="77777777" w:rsidR="004346F3" w:rsidRPr="00536CFD" w:rsidRDefault="004346F3" w:rsidP="00536CFD">
            <w:pPr>
              <w:spacing w:after="0"/>
              <w:jc w:val="center"/>
            </w:pPr>
            <w:r w:rsidRPr="00536CFD">
              <w:t>50%</w:t>
            </w:r>
          </w:p>
        </w:tc>
        <w:tc>
          <w:tcPr>
            <w:tcW w:w="0" w:type="auto"/>
          </w:tcPr>
          <w:p w14:paraId="76B3351B" w14:textId="77777777" w:rsidR="004346F3" w:rsidRPr="00536CFD" w:rsidRDefault="004346F3" w:rsidP="00536CFD">
            <w:pPr>
              <w:spacing w:after="0"/>
              <w:jc w:val="center"/>
            </w:pPr>
            <w:r w:rsidRPr="00536CFD">
              <w:t>93.10</w:t>
            </w:r>
          </w:p>
        </w:tc>
        <w:tc>
          <w:tcPr>
            <w:tcW w:w="0" w:type="auto"/>
          </w:tcPr>
          <w:p w14:paraId="54093E40" w14:textId="77777777" w:rsidR="004346F3" w:rsidRPr="00536CFD" w:rsidRDefault="004346F3" w:rsidP="00536CFD">
            <w:pPr>
              <w:spacing w:after="0"/>
              <w:jc w:val="center"/>
            </w:pPr>
            <w:r w:rsidRPr="00536CFD">
              <w:t>88.38</w:t>
            </w:r>
          </w:p>
        </w:tc>
        <w:tc>
          <w:tcPr>
            <w:tcW w:w="0" w:type="auto"/>
            <w:gridSpan w:val="2"/>
          </w:tcPr>
          <w:p w14:paraId="01A5F765" w14:textId="77777777" w:rsidR="004346F3" w:rsidRPr="00536CFD" w:rsidRDefault="004346F3" w:rsidP="00536CFD">
            <w:pPr>
              <w:spacing w:after="0"/>
              <w:jc w:val="center"/>
            </w:pPr>
            <w:r w:rsidRPr="00536CFD">
              <w:t>81.68</w:t>
            </w:r>
          </w:p>
        </w:tc>
        <w:tc>
          <w:tcPr>
            <w:tcW w:w="0" w:type="auto"/>
            <w:gridSpan w:val="3"/>
          </w:tcPr>
          <w:p w14:paraId="57107E82" w14:textId="77777777" w:rsidR="004346F3" w:rsidRPr="00536CFD" w:rsidRDefault="004346F3" w:rsidP="00536CFD">
            <w:pPr>
              <w:spacing w:after="0"/>
              <w:jc w:val="center"/>
            </w:pPr>
            <w:r w:rsidRPr="00536CFD">
              <w:t>72.67</w:t>
            </w:r>
          </w:p>
        </w:tc>
        <w:tc>
          <w:tcPr>
            <w:tcW w:w="0" w:type="auto"/>
            <w:gridSpan w:val="4"/>
          </w:tcPr>
          <w:p w14:paraId="2ED2307F" w14:textId="77777777" w:rsidR="004346F3" w:rsidRPr="00536CFD" w:rsidRDefault="004346F3" w:rsidP="00536CFD">
            <w:pPr>
              <w:spacing w:after="0"/>
              <w:jc w:val="center"/>
            </w:pPr>
            <w:r w:rsidRPr="00536CFD">
              <w:t>71.41</w:t>
            </w:r>
          </w:p>
        </w:tc>
        <w:tc>
          <w:tcPr>
            <w:tcW w:w="0" w:type="auto"/>
          </w:tcPr>
          <w:p w14:paraId="509B5353" w14:textId="77777777" w:rsidR="004346F3" w:rsidRPr="00536CFD" w:rsidRDefault="004346F3" w:rsidP="00536CFD">
            <w:pPr>
              <w:spacing w:after="0"/>
              <w:jc w:val="center"/>
            </w:pPr>
            <w:r w:rsidRPr="00536CFD">
              <w:t>46.15</w:t>
            </w:r>
          </w:p>
        </w:tc>
      </w:tr>
      <w:tr w:rsidR="00536CFD" w:rsidRPr="00536CFD" w14:paraId="33AB97F0" w14:textId="77777777" w:rsidTr="00536CFD">
        <w:trPr>
          <w:cantSplit/>
          <w:trHeight w:val="22"/>
        </w:trPr>
        <w:tc>
          <w:tcPr>
            <w:tcW w:w="0" w:type="auto"/>
            <w:vMerge/>
          </w:tcPr>
          <w:p w14:paraId="17C6EE33" w14:textId="77777777" w:rsidR="004346F3" w:rsidRPr="00536CFD" w:rsidRDefault="004346F3" w:rsidP="00536CFD">
            <w:pPr>
              <w:spacing w:after="0"/>
              <w:jc w:val="center"/>
            </w:pPr>
          </w:p>
        </w:tc>
        <w:tc>
          <w:tcPr>
            <w:tcW w:w="0" w:type="auto"/>
            <w:vMerge/>
          </w:tcPr>
          <w:p w14:paraId="45ACC935" w14:textId="77777777" w:rsidR="004346F3" w:rsidRPr="00536CFD" w:rsidRDefault="004346F3" w:rsidP="00536CFD">
            <w:pPr>
              <w:spacing w:after="0"/>
              <w:jc w:val="center"/>
            </w:pPr>
          </w:p>
        </w:tc>
        <w:tc>
          <w:tcPr>
            <w:tcW w:w="0" w:type="auto"/>
          </w:tcPr>
          <w:p w14:paraId="10AFD651" w14:textId="77777777" w:rsidR="004346F3" w:rsidRPr="00536CFD" w:rsidRDefault="004346F3" w:rsidP="00536CFD">
            <w:pPr>
              <w:spacing w:after="0"/>
              <w:jc w:val="center"/>
            </w:pPr>
            <w:r w:rsidRPr="00536CFD">
              <w:t>95%</w:t>
            </w:r>
          </w:p>
        </w:tc>
        <w:tc>
          <w:tcPr>
            <w:tcW w:w="0" w:type="auto"/>
          </w:tcPr>
          <w:p w14:paraId="44BD8FA8" w14:textId="77777777" w:rsidR="004346F3" w:rsidRPr="00536CFD" w:rsidRDefault="004346F3" w:rsidP="00536CFD">
            <w:pPr>
              <w:spacing w:after="0"/>
              <w:jc w:val="center"/>
            </w:pPr>
            <w:r w:rsidRPr="00536CFD">
              <w:t>120.45</w:t>
            </w:r>
          </w:p>
        </w:tc>
        <w:tc>
          <w:tcPr>
            <w:tcW w:w="0" w:type="auto"/>
          </w:tcPr>
          <w:p w14:paraId="373CFCA5" w14:textId="77777777" w:rsidR="004346F3" w:rsidRPr="00536CFD" w:rsidRDefault="004346F3" w:rsidP="00536CFD">
            <w:pPr>
              <w:spacing w:after="0"/>
              <w:jc w:val="center"/>
            </w:pPr>
            <w:r w:rsidRPr="00536CFD">
              <w:t>118.35</w:t>
            </w:r>
          </w:p>
        </w:tc>
        <w:tc>
          <w:tcPr>
            <w:tcW w:w="0" w:type="auto"/>
            <w:gridSpan w:val="2"/>
          </w:tcPr>
          <w:p w14:paraId="39B50CE6" w14:textId="77777777" w:rsidR="004346F3" w:rsidRPr="00536CFD" w:rsidRDefault="004346F3" w:rsidP="00536CFD">
            <w:pPr>
              <w:spacing w:after="0"/>
              <w:jc w:val="center"/>
            </w:pPr>
            <w:r w:rsidRPr="00536CFD">
              <w:t>116.42</w:t>
            </w:r>
          </w:p>
        </w:tc>
        <w:tc>
          <w:tcPr>
            <w:tcW w:w="0" w:type="auto"/>
            <w:gridSpan w:val="3"/>
          </w:tcPr>
          <w:p w14:paraId="71BCADEA" w14:textId="77777777" w:rsidR="004346F3" w:rsidRPr="00536CFD" w:rsidRDefault="004346F3" w:rsidP="00536CFD">
            <w:pPr>
              <w:spacing w:after="0"/>
              <w:jc w:val="center"/>
            </w:pPr>
            <w:r w:rsidRPr="00536CFD">
              <w:t>105.82</w:t>
            </w:r>
          </w:p>
        </w:tc>
        <w:tc>
          <w:tcPr>
            <w:tcW w:w="0" w:type="auto"/>
            <w:gridSpan w:val="4"/>
          </w:tcPr>
          <w:p w14:paraId="6E68EC75" w14:textId="77777777" w:rsidR="004346F3" w:rsidRPr="00536CFD" w:rsidRDefault="004346F3" w:rsidP="00536CFD">
            <w:pPr>
              <w:spacing w:after="0"/>
              <w:jc w:val="center"/>
            </w:pPr>
            <w:r w:rsidRPr="00536CFD">
              <w:t>109.36</w:t>
            </w:r>
          </w:p>
        </w:tc>
        <w:tc>
          <w:tcPr>
            <w:tcW w:w="0" w:type="auto"/>
          </w:tcPr>
          <w:p w14:paraId="4A44277C" w14:textId="77777777" w:rsidR="004346F3" w:rsidRPr="00536CFD" w:rsidRDefault="004346F3" w:rsidP="00536CFD">
            <w:pPr>
              <w:spacing w:after="0"/>
              <w:jc w:val="center"/>
            </w:pPr>
            <w:r w:rsidRPr="00536CFD">
              <w:t>83.77</w:t>
            </w:r>
          </w:p>
        </w:tc>
      </w:tr>
      <w:tr w:rsidR="00536CFD" w:rsidRPr="00536CFD" w14:paraId="7635AB90" w14:textId="77777777" w:rsidTr="00536CFD">
        <w:trPr>
          <w:cantSplit/>
          <w:trHeight w:val="22"/>
        </w:trPr>
        <w:tc>
          <w:tcPr>
            <w:tcW w:w="0" w:type="auto"/>
            <w:vMerge/>
          </w:tcPr>
          <w:p w14:paraId="58F0AE7F" w14:textId="77777777" w:rsidR="004346F3" w:rsidRPr="00536CFD" w:rsidRDefault="004346F3" w:rsidP="00536CFD">
            <w:pPr>
              <w:spacing w:after="0"/>
              <w:jc w:val="center"/>
            </w:pPr>
          </w:p>
        </w:tc>
        <w:tc>
          <w:tcPr>
            <w:tcW w:w="0" w:type="auto"/>
            <w:vMerge/>
          </w:tcPr>
          <w:p w14:paraId="246335F3" w14:textId="77777777" w:rsidR="004346F3" w:rsidRPr="00536CFD" w:rsidRDefault="004346F3" w:rsidP="00536CFD">
            <w:pPr>
              <w:spacing w:after="0"/>
              <w:jc w:val="center"/>
            </w:pPr>
          </w:p>
        </w:tc>
        <w:tc>
          <w:tcPr>
            <w:tcW w:w="0" w:type="auto"/>
          </w:tcPr>
          <w:p w14:paraId="0D196FC4" w14:textId="77777777" w:rsidR="004346F3" w:rsidRPr="00536CFD" w:rsidRDefault="004346F3" w:rsidP="00536CFD">
            <w:pPr>
              <w:spacing w:after="0"/>
              <w:jc w:val="center"/>
            </w:pPr>
            <w:r w:rsidRPr="00536CFD">
              <w:t>Mean</w:t>
            </w:r>
          </w:p>
        </w:tc>
        <w:tc>
          <w:tcPr>
            <w:tcW w:w="0" w:type="auto"/>
          </w:tcPr>
          <w:p w14:paraId="23E1666E" w14:textId="77777777" w:rsidR="004346F3" w:rsidRPr="00536CFD" w:rsidRDefault="004346F3" w:rsidP="00536CFD">
            <w:pPr>
              <w:spacing w:after="0"/>
              <w:jc w:val="center"/>
            </w:pPr>
            <w:r w:rsidRPr="00536CFD">
              <w:t>89.65</w:t>
            </w:r>
          </w:p>
        </w:tc>
        <w:tc>
          <w:tcPr>
            <w:tcW w:w="0" w:type="auto"/>
          </w:tcPr>
          <w:p w14:paraId="19235498" w14:textId="77777777" w:rsidR="004346F3" w:rsidRPr="00536CFD" w:rsidRDefault="004346F3" w:rsidP="00536CFD">
            <w:pPr>
              <w:spacing w:after="0"/>
              <w:jc w:val="center"/>
            </w:pPr>
            <w:r w:rsidRPr="00536CFD">
              <w:t>85.97</w:t>
            </w:r>
          </w:p>
        </w:tc>
        <w:tc>
          <w:tcPr>
            <w:tcW w:w="0" w:type="auto"/>
            <w:gridSpan w:val="2"/>
          </w:tcPr>
          <w:p w14:paraId="7B70FB65" w14:textId="77777777" w:rsidR="004346F3" w:rsidRPr="00536CFD" w:rsidRDefault="004346F3" w:rsidP="00536CFD">
            <w:pPr>
              <w:spacing w:after="0"/>
              <w:jc w:val="center"/>
            </w:pPr>
            <w:r w:rsidRPr="00536CFD">
              <w:t>81.00</w:t>
            </w:r>
          </w:p>
        </w:tc>
        <w:tc>
          <w:tcPr>
            <w:tcW w:w="0" w:type="auto"/>
            <w:gridSpan w:val="3"/>
          </w:tcPr>
          <w:p w14:paraId="38694A07" w14:textId="77777777" w:rsidR="004346F3" w:rsidRPr="00536CFD" w:rsidRDefault="004346F3" w:rsidP="00536CFD">
            <w:pPr>
              <w:spacing w:after="0"/>
              <w:jc w:val="center"/>
            </w:pPr>
            <w:r w:rsidRPr="00536CFD">
              <w:t>71.29</w:t>
            </w:r>
          </w:p>
        </w:tc>
        <w:tc>
          <w:tcPr>
            <w:tcW w:w="0" w:type="auto"/>
            <w:gridSpan w:val="4"/>
          </w:tcPr>
          <w:p w14:paraId="3A49BD98" w14:textId="77777777" w:rsidR="004346F3" w:rsidRPr="00536CFD" w:rsidRDefault="004346F3" w:rsidP="00536CFD">
            <w:pPr>
              <w:spacing w:after="0"/>
              <w:jc w:val="center"/>
            </w:pPr>
            <w:r w:rsidRPr="00536CFD">
              <w:t>71.74</w:t>
            </w:r>
          </w:p>
        </w:tc>
        <w:tc>
          <w:tcPr>
            <w:tcW w:w="0" w:type="auto"/>
          </w:tcPr>
          <w:p w14:paraId="39FB3BE6" w14:textId="77777777" w:rsidR="004346F3" w:rsidRPr="00536CFD" w:rsidRDefault="004346F3" w:rsidP="00536CFD">
            <w:pPr>
              <w:spacing w:after="0"/>
              <w:jc w:val="center"/>
            </w:pPr>
            <w:r w:rsidRPr="00536CFD">
              <w:t>48.95</w:t>
            </w:r>
          </w:p>
        </w:tc>
      </w:tr>
      <w:tr w:rsidR="00536CFD" w:rsidRPr="00536CFD" w14:paraId="5E059376" w14:textId="77777777" w:rsidTr="00536CFD">
        <w:trPr>
          <w:cantSplit/>
          <w:trHeight w:val="22"/>
        </w:trPr>
        <w:tc>
          <w:tcPr>
            <w:tcW w:w="0" w:type="auto"/>
            <w:vMerge/>
          </w:tcPr>
          <w:p w14:paraId="04039852" w14:textId="77777777" w:rsidR="004346F3" w:rsidRPr="00536CFD" w:rsidRDefault="004346F3" w:rsidP="00536CFD">
            <w:pPr>
              <w:spacing w:after="0"/>
              <w:jc w:val="center"/>
            </w:pPr>
          </w:p>
        </w:tc>
        <w:tc>
          <w:tcPr>
            <w:tcW w:w="0" w:type="auto"/>
            <w:vMerge w:val="restart"/>
          </w:tcPr>
          <w:p w14:paraId="18F72F93" w14:textId="77777777" w:rsidR="004346F3" w:rsidRPr="00536CFD" w:rsidRDefault="004346F3" w:rsidP="00536CFD">
            <w:pPr>
              <w:spacing w:after="0"/>
              <w:jc w:val="center"/>
            </w:pPr>
            <w:r w:rsidRPr="00536CFD">
              <w:t>DL:</w:t>
            </w:r>
          </w:p>
          <w:p w14:paraId="5DE8CD34" w14:textId="77777777" w:rsidR="004346F3" w:rsidRPr="00536CFD" w:rsidRDefault="004346F3" w:rsidP="00536CFD">
            <w:pPr>
              <w:spacing w:after="0"/>
              <w:jc w:val="center"/>
            </w:pPr>
            <w:r w:rsidRPr="00536CFD">
              <w:t>Delay CDF</w:t>
            </w:r>
          </w:p>
          <w:p w14:paraId="47152393" w14:textId="77777777" w:rsidR="004346F3" w:rsidRPr="00536CFD" w:rsidRDefault="004346F3" w:rsidP="00536CFD">
            <w:pPr>
              <w:spacing w:after="0"/>
              <w:jc w:val="center"/>
            </w:pPr>
            <w:r w:rsidRPr="00536CFD">
              <w:t>[s]</w:t>
            </w:r>
          </w:p>
        </w:tc>
        <w:tc>
          <w:tcPr>
            <w:tcW w:w="0" w:type="auto"/>
          </w:tcPr>
          <w:p w14:paraId="11029685" w14:textId="77777777" w:rsidR="004346F3" w:rsidRPr="00536CFD" w:rsidRDefault="004346F3" w:rsidP="00536CFD">
            <w:pPr>
              <w:spacing w:after="0"/>
              <w:jc w:val="center"/>
            </w:pPr>
            <w:r w:rsidRPr="00536CFD">
              <w:t>5%</w:t>
            </w:r>
          </w:p>
        </w:tc>
        <w:tc>
          <w:tcPr>
            <w:tcW w:w="0" w:type="auto"/>
          </w:tcPr>
          <w:p w14:paraId="2B55372C" w14:textId="77777777" w:rsidR="004346F3" w:rsidRPr="00536CFD" w:rsidRDefault="004346F3" w:rsidP="00536CFD">
            <w:pPr>
              <w:spacing w:after="0"/>
              <w:jc w:val="center"/>
            </w:pPr>
            <w:r w:rsidRPr="00536CFD">
              <w:t>0.027</w:t>
            </w:r>
          </w:p>
        </w:tc>
        <w:tc>
          <w:tcPr>
            <w:tcW w:w="0" w:type="auto"/>
          </w:tcPr>
          <w:p w14:paraId="7F325811" w14:textId="77777777" w:rsidR="004346F3" w:rsidRPr="00536CFD" w:rsidRDefault="004346F3" w:rsidP="00536CFD">
            <w:pPr>
              <w:spacing w:after="0"/>
              <w:jc w:val="center"/>
            </w:pPr>
            <w:r w:rsidRPr="00536CFD">
              <w:t>0.028</w:t>
            </w:r>
          </w:p>
        </w:tc>
        <w:tc>
          <w:tcPr>
            <w:tcW w:w="0" w:type="auto"/>
            <w:gridSpan w:val="2"/>
          </w:tcPr>
          <w:p w14:paraId="49697026" w14:textId="77777777" w:rsidR="004346F3" w:rsidRPr="00536CFD" w:rsidRDefault="004346F3" w:rsidP="00536CFD">
            <w:pPr>
              <w:spacing w:after="0"/>
              <w:jc w:val="center"/>
            </w:pPr>
            <w:r w:rsidRPr="00536CFD">
              <w:t>0.029</w:t>
            </w:r>
          </w:p>
        </w:tc>
        <w:tc>
          <w:tcPr>
            <w:tcW w:w="0" w:type="auto"/>
            <w:gridSpan w:val="3"/>
          </w:tcPr>
          <w:p w14:paraId="6D0031E7" w14:textId="77777777" w:rsidR="004346F3" w:rsidRPr="00536CFD" w:rsidRDefault="004346F3" w:rsidP="00536CFD">
            <w:pPr>
              <w:spacing w:after="0"/>
              <w:jc w:val="center"/>
            </w:pPr>
            <w:r w:rsidRPr="00536CFD">
              <w:t>0.034</w:t>
            </w:r>
          </w:p>
        </w:tc>
        <w:tc>
          <w:tcPr>
            <w:tcW w:w="0" w:type="auto"/>
            <w:gridSpan w:val="4"/>
          </w:tcPr>
          <w:p w14:paraId="3B874B6D" w14:textId="77777777" w:rsidR="004346F3" w:rsidRPr="00536CFD" w:rsidRDefault="004346F3" w:rsidP="00536CFD">
            <w:pPr>
              <w:spacing w:after="0"/>
              <w:jc w:val="center"/>
            </w:pPr>
            <w:r w:rsidRPr="00536CFD">
              <w:t>0.030</w:t>
            </w:r>
          </w:p>
        </w:tc>
        <w:tc>
          <w:tcPr>
            <w:tcW w:w="0" w:type="auto"/>
          </w:tcPr>
          <w:p w14:paraId="50656CA3" w14:textId="77777777" w:rsidR="004346F3" w:rsidRPr="00536CFD" w:rsidRDefault="004346F3" w:rsidP="00536CFD">
            <w:pPr>
              <w:spacing w:after="0"/>
              <w:jc w:val="center"/>
            </w:pPr>
            <w:r w:rsidRPr="00536CFD">
              <w:t>0.046</w:t>
            </w:r>
          </w:p>
        </w:tc>
      </w:tr>
      <w:tr w:rsidR="00536CFD" w:rsidRPr="00536CFD" w14:paraId="1AF6D71C" w14:textId="77777777" w:rsidTr="00536CFD">
        <w:trPr>
          <w:cantSplit/>
          <w:trHeight w:val="22"/>
        </w:trPr>
        <w:tc>
          <w:tcPr>
            <w:tcW w:w="0" w:type="auto"/>
            <w:vMerge/>
          </w:tcPr>
          <w:p w14:paraId="16F70570" w14:textId="77777777" w:rsidR="004346F3" w:rsidRPr="00536CFD" w:rsidRDefault="004346F3" w:rsidP="00536CFD">
            <w:pPr>
              <w:spacing w:after="0"/>
              <w:jc w:val="center"/>
            </w:pPr>
          </w:p>
        </w:tc>
        <w:tc>
          <w:tcPr>
            <w:tcW w:w="0" w:type="auto"/>
            <w:vMerge/>
          </w:tcPr>
          <w:p w14:paraId="1D985EEC" w14:textId="77777777" w:rsidR="004346F3" w:rsidRPr="00536CFD" w:rsidRDefault="004346F3" w:rsidP="00536CFD">
            <w:pPr>
              <w:spacing w:after="0"/>
              <w:jc w:val="center"/>
            </w:pPr>
          </w:p>
        </w:tc>
        <w:tc>
          <w:tcPr>
            <w:tcW w:w="0" w:type="auto"/>
          </w:tcPr>
          <w:p w14:paraId="797E5747" w14:textId="77777777" w:rsidR="004346F3" w:rsidRPr="00536CFD" w:rsidRDefault="004346F3" w:rsidP="00536CFD">
            <w:pPr>
              <w:spacing w:after="0"/>
              <w:jc w:val="center"/>
            </w:pPr>
            <w:r w:rsidRPr="00536CFD">
              <w:t>50%</w:t>
            </w:r>
          </w:p>
        </w:tc>
        <w:tc>
          <w:tcPr>
            <w:tcW w:w="0" w:type="auto"/>
          </w:tcPr>
          <w:p w14:paraId="7EE72CEF" w14:textId="77777777" w:rsidR="004346F3" w:rsidRPr="00536CFD" w:rsidRDefault="004346F3" w:rsidP="00536CFD">
            <w:pPr>
              <w:spacing w:after="0"/>
              <w:jc w:val="center"/>
            </w:pPr>
            <w:r w:rsidRPr="00536CFD">
              <w:t>0.039</w:t>
            </w:r>
          </w:p>
        </w:tc>
        <w:tc>
          <w:tcPr>
            <w:tcW w:w="0" w:type="auto"/>
          </w:tcPr>
          <w:p w14:paraId="05B3CDA1" w14:textId="77777777" w:rsidR="004346F3" w:rsidRPr="00536CFD" w:rsidRDefault="004346F3" w:rsidP="00536CFD">
            <w:pPr>
              <w:spacing w:after="0"/>
              <w:jc w:val="center"/>
            </w:pPr>
            <w:r w:rsidRPr="00536CFD">
              <w:t>0.042</w:t>
            </w:r>
          </w:p>
        </w:tc>
        <w:tc>
          <w:tcPr>
            <w:tcW w:w="0" w:type="auto"/>
            <w:gridSpan w:val="2"/>
          </w:tcPr>
          <w:p w14:paraId="5DE45641" w14:textId="77777777" w:rsidR="004346F3" w:rsidRPr="00536CFD" w:rsidRDefault="004346F3" w:rsidP="00536CFD">
            <w:pPr>
              <w:spacing w:after="0"/>
              <w:jc w:val="center"/>
            </w:pPr>
            <w:r w:rsidRPr="00536CFD">
              <w:t>0.047</w:t>
            </w:r>
          </w:p>
        </w:tc>
        <w:tc>
          <w:tcPr>
            <w:tcW w:w="0" w:type="auto"/>
            <w:gridSpan w:val="3"/>
          </w:tcPr>
          <w:p w14:paraId="1BCDE15E" w14:textId="77777777" w:rsidR="004346F3" w:rsidRPr="00536CFD" w:rsidRDefault="004346F3" w:rsidP="00536CFD">
            <w:pPr>
              <w:spacing w:after="0"/>
              <w:jc w:val="center"/>
            </w:pPr>
            <w:r w:rsidRPr="00536CFD">
              <w:t>0.064</w:t>
            </w:r>
          </w:p>
        </w:tc>
        <w:tc>
          <w:tcPr>
            <w:tcW w:w="0" w:type="auto"/>
            <w:gridSpan w:val="4"/>
          </w:tcPr>
          <w:p w14:paraId="444BA040" w14:textId="77777777" w:rsidR="004346F3" w:rsidRPr="00536CFD" w:rsidRDefault="004346F3" w:rsidP="00536CFD">
            <w:pPr>
              <w:spacing w:after="0"/>
              <w:jc w:val="center"/>
            </w:pPr>
            <w:r w:rsidRPr="00536CFD">
              <w:t>0.058</w:t>
            </w:r>
          </w:p>
        </w:tc>
        <w:tc>
          <w:tcPr>
            <w:tcW w:w="0" w:type="auto"/>
          </w:tcPr>
          <w:p w14:paraId="244F8D92" w14:textId="77777777" w:rsidR="004346F3" w:rsidRPr="00536CFD" w:rsidRDefault="004346F3" w:rsidP="00536CFD">
            <w:pPr>
              <w:spacing w:after="0"/>
              <w:jc w:val="center"/>
            </w:pPr>
            <w:r w:rsidRPr="00536CFD">
              <w:t>0.201</w:t>
            </w:r>
          </w:p>
        </w:tc>
      </w:tr>
      <w:tr w:rsidR="00536CFD" w:rsidRPr="00536CFD" w14:paraId="304AB2F8" w14:textId="77777777" w:rsidTr="00536CFD">
        <w:trPr>
          <w:cantSplit/>
          <w:trHeight w:val="22"/>
        </w:trPr>
        <w:tc>
          <w:tcPr>
            <w:tcW w:w="0" w:type="auto"/>
            <w:vMerge/>
          </w:tcPr>
          <w:p w14:paraId="0AA70213" w14:textId="77777777" w:rsidR="004346F3" w:rsidRPr="00536CFD" w:rsidRDefault="004346F3" w:rsidP="00536CFD">
            <w:pPr>
              <w:spacing w:after="0"/>
              <w:jc w:val="center"/>
            </w:pPr>
          </w:p>
        </w:tc>
        <w:tc>
          <w:tcPr>
            <w:tcW w:w="0" w:type="auto"/>
            <w:vMerge/>
          </w:tcPr>
          <w:p w14:paraId="44074F85" w14:textId="77777777" w:rsidR="004346F3" w:rsidRPr="00536CFD" w:rsidRDefault="004346F3" w:rsidP="00536CFD">
            <w:pPr>
              <w:spacing w:after="0"/>
              <w:jc w:val="center"/>
            </w:pPr>
          </w:p>
        </w:tc>
        <w:tc>
          <w:tcPr>
            <w:tcW w:w="0" w:type="auto"/>
          </w:tcPr>
          <w:p w14:paraId="67827921" w14:textId="77777777" w:rsidR="004346F3" w:rsidRPr="00536CFD" w:rsidRDefault="004346F3" w:rsidP="00536CFD">
            <w:pPr>
              <w:spacing w:after="0"/>
              <w:jc w:val="center"/>
            </w:pPr>
            <w:r w:rsidRPr="00536CFD">
              <w:t>95%</w:t>
            </w:r>
          </w:p>
        </w:tc>
        <w:tc>
          <w:tcPr>
            <w:tcW w:w="0" w:type="auto"/>
          </w:tcPr>
          <w:p w14:paraId="136DE2B3" w14:textId="77777777" w:rsidR="004346F3" w:rsidRPr="00536CFD" w:rsidRDefault="004346F3" w:rsidP="00536CFD">
            <w:pPr>
              <w:spacing w:after="0"/>
              <w:jc w:val="center"/>
            </w:pPr>
            <w:r w:rsidRPr="00536CFD">
              <w:t>0.089</w:t>
            </w:r>
          </w:p>
        </w:tc>
        <w:tc>
          <w:tcPr>
            <w:tcW w:w="0" w:type="auto"/>
          </w:tcPr>
          <w:p w14:paraId="799E9C3B" w14:textId="77777777" w:rsidR="004346F3" w:rsidRPr="00536CFD" w:rsidRDefault="004346F3" w:rsidP="00536CFD">
            <w:pPr>
              <w:spacing w:after="0"/>
              <w:jc w:val="center"/>
            </w:pPr>
            <w:r w:rsidRPr="00536CFD">
              <w:t>0.102</w:t>
            </w:r>
          </w:p>
        </w:tc>
        <w:tc>
          <w:tcPr>
            <w:tcW w:w="0" w:type="auto"/>
            <w:gridSpan w:val="2"/>
          </w:tcPr>
          <w:p w14:paraId="54DC6DE8" w14:textId="77777777" w:rsidR="004346F3" w:rsidRPr="00536CFD" w:rsidRDefault="004346F3" w:rsidP="00536CFD">
            <w:pPr>
              <w:spacing w:after="0"/>
              <w:jc w:val="center"/>
            </w:pPr>
            <w:r w:rsidRPr="00536CFD">
              <w:t>0.118</w:t>
            </w:r>
          </w:p>
        </w:tc>
        <w:tc>
          <w:tcPr>
            <w:tcW w:w="0" w:type="auto"/>
            <w:gridSpan w:val="3"/>
          </w:tcPr>
          <w:p w14:paraId="27713B78" w14:textId="77777777" w:rsidR="004346F3" w:rsidRPr="00536CFD" w:rsidRDefault="004346F3" w:rsidP="00536CFD">
            <w:pPr>
              <w:spacing w:after="0"/>
              <w:jc w:val="center"/>
            </w:pPr>
            <w:r w:rsidRPr="00536CFD">
              <w:t>0.276</w:t>
            </w:r>
          </w:p>
        </w:tc>
        <w:tc>
          <w:tcPr>
            <w:tcW w:w="0" w:type="auto"/>
            <w:gridSpan w:val="4"/>
          </w:tcPr>
          <w:p w14:paraId="3E032A6F" w14:textId="77777777" w:rsidR="004346F3" w:rsidRPr="00536CFD" w:rsidRDefault="004346F3" w:rsidP="00536CFD">
            <w:pPr>
              <w:spacing w:after="0"/>
              <w:jc w:val="center"/>
            </w:pPr>
            <w:r w:rsidRPr="00536CFD">
              <w:t>0.160</w:t>
            </w:r>
          </w:p>
        </w:tc>
        <w:tc>
          <w:tcPr>
            <w:tcW w:w="0" w:type="auto"/>
          </w:tcPr>
          <w:p w14:paraId="1A7FB4E0" w14:textId="77777777" w:rsidR="004346F3" w:rsidRPr="00536CFD" w:rsidRDefault="004346F3" w:rsidP="00536CFD">
            <w:pPr>
              <w:spacing w:after="0"/>
              <w:jc w:val="center"/>
            </w:pPr>
            <w:r w:rsidRPr="00536CFD">
              <w:t>1.441</w:t>
            </w:r>
          </w:p>
        </w:tc>
      </w:tr>
      <w:tr w:rsidR="00536CFD" w:rsidRPr="00536CFD" w14:paraId="4D0D6A14" w14:textId="77777777" w:rsidTr="00536CFD">
        <w:trPr>
          <w:cantSplit/>
          <w:trHeight w:val="22"/>
        </w:trPr>
        <w:tc>
          <w:tcPr>
            <w:tcW w:w="0" w:type="auto"/>
            <w:vMerge/>
          </w:tcPr>
          <w:p w14:paraId="3CC09369" w14:textId="77777777" w:rsidR="004346F3" w:rsidRPr="00536CFD" w:rsidRDefault="004346F3" w:rsidP="00536CFD">
            <w:pPr>
              <w:spacing w:after="0"/>
              <w:jc w:val="center"/>
            </w:pPr>
          </w:p>
        </w:tc>
        <w:tc>
          <w:tcPr>
            <w:tcW w:w="0" w:type="auto"/>
            <w:vMerge/>
          </w:tcPr>
          <w:p w14:paraId="42E3E947" w14:textId="77777777" w:rsidR="004346F3" w:rsidRPr="00536CFD" w:rsidRDefault="004346F3" w:rsidP="00536CFD">
            <w:pPr>
              <w:spacing w:after="0"/>
              <w:jc w:val="center"/>
            </w:pPr>
          </w:p>
        </w:tc>
        <w:tc>
          <w:tcPr>
            <w:tcW w:w="0" w:type="auto"/>
          </w:tcPr>
          <w:p w14:paraId="3C79233B" w14:textId="77777777" w:rsidR="004346F3" w:rsidRPr="00536CFD" w:rsidRDefault="004346F3" w:rsidP="00536CFD">
            <w:pPr>
              <w:spacing w:after="0"/>
              <w:jc w:val="center"/>
            </w:pPr>
            <w:r w:rsidRPr="00536CFD">
              <w:t>Mean</w:t>
            </w:r>
          </w:p>
        </w:tc>
        <w:tc>
          <w:tcPr>
            <w:tcW w:w="0" w:type="auto"/>
          </w:tcPr>
          <w:p w14:paraId="0E49717E" w14:textId="77777777" w:rsidR="004346F3" w:rsidRPr="00536CFD" w:rsidRDefault="004346F3" w:rsidP="00536CFD">
            <w:pPr>
              <w:spacing w:after="0"/>
              <w:jc w:val="center"/>
            </w:pPr>
            <w:r w:rsidRPr="00536CFD">
              <w:t>0.048</w:t>
            </w:r>
          </w:p>
        </w:tc>
        <w:tc>
          <w:tcPr>
            <w:tcW w:w="0" w:type="auto"/>
          </w:tcPr>
          <w:p w14:paraId="3293A732" w14:textId="77777777" w:rsidR="004346F3" w:rsidRPr="00536CFD" w:rsidRDefault="004346F3" w:rsidP="00536CFD">
            <w:pPr>
              <w:spacing w:after="0"/>
              <w:jc w:val="center"/>
            </w:pPr>
            <w:r w:rsidRPr="00536CFD">
              <w:t>0.053</w:t>
            </w:r>
          </w:p>
        </w:tc>
        <w:tc>
          <w:tcPr>
            <w:tcW w:w="0" w:type="auto"/>
            <w:gridSpan w:val="2"/>
          </w:tcPr>
          <w:p w14:paraId="6581FA62" w14:textId="77777777" w:rsidR="004346F3" w:rsidRPr="00536CFD" w:rsidRDefault="004346F3" w:rsidP="00536CFD">
            <w:pPr>
              <w:spacing w:after="0"/>
              <w:jc w:val="center"/>
            </w:pPr>
            <w:r w:rsidRPr="00536CFD">
              <w:t>0.059</w:t>
            </w:r>
          </w:p>
        </w:tc>
        <w:tc>
          <w:tcPr>
            <w:tcW w:w="0" w:type="auto"/>
            <w:gridSpan w:val="3"/>
          </w:tcPr>
          <w:p w14:paraId="466F7DE8" w14:textId="77777777" w:rsidR="004346F3" w:rsidRPr="00536CFD" w:rsidRDefault="004346F3" w:rsidP="00536CFD">
            <w:pPr>
              <w:spacing w:after="0"/>
              <w:jc w:val="center"/>
            </w:pPr>
            <w:r w:rsidRPr="00536CFD">
              <w:t>0.110</w:t>
            </w:r>
          </w:p>
        </w:tc>
        <w:tc>
          <w:tcPr>
            <w:tcW w:w="0" w:type="auto"/>
            <w:gridSpan w:val="4"/>
          </w:tcPr>
          <w:p w14:paraId="3E3E143C" w14:textId="77777777" w:rsidR="004346F3" w:rsidRPr="00536CFD" w:rsidRDefault="004346F3" w:rsidP="00536CFD">
            <w:pPr>
              <w:spacing w:after="0"/>
              <w:jc w:val="center"/>
            </w:pPr>
            <w:r w:rsidRPr="00536CFD">
              <w:t>0.076</w:t>
            </w:r>
          </w:p>
        </w:tc>
        <w:tc>
          <w:tcPr>
            <w:tcW w:w="0" w:type="auto"/>
          </w:tcPr>
          <w:p w14:paraId="6E9B0B4D" w14:textId="77777777" w:rsidR="004346F3" w:rsidRPr="00536CFD" w:rsidRDefault="004346F3" w:rsidP="00536CFD">
            <w:pPr>
              <w:spacing w:after="0"/>
              <w:jc w:val="center"/>
            </w:pPr>
            <w:r w:rsidRPr="00536CFD">
              <w:t>0.445</w:t>
            </w:r>
          </w:p>
        </w:tc>
      </w:tr>
      <w:tr w:rsidR="00536CFD" w:rsidRPr="00536CFD" w14:paraId="5CC7F15A" w14:textId="77777777" w:rsidTr="00536CFD">
        <w:trPr>
          <w:cantSplit/>
          <w:trHeight w:val="22"/>
        </w:trPr>
        <w:tc>
          <w:tcPr>
            <w:tcW w:w="0" w:type="auto"/>
            <w:vMerge/>
          </w:tcPr>
          <w:p w14:paraId="16AB6AB1" w14:textId="77777777" w:rsidR="004346F3" w:rsidRPr="00536CFD" w:rsidRDefault="004346F3" w:rsidP="00536CFD">
            <w:pPr>
              <w:spacing w:after="0"/>
              <w:jc w:val="center"/>
            </w:pPr>
          </w:p>
        </w:tc>
        <w:tc>
          <w:tcPr>
            <w:tcW w:w="0" w:type="auto"/>
            <w:vMerge w:val="restart"/>
          </w:tcPr>
          <w:p w14:paraId="4928D195" w14:textId="77777777" w:rsidR="004346F3" w:rsidRPr="00536CFD" w:rsidRDefault="004346F3" w:rsidP="00536CFD">
            <w:pPr>
              <w:spacing w:after="0"/>
              <w:jc w:val="center"/>
            </w:pPr>
            <w:r w:rsidRPr="00536CFD">
              <w:t>UL:</w:t>
            </w:r>
          </w:p>
          <w:p w14:paraId="3DFD0D55" w14:textId="77777777" w:rsidR="004346F3" w:rsidRPr="00536CFD" w:rsidRDefault="004346F3" w:rsidP="00536CFD">
            <w:pPr>
              <w:spacing w:after="0"/>
              <w:jc w:val="center"/>
            </w:pPr>
            <w:r w:rsidRPr="00536CFD">
              <w:t>UPT CDF</w:t>
            </w:r>
          </w:p>
          <w:p w14:paraId="2FF5454E" w14:textId="77777777" w:rsidR="004346F3" w:rsidRPr="00536CFD" w:rsidRDefault="004346F3" w:rsidP="00536CFD">
            <w:pPr>
              <w:spacing w:after="0"/>
              <w:jc w:val="center"/>
            </w:pPr>
            <w:r w:rsidRPr="00536CFD">
              <w:t>[Mbps]</w:t>
            </w:r>
          </w:p>
        </w:tc>
        <w:tc>
          <w:tcPr>
            <w:tcW w:w="0" w:type="auto"/>
          </w:tcPr>
          <w:p w14:paraId="6F70897D" w14:textId="77777777" w:rsidR="004346F3" w:rsidRPr="00536CFD" w:rsidRDefault="004346F3" w:rsidP="00536CFD">
            <w:pPr>
              <w:spacing w:after="0"/>
              <w:jc w:val="center"/>
            </w:pPr>
            <w:r w:rsidRPr="00536CFD">
              <w:t>5%</w:t>
            </w:r>
          </w:p>
        </w:tc>
        <w:tc>
          <w:tcPr>
            <w:tcW w:w="0" w:type="auto"/>
          </w:tcPr>
          <w:p w14:paraId="4B577D8A" w14:textId="77777777" w:rsidR="004346F3" w:rsidRPr="00536CFD" w:rsidRDefault="004346F3" w:rsidP="00536CFD">
            <w:pPr>
              <w:spacing w:after="0"/>
              <w:jc w:val="center"/>
            </w:pPr>
            <w:r w:rsidRPr="00536CFD">
              <w:t>25.35</w:t>
            </w:r>
          </w:p>
        </w:tc>
        <w:tc>
          <w:tcPr>
            <w:tcW w:w="0" w:type="auto"/>
          </w:tcPr>
          <w:p w14:paraId="7677FE28" w14:textId="77777777" w:rsidR="004346F3" w:rsidRPr="00536CFD" w:rsidRDefault="004346F3" w:rsidP="00536CFD">
            <w:pPr>
              <w:spacing w:after="0"/>
              <w:jc w:val="center"/>
            </w:pPr>
            <w:r w:rsidRPr="00536CFD">
              <w:t>24.11</w:t>
            </w:r>
          </w:p>
        </w:tc>
        <w:tc>
          <w:tcPr>
            <w:tcW w:w="0" w:type="auto"/>
            <w:gridSpan w:val="2"/>
          </w:tcPr>
          <w:p w14:paraId="745E3B5D" w14:textId="77777777" w:rsidR="004346F3" w:rsidRPr="00536CFD" w:rsidRDefault="004346F3" w:rsidP="00536CFD">
            <w:pPr>
              <w:spacing w:after="0"/>
              <w:jc w:val="center"/>
            </w:pPr>
            <w:r w:rsidRPr="00536CFD">
              <w:t>18.14</w:t>
            </w:r>
          </w:p>
        </w:tc>
        <w:tc>
          <w:tcPr>
            <w:tcW w:w="0" w:type="auto"/>
            <w:gridSpan w:val="3"/>
          </w:tcPr>
          <w:p w14:paraId="5E186248" w14:textId="77777777" w:rsidR="004346F3" w:rsidRPr="00536CFD" w:rsidRDefault="004346F3" w:rsidP="00536CFD">
            <w:pPr>
              <w:spacing w:after="0"/>
              <w:jc w:val="center"/>
            </w:pPr>
            <w:r w:rsidRPr="00536CFD">
              <w:t>15.20</w:t>
            </w:r>
          </w:p>
        </w:tc>
        <w:tc>
          <w:tcPr>
            <w:tcW w:w="0" w:type="auto"/>
            <w:gridSpan w:val="4"/>
          </w:tcPr>
          <w:p w14:paraId="687F5BF7" w14:textId="77777777" w:rsidR="004346F3" w:rsidRPr="00536CFD" w:rsidRDefault="004346F3" w:rsidP="00536CFD">
            <w:pPr>
              <w:spacing w:after="0"/>
              <w:jc w:val="center"/>
            </w:pPr>
            <w:r w:rsidRPr="00536CFD">
              <w:t>13.69</w:t>
            </w:r>
          </w:p>
        </w:tc>
        <w:tc>
          <w:tcPr>
            <w:tcW w:w="0" w:type="auto"/>
          </w:tcPr>
          <w:p w14:paraId="78F7FD93" w14:textId="77777777" w:rsidR="004346F3" w:rsidRPr="00536CFD" w:rsidRDefault="004346F3" w:rsidP="00536CFD">
            <w:pPr>
              <w:spacing w:after="0"/>
              <w:jc w:val="center"/>
            </w:pPr>
            <w:r w:rsidRPr="00536CFD">
              <w:t>6.94</w:t>
            </w:r>
          </w:p>
        </w:tc>
      </w:tr>
      <w:tr w:rsidR="00536CFD" w:rsidRPr="00536CFD" w14:paraId="205ABF22" w14:textId="77777777" w:rsidTr="00536CFD">
        <w:trPr>
          <w:cantSplit/>
          <w:trHeight w:val="22"/>
        </w:trPr>
        <w:tc>
          <w:tcPr>
            <w:tcW w:w="0" w:type="auto"/>
            <w:vMerge/>
          </w:tcPr>
          <w:p w14:paraId="7D82FAC2" w14:textId="77777777" w:rsidR="004346F3" w:rsidRPr="00536CFD" w:rsidRDefault="004346F3" w:rsidP="00536CFD">
            <w:pPr>
              <w:spacing w:after="0"/>
              <w:jc w:val="center"/>
            </w:pPr>
          </w:p>
        </w:tc>
        <w:tc>
          <w:tcPr>
            <w:tcW w:w="0" w:type="auto"/>
            <w:vMerge/>
          </w:tcPr>
          <w:p w14:paraId="24DAE85A" w14:textId="77777777" w:rsidR="004346F3" w:rsidRPr="00536CFD" w:rsidRDefault="004346F3" w:rsidP="00536CFD">
            <w:pPr>
              <w:spacing w:after="0"/>
              <w:jc w:val="center"/>
            </w:pPr>
          </w:p>
        </w:tc>
        <w:tc>
          <w:tcPr>
            <w:tcW w:w="0" w:type="auto"/>
          </w:tcPr>
          <w:p w14:paraId="7D10928B" w14:textId="77777777" w:rsidR="004346F3" w:rsidRPr="00536CFD" w:rsidRDefault="004346F3" w:rsidP="00536CFD">
            <w:pPr>
              <w:spacing w:after="0"/>
              <w:jc w:val="center"/>
            </w:pPr>
            <w:r w:rsidRPr="00536CFD">
              <w:t>50%</w:t>
            </w:r>
          </w:p>
        </w:tc>
        <w:tc>
          <w:tcPr>
            <w:tcW w:w="0" w:type="auto"/>
          </w:tcPr>
          <w:p w14:paraId="7FD2D421" w14:textId="77777777" w:rsidR="004346F3" w:rsidRPr="00536CFD" w:rsidRDefault="004346F3" w:rsidP="00536CFD">
            <w:pPr>
              <w:spacing w:after="0"/>
              <w:jc w:val="center"/>
            </w:pPr>
            <w:r w:rsidRPr="00536CFD">
              <w:t>63.03</w:t>
            </w:r>
          </w:p>
        </w:tc>
        <w:tc>
          <w:tcPr>
            <w:tcW w:w="0" w:type="auto"/>
          </w:tcPr>
          <w:p w14:paraId="5620FD15" w14:textId="77777777" w:rsidR="004346F3" w:rsidRPr="00536CFD" w:rsidRDefault="004346F3" w:rsidP="00536CFD">
            <w:pPr>
              <w:spacing w:after="0"/>
              <w:jc w:val="center"/>
            </w:pPr>
            <w:r w:rsidRPr="00536CFD">
              <w:t>59.33</w:t>
            </w:r>
          </w:p>
        </w:tc>
        <w:tc>
          <w:tcPr>
            <w:tcW w:w="0" w:type="auto"/>
            <w:gridSpan w:val="2"/>
          </w:tcPr>
          <w:p w14:paraId="4A99FBA6" w14:textId="77777777" w:rsidR="004346F3" w:rsidRPr="00536CFD" w:rsidRDefault="004346F3" w:rsidP="00536CFD">
            <w:pPr>
              <w:spacing w:after="0"/>
              <w:jc w:val="center"/>
            </w:pPr>
            <w:r w:rsidRPr="00536CFD">
              <w:t>52.18</w:t>
            </w:r>
          </w:p>
        </w:tc>
        <w:tc>
          <w:tcPr>
            <w:tcW w:w="0" w:type="auto"/>
            <w:gridSpan w:val="3"/>
          </w:tcPr>
          <w:p w14:paraId="1057F429" w14:textId="77777777" w:rsidR="004346F3" w:rsidRPr="00536CFD" w:rsidRDefault="004346F3" w:rsidP="00536CFD">
            <w:pPr>
              <w:spacing w:after="0"/>
              <w:jc w:val="center"/>
            </w:pPr>
            <w:r w:rsidRPr="00536CFD">
              <w:t>45.47</w:t>
            </w:r>
          </w:p>
        </w:tc>
        <w:tc>
          <w:tcPr>
            <w:tcW w:w="0" w:type="auto"/>
            <w:gridSpan w:val="4"/>
          </w:tcPr>
          <w:p w14:paraId="193E8F1B" w14:textId="77777777" w:rsidR="004346F3" w:rsidRPr="00536CFD" w:rsidRDefault="004346F3" w:rsidP="00536CFD">
            <w:pPr>
              <w:spacing w:after="0"/>
              <w:jc w:val="center"/>
            </w:pPr>
            <w:r w:rsidRPr="00536CFD">
              <w:t>42.20</w:t>
            </w:r>
          </w:p>
        </w:tc>
        <w:tc>
          <w:tcPr>
            <w:tcW w:w="0" w:type="auto"/>
          </w:tcPr>
          <w:p w14:paraId="1004B9DB" w14:textId="77777777" w:rsidR="004346F3" w:rsidRPr="00536CFD" w:rsidRDefault="004346F3" w:rsidP="00536CFD">
            <w:pPr>
              <w:spacing w:after="0"/>
              <w:jc w:val="center"/>
            </w:pPr>
            <w:r w:rsidRPr="00536CFD">
              <w:t>26.70</w:t>
            </w:r>
          </w:p>
        </w:tc>
      </w:tr>
      <w:tr w:rsidR="00536CFD" w:rsidRPr="00536CFD" w14:paraId="5D72E239" w14:textId="77777777" w:rsidTr="00536CFD">
        <w:trPr>
          <w:cantSplit/>
          <w:trHeight w:val="22"/>
        </w:trPr>
        <w:tc>
          <w:tcPr>
            <w:tcW w:w="0" w:type="auto"/>
            <w:vMerge/>
          </w:tcPr>
          <w:p w14:paraId="54633425" w14:textId="77777777" w:rsidR="004346F3" w:rsidRPr="00536CFD" w:rsidRDefault="004346F3" w:rsidP="00536CFD">
            <w:pPr>
              <w:spacing w:after="0"/>
              <w:jc w:val="center"/>
            </w:pPr>
          </w:p>
        </w:tc>
        <w:tc>
          <w:tcPr>
            <w:tcW w:w="0" w:type="auto"/>
            <w:vMerge/>
          </w:tcPr>
          <w:p w14:paraId="7CD46380" w14:textId="77777777" w:rsidR="004346F3" w:rsidRPr="00536CFD" w:rsidRDefault="004346F3" w:rsidP="00536CFD">
            <w:pPr>
              <w:spacing w:after="0"/>
              <w:jc w:val="center"/>
            </w:pPr>
          </w:p>
        </w:tc>
        <w:tc>
          <w:tcPr>
            <w:tcW w:w="0" w:type="auto"/>
          </w:tcPr>
          <w:p w14:paraId="7AFA3390" w14:textId="77777777" w:rsidR="004346F3" w:rsidRPr="00536CFD" w:rsidRDefault="004346F3" w:rsidP="00536CFD">
            <w:pPr>
              <w:spacing w:after="0"/>
              <w:jc w:val="center"/>
            </w:pPr>
            <w:r w:rsidRPr="00536CFD">
              <w:t>95%</w:t>
            </w:r>
          </w:p>
        </w:tc>
        <w:tc>
          <w:tcPr>
            <w:tcW w:w="0" w:type="auto"/>
          </w:tcPr>
          <w:p w14:paraId="6B990423" w14:textId="77777777" w:rsidR="004346F3" w:rsidRPr="00536CFD" w:rsidRDefault="004346F3" w:rsidP="00536CFD">
            <w:pPr>
              <w:spacing w:after="0"/>
              <w:jc w:val="center"/>
            </w:pPr>
            <w:r w:rsidRPr="00536CFD">
              <w:t>89.95</w:t>
            </w:r>
          </w:p>
        </w:tc>
        <w:tc>
          <w:tcPr>
            <w:tcW w:w="0" w:type="auto"/>
          </w:tcPr>
          <w:p w14:paraId="6840910C" w14:textId="77777777" w:rsidR="004346F3" w:rsidRPr="00536CFD" w:rsidRDefault="004346F3" w:rsidP="00536CFD">
            <w:pPr>
              <w:spacing w:after="0"/>
              <w:jc w:val="center"/>
            </w:pPr>
            <w:r w:rsidRPr="00536CFD">
              <w:t>85.51</w:t>
            </w:r>
          </w:p>
        </w:tc>
        <w:tc>
          <w:tcPr>
            <w:tcW w:w="0" w:type="auto"/>
            <w:gridSpan w:val="2"/>
          </w:tcPr>
          <w:p w14:paraId="10096D94" w14:textId="77777777" w:rsidR="004346F3" w:rsidRPr="00536CFD" w:rsidRDefault="004346F3" w:rsidP="00536CFD">
            <w:pPr>
              <w:spacing w:after="0"/>
              <w:jc w:val="center"/>
            </w:pPr>
            <w:r w:rsidRPr="00536CFD">
              <w:t>82.85</w:t>
            </w:r>
          </w:p>
        </w:tc>
        <w:tc>
          <w:tcPr>
            <w:tcW w:w="0" w:type="auto"/>
            <w:gridSpan w:val="3"/>
          </w:tcPr>
          <w:p w14:paraId="54BD6FAD" w14:textId="77777777" w:rsidR="004346F3" w:rsidRPr="00536CFD" w:rsidRDefault="004346F3" w:rsidP="00536CFD">
            <w:pPr>
              <w:spacing w:after="0"/>
              <w:jc w:val="center"/>
            </w:pPr>
            <w:r w:rsidRPr="00536CFD">
              <w:t>73.39</w:t>
            </w:r>
          </w:p>
        </w:tc>
        <w:tc>
          <w:tcPr>
            <w:tcW w:w="0" w:type="auto"/>
            <w:gridSpan w:val="4"/>
          </w:tcPr>
          <w:p w14:paraId="0272206F" w14:textId="77777777" w:rsidR="004346F3" w:rsidRPr="00536CFD" w:rsidRDefault="004346F3" w:rsidP="00536CFD">
            <w:pPr>
              <w:spacing w:after="0"/>
              <w:jc w:val="center"/>
            </w:pPr>
            <w:r w:rsidRPr="00536CFD">
              <w:t>76.12</w:t>
            </w:r>
          </w:p>
        </w:tc>
        <w:tc>
          <w:tcPr>
            <w:tcW w:w="0" w:type="auto"/>
          </w:tcPr>
          <w:p w14:paraId="6F52FAF8" w14:textId="77777777" w:rsidR="004346F3" w:rsidRPr="00536CFD" w:rsidRDefault="004346F3" w:rsidP="00536CFD">
            <w:pPr>
              <w:spacing w:after="0"/>
              <w:jc w:val="center"/>
            </w:pPr>
            <w:r w:rsidRPr="00536CFD">
              <w:t>55.42</w:t>
            </w:r>
          </w:p>
        </w:tc>
      </w:tr>
      <w:tr w:rsidR="00536CFD" w:rsidRPr="00536CFD" w14:paraId="368890B7" w14:textId="77777777" w:rsidTr="00536CFD">
        <w:trPr>
          <w:cantSplit/>
          <w:trHeight w:val="22"/>
        </w:trPr>
        <w:tc>
          <w:tcPr>
            <w:tcW w:w="0" w:type="auto"/>
            <w:vMerge/>
          </w:tcPr>
          <w:p w14:paraId="1B5D854B" w14:textId="77777777" w:rsidR="004346F3" w:rsidRPr="00536CFD" w:rsidRDefault="004346F3" w:rsidP="00536CFD">
            <w:pPr>
              <w:spacing w:after="0"/>
              <w:jc w:val="center"/>
            </w:pPr>
          </w:p>
        </w:tc>
        <w:tc>
          <w:tcPr>
            <w:tcW w:w="0" w:type="auto"/>
            <w:vMerge/>
          </w:tcPr>
          <w:p w14:paraId="6DCF46E4" w14:textId="77777777" w:rsidR="004346F3" w:rsidRPr="00536CFD" w:rsidRDefault="004346F3" w:rsidP="00536CFD">
            <w:pPr>
              <w:spacing w:after="0"/>
              <w:jc w:val="center"/>
            </w:pPr>
          </w:p>
        </w:tc>
        <w:tc>
          <w:tcPr>
            <w:tcW w:w="0" w:type="auto"/>
          </w:tcPr>
          <w:p w14:paraId="43DF7EF5" w14:textId="77777777" w:rsidR="004346F3" w:rsidRPr="00536CFD" w:rsidRDefault="004346F3" w:rsidP="00536CFD">
            <w:pPr>
              <w:spacing w:after="0"/>
              <w:jc w:val="center"/>
            </w:pPr>
            <w:r w:rsidRPr="00536CFD">
              <w:t>Mean</w:t>
            </w:r>
          </w:p>
        </w:tc>
        <w:tc>
          <w:tcPr>
            <w:tcW w:w="0" w:type="auto"/>
          </w:tcPr>
          <w:p w14:paraId="701646A8" w14:textId="77777777" w:rsidR="004346F3" w:rsidRPr="00536CFD" w:rsidRDefault="004346F3" w:rsidP="00536CFD">
            <w:pPr>
              <w:spacing w:after="0"/>
              <w:jc w:val="center"/>
            </w:pPr>
            <w:r w:rsidRPr="00536CFD">
              <w:t>62.61</w:t>
            </w:r>
          </w:p>
        </w:tc>
        <w:tc>
          <w:tcPr>
            <w:tcW w:w="0" w:type="auto"/>
          </w:tcPr>
          <w:p w14:paraId="21A18A14" w14:textId="77777777" w:rsidR="004346F3" w:rsidRPr="00536CFD" w:rsidRDefault="004346F3" w:rsidP="00536CFD">
            <w:pPr>
              <w:spacing w:after="0"/>
              <w:jc w:val="center"/>
            </w:pPr>
            <w:r w:rsidRPr="00536CFD">
              <w:t>59.12</w:t>
            </w:r>
          </w:p>
        </w:tc>
        <w:tc>
          <w:tcPr>
            <w:tcW w:w="0" w:type="auto"/>
            <w:gridSpan w:val="2"/>
          </w:tcPr>
          <w:p w14:paraId="4D3ADC3C" w14:textId="77777777" w:rsidR="004346F3" w:rsidRPr="00536CFD" w:rsidRDefault="004346F3" w:rsidP="00536CFD">
            <w:pPr>
              <w:spacing w:after="0"/>
              <w:jc w:val="center"/>
            </w:pPr>
            <w:r w:rsidRPr="00536CFD">
              <w:t>52.81</w:t>
            </w:r>
          </w:p>
        </w:tc>
        <w:tc>
          <w:tcPr>
            <w:tcW w:w="0" w:type="auto"/>
            <w:gridSpan w:val="3"/>
          </w:tcPr>
          <w:p w14:paraId="661FC1C3" w14:textId="77777777" w:rsidR="004346F3" w:rsidRPr="00536CFD" w:rsidRDefault="004346F3" w:rsidP="00536CFD">
            <w:pPr>
              <w:spacing w:after="0"/>
              <w:jc w:val="center"/>
            </w:pPr>
            <w:r w:rsidRPr="00536CFD">
              <w:t>46.40</w:t>
            </w:r>
          </w:p>
        </w:tc>
        <w:tc>
          <w:tcPr>
            <w:tcW w:w="0" w:type="auto"/>
            <w:gridSpan w:val="4"/>
          </w:tcPr>
          <w:p w14:paraId="6B59391E" w14:textId="77777777" w:rsidR="004346F3" w:rsidRPr="00536CFD" w:rsidRDefault="004346F3" w:rsidP="00536CFD">
            <w:pPr>
              <w:spacing w:after="0"/>
              <w:jc w:val="center"/>
            </w:pPr>
            <w:r w:rsidRPr="00536CFD">
              <w:t>44.45</w:t>
            </w:r>
          </w:p>
        </w:tc>
        <w:tc>
          <w:tcPr>
            <w:tcW w:w="0" w:type="auto"/>
          </w:tcPr>
          <w:p w14:paraId="58F12796" w14:textId="77777777" w:rsidR="004346F3" w:rsidRPr="00536CFD" w:rsidRDefault="004346F3" w:rsidP="00536CFD">
            <w:pPr>
              <w:spacing w:after="0"/>
              <w:jc w:val="center"/>
            </w:pPr>
            <w:r w:rsidRPr="00536CFD">
              <w:t>29.27</w:t>
            </w:r>
          </w:p>
        </w:tc>
      </w:tr>
      <w:tr w:rsidR="00536CFD" w:rsidRPr="00536CFD" w14:paraId="72952F75" w14:textId="77777777" w:rsidTr="00536CFD">
        <w:trPr>
          <w:cantSplit/>
          <w:trHeight w:val="22"/>
        </w:trPr>
        <w:tc>
          <w:tcPr>
            <w:tcW w:w="0" w:type="auto"/>
            <w:vMerge/>
          </w:tcPr>
          <w:p w14:paraId="3024938C" w14:textId="77777777" w:rsidR="004346F3" w:rsidRPr="00536CFD" w:rsidRDefault="004346F3" w:rsidP="00536CFD">
            <w:pPr>
              <w:spacing w:after="0"/>
              <w:jc w:val="center"/>
            </w:pPr>
          </w:p>
        </w:tc>
        <w:tc>
          <w:tcPr>
            <w:tcW w:w="0" w:type="auto"/>
            <w:vMerge w:val="restart"/>
          </w:tcPr>
          <w:p w14:paraId="063D3E40" w14:textId="77777777" w:rsidR="004346F3" w:rsidRPr="00536CFD" w:rsidRDefault="004346F3" w:rsidP="00536CFD">
            <w:pPr>
              <w:spacing w:after="0"/>
              <w:jc w:val="center"/>
            </w:pPr>
            <w:r w:rsidRPr="00536CFD">
              <w:t>UL:</w:t>
            </w:r>
          </w:p>
          <w:p w14:paraId="7689CF4D" w14:textId="77777777" w:rsidR="004346F3" w:rsidRPr="00536CFD" w:rsidRDefault="004346F3" w:rsidP="00536CFD">
            <w:pPr>
              <w:spacing w:after="0"/>
              <w:jc w:val="center"/>
            </w:pPr>
            <w:r w:rsidRPr="00536CFD">
              <w:t>Delay CDF</w:t>
            </w:r>
          </w:p>
          <w:p w14:paraId="1FE2A3B4" w14:textId="77777777" w:rsidR="004346F3" w:rsidRPr="00536CFD" w:rsidRDefault="004346F3" w:rsidP="00536CFD">
            <w:pPr>
              <w:spacing w:after="0"/>
              <w:jc w:val="center"/>
            </w:pPr>
            <w:r w:rsidRPr="00536CFD">
              <w:t>[s]</w:t>
            </w:r>
          </w:p>
        </w:tc>
        <w:tc>
          <w:tcPr>
            <w:tcW w:w="0" w:type="auto"/>
          </w:tcPr>
          <w:p w14:paraId="54AEE510" w14:textId="77777777" w:rsidR="004346F3" w:rsidRPr="00536CFD" w:rsidRDefault="004346F3" w:rsidP="00536CFD">
            <w:pPr>
              <w:spacing w:after="0"/>
              <w:jc w:val="center"/>
            </w:pPr>
            <w:r w:rsidRPr="00536CFD">
              <w:t>5%</w:t>
            </w:r>
          </w:p>
        </w:tc>
        <w:tc>
          <w:tcPr>
            <w:tcW w:w="0" w:type="auto"/>
          </w:tcPr>
          <w:p w14:paraId="54968B40" w14:textId="77777777" w:rsidR="004346F3" w:rsidRPr="00536CFD" w:rsidRDefault="004346F3" w:rsidP="00536CFD">
            <w:pPr>
              <w:spacing w:after="0"/>
              <w:jc w:val="center"/>
            </w:pPr>
            <w:r w:rsidRPr="00536CFD">
              <w:t>0.037</w:t>
            </w:r>
          </w:p>
        </w:tc>
        <w:tc>
          <w:tcPr>
            <w:tcW w:w="0" w:type="auto"/>
          </w:tcPr>
          <w:p w14:paraId="2E68FA6E" w14:textId="77777777" w:rsidR="004346F3" w:rsidRPr="00536CFD" w:rsidRDefault="004346F3" w:rsidP="00536CFD">
            <w:pPr>
              <w:spacing w:after="0"/>
              <w:jc w:val="center"/>
            </w:pPr>
            <w:r w:rsidRPr="00536CFD">
              <w:t>0.040</w:t>
            </w:r>
          </w:p>
        </w:tc>
        <w:tc>
          <w:tcPr>
            <w:tcW w:w="0" w:type="auto"/>
            <w:gridSpan w:val="2"/>
          </w:tcPr>
          <w:p w14:paraId="0C5C222F" w14:textId="77777777" w:rsidR="004346F3" w:rsidRPr="00536CFD" w:rsidRDefault="004346F3" w:rsidP="00536CFD">
            <w:pPr>
              <w:spacing w:after="0"/>
              <w:jc w:val="center"/>
            </w:pPr>
            <w:r w:rsidRPr="00536CFD">
              <w:t>0.042</w:t>
            </w:r>
          </w:p>
        </w:tc>
        <w:tc>
          <w:tcPr>
            <w:tcW w:w="0" w:type="auto"/>
            <w:gridSpan w:val="3"/>
          </w:tcPr>
          <w:p w14:paraId="45981ED8" w14:textId="77777777" w:rsidR="004346F3" w:rsidRPr="00536CFD" w:rsidRDefault="004346F3" w:rsidP="00536CFD">
            <w:pPr>
              <w:spacing w:after="0"/>
              <w:jc w:val="center"/>
            </w:pPr>
            <w:r w:rsidRPr="00536CFD">
              <w:t>0.050</w:t>
            </w:r>
          </w:p>
        </w:tc>
        <w:tc>
          <w:tcPr>
            <w:tcW w:w="0" w:type="auto"/>
            <w:gridSpan w:val="4"/>
          </w:tcPr>
          <w:p w14:paraId="77E42007" w14:textId="77777777" w:rsidR="004346F3" w:rsidRPr="00536CFD" w:rsidRDefault="004346F3" w:rsidP="00536CFD">
            <w:pPr>
              <w:spacing w:after="0"/>
              <w:jc w:val="center"/>
            </w:pPr>
            <w:r w:rsidRPr="00536CFD">
              <w:t>0.045</w:t>
            </w:r>
          </w:p>
        </w:tc>
        <w:tc>
          <w:tcPr>
            <w:tcW w:w="0" w:type="auto"/>
          </w:tcPr>
          <w:p w14:paraId="05ADAB67" w14:textId="77777777" w:rsidR="004346F3" w:rsidRPr="00536CFD" w:rsidRDefault="004346F3" w:rsidP="00536CFD">
            <w:pPr>
              <w:spacing w:after="0"/>
              <w:jc w:val="center"/>
            </w:pPr>
            <w:r w:rsidRPr="00536CFD">
              <w:t>0.081</w:t>
            </w:r>
          </w:p>
        </w:tc>
      </w:tr>
      <w:tr w:rsidR="00536CFD" w:rsidRPr="00536CFD" w14:paraId="258C5781" w14:textId="77777777" w:rsidTr="00536CFD">
        <w:trPr>
          <w:cantSplit/>
          <w:trHeight w:val="22"/>
        </w:trPr>
        <w:tc>
          <w:tcPr>
            <w:tcW w:w="0" w:type="auto"/>
            <w:vMerge/>
          </w:tcPr>
          <w:p w14:paraId="604A9FAD" w14:textId="77777777" w:rsidR="004346F3" w:rsidRPr="00536CFD" w:rsidRDefault="004346F3" w:rsidP="00536CFD">
            <w:pPr>
              <w:spacing w:after="0"/>
              <w:jc w:val="center"/>
            </w:pPr>
          </w:p>
        </w:tc>
        <w:tc>
          <w:tcPr>
            <w:tcW w:w="0" w:type="auto"/>
            <w:vMerge/>
          </w:tcPr>
          <w:p w14:paraId="29DC9993" w14:textId="77777777" w:rsidR="004346F3" w:rsidRPr="00536CFD" w:rsidRDefault="004346F3" w:rsidP="00536CFD">
            <w:pPr>
              <w:spacing w:after="0"/>
              <w:jc w:val="center"/>
            </w:pPr>
          </w:p>
        </w:tc>
        <w:tc>
          <w:tcPr>
            <w:tcW w:w="0" w:type="auto"/>
          </w:tcPr>
          <w:p w14:paraId="0EFC5B32" w14:textId="77777777" w:rsidR="004346F3" w:rsidRPr="00536CFD" w:rsidRDefault="004346F3" w:rsidP="00536CFD">
            <w:pPr>
              <w:spacing w:after="0"/>
              <w:jc w:val="center"/>
            </w:pPr>
            <w:r w:rsidRPr="00536CFD">
              <w:t>50%</w:t>
            </w:r>
          </w:p>
        </w:tc>
        <w:tc>
          <w:tcPr>
            <w:tcW w:w="0" w:type="auto"/>
          </w:tcPr>
          <w:p w14:paraId="024348E3" w14:textId="77777777" w:rsidR="004346F3" w:rsidRPr="00536CFD" w:rsidRDefault="004346F3" w:rsidP="00536CFD">
            <w:pPr>
              <w:spacing w:after="0"/>
              <w:jc w:val="center"/>
            </w:pPr>
            <w:r w:rsidRPr="00536CFD">
              <w:t>0.063</w:t>
            </w:r>
          </w:p>
        </w:tc>
        <w:tc>
          <w:tcPr>
            <w:tcW w:w="0" w:type="auto"/>
          </w:tcPr>
          <w:p w14:paraId="6A4FD706" w14:textId="77777777" w:rsidR="004346F3" w:rsidRPr="00536CFD" w:rsidRDefault="004346F3" w:rsidP="00536CFD">
            <w:pPr>
              <w:spacing w:after="0"/>
              <w:jc w:val="center"/>
            </w:pPr>
            <w:r w:rsidRPr="00536CFD">
              <w:t>0.069</w:t>
            </w:r>
          </w:p>
        </w:tc>
        <w:tc>
          <w:tcPr>
            <w:tcW w:w="0" w:type="auto"/>
            <w:gridSpan w:val="2"/>
          </w:tcPr>
          <w:p w14:paraId="13F8E19E" w14:textId="77777777" w:rsidR="004346F3" w:rsidRPr="00536CFD" w:rsidRDefault="004346F3" w:rsidP="00536CFD">
            <w:pPr>
              <w:spacing w:after="0"/>
              <w:jc w:val="center"/>
            </w:pPr>
            <w:r w:rsidRPr="00536CFD">
              <w:t>0.083</w:t>
            </w:r>
          </w:p>
        </w:tc>
        <w:tc>
          <w:tcPr>
            <w:tcW w:w="0" w:type="auto"/>
            <w:gridSpan w:val="3"/>
          </w:tcPr>
          <w:p w14:paraId="4DF42C1C" w14:textId="77777777" w:rsidR="004346F3" w:rsidRPr="00536CFD" w:rsidRDefault="004346F3" w:rsidP="00536CFD">
            <w:pPr>
              <w:spacing w:after="0"/>
              <w:jc w:val="center"/>
            </w:pPr>
            <w:r w:rsidRPr="00536CFD">
              <w:t>0.120</w:t>
            </w:r>
          </w:p>
        </w:tc>
        <w:tc>
          <w:tcPr>
            <w:tcW w:w="0" w:type="auto"/>
            <w:gridSpan w:val="4"/>
          </w:tcPr>
          <w:p w14:paraId="2B4D137A" w14:textId="77777777" w:rsidR="004346F3" w:rsidRPr="00536CFD" w:rsidRDefault="004346F3" w:rsidP="00536CFD">
            <w:pPr>
              <w:spacing w:after="0"/>
              <w:jc w:val="center"/>
            </w:pPr>
            <w:r w:rsidRPr="00536CFD">
              <w:t>0.111</w:t>
            </w:r>
          </w:p>
        </w:tc>
        <w:tc>
          <w:tcPr>
            <w:tcW w:w="0" w:type="auto"/>
          </w:tcPr>
          <w:p w14:paraId="46F0F8FA" w14:textId="77777777" w:rsidR="004346F3" w:rsidRPr="00536CFD" w:rsidRDefault="004346F3" w:rsidP="00536CFD">
            <w:pPr>
              <w:spacing w:after="0"/>
              <w:jc w:val="center"/>
            </w:pPr>
            <w:r w:rsidRPr="00536CFD">
              <w:t>0.423</w:t>
            </w:r>
          </w:p>
        </w:tc>
      </w:tr>
      <w:tr w:rsidR="00536CFD" w:rsidRPr="00536CFD" w14:paraId="7DC88A8E" w14:textId="77777777" w:rsidTr="00536CFD">
        <w:trPr>
          <w:cantSplit/>
          <w:trHeight w:val="22"/>
        </w:trPr>
        <w:tc>
          <w:tcPr>
            <w:tcW w:w="0" w:type="auto"/>
            <w:vMerge/>
          </w:tcPr>
          <w:p w14:paraId="1405AAAF" w14:textId="77777777" w:rsidR="004346F3" w:rsidRPr="00536CFD" w:rsidRDefault="004346F3" w:rsidP="00536CFD">
            <w:pPr>
              <w:spacing w:after="0"/>
              <w:jc w:val="center"/>
            </w:pPr>
          </w:p>
        </w:tc>
        <w:tc>
          <w:tcPr>
            <w:tcW w:w="0" w:type="auto"/>
            <w:vMerge/>
          </w:tcPr>
          <w:p w14:paraId="3871C59B" w14:textId="77777777" w:rsidR="004346F3" w:rsidRPr="00536CFD" w:rsidRDefault="004346F3" w:rsidP="00536CFD">
            <w:pPr>
              <w:spacing w:after="0"/>
              <w:jc w:val="center"/>
            </w:pPr>
          </w:p>
        </w:tc>
        <w:tc>
          <w:tcPr>
            <w:tcW w:w="0" w:type="auto"/>
          </w:tcPr>
          <w:p w14:paraId="7FB69077" w14:textId="77777777" w:rsidR="004346F3" w:rsidRPr="00536CFD" w:rsidRDefault="004346F3" w:rsidP="00536CFD">
            <w:pPr>
              <w:spacing w:after="0"/>
              <w:jc w:val="center"/>
            </w:pPr>
            <w:r w:rsidRPr="00536CFD">
              <w:t>95%</w:t>
            </w:r>
          </w:p>
        </w:tc>
        <w:tc>
          <w:tcPr>
            <w:tcW w:w="0" w:type="auto"/>
          </w:tcPr>
          <w:p w14:paraId="19D1182C" w14:textId="77777777" w:rsidR="004346F3" w:rsidRPr="00536CFD" w:rsidRDefault="004346F3" w:rsidP="00536CFD">
            <w:pPr>
              <w:spacing w:after="0"/>
              <w:jc w:val="center"/>
            </w:pPr>
            <w:r w:rsidRPr="00536CFD">
              <w:t>0.140</w:t>
            </w:r>
          </w:p>
        </w:tc>
        <w:tc>
          <w:tcPr>
            <w:tcW w:w="0" w:type="auto"/>
          </w:tcPr>
          <w:p w14:paraId="05991C0A" w14:textId="77777777" w:rsidR="004346F3" w:rsidRPr="00536CFD" w:rsidRDefault="004346F3" w:rsidP="00536CFD">
            <w:pPr>
              <w:spacing w:after="0"/>
              <w:jc w:val="center"/>
            </w:pPr>
            <w:r w:rsidRPr="00536CFD">
              <w:t>0.155</w:t>
            </w:r>
          </w:p>
        </w:tc>
        <w:tc>
          <w:tcPr>
            <w:tcW w:w="0" w:type="auto"/>
            <w:gridSpan w:val="2"/>
          </w:tcPr>
          <w:p w14:paraId="5DD56D1E" w14:textId="77777777" w:rsidR="004346F3" w:rsidRPr="00536CFD" w:rsidRDefault="004346F3" w:rsidP="00536CFD">
            <w:pPr>
              <w:spacing w:after="0"/>
              <w:jc w:val="center"/>
            </w:pPr>
            <w:r w:rsidRPr="00536CFD">
              <w:t>0.214</w:t>
            </w:r>
          </w:p>
        </w:tc>
        <w:tc>
          <w:tcPr>
            <w:tcW w:w="0" w:type="auto"/>
            <w:gridSpan w:val="3"/>
          </w:tcPr>
          <w:p w14:paraId="5FC80EA8" w14:textId="77777777" w:rsidR="004346F3" w:rsidRPr="00536CFD" w:rsidRDefault="004346F3" w:rsidP="00536CFD">
            <w:pPr>
              <w:spacing w:after="0"/>
              <w:jc w:val="center"/>
            </w:pPr>
            <w:r w:rsidRPr="00536CFD">
              <w:t>0.619</w:t>
            </w:r>
          </w:p>
        </w:tc>
        <w:tc>
          <w:tcPr>
            <w:tcW w:w="0" w:type="auto"/>
            <w:gridSpan w:val="4"/>
          </w:tcPr>
          <w:p w14:paraId="18E73F6A" w14:textId="77777777" w:rsidR="004346F3" w:rsidRPr="00536CFD" w:rsidRDefault="004346F3" w:rsidP="00536CFD">
            <w:pPr>
              <w:spacing w:after="0"/>
              <w:jc w:val="center"/>
            </w:pPr>
            <w:r w:rsidRPr="00536CFD">
              <w:t>0.310</w:t>
            </w:r>
          </w:p>
        </w:tc>
        <w:tc>
          <w:tcPr>
            <w:tcW w:w="0" w:type="auto"/>
          </w:tcPr>
          <w:p w14:paraId="7A788D10" w14:textId="77777777" w:rsidR="004346F3" w:rsidRPr="00536CFD" w:rsidRDefault="004346F3" w:rsidP="00536CFD">
            <w:pPr>
              <w:spacing w:after="0"/>
              <w:jc w:val="center"/>
            </w:pPr>
            <w:r w:rsidRPr="00536CFD">
              <w:t>2.998</w:t>
            </w:r>
          </w:p>
        </w:tc>
      </w:tr>
      <w:tr w:rsidR="00536CFD" w:rsidRPr="00536CFD" w14:paraId="3B92C36C" w14:textId="77777777" w:rsidTr="00536CFD">
        <w:trPr>
          <w:cantSplit/>
          <w:trHeight w:val="22"/>
        </w:trPr>
        <w:tc>
          <w:tcPr>
            <w:tcW w:w="0" w:type="auto"/>
            <w:vMerge/>
          </w:tcPr>
          <w:p w14:paraId="11787195" w14:textId="77777777" w:rsidR="004346F3" w:rsidRPr="00536CFD" w:rsidRDefault="004346F3" w:rsidP="00536CFD">
            <w:pPr>
              <w:spacing w:after="0"/>
              <w:jc w:val="center"/>
            </w:pPr>
          </w:p>
        </w:tc>
        <w:tc>
          <w:tcPr>
            <w:tcW w:w="0" w:type="auto"/>
            <w:vMerge/>
          </w:tcPr>
          <w:p w14:paraId="54AA2EAE" w14:textId="77777777" w:rsidR="004346F3" w:rsidRPr="00536CFD" w:rsidRDefault="004346F3" w:rsidP="00536CFD">
            <w:pPr>
              <w:spacing w:after="0"/>
              <w:jc w:val="center"/>
            </w:pPr>
          </w:p>
        </w:tc>
        <w:tc>
          <w:tcPr>
            <w:tcW w:w="0" w:type="auto"/>
          </w:tcPr>
          <w:p w14:paraId="1FCDA2FA" w14:textId="77777777" w:rsidR="004346F3" w:rsidRPr="00536CFD" w:rsidRDefault="004346F3" w:rsidP="00536CFD">
            <w:pPr>
              <w:spacing w:after="0"/>
              <w:jc w:val="center"/>
            </w:pPr>
            <w:r w:rsidRPr="00536CFD">
              <w:t>Mean</w:t>
            </w:r>
          </w:p>
        </w:tc>
        <w:tc>
          <w:tcPr>
            <w:tcW w:w="0" w:type="auto"/>
          </w:tcPr>
          <w:p w14:paraId="2EF21B86" w14:textId="77777777" w:rsidR="004346F3" w:rsidRPr="00536CFD" w:rsidRDefault="004346F3" w:rsidP="00536CFD">
            <w:pPr>
              <w:spacing w:after="0"/>
              <w:jc w:val="center"/>
            </w:pPr>
            <w:r w:rsidRPr="00536CFD">
              <w:t>0.075</w:t>
            </w:r>
          </w:p>
        </w:tc>
        <w:tc>
          <w:tcPr>
            <w:tcW w:w="0" w:type="auto"/>
          </w:tcPr>
          <w:p w14:paraId="1916C131" w14:textId="77777777" w:rsidR="004346F3" w:rsidRPr="00536CFD" w:rsidRDefault="004346F3" w:rsidP="00536CFD">
            <w:pPr>
              <w:spacing w:after="0"/>
              <w:jc w:val="center"/>
            </w:pPr>
            <w:r w:rsidRPr="00536CFD">
              <w:t>0.082</w:t>
            </w:r>
          </w:p>
        </w:tc>
        <w:tc>
          <w:tcPr>
            <w:tcW w:w="0" w:type="auto"/>
            <w:gridSpan w:val="2"/>
          </w:tcPr>
          <w:p w14:paraId="18FE42A7" w14:textId="77777777" w:rsidR="004346F3" w:rsidRPr="00536CFD" w:rsidRDefault="004346F3" w:rsidP="00536CFD">
            <w:pPr>
              <w:spacing w:after="0"/>
              <w:jc w:val="center"/>
            </w:pPr>
            <w:r w:rsidRPr="00536CFD">
              <w:t>0.101</w:t>
            </w:r>
          </w:p>
        </w:tc>
        <w:tc>
          <w:tcPr>
            <w:tcW w:w="0" w:type="auto"/>
            <w:gridSpan w:val="3"/>
          </w:tcPr>
          <w:p w14:paraId="6D4FCFF1" w14:textId="77777777" w:rsidR="004346F3" w:rsidRPr="00536CFD" w:rsidRDefault="004346F3" w:rsidP="00536CFD">
            <w:pPr>
              <w:spacing w:after="0"/>
              <w:jc w:val="center"/>
            </w:pPr>
            <w:r w:rsidRPr="00536CFD">
              <w:t>0.217</w:t>
            </w:r>
          </w:p>
        </w:tc>
        <w:tc>
          <w:tcPr>
            <w:tcW w:w="0" w:type="auto"/>
            <w:gridSpan w:val="4"/>
          </w:tcPr>
          <w:p w14:paraId="29E93123" w14:textId="77777777" w:rsidR="004346F3" w:rsidRPr="00536CFD" w:rsidRDefault="004346F3" w:rsidP="00536CFD">
            <w:pPr>
              <w:spacing w:after="0"/>
              <w:jc w:val="center"/>
            </w:pPr>
            <w:r w:rsidRPr="00536CFD">
              <w:t>0.148</w:t>
            </w:r>
          </w:p>
        </w:tc>
        <w:tc>
          <w:tcPr>
            <w:tcW w:w="0" w:type="auto"/>
          </w:tcPr>
          <w:p w14:paraId="720EC46F" w14:textId="77777777" w:rsidR="004346F3" w:rsidRPr="00536CFD" w:rsidRDefault="004346F3" w:rsidP="00536CFD">
            <w:pPr>
              <w:spacing w:after="0"/>
              <w:jc w:val="center"/>
            </w:pPr>
            <w:r w:rsidRPr="00536CFD">
              <w:t>0.880</w:t>
            </w:r>
          </w:p>
        </w:tc>
      </w:tr>
      <w:tr w:rsidR="004346F3" w:rsidRPr="00536CFD" w14:paraId="6B99DF91" w14:textId="77777777" w:rsidTr="00536CFD">
        <w:trPr>
          <w:cantSplit/>
          <w:trHeight w:val="22"/>
        </w:trPr>
        <w:tc>
          <w:tcPr>
            <w:tcW w:w="0" w:type="auto"/>
            <w:vMerge/>
          </w:tcPr>
          <w:p w14:paraId="085FCBB2" w14:textId="77777777" w:rsidR="004346F3" w:rsidRPr="00536CFD" w:rsidRDefault="004346F3" w:rsidP="00536CFD">
            <w:pPr>
              <w:spacing w:after="0"/>
              <w:jc w:val="center"/>
            </w:pPr>
          </w:p>
        </w:tc>
        <w:tc>
          <w:tcPr>
            <w:tcW w:w="0" w:type="auto"/>
            <w:gridSpan w:val="2"/>
          </w:tcPr>
          <w:p w14:paraId="5E162DC0" w14:textId="77777777" w:rsidR="004346F3" w:rsidRPr="00536CFD" w:rsidRDefault="004346F3" w:rsidP="00536CFD">
            <w:pPr>
              <w:spacing w:after="0"/>
              <w:jc w:val="center"/>
            </w:pPr>
            <w:r w:rsidRPr="00536CFD">
              <w:rPr>
                <w:rFonts w:ascii="Cambria Math" w:hAnsi="Cambria Math" w:cs="Cambria Math"/>
              </w:rPr>
              <w:t>𝜌</w:t>
            </w:r>
            <w:r w:rsidRPr="00536CFD">
              <w:rPr>
                <w:vertAlign w:val="subscript"/>
              </w:rPr>
              <w:t>DL</w:t>
            </w:r>
          </w:p>
        </w:tc>
        <w:tc>
          <w:tcPr>
            <w:tcW w:w="0" w:type="auto"/>
          </w:tcPr>
          <w:p w14:paraId="13E60089" w14:textId="77777777" w:rsidR="004346F3" w:rsidRPr="00536CFD" w:rsidRDefault="004346F3" w:rsidP="00536CFD">
            <w:pPr>
              <w:spacing w:after="0"/>
              <w:jc w:val="center"/>
            </w:pPr>
            <w:r w:rsidRPr="00536CFD">
              <w:t>100%</w:t>
            </w:r>
          </w:p>
        </w:tc>
        <w:tc>
          <w:tcPr>
            <w:tcW w:w="0" w:type="auto"/>
          </w:tcPr>
          <w:p w14:paraId="79AF3CD1" w14:textId="77777777" w:rsidR="004346F3" w:rsidRPr="00536CFD" w:rsidRDefault="004346F3" w:rsidP="00536CFD">
            <w:pPr>
              <w:spacing w:after="0"/>
              <w:jc w:val="center"/>
            </w:pPr>
            <w:r w:rsidRPr="00536CFD">
              <w:t>100%</w:t>
            </w:r>
          </w:p>
        </w:tc>
        <w:tc>
          <w:tcPr>
            <w:tcW w:w="0" w:type="auto"/>
            <w:gridSpan w:val="2"/>
          </w:tcPr>
          <w:p w14:paraId="52BD0ED8" w14:textId="77777777" w:rsidR="004346F3" w:rsidRPr="00536CFD" w:rsidRDefault="004346F3" w:rsidP="00536CFD">
            <w:pPr>
              <w:spacing w:after="0"/>
              <w:jc w:val="center"/>
            </w:pPr>
            <w:r w:rsidRPr="00536CFD">
              <w:t>99.9%</w:t>
            </w:r>
          </w:p>
        </w:tc>
        <w:tc>
          <w:tcPr>
            <w:tcW w:w="0" w:type="auto"/>
            <w:gridSpan w:val="3"/>
          </w:tcPr>
          <w:p w14:paraId="39EF441E" w14:textId="77777777" w:rsidR="004346F3" w:rsidRPr="00536CFD" w:rsidRDefault="004346F3" w:rsidP="00536CFD">
            <w:pPr>
              <w:spacing w:after="0"/>
              <w:jc w:val="center"/>
            </w:pPr>
            <w:r w:rsidRPr="00536CFD">
              <w:t>99.5%</w:t>
            </w:r>
          </w:p>
        </w:tc>
        <w:tc>
          <w:tcPr>
            <w:tcW w:w="0" w:type="auto"/>
            <w:gridSpan w:val="4"/>
          </w:tcPr>
          <w:p w14:paraId="2B150FF6" w14:textId="77777777" w:rsidR="004346F3" w:rsidRPr="00536CFD" w:rsidRDefault="004346F3" w:rsidP="00536CFD">
            <w:pPr>
              <w:spacing w:after="0"/>
              <w:jc w:val="center"/>
            </w:pPr>
            <w:r w:rsidRPr="00536CFD">
              <w:t>99.9%</w:t>
            </w:r>
          </w:p>
        </w:tc>
        <w:tc>
          <w:tcPr>
            <w:tcW w:w="0" w:type="auto"/>
          </w:tcPr>
          <w:p w14:paraId="62121AC5" w14:textId="77777777" w:rsidR="004346F3" w:rsidRPr="00536CFD" w:rsidRDefault="004346F3" w:rsidP="00536CFD">
            <w:pPr>
              <w:spacing w:after="0"/>
              <w:jc w:val="center"/>
            </w:pPr>
            <w:r w:rsidRPr="00536CFD">
              <w:t>96.7%</w:t>
            </w:r>
          </w:p>
        </w:tc>
      </w:tr>
      <w:tr w:rsidR="004346F3" w:rsidRPr="00536CFD" w14:paraId="065CF73D" w14:textId="77777777" w:rsidTr="00536CFD">
        <w:trPr>
          <w:cantSplit/>
          <w:trHeight w:val="22"/>
        </w:trPr>
        <w:tc>
          <w:tcPr>
            <w:tcW w:w="0" w:type="auto"/>
            <w:vMerge/>
          </w:tcPr>
          <w:p w14:paraId="09229C04" w14:textId="77777777" w:rsidR="004346F3" w:rsidRPr="00536CFD" w:rsidRDefault="004346F3" w:rsidP="00536CFD">
            <w:pPr>
              <w:spacing w:after="0"/>
              <w:jc w:val="center"/>
            </w:pPr>
          </w:p>
        </w:tc>
        <w:tc>
          <w:tcPr>
            <w:tcW w:w="0" w:type="auto"/>
            <w:gridSpan w:val="2"/>
          </w:tcPr>
          <w:p w14:paraId="0FC7ECF2" w14:textId="77777777" w:rsidR="004346F3" w:rsidRPr="00536CFD" w:rsidRDefault="004346F3" w:rsidP="00536CFD">
            <w:pPr>
              <w:spacing w:after="0"/>
              <w:jc w:val="center"/>
            </w:pPr>
            <w:r w:rsidRPr="00536CFD">
              <w:rPr>
                <w:rFonts w:ascii="Cambria Math" w:hAnsi="Cambria Math" w:cs="Cambria Math"/>
              </w:rPr>
              <w:t>𝜌</w:t>
            </w:r>
            <w:r w:rsidRPr="00536CFD">
              <w:rPr>
                <w:vertAlign w:val="subscript"/>
              </w:rPr>
              <w:t>UL</w:t>
            </w:r>
          </w:p>
        </w:tc>
        <w:tc>
          <w:tcPr>
            <w:tcW w:w="0" w:type="auto"/>
          </w:tcPr>
          <w:p w14:paraId="03D9A8D4" w14:textId="77777777" w:rsidR="004346F3" w:rsidRPr="00536CFD" w:rsidRDefault="004346F3" w:rsidP="00536CFD">
            <w:pPr>
              <w:spacing w:after="0"/>
              <w:jc w:val="center"/>
            </w:pPr>
            <w:r w:rsidRPr="00536CFD">
              <w:t>99.9%</w:t>
            </w:r>
          </w:p>
        </w:tc>
        <w:tc>
          <w:tcPr>
            <w:tcW w:w="0" w:type="auto"/>
          </w:tcPr>
          <w:p w14:paraId="502E873C" w14:textId="77777777" w:rsidR="004346F3" w:rsidRPr="00536CFD" w:rsidRDefault="004346F3" w:rsidP="00536CFD">
            <w:pPr>
              <w:spacing w:after="0"/>
              <w:jc w:val="center"/>
            </w:pPr>
            <w:r w:rsidRPr="00536CFD">
              <w:t>100%</w:t>
            </w:r>
          </w:p>
        </w:tc>
        <w:tc>
          <w:tcPr>
            <w:tcW w:w="0" w:type="auto"/>
            <w:gridSpan w:val="2"/>
          </w:tcPr>
          <w:p w14:paraId="2406E7CF" w14:textId="77777777" w:rsidR="004346F3" w:rsidRPr="00536CFD" w:rsidRDefault="004346F3" w:rsidP="00536CFD">
            <w:pPr>
              <w:spacing w:after="0"/>
              <w:jc w:val="center"/>
            </w:pPr>
            <w:r w:rsidRPr="00536CFD">
              <w:t>99.9%</w:t>
            </w:r>
          </w:p>
        </w:tc>
        <w:tc>
          <w:tcPr>
            <w:tcW w:w="0" w:type="auto"/>
            <w:gridSpan w:val="3"/>
          </w:tcPr>
          <w:p w14:paraId="37F7AFF7" w14:textId="77777777" w:rsidR="004346F3" w:rsidRPr="00536CFD" w:rsidRDefault="004346F3" w:rsidP="00536CFD">
            <w:pPr>
              <w:spacing w:after="0"/>
              <w:jc w:val="center"/>
            </w:pPr>
            <w:r w:rsidRPr="00536CFD">
              <w:t>99.4%</w:t>
            </w:r>
          </w:p>
        </w:tc>
        <w:tc>
          <w:tcPr>
            <w:tcW w:w="0" w:type="auto"/>
            <w:gridSpan w:val="4"/>
          </w:tcPr>
          <w:p w14:paraId="34266050" w14:textId="77777777" w:rsidR="004346F3" w:rsidRPr="00536CFD" w:rsidRDefault="004346F3" w:rsidP="00536CFD">
            <w:pPr>
              <w:spacing w:after="0"/>
              <w:jc w:val="center"/>
            </w:pPr>
            <w:r w:rsidRPr="00536CFD">
              <w:t>99.8%</w:t>
            </w:r>
          </w:p>
        </w:tc>
        <w:tc>
          <w:tcPr>
            <w:tcW w:w="0" w:type="auto"/>
          </w:tcPr>
          <w:p w14:paraId="3F499EC6" w14:textId="77777777" w:rsidR="004346F3" w:rsidRPr="00536CFD" w:rsidRDefault="004346F3" w:rsidP="00536CFD">
            <w:pPr>
              <w:spacing w:after="0"/>
              <w:jc w:val="center"/>
            </w:pPr>
            <w:r w:rsidRPr="00536CFD">
              <w:t>96.8%</w:t>
            </w:r>
          </w:p>
        </w:tc>
      </w:tr>
      <w:tr w:rsidR="004346F3" w:rsidRPr="00536CFD" w14:paraId="395AF0CF" w14:textId="77777777" w:rsidTr="00536CFD">
        <w:trPr>
          <w:cantSplit/>
          <w:trHeight w:val="22"/>
        </w:trPr>
        <w:tc>
          <w:tcPr>
            <w:tcW w:w="0" w:type="auto"/>
            <w:vMerge/>
          </w:tcPr>
          <w:p w14:paraId="37858274" w14:textId="77777777" w:rsidR="004346F3" w:rsidRPr="00536CFD" w:rsidRDefault="004346F3" w:rsidP="00536CFD">
            <w:pPr>
              <w:spacing w:after="0"/>
              <w:jc w:val="center"/>
            </w:pPr>
          </w:p>
        </w:tc>
        <w:tc>
          <w:tcPr>
            <w:tcW w:w="0" w:type="auto"/>
            <w:gridSpan w:val="2"/>
          </w:tcPr>
          <w:p w14:paraId="17EA64D3" w14:textId="77777777" w:rsidR="004346F3" w:rsidRPr="00536CFD" w:rsidRDefault="004346F3" w:rsidP="00536CFD">
            <w:pPr>
              <w:spacing w:after="0"/>
              <w:jc w:val="center"/>
            </w:pPr>
            <w:r w:rsidRPr="00536CFD">
              <w:t>BO</w:t>
            </w:r>
          </w:p>
        </w:tc>
        <w:tc>
          <w:tcPr>
            <w:tcW w:w="0" w:type="auto"/>
          </w:tcPr>
          <w:p w14:paraId="162AAD79" w14:textId="77777777" w:rsidR="004346F3" w:rsidRPr="00536CFD" w:rsidRDefault="004346F3" w:rsidP="00536CFD">
            <w:pPr>
              <w:spacing w:after="0"/>
              <w:jc w:val="center"/>
            </w:pPr>
            <w:r w:rsidRPr="00536CFD">
              <w:t>5.4%</w:t>
            </w:r>
          </w:p>
        </w:tc>
        <w:tc>
          <w:tcPr>
            <w:tcW w:w="0" w:type="auto"/>
          </w:tcPr>
          <w:p w14:paraId="7E4DC4FC" w14:textId="77777777" w:rsidR="004346F3" w:rsidRPr="00536CFD" w:rsidRDefault="004346F3" w:rsidP="00536CFD">
            <w:pPr>
              <w:spacing w:after="0"/>
              <w:jc w:val="center"/>
            </w:pPr>
            <w:r w:rsidRPr="00536CFD">
              <w:t>5.9%</w:t>
            </w:r>
          </w:p>
        </w:tc>
        <w:tc>
          <w:tcPr>
            <w:tcW w:w="0" w:type="auto"/>
            <w:gridSpan w:val="2"/>
          </w:tcPr>
          <w:p w14:paraId="088AE313" w14:textId="77777777" w:rsidR="004346F3" w:rsidRPr="00536CFD" w:rsidRDefault="004346F3" w:rsidP="00536CFD">
            <w:pPr>
              <w:spacing w:after="0"/>
              <w:jc w:val="center"/>
            </w:pPr>
            <w:r w:rsidRPr="00536CFD">
              <w:t>8.4%</w:t>
            </w:r>
          </w:p>
        </w:tc>
        <w:tc>
          <w:tcPr>
            <w:tcW w:w="0" w:type="auto"/>
            <w:gridSpan w:val="3"/>
          </w:tcPr>
          <w:p w14:paraId="5335F631" w14:textId="77777777" w:rsidR="004346F3" w:rsidRPr="00536CFD" w:rsidRDefault="004346F3" w:rsidP="00536CFD">
            <w:pPr>
              <w:spacing w:after="0"/>
              <w:jc w:val="center"/>
            </w:pPr>
            <w:r w:rsidRPr="00536CFD">
              <w:t>11.6%</w:t>
            </w:r>
          </w:p>
        </w:tc>
        <w:tc>
          <w:tcPr>
            <w:tcW w:w="0" w:type="auto"/>
            <w:gridSpan w:val="4"/>
          </w:tcPr>
          <w:p w14:paraId="583288AC" w14:textId="77777777" w:rsidR="004346F3" w:rsidRPr="00536CFD" w:rsidRDefault="004346F3" w:rsidP="00536CFD">
            <w:pPr>
              <w:spacing w:after="0"/>
              <w:jc w:val="center"/>
            </w:pPr>
            <w:r w:rsidRPr="00536CFD">
              <w:t>12.1%</w:t>
            </w:r>
          </w:p>
        </w:tc>
        <w:tc>
          <w:tcPr>
            <w:tcW w:w="0" w:type="auto"/>
          </w:tcPr>
          <w:p w14:paraId="25B20447" w14:textId="77777777" w:rsidR="004346F3" w:rsidRPr="00536CFD" w:rsidRDefault="004346F3" w:rsidP="00536CFD">
            <w:pPr>
              <w:spacing w:after="0"/>
              <w:jc w:val="center"/>
            </w:pPr>
            <w:r w:rsidRPr="00536CFD">
              <w:t>26.6%</w:t>
            </w:r>
          </w:p>
        </w:tc>
      </w:tr>
      <w:tr w:rsidR="004346F3" w:rsidRPr="00536CFD" w14:paraId="07E69FDA" w14:textId="77777777" w:rsidTr="00536CFD">
        <w:trPr>
          <w:cantSplit/>
          <w:trHeight w:val="22"/>
        </w:trPr>
        <w:tc>
          <w:tcPr>
            <w:tcW w:w="0" w:type="auto"/>
            <w:vMerge/>
          </w:tcPr>
          <w:p w14:paraId="70D506F1" w14:textId="77777777" w:rsidR="004346F3" w:rsidRPr="00536CFD" w:rsidRDefault="004346F3" w:rsidP="00536CFD">
            <w:pPr>
              <w:spacing w:after="0"/>
              <w:jc w:val="center"/>
            </w:pPr>
          </w:p>
        </w:tc>
        <w:tc>
          <w:tcPr>
            <w:tcW w:w="0" w:type="auto"/>
            <w:gridSpan w:val="2"/>
          </w:tcPr>
          <w:p w14:paraId="37785246" w14:textId="77777777" w:rsidR="004346F3" w:rsidRPr="00536CFD" w:rsidRDefault="004346F3" w:rsidP="00536CFD">
            <w:pPr>
              <w:spacing w:after="0"/>
              <w:jc w:val="center"/>
            </w:pPr>
            <w:r w:rsidRPr="00536CFD">
              <w:rPr>
                <w:rFonts w:ascii="Cambria Math" w:hAnsi="Cambria Math" w:cs="Cambria Math"/>
              </w:rPr>
              <w:t>𝜆</w:t>
            </w:r>
          </w:p>
        </w:tc>
        <w:tc>
          <w:tcPr>
            <w:tcW w:w="0" w:type="auto"/>
            <w:gridSpan w:val="2"/>
          </w:tcPr>
          <w:p w14:paraId="1DF911B0" w14:textId="77777777" w:rsidR="004346F3" w:rsidRPr="00536CFD" w:rsidRDefault="004346F3" w:rsidP="00536CFD">
            <w:pPr>
              <w:spacing w:after="0"/>
              <w:jc w:val="center"/>
            </w:pPr>
            <w:r w:rsidRPr="00536CFD">
              <w:t>0.19 file/s</w:t>
            </w:r>
          </w:p>
        </w:tc>
        <w:tc>
          <w:tcPr>
            <w:tcW w:w="0" w:type="auto"/>
            <w:gridSpan w:val="5"/>
          </w:tcPr>
          <w:p w14:paraId="772840A3" w14:textId="77777777" w:rsidR="004346F3" w:rsidRPr="00536CFD" w:rsidRDefault="004346F3" w:rsidP="00536CFD">
            <w:pPr>
              <w:spacing w:after="0"/>
              <w:jc w:val="center"/>
            </w:pPr>
            <w:r w:rsidRPr="00536CFD">
              <w:t>0.24 file/s</w:t>
            </w:r>
          </w:p>
        </w:tc>
        <w:tc>
          <w:tcPr>
            <w:tcW w:w="0" w:type="auto"/>
            <w:gridSpan w:val="5"/>
          </w:tcPr>
          <w:p w14:paraId="5E4493CA" w14:textId="77777777" w:rsidR="004346F3" w:rsidRPr="00536CFD" w:rsidRDefault="004346F3" w:rsidP="00536CFD">
            <w:pPr>
              <w:spacing w:after="0"/>
              <w:jc w:val="center"/>
            </w:pPr>
            <w:r w:rsidRPr="00536CFD">
              <w:t>0.28 file/s</w:t>
            </w:r>
          </w:p>
        </w:tc>
      </w:tr>
      <w:tr w:rsidR="004346F3" w:rsidRPr="00536CFD" w14:paraId="64B375C6" w14:textId="77777777" w:rsidTr="00536CFD">
        <w:trPr>
          <w:cantSplit/>
          <w:trHeight w:val="22"/>
        </w:trPr>
        <w:tc>
          <w:tcPr>
            <w:tcW w:w="0" w:type="auto"/>
            <w:vMerge/>
          </w:tcPr>
          <w:p w14:paraId="358F1E26" w14:textId="77777777" w:rsidR="004346F3" w:rsidRPr="00536CFD" w:rsidRDefault="004346F3" w:rsidP="00536CFD">
            <w:pPr>
              <w:spacing w:after="0"/>
              <w:jc w:val="center"/>
            </w:pPr>
          </w:p>
        </w:tc>
        <w:tc>
          <w:tcPr>
            <w:tcW w:w="0" w:type="auto"/>
            <w:gridSpan w:val="2"/>
          </w:tcPr>
          <w:p w14:paraId="4E847B3C" w14:textId="77777777" w:rsidR="004346F3" w:rsidRPr="00536CFD" w:rsidRDefault="004346F3" w:rsidP="00536CFD">
            <w:pPr>
              <w:spacing w:after="0"/>
              <w:jc w:val="center"/>
            </w:pPr>
          </w:p>
        </w:tc>
        <w:tc>
          <w:tcPr>
            <w:tcW w:w="0" w:type="auto"/>
            <w:gridSpan w:val="12"/>
          </w:tcPr>
          <w:p w14:paraId="4B78880F" w14:textId="6ED5C392" w:rsidR="004346F3" w:rsidRPr="00536CFD" w:rsidRDefault="004346F3" w:rsidP="00536CFD">
            <w:pPr>
              <w:pStyle w:val="ResTable"/>
              <w:jc w:val="left"/>
              <w:rPr>
                <w:rFonts w:ascii="Times New Roman" w:hAnsi="Times New Roman" w:cs="Times New Roman"/>
                <w:sz w:val="20"/>
                <w:szCs w:val="20"/>
              </w:rPr>
            </w:pPr>
            <w:r w:rsidRPr="00536CFD">
              <w:rPr>
                <w:rFonts w:ascii="Times New Roman" w:hAnsi="Times New Roman" w:cs="Times New Roman"/>
                <w:sz w:val="20"/>
                <w:szCs w:val="20"/>
              </w:rPr>
              <w:t>Additional comments:</w:t>
            </w:r>
          </w:p>
          <w:p w14:paraId="6A088A6D" w14:textId="77777777" w:rsidR="004346F3" w:rsidRPr="00536CFD" w:rsidRDefault="004346F3" w:rsidP="00536CFD">
            <w:pPr>
              <w:pStyle w:val="ListParagraph"/>
              <w:ind w:firstLineChars="0" w:firstLine="0"/>
              <w:rPr>
                <w:lang w:eastAsia="ja-JP"/>
              </w:rPr>
            </w:pPr>
            <w:r w:rsidRPr="00536CFD">
              <w:rPr>
                <w:b/>
                <w:bCs/>
                <w:lang w:eastAsia="sv-SE"/>
              </w:rPr>
              <w:t>Simulation setup:</w:t>
            </w:r>
            <w:r w:rsidRPr="00536CFD">
              <w:rPr>
                <w:lang w:eastAsia="sv-SE"/>
              </w:rPr>
              <w:t xml:space="preserve"> NR-U outdoor scenario 1, NR-U+NR-U coexistence, 50/50 DL/UL traffics. </w:t>
            </w:r>
            <w:r w:rsidRPr="00536CFD">
              <w:br/>
            </w:r>
            <w:r w:rsidRPr="00536CFD">
              <w:rPr>
                <w:b/>
                <w:bCs/>
              </w:rPr>
              <w:t>NR-U assumptions:</w:t>
            </w:r>
            <w:r w:rsidRPr="00536CFD">
              <w:t xml:space="preserve"> Primary LBT: Cat-4 LBT with exponential CW back-off, MCOT duration: 6ms, Max modulation: 256 QAM, Antennas: 4 for BS and 2 for UE, BF scheme: Tx and Rx BF at BS, Maximal number of layers: 2 for DL and 2 for UL, single carrier with 20MHz BW, BS transmit power 20dBm, UE transmit power 18dBm, MMSE-IRC receiver, CW {min,max} DL{15,63} UL{15,1023}.</w:t>
            </w:r>
            <w:r w:rsidRPr="00536CFD">
              <w:br/>
              <w:t>UE processing time capability #1, PUSCH mapping Type A, PDSCH mapping Type B, PDCCH monitoring every 1OS, Scheduling: proportional fair, self-scheduling. COT sharing enabled (gNB initiated COT).</w:t>
            </w:r>
          </w:p>
        </w:tc>
      </w:tr>
      <w:tr w:rsidR="004346F3" w:rsidRPr="00536CFD" w14:paraId="27B5CAC9" w14:textId="77777777" w:rsidTr="00536CFD">
        <w:trPr>
          <w:cantSplit/>
          <w:trHeight w:val="22"/>
        </w:trPr>
        <w:tc>
          <w:tcPr>
            <w:tcW w:w="0" w:type="auto"/>
            <w:gridSpan w:val="15"/>
          </w:tcPr>
          <w:p w14:paraId="53BA28A3" w14:textId="77777777" w:rsidR="004346F3" w:rsidRPr="00536CFD" w:rsidRDefault="004346F3" w:rsidP="00536CFD">
            <w:pPr>
              <w:pageBreakBefore/>
              <w:spacing w:after="0" w:line="257" w:lineRule="auto"/>
              <w:jc w:val="center"/>
            </w:pPr>
            <w:r w:rsidRPr="00536CFD">
              <w:t>Evaluation results of NR-U in an NR-U + Wi-Fi coexistence in outdoor scenario 1</w:t>
            </w:r>
          </w:p>
        </w:tc>
      </w:tr>
      <w:tr w:rsidR="00536CFD" w:rsidRPr="00536CFD" w14:paraId="5F2D5165" w14:textId="77777777" w:rsidTr="00536CFD">
        <w:trPr>
          <w:cantSplit/>
          <w:trHeight w:val="22"/>
        </w:trPr>
        <w:tc>
          <w:tcPr>
            <w:tcW w:w="0" w:type="auto"/>
            <w:vMerge w:val="restart"/>
            <w:textDirection w:val="btLr"/>
          </w:tcPr>
          <w:p w14:paraId="3B095B51" w14:textId="596383BE" w:rsidR="00536CFD" w:rsidRPr="00536CFD" w:rsidRDefault="00536CFD" w:rsidP="00536CFD">
            <w:pPr>
              <w:spacing w:after="0"/>
              <w:ind w:left="113" w:right="113"/>
              <w:jc w:val="center"/>
            </w:pPr>
            <w:r w:rsidRPr="00536CFD">
              <w:t>Tdoc /Source</w:t>
            </w:r>
          </w:p>
        </w:tc>
        <w:tc>
          <w:tcPr>
            <w:tcW w:w="0" w:type="auto"/>
            <w:gridSpan w:val="2"/>
            <w:vMerge w:val="restart"/>
            <w:vAlign w:val="center"/>
          </w:tcPr>
          <w:p w14:paraId="4F7CE72B" w14:textId="77777777" w:rsidR="00536CFD" w:rsidRPr="00536CFD" w:rsidRDefault="00536CFD" w:rsidP="00536CFD">
            <w:pPr>
              <w:spacing w:after="0"/>
              <w:jc w:val="center"/>
            </w:pPr>
            <w:r w:rsidRPr="00536CFD">
              <w:t>Reported parameters</w:t>
            </w:r>
          </w:p>
        </w:tc>
        <w:tc>
          <w:tcPr>
            <w:tcW w:w="0" w:type="auto"/>
            <w:gridSpan w:val="2"/>
          </w:tcPr>
          <w:p w14:paraId="05BD41DA" w14:textId="77777777" w:rsidR="00536CFD" w:rsidRPr="00536CFD" w:rsidRDefault="00536CFD" w:rsidP="00536CFD">
            <w:pPr>
              <w:spacing w:after="0"/>
              <w:jc w:val="center"/>
              <w:rPr>
                <w:u w:val="single"/>
              </w:rPr>
            </w:pPr>
            <w:r w:rsidRPr="00536CFD">
              <w:rPr>
                <w:u w:val="single"/>
              </w:rPr>
              <w:t>Low load</w:t>
            </w:r>
          </w:p>
          <w:p w14:paraId="48940AE2" w14:textId="77777777" w:rsidR="00536CFD" w:rsidRPr="00536CFD" w:rsidRDefault="00536CFD" w:rsidP="00536CFD">
            <w:pPr>
              <w:spacing w:after="0"/>
              <w:jc w:val="center"/>
              <w:rPr>
                <w:u w:val="single"/>
              </w:rPr>
            </w:pPr>
            <w:r w:rsidRPr="00536CFD">
              <w:t xml:space="preserve">BO range for NR-U in </w:t>
            </w:r>
            <w:r w:rsidRPr="00536CFD">
              <w:br/>
              <w:t xml:space="preserve">NR-U + Wi-Fi, with NR-U uses ED = -72dBm: </w:t>
            </w:r>
            <w:r w:rsidRPr="00536CFD">
              <w:rPr>
                <w:rFonts w:eastAsia="MS Mincho"/>
              </w:rPr>
              <w:t>10%~25%</w:t>
            </w:r>
          </w:p>
        </w:tc>
        <w:tc>
          <w:tcPr>
            <w:tcW w:w="0" w:type="auto"/>
            <w:gridSpan w:val="5"/>
          </w:tcPr>
          <w:p w14:paraId="72724CE6" w14:textId="77777777" w:rsidR="00536CFD" w:rsidRPr="00536CFD" w:rsidRDefault="00536CFD" w:rsidP="00536CFD">
            <w:pPr>
              <w:spacing w:after="0"/>
              <w:jc w:val="center"/>
              <w:rPr>
                <w:u w:val="single"/>
              </w:rPr>
            </w:pPr>
            <w:r w:rsidRPr="00536CFD">
              <w:rPr>
                <w:u w:val="single"/>
              </w:rPr>
              <w:t>Medium load</w:t>
            </w:r>
          </w:p>
          <w:p w14:paraId="25FD1ABA" w14:textId="77777777" w:rsidR="00536CFD" w:rsidRPr="00536CFD" w:rsidRDefault="00536CFD" w:rsidP="00536CFD">
            <w:pPr>
              <w:spacing w:after="0"/>
              <w:jc w:val="center"/>
              <w:rPr>
                <w:u w:val="single"/>
              </w:rPr>
            </w:pPr>
            <w:r w:rsidRPr="00536CFD">
              <w:t xml:space="preserve">BO range for NR-U in </w:t>
            </w:r>
            <w:r w:rsidRPr="00536CFD">
              <w:br/>
              <w:t xml:space="preserve">NR-U + Wi-Fi, with NR-U uses ED = -72dBm: </w:t>
            </w:r>
            <w:r w:rsidRPr="00536CFD">
              <w:rPr>
                <w:rFonts w:eastAsia="MS Mincho"/>
              </w:rPr>
              <w:t>35%~50%</w:t>
            </w:r>
          </w:p>
        </w:tc>
        <w:tc>
          <w:tcPr>
            <w:tcW w:w="0" w:type="auto"/>
            <w:gridSpan w:val="5"/>
          </w:tcPr>
          <w:p w14:paraId="79F71F1E" w14:textId="77777777" w:rsidR="00536CFD" w:rsidRPr="00536CFD" w:rsidRDefault="00536CFD" w:rsidP="00536CFD">
            <w:pPr>
              <w:spacing w:after="0"/>
              <w:jc w:val="center"/>
              <w:rPr>
                <w:u w:val="single"/>
              </w:rPr>
            </w:pPr>
            <w:r w:rsidRPr="00536CFD">
              <w:rPr>
                <w:u w:val="single"/>
              </w:rPr>
              <w:t>High load</w:t>
            </w:r>
          </w:p>
          <w:p w14:paraId="1871C207" w14:textId="77777777" w:rsidR="00536CFD" w:rsidRPr="00536CFD" w:rsidRDefault="00536CFD" w:rsidP="00536CFD">
            <w:pPr>
              <w:spacing w:after="0"/>
              <w:jc w:val="center"/>
              <w:rPr>
                <w:u w:val="single"/>
              </w:rPr>
            </w:pPr>
            <w:r w:rsidRPr="00536CFD">
              <w:t xml:space="preserve">BO range for NR-U in </w:t>
            </w:r>
            <w:r w:rsidRPr="00536CFD">
              <w:br/>
              <w:t>NR-U + Wi-Fi, with NR-U uses ED = -72dBm: above 55%</w:t>
            </w:r>
          </w:p>
        </w:tc>
      </w:tr>
      <w:tr w:rsidR="00536CFD" w:rsidRPr="00536CFD" w14:paraId="57016BBE" w14:textId="77777777" w:rsidTr="00536CFD">
        <w:trPr>
          <w:cantSplit/>
          <w:trHeight w:val="22"/>
        </w:trPr>
        <w:tc>
          <w:tcPr>
            <w:tcW w:w="0" w:type="auto"/>
            <w:vMerge/>
          </w:tcPr>
          <w:p w14:paraId="68987B23" w14:textId="77777777" w:rsidR="00536CFD" w:rsidRPr="00536CFD" w:rsidRDefault="00536CFD" w:rsidP="00536CFD">
            <w:pPr>
              <w:spacing w:after="0"/>
              <w:jc w:val="center"/>
            </w:pPr>
          </w:p>
        </w:tc>
        <w:tc>
          <w:tcPr>
            <w:tcW w:w="0" w:type="auto"/>
            <w:gridSpan w:val="2"/>
            <w:vMerge/>
          </w:tcPr>
          <w:p w14:paraId="3CB8D9B0" w14:textId="77777777" w:rsidR="00536CFD" w:rsidRPr="00536CFD" w:rsidRDefault="00536CFD" w:rsidP="00536CFD">
            <w:pPr>
              <w:spacing w:after="0"/>
              <w:jc w:val="center"/>
            </w:pPr>
          </w:p>
        </w:tc>
        <w:tc>
          <w:tcPr>
            <w:tcW w:w="0" w:type="auto"/>
          </w:tcPr>
          <w:p w14:paraId="1A8404F7" w14:textId="77777777" w:rsidR="00536CFD" w:rsidRPr="00536CFD" w:rsidRDefault="00536CFD" w:rsidP="00536CFD">
            <w:pPr>
              <w:spacing w:after="0"/>
              <w:jc w:val="center"/>
            </w:pPr>
            <w:r w:rsidRPr="00536CFD">
              <w:t>NR-U in NR-U + Wi-Fi, with NR-U uses ED = -72dBm</w:t>
            </w:r>
          </w:p>
          <w:p w14:paraId="55BF2AE8" w14:textId="77777777" w:rsidR="00536CFD" w:rsidRPr="00536CFD" w:rsidRDefault="00536CFD" w:rsidP="00536CFD">
            <w:pPr>
              <w:spacing w:after="0"/>
              <w:jc w:val="center"/>
              <w:rPr>
                <w:u w:val="single"/>
              </w:rPr>
            </w:pPr>
          </w:p>
        </w:tc>
        <w:tc>
          <w:tcPr>
            <w:tcW w:w="0" w:type="auto"/>
          </w:tcPr>
          <w:p w14:paraId="21DDE272" w14:textId="77777777" w:rsidR="00536CFD" w:rsidRPr="00536CFD" w:rsidRDefault="00536CFD" w:rsidP="00536CFD">
            <w:pPr>
              <w:spacing w:after="0"/>
              <w:jc w:val="center"/>
            </w:pPr>
            <w:r w:rsidRPr="00536CFD">
              <w:t>NR-U in NR-U + Wi-Fi, with NR-U uses preamble</w:t>
            </w:r>
          </w:p>
          <w:p w14:paraId="5844F2EC" w14:textId="77777777" w:rsidR="00536CFD" w:rsidRPr="00536CFD" w:rsidRDefault="00536CFD" w:rsidP="00536CFD">
            <w:pPr>
              <w:spacing w:after="0"/>
              <w:jc w:val="center"/>
              <w:rPr>
                <w:u w:val="single"/>
              </w:rPr>
            </w:pPr>
          </w:p>
        </w:tc>
        <w:tc>
          <w:tcPr>
            <w:tcW w:w="0" w:type="auto"/>
            <w:gridSpan w:val="3"/>
          </w:tcPr>
          <w:p w14:paraId="68283AD2" w14:textId="77777777" w:rsidR="00536CFD" w:rsidRPr="00536CFD" w:rsidRDefault="00536CFD" w:rsidP="00536CFD">
            <w:pPr>
              <w:spacing w:after="0"/>
              <w:jc w:val="center"/>
            </w:pPr>
            <w:r w:rsidRPr="00536CFD">
              <w:t>NR-U in NR-U + Wi-Fi, with NR-U uses ED = -72dBm</w:t>
            </w:r>
          </w:p>
          <w:p w14:paraId="6A658A7D" w14:textId="77777777" w:rsidR="00536CFD" w:rsidRPr="00536CFD" w:rsidRDefault="00536CFD" w:rsidP="00536CFD">
            <w:pPr>
              <w:spacing w:after="0"/>
              <w:jc w:val="center"/>
              <w:rPr>
                <w:u w:val="single"/>
              </w:rPr>
            </w:pPr>
          </w:p>
        </w:tc>
        <w:tc>
          <w:tcPr>
            <w:tcW w:w="0" w:type="auto"/>
            <w:gridSpan w:val="2"/>
          </w:tcPr>
          <w:p w14:paraId="547ED572" w14:textId="77777777" w:rsidR="00536CFD" w:rsidRPr="00536CFD" w:rsidRDefault="00536CFD" w:rsidP="00536CFD">
            <w:pPr>
              <w:spacing w:after="0"/>
              <w:jc w:val="center"/>
            </w:pPr>
            <w:r w:rsidRPr="00536CFD">
              <w:t>NR-U in NR-U + Wi-Fi, with NR-U uses preamble</w:t>
            </w:r>
          </w:p>
          <w:p w14:paraId="20CF4FCE" w14:textId="77777777" w:rsidR="00536CFD" w:rsidRPr="00536CFD" w:rsidRDefault="00536CFD" w:rsidP="00536CFD">
            <w:pPr>
              <w:spacing w:after="0"/>
              <w:jc w:val="center"/>
              <w:rPr>
                <w:u w:val="single"/>
              </w:rPr>
            </w:pPr>
          </w:p>
        </w:tc>
        <w:tc>
          <w:tcPr>
            <w:tcW w:w="0" w:type="auto"/>
            <w:gridSpan w:val="2"/>
          </w:tcPr>
          <w:p w14:paraId="4C356010" w14:textId="77777777" w:rsidR="00536CFD" w:rsidRPr="00536CFD" w:rsidRDefault="00536CFD" w:rsidP="00536CFD">
            <w:pPr>
              <w:spacing w:after="0"/>
              <w:jc w:val="center"/>
            </w:pPr>
            <w:r w:rsidRPr="00536CFD">
              <w:t>NR-U in NR-U + Wi-Fi, with NR-U uses ED = -72dBm</w:t>
            </w:r>
          </w:p>
          <w:p w14:paraId="36B31191" w14:textId="77777777" w:rsidR="00536CFD" w:rsidRPr="00536CFD" w:rsidRDefault="00536CFD" w:rsidP="00536CFD">
            <w:pPr>
              <w:spacing w:after="0"/>
              <w:jc w:val="center"/>
              <w:rPr>
                <w:u w:val="single"/>
              </w:rPr>
            </w:pPr>
          </w:p>
        </w:tc>
        <w:tc>
          <w:tcPr>
            <w:tcW w:w="0" w:type="auto"/>
            <w:gridSpan w:val="3"/>
          </w:tcPr>
          <w:p w14:paraId="0EB5B3A8" w14:textId="77777777" w:rsidR="00536CFD" w:rsidRPr="00536CFD" w:rsidRDefault="00536CFD" w:rsidP="00536CFD">
            <w:pPr>
              <w:spacing w:after="0"/>
              <w:jc w:val="center"/>
            </w:pPr>
            <w:r w:rsidRPr="00536CFD">
              <w:t>NR-U in NR-U + Wi-Fi, with NR-U uses preamble</w:t>
            </w:r>
          </w:p>
          <w:p w14:paraId="6BB9EE8C" w14:textId="77777777" w:rsidR="00536CFD" w:rsidRPr="00536CFD" w:rsidRDefault="00536CFD" w:rsidP="00536CFD">
            <w:pPr>
              <w:spacing w:after="0"/>
              <w:jc w:val="center"/>
              <w:rPr>
                <w:u w:val="single"/>
              </w:rPr>
            </w:pPr>
          </w:p>
        </w:tc>
      </w:tr>
      <w:tr w:rsidR="00536CFD" w:rsidRPr="00536CFD" w14:paraId="7CF2D85D" w14:textId="77777777" w:rsidTr="00536CFD">
        <w:trPr>
          <w:cantSplit/>
          <w:trHeight w:val="22"/>
        </w:trPr>
        <w:tc>
          <w:tcPr>
            <w:tcW w:w="0" w:type="auto"/>
            <w:vMerge w:val="restart"/>
            <w:textDirection w:val="btLr"/>
          </w:tcPr>
          <w:p w14:paraId="6C8F2DAA" w14:textId="77777777" w:rsidR="004346F3" w:rsidRPr="00536CFD" w:rsidRDefault="004346F3" w:rsidP="00536CFD">
            <w:pPr>
              <w:spacing w:after="0"/>
              <w:ind w:left="113" w:right="113"/>
              <w:jc w:val="center"/>
            </w:pPr>
            <w:r w:rsidRPr="00536CFD">
              <w:t>R1-1814021 / Source 8</w:t>
            </w:r>
          </w:p>
        </w:tc>
        <w:tc>
          <w:tcPr>
            <w:tcW w:w="0" w:type="auto"/>
            <w:vMerge w:val="restart"/>
          </w:tcPr>
          <w:p w14:paraId="4BD7C433" w14:textId="19BCBC84" w:rsidR="004346F3" w:rsidRPr="00536CFD" w:rsidRDefault="004346F3" w:rsidP="00536CFD">
            <w:pPr>
              <w:spacing w:after="0"/>
              <w:jc w:val="center"/>
            </w:pPr>
            <w:r w:rsidRPr="00536CFD">
              <w:t>DL:</w:t>
            </w:r>
          </w:p>
          <w:p w14:paraId="2F8EB2AB" w14:textId="77777777" w:rsidR="004346F3" w:rsidRPr="00536CFD" w:rsidRDefault="004346F3" w:rsidP="00536CFD">
            <w:pPr>
              <w:spacing w:after="0"/>
              <w:jc w:val="center"/>
            </w:pPr>
            <w:r w:rsidRPr="00536CFD">
              <w:t>UPT CDF</w:t>
            </w:r>
          </w:p>
          <w:p w14:paraId="1069114E" w14:textId="77777777" w:rsidR="004346F3" w:rsidRPr="00536CFD" w:rsidRDefault="004346F3" w:rsidP="00536CFD">
            <w:pPr>
              <w:spacing w:after="0"/>
              <w:jc w:val="center"/>
            </w:pPr>
            <w:r w:rsidRPr="00536CFD">
              <w:t>[Mbps]</w:t>
            </w:r>
          </w:p>
        </w:tc>
        <w:tc>
          <w:tcPr>
            <w:tcW w:w="0" w:type="auto"/>
          </w:tcPr>
          <w:p w14:paraId="29C9A63E" w14:textId="77777777" w:rsidR="004346F3" w:rsidRPr="00536CFD" w:rsidRDefault="004346F3" w:rsidP="00536CFD">
            <w:pPr>
              <w:spacing w:after="0"/>
              <w:jc w:val="center"/>
            </w:pPr>
            <w:r w:rsidRPr="00536CFD">
              <w:t>5%</w:t>
            </w:r>
          </w:p>
        </w:tc>
        <w:tc>
          <w:tcPr>
            <w:tcW w:w="0" w:type="auto"/>
          </w:tcPr>
          <w:p w14:paraId="37FB683F" w14:textId="77777777" w:rsidR="004346F3" w:rsidRPr="00536CFD" w:rsidRDefault="004346F3" w:rsidP="00536CFD">
            <w:pPr>
              <w:spacing w:after="0"/>
              <w:jc w:val="center"/>
            </w:pPr>
            <w:r w:rsidRPr="00536CFD">
              <w:t>26.29</w:t>
            </w:r>
          </w:p>
        </w:tc>
        <w:tc>
          <w:tcPr>
            <w:tcW w:w="0" w:type="auto"/>
          </w:tcPr>
          <w:p w14:paraId="42DB1CEB" w14:textId="77777777" w:rsidR="004346F3" w:rsidRPr="00536CFD" w:rsidRDefault="004346F3" w:rsidP="00536CFD">
            <w:pPr>
              <w:spacing w:after="0"/>
              <w:jc w:val="center"/>
            </w:pPr>
            <w:r w:rsidRPr="00536CFD">
              <w:t>28.06</w:t>
            </w:r>
          </w:p>
        </w:tc>
        <w:tc>
          <w:tcPr>
            <w:tcW w:w="0" w:type="auto"/>
            <w:gridSpan w:val="3"/>
          </w:tcPr>
          <w:p w14:paraId="6AF129A7" w14:textId="77777777" w:rsidR="004346F3" w:rsidRPr="00536CFD" w:rsidRDefault="004346F3" w:rsidP="00536CFD">
            <w:pPr>
              <w:spacing w:after="0"/>
              <w:jc w:val="center"/>
            </w:pPr>
            <w:r w:rsidRPr="00536CFD">
              <w:t>8.67</w:t>
            </w:r>
          </w:p>
        </w:tc>
        <w:tc>
          <w:tcPr>
            <w:tcW w:w="0" w:type="auto"/>
            <w:gridSpan w:val="2"/>
          </w:tcPr>
          <w:p w14:paraId="40D7D40B" w14:textId="77777777" w:rsidR="004346F3" w:rsidRPr="00536CFD" w:rsidRDefault="004346F3" w:rsidP="00536CFD">
            <w:pPr>
              <w:spacing w:after="0"/>
              <w:jc w:val="center"/>
            </w:pPr>
            <w:r w:rsidRPr="00536CFD">
              <w:t>2.15</w:t>
            </w:r>
          </w:p>
        </w:tc>
        <w:tc>
          <w:tcPr>
            <w:tcW w:w="0" w:type="auto"/>
            <w:gridSpan w:val="2"/>
          </w:tcPr>
          <w:p w14:paraId="32EE84E3" w14:textId="77777777" w:rsidR="004346F3" w:rsidRPr="00536CFD" w:rsidRDefault="004346F3" w:rsidP="00536CFD">
            <w:pPr>
              <w:spacing w:after="0"/>
              <w:jc w:val="center"/>
            </w:pPr>
            <w:r w:rsidRPr="00536CFD">
              <w:t>1.35</w:t>
            </w:r>
          </w:p>
        </w:tc>
        <w:tc>
          <w:tcPr>
            <w:tcW w:w="0" w:type="auto"/>
            <w:gridSpan w:val="3"/>
          </w:tcPr>
          <w:p w14:paraId="036CB89C" w14:textId="77777777" w:rsidR="004346F3" w:rsidRPr="00536CFD" w:rsidRDefault="004346F3" w:rsidP="00536CFD">
            <w:pPr>
              <w:spacing w:after="0"/>
              <w:jc w:val="center"/>
            </w:pPr>
            <w:r w:rsidRPr="00536CFD">
              <w:t>0.18</w:t>
            </w:r>
          </w:p>
        </w:tc>
      </w:tr>
      <w:tr w:rsidR="00536CFD" w:rsidRPr="00536CFD" w14:paraId="503A0AE8" w14:textId="77777777" w:rsidTr="00536CFD">
        <w:trPr>
          <w:cantSplit/>
          <w:trHeight w:val="22"/>
        </w:trPr>
        <w:tc>
          <w:tcPr>
            <w:tcW w:w="0" w:type="auto"/>
            <w:vMerge/>
          </w:tcPr>
          <w:p w14:paraId="0B63619F" w14:textId="77777777" w:rsidR="004346F3" w:rsidRPr="00536CFD" w:rsidRDefault="004346F3" w:rsidP="00536CFD">
            <w:pPr>
              <w:spacing w:after="0"/>
              <w:jc w:val="center"/>
            </w:pPr>
          </w:p>
        </w:tc>
        <w:tc>
          <w:tcPr>
            <w:tcW w:w="0" w:type="auto"/>
            <w:vMerge/>
          </w:tcPr>
          <w:p w14:paraId="7EA4D1B9" w14:textId="77777777" w:rsidR="004346F3" w:rsidRPr="00536CFD" w:rsidRDefault="004346F3" w:rsidP="00536CFD">
            <w:pPr>
              <w:spacing w:after="0"/>
              <w:jc w:val="center"/>
            </w:pPr>
          </w:p>
        </w:tc>
        <w:tc>
          <w:tcPr>
            <w:tcW w:w="0" w:type="auto"/>
          </w:tcPr>
          <w:p w14:paraId="140E928E" w14:textId="77777777" w:rsidR="004346F3" w:rsidRPr="00536CFD" w:rsidRDefault="004346F3" w:rsidP="00536CFD">
            <w:pPr>
              <w:spacing w:after="0"/>
              <w:jc w:val="center"/>
            </w:pPr>
            <w:r w:rsidRPr="00536CFD">
              <w:t>50%</w:t>
            </w:r>
          </w:p>
        </w:tc>
        <w:tc>
          <w:tcPr>
            <w:tcW w:w="0" w:type="auto"/>
          </w:tcPr>
          <w:p w14:paraId="0E191E3E" w14:textId="77777777" w:rsidR="004346F3" w:rsidRPr="00536CFD" w:rsidRDefault="004346F3" w:rsidP="00536CFD">
            <w:pPr>
              <w:spacing w:after="0"/>
              <w:jc w:val="center"/>
            </w:pPr>
            <w:r w:rsidRPr="00536CFD">
              <w:t>72.79</w:t>
            </w:r>
          </w:p>
        </w:tc>
        <w:tc>
          <w:tcPr>
            <w:tcW w:w="0" w:type="auto"/>
          </w:tcPr>
          <w:p w14:paraId="74A9DD07" w14:textId="77777777" w:rsidR="004346F3" w:rsidRPr="00536CFD" w:rsidRDefault="004346F3" w:rsidP="00536CFD">
            <w:pPr>
              <w:spacing w:after="0"/>
              <w:jc w:val="center"/>
            </w:pPr>
            <w:r w:rsidRPr="00536CFD">
              <w:t>73.75</w:t>
            </w:r>
          </w:p>
        </w:tc>
        <w:tc>
          <w:tcPr>
            <w:tcW w:w="0" w:type="auto"/>
            <w:gridSpan w:val="3"/>
          </w:tcPr>
          <w:p w14:paraId="339151B3" w14:textId="77777777" w:rsidR="004346F3" w:rsidRPr="00536CFD" w:rsidRDefault="004346F3" w:rsidP="00536CFD">
            <w:pPr>
              <w:spacing w:after="0"/>
              <w:jc w:val="center"/>
            </w:pPr>
            <w:r w:rsidRPr="00536CFD">
              <w:t>34.89</w:t>
            </w:r>
          </w:p>
        </w:tc>
        <w:tc>
          <w:tcPr>
            <w:tcW w:w="0" w:type="auto"/>
            <w:gridSpan w:val="2"/>
          </w:tcPr>
          <w:p w14:paraId="68F8191D" w14:textId="77777777" w:rsidR="004346F3" w:rsidRPr="00536CFD" w:rsidRDefault="004346F3" w:rsidP="00536CFD">
            <w:pPr>
              <w:spacing w:after="0"/>
              <w:jc w:val="center"/>
            </w:pPr>
            <w:r w:rsidRPr="00536CFD">
              <w:t>20.76</w:t>
            </w:r>
          </w:p>
        </w:tc>
        <w:tc>
          <w:tcPr>
            <w:tcW w:w="0" w:type="auto"/>
            <w:gridSpan w:val="2"/>
          </w:tcPr>
          <w:p w14:paraId="10E86C9E" w14:textId="77777777" w:rsidR="004346F3" w:rsidRPr="00536CFD" w:rsidRDefault="004346F3" w:rsidP="00536CFD">
            <w:pPr>
              <w:spacing w:after="0"/>
              <w:jc w:val="center"/>
            </w:pPr>
            <w:r w:rsidRPr="00536CFD">
              <w:t>11.29</w:t>
            </w:r>
          </w:p>
        </w:tc>
        <w:tc>
          <w:tcPr>
            <w:tcW w:w="0" w:type="auto"/>
            <w:gridSpan w:val="3"/>
          </w:tcPr>
          <w:p w14:paraId="3F9B9F46" w14:textId="77777777" w:rsidR="004346F3" w:rsidRPr="00536CFD" w:rsidRDefault="004346F3" w:rsidP="00536CFD">
            <w:pPr>
              <w:spacing w:after="0"/>
              <w:jc w:val="center"/>
            </w:pPr>
            <w:r w:rsidRPr="00536CFD">
              <w:t>7.05</w:t>
            </w:r>
          </w:p>
        </w:tc>
      </w:tr>
      <w:tr w:rsidR="00536CFD" w:rsidRPr="00536CFD" w14:paraId="7347099E" w14:textId="77777777" w:rsidTr="00536CFD">
        <w:trPr>
          <w:cantSplit/>
          <w:trHeight w:val="22"/>
        </w:trPr>
        <w:tc>
          <w:tcPr>
            <w:tcW w:w="0" w:type="auto"/>
            <w:vMerge/>
          </w:tcPr>
          <w:p w14:paraId="5DC15540" w14:textId="77777777" w:rsidR="004346F3" w:rsidRPr="00536CFD" w:rsidRDefault="004346F3" w:rsidP="00536CFD">
            <w:pPr>
              <w:spacing w:after="0"/>
              <w:jc w:val="center"/>
            </w:pPr>
          </w:p>
        </w:tc>
        <w:tc>
          <w:tcPr>
            <w:tcW w:w="0" w:type="auto"/>
            <w:vMerge/>
          </w:tcPr>
          <w:p w14:paraId="5CF05276" w14:textId="77777777" w:rsidR="004346F3" w:rsidRPr="00536CFD" w:rsidRDefault="004346F3" w:rsidP="00536CFD">
            <w:pPr>
              <w:spacing w:after="0"/>
              <w:jc w:val="center"/>
            </w:pPr>
          </w:p>
        </w:tc>
        <w:tc>
          <w:tcPr>
            <w:tcW w:w="0" w:type="auto"/>
          </w:tcPr>
          <w:p w14:paraId="0A986D62" w14:textId="77777777" w:rsidR="004346F3" w:rsidRPr="00536CFD" w:rsidRDefault="004346F3" w:rsidP="00536CFD">
            <w:pPr>
              <w:spacing w:after="0"/>
              <w:jc w:val="center"/>
            </w:pPr>
            <w:r w:rsidRPr="00536CFD">
              <w:t>95%</w:t>
            </w:r>
          </w:p>
        </w:tc>
        <w:tc>
          <w:tcPr>
            <w:tcW w:w="0" w:type="auto"/>
          </w:tcPr>
          <w:p w14:paraId="14A90D64" w14:textId="77777777" w:rsidR="004346F3" w:rsidRPr="00536CFD" w:rsidRDefault="004346F3" w:rsidP="00536CFD">
            <w:pPr>
              <w:spacing w:after="0"/>
              <w:jc w:val="center"/>
            </w:pPr>
            <w:r w:rsidRPr="00536CFD">
              <w:t>110.03</w:t>
            </w:r>
          </w:p>
        </w:tc>
        <w:tc>
          <w:tcPr>
            <w:tcW w:w="0" w:type="auto"/>
          </w:tcPr>
          <w:p w14:paraId="34735F10" w14:textId="77777777" w:rsidR="004346F3" w:rsidRPr="00536CFD" w:rsidRDefault="004346F3" w:rsidP="00536CFD">
            <w:pPr>
              <w:spacing w:after="0"/>
              <w:jc w:val="center"/>
            </w:pPr>
            <w:r w:rsidRPr="00536CFD">
              <w:t>106.60</w:t>
            </w:r>
          </w:p>
        </w:tc>
        <w:tc>
          <w:tcPr>
            <w:tcW w:w="0" w:type="auto"/>
            <w:gridSpan w:val="3"/>
          </w:tcPr>
          <w:p w14:paraId="4912C952" w14:textId="77777777" w:rsidR="004346F3" w:rsidRPr="00536CFD" w:rsidRDefault="004346F3" w:rsidP="00536CFD">
            <w:pPr>
              <w:spacing w:after="0"/>
              <w:jc w:val="center"/>
            </w:pPr>
            <w:r w:rsidRPr="00536CFD">
              <w:t>72.10</w:t>
            </w:r>
          </w:p>
        </w:tc>
        <w:tc>
          <w:tcPr>
            <w:tcW w:w="0" w:type="auto"/>
            <w:gridSpan w:val="2"/>
          </w:tcPr>
          <w:p w14:paraId="70C226D4" w14:textId="77777777" w:rsidR="004346F3" w:rsidRPr="00536CFD" w:rsidRDefault="004346F3" w:rsidP="00536CFD">
            <w:pPr>
              <w:spacing w:after="0"/>
              <w:jc w:val="center"/>
            </w:pPr>
            <w:r w:rsidRPr="00536CFD">
              <w:t>53.85</w:t>
            </w:r>
          </w:p>
        </w:tc>
        <w:tc>
          <w:tcPr>
            <w:tcW w:w="0" w:type="auto"/>
            <w:gridSpan w:val="2"/>
          </w:tcPr>
          <w:p w14:paraId="63587D43" w14:textId="77777777" w:rsidR="004346F3" w:rsidRPr="00536CFD" w:rsidRDefault="004346F3" w:rsidP="00536CFD">
            <w:pPr>
              <w:spacing w:after="0"/>
              <w:jc w:val="center"/>
            </w:pPr>
            <w:r w:rsidRPr="00536CFD">
              <w:t>42.05</w:t>
            </w:r>
          </w:p>
        </w:tc>
        <w:tc>
          <w:tcPr>
            <w:tcW w:w="0" w:type="auto"/>
            <w:gridSpan w:val="3"/>
          </w:tcPr>
          <w:p w14:paraId="54CA630F" w14:textId="77777777" w:rsidR="004346F3" w:rsidRPr="00536CFD" w:rsidRDefault="004346F3" w:rsidP="00536CFD">
            <w:pPr>
              <w:spacing w:after="0"/>
              <w:jc w:val="center"/>
            </w:pPr>
            <w:r w:rsidRPr="00536CFD">
              <w:t>33.89</w:t>
            </w:r>
          </w:p>
        </w:tc>
      </w:tr>
      <w:tr w:rsidR="00536CFD" w:rsidRPr="00536CFD" w14:paraId="25FE7BA5" w14:textId="77777777" w:rsidTr="00536CFD">
        <w:trPr>
          <w:cantSplit/>
          <w:trHeight w:val="22"/>
        </w:trPr>
        <w:tc>
          <w:tcPr>
            <w:tcW w:w="0" w:type="auto"/>
            <w:vMerge/>
          </w:tcPr>
          <w:p w14:paraId="0748E412" w14:textId="77777777" w:rsidR="004346F3" w:rsidRPr="00536CFD" w:rsidRDefault="004346F3" w:rsidP="00536CFD">
            <w:pPr>
              <w:spacing w:after="0"/>
              <w:jc w:val="center"/>
            </w:pPr>
          </w:p>
        </w:tc>
        <w:tc>
          <w:tcPr>
            <w:tcW w:w="0" w:type="auto"/>
            <w:vMerge/>
          </w:tcPr>
          <w:p w14:paraId="126228C9" w14:textId="77777777" w:rsidR="004346F3" w:rsidRPr="00536CFD" w:rsidRDefault="004346F3" w:rsidP="00536CFD">
            <w:pPr>
              <w:spacing w:after="0"/>
              <w:jc w:val="center"/>
            </w:pPr>
          </w:p>
        </w:tc>
        <w:tc>
          <w:tcPr>
            <w:tcW w:w="0" w:type="auto"/>
          </w:tcPr>
          <w:p w14:paraId="5AC35ADE" w14:textId="77777777" w:rsidR="004346F3" w:rsidRPr="00536CFD" w:rsidRDefault="004346F3" w:rsidP="00536CFD">
            <w:pPr>
              <w:spacing w:after="0"/>
              <w:jc w:val="center"/>
            </w:pPr>
            <w:r w:rsidRPr="00536CFD">
              <w:t>Mean</w:t>
            </w:r>
          </w:p>
        </w:tc>
        <w:tc>
          <w:tcPr>
            <w:tcW w:w="0" w:type="auto"/>
          </w:tcPr>
          <w:p w14:paraId="1381EB2A" w14:textId="77777777" w:rsidR="004346F3" w:rsidRPr="00536CFD" w:rsidRDefault="004346F3" w:rsidP="00536CFD">
            <w:pPr>
              <w:spacing w:after="0"/>
              <w:jc w:val="center"/>
            </w:pPr>
            <w:r w:rsidRPr="00536CFD">
              <w:t>73.48</w:t>
            </w:r>
          </w:p>
        </w:tc>
        <w:tc>
          <w:tcPr>
            <w:tcW w:w="0" w:type="auto"/>
          </w:tcPr>
          <w:p w14:paraId="7A276F0A" w14:textId="77777777" w:rsidR="004346F3" w:rsidRPr="00536CFD" w:rsidRDefault="004346F3" w:rsidP="00536CFD">
            <w:pPr>
              <w:spacing w:after="0"/>
              <w:jc w:val="center"/>
            </w:pPr>
            <w:r w:rsidRPr="00536CFD">
              <w:t>71.96</w:t>
            </w:r>
          </w:p>
        </w:tc>
        <w:tc>
          <w:tcPr>
            <w:tcW w:w="0" w:type="auto"/>
            <w:gridSpan w:val="3"/>
          </w:tcPr>
          <w:p w14:paraId="55DBC918" w14:textId="77777777" w:rsidR="004346F3" w:rsidRPr="00536CFD" w:rsidRDefault="004346F3" w:rsidP="00536CFD">
            <w:pPr>
              <w:spacing w:after="0"/>
              <w:jc w:val="center"/>
            </w:pPr>
            <w:r w:rsidRPr="00536CFD">
              <w:t>37.92</w:t>
            </w:r>
          </w:p>
        </w:tc>
        <w:tc>
          <w:tcPr>
            <w:tcW w:w="0" w:type="auto"/>
            <w:gridSpan w:val="2"/>
          </w:tcPr>
          <w:p w14:paraId="6BBE7E4D" w14:textId="77777777" w:rsidR="004346F3" w:rsidRPr="00536CFD" w:rsidRDefault="004346F3" w:rsidP="00536CFD">
            <w:pPr>
              <w:spacing w:after="0"/>
              <w:jc w:val="center"/>
            </w:pPr>
            <w:r w:rsidRPr="00536CFD">
              <w:t>25.20</w:t>
            </w:r>
          </w:p>
        </w:tc>
        <w:tc>
          <w:tcPr>
            <w:tcW w:w="0" w:type="auto"/>
            <w:gridSpan w:val="2"/>
          </w:tcPr>
          <w:p w14:paraId="06002EFC" w14:textId="77777777" w:rsidR="004346F3" w:rsidRPr="00536CFD" w:rsidRDefault="004346F3" w:rsidP="00536CFD">
            <w:pPr>
              <w:spacing w:after="0"/>
              <w:jc w:val="center"/>
            </w:pPr>
            <w:r w:rsidRPr="00536CFD">
              <w:t>15.87</w:t>
            </w:r>
          </w:p>
        </w:tc>
        <w:tc>
          <w:tcPr>
            <w:tcW w:w="0" w:type="auto"/>
            <w:gridSpan w:val="3"/>
          </w:tcPr>
          <w:p w14:paraId="5017394F" w14:textId="77777777" w:rsidR="004346F3" w:rsidRPr="00536CFD" w:rsidRDefault="004346F3" w:rsidP="00536CFD">
            <w:pPr>
              <w:spacing w:after="0"/>
              <w:jc w:val="center"/>
            </w:pPr>
            <w:r w:rsidRPr="00536CFD">
              <w:t>11.64</w:t>
            </w:r>
          </w:p>
        </w:tc>
      </w:tr>
      <w:tr w:rsidR="00536CFD" w:rsidRPr="00536CFD" w14:paraId="2B6CE1CA" w14:textId="77777777" w:rsidTr="00536CFD">
        <w:trPr>
          <w:cantSplit/>
          <w:trHeight w:val="22"/>
        </w:trPr>
        <w:tc>
          <w:tcPr>
            <w:tcW w:w="0" w:type="auto"/>
            <w:vMerge/>
          </w:tcPr>
          <w:p w14:paraId="2EDA2AA8" w14:textId="77777777" w:rsidR="004346F3" w:rsidRPr="00536CFD" w:rsidRDefault="004346F3" w:rsidP="00536CFD">
            <w:pPr>
              <w:spacing w:after="0"/>
              <w:jc w:val="center"/>
            </w:pPr>
          </w:p>
        </w:tc>
        <w:tc>
          <w:tcPr>
            <w:tcW w:w="0" w:type="auto"/>
            <w:vMerge w:val="restart"/>
          </w:tcPr>
          <w:p w14:paraId="02A32DFA" w14:textId="77777777" w:rsidR="004346F3" w:rsidRPr="00536CFD" w:rsidRDefault="004346F3" w:rsidP="00536CFD">
            <w:pPr>
              <w:spacing w:after="0"/>
              <w:jc w:val="center"/>
            </w:pPr>
            <w:r w:rsidRPr="00536CFD">
              <w:t>DL:</w:t>
            </w:r>
          </w:p>
          <w:p w14:paraId="4927731C" w14:textId="77777777" w:rsidR="004346F3" w:rsidRPr="00536CFD" w:rsidRDefault="004346F3" w:rsidP="00536CFD">
            <w:pPr>
              <w:spacing w:after="0"/>
              <w:jc w:val="center"/>
            </w:pPr>
            <w:r w:rsidRPr="00536CFD">
              <w:t>Delay CDF</w:t>
            </w:r>
          </w:p>
          <w:p w14:paraId="0977E839" w14:textId="77777777" w:rsidR="004346F3" w:rsidRPr="00536CFD" w:rsidRDefault="004346F3" w:rsidP="00536CFD">
            <w:pPr>
              <w:spacing w:after="0"/>
              <w:jc w:val="center"/>
            </w:pPr>
            <w:r w:rsidRPr="00536CFD">
              <w:t>[s]</w:t>
            </w:r>
          </w:p>
        </w:tc>
        <w:tc>
          <w:tcPr>
            <w:tcW w:w="0" w:type="auto"/>
          </w:tcPr>
          <w:p w14:paraId="58147E2A" w14:textId="77777777" w:rsidR="004346F3" w:rsidRPr="00536CFD" w:rsidRDefault="004346F3" w:rsidP="00536CFD">
            <w:pPr>
              <w:spacing w:after="0"/>
              <w:jc w:val="center"/>
            </w:pPr>
            <w:r w:rsidRPr="00536CFD">
              <w:t>5%</w:t>
            </w:r>
          </w:p>
        </w:tc>
        <w:tc>
          <w:tcPr>
            <w:tcW w:w="0" w:type="auto"/>
          </w:tcPr>
          <w:p w14:paraId="2538F896" w14:textId="77777777" w:rsidR="004346F3" w:rsidRPr="00536CFD" w:rsidRDefault="004346F3" w:rsidP="00536CFD">
            <w:pPr>
              <w:spacing w:after="0"/>
              <w:jc w:val="center"/>
            </w:pPr>
            <w:r w:rsidRPr="00536CFD">
              <w:t>0.029</w:t>
            </w:r>
          </w:p>
        </w:tc>
        <w:tc>
          <w:tcPr>
            <w:tcW w:w="0" w:type="auto"/>
          </w:tcPr>
          <w:p w14:paraId="15A5587A" w14:textId="77777777" w:rsidR="004346F3" w:rsidRPr="00536CFD" w:rsidRDefault="004346F3" w:rsidP="00536CFD">
            <w:pPr>
              <w:spacing w:after="0"/>
              <w:jc w:val="center"/>
            </w:pPr>
            <w:r w:rsidRPr="00536CFD">
              <w:t>0.031</w:t>
            </w:r>
          </w:p>
        </w:tc>
        <w:tc>
          <w:tcPr>
            <w:tcW w:w="0" w:type="auto"/>
            <w:gridSpan w:val="3"/>
          </w:tcPr>
          <w:p w14:paraId="03400CD3" w14:textId="77777777" w:rsidR="004346F3" w:rsidRPr="00536CFD" w:rsidRDefault="004346F3" w:rsidP="00536CFD">
            <w:pPr>
              <w:spacing w:after="0"/>
              <w:jc w:val="center"/>
            </w:pPr>
            <w:r w:rsidRPr="00536CFD">
              <w:t>0.072</w:t>
            </w:r>
          </w:p>
        </w:tc>
        <w:tc>
          <w:tcPr>
            <w:tcW w:w="0" w:type="auto"/>
            <w:gridSpan w:val="2"/>
          </w:tcPr>
          <w:p w14:paraId="4B38BF96" w14:textId="77777777" w:rsidR="004346F3" w:rsidRPr="00536CFD" w:rsidRDefault="004346F3" w:rsidP="00536CFD">
            <w:pPr>
              <w:spacing w:after="0"/>
              <w:jc w:val="center"/>
            </w:pPr>
            <w:r w:rsidRPr="00536CFD">
              <w:t>0.065</w:t>
            </w:r>
          </w:p>
        </w:tc>
        <w:tc>
          <w:tcPr>
            <w:tcW w:w="0" w:type="auto"/>
            <w:gridSpan w:val="2"/>
          </w:tcPr>
          <w:p w14:paraId="5B1ABB87" w14:textId="77777777" w:rsidR="004346F3" w:rsidRPr="00536CFD" w:rsidRDefault="004346F3" w:rsidP="00536CFD">
            <w:pPr>
              <w:spacing w:after="0"/>
              <w:jc w:val="center"/>
            </w:pPr>
            <w:r w:rsidRPr="00536CFD">
              <w:t>0.138</w:t>
            </w:r>
          </w:p>
        </w:tc>
        <w:tc>
          <w:tcPr>
            <w:tcW w:w="0" w:type="auto"/>
            <w:gridSpan w:val="3"/>
          </w:tcPr>
          <w:p w14:paraId="2B991950" w14:textId="77777777" w:rsidR="004346F3" w:rsidRPr="00536CFD" w:rsidRDefault="004346F3" w:rsidP="00536CFD">
            <w:pPr>
              <w:spacing w:after="0"/>
              <w:jc w:val="center"/>
            </w:pPr>
            <w:r w:rsidRPr="00536CFD">
              <w:t>0.091</w:t>
            </w:r>
          </w:p>
        </w:tc>
      </w:tr>
      <w:tr w:rsidR="00536CFD" w:rsidRPr="00536CFD" w14:paraId="0EEC50C8" w14:textId="77777777" w:rsidTr="00536CFD">
        <w:trPr>
          <w:cantSplit/>
          <w:trHeight w:val="22"/>
        </w:trPr>
        <w:tc>
          <w:tcPr>
            <w:tcW w:w="0" w:type="auto"/>
            <w:vMerge/>
          </w:tcPr>
          <w:p w14:paraId="0B1EC00D" w14:textId="77777777" w:rsidR="004346F3" w:rsidRPr="00536CFD" w:rsidRDefault="004346F3" w:rsidP="00536CFD">
            <w:pPr>
              <w:spacing w:after="0"/>
              <w:jc w:val="center"/>
            </w:pPr>
          </w:p>
        </w:tc>
        <w:tc>
          <w:tcPr>
            <w:tcW w:w="0" w:type="auto"/>
            <w:vMerge/>
          </w:tcPr>
          <w:p w14:paraId="35BA7902" w14:textId="77777777" w:rsidR="004346F3" w:rsidRPr="00536CFD" w:rsidRDefault="004346F3" w:rsidP="00536CFD">
            <w:pPr>
              <w:spacing w:after="0"/>
              <w:jc w:val="center"/>
            </w:pPr>
          </w:p>
        </w:tc>
        <w:tc>
          <w:tcPr>
            <w:tcW w:w="0" w:type="auto"/>
          </w:tcPr>
          <w:p w14:paraId="4DC103BD" w14:textId="77777777" w:rsidR="004346F3" w:rsidRPr="00536CFD" w:rsidRDefault="004346F3" w:rsidP="00536CFD">
            <w:pPr>
              <w:spacing w:after="0"/>
              <w:jc w:val="center"/>
            </w:pPr>
            <w:r w:rsidRPr="00536CFD">
              <w:t>50%</w:t>
            </w:r>
          </w:p>
        </w:tc>
        <w:tc>
          <w:tcPr>
            <w:tcW w:w="0" w:type="auto"/>
          </w:tcPr>
          <w:p w14:paraId="00B9447A" w14:textId="77777777" w:rsidR="004346F3" w:rsidRPr="00536CFD" w:rsidRDefault="004346F3" w:rsidP="00536CFD">
            <w:pPr>
              <w:spacing w:after="0"/>
              <w:jc w:val="center"/>
            </w:pPr>
            <w:r w:rsidRPr="00536CFD">
              <w:t>0.066</w:t>
            </w:r>
          </w:p>
        </w:tc>
        <w:tc>
          <w:tcPr>
            <w:tcW w:w="0" w:type="auto"/>
          </w:tcPr>
          <w:p w14:paraId="5E84B57D" w14:textId="77777777" w:rsidR="004346F3" w:rsidRPr="00536CFD" w:rsidRDefault="004346F3" w:rsidP="00536CFD">
            <w:pPr>
              <w:spacing w:after="0"/>
              <w:jc w:val="center"/>
            </w:pPr>
            <w:r w:rsidRPr="00536CFD">
              <w:t>0.088</w:t>
            </w:r>
          </w:p>
        </w:tc>
        <w:tc>
          <w:tcPr>
            <w:tcW w:w="0" w:type="auto"/>
            <w:gridSpan w:val="3"/>
          </w:tcPr>
          <w:p w14:paraId="24336CF5" w14:textId="77777777" w:rsidR="004346F3" w:rsidRPr="00536CFD" w:rsidRDefault="004346F3" w:rsidP="00536CFD">
            <w:pPr>
              <w:spacing w:after="0"/>
              <w:jc w:val="center"/>
            </w:pPr>
            <w:r w:rsidRPr="00536CFD">
              <w:t>0.498</w:t>
            </w:r>
          </w:p>
        </w:tc>
        <w:tc>
          <w:tcPr>
            <w:tcW w:w="0" w:type="auto"/>
            <w:gridSpan w:val="2"/>
          </w:tcPr>
          <w:p w14:paraId="63E7AB33" w14:textId="77777777" w:rsidR="004346F3" w:rsidRPr="00536CFD" w:rsidRDefault="004346F3" w:rsidP="00536CFD">
            <w:pPr>
              <w:spacing w:after="0"/>
              <w:jc w:val="center"/>
            </w:pPr>
            <w:r w:rsidRPr="00536CFD">
              <w:t>0.849</w:t>
            </w:r>
          </w:p>
        </w:tc>
        <w:tc>
          <w:tcPr>
            <w:tcW w:w="0" w:type="auto"/>
            <w:gridSpan w:val="2"/>
          </w:tcPr>
          <w:p w14:paraId="499FA635" w14:textId="77777777" w:rsidR="004346F3" w:rsidRPr="00536CFD" w:rsidRDefault="004346F3" w:rsidP="00536CFD">
            <w:pPr>
              <w:spacing w:after="0"/>
              <w:jc w:val="center"/>
            </w:pPr>
            <w:r w:rsidRPr="00536CFD">
              <w:t>1.417</w:t>
            </w:r>
          </w:p>
        </w:tc>
        <w:tc>
          <w:tcPr>
            <w:tcW w:w="0" w:type="auto"/>
            <w:gridSpan w:val="3"/>
          </w:tcPr>
          <w:p w14:paraId="0CB82190" w14:textId="77777777" w:rsidR="004346F3" w:rsidRPr="00536CFD" w:rsidRDefault="004346F3" w:rsidP="00536CFD">
            <w:pPr>
              <w:spacing w:after="0"/>
              <w:jc w:val="center"/>
            </w:pPr>
            <w:r w:rsidRPr="00536CFD">
              <w:t>1.416</w:t>
            </w:r>
          </w:p>
        </w:tc>
      </w:tr>
      <w:tr w:rsidR="00536CFD" w:rsidRPr="00536CFD" w14:paraId="51324B26" w14:textId="77777777" w:rsidTr="00536CFD">
        <w:trPr>
          <w:cantSplit/>
          <w:trHeight w:val="22"/>
        </w:trPr>
        <w:tc>
          <w:tcPr>
            <w:tcW w:w="0" w:type="auto"/>
            <w:vMerge/>
          </w:tcPr>
          <w:p w14:paraId="1AE3B65D" w14:textId="77777777" w:rsidR="004346F3" w:rsidRPr="00536CFD" w:rsidRDefault="004346F3" w:rsidP="00536CFD">
            <w:pPr>
              <w:spacing w:after="0"/>
              <w:jc w:val="center"/>
            </w:pPr>
          </w:p>
        </w:tc>
        <w:tc>
          <w:tcPr>
            <w:tcW w:w="0" w:type="auto"/>
            <w:vMerge/>
          </w:tcPr>
          <w:p w14:paraId="2CD7DFFC" w14:textId="77777777" w:rsidR="004346F3" w:rsidRPr="00536CFD" w:rsidRDefault="004346F3" w:rsidP="00536CFD">
            <w:pPr>
              <w:spacing w:after="0"/>
              <w:jc w:val="center"/>
            </w:pPr>
          </w:p>
        </w:tc>
        <w:tc>
          <w:tcPr>
            <w:tcW w:w="0" w:type="auto"/>
          </w:tcPr>
          <w:p w14:paraId="70B883FC" w14:textId="77777777" w:rsidR="004346F3" w:rsidRPr="00536CFD" w:rsidRDefault="004346F3" w:rsidP="00536CFD">
            <w:pPr>
              <w:spacing w:after="0"/>
              <w:jc w:val="center"/>
            </w:pPr>
            <w:r w:rsidRPr="00536CFD">
              <w:t>95%</w:t>
            </w:r>
          </w:p>
        </w:tc>
        <w:tc>
          <w:tcPr>
            <w:tcW w:w="0" w:type="auto"/>
          </w:tcPr>
          <w:p w14:paraId="71AC58A6" w14:textId="77777777" w:rsidR="004346F3" w:rsidRPr="00536CFD" w:rsidRDefault="004346F3" w:rsidP="00536CFD">
            <w:pPr>
              <w:spacing w:after="0"/>
              <w:jc w:val="center"/>
            </w:pPr>
            <w:r w:rsidRPr="00536CFD">
              <w:t>0.283</w:t>
            </w:r>
          </w:p>
        </w:tc>
        <w:tc>
          <w:tcPr>
            <w:tcW w:w="0" w:type="auto"/>
          </w:tcPr>
          <w:p w14:paraId="7BD1CD1D" w14:textId="77777777" w:rsidR="004346F3" w:rsidRPr="00536CFD" w:rsidRDefault="004346F3" w:rsidP="00536CFD">
            <w:pPr>
              <w:spacing w:after="0"/>
              <w:jc w:val="center"/>
            </w:pPr>
            <w:r w:rsidRPr="00536CFD">
              <w:t>0.531</w:t>
            </w:r>
          </w:p>
        </w:tc>
        <w:tc>
          <w:tcPr>
            <w:tcW w:w="0" w:type="auto"/>
            <w:gridSpan w:val="3"/>
          </w:tcPr>
          <w:p w14:paraId="3AB6D8A2" w14:textId="77777777" w:rsidR="004346F3" w:rsidRPr="00536CFD" w:rsidRDefault="004346F3" w:rsidP="00536CFD">
            <w:pPr>
              <w:spacing w:after="0"/>
              <w:jc w:val="center"/>
            </w:pPr>
            <w:r w:rsidRPr="00536CFD">
              <w:t>3.807</w:t>
            </w:r>
          </w:p>
        </w:tc>
        <w:tc>
          <w:tcPr>
            <w:tcW w:w="0" w:type="auto"/>
            <w:gridSpan w:val="2"/>
          </w:tcPr>
          <w:p w14:paraId="13A18583" w14:textId="77777777" w:rsidR="004346F3" w:rsidRPr="00536CFD" w:rsidRDefault="004346F3" w:rsidP="00536CFD">
            <w:pPr>
              <w:spacing w:after="0"/>
              <w:jc w:val="center"/>
            </w:pPr>
            <w:r w:rsidRPr="00536CFD">
              <w:t>7.306</w:t>
            </w:r>
          </w:p>
        </w:tc>
        <w:tc>
          <w:tcPr>
            <w:tcW w:w="0" w:type="auto"/>
            <w:gridSpan w:val="2"/>
          </w:tcPr>
          <w:p w14:paraId="368BB115" w14:textId="77777777" w:rsidR="004346F3" w:rsidRPr="00536CFD" w:rsidRDefault="004346F3" w:rsidP="00536CFD">
            <w:pPr>
              <w:spacing w:after="0"/>
              <w:jc w:val="center"/>
            </w:pPr>
            <w:r w:rsidRPr="00536CFD">
              <w:t>8.852</w:t>
            </w:r>
          </w:p>
        </w:tc>
        <w:tc>
          <w:tcPr>
            <w:tcW w:w="0" w:type="auto"/>
            <w:gridSpan w:val="3"/>
          </w:tcPr>
          <w:p w14:paraId="281538D7" w14:textId="77777777" w:rsidR="004346F3" w:rsidRPr="00536CFD" w:rsidRDefault="004346F3" w:rsidP="00536CFD">
            <w:pPr>
              <w:spacing w:after="0"/>
              <w:jc w:val="center"/>
            </w:pPr>
            <w:r w:rsidRPr="00536CFD">
              <w:t>10.218</w:t>
            </w:r>
          </w:p>
        </w:tc>
      </w:tr>
      <w:tr w:rsidR="00536CFD" w:rsidRPr="00536CFD" w14:paraId="01C266F1" w14:textId="77777777" w:rsidTr="00536CFD">
        <w:trPr>
          <w:cantSplit/>
          <w:trHeight w:val="22"/>
        </w:trPr>
        <w:tc>
          <w:tcPr>
            <w:tcW w:w="0" w:type="auto"/>
            <w:vMerge/>
          </w:tcPr>
          <w:p w14:paraId="1179CFBE" w14:textId="77777777" w:rsidR="004346F3" w:rsidRPr="00536CFD" w:rsidRDefault="004346F3" w:rsidP="00536CFD">
            <w:pPr>
              <w:spacing w:after="0"/>
              <w:jc w:val="center"/>
            </w:pPr>
          </w:p>
        </w:tc>
        <w:tc>
          <w:tcPr>
            <w:tcW w:w="0" w:type="auto"/>
            <w:vMerge/>
          </w:tcPr>
          <w:p w14:paraId="092364D3" w14:textId="77777777" w:rsidR="004346F3" w:rsidRPr="00536CFD" w:rsidRDefault="004346F3" w:rsidP="00536CFD">
            <w:pPr>
              <w:spacing w:after="0"/>
              <w:jc w:val="center"/>
            </w:pPr>
          </w:p>
        </w:tc>
        <w:tc>
          <w:tcPr>
            <w:tcW w:w="0" w:type="auto"/>
          </w:tcPr>
          <w:p w14:paraId="2DDF99FE" w14:textId="77777777" w:rsidR="004346F3" w:rsidRPr="00536CFD" w:rsidRDefault="004346F3" w:rsidP="00536CFD">
            <w:pPr>
              <w:spacing w:after="0"/>
              <w:jc w:val="center"/>
            </w:pPr>
            <w:r w:rsidRPr="00536CFD">
              <w:t>Mean</w:t>
            </w:r>
          </w:p>
        </w:tc>
        <w:tc>
          <w:tcPr>
            <w:tcW w:w="0" w:type="auto"/>
          </w:tcPr>
          <w:p w14:paraId="7623669C" w14:textId="77777777" w:rsidR="004346F3" w:rsidRPr="00536CFD" w:rsidRDefault="004346F3" w:rsidP="00536CFD">
            <w:pPr>
              <w:spacing w:after="0"/>
              <w:jc w:val="center"/>
            </w:pPr>
            <w:r w:rsidRPr="00536CFD">
              <w:t>0.107</w:t>
            </w:r>
          </w:p>
        </w:tc>
        <w:tc>
          <w:tcPr>
            <w:tcW w:w="0" w:type="auto"/>
          </w:tcPr>
          <w:p w14:paraId="4724577F" w14:textId="77777777" w:rsidR="004346F3" w:rsidRPr="00536CFD" w:rsidRDefault="004346F3" w:rsidP="00536CFD">
            <w:pPr>
              <w:spacing w:after="0"/>
              <w:jc w:val="center"/>
            </w:pPr>
            <w:r w:rsidRPr="00536CFD">
              <w:t>0.170</w:t>
            </w:r>
          </w:p>
        </w:tc>
        <w:tc>
          <w:tcPr>
            <w:tcW w:w="0" w:type="auto"/>
            <w:gridSpan w:val="3"/>
          </w:tcPr>
          <w:p w14:paraId="583D8178" w14:textId="77777777" w:rsidR="004346F3" w:rsidRPr="00536CFD" w:rsidRDefault="004346F3" w:rsidP="00536CFD">
            <w:pPr>
              <w:spacing w:after="0"/>
              <w:jc w:val="center"/>
            </w:pPr>
            <w:r w:rsidRPr="00536CFD">
              <w:t>1.064</w:t>
            </w:r>
          </w:p>
        </w:tc>
        <w:tc>
          <w:tcPr>
            <w:tcW w:w="0" w:type="auto"/>
            <w:gridSpan w:val="2"/>
          </w:tcPr>
          <w:p w14:paraId="4A9CCCBB" w14:textId="77777777" w:rsidR="004346F3" w:rsidRPr="00536CFD" w:rsidRDefault="004346F3" w:rsidP="00536CFD">
            <w:pPr>
              <w:spacing w:after="0"/>
              <w:jc w:val="center"/>
            </w:pPr>
            <w:r w:rsidRPr="00536CFD">
              <w:t>2.061</w:t>
            </w:r>
          </w:p>
        </w:tc>
        <w:tc>
          <w:tcPr>
            <w:tcW w:w="0" w:type="auto"/>
            <w:gridSpan w:val="2"/>
          </w:tcPr>
          <w:p w14:paraId="7C671099" w14:textId="77777777" w:rsidR="004346F3" w:rsidRPr="00536CFD" w:rsidRDefault="004346F3" w:rsidP="00536CFD">
            <w:pPr>
              <w:spacing w:after="0"/>
              <w:jc w:val="center"/>
            </w:pPr>
            <w:r w:rsidRPr="00536CFD">
              <w:t>2.716</w:t>
            </w:r>
          </w:p>
        </w:tc>
        <w:tc>
          <w:tcPr>
            <w:tcW w:w="0" w:type="auto"/>
            <w:gridSpan w:val="3"/>
          </w:tcPr>
          <w:p w14:paraId="18F4C8A7" w14:textId="77777777" w:rsidR="004346F3" w:rsidRPr="00536CFD" w:rsidRDefault="004346F3" w:rsidP="00536CFD">
            <w:pPr>
              <w:spacing w:after="0"/>
              <w:jc w:val="center"/>
            </w:pPr>
            <w:r w:rsidRPr="00536CFD">
              <w:t>3.120</w:t>
            </w:r>
          </w:p>
        </w:tc>
      </w:tr>
      <w:tr w:rsidR="00536CFD" w:rsidRPr="00536CFD" w14:paraId="0A0AF7A1" w14:textId="77777777" w:rsidTr="00536CFD">
        <w:trPr>
          <w:cantSplit/>
          <w:trHeight w:val="22"/>
        </w:trPr>
        <w:tc>
          <w:tcPr>
            <w:tcW w:w="0" w:type="auto"/>
            <w:vMerge/>
          </w:tcPr>
          <w:p w14:paraId="19F3EED7" w14:textId="77777777" w:rsidR="004346F3" w:rsidRPr="00536CFD" w:rsidRDefault="004346F3" w:rsidP="00536CFD">
            <w:pPr>
              <w:spacing w:after="0"/>
              <w:jc w:val="center"/>
            </w:pPr>
          </w:p>
        </w:tc>
        <w:tc>
          <w:tcPr>
            <w:tcW w:w="0" w:type="auto"/>
            <w:vMerge w:val="restart"/>
          </w:tcPr>
          <w:p w14:paraId="3E1E65EE" w14:textId="77777777" w:rsidR="004346F3" w:rsidRPr="00536CFD" w:rsidRDefault="004346F3" w:rsidP="00536CFD">
            <w:pPr>
              <w:spacing w:after="0"/>
              <w:jc w:val="center"/>
            </w:pPr>
            <w:r w:rsidRPr="00536CFD">
              <w:t>UL:</w:t>
            </w:r>
          </w:p>
          <w:p w14:paraId="2F39324E" w14:textId="77777777" w:rsidR="004346F3" w:rsidRPr="00536CFD" w:rsidRDefault="004346F3" w:rsidP="00536CFD">
            <w:pPr>
              <w:spacing w:after="0"/>
              <w:jc w:val="center"/>
            </w:pPr>
            <w:r w:rsidRPr="00536CFD">
              <w:t>UPT CDF</w:t>
            </w:r>
          </w:p>
          <w:p w14:paraId="404BA1D1" w14:textId="77777777" w:rsidR="004346F3" w:rsidRPr="00536CFD" w:rsidRDefault="004346F3" w:rsidP="00536CFD">
            <w:pPr>
              <w:spacing w:after="0"/>
              <w:jc w:val="center"/>
            </w:pPr>
            <w:r w:rsidRPr="00536CFD">
              <w:t>[Mbps]</w:t>
            </w:r>
          </w:p>
        </w:tc>
        <w:tc>
          <w:tcPr>
            <w:tcW w:w="0" w:type="auto"/>
          </w:tcPr>
          <w:p w14:paraId="308BB3B5" w14:textId="77777777" w:rsidR="004346F3" w:rsidRPr="00536CFD" w:rsidRDefault="004346F3" w:rsidP="00536CFD">
            <w:pPr>
              <w:spacing w:after="0"/>
              <w:jc w:val="center"/>
            </w:pPr>
            <w:r w:rsidRPr="00536CFD">
              <w:t>5%</w:t>
            </w:r>
          </w:p>
        </w:tc>
        <w:tc>
          <w:tcPr>
            <w:tcW w:w="0" w:type="auto"/>
          </w:tcPr>
          <w:p w14:paraId="7A79E5FD" w14:textId="77777777" w:rsidR="004346F3" w:rsidRPr="00536CFD" w:rsidRDefault="004346F3" w:rsidP="00536CFD">
            <w:pPr>
              <w:spacing w:after="0"/>
              <w:jc w:val="center"/>
            </w:pPr>
            <w:r w:rsidRPr="00536CFD">
              <w:t>16.25</w:t>
            </w:r>
          </w:p>
        </w:tc>
        <w:tc>
          <w:tcPr>
            <w:tcW w:w="0" w:type="auto"/>
          </w:tcPr>
          <w:p w14:paraId="317926CD" w14:textId="77777777" w:rsidR="004346F3" w:rsidRPr="00536CFD" w:rsidRDefault="004346F3" w:rsidP="00536CFD">
            <w:pPr>
              <w:spacing w:after="0"/>
              <w:jc w:val="center"/>
            </w:pPr>
            <w:r w:rsidRPr="00536CFD">
              <w:t>15.63</w:t>
            </w:r>
          </w:p>
        </w:tc>
        <w:tc>
          <w:tcPr>
            <w:tcW w:w="0" w:type="auto"/>
            <w:gridSpan w:val="3"/>
          </w:tcPr>
          <w:p w14:paraId="0FD2651C" w14:textId="77777777" w:rsidR="004346F3" w:rsidRPr="00536CFD" w:rsidRDefault="004346F3" w:rsidP="00536CFD">
            <w:pPr>
              <w:spacing w:after="0"/>
              <w:jc w:val="center"/>
            </w:pPr>
            <w:r w:rsidRPr="00536CFD">
              <w:t>3.93</w:t>
            </w:r>
          </w:p>
        </w:tc>
        <w:tc>
          <w:tcPr>
            <w:tcW w:w="0" w:type="auto"/>
            <w:gridSpan w:val="2"/>
          </w:tcPr>
          <w:p w14:paraId="157DA676" w14:textId="77777777" w:rsidR="004346F3" w:rsidRPr="00536CFD" w:rsidRDefault="004346F3" w:rsidP="00536CFD">
            <w:pPr>
              <w:spacing w:after="0"/>
              <w:jc w:val="center"/>
            </w:pPr>
            <w:r w:rsidRPr="00536CFD">
              <w:t>1.13</w:t>
            </w:r>
          </w:p>
        </w:tc>
        <w:tc>
          <w:tcPr>
            <w:tcW w:w="0" w:type="auto"/>
            <w:gridSpan w:val="2"/>
          </w:tcPr>
          <w:p w14:paraId="1067B4B1" w14:textId="77777777" w:rsidR="004346F3" w:rsidRPr="00536CFD" w:rsidRDefault="004346F3" w:rsidP="00536CFD">
            <w:pPr>
              <w:spacing w:after="0"/>
              <w:jc w:val="center"/>
            </w:pPr>
            <w:r w:rsidRPr="00536CFD">
              <w:t>0.27</w:t>
            </w:r>
          </w:p>
        </w:tc>
        <w:tc>
          <w:tcPr>
            <w:tcW w:w="0" w:type="auto"/>
            <w:gridSpan w:val="3"/>
          </w:tcPr>
          <w:p w14:paraId="758BAA23" w14:textId="77777777" w:rsidR="004346F3" w:rsidRPr="00536CFD" w:rsidRDefault="004346F3" w:rsidP="00536CFD">
            <w:pPr>
              <w:spacing w:after="0"/>
              <w:jc w:val="center"/>
            </w:pPr>
            <w:r w:rsidRPr="00536CFD">
              <w:t>0.08</w:t>
            </w:r>
          </w:p>
        </w:tc>
      </w:tr>
      <w:tr w:rsidR="00536CFD" w:rsidRPr="00536CFD" w14:paraId="252E34CF" w14:textId="77777777" w:rsidTr="00536CFD">
        <w:trPr>
          <w:cantSplit/>
          <w:trHeight w:val="22"/>
        </w:trPr>
        <w:tc>
          <w:tcPr>
            <w:tcW w:w="0" w:type="auto"/>
            <w:vMerge/>
          </w:tcPr>
          <w:p w14:paraId="61CA9927" w14:textId="77777777" w:rsidR="004346F3" w:rsidRPr="00536CFD" w:rsidRDefault="004346F3" w:rsidP="00536CFD">
            <w:pPr>
              <w:spacing w:after="0"/>
              <w:jc w:val="center"/>
            </w:pPr>
          </w:p>
        </w:tc>
        <w:tc>
          <w:tcPr>
            <w:tcW w:w="0" w:type="auto"/>
            <w:vMerge/>
          </w:tcPr>
          <w:p w14:paraId="346259D1" w14:textId="77777777" w:rsidR="004346F3" w:rsidRPr="00536CFD" w:rsidRDefault="004346F3" w:rsidP="00536CFD">
            <w:pPr>
              <w:spacing w:after="0"/>
              <w:jc w:val="center"/>
            </w:pPr>
          </w:p>
        </w:tc>
        <w:tc>
          <w:tcPr>
            <w:tcW w:w="0" w:type="auto"/>
          </w:tcPr>
          <w:p w14:paraId="3C1C68F0" w14:textId="77777777" w:rsidR="004346F3" w:rsidRPr="00536CFD" w:rsidRDefault="004346F3" w:rsidP="00536CFD">
            <w:pPr>
              <w:spacing w:after="0"/>
              <w:jc w:val="center"/>
            </w:pPr>
            <w:r w:rsidRPr="00536CFD">
              <w:t>50%</w:t>
            </w:r>
          </w:p>
        </w:tc>
        <w:tc>
          <w:tcPr>
            <w:tcW w:w="0" w:type="auto"/>
          </w:tcPr>
          <w:p w14:paraId="28F29A01" w14:textId="77777777" w:rsidR="004346F3" w:rsidRPr="00536CFD" w:rsidRDefault="004346F3" w:rsidP="00536CFD">
            <w:pPr>
              <w:spacing w:after="0"/>
              <w:jc w:val="center"/>
            </w:pPr>
            <w:r w:rsidRPr="00536CFD">
              <w:t>48.19</w:t>
            </w:r>
          </w:p>
        </w:tc>
        <w:tc>
          <w:tcPr>
            <w:tcW w:w="0" w:type="auto"/>
          </w:tcPr>
          <w:p w14:paraId="7E0AD188" w14:textId="77777777" w:rsidR="004346F3" w:rsidRPr="00536CFD" w:rsidRDefault="004346F3" w:rsidP="00536CFD">
            <w:pPr>
              <w:spacing w:after="0"/>
              <w:jc w:val="center"/>
            </w:pPr>
            <w:r w:rsidRPr="00536CFD">
              <w:t>44.63</w:t>
            </w:r>
          </w:p>
        </w:tc>
        <w:tc>
          <w:tcPr>
            <w:tcW w:w="0" w:type="auto"/>
            <w:gridSpan w:val="3"/>
          </w:tcPr>
          <w:p w14:paraId="00153EF4" w14:textId="77777777" w:rsidR="004346F3" w:rsidRPr="00536CFD" w:rsidRDefault="004346F3" w:rsidP="00536CFD">
            <w:pPr>
              <w:spacing w:after="0"/>
              <w:jc w:val="center"/>
            </w:pPr>
            <w:r w:rsidRPr="00536CFD">
              <w:t>19.37</w:t>
            </w:r>
          </w:p>
        </w:tc>
        <w:tc>
          <w:tcPr>
            <w:tcW w:w="0" w:type="auto"/>
            <w:gridSpan w:val="2"/>
          </w:tcPr>
          <w:p w14:paraId="4A1CC386" w14:textId="77777777" w:rsidR="004346F3" w:rsidRPr="00536CFD" w:rsidRDefault="004346F3" w:rsidP="00536CFD">
            <w:pPr>
              <w:spacing w:after="0"/>
              <w:jc w:val="center"/>
            </w:pPr>
            <w:r w:rsidRPr="00536CFD">
              <w:t>10.76</w:t>
            </w:r>
          </w:p>
        </w:tc>
        <w:tc>
          <w:tcPr>
            <w:tcW w:w="0" w:type="auto"/>
            <w:gridSpan w:val="2"/>
          </w:tcPr>
          <w:p w14:paraId="4C85BDF4" w14:textId="77777777" w:rsidR="004346F3" w:rsidRPr="00536CFD" w:rsidRDefault="004346F3" w:rsidP="00536CFD">
            <w:pPr>
              <w:spacing w:after="0"/>
              <w:jc w:val="center"/>
            </w:pPr>
            <w:r w:rsidRPr="00536CFD">
              <w:t>4.89</w:t>
            </w:r>
          </w:p>
        </w:tc>
        <w:tc>
          <w:tcPr>
            <w:tcW w:w="0" w:type="auto"/>
            <w:gridSpan w:val="3"/>
          </w:tcPr>
          <w:p w14:paraId="41D50BB0" w14:textId="77777777" w:rsidR="004346F3" w:rsidRPr="00536CFD" w:rsidRDefault="004346F3" w:rsidP="00536CFD">
            <w:pPr>
              <w:spacing w:after="0"/>
              <w:jc w:val="center"/>
            </w:pPr>
            <w:r w:rsidRPr="00536CFD">
              <w:t>2.56</w:t>
            </w:r>
          </w:p>
        </w:tc>
      </w:tr>
      <w:tr w:rsidR="00536CFD" w:rsidRPr="00536CFD" w14:paraId="444A7606" w14:textId="77777777" w:rsidTr="00536CFD">
        <w:trPr>
          <w:cantSplit/>
          <w:trHeight w:val="22"/>
        </w:trPr>
        <w:tc>
          <w:tcPr>
            <w:tcW w:w="0" w:type="auto"/>
            <w:vMerge/>
          </w:tcPr>
          <w:p w14:paraId="78ACA2D1" w14:textId="77777777" w:rsidR="004346F3" w:rsidRPr="00536CFD" w:rsidRDefault="004346F3" w:rsidP="00536CFD">
            <w:pPr>
              <w:spacing w:after="0"/>
              <w:jc w:val="center"/>
            </w:pPr>
          </w:p>
        </w:tc>
        <w:tc>
          <w:tcPr>
            <w:tcW w:w="0" w:type="auto"/>
            <w:vMerge/>
          </w:tcPr>
          <w:p w14:paraId="11EF1FEB" w14:textId="77777777" w:rsidR="004346F3" w:rsidRPr="00536CFD" w:rsidRDefault="004346F3" w:rsidP="00536CFD">
            <w:pPr>
              <w:spacing w:after="0"/>
              <w:jc w:val="center"/>
            </w:pPr>
          </w:p>
        </w:tc>
        <w:tc>
          <w:tcPr>
            <w:tcW w:w="0" w:type="auto"/>
          </w:tcPr>
          <w:p w14:paraId="1DA834BE" w14:textId="77777777" w:rsidR="004346F3" w:rsidRPr="00536CFD" w:rsidRDefault="004346F3" w:rsidP="00536CFD">
            <w:pPr>
              <w:spacing w:after="0"/>
              <w:jc w:val="center"/>
            </w:pPr>
            <w:r w:rsidRPr="00536CFD">
              <w:t>95%</w:t>
            </w:r>
          </w:p>
        </w:tc>
        <w:tc>
          <w:tcPr>
            <w:tcW w:w="0" w:type="auto"/>
          </w:tcPr>
          <w:p w14:paraId="58FC239B" w14:textId="77777777" w:rsidR="004346F3" w:rsidRPr="00536CFD" w:rsidRDefault="004346F3" w:rsidP="00536CFD">
            <w:pPr>
              <w:spacing w:after="0"/>
              <w:jc w:val="center"/>
            </w:pPr>
            <w:r w:rsidRPr="00536CFD">
              <w:t>79.28</w:t>
            </w:r>
          </w:p>
        </w:tc>
        <w:tc>
          <w:tcPr>
            <w:tcW w:w="0" w:type="auto"/>
          </w:tcPr>
          <w:p w14:paraId="5BEECF31" w14:textId="77777777" w:rsidR="004346F3" w:rsidRPr="00536CFD" w:rsidRDefault="004346F3" w:rsidP="00536CFD">
            <w:pPr>
              <w:spacing w:after="0"/>
              <w:jc w:val="center"/>
            </w:pPr>
            <w:r w:rsidRPr="00536CFD">
              <w:t>75.77</w:t>
            </w:r>
          </w:p>
        </w:tc>
        <w:tc>
          <w:tcPr>
            <w:tcW w:w="0" w:type="auto"/>
            <w:gridSpan w:val="3"/>
          </w:tcPr>
          <w:p w14:paraId="738F7B7D" w14:textId="77777777" w:rsidR="004346F3" w:rsidRPr="00536CFD" w:rsidRDefault="004346F3" w:rsidP="00536CFD">
            <w:pPr>
              <w:spacing w:after="0"/>
              <w:jc w:val="center"/>
            </w:pPr>
            <w:r w:rsidRPr="00536CFD">
              <w:t>45.48</w:t>
            </w:r>
          </w:p>
        </w:tc>
        <w:tc>
          <w:tcPr>
            <w:tcW w:w="0" w:type="auto"/>
            <w:gridSpan w:val="2"/>
          </w:tcPr>
          <w:p w14:paraId="628171CE" w14:textId="77777777" w:rsidR="004346F3" w:rsidRPr="00536CFD" w:rsidRDefault="004346F3" w:rsidP="00536CFD">
            <w:pPr>
              <w:spacing w:after="0"/>
              <w:jc w:val="center"/>
            </w:pPr>
            <w:r w:rsidRPr="00536CFD">
              <w:t>31.67</w:t>
            </w:r>
          </w:p>
        </w:tc>
        <w:tc>
          <w:tcPr>
            <w:tcW w:w="0" w:type="auto"/>
            <w:gridSpan w:val="2"/>
          </w:tcPr>
          <w:p w14:paraId="1AF7CE5F" w14:textId="77777777" w:rsidR="004346F3" w:rsidRPr="00536CFD" w:rsidRDefault="004346F3" w:rsidP="00536CFD">
            <w:pPr>
              <w:spacing w:after="0"/>
              <w:jc w:val="center"/>
            </w:pPr>
            <w:r w:rsidRPr="00536CFD">
              <w:t>22.92</w:t>
            </w:r>
          </w:p>
        </w:tc>
        <w:tc>
          <w:tcPr>
            <w:tcW w:w="0" w:type="auto"/>
            <w:gridSpan w:val="3"/>
          </w:tcPr>
          <w:p w14:paraId="2FB4C085" w14:textId="77777777" w:rsidR="004346F3" w:rsidRPr="00536CFD" w:rsidRDefault="004346F3" w:rsidP="00536CFD">
            <w:pPr>
              <w:spacing w:after="0"/>
              <w:jc w:val="center"/>
            </w:pPr>
            <w:r w:rsidRPr="00536CFD">
              <w:t>17.22</w:t>
            </w:r>
          </w:p>
        </w:tc>
      </w:tr>
      <w:tr w:rsidR="00536CFD" w:rsidRPr="00536CFD" w14:paraId="0FCA8F7D" w14:textId="77777777" w:rsidTr="00536CFD">
        <w:trPr>
          <w:cantSplit/>
          <w:trHeight w:val="22"/>
        </w:trPr>
        <w:tc>
          <w:tcPr>
            <w:tcW w:w="0" w:type="auto"/>
            <w:vMerge/>
          </w:tcPr>
          <w:p w14:paraId="779E977F" w14:textId="77777777" w:rsidR="004346F3" w:rsidRPr="00536CFD" w:rsidRDefault="004346F3" w:rsidP="00536CFD">
            <w:pPr>
              <w:spacing w:after="0"/>
              <w:jc w:val="center"/>
            </w:pPr>
          </w:p>
        </w:tc>
        <w:tc>
          <w:tcPr>
            <w:tcW w:w="0" w:type="auto"/>
            <w:vMerge/>
          </w:tcPr>
          <w:p w14:paraId="1A26E2BE" w14:textId="77777777" w:rsidR="004346F3" w:rsidRPr="00536CFD" w:rsidRDefault="004346F3" w:rsidP="00536CFD">
            <w:pPr>
              <w:spacing w:after="0"/>
              <w:jc w:val="center"/>
            </w:pPr>
          </w:p>
        </w:tc>
        <w:tc>
          <w:tcPr>
            <w:tcW w:w="0" w:type="auto"/>
          </w:tcPr>
          <w:p w14:paraId="60D55363" w14:textId="77777777" w:rsidR="004346F3" w:rsidRPr="00536CFD" w:rsidRDefault="004346F3" w:rsidP="00536CFD">
            <w:pPr>
              <w:spacing w:after="0"/>
              <w:jc w:val="center"/>
            </w:pPr>
            <w:r w:rsidRPr="00536CFD">
              <w:t>Mean</w:t>
            </w:r>
          </w:p>
        </w:tc>
        <w:tc>
          <w:tcPr>
            <w:tcW w:w="0" w:type="auto"/>
          </w:tcPr>
          <w:p w14:paraId="72ECD7ED" w14:textId="77777777" w:rsidR="004346F3" w:rsidRPr="00536CFD" w:rsidRDefault="004346F3" w:rsidP="00536CFD">
            <w:pPr>
              <w:spacing w:after="0"/>
              <w:jc w:val="center"/>
            </w:pPr>
            <w:r w:rsidRPr="00536CFD">
              <w:t>49.45</w:t>
            </w:r>
          </w:p>
        </w:tc>
        <w:tc>
          <w:tcPr>
            <w:tcW w:w="0" w:type="auto"/>
          </w:tcPr>
          <w:p w14:paraId="03248C92" w14:textId="77777777" w:rsidR="004346F3" w:rsidRPr="00536CFD" w:rsidRDefault="004346F3" w:rsidP="00536CFD">
            <w:pPr>
              <w:spacing w:after="0"/>
              <w:jc w:val="center"/>
            </w:pPr>
            <w:r w:rsidRPr="00536CFD">
              <w:t>46.61</w:t>
            </w:r>
          </w:p>
        </w:tc>
        <w:tc>
          <w:tcPr>
            <w:tcW w:w="0" w:type="auto"/>
            <w:gridSpan w:val="3"/>
          </w:tcPr>
          <w:p w14:paraId="2C317F0D" w14:textId="77777777" w:rsidR="004346F3" w:rsidRPr="00536CFD" w:rsidRDefault="004346F3" w:rsidP="00536CFD">
            <w:pPr>
              <w:spacing w:after="0"/>
              <w:jc w:val="center"/>
            </w:pPr>
            <w:r w:rsidRPr="00536CFD">
              <w:t>22.07</w:t>
            </w:r>
          </w:p>
        </w:tc>
        <w:tc>
          <w:tcPr>
            <w:tcW w:w="0" w:type="auto"/>
            <w:gridSpan w:val="2"/>
          </w:tcPr>
          <w:p w14:paraId="01E3F08B" w14:textId="77777777" w:rsidR="004346F3" w:rsidRPr="00536CFD" w:rsidRDefault="004346F3" w:rsidP="00536CFD">
            <w:pPr>
              <w:spacing w:after="0"/>
              <w:jc w:val="center"/>
            </w:pPr>
            <w:r w:rsidRPr="00536CFD">
              <w:t>13.76</w:t>
            </w:r>
          </w:p>
        </w:tc>
        <w:tc>
          <w:tcPr>
            <w:tcW w:w="0" w:type="auto"/>
            <w:gridSpan w:val="2"/>
          </w:tcPr>
          <w:p w14:paraId="208FAE4F" w14:textId="77777777" w:rsidR="004346F3" w:rsidRPr="00536CFD" w:rsidRDefault="004346F3" w:rsidP="00536CFD">
            <w:pPr>
              <w:spacing w:after="0"/>
              <w:jc w:val="center"/>
            </w:pPr>
            <w:r w:rsidRPr="00536CFD">
              <w:t>8.02</w:t>
            </w:r>
          </w:p>
        </w:tc>
        <w:tc>
          <w:tcPr>
            <w:tcW w:w="0" w:type="auto"/>
            <w:gridSpan w:val="3"/>
          </w:tcPr>
          <w:p w14:paraId="431ECDD0" w14:textId="77777777" w:rsidR="004346F3" w:rsidRPr="00536CFD" w:rsidRDefault="004346F3" w:rsidP="00536CFD">
            <w:pPr>
              <w:spacing w:after="0"/>
              <w:jc w:val="center"/>
            </w:pPr>
            <w:r w:rsidRPr="00536CFD">
              <w:t>5.10</w:t>
            </w:r>
          </w:p>
        </w:tc>
      </w:tr>
      <w:tr w:rsidR="00536CFD" w:rsidRPr="00536CFD" w14:paraId="573519D6" w14:textId="77777777" w:rsidTr="00536CFD">
        <w:trPr>
          <w:cantSplit/>
          <w:trHeight w:val="22"/>
        </w:trPr>
        <w:tc>
          <w:tcPr>
            <w:tcW w:w="0" w:type="auto"/>
            <w:vMerge/>
          </w:tcPr>
          <w:p w14:paraId="68EF699A" w14:textId="77777777" w:rsidR="004346F3" w:rsidRPr="00536CFD" w:rsidRDefault="004346F3" w:rsidP="00536CFD">
            <w:pPr>
              <w:spacing w:after="0"/>
              <w:jc w:val="center"/>
            </w:pPr>
          </w:p>
        </w:tc>
        <w:tc>
          <w:tcPr>
            <w:tcW w:w="0" w:type="auto"/>
            <w:vMerge w:val="restart"/>
          </w:tcPr>
          <w:p w14:paraId="43B325D1" w14:textId="77777777" w:rsidR="004346F3" w:rsidRPr="00536CFD" w:rsidRDefault="004346F3" w:rsidP="00536CFD">
            <w:pPr>
              <w:spacing w:after="0"/>
              <w:jc w:val="center"/>
            </w:pPr>
            <w:r w:rsidRPr="00536CFD">
              <w:t>UL:</w:t>
            </w:r>
          </w:p>
          <w:p w14:paraId="4ABE99D8" w14:textId="77777777" w:rsidR="004346F3" w:rsidRPr="00536CFD" w:rsidRDefault="004346F3" w:rsidP="00536CFD">
            <w:pPr>
              <w:spacing w:after="0"/>
              <w:jc w:val="center"/>
            </w:pPr>
            <w:r w:rsidRPr="00536CFD">
              <w:t>Delay CDF</w:t>
            </w:r>
          </w:p>
          <w:p w14:paraId="0D20C1EC" w14:textId="77777777" w:rsidR="004346F3" w:rsidRPr="00536CFD" w:rsidRDefault="004346F3" w:rsidP="00536CFD">
            <w:pPr>
              <w:spacing w:after="0"/>
              <w:jc w:val="center"/>
            </w:pPr>
            <w:r w:rsidRPr="00536CFD">
              <w:t>[s]</w:t>
            </w:r>
          </w:p>
        </w:tc>
        <w:tc>
          <w:tcPr>
            <w:tcW w:w="0" w:type="auto"/>
          </w:tcPr>
          <w:p w14:paraId="3CBC3507" w14:textId="77777777" w:rsidR="004346F3" w:rsidRPr="00536CFD" w:rsidRDefault="004346F3" w:rsidP="00536CFD">
            <w:pPr>
              <w:spacing w:after="0"/>
              <w:jc w:val="center"/>
            </w:pPr>
            <w:r w:rsidRPr="00536CFD">
              <w:t>5%</w:t>
            </w:r>
          </w:p>
        </w:tc>
        <w:tc>
          <w:tcPr>
            <w:tcW w:w="0" w:type="auto"/>
          </w:tcPr>
          <w:p w14:paraId="1B4B3386" w14:textId="77777777" w:rsidR="004346F3" w:rsidRPr="00536CFD" w:rsidRDefault="004346F3" w:rsidP="00536CFD">
            <w:pPr>
              <w:spacing w:after="0"/>
              <w:jc w:val="center"/>
            </w:pPr>
            <w:r w:rsidRPr="00536CFD">
              <w:t>0.043</w:t>
            </w:r>
          </w:p>
        </w:tc>
        <w:tc>
          <w:tcPr>
            <w:tcW w:w="0" w:type="auto"/>
          </w:tcPr>
          <w:p w14:paraId="2F045753" w14:textId="77777777" w:rsidR="004346F3" w:rsidRPr="00536CFD" w:rsidRDefault="004346F3" w:rsidP="00536CFD">
            <w:pPr>
              <w:spacing w:after="0"/>
              <w:jc w:val="center"/>
            </w:pPr>
            <w:r w:rsidRPr="00536CFD">
              <w:t>0.049</w:t>
            </w:r>
          </w:p>
        </w:tc>
        <w:tc>
          <w:tcPr>
            <w:tcW w:w="0" w:type="auto"/>
            <w:gridSpan w:val="3"/>
          </w:tcPr>
          <w:p w14:paraId="5496D51B" w14:textId="77777777" w:rsidR="004346F3" w:rsidRPr="00536CFD" w:rsidRDefault="004346F3" w:rsidP="00536CFD">
            <w:pPr>
              <w:spacing w:after="0"/>
              <w:jc w:val="center"/>
            </w:pPr>
            <w:r w:rsidRPr="00536CFD">
              <w:t>0.087</w:t>
            </w:r>
          </w:p>
        </w:tc>
        <w:tc>
          <w:tcPr>
            <w:tcW w:w="0" w:type="auto"/>
            <w:gridSpan w:val="2"/>
          </w:tcPr>
          <w:p w14:paraId="397A515D" w14:textId="77777777" w:rsidR="004346F3" w:rsidRPr="00536CFD" w:rsidRDefault="004346F3" w:rsidP="00536CFD">
            <w:pPr>
              <w:spacing w:after="0"/>
              <w:jc w:val="center"/>
            </w:pPr>
            <w:r w:rsidRPr="00536CFD">
              <w:t>0.139</w:t>
            </w:r>
          </w:p>
        </w:tc>
        <w:tc>
          <w:tcPr>
            <w:tcW w:w="0" w:type="auto"/>
            <w:gridSpan w:val="2"/>
          </w:tcPr>
          <w:p w14:paraId="24902D7C" w14:textId="77777777" w:rsidR="004346F3" w:rsidRPr="00536CFD" w:rsidRDefault="004346F3" w:rsidP="00536CFD">
            <w:pPr>
              <w:spacing w:after="0"/>
              <w:jc w:val="center"/>
            </w:pPr>
            <w:r w:rsidRPr="00536CFD">
              <w:t>0.150</w:t>
            </w:r>
          </w:p>
        </w:tc>
        <w:tc>
          <w:tcPr>
            <w:tcW w:w="0" w:type="auto"/>
            <w:gridSpan w:val="3"/>
          </w:tcPr>
          <w:p w14:paraId="4A2DB993" w14:textId="77777777" w:rsidR="004346F3" w:rsidRPr="00536CFD" w:rsidRDefault="004346F3" w:rsidP="00536CFD">
            <w:pPr>
              <w:spacing w:after="0"/>
              <w:jc w:val="center"/>
            </w:pPr>
            <w:r w:rsidRPr="00536CFD">
              <w:t>0.260</w:t>
            </w:r>
          </w:p>
        </w:tc>
      </w:tr>
      <w:tr w:rsidR="00536CFD" w:rsidRPr="00536CFD" w14:paraId="65F70B90" w14:textId="77777777" w:rsidTr="00536CFD">
        <w:trPr>
          <w:cantSplit/>
          <w:trHeight w:val="22"/>
        </w:trPr>
        <w:tc>
          <w:tcPr>
            <w:tcW w:w="0" w:type="auto"/>
            <w:vMerge/>
          </w:tcPr>
          <w:p w14:paraId="2B2D13FD" w14:textId="77777777" w:rsidR="004346F3" w:rsidRPr="00536CFD" w:rsidRDefault="004346F3" w:rsidP="00536CFD">
            <w:pPr>
              <w:spacing w:after="0"/>
              <w:jc w:val="center"/>
            </w:pPr>
          </w:p>
        </w:tc>
        <w:tc>
          <w:tcPr>
            <w:tcW w:w="0" w:type="auto"/>
            <w:vMerge/>
          </w:tcPr>
          <w:p w14:paraId="7B64A44D" w14:textId="77777777" w:rsidR="004346F3" w:rsidRPr="00536CFD" w:rsidRDefault="004346F3" w:rsidP="00536CFD">
            <w:pPr>
              <w:spacing w:after="0"/>
              <w:jc w:val="center"/>
            </w:pPr>
          </w:p>
        </w:tc>
        <w:tc>
          <w:tcPr>
            <w:tcW w:w="0" w:type="auto"/>
          </w:tcPr>
          <w:p w14:paraId="5F00248B" w14:textId="77777777" w:rsidR="004346F3" w:rsidRPr="00536CFD" w:rsidRDefault="004346F3" w:rsidP="00536CFD">
            <w:pPr>
              <w:spacing w:after="0"/>
              <w:jc w:val="center"/>
            </w:pPr>
            <w:r w:rsidRPr="00536CFD">
              <w:t>50%</w:t>
            </w:r>
          </w:p>
        </w:tc>
        <w:tc>
          <w:tcPr>
            <w:tcW w:w="0" w:type="auto"/>
          </w:tcPr>
          <w:p w14:paraId="2386CB07" w14:textId="77777777" w:rsidR="004346F3" w:rsidRPr="00536CFD" w:rsidRDefault="004346F3" w:rsidP="00536CFD">
            <w:pPr>
              <w:spacing w:after="0"/>
              <w:jc w:val="center"/>
            </w:pPr>
            <w:r w:rsidRPr="00536CFD">
              <w:t>0.123</w:t>
            </w:r>
          </w:p>
        </w:tc>
        <w:tc>
          <w:tcPr>
            <w:tcW w:w="0" w:type="auto"/>
          </w:tcPr>
          <w:p w14:paraId="05279FEB" w14:textId="77777777" w:rsidR="004346F3" w:rsidRPr="00536CFD" w:rsidRDefault="004346F3" w:rsidP="00536CFD">
            <w:pPr>
              <w:spacing w:after="0"/>
              <w:jc w:val="center"/>
            </w:pPr>
            <w:r w:rsidRPr="00536CFD">
              <w:t>0.179</w:t>
            </w:r>
          </w:p>
        </w:tc>
        <w:tc>
          <w:tcPr>
            <w:tcW w:w="0" w:type="auto"/>
            <w:gridSpan w:val="3"/>
          </w:tcPr>
          <w:p w14:paraId="5C2E9BB6" w14:textId="77777777" w:rsidR="004346F3" w:rsidRPr="00536CFD" w:rsidRDefault="004346F3" w:rsidP="00536CFD">
            <w:pPr>
              <w:spacing w:after="0"/>
              <w:jc w:val="center"/>
            </w:pPr>
            <w:r w:rsidRPr="00536CFD">
              <w:t>1.030</w:t>
            </w:r>
          </w:p>
        </w:tc>
        <w:tc>
          <w:tcPr>
            <w:tcW w:w="0" w:type="auto"/>
            <w:gridSpan w:val="2"/>
          </w:tcPr>
          <w:p w14:paraId="03188ECE" w14:textId="77777777" w:rsidR="004346F3" w:rsidRPr="00536CFD" w:rsidRDefault="004346F3" w:rsidP="00536CFD">
            <w:pPr>
              <w:spacing w:after="0"/>
              <w:jc w:val="center"/>
            </w:pPr>
            <w:r w:rsidRPr="00536CFD">
              <w:t>2.028</w:t>
            </w:r>
          </w:p>
        </w:tc>
        <w:tc>
          <w:tcPr>
            <w:tcW w:w="0" w:type="auto"/>
            <w:gridSpan w:val="2"/>
          </w:tcPr>
          <w:p w14:paraId="602B27B6" w14:textId="77777777" w:rsidR="004346F3" w:rsidRPr="00536CFD" w:rsidRDefault="004346F3" w:rsidP="00536CFD">
            <w:pPr>
              <w:spacing w:after="0"/>
              <w:jc w:val="center"/>
            </w:pPr>
            <w:r w:rsidRPr="00536CFD">
              <w:t>2.888</w:t>
            </w:r>
          </w:p>
        </w:tc>
        <w:tc>
          <w:tcPr>
            <w:tcW w:w="0" w:type="auto"/>
            <w:gridSpan w:val="3"/>
          </w:tcPr>
          <w:p w14:paraId="729F57C5" w14:textId="77777777" w:rsidR="004346F3" w:rsidRPr="00536CFD" w:rsidRDefault="004346F3" w:rsidP="00536CFD">
            <w:pPr>
              <w:spacing w:after="0"/>
              <w:jc w:val="center"/>
            </w:pPr>
            <w:r w:rsidRPr="00536CFD">
              <w:t>3.048</w:t>
            </w:r>
          </w:p>
        </w:tc>
      </w:tr>
      <w:tr w:rsidR="00536CFD" w:rsidRPr="00536CFD" w14:paraId="240B3648" w14:textId="77777777" w:rsidTr="00536CFD">
        <w:trPr>
          <w:cantSplit/>
          <w:trHeight w:val="22"/>
        </w:trPr>
        <w:tc>
          <w:tcPr>
            <w:tcW w:w="0" w:type="auto"/>
            <w:vMerge/>
          </w:tcPr>
          <w:p w14:paraId="51837BD6" w14:textId="77777777" w:rsidR="004346F3" w:rsidRPr="00536CFD" w:rsidRDefault="004346F3" w:rsidP="00536CFD">
            <w:pPr>
              <w:spacing w:after="0"/>
              <w:jc w:val="center"/>
            </w:pPr>
          </w:p>
        </w:tc>
        <w:tc>
          <w:tcPr>
            <w:tcW w:w="0" w:type="auto"/>
            <w:vMerge/>
          </w:tcPr>
          <w:p w14:paraId="3C32A97E" w14:textId="77777777" w:rsidR="004346F3" w:rsidRPr="00536CFD" w:rsidRDefault="004346F3" w:rsidP="00536CFD">
            <w:pPr>
              <w:spacing w:after="0"/>
              <w:jc w:val="center"/>
            </w:pPr>
          </w:p>
        </w:tc>
        <w:tc>
          <w:tcPr>
            <w:tcW w:w="0" w:type="auto"/>
          </w:tcPr>
          <w:p w14:paraId="7E9D1E10" w14:textId="77777777" w:rsidR="004346F3" w:rsidRPr="00536CFD" w:rsidRDefault="004346F3" w:rsidP="00536CFD">
            <w:pPr>
              <w:spacing w:after="0"/>
              <w:jc w:val="center"/>
            </w:pPr>
            <w:r w:rsidRPr="00536CFD">
              <w:t>95%</w:t>
            </w:r>
          </w:p>
        </w:tc>
        <w:tc>
          <w:tcPr>
            <w:tcW w:w="0" w:type="auto"/>
          </w:tcPr>
          <w:p w14:paraId="6C973D1A" w14:textId="77777777" w:rsidR="004346F3" w:rsidRPr="00536CFD" w:rsidRDefault="004346F3" w:rsidP="00536CFD">
            <w:pPr>
              <w:spacing w:after="0"/>
              <w:jc w:val="center"/>
            </w:pPr>
            <w:r w:rsidRPr="00536CFD">
              <w:t>0.607</w:t>
            </w:r>
          </w:p>
        </w:tc>
        <w:tc>
          <w:tcPr>
            <w:tcW w:w="0" w:type="auto"/>
          </w:tcPr>
          <w:p w14:paraId="011000DD" w14:textId="77777777" w:rsidR="004346F3" w:rsidRPr="00536CFD" w:rsidRDefault="004346F3" w:rsidP="00536CFD">
            <w:pPr>
              <w:spacing w:after="0"/>
              <w:jc w:val="center"/>
            </w:pPr>
            <w:r w:rsidRPr="00536CFD">
              <w:t>0.748</w:t>
            </w:r>
          </w:p>
        </w:tc>
        <w:tc>
          <w:tcPr>
            <w:tcW w:w="0" w:type="auto"/>
            <w:gridSpan w:val="3"/>
          </w:tcPr>
          <w:p w14:paraId="5DFDDFD9" w14:textId="77777777" w:rsidR="004346F3" w:rsidRPr="00536CFD" w:rsidRDefault="004346F3" w:rsidP="00536CFD">
            <w:pPr>
              <w:spacing w:after="0"/>
              <w:jc w:val="center"/>
            </w:pPr>
            <w:r w:rsidRPr="00536CFD">
              <w:t>9.170</w:t>
            </w:r>
          </w:p>
        </w:tc>
        <w:tc>
          <w:tcPr>
            <w:tcW w:w="0" w:type="auto"/>
            <w:gridSpan w:val="2"/>
          </w:tcPr>
          <w:p w14:paraId="6F815F32" w14:textId="77777777" w:rsidR="004346F3" w:rsidRPr="00536CFD" w:rsidRDefault="004346F3" w:rsidP="00536CFD">
            <w:pPr>
              <w:spacing w:after="0"/>
              <w:jc w:val="center"/>
            </w:pPr>
            <w:r w:rsidRPr="00536CFD">
              <w:t>12.641</w:t>
            </w:r>
          </w:p>
        </w:tc>
        <w:tc>
          <w:tcPr>
            <w:tcW w:w="0" w:type="auto"/>
            <w:gridSpan w:val="2"/>
          </w:tcPr>
          <w:p w14:paraId="512E04E3" w14:textId="77777777" w:rsidR="004346F3" w:rsidRPr="00536CFD" w:rsidRDefault="004346F3" w:rsidP="00536CFD">
            <w:pPr>
              <w:spacing w:after="0"/>
              <w:jc w:val="center"/>
            </w:pPr>
            <w:r w:rsidRPr="00536CFD">
              <w:t>21.958</w:t>
            </w:r>
          </w:p>
        </w:tc>
        <w:tc>
          <w:tcPr>
            <w:tcW w:w="0" w:type="auto"/>
            <w:gridSpan w:val="3"/>
          </w:tcPr>
          <w:p w14:paraId="6D7E5EE4" w14:textId="77777777" w:rsidR="004346F3" w:rsidRPr="00536CFD" w:rsidRDefault="004346F3" w:rsidP="00536CFD">
            <w:pPr>
              <w:spacing w:after="0"/>
              <w:jc w:val="center"/>
            </w:pPr>
            <w:r w:rsidRPr="00536CFD">
              <w:t>18.534</w:t>
            </w:r>
          </w:p>
        </w:tc>
      </w:tr>
      <w:tr w:rsidR="00536CFD" w:rsidRPr="00536CFD" w14:paraId="550E98E0" w14:textId="77777777" w:rsidTr="00536CFD">
        <w:trPr>
          <w:cantSplit/>
          <w:trHeight w:val="22"/>
        </w:trPr>
        <w:tc>
          <w:tcPr>
            <w:tcW w:w="0" w:type="auto"/>
            <w:vMerge/>
          </w:tcPr>
          <w:p w14:paraId="5D2E3FE5" w14:textId="77777777" w:rsidR="004346F3" w:rsidRPr="00536CFD" w:rsidRDefault="004346F3" w:rsidP="00536CFD">
            <w:pPr>
              <w:spacing w:after="0"/>
              <w:jc w:val="center"/>
            </w:pPr>
          </w:p>
        </w:tc>
        <w:tc>
          <w:tcPr>
            <w:tcW w:w="0" w:type="auto"/>
            <w:vMerge/>
          </w:tcPr>
          <w:p w14:paraId="525628EE" w14:textId="77777777" w:rsidR="004346F3" w:rsidRPr="00536CFD" w:rsidRDefault="004346F3" w:rsidP="00536CFD">
            <w:pPr>
              <w:spacing w:after="0"/>
              <w:jc w:val="center"/>
            </w:pPr>
          </w:p>
        </w:tc>
        <w:tc>
          <w:tcPr>
            <w:tcW w:w="0" w:type="auto"/>
          </w:tcPr>
          <w:p w14:paraId="4E6D0C26" w14:textId="77777777" w:rsidR="004346F3" w:rsidRPr="00536CFD" w:rsidRDefault="004346F3" w:rsidP="00536CFD">
            <w:pPr>
              <w:spacing w:after="0"/>
              <w:jc w:val="center"/>
            </w:pPr>
            <w:r w:rsidRPr="00536CFD">
              <w:t>Mean</w:t>
            </w:r>
          </w:p>
        </w:tc>
        <w:tc>
          <w:tcPr>
            <w:tcW w:w="0" w:type="auto"/>
          </w:tcPr>
          <w:p w14:paraId="4877F7E7" w14:textId="77777777" w:rsidR="004346F3" w:rsidRPr="00536CFD" w:rsidRDefault="004346F3" w:rsidP="00536CFD">
            <w:pPr>
              <w:spacing w:after="0"/>
              <w:jc w:val="center"/>
            </w:pPr>
            <w:r w:rsidRPr="00536CFD">
              <w:t>0.244</w:t>
            </w:r>
          </w:p>
        </w:tc>
        <w:tc>
          <w:tcPr>
            <w:tcW w:w="0" w:type="auto"/>
          </w:tcPr>
          <w:p w14:paraId="3D6E3A8D" w14:textId="77777777" w:rsidR="004346F3" w:rsidRPr="00536CFD" w:rsidRDefault="004346F3" w:rsidP="00536CFD">
            <w:pPr>
              <w:spacing w:after="0"/>
              <w:jc w:val="center"/>
            </w:pPr>
            <w:r w:rsidRPr="00536CFD">
              <w:t>0.286</w:t>
            </w:r>
          </w:p>
        </w:tc>
        <w:tc>
          <w:tcPr>
            <w:tcW w:w="0" w:type="auto"/>
            <w:gridSpan w:val="3"/>
          </w:tcPr>
          <w:p w14:paraId="48C900B3" w14:textId="77777777" w:rsidR="004346F3" w:rsidRPr="00536CFD" w:rsidRDefault="004346F3" w:rsidP="00536CFD">
            <w:pPr>
              <w:spacing w:after="0"/>
              <w:jc w:val="center"/>
            </w:pPr>
            <w:r w:rsidRPr="00536CFD">
              <w:t>2.537</w:t>
            </w:r>
          </w:p>
        </w:tc>
        <w:tc>
          <w:tcPr>
            <w:tcW w:w="0" w:type="auto"/>
            <w:gridSpan w:val="2"/>
          </w:tcPr>
          <w:p w14:paraId="622CA5D2" w14:textId="77777777" w:rsidR="004346F3" w:rsidRPr="00536CFD" w:rsidRDefault="004346F3" w:rsidP="00536CFD">
            <w:pPr>
              <w:spacing w:after="0"/>
              <w:jc w:val="center"/>
            </w:pPr>
            <w:r w:rsidRPr="00536CFD">
              <w:t>3.885</w:t>
            </w:r>
          </w:p>
        </w:tc>
        <w:tc>
          <w:tcPr>
            <w:tcW w:w="0" w:type="auto"/>
            <w:gridSpan w:val="2"/>
          </w:tcPr>
          <w:p w14:paraId="65E25E7A" w14:textId="77777777" w:rsidR="004346F3" w:rsidRPr="00536CFD" w:rsidRDefault="004346F3" w:rsidP="00536CFD">
            <w:pPr>
              <w:spacing w:after="0"/>
              <w:jc w:val="center"/>
            </w:pPr>
            <w:r w:rsidRPr="00536CFD">
              <w:t>6.157</w:t>
            </w:r>
          </w:p>
        </w:tc>
        <w:tc>
          <w:tcPr>
            <w:tcW w:w="0" w:type="auto"/>
            <w:gridSpan w:val="3"/>
          </w:tcPr>
          <w:p w14:paraId="384F4B75" w14:textId="77777777" w:rsidR="004346F3" w:rsidRPr="00536CFD" w:rsidRDefault="004346F3" w:rsidP="00536CFD">
            <w:pPr>
              <w:spacing w:after="0"/>
              <w:jc w:val="center"/>
            </w:pPr>
            <w:r w:rsidRPr="00536CFD">
              <w:t>5.826</w:t>
            </w:r>
          </w:p>
        </w:tc>
      </w:tr>
      <w:tr w:rsidR="00536CFD" w:rsidRPr="00536CFD" w14:paraId="1AD4FADF" w14:textId="77777777" w:rsidTr="00536CFD">
        <w:trPr>
          <w:cantSplit/>
          <w:trHeight w:val="22"/>
        </w:trPr>
        <w:tc>
          <w:tcPr>
            <w:tcW w:w="0" w:type="auto"/>
            <w:vMerge/>
          </w:tcPr>
          <w:p w14:paraId="2C0BAD42" w14:textId="77777777" w:rsidR="004346F3" w:rsidRPr="00536CFD" w:rsidRDefault="004346F3" w:rsidP="00536CFD">
            <w:pPr>
              <w:spacing w:after="0"/>
              <w:jc w:val="center"/>
            </w:pPr>
          </w:p>
        </w:tc>
        <w:tc>
          <w:tcPr>
            <w:tcW w:w="0" w:type="auto"/>
            <w:gridSpan w:val="2"/>
          </w:tcPr>
          <w:p w14:paraId="57027552" w14:textId="77777777" w:rsidR="004346F3" w:rsidRPr="00536CFD" w:rsidRDefault="004346F3" w:rsidP="00536CFD">
            <w:pPr>
              <w:spacing w:after="0"/>
              <w:jc w:val="center"/>
            </w:pPr>
            <w:r w:rsidRPr="00536CFD">
              <w:rPr>
                <w:rFonts w:ascii="Cambria Math" w:hAnsi="Cambria Math" w:cs="Cambria Math"/>
              </w:rPr>
              <w:t>𝜌</w:t>
            </w:r>
            <w:r w:rsidRPr="00536CFD">
              <w:rPr>
                <w:vertAlign w:val="subscript"/>
              </w:rPr>
              <w:t>DL</w:t>
            </w:r>
          </w:p>
        </w:tc>
        <w:tc>
          <w:tcPr>
            <w:tcW w:w="0" w:type="auto"/>
          </w:tcPr>
          <w:p w14:paraId="145BBB69" w14:textId="77777777" w:rsidR="004346F3" w:rsidRPr="00536CFD" w:rsidRDefault="004346F3" w:rsidP="00536CFD">
            <w:pPr>
              <w:spacing w:after="0"/>
              <w:jc w:val="center"/>
            </w:pPr>
            <w:r w:rsidRPr="00536CFD">
              <w:t>99.9%</w:t>
            </w:r>
          </w:p>
        </w:tc>
        <w:tc>
          <w:tcPr>
            <w:tcW w:w="0" w:type="auto"/>
          </w:tcPr>
          <w:p w14:paraId="1E315ED9" w14:textId="77777777" w:rsidR="004346F3" w:rsidRPr="00536CFD" w:rsidRDefault="004346F3" w:rsidP="00536CFD">
            <w:pPr>
              <w:spacing w:after="0"/>
              <w:jc w:val="center"/>
            </w:pPr>
            <w:r w:rsidRPr="00536CFD">
              <w:t>99.3%</w:t>
            </w:r>
          </w:p>
        </w:tc>
        <w:tc>
          <w:tcPr>
            <w:tcW w:w="0" w:type="auto"/>
            <w:gridSpan w:val="3"/>
          </w:tcPr>
          <w:p w14:paraId="67106B0B" w14:textId="77777777" w:rsidR="004346F3" w:rsidRPr="00536CFD" w:rsidRDefault="004346F3" w:rsidP="00536CFD">
            <w:pPr>
              <w:spacing w:after="0"/>
              <w:jc w:val="center"/>
            </w:pPr>
            <w:r w:rsidRPr="00536CFD">
              <w:t>96.2%</w:t>
            </w:r>
          </w:p>
        </w:tc>
        <w:tc>
          <w:tcPr>
            <w:tcW w:w="0" w:type="auto"/>
            <w:gridSpan w:val="2"/>
          </w:tcPr>
          <w:p w14:paraId="7BE77862" w14:textId="77777777" w:rsidR="004346F3" w:rsidRPr="00536CFD" w:rsidRDefault="004346F3" w:rsidP="00536CFD">
            <w:pPr>
              <w:spacing w:after="0"/>
              <w:jc w:val="center"/>
            </w:pPr>
            <w:r w:rsidRPr="00536CFD">
              <w:t>83.8%</w:t>
            </w:r>
          </w:p>
        </w:tc>
        <w:tc>
          <w:tcPr>
            <w:tcW w:w="0" w:type="auto"/>
            <w:gridSpan w:val="2"/>
          </w:tcPr>
          <w:p w14:paraId="7A023D50" w14:textId="77777777" w:rsidR="004346F3" w:rsidRPr="00536CFD" w:rsidRDefault="004346F3" w:rsidP="00536CFD">
            <w:pPr>
              <w:spacing w:after="0"/>
              <w:jc w:val="center"/>
            </w:pPr>
            <w:r w:rsidRPr="00536CFD">
              <w:t>85.7%</w:t>
            </w:r>
          </w:p>
        </w:tc>
        <w:tc>
          <w:tcPr>
            <w:tcW w:w="0" w:type="auto"/>
            <w:gridSpan w:val="3"/>
          </w:tcPr>
          <w:p w14:paraId="42F70DB0" w14:textId="77777777" w:rsidR="004346F3" w:rsidRPr="00536CFD" w:rsidRDefault="004346F3" w:rsidP="00536CFD">
            <w:pPr>
              <w:spacing w:after="0"/>
              <w:jc w:val="center"/>
            </w:pPr>
            <w:r w:rsidRPr="00536CFD">
              <w:t>71%</w:t>
            </w:r>
          </w:p>
        </w:tc>
      </w:tr>
      <w:tr w:rsidR="00536CFD" w:rsidRPr="00536CFD" w14:paraId="26DDEB37" w14:textId="77777777" w:rsidTr="00536CFD">
        <w:trPr>
          <w:cantSplit/>
          <w:trHeight w:val="22"/>
        </w:trPr>
        <w:tc>
          <w:tcPr>
            <w:tcW w:w="0" w:type="auto"/>
            <w:vMerge/>
          </w:tcPr>
          <w:p w14:paraId="77A8FFFF" w14:textId="77777777" w:rsidR="004346F3" w:rsidRPr="00536CFD" w:rsidRDefault="004346F3" w:rsidP="00536CFD">
            <w:pPr>
              <w:spacing w:after="0"/>
              <w:jc w:val="center"/>
            </w:pPr>
          </w:p>
        </w:tc>
        <w:tc>
          <w:tcPr>
            <w:tcW w:w="0" w:type="auto"/>
            <w:gridSpan w:val="2"/>
          </w:tcPr>
          <w:p w14:paraId="2971C250" w14:textId="77777777" w:rsidR="004346F3" w:rsidRPr="00536CFD" w:rsidRDefault="004346F3" w:rsidP="00536CFD">
            <w:pPr>
              <w:spacing w:after="0"/>
              <w:jc w:val="center"/>
            </w:pPr>
            <w:r w:rsidRPr="00536CFD">
              <w:rPr>
                <w:rFonts w:ascii="Cambria Math" w:hAnsi="Cambria Math" w:cs="Cambria Math"/>
              </w:rPr>
              <w:t>𝜌</w:t>
            </w:r>
            <w:r w:rsidRPr="00536CFD">
              <w:rPr>
                <w:vertAlign w:val="subscript"/>
              </w:rPr>
              <w:t>UL</w:t>
            </w:r>
          </w:p>
        </w:tc>
        <w:tc>
          <w:tcPr>
            <w:tcW w:w="0" w:type="auto"/>
          </w:tcPr>
          <w:p w14:paraId="0C384777" w14:textId="77777777" w:rsidR="004346F3" w:rsidRPr="00536CFD" w:rsidRDefault="004346F3" w:rsidP="00536CFD">
            <w:pPr>
              <w:spacing w:after="0"/>
              <w:jc w:val="center"/>
            </w:pPr>
            <w:r w:rsidRPr="00536CFD">
              <w:t>99.4%</w:t>
            </w:r>
          </w:p>
        </w:tc>
        <w:tc>
          <w:tcPr>
            <w:tcW w:w="0" w:type="auto"/>
          </w:tcPr>
          <w:p w14:paraId="661A4FE2" w14:textId="77777777" w:rsidR="004346F3" w:rsidRPr="00536CFD" w:rsidRDefault="004346F3" w:rsidP="00536CFD">
            <w:pPr>
              <w:spacing w:after="0"/>
              <w:jc w:val="center"/>
            </w:pPr>
            <w:r w:rsidRPr="00536CFD">
              <w:t>99.2%</w:t>
            </w:r>
          </w:p>
        </w:tc>
        <w:tc>
          <w:tcPr>
            <w:tcW w:w="0" w:type="auto"/>
            <w:gridSpan w:val="3"/>
          </w:tcPr>
          <w:p w14:paraId="1A777F06" w14:textId="77777777" w:rsidR="004346F3" w:rsidRPr="00536CFD" w:rsidRDefault="004346F3" w:rsidP="00536CFD">
            <w:pPr>
              <w:spacing w:after="0"/>
              <w:jc w:val="center"/>
            </w:pPr>
            <w:r w:rsidRPr="00536CFD">
              <w:t>85.8%</w:t>
            </w:r>
          </w:p>
        </w:tc>
        <w:tc>
          <w:tcPr>
            <w:tcW w:w="0" w:type="auto"/>
            <w:gridSpan w:val="2"/>
          </w:tcPr>
          <w:p w14:paraId="7550CE8F" w14:textId="77777777" w:rsidR="004346F3" w:rsidRPr="00536CFD" w:rsidRDefault="004346F3" w:rsidP="00536CFD">
            <w:pPr>
              <w:spacing w:after="0"/>
              <w:jc w:val="center"/>
            </w:pPr>
            <w:r w:rsidRPr="00536CFD">
              <w:t>80.6%</w:t>
            </w:r>
          </w:p>
        </w:tc>
        <w:tc>
          <w:tcPr>
            <w:tcW w:w="0" w:type="auto"/>
            <w:gridSpan w:val="2"/>
          </w:tcPr>
          <w:p w14:paraId="38114BCC" w14:textId="77777777" w:rsidR="004346F3" w:rsidRPr="00536CFD" w:rsidRDefault="004346F3" w:rsidP="00536CFD">
            <w:pPr>
              <w:spacing w:after="0"/>
              <w:jc w:val="center"/>
            </w:pPr>
            <w:r w:rsidRPr="00536CFD">
              <w:t>62.1%</w:t>
            </w:r>
          </w:p>
        </w:tc>
        <w:tc>
          <w:tcPr>
            <w:tcW w:w="0" w:type="auto"/>
            <w:gridSpan w:val="3"/>
          </w:tcPr>
          <w:p w14:paraId="0A9590BA" w14:textId="77777777" w:rsidR="004346F3" w:rsidRPr="00536CFD" w:rsidRDefault="004346F3" w:rsidP="00536CFD">
            <w:pPr>
              <w:spacing w:after="0"/>
              <w:jc w:val="center"/>
            </w:pPr>
            <w:r w:rsidRPr="00536CFD">
              <w:t>65.6%</w:t>
            </w:r>
          </w:p>
        </w:tc>
      </w:tr>
      <w:tr w:rsidR="00536CFD" w:rsidRPr="00536CFD" w14:paraId="53F21B99" w14:textId="77777777" w:rsidTr="00536CFD">
        <w:trPr>
          <w:cantSplit/>
          <w:trHeight w:val="22"/>
        </w:trPr>
        <w:tc>
          <w:tcPr>
            <w:tcW w:w="0" w:type="auto"/>
            <w:vMerge/>
          </w:tcPr>
          <w:p w14:paraId="2A9566F0" w14:textId="77777777" w:rsidR="004346F3" w:rsidRPr="00536CFD" w:rsidRDefault="004346F3" w:rsidP="00536CFD">
            <w:pPr>
              <w:spacing w:after="0"/>
              <w:jc w:val="center"/>
            </w:pPr>
          </w:p>
        </w:tc>
        <w:tc>
          <w:tcPr>
            <w:tcW w:w="0" w:type="auto"/>
            <w:gridSpan w:val="2"/>
          </w:tcPr>
          <w:p w14:paraId="409AC361" w14:textId="77777777" w:rsidR="004346F3" w:rsidRPr="00536CFD" w:rsidRDefault="004346F3" w:rsidP="00536CFD">
            <w:pPr>
              <w:spacing w:after="0"/>
              <w:jc w:val="center"/>
            </w:pPr>
            <w:r w:rsidRPr="00536CFD">
              <w:t>BO</w:t>
            </w:r>
          </w:p>
        </w:tc>
        <w:tc>
          <w:tcPr>
            <w:tcW w:w="0" w:type="auto"/>
          </w:tcPr>
          <w:p w14:paraId="0C4630F1" w14:textId="77777777" w:rsidR="004346F3" w:rsidRPr="00536CFD" w:rsidRDefault="004346F3" w:rsidP="00536CFD">
            <w:pPr>
              <w:spacing w:after="0"/>
              <w:jc w:val="center"/>
            </w:pPr>
            <w:r w:rsidRPr="00536CFD">
              <w:t>10%</w:t>
            </w:r>
          </w:p>
        </w:tc>
        <w:tc>
          <w:tcPr>
            <w:tcW w:w="0" w:type="auto"/>
          </w:tcPr>
          <w:p w14:paraId="7BD032B6" w14:textId="77777777" w:rsidR="004346F3" w:rsidRPr="00536CFD" w:rsidRDefault="004346F3" w:rsidP="00536CFD">
            <w:pPr>
              <w:spacing w:after="0"/>
              <w:jc w:val="center"/>
            </w:pPr>
            <w:r w:rsidRPr="00536CFD">
              <w:t>10.6%</w:t>
            </w:r>
          </w:p>
        </w:tc>
        <w:tc>
          <w:tcPr>
            <w:tcW w:w="0" w:type="auto"/>
            <w:gridSpan w:val="3"/>
          </w:tcPr>
          <w:p w14:paraId="7D3673EA" w14:textId="77777777" w:rsidR="004346F3" w:rsidRPr="00536CFD" w:rsidRDefault="004346F3" w:rsidP="00536CFD">
            <w:pPr>
              <w:spacing w:after="0"/>
              <w:jc w:val="center"/>
            </w:pPr>
            <w:r w:rsidRPr="00536CFD">
              <w:t>35%</w:t>
            </w:r>
          </w:p>
        </w:tc>
        <w:tc>
          <w:tcPr>
            <w:tcW w:w="0" w:type="auto"/>
            <w:gridSpan w:val="2"/>
          </w:tcPr>
          <w:p w14:paraId="2D09C554" w14:textId="77777777" w:rsidR="004346F3" w:rsidRPr="00536CFD" w:rsidRDefault="004346F3" w:rsidP="00536CFD">
            <w:pPr>
              <w:spacing w:after="0"/>
              <w:jc w:val="center"/>
            </w:pPr>
            <w:r w:rsidRPr="00536CFD">
              <w:t>50.2%</w:t>
            </w:r>
          </w:p>
        </w:tc>
        <w:tc>
          <w:tcPr>
            <w:tcW w:w="0" w:type="auto"/>
            <w:gridSpan w:val="2"/>
          </w:tcPr>
          <w:p w14:paraId="6AE401F4" w14:textId="77777777" w:rsidR="004346F3" w:rsidRPr="00536CFD" w:rsidRDefault="004346F3" w:rsidP="00536CFD">
            <w:pPr>
              <w:spacing w:after="0"/>
              <w:jc w:val="center"/>
            </w:pPr>
            <w:r w:rsidRPr="00536CFD">
              <w:t>60%</w:t>
            </w:r>
          </w:p>
        </w:tc>
        <w:tc>
          <w:tcPr>
            <w:tcW w:w="0" w:type="auto"/>
            <w:gridSpan w:val="3"/>
          </w:tcPr>
          <w:p w14:paraId="482BD0B2" w14:textId="77777777" w:rsidR="004346F3" w:rsidRPr="00536CFD" w:rsidRDefault="004346F3" w:rsidP="00536CFD">
            <w:pPr>
              <w:spacing w:after="0"/>
              <w:jc w:val="center"/>
            </w:pPr>
            <w:r w:rsidRPr="00536CFD">
              <w:t>69%</w:t>
            </w:r>
          </w:p>
        </w:tc>
      </w:tr>
      <w:tr w:rsidR="004346F3" w:rsidRPr="00536CFD" w14:paraId="3F48157F" w14:textId="77777777" w:rsidTr="00536CFD">
        <w:trPr>
          <w:cantSplit/>
          <w:trHeight w:val="22"/>
        </w:trPr>
        <w:tc>
          <w:tcPr>
            <w:tcW w:w="0" w:type="auto"/>
            <w:vMerge/>
          </w:tcPr>
          <w:p w14:paraId="0A199BBF" w14:textId="77777777" w:rsidR="004346F3" w:rsidRPr="00536CFD" w:rsidRDefault="004346F3" w:rsidP="00536CFD">
            <w:pPr>
              <w:spacing w:after="0"/>
              <w:jc w:val="center"/>
            </w:pPr>
          </w:p>
        </w:tc>
        <w:tc>
          <w:tcPr>
            <w:tcW w:w="0" w:type="auto"/>
            <w:gridSpan w:val="2"/>
          </w:tcPr>
          <w:p w14:paraId="137895BA" w14:textId="77777777" w:rsidR="004346F3" w:rsidRPr="00536CFD" w:rsidRDefault="004346F3" w:rsidP="00536CFD">
            <w:pPr>
              <w:spacing w:after="0"/>
              <w:jc w:val="center"/>
            </w:pPr>
            <w:r w:rsidRPr="00536CFD">
              <w:rPr>
                <w:rFonts w:ascii="Cambria Math" w:hAnsi="Cambria Math" w:cs="Cambria Math"/>
              </w:rPr>
              <w:t>𝜆</w:t>
            </w:r>
          </w:p>
        </w:tc>
        <w:tc>
          <w:tcPr>
            <w:tcW w:w="0" w:type="auto"/>
            <w:gridSpan w:val="2"/>
          </w:tcPr>
          <w:p w14:paraId="1414C1E9" w14:textId="77777777" w:rsidR="004346F3" w:rsidRPr="00536CFD" w:rsidRDefault="004346F3" w:rsidP="00536CFD">
            <w:pPr>
              <w:spacing w:after="0"/>
              <w:jc w:val="center"/>
            </w:pPr>
            <w:r w:rsidRPr="00536CFD">
              <w:t>0.19 file/s</w:t>
            </w:r>
          </w:p>
        </w:tc>
        <w:tc>
          <w:tcPr>
            <w:tcW w:w="0" w:type="auto"/>
            <w:gridSpan w:val="5"/>
          </w:tcPr>
          <w:p w14:paraId="7B5FCA1A" w14:textId="77777777" w:rsidR="004346F3" w:rsidRPr="00536CFD" w:rsidRDefault="004346F3" w:rsidP="00536CFD">
            <w:pPr>
              <w:spacing w:after="0"/>
              <w:jc w:val="center"/>
            </w:pPr>
            <w:r w:rsidRPr="00536CFD">
              <w:t>0.24 file/s</w:t>
            </w:r>
          </w:p>
        </w:tc>
        <w:tc>
          <w:tcPr>
            <w:tcW w:w="0" w:type="auto"/>
            <w:gridSpan w:val="5"/>
          </w:tcPr>
          <w:p w14:paraId="24D94C12" w14:textId="77777777" w:rsidR="004346F3" w:rsidRPr="00536CFD" w:rsidRDefault="004346F3" w:rsidP="00536CFD">
            <w:pPr>
              <w:spacing w:after="0"/>
              <w:jc w:val="center"/>
            </w:pPr>
            <w:r w:rsidRPr="00536CFD">
              <w:t>0.28 file/s</w:t>
            </w:r>
          </w:p>
        </w:tc>
      </w:tr>
      <w:tr w:rsidR="004346F3" w:rsidRPr="00536CFD" w14:paraId="3F14B662" w14:textId="77777777" w:rsidTr="00536CFD">
        <w:trPr>
          <w:cantSplit/>
          <w:trHeight w:val="22"/>
        </w:trPr>
        <w:tc>
          <w:tcPr>
            <w:tcW w:w="0" w:type="auto"/>
            <w:vMerge/>
          </w:tcPr>
          <w:p w14:paraId="4B6D8380" w14:textId="77777777" w:rsidR="004346F3" w:rsidRPr="00536CFD" w:rsidRDefault="004346F3" w:rsidP="00536CFD">
            <w:pPr>
              <w:spacing w:after="0"/>
              <w:jc w:val="center"/>
            </w:pPr>
          </w:p>
        </w:tc>
        <w:tc>
          <w:tcPr>
            <w:tcW w:w="0" w:type="auto"/>
            <w:gridSpan w:val="2"/>
          </w:tcPr>
          <w:p w14:paraId="435AA196" w14:textId="77777777" w:rsidR="004346F3" w:rsidRPr="00536CFD" w:rsidRDefault="004346F3" w:rsidP="00536CFD">
            <w:pPr>
              <w:spacing w:after="0"/>
              <w:jc w:val="center"/>
            </w:pPr>
          </w:p>
        </w:tc>
        <w:tc>
          <w:tcPr>
            <w:tcW w:w="0" w:type="auto"/>
            <w:gridSpan w:val="12"/>
          </w:tcPr>
          <w:p w14:paraId="06F5DA67" w14:textId="7898CCD2" w:rsidR="004346F3" w:rsidRPr="00536CFD" w:rsidRDefault="004346F3" w:rsidP="00536CFD">
            <w:pPr>
              <w:pStyle w:val="ResTable"/>
              <w:jc w:val="left"/>
              <w:rPr>
                <w:rFonts w:ascii="Times New Roman" w:hAnsi="Times New Roman" w:cs="Times New Roman"/>
                <w:sz w:val="20"/>
                <w:szCs w:val="20"/>
              </w:rPr>
            </w:pPr>
            <w:r w:rsidRPr="00536CFD">
              <w:rPr>
                <w:rFonts w:ascii="Times New Roman" w:hAnsi="Times New Roman" w:cs="Times New Roman"/>
                <w:sz w:val="20"/>
                <w:szCs w:val="20"/>
              </w:rPr>
              <w:t>Additional comments:</w:t>
            </w:r>
          </w:p>
          <w:p w14:paraId="20C84BE8" w14:textId="77777777" w:rsidR="004346F3" w:rsidRPr="00536CFD" w:rsidRDefault="004346F3" w:rsidP="00536CFD">
            <w:pPr>
              <w:spacing w:after="0"/>
            </w:pPr>
            <w:r w:rsidRPr="00536CFD">
              <w:rPr>
                <w:b/>
                <w:bCs/>
                <w:lang w:eastAsia="sv-SE"/>
              </w:rPr>
              <w:t>Simulation setup:</w:t>
            </w:r>
            <w:r w:rsidRPr="00536CFD">
              <w:rPr>
                <w:lang w:eastAsia="sv-SE"/>
              </w:rPr>
              <w:t xml:space="preserve"> NR-U outdoor scenario 1, 50/50 DL/UL traffics. </w:t>
            </w:r>
            <w:r w:rsidRPr="00536CFD">
              <w:br/>
            </w:r>
            <w:r w:rsidRPr="00536CFD">
              <w:rPr>
                <w:b/>
                <w:bCs/>
              </w:rPr>
              <w:t>Common assumptions:</w:t>
            </w:r>
            <w:r w:rsidRPr="00536CFD">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br/>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SCS 30kHz, UE processing time capability #1, PUSCH mapping Type A, PDSCH mapping Type B, PDCCH monitoring every 1OS, Scheduling: proportional fair, self-scheduling. COT sharing enabled (gNB initiated COT).</w:t>
            </w:r>
          </w:p>
        </w:tc>
      </w:tr>
      <w:tr w:rsidR="004346F3" w:rsidRPr="00536CFD" w14:paraId="256333BE" w14:textId="77777777" w:rsidTr="00536CFD">
        <w:trPr>
          <w:cantSplit/>
          <w:trHeight w:val="22"/>
        </w:trPr>
        <w:tc>
          <w:tcPr>
            <w:tcW w:w="0" w:type="auto"/>
            <w:gridSpan w:val="15"/>
          </w:tcPr>
          <w:p w14:paraId="18A5A2CC" w14:textId="77777777" w:rsidR="004346F3" w:rsidRPr="00536CFD" w:rsidRDefault="004346F3" w:rsidP="00536CFD">
            <w:pPr>
              <w:pageBreakBefore/>
              <w:spacing w:after="0" w:line="257" w:lineRule="auto"/>
              <w:jc w:val="center"/>
            </w:pPr>
            <w:r w:rsidRPr="00536CFD">
              <w:t>Evaluation results of Wi-Fi in an NR-U + Wi-Fi coexistence in outdoor scenario 1</w:t>
            </w:r>
          </w:p>
        </w:tc>
      </w:tr>
      <w:tr w:rsidR="004346F3" w:rsidRPr="00536CFD" w14:paraId="555BBA42" w14:textId="77777777" w:rsidTr="00536CFD">
        <w:trPr>
          <w:cantSplit/>
          <w:trHeight w:val="22"/>
        </w:trPr>
        <w:tc>
          <w:tcPr>
            <w:tcW w:w="0" w:type="auto"/>
            <w:vMerge w:val="restart"/>
            <w:textDirection w:val="btLr"/>
          </w:tcPr>
          <w:p w14:paraId="099C5014" w14:textId="02929E94" w:rsidR="004346F3" w:rsidRPr="00536CFD" w:rsidRDefault="004346F3" w:rsidP="00536CFD">
            <w:pPr>
              <w:spacing w:after="0"/>
              <w:ind w:left="113" w:right="113"/>
              <w:jc w:val="center"/>
            </w:pPr>
            <w:r w:rsidRPr="00536CFD">
              <w:t>Tdoc /Source</w:t>
            </w:r>
          </w:p>
        </w:tc>
        <w:tc>
          <w:tcPr>
            <w:tcW w:w="0" w:type="auto"/>
            <w:gridSpan w:val="2"/>
            <w:vMerge w:val="restart"/>
            <w:vAlign w:val="center"/>
          </w:tcPr>
          <w:p w14:paraId="66BAA8B4" w14:textId="77777777" w:rsidR="004346F3" w:rsidRPr="00536CFD" w:rsidRDefault="004346F3" w:rsidP="00536CFD">
            <w:pPr>
              <w:spacing w:after="0"/>
              <w:jc w:val="center"/>
            </w:pPr>
            <w:r w:rsidRPr="00536CFD">
              <w:t>Reported parameters</w:t>
            </w:r>
          </w:p>
        </w:tc>
        <w:tc>
          <w:tcPr>
            <w:tcW w:w="0" w:type="auto"/>
            <w:gridSpan w:val="3"/>
          </w:tcPr>
          <w:p w14:paraId="21E6E772" w14:textId="77777777" w:rsidR="004346F3" w:rsidRPr="00536CFD" w:rsidRDefault="004346F3" w:rsidP="00536CFD">
            <w:pPr>
              <w:spacing w:after="0"/>
              <w:jc w:val="center"/>
              <w:rPr>
                <w:u w:val="single"/>
              </w:rPr>
            </w:pPr>
            <w:r w:rsidRPr="00536CFD">
              <w:rPr>
                <w:u w:val="single"/>
              </w:rPr>
              <w:t>Low load</w:t>
            </w:r>
          </w:p>
          <w:p w14:paraId="3249C307" w14:textId="77777777" w:rsidR="004346F3" w:rsidRPr="00536CFD" w:rsidRDefault="004346F3" w:rsidP="00536CFD">
            <w:pPr>
              <w:spacing w:after="0"/>
              <w:jc w:val="center"/>
            </w:pPr>
            <w:r w:rsidRPr="00536CFD">
              <w:t xml:space="preserve">BO range for NR-U in </w:t>
            </w:r>
            <w:r w:rsidRPr="00536CFD">
              <w:br/>
              <w:t xml:space="preserve">NR-U + Wi-Fi, with NR-U uses ED = -72dBm: </w:t>
            </w:r>
            <w:r w:rsidRPr="00536CFD">
              <w:rPr>
                <w:rFonts w:eastAsia="MS Mincho"/>
              </w:rPr>
              <w:t>10%~25%</w:t>
            </w:r>
          </w:p>
        </w:tc>
        <w:tc>
          <w:tcPr>
            <w:tcW w:w="0" w:type="auto"/>
            <w:gridSpan w:val="5"/>
          </w:tcPr>
          <w:p w14:paraId="52CBA960" w14:textId="77777777" w:rsidR="004346F3" w:rsidRPr="00536CFD" w:rsidRDefault="004346F3" w:rsidP="00536CFD">
            <w:pPr>
              <w:spacing w:after="0"/>
              <w:jc w:val="center"/>
              <w:rPr>
                <w:u w:val="single"/>
              </w:rPr>
            </w:pPr>
            <w:r w:rsidRPr="00536CFD">
              <w:rPr>
                <w:u w:val="single"/>
              </w:rPr>
              <w:t>Medium load</w:t>
            </w:r>
          </w:p>
          <w:p w14:paraId="6A2DACCD" w14:textId="77777777" w:rsidR="004346F3" w:rsidRPr="00536CFD" w:rsidRDefault="004346F3" w:rsidP="00536CFD">
            <w:pPr>
              <w:spacing w:after="0"/>
              <w:jc w:val="center"/>
            </w:pPr>
            <w:r w:rsidRPr="00536CFD">
              <w:t xml:space="preserve">BO range for NR-U in </w:t>
            </w:r>
            <w:r w:rsidRPr="00536CFD">
              <w:br/>
              <w:t xml:space="preserve">NR-U + Wi-Fi, with NR-U uses ED = -72dBm: </w:t>
            </w:r>
            <w:r w:rsidRPr="00536CFD">
              <w:rPr>
                <w:rFonts w:eastAsia="MS Mincho"/>
              </w:rPr>
              <w:t>35%~50%</w:t>
            </w:r>
          </w:p>
        </w:tc>
        <w:tc>
          <w:tcPr>
            <w:tcW w:w="0" w:type="auto"/>
            <w:gridSpan w:val="4"/>
          </w:tcPr>
          <w:p w14:paraId="754B2802" w14:textId="77777777" w:rsidR="004346F3" w:rsidRPr="00536CFD" w:rsidRDefault="004346F3" w:rsidP="00536CFD">
            <w:pPr>
              <w:spacing w:after="0"/>
              <w:jc w:val="center"/>
              <w:rPr>
                <w:u w:val="single"/>
              </w:rPr>
            </w:pPr>
            <w:r w:rsidRPr="00536CFD">
              <w:rPr>
                <w:u w:val="single"/>
              </w:rPr>
              <w:t>High load</w:t>
            </w:r>
          </w:p>
          <w:p w14:paraId="5F4AD860" w14:textId="77777777" w:rsidR="004346F3" w:rsidRPr="00536CFD" w:rsidRDefault="004346F3" w:rsidP="00536CFD">
            <w:pPr>
              <w:spacing w:after="0"/>
              <w:jc w:val="center"/>
            </w:pPr>
            <w:r w:rsidRPr="00536CFD">
              <w:t xml:space="preserve">BO range for NR-U in </w:t>
            </w:r>
            <w:r w:rsidRPr="00536CFD">
              <w:br/>
              <w:t>NR-U + Wi-Fi, with NR-U uses ED = -72dBm: above 55%</w:t>
            </w:r>
          </w:p>
        </w:tc>
      </w:tr>
      <w:tr w:rsidR="00536CFD" w:rsidRPr="00536CFD" w14:paraId="3BE4A883" w14:textId="77777777" w:rsidTr="00536CFD">
        <w:trPr>
          <w:cantSplit/>
          <w:trHeight w:val="22"/>
        </w:trPr>
        <w:tc>
          <w:tcPr>
            <w:tcW w:w="0" w:type="auto"/>
            <w:vMerge/>
          </w:tcPr>
          <w:p w14:paraId="3B055895" w14:textId="77777777" w:rsidR="004346F3" w:rsidRPr="00536CFD" w:rsidRDefault="004346F3" w:rsidP="00536CFD">
            <w:pPr>
              <w:spacing w:after="0"/>
              <w:jc w:val="center"/>
            </w:pPr>
          </w:p>
        </w:tc>
        <w:tc>
          <w:tcPr>
            <w:tcW w:w="0" w:type="auto"/>
            <w:gridSpan w:val="2"/>
            <w:vMerge/>
          </w:tcPr>
          <w:p w14:paraId="57242777" w14:textId="77777777" w:rsidR="004346F3" w:rsidRPr="00536CFD" w:rsidRDefault="004346F3" w:rsidP="00536CFD">
            <w:pPr>
              <w:spacing w:after="0"/>
              <w:jc w:val="center"/>
            </w:pPr>
          </w:p>
        </w:tc>
        <w:tc>
          <w:tcPr>
            <w:tcW w:w="0" w:type="auto"/>
          </w:tcPr>
          <w:p w14:paraId="210AEA2E" w14:textId="77777777" w:rsidR="004346F3" w:rsidRPr="00536CFD" w:rsidRDefault="004346F3" w:rsidP="00536CFD">
            <w:pPr>
              <w:spacing w:after="0"/>
              <w:jc w:val="center"/>
            </w:pPr>
            <w:r w:rsidRPr="00536CFD">
              <w:t>Wi-Fi in NR-U + Wi-Fi, with NR-U uses ED = -72dBm</w:t>
            </w:r>
          </w:p>
          <w:p w14:paraId="3AC6BA68" w14:textId="77777777" w:rsidR="004346F3" w:rsidRPr="00536CFD" w:rsidRDefault="004346F3" w:rsidP="00536CFD">
            <w:pPr>
              <w:spacing w:after="0"/>
              <w:jc w:val="center"/>
            </w:pPr>
          </w:p>
        </w:tc>
        <w:tc>
          <w:tcPr>
            <w:tcW w:w="0" w:type="auto"/>
            <w:gridSpan w:val="2"/>
          </w:tcPr>
          <w:p w14:paraId="74E9FD7F" w14:textId="77777777" w:rsidR="004346F3" w:rsidRPr="00536CFD" w:rsidRDefault="004346F3" w:rsidP="00536CFD">
            <w:pPr>
              <w:spacing w:after="0"/>
              <w:jc w:val="center"/>
            </w:pPr>
            <w:r w:rsidRPr="00536CFD">
              <w:t>Wi-Fi in NR-U + Wi-Fi, with NR-U uses preamble</w:t>
            </w:r>
          </w:p>
          <w:p w14:paraId="4FAEE98C" w14:textId="77777777" w:rsidR="004346F3" w:rsidRPr="00536CFD" w:rsidRDefault="004346F3" w:rsidP="00536CFD">
            <w:pPr>
              <w:spacing w:after="0"/>
              <w:jc w:val="center"/>
            </w:pPr>
          </w:p>
        </w:tc>
        <w:tc>
          <w:tcPr>
            <w:tcW w:w="0" w:type="auto"/>
            <w:gridSpan w:val="3"/>
          </w:tcPr>
          <w:p w14:paraId="044275CE" w14:textId="77777777" w:rsidR="004346F3" w:rsidRPr="00536CFD" w:rsidRDefault="004346F3" w:rsidP="00536CFD">
            <w:pPr>
              <w:spacing w:after="0"/>
              <w:jc w:val="center"/>
            </w:pPr>
            <w:r w:rsidRPr="00536CFD">
              <w:t>Wi-Fi in NR-U + Wi-Fi, with NR-U uses ED = -72dBm</w:t>
            </w:r>
          </w:p>
          <w:p w14:paraId="04AE206E" w14:textId="77777777" w:rsidR="004346F3" w:rsidRPr="00536CFD" w:rsidRDefault="004346F3" w:rsidP="00536CFD">
            <w:pPr>
              <w:spacing w:after="0"/>
              <w:jc w:val="center"/>
            </w:pPr>
          </w:p>
        </w:tc>
        <w:tc>
          <w:tcPr>
            <w:tcW w:w="0" w:type="auto"/>
            <w:gridSpan w:val="2"/>
          </w:tcPr>
          <w:p w14:paraId="271EBF1B" w14:textId="77777777" w:rsidR="004346F3" w:rsidRPr="00536CFD" w:rsidRDefault="004346F3" w:rsidP="00536CFD">
            <w:pPr>
              <w:spacing w:after="0"/>
              <w:jc w:val="center"/>
            </w:pPr>
            <w:r w:rsidRPr="00536CFD">
              <w:t>Wi-Fi in NR-U + Wi-Fi, with NR-U uses preamble</w:t>
            </w:r>
          </w:p>
          <w:p w14:paraId="6196298D" w14:textId="77777777" w:rsidR="004346F3" w:rsidRPr="00536CFD" w:rsidRDefault="004346F3" w:rsidP="00536CFD">
            <w:pPr>
              <w:spacing w:after="0"/>
              <w:jc w:val="center"/>
            </w:pPr>
          </w:p>
        </w:tc>
        <w:tc>
          <w:tcPr>
            <w:tcW w:w="0" w:type="auto"/>
            <w:gridSpan w:val="2"/>
          </w:tcPr>
          <w:p w14:paraId="58C4EFA5" w14:textId="77777777" w:rsidR="004346F3" w:rsidRPr="00536CFD" w:rsidRDefault="004346F3" w:rsidP="00536CFD">
            <w:pPr>
              <w:spacing w:after="0"/>
              <w:jc w:val="center"/>
            </w:pPr>
            <w:r w:rsidRPr="00536CFD">
              <w:t>Wi-Fi in NR-U + Wi-Fi, with NR-U uses ED = -72dBm</w:t>
            </w:r>
          </w:p>
          <w:p w14:paraId="162A7C96" w14:textId="77777777" w:rsidR="004346F3" w:rsidRPr="00536CFD" w:rsidRDefault="004346F3" w:rsidP="00536CFD">
            <w:pPr>
              <w:spacing w:after="0"/>
              <w:jc w:val="center"/>
            </w:pPr>
          </w:p>
        </w:tc>
        <w:tc>
          <w:tcPr>
            <w:tcW w:w="0" w:type="auto"/>
            <w:gridSpan w:val="2"/>
          </w:tcPr>
          <w:p w14:paraId="76FA52B1" w14:textId="77777777" w:rsidR="004346F3" w:rsidRPr="00536CFD" w:rsidRDefault="004346F3" w:rsidP="00536CFD">
            <w:pPr>
              <w:spacing w:after="0"/>
              <w:jc w:val="center"/>
            </w:pPr>
            <w:r w:rsidRPr="00536CFD">
              <w:t>Wi-Fi in NR-U + Wi-Fi, with NR-U uses preamble</w:t>
            </w:r>
          </w:p>
          <w:p w14:paraId="7C434616" w14:textId="77777777" w:rsidR="004346F3" w:rsidRPr="00536CFD" w:rsidRDefault="004346F3" w:rsidP="00536CFD">
            <w:pPr>
              <w:spacing w:after="0"/>
              <w:jc w:val="center"/>
            </w:pPr>
          </w:p>
        </w:tc>
      </w:tr>
      <w:tr w:rsidR="00536CFD" w:rsidRPr="00536CFD" w14:paraId="61E1EC95" w14:textId="77777777" w:rsidTr="00536CFD">
        <w:trPr>
          <w:cantSplit/>
          <w:trHeight w:val="22"/>
        </w:trPr>
        <w:tc>
          <w:tcPr>
            <w:tcW w:w="0" w:type="auto"/>
            <w:vMerge w:val="restart"/>
            <w:textDirection w:val="btLr"/>
          </w:tcPr>
          <w:p w14:paraId="4E21806E" w14:textId="77777777" w:rsidR="004346F3" w:rsidRPr="00536CFD" w:rsidRDefault="004346F3" w:rsidP="00536CFD">
            <w:pPr>
              <w:spacing w:after="0"/>
              <w:jc w:val="center"/>
            </w:pPr>
          </w:p>
          <w:p w14:paraId="7648E9CE" w14:textId="77777777" w:rsidR="004346F3" w:rsidRPr="00536CFD" w:rsidRDefault="004346F3" w:rsidP="00536CFD">
            <w:pPr>
              <w:spacing w:after="0"/>
              <w:jc w:val="center"/>
            </w:pPr>
            <w:r w:rsidRPr="00536CFD">
              <w:t>R1-1814021 / Source 8</w:t>
            </w:r>
          </w:p>
        </w:tc>
        <w:tc>
          <w:tcPr>
            <w:tcW w:w="0" w:type="auto"/>
            <w:vMerge w:val="restart"/>
          </w:tcPr>
          <w:p w14:paraId="663E689D" w14:textId="18F68F53" w:rsidR="004346F3" w:rsidRPr="00536CFD" w:rsidRDefault="004346F3" w:rsidP="00536CFD">
            <w:pPr>
              <w:spacing w:after="0"/>
              <w:jc w:val="center"/>
            </w:pPr>
            <w:r w:rsidRPr="00536CFD">
              <w:t>DL:</w:t>
            </w:r>
          </w:p>
          <w:p w14:paraId="034034B8" w14:textId="77777777" w:rsidR="004346F3" w:rsidRPr="00536CFD" w:rsidRDefault="004346F3" w:rsidP="00536CFD">
            <w:pPr>
              <w:spacing w:after="0"/>
              <w:jc w:val="center"/>
            </w:pPr>
            <w:r w:rsidRPr="00536CFD">
              <w:t>UPT CDF</w:t>
            </w:r>
          </w:p>
          <w:p w14:paraId="5133169D" w14:textId="77777777" w:rsidR="004346F3" w:rsidRPr="00536CFD" w:rsidRDefault="004346F3" w:rsidP="00536CFD">
            <w:pPr>
              <w:spacing w:after="0"/>
              <w:jc w:val="center"/>
            </w:pPr>
            <w:r w:rsidRPr="00536CFD">
              <w:t>[Mbps]</w:t>
            </w:r>
          </w:p>
        </w:tc>
        <w:tc>
          <w:tcPr>
            <w:tcW w:w="0" w:type="auto"/>
          </w:tcPr>
          <w:p w14:paraId="2FF75F7A" w14:textId="77777777" w:rsidR="004346F3" w:rsidRPr="00536CFD" w:rsidRDefault="004346F3" w:rsidP="00536CFD">
            <w:pPr>
              <w:spacing w:after="0"/>
              <w:jc w:val="center"/>
            </w:pPr>
            <w:r w:rsidRPr="00536CFD">
              <w:t>5%</w:t>
            </w:r>
          </w:p>
        </w:tc>
        <w:tc>
          <w:tcPr>
            <w:tcW w:w="0" w:type="auto"/>
          </w:tcPr>
          <w:p w14:paraId="40169F04" w14:textId="77777777" w:rsidR="004346F3" w:rsidRPr="00536CFD" w:rsidRDefault="004346F3" w:rsidP="00536CFD">
            <w:pPr>
              <w:spacing w:after="0"/>
              <w:jc w:val="center"/>
            </w:pPr>
            <w:r w:rsidRPr="00536CFD">
              <w:t>18.39</w:t>
            </w:r>
          </w:p>
        </w:tc>
        <w:tc>
          <w:tcPr>
            <w:tcW w:w="0" w:type="auto"/>
            <w:gridSpan w:val="2"/>
          </w:tcPr>
          <w:p w14:paraId="3EDF322C" w14:textId="77777777" w:rsidR="004346F3" w:rsidRPr="00536CFD" w:rsidRDefault="004346F3" w:rsidP="00536CFD">
            <w:pPr>
              <w:spacing w:after="0"/>
              <w:jc w:val="center"/>
            </w:pPr>
            <w:r w:rsidRPr="00536CFD">
              <w:t>19.46</w:t>
            </w:r>
          </w:p>
        </w:tc>
        <w:tc>
          <w:tcPr>
            <w:tcW w:w="0" w:type="auto"/>
            <w:gridSpan w:val="3"/>
          </w:tcPr>
          <w:p w14:paraId="13949409" w14:textId="77777777" w:rsidR="004346F3" w:rsidRPr="00536CFD" w:rsidRDefault="004346F3" w:rsidP="00536CFD">
            <w:pPr>
              <w:spacing w:after="0"/>
              <w:jc w:val="center"/>
            </w:pPr>
            <w:r w:rsidRPr="00536CFD">
              <w:t>6.03</w:t>
            </w:r>
          </w:p>
        </w:tc>
        <w:tc>
          <w:tcPr>
            <w:tcW w:w="0" w:type="auto"/>
            <w:gridSpan w:val="2"/>
          </w:tcPr>
          <w:p w14:paraId="45FFCCC6" w14:textId="77777777" w:rsidR="004346F3" w:rsidRPr="00536CFD" w:rsidRDefault="004346F3" w:rsidP="00536CFD">
            <w:pPr>
              <w:spacing w:after="0"/>
              <w:jc w:val="center"/>
            </w:pPr>
            <w:r w:rsidRPr="00536CFD">
              <w:t>1.84</w:t>
            </w:r>
          </w:p>
        </w:tc>
        <w:tc>
          <w:tcPr>
            <w:tcW w:w="0" w:type="auto"/>
            <w:gridSpan w:val="2"/>
          </w:tcPr>
          <w:p w14:paraId="015FA7EB" w14:textId="77777777" w:rsidR="004346F3" w:rsidRPr="00536CFD" w:rsidRDefault="004346F3" w:rsidP="00536CFD">
            <w:pPr>
              <w:spacing w:after="0"/>
              <w:jc w:val="center"/>
            </w:pPr>
            <w:r w:rsidRPr="00536CFD">
              <w:t>1.24</w:t>
            </w:r>
          </w:p>
        </w:tc>
        <w:tc>
          <w:tcPr>
            <w:tcW w:w="0" w:type="auto"/>
            <w:gridSpan w:val="2"/>
          </w:tcPr>
          <w:p w14:paraId="4DB989A2" w14:textId="77777777" w:rsidR="004346F3" w:rsidRPr="00536CFD" w:rsidRDefault="004346F3" w:rsidP="00536CFD">
            <w:pPr>
              <w:spacing w:after="0"/>
              <w:jc w:val="center"/>
            </w:pPr>
            <w:r w:rsidRPr="00536CFD">
              <w:t>0.21</w:t>
            </w:r>
          </w:p>
        </w:tc>
      </w:tr>
      <w:tr w:rsidR="00536CFD" w:rsidRPr="00536CFD" w14:paraId="26568F52" w14:textId="77777777" w:rsidTr="00536CFD">
        <w:trPr>
          <w:cantSplit/>
          <w:trHeight w:val="22"/>
        </w:trPr>
        <w:tc>
          <w:tcPr>
            <w:tcW w:w="0" w:type="auto"/>
            <w:vMerge/>
          </w:tcPr>
          <w:p w14:paraId="333E088A" w14:textId="77777777" w:rsidR="004346F3" w:rsidRPr="00536CFD" w:rsidRDefault="004346F3" w:rsidP="00536CFD">
            <w:pPr>
              <w:spacing w:after="0"/>
              <w:jc w:val="center"/>
            </w:pPr>
          </w:p>
        </w:tc>
        <w:tc>
          <w:tcPr>
            <w:tcW w:w="0" w:type="auto"/>
            <w:vMerge/>
          </w:tcPr>
          <w:p w14:paraId="6DDA6C00" w14:textId="77777777" w:rsidR="004346F3" w:rsidRPr="00536CFD" w:rsidRDefault="004346F3" w:rsidP="00536CFD">
            <w:pPr>
              <w:spacing w:after="0"/>
              <w:jc w:val="center"/>
            </w:pPr>
          </w:p>
        </w:tc>
        <w:tc>
          <w:tcPr>
            <w:tcW w:w="0" w:type="auto"/>
          </w:tcPr>
          <w:p w14:paraId="6F6E1BFB" w14:textId="77777777" w:rsidR="004346F3" w:rsidRPr="00536CFD" w:rsidRDefault="004346F3" w:rsidP="00536CFD">
            <w:pPr>
              <w:spacing w:after="0"/>
              <w:jc w:val="center"/>
            </w:pPr>
            <w:r w:rsidRPr="00536CFD">
              <w:t>50%</w:t>
            </w:r>
          </w:p>
        </w:tc>
        <w:tc>
          <w:tcPr>
            <w:tcW w:w="0" w:type="auto"/>
          </w:tcPr>
          <w:p w14:paraId="6E34603F" w14:textId="77777777" w:rsidR="004346F3" w:rsidRPr="00536CFD" w:rsidRDefault="004346F3" w:rsidP="00536CFD">
            <w:pPr>
              <w:spacing w:after="0"/>
              <w:jc w:val="center"/>
            </w:pPr>
            <w:r w:rsidRPr="00536CFD">
              <w:t>60.32</w:t>
            </w:r>
          </w:p>
        </w:tc>
        <w:tc>
          <w:tcPr>
            <w:tcW w:w="0" w:type="auto"/>
            <w:gridSpan w:val="2"/>
          </w:tcPr>
          <w:p w14:paraId="6A5D38A9" w14:textId="77777777" w:rsidR="004346F3" w:rsidRPr="00536CFD" w:rsidRDefault="004346F3" w:rsidP="00536CFD">
            <w:pPr>
              <w:spacing w:after="0"/>
              <w:jc w:val="center"/>
            </w:pPr>
            <w:r w:rsidRPr="00536CFD">
              <w:t>60.98</w:t>
            </w:r>
          </w:p>
        </w:tc>
        <w:tc>
          <w:tcPr>
            <w:tcW w:w="0" w:type="auto"/>
            <w:gridSpan w:val="3"/>
          </w:tcPr>
          <w:p w14:paraId="15539B44" w14:textId="77777777" w:rsidR="004346F3" w:rsidRPr="00536CFD" w:rsidRDefault="004346F3" w:rsidP="00536CFD">
            <w:pPr>
              <w:spacing w:after="0"/>
              <w:jc w:val="center"/>
            </w:pPr>
            <w:r w:rsidRPr="00536CFD">
              <w:t>31.16</w:t>
            </w:r>
          </w:p>
        </w:tc>
        <w:tc>
          <w:tcPr>
            <w:tcW w:w="0" w:type="auto"/>
            <w:gridSpan w:val="2"/>
          </w:tcPr>
          <w:p w14:paraId="43783A72" w14:textId="77777777" w:rsidR="004346F3" w:rsidRPr="00536CFD" w:rsidRDefault="004346F3" w:rsidP="00536CFD">
            <w:pPr>
              <w:spacing w:after="0"/>
              <w:jc w:val="center"/>
            </w:pPr>
            <w:r w:rsidRPr="00536CFD">
              <w:t>16.85</w:t>
            </w:r>
          </w:p>
        </w:tc>
        <w:tc>
          <w:tcPr>
            <w:tcW w:w="0" w:type="auto"/>
            <w:gridSpan w:val="2"/>
          </w:tcPr>
          <w:p w14:paraId="766710D6" w14:textId="77777777" w:rsidR="004346F3" w:rsidRPr="00536CFD" w:rsidRDefault="004346F3" w:rsidP="00536CFD">
            <w:pPr>
              <w:spacing w:after="0"/>
              <w:jc w:val="center"/>
            </w:pPr>
            <w:r w:rsidRPr="00536CFD">
              <w:t>15.65</w:t>
            </w:r>
          </w:p>
        </w:tc>
        <w:tc>
          <w:tcPr>
            <w:tcW w:w="0" w:type="auto"/>
            <w:gridSpan w:val="2"/>
          </w:tcPr>
          <w:p w14:paraId="6AFDD162" w14:textId="77777777" w:rsidR="004346F3" w:rsidRPr="00536CFD" w:rsidRDefault="004346F3" w:rsidP="00536CFD">
            <w:pPr>
              <w:spacing w:after="0"/>
              <w:jc w:val="center"/>
            </w:pPr>
            <w:r w:rsidRPr="00536CFD">
              <w:t>6.53</w:t>
            </w:r>
          </w:p>
        </w:tc>
      </w:tr>
      <w:tr w:rsidR="00536CFD" w:rsidRPr="00536CFD" w14:paraId="46FF8445" w14:textId="77777777" w:rsidTr="00536CFD">
        <w:trPr>
          <w:cantSplit/>
          <w:trHeight w:val="22"/>
        </w:trPr>
        <w:tc>
          <w:tcPr>
            <w:tcW w:w="0" w:type="auto"/>
            <w:vMerge/>
          </w:tcPr>
          <w:p w14:paraId="61C4F3DC" w14:textId="77777777" w:rsidR="004346F3" w:rsidRPr="00536CFD" w:rsidRDefault="004346F3" w:rsidP="00536CFD">
            <w:pPr>
              <w:spacing w:after="0"/>
              <w:jc w:val="center"/>
            </w:pPr>
          </w:p>
        </w:tc>
        <w:tc>
          <w:tcPr>
            <w:tcW w:w="0" w:type="auto"/>
            <w:vMerge/>
          </w:tcPr>
          <w:p w14:paraId="5BCC2C2A" w14:textId="77777777" w:rsidR="004346F3" w:rsidRPr="00536CFD" w:rsidRDefault="004346F3" w:rsidP="00536CFD">
            <w:pPr>
              <w:spacing w:after="0"/>
              <w:jc w:val="center"/>
            </w:pPr>
          </w:p>
        </w:tc>
        <w:tc>
          <w:tcPr>
            <w:tcW w:w="0" w:type="auto"/>
          </w:tcPr>
          <w:p w14:paraId="42C74104" w14:textId="77777777" w:rsidR="004346F3" w:rsidRPr="00536CFD" w:rsidRDefault="004346F3" w:rsidP="00536CFD">
            <w:pPr>
              <w:spacing w:after="0"/>
              <w:jc w:val="center"/>
            </w:pPr>
            <w:r w:rsidRPr="00536CFD">
              <w:t>95%</w:t>
            </w:r>
          </w:p>
        </w:tc>
        <w:tc>
          <w:tcPr>
            <w:tcW w:w="0" w:type="auto"/>
          </w:tcPr>
          <w:p w14:paraId="711616A9" w14:textId="77777777" w:rsidR="004346F3" w:rsidRPr="00536CFD" w:rsidRDefault="004346F3" w:rsidP="00536CFD">
            <w:pPr>
              <w:spacing w:after="0"/>
              <w:jc w:val="center"/>
            </w:pPr>
            <w:r w:rsidRPr="00536CFD">
              <w:t>92.65</w:t>
            </w:r>
          </w:p>
        </w:tc>
        <w:tc>
          <w:tcPr>
            <w:tcW w:w="0" w:type="auto"/>
            <w:gridSpan w:val="2"/>
          </w:tcPr>
          <w:p w14:paraId="777033EC" w14:textId="77777777" w:rsidR="004346F3" w:rsidRPr="00536CFD" w:rsidRDefault="004346F3" w:rsidP="00536CFD">
            <w:pPr>
              <w:spacing w:after="0"/>
              <w:jc w:val="center"/>
            </w:pPr>
            <w:r w:rsidRPr="00536CFD">
              <w:t>91.97</w:t>
            </w:r>
          </w:p>
        </w:tc>
        <w:tc>
          <w:tcPr>
            <w:tcW w:w="0" w:type="auto"/>
            <w:gridSpan w:val="3"/>
          </w:tcPr>
          <w:p w14:paraId="2684DF8B" w14:textId="77777777" w:rsidR="004346F3" w:rsidRPr="00536CFD" w:rsidRDefault="004346F3" w:rsidP="00536CFD">
            <w:pPr>
              <w:spacing w:after="0"/>
              <w:jc w:val="center"/>
            </w:pPr>
            <w:r w:rsidRPr="00536CFD">
              <w:t>69.59</w:t>
            </w:r>
          </w:p>
        </w:tc>
        <w:tc>
          <w:tcPr>
            <w:tcW w:w="0" w:type="auto"/>
            <w:gridSpan w:val="2"/>
          </w:tcPr>
          <w:p w14:paraId="5280A63F" w14:textId="77777777" w:rsidR="004346F3" w:rsidRPr="00536CFD" w:rsidRDefault="004346F3" w:rsidP="00536CFD">
            <w:pPr>
              <w:spacing w:after="0"/>
              <w:jc w:val="center"/>
            </w:pPr>
            <w:r w:rsidRPr="00536CFD">
              <w:t>50.32</w:t>
            </w:r>
          </w:p>
        </w:tc>
        <w:tc>
          <w:tcPr>
            <w:tcW w:w="0" w:type="auto"/>
            <w:gridSpan w:val="2"/>
          </w:tcPr>
          <w:p w14:paraId="2C76950E" w14:textId="77777777" w:rsidR="004346F3" w:rsidRPr="00536CFD" w:rsidRDefault="004346F3" w:rsidP="00536CFD">
            <w:pPr>
              <w:spacing w:after="0"/>
              <w:jc w:val="center"/>
            </w:pPr>
            <w:r w:rsidRPr="00536CFD">
              <w:t>54.04</w:t>
            </w:r>
          </w:p>
        </w:tc>
        <w:tc>
          <w:tcPr>
            <w:tcW w:w="0" w:type="auto"/>
            <w:gridSpan w:val="2"/>
          </w:tcPr>
          <w:p w14:paraId="5C410F94" w14:textId="77777777" w:rsidR="004346F3" w:rsidRPr="00536CFD" w:rsidRDefault="004346F3" w:rsidP="00536CFD">
            <w:pPr>
              <w:spacing w:after="0"/>
              <w:jc w:val="center"/>
            </w:pPr>
            <w:r w:rsidRPr="00536CFD">
              <w:t>32.60</w:t>
            </w:r>
          </w:p>
        </w:tc>
      </w:tr>
      <w:tr w:rsidR="00536CFD" w:rsidRPr="00536CFD" w14:paraId="56B58F34" w14:textId="77777777" w:rsidTr="00536CFD">
        <w:trPr>
          <w:cantSplit/>
          <w:trHeight w:val="22"/>
        </w:trPr>
        <w:tc>
          <w:tcPr>
            <w:tcW w:w="0" w:type="auto"/>
            <w:vMerge/>
          </w:tcPr>
          <w:p w14:paraId="53822D4C" w14:textId="77777777" w:rsidR="004346F3" w:rsidRPr="00536CFD" w:rsidRDefault="004346F3" w:rsidP="00536CFD">
            <w:pPr>
              <w:spacing w:after="0"/>
              <w:jc w:val="center"/>
            </w:pPr>
          </w:p>
        </w:tc>
        <w:tc>
          <w:tcPr>
            <w:tcW w:w="0" w:type="auto"/>
            <w:vMerge/>
          </w:tcPr>
          <w:p w14:paraId="44109B78" w14:textId="77777777" w:rsidR="004346F3" w:rsidRPr="00536CFD" w:rsidRDefault="004346F3" w:rsidP="00536CFD">
            <w:pPr>
              <w:spacing w:after="0"/>
              <w:jc w:val="center"/>
            </w:pPr>
          </w:p>
        </w:tc>
        <w:tc>
          <w:tcPr>
            <w:tcW w:w="0" w:type="auto"/>
          </w:tcPr>
          <w:p w14:paraId="4C2922C9" w14:textId="77777777" w:rsidR="004346F3" w:rsidRPr="00536CFD" w:rsidRDefault="004346F3" w:rsidP="00536CFD">
            <w:pPr>
              <w:spacing w:after="0"/>
              <w:jc w:val="center"/>
            </w:pPr>
            <w:r w:rsidRPr="00536CFD">
              <w:t>Mean</w:t>
            </w:r>
          </w:p>
        </w:tc>
        <w:tc>
          <w:tcPr>
            <w:tcW w:w="0" w:type="auto"/>
          </w:tcPr>
          <w:p w14:paraId="61284AD7" w14:textId="77777777" w:rsidR="004346F3" w:rsidRPr="00536CFD" w:rsidRDefault="004346F3" w:rsidP="00536CFD">
            <w:pPr>
              <w:spacing w:after="0"/>
              <w:jc w:val="center"/>
            </w:pPr>
            <w:r w:rsidRPr="00536CFD">
              <w:t>60.23</w:t>
            </w:r>
          </w:p>
        </w:tc>
        <w:tc>
          <w:tcPr>
            <w:tcW w:w="0" w:type="auto"/>
            <w:gridSpan w:val="2"/>
          </w:tcPr>
          <w:p w14:paraId="61CC016E" w14:textId="77777777" w:rsidR="004346F3" w:rsidRPr="00536CFD" w:rsidRDefault="004346F3" w:rsidP="00536CFD">
            <w:pPr>
              <w:spacing w:after="0"/>
              <w:jc w:val="center"/>
            </w:pPr>
            <w:r w:rsidRPr="00536CFD">
              <w:t>59.96</w:t>
            </w:r>
          </w:p>
        </w:tc>
        <w:tc>
          <w:tcPr>
            <w:tcW w:w="0" w:type="auto"/>
            <w:gridSpan w:val="3"/>
          </w:tcPr>
          <w:p w14:paraId="6A5FC54E" w14:textId="77777777" w:rsidR="004346F3" w:rsidRPr="00536CFD" w:rsidRDefault="004346F3" w:rsidP="00536CFD">
            <w:pPr>
              <w:spacing w:after="0"/>
              <w:jc w:val="center"/>
            </w:pPr>
            <w:r w:rsidRPr="00536CFD">
              <w:t>35.26</w:t>
            </w:r>
          </w:p>
        </w:tc>
        <w:tc>
          <w:tcPr>
            <w:tcW w:w="0" w:type="auto"/>
            <w:gridSpan w:val="2"/>
          </w:tcPr>
          <w:p w14:paraId="77213433" w14:textId="77777777" w:rsidR="004346F3" w:rsidRPr="00536CFD" w:rsidRDefault="004346F3" w:rsidP="00536CFD">
            <w:pPr>
              <w:spacing w:after="0"/>
              <w:jc w:val="center"/>
            </w:pPr>
            <w:r w:rsidRPr="00536CFD">
              <w:t>21.53</w:t>
            </w:r>
          </w:p>
        </w:tc>
        <w:tc>
          <w:tcPr>
            <w:tcW w:w="0" w:type="auto"/>
            <w:gridSpan w:val="2"/>
          </w:tcPr>
          <w:p w14:paraId="4FDC73D3" w14:textId="77777777" w:rsidR="004346F3" w:rsidRPr="00536CFD" w:rsidRDefault="004346F3" w:rsidP="00536CFD">
            <w:pPr>
              <w:spacing w:after="0"/>
              <w:jc w:val="center"/>
            </w:pPr>
            <w:r w:rsidRPr="00536CFD">
              <w:t>21.26</w:t>
            </w:r>
          </w:p>
        </w:tc>
        <w:tc>
          <w:tcPr>
            <w:tcW w:w="0" w:type="auto"/>
            <w:gridSpan w:val="2"/>
          </w:tcPr>
          <w:p w14:paraId="575443B0" w14:textId="77777777" w:rsidR="004346F3" w:rsidRPr="00536CFD" w:rsidRDefault="004346F3" w:rsidP="00536CFD">
            <w:pPr>
              <w:spacing w:after="0"/>
              <w:jc w:val="center"/>
            </w:pPr>
            <w:r w:rsidRPr="00536CFD">
              <w:t>10.97</w:t>
            </w:r>
          </w:p>
        </w:tc>
      </w:tr>
      <w:tr w:rsidR="00536CFD" w:rsidRPr="00536CFD" w14:paraId="47EEFFF0" w14:textId="77777777" w:rsidTr="00536CFD">
        <w:trPr>
          <w:cantSplit/>
          <w:trHeight w:val="22"/>
        </w:trPr>
        <w:tc>
          <w:tcPr>
            <w:tcW w:w="0" w:type="auto"/>
            <w:vMerge/>
          </w:tcPr>
          <w:p w14:paraId="0E4396AF" w14:textId="77777777" w:rsidR="004346F3" w:rsidRPr="00536CFD" w:rsidRDefault="004346F3" w:rsidP="00536CFD">
            <w:pPr>
              <w:spacing w:after="0"/>
              <w:jc w:val="center"/>
            </w:pPr>
          </w:p>
        </w:tc>
        <w:tc>
          <w:tcPr>
            <w:tcW w:w="0" w:type="auto"/>
            <w:vMerge w:val="restart"/>
          </w:tcPr>
          <w:p w14:paraId="51F8746A" w14:textId="77777777" w:rsidR="004346F3" w:rsidRPr="00536CFD" w:rsidRDefault="004346F3" w:rsidP="00536CFD">
            <w:pPr>
              <w:spacing w:after="0"/>
              <w:jc w:val="center"/>
            </w:pPr>
            <w:r w:rsidRPr="00536CFD">
              <w:t>DL:</w:t>
            </w:r>
          </w:p>
          <w:p w14:paraId="4396F33B" w14:textId="77777777" w:rsidR="004346F3" w:rsidRPr="00536CFD" w:rsidRDefault="004346F3" w:rsidP="00536CFD">
            <w:pPr>
              <w:spacing w:after="0"/>
              <w:jc w:val="center"/>
            </w:pPr>
            <w:r w:rsidRPr="00536CFD">
              <w:t>Delay CDF</w:t>
            </w:r>
          </w:p>
          <w:p w14:paraId="10FDE76B" w14:textId="77777777" w:rsidR="004346F3" w:rsidRPr="00536CFD" w:rsidRDefault="004346F3" w:rsidP="00536CFD">
            <w:pPr>
              <w:spacing w:after="0"/>
              <w:jc w:val="center"/>
            </w:pPr>
            <w:r w:rsidRPr="00536CFD">
              <w:t>[s]</w:t>
            </w:r>
          </w:p>
        </w:tc>
        <w:tc>
          <w:tcPr>
            <w:tcW w:w="0" w:type="auto"/>
          </w:tcPr>
          <w:p w14:paraId="77A3A432" w14:textId="77777777" w:rsidR="004346F3" w:rsidRPr="00536CFD" w:rsidRDefault="004346F3" w:rsidP="00536CFD">
            <w:pPr>
              <w:spacing w:after="0"/>
              <w:jc w:val="center"/>
            </w:pPr>
            <w:r w:rsidRPr="00536CFD">
              <w:t>5%</w:t>
            </w:r>
          </w:p>
        </w:tc>
        <w:tc>
          <w:tcPr>
            <w:tcW w:w="0" w:type="auto"/>
          </w:tcPr>
          <w:p w14:paraId="5BDF186F" w14:textId="77777777" w:rsidR="004346F3" w:rsidRPr="00536CFD" w:rsidRDefault="004346F3" w:rsidP="00536CFD">
            <w:pPr>
              <w:spacing w:after="0"/>
              <w:jc w:val="center"/>
            </w:pPr>
            <w:r w:rsidRPr="00536CFD">
              <w:t>0.036</w:t>
            </w:r>
          </w:p>
        </w:tc>
        <w:tc>
          <w:tcPr>
            <w:tcW w:w="0" w:type="auto"/>
            <w:gridSpan w:val="2"/>
          </w:tcPr>
          <w:p w14:paraId="18B94759" w14:textId="77777777" w:rsidR="004346F3" w:rsidRPr="00536CFD" w:rsidRDefault="004346F3" w:rsidP="00536CFD">
            <w:pPr>
              <w:spacing w:after="0"/>
              <w:jc w:val="center"/>
            </w:pPr>
            <w:r w:rsidRPr="00536CFD">
              <w:t>0.037</w:t>
            </w:r>
          </w:p>
        </w:tc>
        <w:tc>
          <w:tcPr>
            <w:tcW w:w="0" w:type="auto"/>
            <w:gridSpan w:val="3"/>
          </w:tcPr>
          <w:p w14:paraId="16F2DFD3" w14:textId="77777777" w:rsidR="004346F3" w:rsidRPr="00536CFD" w:rsidRDefault="004346F3" w:rsidP="00536CFD">
            <w:pPr>
              <w:spacing w:after="0"/>
              <w:jc w:val="center"/>
            </w:pPr>
            <w:r w:rsidRPr="00536CFD">
              <w:t>0.053</w:t>
            </w:r>
          </w:p>
        </w:tc>
        <w:tc>
          <w:tcPr>
            <w:tcW w:w="0" w:type="auto"/>
            <w:gridSpan w:val="2"/>
          </w:tcPr>
          <w:p w14:paraId="7E8167DB" w14:textId="77777777" w:rsidR="004346F3" w:rsidRPr="00536CFD" w:rsidRDefault="004346F3" w:rsidP="00536CFD">
            <w:pPr>
              <w:spacing w:after="0"/>
              <w:jc w:val="center"/>
            </w:pPr>
            <w:r w:rsidRPr="00536CFD">
              <w:t>0.069</w:t>
            </w:r>
          </w:p>
        </w:tc>
        <w:tc>
          <w:tcPr>
            <w:tcW w:w="0" w:type="auto"/>
            <w:gridSpan w:val="2"/>
          </w:tcPr>
          <w:p w14:paraId="457A4454" w14:textId="77777777" w:rsidR="004346F3" w:rsidRPr="00536CFD" w:rsidRDefault="004346F3" w:rsidP="00536CFD">
            <w:pPr>
              <w:spacing w:after="0"/>
              <w:jc w:val="center"/>
            </w:pPr>
            <w:r w:rsidRPr="00536CFD">
              <w:t>0.066</w:t>
            </w:r>
          </w:p>
        </w:tc>
        <w:tc>
          <w:tcPr>
            <w:tcW w:w="0" w:type="auto"/>
            <w:gridSpan w:val="2"/>
          </w:tcPr>
          <w:p w14:paraId="7E9C2972" w14:textId="77777777" w:rsidR="004346F3" w:rsidRPr="00536CFD" w:rsidRDefault="004346F3" w:rsidP="00536CFD">
            <w:pPr>
              <w:spacing w:after="0"/>
              <w:jc w:val="center"/>
            </w:pPr>
            <w:r w:rsidRPr="00536CFD">
              <w:t>0.098</w:t>
            </w:r>
          </w:p>
        </w:tc>
      </w:tr>
      <w:tr w:rsidR="00536CFD" w:rsidRPr="00536CFD" w14:paraId="1C515808" w14:textId="77777777" w:rsidTr="00536CFD">
        <w:trPr>
          <w:cantSplit/>
          <w:trHeight w:val="22"/>
        </w:trPr>
        <w:tc>
          <w:tcPr>
            <w:tcW w:w="0" w:type="auto"/>
            <w:vMerge/>
          </w:tcPr>
          <w:p w14:paraId="36DD680A" w14:textId="77777777" w:rsidR="004346F3" w:rsidRPr="00536CFD" w:rsidRDefault="004346F3" w:rsidP="00536CFD">
            <w:pPr>
              <w:spacing w:after="0"/>
              <w:jc w:val="center"/>
            </w:pPr>
          </w:p>
        </w:tc>
        <w:tc>
          <w:tcPr>
            <w:tcW w:w="0" w:type="auto"/>
            <w:vMerge/>
          </w:tcPr>
          <w:p w14:paraId="66ED16E8" w14:textId="77777777" w:rsidR="004346F3" w:rsidRPr="00536CFD" w:rsidRDefault="004346F3" w:rsidP="00536CFD">
            <w:pPr>
              <w:spacing w:after="0"/>
              <w:jc w:val="center"/>
            </w:pPr>
          </w:p>
        </w:tc>
        <w:tc>
          <w:tcPr>
            <w:tcW w:w="0" w:type="auto"/>
          </w:tcPr>
          <w:p w14:paraId="3094A2DD" w14:textId="77777777" w:rsidR="004346F3" w:rsidRPr="00536CFD" w:rsidRDefault="004346F3" w:rsidP="00536CFD">
            <w:pPr>
              <w:spacing w:after="0"/>
              <w:jc w:val="center"/>
            </w:pPr>
            <w:r w:rsidRPr="00536CFD">
              <w:t>50%</w:t>
            </w:r>
          </w:p>
        </w:tc>
        <w:tc>
          <w:tcPr>
            <w:tcW w:w="0" w:type="auto"/>
          </w:tcPr>
          <w:p w14:paraId="5138D74B" w14:textId="77777777" w:rsidR="004346F3" w:rsidRPr="00536CFD" w:rsidRDefault="004346F3" w:rsidP="00536CFD">
            <w:pPr>
              <w:spacing w:after="0"/>
              <w:jc w:val="center"/>
            </w:pPr>
            <w:r w:rsidRPr="00536CFD">
              <w:t>0.075</w:t>
            </w:r>
          </w:p>
        </w:tc>
        <w:tc>
          <w:tcPr>
            <w:tcW w:w="0" w:type="auto"/>
            <w:gridSpan w:val="2"/>
          </w:tcPr>
          <w:p w14:paraId="0CA83E60" w14:textId="77777777" w:rsidR="004346F3" w:rsidRPr="00536CFD" w:rsidRDefault="004346F3" w:rsidP="00536CFD">
            <w:pPr>
              <w:spacing w:after="0"/>
              <w:jc w:val="center"/>
            </w:pPr>
            <w:r w:rsidRPr="00536CFD">
              <w:t>0.084</w:t>
            </w:r>
          </w:p>
        </w:tc>
        <w:tc>
          <w:tcPr>
            <w:tcW w:w="0" w:type="auto"/>
            <w:gridSpan w:val="3"/>
          </w:tcPr>
          <w:p w14:paraId="2D6DB275" w14:textId="77777777" w:rsidR="004346F3" w:rsidRPr="00536CFD" w:rsidRDefault="004346F3" w:rsidP="00536CFD">
            <w:pPr>
              <w:spacing w:after="0"/>
              <w:jc w:val="center"/>
            </w:pPr>
            <w:r w:rsidRPr="00536CFD">
              <w:t>0.216</w:t>
            </w:r>
          </w:p>
        </w:tc>
        <w:tc>
          <w:tcPr>
            <w:tcW w:w="0" w:type="auto"/>
            <w:gridSpan w:val="2"/>
          </w:tcPr>
          <w:p w14:paraId="6463F437" w14:textId="77777777" w:rsidR="004346F3" w:rsidRPr="00536CFD" w:rsidRDefault="004346F3" w:rsidP="00536CFD">
            <w:pPr>
              <w:spacing w:after="0"/>
              <w:jc w:val="center"/>
            </w:pPr>
            <w:r w:rsidRPr="00536CFD">
              <w:t>0.514</w:t>
            </w:r>
          </w:p>
        </w:tc>
        <w:tc>
          <w:tcPr>
            <w:tcW w:w="0" w:type="auto"/>
            <w:gridSpan w:val="2"/>
          </w:tcPr>
          <w:p w14:paraId="699CC748" w14:textId="77777777" w:rsidR="004346F3" w:rsidRPr="00536CFD" w:rsidRDefault="004346F3" w:rsidP="00536CFD">
            <w:pPr>
              <w:spacing w:after="0"/>
              <w:jc w:val="center"/>
            </w:pPr>
            <w:r w:rsidRPr="00536CFD">
              <w:t>0.405</w:t>
            </w:r>
          </w:p>
        </w:tc>
        <w:tc>
          <w:tcPr>
            <w:tcW w:w="0" w:type="auto"/>
            <w:gridSpan w:val="2"/>
          </w:tcPr>
          <w:p w14:paraId="3E96052D" w14:textId="77777777" w:rsidR="004346F3" w:rsidRPr="00536CFD" w:rsidRDefault="004346F3" w:rsidP="00536CFD">
            <w:pPr>
              <w:spacing w:after="0"/>
              <w:jc w:val="center"/>
            </w:pPr>
            <w:r w:rsidRPr="00536CFD">
              <w:t>1.005</w:t>
            </w:r>
          </w:p>
        </w:tc>
      </w:tr>
      <w:tr w:rsidR="00536CFD" w:rsidRPr="00536CFD" w14:paraId="37EC642E" w14:textId="77777777" w:rsidTr="00536CFD">
        <w:trPr>
          <w:cantSplit/>
          <w:trHeight w:val="22"/>
        </w:trPr>
        <w:tc>
          <w:tcPr>
            <w:tcW w:w="0" w:type="auto"/>
            <w:vMerge/>
          </w:tcPr>
          <w:p w14:paraId="77AAE5B9" w14:textId="77777777" w:rsidR="004346F3" w:rsidRPr="00536CFD" w:rsidRDefault="004346F3" w:rsidP="00536CFD">
            <w:pPr>
              <w:spacing w:after="0"/>
              <w:jc w:val="center"/>
            </w:pPr>
          </w:p>
        </w:tc>
        <w:tc>
          <w:tcPr>
            <w:tcW w:w="0" w:type="auto"/>
            <w:vMerge/>
          </w:tcPr>
          <w:p w14:paraId="723BDA99" w14:textId="77777777" w:rsidR="004346F3" w:rsidRPr="00536CFD" w:rsidRDefault="004346F3" w:rsidP="00536CFD">
            <w:pPr>
              <w:spacing w:after="0"/>
              <w:jc w:val="center"/>
            </w:pPr>
          </w:p>
        </w:tc>
        <w:tc>
          <w:tcPr>
            <w:tcW w:w="0" w:type="auto"/>
          </w:tcPr>
          <w:p w14:paraId="7D3E0B1A" w14:textId="77777777" w:rsidR="004346F3" w:rsidRPr="00536CFD" w:rsidRDefault="004346F3" w:rsidP="00536CFD">
            <w:pPr>
              <w:spacing w:after="0"/>
              <w:jc w:val="center"/>
            </w:pPr>
            <w:r w:rsidRPr="00536CFD">
              <w:t>95%</w:t>
            </w:r>
          </w:p>
        </w:tc>
        <w:tc>
          <w:tcPr>
            <w:tcW w:w="0" w:type="auto"/>
          </w:tcPr>
          <w:p w14:paraId="503CD776" w14:textId="77777777" w:rsidR="004346F3" w:rsidRPr="00536CFD" w:rsidRDefault="004346F3" w:rsidP="00536CFD">
            <w:pPr>
              <w:spacing w:after="0"/>
              <w:jc w:val="center"/>
            </w:pPr>
            <w:r w:rsidRPr="00536CFD">
              <w:t>0.335</w:t>
            </w:r>
          </w:p>
        </w:tc>
        <w:tc>
          <w:tcPr>
            <w:tcW w:w="0" w:type="auto"/>
            <w:gridSpan w:val="2"/>
          </w:tcPr>
          <w:p w14:paraId="49229CD0" w14:textId="77777777" w:rsidR="004346F3" w:rsidRPr="00536CFD" w:rsidRDefault="004346F3" w:rsidP="00536CFD">
            <w:pPr>
              <w:spacing w:after="0"/>
              <w:jc w:val="center"/>
            </w:pPr>
            <w:r w:rsidRPr="00536CFD">
              <w:t>0.386</w:t>
            </w:r>
          </w:p>
        </w:tc>
        <w:tc>
          <w:tcPr>
            <w:tcW w:w="0" w:type="auto"/>
            <w:gridSpan w:val="3"/>
          </w:tcPr>
          <w:p w14:paraId="4FE6B453" w14:textId="77777777" w:rsidR="004346F3" w:rsidRPr="00536CFD" w:rsidRDefault="004346F3" w:rsidP="00536CFD">
            <w:pPr>
              <w:spacing w:after="0"/>
              <w:jc w:val="center"/>
            </w:pPr>
            <w:r w:rsidRPr="00536CFD">
              <w:t>2.110</w:t>
            </w:r>
          </w:p>
        </w:tc>
        <w:tc>
          <w:tcPr>
            <w:tcW w:w="0" w:type="auto"/>
            <w:gridSpan w:val="2"/>
          </w:tcPr>
          <w:p w14:paraId="60A0A90B" w14:textId="77777777" w:rsidR="004346F3" w:rsidRPr="00536CFD" w:rsidRDefault="004346F3" w:rsidP="00536CFD">
            <w:pPr>
              <w:spacing w:after="0"/>
              <w:jc w:val="center"/>
            </w:pPr>
            <w:r w:rsidRPr="00536CFD">
              <w:t>7.152</w:t>
            </w:r>
          </w:p>
        </w:tc>
        <w:tc>
          <w:tcPr>
            <w:tcW w:w="0" w:type="auto"/>
            <w:gridSpan w:val="2"/>
          </w:tcPr>
          <w:p w14:paraId="0E82037C" w14:textId="77777777" w:rsidR="004346F3" w:rsidRPr="00536CFD" w:rsidRDefault="004346F3" w:rsidP="00536CFD">
            <w:pPr>
              <w:spacing w:after="0"/>
              <w:jc w:val="center"/>
            </w:pPr>
            <w:r w:rsidRPr="00536CFD">
              <w:t>4.478</w:t>
            </w:r>
          </w:p>
        </w:tc>
        <w:tc>
          <w:tcPr>
            <w:tcW w:w="0" w:type="auto"/>
            <w:gridSpan w:val="2"/>
          </w:tcPr>
          <w:p w14:paraId="2CCC6285" w14:textId="77777777" w:rsidR="004346F3" w:rsidRPr="00536CFD" w:rsidRDefault="004346F3" w:rsidP="00536CFD">
            <w:pPr>
              <w:spacing w:after="0"/>
              <w:jc w:val="center"/>
            </w:pPr>
            <w:r w:rsidRPr="00536CFD">
              <w:t>10.134</w:t>
            </w:r>
          </w:p>
        </w:tc>
      </w:tr>
      <w:tr w:rsidR="00536CFD" w:rsidRPr="00536CFD" w14:paraId="49D057D4" w14:textId="77777777" w:rsidTr="00536CFD">
        <w:trPr>
          <w:cantSplit/>
          <w:trHeight w:val="22"/>
        </w:trPr>
        <w:tc>
          <w:tcPr>
            <w:tcW w:w="0" w:type="auto"/>
            <w:vMerge/>
          </w:tcPr>
          <w:p w14:paraId="02CC06B7" w14:textId="77777777" w:rsidR="004346F3" w:rsidRPr="00536CFD" w:rsidRDefault="004346F3" w:rsidP="00536CFD">
            <w:pPr>
              <w:spacing w:after="0"/>
              <w:jc w:val="center"/>
            </w:pPr>
          </w:p>
        </w:tc>
        <w:tc>
          <w:tcPr>
            <w:tcW w:w="0" w:type="auto"/>
            <w:vMerge/>
          </w:tcPr>
          <w:p w14:paraId="682A5153" w14:textId="77777777" w:rsidR="004346F3" w:rsidRPr="00536CFD" w:rsidRDefault="004346F3" w:rsidP="00536CFD">
            <w:pPr>
              <w:spacing w:after="0"/>
              <w:jc w:val="center"/>
            </w:pPr>
          </w:p>
        </w:tc>
        <w:tc>
          <w:tcPr>
            <w:tcW w:w="0" w:type="auto"/>
          </w:tcPr>
          <w:p w14:paraId="3A7EDBDC" w14:textId="77777777" w:rsidR="004346F3" w:rsidRPr="00536CFD" w:rsidRDefault="004346F3" w:rsidP="00536CFD">
            <w:pPr>
              <w:spacing w:after="0"/>
              <w:jc w:val="center"/>
            </w:pPr>
            <w:r w:rsidRPr="00536CFD">
              <w:t>Mean</w:t>
            </w:r>
          </w:p>
        </w:tc>
        <w:tc>
          <w:tcPr>
            <w:tcW w:w="0" w:type="auto"/>
          </w:tcPr>
          <w:p w14:paraId="2FC55752" w14:textId="77777777" w:rsidR="004346F3" w:rsidRPr="00536CFD" w:rsidRDefault="004346F3" w:rsidP="00536CFD">
            <w:pPr>
              <w:spacing w:after="0"/>
              <w:jc w:val="center"/>
            </w:pPr>
            <w:r w:rsidRPr="00536CFD">
              <w:t>0.145</w:t>
            </w:r>
          </w:p>
        </w:tc>
        <w:tc>
          <w:tcPr>
            <w:tcW w:w="0" w:type="auto"/>
            <w:gridSpan w:val="2"/>
          </w:tcPr>
          <w:p w14:paraId="40B3BACF" w14:textId="77777777" w:rsidR="004346F3" w:rsidRPr="00536CFD" w:rsidRDefault="004346F3" w:rsidP="00536CFD">
            <w:pPr>
              <w:spacing w:after="0"/>
              <w:jc w:val="center"/>
            </w:pPr>
            <w:r w:rsidRPr="00536CFD">
              <w:t>0.145</w:t>
            </w:r>
          </w:p>
        </w:tc>
        <w:tc>
          <w:tcPr>
            <w:tcW w:w="0" w:type="auto"/>
            <w:gridSpan w:val="3"/>
          </w:tcPr>
          <w:p w14:paraId="4A125EC1" w14:textId="77777777" w:rsidR="004346F3" w:rsidRPr="00536CFD" w:rsidRDefault="004346F3" w:rsidP="00536CFD">
            <w:pPr>
              <w:spacing w:after="0"/>
              <w:jc w:val="center"/>
            </w:pPr>
            <w:r w:rsidRPr="00536CFD">
              <w:t>0.631</w:t>
            </w:r>
          </w:p>
        </w:tc>
        <w:tc>
          <w:tcPr>
            <w:tcW w:w="0" w:type="auto"/>
            <w:gridSpan w:val="2"/>
          </w:tcPr>
          <w:p w14:paraId="3DC9FDDC" w14:textId="77777777" w:rsidR="004346F3" w:rsidRPr="00536CFD" w:rsidRDefault="004346F3" w:rsidP="00536CFD">
            <w:pPr>
              <w:spacing w:after="0"/>
              <w:jc w:val="center"/>
            </w:pPr>
            <w:r w:rsidRPr="00536CFD">
              <w:t>1.773</w:t>
            </w:r>
          </w:p>
        </w:tc>
        <w:tc>
          <w:tcPr>
            <w:tcW w:w="0" w:type="auto"/>
            <w:gridSpan w:val="2"/>
          </w:tcPr>
          <w:p w14:paraId="091CC268" w14:textId="77777777" w:rsidR="004346F3" w:rsidRPr="00536CFD" w:rsidRDefault="004346F3" w:rsidP="00536CFD">
            <w:pPr>
              <w:spacing w:after="0"/>
              <w:jc w:val="center"/>
            </w:pPr>
            <w:r w:rsidRPr="00536CFD">
              <w:t>1.239</w:t>
            </w:r>
          </w:p>
        </w:tc>
        <w:tc>
          <w:tcPr>
            <w:tcW w:w="0" w:type="auto"/>
            <w:gridSpan w:val="2"/>
          </w:tcPr>
          <w:p w14:paraId="2F5ACF52" w14:textId="77777777" w:rsidR="004346F3" w:rsidRPr="00536CFD" w:rsidRDefault="004346F3" w:rsidP="00536CFD">
            <w:pPr>
              <w:spacing w:after="0"/>
              <w:jc w:val="center"/>
            </w:pPr>
            <w:r w:rsidRPr="00536CFD">
              <w:t>2.664</w:t>
            </w:r>
          </w:p>
        </w:tc>
      </w:tr>
      <w:tr w:rsidR="00536CFD" w:rsidRPr="00536CFD" w14:paraId="7798E518" w14:textId="77777777" w:rsidTr="00536CFD">
        <w:trPr>
          <w:cantSplit/>
          <w:trHeight w:val="22"/>
        </w:trPr>
        <w:tc>
          <w:tcPr>
            <w:tcW w:w="0" w:type="auto"/>
            <w:vMerge/>
          </w:tcPr>
          <w:p w14:paraId="58C62E17" w14:textId="77777777" w:rsidR="004346F3" w:rsidRPr="00536CFD" w:rsidRDefault="004346F3" w:rsidP="00536CFD">
            <w:pPr>
              <w:spacing w:after="0"/>
              <w:jc w:val="center"/>
            </w:pPr>
          </w:p>
        </w:tc>
        <w:tc>
          <w:tcPr>
            <w:tcW w:w="0" w:type="auto"/>
            <w:vMerge w:val="restart"/>
          </w:tcPr>
          <w:p w14:paraId="45E30C89" w14:textId="77777777" w:rsidR="004346F3" w:rsidRPr="00536CFD" w:rsidRDefault="004346F3" w:rsidP="00536CFD">
            <w:pPr>
              <w:spacing w:after="0"/>
              <w:jc w:val="center"/>
            </w:pPr>
            <w:r w:rsidRPr="00536CFD">
              <w:t>UL:</w:t>
            </w:r>
          </w:p>
          <w:p w14:paraId="3264B7FD" w14:textId="77777777" w:rsidR="004346F3" w:rsidRPr="00536CFD" w:rsidRDefault="004346F3" w:rsidP="00536CFD">
            <w:pPr>
              <w:spacing w:after="0"/>
              <w:jc w:val="center"/>
            </w:pPr>
            <w:r w:rsidRPr="00536CFD">
              <w:t>UPT CDF</w:t>
            </w:r>
          </w:p>
          <w:p w14:paraId="5CF3450B" w14:textId="77777777" w:rsidR="004346F3" w:rsidRPr="00536CFD" w:rsidRDefault="004346F3" w:rsidP="00536CFD">
            <w:pPr>
              <w:spacing w:after="0"/>
              <w:jc w:val="center"/>
            </w:pPr>
            <w:r w:rsidRPr="00536CFD">
              <w:t>[Mbps]</w:t>
            </w:r>
          </w:p>
        </w:tc>
        <w:tc>
          <w:tcPr>
            <w:tcW w:w="0" w:type="auto"/>
          </w:tcPr>
          <w:p w14:paraId="7BAC928E" w14:textId="77777777" w:rsidR="004346F3" w:rsidRPr="00536CFD" w:rsidRDefault="004346F3" w:rsidP="00536CFD">
            <w:pPr>
              <w:spacing w:after="0"/>
              <w:jc w:val="center"/>
            </w:pPr>
            <w:r w:rsidRPr="00536CFD">
              <w:t>5%</w:t>
            </w:r>
          </w:p>
        </w:tc>
        <w:tc>
          <w:tcPr>
            <w:tcW w:w="0" w:type="auto"/>
          </w:tcPr>
          <w:p w14:paraId="267F5071" w14:textId="77777777" w:rsidR="004346F3" w:rsidRPr="00536CFD" w:rsidRDefault="004346F3" w:rsidP="00536CFD">
            <w:pPr>
              <w:spacing w:after="0"/>
              <w:jc w:val="center"/>
            </w:pPr>
            <w:r w:rsidRPr="00536CFD">
              <w:t>14.46</w:t>
            </w:r>
          </w:p>
        </w:tc>
        <w:tc>
          <w:tcPr>
            <w:tcW w:w="0" w:type="auto"/>
            <w:gridSpan w:val="2"/>
          </w:tcPr>
          <w:p w14:paraId="7D3DC674" w14:textId="77777777" w:rsidR="004346F3" w:rsidRPr="00536CFD" w:rsidRDefault="004346F3" w:rsidP="00536CFD">
            <w:pPr>
              <w:spacing w:after="0"/>
              <w:jc w:val="center"/>
            </w:pPr>
            <w:r w:rsidRPr="00536CFD">
              <w:t>14.49</w:t>
            </w:r>
          </w:p>
        </w:tc>
        <w:tc>
          <w:tcPr>
            <w:tcW w:w="0" w:type="auto"/>
            <w:gridSpan w:val="3"/>
          </w:tcPr>
          <w:p w14:paraId="45F35450" w14:textId="77777777" w:rsidR="004346F3" w:rsidRPr="00536CFD" w:rsidRDefault="004346F3" w:rsidP="00536CFD">
            <w:pPr>
              <w:spacing w:after="0"/>
              <w:jc w:val="center"/>
            </w:pPr>
            <w:r w:rsidRPr="00536CFD">
              <w:t>5.31</w:t>
            </w:r>
          </w:p>
        </w:tc>
        <w:tc>
          <w:tcPr>
            <w:tcW w:w="0" w:type="auto"/>
            <w:gridSpan w:val="2"/>
          </w:tcPr>
          <w:p w14:paraId="22F66ACA" w14:textId="77777777" w:rsidR="004346F3" w:rsidRPr="00536CFD" w:rsidRDefault="004346F3" w:rsidP="00536CFD">
            <w:pPr>
              <w:spacing w:after="0"/>
              <w:jc w:val="center"/>
            </w:pPr>
            <w:r w:rsidRPr="00536CFD">
              <w:t>1.53</w:t>
            </w:r>
          </w:p>
        </w:tc>
        <w:tc>
          <w:tcPr>
            <w:tcW w:w="0" w:type="auto"/>
            <w:gridSpan w:val="2"/>
          </w:tcPr>
          <w:p w14:paraId="626B862C" w14:textId="77777777" w:rsidR="004346F3" w:rsidRPr="00536CFD" w:rsidRDefault="004346F3" w:rsidP="00536CFD">
            <w:pPr>
              <w:spacing w:after="0"/>
              <w:jc w:val="center"/>
            </w:pPr>
            <w:r w:rsidRPr="00536CFD">
              <w:t>0.99</w:t>
            </w:r>
          </w:p>
        </w:tc>
        <w:tc>
          <w:tcPr>
            <w:tcW w:w="0" w:type="auto"/>
            <w:gridSpan w:val="2"/>
          </w:tcPr>
          <w:p w14:paraId="52072811" w14:textId="77777777" w:rsidR="004346F3" w:rsidRPr="00536CFD" w:rsidRDefault="004346F3" w:rsidP="00536CFD">
            <w:pPr>
              <w:spacing w:after="0"/>
              <w:jc w:val="center"/>
            </w:pPr>
            <w:r w:rsidRPr="00536CFD">
              <w:t>0.19</w:t>
            </w:r>
          </w:p>
        </w:tc>
      </w:tr>
      <w:tr w:rsidR="00536CFD" w:rsidRPr="00536CFD" w14:paraId="6A8F7F73" w14:textId="77777777" w:rsidTr="00536CFD">
        <w:trPr>
          <w:cantSplit/>
          <w:trHeight w:val="22"/>
        </w:trPr>
        <w:tc>
          <w:tcPr>
            <w:tcW w:w="0" w:type="auto"/>
            <w:vMerge/>
          </w:tcPr>
          <w:p w14:paraId="3F99D084" w14:textId="77777777" w:rsidR="004346F3" w:rsidRPr="00536CFD" w:rsidRDefault="004346F3" w:rsidP="00536CFD">
            <w:pPr>
              <w:spacing w:after="0"/>
              <w:jc w:val="center"/>
            </w:pPr>
          </w:p>
        </w:tc>
        <w:tc>
          <w:tcPr>
            <w:tcW w:w="0" w:type="auto"/>
            <w:vMerge/>
          </w:tcPr>
          <w:p w14:paraId="0AE1291B" w14:textId="77777777" w:rsidR="004346F3" w:rsidRPr="00536CFD" w:rsidRDefault="004346F3" w:rsidP="00536CFD">
            <w:pPr>
              <w:spacing w:after="0"/>
              <w:jc w:val="center"/>
            </w:pPr>
          </w:p>
        </w:tc>
        <w:tc>
          <w:tcPr>
            <w:tcW w:w="0" w:type="auto"/>
          </w:tcPr>
          <w:p w14:paraId="7AF2996B" w14:textId="77777777" w:rsidR="004346F3" w:rsidRPr="00536CFD" w:rsidRDefault="004346F3" w:rsidP="00536CFD">
            <w:pPr>
              <w:spacing w:after="0"/>
              <w:jc w:val="center"/>
            </w:pPr>
            <w:r w:rsidRPr="00536CFD">
              <w:t>50%</w:t>
            </w:r>
          </w:p>
        </w:tc>
        <w:tc>
          <w:tcPr>
            <w:tcW w:w="0" w:type="auto"/>
          </w:tcPr>
          <w:p w14:paraId="47F488F2" w14:textId="77777777" w:rsidR="004346F3" w:rsidRPr="00536CFD" w:rsidRDefault="004346F3" w:rsidP="00536CFD">
            <w:pPr>
              <w:spacing w:after="0"/>
              <w:jc w:val="center"/>
            </w:pPr>
            <w:r w:rsidRPr="00536CFD">
              <w:t>51.17</w:t>
            </w:r>
          </w:p>
        </w:tc>
        <w:tc>
          <w:tcPr>
            <w:tcW w:w="0" w:type="auto"/>
            <w:gridSpan w:val="2"/>
          </w:tcPr>
          <w:p w14:paraId="0B36751F" w14:textId="77777777" w:rsidR="004346F3" w:rsidRPr="00536CFD" w:rsidRDefault="004346F3" w:rsidP="00536CFD">
            <w:pPr>
              <w:spacing w:after="0"/>
              <w:jc w:val="center"/>
            </w:pPr>
            <w:r w:rsidRPr="00536CFD">
              <w:t>49.31</w:t>
            </w:r>
          </w:p>
        </w:tc>
        <w:tc>
          <w:tcPr>
            <w:tcW w:w="0" w:type="auto"/>
            <w:gridSpan w:val="3"/>
          </w:tcPr>
          <w:p w14:paraId="4337EB7F" w14:textId="77777777" w:rsidR="004346F3" w:rsidRPr="00536CFD" w:rsidRDefault="004346F3" w:rsidP="00536CFD">
            <w:pPr>
              <w:spacing w:after="0"/>
              <w:jc w:val="center"/>
            </w:pPr>
            <w:r w:rsidRPr="00536CFD">
              <w:t>24.28</w:t>
            </w:r>
          </w:p>
        </w:tc>
        <w:tc>
          <w:tcPr>
            <w:tcW w:w="0" w:type="auto"/>
            <w:gridSpan w:val="2"/>
          </w:tcPr>
          <w:p w14:paraId="53523AAE" w14:textId="77777777" w:rsidR="004346F3" w:rsidRPr="00536CFD" w:rsidRDefault="004346F3" w:rsidP="00536CFD">
            <w:pPr>
              <w:spacing w:after="0"/>
              <w:jc w:val="center"/>
            </w:pPr>
            <w:r w:rsidRPr="00536CFD">
              <w:t>12.87</w:t>
            </w:r>
          </w:p>
        </w:tc>
        <w:tc>
          <w:tcPr>
            <w:tcW w:w="0" w:type="auto"/>
            <w:gridSpan w:val="2"/>
          </w:tcPr>
          <w:p w14:paraId="14A2135C" w14:textId="77777777" w:rsidR="004346F3" w:rsidRPr="00536CFD" w:rsidRDefault="004346F3" w:rsidP="00536CFD">
            <w:pPr>
              <w:spacing w:after="0"/>
              <w:jc w:val="center"/>
            </w:pPr>
            <w:r w:rsidRPr="00536CFD">
              <w:t>11.73</w:t>
            </w:r>
          </w:p>
        </w:tc>
        <w:tc>
          <w:tcPr>
            <w:tcW w:w="0" w:type="auto"/>
            <w:gridSpan w:val="2"/>
          </w:tcPr>
          <w:p w14:paraId="28CD6459" w14:textId="77777777" w:rsidR="004346F3" w:rsidRPr="00536CFD" w:rsidRDefault="004346F3" w:rsidP="00536CFD">
            <w:pPr>
              <w:spacing w:after="0"/>
              <w:jc w:val="center"/>
            </w:pPr>
            <w:r w:rsidRPr="00536CFD">
              <w:t>5.46</w:t>
            </w:r>
          </w:p>
        </w:tc>
      </w:tr>
      <w:tr w:rsidR="00536CFD" w:rsidRPr="00536CFD" w14:paraId="1B1434DE" w14:textId="77777777" w:rsidTr="00536CFD">
        <w:trPr>
          <w:cantSplit/>
          <w:trHeight w:val="22"/>
        </w:trPr>
        <w:tc>
          <w:tcPr>
            <w:tcW w:w="0" w:type="auto"/>
            <w:vMerge/>
          </w:tcPr>
          <w:p w14:paraId="1E1945CE" w14:textId="77777777" w:rsidR="004346F3" w:rsidRPr="00536CFD" w:rsidRDefault="004346F3" w:rsidP="00536CFD">
            <w:pPr>
              <w:spacing w:after="0"/>
              <w:jc w:val="center"/>
            </w:pPr>
          </w:p>
        </w:tc>
        <w:tc>
          <w:tcPr>
            <w:tcW w:w="0" w:type="auto"/>
            <w:vMerge/>
          </w:tcPr>
          <w:p w14:paraId="4A97C04F" w14:textId="77777777" w:rsidR="004346F3" w:rsidRPr="00536CFD" w:rsidRDefault="004346F3" w:rsidP="00536CFD">
            <w:pPr>
              <w:spacing w:after="0"/>
              <w:jc w:val="center"/>
            </w:pPr>
          </w:p>
        </w:tc>
        <w:tc>
          <w:tcPr>
            <w:tcW w:w="0" w:type="auto"/>
          </w:tcPr>
          <w:p w14:paraId="3AB973B0" w14:textId="77777777" w:rsidR="004346F3" w:rsidRPr="00536CFD" w:rsidRDefault="004346F3" w:rsidP="00536CFD">
            <w:pPr>
              <w:spacing w:after="0"/>
              <w:jc w:val="center"/>
            </w:pPr>
            <w:r w:rsidRPr="00536CFD">
              <w:t>95%</w:t>
            </w:r>
          </w:p>
        </w:tc>
        <w:tc>
          <w:tcPr>
            <w:tcW w:w="0" w:type="auto"/>
          </w:tcPr>
          <w:p w14:paraId="7797EA5F" w14:textId="77777777" w:rsidR="004346F3" w:rsidRPr="00536CFD" w:rsidRDefault="004346F3" w:rsidP="00536CFD">
            <w:pPr>
              <w:spacing w:after="0"/>
              <w:jc w:val="center"/>
            </w:pPr>
            <w:r w:rsidRPr="00536CFD">
              <w:t>88.77</w:t>
            </w:r>
          </w:p>
        </w:tc>
        <w:tc>
          <w:tcPr>
            <w:tcW w:w="0" w:type="auto"/>
            <w:gridSpan w:val="2"/>
          </w:tcPr>
          <w:p w14:paraId="1A072AA3" w14:textId="77777777" w:rsidR="004346F3" w:rsidRPr="00536CFD" w:rsidRDefault="004346F3" w:rsidP="00536CFD">
            <w:pPr>
              <w:spacing w:after="0"/>
              <w:jc w:val="center"/>
            </w:pPr>
            <w:r w:rsidRPr="00536CFD">
              <w:t>87.53</w:t>
            </w:r>
          </w:p>
        </w:tc>
        <w:tc>
          <w:tcPr>
            <w:tcW w:w="0" w:type="auto"/>
            <w:gridSpan w:val="3"/>
          </w:tcPr>
          <w:p w14:paraId="1FFB66E4" w14:textId="77777777" w:rsidR="004346F3" w:rsidRPr="00536CFD" w:rsidRDefault="004346F3" w:rsidP="00536CFD">
            <w:pPr>
              <w:spacing w:after="0"/>
              <w:jc w:val="center"/>
            </w:pPr>
            <w:r w:rsidRPr="00536CFD">
              <w:t>59.90</w:t>
            </w:r>
          </w:p>
        </w:tc>
        <w:tc>
          <w:tcPr>
            <w:tcW w:w="0" w:type="auto"/>
            <w:gridSpan w:val="2"/>
          </w:tcPr>
          <w:p w14:paraId="0AA6EABC" w14:textId="77777777" w:rsidR="004346F3" w:rsidRPr="00536CFD" w:rsidRDefault="004346F3" w:rsidP="00536CFD">
            <w:pPr>
              <w:spacing w:after="0"/>
              <w:jc w:val="center"/>
            </w:pPr>
            <w:r w:rsidRPr="00536CFD">
              <w:t>43.87</w:t>
            </w:r>
          </w:p>
        </w:tc>
        <w:tc>
          <w:tcPr>
            <w:tcW w:w="0" w:type="auto"/>
            <w:gridSpan w:val="2"/>
          </w:tcPr>
          <w:p w14:paraId="4087E0B9" w14:textId="77777777" w:rsidR="004346F3" w:rsidRPr="00536CFD" w:rsidRDefault="004346F3" w:rsidP="00536CFD">
            <w:pPr>
              <w:spacing w:after="0"/>
              <w:jc w:val="center"/>
            </w:pPr>
            <w:r w:rsidRPr="00536CFD">
              <w:t>43.83</w:t>
            </w:r>
          </w:p>
        </w:tc>
        <w:tc>
          <w:tcPr>
            <w:tcW w:w="0" w:type="auto"/>
            <w:gridSpan w:val="2"/>
          </w:tcPr>
          <w:p w14:paraId="37C4FC6A" w14:textId="77777777" w:rsidR="004346F3" w:rsidRPr="00536CFD" w:rsidRDefault="004346F3" w:rsidP="00536CFD">
            <w:pPr>
              <w:spacing w:after="0"/>
              <w:jc w:val="center"/>
            </w:pPr>
            <w:r w:rsidRPr="00536CFD">
              <w:t>27.64</w:t>
            </w:r>
          </w:p>
        </w:tc>
      </w:tr>
      <w:tr w:rsidR="00536CFD" w:rsidRPr="00536CFD" w14:paraId="7C3224AC" w14:textId="77777777" w:rsidTr="00536CFD">
        <w:trPr>
          <w:cantSplit/>
          <w:trHeight w:val="22"/>
        </w:trPr>
        <w:tc>
          <w:tcPr>
            <w:tcW w:w="0" w:type="auto"/>
            <w:vMerge/>
          </w:tcPr>
          <w:p w14:paraId="713CF1A0" w14:textId="77777777" w:rsidR="004346F3" w:rsidRPr="00536CFD" w:rsidRDefault="004346F3" w:rsidP="00536CFD">
            <w:pPr>
              <w:spacing w:after="0"/>
              <w:jc w:val="center"/>
            </w:pPr>
          </w:p>
        </w:tc>
        <w:tc>
          <w:tcPr>
            <w:tcW w:w="0" w:type="auto"/>
            <w:vMerge/>
          </w:tcPr>
          <w:p w14:paraId="4A0E842E" w14:textId="77777777" w:rsidR="004346F3" w:rsidRPr="00536CFD" w:rsidRDefault="004346F3" w:rsidP="00536CFD">
            <w:pPr>
              <w:spacing w:after="0"/>
              <w:jc w:val="center"/>
            </w:pPr>
          </w:p>
        </w:tc>
        <w:tc>
          <w:tcPr>
            <w:tcW w:w="0" w:type="auto"/>
          </w:tcPr>
          <w:p w14:paraId="29F1B8B2" w14:textId="77777777" w:rsidR="004346F3" w:rsidRPr="00536CFD" w:rsidRDefault="004346F3" w:rsidP="00536CFD">
            <w:pPr>
              <w:spacing w:after="0"/>
              <w:jc w:val="center"/>
            </w:pPr>
            <w:r w:rsidRPr="00536CFD">
              <w:t>Mean</w:t>
            </w:r>
          </w:p>
        </w:tc>
        <w:tc>
          <w:tcPr>
            <w:tcW w:w="0" w:type="auto"/>
          </w:tcPr>
          <w:p w14:paraId="3947524A" w14:textId="77777777" w:rsidR="004346F3" w:rsidRPr="00536CFD" w:rsidRDefault="004346F3" w:rsidP="00536CFD">
            <w:pPr>
              <w:spacing w:after="0"/>
              <w:jc w:val="center"/>
            </w:pPr>
            <w:r w:rsidRPr="00536CFD">
              <w:t>52.77</w:t>
            </w:r>
          </w:p>
        </w:tc>
        <w:tc>
          <w:tcPr>
            <w:tcW w:w="0" w:type="auto"/>
            <w:gridSpan w:val="2"/>
          </w:tcPr>
          <w:p w14:paraId="002CC19F" w14:textId="77777777" w:rsidR="004346F3" w:rsidRPr="00536CFD" w:rsidRDefault="004346F3" w:rsidP="00536CFD">
            <w:pPr>
              <w:spacing w:after="0"/>
              <w:jc w:val="center"/>
            </w:pPr>
            <w:r w:rsidRPr="00536CFD">
              <w:t>51.46</w:t>
            </w:r>
          </w:p>
        </w:tc>
        <w:tc>
          <w:tcPr>
            <w:tcW w:w="0" w:type="auto"/>
            <w:gridSpan w:val="3"/>
          </w:tcPr>
          <w:p w14:paraId="500C90FB" w14:textId="77777777" w:rsidR="004346F3" w:rsidRPr="00536CFD" w:rsidRDefault="004346F3" w:rsidP="00536CFD">
            <w:pPr>
              <w:spacing w:after="0"/>
              <w:jc w:val="center"/>
            </w:pPr>
            <w:r w:rsidRPr="00536CFD">
              <w:t>28.71</w:t>
            </w:r>
          </w:p>
        </w:tc>
        <w:tc>
          <w:tcPr>
            <w:tcW w:w="0" w:type="auto"/>
            <w:gridSpan w:val="2"/>
          </w:tcPr>
          <w:p w14:paraId="0D22CB13" w14:textId="77777777" w:rsidR="004346F3" w:rsidRPr="00536CFD" w:rsidRDefault="004346F3" w:rsidP="00536CFD">
            <w:pPr>
              <w:spacing w:after="0"/>
              <w:jc w:val="center"/>
            </w:pPr>
            <w:r w:rsidRPr="00536CFD">
              <w:t>17.56</w:t>
            </w:r>
          </w:p>
        </w:tc>
        <w:tc>
          <w:tcPr>
            <w:tcW w:w="0" w:type="auto"/>
            <w:gridSpan w:val="2"/>
          </w:tcPr>
          <w:p w14:paraId="0AD54A42" w14:textId="77777777" w:rsidR="004346F3" w:rsidRPr="00536CFD" w:rsidRDefault="004346F3" w:rsidP="00536CFD">
            <w:pPr>
              <w:spacing w:after="0"/>
              <w:jc w:val="center"/>
            </w:pPr>
            <w:r w:rsidRPr="00536CFD">
              <w:t>16.78</w:t>
            </w:r>
          </w:p>
        </w:tc>
        <w:tc>
          <w:tcPr>
            <w:tcW w:w="0" w:type="auto"/>
            <w:gridSpan w:val="2"/>
          </w:tcPr>
          <w:p w14:paraId="338E7BDA" w14:textId="77777777" w:rsidR="004346F3" w:rsidRPr="00536CFD" w:rsidRDefault="004346F3" w:rsidP="00536CFD">
            <w:pPr>
              <w:spacing w:after="0"/>
              <w:jc w:val="center"/>
            </w:pPr>
            <w:r w:rsidRPr="00536CFD">
              <w:t>9.38</w:t>
            </w:r>
          </w:p>
        </w:tc>
      </w:tr>
      <w:tr w:rsidR="00536CFD" w:rsidRPr="00536CFD" w14:paraId="33D928C5" w14:textId="77777777" w:rsidTr="00536CFD">
        <w:trPr>
          <w:cantSplit/>
          <w:trHeight w:val="22"/>
        </w:trPr>
        <w:tc>
          <w:tcPr>
            <w:tcW w:w="0" w:type="auto"/>
            <w:vMerge/>
          </w:tcPr>
          <w:p w14:paraId="2AB5C974" w14:textId="77777777" w:rsidR="004346F3" w:rsidRPr="00536CFD" w:rsidRDefault="004346F3" w:rsidP="00536CFD">
            <w:pPr>
              <w:spacing w:after="0"/>
              <w:jc w:val="center"/>
            </w:pPr>
          </w:p>
        </w:tc>
        <w:tc>
          <w:tcPr>
            <w:tcW w:w="0" w:type="auto"/>
            <w:vMerge w:val="restart"/>
          </w:tcPr>
          <w:p w14:paraId="1AFE416F" w14:textId="77777777" w:rsidR="004346F3" w:rsidRPr="00536CFD" w:rsidRDefault="004346F3" w:rsidP="00536CFD">
            <w:pPr>
              <w:spacing w:after="0"/>
              <w:jc w:val="center"/>
            </w:pPr>
            <w:r w:rsidRPr="00536CFD">
              <w:t>UL:</w:t>
            </w:r>
          </w:p>
          <w:p w14:paraId="2720EE15" w14:textId="77777777" w:rsidR="004346F3" w:rsidRPr="00536CFD" w:rsidRDefault="004346F3" w:rsidP="00536CFD">
            <w:pPr>
              <w:spacing w:after="0"/>
              <w:jc w:val="center"/>
            </w:pPr>
            <w:r w:rsidRPr="00536CFD">
              <w:t>Delay CDF</w:t>
            </w:r>
          </w:p>
          <w:p w14:paraId="355A5C4B" w14:textId="77777777" w:rsidR="004346F3" w:rsidRPr="00536CFD" w:rsidRDefault="004346F3" w:rsidP="00536CFD">
            <w:pPr>
              <w:spacing w:after="0"/>
              <w:jc w:val="center"/>
            </w:pPr>
            <w:r w:rsidRPr="00536CFD">
              <w:t>[s]</w:t>
            </w:r>
          </w:p>
        </w:tc>
        <w:tc>
          <w:tcPr>
            <w:tcW w:w="0" w:type="auto"/>
          </w:tcPr>
          <w:p w14:paraId="669379B8" w14:textId="77777777" w:rsidR="004346F3" w:rsidRPr="00536CFD" w:rsidRDefault="004346F3" w:rsidP="00536CFD">
            <w:pPr>
              <w:spacing w:after="0"/>
              <w:jc w:val="center"/>
            </w:pPr>
            <w:r w:rsidRPr="00536CFD">
              <w:t>5%</w:t>
            </w:r>
          </w:p>
        </w:tc>
        <w:tc>
          <w:tcPr>
            <w:tcW w:w="0" w:type="auto"/>
          </w:tcPr>
          <w:p w14:paraId="42B164D4" w14:textId="77777777" w:rsidR="004346F3" w:rsidRPr="00536CFD" w:rsidRDefault="004346F3" w:rsidP="00536CFD">
            <w:pPr>
              <w:spacing w:after="0"/>
              <w:jc w:val="center"/>
            </w:pPr>
            <w:r w:rsidRPr="00536CFD">
              <w:t>0.038</w:t>
            </w:r>
          </w:p>
        </w:tc>
        <w:tc>
          <w:tcPr>
            <w:tcW w:w="0" w:type="auto"/>
            <w:gridSpan w:val="2"/>
          </w:tcPr>
          <w:p w14:paraId="2A7602D1" w14:textId="77777777" w:rsidR="004346F3" w:rsidRPr="00536CFD" w:rsidRDefault="004346F3" w:rsidP="00536CFD">
            <w:pPr>
              <w:spacing w:after="0"/>
              <w:jc w:val="center"/>
            </w:pPr>
            <w:r w:rsidRPr="00536CFD">
              <w:t>0.039</w:t>
            </w:r>
          </w:p>
        </w:tc>
        <w:tc>
          <w:tcPr>
            <w:tcW w:w="0" w:type="auto"/>
            <w:gridSpan w:val="3"/>
          </w:tcPr>
          <w:p w14:paraId="0C56D1B0" w14:textId="77777777" w:rsidR="004346F3" w:rsidRPr="00536CFD" w:rsidRDefault="004346F3" w:rsidP="00536CFD">
            <w:pPr>
              <w:spacing w:after="0"/>
              <w:jc w:val="center"/>
            </w:pPr>
            <w:r w:rsidRPr="00536CFD">
              <w:t>0.061</w:t>
            </w:r>
          </w:p>
        </w:tc>
        <w:tc>
          <w:tcPr>
            <w:tcW w:w="0" w:type="auto"/>
            <w:gridSpan w:val="2"/>
          </w:tcPr>
          <w:p w14:paraId="79B70488" w14:textId="77777777" w:rsidR="004346F3" w:rsidRPr="00536CFD" w:rsidRDefault="004346F3" w:rsidP="00536CFD">
            <w:pPr>
              <w:spacing w:after="0"/>
              <w:jc w:val="center"/>
            </w:pPr>
            <w:r w:rsidRPr="00536CFD">
              <w:t>0.090</w:t>
            </w:r>
          </w:p>
        </w:tc>
        <w:tc>
          <w:tcPr>
            <w:tcW w:w="0" w:type="auto"/>
            <w:gridSpan w:val="2"/>
          </w:tcPr>
          <w:p w14:paraId="7D35CD10" w14:textId="77777777" w:rsidR="004346F3" w:rsidRPr="00536CFD" w:rsidRDefault="004346F3" w:rsidP="00536CFD">
            <w:pPr>
              <w:spacing w:after="0"/>
              <w:jc w:val="center"/>
            </w:pPr>
            <w:r w:rsidRPr="00536CFD">
              <w:t>0.083</w:t>
            </w:r>
          </w:p>
        </w:tc>
        <w:tc>
          <w:tcPr>
            <w:tcW w:w="0" w:type="auto"/>
            <w:gridSpan w:val="2"/>
          </w:tcPr>
          <w:p w14:paraId="1408E22A" w14:textId="77777777" w:rsidR="004346F3" w:rsidRPr="00536CFD" w:rsidRDefault="004346F3" w:rsidP="00536CFD">
            <w:pPr>
              <w:spacing w:after="0"/>
              <w:jc w:val="center"/>
            </w:pPr>
            <w:r w:rsidRPr="00536CFD">
              <w:t>0.130</w:t>
            </w:r>
          </w:p>
        </w:tc>
      </w:tr>
      <w:tr w:rsidR="00536CFD" w:rsidRPr="00536CFD" w14:paraId="0BB54B44" w14:textId="77777777" w:rsidTr="00536CFD">
        <w:trPr>
          <w:cantSplit/>
          <w:trHeight w:val="22"/>
        </w:trPr>
        <w:tc>
          <w:tcPr>
            <w:tcW w:w="0" w:type="auto"/>
            <w:vMerge/>
          </w:tcPr>
          <w:p w14:paraId="2CFDDA4B" w14:textId="77777777" w:rsidR="004346F3" w:rsidRPr="00536CFD" w:rsidRDefault="004346F3" w:rsidP="00536CFD">
            <w:pPr>
              <w:spacing w:after="0"/>
              <w:jc w:val="center"/>
            </w:pPr>
          </w:p>
        </w:tc>
        <w:tc>
          <w:tcPr>
            <w:tcW w:w="0" w:type="auto"/>
            <w:vMerge/>
          </w:tcPr>
          <w:p w14:paraId="21AC4916" w14:textId="77777777" w:rsidR="004346F3" w:rsidRPr="00536CFD" w:rsidRDefault="004346F3" w:rsidP="00536CFD">
            <w:pPr>
              <w:spacing w:after="0"/>
              <w:jc w:val="center"/>
            </w:pPr>
          </w:p>
        </w:tc>
        <w:tc>
          <w:tcPr>
            <w:tcW w:w="0" w:type="auto"/>
          </w:tcPr>
          <w:p w14:paraId="697CA2A9" w14:textId="77777777" w:rsidR="004346F3" w:rsidRPr="00536CFD" w:rsidRDefault="004346F3" w:rsidP="00536CFD">
            <w:pPr>
              <w:spacing w:after="0"/>
              <w:jc w:val="center"/>
            </w:pPr>
            <w:r w:rsidRPr="00536CFD">
              <w:t>50%</w:t>
            </w:r>
          </w:p>
        </w:tc>
        <w:tc>
          <w:tcPr>
            <w:tcW w:w="0" w:type="auto"/>
          </w:tcPr>
          <w:p w14:paraId="6D792D25" w14:textId="77777777" w:rsidR="004346F3" w:rsidRPr="00536CFD" w:rsidRDefault="004346F3" w:rsidP="00536CFD">
            <w:pPr>
              <w:spacing w:after="0"/>
              <w:jc w:val="center"/>
            </w:pPr>
            <w:r w:rsidRPr="00536CFD">
              <w:t>0.097</w:t>
            </w:r>
          </w:p>
        </w:tc>
        <w:tc>
          <w:tcPr>
            <w:tcW w:w="0" w:type="auto"/>
            <w:gridSpan w:val="2"/>
          </w:tcPr>
          <w:p w14:paraId="5CC5D907" w14:textId="77777777" w:rsidR="004346F3" w:rsidRPr="00536CFD" w:rsidRDefault="004346F3" w:rsidP="00536CFD">
            <w:pPr>
              <w:spacing w:after="0"/>
              <w:jc w:val="center"/>
            </w:pPr>
            <w:r w:rsidRPr="00536CFD">
              <w:t>0.112</w:t>
            </w:r>
          </w:p>
        </w:tc>
        <w:tc>
          <w:tcPr>
            <w:tcW w:w="0" w:type="auto"/>
            <w:gridSpan w:val="3"/>
          </w:tcPr>
          <w:p w14:paraId="2D23D3A9" w14:textId="77777777" w:rsidR="004346F3" w:rsidRPr="00536CFD" w:rsidRDefault="004346F3" w:rsidP="00536CFD">
            <w:pPr>
              <w:spacing w:after="0"/>
              <w:jc w:val="center"/>
            </w:pPr>
            <w:r w:rsidRPr="00536CFD">
              <w:t>0.244</w:t>
            </w:r>
          </w:p>
        </w:tc>
        <w:tc>
          <w:tcPr>
            <w:tcW w:w="0" w:type="auto"/>
            <w:gridSpan w:val="2"/>
          </w:tcPr>
          <w:p w14:paraId="527BC65F" w14:textId="77777777" w:rsidR="004346F3" w:rsidRPr="00536CFD" w:rsidRDefault="004346F3" w:rsidP="00536CFD">
            <w:pPr>
              <w:spacing w:after="0"/>
              <w:jc w:val="center"/>
            </w:pPr>
            <w:r w:rsidRPr="00536CFD">
              <w:t>0.584</w:t>
            </w:r>
          </w:p>
        </w:tc>
        <w:tc>
          <w:tcPr>
            <w:tcW w:w="0" w:type="auto"/>
            <w:gridSpan w:val="2"/>
          </w:tcPr>
          <w:p w14:paraId="71760B64" w14:textId="77777777" w:rsidR="004346F3" w:rsidRPr="00536CFD" w:rsidRDefault="004346F3" w:rsidP="00536CFD">
            <w:pPr>
              <w:spacing w:after="0"/>
              <w:jc w:val="center"/>
            </w:pPr>
            <w:r w:rsidRPr="00536CFD">
              <w:t>0.399</w:t>
            </w:r>
          </w:p>
        </w:tc>
        <w:tc>
          <w:tcPr>
            <w:tcW w:w="0" w:type="auto"/>
            <w:gridSpan w:val="2"/>
          </w:tcPr>
          <w:p w14:paraId="589FF636" w14:textId="77777777" w:rsidR="004346F3" w:rsidRPr="00536CFD" w:rsidRDefault="004346F3" w:rsidP="00536CFD">
            <w:pPr>
              <w:spacing w:after="0"/>
              <w:jc w:val="center"/>
            </w:pPr>
            <w:r w:rsidRPr="00536CFD">
              <w:t>0.898</w:t>
            </w:r>
          </w:p>
        </w:tc>
      </w:tr>
      <w:tr w:rsidR="00536CFD" w:rsidRPr="00536CFD" w14:paraId="4A0FBB63" w14:textId="77777777" w:rsidTr="00536CFD">
        <w:trPr>
          <w:cantSplit/>
          <w:trHeight w:val="22"/>
        </w:trPr>
        <w:tc>
          <w:tcPr>
            <w:tcW w:w="0" w:type="auto"/>
            <w:vMerge/>
          </w:tcPr>
          <w:p w14:paraId="4515146B" w14:textId="77777777" w:rsidR="004346F3" w:rsidRPr="00536CFD" w:rsidRDefault="004346F3" w:rsidP="00536CFD">
            <w:pPr>
              <w:spacing w:after="0"/>
              <w:jc w:val="center"/>
            </w:pPr>
          </w:p>
        </w:tc>
        <w:tc>
          <w:tcPr>
            <w:tcW w:w="0" w:type="auto"/>
            <w:vMerge/>
          </w:tcPr>
          <w:p w14:paraId="54BD26DC" w14:textId="77777777" w:rsidR="004346F3" w:rsidRPr="00536CFD" w:rsidRDefault="004346F3" w:rsidP="00536CFD">
            <w:pPr>
              <w:spacing w:after="0"/>
              <w:jc w:val="center"/>
            </w:pPr>
          </w:p>
        </w:tc>
        <w:tc>
          <w:tcPr>
            <w:tcW w:w="0" w:type="auto"/>
          </w:tcPr>
          <w:p w14:paraId="7788A587" w14:textId="77777777" w:rsidR="004346F3" w:rsidRPr="00536CFD" w:rsidRDefault="004346F3" w:rsidP="00536CFD">
            <w:pPr>
              <w:spacing w:after="0"/>
              <w:jc w:val="center"/>
            </w:pPr>
            <w:r w:rsidRPr="00536CFD">
              <w:t>95%</w:t>
            </w:r>
          </w:p>
        </w:tc>
        <w:tc>
          <w:tcPr>
            <w:tcW w:w="0" w:type="auto"/>
          </w:tcPr>
          <w:p w14:paraId="5043238E" w14:textId="77777777" w:rsidR="004346F3" w:rsidRPr="00536CFD" w:rsidRDefault="004346F3" w:rsidP="00536CFD">
            <w:pPr>
              <w:spacing w:after="0"/>
              <w:jc w:val="center"/>
            </w:pPr>
            <w:r w:rsidRPr="00536CFD">
              <w:t>0.492</w:t>
            </w:r>
          </w:p>
        </w:tc>
        <w:tc>
          <w:tcPr>
            <w:tcW w:w="0" w:type="auto"/>
            <w:gridSpan w:val="2"/>
          </w:tcPr>
          <w:p w14:paraId="3AB7CDA3" w14:textId="77777777" w:rsidR="004346F3" w:rsidRPr="00536CFD" w:rsidRDefault="004346F3" w:rsidP="00536CFD">
            <w:pPr>
              <w:spacing w:after="0"/>
              <w:jc w:val="center"/>
            </w:pPr>
            <w:r w:rsidRPr="00536CFD">
              <w:t>0.586</w:t>
            </w:r>
          </w:p>
        </w:tc>
        <w:tc>
          <w:tcPr>
            <w:tcW w:w="0" w:type="auto"/>
            <w:gridSpan w:val="3"/>
          </w:tcPr>
          <w:p w14:paraId="3858B1E5" w14:textId="77777777" w:rsidR="004346F3" w:rsidRPr="00536CFD" w:rsidRDefault="004346F3" w:rsidP="00536CFD">
            <w:pPr>
              <w:spacing w:after="0"/>
              <w:jc w:val="center"/>
            </w:pPr>
            <w:r w:rsidRPr="00536CFD">
              <w:t>1.731</w:t>
            </w:r>
          </w:p>
        </w:tc>
        <w:tc>
          <w:tcPr>
            <w:tcW w:w="0" w:type="auto"/>
            <w:gridSpan w:val="2"/>
          </w:tcPr>
          <w:p w14:paraId="3DAD6333" w14:textId="77777777" w:rsidR="004346F3" w:rsidRPr="00536CFD" w:rsidRDefault="004346F3" w:rsidP="00536CFD">
            <w:pPr>
              <w:spacing w:after="0"/>
              <w:jc w:val="center"/>
            </w:pPr>
            <w:r w:rsidRPr="00536CFD">
              <w:t>6.791</w:t>
            </w:r>
          </w:p>
        </w:tc>
        <w:tc>
          <w:tcPr>
            <w:tcW w:w="0" w:type="auto"/>
            <w:gridSpan w:val="2"/>
          </w:tcPr>
          <w:p w14:paraId="3FC38088" w14:textId="77777777" w:rsidR="004346F3" w:rsidRPr="00536CFD" w:rsidRDefault="004346F3" w:rsidP="00536CFD">
            <w:pPr>
              <w:spacing w:after="0"/>
              <w:jc w:val="center"/>
            </w:pPr>
            <w:r w:rsidRPr="00536CFD">
              <w:t>3.975</w:t>
            </w:r>
          </w:p>
        </w:tc>
        <w:tc>
          <w:tcPr>
            <w:tcW w:w="0" w:type="auto"/>
            <w:gridSpan w:val="2"/>
          </w:tcPr>
          <w:p w14:paraId="4A26B58D" w14:textId="77777777" w:rsidR="004346F3" w:rsidRPr="00536CFD" w:rsidRDefault="004346F3" w:rsidP="00536CFD">
            <w:pPr>
              <w:spacing w:after="0"/>
              <w:jc w:val="center"/>
            </w:pPr>
            <w:r w:rsidRPr="00536CFD">
              <w:t>9.463</w:t>
            </w:r>
          </w:p>
        </w:tc>
      </w:tr>
      <w:tr w:rsidR="00536CFD" w:rsidRPr="00536CFD" w14:paraId="654C7C58" w14:textId="77777777" w:rsidTr="00536CFD">
        <w:trPr>
          <w:cantSplit/>
          <w:trHeight w:val="22"/>
        </w:trPr>
        <w:tc>
          <w:tcPr>
            <w:tcW w:w="0" w:type="auto"/>
            <w:vMerge/>
          </w:tcPr>
          <w:p w14:paraId="5894A4A6" w14:textId="77777777" w:rsidR="004346F3" w:rsidRPr="00536CFD" w:rsidRDefault="004346F3" w:rsidP="00536CFD">
            <w:pPr>
              <w:spacing w:after="0"/>
              <w:jc w:val="center"/>
            </w:pPr>
          </w:p>
        </w:tc>
        <w:tc>
          <w:tcPr>
            <w:tcW w:w="0" w:type="auto"/>
            <w:vMerge/>
          </w:tcPr>
          <w:p w14:paraId="597D4C6B" w14:textId="77777777" w:rsidR="004346F3" w:rsidRPr="00536CFD" w:rsidRDefault="004346F3" w:rsidP="00536CFD">
            <w:pPr>
              <w:spacing w:after="0"/>
              <w:jc w:val="center"/>
            </w:pPr>
          </w:p>
        </w:tc>
        <w:tc>
          <w:tcPr>
            <w:tcW w:w="0" w:type="auto"/>
          </w:tcPr>
          <w:p w14:paraId="36E99617" w14:textId="77777777" w:rsidR="004346F3" w:rsidRPr="00536CFD" w:rsidRDefault="004346F3" w:rsidP="00536CFD">
            <w:pPr>
              <w:spacing w:after="0"/>
              <w:jc w:val="center"/>
            </w:pPr>
            <w:r w:rsidRPr="00536CFD">
              <w:t>Mean</w:t>
            </w:r>
          </w:p>
        </w:tc>
        <w:tc>
          <w:tcPr>
            <w:tcW w:w="0" w:type="auto"/>
          </w:tcPr>
          <w:p w14:paraId="3A2FB571" w14:textId="77777777" w:rsidR="004346F3" w:rsidRPr="00536CFD" w:rsidRDefault="004346F3" w:rsidP="00536CFD">
            <w:pPr>
              <w:spacing w:after="0"/>
              <w:jc w:val="center"/>
            </w:pPr>
            <w:r w:rsidRPr="00536CFD">
              <w:t>0.179</w:t>
            </w:r>
          </w:p>
        </w:tc>
        <w:tc>
          <w:tcPr>
            <w:tcW w:w="0" w:type="auto"/>
            <w:gridSpan w:val="2"/>
          </w:tcPr>
          <w:p w14:paraId="535075A9" w14:textId="77777777" w:rsidR="004346F3" w:rsidRPr="00536CFD" w:rsidRDefault="004346F3" w:rsidP="00536CFD">
            <w:pPr>
              <w:spacing w:after="0"/>
              <w:jc w:val="center"/>
            </w:pPr>
            <w:r w:rsidRPr="00536CFD">
              <w:t>0.203</w:t>
            </w:r>
          </w:p>
        </w:tc>
        <w:tc>
          <w:tcPr>
            <w:tcW w:w="0" w:type="auto"/>
            <w:gridSpan w:val="3"/>
          </w:tcPr>
          <w:p w14:paraId="50BEA46B" w14:textId="77777777" w:rsidR="004346F3" w:rsidRPr="00536CFD" w:rsidRDefault="004346F3" w:rsidP="00536CFD">
            <w:pPr>
              <w:spacing w:after="0"/>
              <w:jc w:val="center"/>
            </w:pPr>
            <w:r w:rsidRPr="00536CFD">
              <w:t>0.607</w:t>
            </w:r>
          </w:p>
        </w:tc>
        <w:tc>
          <w:tcPr>
            <w:tcW w:w="0" w:type="auto"/>
            <w:gridSpan w:val="2"/>
          </w:tcPr>
          <w:p w14:paraId="3CB67669" w14:textId="77777777" w:rsidR="004346F3" w:rsidRPr="00536CFD" w:rsidRDefault="004346F3" w:rsidP="00536CFD">
            <w:pPr>
              <w:spacing w:after="0"/>
              <w:jc w:val="center"/>
            </w:pPr>
            <w:r w:rsidRPr="00536CFD">
              <w:t>1.680</w:t>
            </w:r>
          </w:p>
        </w:tc>
        <w:tc>
          <w:tcPr>
            <w:tcW w:w="0" w:type="auto"/>
            <w:gridSpan w:val="2"/>
          </w:tcPr>
          <w:p w14:paraId="3EE9764F" w14:textId="77777777" w:rsidR="004346F3" w:rsidRPr="00536CFD" w:rsidRDefault="004346F3" w:rsidP="00536CFD">
            <w:pPr>
              <w:spacing w:after="0"/>
              <w:jc w:val="center"/>
            </w:pPr>
            <w:r w:rsidRPr="00536CFD">
              <w:t>1.160</w:t>
            </w:r>
          </w:p>
        </w:tc>
        <w:tc>
          <w:tcPr>
            <w:tcW w:w="0" w:type="auto"/>
            <w:gridSpan w:val="2"/>
          </w:tcPr>
          <w:p w14:paraId="1D6C7836" w14:textId="77777777" w:rsidR="004346F3" w:rsidRPr="00536CFD" w:rsidRDefault="004346F3" w:rsidP="00536CFD">
            <w:pPr>
              <w:spacing w:after="0"/>
              <w:jc w:val="center"/>
            </w:pPr>
            <w:r w:rsidRPr="00536CFD">
              <w:t>2.500</w:t>
            </w:r>
          </w:p>
        </w:tc>
      </w:tr>
      <w:tr w:rsidR="00536CFD" w:rsidRPr="00536CFD" w14:paraId="1133DDDB" w14:textId="77777777" w:rsidTr="00536CFD">
        <w:trPr>
          <w:cantSplit/>
          <w:trHeight w:val="22"/>
        </w:trPr>
        <w:tc>
          <w:tcPr>
            <w:tcW w:w="0" w:type="auto"/>
            <w:vMerge/>
          </w:tcPr>
          <w:p w14:paraId="424B15CF" w14:textId="77777777" w:rsidR="004346F3" w:rsidRPr="00536CFD" w:rsidRDefault="004346F3" w:rsidP="00536CFD">
            <w:pPr>
              <w:spacing w:after="0"/>
              <w:jc w:val="center"/>
            </w:pPr>
          </w:p>
        </w:tc>
        <w:tc>
          <w:tcPr>
            <w:tcW w:w="0" w:type="auto"/>
            <w:gridSpan w:val="2"/>
          </w:tcPr>
          <w:p w14:paraId="559077DF" w14:textId="77777777" w:rsidR="004346F3" w:rsidRPr="00536CFD" w:rsidRDefault="004346F3" w:rsidP="00536CFD">
            <w:pPr>
              <w:spacing w:after="0"/>
              <w:jc w:val="center"/>
            </w:pPr>
            <w:r w:rsidRPr="00536CFD">
              <w:rPr>
                <w:rFonts w:ascii="Cambria Math" w:hAnsi="Cambria Math" w:cs="Cambria Math"/>
              </w:rPr>
              <w:t>𝜌</w:t>
            </w:r>
            <w:r w:rsidRPr="00536CFD">
              <w:rPr>
                <w:vertAlign w:val="subscript"/>
              </w:rPr>
              <w:t>DL</w:t>
            </w:r>
          </w:p>
        </w:tc>
        <w:tc>
          <w:tcPr>
            <w:tcW w:w="0" w:type="auto"/>
          </w:tcPr>
          <w:p w14:paraId="22537F67" w14:textId="77777777" w:rsidR="004346F3" w:rsidRPr="00536CFD" w:rsidRDefault="004346F3" w:rsidP="00536CFD">
            <w:pPr>
              <w:spacing w:after="0"/>
              <w:jc w:val="center"/>
            </w:pPr>
            <w:r w:rsidRPr="00536CFD">
              <w:t>99.8%</w:t>
            </w:r>
          </w:p>
        </w:tc>
        <w:tc>
          <w:tcPr>
            <w:tcW w:w="0" w:type="auto"/>
            <w:gridSpan w:val="2"/>
          </w:tcPr>
          <w:p w14:paraId="784B60A4" w14:textId="77777777" w:rsidR="004346F3" w:rsidRPr="00536CFD" w:rsidRDefault="004346F3" w:rsidP="00536CFD">
            <w:pPr>
              <w:spacing w:after="0"/>
              <w:jc w:val="center"/>
            </w:pPr>
            <w:r w:rsidRPr="00536CFD">
              <w:t>99.2%</w:t>
            </w:r>
          </w:p>
        </w:tc>
        <w:tc>
          <w:tcPr>
            <w:tcW w:w="0" w:type="auto"/>
            <w:gridSpan w:val="3"/>
          </w:tcPr>
          <w:p w14:paraId="7EC765B1" w14:textId="77777777" w:rsidR="004346F3" w:rsidRPr="00536CFD" w:rsidRDefault="004346F3" w:rsidP="00536CFD">
            <w:pPr>
              <w:spacing w:after="0"/>
              <w:jc w:val="center"/>
            </w:pPr>
            <w:r w:rsidRPr="00536CFD">
              <w:t>97.2%</w:t>
            </w:r>
          </w:p>
        </w:tc>
        <w:tc>
          <w:tcPr>
            <w:tcW w:w="0" w:type="auto"/>
            <w:gridSpan w:val="2"/>
          </w:tcPr>
          <w:p w14:paraId="429529B7" w14:textId="77777777" w:rsidR="004346F3" w:rsidRPr="00536CFD" w:rsidRDefault="004346F3" w:rsidP="00536CFD">
            <w:pPr>
              <w:spacing w:after="0"/>
              <w:jc w:val="center"/>
            </w:pPr>
            <w:r w:rsidRPr="00536CFD">
              <w:t>84.5%</w:t>
            </w:r>
          </w:p>
        </w:tc>
        <w:tc>
          <w:tcPr>
            <w:tcW w:w="0" w:type="auto"/>
            <w:gridSpan w:val="2"/>
          </w:tcPr>
          <w:p w14:paraId="6F6E3967" w14:textId="77777777" w:rsidR="004346F3" w:rsidRPr="00536CFD" w:rsidRDefault="004346F3" w:rsidP="00536CFD">
            <w:pPr>
              <w:spacing w:after="0"/>
              <w:jc w:val="center"/>
            </w:pPr>
            <w:r w:rsidRPr="00536CFD">
              <w:t>93.1%</w:t>
            </w:r>
          </w:p>
        </w:tc>
        <w:tc>
          <w:tcPr>
            <w:tcW w:w="0" w:type="auto"/>
            <w:gridSpan w:val="2"/>
          </w:tcPr>
          <w:p w14:paraId="729D2225" w14:textId="77777777" w:rsidR="004346F3" w:rsidRPr="00536CFD" w:rsidRDefault="004346F3" w:rsidP="00536CFD">
            <w:pPr>
              <w:spacing w:after="0"/>
              <w:jc w:val="center"/>
            </w:pPr>
            <w:r w:rsidRPr="00536CFD">
              <w:t>74.3%</w:t>
            </w:r>
          </w:p>
        </w:tc>
      </w:tr>
      <w:tr w:rsidR="00536CFD" w:rsidRPr="00536CFD" w14:paraId="1F451662" w14:textId="77777777" w:rsidTr="00536CFD">
        <w:trPr>
          <w:cantSplit/>
          <w:trHeight w:val="22"/>
        </w:trPr>
        <w:tc>
          <w:tcPr>
            <w:tcW w:w="0" w:type="auto"/>
            <w:vMerge/>
          </w:tcPr>
          <w:p w14:paraId="0DD2CA24" w14:textId="77777777" w:rsidR="004346F3" w:rsidRPr="00536CFD" w:rsidRDefault="004346F3" w:rsidP="00536CFD">
            <w:pPr>
              <w:spacing w:after="0"/>
              <w:jc w:val="center"/>
            </w:pPr>
          </w:p>
        </w:tc>
        <w:tc>
          <w:tcPr>
            <w:tcW w:w="0" w:type="auto"/>
            <w:gridSpan w:val="2"/>
          </w:tcPr>
          <w:p w14:paraId="6AA187AA" w14:textId="77777777" w:rsidR="004346F3" w:rsidRPr="00536CFD" w:rsidRDefault="004346F3" w:rsidP="00536CFD">
            <w:pPr>
              <w:spacing w:after="0"/>
              <w:jc w:val="center"/>
            </w:pPr>
            <w:r w:rsidRPr="00536CFD">
              <w:rPr>
                <w:rFonts w:ascii="Cambria Math" w:hAnsi="Cambria Math" w:cs="Cambria Math"/>
              </w:rPr>
              <w:t>𝜌</w:t>
            </w:r>
            <w:r w:rsidRPr="00536CFD">
              <w:rPr>
                <w:vertAlign w:val="subscript"/>
              </w:rPr>
              <w:t>UL</w:t>
            </w:r>
          </w:p>
        </w:tc>
        <w:tc>
          <w:tcPr>
            <w:tcW w:w="0" w:type="auto"/>
          </w:tcPr>
          <w:p w14:paraId="51DE74A0" w14:textId="77777777" w:rsidR="004346F3" w:rsidRPr="00536CFD" w:rsidRDefault="004346F3" w:rsidP="00536CFD">
            <w:pPr>
              <w:spacing w:after="0"/>
              <w:jc w:val="center"/>
            </w:pPr>
            <w:r w:rsidRPr="00536CFD">
              <w:t>99.7%</w:t>
            </w:r>
          </w:p>
        </w:tc>
        <w:tc>
          <w:tcPr>
            <w:tcW w:w="0" w:type="auto"/>
            <w:gridSpan w:val="2"/>
          </w:tcPr>
          <w:p w14:paraId="5E2CFF3B" w14:textId="77777777" w:rsidR="004346F3" w:rsidRPr="00536CFD" w:rsidRDefault="004346F3" w:rsidP="00536CFD">
            <w:pPr>
              <w:spacing w:after="0"/>
              <w:jc w:val="center"/>
            </w:pPr>
            <w:r w:rsidRPr="00536CFD">
              <w:t>99.4%</w:t>
            </w:r>
          </w:p>
        </w:tc>
        <w:tc>
          <w:tcPr>
            <w:tcW w:w="0" w:type="auto"/>
            <w:gridSpan w:val="3"/>
          </w:tcPr>
          <w:p w14:paraId="7F4863DB" w14:textId="77777777" w:rsidR="004346F3" w:rsidRPr="00536CFD" w:rsidRDefault="004346F3" w:rsidP="00536CFD">
            <w:pPr>
              <w:spacing w:after="0"/>
              <w:jc w:val="center"/>
            </w:pPr>
            <w:r w:rsidRPr="00536CFD">
              <w:t>98.1%</w:t>
            </w:r>
          </w:p>
        </w:tc>
        <w:tc>
          <w:tcPr>
            <w:tcW w:w="0" w:type="auto"/>
            <w:gridSpan w:val="2"/>
          </w:tcPr>
          <w:p w14:paraId="172BB834" w14:textId="77777777" w:rsidR="004346F3" w:rsidRPr="00536CFD" w:rsidRDefault="004346F3" w:rsidP="00536CFD">
            <w:pPr>
              <w:spacing w:after="0"/>
              <w:jc w:val="center"/>
            </w:pPr>
            <w:r w:rsidRPr="00536CFD">
              <w:t>93.2%</w:t>
            </w:r>
          </w:p>
        </w:tc>
        <w:tc>
          <w:tcPr>
            <w:tcW w:w="0" w:type="auto"/>
            <w:gridSpan w:val="2"/>
          </w:tcPr>
          <w:p w14:paraId="03466F3F" w14:textId="77777777" w:rsidR="004346F3" w:rsidRPr="00536CFD" w:rsidRDefault="004346F3" w:rsidP="00536CFD">
            <w:pPr>
              <w:spacing w:after="0"/>
              <w:jc w:val="center"/>
            </w:pPr>
            <w:r w:rsidRPr="00536CFD">
              <w:t>96.4%</w:t>
            </w:r>
          </w:p>
        </w:tc>
        <w:tc>
          <w:tcPr>
            <w:tcW w:w="0" w:type="auto"/>
            <w:gridSpan w:val="2"/>
          </w:tcPr>
          <w:p w14:paraId="40267AE2" w14:textId="77777777" w:rsidR="004346F3" w:rsidRPr="00536CFD" w:rsidRDefault="004346F3" w:rsidP="00536CFD">
            <w:pPr>
              <w:spacing w:after="0"/>
              <w:jc w:val="center"/>
            </w:pPr>
            <w:r w:rsidRPr="00536CFD">
              <w:t>89%</w:t>
            </w:r>
          </w:p>
        </w:tc>
      </w:tr>
      <w:tr w:rsidR="00536CFD" w:rsidRPr="00536CFD" w14:paraId="6FB24940" w14:textId="77777777" w:rsidTr="00536CFD">
        <w:trPr>
          <w:cantSplit/>
          <w:trHeight w:val="22"/>
        </w:trPr>
        <w:tc>
          <w:tcPr>
            <w:tcW w:w="0" w:type="auto"/>
            <w:vMerge/>
          </w:tcPr>
          <w:p w14:paraId="387875C2" w14:textId="77777777" w:rsidR="004346F3" w:rsidRPr="00536CFD" w:rsidRDefault="004346F3" w:rsidP="00536CFD">
            <w:pPr>
              <w:spacing w:after="0"/>
              <w:jc w:val="center"/>
            </w:pPr>
          </w:p>
        </w:tc>
        <w:tc>
          <w:tcPr>
            <w:tcW w:w="0" w:type="auto"/>
            <w:gridSpan w:val="2"/>
          </w:tcPr>
          <w:p w14:paraId="004A6A3F" w14:textId="77777777" w:rsidR="004346F3" w:rsidRPr="00536CFD" w:rsidRDefault="004346F3" w:rsidP="00536CFD">
            <w:pPr>
              <w:spacing w:after="0"/>
              <w:jc w:val="center"/>
            </w:pPr>
            <w:r w:rsidRPr="00536CFD">
              <w:t>BO</w:t>
            </w:r>
          </w:p>
        </w:tc>
        <w:tc>
          <w:tcPr>
            <w:tcW w:w="0" w:type="auto"/>
          </w:tcPr>
          <w:p w14:paraId="41DAB366" w14:textId="77777777" w:rsidR="004346F3" w:rsidRPr="00536CFD" w:rsidRDefault="004346F3" w:rsidP="00536CFD">
            <w:pPr>
              <w:spacing w:after="0"/>
              <w:jc w:val="center"/>
            </w:pPr>
            <w:r w:rsidRPr="00536CFD">
              <w:t>10.3%</w:t>
            </w:r>
          </w:p>
        </w:tc>
        <w:tc>
          <w:tcPr>
            <w:tcW w:w="0" w:type="auto"/>
            <w:gridSpan w:val="2"/>
          </w:tcPr>
          <w:p w14:paraId="7E2138F4" w14:textId="77777777" w:rsidR="004346F3" w:rsidRPr="00536CFD" w:rsidRDefault="004346F3" w:rsidP="00536CFD">
            <w:pPr>
              <w:spacing w:after="0"/>
              <w:jc w:val="center"/>
            </w:pPr>
            <w:r w:rsidRPr="00536CFD">
              <w:t>11%</w:t>
            </w:r>
          </w:p>
        </w:tc>
        <w:tc>
          <w:tcPr>
            <w:tcW w:w="0" w:type="auto"/>
            <w:gridSpan w:val="3"/>
          </w:tcPr>
          <w:p w14:paraId="5B92DC41" w14:textId="77777777" w:rsidR="004346F3" w:rsidRPr="00536CFD" w:rsidRDefault="004346F3" w:rsidP="00536CFD">
            <w:pPr>
              <w:spacing w:after="0"/>
              <w:jc w:val="center"/>
            </w:pPr>
            <w:r w:rsidRPr="00536CFD">
              <w:t>28.2%</w:t>
            </w:r>
          </w:p>
        </w:tc>
        <w:tc>
          <w:tcPr>
            <w:tcW w:w="0" w:type="auto"/>
            <w:gridSpan w:val="2"/>
          </w:tcPr>
          <w:p w14:paraId="2C188DF2" w14:textId="77777777" w:rsidR="004346F3" w:rsidRPr="00536CFD" w:rsidRDefault="004346F3" w:rsidP="00536CFD">
            <w:pPr>
              <w:spacing w:after="0"/>
              <w:jc w:val="center"/>
            </w:pPr>
            <w:r w:rsidRPr="00536CFD">
              <w:t>50.5%</w:t>
            </w:r>
          </w:p>
        </w:tc>
        <w:tc>
          <w:tcPr>
            <w:tcW w:w="0" w:type="auto"/>
            <w:gridSpan w:val="2"/>
          </w:tcPr>
          <w:p w14:paraId="450A38B5" w14:textId="77777777" w:rsidR="004346F3" w:rsidRPr="00536CFD" w:rsidRDefault="004346F3" w:rsidP="00536CFD">
            <w:pPr>
              <w:spacing w:after="0"/>
              <w:jc w:val="center"/>
            </w:pPr>
            <w:r w:rsidRPr="00536CFD">
              <w:t>45.1%</w:t>
            </w:r>
          </w:p>
        </w:tc>
        <w:tc>
          <w:tcPr>
            <w:tcW w:w="0" w:type="auto"/>
            <w:gridSpan w:val="2"/>
          </w:tcPr>
          <w:p w14:paraId="342E4FA5" w14:textId="77777777" w:rsidR="004346F3" w:rsidRPr="00536CFD" w:rsidRDefault="004346F3" w:rsidP="00536CFD">
            <w:pPr>
              <w:spacing w:after="0"/>
              <w:jc w:val="center"/>
            </w:pPr>
            <w:r w:rsidRPr="00536CFD">
              <w:t>67.3%</w:t>
            </w:r>
          </w:p>
        </w:tc>
      </w:tr>
      <w:tr w:rsidR="004346F3" w:rsidRPr="00536CFD" w14:paraId="77F6EE1C" w14:textId="77777777" w:rsidTr="00536CFD">
        <w:trPr>
          <w:cantSplit/>
          <w:trHeight w:val="22"/>
        </w:trPr>
        <w:tc>
          <w:tcPr>
            <w:tcW w:w="0" w:type="auto"/>
            <w:vMerge/>
          </w:tcPr>
          <w:p w14:paraId="25B11410" w14:textId="77777777" w:rsidR="004346F3" w:rsidRPr="00536CFD" w:rsidRDefault="004346F3" w:rsidP="00536CFD">
            <w:pPr>
              <w:spacing w:after="0"/>
              <w:jc w:val="center"/>
            </w:pPr>
          </w:p>
        </w:tc>
        <w:tc>
          <w:tcPr>
            <w:tcW w:w="0" w:type="auto"/>
            <w:gridSpan w:val="2"/>
          </w:tcPr>
          <w:p w14:paraId="155B6E60" w14:textId="77777777" w:rsidR="004346F3" w:rsidRPr="00536CFD" w:rsidRDefault="004346F3" w:rsidP="00536CFD">
            <w:pPr>
              <w:spacing w:after="0"/>
              <w:jc w:val="center"/>
            </w:pPr>
            <w:r w:rsidRPr="00536CFD">
              <w:rPr>
                <w:rFonts w:ascii="Cambria Math" w:hAnsi="Cambria Math" w:cs="Cambria Math"/>
              </w:rPr>
              <w:t>𝜆</w:t>
            </w:r>
          </w:p>
        </w:tc>
        <w:tc>
          <w:tcPr>
            <w:tcW w:w="0" w:type="auto"/>
            <w:gridSpan w:val="3"/>
          </w:tcPr>
          <w:p w14:paraId="6FA61411" w14:textId="77777777" w:rsidR="004346F3" w:rsidRPr="00536CFD" w:rsidRDefault="004346F3" w:rsidP="00536CFD">
            <w:pPr>
              <w:spacing w:after="0"/>
              <w:jc w:val="center"/>
            </w:pPr>
            <w:r w:rsidRPr="00536CFD">
              <w:t>0.19 file/s</w:t>
            </w:r>
          </w:p>
        </w:tc>
        <w:tc>
          <w:tcPr>
            <w:tcW w:w="0" w:type="auto"/>
            <w:gridSpan w:val="5"/>
          </w:tcPr>
          <w:p w14:paraId="515CBD0C" w14:textId="77777777" w:rsidR="004346F3" w:rsidRPr="00536CFD" w:rsidRDefault="004346F3" w:rsidP="00536CFD">
            <w:pPr>
              <w:spacing w:after="0"/>
              <w:jc w:val="center"/>
            </w:pPr>
            <w:r w:rsidRPr="00536CFD">
              <w:t>0.24 file/s</w:t>
            </w:r>
          </w:p>
        </w:tc>
        <w:tc>
          <w:tcPr>
            <w:tcW w:w="0" w:type="auto"/>
            <w:gridSpan w:val="4"/>
          </w:tcPr>
          <w:p w14:paraId="6DCD4C59" w14:textId="77777777" w:rsidR="004346F3" w:rsidRPr="00536CFD" w:rsidRDefault="004346F3" w:rsidP="00536CFD">
            <w:pPr>
              <w:spacing w:after="0"/>
              <w:jc w:val="center"/>
            </w:pPr>
            <w:r w:rsidRPr="00536CFD">
              <w:t>0.28 file/s</w:t>
            </w:r>
          </w:p>
        </w:tc>
      </w:tr>
      <w:tr w:rsidR="004346F3" w:rsidRPr="00536CFD" w14:paraId="3CEFFE8F" w14:textId="77777777" w:rsidTr="00536CFD">
        <w:trPr>
          <w:cantSplit/>
          <w:trHeight w:val="22"/>
        </w:trPr>
        <w:tc>
          <w:tcPr>
            <w:tcW w:w="0" w:type="auto"/>
            <w:vMerge/>
          </w:tcPr>
          <w:p w14:paraId="5719AB12" w14:textId="77777777" w:rsidR="004346F3" w:rsidRPr="00536CFD" w:rsidRDefault="004346F3" w:rsidP="00536CFD">
            <w:pPr>
              <w:spacing w:after="0"/>
              <w:jc w:val="center"/>
            </w:pPr>
          </w:p>
        </w:tc>
        <w:tc>
          <w:tcPr>
            <w:tcW w:w="0" w:type="auto"/>
            <w:gridSpan w:val="2"/>
          </w:tcPr>
          <w:p w14:paraId="0EC4B7F8" w14:textId="77777777" w:rsidR="004346F3" w:rsidRPr="00536CFD" w:rsidRDefault="004346F3" w:rsidP="00536CFD">
            <w:pPr>
              <w:spacing w:after="0"/>
              <w:jc w:val="center"/>
            </w:pPr>
          </w:p>
        </w:tc>
        <w:tc>
          <w:tcPr>
            <w:tcW w:w="0" w:type="auto"/>
            <w:gridSpan w:val="12"/>
          </w:tcPr>
          <w:p w14:paraId="2BD2642F" w14:textId="45E52085" w:rsidR="004346F3" w:rsidRPr="00536CFD" w:rsidRDefault="004346F3" w:rsidP="00536CFD">
            <w:pPr>
              <w:pStyle w:val="ResTable"/>
              <w:jc w:val="left"/>
              <w:rPr>
                <w:rFonts w:ascii="Times New Roman" w:hAnsi="Times New Roman" w:cs="Times New Roman"/>
                <w:sz w:val="20"/>
                <w:szCs w:val="20"/>
              </w:rPr>
            </w:pPr>
            <w:r w:rsidRPr="00536CFD">
              <w:rPr>
                <w:rFonts w:ascii="Times New Roman" w:hAnsi="Times New Roman" w:cs="Times New Roman"/>
                <w:sz w:val="20"/>
                <w:szCs w:val="20"/>
              </w:rPr>
              <w:t>Additional comments:</w:t>
            </w:r>
          </w:p>
          <w:p w14:paraId="415A36AA" w14:textId="77777777" w:rsidR="004346F3" w:rsidRPr="00536CFD" w:rsidRDefault="004346F3" w:rsidP="00536CFD">
            <w:pPr>
              <w:spacing w:after="0"/>
            </w:pPr>
            <w:r w:rsidRPr="00536CFD">
              <w:rPr>
                <w:b/>
                <w:bCs/>
                <w:lang w:eastAsia="sv-SE"/>
              </w:rPr>
              <w:t>Simulation setup:</w:t>
            </w:r>
            <w:r w:rsidRPr="00536CFD">
              <w:rPr>
                <w:lang w:eastAsia="sv-SE"/>
              </w:rPr>
              <w:t xml:space="preserve"> NR-U indoor scenario, 50/50 DL/UL traffics. </w:t>
            </w:r>
            <w:r w:rsidRPr="00536CFD">
              <w:br/>
            </w:r>
            <w:r w:rsidRPr="00536CFD">
              <w:rPr>
                <w:b/>
                <w:bCs/>
              </w:rPr>
              <w:t>Common assumptions:</w:t>
            </w:r>
            <w:r w:rsidRPr="00536CFD">
              <w:t xml:space="preserve"> Primary LBT: Cat-4 LBT with exponential CW back-off, MCOT duration: 6ms, Max modulation: 256 QAM, Antennas: 4 for BS/AP and 2 for UE/STA, BF scheme: Tx and Rx BF at BS/AP, Maximal number of layers: 2 for DL and 2 for UL, single carrier with 20MHz BW, BS/AP transmit power 20dBm, UE/STA transmit power 18dBm, MMSE-IRC receiver. CW {min,max} DL{15,63} 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SCS 30kHz, UE processing time capability #1, PUSCH mapping Type A, PDSCH mapping Type B, PDCCH monitoring every 1OS, Scheduling: proportional fair, self-scheduling. COT sharing enabled (gNB initiated COT).</w:t>
            </w:r>
          </w:p>
        </w:tc>
      </w:tr>
    </w:tbl>
    <w:p w14:paraId="5E0595E1" w14:textId="77777777" w:rsidR="004346F3" w:rsidRPr="00C64ECB" w:rsidRDefault="004346F3" w:rsidP="004346F3"/>
    <w:p w14:paraId="1920E5E6" w14:textId="77777777" w:rsidR="00EC7E4A" w:rsidRPr="00C64ECB" w:rsidRDefault="00EC7E4A" w:rsidP="00EC7E4A"/>
    <w:p w14:paraId="1E206061" w14:textId="77777777" w:rsidR="00EC7E4A" w:rsidRPr="00C64ECB" w:rsidRDefault="00EC7E4A" w:rsidP="00831ADB">
      <w:pPr>
        <w:pStyle w:val="Heading2"/>
        <w:pageBreakBefore/>
        <w:ind w:left="1138" w:hanging="1138"/>
      </w:pPr>
      <w:bookmarkStart w:id="112" w:name="_Toc531343053"/>
      <w:r w:rsidRPr="00C64ECB">
        <w:t>B.3</w:t>
      </w:r>
      <w:r w:rsidRPr="00C64ECB">
        <w:tab/>
        <w:t>Evaluation results for sub7GHz outdoor scenario 2</w:t>
      </w:r>
      <w:bookmarkEnd w:id="112"/>
    </w:p>
    <w:p w14:paraId="5B1E2913" w14:textId="6F8FD2EF" w:rsidR="00EC7E4A" w:rsidRPr="00C64ECB" w:rsidRDefault="00EC7E4A" w:rsidP="00EC7E4A">
      <w:pPr>
        <w:pStyle w:val="Heading3"/>
      </w:pPr>
      <w:bookmarkStart w:id="113" w:name="_Toc531343054"/>
      <w:r w:rsidRPr="00C64ECB">
        <w:t>B.3.1</w:t>
      </w:r>
      <w:r w:rsidRPr="00C64ECB">
        <w:tab/>
        <w:t>Wi-Fi and NR-U coexistence evaluation with 20MHz and FTP traffic</w:t>
      </w:r>
      <w:bookmarkEnd w:id="113"/>
    </w:p>
    <w:p w14:paraId="033F93DC" w14:textId="77777777" w:rsidR="004346F3" w:rsidRPr="00C64ECB" w:rsidRDefault="004346F3" w:rsidP="004346F3">
      <w:pPr>
        <w:pStyle w:val="TH"/>
      </w:pPr>
      <w:r w:rsidRPr="00C64ECB">
        <w:t>Table B.3.1-1: Wi-Fi and NR-U coexistence evaluation with 20MHz and FTP traffic</w:t>
      </w:r>
    </w:p>
    <w:tbl>
      <w:tblPr>
        <w:tblStyle w:val="TableGrid"/>
        <w:tblW w:w="9778" w:type="dxa"/>
        <w:tblInd w:w="-5" w:type="dxa"/>
        <w:tblLayout w:type="fixed"/>
        <w:tblCellMar>
          <w:left w:w="0" w:type="dxa"/>
          <w:right w:w="0" w:type="dxa"/>
        </w:tblCellMar>
        <w:tblLook w:val="04A0" w:firstRow="1" w:lastRow="0" w:firstColumn="1" w:lastColumn="0" w:noHBand="0" w:noVBand="1"/>
      </w:tblPr>
      <w:tblGrid>
        <w:gridCol w:w="288"/>
        <w:gridCol w:w="583"/>
        <w:gridCol w:w="29"/>
        <w:gridCol w:w="554"/>
        <w:gridCol w:w="582"/>
        <w:gridCol w:w="111"/>
        <w:gridCol w:w="533"/>
        <w:gridCol w:w="161"/>
        <w:gridCol w:w="483"/>
        <w:gridCol w:w="211"/>
        <w:gridCol w:w="433"/>
        <w:gridCol w:w="260"/>
        <w:gridCol w:w="455"/>
        <w:gridCol w:w="239"/>
        <w:gridCol w:w="476"/>
        <w:gridCol w:w="218"/>
        <w:gridCol w:w="497"/>
        <w:gridCol w:w="196"/>
        <w:gridCol w:w="519"/>
        <w:gridCol w:w="175"/>
        <w:gridCol w:w="562"/>
        <w:gridCol w:w="132"/>
        <w:gridCol w:w="606"/>
        <w:gridCol w:w="87"/>
        <w:gridCol w:w="650"/>
        <w:gridCol w:w="44"/>
        <w:gridCol w:w="694"/>
      </w:tblGrid>
      <w:tr w:rsidR="004346F3" w:rsidRPr="00536CFD" w14:paraId="04F3783C" w14:textId="77777777" w:rsidTr="00802ABC">
        <w:trPr>
          <w:cantSplit/>
          <w:trHeight w:val="20"/>
          <w:tblHeader/>
        </w:trPr>
        <w:tc>
          <w:tcPr>
            <w:tcW w:w="28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14:paraId="3918201C" w14:textId="77777777" w:rsidR="004346F3" w:rsidRPr="00536CFD" w:rsidRDefault="004346F3" w:rsidP="00802ABC">
            <w:pPr>
              <w:spacing w:after="0"/>
              <w:ind w:left="113" w:right="113"/>
              <w:contextualSpacing/>
              <w:jc w:val="center"/>
            </w:pPr>
            <w:r w:rsidRPr="00536CFD">
              <w:rPr>
                <w:lang w:val="en-US" w:bidi="ar"/>
              </w:rPr>
              <w:t>Tdoc/Source</w:t>
            </w:r>
          </w:p>
        </w:tc>
        <w:tc>
          <w:tcPr>
            <w:tcW w:w="1166" w:type="dxa"/>
            <w:gridSpan w:val="3"/>
            <w:vMerge w:val="restart"/>
            <w:tcBorders>
              <w:top w:val="single" w:sz="4" w:space="0" w:color="auto"/>
              <w:left w:val="nil"/>
              <w:bottom w:val="single" w:sz="4" w:space="0" w:color="auto"/>
              <w:right w:val="single" w:sz="4" w:space="0" w:color="auto"/>
            </w:tcBorders>
            <w:shd w:val="clear" w:color="auto" w:fill="auto"/>
          </w:tcPr>
          <w:p w14:paraId="6D94AD0F" w14:textId="77777777" w:rsidR="004346F3" w:rsidRPr="00536CFD" w:rsidRDefault="004346F3" w:rsidP="00802ABC">
            <w:pPr>
              <w:spacing w:after="0"/>
              <w:contextualSpacing/>
            </w:pPr>
          </w:p>
          <w:p w14:paraId="7BC015F3" w14:textId="77777777" w:rsidR="004346F3" w:rsidRPr="00536CFD" w:rsidRDefault="004346F3" w:rsidP="00802ABC">
            <w:pPr>
              <w:spacing w:after="0"/>
              <w:contextualSpacing/>
            </w:pPr>
            <w:r w:rsidRPr="00536CFD">
              <w:rPr>
                <w:lang w:val="en-US" w:bidi="ar"/>
              </w:rPr>
              <w:t>Reported parameters</w:t>
            </w:r>
          </w:p>
        </w:tc>
        <w:tc>
          <w:tcPr>
            <w:tcW w:w="2514" w:type="dxa"/>
            <w:gridSpan w:val="7"/>
            <w:tcBorders>
              <w:top w:val="single" w:sz="4" w:space="0" w:color="auto"/>
              <w:left w:val="nil"/>
              <w:bottom w:val="single" w:sz="4" w:space="0" w:color="auto"/>
              <w:right w:val="single" w:sz="4" w:space="0" w:color="auto"/>
            </w:tcBorders>
            <w:shd w:val="clear" w:color="auto" w:fill="auto"/>
          </w:tcPr>
          <w:p w14:paraId="13171513" w14:textId="77777777" w:rsidR="004346F3" w:rsidRPr="00536CFD" w:rsidRDefault="004346F3" w:rsidP="00802ABC">
            <w:pPr>
              <w:spacing w:after="0"/>
              <w:contextualSpacing/>
              <w:jc w:val="center"/>
              <w:rPr>
                <w:b/>
                <w:bCs/>
                <w:u w:val="single"/>
              </w:rPr>
            </w:pPr>
            <w:r w:rsidRPr="00536CFD">
              <w:rPr>
                <w:b/>
                <w:bCs/>
                <w:u w:val="single"/>
                <w:lang w:val="en-US" w:bidi="ar"/>
              </w:rPr>
              <w:t>Low load</w:t>
            </w:r>
          </w:p>
          <w:p w14:paraId="77902EE0" w14:textId="77777777" w:rsidR="004346F3" w:rsidRPr="00536CFD" w:rsidRDefault="004346F3" w:rsidP="00802ABC">
            <w:pPr>
              <w:spacing w:after="0"/>
              <w:contextualSpacing/>
              <w:jc w:val="center"/>
              <w:rPr>
                <w:u w:val="single"/>
              </w:rPr>
            </w:pPr>
            <w:r w:rsidRPr="00536CFD">
              <w:rPr>
                <w:lang w:val="en-US" w:bidi="ar"/>
              </w:rPr>
              <w:t xml:space="preserve">BO range for Wi-Fi in </w:t>
            </w:r>
            <w:r w:rsidRPr="00536CFD">
              <w:rPr>
                <w:lang w:val="en-US" w:bidi="ar"/>
              </w:rPr>
              <w:br/>
              <w:t xml:space="preserve">WiFi+WiFi: </w:t>
            </w:r>
            <w:r w:rsidRPr="00536CFD">
              <w:rPr>
                <w:rFonts w:eastAsia="MS Mincho"/>
                <w:lang w:val="en-US" w:bidi="ar"/>
              </w:rPr>
              <w:t>10%~25%</w:t>
            </w:r>
          </w:p>
        </w:tc>
        <w:tc>
          <w:tcPr>
            <w:tcW w:w="2860" w:type="dxa"/>
            <w:gridSpan w:val="8"/>
            <w:tcBorders>
              <w:top w:val="single" w:sz="4" w:space="0" w:color="auto"/>
              <w:left w:val="nil"/>
              <w:bottom w:val="single" w:sz="4" w:space="0" w:color="auto"/>
              <w:right w:val="single" w:sz="4" w:space="0" w:color="auto"/>
            </w:tcBorders>
            <w:shd w:val="clear" w:color="auto" w:fill="auto"/>
          </w:tcPr>
          <w:p w14:paraId="71633152" w14:textId="77777777" w:rsidR="004346F3" w:rsidRPr="00536CFD" w:rsidRDefault="004346F3" w:rsidP="00802ABC">
            <w:pPr>
              <w:spacing w:after="0"/>
              <w:contextualSpacing/>
              <w:jc w:val="center"/>
              <w:rPr>
                <w:b/>
                <w:bCs/>
                <w:u w:val="single"/>
              </w:rPr>
            </w:pPr>
            <w:r w:rsidRPr="00536CFD">
              <w:rPr>
                <w:b/>
                <w:bCs/>
                <w:u w:val="single"/>
                <w:lang w:val="en-US" w:bidi="ar"/>
              </w:rPr>
              <w:t>Medium load</w:t>
            </w:r>
          </w:p>
          <w:p w14:paraId="05681100" w14:textId="77777777" w:rsidR="004346F3" w:rsidRPr="00536CFD" w:rsidRDefault="004346F3" w:rsidP="00802ABC">
            <w:pPr>
              <w:spacing w:after="0"/>
              <w:contextualSpacing/>
              <w:jc w:val="center"/>
              <w:rPr>
                <w:u w:val="single"/>
              </w:rPr>
            </w:pPr>
            <w:r w:rsidRPr="00536CFD">
              <w:rPr>
                <w:lang w:val="en-US" w:bidi="ar"/>
              </w:rPr>
              <w:t xml:space="preserve">BO range for Wi-Fi in </w:t>
            </w:r>
            <w:r w:rsidRPr="00536CFD">
              <w:rPr>
                <w:lang w:val="en-US" w:bidi="ar"/>
              </w:rPr>
              <w:br/>
              <w:t xml:space="preserve">WiFi+WiFi: </w:t>
            </w:r>
            <w:r w:rsidRPr="00536CFD">
              <w:rPr>
                <w:rFonts w:eastAsia="MS Mincho"/>
                <w:lang w:val="en-US" w:bidi="ar"/>
              </w:rPr>
              <w:t>35%~50%</w:t>
            </w:r>
          </w:p>
        </w:tc>
        <w:tc>
          <w:tcPr>
            <w:tcW w:w="2950" w:type="dxa"/>
            <w:gridSpan w:val="8"/>
            <w:tcBorders>
              <w:top w:val="single" w:sz="4" w:space="0" w:color="auto"/>
              <w:left w:val="nil"/>
              <w:bottom w:val="single" w:sz="4" w:space="0" w:color="auto"/>
              <w:right w:val="single" w:sz="4" w:space="0" w:color="auto"/>
            </w:tcBorders>
            <w:shd w:val="clear" w:color="auto" w:fill="auto"/>
          </w:tcPr>
          <w:p w14:paraId="0460EA5F" w14:textId="77777777" w:rsidR="004346F3" w:rsidRPr="00536CFD" w:rsidRDefault="004346F3" w:rsidP="00802ABC">
            <w:pPr>
              <w:spacing w:after="0"/>
              <w:contextualSpacing/>
              <w:jc w:val="center"/>
              <w:rPr>
                <w:b/>
                <w:bCs/>
                <w:u w:val="single"/>
              </w:rPr>
            </w:pPr>
            <w:r w:rsidRPr="00536CFD">
              <w:rPr>
                <w:b/>
                <w:bCs/>
                <w:u w:val="single"/>
                <w:lang w:val="en-US" w:bidi="ar"/>
              </w:rPr>
              <w:t>High load</w:t>
            </w:r>
          </w:p>
          <w:p w14:paraId="150BE8ED" w14:textId="77777777" w:rsidR="004346F3" w:rsidRPr="00536CFD" w:rsidRDefault="004346F3" w:rsidP="00802ABC">
            <w:pPr>
              <w:spacing w:after="0"/>
              <w:contextualSpacing/>
              <w:jc w:val="center"/>
              <w:rPr>
                <w:u w:val="single"/>
              </w:rPr>
            </w:pPr>
            <w:r w:rsidRPr="00536CFD">
              <w:rPr>
                <w:lang w:val="en-US" w:bidi="ar"/>
              </w:rPr>
              <w:t xml:space="preserve">BO range for Wi-Fi in </w:t>
            </w:r>
            <w:r w:rsidRPr="00536CFD">
              <w:rPr>
                <w:lang w:val="en-US" w:bidi="ar"/>
              </w:rPr>
              <w:br/>
              <w:t>WiFi+WiFi: above 55%</w:t>
            </w:r>
          </w:p>
        </w:tc>
      </w:tr>
      <w:tr w:rsidR="004346F3" w:rsidRPr="00536CFD" w14:paraId="6EB9186F" w14:textId="77777777" w:rsidTr="00802ABC">
        <w:trPr>
          <w:cantSplit/>
          <w:trHeight w:val="20"/>
          <w:tblHeader/>
        </w:trPr>
        <w:tc>
          <w:tcPr>
            <w:tcW w:w="288" w:type="dxa"/>
            <w:vMerge/>
            <w:tcBorders>
              <w:top w:val="single" w:sz="4" w:space="0" w:color="auto"/>
              <w:left w:val="single" w:sz="4" w:space="0" w:color="auto"/>
              <w:bottom w:val="single" w:sz="4" w:space="0" w:color="auto"/>
              <w:right w:val="single" w:sz="4" w:space="0" w:color="auto"/>
            </w:tcBorders>
            <w:shd w:val="clear" w:color="auto" w:fill="auto"/>
            <w:textDirection w:val="btLr"/>
          </w:tcPr>
          <w:p w14:paraId="0B5848C0" w14:textId="77777777" w:rsidR="004346F3" w:rsidRPr="00536CFD" w:rsidRDefault="004346F3" w:rsidP="00802ABC">
            <w:pPr>
              <w:spacing w:after="0"/>
              <w:ind w:left="113" w:right="113"/>
            </w:pPr>
          </w:p>
        </w:tc>
        <w:tc>
          <w:tcPr>
            <w:tcW w:w="1166" w:type="dxa"/>
            <w:gridSpan w:val="3"/>
            <w:vMerge/>
            <w:tcBorders>
              <w:top w:val="single" w:sz="4" w:space="0" w:color="auto"/>
              <w:left w:val="nil"/>
              <w:bottom w:val="single" w:sz="4" w:space="0" w:color="auto"/>
              <w:right w:val="single" w:sz="4" w:space="0" w:color="auto"/>
            </w:tcBorders>
            <w:shd w:val="clear" w:color="auto" w:fill="auto"/>
          </w:tcPr>
          <w:p w14:paraId="54EBB501" w14:textId="77777777" w:rsidR="004346F3" w:rsidRPr="00536CFD" w:rsidRDefault="004346F3" w:rsidP="00802ABC">
            <w:pPr>
              <w:spacing w:after="0"/>
            </w:pPr>
          </w:p>
        </w:tc>
        <w:tc>
          <w:tcPr>
            <w:tcW w:w="582" w:type="dxa"/>
            <w:tcBorders>
              <w:top w:val="single" w:sz="4" w:space="0" w:color="auto"/>
              <w:left w:val="nil"/>
              <w:bottom w:val="single" w:sz="4" w:space="0" w:color="auto"/>
              <w:right w:val="single" w:sz="4" w:space="0" w:color="auto"/>
            </w:tcBorders>
            <w:shd w:val="clear" w:color="auto" w:fill="auto"/>
          </w:tcPr>
          <w:p w14:paraId="718BDD9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WiFi</w:t>
            </w:r>
          </w:p>
        </w:tc>
        <w:tc>
          <w:tcPr>
            <w:tcW w:w="644" w:type="dxa"/>
            <w:gridSpan w:val="2"/>
            <w:tcBorders>
              <w:top w:val="single" w:sz="4" w:space="0" w:color="auto"/>
              <w:left w:val="nil"/>
              <w:bottom w:val="single" w:sz="4" w:space="0" w:color="auto"/>
              <w:right w:val="single" w:sz="4" w:space="0" w:color="auto"/>
            </w:tcBorders>
            <w:shd w:val="clear" w:color="auto" w:fill="auto"/>
          </w:tcPr>
          <w:p w14:paraId="1DC1288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644" w:type="dxa"/>
            <w:gridSpan w:val="2"/>
            <w:tcBorders>
              <w:top w:val="single" w:sz="4" w:space="0" w:color="auto"/>
              <w:left w:val="nil"/>
              <w:bottom w:val="single" w:sz="4" w:space="0" w:color="auto"/>
              <w:right w:val="single" w:sz="4" w:space="0" w:color="auto"/>
            </w:tcBorders>
            <w:shd w:val="clear" w:color="auto" w:fill="auto"/>
          </w:tcPr>
          <w:p w14:paraId="163D675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644" w:type="dxa"/>
            <w:gridSpan w:val="2"/>
            <w:tcBorders>
              <w:top w:val="single" w:sz="4" w:space="0" w:color="auto"/>
              <w:left w:val="nil"/>
              <w:bottom w:val="single" w:sz="4" w:space="0" w:color="auto"/>
              <w:right w:val="single" w:sz="4" w:space="0" w:color="auto"/>
            </w:tcBorders>
            <w:shd w:val="clear" w:color="auto" w:fill="auto"/>
          </w:tcPr>
          <w:p w14:paraId="4CB23E5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c>
          <w:tcPr>
            <w:tcW w:w="715" w:type="dxa"/>
            <w:gridSpan w:val="2"/>
            <w:tcBorders>
              <w:top w:val="single" w:sz="4" w:space="0" w:color="auto"/>
              <w:left w:val="nil"/>
              <w:bottom w:val="single" w:sz="4" w:space="0" w:color="auto"/>
              <w:right w:val="single" w:sz="4" w:space="0" w:color="auto"/>
            </w:tcBorders>
            <w:shd w:val="clear" w:color="auto" w:fill="auto"/>
          </w:tcPr>
          <w:p w14:paraId="6D0E38E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 WiFi</w:t>
            </w:r>
          </w:p>
        </w:tc>
        <w:tc>
          <w:tcPr>
            <w:tcW w:w="715" w:type="dxa"/>
            <w:gridSpan w:val="2"/>
            <w:tcBorders>
              <w:top w:val="single" w:sz="4" w:space="0" w:color="auto"/>
              <w:left w:val="nil"/>
              <w:bottom w:val="single" w:sz="4" w:space="0" w:color="auto"/>
              <w:right w:val="single" w:sz="4" w:space="0" w:color="auto"/>
            </w:tcBorders>
            <w:shd w:val="clear" w:color="auto" w:fill="auto"/>
          </w:tcPr>
          <w:p w14:paraId="55A95FE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715" w:type="dxa"/>
            <w:gridSpan w:val="2"/>
            <w:tcBorders>
              <w:top w:val="single" w:sz="4" w:space="0" w:color="auto"/>
              <w:left w:val="nil"/>
              <w:bottom w:val="single" w:sz="4" w:space="0" w:color="auto"/>
              <w:right w:val="single" w:sz="4" w:space="0" w:color="auto"/>
            </w:tcBorders>
            <w:shd w:val="clear" w:color="auto" w:fill="auto"/>
          </w:tcPr>
          <w:p w14:paraId="5DD0786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715" w:type="dxa"/>
            <w:gridSpan w:val="2"/>
            <w:tcBorders>
              <w:top w:val="single" w:sz="4" w:space="0" w:color="auto"/>
              <w:left w:val="nil"/>
              <w:bottom w:val="single" w:sz="4" w:space="0" w:color="auto"/>
              <w:right w:val="single" w:sz="4" w:space="0" w:color="auto"/>
            </w:tcBorders>
            <w:shd w:val="clear" w:color="auto" w:fill="auto"/>
          </w:tcPr>
          <w:p w14:paraId="21A7172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c>
          <w:tcPr>
            <w:tcW w:w="737" w:type="dxa"/>
            <w:gridSpan w:val="2"/>
            <w:tcBorders>
              <w:top w:val="single" w:sz="4" w:space="0" w:color="auto"/>
              <w:left w:val="nil"/>
              <w:bottom w:val="single" w:sz="4" w:space="0" w:color="auto"/>
              <w:right w:val="single" w:sz="4" w:space="0" w:color="auto"/>
            </w:tcBorders>
            <w:shd w:val="clear" w:color="auto" w:fill="auto"/>
          </w:tcPr>
          <w:p w14:paraId="2230EF7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WiFi</w:t>
            </w:r>
          </w:p>
        </w:tc>
        <w:tc>
          <w:tcPr>
            <w:tcW w:w="738" w:type="dxa"/>
            <w:gridSpan w:val="2"/>
            <w:tcBorders>
              <w:top w:val="single" w:sz="4" w:space="0" w:color="auto"/>
              <w:left w:val="nil"/>
              <w:bottom w:val="single" w:sz="4" w:space="0" w:color="auto"/>
              <w:right w:val="single" w:sz="4" w:space="0" w:color="auto"/>
            </w:tcBorders>
            <w:shd w:val="clear" w:color="auto" w:fill="auto"/>
          </w:tcPr>
          <w:p w14:paraId="4A5E909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Wi-Fi in WiFi+</w:t>
            </w:r>
            <w:r w:rsidRPr="00536CFD">
              <w:rPr>
                <w:rFonts w:eastAsia="SimSun"/>
                <w:sz w:val="20"/>
                <w:szCs w:val="20"/>
                <w:lang w:bidi="ar"/>
              </w:rPr>
              <w:br/>
              <w:t>NR-U</w:t>
            </w:r>
          </w:p>
        </w:tc>
        <w:tc>
          <w:tcPr>
            <w:tcW w:w="737" w:type="dxa"/>
            <w:gridSpan w:val="2"/>
            <w:tcBorders>
              <w:top w:val="single" w:sz="4" w:space="0" w:color="auto"/>
              <w:left w:val="nil"/>
              <w:bottom w:val="single" w:sz="4" w:space="0" w:color="auto"/>
              <w:right w:val="single" w:sz="4" w:space="0" w:color="auto"/>
            </w:tcBorders>
            <w:shd w:val="clear" w:color="auto" w:fill="auto"/>
          </w:tcPr>
          <w:p w14:paraId="28DD3F0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WiFi+  NR-U</w:t>
            </w:r>
          </w:p>
        </w:tc>
        <w:tc>
          <w:tcPr>
            <w:tcW w:w="738" w:type="dxa"/>
            <w:gridSpan w:val="2"/>
            <w:tcBorders>
              <w:top w:val="single" w:sz="4" w:space="0" w:color="auto"/>
              <w:left w:val="nil"/>
              <w:bottom w:val="single" w:sz="4" w:space="0" w:color="auto"/>
              <w:right w:val="single" w:sz="4" w:space="0" w:color="auto"/>
            </w:tcBorders>
            <w:shd w:val="clear" w:color="auto" w:fill="auto"/>
          </w:tcPr>
          <w:p w14:paraId="4AC7D16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NR-U in NR-U+  NR-U</w:t>
            </w:r>
          </w:p>
        </w:tc>
      </w:tr>
      <w:tr w:rsidR="004346F3" w:rsidRPr="00536CFD" w14:paraId="22CFA86E" w14:textId="77777777" w:rsidTr="00802ABC">
        <w:trPr>
          <w:cantSplit/>
          <w:trHeight w:val="20"/>
        </w:trPr>
        <w:tc>
          <w:tcPr>
            <w:tcW w:w="288" w:type="dxa"/>
            <w:vMerge w:val="restart"/>
            <w:tcBorders>
              <w:top w:val="nil"/>
              <w:left w:val="single" w:sz="4" w:space="0" w:color="auto"/>
              <w:bottom w:val="single" w:sz="4" w:space="0" w:color="auto"/>
              <w:right w:val="single" w:sz="4" w:space="0" w:color="auto"/>
            </w:tcBorders>
            <w:shd w:val="clear" w:color="auto" w:fill="auto"/>
            <w:textDirection w:val="btLr"/>
          </w:tcPr>
          <w:p w14:paraId="4DEB471F" w14:textId="77777777" w:rsidR="004346F3" w:rsidRPr="00536CFD" w:rsidRDefault="004346F3" w:rsidP="00802ABC">
            <w:pPr>
              <w:pStyle w:val="NormalWeb"/>
              <w:spacing w:before="0" w:beforeAutospacing="0" w:after="0" w:afterAutospacing="0"/>
              <w:ind w:left="113" w:right="113"/>
              <w:jc w:val="center"/>
              <w:rPr>
                <w:rFonts w:eastAsia="SimSun"/>
                <w:sz w:val="20"/>
                <w:szCs w:val="20"/>
              </w:rPr>
            </w:pPr>
            <w:r w:rsidRPr="00536CFD">
              <w:rPr>
                <w:rFonts w:eastAsia="SimSun"/>
                <w:sz w:val="20"/>
                <w:szCs w:val="20"/>
                <w:lang w:bidi="ar"/>
              </w:rPr>
              <w:t>R1-1814085/Source 4</w:t>
            </w:r>
          </w:p>
        </w:tc>
        <w:tc>
          <w:tcPr>
            <w:tcW w:w="612" w:type="dxa"/>
            <w:gridSpan w:val="2"/>
            <w:vMerge w:val="restart"/>
            <w:tcBorders>
              <w:top w:val="nil"/>
              <w:left w:val="nil"/>
              <w:bottom w:val="single" w:sz="4" w:space="0" w:color="auto"/>
              <w:right w:val="single" w:sz="4" w:space="0" w:color="auto"/>
            </w:tcBorders>
            <w:shd w:val="clear" w:color="auto" w:fill="auto"/>
          </w:tcPr>
          <w:p w14:paraId="5614403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61F02A3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center"/>
          </w:tcPr>
          <w:p w14:paraId="558F53B8" w14:textId="77777777" w:rsidR="004346F3" w:rsidRPr="00536CFD" w:rsidRDefault="004346F3" w:rsidP="00802ABC">
            <w:pPr>
              <w:spacing w:after="0"/>
              <w:jc w:val="center"/>
              <w:rPr>
                <w:lang w:val="zh-CN"/>
              </w:rPr>
            </w:pPr>
            <w:r w:rsidRPr="00536CFD">
              <w:rPr>
                <w:lang w:eastAsia="x-none"/>
              </w:rPr>
              <w:t>12.99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68BA357" w14:textId="77777777" w:rsidR="004346F3" w:rsidRPr="00536CFD" w:rsidRDefault="004346F3" w:rsidP="00802ABC">
            <w:pPr>
              <w:spacing w:after="0"/>
              <w:jc w:val="center"/>
              <w:rPr>
                <w:lang w:val="zh-CN"/>
              </w:rPr>
            </w:pPr>
            <w:r w:rsidRPr="00536CFD">
              <w:rPr>
                <w:lang w:eastAsia="x-none"/>
              </w:rPr>
              <w:t>15.17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6063737" w14:textId="77777777" w:rsidR="004346F3" w:rsidRPr="00536CFD" w:rsidRDefault="004346F3" w:rsidP="00802ABC">
            <w:pPr>
              <w:spacing w:after="0"/>
              <w:jc w:val="center"/>
              <w:rPr>
                <w:lang w:val="zh-CN"/>
              </w:rPr>
            </w:pPr>
            <w:r w:rsidRPr="00536CFD">
              <w:rPr>
                <w:lang w:eastAsia="x-none"/>
              </w:rPr>
              <w:t>29.74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7812781" w14:textId="77777777" w:rsidR="004346F3" w:rsidRPr="00536CFD" w:rsidRDefault="004346F3" w:rsidP="00802ABC">
            <w:pPr>
              <w:spacing w:after="0"/>
              <w:jc w:val="center"/>
              <w:rPr>
                <w:lang w:val="zh-CN"/>
              </w:rPr>
            </w:pPr>
            <w:r w:rsidRPr="00536CFD">
              <w:rPr>
                <w:lang w:eastAsia="x-none"/>
              </w:rPr>
              <w:t>27.96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0D53044" w14:textId="77777777" w:rsidR="004346F3" w:rsidRPr="00536CFD" w:rsidRDefault="004346F3" w:rsidP="00802ABC">
            <w:pPr>
              <w:spacing w:after="0"/>
              <w:jc w:val="center"/>
              <w:rPr>
                <w:lang w:val="zh-CN"/>
              </w:rPr>
            </w:pPr>
            <w:r w:rsidRPr="00536CFD">
              <w:rPr>
                <w:lang w:eastAsia="x-none"/>
              </w:rPr>
              <w:t>2.75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DA98795" w14:textId="77777777" w:rsidR="004346F3" w:rsidRPr="00536CFD" w:rsidRDefault="004346F3" w:rsidP="00802ABC">
            <w:pPr>
              <w:spacing w:after="0"/>
              <w:jc w:val="center"/>
              <w:rPr>
                <w:lang w:val="zh-CN"/>
              </w:rPr>
            </w:pPr>
            <w:r w:rsidRPr="00536CFD">
              <w:rPr>
                <w:lang w:eastAsia="x-none"/>
              </w:rPr>
              <w:t>9.54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BC321AB" w14:textId="77777777" w:rsidR="004346F3" w:rsidRPr="00536CFD" w:rsidRDefault="004346F3" w:rsidP="00802ABC">
            <w:pPr>
              <w:spacing w:after="0"/>
              <w:jc w:val="center"/>
              <w:rPr>
                <w:lang w:val="zh-CN"/>
              </w:rPr>
            </w:pPr>
            <w:r w:rsidRPr="00536CFD">
              <w:rPr>
                <w:lang w:eastAsia="x-none"/>
              </w:rPr>
              <w:t>20.96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7EF5BFC" w14:textId="77777777" w:rsidR="004346F3" w:rsidRPr="00536CFD" w:rsidRDefault="004346F3" w:rsidP="00802ABC">
            <w:pPr>
              <w:spacing w:after="0"/>
              <w:jc w:val="center"/>
              <w:rPr>
                <w:lang w:val="zh-CN"/>
              </w:rPr>
            </w:pPr>
            <w:r w:rsidRPr="00536CFD">
              <w:rPr>
                <w:lang w:eastAsia="x-none"/>
              </w:rPr>
              <w:t>21.64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4A8BB99" w14:textId="77777777" w:rsidR="004346F3" w:rsidRPr="00536CFD" w:rsidRDefault="004346F3" w:rsidP="00802ABC">
            <w:pPr>
              <w:spacing w:after="0"/>
              <w:jc w:val="center"/>
              <w:rPr>
                <w:lang w:val="zh-CN"/>
              </w:rPr>
            </w:pPr>
            <w:r w:rsidRPr="00536CFD">
              <w:rPr>
                <w:lang w:eastAsia="x-none"/>
              </w:rPr>
              <w:t>0.61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831A963" w14:textId="77777777" w:rsidR="004346F3" w:rsidRPr="00536CFD" w:rsidRDefault="004346F3" w:rsidP="00802ABC">
            <w:pPr>
              <w:spacing w:after="0"/>
              <w:jc w:val="center"/>
              <w:rPr>
                <w:lang w:val="zh-CN"/>
              </w:rPr>
            </w:pPr>
            <w:r w:rsidRPr="00536CFD">
              <w:rPr>
                <w:lang w:eastAsia="x-none"/>
              </w:rPr>
              <w:t>5.25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43BF569" w14:textId="77777777" w:rsidR="004346F3" w:rsidRPr="00536CFD" w:rsidRDefault="004346F3" w:rsidP="00802ABC">
            <w:pPr>
              <w:spacing w:after="0"/>
              <w:jc w:val="center"/>
              <w:rPr>
                <w:lang w:val="zh-CN"/>
              </w:rPr>
            </w:pPr>
            <w:r w:rsidRPr="00536CFD">
              <w:rPr>
                <w:lang w:eastAsia="x-none"/>
              </w:rPr>
              <w:t>17.28</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B428AB2" w14:textId="77777777" w:rsidR="004346F3" w:rsidRPr="00536CFD" w:rsidRDefault="004346F3" w:rsidP="00802ABC">
            <w:pPr>
              <w:spacing w:after="0"/>
              <w:jc w:val="center"/>
              <w:rPr>
                <w:lang w:val="zh-CN"/>
              </w:rPr>
            </w:pPr>
            <w:r w:rsidRPr="00536CFD">
              <w:rPr>
                <w:lang w:eastAsia="x-none"/>
              </w:rPr>
              <w:t>16.80</w:t>
            </w:r>
          </w:p>
        </w:tc>
      </w:tr>
      <w:tr w:rsidR="004346F3" w:rsidRPr="00536CFD" w14:paraId="4577C605"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37D4EAB"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493FAD45"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AE6FDE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center"/>
          </w:tcPr>
          <w:p w14:paraId="7AA7EFA4" w14:textId="77777777" w:rsidR="004346F3" w:rsidRPr="00536CFD" w:rsidRDefault="004346F3" w:rsidP="00802ABC">
            <w:pPr>
              <w:spacing w:after="0"/>
              <w:jc w:val="center"/>
              <w:rPr>
                <w:lang w:val="zh-CN"/>
              </w:rPr>
            </w:pPr>
            <w:r w:rsidRPr="00536CFD">
              <w:rPr>
                <w:lang w:eastAsia="x-none"/>
              </w:rPr>
              <w:t>49.24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7A16D87" w14:textId="77777777" w:rsidR="004346F3" w:rsidRPr="00536CFD" w:rsidRDefault="004346F3" w:rsidP="00802ABC">
            <w:pPr>
              <w:spacing w:after="0"/>
              <w:jc w:val="center"/>
              <w:rPr>
                <w:lang w:val="zh-CN"/>
              </w:rPr>
            </w:pPr>
            <w:r w:rsidRPr="00536CFD">
              <w:rPr>
                <w:lang w:eastAsia="x-none"/>
              </w:rPr>
              <w:t>53.40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6F38CC4" w14:textId="77777777" w:rsidR="004346F3" w:rsidRPr="00536CFD" w:rsidRDefault="004346F3" w:rsidP="00802ABC">
            <w:pPr>
              <w:spacing w:after="0"/>
              <w:jc w:val="center"/>
              <w:rPr>
                <w:lang w:val="zh-CN"/>
              </w:rPr>
            </w:pPr>
            <w:r w:rsidRPr="00536CFD">
              <w:rPr>
                <w:lang w:eastAsia="x-none"/>
              </w:rPr>
              <w:t>80.19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86C01EF" w14:textId="77777777" w:rsidR="004346F3" w:rsidRPr="00536CFD" w:rsidRDefault="004346F3" w:rsidP="00802ABC">
            <w:pPr>
              <w:spacing w:after="0"/>
              <w:jc w:val="center"/>
              <w:rPr>
                <w:lang w:val="zh-CN"/>
              </w:rPr>
            </w:pPr>
            <w:r w:rsidRPr="00536CFD">
              <w:rPr>
                <w:lang w:eastAsia="x-none"/>
              </w:rPr>
              <w:t>78.03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29319A6" w14:textId="77777777" w:rsidR="004346F3" w:rsidRPr="00536CFD" w:rsidRDefault="004346F3" w:rsidP="00802ABC">
            <w:pPr>
              <w:spacing w:after="0"/>
              <w:jc w:val="center"/>
              <w:rPr>
                <w:lang w:val="zh-CN"/>
              </w:rPr>
            </w:pPr>
            <w:r w:rsidRPr="00536CFD">
              <w:rPr>
                <w:lang w:eastAsia="x-none"/>
              </w:rPr>
              <w:t>26.27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04BB765" w14:textId="77777777" w:rsidR="004346F3" w:rsidRPr="00536CFD" w:rsidRDefault="004346F3" w:rsidP="00802ABC">
            <w:pPr>
              <w:spacing w:after="0"/>
              <w:jc w:val="center"/>
              <w:rPr>
                <w:lang w:val="zh-CN"/>
              </w:rPr>
            </w:pPr>
            <w:r w:rsidRPr="00536CFD">
              <w:rPr>
                <w:lang w:eastAsia="x-none"/>
              </w:rPr>
              <w:t>42.85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3C7591C" w14:textId="77777777" w:rsidR="004346F3" w:rsidRPr="00536CFD" w:rsidRDefault="004346F3" w:rsidP="00802ABC">
            <w:pPr>
              <w:spacing w:after="0"/>
              <w:jc w:val="center"/>
              <w:rPr>
                <w:lang w:val="zh-CN"/>
              </w:rPr>
            </w:pPr>
            <w:r w:rsidRPr="00536CFD">
              <w:rPr>
                <w:lang w:eastAsia="x-none"/>
              </w:rPr>
              <w:t>64.26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71B26295" w14:textId="77777777" w:rsidR="004346F3" w:rsidRPr="00536CFD" w:rsidRDefault="004346F3" w:rsidP="00802ABC">
            <w:pPr>
              <w:spacing w:after="0"/>
              <w:jc w:val="center"/>
              <w:rPr>
                <w:lang w:val="zh-CN"/>
              </w:rPr>
            </w:pPr>
            <w:r w:rsidRPr="00536CFD">
              <w:rPr>
                <w:lang w:eastAsia="x-none"/>
              </w:rPr>
              <w:t>64.80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37CDF0B" w14:textId="77777777" w:rsidR="004346F3" w:rsidRPr="00536CFD" w:rsidRDefault="004346F3" w:rsidP="00802ABC">
            <w:pPr>
              <w:spacing w:after="0"/>
              <w:jc w:val="center"/>
              <w:rPr>
                <w:lang w:val="zh-CN"/>
              </w:rPr>
            </w:pPr>
            <w:r w:rsidRPr="00536CFD">
              <w:rPr>
                <w:lang w:eastAsia="x-none"/>
              </w:rPr>
              <w:t>14.38</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48859F02" w14:textId="77777777" w:rsidR="004346F3" w:rsidRPr="00536CFD" w:rsidRDefault="004346F3" w:rsidP="00802ABC">
            <w:pPr>
              <w:spacing w:after="0"/>
              <w:jc w:val="center"/>
              <w:rPr>
                <w:lang w:val="zh-CN"/>
              </w:rPr>
            </w:pPr>
            <w:r w:rsidRPr="00536CFD">
              <w:rPr>
                <w:lang w:eastAsia="x-none"/>
              </w:rPr>
              <w:t>33.25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931ECCA" w14:textId="77777777" w:rsidR="004346F3" w:rsidRPr="00536CFD" w:rsidRDefault="004346F3" w:rsidP="00802ABC">
            <w:pPr>
              <w:spacing w:after="0"/>
              <w:jc w:val="center"/>
              <w:rPr>
                <w:lang w:val="zh-CN"/>
              </w:rPr>
            </w:pPr>
            <w:r w:rsidRPr="00536CFD">
              <w:rPr>
                <w:lang w:eastAsia="x-none"/>
              </w:rPr>
              <w:t>52.21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1B55CBCA" w14:textId="77777777" w:rsidR="004346F3" w:rsidRPr="00536CFD" w:rsidRDefault="004346F3" w:rsidP="00802ABC">
            <w:pPr>
              <w:spacing w:after="0"/>
              <w:jc w:val="center"/>
              <w:rPr>
                <w:lang w:val="zh-CN"/>
              </w:rPr>
            </w:pPr>
            <w:r w:rsidRPr="00536CFD">
              <w:rPr>
                <w:lang w:eastAsia="x-none"/>
              </w:rPr>
              <w:t>56.83</w:t>
            </w:r>
          </w:p>
        </w:tc>
      </w:tr>
      <w:tr w:rsidR="004346F3" w:rsidRPr="00536CFD" w14:paraId="1B61113A"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EF48C27"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6B181F2"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02D2E93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center"/>
          </w:tcPr>
          <w:p w14:paraId="7049EE0B" w14:textId="77777777" w:rsidR="004346F3" w:rsidRPr="00536CFD" w:rsidRDefault="004346F3" w:rsidP="00802ABC">
            <w:pPr>
              <w:spacing w:after="0"/>
              <w:jc w:val="center"/>
              <w:rPr>
                <w:lang w:val="zh-CN"/>
              </w:rPr>
            </w:pPr>
            <w:r w:rsidRPr="00536CFD">
              <w:rPr>
                <w:lang w:eastAsia="x-none"/>
              </w:rPr>
              <w:t>77.43</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F3E20FF" w14:textId="77777777" w:rsidR="004346F3" w:rsidRPr="00536CFD" w:rsidRDefault="004346F3" w:rsidP="00802ABC">
            <w:pPr>
              <w:spacing w:after="0"/>
              <w:jc w:val="center"/>
              <w:rPr>
                <w:lang w:val="zh-CN"/>
              </w:rPr>
            </w:pPr>
            <w:r w:rsidRPr="00536CFD">
              <w:rPr>
                <w:lang w:eastAsia="x-none"/>
              </w:rPr>
              <w:t>77.62</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D84B0EC" w14:textId="77777777" w:rsidR="004346F3" w:rsidRPr="00536CFD" w:rsidRDefault="004346F3" w:rsidP="00802ABC">
            <w:pPr>
              <w:spacing w:after="0"/>
              <w:jc w:val="center"/>
              <w:rPr>
                <w:lang w:val="zh-CN"/>
              </w:rPr>
            </w:pPr>
            <w:r w:rsidRPr="00536CFD">
              <w:rPr>
                <w:lang w:eastAsia="x-none"/>
              </w:rPr>
              <w:t>101.02</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6844938" w14:textId="77777777" w:rsidR="004346F3" w:rsidRPr="00536CFD" w:rsidRDefault="004346F3" w:rsidP="00802ABC">
            <w:pPr>
              <w:spacing w:after="0"/>
              <w:jc w:val="center"/>
              <w:rPr>
                <w:lang w:val="zh-CN"/>
              </w:rPr>
            </w:pPr>
            <w:r w:rsidRPr="00536CFD">
              <w:rPr>
                <w:lang w:eastAsia="x-none"/>
              </w:rPr>
              <w:t>100.93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BF9AA01" w14:textId="77777777" w:rsidR="004346F3" w:rsidRPr="00536CFD" w:rsidRDefault="004346F3" w:rsidP="00802ABC">
            <w:pPr>
              <w:spacing w:after="0"/>
              <w:jc w:val="center"/>
              <w:rPr>
                <w:lang w:val="zh-CN"/>
              </w:rPr>
            </w:pPr>
            <w:r w:rsidRPr="00536CFD">
              <w:rPr>
                <w:lang w:eastAsia="x-none"/>
              </w:rPr>
              <w:t>72.25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3FBDF33" w14:textId="77777777" w:rsidR="004346F3" w:rsidRPr="00536CFD" w:rsidRDefault="004346F3" w:rsidP="00802ABC">
            <w:pPr>
              <w:spacing w:after="0"/>
              <w:jc w:val="center"/>
              <w:rPr>
                <w:lang w:val="zh-CN"/>
              </w:rPr>
            </w:pPr>
            <w:r w:rsidRPr="00536CFD">
              <w:rPr>
                <w:lang w:eastAsia="x-none"/>
              </w:rPr>
              <w:t>77.20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0AE84AA" w14:textId="77777777" w:rsidR="004346F3" w:rsidRPr="00536CFD" w:rsidRDefault="004346F3" w:rsidP="00802ABC">
            <w:pPr>
              <w:spacing w:after="0"/>
              <w:jc w:val="center"/>
              <w:rPr>
                <w:lang w:val="zh-CN"/>
              </w:rPr>
            </w:pPr>
            <w:r w:rsidRPr="00536CFD">
              <w:rPr>
                <w:lang w:eastAsia="x-none"/>
              </w:rPr>
              <w:t>100.91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2243F21" w14:textId="77777777" w:rsidR="004346F3" w:rsidRPr="00536CFD" w:rsidRDefault="004346F3" w:rsidP="00802ABC">
            <w:pPr>
              <w:spacing w:after="0"/>
              <w:jc w:val="center"/>
              <w:rPr>
                <w:lang w:val="zh-CN"/>
              </w:rPr>
            </w:pPr>
            <w:r w:rsidRPr="00536CFD">
              <w:rPr>
                <w:lang w:eastAsia="x-none"/>
              </w:rPr>
              <w:t>100.84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396B8DE" w14:textId="77777777" w:rsidR="004346F3" w:rsidRPr="00536CFD" w:rsidRDefault="004346F3" w:rsidP="00802ABC">
            <w:pPr>
              <w:spacing w:after="0"/>
              <w:jc w:val="center"/>
              <w:rPr>
                <w:lang w:val="zh-CN"/>
              </w:rPr>
            </w:pPr>
            <w:r w:rsidRPr="00536CFD">
              <w:rPr>
                <w:lang w:eastAsia="x-none"/>
              </w:rPr>
              <w:t>60.86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83EFB5B" w14:textId="77777777" w:rsidR="004346F3" w:rsidRPr="00536CFD" w:rsidRDefault="004346F3" w:rsidP="00802ABC">
            <w:pPr>
              <w:spacing w:after="0"/>
              <w:jc w:val="center"/>
              <w:rPr>
                <w:lang w:val="zh-CN"/>
              </w:rPr>
            </w:pPr>
            <w:r w:rsidRPr="00536CFD">
              <w:rPr>
                <w:lang w:eastAsia="x-none"/>
              </w:rPr>
              <w:t>76.54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033DC2AE" w14:textId="77777777" w:rsidR="004346F3" w:rsidRPr="00536CFD" w:rsidRDefault="004346F3" w:rsidP="00802ABC">
            <w:pPr>
              <w:spacing w:after="0"/>
              <w:jc w:val="center"/>
              <w:rPr>
                <w:lang w:val="zh-CN"/>
              </w:rPr>
            </w:pPr>
            <w:r w:rsidRPr="00536CFD">
              <w:rPr>
                <w:lang w:eastAsia="x-none"/>
              </w:rPr>
              <w:t>100.52</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36240E9" w14:textId="77777777" w:rsidR="004346F3" w:rsidRPr="00536CFD" w:rsidRDefault="004346F3" w:rsidP="00802ABC">
            <w:pPr>
              <w:spacing w:after="0"/>
              <w:jc w:val="center"/>
              <w:rPr>
                <w:lang w:val="zh-CN"/>
              </w:rPr>
            </w:pPr>
            <w:r w:rsidRPr="00536CFD">
              <w:rPr>
                <w:lang w:eastAsia="x-none"/>
              </w:rPr>
              <w:t>100.66</w:t>
            </w:r>
          </w:p>
        </w:tc>
      </w:tr>
      <w:tr w:rsidR="004346F3" w:rsidRPr="00536CFD" w14:paraId="4C12463F"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5DE9BBC"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780967F1"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BE5711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center"/>
          </w:tcPr>
          <w:p w14:paraId="4C2FCEBA" w14:textId="77777777" w:rsidR="004346F3" w:rsidRPr="00536CFD" w:rsidRDefault="004346F3" w:rsidP="00802ABC">
            <w:pPr>
              <w:spacing w:after="0"/>
              <w:jc w:val="center"/>
              <w:rPr>
                <w:lang w:val="zh-CN"/>
              </w:rPr>
            </w:pPr>
            <w:r w:rsidRPr="00536CFD">
              <w:rPr>
                <w:lang w:eastAsia="x-none"/>
              </w:rPr>
              <w:t>47.95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11A93D4" w14:textId="77777777" w:rsidR="004346F3" w:rsidRPr="00536CFD" w:rsidRDefault="004346F3" w:rsidP="00802ABC">
            <w:pPr>
              <w:spacing w:after="0"/>
              <w:jc w:val="center"/>
              <w:rPr>
                <w:lang w:val="zh-CN"/>
              </w:rPr>
            </w:pPr>
            <w:r w:rsidRPr="00536CFD">
              <w:rPr>
                <w:lang w:eastAsia="x-none"/>
              </w:rPr>
              <w:t>51.31</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3A6192F" w14:textId="77777777" w:rsidR="004346F3" w:rsidRPr="00536CFD" w:rsidRDefault="004346F3" w:rsidP="00802ABC">
            <w:pPr>
              <w:spacing w:after="0"/>
              <w:jc w:val="center"/>
              <w:rPr>
                <w:lang w:val="zh-CN"/>
              </w:rPr>
            </w:pPr>
            <w:r w:rsidRPr="00536CFD">
              <w:rPr>
                <w:lang w:eastAsia="x-none"/>
              </w:rPr>
              <w:t>73.89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62112DE" w14:textId="77777777" w:rsidR="004346F3" w:rsidRPr="00536CFD" w:rsidRDefault="004346F3" w:rsidP="00802ABC">
            <w:pPr>
              <w:spacing w:after="0"/>
              <w:jc w:val="center"/>
              <w:rPr>
                <w:lang w:val="zh-CN"/>
              </w:rPr>
            </w:pPr>
            <w:r w:rsidRPr="00536CFD">
              <w:rPr>
                <w:lang w:eastAsia="x-none"/>
              </w:rPr>
              <w:t>72.61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DDD8C9D" w14:textId="77777777" w:rsidR="004346F3" w:rsidRPr="00536CFD" w:rsidRDefault="004346F3" w:rsidP="00802ABC">
            <w:pPr>
              <w:spacing w:after="0"/>
              <w:jc w:val="center"/>
              <w:rPr>
                <w:lang w:val="zh-CN"/>
              </w:rPr>
            </w:pPr>
            <w:r w:rsidRPr="00536CFD">
              <w:rPr>
                <w:lang w:eastAsia="x-none"/>
              </w:rPr>
              <w:t>30.52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7684532" w14:textId="77777777" w:rsidR="004346F3" w:rsidRPr="00536CFD" w:rsidRDefault="004346F3" w:rsidP="00802ABC">
            <w:pPr>
              <w:spacing w:after="0"/>
              <w:jc w:val="center"/>
              <w:rPr>
                <w:lang w:val="zh-CN"/>
              </w:rPr>
            </w:pPr>
            <w:r w:rsidRPr="00536CFD">
              <w:rPr>
                <w:lang w:eastAsia="x-none"/>
              </w:rPr>
              <w:t>43.38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63340B2" w14:textId="77777777" w:rsidR="004346F3" w:rsidRPr="00536CFD" w:rsidRDefault="004346F3" w:rsidP="00802ABC">
            <w:pPr>
              <w:spacing w:after="0"/>
              <w:jc w:val="center"/>
              <w:rPr>
                <w:lang w:val="zh-CN"/>
              </w:rPr>
            </w:pPr>
            <w:r w:rsidRPr="00536CFD">
              <w:rPr>
                <w:lang w:eastAsia="x-none"/>
              </w:rPr>
              <w:t>65.34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745A29D" w14:textId="77777777" w:rsidR="004346F3" w:rsidRPr="00536CFD" w:rsidRDefault="004346F3" w:rsidP="00802ABC">
            <w:pPr>
              <w:spacing w:after="0"/>
              <w:jc w:val="center"/>
              <w:rPr>
                <w:lang w:val="zh-CN"/>
              </w:rPr>
            </w:pPr>
            <w:r w:rsidRPr="00536CFD">
              <w:rPr>
                <w:lang w:eastAsia="x-none"/>
              </w:rPr>
              <w:t>65.35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57C327B" w14:textId="77777777" w:rsidR="004346F3" w:rsidRPr="00536CFD" w:rsidRDefault="004346F3" w:rsidP="00802ABC">
            <w:pPr>
              <w:spacing w:after="0"/>
              <w:jc w:val="center"/>
              <w:rPr>
                <w:lang w:val="zh-CN"/>
              </w:rPr>
            </w:pPr>
            <w:r w:rsidRPr="00536CFD">
              <w:rPr>
                <w:lang w:eastAsia="x-none"/>
              </w:rPr>
              <w:t>20.58</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18A98389" w14:textId="77777777" w:rsidR="004346F3" w:rsidRPr="00536CFD" w:rsidRDefault="004346F3" w:rsidP="00802ABC">
            <w:pPr>
              <w:spacing w:after="0"/>
              <w:jc w:val="center"/>
              <w:rPr>
                <w:lang w:val="zh-CN"/>
              </w:rPr>
            </w:pPr>
            <w:r w:rsidRPr="00536CFD">
              <w:rPr>
                <w:lang w:eastAsia="x-none"/>
              </w:rPr>
              <w:t>36.64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A27D2FF" w14:textId="77777777" w:rsidR="004346F3" w:rsidRPr="00536CFD" w:rsidRDefault="004346F3" w:rsidP="00802ABC">
            <w:pPr>
              <w:spacing w:after="0"/>
              <w:jc w:val="center"/>
              <w:rPr>
                <w:lang w:val="zh-CN"/>
              </w:rPr>
            </w:pPr>
            <w:r w:rsidRPr="00536CFD">
              <w:rPr>
                <w:lang w:eastAsia="x-none"/>
              </w:rPr>
              <w:t>57.39</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4D64B44" w14:textId="77777777" w:rsidR="004346F3" w:rsidRPr="00536CFD" w:rsidRDefault="004346F3" w:rsidP="00802ABC">
            <w:pPr>
              <w:spacing w:after="0"/>
              <w:jc w:val="center"/>
              <w:rPr>
                <w:lang w:val="zh-CN"/>
              </w:rPr>
            </w:pPr>
            <w:r w:rsidRPr="00536CFD">
              <w:rPr>
                <w:lang w:eastAsia="x-none"/>
              </w:rPr>
              <w:t>59.65</w:t>
            </w:r>
          </w:p>
        </w:tc>
      </w:tr>
      <w:tr w:rsidR="004346F3" w:rsidRPr="00536CFD" w14:paraId="4FA69F42"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41DB0DB"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3216B6D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2C707A7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center"/>
          </w:tcPr>
          <w:p w14:paraId="721721CF"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C7908B1"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A4F704D" w14:textId="77777777" w:rsidR="004346F3" w:rsidRPr="00536CFD" w:rsidRDefault="004346F3" w:rsidP="00802ABC">
            <w:pPr>
              <w:spacing w:after="0"/>
              <w:jc w:val="center"/>
              <w:rPr>
                <w:lang w:val="zh-CN"/>
              </w:rPr>
            </w:pPr>
            <w:r w:rsidRPr="00536CFD">
              <w:rPr>
                <w:lang w:eastAsia="x-none"/>
              </w:rPr>
              <w:t>0.04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4941981" w14:textId="77777777" w:rsidR="004346F3" w:rsidRPr="00536CFD" w:rsidRDefault="004346F3" w:rsidP="00802ABC">
            <w:pPr>
              <w:spacing w:after="0"/>
              <w:jc w:val="center"/>
              <w:rPr>
                <w:lang w:val="zh-CN"/>
              </w:rPr>
            </w:pPr>
            <w:r w:rsidRPr="00536CFD">
              <w:rPr>
                <w:lang w:eastAsia="x-none"/>
              </w:rPr>
              <w:t>0.04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0A35A68" w14:textId="77777777" w:rsidR="004346F3" w:rsidRPr="00536CFD" w:rsidRDefault="004346F3" w:rsidP="00802ABC">
            <w:pPr>
              <w:spacing w:after="0"/>
              <w:jc w:val="center"/>
              <w:rPr>
                <w:lang w:val="zh-CN"/>
              </w:rPr>
            </w:pPr>
            <w:r w:rsidRPr="00536CFD">
              <w:rPr>
                <w:lang w:eastAsia="x-none"/>
              </w:rPr>
              <w:t>0.06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5D01AE1"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BA3EE14" w14:textId="77777777" w:rsidR="004346F3" w:rsidRPr="00536CFD" w:rsidRDefault="004346F3" w:rsidP="00802ABC">
            <w:pPr>
              <w:spacing w:after="0"/>
              <w:jc w:val="center"/>
              <w:rPr>
                <w:lang w:val="zh-CN"/>
              </w:rPr>
            </w:pPr>
            <w:r w:rsidRPr="00536CFD">
              <w:rPr>
                <w:lang w:eastAsia="x-none"/>
              </w:rPr>
              <w:t>0.04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AF11B8E" w14:textId="77777777" w:rsidR="004346F3" w:rsidRPr="00536CFD" w:rsidRDefault="004346F3" w:rsidP="00802ABC">
            <w:pPr>
              <w:spacing w:after="0"/>
              <w:jc w:val="center"/>
              <w:rPr>
                <w:lang w:val="zh-CN"/>
              </w:rPr>
            </w:pPr>
            <w:r w:rsidRPr="00536CFD">
              <w:rPr>
                <w:lang w:eastAsia="x-none"/>
              </w:rPr>
              <w:t>0.04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EBAE974" w14:textId="77777777" w:rsidR="004346F3" w:rsidRPr="00536CFD" w:rsidRDefault="004346F3" w:rsidP="00802ABC">
            <w:pPr>
              <w:spacing w:after="0"/>
              <w:jc w:val="center"/>
              <w:rPr>
                <w:lang w:val="zh-CN"/>
              </w:rPr>
            </w:pPr>
            <w:r w:rsidRPr="00536CFD">
              <w:rPr>
                <w:lang w:eastAsia="x-none"/>
              </w:rPr>
              <w:t>0.07</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39B034C" w14:textId="77777777" w:rsidR="004346F3" w:rsidRPr="00536CFD" w:rsidRDefault="004346F3" w:rsidP="00802ABC">
            <w:pPr>
              <w:spacing w:after="0"/>
              <w:jc w:val="center"/>
              <w:rPr>
                <w:lang w:val="zh-CN"/>
              </w:rPr>
            </w:pPr>
            <w:r w:rsidRPr="00536CFD">
              <w:rPr>
                <w:lang w:eastAsia="x-none"/>
              </w:rPr>
              <w:t>0.05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CDA53B3" w14:textId="77777777" w:rsidR="004346F3" w:rsidRPr="00536CFD" w:rsidRDefault="004346F3" w:rsidP="00802ABC">
            <w:pPr>
              <w:spacing w:after="0"/>
              <w:jc w:val="center"/>
              <w:rPr>
                <w:lang w:val="zh-CN"/>
              </w:rPr>
            </w:pPr>
            <w:r w:rsidRPr="00536CFD">
              <w:rPr>
                <w:lang w:eastAsia="x-none"/>
              </w:rPr>
              <w:t>0.04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EC9D2BD" w14:textId="77777777" w:rsidR="004346F3" w:rsidRPr="00536CFD" w:rsidRDefault="004346F3" w:rsidP="00802ABC">
            <w:pPr>
              <w:spacing w:after="0"/>
              <w:jc w:val="center"/>
              <w:rPr>
                <w:lang w:val="zh-CN"/>
              </w:rPr>
            </w:pPr>
            <w:r w:rsidRPr="00536CFD">
              <w:rPr>
                <w:lang w:eastAsia="x-none"/>
              </w:rPr>
              <w:t>0.04</w:t>
            </w:r>
          </w:p>
        </w:tc>
      </w:tr>
      <w:tr w:rsidR="004346F3" w:rsidRPr="00536CFD" w14:paraId="5060FFCF"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63897E5"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0427FBC5"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0CF2644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center"/>
          </w:tcPr>
          <w:p w14:paraId="49FE8622" w14:textId="77777777" w:rsidR="004346F3" w:rsidRPr="00536CFD" w:rsidRDefault="004346F3" w:rsidP="00802ABC">
            <w:pPr>
              <w:spacing w:after="0"/>
              <w:jc w:val="center"/>
              <w:rPr>
                <w:lang w:val="zh-CN"/>
              </w:rPr>
            </w:pPr>
            <w:r w:rsidRPr="00536CFD">
              <w:rPr>
                <w:lang w:eastAsia="x-none"/>
              </w:rPr>
              <w:t>0.08</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46CADFA" w14:textId="77777777" w:rsidR="004346F3" w:rsidRPr="00536CFD" w:rsidRDefault="004346F3" w:rsidP="00802ABC">
            <w:pPr>
              <w:spacing w:after="0"/>
              <w:jc w:val="center"/>
              <w:rPr>
                <w:lang w:val="zh-CN"/>
              </w:rPr>
            </w:pPr>
            <w:r w:rsidRPr="00536CFD">
              <w:rPr>
                <w:lang w:eastAsia="x-none"/>
              </w:rPr>
              <w:t>0.07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85B31AE"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D8D9C3A"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CAF49DE" w14:textId="77777777" w:rsidR="004346F3" w:rsidRPr="00536CFD" w:rsidRDefault="004346F3" w:rsidP="00802ABC">
            <w:pPr>
              <w:spacing w:after="0"/>
              <w:jc w:val="center"/>
              <w:rPr>
                <w:lang w:val="zh-CN"/>
              </w:rPr>
            </w:pPr>
            <w:r w:rsidRPr="00536CFD">
              <w:rPr>
                <w:lang w:eastAsia="x-none"/>
              </w:rPr>
              <w:t>0.15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BB19999" w14:textId="77777777" w:rsidR="004346F3" w:rsidRPr="00536CFD" w:rsidRDefault="004346F3" w:rsidP="00802ABC">
            <w:pPr>
              <w:spacing w:after="0"/>
              <w:jc w:val="center"/>
              <w:rPr>
                <w:lang w:val="zh-CN"/>
              </w:rPr>
            </w:pPr>
            <w:r w:rsidRPr="00536CFD">
              <w:rPr>
                <w:lang w:eastAsia="x-none"/>
              </w:rPr>
              <w:t>0.09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75E5527" w14:textId="77777777" w:rsidR="004346F3" w:rsidRPr="00536CFD" w:rsidRDefault="004346F3" w:rsidP="00802ABC">
            <w:pPr>
              <w:spacing w:after="0"/>
              <w:jc w:val="center"/>
              <w:rPr>
                <w:lang w:val="zh-CN"/>
              </w:rPr>
            </w:pPr>
            <w:r w:rsidRPr="00536CFD">
              <w:rPr>
                <w:lang w:eastAsia="x-none"/>
              </w:rPr>
              <w:t>0.06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8F59973" w14:textId="77777777" w:rsidR="004346F3" w:rsidRPr="00536CFD" w:rsidRDefault="004346F3" w:rsidP="00802ABC">
            <w:pPr>
              <w:spacing w:after="0"/>
              <w:jc w:val="center"/>
              <w:rPr>
                <w:lang w:val="zh-CN"/>
              </w:rPr>
            </w:pPr>
            <w:r w:rsidRPr="00536CFD">
              <w:rPr>
                <w:lang w:eastAsia="x-none"/>
              </w:rPr>
              <w:t>0.06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10CBA46" w14:textId="77777777" w:rsidR="004346F3" w:rsidRPr="00536CFD" w:rsidRDefault="004346F3" w:rsidP="00802ABC">
            <w:pPr>
              <w:spacing w:after="0"/>
              <w:jc w:val="center"/>
              <w:rPr>
                <w:lang w:val="zh-CN"/>
              </w:rPr>
            </w:pPr>
            <w:r w:rsidRPr="00536CFD">
              <w:rPr>
                <w:lang w:eastAsia="x-none"/>
              </w:rPr>
              <w:t>0.26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4053060B" w14:textId="77777777" w:rsidR="004346F3" w:rsidRPr="00536CFD" w:rsidRDefault="004346F3" w:rsidP="00802ABC">
            <w:pPr>
              <w:spacing w:after="0"/>
              <w:jc w:val="center"/>
              <w:rPr>
                <w:lang w:val="zh-CN"/>
              </w:rPr>
            </w:pPr>
            <w:r w:rsidRPr="00536CFD">
              <w:rPr>
                <w:lang w:eastAsia="x-none"/>
              </w:rPr>
              <w:t>0.12</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C1B9C14" w14:textId="77777777" w:rsidR="004346F3" w:rsidRPr="00536CFD" w:rsidRDefault="004346F3" w:rsidP="00802ABC">
            <w:pPr>
              <w:spacing w:after="0"/>
              <w:jc w:val="center"/>
              <w:rPr>
                <w:lang w:val="zh-CN"/>
              </w:rPr>
            </w:pPr>
            <w:r w:rsidRPr="00536CFD">
              <w:rPr>
                <w:lang w:eastAsia="x-none"/>
              </w:rPr>
              <w:t>0.08</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A3F7B10" w14:textId="77777777" w:rsidR="004346F3" w:rsidRPr="00536CFD" w:rsidRDefault="004346F3" w:rsidP="00802ABC">
            <w:pPr>
              <w:spacing w:after="0"/>
              <w:jc w:val="center"/>
              <w:rPr>
                <w:lang w:val="zh-CN"/>
              </w:rPr>
            </w:pPr>
            <w:r w:rsidRPr="00536CFD">
              <w:rPr>
                <w:lang w:eastAsia="x-none"/>
              </w:rPr>
              <w:t>0.07</w:t>
            </w:r>
          </w:p>
        </w:tc>
      </w:tr>
      <w:tr w:rsidR="004346F3" w:rsidRPr="00536CFD" w14:paraId="0E30FB60"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44290BA"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78B6F1F4"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D6D1B4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center"/>
          </w:tcPr>
          <w:p w14:paraId="7DBCFD9C" w14:textId="77777777" w:rsidR="004346F3" w:rsidRPr="00536CFD" w:rsidRDefault="004346F3" w:rsidP="00802ABC">
            <w:pPr>
              <w:spacing w:after="0"/>
              <w:jc w:val="center"/>
              <w:rPr>
                <w:lang w:val="zh-CN"/>
              </w:rPr>
            </w:pPr>
            <w:r w:rsidRPr="00536CFD">
              <w:rPr>
                <w:lang w:eastAsia="x-none"/>
              </w:rPr>
              <w:t>0.30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65A430E" w14:textId="77777777" w:rsidR="004346F3" w:rsidRPr="00536CFD" w:rsidRDefault="004346F3" w:rsidP="00802ABC">
            <w:pPr>
              <w:spacing w:after="0"/>
              <w:jc w:val="center"/>
              <w:rPr>
                <w:lang w:val="zh-CN"/>
              </w:rPr>
            </w:pPr>
            <w:r w:rsidRPr="00536CFD">
              <w:rPr>
                <w:lang w:eastAsia="x-none"/>
              </w:rPr>
              <w:t>0.26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FCB53D0" w14:textId="77777777" w:rsidR="004346F3" w:rsidRPr="00536CFD" w:rsidRDefault="004346F3" w:rsidP="00802ABC">
            <w:pPr>
              <w:spacing w:after="0"/>
              <w:jc w:val="center"/>
              <w:rPr>
                <w:lang w:val="zh-CN"/>
              </w:rPr>
            </w:pPr>
            <w:r w:rsidRPr="00536CFD">
              <w:rPr>
                <w:lang w:eastAsia="x-none"/>
              </w:rPr>
              <w:t>0.13</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65B49B4" w14:textId="77777777" w:rsidR="004346F3" w:rsidRPr="00536CFD" w:rsidRDefault="004346F3" w:rsidP="00802ABC">
            <w:pPr>
              <w:spacing w:after="0"/>
              <w:jc w:val="center"/>
              <w:rPr>
                <w:lang w:val="zh-CN"/>
              </w:rPr>
            </w:pPr>
            <w:r w:rsidRPr="00536CFD">
              <w:rPr>
                <w:lang w:eastAsia="x-none"/>
              </w:rPr>
              <w:t>0.14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7272A86" w14:textId="77777777" w:rsidR="004346F3" w:rsidRPr="00536CFD" w:rsidRDefault="004346F3" w:rsidP="00802ABC">
            <w:pPr>
              <w:spacing w:after="0"/>
              <w:jc w:val="center"/>
              <w:rPr>
                <w:lang w:val="zh-CN"/>
              </w:rPr>
            </w:pPr>
            <w:r w:rsidRPr="00536CFD">
              <w:rPr>
                <w:lang w:eastAsia="x-none"/>
              </w:rPr>
              <w:t>1.17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4972FFF" w14:textId="77777777" w:rsidR="004346F3" w:rsidRPr="00536CFD" w:rsidRDefault="004346F3" w:rsidP="00802ABC">
            <w:pPr>
              <w:spacing w:after="0"/>
              <w:jc w:val="center"/>
              <w:rPr>
                <w:lang w:val="zh-CN"/>
              </w:rPr>
            </w:pPr>
            <w:r w:rsidRPr="00536CFD">
              <w:rPr>
                <w:lang w:eastAsia="x-none"/>
              </w:rPr>
              <w:t>0.41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771910E4" w14:textId="77777777" w:rsidR="004346F3" w:rsidRPr="00536CFD" w:rsidRDefault="004346F3" w:rsidP="00802ABC">
            <w:pPr>
              <w:spacing w:after="0"/>
              <w:jc w:val="center"/>
              <w:rPr>
                <w:lang w:val="zh-CN"/>
              </w:rPr>
            </w:pPr>
            <w:r w:rsidRPr="00536CFD">
              <w:rPr>
                <w:lang w:eastAsia="x-none"/>
              </w:rPr>
              <w:t>0.19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7A9F111" w14:textId="77777777" w:rsidR="004346F3" w:rsidRPr="00536CFD" w:rsidRDefault="004346F3" w:rsidP="00802ABC">
            <w:pPr>
              <w:spacing w:after="0"/>
              <w:jc w:val="center"/>
              <w:rPr>
                <w:lang w:val="zh-CN"/>
              </w:rPr>
            </w:pPr>
            <w:r w:rsidRPr="00536CFD">
              <w:rPr>
                <w:lang w:eastAsia="x-none"/>
              </w:rPr>
              <w:t>0.18</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D91E4ED" w14:textId="77777777" w:rsidR="004346F3" w:rsidRPr="00536CFD" w:rsidRDefault="004346F3" w:rsidP="00802ABC">
            <w:pPr>
              <w:spacing w:after="0"/>
              <w:jc w:val="center"/>
              <w:rPr>
                <w:lang w:val="zh-CN"/>
              </w:rPr>
            </w:pPr>
            <w:r w:rsidRPr="00536CFD">
              <w:rPr>
                <w:lang w:eastAsia="x-none"/>
              </w:rPr>
              <w:t>2.81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11084A71" w14:textId="77777777" w:rsidR="004346F3" w:rsidRPr="00536CFD" w:rsidRDefault="004346F3" w:rsidP="00802ABC">
            <w:pPr>
              <w:spacing w:after="0"/>
              <w:jc w:val="center"/>
              <w:rPr>
                <w:lang w:val="zh-CN"/>
              </w:rPr>
            </w:pPr>
            <w:r w:rsidRPr="00536CFD">
              <w:rPr>
                <w:lang w:eastAsia="x-none"/>
              </w:rPr>
              <w:t>0.66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061C8BB9" w14:textId="77777777" w:rsidR="004346F3" w:rsidRPr="00536CFD" w:rsidRDefault="004346F3" w:rsidP="00802ABC">
            <w:pPr>
              <w:spacing w:after="0"/>
              <w:jc w:val="center"/>
              <w:rPr>
                <w:lang w:val="zh-CN"/>
              </w:rPr>
            </w:pPr>
            <w:r w:rsidRPr="00536CFD">
              <w:rPr>
                <w:lang w:eastAsia="x-none"/>
              </w:rPr>
              <w:t>0.23</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1028F44E" w14:textId="77777777" w:rsidR="004346F3" w:rsidRPr="00536CFD" w:rsidRDefault="004346F3" w:rsidP="00802ABC">
            <w:pPr>
              <w:spacing w:after="0"/>
              <w:jc w:val="center"/>
              <w:rPr>
                <w:lang w:val="zh-CN"/>
              </w:rPr>
            </w:pPr>
            <w:r w:rsidRPr="00536CFD">
              <w:rPr>
                <w:lang w:eastAsia="x-none"/>
              </w:rPr>
              <w:t>0.23</w:t>
            </w:r>
          </w:p>
        </w:tc>
      </w:tr>
      <w:tr w:rsidR="004346F3" w:rsidRPr="00536CFD" w14:paraId="4B6D7261"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8285DB5"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0F9F9557"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7830E10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center"/>
          </w:tcPr>
          <w:p w14:paraId="0634B843" w14:textId="77777777" w:rsidR="004346F3" w:rsidRPr="00536CFD" w:rsidRDefault="004346F3" w:rsidP="00802ABC">
            <w:pPr>
              <w:spacing w:after="0"/>
              <w:jc w:val="center"/>
              <w:rPr>
                <w:lang w:val="zh-CN"/>
              </w:rPr>
            </w:pPr>
            <w:r w:rsidRPr="00536CFD">
              <w:rPr>
                <w:lang w:eastAsia="x-none"/>
              </w:rPr>
              <w:t>0.12</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F8D8E2D" w14:textId="77777777" w:rsidR="004346F3" w:rsidRPr="00536CFD" w:rsidRDefault="004346F3" w:rsidP="00802ABC">
            <w:pPr>
              <w:spacing w:after="0"/>
              <w:jc w:val="center"/>
              <w:rPr>
                <w:lang w:val="zh-CN"/>
              </w:rPr>
            </w:pPr>
            <w:r w:rsidRPr="00536CFD">
              <w:rPr>
                <w:lang w:eastAsia="x-none"/>
              </w:rPr>
              <w:t>0.10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49411C9" w14:textId="77777777" w:rsidR="004346F3" w:rsidRPr="00536CFD" w:rsidRDefault="004346F3" w:rsidP="00802ABC">
            <w:pPr>
              <w:spacing w:after="0"/>
              <w:jc w:val="center"/>
              <w:rPr>
                <w:lang w:val="zh-CN"/>
              </w:rPr>
            </w:pPr>
            <w:r w:rsidRPr="00536CFD">
              <w:rPr>
                <w:lang w:eastAsia="x-none"/>
              </w:rPr>
              <w:t>0.06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F7B4A20" w14:textId="77777777" w:rsidR="004346F3" w:rsidRPr="00536CFD" w:rsidRDefault="004346F3" w:rsidP="00802ABC">
            <w:pPr>
              <w:spacing w:after="0"/>
              <w:jc w:val="center"/>
              <w:rPr>
                <w:lang w:val="zh-CN"/>
              </w:rPr>
            </w:pPr>
            <w:r w:rsidRPr="00536CFD">
              <w:rPr>
                <w:lang w:eastAsia="x-none"/>
              </w:rPr>
              <w:t>0.07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7D77C00" w14:textId="77777777" w:rsidR="004346F3" w:rsidRPr="00536CFD" w:rsidRDefault="004346F3" w:rsidP="00802ABC">
            <w:pPr>
              <w:spacing w:after="0"/>
              <w:jc w:val="center"/>
              <w:rPr>
                <w:lang w:val="zh-CN"/>
              </w:rPr>
            </w:pPr>
            <w:r w:rsidRPr="00536CFD">
              <w:rPr>
                <w:lang w:eastAsia="x-none"/>
              </w:rPr>
              <w:t>0.34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0BCE5B1" w14:textId="77777777" w:rsidR="004346F3" w:rsidRPr="00536CFD" w:rsidRDefault="004346F3" w:rsidP="00802ABC">
            <w:pPr>
              <w:spacing w:after="0"/>
              <w:jc w:val="center"/>
              <w:rPr>
                <w:lang w:val="zh-CN"/>
              </w:rPr>
            </w:pPr>
            <w:r w:rsidRPr="00536CFD">
              <w:rPr>
                <w:lang w:eastAsia="x-none"/>
              </w:rPr>
              <w:t>0.15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9C47B09" w14:textId="77777777" w:rsidR="004346F3" w:rsidRPr="00536CFD" w:rsidRDefault="004346F3" w:rsidP="00802ABC">
            <w:pPr>
              <w:spacing w:after="0"/>
              <w:jc w:val="center"/>
              <w:rPr>
                <w:lang w:val="zh-CN"/>
              </w:rPr>
            </w:pPr>
            <w:r w:rsidRPr="00536CFD">
              <w:rPr>
                <w:lang w:eastAsia="x-none"/>
              </w:rPr>
              <w:t>0.08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1B0E9E7" w14:textId="77777777" w:rsidR="004346F3" w:rsidRPr="00536CFD" w:rsidRDefault="004346F3" w:rsidP="00802ABC">
            <w:pPr>
              <w:spacing w:after="0"/>
              <w:jc w:val="center"/>
              <w:rPr>
                <w:lang w:val="zh-CN"/>
              </w:rPr>
            </w:pPr>
            <w:r w:rsidRPr="00536CFD">
              <w:rPr>
                <w:lang w:eastAsia="x-none"/>
              </w:rPr>
              <w:t>0.08</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B0A1BDB" w14:textId="77777777" w:rsidR="004346F3" w:rsidRPr="00536CFD" w:rsidRDefault="004346F3" w:rsidP="00802ABC">
            <w:pPr>
              <w:spacing w:after="0"/>
              <w:jc w:val="center"/>
              <w:rPr>
                <w:lang w:val="zh-CN"/>
              </w:rPr>
            </w:pPr>
            <w:r w:rsidRPr="00536CFD">
              <w:rPr>
                <w:lang w:eastAsia="x-none"/>
              </w:rPr>
              <w:t>0.69</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DDB91B2" w14:textId="77777777" w:rsidR="004346F3" w:rsidRPr="00536CFD" w:rsidRDefault="004346F3" w:rsidP="00802ABC">
            <w:pPr>
              <w:spacing w:after="0"/>
              <w:jc w:val="center"/>
              <w:rPr>
                <w:lang w:val="zh-CN"/>
              </w:rPr>
            </w:pPr>
            <w:r w:rsidRPr="00536CFD">
              <w:rPr>
                <w:lang w:eastAsia="x-none"/>
              </w:rPr>
              <w:t>0.21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B7164A7" w14:textId="77777777" w:rsidR="004346F3" w:rsidRPr="00536CFD" w:rsidRDefault="004346F3" w:rsidP="00802ABC">
            <w:pPr>
              <w:spacing w:after="0"/>
              <w:jc w:val="center"/>
              <w:rPr>
                <w:lang w:val="zh-CN"/>
              </w:rPr>
            </w:pPr>
            <w:r w:rsidRPr="00536CFD">
              <w:rPr>
                <w:lang w:eastAsia="x-none"/>
              </w:rPr>
              <w:t>0.10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82F58C5" w14:textId="77777777" w:rsidR="004346F3" w:rsidRPr="00536CFD" w:rsidRDefault="004346F3" w:rsidP="00802ABC">
            <w:pPr>
              <w:spacing w:after="0"/>
              <w:jc w:val="center"/>
              <w:rPr>
                <w:lang w:val="zh-CN"/>
              </w:rPr>
            </w:pPr>
            <w:r w:rsidRPr="00536CFD">
              <w:rPr>
                <w:lang w:eastAsia="x-none"/>
              </w:rPr>
              <w:t>0.09</w:t>
            </w:r>
          </w:p>
        </w:tc>
      </w:tr>
      <w:tr w:rsidR="004346F3" w:rsidRPr="00536CFD" w14:paraId="0F00CA89"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0C9D3F9"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19D5BE0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37E8638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center"/>
          </w:tcPr>
          <w:p w14:paraId="693EAFA5" w14:textId="77777777" w:rsidR="004346F3" w:rsidRPr="00536CFD" w:rsidRDefault="004346F3" w:rsidP="00802ABC">
            <w:pPr>
              <w:spacing w:after="0"/>
              <w:jc w:val="center"/>
              <w:rPr>
                <w:lang w:val="zh-CN"/>
              </w:rPr>
            </w:pPr>
            <w:r w:rsidRPr="00536CFD">
              <w:rPr>
                <w:lang w:eastAsia="x-none"/>
              </w:rPr>
              <w:t>10.36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4E52DFA" w14:textId="77777777" w:rsidR="004346F3" w:rsidRPr="00536CFD" w:rsidRDefault="004346F3" w:rsidP="00802ABC">
            <w:pPr>
              <w:spacing w:after="0"/>
              <w:jc w:val="center"/>
              <w:rPr>
                <w:lang w:val="zh-CN"/>
              </w:rPr>
            </w:pPr>
            <w:r w:rsidRPr="00536CFD">
              <w:rPr>
                <w:lang w:eastAsia="x-none"/>
              </w:rPr>
              <w:t>14.29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7218BEB" w14:textId="77777777" w:rsidR="004346F3" w:rsidRPr="00536CFD" w:rsidRDefault="004346F3" w:rsidP="00802ABC">
            <w:pPr>
              <w:spacing w:after="0"/>
              <w:jc w:val="center"/>
              <w:rPr>
                <w:lang w:val="zh-CN"/>
              </w:rPr>
            </w:pPr>
            <w:r w:rsidRPr="00536CFD">
              <w:rPr>
                <w:lang w:eastAsia="x-none"/>
              </w:rPr>
              <w:t>22.31</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D015D69" w14:textId="77777777" w:rsidR="004346F3" w:rsidRPr="00536CFD" w:rsidRDefault="004346F3" w:rsidP="00802ABC">
            <w:pPr>
              <w:spacing w:after="0"/>
              <w:jc w:val="center"/>
              <w:rPr>
                <w:lang w:val="zh-CN"/>
              </w:rPr>
            </w:pPr>
            <w:r w:rsidRPr="00536CFD">
              <w:rPr>
                <w:lang w:eastAsia="x-none"/>
              </w:rPr>
              <w:t>22.70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86950F9" w14:textId="77777777" w:rsidR="004346F3" w:rsidRPr="00536CFD" w:rsidRDefault="004346F3" w:rsidP="00802ABC">
            <w:pPr>
              <w:spacing w:after="0"/>
              <w:jc w:val="center"/>
              <w:rPr>
                <w:lang w:val="zh-CN"/>
              </w:rPr>
            </w:pPr>
            <w:r w:rsidRPr="00536CFD">
              <w:rPr>
                <w:lang w:eastAsia="x-none"/>
              </w:rPr>
              <w:t>0.65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B543366" w14:textId="77777777" w:rsidR="004346F3" w:rsidRPr="00536CFD" w:rsidRDefault="004346F3" w:rsidP="00802ABC">
            <w:pPr>
              <w:spacing w:after="0"/>
              <w:jc w:val="center"/>
              <w:rPr>
                <w:lang w:val="zh-CN"/>
              </w:rPr>
            </w:pPr>
            <w:r w:rsidRPr="00536CFD">
              <w:rPr>
                <w:lang w:eastAsia="x-none"/>
              </w:rPr>
              <w:t>6.25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844D32F" w14:textId="77777777" w:rsidR="004346F3" w:rsidRPr="00536CFD" w:rsidRDefault="004346F3" w:rsidP="00802ABC">
            <w:pPr>
              <w:spacing w:after="0"/>
              <w:jc w:val="center"/>
              <w:rPr>
                <w:lang w:val="zh-CN"/>
              </w:rPr>
            </w:pPr>
            <w:r w:rsidRPr="00536CFD">
              <w:rPr>
                <w:lang w:eastAsia="x-none"/>
              </w:rPr>
              <w:t>15.30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36660C2" w14:textId="77777777" w:rsidR="004346F3" w:rsidRPr="00536CFD" w:rsidRDefault="004346F3" w:rsidP="00802ABC">
            <w:pPr>
              <w:spacing w:after="0"/>
              <w:jc w:val="center"/>
              <w:rPr>
                <w:lang w:val="zh-CN"/>
              </w:rPr>
            </w:pPr>
            <w:r w:rsidRPr="00536CFD">
              <w:rPr>
                <w:lang w:eastAsia="x-none"/>
              </w:rPr>
              <w:t>16.50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99AAC2C" w14:textId="77777777" w:rsidR="004346F3" w:rsidRPr="00536CFD" w:rsidRDefault="004346F3" w:rsidP="00802ABC">
            <w:pPr>
              <w:spacing w:after="0"/>
              <w:jc w:val="center"/>
              <w:rPr>
                <w:lang w:val="zh-CN"/>
              </w:rPr>
            </w:pPr>
            <w:r w:rsidRPr="00536CFD">
              <w:rPr>
                <w:lang w:eastAsia="x-none"/>
              </w:rPr>
              <w:t>0.00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DCBE894" w14:textId="77777777" w:rsidR="004346F3" w:rsidRPr="00536CFD" w:rsidRDefault="004346F3" w:rsidP="00802ABC">
            <w:pPr>
              <w:spacing w:after="0"/>
              <w:jc w:val="center"/>
              <w:rPr>
                <w:lang w:val="zh-CN"/>
              </w:rPr>
            </w:pPr>
            <w:r w:rsidRPr="00536CFD">
              <w:rPr>
                <w:lang w:eastAsia="x-none"/>
              </w:rPr>
              <w:t>2.92</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02A65262" w14:textId="77777777" w:rsidR="004346F3" w:rsidRPr="00536CFD" w:rsidRDefault="004346F3" w:rsidP="00802ABC">
            <w:pPr>
              <w:spacing w:after="0"/>
              <w:jc w:val="center"/>
              <w:rPr>
                <w:lang w:val="zh-CN"/>
              </w:rPr>
            </w:pPr>
            <w:r w:rsidRPr="00536CFD">
              <w:rPr>
                <w:lang w:eastAsia="x-none"/>
              </w:rPr>
              <w:t>11.63</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41B31A32" w14:textId="77777777" w:rsidR="004346F3" w:rsidRPr="00536CFD" w:rsidRDefault="004346F3" w:rsidP="00802ABC">
            <w:pPr>
              <w:spacing w:after="0"/>
              <w:jc w:val="center"/>
              <w:rPr>
                <w:lang w:val="zh-CN"/>
              </w:rPr>
            </w:pPr>
            <w:r w:rsidRPr="00536CFD">
              <w:rPr>
                <w:lang w:eastAsia="x-none"/>
              </w:rPr>
              <w:t>12.52</w:t>
            </w:r>
          </w:p>
        </w:tc>
      </w:tr>
      <w:tr w:rsidR="004346F3" w:rsidRPr="00536CFD" w14:paraId="51137530"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C669022"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75B44230"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F5C237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center"/>
          </w:tcPr>
          <w:p w14:paraId="2CC9B27F" w14:textId="77777777" w:rsidR="004346F3" w:rsidRPr="00536CFD" w:rsidRDefault="004346F3" w:rsidP="00802ABC">
            <w:pPr>
              <w:spacing w:after="0"/>
              <w:jc w:val="center"/>
              <w:rPr>
                <w:lang w:val="zh-CN"/>
              </w:rPr>
            </w:pPr>
            <w:r w:rsidRPr="00536CFD">
              <w:rPr>
                <w:lang w:eastAsia="x-none"/>
              </w:rPr>
              <w:t>53.43</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0D18E4C" w14:textId="77777777" w:rsidR="004346F3" w:rsidRPr="00536CFD" w:rsidRDefault="004346F3" w:rsidP="00802ABC">
            <w:pPr>
              <w:spacing w:after="0"/>
              <w:jc w:val="center"/>
              <w:rPr>
                <w:lang w:val="zh-CN"/>
              </w:rPr>
            </w:pPr>
            <w:r w:rsidRPr="00536CFD">
              <w:rPr>
                <w:lang w:eastAsia="x-none"/>
              </w:rPr>
              <w:t>57.96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24CE37C" w14:textId="77777777" w:rsidR="004346F3" w:rsidRPr="00536CFD" w:rsidRDefault="004346F3" w:rsidP="00802ABC">
            <w:pPr>
              <w:spacing w:after="0"/>
              <w:jc w:val="center"/>
              <w:rPr>
                <w:lang w:val="zh-CN"/>
              </w:rPr>
            </w:pPr>
            <w:r w:rsidRPr="00536CFD">
              <w:rPr>
                <w:lang w:eastAsia="x-none"/>
              </w:rPr>
              <w:t>67.92</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ABFD8C6" w14:textId="77777777" w:rsidR="004346F3" w:rsidRPr="00536CFD" w:rsidRDefault="004346F3" w:rsidP="00802ABC">
            <w:pPr>
              <w:spacing w:after="0"/>
              <w:jc w:val="center"/>
              <w:rPr>
                <w:lang w:val="zh-CN"/>
              </w:rPr>
            </w:pPr>
            <w:r w:rsidRPr="00536CFD">
              <w:rPr>
                <w:lang w:eastAsia="x-none"/>
              </w:rPr>
              <w:t>70.26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CEBFDC5" w14:textId="77777777" w:rsidR="004346F3" w:rsidRPr="00536CFD" w:rsidRDefault="004346F3" w:rsidP="00802ABC">
            <w:pPr>
              <w:spacing w:after="0"/>
              <w:jc w:val="center"/>
              <w:rPr>
                <w:lang w:val="zh-CN"/>
              </w:rPr>
            </w:pPr>
            <w:r w:rsidRPr="00536CFD">
              <w:rPr>
                <w:lang w:eastAsia="x-none"/>
              </w:rPr>
              <w:t>27.47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473403E" w14:textId="77777777" w:rsidR="004346F3" w:rsidRPr="00536CFD" w:rsidRDefault="004346F3" w:rsidP="00802ABC">
            <w:pPr>
              <w:spacing w:after="0"/>
              <w:jc w:val="center"/>
              <w:rPr>
                <w:lang w:val="zh-CN"/>
              </w:rPr>
            </w:pPr>
            <w:r w:rsidRPr="00536CFD">
              <w:rPr>
                <w:lang w:eastAsia="x-none"/>
              </w:rPr>
              <w:t>44.33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74743D8C" w14:textId="77777777" w:rsidR="004346F3" w:rsidRPr="00536CFD" w:rsidRDefault="004346F3" w:rsidP="00802ABC">
            <w:pPr>
              <w:spacing w:after="0"/>
              <w:jc w:val="center"/>
              <w:rPr>
                <w:lang w:val="zh-CN"/>
              </w:rPr>
            </w:pPr>
            <w:r w:rsidRPr="00536CFD">
              <w:rPr>
                <w:lang w:eastAsia="x-none"/>
              </w:rPr>
              <w:t>54.11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A6A1873" w14:textId="77777777" w:rsidR="004346F3" w:rsidRPr="00536CFD" w:rsidRDefault="004346F3" w:rsidP="00802ABC">
            <w:pPr>
              <w:spacing w:after="0"/>
              <w:jc w:val="center"/>
              <w:rPr>
                <w:lang w:val="zh-CN"/>
              </w:rPr>
            </w:pPr>
            <w:r w:rsidRPr="00536CFD">
              <w:rPr>
                <w:lang w:eastAsia="x-none"/>
              </w:rPr>
              <w:t>56.26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338BF88" w14:textId="77777777" w:rsidR="004346F3" w:rsidRPr="00536CFD" w:rsidRDefault="004346F3" w:rsidP="00802ABC">
            <w:pPr>
              <w:spacing w:after="0"/>
              <w:jc w:val="center"/>
              <w:rPr>
                <w:lang w:val="zh-CN"/>
              </w:rPr>
            </w:pPr>
            <w:r w:rsidRPr="00536CFD">
              <w:rPr>
                <w:lang w:eastAsia="x-none"/>
              </w:rPr>
              <w:t>13.01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3189061" w14:textId="77777777" w:rsidR="004346F3" w:rsidRPr="00536CFD" w:rsidRDefault="004346F3" w:rsidP="00802ABC">
            <w:pPr>
              <w:spacing w:after="0"/>
              <w:jc w:val="center"/>
              <w:rPr>
                <w:lang w:val="zh-CN"/>
              </w:rPr>
            </w:pPr>
            <w:r w:rsidRPr="00536CFD">
              <w:rPr>
                <w:lang w:eastAsia="x-none"/>
              </w:rPr>
              <w:t>35.75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067E07D" w14:textId="77777777" w:rsidR="004346F3" w:rsidRPr="00536CFD" w:rsidRDefault="004346F3" w:rsidP="00802ABC">
            <w:pPr>
              <w:spacing w:after="0"/>
              <w:jc w:val="center"/>
              <w:rPr>
                <w:lang w:val="zh-CN"/>
              </w:rPr>
            </w:pPr>
            <w:r w:rsidRPr="00536CFD">
              <w:rPr>
                <w:lang w:eastAsia="x-none"/>
              </w:rPr>
              <w:t>42.02</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C1BC9A3" w14:textId="77777777" w:rsidR="004346F3" w:rsidRPr="00536CFD" w:rsidRDefault="004346F3" w:rsidP="00802ABC">
            <w:pPr>
              <w:spacing w:after="0"/>
              <w:jc w:val="center"/>
              <w:rPr>
                <w:lang w:val="zh-CN"/>
              </w:rPr>
            </w:pPr>
            <w:r w:rsidRPr="00536CFD">
              <w:rPr>
                <w:lang w:eastAsia="x-none"/>
              </w:rPr>
              <w:t>46.68</w:t>
            </w:r>
          </w:p>
        </w:tc>
      </w:tr>
      <w:tr w:rsidR="004346F3" w:rsidRPr="00536CFD" w14:paraId="2E29D1C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2839FC1"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3E94AFD7"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692AA75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center"/>
          </w:tcPr>
          <w:p w14:paraId="2462A573" w14:textId="77777777" w:rsidR="004346F3" w:rsidRPr="00536CFD" w:rsidRDefault="004346F3" w:rsidP="00802ABC">
            <w:pPr>
              <w:spacing w:after="0"/>
              <w:jc w:val="center"/>
              <w:rPr>
                <w:lang w:val="zh-CN"/>
              </w:rPr>
            </w:pPr>
            <w:r w:rsidRPr="00536CFD">
              <w:rPr>
                <w:lang w:eastAsia="x-none"/>
              </w:rPr>
              <w:t>78.74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771F561" w14:textId="77777777" w:rsidR="004346F3" w:rsidRPr="00536CFD" w:rsidRDefault="004346F3" w:rsidP="00802ABC">
            <w:pPr>
              <w:spacing w:after="0"/>
              <w:jc w:val="center"/>
              <w:rPr>
                <w:lang w:val="zh-CN"/>
              </w:rPr>
            </w:pPr>
            <w:r w:rsidRPr="00536CFD">
              <w:rPr>
                <w:lang w:eastAsia="x-none"/>
              </w:rPr>
              <w:t>78.88</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9DF8AD0" w14:textId="77777777" w:rsidR="004346F3" w:rsidRPr="00536CFD" w:rsidRDefault="004346F3" w:rsidP="00802ABC">
            <w:pPr>
              <w:spacing w:after="0"/>
              <w:jc w:val="center"/>
              <w:rPr>
                <w:lang w:val="zh-CN"/>
              </w:rPr>
            </w:pPr>
            <w:r w:rsidRPr="00536CFD">
              <w:rPr>
                <w:lang w:eastAsia="x-none"/>
              </w:rPr>
              <w:t>83.49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FDD4214" w14:textId="77777777" w:rsidR="004346F3" w:rsidRPr="00536CFD" w:rsidRDefault="004346F3" w:rsidP="00802ABC">
            <w:pPr>
              <w:spacing w:after="0"/>
              <w:jc w:val="center"/>
              <w:rPr>
                <w:lang w:val="zh-CN"/>
              </w:rPr>
            </w:pPr>
            <w:r w:rsidRPr="00536CFD">
              <w:rPr>
                <w:lang w:eastAsia="x-none"/>
              </w:rPr>
              <w:t>83.41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63CBE0D" w14:textId="77777777" w:rsidR="004346F3" w:rsidRPr="00536CFD" w:rsidRDefault="004346F3" w:rsidP="00802ABC">
            <w:pPr>
              <w:spacing w:after="0"/>
              <w:jc w:val="center"/>
              <w:rPr>
                <w:lang w:val="zh-CN"/>
              </w:rPr>
            </w:pPr>
            <w:r w:rsidRPr="00536CFD">
              <w:rPr>
                <w:lang w:eastAsia="x-none"/>
              </w:rPr>
              <w:t>77.26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353C8D3" w14:textId="77777777" w:rsidR="004346F3" w:rsidRPr="00536CFD" w:rsidRDefault="004346F3" w:rsidP="00802ABC">
            <w:pPr>
              <w:spacing w:after="0"/>
              <w:jc w:val="center"/>
              <w:rPr>
                <w:lang w:val="zh-CN"/>
              </w:rPr>
            </w:pPr>
            <w:r w:rsidRPr="00536CFD">
              <w:rPr>
                <w:lang w:eastAsia="x-none"/>
              </w:rPr>
              <w:t>78.85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04C00CC" w14:textId="77777777" w:rsidR="004346F3" w:rsidRPr="00536CFD" w:rsidRDefault="004346F3" w:rsidP="00802ABC">
            <w:pPr>
              <w:spacing w:after="0"/>
              <w:jc w:val="center"/>
              <w:rPr>
                <w:lang w:val="zh-CN"/>
              </w:rPr>
            </w:pPr>
            <w:r w:rsidRPr="00536CFD">
              <w:rPr>
                <w:lang w:eastAsia="x-none"/>
              </w:rPr>
              <w:t>83.19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EC76A27" w14:textId="77777777" w:rsidR="004346F3" w:rsidRPr="00536CFD" w:rsidRDefault="004346F3" w:rsidP="00802ABC">
            <w:pPr>
              <w:spacing w:after="0"/>
              <w:jc w:val="center"/>
              <w:rPr>
                <w:lang w:val="zh-CN"/>
              </w:rPr>
            </w:pPr>
            <w:r w:rsidRPr="00536CFD">
              <w:rPr>
                <w:lang w:eastAsia="x-none"/>
              </w:rPr>
              <w:t>83.20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0340350F" w14:textId="77777777" w:rsidR="004346F3" w:rsidRPr="00536CFD" w:rsidRDefault="004346F3" w:rsidP="00802ABC">
            <w:pPr>
              <w:spacing w:after="0"/>
              <w:jc w:val="center"/>
              <w:rPr>
                <w:lang w:val="zh-CN"/>
              </w:rPr>
            </w:pPr>
            <w:r w:rsidRPr="00536CFD">
              <w:rPr>
                <w:lang w:eastAsia="x-none"/>
              </w:rPr>
              <w:t>67.14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1404096" w14:textId="77777777" w:rsidR="004346F3" w:rsidRPr="00536CFD" w:rsidRDefault="004346F3" w:rsidP="00802ABC">
            <w:pPr>
              <w:spacing w:after="0"/>
              <w:jc w:val="center"/>
              <w:rPr>
                <w:lang w:val="zh-CN"/>
              </w:rPr>
            </w:pPr>
            <w:r w:rsidRPr="00536CFD">
              <w:rPr>
                <w:lang w:eastAsia="x-none"/>
              </w:rPr>
              <w:t>78.43</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8FAA6EB" w14:textId="77777777" w:rsidR="004346F3" w:rsidRPr="00536CFD" w:rsidRDefault="004346F3" w:rsidP="00802ABC">
            <w:pPr>
              <w:spacing w:after="0"/>
              <w:jc w:val="center"/>
              <w:rPr>
                <w:lang w:val="zh-CN"/>
              </w:rPr>
            </w:pPr>
            <w:r w:rsidRPr="00536CFD">
              <w:rPr>
                <w:lang w:eastAsia="x-none"/>
              </w:rPr>
              <w:t>83.00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2E2497B" w14:textId="77777777" w:rsidR="004346F3" w:rsidRPr="00536CFD" w:rsidRDefault="004346F3" w:rsidP="00802ABC">
            <w:pPr>
              <w:spacing w:after="0"/>
              <w:jc w:val="center"/>
              <w:rPr>
                <w:lang w:val="zh-CN"/>
              </w:rPr>
            </w:pPr>
            <w:r w:rsidRPr="00536CFD">
              <w:rPr>
                <w:lang w:eastAsia="x-none"/>
              </w:rPr>
              <w:t>83.16</w:t>
            </w:r>
          </w:p>
        </w:tc>
      </w:tr>
      <w:tr w:rsidR="004346F3" w:rsidRPr="00536CFD" w14:paraId="019710A4"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56237FC"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740A6CDA"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4EFECAC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center"/>
          </w:tcPr>
          <w:p w14:paraId="1FB5F735" w14:textId="77777777" w:rsidR="004346F3" w:rsidRPr="00536CFD" w:rsidRDefault="004346F3" w:rsidP="00802ABC">
            <w:pPr>
              <w:spacing w:after="0"/>
              <w:jc w:val="center"/>
              <w:rPr>
                <w:lang w:val="zh-CN"/>
              </w:rPr>
            </w:pPr>
            <w:r w:rsidRPr="00536CFD">
              <w:rPr>
                <w:lang w:eastAsia="x-none"/>
              </w:rPr>
              <w:t>49.79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2D96799" w14:textId="77777777" w:rsidR="004346F3" w:rsidRPr="00536CFD" w:rsidRDefault="004346F3" w:rsidP="00802ABC">
            <w:pPr>
              <w:spacing w:after="0"/>
              <w:jc w:val="center"/>
              <w:rPr>
                <w:lang w:val="zh-CN"/>
              </w:rPr>
            </w:pPr>
            <w:r w:rsidRPr="00536CFD">
              <w:rPr>
                <w:lang w:eastAsia="x-none"/>
              </w:rPr>
              <w:t>53.56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9682D08" w14:textId="77777777" w:rsidR="004346F3" w:rsidRPr="00536CFD" w:rsidRDefault="004346F3" w:rsidP="00802ABC">
            <w:pPr>
              <w:spacing w:after="0"/>
              <w:jc w:val="center"/>
              <w:rPr>
                <w:lang w:val="zh-CN"/>
              </w:rPr>
            </w:pPr>
            <w:r w:rsidRPr="00536CFD">
              <w:rPr>
                <w:lang w:eastAsia="x-none"/>
              </w:rPr>
              <w:t>61.30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C943437" w14:textId="77777777" w:rsidR="004346F3" w:rsidRPr="00536CFD" w:rsidRDefault="004346F3" w:rsidP="00802ABC">
            <w:pPr>
              <w:spacing w:after="0"/>
              <w:jc w:val="center"/>
              <w:rPr>
                <w:lang w:val="zh-CN"/>
              </w:rPr>
            </w:pPr>
            <w:r w:rsidRPr="00536CFD">
              <w:rPr>
                <w:lang w:eastAsia="x-none"/>
              </w:rPr>
              <w:t>62.22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CA4178B" w14:textId="77777777" w:rsidR="004346F3" w:rsidRPr="00536CFD" w:rsidRDefault="004346F3" w:rsidP="00802ABC">
            <w:pPr>
              <w:spacing w:after="0"/>
              <w:jc w:val="center"/>
              <w:rPr>
                <w:lang w:val="zh-CN"/>
              </w:rPr>
            </w:pPr>
            <w:r w:rsidRPr="00536CFD">
              <w:rPr>
                <w:lang w:eastAsia="x-none"/>
              </w:rPr>
              <w:t>31.68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E280930" w14:textId="77777777" w:rsidR="004346F3" w:rsidRPr="00536CFD" w:rsidRDefault="004346F3" w:rsidP="00802ABC">
            <w:pPr>
              <w:spacing w:after="0"/>
              <w:jc w:val="center"/>
              <w:rPr>
                <w:lang w:val="zh-CN"/>
              </w:rPr>
            </w:pPr>
            <w:r w:rsidRPr="00536CFD">
              <w:rPr>
                <w:lang w:eastAsia="x-none"/>
              </w:rPr>
              <w:t>44.15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0F53A2D" w14:textId="77777777" w:rsidR="004346F3" w:rsidRPr="00536CFD" w:rsidRDefault="004346F3" w:rsidP="00802ABC">
            <w:pPr>
              <w:spacing w:after="0"/>
              <w:jc w:val="center"/>
              <w:rPr>
                <w:lang w:val="zh-CN"/>
              </w:rPr>
            </w:pPr>
            <w:r w:rsidRPr="00536CFD">
              <w:rPr>
                <w:lang w:eastAsia="x-none"/>
              </w:rPr>
              <w:t>53.33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AC58B9D" w14:textId="77777777" w:rsidR="004346F3" w:rsidRPr="00536CFD" w:rsidRDefault="004346F3" w:rsidP="00802ABC">
            <w:pPr>
              <w:spacing w:after="0"/>
              <w:jc w:val="center"/>
              <w:rPr>
                <w:lang w:val="zh-CN"/>
              </w:rPr>
            </w:pPr>
            <w:r w:rsidRPr="00536CFD">
              <w:rPr>
                <w:lang w:eastAsia="x-none"/>
              </w:rPr>
              <w:t>54.73</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789F9E0" w14:textId="77777777" w:rsidR="004346F3" w:rsidRPr="00536CFD" w:rsidRDefault="004346F3" w:rsidP="00802ABC">
            <w:pPr>
              <w:spacing w:after="0"/>
              <w:jc w:val="center"/>
              <w:rPr>
                <w:lang w:val="zh-CN"/>
              </w:rPr>
            </w:pPr>
            <w:r w:rsidRPr="00536CFD">
              <w:rPr>
                <w:lang w:eastAsia="x-none"/>
              </w:rPr>
              <w:t>21.15</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343E4A3" w14:textId="77777777" w:rsidR="004346F3" w:rsidRPr="00536CFD" w:rsidRDefault="004346F3" w:rsidP="00802ABC">
            <w:pPr>
              <w:spacing w:after="0"/>
              <w:jc w:val="center"/>
              <w:rPr>
                <w:lang w:val="zh-CN"/>
              </w:rPr>
            </w:pPr>
            <w:r w:rsidRPr="00536CFD">
              <w:rPr>
                <w:lang w:eastAsia="x-none"/>
              </w:rPr>
              <w:t>37.92</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EA70806" w14:textId="77777777" w:rsidR="004346F3" w:rsidRPr="00536CFD" w:rsidRDefault="004346F3" w:rsidP="00802ABC">
            <w:pPr>
              <w:spacing w:after="0"/>
              <w:jc w:val="center"/>
              <w:rPr>
                <w:lang w:val="zh-CN"/>
              </w:rPr>
            </w:pPr>
            <w:r w:rsidRPr="00536CFD">
              <w:rPr>
                <w:lang w:eastAsia="x-none"/>
              </w:rPr>
              <w:t>46.27</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8EB9A9A" w14:textId="77777777" w:rsidR="004346F3" w:rsidRPr="00536CFD" w:rsidRDefault="004346F3" w:rsidP="00802ABC">
            <w:pPr>
              <w:spacing w:after="0"/>
              <w:jc w:val="center"/>
              <w:rPr>
                <w:lang w:val="zh-CN"/>
              </w:rPr>
            </w:pPr>
            <w:r w:rsidRPr="00536CFD">
              <w:rPr>
                <w:lang w:eastAsia="x-none"/>
              </w:rPr>
              <w:t>49.64</w:t>
            </w:r>
          </w:p>
        </w:tc>
      </w:tr>
      <w:tr w:rsidR="004346F3" w:rsidRPr="00536CFD" w14:paraId="1035B9D7"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B661F73"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37D1374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70425C1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center"/>
          </w:tcPr>
          <w:p w14:paraId="3CD4F1C5"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04BEA9B"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B74268F"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1F80529"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2EA94C4"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C59F6C1"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25C0289"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EDA12FE" w14:textId="77777777" w:rsidR="004346F3" w:rsidRPr="00536CFD" w:rsidRDefault="004346F3" w:rsidP="00802ABC">
            <w:pPr>
              <w:spacing w:after="0"/>
              <w:jc w:val="center"/>
              <w:rPr>
                <w:lang w:val="zh-CN"/>
              </w:rPr>
            </w:pPr>
            <w:r w:rsidRPr="00536CFD">
              <w:rPr>
                <w:lang w:eastAsia="x-none"/>
              </w:rPr>
              <w:t>0.05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F177037" w14:textId="77777777" w:rsidR="004346F3" w:rsidRPr="00536CFD" w:rsidRDefault="004346F3" w:rsidP="00802ABC">
            <w:pPr>
              <w:spacing w:after="0"/>
              <w:jc w:val="center"/>
              <w:rPr>
                <w:lang w:val="zh-CN"/>
              </w:rPr>
            </w:pPr>
            <w:r w:rsidRPr="00536CFD">
              <w:rPr>
                <w:lang w:eastAsia="x-none"/>
              </w:rPr>
              <w:t>0.06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138D4EE" w14:textId="77777777" w:rsidR="004346F3" w:rsidRPr="00536CFD" w:rsidRDefault="004346F3" w:rsidP="00802ABC">
            <w:pPr>
              <w:spacing w:after="0"/>
              <w:jc w:val="center"/>
              <w:rPr>
                <w:lang w:val="zh-CN"/>
              </w:rPr>
            </w:pPr>
            <w:r w:rsidRPr="00536CFD">
              <w:rPr>
                <w:lang w:eastAsia="x-none"/>
              </w:rPr>
              <w:t>0.05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C4D9E7B" w14:textId="77777777" w:rsidR="004346F3" w:rsidRPr="00536CFD" w:rsidRDefault="004346F3" w:rsidP="00802ABC">
            <w:pPr>
              <w:spacing w:after="0"/>
              <w:jc w:val="center"/>
              <w:rPr>
                <w:lang w:val="zh-CN"/>
              </w:rPr>
            </w:pPr>
            <w:r w:rsidRPr="00536CFD">
              <w:rPr>
                <w:lang w:eastAsia="x-none"/>
              </w:rPr>
              <w:t>0.05</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8C59D71" w14:textId="77777777" w:rsidR="004346F3" w:rsidRPr="00536CFD" w:rsidRDefault="004346F3" w:rsidP="00802ABC">
            <w:pPr>
              <w:spacing w:after="0"/>
              <w:jc w:val="center"/>
              <w:rPr>
                <w:lang w:val="zh-CN"/>
              </w:rPr>
            </w:pPr>
            <w:r w:rsidRPr="00536CFD">
              <w:rPr>
                <w:lang w:eastAsia="x-none"/>
              </w:rPr>
              <w:t>0.05</w:t>
            </w:r>
          </w:p>
        </w:tc>
      </w:tr>
      <w:tr w:rsidR="004346F3" w:rsidRPr="00536CFD" w14:paraId="30B9E2D1"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8273303"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2DCE5FD"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3F6FE3F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center"/>
          </w:tcPr>
          <w:p w14:paraId="42895864" w14:textId="77777777" w:rsidR="004346F3" w:rsidRPr="00536CFD" w:rsidRDefault="004346F3" w:rsidP="00802ABC">
            <w:pPr>
              <w:spacing w:after="0"/>
              <w:jc w:val="center"/>
              <w:rPr>
                <w:lang w:val="zh-CN"/>
              </w:rPr>
            </w:pPr>
            <w:r w:rsidRPr="00536CFD">
              <w:rPr>
                <w:lang w:eastAsia="x-none"/>
              </w:rPr>
              <w:t>0.07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A10D01E" w14:textId="77777777" w:rsidR="004346F3" w:rsidRPr="00536CFD" w:rsidRDefault="004346F3" w:rsidP="00802ABC">
            <w:pPr>
              <w:spacing w:after="0"/>
              <w:jc w:val="center"/>
              <w:rPr>
                <w:lang w:val="zh-CN"/>
              </w:rPr>
            </w:pPr>
            <w:r w:rsidRPr="00536CFD">
              <w:rPr>
                <w:lang w:eastAsia="x-none"/>
              </w:rPr>
              <w:t>0.07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20CD5EE" w14:textId="77777777" w:rsidR="004346F3" w:rsidRPr="00536CFD" w:rsidRDefault="004346F3" w:rsidP="00802ABC">
            <w:pPr>
              <w:spacing w:after="0"/>
              <w:jc w:val="center"/>
              <w:rPr>
                <w:lang w:val="zh-CN"/>
              </w:rPr>
            </w:pPr>
            <w:r w:rsidRPr="00536CFD">
              <w:rPr>
                <w:lang w:eastAsia="x-none"/>
              </w:rPr>
              <w:t>0.06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177ECCC" w14:textId="77777777" w:rsidR="004346F3" w:rsidRPr="00536CFD" w:rsidRDefault="004346F3" w:rsidP="00802ABC">
            <w:pPr>
              <w:spacing w:after="0"/>
              <w:jc w:val="center"/>
              <w:rPr>
                <w:lang w:val="zh-CN"/>
              </w:rPr>
            </w:pPr>
            <w:r w:rsidRPr="00536CFD">
              <w:rPr>
                <w:lang w:eastAsia="x-none"/>
              </w:rPr>
              <w:t>0.06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0C3FFB7" w14:textId="77777777" w:rsidR="004346F3" w:rsidRPr="00536CFD" w:rsidRDefault="004346F3" w:rsidP="00802ABC">
            <w:pPr>
              <w:spacing w:after="0"/>
              <w:jc w:val="center"/>
              <w:rPr>
                <w:lang w:val="zh-CN"/>
              </w:rPr>
            </w:pPr>
            <w:r w:rsidRPr="00536CFD">
              <w:rPr>
                <w:lang w:eastAsia="x-none"/>
              </w:rPr>
              <w:t>0.14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A35CC66" w14:textId="77777777" w:rsidR="004346F3" w:rsidRPr="00536CFD" w:rsidRDefault="004346F3" w:rsidP="00802ABC">
            <w:pPr>
              <w:spacing w:after="0"/>
              <w:jc w:val="center"/>
              <w:rPr>
                <w:lang w:val="zh-CN"/>
              </w:rPr>
            </w:pPr>
            <w:r w:rsidRPr="00536CFD">
              <w:rPr>
                <w:lang w:eastAsia="x-none"/>
              </w:rPr>
              <w:t>0.09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CEF3262" w14:textId="77777777" w:rsidR="004346F3" w:rsidRPr="00536CFD" w:rsidRDefault="004346F3" w:rsidP="00802ABC">
            <w:pPr>
              <w:spacing w:after="0"/>
              <w:jc w:val="center"/>
              <w:rPr>
                <w:lang w:val="zh-CN"/>
              </w:rPr>
            </w:pPr>
            <w:r w:rsidRPr="00536CFD">
              <w:rPr>
                <w:lang w:eastAsia="x-none"/>
              </w:rPr>
              <w:t>0.07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F6C9E76" w14:textId="77777777" w:rsidR="004346F3" w:rsidRPr="00536CFD" w:rsidRDefault="004346F3" w:rsidP="00802ABC">
            <w:pPr>
              <w:spacing w:after="0"/>
              <w:jc w:val="center"/>
              <w:rPr>
                <w:lang w:val="zh-CN"/>
              </w:rPr>
            </w:pPr>
            <w:r w:rsidRPr="00536CFD">
              <w:rPr>
                <w:lang w:eastAsia="x-none"/>
              </w:rPr>
              <w:t>0.07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507EBF0" w14:textId="77777777" w:rsidR="004346F3" w:rsidRPr="00536CFD" w:rsidRDefault="004346F3" w:rsidP="00802ABC">
            <w:pPr>
              <w:spacing w:after="0"/>
              <w:jc w:val="center"/>
              <w:rPr>
                <w:lang w:val="zh-CN"/>
              </w:rPr>
            </w:pPr>
            <w:r w:rsidRPr="00536CFD">
              <w:rPr>
                <w:lang w:eastAsia="x-none"/>
              </w:rPr>
              <w:t>0.26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BF30C35" w14:textId="77777777" w:rsidR="004346F3" w:rsidRPr="00536CFD" w:rsidRDefault="004346F3" w:rsidP="00802ABC">
            <w:pPr>
              <w:spacing w:after="0"/>
              <w:jc w:val="center"/>
              <w:rPr>
                <w:lang w:val="zh-CN"/>
              </w:rPr>
            </w:pPr>
            <w:r w:rsidRPr="00536CFD">
              <w:rPr>
                <w:lang w:eastAsia="x-none"/>
              </w:rPr>
              <w:t>0.11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6284C08" w14:textId="77777777" w:rsidR="004346F3" w:rsidRPr="00536CFD" w:rsidRDefault="004346F3" w:rsidP="00802ABC">
            <w:pPr>
              <w:spacing w:after="0"/>
              <w:jc w:val="center"/>
              <w:rPr>
                <w:lang w:val="zh-CN"/>
              </w:rPr>
            </w:pPr>
            <w:r w:rsidRPr="00536CFD">
              <w:rPr>
                <w:lang w:eastAsia="x-none"/>
              </w:rPr>
              <w:t>0.09</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2F9B5A2" w14:textId="77777777" w:rsidR="004346F3" w:rsidRPr="00536CFD" w:rsidRDefault="004346F3" w:rsidP="00802ABC">
            <w:pPr>
              <w:spacing w:after="0"/>
              <w:jc w:val="center"/>
              <w:rPr>
                <w:lang w:val="zh-CN"/>
              </w:rPr>
            </w:pPr>
            <w:r w:rsidRPr="00536CFD">
              <w:rPr>
                <w:lang w:eastAsia="x-none"/>
              </w:rPr>
              <w:t>0.09</w:t>
            </w:r>
          </w:p>
        </w:tc>
      </w:tr>
      <w:tr w:rsidR="004346F3" w:rsidRPr="00536CFD" w14:paraId="2BAC96B0"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63F3308"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195A235"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047C9F1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center"/>
          </w:tcPr>
          <w:p w14:paraId="3BF065BD" w14:textId="77777777" w:rsidR="004346F3" w:rsidRPr="00536CFD" w:rsidRDefault="004346F3" w:rsidP="00802ABC">
            <w:pPr>
              <w:spacing w:after="0"/>
              <w:jc w:val="center"/>
              <w:rPr>
                <w:lang w:val="zh-CN"/>
              </w:rPr>
            </w:pPr>
            <w:r w:rsidRPr="00536CFD">
              <w:rPr>
                <w:lang w:eastAsia="x-none"/>
              </w:rPr>
              <w:t>0.38</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07BCD78" w14:textId="77777777" w:rsidR="004346F3" w:rsidRPr="00536CFD" w:rsidRDefault="004346F3" w:rsidP="00802ABC">
            <w:pPr>
              <w:spacing w:after="0"/>
              <w:jc w:val="center"/>
              <w:rPr>
                <w:lang w:val="zh-CN"/>
              </w:rPr>
            </w:pPr>
            <w:r w:rsidRPr="00536CFD">
              <w:rPr>
                <w:lang w:eastAsia="x-none"/>
              </w:rPr>
              <w:t>0.27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88624D8" w14:textId="77777777" w:rsidR="004346F3" w:rsidRPr="00536CFD" w:rsidRDefault="004346F3" w:rsidP="00802ABC">
            <w:pPr>
              <w:spacing w:after="0"/>
              <w:jc w:val="center"/>
              <w:rPr>
                <w:lang w:val="zh-CN"/>
              </w:rPr>
            </w:pPr>
            <w:r w:rsidRPr="00536CFD">
              <w:rPr>
                <w:lang w:eastAsia="x-none"/>
              </w:rPr>
              <w:t>0.18</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D4071C5" w14:textId="77777777" w:rsidR="004346F3" w:rsidRPr="00536CFD" w:rsidRDefault="004346F3" w:rsidP="00802ABC">
            <w:pPr>
              <w:spacing w:after="0"/>
              <w:jc w:val="center"/>
              <w:rPr>
                <w:lang w:val="zh-CN"/>
              </w:rPr>
            </w:pPr>
            <w:r w:rsidRPr="00536CFD">
              <w:rPr>
                <w:lang w:eastAsia="x-none"/>
              </w:rPr>
              <w:t>0.18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C5983C9" w14:textId="77777777" w:rsidR="004346F3" w:rsidRPr="00536CFD" w:rsidRDefault="004346F3" w:rsidP="00802ABC">
            <w:pPr>
              <w:spacing w:after="0"/>
              <w:jc w:val="center"/>
              <w:rPr>
                <w:lang w:val="zh-CN"/>
              </w:rPr>
            </w:pPr>
            <w:r w:rsidRPr="00536CFD">
              <w:rPr>
                <w:lang w:eastAsia="x-none"/>
              </w:rPr>
              <w:t>2.51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1217B1A" w14:textId="77777777" w:rsidR="004346F3" w:rsidRPr="00536CFD" w:rsidRDefault="004346F3" w:rsidP="00802ABC">
            <w:pPr>
              <w:spacing w:after="0"/>
              <w:jc w:val="center"/>
              <w:rPr>
                <w:lang w:val="zh-CN"/>
              </w:rPr>
            </w:pPr>
            <w:r w:rsidRPr="00536CFD">
              <w:rPr>
                <w:lang w:eastAsia="x-none"/>
              </w:rPr>
              <w:t>0.60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C7C806C" w14:textId="77777777" w:rsidR="004346F3" w:rsidRPr="00536CFD" w:rsidRDefault="004346F3" w:rsidP="00802ABC">
            <w:pPr>
              <w:spacing w:after="0"/>
              <w:jc w:val="center"/>
              <w:rPr>
                <w:lang w:val="zh-CN"/>
              </w:rPr>
            </w:pPr>
            <w:r w:rsidRPr="00536CFD">
              <w:rPr>
                <w:lang w:eastAsia="x-none"/>
              </w:rPr>
              <w:t>0.26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F5758E6" w14:textId="77777777" w:rsidR="004346F3" w:rsidRPr="00536CFD" w:rsidRDefault="004346F3" w:rsidP="00802ABC">
            <w:pPr>
              <w:spacing w:after="0"/>
              <w:jc w:val="center"/>
              <w:rPr>
                <w:lang w:val="zh-CN"/>
              </w:rPr>
            </w:pPr>
            <w:r w:rsidRPr="00536CFD">
              <w:rPr>
                <w:lang w:eastAsia="x-none"/>
              </w:rPr>
              <w:t>0.24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4FA22BA" w14:textId="77777777" w:rsidR="004346F3" w:rsidRPr="00536CFD" w:rsidRDefault="004346F3" w:rsidP="00802ABC">
            <w:pPr>
              <w:spacing w:after="0"/>
              <w:jc w:val="center"/>
              <w:rPr>
                <w:lang w:val="zh-CN"/>
              </w:rPr>
            </w:pPr>
            <w:r w:rsidRPr="00536CFD">
              <w:rPr>
                <w:lang w:eastAsia="x-none"/>
              </w:rPr>
              <w:t>8.00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B133C19" w14:textId="77777777" w:rsidR="004346F3" w:rsidRPr="00536CFD" w:rsidRDefault="004346F3" w:rsidP="00802ABC">
            <w:pPr>
              <w:spacing w:after="0"/>
              <w:jc w:val="center"/>
              <w:rPr>
                <w:lang w:val="zh-CN"/>
              </w:rPr>
            </w:pPr>
            <w:r w:rsidRPr="00536CFD">
              <w:rPr>
                <w:lang w:eastAsia="x-none"/>
              </w:rPr>
              <w:t>1.16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BF54EBD" w14:textId="77777777" w:rsidR="004346F3" w:rsidRPr="00536CFD" w:rsidRDefault="004346F3" w:rsidP="00802ABC">
            <w:pPr>
              <w:spacing w:after="0"/>
              <w:jc w:val="center"/>
              <w:rPr>
                <w:lang w:val="zh-CN"/>
              </w:rPr>
            </w:pPr>
            <w:r w:rsidRPr="00536CFD">
              <w:rPr>
                <w:lang w:eastAsia="x-none"/>
              </w:rPr>
              <w:t>0.33</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CDAA9B0" w14:textId="77777777" w:rsidR="004346F3" w:rsidRPr="00536CFD" w:rsidRDefault="004346F3" w:rsidP="00802ABC">
            <w:pPr>
              <w:spacing w:after="0"/>
              <w:jc w:val="center"/>
              <w:rPr>
                <w:lang w:val="zh-CN"/>
              </w:rPr>
            </w:pPr>
            <w:r w:rsidRPr="00536CFD">
              <w:rPr>
                <w:lang w:eastAsia="x-none"/>
              </w:rPr>
              <w:t>0.31</w:t>
            </w:r>
          </w:p>
        </w:tc>
      </w:tr>
      <w:tr w:rsidR="004346F3" w:rsidRPr="00536CFD" w14:paraId="55D989C9"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71D97EF"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55A75ED"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5A6AF79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center"/>
          </w:tcPr>
          <w:p w14:paraId="54A9244F" w14:textId="77777777" w:rsidR="004346F3" w:rsidRPr="00536CFD" w:rsidRDefault="004346F3" w:rsidP="00802ABC">
            <w:pPr>
              <w:spacing w:after="0"/>
              <w:jc w:val="center"/>
              <w:rPr>
                <w:lang w:val="zh-CN"/>
              </w:rPr>
            </w:pPr>
            <w:r w:rsidRPr="00536CFD">
              <w:rPr>
                <w:lang w:eastAsia="x-none"/>
              </w:rPr>
              <w:t>0.13</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7E2DD56" w14:textId="77777777" w:rsidR="004346F3" w:rsidRPr="00536CFD" w:rsidRDefault="004346F3" w:rsidP="00802ABC">
            <w:pPr>
              <w:spacing w:after="0"/>
              <w:jc w:val="center"/>
              <w:rPr>
                <w:lang w:val="zh-CN"/>
              </w:rPr>
            </w:pPr>
            <w:r w:rsidRPr="00536CFD">
              <w:rPr>
                <w:lang w:eastAsia="x-none"/>
              </w:rPr>
              <w:t>0.10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55228FF" w14:textId="77777777" w:rsidR="004346F3" w:rsidRPr="00536CFD" w:rsidRDefault="004346F3" w:rsidP="00802ABC">
            <w:pPr>
              <w:spacing w:after="0"/>
              <w:jc w:val="center"/>
              <w:rPr>
                <w:lang w:val="zh-CN"/>
              </w:rPr>
            </w:pPr>
            <w:r w:rsidRPr="00536CFD">
              <w:rPr>
                <w:lang w:eastAsia="x-none"/>
              </w:rPr>
              <w:t>0.08</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BFBA91C" w14:textId="77777777" w:rsidR="004346F3" w:rsidRPr="00536CFD" w:rsidRDefault="004346F3" w:rsidP="00802ABC">
            <w:pPr>
              <w:spacing w:after="0"/>
              <w:jc w:val="center"/>
              <w:rPr>
                <w:lang w:val="zh-CN"/>
              </w:rPr>
            </w:pPr>
            <w:r w:rsidRPr="00536CFD">
              <w:rPr>
                <w:lang w:eastAsia="x-none"/>
              </w:rPr>
              <w:t>0.08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0937549" w14:textId="77777777" w:rsidR="004346F3" w:rsidRPr="00536CFD" w:rsidRDefault="004346F3" w:rsidP="00802ABC">
            <w:pPr>
              <w:spacing w:after="0"/>
              <w:jc w:val="center"/>
              <w:rPr>
                <w:lang w:val="zh-CN"/>
              </w:rPr>
            </w:pPr>
            <w:r w:rsidRPr="00536CFD">
              <w:rPr>
                <w:lang w:eastAsia="x-none"/>
              </w:rPr>
              <w:t>0.54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4072A65" w14:textId="77777777" w:rsidR="004346F3" w:rsidRPr="00536CFD" w:rsidRDefault="004346F3" w:rsidP="00802ABC">
            <w:pPr>
              <w:spacing w:after="0"/>
              <w:jc w:val="center"/>
              <w:rPr>
                <w:lang w:val="zh-CN"/>
              </w:rPr>
            </w:pPr>
            <w:r w:rsidRPr="00536CFD">
              <w:rPr>
                <w:lang w:eastAsia="x-none"/>
              </w:rPr>
              <w:t>0.17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1F21300" w14:textId="77777777" w:rsidR="004346F3" w:rsidRPr="00536CFD" w:rsidRDefault="004346F3" w:rsidP="00802ABC">
            <w:pPr>
              <w:spacing w:after="0"/>
              <w:jc w:val="center"/>
              <w:rPr>
                <w:lang w:val="zh-CN"/>
              </w:rPr>
            </w:pPr>
            <w:r w:rsidRPr="00536CFD">
              <w:rPr>
                <w:lang w:eastAsia="x-none"/>
              </w:rPr>
              <w:t>0.10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ECFA437" w14:textId="77777777" w:rsidR="004346F3" w:rsidRPr="00536CFD" w:rsidRDefault="004346F3" w:rsidP="00802ABC">
            <w:pPr>
              <w:spacing w:after="0"/>
              <w:jc w:val="center"/>
              <w:rPr>
                <w:lang w:val="zh-CN"/>
              </w:rPr>
            </w:pPr>
            <w:r w:rsidRPr="00536CFD">
              <w:rPr>
                <w:lang w:eastAsia="x-none"/>
              </w:rPr>
              <w:t>0.10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EDBBB2E" w14:textId="77777777" w:rsidR="004346F3" w:rsidRPr="00536CFD" w:rsidRDefault="004346F3" w:rsidP="00802ABC">
            <w:pPr>
              <w:spacing w:after="0"/>
              <w:jc w:val="center"/>
              <w:rPr>
                <w:lang w:val="zh-CN"/>
              </w:rPr>
            </w:pPr>
            <w:r w:rsidRPr="00536CFD">
              <w:rPr>
                <w:lang w:eastAsia="x-none"/>
              </w:rPr>
              <w:t>1.24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EA8AE73" w14:textId="77777777" w:rsidR="004346F3" w:rsidRPr="00536CFD" w:rsidRDefault="004346F3" w:rsidP="00802ABC">
            <w:pPr>
              <w:spacing w:after="0"/>
              <w:jc w:val="center"/>
              <w:rPr>
                <w:lang w:val="zh-CN"/>
              </w:rPr>
            </w:pPr>
            <w:r w:rsidRPr="00536CFD">
              <w:rPr>
                <w:lang w:eastAsia="x-none"/>
              </w:rPr>
              <w:t>0.30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8394A58" w14:textId="77777777" w:rsidR="004346F3" w:rsidRPr="00536CFD" w:rsidRDefault="004346F3" w:rsidP="00802ABC">
            <w:pPr>
              <w:spacing w:after="0"/>
              <w:jc w:val="center"/>
              <w:rPr>
                <w:lang w:val="zh-CN"/>
              </w:rPr>
            </w:pPr>
            <w:r w:rsidRPr="00536CFD">
              <w:rPr>
                <w:lang w:eastAsia="x-none"/>
              </w:rPr>
              <w:t>0.13</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8E5E044" w14:textId="77777777" w:rsidR="004346F3" w:rsidRPr="00536CFD" w:rsidRDefault="004346F3" w:rsidP="00802ABC">
            <w:pPr>
              <w:spacing w:after="0"/>
              <w:jc w:val="center"/>
              <w:rPr>
                <w:lang w:val="zh-CN"/>
              </w:rPr>
            </w:pPr>
            <w:r w:rsidRPr="00536CFD">
              <w:rPr>
                <w:lang w:eastAsia="x-none"/>
              </w:rPr>
              <w:t>0.12</w:t>
            </w:r>
          </w:p>
        </w:tc>
      </w:tr>
      <w:tr w:rsidR="004346F3" w:rsidRPr="00536CFD" w14:paraId="1EF4DFE6"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587D23E"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16994F6C"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2" w:type="dxa"/>
            <w:tcBorders>
              <w:top w:val="single" w:sz="4" w:space="0" w:color="auto"/>
              <w:left w:val="nil"/>
              <w:bottom w:val="single" w:sz="4" w:space="0" w:color="auto"/>
              <w:right w:val="single" w:sz="4" w:space="0" w:color="auto"/>
            </w:tcBorders>
            <w:shd w:val="clear" w:color="auto" w:fill="auto"/>
            <w:vAlign w:val="center"/>
          </w:tcPr>
          <w:p w14:paraId="12888CDF"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B91080D"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5EEA7AD"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FA3603A"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9AF7CBE" w14:textId="77777777" w:rsidR="004346F3" w:rsidRPr="00536CFD" w:rsidRDefault="004346F3" w:rsidP="00802ABC">
            <w:pPr>
              <w:spacing w:after="0"/>
              <w:jc w:val="center"/>
              <w:rPr>
                <w:lang w:val="zh-CN"/>
              </w:rPr>
            </w:pPr>
            <w:r w:rsidRPr="00536CFD">
              <w:rPr>
                <w:lang w:eastAsia="x-none"/>
              </w:rPr>
              <w:t>99.9%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C515F89"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8CAF4CC"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D1DEA7B" w14:textId="77777777" w:rsidR="004346F3" w:rsidRPr="00536CFD" w:rsidRDefault="004346F3" w:rsidP="00802ABC">
            <w:pPr>
              <w:spacing w:after="0"/>
              <w:jc w:val="center"/>
              <w:rPr>
                <w:lang w:val="zh-CN"/>
              </w:rPr>
            </w:pPr>
            <w:r w:rsidRPr="00536CFD">
              <w:rPr>
                <w:lang w:eastAsia="x-none"/>
              </w:rPr>
              <w:t>100.0%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FB96F9D" w14:textId="77777777" w:rsidR="004346F3" w:rsidRPr="00536CFD" w:rsidRDefault="004346F3" w:rsidP="00802ABC">
            <w:pPr>
              <w:spacing w:after="0"/>
              <w:jc w:val="center"/>
              <w:rPr>
                <w:lang w:val="zh-CN"/>
              </w:rPr>
            </w:pPr>
            <w:r w:rsidRPr="00536CFD">
              <w:rPr>
                <w:lang w:eastAsia="x-none"/>
              </w:rPr>
              <w:t>99.4%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7FBA87B" w14:textId="77777777" w:rsidR="004346F3" w:rsidRPr="00536CFD" w:rsidRDefault="004346F3" w:rsidP="00802ABC">
            <w:pPr>
              <w:spacing w:after="0"/>
              <w:jc w:val="center"/>
              <w:rPr>
                <w:lang w:val="zh-CN"/>
              </w:rPr>
            </w:pPr>
            <w:r w:rsidRPr="00536CFD">
              <w:rPr>
                <w:lang w:eastAsia="x-none"/>
              </w:rPr>
              <w:t>100.0%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0C7B7DB5" w14:textId="77777777" w:rsidR="004346F3" w:rsidRPr="00536CFD" w:rsidRDefault="004346F3" w:rsidP="00802ABC">
            <w:pPr>
              <w:spacing w:after="0"/>
              <w:jc w:val="center"/>
              <w:rPr>
                <w:lang w:val="zh-CN"/>
              </w:rPr>
            </w:pPr>
            <w:r w:rsidRPr="00536CFD">
              <w:rPr>
                <w:lang w:eastAsia="x-none"/>
              </w:rPr>
              <w:t>100.0%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8924884" w14:textId="77777777" w:rsidR="004346F3" w:rsidRPr="00536CFD" w:rsidRDefault="004346F3" w:rsidP="00802ABC">
            <w:pPr>
              <w:spacing w:after="0"/>
              <w:jc w:val="center"/>
              <w:rPr>
                <w:lang w:val="zh-CN"/>
              </w:rPr>
            </w:pPr>
            <w:r w:rsidRPr="00536CFD">
              <w:rPr>
                <w:lang w:eastAsia="x-none"/>
              </w:rPr>
              <w:t>100.0%</w:t>
            </w:r>
          </w:p>
        </w:tc>
      </w:tr>
      <w:tr w:rsidR="004346F3" w:rsidRPr="00536CFD" w14:paraId="0313659A"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33E3C6B"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75A0A1BF"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2" w:type="dxa"/>
            <w:tcBorders>
              <w:top w:val="single" w:sz="4" w:space="0" w:color="auto"/>
              <w:left w:val="nil"/>
              <w:bottom w:val="single" w:sz="4" w:space="0" w:color="auto"/>
              <w:right w:val="single" w:sz="4" w:space="0" w:color="auto"/>
            </w:tcBorders>
            <w:shd w:val="clear" w:color="auto" w:fill="auto"/>
            <w:vAlign w:val="center"/>
          </w:tcPr>
          <w:p w14:paraId="2E6A042A"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42E88C3"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84181F2"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4230A58"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F5074F6" w14:textId="77777777" w:rsidR="004346F3" w:rsidRPr="00536CFD" w:rsidRDefault="004346F3" w:rsidP="00802ABC">
            <w:pPr>
              <w:spacing w:after="0"/>
              <w:jc w:val="center"/>
              <w:rPr>
                <w:lang w:val="zh-CN"/>
              </w:rPr>
            </w:pPr>
            <w:r w:rsidRPr="00536CFD">
              <w:rPr>
                <w:lang w:eastAsia="x-none"/>
              </w:rPr>
              <w:t>99.3%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CA3D489"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41D7D70"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A61FA38" w14:textId="77777777" w:rsidR="004346F3" w:rsidRPr="00536CFD" w:rsidRDefault="004346F3" w:rsidP="00802ABC">
            <w:pPr>
              <w:spacing w:after="0"/>
              <w:jc w:val="center"/>
              <w:rPr>
                <w:lang w:val="zh-CN"/>
              </w:rPr>
            </w:pPr>
            <w:r w:rsidRPr="00536CFD">
              <w:rPr>
                <w:lang w:eastAsia="x-none"/>
              </w:rPr>
              <w:t>100.0%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BC90997" w14:textId="77777777" w:rsidR="004346F3" w:rsidRPr="00536CFD" w:rsidRDefault="004346F3" w:rsidP="00802ABC">
            <w:pPr>
              <w:spacing w:after="0"/>
              <w:jc w:val="center"/>
              <w:rPr>
                <w:lang w:val="zh-CN"/>
              </w:rPr>
            </w:pPr>
            <w:r w:rsidRPr="00536CFD">
              <w:rPr>
                <w:lang w:eastAsia="x-none"/>
              </w:rPr>
              <w:t>95.5%</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A81B820" w14:textId="77777777" w:rsidR="004346F3" w:rsidRPr="00536CFD" w:rsidRDefault="004346F3" w:rsidP="00802ABC">
            <w:pPr>
              <w:spacing w:after="0"/>
              <w:jc w:val="center"/>
              <w:rPr>
                <w:lang w:val="zh-CN"/>
              </w:rPr>
            </w:pPr>
            <w:r w:rsidRPr="00536CFD">
              <w:rPr>
                <w:lang w:eastAsia="x-none"/>
              </w:rPr>
              <w:t>100.0%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D818E66" w14:textId="77777777" w:rsidR="004346F3" w:rsidRPr="00536CFD" w:rsidRDefault="004346F3" w:rsidP="00802ABC">
            <w:pPr>
              <w:spacing w:after="0"/>
              <w:jc w:val="center"/>
              <w:rPr>
                <w:lang w:val="zh-CN"/>
              </w:rPr>
            </w:pPr>
            <w:r w:rsidRPr="00536CFD">
              <w:rPr>
                <w:lang w:eastAsia="x-none"/>
              </w:rPr>
              <w:t>100.0%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E40B2AD" w14:textId="77777777" w:rsidR="004346F3" w:rsidRPr="00536CFD" w:rsidRDefault="004346F3" w:rsidP="00802ABC">
            <w:pPr>
              <w:spacing w:after="0"/>
              <w:jc w:val="center"/>
              <w:rPr>
                <w:lang w:val="zh-CN"/>
              </w:rPr>
            </w:pPr>
            <w:r w:rsidRPr="00536CFD">
              <w:rPr>
                <w:lang w:eastAsia="x-none"/>
              </w:rPr>
              <w:t>100.0%</w:t>
            </w:r>
          </w:p>
        </w:tc>
      </w:tr>
      <w:tr w:rsidR="004346F3" w:rsidRPr="00536CFD" w14:paraId="25263702"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A2D74C1"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5CE4BF3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2" w:type="dxa"/>
            <w:tcBorders>
              <w:top w:val="single" w:sz="4" w:space="0" w:color="auto"/>
              <w:left w:val="nil"/>
              <w:bottom w:val="single" w:sz="4" w:space="0" w:color="auto"/>
              <w:right w:val="single" w:sz="4" w:space="0" w:color="auto"/>
            </w:tcBorders>
            <w:shd w:val="clear" w:color="auto" w:fill="auto"/>
            <w:vAlign w:val="center"/>
          </w:tcPr>
          <w:p w14:paraId="4E89A808" w14:textId="77777777" w:rsidR="004346F3" w:rsidRPr="00536CFD" w:rsidRDefault="004346F3" w:rsidP="00802ABC">
            <w:pPr>
              <w:spacing w:after="0"/>
              <w:jc w:val="center"/>
              <w:rPr>
                <w:lang w:val="zh-CN"/>
              </w:rPr>
            </w:pPr>
            <w:r w:rsidRPr="00536CFD">
              <w:rPr>
                <w:lang w:eastAsia="x-none"/>
              </w:rPr>
              <w:t>13.1%</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2001413" w14:textId="77777777" w:rsidR="004346F3" w:rsidRPr="00536CFD" w:rsidRDefault="004346F3" w:rsidP="00802ABC">
            <w:pPr>
              <w:spacing w:after="0"/>
              <w:jc w:val="center"/>
              <w:rPr>
                <w:lang w:val="zh-CN"/>
              </w:rPr>
            </w:pPr>
            <w:r w:rsidRPr="00536CFD">
              <w:rPr>
                <w:lang w:eastAsia="x-none"/>
              </w:rPr>
              <w:t>11.4%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80ED639" w14:textId="77777777" w:rsidR="004346F3" w:rsidRPr="00536CFD" w:rsidRDefault="004346F3" w:rsidP="00802ABC">
            <w:pPr>
              <w:spacing w:after="0"/>
              <w:jc w:val="center"/>
              <w:rPr>
                <w:lang w:val="zh-CN"/>
              </w:rPr>
            </w:pPr>
            <w:r w:rsidRPr="00536CFD">
              <w:rPr>
                <w:lang w:eastAsia="x-none"/>
              </w:rPr>
              <w:t>8.2%</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C3D20D2" w14:textId="77777777" w:rsidR="004346F3" w:rsidRPr="00536CFD" w:rsidRDefault="004346F3" w:rsidP="00802ABC">
            <w:pPr>
              <w:spacing w:after="0"/>
              <w:jc w:val="center"/>
              <w:rPr>
                <w:lang w:val="zh-CN"/>
              </w:rPr>
            </w:pPr>
            <w:r w:rsidRPr="00536CFD">
              <w:rPr>
                <w:lang w:eastAsia="x-none"/>
              </w:rPr>
              <w:t>8.2%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0210982" w14:textId="77777777" w:rsidR="004346F3" w:rsidRPr="00536CFD" w:rsidRDefault="004346F3" w:rsidP="00802ABC">
            <w:pPr>
              <w:spacing w:after="0"/>
              <w:jc w:val="center"/>
              <w:rPr>
                <w:lang w:val="zh-CN"/>
              </w:rPr>
            </w:pPr>
            <w:r w:rsidRPr="00536CFD">
              <w:rPr>
                <w:lang w:eastAsia="x-none"/>
              </w:rPr>
              <w:t>38.2%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7E76854F" w14:textId="77777777" w:rsidR="004346F3" w:rsidRPr="00536CFD" w:rsidRDefault="004346F3" w:rsidP="00802ABC">
            <w:pPr>
              <w:spacing w:after="0"/>
              <w:jc w:val="center"/>
              <w:rPr>
                <w:lang w:val="zh-CN"/>
              </w:rPr>
            </w:pPr>
            <w:r w:rsidRPr="00536CFD">
              <w:rPr>
                <w:lang w:eastAsia="x-none"/>
              </w:rPr>
              <w:t>20.7%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3E513AC" w14:textId="77777777" w:rsidR="004346F3" w:rsidRPr="00536CFD" w:rsidRDefault="004346F3" w:rsidP="00802ABC">
            <w:pPr>
              <w:spacing w:after="0"/>
              <w:jc w:val="center"/>
              <w:rPr>
                <w:lang w:val="zh-CN"/>
              </w:rPr>
            </w:pPr>
            <w:r w:rsidRPr="00536CFD">
              <w:rPr>
                <w:lang w:eastAsia="x-none"/>
              </w:rPr>
              <w:t>12.9%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6307D96" w14:textId="77777777" w:rsidR="004346F3" w:rsidRPr="00536CFD" w:rsidRDefault="004346F3" w:rsidP="00802ABC">
            <w:pPr>
              <w:spacing w:after="0"/>
              <w:jc w:val="center"/>
              <w:rPr>
                <w:lang w:val="zh-CN"/>
              </w:rPr>
            </w:pPr>
            <w:r w:rsidRPr="00536CFD">
              <w:rPr>
                <w:lang w:eastAsia="x-none"/>
              </w:rPr>
              <w:t>12.7%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D4E9DA3" w14:textId="77777777" w:rsidR="004346F3" w:rsidRPr="00536CFD" w:rsidRDefault="004346F3" w:rsidP="00802ABC">
            <w:pPr>
              <w:spacing w:after="0"/>
              <w:jc w:val="center"/>
              <w:rPr>
                <w:lang w:val="zh-CN"/>
              </w:rPr>
            </w:pPr>
            <w:r w:rsidRPr="00536CFD">
              <w:rPr>
                <w:lang w:eastAsia="x-none"/>
              </w:rPr>
              <w:t>61.3%</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C024E42" w14:textId="77777777" w:rsidR="004346F3" w:rsidRPr="00536CFD" w:rsidRDefault="004346F3" w:rsidP="00802ABC">
            <w:pPr>
              <w:spacing w:after="0"/>
              <w:jc w:val="center"/>
              <w:rPr>
                <w:lang w:val="zh-CN"/>
              </w:rPr>
            </w:pPr>
            <w:r w:rsidRPr="00536CFD">
              <w:rPr>
                <w:lang w:eastAsia="x-none"/>
              </w:rPr>
              <w:t>30.5%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F80FDDD" w14:textId="77777777" w:rsidR="004346F3" w:rsidRPr="00536CFD" w:rsidRDefault="004346F3" w:rsidP="00802ABC">
            <w:pPr>
              <w:spacing w:after="0"/>
              <w:jc w:val="center"/>
              <w:rPr>
                <w:lang w:val="zh-CN"/>
              </w:rPr>
            </w:pPr>
            <w:r w:rsidRPr="00536CFD">
              <w:rPr>
                <w:lang w:eastAsia="x-none"/>
              </w:rPr>
              <w:t>17.3%</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297D07D" w14:textId="77777777" w:rsidR="004346F3" w:rsidRPr="00536CFD" w:rsidRDefault="004346F3" w:rsidP="00802ABC">
            <w:pPr>
              <w:spacing w:after="0"/>
              <w:jc w:val="center"/>
              <w:rPr>
                <w:lang w:val="zh-CN"/>
              </w:rPr>
            </w:pPr>
            <w:r w:rsidRPr="00536CFD">
              <w:rPr>
                <w:lang w:eastAsia="x-none"/>
              </w:rPr>
              <w:t>16.3%</w:t>
            </w:r>
          </w:p>
        </w:tc>
      </w:tr>
      <w:tr w:rsidR="004346F3" w:rsidRPr="00536CFD" w14:paraId="1746901B"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6191B46"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4C381436" w14:textId="77777777" w:rsidR="004346F3" w:rsidRPr="00536CFD" w:rsidRDefault="004346F3" w:rsidP="00802ABC">
            <w:pPr>
              <w:spacing w:after="0"/>
              <w:jc w:val="center"/>
            </w:pPr>
            <w:r w:rsidRPr="00536CFD">
              <w:rPr>
                <w:rFonts w:ascii="Cambria Math" w:hAnsi="Cambria Math" w:cs="Cambria Math"/>
              </w:rPr>
              <w:t>𝜆</w:t>
            </w:r>
          </w:p>
        </w:tc>
        <w:tc>
          <w:tcPr>
            <w:tcW w:w="2514" w:type="dxa"/>
            <w:gridSpan w:val="7"/>
            <w:tcBorders>
              <w:top w:val="single" w:sz="4" w:space="0" w:color="auto"/>
              <w:left w:val="nil"/>
              <w:bottom w:val="single" w:sz="4" w:space="0" w:color="auto"/>
              <w:right w:val="single" w:sz="4" w:space="0" w:color="auto"/>
            </w:tcBorders>
            <w:shd w:val="clear" w:color="auto" w:fill="auto"/>
            <w:vAlign w:val="center"/>
          </w:tcPr>
          <w:p w14:paraId="1E6C35E8" w14:textId="77777777" w:rsidR="004346F3" w:rsidRPr="00536CFD" w:rsidRDefault="004346F3" w:rsidP="00802ABC">
            <w:pPr>
              <w:spacing w:after="0"/>
              <w:jc w:val="center"/>
              <w:rPr>
                <w:lang w:val="zh-CN"/>
              </w:rPr>
            </w:pPr>
            <w:r w:rsidRPr="00536CFD">
              <w:rPr>
                <w:lang w:eastAsia="x-none"/>
              </w:rPr>
              <w:t>0.13</w:t>
            </w:r>
          </w:p>
        </w:tc>
        <w:tc>
          <w:tcPr>
            <w:tcW w:w="2860" w:type="dxa"/>
            <w:gridSpan w:val="8"/>
            <w:tcBorders>
              <w:top w:val="single" w:sz="4" w:space="0" w:color="auto"/>
              <w:left w:val="nil"/>
              <w:bottom w:val="single" w:sz="4" w:space="0" w:color="auto"/>
              <w:right w:val="single" w:sz="4" w:space="0" w:color="auto"/>
            </w:tcBorders>
            <w:shd w:val="clear" w:color="auto" w:fill="auto"/>
            <w:vAlign w:val="center"/>
          </w:tcPr>
          <w:p w14:paraId="385CDA67" w14:textId="77777777" w:rsidR="004346F3" w:rsidRPr="00536CFD" w:rsidRDefault="004346F3" w:rsidP="00802ABC">
            <w:pPr>
              <w:spacing w:after="0"/>
              <w:jc w:val="center"/>
              <w:rPr>
                <w:lang w:val="zh-CN"/>
              </w:rPr>
            </w:pPr>
            <w:r w:rsidRPr="00536CFD">
              <w:rPr>
                <w:lang w:eastAsia="x-none"/>
              </w:rPr>
              <w:t>0.17</w:t>
            </w:r>
          </w:p>
        </w:tc>
        <w:tc>
          <w:tcPr>
            <w:tcW w:w="2950" w:type="dxa"/>
            <w:gridSpan w:val="8"/>
            <w:tcBorders>
              <w:top w:val="single" w:sz="4" w:space="0" w:color="auto"/>
              <w:left w:val="nil"/>
              <w:bottom w:val="single" w:sz="4" w:space="0" w:color="auto"/>
              <w:right w:val="single" w:sz="4" w:space="0" w:color="auto"/>
            </w:tcBorders>
            <w:shd w:val="clear" w:color="auto" w:fill="auto"/>
            <w:vAlign w:val="center"/>
          </w:tcPr>
          <w:p w14:paraId="5D336214" w14:textId="77777777" w:rsidR="004346F3" w:rsidRPr="00536CFD" w:rsidRDefault="004346F3" w:rsidP="00802ABC">
            <w:pPr>
              <w:spacing w:after="0"/>
              <w:jc w:val="center"/>
              <w:rPr>
                <w:lang w:val="zh-CN"/>
              </w:rPr>
            </w:pPr>
            <w:r w:rsidRPr="00536CFD">
              <w:rPr>
                <w:lang w:eastAsia="x-none"/>
              </w:rPr>
              <w:t>0.19</w:t>
            </w:r>
          </w:p>
        </w:tc>
      </w:tr>
      <w:tr w:rsidR="004346F3" w:rsidRPr="00536CFD" w14:paraId="15295E77"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913126F"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3BB6EFC3" w14:textId="77777777" w:rsidR="004346F3" w:rsidRPr="00536CFD" w:rsidRDefault="004346F3" w:rsidP="00802ABC">
            <w:pPr>
              <w:spacing w:after="0"/>
              <w:contextualSpacing/>
              <w:rPr>
                <w:lang w:val="en-US" w:bidi="ar"/>
              </w:rPr>
            </w:pPr>
          </w:p>
        </w:tc>
        <w:tc>
          <w:tcPr>
            <w:tcW w:w="8324" w:type="dxa"/>
            <w:gridSpan w:val="23"/>
            <w:tcBorders>
              <w:top w:val="single" w:sz="4" w:space="0" w:color="auto"/>
              <w:left w:val="nil"/>
              <w:bottom w:val="single" w:sz="4" w:space="0" w:color="auto"/>
              <w:right w:val="single" w:sz="4" w:space="0" w:color="auto"/>
            </w:tcBorders>
            <w:shd w:val="clear" w:color="auto" w:fill="auto"/>
          </w:tcPr>
          <w:p w14:paraId="7418D198" w14:textId="77777777" w:rsidR="004346F3" w:rsidRPr="00536CFD" w:rsidRDefault="004346F3" w:rsidP="00802ABC">
            <w:pPr>
              <w:spacing w:after="0"/>
              <w:contextualSpacing/>
              <w:rPr>
                <w:lang w:val="en-US" w:bidi="ar"/>
              </w:rPr>
            </w:pPr>
            <w:r w:rsidRPr="00536CFD">
              <w:rPr>
                <w:lang w:val="en-US" w:bidi="ar"/>
              </w:rPr>
              <w:t xml:space="preserve">Additional Comments: </w:t>
            </w:r>
          </w:p>
          <w:p w14:paraId="772DB88A" w14:textId="77777777" w:rsidR="004346F3" w:rsidRPr="00536CFD" w:rsidRDefault="004346F3" w:rsidP="00802ABC">
            <w:pPr>
              <w:spacing w:after="0" w:line="360" w:lineRule="auto"/>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300D7DF2" w14:textId="77777777" w:rsidR="004346F3" w:rsidRPr="00536CFD" w:rsidRDefault="004346F3" w:rsidP="00802ABC">
            <w:pPr>
              <w:spacing w:after="0" w:line="360" w:lineRule="auto"/>
              <w:contextualSpacing/>
              <w:rPr>
                <w:lang w:val="en-US" w:bidi="ar"/>
              </w:rPr>
            </w:pPr>
            <w:r w:rsidRPr="00536CFD">
              <w:rPr>
                <w:b/>
                <w:lang w:val="en-US" w:bidi="ar"/>
              </w:rPr>
              <w:t>NRU assumption:</w:t>
            </w:r>
            <w:r w:rsidRPr="00536CFD">
              <w:rPr>
                <w:lang w:val="en-US" w:bidi="ar"/>
              </w:rPr>
              <w:t xml:space="preserve"> 8ms MCOT;  ED=-72dBm; 256 QAM LDPC; 30 kHz SCS NCP; UE processing time capability #1; NR type B for PDSCH, type A for PUSCH</w:t>
            </w:r>
          </w:p>
          <w:p w14:paraId="10A5717A" w14:textId="77777777" w:rsidR="004346F3" w:rsidRPr="00536CFD" w:rsidRDefault="004346F3" w:rsidP="00802ABC">
            <w:pPr>
              <w:spacing w:after="0" w:line="360" w:lineRule="auto"/>
              <w:contextualSpacing/>
              <w:rPr>
                <w:lang w:val="en-US" w:bidi="ar"/>
              </w:rPr>
            </w:pPr>
            <w:r w:rsidRPr="00536CFD">
              <w:rPr>
                <w:b/>
                <w:lang w:val="en-US" w:bidi="ar"/>
              </w:rPr>
              <w:t>802.11ac assumption:</w:t>
            </w:r>
            <w:r w:rsidRPr="00536CFD">
              <w:rPr>
                <w:lang w:val="en-US" w:bidi="ar"/>
              </w:rPr>
              <w:t xml:space="preserve"> 4ms TXOP; RTS/CTS disabled for WiFi, NAV set based on L-SIG; PD=-82dBm/ED=-62dBm EDCA; 256 QAM BCC; A-MPDU, 1500B MSDU + 14 B header; Immediate ACK,312.5kHz SCS GI= 0.8us</w:t>
            </w:r>
          </w:p>
          <w:p w14:paraId="35FF1084" w14:textId="77777777" w:rsidR="004346F3" w:rsidRPr="00536CFD" w:rsidRDefault="004346F3" w:rsidP="00802ABC">
            <w:pPr>
              <w:spacing w:after="0"/>
              <w:contextualSpacing/>
              <w:rPr>
                <w:lang w:val="en-US" w:bidi="ar"/>
              </w:rPr>
            </w:pPr>
          </w:p>
        </w:tc>
      </w:tr>
      <w:tr w:rsidR="004346F3" w:rsidRPr="00536CFD" w14:paraId="0F9CA77D" w14:textId="77777777" w:rsidTr="00802ABC">
        <w:trPr>
          <w:cantSplit/>
          <w:trHeight w:val="20"/>
        </w:trPr>
        <w:tc>
          <w:tcPr>
            <w:tcW w:w="288" w:type="dxa"/>
            <w:vMerge w:val="restart"/>
            <w:tcBorders>
              <w:top w:val="nil"/>
              <w:left w:val="single" w:sz="4" w:space="0" w:color="auto"/>
              <w:bottom w:val="single" w:sz="4" w:space="0" w:color="auto"/>
              <w:right w:val="single" w:sz="4" w:space="0" w:color="auto"/>
            </w:tcBorders>
            <w:shd w:val="clear" w:color="auto" w:fill="auto"/>
            <w:textDirection w:val="btLr"/>
          </w:tcPr>
          <w:p w14:paraId="6F19ABC8"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R1-1814085/Source 4</w:t>
            </w:r>
          </w:p>
        </w:tc>
        <w:tc>
          <w:tcPr>
            <w:tcW w:w="612" w:type="dxa"/>
            <w:gridSpan w:val="2"/>
            <w:vMerge w:val="restart"/>
            <w:tcBorders>
              <w:top w:val="nil"/>
              <w:left w:val="nil"/>
              <w:bottom w:val="single" w:sz="4" w:space="0" w:color="auto"/>
              <w:right w:val="single" w:sz="4" w:space="0" w:color="auto"/>
            </w:tcBorders>
            <w:shd w:val="clear" w:color="auto" w:fill="auto"/>
          </w:tcPr>
          <w:p w14:paraId="46E00C78"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1C4B3854"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center"/>
          </w:tcPr>
          <w:p w14:paraId="0CBCB51A" w14:textId="77777777" w:rsidR="004346F3" w:rsidRPr="00536CFD" w:rsidRDefault="004346F3" w:rsidP="00802ABC">
            <w:pPr>
              <w:pageBreakBefore/>
              <w:spacing w:after="0"/>
              <w:jc w:val="center"/>
              <w:rPr>
                <w:lang w:val="zh-CN"/>
              </w:rPr>
            </w:pPr>
            <w:r w:rsidRPr="00536CFD">
              <w:rPr>
                <w:lang w:eastAsia="x-none"/>
              </w:rPr>
              <w:t>12.99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E7C5DF8" w14:textId="77777777" w:rsidR="004346F3" w:rsidRPr="00536CFD" w:rsidRDefault="004346F3" w:rsidP="00802ABC">
            <w:pPr>
              <w:pageBreakBefore/>
              <w:spacing w:after="0"/>
              <w:jc w:val="center"/>
              <w:rPr>
                <w:lang w:val="zh-CN"/>
              </w:rPr>
            </w:pPr>
            <w:r w:rsidRPr="00536CFD">
              <w:rPr>
                <w:lang w:eastAsia="x-none"/>
              </w:rPr>
              <w:t>16.74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42DBD6C" w14:textId="77777777" w:rsidR="004346F3" w:rsidRPr="00536CFD" w:rsidRDefault="004346F3" w:rsidP="00802ABC">
            <w:pPr>
              <w:pageBreakBefore/>
              <w:spacing w:after="0"/>
              <w:jc w:val="center"/>
              <w:rPr>
                <w:lang w:val="zh-CN"/>
              </w:rPr>
            </w:pPr>
            <w:r w:rsidRPr="00536CFD">
              <w:rPr>
                <w:lang w:eastAsia="x-none"/>
              </w:rPr>
              <w:t>32.07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9C8B945" w14:textId="77777777" w:rsidR="004346F3" w:rsidRPr="00536CFD" w:rsidRDefault="004346F3" w:rsidP="00802ABC">
            <w:pPr>
              <w:pageBreakBefore/>
              <w:spacing w:after="0"/>
              <w:jc w:val="center"/>
              <w:rPr>
                <w:lang w:val="zh-CN"/>
              </w:rPr>
            </w:pPr>
            <w:r w:rsidRPr="00536CFD">
              <w:rPr>
                <w:lang w:eastAsia="x-none"/>
              </w:rPr>
              <w:t>33.77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4784829" w14:textId="77777777" w:rsidR="004346F3" w:rsidRPr="00536CFD" w:rsidRDefault="004346F3" w:rsidP="00802ABC">
            <w:pPr>
              <w:pageBreakBefore/>
              <w:spacing w:after="0"/>
              <w:jc w:val="center"/>
              <w:rPr>
                <w:lang w:val="zh-CN"/>
              </w:rPr>
            </w:pPr>
            <w:r w:rsidRPr="00536CFD">
              <w:rPr>
                <w:lang w:eastAsia="x-none"/>
              </w:rPr>
              <w:t>2.75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5751A4B" w14:textId="77777777" w:rsidR="004346F3" w:rsidRPr="00536CFD" w:rsidRDefault="004346F3" w:rsidP="00802ABC">
            <w:pPr>
              <w:pageBreakBefore/>
              <w:spacing w:after="0"/>
              <w:jc w:val="center"/>
              <w:rPr>
                <w:lang w:val="zh-CN"/>
              </w:rPr>
            </w:pPr>
            <w:r w:rsidRPr="00536CFD">
              <w:rPr>
                <w:lang w:eastAsia="x-none"/>
              </w:rPr>
              <w:t>10.44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87EA170" w14:textId="77777777" w:rsidR="004346F3" w:rsidRPr="00536CFD" w:rsidRDefault="004346F3" w:rsidP="00802ABC">
            <w:pPr>
              <w:pageBreakBefore/>
              <w:spacing w:after="0"/>
              <w:jc w:val="center"/>
              <w:rPr>
                <w:lang w:val="zh-CN"/>
              </w:rPr>
            </w:pPr>
            <w:r w:rsidRPr="00536CFD">
              <w:rPr>
                <w:lang w:eastAsia="x-none"/>
              </w:rPr>
              <w:t>23.45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D0418A3" w14:textId="77777777" w:rsidR="004346F3" w:rsidRPr="00536CFD" w:rsidRDefault="004346F3" w:rsidP="00802ABC">
            <w:pPr>
              <w:pageBreakBefore/>
              <w:spacing w:after="0"/>
              <w:jc w:val="center"/>
              <w:rPr>
                <w:lang w:val="zh-CN"/>
              </w:rPr>
            </w:pPr>
            <w:r w:rsidRPr="00536CFD">
              <w:rPr>
                <w:lang w:eastAsia="x-none"/>
              </w:rPr>
              <w:t>28.06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131DB9C" w14:textId="77777777" w:rsidR="004346F3" w:rsidRPr="00536CFD" w:rsidRDefault="004346F3" w:rsidP="00802ABC">
            <w:pPr>
              <w:pageBreakBefore/>
              <w:spacing w:after="0"/>
              <w:jc w:val="center"/>
              <w:rPr>
                <w:lang w:val="zh-CN"/>
              </w:rPr>
            </w:pPr>
            <w:r w:rsidRPr="00536CFD">
              <w:rPr>
                <w:lang w:eastAsia="x-none"/>
              </w:rPr>
              <w:t>0.61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0C2EAEE" w14:textId="77777777" w:rsidR="004346F3" w:rsidRPr="00536CFD" w:rsidRDefault="004346F3" w:rsidP="00802ABC">
            <w:pPr>
              <w:pageBreakBefore/>
              <w:spacing w:after="0"/>
              <w:jc w:val="center"/>
              <w:rPr>
                <w:lang w:val="zh-CN"/>
              </w:rPr>
            </w:pPr>
            <w:r w:rsidRPr="00536CFD">
              <w:rPr>
                <w:lang w:eastAsia="x-none"/>
              </w:rPr>
              <w:t>6.04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0BB7EA8" w14:textId="77777777" w:rsidR="004346F3" w:rsidRPr="00536CFD" w:rsidRDefault="004346F3" w:rsidP="00802ABC">
            <w:pPr>
              <w:pageBreakBefore/>
              <w:spacing w:after="0"/>
              <w:jc w:val="center"/>
              <w:rPr>
                <w:lang w:val="zh-CN"/>
              </w:rPr>
            </w:pPr>
            <w:r w:rsidRPr="00536CFD">
              <w:rPr>
                <w:lang w:eastAsia="x-none"/>
              </w:rPr>
              <w:t>18.44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3F6D6D5" w14:textId="77777777" w:rsidR="004346F3" w:rsidRPr="00536CFD" w:rsidRDefault="004346F3" w:rsidP="00802ABC">
            <w:pPr>
              <w:pageBreakBefore/>
              <w:spacing w:after="0"/>
              <w:jc w:val="center"/>
              <w:rPr>
                <w:lang w:val="zh-CN"/>
              </w:rPr>
            </w:pPr>
            <w:r w:rsidRPr="00536CFD">
              <w:rPr>
                <w:lang w:eastAsia="x-none"/>
              </w:rPr>
              <w:t>24.52</w:t>
            </w:r>
          </w:p>
        </w:tc>
      </w:tr>
      <w:tr w:rsidR="004346F3" w:rsidRPr="00536CFD" w14:paraId="361369CB"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7D20E6D"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0801EED"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6E2F2DD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center"/>
          </w:tcPr>
          <w:p w14:paraId="22FE2603" w14:textId="77777777" w:rsidR="004346F3" w:rsidRPr="00536CFD" w:rsidRDefault="004346F3" w:rsidP="00802ABC">
            <w:pPr>
              <w:spacing w:after="0"/>
              <w:jc w:val="center"/>
              <w:rPr>
                <w:lang w:val="zh-CN"/>
              </w:rPr>
            </w:pPr>
            <w:r w:rsidRPr="00536CFD">
              <w:rPr>
                <w:lang w:eastAsia="x-none"/>
              </w:rPr>
              <w:t>49.24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B050EA5" w14:textId="77777777" w:rsidR="004346F3" w:rsidRPr="00536CFD" w:rsidRDefault="004346F3" w:rsidP="00802ABC">
            <w:pPr>
              <w:spacing w:after="0"/>
              <w:jc w:val="center"/>
              <w:rPr>
                <w:lang w:val="zh-CN"/>
              </w:rPr>
            </w:pPr>
            <w:r w:rsidRPr="00536CFD">
              <w:rPr>
                <w:lang w:eastAsia="x-none"/>
              </w:rPr>
              <w:t>55.91</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C0F8357" w14:textId="77777777" w:rsidR="004346F3" w:rsidRPr="00536CFD" w:rsidRDefault="004346F3" w:rsidP="00802ABC">
            <w:pPr>
              <w:spacing w:after="0"/>
              <w:jc w:val="center"/>
              <w:rPr>
                <w:lang w:val="zh-CN"/>
              </w:rPr>
            </w:pPr>
            <w:r w:rsidRPr="00536CFD">
              <w:rPr>
                <w:lang w:eastAsia="x-none"/>
              </w:rPr>
              <w:t>85.60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A2E91AC" w14:textId="77777777" w:rsidR="004346F3" w:rsidRPr="00536CFD" w:rsidRDefault="004346F3" w:rsidP="00802ABC">
            <w:pPr>
              <w:spacing w:after="0"/>
              <w:jc w:val="center"/>
              <w:rPr>
                <w:lang w:val="zh-CN"/>
              </w:rPr>
            </w:pPr>
            <w:r w:rsidRPr="00536CFD">
              <w:rPr>
                <w:lang w:eastAsia="x-none"/>
              </w:rPr>
              <w:t>86.91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79750FF" w14:textId="77777777" w:rsidR="004346F3" w:rsidRPr="00536CFD" w:rsidRDefault="004346F3" w:rsidP="00802ABC">
            <w:pPr>
              <w:spacing w:after="0"/>
              <w:jc w:val="center"/>
              <w:rPr>
                <w:lang w:val="zh-CN"/>
              </w:rPr>
            </w:pPr>
            <w:r w:rsidRPr="00536CFD">
              <w:rPr>
                <w:lang w:eastAsia="x-none"/>
              </w:rPr>
              <w:t>26.27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30B147E" w14:textId="77777777" w:rsidR="004346F3" w:rsidRPr="00536CFD" w:rsidRDefault="004346F3" w:rsidP="00802ABC">
            <w:pPr>
              <w:spacing w:after="0"/>
              <w:jc w:val="center"/>
              <w:rPr>
                <w:lang w:val="zh-CN"/>
              </w:rPr>
            </w:pPr>
            <w:r w:rsidRPr="00536CFD">
              <w:rPr>
                <w:lang w:eastAsia="x-none"/>
              </w:rPr>
              <w:t>45.01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B1DCEB0" w14:textId="77777777" w:rsidR="004346F3" w:rsidRPr="00536CFD" w:rsidRDefault="004346F3" w:rsidP="00802ABC">
            <w:pPr>
              <w:spacing w:after="0"/>
              <w:jc w:val="center"/>
              <w:rPr>
                <w:lang w:val="zh-CN"/>
              </w:rPr>
            </w:pPr>
            <w:r w:rsidRPr="00536CFD">
              <w:rPr>
                <w:lang w:eastAsia="x-none"/>
              </w:rPr>
              <w:t>70.72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18EF028" w14:textId="77777777" w:rsidR="004346F3" w:rsidRPr="00536CFD" w:rsidRDefault="004346F3" w:rsidP="00802ABC">
            <w:pPr>
              <w:spacing w:after="0"/>
              <w:jc w:val="center"/>
              <w:rPr>
                <w:lang w:val="zh-CN"/>
              </w:rPr>
            </w:pPr>
            <w:r w:rsidRPr="00536CFD">
              <w:rPr>
                <w:lang w:eastAsia="x-none"/>
              </w:rPr>
              <w:t>76.77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3A00D8A" w14:textId="77777777" w:rsidR="004346F3" w:rsidRPr="00536CFD" w:rsidRDefault="004346F3" w:rsidP="00802ABC">
            <w:pPr>
              <w:spacing w:after="0"/>
              <w:jc w:val="center"/>
              <w:rPr>
                <w:lang w:val="zh-CN"/>
              </w:rPr>
            </w:pPr>
            <w:r w:rsidRPr="00536CFD">
              <w:rPr>
                <w:lang w:eastAsia="x-none"/>
              </w:rPr>
              <w:t>14.38</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E344D43" w14:textId="77777777" w:rsidR="004346F3" w:rsidRPr="00536CFD" w:rsidRDefault="004346F3" w:rsidP="00802ABC">
            <w:pPr>
              <w:spacing w:after="0"/>
              <w:jc w:val="center"/>
              <w:rPr>
                <w:lang w:val="zh-CN"/>
              </w:rPr>
            </w:pPr>
            <w:r w:rsidRPr="00536CFD">
              <w:rPr>
                <w:lang w:eastAsia="x-none"/>
              </w:rPr>
              <w:t>35.56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784CCEB" w14:textId="77777777" w:rsidR="004346F3" w:rsidRPr="00536CFD" w:rsidRDefault="004346F3" w:rsidP="00802ABC">
            <w:pPr>
              <w:spacing w:after="0"/>
              <w:jc w:val="center"/>
              <w:rPr>
                <w:lang w:val="zh-CN"/>
              </w:rPr>
            </w:pPr>
            <w:r w:rsidRPr="00536CFD">
              <w:rPr>
                <w:lang w:eastAsia="x-none"/>
              </w:rPr>
              <w:t>57.75</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CB63B72" w14:textId="77777777" w:rsidR="004346F3" w:rsidRPr="00536CFD" w:rsidRDefault="004346F3" w:rsidP="00802ABC">
            <w:pPr>
              <w:spacing w:after="0"/>
              <w:jc w:val="center"/>
              <w:rPr>
                <w:lang w:val="zh-CN"/>
              </w:rPr>
            </w:pPr>
            <w:r w:rsidRPr="00536CFD">
              <w:rPr>
                <w:lang w:eastAsia="x-none"/>
              </w:rPr>
              <w:t>70.73</w:t>
            </w:r>
          </w:p>
        </w:tc>
      </w:tr>
      <w:tr w:rsidR="004346F3" w:rsidRPr="00536CFD" w14:paraId="3474014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1CE615F"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057A3E13"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3DAC1A1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center"/>
          </w:tcPr>
          <w:p w14:paraId="0E71F798" w14:textId="77777777" w:rsidR="004346F3" w:rsidRPr="00536CFD" w:rsidRDefault="004346F3" w:rsidP="00802ABC">
            <w:pPr>
              <w:spacing w:after="0"/>
              <w:jc w:val="center"/>
              <w:rPr>
                <w:lang w:val="zh-CN"/>
              </w:rPr>
            </w:pPr>
            <w:r w:rsidRPr="00536CFD">
              <w:rPr>
                <w:lang w:eastAsia="x-none"/>
              </w:rPr>
              <w:t>77.43</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53432C6" w14:textId="77777777" w:rsidR="004346F3" w:rsidRPr="00536CFD" w:rsidRDefault="004346F3" w:rsidP="00802ABC">
            <w:pPr>
              <w:spacing w:after="0"/>
              <w:jc w:val="center"/>
              <w:rPr>
                <w:lang w:val="zh-CN"/>
              </w:rPr>
            </w:pPr>
            <w:r w:rsidRPr="00536CFD">
              <w:rPr>
                <w:lang w:eastAsia="x-none"/>
              </w:rPr>
              <w:t>77.67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E8CA460" w14:textId="77777777" w:rsidR="004346F3" w:rsidRPr="00536CFD" w:rsidRDefault="004346F3" w:rsidP="00802ABC">
            <w:pPr>
              <w:spacing w:after="0"/>
              <w:jc w:val="center"/>
              <w:rPr>
                <w:lang w:val="zh-CN"/>
              </w:rPr>
            </w:pPr>
            <w:r w:rsidRPr="00536CFD">
              <w:rPr>
                <w:lang w:eastAsia="x-none"/>
              </w:rPr>
              <w:t>105.66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48AFDE5" w14:textId="77777777" w:rsidR="004346F3" w:rsidRPr="00536CFD" w:rsidRDefault="004346F3" w:rsidP="00802ABC">
            <w:pPr>
              <w:spacing w:after="0"/>
              <w:jc w:val="center"/>
              <w:rPr>
                <w:lang w:val="zh-CN"/>
              </w:rPr>
            </w:pPr>
            <w:r w:rsidRPr="00536CFD">
              <w:rPr>
                <w:lang w:eastAsia="x-none"/>
              </w:rPr>
              <w:t>105.66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33B2052" w14:textId="77777777" w:rsidR="004346F3" w:rsidRPr="00536CFD" w:rsidRDefault="004346F3" w:rsidP="00802ABC">
            <w:pPr>
              <w:spacing w:after="0"/>
              <w:jc w:val="center"/>
              <w:rPr>
                <w:lang w:val="zh-CN"/>
              </w:rPr>
            </w:pPr>
            <w:r w:rsidRPr="00536CFD">
              <w:rPr>
                <w:lang w:eastAsia="x-none"/>
              </w:rPr>
              <w:t>72.25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E53B371" w14:textId="77777777" w:rsidR="004346F3" w:rsidRPr="00536CFD" w:rsidRDefault="004346F3" w:rsidP="00802ABC">
            <w:pPr>
              <w:spacing w:after="0"/>
              <w:jc w:val="center"/>
              <w:rPr>
                <w:lang w:val="zh-CN"/>
              </w:rPr>
            </w:pPr>
            <w:r w:rsidRPr="00536CFD">
              <w:rPr>
                <w:lang w:eastAsia="x-none"/>
              </w:rPr>
              <w:t>77.45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C17E518" w14:textId="77777777" w:rsidR="004346F3" w:rsidRPr="00536CFD" w:rsidRDefault="004346F3" w:rsidP="00802ABC">
            <w:pPr>
              <w:spacing w:after="0"/>
              <w:jc w:val="center"/>
              <w:rPr>
                <w:lang w:val="zh-CN"/>
              </w:rPr>
            </w:pPr>
            <w:r w:rsidRPr="00536CFD">
              <w:rPr>
                <w:lang w:eastAsia="x-none"/>
              </w:rPr>
              <w:t>105.63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BBCAAE6" w14:textId="77777777" w:rsidR="004346F3" w:rsidRPr="00536CFD" w:rsidRDefault="004346F3" w:rsidP="00802ABC">
            <w:pPr>
              <w:spacing w:after="0"/>
              <w:jc w:val="center"/>
              <w:rPr>
                <w:lang w:val="zh-CN"/>
              </w:rPr>
            </w:pPr>
            <w:r w:rsidRPr="00536CFD">
              <w:rPr>
                <w:lang w:eastAsia="x-none"/>
              </w:rPr>
              <w:t>105.65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FF529F3" w14:textId="77777777" w:rsidR="004346F3" w:rsidRPr="00536CFD" w:rsidRDefault="004346F3" w:rsidP="00802ABC">
            <w:pPr>
              <w:spacing w:after="0"/>
              <w:jc w:val="center"/>
              <w:rPr>
                <w:lang w:val="zh-CN"/>
              </w:rPr>
            </w:pPr>
            <w:r w:rsidRPr="00536CFD">
              <w:rPr>
                <w:lang w:eastAsia="x-none"/>
              </w:rPr>
              <w:t>60.86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1B571470" w14:textId="77777777" w:rsidR="004346F3" w:rsidRPr="00536CFD" w:rsidRDefault="004346F3" w:rsidP="00802ABC">
            <w:pPr>
              <w:spacing w:after="0"/>
              <w:jc w:val="center"/>
              <w:rPr>
                <w:lang w:val="zh-CN"/>
              </w:rPr>
            </w:pPr>
            <w:r w:rsidRPr="00536CFD">
              <w:rPr>
                <w:lang w:eastAsia="x-none"/>
              </w:rPr>
              <w:t>76.94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6B7D943" w14:textId="77777777" w:rsidR="004346F3" w:rsidRPr="00536CFD" w:rsidRDefault="004346F3" w:rsidP="00802ABC">
            <w:pPr>
              <w:spacing w:after="0"/>
              <w:jc w:val="center"/>
              <w:rPr>
                <w:lang w:val="zh-CN"/>
              </w:rPr>
            </w:pPr>
            <w:r w:rsidRPr="00536CFD">
              <w:rPr>
                <w:lang w:eastAsia="x-none"/>
              </w:rPr>
              <w:t>105.42</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0616D19C" w14:textId="77777777" w:rsidR="004346F3" w:rsidRPr="00536CFD" w:rsidRDefault="004346F3" w:rsidP="00802ABC">
            <w:pPr>
              <w:spacing w:after="0"/>
              <w:jc w:val="center"/>
              <w:rPr>
                <w:lang w:val="zh-CN"/>
              </w:rPr>
            </w:pPr>
            <w:r w:rsidRPr="00536CFD">
              <w:rPr>
                <w:lang w:eastAsia="x-none"/>
              </w:rPr>
              <w:t>105.60</w:t>
            </w:r>
          </w:p>
        </w:tc>
      </w:tr>
      <w:tr w:rsidR="004346F3" w:rsidRPr="00536CFD" w14:paraId="0D2E65C3"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162A037"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FA9557E"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3E4191C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center"/>
          </w:tcPr>
          <w:p w14:paraId="74813775" w14:textId="77777777" w:rsidR="004346F3" w:rsidRPr="00536CFD" w:rsidRDefault="004346F3" w:rsidP="00802ABC">
            <w:pPr>
              <w:spacing w:after="0"/>
              <w:jc w:val="center"/>
              <w:rPr>
                <w:lang w:val="zh-CN"/>
              </w:rPr>
            </w:pPr>
            <w:r w:rsidRPr="00536CFD">
              <w:rPr>
                <w:lang w:eastAsia="x-none"/>
              </w:rPr>
              <w:t>47.95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C397300" w14:textId="77777777" w:rsidR="004346F3" w:rsidRPr="00536CFD" w:rsidRDefault="004346F3" w:rsidP="00802ABC">
            <w:pPr>
              <w:spacing w:after="0"/>
              <w:jc w:val="center"/>
              <w:rPr>
                <w:lang w:val="zh-CN"/>
              </w:rPr>
            </w:pPr>
            <w:r w:rsidRPr="00536CFD">
              <w:rPr>
                <w:lang w:eastAsia="x-none"/>
              </w:rPr>
              <w:t>52.65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2FD8543" w14:textId="77777777" w:rsidR="004346F3" w:rsidRPr="00536CFD" w:rsidRDefault="004346F3" w:rsidP="00802ABC">
            <w:pPr>
              <w:spacing w:after="0"/>
              <w:jc w:val="center"/>
              <w:rPr>
                <w:lang w:val="zh-CN"/>
              </w:rPr>
            </w:pPr>
            <w:r w:rsidRPr="00536CFD">
              <w:rPr>
                <w:lang w:eastAsia="x-none"/>
              </w:rPr>
              <w:t>78.98</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2EE595F" w14:textId="77777777" w:rsidR="004346F3" w:rsidRPr="00536CFD" w:rsidRDefault="004346F3" w:rsidP="00802ABC">
            <w:pPr>
              <w:spacing w:after="0"/>
              <w:jc w:val="center"/>
              <w:rPr>
                <w:lang w:val="zh-CN"/>
              </w:rPr>
            </w:pPr>
            <w:r w:rsidRPr="00536CFD">
              <w:rPr>
                <w:lang w:eastAsia="x-none"/>
              </w:rPr>
              <w:t>80.07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7CE758EA" w14:textId="77777777" w:rsidR="004346F3" w:rsidRPr="00536CFD" w:rsidRDefault="004346F3" w:rsidP="00802ABC">
            <w:pPr>
              <w:spacing w:after="0"/>
              <w:jc w:val="center"/>
              <w:rPr>
                <w:lang w:val="zh-CN"/>
              </w:rPr>
            </w:pPr>
            <w:r w:rsidRPr="00536CFD">
              <w:rPr>
                <w:lang w:eastAsia="x-none"/>
              </w:rPr>
              <w:t>30.52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24B0D2E" w14:textId="77777777" w:rsidR="004346F3" w:rsidRPr="00536CFD" w:rsidRDefault="004346F3" w:rsidP="00802ABC">
            <w:pPr>
              <w:spacing w:after="0"/>
              <w:jc w:val="center"/>
              <w:rPr>
                <w:lang w:val="zh-CN"/>
              </w:rPr>
            </w:pPr>
            <w:r w:rsidRPr="00536CFD">
              <w:rPr>
                <w:lang w:eastAsia="x-none"/>
              </w:rPr>
              <w:t>44.85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4458770" w14:textId="77777777" w:rsidR="004346F3" w:rsidRPr="00536CFD" w:rsidRDefault="004346F3" w:rsidP="00802ABC">
            <w:pPr>
              <w:spacing w:after="0"/>
              <w:jc w:val="center"/>
              <w:rPr>
                <w:lang w:val="zh-CN"/>
              </w:rPr>
            </w:pPr>
            <w:r w:rsidRPr="00536CFD">
              <w:rPr>
                <w:lang w:eastAsia="x-none"/>
              </w:rPr>
              <w:t>70.09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A69927B" w14:textId="77777777" w:rsidR="004346F3" w:rsidRPr="00536CFD" w:rsidRDefault="004346F3" w:rsidP="00802ABC">
            <w:pPr>
              <w:spacing w:after="0"/>
              <w:jc w:val="center"/>
              <w:rPr>
                <w:lang w:val="zh-CN"/>
              </w:rPr>
            </w:pPr>
            <w:r w:rsidRPr="00536CFD">
              <w:rPr>
                <w:lang w:eastAsia="x-none"/>
              </w:rPr>
              <w:t>74.29</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F253466" w14:textId="77777777" w:rsidR="004346F3" w:rsidRPr="00536CFD" w:rsidRDefault="004346F3" w:rsidP="00802ABC">
            <w:pPr>
              <w:spacing w:after="0"/>
              <w:jc w:val="center"/>
              <w:rPr>
                <w:lang w:val="zh-CN"/>
              </w:rPr>
            </w:pPr>
            <w:r w:rsidRPr="00536CFD">
              <w:rPr>
                <w:lang w:eastAsia="x-none"/>
              </w:rPr>
              <w:t>20.58</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1582457" w14:textId="77777777" w:rsidR="004346F3" w:rsidRPr="00536CFD" w:rsidRDefault="004346F3" w:rsidP="00802ABC">
            <w:pPr>
              <w:spacing w:after="0"/>
              <w:jc w:val="center"/>
              <w:rPr>
                <w:lang w:val="zh-CN"/>
              </w:rPr>
            </w:pPr>
            <w:r w:rsidRPr="00536CFD">
              <w:rPr>
                <w:lang w:eastAsia="x-none"/>
              </w:rPr>
              <w:t>38.31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D76FE0A" w14:textId="77777777" w:rsidR="004346F3" w:rsidRPr="00536CFD" w:rsidRDefault="004346F3" w:rsidP="00802ABC">
            <w:pPr>
              <w:spacing w:after="0"/>
              <w:jc w:val="center"/>
              <w:rPr>
                <w:lang w:val="zh-CN"/>
              </w:rPr>
            </w:pPr>
            <w:r w:rsidRPr="00536CFD">
              <w:rPr>
                <w:lang w:eastAsia="x-none"/>
              </w:rPr>
              <w:t>61.77</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78FC96B4" w14:textId="77777777" w:rsidR="004346F3" w:rsidRPr="00536CFD" w:rsidRDefault="004346F3" w:rsidP="00802ABC">
            <w:pPr>
              <w:spacing w:after="0"/>
              <w:jc w:val="center"/>
              <w:rPr>
                <w:lang w:val="zh-CN"/>
              </w:rPr>
            </w:pPr>
            <w:r w:rsidRPr="00536CFD">
              <w:rPr>
                <w:lang w:eastAsia="x-none"/>
              </w:rPr>
              <w:t>70.66</w:t>
            </w:r>
          </w:p>
        </w:tc>
      </w:tr>
      <w:tr w:rsidR="004346F3" w:rsidRPr="00536CFD" w14:paraId="6219743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802B2BF"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2A90191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75202B3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center"/>
          </w:tcPr>
          <w:p w14:paraId="6E26302C"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A12F082"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3A1940D" w14:textId="77777777" w:rsidR="004346F3" w:rsidRPr="00536CFD" w:rsidRDefault="004346F3" w:rsidP="00802ABC">
            <w:pPr>
              <w:spacing w:after="0"/>
              <w:jc w:val="center"/>
              <w:rPr>
                <w:lang w:val="zh-CN"/>
              </w:rPr>
            </w:pPr>
            <w:r w:rsidRPr="00536CFD">
              <w:rPr>
                <w:lang w:eastAsia="x-none"/>
              </w:rPr>
              <w:t>0.04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8B994FB" w14:textId="77777777" w:rsidR="004346F3" w:rsidRPr="00536CFD" w:rsidRDefault="004346F3" w:rsidP="00802ABC">
            <w:pPr>
              <w:spacing w:after="0"/>
              <w:jc w:val="center"/>
              <w:rPr>
                <w:lang w:val="zh-CN"/>
              </w:rPr>
            </w:pPr>
            <w:r w:rsidRPr="00536CFD">
              <w:rPr>
                <w:lang w:eastAsia="x-none"/>
              </w:rPr>
              <w:t>0.04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2954E5C" w14:textId="77777777" w:rsidR="004346F3" w:rsidRPr="00536CFD" w:rsidRDefault="004346F3" w:rsidP="00802ABC">
            <w:pPr>
              <w:spacing w:after="0"/>
              <w:jc w:val="center"/>
              <w:rPr>
                <w:lang w:val="zh-CN"/>
              </w:rPr>
            </w:pPr>
            <w:r w:rsidRPr="00536CFD">
              <w:rPr>
                <w:lang w:eastAsia="x-none"/>
              </w:rPr>
              <w:t>0.06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4EBC590"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406EA3F" w14:textId="77777777" w:rsidR="004346F3" w:rsidRPr="00536CFD" w:rsidRDefault="004346F3" w:rsidP="00802ABC">
            <w:pPr>
              <w:spacing w:after="0"/>
              <w:jc w:val="center"/>
              <w:rPr>
                <w:lang w:val="zh-CN"/>
              </w:rPr>
            </w:pPr>
            <w:r w:rsidRPr="00536CFD">
              <w:rPr>
                <w:lang w:eastAsia="x-none"/>
              </w:rPr>
              <w:t>0.04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85567ED" w14:textId="77777777" w:rsidR="004346F3" w:rsidRPr="00536CFD" w:rsidRDefault="004346F3" w:rsidP="00802ABC">
            <w:pPr>
              <w:spacing w:after="0"/>
              <w:jc w:val="center"/>
              <w:rPr>
                <w:lang w:val="zh-CN"/>
              </w:rPr>
            </w:pPr>
            <w:r w:rsidRPr="00536CFD">
              <w:rPr>
                <w:lang w:eastAsia="x-none"/>
              </w:rPr>
              <w:t>0.04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F80BE4B" w14:textId="77777777" w:rsidR="004346F3" w:rsidRPr="00536CFD" w:rsidRDefault="004346F3" w:rsidP="00802ABC">
            <w:pPr>
              <w:spacing w:after="0"/>
              <w:jc w:val="center"/>
              <w:rPr>
                <w:lang w:val="zh-CN"/>
              </w:rPr>
            </w:pPr>
            <w:r w:rsidRPr="00536CFD">
              <w:rPr>
                <w:lang w:eastAsia="x-none"/>
              </w:rPr>
              <w:t>0.07</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9114339" w14:textId="77777777" w:rsidR="004346F3" w:rsidRPr="00536CFD" w:rsidRDefault="004346F3" w:rsidP="00802ABC">
            <w:pPr>
              <w:spacing w:after="0"/>
              <w:jc w:val="center"/>
              <w:rPr>
                <w:lang w:val="zh-CN"/>
              </w:rPr>
            </w:pPr>
            <w:r w:rsidRPr="00536CFD">
              <w:rPr>
                <w:lang w:eastAsia="x-none"/>
              </w:rPr>
              <w:t>0.05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64CC4D6" w14:textId="77777777" w:rsidR="004346F3" w:rsidRPr="00536CFD" w:rsidRDefault="004346F3" w:rsidP="00802ABC">
            <w:pPr>
              <w:spacing w:after="0"/>
              <w:jc w:val="center"/>
              <w:rPr>
                <w:lang w:val="zh-CN"/>
              </w:rPr>
            </w:pPr>
            <w:r w:rsidRPr="00536CFD">
              <w:rPr>
                <w:lang w:eastAsia="x-none"/>
              </w:rPr>
              <w:t>0.04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A282B7F" w14:textId="77777777" w:rsidR="004346F3" w:rsidRPr="00536CFD" w:rsidRDefault="004346F3" w:rsidP="00802ABC">
            <w:pPr>
              <w:spacing w:after="0"/>
              <w:jc w:val="center"/>
              <w:rPr>
                <w:lang w:val="zh-CN"/>
              </w:rPr>
            </w:pPr>
            <w:r w:rsidRPr="00536CFD">
              <w:rPr>
                <w:lang w:eastAsia="x-none"/>
              </w:rPr>
              <w:t>0.04</w:t>
            </w:r>
          </w:p>
        </w:tc>
      </w:tr>
      <w:tr w:rsidR="004346F3" w:rsidRPr="00536CFD" w14:paraId="137318B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58D1E7B"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1D711C1"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02D0CE0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center"/>
          </w:tcPr>
          <w:p w14:paraId="1F7C2C13" w14:textId="77777777" w:rsidR="004346F3" w:rsidRPr="00536CFD" w:rsidRDefault="004346F3" w:rsidP="00802ABC">
            <w:pPr>
              <w:spacing w:after="0"/>
              <w:jc w:val="center"/>
              <w:rPr>
                <w:lang w:val="zh-CN"/>
              </w:rPr>
            </w:pPr>
            <w:r w:rsidRPr="00536CFD">
              <w:rPr>
                <w:lang w:eastAsia="x-none"/>
              </w:rPr>
              <w:t>0.08</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9B3865B" w14:textId="77777777" w:rsidR="004346F3" w:rsidRPr="00536CFD" w:rsidRDefault="004346F3" w:rsidP="00802ABC">
            <w:pPr>
              <w:spacing w:after="0"/>
              <w:jc w:val="center"/>
              <w:rPr>
                <w:lang w:val="zh-CN"/>
              </w:rPr>
            </w:pPr>
            <w:r w:rsidRPr="00536CFD">
              <w:rPr>
                <w:lang w:eastAsia="x-none"/>
              </w:rPr>
              <w:t>0.07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7363D67"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6DE8B6E"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297F445" w14:textId="77777777" w:rsidR="004346F3" w:rsidRPr="00536CFD" w:rsidRDefault="004346F3" w:rsidP="00802ABC">
            <w:pPr>
              <w:spacing w:after="0"/>
              <w:jc w:val="center"/>
              <w:rPr>
                <w:lang w:val="zh-CN"/>
              </w:rPr>
            </w:pPr>
            <w:r w:rsidRPr="00536CFD">
              <w:rPr>
                <w:lang w:eastAsia="x-none"/>
              </w:rPr>
              <w:t>0.15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A82D7E7" w14:textId="77777777" w:rsidR="004346F3" w:rsidRPr="00536CFD" w:rsidRDefault="004346F3" w:rsidP="00802ABC">
            <w:pPr>
              <w:spacing w:after="0"/>
              <w:jc w:val="center"/>
              <w:rPr>
                <w:lang w:val="zh-CN"/>
              </w:rPr>
            </w:pPr>
            <w:r w:rsidRPr="00536CFD">
              <w:rPr>
                <w:lang w:eastAsia="x-none"/>
              </w:rPr>
              <w:t>0.09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78A194C7" w14:textId="77777777" w:rsidR="004346F3" w:rsidRPr="00536CFD" w:rsidRDefault="004346F3" w:rsidP="00802ABC">
            <w:pPr>
              <w:spacing w:after="0"/>
              <w:jc w:val="center"/>
              <w:rPr>
                <w:lang w:val="zh-CN"/>
              </w:rPr>
            </w:pPr>
            <w:r w:rsidRPr="00536CFD">
              <w:rPr>
                <w:lang w:eastAsia="x-none"/>
              </w:rPr>
              <w:t>0.06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9D58AA8" w14:textId="77777777" w:rsidR="004346F3" w:rsidRPr="00536CFD" w:rsidRDefault="004346F3" w:rsidP="00802ABC">
            <w:pPr>
              <w:spacing w:after="0"/>
              <w:jc w:val="center"/>
              <w:rPr>
                <w:lang w:val="zh-CN"/>
              </w:rPr>
            </w:pPr>
            <w:r w:rsidRPr="00536CFD">
              <w:rPr>
                <w:lang w:eastAsia="x-none"/>
              </w:rPr>
              <w:t>0.05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0352C51" w14:textId="77777777" w:rsidR="004346F3" w:rsidRPr="00536CFD" w:rsidRDefault="004346F3" w:rsidP="00802ABC">
            <w:pPr>
              <w:spacing w:after="0"/>
              <w:jc w:val="center"/>
              <w:rPr>
                <w:lang w:val="zh-CN"/>
              </w:rPr>
            </w:pPr>
            <w:r w:rsidRPr="00536CFD">
              <w:rPr>
                <w:lang w:eastAsia="x-none"/>
              </w:rPr>
              <w:t>0.26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2F1FEBC" w14:textId="77777777" w:rsidR="004346F3" w:rsidRPr="00536CFD" w:rsidRDefault="004346F3" w:rsidP="00802ABC">
            <w:pPr>
              <w:spacing w:after="0"/>
              <w:jc w:val="center"/>
              <w:rPr>
                <w:lang w:val="zh-CN"/>
              </w:rPr>
            </w:pPr>
            <w:r w:rsidRPr="00536CFD">
              <w:rPr>
                <w:lang w:eastAsia="x-none"/>
              </w:rPr>
              <w:t>0.11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8C64DF0" w14:textId="77777777" w:rsidR="004346F3" w:rsidRPr="00536CFD" w:rsidRDefault="004346F3" w:rsidP="00802ABC">
            <w:pPr>
              <w:spacing w:after="0"/>
              <w:jc w:val="center"/>
              <w:rPr>
                <w:lang w:val="zh-CN"/>
              </w:rPr>
            </w:pPr>
            <w:r w:rsidRPr="00536CFD">
              <w:rPr>
                <w:lang w:eastAsia="x-none"/>
              </w:rPr>
              <w:t>0.07</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AA8A948" w14:textId="77777777" w:rsidR="004346F3" w:rsidRPr="00536CFD" w:rsidRDefault="004346F3" w:rsidP="00802ABC">
            <w:pPr>
              <w:spacing w:after="0"/>
              <w:jc w:val="center"/>
              <w:rPr>
                <w:lang w:val="zh-CN"/>
              </w:rPr>
            </w:pPr>
            <w:r w:rsidRPr="00536CFD">
              <w:rPr>
                <w:lang w:eastAsia="x-none"/>
              </w:rPr>
              <w:t>0.06</w:t>
            </w:r>
          </w:p>
        </w:tc>
      </w:tr>
      <w:tr w:rsidR="004346F3" w:rsidRPr="00536CFD" w14:paraId="03D9DF2B"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1889526"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FCEBD21"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93A6B2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center"/>
          </w:tcPr>
          <w:p w14:paraId="412DEB5F" w14:textId="77777777" w:rsidR="004346F3" w:rsidRPr="00536CFD" w:rsidRDefault="004346F3" w:rsidP="00802ABC">
            <w:pPr>
              <w:spacing w:after="0"/>
              <w:jc w:val="center"/>
              <w:rPr>
                <w:lang w:val="zh-CN"/>
              </w:rPr>
            </w:pPr>
            <w:r w:rsidRPr="00536CFD">
              <w:rPr>
                <w:lang w:eastAsia="x-none"/>
              </w:rPr>
              <w:t>0.30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9AB6F6F" w14:textId="77777777" w:rsidR="004346F3" w:rsidRPr="00536CFD" w:rsidRDefault="004346F3" w:rsidP="00802ABC">
            <w:pPr>
              <w:spacing w:after="0"/>
              <w:jc w:val="center"/>
              <w:rPr>
                <w:lang w:val="zh-CN"/>
              </w:rPr>
            </w:pPr>
            <w:r w:rsidRPr="00536CFD">
              <w:rPr>
                <w:lang w:eastAsia="x-none"/>
              </w:rPr>
              <w:t>0.23</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0DEB995" w14:textId="77777777" w:rsidR="004346F3" w:rsidRPr="00536CFD" w:rsidRDefault="004346F3" w:rsidP="00802ABC">
            <w:pPr>
              <w:spacing w:after="0"/>
              <w:jc w:val="center"/>
              <w:rPr>
                <w:lang w:val="zh-CN"/>
              </w:rPr>
            </w:pPr>
            <w:r w:rsidRPr="00536CFD">
              <w:rPr>
                <w:lang w:eastAsia="x-none"/>
              </w:rPr>
              <w:t>0.12</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B82752D" w14:textId="77777777" w:rsidR="004346F3" w:rsidRPr="00536CFD" w:rsidRDefault="004346F3" w:rsidP="00802ABC">
            <w:pPr>
              <w:spacing w:after="0"/>
              <w:jc w:val="center"/>
              <w:rPr>
                <w:lang w:val="zh-CN"/>
              </w:rPr>
            </w:pPr>
            <w:r w:rsidRPr="00536CFD">
              <w:rPr>
                <w:lang w:eastAsia="x-none"/>
              </w:rPr>
              <w:t>0.12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6D61657" w14:textId="77777777" w:rsidR="004346F3" w:rsidRPr="00536CFD" w:rsidRDefault="004346F3" w:rsidP="00802ABC">
            <w:pPr>
              <w:spacing w:after="0"/>
              <w:jc w:val="center"/>
              <w:rPr>
                <w:lang w:val="zh-CN"/>
              </w:rPr>
            </w:pPr>
            <w:r w:rsidRPr="00536CFD">
              <w:rPr>
                <w:lang w:eastAsia="x-none"/>
              </w:rPr>
              <w:t>1.17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E23DD06" w14:textId="77777777" w:rsidR="004346F3" w:rsidRPr="00536CFD" w:rsidRDefault="004346F3" w:rsidP="00802ABC">
            <w:pPr>
              <w:spacing w:after="0"/>
              <w:jc w:val="center"/>
              <w:rPr>
                <w:lang w:val="zh-CN"/>
              </w:rPr>
            </w:pPr>
            <w:r w:rsidRPr="00536CFD">
              <w:rPr>
                <w:lang w:eastAsia="x-none"/>
              </w:rPr>
              <w:t>0.38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0E30BB7" w14:textId="77777777" w:rsidR="004346F3" w:rsidRPr="00536CFD" w:rsidRDefault="004346F3" w:rsidP="00802ABC">
            <w:pPr>
              <w:spacing w:after="0"/>
              <w:jc w:val="center"/>
              <w:rPr>
                <w:lang w:val="zh-CN"/>
              </w:rPr>
            </w:pPr>
            <w:r w:rsidRPr="00536CFD">
              <w:rPr>
                <w:lang w:eastAsia="x-none"/>
              </w:rPr>
              <w:t>0.17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14551D5" w14:textId="77777777" w:rsidR="004346F3" w:rsidRPr="00536CFD" w:rsidRDefault="004346F3" w:rsidP="00802ABC">
            <w:pPr>
              <w:spacing w:after="0"/>
              <w:jc w:val="center"/>
              <w:rPr>
                <w:lang w:val="zh-CN"/>
              </w:rPr>
            </w:pPr>
            <w:r w:rsidRPr="00536CFD">
              <w:rPr>
                <w:lang w:eastAsia="x-none"/>
              </w:rPr>
              <w:t>0.14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B6136DD" w14:textId="77777777" w:rsidR="004346F3" w:rsidRPr="00536CFD" w:rsidRDefault="004346F3" w:rsidP="00802ABC">
            <w:pPr>
              <w:spacing w:after="0"/>
              <w:jc w:val="center"/>
              <w:rPr>
                <w:lang w:val="zh-CN"/>
              </w:rPr>
            </w:pPr>
            <w:r w:rsidRPr="00536CFD">
              <w:rPr>
                <w:lang w:eastAsia="x-none"/>
              </w:rPr>
              <w:t>2.81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B8297FF" w14:textId="77777777" w:rsidR="004346F3" w:rsidRPr="00536CFD" w:rsidRDefault="004346F3" w:rsidP="00802ABC">
            <w:pPr>
              <w:spacing w:after="0"/>
              <w:jc w:val="center"/>
              <w:rPr>
                <w:lang w:val="zh-CN"/>
              </w:rPr>
            </w:pPr>
            <w:r w:rsidRPr="00536CFD">
              <w:rPr>
                <w:lang w:eastAsia="x-none"/>
              </w:rPr>
              <w:t>0.61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0C0DF811" w14:textId="77777777" w:rsidR="004346F3" w:rsidRPr="00536CFD" w:rsidRDefault="004346F3" w:rsidP="00802ABC">
            <w:pPr>
              <w:spacing w:after="0"/>
              <w:jc w:val="center"/>
              <w:rPr>
                <w:lang w:val="zh-CN"/>
              </w:rPr>
            </w:pPr>
            <w:r w:rsidRPr="00536CFD">
              <w:rPr>
                <w:lang w:eastAsia="x-none"/>
              </w:rPr>
              <w:t>0.21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0EF26358" w14:textId="77777777" w:rsidR="004346F3" w:rsidRPr="00536CFD" w:rsidRDefault="004346F3" w:rsidP="00802ABC">
            <w:pPr>
              <w:spacing w:after="0"/>
              <w:jc w:val="center"/>
              <w:rPr>
                <w:lang w:val="zh-CN"/>
              </w:rPr>
            </w:pPr>
            <w:r w:rsidRPr="00536CFD">
              <w:rPr>
                <w:lang w:eastAsia="x-none"/>
              </w:rPr>
              <w:t>0.16</w:t>
            </w:r>
          </w:p>
        </w:tc>
      </w:tr>
      <w:tr w:rsidR="004346F3" w:rsidRPr="00536CFD" w14:paraId="32CEBBD5"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85330F0"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0A89497F"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4FD54C9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center"/>
          </w:tcPr>
          <w:p w14:paraId="44E88404" w14:textId="77777777" w:rsidR="004346F3" w:rsidRPr="00536CFD" w:rsidRDefault="004346F3" w:rsidP="00802ABC">
            <w:pPr>
              <w:spacing w:after="0"/>
              <w:jc w:val="center"/>
              <w:rPr>
                <w:lang w:val="zh-CN"/>
              </w:rPr>
            </w:pPr>
            <w:r w:rsidRPr="00536CFD">
              <w:rPr>
                <w:lang w:eastAsia="x-none"/>
              </w:rPr>
              <w:t>0.12</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71D5FA7" w14:textId="77777777" w:rsidR="004346F3" w:rsidRPr="00536CFD" w:rsidRDefault="004346F3" w:rsidP="00802ABC">
            <w:pPr>
              <w:spacing w:after="0"/>
              <w:jc w:val="center"/>
              <w:rPr>
                <w:lang w:val="zh-CN"/>
              </w:rPr>
            </w:pPr>
            <w:r w:rsidRPr="00536CFD">
              <w:rPr>
                <w:lang w:eastAsia="x-none"/>
              </w:rPr>
              <w:t>0.10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CEB471C" w14:textId="77777777" w:rsidR="004346F3" w:rsidRPr="00536CFD" w:rsidRDefault="004346F3" w:rsidP="00802ABC">
            <w:pPr>
              <w:spacing w:after="0"/>
              <w:jc w:val="center"/>
              <w:rPr>
                <w:lang w:val="zh-CN"/>
              </w:rPr>
            </w:pPr>
            <w:r w:rsidRPr="00536CFD">
              <w:rPr>
                <w:lang w:eastAsia="x-none"/>
              </w:rPr>
              <w:t>0.06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913D4E9" w14:textId="77777777" w:rsidR="004346F3" w:rsidRPr="00536CFD" w:rsidRDefault="004346F3" w:rsidP="00802ABC">
            <w:pPr>
              <w:spacing w:after="0"/>
              <w:jc w:val="center"/>
              <w:rPr>
                <w:lang w:val="zh-CN"/>
              </w:rPr>
            </w:pPr>
            <w:r w:rsidRPr="00536CFD">
              <w:rPr>
                <w:lang w:eastAsia="x-none"/>
              </w:rPr>
              <w:t>0.06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8DBE361" w14:textId="77777777" w:rsidR="004346F3" w:rsidRPr="00536CFD" w:rsidRDefault="004346F3" w:rsidP="00802ABC">
            <w:pPr>
              <w:spacing w:after="0"/>
              <w:jc w:val="center"/>
              <w:rPr>
                <w:lang w:val="zh-CN"/>
              </w:rPr>
            </w:pPr>
            <w:r w:rsidRPr="00536CFD">
              <w:rPr>
                <w:lang w:eastAsia="x-none"/>
              </w:rPr>
              <w:t>0.34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6AF004A" w14:textId="77777777" w:rsidR="004346F3" w:rsidRPr="00536CFD" w:rsidRDefault="004346F3" w:rsidP="00802ABC">
            <w:pPr>
              <w:spacing w:after="0"/>
              <w:jc w:val="center"/>
              <w:rPr>
                <w:lang w:val="zh-CN"/>
              </w:rPr>
            </w:pPr>
            <w:r w:rsidRPr="00536CFD">
              <w:rPr>
                <w:lang w:eastAsia="x-none"/>
              </w:rPr>
              <w:t>0.14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2AB00FC" w14:textId="77777777" w:rsidR="004346F3" w:rsidRPr="00536CFD" w:rsidRDefault="004346F3" w:rsidP="00802ABC">
            <w:pPr>
              <w:spacing w:after="0"/>
              <w:jc w:val="center"/>
              <w:rPr>
                <w:lang w:val="zh-CN"/>
              </w:rPr>
            </w:pPr>
            <w:r w:rsidRPr="00536CFD">
              <w:rPr>
                <w:lang w:eastAsia="x-none"/>
              </w:rPr>
              <w:t>0.07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5517ED1" w14:textId="77777777" w:rsidR="004346F3" w:rsidRPr="00536CFD" w:rsidRDefault="004346F3" w:rsidP="00802ABC">
            <w:pPr>
              <w:spacing w:after="0"/>
              <w:jc w:val="center"/>
              <w:rPr>
                <w:lang w:val="zh-CN"/>
              </w:rPr>
            </w:pPr>
            <w:r w:rsidRPr="00536CFD">
              <w:rPr>
                <w:lang w:eastAsia="x-none"/>
              </w:rPr>
              <w:t>0.07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27AE566" w14:textId="77777777" w:rsidR="004346F3" w:rsidRPr="00536CFD" w:rsidRDefault="004346F3" w:rsidP="00802ABC">
            <w:pPr>
              <w:spacing w:after="0"/>
              <w:jc w:val="center"/>
              <w:rPr>
                <w:lang w:val="zh-CN"/>
              </w:rPr>
            </w:pPr>
            <w:r w:rsidRPr="00536CFD">
              <w:rPr>
                <w:lang w:eastAsia="x-none"/>
              </w:rPr>
              <w:t>0.69</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1FBF7337" w14:textId="77777777" w:rsidR="004346F3" w:rsidRPr="00536CFD" w:rsidRDefault="004346F3" w:rsidP="00802ABC">
            <w:pPr>
              <w:spacing w:after="0"/>
              <w:jc w:val="center"/>
              <w:rPr>
                <w:lang w:val="zh-CN"/>
              </w:rPr>
            </w:pPr>
            <w:r w:rsidRPr="00536CFD">
              <w:rPr>
                <w:lang w:eastAsia="x-none"/>
              </w:rPr>
              <w:t>0.19</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0EB3D3CF" w14:textId="77777777" w:rsidR="004346F3" w:rsidRPr="00536CFD" w:rsidRDefault="004346F3" w:rsidP="00802ABC">
            <w:pPr>
              <w:spacing w:after="0"/>
              <w:jc w:val="center"/>
              <w:rPr>
                <w:lang w:val="zh-CN"/>
              </w:rPr>
            </w:pPr>
            <w:r w:rsidRPr="00536CFD">
              <w:rPr>
                <w:lang w:eastAsia="x-none"/>
              </w:rPr>
              <w:t>0.09</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3D162F9" w14:textId="77777777" w:rsidR="004346F3" w:rsidRPr="00536CFD" w:rsidRDefault="004346F3" w:rsidP="00802ABC">
            <w:pPr>
              <w:spacing w:after="0"/>
              <w:jc w:val="center"/>
              <w:rPr>
                <w:lang w:val="zh-CN"/>
              </w:rPr>
            </w:pPr>
            <w:r w:rsidRPr="00536CFD">
              <w:rPr>
                <w:lang w:eastAsia="x-none"/>
              </w:rPr>
              <w:t>0.07</w:t>
            </w:r>
          </w:p>
        </w:tc>
      </w:tr>
      <w:tr w:rsidR="004346F3" w:rsidRPr="00536CFD" w14:paraId="33891929"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00897E5"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24B80AE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43870A2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center"/>
          </w:tcPr>
          <w:p w14:paraId="2E9E140D" w14:textId="77777777" w:rsidR="004346F3" w:rsidRPr="00536CFD" w:rsidRDefault="004346F3" w:rsidP="00802ABC">
            <w:pPr>
              <w:spacing w:after="0"/>
              <w:jc w:val="center"/>
              <w:rPr>
                <w:lang w:val="zh-CN"/>
              </w:rPr>
            </w:pPr>
            <w:r w:rsidRPr="00536CFD">
              <w:rPr>
                <w:lang w:eastAsia="x-none"/>
              </w:rPr>
              <w:t>10.36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173F6F1" w14:textId="77777777" w:rsidR="004346F3" w:rsidRPr="00536CFD" w:rsidRDefault="004346F3" w:rsidP="00802ABC">
            <w:pPr>
              <w:spacing w:after="0"/>
              <w:jc w:val="center"/>
              <w:rPr>
                <w:lang w:val="zh-CN"/>
              </w:rPr>
            </w:pPr>
            <w:r w:rsidRPr="00536CFD">
              <w:rPr>
                <w:lang w:eastAsia="x-none"/>
              </w:rPr>
              <w:t>15.45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8D52236" w14:textId="77777777" w:rsidR="004346F3" w:rsidRPr="00536CFD" w:rsidRDefault="004346F3" w:rsidP="00802ABC">
            <w:pPr>
              <w:spacing w:after="0"/>
              <w:jc w:val="center"/>
              <w:rPr>
                <w:lang w:val="zh-CN"/>
              </w:rPr>
            </w:pPr>
            <w:r w:rsidRPr="00536CFD">
              <w:rPr>
                <w:lang w:eastAsia="x-none"/>
              </w:rPr>
              <w:t>26.17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38E6756" w14:textId="77777777" w:rsidR="004346F3" w:rsidRPr="00536CFD" w:rsidRDefault="004346F3" w:rsidP="00802ABC">
            <w:pPr>
              <w:spacing w:after="0"/>
              <w:jc w:val="center"/>
              <w:rPr>
                <w:lang w:val="zh-CN"/>
              </w:rPr>
            </w:pPr>
            <w:r w:rsidRPr="00536CFD">
              <w:rPr>
                <w:lang w:eastAsia="x-none"/>
              </w:rPr>
              <w:t>31.08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91EF489" w14:textId="77777777" w:rsidR="004346F3" w:rsidRPr="00536CFD" w:rsidRDefault="004346F3" w:rsidP="00802ABC">
            <w:pPr>
              <w:spacing w:after="0"/>
              <w:jc w:val="center"/>
              <w:rPr>
                <w:lang w:val="zh-CN"/>
              </w:rPr>
            </w:pPr>
            <w:r w:rsidRPr="00536CFD">
              <w:rPr>
                <w:lang w:eastAsia="x-none"/>
              </w:rPr>
              <w:t>0.65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397D848" w14:textId="77777777" w:rsidR="004346F3" w:rsidRPr="00536CFD" w:rsidRDefault="004346F3" w:rsidP="00802ABC">
            <w:pPr>
              <w:spacing w:after="0"/>
              <w:jc w:val="center"/>
              <w:rPr>
                <w:lang w:val="zh-CN"/>
              </w:rPr>
            </w:pPr>
            <w:r w:rsidRPr="00536CFD">
              <w:rPr>
                <w:lang w:eastAsia="x-none"/>
              </w:rPr>
              <w:t>7.69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7350F195" w14:textId="77777777" w:rsidR="004346F3" w:rsidRPr="00536CFD" w:rsidRDefault="004346F3" w:rsidP="00802ABC">
            <w:pPr>
              <w:spacing w:after="0"/>
              <w:jc w:val="center"/>
              <w:rPr>
                <w:lang w:val="zh-CN"/>
              </w:rPr>
            </w:pPr>
            <w:r w:rsidRPr="00536CFD">
              <w:rPr>
                <w:lang w:eastAsia="x-none"/>
              </w:rPr>
              <w:t>19.20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350E083" w14:textId="77777777" w:rsidR="004346F3" w:rsidRPr="00536CFD" w:rsidRDefault="004346F3" w:rsidP="00802ABC">
            <w:pPr>
              <w:spacing w:after="0"/>
              <w:jc w:val="center"/>
              <w:rPr>
                <w:lang w:val="zh-CN"/>
              </w:rPr>
            </w:pPr>
            <w:r w:rsidRPr="00536CFD">
              <w:rPr>
                <w:lang w:eastAsia="x-none"/>
              </w:rPr>
              <w:t>24.99</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0C1ACF9" w14:textId="77777777" w:rsidR="004346F3" w:rsidRPr="00536CFD" w:rsidRDefault="004346F3" w:rsidP="00802ABC">
            <w:pPr>
              <w:spacing w:after="0"/>
              <w:jc w:val="center"/>
              <w:rPr>
                <w:lang w:val="zh-CN"/>
              </w:rPr>
            </w:pPr>
            <w:r w:rsidRPr="00536CFD">
              <w:rPr>
                <w:lang w:eastAsia="x-none"/>
              </w:rPr>
              <w:t>0.00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115ACD2" w14:textId="77777777" w:rsidR="004346F3" w:rsidRPr="00536CFD" w:rsidRDefault="004346F3" w:rsidP="00802ABC">
            <w:pPr>
              <w:spacing w:after="0"/>
              <w:jc w:val="center"/>
              <w:rPr>
                <w:lang w:val="zh-CN"/>
              </w:rPr>
            </w:pPr>
            <w:r w:rsidRPr="00536CFD">
              <w:rPr>
                <w:lang w:eastAsia="x-none"/>
              </w:rPr>
              <w:t>3.35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793AF09" w14:textId="77777777" w:rsidR="004346F3" w:rsidRPr="00536CFD" w:rsidRDefault="004346F3" w:rsidP="00802ABC">
            <w:pPr>
              <w:spacing w:after="0"/>
              <w:jc w:val="center"/>
              <w:rPr>
                <w:lang w:val="zh-CN"/>
              </w:rPr>
            </w:pPr>
            <w:r w:rsidRPr="00536CFD">
              <w:rPr>
                <w:lang w:eastAsia="x-none"/>
              </w:rPr>
              <w:t>13.76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7AEAF54" w14:textId="77777777" w:rsidR="004346F3" w:rsidRPr="00536CFD" w:rsidRDefault="004346F3" w:rsidP="00802ABC">
            <w:pPr>
              <w:spacing w:after="0"/>
              <w:jc w:val="center"/>
              <w:rPr>
                <w:lang w:val="zh-CN"/>
              </w:rPr>
            </w:pPr>
            <w:r w:rsidRPr="00536CFD">
              <w:rPr>
                <w:lang w:eastAsia="x-none"/>
              </w:rPr>
              <w:t>21.39</w:t>
            </w:r>
          </w:p>
        </w:tc>
      </w:tr>
      <w:tr w:rsidR="004346F3" w:rsidRPr="00536CFD" w14:paraId="496117F1"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D970619"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5D1BC82"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A398F6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center"/>
          </w:tcPr>
          <w:p w14:paraId="7D3E795D" w14:textId="77777777" w:rsidR="004346F3" w:rsidRPr="00536CFD" w:rsidRDefault="004346F3" w:rsidP="00802ABC">
            <w:pPr>
              <w:spacing w:after="0"/>
              <w:jc w:val="center"/>
              <w:rPr>
                <w:lang w:val="zh-CN"/>
              </w:rPr>
            </w:pPr>
            <w:r w:rsidRPr="00536CFD">
              <w:rPr>
                <w:lang w:eastAsia="x-none"/>
              </w:rPr>
              <w:t>53.43</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0C2F206" w14:textId="77777777" w:rsidR="004346F3" w:rsidRPr="00536CFD" w:rsidRDefault="004346F3" w:rsidP="00802ABC">
            <w:pPr>
              <w:spacing w:after="0"/>
              <w:jc w:val="center"/>
              <w:rPr>
                <w:lang w:val="zh-CN"/>
              </w:rPr>
            </w:pPr>
            <w:r w:rsidRPr="00536CFD">
              <w:rPr>
                <w:lang w:eastAsia="x-none"/>
              </w:rPr>
              <w:t>59.34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1CBB928" w14:textId="77777777" w:rsidR="004346F3" w:rsidRPr="00536CFD" w:rsidRDefault="004346F3" w:rsidP="00802ABC">
            <w:pPr>
              <w:spacing w:after="0"/>
              <w:jc w:val="center"/>
              <w:rPr>
                <w:lang w:val="zh-CN"/>
              </w:rPr>
            </w:pPr>
            <w:r w:rsidRPr="00536CFD">
              <w:rPr>
                <w:lang w:eastAsia="x-none"/>
              </w:rPr>
              <w:t>79.22</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F8AF95D" w14:textId="77777777" w:rsidR="004346F3" w:rsidRPr="00536CFD" w:rsidRDefault="004346F3" w:rsidP="00802ABC">
            <w:pPr>
              <w:spacing w:after="0"/>
              <w:jc w:val="center"/>
              <w:rPr>
                <w:lang w:val="zh-CN"/>
              </w:rPr>
            </w:pPr>
            <w:r w:rsidRPr="00536CFD">
              <w:rPr>
                <w:lang w:eastAsia="x-none"/>
              </w:rPr>
              <w:t>83.40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18D49B7" w14:textId="77777777" w:rsidR="004346F3" w:rsidRPr="00536CFD" w:rsidRDefault="004346F3" w:rsidP="00802ABC">
            <w:pPr>
              <w:spacing w:after="0"/>
              <w:jc w:val="center"/>
              <w:rPr>
                <w:lang w:val="zh-CN"/>
              </w:rPr>
            </w:pPr>
            <w:r w:rsidRPr="00536CFD">
              <w:rPr>
                <w:lang w:eastAsia="x-none"/>
              </w:rPr>
              <w:t>27.47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451BEBB" w14:textId="77777777" w:rsidR="004346F3" w:rsidRPr="00536CFD" w:rsidRDefault="004346F3" w:rsidP="00802ABC">
            <w:pPr>
              <w:spacing w:after="0"/>
              <w:jc w:val="center"/>
              <w:rPr>
                <w:lang w:val="zh-CN"/>
              </w:rPr>
            </w:pPr>
            <w:r w:rsidRPr="00536CFD">
              <w:rPr>
                <w:lang w:eastAsia="x-none"/>
              </w:rPr>
              <w:t>46.83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F0EF030" w14:textId="77777777" w:rsidR="004346F3" w:rsidRPr="00536CFD" w:rsidRDefault="004346F3" w:rsidP="00802ABC">
            <w:pPr>
              <w:spacing w:after="0"/>
              <w:jc w:val="center"/>
              <w:rPr>
                <w:lang w:val="zh-CN"/>
              </w:rPr>
            </w:pPr>
            <w:r w:rsidRPr="00536CFD">
              <w:rPr>
                <w:lang w:eastAsia="x-none"/>
              </w:rPr>
              <w:t>63.13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B213C9F" w14:textId="77777777" w:rsidR="004346F3" w:rsidRPr="00536CFD" w:rsidRDefault="004346F3" w:rsidP="00802ABC">
            <w:pPr>
              <w:spacing w:after="0"/>
              <w:jc w:val="center"/>
              <w:rPr>
                <w:lang w:val="zh-CN"/>
              </w:rPr>
            </w:pPr>
            <w:r w:rsidRPr="00536CFD">
              <w:rPr>
                <w:lang w:eastAsia="x-none"/>
              </w:rPr>
              <w:t>72.74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51FA222" w14:textId="77777777" w:rsidR="004346F3" w:rsidRPr="00536CFD" w:rsidRDefault="004346F3" w:rsidP="00802ABC">
            <w:pPr>
              <w:spacing w:after="0"/>
              <w:jc w:val="center"/>
              <w:rPr>
                <w:lang w:val="zh-CN"/>
              </w:rPr>
            </w:pPr>
            <w:r w:rsidRPr="00536CFD">
              <w:rPr>
                <w:lang w:eastAsia="x-none"/>
              </w:rPr>
              <w:t>13.01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99BF4A7" w14:textId="77777777" w:rsidR="004346F3" w:rsidRPr="00536CFD" w:rsidRDefault="004346F3" w:rsidP="00802ABC">
            <w:pPr>
              <w:spacing w:after="0"/>
              <w:jc w:val="center"/>
              <w:rPr>
                <w:lang w:val="zh-CN"/>
              </w:rPr>
            </w:pPr>
            <w:r w:rsidRPr="00536CFD">
              <w:rPr>
                <w:lang w:eastAsia="x-none"/>
              </w:rPr>
              <w:t>36.87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F057FB6" w14:textId="77777777" w:rsidR="004346F3" w:rsidRPr="00536CFD" w:rsidRDefault="004346F3" w:rsidP="00802ABC">
            <w:pPr>
              <w:spacing w:after="0"/>
              <w:jc w:val="center"/>
              <w:rPr>
                <w:lang w:val="zh-CN"/>
              </w:rPr>
            </w:pPr>
            <w:r w:rsidRPr="00536CFD">
              <w:rPr>
                <w:lang w:eastAsia="x-none"/>
              </w:rPr>
              <w:t>50.52</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101492D" w14:textId="77777777" w:rsidR="004346F3" w:rsidRPr="00536CFD" w:rsidRDefault="004346F3" w:rsidP="00802ABC">
            <w:pPr>
              <w:spacing w:after="0"/>
              <w:jc w:val="center"/>
              <w:rPr>
                <w:lang w:val="zh-CN"/>
              </w:rPr>
            </w:pPr>
            <w:r w:rsidRPr="00536CFD">
              <w:rPr>
                <w:lang w:eastAsia="x-none"/>
              </w:rPr>
              <w:t>66.67</w:t>
            </w:r>
          </w:p>
        </w:tc>
      </w:tr>
      <w:tr w:rsidR="004346F3" w:rsidRPr="00536CFD" w14:paraId="04E07B0B"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CE0552A"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352FF337"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0B925F5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center"/>
          </w:tcPr>
          <w:p w14:paraId="09608F0F" w14:textId="77777777" w:rsidR="004346F3" w:rsidRPr="00536CFD" w:rsidRDefault="004346F3" w:rsidP="00802ABC">
            <w:pPr>
              <w:spacing w:after="0"/>
              <w:jc w:val="center"/>
              <w:rPr>
                <w:lang w:val="zh-CN"/>
              </w:rPr>
            </w:pPr>
            <w:r w:rsidRPr="00536CFD">
              <w:rPr>
                <w:lang w:eastAsia="x-none"/>
              </w:rPr>
              <w:t>78.74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85CEEFD" w14:textId="77777777" w:rsidR="004346F3" w:rsidRPr="00536CFD" w:rsidRDefault="004346F3" w:rsidP="00802ABC">
            <w:pPr>
              <w:spacing w:after="0"/>
              <w:jc w:val="center"/>
              <w:rPr>
                <w:lang w:val="zh-CN"/>
              </w:rPr>
            </w:pPr>
            <w:r w:rsidRPr="00536CFD">
              <w:rPr>
                <w:lang w:eastAsia="x-none"/>
              </w:rPr>
              <w:t>79.01</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0495720" w14:textId="77777777" w:rsidR="004346F3" w:rsidRPr="00536CFD" w:rsidRDefault="004346F3" w:rsidP="00802ABC">
            <w:pPr>
              <w:spacing w:after="0"/>
              <w:jc w:val="center"/>
              <w:rPr>
                <w:lang w:val="zh-CN"/>
              </w:rPr>
            </w:pPr>
            <w:r w:rsidRPr="00536CFD">
              <w:rPr>
                <w:lang w:eastAsia="x-none"/>
              </w:rPr>
              <w:t>93.44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8A019BB" w14:textId="77777777" w:rsidR="004346F3" w:rsidRPr="00536CFD" w:rsidRDefault="004346F3" w:rsidP="00802ABC">
            <w:pPr>
              <w:spacing w:after="0"/>
              <w:jc w:val="center"/>
              <w:rPr>
                <w:lang w:val="zh-CN"/>
              </w:rPr>
            </w:pPr>
            <w:r w:rsidRPr="00536CFD">
              <w:rPr>
                <w:lang w:eastAsia="x-none"/>
              </w:rPr>
              <w:t>93.44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107C9C4" w14:textId="77777777" w:rsidR="004346F3" w:rsidRPr="00536CFD" w:rsidRDefault="004346F3" w:rsidP="00802ABC">
            <w:pPr>
              <w:spacing w:after="0"/>
              <w:jc w:val="center"/>
              <w:rPr>
                <w:lang w:val="zh-CN"/>
              </w:rPr>
            </w:pPr>
            <w:r w:rsidRPr="00536CFD">
              <w:rPr>
                <w:lang w:eastAsia="x-none"/>
              </w:rPr>
              <w:t>77.26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2D43A34" w14:textId="77777777" w:rsidR="004346F3" w:rsidRPr="00536CFD" w:rsidRDefault="004346F3" w:rsidP="00802ABC">
            <w:pPr>
              <w:spacing w:after="0"/>
              <w:jc w:val="center"/>
              <w:rPr>
                <w:lang w:val="zh-CN"/>
              </w:rPr>
            </w:pPr>
            <w:r w:rsidRPr="00536CFD">
              <w:rPr>
                <w:lang w:eastAsia="x-none"/>
              </w:rPr>
              <w:t>78.82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2C9AC51" w14:textId="77777777" w:rsidR="004346F3" w:rsidRPr="00536CFD" w:rsidRDefault="004346F3" w:rsidP="00802ABC">
            <w:pPr>
              <w:spacing w:after="0"/>
              <w:jc w:val="center"/>
              <w:rPr>
                <w:lang w:val="zh-CN"/>
              </w:rPr>
            </w:pPr>
            <w:r w:rsidRPr="00536CFD">
              <w:rPr>
                <w:lang w:eastAsia="x-none"/>
              </w:rPr>
              <w:t>93.37</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DE46795" w14:textId="77777777" w:rsidR="004346F3" w:rsidRPr="00536CFD" w:rsidRDefault="004346F3" w:rsidP="00802ABC">
            <w:pPr>
              <w:spacing w:after="0"/>
              <w:jc w:val="center"/>
              <w:rPr>
                <w:lang w:val="zh-CN"/>
              </w:rPr>
            </w:pPr>
            <w:r w:rsidRPr="00536CFD">
              <w:rPr>
                <w:lang w:eastAsia="x-none"/>
              </w:rPr>
              <w:t>93.41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E6695E6" w14:textId="77777777" w:rsidR="004346F3" w:rsidRPr="00536CFD" w:rsidRDefault="004346F3" w:rsidP="00802ABC">
            <w:pPr>
              <w:spacing w:after="0"/>
              <w:jc w:val="center"/>
              <w:rPr>
                <w:lang w:val="zh-CN"/>
              </w:rPr>
            </w:pPr>
            <w:r w:rsidRPr="00536CFD">
              <w:rPr>
                <w:lang w:eastAsia="x-none"/>
              </w:rPr>
              <w:t>67.14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0915911" w14:textId="77777777" w:rsidR="004346F3" w:rsidRPr="00536CFD" w:rsidRDefault="004346F3" w:rsidP="00802ABC">
            <w:pPr>
              <w:spacing w:after="0"/>
              <w:jc w:val="center"/>
              <w:rPr>
                <w:lang w:val="zh-CN"/>
              </w:rPr>
            </w:pPr>
            <w:r w:rsidRPr="00536CFD">
              <w:rPr>
                <w:lang w:eastAsia="x-none"/>
              </w:rPr>
              <w:t>78.61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312CA13" w14:textId="77777777" w:rsidR="004346F3" w:rsidRPr="00536CFD" w:rsidRDefault="004346F3" w:rsidP="00802ABC">
            <w:pPr>
              <w:spacing w:after="0"/>
              <w:jc w:val="center"/>
              <w:rPr>
                <w:lang w:val="zh-CN"/>
              </w:rPr>
            </w:pPr>
            <w:r w:rsidRPr="00536CFD">
              <w:rPr>
                <w:lang w:eastAsia="x-none"/>
              </w:rPr>
              <w:t>93.25</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42DF2021" w14:textId="77777777" w:rsidR="004346F3" w:rsidRPr="00536CFD" w:rsidRDefault="004346F3" w:rsidP="00802ABC">
            <w:pPr>
              <w:spacing w:after="0"/>
              <w:jc w:val="center"/>
              <w:rPr>
                <w:lang w:val="zh-CN"/>
              </w:rPr>
            </w:pPr>
            <w:r w:rsidRPr="00536CFD">
              <w:rPr>
                <w:lang w:eastAsia="x-none"/>
              </w:rPr>
              <w:t>93.37</w:t>
            </w:r>
          </w:p>
        </w:tc>
      </w:tr>
      <w:tr w:rsidR="004346F3" w:rsidRPr="00536CFD" w14:paraId="48FF9B7F"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2DCFB6F"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2A6B221"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300C8FE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center"/>
          </w:tcPr>
          <w:p w14:paraId="6CF96AAE" w14:textId="77777777" w:rsidR="004346F3" w:rsidRPr="00536CFD" w:rsidRDefault="004346F3" w:rsidP="00802ABC">
            <w:pPr>
              <w:spacing w:after="0"/>
              <w:jc w:val="center"/>
              <w:rPr>
                <w:lang w:val="zh-CN"/>
              </w:rPr>
            </w:pPr>
            <w:r w:rsidRPr="00536CFD">
              <w:rPr>
                <w:lang w:eastAsia="x-none"/>
              </w:rPr>
              <w:t>49.79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77E8647" w14:textId="77777777" w:rsidR="004346F3" w:rsidRPr="00536CFD" w:rsidRDefault="004346F3" w:rsidP="00802ABC">
            <w:pPr>
              <w:spacing w:after="0"/>
              <w:jc w:val="center"/>
              <w:rPr>
                <w:lang w:val="zh-CN"/>
              </w:rPr>
            </w:pPr>
            <w:r w:rsidRPr="00536CFD">
              <w:rPr>
                <w:lang w:eastAsia="x-none"/>
              </w:rPr>
              <w:t>54.60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BF22F62" w14:textId="77777777" w:rsidR="004346F3" w:rsidRPr="00536CFD" w:rsidRDefault="004346F3" w:rsidP="00802ABC">
            <w:pPr>
              <w:spacing w:after="0"/>
              <w:jc w:val="center"/>
              <w:rPr>
                <w:lang w:val="zh-CN"/>
              </w:rPr>
            </w:pPr>
            <w:r w:rsidRPr="00536CFD">
              <w:rPr>
                <w:lang w:eastAsia="x-none"/>
              </w:rPr>
              <w:t>70.25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510710E" w14:textId="77777777" w:rsidR="004346F3" w:rsidRPr="00536CFD" w:rsidRDefault="004346F3" w:rsidP="00802ABC">
            <w:pPr>
              <w:spacing w:after="0"/>
              <w:jc w:val="center"/>
              <w:rPr>
                <w:lang w:val="zh-CN"/>
              </w:rPr>
            </w:pPr>
            <w:r w:rsidRPr="00536CFD">
              <w:rPr>
                <w:lang w:eastAsia="x-none"/>
              </w:rPr>
              <w:t>73.51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2CE179A" w14:textId="77777777" w:rsidR="004346F3" w:rsidRPr="00536CFD" w:rsidRDefault="004346F3" w:rsidP="00802ABC">
            <w:pPr>
              <w:spacing w:after="0"/>
              <w:jc w:val="center"/>
              <w:rPr>
                <w:lang w:val="zh-CN"/>
              </w:rPr>
            </w:pPr>
            <w:r w:rsidRPr="00536CFD">
              <w:rPr>
                <w:lang w:eastAsia="x-none"/>
              </w:rPr>
              <w:t>31.68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776C4FE6" w14:textId="77777777" w:rsidR="004346F3" w:rsidRPr="00536CFD" w:rsidRDefault="004346F3" w:rsidP="00802ABC">
            <w:pPr>
              <w:spacing w:after="0"/>
              <w:jc w:val="center"/>
              <w:rPr>
                <w:lang w:val="zh-CN"/>
              </w:rPr>
            </w:pPr>
            <w:r w:rsidRPr="00536CFD">
              <w:rPr>
                <w:lang w:eastAsia="x-none"/>
              </w:rPr>
              <w:t>45.66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1422C69" w14:textId="77777777" w:rsidR="004346F3" w:rsidRPr="00536CFD" w:rsidRDefault="004346F3" w:rsidP="00802ABC">
            <w:pPr>
              <w:spacing w:after="0"/>
              <w:jc w:val="center"/>
              <w:rPr>
                <w:lang w:val="zh-CN"/>
              </w:rPr>
            </w:pPr>
            <w:r w:rsidRPr="00536CFD">
              <w:rPr>
                <w:lang w:eastAsia="x-none"/>
              </w:rPr>
              <w:t>61.59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2AE6361" w14:textId="77777777" w:rsidR="004346F3" w:rsidRPr="00536CFD" w:rsidRDefault="004346F3" w:rsidP="00802ABC">
            <w:pPr>
              <w:spacing w:after="0"/>
              <w:jc w:val="center"/>
              <w:rPr>
                <w:lang w:val="zh-CN"/>
              </w:rPr>
            </w:pPr>
            <w:r w:rsidRPr="00536CFD">
              <w:rPr>
                <w:lang w:eastAsia="x-none"/>
              </w:rPr>
              <w:t>67.37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72752A8" w14:textId="77777777" w:rsidR="004346F3" w:rsidRPr="00536CFD" w:rsidRDefault="004346F3" w:rsidP="00802ABC">
            <w:pPr>
              <w:spacing w:after="0"/>
              <w:jc w:val="center"/>
              <w:rPr>
                <w:lang w:val="zh-CN"/>
              </w:rPr>
            </w:pPr>
            <w:r w:rsidRPr="00536CFD">
              <w:rPr>
                <w:lang w:eastAsia="x-none"/>
              </w:rPr>
              <w:t>21.15</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A9AEFBD" w14:textId="77777777" w:rsidR="004346F3" w:rsidRPr="00536CFD" w:rsidRDefault="004346F3" w:rsidP="00802ABC">
            <w:pPr>
              <w:spacing w:after="0"/>
              <w:jc w:val="center"/>
              <w:rPr>
                <w:lang w:val="zh-CN"/>
              </w:rPr>
            </w:pPr>
            <w:r w:rsidRPr="00536CFD">
              <w:rPr>
                <w:lang w:eastAsia="x-none"/>
              </w:rPr>
              <w:t>39.12</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4EC1766" w14:textId="77777777" w:rsidR="004346F3" w:rsidRPr="00536CFD" w:rsidRDefault="004346F3" w:rsidP="00802ABC">
            <w:pPr>
              <w:spacing w:after="0"/>
              <w:jc w:val="center"/>
              <w:rPr>
                <w:lang w:val="zh-CN"/>
              </w:rPr>
            </w:pPr>
            <w:r w:rsidRPr="00536CFD">
              <w:rPr>
                <w:lang w:eastAsia="x-none"/>
              </w:rPr>
              <w:t>53.76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004A99EC" w14:textId="77777777" w:rsidR="004346F3" w:rsidRPr="00536CFD" w:rsidRDefault="004346F3" w:rsidP="00802ABC">
            <w:pPr>
              <w:spacing w:after="0"/>
              <w:jc w:val="center"/>
              <w:rPr>
                <w:lang w:val="zh-CN"/>
              </w:rPr>
            </w:pPr>
            <w:r w:rsidRPr="00536CFD">
              <w:rPr>
                <w:lang w:eastAsia="x-none"/>
              </w:rPr>
              <w:t>63.78</w:t>
            </w:r>
          </w:p>
        </w:tc>
      </w:tr>
      <w:tr w:rsidR="004346F3" w:rsidRPr="00536CFD" w14:paraId="0A43131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0FD29CA"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5B38D34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2E0EC4D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center"/>
          </w:tcPr>
          <w:p w14:paraId="07A1D807"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6E9444E"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DEE5448" w14:textId="77777777" w:rsidR="004346F3" w:rsidRPr="00536CFD" w:rsidRDefault="004346F3" w:rsidP="00802ABC">
            <w:pPr>
              <w:spacing w:after="0"/>
              <w:jc w:val="center"/>
              <w:rPr>
                <w:lang w:val="zh-CN"/>
              </w:rPr>
            </w:pPr>
            <w:r w:rsidRPr="00536CFD">
              <w:rPr>
                <w:lang w:eastAsia="x-none"/>
              </w:rPr>
              <w:t>0.04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B240FDE" w14:textId="77777777" w:rsidR="004346F3" w:rsidRPr="00536CFD" w:rsidRDefault="004346F3" w:rsidP="00802ABC">
            <w:pPr>
              <w:spacing w:after="0"/>
              <w:jc w:val="center"/>
              <w:rPr>
                <w:lang w:val="zh-CN"/>
              </w:rPr>
            </w:pPr>
            <w:r w:rsidRPr="00536CFD">
              <w:rPr>
                <w:lang w:eastAsia="x-none"/>
              </w:rPr>
              <w:t>0.04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1819CF4"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46F064C"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2515A4B" w14:textId="77777777" w:rsidR="004346F3" w:rsidRPr="00536CFD" w:rsidRDefault="004346F3" w:rsidP="00802ABC">
            <w:pPr>
              <w:spacing w:after="0"/>
              <w:jc w:val="center"/>
              <w:rPr>
                <w:lang w:val="zh-CN"/>
              </w:rPr>
            </w:pPr>
            <w:r w:rsidRPr="00536CFD">
              <w:rPr>
                <w:lang w:eastAsia="x-none"/>
              </w:rPr>
              <w:t>0.04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601AA11" w14:textId="77777777" w:rsidR="004346F3" w:rsidRPr="00536CFD" w:rsidRDefault="004346F3" w:rsidP="00802ABC">
            <w:pPr>
              <w:spacing w:after="0"/>
              <w:jc w:val="center"/>
              <w:rPr>
                <w:lang w:val="zh-CN"/>
              </w:rPr>
            </w:pPr>
            <w:r w:rsidRPr="00536CFD">
              <w:rPr>
                <w:lang w:eastAsia="x-none"/>
              </w:rPr>
              <w:t>0.04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8E61835" w14:textId="77777777" w:rsidR="004346F3" w:rsidRPr="00536CFD" w:rsidRDefault="004346F3" w:rsidP="00802ABC">
            <w:pPr>
              <w:spacing w:after="0"/>
              <w:jc w:val="center"/>
              <w:rPr>
                <w:lang w:val="zh-CN"/>
              </w:rPr>
            </w:pPr>
            <w:r w:rsidRPr="00536CFD">
              <w:rPr>
                <w:lang w:eastAsia="x-none"/>
              </w:rPr>
              <w:t>0.06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1E3B6E6A" w14:textId="77777777" w:rsidR="004346F3" w:rsidRPr="00536CFD" w:rsidRDefault="004346F3" w:rsidP="00802ABC">
            <w:pPr>
              <w:spacing w:after="0"/>
              <w:jc w:val="center"/>
              <w:rPr>
                <w:lang w:val="zh-CN"/>
              </w:rPr>
            </w:pPr>
            <w:r w:rsidRPr="00536CFD">
              <w:rPr>
                <w:lang w:eastAsia="x-none"/>
              </w:rPr>
              <w:t>0.05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907A515" w14:textId="77777777" w:rsidR="004346F3" w:rsidRPr="00536CFD" w:rsidRDefault="004346F3" w:rsidP="00802ABC">
            <w:pPr>
              <w:spacing w:after="0"/>
              <w:jc w:val="center"/>
              <w:rPr>
                <w:lang w:val="zh-CN"/>
              </w:rPr>
            </w:pPr>
            <w:r w:rsidRPr="00536CFD">
              <w:rPr>
                <w:lang w:eastAsia="x-none"/>
              </w:rPr>
              <w:t>0.04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655508E5" w14:textId="77777777" w:rsidR="004346F3" w:rsidRPr="00536CFD" w:rsidRDefault="004346F3" w:rsidP="00802ABC">
            <w:pPr>
              <w:spacing w:after="0"/>
              <w:jc w:val="center"/>
              <w:rPr>
                <w:lang w:val="zh-CN"/>
              </w:rPr>
            </w:pPr>
            <w:r w:rsidRPr="00536CFD">
              <w:rPr>
                <w:lang w:eastAsia="x-none"/>
              </w:rPr>
              <w:t>0.04</w:t>
            </w:r>
          </w:p>
        </w:tc>
      </w:tr>
      <w:tr w:rsidR="004346F3" w:rsidRPr="00536CFD" w14:paraId="65095514"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A40CB73"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32C9D00C"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033F2AF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center"/>
          </w:tcPr>
          <w:p w14:paraId="295FE79A" w14:textId="77777777" w:rsidR="004346F3" w:rsidRPr="00536CFD" w:rsidRDefault="004346F3" w:rsidP="00802ABC">
            <w:pPr>
              <w:spacing w:after="0"/>
              <w:jc w:val="center"/>
              <w:rPr>
                <w:lang w:val="zh-CN"/>
              </w:rPr>
            </w:pPr>
            <w:r w:rsidRPr="00536CFD">
              <w:rPr>
                <w:lang w:eastAsia="x-none"/>
              </w:rPr>
              <w:t>0.07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F44B651" w14:textId="77777777" w:rsidR="004346F3" w:rsidRPr="00536CFD" w:rsidRDefault="004346F3" w:rsidP="00802ABC">
            <w:pPr>
              <w:spacing w:after="0"/>
              <w:jc w:val="center"/>
              <w:rPr>
                <w:lang w:val="zh-CN"/>
              </w:rPr>
            </w:pPr>
            <w:r w:rsidRPr="00536CFD">
              <w:rPr>
                <w:lang w:eastAsia="x-none"/>
              </w:rPr>
              <w:t>0.07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6A133B2F" w14:textId="77777777" w:rsidR="004346F3" w:rsidRPr="00536CFD" w:rsidRDefault="004346F3" w:rsidP="00802ABC">
            <w:pPr>
              <w:spacing w:after="0"/>
              <w:jc w:val="center"/>
              <w:rPr>
                <w:lang w:val="zh-CN"/>
              </w:rPr>
            </w:pPr>
            <w:r w:rsidRPr="00536CFD">
              <w:rPr>
                <w:lang w:eastAsia="x-none"/>
              </w:rPr>
              <w:t>0.05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ED25A47" w14:textId="77777777" w:rsidR="004346F3" w:rsidRPr="00536CFD" w:rsidRDefault="004346F3" w:rsidP="00802ABC">
            <w:pPr>
              <w:spacing w:after="0"/>
              <w:jc w:val="center"/>
              <w:rPr>
                <w:lang w:val="zh-CN"/>
              </w:rPr>
            </w:pPr>
            <w:r w:rsidRPr="00536CFD">
              <w:rPr>
                <w:lang w:eastAsia="x-none"/>
              </w:rPr>
              <w:t>0.05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66DE5EAF" w14:textId="77777777" w:rsidR="004346F3" w:rsidRPr="00536CFD" w:rsidRDefault="004346F3" w:rsidP="00802ABC">
            <w:pPr>
              <w:spacing w:after="0"/>
              <w:jc w:val="center"/>
              <w:rPr>
                <w:lang w:val="zh-CN"/>
              </w:rPr>
            </w:pPr>
            <w:r w:rsidRPr="00536CFD">
              <w:rPr>
                <w:lang w:eastAsia="x-none"/>
              </w:rPr>
              <w:t>0.14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BE35A61" w14:textId="77777777" w:rsidR="004346F3" w:rsidRPr="00536CFD" w:rsidRDefault="004346F3" w:rsidP="00802ABC">
            <w:pPr>
              <w:spacing w:after="0"/>
              <w:jc w:val="center"/>
              <w:rPr>
                <w:lang w:val="zh-CN"/>
              </w:rPr>
            </w:pPr>
            <w:r w:rsidRPr="00536CFD">
              <w:rPr>
                <w:lang w:eastAsia="x-none"/>
              </w:rPr>
              <w:t>0.09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C0F3046" w14:textId="77777777" w:rsidR="004346F3" w:rsidRPr="00536CFD" w:rsidRDefault="004346F3" w:rsidP="00802ABC">
            <w:pPr>
              <w:spacing w:after="0"/>
              <w:jc w:val="center"/>
              <w:rPr>
                <w:lang w:val="zh-CN"/>
              </w:rPr>
            </w:pPr>
            <w:r w:rsidRPr="00536CFD">
              <w:rPr>
                <w:lang w:eastAsia="x-none"/>
              </w:rPr>
              <w:t>0.06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DBBE324" w14:textId="77777777" w:rsidR="004346F3" w:rsidRPr="00536CFD" w:rsidRDefault="004346F3" w:rsidP="00802ABC">
            <w:pPr>
              <w:spacing w:after="0"/>
              <w:jc w:val="center"/>
              <w:rPr>
                <w:lang w:val="zh-CN"/>
              </w:rPr>
            </w:pPr>
            <w:r w:rsidRPr="00536CFD">
              <w:rPr>
                <w:lang w:eastAsia="x-none"/>
              </w:rPr>
              <w:t>0.05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C05C3A1" w14:textId="77777777" w:rsidR="004346F3" w:rsidRPr="00536CFD" w:rsidRDefault="004346F3" w:rsidP="00802ABC">
            <w:pPr>
              <w:spacing w:after="0"/>
              <w:jc w:val="center"/>
              <w:rPr>
                <w:lang w:val="zh-CN"/>
              </w:rPr>
            </w:pPr>
            <w:r w:rsidRPr="00536CFD">
              <w:rPr>
                <w:lang w:eastAsia="x-none"/>
              </w:rPr>
              <w:t>0.26</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442ED260" w14:textId="77777777" w:rsidR="004346F3" w:rsidRPr="00536CFD" w:rsidRDefault="004346F3" w:rsidP="00802ABC">
            <w:pPr>
              <w:spacing w:after="0"/>
              <w:jc w:val="center"/>
              <w:rPr>
                <w:lang w:val="zh-CN"/>
              </w:rPr>
            </w:pPr>
            <w:r w:rsidRPr="00536CFD">
              <w:rPr>
                <w:lang w:eastAsia="x-none"/>
              </w:rPr>
              <w:t>0.11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3499360" w14:textId="77777777" w:rsidR="004346F3" w:rsidRPr="00536CFD" w:rsidRDefault="004346F3" w:rsidP="00802ABC">
            <w:pPr>
              <w:spacing w:after="0"/>
              <w:jc w:val="center"/>
              <w:rPr>
                <w:lang w:val="zh-CN"/>
              </w:rPr>
            </w:pPr>
            <w:r w:rsidRPr="00536CFD">
              <w:rPr>
                <w:lang w:eastAsia="x-none"/>
              </w:rPr>
              <w:t>0.08</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48A7B64C" w14:textId="77777777" w:rsidR="004346F3" w:rsidRPr="00536CFD" w:rsidRDefault="004346F3" w:rsidP="00802ABC">
            <w:pPr>
              <w:spacing w:after="0"/>
              <w:jc w:val="center"/>
              <w:rPr>
                <w:lang w:val="zh-CN"/>
              </w:rPr>
            </w:pPr>
            <w:r w:rsidRPr="00536CFD">
              <w:rPr>
                <w:lang w:eastAsia="x-none"/>
              </w:rPr>
              <w:t>0.06</w:t>
            </w:r>
          </w:p>
        </w:tc>
      </w:tr>
      <w:tr w:rsidR="004346F3" w:rsidRPr="00536CFD" w14:paraId="10E975A1"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211C771"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F1D1875"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4A403B9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center"/>
          </w:tcPr>
          <w:p w14:paraId="1D3BBA4C" w14:textId="77777777" w:rsidR="004346F3" w:rsidRPr="00536CFD" w:rsidRDefault="004346F3" w:rsidP="00802ABC">
            <w:pPr>
              <w:spacing w:after="0"/>
              <w:jc w:val="center"/>
              <w:rPr>
                <w:lang w:val="zh-CN"/>
              </w:rPr>
            </w:pPr>
            <w:r w:rsidRPr="00536CFD">
              <w:rPr>
                <w:lang w:eastAsia="x-none"/>
              </w:rPr>
              <w:t>0.38</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1766BB4C" w14:textId="77777777" w:rsidR="004346F3" w:rsidRPr="00536CFD" w:rsidRDefault="004346F3" w:rsidP="00802ABC">
            <w:pPr>
              <w:spacing w:after="0"/>
              <w:jc w:val="center"/>
              <w:rPr>
                <w:lang w:val="zh-CN"/>
              </w:rPr>
            </w:pPr>
            <w:r w:rsidRPr="00536CFD">
              <w:rPr>
                <w:lang w:eastAsia="x-none"/>
              </w:rPr>
              <w:t>0.26</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B2C033D" w14:textId="77777777" w:rsidR="004346F3" w:rsidRPr="00536CFD" w:rsidRDefault="004346F3" w:rsidP="00802ABC">
            <w:pPr>
              <w:spacing w:after="0"/>
              <w:jc w:val="center"/>
              <w:rPr>
                <w:lang w:val="zh-CN"/>
              </w:rPr>
            </w:pPr>
            <w:r w:rsidRPr="00536CFD">
              <w:rPr>
                <w:lang w:eastAsia="x-none"/>
              </w:rPr>
              <w:t>0.15</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2851094" w14:textId="77777777" w:rsidR="004346F3" w:rsidRPr="00536CFD" w:rsidRDefault="004346F3" w:rsidP="00802ABC">
            <w:pPr>
              <w:spacing w:after="0"/>
              <w:jc w:val="center"/>
              <w:rPr>
                <w:lang w:val="zh-CN"/>
              </w:rPr>
            </w:pPr>
            <w:r w:rsidRPr="00536CFD">
              <w:rPr>
                <w:lang w:eastAsia="x-none"/>
              </w:rPr>
              <w:t>0.13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5D9DA4E" w14:textId="77777777" w:rsidR="004346F3" w:rsidRPr="00536CFD" w:rsidRDefault="004346F3" w:rsidP="00802ABC">
            <w:pPr>
              <w:spacing w:after="0"/>
              <w:jc w:val="center"/>
              <w:rPr>
                <w:lang w:val="zh-CN"/>
              </w:rPr>
            </w:pPr>
            <w:r w:rsidRPr="00536CFD">
              <w:rPr>
                <w:lang w:eastAsia="x-none"/>
              </w:rPr>
              <w:t>2.51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198A254" w14:textId="77777777" w:rsidR="004346F3" w:rsidRPr="00536CFD" w:rsidRDefault="004346F3" w:rsidP="00802ABC">
            <w:pPr>
              <w:spacing w:after="0"/>
              <w:jc w:val="center"/>
              <w:rPr>
                <w:lang w:val="zh-CN"/>
              </w:rPr>
            </w:pPr>
            <w:r w:rsidRPr="00536CFD">
              <w:rPr>
                <w:lang w:eastAsia="x-none"/>
              </w:rPr>
              <w:t>0.48</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79828A4" w14:textId="77777777" w:rsidR="004346F3" w:rsidRPr="00536CFD" w:rsidRDefault="004346F3" w:rsidP="00802ABC">
            <w:pPr>
              <w:spacing w:after="0"/>
              <w:jc w:val="center"/>
              <w:rPr>
                <w:lang w:val="zh-CN"/>
              </w:rPr>
            </w:pPr>
            <w:r w:rsidRPr="00536CFD">
              <w:rPr>
                <w:lang w:eastAsia="x-none"/>
              </w:rPr>
              <w:t>0.21</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35BD0EE" w14:textId="77777777" w:rsidR="004346F3" w:rsidRPr="00536CFD" w:rsidRDefault="004346F3" w:rsidP="00802ABC">
            <w:pPr>
              <w:spacing w:after="0"/>
              <w:jc w:val="center"/>
              <w:rPr>
                <w:lang w:val="zh-CN"/>
              </w:rPr>
            </w:pPr>
            <w:r w:rsidRPr="00536CFD">
              <w:rPr>
                <w:lang w:eastAsia="x-none"/>
              </w:rPr>
              <w:t>0.16</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446AFA86" w14:textId="77777777" w:rsidR="004346F3" w:rsidRPr="00536CFD" w:rsidRDefault="004346F3" w:rsidP="00802ABC">
            <w:pPr>
              <w:spacing w:after="0"/>
              <w:jc w:val="center"/>
              <w:rPr>
                <w:lang w:val="zh-CN"/>
              </w:rPr>
            </w:pPr>
            <w:r w:rsidRPr="00536CFD">
              <w:rPr>
                <w:lang w:eastAsia="x-none"/>
              </w:rPr>
              <w:t>8.00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719CC22" w14:textId="77777777" w:rsidR="004346F3" w:rsidRPr="00536CFD" w:rsidRDefault="004346F3" w:rsidP="00802ABC">
            <w:pPr>
              <w:spacing w:after="0"/>
              <w:jc w:val="center"/>
              <w:rPr>
                <w:lang w:val="zh-CN"/>
              </w:rPr>
            </w:pPr>
            <w:r w:rsidRPr="00536CFD">
              <w:rPr>
                <w:lang w:eastAsia="x-none"/>
              </w:rPr>
              <w:t>1.05</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3B90BF2" w14:textId="77777777" w:rsidR="004346F3" w:rsidRPr="00536CFD" w:rsidRDefault="004346F3" w:rsidP="00802ABC">
            <w:pPr>
              <w:spacing w:after="0"/>
              <w:jc w:val="center"/>
              <w:rPr>
                <w:lang w:val="zh-CN"/>
              </w:rPr>
            </w:pPr>
            <w:r w:rsidRPr="00536CFD">
              <w:rPr>
                <w:lang w:eastAsia="x-none"/>
              </w:rPr>
              <w:t>0.28</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3D0C035A" w14:textId="77777777" w:rsidR="004346F3" w:rsidRPr="00536CFD" w:rsidRDefault="004346F3" w:rsidP="00802ABC">
            <w:pPr>
              <w:spacing w:after="0"/>
              <w:jc w:val="center"/>
              <w:rPr>
                <w:lang w:val="zh-CN"/>
              </w:rPr>
            </w:pPr>
            <w:r w:rsidRPr="00536CFD">
              <w:rPr>
                <w:lang w:eastAsia="x-none"/>
              </w:rPr>
              <w:t>0.19</w:t>
            </w:r>
          </w:p>
        </w:tc>
      </w:tr>
      <w:tr w:rsidR="004346F3" w:rsidRPr="00536CFD" w14:paraId="6786EBDF"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7526479"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EE55EA1"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06C3D2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center"/>
          </w:tcPr>
          <w:p w14:paraId="7373B665" w14:textId="77777777" w:rsidR="004346F3" w:rsidRPr="00536CFD" w:rsidRDefault="004346F3" w:rsidP="00802ABC">
            <w:pPr>
              <w:spacing w:after="0"/>
              <w:jc w:val="center"/>
              <w:rPr>
                <w:lang w:val="zh-CN"/>
              </w:rPr>
            </w:pPr>
            <w:r w:rsidRPr="00536CFD">
              <w:rPr>
                <w:lang w:eastAsia="x-none"/>
              </w:rPr>
              <w:t>0.13</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92932BC" w14:textId="77777777" w:rsidR="004346F3" w:rsidRPr="00536CFD" w:rsidRDefault="004346F3" w:rsidP="00802ABC">
            <w:pPr>
              <w:spacing w:after="0"/>
              <w:jc w:val="center"/>
              <w:rPr>
                <w:lang w:val="zh-CN"/>
              </w:rPr>
            </w:pPr>
            <w:r w:rsidRPr="00536CFD">
              <w:rPr>
                <w:lang w:eastAsia="x-none"/>
              </w:rPr>
              <w:t>0.10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C8C1B74" w14:textId="77777777" w:rsidR="004346F3" w:rsidRPr="00536CFD" w:rsidRDefault="004346F3" w:rsidP="00802ABC">
            <w:pPr>
              <w:spacing w:after="0"/>
              <w:jc w:val="center"/>
              <w:rPr>
                <w:lang w:val="zh-CN"/>
              </w:rPr>
            </w:pPr>
            <w:r w:rsidRPr="00536CFD">
              <w:rPr>
                <w:lang w:eastAsia="x-none"/>
              </w:rPr>
              <w:t>0.07</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6062415" w14:textId="77777777" w:rsidR="004346F3" w:rsidRPr="00536CFD" w:rsidRDefault="004346F3" w:rsidP="00802ABC">
            <w:pPr>
              <w:spacing w:after="0"/>
              <w:jc w:val="center"/>
              <w:rPr>
                <w:lang w:val="zh-CN"/>
              </w:rPr>
            </w:pPr>
            <w:r w:rsidRPr="00536CFD">
              <w:rPr>
                <w:lang w:eastAsia="x-none"/>
              </w:rPr>
              <w:t>0.06</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4A305AE" w14:textId="77777777" w:rsidR="004346F3" w:rsidRPr="00536CFD" w:rsidRDefault="004346F3" w:rsidP="00802ABC">
            <w:pPr>
              <w:spacing w:after="0"/>
              <w:jc w:val="center"/>
              <w:rPr>
                <w:lang w:val="zh-CN"/>
              </w:rPr>
            </w:pPr>
            <w:r w:rsidRPr="00536CFD">
              <w:rPr>
                <w:lang w:eastAsia="x-none"/>
              </w:rPr>
              <w:t>0.54</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D1DCC11" w14:textId="77777777" w:rsidR="004346F3" w:rsidRPr="00536CFD" w:rsidRDefault="004346F3" w:rsidP="00802ABC">
            <w:pPr>
              <w:spacing w:after="0"/>
              <w:jc w:val="center"/>
              <w:rPr>
                <w:lang w:val="zh-CN"/>
              </w:rPr>
            </w:pPr>
            <w:r w:rsidRPr="00536CFD">
              <w:rPr>
                <w:lang w:eastAsia="x-none"/>
              </w:rPr>
              <w:t>0.15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4B2A5236" w14:textId="77777777" w:rsidR="004346F3" w:rsidRPr="00536CFD" w:rsidRDefault="004346F3" w:rsidP="00802ABC">
            <w:pPr>
              <w:spacing w:after="0"/>
              <w:jc w:val="center"/>
              <w:rPr>
                <w:lang w:val="zh-CN"/>
              </w:rPr>
            </w:pPr>
            <w:r w:rsidRPr="00536CFD">
              <w:rPr>
                <w:lang w:eastAsia="x-none"/>
              </w:rPr>
              <w:t>0.09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1A0B7A3" w14:textId="77777777" w:rsidR="004346F3" w:rsidRPr="00536CFD" w:rsidRDefault="004346F3" w:rsidP="00802ABC">
            <w:pPr>
              <w:spacing w:after="0"/>
              <w:jc w:val="center"/>
              <w:rPr>
                <w:lang w:val="zh-CN"/>
              </w:rPr>
            </w:pPr>
            <w:r w:rsidRPr="00536CFD">
              <w:rPr>
                <w:lang w:eastAsia="x-none"/>
              </w:rPr>
              <w:t>0.07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7DB1AFC5" w14:textId="77777777" w:rsidR="004346F3" w:rsidRPr="00536CFD" w:rsidRDefault="004346F3" w:rsidP="00802ABC">
            <w:pPr>
              <w:spacing w:after="0"/>
              <w:jc w:val="center"/>
              <w:rPr>
                <w:lang w:val="zh-CN"/>
              </w:rPr>
            </w:pPr>
            <w:r w:rsidRPr="00536CFD">
              <w:rPr>
                <w:lang w:eastAsia="x-none"/>
              </w:rPr>
              <w:t>1.24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4B10451" w14:textId="77777777" w:rsidR="004346F3" w:rsidRPr="00536CFD" w:rsidRDefault="004346F3" w:rsidP="00802ABC">
            <w:pPr>
              <w:spacing w:after="0"/>
              <w:jc w:val="center"/>
              <w:rPr>
                <w:lang w:val="zh-CN"/>
              </w:rPr>
            </w:pPr>
            <w:r w:rsidRPr="00536CFD">
              <w:rPr>
                <w:lang w:eastAsia="x-none"/>
              </w:rPr>
              <w:t>0.27</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5FF52B2" w14:textId="77777777" w:rsidR="004346F3" w:rsidRPr="00536CFD" w:rsidRDefault="004346F3" w:rsidP="00802ABC">
            <w:pPr>
              <w:spacing w:after="0"/>
              <w:jc w:val="center"/>
              <w:rPr>
                <w:lang w:val="zh-CN"/>
              </w:rPr>
            </w:pPr>
            <w:r w:rsidRPr="00536CFD">
              <w:rPr>
                <w:lang w:eastAsia="x-none"/>
              </w:rPr>
              <w:t>0.11</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1F144424" w14:textId="77777777" w:rsidR="004346F3" w:rsidRPr="00536CFD" w:rsidRDefault="004346F3" w:rsidP="00802ABC">
            <w:pPr>
              <w:spacing w:after="0"/>
              <w:jc w:val="center"/>
              <w:rPr>
                <w:lang w:val="zh-CN"/>
              </w:rPr>
            </w:pPr>
            <w:r w:rsidRPr="00536CFD">
              <w:rPr>
                <w:lang w:eastAsia="x-none"/>
              </w:rPr>
              <w:t>0.08</w:t>
            </w:r>
          </w:p>
        </w:tc>
      </w:tr>
      <w:tr w:rsidR="004346F3" w:rsidRPr="00536CFD" w14:paraId="1DC492C0"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E13BF33"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169AE4AB"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2" w:type="dxa"/>
            <w:tcBorders>
              <w:top w:val="single" w:sz="4" w:space="0" w:color="auto"/>
              <w:left w:val="nil"/>
              <w:bottom w:val="single" w:sz="4" w:space="0" w:color="auto"/>
              <w:right w:val="single" w:sz="4" w:space="0" w:color="auto"/>
            </w:tcBorders>
            <w:shd w:val="clear" w:color="auto" w:fill="auto"/>
            <w:vAlign w:val="center"/>
          </w:tcPr>
          <w:p w14:paraId="4F431F21"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5D0E18DE"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00DCDB5D"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3D822AD"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5B720EB" w14:textId="77777777" w:rsidR="004346F3" w:rsidRPr="00536CFD" w:rsidRDefault="004346F3" w:rsidP="00802ABC">
            <w:pPr>
              <w:spacing w:after="0"/>
              <w:jc w:val="center"/>
              <w:rPr>
                <w:lang w:val="zh-CN"/>
              </w:rPr>
            </w:pPr>
            <w:r w:rsidRPr="00536CFD">
              <w:rPr>
                <w:lang w:eastAsia="x-none"/>
              </w:rPr>
              <w:t>99.9%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D767CB9"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259BA0E2"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E77CDD3" w14:textId="77777777" w:rsidR="004346F3" w:rsidRPr="00536CFD" w:rsidRDefault="004346F3" w:rsidP="00802ABC">
            <w:pPr>
              <w:spacing w:after="0"/>
              <w:jc w:val="center"/>
              <w:rPr>
                <w:lang w:val="zh-CN"/>
              </w:rPr>
            </w:pPr>
            <w:r w:rsidRPr="00536CFD">
              <w:rPr>
                <w:lang w:eastAsia="x-none"/>
              </w:rPr>
              <w:t>100.0%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351FFBAF" w14:textId="77777777" w:rsidR="004346F3" w:rsidRPr="00536CFD" w:rsidRDefault="004346F3" w:rsidP="00802ABC">
            <w:pPr>
              <w:spacing w:after="0"/>
              <w:jc w:val="center"/>
              <w:rPr>
                <w:lang w:val="zh-CN"/>
              </w:rPr>
            </w:pPr>
            <w:r w:rsidRPr="00536CFD">
              <w:rPr>
                <w:lang w:eastAsia="x-none"/>
              </w:rPr>
              <w:t>99.4%</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7072EDC" w14:textId="77777777" w:rsidR="004346F3" w:rsidRPr="00536CFD" w:rsidRDefault="004346F3" w:rsidP="00802ABC">
            <w:pPr>
              <w:spacing w:after="0"/>
              <w:jc w:val="center"/>
              <w:rPr>
                <w:lang w:val="zh-CN"/>
              </w:rPr>
            </w:pPr>
            <w:r w:rsidRPr="00536CFD">
              <w:rPr>
                <w:lang w:eastAsia="x-none"/>
              </w:rPr>
              <w:t>100.0%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599D6FEF" w14:textId="77777777" w:rsidR="004346F3" w:rsidRPr="00536CFD" w:rsidRDefault="004346F3" w:rsidP="00802ABC">
            <w:pPr>
              <w:spacing w:after="0"/>
              <w:jc w:val="center"/>
              <w:rPr>
                <w:lang w:val="zh-CN"/>
              </w:rPr>
            </w:pPr>
            <w:r w:rsidRPr="00536CFD">
              <w:rPr>
                <w:lang w:eastAsia="x-none"/>
              </w:rPr>
              <w:t>100.0%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07DBFEA4" w14:textId="77777777" w:rsidR="004346F3" w:rsidRPr="00536CFD" w:rsidRDefault="004346F3" w:rsidP="00802ABC">
            <w:pPr>
              <w:spacing w:after="0"/>
              <w:jc w:val="center"/>
              <w:rPr>
                <w:lang w:val="zh-CN"/>
              </w:rPr>
            </w:pPr>
            <w:r w:rsidRPr="00536CFD">
              <w:rPr>
                <w:lang w:eastAsia="x-none"/>
              </w:rPr>
              <w:t>100.0%</w:t>
            </w:r>
          </w:p>
        </w:tc>
      </w:tr>
      <w:tr w:rsidR="004346F3" w:rsidRPr="00536CFD" w14:paraId="348B01C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93E99EF"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11A4128F"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2" w:type="dxa"/>
            <w:tcBorders>
              <w:top w:val="single" w:sz="4" w:space="0" w:color="auto"/>
              <w:left w:val="nil"/>
              <w:bottom w:val="single" w:sz="4" w:space="0" w:color="auto"/>
              <w:right w:val="single" w:sz="4" w:space="0" w:color="auto"/>
            </w:tcBorders>
            <w:shd w:val="clear" w:color="auto" w:fill="auto"/>
            <w:vAlign w:val="center"/>
          </w:tcPr>
          <w:p w14:paraId="5E68BC48"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730C092B"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FC8AFDB" w14:textId="77777777" w:rsidR="004346F3" w:rsidRPr="00536CFD" w:rsidRDefault="004346F3" w:rsidP="00802ABC">
            <w:pPr>
              <w:spacing w:after="0"/>
              <w:jc w:val="center"/>
              <w:rPr>
                <w:lang w:val="zh-CN"/>
              </w:rPr>
            </w:pPr>
            <w:r w:rsidRPr="00536CFD">
              <w:rPr>
                <w:lang w:eastAsia="x-none"/>
              </w:rPr>
              <w:t>100.0%</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10F3A80"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0442775" w14:textId="77777777" w:rsidR="004346F3" w:rsidRPr="00536CFD" w:rsidRDefault="004346F3" w:rsidP="00802ABC">
            <w:pPr>
              <w:spacing w:after="0"/>
              <w:jc w:val="center"/>
              <w:rPr>
                <w:lang w:val="zh-CN"/>
              </w:rPr>
            </w:pPr>
            <w:r w:rsidRPr="00536CFD">
              <w:rPr>
                <w:lang w:eastAsia="x-none"/>
              </w:rPr>
              <w:t>99.3%</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1AA56A5"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0ECAD90E" w14:textId="77777777" w:rsidR="004346F3" w:rsidRPr="00536CFD" w:rsidRDefault="004346F3" w:rsidP="00802ABC">
            <w:pPr>
              <w:spacing w:after="0"/>
              <w:jc w:val="center"/>
              <w:rPr>
                <w:lang w:val="zh-CN"/>
              </w:rPr>
            </w:pPr>
            <w:r w:rsidRPr="00536CFD">
              <w:rPr>
                <w:lang w:eastAsia="x-none"/>
              </w:rPr>
              <w:t>100.0%</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6F5992C" w14:textId="77777777" w:rsidR="004346F3" w:rsidRPr="00536CFD" w:rsidRDefault="004346F3" w:rsidP="00802ABC">
            <w:pPr>
              <w:spacing w:after="0"/>
              <w:jc w:val="center"/>
              <w:rPr>
                <w:lang w:val="zh-CN"/>
              </w:rPr>
            </w:pPr>
            <w:r w:rsidRPr="00536CFD">
              <w:rPr>
                <w:lang w:eastAsia="x-none"/>
              </w:rPr>
              <w:t>100.0%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6701F177" w14:textId="77777777" w:rsidR="004346F3" w:rsidRPr="00536CFD" w:rsidRDefault="004346F3" w:rsidP="00802ABC">
            <w:pPr>
              <w:spacing w:after="0"/>
              <w:jc w:val="center"/>
              <w:rPr>
                <w:lang w:val="zh-CN"/>
              </w:rPr>
            </w:pPr>
            <w:r w:rsidRPr="00536CFD">
              <w:rPr>
                <w:lang w:eastAsia="x-none"/>
              </w:rPr>
              <w:t>95.5%</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5099632E" w14:textId="77777777" w:rsidR="004346F3" w:rsidRPr="00536CFD" w:rsidRDefault="004346F3" w:rsidP="00802ABC">
            <w:pPr>
              <w:spacing w:after="0"/>
              <w:jc w:val="center"/>
              <w:rPr>
                <w:lang w:val="zh-CN"/>
              </w:rPr>
            </w:pPr>
            <w:r w:rsidRPr="00536CFD">
              <w:rPr>
                <w:lang w:eastAsia="x-none"/>
              </w:rPr>
              <w:t>100.0%</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77ECCB4" w14:textId="77777777" w:rsidR="004346F3" w:rsidRPr="00536CFD" w:rsidRDefault="004346F3" w:rsidP="00802ABC">
            <w:pPr>
              <w:spacing w:after="0"/>
              <w:jc w:val="center"/>
              <w:rPr>
                <w:lang w:val="zh-CN"/>
              </w:rPr>
            </w:pPr>
            <w:r w:rsidRPr="00536CFD">
              <w:rPr>
                <w:lang w:eastAsia="x-none"/>
              </w:rPr>
              <w:t>100.0%</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467FEBEF" w14:textId="77777777" w:rsidR="004346F3" w:rsidRPr="00536CFD" w:rsidRDefault="004346F3" w:rsidP="00802ABC">
            <w:pPr>
              <w:spacing w:after="0"/>
              <w:jc w:val="center"/>
              <w:rPr>
                <w:lang w:val="zh-CN"/>
              </w:rPr>
            </w:pPr>
            <w:r w:rsidRPr="00536CFD">
              <w:rPr>
                <w:lang w:eastAsia="x-none"/>
              </w:rPr>
              <w:t>100.0%</w:t>
            </w:r>
          </w:p>
        </w:tc>
      </w:tr>
      <w:tr w:rsidR="004346F3" w:rsidRPr="00536CFD" w14:paraId="522BDA97"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3D0BE02"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0A1636D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2" w:type="dxa"/>
            <w:tcBorders>
              <w:top w:val="single" w:sz="4" w:space="0" w:color="auto"/>
              <w:left w:val="nil"/>
              <w:bottom w:val="single" w:sz="4" w:space="0" w:color="auto"/>
              <w:right w:val="single" w:sz="4" w:space="0" w:color="auto"/>
            </w:tcBorders>
            <w:shd w:val="clear" w:color="auto" w:fill="auto"/>
            <w:vAlign w:val="center"/>
          </w:tcPr>
          <w:p w14:paraId="114256A2" w14:textId="77777777" w:rsidR="004346F3" w:rsidRPr="00536CFD" w:rsidRDefault="004346F3" w:rsidP="00802ABC">
            <w:pPr>
              <w:spacing w:after="0"/>
              <w:jc w:val="center"/>
              <w:rPr>
                <w:lang w:val="zh-CN"/>
              </w:rPr>
            </w:pPr>
            <w:r w:rsidRPr="00536CFD">
              <w:rPr>
                <w:lang w:eastAsia="x-none"/>
              </w:rPr>
              <w:t>13.1%</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390242BE" w14:textId="77777777" w:rsidR="004346F3" w:rsidRPr="00536CFD" w:rsidRDefault="004346F3" w:rsidP="00802ABC">
            <w:pPr>
              <w:spacing w:after="0"/>
              <w:jc w:val="center"/>
              <w:rPr>
                <w:lang w:val="zh-CN"/>
              </w:rPr>
            </w:pPr>
            <w:r w:rsidRPr="00536CFD">
              <w:rPr>
                <w:lang w:eastAsia="x-none"/>
              </w:rPr>
              <w:t>10.9%</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26C74E37" w14:textId="77777777" w:rsidR="004346F3" w:rsidRPr="00536CFD" w:rsidRDefault="004346F3" w:rsidP="00802ABC">
            <w:pPr>
              <w:spacing w:after="0"/>
              <w:jc w:val="center"/>
              <w:rPr>
                <w:lang w:val="zh-CN"/>
              </w:rPr>
            </w:pPr>
            <w:r w:rsidRPr="00536CFD">
              <w:rPr>
                <w:lang w:eastAsia="x-none"/>
              </w:rPr>
              <w:t>7.4%</w:t>
            </w:r>
          </w:p>
        </w:tc>
        <w:tc>
          <w:tcPr>
            <w:tcW w:w="644" w:type="dxa"/>
            <w:gridSpan w:val="2"/>
            <w:tcBorders>
              <w:top w:val="single" w:sz="4" w:space="0" w:color="auto"/>
              <w:left w:val="nil"/>
              <w:bottom w:val="single" w:sz="4" w:space="0" w:color="auto"/>
              <w:right w:val="single" w:sz="4" w:space="0" w:color="auto"/>
            </w:tcBorders>
            <w:shd w:val="clear" w:color="auto" w:fill="auto"/>
            <w:vAlign w:val="center"/>
          </w:tcPr>
          <w:p w14:paraId="471049A1" w14:textId="77777777" w:rsidR="004346F3" w:rsidRPr="00536CFD" w:rsidRDefault="004346F3" w:rsidP="00802ABC">
            <w:pPr>
              <w:spacing w:after="0"/>
              <w:jc w:val="center"/>
              <w:rPr>
                <w:lang w:val="zh-CN"/>
              </w:rPr>
            </w:pPr>
            <w:r w:rsidRPr="00536CFD">
              <w:rPr>
                <w:lang w:eastAsia="x-none"/>
              </w:rPr>
              <w:t>6.9%</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56E5816D" w14:textId="77777777" w:rsidR="004346F3" w:rsidRPr="00536CFD" w:rsidRDefault="004346F3" w:rsidP="00802ABC">
            <w:pPr>
              <w:spacing w:after="0"/>
              <w:jc w:val="center"/>
              <w:rPr>
                <w:lang w:val="zh-CN"/>
              </w:rPr>
            </w:pPr>
            <w:r w:rsidRPr="00536CFD">
              <w:rPr>
                <w:lang w:eastAsia="x-none"/>
              </w:rPr>
              <w:t>38.2%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DA30791" w14:textId="77777777" w:rsidR="004346F3" w:rsidRPr="00536CFD" w:rsidRDefault="004346F3" w:rsidP="00802ABC">
            <w:pPr>
              <w:spacing w:after="0"/>
              <w:jc w:val="center"/>
              <w:rPr>
                <w:lang w:val="zh-CN"/>
              </w:rPr>
            </w:pPr>
            <w:r w:rsidRPr="00536CFD">
              <w:rPr>
                <w:lang w:eastAsia="x-none"/>
              </w:rPr>
              <w:t>19.2%</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32661EC4" w14:textId="77777777" w:rsidR="004346F3" w:rsidRPr="00536CFD" w:rsidRDefault="004346F3" w:rsidP="00802ABC">
            <w:pPr>
              <w:spacing w:after="0"/>
              <w:jc w:val="center"/>
              <w:rPr>
                <w:lang w:val="zh-CN"/>
              </w:rPr>
            </w:pPr>
            <w:r w:rsidRPr="00536CFD">
              <w:rPr>
                <w:lang w:eastAsia="x-none"/>
              </w:rPr>
              <w:t>11.5%</w:t>
            </w:r>
          </w:p>
        </w:tc>
        <w:tc>
          <w:tcPr>
            <w:tcW w:w="715" w:type="dxa"/>
            <w:gridSpan w:val="2"/>
            <w:tcBorders>
              <w:top w:val="single" w:sz="4" w:space="0" w:color="auto"/>
              <w:left w:val="nil"/>
              <w:bottom w:val="single" w:sz="4" w:space="0" w:color="auto"/>
              <w:right w:val="single" w:sz="4" w:space="0" w:color="auto"/>
            </w:tcBorders>
            <w:shd w:val="clear" w:color="auto" w:fill="auto"/>
            <w:vAlign w:val="center"/>
          </w:tcPr>
          <w:p w14:paraId="12B71DEC" w14:textId="77777777" w:rsidR="004346F3" w:rsidRPr="00536CFD" w:rsidRDefault="004346F3" w:rsidP="00802ABC">
            <w:pPr>
              <w:spacing w:after="0"/>
              <w:jc w:val="center"/>
              <w:rPr>
                <w:lang w:val="zh-CN"/>
              </w:rPr>
            </w:pPr>
            <w:r w:rsidRPr="00536CFD">
              <w:rPr>
                <w:lang w:eastAsia="x-none"/>
              </w:rPr>
              <w:t>10.1%</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16039C9C" w14:textId="77777777" w:rsidR="004346F3" w:rsidRPr="00536CFD" w:rsidRDefault="004346F3" w:rsidP="00802ABC">
            <w:pPr>
              <w:spacing w:after="0"/>
              <w:jc w:val="center"/>
              <w:rPr>
                <w:lang w:val="zh-CN"/>
              </w:rPr>
            </w:pPr>
            <w:r w:rsidRPr="00536CFD">
              <w:rPr>
                <w:lang w:eastAsia="x-none"/>
              </w:rPr>
              <w:t>61.3%</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39BD727" w14:textId="77777777" w:rsidR="004346F3" w:rsidRPr="00536CFD" w:rsidRDefault="004346F3" w:rsidP="00802ABC">
            <w:pPr>
              <w:spacing w:after="0"/>
              <w:jc w:val="center"/>
              <w:rPr>
                <w:lang w:val="zh-CN"/>
              </w:rPr>
            </w:pPr>
            <w:r w:rsidRPr="00536CFD">
              <w:rPr>
                <w:lang w:eastAsia="x-none"/>
              </w:rPr>
              <w:t>28.4%</w:t>
            </w:r>
          </w:p>
        </w:tc>
        <w:tc>
          <w:tcPr>
            <w:tcW w:w="737" w:type="dxa"/>
            <w:gridSpan w:val="2"/>
            <w:tcBorders>
              <w:top w:val="single" w:sz="4" w:space="0" w:color="auto"/>
              <w:left w:val="nil"/>
              <w:bottom w:val="single" w:sz="4" w:space="0" w:color="auto"/>
              <w:right w:val="single" w:sz="4" w:space="0" w:color="auto"/>
            </w:tcBorders>
            <w:shd w:val="clear" w:color="auto" w:fill="auto"/>
            <w:vAlign w:val="center"/>
          </w:tcPr>
          <w:p w14:paraId="2C99BBC6" w14:textId="77777777" w:rsidR="004346F3" w:rsidRPr="00536CFD" w:rsidRDefault="004346F3" w:rsidP="00802ABC">
            <w:pPr>
              <w:spacing w:after="0"/>
              <w:jc w:val="center"/>
              <w:rPr>
                <w:lang w:val="zh-CN"/>
              </w:rPr>
            </w:pPr>
            <w:r w:rsidRPr="00536CFD">
              <w:rPr>
                <w:lang w:eastAsia="x-none"/>
              </w:rPr>
              <w:t>15.5%</w:t>
            </w:r>
          </w:p>
        </w:tc>
        <w:tc>
          <w:tcPr>
            <w:tcW w:w="738" w:type="dxa"/>
            <w:gridSpan w:val="2"/>
            <w:tcBorders>
              <w:top w:val="single" w:sz="4" w:space="0" w:color="auto"/>
              <w:left w:val="nil"/>
              <w:bottom w:val="single" w:sz="4" w:space="0" w:color="auto"/>
              <w:right w:val="single" w:sz="4" w:space="0" w:color="auto"/>
            </w:tcBorders>
            <w:shd w:val="clear" w:color="auto" w:fill="auto"/>
            <w:vAlign w:val="center"/>
          </w:tcPr>
          <w:p w14:paraId="20C57525" w14:textId="77777777" w:rsidR="004346F3" w:rsidRPr="00536CFD" w:rsidRDefault="004346F3" w:rsidP="00802ABC">
            <w:pPr>
              <w:spacing w:after="0"/>
              <w:jc w:val="center"/>
              <w:rPr>
                <w:lang w:val="zh-CN"/>
              </w:rPr>
            </w:pPr>
            <w:r w:rsidRPr="00536CFD">
              <w:rPr>
                <w:lang w:eastAsia="x-none"/>
              </w:rPr>
              <w:t>12.3%</w:t>
            </w:r>
          </w:p>
        </w:tc>
      </w:tr>
      <w:tr w:rsidR="004346F3" w:rsidRPr="00536CFD" w14:paraId="63463D63"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76DBE00"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481EFC76" w14:textId="77777777" w:rsidR="004346F3" w:rsidRPr="00536CFD" w:rsidRDefault="004346F3" w:rsidP="00802ABC">
            <w:pPr>
              <w:spacing w:after="0"/>
              <w:jc w:val="center"/>
            </w:pPr>
            <w:r w:rsidRPr="00536CFD">
              <w:rPr>
                <w:rFonts w:ascii="Cambria Math" w:hAnsi="Cambria Math" w:cs="Cambria Math"/>
              </w:rPr>
              <w:t>𝜆</w:t>
            </w:r>
          </w:p>
        </w:tc>
        <w:tc>
          <w:tcPr>
            <w:tcW w:w="2514" w:type="dxa"/>
            <w:gridSpan w:val="7"/>
            <w:tcBorders>
              <w:top w:val="single" w:sz="4" w:space="0" w:color="auto"/>
              <w:left w:val="nil"/>
              <w:bottom w:val="single" w:sz="4" w:space="0" w:color="auto"/>
              <w:right w:val="single" w:sz="4" w:space="0" w:color="auto"/>
            </w:tcBorders>
            <w:shd w:val="clear" w:color="auto" w:fill="auto"/>
            <w:vAlign w:val="center"/>
          </w:tcPr>
          <w:p w14:paraId="67C81B73" w14:textId="77777777" w:rsidR="004346F3" w:rsidRPr="00536CFD" w:rsidRDefault="004346F3" w:rsidP="00802ABC">
            <w:pPr>
              <w:spacing w:after="0"/>
              <w:jc w:val="center"/>
              <w:rPr>
                <w:lang w:val="zh-CN"/>
              </w:rPr>
            </w:pPr>
            <w:r w:rsidRPr="00536CFD">
              <w:rPr>
                <w:lang w:eastAsia="x-none"/>
              </w:rPr>
              <w:t>0.13</w:t>
            </w:r>
          </w:p>
        </w:tc>
        <w:tc>
          <w:tcPr>
            <w:tcW w:w="2860" w:type="dxa"/>
            <w:gridSpan w:val="8"/>
            <w:tcBorders>
              <w:top w:val="single" w:sz="4" w:space="0" w:color="auto"/>
              <w:left w:val="nil"/>
              <w:bottom w:val="single" w:sz="4" w:space="0" w:color="auto"/>
              <w:right w:val="single" w:sz="4" w:space="0" w:color="auto"/>
            </w:tcBorders>
            <w:shd w:val="clear" w:color="auto" w:fill="auto"/>
            <w:vAlign w:val="center"/>
          </w:tcPr>
          <w:p w14:paraId="02D1E9CA" w14:textId="77777777" w:rsidR="004346F3" w:rsidRPr="00536CFD" w:rsidRDefault="004346F3" w:rsidP="00802ABC">
            <w:pPr>
              <w:spacing w:after="0"/>
              <w:jc w:val="center"/>
              <w:rPr>
                <w:lang w:val="zh-CN"/>
              </w:rPr>
            </w:pPr>
            <w:r w:rsidRPr="00536CFD">
              <w:rPr>
                <w:lang w:eastAsia="x-none"/>
              </w:rPr>
              <w:t>0.17</w:t>
            </w:r>
          </w:p>
        </w:tc>
        <w:tc>
          <w:tcPr>
            <w:tcW w:w="2950" w:type="dxa"/>
            <w:gridSpan w:val="8"/>
            <w:tcBorders>
              <w:top w:val="single" w:sz="4" w:space="0" w:color="auto"/>
              <w:left w:val="nil"/>
              <w:bottom w:val="single" w:sz="4" w:space="0" w:color="auto"/>
              <w:right w:val="single" w:sz="4" w:space="0" w:color="auto"/>
            </w:tcBorders>
            <w:shd w:val="clear" w:color="auto" w:fill="auto"/>
            <w:vAlign w:val="center"/>
          </w:tcPr>
          <w:p w14:paraId="4A02AA26" w14:textId="77777777" w:rsidR="004346F3" w:rsidRPr="00536CFD" w:rsidRDefault="004346F3" w:rsidP="00802ABC">
            <w:pPr>
              <w:spacing w:after="0"/>
              <w:jc w:val="center"/>
              <w:rPr>
                <w:lang w:val="zh-CN"/>
              </w:rPr>
            </w:pPr>
            <w:r w:rsidRPr="00536CFD">
              <w:rPr>
                <w:lang w:eastAsia="x-none"/>
              </w:rPr>
              <w:t>0.19</w:t>
            </w:r>
          </w:p>
        </w:tc>
      </w:tr>
      <w:tr w:rsidR="004346F3" w:rsidRPr="00536CFD" w14:paraId="69C3520B"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8ADD7AF"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60380A72" w14:textId="77777777" w:rsidR="004346F3" w:rsidRPr="00536CFD" w:rsidRDefault="004346F3" w:rsidP="00802ABC">
            <w:pPr>
              <w:spacing w:after="0"/>
              <w:contextualSpacing/>
              <w:rPr>
                <w:lang w:val="en-US" w:bidi="ar"/>
              </w:rPr>
            </w:pPr>
          </w:p>
        </w:tc>
        <w:tc>
          <w:tcPr>
            <w:tcW w:w="8324" w:type="dxa"/>
            <w:gridSpan w:val="23"/>
            <w:tcBorders>
              <w:top w:val="single" w:sz="4" w:space="0" w:color="auto"/>
              <w:left w:val="nil"/>
              <w:bottom w:val="single" w:sz="4" w:space="0" w:color="auto"/>
              <w:right w:val="single" w:sz="4" w:space="0" w:color="auto"/>
            </w:tcBorders>
            <w:shd w:val="clear" w:color="auto" w:fill="auto"/>
          </w:tcPr>
          <w:p w14:paraId="60F5A841" w14:textId="77777777" w:rsidR="004346F3" w:rsidRPr="00536CFD" w:rsidRDefault="004346F3" w:rsidP="00802ABC">
            <w:pPr>
              <w:spacing w:after="0"/>
              <w:contextualSpacing/>
              <w:rPr>
                <w:lang w:val="en-US" w:bidi="ar"/>
              </w:rPr>
            </w:pPr>
            <w:r w:rsidRPr="00536CFD">
              <w:rPr>
                <w:lang w:val="en-US" w:bidi="ar"/>
              </w:rPr>
              <w:t xml:space="preserve">Additional Comments: </w:t>
            </w:r>
          </w:p>
          <w:p w14:paraId="4B44B495" w14:textId="77777777" w:rsidR="004346F3" w:rsidRPr="00536CFD" w:rsidRDefault="004346F3" w:rsidP="00802ABC">
            <w:pPr>
              <w:spacing w:after="0" w:line="360" w:lineRule="auto"/>
              <w:contextualSpacing/>
              <w:rPr>
                <w:lang w:val="en-US" w:bidi="ar"/>
              </w:rPr>
            </w:pPr>
            <w:r w:rsidRPr="00536CFD">
              <w:rPr>
                <w:b/>
                <w:lang w:val="en-US" w:bidi="ar"/>
              </w:rPr>
              <w:t>Common assumption:</w:t>
            </w:r>
            <w:r w:rsidRPr="00536CFD">
              <w:rPr>
                <w:lang w:val="en-US" w:bidi="ar"/>
              </w:rPr>
              <w:t xml:space="preserve"> 4 antenna at gNB/AP, 2 antenna at UE/STA, close loop BF with single stream  </w:t>
            </w:r>
          </w:p>
          <w:p w14:paraId="25D09258" w14:textId="77777777" w:rsidR="004346F3" w:rsidRPr="00536CFD" w:rsidRDefault="004346F3" w:rsidP="00802ABC">
            <w:pPr>
              <w:spacing w:after="0" w:line="360" w:lineRule="auto"/>
              <w:contextualSpacing/>
              <w:rPr>
                <w:lang w:val="en-US" w:bidi="ar"/>
              </w:rPr>
            </w:pPr>
            <w:r w:rsidRPr="00536CFD">
              <w:rPr>
                <w:b/>
                <w:lang w:val="en-US" w:bidi="ar"/>
              </w:rPr>
              <w:t>NRU assumption:</w:t>
            </w:r>
            <w:r w:rsidRPr="00536CFD">
              <w:rPr>
                <w:lang w:val="en-US" w:bidi="ar"/>
              </w:rPr>
              <w:t xml:space="preserve"> 8ms MCOT;  ED=-72dBm; 256 QAM LDPC; 60 kHz SCS NCP; UE processing time capability #1; NR type B for PDSCH, type A for PUSCH</w:t>
            </w:r>
          </w:p>
          <w:p w14:paraId="4D8B081E" w14:textId="77777777" w:rsidR="004346F3" w:rsidRPr="00536CFD" w:rsidRDefault="004346F3" w:rsidP="00802ABC">
            <w:pPr>
              <w:spacing w:after="0"/>
              <w:contextualSpacing/>
              <w:rPr>
                <w:lang w:val="en-US" w:bidi="ar"/>
              </w:rPr>
            </w:pPr>
            <w:r w:rsidRPr="00536CFD">
              <w:rPr>
                <w:b/>
                <w:lang w:val="en-US" w:bidi="ar"/>
              </w:rPr>
              <w:t>802.11ac assumption:</w:t>
            </w:r>
            <w:r w:rsidRPr="00536CFD">
              <w:rPr>
                <w:lang w:val="en-US" w:bidi="ar"/>
              </w:rPr>
              <w:t xml:space="preserve"> 4ms TXOP; RTS/CTS disabled for WiFi, NAV set based on L-SIG; PD=-82dBm/ED=-62dBm EDCA; 256 QAM BCC; A-MPDU, 1500B MSDU + 14 B header; Immediate ACK,312.5kHz SCS GI= 0.8us</w:t>
            </w:r>
          </w:p>
        </w:tc>
      </w:tr>
      <w:tr w:rsidR="004346F3" w:rsidRPr="00536CFD" w14:paraId="7E8F90D3" w14:textId="77777777" w:rsidTr="00802ABC">
        <w:trPr>
          <w:cantSplit/>
          <w:trHeight w:val="20"/>
        </w:trPr>
        <w:tc>
          <w:tcPr>
            <w:tcW w:w="288" w:type="dxa"/>
            <w:vMerge w:val="restart"/>
            <w:tcBorders>
              <w:top w:val="nil"/>
              <w:left w:val="single" w:sz="4" w:space="0" w:color="auto"/>
              <w:bottom w:val="single" w:sz="4" w:space="0" w:color="auto"/>
              <w:right w:val="single" w:sz="4" w:space="0" w:color="auto"/>
            </w:tcBorders>
            <w:shd w:val="clear" w:color="auto" w:fill="auto"/>
            <w:textDirection w:val="btLr"/>
          </w:tcPr>
          <w:p w14:paraId="052F6676"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612" w:type="dxa"/>
            <w:gridSpan w:val="2"/>
            <w:vMerge w:val="restart"/>
            <w:tcBorders>
              <w:top w:val="nil"/>
              <w:left w:val="nil"/>
              <w:bottom w:val="single" w:sz="4" w:space="0" w:color="auto"/>
              <w:right w:val="single" w:sz="4" w:space="0" w:color="auto"/>
            </w:tcBorders>
            <w:shd w:val="clear" w:color="auto" w:fill="auto"/>
          </w:tcPr>
          <w:p w14:paraId="067A7704"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23348622"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bottom"/>
          </w:tcPr>
          <w:p w14:paraId="310A8A3D" w14:textId="77777777" w:rsidR="004346F3" w:rsidRPr="00536CFD" w:rsidRDefault="004346F3" w:rsidP="00802ABC">
            <w:pPr>
              <w:pageBreakBefore/>
              <w:spacing w:after="0"/>
              <w:jc w:val="center"/>
              <w:rPr>
                <w:lang w:val="zh-CN"/>
              </w:rPr>
            </w:pPr>
            <w:r w:rsidRPr="00536CFD">
              <w:rPr>
                <w:color w:val="000000"/>
              </w:rPr>
              <w:t>16.06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C660F5D" w14:textId="77777777" w:rsidR="004346F3" w:rsidRPr="00536CFD" w:rsidRDefault="004346F3" w:rsidP="00802ABC">
            <w:pPr>
              <w:pageBreakBefore/>
              <w:spacing w:after="0"/>
              <w:jc w:val="center"/>
              <w:rPr>
                <w:lang w:val="zh-CN"/>
              </w:rPr>
            </w:pPr>
            <w:r w:rsidRPr="00536CFD">
              <w:rPr>
                <w:color w:val="000000"/>
              </w:rPr>
              <w:t>19.62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2684E61" w14:textId="77777777" w:rsidR="004346F3" w:rsidRPr="00536CFD" w:rsidRDefault="004346F3" w:rsidP="00802ABC">
            <w:pPr>
              <w:pageBreakBefore/>
              <w:spacing w:after="0"/>
              <w:jc w:val="center"/>
              <w:rPr>
                <w:lang w:val="zh-CN"/>
              </w:rPr>
            </w:pPr>
            <w:r w:rsidRPr="00536CFD">
              <w:rPr>
                <w:color w:val="000000"/>
              </w:rPr>
              <w:t>52.83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693D926" w14:textId="77777777" w:rsidR="004346F3" w:rsidRPr="00536CFD" w:rsidRDefault="004346F3" w:rsidP="00802ABC">
            <w:pPr>
              <w:pageBreakBefore/>
              <w:spacing w:after="0"/>
              <w:jc w:val="center"/>
              <w:rPr>
                <w:lang w:val="zh-CN"/>
              </w:rPr>
            </w:pPr>
            <w:r w:rsidRPr="00536CFD">
              <w:rPr>
                <w:color w:val="000000"/>
              </w:rPr>
              <w:t>62.56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0FE4EAA" w14:textId="77777777" w:rsidR="004346F3" w:rsidRPr="00536CFD" w:rsidRDefault="004346F3" w:rsidP="00802ABC">
            <w:pPr>
              <w:pageBreakBefore/>
              <w:spacing w:after="0"/>
              <w:jc w:val="center"/>
              <w:rPr>
                <w:lang w:val="zh-CN"/>
              </w:rPr>
            </w:pPr>
            <w:r w:rsidRPr="00536CFD">
              <w:rPr>
                <w:color w:val="000000"/>
              </w:rPr>
              <w:t>9.41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71C8AA8" w14:textId="77777777" w:rsidR="004346F3" w:rsidRPr="00536CFD" w:rsidRDefault="004346F3" w:rsidP="00802ABC">
            <w:pPr>
              <w:pageBreakBefore/>
              <w:spacing w:after="0"/>
              <w:jc w:val="center"/>
              <w:rPr>
                <w:lang w:val="zh-CN"/>
              </w:rPr>
            </w:pPr>
            <w:r w:rsidRPr="00536CFD">
              <w:rPr>
                <w:color w:val="000000"/>
              </w:rPr>
              <w:t>14.19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CFFF9AA" w14:textId="77777777" w:rsidR="004346F3" w:rsidRPr="00536CFD" w:rsidRDefault="004346F3" w:rsidP="00802ABC">
            <w:pPr>
              <w:pageBreakBefore/>
              <w:spacing w:after="0"/>
              <w:jc w:val="center"/>
              <w:rPr>
                <w:lang w:val="zh-CN"/>
              </w:rPr>
            </w:pPr>
            <w:r w:rsidRPr="00536CFD">
              <w:rPr>
                <w:color w:val="000000"/>
              </w:rPr>
              <w:t>39.03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319D629" w14:textId="77777777" w:rsidR="004346F3" w:rsidRPr="00536CFD" w:rsidRDefault="004346F3" w:rsidP="00802ABC">
            <w:pPr>
              <w:pageBreakBefore/>
              <w:spacing w:after="0"/>
              <w:jc w:val="center"/>
              <w:rPr>
                <w:lang w:val="zh-CN"/>
              </w:rPr>
            </w:pPr>
            <w:r w:rsidRPr="00536CFD">
              <w:rPr>
                <w:color w:val="000000"/>
              </w:rPr>
              <w:t>59.09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139AFDA" w14:textId="77777777" w:rsidR="004346F3" w:rsidRPr="00536CFD" w:rsidRDefault="004346F3" w:rsidP="00802ABC">
            <w:pPr>
              <w:pageBreakBefore/>
              <w:spacing w:after="0"/>
              <w:jc w:val="center"/>
              <w:rPr>
                <w:lang w:val="zh-CN"/>
              </w:rPr>
            </w:pPr>
            <w:r w:rsidRPr="00536CFD">
              <w:rPr>
                <w:color w:val="000000"/>
              </w:rPr>
              <w:t>0.52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D1BE037" w14:textId="77777777" w:rsidR="004346F3" w:rsidRPr="00536CFD" w:rsidRDefault="004346F3" w:rsidP="00802ABC">
            <w:pPr>
              <w:pageBreakBefore/>
              <w:spacing w:after="0"/>
              <w:jc w:val="center"/>
              <w:rPr>
                <w:lang w:val="zh-CN"/>
              </w:rPr>
            </w:pPr>
            <w:r w:rsidRPr="00536CFD">
              <w:rPr>
                <w:color w:val="000000"/>
              </w:rPr>
              <w:t>3.1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175634A" w14:textId="77777777" w:rsidR="004346F3" w:rsidRPr="00536CFD" w:rsidRDefault="004346F3" w:rsidP="00802ABC">
            <w:pPr>
              <w:pageBreakBefore/>
              <w:spacing w:after="0"/>
              <w:jc w:val="center"/>
              <w:rPr>
                <w:lang w:val="zh-CN"/>
              </w:rPr>
            </w:pPr>
            <w:r w:rsidRPr="00536CFD">
              <w:rPr>
                <w:color w:val="000000"/>
              </w:rPr>
              <w:t>25.12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F6EF3E6" w14:textId="77777777" w:rsidR="004346F3" w:rsidRPr="00536CFD" w:rsidRDefault="004346F3" w:rsidP="00802ABC">
            <w:pPr>
              <w:pageBreakBefore/>
              <w:spacing w:after="0"/>
              <w:jc w:val="center"/>
              <w:rPr>
                <w:lang w:val="zh-CN"/>
              </w:rPr>
            </w:pPr>
            <w:r w:rsidRPr="00536CFD">
              <w:rPr>
                <w:color w:val="000000"/>
              </w:rPr>
              <w:t>53.42</w:t>
            </w:r>
          </w:p>
        </w:tc>
      </w:tr>
      <w:tr w:rsidR="004346F3" w:rsidRPr="00536CFD" w14:paraId="79C48172"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4B3D96C"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2A8FE4A"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083058F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bottom"/>
          </w:tcPr>
          <w:p w14:paraId="41D1CDC7" w14:textId="77777777" w:rsidR="004346F3" w:rsidRPr="00536CFD" w:rsidRDefault="004346F3" w:rsidP="00802ABC">
            <w:pPr>
              <w:spacing w:after="0"/>
              <w:jc w:val="center"/>
              <w:rPr>
                <w:lang w:val="zh-CN"/>
              </w:rPr>
            </w:pPr>
            <w:r w:rsidRPr="00536CFD">
              <w:rPr>
                <w:color w:val="000000"/>
              </w:rPr>
              <w:t>54.85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8D0212A" w14:textId="77777777" w:rsidR="004346F3" w:rsidRPr="00536CFD" w:rsidRDefault="004346F3" w:rsidP="00802ABC">
            <w:pPr>
              <w:spacing w:after="0"/>
              <w:jc w:val="center"/>
              <w:rPr>
                <w:lang w:val="zh-CN"/>
              </w:rPr>
            </w:pPr>
            <w:r w:rsidRPr="00536CFD">
              <w:rPr>
                <w:color w:val="000000"/>
              </w:rPr>
              <w:t>62.45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39501E0" w14:textId="77777777" w:rsidR="004346F3" w:rsidRPr="00536CFD" w:rsidRDefault="004346F3" w:rsidP="00802ABC">
            <w:pPr>
              <w:spacing w:after="0"/>
              <w:jc w:val="center"/>
              <w:rPr>
                <w:lang w:val="zh-CN"/>
              </w:rPr>
            </w:pPr>
            <w:r w:rsidRPr="00536CFD">
              <w:rPr>
                <w:color w:val="000000"/>
              </w:rPr>
              <w:t>115.47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675E25E" w14:textId="77777777" w:rsidR="004346F3" w:rsidRPr="00536CFD" w:rsidRDefault="004346F3" w:rsidP="00802ABC">
            <w:pPr>
              <w:spacing w:after="0"/>
              <w:jc w:val="center"/>
              <w:rPr>
                <w:lang w:val="zh-CN"/>
              </w:rPr>
            </w:pPr>
            <w:r w:rsidRPr="00536CFD">
              <w:rPr>
                <w:color w:val="000000"/>
              </w:rPr>
              <w:t>132.3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379EA85" w14:textId="77777777" w:rsidR="004346F3" w:rsidRPr="00536CFD" w:rsidRDefault="004346F3" w:rsidP="00802ABC">
            <w:pPr>
              <w:spacing w:after="0"/>
              <w:jc w:val="center"/>
              <w:rPr>
                <w:lang w:val="zh-CN"/>
              </w:rPr>
            </w:pPr>
            <w:r w:rsidRPr="00536CFD">
              <w:rPr>
                <w:color w:val="000000"/>
              </w:rPr>
              <w:t>41.38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726B6E6" w14:textId="77777777" w:rsidR="004346F3" w:rsidRPr="00536CFD" w:rsidRDefault="004346F3" w:rsidP="00802ABC">
            <w:pPr>
              <w:spacing w:after="0"/>
              <w:jc w:val="center"/>
              <w:rPr>
                <w:lang w:val="zh-CN"/>
              </w:rPr>
            </w:pPr>
            <w:r w:rsidRPr="00536CFD">
              <w:rPr>
                <w:color w:val="000000"/>
              </w:rPr>
              <w:t>46.29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3437370" w14:textId="77777777" w:rsidR="004346F3" w:rsidRPr="00536CFD" w:rsidRDefault="004346F3" w:rsidP="00802ABC">
            <w:pPr>
              <w:spacing w:after="0"/>
              <w:jc w:val="center"/>
              <w:rPr>
                <w:lang w:val="zh-CN"/>
              </w:rPr>
            </w:pPr>
            <w:r w:rsidRPr="00536CFD">
              <w:rPr>
                <w:color w:val="000000"/>
              </w:rPr>
              <w:t>99.83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DB08062" w14:textId="77777777" w:rsidR="004346F3" w:rsidRPr="00536CFD" w:rsidRDefault="004346F3" w:rsidP="00802ABC">
            <w:pPr>
              <w:spacing w:after="0"/>
              <w:jc w:val="center"/>
              <w:rPr>
                <w:lang w:val="zh-CN"/>
              </w:rPr>
            </w:pPr>
            <w:r w:rsidRPr="00536CFD">
              <w:rPr>
                <w:color w:val="000000"/>
              </w:rPr>
              <w:t>126.88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739EA45" w14:textId="77777777" w:rsidR="004346F3" w:rsidRPr="00536CFD" w:rsidRDefault="004346F3" w:rsidP="00802ABC">
            <w:pPr>
              <w:spacing w:after="0"/>
              <w:jc w:val="center"/>
              <w:rPr>
                <w:lang w:val="zh-CN"/>
              </w:rPr>
            </w:pPr>
            <w:r w:rsidRPr="00536CFD">
              <w:rPr>
                <w:color w:val="000000"/>
              </w:rPr>
              <w:t>31.67</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33DD3B86" w14:textId="77777777" w:rsidR="004346F3" w:rsidRPr="00536CFD" w:rsidRDefault="004346F3" w:rsidP="00802ABC">
            <w:pPr>
              <w:spacing w:after="0"/>
              <w:jc w:val="center"/>
              <w:rPr>
                <w:lang w:val="zh-CN"/>
              </w:rPr>
            </w:pPr>
            <w:r w:rsidRPr="00536CFD">
              <w:rPr>
                <w:color w:val="000000"/>
              </w:rPr>
              <w:t>34.31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9415115" w14:textId="77777777" w:rsidR="004346F3" w:rsidRPr="00536CFD" w:rsidRDefault="004346F3" w:rsidP="00802ABC">
            <w:pPr>
              <w:spacing w:after="0"/>
              <w:jc w:val="center"/>
              <w:rPr>
                <w:lang w:val="zh-CN"/>
              </w:rPr>
            </w:pPr>
            <w:r w:rsidRPr="00536CFD">
              <w:rPr>
                <w:color w:val="000000"/>
              </w:rPr>
              <w:t>76.09</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69D05E74" w14:textId="77777777" w:rsidR="004346F3" w:rsidRPr="00536CFD" w:rsidRDefault="004346F3" w:rsidP="00802ABC">
            <w:pPr>
              <w:spacing w:after="0"/>
              <w:jc w:val="center"/>
              <w:rPr>
                <w:lang w:val="zh-CN"/>
              </w:rPr>
            </w:pPr>
            <w:r w:rsidRPr="00536CFD">
              <w:rPr>
                <w:color w:val="000000"/>
              </w:rPr>
              <w:t>119.36</w:t>
            </w:r>
          </w:p>
        </w:tc>
      </w:tr>
      <w:tr w:rsidR="004346F3" w:rsidRPr="00536CFD" w14:paraId="199B7DEA"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2A6F58B"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A26842D"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2A9926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bottom"/>
          </w:tcPr>
          <w:p w14:paraId="0E628B62" w14:textId="77777777" w:rsidR="004346F3" w:rsidRPr="00536CFD" w:rsidRDefault="004346F3" w:rsidP="00802ABC">
            <w:pPr>
              <w:spacing w:after="0"/>
              <w:jc w:val="center"/>
              <w:rPr>
                <w:lang w:val="zh-CN"/>
              </w:rPr>
            </w:pPr>
            <w:r w:rsidRPr="00536CFD">
              <w:rPr>
                <w:color w:val="000000"/>
              </w:rPr>
              <w:t>90.83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589DBC8" w14:textId="77777777" w:rsidR="004346F3" w:rsidRPr="00536CFD" w:rsidRDefault="004346F3" w:rsidP="00802ABC">
            <w:pPr>
              <w:spacing w:after="0"/>
              <w:jc w:val="center"/>
              <w:rPr>
                <w:lang w:val="zh-CN"/>
              </w:rPr>
            </w:pPr>
            <w:r w:rsidRPr="00536CFD">
              <w:rPr>
                <w:color w:val="000000"/>
              </w:rPr>
              <w:t>93.26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4C175CD" w14:textId="77777777" w:rsidR="004346F3" w:rsidRPr="00536CFD" w:rsidRDefault="004346F3" w:rsidP="00802ABC">
            <w:pPr>
              <w:spacing w:after="0"/>
              <w:jc w:val="center"/>
              <w:rPr>
                <w:lang w:val="zh-CN"/>
              </w:rPr>
            </w:pPr>
            <w:r w:rsidRPr="00536CFD">
              <w:rPr>
                <w:color w:val="000000"/>
              </w:rPr>
              <w:t>154.09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CD113E9" w14:textId="77777777" w:rsidR="004346F3" w:rsidRPr="00536CFD" w:rsidRDefault="004346F3" w:rsidP="00802ABC">
            <w:pPr>
              <w:spacing w:after="0"/>
              <w:jc w:val="center"/>
              <w:rPr>
                <w:lang w:val="zh-CN"/>
              </w:rPr>
            </w:pPr>
            <w:r w:rsidRPr="00536CFD">
              <w:rPr>
                <w:color w:val="000000"/>
              </w:rPr>
              <w:t>163.9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BF5B4B4" w14:textId="77777777" w:rsidR="004346F3" w:rsidRPr="00536CFD" w:rsidRDefault="004346F3" w:rsidP="00802ABC">
            <w:pPr>
              <w:spacing w:after="0"/>
              <w:jc w:val="center"/>
              <w:rPr>
                <w:lang w:val="zh-CN"/>
              </w:rPr>
            </w:pPr>
            <w:r w:rsidRPr="00536CFD">
              <w:rPr>
                <w:color w:val="000000"/>
              </w:rPr>
              <w:t>78.41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C2215CF" w14:textId="77777777" w:rsidR="004346F3" w:rsidRPr="00536CFD" w:rsidRDefault="004346F3" w:rsidP="00802ABC">
            <w:pPr>
              <w:spacing w:after="0"/>
              <w:jc w:val="center"/>
              <w:rPr>
                <w:lang w:val="zh-CN"/>
              </w:rPr>
            </w:pPr>
            <w:r w:rsidRPr="00536CFD">
              <w:rPr>
                <w:color w:val="000000"/>
              </w:rPr>
              <w:t>85.02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2AB9DC8" w14:textId="77777777" w:rsidR="004346F3" w:rsidRPr="00536CFD" w:rsidRDefault="004346F3" w:rsidP="00802ABC">
            <w:pPr>
              <w:spacing w:after="0"/>
              <w:jc w:val="center"/>
              <w:rPr>
                <w:lang w:val="zh-CN"/>
              </w:rPr>
            </w:pPr>
            <w:r w:rsidRPr="00536CFD">
              <w:rPr>
                <w:color w:val="000000"/>
              </w:rPr>
              <w:t>145.77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CD0FDF6" w14:textId="77777777" w:rsidR="004346F3" w:rsidRPr="00536CFD" w:rsidRDefault="004346F3" w:rsidP="00802ABC">
            <w:pPr>
              <w:spacing w:after="0"/>
              <w:jc w:val="center"/>
              <w:rPr>
                <w:lang w:val="zh-CN"/>
              </w:rPr>
            </w:pPr>
            <w:r w:rsidRPr="00536CFD">
              <w:rPr>
                <w:color w:val="000000"/>
              </w:rPr>
              <w:t>160.43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8ABAD65" w14:textId="77777777" w:rsidR="004346F3" w:rsidRPr="00536CFD" w:rsidRDefault="004346F3" w:rsidP="00802ABC">
            <w:pPr>
              <w:spacing w:after="0"/>
              <w:jc w:val="center"/>
              <w:rPr>
                <w:lang w:val="zh-CN"/>
              </w:rPr>
            </w:pPr>
            <w:r w:rsidRPr="00536CFD">
              <w:rPr>
                <w:color w:val="000000"/>
              </w:rPr>
              <w:t>69.85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D27CC2A" w14:textId="77777777" w:rsidR="004346F3" w:rsidRPr="00536CFD" w:rsidRDefault="004346F3" w:rsidP="00802ABC">
            <w:pPr>
              <w:spacing w:after="0"/>
              <w:jc w:val="center"/>
              <w:rPr>
                <w:lang w:val="zh-CN"/>
              </w:rPr>
            </w:pPr>
            <w:r w:rsidRPr="00536CFD">
              <w:rPr>
                <w:color w:val="000000"/>
              </w:rPr>
              <w:t>77.01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AD0443E" w14:textId="77777777" w:rsidR="004346F3" w:rsidRPr="00536CFD" w:rsidRDefault="004346F3" w:rsidP="00802ABC">
            <w:pPr>
              <w:spacing w:after="0"/>
              <w:jc w:val="center"/>
              <w:rPr>
                <w:lang w:val="zh-CN"/>
              </w:rPr>
            </w:pPr>
            <w:r w:rsidRPr="00536CFD">
              <w:rPr>
                <w:color w:val="000000"/>
              </w:rPr>
              <w:t>132.15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52D6E852" w14:textId="77777777" w:rsidR="004346F3" w:rsidRPr="00536CFD" w:rsidRDefault="004346F3" w:rsidP="00802ABC">
            <w:pPr>
              <w:spacing w:after="0"/>
              <w:jc w:val="center"/>
              <w:rPr>
                <w:lang w:val="zh-CN"/>
              </w:rPr>
            </w:pPr>
            <w:r w:rsidRPr="00536CFD">
              <w:rPr>
                <w:color w:val="000000"/>
              </w:rPr>
              <w:t>157.06</w:t>
            </w:r>
          </w:p>
        </w:tc>
      </w:tr>
      <w:tr w:rsidR="004346F3" w:rsidRPr="00536CFD" w14:paraId="605D3302"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D3A319A"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3C8DD89B"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8BB8F4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bottom"/>
          </w:tcPr>
          <w:p w14:paraId="3E751A0C" w14:textId="77777777" w:rsidR="004346F3" w:rsidRPr="00536CFD" w:rsidRDefault="004346F3" w:rsidP="00802ABC">
            <w:pPr>
              <w:spacing w:after="0"/>
              <w:jc w:val="center"/>
              <w:rPr>
                <w:lang w:val="zh-CN"/>
              </w:rPr>
            </w:pPr>
            <w:r w:rsidRPr="00536CFD">
              <w:rPr>
                <w:color w:val="000000"/>
              </w:rPr>
              <w:t>53.99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D75041E" w14:textId="77777777" w:rsidR="004346F3" w:rsidRPr="00536CFD" w:rsidRDefault="004346F3" w:rsidP="00802ABC">
            <w:pPr>
              <w:spacing w:after="0"/>
              <w:jc w:val="center"/>
              <w:rPr>
                <w:lang w:val="zh-CN"/>
              </w:rPr>
            </w:pPr>
            <w:r w:rsidRPr="00536CFD">
              <w:rPr>
                <w:color w:val="000000"/>
              </w:rPr>
              <w:t>60.02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D2BD0DB" w14:textId="77777777" w:rsidR="004346F3" w:rsidRPr="00536CFD" w:rsidRDefault="004346F3" w:rsidP="00802ABC">
            <w:pPr>
              <w:spacing w:after="0"/>
              <w:jc w:val="center"/>
              <w:rPr>
                <w:lang w:val="zh-CN"/>
              </w:rPr>
            </w:pPr>
            <w:r w:rsidRPr="00536CFD">
              <w:rPr>
                <w:color w:val="000000"/>
              </w:rPr>
              <w:t>111.99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4F85939" w14:textId="77777777" w:rsidR="004346F3" w:rsidRPr="00536CFD" w:rsidRDefault="004346F3" w:rsidP="00802ABC">
            <w:pPr>
              <w:spacing w:after="0"/>
              <w:jc w:val="center"/>
              <w:rPr>
                <w:lang w:val="zh-CN"/>
              </w:rPr>
            </w:pPr>
            <w:r w:rsidRPr="00536CFD">
              <w:rPr>
                <w:color w:val="000000"/>
              </w:rPr>
              <w:t>125.72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6839655" w14:textId="77777777" w:rsidR="004346F3" w:rsidRPr="00536CFD" w:rsidRDefault="004346F3" w:rsidP="00802ABC">
            <w:pPr>
              <w:spacing w:after="0"/>
              <w:jc w:val="center"/>
              <w:rPr>
                <w:lang w:val="zh-CN"/>
              </w:rPr>
            </w:pPr>
            <w:r w:rsidRPr="00536CFD">
              <w:rPr>
                <w:color w:val="000000"/>
              </w:rPr>
              <w:t>42.24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12AFE50" w14:textId="77777777" w:rsidR="004346F3" w:rsidRPr="00536CFD" w:rsidRDefault="004346F3" w:rsidP="00802ABC">
            <w:pPr>
              <w:spacing w:after="0"/>
              <w:jc w:val="center"/>
              <w:rPr>
                <w:lang w:val="zh-CN"/>
              </w:rPr>
            </w:pPr>
            <w:r w:rsidRPr="00536CFD">
              <w:rPr>
                <w:color w:val="000000"/>
              </w:rPr>
              <w:t>49.26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96B2F2E" w14:textId="77777777" w:rsidR="004346F3" w:rsidRPr="00536CFD" w:rsidRDefault="004346F3" w:rsidP="00802ABC">
            <w:pPr>
              <w:spacing w:after="0"/>
              <w:jc w:val="center"/>
              <w:rPr>
                <w:lang w:val="zh-CN"/>
              </w:rPr>
            </w:pPr>
            <w:r w:rsidRPr="00536CFD">
              <w:rPr>
                <w:color w:val="000000"/>
              </w:rPr>
              <w:t>97.24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FFDFC09" w14:textId="77777777" w:rsidR="004346F3" w:rsidRPr="00536CFD" w:rsidRDefault="004346F3" w:rsidP="00802ABC">
            <w:pPr>
              <w:spacing w:after="0"/>
              <w:jc w:val="center"/>
              <w:rPr>
                <w:lang w:val="zh-CN"/>
              </w:rPr>
            </w:pPr>
            <w:r w:rsidRPr="00536CFD">
              <w:rPr>
                <w:color w:val="000000"/>
              </w:rPr>
              <w:t>120.68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DBAB6B7" w14:textId="77777777" w:rsidR="004346F3" w:rsidRPr="00536CFD" w:rsidRDefault="004346F3" w:rsidP="00802ABC">
            <w:pPr>
              <w:spacing w:after="0"/>
              <w:jc w:val="center"/>
              <w:rPr>
                <w:lang w:val="zh-CN"/>
              </w:rPr>
            </w:pPr>
            <w:r w:rsidRPr="00536CFD">
              <w:rPr>
                <w:color w:val="000000"/>
              </w:rPr>
              <w:t>32.62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F007554" w14:textId="77777777" w:rsidR="004346F3" w:rsidRPr="00536CFD" w:rsidRDefault="004346F3" w:rsidP="00802ABC">
            <w:pPr>
              <w:spacing w:after="0"/>
              <w:jc w:val="center"/>
              <w:rPr>
                <w:lang w:val="zh-CN"/>
              </w:rPr>
            </w:pPr>
            <w:r w:rsidRPr="00536CFD">
              <w:rPr>
                <w:color w:val="000000"/>
              </w:rPr>
              <w:t>37.05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FA1F241" w14:textId="77777777" w:rsidR="004346F3" w:rsidRPr="00536CFD" w:rsidRDefault="004346F3" w:rsidP="00802ABC">
            <w:pPr>
              <w:spacing w:after="0"/>
              <w:jc w:val="center"/>
              <w:rPr>
                <w:lang w:val="zh-CN"/>
              </w:rPr>
            </w:pPr>
            <w:r w:rsidRPr="00536CFD">
              <w:rPr>
                <w:color w:val="000000"/>
              </w:rPr>
              <w:t>77.82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42D7802E" w14:textId="77777777" w:rsidR="004346F3" w:rsidRPr="00536CFD" w:rsidRDefault="004346F3" w:rsidP="00802ABC">
            <w:pPr>
              <w:spacing w:after="0"/>
              <w:jc w:val="center"/>
              <w:rPr>
                <w:lang w:val="zh-CN"/>
              </w:rPr>
            </w:pPr>
            <w:r w:rsidRPr="00536CFD">
              <w:rPr>
                <w:color w:val="000000"/>
              </w:rPr>
              <w:t>114.94</w:t>
            </w:r>
          </w:p>
        </w:tc>
      </w:tr>
      <w:tr w:rsidR="004346F3" w:rsidRPr="00536CFD" w14:paraId="569238BE"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27ACCCF"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6C100F6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3F2C5D3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bottom"/>
          </w:tcPr>
          <w:p w14:paraId="24006BEF" w14:textId="77777777" w:rsidR="004346F3" w:rsidRPr="00536CFD" w:rsidRDefault="004346F3" w:rsidP="00802ABC">
            <w:pPr>
              <w:spacing w:after="0"/>
              <w:jc w:val="center"/>
              <w:rPr>
                <w:lang w:val="zh-CN"/>
              </w:rPr>
            </w:pPr>
            <w:r w:rsidRPr="00536CFD">
              <w:rPr>
                <w:color w:val="000000"/>
              </w:rPr>
              <w:t>0.034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F3973B6" w14:textId="77777777" w:rsidR="004346F3" w:rsidRPr="00536CFD" w:rsidRDefault="004346F3" w:rsidP="00802ABC">
            <w:pPr>
              <w:spacing w:after="0"/>
              <w:jc w:val="center"/>
              <w:rPr>
                <w:lang w:val="zh-CN"/>
              </w:rPr>
            </w:pPr>
            <w:r w:rsidRPr="00536CFD">
              <w:rPr>
                <w:color w:val="000000"/>
              </w:rPr>
              <w:t>0.034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A18D653" w14:textId="77777777" w:rsidR="004346F3" w:rsidRPr="00536CFD" w:rsidRDefault="004346F3" w:rsidP="00802ABC">
            <w:pPr>
              <w:spacing w:after="0"/>
              <w:jc w:val="center"/>
              <w:rPr>
                <w:lang w:val="zh-CN"/>
              </w:rPr>
            </w:pPr>
            <w:r w:rsidRPr="00536CFD">
              <w:rPr>
                <w:color w:val="000000"/>
              </w:rPr>
              <w:t>0.021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5E2F363" w14:textId="77777777" w:rsidR="004346F3" w:rsidRPr="00536CFD" w:rsidRDefault="004346F3" w:rsidP="00802ABC">
            <w:pPr>
              <w:spacing w:after="0"/>
              <w:jc w:val="center"/>
              <w:rPr>
                <w:lang w:val="zh-CN"/>
              </w:rPr>
            </w:pPr>
            <w:r w:rsidRPr="00536CFD">
              <w:rPr>
                <w:color w:val="000000"/>
              </w:rPr>
              <w:t>0.021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E9FF083" w14:textId="77777777" w:rsidR="004346F3" w:rsidRPr="00536CFD" w:rsidRDefault="004346F3" w:rsidP="00802ABC">
            <w:pPr>
              <w:spacing w:after="0"/>
              <w:jc w:val="center"/>
              <w:rPr>
                <w:lang w:val="zh-CN"/>
              </w:rPr>
            </w:pPr>
            <w:r w:rsidRPr="00536CFD">
              <w:rPr>
                <w:color w:val="000000"/>
              </w:rPr>
              <w:t>0.036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8DA995F" w14:textId="77777777" w:rsidR="004346F3" w:rsidRPr="00536CFD" w:rsidRDefault="004346F3" w:rsidP="00802ABC">
            <w:pPr>
              <w:spacing w:after="0"/>
              <w:jc w:val="center"/>
              <w:rPr>
                <w:lang w:val="zh-CN"/>
              </w:rPr>
            </w:pPr>
            <w:r w:rsidRPr="00536CFD">
              <w:rPr>
                <w:color w:val="000000"/>
              </w:rPr>
              <w:t>0.035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53AABCE" w14:textId="77777777" w:rsidR="004346F3" w:rsidRPr="00536CFD" w:rsidRDefault="004346F3" w:rsidP="00802ABC">
            <w:pPr>
              <w:spacing w:after="0"/>
              <w:jc w:val="center"/>
              <w:rPr>
                <w:lang w:val="zh-CN"/>
              </w:rPr>
            </w:pPr>
            <w:r w:rsidRPr="00536CFD">
              <w:rPr>
                <w:color w:val="000000"/>
              </w:rPr>
              <w:t>0.021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6DDAC98" w14:textId="77777777" w:rsidR="004346F3" w:rsidRPr="00536CFD" w:rsidRDefault="004346F3" w:rsidP="00802ABC">
            <w:pPr>
              <w:spacing w:after="0"/>
              <w:jc w:val="center"/>
              <w:rPr>
                <w:lang w:val="zh-CN"/>
              </w:rPr>
            </w:pPr>
            <w:r w:rsidRPr="00536CFD">
              <w:rPr>
                <w:color w:val="000000"/>
              </w:rPr>
              <w:t>0.021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13303E1" w14:textId="77777777" w:rsidR="004346F3" w:rsidRPr="00536CFD" w:rsidRDefault="004346F3" w:rsidP="00802ABC">
            <w:pPr>
              <w:spacing w:after="0"/>
              <w:jc w:val="center"/>
              <w:rPr>
                <w:lang w:val="zh-CN"/>
              </w:rPr>
            </w:pPr>
            <w:r w:rsidRPr="00536CFD">
              <w:rPr>
                <w:color w:val="000000"/>
              </w:rPr>
              <w:t>0.04</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4D28C593" w14:textId="77777777" w:rsidR="004346F3" w:rsidRPr="00536CFD" w:rsidRDefault="004346F3" w:rsidP="00802ABC">
            <w:pPr>
              <w:spacing w:after="0"/>
              <w:jc w:val="center"/>
              <w:rPr>
                <w:lang w:val="zh-CN"/>
              </w:rPr>
            </w:pPr>
            <w:r w:rsidRPr="00536CFD">
              <w:rPr>
                <w:color w:val="000000"/>
              </w:rPr>
              <w:t>0.037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030758A" w14:textId="77777777" w:rsidR="004346F3" w:rsidRPr="00536CFD" w:rsidRDefault="004346F3" w:rsidP="00802ABC">
            <w:pPr>
              <w:spacing w:after="0"/>
              <w:jc w:val="center"/>
              <w:rPr>
                <w:lang w:val="zh-CN"/>
              </w:rPr>
            </w:pPr>
            <w:r w:rsidRPr="00536CFD">
              <w:rPr>
                <w:color w:val="000000"/>
              </w:rPr>
              <w:t>0.023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4E1A0081" w14:textId="77777777" w:rsidR="004346F3" w:rsidRPr="00536CFD" w:rsidRDefault="004346F3" w:rsidP="00802ABC">
            <w:pPr>
              <w:spacing w:after="0"/>
              <w:jc w:val="center"/>
              <w:rPr>
                <w:lang w:val="zh-CN"/>
              </w:rPr>
            </w:pPr>
            <w:r w:rsidRPr="00536CFD">
              <w:rPr>
                <w:color w:val="000000"/>
              </w:rPr>
              <w:t>0.021</w:t>
            </w:r>
          </w:p>
        </w:tc>
      </w:tr>
      <w:tr w:rsidR="004346F3" w:rsidRPr="00536CFD" w14:paraId="04F93068"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297AFBC"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03D898D"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63D2C04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bottom"/>
          </w:tcPr>
          <w:p w14:paraId="27279719" w14:textId="77777777" w:rsidR="004346F3" w:rsidRPr="00536CFD" w:rsidRDefault="004346F3" w:rsidP="00802ABC">
            <w:pPr>
              <w:spacing w:after="0"/>
              <w:jc w:val="center"/>
              <w:rPr>
                <w:lang w:val="zh-CN"/>
              </w:rPr>
            </w:pPr>
            <w:r w:rsidRPr="00536CFD">
              <w:rPr>
                <w:color w:val="000000"/>
              </w:rPr>
              <w:t>0.085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4DC671C" w14:textId="77777777" w:rsidR="004346F3" w:rsidRPr="00536CFD" w:rsidRDefault="004346F3" w:rsidP="00802ABC">
            <w:pPr>
              <w:spacing w:after="0"/>
              <w:jc w:val="center"/>
              <w:rPr>
                <w:lang w:val="zh-CN"/>
              </w:rPr>
            </w:pPr>
            <w:r w:rsidRPr="00536CFD">
              <w:rPr>
                <w:color w:val="000000"/>
              </w:rPr>
              <w:t>0.072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66C6C86" w14:textId="77777777" w:rsidR="004346F3" w:rsidRPr="00536CFD" w:rsidRDefault="004346F3" w:rsidP="00802ABC">
            <w:pPr>
              <w:spacing w:after="0"/>
              <w:jc w:val="center"/>
              <w:rPr>
                <w:lang w:val="zh-CN"/>
              </w:rPr>
            </w:pPr>
            <w:r w:rsidRPr="00536CFD">
              <w:rPr>
                <w:color w:val="000000"/>
              </w:rPr>
              <w:t>0.032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88C11DF" w14:textId="77777777" w:rsidR="004346F3" w:rsidRPr="00536CFD" w:rsidRDefault="004346F3" w:rsidP="00802ABC">
            <w:pPr>
              <w:spacing w:after="0"/>
              <w:jc w:val="center"/>
              <w:rPr>
                <w:lang w:val="zh-CN"/>
              </w:rPr>
            </w:pPr>
            <w:r w:rsidRPr="00536CFD">
              <w:rPr>
                <w:color w:val="000000"/>
              </w:rPr>
              <w:t>0.028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0964C8A" w14:textId="77777777" w:rsidR="004346F3" w:rsidRPr="00536CFD" w:rsidRDefault="004346F3" w:rsidP="00802ABC">
            <w:pPr>
              <w:spacing w:after="0"/>
              <w:jc w:val="center"/>
              <w:rPr>
                <w:lang w:val="zh-CN"/>
              </w:rPr>
            </w:pPr>
            <w:r w:rsidRPr="00536CFD">
              <w:rPr>
                <w:color w:val="000000"/>
              </w:rPr>
              <w:t>0.124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1030A46" w14:textId="77777777" w:rsidR="004346F3" w:rsidRPr="00536CFD" w:rsidRDefault="004346F3" w:rsidP="00802ABC">
            <w:pPr>
              <w:spacing w:after="0"/>
              <w:jc w:val="center"/>
              <w:rPr>
                <w:lang w:val="zh-CN"/>
              </w:rPr>
            </w:pPr>
            <w:r w:rsidRPr="00536CFD">
              <w:rPr>
                <w:color w:val="000000"/>
              </w:rPr>
              <w:t>0.095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CADE57E" w14:textId="77777777" w:rsidR="004346F3" w:rsidRPr="00536CFD" w:rsidRDefault="004346F3" w:rsidP="00802ABC">
            <w:pPr>
              <w:spacing w:after="0"/>
              <w:jc w:val="center"/>
              <w:rPr>
                <w:lang w:val="zh-CN"/>
              </w:rPr>
            </w:pPr>
            <w:r w:rsidRPr="00536CFD">
              <w:rPr>
                <w:color w:val="000000"/>
              </w:rPr>
              <w:t>0.04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649CB63" w14:textId="77777777" w:rsidR="004346F3" w:rsidRPr="00536CFD" w:rsidRDefault="004346F3" w:rsidP="00802ABC">
            <w:pPr>
              <w:spacing w:after="0"/>
              <w:jc w:val="center"/>
              <w:rPr>
                <w:lang w:val="zh-CN"/>
              </w:rPr>
            </w:pPr>
            <w:r w:rsidRPr="00536CFD">
              <w:rPr>
                <w:color w:val="000000"/>
              </w:rPr>
              <w:t>0.03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80C3E10" w14:textId="77777777" w:rsidR="004346F3" w:rsidRPr="00536CFD" w:rsidRDefault="004346F3" w:rsidP="00802ABC">
            <w:pPr>
              <w:spacing w:after="0"/>
              <w:jc w:val="center"/>
              <w:rPr>
                <w:lang w:val="zh-CN"/>
              </w:rPr>
            </w:pPr>
            <w:r w:rsidRPr="00536CFD">
              <w:rPr>
                <w:color w:val="000000"/>
              </w:rPr>
              <w:t>0.173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68B5CAA2" w14:textId="77777777" w:rsidR="004346F3" w:rsidRPr="00536CFD" w:rsidRDefault="004346F3" w:rsidP="00802ABC">
            <w:pPr>
              <w:spacing w:after="0"/>
              <w:jc w:val="center"/>
              <w:rPr>
                <w:lang w:val="zh-CN"/>
              </w:rPr>
            </w:pPr>
            <w:r w:rsidRPr="00536CFD">
              <w:rPr>
                <w:color w:val="000000"/>
              </w:rPr>
              <w:t>0.143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12B90B4" w14:textId="77777777" w:rsidR="004346F3" w:rsidRPr="00536CFD" w:rsidRDefault="004346F3" w:rsidP="00802ABC">
            <w:pPr>
              <w:spacing w:after="0"/>
              <w:jc w:val="center"/>
              <w:rPr>
                <w:lang w:val="zh-CN"/>
              </w:rPr>
            </w:pPr>
            <w:r w:rsidRPr="00536CFD">
              <w:rPr>
                <w:color w:val="000000"/>
              </w:rPr>
              <w:t>0.058</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F5B19CA" w14:textId="77777777" w:rsidR="004346F3" w:rsidRPr="00536CFD" w:rsidRDefault="004346F3" w:rsidP="00802ABC">
            <w:pPr>
              <w:spacing w:after="0"/>
              <w:jc w:val="center"/>
              <w:rPr>
                <w:lang w:val="zh-CN"/>
              </w:rPr>
            </w:pPr>
            <w:r w:rsidRPr="00536CFD">
              <w:rPr>
                <w:color w:val="000000"/>
              </w:rPr>
              <w:t>0.032</w:t>
            </w:r>
          </w:p>
        </w:tc>
      </w:tr>
      <w:tr w:rsidR="004346F3" w:rsidRPr="00536CFD" w14:paraId="1CE46409"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6C2A6F9"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48C8A34"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E9ECE6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bottom"/>
          </w:tcPr>
          <w:p w14:paraId="1D5FF86B" w14:textId="77777777" w:rsidR="004346F3" w:rsidRPr="00536CFD" w:rsidRDefault="004346F3" w:rsidP="00802ABC">
            <w:pPr>
              <w:spacing w:after="0"/>
              <w:jc w:val="center"/>
              <w:rPr>
                <w:lang w:val="zh-CN"/>
              </w:rPr>
            </w:pPr>
            <w:r w:rsidRPr="00536CFD">
              <w:rPr>
                <w:color w:val="000000"/>
              </w:rPr>
              <w:t>0.463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5C9D58D" w14:textId="77777777" w:rsidR="004346F3" w:rsidRPr="00536CFD" w:rsidRDefault="004346F3" w:rsidP="00802ABC">
            <w:pPr>
              <w:spacing w:after="0"/>
              <w:jc w:val="center"/>
              <w:rPr>
                <w:lang w:val="zh-CN"/>
              </w:rPr>
            </w:pPr>
            <w:r w:rsidRPr="00536CFD">
              <w:rPr>
                <w:color w:val="000000"/>
              </w:rPr>
              <w:t>0.341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B1229F0" w14:textId="77777777" w:rsidR="004346F3" w:rsidRPr="00536CFD" w:rsidRDefault="004346F3" w:rsidP="00802ABC">
            <w:pPr>
              <w:spacing w:after="0"/>
              <w:jc w:val="center"/>
              <w:rPr>
                <w:lang w:val="zh-CN"/>
              </w:rPr>
            </w:pPr>
            <w:r w:rsidRPr="00536CFD">
              <w:rPr>
                <w:color w:val="000000"/>
              </w:rPr>
              <w:t>0.138</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2DF9A00" w14:textId="77777777" w:rsidR="004346F3" w:rsidRPr="00536CFD" w:rsidRDefault="004346F3" w:rsidP="00802ABC">
            <w:pPr>
              <w:spacing w:after="0"/>
              <w:jc w:val="center"/>
              <w:rPr>
                <w:lang w:val="zh-CN"/>
              </w:rPr>
            </w:pPr>
            <w:r w:rsidRPr="00536CFD">
              <w:rPr>
                <w:color w:val="000000"/>
              </w:rPr>
              <w:t>0.08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723EC96" w14:textId="77777777" w:rsidR="004346F3" w:rsidRPr="00536CFD" w:rsidRDefault="004346F3" w:rsidP="00802ABC">
            <w:pPr>
              <w:spacing w:after="0"/>
              <w:jc w:val="center"/>
              <w:rPr>
                <w:lang w:val="zh-CN"/>
              </w:rPr>
            </w:pPr>
            <w:r w:rsidRPr="00536CFD">
              <w:rPr>
                <w:color w:val="000000"/>
              </w:rPr>
              <w:t>1.103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837F044" w14:textId="77777777" w:rsidR="004346F3" w:rsidRPr="00536CFD" w:rsidRDefault="004346F3" w:rsidP="00802ABC">
            <w:pPr>
              <w:spacing w:after="0"/>
              <w:jc w:val="center"/>
              <w:rPr>
                <w:lang w:val="zh-CN"/>
              </w:rPr>
            </w:pPr>
            <w:r w:rsidRPr="00536CFD">
              <w:rPr>
                <w:color w:val="000000"/>
              </w:rPr>
              <w:t>0.613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50915E6" w14:textId="77777777" w:rsidR="004346F3" w:rsidRPr="00536CFD" w:rsidRDefault="004346F3" w:rsidP="00802ABC">
            <w:pPr>
              <w:spacing w:after="0"/>
              <w:jc w:val="center"/>
              <w:rPr>
                <w:lang w:val="zh-CN"/>
              </w:rPr>
            </w:pPr>
            <w:r w:rsidRPr="00536CFD">
              <w:rPr>
                <w:color w:val="000000"/>
              </w:rPr>
              <w:t>0.211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89A1769" w14:textId="77777777" w:rsidR="004346F3" w:rsidRPr="00536CFD" w:rsidRDefault="004346F3" w:rsidP="00802ABC">
            <w:pPr>
              <w:spacing w:after="0"/>
              <w:jc w:val="center"/>
              <w:rPr>
                <w:lang w:val="zh-CN"/>
              </w:rPr>
            </w:pPr>
            <w:r w:rsidRPr="00536CFD">
              <w:rPr>
                <w:color w:val="000000"/>
              </w:rPr>
              <w:t>0.092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A80DE7A" w14:textId="77777777" w:rsidR="004346F3" w:rsidRPr="00536CFD" w:rsidRDefault="004346F3" w:rsidP="00802ABC">
            <w:pPr>
              <w:spacing w:after="0"/>
              <w:jc w:val="center"/>
              <w:rPr>
                <w:lang w:val="zh-CN"/>
              </w:rPr>
            </w:pPr>
            <w:r w:rsidRPr="00536CFD">
              <w:rPr>
                <w:color w:val="000000"/>
              </w:rPr>
              <w:t>34.405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CE3C529" w14:textId="77777777" w:rsidR="004346F3" w:rsidRPr="00536CFD" w:rsidRDefault="004346F3" w:rsidP="00802ABC">
            <w:pPr>
              <w:spacing w:after="0"/>
              <w:jc w:val="center"/>
              <w:rPr>
                <w:lang w:val="zh-CN"/>
              </w:rPr>
            </w:pPr>
            <w:r w:rsidRPr="00536CFD">
              <w:rPr>
                <w:color w:val="000000"/>
              </w:rPr>
              <w:t>2.524</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90FA3BD" w14:textId="77777777" w:rsidR="004346F3" w:rsidRPr="00536CFD" w:rsidRDefault="004346F3" w:rsidP="00802ABC">
            <w:pPr>
              <w:spacing w:after="0"/>
              <w:jc w:val="center"/>
              <w:rPr>
                <w:lang w:val="zh-CN"/>
              </w:rPr>
            </w:pPr>
            <w:r w:rsidRPr="00536CFD">
              <w:rPr>
                <w:color w:val="000000"/>
              </w:rPr>
              <w:t>0.389</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8096E96" w14:textId="77777777" w:rsidR="004346F3" w:rsidRPr="00536CFD" w:rsidRDefault="004346F3" w:rsidP="00802ABC">
            <w:pPr>
              <w:spacing w:after="0"/>
              <w:jc w:val="center"/>
              <w:rPr>
                <w:lang w:val="zh-CN"/>
              </w:rPr>
            </w:pPr>
            <w:r w:rsidRPr="00536CFD">
              <w:rPr>
                <w:color w:val="000000"/>
              </w:rPr>
              <w:t>0.108</w:t>
            </w:r>
          </w:p>
        </w:tc>
      </w:tr>
      <w:tr w:rsidR="004346F3" w:rsidRPr="00536CFD" w14:paraId="0368C423"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0DE6459"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EBC4AD9"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4890609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bottom"/>
          </w:tcPr>
          <w:p w14:paraId="65D66CAD" w14:textId="77777777" w:rsidR="004346F3" w:rsidRPr="00536CFD" w:rsidRDefault="004346F3" w:rsidP="00802ABC">
            <w:pPr>
              <w:spacing w:after="0"/>
              <w:jc w:val="center"/>
              <w:rPr>
                <w:lang w:val="zh-CN"/>
              </w:rPr>
            </w:pPr>
            <w:r w:rsidRPr="00536CFD">
              <w:rPr>
                <w:color w:val="000000"/>
              </w:rPr>
              <w:t>0.16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E14114C" w14:textId="77777777" w:rsidR="004346F3" w:rsidRPr="00536CFD" w:rsidRDefault="004346F3" w:rsidP="00802ABC">
            <w:pPr>
              <w:spacing w:after="0"/>
              <w:jc w:val="center"/>
              <w:rPr>
                <w:lang w:val="zh-CN"/>
              </w:rPr>
            </w:pPr>
            <w:r w:rsidRPr="00536CFD">
              <w:rPr>
                <w:color w:val="000000"/>
              </w:rPr>
              <w:t>0.117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2E87265" w14:textId="77777777" w:rsidR="004346F3" w:rsidRPr="00536CFD" w:rsidRDefault="004346F3" w:rsidP="00802ABC">
            <w:pPr>
              <w:spacing w:after="0"/>
              <w:jc w:val="center"/>
              <w:rPr>
                <w:lang w:val="zh-CN"/>
              </w:rPr>
            </w:pPr>
            <w:r w:rsidRPr="00536CFD">
              <w:rPr>
                <w:color w:val="000000"/>
              </w:rPr>
              <w:t>0.051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A7941D0" w14:textId="77777777" w:rsidR="004346F3" w:rsidRPr="00536CFD" w:rsidRDefault="004346F3" w:rsidP="00802ABC">
            <w:pPr>
              <w:spacing w:after="0"/>
              <w:jc w:val="center"/>
              <w:rPr>
                <w:lang w:val="zh-CN"/>
              </w:rPr>
            </w:pPr>
            <w:r w:rsidRPr="00536CFD">
              <w:rPr>
                <w:color w:val="000000"/>
              </w:rPr>
              <w:t>0.037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8DEC073" w14:textId="77777777" w:rsidR="004346F3" w:rsidRPr="00536CFD" w:rsidRDefault="004346F3" w:rsidP="00802ABC">
            <w:pPr>
              <w:spacing w:after="0"/>
              <w:jc w:val="center"/>
              <w:rPr>
                <w:lang w:val="zh-CN"/>
              </w:rPr>
            </w:pPr>
            <w:r w:rsidRPr="00536CFD">
              <w:rPr>
                <w:color w:val="000000"/>
              </w:rPr>
              <w:t>1.469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489C73B" w14:textId="77777777" w:rsidR="004346F3" w:rsidRPr="00536CFD" w:rsidRDefault="004346F3" w:rsidP="00802ABC">
            <w:pPr>
              <w:spacing w:after="0"/>
              <w:jc w:val="center"/>
              <w:rPr>
                <w:lang w:val="zh-CN"/>
              </w:rPr>
            </w:pPr>
            <w:r w:rsidRPr="00536CFD">
              <w:rPr>
                <w:color w:val="000000"/>
              </w:rPr>
              <w:t>0.212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4ACF8E7" w14:textId="77777777" w:rsidR="004346F3" w:rsidRPr="00536CFD" w:rsidRDefault="004346F3" w:rsidP="00802ABC">
            <w:pPr>
              <w:spacing w:after="0"/>
              <w:jc w:val="center"/>
              <w:rPr>
                <w:lang w:val="zh-CN"/>
              </w:rPr>
            </w:pPr>
            <w:r w:rsidRPr="00536CFD">
              <w:rPr>
                <w:color w:val="000000"/>
              </w:rPr>
              <w:t>0.072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AD580EC" w14:textId="77777777" w:rsidR="004346F3" w:rsidRPr="00536CFD" w:rsidRDefault="004346F3" w:rsidP="00802ABC">
            <w:pPr>
              <w:spacing w:after="0"/>
              <w:jc w:val="center"/>
              <w:rPr>
                <w:lang w:val="zh-CN"/>
              </w:rPr>
            </w:pPr>
            <w:r w:rsidRPr="00536CFD">
              <w:rPr>
                <w:color w:val="000000"/>
              </w:rPr>
              <w:t>0.04</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BBFB0C2" w14:textId="77777777" w:rsidR="004346F3" w:rsidRPr="00536CFD" w:rsidRDefault="004346F3" w:rsidP="00802ABC">
            <w:pPr>
              <w:spacing w:after="0"/>
              <w:jc w:val="center"/>
              <w:rPr>
                <w:lang w:val="zh-CN"/>
              </w:rPr>
            </w:pPr>
            <w:r w:rsidRPr="00536CFD">
              <w:rPr>
                <w:color w:val="000000"/>
              </w:rPr>
              <w:t>9.289</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53ECBFD8" w14:textId="77777777" w:rsidR="004346F3" w:rsidRPr="00536CFD" w:rsidRDefault="004346F3" w:rsidP="00802ABC">
            <w:pPr>
              <w:spacing w:after="0"/>
              <w:jc w:val="center"/>
              <w:rPr>
                <w:lang w:val="zh-CN"/>
              </w:rPr>
            </w:pPr>
            <w:r w:rsidRPr="00536CFD">
              <w:rPr>
                <w:color w:val="000000"/>
              </w:rPr>
              <w:t>5.248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C88923E" w14:textId="77777777" w:rsidR="004346F3" w:rsidRPr="00536CFD" w:rsidRDefault="004346F3" w:rsidP="00802ABC">
            <w:pPr>
              <w:spacing w:after="0"/>
              <w:jc w:val="center"/>
              <w:rPr>
                <w:lang w:val="zh-CN"/>
              </w:rPr>
            </w:pPr>
            <w:r w:rsidRPr="00536CFD">
              <w:rPr>
                <w:color w:val="000000"/>
              </w:rPr>
              <w:t>0.123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5E5F2705" w14:textId="77777777" w:rsidR="004346F3" w:rsidRPr="00536CFD" w:rsidRDefault="004346F3" w:rsidP="00802ABC">
            <w:pPr>
              <w:spacing w:after="0"/>
              <w:jc w:val="center"/>
              <w:rPr>
                <w:lang w:val="zh-CN"/>
              </w:rPr>
            </w:pPr>
            <w:r w:rsidRPr="00536CFD">
              <w:rPr>
                <w:color w:val="000000"/>
              </w:rPr>
              <w:t>0.045</w:t>
            </w:r>
          </w:p>
        </w:tc>
      </w:tr>
      <w:tr w:rsidR="004346F3" w:rsidRPr="00536CFD" w14:paraId="4C4A56C9"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539139B"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59B2178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203E217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bottom"/>
          </w:tcPr>
          <w:p w14:paraId="0A969046" w14:textId="77777777" w:rsidR="004346F3" w:rsidRPr="00536CFD" w:rsidRDefault="004346F3" w:rsidP="00802ABC">
            <w:pPr>
              <w:spacing w:after="0"/>
              <w:jc w:val="center"/>
              <w:rPr>
                <w:lang w:val="zh-CN"/>
              </w:rPr>
            </w:pPr>
            <w:r w:rsidRPr="00536CFD">
              <w:rPr>
                <w:color w:val="000000"/>
              </w:rPr>
              <w:t>7.17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D299031" w14:textId="77777777" w:rsidR="004346F3" w:rsidRPr="00536CFD" w:rsidRDefault="004346F3" w:rsidP="00802ABC">
            <w:pPr>
              <w:spacing w:after="0"/>
              <w:jc w:val="center"/>
              <w:rPr>
                <w:lang w:val="zh-CN"/>
              </w:rPr>
            </w:pPr>
            <w:r w:rsidRPr="00536CFD">
              <w:rPr>
                <w:color w:val="000000"/>
              </w:rPr>
              <w:t>8.86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E8D7B92" w14:textId="77777777" w:rsidR="004346F3" w:rsidRPr="00536CFD" w:rsidRDefault="004346F3" w:rsidP="00802ABC">
            <w:pPr>
              <w:spacing w:after="0"/>
              <w:jc w:val="center"/>
              <w:rPr>
                <w:lang w:val="zh-CN"/>
              </w:rPr>
            </w:pPr>
            <w:r w:rsidRPr="00536CFD">
              <w:rPr>
                <w:color w:val="000000"/>
              </w:rPr>
              <w:t>28.49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4CA6CBA" w14:textId="77777777" w:rsidR="004346F3" w:rsidRPr="00536CFD" w:rsidRDefault="004346F3" w:rsidP="00802ABC">
            <w:pPr>
              <w:spacing w:after="0"/>
              <w:jc w:val="center"/>
              <w:rPr>
                <w:lang w:val="zh-CN"/>
              </w:rPr>
            </w:pPr>
            <w:r w:rsidRPr="00536CFD">
              <w:rPr>
                <w:color w:val="000000"/>
              </w:rPr>
              <w:t>32.51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4B9E980" w14:textId="77777777" w:rsidR="004346F3" w:rsidRPr="00536CFD" w:rsidRDefault="004346F3" w:rsidP="00802ABC">
            <w:pPr>
              <w:spacing w:after="0"/>
              <w:jc w:val="center"/>
              <w:rPr>
                <w:lang w:val="zh-CN"/>
              </w:rPr>
            </w:pPr>
            <w:r w:rsidRPr="00536CFD">
              <w:rPr>
                <w:color w:val="000000"/>
              </w:rPr>
              <w:t>3.18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B3F8360" w14:textId="77777777" w:rsidR="004346F3" w:rsidRPr="00536CFD" w:rsidRDefault="004346F3" w:rsidP="00802ABC">
            <w:pPr>
              <w:spacing w:after="0"/>
              <w:jc w:val="center"/>
              <w:rPr>
                <w:lang w:val="zh-CN"/>
              </w:rPr>
            </w:pPr>
            <w:r w:rsidRPr="00536CFD">
              <w:rPr>
                <w:color w:val="000000"/>
              </w:rPr>
              <w:t>5.53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E9FFCB2" w14:textId="77777777" w:rsidR="004346F3" w:rsidRPr="00536CFD" w:rsidRDefault="004346F3" w:rsidP="00802ABC">
            <w:pPr>
              <w:spacing w:after="0"/>
              <w:jc w:val="center"/>
              <w:rPr>
                <w:lang w:val="zh-CN"/>
              </w:rPr>
            </w:pPr>
            <w:r w:rsidRPr="00536CFD">
              <w:rPr>
                <w:color w:val="000000"/>
              </w:rPr>
              <w:t>17.09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AAE3E8F" w14:textId="77777777" w:rsidR="004346F3" w:rsidRPr="00536CFD" w:rsidRDefault="004346F3" w:rsidP="00802ABC">
            <w:pPr>
              <w:spacing w:after="0"/>
              <w:jc w:val="center"/>
              <w:rPr>
                <w:lang w:val="zh-CN"/>
              </w:rPr>
            </w:pPr>
            <w:r w:rsidRPr="00536CFD">
              <w:rPr>
                <w:color w:val="000000"/>
              </w:rPr>
              <w:t>29.72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9A2E490" w14:textId="77777777" w:rsidR="004346F3" w:rsidRPr="00536CFD" w:rsidRDefault="004346F3" w:rsidP="00802ABC">
            <w:pPr>
              <w:spacing w:after="0"/>
              <w:jc w:val="center"/>
              <w:rPr>
                <w:lang w:val="zh-CN"/>
              </w:rPr>
            </w:pPr>
            <w:r w:rsidRPr="00536CFD">
              <w:rPr>
                <w:color w:val="000000"/>
              </w:rPr>
              <w:t>0.05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92768BE" w14:textId="77777777" w:rsidR="004346F3" w:rsidRPr="00536CFD" w:rsidRDefault="004346F3" w:rsidP="00802ABC">
            <w:pPr>
              <w:spacing w:after="0"/>
              <w:jc w:val="center"/>
              <w:rPr>
                <w:lang w:val="zh-CN"/>
              </w:rPr>
            </w:pPr>
            <w:r w:rsidRPr="00536CFD">
              <w:rPr>
                <w:color w:val="000000"/>
              </w:rPr>
              <w:t>0.28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7EA013C" w14:textId="77777777" w:rsidR="004346F3" w:rsidRPr="00536CFD" w:rsidRDefault="004346F3" w:rsidP="00802ABC">
            <w:pPr>
              <w:spacing w:after="0"/>
              <w:jc w:val="center"/>
              <w:rPr>
                <w:lang w:val="zh-CN"/>
              </w:rPr>
            </w:pPr>
            <w:r w:rsidRPr="00536CFD">
              <w:rPr>
                <w:color w:val="000000"/>
              </w:rPr>
              <w:t>9.6</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73E4E30" w14:textId="77777777" w:rsidR="004346F3" w:rsidRPr="00536CFD" w:rsidRDefault="004346F3" w:rsidP="00802ABC">
            <w:pPr>
              <w:spacing w:after="0"/>
              <w:jc w:val="center"/>
              <w:rPr>
                <w:lang w:val="zh-CN"/>
              </w:rPr>
            </w:pPr>
            <w:r w:rsidRPr="00536CFD">
              <w:rPr>
                <w:color w:val="000000"/>
              </w:rPr>
              <w:t>26.68</w:t>
            </w:r>
          </w:p>
        </w:tc>
      </w:tr>
      <w:tr w:rsidR="004346F3" w:rsidRPr="00536CFD" w14:paraId="7BE44CCD"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AF04492"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4E836FED"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369BD9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bottom"/>
          </w:tcPr>
          <w:p w14:paraId="2A9B8301" w14:textId="77777777" w:rsidR="004346F3" w:rsidRPr="00536CFD" w:rsidRDefault="004346F3" w:rsidP="00802ABC">
            <w:pPr>
              <w:spacing w:after="0"/>
              <w:jc w:val="center"/>
              <w:rPr>
                <w:lang w:val="zh-CN"/>
              </w:rPr>
            </w:pPr>
            <w:r w:rsidRPr="00536CFD">
              <w:rPr>
                <w:color w:val="000000"/>
              </w:rPr>
              <w:t>36.71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AFD90D6" w14:textId="77777777" w:rsidR="004346F3" w:rsidRPr="00536CFD" w:rsidRDefault="004346F3" w:rsidP="00802ABC">
            <w:pPr>
              <w:spacing w:after="0"/>
              <w:jc w:val="center"/>
              <w:rPr>
                <w:lang w:val="zh-CN"/>
              </w:rPr>
            </w:pPr>
            <w:r w:rsidRPr="00536CFD">
              <w:rPr>
                <w:color w:val="000000"/>
              </w:rPr>
              <w:t>40.29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CAA228E" w14:textId="77777777" w:rsidR="004346F3" w:rsidRPr="00536CFD" w:rsidRDefault="004346F3" w:rsidP="00802ABC">
            <w:pPr>
              <w:spacing w:after="0"/>
              <w:jc w:val="center"/>
              <w:rPr>
                <w:lang w:val="zh-CN"/>
              </w:rPr>
            </w:pPr>
            <w:r w:rsidRPr="00536CFD">
              <w:rPr>
                <w:color w:val="000000"/>
              </w:rPr>
              <w:t>86.67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5FC8000" w14:textId="77777777" w:rsidR="004346F3" w:rsidRPr="00536CFD" w:rsidRDefault="004346F3" w:rsidP="00802ABC">
            <w:pPr>
              <w:spacing w:after="0"/>
              <w:jc w:val="center"/>
              <w:rPr>
                <w:lang w:val="zh-CN"/>
              </w:rPr>
            </w:pPr>
            <w:r w:rsidRPr="00536CFD">
              <w:rPr>
                <w:color w:val="000000"/>
              </w:rPr>
              <w:t>105.44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2C72E61" w14:textId="77777777" w:rsidR="004346F3" w:rsidRPr="00536CFD" w:rsidRDefault="004346F3" w:rsidP="00802ABC">
            <w:pPr>
              <w:spacing w:after="0"/>
              <w:jc w:val="center"/>
              <w:rPr>
                <w:lang w:val="zh-CN"/>
              </w:rPr>
            </w:pPr>
            <w:r w:rsidRPr="00536CFD">
              <w:rPr>
                <w:color w:val="000000"/>
              </w:rPr>
              <w:t>26.09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E4B29C9" w14:textId="77777777" w:rsidR="004346F3" w:rsidRPr="00536CFD" w:rsidRDefault="004346F3" w:rsidP="00802ABC">
            <w:pPr>
              <w:spacing w:after="0"/>
              <w:jc w:val="center"/>
              <w:rPr>
                <w:lang w:val="zh-CN"/>
              </w:rPr>
            </w:pPr>
            <w:r w:rsidRPr="00536CFD">
              <w:rPr>
                <w:color w:val="000000"/>
              </w:rPr>
              <w:t>31.37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48EE919" w14:textId="77777777" w:rsidR="004346F3" w:rsidRPr="00536CFD" w:rsidRDefault="004346F3" w:rsidP="00802ABC">
            <w:pPr>
              <w:spacing w:after="0"/>
              <w:jc w:val="center"/>
              <w:rPr>
                <w:lang w:val="zh-CN"/>
              </w:rPr>
            </w:pPr>
            <w:r w:rsidRPr="00536CFD">
              <w:rPr>
                <w:color w:val="000000"/>
              </w:rPr>
              <w:t>65.57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9913F46" w14:textId="77777777" w:rsidR="004346F3" w:rsidRPr="00536CFD" w:rsidRDefault="004346F3" w:rsidP="00802ABC">
            <w:pPr>
              <w:spacing w:after="0"/>
              <w:jc w:val="center"/>
              <w:rPr>
                <w:lang w:val="zh-CN"/>
              </w:rPr>
            </w:pPr>
            <w:r w:rsidRPr="00536CFD">
              <w:rPr>
                <w:color w:val="000000"/>
              </w:rPr>
              <w:t>96.89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4351615" w14:textId="77777777" w:rsidR="004346F3" w:rsidRPr="00536CFD" w:rsidRDefault="004346F3" w:rsidP="00802ABC">
            <w:pPr>
              <w:spacing w:after="0"/>
              <w:jc w:val="center"/>
              <w:rPr>
                <w:lang w:val="zh-CN"/>
              </w:rPr>
            </w:pPr>
            <w:r w:rsidRPr="00536CFD">
              <w:rPr>
                <w:color w:val="000000"/>
              </w:rPr>
              <w:t>18.49</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39CD934" w14:textId="77777777" w:rsidR="004346F3" w:rsidRPr="00536CFD" w:rsidRDefault="004346F3" w:rsidP="00802ABC">
            <w:pPr>
              <w:spacing w:after="0"/>
              <w:jc w:val="center"/>
              <w:rPr>
                <w:lang w:val="zh-CN"/>
              </w:rPr>
            </w:pPr>
            <w:r w:rsidRPr="00536CFD">
              <w:rPr>
                <w:color w:val="000000"/>
              </w:rPr>
              <w:t>20.23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34574DC" w14:textId="77777777" w:rsidR="004346F3" w:rsidRPr="00536CFD" w:rsidRDefault="004346F3" w:rsidP="00802ABC">
            <w:pPr>
              <w:spacing w:after="0"/>
              <w:jc w:val="center"/>
              <w:rPr>
                <w:lang w:val="zh-CN"/>
              </w:rPr>
            </w:pPr>
            <w:r w:rsidRPr="00536CFD">
              <w:rPr>
                <w:color w:val="000000"/>
              </w:rPr>
              <w:t>45.02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AA0F503" w14:textId="77777777" w:rsidR="004346F3" w:rsidRPr="00536CFD" w:rsidRDefault="004346F3" w:rsidP="00802ABC">
            <w:pPr>
              <w:spacing w:after="0"/>
              <w:jc w:val="center"/>
              <w:rPr>
                <w:lang w:val="zh-CN"/>
              </w:rPr>
            </w:pPr>
            <w:r w:rsidRPr="00536CFD">
              <w:rPr>
                <w:color w:val="000000"/>
              </w:rPr>
              <w:t>88.92</w:t>
            </w:r>
          </w:p>
        </w:tc>
      </w:tr>
      <w:tr w:rsidR="004346F3" w:rsidRPr="00536CFD" w14:paraId="519A8666"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0635714"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7E103E74"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5038DE1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bottom"/>
          </w:tcPr>
          <w:p w14:paraId="30AC89BF" w14:textId="77777777" w:rsidR="004346F3" w:rsidRPr="00536CFD" w:rsidRDefault="004346F3" w:rsidP="00802ABC">
            <w:pPr>
              <w:spacing w:after="0"/>
              <w:jc w:val="center"/>
              <w:rPr>
                <w:lang w:val="zh-CN"/>
              </w:rPr>
            </w:pPr>
            <w:r w:rsidRPr="00536CFD">
              <w:rPr>
                <w:color w:val="000000"/>
              </w:rPr>
              <w:t>77.26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62D2E1D" w14:textId="77777777" w:rsidR="004346F3" w:rsidRPr="00536CFD" w:rsidRDefault="004346F3" w:rsidP="00802ABC">
            <w:pPr>
              <w:spacing w:after="0"/>
              <w:jc w:val="center"/>
              <w:rPr>
                <w:lang w:val="zh-CN"/>
              </w:rPr>
            </w:pPr>
            <w:r w:rsidRPr="00536CFD">
              <w:rPr>
                <w:color w:val="000000"/>
              </w:rPr>
              <w:t>83.32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E4F048B" w14:textId="77777777" w:rsidR="004346F3" w:rsidRPr="00536CFD" w:rsidRDefault="004346F3" w:rsidP="00802ABC">
            <w:pPr>
              <w:spacing w:after="0"/>
              <w:jc w:val="center"/>
              <w:rPr>
                <w:lang w:val="zh-CN"/>
              </w:rPr>
            </w:pPr>
            <w:r w:rsidRPr="00536CFD">
              <w:rPr>
                <w:color w:val="000000"/>
              </w:rPr>
              <w:t>138.06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86E4BEB" w14:textId="77777777" w:rsidR="004346F3" w:rsidRPr="00536CFD" w:rsidRDefault="004346F3" w:rsidP="00802ABC">
            <w:pPr>
              <w:spacing w:after="0"/>
              <w:jc w:val="center"/>
              <w:rPr>
                <w:lang w:val="zh-CN"/>
              </w:rPr>
            </w:pPr>
            <w:r w:rsidRPr="00536CFD">
              <w:rPr>
                <w:color w:val="000000"/>
              </w:rPr>
              <w:t>154.76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A636749" w14:textId="77777777" w:rsidR="004346F3" w:rsidRPr="00536CFD" w:rsidRDefault="004346F3" w:rsidP="00802ABC">
            <w:pPr>
              <w:spacing w:after="0"/>
              <w:jc w:val="center"/>
              <w:rPr>
                <w:lang w:val="zh-CN"/>
              </w:rPr>
            </w:pPr>
            <w:r w:rsidRPr="00536CFD">
              <w:rPr>
                <w:color w:val="000000"/>
              </w:rPr>
              <w:t>64.74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27E5176" w14:textId="77777777" w:rsidR="004346F3" w:rsidRPr="00536CFD" w:rsidRDefault="004346F3" w:rsidP="00802ABC">
            <w:pPr>
              <w:spacing w:after="0"/>
              <w:jc w:val="center"/>
              <w:rPr>
                <w:lang w:val="zh-CN"/>
              </w:rPr>
            </w:pPr>
            <w:r w:rsidRPr="00536CFD">
              <w:rPr>
                <w:color w:val="000000"/>
              </w:rPr>
              <w:t>73.95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307CB99" w14:textId="77777777" w:rsidR="004346F3" w:rsidRPr="00536CFD" w:rsidRDefault="004346F3" w:rsidP="00802ABC">
            <w:pPr>
              <w:spacing w:after="0"/>
              <w:jc w:val="center"/>
              <w:rPr>
                <w:lang w:val="zh-CN"/>
              </w:rPr>
            </w:pPr>
            <w:r w:rsidRPr="00536CFD">
              <w:rPr>
                <w:color w:val="000000"/>
              </w:rPr>
              <w:t>125.2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D1A7B1D" w14:textId="77777777" w:rsidR="004346F3" w:rsidRPr="00536CFD" w:rsidRDefault="004346F3" w:rsidP="00802ABC">
            <w:pPr>
              <w:spacing w:after="0"/>
              <w:jc w:val="center"/>
              <w:rPr>
                <w:lang w:val="zh-CN"/>
              </w:rPr>
            </w:pPr>
            <w:r w:rsidRPr="00536CFD">
              <w:rPr>
                <w:color w:val="000000"/>
              </w:rPr>
              <w:t>148.87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BF1B971" w14:textId="77777777" w:rsidR="004346F3" w:rsidRPr="00536CFD" w:rsidRDefault="004346F3" w:rsidP="00802ABC">
            <w:pPr>
              <w:spacing w:after="0"/>
              <w:jc w:val="center"/>
              <w:rPr>
                <w:lang w:val="zh-CN"/>
              </w:rPr>
            </w:pPr>
            <w:r w:rsidRPr="00536CFD">
              <w:rPr>
                <w:color w:val="000000"/>
              </w:rPr>
              <w:t>55.13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363D67B" w14:textId="77777777" w:rsidR="004346F3" w:rsidRPr="00536CFD" w:rsidRDefault="004346F3" w:rsidP="00802ABC">
            <w:pPr>
              <w:spacing w:after="0"/>
              <w:jc w:val="center"/>
              <w:rPr>
                <w:lang w:val="zh-CN"/>
              </w:rPr>
            </w:pPr>
            <w:r w:rsidRPr="00536CFD">
              <w:rPr>
                <w:color w:val="000000"/>
              </w:rPr>
              <w:t>60.19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827E986" w14:textId="77777777" w:rsidR="004346F3" w:rsidRPr="00536CFD" w:rsidRDefault="004346F3" w:rsidP="00802ABC">
            <w:pPr>
              <w:spacing w:after="0"/>
              <w:jc w:val="center"/>
              <w:rPr>
                <w:lang w:val="zh-CN"/>
              </w:rPr>
            </w:pPr>
            <w:r w:rsidRPr="00536CFD">
              <w:rPr>
                <w:color w:val="000000"/>
              </w:rPr>
              <w:t>106.54</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3E36A667" w14:textId="77777777" w:rsidR="004346F3" w:rsidRPr="00536CFD" w:rsidRDefault="004346F3" w:rsidP="00802ABC">
            <w:pPr>
              <w:spacing w:after="0"/>
              <w:jc w:val="center"/>
              <w:rPr>
                <w:lang w:val="zh-CN"/>
              </w:rPr>
            </w:pPr>
            <w:r w:rsidRPr="00536CFD">
              <w:rPr>
                <w:color w:val="000000"/>
              </w:rPr>
              <w:t>141.95</w:t>
            </w:r>
          </w:p>
        </w:tc>
      </w:tr>
      <w:tr w:rsidR="004346F3" w:rsidRPr="00536CFD" w14:paraId="64305714"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022CDBF"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423BF84C"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1B1424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bottom"/>
          </w:tcPr>
          <w:p w14:paraId="58480F8E" w14:textId="77777777" w:rsidR="004346F3" w:rsidRPr="00536CFD" w:rsidRDefault="004346F3" w:rsidP="00802ABC">
            <w:pPr>
              <w:spacing w:after="0"/>
              <w:jc w:val="center"/>
              <w:rPr>
                <w:lang w:val="zh-CN"/>
              </w:rPr>
            </w:pPr>
            <w:r w:rsidRPr="00536CFD">
              <w:rPr>
                <w:color w:val="000000"/>
              </w:rPr>
              <w:t>39.7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F89A728" w14:textId="77777777" w:rsidR="004346F3" w:rsidRPr="00536CFD" w:rsidRDefault="004346F3" w:rsidP="00802ABC">
            <w:pPr>
              <w:spacing w:after="0"/>
              <w:jc w:val="center"/>
              <w:rPr>
                <w:lang w:val="zh-CN"/>
              </w:rPr>
            </w:pPr>
            <w:r w:rsidRPr="00536CFD">
              <w:rPr>
                <w:color w:val="000000"/>
              </w:rPr>
              <w:t>44.24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EDE8AF0" w14:textId="77777777" w:rsidR="004346F3" w:rsidRPr="00536CFD" w:rsidRDefault="004346F3" w:rsidP="00802ABC">
            <w:pPr>
              <w:spacing w:after="0"/>
              <w:jc w:val="center"/>
              <w:rPr>
                <w:lang w:val="zh-CN"/>
              </w:rPr>
            </w:pPr>
            <w:r w:rsidRPr="00536CFD">
              <w:rPr>
                <w:color w:val="000000"/>
              </w:rPr>
              <w:t>85.8</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A84F81E" w14:textId="77777777" w:rsidR="004346F3" w:rsidRPr="00536CFD" w:rsidRDefault="004346F3" w:rsidP="00802ABC">
            <w:pPr>
              <w:spacing w:after="0"/>
              <w:jc w:val="center"/>
              <w:rPr>
                <w:lang w:val="zh-CN"/>
              </w:rPr>
            </w:pPr>
            <w:r w:rsidRPr="00536CFD">
              <w:rPr>
                <w:color w:val="000000"/>
              </w:rPr>
              <w:t>100.69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A2F9C6B" w14:textId="77777777" w:rsidR="004346F3" w:rsidRPr="00536CFD" w:rsidRDefault="004346F3" w:rsidP="00802ABC">
            <w:pPr>
              <w:spacing w:after="0"/>
              <w:jc w:val="center"/>
              <w:rPr>
                <w:lang w:val="zh-CN"/>
              </w:rPr>
            </w:pPr>
            <w:r w:rsidRPr="00536CFD">
              <w:rPr>
                <w:color w:val="000000"/>
              </w:rPr>
              <w:t>29.15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F90A915" w14:textId="77777777" w:rsidR="004346F3" w:rsidRPr="00536CFD" w:rsidRDefault="004346F3" w:rsidP="00802ABC">
            <w:pPr>
              <w:spacing w:after="0"/>
              <w:jc w:val="center"/>
              <w:rPr>
                <w:lang w:val="zh-CN"/>
              </w:rPr>
            </w:pPr>
            <w:r w:rsidRPr="00536CFD">
              <w:rPr>
                <w:color w:val="000000"/>
              </w:rPr>
              <w:t>34.06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BB38045" w14:textId="77777777" w:rsidR="004346F3" w:rsidRPr="00536CFD" w:rsidRDefault="004346F3" w:rsidP="00802ABC">
            <w:pPr>
              <w:spacing w:after="0"/>
              <w:jc w:val="center"/>
              <w:rPr>
                <w:lang w:val="zh-CN"/>
              </w:rPr>
            </w:pPr>
            <w:r w:rsidRPr="00536CFD">
              <w:rPr>
                <w:color w:val="000000"/>
              </w:rPr>
              <w:t>68.42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04C916F" w14:textId="77777777" w:rsidR="004346F3" w:rsidRPr="00536CFD" w:rsidRDefault="004346F3" w:rsidP="00802ABC">
            <w:pPr>
              <w:spacing w:after="0"/>
              <w:jc w:val="center"/>
              <w:rPr>
                <w:lang w:val="zh-CN"/>
              </w:rPr>
            </w:pPr>
            <w:r w:rsidRPr="00536CFD">
              <w:rPr>
                <w:color w:val="000000"/>
              </w:rPr>
              <w:t>94.05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4743C46" w14:textId="77777777" w:rsidR="004346F3" w:rsidRPr="00536CFD" w:rsidRDefault="004346F3" w:rsidP="00802ABC">
            <w:pPr>
              <w:spacing w:after="0"/>
              <w:jc w:val="center"/>
              <w:rPr>
                <w:lang w:val="zh-CN"/>
              </w:rPr>
            </w:pPr>
            <w:r w:rsidRPr="00536CFD">
              <w:rPr>
                <w:color w:val="000000"/>
              </w:rPr>
              <w:t>21.67</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A3900F4" w14:textId="77777777" w:rsidR="004346F3" w:rsidRPr="00536CFD" w:rsidRDefault="004346F3" w:rsidP="00802ABC">
            <w:pPr>
              <w:spacing w:after="0"/>
              <w:jc w:val="center"/>
              <w:rPr>
                <w:lang w:val="zh-CN"/>
              </w:rPr>
            </w:pPr>
            <w:r w:rsidRPr="00536CFD">
              <w:rPr>
                <w:color w:val="000000"/>
              </w:rPr>
              <w:t>24.36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7E65AF9" w14:textId="77777777" w:rsidR="004346F3" w:rsidRPr="00536CFD" w:rsidRDefault="004346F3" w:rsidP="00802ABC">
            <w:pPr>
              <w:spacing w:after="0"/>
              <w:jc w:val="center"/>
              <w:rPr>
                <w:lang w:val="zh-CN"/>
              </w:rPr>
            </w:pPr>
            <w:r w:rsidRPr="00536CFD">
              <w:rPr>
                <w:color w:val="000000"/>
              </w:rPr>
              <w:t>49.33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B3CBD1F" w14:textId="77777777" w:rsidR="004346F3" w:rsidRPr="00536CFD" w:rsidRDefault="004346F3" w:rsidP="00802ABC">
            <w:pPr>
              <w:spacing w:after="0"/>
              <w:jc w:val="center"/>
              <w:rPr>
                <w:lang w:val="zh-CN"/>
              </w:rPr>
            </w:pPr>
            <w:r w:rsidRPr="00536CFD">
              <w:rPr>
                <w:color w:val="000000"/>
              </w:rPr>
              <w:t>86.96</w:t>
            </w:r>
          </w:p>
        </w:tc>
      </w:tr>
      <w:tr w:rsidR="004346F3" w:rsidRPr="00536CFD" w14:paraId="4F51AFD1"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D898E2E"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1120547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2055970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bottom"/>
          </w:tcPr>
          <w:p w14:paraId="0E8F9EB2" w14:textId="77777777" w:rsidR="004346F3" w:rsidRPr="00536CFD" w:rsidRDefault="004346F3" w:rsidP="00802ABC">
            <w:pPr>
              <w:spacing w:after="0"/>
              <w:jc w:val="center"/>
              <w:rPr>
                <w:lang w:val="zh-CN"/>
              </w:rPr>
            </w:pPr>
            <w:r w:rsidRPr="00536CFD">
              <w:rPr>
                <w:color w:val="000000"/>
              </w:rPr>
              <w:t>0.036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6C7BA27" w14:textId="77777777" w:rsidR="004346F3" w:rsidRPr="00536CFD" w:rsidRDefault="004346F3" w:rsidP="00802ABC">
            <w:pPr>
              <w:spacing w:after="0"/>
              <w:jc w:val="center"/>
              <w:rPr>
                <w:lang w:val="zh-CN"/>
              </w:rPr>
            </w:pPr>
            <w:r w:rsidRPr="00536CFD">
              <w:rPr>
                <w:color w:val="000000"/>
              </w:rPr>
              <w:t>0.035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73D3972" w14:textId="77777777" w:rsidR="004346F3" w:rsidRPr="00536CFD" w:rsidRDefault="004346F3" w:rsidP="00802ABC">
            <w:pPr>
              <w:spacing w:after="0"/>
              <w:jc w:val="center"/>
              <w:rPr>
                <w:lang w:val="zh-CN"/>
              </w:rPr>
            </w:pPr>
            <w:r w:rsidRPr="00536CFD">
              <w:rPr>
                <w:color w:val="000000"/>
              </w:rPr>
              <w:t>0.022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2D184A1" w14:textId="77777777" w:rsidR="004346F3" w:rsidRPr="00536CFD" w:rsidRDefault="004346F3" w:rsidP="00802ABC">
            <w:pPr>
              <w:spacing w:after="0"/>
              <w:jc w:val="center"/>
              <w:rPr>
                <w:lang w:val="zh-CN"/>
              </w:rPr>
            </w:pPr>
            <w:r w:rsidRPr="00536CFD">
              <w:rPr>
                <w:color w:val="000000"/>
              </w:rPr>
              <w:t>0.022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ADA19DC" w14:textId="77777777" w:rsidR="004346F3" w:rsidRPr="00536CFD" w:rsidRDefault="004346F3" w:rsidP="00802ABC">
            <w:pPr>
              <w:spacing w:after="0"/>
              <w:jc w:val="center"/>
              <w:rPr>
                <w:lang w:val="zh-CN"/>
              </w:rPr>
            </w:pPr>
            <w:r w:rsidRPr="00536CFD">
              <w:rPr>
                <w:color w:val="000000"/>
              </w:rPr>
              <w:t>0.042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C1EF30C" w14:textId="77777777" w:rsidR="004346F3" w:rsidRPr="00536CFD" w:rsidRDefault="004346F3" w:rsidP="00802ABC">
            <w:pPr>
              <w:spacing w:after="0"/>
              <w:jc w:val="center"/>
              <w:rPr>
                <w:lang w:val="zh-CN"/>
              </w:rPr>
            </w:pPr>
            <w:r w:rsidRPr="00536CFD">
              <w:rPr>
                <w:color w:val="000000"/>
              </w:rPr>
              <w:t>0.039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A5F0360" w14:textId="77777777" w:rsidR="004346F3" w:rsidRPr="00536CFD" w:rsidRDefault="004346F3" w:rsidP="00802ABC">
            <w:pPr>
              <w:spacing w:after="0"/>
              <w:jc w:val="center"/>
              <w:rPr>
                <w:lang w:val="zh-CN"/>
              </w:rPr>
            </w:pPr>
            <w:r w:rsidRPr="00536CFD">
              <w:rPr>
                <w:color w:val="000000"/>
              </w:rPr>
              <w:t>0.022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A1168EC" w14:textId="77777777" w:rsidR="004346F3" w:rsidRPr="00536CFD" w:rsidRDefault="004346F3" w:rsidP="00802ABC">
            <w:pPr>
              <w:spacing w:after="0"/>
              <w:jc w:val="center"/>
              <w:rPr>
                <w:lang w:val="zh-CN"/>
              </w:rPr>
            </w:pPr>
            <w:r w:rsidRPr="00536CFD">
              <w:rPr>
                <w:color w:val="000000"/>
              </w:rPr>
              <w:t>0.022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8F2E08D" w14:textId="77777777" w:rsidR="004346F3" w:rsidRPr="00536CFD" w:rsidRDefault="004346F3" w:rsidP="00802ABC">
            <w:pPr>
              <w:spacing w:after="0"/>
              <w:jc w:val="center"/>
              <w:rPr>
                <w:lang w:val="zh-CN"/>
              </w:rPr>
            </w:pPr>
            <w:r w:rsidRPr="00536CFD">
              <w:rPr>
                <w:color w:val="000000"/>
              </w:rPr>
              <w:t>0.05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89D719D" w14:textId="77777777" w:rsidR="004346F3" w:rsidRPr="00536CFD" w:rsidRDefault="004346F3" w:rsidP="00802ABC">
            <w:pPr>
              <w:spacing w:after="0"/>
              <w:jc w:val="center"/>
              <w:rPr>
                <w:lang w:val="zh-CN"/>
              </w:rPr>
            </w:pPr>
            <w:r w:rsidRPr="00536CFD">
              <w:rPr>
                <w:color w:val="000000"/>
              </w:rPr>
              <w:t>0.047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B1C7F8F" w14:textId="77777777" w:rsidR="004346F3" w:rsidRPr="00536CFD" w:rsidRDefault="004346F3" w:rsidP="00802ABC">
            <w:pPr>
              <w:spacing w:after="0"/>
              <w:jc w:val="center"/>
              <w:rPr>
                <w:lang w:val="zh-CN"/>
              </w:rPr>
            </w:pPr>
            <w:r w:rsidRPr="00536CFD">
              <w:rPr>
                <w:color w:val="000000"/>
              </w:rPr>
              <w:t>0.025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F565D9A" w14:textId="77777777" w:rsidR="004346F3" w:rsidRPr="00536CFD" w:rsidRDefault="004346F3" w:rsidP="00802ABC">
            <w:pPr>
              <w:spacing w:after="0"/>
              <w:jc w:val="center"/>
              <w:rPr>
                <w:lang w:val="zh-CN"/>
              </w:rPr>
            </w:pPr>
            <w:r w:rsidRPr="00536CFD">
              <w:rPr>
                <w:color w:val="000000"/>
              </w:rPr>
              <w:t>0.022</w:t>
            </w:r>
          </w:p>
        </w:tc>
      </w:tr>
      <w:tr w:rsidR="004346F3" w:rsidRPr="00536CFD" w14:paraId="06F58F1A"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BD2BAB9"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E51FDDC"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A84B2A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bottom"/>
          </w:tcPr>
          <w:p w14:paraId="6FC72A7A" w14:textId="77777777" w:rsidR="004346F3" w:rsidRPr="00536CFD" w:rsidRDefault="004346F3" w:rsidP="00802ABC">
            <w:pPr>
              <w:spacing w:after="0"/>
              <w:jc w:val="center"/>
              <w:rPr>
                <w:lang w:val="zh-CN"/>
              </w:rPr>
            </w:pPr>
            <w:r w:rsidRPr="00536CFD">
              <w:rPr>
                <w:color w:val="000000"/>
              </w:rPr>
              <w:t>0.136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6B57ACA" w14:textId="77777777" w:rsidR="004346F3" w:rsidRPr="00536CFD" w:rsidRDefault="004346F3" w:rsidP="00802ABC">
            <w:pPr>
              <w:spacing w:after="0"/>
              <w:jc w:val="center"/>
              <w:rPr>
                <w:lang w:val="zh-CN"/>
              </w:rPr>
            </w:pPr>
            <w:r w:rsidRPr="00536CFD">
              <w:rPr>
                <w:color w:val="000000"/>
              </w:rPr>
              <w:t>0.115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B346396" w14:textId="77777777" w:rsidR="004346F3" w:rsidRPr="00536CFD" w:rsidRDefault="004346F3" w:rsidP="00802ABC">
            <w:pPr>
              <w:spacing w:after="0"/>
              <w:jc w:val="center"/>
              <w:rPr>
                <w:lang w:val="zh-CN"/>
              </w:rPr>
            </w:pPr>
            <w:r w:rsidRPr="00536CFD">
              <w:rPr>
                <w:color w:val="000000"/>
              </w:rPr>
              <w:t>0.05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3DD40EA" w14:textId="77777777" w:rsidR="004346F3" w:rsidRPr="00536CFD" w:rsidRDefault="004346F3" w:rsidP="00802ABC">
            <w:pPr>
              <w:spacing w:after="0"/>
              <w:jc w:val="center"/>
              <w:rPr>
                <w:lang w:val="zh-CN"/>
              </w:rPr>
            </w:pPr>
            <w:r w:rsidRPr="00536CFD">
              <w:rPr>
                <w:color w:val="000000"/>
              </w:rPr>
              <w:t>0.038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A103F87" w14:textId="77777777" w:rsidR="004346F3" w:rsidRPr="00536CFD" w:rsidRDefault="004346F3" w:rsidP="00802ABC">
            <w:pPr>
              <w:spacing w:after="0"/>
              <w:jc w:val="center"/>
              <w:rPr>
                <w:lang w:val="zh-CN"/>
              </w:rPr>
            </w:pPr>
            <w:r w:rsidRPr="00536CFD">
              <w:rPr>
                <w:color w:val="000000"/>
              </w:rPr>
              <w:t>0.212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C61F4D0" w14:textId="77777777" w:rsidR="004346F3" w:rsidRPr="00536CFD" w:rsidRDefault="004346F3" w:rsidP="00802ABC">
            <w:pPr>
              <w:spacing w:after="0"/>
              <w:jc w:val="center"/>
              <w:rPr>
                <w:lang w:val="zh-CN"/>
              </w:rPr>
            </w:pPr>
            <w:r w:rsidRPr="00536CFD">
              <w:rPr>
                <w:color w:val="000000"/>
              </w:rPr>
              <w:t>0.165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4F99013" w14:textId="77777777" w:rsidR="004346F3" w:rsidRPr="00536CFD" w:rsidRDefault="004346F3" w:rsidP="00802ABC">
            <w:pPr>
              <w:spacing w:after="0"/>
              <w:jc w:val="center"/>
              <w:rPr>
                <w:lang w:val="zh-CN"/>
              </w:rPr>
            </w:pPr>
            <w:r w:rsidRPr="00536CFD">
              <w:rPr>
                <w:color w:val="000000"/>
              </w:rPr>
              <w:t>0.076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51911CE" w14:textId="77777777" w:rsidR="004346F3" w:rsidRPr="00536CFD" w:rsidRDefault="004346F3" w:rsidP="00802ABC">
            <w:pPr>
              <w:spacing w:after="0"/>
              <w:jc w:val="center"/>
              <w:rPr>
                <w:lang w:val="zh-CN"/>
              </w:rPr>
            </w:pPr>
            <w:r w:rsidRPr="00536CFD">
              <w:rPr>
                <w:color w:val="000000"/>
              </w:rPr>
              <w:t>0.042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DCCCAB3" w14:textId="77777777" w:rsidR="004346F3" w:rsidRPr="00536CFD" w:rsidRDefault="004346F3" w:rsidP="00802ABC">
            <w:pPr>
              <w:spacing w:after="0"/>
              <w:jc w:val="center"/>
              <w:rPr>
                <w:lang w:val="zh-CN"/>
              </w:rPr>
            </w:pPr>
            <w:r w:rsidRPr="00536CFD">
              <w:rPr>
                <w:color w:val="000000"/>
              </w:rPr>
              <w:t>0.302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44891E14" w14:textId="77777777" w:rsidR="004346F3" w:rsidRPr="00536CFD" w:rsidRDefault="004346F3" w:rsidP="00802ABC">
            <w:pPr>
              <w:spacing w:after="0"/>
              <w:jc w:val="center"/>
              <w:rPr>
                <w:lang w:val="zh-CN"/>
              </w:rPr>
            </w:pPr>
            <w:r w:rsidRPr="00536CFD">
              <w:rPr>
                <w:color w:val="000000"/>
              </w:rPr>
              <w:t>0.259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B53B211" w14:textId="77777777" w:rsidR="004346F3" w:rsidRPr="00536CFD" w:rsidRDefault="004346F3" w:rsidP="00802ABC">
            <w:pPr>
              <w:spacing w:after="0"/>
              <w:jc w:val="center"/>
              <w:rPr>
                <w:lang w:val="zh-CN"/>
              </w:rPr>
            </w:pPr>
            <w:r w:rsidRPr="00536CFD">
              <w:rPr>
                <w:color w:val="000000"/>
              </w:rPr>
              <w:t>0.13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34E316FC" w14:textId="77777777" w:rsidR="004346F3" w:rsidRPr="00536CFD" w:rsidRDefault="004346F3" w:rsidP="00802ABC">
            <w:pPr>
              <w:spacing w:after="0"/>
              <w:jc w:val="center"/>
              <w:rPr>
                <w:lang w:val="zh-CN"/>
              </w:rPr>
            </w:pPr>
            <w:r w:rsidRPr="00536CFD">
              <w:rPr>
                <w:color w:val="000000"/>
              </w:rPr>
              <w:t>0.049</w:t>
            </w:r>
          </w:p>
        </w:tc>
      </w:tr>
      <w:tr w:rsidR="004346F3" w:rsidRPr="00536CFD" w14:paraId="7E84780B"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57F8BD9"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924CE89"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74143B4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bottom"/>
          </w:tcPr>
          <w:p w14:paraId="47330702" w14:textId="77777777" w:rsidR="004346F3" w:rsidRPr="00536CFD" w:rsidRDefault="004346F3" w:rsidP="00802ABC">
            <w:pPr>
              <w:spacing w:after="0"/>
              <w:jc w:val="center"/>
              <w:rPr>
                <w:lang w:val="zh-CN"/>
              </w:rPr>
            </w:pPr>
            <w:r w:rsidRPr="00536CFD">
              <w:rPr>
                <w:color w:val="000000"/>
              </w:rPr>
              <w:t>0.962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BA0A714" w14:textId="77777777" w:rsidR="004346F3" w:rsidRPr="00536CFD" w:rsidRDefault="004346F3" w:rsidP="00802ABC">
            <w:pPr>
              <w:spacing w:after="0"/>
              <w:jc w:val="center"/>
              <w:rPr>
                <w:lang w:val="zh-CN"/>
              </w:rPr>
            </w:pPr>
            <w:r w:rsidRPr="00536CFD">
              <w:rPr>
                <w:color w:val="000000"/>
              </w:rPr>
              <w:t>0.674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D366B74" w14:textId="77777777" w:rsidR="004346F3" w:rsidRPr="00536CFD" w:rsidRDefault="004346F3" w:rsidP="00802ABC">
            <w:pPr>
              <w:spacing w:after="0"/>
              <w:jc w:val="center"/>
              <w:rPr>
                <w:lang w:val="zh-CN"/>
              </w:rPr>
            </w:pPr>
            <w:r w:rsidRPr="00536CFD">
              <w:rPr>
                <w:color w:val="000000"/>
              </w:rPr>
              <w:t>0.302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BC51C08" w14:textId="77777777" w:rsidR="004346F3" w:rsidRPr="00536CFD" w:rsidRDefault="004346F3" w:rsidP="00802ABC">
            <w:pPr>
              <w:spacing w:after="0"/>
              <w:jc w:val="center"/>
              <w:rPr>
                <w:lang w:val="zh-CN"/>
              </w:rPr>
            </w:pPr>
            <w:r w:rsidRPr="00536CFD">
              <w:rPr>
                <w:color w:val="000000"/>
              </w:rPr>
              <w:t>0.152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3D11F0B" w14:textId="77777777" w:rsidR="004346F3" w:rsidRPr="00536CFD" w:rsidRDefault="004346F3" w:rsidP="00802ABC">
            <w:pPr>
              <w:spacing w:after="0"/>
              <w:jc w:val="center"/>
              <w:rPr>
                <w:lang w:val="zh-CN"/>
              </w:rPr>
            </w:pPr>
            <w:r w:rsidRPr="00536CFD">
              <w:rPr>
                <w:color w:val="000000"/>
              </w:rPr>
              <w:t>2.602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8A0D56B" w14:textId="77777777" w:rsidR="004346F3" w:rsidRPr="00536CFD" w:rsidRDefault="004346F3" w:rsidP="00802ABC">
            <w:pPr>
              <w:spacing w:after="0"/>
              <w:jc w:val="center"/>
              <w:rPr>
                <w:lang w:val="zh-CN"/>
              </w:rPr>
            </w:pPr>
            <w:r w:rsidRPr="00536CFD">
              <w:rPr>
                <w:color w:val="000000"/>
              </w:rPr>
              <w:t>1.4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D283D6B" w14:textId="77777777" w:rsidR="004346F3" w:rsidRPr="00536CFD" w:rsidRDefault="004346F3" w:rsidP="00802ABC">
            <w:pPr>
              <w:spacing w:after="0"/>
              <w:jc w:val="center"/>
              <w:rPr>
                <w:lang w:val="zh-CN"/>
              </w:rPr>
            </w:pPr>
            <w:r w:rsidRPr="00536CFD">
              <w:rPr>
                <w:color w:val="000000"/>
              </w:rPr>
              <w:t>0.559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BC8F9A7" w14:textId="77777777" w:rsidR="004346F3" w:rsidRPr="00536CFD" w:rsidRDefault="004346F3" w:rsidP="00802ABC">
            <w:pPr>
              <w:spacing w:after="0"/>
              <w:jc w:val="center"/>
              <w:rPr>
                <w:lang w:val="zh-CN"/>
              </w:rPr>
            </w:pPr>
            <w:r w:rsidRPr="00536CFD">
              <w:rPr>
                <w:color w:val="000000"/>
              </w:rPr>
              <w:t>0.182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81E55F5" w14:textId="77777777" w:rsidR="004346F3" w:rsidRPr="00536CFD" w:rsidRDefault="004346F3" w:rsidP="00802ABC">
            <w:pPr>
              <w:spacing w:after="0"/>
              <w:jc w:val="center"/>
              <w:rPr>
                <w:lang w:val="zh-CN"/>
              </w:rPr>
            </w:pPr>
            <w:r w:rsidRPr="00536CFD">
              <w:rPr>
                <w:color w:val="000000"/>
              </w:rPr>
              <w:t>84.716</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4ED46D1F" w14:textId="77777777" w:rsidR="004346F3" w:rsidRPr="00536CFD" w:rsidRDefault="004346F3" w:rsidP="00802ABC">
            <w:pPr>
              <w:spacing w:after="0"/>
              <w:jc w:val="center"/>
              <w:rPr>
                <w:lang w:val="zh-CN"/>
              </w:rPr>
            </w:pPr>
            <w:r w:rsidRPr="00536CFD">
              <w:rPr>
                <w:color w:val="000000"/>
              </w:rPr>
              <w:t>10.972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66B254A" w14:textId="77777777" w:rsidR="004346F3" w:rsidRPr="00536CFD" w:rsidRDefault="004346F3" w:rsidP="00802ABC">
            <w:pPr>
              <w:spacing w:after="0"/>
              <w:jc w:val="center"/>
              <w:rPr>
                <w:lang w:val="zh-CN"/>
              </w:rPr>
            </w:pPr>
            <w:r w:rsidRPr="00536CFD">
              <w:rPr>
                <w:color w:val="000000"/>
              </w:rPr>
              <w:t>1.158</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782585C" w14:textId="77777777" w:rsidR="004346F3" w:rsidRPr="00536CFD" w:rsidRDefault="004346F3" w:rsidP="00802ABC">
            <w:pPr>
              <w:spacing w:after="0"/>
              <w:jc w:val="center"/>
              <w:rPr>
                <w:lang w:val="zh-CN"/>
              </w:rPr>
            </w:pPr>
            <w:r w:rsidRPr="00536CFD">
              <w:rPr>
                <w:color w:val="000000"/>
              </w:rPr>
              <w:t>0.231</w:t>
            </w:r>
          </w:p>
        </w:tc>
      </w:tr>
      <w:tr w:rsidR="004346F3" w:rsidRPr="00536CFD" w14:paraId="67EA7BC6"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AFE27CC"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434982DE"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762E5C9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bottom"/>
          </w:tcPr>
          <w:p w14:paraId="6BA39DF7" w14:textId="77777777" w:rsidR="004346F3" w:rsidRPr="00536CFD" w:rsidRDefault="004346F3" w:rsidP="00802ABC">
            <w:pPr>
              <w:spacing w:after="0"/>
              <w:jc w:val="center"/>
              <w:rPr>
                <w:lang w:val="zh-CN"/>
              </w:rPr>
            </w:pPr>
            <w:r w:rsidRPr="00536CFD">
              <w:rPr>
                <w:color w:val="000000"/>
              </w:rPr>
              <w:t>0.292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EF01014" w14:textId="77777777" w:rsidR="004346F3" w:rsidRPr="00536CFD" w:rsidRDefault="004346F3" w:rsidP="00802ABC">
            <w:pPr>
              <w:spacing w:after="0"/>
              <w:jc w:val="center"/>
              <w:rPr>
                <w:lang w:val="zh-CN"/>
              </w:rPr>
            </w:pPr>
            <w:r w:rsidRPr="00536CFD">
              <w:rPr>
                <w:color w:val="000000"/>
              </w:rPr>
              <w:t>0.207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AA5B923" w14:textId="77777777" w:rsidR="004346F3" w:rsidRPr="00536CFD" w:rsidRDefault="004346F3" w:rsidP="00802ABC">
            <w:pPr>
              <w:spacing w:after="0"/>
              <w:jc w:val="center"/>
              <w:rPr>
                <w:lang w:val="zh-CN"/>
              </w:rPr>
            </w:pPr>
            <w:r w:rsidRPr="00536CFD">
              <w:rPr>
                <w:color w:val="000000"/>
              </w:rPr>
              <w:t>0.093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2BC66E2" w14:textId="77777777" w:rsidR="004346F3" w:rsidRPr="00536CFD" w:rsidRDefault="004346F3" w:rsidP="00802ABC">
            <w:pPr>
              <w:spacing w:after="0"/>
              <w:jc w:val="center"/>
              <w:rPr>
                <w:lang w:val="zh-CN"/>
              </w:rPr>
            </w:pPr>
            <w:r w:rsidRPr="00536CFD">
              <w:rPr>
                <w:color w:val="000000"/>
              </w:rPr>
              <w:t>0.057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0C3A68C" w14:textId="77777777" w:rsidR="004346F3" w:rsidRPr="00536CFD" w:rsidRDefault="004346F3" w:rsidP="00802ABC">
            <w:pPr>
              <w:spacing w:after="0"/>
              <w:jc w:val="center"/>
              <w:rPr>
                <w:lang w:val="zh-CN"/>
              </w:rPr>
            </w:pPr>
            <w:r w:rsidRPr="00536CFD">
              <w:rPr>
                <w:color w:val="000000"/>
              </w:rPr>
              <w:t>2.502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CD91669" w14:textId="77777777" w:rsidR="004346F3" w:rsidRPr="00536CFD" w:rsidRDefault="004346F3" w:rsidP="00802ABC">
            <w:pPr>
              <w:spacing w:after="0"/>
              <w:jc w:val="center"/>
              <w:rPr>
                <w:lang w:val="zh-CN"/>
              </w:rPr>
            </w:pPr>
            <w:r w:rsidRPr="00536CFD">
              <w:rPr>
                <w:color w:val="000000"/>
              </w:rPr>
              <w:t>0.462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F3D93E9" w14:textId="77777777" w:rsidR="004346F3" w:rsidRPr="00536CFD" w:rsidRDefault="004346F3" w:rsidP="00802ABC">
            <w:pPr>
              <w:spacing w:after="0"/>
              <w:jc w:val="center"/>
              <w:rPr>
                <w:lang w:val="zh-CN"/>
              </w:rPr>
            </w:pPr>
            <w:r w:rsidRPr="00536CFD">
              <w:rPr>
                <w:color w:val="000000"/>
              </w:rPr>
              <w:t>0.159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8601C59" w14:textId="77777777" w:rsidR="004346F3" w:rsidRPr="00536CFD" w:rsidRDefault="004346F3" w:rsidP="00802ABC">
            <w:pPr>
              <w:spacing w:after="0"/>
              <w:jc w:val="center"/>
              <w:rPr>
                <w:lang w:val="zh-CN"/>
              </w:rPr>
            </w:pPr>
            <w:r w:rsidRPr="00536CFD">
              <w:rPr>
                <w:color w:val="000000"/>
              </w:rPr>
              <w:t>0.065</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A2C5FD8" w14:textId="77777777" w:rsidR="004346F3" w:rsidRPr="00536CFD" w:rsidRDefault="004346F3" w:rsidP="00802ABC">
            <w:pPr>
              <w:spacing w:after="0"/>
              <w:jc w:val="center"/>
              <w:rPr>
                <w:lang w:val="zh-CN"/>
              </w:rPr>
            </w:pPr>
            <w:r w:rsidRPr="00536CFD">
              <w:rPr>
                <w:color w:val="000000"/>
              </w:rPr>
              <w:t>15.042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0365AF53" w14:textId="77777777" w:rsidR="004346F3" w:rsidRPr="00536CFD" w:rsidRDefault="004346F3" w:rsidP="00802ABC">
            <w:pPr>
              <w:spacing w:after="0"/>
              <w:jc w:val="center"/>
              <w:rPr>
                <w:lang w:val="zh-CN"/>
              </w:rPr>
            </w:pPr>
            <w:r w:rsidRPr="00536CFD">
              <w:rPr>
                <w:color w:val="000000"/>
              </w:rPr>
              <w:t>8.563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F03AC10" w14:textId="77777777" w:rsidR="004346F3" w:rsidRPr="00536CFD" w:rsidRDefault="004346F3" w:rsidP="00802ABC">
            <w:pPr>
              <w:spacing w:after="0"/>
              <w:jc w:val="center"/>
              <w:rPr>
                <w:lang w:val="zh-CN"/>
              </w:rPr>
            </w:pPr>
            <w:r w:rsidRPr="00536CFD">
              <w:rPr>
                <w:color w:val="000000"/>
              </w:rPr>
              <w:t>0.334</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AECC264" w14:textId="77777777" w:rsidR="004346F3" w:rsidRPr="00536CFD" w:rsidRDefault="004346F3" w:rsidP="00802ABC">
            <w:pPr>
              <w:spacing w:after="0"/>
              <w:jc w:val="center"/>
              <w:rPr>
                <w:lang w:val="zh-CN"/>
              </w:rPr>
            </w:pPr>
            <w:r w:rsidRPr="00536CFD">
              <w:rPr>
                <w:color w:val="000000"/>
              </w:rPr>
              <w:t>0.078</w:t>
            </w:r>
          </w:p>
        </w:tc>
      </w:tr>
      <w:tr w:rsidR="004346F3" w:rsidRPr="00536CFD" w14:paraId="326B6D9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99B481A"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4529D9DF"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2" w:type="dxa"/>
            <w:tcBorders>
              <w:top w:val="single" w:sz="4" w:space="0" w:color="auto"/>
              <w:left w:val="nil"/>
              <w:bottom w:val="single" w:sz="4" w:space="0" w:color="auto"/>
              <w:right w:val="single" w:sz="4" w:space="0" w:color="auto"/>
            </w:tcBorders>
            <w:shd w:val="clear" w:color="auto" w:fill="auto"/>
            <w:vAlign w:val="bottom"/>
          </w:tcPr>
          <w:p w14:paraId="71982457" w14:textId="77777777" w:rsidR="004346F3" w:rsidRPr="00536CFD" w:rsidRDefault="004346F3" w:rsidP="00802ABC">
            <w:pPr>
              <w:spacing w:after="0"/>
              <w:jc w:val="center"/>
              <w:rPr>
                <w:lang w:val="zh-CN"/>
              </w:rPr>
            </w:pPr>
            <w:r w:rsidRPr="00536CFD">
              <w:rPr>
                <w:color w:val="000000"/>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4B6FFC2" w14:textId="77777777" w:rsidR="004346F3" w:rsidRPr="00536CFD" w:rsidRDefault="004346F3" w:rsidP="00802ABC">
            <w:pPr>
              <w:spacing w:after="0"/>
              <w:jc w:val="center"/>
              <w:rPr>
                <w:lang w:val="zh-CN"/>
              </w:rPr>
            </w:pPr>
            <w:r w:rsidRPr="00536CFD">
              <w:rPr>
                <w:color w:val="000000"/>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B7EB3E2" w14:textId="77777777" w:rsidR="004346F3" w:rsidRPr="00536CFD" w:rsidRDefault="004346F3" w:rsidP="00802ABC">
            <w:pPr>
              <w:spacing w:after="0"/>
              <w:jc w:val="center"/>
              <w:rPr>
                <w:lang w:val="zh-CN"/>
              </w:rPr>
            </w:pPr>
            <w:r w:rsidRPr="00536CFD">
              <w:rPr>
                <w:color w:val="000000"/>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6C7A910" w14:textId="77777777" w:rsidR="004346F3" w:rsidRPr="00536CFD" w:rsidRDefault="004346F3" w:rsidP="00802ABC">
            <w:pPr>
              <w:spacing w:after="0"/>
              <w:jc w:val="center"/>
              <w:rPr>
                <w:lang w:val="zh-CN"/>
              </w:rPr>
            </w:pPr>
            <w:r w:rsidRPr="00536CFD">
              <w:rPr>
                <w:color w:val="000000"/>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4AD9AFD" w14:textId="77777777" w:rsidR="004346F3" w:rsidRPr="00536CFD" w:rsidRDefault="004346F3" w:rsidP="00802ABC">
            <w:pPr>
              <w:spacing w:after="0"/>
              <w:jc w:val="center"/>
              <w:rPr>
                <w:lang w:val="zh-CN"/>
              </w:rPr>
            </w:pPr>
            <w:r w:rsidRPr="00536CFD">
              <w:rPr>
                <w:color w:val="000000"/>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31F9D06" w14:textId="77777777" w:rsidR="004346F3" w:rsidRPr="00536CFD" w:rsidRDefault="004346F3" w:rsidP="00802ABC">
            <w:pPr>
              <w:spacing w:after="0"/>
              <w:jc w:val="center"/>
              <w:rPr>
                <w:lang w:val="zh-CN"/>
              </w:rPr>
            </w:pPr>
            <w:r w:rsidRPr="00536CFD">
              <w:rPr>
                <w:color w:val="000000"/>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ED7C319" w14:textId="77777777" w:rsidR="004346F3" w:rsidRPr="00536CFD" w:rsidRDefault="004346F3" w:rsidP="00802ABC">
            <w:pPr>
              <w:spacing w:after="0"/>
              <w:jc w:val="center"/>
              <w:rPr>
                <w:lang w:val="zh-CN"/>
              </w:rPr>
            </w:pPr>
            <w:r w:rsidRPr="00536CFD">
              <w:rPr>
                <w:color w:val="000000"/>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66480B5" w14:textId="77777777" w:rsidR="004346F3" w:rsidRPr="00536CFD" w:rsidRDefault="004346F3" w:rsidP="00802ABC">
            <w:pPr>
              <w:spacing w:after="0"/>
              <w:jc w:val="center"/>
              <w:rPr>
                <w:lang w:val="zh-CN"/>
              </w:rPr>
            </w:pPr>
            <w:r w:rsidRPr="00536CFD">
              <w:rPr>
                <w:color w:val="000000"/>
              </w:rPr>
              <w:t>0.99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8AA6570" w14:textId="77777777" w:rsidR="004346F3" w:rsidRPr="00536CFD" w:rsidRDefault="004346F3" w:rsidP="00802ABC">
            <w:pPr>
              <w:spacing w:after="0"/>
              <w:jc w:val="center"/>
              <w:rPr>
                <w:lang w:val="zh-CN"/>
              </w:rPr>
            </w:pPr>
            <w:r w:rsidRPr="00536CFD">
              <w:rPr>
                <w:color w:val="000000"/>
              </w:rPr>
              <w:t>0.97</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C0250AE" w14:textId="77777777" w:rsidR="004346F3" w:rsidRPr="00536CFD" w:rsidRDefault="004346F3" w:rsidP="00802ABC">
            <w:pPr>
              <w:spacing w:after="0"/>
              <w:jc w:val="center"/>
              <w:rPr>
                <w:lang w:val="zh-CN"/>
              </w:rPr>
            </w:pPr>
            <w:r w:rsidRPr="00536CFD">
              <w:rPr>
                <w:color w:val="000000"/>
              </w:rPr>
              <w:t>0.98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FDDF8A0" w14:textId="77777777" w:rsidR="004346F3" w:rsidRPr="00536CFD" w:rsidRDefault="004346F3" w:rsidP="00802ABC">
            <w:pPr>
              <w:spacing w:after="0"/>
              <w:jc w:val="center"/>
              <w:rPr>
                <w:lang w:val="zh-CN"/>
              </w:rPr>
            </w:pPr>
            <w:r w:rsidRPr="00536CFD">
              <w:rPr>
                <w:color w:val="000000"/>
              </w:rPr>
              <w:t>1.00</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31981507" w14:textId="77777777" w:rsidR="004346F3" w:rsidRPr="00536CFD" w:rsidRDefault="004346F3" w:rsidP="00802ABC">
            <w:pPr>
              <w:spacing w:after="0"/>
              <w:jc w:val="center"/>
              <w:rPr>
                <w:lang w:val="zh-CN"/>
              </w:rPr>
            </w:pPr>
            <w:r w:rsidRPr="00536CFD">
              <w:rPr>
                <w:color w:val="000000"/>
              </w:rPr>
              <w:t>1.00</w:t>
            </w:r>
          </w:p>
        </w:tc>
      </w:tr>
      <w:tr w:rsidR="004346F3" w:rsidRPr="00536CFD" w14:paraId="32713FC7"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E58B8C3"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0CB4E86F"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2" w:type="dxa"/>
            <w:tcBorders>
              <w:top w:val="single" w:sz="4" w:space="0" w:color="auto"/>
              <w:left w:val="nil"/>
              <w:bottom w:val="single" w:sz="4" w:space="0" w:color="auto"/>
              <w:right w:val="single" w:sz="4" w:space="0" w:color="auto"/>
            </w:tcBorders>
            <w:shd w:val="clear" w:color="auto" w:fill="auto"/>
            <w:vAlign w:val="bottom"/>
          </w:tcPr>
          <w:p w14:paraId="1345AAC4" w14:textId="77777777" w:rsidR="004346F3" w:rsidRPr="00536CFD" w:rsidRDefault="004346F3" w:rsidP="00802ABC">
            <w:pPr>
              <w:spacing w:after="0"/>
              <w:jc w:val="center"/>
              <w:rPr>
                <w:lang w:val="zh-CN"/>
              </w:rPr>
            </w:pPr>
            <w:r w:rsidRPr="00536CFD">
              <w:rPr>
                <w:color w:val="000000"/>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2B4DCC5" w14:textId="77777777" w:rsidR="004346F3" w:rsidRPr="00536CFD" w:rsidRDefault="004346F3" w:rsidP="00802ABC">
            <w:pPr>
              <w:spacing w:after="0"/>
              <w:jc w:val="center"/>
              <w:rPr>
                <w:lang w:val="zh-CN"/>
              </w:rPr>
            </w:pPr>
            <w:r w:rsidRPr="00536CFD">
              <w:rPr>
                <w:color w:val="000000"/>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F865AEB" w14:textId="77777777" w:rsidR="004346F3" w:rsidRPr="00536CFD" w:rsidRDefault="004346F3" w:rsidP="00802ABC">
            <w:pPr>
              <w:spacing w:after="0"/>
              <w:jc w:val="center"/>
              <w:rPr>
                <w:lang w:val="zh-CN"/>
              </w:rPr>
            </w:pPr>
            <w:r w:rsidRPr="00536CFD">
              <w:rPr>
                <w:color w:val="000000"/>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05AABD6" w14:textId="77777777" w:rsidR="004346F3" w:rsidRPr="00536CFD" w:rsidRDefault="004346F3" w:rsidP="00802ABC">
            <w:pPr>
              <w:spacing w:after="0"/>
              <w:jc w:val="center"/>
              <w:rPr>
                <w:lang w:val="zh-CN"/>
              </w:rPr>
            </w:pPr>
            <w:r w:rsidRPr="00536CFD">
              <w:rPr>
                <w:color w:val="000000"/>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17EE8A4" w14:textId="77777777" w:rsidR="004346F3" w:rsidRPr="00536CFD" w:rsidRDefault="004346F3" w:rsidP="00802ABC">
            <w:pPr>
              <w:spacing w:after="0"/>
              <w:jc w:val="center"/>
              <w:rPr>
                <w:lang w:val="zh-CN"/>
              </w:rPr>
            </w:pPr>
            <w:r w:rsidRPr="00536CFD">
              <w:rPr>
                <w:color w:val="000000"/>
              </w:rPr>
              <w:t>0.99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CAFA262" w14:textId="77777777" w:rsidR="004346F3" w:rsidRPr="00536CFD" w:rsidRDefault="004346F3" w:rsidP="00802ABC">
            <w:pPr>
              <w:spacing w:after="0"/>
              <w:jc w:val="center"/>
              <w:rPr>
                <w:lang w:val="zh-CN"/>
              </w:rPr>
            </w:pPr>
            <w:r w:rsidRPr="00536CFD">
              <w:rPr>
                <w:color w:val="000000"/>
              </w:rPr>
              <w:t>0.99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8F58AC8" w14:textId="77777777" w:rsidR="004346F3" w:rsidRPr="00536CFD" w:rsidRDefault="004346F3" w:rsidP="00802ABC">
            <w:pPr>
              <w:spacing w:after="0"/>
              <w:jc w:val="center"/>
              <w:rPr>
                <w:lang w:val="zh-CN"/>
              </w:rPr>
            </w:pPr>
            <w:r w:rsidRPr="00536CFD">
              <w:rPr>
                <w:color w:val="000000"/>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ED9D3D3" w14:textId="77777777" w:rsidR="004346F3" w:rsidRPr="00536CFD" w:rsidRDefault="004346F3" w:rsidP="00802ABC">
            <w:pPr>
              <w:spacing w:after="0"/>
              <w:jc w:val="center"/>
              <w:rPr>
                <w:lang w:val="zh-CN"/>
              </w:rPr>
            </w:pPr>
            <w:r w:rsidRPr="00536CFD">
              <w:rPr>
                <w:color w:val="000000"/>
              </w:rPr>
              <w:t>1.00</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5A03632" w14:textId="77777777" w:rsidR="004346F3" w:rsidRPr="00536CFD" w:rsidRDefault="004346F3" w:rsidP="00802ABC">
            <w:pPr>
              <w:spacing w:after="0"/>
              <w:jc w:val="center"/>
              <w:rPr>
                <w:lang w:val="zh-CN"/>
              </w:rPr>
            </w:pPr>
            <w:r w:rsidRPr="00536CFD">
              <w:rPr>
                <w:color w:val="000000"/>
              </w:rPr>
              <w:t>0.95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5E4BEF68" w14:textId="77777777" w:rsidR="004346F3" w:rsidRPr="00536CFD" w:rsidRDefault="004346F3" w:rsidP="00802ABC">
            <w:pPr>
              <w:spacing w:after="0"/>
              <w:jc w:val="center"/>
              <w:rPr>
                <w:lang w:val="zh-CN"/>
              </w:rPr>
            </w:pPr>
            <w:r w:rsidRPr="00536CFD">
              <w:rPr>
                <w:color w:val="000000"/>
              </w:rPr>
              <w:t>0.96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22C616B" w14:textId="77777777" w:rsidR="004346F3" w:rsidRPr="00536CFD" w:rsidRDefault="004346F3" w:rsidP="00802ABC">
            <w:pPr>
              <w:spacing w:after="0"/>
              <w:jc w:val="center"/>
              <w:rPr>
                <w:lang w:val="zh-CN"/>
              </w:rPr>
            </w:pPr>
            <w:r w:rsidRPr="00536CFD">
              <w:rPr>
                <w:color w:val="000000"/>
              </w:rPr>
              <w:t>1.00</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BA20A48" w14:textId="77777777" w:rsidR="004346F3" w:rsidRPr="00536CFD" w:rsidRDefault="004346F3" w:rsidP="00802ABC">
            <w:pPr>
              <w:spacing w:after="0"/>
              <w:jc w:val="center"/>
              <w:rPr>
                <w:lang w:val="zh-CN"/>
              </w:rPr>
            </w:pPr>
            <w:r w:rsidRPr="00536CFD">
              <w:rPr>
                <w:color w:val="000000"/>
              </w:rPr>
              <w:t>0.99</w:t>
            </w:r>
          </w:p>
        </w:tc>
      </w:tr>
      <w:tr w:rsidR="004346F3" w:rsidRPr="00536CFD" w14:paraId="78EEB319"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DA8840B"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04DE702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2" w:type="dxa"/>
            <w:tcBorders>
              <w:top w:val="single" w:sz="4" w:space="0" w:color="auto"/>
              <w:left w:val="nil"/>
              <w:bottom w:val="single" w:sz="4" w:space="0" w:color="auto"/>
              <w:right w:val="single" w:sz="4" w:space="0" w:color="auto"/>
            </w:tcBorders>
            <w:shd w:val="clear" w:color="auto" w:fill="auto"/>
            <w:vAlign w:val="bottom"/>
          </w:tcPr>
          <w:p w14:paraId="6481D0C0" w14:textId="77777777" w:rsidR="004346F3" w:rsidRPr="00536CFD" w:rsidRDefault="004346F3" w:rsidP="00802ABC">
            <w:pPr>
              <w:spacing w:after="0"/>
              <w:jc w:val="center"/>
              <w:rPr>
                <w:lang w:val="zh-CN"/>
              </w:rPr>
            </w:pPr>
            <w:r w:rsidRPr="00536CFD">
              <w:rPr>
                <w:color w:val="000000"/>
              </w:rPr>
              <w:t>0.24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3323941" w14:textId="77777777" w:rsidR="004346F3" w:rsidRPr="00536CFD" w:rsidRDefault="004346F3" w:rsidP="00802ABC">
            <w:pPr>
              <w:spacing w:after="0"/>
              <w:jc w:val="center"/>
              <w:rPr>
                <w:lang w:val="zh-CN"/>
              </w:rPr>
            </w:pPr>
            <w:r w:rsidRPr="00536CFD">
              <w:rPr>
                <w:color w:val="000000"/>
              </w:rPr>
              <w:t>0.20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8CB54D9" w14:textId="77777777" w:rsidR="004346F3" w:rsidRPr="00536CFD" w:rsidRDefault="004346F3" w:rsidP="00802ABC">
            <w:pPr>
              <w:spacing w:after="0"/>
              <w:jc w:val="center"/>
              <w:rPr>
                <w:lang w:val="zh-CN"/>
              </w:rPr>
            </w:pPr>
            <w:r w:rsidRPr="00536CFD">
              <w:rPr>
                <w:color w:val="000000"/>
              </w:rPr>
              <w:t>0.10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B82C154" w14:textId="77777777" w:rsidR="004346F3" w:rsidRPr="00536CFD" w:rsidRDefault="004346F3" w:rsidP="00802ABC">
            <w:pPr>
              <w:spacing w:after="0"/>
              <w:jc w:val="center"/>
              <w:rPr>
                <w:lang w:val="zh-CN"/>
              </w:rPr>
            </w:pPr>
            <w:r w:rsidRPr="00536CFD">
              <w:rPr>
                <w:color w:val="000000"/>
              </w:rPr>
              <w:t>0.07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23F8BB4" w14:textId="77777777" w:rsidR="004346F3" w:rsidRPr="00536CFD" w:rsidRDefault="004346F3" w:rsidP="00802ABC">
            <w:pPr>
              <w:spacing w:after="0"/>
              <w:jc w:val="center"/>
              <w:rPr>
                <w:lang w:val="zh-CN"/>
              </w:rPr>
            </w:pPr>
            <w:r w:rsidRPr="00536CFD">
              <w:rPr>
                <w:color w:val="000000"/>
              </w:rPr>
              <w:t>0.43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ADF7094" w14:textId="77777777" w:rsidR="004346F3" w:rsidRPr="00536CFD" w:rsidRDefault="004346F3" w:rsidP="00802ABC">
            <w:pPr>
              <w:spacing w:after="0"/>
              <w:jc w:val="center"/>
              <w:rPr>
                <w:lang w:val="zh-CN"/>
              </w:rPr>
            </w:pPr>
            <w:r w:rsidRPr="00536CFD">
              <w:rPr>
                <w:color w:val="000000"/>
              </w:rPr>
              <w:t>0.34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8EE9EBB" w14:textId="77777777" w:rsidR="004346F3" w:rsidRPr="00536CFD" w:rsidRDefault="004346F3" w:rsidP="00802ABC">
            <w:pPr>
              <w:spacing w:after="0"/>
              <w:jc w:val="center"/>
              <w:rPr>
                <w:lang w:val="zh-CN"/>
              </w:rPr>
            </w:pPr>
            <w:r w:rsidRPr="00536CFD">
              <w:rPr>
                <w:color w:val="000000"/>
              </w:rPr>
              <w:t>0.17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54C31EB" w14:textId="77777777" w:rsidR="004346F3" w:rsidRPr="00536CFD" w:rsidRDefault="004346F3" w:rsidP="00802ABC">
            <w:pPr>
              <w:spacing w:after="0"/>
              <w:jc w:val="center"/>
              <w:rPr>
                <w:lang w:val="zh-CN"/>
              </w:rPr>
            </w:pPr>
            <w:r w:rsidRPr="00536CFD">
              <w:rPr>
                <w:color w:val="000000"/>
              </w:rPr>
              <w:t>0.09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723D0DF" w14:textId="77777777" w:rsidR="004346F3" w:rsidRPr="00536CFD" w:rsidRDefault="004346F3" w:rsidP="00802ABC">
            <w:pPr>
              <w:spacing w:after="0"/>
              <w:jc w:val="center"/>
              <w:rPr>
                <w:lang w:val="zh-CN"/>
              </w:rPr>
            </w:pPr>
            <w:r w:rsidRPr="00536CFD">
              <w:rPr>
                <w:color w:val="000000"/>
              </w:rPr>
              <w:t>0.65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4410E64F" w14:textId="77777777" w:rsidR="004346F3" w:rsidRPr="00536CFD" w:rsidRDefault="004346F3" w:rsidP="00802ABC">
            <w:pPr>
              <w:spacing w:after="0"/>
              <w:jc w:val="center"/>
              <w:rPr>
                <w:lang w:val="zh-CN"/>
              </w:rPr>
            </w:pPr>
            <w:r w:rsidRPr="00536CFD">
              <w:rPr>
                <w:color w:val="000000"/>
              </w:rPr>
              <w:t>0.57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76042BC" w14:textId="77777777" w:rsidR="004346F3" w:rsidRPr="00536CFD" w:rsidRDefault="004346F3" w:rsidP="00802ABC">
            <w:pPr>
              <w:spacing w:after="0"/>
              <w:jc w:val="center"/>
              <w:rPr>
                <w:lang w:val="zh-CN"/>
              </w:rPr>
            </w:pPr>
            <w:r w:rsidRPr="00536CFD">
              <w:rPr>
                <w:color w:val="000000"/>
              </w:rPr>
              <w:t>0.31</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2ECFE91" w14:textId="77777777" w:rsidR="004346F3" w:rsidRPr="00536CFD" w:rsidRDefault="004346F3" w:rsidP="00802ABC">
            <w:pPr>
              <w:spacing w:after="0"/>
              <w:jc w:val="center"/>
              <w:rPr>
                <w:lang w:val="zh-CN"/>
              </w:rPr>
            </w:pPr>
            <w:r w:rsidRPr="00536CFD">
              <w:rPr>
                <w:color w:val="000000"/>
              </w:rPr>
              <w:t>0.12</w:t>
            </w:r>
          </w:p>
        </w:tc>
      </w:tr>
      <w:tr w:rsidR="004346F3" w:rsidRPr="00536CFD" w14:paraId="61EF1E18"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859CFA6"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28800007" w14:textId="77777777" w:rsidR="004346F3" w:rsidRPr="00536CFD" w:rsidRDefault="004346F3" w:rsidP="00802ABC">
            <w:pPr>
              <w:spacing w:after="0"/>
              <w:jc w:val="center"/>
            </w:pPr>
            <w:r w:rsidRPr="00536CFD">
              <w:rPr>
                <w:rFonts w:ascii="Cambria Math" w:hAnsi="Cambria Math" w:cs="Cambria Math"/>
              </w:rPr>
              <w:t>𝜆</w:t>
            </w:r>
          </w:p>
        </w:tc>
        <w:tc>
          <w:tcPr>
            <w:tcW w:w="2514" w:type="dxa"/>
            <w:gridSpan w:val="7"/>
            <w:tcBorders>
              <w:top w:val="single" w:sz="4" w:space="0" w:color="auto"/>
              <w:left w:val="nil"/>
              <w:bottom w:val="single" w:sz="4" w:space="0" w:color="auto"/>
              <w:right w:val="single" w:sz="4" w:space="0" w:color="auto"/>
            </w:tcBorders>
            <w:shd w:val="clear" w:color="auto" w:fill="auto"/>
          </w:tcPr>
          <w:p w14:paraId="518DD599" w14:textId="77777777" w:rsidR="004346F3" w:rsidRPr="00536CFD" w:rsidRDefault="004346F3" w:rsidP="00802ABC">
            <w:pPr>
              <w:spacing w:after="0"/>
              <w:jc w:val="center"/>
              <w:rPr>
                <w:lang w:val="zh-CN"/>
              </w:rPr>
            </w:pPr>
            <w:r w:rsidRPr="00536CFD">
              <w:rPr>
                <w:lang w:val="zh-CN"/>
              </w:rPr>
              <w:t>1.2 Mbps</w:t>
            </w:r>
          </w:p>
        </w:tc>
        <w:tc>
          <w:tcPr>
            <w:tcW w:w="2860" w:type="dxa"/>
            <w:gridSpan w:val="8"/>
            <w:tcBorders>
              <w:top w:val="single" w:sz="4" w:space="0" w:color="auto"/>
              <w:left w:val="nil"/>
              <w:bottom w:val="single" w:sz="4" w:space="0" w:color="auto"/>
              <w:right w:val="single" w:sz="4" w:space="0" w:color="auto"/>
            </w:tcBorders>
            <w:shd w:val="clear" w:color="auto" w:fill="auto"/>
          </w:tcPr>
          <w:p w14:paraId="49482C3E" w14:textId="77777777" w:rsidR="004346F3" w:rsidRPr="00536CFD" w:rsidRDefault="004346F3" w:rsidP="00802ABC">
            <w:pPr>
              <w:spacing w:after="0"/>
              <w:jc w:val="center"/>
              <w:rPr>
                <w:lang w:val="zh-CN"/>
              </w:rPr>
            </w:pPr>
            <w:r w:rsidRPr="00536CFD">
              <w:rPr>
                <w:lang w:val="zh-CN"/>
              </w:rPr>
              <w:t>1.5Mbps</w:t>
            </w:r>
          </w:p>
        </w:tc>
        <w:tc>
          <w:tcPr>
            <w:tcW w:w="2950" w:type="dxa"/>
            <w:gridSpan w:val="8"/>
            <w:tcBorders>
              <w:top w:val="single" w:sz="4" w:space="0" w:color="auto"/>
              <w:left w:val="nil"/>
              <w:bottom w:val="single" w:sz="4" w:space="0" w:color="auto"/>
              <w:right w:val="single" w:sz="4" w:space="0" w:color="auto"/>
            </w:tcBorders>
            <w:shd w:val="clear" w:color="auto" w:fill="auto"/>
          </w:tcPr>
          <w:p w14:paraId="70D6224F" w14:textId="77777777" w:rsidR="004346F3" w:rsidRPr="00536CFD" w:rsidRDefault="004346F3" w:rsidP="00802ABC">
            <w:pPr>
              <w:spacing w:after="0"/>
              <w:jc w:val="center"/>
              <w:rPr>
                <w:lang w:val="zh-CN"/>
              </w:rPr>
            </w:pPr>
            <w:r w:rsidRPr="00536CFD">
              <w:rPr>
                <w:lang w:val="zh-CN"/>
              </w:rPr>
              <w:t>1.8 Mbps</w:t>
            </w:r>
          </w:p>
        </w:tc>
      </w:tr>
      <w:tr w:rsidR="004346F3" w:rsidRPr="00536CFD" w14:paraId="09F502A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D62600D"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320BAAB1" w14:textId="77777777" w:rsidR="004346F3" w:rsidRPr="00536CFD" w:rsidRDefault="004346F3" w:rsidP="00802ABC">
            <w:pPr>
              <w:spacing w:after="0"/>
              <w:contextualSpacing/>
              <w:rPr>
                <w:lang w:val="en-US" w:bidi="ar"/>
              </w:rPr>
            </w:pPr>
          </w:p>
        </w:tc>
        <w:tc>
          <w:tcPr>
            <w:tcW w:w="8324" w:type="dxa"/>
            <w:gridSpan w:val="23"/>
            <w:tcBorders>
              <w:top w:val="single" w:sz="4" w:space="0" w:color="auto"/>
              <w:left w:val="nil"/>
              <w:bottom w:val="single" w:sz="4" w:space="0" w:color="auto"/>
              <w:right w:val="single" w:sz="4" w:space="0" w:color="auto"/>
            </w:tcBorders>
            <w:shd w:val="clear" w:color="auto" w:fill="auto"/>
          </w:tcPr>
          <w:p w14:paraId="04A00539" w14:textId="77777777" w:rsidR="004346F3" w:rsidRPr="00536CFD" w:rsidRDefault="004346F3" w:rsidP="00802ABC">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enabled, ED/PD threshold -62/-82 dBm, A-MPDU size is chosen to get MPDU duration of 1ms, Wi-Fi Guard Interval long,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Switching points no longer than than 16 µs every 2ms for CSI feedback, UL grant update.</w:t>
            </w:r>
          </w:p>
        </w:tc>
      </w:tr>
      <w:tr w:rsidR="004346F3" w:rsidRPr="00536CFD" w14:paraId="65BEA52E" w14:textId="77777777" w:rsidTr="00802ABC">
        <w:trPr>
          <w:cantSplit/>
          <w:trHeight w:val="20"/>
        </w:trPr>
        <w:tc>
          <w:tcPr>
            <w:tcW w:w="288" w:type="dxa"/>
            <w:vMerge w:val="restart"/>
            <w:tcBorders>
              <w:top w:val="nil"/>
              <w:left w:val="single" w:sz="4" w:space="0" w:color="auto"/>
              <w:bottom w:val="single" w:sz="4" w:space="0" w:color="auto"/>
              <w:right w:val="single" w:sz="4" w:space="0" w:color="auto"/>
            </w:tcBorders>
            <w:shd w:val="clear" w:color="auto" w:fill="auto"/>
            <w:textDirection w:val="btLr"/>
          </w:tcPr>
          <w:p w14:paraId="17744559"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R1-1813409 / Source 7</w:t>
            </w:r>
          </w:p>
        </w:tc>
        <w:tc>
          <w:tcPr>
            <w:tcW w:w="612" w:type="dxa"/>
            <w:gridSpan w:val="2"/>
            <w:vMerge w:val="restart"/>
            <w:tcBorders>
              <w:top w:val="nil"/>
              <w:left w:val="nil"/>
              <w:bottom w:val="single" w:sz="4" w:space="0" w:color="auto"/>
              <w:right w:val="single" w:sz="4" w:space="0" w:color="auto"/>
            </w:tcBorders>
            <w:shd w:val="clear" w:color="auto" w:fill="auto"/>
          </w:tcPr>
          <w:p w14:paraId="62951809"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0CC7EDA9"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bottom"/>
          </w:tcPr>
          <w:p w14:paraId="6CF51E72" w14:textId="77777777" w:rsidR="004346F3" w:rsidRPr="00536CFD" w:rsidRDefault="004346F3" w:rsidP="00802ABC">
            <w:pPr>
              <w:pageBreakBefore/>
              <w:spacing w:after="0"/>
              <w:jc w:val="center"/>
              <w:rPr>
                <w:lang w:val="zh-CN"/>
              </w:rPr>
            </w:pPr>
            <w:r w:rsidRPr="00536CFD">
              <w:rPr>
                <w:lang w:val="zh-CN"/>
              </w:rPr>
              <w:t>16.06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29DE225" w14:textId="77777777" w:rsidR="004346F3" w:rsidRPr="00536CFD" w:rsidRDefault="004346F3" w:rsidP="00802ABC">
            <w:pPr>
              <w:pageBreakBefore/>
              <w:spacing w:after="0"/>
              <w:jc w:val="center"/>
              <w:rPr>
                <w:lang w:val="zh-CN"/>
              </w:rPr>
            </w:pPr>
            <w:r w:rsidRPr="00536CFD">
              <w:rPr>
                <w:lang w:val="zh-CN"/>
              </w:rPr>
              <w:t>19.1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DF95A1E" w14:textId="77777777" w:rsidR="004346F3" w:rsidRPr="00536CFD" w:rsidRDefault="004346F3" w:rsidP="00802ABC">
            <w:pPr>
              <w:pageBreakBefore/>
              <w:spacing w:after="0"/>
              <w:jc w:val="center"/>
              <w:rPr>
                <w:lang w:val="zh-CN"/>
              </w:rPr>
            </w:pPr>
            <w:r w:rsidRPr="00536CFD">
              <w:rPr>
                <w:lang w:val="zh-CN"/>
              </w:rPr>
              <w:t>49.88</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202FEF9" w14:textId="77777777" w:rsidR="004346F3" w:rsidRPr="00536CFD" w:rsidRDefault="004346F3" w:rsidP="00802ABC">
            <w:pPr>
              <w:pageBreakBefore/>
              <w:spacing w:after="0"/>
              <w:jc w:val="center"/>
              <w:rPr>
                <w:lang w:val="zh-CN"/>
              </w:rPr>
            </w:pPr>
            <w:r w:rsidRPr="00536CFD">
              <w:rPr>
                <w:lang w:val="zh-CN"/>
              </w:rPr>
              <w:t>59.68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7FC7AA2" w14:textId="77777777" w:rsidR="004346F3" w:rsidRPr="00536CFD" w:rsidRDefault="004346F3" w:rsidP="00802ABC">
            <w:pPr>
              <w:pageBreakBefore/>
              <w:spacing w:after="0"/>
              <w:jc w:val="center"/>
              <w:rPr>
                <w:lang w:val="zh-CN"/>
              </w:rPr>
            </w:pPr>
            <w:r w:rsidRPr="00536CFD">
              <w:rPr>
                <w:lang w:val="zh-CN"/>
              </w:rPr>
              <w:t>9.41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BF99383" w14:textId="77777777" w:rsidR="004346F3" w:rsidRPr="00536CFD" w:rsidRDefault="004346F3" w:rsidP="00802ABC">
            <w:pPr>
              <w:pageBreakBefore/>
              <w:spacing w:after="0"/>
              <w:jc w:val="center"/>
              <w:rPr>
                <w:lang w:val="zh-CN"/>
              </w:rPr>
            </w:pPr>
            <w:r w:rsidRPr="00536CFD">
              <w:rPr>
                <w:lang w:val="zh-CN"/>
              </w:rPr>
              <w:t>12.27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09CC968" w14:textId="77777777" w:rsidR="004346F3" w:rsidRPr="00536CFD" w:rsidRDefault="004346F3" w:rsidP="00802ABC">
            <w:pPr>
              <w:pageBreakBefore/>
              <w:spacing w:after="0"/>
              <w:jc w:val="center"/>
              <w:rPr>
                <w:lang w:val="zh-CN"/>
              </w:rPr>
            </w:pPr>
            <w:r w:rsidRPr="00536CFD">
              <w:rPr>
                <w:lang w:val="zh-CN"/>
              </w:rPr>
              <w:t>35.44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9E752D4" w14:textId="77777777" w:rsidR="004346F3" w:rsidRPr="00536CFD" w:rsidRDefault="004346F3" w:rsidP="00802ABC">
            <w:pPr>
              <w:pageBreakBefore/>
              <w:spacing w:after="0"/>
              <w:jc w:val="center"/>
              <w:rPr>
                <w:lang w:val="zh-CN"/>
              </w:rPr>
            </w:pPr>
            <w:r w:rsidRPr="00536CFD">
              <w:rPr>
                <w:lang w:val="zh-CN"/>
              </w:rPr>
              <w:t>55.47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A6163C2" w14:textId="77777777" w:rsidR="004346F3" w:rsidRPr="00536CFD" w:rsidRDefault="004346F3" w:rsidP="00802ABC">
            <w:pPr>
              <w:pageBreakBefore/>
              <w:spacing w:after="0"/>
              <w:jc w:val="center"/>
              <w:rPr>
                <w:lang w:val="zh-CN"/>
              </w:rPr>
            </w:pPr>
            <w:r w:rsidRPr="00536CFD">
              <w:rPr>
                <w:lang w:val="zh-CN"/>
              </w:rPr>
              <w:t>0.52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053CF407" w14:textId="77777777" w:rsidR="004346F3" w:rsidRPr="00536CFD" w:rsidRDefault="004346F3" w:rsidP="00802ABC">
            <w:pPr>
              <w:pageBreakBefore/>
              <w:spacing w:after="0"/>
              <w:jc w:val="center"/>
              <w:rPr>
                <w:lang w:val="zh-CN"/>
              </w:rPr>
            </w:pPr>
            <w:r w:rsidRPr="00536CFD">
              <w:rPr>
                <w:lang w:val="zh-CN"/>
              </w:rPr>
              <w:t>1.28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E6A6F69" w14:textId="77777777" w:rsidR="004346F3" w:rsidRPr="00536CFD" w:rsidRDefault="004346F3" w:rsidP="00802ABC">
            <w:pPr>
              <w:pageBreakBefore/>
              <w:spacing w:after="0"/>
              <w:jc w:val="center"/>
              <w:rPr>
                <w:lang w:val="zh-CN"/>
              </w:rPr>
            </w:pPr>
            <w:r w:rsidRPr="00536CFD">
              <w:rPr>
                <w:lang w:val="zh-CN"/>
              </w:rPr>
              <w:t>23.03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440D1D5" w14:textId="77777777" w:rsidR="004346F3" w:rsidRPr="00536CFD" w:rsidRDefault="004346F3" w:rsidP="00802ABC">
            <w:pPr>
              <w:pageBreakBefore/>
              <w:spacing w:after="0"/>
              <w:jc w:val="center"/>
              <w:rPr>
                <w:lang w:val="zh-CN"/>
              </w:rPr>
            </w:pPr>
            <w:r w:rsidRPr="00536CFD">
              <w:rPr>
                <w:lang w:val="zh-CN"/>
              </w:rPr>
              <w:t>50.53</w:t>
            </w:r>
          </w:p>
        </w:tc>
      </w:tr>
      <w:tr w:rsidR="004346F3" w:rsidRPr="00536CFD" w14:paraId="4BA25443"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DD3B684"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E0DD9DF"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46BF36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bottom"/>
          </w:tcPr>
          <w:p w14:paraId="0C65F437" w14:textId="77777777" w:rsidR="004346F3" w:rsidRPr="00536CFD" w:rsidRDefault="004346F3" w:rsidP="00802ABC">
            <w:pPr>
              <w:spacing w:after="0"/>
              <w:jc w:val="center"/>
              <w:rPr>
                <w:lang w:val="zh-CN"/>
              </w:rPr>
            </w:pPr>
            <w:r w:rsidRPr="00536CFD">
              <w:rPr>
                <w:lang w:val="zh-CN"/>
              </w:rPr>
              <w:t>54.85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E569921" w14:textId="77777777" w:rsidR="004346F3" w:rsidRPr="00536CFD" w:rsidRDefault="004346F3" w:rsidP="00802ABC">
            <w:pPr>
              <w:spacing w:after="0"/>
              <w:jc w:val="center"/>
              <w:rPr>
                <w:lang w:val="zh-CN"/>
              </w:rPr>
            </w:pPr>
            <w:r w:rsidRPr="00536CFD">
              <w:rPr>
                <w:lang w:val="zh-CN"/>
              </w:rPr>
              <w:t>61.16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B3D54D7" w14:textId="77777777" w:rsidR="004346F3" w:rsidRPr="00536CFD" w:rsidRDefault="004346F3" w:rsidP="00802ABC">
            <w:pPr>
              <w:spacing w:after="0"/>
              <w:jc w:val="center"/>
              <w:rPr>
                <w:lang w:val="zh-CN"/>
              </w:rPr>
            </w:pPr>
            <w:r w:rsidRPr="00536CFD">
              <w:rPr>
                <w:lang w:val="zh-CN"/>
              </w:rPr>
              <w:t>113.38</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AEC8B62" w14:textId="77777777" w:rsidR="004346F3" w:rsidRPr="00536CFD" w:rsidRDefault="004346F3" w:rsidP="00802ABC">
            <w:pPr>
              <w:spacing w:after="0"/>
              <w:jc w:val="center"/>
              <w:rPr>
                <w:lang w:val="zh-CN"/>
              </w:rPr>
            </w:pPr>
            <w:r w:rsidRPr="00536CFD">
              <w:rPr>
                <w:lang w:val="zh-CN"/>
              </w:rPr>
              <w:t>129.12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FABE8D1" w14:textId="77777777" w:rsidR="004346F3" w:rsidRPr="00536CFD" w:rsidRDefault="004346F3" w:rsidP="00802ABC">
            <w:pPr>
              <w:spacing w:after="0"/>
              <w:jc w:val="center"/>
              <w:rPr>
                <w:lang w:val="zh-CN"/>
              </w:rPr>
            </w:pPr>
            <w:r w:rsidRPr="00536CFD">
              <w:rPr>
                <w:lang w:val="zh-CN"/>
              </w:rPr>
              <w:t>41.38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10F9F4D" w14:textId="77777777" w:rsidR="004346F3" w:rsidRPr="00536CFD" w:rsidRDefault="004346F3" w:rsidP="00802ABC">
            <w:pPr>
              <w:spacing w:after="0"/>
              <w:jc w:val="center"/>
              <w:rPr>
                <w:lang w:val="zh-CN"/>
              </w:rPr>
            </w:pPr>
            <w:r w:rsidRPr="00536CFD">
              <w:rPr>
                <w:lang w:val="zh-CN"/>
              </w:rPr>
              <w:t>45.95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F5F0CBC" w14:textId="77777777" w:rsidR="004346F3" w:rsidRPr="00536CFD" w:rsidRDefault="004346F3" w:rsidP="00802ABC">
            <w:pPr>
              <w:spacing w:after="0"/>
              <w:jc w:val="center"/>
              <w:rPr>
                <w:lang w:val="zh-CN"/>
              </w:rPr>
            </w:pPr>
            <w:r w:rsidRPr="00536CFD">
              <w:rPr>
                <w:lang w:val="zh-CN"/>
              </w:rPr>
              <w:t>93.74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C78783F" w14:textId="77777777" w:rsidR="004346F3" w:rsidRPr="00536CFD" w:rsidRDefault="004346F3" w:rsidP="00802ABC">
            <w:pPr>
              <w:spacing w:after="0"/>
              <w:jc w:val="center"/>
              <w:rPr>
                <w:lang w:val="zh-CN"/>
              </w:rPr>
            </w:pPr>
            <w:r w:rsidRPr="00536CFD">
              <w:rPr>
                <w:lang w:val="zh-CN"/>
              </w:rPr>
              <w:t>123.69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4A9AFB4" w14:textId="77777777" w:rsidR="004346F3" w:rsidRPr="00536CFD" w:rsidRDefault="004346F3" w:rsidP="00802ABC">
            <w:pPr>
              <w:spacing w:after="0"/>
              <w:jc w:val="center"/>
              <w:rPr>
                <w:lang w:val="zh-CN"/>
              </w:rPr>
            </w:pPr>
            <w:r w:rsidRPr="00536CFD">
              <w:rPr>
                <w:lang w:val="zh-CN"/>
              </w:rPr>
              <w:t>31.67</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CC6434F" w14:textId="77777777" w:rsidR="004346F3" w:rsidRPr="00536CFD" w:rsidRDefault="004346F3" w:rsidP="00802ABC">
            <w:pPr>
              <w:spacing w:after="0"/>
              <w:jc w:val="center"/>
              <w:rPr>
                <w:lang w:val="zh-CN"/>
              </w:rPr>
            </w:pPr>
            <w:r w:rsidRPr="00536CFD">
              <w:rPr>
                <w:lang w:val="zh-CN"/>
              </w:rPr>
              <w:t>33.86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D11335F" w14:textId="77777777" w:rsidR="004346F3" w:rsidRPr="00536CFD" w:rsidRDefault="004346F3" w:rsidP="00802ABC">
            <w:pPr>
              <w:spacing w:after="0"/>
              <w:jc w:val="center"/>
              <w:rPr>
                <w:lang w:val="zh-CN"/>
              </w:rPr>
            </w:pPr>
            <w:r w:rsidRPr="00536CFD">
              <w:rPr>
                <w:lang w:val="zh-CN"/>
              </w:rPr>
              <w:t>71.75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7EC9F25" w14:textId="77777777" w:rsidR="004346F3" w:rsidRPr="00536CFD" w:rsidRDefault="004346F3" w:rsidP="00802ABC">
            <w:pPr>
              <w:spacing w:after="0"/>
              <w:jc w:val="center"/>
              <w:rPr>
                <w:lang w:val="zh-CN"/>
              </w:rPr>
            </w:pPr>
            <w:r w:rsidRPr="00536CFD">
              <w:rPr>
                <w:lang w:val="zh-CN"/>
              </w:rPr>
              <w:t>117.47</w:t>
            </w:r>
          </w:p>
        </w:tc>
      </w:tr>
      <w:tr w:rsidR="004346F3" w:rsidRPr="00536CFD" w14:paraId="4B80461B"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D877811"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4115E2F7"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7FB0FFC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bottom"/>
          </w:tcPr>
          <w:p w14:paraId="44529F7C" w14:textId="77777777" w:rsidR="004346F3" w:rsidRPr="00536CFD" w:rsidRDefault="004346F3" w:rsidP="00802ABC">
            <w:pPr>
              <w:spacing w:after="0"/>
              <w:jc w:val="center"/>
              <w:rPr>
                <w:lang w:val="zh-CN"/>
              </w:rPr>
            </w:pPr>
            <w:r w:rsidRPr="00536CFD">
              <w:rPr>
                <w:lang w:val="zh-CN"/>
              </w:rPr>
              <w:t>90.83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0BD387B" w14:textId="77777777" w:rsidR="004346F3" w:rsidRPr="00536CFD" w:rsidRDefault="004346F3" w:rsidP="00802ABC">
            <w:pPr>
              <w:spacing w:after="0"/>
              <w:jc w:val="center"/>
              <w:rPr>
                <w:lang w:val="zh-CN"/>
              </w:rPr>
            </w:pPr>
            <w:r w:rsidRPr="00536CFD">
              <w:rPr>
                <w:lang w:val="zh-CN"/>
              </w:rPr>
              <w:t>94.38</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62C97C1" w14:textId="77777777" w:rsidR="004346F3" w:rsidRPr="00536CFD" w:rsidRDefault="004346F3" w:rsidP="00802ABC">
            <w:pPr>
              <w:spacing w:after="0"/>
              <w:jc w:val="center"/>
              <w:rPr>
                <w:lang w:val="zh-CN"/>
              </w:rPr>
            </w:pPr>
            <w:r w:rsidRPr="00536CFD">
              <w:rPr>
                <w:lang w:val="zh-CN"/>
              </w:rPr>
              <w:t>150.83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7C6B57B" w14:textId="77777777" w:rsidR="004346F3" w:rsidRPr="00536CFD" w:rsidRDefault="004346F3" w:rsidP="00802ABC">
            <w:pPr>
              <w:spacing w:after="0"/>
              <w:jc w:val="center"/>
              <w:rPr>
                <w:lang w:val="zh-CN"/>
              </w:rPr>
            </w:pPr>
            <w:r w:rsidRPr="00536CFD">
              <w:rPr>
                <w:lang w:val="zh-CN"/>
              </w:rPr>
              <w:t>158.81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D2D1EE0" w14:textId="77777777" w:rsidR="004346F3" w:rsidRPr="00536CFD" w:rsidRDefault="004346F3" w:rsidP="00802ABC">
            <w:pPr>
              <w:spacing w:after="0"/>
              <w:jc w:val="center"/>
              <w:rPr>
                <w:lang w:val="zh-CN"/>
              </w:rPr>
            </w:pPr>
            <w:r w:rsidRPr="00536CFD">
              <w:rPr>
                <w:lang w:val="zh-CN"/>
              </w:rPr>
              <w:t>78.41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706667E" w14:textId="77777777" w:rsidR="004346F3" w:rsidRPr="00536CFD" w:rsidRDefault="004346F3" w:rsidP="00802ABC">
            <w:pPr>
              <w:spacing w:after="0"/>
              <w:jc w:val="center"/>
              <w:rPr>
                <w:lang w:val="zh-CN"/>
              </w:rPr>
            </w:pPr>
            <w:r w:rsidRPr="00536CFD">
              <w:rPr>
                <w:lang w:val="zh-CN"/>
              </w:rPr>
              <w:t>86.7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B96D7FF" w14:textId="77777777" w:rsidR="004346F3" w:rsidRPr="00536CFD" w:rsidRDefault="004346F3" w:rsidP="00802ABC">
            <w:pPr>
              <w:spacing w:after="0"/>
              <w:jc w:val="center"/>
              <w:rPr>
                <w:lang w:val="zh-CN"/>
              </w:rPr>
            </w:pPr>
            <w:r w:rsidRPr="00536CFD">
              <w:rPr>
                <w:lang w:val="zh-CN"/>
              </w:rPr>
              <w:t>140.54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4E944E0" w14:textId="77777777" w:rsidR="004346F3" w:rsidRPr="00536CFD" w:rsidRDefault="004346F3" w:rsidP="00802ABC">
            <w:pPr>
              <w:spacing w:after="0"/>
              <w:jc w:val="center"/>
              <w:rPr>
                <w:lang w:val="zh-CN"/>
              </w:rPr>
            </w:pPr>
            <w:r w:rsidRPr="00536CFD">
              <w:rPr>
                <w:lang w:val="zh-CN"/>
              </w:rPr>
              <w:t>155.38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4042D27" w14:textId="77777777" w:rsidR="004346F3" w:rsidRPr="00536CFD" w:rsidRDefault="004346F3" w:rsidP="00802ABC">
            <w:pPr>
              <w:spacing w:after="0"/>
              <w:jc w:val="center"/>
              <w:rPr>
                <w:lang w:val="zh-CN"/>
              </w:rPr>
            </w:pPr>
            <w:r w:rsidRPr="00536CFD">
              <w:rPr>
                <w:lang w:val="zh-CN"/>
              </w:rPr>
              <w:t>69.85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6F44FA98" w14:textId="77777777" w:rsidR="004346F3" w:rsidRPr="00536CFD" w:rsidRDefault="004346F3" w:rsidP="00802ABC">
            <w:pPr>
              <w:spacing w:after="0"/>
              <w:jc w:val="center"/>
              <w:rPr>
                <w:lang w:val="zh-CN"/>
              </w:rPr>
            </w:pPr>
            <w:r w:rsidRPr="00536CFD">
              <w:rPr>
                <w:lang w:val="zh-CN"/>
              </w:rPr>
              <w:t>77.11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44E99B9" w14:textId="77777777" w:rsidR="004346F3" w:rsidRPr="00536CFD" w:rsidRDefault="004346F3" w:rsidP="00802ABC">
            <w:pPr>
              <w:spacing w:after="0"/>
              <w:jc w:val="center"/>
              <w:rPr>
                <w:lang w:val="zh-CN"/>
              </w:rPr>
            </w:pPr>
            <w:r w:rsidRPr="00536CFD">
              <w:rPr>
                <w:lang w:val="zh-CN"/>
              </w:rPr>
              <w:t>128.07</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66C1577" w14:textId="77777777" w:rsidR="004346F3" w:rsidRPr="00536CFD" w:rsidRDefault="004346F3" w:rsidP="00802ABC">
            <w:pPr>
              <w:spacing w:after="0"/>
              <w:jc w:val="center"/>
              <w:rPr>
                <w:lang w:val="zh-CN"/>
              </w:rPr>
            </w:pPr>
            <w:r w:rsidRPr="00536CFD">
              <w:rPr>
                <w:lang w:val="zh-CN"/>
              </w:rPr>
              <w:t>152.05</w:t>
            </w:r>
          </w:p>
        </w:tc>
      </w:tr>
      <w:tr w:rsidR="004346F3" w:rsidRPr="00536CFD" w14:paraId="0858E33D"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30E456A"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589B18D"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E6D30F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bottom"/>
          </w:tcPr>
          <w:p w14:paraId="2DFD0751" w14:textId="77777777" w:rsidR="004346F3" w:rsidRPr="00536CFD" w:rsidRDefault="004346F3" w:rsidP="00802ABC">
            <w:pPr>
              <w:spacing w:after="0"/>
              <w:jc w:val="center"/>
              <w:rPr>
                <w:lang w:val="zh-CN"/>
              </w:rPr>
            </w:pPr>
            <w:r w:rsidRPr="00536CFD">
              <w:rPr>
                <w:lang w:val="zh-CN"/>
              </w:rPr>
              <w:t>53.99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F0E8B1C" w14:textId="77777777" w:rsidR="004346F3" w:rsidRPr="00536CFD" w:rsidRDefault="004346F3" w:rsidP="00802ABC">
            <w:pPr>
              <w:spacing w:after="0"/>
              <w:jc w:val="center"/>
              <w:rPr>
                <w:lang w:val="zh-CN"/>
              </w:rPr>
            </w:pPr>
            <w:r w:rsidRPr="00536CFD">
              <w:rPr>
                <w:lang w:val="zh-CN"/>
              </w:rPr>
              <w:t>59.32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BFBA576" w14:textId="77777777" w:rsidR="004346F3" w:rsidRPr="00536CFD" w:rsidRDefault="004346F3" w:rsidP="00802ABC">
            <w:pPr>
              <w:spacing w:after="0"/>
              <w:jc w:val="center"/>
              <w:rPr>
                <w:lang w:val="zh-CN"/>
              </w:rPr>
            </w:pPr>
            <w:r w:rsidRPr="00536CFD">
              <w:rPr>
                <w:lang w:val="zh-CN"/>
              </w:rPr>
              <w:t>108.96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007761D" w14:textId="77777777" w:rsidR="004346F3" w:rsidRPr="00536CFD" w:rsidRDefault="004346F3" w:rsidP="00802ABC">
            <w:pPr>
              <w:spacing w:after="0"/>
              <w:jc w:val="center"/>
              <w:rPr>
                <w:lang w:val="zh-CN"/>
              </w:rPr>
            </w:pPr>
            <w:r w:rsidRPr="00536CFD">
              <w:rPr>
                <w:lang w:val="zh-CN"/>
              </w:rPr>
              <w:t>122.14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94AECA3" w14:textId="77777777" w:rsidR="004346F3" w:rsidRPr="00536CFD" w:rsidRDefault="004346F3" w:rsidP="00802ABC">
            <w:pPr>
              <w:spacing w:after="0"/>
              <w:jc w:val="center"/>
              <w:rPr>
                <w:lang w:val="zh-CN"/>
              </w:rPr>
            </w:pPr>
            <w:r w:rsidRPr="00536CFD">
              <w:rPr>
                <w:lang w:val="zh-CN"/>
              </w:rPr>
              <w:t>42.24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A64E23D" w14:textId="77777777" w:rsidR="004346F3" w:rsidRPr="00536CFD" w:rsidRDefault="004346F3" w:rsidP="00802ABC">
            <w:pPr>
              <w:spacing w:after="0"/>
              <w:jc w:val="center"/>
              <w:rPr>
                <w:lang w:val="zh-CN"/>
              </w:rPr>
            </w:pPr>
            <w:r w:rsidRPr="00536CFD">
              <w:rPr>
                <w:lang w:val="zh-CN"/>
              </w:rPr>
              <w:t>47.7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B47FA67" w14:textId="77777777" w:rsidR="004346F3" w:rsidRPr="00536CFD" w:rsidRDefault="004346F3" w:rsidP="00802ABC">
            <w:pPr>
              <w:spacing w:after="0"/>
              <w:jc w:val="center"/>
              <w:rPr>
                <w:lang w:val="zh-CN"/>
              </w:rPr>
            </w:pPr>
            <w:r w:rsidRPr="00536CFD">
              <w:rPr>
                <w:lang w:val="zh-CN"/>
              </w:rPr>
              <w:t>92.09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35E1CC2" w14:textId="77777777" w:rsidR="004346F3" w:rsidRPr="00536CFD" w:rsidRDefault="004346F3" w:rsidP="00802ABC">
            <w:pPr>
              <w:spacing w:after="0"/>
              <w:jc w:val="center"/>
              <w:rPr>
                <w:lang w:val="zh-CN"/>
              </w:rPr>
            </w:pPr>
            <w:r w:rsidRPr="00536CFD">
              <w:rPr>
                <w:lang w:val="zh-CN"/>
              </w:rPr>
              <w:t>116.97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C820210" w14:textId="77777777" w:rsidR="004346F3" w:rsidRPr="00536CFD" w:rsidRDefault="004346F3" w:rsidP="00802ABC">
            <w:pPr>
              <w:spacing w:after="0"/>
              <w:jc w:val="center"/>
              <w:rPr>
                <w:lang w:val="zh-CN"/>
              </w:rPr>
            </w:pPr>
            <w:r w:rsidRPr="00536CFD">
              <w:rPr>
                <w:lang w:val="zh-CN"/>
              </w:rPr>
              <w:t>32.62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3295F382" w14:textId="77777777" w:rsidR="004346F3" w:rsidRPr="00536CFD" w:rsidRDefault="004346F3" w:rsidP="00802ABC">
            <w:pPr>
              <w:spacing w:after="0"/>
              <w:jc w:val="center"/>
              <w:rPr>
                <w:lang w:val="zh-CN"/>
              </w:rPr>
            </w:pPr>
            <w:r w:rsidRPr="00536CFD">
              <w:rPr>
                <w:lang w:val="zh-CN"/>
              </w:rPr>
              <w:t>35.58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DAB97F2" w14:textId="77777777" w:rsidR="004346F3" w:rsidRPr="00536CFD" w:rsidRDefault="004346F3" w:rsidP="00802ABC">
            <w:pPr>
              <w:spacing w:after="0"/>
              <w:jc w:val="center"/>
              <w:rPr>
                <w:lang w:val="zh-CN"/>
              </w:rPr>
            </w:pPr>
            <w:r w:rsidRPr="00536CFD">
              <w:rPr>
                <w:lang w:val="zh-CN"/>
              </w:rPr>
              <w:t>73.15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AF0F0F5" w14:textId="77777777" w:rsidR="004346F3" w:rsidRPr="00536CFD" w:rsidRDefault="004346F3" w:rsidP="00802ABC">
            <w:pPr>
              <w:spacing w:after="0"/>
              <w:jc w:val="center"/>
              <w:rPr>
                <w:lang w:val="zh-CN"/>
              </w:rPr>
            </w:pPr>
            <w:r w:rsidRPr="00536CFD">
              <w:rPr>
                <w:lang w:val="zh-CN"/>
              </w:rPr>
              <w:t>111.64</w:t>
            </w:r>
          </w:p>
        </w:tc>
      </w:tr>
      <w:tr w:rsidR="004346F3" w:rsidRPr="00536CFD" w14:paraId="336D77F7"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51254EE"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3B510A06"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2EFA60A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bottom"/>
          </w:tcPr>
          <w:p w14:paraId="565B6DD1" w14:textId="77777777" w:rsidR="004346F3" w:rsidRPr="00536CFD" w:rsidRDefault="004346F3" w:rsidP="00802ABC">
            <w:pPr>
              <w:spacing w:after="0"/>
              <w:jc w:val="center"/>
              <w:rPr>
                <w:lang w:val="zh-CN"/>
              </w:rPr>
            </w:pPr>
            <w:r w:rsidRPr="00536CFD">
              <w:rPr>
                <w:lang w:val="zh-CN"/>
              </w:rPr>
              <w:t>0.034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C90C1C5" w14:textId="77777777" w:rsidR="004346F3" w:rsidRPr="00536CFD" w:rsidRDefault="004346F3" w:rsidP="00802ABC">
            <w:pPr>
              <w:spacing w:after="0"/>
              <w:jc w:val="center"/>
              <w:rPr>
                <w:lang w:val="zh-CN"/>
              </w:rPr>
            </w:pPr>
            <w:r w:rsidRPr="00536CFD">
              <w:rPr>
                <w:lang w:val="zh-CN"/>
              </w:rPr>
              <w:t>0.034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8666A0D" w14:textId="77777777" w:rsidR="004346F3" w:rsidRPr="00536CFD" w:rsidRDefault="004346F3" w:rsidP="00802ABC">
            <w:pPr>
              <w:spacing w:after="0"/>
              <w:jc w:val="center"/>
              <w:rPr>
                <w:lang w:val="zh-CN"/>
              </w:rPr>
            </w:pPr>
            <w:r w:rsidRPr="00536CFD">
              <w:rPr>
                <w:lang w:val="zh-CN"/>
              </w:rPr>
              <w:t>0.02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BFF3322" w14:textId="77777777" w:rsidR="004346F3" w:rsidRPr="00536CFD" w:rsidRDefault="004346F3" w:rsidP="00802ABC">
            <w:pPr>
              <w:spacing w:after="0"/>
              <w:jc w:val="center"/>
              <w:rPr>
                <w:lang w:val="zh-CN"/>
              </w:rPr>
            </w:pPr>
            <w:r w:rsidRPr="00536CFD">
              <w:rPr>
                <w:lang w:val="zh-CN"/>
              </w:rPr>
              <w:t>0.02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859AB52" w14:textId="77777777" w:rsidR="004346F3" w:rsidRPr="00536CFD" w:rsidRDefault="004346F3" w:rsidP="00802ABC">
            <w:pPr>
              <w:spacing w:after="0"/>
              <w:jc w:val="center"/>
              <w:rPr>
                <w:lang w:val="zh-CN"/>
              </w:rPr>
            </w:pPr>
            <w:r w:rsidRPr="00536CFD">
              <w:rPr>
                <w:lang w:val="zh-CN"/>
              </w:rPr>
              <w:t>0.036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30E27F3" w14:textId="77777777" w:rsidR="004346F3" w:rsidRPr="00536CFD" w:rsidRDefault="004346F3" w:rsidP="00802ABC">
            <w:pPr>
              <w:spacing w:after="0"/>
              <w:jc w:val="center"/>
              <w:rPr>
                <w:lang w:val="zh-CN"/>
              </w:rPr>
            </w:pPr>
            <w:r w:rsidRPr="00536CFD">
              <w:rPr>
                <w:lang w:val="zh-CN"/>
              </w:rPr>
              <w:t>0.035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11F9A34" w14:textId="77777777" w:rsidR="004346F3" w:rsidRPr="00536CFD" w:rsidRDefault="004346F3" w:rsidP="00802ABC">
            <w:pPr>
              <w:spacing w:after="0"/>
              <w:jc w:val="center"/>
              <w:rPr>
                <w:lang w:val="zh-CN"/>
              </w:rPr>
            </w:pPr>
            <w:r w:rsidRPr="00536CFD">
              <w:rPr>
                <w:lang w:val="zh-CN"/>
              </w:rPr>
              <w:t>0.021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46B795C" w14:textId="77777777" w:rsidR="004346F3" w:rsidRPr="00536CFD" w:rsidRDefault="004346F3" w:rsidP="00802ABC">
            <w:pPr>
              <w:spacing w:after="0"/>
              <w:jc w:val="center"/>
              <w:rPr>
                <w:lang w:val="zh-CN"/>
              </w:rPr>
            </w:pPr>
            <w:r w:rsidRPr="00536CFD">
              <w:rPr>
                <w:lang w:val="zh-CN"/>
              </w:rPr>
              <w:t>0.02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A1B884E" w14:textId="77777777" w:rsidR="004346F3" w:rsidRPr="00536CFD" w:rsidRDefault="004346F3" w:rsidP="00802ABC">
            <w:pPr>
              <w:spacing w:after="0"/>
              <w:jc w:val="center"/>
              <w:rPr>
                <w:lang w:val="zh-CN"/>
              </w:rPr>
            </w:pPr>
            <w:r w:rsidRPr="00536CFD">
              <w:rPr>
                <w:lang w:val="zh-CN"/>
              </w:rPr>
              <w:t>0.04</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D48DB10" w14:textId="77777777" w:rsidR="004346F3" w:rsidRPr="00536CFD" w:rsidRDefault="004346F3" w:rsidP="00802ABC">
            <w:pPr>
              <w:spacing w:after="0"/>
              <w:jc w:val="center"/>
              <w:rPr>
                <w:lang w:val="zh-CN"/>
              </w:rPr>
            </w:pPr>
            <w:r w:rsidRPr="00536CFD">
              <w:rPr>
                <w:lang w:val="zh-CN"/>
              </w:rPr>
              <w:t>0.038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F08B1EA" w14:textId="77777777" w:rsidR="004346F3" w:rsidRPr="00536CFD" w:rsidRDefault="004346F3" w:rsidP="00802ABC">
            <w:pPr>
              <w:spacing w:after="0"/>
              <w:jc w:val="center"/>
              <w:rPr>
                <w:lang w:val="zh-CN"/>
              </w:rPr>
            </w:pPr>
            <w:r w:rsidRPr="00536CFD">
              <w:rPr>
                <w:lang w:val="zh-CN"/>
              </w:rPr>
              <w:t>0.024</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6B9E4FEF" w14:textId="77777777" w:rsidR="004346F3" w:rsidRPr="00536CFD" w:rsidRDefault="004346F3" w:rsidP="00802ABC">
            <w:pPr>
              <w:spacing w:after="0"/>
              <w:jc w:val="center"/>
              <w:rPr>
                <w:lang w:val="zh-CN"/>
              </w:rPr>
            </w:pPr>
            <w:r w:rsidRPr="00536CFD">
              <w:rPr>
                <w:lang w:val="zh-CN"/>
              </w:rPr>
              <w:t>0.02</w:t>
            </w:r>
          </w:p>
        </w:tc>
      </w:tr>
      <w:tr w:rsidR="004346F3" w:rsidRPr="00536CFD" w14:paraId="5D7BFE68"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9A00731"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B4088B7"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55C9AADF"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bottom"/>
          </w:tcPr>
          <w:p w14:paraId="34AD1769" w14:textId="77777777" w:rsidR="004346F3" w:rsidRPr="00536CFD" w:rsidRDefault="004346F3" w:rsidP="00802ABC">
            <w:pPr>
              <w:spacing w:after="0"/>
              <w:jc w:val="center"/>
              <w:rPr>
                <w:lang w:val="zh-CN"/>
              </w:rPr>
            </w:pPr>
            <w:r w:rsidRPr="00536CFD">
              <w:rPr>
                <w:lang w:val="zh-CN"/>
              </w:rPr>
              <w:t>0.085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F67EE49" w14:textId="77777777" w:rsidR="004346F3" w:rsidRPr="00536CFD" w:rsidRDefault="004346F3" w:rsidP="00802ABC">
            <w:pPr>
              <w:spacing w:after="0"/>
              <w:jc w:val="center"/>
              <w:rPr>
                <w:lang w:val="zh-CN"/>
              </w:rPr>
            </w:pPr>
            <w:r w:rsidRPr="00536CFD">
              <w:rPr>
                <w:lang w:val="zh-CN"/>
              </w:rPr>
              <w:t>0.072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12D49E1" w14:textId="77777777" w:rsidR="004346F3" w:rsidRPr="00536CFD" w:rsidRDefault="004346F3" w:rsidP="00802ABC">
            <w:pPr>
              <w:spacing w:after="0"/>
              <w:jc w:val="center"/>
              <w:rPr>
                <w:lang w:val="zh-CN"/>
              </w:rPr>
            </w:pPr>
            <w:r w:rsidRPr="00536CFD">
              <w:rPr>
                <w:lang w:val="zh-CN"/>
              </w:rPr>
              <w:t>0.033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177EAD2" w14:textId="77777777" w:rsidR="004346F3" w:rsidRPr="00536CFD" w:rsidRDefault="004346F3" w:rsidP="00802ABC">
            <w:pPr>
              <w:spacing w:after="0"/>
              <w:jc w:val="center"/>
              <w:rPr>
                <w:lang w:val="zh-CN"/>
              </w:rPr>
            </w:pPr>
            <w:r w:rsidRPr="00536CFD">
              <w:rPr>
                <w:lang w:val="zh-CN"/>
              </w:rPr>
              <w:t>0.029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07848F7" w14:textId="77777777" w:rsidR="004346F3" w:rsidRPr="00536CFD" w:rsidRDefault="004346F3" w:rsidP="00802ABC">
            <w:pPr>
              <w:spacing w:after="0"/>
              <w:jc w:val="center"/>
              <w:rPr>
                <w:lang w:val="zh-CN"/>
              </w:rPr>
            </w:pPr>
            <w:r w:rsidRPr="00536CFD">
              <w:rPr>
                <w:lang w:val="zh-CN"/>
              </w:rPr>
              <w:t>0.124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1940666" w14:textId="77777777" w:rsidR="004346F3" w:rsidRPr="00536CFD" w:rsidRDefault="004346F3" w:rsidP="00802ABC">
            <w:pPr>
              <w:spacing w:after="0"/>
              <w:jc w:val="center"/>
              <w:rPr>
                <w:lang w:val="zh-CN"/>
              </w:rPr>
            </w:pPr>
            <w:r w:rsidRPr="00536CFD">
              <w:rPr>
                <w:lang w:val="zh-CN"/>
              </w:rPr>
              <w:t>0.101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6C62249" w14:textId="77777777" w:rsidR="004346F3" w:rsidRPr="00536CFD" w:rsidRDefault="004346F3" w:rsidP="00802ABC">
            <w:pPr>
              <w:spacing w:after="0"/>
              <w:jc w:val="center"/>
              <w:rPr>
                <w:lang w:val="zh-CN"/>
              </w:rPr>
            </w:pPr>
            <w:r w:rsidRPr="00536CFD">
              <w:rPr>
                <w:lang w:val="zh-CN"/>
              </w:rPr>
              <w:t>0.044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A1E434E" w14:textId="77777777" w:rsidR="004346F3" w:rsidRPr="00536CFD" w:rsidRDefault="004346F3" w:rsidP="00802ABC">
            <w:pPr>
              <w:spacing w:after="0"/>
              <w:jc w:val="center"/>
              <w:rPr>
                <w:lang w:val="zh-CN"/>
              </w:rPr>
            </w:pPr>
            <w:r w:rsidRPr="00536CFD">
              <w:rPr>
                <w:lang w:val="zh-CN"/>
              </w:rPr>
              <w:t>0.031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608D9AE" w14:textId="77777777" w:rsidR="004346F3" w:rsidRPr="00536CFD" w:rsidRDefault="004346F3" w:rsidP="00802ABC">
            <w:pPr>
              <w:spacing w:after="0"/>
              <w:jc w:val="center"/>
              <w:rPr>
                <w:lang w:val="zh-CN"/>
              </w:rPr>
            </w:pPr>
            <w:r w:rsidRPr="00536CFD">
              <w:rPr>
                <w:lang w:val="zh-CN"/>
              </w:rPr>
              <w:t>0.173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C93D9F3" w14:textId="77777777" w:rsidR="004346F3" w:rsidRPr="00536CFD" w:rsidRDefault="004346F3" w:rsidP="00802ABC">
            <w:pPr>
              <w:spacing w:after="0"/>
              <w:jc w:val="center"/>
              <w:rPr>
                <w:lang w:val="zh-CN"/>
              </w:rPr>
            </w:pPr>
            <w:r w:rsidRPr="00536CFD">
              <w:rPr>
                <w:lang w:val="zh-CN"/>
              </w:rPr>
              <w:t>0.148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F1D3524" w14:textId="77777777" w:rsidR="004346F3" w:rsidRPr="00536CFD" w:rsidRDefault="004346F3" w:rsidP="00802ABC">
            <w:pPr>
              <w:spacing w:after="0"/>
              <w:jc w:val="center"/>
              <w:rPr>
                <w:lang w:val="zh-CN"/>
              </w:rPr>
            </w:pPr>
            <w:r w:rsidRPr="00536CFD">
              <w:rPr>
                <w:lang w:val="zh-CN"/>
              </w:rPr>
              <w:t>0.063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E8C7547" w14:textId="77777777" w:rsidR="004346F3" w:rsidRPr="00536CFD" w:rsidRDefault="004346F3" w:rsidP="00802ABC">
            <w:pPr>
              <w:spacing w:after="0"/>
              <w:jc w:val="center"/>
              <w:rPr>
                <w:lang w:val="zh-CN"/>
              </w:rPr>
            </w:pPr>
            <w:r w:rsidRPr="00536CFD">
              <w:rPr>
                <w:lang w:val="zh-CN"/>
              </w:rPr>
              <w:t>0.033</w:t>
            </w:r>
          </w:p>
        </w:tc>
      </w:tr>
      <w:tr w:rsidR="004346F3" w:rsidRPr="00536CFD" w14:paraId="2127176D"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8DBBEE9"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137D666"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7628D44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bottom"/>
          </w:tcPr>
          <w:p w14:paraId="17659898" w14:textId="77777777" w:rsidR="004346F3" w:rsidRPr="00536CFD" w:rsidRDefault="004346F3" w:rsidP="00802ABC">
            <w:pPr>
              <w:spacing w:after="0"/>
              <w:jc w:val="center"/>
              <w:rPr>
                <w:lang w:val="zh-CN"/>
              </w:rPr>
            </w:pPr>
            <w:r w:rsidRPr="00536CFD">
              <w:rPr>
                <w:lang w:val="zh-CN"/>
              </w:rPr>
              <w:t>0.463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F9BB432" w14:textId="77777777" w:rsidR="004346F3" w:rsidRPr="00536CFD" w:rsidRDefault="004346F3" w:rsidP="00802ABC">
            <w:pPr>
              <w:spacing w:after="0"/>
              <w:jc w:val="center"/>
              <w:rPr>
                <w:lang w:val="zh-CN"/>
              </w:rPr>
            </w:pPr>
            <w:r w:rsidRPr="00536CFD">
              <w:rPr>
                <w:lang w:val="zh-CN"/>
              </w:rPr>
              <w:t>0.353</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35CA5C1" w14:textId="77777777" w:rsidR="004346F3" w:rsidRPr="00536CFD" w:rsidRDefault="004346F3" w:rsidP="00802ABC">
            <w:pPr>
              <w:spacing w:after="0"/>
              <w:jc w:val="center"/>
              <w:rPr>
                <w:lang w:val="zh-CN"/>
              </w:rPr>
            </w:pPr>
            <w:r w:rsidRPr="00536CFD">
              <w:rPr>
                <w:lang w:val="zh-CN"/>
              </w:rPr>
              <w:t>0.146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44F8A73" w14:textId="77777777" w:rsidR="004346F3" w:rsidRPr="00536CFD" w:rsidRDefault="004346F3" w:rsidP="00802ABC">
            <w:pPr>
              <w:spacing w:after="0"/>
              <w:jc w:val="center"/>
              <w:rPr>
                <w:lang w:val="zh-CN"/>
              </w:rPr>
            </w:pPr>
            <w:r w:rsidRPr="00536CFD">
              <w:rPr>
                <w:lang w:val="zh-CN"/>
              </w:rPr>
              <w:t>0.085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A7F0D22" w14:textId="77777777" w:rsidR="004346F3" w:rsidRPr="00536CFD" w:rsidRDefault="004346F3" w:rsidP="00802ABC">
            <w:pPr>
              <w:spacing w:after="0"/>
              <w:jc w:val="center"/>
              <w:rPr>
                <w:lang w:val="zh-CN"/>
              </w:rPr>
            </w:pPr>
            <w:r w:rsidRPr="00536CFD">
              <w:rPr>
                <w:lang w:val="zh-CN"/>
              </w:rPr>
              <w:t>1.103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727A367" w14:textId="77777777" w:rsidR="004346F3" w:rsidRPr="00536CFD" w:rsidRDefault="004346F3" w:rsidP="00802ABC">
            <w:pPr>
              <w:spacing w:after="0"/>
              <w:jc w:val="center"/>
              <w:rPr>
                <w:lang w:val="zh-CN"/>
              </w:rPr>
            </w:pPr>
            <w:r w:rsidRPr="00536CFD">
              <w:rPr>
                <w:lang w:val="zh-CN"/>
              </w:rPr>
              <w:t>0.747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6B455ED" w14:textId="77777777" w:rsidR="004346F3" w:rsidRPr="00536CFD" w:rsidRDefault="004346F3" w:rsidP="00802ABC">
            <w:pPr>
              <w:spacing w:after="0"/>
              <w:jc w:val="center"/>
              <w:rPr>
                <w:lang w:val="zh-CN"/>
              </w:rPr>
            </w:pPr>
            <w:r w:rsidRPr="00536CFD">
              <w:rPr>
                <w:lang w:val="zh-CN"/>
              </w:rPr>
              <w:t>0.248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F511EB8" w14:textId="77777777" w:rsidR="004346F3" w:rsidRPr="00536CFD" w:rsidRDefault="004346F3" w:rsidP="00802ABC">
            <w:pPr>
              <w:spacing w:after="0"/>
              <w:jc w:val="center"/>
              <w:rPr>
                <w:lang w:val="zh-CN"/>
              </w:rPr>
            </w:pPr>
            <w:r w:rsidRPr="00536CFD">
              <w:rPr>
                <w:lang w:val="zh-CN"/>
              </w:rPr>
              <w:t>0.099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6144679" w14:textId="77777777" w:rsidR="004346F3" w:rsidRPr="00536CFD" w:rsidRDefault="004346F3" w:rsidP="00802ABC">
            <w:pPr>
              <w:spacing w:after="0"/>
              <w:jc w:val="center"/>
              <w:rPr>
                <w:lang w:val="zh-CN"/>
              </w:rPr>
            </w:pPr>
            <w:r w:rsidRPr="00536CFD">
              <w:rPr>
                <w:lang w:val="zh-CN"/>
              </w:rPr>
              <w:t>34.405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52E04A53" w14:textId="77777777" w:rsidR="004346F3" w:rsidRPr="00536CFD" w:rsidRDefault="004346F3" w:rsidP="00802ABC">
            <w:pPr>
              <w:spacing w:after="0"/>
              <w:jc w:val="center"/>
              <w:rPr>
                <w:lang w:val="zh-CN"/>
              </w:rPr>
            </w:pPr>
            <w:r w:rsidRPr="00536CFD">
              <w:rPr>
                <w:lang w:val="zh-CN"/>
              </w:rPr>
              <w:t>4.087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1903F1A" w14:textId="77777777" w:rsidR="004346F3" w:rsidRPr="00536CFD" w:rsidRDefault="004346F3" w:rsidP="00802ABC">
            <w:pPr>
              <w:spacing w:after="0"/>
              <w:jc w:val="center"/>
              <w:rPr>
                <w:lang w:val="zh-CN"/>
              </w:rPr>
            </w:pPr>
            <w:r w:rsidRPr="00536CFD">
              <w:rPr>
                <w:lang w:val="zh-CN"/>
              </w:rPr>
              <w:t>0.457</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5D17FF8" w14:textId="77777777" w:rsidR="004346F3" w:rsidRPr="00536CFD" w:rsidRDefault="004346F3" w:rsidP="00802ABC">
            <w:pPr>
              <w:spacing w:after="0"/>
              <w:jc w:val="center"/>
              <w:rPr>
                <w:lang w:val="zh-CN"/>
              </w:rPr>
            </w:pPr>
            <w:r w:rsidRPr="00536CFD">
              <w:rPr>
                <w:lang w:val="zh-CN"/>
              </w:rPr>
              <w:t>0.115</w:t>
            </w:r>
          </w:p>
        </w:tc>
      </w:tr>
      <w:tr w:rsidR="004346F3" w:rsidRPr="00536CFD" w14:paraId="1EB0BFA1"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3BA76C4"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36B2E4E"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51DC5A8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bottom"/>
          </w:tcPr>
          <w:p w14:paraId="0D8AA280" w14:textId="77777777" w:rsidR="004346F3" w:rsidRPr="00536CFD" w:rsidRDefault="004346F3" w:rsidP="00802ABC">
            <w:pPr>
              <w:spacing w:after="0"/>
              <w:jc w:val="center"/>
              <w:rPr>
                <w:lang w:val="zh-CN"/>
              </w:rPr>
            </w:pPr>
            <w:r w:rsidRPr="00536CFD">
              <w:rPr>
                <w:lang w:val="zh-CN"/>
              </w:rPr>
              <w:t>0.16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A88C2B9" w14:textId="77777777" w:rsidR="004346F3" w:rsidRPr="00536CFD" w:rsidRDefault="004346F3" w:rsidP="00802ABC">
            <w:pPr>
              <w:spacing w:after="0"/>
              <w:jc w:val="center"/>
              <w:rPr>
                <w:lang w:val="zh-CN"/>
              </w:rPr>
            </w:pPr>
            <w:r w:rsidRPr="00536CFD">
              <w:rPr>
                <w:lang w:val="zh-CN"/>
              </w:rPr>
              <w:t>0.12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BA2EBDB" w14:textId="77777777" w:rsidR="004346F3" w:rsidRPr="00536CFD" w:rsidRDefault="004346F3" w:rsidP="00802ABC">
            <w:pPr>
              <w:spacing w:after="0"/>
              <w:jc w:val="center"/>
              <w:rPr>
                <w:lang w:val="zh-CN"/>
              </w:rPr>
            </w:pPr>
            <w:r w:rsidRPr="00536CFD">
              <w:rPr>
                <w:lang w:val="zh-CN"/>
              </w:rPr>
              <w:t>0.054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43EF054" w14:textId="77777777" w:rsidR="004346F3" w:rsidRPr="00536CFD" w:rsidRDefault="004346F3" w:rsidP="00802ABC">
            <w:pPr>
              <w:spacing w:after="0"/>
              <w:jc w:val="center"/>
              <w:rPr>
                <w:lang w:val="zh-CN"/>
              </w:rPr>
            </w:pPr>
            <w:r w:rsidRPr="00536CFD">
              <w:rPr>
                <w:lang w:val="zh-CN"/>
              </w:rPr>
              <w:t>0.039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D9669BA" w14:textId="77777777" w:rsidR="004346F3" w:rsidRPr="00536CFD" w:rsidRDefault="004346F3" w:rsidP="00802ABC">
            <w:pPr>
              <w:spacing w:after="0"/>
              <w:jc w:val="center"/>
              <w:rPr>
                <w:lang w:val="zh-CN"/>
              </w:rPr>
            </w:pPr>
            <w:r w:rsidRPr="00536CFD">
              <w:rPr>
                <w:lang w:val="zh-CN"/>
              </w:rPr>
              <w:t>1.469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E631303" w14:textId="77777777" w:rsidR="004346F3" w:rsidRPr="00536CFD" w:rsidRDefault="004346F3" w:rsidP="00802ABC">
            <w:pPr>
              <w:spacing w:after="0"/>
              <w:jc w:val="center"/>
              <w:rPr>
                <w:lang w:val="zh-CN"/>
              </w:rPr>
            </w:pPr>
            <w:r w:rsidRPr="00536CFD">
              <w:rPr>
                <w:lang w:val="zh-CN"/>
              </w:rPr>
              <w:t>0.335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9DD191C" w14:textId="77777777" w:rsidR="004346F3" w:rsidRPr="00536CFD" w:rsidRDefault="004346F3" w:rsidP="00802ABC">
            <w:pPr>
              <w:spacing w:after="0"/>
              <w:jc w:val="center"/>
              <w:rPr>
                <w:lang w:val="zh-CN"/>
              </w:rPr>
            </w:pPr>
            <w:r w:rsidRPr="00536CFD">
              <w:rPr>
                <w:lang w:val="zh-CN"/>
              </w:rPr>
              <w:t>0.082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218F16F" w14:textId="77777777" w:rsidR="004346F3" w:rsidRPr="00536CFD" w:rsidRDefault="004346F3" w:rsidP="00802ABC">
            <w:pPr>
              <w:spacing w:after="0"/>
              <w:jc w:val="center"/>
              <w:rPr>
                <w:lang w:val="zh-CN"/>
              </w:rPr>
            </w:pPr>
            <w:r w:rsidRPr="00536CFD">
              <w:rPr>
                <w:lang w:val="zh-CN"/>
              </w:rPr>
              <w:t>0.043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1F2F3E3" w14:textId="77777777" w:rsidR="004346F3" w:rsidRPr="00536CFD" w:rsidRDefault="004346F3" w:rsidP="00802ABC">
            <w:pPr>
              <w:spacing w:after="0"/>
              <w:jc w:val="center"/>
              <w:rPr>
                <w:lang w:val="zh-CN"/>
              </w:rPr>
            </w:pPr>
            <w:r w:rsidRPr="00536CFD">
              <w:rPr>
                <w:lang w:val="zh-CN"/>
              </w:rPr>
              <w:t>9.289</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308306A9" w14:textId="77777777" w:rsidR="004346F3" w:rsidRPr="00536CFD" w:rsidRDefault="004346F3" w:rsidP="00802ABC">
            <w:pPr>
              <w:spacing w:after="0"/>
              <w:jc w:val="center"/>
              <w:rPr>
                <w:lang w:val="zh-CN"/>
              </w:rPr>
            </w:pPr>
            <w:r w:rsidRPr="00536CFD">
              <w:rPr>
                <w:lang w:val="zh-CN"/>
              </w:rPr>
              <w:t>6.583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DA35EE8" w14:textId="77777777" w:rsidR="004346F3" w:rsidRPr="00536CFD" w:rsidRDefault="004346F3" w:rsidP="00802ABC">
            <w:pPr>
              <w:spacing w:after="0"/>
              <w:jc w:val="center"/>
              <w:rPr>
                <w:lang w:val="zh-CN"/>
              </w:rPr>
            </w:pPr>
            <w:r w:rsidRPr="00536CFD">
              <w:rPr>
                <w:lang w:val="zh-CN"/>
              </w:rPr>
              <w:t>0.144</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6F7CB821" w14:textId="77777777" w:rsidR="004346F3" w:rsidRPr="00536CFD" w:rsidRDefault="004346F3" w:rsidP="00802ABC">
            <w:pPr>
              <w:spacing w:after="0"/>
              <w:jc w:val="center"/>
              <w:rPr>
                <w:lang w:val="zh-CN"/>
              </w:rPr>
            </w:pPr>
            <w:r w:rsidRPr="00536CFD">
              <w:rPr>
                <w:lang w:val="zh-CN"/>
              </w:rPr>
              <w:t>0.047</w:t>
            </w:r>
          </w:p>
        </w:tc>
      </w:tr>
      <w:tr w:rsidR="004346F3" w:rsidRPr="00536CFD" w14:paraId="3AECD71D"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DB43DDB"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06B5E78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0B7F1DE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bottom"/>
          </w:tcPr>
          <w:p w14:paraId="26AAD8D2" w14:textId="77777777" w:rsidR="004346F3" w:rsidRPr="00536CFD" w:rsidRDefault="004346F3" w:rsidP="00802ABC">
            <w:pPr>
              <w:spacing w:after="0"/>
              <w:jc w:val="center"/>
              <w:rPr>
                <w:lang w:val="zh-CN"/>
              </w:rPr>
            </w:pPr>
            <w:r w:rsidRPr="00536CFD">
              <w:rPr>
                <w:lang w:val="zh-CN"/>
              </w:rPr>
              <w:t>7.17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34CC915" w14:textId="77777777" w:rsidR="004346F3" w:rsidRPr="00536CFD" w:rsidRDefault="004346F3" w:rsidP="00802ABC">
            <w:pPr>
              <w:spacing w:after="0"/>
              <w:jc w:val="center"/>
              <w:rPr>
                <w:lang w:val="zh-CN"/>
              </w:rPr>
            </w:pPr>
            <w:r w:rsidRPr="00536CFD">
              <w:rPr>
                <w:lang w:val="zh-CN"/>
              </w:rPr>
              <w:t>8.86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3CAE779" w14:textId="77777777" w:rsidR="004346F3" w:rsidRPr="00536CFD" w:rsidRDefault="004346F3" w:rsidP="00802ABC">
            <w:pPr>
              <w:spacing w:after="0"/>
              <w:jc w:val="center"/>
              <w:rPr>
                <w:lang w:val="zh-CN"/>
              </w:rPr>
            </w:pPr>
            <w:r w:rsidRPr="00536CFD">
              <w:rPr>
                <w:lang w:val="zh-CN"/>
              </w:rPr>
              <w:t>27.71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A1ED352" w14:textId="77777777" w:rsidR="004346F3" w:rsidRPr="00536CFD" w:rsidRDefault="004346F3" w:rsidP="00802ABC">
            <w:pPr>
              <w:spacing w:after="0"/>
              <w:jc w:val="center"/>
              <w:rPr>
                <w:lang w:val="zh-CN"/>
              </w:rPr>
            </w:pPr>
            <w:r w:rsidRPr="00536CFD">
              <w:rPr>
                <w:lang w:val="zh-CN"/>
              </w:rPr>
              <w:t>34.11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B9DAA68" w14:textId="77777777" w:rsidR="004346F3" w:rsidRPr="00536CFD" w:rsidRDefault="004346F3" w:rsidP="00802ABC">
            <w:pPr>
              <w:spacing w:after="0"/>
              <w:jc w:val="center"/>
              <w:rPr>
                <w:lang w:val="zh-CN"/>
              </w:rPr>
            </w:pPr>
            <w:r w:rsidRPr="00536CFD">
              <w:rPr>
                <w:lang w:val="zh-CN"/>
              </w:rPr>
              <w:t>3.18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A9F4BC5" w14:textId="77777777" w:rsidR="004346F3" w:rsidRPr="00536CFD" w:rsidRDefault="004346F3" w:rsidP="00802ABC">
            <w:pPr>
              <w:spacing w:after="0"/>
              <w:jc w:val="center"/>
              <w:rPr>
                <w:lang w:val="zh-CN"/>
              </w:rPr>
            </w:pPr>
            <w:r w:rsidRPr="00536CFD">
              <w:rPr>
                <w:lang w:val="zh-CN"/>
              </w:rPr>
              <w:t>5.27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C2AA54C" w14:textId="77777777" w:rsidR="004346F3" w:rsidRPr="00536CFD" w:rsidRDefault="004346F3" w:rsidP="00802ABC">
            <w:pPr>
              <w:spacing w:after="0"/>
              <w:jc w:val="center"/>
              <w:rPr>
                <w:lang w:val="zh-CN"/>
              </w:rPr>
            </w:pPr>
            <w:r w:rsidRPr="00536CFD">
              <w:rPr>
                <w:lang w:val="zh-CN"/>
              </w:rPr>
              <w:t>15.56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B14418E" w14:textId="77777777" w:rsidR="004346F3" w:rsidRPr="00536CFD" w:rsidRDefault="004346F3" w:rsidP="00802ABC">
            <w:pPr>
              <w:spacing w:after="0"/>
              <w:jc w:val="center"/>
              <w:rPr>
                <w:lang w:val="zh-CN"/>
              </w:rPr>
            </w:pPr>
            <w:r w:rsidRPr="00536CFD">
              <w:rPr>
                <w:lang w:val="zh-CN"/>
              </w:rPr>
              <w:t>30.2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323C27A" w14:textId="77777777" w:rsidR="004346F3" w:rsidRPr="00536CFD" w:rsidRDefault="004346F3" w:rsidP="00802ABC">
            <w:pPr>
              <w:spacing w:after="0"/>
              <w:jc w:val="center"/>
              <w:rPr>
                <w:lang w:val="zh-CN"/>
              </w:rPr>
            </w:pPr>
            <w:r w:rsidRPr="00536CFD">
              <w:rPr>
                <w:lang w:val="zh-CN"/>
              </w:rPr>
              <w:t>0.05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0DE8665D" w14:textId="77777777" w:rsidR="004346F3" w:rsidRPr="00536CFD" w:rsidRDefault="004346F3" w:rsidP="00802ABC">
            <w:pPr>
              <w:spacing w:after="0"/>
              <w:jc w:val="center"/>
              <w:rPr>
                <w:lang w:val="zh-CN"/>
              </w:rPr>
            </w:pPr>
            <w:r w:rsidRPr="00536CFD">
              <w:rPr>
                <w:lang w:val="zh-CN"/>
              </w:rPr>
              <w:t>0.11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7ABBF6D" w14:textId="77777777" w:rsidR="004346F3" w:rsidRPr="00536CFD" w:rsidRDefault="004346F3" w:rsidP="00802ABC">
            <w:pPr>
              <w:spacing w:after="0"/>
              <w:jc w:val="center"/>
              <w:rPr>
                <w:lang w:val="zh-CN"/>
              </w:rPr>
            </w:pPr>
            <w:r w:rsidRPr="00536CFD">
              <w:rPr>
                <w:lang w:val="zh-CN"/>
              </w:rPr>
              <w:t>7.71</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02DB8793" w14:textId="77777777" w:rsidR="004346F3" w:rsidRPr="00536CFD" w:rsidRDefault="004346F3" w:rsidP="00802ABC">
            <w:pPr>
              <w:spacing w:after="0"/>
              <w:jc w:val="center"/>
              <w:rPr>
                <w:lang w:val="zh-CN"/>
              </w:rPr>
            </w:pPr>
            <w:r w:rsidRPr="00536CFD">
              <w:rPr>
                <w:lang w:val="zh-CN"/>
              </w:rPr>
              <w:t>26.19</w:t>
            </w:r>
          </w:p>
        </w:tc>
      </w:tr>
      <w:tr w:rsidR="004346F3" w:rsidRPr="00536CFD" w14:paraId="7326DEB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B053CAB"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02F54165"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5DA67EE"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bottom"/>
          </w:tcPr>
          <w:p w14:paraId="76D1DDB1" w14:textId="77777777" w:rsidR="004346F3" w:rsidRPr="00536CFD" w:rsidRDefault="004346F3" w:rsidP="00802ABC">
            <w:pPr>
              <w:spacing w:after="0"/>
              <w:jc w:val="center"/>
              <w:rPr>
                <w:lang w:val="zh-CN"/>
              </w:rPr>
            </w:pPr>
            <w:r w:rsidRPr="00536CFD">
              <w:rPr>
                <w:lang w:val="zh-CN"/>
              </w:rPr>
              <w:t>36.71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C32C409" w14:textId="77777777" w:rsidR="004346F3" w:rsidRPr="00536CFD" w:rsidRDefault="004346F3" w:rsidP="00802ABC">
            <w:pPr>
              <w:spacing w:after="0"/>
              <w:jc w:val="center"/>
              <w:rPr>
                <w:lang w:val="zh-CN"/>
              </w:rPr>
            </w:pPr>
            <w:r w:rsidRPr="00536CFD">
              <w:rPr>
                <w:lang w:val="zh-CN"/>
              </w:rPr>
              <w:t>40.32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2978D78" w14:textId="77777777" w:rsidR="004346F3" w:rsidRPr="00536CFD" w:rsidRDefault="004346F3" w:rsidP="00802ABC">
            <w:pPr>
              <w:spacing w:after="0"/>
              <w:jc w:val="center"/>
              <w:rPr>
                <w:lang w:val="zh-CN"/>
              </w:rPr>
            </w:pPr>
            <w:r w:rsidRPr="00536CFD">
              <w:rPr>
                <w:lang w:val="zh-CN"/>
              </w:rPr>
              <w:t>86.39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B1B2CB4" w14:textId="77777777" w:rsidR="004346F3" w:rsidRPr="00536CFD" w:rsidRDefault="004346F3" w:rsidP="00802ABC">
            <w:pPr>
              <w:spacing w:after="0"/>
              <w:jc w:val="center"/>
              <w:rPr>
                <w:lang w:val="zh-CN"/>
              </w:rPr>
            </w:pPr>
            <w:r w:rsidRPr="00536CFD">
              <w:rPr>
                <w:lang w:val="zh-CN"/>
              </w:rPr>
              <w:t>106.33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1C8ED5D3" w14:textId="77777777" w:rsidR="004346F3" w:rsidRPr="00536CFD" w:rsidRDefault="004346F3" w:rsidP="00802ABC">
            <w:pPr>
              <w:spacing w:after="0"/>
              <w:jc w:val="center"/>
              <w:rPr>
                <w:lang w:val="zh-CN"/>
              </w:rPr>
            </w:pPr>
            <w:r w:rsidRPr="00536CFD">
              <w:rPr>
                <w:lang w:val="zh-CN"/>
              </w:rPr>
              <w:t>26.09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EADD0BA" w14:textId="77777777" w:rsidR="004346F3" w:rsidRPr="00536CFD" w:rsidRDefault="004346F3" w:rsidP="00802ABC">
            <w:pPr>
              <w:spacing w:after="0"/>
              <w:jc w:val="center"/>
              <w:rPr>
                <w:lang w:val="zh-CN"/>
              </w:rPr>
            </w:pPr>
            <w:r w:rsidRPr="00536CFD">
              <w:rPr>
                <w:lang w:val="zh-CN"/>
              </w:rPr>
              <w:t>29.54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D2D3793" w14:textId="77777777" w:rsidR="004346F3" w:rsidRPr="00536CFD" w:rsidRDefault="004346F3" w:rsidP="00802ABC">
            <w:pPr>
              <w:spacing w:after="0"/>
              <w:jc w:val="center"/>
              <w:rPr>
                <w:lang w:val="zh-CN"/>
              </w:rPr>
            </w:pPr>
            <w:r w:rsidRPr="00536CFD">
              <w:rPr>
                <w:lang w:val="zh-CN"/>
              </w:rPr>
              <w:t>64.09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AB9F199" w14:textId="77777777" w:rsidR="004346F3" w:rsidRPr="00536CFD" w:rsidRDefault="004346F3" w:rsidP="00802ABC">
            <w:pPr>
              <w:spacing w:after="0"/>
              <w:jc w:val="center"/>
              <w:rPr>
                <w:lang w:val="zh-CN"/>
              </w:rPr>
            </w:pPr>
            <w:r w:rsidRPr="00536CFD">
              <w:rPr>
                <w:lang w:val="zh-CN"/>
              </w:rPr>
              <w:t>98.62</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A764357" w14:textId="77777777" w:rsidR="004346F3" w:rsidRPr="00536CFD" w:rsidRDefault="004346F3" w:rsidP="00802ABC">
            <w:pPr>
              <w:spacing w:after="0"/>
              <w:jc w:val="center"/>
              <w:rPr>
                <w:lang w:val="zh-CN"/>
              </w:rPr>
            </w:pPr>
            <w:r w:rsidRPr="00536CFD">
              <w:rPr>
                <w:lang w:val="zh-CN"/>
              </w:rPr>
              <w:t>18.49</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66022264" w14:textId="77777777" w:rsidR="004346F3" w:rsidRPr="00536CFD" w:rsidRDefault="004346F3" w:rsidP="00802ABC">
            <w:pPr>
              <w:spacing w:after="0"/>
              <w:jc w:val="center"/>
              <w:rPr>
                <w:lang w:val="zh-CN"/>
              </w:rPr>
            </w:pPr>
            <w:r w:rsidRPr="00536CFD">
              <w:rPr>
                <w:lang w:val="zh-CN"/>
              </w:rPr>
              <w:t>19.43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7AEE4299" w14:textId="77777777" w:rsidR="004346F3" w:rsidRPr="00536CFD" w:rsidRDefault="004346F3" w:rsidP="00802ABC">
            <w:pPr>
              <w:spacing w:after="0"/>
              <w:jc w:val="center"/>
              <w:rPr>
                <w:lang w:val="zh-CN"/>
              </w:rPr>
            </w:pPr>
            <w:r w:rsidRPr="00536CFD">
              <w:rPr>
                <w:lang w:val="zh-CN"/>
              </w:rPr>
              <w:t>41.66</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17DD37B" w14:textId="77777777" w:rsidR="004346F3" w:rsidRPr="00536CFD" w:rsidRDefault="004346F3" w:rsidP="00802ABC">
            <w:pPr>
              <w:spacing w:after="0"/>
              <w:jc w:val="center"/>
              <w:rPr>
                <w:lang w:val="zh-CN"/>
              </w:rPr>
            </w:pPr>
            <w:r w:rsidRPr="00536CFD">
              <w:rPr>
                <w:lang w:val="zh-CN"/>
              </w:rPr>
              <w:t>89.33</w:t>
            </w:r>
          </w:p>
        </w:tc>
      </w:tr>
      <w:tr w:rsidR="004346F3" w:rsidRPr="00536CFD" w14:paraId="30B4A526"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53BD652"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399E3BA"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51C22B8A"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bottom"/>
          </w:tcPr>
          <w:p w14:paraId="210D263A" w14:textId="77777777" w:rsidR="004346F3" w:rsidRPr="00536CFD" w:rsidRDefault="004346F3" w:rsidP="00802ABC">
            <w:pPr>
              <w:spacing w:after="0"/>
              <w:jc w:val="center"/>
              <w:rPr>
                <w:lang w:val="zh-CN"/>
              </w:rPr>
            </w:pPr>
            <w:r w:rsidRPr="00536CFD">
              <w:rPr>
                <w:lang w:val="zh-CN"/>
              </w:rPr>
              <w:t>77.26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080316D" w14:textId="77777777" w:rsidR="004346F3" w:rsidRPr="00536CFD" w:rsidRDefault="004346F3" w:rsidP="00802ABC">
            <w:pPr>
              <w:spacing w:after="0"/>
              <w:jc w:val="center"/>
              <w:rPr>
                <w:lang w:val="zh-CN"/>
              </w:rPr>
            </w:pPr>
            <w:r w:rsidRPr="00536CFD">
              <w:rPr>
                <w:lang w:val="zh-CN"/>
              </w:rPr>
              <w:t>83.14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0F4D879" w14:textId="77777777" w:rsidR="004346F3" w:rsidRPr="00536CFD" w:rsidRDefault="004346F3" w:rsidP="00802ABC">
            <w:pPr>
              <w:spacing w:after="0"/>
              <w:jc w:val="center"/>
              <w:rPr>
                <w:lang w:val="zh-CN"/>
              </w:rPr>
            </w:pPr>
            <w:r w:rsidRPr="00536CFD">
              <w:rPr>
                <w:lang w:val="zh-CN"/>
              </w:rPr>
              <w:t>143.06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C21646F" w14:textId="77777777" w:rsidR="004346F3" w:rsidRPr="00536CFD" w:rsidRDefault="004346F3" w:rsidP="00802ABC">
            <w:pPr>
              <w:spacing w:after="0"/>
              <w:jc w:val="center"/>
              <w:rPr>
                <w:lang w:val="zh-CN"/>
              </w:rPr>
            </w:pPr>
            <w:r w:rsidRPr="00536CFD">
              <w:rPr>
                <w:lang w:val="zh-CN"/>
              </w:rPr>
              <w:t>156.57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816E54B" w14:textId="77777777" w:rsidR="004346F3" w:rsidRPr="00536CFD" w:rsidRDefault="004346F3" w:rsidP="00802ABC">
            <w:pPr>
              <w:spacing w:after="0"/>
              <w:jc w:val="center"/>
              <w:rPr>
                <w:lang w:val="zh-CN"/>
              </w:rPr>
            </w:pPr>
            <w:r w:rsidRPr="00536CFD">
              <w:rPr>
                <w:lang w:val="zh-CN"/>
              </w:rPr>
              <w:t>64.74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167488A" w14:textId="77777777" w:rsidR="004346F3" w:rsidRPr="00536CFD" w:rsidRDefault="004346F3" w:rsidP="00802ABC">
            <w:pPr>
              <w:spacing w:after="0"/>
              <w:jc w:val="center"/>
              <w:rPr>
                <w:lang w:val="zh-CN"/>
              </w:rPr>
            </w:pPr>
            <w:r w:rsidRPr="00536CFD">
              <w:rPr>
                <w:lang w:val="zh-CN"/>
              </w:rPr>
              <w:t>73.01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25684E3" w14:textId="77777777" w:rsidR="004346F3" w:rsidRPr="00536CFD" w:rsidRDefault="004346F3" w:rsidP="00802ABC">
            <w:pPr>
              <w:spacing w:after="0"/>
              <w:jc w:val="center"/>
              <w:rPr>
                <w:lang w:val="zh-CN"/>
              </w:rPr>
            </w:pPr>
            <w:r w:rsidRPr="00536CFD">
              <w:rPr>
                <w:lang w:val="zh-CN"/>
              </w:rPr>
              <w:t>127.52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C34DF7D" w14:textId="77777777" w:rsidR="004346F3" w:rsidRPr="00536CFD" w:rsidRDefault="004346F3" w:rsidP="00802ABC">
            <w:pPr>
              <w:spacing w:after="0"/>
              <w:jc w:val="center"/>
              <w:rPr>
                <w:lang w:val="zh-CN"/>
              </w:rPr>
            </w:pPr>
            <w:r w:rsidRPr="00536CFD">
              <w:rPr>
                <w:lang w:val="zh-CN"/>
              </w:rPr>
              <w:t>150.31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36EC0DD" w14:textId="77777777" w:rsidR="004346F3" w:rsidRPr="00536CFD" w:rsidRDefault="004346F3" w:rsidP="00802ABC">
            <w:pPr>
              <w:spacing w:after="0"/>
              <w:jc w:val="center"/>
              <w:rPr>
                <w:lang w:val="zh-CN"/>
              </w:rPr>
            </w:pPr>
            <w:r w:rsidRPr="00536CFD">
              <w:rPr>
                <w:lang w:val="zh-CN"/>
              </w:rPr>
              <w:t>55.13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1AE99AE8" w14:textId="77777777" w:rsidR="004346F3" w:rsidRPr="00536CFD" w:rsidRDefault="004346F3" w:rsidP="00802ABC">
            <w:pPr>
              <w:spacing w:after="0"/>
              <w:jc w:val="center"/>
              <w:rPr>
                <w:lang w:val="zh-CN"/>
              </w:rPr>
            </w:pPr>
            <w:r w:rsidRPr="00536CFD">
              <w:rPr>
                <w:lang w:val="zh-CN"/>
              </w:rPr>
              <w:t>58.78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EE867BD" w14:textId="77777777" w:rsidR="004346F3" w:rsidRPr="00536CFD" w:rsidRDefault="004346F3" w:rsidP="00802ABC">
            <w:pPr>
              <w:spacing w:after="0"/>
              <w:jc w:val="center"/>
              <w:rPr>
                <w:lang w:val="zh-CN"/>
              </w:rPr>
            </w:pPr>
            <w:r w:rsidRPr="00536CFD">
              <w:rPr>
                <w:lang w:val="zh-CN"/>
              </w:rPr>
              <w:t>106.36</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04E06CA5" w14:textId="77777777" w:rsidR="004346F3" w:rsidRPr="00536CFD" w:rsidRDefault="004346F3" w:rsidP="00802ABC">
            <w:pPr>
              <w:spacing w:after="0"/>
              <w:jc w:val="center"/>
              <w:rPr>
                <w:lang w:val="zh-CN"/>
              </w:rPr>
            </w:pPr>
            <w:r w:rsidRPr="00536CFD">
              <w:rPr>
                <w:lang w:val="zh-CN"/>
              </w:rPr>
              <w:t>143.48</w:t>
            </w:r>
          </w:p>
        </w:tc>
      </w:tr>
      <w:tr w:rsidR="004346F3" w:rsidRPr="00536CFD" w14:paraId="0F4477B0"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D3066EB"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4E8FD1E"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5943472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bottom"/>
          </w:tcPr>
          <w:p w14:paraId="050CB806" w14:textId="77777777" w:rsidR="004346F3" w:rsidRPr="00536CFD" w:rsidRDefault="004346F3" w:rsidP="00802ABC">
            <w:pPr>
              <w:spacing w:after="0"/>
              <w:jc w:val="center"/>
              <w:rPr>
                <w:lang w:val="zh-CN"/>
              </w:rPr>
            </w:pPr>
            <w:r w:rsidRPr="00536CFD">
              <w:rPr>
                <w:lang w:val="zh-CN"/>
              </w:rPr>
              <w:t>39.7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3FC7B65" w14:textId="77777777" w:rsidR="004346F3" w:rsidRPr="00536CFD" w:rsidRDefault="004346F3" w:rsidP="00802ABC">
            <w:pPr>
              <w:spacing w:after="0"/>
              <w:jc w:val="center"/>
              <w:rPr>
                <w:lang w:val="zh-CN"/>
              </w:rPr>
            </w:pPr>
            <w:r w:rsidRPr="00536CFD">
              <w:rPr>
                <w:lang w:val="zh-CN"/>
              </w:rPr>
              <w:t>43.59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816BAE5" w14:textId="77777777" w:rsidR="004346F3" w:rsidRPr="00536CFD" w:rsidRDefault="004346F3" w:rsidP="00802ABC">
            <w:pPr>
              <w:spacing w:after="0"/>
              <w:jc w:val="center"/>
              <w:rPr>
                <w:lang w:val="zh-CN"/>
              </w:rPr>
            </w:pPr>
            <w:r w:rsidRPr="00536CFD">
              <w:rPr>
                <w:lang w:val="zh-CN"/>
              </w:rPr>
              <w:t>86.29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B0C9791" w14:textId="77777777" w:rsidR="004346F3" w:rsidRPr="00536CFD" w:rsidRDefault="004346F3" w:rsidP="00802ABC">
            <w:pPr>
              <w:spacing w:after="0"/>
              <w:jc w:val="center"/>
              <w:rPr>
                <w:lang w:val="zh-CN"/>
              </w:rPr>
            </w:pPr>
            <w:r w:rsidRPr="00536CFD">
              <w:rPr>
                <w:lang w:val="zh-CN"/>
              </w:rPr>
              <w:t>102.15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D1F6E3D" w14:textId="77777777" w:rsidR="004346F3" w:rsidRPr="00536CFD" w:rsidRDefault="004346F3" w:rsidP="00802ABC">
            <w:pPr>
              <w:spacing w:after="0"/>
              <w:jc w:val="center"/>
              <w:rPr>
                <w:lang w:val="zh-CN"/>
              </w:rPr>
            </w:pPr>
            <w:r w:rsidRPr="00536CFD">
              <w:rPr>
                <w:lang w:val="zh-CN"/>
              </w:rPr>
              <w:t>29.15</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9D50ED2" w14:textId="77777777" w:rsidR="004346F3" w:rsidRPr="00536CFD" w:rsidRDefault="004346F3" w:rsidP="00802ABC">
            <w:pPr>
              <w:spacing w:after="0"/>
              <w:jc w:val="center"/>
              <w:rPr>
                <w:lang w:val="zh-CN"/>
              </w:rPr>
            </w:pPr>
            <w:r w:rsidRPr="00536CFD">
              <w:rPr>
                <w:lang w:val="zh-CN"/>
              </w:rPr>
              <w:t>33.17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DA68773" w14:textId="77777777" w:rsidR="004346F3" w:rsidRPr="00536CFD" w:rsidRDefault="004346F3" w:rsidP="00802ABC">
            <w:pPr>
              <w:spacing w:after="0"/>
              <w:jc w:val="center"/>
              <w:rPr>
                <w:lang w:val="zh-CN"/>
              </w:rPr>
            </w:pPr>
            <w:r w:rsidRPr="00536CFD">
              <w:rPr>
                <w:lang w:val="zh-CN"/>
              </w:rPr>
              <w:t>67.07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8A7159A" w14:textId="77777777" w:rsidR="004346F3" w:rsidRPr="00536CFD" w:rsidRDefault="004346F3" w:rsidP="00802ABC">
            <w:pPr>
              <w:spacing w:after="0"/>
              <w:jc w:val="center"/>
              <w:rPr>
                <w:lang w:val="zh-CN"/>
              </w:rPr>
            </w:pPr>
            <w:r w:rsidRPr="00536CFD">
              <w:rPr>
                <w:lang w:val="zh-CN"/>
              </w:rPr>
              <w:t>94.89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CF49214" w14:textId="77777777" w:rsidR="004346F3" w:rsidRPr="00536CFD" w:rsidRDefault="004346F3" w:rsidP="00802ABC">
            <w:pPr>
              <w:spacing w:after="0"/>
              <w:jc w:val="center"/>
              <w:rPr>
                <w:lang w:val="zh-CN"/>
              </w:rPr>
            </w:pPr>
            <w:r w:rsidRPr="00536CFD">
              <w:rPr>
                <w:lang w:val="zh-CN"/>
              </w:rPr>
              <w:t>21.67</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D9500FF" w14:textId="77777777" w:rsidR="004346F3" w:rsidRPr="00536CFD" w:rsidRDefault="004346F3" w:rsidP="00802ABC">
            <w:pPr>
              <w:spacing w:after="0"/>
              <w:jc w:val="center"/>
              <w:rPr>
                <w:lang w:val="zh-CN"/>
              </w:rPr>
            </w:pPr>
            <w:r w:rsidRPr="00536CFD">
              <w:rPr>
                <w:lang w:val="zh-CN"/>
              </w:rPr>
              <w:t>23.46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8544107" w14:textId="77777777" w:rsidR="004346F3" w:rsidRPr="00536CFD" w:rsidRDefault="004346F3" w:rsidP="00802ABC">
            <w:pPr>
              <w:spacing w:after="0"/>
              <w:jc w:val="center"/>
              <w:rPr>
                <w:lang w:val="zh-CN"/>
              </w:rPr>
            </w:pPr>
            <w:r w:rsidRPr="00536CFD">
              <w:rPr>
                <w:lang w:val="zh-CN"/>
              </w:rPr>
              <w:t>47.69</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334F9644" w14:textId="77777777" w:rsidR="004346F3" w:rsidRPr="00536CFD" w:rsidRDefault="004346F3" w:rsidP="00802ABC">
            <w:pPr>
              <w:spacing w:after="0"/>
              <w:jc w:val="center"/>
              <w:rPr>
                <w:lang w:val="zh-CN"/>
              </w:rPr>
            </w:pPr>
            <w:r w:rsidRPr="00536CFD">
              <w:rPr>
                <w:lang w:val="zh-CN"/>
              </w:rPr>
              <w:t>87.64</w:t>
            </w:r>
          </w:p>
        </w:tc>
      </w:tr>
      <w:tr w:rsidR="004346F3" w:rsidRPr="00536CFD" w14:paraId="4807B7F5"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0B04B44"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16444F9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55AF00B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vAlign w:val="bottom"/>
          </w:tcPr>
          <w:p w14:paraId="35BA6B28" w14:textId="77777777" w:rsidR="004346F3" w:rsidRPr="00536CFD" w:rsidRDefault="004346F3" w:rsidP="00802ABC">
            <w:pPr>
              <w:spacing w:after="0"/>
              <w:jc w:val="center"/>
              <w:rPr>
                <w:lang w:val="zh-CN"/>
              </w:rPr>
            </w:pPr>
            <w:r w:rsidRPr="00536CFD">
              <w:rPr>
                <w:lang w:val="zh-CN"/>
              </w:rPr>
              <w:t>0.036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BADA3BD" w14:textId="77777777" w:rsidR="004346F3" w:rsidRPr="00536CFD" w:rsidRDefault="004346F3" w:rsidP="00802ABC">
            <w:pPr>
              <w:spacing w:after="0"/>
              <w:jc w:val="center"/>
              <w:rPr>
                <w:lang w:val="zh-CN"/>
              </w:rPr>
            </w:pPr>
            <w:r w:rsidRPr="00536CFD">
              <w:rPr>
                <w:lang w:val="zh-CN"/>
              </w:rPr>
              <w:t>0.035</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F6F6B11" w14:textId="77777777" w:rsidR="004346F3" w:rsidRPr="00536CFD" w:rsidRDefault="004346F3" w:rsidP="00802ABC">
            <w:pPr>
              <w:spacing w:after="0"/>
              <w:jc w:val="center"/>
              <w:rPr>
                <w:lang w:val="zh-CN"/>
              </w:rPr>
            </w:pPr>
            <w:r w:rsidRPr="00536CFD">
              <w:rPr>
                <w:lang w:val="zh-CN"/>
              </w:rPr>
              <w:t>0.021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06B4A1C" w14:textId="77777777" w:rsidR="004346F3" w:rsidRPr="00536CFD" w:rsidRDefault="004346F3" w:rsidP="00802ABC">
            <w:pPr>
              <w:spacing w:after="0"/>
              <w:jc w:val="center"/>
              <w:rPr>
                <w:lang w:val="zh-CN"/>
              </w:rPr>
            </w:pPr>
            <w:r w:rsidRPr="00536CFD">
              <w:rPr>
                <w:lang w:val="zh-CN"/>
              </w:rPr>
              <w:t>0.021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F06F355" w14:textId="77777777" w:rsidR="004346F3" w:rsidRPr="00536CFD" w:rsidRDefault="004346F3" w:rsidP="00802ABC">
            <w:pPr>
              <w:spacing w:after="0"/>
              <w:jc w:val="center"/>
              <w:rPr>
                <w:lang w:val="zh-CN"/>
              </w:rPr>
            </w:pPr>
            <w:r w:rsidRPr="00536CFD">
              <w:rPr>
                <w:lang w:val="zh-CN"/>
              </w:rPr>
              <w:t>0.042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8B1D195" w14:textId="77777777" w:rsidR="004346F3" w:rsidRPr="00536CFD" w:rsidRDefault="004346F3" w:rsidP="00802ABC">
            <w:pPr>
              <w:spacing w:after="0"/>
              <w:jc w:val="center"/>
              <w:rPr>
                <w:lang w:val="zh-CN"/>
              </w:rPr>
            </w:pPr>
            <w:r w:rsidRPr="00536CFD">
              <w:rPr>
                <w:lang w:val="zh-CN"/>
              </w:rPr>
              <w:t>0.04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8C20278" w14:textId="77777777" w:rsidR="004346F3" w:rsidRPr="00536CFD" w:rsidRDefault="004346F3" w:rsidP="00802ABC">
            <w:pPr>
              <w:spacing w:after="0"/>
              <w:jc w:val="center"/>
              <w:rPr>
                <w:lang w:val="zh-CN"/>
              </w:rPr>
            </w:pPr>
            <w:r w:rsidRPr="00536CFD">
              <w:rPr>
                <w:lang w:val="zh-CN"/>
              </w:rPr>
              <w:t>0.022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5E5780E" w14:textId="77777777" w:rsidR="004346F3" w:rsidRPr="00536CFD" w:rsidRDefault="004346F3" w:rsidP="00802ABC">
            <w:pPr>
              <w:spacing w:after="0"/>
              <w:jc w:val="center"/>
              <w:rPr>
                <w:lang w:val="zh-CN"/>
              </w:rPr>
            </w:pPr>
            <w:r w:rsidRPr="00536CFD">
              <w:rPr>
                <w:lang w:val="zh-CN"/>
              </w:rPr>
              <w:t>0.021</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F3B8F59" w14:textId="77777777" w:rsidR="004346F3" w:rsidRPr="00536CFD" w:rsidRDefault="004346F3" w:rsidP="00802ABC">
            <w:pPr>
              <w:spacing w:after="0"/>
              <w:jc w:val="center"/>
              <w:rPr>
                <w:lang w:val="zh-CN"/>
              </w:rPr>
            </w:pPr>
            <w:r w:rsidRPr="00536CFD">
              <w:rPr>
                <w:lang w:val="zh-CN"/>
              </w:rPr>
              <w:t>0.05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6AF71023" w14:textId="77777777" w:rsidR="004346F3" w:rsidRPr="00536CFD" w:rsidRDefault="004346F3" w:rsidP="00802ABC">
            <w:pPr>
              <w:spacing w:after="0"/>
              <w:jc w:val="center"/>
              <w:rPr>
                <w:lang w:val="zh-CN"/>
              </w:rPr>
            </w:pPr>
            <w:r w:rsidRPr="00536CFD">
              <w:rPr>
                <w:lang w:val="zh-CN"/>
              </w:rPr>
              <w:t>0.048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23330182" w14:textId="77777777" w:rsidR="004346F3" w:rsidRPr="00536CFD" w:rsidRDefault="004346F3" w:rsidP="00802ABC">
            <w:pPr>
              <w:spacing w:after="0"/>
              <w:jc w:val="center"/>
              <w:rPr>
                <w:lang w:val="zh-CN"/>
              </w:rPr>
            </w:pPr>
            <w:r w:rsidRPr="00536CFD">
              <w:rPr>
                <w:lang w:val="zh-CN"/>
              </w:rPr>
              <w:t>0.025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6CD9630" w14:textId="77777777" w:rsidR="004346F3" w:rsidRPr="00536CFD" w:rsidRDefault="004346F3" w:rsidP="00802ABC">
            <w:pPr>
              <w:spacing w:after="0"/>
              <w:jc w:val="center"/>
              <w:rPr>
                <w:lang w:val="zh-CN"/>
              </w:rPr>
            </w:pPr>
            <w:r w:rsidRPr="00536CFD">
              <w:rPr>
                <w:lang w:val="zh-CN"/>
              </w:rPr>
              <w:t>0.022</w:t>
            </w:r>
          </w:p>
        </w:tc>
      </w:tr>
      <w:tr w:rsidR="004346F3" w:rsidRPr="00536CFD" w14:paraId="44A19AC9"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B290A0B"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073323F"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7E5B643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vAlign w:val="bottom"/>
          </w:tcPr>
          <w:p w14:paraId="132171B2" w14:textId="77777777" w:rsidR="004346F3" w:rsidRPr="00536CFD" w:rsidRDefault="004346F3" w:rsidP="00802ABC">
            <w:pPr>
              <w:spacing w:after="0"/>
              <w:jc w:val="center"/>
              <w:rPr>
                <w:lang w:val="zh-CN"/>
              </w:rPr>
            </w:pPr>
            <w:r w:rsidRPr="00536CFD">
              <w:rPr>
                <w:lang w:val="zh-CN"/>
              </w:rPr>
              <w:t>0.136</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0513851F" w14:textId="77777777" w:rsidR="004346F3" w:rsidRPr="00536CFD" w:rsidRDefault="004346F3" w:rsidP="00802ABC">
            <w:pPr>
              <w:spacing w:after="0"/>
              <w:jc w:val="center"/>
              <w:rPr>
                <w:lang w:val="zh-CN"/>
              </w:rPr>
            </w:pPr>
            <w:r w:rsidRPr="00536CFD">
              <w:rPr>
                <w:lang w:val="zh-CN"/>
              </w:rPr>
              <w:t>0.117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8E6A65D" w14:textId="77777777" w:rsidR="004346F3" w:rsidRPr="00536CFD" w:rsidRDefault="004346F3" w:rsidP="00802ABC">
            <w:pPr>
              <w:spacing w:after="0"/>
              <w:jc w:val="center"/>
              <w:rPr>
                <w:lang w:val="zh-CN"/>
              </w:rPr>
            </w:pPr>
            <w:r w:rsidRPr="00536CFD">
              <w:rPr>
                <w:lang w:val="zh-CN"/>
              </w:rPr>
              <w:t>0.051</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23892F27" w14:textId="77777777" w:rsidR="004346F3" w:rsidRPr="00536CFD" w:rsidRDefault="004346F3" w:rsidP="00802ABC">
            <w:pPr>
              <w:spacing w:after="0"/>
              <w:jc w:val="center"/>
              <w:rPr>
                <w:lang w:val="zh-CN"/>
              </w:rPr>
            </w:pPr>
            <w:r w:rsidRPr="00536CFD">
              <w:rPr>
                <w:lang w:val="zh-CN"/>
              </w:rPr>
              <w:t>0.037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0E2BE30" w14:textId="77777777" w:rsidR="004346F3" w:rsidRPr="00536CFD" w:rsidRDefault="004346F3" w:rsidP="00802ABC">
            <w:pPr>
              <w:spacing w:after="0"/>
              <w:jc w:val="center"/>
              <w:rPr>
                <w:lang w:val="zh-CN"/>
              </w:rPr>
            </w:pPr>
            <w:r w:rsidRPr="00536CFD">
              <w:rPr>
                <w:lang w:val="zh-CN"/>
              </w:rPr>
              <w:t>0.212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5A71B2A" w14:textId="77777777" w:rsidR="004346F3" w:rsidRPr="00536CFD" w:rsidRDefault="004346F3" w:rsidP="00802ABC">
            <w:pPr>
              <w:spacing w:after="0"/>
              <w:jc w:val="center"/>
              <w:rPr>
                <w:lang w:val="zh-CN"/>
              </w:rPr>
            </w:pPr>
            <w:r w:rsidRPr="00536CFD">
              <w:rPr>
                <w:lang w:val="zh-CN"/>
              </w:rPr>
              <w:t>0.173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6CA1165" w14:textId="77777777" w:rsidR="004346F3" w:rsidRPr="00536CFD" w:rsidRDefault="004346F3" w:rsidP="00802ABC">
            <w:pPr>
              <w:spacing w:after="0"/>
              <w:jc w:val="center"/>
              <w:rPr>
                <w:lang w:val="zh-CN"/>
              </w:rPr>
            </w:pPr>
            <w:r w:rsidRPr="00536CFD">
              <w:rPr>
                <w:lang w:val="zh-CN"/>
              </w:rPr>
              <w:t>0.081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10A2257" w14:textId="77777777" w:rsidR="004346F3" w:rsidRPr="00536CFD" w:rsidRDefault="004346F3" w:rsidP="00802ABC">
            <w:pPr>
              <w:spacing w:after="0"/>
              <w:jc w:val="center"/>
              <w:rPr>
                <w:lang w:val="zh-CN"/>
              </w:rPr>
            </w:pPr>
            <w:r w:rsidRPr="00536CFD">
              <w:rPr>
                <w:lang w:val="zh-CN"/>
              </w:rPr>
              <w:t>0.043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CD4247E" w14:textId="77777777" w:rsidR="004346F3" w:rsidRPr="00536CFD" w:rsidRDefault="004346F3" w:rsidP="00802ABC">
            <w:pPr>
              <w:spacing w:after="0"/>
              <w:jc w:val="center"/>
              <w:rPr>
                <w:lang w:val="zh-CN"/>
              </w:rPr>
            </w:pPr>
            <w:r w:rsidRPr="00536CFD">
              <w:rPr>
                <w:lang w:val="zh-CN"/>
              </w:rPr>
              <w:t>0.302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188DB27" w14:textId="77777777" w:rsidR="004346F3" w:rsidRPr="00536CFD" w:rsidRDefault="004346F3" w:rsidP="00802ABC">
            <w:pPr>
              <w:spacing w:after="0"/>
              <w:jc w:val="center"/>
              <w:rPr>
                <w:lang w:val="zh-CN"/>
              </w:rPr>
            </w:pPr>
            <w:r w:rsidRPr="00536CFD">
              <w:rPr>
                <w:lang w:val="zh-CN"/>
              </w:rPr>
              <w:t>0.27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1A4C37DE" w14:textId="77777777" w:rsidR="004346F3" w:rsidRPr="00536CFD" w:rsidRDefault="004346F3" w:rsidP="00802ABC">
            <w:pPr>
              <w:spacing w:after="0"/>
              <w:jc w:val="center"/>
              <w:rPr>
                <w:lang w:val="zh-CN"/>
              </w:rPr>
            </w:pPr>
            <w:r w:rsidRPr="00536CFD">
              <w:rPr>
                <w:lang w:val="zh-CN"/>
              </w:rPr>
              <w:t>0.142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9080B2C" w14:textId="77777777" w:rsidR="004346F3" w:rsidRPr="00536CFD" w:rsidRDefault="004346F3" w:rsidP="00802ABC">
            <w:pPr>
              <w:spacing w:after="0"/>
              <w:jc w:val="center"/>
              <w:rPr>
                <w:lang w:val="zh-CN"/>
              </w:rPr>
            </w:pPr>
            <w:r w:rsidRPr="00536CFD">
              <w:rPr>
                <w:lang w:val="zh-CN"/>
              </w:rPr>
              <w:t>0.049</w:t>
            </w:r>
          </w:p>
        </w:tc>
      </w:tr>
      <w:tr w:rsidR="004346F3" w:rsidRPr="00536CFD" w14:paraId="11E897A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6BBD7FB"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F596C2E"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54982329"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vAlign w:val="bottom"/>
          </w:tcPr>
          <w:p w14:paraId="6B89BEDF" w14:textId="77777777" w:rsidR="004346F3" w:rsidRPr="00536CFD" w:rsidRDefault="004346F3" w:rsidP="00802ABC">
            <w:pPr>
              <w:spacing w:after="0"/>
              <w:jc w:val="center"/>
              <w:rPr>
                <w:lang w:val="zh-CN"/>
              </w:rPr>
            </w:pPr>
            <w:r w:rsidRPr="00536CFD">
              <w:rPr>
                <w:lang w:val="zh-CN"/>
              </w:rPr>
              <w:t>0.962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1E6C6F31" w14:textId="77777777" w:rsidR="004346F3" w:rsidRPr="00536CFD" w:rsidRDefault="004346F3" w:rsidP="00802ABC">
            <w:pPr>
              <w:spacing w:after="0"/>
              <w:jc w:val="center"/>
              <w:rPr>
                <w:lang w:val="zh-CN"/>
              </w:rPr>
            </w:pPr>
            <w:r w:rsidRPr="00536CFD">
              <w:rPr>
                <w:lang w:val="zh-CN"/>
              </w:rPr>
              <w:t>0.697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0F28025" w14:textId="77777777" w:rsidR="004346F3" w:rsidRPr="00536CFD" w:rsidRDefault="004346F3" w:rsidP="00802ABC">
            <w:pPr>
              <w:spacing w:after="0"/>
              <w:jc w:val="center"/>
              <w:rPr>
                <w:lang w:val="zh-CN"/>
              </w:rPr>
            </w:pPr>
            <w:r w:rsidRPr="00536CFD">
              <w:rPr>
                <w:lang w:val="zh-CN"/>
              </w:rPr>
              <w:t>0.32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22AE103" w14:textId="77777777" w:rsidR="004346F3" w:rsidRPr="00536CFD" w:rsidRDefault="004346F3" w:rsidP="00802ABC">
            <w:pPr>
              <w:spacing w:after="0"/>
              <w:jc w:val="center"/>
              <w:rPr>
                <w:lang w:val="zh-CN"/>
              </w:rPr>
            </w:pPr>
            <w:r w:rsidRPr="00536CFD">
              <w:rPr>
                <w:lang w:val="zh-CN"/>
              </w:rPr>
              <w:t>0.156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206F433" w14:textId="77777777" w:rsidR="004346F3" w:rsidRPr="00536CFD" w:rsidRDefault="004346F3" w:rsidP="00802ABC">
            <w:pPr>
              <w:spacing w:after="0"/>
              <w:jc w:val="center"/>
              <w:rPr>
                <w:lang w:val="zh-CN"/>
              </w:rPr>
            </w:pPr>
            <w:r w:rsidRPr="00536CFD">
              <w:rPr>
                <w:lang w:val="zh-CN"/>
              </w:rPr>
              <w:t>2.602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4FD326A3" w14:textId="77777777" w:rsidR="004346F3" w:rsidRPr="00536CFD" w:rsidRDefault="004346F3" w:rsidP="00802ABC">
            <w:pPr>
              <w:spacing w:after="0"/>
              <w:jc w:val="center"/>
              <w:rPr>
                <w:lang w:val="zh-CN"/>
              </w:rPr>
            </w:pPr>
            <w:r w:rsidRPr="00536CFD">
              <w:rPr>
                <w:lang w:val="zh-CN"/>
              </w:rPr>
              <w:t>1.702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27E1A72" w14:textId="77777777" w:rsidR="004346F3" w:rsidRPr="00536CFD" w:rsidRDefault="004346F3" w:rsidP="00802ABC">
            <w:pPr>
              <w:spacing w:after="0"/>
              <w:jc w:val="center"/>
              <w:rPr>
                <w:lang w:val="zh-CN"/>
              </w:rPr>
            </w:pPr>
            <w:r w:rsidRPr="00536CFD">
              <w:rPr>
                <w:lang w:val="zh-CN"/>
              </w:rPr>
              <w:t>0.661</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AC98272" w14:textId="77777777" w:rsidR="004346F3" w:rsidRPr="00536CFD" w:rsidRDefault="004346F3" w:rsidP="00802ABC">
            <w:pPr>
              <w:spacing w:after="0"/>
              <w:jc w:val="center"/>
              <w:rPr>
                <w:lang w:val="zh-CN"/>
              </w:rPr>
            </w:pPr>
            <w:r w:rsidRPr="00536CFD">
              <w:rPr>
                <w:lang w:val="zh-CN"/>
              </w:rPr>
              <w:t>0.193</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F9E3325" w14:textId="77777777" w:rsidR="004346F3" w:rsidRPr="00536CFD" w:rsidRDefault="004346F3" w:rsidP="00802ABC">
            <w:pPr>
              <w:spacing w:after="0"/>
              <w:jc w:val="center"/>
              <w:rPr>
                <w:lang w:val="zh-CN"/>
              </w:rPr>
            </w:pPr>
            <w:r w:rsidRPr="00536CFD">
              <w:rPr>
                <w:lang w:val="zh-CN"/>
              </w:rPr>
              <w:t>84.716</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031CE34B" w14:textId="77777777" w:rsidR="004346F3" w:rsidRPr="00536CFD" w:rsidRDefault="004346F3" w:rsidP="00802ABC">
            <w:pPr>
              <w:spacing w:after="0"/>
              <w:jc w:val="center"/>
              <w:rPr>
                <w:lang w:val="zh-CN"/>
              </w:rPr>
            </w:pPr>
            <w:r w:rsidRPr="00536CFD">
              <w:rPr>
                <w:lang w:val="zh-CN"/>
              </w:rPr>
              <w:t>36.709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648675A" w14:textId="77777777" w:rsidR="004346F3" w:rsidRPr="00536CFD" w:rsidRDefault="004346F3" w:rsidP="00802ABC">
            <w:pPr>
              <w:spacing w:after="0"/>
              <w:jc w:val="center"/>
              <w:rPr>
                <w:lang w:val="zh-CN"/>
              </w:rPr>
            </w:pPr>
            <w:r w:rsidRPr="00536CFD">
              <w:rPr>
                <w:lang w:val="zh-CN"/>
              </w:rPr>
              <w:t>1.361</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22B19688" w14:textId="77777777" w:rsidR="004346F3" w:rsidRPr="00536CFD" w:rsidRDefault="004346F3" w:rsidP="00802ABC">
            <w:pPr>
              <w:spacing w:after="0"/>
              <w:jc w:val="center"/>
              <w:rPr>
                <w:lang w:val="zh-CN"/>
              </w:rPr>
            </w:pPr>
            <w:r w:rsidRPr="00536CFD">
              <w:rPr>
                <w:lang w:val="zh-CN"/>
              </w:rPr>
              <w:t>0.242</w:t>
            </w:r>
          </w:p>
        </w:tc>
      </w:tr>
      <w:tr w:rsidR="004346F3" w:rsidRPr="00536CFD" w14:paraId="3E814FAF"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30F5586"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E50C212"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1B31FA3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vAlign w:val="bottom"/>
          </w:tcPr>
          <w:p w14:paraId="67586DEC" w14:textId="77777777" w:rsidR="004346F3" w:rsidRPr="00536CFD" w:rsidRDefault="004346F3" w:rsidP="00802ABC">
            <w:pPr>
              <w:spacing w:after="0"/>
              <w:jc w:val="center"/>
              <w:rPr>
                <w:lang w:val="zh-CN"/>
              </w:rPr>
            </w:pPr>
            <w:r w:rsidRPr="00536CFD">
              <w:rPr>
                <w:lang w:val="zh-CN"/>
              </w:rPr>
              <w:t>0.292</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67DF4CD" w14:textId="77777777" w:rsidR="004346F3" w:rsidRPr="00536CFD" w:rsidRDefault="004346F3" w:rsidP="00802ABC">
            <w:pPr>
              <w:spacing w:after="0"/>
              <w:jc w:val="center"/>
              <w:rPr>
                <w:lang w:val="zh-CN"/>
              </w:rPr>
            </w:pPr>
            <w:r w:rsidRPr="00536CFD">
              <w:rPr>
                <w:lang w:val="zh-CN"/>
              </w:rPr>
              <w:t>0.214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9253A95" w14:textId="77777777" w:rsidR="004346F3" w:rsidRPr="00536CFD" w:rsidRDefault="004346F3" w:rsidP="00802ABC">
            <w:pPr>
              <w:spacing w:after="0"/>
              <w:jc w:val="center"/>
              <w:rPr>
                <w:lang w:val="zh-CN"/>
              </w:rPr>
            </w:pPr>
            <w:r w:rsidRPr="00536CFD">
              <w:rPr>
                <w:lang w:val="zh-CN"/>
              </w:rPr>
              <w:t>0.097</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445455D" w14:textId="77777777" w:rsidR="004346F3" w:rsidRPr="00536CFD" w:rsidRDefault="004346F3" w:rsidP="00802ABC">
            <w:pPr>
              <w:spacing w:after="0"/>
              <w:jc w:val="center"/>
              <w:rPr>
                <w:lang w:val="zh-CN"/>
              </w:rPr>
            </w:pPr>
            <w:r w:rsidRPr="00536CFD">
              <w:rPr>
                <w:lang w:val="zh-CN"/>
              </w:rPr>
              <w:t>0.058</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082D575" w14:textId="77777777" w:rsidR="004346F3" w:rsidRPr="00536CFD" w:rsidRDefault="004346F3" w:rsidP="00802ABC">
            <w:pPr>
              <w:spacing w:after="0"/>
              <w:jc w:val="center"/>
              <w:rPr>
                <w:lang w:val="zh-CN"/>
              </w:rPr>
            </w:pPr>
            <w:r w:rsidRPr="00536CFD">
              <w:rPr>
                <w:lang w:val="zh-CN"/>
              </w:rPr>
              <w:t>2.502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643A6B9" w14:textId="77777777" w:rsidR="004346F3" w:rsidRPr="00536CFD" w:rsidRDefault="004346F3" w:rsidP="00802ABC">
            <w:pPr>
              <w:spacing w:after="0"/>
              <w:jc w:val="center"/>
              <w:rPr>
                <w:lang w:val="zh-CN"/>
              </w:rPr>
            </w:pPr>
            <w:r w:rsidRPr="00536CFD">
              <w:rPr>
                <w:lang w:val="zh-CN"/>
              </w:rPr>
              <w:t>0.832</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C5FCA0B" w14:textId="77777777" w:rsidR="004346F3" w:rsidRPr="00536CFD" w:rsidRDefault="004346F3" w:rsidP="00802ABC">
            <w:pPr>
              <w:spacing w:after="0"/>
              <w:jc w:val="center"/>
              <w:rPr>
                <w:lang w:val="zh-CN"/>
              </w:rPr>
            </w:pPr>
            <w:r w:rsidRPr="00536CFD">
              <w:rPr>
                <w:lang w:val="zh-CN"/>
              </w:rPr>
              <w:t>0.184</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1D6EE32" w14:textId="77777777" w:rsidR="004346F3" w:rsidRPr="00536CFD" w:rsidRDefault="004346F3" w:rsidP="00802ABC">
            <w:pPr>
              <w:spacing w:after="0"/>
              <w:jc w:val="center"/>
              <w:rPr>
                <w:lang w:val="zh-CN"/>
              </w:rPr>
            </w:pPr>
            <w:r w:rsidRPr="00536CFD">
              <w:rPr>
                <w:lang w:val="zh-CN"/>
              </w:rPr>
              <w:t>0.068</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0D7CEB14" w14:textId="77777777" w:rsidR="004346F3" w:rsidRPr="00536CFD" w:rsidRDefault="004346F3" w:rsidP="00802ABC">
            <w:pPr>
              <w:spacing w:after="0"/>
              <w:jc w:val="center"/>
              <w:rPr>
                <w:lang w:val="zh-CN"/>
              </w:rPr>
            </w:pPr>
            <w:r w:rsidRPr="00536CFD">
              <w:rPr>
                <w:lang w:val="zh-CN"/>
              </w:rPr>
              <w:t>15.042</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0C531BDC" w14:textId="77777777" w:rsidR="004346F3" w:rsidRPr="00536CFD" w:rsidRDefault="004346F3" w:rsidP="00802ABC">
            <w:pPr>
              <w:spacing w:after="0"/>
              <w:jc w:val="center"/>
              <w:rPr>
                <w:lang w:val="zh-CN"/>
              </w:rPr>
            </w:pPr>
            <w:r w:rsidRPr="00536CFD">
              <w:rPr>
                <w:lang w:val="zh-CN"/>
              </w:rPr>
              <w:t>10.457</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6B60863C" w14:textId="77777777" w:rsidR="004346F3" w:rsidRPr="00536CFD" w:rsidRDefault="004346F3" w:rsidP="00802ABC">
            <w:pPr>
              <w:spacing w:after="0"/>
              <w:jc w:val="center"/>
              <w:rPr>
                <w:lang w:val="zh-CN"/>
              </w:rPr>
            </w:pPr>
            <w:r w:rsidRPr="00536CFD">
              <w:rPr>
                <w:lang w:val="zh-CN"/>
              </w:rPr>
              <w:t>0.383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10A984A" w14:textId="77777777" w:rsidR="004346F3" w:rsidRPr="00536CFD" w:rsidRDefault="004346F3" w:rsidP="00802ABC">
            <w:pPr>
              <w:spacing w:after="0"/>
              <w:jc w:val="center"/>
              <w:rPr>
                <w:lang w:val="zh-CN"/>
              </w:rPr>
            </w:pPr>
            <w:r w:rsidRPr="00536CFD">
              <w:rPr>
                <w:lang w:val="zh-CN"/>
              </w:rPr>
              <w:t>0.081</w:t>
            </w:r>
          </w:p>
        </w:tc>
      </w:tr>
      <w:tr w:rsidR="004346F3" w:rsidRPr="00536CFD" w14:paraId="09C15B50"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1DACFB5"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425F1225"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2" w:type="dxa"/>
            <w:tcBorders>
              <w:top w:val="single" w:sz="4" w:space="0" w:color="auto"/>
              <w:left w:val="nil"/>
              <w:bottom w:val="single" w:sz="4" w:space="0" w:color="auto"/>
              <w:right w:val="single" w:sz="4" w:space="0" w:color="auto"/>
            </w:tcBorders>
            <w:shd w:val="clear" w:color="auto" w:fill="auto"/>
            <w:vAlign w:val="bottom"/>
          </w:tcPr>
          <w:p w14:paraId="5447E28B"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4CADBD1" w14:textId="77777777" w:rsidR="004346F3" w:rsidRPr="00536CFD" w:rsidRDefault="004346F3" w:rsidP="00802ABC">
            <w:pPr>
              <w:spacing w:after="0"/>
              <w:jc w:val="center"/>
              <w:rPr>
                <w:lang w:val="zh-CN"/>
              </w:rPr>
            </w:pPr>
            <w:r w:rsidRPr="00536CFD">
              <w:rPr>
                <w:lang w:val="zh-CN"/>
              </w:rPr>
              <w:t>0.99</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55FBB4A"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54A0E1F8"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B09CA00"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19732DA"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086884C"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427A0CD" w14:textId="77777777" w:rsidR="004346F3" w:rsidRPr="00536CFD" w:rsidRDefault="004346F3" w:rsidP="00802ABC">
            <w:pPr>
              <w:spacing w:after="0"/>
              <w:jc w:val="center"/>
              <w:rPr>
                <w:lang w:val="zh-CN"/>
              </w:rPr>
            </w:pPr>
            <w:r w:rsidRPr="00536CFD">
              <w:rPr>
                <w:lang w:val="zh-CN"/>
              </w:rPr>
              <w:t>1.00</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F50D1F8" w14:textId="77777777" w:rsidR="004346F3" w:rsidRPr="00536CFD" w:rsidRDefault="004346F3" w:rsidP="00802ABC">
            <w:pPr>
              <w:spacing w:after="0"/>
              <w:jc w:val="center"/>
              <w:rPr>
                <w:lang w:val="zh-CN"/>
              </w:rPr>
            </w:pPr>
            <w:r w:rsidRPr="00536CFD">
              <w:rPr>
                <w:lang w:val="zh-CN"/>
              </w:rPr>
              <w:t>0.97</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3A93F20F" w14:textId="77777777" w:rsidR="004346F3" w:rsidRPr="00536CFD" w:rsidRDefault="004346F3" w:rsidP="00802ABC">
            <w:pPr>
              <w:spacing w:after="0"/>
              <w:jc w:val="center"/>
              <w:rPr>
                <w:lang w:val="zh-CN"/>
              </w:rPr>
            </w:pPr>
            <w:r w:rsidRPr="00536CFD">
              <w:rPr>
                <w:lang w:val="zh-CN"/>
              </w:rPr>
              <w:t>0.96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8B9F08E" w14:textId="77777777" w:rsidR="004346F3" w:rsidRPr="00536CFD" w:rsidRDefault="004346F3" w:rsidP="00802ABC">
            <w:pPr>
              <w:spacing w:after="0"/>
              <w:jc w:val="center"/>
              <w:rPr>
                <w:lang w:val="zh-CN"/>
              </w:rPr>
            </w:pPr>
            <w:r w:rsidRPr="00536CFD">
              <w:rPr>
                <w:lang w:val="zh-CN"/>
              </w:rPr>
              <w:t>0.99</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704E5FE2" w14:textId="77777777" w:rsidR="004346F3" w:rsidRPr="00536CFD" w:rsidRDefault="004346F3" w:rsidP="00802ABC">
            <w:pPr>
              <w:spacing w:after="0"/>
              <w:jc w:val="center"/>
              <w:rPr>
                <w:lang w:val="zh-CN"/>
              </w:rPr>
            </w:pPr>
            <w:r w:rsidRPr="00536CFD">
              <w:rPr>
                <w:lang w:val="zh-CN"/>
              </w:rPr>
              <w:t>1.00</w:t>
            </w:r>
          </w:p>
        </w:tc>
      </w:tr>
      <w:tr w:rsidR="004346F3" w:rsidRPr="00536CFD" w14:paraId="0B206225"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9D8C96D"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6CB451BB"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2" w:type="dxa"/>
            <w:tcBorders>
              <w:top w:val="single" w:sz="4" w:space="0" w:color="auto"/>
              <w:left w:val="nil"/>
              <w:bottom w:val="single" w:sz="4" w:space="0" w:color="auto"/>
              <w:right w:val="single" w:sz="4" w:space="0" w:color="auto"/>
            </w:tcBorders>
            <w:shd w:val="clear" w:color="auto" w:fill="auto"/>
            <w:vAlign w:val="bottom"/>
          </w:tcPr>
          <w:p w14:paraId="5CB06BCB"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77242422"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08B20F1"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347B894E"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024F4151" w14:textId="77777777" w:rsidR="004346F3" w:rsidRPr="00536CFD" w:rsidRDefault="004346F3" w:rsidP="00802ABC">
            <w:pPr>
              <w:spacing w:after="0"/>
              <w:jc w:val="center"/>
              <w:rPr>
                <w:lang w:val="zh-CN"/>
              </w:rPr>
            </w:pPr>
            <w:r w:rsidRPr="00536CFD">
              <w:rPr>
                <w:lang w:val="zh-CN"/>
              </w:rPr>
              <w:t>0.99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5897AF2"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763E6A6F"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38610F8" w14:textId="77777777" w:rsidR="004346F3" w:rsidRPr="00536CFD" w:rsidRDefault="004346F3" w:rsidP="00802ABC">
            <w:pPr>
              <w:spacing w:after="0"/>
              <w:jc w:val="center"/>
              <w:rPr>
                <w:lang w:val="zh-CN"/>
              </w:rPr>
            </w:pPr>
            <w:r w:rsidRPr="00536CFD">
              <w:rPr>
                <w:lang w:val="zh-CN"/>
              </w:rPr>
              <w:t>1.00</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5945E29E" w14:textId="77777777" w:rsidR="004346F3" w:rsidRPr="00536CFD" w:rsidRDefault="004346F3" w:rsidP="00802ABC">
            <w:pPr>
              <w:spacing w:after="0"/>
              <w:jc w:val="center"/>
              <w:rPr>
                <w:lang w:val="zh-CN"/>
              </w:rPr>
            </w:pPr>
            <w:r w:rsidRPr="00536CFD">
              <w:rPr>
                <w:lang w:val="zh-CN"/>
              </w:rPr>
              <w:t>0.95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6913B025" w14:textId="77777777" w:rsidR="004346F3" w:rsidRPr="00536CFD" w:rsidRDefault="004346F3" w:rsidP="00802ABC">
            <w:pPr>
              <w:spacing w:after="0"/>
              <w:jc w:val="center"/>
              <w:rPr>
                <w:lang w:val="zh-CN"/>
              </w:rPr>
            </w:pPr>
            <w:r w:rsidRPr="00536CFD">
              <w:rPr>
                <w:lang w:val="zh-CN"/>
              </w:rPr>
              <w:t>0.96</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3597919" w14:textId="77777777" w:rsidR="004346F3" w:rsidRPr="00536CFD" w:rsidRDefault="004346F3" w:rsidP="00802ABC">
            <w:pPr>
              <w:spacing w:after="0"/>
              <w:jc w:val="center"/>
              <w:rPr>
                <w:lang w:val="zh-CN"/>
              </w:rPr>
            </w:pPr>
            <w:r w:rsidRPr="00536CFD">
              <w:rPr>
                <w:lang w:val="zh-CN"/>
              </w:rPr>
              <w:t>1.00</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0A877F04" w14:textId="77777777" w:rsidR="004346F3" w:rsidRPr="00536CFD" w:rsidRDefault="004346F3" w:rsidP="00802ABC">
            <w:pPr>
              <w:spacing w:after="0"/>
              <w:jc w:val="center"/>
              <w:rPr>
                <w:lang w:val="zh-CN"/>
              </w:rPr>
            </w:pPr>
            <w:r w:rsidRPr="00536CFD">
              <w:rPr>
                <w:lang w:val="zh-CN"/>
              </w:rPr>
              <w:t>1.00</w:t>
            </w:r>
          </w:p>
        </w:tc>
      </w:tr>
      <w:tr w:rsidR="004346F3" w:rsidRPr="00536CFD" w14:paraId="7AC9E79A"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461E6ED"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6AE508D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2" w:type="dxa"/>
            <w:tcBorders>
              <w:top w:val="single" w:sz="4" w:space="0" w:color="auto"/>
              <w:left w:val="nil"/>
              <w:bottom w:val="single" w:sz="4" w:space="0" w:color="auto"/>
              <w:right w:val="single" w:sz="4" w:space="0" w:color="auto"/>
            </w:tcBorders>
            <w:shd w:val="clear" w:color="auto" w:fill="auto"/>
            <w:vAlign w:val="bottom"/>
          </w:tcPr>
          <w:p w14:paraId="6F91B603" w14:textId="77777777" w:rsidR="004346F3" w:rsidRPr="00536CFD" w:rsidRDefault="004346F3" w:rsidP="00802ABC">
            <w:pPr>
              <w:spacing w:after="0"/>
              <w:jc w:val="center"/>
              <w:rPr>
                <w:lang w:val="zh-CN"/>
              </w:rPr>
            </w:pPr>
            <w:r w:rsidRPr="00536CFD">
              <w:rPr>
                <w:lang w:val="zh-CN"/>
              </w:rPr>
              <w:t>0.24</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4400860E" w14:textId="77777777" w:rsidR="004346F3" w:rsidRPr="00536CFD" w:rsidRDefault="004346F3" w:rsidP="00802ABC">
            <w:pPr>
              <w:spacing w:after="0"/>
              <w:jc w:val="center"/>
              <w:rPr>
                <w:lang w:val="zh-CN"/>
              </w:rPr>
            </w:pPr>
            <w:r w:rsidRPr="00536CFD">
              <w:rPr>
                <w:lang w:val="zh-CN"/>
              </w:rPr>
              <w:t>0.20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3238F64" w14:textId="77777777" w:rsidR="004346F3" w:rsidRPr="00536CFD" w:rsidRDefault="004346F3" w:rsidP="00802ABC">
            <w:pPr>
              <w:spacing w:after="0"/>
              <w:jc w:val="center"/>
              <w:rPr>
                <w:lang w:val="zh-CN"/>
              </w:rPr>
            </w:pPr>
            <w:r w:rsidRPr="00536CFD">
              <w:rPr>
                <w:lang w:val="zh-CN"/>
              </w:rPr>
              <w:t>0.10</w:t>
            </w:r>
          </w:p>
        </w:tc>
        <w:tc>
          <w:tcPr>
            <w:tcW w:w="644" w:type="dxa"/>
            <w:gridSpan w:val="2"/>
            <w:tcBorders>
              <w:top w:val="single" w:sz="4" w:space="0" w:color="auto"/>
              <w:left w:val="nil"/>
              <w:bottom w:val="single" w:sz="4" w:space="0" w:color="auto"/>
              <w:right w:val="single" w:sz="4" w:space="0" w:color="auto"/>
            </w:tcBorders>
            <w:shd w:val="clear" w:color="auto" w:fill="auto"/>
            <w:vAlign w:val="bottom"/>
          </w:tcPr>
          <w:p w14:paraId="6640D408" w14:textId="77777777" w:rsidR="004346F3" w:rsidRPr="00536CFD" w:rsidRDefault="004346F3" w:rsidP="00802ABC">
            <w:pPr>
              <w:spacing w:after="0"/>
              <w:jc w:val="center"/>
              <w:rPr>
                <w:lang w:val="zh-CN"/>
              </w:rPr>
            </w:pPr>
            <w:r w:rsidRPr="00536CFD">
              <w:rPr>
                <w:lang w:val="zh-CN"/>
              </w:rPr>
              <w:t>0.07</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6013158A" w14:textId="77777777" w:rsidR="004346F3" w:rsidRPr="00536CFD" w:rsidRDefault="004346F3" w:rsidP="00802ABC">
            <w:pPr>
              <w:spacing w:after="0"/>
              <w:jc w:val="center"/>
              <w:rPr>
                <w:lang w:val="zh-CN"/>
              </w:rPr>
            </w:pPr>
            <w:r w:rsidRPr="00536CFD">
              <w:rPr>
                <w:lang w:val="zh-CN"/>
              </w:rPr>
              <w:t>0.43</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572E38C8" w14:textId="77777777" w:rsidR="004346F3" w:rsidRPr="00536CFD" w:rsidRDefault="004346F3" w:rsidP="00802ABC">
            <w:pPr>
              <w:spacing w:after="0"/>
              <w:jc w:val="center"/>
              <w:rPr>
                <w:lang w:val="zh-CN"/>
              </w:rPr>
            </w:pPr>
            <w:r w:rsidRPr="00536CFD">
              <w:rPr>
                <w:lang w:val="zh-CN"/>
              </w:rPr>
              <w:t>0.36</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23452ED8" w14:textId="77777777" w:rsidR="004346F3" w:rsidRPr="00536CFD" w:rsidRDefault="004346F3" w:rsidP="00802ABC">
            <w:pPr>
              <w:spacing w:after="0"/>
              <w:jc w:val="center"/>
              <w:rPr>
                <w:lang w:val="zh-CN"/>
              </w:rPr>
            </w:pPr>
            <w:r w:rsidRPr="00536CFD">
              <w:rPr>
                <w:lang w:val="zh-CN"/>
              </w:rPr>
              <w:t>0.19</w:t>
            </w:r>
          </w:p>
        </w:tc>
        <w:tc>
          <w:tcPr>
            <w:tcW w:w="715" w:type="dxa"/>
            <w:gridSpan w:val="2"/>
            <w:tcBorders>
              <w:top w:val="single" w:sz="4" w:space="0" w:color="auto"/>
              <w:left w:val="nil"/>
              <w:bottom w:val="single" w:sz="4" w:space="0" w:color="auto"/>
              <w:right w:val="single" w:sz="4" w:space="0" w:color="auto"/>
            </w:tcBorders>
            <w:shd w:val="clear" w:color="auto" w:fill="auto"/>
            <w:vAlign w:val="bottom"/>
          </w:tcPr>
          <w:p w14:paraId="3022D44F" w14:textId="77777777" w:rsidR="004346F3" w:rsidRPr="00536CFD" w:rsidRDefault="004346F3" w:rsidP="00802ABC">
            <w:pPr>
              <w:spacing w:after="0"/>
              <w:jc w:val="center"/>
              <w:rPr>
                <w:lang w:val="zh-CN"/>
              </w:rPr>
            </w:pPr>
            <w:r w:rsidRPr="00536CFD">
              <w:rPr>
                <w:lang w:val="zh-CN"/>
              </w:rPr>
              <w:t>0.09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4337AB3F" w14:textId="77777777" w:rsidR="004346F3" w:rsidRPr="00536CFD" w:rsidRDefault="004346F3" w:rsidP="00802ABC">
            <w:pPr>
              <w:spacing w:after="0"/>
              <w:jc w:val="center"/>
              <w:rPr>
                <w:lang w:val="zh-CN"/>
              </w:rPr>
            </w:pPr>
            <w:r w:rsidRPr="00536CFD">
              <w:rPr>
                <w:lang w:val="zh-CN"/>
              </w:rPr>
              <w:t>0.65</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49B173D7" w14:textId="77777777" w:rsidR="004346F3" w:rsidRPr="00536CFD" w:rsidRDefault="004346F3" w:rsidP="00802ABC">
            <w:pPr>
              <w:spacing w:after="0"/>
              <w:jc w:val="center"/>
              <w:rPr>
                <w:lang w:val="zh-CN"/>
              </w:rPr>
            </w:pPr>
            <w:r w:rsidRPr="00536CFD">
              <w:rPr>
                <w:lang w:val="zh-CN"/>
              </w:rPr>
              <w:t>0.59</w:t>
            </w:r>
          </w:p>
        </w:tc>
        <w:tc>
          <w:tcPr>
            <w:tcW w:w="737" w:type="dxa"/>
            <w:gridSpan w:val="2"/>
            <w:tcBorders>
              <w:top w:val="single" w:sz="4" w:space="0" w:color="auto"/>
              <w:left w:val="nil"/>
              <w:bottom w:val="single" w:sz="4" w:space="0" w:color="auto"/>
              <w:right w:val="single" w:sz="4" w:space="0" w:color="auto"/>
            </w:tcBorders>
            <w:shd w:val="clear" w:color="auto" w:fill="auto"/>
            <w:vAlign w:val="bottom"/>
          </w:tcPr>
          <w:p w14:paraId="37B5E4C9" w14:textId="77777777" w:rsidR="004346F3" w:rsidRPr="00536CFD" w:rsidRDefault="004346F3" w:rsidP="00802ABC">
            <w:pPr>
              <w:spacing w:after="0"/>
              <w:jc w:val="center"/>
              <w:rPr>
                <w:lang w:val="zh-CN"/>
              </w:rPr>
            </w:pPr>
            <w:r w:rsidRPr="00536CFD">
              <w:rPr>
                <w:lang w:val="zh-CN"/>
              </w:rPr>
              <w:t>0.33</w:t>
            </w:r>
          </w:p>
        </w:tc>
        <w:tc>
          <w:tcPr>
            <w:tcW w:w="738" w:type="dxa"/>
            <w:gridSpan w:val="2"/>
            <w:tcBorders>
              <w:top w:val="single" w:sz="4" w:space="0" w:color="auto"/>
              <w:left w:val="nil"/>
              <w:bottom w:val="single" w:sz="4" w:space="0" w:color="auto"/>
              <w:right w:val="single" w:sz="4" w:space="0" w:color="auto"/>
            </w:tcBorders>
            <w:shd w:val="clear" w:color="auto" w:fill="auto"/>
            <w:vAlign w:val="bottom"/>
          </w:tcPr>
          <w:p w14:paraId="5816B927" w14:textId="77777777" w:rsidR="004346F3" w:rsidRPr="00536CFD" w:rsidRDefault="004346F3" w:rsidP="00802ABC">
            <w:pPr>
              <w:spacing w:after="0"/>
              <w:jc w:val="center"/>
              <w:rPr>
                <w:lang w:val="zh-CN"/>
              </w:rPr>
            </w:pPr>
            <w:r w:rsidRPr="00536CFD">
              <w:rPr>
                <w:lang w:val="zh-CN"/>
              </w:rPr>
              <w:t>0.13</w:t>
            </w:r>
          </w:p>
        </w:tc>
      </w:tr>
      <w:tr w:rsidR="004346F3" w:rsidRPr="00536CFD" w14:paraId="372DE76A"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EC7085D"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2498B6B9" w14:textId="77777777" w:rsidR="004346F3" w:rsidRPr="00536CFD" w:rsidRDefault="004346F3" w:rsidP="00802ABC">
            <w:pPr>
              <w:spacing w:after="0"/>
              <w:jc w:val="center"/>
            </w:pPr>
            <w:r w:rsidRPr="00536CFD">
              <w:rPr>
                <w:rFonts w:ascii="Cambria Math" w:hAnsi="Cambria Math" w:cs="Cambria Math"/>
              </w:rPr>
              <w:t>𝜆</w:t>
            </w:r>
          </w:p>
        </w:tc>
        <w:tc>
          <w:tcPr>
            <w:tcW w:w="2514" w:type="dxa"/>
            <w:gridSpan w:val="7"/>
            <w:tcBorders>
              <w:top w:val="single" w:sz="4" w:space="0" w:color="auto"/>
              <w:left w:val="nil"/>
              <w:bottom w:val="single" w:sz="4" w:space="0" w:color="auto"/>
              <w:right w:val="single" w:sz="4" w:space="0" w:color="auto"/>
            </w:tcBorders>
            <w:shd w:val="clear" w:color="auto" w:fill="auto"/>
          </w:tcPr>
          <w:p w14:paraId="11A69001" w14:textId="77777777" w:rsidR="004346F3" w:rsidRPr="00536CFD" w:rsidRDefault="004346F3" w:rsidP="00802ABC">
            <w:pPr>
              <w:spacing w:after="0"/>
              <w:jc w:val="center"/>
              <w:rPr>
                <w:lang w:val="zh-CN"/>
              </w:rPr>
            </w:pPr>
            <w:r w:rsidRPr="00536CFD">
              <w:rPr>
                <w:lang w:val="zh-CN"/>
              </w:rPr>
              <w:t>1.2 Mbps</w:t>
            </w:r>
          </w:p>
        </w:tc>
        <w:tc>
          <w:tcPr>
            <w:tcW w:w="2860" w:type="dxa"/>
            <w:gridSpan w:val="8"/>
            <w:tcBorders>
              <w:top w:val="single" w:sz="4" w:space="0" w:color="auto"/>
              <w:left w:val="nil"/>
              <w:bottom w:val="single" w:sz="4" w:space="0" w:color="auto"/>
              <w:right w:val="single" w:sz="4" w:space="0" w:color="auto"/>
            </w:tcBorders>
            <w:shd w:val="clear" w:color="auto" w:fill="auto"/>
          </w:tcPr>
          <w:p w14:paraId="3DEF4410" w14:textId="77777777" w:rsidR="004346F3" w:rsidRPr="00536CFD" w:rsidRDefault="004346F3" w:rsidP="00802ABC">
            <w:pPr>
              <w:spacing w:after="0"/>
              <w:jc w:val="center"/>
              <w:rPr>
                <w:lang w:val="zh-CN"/>
              </w:rPr>
            </w:pPr>
            <w:r w:rsidRPr="00536CFD">
              <w:rPr>
                <w:lang w:val="zh-CN"/>
              </w:rPr>
              <w:t>1.5 Mbps</w:t>
            </w:r>
          </w:p>
        </w:tc>
        <w:tc>
          <w:tcPr>
            <w:tcW w:w="2950" w:type="dxa"/>
            <w:gridSpan w:val="8"/>
            <w:tcBorders>
              <w:top w:val="single" w:sz="4" w:space="0" w:color="auto"/>
              <w:left w:val="nil"/>
              <w:bottom w:val="single" w:sz="4" w:space="0" w:color="auto"/>
              <w:right w:val="single" w:sz="4" w:space="0" w:color="auto"/>
            </w:tcBorders>
            <w:shd w:val="clear" w:color="auto" w:fill="auto"/>
          </w:tcPr>
          <w:p w14:paraId="1F130184" w14:textId="77777777" w:rsidR="004346F3" w:rsidRPr="00536CFD" w:rsidRDefault="004346F3" w:rsidP="00802ABC">
            <w:pPr>
              <w:spacing w:after="0"/>
              <w:jc w:val="center"/>
              <w:rPr>
                <w:lang w:val="zh-CN"/>
              </w:rPr>
            </w:pPr>
            <w:r w:rsidRPr="00536CFD">
              <w:rPr>
                <w:lang w:val="zh-CN"/>
              </w:rPr>
              <w:t>1.8 Mbps</w:t>
            </w:r>
          </w:p>
        </w:tc>
      </w:tr>
      <w:tr w:rsidR="004346F3" w:rsidRPr="00536CFD" w14:paraId="6141642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713ABC4"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48B16B60" w14:textId="77777777" w:rsidR="004346F3" w:rsidRPr="00536CFD" w:rsidRDefault="004346F3" w:rsidP="00802ABC">
            <w:pPr>
              <w:spacing w:after="0"/>
              <w:contextualSpacing/>
              <w:rPr>
                <w:lang w:val="en-US" w:bidi="ar"/>
              </w:rPr>
            </w:pPr>
          </w:p>
        </w:tc>
        <w:tc>
          <w:tcPr>
            <w:tcW w:w="8324" w:type="dxa"/>
            <w:gridSpan w:val="23"/>
            <w:tcBorders>
              <w:top w:val="single" w:sz="4" w:space="0" w:color="auto"/>
              <w:left w:val="nil"/>
              <w:bottom w:val="single" w:sz="4" w:space="0" w:color="auto"/>
              <w:right w:val="single" w:sz="4" w:space="0" w:color="auto"/>
            </w:tcBorders>
            <w:shd w:val="clear" w:color="auto" w:fill="auto"/>
          </w:tcPr>
          <w:p w14:paraId="59710E60" w14:textId="77777777" w:rsidR="004346F3" w:rsidRPr="00536CFD" w:rsidRDefault="004346F3" w:rsidP="00802ABC">
            <w:pPr>
              <w:spacing w:after="0"/>
              <w:contextualSpacing/>
              <w:rPr>
                <w:lang w:val="en-US" w:bidi="ar"/>
              </w:rPr>
            </w:pPr>
            <w:r w:rsidRPr="00536CFD">
              <w:t>Additional comments:</w:t>
            </w:r>
            <w:r w:rsidRPr="00536CFD">
              <w:rPr>
                <w:lang w:eastAsia="x-none"/>
              </w:rPr>
              <w:t xml:space="preserve"> </w:t>
            </w:r>
            <w:r w:rsidRPr="00536CFD">
              <w:rPr>
                <w:lang w:eastAsia="x-none"/>
              </w:rPr>
              <w:br/>
            </w:r>
            <w:r w:rsidRPr="00536CFD">
              <w:rPr>
                <w:b/>
              </w:rPr>
              <w:t>Common assumptions</w:t>
            </w:r>
            <w:r w:rsidRPr="00536CFD">
              <w:rPr>
                <w:b/>
                <w:lang w:eastAsia="x-none"/>
              </w:rPr>
              <w:t>:</w:t>
            </w:r>
            <w:r w:rsidRPr="00536CFD">
              <w:rPr>
                <w:lang w:eastAsia="x-none"/>
              </w:rPr>
              <w:t xml:space="preserve"> </w:t>
            </w:r>
            <w:r w:rsidRPr="00536CFD">
              <w:t>2Tx, 2Rx,</w:t>
            </w:r>
            <w:r w:rsidRPr="00536CFD">
              <w:rPr>
                <w:lang w:eastAsia="x-none"/>
              </w:rPr>
              <w:t xml:space="preserve"> </w:t>
            </w:r>
            <w:r w:rsidRPr="00536CFD">
              <w:t>Primary LBT : Cat-4 LBT with exponential CW backoff, MCOT duration: 5.5 ms, Max modulation supported 256 QAM, MIMO scheme with Tx BF upto rank 2.</w:t>
            </w:r>
            <w:r w:rsidRPr="00536CFD">
              <w:rPr>
                <w:lang w:eastAsia="x-none"/>
              </w:rPr>
              <w:br/>
            </w:r>
            <w:r w:rsidRPr="00536CFD">
              <w:rPr>
                <w:b/>
              </w:rPr>
              <w:t>Wi-Fi assumptions:</w:t>
            </w:r>
            <w:r w:rsidRPr="00536CFD">
              <w:t xml:space="preserve"> RTS/CTS enabled, ED/PD threshold -62/-82 dBm, A-MPDU size is chosen to get MPDU duration of 1ms, Wi-Fi Guard Interval long, Wi-Fi beacons enabled (periodicity 100ms), Minstrel Algorithm for rate prediction</w:t>
            </w:r>
            <w:r w:rsidRPr="00536CFD">
              <w:rPr>
                <w:lang w:eastAsia="x-none"/>
              </w:rPr>
              <w:br/>
            </w:r>
            <w:r w:rsidRPr="00536CFD">
              <w:rPr>
                <w:b/>
              </w:rPr>
              <w:t>NRU assumptions:</w:t>
            </w:r>
            <w:r w:rsidRPr="00536CFD">
              <w:t xml:space="preserve"> ED threshold  -72 dBm, SCS 30 KHz, UE processing time capability #1, NR PDCCH monitoring is 4 times per slot (slot size = 0.5ms), Link adaptation assumptions : Reciprocity based BF, realistic delays in CSI reports, stand-alone with self-scheduling, DRS enabled (250us, cat-2 LBT every 250us, 40ms periodicity), asynchronous nodes, UL LBT in gNB acquired COT: Cat-2 LBT with granularity of 0.5ms, 1 symbol DMRS overhead, 1 symbol for every ACK/CQI feedback, UL grant. COT structure includes a preparation stage for CSI exchange leading to total of 2 switching points.</w:t>
            </w:r>
          </w:p>
        </w:tc>
      </w:tr>
      <w:tr w:rsidR="004346F3" w:rsidRPr="00536CFD" w14:paraId="7B089D8F" w14:textId="77777777" w:rsidTr="00802ABC">
        <w:trPr>
          <w:cantSplit/>
          <w:trHeight w:val="20"/>
        </w:trPr>
        <w:tc>
          <w:tcPr>
            <w:tcW w:w="288" w:type="dxa"/>
            <w:vMerge w:val="restart"/>
            <w:tcBorders>
              <w:top w:val="nil"/>
              <w:left w:val="single" w:sz="4" w:space="0" w:color="auto"/>
              <w:bottom w:val="single" w:sz="4" w:space="0" w:color="auto"/>
              <w:right w:val="single" w:sz="4" w:space="0" w:color="auto"/>
            </w:tcBorders>
            <w:shd w:val="clear" w:color="auto" w:fill="auto"/>
            <w:textDirection w:val="btLr"/>
          </w:tcPr>
          <w:p w14:paraId="24ACCA05" w14:textId="77777777" w:rsidR="004346F3" w:rsidRPr="00536CFD" w:rsidRDefault="004346F3" w:rsidP="00802ABC">
            <w:pPr>
              <w:pStyle w:val="NormalWeb"/>
              <w:pageBreakBefore/>
              <w:spacing w:before="0" w:beforeAutospacing="0" w:after="0" w:afterAutospacing="0"/>
              <w:ind w:left="113" w:right="113"/>
              <w:jc w:val="center"/>
              <w:rPr>
                <w:rFonts w:eastAsia="SimSun"/>
                <w:sz w:val="20"/>
                <w:szCs w:val="20"/>
              </w:rPr>
            </w:pPr>
            <w:r w:rsidRPr="00536CFD">
              <w:rPr>
                <w:rFonts w:eastAsia="SimSun"/>
                <w:sz w:val="20"/>
                <w:szCs w:val="20"/>
                <w:lang w:bidi="ar"/>
              </w:rPr>
              <w:t>R1-1814018 / Source 8</w:t>
            </w:r>
          </w:p>
        </w:tc>
        <w:tc>
          <w:tcPr>
            <w:tcW w:w="612" w:type="dxa"/>
            <w:gridSpan w:val="2"/>
            <w:vMerge w:val="restart"/>
            <w:tcBorders>
              <w:top w:val="nil"/>
              <w:left w:val="nil"/>
              <w:bottom w:val="single" w:sz="4" w:space="0" w:color="auto"/>
              <w:right w:val="single" w:sz="4" w:space="0" w:color="auto"/>
            </w:tcBorders>
            <w:shd w:val="clear" w:color="auto" w:fill="auto"/>
          </w:tcPr>
          <w:p w14:paraId="13CEFA16"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065CD06C" w14:textId="77777777" w:rsidR="004346F3" w:rsidRPr="00536CFD" w:rsidRDefault="004346F3" w:rsidP="00802ABC">
            <w:pPr>
              <w:pStyle w:val="NormalWeb"/>
              <w:pageBreakBefore/>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tcPr>
          <w:p w14:paraId="31B47C14" w14:textId="77777777" w:rsidR="004346F3" w:rsidRPr="00536CFD" w:rsidRDefault="004346F3" w:rsidP="00802ABC">
            <w:pPr>
              <w:pageBreakBefore/>
              <w:spacing w:after="0"/>
              <w:jc w:val="center"/>
              <w:rPr>
                <w:lang w:val="zh-CN"/>
              </w:rPr>
            </w:pPr>
            <w:r w:rsidRPr="00536CFD">
              <w:rPr>
                <w:lang w:val="zh-CN"/>
              </w:rPr>
              <w:t>12.44</w:t>
            </w:r>
          </w:p>
        </w:tc>
        <w:tc>
          <w:tcPr>
            <w:tcW w:w="644" w:type="dxa"/>
            <w:gridSpan w:val="2"/>
            <w:tcBorders>
              <w:top w:val="single" w:sz="4" w:space="0" w:color="auto"/>
              <w:left w:val="nil"/>
              <w:bottom w:val="single" w:sz="4" w:space="0" w:color="auto"/>
              <w:right w:val="single" w:sz="4" w:space="0" w:color="auto"/>
            </w:tcBorders>
            <w:shd w:val="clear" w:color="auto" w:fill="auto"/>
          </w:tcPr>
          <w:p w14:paraId="7408D19F" w14:textId="77777777" w:rsidR="004346F3" w:rsidRPr="00536CFD" w:rsidRDefault="004346F3" w:rsidP="00802ABC">
            <w:pPr>
              <w:pageBreakBefore/>
              <w:spacing w:after="0"/>
              <w:jc w:val="center"/>
              <w:rPr>
                <w:lang w:val="zh-CN"/>
              </w:rPr>
            </w:pPr>
            <w:r w:rsidRPr="00536CFD">
              <w:rPr>
                <w:lang w:val="zh-CN"/>
              </w:rPr>
              <w:t>16.72</w:t>
            </w:r>
          </w:p>
        </w:tc>
        <w:tc>
          <w:tcPr>
            <w:tcW w:w="644" w:type="dxa"/>
            <w:gridSpan w:val="2"/>
            <w:tcBorders>
              <w:top w:val="single" w:sz="4" w:space="0" w:color="auto"/>
              <w:left w:val="nil"/>
              <w:bottom w:val="single" w:sz="4" w:space="0" w:color="auto"/>
              <w:right w:val="single" w:sz="4" w:space="0" w:color="auto"/>
            </w:tcBorders>
            <w:shd w:val="clear" w:color="auto" w:fill="auto"/>
          </w:tcPr>
          <w:p w14:paraId="115EB01C" w14:textId="77777777" w:rsidR="004346F3" w:rsidRPr="00536CFD" w:rsidRDefault="004346F3" w:rsidP="00802ABC">
            <w:pPr>
              <w:pageBreakBefore/>
              <w:spacing w:after="0"/>
              <w:jc w:val="center"/>
              <w:rPr>
                <w:lang w:val="zh-CN"/>
              </w:rPr>
            </w:pPr>
            <w:r w:rsidRPr="00536CFD">
              <w:rPr>
                <w:lang w:val="zh-CN"/>
              </w:rPr>
              <w:t>25.49</w:t>
            </w:r>
          </w:p>
        </w:tc>
        <w:tc>
          <w:tcPr>
            <w:tcW w:w="644" w:type="dxa"/>
            <w:gridSpan w:val="2"/>
            <w:tcBorders>
              <w:top w:val="single" w:sz="4" w:space="0" w:color="auto"/>
              <w:left w:val="nil"/>
              <w:bottom w:val="single" w:sz="4" w:space="0" w:color="auto"/>
              <w:right w:val="single" w:sz="4" w:space="0" w:color="auto"/>
            </w:tcBorders>
            <w:shd w:val="clear" w:color="auto" w:fill="auto"/>
          </w:tcPr>
          <w:p w14:paraId="7896D2A6" w14:textId="77777777" w:rsidR="004346F3" w:rsidRPr="00536CFD" w:rsidRDefault="004346F3" w:rsidP="00802ABC">
            <w:pPr>
              <w:pageBreakBefore/>
              <w:spacing w:after="0"/>
              <w:jc w:val="center"/>
              <w:rPr>
                <w:lang w:val="zh-CN"/>
              </w:rPr>
            </w:pPr>
            <w:r w:rsidRPr="00536CFD">
              <w:rPr>
                <w:lang w:val="zh-CN"/>
              </w:rPr>
              <w:t>27.70</w:t>
            </w:r>
          </w:p>
        </w:tc>
        <w:tc>
          <w:tcPr>
            <w:tcW w:w="715" w:type="dxa"/>
            <w:gridSpan w:val="2"/>
            <w:tcBorders>
              <w:top w:val="single" w:sz="4" w:space="0" w:color="auto"/>
              <w:left w:val="nil"/>
              <w:bottom w:val="single" w:sz="4" w:space="0" w:color="auto"/>
              <w:right w:val="single" w:sz="4" w:space="0" w:color="auto"/>
            </w:tcBorders>
            <w:shd w:val="clear" w:color="auto" w:fill="auto"/>
          </w:tcPr>
          <w:p w14:paraId="4D1C1826" w14:textId="77777777" w:rsidR="004346F3" w:rsidRPr="00536CFD" w:rsidRDefault="004346F3" w:rsidP="00802ABC">
            <w:pPr>
              <w:pageBreakBefore/>
              <w:spacing w:after="0"/>
              <w:jc w:val="center"/>
              <w:rPr>
                <w:lang w:val="zh-CN"/>
              </w:rPr>
            </w:pPr>
            <w:r w:rsidRPr="00536CFD">
              <w:rPr>
                <w:lang w:val="zh-CN"/>
              </w:rPr>
              <w:t>5.87</w:t>
            </w:r>
          </w:p>
        </w:tc>
        <w:tc>
          <w:tcPr>
            <w:tcW w:w="715" w:type="dxa"/>
            <w:gridSpan w:val="2"/>
            <w:tcBorders>
              <w:top w:val="single" w:sz="4" w:space="0" w:color="auto"/>
              <w:left w:val="nil"/>
              <w:bottom w:val="single" w:sz="4" w:space="0" w:color="auto"/>
              <w:right w:val="single" w:sz="4" w:space="0" w:color="auto"/>
            </w:tcBorders>
            <w:shd w:val="clear" w:color="auto" w:fill="auto"/>
          </w:tcPr>
          <w:p w14:paraId="49D74EBC" w14:textId="77777777" w:rsidR="004346F3" w:rsidRPr="00536CFD" w:rsidRDefault="004346F3" w:rsidP="00802ABC">
            <w:pPr>
              <w:pageBreakBefore/>
              <w:spacing w:after="0"/>
              <w:jc w:val="center"/>
              <w:rPr>
                <w:lang w:val="zh-CN"/>
              </w:rPr>
            </w:pPr>
            <w:r w:rsidRPr="00536CFD">
              <w:rPr>
                <w:lang w:val="zh-CN"/>
              </w:rPr>
              <w:t>15.32</w:t>
            </w:r>
          </w:p>
        </w:tc>
        <w:tc>
          <w:tcPr>
            <w:tcW w:w="715" w:type="dxa"/>
            <w:gridSpan w:val="2"/>
            <w:tcBorders>
              <w:top w:val="single" w:sz="4" w:space="0" w:color="auto"/>
              <w:left w:val="nil"/>
              <w:bottom w:val="single" w:sz="4" w:space="0" w:color="auto"/>
              <w:right w:val="single" w:sz="4" w:space="0" w:color="auto"/>
            </w:tcBorders>
            <w:shd w:val="clear" w:color="auto" w:fill="auto"/>
          </w:tcPr>
          <w:p w14:paraId="63F44F79" w14:textId="77777777" w:rsidR="004346F3" w:rsidRPr="00536CFD" w:rsidRDefault="004346F3" w:rsidP="00802ABC">
            <w:pPr>
              <w:pageBreakBefore/>
              <w:spacing w:after="0"/>
              <w:jc w:val="center"/>
              <w:rPr>
                <w:lang w:val="zh-CN"/>
              </w:rPr>
            </w:pPr>
            <w:r w:rsidRPr="00536CFD">
              <w:rPr>
                <w:lang w:val="zh-CN"/>
              </w:rPr>
              <w:t>21.61</w:t>
            </w:r>
          </w:p>
        </w:tc>
        <w:tc>
          <w:tcPr>
            <w:tcW w:w="715" w:type="dxa"/>
            <w:gridSpan w:val="2"/>
            <w:tcBorders>
              <w:top w:val="single" w:sz="4" w:space="0" w:color="auto"/>
              <w:left w:val="nil"/>
              <w:bottom w:val="single" w:sz="4" w:space="0" w:color="auto"/>
              <w:right w:val="single" w:sz="4" w:space="0" w:color="auto"/>
            </w:tcBorders>
            <w:shd w:val="clear" w:color="auto" w:fill="auto"/>
          </w:tcPr>
          <w:p w14:paraId="2E99B23F" w14:textId="77777777" w:rsidR="004346F3" w:rsidRPr="00536CFD" w:rsidRDefault="004346F3" w:rsidP="00802ABC">
            <w:pPr>
              <w:pageBreakBefore/>
              <w:spacing w:after="0"/>
              <w:jc w:val="center"/>
              <w:rPr>
                <w:lang w:val="zh-CN"/>
              </w:rPr>
            </w:pPr>
            <w:r w:rsidRPr="00536CFD">
              <w:rPr>
                <w:lang w:val="zh-CN"/>
              </w:rPr>
              <w:t>27.47</w:t>
            </w:r>
          </w:p>
        </w:tc>
        <w:tc>
          <w:tcPr>
            <w:tcW w:w="737" w:type="dxa"/>
            <w:gridSpan w:val="2"/>
            <w:tcBorders>
              <w:top w:val="single" w:sz="4" w:space="0" w:color="auto"/>
              <w:left w:val="nil"/>
              <w:bottom w:val="single" w:sz="4" w:space="0" w:color="auto"/>
              <w:right w:val="single" w:sz="4" w:space="0" w:color="auto"/>
            </w:tcBorders>
            <w:shd w:val="clear" w:color="auto" w:fill="auto"/>
          </w:tcPr>
          <w:p w14:paraId="5957D3D5" w14:textId="77777777" w:rsidR="004346F3" w:rsidRPr="00536CFD" w:rsidRDefault="004346F3" w:rsidP="00802ABC">
            <w:pPr>
              <w:pageBreakBefore/>
              <w:spacing w:after="0"/>
              <w:jc w:val="center"/>
              <w:rPr>
                <w:lang w:val="zh-CN"/>
              </w:rPr>
            </w:pPr>
            <w:r w:rsidRPr="00536CFD">
              <w:rPr>
                <w:lang w:val="zh-CN"/>
              </w:rPr>
              <w:t>1.77</w:t>
            </w:r>
          </w:p>
        </w:tc>
        <w:tc>
          <w:tcPr>
            <w:tcW w:w="738" w:type="dxa"/>
            <w:gridSpan w:val="2"/>
            <w:tcBorders>
              <w:top w:val="single" w:sz="4" w:space="0" w:color="auto"/>
              <w:left w:val="nil"/>
              <w:bottom w:val="single" w:sz="4" w:space="0" w:color="auto"/>
              <w:right w:val="single" w:sz="4" w:space="0" w:color="auto"/>
            </w:tcBorders>
            <w:shd w:val="clear" w:color="auto" w:fill="auto"/>
          </w:tcPr>
          <w:p w14:paraId="19666E05" w14:textId="77777777" w:rsidR="004346F3" w:rsidRPr="00536CFD" w:rsidRDefault="004346F3" w:rsidP="00802ABC">
            <w:pPr>
              <w:pageBreakBefore/>
              <w:spacing w:after="0"/>
              <w:jc w:val="center"/>
              <w:rPr>
                <w:lang w:val="zh-CN"/>
              </w:rPr>
            </w:pPr>
            <w:r w:rsidRPr="00536CFD">
              <w:rPr>
                <w:lang w:val="zh-CN"/>
              </w:rPr>
              <w:t>8.38</w:t>
            </w:r>
          </w:p>
        </w:tc>
        <w:tc>
          <w:tcPr>
            <w:tcW w:w="737" w:type="dxa"/>
            <w:gridSpan w:val="2"/>
            <w:tcBorders>
              <w:top w:val="single" w:sz="4" w:space="0" w:color="auto"/>
              <w:left w:val="nil"/>
              <w:bottom w:val="single" w:sz="4" w:space="0" w:color="auto"/>
              <w:right w:val="single" w:sz="4" w:space="0" w:color="auto"/>
            </w:tcBorders>
            <w:shd w:val="clear" w:color="auto" w:fill="auto"/>
          </w:tcPr>
          <w:p w14:paraId="09976EEA" w14:textId="77777777" w:rsidR="004346F3" w:rsidRPr="00536CFD" w:rsidRDefault="004346F3" w:rsidP="00802ABC">
            <w:pPr>
              <w:pageBreakBefore/>
              <w:spacing w:after="0"/>
              <w:jc w:val="center"/>
              <w:rPr>
                <w:lang w:val="zh-CN"/>
              </w:rPr>
            </w:pPr>
            <w:r w:rsidRPr="00536CFD">
              <w:rPr>
                <w:lang w:val="zh-CN"/>
              </w:rPr>
              <w:t>13.87</w:t>
            </w:r>
          </w:p>
        </w:tc>
        <w:tc>
          <w:tcPr>
            <w:tcW w:w="738" w:type="dxa"/>
            <w:gridSpan w:val="2"/>
            <w:tcBorders>
              <w:top w:val="single" w:sz="4" w:space="0" w:color="auto"/>
              <w:left w:val="nil"/>
              <w:bottom w:val="single" w:sz="4" w:space="0" w:color="auto"/>
              <w:right w:val="single" w:sz="4" w:space="0" w:color="auto"/>
            </w:tcBorders>
            <w:shd w:val="clear" w:color="auto" w:fill="auto"/>
          </w:tcPr>
          <w:p w14:paraId="1186CA39" w14:textId="77777777" w:rsidR="004346F3" w:rsidRPr="00536CFD" w:rsidRDefault="004346F3" w:rsidP="00802ABC">
            <w:pPr>
              <w:pageBreakBefore/>
              <w:spacing w:after="0"/>
              <w:jc w:val="center"/>
              <w:rPr>
                <w:lang w:val="zh-CN"/>
              </w:rPr>
            </w:pPr>
            <w:r w:rsidRPr="00536CFD">
              <w:rPr>
                <w:lang w:val="zh-CN"/>
              </w:rPr>
              <w:t>24.32</w:t>
            </w:r>
          </w:p>
        </w:tc>
      </w:tr>
      <w:tr w:rsidR="004346F3" w:rsidRPr="00536CFD" w14:paraId="459261F3"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4916147"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84D8AAE"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41CDFD4B"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tcPr>
          <w:p w14:paraId="167AF60C" w14:textId="77777777" w:rsidR="004346F3" w:rsidRPr="00536CFD" w:rsidRDefault="004346F3" w:rsidP="00802ABC">
            <w:pPr>
              <w:spacing w:after="0"/>
              <w:jc w:val="center"/>
              <w:rPr>
                <w:lang w:val="zh-CN"/>
              </w:rPr>
            </w:pPr>
            <w:r w:rsidRPr="00536CFD">
              <w:rPr>
                <w:lang w:val="zh-CN"/>
              </w:rPr>
              <w:t>52.52</w:t>
            </w:r>
          </w:p>
        </w:tc>
        <w:tc>
          <w:tcPr>
            <w:tcW w:w="644" w:type="dxa"/>
            <w:gridSpan w:val="2"/>
            <w:tcBorders>
              <w:top w:val="single" w:sz="4" w:space="0" w:color="auto"/>
              <w:left w:val="nil"/>
              <w:bottom w:val="single" w:sz="4" w:space="0" w:color="auto"/>
              <w:right w:val="single" w:sz="4" w:space="0" w:color="auto"/>
            </w:tcBorders>
            <w:shd w:val="clear" w:color="auto" w:fill="auto"/>
          </w:tcPr>
          <w:p w14:paraId="063DEEFF" w14:textId="77777777" w:rsidR="004346F3" w:rsidRPr="00536CFD" w:rsidRDefault="004346F3" w:rsidP="00802ABC">
            <w:pPr>
              <w:spacing w:after="0"/>
              <w:jc w:val="center"/>
              <w:rPr>
                <w:lang w:val="zh-CN"/>
              </w:rPr>
            </w:pPr>
            <w:r w:rsidRPr="00536CFD">
              <w:rPr>
                <w:lang w:val="zh-CN"/>
              </w:rPr>
              <w:t>62.63</w:t>
            </w:r>
          </w:p>
        </w:tc>
        <w:tc>
          <w:tcPr>
            <w:tcW w:w="644" w:type="dxa"/>
            <w:gridSpan w:val="2"/>
            <w:tcBorders>
              <w:top w:val="single" w:sz="4" w:space="0" w:color="auto"/>
              <w:left w:val="nil"/>
              <w:bottom w:val="single" w:sz="4" w:space="0" w:color="auto"/>
              <w:right w:val="single" w:sz="4" w:space="0" w:color="auto"/>
            </w:tcBorders>
            <w:shd w:val="clear" w:color="auto" w:fill="auto"/>
          </w:tcPr>
          <w:p w14:paraId="11066ECD" w14:textId="77777777" w:rsidR="004346F3" w:rsidRPr="00536CFD" w:rsidRDefault="004346F3" w:rsidP="00802ABC">
            <w:pPr>
              <w:spacing w:after="0"/>
              <w:jc w:val="center"/>
              <w:rPr>
                <w:lang w:val="zh-CN"/>
              </w:rPr>
            </w:pPr>
            <w:r w:rsidRPr="00536CFD">
              <w:rPr>
                <w:lang w:val="zh-CN"/>
              </w:rPr>
              <w:t>76.60</w:t>
            </w:r>
          </w:p>
        </w:tc>
        <w:tc>
          <w:tcPr>
            <w:tcW w:w="644" w:type="dxa"/>
            <w:gridSpan w:val="2"/>
            <w:tcBorders>
              <w:top w:val="single" w:sz="4" w:space="0" w:color="auto"/>
              <w:left w:val="nil"/>
              <w:bottom w:val="single" w:sz="4" w:space="0" w:color="auto"/>
              <w:right w:val="single" w:sz="4" w:space="0" w:color="auto"/>
            </w:tcBorders>
            <w:shd w:val="clear" w:color="auto" w:fill="auto"/>
          </w:tcPr>
          <w:p w14:paraId="3ED570DC" w14:textId="77777777" w:rsidR="004346F3" w:rsidRPr="00536CFD" w:rsidRDefault="004346F3" w:rsidP="00802ABC">
            <w:pPr>
              <w:spacing w:after="0"/>
              <w:jc w:val="center"/>
              <w:rPr>
                <w:lang w:val="zh-CN"/>
              </w:rPr>
            </w:pPr>
            <w:r w:rsidRPr="00536CFD">
              <w:rPr>
                <w:lang w:val="zh-CN"/>
              </w:rPr>
              <w:t>82.92</w:t>
            </w:r>
          </w:p>
        </w:tc>
        <w:tc>
          <w:tcPr>
            <w:tcW w:w="715" w:type="dxa"/>
            <w:gridSpan w:val="2"/>
            <w:tcBorders>
              <w:top w:val="single" w:sz="4" w:space="0" w:color="auto"/>
              <w:left w:val="nil"/>
              <w:bottom w:val="single" w:sz="4" w:space="0" w:color="auto"/>
              <w:right w:val="single" w:sz="4" w:space="0" w:color="auto"/>
            </w:tcBorders>
            <w:shd w:val="clear" w:color="auto" w:fill="auto"/>
          </w:tcPr>
          <w:p w14:paraId="1D577F37" w14:textId="77777777" w:rsidR="004346F3" w:rsidRPr="00536CFD" w:rsidRDefault="004346F3" w:rsidP="00802ABC">
            <w:pPr>
              <w:spacing w:after="0"/>
              <w:jc w:val="center"/>
              <w:rPr>
                <w:lang w:val="zh-CN"/>
              </w:rPr>
            </w:pPr>
            <w:r w:rsidRPr="00536CFD">
              <w:rPr>
                <w:lang w:val="zh-CN"/>
              </w:rPr>
              <w:t>30.94</w:t>
            </w:r>
          </w:p>
        </w:tc>
        <w:tc>
          <w:tcPr>
            <w:tcW w:w="715" w:type="dxa"/>
            <w:gridSpan w:val="2"/>
            <w:tcBorders>
              <w:top w:val="single" w:sz="4" w:space="0" w:color="auto"/>
              <w:left w:val="nil"/>
              <w:bottom w:val="single" w:sz="4" w:space="0" w:color="auto"/>
              <w:right w:val="single" w:sz="4" w:space="0" w:color="auto"/>
            </w:tcBorders>
            <w:shd w:val="clear" w:color="auto" w:fill="auto"/>
          </w:tcPr>
          <w:p w14:paraId="40B82BE9" w14:textId="77777777" w:rsidR="004346F3" w:rsidRPr="00536CFD" w:rsidRDefault="004346F3" w:rsidP="00802ABC">
            <w:pPr>
              <w:spacing w:after="0"/>
              <w:jc w:val="center"/>
              <w:rPr>
                <w:lang w:val="zh-CN"/>
              </w:rPr>
            </w:pPr>
            <w:r w:rsidRPr="00536CFD">
              <w:rPr>
                <w:lang w:val="zh-CN"/>
              </w:rPr>
              <w:t>56.31</w:t>
            </w:r>
          </w:p>
        </w:tc>
        <w:tc>
          <w:tcPr>
            <w:tcW w:w="715" w:type="dxa"/>
            <w:gridSpan w:val="2"/>
            <w:tcBorders>
              <w:top w:val="single" w:sz="4" w:space="0" w:color="auto"/>
              <w:left w:val="nil"/>
              <w:bottom w:val="single" w:sz="4" w:space="0" w:color="auto"/>
              <w:right w:val="single" w:sz="4" w:space="0" w:color="auto"/>
            </w:tcBorders>
            <w:shd w:val="clear" w:color="auto" w:fill="auto"/>
          </w:tcPr>
          <w:p w14:paraId="747955B2" w14:textId="77777777" w:rsidR="004346F3" w:rsidRPr="00536CFD" w:rsidRDefault="004346F3" w:rsidP="00802ABC">
            <w:pPr>
              <w:spacing w:after="0"/>
              <w:jc w:val="center"/>
              <w:rPr>
                <w:lang w:val="zh-CN"/>
              </w:rPr>
            </w:pPr>
            <w:r w:rsidRPr="00536CFD">
              <w:rPr>
                <w:lang w:val="zh-CN"/>
              </w:rPr>
              <w:t>70.24</w:t>
            </w:r>
          </w:p>
        </w:tc>
        <w:tc>
          <w:tcPr>
            <w:tcW w:w="715" w:type="dxa"/>
            <w:gridSpan w:val="2"/>
            <w:tcBorders>
              <w:top w:val="single" w:sz="4" w:space="0" w:color="auto"/>
              <w:left w:val="nil"/>
              <w:bottom w:val="single" w:sz="4" w:space="0" w:color="auto"/>
              <w:right w:val="single" w:sz="4" w:space="0" w:color="auto"/>
            </w:tcBorders>
            <w:shd w:val="clear" w:color="auto" w:fill="auto"/>
          </w:tcPr>
          <w:p w14:paraId="6DD97583" w14:textId="77777777" w:rsidR="004346F3" w:rsidRPr="00536CFD" w:rsidRDefault="004346F3" w:rsidP="00802ABC">
            <w:pPr>
              <w:spacing w:after="0"/>
              <w:jc w:val="center"/>
              <w:rPr>
                <w:lang w:val="zh-CN"/>
              </w:rPr>
            </w:pPr>
            <w:r w:rsidRPr="00536CFD">
              <w:rPr>
                <w:lang w:val="zh-CN"/>
              </w:rPr>
              <w:t>81.53</w:t>
            </w:r>
          </w:p>
        </w:tc>
        <w:tc>
          <w:tcPr>
            <w:tcW w:w="737" w:type="dxa"/>
            <w:gridSpan w:val="2"/>
            <w:tcBorders>
              <w:top w:val="single" w:sz="4" w:space="0" w:color="auto"/>
              <w:left w:val="nil"/>
              <w:bottom w:val="single" w:sz="4" w:space="0" w:color="auto"/>
              <w:right w:val="single" w:sz="4" w:space="0" w:color="auto"/>
            </w:tcBorders>
            <w:shd w:val="clear" w:color="auto" w:fill="auto"/>
          </w:tcPr>
          <w:p w14:paraId="4A7E1980" w14:textId="77777777" w:rsidR="004346F3" w:rsidRPr="00536CFD" w:rsidRDefault="004346F3" w:rsidP="00802ABC">
            <w:pPr>
              <w:spacing w:after="0"/>
              <w:jc w:val="center"/>
              <w:rPr>
                <w:lang w:val="zh-CN"/>
              </w:rPr>
            </w:pPr>
            <w:r w:rsidRPr="00536CFD">
              <w:rPr>
                <w:lang w:val="zh-CN"/>
              </w:rPr>
              <w:t>12.84</w:t>
            </w:r>
          </w:p>
        </w:tc>
        <w:tc>
          <w:tcPr>
            <w:tcW w:w="738" w:type="dxa"/>
            <w:gridSpan w:val="2"/>
            <w:tcBorders>
              <w:top w:val="single" w:sz="4" w:space="0" w:color="auto"/>
              <w:left w:val="nil"/>
              <w:bottom w:val="single" w:sz="4" w:space="0" w:color="auto"/>
              <w:right w:val="single" w:sz="4" w:space="0" w:color="auto"/>
            </w:tcBorders>
            <w:shd w:val="clear" w:color="auto" w:fill="auto"/>
          </w:tcPr>
          <w:p w14:paraId="62A52787" w14:textId="77777777" w:rsidR="004346F3" w:rsidRPr="00536CFD" w:rsidRDefault="004346F3" w:rsidP="00802ABC">
            <w:pPr>
              <w:spacing w:after="0"/>
              <w:jc w:val="center"/>
              <w:rPr>
                <w:lang w:val="zh-CN"/>
              </w:rPr>
            </w:pPr>
            <w:r w:rsidRPr="00536CFD">
              <w:rPr>
                <w:lang w:val="zh-CN"/>
              </w:rPr>
              <w:t>40.51</w:t>
            </w:r>
          </w:p>
        </w:tc>
        <w:tc>
          <w:tcPr>
            <w:tcW w:w="737" w:type="dxa"/>
            <w:gridSpan w:val="2"/>
            <w:tcBorders>
              <w:top w:val="single" w:sz="4" w:space="0" w:color="auto"/>
              <w:left w:val="nil"/>
              <w:bottom w:val="single" w:sz="4" w:space="0" w:color="auto"/>
              <w:right w:val="single" w:sz="4" w:space="0" w:color="auto"/>
            </w:tcBorders>
            <w:shd w:val="clear" w:color="auto" w:fill="auto"/>
          </w:tcPr>
          <w:p w14:paraId="74EA52B0" w14:textId="77777777" w:rsidR="004346F3" w:rsidRPr="00536CFD" w:rsidRDefault="004346F3" w:rsidP="00802ABC">
            <w:pPr>
              <w:spacing w:after="0"/>
              <w:jc w:val="center"/>
              <w:rPr>
                <w:lang w:val="zh-CN"/>
              </w:rPr>
            </w:pPr>
            <w:r w:rsidRPr="00536CFD">
              <w:rPr>
                <w:lang w:val="zh-CN"/>
              </w:rPr>
              <w:t>50.60</w:t>
            </w:r>
          </w:p>
        </w:tc>
        <w:tc>
          <w:tcPr>
            <w:tcW w:w="738" w:type="dxa"/>
            <w:gridSpan w:val="2"/>
            <w:tcBorders>
              <w:top w:val="single" w:sz="4" w:space="0" w:color="auto"/>
              <w:left w:val="nil"/>
              <w:bottom w:val="single" w:sz="4" w:space="0" w:color="auto"/>
              <w:right w:val="single" w:sz="4" w:space="0" w:color="auto"/>
            </w:tcBorders>
            <w:shd w:val="clear" w:color="auto" w:fill="auto"/>
          </w:tcPr>
          <w:p w14:paraId="5C731250" w14:textId="77777777" w:rsidR="004346F3" w:rsidRPr="00536CFD" w:rsidRDefault="004346F3" w:rsidP="00802ABC">
            <w:pPr>
              <w:spacing w:after="0"/>
              <w:jc w:val="center"/>
              <w:rPr>
                <w:lang w:val="zh-CN"/>
              </w:rPr>
            </w:pPr>
            <w:r w:rsidRPr="00536CFD">
              <w:rPr>
                <w:lang w:val="zh-CN"/>
              </w:rPr>
              <w:t>77.29</w:t>
            </w:r>
          </w:p>
        </w:tc>
      </w:tr>
      <w:tr w:rsidR="004346F3" w:rsidRPr="00536CFD" w14:paraId="6EB0EBAA"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BC48DC8"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5E7FF7B6"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6E4EFAF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tcPr>
          <w:p w14:paraId="66FE2374" w14:textId="77777777" w:rsidR="004346F3" w:rsidRPr="00536CFD" w:rsidRDefault="004346F3" w:rsidP="00802ABC">
            <w:pPr>
              <w:spacing w:after="0"/>
              <w:jc w:val="center"/>
              <w:rPr>
                <w:lang w:val="zh-CN"/>
              </w:rPr>
            </w:pPr>
            <w:r w:rsidRPr="00536CFD">
              <w:rPr>
                <w:lang w:val="zh-CN"/>
              </w:rPr>
              <w:t>92.08</w:t>
            </w:r>
          </w:p>
        </w:tc>
        <w:tc>
          <w:tcPr>
            <w:tcW w:w="644" w:type="dxa"/>
            <w:gridSpan w:val="2"/>
            <w:tcBorders>
              <w:top w:val="single" w:sz="4" w:space="0" w:color="auto"/>
              <w:left w:val="nil"/>
              <w:bottom w:val="single" w:sz="4" w:space="0" w:color="auto"/>
              <w:right w:val="single" w:sz="4" w:space="0" w:color="auto"/>
            </w:tcBorders>
            <w:shd w:val="clear" w:color="auto" w:fill="auto"/>
          </w:tcPr>
          <w:p w14:paraId="3EA2F7A0" w14:textId="77777777" w:rsidR="004346F3" w:rsidRPr="00536CFD" w:rsidRDefault="004346F3" w:rsidP="00802ABC">
            <w:pPr>
              <w:spacing w:after="0"/>
              <w:jc w:val="center"/>
              <w:rPr>
                <w:lang w:val="zh-CN"/>
              </w:rPr>
            </w:pPr>
            <w:r w:rsidRPr="00536CFD">
              <w:rPr>
                <w:lang w:val="zh-CN"/>
              </w:rPr>
              <w:t>100.05</w:t>
            </w:r>
          </w:p>
        </w:tc>
        <w:tc>
          <w:tcPr>
            <w:tcW w:w="644" w:type="dxa"/>
            <w:gridSpan w:val="2"/>
            <w:tcBorders>
              <w:top w:val="single" w:sz="4" w:space="0" w:color="auto"/>
              <w:left w:val="nil"/>
              <w:bottom w:val="single" w:sz="4" w:space="0" w:color="auto"/>
              <w:right w:val="single" w:sz="4" w:space="0" w:color="auto"/>
            </w:tcBorders>
            <w:shd w:val="clear" w:color="auto" w:fill="auto"/>
          </w:tcPr>
          <w:p w14:paraId="0D0290D7" w14:textId="77777777" w:rsidR="004346F3" w:rsidRPr="00536CFD" w:rsidRDefault="004346F3" w:rsidP="00802ABC">
            <w:pPr>
              <w:spacing w:after="0"/>
              <w:jc w:val="center"/>
              <w:rPr>
                <w:lang w:val="zh-CN"/>
              </w:rPr>
            </w:pPr>
            <w:r w:rsidRPr="00536CFD">
              <w:rPr>
                <w:lang w:val="zh-CN"/>
              </w:rPr>
              <w:t>121.49</w:t>
            </w:r>
          </w:p>
        </w:tc>
        <w:tc>
          <w:tcPr>
            <w:tcW w:w="644" w:type="dxa"/>
            <w:gridSpan w:val="2"/>
            <w:tcBorders>
              <w:top w:val="single" w:sz="4" w:space="0" w:color="auto"/>
              <w:left w:val="nil"/>
              <w:bottom w:val="single" w:sz="4" w:space="0" w:color="auto"/>
              <w:right w:val="single" w:sz="4" w:space="0" w:color="auto"/>
            </w:tcBorders>
            <w:shd w:val="clear" w:color="auto" w:fill="auto"/>
          </w:tcPr>
          <w:p w14:paraId="367B482C" w14:textId="77777777" w:rsidR="004346F3" w:rsidRPr="00536CFD" w:rsidRDefault="004346F3" w:rsidP="00802ABC">
            <w:pPr>
              <w:spacing w:after="0"/>
              <w:jc w:val="center"/>
              <w:rPr>
                <w:lang w:val="zh-CN"/>
              </w:rPr>
            </w:pPr>
            <w:r w:rsidRPr="00536CFD">
              <w:rPr>
                <w:lang w:val="zh-CN"/>
              </w:rPr>
              <w:t>124.26</w:t>
            </w:r>
          </w:p>
        </w:tc>
        <w:tc>
          <w:tcPr>
            <w:tcW w:w="715" w:type="dxa"/>
            <w:gridSpan w:val="2"/>
            <w:tcBorders>
              <w:top w:val="single" w:sz="4" w:space="0" w:color="auto"/>
              <w:left w:val="nil"/>
              <w:bottom w:val="single" w:sz="4" w:space="0" w:color="auto"/>
              <w:right w:val="single" w:sz="4" w:space="0" w:color="auto"/>
            </w:tcBorders>
            <w:shd w:val="clear" w:color="auto" w:fill="auto"/>
          </w:tcPr>
          <w:p w14:paraId="328C7F13" w14:textId="77777777" w:rsidR="004346F3" w:rsidRPr="00536CFD" w:rsidRDefault="004346F3" w:rsidP="00802ABC">
            <w:pPr>
              <w:spacing w:after="0"/>
              <w:jc w:val="center"/>
              <w:rPr>
                <w:lang w:val="zh-CN"/>
              </w:rPr>
            </w:pPr>
            <w:r w:rsidRPr="00536CFD">
              <w:rPr>
                <w:lang w:val="zh-CN"/>
              </w:rPr>
              <w:t>67.71</w:t>
            </w:r>
          </w:p>
        </w:tc>
        <w:tc>
          <w:tcPr>
            <w:tcW w:w="715" w:type="dxa"/>
            <w:gridSpan w:val="2"/>
            <w:tcBorders>
              <w:top w:val="single" w:sz="4" w:space="0" w:color="auto"/>
              <w:left w:val="nil"/>
              <w:bottom w:val="single" w:sz="4" w:space="0" w:color="auto"/>
              <w:right w:val="single" w:sz="4" w:space="0" w:color="auto"/>
            </w:tcBorders>
            <w:shd w:val="clear" w:color="auto" w:fill="auto"/>
          </w:tcPr>
          <w:p w14:paraId="52F3D37E" w14:textId="77777777" w:rsidR="004346F3" w:rsidRPr="00536CFD" w:rsidRDefault="004346F3" w:rsidP="00802ABC">
            <w:pPr>
              <w:spacing w:after="0"/>
              <w:jc w:val="center"/>
              <w:rPr>
                <w:lang w:val="zh-CN"/>
              </w:rPr>
            </w:pPr>
            <w:r w:rsidRPr="00536CFD">
              <w:rPr>
                <w:lang w:val="zh-CN"/>
              </w:rPr>
              <w:t>99.99</w:t>
            </w:r>
          </w:p>
        </w:tc>
        <w:tc>
          <w:tcPr>
            <w:tcW w:w="715" w:type="dxa"/>
            <w:gridSpan w:val="2"/>
            <w:tcBorders>
              <w:top w:val="single" w:sz="4" w:space="0" w:color="auto"/>
              <w:left w:val="nil"/>
              <w:bottom w:val="single" w:sz="4" w:space="0" w:color="auto"/>
              <w:right w:val="single" w:sz="4" w:space="0" w:color="auto"/>
            </w:tcBorders>
            <w:shd w:val="clear" w:color="auto" w:fill="auto"/>
          </w:tcPr>
          <w:p w14:paraId="6F056F93" w14:textId="77777777" w:rsidR="004346F3" w:rsidRPr="00536CFD" w:rsidRDefault="004346F3" w:rsidP="00802ABC">
            <w:pPr>
              <w:spacing w:after="0"/>
              <w:jc w:val="center"/>
              <w:rPr>
                <w:lang w:val="zh-CN"/>
              </w:rPr>
            </w:pPr>
            <w:r w:rsidRPr="00536CFD">
              <w:rPr>
                <w:lang w:val="zh-CN"/>
              </w:rPr>
              <w:t>118.81</w:t>
            </w:r>
          </w:p>
        </w:tc>
        <w:tc>
          <w:tcPr>
            <w:tcW w:w="715" w:type="dxa"/>
            <w:gridSpan w:val="2"/>
            <w:tcBorders>
              <w:top w:val="single" w:sz="4" w:space="0" w:color="auto"/>
              <w:left w:val="nil"/>
              <w:bottom w:val="single" w:sz="4" w:space="0" w:color="auto"/>
              <w:right w:val="single" w:sz="4" w:space="0" w:color="auto"/>
            </w:tcBorders>
            <w:shd w:val="clear" w:color="auto" w:fill="auto"/>
          </w:tcPr>
          <w:p w14:paraId="3E963C56" w14:textId="77777777" w:rsidR="004346F3" w:rsidRPr="00536CFD" w:rsidRDefault="004346F3" w:rsidP="00802ABC">
            <w:pPr>
              <w:spacing w:after="0"/>
              <w:jc w:val="center"/>
              <w:rPr>
                <w:lang w:val="zh-CN"/>
              </w:rPr>
            </w:pPr>
            <w:r w:rsidRPr="00536CFD">
              <w:rPr>
                <w:lang w:val="zh-CN"/>
              </w:rPr>
              <w:t>123.52</w:t>
            </w:r>
          </w:p>
        </w:tc>
        <w:tc>
          <w:tcPr>
            <w:tcW w:w="737" w:type="dxa"/>
            <w:gridSpan w:val="2"/>
            <w:tcBorders>
              <w:top w:val="single" w:sz="4" w:space="0" w:color="auto"/>
              <w:left w:val="nil"/>
              <w:bottom w:val="single" w:sz="4" w:space="0" w:color="auto"/>
              <w:right w:val="single" w:sz="4" w:space="0" w:color="auto"/>
            </w:tcBorders>
            <w:shd w:val="clear" w:color="auto" w:fill="auto"/>
          </w:tcPr>
          <w:p w14:paraId="2495724E" w14:textId="77777777" w:rsidR="004346F3" w:rsidRPr="00536CFD" w:rsidRDefault="004346F3" w:rsidP="00802ABC">
            <w:pPr>
              <w:spacing w:after="0"/>
              <w:jc w:val="center"/>
              <w:rPr>
                <w:lang w:val="zh-CN"/>
              </w:rPr>
            </w:pPr>
            <w:r w:rsidRPr="00536CFD">
              <w:rPr>
                <w:lang w:val="zh-CN"/>
              </w:rPr>
              <w:t>41.40</w:t>
            </w:r>
          </w:p>
        </w:tc>
        <w:tc>
          <w:tcPr>
            <w:tcW w:w="738" w:type="dxa"/>
            <w:gridSpan w:val="2"/>
            <w:tcBorders>
              <w:top w:val="single" w:sz="4" w:space="0" w:color="auto"/>
              <w:left w:val="nil"/>
              <w:bottom w:val="single" w:sz="4" w:space="0" w:color="auto"/>
              <w:right w:val="single" w:sz="4" w:space="0" w:color="auto"/>
            </w:tcBorders>
            <w:shd w:val="clear" w:color="auto" w:fill="auto"/>
          </w:tcPr>
          <w:p w14:paraId="144EE39E" w14:textId="77777777" w:rsidR="004346F3" w:rsidRPr="00536CFD" w:rsidRDefault="004346F3" w:rsidP="00802ABC">
            <w:pPr>
              <w:spacing w:after="0"/>
              <w:jc w:val="center"/>
              <w:rPr>
                <w:lang w:val="zh-CN"/>
              </w:rPr>
            </w:pPr>
            <w:r w:rsidRPr="00536CFD">
              <w:rPr>
                <w:lang w:val="zh-CN"/>
              </w:rPr>
              <w:t>85.31</w:t>
            </w:r>
          </w:p>
        </w:tc>
        <w:tc>
          <w:tcPr>
            <w:tcW w:w="737" w:type="dxa"/>
            <w:gridSpan w:val="2"/>
            <w:tcBorders>
              <w:top w:val="single" w:sz="4" w:space="0" w:color="auto"/>
              <w:left w:val="nil"/>
              <w:bottom w:val="single" w:sz="4" w:space="0" w:color="auto"/>
              <w:right w:val="single" w:sz="4" w:space="0" w:color="auto"/>
            </w:tcBorders>
            <w:shd w:val="clear" w:color="auto" w:fill="auto"/>
          </w:tcPr>
          <w:p w14:paraId="317EF09A" w14:textId="77777777" w:rsidR="004346F3" w:rsidRPr="00536CFD" w:rsidRDefault="004346F3" w:rsidP="00802ABC">
            <w:pPr>
              <w:spacing w:after="0"/>
              <w:jc w:val="center"/>
              <w:rPr>
                <w:lang w:val="zh-CN"/>
              </w:rPr>
            </w:pPr>
            <w:r w:rsidRPr="00536CFD">
              <w:rPr>
                <w:lang w:val="zh-CN"/>
              </w:rPr>
              <w:t>102.27</w:t>
            </w:r>
          </w:p>
        </w:tc>
        <w:tc>
          <w:tcPr>
            <w:tcW w:w="738" w:type="dxa"/>
            <w:gridSpan w:val="2"/>
            <w:tcBorders>
              <w:top w:val="single" w:sz="4" w:space="0" w:color="auto"/>
              <w:left w:val="nil"/>
              <w:bottom w:val="single" w:sz="4" w:space="0" w:color="auto"/>
              <w:right w:val="single" w:sz="4" w:space="0" w:color="auto"/>
            </w:tcBorders>
            <w:shd w:val="clear" w:color="auto" w:fill="auto"/>
          </w:tcPr>
          <w:p w14:paraId="6DE1135E" w14:textId="77777777" w:rsidR="004346F3" w:rsidRPr="00536CFD" w:rsidRDefault="004346F3" w:rsidP="00802ABC">
            <w:pPr>
              <w:spacing w:after="0"/>
              <w:jc w:val="center"/>
              <w:rPr>
                <w:lang w:val="zh-CN"/>
              </w:rPr>
            </w:pPr>
            <w:r w:rsidRPr="00536CFD">
              <w:rPr>
                <w:lang w:val="zh-CN"/>
              </w:rPr>
              <w:t>121.11</w:t>
            </w:r>
          </w:p>
        </w:tc>
      </w:tr>
      <w:tr w:rsidR="004346F3" w:rsidRPr="00536CFD" w14:paraId="7FCEC0D8"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44DD5F7"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09162C4A"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32ADD844"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tcPr>
          <w:p w14:paraId="524E8A2F" w14:textId="77777777" w:rsidR="004346F3" w:rsidRPr="00536CFD" w:rsidRDefault="004346F3" w:rsidP="00802ABC">
            <w:pPr>
              <w:spacing w:after="0"/>
              <w:jc w:val="center"/>
              <w:rPr>
                <w:lang w:val="zh-CN"/>
              </w:rPr>
            </w:pPr>
            <w:r w:rsidRPr="00536CFD">
              <w:rPr>
                <w:lang w:val="zh-CN"/>
              </w:rPr>
              <w:t>54.47</w:t>
            </w:r>
          </w:p>
        </w:tc>
        <w:tc>
          <w:tcPr>
            <w:tcW w:w="644" w:type="dxa"/>
            <w:gridSpan w:val="2"/>
            <w:tcBorders>
              <w:top w:val="single" w:sz="4" w:space="0" w:color="auto"/>
              <w:left w:val="nil"/>
              <w:bottom w:val="single" w:sz="4" w:space="0" w:color="auto"/>
              <w:right w:val="single" w:sz="4" w:space="0" w:color="auto"/>
            </w:tcBorders>
            <w:shd w:val="clear" w:color="auto" w:fill="auto"/>
          </w:tcPr>
          <w:p w14:paraId="2A1812FA" w14:textId="77777777" w:rsidR="004346F3" w:rsidRPr="00536CFD" w:rsidRDefault="004346F3" w:rsidP="00802ABC">
            <w:pPr>
              <w:spacing w:after="0"/>
              <w:jc w:val="center"/>
              <w:rPr>
                <w:lang w:val="zh-CN"/>
              </w:rPr>
            </w:pPr>
            <w:r w:rsidRPr="00536CFD">
              <w:rPr>
                <w:lang w:val="zh-CN"/>
              </w:rPr>
              <w:t>62.56</w:t>
            </w:r>
          </w:p>
        </w:tc>
        <w:tc>
          <w:tcPr>
            <w:tcW w:w="644" w:type="dxa"/>
            <w:gridSpan w:val="2"/>
            <w:tcBorders>
              <w:top w:val="single" w:sz="4" w:space="0" w:color="auto"/>
              <w:left w:val="nil"/>
              <w:bottom w:val="single" w:sz="4" w:space="0" w:color="auto"/>
              <w:right w:val="single" w:sz="4" w:space="0" w:color="auto"/>
            </w:tcBorders>
            <w:shd w:val="clear" w:color="auto" w:fill="auto"/>
          </w:tcPr>
          <w:p w14:paraId="789CDBDB" w14:textId="77777777" w:rsidR="004346F3" w:rsidRPr="00536CFD" w:rsidRDefault="004346F3" w:rsidP="00802ABC">
            <w:pPr>
              <w:spacing w:after="0"/>
              <w:jc w:val="center"/>
              <w:rPr>
                <w:lang w:val="zh-CN"/>
              </w:rPr>
            </w:pPr>
            <w:r w:rsidRPr="00536CFD">
              <w:rPr>
                <w:lang w:val="zh-CN"/>
              </w:rPr>
              <w:t>78.11</w:t>
            </w:r>
          </w:p>
        </w:tc>
        <w:tc>
          <w:tcPr>
            <w:tcW w:w="644" w:type="dxa"/>
            <w:gridSpan w:val="2"/>
            <w:tcBorders>
              <w:top w:val="single" w:sz="4" w:space="0" w:color="auto"/>
              <w:left w:val="nil"/>
              <w:bottom w:val="single" w:sz="4" w:space="0" w:color="auto"/>
              <w:right w:val="single" w:sz="4" w:space="0" w:color="auto"/>
            </w:tcBorders>
            <w:shd w:val="clear" w:color="auto" w:fill="auto"/>
          </w:tcPr>
          <w:p w14:paraId="34AB5500" w14:textId="77777777" w:rsidR="004346F3" w:rsidRPr="00536CFD" w:rsidRDefault="004346F3" w:rsidP="00802ABC">
            <w:pPr>
              <w:spacing w:after="0"/>
              <w:jc w:val="center"/>
              <w:rPr>
                <w:lang w:val="zh-CN"/>
              </w:rPr>
            </w:pPr>
            <w:r w:rsidRPr="00536CFD">
              <w:rPr>
                <w:lang w:val="zh-CN"/>
              </w:rPr>
              <w:t>82.79</w:t>
            </w:r>
          </w:p>
        </w:tc>
        <w:tc>
          <w:tcPr>
            <w:tcW w:w="715" w:type="dxa"/>
            <w:gridSpan w:val="2"/>
            <w:tcBorders>
              <w:top w:val="single" w:sz="4" w:space="0" w:color="auto"/>
              <w:left w:val="nil"/>
              <w:bottom w:val="single" w:sz="4" w:space="0" w:color="auto"/>
              <w:right w:val="single" w:sz="4" w:space="0" w:color="auto"/>
            </w:tcBorders>
            <w:shd w:val="clear" w:color="auto" w:fill="auto"/>
          </w:tcPr>
          <w:p w14:paraId="2BE89EF8" w14:textId="77777777" w:rsidR="004346F3" w:rsidRPr="00536CFD" w:rsidRDefault="004346F3" w:rsidP="00802ABC">
            <w:pPr>
              <w:spacing w:after="0"/>
              <w:jc w:val="center"/>
              <w:rPr>
                <w:lang w:val="zh-CN"/>
              </w:rPr>
            </w:pPr>
            <w:r w:rsidRPr="00536CFD">
              <w:rPr>
                <w:lang w:val="zh-CN"/>
              </w:rPr>
              <w:t>34.39</w:t>
            </w:r>
          </w:p>
        </w:tc>
        <w:tc>
          <w:tcPr>
            <w:tcW w:w="715" w:type="dxa"/>
            <w:gridSpan w:val="2"/>
            <w:tcBorders>
              <w:top w:val="single" w:sz="4" w:space="0" w:color="auto"/>
              <w:left w:val="nil"/>
              <w:bottom w:val="single" w:sz="4" w:space="0" w:color="auto"/>
              <w:right w:val="single" w:sz="4" w:space="0" w:color="auto"/>
            </w:tcBorders>
            <w:shd w:val="clear" w:color="auto" w:fill="auto"/>
          </w:tcPr>
          <w:p w14:paraId="16274BE4" w14:textId="77777777" w:rsidR="004346F3" w:rsidRPr="00536CFD" w:rsidRDefault="004346F3" w:rsidP="00802ABC">
            <w:pPr>
              <w:spacing w:after="0"/>
              <w:jc w:val="center"/>
              <w:rPr>
                <w:lang w:val="zh-CN"/>
              </w:rPr>
            </w:pPr>
            <w:r w:rsidRPr="00536CFD">
              <w:rPr>
                <w:lang w:val="zh-CN"/>
              </w:rPr>
              <w:t>58.78</w:t>
            </w:r>
          </w:p>
        </w:tc>
        <w:tc>
          <w:tcPr>
            <w:tcW w:w="715" w:type="dxa"/>
            <w:gridSpan w:val="2"/>
            <w:tcBorders>
              <w:top w:val="single" w:sz="4" w:space="0" w:color="auto"/>
              <w:left w:val="nil"/>
              <w:bottom w:val="single" w:sz="4" w:space="0" w:color="auto"/>
              <w:right w:val="single" w:sz="4" w:space="0" w:color="auto"/>
            </w:tcBorders>
            <w:shd w:val="clear" w:color="auto" w:fill="auto"/>
          </w:tcPr>
          <w:p w14:paraId="7C971B5A" w14:textId="77777777" w:rsidR="004346F3" w:rsidRPr="00536CFD" w:rsidRDefault="004346F3" w:rsidP="00802ABC">
            <w:pPr>
              <w:spacing w:after="0"/>
              <w:jc w:val="center"/>
              <w:rPr>
                <w:lang w:val="zh-CN"/>
              </w:rPr>
            </w:pPr>
            <w:r w:rsidRPr="00536CFD">
              <w:rPr>
                <w:lang w:val="zh-CN"/>
              </w:rPr>
              <w:t>72.92</w:t>
            </w:r>
          </w:p>
        </w:tc>
        <w:tc>
          <w:tcPr>
            <w:tcW w:w="715" w:type="dxa"/>
            <w:gridSpan w:val="2"/>
            <w:tcBorders>
              <w:top w:val="single" w:sz="4" w:space="0" w:color="auto"/>
              <w:left w:val="nil"/>
              <w:bottom w:val="single" w:sz="4" w:space="0" w:color="auto"/>
              <w:right w:val="single" w:sz="4" w:space="0" w:color="auto"/>
            </w:tcBorders>
            <w:shd w:val="clear" w:color="auto" w:fill="auto"/>
          </w:tcPr>
          <w:p w14:paraId="4C014E5F" w14:textId="77777777" w:rsidR="004346F3" w:rsidRPr="00536CFD" w:rsidRDefault="004346F3" w:rsidP="00802ABC">
            <w:pPr>
              <w:spacing w:after="0"/>
              <w:jc w:val="center"/>
              <w:rPr>
                <w:lang w:val="zh-CN"/>
              </w:rPr>
            </w:pPr>
            <w:r w:rsidRPr="00536CFD">
              <w:rPr>
                <w:lang w:val="zh-CN"/>
              </w:rPr>
              <w:t>81.23</w:t>
            </w:r>
          </w:p>
        </w:tc>
        <w:tc>
          <w:tcPr>
            <w:tcW w:w="737" w:type="dxa"/>
            <w:gridSpan w:val="2"/>
            <w:tcBorders>
              <w:top w:val="single" w:sz="4" w:space="0" w:color="auto"/>
              <w:left w:val="nil"/>
              <w:bottom w:val="single" w:sz="4" w:space="0" w:color="auto"/>
              <w:right w:val="single" w:sz="4" w:space="0" w:color="auto"/>
            </w:tcBorders>
            <w:shd w:val="clear" w:color="auto" w:fill="auto"/>
          </w:tcPr>
          <w:p w14:paraId="692863F5" w14:textId="77777777" w:rsidR="004346F3" w:rsidRPr="00536CFD" w:rsidRDefault="004346F3" w:rsidP="00802ABC">
            <w:pPr>
              <w:spacing w:after="0"/>
              <w:jc w:val="center"/>
              <w:rPr>
                <w:lang w:val="zh-CN"/>
              </w:rPr>
            </w:pPr>
            <w:r w:rsidRPr="00536CFD">
              <w:rPr>
                <w:lang w:val="zh-CN"/>
              </w:rPr>
              <w:t>16.70</w:t>
            </w:r>
          </w:p>
        </w:tc>
        <w:tc>
          <w:tcPr>
            <w:tcW w:w="738" w:type="dxa"/>
            <w:gridSpan w:val="2"/>
            <w:tcBorders>
              <w:top w:val="single" w:sz="4" w:space="0" w:color="auto"/>
              <w:left w:val="nil"/>
              <w:bottom w:val="single" w:sz="4" w:space="0" w:color="auto"/>
              <w:right w:val="single" w:sz="4" w:space="0" w:color="auto"/>
            </w:tcBorders>
            <w:shd w:val="clear" w:color="auto" w:fill="auto"/>
          </w:tcPr>
          <w:p w14:paraId="4D8F98DA" w14:textId="77777777" w:rsidR="004346F3" w:rsidRPr="00536CFD" w:rsidRDefault="004346F3" w:rsidP="00802ABC">
            <w:pPr>
              <w:spacing w:after="0"/>
              <w:jc w:val="center"/>
              <w:rPr>
                <w:lang w:val="zh-CN"/>
              </w:rPr>
            </w:pPr>
            <w:r w:rsidRPr="00536CFD">
              <w:rPr>
                <w:lang w:val="zh-CN"/>
              </w:rPr>
              <w:t>44.67</w:t>
            </w:r>
          </w:p>
        </w:tc>
        <w:tc>
          <w:tcPr>
            <w:tcW w:w="737" w:type="dxa"/>
            <w:gridSpan w:val="2"/>
            <w:tcBorders>
              <w:top w:val="single" w:sz="4" w:space="0" w:color="auto"/>
              <w:left w:val="nil"/>
              <w:bottom w:val="single" w:sz="4" w:space="0" w:color="auto"/>
              <w:right w:val="single" w:sz="4" w:space="0" w:color="auto"/>
            </w:tcBorders>
            <w:shd w:val="clear" w:color="auto" w:fill="auto"/>
          </w:tcPr>
          <w:p w14:paraId="18E7BDC9" w14:textId="77777777" w:rsidR="004346F3" w:rsidRPr="00536CFD" w:rsidRDefault="004346F3" w:rsidP="00802ABC">
            <w:pPr>
              <w:spacing w:after="0"/>
              <w:jc w:val="center"/>
              <w:rPr>
                <w:lang w:val="zh-CN"/>
              </w:rPr>
            </w:pPr>
            <w:r w:rsidRPr="00536CFD">
              <w:rPr>
                <w:lang w:val="zh-CN"/>
              </w:rPr>
              <w:t>55.47</w:t>
            </w:r>
          </w:p>
        </w:tc>
        <w:tc>
          <w:tcPr>
            <w:tcW w:w="738" w:type="dxa"/>
            <w:gridSpan w:val="2"/>
            <w:tcBorders>
              <w:top w:val="single" w:sz="4" w:space="0" w:color="auto"/>
              <w:left w:val="nil"/>
              <w:bottom w:val="single" w:sz="4" w:space="0" w:color="auto"/>
              <w:right w:val="single" w:sz="4" w:space="0" w:color="auto"/>
            </w:tcBorders>
            <w:shd w:val="clear" w:color="auto" w:fill="auto"/>
          </w:tcPr>
          <w:p w14:paraId="0D6892A7" w14:textId="77777777" w:rsidR="004346F3" w:rsidRPr="00536CFD" w:rsidRDefault="004346F3" w:rsidP="00802ABC">
            <w:pPr>
              <w:spacing w:after="0"/>
              <w:jc w:val="center"/>
              <w:rPr>
                <w:lang w:val="zh-CN"/>
              </w:rPr>
            </w:pPr>
            <w:r w:rsidRPr="00536CFD">
              <w:rPr>
                <w:lang w:val="zh-CN"/>
              </w:rPr>
              <w:t>77.16</w:t>
            </w:r>
          </w:p>
        </w:tc>
      </w:tr>
      <w:tr w:rsidR="004346F3" w:rsidRPr="00536CFD" w14:paraId="4BBBA117"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9C916CE"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727CABE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DL: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33DAEF2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tcPr>
          <w:p w14:paraId="71152399" w14:textId="77777777" w:rsidR="004346F3" w:rsidRPr="00536CFD" w:rsidRDefault="004346F3" w:rsidP="00802ABC">
            <w:pPr>
              <w:spacing w:after="0"/>
              <w:jc w:val="center"/>
              <w:rPr>
                <w:lang w:val="zh-CN"/>
              </w:rPr>
            </w:pPr>
            <w:r w:rsidRPr="00536CFD">
              <w:rPr>
                <w:lang w:val="zh-CN"/>
              </w:rPr>
              <w:t>0.035</w:t>
            </w:r>
          </w:p>
        </w:tc>
        <w:tc>
          <w:tcPr>
            <w:tcW w:w="644" w:type="dxa"/>
            <w:gridSpan w:val="2"/>
            <w:tcBorders>
              <w:top w:val="single" w:sz="4" w:space="0" w:color="auto"/>
              <w:left w:val="nil"/>
              <w:bottom w:val="single" w:sz="4" w:space="0" w:color="auto"/>
              <w:right w:val="single" w:sz="4" w:space="0" w:color="auto"/>
            </w:tcBorders>
            <w:shd w:val="clear" w:color="auto" w:fill="auto"/>
          </w:tcPr>
          <w:p w14:paraId="53039785" w14:textId="77777777" w:rsidR="004346F3" w:rsidRPr="00536CFD" w:rsidRDefault="004346F3" w:rsidP="00802ABC">
            <w:pPr>
              <w:spacing w:after="0"/>
              <w:jc w:val="center"/>
              <w:rPr>
                <w:lang w:val="zh-CN"/>
              </w:rPr>
            </w:pPr>
            <w:r w:rsidRPr="00536CFD">
              <w:rPr>
                <w:lang w:val="zh-CN"/>
              </w:rPr>
              <w:t>0.033</w:t>
            </w:r>
          </w:p>
        </w:tc>
        <w:tc>
          <w:tcPr>
            <w:tcW w:w="644" w:type="dxa"/>
            <w:gridSpan w:val="2"/>
            <w:tcBorders>
              <w:top w:val="single" w:sz="4" w:space="0" w:color="auto"/>
              <w:left w:val="nil"/>
              <w:bottom w:val="single" w:sz="4" w:space="0" w:color="auto"/>
              <w:right w:val="single" w:sz="4" w:space="0" w:color="auto"/>
            </w:tcBorders>
            <w:shd w:val="clear" w:color="auto" w:fill="auto"/>
          </w:tcPr>
          <w:p w14:paraId="4BD8BBBB" w14:textId="77777777" w:rsidR="004346F3" w:rsidRPr="00536CFD" w:rsidRDefault="004346F3" w:rsidP="00802ABC">
            <w:pPr>
              <w:spacing w:after="0"/>
              <w:jc w:val="center"/>
              <w:rPr>
                <w:lang w:val="zh-CN"/>
              </w:rPr>
            </w:pPr>
            <w:r w:rsidRPr="00536CFD">
              <w:rPr>
                <w:lang w:val="zh-CN"/>
              </w:rPr>
              <w:t>0.027</w:t>
            </w:r>
          </w:p>
        </w:tc>
        <w:tc>
          <w:tcPr>
            <w:tcW w:w="644" w:type="dxa"/>
            <w:gridSpan w:val="2"/>
            <w:tcBorders>
              <w:top w:val="single" w:sz="4" w:space="0" w:color="auto"/>
              <w:left w:val="nil"/>
              <w:bottom w:val="single" w:sz="4" w:space="0" w:color="auto"/>
              <w:right w:val="single" w:sz="4" w:space="0" w:color="auto"/>
            </w:tcBorders>
            <w:shd w:val="clear" w:color="auto" w:fill="auto"/>
          </w:tcPr>
          <w:p w14:paraId="54A6DCC9" w14:textId="77777777" w:rsidR="004346F3" w:rsidRPr="00536CFD" w:rsidRDefault="004346F3" w:rsidP="00802ABC">
            <w:pPr>
              <w:spacing w:after="0"/>
              <w:jc w:val="center"/>
              <w:rPr>
                <w:lang w:val="zh-CN"/>
              </w:rPr>
            </w:pPr>
            <w:r w:rsidRPr="00536CFD">
              <w:rPr>
                <w:lang w:val="zh-CN"/>
              </w:rPr>
              <w:t>0.027</w:t>
            </w:r>
          </w:p>
        </w:tc>
        <w:tc>
          <w:tcPr>
            <w:tcW w:w="715" w:type="dxa"/>
            <w:gridSpan w:val="2"/>
            <w:tcBorders>
              <w:top w:val="single" w:sz="4" w:space="0" w:color="auto"/>
              <w:left w:val="nil"/>
              <w:bottom w:val="single" w:sz="4" w:space="0" w:color="auto"/>
              <w:right w:val="single" w:sz="4" w:space="0" w:color="auto"/>
            </w:tcBorders>
            <w:shd w:val="clear" w:color="auto" w:fill="auto"/>
          </w:tcPr>
          <w:p w14:paraId="2070DB6B" w14:textId="77777777" w:rsidR="004346F3" w:rsidRPr="00536CFD" w:rsidRDefault="004346F3" w:rsidP="00802ABC">
            <w:pPr>
              <w:spacing w:after="0"/>
              <w:jc w:val="center"/>
              <w:rPr>
                <w:lang w:val="zh-CN"/>
              </w:rPr>
            </w:pPr>
            <w:r w:rsidRPr="00536CFD">
              <w:rPr>
                <w:lang w:val="zh-CN"/>
              </w:rPr>
              <w:t>0.054</w:t>
            </w:r>
          </w:p>
        </w:tc>
        <w:tc>
          <w:tcPr>
            <w:tcW w:w="715" w:type="dxa"/>
            <w:gridSpan w:val="2"/>
            <w:tcBorders>
              <w:top w:val="single" w:sz="4" w:space="0" w:color="auto"/>
              <w:left w:val="nil"/>
              <w:bottom w:val="single" w:sz="4" w:space="0" w:color="auto"/>
              <w:right w:val="single" w:sz="4" w:space="0" w:color="auto"/>
            </w:tcBorders>
            <w:shd w:val="clear" w:color="auto" w:fill="auto"/>
          </w:tcPr>
          <w:p w14:paraId="249E6DE4" w14:textId="77777777" w:rsidR="004346F3" w:rsidRPr="00536CFD" w:rsidRDefault="004346F3" w:rsidP="00802ABC">
            <w:pPr>
              <w:spacing w:after="0"/>
              <w:jc w:val="center"/>
              <w:rPr>
                <w:lang w:val="zh-CN"/>
              </w:rPr>
            </w:pPr>
            <w:r w:rsidRPr="00536CFD">
              <w:rPr>
                <w:lang w:val="zh-CN"/>
              </w:rPr>
              <w:t>0.033</w:t>
            </w:r>
          </w:p>
        </w:tc>
        <w:tc>
          <w:tcPr>
            <w:tcW w:w="715" w:type="dxa"/>
            <w:gridSpan w:val="2"/>
            <w:tcBorders>
              <w:top w:val="single" w:sz="4" w:space="0" w:color="auto"/>
              <w:left w:val="nil"/>
              <w:bottom w:val="single" w:sz="4" w:space="0" w:color="auto"/>
              <w:right w:val="single" w:sz="4" w:space="0" w:color="auto"/>
            </w:tcBorders>
            <w:shd w:val="clear" w:color="auto" w:fill="auto"/>
          </w:tcPr>
          <w:p w14:paraId="6CEA8B62" w14:textId="77777777" w:rsidR="004346F3" w:rsidRPr="00536CFD" w:rsidRDefault="004346F3" w:rsidP="00802ABC">
            <w:pPr>
              <w:spacing w:after="0"/>
              <w:jc w:val="center"/>
              <w:rPr>
                <w:lang w:val="zh-CN"/>
              </w:rPr>
            </w:pPr>
            <w:r w:rsidRPr="00536CFD">
              <w:rPr>
                <w:lang w:val="zh-CN"/>
              </w:rPr>
              <w:t>0.027</w:t>
            </w:r>
          </w:p>
        </w:tc>
        <w:tc>
          <w:tcPr>
            <w:tcW w:w="715" w:type="dxa"/>
            <w:gridSpan w:val="2"/>
            <w:tcBorders>
              <w:top w:val="single" w:sz="4" w:space="0" w:color="auto"/>
              <w:left w:val="nil"/>
              <w:bottom w:val="single" w:sz="4" w:space="0" w:color="auto"/>
              <w:right w:val="single" w:sz="4" w:space="0" w:color="auto"/>
            </w:tcBorders>
            <w:shd w:val="clear" w:color="auto" w:fill="auto"/>
          </w:tcPr>
          <w:p w14:paraId="7CF21A58" w14:textId="77777777" w:rsidR="004346F3" w:rsidRPr="00536CFD" w:rsidRDefault="004346F3" w:rsidP="00802ABC">
            <w:pPr>
              <w:spacing w:after="0"/>
              <w:jc w:val="center"/>
              <w:rPr>
                <w:lang w:val="zh-CN"/>
              </w:rPr>
            </w:pPr>
            <w:r w:rsidRPr="00536CFD">
              <w:rPr>
                <w:lang w:val="zh-CN"/>
              </w:rPr>
              <w:t>0.027</w:t>
            </w:r>
          </w:p>
        </w:tc>
        <w:tc>
          <w:tcPr>
            <w:tcW w:w="737" w:type="dxa"/>
            <w:gridSpan w:val="2"/>
            <w:tcBorders>
              <w:top w:val="single" w:sz="4" w:space="0" w:color="auto"/>
              <w:left w:val="nil"/>
              <w:bottom w:val="single" w:sz="4" w:space="0" w:color="auto"/>
              <w:right w:val="single" w:sz="4" w:space="0" w:color="auto"/>
            </w:tcBorders>
            <w:shd w:val="clear" w:color="auto" w:fill="auto"/>
          </w:tcPr>
          <w:p w14:paraId="6EE9A9F6" w14:textId="77777777" w:rsidR="004346F3" w:rsidRPr="00536CFD" w:rsidRDefault="004346F3" w:rsidP="00802ABC">
            <w:pPr>
              <w:spacing w:after="0"/>
              <w:jc w:val="center"/>
              <w:rPr>
                <w:lang w:val="zh-CN"/>
              </w:rPr>
            </w:pPr>
            <w:r w:rsidRPr="00536CFD">
              <w:rPr>
                <w:lang w:val="zh-CN"/>
              </w:rPr>
              <w:t>0.067</w:t>
            </w:r>
          </w:p>
        </w:tc>
        <w:tc>
          <w:tcPr>
            <w:tcW w:w="738" w:type="dxa"/>
            <w:gridSpan w:val="2"/>
            <w:tcBorders>
              <w:top w:val="single" w:sz="4" w:space="0" w:color="auto"/>
              <w:left w:val="nil"/>
              <w:bottom w:val="single" w:sz="4" w:space="0" w:color="auto"/>
              <w:right w:val="single" w:sz="4" w:space="0" w:color="auto"/>
            </w:tcBorders>
            <w:shd w:val="clear" w:color="auto" w:fill="auto"/>
          </w:tcPr>
          <w:p w14:paraId="152A3649" w14:textId="77777777" w:rsidR="004346F3" w:rsidRPr="00536CFD" w:rsidRDefault="004346F3" w:rsidP="00802ABC">
            <w:pPr>
              <w:spacing w:after="0"/>
              <w:jc w:val="center"/>
              <w:rPr>
                <w:lang w:val="zh-CN"/>
              </w:rPr>
            </w:pPr>
            <w:r w:rsidRPr="00536CFD">
              <w:rPr>
                <w:lang w:val="zh-CN"/>
              </w:rPr>
              <w:t>0.040</w:t>
            </w:r>
          </w:p>
        </w:tc>
        <w:tc>
          <w:tcPr>
            <w:tcW w:w="737" w:type="dxa"/>
            <w:gridSpan w:val="2"/>
            <w:tcBorders>
              <w:top w:val="single" w:sz="4" w:space="0" w:color="auto"/>
              <w:left w:val="nil"/>
              <w:bottom w:val="single" w:sz="4" w:space="0" w:color="auto"/>
              <w:right w:val="single" w:sz="4" w:space="0" w:color="auto"/>
            </w:tcBorders>
            <w:shd w:val="clear" w:color="auto" w:fill="auto"/>
          </w:tcPr>
          <w:p w14:paraId="0F714200" w14:textId="77777777" w:rsidR="004346F3" w:rsidRPr="00536CFD" w:rsidRDefault="004346F3" w:rsidP="00802ABC">
            <w:pPr>
              <w:spacing w:after="0"/>
              <w:jc w:val="center"/>
              <w:rPr>
                <w:lang w:val="zh-CN"/>
              </w:rPr>
            </w:pPr>
            <w:r w:rsidRPr="00536CFD">
              <w:rPr>
                <w:lang w:val="zh-CN"/>
              </w:rPr>
              <w:t>0.035</w:t>
            </w:r>
          </w:p>
        </w:tc>
        <w:tc>
          <w:tcPr>
            <w:tcW w:w="738" w:type="dxa"/>
            <w:gridSpan w:val="2"/>
            <w:tcBorders>
              <w:top w:val="single" w:sz="4" w:space="0" w:color="auto"/>
              <w:left w:val="nil"/>
              <w:bottom w:val="single" w:sz="4" w:space="0" w:color="auto"/>
              <w:right w:val="single" w:sz="4" w:space="0" w:color="auto"/>
            </w:tcBorders>
            <w:shd w:val="clear" w:color="auto" w:fill="auto"/>
          </w:tcPr>
          <w:p w14:paraId="06FDA550" w14:textId="77777777" w:rsidR="004346F3" w:rsidRPr="00536CFD" w:rsidRDefault="004346F3" w:rsidP="00802ABC">
            <w:pPr>
              <w:spacing w:after="0"/>
              <w:jc w:val="center"/>
              <w:rPr>
                <w:lang w:val="zh-CN"/>
              </w:rPr>
            </w:pPr>
            <w:r w:rsidRPr="00536CFD">
              <w:rPr>
                <w:lang w:val="zh-CN"/>
              </w:rPr>
              <w:t>0.028</w:t>
            </w:r>
          </w:p>
        </w:tc>
      </w:tr>
      <w:tr w:rsidR="004346F3" w:rsidRPr="00536CFD" w14:paraId="626BB4D0"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81FBD94"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74B8C8E1"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6FFF522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tcPr>
          <w:p w14:paraId="30FF8A18" w14:textId="77777777" w:rsidR="004346F3" w:rsidRPr="00536CFD" w:rsidRDefault="004346F3" w:rsidP="00802ABC">
            <w:pPr>
              <w:spacing w:after="0"/>
              <w:jc w:val="center"/>
              <w:rPr>
                <w:lang w:val="zh-CN"/>
              </w:rPr>
            </w:pPr>
            <w:r w:rsidRPr="00536CFD">
              <w:rPr>
                <w:lang w:val="zh-CN"/>
              </w:rPr>
              <w:t>0.096</w:t>
            </w:r>
          </w:p>
        </w:tc>
        <w:tc>
          <w:tcPr>
            <w:tcW w:w="644" w:type="dxa"/>
            <w:gridSpan w:val="2"/>
            <w:tcBorders>
              <w:top w:val="single" w:sz="4" w:space="0" w:color="auto"/>
              <w:left w:val="nil"/>
              <w:bottom w:val="single" w:sz="4" w:space="0" w:color="auto"/>
              <w:right w:val="single" w:sz="4" w:space="0" w:color="auto"/>
            </w:tcBorders>
            <w:shd w:val="clear" w:color="auto" w:fill="auto"/>
          </w:tcPr>
          <w:p w14:paraId="56619229" w14:textId="77777777" w:rsidR="004346F3" w:rsidRPr="00536CFD" w:rsidRDefault="004346F3" w:rsidP="00802ABC">
            <w:pPr>
              <w:spacing w:after="0"/>
              <w:jc w:val="center"/>
              <w:rPr>
                <w:lang w:val="zh-CN"/>
              </w:rPr>
            </w:pPr>
            <w:r w:rsidRPr="00536CFD">
              <w:rPr>
                <w:lang w:val="zh-CN"/>
              </w:rPr>
              <w:t>0.060</w:t>
            </w:r>
          </w:p>
        </w:tc>
        <w:tc>
          <w:tcPr>
            <w:tcW w:w="644" w:type="dxa"/>
            <w:gridSpan w:val="2"/>
            <w:tcBorders>
              <w:top w:val="single" w:sz="4" w:space="0" w:color="auto"/>
              <w:left w:val="nil"/>
              <w:bottom w:val="single" w:sz="4" w:space="0" w:color="auto"/>
              <w:right w:val="single" w:sz="4" w:space="0" w:color="auto"/>
            </w:tcBorders>
            <w:shd w:val="clear" w:color="auto" w:fill="auto"/>
          </w:tcPr>
          <w:p w14:paraId="783107C2" w14:textId="77777777" w:rsidR="004346F3" w:rsidRPr="00536CFD" w:rsidRDefault="004346F3" w:rsidP="00802ABC">
            <w:pPr>
              <w:spacing w:after="0"/>
              <w:jc w:val="center"/>
              <w:rPr>
                <w:lang w:val="zh-CN"/>
              </w:rPr>
            </w:pPr>
            <w:r w:rsidRPr="00536CFD">
              <w:rPr>
                <w:lang w:val="zh-CN"/>
              </w:rPr>
              <w:t>0.047</w:t>
            </w:r>
          </w:p>
        </w:tc>
        <w:tc>
          <w:tcPr>
            <w:tcW w:w="644" w:type="dxa"/>
            <w:gridSpan w:val="2"/>
            <w:tcBorders>
              <w:top w:val="single" w:sz="4" w:space="0" w:color="auto"/>
              <w:left w:val="nil"/>
              <w:bottom w:val="single" w:sz="4" w:space="0" w:color="auto"/>
              <w:right w:val="single" w:sz="4" w:space="0" w:color="auto"/>
            </w:tcBorders>
            <w:shd w:val="clear" w:color="auto" w:fill="auto"/>
          </w:tcPr>
          <w:p w14:paraId="0C0387A7" w14:textId="77777777" w:rsidR="004346F3" w:rsidRPr="00536CFD" w:rsidRDefault="004346F3" w:rsidP="00802ABC">
            <w:pPr>
              <w:spacing w:after="0"/>
              <w:jc w:val="center"/>
              <w:rPr>
                <w:lang w:val="zh-CN"/>
              </w:rPr>
            </w:pPr>
            <w:r w:rsidRPr="00536CFD">
              <w:rPr>
                <w:lang w:val="zh-CN"/>
              </w:rPr>
              <w:t>0.041</w:t>
            </w:r>
          </w:p>
        </w:tc>
        <w:tc>
          <w:tcPr>
            <w:tcW w:w="715" w:type="dxa"/>
            <w:gridSpan w:val="2"/>
            <w:tcBorders>
              <w:top w:val="single" w:sz="4" w:space="0" w:color="auto"/>
              <w:left w:val="nil"/>
              <w:bottom w:val="single" w:sz="4" w:space="0" w:color="auto"/>
              <w:right w:val="single" w:sz="4" w:space="0" w:color="auto"/>
            </w:tcBorders>
            <w:shd w:val="clear" w:color="auto" w:fill="auto"/>
          </w:tcPr>
          <w:p w14:paraId="7E77D3FA" w14:textId="77777777" w:rsidR="004346F3" w:rsidRPr="00536CFD" w:rsidRDefault="004346F3" w:rsidP="00802ABC">
            <w:pPr>
              <w:spacing w:after="0"/>
              <w:jc w:val="center"/>
              <w:rPr>
                <w:lang w:val="zh-CN"/>
              </w:rPr>
            </w:pPr>
            <w:r w:rsidRPr="00536CFD">
              <w:rPr>
                <w:lang w:val="zh-CN"/>
              </w:rPr>
              <w:t>0.520</w:t>
            </w:r>
          </w:p>
        </w:tc>
        <w:tc>
          <w:tcPr>
            <w:tcW w:w="715" w:type="dxa"/>
            <w:gridSpan w:val="2"/>
            <w:tcBorders>
              <w:top w:val="single" w:sz="4" w:space="0" w:color="auto"/>
              <w:left w:val="nil"/>
              <w:bottom w:val="single" w:sz="4" w:space="0" w:color="auto"/>
              <w:right w:val="single" w:sz="4" w:space="0" w:color="auto"/>
            </w:tcBorders>
            <w:shd w:val="clear" w:color="auto" w:fill="auto"/>
          </w:tcPr>
          <w:p w14:paraId="560C1481" w14:textId="77777777" w:rsidR="004346F3" w:rsidRPr="00536CFD" w:rsidRDefault="004346F3" w:rsidP="00802ABC">
            <w:pPr>
              <w:spacing w:after="0"/>
              <w:jc w:val="center"/>
              <w:rPr>
                <w:lang w:val="zh-CN"/>
              </w:rPr>
            </w:pPr>
            <w:r w:rsidRPr="00536CFD">
              <w:rPr>
                <w:lang w:val="zh-CN"/>
              </w:rPr>
              <w:t>0.071</w:t>
            </w:r>
          </w:p>
        </w:tc>
        <w:tc>
          <w:tcPr>
            <w:tcW w:w="715" w:type="dxa"/>
            <w:gridSpan w:val="2"/>
            <w:tcBorders>
              <w:top w:val="single" w:sz="4" w:space="0" w:color="auto"/>
              <w:left w:val="nil"/>
              <w:bottom w:val="single" w:sz="4" w:space="0" w:color="auto"/>
              <w:right w:val="single" w:sz="4" w:space="0" w:color="auto"/>
            </w:tcBorders>
            <w:shd w:val="clear" w:color="auto" w:fill="auto"/>
          </w:tcPr>
          <w:p w14:paraId="287B8E47" w14:textId="77777777" w:rsidR="004346F3" w:rsidRPr="00536CFD" w:rsidRDefault="004346F3" w:rsidP="00802ABC">
            <w:pPr>
              <w:spacing w:after="0"/>
              <w:jc w:val="center"/>
              <w:rPr>
                <w:lang w:val="zh-CN"/>
              </w:rPr>
            </w:pPr>
            <w:r w:rsidRPr="00536CFD">
              <w:rPr>
                <w:lang w:val="zh-CN"/>
              </w:rPr>
              <w:t>0.056</w:t>
            </w:r>
          </w:p>
        </w:tc>
        <w:tc>
          <w:tcPr>
            <w:tcW w:w="715" w:type="dxa"/>
            <w:gridSpan w:val="2"/>
            <w:tcBorders>
              <w:top w:val="single" w:sz="4" w:space="0" w:color="auto"/>
              <w:left w:val="nil"/>
              <w:bottom w:val="single" w:sz="4" w:space="0" w:color="auto"/>
              <w:right w:val="single" w:sz="4" w:space="0" w:color="auto"/>
            </w:tcBorders>
            <w:shd w:val="clear" w:color="auto" w:fill="auto"/>
          </w:tcPr>
          <w:p w14:paraId="270E0579" w14:textId="77777777" w:rsidR="004346F3" w:rsidRPr="00536CFD" w:rsidRDefault="004346F3" w:rsidP="00802ABC">
            <w:pPr>
              <w:spacing w:after="0"/>
              <w:jc w:val="center"/>
              <w:rPr>
                <w:lang w:val="zh-CN"/>
              </w:rPr>
            </w:pPr>
            <w:r w:rsidRPr="00536CFD">
              <w:rPr>
                <w:lang w:val="zh-CN"/>
              </w:rPr>
              <w:t>0.043</w:t>
            </w:r>
          </w:p>
        </w:tc>
        <w:tc>
          <w:tcPr>
            <w:tcW w:w="737" w:type="dxa"/>
            <w:gridSpan w:val="2"/>
            <w:tcBorders>
              <w:top w:val="single" w:sz="4" w:space="0" w:color="auto"/>
              <w:left w:val="nil"/>
              <w:bottom w:val="single" w:sz="4" w:space="0" w:color="auto"/>
              <w:right w:val="single" w:sz="4" w:space="0" w:color="auto"/>
            </w:tcBorders>
            <w:shd w:val="clear" w:color="auto" w:fill="auto"/>
          </w:tcPr>
          <w:p w14:paraId="5FF4B7F7" w14:textId="77777777" w:rsidR="004346F3" w:rsidRPr="00536CFD" w:rsidRDefault="004346F3" w:rsidP="00802ABC">
            <w:pPr>
              <w:spacing w:after="0"/>
              <w:jc w:val="center"/>
              <w:rPr>
                <w:lang w:val="zh-CN"/>
              </w:rPr>
            </w:pPr>
            <w:r w:rsidRPr="00536CFD">
              <w:rPr>
                <w:lang w:val="zh-CN"/>
              </w:rPr>
              <w:t>0.865</w:t>
            </w:r>
          </w:p>
        </w:tc>
        <w:tc>
          <w:tcPr>
            <w:tcW w:w="738" w:type="dxa"/>
            <w:gridSpan w:val="2"/>
            <w:tcBorders>
              <w:top w:val="single" w:sz="4" w:space="0" w:color="auto"/>
              <w:left w:val="nil"/>
              <w:bottom w:val="single" w:sz="4" w:space="0" w:color="auto"/>
              <w:right w:val="single" w:sz="4" w:space="0" w:color="auto"/>
            </w:tcBorders>
            <w:shd w:val="clear" w:color="auto" w:fill="auto"/>
          </w:tcPr>
          <w:p w14:paraId="4A4263BC" w14:textId="77777777" w:rsidR="004346F3" w:rsidRPr="00536CFD" w:rsidRDefault="004346F3" w:rsidP="00802ABC">
            <w:pPr>
              <w:spacing w:after="0"/>
              <w:jc w:val="center"/>
              <w:rPr>
                <w:lang w:val="zh-CN"/>
              </w:rPr>
            </w:pPr>
            <w:r w:rsidRPr="00536CFD">
              <w:rPr>
                <w:lang w:val="zh-CN"/>
              </w:rPr>
              <w:t>0.151</w:t>
            </w:r>
          </w:p>
        </w:tc>
        <w:tc>
          <w:tcPr>
            <w:tcW w:w="737" w:type="dxa"/>
            <w:gridSpan w:val="2"/>
            <w:tcBorders>
              <w:top w:val="single" w:sz="4" w:space="0" w:color="auto"/>
              <w:left w:val="nil"/>
              <w:bottom w:val="single" w:sz="4" w:space="0" w:color="auto"/>
              <w:right w:val="single" w:sz="4" w:space="0" w:color="auto"/>
            </w:tcBorders>
            <w:shd w:val="clear" w:color="auto" w:fill="auto"/>
          </w:tcPr>
          <w:p w14:paraId="6FF8F770" w14:textId="77777777" w:rsidR="004346F3" w:rsidRPr="00536CFD" w:rsidRDefault="004346F3" w:rsidP="00802ABC">
            <w:pPr>
              <w:spacing w:after="0"/>
              <w:jc w:val="center"/>
              <w:rPr>
                <w:lang w:val="zh-CN"/>
              </w:rPr>
            </w:pPr>
            <w:r w:rsidRPr="00536CFD">
              <w:rPr>
                <w:lang w:val="zh-CN"/>
              </w:rPr>
              <w:t>0.124</w:t>
            </w:r>
          </w:p>
        </w:tc>
        <w:tc>
          <w:tcPr>
            <w:tcW w:w="738" w:type="dxa"/>
            <w:gridSpan w:val="2"/>
            <w:tcBorders>
              <w:top w:val="single" w:sz="4" w:space="0" w:color="auto"/>
              <w:left w:val="nil"/>
              <w:bottom w:val="single" w:sz="4" w:space="0" w:color="auto"/>
              <w:right w:val="single" w:sz="4" w:space="0" w:color="auto"/>
            </w:tcBorders>
            <w:shd w:val="clear" w:color="auto" w:fill="auto"/>
          </w:tcPr>
          <w:p w14:paraId="3D398337" w14:textId="77777777" w:rsidR="004346F3" w:rsidRPr="00536CFD" w:rsidRDefault="004346F3" w:rsidP="00802ABC">
            <w:pPr>
              <w:spacing w:after="0"/>
              <w:jc w:val="center"/>
              <w:rPr>
                <w:lang w:val="zh-CN"/>
              </w:rPr>
            </w:pPr>
            <w:r w:rsidRPr="00536CFD">
              <w:rPr>
                <w:lang w:val="zh-CN"/>
              </w:rPr>
              <w:t>0.046</w:t>
            </w:r>
          </w:p>
        </w:tc>
      </w:tr>
      <w:tr w:rsidR="004346F3" w:rsidRPr="00536CFD" w14:paraId="3344E488"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5904759D"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B20F103"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59CAC5E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tcPr>
          <w:p w14:paraId="5317D3A9" w14:textId="77777777" w:rsidR="004346F3" w:rsidRPr="00536CFD" w:rsidRDefault="004346F3" w:rsidP="00802ABC">
            <w:pPr>
              <w:spacing w:after="0"/>
              <w:jc w:val="center"/>
              <w:rPr>
                <w:lang w:val="zh-CN"/>
              </w:rPr>
            </w:pPr>
            <w:r w:rsidRPr="00536CFD">
              <w:rPr>
                <w:lang w:val="zh-CN"/>
              </w:rPr>
              <w:t>0.467</w:t>
            </w:r>
          </w:p>
        </w:tc>
        <w:tc>
          <w:tcPr>
            <w:tcW w:w="644" w:type="dxa"/>
            <w:gridSpan w:val="2"/>
            <w:tcBorders>
              <w:top w:val="single" w:sz="4" w:space="0" w:color="auto"/>
              <w:left w:val="nil"/>
              <w:bottom w:val="single" w:sz="4" w:space="0" w:color="auto"/>
              <w:right w:val="single" w:sz="4" w:space="0" w:color="auto"/>
            </w:tcBorders>
            <w:shd w:val="clear" w:color="auto" w:fill="auto"/>
          </w:tcPr>
          <w:p w14:paraId="541FEDEF" w14:textId="77777777" w:rsidR="004346F3" w:rsidRPr="00536CFD" w:rsidRDefault="004346F3" w:rsidP="00802ABC">
            <w:pPr>
              <w:spacing w:after="0"/>
              <w:jc w:val="center"/>
              <w:rPr>
                <w:lang w:val="zh-CN"/>
              </w:rPr>
            </w:pPr>
            <w:r w:rsidRPr="00536CFD">
              <w:rPr>
                <w:lang w:val="zh-CN"/>
              </w:rPr>
              <w:t>0.226</w:t>
            </w:r>
          </w:p>
        </w:tc>
        <w:tc>
          <w:tcPr>
            <w:tcW w:w="644" w:type="dxa"/>
            <w:gridSpan w:val="2"/>
            <w:tcBorders>
              <w:top w:val="single" w:sz="4" w:space="0" w:color="auto"/>
              <w:left w:val="nil"/>
              <w:bottom w:val="single" w:sz="4" w:space="0" w:color="auto"/>
              <w:right w:val="single" w:sz="4" w:space="0" w:color="auto"/>
            </w:tcBorders>
            <w:shd w:val="clear" w:color="auto" w:fill="auto"/>
          </w:tcPr>
          <w:p w14:paraId="67F7C71C" w14:textId="77777777" w:rsidR="004346F3" w:rsidRPr="00536CFD" w:rsidRDefault="004346F3" w:rsidP="00802ABC">
            <w:pPr>
              <w:spacing w:after="0"/>
              <w:jc w:val="center"/>
              <w:rPr>
                <w:lang w:val="zh-CN"/>
              </w:rPr>
            </w:pPr>
            <w:r w:rsidRPr="00536CFD">
              <w:rPr>
                <w:lang w:val="zh-CN"/>
              </w:rPr>
              <w:t>0.153</w:t>
            </w:r>
          </w:p>
        </w:tc>
        <w:tc>
          <w:tcPr>
            <w:tcW w:w="644" w:type="dxa"/>
            <w:gridSpan w:val="2"/>
            <w:tcBorders>
              <w:top w:val="single" w:sz="4" w:space="0" w:color="auto"/>
              <w:left w:val="nil"/>
              <w:bottom w:val="single" w:sz="4" w:space="0" w:color="auto"/>
              <w:right w:val="single" w:sz="4" w:space="0" w:color="auto"/>
            </w:tcBorders>
            <w:shd w:val="clear" w:color="auto" w:fill="auto"/>
          </w:tcPr>
          <w:p w14:paraId="279E5C7C" w14:textId="77777777" w:rsidR="004346F3" w:rsidRPr="00536CFD" w:rsidRDefault="004346F3" w:rsidP="00802ABC">
            <w:pPr>
              <w:spacing w:after="0"/>
              <w:jc w:val="center"/>
              <w:rPr>
                <w:lang w:val="zh-CN"/>
              </w:rPr>
            </w:pPr>
            <w:r w:rsidRPr="00536CFD">
              <w:rPr>
                <w:lang w:val="zh-CN"/>
              </w:rPr>
              <w:t>0.109</w:t>
            </w:r>
          </w:p>
        </w:tc>
        <w:tc>
          <w:tcPr>
            <w:tcW w:w="715" w:type="dxa"/>
            <w:gridSpan w:val="2"/>
            <w:tcBorders>
              <w:top w:val="single" w:sz="4" w:space="0" w:color="auto"/>
              <w:left w:val="nil"/>
              <w:bottom w:val="single" w:sz="4" w:space="0" w:color="auto"/>
              <w:right w:val="single" w:sz="4" w:space="0" w:color="auto"/>
            </w:tcBorders>
            <w:shd w:val="clear" w:color="auto" w:fill="auto"/>
          </w:tcPr>
          <w:p w14:paraId="014EB653" w14:textId="77777777" w:rsidR="004346F3" w:rsidRPr="00536CFD" w:rsidRDefault="004346F3" w:rsidP="00802ABC">
            <w:pPr>
              <w:spacing w:after="0"/>
              <w:jc w:val="center"/>
              <w:rPr>
                <w:lang w:val="zh-CN"/>
              </w:rPr>
            </w:pPr>
            <w:r w:rsidRPr="00536CFD">
              <w:rPr>
                <w:lang w:val="zh-CN"/>
              </w:rPr>
              <w:t>5.633</w:t>
            </w:r>
          </w:p>
        </w:tc>
        <w:tc>
          <w:tcPr>
            <w:tcW w:w="715" w:type="dxa"/>
            <w:gridSpan w:val="2"/>
            <w:tcBorders>
              <w:top w:val="single" w:sz="4" w:space="0" w:color="auto"/>
              <w:left w:val="nil"/>
              <w:bottom w:val="single" w:sz="4" w:space="0" w:color="auto"/>
              <w:right w:val="single" w:sz="4" w:space="0" w:color="auto"/>
            </w:tcBorders>
            <w:shd w:val="clear" w:color="auto" w:fill="auto"/>
          </w:tcPr>
          <w:p w14:paraId="43B5473F" w14:textId="77777777" w:rsidR="004346F3" w:rsidRPr="00536CFD" w:rsidRDefault="004346F3" w:rsidP="00802ABC">
            <w:pPr>
              <w:spacing w:after="0"/>
              <w:jc w:val="center"/>
              <w:rPr>
                <w:lang w:val="zh-CN"/>
              </w:rPr>
            </w:pPr>
            <w:r w:rsidRPr="00536CFD">
              <w:rPr>
                <w:lang w:val="zh-CN"/>
              </w:rPr>
              <w:t>0.324</w:t>
            </w:r>
          </w:p>
        </w:tc>
        <w:tc>
          <w:tcPr>
            <w:tcW w:w="715" w:type="dxa"/>
            <w:gridSpan w:val="2"/>
            <w:tcBorders>
              <w:top w:val="single" w:sz="4" w:space="0" w:color="auto"/>
              <w:left w:val="nil"/>
              <w:bottom w:val="single" w:sz="4" w:space="0" w:color="auto"/>
              <w:right w:val="single" w:sz="4" w:space="0" w:color="auto"/>
            </w:tcBorders>
            <w:shd w:val="clear" w:color="auto" w:fill="auto"/>
          </w:tcPr>
          <w:p w14:paraId="1C7B2577" w14:textId="77777777" w:rsidR="004346F3" w:rsidRPr="00536CFD" w:rsidRDefault="004346F3" w:rsidP="00802ABC">
            <w:pPr>
              <w:spacing w:after="0"/>
              <w:jc w:val="center"/>
              <w:rPr>
                <w:lang w:val="zh-CN"/>
              </w:rPr>
            </w:pPr>
            <w:r w:rsidRPr="00536CFD">
              <w:rPr>
                <w:lang w:val="zh-CN"/>
              </w:rPr>
              <w:t>0.292</w:t>
            </w:r>
          </w:p>
        </w:tc>
        <w:tc>
          <w:tcPr>
            <w:tcW w:w="715" w:type="dxa"/>
            <w:gridSpan w:val="2"/>
            <w:tcBorders>
              <w:top w:val="single" w:sz="4" w:space="0" w:color="auto"/>
              <w:left w:val="nil"/>
              <w:bottom w:val="single" w:sz="4" w:space="0" w:color="auto"/>
              <w:right w:val="single" w:sz="4" w:space="0" w:color="auto"/>
            </w:tcBorders>
            <w:shd w:val="clear" w:color="auto" w:fill="auto"/>
          </w:tcPr>
          <w:p w14:paraId="3B59028C" w14:textId="77777777" w:rsidR="004346F3" w:rsidRPr="00536CFD" w:rsidRDefault="004346F3" w:rsidP="00802ABC">
            <w:pPr>
              <w:spacing w:after="0"/>
              <w:jc w:val="center"/>
              <w:rPr>
                <w:lang w:val="zh-CN"/>
              </w:rPr>
            </w:pPr>
            <w:r w:rsidRPr="00536CFD">
              <w:rPr>
                <w:lang w:val="zh-CN"/>
              </w:rPr>
              <w:t>0.118</w:t>
            </w:r>
          </w:p>
        </w:tc>
        <w:tc>
          <w:tcPr>
            <w:tcW w:w="737" w:type="dxa"/>
            <w:gridSpan w:val="2"/>
            <w:tcBorders>
              <w:top w:val="single" w:sz="4" w:space="0" w:color="auto"/>
              <w:left w:val="nil"/>
              <w:bottom w:val="single" w:sz="4" w:space="0" w:color="auto"/>
              <w:right w:val="single" w:sz="4" w:space="0" w:color="auto"/>
            </w:tcBorders>
            <w:shd w:val="clear" w:color="auto" w:fill="auto"/>
          </w:tcPr>
          <w:p w14:paraId="60C3972A" w14:textId="77777777" w:rsidR="004346F3" w:rsidRPr="00536CFD" w:rsidRDefault="004346F3" w:rsidP="00802ABC">
            <w:pPr>
              <w:spacing w:after="0"/>
              <w:jc w:val="center"/>
              <w:rPr>
                <w:lang w:val="zh-CN"/>
              </w:rPr>
            </w:pPr>
            <w:r w:rsidRPr="00536CFD">
              <w:rPr>
                <w:lang w:val="zh-CN"/>
              </w:rPr>
              <w:t>12.329</w:t>
            </w:r>
          </w:p>
        </w:tc>
        <w:tc>
          <w:tcPr>
            <w:tcW w:w="738" w:type="dxa"/>
            <w:gridSpan w:val="2"/>
            <w:tcBorders>
              <w:top w:val="single" w:sz="4" w:space="0" w:color="auto"/>
              <w:left w:val="nil"/>
              <w:bottom w:val="single" w:sz="4" w:space="0" w:color="auto"/>
              <w:right w:val="single" w:sz="4" w:space="0" w:color="auto"/>
            </w:tcBorders>
            <w:shd w:val="clear" w:color="auto" w:fill="auto"/>
          </w:tcPr>
          <w:p w14:paraId="4A8B0C16" w14:textId="77777777" w:rsidR="004346F3" w:rsidRPr="00536CFD" w:rsidRDefault="004346F3" w:rsidP="00802ABC">
            <w:pPr>
              <w:spacing w:after="0"/>
              <w:jc w:val="center"/>
              <w:rPr>
                <w:lang w:val="zh-CN"/>
              </w:rPr>
            </w:pPr>
            <w:r w:rsidRPr="00536CFD">
              <w:rPr>
                <w:lang w:val="zh-CN"/>
              </w:rPr>
              <w:t>1.468</w:t>
            </w:r>
          </w:p>
        </w:tc>
        <w:tc>
          <w:tcPr>
            <w:tcW w:w="737" w:type="dxa"/>
            <w:gridSpan w:val="2"/>
            <w:tcBorders>
              <w:top w:val="single" w:sz="4" w:space="0" w:color="auto"/>
              <w:left w:val="nil"/>
              <w:bottom w:val="single" w:sz="4" w:space="0" w:color="auto"/>
              <w:right w:val="single" w:sz="4" w:space="0" w:color="auto"/>
            </w:tcBorders>
            <w:shd w:val="clear" w:color="auto" w:fill="auto"/>
          </w:tcPr>
          <w:p w14:paraId="535B7C10" w14:textId="77777777" w:rsidR="004346F3" w:rsidRPr="00536CFD" w:rsidRDefault="004346F3" w:rsidP="00802ABC">
            <w:pPr>
              <w:spacing w:after="0"/>
              <w:jc w:val="center"/>
              <w:rPr>
                <w:lang w:val="zh-CN"/>
              </w:rPr>
            </w:pPr>
            <w:r w:rsidRPr="00536CFD">
              <w:rPr>
                <w:lang w:val="zh-CN"/>
              </w:rPr>
              <w:t>1.156</w:t>
            </w:r>
          </w:p>
        </w:tc>
        <w:tc>
          <w:tcPr>
            <w:tcW w:w="738" w:type="dxa"/>
            <w:gridSpan w:val="2"/>
            <w:tcBorders>
              <w:top w:val="single" w:sz="4" w:space="0" w:color="auto"/>
              <w:left w:val="nil"/>
              <w:bottom w:val="single" w:sz="4" w:space="0" w:color="auto"/>
              <w:right w:val="single" w:sz="4" w:space="0" w:color="auto"/>
            </w:tcBorders>
            <w:shd w:val="clear" w:color="auto" w:fill="auto"/>
          </w:tcPr>
          <w:p w14:paraId="77B34401" w14:textId="77777777" w:rsidR="004346F3" w:rsidRPr="00536CFD" w:rsidRDefault="004346F3" w:rsidP="00802ABC">
            <w:pPr>
              <w:spacing w:after="0"/>
              <w:jc w:val="center"/>
              <w:rPr>
                <w:lang w:val="zh-CN"/>
              </w:rPr>
            </w:pPr>
            <w:r w:rsidRPr="00536CFD">
              <w:rPr>
                <w:lang w:val="zh-CN"/>
              </w:rPr>
              <w:t>0.132</w:t>
            </w:r>
          </w:p>
        </w:tc>
      </w:tr>
      <w:tr w:rsidR="004346F3" w:rsidRPr="00536CFD" w14:paraId="413F64AE"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5000D25"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E05392F"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496F738D"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tcPr>
          <w:p w14:paraId="53B0B9E5" w14:textId="77777777" w:rsidR="004346F3" w:rsidRPr="00536CFD" w:rsidRDefault="004346F3" w:rsidP="00802ABC">
            <w:pPr>
              <w:spacing w:after="0"/>
              <w:jc w:val="center"/>
              <w:rPr>
                <w:lang w:val="zh-CN"/>
              </w:rPr>
            </w:pPr>
            <w:r w:rsidRPr="00536CFD">
              <w:rPr>
                <w:lang w:val="zh-CN"/>
              </w:rPr>
              <w:t>0.182</w:t>
            </w:r>
          </w:p>
        </w:tc>
        <w:tc>
          <w:tcPr>
            <w:tcW w:w="644" w:type="dxa"/>
            <w:gridSpan w:val="2"/>
            <w:tcBorders>
              <w:top w:val="single" w:sz="4" w:space="0" w:color="auto"/>
              <w:left w:val="nil"/>
              <w:bottom w:val="single" w:sz="4" w:space="0" w:color="auto"/>
              <w:right w:val="single" w:sz="4" w:space="0" w:color="auto"/>
            </w:tcBorders>
            <w:shd w:val="clear" w:color="auto" w:fill="auto"/>
          </w:tcPr>
          <w:p w14:paraId="3DD85F95" w14:textId="77777777" w:rsidR="004346F3" w:rsidRPr="00536CFD" w:rsidRDefault="004346F3" w:rsidP="00802ABC">
            <w:pPr>
              <w:spacing w:after="0"/>
              <w:jc w:val="center"/>
              <w:rPr>
                <w:lang w:val="zh-CN"/>
              </w:rPr>
            </w:pPr>
            <w:r w:rsidRPr="00536CFD">
              <w:rPr>
                <w:lang w:val="zh-CN"/>
              </w:rPr>
              <w:t>0.093</w:t>
            </w:r>
          </w:p>
        </w:tc>
        <w:tc>
          <w:tcPr>
            <w:tcW w:w="644" w:type="dxa"/>
            <w:gridSpan w:val="2"/>
            <w:tcBorders>
              <w:top w:val="single" w:sz="4" w:space="0" w:color="auto"/>
              <w:left w:val="nil"/>
              <w:bottom w:val="single" w:sz="4" w:space="0" w:color="auto"/>
              <w:right w:val="single" w:sz="4" w:space="0" w:color="auto"/>
            </w:tcBorders>
            <w:shd w:val="clear" w:color="auto" w:fill="auto"/>
          </w:tcPr>
          <w:p w14:paraId="30D7A55B" w14:textId="77777777" w:rsidR="004346F3" w:rsidRPr="00536CFD" w:rsidRDefault="004346F3" w:rsidP="00802ABC">
            <w:pPr>
              <w:spacing w:after="0"/>
              <w:jc w:val="center"/>
              <w:rPr>
                <w:lang w:val="zh-CN"/>
              </w:rPr>
            </w:pPr>
            <w:r w:rsidRPr="00536CFD">
              <w:rPr>
                <w:lang w:val="zh-CN"/>
              </w:rPr>
              <w:t>0.069</w:t>
            </w:r>
          </w:p>
        </w:tc>
        <w:tc>
          <w:tcPr>
            <w:tcW w:w="644" w:type="dxa"/>
            <w:gridSpan w:val="2"/>
            <w:tcBorders>
              <w:top w:val="single" w:sz="4" w:space="0" w:color="auto"/>
              <w:left w:val="nil"/>
              <w:bottom w:val="single" w:sz="4" w:space="0" w:color="auto"/>
              <w:right w:val="single" w:sz="4" w:space="0" w:color="auto"/>
            </w:tcBorders>
            <w:shd w:val="clear" w:color="auto" w:fill="auto"/>
          </w:tcPr>
          <w:p w14:paraId="5BEF5FCF" w14:textId="77777777" w:rsidR="004346F3" w:rsidRPr="00536CFD" w:rsidRDefault="004346F3" w:rsidP="00802ABC">
            <w:pPr>
              <w:spacing w:after="0"/>
              <w:jc w:val="center"/>
              <w:rPr>
                <w:lang w:val="zh-CN"/>
              </w:rPr>
            </w:pPr>
            <w:r w:rsidRPr="00536CFD">
              <w:rPr>
                <w:lang w:val="zh-CN"/>
              </w:rPr>
              <w:t>0.054</w:t>
            </w:r>
          </w:p>
        </w:tc>
        <w:tc>
          <w:tcPr>
            <w:tcW w:w="715" w:type="dxa"/>
            <w:gridSpan w:val="2"/>
            <w:tcBorders>
              <w:top w:val="single" w:sz="4" w:space="0" w:color="auto"/>
              <w:left w:val="nil"/>
              <w:bottom w:val="single" w:sz="4" w:space="0" w:color="auto"/>
              <w:right w:val="single" w:sz="4" w:space="0" w:color="auto"/>
            </w:tcBorders>
            <w:shd w:val="clear" w:color="auto" w:fill="auto"/>
          </w:tcPr>
          <w:p w14:paraId="093B7A8B" w14:textId="77777777" w:rsidR="004346F3" w:rsidRPr="00536CFD" w:rsidRDefault="004346F3" w:rsidP="00802ABC">
            <w:pPr>
              <w:spacing w:after="0"/>
              <w:jc w:val="center"/>
              <w:rPr>
                <w:lang w:val="zh-CN"/>
              </w:rPr>
            </w:pPr>
            <w:r w:rsidRPr="00536CFD">
              <w:rPr>
                <w:lang w:val="zh-CN"/>
              </w:rPr>
              <w:t>1.497</w:t>
            </w:r>
          </w:p>
        </w:tc>
        <w:tc>
          <w:tcPr>
            <w:tcW w:w="715" w:type="dxa"/>
            <w:gridSpan w:val="2"/>
            <w:tcBorders>
              <w:top w:val="single" w:sz="4" w:space="0" w:color="auto"/>
              <w:left w:val="nil"/>
              <w:bottom w:val="single" w:sz="4" w:space="0" w:color="auto"/>
              <w:right w:val="single" w:sz="4" w:space="0" w:color="auto"/>
            </w:tcBorders>
            <w:shd w:val="clear" w:color="auto" w:fill="auto"/>
          </w:tcPr>
          <w:p w14:paraId="49D8E104" w14:textId="77777777" w:rsidR="004346F3" w:rsidRPr="00536CFD" w:rsidRDefault="004346F3" w:rsidP="00802ABC">
            <w:pPr>
              <w:spacing w:after="0"/>
              <w:jc w:val="center"/>
              <w:rPr>
                <w:lang w:val="zh-CN"/>
              </w:rPr>
            </w:pPr>
            <w:r w:rsidRPr="00536CFD">
              <w:rPr>
                <w:lang w:val="zh-CN"/>
              </w:rPr>
              <w:t>0.120</w:t>
            </w:r>
          </w:p>
        </w:tc>
        <w:tc>
          <w:tcPr>
            <w:tcW w:w="715" w:type="dxa"/>
            <w:gridSpan w:val="2"/>
            <w:tcBorders>
              <w:top w:val="single" w:sz="4" w:space="0" w:color="auto"/>
              <w:left w:val="nil"/>
              <w:bottom w:val="single" w:sz="4" w:space="0" w:color="auto"/>
              <w:right w:val="single" w:sz="4" w:space="0" w:color="auto"/>
            </w:tcBorders>
            <w:shd w:val="clear" w:color="auto" w:fill="auto"/>
          </w:tcPr>
          <w:p w14:paraId="203D2AF9" w14:textId="77777777" w:rsidR="004346F3" w:rsidRPr="00536CFD" w:rsidRDefault="004346F3" w:rsidP="00802ABC">
            <w:pPr>
              <w:spacing w:after="0"/>
              <w:jc w:val="center"/>
              <w:rPr>
                <w:lang w:val="zh-CN"/>
              </w:rPr>
            </w:pPr>
            <w:r w:rsidRPr="00536CFD">
              <w:rPr>
                <w:lang w:val="zh-CN"/>
              </w:rPr>
              <w:t>0.094</w:t>
            </w:r>
          </w:p>
        </w:tc>
        <w:tc>
          <w:tcPr>
            <w:tcW w:w="715" w:type="dxa"/>
            <w:gridSpan w:val="2"/>
            <w:tcBorders>
              <w:top w:val="single" w:sz="4" w:space="0" w:color="auto"/>
              <w:left w:val="nil"/>
              <w:bottom w:val="single" w:sz="4" w:space="0" w:color="auto"/>
              <w:right w:val="single" w:sz="4" w:space="0" w:color="auto"/>
            </w:tcBorders>
            <w:shd w:val="clear" w:color="auto" w:fill="auto"/>
          </w:tcPr>
          <w:p w14:paraId="65A66819" w14:textId="77777777" w:rsidR="004346F3" w:rsidRPr="00536CFD" w:rsidRDefault="004346F3" w:rsidP="00802ABC">
            <w:pPr>
              <w:spacing w:after="0"/>
              <w:jc w:val="center"/>
              <w:rPr>
                <w:lang w:val="zh-CN"/>
              </w:rPr>
            </w:pPr>
            <w:r w:rsidRPr="00536CFD">
              <w:rPr>
                <w:lang w:val="zh-CN"/>
              </w:rPr>
              <w:t>0.055</w:t>
            </w:r>
          </w:p>
        </w:tc>
        <w:tc>
          <w:tcPr>
            <w:tcW w:w="737" w:type="dxa"/>
            <w:gridSpan w:val="2"/>
            <w:tcBorders>
              <w:top w:val="single" w:sz="4" w:space="0" w:color="auto"/>
              <w:left w:val="nil"/>
              <w:bottom w:val="single" w:sz="4" w:space="0" w:color="auto"/>
              <w:right w:val="single" w:sz="4" w:space="0" w:color="auto"/>
            </w:tcBorders>
            <w:shd w:val="clear" w:color="auto" w:fill="auto"/>
          </w:tcPr>
          <w:p w14:paraId="3BF47886" w14:textId="77777777" w:rsidR="004346F3" w:rsidRPr="00536CFD" w:rsidRDefault="004346F3" w:rsidP="00802ABC">
            <w:pPr>
              <w:spacing w:after="0"/>
              <w:jc w:val="center"/>
              <w:rPr>
                <w:lang w:val="zh-CN"/>
              </w:rPr>
            </w:pPr>
            <w:r w:rsidRPr="00536CFD">
              <w:rPr>
                <w:lang w:val="zh-CN"/>
              </w:rPr>
              <w:t>3.005</w:t>
            </w:r>
          </w:p>
        </w:tc>
        <w:tc>
          <w:tcPr>
            <w:tcW w:w="738" w:type="dxa"/>
            <w:gridSpan w:val="2"/>
            <w:tcBorders>
              <w:top w:val="single" w:sz="4" w:space="0" w:color="auto"/>
              <w:left w:val="nil"/>
              <w:bottom w:val="single" w:sz="4" w:space="0" w:color="auto"/>
              <w:right w:val="single" w:sz="4" w:space="0" w:color="auto"/>
            </w:tcBorders>
            <w:shd w:val="clear" w:color="auto" w:fill="auto"/>
          </w:tcPr>
          <w:p w14:paraId="2CC086AC" w14:textId="77777777" w:rsidR="004346F3" w:rsidRPr="00536CFD" w:rsidRDefault="004346F3" w:rsidP="00802ABC">
            <w:pPr>
              <w:spacing w:after="0"/>
              <w:jc w:val="center"/>
              <w:rPr>
                <w:lang w:val="zh-CN"/>
              </w:rPr>
            </w:pPr>
            <w:r w:rsidRPr="00536CFD">
              <w:rPr>
                <w:lang w:val="zh-CN"/>
              </w:rPr>
              <w:t>0.434</w:t>
            </w:r>
          </w:p>
        </w:tc>
        <w:tc>
          <w:tcPr>
            <w:tcW w:w="737" w:type="dxa"/>
            <w:gridSpan w:val="2"/>
            <w:tcBorders>
              <w:top w:val="single" w:sz="4" w:space="0" w:color="auto"/>
              <w:left w:val="nil"/>
              <w:bottom w:val="single" w:sz="4" w:space="0" w:color="auto"/>
              <w:right w:val="single" w:sz="4" w:space="0" w:color="auto"/>
            </w:tcBorders>
            <w:shd w:val="clear" w:color="auto" w:fill="auto"/>
          </w:tcPr>
          <w:p w14:paraId="70FB2DBA" w14:textId="77777777" w:rsidR="004346F3" w:rsidRPr="00536CFD" w:rsidRDefault="004346F3" w:rsidP="00802ABC">
            <w:pPr>
              <w:spacing w:after="0"/>
              <w:jc w:val="center"/>
              <w:rPr>
                <w:lang w:val="zh-CN"/>
              </w:rPr>
            </w:pPr>
            <w:r w:rsidRPr="00536CFD">
              <w:rPr>
                <w:lang w:val="zh-CN"/>
              </w:rPr>
              <w:t>0.319</w:t>
            </w:r>
          </w:p>
        </w:tc>
        <w:tc>
          <w:tcPr>
            <w:tcW w:w="738" w:type="dxa"/>
            <w:gridSpan w:val="2"/>
            <w:tcBorders>
              <w:top w:val="single" w:sz="4" w:space="0" w:color="auto"/>
              <w:left w:val="nil"/>
              <w:bottom w:val="single" w:sz="4" w:space="0" w:color="auto"/>
              <w:right w:val="single" w:sz="4" w:space="0" w:color="auto"/>
            </w:tcBorders>
            <w:shd w:val="clear" w:color="auto" w:fill="auto"/>
          </w:tcPr>
          <w:p w14:paraId="6F163014" w14:textId="77777777" w:rsidR="004346F3" w:rsidRPr="00536CFD" w:rsidRDefault="004346F3" w:rsidP="00802ABC">
            <w:pPr>
              <w:spacing w:after="0"/>
              <w:jc w:val="center"/>
              <w:rPr>
                <w:lang w:val="zh-CN"/>
              </w:rPr>
            </w:pPr>
            <w:r w:rsidRPr="00536CFD">
              <w:rPr>
                <w:lang w:val="zh-CN"/>
              </w:rPr>
              <w:t>0.060</w:t>
            </w:r>
          </w:p>
        </w:tc>
      </w:tr>
      <w:tr w:rsidR="004346F3" w:rsidRPr="00536CFD" w14:paraId="77A2B761"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80632F7"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60DDF9B5"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UPT CDF [Mbps]</w:t>
            </w:r>
          </w:p>
        </w:tc>
        <w:tc>
          <w:tcPr>
            <w:tcW w:w="554" w:type="dxa"/>
            <w:tcBorders>
              <w:top w:val="single" w:sz="4" w:space="0" w:color="auto"/>
              <w:left w:val="nil"/>
              <w:bottom w:val="single" w:sz="4" w:space="0" w:color="auto"/>
              <w:right w:val="single" w:sz="4" w:space="0" w:color="auto"/>
            </w:tcBorders>
            <w:shd w:val="clear" w:color="auto" w:fill="auto"/>
          </w:tcPr>
          <w:p w14:paraId="3EC175A3"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tcPr>
          <w:p w14:paraId="1ECAC2BC" w14:textId="77777777" w:rsidR="004346F3" w:rsidRPr="00536CFD" w:rsidRDefault="004346F3" w:rsidP="00802ABC">
            <w:pPr>
              <w:spacing w:after="0"/>
              <w:jc w:val="center"/>
              <w:rPr>
                <w:lang w:val="zh-CN"/>
              </w:rPr>
            </w:pPr>
            <w:r w:rsidRPr="00536CFD">
              <w:rPr>
                <w:lang w:val="zh-CN"/>
              </w:rPr>
              <w:t>13.06</w:t>
            </w:r>
          </w:p>
        </w:tc>
        <w:tc>
          <w:tcPr>
            <w:tcW w:w="644" w:type="dxa"/>
            <w:gridSpan w:val="2"/>
            <w:tcBorders>
              <w:top w:val="single" w:sz="4" w:space="0" w:color="auto"/>
              <w:left w:val="nil"/>
              <w:bottom w:val="single" w:sz="4" w:space="0" w:color="auto"/>
              <w:right w:val="single" w:sz="4" w:space="0" w:color="auto"/>
            </w:tcBorders>
            <w:shd w:val="clear" w:color="auto" w:fill="auto"/>
          </w:tcPr>
          <w:p w14:paraId="639D7BF0" w14:textId="77777777" w:rsidR="004346F3" w:rsidRPr="00536CFD" w:rsidRDefault="004346F3" w:rsidP="00802ABC">
            <w:pPr>
              <w:spacing w:after="0"/>
              <w:jc w:val="center"/>
              <w:rPr>
                <w:lang w:val="zh-CN"/>
              </w:rPr>
            </w:pPr>
            <w:r w:rsidRPr="00536CFD">
              <w:rPr>
                <w:lang w:val="zh-CN"/>
              </w:rPr>
              <w:t>12.68</w:t>
            </w:r>
          </w:p>
        </w:tc>
        <w:tc>
          <w:tcPr>
            <w:tcW w:w="644" w:type="dxa"/>
            <w:gridSpan w:val="2"/>
            <w:tcBorders>
              <w:top w:val="single" w:sz="4" w:space="0" w:color="auto"/>
              <w:left w:val="nil"/>
              <w:bottom w:val="single" w:sz="4" w:space="0" w:color="auto"/>
              <w:right w:val="single" w:sz="4" w:space="0" w:color="auto"/>
            </w:tcBorders>
            <w:shd w:val="clear" w:color="auto" w:fill="auto"/>
          </w:tcPr>
          <w:p w14:paraId="2BA897A1" w14:textId="77777777" w:rsidR="004346F3" w:rsidRPr="00536CFD" w:rsidRDefault="004346F3" w:rsidP="00802ABC">
            <w:pPr>
              <w:spacing w:after="0"/>
              <w:jc w:val="center"/>
              <w:rPr>
                <w:lang w:val="zh-CN"/>
              </w:rPr>
            </w:pPr>
            <w:r w:rsidRPr="00536CFD">
              <w:rPr>
                <w:lang w:val="zh-CN"/>
              </w:rPr>
              <w:t>16.29</w:t>
            </w:r>
          </w:p>
        </w:tc>
        <w:tc>
          <w:tcPr>
            <w:tcW w:w="644" w:type="dxa"/>
            <w:gridSpan w:val="2"/>
            <w:tcBorders>
              <w:top w:val="single" w:sz="4" w:space="0" w:color="auto"/>
              <w:left w:val="nil"/>
              <w:bottom w:val="single" w:sz="4" w:space="0" w:color="auto"/>
              <w:right w:val="single" w:sz="4" w:space="0" w:color="auto"/>
            </w:tcBorders>
            <w:shd w:val="clear" w:color="auto" w:fill="auto"/>
          </w:tcPr>
          <w:p w14:paraId="7DCDD579" w14:textId="77777777" w:rsidR="004346F3" w:rsidRPr="00536CFD" w:rsidRDefault="004346F3" w:rsidP="00802ABC">
            <w:pPr>
              <w:spacing w:after="0"/>
              <w:jc w:val="center"/>
              <w:rPr>
                <w:lang w:val="zh-CN"/>
              </w:rPr>
            </w:pPr>
            <w:r w:rsidRPr="00536CFD">
              <w:rPr>
                <w:lang w:val="zh-CN"/>
              </w:rPr>
              <w:t>25.54</w:t>
            </w:r>
          </w:p>
        </w:tc>
        <w:tc>
          <w:tcPr>
            <w:tcW w:w="715" w:type="dxa"/>
            <w:gridSpan w:val="2"/>
            <w:tcBorders>
              <w:top w:val="single" w:sz="4" w:space="0" w:color="auto"/>
              <w:left w:val="nil"/>
              <w:bottom w:val="single" w:sz="4" w:space="0" w:color="auto"/>
              <w:right w:val="single" w:sz="4" w:space="0" w:color="auto"/>
            </w:tcBorders>
            <w:shd w:val="clear" w:color="auto" w:fill="auto"/>
          </w:tcPr>
          <w:p w14:paraId="5C8388ED" w14:textId="77777777" w:rsidR="004346F3" w:rsidRPr="00536CFD" w:rsidRDefault="004346F3" w:rsidP="00802ABC">
            <w:pPr>
              <w:spacing w:after="0"/>
              <w:jc w:val="center"/>
              <w:rPr>
                <w:lang w:val="zh-CN"/>
              </w:rPr>
            </w:pPr>
            <w:r w:rsidRPr="00536CFD">
              <w:rPr>
                <w:lang w:val="zh-CN"/>
              </w:rPr>
              <w:t>5.98</w:t>
            </w:r>
          </w:p>
        </w:tc>
        <w:tc>
          <w:tcPr>
            <w:tcW w:w="715" w:type="dxa"/>
            <w:gridSpan w:val="2"/>
            <w:tcBorders>
              <w:top w:val="single" w:sz="4" w:space="0" w:color="auto"/>
              <w:left w:val="nil"/>
              <w:bottom w:val="single" w:sz="4" w:space="0" w:color="auto"/>
              <w:right w:val="single" w:sz="4" w:space="0" w:color="auto"/>
            </w:tcBorders>
            <w:shd w:val="clear" w:color="auto" w:fill="auto"/>
          </w:tcPr>
          <w:p w14:paraId="3D28E39C" w14:textId="77777777" w:rsidR="004346F3" w:rsidRPr="00536CFD" w:rsidRDefault="004346F3" w:rsidP="00802ABC">
            <w:pPr>
              <w:spacing w:after="0"/>
              <w:jc w:val="center"/>
              <w:rPr>
                <w:lang w:val="zh-CN"/>
              </w:rPr>
            </w:pPr>
            <w:r w:rsidRPr="00536CFD">
              <w:rPr>
                <w:lang w:val="zh-CN"/>
              </w:rPr>
              <w:t>10.44</w:t>
            </w:r>
          </w:p>
        </w:tc>
        <w:tc>
          <w:tcPr>
            <w:tcW w:w="715" w:type="dxa"/>
            <w:gridSpan w:val="2"/>
            <w:tcBorders>
              <w:top w:val="single" w:sz="4" w:space="0" w:color="auto"/>
              <w:left w:val="nil"/>
              <w:bottom w:val="single" w:sz="4" w:space="0" w:color="auto"/>
              <w:right w:val="single" w:sz="4" w:space="0" w:color="auto"/>
            </w:tcBorders>
            <w:shd w:val="clear" w:color="auto" w:fill="auto"/>
          </w:tcPr>
          <w:p w14:paraId="64B0A6A5" w14:textId="77777777" w:rsidR="004346F3" w:rsidRPr="00536CFD" w:rsidRDefault="004346F3" w:rsidP="00802ABC">
            <w:pPr>
              <w:spacing w:after="0"/>
              <w:jc w:val="center"/>
              <w:rPr>
                <w:lang w:val="zh-CN"/>
              </w:rPr>
            </w:pPr>
            <w:r w:rsidRPr="00536CFD">
              <w:rPr>
                <w:lang w:val="zh-CN"/>
              </w:rPr>
              <w:t>13.53</w:t>
            </w:r>
          </w:p>
        </w:tc>
        <w:tc>
          <w:tcPr>
            <w:tcW w:w="715" w:type="dxa"/>
            <w:gridSpan w:val="2"/>
            <w:tcBorders>
              <w:top w:val="single" w:sz="4" w:space="0" w:color="auto"/>
              <w:left w:val="nil"/>
              <w:bottom w:val="single" w:sz="4" w:space="0" w:color="auto"/>
              <w:right w:val="single" w:sz="4" w:space="0" w:color="auto"/>
            </w:tcBorders>
            <w:shd w:val="clear" w:color="auto" w:fill="auto"/>
          </w:tcPr>
          <w:p w14:paraId="67F5F303" w14:textId="77777777" w:rsidR="004346F3" w:rsidRPr="00536CFD" w:rsidRDefault="004346F3" w:rsidP="00802ABC">
            <w:pPr>
              <w:spacing w:after="0"/>
              <w:jc w:val="center"/>
              <w:rPr>
                <w:lang w:val="zh-CN"/>
              </w:rPr>
            </w:pPr>
            <w:r w:rsidRPr="00536CFD">
              <w:rPr>
                <w:lang w:val="zh-CN"/>
              </w:rPr>
              <w:t>22.38</w:t>
            </w:r>
          </w:p>
        </w:tc>
        <w:tc>
          <w:tcPr>
            <w:tcW w:w="737" w:type="dxa"/>
            <w:gridSpan w:val="2"/>
            <w:tcBorders>
              <w:top w:val="single" w:sz="4" w:space="0" w:color="auto"/>
              <w:left w:val="nil"/>
              <w:bottom w:val="single" w:sz="4" w:space="0" w:color="auto"/>
              <w:right w:val="single" w:sz="4" w:space="0" w:color="auto"/>
            </w:tcBorders>
            <w:shd w:val="clear" w:color="auto" w:fill="auto"/>
          </w:tcPr>
          <w:p w14:paraId="6178A995" w14:textId="77777777" w:rsidR="004346F3" w:rsidRPr="00536CFD" w:rsidRDefault="004346F3" w:rsidP="00802ABC">
            <w:pPr>
              <w:spacing w:after="0"/>
              <w:jc w:val="center"/>
              <w:rPr>
                <w:lang w:val="zh-CN"/>
              </w:rPr>
            </w:pPr>
            <w:r w:rsidRPr="00536CFD">
              <w:rPr>
                <w:lang w:val="zh-CN"/>
              </w:rPr>
              <w:t>1.67</w:t>
            </w:r>
          </w:p>
        </w:tc>
        <w:tc>
          <w:tcPr>
            <w:tcW w:w="738" w:type="dxa"/>
            <w:gridSpan w:val="2"/>
            <w:tcBorders>
              <w:top w:val="single" w:sz="4" w:space="0" w:color="auto"/>
              <w:left w:val="nil"/>
              <w:bottom w:val="single" w:sz="4" w:space="0" w:color="auto"/>
              <w:right w:val="single" w:sz="4" w:space="0" w:color="auto"/>
            </w:tcBorders>
            <w:shd w:val="clear" w:color="auto" w:fill="auto"/>
          </w:tcPr>
          <w:p w14:paraId="6D0E9DC1" w14:textId="77777777" w:rsidR="004346F3" w:rsidRPr="00536CFD" w:rsidRDefault="004346F3" w:rsidP="00802ABC">
            <w:pPr>
              <w:spacing w:after="0"/>
              <w:jc w:val="center"/>
              <w:rPr>
                <w:lang w:val="zh-CN"/>
              </w:rPr>
            </w:pPr>
            <w:r w:rsidRPr="00536CFD">
              <w:rPr>
                <w:lang w:val="zh-CN"/>
              </w:rPr>
              <w:t>5.75</w:t>
            </w:r>
          </w:p>
        </w:tc>
        <w:tc>
          <w:tcPr>
            <w:tcW w:w="737" w:type="dxa"/>
            <w:gridSpan w:val="2"/>
            <w:tcBorders>
              <w:top w:val="single" w:sz="4" w:space="0" w:color="auto"/>
              <w:left w:val="nil"/>
              <w:bottom w:val="single" w:sz="4" w:space="0" w:color="auto"/>
              <w:right w:val="single" w:sz="4" w:space="0" w:color="auto"/>
            </w:tcBorders>
            <w:shd w:val="clear" w:color="auto" w:fill="auto"/>
          </w:tcPr>
          <w:p w14:paraId="64C6F324" w14:textId="77777777" w:rsidR="004346F3" w:rsidRPr="00536CFD" w:rsidRDefault="004346F3" w:rsidP="00802ABC">
            <w:pPr>
              <w:spacing w:after="0"/>
              <w:jc w:val="center"/>
              <w:rPr>
                <w:lang w:val="zh-CN"/>
              </w:rPr>
            </w:pPr>
            <w:r w:rsidRPr="00536CFD">
              <w:rPr>
                <w:lang w:val="zh-CN"/>
              </w:rPr>
              <w:t>7.37</w:t>
            </w:r>
          </w:p>
        </w:tc>
        <w:tc>
          <w:tcPr>
            <w:tcW w:w="738" w:type="dxa"/>
            <w:gridSpan w:val="2"/>
            <w:tcBorders>
              <w:top w:val="single" w:sz="4" w:space="0" w:color="auto"/>
              <w:left w:val="nil"/>
              <w:bottom w:val="single" w:sz="4" w:space="0" w:color="auto"/>
              <w:right w:val="single" w:sz="4" w:space="0" w:color="auto"/>
            </w:tcBorders>
            <w:shd w:val="clear" w:color="auto" w:fill="auto"/>
          </w:tcPr>
          <w:p w14:paraId="3F6A9A00" w14:textId="77777777" w:rsidR="004346F3" w:rsidRPr="00536CFD" w:rsidRDefault="004346F3" w:rsidP="00802ABC">
            <w:pPr>
              <w:spacing w:after="0"/>
              <w:jc w:val="center"/>
              <w:rPr>
                <w:lang w:val="zh-CN"/>
              </w:rPr>
            </w:pPr>
            <w:r w:rsidRPr="00536CFD">
              <w:rPr>
                <w:lang w:val="zh-CN"/>
              </w:rPr>
              <w:t>19.05</w:t>
            </w:r>
          </w:p>
        </w:tc>
      </w:tr>
      <w:tr w:rsidR="004346F3" w:rsidRPr="00536CFD" w14:paraId="0EF836F5"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8620C16"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2476679C"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6D71875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tcPr>
          <w:p w14:paraId="3760F862" w14:textId="77777777" w:rsidR="004346F3" w:rsidRPr="00536CFD" w:rsidRDefault="004346F3" w:rsidP="00802ABC">
            <w:pPr>
              <w:spacing w:after="0"/>
              <w:jc w:val="center"/>
              <w:rPr>
                <w:lang w:val="zh-CN"/>
              </w:rPr>
            </w:pPr>
            <w:r w:rsidRPr="00536CFD">
              <w:rPr>
                <w:lang w:val="zh-CN"/>
              </w:rPr>
              <w:t>49.67</w:t>
            </w:r>
          </w:p>
        </w:tc>
        <w:tc>
          <w:tcPr>
            <w:tcW w:w="644" w:type="dxa"/>
            <w:gridSpan w:val="2"/>
            <w:tcBorders>
              <w:top w:val="single" w:sz="4" w:space="0" w:color="auto"/>
              <w:left w:val="nil"/>
              <w:bottom w:val="single" w:sz="4" w:space="0" w:color="auto"/>
              <w:right w:val="single" w:sz="4" w:space="0" w:color="auto"/>
            </w:tcBorders>
            <w:shd w:val="clear" w:color="auto" w:fill="auto"/>
          </w:tcPr>
          <w:p w14:paraId="1E2585DF" w14:textId="77777777" w:rsidR="004346F3" w:rsidRPr="00536CFD" w:rsidRDefault="004346F3" w:rsidP="00802ABC">
            <w:pPr>
              <w:spacing w:after="0"/>
              <w:jc w:val="center"/>
              <w:rPr>
                <w:lang w:val="zh-CN"/>
              </w:rPr>
            </w:pPr>
            <w:r w:rsidRPr="00536CFD">
              <w:rPr>
                <w:lang w:val="zh-CN"/>
              </w:rPr>
              <w:t>51.40</w:t>
            </w:r>
          </w:p>
        </w:tc>
        <w:tc>
          <w:tcPr>
            <w:tcW w:w="644" w:type="dxa"/>
            <w:gridSpan w:val="2"/>
            <w:tcBorders>
              <w:top w:val="single" w:sz="4" w:space="0" w:color="auto"/>
              <w:left w:val="nil"/>
              <w:bottom w:val="single" w:sz="4" w:space="0" w:color="auto"/>
              <w:right w:val="single" w:sz="4" w:space="0" w:color="auto"/>
            </w:tcBorders>
            <w:shd w:val="clear" w:color="auto" w:fill="auto"/>
          </w:tcPr>
          <w:p w14:paraId="208D6D51" w14:textId="77777777" w:rsidR="004346F3" w:rsidRPr="00536CFD" w:rsidRDefault="004346F3" w:rsidP="00802ABC">
            <w:pPr>
              <w:spacing w:after="0"/>
              <w:jc w:val="center"/>
              <w:rPr>
                <w:lang w:val="zh-CN"/>
              </w:rPr>
            </w:pPr>
            <w:r w:rsidRPr="00536CFD">
              <w:rPr>
                <w:lang w:val="zh-CN"/>
              </w:rPr>
              <w:t>51.62</w:t>
            </w:r>
          </w:p>
        </w:tc>
        <w:tc>
          <w:tcPr>
            <w:tcW w:w="644" w:type="dxa"/>
            <w:gridSpan w:val="2"/>
            <w:tcBorders>
              <w:top w:val="single" w:sz="4" w:space="0" w:color="auto"/>
              <w:left w:val="nil"/>
              <w:bottom w:val="single" w:sz="4" w:space="0" w:color="auto"/>
              <w:right w:val="single" w:sz="4" w:space="0" w:color="auto"/>
            </w:tcBorders>
            <w:shd w:val="clear" w:color="auto" w:fill="auto"/>
          </w:tcPr>
          <w:p w14:paraId="6CA783D4" w14:textId="77777777" w:rsidR="004346F3" w:rsidRPr="00536CFD" w:rsidRDefault="004346F3" w:rsidP="00802ABC">
            <w:pPr>
              <w:spacing w:after="0"/>
              <w:jc w:val="center"/>
              <w:rPr>
                <w:lang w:val="zh-CN"/>
              </w:rPr>
            </w:pPr>
            <w:r w:rsidRPr="00536CFD">
              <w:rPr>
                <w:lang w:val="zh-CN"/>
              </w:rPr>
              <w:t>64.61</w:t>
            </w:r>
          </w:p>
        </w:tc>
        <w:tc>
          <w:tcPr>
            <w:tcW w:w="715" w:type="dxa"/>
            <w:gridSpan w:val="2"/>
            <w:tcBorders>
              <w:top w:val="single" w:sz="4" w:space="0" w:color="auto"/>
              <w:left w:val="nil"/>
              <w:bottom w:val="single" w:sz="4" w:space="0" w:color="auto"/>
              <w:right w:val="single" w:sz="4" w:space="0" w:color="auto"/>
            </w:tcBorders>
            <w:shd w:val="clear" w:color="auto" w:fill="auto"/>
          </w:tcPr>
          <w:p w14:paraId="71796030" w14:textId="77777777" w:rsidR="004346F3" w:rsidRPr="00536CFD" w:rsidRDefault="004346F3" w:rsidP="00802ABC">
            <w:pPr>
              <w:spacing w:after="0"/>
              <w:jc w:val="center"/>
              <w:rPr>
                <w:lang w:val="zh-CN"/>
              </w:rPr>
            </w:pPr>
            <w:r w:rsidRPr="00536CFD">
              <w:rPr>
                <w:lang w:val="zh-CN"/>
              </w:rPr>
              <w:t>27.39</w:t>
            </w:r>
          </w:p>
        </w:tc>
        <w:tc>
          <w:tcPr>
            <w:tcW w:w="715" w:type="dxa"/>
            <w:gridSpan w:val="2"/>
            <w:tcBorders>
              <w:top w:val="single" w:sz="4" w:space="0" w:color="auto"/>
              <w:left w:val="nil"/>
              <w:bottom w:val="single" w:sz="4" w:space="0" w:color="auto"/>
              <w:right w:val="single" w:sz="4" w:space="0" w:color="auto"/>
            </w:tcBorders>
            <w:shd w:val="clear" w:color="auto" w:fill="auto"/>
          </w:tcPr>
          <w:p w14:paraId="586BFB29" w14:textId="77777777" w:rsidR="004346F3" w:rsidRPr="00536CFD" w:rsidRDefault="004346F3" w:rsidP="00802ABC">
            <w:pPr>
              <w:spacing w:after="0"/>
              <w:jc w:val="center"/>
              <w:rPr>
                <w:lang w:val="zh-CN"/>
              </w:rPr>
            </w:pPr>
            <w:r w:rsidRPr="00536CFD">
              <w:rPr>
                <w:lang w:val="zh-CN"/>
              </w:rPr>
              <w:t>45.25</w:t>
            </w:r>
          </w:p>
        </w:tc>
        <w:tc>
          <w:tcPr>
            <w:tcW w:w="715" w:type="dxa"/>
            <w:gridSpan w:val="2"/>
            <w:tcBorders>
              <w:top w:val="single" w:sz="4" w:space="0" w:color="auto"/>
              <w:left w:val="nil"/>
              <w:bottom w:val="single" w:sz="4" w:space="0" w:color="auto"/>
              <w:right w:val="single" w:sz="4" w:space="0" w:color="auto"/>
            </w:tcBorders>
            <w:shd w:val="clear" w:color="auto" w:fill="auto"/>
          </w:tcPr>
          <w:p w14:paraId="418F391F" w14:textId="77777777" w:rsidR="004346F3" w:rsidRPr="00536CFD" w:rsidRDefault="004346F3" w:rsidP="00802ABC">
            <w:pPr>
              <w:spacing w:after="0"/>
              <w:jc w:val="center"/>
              <w:rPr>
                <w:lang w:val="zh-CN"/>
              </w:rPr>
            </w:pPr>
            <w:r w:rsidRPr="00536CFD">
              <w:rPr>
                <w:lang w:val="zh-CN"/>
              </w:rPr>
              <w:t>48.13</w:t>
            </w:r>
          </w:p>
        </w:tc>
        <w:tc>
          <w:tcPr>
            <w:tcW w:w="715" w:type="dxa"/>
            <w:gridSpan w:val="2"/>
            <w:tcBorders>
              <w:top w:val="single" w:sz="4" w:space="0" w:color="auto"/>
              <w:left w:val="nil"/>
              <w:bottom w:val="single" w:sz="4" w:space="0" w:color="auto"/>
              <w:right w:val="single" w:sz="4" w:space="0" w:color="auto"/>
            </w:tcBorders>
            <w:shd w:val="clear" w:color="auto" w:fill="auto"/>
          </w:tcPr>
          <w:p w14:paraId="2E8F4350" w14:textId="77777777" w:rsidR="004346F3" w:rsidRPr="00536CFD" w:rsidRDefault="004346F3" w:rsidP="00802ABC">
            <w:pPr>
              <w:spacing w:after="0"/>
              <w:jc w:val="center"/>
              <w:rPr>
                <w:lang w:val="zh-CN"/>
              </w:rPr>
            </w:pPr>
            <w:r w:rsidRPr="00536CFD">
              <w:rPr>
                <w:lang w:val="zh-CN"/>
              </w:rPr>
              <w:t>61.60</w:t>
            </w:r>
          </w:p>
        </w:tc>
        <w:tc>
          <w:tcPr>
            <w:tcW w:w="737" w:type="dxa"/>
            <w:gridSpan w:val="2"/>
            <w:tcBorders>
              <w:top w:val="single" w:sz="4" w:space="0" w:color="auto"/>
              <w:left w:val="nil"/>
              <w:bottom w:val="single" w:sz="4" w:space="0" w:color="auto"/>
              <w:right w:val="single" w:sz="4" w:space="0" w:color="auto"/>
            </w:tcBorders>
            <w:shd w:val="clear" w:color="auto" w:fill="auto"/>
          </w:tcPr>
          <w:p w14:paraId="491620DD" w14:textId="77777777" w:rsidR="004346F3" w:rsidRPr="00536CFD" w:rsidRDefault="004346F3" w:rsidP="00802ABC">
            <w:pPr>
              <w:spacing w:after="0"/>
              <w:jc w:val="center"/>
              <w:rPr>
                <w:lang w:val="zh-CN"/>
              </w:rPr>
            </w:pPr>
            <w:r w:rsidRPr="00536CFD">
              <w:rPr>
                <w:lang w:val="zh-CN"/>
              </w:rPr>
              <w:t>11.32</w:t>
            </w:r>
          </w:p>
        </w:tc>
        <w:tc>
          <w:tcPr>
            <w:tcW w:w="738" w:type="dxa"/>
            <w:gridSpan w:val="2"/>
            <w:tcBorders>
              <w:top w:val="single" w:sz="4" w:space="0" w:color="auto"/>
              <w:left w:val="nil"/>
              <w:bottom w:val="single" w:sz="4" w:space="0" w:color="auto"/>
              <w:right w:val="single" w:sz="4" w:space="0" w:color="auto"/>
            </w:tcBorders>
            <w:shd w:val="clear" w:color="auto" w:fill="auto"/>
          </w:tcPr>
          <w:p w14:paraId="70F79F17" w14:textId="77777777" w:rsidR="004346F3" w:rsidRPr="00536CFD" w:rsidRDefault="004346F3" w:rsidP="00802ABC">
            <w:pPr>
              <w:spacing w:after="0"/>
              <w:jc w:val="center"/>
              <w:rPr>
                <w:lang w:val="zh-CN"/>
              </w:rPr>
            </w:pPr>
            <w:r w:rsidRPr="00536CFD">
              <w:rPr>
                <w:lang w:val="zh-CN"/>
              </w:rPr>
              <w:t>32.11</w:t>
            </w:r>
          </w:p>
        </w:tc>
        <w:tc>
          <w:tcPr>
            <w:tcW w:w="737" w:type="dxa"/>
            <w:gridSpan w:val="2"/>
            <w:tcBorders>
              <w:top w:val="single" w:sz="4" w:space="0" w:color="auto"/>
              <w:left w:val="nil"/>
              <w:bottom w:val="single" w:sz="4" w:space="0" w:color="auto"/>
              <w:right w:val="single" w:sz="4" w:space="0" w:color="auto"/>
            </w:tcBorders>
            <w:shd w:val="clear" w:color="auto" w:fill="auto"/>
          </w:tcPr>
          <w:p w14:paraId="669F2944" w14:textId="77777777" w:rsidR="004346F3" w:rsidRPr="00536CFD" w:rsidRDefault="004346F3" w:rsidP="00802ABC">
            <w:pPr>
              <w:spacing w:after="0"/>
              <w:jc w:val="center"/>
              <w:rPr>
                <w:lang w:val="zh-CN"/>
              </w:rPr>
            </w:pPr>
            <w:r w:rsidRPr="00536CFD">
              <w:rPr>
                <w:lang w:val="zh-CN"/>
              </w:rPr>
              <w:t>32.02</w:t>
            </w:r>
          </w:p>
        </w:tc>
        <w:tc>
          <w:tcPr>
            <w:tcW w:w="738" w:type="dxa"/>
            <w:gridSpan w:val="2"/>
            <w:tcBorders>
              <w:top w:val="single" w:sz="4" w:space="0" w:color="auto"/>
              <w:left w:val="nil"/>
              <w:bottom w:val="single" w:sz="4" w:space="0" w:color="auto"/>
              <w:right w:val="single" w:sz="4" w:space="0" w:color="auto"/>
            </w:tcBorders>
            <w:shd w:val="clear" w:color="auto" w:fill="auto"/>
          </w:tcPr>
          <w:p w14:paraId="02FF15E9" w14:textId="77777777" w:rsidR="004346F3" w:rsidRPr="00536CFD" w:rsidRDefault="004346F3" w:rsidP="00802ABC">
            <w:pPr>
              <w:spacing w:after="0"/>
              <w:jc w:val="center"/>
              <w:rPr>
                <w:lang w:val="zh-CN"/>
              </w:rPr>
            </w:pPr>
            <w:r w:rsidRPr="00536CFD">
              <w:rPr>
                <w:lang w:val="zh-CN"/>
              </w:rPr>
              <w:t>58.47</w:t>
            </w:r>
          </w:p>
        </w:tc>
      </w:tr>
      <w:tr w:rsidR="004346F3" w:rsidRPr="00536CFD" w14:paraId="0738E69B"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3610808"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C7E0023"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8D8016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tcPr>
          <w:p w14:paraId="01BA9939" w14:textId="77777777" w:rsidR="004346F3" w:rsidRPr="00536CFD" w:rsidRDefault="004346F3" w:rsidP="00802ABC">
            <w:pPr>
              <w:spacing w:after="0"/>
              <w:jc w:val="center"/>
              <w:rPr>
                <w:lang w:val="zh-CN"/>
              </w:rPr>
            </w:pPr>
            <w:r w:rsidRPr="00536CFD">
              <w:rPr>
                <w:lang w:val="zh-CN"/>
              </w:rPr>
              <w:t>90.43</w:t>
            </w:r>
          </w:p>
        </w:tc>
        <w:tc>
          <w:tcPr>
            <w:tcW w:w="644" w:type="dxa"/>
            <w:gridSpan w:val="2"/>
            <w:tcBorders>
              <w:top w:val="single" w:sz="4" w:space="0" w:color="auto"/>
              <w:left w:val="nil"/>
              <w:bottom w:val="single" w:sz="4" w:space="0" w:color="auto"/>
              <w:right w:val="single" w:sz="4" w:space="0" w:color="auto"/>
            </w:tcBorders>
            <w:shd w:val="clear" w:color="auto" w:fill="auto"/>
          </w:tcPr>
          <w:p w14:paraId="6E94DA26" w14:textId="77777777" w:rsidR="004346F3" w:rsidRPr="00536CFD" w:rsidRDefault="004346F3" w:rsidP="00802ABC">
            <w:pPr>
              <w:spacing w:after="0"/>
              <w:jc w:val="center"/>
              <w:rPr>
                <w:lang w:val="zh-CN"/>
              </w:rPr>
            </w:pPr>
            <w:r w:rsidRPr="00536CFD">
              <w:rPr>
                <w:lang w:val="zh-CN"/>
              </w:rPr>
              <w:t>96.95</w:t>
            </w:r>
          </w:p>
        </w:tc>
        <w:tc>
          <w:tcPr>
            <w:tcW w:w="644" w:type="dxa"/>
            <w:gridSpan w:val="2"/>
            <w:tcBorders>
              <w:top w:val="single" w:sz="4" w:space="0" w:color="auto"/>
              <w:left w:val="nil"/>
              <w:bottom w:val="single" w:sz="4" w:space="0" w:color="auto"/>
              <w:right w:val="single" w:sz="4" w:space="0" w:color="auto"/>
            </w:tcBorders>
            <w:shd w:val="clear" w:color="auto" w:fill="auto"/>
          </w:tcPr>
          <w:p w14:paraId="5F81D7B8" w14:textId="77777777" w:rsidR="004346F3" w:rsidRPr="00536CFD" w:rsidRDefault="004346F3" w:rsidP="00802ABC">
            <w:pPr>
              <w:spacing w:after="0"/>
              <w:jc w:val="center"/>
              <w:rPr>
                <w:lang w:val="zh-CN"/>
              </w:rPr>
            </w:pPr>
            <w:r w:rsidRPr="00536CFD">
              <w:rPr>
                <w:lang w:val="zh-CN"/>
              </w:rPr>
              <w:t>91.32</w:t>
            </w:r>
          </w:p>
        </w:tc>
        <w:tc>
          <w:tcPr>
            <w:tcW w:w="644" w:type="dxa"/>
            <w:gridSpan w:val="2"/>
            <w:tcBorders>
              <w:top w:val="single" w:sz="4" w:space="0" w:color="auto"/>
              <w:left w:val="nil"/>
              <w:bottom w:val="single" w:sz="4" w:space="0" w:color="auto"/>
              <w:right w:val="single" w:sz="4" w:space="0" w:color="auto"/>
            </w:tcBorders>
            <w:shd w:val="clear" w:color="auto" w:fill="auto"/>
          </w:tcPr>
          <w:p w14:paraId="133D9E9D" w14:textId="77777777" w:rsidR="004346F3" w:rsidRPr="00536CFD" w:rsidRDefault="004346F3" w:rsidP="00802ABC">
            <w:pPr>
              <w:spacing w:after="0"/>
              <w:jc w:val="center"/>
              <w:rPr>
                <w:lang w:val="zh-CN"/>
              </w:rPr>
            </w:pPr>
            <w:r w:rsidRPr="00536CFD">
              <w:rPr>
                <w:lang w:val="zh-CN"/>
              </w:rPr>
              <w:t>96.40</w:t>
            </w:r>
          </w:p>
        </w:tc>
        <w:tc>
          <w:tcPr>
            <w:tcW w:w="715" w:type="dxa"/>
            <w:gridSpan w:val="2"/>
            <w:tcBorders>
              <w:top w:val="single" w:sz="4" w:space="0" w:color="auto"/>
              <w:left w:val="nil"/>
              <w:bottom w:val="single" w:sz="4" w:space="0" w:color="auto"/>
              <w:right w:val="single" w:sz="4" w:space="0" w:color="auto"/>
            </w:tcBorders>
            <w:shd w:val="clear" w:color="auto" w:fill="auto"/>
          </w:tcPr>
          <w:p w14:paraId="3DFAAEAC" w14:textId="77777777" w:rsidR="004346F3" w:rsidRPr="00536CFD" w:rsidRDefault="004346F3" w:rsidP="00802ABC">
            <w:pPr>
              <w:spacing w:after="0"/>
              <w:jc w:val="center"/>
              <w:rPr>
                <w:lang w:val="zh-CN"/>
              </w:rPr>
            </w:pPr>
            <w:r w:rsidRPr="00536CFD">
              <w:rPr>
                <w:lang w:val="zh-CN"/>
              </w:rPr>
              <w:t>64.76</w:t>
            </w:r>
          </w:p>
        </w:tc>
        <w:tc>
          <w:tcPr>
            <w:tcW w:w="715" w:type="dxa"/>
            <w:gridSpan w:val="2"/>
            <w:tcBorders>
              <w:top w:val="single" w:sz="4" w:space="0" w:color="auto"/>
              <w:left w:val="nil"/>
              <w:bottom w:val="single" w:sz="4" w:space="0" w:color="auto"/>
              <w:right w:val="single" w:sz="4" w:space="0" w:color="auto"/>
            </w:tcBorders>
            <w:shd w:val="clear" w:color="auto" w:fill="auto"/>
          </w:tcPr>
          <w:p w14:paraId="550BDAD1" w14:textId="77777777" w:rsidR="004346F3" w:rsidRPr="00536CFD" w:rsidRDefault="004346F3" w:rsidP="00802ABC">
            <w:pPr>
              <w:spacing w:after="0"/>
              <w:jc w:val="center"/>
              <w:rPr>
                <w:lang w:val="zh-CN"/>
              </w:rPr>
            </w:pPr>
            <w:r w:rsidRPr="00536CFD">
              <w:rPr>
                <w:lang w:val="zh-CN"/>
              </w:rPr>
              <w:t>95.53</w:t>
            </w:r>
          </w:p>
        </w:tc>
        <w:tc>
          <w:tcPr>
            <w:tcW w:w="715" w:type="dxa"/>
            <w:gridSpan w:val="2"/>
            <w:tcBorders>
              <w:top w:val="single" w:sz="4" w:space="0" w:color="auto"/>
              <w:left w:val="nil"/>
              <w:bottom w:val="single" w:sz="4" w:space="0" w:color="auto"/>
              <w:right w:val="single" w:sz="4" w:space="0" w:color="auto"/>
            </w:tcBorders>
            <w:shd w:val="clear" w:color="auto" w:fill="auto"/>
          </w:tcPr>
          <w:p w14:paraId="42D67811" w14:textId="77777777" w:rsidR="004346F3" w:rsidRPr="00536CFD" w:rsidRDefault="004346F3" w:rsidP="00802ABC">
            <w:pPr>
              <w:spacing w:after="0"/>
              <w:jc w:val="center"/>
              <w:rPr>
                <w:lang w:val="zh-CN"/>
              </w:rPr>
            </w:pPr>
            <w:r w:rsidRPr="00536CFD">
              <w:rPr>
                <w:lang w:val="zh-CN"/>
              </w:rPr>
              <w:t>86.72</w:t>
            </w:r>
          </w:p>
        </w:tc>
        <w:tc>
          <w:tcPr>
            <w:tcW w:w="715" w:type="dxa"/>
            <w:gridSpan w:val="2"/>
            <w:tcBorders>
              <w:top w:val="single" w:sz="4" w:space="0" w:color="auto"/>
              <w:left w:val="nil"/>
              <w:bottom w:val="single" w:sz="4" w:space="0" w:color="auto"/>
              <w:right w:val="single" w:sz="4" w:space="0" w:color="auto"/>
            </w:tcBorders>
            <w:shd w:val="clear" w:color="auto" w:fill="auto"/>
          </w:tcPr>
          <w:p w14:paraId="38C8EC7B" w14:textId="77777777" w:rsidR="004346F3" w:rsidRPr="00536CFD" w:rsidRDefault="004346F3" w:rsidP="00802ABC">
            <w:pPr>
              <w:spacing w:after="0"/>
              <w:jc w:val="center"/>
              <w:rPr>
                <w:lang w:val="zh-CN"/>
              </w:rPr>
            </w:pPr>
            <w:r w:rsidRPr="00536CFD">
              <w:rPr>
                <w:lang w:val="zh-CN"/>
              </w:rPr>
              <w:t>93.96</w:t>
            </w:r>
          </w:p>
        </w:tc>
        <w:tc>
          <w:tcPr>
            <w:tcW w:w="737" w:type="dxa"/>
            <w:gridSpan w:val="2"/>
            <w:tcBorders>
              <w:top w:val="single" w:sz="4" w:space="0" w:color="auto"/>
              <w:left w:val="nil"/>
              <w:bottom w:val="single" w:sz="4" w:space="0" w:color="auto"/>
              <w:right w:val="single" w:sz="4" w:space="0" w:color="auto"/>
            </w:tcBorders>
            <w:shd w:val="clear" w:color="auto" w:fill="auto"/>
          </w:tcPr>
          <w:p w14:paraId="0F250F64" w14:textId="77777777" w:rsidR="004346F3" w:rsidRPr="00536CFD" w:rsidRDefault="004346F3" w:rsidP="00802ABC">
            <w:pPr>
              <w:spacing w:after="0"/>
              <w:jc w:val="center"/>
              <w:rPr>
                <w:lang w:val="zh-CN"/>
              </w:rPr>
            </w:pPr>
            <w:r w:rsidRPr="00536CFD">
              <w:rPr>
                <w:lang w:val="zh-CN"/>
              </w:rPr>
              <w:t>37.94</w:t>
            </w:r>
          </w:p>
        </w:tc>
        <w:tc>
          <w:tcPr>
            <w:tcW w:w="738" w:type="dxa"/>
            <w:gridSpan w:val="2"/>
            <w:tcBorders>
              <w:top w:val="single" w:sz="4" w:space="0" w:color="auto"/>
              <w:left w:val="nil"/>
              <w:bottom w:val="single" w:sz="4" w:space="0" w:color="auto"/>
              <w:right w:val="single" w:sz="4" w:space="0" w:color="auto"/>
            </w:tcBorders>
            <w:shd w:val="clear" w:color="auto" w:fill="auto"/>
          </w:tcPr>
          <w:p w14:paraId="1BCC279A" w14:textId="77777777" w:rsidR="004346F3" w:rsidRPr="00536CFD" w:rsidRDefault="004346F3" w:rsidP="00802ABC">
            <w:pPr>
              <w:spacing w:after="0"/>
              <w:jc w:val="center"/>
              <w:rPr>
                <w:lang w:val="zh-CN"/>
              </w:rPr>
            </w:pPr>
            <w:r w:rsidRPr="00536CFD">
              <w:rPr>
                <w:lang w:val="zh-CN"/>
              </w:rPr>
              <w:t>77.49</w:t>
            </w:r>
          </w:p>
        </w:tc>
        <w:tc>
          <w:tcPr>
            <w:tcW w:w="737" w:type="dxa"/>
            <w:gridSpan w:val="2"/>
            <w:tcBorders>
              <w:top w:val="single" w:sz="4" w:space="0" w:color="auto"/>
              <w:left w:val="nil"/>
              <w:bottom w:val="single" w:sz="4" w:space="0" w:color="auto"/>
              <w:right w:val="single" w:sz="4" w:space="0" w:color="auto"/>
            </w:tcBorders>
            <w:shd w:val="clear" w:color="auto" w:fill="auto"/>
          </w:tcPr>
          <w:p w14:paraId="0218023C" w14:textId="77777777" w:rsidR="004346F3" w:rsidRPr="00536CFD" w:rsidRDefault="004346F3" w:rsidP="00802ABC">
            <w:pPr>
              <w:spacing w:after="0"/>
              <w:jc w:val="center"/>
              <w:rPr>
                <w:lang w:val="zh-CN"/>
              </w:rPr>
            </w:pPr>
            <w:r w:rsidRPr="00536CFD">
              <w:rPr>
                <w:lang w:val="zh-CN"/>
              </w:rPr>
              <w:t>74.19</w:t>
            </w:r>
          </w:p>
        </w:tc>
        <w:tc>
          <w:tcPr>
            <w:tcW w:w="738" w:type="dxa"/>
            <w:gridSpan w:val="2"/>
            <w:tcBorders>
              <w:top w:val="single" w:sz="4" w:space="0" w:color="auto"/>
              <w:left w:val="nil"/>
              <w:bottom w:val="single" w:sz="4" w:space="0" w:color="auto"/>
              <w:right w:val="single" w:sz="4" w:space="0" w:color="auto"/>
            </w:tcBorders>
            <w:shd w:val="clear" w:color="auto" w:fill="auto"/>
          </w:tcPr>
          <w:p w14:paraId="6E1A6F9E" w14:textId="77777777" w:rsidR="004346F3" w:rsidRPr="00536CFD" w:rsidRDefault="004346F3" w:rsidP="00802ABC">
            <w:pPr>
              <w:spacing w:after="0"/>
              <w:jc w:val="center"/>
              <w:rPr>
                <w:lang w:val="zh-CN"/>
              </w:rPr>
            </w:pPr>
            <w:r w:rsidRPr="00536CFD">
              <w:rPr>
                <w:lang w:val="zh-CN"/>
              </w:rPr>
              <w:t>90.19</w:t>
            </w:r>
          </w:p>
        </w:tc>
      </w:tr>
      <w:tr w:rsidR="004346F3" w:rsidRPr="00536CFD" w14:paraId="22C639CE"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CF38993"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15F187E6"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6DF73E92"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tcPr>
          <w:p w14:paraId="412853D6" w14:textId="77777777" w:rsidR="004346F3" w:rsidRPr="00536CFD" w:rsidRDefault="004346F3" w:rsidP="00802ABC">
            <w:pPr>
              <w:spacing w:after="0"/>
              <w:jc w:val="center"/>
              <w:rPr>
                <w:lang w:val="zh-CN"/>
              </w:rPr>
            </w:pPr>
            <w:r w:rsidRPr="00536CFD">
              <w:rPr>
                <w:lang w:val="zh-CN"/>
              </w:rPr>
              <w:t>51.50</w:t>
            </w:r>
          </w:p>
        </w:tc>
        <w:tc>
          <w:tcPr>
            <w:tcW w:w="644" w:type="dxa"/>
            <w:gridSpan w:val="2"/>
            <w:tcBorders>
              <w:top w:val="single" w:sz="4" w:space="0" w:color="auto"/>
              <w:left w:val="nil"/>
              <w:bottom w:val="single" w:sz="4" w:space="0" w:color="auto"/>
              <w:right w:val="single" w:sz="4" w:space="0" w:color="auto"/>
            </w:tcBorders>
            <w:shd w:val="clear" w:color="auto" w:fill="auto"/>
          </w:tcPr>
          <w:p w14:paraId="432508B1" w14:textId="77777777" w:rsidR="004346F3" w:rsidRPr="00536CFD" w:rsidRDefault="004346F3" w:rsidP="00802ABC">
            <w:pPr>
              <w:spacing w:after="0"/>
              <w:jc w:val="center"/>
              <w:rPr>
                <w:lang w:val="zh-CN"/>
              </w:rPr>
            </w:pPr>
            <w:r w:rsidRPr="00536CFD">
              <w:rPr>
                <w:lang w:val="zh-CN"/>
              </w:rPr>
              <w:t>54.34</w:t>
            </w:r>
          </w:p>
        </w:tc>
        <w:tc>
          <w:tcPr>
            <w:tcW w:w="644" w:type="dxa"/>
            <w:gridSpan w:val="2"/>
            <w:tcBorders>
              <w:top w:val="single" w:sz="4" w:space="0" w:color="auto"/>
              <w:left w:val="nil"/>
              <w:bottom w:val="single" w:sz="4" w:space="0" w:color="auto"/>
              <w:right w:val="single" w:sz="4" w:space="0" w:color="auto"/>
            </w:tcBorders>
            <w:shd w:val="clear" w:color="auto" w:fill="auto"/>
          </w:tcPr>
          <w:p w14:paraId="7ECB40DE" w14:textId="77777777" w:rsidR="004346F3" w:rsidRPr="00536CFD" w:rsidRDefault="004346F3" w:rsidP="00802ABC">
            <w:pPr>
              <w:spacing w:after="0"/>
              <w:jc w:val="center"/>
              <w:rPr>
                <w:lang w:val="zh-CN"/>
              </w:rPr>
            </w:pPr>
            <w:r w:rsidRPr="00536CFD">
              <w:rPr>
                <w:lang w:val="zh-CN"/>
              </w:rPr>
              <w:t>54.27</w:t>
            </w:r>
          </w:p>
        </w:tc>
        <w:tc>
          <w:tcPr>
            <w:tcW w:w="644" w:type="dxa"/>
            <w:gridSpan w:val="2"/>
            <w:tcBorders>
              <w:top w:val="single" w:sz="4" w:space="0" w:color="auto"/>
              <w:left w:val="nil"/>
              <w:bottom w:val="single" w:sz="4" w:space="0" w:color="auto"/>
              <w:right w:val="single" w:sz="4" w:space="0" w:color="auto"/>
            </w:tcBorders>
            <w:shd w:val="clear" w:color="auto" w:fill="auto"/>
          </w:tcPr>
          <w:p w14:paraId="56848B4B" w14:textId="77777777" w:rsidR="004346F3" w:rsidRPr="00536CFD" w:rsidRDefault="004346F3" w:rsidP="00802ABC">
            <w:pPr>
              <w:spacing w:after="0"/>
              <w:jc w:val="center"/>
              <w:rPr>
                <w:lang w:val="zh-CN"/>
              </w:rPr>
            </w:pPr>
            <w:r w:rsidRPr="00536CFD">
              <w:rPr>
                <w:lang w:val="zh-CN"/>
              </w:rPr>
              <w:t>64.59</w:t>
            </w:r>
          </w:p>
        </w:tc>
        <w:tc>
          <w:tcPr>
            <w:tcW w:w="715" w:type="dxa"/>
            <w:gridSpan w:val="2"/>
            <w:tcBorders>
              <w:top w:val="single" w:sz="4" w:space="0" w:color="auto"/>
              <w:left w:val="nil"/>
              <w:bottom w:val="single" w:sz="4" w:space="0" w:color="auto"/>
              <w:right w:val="single" w:sz="4" w:space="0" w:color="auto"/>
            </w:tcBorders>
            <w:shd w:val="clear" w:color="auto" w:fill="auto"/>
          </w:tcPr>
          <w:p w14:paraId="35E0A5D2" w14:textId="77777777" w:rsidR="004346F3" w:rsidRPr="00536CFD" w:rsidRDefault="004346F3" w:rsidP="00802ABC">
            <w:pPr>
              <w:spacing w:after="0"/>
              <w:jc w:val="center"/>
              <w:rPr>
                <w:lang w:val="zh-CN"/>
              </w:rPr>
            </w:pPr>
            <w:r w:rsidRPr="00536CFD">
              <w:rPr>
                <w:lang w:val="zh-CN"/>
              </w:rPr>
              <w:t>31.32</w:t>
            </w:r>
          </w:p>
        </w:tc>
        <w:tc>
          <w:tcPr>
            <w:tcW w:w="715" w:type="dxa"/>
            <w:gridSpan w:val="2"/>
            <w:tcBorders>
              <w:top w:val="single" w:sz="4" w:space="0" w:color="auto"/>
              <w:left w:val="nil"/>
              <w:bottom w:val="single" w:sz="4" w:space="0" w:color="auto"/>
              <w:right w:val="single" w:sz="4" w:space="0" w:color="auto"/>
            </w:tcBorders>
            <w:shd w:val="clear" w:color="auto" w:fill="auto"/>
          </w:tcPr>
          <w:p w14:paraId="06464082" w14:textId="77777777" w:rsidR="004346F3" w:rsidRPr="00536CFD" w:rsidRDefault="004346F3" w:rsidP="00802ABC">
            <w:pPr>
              <w:spacing w:after="0"/>
              <w:jc w:val="center"/>
              <w:rPr>
                <w:lang w:val="zh-CN"/>
              </w:rPr>
            </w:pPr>
            <w:r w:rsidRPr="00536CFD">
              <w:rPr>
                <w:lang w:val="zh-CN"/>
              </w:rPr>
              <w:t>50.52</w:t>
            </w:r>
          </w:p>
        </w:tc>
        <w:tc>
          <w:tcPr>
            <w:tcW w:w="715" w:type="dxa"/>
            <w:gridSpan w:val="2"/>
            <w:tcBorders>
              <w:top w:val="single" w:sz="4" w:space="0" w:color="auto"/>
              <w:left w:val="nil"/>
              <w:bottom w:val="single" w:sz="4" w:space="0" w:color="auto"/>
              <w:right w:val="single" w:sz="4" w:space="0" w:color="auto"/>
            </w:tcBorders>
            <w:shd w:val="clear" w:color="auto" w:fill="auto"/>
          </w:tcPr>
          <w:p w14:paraId="50257F30" w14:textId="77777777" w:rsidR="004346F3" w:rsidRPr="00536CFD" w:rsidRDefault="004346F3" w:rsidP="00802ABC">
            <w:pPr>
              <w:spacing w:after="0"/>
              <w:jc w:val="center"/>
              <w:rPr>
                <w:lang w:val="zh-CN"/>
              </w:rPr>
            </w:pPr>
            <w:r w:rsidRPr="00536CFD">
              <w:rPr>
                <w:lang w:val="zh-CN"/>
              </w:rPr>
              <w:t>50.18</w:t>
            </w:r>
          </w:p>
        </w:tc>
        <w:tc>
          <w:tcPr>
            <w:tcW w:w="715" w:type="dxa"/>
            <w:gridSpan w:val="2"/>
            <w:tcBorders>
              <w:top w:val="single" w:sz="4" w:space="0" w:color="auto"/>
              <w:left w:val="nil"/>
              <w:bottom w:val="single" w:sz="4" w:space="0" w:color="auto"/>
              <w:right w:val="single" w:sz="4" w:space="0" w:color="auto"/>
            </w:tcBorders>
            <w:shd w:val="clear" w:color="auto" w:fill="auto"/>
          </w:tcPr>
          <w:p w14:paraId="498D249C" w14:textId="77777777" w:rsidR="004346F3" w:rsidRPr="00536CFD" w:rsidRDefault="004346F3" w:rsidP="00802ABC">
            <w:pPr>
              <w:spacing w:after="0"/>
              <w:jc w:val="center"/>
              <w:rPr>
                <w:lang w:val="zh-CN"/>
              </w:rPr>
            </w:pPr>
            <w:r w:rsidRPr="00536CFD">
              <w:rPr>
                <w:lang w:val="zh-CN"/>
              </w:rPr>
              <w:t>61.93</w:t>
            </w:r>
          </w:p>
        </w:tc>
        <w:tc>
          <w:tcPr>
            <w:tcW w:w="737" w:type="dxa"/>
            <w:gridSpan w:val="2"/>
            <w:tcBorders>
              <w:top w:val="single" w:sz="4" w:space="0" w:color="auto"/>
              <w:left w:val="nil"/>
              <w:bottom w:val="single" w:sz="4" w:space="0" w:color="auto"/>
              <w:right w:val="single" w:sz="4" w:space="0" w:color="auto"/>
            </w:tcBorders>
            <w:shd w:val="clear" w:color="auto" w:fill="auto"/>
          </w:tcPr>
          <w:p w14:paraId="46C25C26" w14:textId="77777777" w:rsidR="004346F3" w:rsidRPr="00536CFD" w:rsidRDefault="004346F3" w:rsidP="00802ABC">
            <w:pPr>
              <w:spacing w:after="0"/>
              <w:jc w:val="center"/>
              <w:rPr>
                <w:lang w:val="zh-CN"/>
              </w:rPr>
            </w:pPr>
            <w:r w:rsidRPr="00536CFD">
              <w:rPr>
                <w:lang w:val="zh-CN"/>
              </w:rPr>
              <w:t>15.31</w:t>
            </w:r>
          </w:p>
        </w:tc>
        <w:tc>
          <w:tcPr>
            <w:tcW w:w="738" w:type="dxa"/>
            <w:gridSpan w:val="2"/>
            <w:tcBorders>
              <w:top w:val="single" w:sz="4" w:space="0" w:color="auto"/>
              <w:left w:val="nil"/>
              <w:bottom w:val="single" w:sz="4" w:space="0" w:color="auto"/>
              <w:right w:val="single" w:sz="4" w:space="0" w:color="auto"/>
            </w:tcBorders>
            <w:shd w:val="clear" w:color="auto" w:fill="auto"/>
          </w:tcPr>
          <w:p w14:paraId="2955F1BA" w14:textId="77777777" w:rsidR="004346F3" w:rsidRPr="00536CFD" w:rsidRDefault="004346F3" w:rsidP="00802ABC">
            <w:pPr>
              <w:spacing w:after="0"/>
              <w:jc w:val="center"/>
              <w:rPr>
                <w:lang w:val="zh-CN"/>
              </w:rPr>
            </w:pPr>
            <w:r w:rsidRPr="00536CFD">
              <w:rPr>
                <w:lang w:val="zh-CN"/>
              </w:rPr>
              <w:t>36.89</w:t>
            </w:r>
          </w:p>
        </w:tc>
        <w:tc>
          <w:tcPr>
            <w:tcW w:w="737" w:type="dxa"/>
            <w:gridSpan w:val="2"/>
            <w:tcBorders>
              <w:top w:val="single" w:sz="4" w:space="0" w:color="auto"/>
              <w:left w:val="nil"/>
              <w:bottom w:val="single" w:sz="4" w:space="0" w:color="auto"/>
              <w:right w:val="single" w:sz="4" w:space="0" w:color="auto"/>
            </w:tcBorders>
            <w:shd w:val="clear" w:color="auto" w:fill="auto"/>
          </w:tcPr>
          <w:p w14:paraId="612730D4" w14:textId="77777777" w:rsidR="004346F3" w:rsidRPr="00536CFD" w:rsidRDefault="004346F3" w:rsidP="00802ABC">
            <w:pPr>
              <w:spacing w:after="0"/>
              <w:jc w:val="center"/>
              <w:rPr>
                <w:lang w:val="zh-CN"/>
              </w:rPr>
            </w:pPr>
            <w:r w:rsidRPr="00536CFD">
              <w:rPr>
                <w:lang w:val="zh-CN"/>
              </w:rPr>
              <w:t>36.13</w:t>
            </w:r>
          </w:p>
        </w:tc>
        <w:tc>
          <w:tcPr>
            <w:tcW w:w="738" w:type="dxa"/>
            <w:gridSpan w:val="2"/>
            <w:tcBorders>
              <w:top w:val="single" w:sz="4" w:space="0" w:color="auto"/>
              <w:left w:val="nil"/>
              <w:bottom w:val="single" w:sz="4" w:space="0" w:color="auto"/>
              <w:right w:val="single" w:sz="4" w:space="0" w:color="auto"/>
            </w:tcBorders>
            <w:shd w:val="clear" w:color="auto" w:fill="auto"/>
          </w:tcPr>
          <w:p w14:paraId="37892110" w14:textId="77777777" w:rsidR="004346F3" w:rsidRPr="00536CFD" w:rsidRDefault="004346F3" w:rsidP="00802ABC">
            <w:pPr>
              <w:spacing w:after="0"/>
              <w:jc w:val="center"/>
              <w:rPr>
                <w:lang w:val="zh-CN"/>
              </w:rPr>
            </w:pPr>
            <w:r w:rsidRPr="00536CFD">
              <w:rPr>
                <w:lang w:val="zh-CN"/>
              </w:rPr>
              <w:t>58.07</w:t>
            </w:r>
          </w:p>
        </w:tc>
      </w:tr>
      <w:tr w:rsidR="004346F3" w:rsidRPr="00536CFD" w14:paraId="3849A6B8"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9A46942" w14:textId="77777777" w:rsidR="004346F3" w:rsidRPr="00536CFD" w:rsidRDefault="004346F3" w:rsidP="00802ABC">
            <w:pPr>
              <w:spacing w:after="0"/>
              <w:ind w:left="113" w:right="113"/>
            </w:pPr>
          </w:p>
        </w:tc>
        <w:tc>
          <w:tcPr>
            <w:tcW w:w="612" w:type="dxa"/>
            <w:gridSpan w:val="2"/>
            <w:vMerge w:val="restart"/>
            <w:tcBorders>
              <w:top w:val="nil"/>
              <w:left w:val="nil"/>
              <w:bottom w:val="single" w:sz="4" w:space="0" w:color="auto"/>
              <w:right w:val="single" w:sz="4" w:space="0" w:color="auto"/>
            </w:tcBorders>
            <w:shd w:val="clear" w:color="auto" w:fill="auto"/>
          </w:tcPr>
          <w:p w14:paraId="2366BF27"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b/>
                <w:sz w:val="20"/>
                <w:szCs w:val="20"/>
                <w:lang w:bidi="ar"/>
              </w:rPr>
              <w:t xml:space="preserve">UL:  </w:t>
            </w:r>
            <w:r w:rsidRPr="00536CFD">
              <w:rPr>
                <w:rFonts w:eastAsia="SimSun"/>
                <w:sz w:val="20"/>
                <w:szCs w:val="20"/>
                <w:lang w:bidi="ar"/>
              </w:rPr>
              <w:t>Delay CDF [s]</w:t>
            </w:r>
          </w:p>
        </w:tc>
        <w:tc>
          <w:tcPr>
            <w:tcW w:w="554" w:type="dxa"/>
            <w:tcBorders>
              <w:top w:val="single" w:sz="4" w:space="0" w:color="auto"/>
              <w:left w:val="nil"/>
              <w:bottom w:val="single" w:sz="4" w:space="0" w:color="auto"/>
              <w:right w:val="single" w:sz="4" w:space="0" w:color="auto"/>
            </w:tcBorders>
            <w:shd w:val="clear" w:color="auto" w:fill="auto"/>
          </w:tcPr>
          <w:p w14:paraId="37BFFB28"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w:t>
            </w:r>
          </w:p>
        </w:tc>
        <w:tc>
          <w:tcPr>
            <w:tcW w:w="582" w:type="dxa"/>
            <w:tcBorders>
              <w:top w:val="single" w:sz="4" w:space="0" w:color="auto"/>
              <w:left w:val="nil"/>
              <w:bottom w:val="single" w:sz="4" w:space="0" w:color="auto"/>
              <w:right w:val="single" w:sz="4" w:space="0" w:color="auto"/>
            </w:tcBorders>
            <w:shd w:val="clear" w:color="auto" w:fill="auto"/>
          </w:tcPr>
          <w:p w14:paraId="5B130C04" w14:textId="77777777" w:rsidR="004346F3" w:rsidRPr="00536CFD" w:rsidRDefault="004346F3" w:rsidP="00802ABC">
            <w:pPr>
              <w:spacing w:after="0"/>
              <w:jc w:val="center"/>
              <w:rPr>
                <w:lang w:val="zh-CN"/>
              </w:rPr>
            </w:pPr>
            <w:r w:rsidRPr="00536CFD">
              <w:rPr>
                <w:lang w:val="zh-CN"/>
              </w:rPr>
              <w:t>0.039</w:t>
            </w:r>
          </w:p>
        </w:tc>
        <w:tc>
          <w:tcPr>
            <w:tcW w:w="644" w:type="dxa"/>
            <w:gridSpan w:val="2"/>
            <w:tcBorders>
              <w:top w:val="single" w:sz="4" w:space="0" w:color="auto"/>
              <w:left w:val="nil"/>
              <w:bottom w:val="single" w:sz="4" w:space="0" w:color="auto"/>
              <w:right w:val="single" w:sz="4" w:space="0" w:color="auto"/>
            </w:tcBorders>
            <w:shd w:val="clear" w:color="auto" w:fill="auto"/>
          </w:tcPr>
          <w:p w14:paraId="04C0D12B" w14:textId="77777777" w:rsidR="004346F3" w:rsidRPr="00536CFD" w:rsidRDefault="004346F3" w:rsidP="00802ABC">
            <w:pPr>
              <w:spacing w:after="0"/>
              <w:jc w:val="center"/>
              <w:rPr>
                <w:lang w:val="zh-CN"/>
              </w:rPr>
            </w:pPr>
            <w:r w:rsidRPr="00536CFD">
              <w:rPr>
                <w:lang w:val="zh-CN"/>
              </w:rPr>
              <w:t>0.034</w:t>
            </w:r>
          </w:p>
        </w:tc>
        <w:tc>
          <w:tcPr>
            <w:tcW w:w="644" w:type="dxa"/>
            <w:gridSpan w:val="2"/>
            <w:tcBorders>
              <w:top w:val="single" w:sz="4" w:space="0" w:color="auto"/>
              <w:left w:val="nil"/>
              <w:bottom w:val="single" w:sz="4" w:space="0" w:color="auto"/>
              <w:right w:val="single" w:sz="4" w:space="0" w:color="auto"/>
            </w:tcBorders>
            <w:shd w:val="clear" w:color="auto" w:fill="auto"/>
          </w:tcPr>
          <w:p w14:paraId="74251EAF" w14:textId="77777777" w:rsidR="004346F3" w:rsidRPr="00536CFD" w:rsidRDefault="004346F3" w:rsidP="00802ABC">
            <w:pPr>
              <w:spacing w:after="0"/>
              <w:jc w:val="center"/>
              <w:rPr>
                <w:lang w:val="zh-CN"/>
              </w:rPr>
            </w:pPr>
            <w:r w:rsidRPr="00536CFD">
              <w:rPr>
                <w:lang w:val="zh-CN"/>
              </w:rPr>
              <w:t>0.037</w:t>
            </w:r>
          </w:p>
        </w:tc>
        <w:tc>
          <w:tcPr>
            <w:tcW w:w="644" w:type="dxa"/>
            <w:gridSpan w:val="2"/>
            <w:tcBorders>
              <w:top w:val="single" w:sz="4" w:space="0" w:color="auto"/>
              <w:left w:val="nil"/>
              <w:bottom w:val="single" w:sz="4" w:space="0" w:color="auto"/>
              <w:right w:val="single" w:sz="4" w:space="0" w:color="auto"/>
            </w:tcBorders>
            <w:shd w:val="clear" w:color="auto" w:fill="auto"/>
          </w:tcPr>
          <w:p w14:paraId="4F170507" w14:textId="77777777" w:rsidR="004346F3" w:rsidRPr="00536CFD" w:rsidRDefault="004346F3" w:rsidP="00802ABC">
            <w:pPr>
              <w:spacing w:after="0"/>
              <w:jc w:val="center"/>
              <w:rPr>
                <w:lang w:val="zh-CN"/>
              </w:rPr>
            </w:pPr>
            <w:r w:rsidRPr="00536CFD">
              <w:rPr>
                <w:lang w:val="zh-CN"/>
              </w:rPr>
              <w:t>0.036</w:t>
            </w:r>
          </w:p>
        </w:tc>
        <w:tc>
          <w:tcPr>
            <w:tcW w:w="715" w:type="dxa"/>
            <w:gridSpan w:val="2"/>
            <w:tcBorders>
              <w:top w:val="single" w:sz="4" w:space="0" w:color="auto"/>
              <w:left w:val="nil"/>
              <w:bottom w:val="single" w:sz="4" w:space="0" w:color="auto"/>
              <w:right w:val="single" w:sz="4" w:space="0" w:color="auto"/>
            </w:tcBorders>
            <w:shd w:val="clear" w:color="auto" w:fill="auto"/>
          </w:tcPr>
          <w:p w14:paraId="4128B549" w14:textId="77777777" w:rsidR="004346F3" w:rsidRPr="00536CFD" w:rsidRDefault="004346F3" w:rsidP="00802ABC">
            <w:pPr>
              <w:spacing w:after="0"/>
              <w:jc w:val="center"/>
              <w:rPr>
                <w:lang w:val="zh-CN"/>
              </w:rPr>
            </w:pPr>
            <w:r w:rsidRPr="00536CFD">
              <w:rPr>
                <w:lang w:val="zh-CN"/>
              </w:rPr>
              <w:t>0.070</w:t>
            </w:r>
          </w:p>
        </w:tc>
        <w:tc>
          <w:tcPr>
            <w:tcW w:w="715" w:type="dxa"/>
            <w:gridSpan w:val="2"/>
            <w:tcBorders>
              <w:top w:val="single" w:sz="4" w:space="0" w:color="auto"/>
              <w:left w:val="nil"/>
              <w:bottom w:val="single" w:sz="4" w:space="0" w:color="auto"/>
              <w:right w:val="single" w:sz="4" w:space="0" w:color="auto"/>
            </w:tcBorders>
            <w:shd w:val="clear" w:color="auto" w:fill="auto"/>
          </w:tcPr>
          <w:p w14:paraId="51BF7FE5" w14:textId="77777777" w:rsidR="004346F3" w:rsidRPr="00536CFD" w:rsidRDefault="004346F3" w:rsidP="00802ABC">
            <w:pPr>
              <w:spacing w:after="0"/>
              <w:jc w:val="center"/>
              <w:rPr>
                <w:lang w:val="zh-CN"/>
              </w:rPr>
            </w:pPr>
            <w:r w:rsidRPr="00536CFD">
              <w:rPr>
                <w:lang w:val="zh-CN"/>
              </w:rPr>
              <w:t>0.034</w:t>
            </w:r>
          </w:p>
        </w:tc>
        <w:tc>
          <w:tcPr>
            <w:tcW w:w="715" w:type="dxa"/>
            <w:gridSpan w:val="2"/>
            <w:tcBorders>
              <w:top w:val="single" w:sz="4" w:space="0" w:color="auto"/>
              <w:left w:val="nil"/>
              <w:bottom w:val="single" w:sz="4" w:space="0" w:color="auto"/>
              <w:right w:val="single" w:sz="4" w:space="0" w:color="auto"/>
            </w:tcBorders>
            <w:shd w:val="clear" w:color="auto" w:fill="auto"/>
          </w:tcPr>
          <w:p w14:paraId="3A9A4DE2" w14:textId="77777777" w:rsidR="004346F3" w:rsidRPr="00536CFD" w:rsidRDefault="004346F3" w:rsidP="00802ABC">
            <w:pPr>
              <w:spacing w:after="0"/>
              <w:jc w:val="center"/>
              <w:rPr>
                <w:lang w:val="zh-CN"/>
              </w:rPr>
            </w:pPr>
            <w:r w:rsidRPr="00536CFD">
              <w:rPr>
                <w:lang w:val="zh-CN"/>
              </w:rPr>
              <w:t>0.038</w:t>
            </w:r>
          </w:p>
        </w:tc>
        <w:tc>
          <w:tcPr>
            <w:tcW w:w="715" w:type="dxa"/>
            <w:gridSpan w:val="2"/>
            <w:tcBorders>
              <w:top w:val="single" w:sz="4" w:space="0" w:color="auto"/>
              <w:left w:val="nil"/>
              <w:bottom w:val="single" w:sz="4" w:space="0" w:color="auto"/>
              <w:right w:val="single" w:sz="4" w:space="0" w:color="auto"/>
            </w:tcBorders>
            <w:shd w:val="clear" w:color="auto" w:fill="auto"/>
          </w:tcPr>
          <w:p w14:paraId="4CAA9AD6" w14:textId="77777777" w:rsidR="004346F3" w:rsidRPr="00536CFD" w:rsidRDefault="004346F3" w:rsidP="00802ABC">
            <w:pPr>
              <w:spacing w:after="0"/>
              <w:jc w:val="center"/>
              <w:rPr>
                <w:lang w:val="zh-CN"/>
              </w:rPr>
            </w:pPr>
            <w:r w:rsidRPr="00536CFD">
              <w:rPr>
                <w:lang w:val="zh-CN"/>
              </w:rPr>
              <w:t>0.036</w:t>
            </w:r>
          </w:p>
        </w:tc>
        <w:tc>
          <w:tcPr>
            <w:tcW w:w="737" w:type="dxa"/>
            <w:gridSpan w:val="2"/>
            <w:tcBorders>
              <w:top w:val="single" w:sz="4" w:space="0" w:color="auto"/>
              <w:left w:val="nil"/>
              <w:bottom w:val="single" w:sz="4" w:space="0" w:color="auto"/>
              <w:right w:val="single" w:sz="4" w:space="0" w:color="auto"/>
            </w:tcBorders>
            <w:shd w:val="clear" w:color="auto" w:fill="auto"/>
          </w:tcPr>
          <w:p w14:paraId="4802E560" w14:textId="77777777" w:rsidR="004346F3" w:rsidRPr="00536CFD" w:rsidRDefault="004346F3" w:rsidP="00802ABC">
            <w:pPr>
              <w:spacing w:after="0"/>
              <w:jc w:val="center"/>
              <w:rPr>
                <w:lang w:val="zh-CN"/>
              </w:rPr>
            </w:pPr>
            <w:r w:rsidRPr="00536CFD">
              <w:rPr>
                <w:lang w:val="zh-CN"/>
              </w:rPr>
              <w:t>0.100</w:t>
            </w:r>
          </w:p>
        </w:tc>
        <w:tc>
          <w:tcPr>
            <w:tcW w:w="738" w:type="dxa"/>
            <w:gridSpan w:val="2"/>
            <w:tcBorders>
              <w:top w:val="single" w:sz="4" w:space="0" w:color="auto"/>
              <w:left w:val="nil"/>
              <w:bottom w:val="single" w:sz="4" w:space="0" w:color="auto"/>
              <w:right w:val="single" w:sz="4" w:space="0" w:color="auto"/>
            </w:tcBorders>
            <w:shd w:val="clear" w:color="auto" w:fill="auto"/>
          </w:tcPr>
          <w:p w14:paraId="3226615A" w14:textId="77777777" w:rsidR="004346F3" w:rsidRPr="00536CFD" w:rsidRDefault="004346F3" w:rsidP="00802ABC">
            <w:pPr>
              <w:spacing w:after="0"/>
              <w:jc w:val="center"/>
              <w:rPr>
                <w:lang w:val="zh-CN"/>
              </w:rPr>
            </w:pPr>
            <w:r w:rsidRPr="00536CFD">
              <w:rPr>
                <w:lang w:val="zh-CN"/>
              </w:rPr>
              <w:t>0.040</w:t>
            </w:r>
          </w:p>
        </w:tc>
        <w:tc>
          <w:tcPr>
            <w:tcW w:w="737" w:type="dxa"/>
            <w:gridSpan w:val="2"/>
            <w:tcBorders>
              <w:top w:val="single" w:sz="4" w:space="0" w:color="auto"/>
              <w:left w:val="nil"/>
              <w:bottom w:val="single" w:sz="4" w:space="0" w:color="auto"/>
              <w:right w:val="single" w:sz="4" w:space="0" w:color="auto"/>
            </w:tcBorders>
            <w:shd w:val="clear" w:color="auto" w:fill="auto"/>
          </w:tcPr>
          <w:p w14:paraId="05718C7F" w14:textId="77777777" w:rsidR="004346F3" w:rsidRPr="00536CFD" w:rsidRDefault="004346F3" w:rsidP="00802ABC">
            <w:pPr>
              <w:spacing w:after="0"/>
              <w:jc w:val="center"/>
              <w:rPr>
                <w:lang w:val="zh-CN"/>
              </w:rPr>
            </w:pPr>
            <w:r w:rsidRPr="00536CFD">
              <w:rPr>
                <w:lang w:val="zh-CN"/>
              </w:rPr>
              <w:t>0.050</w:t>
            </w:r>
          </w:p>
        </w:tc>
        <w:tc>
          <w:tcPr>
            <w:tcW w:w="738" w:type="dxa"/>
            <w:gridSpan w:val="2"/>
            <w:tcBorders>
              <w:top w:val="single" w:sz="4" w:space="0" w:color="auto"/>
              <w:left w:val="nil"/>
              <w:bottom w:val="single" w:sz="4" w:space="0" w:color="auto"/>
              <w:right w:val="single" w:sz="4" w:space="0" w:color="auto"/>
            </w:tcBorders>
            <w:shd w:val="clear" w:color="auto" w:fill="auto"/>
          </w:tcPr>
          <w:p w14:paraId="70278C98" w14:textId="77777777" w:rsidR="004346F3" w:rsidRPr="00536CFD" w:rsidRDefault="004346F3" w:rsidP="00802ABC">
            <w:pPr>
              <w:spacing w:after="0"/>
              <w:jc w:val="center"/>
              <w:rPr>
                <w:lang w:val="zh-CN"/>
              </w:rPr>
            </w:pPr>
            <w:r w:rsidRPr="00536CFD">
              <w:rPr>
                <w:lang w:val="zh-CN"/>
              </w:rPr>
              <w:t>0.037</w:t>
            </w:r>
          </w:p>
        </w:tc>
      </w:tr>
      <w:tr w:rsidR="004346F3" w:rsidRPr="00536CFD" w14:paraId="6B6F0CCE"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7C8DB24A"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2FDABBB"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38B1FFAC"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50%</w:t>
            </w:r>
          </w:p>
        </w:tc>
        <w:tc>
          <w:tcPr>
            <w:tcW w:w="582" w:type="dxa"/>
            <w:tcBorders>
              <w:top w:val="single" w:sz="4" w:space="0" w:color="auto"/>
              <w:left w:val="nil"/>
              <w:bottom w:val="single" w:sz="4" w:space="0" w:color="auto"/>
              <w:right w:val="single" w:sz="4" w:space="0" w:color="auto"/>
            </w:tcBorders>
            <w:shd w:val="clear" w:color="auto" w:fill="auto"/>
          </w:tcPr>
          <w:p w14:paraId="1FAA420D" w14:textId="77777777" w:rsidR="004346F3" w:rsidRPr="00536CFD" w:rsidRDefault="004346F3" w:rsidP="00802ABC">
            <w:pPr>
              <w:spacing w:after="0"/>
              <w:jc w:val="center"/>
              <w:rPr>
                <w:lang w:val="zh-CN"/>
              </w:rPr>
            </w:pPr>
            <w:r w:rsidRPr="00536CFD">
              <w:rPr>
                <w:lang w:val="zh-CN"/>
              </w:rPr>
              <w:t>0.117</w:t>
            </w:r>
          </w:p>
        </w:tc>
        <w:tc>
          <w:tcPr>
            <w:tcW w:w="644" w:type="dxa"/>
            <w:gridSpan w:val="2"/>
            <w:tcBorders>
              <w:top w:val="single" w:sz="4" w:space="0" w:color="auto"/>
              <w:left w:val="nil"/>
              <w:bottom w:val="single" w:sz="4" w:space="0" w:color="auto"/>
              <w:right w:val="single" w:sz="4" w:space="0" w:color="auto"/>
            </w:tcBorders>
            <w:shd w:val="clear" w:color="auto" w:fill="auto"/>
          </w:tcPr>
          <w:p w14:paraId="61B4BB05" w14:textId="77777777" w:rsidR="004346F3" w:rsidRPr="00536CFD" w:rsidRDefault="004346F3" w:rsidP="00802ABC">
            <w:pPr>
              <w:spacing w:after="0"/>
              <w:jc w:val="center"/>
              <w:rPr>
                <w:lang w:val="zh-CN"/>
              </w:rPr>
            </w:pPr>
            <w:r w:rsidRPr="00536CFD">
              <w:rPr>
                <w:lang w:val="zh-CN"/>
              </w:rPr>
              <w:t>0.077</w:t>
            </w:r>
          </w:p>
        </w:tc>
        <w:tc>
          <w:tcPr>
            <w:tcW w:w="644" w:type="dxa"/>
            <w:gridSpan w:val="2"/>
            <w:tcBorders>
              <w:top w:val="single" w:sz="4" w:space="0" w:color="auto"/>
              <w:left w:val="nil"/>
              <w:bottom w:val="single" w:sz="4" w:space="0" w:color="auto"/>
              <w:right w:val="single" w:sz="4" w:space="0" w:color="auto"/>
            </w:tcBorders>
            <w:shd w:val="clear" w:color="auto" w:fill="auto"/>
          </w:tcPr>
          <w:p w14:paraId="6D77A7E6" w14:textId="77777777" w:rsidR="004346F3" w:rsidRPr="00536CFD" w:rsidRDefault="004346F3" w:rsidP="00802ABC">
            <w:pPr>
              <w:spacing w:after="0"/>
              <w:jc w:val="center"/>
              <w:rPr>
                <w:lang w:val="zh-CN"/>
              </w:rPr>
            </w:pPr>
            <w:r w:rsidRPr="00536CFD">
              <w:rPr>
                <w:lang w:val="zh-CN"/>
              </w:rPr>
              <w:t>0.076</w:t>
            </w:r>
          </w:p>
        </w:tc>
        <w:tc>
          <w:tcPr>
            <w:tcW w:w="644" w:type="dxa"/>
            <w:gridSpan w:val="2"/>
            <w:tcBorders>
              <w:top w:val="single" w:sz="4" w:space="0" w:color="auto"/>
              <w:left w:val="nil"/>
              <w:bottom w:val="single" w:sz="4" w:space="0" w:color="auto"/>
              <w:right w:val="single" w:sz="4" w:space="0" w:color="auto"/>
            </w:tcBorders>
            <w:shd w:val="clear" w:color="auto" w:fill="auto"/>
          </w:tcPr>
          <w:p w14:paraId="227110C7" w14:textId="77777777" w:rsidR="004346F3" w:rsidRPr="00536CFD" w:rsidRDefault="004346F3" w:rsidP="00802ABC">
            <w:pPr>
              <w:spacing w:after="0"/>
              <w:jc w:val="center"/>
              <w:rPr>
                <w:lang w:val="zh-CN"/>
              </w:rPr>
            </w:pPr>
            <w:r w:rsidRPr="00536CFD">
              <w:rPr>
                <w:lang w:val="zh-CN"/>
              </w:rPr>
              <w:t>0.057</w:t>
            </w:r>
          </w:p>
        </w:tc>
        <w:tc>
          <w:tcPr>
            <w:tcW w:w="715" w:type="dxa"/>
            <w:gridSpan w:val="2"/>
            <w:tcBorders>
              <w:top w:val="single" w:sz="4" w:space="0" w:color="auto"/>
              <w:left w:val="nil"/>
              <w:bottom w:val="single" w:sz="4" w:space="0" w:color="auto"/>
              <w:right w:val="single" w:sz="4" w:space="0" w:color="auto"/>
            </w:tcBorders>
            <w:shd w:val="clear" w:color="auto" w:fill="auto"/>
          </w:tcPr>
          <w:p w14:paraId="669D5D42" w14:textId="77777777" w:rsidR="004346F3" w:rsidRPr="00536CFD" w:rsidRDefault="004346F3" w:rsidP="00802ABC">
            <w:pPr>
              <w:spacing w:after="0"/>
              <w:jc w:val="center"/>
              <w:rPr>
                <w:lang w:val="zh-CN"/>
              </w:rPr>
            </w:pPr>
            <w:r w:rsidRPr="00536CFD">
              <w:rPr>
                <w:lang w:val="zh-CN"/>
              </w:rPr>
              <w:t>0.574</w:t>
            </w:r>
          </w:p>
        </w:tc>
        <w:tc>
          <w:tcPr>
            <w:tcW w:w="715" w:type="dxa"/>
            <w:gridSpan w:val="2"/>
            <w:tcBorders>
              <w:top w:val="single" w:sz="4" w:space="0" w:color="auto"/>
              <w:left w:val="nil"/>
              <w:bottom w:val="single" w:sz="4" w:space="0" w:color="auto"/>
              <w:right w:val="single" w:sz="4" w:space="0" w:color="auto"/>
            </w:tcBorders>
            <w:shd w:val="clear" w:color="auto" w:fill="auto"/>
          </w:tcPr>
          <w:p w14:paraId="3E0FAB4E" w14:textId="77777777" w:rsidR="004346F3" w:rsidRPr="00536CFD" w:rsidRDefault="004346F3" w:rsidP="00802ABC">
            <w:pPr>
              <w:spacing w:after="0"/>
              <w:jc w:val="center"/>
              <w:rPr>
                <w:lang w:val="zh-CN"/>
              </w:rPr>
            </w:pPr>
            <w:r w:rsidRPr="00536CFD">
              <w:rPr>
                <w:lang w:val="zh-CN"/>
              </w:rPr>
              <w:t>0.093</w:t>
            </w:r>
          </w:p>
        </w:tc>
        <w:tc>
          <w:tcPr>
            <w:tcW w:w="715" w:type="dxa"/>
            <w:gridSpan w:val="2"/>
            <w:tcBorders>
              <w:top w:val="single" w:sz="4" w:space="0" w:color="auto"/>
              <w:left w:val="nil"/>
              <w:bottom w:val="single" w:sz="4" w:space="0" w:color="auto"/>
              <w:right w:val="single" w:sz="4" w:space="0" w:color="auto"/>
            </w:tcBorders>
            <w:shd w:val="clear" w:color="auto" w:fill="auto"/>
          </w:tcPr>
          <w:p w14:paraId="7A2BB29D" w14:textId="77777777" w:rsidR="004346F3" w:rsidRPr="00536CFD" w:rsidRDefault="004346F3" w:rsidP="00802ABC">
            <w:pPr>
              <w:spacing w:after="0"/>
              <w:jc w:val="center"/>
              <w:rPr>
                <w:lang w:val="zh-CN"/>
              </w:rPr>
            </w:pPr>
            <w:r w:rsidRPr="00536CFD">
              <w:rPr>
                <w:lang w:val="zh-CN"/>
              </w:rPr>
              <w:t>0.096</w:t>
            </w:r>
          </w:p>
        </w:tc>
        <w:tc>
          <w:tcPr>
            <w:tcW w:w="715" w:type="dxa"/>
            <w:gridSpan w:val="2"/>
            <w:tcBorders>
              <w:top w:val="single" w:sz="4" w:space="0" w:color="auto"/>
              <w:left w:val="nil"/>
              <w:bottom w:val="single" w:sz="4" w:space="0" w:color="auto"/>
              <w:right w:val="single" w:sz="4" w:space="0" w:color="auto"/>
            </w:tcBorders>
            <w:shd w:val="clear" w:color="auto" w:fill="auto"/>
          </w:tcPr>
          <w:p w14:paraId="797024B9" w14:textId="77777777" w:rsidR="004346F3" w:rsidRPr="00536CFD" w:rsidRDefault="004346F3" w:rsidP="00802ABC">
            <w:pPr>
              <w:spacing w:after="0"/>
              <w:jc w:val="center"/>
              <w:rPr>
                <w:lang w:val="zh-CN"/>
              </w:rPr>
            </w:pPr>
            <w:r w:rsidRPr="00536CFD">
              <w:rPr>
                <w:lang w:val="zh-CN"/>
              </w:rPr>
              <w:t>0.059</w:t>
            </w:r>
          </w:p>
        </w:tc>
        <w:tc>
          <w:tcPr>
            <w:tcW w:w="737" w:type="dxa"/>
            <w:gridSpan w:val="2"/>
            <w:tcBorders>
              <w:top w:val="single" w:sz="4" w:space="0" w:color="auto"/>
              <w:left w:val="nil"/>
              <w:bottom w:val="single" w:sz="4" w:space="0" w:color="auto"/>
              <w:right w:val="single" w:sz="4" w:space="0" w:color="auto"/>
            </w:tcBorders>
            <w:shd w:val="clear" w:color="auto" w:fill="auto"/>
          </w:tcPr>
          <w:p w14:paraId="5E3DB86E" w14:textId="77777777" w:rsidR="004346F3" w:rsidRPr="00536CFD" w:rsidRDefault="004346F3" w:rsidP="00802ABC">
            <w:pPr>
              <w:spacing w:after="0"/>
              <w:jc w:val="center"/>
              <w:rPr>
                <w:lang w:val="zh-CN"/>
              </w:rPr>
            </w:pPr>
            <w:r w:rsidRPr="00536CFD">
              <w:rPr>
                <w:lang w:val="zh-CN"/>
              </w:rPr>
              <w:t>1.139</w:t>
            </w:r>
          </w:p>
        </w:tc>
        <w:tc>
          <w:tcPr>
            <w:tcW w:w="738" w:type="dxa"/>
            <w:gridSpan w:val="2"/>
            <w:tcBorders>
              <w:top w:val="single" w:sz="4" w:space="0" w:color="auto"/>
              <w:left w:val="nil"/>
              <w:bottom w:val="single" w:sz="4" w:space="0" w:color="auto"/>
              <w:right w:val="single" w:sz="4" w:space="0" w:color="auto"/>
            </w:tcBorders>
            <w:shd w:val="clear" w:color="auto" w:fill="auto"/>
          </w:tcPr>
          <w:p w14:paraId="00D92B1B" w14:textId="77777777" w:rsidR="004346F3" w:rsidRPr="00536CFD" w:rsidRDefault="004346F3" w:rsidP="00802ABC">
            <w:pPr>
              <w:spacing w:after="0"/>
              <w:jc w:val="center"/>
              <w:rPr>
                <w:lang w:val="zh-CN"/>
              </w:rPr>
            </w:pPr>
            <w:r w:rsidRPr="00536CFD">
              <w:rPr>
                <w:lang w:val="zh-CN"/>
              </w:rPr>
              <w:t>0.174</w:t>
            </w:r>
          </w:p>
        </w:tc>
        <w:tc>
          <w:tcPr>
            <w:tcW w:w="737" w:type="dxa"/>
            <w:gridSpan w:val="2"/>
            <w:tcBorders>
              <w:top w:val="single" w:sz="4" w:space="0" w:color="auto"/>
              <w:left w:val="nil"/>
              <w:bottom w:val="single" w:sz="4" w:space="0" w:color="auto"/>
              <w:right w:val="single" w:sz="4" w:space="0" w:color="auto"/>
            </w:tcBorders>
            <w:shd w:val="clear" w:color="auto" w:fill="auto"/>
          </w:tcPr>
          <w:p w14:paraId="265767CD" w14:textId="77777777" w:rsidR="004346F3" w:rsidRPr="00536CFD" w:rsidRDefault="004346F3" w:rsidP="00802ABC">
            <w:pPr>
              <w:spacing w:after="0"/>
              <w:jc w:val="center"/>
              <w:rPr>
                <w:lang w:val="zh-CN"/>
              </w:rPr>
            </w:pPr>
            <w:r w:rsidRPr="00536CFD">
              <w:rPr>
                <w:lang w:val="zh-CN"/>
              </w:rPr>
              <w:t>0.278</w:t>
            </w:r>
          </w:p>
        </w:tc>
        <w:tc>
          <w:tcPr>
            <w:tcW w:w="738" w:type="dxa"/>
            <w:gridSpan w:val="2"/>
            <w:tcBorders>
              <w:top w:val="single" w:sz="4" w:space="0" w:color="auto"/>
              <w:left w:val="nil"/>
              <w:bottom w:val="single" w:sz="4" w:space="0" w:color="auto"/>
              <w:right w:val="single" w:sz="4" w:space="0" w:color="auto"/>
            </w:tcBorders>
            <w:shd w:val="clear" w:color="auto" w:fill="auto"/>
          </w:tcPr>
          <w:p w14:paraId="0235F7C6" w14:textId="77777777" w:rsidR="004346F3" w:rsidRPr="00536CFD" w:rsidRDefault="004346F3" w:rsidP="00802ABC">
            <w:pPr>
              <w:spacing w:after="0"/>
              <w:jc w:val="center"/>
              <w:rPr>
                <w:lang w:val="zh-CN"/>
              </w:rPr>
            </w:pPr>
            <w:r w:rsidRPr="00536CFD">
              <w:rPr>
                <w:lang w:val="zh-CN"/>
              </w:rPr>
              <w:t>0.068</w:t>
            </w:r>
          </w:p>
        </w:tc>
      </w:tr>
      <w:tr w:rsidR="004346F3" w:rsidRPr="00536CFD" w14:paraId="59C7308E"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1E4B20EE"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433B146A"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4C8B0B1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95%</w:t>
            </w:r>
          </w:p>
        </w:tc>
        <w:tc>
          <w:tcPr>
            <w:tcW w:w="582" w:type="dxa"/>
            <w:tcBorders>
              <w:top w:val="single" w:sz="4" w:space="0" w:color="auto"/>
              <w:left w:val="nil"/>
              <w:bottom w:val="single" w:sz="4" w:space="0" w:color="auto"/>
              <w:right w:val="single" w:sz="4" w:space="0" w:color="auto"/>
            </w:tcBorders>
            <w:shd w:val="clear" w:color="auto" w:fill="auto"/>
          </w:tcPr>
          <w:p w14:paraId="0D343584" w14:textId="77777777" w:rsidR="004346F3" w:rsidRPr="00536CFD" w:rsidRDefault="004346F3" w:rsidP="00802ABC">
            <w:pPr>
              <w:spacing w:after="0"/>
              <w:jc w:val="center"/>
              <w:rPr>
                <w:lang w:val="zh-CN"/>
              </w:rPr>
            </w:pPr>
            <w:r w:rsidRPr="00536CFD">
              <w:rPr>
                <w:lang w:val="zh-CN"/>
              </w:rPr>
              <w:t>0.620</w:t>
            </w:r>
          </w:p>
        </w:tc>
        <w:tc>
          <w:tcPr>
            <w:tcW w:w="644" w:type="dxa"/>
            <w:gridSpan w:val="2"/>
            <w:tcBorders>
              <w:top w:val="single" w:sz="4" w:space="0" w:color="auto"/>
              <w:left w:val="nil"/>
              <w:bottom w:val="single" w:sz="4" w:space="0" w:color="auto"/>
              <w:right w:val="single" w:sz="4" w:space="0" w:color="auto"/>
            </w:tcBorders>
            <w:shd w:val="clear" w:color="auto" w:fill="auto"/>
          </w:tcPr>
          <w:p w14:paraId="26F5AE1F" w14:textId="77777777" w:rsidR="004346F3" w:rsidRPr="00536CFD" w:rsidRDefault="004346F3" w:rsidP="00802ABC">
            <w:pPr>
              <w:spacing w:after="0"/>
              <w:jc w:val="center"/>
              <w:rPr>
                <w:lang w:val="zh-CN"/>
              </w:rPr>
            </w:pPr>
            <w:r w:rsidRPr="00536CFD">
              <w:rPr>
                <w:lang w:val="zh-CN"/>
              </w:rPr>
              <w:t>0.286</w:t>
            </w:r>
          </w:p>
        </w:tc>
        <w:tc>
          <w:tcPr>
            <w:tcW w:w="644" w:type="dxa"/>
            <w:gridSpan w:val="2"/>
            <w:tcBorders>
              <w:top w:val="single" w:sz="4" w:space="0" w:color="auto"/>
              <w:left w:val="nil"/>
              <w:bottom w:val="single" w:sz="4" w:space="0" w:color="auto"/>
              <w:right w:val="single" w:sz="4" w:space="0" w:color="auto"/>
            </w:tcBorders>
            <w:shd w:val="clear" w:color="auto" w:fill="auto"/>
          </w:tcPr>
          <w:p w14:paraId="3A259256" w14:textId="77777777" w:rsidR="004346F3" w:rsidRPr="00536CFD" w:rsidRDefault="004346F3" w:rsidP="00802ABC">
            <w:pPr>
              <w:spacing w:after="0"/>
              <w:jc w:val="center"/>
              <w:rPr>
                <w:lang w:val="zh-CN"/>
              </w:rPr>
            </w:pPr>
            <w:r w:rsidRPr="00536CFD">
              <w:rPr>
                <w:lang w:val="zh-CN"/>
              </w:rPr>
              <w:t>0.226</w:t>
            </w:r>
          </w:p>
        </w:tc>
        <w:tc>
          <w:tcPr>
            <w:tcW w:w="644" w:type="dxa"/>
            <w:gridSpan w:val="2"/>
            <w:tcBorders>
              <w:top w:val="single" w:sz="4" w:space="0" w:color="auto"/>
              <w:left w:val="nil"/>
              <w:bottom w:val="single" w:sz="4" w:space="0" w:color="auto"/>
              <w:right w:val="single" w:sz="4" w:space="0" w:color="auto"/>
            </w:tcBorders>
            <w:shd w:val="clear" w:color="auto" w:fill="auto"/>
          </w:tcPr>
          <w:p w14:paraId="4E6BB420" w14:textId="77777777" w:rsidR="004346F3" w:rsidRPr="00536CFD" w:rsidRDefault="004346F3" w:rsidP="00802ABC">
            <w:pPr>
              <w:spacing w:after="0"/>
              <w:jc w:val="center"/>
              <w:rPr>
                <w:lang w:val="zh-CN"/>
              </w:rPr>
            </w:pPr>
            <w:r w:rsidRPr="00536CFD">
              <w:rPr>
                <w:lang w:val="zh-CN"/>
              </w:rPr>
              <w:t>0.131</w:t>
            </w:r>
          </w:p>
        </w:tc>
        <w:tc>
          <w:tcPr>
            <w:tcW w:w="715" w:type="dxa"/>
            <w:gridSpan w:val="2"/>
            <w:tcBorders>
              <w:top w:val="single" w:sz="4" w:space="0" w:color="auto"/>
              <w:left w:val="nil"/>
              <w:bottom w:val="single" w:sz="4" w:space="0" w:color="auto"/>
              <w:right w:val="single" w:sz="4" w:space="0" w:color="auto"/>
            </w:tcBorders>
            <w:shd w:val="clear" w:color="auto" w:fill="auto"/>
          </w:tcPr>
          <w:p w14:paraId="14EA0306" w14:textId="77777777" w:rsidR="004346F3" w:rsidRPr="00536CFD" w:rsidRDefault="004346F3" w:rsidP="00802ABC">
            <w:pPr>
              <w:spacing w:after="0"/>
              <w:jc w:val="center"/>
              <w:rPr>
                <w:lang w:val="zh-CN"/>
              </w:rPr>
            </w:pPr>
            <w:r w:rsidRPr="00536CFD">
              <w:rPr>
                <w:lang w:val="zh-CN"/>
              </w:rPr>
              <w:t>6.804</w:t>
            </w:r>
          </w:p>
        </w:tc>
        <w:tc>
          <w:tcPr>
            <w:tcW w:w="715" w:type="dxa"/>
            <w:gridSpan w:val="2"/>
            <w:tcBorders>
              <w:top w:val="single" w:sz="4" w:space="0" w:color="auto"/>
              <w:left w:val="nil"/>
              <w:bottom w:val="single" w:sz="4" w:space="0" w:color="auto"/>
              <w:right w:val="single" w:sz="4" w:space="0" w:color="auto"/>
            </w:tcBorders>
            <w:shd w:val="clear" w:color="auto" w:fill="auto"/>
          </w:tcPr>
          <w:p w14:paraId="7082B706" w14:textId="77777777" w:rsidR="004346F3" w:rsidRPr="00536CFD" w:rsidRDefault="004346F3" w:rsidP="00802ABC">
            <w:pPr>
              <w:spacing w:after="0"/>
              <w:jc w:val="center"/>
              <w:rPr>
                <w:lang w:val="zh-CN"/>
              </w:rPr>
            </w:pPr>
            <w:r w:rsidRPr="00536CFD">
              <w:rPr>
                <w:lang w:val="zh-CN"/>
              </w:rPr>
              <w:t>0.438</w:t>
            </w:r>
          </w:p>
        </w:tc>
        <w:tc>
          <w:tcPr>
            <w:tcW w:w="715" w:type="dxa"/>
            <w:gridSpan w:val="2"/>
            <w:tcBorders>
              <w:top w:val="single" w:sz="4" w:space="0" w:color="auto"/>
              <w:left w:val="nil"/>
              <w:bottom w:val="single" w:sz="4" w:space="0" w:color="auto"/>
              <w:right w:val="single" w:sz="4" w:space="0" w:color="auto"/>
            </w:tcBorders>
            <w:shd w:val="clear" w:color="auto" w:fill="auto"/>
          </w:tcPr>
          <w:p w14:paraId="61B443B5" w14:textId="77777777" w:rsidR="004346F3" w:rsidRPr="00536CFD" w:rsidRDefault="004346F3" w:rsidP="00802ABC">
            <w:pPr>
              <w:spacing w:after="0"/>
              <w:jc w:val="center"/>
              <w:rPr>
                <w:lang w:val="zh-CN"/>
              </w:rPr>
            </w:pPr>
            <w:r w:rsidRPr="00536CFD">
              <w:rPr>
                <w:lang w:val="zh-CN"/>
              </w:rPr>
              <w:t>0.423</w:t>
            </w:r>
          </w:p>
        </w:tc>
        <w:tc>
          <w:tcPr>
            <w:tcW w:w="715" w:type="dxa"/>
            <w:gridSpan w:val="2"/>
            <w:tcBorders>
              <w:top w:val="single" w:sz="4" w:space="0" w:color="auto"/>
              <w:left w:val="nil"/>
              <w:bottom w:val="single" w:sz="4" w:space="0" w:color="auto"/>
              <w:right w:val="single" w:sz="4" w:space="0" w:color="auto"/>
            </w:tcBorders>
            <w:shd w:val="clear" w:color="auto" w:fill="auto"/>
          </w:tcPr>
          <w:p w14:paraId="5B96718F" w14:textId="77777777" w:rsidR="004346F3" w:rsidRPr="00536CFD" w:rsidRDefault="004346F3" w:rsidP="00802ABC">
            <w:pPr>
              <w:spacing w:after="0"/>
              <w:jc w:val="center"/>
              <w:rPr>
                <w:lang w:val="zh-CN"/>
              </w:rPr>
            </w:pPr>
            <w:r w:rsidRPr="00536CFD">
              <w:rPr>
                <w:lang w:val="zh-CN"/>
              </w:rPr>
              <w:t>0.152</w:t>
            </w:r>
          </w:p>
        </w:tc>
        <w:tc>
          <w:tcPr>
            <w:tcW w:w="737" w:type="dxa"/>
            <w:gridSpan w:val="2"/>
            <w:tcBorders>
              <w:top w:val="single" w:sz="4" w:space="0" w:color="auto"/>
              <w:left w:val="nil"/>
              <w:bottom w:val="single" w:sz="4" w:space="0" w:color="auto"/>
              <w:right w:val="single" w:sz="4" w:space="0" w:color="auto"/>
            </w:tcBorders>
            <w:shd w:val="clear" w:color="auto" w:fill="auto"/>
          </w:tcPr>
          <w:p w14:paraId="358F6FFD" w14:textId="77777777" w:rsidR="004346F3" w:rsidRPr="00536CFD" w:rsidRDefault="004346F3" w:rsidP="00802ABC">
            <w:pPr>
              <w:spacing w:after="0"/>
              <w:jc w:val="center"/>
              <w:rPr>
                <w:lang w:val="zh-CN"/>
              </w:rPr>
            </w:pPr>
            <w:r w:rsidRPr="00536CFD">
              <w:rPr>
                <w:lang w:val="zh-CN"/>
              </w:rPr>
              <w:t>12.704</w:t>
            </w:r>
          </w:p>
        </w:tc>
        <w:tc>
          <w:tcPr>
            <w:tcW w:w="738" w:type="dxa"/>
            <w:gridSpan w:val="2"/>
            <w:tcBorders>
              <w:top w:val="single" w:sz="4" w:space="0" w:color="auto"/>
              <w:left w:val="nil"/>
              <w:bottom w:val="single" w:sz="4" w:space="0" w:color="auto"/>
              <w:right w:val="single" w:sz="4" w:space="0" w:color="auto"/>
            </w:tcBorders>
            <w:shd w:val="clear" w:color="auto" w:fill="auto"/>
          </w:tcPr>
          <w:p w14:paraId="5AC80C1C" w14:textId="77777777" w:rsidR="004346F3" w:rsidRPr="00536CFD" w:rsidRDefault="004346F3" w:rsidP="00802ABC">
            <w:pPr>
              <w:spacing w:after="0"/>
              <w:jc w:val="center"/>
              <w:rPr>
                <w:lang w:val="zh-CN"/>
              </w:rPr>
            </w:pPr>
            <w:r w:rsidRPr="00536CFD">
              <w:rPr>
                <w:lang w:val="zh-CN"/>
              </w:rPr>
              <w:t>1.421</w:t>
            </w:r>
          </w:p>
        </w:tc>
        <w:tc>
          <w:tcPr>
            <w:tcW w:w="737" w:type="dxa"/>
            <w:gridSpan w:val="2"/>
            <w:tcBorders>
              <w:top w:val="single" w:sz="4" w:space="0" w:color="auto"/>
              <w:left w:val="nil"/>
              <w:bottom w:val="single" w:sz="4" w:space="0" w:color="auto"/>
              <w:right w:val="single" w:sz="4" w:space="0" w:color="auto"/>
            </w:tcBorders>
            <w:shd w:val="clear" w:color="auto" w:fill="auto"/>
          </w:tcPr>
          <w:p w14:paraId="478567C9" w14:textId="77777777" w:rsidR="004346F3" w:rsidRPr="00536CFD" w:rsidRDefault="004346F3" w:rsidP="00802ABC">
            <w:pPr>
              <w:spacing w:after="0"/>
              <w:jc w:val="center"/>
              <w:rPr>
                <w:lang w:val="zh-CN"/>
              </w:rPr>
            </w:pPr>
            <w:r w:rsidRPr="00536CFD">
              <w:rPr>
                <w:lang w:val="zh-CN"/>
              </w:rPr>
              <w:t>2.288</w:t>
            </w:r>
          </w:p>
        </w:tc>
        <w:tc>
          <w:tcPr>
            <w:tcW w:w="738" w:type="dxa"/>
            <w:gridSpan w:val="2"/>
            <w:tcBorders>
              <w:top w:val="single" w:sz="4" w:space="0" w:color="auto"/>
              <w:left w:val="nil"/>
              <w:bottom w:val="single" w:sz="4" w:space="0" w:color="auto"/>
              <w:right w:val="single" w:sz="4" w:space="0" w:color="auto"/>
            </w:tcBorders>
            <w:shd w:val="clear" w:color="auto" w:fill="auto"/>
          </w:tcPr>
          <w:p w14:paraId="63EB6D26" w14:textId="77777777" w:rsidR="004346F3" w:rsidRPr="00536CFD" w:rsidRDefault="004346F3" w:rsidP="00802ABC">
            <w:pPr>
              <w:spacing w:after="0"/>
              <w:jc w:val="center"/>
              <w:rPr>
                <w:lang w:val="zh-CN"/>
              </w:rPr>
            </w:pPr>
            <w:r w:rsidRPr="00536CFD">
              <w:rPr>
                <w:lang w:val="zh-CN"/>
              </w:rPr>
              <w:t>0.182</w:t>
            </w:r>
          </w:p>
        </w:tc>
      </w:tr>
      <w:tr w:rsidR="004346F3" w:rsidRPr="00536CFD" w14:paraId="20D28398"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99EAB0D" w14:textId="77777777" w:rsidR="004346F3" w:rsidRPr="00536CFD" w:rsidRDefault="004346F3" w:rsidP="00802ABC">
            <w:pPr>
              <w:spacing w:after="0"/>
              <w:ind w:left="113" w:right="113"/>
            </w:pPr>
          </w:p>
        </w:tc>
        <w:tc>
          <w:tcPr>
            <w:tcW w:w="612" w:type="dxa"/>
            <w:gridSpan w:val="2"/>
            <w:vMerge/>
            <w:tcBorders>
              <w:top w:val="nil"/>
              <w:left w:val="nil"/>
              <w:bottom w:val="single" w:sz="4" w:space="0" w:color="auto"/>
              <w:right w:val="single" w:sz="4" w:space="0" w:color="auto"/>
            </w:tcBorders>
            <w:shd w:val="clear" w:color="auto" w:fill="auto"/>
          </w:tcPr>
          <w:p w14:paraId="6714E80A" w14:textId="77777777" w:rsidR="004346F3" w:rsidRPr="00536CFD" w:rsidRDefault="004346F3" w:rsidP="00802ABC">
            <w:pPr>
              <w:spacing w:after="0"/>
            </w:pPr>
          </w:p>
        </w:tc>
        <w:tc>
          <w:tcPr>
            <w:tcW w:w="554" w:type="dxa"/>
            <w:tcBorders>
              <w:top w:val="single" w:sz="4" w:space="0" w:color="auto"/>
              <w:left w:val="nil"/>
              <w:bottom w:val="single" w:sz="4" w:space="0" w:color="auto"/>
              <w:right w:val="single" w:sz="4" w:space="0" w:color="auto"/>
            </w:tcBorders>
            <w:shd w:val="clear" w:color="auto" w:fill="auto"/>
          </w:tcPr>
          <w:p w14:paraId="2816AB10"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Mean</w:t>
            </w:r>
          </w:p>
        </w:tc>
        <w:tc>
          <w:tcPr>
            <w:tcW w:w="582" w:type="dxa"/>
            <w:tcBorders>
              <w:top w:val="single" w:sz="4" w:space="0" w:color="auto"/>
              <w:left w:val="nil"/>
              <w:bottom w:val="single" w:sz="4" w:space="0" w:color="auto"/>
              <w:right w:val="single" w:sz="4" w:space="0" w:color="auto"/>
            </w:tcBorders>
            <w:shd w:val="clear" w:color="auto" w:fill="auto"/>
          </w:tcPr>
          <w:p w14:paraId="08AD6014" w14:textId="77777777" w:rsidR="004346F3" w:rsidRPr="00536CFD" w:rsidRDefault="004346F3" w:rsidP="00802ABC">
            <w:pPr>
              <w:spacing w:after="0"/>
              <w:jc w:val="center"/>
              <w:rPr>
                <w:lang w:val="zh-CN"/>
              </w:rPr>
            </w:pPr>
            <w:r w:rsidRPr="00536CFD">
              <w:rPr>
                <w:lang w:val="zh-CN"/>
              </w:rPr>
              <w:t>0.220</w:t>
            </w:r>
          </w:p>
        </w:tc>
        <w:tc>
          <w:tcPr>
            <w:tcW w:w="644" w:type="dxa"/>
            <w:gridSpan w:val="2"/>
            <w:tcBorders>
              <w:top w:val="single" w:sz="4" w:space="0" w:color="auto"/>
              <w:left w:val="nil"/>
              <w:bottom w:val="single" w:sz="4" w:space="0" w:color="auto"/>
              <w:right w:val="single" w:sz="4" w:space="0" w:color="auto"/>
            </w:tcBorders>
            <w:shd w:val="clear" w:color="auto" w:fill="auto"/>
          </w:tcPr>
          <w:p w14:paraId="7E4B9BE1" w14:textId="77777777" w:rsidR="004346F3" w:rsidRPr="00536CFD" w:rsidRDefault="004346F3" w:rsidP="00802ABC">
            <w:pPr>
              <w:spacing w:after="0"/>
              <w:jc w:val="center"/>
              <w:rPr>
                <w:lang w:val="zh-CN"/>
              </w:rPr>
            </w:pPr>
            <w:r w:rsidRPr="00536CFD">
              <w:rPr>
                <w:lang w:val="zh-CN"/>
              </w:rPr>
              <w:t>0.114</w:t>
            </w:r>
          </w:p>
        </w:tc>
        <w:tc>
          <w:tcPr>
            <w:tcW w:w="644" w:type="dxa"/>
            <w:gridSpan w:val="2"/>
            <w:tcBorders>
              <w:top w:val="single" w:sz="4" w:space="0" w:color="auto"/>
              <w:left w:val="nil"/>
              <w:bottom w:val="single" w:sz="4" w:space="0" w:color="auto"/>
              <w:right w:val="single" w:sz="4" w:space="0" w:color="auto"/>
            </w:tcBorders>
            <w:shd w:val="clear" w:color="auto" w:fill="auto"/>
          </w:tcPr>
          <w:p w14:paraId="35A804EB" w14:textId="77777777" w:rsidR="004346F3" w:rsidRPr="00536CFD" w:rsidRDefault="004346F3" w:rsidP="00802ABC">
            <w:pPr>
              <w:spacing w:after="0"/>
              <w:jc w:val="center"/>
              <w:rPr>
                <w:lang w:val="zh-CN"/>
              </w:rPr>
            </w:pPr>
            <w:r w:rsidRPr="00536CFD">
              <w:rPr>
                <w:lang w:val="zh-CN"/>
              </w:rPr>
              <w:t>0.102</w:t>
            </w:r>
          </w:p>
        </w:tc>
        <w:tc>
          <w:tcPr>
            <w:tcW w:w="644" w:type="dxa"/>
            <w:gridSpan w:val="2"/>
            <w:tcBorders>
              <w:top w:val="single" w:sz="4" w:space="0" w:color="auto"/>
              <w:left w:val="nil"/>
              <w:bottom w:val="single" w:sz="4" w:space="0" w:color="auto"/>
              <w:right w:val="single" w:sz="4" w:space="0" w:color="auto"/>
            </w:tcBorders>
            <w:shd w:val="clear" w:color="auto" w:fill="auto"/>
          </w:tcPr>
          <w:p w14:paraId="09D180B8" w14:textId="77777777" w:rsidR="004346F3" w:rsidRPr="00536CFD" w:rsidRDefault="004346F3" w:rsidP="00802ABC">
            <w:pPr>
              <w:spacing w:after="0"/>
              <w:jc w:val="center"/>
              <w:rPr>
                <w:lang w:val="zh-CN"/>
              </w:rPr>
            </w:pPr>
            <w:r w:rsidRPr="00536CFD">
              <w:rPr>
                <w:lang w:val="zh-CN"/>
              </w:rPr>
              <w:t>0.068</w:t>
            </w:r>
          </w:p>
        </w:tc>
        <w:tc>
          <w:tcPr>
            <w:tcW w:w="715" w:type="dxa"/>
            <w:gridSpan w:val="2"/>
            <w:tcBorders>
              <w:top w:val="single" w:sz="4" w:space="0" w:color="auto"/>
              <w:left w:val="nil"/>
              <w:bottom w:val="single" w:sz="4" w:space="0" w:color="auto"/>
              <w:right w:val="single" w:sz="4" w:space="0" w:color="auto"/>
            </w:tcBorders>
            <w:shd w:val="clear" w:color="auto" w:fill="auto"/>
          </w:tcPr>
          <w:p w14:paraId="4543C20C" w14:textId="77777777" w:rsidR="004346F3" w:rsidRPr="00536CFD" w:rsidRDefault="004346F3" w:rsidP="00802ABC">
            <w:pPr>
              <w:spacing w:after="0"/>
              <w:jc w:val="center"/>
              <w:rPr>
                <w:lang w:val="zh-CN"/>
              </w:rPr>
            </w:pPr>
            <w:r w:rsidRPr="00536CFD">
              <w:rPr>
                <w:lang w:val="zh-CN"/>
              </w:rPr>
              <w:t>1.719</w:t>
            </w:r>
          </w:p>
        </w:tc>
        <w:tc>
          <w:tcPr>
            <w:tcW w:w="715" w:type="dxa"/>
            <w:gridSpan w:val="2"/>
            <w:tcBorders>
              <w:top w:val="single" w:sz="4" w:space="0" w:color="auto"/>
              <w:left w:val="nil"/>
              <w:bottom w:val="single" w:sz="4" w:space="0" w:color="auto"/>
              <w:right w:val="single" w:sz="4" w:space="0" w:color="auto"/>
            </w:tcBorders>
            <w:shd w:val="clear" w:color="auto" w:fill="auto"/>
          </w:tcPr>
          <w:p w14:paraId="537830D5" w14:textId="77777777" w:rsidR="004346F3" w:rsidRPr="00536CFD" w:rsidRDefault="004346F3" w:rsidP="00802ABC">
            <w:pPr>
              <w:spacing w:after="0"/>
              <w:jc w:val="center"/>
              <w:rPr>
                <w:lang w:val="zh-CN"/>
              </w:rPr>
            </w:pPr>
            <w:r w:rsidRPr="00536CFD">
              <w:rPr>
                <w:lang w:val="zh-CN"/>
              </w:rPr>
              <w:t>0.150</w:t>
            </w:r>
          </w:p>
        </w:tc>
        <w:tc>
          <w:tcPr>
            <w:tcW w:w="715" w:type="dxa"/>
            <w:gridSpan w:val="2"/>
            <w:tcBorders>
              <w:top w:val="single" w:sz="4" w:space="0" w:color="auto"/>
              <w:left w:val="nil"/>
              <w:bottom w:val="single" w:sz="4" w:space="0" w:color="auto"/>
              <w:right w:val="single" w:sz="4" w:space="0" w:color="auto"/>
            </w:tcBorders>
            <w:shd w:val="clear" w:color="auto" w:fill="auto"/>
          </w:tcPr>
          <w:p w14:paraId="44F6397D" w14:textId="77777777" w:rsidR="004346F3" w:rsidRPr="00536CFD" w:rsidRDefault="004346F3" w:rsidP="00802ABC">
            <w:pPr>
              <w:spacing w:after="0"/>
              <w:jc w:val="center"/>
              <w:rPr>
                <w:lang w:val="zh-CN"/>
              </w:rPr>
            </w:pPr>
            <w:r w:rsidRPr="00536CFD">
              <w:rPr>
                <w:lang w:val="zh-CN"/>
              </w:rPr>
              <w:t>0.154</w:t>
            </w:r>
          </w:p>
        </w:tc>
        <w:tc>
          <w:tcPr>
            <w:tcW w:w="715" w:type="dxa"/>
            <w:gridSpan w:val="2"/>
            <w:tcBorders>
              <w:top w:val="single" w:sz="4" w:space="0" w:color="auto"/>
              <w:left w:val="nil"/>
              <w:bottom w:val="single" w:sz="4" w:space="0" w:color="auto"/>
              <w:right w:val="single" w:sz="4" w:space="0" w:color="auto"/>
            </w:tcBorders>
            <w:shd w:val="clear" w:color="auto" w:fill="auto"/>
          </w:tcPr>
          <w:p w14:paraId="35084FA5" w14:textId="77777777" w:rsidR="004346F3" w:rsidRPr="00536CFD" w:rsidRDefault="004346F3" w:rsidP="00802ABC">
            <w:pPr>
              <w:spacing w:after="0"/>
              <w:jc w:val="center"/>
              <w:rPr>
                <w:lang w:val="zh-CN"/>
              </w:rPr>
            </w:pPr>
            <w:r w:rsidRPr="00536CFD">
              <w:rPr>
                <w:lang w:val="zh-CN"/>
              </w:rPr>
              <w:t>0.074</w:t>
            </w:r>
          </w:p>
        </w:tc>
        <w:tc>
          <w:tcPr>
            <w:tcW w:w="737" w:type="dxa"/>
            <w:gridSpan w:val="2"/>
            <w:tcBorders>
              <w:top w:val="single" w:sz="4" w:space="0" w:color="auto"/>
              <w:left w:val="nil"/>
              <w:bottom w:val="single" w:sz="4" w:space="0" w:color="auto"/>
              <w:right w:val="single" w:sz="4" w:space="0" w:color="auto"/>
            </w:tcBorders>
            <w:shd w:val="clear" w:color="auto" w:fill="auto"/>
          </w:tcPr>
          <w:p w14:paraId="1AE4419D" w14:textId="77777777" w:rsidR="004346F3" w:rsidRPr="00536CFD" w:rsidRDefault="004346F3" w:rsidP="00802ABC">
            <w:pPr>
              <w:spacing w:after="0"/>
              <w:jc w:val="center"/>
              <w:rPr>
                <w:lang w:val="zh-CN"/>
              </w:rPr>
            </w:pPr>
            <w:r w:rsidRPr="00536CFD">
              <w:rPr>
                <w:lang w:val="zh-CN"/>
              </w:rPr>
              <w:t>3.526</w:t>
            </w:r>
          </w:p>
        </w:tc>
        <w:tc>
          <w:tcPr>
            <w:tcW w:w="738" w:type="dxa"/>
            <w:gridSpan w:val="2"/>
            <w:tcBorders>
              <w:top w:val="single" w:sz="4" w:space="0" w:color="auto"/>
              <w:left w:val="nil"/>
              <w:bottom w:val="single" w:sz="4" w:space="0" w:color="auto"/>
              <w:right w:val="single" w:sz="4" w:space="0" w:color="auto"/>
            </w:tcBorders>
            <w:shd w:val="clear" w:color="auto" w:fill="auto"/>
          </w:tcPr>
          <w:p w14:paraId="41B5E140" w14:textId="77777777" w:rsidR="004346F3" w:rsidRPr="00536CFD" w:rsidRDefault="004346F3" w:rsidP="00802ABC">
            <w:pPr>
              <w:spacing w:after="0"/>
              <w:jc w:val="center"/>
              <w:rPr>
                <w:lang w:val="zh-CN"/>
              </w:rPr>
            </w:pPr>
            <w:r w:rsidRPr="00536CFD">
              <w:rPr>
                <w:lang w:val="zh-CN"/>
              </w:rPr>
              <w:t>0.409</w:t>
            </w:r>
          </w:p>
        </w:tc>
        <w:tc>
          <w:tcPr>
            <w:tcW w:w="737" w:type="dxa"/>
            <w:gridSpan w:val="2"/>
            <w:tcBorders>
              <w:top w:val="single" w:sz="4" w:space="0" w:color="auto"/>
              <w:left w:val="nil"/>
              <w:bottom w:val="single" w:sz="4" w:space="0" w:color="auto"/>
              <w:right w:val="single" w:sz="4" w:space="0" w:color="auto"/>
            </w:tcBorders>
            <w:shd w:val="clear" w:color="auto" w:fill="auto"/>
          </w:tcPr>
          <w:p w14:paraId="798F3D72" w14:textId="77777777" w:rsidR="004346F3" w:rsidRPr="00536CFD" w:rsidRDefault="004346F3" w:rsidP="00802ABC">
            <w:pPr>
              <w:spacing w:after="0"/>
              <w:jc w:val="center"/>
              <w:rPr>
                <w:lang w:val="zh-CN"/>
              </w:rPr>
            </w:pPr>
            <w:r w:rsidRPr="00536CFD">
              <w:rPr>
                <w:lang w:val="zh-CN"/>
              </w:rPr>
              <w:t>0.635</w:t>
            </w:r>
          </w:p>
        </w:tc>
        <w:tc>
          <w:tcPr>
            <w:tcW w:w="738" w:type="dxa"/>
            <w:gridSpan w:val="2"/>
            <w:tcBorders>
              <w:top w:val="single" w:sz="4" w:space="0" w:color="auto"/>
              <w:left w:val="nil"/>
              <w:bottom w:val="single" w:sz="4" w:space="0" w:color="auto"/>
              <w:right w:val="single" w:sz="4" w:space="0" w:color="auto"/>
            </w:tcBorders>
            <w:shd w:val="clear" w:color="auto" w:fill="auto"/>
          </w:tcPr>
          <w:p w14:paraId="07353F85" w14:textId="77777777" w:rsidR="004346F3" w:rsidRPr="00536CFD" w:rsidRDefault="004346F3" w:rsidP="00802ABC">
            <w:pPr>
              <w:spacing w:after="0"/>
              <w:jc w:val="center"/>
              <w:rPr>
                <w:lang w:val="zh-CN"/>
              </w:rPr>
            </w:pPr>
            <w:r w:rsidRPr="00536CFD">
              <w:rPr>
                <w:lang w:val="zh-CN"/>
              </w:rPr>
              <w:t>0.086</w:t>
            </w:r>
          </w:p>
        </w:tc>
      </w:tr>
      <w:tr w:rsidR="004346F3" w:rsidRPr="00536CFD" w14:paraId="053AA64E"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470F337D"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2D371103"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DL</w:t>
            </w:r>
          </w:p>
        </w:tc>
        <w:tc>
          <w:tcPr>
            <w:tcW w:w="582" w:type="dxa"/>
            <w:tcBorders>
              <w:top w:val="single" w:sz="4" w:space="0" w:color="auto"/>
              <w:left w:val="nil"/>
              <w:bottom w:val="single" w:sz="4" w:space="0" w:color="auto"/>
              <w:right w:val="single" w:sz="4" w:space="0" w:color="auto"/>
            </w:tcBorders>
            <w:shd w:val="clear" w:color="auto" w:fill="auto"/>
          </w:tcPr>
          <w:p w14:paraId="34946852" w14:textId="77777777" w:rsidR="004346F3" w:rsidRPr="00536CFD" w:rsidRDefault="004346F3" w:rsidP="00802ABC">
            <w:pPr>
              <w:spacing w:after="0"/>
              <w:jc w:val="center"/>
              <w:rPr>
                <w:lang w:val="zh-CN"/>
              </w:rPr>
            </w:pPr>
            <w:r w:rsidRPr="00536CFD">
              <w:rPr>
                <w:lang w:val="zh-CN"/>
              </w:rPr>
              <w:t>98%</w:t>
            </w:r>
          </w:p>
        </w:tc>
        <w:tc>
          <w:tcPr>
            <w:tcW w:w="644" w:type="dxa"/>
            <w:gridSpan w:val="2"/>
            <w:tcBorders>
              <w:top w:val="single" w:sz="4" w:space="0" w:color="auto"/>
              <w:left w:val="nil"/>
              <w:bottom w:val="single" w:sz="4" w:space="0" w:color="auto"/>
              <w:right w:val="single" w:sz="4" w:space="0" w:color="auto"/>
            </w:tcBorders>
            <w:shd w:val="clear" w:color="auto" w:fill="auto"/>
          </w:tcPr>
          <w:p w14:paraId="3C72EF86"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tcPr>
          <w:p w14:paraId="205BCA70"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tcPr>
          <w:p w14:paraId="7C71ED98"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tcPr>
          <w:p w14:paraId="39B4E84A" w14:textId="77777777" w:rsidR="004346F3" w:rsidRPr="00536CFD" w:rsidRDefault="004346F3" w:rsidP="00802ABC">
            <w:pPr>
              <w:spacing w:after="0"/>
              <w:jc w:val="center"/>
              <w:rPr>
                <w:lang w:val="zh-CN"/>
              </w:rPr>
            </w:pPr>
            <w:r w:rsidRPr="00536CFD">
              <w:rPr>
                <w:lang w:val="zh-CN"/>
              </w:rPr>
              <w:t>84%</w:t>
            </w:r>
          </w:p>
        </w:tc>
        <w:tc>
          <w:tcPr>
            <w:tcW w:w="715" w:type="dxa"/>
            <w:gridSpan w:val="2"/>
            <w:tcBorders>
              <w:top w:val="single" w:sz="4" w:space="0" w:color="auto"/>
              <w:left w:val="nil"/>
              <w:bottom w:val="single" w:sz="4" w:space="0" w:color="auto"/>
              <w:right w:val="single" w:sz="4" w:space="0" w:color="auto"/>
            </w:tcBorders>
            <w:shd w:val="clear" w:color="auto" w:fill="auto"/>
          </w:tcPr>
          <w:p w14:paraId="6C403353"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tcPr>
          <w:p w14:paraId="75FDEC30"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tcPr>
          <w:p w14:paraId="295AE327" w14:textId="77777777" w:rsidR="004346F3" w:rsidRPr="00536CFD" w:rsidRDefault="004346F3" w:rsidP="00802ABC">
            <w:pPr>
              <w:spacing w:after="0"/>
              <w:jc w:val="center"/>
              <w:rPr>
                <w:lang w:val="zh-CN"/>
              </w:rPr>
            </w:pPr>
            <w:r w:rsidRPr="00536CFD">
              <w:rPr>
                <w:lang w:val="zh-CN"/>
              </w:rPr>
              <w:t>100%</w:t>
            </w:r>
          </w:p>
        </w:tc>
        <w:tc>
          <w:tcPr>
            <w:tcW w:w="737" w:type="dxa"/>
            <w:gridSpan w:val="2"/>
            <w:tcBorders>
              <w:top w:val="single" w:sz="4" w:space="0" w:color="auto"/>
              <w:left w:val="nil"/>
              <w:bottom w:val="single" w:sz="4" w:space="0" w:color="auto"/>
              <w:right w:val="single" w:sz="4" w:space="0" w:color="auto"/>
            </w:tcBorders>
            <w:shd w:val="clear" w:color="auto" w:fill="auto"/>
          </w:tcPr>
          <w:p w14:paraId="1EC9106F" w14:textId="77777777" w:rsidR="004346F3" w:rsidRPr="00536CFD" w:rsidRDefault="004346F3" w:rsidP="00802ABC">
            <w:pPr>
              <w:spacing w:after="0"/>
              <w:jc w:val="center"/>
              <w:rPr>
                <w:lang w:val="zh-CN"/>
              </w:rPr>
            </w:pPr>
            <w:r w:rsidRPr="00536CFD">
              <w:rPr>
                <w:lang w:val="zh-CN"/>
              </w:rPr>
              <w:t>67%</w:t>
            </w:r>
          </w:p>
        </w:tc>
        <w:tc>
          <w:tcPr>
            <w:tcW w:w="738" w:type="dxa"/>
            <w:gridSpan w:val="2"/>
            <w:tcBorders>
              <w:top w:val="single" w:sz="4" w:space="0" w:color="auto"/>
              <w:left w:val="nil"/>
              <w:bottom w:val="single" w:sz="4" w:space="0" w:color="auto"/>
              <w:right w:val="single" w:sz="4" w:space="0" w:color="auto"/>
            </w:tcBorders>
            <w:shd w:val="clear" w:color="auto" w:fill="auto"/>
          </w:tcPr>
          <w:p w14:paraId="22882DD2" w14:textId="77777777" w:rsidR="004346F3" w:rsidRPr="00536CFD" w:rsidRDefault="004346F3" w:rsidP="00802ABC">
            <w:pPr>
              <w:spacing w:after="0"/>
              <w:jc w:val="center"/>
              <w:rPr>
                <w:lang w:val="zh-CN"/>
              </w:rPr>
            </w:pPr>
            <w:r w:rsidRPr="00536CFD">
              <w:rPr>
                <w:lang w:val="zh-CN"/>
              </w:rPr>
              <w:t>98%</w:t>
            </w:r>
          </w:p>
        </w:tc>
        <w:tc>
          <w:tcPr>
            <w:tcW w:w="737" w:type="dxa"/>
            <w:gridSpan w:val="2"/>
            <w:tcBorders>
              <w:top w:val="single" w:sz="4" w:space="0" w:color="auto"/>
              <w:left w:val="nil"/>
              <w:bottom w:val="single" w:sz="4" w:space="0" w:color="auto"/>
              <w:right w:val="single" w:sz="4" w:space="0" w:color="auto"/>
            </w:tcBorders>
            <w:shd w:val="clear" w:color="auto" w:fill="auto"/>
          </w:tcPr>
          <w:p w14:paraId="5D528D4E" w14:textId="77777777" w:rsidR="004346F3" w:rsidRPr="00536CFD" w:rsidRDefault="004346F3" w:rsidP="00802ABC">
            <w:pPr>
              <w:spacing w:after="0"/>
              <w:jc w:val="center"/>
              <w:rPr>
                <w:lang w:val="zh-CN"/>
              </w:rPr>
            </w:pPr>
            <w:r w:rsidRPr="00536CFD">
              <w:rPr>
                <w:lang w:val="zh-CN"/>
              </w:rPr>
              <w:t>99%</w:t>
            </w:r>
          </w:p>
        </w:tc>
        <w:tc>
          <w:tcPr>
            <w:tcW w:w="738" w:type="dxa"/>
            <w:gridSpan w:val="2"/>
            <w:tcBorders>
              <w:top w:val="single" w:sz="4" w:space="0" w:color="auto"/>
              <w:left w:val="nil"/>
              <w:bottom w:val="single" w:sz="4" w:space="0" w:color="auto"/>
              <w:right w:val="single" w:sz="4" w:space="0" w:color="auto"/>
            </w:tcBorders>
            <w:shd w:val="clear" w:color="auto" w:fill="auto"/>
          </w:tcPr>
          <w:p w14:paraId="4303D622" w14:textId="77777777" w:rsidR="004346F3" w:rsidRPr="00536CFD" w:rsidRDefault="004346F3" w:rsidP="00802ABC">
            <w:pPr>
              <w:spacing w:after="0"/>
              <w:jc w:val="center"/>
              <w:rPr>
                <w:lang w:val="zh-CN"/>
              </w:rPr>
            </w:pPr>
            <w:r w:rsidRPr="00536CFD">
              <w:rPr>
                <w:lang w:val="zh-CN"/>
              </w:rPr>
              <w:t>100%</w:t>
            </w:r>
          </w:p>
        </w:tc>
      </w:tr>
      <w:tr w:rsidR="004346F3" w:rsidRPr="00536CFD" w14:paraId="0907846C"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360AAA8B"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523D76C7" w14:textId="77777777" w:rsidR="004346F3" w:rsidRPr="00536CFD" w:rsidRDefault="004346F3" w:rsidP="00802ABC">
            <w:pPr>
              <w:pStyle w:val="NormalWeb"/>
              <w:spacing w:before="0" w:beforeAutospacing="0" w:after="0" w:afterAutospacing="0"/>
              <w:jc w:val="center"/>
              <w:rPr>
                <w:rFonts w:eastAsia="SimSun"/>
                <w:sz w:val="20"/>
                <w:szCs w:val="20"/>
                <w:lang w:bidi="ar"/>
              </w:rPr>
            </w:pPr>
            <w:r w:rsidRPr="00536CFD">
              <w:rPr>
                <w:rFonts w:ascii="Cambria Math" w:hAnsi="Cambria Math" w:cs="Cambria Math"/>
                <w:sz w:val="20"/>
                <w:szCs w:val="20"/>
              </w:rPr>
              <w:t>𝜌</w:t>
            </w:r>
            <w:r w:rsidRPr="00536CFD">
              <w:rPr>
                <w:sz w:val="20"/>
                <w:szCs w:val="20"/>
                <w:vertAlign w:val="subscript"/>
              </w:rPr>
              <w:t>UL</w:t>
            </w:r>
          </w:p>
        </w:tc>
        <w:tc>
          <w:tcPr>
            <w:tcW w:w="582" w:type="dxa"/>
            <w:tcBorders>
              <w:top w:val="single" w:sz="4" w:space="0" w:color="auto"/>
              <w:left w:val="nil"/>
              <w:bottom w:val="single" w:sz="4" w:space="0" w:color="auto"/>
              <w:right w:val="single" w:sz="4" w:space="0" w:color="auto"/>
            </w:tcBorders>
            <w:shd w:val="clear" w:color="auto" w:fill="auto"/>
          </w:tcPr>
          <w:p w14:paraId="1B0299CB" w14:textId="77777777" w:rsidR="004346F3" w:rsidRPr="00536CFD" w:rsidRDefault="004346F3" w:rsidP="00802ABC">
            <w:pPr>
              <w:spacing w:after="0"/>
              <w:jc w:val="center"/>
              <w:rPr>
                <w:lang w:val="zh-CN"/>
              </w:rPr>
            </w:pPr>
            <w:r w:rsidRPr="00536CFD">
              <w:rPr>
                <w:lang w:val="zh-CN"/>
              </w:rPr>
              <w:t>99%</w:t>
            </w:r>
          </w:p>
        </w:tc>
        <w:tc>
          <w:tcPr>
            <w:tcW w:w="644" w:type="dxa"/>
            <w:gridSpan w:val="2"/>
            <w:tcBorders>
              <w:top w:val="single" w:sz="4" w:space="0" w:color="auto"/>
              <w:left w:val="nil"/>
              <w:bottom w:val="single" w:sz="4" w:space="0" w:color="auto"/>
              <w:right w:val="single" w:sz="4" w:space="0" w:color="auto"/>
            </w:tcBorders>
            <w:shd w:val="clear" w:color="auto" w:fill="auto"/>
          </w:tcPr>
          <w:p w14:paraId="4DD2D0FE"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tcPr>
          <w:p w14:paraId="2BA88EB8" w14:textId="77777777" w:rsidR="004346F3" w:rsidRPr="00536CFD" w:rsidRDefault="004346F3" w:rsidP="00802ABC">
            <w:pPr>
              <w:spacing w:after="0"/>
              <w:jc w:val="center"/>
              <w:rPr>
                <w:lang w:val="zh-CN"/>
              </w:rPr>
            </w:pPr>
            <w:r w:rsidRPr="00536CFD">
              <w:rPr>
                <w:lang w:val="zh-CN"/>
              </w:rPr>
              <w:t>100%</w:t>
            </w:r>
          </w:p>
        </w:tc>
        <w:tc>
          <w:tcPr>
            <w:tcW w:w="644" w:type="dxa"/>
            <w:gridSpan w:val="2"/>
            <w:tcBorders>
              <w:top w:val="single" w:sz="4" w:space="0" w:color="auto"/>
              <w:left w:val="nil"/>
              <w:bottom w:val="single" w:sz="4" w:space="0" w:color="auto"/>
              <w:right w:val="single" w:sz="4" w:space="0" w:color="auto"/>
            </w:tcBorders>
            <w:shd w:val="clear" w:color="auto" w:fill="auto"/>
          </w:tcPr>
          <w:p w14:paraId="7C77F8A4"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tcPr>
          <w:p w14:paraId="218A9694" w14:textId="77777777" w:rsidR="004346F3" w:rsidRPr="00536CFD" w:rsidRDefault="004346F3" w:rsidP="00802ABC">
            <w:pPr>
              <w:spacing w:after="0"/>
              <w:jc w:val="center"/>
              <w:rPr>
                <w:lang w:val="zh-CN"/>
              </w:rPr>
            </w:pPr>
            <w:r w:rsidRPr="00536CFD">
              <w:rPr>
                <w:lang w:val="zh-CN"/>
              </w:rPr>
              <w:t>93%</w:t>
            </w:r>
          </w:p>
        </w:tc>
        <w:tc>
          <w:tcPr>
            <w:tcW w:w="715" w:type="dxa"/>
            <w:gridSpan w:val="2"/>
            <w:tcBorders>
              <w:top w:val="single" w:sz="4" w:space="0" w:color="auto"/>
              <w:left w:val="nil"/>
              <w:bottom w:val="single" w:sz="4" w:space="0" w:color="auto"/>
              <w:right w:val="single" w:sz="4" w:space="0" w:color="auto"/>
            </w:tcBorders>
            <w:shd w:val="clear" w:color="auto" w:fill="auto"/>
          </w:tcPr>
          <w:p w14:paraId="5CBF6DED"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tcPr>
          <w:p w14:paraId="36E905D9" w14:textId="77777777" w:rsidR="004346F3" w:rsidRPr="00536CFD" w:rsidRDefault="004346F3" w:rsidP="00802ABC">
            <w:pPr>
              <w:spacing w:after="0"/>
              <w:jc w:val="center"/>
              <w:rPr>
                <w:lang w:val="zh-CN"/>
              </w:rPr>
            </w:pPr>
            <w:r w:rsidRPr="00536CFD">
              <w:rPr>
                <w:lang w:val="zh-CN"/>
              </w:rPr>
              <w:t>100%</w:t>
            </w:r>
          </w:p>
        </w:tc>
        <w:tc>
          <w:tcPr>
            <w:tcW w:w="715" w:type="dxa"/>
            <w:gridSpan w:val="2"/>
            <w:tcBorders>
              <w:top w:val="single" w:sz="4" w:space="0" w:color="auto"/>
              <w:left w:val="nil"/>
              <w:bottom w:val="single" w:sz="4" w:space="0" w:color="auto"/>
              <w:right w:val="single" w:sz="4" w:space="0" w:color="auto"/>
            </w:tcBorders>
            <w:shd w:val="clear" w:color="auto" w:fill="auto"/>
          </w:tcPr>
          <w:p w14:paraId="24922D20" w14:textId="77777777" w:rsidR="004346F3" w:rsidRPr="00536CFD" w:rsidRDefault="004346F3" w:rsidP="00802ABC">
            <w:pPr>
              <w:spacing w:after="0"/>
              <w:jc w:val="center"/>
              <w:rPr>
                <w:lang w:val="zh-CN"/>
              </w:rPr>
            </w:pPr>
            <w:r w:rsidRPr="00536CFD">
              <w:rPr>
                <w:lang w:val="zh-CN"/>
              </w:rPr>
              <w:t>100%</w:t>
            </w:r>
          </w:p>
        </w:tc>
        <w:tc>
          <w:tcPr>
            <w:tcW w:w="737" w:type="dxa"/>
            <w:gridSpan w:val="2"/>
            <w:tcBorders>
              <w:top w:val="single" w:sz="4" w:space="0" w:color="auto"/>
              <w:left w:val="nil"/>
              <w:bottom w:val="single" w:sz="4" w:space="0" w:color="auto"/>
              <w:right w:val="single" w:sz="4" w:space="0" w:color="auto"/>
            </w:tcBorders>
            <w:shd w:val="clear" w:color="auto" w:fill="auto"/>
          </w:tcPr>
          <w:p w14:paraId="16D9EF8E" w14:textId="77777777" w:rsidR="004346F3" w:rsidRPr="00536CFD" w:rsidRDefault="004346F3" w:rsidP="00802ABC">
            <w:pPr>
              <w:spacing w:after="0"/>
              <w:jc w:val="center"/>
              <w:rPr>
                <w:lang w:val="zh-CN"/>
              </w:rPr>
            </w:pPr>
            <w:r w:rsidRPr="00536CFD">
              <w:rPr>
                <w:lang w:val="zh-CN"/>
              </w:rPr>
              <w:t>85%</w:t>
            </w:r>
          </w:p>
        </w:tc>
        <w:tc>
          <w:tcPr>
            <w:tcW w:w="738" w:type="dxa"/>
            <w:gridSpan w:val="2"/>
            <w:tcBorders>
              <w:top w:val="single" w:sz="4" w:space="0" w:color="auto"/>
              <w:left w:val="nil"/>
              <w:bottom w:val="single" w:sz="4" w:space="0" w:color="auto"/>
              <w:right w:val="single" w:sz="4" w:space="0" w:color="auto"/>
            </w:tcBorders>
            <w:shd w:val="clear" w:color="auto" w:fill="auto"/>
          </w:tcPr>
          <w:p w14:paraId="41C7E6A3" w14:textId="77777777" w:rsidR="004346F3" w:rsidRPr="00536CFD" w:rsidRDefault="004346F3" w:rsidP="00802ABC">
            <w:pPr>
              <w:spacing w:after="0"/>
              <w:jc w:val="center"/>
              <w:rPr>
                <w:lang w:val="zh-CN"/>
              </w:rPr>
            </w:pPr>
            <w:r w:rsidRPr="00536CFD">
              <w:rPr>
                <w:lang w:val="zh-CN"/>
              </w:rPr>
              <w:t>99%</w:t>
            </w:r>
          </w:p>
        </w:tc>
        <w:tc>
          <w:tcPr>
            <w:tcW w:w="737" w:type="dxa"/>
            <w:gridSpan w:val="2"/>
            <w:tcBorders>
              <w:top w:val="single" w:sz="4" w:space="0" w:color="auto"/>
              <w:left w:val="nil"/>
              <w:bottom w:val="single" w:sz="4" w:space="0" w:color="auto"/>
              <w:right w:val="single" w:sz="4" w:space="0" w:color="auto"/>
            </w:tcBorders>
            <w:shd w:val="clear" w:color="auto" w:fill="auto"/>
          </w:tcPr>
          <w:p w14:paraId="2CE7E311" w14:textId="77777777" w:rsidR="004346F3" w:rsidRPr="00536CFD" w:rsidRDefault="004346F3" w:rsidP="00802ABC">
            <w:pPr>
              <w:spacing w:after="0"/>
              <w:jc w:val="center"/>
              <w:rPr>
                <w:lang w:val="zh-CN"/>
              </w:rPr>
            </w:pPr>
            <w:r w:rsidRPr="00536CFD">
              <w:rPr>
                <w:lang w:val="zh-CN"/>
              </w:rPr>
              <w:t>98%</w:t>
            </w:r>
          </w:p>
        </w:tc>
        <w:tc>
          <w:tcPr>
            <w:tcW w:w="738" w:type="dxa"/>
            <w:gridSpan w:val="2"/>
            <w:tcBorders>
              <w:top w:val="single" w:sz="4" w:space="0" w:color="auto"/>
              <w:left w:val="nil"/>
              <w:bottom w:val="single" w:sz="4" w:space="0" w:color="auto"/>
              <w:right w:val="single" w:sz="4" w:space="0" w:color="auto"/>
            </w:tcBorders>
            <w:shd w:val="clear" w:color="auto" w:fill="auto"/>
          </w:tcPr>
          <w:p w14:paraId="56FED393" w14:textId="77777777" w:rsidR="004346F3" w:rsidRPr="00536CFD" w:rsidRDefault="004346F3" w:rsidP="00802ABC">
            <w:pPr>
              <w:spacing w:after="0"/>
              <w:jc w:val="center"/>
              <w:rPr>
                <w:lang w:val="zh-CN"/>
              </w:rPr>
            </w:pPr>
            <w:r w:rsidRPr="00536CFD">
              <w:rPr>
                <w:lang w:val="zh-CN"/>
              </w:rPr>
              <w:t>100%</w:t>
            </w:r>
          </w:p>
        </w:tc>
      </w:tr>
      <w:tr w:rsidR="004346F3" w:rsidRPr="00536CFD" w14:paraId="19B08CEE"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006FEACC"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608F3321" w14:textId="77777777" w:rsidR="004346F3" w:rsidRPr="00536CFD" w:rsidRDefault="004346F3" w:rsidP="00802ABC">
            <w:pPr>
              <w:pStyle w:val="NormalWeb"/>
              <w:spacing w:before="0" w:beforeAutospacing="0" w:after="0" w:afterAutospacing="0"/>
              <w:jc w:val="center"/>
              <w:rPr>
                <w:rFonts w:eastAsia="SimSun"/>
                <w:sz w:val="20"/>
                <w:szCs w:val="20"/>
              </w:rPr>
            </w:pPr>
            <w:r w:rsidRPr="00536CFD">
              <w:rPr>
                <w:rFonts w:eastAsia="SimSun"/>
                <w:sz w:val="20"/>
                <w:szCs w:val="20"/>
                <w:lang w:bidi="ar"/>
              </w:rPr>
              <w:t>BO</w:t>
            </w:r>
          </w:p>
        </w:tc>
        <w:tc>
          <w:tcPr>
            <w:tcW w:w="582" w:type="dxa"/>
            <w:tcBorders>
              <w:top w:val="single" w:sz="4" w:space="0" w:color="auto"/>
              <w:left w:val="nil"/>
              <w:bottom w:val="single" w:sz="4" w:space="0" w:color="auto"/>
              <w:right w:val="single" w:sz="4" w:space="0" w:color="auto"/>
            </w:tcBorders>
            <w:shd w:val="clear" w:color="auto" w:fill="auto"/>
          </w:tcPr>
          <w:p w14:paraId="70A95A78" w14:textId="77777777" w:rsidR="004346F3" w:rsidRPr="00536CFD" w:rsidRDefault="004346F3" w:rsidP="00802ABC">
            <w:pPr>
              <w:spacing w:after="0"/>
              <w:jc w:val="center"/>
              <w:rPr>
                <w:lang w:val="zh-CN"/>
              </w:rPr>
            </w:pPr>
            <w:r w:rsidRPr="00536CFD">
              <w:rPr>
                <w:lang w:val="zh-CN"/>
              </w:rPr>
              <w:t>10%</w:t>
            </w:r>
          </w:p>
        </w:tc>
        <w:tc>
          <w:tcPr>
            <w:tcW w:w="644" w:type="dxa"/>
            <w:gridSpan w:val="2"/>
            <w:tcBorders>
              <w:top w:val="single" w:sz="4" w:space="0" w:color="auto"/>
              <w:left w:val="nil"/>
              <w:bottom w:val="single" w:sz="4" w:space="0" w:color="auto"/>
              <w:right w:val="single" w:sz="4" w:space="0" w:color="auto"/>
            </w:tcBorders>
            <w:shd w:val="clear" w:color="auto" w:fill="auto"/>
          </w:tcPr>
          <w:p w14:paraId="2C009EF6" w14:textId="77777777" w:rsidR="004346F3" w:rsidRPr="00536CFD" w:rsidRDefault="004346F3" w:rsidP="00802ABC">
            <w:pPr>
              <w:spacing w:after="0"/>
              <w:jc w:val="center"/>
              <w:rPr>
                <w:lang w:val="zh-CN"/>
              </w:rPr>
            </w:pPr>
            <w:r w:rsidRPr="00536CFD">
              <w:rPr>
                <w:lang w:val="zh-CN"/>
              </w:rPr>
              <w:t>6.1%</w:t>
            </w:r>
          </w:p>
        </w:tc>
        <w:tc>
          <w:tcPr>
            <w:tcW w:w="644" w:type="dxa"/>
            <w:gridSpan w:val="2"/>
            <w:tcBorders>
              <w:top w:val="single" w:sz="4" w:space="0" w:color="auto"/>
              <w:left w:val="nil"/>
              <w:bottom w:val="single" w:sz="4" w:space="0" w:color="auto"/>
              <w:right w:val="single" w:sz="4" w:space="0" w:color="auto"/>
            </w:tcBorders>
            <w:shd w:val="clear" w:color="auto" w:fill="auto"/>
          </w:tcPr>
          <w:p w14:paraId="2EDF1677" w14:textId="77777777" w:rsidR="004346F3" w:rsidRPr="00536CFD" w:rsidRDefault="004346F3" w:rsidP="00802ABC">
            <w:pPr>
              <w:spacing w:after="0"/>
              <w:jc w:val="center"/>
              <w:rPr>
                <w:lang w:val="zh-CN"/>
              </w:rPr>
            </w:pPr>
            <w:r w:rsidRPr="00536CFD">
              <w:rPr>
                <w:lang w:val="zh-CN"/>
              </w:rPr>
              <w:t>5.1%</w:t>
            </w:r>
          </w:p>
        </w:tc>
        <w:tc>
          <w:tcPr>
            <w:tcW w:w="644" w:type="dxa"/>
            <w:gridSpan w:val="2"/>
            <w:tcBorders>
              <w:top w:val="single" w:sz="4" w:space="0" w:color="auto"/>
              <w:left w:val="nil"/>
              <w:bottom w:val="single" w:sz="4" w:space="0" w:color="auto"/>
              <w:right w:val="single" w:sz="4" w:space="0" w:color="auto"/>
            </w:tcBorders>
            <w:shd w:val="clear" w:color="auto" w:fill="auto"/>
          </w:tcPr>
          <w:p w14:paraId="3F6D9791" w14:textId="77777777" w:rsidR="004346F3" w:rsidRPr="00536CFD" w:rsidRDefault="004346F3" w:rsidP="00802ABC">
            <w:pPr>
              <w:spacing w:after="0"/>
              <w:jc w:val="center"/>
              <w:rPr>
                <w:lang w:val="zh-CN"/>
              </w:rPr>
            </w:pPr>
            <w:r w:rsidRPr="00536CFD">
              <w:rPr>
                <w:lang w:val="zh-CN"/>
              </w:rPr>
              <w:t>3.9%</w:t>
            </w:r>
          </w:p>
        </w:tc>
        <w:tc>
          <w:tcPr>
            <w:tcW w:w="715" w:type="dxa"/>
            <w:gridSpan w:val="2"/>
            <w:tcBorders>
              <w:top w:val="single" w:sz="4" w:space="0" w:color="auto"/>
              <w:left w:val="nil"/>
              <w:bottom w:val="single" w:sz="4" w:space="0" w:color="auto"/>
              <w:right w:val="single" w:sz="4" w:space="0" w:color="auto"/>
            </w:tcBorders>
            <w:shd w:val="clear" w:color="auto" w:fill="auto"/>
          </w:tcPr>
          <w:p w14:paraId="6A5C6253" w14:textId="77777777" w:rsidR="004346F3" w:rsidRPr="00536CFD" w:rsidRDefault="004346F3" w:rsidP="00802ABC">
            <w:pPr>
              <w:spacing w:after="0"/>
              <w:jc w:val="center"/>
              <w:rPr>
                <w:lang w:val="zh-CN"/>
              </w:rPr>
            </w:pPr>
            <w:r w:rsidRPr="00536CFD">
              <w:rPr>
                <w:lang w:val="zh-CN"/>
              </w:rPr>
              <w:t>35%</w:t>
            </w:r>
          </w:p>
        </w:tc>
        <w:tc>
          <w:tcPr>
            <w:tcW w:w="715" w:type="dxa"/>
            <w:gridSpan w:val="2"/>
            <w:tcBorders>
              <w:top w:val="single" w:sz="4" w:space="0" w:color="auto"/>
              <w:left w:val="nil"/>
              <w:bottom w:val="single" w:sz="4" w:space="0" w:color="auto"/>
              <w:right w:val="single" w:sz="4" w:space="0" w:color="auto"/>
            </w:tcBorders>
            <w:shd w:val="clear" w:color="auto" w:fill="auto"/>
          </w:tcPr>
          <w:p w14:paraId="75350362" w14:textId="77777777" w:rsidR="004346F3" w:rsidRPr="00536CFD" w:rsidRDefault="004346F3" w:rsidP="00802ABC">
            <w:pPr>
              <w:spacing w:after="0"/>
              <w:jc w:val="center"/>
              <w:rPr>
                <w:lang w:val="zh-CN"/>
              </w:rPr>
            </w:pPr>
            <w:r w:rsidRPr="00536CFD">
              <w:rPr>
                <w:lang w:val="zh-CN"/>
              </w:rPr>
              <w:t>8.2%</w:t>
            </w:r>
          </w:p>
        </w:tc>
        <w:tc>
          <w:tcPr>
            <w:tcW w:w="715" w:type="dxa"/>
            <w:gridSpan w:val="2"/>
            <w:tcBorders>
              <w:top w:val="single" w:sz="4" w:space="0" w:color="auto"/>
              <w:left w:val="nil"/>
              <w:bottom w:val="single" w:sz="4" w:space="0" w:color="auto"/>
              <w:right w:val="single" w:sz="4" w:space="0" w:color="auto"/>
            </w:tcBorders>
            <w:shd w:val="clear" w:color="auto" w:fill="auto"/>
          </w:tcPr>
          <w:p w14:paraId="0DCFC2C3" w14:textId="77777777" w:rsidR="004346F3" w:rsidRPr="00536CFD" w:rsidRDefault="004346F3" w:rsidP="00802ABC">
            <w:pPr>
              <w:spacing w:after="0"/>
              <w:jc w:val="center"/>
              <w:rPr>
                <w:lang w:val="zh-CN"/>
              </w:rPr>
            </w:pPr>
            <w:r w:rsidRPr="00536CFD">
              <w:rPr>
                <w:lang w:val="zh-CN"/>
              </w:rPr>
              <w:t>7%</w:t>
            </w:r>
          </w:p>
        </w:tc>
        <w:tc>
          <w:tcPr>
            <w:tcW w:w="715" w:type="dxa"/>
            <w:gridSpan w:val="2"/>
            <w:tcBorders>
              <w:top w:val="single" w:sz="4" w:space="0" w:color="auto"/>
              <w:left w:val="nil"/>
              <w:bottom w:val="single" w:sz="4" w:space="0" w:color="auto"/>
              <w:right w:val="single" w:sz="4" w:space="0" w:color="auto"/>
            </w:tcBorders>
            <w:shd w:val="clear" w:color="auto" w:fill="auto"/>
          </w:tcPr>
          <w:p w14:paraId="766F6590" w14:textId="77777777" w:rsidR="004346F3" w:rsidRPr="00536CFD" w:rsidRDefault="004346F3" w:rsidP="00802ABC">
            <w:pPr>
              <w:spacing w:after="0"/>
              <w:jc w:val="center"/>
              <w:rPr>
                <w:lang w:val="zh-CN"/>
              </w:rPr>
            </w:pPr>
            <w:r w:rsidRPr="00536CFD">
              <w:rPr>
                <w:lang w:val="zh-CN"/>
              </w:rPr>
              <w:t>4.7%</w:t>
            </w:r>
          </w:p>
        </w:tc>
        <w:tc>
          <w:tcPr>
            <w:tcW w:w="737" w:type="dxa"/>
            <w:gridSpan w:val="2"/>
            <w:tcBorders>
              <w:top w:val="single" w:sz="4" w:space="0" w:color="auto"/>
              <w:left w:val="nil"/>
              <w:bottom w:val="single" w:sz="4" w:space="0" w:color="auto"/>
              <w:right w:val="single" w:sz="4" w:space="0" w:color="auto"/>
            </w:tcBorders>
            <w:shd w:val="clear" w:color="auto" w:fill="auto"/>
          </w:tcPr>
          <w:p w14:paraId="2A984464" w14:textId="77777777" w:rsidR="004346F3" w:rsidRPr="00536CFD" w:rsidRDefault="004346F3" w:rsidP="00802ABC">
            <w:pPr>
              <w:spacing w:after="0"/>
              <w:jc w:val="center"/>
              <w:rPr>
                <w:lang w:val="zh-CN"/>
              </w:rPr>
            </w:pPr>
            <w:r w:rsidRPr="00536CFD">
              <w:rPr>
                <w:lang w:val="zh-CN"/>
              </w:rPr>
              <w:t>60%</w:t>
            </w:r>
          </w:p>
        </w:tc>
        <w:tc>
          <w:tcPr>
            <w:tcW w:w="738" w:type="dxa"/>
            <w:gridSpan w:val="2"/>
            <w:tcBorders>
              <w:top w:val="single" w:sz="4" w:space="0" w:color="auto"/>
              <w:left w:val="nil"/>
              <w:bottom w:val="single" w:sz="4" w:space="0" w:color="auto"/>
              <w:right w:val="single" w:sz="4" w:space="0" w:color="auto"/>
            </w:tcBorders>
            <w:shd w:val="clear" w:color="auto" w:fill="auto"/>
          </w:tcPr>
          <w:p w14:paraId="2E848C91" w14:textId="77777777" w:rsidR="004346F3" w:rsidRPr="00536CFD" w:rsidRDefault="004346F3" w:rsidP="00802ABC">
            <w:pPr>
              <w:spacing w:after="0"/>
              <w:jc w:val="center"/>
              <w:rPr>
                <w:lang w:val="zh-CN"/>
              </w:rPr>
            </w:pPr>
            <w:r w:rsidRPr="00536CFD">
              <w:rPr>
                <w:lang w:val="zh-CN"/>
              </w:rPr>
              <w:t>19%</w:t>
            </w:r>
          </w:p>
        </w:tc>
        <w:tc>
          <w:tcPr>
            <w:tcW w:w="737" w:type="dxa"/>
            <w:gridSpan w:val="2"/>
            <w:tcBorders>
              <w:top w:val="single" w:sz="4" w:space="0" w:color="auto"/>
              <w:left w:val="nil"/>
              <w:bottom w:val="single" w:sz="4" w:space="0" w:color="auto"/>
              <w:right w:val="single" w:sz="4" w:space="0" w:color="auto"/>
            </w:tcBorders>
            <w:shd w:val="clear" w:color="auto" w:fill="auto"/>
          </w:tcPr>
          <w:p w14:paraId="2E116128" w14:textId="77777777" w:rsidR="004346F3" w:rsidRPr="00536CFD" w:rsidRDefault="004346F3" w:rsidP="00802ABC">
            <w:pPr>
              <w:spacing w:after="0"/>
              <w:jc w:val="center"/>
              <w:rPr>
                <w:lang w:val="zh-CN"/>
              </w:rPr>
            </w:pPr>
            <w:r w:rsidRPr="00536CFD">
              <w:rPr>
                <w:lang w:val="zh-CN"/>
              </w:rPr>
              <w:t>17%</w:t>
            </w:r>
          </w:p>
        </w:tc>
        <w:tc>
          <w:tcPr>
            <w:tcW w:w="738" w:type="dxa"/>
            <w:gridSpan w:val="2"/>
            <w:tcBorders>
              <w:top w:val="single" w:sz="4" w:space="0" w:color="auto"/>
              <w:left w:val="nil"/>
              <w:bottom w:val="single" w:sz="4" w:space="0" w:color="auto"/>
              <w:right w:val="single" w:sz="4" w:space="0" w:color="auto"/>
            </w:tcBorders>
            <w:shd w:val="clear" w:color="auto" w:fill="auto"/>
          </w:tcPr>
          <w:p w14:paraId="6BC90422" w14:textId="77777777" w:rsidR="004346F3" w:rsidRPr="00536CFD" w:rsidRDefault="004346F3" w:rsidP="00802ABC">
            <w:pPr>
              <w:spacing w:after="0"/>
              <w:jc w:val="center"/>
              <w:rPr>
                <w:lang w:val="zh-CN"/>
              </w:rPr>
            </w:pPr>
            <w:r w:rsidRPr="00536CFD">
              <w:rPr>
                <w:lang w:val="zh-CN"/>
              </w:rPr>
              <w:t>6.4%</w:t>
            </w:r>
          </w:p>
        </w:tc>
      </w:tr>
      <w:tr w:rsidR="004346F3" w:rsidRPr="00536CFD" w14:paraId="3571E2F6"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251B549D"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2489CFD2" w14:textId="77777777" w:rsidR="004346F3" w:rsidRPr="00536CFD" w:rsidRDefault="004346F3" w:rsidP="00802ABC">
            <w:pPr>
              <w:spacing w:after="0"/>
              <w:jc w:val="center"/>
            </w:pPr>
            <w:r w:rsidRPr="00536CFD">
              <w:rPr>
                <w:rFonts w:ascii="Cambria Math" w:hAnsi="Cambria Math" w:cs="Cambria Math"/>
              </w:rPr>
              <w:t>𝜆</w:t>
            </w:r>
          </w:p>
        </w:tc>
        <w:tc>
          <w:tcPr>
            <w:tcW w:w="2514" w:type="dxa"/>
            <w:gridSpan w:val="7"/>
            <w:tcBorders>
              <w:top w:val="single" w:sz="4" w:space="0" w:color="auto"/>
              <w:left w:val="nil"/>
              <w:bottom w:val="single" w:sz="4" w:space="0" w:color="auto"/>
              <w:right w:val="single" w:sz="4" w:space="0" w:color="auto"/>
            </w:tcBorders>
            <w:shd w:val="clear" w:color="auto" w:fill="auto"/>
          </w:tcPr>
          <w:p w14:paraId="55F67B63" w14:textId="77777777" w:rsidR="004346F3" w:rsidRPr="00536CFD" w:rsidRDefault="004346F3" w:rsidP="00802ABC">
            <w:pPr>
              <w:spacing w:after="0"/>
              <w:jc w:val="center"/>
              <w:rPr>
                <w:lang w:val="zh-CN"/>
              </w:rPr>
            </w:pPr>
            <w:r w:rsidRPr="00536CFD">
              <w:rPr>
                <w:lang w:val="zh-CN"/>
              </w:rPr>
              <w:t>0.14 file/s</w:t>
            </w:r>
          </w:p>
        </w:tc>
        <w:tc>
          <w:tcPr>
            <w:tcW w:w="2860" w:type="dxa"/>
            <w:gridSpan w:val="8"/>
            <w:tcBorders>
              <w:top w:val="single" w:sz="4" w:space="0" w:color="auto"/>
              <w:left w:val="nil"/>
              <w:bottom w:val="single" w:sz="4" w:space="0" w:color="auto"/>
              <w:right w:val="single" w:sz="4" w:space="0" w:color="auto"/>
            </w:tcBorders>
            <w:shd w:val="clear" w:color="auto" w:fill="auto"/>
          </w:tcPr>
          <w:p w14:paraId="6BE86578" w14:textId="77777777" w:rsidR="004346F3" w:rsidRPr="00536CFD" w:rsidRDefault="004346F3" w:rsidP="00802ABC">
            <w:pPr>
              <w:spacing w:after="0"/>
              <w:jc w:val="center"/>
              <w:rPr>
                <w:lang w:val="zh-CN"/>
              </w:rPr>
            </w:pPr>
            <w:r w:rsidRPr="00536CFD">
              <w:rPr>
                <w:lang w:val="zh-CN"/>
              </w:rPr>
              <w:t>0.16 file/s</w:t>
            </w:r>
          </w:p>
        </w:tc>
        <w:tc>
          <w:tcPr>
            <w:tcW w:w="2950" w:type="dxa"/>
            <w:gridSpan w:val="8"/>
            <w:tcBorders>
              <w:top w:val="single" w:sz="4" w:space="0" w:color="auto"/>
              <w:left w:val="nil"/>
              <w:bottom w:val="single" w:sz="4" w:space="0" w:color="auto"/>
              <w:right w:val="single" w:sz="4" w:space="0" w:color="auto"/>
            </w:tcBorders>
            <w:shd w:val="clear" w:color="auto" w:fill="auto"/>
          </w:tcPr>
          <w:p w14:paraId="4D89AAFF" w14:textId="77777777" w:rsidR="004346F3" w:rsidRPr="00536CFD" w:rsidRDefault="004346F3" w:rsidP="00802ABC">
            <w:pPr>
              <w:spacing w:after="0"/>
              <w:jc w:val="center"/>
              <w:rPr>
                <w:lang w:val="zh-CN"/>
              </w:rPr>
            </w:pPr>
            <w:r w:rsidRPr="00536CFD">
              <w:rPr>
                <w:lang w:val="zh-CN"/>
              </w:rPr>
              <w:t>0.19 file/s</w:t>
            </w:r>
          </w:p>
        </w:tc>
      </w:tr>
      <w:tr w:rsidR="004346F3" w:rsidRPr="00536CFD" w14:paraId="1D615143" w14:textId="77777777" w:rsidTr="00802ABC">
        <w:trPr>
          <w:cantSplit/>
          <w:trHeight w:val="20"/>
        </w:trPr>
        <w:tc>
          <w:tcPr>
            <w:tcW w:w="288" w:type="dxa"/>
            <w:vMerge/>
            <w:tcBorders>
              <w:top w:val="nil"/>
              <w:left w:val="single" w:sz="4" w:space="0" w:color="auto"/>
              <w:bottom w:val="single" w:sz="4" w:space="0" w:color="auto"/>
              <w:right w:val="single" w:sz="4" w:space="0" w:color="auto"/>
            </w:tcBorders>
            <w:shd w:val="clear" w:color="auto" w:fill="auto"/>
            <w:textDirection w:val="btLr"/>
          </w:tcPr>
          <w:p w14:paraId="6D1CC78A"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041FE09D" w14:textId="77777777" w:rsidR="004346F3" w:rsidRPr="00536CFD" w:rsidRDefault="004346F3" w:rsidP="00802ABC">
            <w:pPr>
              <w:spacing w:after="0"/>
              <w:contextualSpacing/>
              <w:rPr>
                <w:lang w:val="en-US" w:bidi="ar"/>
              </w:rPr>
            </w:pPr>
          </w:p>
        </w:tc>
        <w:tc>
          <w:tcPr>
            <w:tcW w:w="8324" w:type="dxa"/>
            <w:gridSpan w:val="23"/>
            <w:tcBorders>
              <w:top w:val="single" w:sz="4" w:space="0" w:color="auto"/>
              <w:left w:val="nil"/>
              <w:bottom w:val="single" w:sz="4" w:space="0" w:color="auto"/>
              <w:right w:val="single" w:sz="4" w:space="0" w:color="auto"/>
            </w:tcBorders>
            <w:shd w:val="clear" w:color="auto" w:fill="auto"/>
          </w:tcPr>
          <w:p w14:paraId="55F894AA" w14:textId="77777777" w:rsidR="004346F3" w:rsidRPr="00536CFD" w:rsidRDefault="004346F3" w:rsidP="00802ABC">
            <w:pPr>
              <w:pStyle w:val="ResTable"/>
              <w:jc w:val="left"/>
              <w:rPr>
                <w:rFonts w:ascii="Times New Roman" w:hAnsi="Times New Roman" w:cs="Times New Roman"/>
                <w:sz w:val="20"/>
                <w:szCs w:val="20"/>
              </w:rPr>
            </w:pPr>
            <w:r w:rsidRPr="00536CFD">
              <w:rPr>
                <w:rFonts w:ascii="Times New Roman" w:hAnsi="Times New Roman" w:cs="Times New Roman"/>
                <w:sz w:val="20"/>
                <w:szCs w:val="20"/>
              </w:rPr>
              <w:t>Additional comments:</w:t>
            </w:r>
          </w:p>
          <w:p w14:paraId="3C6C2F5A" w14:textId="77777777" w:rsidR="004346F3" w:rsidRPr="00536CFD" w:rsidRDefault="004346F3" w:rsidP="00802ABC">
            <w:pPr>
              <w:rPr>
                <w:lang w:eastAsia="sv-SE"/>
              </w:rPr>
            </w:pPr>
            <w:r w:rsidRPr="00536CFD">
              <w:rPr>
                <w:b/>
                <w:bCs/>
                <w:lang w:val="en-US" w:eastAsia="sv-SE"/>
              </w:rPr>
              <w:t>Simulation setup:</w:t>
            </w:r>
            <w:r w:rsidRPr="00536CFD">
              <w:rPr>
                <w:lang w:val="en-US" w:eastAsia="sv-SE"/>
              </w:rPr>
              <w:t xml:space="preserve"> NR-U outdoor scenario 2, 50/50 DL/UL traffics. </w:t>
            </w:r>
            <w:r w:rsidRPr="00536CFD">
              <w:br/>
            </w:r>
            <w:r w:rsidRPr="00536CFD">
              <w:rPr>
                <w:b/>
                <w:bCs/>
              </w:rPr>
              <w:t>Common assumptions:</w:t>
            </w:r>
            <w:r w:rsidRPr="00536CFD">
              <w:t xml:space="preserve"> Primary LBT: Cat-4 LBT with exponential CW back-off, MCOT duration: 6ms, Max modulation: 256 QAM, </w:t>
            </w:r>
            <w:r w:rsidRPr="00536CFD">
              <w:rPr>
                <w:lang w:val="en-US"/>
              </w:rPr>
              <w:t>Antennas: 4 for BS/AP and 2 for UE/STA,</w:t>
            </w:r>
            <w:r w:rsidRPr="00536CFD">
              <w:t xml:space="preserve"> </w:t>
            </w:r>
            <w:r w:rsidRPr="00536CFD">
              <w:rPr>
                <w:lang w:val="en-US"/>
              </w:rPr>
              <w:t xml:space="preserve">BF scheme: Tx and Rx BF at BS/AP, Maximal number of layers: 2 for DL and 2 for UL, single carrier with 20MHz BW, BS/AP transmit power 20dBm, UE/STA transmit power 18dBm, MMSE-IRC receiver. CW {min,max} </w:t>
            </w:r>
            <w:r w:rsidRPr="00536CFD">
              <w:t xml:space="preserve">DL{15,63} </w:t>
            </w:r>
            <w:r w:rsidRPr="00536CFD">
              <w:rPr>
                <w:lang w:val="en-US"/>
              </w:rPr>
              <w:t>UL{15,1023}.</w:t>
            </w:r>
            <w:r w:rsidRPr="00536CFD">
              <w:br/>
            </w:r>
            <w:r w:rsidRPr="00536CFD">
              <w:rPr>
                <w:b/>
                <w:bCs/>
              </w:rPr>
              <w:t xml:space="preserve">Wi-Fi assumptions: </w:t>
            </w:r>
            <w:r w:rsidRPr="00536CFD">
              <w:t>RTS/CTS disabled, ED/PD threshold -62/-82dBm, A-MPDU frame aggregation, MPDU size: 1500B MSDU plus 14B header, short Wi-Fi guard interval.</w:t>
            </w:r>
            <w:r w:rsidRPr="00536CFD">
              <w:br/>
            </w:r>
            <w:r w:rsidRPr="00536CFD">
              <w:rPr>
                <w:b/>
                <w:bCs/>
              </w:rPr>
              <w:t>NR-U assumptions:</w:t>
            </w:r>
            <w:r w:rsidRPr="00536CFD">
              <w:t xml:space="preserve"> ED threshold  -72dBm, SCS 30kHz, UE processing time capability #1, PUSCH mapping Type A, PDSCH mapping Type B, PDCCH monitoring every 1OS, Scheduling: proportional fair, self-scheduling, COT sharing enabled (gNB initiated COT).</w:t>
            </w:r>
          </w:p>
        </w:tc>
      </w:tr>
      <w:tr w:rsidR="004346F3" w:rsidRPr="00536CFD" w14:paraId="6006D507" w14:textId="77777777" w:rsidTr="00802ABC">
        <w:trPr>
          <w:cantSplit/>
          <w:trHeight w:val="20"/>
        </w:trPr>
        <w:tc>
          <w:tcPr>
            <w:tcW w:w="288" w:type="dxa"/>
            <w:vMerge w:val="restart"/>
            <w:tcBorders>
              <w:top w:val="single" w:sz="4" w:space="0" w:color="auto"/>
              <w:left w:val="single" w:sz="4" w:space="0" w:color="auto"/>
              <w:right w:val="single" w:sz="4" w:space="0" w:color="auto"/>
            </w:tcBorders>
            <w:shd w:val="clear" w:color="auto" w:fill="auto"/>
            <w:textDirection w:val="btLr"/>
          </w:tcPr>
          <w:p w14:paraId="39772858" w14:textId="77777777" w:rsidR="004346F3" w:rsidRPr="00536CFD" w:rsidRDefault="004346F3" w:rsidP="00536CFD">
            <w:pPr>
              <w:pageBreakBefore/>
              <w:spacing w:after="0"/>
              <w:ind w:left="113" w:right="113"/>
              <w:jc w:val="center"/>
            </w:pPr>
            <w:r w:rsidRPr="00536CFD">
              <w:t>R1-1814074 / Source 5</w:t>
            </w:r>
          </w:p>
        </w:tc>
        <w:tc>
          <w:tcPr>
            <w:tcW w:w="583" w:type="dxa"/>
            <w:vMerge w:val="restart"/>
            <w:tcBorders>
              <w:top w:val="single" w:sz="4" w:space="0" w:color="auto"/>
              <w:left w:val="nil"/>
              <w:right w:val="single" w:sz="4" w:space="0" w:color="auto"/>
            </w:tcBorders>
            <w:shd w:val="clear" w:color="auto" w:fill="auto"/>
          </w:tcPr>
          <w:p w14:paraId="2B5389DE" w14:textId="77777777" w:rsidR="004346F3" w:rsidRPr="00536CFD" w:rsidRDefault="004346F3" w:rsidP="00536CFD">
            <w:pPr>
              <w:pStyle w:val="ListParagraph"/>
              <w:pageBreakBefore/>
              <w:spacing w:after="0"/>
              <w:ind w:firstLineChars="0" w:firstLine="0"/>
              <w:jc w:val="center"/>
              <w:rPr>
                <w:b/>
              </w:rPr>
            </w:pPr>
            <w:r w:rsidRPr="00536CFD">
              <w:rPr>
                <w:b/>
              </w:rPr>
              <w:t xml:space="preserve">DL: </w:t>
            </w:r>
          </w:p>
          <w:p w14:paraId="3EDCD194" w14:textId="77777777" w:rsidR="004346F3" w:rsidRPr="00536CFD" w:rsidRDefault="004346F3" w:rsidP="00536CFD">
            <w:pPr>
              <w:pStyle w:val="ListParagraph"/>
              <w:pageBreakBefore/>
              <w:spacing w:after="0"/>
              <w:ind w:firstLineChars="0" w:firstLine="0"/>
              <w:jc w:val="center"/>
            </w:pPr>
            <w:r w:rsidRPr="00536CFD">
              <w:t>UPT CDF</w:t>
            </w:r>
          </w:p>
          <w:p w14:paraId="386102FE" w14:textId="77777777" w:rsidR="004346F3" w:rsidRPr="00536CFD" w:rsidRDefault="004346F3" w:rsidP="00536CFD">
            <w:pPr>
              <w:pageBreakBefore/>
              <w:spacing w:after="0"/>
              <w:contextualSpacing/>
              <w:jc w:val="center"/>
              <w:rPr>
                <w:lang w:val="en-US" w:bidi="ar"/>
              </w:rPr>
            </w:pPr>
            <w:r w:rsidRPr="00536CFD">
              <w:t>[Mbps]</w:t>
            </w:r>
          </w:p>
        </w:tc>
        <w:tc>
          <w:tcPr>
            <w:tcW w:w="583" w:type="dxa"/>
            <w:gridSpan w:val="2"/>
            <w:tcBorders>
              <w:top w:val="single" w:sz="4" w:space="0" w:color="auto"/>
              <w:left w:val="nil"/>
              <w:bottom w:val="single" w:sz="4" w:space="0" w:color="auto"/>
              <w:right w:val="single" w:sz="4" w:space="0" w:color="auto"/>
            </w:tcBorders>
            <w:shd w:val="clear" w:color="auto" w:fill="auto"/>
          </w:tcPr>
          <w:p w14:paraId="7CBC9726" w14:textId="77777777" w:rsidR="004346F3" w:rsidRPr="00536CFD" w:rsidRDefault="004346F3" w:rsidP="00536CFD">
            <w:pPr>
              <w:pageBreakBefore/>
              <w:spacing w:after="0"/>
              <w:contextualSpacing/>
              <w:jc w:val="center"/>
              <w:rPr>
                <w:lang w:val="en-US" w:bidi="ar"/>
              </w:rPr>
            </w:pPr>
            <w:r w:rsidRPr="00536CFD">
              <w:t>5%</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69FF7494" w14:textId="77777777" w:rsidR="004346F3" w:rsidRPr="00536CFD" w:rsidRDefault="004346F3" w:rsidP="00536CFD">
            <w:pPr>
              <w:pageBreakBefore/>
              <w:spacing w:after="0"/>
              <w:jc w:val="center"/>
              <w:rPr>
                <w:lang w:eastAsia="ja-JP"/>
              </w:rPr>
            </w:pPr>
            <w:r w:rsidRPr="00536CFD">
              <w:rPr>
                <w:rFonts w:eastAsia="Malgun Gothic"/>
                <w:lang w:eastAsia="ko-KR"/>
              </w:rPr>
              <w:t>3.519</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082841A3" w14:textId="77777777" w:rsidR="004346F3" w:rsidRPr="00536CFD" w:rsidRDefault="004346F3" w:rsidP="00536CFD">
            <w:pPr>
              <w:pageBreakBefore/>
              <w:spacing w:after="0"/>
              <w:jc w:val="center"/>
              <w:rPr>
                <w:lang w:eastAsia="ja-JP"/>
              </w:rPr>
            </w:pPr>
            <w:r w:rsidRPr="00536CFD">
              <w:rPr>
                <w:rFonts w:eastAsia="Malgun Gothic"/>
                <w:lang w:eastAsia="ko-KR"/>
              </w:rPr>
              <w:t>4.356</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0B6AC4F6" w14:textId="77777777" w:rsidR="004346F3" w:rsidRPr="00536CFD" w:rsidRDefault="004346F3" w:rsidP="00536CFD">
            <w:pPr>
              <w:pageBreakBefore/>
              <w:spacing w:after="0"/>
              <w:jc w:val="center"/>
              <w:rPr>
                <w:lang w:eastAsia="ja-JP"/>
              </w:rPr>
            </w:pPr>
            <w:r w:rsidRPr="00536CFD">
              <w:rPr>
                <w:rFonts w:eastAsia="Malgun Gothic"/>
                <w:lang w:eastAsia="ko-KR"/>
              </w:rPr>
              <w:t>12.183</w:t>
            </w:r>
          </w:p>
        </w:tc>
        <w:tc>
          <w:tcPr>
            <w:tcW w:w="693" w:type="dxa"/>
            <w:gridSpan w:val="2"/>
            <w:tcBorders>
              <w:top w:val="single" w:sz="4" w:space="0" w:color="auto"/>
              <w:left w:val="nil"/>
              <w:bottom w:val="single" w:sz="4" w:space="0" w:color="auto"/>
              <w:right w:val="single" w:sz="4" w:space="0" w:color="auto"/>
            </w:tcBorders>
            <w:shd w:val="clear" w:color="auto" w:fill="auto"/>
          </w:tcPr>
          <w:p w14:paraId="1A12D46E" w14:textId="77777777" w:rsidR="004346F3" w:rsidRPr="00536CFD" w:rsidRDefault="004346F3" w:rsidP="00536CFD">
            <w:pPr>
              <w:pageBreakBefore/>
              <w:spacing w:after="0"/>
              <w:jc w:val="center"/>
              <w:rPr>
                <w:lang w:eastAsia="ja-JP"/>
              </w:rPr>
            </w:pPr>
            <w:r w:rsidRPr="00536CFD">
              <w:rPr>
                <w:rFonts w:eastAsia="Malgun Gothic"/>
                <w:lang w:eastAsia="ko-KR"/>
              </w:rPr>
              <w:t>19.404</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5F6C493D" w14:textId="77777777" w:rsidR="004346F3" w:rsidRPr="00536CFD" w:rsidRDefault="004346F3" w:rsidP="00536CFD">
            <w:pPr>
              <w:pageBreakBefore/>
              <w:spacing w:after="0"/>
              <w:jc w:val="center"/>
              <w:rPr>
                <w:lang w:eastAsia="ja-JP"/>
              </w:rPr>
            </w:pPr>
            <w:r w:rsidRPr="00536CFD">
              <w:rPr>
                <w:rFonts w:eastAsia="Malgun Gothic"/>
                <w:lang w:eastAsia="ko-KR"/>
              </w:rPr>
              <w:t>1.597</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58429BB9" w14:textId="77777777" w:rsidR="004346F3" w:rsidRPr="00536CFD" w:rsidRDefault="004346F3" w:rsidP="00536CFD">
            <w:pPr>
              <w:pageBreakBefore/>
              <w:spacing w:after="0"/>
              <w:jc w:val="center"/>
              <w:rPr>
                <w:lang w:eastAsia="ja-JP"/>
              </w:rPr>
            </w:pPr>
            <w:r w:rsidRPr="00536CFD">
              <w:rPr>
                <w:rFonts w:eastAsia="Malgun Gothic"/>
                <w:lang w:eastAsia="ko-KR"/>
              </w:rPr>
              <w:t>2.191</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0E5CFDFF" w14:textId="77777777" w:rsidR="004346F3" w:rsidRPr="00536CFD" w:rsidRDefault="004346F3" w:rsidP="00536CFD">
            <w:pPr>
              <w:pageBreakBefore/>
              <w:spacing w:after="0"/>
              <w:jc w:val="center"/>
              <w:rPr>
                <w:lang w:eastAsia="ja-JP"/>
              </w:rPr>
            </w:pPr>
            <w:r w:rsidRPr="00536CFD">
              <w:rPr>
                <w:rFonts w:eastAsia="Malgun Gothic"/>
                <w:lang w:eastAsia="ko-KR"/>
              </w:rPr>
              <w:t>5.388</w:t>
            </w:r>
          </w:p>
        </w:tc>
        <w:tc>
          <w:tcPr>
            <w:tcW w:w="694" w:type="dxa"/>
            <w:gridSpan w:val="2"/>
            <w:tcBorders>
              <w:top w:val="single" w:sz="4" w:space="0" w:color="auto"/>
              <w:left w:val="nil"/>
              <w:bottom w:val="single" w:sz="4" w:space="0" w:color="auto"/>
              <w:right w:val="single" w:sz="4" w:space="0" w:color="auto"/>
            </w:tcBorders>
            <w:shd w:val="clear" w:color="auto" w:fill="auto"/>
          </w:tcPr>
          <w:p w14:paraId="2088E7CB" w14:textId="77777777" w:rsidR="004346F3" w:rsidRPr="00536CFD" w:rsidRDefault="004346F3" w:rsidP="00536CFD">
            <w:pPr>
              <w:pageBreakBefore/>
              <w:spacing w:after="0"/>
              <w:jc w:val="center"/>
              <w:rPr>
                <w:lang w:eastAsia="ja-JP"/>
              </w:rPr>
            </w:pPr>
            <w:r w:rsidRPr="00536CFD">
              <w:rPr>
                <w:rFonts w:eastAsia="Malgun Gothic"/>
                <w:lang w:eastAsia="ko-KR"/>
              </w:rPr>
              <w:t>5.999</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3F312D83" w14:textId="77777777" w:rsidR="004346F3" w:rsidRPr="00536CFD" w:rsidRDefault="004346F3" w:rsidP="00536CFD">
            <w:pPr>
              <w:pageBreakBefore/>
              <w:spacing w:after="0"/>
              <w:jc w:val="center"/>
              <w:rPr>
                <w:lang w:eastAsia="ja-JP"/>
              </w:rPr>
            </w:pPr>
            <w:r w:rsidRPr="00536CFD">
              <w:rPr>
                <w:rFonts w:eastAsia="Malgun Gothic"/>
                <w:lang w:eastAsia="ko-KR"/>
              </w:rPr>
              <w:t>0.696</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5CABE177" w14:textId="77777777" w:rsidR="004346F3" w:rsidRPr="00536CFD" w:rsidRDefault="004346F3" w:rsidP="00536CFD">
            <w:pPr>
              <w:pageBreakBefore/>
              <w:spacing w:after="0"/>
              <w:jc w:val="center"/>
              <w:rPr>
                <w:lang w:eastAsia="ja-JP"/>
              </w:rPr>
            </w:pPr>
            <w:r w:rsidRPr="00536CFD">
              <w:rPr>
                <w:rFonts w:eastAsia="Malgun Gothic"/>
                <w:lang w:eastAsia="ko-KR"/>
              </w:rPr>
              <w:t>0.663</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48F57B21" w14:textId="77777777" w:rsidR="004346F3" w:rsidRPr="00536CFD" w:rsidRDefault="004346F3" w:rsidP="00536CFD">
            <w:pPr>
              <w:pageBreakBefore/>
              <w:spacing w:after="0"/>
              <w:jc w:val="center"/>
              <w:rPr>
                <w:lang w:eastAsia="ja-JP"/>
              </w:rPr>
            </w:pPr>
            <w:r w:rsidRPr="00536CFD">
              <w:rPr>
                <w:rFonts w:eastAsia="Malgun Gothic"/>
                <w:lang w:eastAsia="ko-KR"/>
              </w:rPr>
              <w:t>0.567</w:t>
            </w:r>
          </w:p>
        </w:tc>
        <w:tc>
          <w:tcPr>
            <w:tcW w:w="694" w:type="dxa"/>
            <w:tcBorders>
              <w:top w:val="single" w:sz="4" w:space="0" w:color="auto"/>
              <w:left w:val="nil"/>
              <w:bottom w:val="single" w:sz="4" w:space="0" w:color="auto"/>
              <w:right w:val="single" w:sz="4" w:space="0" w:color="auto"/>
            </w:tcBorders>
            <w:shd w:val="clear" w:color="auto" w:fill="auto"/>
          </w:tcPr>
          <w:p w14:paraId="0C818638" w14:textId="77777777" w:rsidR="004346F3" w:rsidRPr="00536CFD" w:rsidRDefault="004346F3" w:rsidP="00536CFD">
            <w:pPr>
              <w:pageBreakBefore/>
              <w:spacing w:after="0"/>
              <w:jc w:val="center"/>
              <w:rPr>
                <w:lang w:eastAsia="ja-JP"/>
              </w:rPr>
            </w:pPr>
            <w:r w:rsidRPr="00536CFD">
              <w:rPr>
                <w:rFonts w:eastAsia="Malgun Gothic"/>
                <w:lang w:eastAsia="ko-KR"/>
              </w:rPr>
              <w:t>1.845</w:t>
            </w:r>
          </w:p>
        </w:tc>
      </w:tr>
      <w:tr w:rsidR="004346F3" w:rsidRPr="00536CFD" w14:paraId="5FA5ACF2"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012760B6" w14:textId="77777777" w:rsidR="004346F3" w:rsidRPr="00536CFD" w:rsidRDefault="004346F3" w:rsidP="00802ABC">
            <w:pPr>
              <w:spacing w:after="0"/>
              <w:ind w:left="113" w:right="113"/>
            </w:pPr>
          </w:p>
        </w:tc>
        <w:tc>
          <w:tcPr>
            <w:tcW w:w="583" w:type="dxa"/>
            <w:vMerge/>
            <w:tcBorders>
              <w:left w:val="nil"/>
              <w:right w:val="single" w:sz="4" w:space="0" w:color="auto"/>
            </w:tcBorders>
            <w:shd w:val="clear" w:color="auto" w:fill="auto"/>
          </w:tcPr>
          <w:p w14:paraId="5EB5E08F" w14:textId="77777777" w:rsidR="004346F3" w:rsidRPr="00536CFD" w:rsidRDefault="004346F3" w:rsidP="00802ABC">
            <w:pPr>
              <w:spacing w:after="0"/>
              <w:contextualSpacing/>
              <w:jc w:val="center"/>
              <w:rPr>
                <w:lang w:val="en-US" w:bidi="ar"/>
              </w:rPr>
            </w:pPr>
          </w:p>
        </w:tc>
        <w:tc>
          <w:tcPr>
            <w:tcW w:w="583" w:type="dxa"/>
            <w:gridSpan w:val="2"/>
            <w:tcBorders>
              <w:top w:val="single" w:sz="4" w:space="0" w:color="auto"/>
              <w:left w:val="nil"/>
              <w:bottom w:val="single" w:sz="4" w:space="0" w:color="auto"/>
              <w:right w:val="single" w:sz="4" w:space="0" w:color="auto"/>
            </w:tcBorders>
            <w:shd w:val="clear" w:color="auto" w:fill="auto"/>
          </w:tcPr>
          <w:p w14:paraId="0274C1DE" w14:textId="77777777" w:rsidR="004346F3" w:rsidRPr="00536CFD" w:rsidRDefault="004346F3" w:rsidP="00802ABC">
            <w:pPr>
              <w:spacing w:after="0"/>
              <w:contextualSpacing/>
              <w:jc w:val="center"/>
              <w:rPr>
                <w:lang w:val="en-US" w:bidi="ar"/>
              </w:rPr>
            </w:pPr>
            <w:r w:rsidRPr="00536CFD">
              <w:t>50%</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543E2083" w14:textId="77777777" w:rsidR="004346F3" w:rsidRPr="00536CFD" w:rsidRDefault="004346F3" w:rsidP="00802ABC">
            <w:pPr>
              <w:spacing w:after="0"/>
              <w:jc w:val="center"/>
              <w:rPr>
                <w:lang w:eastAsia="ja-JP"/>
              </w:rPr>
            </w:pPr>
            <w:r w:rsidRPr="00536CFD">
              <w:rPr>
                <w:rFonts w:eastAsia="Malgun Gothic"/>
                <w:lang w:eastAsia="ko-KR"/>
              </w:rPr>
              <w:t>11.330</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6E722AA4" w14:textId="77777777" w:rsidR="004346F3" w:rsidRPr="00536CFD" w:rsidRDefault="004346F3" w:rsidP="00802ABC">
            <w:pPr>
              <w:spacing w:after="0"/>
              <w:jc w:val="center"/>
              <w:rPr>
                <w:lang w:eastAsia="ja-JP"/>
              </w:rPr>
            </w:pPr>
            <w:r w:rsidRPr="00536CFD">
              <w:rPr>
                <w:rFonts w:eastAsia="Malgun Gothic"/>
                <w:lang w:eastAsia="ko-KR"/>
              </w:rPr>
              <w:t>13.595</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2CDAB962" w14:textId="77777777" w:rsidR="004346F3" w:rsidRPr="00536CFD" w:rsidRDefault="004346F3" w:rsidP="00802ABC">
            <w:pPr>
              <w:spacing w:after="0"/>
              <w:jc w:val="center"/>
              <w:rPr>
                <w:lang w:eastAsia="ja-JP"/>
              </w:rPr>
            </w:pPr>
            <w:r w:rsidRPr="00536CFD">
              <w:rPr>
                <w:rFonts w:eastAsia="Malgun Gothic"/>
                <w:lang w:eastAsia="ko-KR"/>
              </w:rPr>
              <w:t>52.143</w:t>
            </w:r>
          </w:p>
        </w:tc>
        <w:tc>
          <w:tcPr>
            <w:tcW w:w="693" w:type="dxa"/>
            <w:gridSpan w:val="2"/>
            <w:tcBorders>
              <w:top w:val="single" w:sz="4" w:space="0" w:color="auto"/>
              <w:left w:val="nil"/>
              <w:bottom w:val="single" w:sz="4" w:space="0" w:color="auto"/>
              <w:right w:val="single" w:sz="4" w:space="0" w:color="auto"/>
            </w:tcBorders>
            <w:shd w:val="clear" w:color="auto" w:fill="auto"/>
          </w:tcPr>
          <w:p w14:paraId="5E06BC57" w14:textId="77777777" w:rsidR="004346F3" w:rsidRPr="00536CFD" w:rsidRDefault="004346F3" w:rsidP="00802ABC">
            <w:pPr>
              <w:spacing w:after="0"/>
              <w:jc w:val="center"/>
              <w:rPr>
                <w:lang w:eastAsia="ja-JP"/>
              </w:rPr>
            </w:pPr>
            <w:r w:rsidRPr="00536CFD">
              <w:rPr>
                <w:rFonts w:eastAsia="Malgun Gothic"/>
                <w:lang w:eastAsia="ko-KR"/>
              </w:rPr>
              <w:t>57.899</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43744A58" w14:textId="77777777" w:rsidR="004346F3" w:rsidRPr="00536CFD" w:rsidRDefault="004346F3" w:rsidP="00802ABC">
            <w:pPr>
              <w:spacing w:after="0"/>
              <w:jc w:val="center"/>
              <w:rPr>
                <w:lang w:eastAsia="ja-JP"/>
              </w:rPr>
            </w:pPr>
            <w:r w:rsidRPr="00536CFD">
              <w:rPr>
                <w:rFonts w:eastAsia="Malgun Gothic"/>
                <w:lang w:eastAsia="ko-KR"/>
              </w:rPr>
              <w:t>8.117</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5F54EBA8" w14:textId="77777777" w:rsidR="004346F3" w:rsidRPr="00536CFD" w:rsidRDefault="004346F3" w:rsidP="00802ABC">
            <w:pPr>
              <w:spacing w:after="0"/>
              <w:jc w:val="center"/>
              <w:rPr>
                <w:lang w:eastAsia="ja-JP"/>
              </w:rPr>
            </w:pPr>
            <w:r w:rsidRPr="00536CFD">
              <w:rPr>
                <w:rFonts w:eastAsia="Malgun Gothic"/>
                <w:lang w:eastAsia="ko-KR"/>
              </w:rPr>
              <w:t>9.779</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57E17621" w14:textId="77777777" w:rsidR="004346F3" w:rsidRPr="00536CFD" w:rsidRDefault="004346F3" w:rsidP="00802ABC">
            <w:pPr>
              <w:spacing w:after="0"/>
              <w:jc w:val="center"/>
              <w:rPr>
                <w:lang w:eastAsia="ja-JP"/>
              </w:rPr>
            </w:pPr>
            <w:r w:rsidRPr="00536CFD">
              <w:rPr>
                <w:rFonts w:eastAsia="Malgun Gothic"/>
                <w:lang w:eastAsia="ko-KR"/>
              </w:rPr>
              <w:t>29.397</w:t>
            </w:r>
          </w:p>
        </w:tc>
        <w:tc>
          <w:tcPr>
            <w:tcW w:w="694" w:type="dxa"/>
            <w:gridSpan w:val="2"/>
            <w:tcBorders>
              <w:top w:val="single" w:sz="4" w:space="0" w:color="auto"/>
              <w:left w:val="nil"/>
              <w:bottom w:val="single" w:sz="4" w:space="0" w:color="auto"/>
              <w:right w:val="single" w:sz="4" w:space="0" w:color="auto"/>
            </w:tcBorders>
            <w:shd w:val="clear" w:color="auto" w:fill="auto"/>
          </w:tcPr>
          <w:p w14:paraId="7F7DB19E" w14:textId="77777777" w:rsidR="004346F3" w:rsidRPr="00536CFD" w:rsidRDefault="004346F3" w:rsidP="00802ABC">
            <w:pPr>
              <w:spacing w:after="0"/>
              <w:jc w:val="center"/>
              <w:rPr>
                <w:lang w:eastAsia="ja-JP"/>
              </w:rPr>
            </w:pPr>
            <w:r w:rsidRPr="00536CFD">
              <w:rPr>
                <w:rFonts w:eastAsia="Malgun Gothic"/>
                <w:lang w:eastAsia="ko-KR"/>
              </w:rPr>
              <w:t>31.273</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1413EE3E" w14:textId="77777777" w:rsidR="004346F3" w:rsidRPr="00536CFD" w:rsidRDefault="004346F3" w:rsidP="00802ABC">
            <w:pPr>
              <w:spacing w:after="0"/>
              <w:jc w:val="center"/>
              <w:rPr>
                <w:lang w:eastAsia="ja-JP"/>
              </w:rPr>
            </w:pPr>
            <w:r w:rsidRPr="00536CFD">
              <w:rPr>
                <w:rFonts w:eastAsia="Malgun Gothic"/>
                <w:lang w:eastAsia="ko-KR"/>
              </w:rPr>
              <w:t>5.940</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5BA76D1B" w14:textId="77777777" w:rsidR="004346F3" w:rsidRPr="00536CFD" w:rsidRDefault="004346F3" w:rsidP="00802ABC">
            <w:pPr>
              <w:spacing w:after="0"/>
              <w:jc w:val="center"/>
              <w:rPr>
                <w:lang w:eastAsia="ja-JP"/>
              </w:rPr>
            </w:pPr>
            <w:r w:rsidRPr="00536CFD">
              <w:rPr>
                <w:rFonts w:eastAsia="Malgun Gothic"/>
                <w:lang w:eastAsia="ko-KR"/>
              </w:rPr>
              <w:t>6.412</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41118192" w14:textId="77777777" w:rsidR="004346F3" w:rsidRPr="00536CFD" w:rsidRDefault="004346F3" w:rsidP="00802ABC">
            <w:pPr>
              <w:spacing w:after="0"/>
              <w:jc w:val="center"/>
              <w:rPr>
                <w:lang w:eastAsia="ja-JP"/>
              </w:rPr>
            </w:pPr>
            <w:r w:rsidRPr="00536CFD">
              <w:rPr>
                <w:rFonts w:eastAsia="Malgun Gothic"/>
                <w:lang w:eastAsia="ko-KR"/>
              </w:rPr>
              <w:t>18.017</w:t>
            </w:r>
          </w:p>
        </w:tc>
        <w:tc>
          <w:tcPr>
            <w:tcW w:w="694" w:type="dxa"/>
            <w:tcBorders>
              <w:top w:val="single" w:sz="4" w:space="0" w:color="auto"/>
              <w:left w:val="nil"/>
              <w:bottom w:val="single" w:sz="4" w:space="0" w:color="auto"/>
              <w:right w:val="single" w:sz="4" w:space="0" w:color="auto"/>
            </w:tcBorders>
            <w:shd w:val="clear" w:color="auto" w:fill="auto"/>
          </w:tcPr>
          <w:p w14:paraId="57A492EF" w14:textId="77777777" w:rsidR="004346F3" w:rsidRPr="00536CFD" w:rsidRDefault="004346F3" w:rsidP="00802ABC">
            <w:pPr>
              <w:spacing w:after="0"/>
              <w:jc w:val="center"/>
              <w:rPr>
                <w:lang w:eastAsia="ja-JP"/>
              </w:rPr>
            </w:pPr>
            <w:r w:rsidRPr="00536CFD">
              <w:rPr>
                <w:rFonts w:eastAsia="Malgun Gothic"/>
                <w:lang w:eastAsia="ko-KR"/>
              </w:rPr>
              <w:t>19.871</w:t>
            </w:r>
          </w:p>
        </w:tc>
      </w:tr>
      <w:tr w:rsidR="004346F3" w:rsidRPr="00536CFD" w14:paraId="7F9A109D"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71E89CBF" w14:textId="77777777" w:rsidR="004346F3" w:rsidRPr="00536CFD" w:rsidRDefault="004346F3" w:rsidP="00802ABC">
            <w:pPr>
              <w:spacing w:after="0"/>
              <w:ind w:left="113" w:right="113"/>
            </w:pPr>
          </w:p>
        </w:tc>
        <w:tc>
          <w:tcPr>
            <w:tcW w:w="583" w:type="dxa"/>
            <w:vMerge/>
            <w:tcBorders>
              <w:left w:val="nil"/>
              <w:right w:val="single" w:sz="4" w:space="0" w:color="auto"/>
            </w:tcBorders>
            <w:shd w:val="clear" w:color="auto" w:fill="auto"/>
          </w:tcPr>
          <w:p w14:paraId="03D24D9E" w14:textId="77777777" w:rsidR="004346F3" w:rsidRPr="00536CFD" w:rsidRDefault="004346F3" w:rsidP="00802ABC">
            <w:pPr>
              <w:spacing w:after="0"/>
              <w:contextualSpacing/>
              <w:jc w:val="center"/>
              <w:rPr>
                <w:lang w:val="en-US" w:bidi="ar"/>
              </w:rPr>
            </w:pPr>
          </w:p>
        </w:tc>
        <w:tc>
          <w:tcPr>
            <w:tcW w:w="583" w:type="dxa"/>
            <w:gridSpan w:val="2"/>
            <w:tcBorders>
              <w:top w:val="single" w:sz="4" w:space="0" w:color="auto"/>
              <w:left w:val="nil"/>
              <w:bottom w:val="single" w:sz="4" w:space="0" w:color="auto"/>
              <w:right w:val="single" w:sz="4" w:space="0" w:color="auto"/>
            </w:tcBorders>
            <w:shd w:val="clear" w:color="auto" w:fill="auto"/>
          </w:tcPr>
          <w:p w14:paraId="35F84E30" w14:textId="77777777" w:rsidR="004346F3" w:rsidRPr="00536CFD" w:rsidRDefault="004346F3" w:rsidP="00802ABC">
            <w:pPr>
              <w:spacing w:after="0"/>
              <w:contextualSpacing/>
              <w:jc w:val="center"/>
              <w:rPr>
                <w:lang w:val="en-US" w:bidi="ar"/>
              </w:rPr>
            </w:pPr>
            <w:r w:rsidRPr="00536CFD">
              <w:t>95%</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11DC4C3A" w14:textId="77777777" w:rsidR="004346F3" w:rsidRPr="00536CFD" w:rsidRDefault="004346F3" w:rsidP="00802ABC">
            <w:pPr>
              <w:spacing w:after="0"/>
              <w:jc w:val="center"/>
              <w:rPr>
                <w:lang w:eastAsia="ja-JP"/>
              </w:rPr>
            </w:pPr>
            <w:r w:rsidRPr="00536CFD">
              <w:rPr>
                <w:rFonts w:eastAsia="Malgun Gothic"/>
                <w:lang w:eastAsia="ko-KR"/>
              </w:rPr>
              <w:t>34.731</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4B64F6CE" w14:textId="77777777" w:rsidR="004346F3" w:rsidRPr="00536CFD" w:rsidRDefault="004346F3" w:rsidP="00802ABC">
            <w:pPr>
              <w:spacing w:after="0"/>
              <w:jc w:val="center"/>
              <w:rPr>
                <w:lang w:eastAsia="ja-JP"/>
              </w:rPr>
            </w:pPr>
            <w:r w:rsidRPr="00536CFD">
              <w:rPr>
                <w:rFonts w:eastAsia="Malgun Gothic"/>
                <w:lang w:eastAsia="ko-KR"/>
              </w:rPr>
              <w:t>36.983</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7B5D1D57" w14:textId="77777777" w:rsidR="004346F3" w:rsidRPr="00536CFD" w:rsidRDefault="004346F3" w:rsidP="00802ABC">
            <w:pPr>
              <w:spacing w:after="0"/>
              <w:jc w:val="center"/>
              <w:rPr>
                <w:lang w:eastAsia="ja-JP"/>
              </w:rPr>
            </w:pPr>
            <w:r w:rsidRPr="00536CFD">
              <w:rPr>
                <w:rFonts w:eastAsia="Malgun Gothic"/>
                <w:lang w:eastAsia="ko-KR"/>
              </w:rPr>
              <w:t>75.486</w:t>
            </w:r>
          </w:p>
        </w:tc>
        <w:tc>
          <w:tcPr>
            <w:tcW w:w="693" w:type="dxa"/>
            <w:gridSpan w:val="2"/>
            <w:tcBorders>
              <w:top w:val="single" w:sz="4" w:space="0" w:color="auto"/>
              <w:left w:val="nil"/>
              <w:bottom w:val="single" w:sz="4" w:space="0" w:color="auto"/>
              <w:right w:val="single" w:sz="4" w:space="0" w:color="auto"/>
            </w:tcBorders>
            <w:shd w:val="clear" w:color="auto" w:fill="auto"/>
          </w:tcPr>
          <w:p w14:paraId="3E3B9103" w14:textId="77777777" w:rsidR="004346F3" w:rsidRPr="00536CFD" w:rsidRDefault="004346F3" w:rsidP="00802ABC">
            <w:pPr>
              <w:spacing w:after="0"/>
              <w:jc w:val="center"/>
              <w:rPr>
                <w:lang w:eastAsia="ja-JP"/>
              </w:rPr>
            </w:pPr>
            <w:r w:rsidRPr="00536CFD">
              <w:rPr>
                <w:rFonts w:eastAsia="Malgun Gothic"/>
                <w:lang w:eastAsia="ko-KR"/>
              </w:rPr>
              <w:t>75.607</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0E36E40E" w14:textId="77777777" w:rsidR="004346F3" w:rsidRPr="00536CFD" w:rsidRDefault="004346F3" w:rsidP="00802ABC">
            <w:pPr>
              <w:spacing w:after="0"/>
              <w:jc w:val="center"/>
              <w:rPr>
                <w:lang w:eastAsia="ja-JP"/>
              </w:rPr>
            </w:pPr>
            <w:r w:rsidRPr="00536CFD">
              <w:rPr>
                <w:rFonts w:eastAsia="Malgun Gothic"/>
                <w:lang w:eastAsia="ko-KR"/>
              </w:rPr>
              <w:t>29.071</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6AD796E5" w14:textId="77777777" w:rsidR="004346F3" w:rsidRPr="00536CFD" w:rsidRDefault="004346F3" w:rsidP="00802ABC">
            <w:pPr>
              <w:spacing w:after="0"/>
              <w:jc w:val="center"/>
              <w:rPr>
                <w:lang w:eastAsia="ja-JP"/>
              </w:rPr>
            </w:pPr>
            <w:r w:rsidRPr="00536CFD">
              <w:rPr>
                <w:rFonts w:eastAsia="Malgun Gothic"/>
                <w:lang w:eastAsia="ko-KR"/>
              </w:rPr>
              <w:t>31.368</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6BC4B6AA" w14:textId="77777777" w:rsidR="004346F3" w:rsidRPr="00536CFD" w:rsidRDefault="004346F3" w:rsidP="00802ABC">
            <w:pPr>
              <w:spacing w:after="0"/>
              <w:jc w:val="center"/>
              <w:rPr>
                <w:lang w:eastAsia="ja-JP"/>
              </w:rPr>
            </w:pPr>
            <w:r w:rsidRPr="00536CFD">
              <w:rPr>
                <w:rFonts w:eastAsia="Malgun Gothic"/>
                <w:lang w:eastAsia="ko-KR"/>
              </w:rPr>
              <w:t>67.317</w:t>
            </w:r>
          </w:p>
        </w:tc>
        <w:tc>
          <w:tcPr>
            <w:tcW w:w="694" w:type="dxa"/>
            <w:gridSpan w:val="2"/>
            <w:tcBorders>
              <w:top w:val="single" w:sz="4" w:space="0" w:color="auto"/>
              <w:left w:val="nil"/>
              <w:bottom w:val="single" w:sz="4" w:space="0" w:color="auto"/>
              <w:right w:val="single" w:sz="4" w:space="0" w:color="auto"/>
            </w:tcBorders>
            <w:shd w:val="clear" w:color="auto" w:fill="auto"/>
          </w:tcPr>
          <w:p w14:paraId="74A0921D" w14:textId="77777777" w:rsidR="004346F3" w:rsidRPr="00536CFD" w:rsidRDefault="004346F3" w:rsidP="00802ABC">
            <w:pPr>
              <w:spacing w:after="0"/>
              <w:jc w:val="center"/>
              <w:rPr>
                <w:lang w:eastAsia="ja-JP"/>
              </w:rPr>
            </w:pPr>
            <w:r w:rsidRPr="00536CFD">
              <w:rPr>
                <w:rFonts w:eastAsia="Malgun Gothic"/>
                <w:lang w:eastAsia="ko-KR"/>
              </w:rPr>
              <w:t>69.602</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4F125433" w14:textId="77777777" w:rsidR="004346F3" w:rsidRPr="00536CFD" w:rsidRDefault="004346F3" w:rsidP="00802ABC">
            <w:pPr>
              <w:spacing w:after="0"/>
              <w:jc w:val="center"/>
              <w:rPr>
                <w:lang w:eastAsia="ja-JP"/>
              </w:rPr>
            </w:pPr>
            <w:r w:rsidRPr="00536CFD">
              <w:rPr>
                <w:rFonts w:eastAsia="Malgun Gothic"/>
                <w:lang w:eastAsia="ko-KR"/>
              </w:rPr>
              <w:t>28.158</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0D351780" w14:textId="77777777" w:rsidR="004346F3" w:rsidRPr="00536CFD" w:rsidRDefault="004346F3" w:rsidP="00802ABC">
            <w:pPr>
              <w:spacing w:after="0"/>
              <w:jc w:val="center"/>
              <w:rPr>
                <w:lang w:eastAsia="ja-JP"/>
              </w:rPr>
            </w:pPr>
            <w:r w:rsidRPr="00536CFD">
              <w:rPr>
                <w:rFonts w:eastAsia="Malgun Gothic"/>
                <w:lang w:eastAsia="ko-KR"/>
              </w:rPr>
              <w:t>27.612</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48D33D5A" w14:textId="77777777" w:rsidR="004346F3" w:rsidRPr="00536CFD" w:rsidRDefault="004346F3" w:rsidP="00802ABC">
            <w:pPr>
              <w:spacing w:after="0"/>
              <w:jc w:val="center"/>
              <w:rPr>
                <w:lang w:eastAsia="ja-JP"/>
              </w:rPr>
            </w:pPr>
            <w:r w:rsidRPr="00536CFD">
              <w:rPr>
                <w:rFonts w:eastAsia="Malgun Gothic"/>
                <w:lang w:eastAsia="ko-KR"/>
              </w:rPr>
              <w:t>52.986</w:t>
            </w:r>
          </w:p>
        </w:tc>
        <w:tc>
          <w:tcPr>
            <w:tcW w:w="694" w:type="dxa"/>
            <w:tcBorders>
              <w:top w:val="single" w:sz="4" w:space="0" w:color="auto"/>
              <w:left w:val="nil"/>
              <w:bottom w:val="single" w:sz="4" w:space="0" w:color="auto"/>
              <w:right w:val="single" w:sz="4" w:space="0" w:color="auto"/>
            </w:tcBorders>
            <w:shd w:val="clear" w:color="auto" w:fill="auto"/>
          </w:tcPr>
          <w:p w14:paraId="6AE573D8" w14:textId="77777777" w:rsidR="004346F3" w:rsidRPr="00536CFD" w:rsidRDefault="004346F3" w:rsidP="00802ABC">
            <w:pPr>
              <w:spacing w:after="0"/>
              <w:jc w:val="center"/>
              <w:rPr>
                <w:lang w:eastAsia="ja-JP"/>
              </w:rPr>
            </w:pPr>
            <w:r w:rsidRPr="00536CFD">
              <w:rPr>
                <w:rFonts w:eastAsia="Malgun Gothic"/>
                <w:lang w:eastAsia="ko-KR"/>
              </w:rPr>
              <w:t>62.053</w:t>
            </w:r>
          </w:p>
        </w:tc>
      </w:tr>
      <w:tr w:rsidR="004346F3" w:rsidRPr="00536CFD" w14:paraId="7CBE7A11"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547C4DA5" w14:textId="77777777" w:rsidR="004346F3" w:rsidRPr="00536CFD" w:rsidRDefault="004346F3" w:rsidP="00802ABC">
            <w:pPr>
              <w:spacing w:after="0"/>
              <w:ind w:left="113" w:right="113"/>
            </w:pPr>
          </w:p>
        </w:tc>
        <w:tc>
          <w:tcPr>
            <w:tcW w:w="583" w:type="dxa"/>
            <w:vMerge/>
            <w:tcBorders>
              <w:left w:val="nil"/>
              <w:bottom w:val="single" w:sz="4" w:space="0" w:color="auto"/>
              <w:right w:val="single" w:sz="4" w:space="0" w:color="auto"/>
            </w:tcBorders>
            <w:shd w:val="clear" w:color="auto" w:fill="auto"/>
          </w:tcPr>
          <w:p w14:paraId="3FBBA176" w14:textId="77777777" w:rsidR="004346F3" w:rsidRPr="00536CFD" w:rsidRDefault="004346F3" w:rsidP="00802ABC">
            <w:pPr>
              <w:spacing w:after="0"/>
              <w:contextualSpacing/>
              <w:jc w:val="center"/>
              <w:rPr>
                <w:lang w:val="en-US" w:bidi="ar"/>
              </w:rPr>
            </w:pPr>
          </w:p>
        </w:tc>
        <w:tc>
          <w:tcPr>
            <w:tcW w:w="583" w:type="dxa"/>
            <w:gridSpan w:val="2"/>
            <w:tcBorders>
              <w:top w:val="single" w:sz="4" w:space="0" w:color="auto"/>
              <w:left w:val="nil"/>
              <w:bottom w:val="single" w:sz="4" w:space="0" w:color="auto"/>
              <w:right w:val="single" w:sz="4" w:space="0" w:color="auto"/>
            </w:tcBorders>
            <w:shd w:val="clear" w:color="auto" w:fill="auto"/>
          </w:tcPr>
          <w:p w14:paraId="1C2E02A3" w14:textId="77777777" w:rsidR="004346F3" w:rsidRPr="00536CFD" w:rsidRDefault="004346F3" w:rsidP="00802ABC">
            <w:pPr>
              <w:spacing w:after="0"/>
              <w:contextualSpacing/>
              <w:jc w:val="center"/>
              <w:rPr>
                <w:lang w:val="en-US" w:bidi="ar"/>
              </w:rPr>
            </w:pPr>
            <w:r w:rsidRPr="00536CFD">
              <w:t>Mean</w:t>
            </w:r>
          </w:p>
        </w:tc>
        <w:tc>
          <w:tcPr>
            <w:tcW w:w="693" w:type="dxa"/>
            <w:gridSpan w:val="2"/>
            <w:tcBorders>
              <w:top w:val="single" w:sz="4" w:space="0" w:color="auto"/>
              <w:left w:val="nil"/>
              <w:bottom w:val="single" w:sz="4" w:space="0" w:color="auto"/>
              <w:right w:val="single" w:sz="4" w:space="0" w:color="auto"/>
            </w:tcBorders>
            <w:shd w:val="clear" w:color="auto" w:fill="auto"/>
          </w:tcPr>
          <w:p w14:paraId="2C27E7BB" w14:textId="77777777" w:rsidR="004346F3" w:rsidRPr="00536CFD" w:rsidRDefault="004346F3" w:rsidP="00802ABC">
            <w:pPr>
              <w:spacing w:after="0"/>
              <w:jc w:val="center"/>
              <w:rPr>
                <w:lang w:eastAsia="ja-JP"/>
              </w:rPr>
            </w:pPr>
            <w:r w:rsidRPr="00536CFD">
              <w:rPr>
                <w:rFonts w:eastAsia="Malgun Gothic"/>
                <w:lang w:eastAsia="ko-KR"/>
              </w:rPr>
              <w:t>14.302</w:t>
            </w:r>
          </w:p>
        </w:tc>
        <w:tc>
          <w:tcPr>
            <w:tcW w:w="694" w:type="dxa"/>
            <w:gridSpan w:val="2"/>
            <w:tcBorders>
              <w:top w:val="single" w:sz="4" w:space="0" w:color="auto"/>
              <w:left w:val="nil"/>
              <w:bottom w:val="single" w:sz="4" w:space="0" w:color="auto"/>
              <w:right w:val="single" w:sz="4" w:space="0" w:color="auto"/>
            </w:tcBorders>
            <w:shd w:val="clear" w:color="auto" w:fill="auto"/>
          </w:tcPr>
          <w:p w14:paraId="11F1B379" w14:textId="77777777" w:rsidR="004346F3" w:rsidRPr="00536CFD" w:rsidRDefault="004346F3" w:rsidP="00802ABC">
            <w:pPr>
              <w:spacing w:after="0"/>
              <w:jc w:val="center"/>
              <w:rPr>
                <w:lang w:eastAsia="ja-JP"/>
              </w:rPr>
            </w:pPr>
            <w:r w:rsidRPr="00536CFD">
              <w:rPr>
                <w:rFonts w:eastAsia="Malgun Gothic"/>
                <w:lang w:eastAsia="ko-KR"/>
              </w:rPr>
              <w:t>16.122</w:t>
            </w:r>
          </w:p>
        </w:tc>
        <w:tc>
          <w:tcPr>
            <w:tcW w:w="694" w:type="dxa"/>
            <w:gridSpan w:val="2"/>
            <w:tcBorders>
              <w:top w:val="single" w:sz="4" w:space="0" w:color="auto"/>
              <w:left w:val="nil"/>
              <w:bottom w:val="single" w:sz="4" w:space="0" w:color="auto"/>
              <w:right w:val="single" w:sz="4" w:space="0" w:color="auto"/>
            </w:tcBorders>
            <w:shd w:val="clear" w:color="auto" w:fill="auto"/>
          </w:tcPr>
          <w:p w14:paraId="007EE7D3" w14:textId="77777777" w:rsidR="004346F3" w:rsidRPr="00536CFD" w:rsidRDefault="004346F3" w:rsidP="00802ABC">
            <w:pPr>
              <w:spacing w:after="0"/>
              <w:jc w:val="center"/>
              <w:rPr>
                <w:lang w:eastAsia="ja-JP"/>
              </w:rPr>
            </w:pPr>
            <w:r w:rsidRPr="00536CFD">
              <w:rPr>
                <w:rFonts w:eastAsia="Malgun Gothic"/>
                <w:lang w:eastAsia="ko-KR"/>
              </w:rPr>
              <w:t>49.356</w:t>
            </w:r>
          </w:p>
        </w:tc>
        <w:tc>
          <w:tcPr>
            <w:tcW w:w="693" w:type="dxa"/>
            <w:gridSpan w:val="2"/>
            <w:tcBorders>
              <w:top w:val="single" w:sz="4" w:space="0" w:color="auto"/>
              <w:left w:val="nil"/>
              <w:bottom w:val="single" w:sz="4" w:space="0" w:color="auto"/>
              <w:right w:val="single" w:sz="4" w:space="0" w:color="auto"/>
            </w:tcBorders>
            <w:shd w:val="clear" w:color="auto" w:fill="auto"/>
          </w:tcPr>
          <w:p w14:paraId="1F904C57" w14:textId="77777777" w:rsidR="004346F3" w:rsidRPr="00536CFD" w:rsidRDefault="004346F3" w:rsidP="00802ABC">
            <w:pPr>
              <w:spacing w:after="0"/>
              <w:jc w:val="center"/>
              <w:rPr>
                <w:lang w:eastAsia="ja-JP"/>
              </w:rPr>
            </w:pPr>
            <w:r w:rsidRPr="00536CFD">
              <w:rPr>
                <w:rFonts w:eastAsia="Malgun Gothic"/>
                <w:lang w:eastAsia="ko-KR"/>
              </w:rPr>
              <w:t>53.813</w:t>
            </w:r>
          </w:p>
        </w:tc>
        <w:tc>
          <w:tcPr>
            <w:tcW w:w="694" w:type="dxa"/>
            <w:gridSpan w:val="2"/>
            <w:tcBorders>
              <w:top w:val="single" w:sz="4" w:space="0" w:color="auto"/>
              <w:left w:val="nil"/>
              <w:bottom w:val="single" w:sz="4" w:space="0" w:color="auto"/>
              <w:right w:val="single" w:sz="4" w:space="0" w:color="auto"/>
            </w:tcBorders>
            <w:shd w:val="clear" w:color="auto" w:fill="auto"/>
          </w:tcPr>
          <w:p w14:paraId="7DCD7268" w14:textId="77777777" w:rsidR="004346F3" w:rsidRPr="00536CFD" w:rsidRDefault="004346F3" w:rsidP="00802ABC">
            <w:pPr>
              <w:spacing w:after="0"/>
              <w:jc w:val="center"/>
              <w:rPr>
                <w:lang w:eastAsia="ja-JP"/>
              </w:rPr>
            </w:pPr>
            <w:r w:rsidRPr="00536CFD">
              <w:rPr>
                <w:rFonts w:eastAsia="Malgun Gothic"/>
                <w:lang w:eastAsia="ko-KR"/>
              </w:rPr>
              <w:t>10.426</w:t>
            </w:r>
          </w:p>
        </w:tc>
        <w:tc>
          <w:tcPr>
            <w:tcW w:w="694" w:type="dxa"/>
            <w:gridSpan w:val="2"/>
            <w:tcBorders>
              <w:top w:val="single" w:sz="4" w:space="0" w:color="auto"/>
              <w:left w:val="nil"/>
              <w:bottom w:val="single" w:sz="4" w:space="0" w:color="auto"/>
              <w:right w:val="single" w:sz="4" w:space="0" w:color="auto"/>
            </w:tcBorders>
            <w:shd w:val="clear" w:color="auto" w:fill="auto"/>
          </w:tcPr>
          <w:p w14:paraId="4DAAEC17" w14:textId="77777777" w:rsidR="004346F3" w:rsidRPr="00536CFD" w:rsidRDefault="004346F3" w:rsidP="00802ABC">
            <w:pPr>
              <w:spacing w:after="0"/>
              <w:jc w:val="center"/>
              <w:rPr>
                <w:lang w:eastAsia="ja-JP"/>
              </w:rPr>
            </w:pPr>
            <w:r w:rsidRPr="00536CFD">
              <w:rPr>
                <w:rFonts w:eastAsia="Malgun Gothic"/>
                <w:lang w:eastAsia="ko-KR"/>
              </w:rPr>
              <w:t>13.254</w:t>
            </w:r>
          </w:p>
        </w:tc>
        <w:tc>
          <w:tcPr>
            <w:tcW w:w="693" w:type="dxa"/>
            <w:gridSpan w:val="2"/>
            <w:tcBorders>
              <w:top w:val="single" w:sz="4" w:space="0" w:color="auto"/>
              <w:left w:val="nil"/>
              <w:bottom w:val="single" w:sz="4" w:space="0" w:color="auto"/>
              <w:right w:val="single" w:sz="4" w:space="0" w:color="auto"/>
            </w:tcBorders>
            <w:shd w:val="clear" w:color="auto" w:fill="auto"/>
          </w:tcPr>
          <w:p w14:paraId="31300A98" w14:textId="77777777" w:rsidR="004346F3" w:rsidRPr="00536CFD" w:rsidRDefault="004346F3" w:rsidP="00802ABC">
            <w:pPr>
              <w:spacing w:after="0"/>
              <w:jc w:val="center"/>
              <w:rPr>
                <w:lang w:eastAsia="ja-JP"/>
              </w:rPr>
            </w:pPr>
            <w:r w:rsidRPr="00536CFD">
              <w:rPr>
                <w:rFonts w:eastAsia="Malgun Gothic"/>
                <w:lang w:eastAsia="ko-KR"/>
              </w:rPr>
              <w:t>31.864</w:t>
            </w:r>
          </w:p>
        </w:tc>
        <w:tc>
          <w:tcPr>
            <w:tcW w:w="694" w:type="dxa"/>
            <w:gridSpan w:val="2"/>
            <w:tcBorders>
              <w:top w:val="single" w:sz="4" w:space="0" w:color="auto"/>
              <w:left w:val="nil"/>
              <w:bottom w:val="single" w:sz="4" w:space="0" w:color="auto"/>
              <w:right w:val="single" w:sz="4" w:space="0" w:color="auto"/>
            </w:tcBorders>
            <w:shd w:val="clear" w:color="auto" w:fill="auto"/>
          </w:tcPr>
          <w:p w14:paraId="1B1333B3" w14:textId="77777777" w:rsidR="004346F3" w:rsidRPr="00536CFD" w:rsidRDefault="004346F3" w:rsidP="00802ABC">
            <w:pPr>
              <w:spacing w:after="0"/>
              <w:jc w:val="center"/>
              <w:rPr>
                <w:lang w:eastAsia="ja-JP"/>
              </w:rPr>
            </w:pPr>
            <w:r w:rsidRPr="00536CFD">
              <w:rPr>
                <w:rFonts w:eastAsia="Malgun Gothic"/>
                <w:lang w:eastAsia="ko-KR"/>
              </w:rPr>
              <w:t>33.551</w:t>
            </w:r>
          </w:p>
        </w:tc>
        <w:tc>
          <w:tcPr>
            <w:tcW w:w="694" w:type="dxa"/>
            <w:gridSpan w:val="2"/>
            <w:tcBorders>
              <w:top w:val="single" w:sz="4" w:space="0" w:color="auto"/>
              <w:left w:val="nil"/>
              <w:bottom w:val="single" w:sz="4" w:space="0" w:color="auto"/>
              <w:right w:val="single" w:sz="4" w:space="0" w:color="auto"/>
            </w:tcBorders>
            <w:shd w:val="clear" w:color="auto" w:fill="auto"/>
          </w:tcPr>
          <w:p w14:paraId="4AB322A2" w14:textId="77777777" w:rsidR="004346F3" w:rsidRPr="00536CFD" w:rsidRDefault="004346F3" w:rsidP="00802ABC">
            <w:pPr>
              <w:spacing w:after="0"/>
              <w:jc w:val="center"/>
              <w:rPr>
                <w:lang w:eastAsia="ja-JP"/>
              </w:rPr>
            </w:pPr>
            <w:r w:rsidRPr="00536CFD">
              <w:rPr>
                <w:rFonts w:eastAsia="Malgun Gothic"/>
                <w:lang w:eastAsia="ko-KR"/>
              </w:rPr>
              <w:t>8.857</w:t>
            </w:r>
          </w:p>
        </w:tc>
        <w:tc>
          <w:tcPr>
            <w:tcW w:w="693" w:type="dxa"/>
            <w:gridSpan w:val="2"/>
            <w:tcBorders>
              <w:top w:val="single" w:sz="4" w:space="0" w:color="auto"/>
              <w:left w:val="nil"/>
              <w:bottom w:val="single" w:sz="4" w:space="0" w:color="auto"/>
              <w:right w:val="single" w:sz="4" w:space="0" w:color="auto"/>
            </w:tcBorders>
            <w:shd w:val="clear" w:color="auto" w:fill="auto"/>
          </w:tcPr>
          <w:p w14:paraId="55447B10" w14:textId="77777777" w:rsidR="004346F3" w:rsidRPr="00536CFD" w:rsidRDefault="004346F3" w:rsidP="00802ABC">
            <w:pPr>
              <w:spacing w:after="0"/>
              <w:jc w:val="center"/>
              <w:rPr>
                <w:lang w:eastAsia="ja-JP"/>
              </w:rPr>
            </w:pPr>
            <w:r w:rsidRPr="00536CFD">
              <w:rPr>
                <w:rFonts w:eastAsia="Malgun Gothic"/>
                <w:lang w:eastAsia="ko-KR"/>
              </w:rPr>
              <w:t>9.250</w:t>
            </w:r>
          </w:p>
        </w:tc>
        <w:tc>
          <w:tcPr>
            <w:tcW w:w="694" w:type="dxa"/>
            <w:gridSpan w:val="2"/>
            <w:tcBorders>
              <w:top w:val="single" w:sz="4" w:space="0" w:color="auto"/>
              <w:left w:val="nil"/>
              <w:bottom w:val="single" w:sz="4" w:space="0" w:color="auto"/>
              <w:right w:val="single" w:sz="4" w:space="0" w:color="auto"/>
            </w:tcBorders>
            <w:shd w:val="clear" w:color="auto" w:fill="auto"/>
          </w:tcPr>
          <w:p w14:paraId="3F320954" w14:textId="77777777" w:rsidR="004346F3" w:rsidRPr="00536CFD" w:rsidRDefault="004346F3" w:rsidP="00802ABC">
            <w:pPr>
              <w:spacing w:after="0"/>
              <w:jc w:val="center"/>
              <w:rPr>
                <w:lang w:eastAsia="ja-JP"/>
              </w:rPr>
            </w:pPr>
            <w:r w:rsidRPr="00536CFD">
              <w:rPr>
                <w:rFonts w:eastAsia="Malgun Gothic"/>
                <w:lang w:eastAsia="ko-KR"/>
              </w:rPr>
              <w:t>20.917</w:t>
            </w:r>
          </w:p>
        </w:tc>
        <w:tc>
          <w:tcPr>
            <w:tcW w:w="694" w:type="dxa"/>
            <w:tcBorders>
              <w:top w:val="single" w:sz="4" w:space="0" w:color="auto"/>
              <w:left w:val="nil"/>
              <w:bottom w:val="single" w:sz="4" w:space="0" w:color="auto"/>
              <w:right w:val="single" w:sz="4" w:space="0" w:color="auto"/>
            </w:tcBorders>
            <w:shd w:val="clear" w:color="auto" w:fill="auto"/>
          </w:tcPr>
          <w:p w14:paraId="7D9CA04C" w14:textId="77777777" w:rsidR="004346F3" w:rsidRPr="00536CFD" w:rsidRDefault="004346F3" w:rsidP="00802ABC">
            <w:pPr>
              <w:spacing w:after="0"/>
              <w:jc w:val="center"/>
              <w:rPr>
                <w:lang w:eastAsia="ja-JP"/>
              </w:rPr>
            </w:pPr>
            <w:r w:rsidRPr="00536CFD">
              <w:rPr>
                <w:rFonts w:eastAsia="Malgun Gothic"/>
                <w:lang w:eastAsia="ko-KR"/>
              </w:rPr>
              <w:t>23.771</w:t>
            </w:r>
          </w:p>
        </w:tc>
      </w:tr>
      <w:tr w:rsidR="004346F3" w:rsidRPr="00536CFD" w14:paraId="6F86E598"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325DE51F" w14:textId="77777777" w:rsidR="004346F3" w:rsidRPr="00536CFD" w:rsidRDefault="004346F3" w:rsidP="00802ABC">
            <w:pPr>
              <w:spacing w:after="0"/>
              <w:ind w:left="113" w:right="113"/>
            </w:pPr>
          </w:p>
        </w:tc>
        <w:tc>
          <w:tcPr>
            <w:tcW w:w="583" w:type="dxa"/>
            <w:vMerge w:val="restart"/>
            <w:tcBorders>
              <w:top w:val="single" w:sz="4" w:space="0" w:color="auto"/>
              <w:left w:val="nil"/>
              <w:right w:val="single" w:sz="4" w:space="0" w:color="auto"/>
            </w:tcBorders>
            <w:shd w:val="clear" w:color="auto" w:fill="auto"/>
          </w:tcPr>
          <w:p w14:paraId="572BB558" w14:textId="77777777" w:rsidR="004346F3" w:rsidRPr="00536CFD" w:rsidRDefault="004346F3" w:rsidP="00802ABC">
            <w:pPr>
              <w:pStyle w:val="ListParagraph"/>
              <w:spacing w:after="0"/>
              <w:ind w:firstLineChars="0" w:firstLine="0"/>
              <w:jc w:val="center"/>
            </w:pPr>
            <w:r w:rsidRPr="00536CFD">
              <w:rPr>
                <w:b/>
              </w:rPr>
              <w:t>DL:</w:t>
            </w:r>
          </w:p>
          <w:p w14:paraId="42D8DE11" w14:textId="77777777" w:rsidR="004346F3" w:rsidRPr="00536CFD" w:rsidRDefault="004346F3" w:rsidP="00802ABC">
            <w:pPr>
              <w:pStyle w:val="ListParagraph"/>
              <w:spacing w:after="0"/>
              <w:ind w:firstLineChars="0" w:firstLine="0"/>
              <w:jc w:val="center"/>
            </w:pPr>
            <w:r w:rsidRPr="00536CFD">
              <w:t>Delay CDF</w:t>
            </w:r>
          </w:p>
          <w:p w14:paraId="14CBF7A3" w14:textId="77777777" w:rsidR="004346F3" w:rsidRPr="00536CFD" w:rsidRDefault="004346F3" w:rsidP="00802ABC">
            <w:pPr>
              <w:spacing w:after="0"/>
              <w:contextualSpacing/>
              <w:jc w:val="center"/>
              <w:rPr>
                <w:lang w:val="en-US" w:bidi="ar"/>
              </w:rPr>
            </w:pPr>
            <w:r w:rsidRPr="00536CFD">
              <w:t>[s]</w:t>
            </w:r>
          </w:p>
        </w:tc>
        <w:tc>
          <w:tcPr>
            <w:tcW w:w="583" w:type="dxa"/>
            <w:gridSpan w:val="2"/>
            <w:tcBorders>
              <w:top w:val="single" w:sz="4" w:space="0" w:color="auto"/>
              <w:left w:val="nil"/>
              <w:bottom w:val="single" w:sz="4" w:space="0" w:color="auto"/>
              <w:right w:val="single" w:sz="4" w:space="0" w:color="auto"/>
            </w:tcBorders>
            <w:shd w:val="clear" w:color="auto" w:fill="auto"/>
          </w:tcPr>
          <w:p w14:paraId="6FE7EA4D" w14:textId="77777777" w:rsidR="004346F3" w:rsidRPr="00536CFD" w:rsidRDefault="004346F3" w:rsidP="00802ABC">
            <w:pPr>
              <w:spacing w:after="0"/>
              <w:contextualSpacing/>
              <w:jc w:val="center"/>
              <w:rPr>
                <w:lang w:val="en-US" w:bidi="ar"/>
              </w:rPr>
            </w:pPr>
            <w:r w:rsidRPr="00536CFD">
              <w:t>5%</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2F146DC1" w14:textId="77777777" w:rsidR="004346F3" w:rsidRPr="00536CFD" w:rsidRDefault="004346F3" w:rsidP="00802ABC">
            <w:pPr>
              <w:spacing w:after="0"/>
              <w:jc w:val="center"/>
              <w:rPr>
                <w:lang w:eastAsia="ja-JP"/>
              </w:rPr>
            </w:pPr>
            <w:r w:rsidRPr="00536CFD">
              <w:rPr>
                <w:rFonts w:eastAsia="Malgun Gothic"/>
                <w:lang w:eastAsia="ko-KR"/>
              </w:rPr>
              <w:t>0.066</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3DC3609A" w14:textId="77777777" w:rsidR="004346F3" w:rsidRPr="00536CFD" w:rsidRDefault="004346F3" w:rsidP="00802ABC">
            <w:pPr>
              <w:spacing w:after="0"/>
              <w:jc w:val="center"/>
              <w:rPr>
                <w:lang w:eastAsia="ja-JP"/>
              </w:rPr>
            </w:pPr>
            <w:r w:rsidRPr="00536CFD">
              <w:rPr>
                <w:rFonts w:eastAsia="Malgun Gothic"/>
                <w:lang w:eastAsia="ko-KR"/>
              </w:rPr>
              <w:t>0.057</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0B5DC579" w14:textId="77777777" w:rsidR="004346F3" w:rsidRPr="00536CFD" w:rsidRDefault="004346F3" w:rsidP="00802ABC">
            <w:pPr>
              <w:spacing w:after="0"/>
              <w:jc w:val="center"/>
              <w:rPr>
                <w:lang w:eastAsia="ja-JP"/>
              </w:rPr>
            </w:pPr>
            <w:r w:rsidRPr="00536CFD">
              <w:rPr>
                <w:rFonts w:eastAsia="Malgun Gothic"/>
                <w:lang w:eastAsia="ko-KR"/>
              </w:rPr>
              <w:t>0.053</w:t>
            </w:r>
          </w:p>
        </w:tc>
        <w:tc>
          <w:tcPr>
            <w:tcW w:w="693" w:type="dxa"/>
            <w:gridSpan w:val="2"/>
            <w:tcBorders>
              <w:top w:val="single" w:sz="4" w:space="0" w:color="auto"/>
              <w:left w:val="nil"/>
              <w:bottom w:val="single" w:sz="4" w:space="0" w:color="auto"/>
              <w:right w:val="single" w:sz="4" w:space="0" w:color="auto"/>
            </w:tcBorders>
            <w:shd w:val="clear" w:color="auto" w:fill="auto"/>
          </w:tcPr>
          <w:p w14:paraId="276D580C" w14:textId="77777777" w:rsidR="004346F3" w:rsidRPr="00536CFD" w:rsidRDefault="004346F3" w:rsidP="00802ABC">
            <w:pPr>
              <w:spacing w:after="0"/>
              <w:jc w:val="center"/>
              <w:rPr>
                <w:lang w:eastAsia="ja-JP"/>
              </w:rPr>
            </w:pPr>
            <w:r w:rsidRPr="00536CFD">
              <w:rPr>
                <w:rFonts w:eastAsia="Malgun Gothic"/>
                <w:lang w:eastAsia="ko-KR"/>
              </w:rPr>
              <w:t>0.052</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28D79AD4" w14:textId="77777777" w:rsidR="004346F3" w:rsidRPr="00536CFD" w:rsidRDefault="004346F3" w:rsidP="00802ABC">
            <w:pPr>
              <w:spacing w:after="0"/>
              <w:jc w:val="center"/>
              <w:rPr>
                <w:lang w:eastAsia="ja-JP"/>
              </w:rPr>
            </w:pPr>
            <w:r w:rsidRPr="00536CFD">
              <w:rPr>
                <w:rFonts w:eastAsia="Malgun Gothic"/>
                <w:lang w:eastAsia="ko-KR"/>
              </w:rPr>
              <w:t>0.080</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725B8204" w14:textId="77777777" w:rsidR="004346F3" w:rsidRPr="00536CFD" w:rsidRDefault="004346F3" w:rsidP="00802ABC">
            <w:pPr>
              <w:spacing w:after="0"/>
              <w:jc w:val="center"/>
              <w:rPr>
                <w:lang w:eastAsia="ja-JP"/>
              </w:rPr>
            </w:pPr>
            <w:r w:rsidRPr="00536CFD">
              <w:rPr>
                <w:rFonts w:eastAsia="Malgun Gothic"/>
                <w:lang w:eastAsia="ko-KR"/>
              </w:rPr>
              <w:t>0.066</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3B97CCD6" w14:textId="77777777" w:rsidR="004346F3" w:rsidRPr="00536CFD" w:rsidRDefault="004346F3" w:rsidP="00802ABC">
            <w:pPr>
              <w:spacing w:after="0"/>
              <w:jc w:val="center"/>
              <w:rPr>
                <w:lang w:eastAsia="ja-JP"/>
              </w:rPr>
            </w:pPr>
            <w:r w:rsidRPr="00536CFD">
              <w:rPr>
                <w:rFonts w:eastAsia="Malgun Gothic"/>
                <w:lang w:eastAsia="ko-KR"/>
              </w:rPr>
              <w:t>0.055</w:t>
            </w:r>
          </w:p>
        </w:tc>
        <w:tc>
          <w:tcPr>
            <w:tcW w:w="694" w:type="dxa"/>
            <w:gridSpan w:val="2"/>
            <w:tcBorders>
              <w:top w:val="single" w:sz="4" w:space="0" w:color="auto"/>
              <w:left w:val="nil"/>
              <w:bottom w:val="single" w:sz="4" w:space="0" w:color="auto"/>
              <w:right w:val="single" w:sz="4" w:space="0" w:color="auto"/>
            </w:tcBorders>
            <w:shd w:val="clear" w:color="auto" w:fill="auto"/>
          </w:tcPr>
          <w:p w14:paraId="499A1179" w14:textId="77777777" w:rsidR="004346F3" w:rsidRPr="00536CFD" w:rsidRDefault="004346F3" w:rsidP="00802ABC">
            <w:pPr>
              <w:spacing w:after="0"/>
              <w:jc w:val="center"/>
              <w:rPr>
                <w:lang w:eastAsia="ja-JP"/>
              </w:rPr>
            </w:pPr>
            <w:r w:rsidRPr="00536CFD">
              <w:rPr>
                <w:rFonts w:eastAsia="Malgun Gothic"/>
                <w:lang w:eastAsia="ko-KR"/>
              </w:rPr>
              <w:t>0.054</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369D1FBB" w14:textId="77777777" w:rsidR="004346F3" w:rsidRPr="00536CFD" w:rsidRDefault="004346F3" w:rsidP="00802ABC">
            <w:pPr>
              <w:spacing w:after="0"/>
              <w:jc w:val="center"/>
              <w:rPr>
                <w:lang w:eastAsia="ja-JP"/>
              </w:rPr>
            </w:pPr>
            <w:r w:rsidRPr="00536CFD">
              <w:rPr>
                <w:rFonts w:eastAsia="Malgun Gothic"/>
                <w:lang w:eastAsia="ko-KR"/>
              </w:rPr>
              <w:t>0.088</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44D71B6E" w14:textId="77777777" w:rsidR="004346F3" w:rsidRPr="00536CFD" w:rsidRDefault="004346F3" w:rsidP="00802ABC">
            <w:pPr>
              <w:spacing w:after="0"/>
              <w:jc w:val="center"/>
              <w:rPr>
                <w:lang w:eastAsia="ja-JP"/>
              </w:rPr>
            </w:pPr>
            <w:r w:rsidRPr="00536CFD">
              <w:rPr>
                <w:rFonts w:eastAsia="Malgun Gothic"/>
                <w:lang w:eastAsia="ko-KR"/>
              </w:rPr>
              <w:t>0.082</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0B442447" w14:textId="77777777" w:rsidR="004346F3" w:rsidRPr="00536CFD" w:rsidRDefault="004346F3" w:rsidP="00802ABC">
            <w:pPr>
              <w:spacing w:after="0"/>
              <w:jc w:val="center"/>
              <w:rPr>
                <w:lang w:eastAsia="ja-JP"/>
              </w:rPr>
            </w:pPr>
            <w:r w:rsidRPr="00536CFD">
              <w:rPr>
                <w:rFonts w:eastAsia="Malgun Gothic"/>
                <w:lang w:eastAsia="ko-KR"/>
              </w:rPr>
              <w:t>0.063</w:t>
            </w:r>
          </w:p>
        </w:tc>
        <w:tc>
          <w:tcPr>
            <w:tcW w:w="694" w:type="dxa"/>
            <w:tcBorders>
              <w:top w:val="single" w:sz="4" w:space="0" w:color="auto"/>
              <w:left w:val="nil"/>
              <w:bottom w:val="single" w:sz="4" w:space="0" w:color="auto"/>
              <w:right w:val="single" w:sz="4" w:space="0" w:color="auto"/>
            </w:tcBorders>
            <w:shd w:val="clear" w:color="auto" w:fill="auto"/>
          </w:tcPr>
          <w:p w14:paraId="50307F0D" w14:textId="77777777" w:rsidR="004346F3" w:rsidRPr="00536CFD" w:rsidRDefault="004346F3" w:rsidP="00802ABC">
            <w:pPr>
              <w:spacing w:after="0"/>
              <w:jc w:val="center"/>
              <w:rPr>
                <w:lang w:eastAsia="ja-JP"/>
              </w:rPr>
            </w:pPr>
            <w:r w:rsidRPr="00536CFD">
              <w:rPr>
                <w:rFonts w:eastAsia="Malgun Gothic"/>
                <w:lang w:eastAsia="ko-KR"/>
              </w:rPr>
              <w:t>0.058</w:t>
            </w:r>
          </w:p>
        </w:tc>
      </w:tr>
      <w:tr w:rsidR="004346F3" w:rsidRPr="00536CFD" w14:paraId="0CD99D21"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2522EA30" w14:textId="77777777" w:rsidR="004346F3" w:rsidRPr="00536CFD" w:rsidRDefault="004346F3" w:rsidP="00802ABC">
            <w:pPr>
              <w:spacing w:after="0"/>
              <w:ind w:left="113" w:right="113"/>
            </w:pPr>
          </w:p>
        </w:tc>
        <w:tc>
          <w:tcPr>
            <w:tcW w:w="583" w:type="dxa"/>
            <w:vMerge/>
            <w:tcBorders>
              <w:left w:val="nil"/>
              <w:right w:val="single" w:sz="4" w:space="0" w:color="auto"/>
            </w:tcBorders>
            <w:shd w:val="clear" w:color="auto" w:fill="auto"/>
          </w:tcPr>
          <w:p w14:paraId="477EF18E" w14:textId="77777777" w:rsidR="004346F3" w:rsidRPr="00536CFD" w:rsidRDefault="004346F3" w:rsidP="00802ABC">
            <w:pPr>
              <w:spacing w:after="0"/>
              <w:contextualSpacing/>
              <w:jc w:val="center"/>
              <w:rPr>
                <w:lang w:val="en-US" w:bidi="ar"/>
              </w:rPr>
            </w:pPr>
          </w:p>
        </w:tc>
        <w:tc>
          <w:tcPr>
            <w:tcW w:w="583" w:type="dxa"/>
            <w:gridSpan w:val="2"/>
            <w:tcBorders>
              <w:top w:val="single" w:sz="4" w:space="0" w:color="auto"/>
              <w:left w:val="nil"/>
              <w:bottom w:val="single" w:sz="4" w:space="0" w:color="auto"/>
              <w:right w:val="single" w:sz="4" w:space="0" w:color="auto"/>
            </w:tcBorders>
            <w:shd w:val="clear" w:color="auto" w:fill="auto"/>
          </w:tcPr>
          <w:p w14:paraId="6C059E50" w14:textId="77777777" w:rsidR="004346F3" w:rsidRPr="00536CFD" w:rsidRDefault="004346F3" w:rsidP="00802ABC">
            <w:pPr>
              <w:spacing w:after="0"/>
              <w:contextualSpacing/>
              <w:jc w:val="center"/>
              <w:rPr>
                <w:lang w:val="en-US" w:bidi="ar"/>
              </w:rPr>
            </w:pPr>
            <w:r w:rsidRPr="00536CFD">
              <w:t>50%</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2E975913" w14:textId="77777777" w:rsidR="004346F3" w:rsidRPr="00536CFD" w:rsidRDefault="004346F3" w:rsidP="00802ABC">
            <w:pPr>
              <w:spacing w:after="0"/>
              <w:jc w:val="center"/>
              <w:rPr>
                <w:lang w:eastAsia="ja-JP"/>
              </w:rPr>
            </w:pPr>
            <w:r w:rsidRPr="00536CFD">
              <w:rPr>
                <w:rFonts w:eastAsia="Malgun Gothic"/>
                <w:lang w:eastAsia="ko-KR"/>
              </w:rPr>
              <w:t>0.187</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7F410B09" w14:textId="77777777" w:rsidR="004346F3" w:rsidRPr="00536CFD" w:rsidRDefault="004346F3" w:rsidP="00802ABC">
            <w:pPr>
              <w:spacing w:after="0"/>
              <w:jc w:val="center"/>
              <w:rPr>
                <w:lang w:eastAsia="ja-JP"/>
              </w:rPr>
            </w:pPr>
            <w:r w:rsidRPr="00536CFD">
              <w:rPr>
                <w:rFonts w:eastAsia="Malgun Gothic"/>
                <w:lang w:eastAsia="ko-KR"/>
              </w:rPr>
              <w:t>0.167</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7D515000" w14:textId="77777777" w:rsidR="004346F3" w:rsidRPr="00536CFD" w:rsidRDefault="004346F3" w:rsidP="00802ABC">
            <w:pPr>
              <w:spacing w:after="0"/>
              <w:jc w:val="center"/>
              <w:rPr>
                <w:lang w:eastAsia="ja-JP"/>
              </w:rPr>
            </w:pPr>
            <w:r w:rsidRPr="00536CFD">
              <w:rPr>
                <w:rFonts w:eastAsia="Malgun Gothic"/>
                <w:lang w:eastAsia="ko-KR"/>
              </w:rPr>
              <w:t>0.076</w:t>
            </w:r>
          </w:p>
        </w:tc>
        <w:tc>
          <w:tcPr>
            <w:tcW w:w="693" w:type="dxa"/>
            <w:gridSpan w:val="2"/>
            <w:tcBorders>
              <w:top w:val="single" w:sz="4" w:space="0" w:color="auto"/>
              <w:left w:val="nil"/>
              <w:bottom w:val="single" w:sz="4" w:space="0" w:color="auto"/>
              <w:right w:val="single" w:sz="4" w:space="0" w:color="auto"/>
            </w:tcBorders>
            <w:shd w:val="clear" w:color="auto" w:fill="auto"/>
          </w:tcPr>
          <w:p w14:paraId="33771A65" w14:textId="77777777" w:rsidR="004346F3" w:rsidRPr="00536CFD" w:rsidRDefault="004346F3" w:rsidP="00802ABC">
            <w:pPr>
              <w:spacing w:after="0"/>
              <w:jc w:val="center"/>
              <w:rPr>
                <w:lang w:eastAsia="ja-JP"/>
              </w:rPr>
            </w:pPr>
            <w:r w:rsidRPr="00536CFD">
              <w:rPr>
                <w:rFonts w:eastAsia="Malgun Gothic"/>
                <w:lang w:eastAsia="ko-KR"/>
              </w:rPr>
              <w:t>0.066</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7B3C5B0C" w14:textId="77777777" w:rsidR="004346F3" w:rsidRPr="00536CFD" w:rsidRDefault="004346F3" w:rsidP="00802ABC">
            <w:pPr>
              <w:spacing w:after="0"/>
              <w:jc w:val="center"/>
              <w:rPr>
                <w:lang w:eastAsia="ja-JP"/>
              </w:rPr>
            </w:pPr>
            <w:r w:rsidRPr="00536CFD">
              <w:rPr>
                <w:rFonts w:eastAsia="Malgun Gothic"/>
                <w:lang w:eastAsia="ko-KR"/>
              </w:rPr>
              <w:t>0.334</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557DCAB4" w14:textId="77777777" w:rsidR="004346F3" w:rsidRPr="00536CFD" w:rsidRDefault="004346F3" w:rsidP="00802ABC">
            <w:pPr>
              <w:spacing w:after="0"/>
              <w:jc w:val="center"/>
              <w:rPr>
                <w:lang w:eastAsia="ja-JP"/>
              </w:rPr>
            </w:pPr>
            <w:r w:rsidRPr="00536CFD">
              <w:rPr>
                <w:rFonts w:eastAsia="Malgun Gothic"/>
                <w:lang w:eastAsia="ko-KR"/>
              </w:rPr>
              <w:t>0.279</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55D6323B" w14:textId="77777777" w:rsidR="004346F3" w:rsidRPr="00536CFD" w:rsidRDefault="004346F3" w:rsidP="00802ABC">
            <w:pPr>
              <w:spacing w:after="0"/>
              <w:jc w:val="center"/>
              <w:rPr>
                <w:lang w:eastAsia="ja-JP"/>
              </w:rPr>
            </w:pPr>
            <w:r w:rsidRPr="00536CFD">
              <w:rPr>
                <w:rFonts w:eastAsia="Malgun Gothic"/>
                <w:lang w:eastAsia="ko-KR"/>
              </w:rPr>
              <w:t>0.136</w:t>
            </w:r>
          </w:p>
        </w:tc>
        <w:tc>
          <w:tcPr>
            <w:tcW w:w="694" w:type="dxa"/>
            <w:gridSpan w:val="2"/>
            <w:tcBorders>
              <w:top w:val="single" w:sz="4" w:space="0" w:color="auto"/>
              <w:left w:val="nil"/>
              <w:bottom w:val="single" w:sz="4" w:space="0" w:color="auto"/>
              <w:right w:val="single" w:sz="4" w:space="0" w:color="auto"/>
            </w:tcBorders>
            <w:shd w:val="clear" w:color="auto" w:fill="auto"/>
          </w:tcPr>
          <w:p w14:paraId="1551EF48" w14:textId="77777777" w:rsidR="004346F3" w:rsidRPr="00536CFD" w:rsidRDefault="004346F3" w:rsidP="00802ABC">
            <w:pPr>
              <w:spacing w:after="0"/>
              <w:jc w:val="center"/>
              <w:rPr>
                <w:lang w:eastAsia="ja-JP"/>
              </w:rPr>
            </w:pPr>
            <w:r w:rsidRPr="00536CFD">
              <w:rPr>
                <w:rFonts w:eastAsia="Malgun Gothic"/>
                <w:lang w:eastAsia="ko-KR"/>
              </w:rPr>
              <w:t>0.127</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03555B93" w14:textId="77777777" w:rsidR="004346F3" w:rsidRPr="00536CFD" w:rsidRDefault="004346F3" w:rsidP="00802ABC">
            <w:pPr>
              <w:spacing w:after="0"/>
              <w:jc w:val="center"/>
              <w:rPr>
                <w:lang w:eastAsia="ja-JP"/>
              </w:rPr>
            </w:pPr>
            <w:r w:rsidRPr="00536CFD">
              <w:rPr>
                <w:rFonts w:eastAsia="Malgun Gothic"/>
                <w:lang w:eastAsia="ko-KR"/>
              </w:rPr>
              <w:t>0.454</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7CA6D5A3" w14:textId="77777777" w:rsidR="004346F3" w:rsidRPr="00536CFD" w:rsidRDefault="004346F3" w:rsidP="00802ABC">
            <w:pPr>
              <w:spacing w:after="0"/>
              <w:jc w:val="center"/>
              <w:rPr>
                <w:lang w:eastAsia="ja-JP"/>
              </w:rPr>
            </w:pPr>
            <w:r w:rsidRPr="00536CFD">
              <w:rPr>
                <w:rFonts w:eastAsia="Malgun Gothic"/>
                <w:lang w:eastAsia="ko-KR"/>
              </w:rPr>
              <w:t>0.410</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275EDA1C" w14:textId="77777777" w:rsidR="004346F3" w:rsidRPr="00536CFD" w:rsidRDefault="004346F3" w:rsidP="00802ABC">
            <w:pPr>
              <w:spacing w:after="0"/>
              <w:jc w:val="center"/>
              <w:rPr>
                <w:lang w:eastAsia="ja-JP"/>
              </w:rPr>
            </w:pPr>
            <w:r w:rsidRPr="00536CFD">
              <w:rPr>
                <w:rFonts w:eastAsia="Malgun Gothic"/>
                <w:lang w:eastAsia="ko-KR"/>
              </w:rPr>
              <w:t>0.204</w:t>
            </w:r>
          </w:p>
        </w:tc>
        <w:tc>
          <w:tcPr>
            <w:tcW w:w="694" w:type="dxa"/>
            <w:tcBorders>
              <w:top w:val="single" w:sz="4" w:space="0" w:color="auto"/>
              <w:left w:val="nil"/>
              <w:bottom w:val="single" w:sz="4" w:space="0" w:color="auto"/>
              <w:right w:val="single" w:sz="4" w:space="0" w:color="auto"/>
            </w:tcBorders>
            <w:shd w:val="clear" w:color="auto" w:fill="auto"/>
          </w:tcPr>
          <w:p w14:paraId="7CE2335E" w14:textId="77777777" w:rsidR="004346F3" w:rsidRPr="00536CFD" w:rsidRDefault="004346F3" w:rsidP="00802ABC">
            <w:pPr>
              <w:spacing w:after="0"/>
              <w:jc w:val="center"/>
              <w:rPr>
                <w:lang w:eastAsia="ja-JP"/>
              </w:rPr>
            </w:pPr>
            <w:r w:rsidRPr="00536CFD">
              <w:rPr>
                <w:rFonts w:eastAsia="Malgun Gothic"/>
                <w:lang w:eastAsia="ko-KR"/>
              </w:rPr>
              <w:t>0.193</w:t>
            </w:r>
          </w:p>
        </w:tc>
      </w:tr>
      <w:tr w:rsidR="004346F3" w:rsidRPr="00536CFD" w14:paraId="17C12CFC"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136DB7C2" w14:textId="77777777" w:rsidR="004346F3" w:rsidRPr="00536CFD" w:rsidRDefault="004346F3" w:rsidP="00802ABC">
            <w:pPr>
              <w:spacing w:after="0"/>
              <w:ind w:left="113" w:right="113"/>
            </w:pPr>
          </w:p>
        </w:tc>
        <w:tc>
          <w:tcPr>
            <w:tcW w:w="583" w:type="dxa"/>
            <w:vMerge/>
            <w:tcBorders>
              <w:left w:val="nil"/>
              <w:right w:val="single" w:sz="4" w:space="0" w:color="auto"/>
            </w:tcBorders>
            <w:shd w:val="clear" w:color="auto" w:fill="auto"/>
          </w:tcPr>
          <w:p w14:paraId="732F4CDD" w14:textId="77777777" w:rsidR="004346F3" w:rsidRPr="00536CFD" w:rsidRDefault="004346F3" w:rsidP="00802ABC">
            <w:pPr>
              <w:spacing w:after="0"/>
              <w:contextualSpacing/>
              <w:jc w:val="center"/>
              <w:rPr>
                <w:lang w:val="en-US" w:bidi="ar"/>
              </w:rPr>
            </w:pPr>
          </w:p>
        </w:tc>
        <w:tc>
          <w:tcPr>
            <w:tcW w:w="583" w:type="dxa"/>
            <w:gridSpan w:val="2"/>
            <w:tcBorders>
              <w:top w:val="single" w:sz="4" w:space="0" w:color="auto"/>
              <w:left w:val="nil"/>
              <w:bottom w:val="single" w:sz="4" w:space="0" w:color="auto"/>
              <w:right w:val="single" w:sz="4" w:space="0" w:color="auto"/>
            </w:tcBorders>
            <w:shd w:val="clear" w:color="auto" w:fill="auto"/>
          </w:tcPr>
          <w:p w14:paraId="78A4ADBF" w14:textId="77777777" w:rsidR="004346F3" w:rsidRPr="00536CFD" w:rsidRDefault="004346F3" w:rsidP="00802ABC">
            <w:pPr>
              <w:spacing w:after="0"/>
              <w:contextualSpacing/>
              <w:jc w:val="center"/>
              <w:rPr>
                <w:lang w:val="en-US" w:bidi="ar"/>
              </w:rPr>
            </w:pPr>
            <w:r w:rsidRPr="00536CFD">
              <w:t>95%</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60AA7524" w14:textId="77777777" w:rsidR="004346F3" w:rsidRPr="00536CFD" w:rsidRDefault="004346F3" w:rsidP="00802ABC">
            <w:pPr>
              <w:spacing w:after="0"/>
              <w:jc w:val="center"/>
              <w:rPr>
                <w:lang w:eastAsia="ja-JP"/>
              </w:rPr>
            </w:pPr>
            <w:r w:rsidRPr="00536CFD">
              <w:rPr>
                <w:rFonts w:eastAsia="Malgun Gothic"/>
                <w:lang w:eastAsia="ko-KR"/>
              </w:rPr>
              <w:t>0.641</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065CD08E" w14:textId="77777777" w:rsidR="004346F3" w:rsidRPr="00536CFD" w:rsidRDefault="004346F3" w:rsidP="00802ABC">
            <w:pPr>
              <w:spacing w:after="0"/>
              <w:jc w:val="center"/>
              <w:rPr>
                <w:lang w:eastAsia="ja-JP"/>
              </w:rPr>
            </w:pPr>
            <w:r w:rsidRPr="00536CFD">
              <w:rPr>
                <w:rFonts w:eastAsia="Malgun Gothic"/>
                <w:lang w:eastAsia="ko-KR"/>
              </w:rPr>
              <w:t>0.506</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31B98F55" w14:textId="77777777" w:rsidR="004346F3" w:rsidRPr="00536CFD" w:rsidRDefault="004346F3" w:rsidP="00802ABC">
            <w:pPr>
              <w:spacing w:after="0"/>
              <w:jc w:val="center"/>
              <w:rPr>
                <w:lang w:eastAsia="ja-JP"/>
              </w:rPr>
            </w:pPr>
            <w:r w:rsidRPr="00536CFD">
              <w:rPr>
                <w:rFonts w:eastAsia="Malgun Gothic"/>
                <w:lang w:eastAsia="ko-KR"/>
              </w:rPr>
              <w:t>0.377</w:t>
            </w:r>
          </w:p>
        </w:tc>
        <w:tc>
          <w:tcPr>
            <w:tcW w:w="693" w:type="dxa"/>
            <w:gridSpan w:val="2"/>
            <w:tcBorders>
              <w:top w:val="single" w:sz="4" w:space="0" w:color="auto"/>
              <w:left w:val="nil"/>
              <w:bottom w:val="single" w:sz="4" w:space="0" w:color="auto"/>
              <w:right w:val="single" w:sz="4" w:space="0" w:color="auto"/>
            </w:tcBorders>
            <w:shd w:val="clear" w:color="auto" w:fill="auto"/>
          </w:tcPr>
          <w:p w14:paraId="36BC8F1D" w14:textId="77777777" w:rsidR="004346F3" w:rsidRPr="00536CFD" w:rsidRDefault="004346F3" w:rsidP="00802ABC">
            <w:pPr>
              <w:spacing w:after="0"/>
              <w:jc w:val="center"/>
              <w:rPr>
                <w:lang w:eastAsia="ja-JP"/>
              </w:rPr>
            </w:pPr>
            <w:r w:rsidRPr="00536CFD">
              <w:rPr>
                <w:rFonts w:eastAsia="Malgun Gothic"/>
                <w:lang w:eastAsia="ko-KR"/>
              </w:rPr>
              <w:t>0.264</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7ACB2033" w14:textId="77777777" w:rsidR="004346F3" w:rsidRPr="00536CFD" w:rsidRDefault="004346F3" w:rsidP="00802ABC">
            <w:pPr>
              <w:spacing w:after="0"/>
              <w:jc w:val="center"/>
              <w:rPr>
                <w:lang w:eastAsia="ja-JP"/>
              </w:rPr>
            </w:pPr>
            <w:r w:rsidRPr="00536CFD">
              <w:rPr>
                <w:rFonts w:eastAsia="Malgun Gothic"/>
                <w:lang w:eastAsia="ko-KR"/>
              </w:rPr>
              <w:t>1.590</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5D9F4E78" w14:textId="77777777" w:rsidR="004346F3" w:rsidRPr="00536CFD" w:rsidRDefault="004346F3" w:rsidP="00802ABC">
            <w:pPr>
              <w:spacing w:after="0"/>
              <w:jc w:val="center"/>
              <w:rPr>
                <w:lang w:eastAsia="ja-JP"/>
              </w:rPr>
            </w:pPr>
            <w:r w:rsidRPr="00536CFD">
              <w:rPr>
                <w:rFonts w:eastAsia="Malgun Gothic"/>
                <w:lang w:eastAsia="ko-KR"/>
              </w:rPr>
              <w:t>1.343</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43923ADE" w14:textId="77777777" w:rsidR="004346F3" w:rsidRPr="00536CFD" w:rsidRDefault="004346F3" w:rsidP="00802ABC">
            <w:pPr>
              <w:spacing w:after="0"/>
              <w:jc w:val="center"/>
              <w:rPr>
                <w:lang w:eastAsia="ja-JP"/>
              </w:rPr>
            </w:pPr>
            <w:r w:rsidRPr="00536CFD">
              <w:rPr>
                <w:rFonts w:eastAsia="Malgun Gothic"/>
                <w:lang w:eastAsia="ko-KR"/>
              </w:rPr>
              <w:t>0.628</w:t>
            </w:r>
          </w:p>
        </w:tc>
        <w:tc>
          <w:tcPr>
            <w:tcW w:w="694" w:type="dxa"/>
            <w:gridSpan w:val="2"/>
            <w:tcBorders>
              <w:top w:val="single" w:sz="4" w:space="0" w:color="auto"/>
              <w:left w:val="nil"/>
              <w:bottom w:val="single" w:sz="4" w:space="0" w:color="auto"/>
              <w:right w:val="single" w:sz="4" w:space="0" w:color="auto"/>
            </w:tcBorders>
            <w:shd w:val="clear" w:color="auto" w:fill="auto"/>
          </w:tcPr>
          <w:p w14:paraId="5BE9385B" w14:textId="77777777" w:rsidR="004346F3" w:rsidRPr="00536CFD" w:rsidRDefault="004346F3" w:rsidP="00802ABC">
            <w:pPr>
              <w:spacing w:after="0"/>
              <w:jc w:val="center"/>
              <w:rPr>
                <w:lang w:eastAsia="ja-JP"/>
              </w:rPr>
            </w:pPr>
            <w:r w:rsidRPr="00536CFD">
              <w:rPr>
                <w:rFonts w:eastAsia="Malgun Gothic"/>
                <w:lang w:eastAsia="ko-KR"/>
              </w:rPr>
              <w:t>0.627</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1D23CF81" w14:textId="77777777" w:rsidR="004346F3" w:rsidRPr="00536CFD" w:rsidRDefault="004346F3" w:rsidP="00802ABC">
            <w:pPr>
              <w:spacing w:after="0"/>
              <w:jc w:val="center"/>
              <w:rPr>
                <w:lang w:eastAsia="ja-JP"/>
              </w:rPr>
            </w:pPr>
            <w:r w:rsidRPr="00536CFD">
              <w:rPr>
                <w:rFonts w:eastAsia="Malgun Gothic"/>
                <w:lang w:eastAsia="ko-KR"/>
              </w:rPr>
              <w:t>2.497</w:t>
            </w:r>
          </w:p>
        </w:tc>
        <w:tc>
          <w:tcPr>
            <w:tcW w:w="693" w:type="dxa"/>
            <w:gridSpan w:val="2"/>
            <w:tcBorders>
              <w:top w:val="single" w:sz="4" w:space="0" w:color="auto"/>
              <w:left w:val="nil"/>
              <w:bottom w:val="single" w:sz="4" w:space="0" w:color="auto"/>
              <w:right w:val="single" w:sz="4" w:space="0" w:color="auto"/>
            </w:tcBorders>
            <w:shd w:val="clear" w:color="auto" w:fill="auto"/>
            <w:vAlign w:val="center"/>
          </w:tcPr>
          <w:p w14:paraId="01DC568B" w14:textId="77777777" w:rsidR="004346F3" w:rsidRPr="00536CFD" w:rsidRDefault="004346F3" w:rsidP="00802ABC">
            <w:pPr>
              <w:spacing w:after="0"/>
              <w:jc w:val="center"/>
              <w:rPr>
                <w:lang w:eastAsia="ja-JP"/>
              </w:rPr>
            </w:pPr>
            <w:r w:rsidRPr="00536CFD">
              <w:rPr>
                <w:rFonts w:eastAsia="Malgun Gothic"/>
                <w:lang w:eastAsia="ko-KR"/>
              </w:rPr>
              <w:t>2.478</w:t>
            </w:r>
          </w:p>
        </w:tc>
        <w:tc>
          <w:tcPr>
            <w:tcW w:w="694" w:type="dxa"/>
            <w:gridSpan w:val="2"/>
            <w:tcBorders>
              <w:top w:val="single" w:sz="4" w:space="0" w:color="auto"/>
              <w:left w:val="nil"/>
              <w:bottom w:val="single" w:sz="4" w:space="0" w:color="auto"/>
              <w:right w:val="single" w:sz="4" w:space="0" w:color="auto"/>
            </w:tcBorders>
            <w:shd w:val="clear" w:color="auto" w:fill="auto"/>
            <w:vAlign w:val="center"/>
          </w:tcPr>
          <w:p w14:paraId="7CF0BB54" w14:textId="77777777" w:rsidR="004346F3" w:rsidRPr="00536CFD" w:rsidRDefault="004346F3" w:rsidP="00802ABC">
            <w:pPr>
              <w:spacing w:after="0"/>
              <w:jc w:val="center"/>
              <w:rPr>
                <w:lang w:eastAsia="ja-JP"/>
              </w:rPr>
            </w:pPr>
            <w:r w:rsidRPr="00536CFD">
              <w:rPr>
                <w:rFonts w:eastAsia="Malgun Gothic"/>
                <w:lang w:eastAsia="ko-KR"/>
              </w:rPr>
              <w:t>1.174</w:t>
            </w:r>
          </w:p>
        </w:tc>
        <w:tc>
          <w:tcPr>
            <w:tcW w:w="694" w:type="dxa"/>
            <w:tcBorders>
              <w:top w:val="single" w:sz="4" w:space="0" w:color="auto"/>
              <w:left w:val="nil"/>
              <w:bottom w:val="single" w:sz="4" w:space="0" w:color="auto"/>
              <w:right w:val="single" w:sz="4" w:space="0" w:color="auto"/>
            </w:tcBorders>
            <w:shd w:val="clear" w:color="auto" w:fill="auto"/>
          </w:tcPr>
          <w:p w14:paraId="3A4F857F" w14:textId="77777777" w:rsidR="004346F3" w:rsidRPr="00536CFD" w:rsidRDefault="004346F3" w:rsidP="00802ABC">
            <w:pPr>
              <w:spacing w:after="0"/>
              <w:jc w:val="center"/>
              <w:rPr>
                <w:lang w:eastAsia="ja-JP"/>
              </w:rPr>
            </w:pPr>
            <w:r w:rsidRPr="00536CFD">
              <w:rPr>
                <w:rFonts w:eastAsia="Malgun Gothic"/>
                <w:lang w:eastAsia="ko-KR"/>
              </w:rPr>
              <w:t>1.196</w:t>
            </w:r>
          </w:p>
        </w:tc>
      </w:tr>
      <w:tr w:rsidR="004346F3" w:rsidRPr="00536CFD" w14:paraId="5E310816"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68E77CD6" w14:textId="77777777" w:rsidR="004346F3" w:rsidRPr="00536CFD" w:rsidRDefault="004346F3" w:rsidP="00802ABC">
            <w:pPr>
              <w:spacing w:after="0"/>
              <w:ind w:left="113" w:right="113"/>
            </w:pPr>
          </w:p>
        </w:tc>
        <w:tc>
          <w:tcPr>
            <w:tcW w:w="583" w:type="dxa"/>
            <w:vMerge/>
            <w:tcBorders>
              <w:left w:val="nil"/>
              <w:bottom w:val="single" w:sz="4" w:space="0" w:color="auto"/>
              <w:right w:val="single" w:sz="4" w:space="0" w:color="auto"/>
            </w:tcBorders>
            <w:shd w:val="clear" w:color="auto" w:fill="auto"/>
          </w:tcPr>
          <w:p w14:paraId="13AD0DEA" w14:textId="77777777" w:rsidR="004346F3" w:rsidRPr="00536CFD" w:rsidRDefault="004346F3" w:rsidP="00802ABC">
            <w:pPr>
              <w:spacing w:after="0"/>
              <w:contextualSpacing/>
              <w:jc w:val="center"/>
              <w:rPr>
                <w:lang w:val="en-US" w:bidi="ar"/>
              </w:rPr>
            </w:pPr>
          </w:p>
        </w:tc>
        <w:tc>
          <w:tcPr>
            <w:tcW w:w="583" w:type="dxa"/>
            <w:gridSpan w:val="2"/>
            <w:tcBorders>
              <w:top w:val="single" w:sz="4" w:space="0" w:color="auto"/>
              <w:left w:val="nil"/>
              <w:bottom w:val="single" w:sz="4" w:space="0" w:color="auto"/>
              <w:right w:val="single" w:sz="4" w:space="0" w:color="auto"/>
            </w:tcBorders>
            <w:shd w:val="clear" w:color="auto" w:fill="auto"/>
          </w:tcPr>
          <w:p w14:paraId="70FB7A42" w14:textId="77777777" w:rsidR="004346F3" w:rsidRPr="00536CFD" w:rsidRDefault="004346F3" w:rsidP="00802ABC">
            <w:pPr>
              <w:spacing w:after="0"/>
              <w:contextualSpacing/>
              <w:jc w:val="center"/>
              <w:rPr>
                <w:lang w:val="en-US" w:bidi="ar"/>
              </w:rPr>
            </w:pPr>
            <w:r w:rsidRPr="00536CFD">
              <w:t>Mean</w:t>
            </w:r>
          </w:p>
        </w:tc>
        <w:tc>
          <w:tcPr>
            <w:tcW w:w="693" w:type="dxa"/>
            <w:gridSpan w:val="2"/>
            <w:tcBorders>
              <w:top w:val="single" w:sz="4" w:space="0" w:color="auto"/>
              <w:left w:val="nil"/>
              <w:bottom w:val="single" w:sz="4" w:space="0" w:color="auto"/>
              <w:right w:val="single" w:sz="4" w:space="0" w:color="auto"/>
            </w:tcBorders>
            <w:shd w:val="clear" w:color="auto" w:fill="auto"/>
          </w:tcPr>
          <w:p w14:paraId="7A8E3547" w14:textId="77777777" w:rsidR="004346F3" w:rsidRPr="00536CFD" w:rsidRDefault="004346F3" w:rsidP="00802ABC">
            <w:pPr>
              <w:spacing w:after="0"/>
              <w:jc w:val="center"/>
              <w:rPr>
                <w:lang w:eastAsia="ja-JP"/>
              </w:rPr>
            </w:pPr>
            <w:r w:rsidRPr="00536CFD">
              <w:rPr>
                <w:rFonts w:eastAsia="Malgun Gothic"/>
                <w:lang w:eastAsia="ko-KR"/>
              </w:rPr>
              <w:t>0.256</w:t>
            </w:r>
          </w:p>
        </w:tc>
        <w:tc>
          <w:tcPr>
            <w:tcW w:w="694" w:type="dxa"/>
            <w:gridSpan w:val="2"/>
            <w:tcBorders>
              <w:top w:val="single" w:sz="4" w:space="0" w:color="auto"/>
              <w:left w:val="nil"/>
              <w:bottom w:val="single" w:sz="4" w:space="0" w:color="auto"/>
              <w:right w:val="single" w:sz="4" w:space="0" w:color="auto"/>
            </w:tcBorders>
            <w:shd w:val="clear" w:color="auto" w:fill="auto"/>
          </w:tcPr>
          <w:p w14:paraId="3C9ED603" w14:textId="77777777" w:rsidR="004346F3" w:rsidRPr="00536CFD" w:rsidRDefault="004346F3" w:rsidP="00802ABC">
            <w:pPr>
              <w:spacing w:after="0"/>
              <w:jc w:val="center"/>
              <w:rPr>
                <w:lang w:eastAsia="ja-JP"/>
              </w:rPr>
            </w:pPr>
            <w:r w:rsidRPr="00536CFD">
              <w:rPr>
                <w:rFonts w:eastAsia="Malgun Gothic"/>
                <w:lang w:eastAsia="ko-KR"/>
              </w:rPr>
              <w:t>0.217</w:t>
            </w:r>
          </w:p>
        </w:tc>
        <w:tc>
          <w:tcPr>
            <w:tcW w:w="694" w:type="dxa"/>
            <w:gridSpan w:val="2"/>
            <w:tcBorders>
              <w:top w:val="single" w:sz="4" w:space="0" w:color="auto"/>
              <w:left w:val="nil"/>
              <w:bottom w:val="single" w:sz="4" w:space="0" w:color="auto"/>
              <w:right w:val="single" w:sz="4" w:space="0" w:color="auto"/>
            </w:tcBorders>
            <w:shd w:val="clear" w:color="auto" w:fill="auto"/>
          </w:tcPr>
          <w:p w14:paraId="3484F640" w14:textId="77777777" w:rsidR="004346F3" w:rsidRPr="00536CFD" w:rsidRDefault="004346F3" w:rsidP="00802ABC">
            <w:pPr>
              <w:spacing w:after="0"/>
              <w:jc w:val="center"/>
              <w:rPr>
                <w:lang w:eastAsia="ja-JP"/>
              </w:rPr>
            </w:pPr>
            <w:r w:rsidRPr="00536CFD">
              <w:rPr>
                <w:rFonts w:eastAsia="Malgun Gothic"/>
                <w:lang w:eastAsia="ko-KR"/>
              </w:rPr>
              <w:t>0.132</w:t>
            </w:r>
          </w:p>
        </w:tc>
        <w:tc>
          <w:tcPr>
            <w:tcW w:w="693" w:type="dxa"/>
            <w:gridSpan w:val="2"/>
            <w:tcBorders>
              <w:top w:val="single" w:sz="4" w:space="0" w:color="auto"/>
              <w:left w:val="nil"/>
              <w:bottom w:val="single" w:sz="4" w:space="0" w:color="auto"/>
              <w:right w:val="single" w:sz="4" w:space="0" w:color="auto"/>
            </w:tcBorders>
            <w:shd w:val="clear" w:color="auto" w:fill="auto"/>
          </w:tcPr>
          <w:p w14:paraId="6BE7C1D3" w14:textId="77777777" w:rsidR="004346F3" w:rsidRPr="00536CFD" w:rsidRDefault="004346F3" w:rsidP="00802ABC">
            <w:pPr>
              <w:spacing w:after="0"/>
              <w:jc w:val="center"/>
              <w:rPr>
                <w:lang w:eastAsia="ja-JP"/>
              </w:rPr>
            </w:pPr>
            <w:r w:rsidRPr="00536CFD">
              <w:rPr>
                <w:rFonts w:eastAsia="Malgun Gothic"/>
                <w:lang w:eastAsia="ko-KR"/>
              </w:rPr>
              <w:t>0.108</w:t>
            </w:r>
          </w:p>
        </w:tc>
        <w:tc>
          <w:tcPr>
            <w:tcW w:w="694" w:type="dxa"/>
            <w:gridSpan w:val="2"/>
            <w:tcBorders>
              <w:top w:val="single" w:sz="4" w:space="0" w:color="auto"/>
              <w:left w:val="nil"/>
              <w:bottom w:val="single" w:sz="4" w:space="0" w:color="auto"/>
              <w:right w:val="single" w:sz="4" w:space="0" w:color="auto"/>
            </w:tcBorders>
            <w:shd w:val="clear" w:color="auto" w:fill="auto"/>
          </w:tcPr>
          <w:p w14:paraId="3503ADEB" w14:textId="77777777" w:rsidR="004346F3" w:rsidRPr="00536CFD" w:rsidRDefault="004346F3" w:rsidP="00802ABC">
            <w:pPr>
              <w:spacing w:after="0"/>
              <w:jc w:val="center"/>
              <w:rPr>
                <w:lang w:eastAsia="ja-JP"/>
              </w:rPr>
            </w:pPr>
            <w:r w:rsidRPr="00536CFD">
              <w:rPr>
                <w:rFonts w:eastAsia="Malgun Gothic"/>
                <w:lang w:eastAsia="ko-KR"/>
              </w:rPr>
              <w:t>0.518</w:t>
            </w:r>
          </w:p>
        </w:tc>
        <w:tc>
          <w:tcPr>
            <w:tcW w:w="694" w:type="dxa"/>
            <w:gridSpan w:val="2"/>
            <w:tcBorders>
              <w:top w:val="single" w:sz="4" w:space="0" w:color="auto"/>
              <w:left w:val="nil"/>
              <w:bottom w:val="single" w:sz="4" w:space="0" w:color="auto"/>
              <w:right w:val="single" w:sz="4" w:space="0" w:color="auto"/>
            </w:tcBorders>
            <w:shd w:val="clear" w:color="auto" w:fill="auto"/>
          </w:tcPr>
          <w:p w14:paraId="6933EA5C" w14:textId="77777777" w:rsidR="004346F3" w:rsidRPr="00536CFD" w:rsidRDefault="004346F3" w:rsidP="00802ABC">
            <w:pPr>
              <w:spacing w:after="0"/>
              <w:jc w:val="center"/>
              <w:rPr>
                <w:lang w:eastAsia="ja-JP"/>
              </w:rPr>
            </w:pPr>
            <w:r w:rsidRPr="00536CFD">
              <w:rPr>
                <w:rFonts w:eastAsia="Malgun Gothic"/>
                <w:lang w:eastAsia="ko-KR"/>
              </w:rPr>
              <w:t>0.443</w:t>
            </w:r>
          </w:p>
        </w:tc>
        <w:tc>
          <w:tcPr>
            <w:tcW w:w="693" w:type="dxa"/>
            <w:gridSpan w:val="2"/>
            <w:tcBorders>
              <w:top w:val="single" w:sz="4" w:space="0" w:color="auto"/>
              <w:left w:val="nil"/>
              <w:bottom w:val="single" w:sz="4" w:space="0" w:color="auto"/>
              <w:right w:val="single" w:sz="4" w:space="0" w:color="auto"/>
            </w:tcBorders>
            <w:shd w:val="clear" w:color="auto" w:fill="auto"/>
          </w:tcPr>
          <w:p w14:paraId="07B2AB09" w14:textId="77777777" w:rsidR="004346F3" w:rsidRPr="00536CFD" w:rsidRDefault="004346F3" w:rsidP="00802ABC">
            <w:pPr>
              <w:spacing w:after="0"/>
              <w:jc w:val="center"/>
              <w:rPr>
                <w:lang w:eastAsia="ja-JP"/>
              </w:rPr>
            </w:pPr>
            <w:r w:rsidRPr="00536CFD">
              <w:rPr>
                <w:rFonts w:eastAsia="Malgun Gothic"/>
                <w:lang w:eastAsia="ko-KR"/>
              </w:rPr>
              <w:t>0.215</w:t>
            </w:r>
          </w:p>
        </w:tc>
        <w:tc>
          <w:tcPr>
            <w:tcW w:w="694" w:type="dxa"/>
            <w:gridSpan w:val="2"/>
            <w:tcBorders>
              <w:top w:val="single" w:sz="4" w:space="0" w:color="auto"/>
              <w:left w:val="nil"/>
              <w:bottom w:val="single" w:sz="4" w:space="0" w:color="auto"/>
              <w:right w:val="single" w:sz="4" w:space="0" w:color="auto"/>
            </w:tcBorders>
            <w:shd w:val="clear" w:color="auto" w:fill="auto"/>
          </w:tcPr>
          <w:p w14:paraId="6C58230D" w14:textId="77777777" w:rsidR="004346F3" w:rsidRPr="00536CFD" w:rsidRDefault="004346F3" w:rsidP="00802ABC">
            <w:pPr>
              <w:spacing w:after="0"/>
              <w:jc w:val="center"/>
              <w:rPr>
                <w:lang w:eastAsia="ja-JP"/>
              </w:rPr>
            </w:pPr>
            <w:r w:rsidRPr="00536CFD">
              <w:rPr>
                <w:rFonts w:eastAsia="Malgun Gothic"/>
                <w:lang w:eastAsia="ko-KR"/>
              </w:rPr>
              <w:t>0.206</w:t>
            </w:r>
          </w:p>
        </w:tc>
        <w:tc>
          <w:tcPr>
            <w:tcW w:w="694" w:type="dxa"/>
            <w:gridSpan w:val="2"/>
            <w:tcBorders>
              <w:top w:val="single" w:sz="4" w:space="0" w:color="auto"/>
              <w:left w:val="nil"/>
              <w:bottom w:val="single" w:sz="4" w:space="0" w:color="auto"/>
              <w:right w:val="single" w:sz="4" w:space="0" w:color="auto"/>
            </w:tcBorders>
            <w:shd w:val="clear" w:color="auto" w:fill="auto"/>
          </w:tcPr>
          <w:p w14:paraId="0C459F10" w14:textId="77777777" w:rsidR="004346F3" w:rsidRPr="00536CFD" w:rsidRDefault="004346F3" w:rsidP="00802ABC">
            <w:pPr>
              <w:spacing w:after="0"/>
              <w:jc w:val="center"/>
              <w:rPr>
                <w:lang w:eastAsia="ja-JP"/>
              </w:rPr>
            </w:pPr>
            <w:r w:rsidRPr="00536CFD">
              <w:rPr>
                <w:rFonts w:eastAsia="Malgun Gothic"/>
                <w:lang w:eastAsia="ko-KR"/>
              </w:rPr>
              <w:t>0.747</w:t>
            </w:r>
          </w:p>
        </w:tc>
        <w:tc>
          <w:tcPr>
            <w:tcW w:w="693" w:type="dxa"/>
            <w:gridSpan w:val="2"/>
            <w:tcBorders>
              <w:top w:val="single" w:sz="4" w:space="0" w:color="auto"/>
              <w:left w:val="nil"/>
              <w:bottom w:val="single" w:sz="4" w:space="0" w:color="auto"/>
              <w:right w:val="single" w:sz="4" w:space="0" w:color="auto"/>
            </w:tcBorders>
            <w:shd w:val="clear" w:color="auto" w:fill="auto"/>
          </w:tcPr>
          <w:p w14:paraId="65F3EDAB" w14:textId="77777777" w:rsidR="004346F3" w:rsidRPr="00536CFD" w:rsidRDefault="004346F3" w:rsidP="00802ABC">
            <w:pPr>
              <w:spacing w:after="0"/>
              <w:jc w:val="center"/>
              <w:rPr>
                <w:lang w:eastAsia="ja-JP"/>
              </w:rPr>
            </w:pPr>
            <w:r w:rsidRPr="00536CFD">
              <w:rPr>
                <w:rFonts w:eastAsia="Malgun Gothic"/>
                <w:lang w:eastAsia="ko-KR"/>
              </w:rPr>
              <w:t>0.709</w:t>
            </w:r>
          </w:p>
        </w:tc>
        <w:tc>
          <w:tcPr>
            <w:tcW w:w="694" w:type="dxa"/>
            <w:gridSpan w:val="2"/>
            <w:tcBorders>
              <w:top w:val="single" w:sz="4" w:space="0" w:color="auto"/>
              <w:left w:val="nil"/>
              <w:bottom w:val="single" w:sz="4" w:space="0" w:color="auto"/>
              <w:right w:val="single" w:sz="4" w:space="0" w:color="auto"/>
            </w:tcBorders>
            <w:shd w:val="clear" w:color="auto" w:fill="auto"/>
          </w:tcPr>
          <w:p w14:paraId="59F1B68D" w14:textId="77777777" w:rsidR="004346F3" w:rsidRPr="00536CFD" w:rsidRDefault="004346F3" w:rsidP="00802ABC">
            <w:pPr>
              <w:spacing w:after="0"/>
              <w:jc w:val="center"/>
              <w:rPr>
                <w:lang w:eastAsia="ja-JP"/>
              </w:rPr>
            </w:pPr>
            <w:r w:rsidRPr="00536CFD">
              <w:rPr>
                <w:rFonts w:eastAsia="Malgun Gothic"/>
                <w:lang w:eastAsia="ko-KR"/>
              </w:rPr>
              <w:t>0.343</w:t>
            </w:r>
          </w:p>
        </w:tc>
        <w:tc>
          <w:tcPr>
            <w:tcW w:w="694" w:type="dxa"/>
            <w:tcBorders>
              <w:top w:val="single" w:sz="4" w:space="0" w:color="auto"/>
              <w:left w:val="nil"/>
              <w:bottom w:val="single" w:sz="4" w:space="0" w:color="auto"/>
              <w:right w:val="single" w:sz="4" w:space="0" w:color="auto"/>
            </w:tcBorders>
            <w:shd w:val="clear" w:color="auto" w:fill="auto"/>
          </w:tcPr>
          <w:p w14:paraId="28F51B9C" w14:textId="77777777" w:rsidR="004346F3" w:rsidRPr="00536CFD" w:rsidRDefault="004346F3" w:rsidP="00802ABC">
            <w:pPr>
              <w:spacing w:after="0"/>
              <w:jc w:val="center"/>
              <w:rPr>
                <w:lang w:eastAsia="ja-JP"/>
              </w:rPr>
            </w:pPr>
            <w:r w:rsidRPr="00536CFD">
              <w:rPr>
                <w:rFonts w:eastAsia="Malgun Gothic"/>
                <w:lang w:eastAsia="ko-KR"/>
              </w:rPr>
              <w:t>0.342</w:t>
            </w:r>
          </w:p>
        </w:tc>
      </w:tr>
      <w:tr w:rsidR="004346F3" w:rsidRPr="00536CFD" w14:paraId="1DA96401"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1A101AB9"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76DDDFCE" w14:textId="77777777" w:rsidR="004346F3" w:rsidRPr="00536CFD" w:rsidRDefault="004346F3" w:rsidP="00802ABC">
            <w:pPr>
              <w:spacing w:after="0"/>
              <w:contextualSpacing/>
              <w:jc w:val="center"/>
              <w:rPr>
                <w:lang w:val="en-US" w:bidi="ar"/>
              </w:rPr>
            </w:pPr>
            <w:r w:rsidRPr="00536CFD">
              <w:rPr>
                <w:rFonts w:ascii="Cambria Math" w:hAnsi="Cambria Math" w:cs="Cambria Math"/>
              </w:rPr>
              <w:t>𝜌</w:t>
            </w:r>
          </w:p>
        </w:tc>
        <w:tc>
          <w:tcPr>
            <w:tcW w:w="693" w:type="dxa"/>
            <w:gridSpan w:val="2"/>
            <w:tcBorders>
              <w:top w:val="single" w:sz="4" w:space="0" w:color="auto"/>
              <w:left w:val="nil"/>
              <w:bottom w:val="single" w:sz="4" w:space="0" w:color="auto"/>
              <w:right w:val="single" w:sz="4" w:space="0" w:color="auto"/>
            </w:tcBorders>
            <w:shd w:val="clear" w:color="auto" w:fill="auto"/>
          </w:tcPr>
          <w:p w14:paraId="38DFCF4F" w14:textId="77777777" w:rsidR="004346F3" w:rsidRPr="00536CFD" w:rsidRDefault="004346F3" w:rsidP="00802ABC">
            <w:pPr>
              <w:spacing w:after="0"/>
              <w:jc w:val="center"/>
              <w:rPr>
                <w:lang w:eastAsia="ja-JP"/>
              </w:rPr>
            </w:pPr>
            <w:r w:rsidRPr="00536CFD">
              <w:rPr>
                <w:rFonts w:eastAsia="Malgun Gothic"/>
                <w:lang w:eastAsia="ko-KR"/>
              </w:rPr>
              <w:t>0.982</w:t>
            </w:r>
          </w:p>
        </w:tc>
        <w:tc>
          <w:tcPr>
            <w:tcW w:w="694" w:type="dxa"/>
            <w:gridSpan w:val="2"/>
            <w:tcBorders>
              <w:top w:val="single" w:sz="4" w:space="0" w:color="auto"/>
              <w:left w:val="nil"/>
              <w:bottom w:val="single" w:sz="4" w:space="0" w:color="auto"/>
              <w:right w:val="single" w:sz="4" w:space="0" w:color="auto"/>
            </w:tcBorders>
            <w:shd w:val="clear" w:color="auto" w:fill="auto"/>
          </w:tcPr>
          <w:p w14:paraId="7D20CBB5" w14:textId="77777777" w:rsidR="004346F3" w:rsidRPr="00536CFD" w:rsidRDefault="004346F3" w:rsidP="00802ABC">
            <w:pPr>
              <w:spacing w:after="0"/>
              <w:jc w:val="center"/>
              <w:rPr>
                <w:lang w:eastAsia="ja-JP"/>
              </w:rPr>
            </w:pPr>
            <w:r w:rsidRPr="00536CFD">
              <w:rPr>
                <w:rFonts w:eastAsia="Malgun Gothic"/>
                <w:lang w:eastAsia="ko-KR"/>
              </w:rPr>
              <w:t>0.986</w:t>
            </w:r>
          </w:p>
        </w:tc>
        <w:tc>
          <w:tcPr>
            <w:tcW w:w="694" w:type="dxa"/>
            <w:gridSpan w:val="2"/>
            <w:tcBorders>
              <w:top w:val="single" w:sz="4" w:space="0" w:color="auto"/>
              <w:left w:val="nil"/>
              <w:bottom w:val="single" w:sz="4" w:space="0" w:color="auto"/>
              <w:right w:val="single" w:sz="4" w:space="0" w:color="auto"/>
            </w:tcBorders>
            <w:shd w:val="clear" w:color="auto" w:fill="auto"/>
          </w:tcPr>
          <w:p w14:paraId="6E33DFEE" w14:textId="77777777" w:rsidR="004346F3" w:rsidRPr="00536CFD" w:rsidRDefault="004346F3" w:rsidP="00802ABC">
            <w:pPr>
              <w:spacing w:after="0"/>
              <w:jc w:val="center"/>
              <w:rPr>
                <w:lang w:eastAsia="ja-JP"/>
              </w:rPr>
            </w:pPr>
            <w:r w:rsidRPr="00536CFD">
              <w:rPr>
                <w:rFonts w:eastAsia="Malgun Gothic"/>
                <w:lang w:eastAsia="ko-KR"/>
              </w:rPr>
              <w:t>0.985</w:t>
            </w:r>
          </w:p>
        </w:tc>
        <w:tc>
          <w:tcPr>
            <w:tcW w:w="693" w:type="dxa"/>
            <w:gridSpan w:val="2"/>
            <w:tcBorders>
              <w:top w:val="single" w:sz="4" w:space="0" w:color="auto"/>
              <w:left w:val="nil"/>
              <w:bottom w:val="single" w:sz="4" w:space="0" w:color="auto"/>
              <w:right w:val="single" w:sz="4" w:space="0" w:color="auto"/>
            </w:tcBorders>
            <w:shd w:val="clear" w:color="auto" w:fill="auto"/>
          </w:tcPr>
          <w:p w14:paraId="57228CFE" w14:textId="77777777" w:rsidR="004346F3" w:rsidRPr="00536CFD" w:rsidRDefault="004346F3" w:rsidP="00802ABC">
            <w:pPr>
              <w:spacing w:after="0"/>
              <w:jc w:val="center"/>
              <w:rPr>
                <w:lang w:eastAsia="ja-JP"/>
              </w:rPr>
            </w:pPr>
            <w:r w:rsidRPr="00536CFD">
              <w:rPr>
                <w:rFonts w:eastAsia="Malgun Gothic"/>
                <w:lang w:eastAsia="ko-KR"/>
              </w:rPr>
              <w:t>0.971</w:t>
            </w:r>
          </w:p>
        </w:tc>
        <w:tc>
          <w:tcPr>
            <w:tcW w:w="694" w:type="dxa"/>
            <w:gridSpan w:val="2"/>
            <w:tcBorders>
              <w:top w:val="single" w:sz="4" w:space="0" w:color="auto"/>
              <w:left w:val="nil"/>
              <w:bottom w:val="single" w:sz="4" w:space="0" w:color="auto"/>
              <w:right w:val="single" w:sz="4" w:space="0" w:color="auto"/>
            </w:tcBorders>
            <w:shd w:val="clear" w:color="auto" w:fill="auto"/>
          </w:tcPr>
          <w:p w14:paraId="6387DCE4" w14:textId="77777777" w:rsidR="004346F3" w:rsidRPr="00536CFD" w:rsidRDefault="004346F3" w:rsidP="00802ABC">
            <w:pPr>
              <w:spacing w:after="0"/>
              <w:jc w:val="center"/>
              <w:rPr>
                <w:lang w:eastAsia="ja-JP"/>
              </w:rPr>
            </w:pPr>
            <w:r w:rsidRPr="00536CFD">
              <w:rPr>
                <w:rFonts w:eastAsia="Malgun Gothic"/>
                <w:lang w:eastAsia="ko-KR"/>
              </w:rPr>
              <w:t>0.935</w:t>
            </w:r>
          </w:p>
        </w:tc>
        <w:tc>
          <w:tcPr>
            <w:tcW w:w="694" w:type="dxa"/>
            <w:gridSpan w:val="2"/>
            <w:tcBorders>
              <w:top w:val="single" w:sz="4" w:space="0" w:color="auto"/>
              <w:left w:val="nil"/>
              <w:bottom w:val="single" w:sz="4" w:space="0" w:color="auto"/>
              <w:right w:val="single" w:sz="4" w:space="0" w:color="auto"/>
            </w:tcBorders>
            <w:shd w:val="clear" w:color="auto" w:fill="auto"/>
          </w:tcPr>
          <w:p w14:paraId="6E31F0E4" w14:textId="77777777" w:rsidR="004346F3" w:rsidRPr="00536CFD" w:rsidRDefault="004346F3" w:rsidP="00802ABC">
            <w:pPr>
              <w:spacing w:after="0"/>
              <w:jc w:val="center"/>
              <w:rPr>
                <w:lang w:eastAsia="ja-JP"/>
              </w:rPr>
            </w:pPr>
            <w:r w:rsidRPr="00536CFD">
              <w:rPr>
                <w:rFonts w:eastAsia="Malgun Gothic"/>
                <w:lang w:eastAsia="ko-KR"/>
              </w:rPr>
              <w:t>0.966</w:t>
            </w:r>
          </w:p>
        </w:tc>
        <w:tc>
          <w:tcPr>
            <w:tcW w:w="693" w:type="dxa"/>
            <w:gridSpan w:val="2"/>
            <w:tcBorders>
              <w:top w:val="single" w:sz="4" w:space="0" w:color="auto"/>
              <w:left w:val="nil"/>
              <w:bottom w:val="single" w:sz="4" w:space="0" w:color="auto"/>
              <w:right w:val="single" w:sz="4" w:space="0" w:color="auto"/>
            </w:tcBorders>
            <w:shd w:val="clear" w:color="auto" w:fill="auto"/>
          </w:tcPr>
          <w:p w14:paraId="0CF34169" w14:textId="77777777" w:rsidR="004346F3" w:rsidRPr="00536CFD" w:rsidRDefault="004346F3" w:rsidP="00802ABC">
            <w:pPr>
              <w:spacing w:after="0"/>
              <w:jc w:val="center"/>
              <w:rPr>
                <w:lang w:eastAsia="ja-JP"/>
              </w:rPr>
            </w:pPr>
            <w:r w:rsidRPr="00536CFD">
              <w:rPr>
                <w:rFonts w:eastAsia="Malgun Gothic"/>
                <w:lang w:eastAsia="ko-KR"/>
              </w:rPr>
              <w:t>0.898</w:t>
            </w:r>
          </w:p>
        </w:tc>
        <w:tc>
          <w:tcPr>
            <w:tcW w:w="694" w:type="dxa"/>
            <w:gridSpan w:val="2"/>
            <w:tcBorders>
              <w:top w:val="single" w:sz="4" w:space="0" w:color="auto"/>
              <w:left w:val="nil"/>
              <w:bottom w:val="single" w:sz="4" w:space="0" w:color="auto"/>
              <w:right w:val="single" w:sz="4" w:space="0" w:color="auto"/>
            </w:tcBorders>
            <w:shd w:val="clear" w:color="auto" w:fill="auto"/>
          </w:tcPr>
          <w:p w14:paraId="6B20FFE1" w14:textId="77777777" w:rsidR="004346F3" w:rsidRPr="00536CFD" w:rsidRDefault="004346F3" w:rsidP="00802ABC">
            <w:pPr>
              <w:spacing w:after="0"/>
              <w:jc w:val="center"/>
              <w:rPr>
                <w:lang w:eastAsia="ja-JP"/>
              </w:rPr>
            </w:pPr>
            <w:r w:rsidRPr="00536CFD">
              <w:rPr>
                <w:rFonts w:eastAsia="Malgun Gothic"/>
                <w:lang w:eastAsia="ko-KR"/>
              </w:rPr>
              <w:t>0.890</w:t>
            </w:r>
          </w:p>
        </w:tc>
        <w:tc>
          <w:tcPr>
            <w:tcW w:w="694" w:type="dxa"/>
            <w:gridSpan w:val="2"/>
            <w:tcBorders>
              <w:top w:val="single" w:sz="4" w:space="0" w:color="auto"/>
              <w:left w:val="nil"/>
              <w:bottom w:val="single" w:sz="4" w:space="0" w:color="auto"/>
              <w:right w:val="single" w:sz="4" w:space="0" w:color="auto"/>
            </w:tcBorders>
            <w:shd w:val="clear" w:color="auto" w:fill="auto"/>
          </w:tcPr>
          <w:p w14:paraId="6C05576B" w14:textId="77777777" w:rsidR="004346F3" w:rsidRPr="00536CFD" w:rsidRDefault="004346F3" w:rsidP="00802ABC">
            <w:pPr>
              <w:spacing w:after="0"/>
              <w:jc w:val="center"/>
              <w:rPr>
                <w:lang w:eastAsia="ja-JP"/>
              </w:rPr>
            </w:pPr>
            <w:r w:rsidRPr="00536CFD">
              <w:rPr>
                <w:rFonts w:eastAsia="Malgun Gothic"/>
                <w:lang w:eastAsia="ko-KR"/>
              </w:rPr>
              <w:t>0.847</w:t>
            </w:r>
          </w:p>
        </w:tc>
        <w:tc>
          <w:tcPr>
            <w:tcW w:w="693" w:type="dxa"/>
            <w:gridSpan w:val="2"/>
            <w:tcBorders>
              <w:top w:val="single" w:sz="4" w:space="0" w:color="auto"/>
              <w:left w:val="nil"/>
              <w:bottom w:val="single" w:sz="4" w:space="0" w:color="auto"/>
              <w:right w:val="single" w:sz="4" w:space="0" w:color="auto"/>
            </w:tcBorders>
            <w:shd w:val="clear" w:color="auto" w:fill="auto"/>
          </w:tcPr>
          <w:p w14:paraId="23F7874E" w14:textId="77777777" w:rsidR="004346F3" w:rsidRPr="00536CFD" w:rsidRDefault="004346F3" w:rsidP="00802ABC">
            <w:pPr>
              <w:spacing w:after="0"/>
              <w:jc w:val="center"/>
              <w:rPr>
                <w:lang w:eastAsia="ja-JP"/>
              </w:rPr>
            </w:pPr>
            <w:r w:rsidRPr="00536CFD">
              <w:rPr>
                <w:rFonts w:eastAsia="Malgun Gothic"/>
                <w:lang w:eastAsia="ko-KR"/>
              </w:rPr>
              <w:t>0.877</w:t>
            </w:r>
          </w:p>
        </w:tc>
        <w:tc>
          <w:tcPr>
            <w:tcW w:w="694" w:type="dxa"/>
            <w:gridSpan w:val="2"/>
            <w:tcBorders>
              <w:top w:val="single" w:sz="4" w:space="0" w:color="auto"/>
              <w:left w:val="nil"/>
              <w:bottom w:val="single" w:sz="4" w:space="0" w:color="auto"/>
              <w:right w:val="single" w:sz="4" w:space="0" w:color="auto"/>
            </w:tcBorders>
            <w:shd w:val="clear" w:color="auto" w:fill="auto"/>
          </w:tcPr>
          <w:p w14:paraId="6A0E704F" w14:textId="77777777" w:rsidR="004346F3" w:rsidRPr="00536CFD" w:rsidRDefault="004346F3" w:rsidP="00802ABC">
            <w:pPr>
              <w:spacing w:after="0"/>
              <w:jc w:val="center"/>
              <w:rPr>
                <w:lang w:eastAsia="ja-JP"/>
              </w:rPr>
            </w:pPr>
            <w:r w:rsidRPr="00536CFD">
              <w:rPr>
                <w:rFonts w:eastAsia="Malgun Gothic"/>
                <w:lang w:eastAsia="ko-KR"/>
              </w:rPr>
              <w:t>0.782</w:t>
            </w:r>
          </w:p>
        </w:tc>
        <w:tc>
          <w:tcPr>
            <w:tcW w:w="694" w:type="dxa"/>
            <w:tcBorders>
              <w:top w:val="single" w:sz="4" w:space="0" w:color="auto"/>
              <w:left w:val="nil"/>
              <w:bottom w:val="single" w:sz="4" w:space="0" w:color="auto"/>
              <w:right w:val="single" w:sz="4" w:space="0" w:color="auto"/>
            </w:tcBorders>
            <w:shd w:val="clear" w:color="auto" w:fill="auto"/>
          </w:tcPr>
          <w:p w14:paraId="46F770A6" w14:textId="77777777" w:rsidR="004346F3" w:rsidRPr="00536CFD" w:rsidRDefault="004346F3" w:rsidP="00802ABC">
            <w:pPr>
              <w:spacing w:after="0"/>
              <w:jc w:val="center"/>
              <w:rPr>
                <w:lang w:eastAsia="ja-JP"/>
              </w:rPr>
            </w:pPr>
            <w:r w:rsidRPr="00536CFD">
              <w:rPr>
                <w:rFonts w:eastAsia="Malgun Gothic"/>
                <w:lang w:eastAsia="ko-KR"/>
              </w:rPr>
              <w:t>0.836</w:t>
            </w:r>
          </w:p>
        </w:tc>
      </w:tr>
      <w:tr w:rsidR="004346F3" w:rsidRPr="00536CFD" w14:paraId="49D48830"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066E29B9"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4B4349E4" w14:textId="77777777" w:rsidR="004346F3" w:rsidRPr="00536CFD" w:rsidRDefault="004346F3" w:rsidP="00802ABC">
            <w:pPr>
              <w:spacing w:after="0"/>
              <w:contextualSpacing/>
              <w:jc w:val="center"/>
              <w:rPr>
                <w:lang w:val="en-US" w:bidi="ar"/>
              </w:rPr>
            </w:pPr>
            <w:r w:rsidRPr="00536CFD">
              <w:t>BO</w:t>
            </w:r>
          </w:p>
        </w:tc>
        <w:tc>
          <w:tcPr>
            <w:tcW w:w="693" w:type="dxa"/>
            <w:gridSpan w:val="2"/>
            <w:tcBorders>
              <w:top w:val="single" w:sz="4" w:space="0" w:color="auto"/>
              <w:left w:val="nil"/>
              <w:bottom w:val="single" w:sz="4" w:space="0" w:color="auto"/>
              <w:right w:val="single" w:sz="4" w:space="0" w:color="auto"/>
            </w:tcBorders>
            <w:shd w:val="clear" w:color="auto" w:fill="auto"/>
          </w:tcPr>
          <w:p w14:paraId="6F7685B2" w14:textId="77777777" w:rsidR="004346F3" w:rsidRPr="00536CFD" w:rsidRDefault="004346F3" w:rsidP="00802ABC">
            <w:pPr>
              <w:spacing w:after="0"/>
              <w:jc w:val="center"/>
              <w:rPr>
                <w:lang w:eastAsia="ja-JP"/>
              </w:rPr>
            </w:pPr>
            <w:r w:rsidRPr="00536CFD">
              <w:rPr>
                <w:rFonts w:eastAsia="Malgun Gothic"/>
                <w:lang w:eastAsia="ko-KR"/>
              </w:rPr>
              <w:t>0.106</w:t>
            </w:r>
          </w:p>
        </w:tc>
        <w:tc>
          <w:tcPr>
            <w:tcW w:w="694" w:type="dxa"/>
            <w:gridSpan w:val="2"/>
            <w:tcBorders>
              <w:top w:val="single" w:sz="4" w:space="0" w:color="auto"/>
              <w:left w:val="nil"/>
              <w:bottom w:val="single" w:sz="4" w:space="0" w:color="auto"/>
              <w:right w:val="single" w:sz="4" w:space="0" w:color="auto"/>
            </w:tcBorders>
            <w:shd w:val="clear" w:color="auto" w:fill="auto"/>
          </w:tcPr>
          <w:p w14:paraId="30F3DDA6" w14:textId="77777777" w:rsidR="004346F3" w:rsidRPr="00536CFD" w:rsidRDefault="004346F3" w:rsidP="00802ABC">
            <w:pPr>
              <w:spacing w:after="0"/>
              <w:jc w:val="center"/>
              <w:rPr>
                <w:lang w:eastAsia="ja-JP"/>
              </w:rPr>
            </w:pPr>
            <w:r w:rsidRPr="00536CFD">
              <w:rPr>
                <w:rFonts w:eastAsia="Malgun Gothic"/>
                <w:lang w:eastAsia="ko-KR"/>
              </w:rPr>
              <w:t>0.096</w:t>
            </w:r>
          </w:p>
        </w:tc>
        <w:tc>
          <w:tcPr>
            <w:tcW w:w="694" w:type="dxa"/>
            <w:gridSpan w:val="2"/>
            <w:tcBorders>
              <w:top w:val="single" w:sz="4" w:space="0" w:color="auto"/>
              <w:left w:val="nil"/>
              <w:bottom w:val="single" w:sz="4" w:space="0" w:color="auto"/>
              <w:right w:val="single" w:sz="4" w:space="0" w:color="auto"/>
            </w:tcBorders>
            <w:shd w:val="clear" w:color="auto" w:fill="auto"/>
          </w:tcPr>
          <w:p w14:paraId="168AF702" w14:textId="77777777" w:rsidR="004346F3" w:rsidRPr="00536CFD" w:rsidRDefault="004346F3" w:rsidP="00802ABC">
            <w:pPr>
              <w:spacing w:after="0"/>
              <w:jc w:val="center"/>
              <w:rPr>
                <w:lang w:eastAsia="ja-JP"/>
              </w:rPr>
            </w:pPr>
            <w:r w:rsidRPr="00536CFD">
              <w:rPr>
                <w:rFonts w:eastAsia="Malgun Gothic"/>
                <w:lang w:eastAsia="ko-KR"/>
              </w:rPr>
              <w:t>0.06</w:t>
            </w:r>
          </w:p>
        </w:tc>
        <w:tc>
          <w:tcPr>
            <w:tcW w:w="693" w:type="dxa"/>
            <w:gridSpan w:val="2"/>
            <w:tcBorders>
              <w:top w:val="single" w:sz="4" w:space="0" w:color="auto"/>
              <w:left w:val="nil"/>
              <w:bottom w:val="single" w:sz="4" w:space="0" w:color="auto"/>
              <w:right w:val="single" w:sz="4" w:space="0" w:color="auto"/>
            </w:tcBorders>
            <w:shd w:val="clear" w:color="auto" w:fill="auto"/>
          </w:tcPr>
          <w:p w14:paraId="6C32C910" w14:textId="77777777" w:rsidR="004346F3" w:rsidRPr="00536CFD" w:rsidRDefault="004346F3" w:rsidP="00802ABC">
            <w:pPr>
              <w:spacing w:after="0"/>
              <w:jc w:val="center"/>
              <w:rPr>
                <w:lang w:eastAsia="ja-JP"/>
              </w:rPr>
            </w:pPr>
            <w:r w:rsidRPr="00536CFD">
              <w:rPr>
                <w:rFonts w:eastAsia="Malgun Gothic"/>
                <w:lang w:eastAsia="ko-KR"/>
              </w:rPr>
              <w:t>0.06</w:t>
            </w:r>
          </w:p>
        </w:tc>
        <w:tc>
          <w:tcPr>
            <w:tcW w:w="694" w:type="dxa"/>
            <w:gridSpan w:val="2"/>
            <w:tcBorders>
              <w:top w:val="single" w:sz="4" w:space="0" w:color="auto"/>
              <w:left w:val="nil"/>
              <w:bottom w:val="single" w:sz="4" w:space="0" w:color="auto"/>
              <w:right w:val="single" w:sz="4" w:space="0" w:color="auto"/>
            </w:tcBorders>
            <w:shd w:val="clear" w:color="auto" w:fill="auto"/>
          </w:tcPr>
          <w:p w14:paraId="735853A2" w14:textId="77777777" w:rsidR="004346F3" w:rsidRPr="00536CFD" w:rsidRDefault="004346F3" w:rsidP="00802ABC">
            <w:pPr>
              <w:spacing w:after="0"/>
              <w:jc w:val="center"/>
              <w:rPr>
                <w:lang w:eastAsia="ja-JP"/>
              </w:rPr>
            </w:pPr>
            <w:r w:rsidRPr="00536CFD">
              <w:rPr>
                <w:rFonts w:eastAsia="Malgun Gothic"/>
                <w:lang w:eastAsia="ko-KR"/>
              </w:rPr>
              <w:t>0.323</w:t>
            </w:r>
          </w:p>
        </w:tc>
        <w:tc>
          <w:tcPr>
            <w:tcW w:w="694" w:type="dxa"/>
            <w:gridSpan w:val="2"/>
            <w:tcBorders>
              <w:top w:val="single" w:sz="4" w:space="0" w:color="auto"/>
              <w:left w:val="nil"/>
              <w:bottom w:val="single" w:sz="4" w:space="0" w:color="auto"/>
              <w:right w:val="single" w:sz="4" w:space="0" w:color="auto"/>
            </w:tcBorders>
            <w:shd w:val="clear" w:color="auto" w:fill="auto"/>
          </w:tcPr>
          <w:p w14:paraId="1E8D728D" w14:textId="77777777" w:rsidR="004346F3" w:rsidRPr="00536CFD" w:rsidRDefault="004346F3" w:rsidP="00802ABC">
            <w:pPr>
              <w:spacing w:after="0"/>
              <w:jc w:val="center"/>
              <w:rPr>
                <w:lang w:eastAsia="ja-JP"/>
              </w:rPr>
            </w:pPr>
            <w:r w:rsidRPr="00536CFD">
              <w:rPr>
                <w:rFonts w:eastAsia="Malgun Gothic"/>
                <w:lang w:eastAsia="ko-KR"/>
              </w:rPr>
              <w:t>0.265</w:t>
            </w:r>
          </w:p>
        </w:tc>
        <w:tc>
          <w:tcPr>
            <w:tcW w:w="693" w:type="dxa"/>
            <w:gridSpan w:val="2"/>
            <w:tcBorders>
              <w:top w:val="single" w:sz="4" w:space="0" w:color="auto"/>
              <w:left w:val="nil"/>
              <w:bottom w:val="single" w:sz="4" w:space="0" w:color="auto"/>
              <w:right w:val="single" w:sz="4" w:space="0" w:color="auto"/>
            </w:tcBorders>
            <w:shd w:val="clear" w:color="auto" w:fill="auto"/>
          </w:tcPr>
          <w:p w14:paraId="33705913" w14:textId="77777777" w:rsidR="004346F3" w:rsidRPr="00536CFD" w:rsidRDefault="004346F3" w:rsidP="00802ABC">
            <w:pPr>
              <w:spacing w:after="0"/>
              <w:jc w:val="center"/>
              <w:rPr>
                <w:lang w:eastAsia="ja-JP"/>
              </w:rPr>
            </w:pPr>
            <w:r w:rsidRPr="00536CFD">
              <w:rPr>
                <w:rFonts w:eastAsia="Malgun Gothic"/>
                <w:lang w:eastAsia="ko-KR"/>
              </w:rPr>
              <w:t>0.217</w:t>
            </w:r>
          </w:p>
        </w:tc>
        <w:tc>
          <w:tcPr>
            <w:tcW w:w="694" w:type="dxa"/>
            <w:gridSpan w:val="2"/>
            <w:tcBorders>
              <w:top w:val="single" w:sz="4" w:space="0" w:color="auto"/>
              <w:left w:val="nil"/>
              <w:bottom w:val="single" w:sz="4" w:space="0" w:color="auto"/>
              <w:right w:val="single" w:sz="4" w:space="0" w:color="auto"/>
            </w:tcBorders>
            <w:shd w:val="clear" w:color="auto" w:fill="auto"/>
          </w:tcPr>
          <w:p w14:paraId="7815FD2C" w14:textId="77777777" w:rsidR="004346F3" w:rsidRPr="00536CFD" w:rsidRDefault="004346F3" w:rsidP="00802ABC">
            <w:pPr>
              <w:spacing w:after="0"/>
              <w:jc w:val="center"/>
              <w:rPr>
                <w:lang w:eastAsia="ja-JP"/>
              </w:rPr>
            </w:pPr>
            <w:r w:rsidRPr="00536CFD">
              <w:rPr>
                <w:rFonts w:eastAsia="Malgun Gothic"/>
                <w:lang w:eastAsia="ko-KR"/>
              </w:rPr>
              <w:t>0.223</w:t>
            </w:r>
          </w:p>
        </w:tc>
        <w:tc>
          <w:tcPr>
            <w:tcW w:w="694" w:type="dxa"/>
            <w:gridSpan w:val="2"/>
            <w:tcBorders>
              <w:top w:val="single" w:sz="4" w:space="0" w:color="auto"/>
              <w:left w:val="nil"/>
              <w:bottom w:val="single" w:sz="4" w:space="0" w:color="auto"/>
              <w:right w:val="single" w:sz="4" w:space="0" w:color="auto"/>
            </w:tcBorders>
            <w:shd w:val="clear" w:color="auto" w:fill="auto"/>
          </w:tcPr>
          <w:p w14:paraId="7E9E87ED" w14:textId="77777777" w:rsidR="004346F3" w:rsidRPr="00536CFD" w:rsidRDefault="004346F3" w:rsidP="00802ABC">
            <w:pPr>
              <w:spacing w:after="0"/>
              <w:jc w:val="center"/>
              <w:rPr>
                <w:lang w:eastAsia="ja-JP"/>
              </w:rPr>
            </w:pPr>
            <w:r w:rsidRPr="00536CFD">
              <w:rPr>
                <w:rFonts w:eastAsia="Malgun Gothic"/>
                <w:lang w:eastAsia="ko-KR"/>
              </w:rPr>
              <w:t>0.509</w:t>
            </w:r>
          </w:p>
        </w:tc>
        <w:tc>
          <w:tcPr>
            <w:tcW w:w="693" w:type="dxa"/>
            <w:gridSpan w:val="2"/>
            <w:tcBorders>
              <w:top w:val="single" w:sz="4" w:space="0" w:color="auto"/>
              <w:left w:val="nil"/>
              <w:bottom w:val="single" w:sz="4" w:space="0" w:color="auto"/>
              <w:right w:val="single" w:sz="4" w:space="0" w:color="auto"/>
            </w:tcBorders>
            <w:shd w:val="clear" w:color="auto" w:fill="auto"/>
          </w:tcPr>
          <w:p w14:paraId="22D1948C" w14:textId="77777777" w:rsidR="004346F3" w:rsidRPr="00536CFD" w:rsidRDefault="004346F3" w:rsidP="00802ABC">
            <w:pPr>
              <w:spacing w:after="0"/>
              <w:jc w:val="center"/>
              <w:rPr>
                <w:lang w:eastAsia="ja-JP"/>
              </w:rPr>
            </w:pPr>
            <w:r w:rsidRPr="00536CFD">
              <w:rPr>
                <w:rFonts w:eastAsia="Malgun Gothic"/>
                <w:lang w:eastAsia="ko-KR"/>
              </w:rPr>
              <w:t>0.470</w:t>
            </w:r>
          </w:p>
        </w:tc>
        <w:tc>
          <w:tcPr>
            <w:tcW w:w="694" w:type="dxa"/>
            <w:gridSpan w:val="2"/>
            <w:tcBorders>
              <w:top w:val="single" w:sz="4" w:space="0" w:color="auto"/>
              <w:left w:val="nil"/>
              <w:bottom w:val="single" w:sz="4" w:space="0" w:color="auto"/>
              <w:right w:val="single" w:sz="4" w:space="0" w:color="auto"/>
            </w:tcBorders>
            <w:shd w:val="clear" w:color="auto" w:fill="auto"/>
          </w:tcPr>
          <w:p w14:paraId="5D3C85AA" w14:textId="77777777" w:rsidR="004346F3" w:rsidRPr="00536CFD" w:rsidRDefault="004346F3" w:rsidP="00802ABC">
            <w:pPr>
              <w:spacing w:after="0"/>
              <w:jc w:val="center"/>
              <w:rPr>
                <w:lang w:eastAsia="ja-JP"/>
              </w:rPr>
            </w:pPr>
            <w:r w:rsidRPr="00536CFD">
              <w:rPr>
                <w:rFonts w:eastAsia="Malgun Gothic"/>
                <w:lang w:eastAsia="ko-KR"/>
              </w:rPr>
              <w:t>0.442</w:t>
            </w:r>
          </w:p>
        </w:tc>
        <w:tc>
          <w:tcPr>
            <w:tcW w:w="694" w:type="dxa"/>
            <w:tcBorders>
              <w:top w:val="single" w:sz="4" w:space="0" w:color="auto"/>
              <w:left w:val="nil"/>
              <w:bottom w:val="single" w:sz="4" w:space="0" w:color="auto"/>
              <w:right w:val="single" w:sz="4" w:space="0" w:color="auto"/>
            </w:tcBorders>
            <w:shd w:val="clear" w:color="auto" w:fill="auto"/>
          </w:tcPr>
          <w:p w14:paraId="75E0BD8C" w14:textId="77777777" w:rsidR="004346F3" w:rsidRPr="00536CFD" w:rsidRDefault="004346F3" w:rsidP="00802ABC">
            <w:pPr>
              <w:spacing w:after="0"/>
              <w:jc w:val="center"/>
              <w:rPr>
                <w:lang w:eastAsia="ja-JP"/>
              </w:rPr>
            </w:pPr>
            <w:r w:rsidRPr="00536CFD">
              <w:rPr>
                <w:rFonts w:eastAsia="Malgun Gothic"/>
                <w:lang w:eastAsia="ko-KR"/>
              </w:rPr>
              <w:t>0.389</w:t>
            </w:r>
          </w:p>
        </w:tc>
      </w:tr>
      <w:tr w:rsidR="004346F3" w:rsidRPr="00536CFD" w14:paraId="180BB7AA" w14:textId="77777777" w:rsidTr="00802ABC">
        <w:trPr>
          <w:cantSplit/>
          <w:trHeight w:val="20"/>
        </w:trPr>
        <w:tc>
          <w:tcPr>
            <w:tcW w:w="288" w:type="dxa"/>
            <w:vMerge/>
            <w:tcBorders>
              <w:left w:val="single" w:sz="4" w:space="0" w:color="auto"/>
              <w:right w:val="single" w:sz="4" w:space="0" w:color="auto"/>
            </w:tcBorders>
            <w:shd w:val="clear" w:color="auto" w:fill="auto"/>
            <w:textDirection w:val="btLr"/>
          </w:tcPr>
          <w:p w14:paraId="79797BAA"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448A2DFB" w14:textId="77777777" w:rsidR="004346F3" w:rsidRPr="00536CFD" w:rsidRDefault="004346F3" w:rsidP="00802ABC">
            <w:pPr>
              <w:spacing w:after="0"/>
              <w:contextualSpacing/>
              <w:jc w:val="center"/>
              <w:rPr>
                <w:lang w:val="en-US" w:bidi="ar"/>
              </w:rPr>
            </w:pPr>
            <w:r w:rsidRPr="00536CFD">
              <w:rPr>
                <w:rFonts w:ascii="Cambria Math" w:hAnsi="Cambria Math" w:cs="Cambria Math"/>
              </w:rPr>
              <w:t>𝜆</w:t>
            </w:r>
          </w:p>
        </w:tc>
        <w:tc>
          <w:tcPr>
            <w:tcW w:w="2774" w:type="dxa"/>
            <w:gridSpan w:val="8"/>
            <w:tcBorders>
              <w:top w:val="single" w:sz="4" w:space="0" w:color="auto"/>
              <w:left w:val="nil"/>
              <w:bottom w:val="single" w:sz="4" w:space="0" w:color="auto"/>
              <w:right w:val="single" w:sz="4" w:space="0" w:color="auto"/>
            </w:tcBorders>
            <w:shd w:val="clear" w:color="auto" w:fill="auto"/>
          </w:tcPr>
          <w:p w14:paraId="0412CE87" w14:textId="77777777" w:rsidR="004346F3" w:rsidRPr="00536CFD" w:rsidRDefault="004346F3" w:rsidP="00802ABC">
            <w:pPr>
              <w:spacing w:after="0"/>
              <w:jc w:val="center"/>
              <w:rPr>
                <w:lang w:eastAsia="ja-JP"/>
              </w:rPr>
            </w:pPr>
            <w:r w:rsidRPr="00536CFD">
              <w:rPr>
                <w:rFonts w:eastAsia="Malgun Gothic"/>
                <w:lang w:eastAsia="ko-KR"/>
              </w:rPr>
              <w:t>0.1</w:t>
            </w:r>
          </w:p>
        </w:tc>
        <w:tc>
          <w:tcPr>
            <w:tcW w:w="2775" w:type="dxa"/>
            <w:gridSpan w:val="8"/>
            <w:tcBorders>
              <w:top w:val="single" w:sz="4" w:space="0" w:color="auto"/>
              <w:left w:val="nil"/>
              <w:bottom w:val="single" w:sz="4" w:space="0" w:color="auto"/>
              <w:right w:val="single" w:sz="4" w:space="0" w:color="auto"/>
            </w:tcBorders>
            <w:shd w:val="clear" w:color="auto" w:fill="auto"/>
          </w:tcPr>
          <w:p w14:paraId="6089CA70" w14:textId="77777777" w:rsidR="004346F3" w:rsidRPr="00536CFD" w:rsidRDefault="004346F3" w:rsidP="00802ABC">
            <w:pPr>
              <w:spacing w:after="0"/>
              <w:jc w:val="center"/>
              <w:rPr>
                <w:lang w:eastAsia="ja-JP"/>
              </w:rPr>
            </w:pPr>
            <w:r w:rsidRPr="00536CFD">
              <w:rPr>
                <w:rFonts w:eastAsia="Malgun Gothic"/>
                <w:lang w:eastAsia="ko-KR"/>
              </w:rPr>
              <w:t>0.175</w:t>
            </w:r>
          </w:p>
        </w:tc>
        <w:tc>
          <w:tcPr>
            <w:tcW w:w="2775" w:type="dxa"/>
            <w:gridSpan w:val="7"/>
            <w:tcBorders>
              <w:top w:val="single" w:sz="4" w:space="0" w:color="auto"/>
              <w:left w:val="nil"/>
              <w:bottom w:val="single" w:sz="4" w:space="0" w:color="auto"/>
              <w:right w:val="single" w:sz="4" w:space="0" w:color="auto"/>
            </w:tcBorders>
            <w:shd w:val="clear" w:color="auto" w:fill="auto"/>
          </w:tcPr>
          <w:p w14:paraId="212809C6" w14:textId="77777777" w:rsidR="004346F3" w:rsidRPr="00536CFD" w:rsidRDefault="004346F3" w:rsidP="00802ABC">
            <w:pPr>
              <w:spacing w:after="0"/>
              <w:jc w:val="center"/>
              <w:rPr>
                <w:lang w:eastAsia="ja-JP"/>
              </w:rPr>
            </w:pPr>
            <w:r w:rsidRPr="00536CFD">
              <w:rPr>
                <w:rFonts w:eastAsia="Malgun Gothic"/>
                <w:lang w:eastAsia="ko-KR"/>
              </w:rPr>
              <w:t>0.</w:t>
            </w:r>
            <w:r w:rsidRPr="00536CFD" w:rsidDel="00815160">
              <w:rPr>
                <w:rFonts w:eastAsia="Malgun Gothic"/>
                <w:lang w:eastAsia="ko-KR"/>
              </w:rPr>
              <w:t>2</w:t>
            </w:r>
            <w:r w:rsidRPr="00536CFD">
              <w:rPr>
                <w:rFonts w:eastAsia="Malgun Gothic"/>
                <w:lang w:eastAsia="ko-KR"/>
              </w:rPr>
              <w:t>5</w:t>
            </w:r>
          </w:p>
        </w:tc>
      </w:tr>
      <w:tr w:rsidR="004346F3" w:rsidRPr="00536CFD" w14:paraId="03FE7B2C" w14:textId="77777777" w:rsidTr="00802ABC">
        <w:trPr>
          <w:cantSplit/>
          <w:trHeight w:val="20"/>
        </w:trPr>
        <w:tc>
          <w:tcPr>
            <w:tcW w:w="288" w:type="dxa"/>
            <w:vMerge/>
            <w:tcBorders>
              <w:left w:val="single" w:sz="4" w:space="0" w:color="auto"/>
              <w:bottom w:val="single" w:sz="4" w:space="0" w:color="auto"/>
              <w:right w:val="single" w:sz="4" w:space="0" w:color="auto"/>
            </w:tcBorders>
            <w:shd w:val="clear" w:color="auto" w:fill="auto"/>
            <w:textDirection w:val="btLr"/>
          </w:tcPr>
          <w:p w14:paraId="1491BA38" w14:textId="77777777" w:rsidR="004346F3" w:rsidRPr="00536CFD" w:rsidRDefault="004346F3" w:rsidP="00802ABC">
            <w:pPr>
              <w:spacing w:after="0"/>
              <w:ind w:left="113" w:right="113"/>
            </w:pPr>
          </w:p>
        </w:tc>
        <w:tc>
          <w:tcPr>
            <w:tcW w:w="1166" w:type="dxa"/>
            <w:gridSpan w:val="3"/>
            <w:tcBorders>
              <w:top w:val="single" w:sz="4" w:space="0" w:color="auto"/>
              <w:left w:val="nil"/>
              <w:bottom w:val="single" w:sz="4" w:space="0" w:color="auto"/>
              <w:right w:val="single" w:sz="4" w:space="0" w:color="auto"/>
            </w:tcBorders>
            <w:shd w:val="clear" w:color="auto" w:fill="auto"/>
          </w:tcPr>
          <w:p w14:paraId="35A1B86E" w14:textId="77777777" w:rsidR="004346F3" w:rsidRPr="00536CFD" w:rsidRDefault="004346F3" w:rsidP="00802ABC">
            <w:pPr>
              <w:spacing w:after="0"/>
              <w:contextualSpacing/>
              <w:rPr>
                <w:lang w:val="en-US" w:bidi="ar"/>
              </w:rPr>
            </w:pPr>
          </w:p>
        </w:tc>
        <w:tc>
          <w:tcPr>
            <w:tcW w:w="8324" w:type="dxa"/>
            <w:gridSpan w:val="23"/>
            <w:tcBorders>
              <w:top w:val="single" w:sz="4" w:space="0" w:color="auto"/>
              <w:left w:val="nil"/>
              <w:bottom w:val="single" w:sz="4" w:space="0" w:color="auto"/>
              <w:right w:val="single" w:sz="4" w:space="0" w:color="auto"/>
            </w:tcBorders>
            <w:shd w:val="clear" w:color="auto" w:fill="auto"/>
          </w:tcPr>
          <w:p w14:paraId="182D35BF" w14:textId="77777777" w:rsidR="004346F3" w:rsidRPr="00536CFD" w:rsidRDefault="004346F3" w:rsidP="00802ABC">
            <w:pPr>
              <w:pStyle w:val="ListParagraph"/>
              <w:spacing w:after="0"/>
              <w:ind w:firstLineChars="0" w:firstLine="0"/>
              <w:jc w:val="both"/>
              <w:rPr>
                <w:lang w:val="en-US"/>
              </w:rPr>
            </w:pPr>
            <w:r w:rsidRPr="00536CFD">
              <w:t>Additional comments:</w:t>
            </w:r>
          </w:p>
          <w:p w14:paraId="19739570" w14:textId="4EAAF277" w:rsidR="004346F3" w:rsidRPr="00536CFD" w:rsidRDefault="00031F65" w:rsidP="00031F65">
            <w:pPr>
              <w:pStyle w:val="B1"/>
              <w:spacing w:after="0"/>
            </w:pPr>
            <w:r w:rsidRPr="00536CFD">
              <w:t>-</w:t>
            </w:r>
            <w:r w:rsidRPr="00536CFD">
              <w:tab/>
            </w:r>
            <w:r w:rsidR="004346F3" w:rsidRPr="00536CFD">
              <w:t>4ms for both Wi-Fi and NR-U</w:t>
            </w:r>
          </w:p>
          <w:p w14:paraId="0238B43F" w14:textId="25C011AA" w:rsidR="004346F3" w:rsidRPr="00536CFD" w:rsidRDefault="00031F65" w:rsidP="00031F65">
            <w:pPr>
              <w:pStyle w:val="B1"/>
              <w:spacing w:after="0"/>
            </w:pPr>
            <w:r w:rsidRPr="00536CFD">
              <w:t>-</w:t>
            </w:r>
            <w:r w:rsidRPr="00536CFD">
              <w:tab/>
            </w:r>
            <w:r w:rsidR="004346F3" w:rsidRPr="00536CFD">
              <w:t>No</w:t>
            </w:r>
          </w:p>
          <w:p w14:paraId="54677E19" w14:textId="12EC9739" w:rsidR="004346F3" w:rsidRPr="00536CFD" w:rsidRDefault="00031F65" w:rsidP="00031F65">
            <w:pPr>
              <w:pStyle w:val="B1"/>
              <w:spacing w:after="0"/>
            </w:pPr>
            <w:r w:rsidRPr="00536CFD">
              <w:t>-</w:t>
            </w:r>
            <w:r w:rsidRPr="00536CFD">
              <w:tab/>
            </w:r>
            <w:r w:rsidR="004346F3" w:rsidRPr="00536CFD">
              <w:t>For Wi-Fi, PDT = -82 dBm, EDT = -62 dBm; for NR-U EDT = -72 dBm (baseline)</w:t>
            </w:r>
          </w:p>
          <w:p w14:paraId="215D5B2E" w14:textId="111162E6" w:rsidR="004346F3" w:rsidRPr="00536CFD" w:rsidRDefault="00031F65" w:rsidP="00031F65">
            <w:pPr>
              <w:pStyle w:val="B1"/>
              <w:spacing w:after="0"/>
            </w:pPr>
            <w:r w:rsidRPr="00536CFD">
              <w:t>-</w:t>
            </w:r>
            <w:r w:rsidRPr="00536CFD">
              <w:tab/>
            </w:r>
            <w:r w:rsidR="004346F3" w:rsidRPr="00536CFD">
              <w:t>256 QAM for both Wi-Fi and NR-U</w:t>
            </w:r>
          </w:p>
          <w:p w14:paraId="157FB2E1" w14:textId="537E6CBE" w:rsidR="004346F3" w:rsidRPr="00536CFD" w:rsidRDefault="00031F65" w:rsidP="00031F65">
            <w:pPr>
              <w:pStyle w:val="B1"/>
              <w:spacing w:after="0"/>
            </w:pPr>
            <w:r w:rsidRPr="00536CFD">
              <w:t>-</w:t>
            </w:r>
            <w:r w:rsidRPr="00536CFD">
              <w:tab/>
            </w:r>
            <w:r w:rsidR="004346F3" w:rsidRPr="00536CFD">
              <w:t>NR-U with array radiation pattern according to TR38.802 and max BF gain of 5 dBi; omni-directional for Wi-Fi</w:t>
            </w:r>
          </w:p>
          <w:p w14:paraId="5EFE19EF" w14:textId="3AD78B3E" w:rsidR="004346F3" w:rsidRPr="00536CFD" w:rsidRDefault="00031F65" w:rsidP="00031F65">
            <w:pPr>
              <w:pStyle w:val="B1"/>
              <w:spacing w:after="0"/>
            </w:pPr>
            <w:r w:rsidRPr="00536CFD">
              <w:t>-</w:t>
            </w:r>
            <w:r w:rsidRPr="00536CFD">
              <w:tab/>
            </w:r>
            <w:r w:rsidR="004346F3" w:rsidRPr="00536CFD">
              <w:t xml:space="preserve">MPDU size = 3250 bytes by default, 1ms per MPDU </w:t>
            </w:r>
          </w:p>
          <w:p w14:paraId="5535C881" w14:textId="3815E626" w:rsidR="004346F3" w:rsidRPr="00536CFD" w:rsidRDefault="00031F65" w:rsidP="00031F65">
            <w:pPr>
              <w:pStyle w:val="B1"/>
              <w:spacing w:after="0"/>
            </w:pPr>
            <w:r w:rsidRPr="00536CFD">
              <w:t>-</w:t>
            </w:r>
            <w:r w:rsidRPr="00536CFD">
              <w:tab/>
            </w:r>
            <w:r w:rsidR="004346F3" w:rsidRPr="00536CFD">
              <w:t>15 kHz</w:t>
            </w:r>
          </w:p>
          <w:p w14:paraId="0B59DF2C" w14:textId="2595BD6F" w:rsidR="004346F3" w:rsidRPr="00536CFD" w:rsidRDefault="00031F65" w:rsidP="00031F65">
            <w:pPr>
              <w:pStyle w:val="B1"/>
              <w:spacing w:after="0"/>
            </w:pPr>
            <w:r w:rsidRPr="00536CFD">
              <w:t>-</w:t>
            </w:r>
            <w:r w:rsidRPr="00536CFD">
              <w:tab/>
            </w:r>
            <w:r w:rsidR="00200090">
              <w:t xml:space="preserve">0.8 </w:t>
            </w:r>
            <w:r w:rsidR="00200090" w:rsidRPr="00C64ECB">
              <w:rPr>
                <w:rFonts w:ascii="Symbol" w:hAnsi="Symbol"/>
              </w:rPr>
              <w:t></w:t>
            </w:r>
            <w:r w:rsidR="004346F3" w:rsidRPr="00536CFD">
              <w:t>s</w:t>
            </w:r>
          </w:p>
          <w:p w14:paraId="11D35A74" w14:textId="5689DEE5" w:rsidR="004346F3" w:rsidRPr="00536CFD" w:rsidRDefault="00031F65" w:rsidP="00031F65">
            <w:pPr>
              <w:pStyle w:val="B1"/>
              <w:spacing w:after="0"/>
            </w:pPr>
            <w:r w:rsidRPr="00536CFD">
              <w:t>-</w:t>
            </w:r>
            <w:r w:rsidRPr="00536CFD">
              <w:tab/>
            </w:r>
            <w:r w:rsidR="004346F3" w:rsidRPr="00536CFD">
              <w:t>Capability #1</w:t>
            </w:r>
          </w:p>
          <w:p w14:paraId="7441C1D8" w14:textId="2D9B5FCD" w:rsidR="004346F3" w:rsidRPr="00536CFD" w:rsidRDefault="00031F65" w:rsidP="00031F65">
            <w:pPr>
              <w:pStyle w:val="B1"/>
              <w:spacing w:after="0"/>
            </w:pPr>
            <w:r w:rsidRPr="00536CFD">
              <w:t>-</w:t>
            </w:r>
            <w:r w:rsidRPr="00536CFD">
              <w:tab/>
            </w:r>
            <w:r w:rsidR="004346F3" w:rsidRPr="00536CFD">
              <w:t>Mapping type B in the starting slot of TxOP; per-symbol PDCCH monitoring for flexible starting position</w:t>
            </w:r>
          </w:p>
          <w:p w14:paraId="19B67408" w14:textId="415A6A40" w:rsidR="004346F3" w:rsidRPr="00536CFD" w:rsidRDefault="00031F65" w:rsidP="00031F65">
            <w:pPr>
              <w:pStyle w:val="B1"/>
              <w:spacing w:after="0"/>
            </w:pPr>
            <w:r w:rsidRPr="00536CFD">
              <w:t>-</w:t>
            </w:r>
            <w:r w:rsidRPr="00536CFD">
              <w:tab/>
            </w:r>
            <w:r w:rsidR="004346F3" w:rsidRPr="00536CFD">
              <w:t>No fast link adaptation utilizing multiple switching points within COT for NR-U</w:t>
            </w:r>
          </w:p>
          <w:p w14:paraId="70B251F1" w14:textId="4D1DBFC4" w:rsidR="004346F3" w:rsidRPr="00536CFD" w:rsidRDefault="00031F65" w:rsidP="00031F65">
            <w:pPr>
              <w:pStyle w:val="B1"/>
              <w:spacing w:after="0"/>
              <w:rPr>
                <w:lang w:eastAsia="ja-JP"/>
              </w:rPr>
            </w:pPr>
            <w:r w:rsidRPr="00536CFD">
              <w:t>-</w:t>
            </w:r>
            <w:r w:rsidRPr="00536CFD">
              <w:tab/>
            </w:r>
            <w:r w:rsidR="004346F3" w:rsidRPr="00536CFD">
              <w:t>Cross-carrier scheduling in UL</w:t>
            </w:r>
          </w:p>
        </w:tc>
      </w:tr>
    </w:tbl>
    <w:p w14:paraId="54C7FAC2" w14:textId="77777777" w:rsidR="004346F3" w:rsidRPr="00536CFD" w:rsidRDefault="004346F3" w:rsidP="00571BB8">
      <w:pPr>
        <w:pStyle w:val="TH"/>
        <w:rPr>
          <w:rFonts w:ascii="Times New Roman" w:hAnsi="Times New Roman"/>
        </w:rPr>
      </w:pPr>
    </w:p>
    <w:tbl>
      <w:tblPr>
        <w:tblStyle w:val="TableGrid2"/>
        <w:tblW w:w="0" w:type="auto"/>
        <w:tblCellMar>
          <w:left w:w="0" w:type="dxa"/>
          <w:right w:w="0" w:type="dxa"/>
        </w:tblCellMar>
        <w:tblLook w:val="04A0" w:firstRow="1" w:lastRow="0" w:firstColumn="1" w:lastColumn="0" w:noHBand="0" w:noVBand="1"/>
      </w:tblPr>
      <w:tblGrid>
        <w:gridCol w:w="314"/>
        <w:gridCol w:w="608"/>
        <w:gridCol w:w="468"/>
        <w:gridCol w:w="695"/>
        <w:gridCol w:w="695"/>
        <w:gridCol w:w="695"/>
        <w:gridCol w:w="695"/>
        <w:gridCol w:w="695"/>
        <w:gridCol w:w="695"/>
        <w:gridCol w:w="695"/>
        <w:gridCol w:w="695"/>
        <w:gridCol w:w="596"/>
        <w:gridCol w:w="695"/>
        <w:gridCol w:w="695"/>
        <w:gridCol w:w="695"/>
      </w:tblGrid>
      <w:tr w:rsidR="004346F3" w:rsidRPr="00536CFD" w14:paraId="30E9B6C9" w14:textId="77777777" w:rsidTr="00536CFD">
        <w:trPr>
          <w:cantSplit/>
          <w:trHeight w:val="22"/>
        </w:trPr>
        <w:tc>
          <w:tcPr>
            <w:tcW w:w="0" w:type="auto"/>
            <w:vMerge w:val="restart"/>
            <w:textDirection w:val="btLr"/>
          </w:tcPr>
          <w:p w14:paraId="3E3490B7" w14:textId="353C8A20" w:rsidR="004346F3" w:rsidRPr="00536CFD" w:rsidRDefault="004346F3" w:rsidP="00536CFD">
            <w:pPr>
              <w:pageBreakBefore/>
              <w:spacing w:after="60"/>
              <w:ind w:left="113" w:right="113"/>
              <w:jc w:val="center"/>
              <w:rPr>
                <w:rFonts w:ascii="Times New Roman" w:hAnsi="Times New Roman"/>
                <w:sz w:val="20"/>
                <w:szCs w:val="20"/>
              </w:rPr>
            </w:pPr>
            <w:r w:rsidRPr="00536CFD">
              <w:rPr>
                <w:rFonts w:ascii="Times New Roman" w:hAnsi="Times New Roman"/>
                <w:sz w:val="20"/>
                <w:szCs w:val="20"/>
              </w:rPr>
              <w:t>Tdoc /Source</w:t>
            </w:r>
          </w:p>
        </w:tc>
        <w:tc>
          <w:tcPr>
            <w:tcW w:w="0" w:type="auto"/>
            <w:gridSpan w:val="2"/>
            <w:vMerge w:val="restart"/>
          </w:tcPr>
          <w:p w14:paraId="01A0A084" w14:textId="77777777" w:rsidR="004346F3" w:rsidRPr="00536CFD" w:rsidRDefault="004346F3" w:rsidP="00831ADB">
            <w:pPr>
              <w:pageBreakBefore/>
              <w:spacing w:after="60"/>
              <w:jc w:val="center"/>
              <w:rPr>
                <w:rFonts w:ascii="Times New Roman" w:hAnsi="Times New Roman"/>
                <w:sz w:val="20"/>
                <w:szCs w:val="20"/>
              </w:rPr>
            </w:pPr>
          </w:p>
          <w:p w14:paraId="0A3A87E0" w14:textId="77777777" w:rsidR="004346F3" w:rsidRPr="00536CFD" w:rsidRDefault="004346F3" w:rsidP="00831ADB">
            <w:pPr>
              <w:pageBreakBefore/>
              <w:spacing w:after="60"/>
              <w:jc w:val="center"/>
              <w:rPr>
                <w:rFonts w:ascii="Times New Roman" w:hAnsi="Times New Roman"/>
                <w:sz w:val="20"/>
                <w:szCs w:val="20"/>
              </w:rPr>
            </w:pPr>
            <w:r w:rsidRPr="00536CFD">
              <w:rPr>
                <w:rFonts w:ascii="Times New Roman" w:hAnsi="Times New Roman"/>
                <w:sz w:val="20"/>
                <w:szCs w:val="20"/>
              </w:rPr>
              <w:t>Reported parameters</w:t>
            </w:r>
          </w:p>
        </w:tc>
        <w:tc>
          <w:tcPr>
            <w:tcW w:w="0" w:type="auto"/>
            <w:gridSpan w:val="4"/>
          </w:tcPr>
          <w:p w14:paraId="027B5E64"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u w:val="single"/>
              </w:rPr>
              <w:t>Low load</w:t>
            </w:r>
          </w:p>
          <w:p w14:paraId="51E0E247"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rPr>
              <w:t xml:space="preserve">BO range for Wi-Fi in </w:t>
            </w:r>
            <w:r w:rsidRPr="00536CFD">
              <w:rPr>
                <w:rFonts w:ascii="Times New Roman" w:hAnsi="Times New Roman"/>
                <w:sz w:val="20"/>
                <w:szCs w:val="20"/>
              </w:rPr>
              <w:br/>
              <w:t xml:space="preserve">Wi-Fi+Wi-Fi: </w:t>
            </w:r>
            <w:r w:rsidRPr="00536CFD">
              <w:rPr>
                <w:rFonts w:ascii="Times New Roman" w:eastAsia="MS Mincho" w:hAnsi="Times New Roman"/>
                <w:sz w:val="20"/>
                <w:szCs w:val="20"/>
              </w:rPr>
              <w:t>10%~25%</w:t>
            </w:r>
          </w:p>
        </w:tc>
        <w:tc>
          <w:tcPr>
            <w:tcW w:w="0" w:type="auto"/>
            <w:gridSpan w:val="4"/>
          </w:tcPr>
          <w:p w14:paraId="3B55ABFA"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u w:val="single"/>
              </w:rPr>
              <w:t>Medium load</w:t>
            </w:r>
          </w:p>
          <w:p w14:paraId="60B37760"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rPr>
              <w:t xml:space="preserve">BO range for Wi-Fi in </w:t>
            </w:r>
            <w:r w:rsidRPr="00536CFD">
              <w:rPr>
                <w:rFonts w:ascii="Times New Roman" w:hAnsi="Times New Roman"/>
                <w:sz w:val="20"/>
                <w:szCs w:val="20"/>
              </w:rPr>
              <w:br/>
              <w:t xml:space="preserve">Wi-Fi+Wi-Fi: </w:t>
            </w:r>
            <w:r w:rsidRPr="00536CFD">
              <w:rPr>
                <w:rFonts w:ascii="Times New Roman" w:eastAsia="MS Mincho" w:hAnsi="Times New Roman"/>
                <w:sz w:val="20"/>
                <w:szCs w:val="20"/>
              </w:rPr>
              <w:t>35%~50%</w:t>
            </w:r>
          </w:p>
        </w:tc>
        <w:tc>
          <w:tcPr>
            <w:tcW w:w="0" w:type="auto"/>
            <w:gridSpan w:val="4"/>
          </w:tcPr>
          <w:p w14:paraId="5FF78ABF"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u w:val="single"/>
              </w:rPr>
              <w:t>High load</w:t>
            </w:r>
          </w:p>
          <w:p w14:paraId="3692984E" w14:textId="77777777" w:rsidR="004346F3" w:rsidRPr="00536CFD" w:rsidRDefault="004346F3" w:rsidP="00831ADB">
            <w:pPr>
              <w:pageBreakBefore/>
              <w:spacing w:after="60"/>
              <w:jc w:val="center"/>
              <w:rPr>
                <w:rFonts w:ascii="Times New Roman" w:hAnsi="Times New Roman"/>
                <w:sz w:val="20"/>
                <w:szCs w:val="20"/>
                <w:u w:val="single"/>
              </w:rPr>
            </w:pPr>
            <w:r w:rsidRPr="00536CFD">
              <w:rPr>
                <w:rFonts w:ascii="Times New Roman" w:hAnsi="Times New Roman"/>
                <w:sz w:val="20"/>
                <w:szCs w:val="20"/>
              </w:rPr>
              <w:t xml:space="preserve">BO range for Wi-Fi in </w:t>
            </w:r>
            <w:r w:rsidRPr="00536CFD">
              <w:rPr>
                <w:rFonts w:ascii="Times New Roman" w:hAnsi="Times New Roman"/>
                <w:sz w:val="20"/>
                <w:szCs w:val="20"/>
              </w:rPr>
              <w:br/>
              <w:t>Wi-Fi+Wi-Fi: above 55%</w:t>
            </w:r>
          </w:p>
        </w:tc>
      </w:tr>
      <w:tr w:rsidR="004346F3" w:rsidRPr="00536CFD" w14:paraId="3E8AB4B1" w14:textId="77777777" w:rsidTr="00536CFD">
        <w:trPr>
          <w:cantSplit/>
          <w:trHeight w:val="22"/>
        </w:trPr>
        <w:tc>
          <w:tcPr>
            <w:tcW w:w="0" w:type="auto"/>
            <w:vMerge/>
          </w:tcPr>
          <w:p w14:paraId="11161DAE" w14:textId="77777777" w:rsidR="004346F3" w:rsidRPr="00536CFD" w:rsidRDefault="004346F3" w:rsidP="00802ABC">
            <w:pPr>
              <w:spacing w:after="60"/>
              <w:jc w:val="center"/>
              <w:rPr>
                <w:rFonts w:ascii="Times New Roman" w:hAnsi="Times New Roman"/>
                <w:sz w:val="20"/>
                <w:szCs w:val="20"/>
              </w:rPr>
            </w:pPr>
          </w:p>
        </w:tc>
        <w:tc>
          <w:tcPr>
            <w:tcW w:w="0" w:type="auto"/>
            <w:gridSpan w:val="2"/>
            <w:vMerge/>
          </w:tcPr>
          <w:p w14:paraId="187D5BD4" w14:textId="77777777" w:rsidR="004346F3" w:rsidRPr="00536CFD" w:rsidRDefault="004346F3" w:rsidP="00802ABC">
            <w:pPr>
              <w:spacing w:after="60"/>
              <w:jc w:val="center"/>
              <w:rPr>
                <w:rFonts w:ascii="Times New Roman" w:hAnsi="Times New Roman"/>
                <w:sz w:val="20"/>
                <w:szCs w:val="20"/>
              </w:rPr>
            </w:pPr>
          </w:p>
        </w:tc>
        <w:tc>
          <w:tcPr>
            <w:tcW w:w="0" w:type="auto"/>
          </w:tcPr>
          <w:p w14:paraId="1C388FA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40EC105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Wi-Fi</w:t>
            </w:r>
          </w:p>
        </w:tc>
        <w:tc>
          <w:tcPr>
            <w:tcW w:w="0" w:type="auto"/>
          </w:tcPr>
          <w:p w14:paraId="3B3C0AE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097A772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NR-U</w:t>
            </w:r>
          </w:p>
        </w:tc>
        <w:tc>
          <w:tcPr>
            <w:tcW w:w="0" w:type="auto"/>
          </w:tcPr>
          <w:p w14:paraId="3A3A51C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6A60697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p>
          <w:p w14:paraId="0FBA746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7F0FCD5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1C4622A2"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p w14:paraId="49AB5D0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4E1C5D2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312FC22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Wi-Fi</w:t>
            </w:r>
          </w:p>
        </w:tc>
        <w:tc>
          <w:tcPr>
            <w:tcW w:w="0" w:type="auto"/>
          </w:tcPr>
          <w:p w14:paraId="1037D8C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49838A1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NR-U</w:t>
            </w:r>
          </w:p>
        </w:tc>
        <w:tc>
          <w:tcPr>
            <w:tcW w:w="0" w:type="auto"/>
          </w:tcPr>
          <w:p w14:paraId="565507E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171D965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p>
          <w:p w14:paraId="651E5F60"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593DCDCD"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330D08D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p w14:paraId="1618F20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5608D84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2C5E9D79"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Wi-Fi</w:t>
            </w:r>
          </w:p>
        </w:tc>
        <w:tc>
          <w:tcPr>
            <w:tcW w:w="0" w:type="auto"/>
          </w:tcPr>
          <w:p w14:paraId="44CBF7D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 in</w:t>
            </w:r>
          </w:p>
          <w:p w14:paraId="5FEF8E2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r w:rsidRPr="00536CFD">
              <w:rPr>
                <w:rFonts w:ascii="Times New Roman" w:hAnsi="Times New Roman"/>
                <w:sz w:val="20"/>
                <w:szCs w:val="20"/>
              </w:rPr>
              <w:br/>
              <w:t>NR-U</w:t>
            </w:r>
          </w:p>
        </w:tc>
        <w:tc>
          <w:tcPr>
            <w:tcW w:w="0" w:type="auto"/>
          </w:tcPr>
          <w:p w14:paraId="042D5DF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5B7A808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Wi-Fi+</w:t>
            </w:r>
          </w:p>
          <w:p w14:paraId="05A0C26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c>
          <w:tcPr>
            <w:tcW w:w="0" w:type="auto"/>
          </w:tcPr>
          <w:p w14:paraId="034EFF0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 in</w:t>
            </w:r>
          </w:p>
          <w:p w14:paraId="089B657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p w14:paraId="4C8FAA72"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NR-U</w:t>
            </w:r>
          </w:p>
        </w:tc>
      </w:tr>
      <w:tr w:rsidR="004346F3" w:rsidRPr="00536CFD" w14:paraId="381B3525" w14:textId="77777777" w:rsidTr="00536CFD">
        <w:trPr>
          <w:cantSplit/>
          <w:trHeight w:val="22"/>
        </w:trPr>
        <w:tc>
          <w:tcPr>
            <w:tcW w:w="0" w:type="auto"/>
            <w:vMerge w:val="restart"/>
            <w:textDirection w:val="btLr"/>
          </w:tcPr>
          <w:p w14:paraId="6A42BA52" w14:textId="77777777" w:rsidR="004346F3" w:rsidRPr="00536CFD" w:rsidRDefault="004346F3" w:rsidP="00802ABC">
            <w:pPr>
              <w:spacing w:after="60"/>
              <w:ind w:left="113" w:right="113"/>
              <w:jc w:val="center"/>
              <w:rPr>
                <w:rFonts w:ascii="Times New Roman" w:hAnsi="Times New Roman"/>
                <w:sz w:val="20"/>
                <w:szCs w:val="20"/>
              </w:rPr>
            </w:pPr>
            <w:r w:rsidRPr="00536CFD">
              <w:rPr>
                <w:rFonts w:ascii="Times New Roman" w:hAnsi="Times New Roman"/>
                <w:sz w:val="20"/>
                <w:szCs w:val="20"/>
              </w:rPr>
              <w:t>R1- 1814062 /Source 6</w:t>
            </w:r>
          </w:p>
        </w:tc>
        <w:tc>
          <w:tcPr>
            <w:tcW w:w="0" w:type="auto"/>
            <w:vMerge w:val="restart"/>
          </w:tcPr>
          <w:p w14:paraId="1CF2DBB2"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DL</w:t>
            </w:r>
          </w:p>
          <w:p w14:paraId="2BE2F17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UPT CDF</w:t>
            </w:r>
          </w:p>
          <w:p w14:paraId="3C5625B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[Mbps]</w:t>
            </w:r>
          </w:p>
        </w:tc>
        <w:tc>
          <w:tcPr>
            <w:tcW w:w="0" w:type="auto"/>
          </w:tcPr>
          <w:p w14:paraId="4FF2B6C0"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D59BD97"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3.714</w:t>
            </w:r>
          </w:p>
        </w:tc>
        <w:tc>
          <w:tcPr>
            <w:tcW w:w="0" w:type="auto"/>
            <w:tcBorders>
              <w:top w:val="single" w:sz="4" w:space="0" w:color="auto"/>
              <w:left w:val="nil"/>
              <w:bottom w:val="single" w:sz="4" w:space="0" w:color="auto"/>
              <w:right w:val="single" w:sz="4" w:space="0" w:color="auto"/>
            </w:tcBorders>
            <w:shd w:val="clear" w:color="auto" w:fill="auto"/>
            <w:vAlign w:val="bottom"/>
          </w:tcPr>
          <w:p w14:paraId="66CB1B86"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4.364</w:t>
            </w:r>
          </w:p>
        </w:tc>
        <w:tc>
          <w:tcPr>
            <w:tcW w:w="0" w:type="auto"/>
            <w:tcBorders>
              <w:top w:val="single" w:sz="4" w:space="0" w:color="auto"/>
              <w:left w:val="nil"/>
              <w:bottom w:val="single" w:sz="4" w:space="0" w:color="auto"/>
              <w:right w:val="single" w:sz="4" w:space="0" w:color="auto"/>
            </w:tcBorders>
            <w:shd w:val="clear" w:color="auto" w:fill="auto"/>
            <w:vAlign w:val="bottom"/>
          </w:tcPr>
          <w:p w14:paraId="18EBE36F"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30.880</w:t>
            </w:r>
          </w:p>
        </w:tc>
        <w:tc>
          <w:tcPr>
            <w:tcW w:w="0" w:type="auto"/>
            <w:tcBorders>
              <w:top w:val="single" w:sz="4" w:space="0" w:color="auto"/>
              <w:left w:val="nil"/>
              <w:bottom w:val="single" w:sz="4" w:space="0" w:color="auto"/>
              <w:right w:val="single" w:sz="4" w:space="0" w:color="auto"/>
            </w:tcBorders>
            <w:shd w:val="clear" w:color="auto" w:fill="auto"/>
            <w:vAlign w:val="bottom"/>
          </w:tcPr>
          <w:p w14:paraId="2C80E78D"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37.545</w:t>
            </w:r>
          </w:p>
        </w:tc>
        <w:tc>
          <w:tcPr>
            <w:tcW w:w="0" w:type="auto"/>
            <w:tcBorders>
              <w:top w:val="single" w:sz="4" w:space="0" w:color="auto"/>
              <w:left w:val="nil"/>
              <w:bottom w:val="single" w:sz="4" w:space="0" w:color="auto"/>
              <w:right w:val="single" w:sz="4" w:space="0" w:color="auto"/>
            </w:tcBorders>
            <w:shd w:val="clear" w:color="auto" w:fill="auto"/>
            <w:vAlign w:val="bottom"/>
          </w:tcPr>
          <w:p w14:paraId="683FD7F9"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1.541</w:t>
            </w:r>
          </w:p>
        </w:tc>
        <w:tc>
          <w:tcPr>
            <w:tcW w:w="0" w:type="auto"/>
            <w:tcBorders>
              <w:top w:val="single" w:sz="4" w:space="0" w:color="auto"/>
              <w:left w:val="nil"/>
              <w:bottom w:val="single" w:sz="4" w:space="0" w:color="auto"/>
              <w:right w:val="single" w:sz="4" w:space="0" w:color="auto"/>
            </w:tcBorders>
            <w:shd w:val="clear" w:color="auto" w:fill="auto"/>
            <w:vAlign w:val="bottom"/>
          </w:tcPr>
          <w:p w14:paraId="744D5DCB"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3.672</w:t>
            </w:r>
          </w:p>
        </w:tc>
        <w:tc>
          <w:tcPr>
            <w:tcW w:w="0" w:type="auto"/>
            <w:tcBorders>
              <w:top w:val="single" w:sz="4" w:space="0" w:color="auto"/>
              <w:left w:val="nil"/>
              <w:bottom w:val="single" w:sz="4" w:space="0" w:color="auto"/>
              <w:right w:val="single" w:sz="4" w:space="0" w:color="auto"/>
            </w:tcBorders>
            <w:shd w:val="clear" w:color="auto" w:fill="auto"/>
            <w:vAlign w:val="bottom"/>
          </w:tcPr>
          <w:p w14:paraId="57143BFE"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16.983</w:t>
            </w:r>
          </w:p>
        </w:tc>
        <w:tc>
          <w:tcPr>
            <w:tcW w:w="0" w:type="auto"/>
            <w:tcBorders>
              <w:top w:val="single" w:sz="4" w:space="0" w:color="auto"/>
              <w:left w:val="nil"/>
              <w:bottom w:val="single" w:sz="4" w:space="0" w:color="auto"/>
              <w:right w:val="single" w:sz="4" w:space="0" w:color="auto"/>
            </w:tcBorders>
            <w:shd w:val="clear" w:color="auto" w:fill="auto"/>
            <w:vAlign w:val="bottom"/>
          </w:tcPr>
          <w:p w14:paraId="3E4E53DE"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18.597</w:t>
            </w:r>
          </w:p>
        </w:tc>
        <w:tc>
          <w:tcPr>
            <w:tcW w:w="0" w:type="auto"/>
            <w:tcBorders>
              <w:top w:val="single" w:sz="4" w:space="0" w:color="auto"/>
              <w:left w:val="nil"/>
              <w:bottom w:val="single" w:sz="4" w:space="0" w:color="auto"/>
              <w:right w:val="single" w:sz="4" w:space="0" w:color="auto"/>
            </w:tcBorders>
            <w:shd w:val="clear" w:color="auto" w:fill="auto"/>
            <w:vAlign w:val="bottom"/>
          </w:tcPr>
          <w:p w14:paraId="5DF44842"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0.707</w:t>
            </w:r>
          </w:p>
        </w:tc>
        <w:tc>
          <w:tcPr>
            <w:tcW w:w="0" w:type="auto"/>
            <w:tcBorders>
              <w:top w:val="single" w:sz="4" w:space="0" w:color="auto"/>
              <w:left w:val="nil"/>
              <w:bottom w:val="single" w:sz="4" w:space="0" w:color="auto"/>
              <w:right w:val="single" w:sz="4" w:space="0" w:color="auto"/>
            </w:tcBorders>
            <w:shd w:val="clear" w:color="auto" w:fill="auto"/>
            <w:vAlign w:val="bottom"/>
          </w:tcPr>
          <w:p w14:paraId="7F84F94B"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1.552</w:t>
            </w:r>
          </w:p>
        </w:tc>
        <w:tc>
          <w:tcPr>
            <w:tcW w:w="0" w:type="auto"/>
            <w:tcBorders>
              <w:top w:val="single" w:sz="4" w:space="0" w:color="auto"/>
              <w:left w:val="nil"/>
              <w:bottom w:val="single" w:sz="4" w:space="0" w:color="auto"/>
              <w:right w:val="single" w:sz="4" w:space="0" w:color="auto"/>
            </w:tcBorders>
            <w:shd w:val="clear" w:color="auto" w:fill="auto"/>
            <w:vAlign w:val="bottom"/>
          </w:tcPr>
          <w:p w14:paraId="2B5CB2F9"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6.490</w:t>
            </w:r>
          </w:p>
        </w:tc>
        <w:tc>
          <w:tcPr>
            <w:tcW w:w="0" w:type="auto"/>
            <w:tcBorders>
              <w:top w:val="single" w:sz="4" w:space="0" w:color="auto"/>
              <w:left w:val="nil"/>
              <w:bottom w:val="single" w:sz="4" w:space="0" w:color="auto"/>
              <w:right w:val="single" w:sz="4" w:space="0" w:color="auto"/>
            </w:tcBorders>
            <w:shd w:val="clear" w:color="auto" w:fill="auto"/>
            <w:vAlign w:val="bottom"/>
          </w:tcPr>
          <w:p w14:paraId="1E4AD6B2"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12.252</w:t>
            </w:r>
          </w:p>
        </w:tc>
      </w:tr>
      <w:tr w:rsidR="004346F3" w:rsidRPr="00536CFD" w14:paraId="7D511681" w14:textId="77777777" w:rsidTr="00536CFD">
        <w:trPr>
          <w:cantSplit/>
          <w:trHeight w:val="22"/>
        </w:trPr>
        <w:tc>
          <w:tcPr>
            <w:tcW w:w="0" w:type="auto"/>
            <w:vMerge/>
          </w:tcPr>
          <w:p w14:paraId="06D2950D" w14:textId="77777777" w:rsidR="004346F3" w:rsidRPr="00536CFD" w:rsidRDefault="004346F3" w:rsidP="00802ABC">
            <w:pPr>
              <w:spacing w:after="60"/>
              <w:jc w:val="center"/>
              <w:rPr>
                <w:rFonts w:ascii="Times New Roman" w:hAnsi="Times New Roman"/>
                <w:sz w:val="20"/>
                <w:szCs w:val="20"/>
              </w:rPr>
            </w:pPr>
          </w:p>
        </w:tc>
        <w:tc>
          <w:tcPr>
            <w:tcW w:w="0" w:type="auto"/>
            <w:vMerge/>
          </w:tcPr>
          <w:p w14:paraId="57ACC792" w14:textId="77777777" w:rsidR="004346F3" w:rsidRPr="00536CFD" w:rsidRDefault="004346F3" w:rsidP="00802ABC">
            <w:pPr>
              <w:spacing w:after="60"/>
              <w:jc w:val="center"/>
              <w:rPr>
                <w:rFonts w:ascii="Times New Roman" w:hAnsi="Times New Roman"/>
                <w:sz w:val="20"/>
                <w:szCs w:val="20"/>
              </w:rPr>
            </w:pPr>
          </w:p>
        </w:tc>
        <w:tc>
          <w:tcPr>
            <w:tcW w:w="0" w:type="auto"/>
          </w:tcPr>
          <w:p w14:paraId="1A71208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50%</w:t>
            </w:r>
          </w:p>
        </w:tc>
        <w:tc>
          <w:tcPr>
            <w:tcW w:w="0" w:type="auto"/>
            <w:tcBorders>
              <w:top w:val="nil"/>
              <w:left w:val="single" w:sz="4" w:space="0" w:color="auto"/>
              <w:bottom w:val="single" w:sz="4" w:space="0" w:color="auto"/>
              <w:right w:val="single" w:sz="4" w:space="0" w:color="auto"/>
            </w:tcBorders>
            <w:shd w:val="clear" w:color="auto" w:fill="auto"/>
            <w:vAlign w:val="bottom"/>
          </w:tcPr>
          <w:p w14:paraId="00FAAC60"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43.175</w:t>
            </w:r>
          </w:p>
        </w:tc>
        <w:tc>
          <w:tcPr>
            <w:tcW w:w="0" w:type="auto"/>
            <w:tcBorders>
              <w:top w:val="nil"/>
              <w:left w:val="nil"/>
              <w:bottom w:val="single" w:sz="4" w:space="0" w:color="auto"/>
              <w:right w:val="single" w:sz="4" w:space="0" w:color="auto"/>
            </w:tcBorders>
            <w:shd w:val="clear" w:color="auto" w:fill="auto"/>
            <w:vAlign w:val="bottom"/>
          </w:tcPr>
          <w:p w14:paraId="2BB3889D"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62.566</w:t>
            </w:r>
          </w:p>
        </w:tc>
        <w:tc>
          <w:tcPr>
            <w:tcW w:w="0" w:type="auto"/>
            <w:tcBorders>
              <w:top w:val="nil"/>
              <w:left w:val="nil"/>
              <w:bottom w:val="single" w:sz="4" w:space="0" w:color="auto"/>
              <w:right w:val="single" w:sz="4" w:space="0" w:color="auto"/>
            </w:tcBorders>
            <w:shd w:val="clear" w:color="auto" w:fill="auto"/>
            <w:vAlign w:val="bottom"/>
          </w:tcPr>
          <w:p w14:paraId="218CA92F"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123.093</w:t>
            </w:r>
          </w:p>
        </w:tc>
        <w:tc>
          <w:tcPr>
            <w:tcW w:w="0" w:type="auto"/>
            <w:tcBorders>
              <w:top w:val="nil"/>
              <w:left w:val="nil"/>
              <w:bottom w:val="single" w:sz="4" w:space="0" w:color="auto"/>
              <w:right w:val="single" w:sz="4" w:space="0" w:color="auto"/>
            </w:tcBorders>
            <w:shd w:val="clear" w:color="auto" w:fill="auto"/>
            <w:vAlign w:val="bottom"/>
          </w:tcPr>
          <w:p w14:paraId="2C432D41"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147.561</w:t>
            </w:r>
          </w:p>
        </w:tc>
        <w:tc>
          <w:tcPr>
            <w:tcW w:w="0" w:type="auto"/>
            <w:tcBorders>
              <w:top w:val="nil"/>
              <w:left w:val="nil"/>
              <w:bottom w:val="single" w:sz="4" w:space="0" w:color="auto"/>
              <w:right w:val="single" w:sz="4" w:space="0" w:color="auto"/>
            </w:tcBorders>
            <w:shd w:val="clear" w:color="auto" w:fill="auto"/>
            <w:vAlign w:val="bottom"/>
          </w:tcPr>
          <w:p w14:paraId="282BE926"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23.461</w:t>
            </w:r>
          </w:p>
        </w:tc>
        <w:tc>
          <w:tcPr>
            <w:tcW w:w="0" w:type="auto"/>
            <w:tcBorders>
              <w:top w:val="nil"/>
              <w:left w:val="nil"/>
              <w:bottom w:val="single" w:sz="4" w:space="0" w:color="auto"/>
              <w:right w:val="single" w:sz="4" w:space="0" w:color="auto"/>
            </w:tcBorders>
            <w:shd w:val="clear" w:color="auto" w:fill="auto"/>
            <w:vAlign w:val="bottom"/>
          </w:tcPr>
          <w:p w14:paraId="379C206C"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37.345</w:t>
            </w:r>
          </w:p>
        </w:tc>
        <w:tc>
          <w:tcPr>
            <w:tcW w:w="0" w:type="auto"/>
            <w:tcBorders>
              <w:top w:val="nil"/>
              <w:left w:val="nil"/>
              <w:bottom w:val="single" w:sz="4" w:space="0" w:color="auto"/>
              <w:right w:val="single" w:sz="4" w:space="0" w:color="auto"/>
            </w:tcBorders>
            <w:shd w:val="clear" w:color="auto" w:fill="auto"/>
            <w:vAlign w:val="bottom"/>
          </w:tcPr>
          <w:p w14:paraId="7B94A79C"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100.256</w:t>
            </w:r>
          </w:p>
        </w:tc>
        <w:tc>
          <w:tcPr>
            <w:tcW w:w="0" w:type="auto"/>
            <w:tcBorders>
              <w:top w:val="nil"/>
              <w:left w:val="nil"/>
              <w:bottom w:val="single" w:sz="4" w:space="0" w:color="auto"/>
              <w:right w:val="single" w:sz="4" w:space="0" w:color="auto"/>
            </w:tcBorders>
            <w:shd w:val="clear" w:color="auto" w:fill="auto"/>
            <w:vAlign w:val="bottom"/>
          </w:tcPr>
          <w:p w14:paraId="10EF0210"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109.054</w:t>
            </w:r>
          </w:p>
        </w:tc>
        <w:tc>
          <w:tcPr>
            <w:tcW w:w="0" w:type="auto"/>
            <w:tcBorders>
              <w:top w:val="nil"/>
              <w:left w:val="nil"/>
              <w:bottom w:val="single" w:sz="4" w:space="0" w:color="auto"/>
              <w:right w:val="single" w:sz="4" w:space="0" w:color="auto"/>
            </w:tcBorders>
            <w:shd w:val="clear" w:color="auto" w:fill="auto"/>
            <w:vAlign w:val="bottom"/>
          </w:tcPr>
          <w:p w14:paraId="3C2ED2FD"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15.120</w:t>
            </w:r>
          </w:p>
        </w:tc>
        <w:tc>
          <w:tcPr>
            <w:tcW w:w="0" w:type="auto"/>
            <w:tcBorders>
              <w:top w:val="nil"/>
              <w:left w:val="nil"/>
              <w:bottom w:val="single" w:sz="4" w:space="0" w:color="auto"/>
              <w:right w:val="single" w:sz="4" w:space="0" w:color="auto"/>
            </w:tcBorders>
            <w:shd w:val="clear" w:color="auto" w:fill="auto"/>
            <w:vAlign w:val="bottom"/>
          </w:tcPr>
          <w:p w14:paraId="6B611012"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22.544</w:t>
            </w:r>
          </w:p>
        </w:tc>
        <w:tc>
          <w:tcPr>
            <w:tcW w:w="0" w:type="auto"/>
            <w:tcBorders>
              <w:top w:val="nil"/>
              <w:left w:val="nil"/>
              <w:bottom w:val="single" w:sz="4" w:space="0" w:color="auto"/>
              <w:right w:val="single" w:sz="4" w:space="0" w:color="auto"/>
            </w:tcBorders>
            <w:shd w:val="clear" w:color="auto" w:fill="auto"/>
            <w:vAlign w:val="bottom"/>
          </w:tcPr>
          <w:p w14:paraId="05B26C6B"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46.490</w:t>
            </w:r>
          </w:p>
        </w:tc>
        <w:tc>
          <w:tcPr>
            <w:tcW w:w="0" w:type="auto"/>
            <w:tcBorders>
              <w:top w:val="nil"/>
              <w:left w:val="nil"/>
              <w:bottom w:val="single" w:sz="4" w:space="0" w:color="auto"/>
              <w:right w:val="single" w:sz="4" w:space="0" w:color="auto"/>
            </w:tcBorders>
            <w:shd w:val="clear" w:color="auto" w:fill="auto"/>
            <w:vAlign w:val="bottom"/>
          </w:tcPr>
          <w:p w14:paraId="28F5EB50"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52.998</w:t>
            </w:r>
          </w:p>
        </w:tc>
      </w:tr>
      <w:tr w:rsidR="004346F3" w:rsidRPr="00536CFD" w14:paraId="21916C63" w14:textId="77777777" w:rsidTr="00536CFD">
        <w:trPr>
          <w:cantSplit/>
          <w:trHeight w:val="22"/>
        </w:trPr>
        <w:tc>
          <w:tcPr>
            <w:tcW w:w="0" w:type="auto"/>
            <w:vMerge/>
          </w:tcPr>
          <w:p w14:paraId="2AD946C7" w14:textId="77777777" w:rsidR="004346F3" w:rsidRPr="00536CFD" w:rsidRDefault="004346F3" w:rsidP="00802ABC">
            <w:pPr>
              <w:spacing w:after="60"/>
              <w:jc w:val="center"/>
              <w:rPr>
                <w:rFonts w:ascii="Times New Roman" w:hAnsi="Times New Roman"/>
                <w:sz w:val="20"/>
                <w:szCs w:val="20"/>
              </w:rPr>
            </w:pPr>
          </w:p>
        </w:tc>
        <w:tc>
          <w:tcPr>
            <w:tcW w:w="0" w:type="auto"/>
            <w:vMerge/>
          </w:tcPr>
          <w:p w14:paraId="6C7D1A21" w14:textId="77777777" w:rsidR="004346F3" w:rsidRPr="00536CFD" w:rsidRDefault="004346F3" w:rsidP="00802ABC">
            <w:pPr>
              <w:spacing w:after="60"/>
              <w:jc w:val="center"/>
              <w:rPr>
                <w:rFonts w:ascii="Times New Roman" w:hAnsi="Times New Roman"/>
                <w:sz w:val="20"/>
                <w:szCs w:val="20"/>
              </w:rPr>
            </w:pPr>
          </w:p>
        </w:tc>
        <w:tc>
          <w:tcPr>
            <w:tcW w:w="0" w:type="auto"/>
          </w:tcPr>
          <w:p w14:paraId="16605C0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95%</w:t>
            </w:r>
          </w:p>
        </w:tc>
        <w:tc>
          <w:tcPr>
            <w:tcW w:w="0" w:type="auto"/>
            <w:tcBorders>
              <w:top w:val="nil"/>
              <w:left w:val="single" w:sz="4" w:space="0" w:color="auto"/>
              <w:bottom w:val="single" w:sz="4" w:space="0" w:color="auto"/>
              <w:right w:val="single" w:sz="4" w:space="0" w:color="auto"/>
            </w:tcBorders>
            <w:shd w:val="clear" w:color="auto" w:fill="auto"/>
            <w:vAlign w:val="bottom"/>
          </w:tcPr>
          <w:p w14:paraId="09B72BB9"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105.741</w:t>
            </w:r>
          </w:p>
        </w:tc>
        <w:tc>
          <w:tcPr>
            <w:tcW w:w="0" w:type="auto"/>
            <w:tcBorders>
              <w:top w:val="nil"/>
              <w:left w:val="nil"/>
              <w:bottom w:val="single" w:sz="4" w:space="0" w:color="auto"/>
              <w:right w:val="single" w:sz="4" w:space="0" w:color="auto"/>
            </w:tcBorders>
            <w:shd w:val="clear" w:color="auto" w:fill="auto"/>
            <w:vAlign w:val="bottom"/>
          </w:tcPr>
          <w:p w14:paraId="53150E01"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117.282</w:t>
            </w:r>
          </w:p>
        </w:tc>
        <w:tc>
          <w:tcPr>
            <w:tcW w:w="0" w:type="auto"/>
            <w:tcBorders>
              <w:top w:val="nil"/>
              <w:left w:val="nil"/>
              <w:bottom w:val="single" w:sz="4" w:space="0" w:color="auto"/>
              <w:right w:val="single" w:sz="4" w:space="0" w:color="auto"/>
            </w:tcBorders>
            <w:shd w:val="clear" w:color="auto" w:fill="auto"/>
            <w:vAlign w:val="bottom"/>
          </w:tcPr>
          <w:p w14:paraId="69C7263C"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201.034</w:t>
            </w:r>
          </w:p>
        </w:tc>
        <w:tc>
          <w:tcPr>
            <w:tcW w:w="0" w:type="auto"/>
            <w:tcBorders>
              <w:top w:val="nil"/>
              <w:left w:val="nil"/>
              <w:bottom w:val="single" w:sz="4" w:space="0" w:color="auto"/>
              <w:right w:val="single" w:sz="4" w:space="0" w:color="auto"/>
            </w:tcBorders>
            <w:shd w:val="clear" w:color="auto" w:fill="auto"/>
            <w:vAlign w:val="bottom"/>
          </w:tcPr>
          <w:p w14:paraId="1812BEE4"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191.196</w:t>
            </w:r>
          </w:p>
        </w:tc>
        <w:tc>
          <w:tcPr>
            <w:tcW w:w="0" w:type="auto"/>
            <w:tcBorders>
              <w:top w:val="nil"/>
              <w:left w:val="nil"/>
              <w:bottom w:val="single" w:sz="4" w:space="0" w:color="auto"/>
              <w:right w:val="single" w:sz="4" w:space="0" w:color="auto"/>
            </w:tcBorders>
            <w:shd w:val="clear" w:color="auto" w:fill="auto"/>
            <w:vAlign w:val="bottom"/>
          </w:tcPr>
          <w:p w14:paraId="2231E44E"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102.653</w:t>
            </w:r>
          </w:p>
        </w:tc>
        <w:tc>
          <w:tcPr>
            <w:tcW w:w="0" w:type="auto"/>
            <w:tcBorders>
              <w:top w:val="nil"/>
              <w:left w:val="nil"/>
              <w:bottom w:val="single" w:sz="4" w:space="0" w:color="auto"/>
              <w:right w:val="single" w:sz="4" w:space="0" w:color="auto"/>
            </w:tcBorders>
            <w:shd w:val="clear" w:color="auto" w:fill="auto"/>
            <w:vAlign w:val="bottom"/>
          </w:tcPr>
          <w:p w14:paraId="6F105601"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112.321</w:t>
            </w:r>
          </w:p>
        </w:tc>
        <w:tc>
          <w:tcPr>
            <w:tcW w:w="0" w:type="auto"/>
            <w:tcBorders>
              <w:top w:val="nil"/>
              <w:left w:val="nil"/>
              <w:bottom w:val="single" w:sz="4" w:space="0" w:color="auto"/>
              <w:right w:val="single" w:sz="4" w:space="0" w:color="auto"/>
            </w:tcBorders>
            <w:shd w:val="clear" w:color="auto" w:fill="auto"/>
            <w:vAlign w:val="bottom"/>
          </w:tcPr>
          <w:p w14:paraId="60C0641D"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181.664</w:t>
            </w:r>
          </w:p>
        </w:tc>
        <w:tc>
          <w:tcPr>
            <w:tcW w:w="0" w:type="auto"/>
            <w:tcBorders>
              <w:top w:val="nil"/>
              <w:left w:val="nil"/>
              <w:bottom w:val="single" w:sz="4" w:space="0" w:color="auto"/>
              <w:right w:val="single" w:sz="4" w:space="0" w:color="auto"/>
            </w:tcBorders>
            <w:shd w:val="clear" w:color="auto" w:fill="auto"/>
            <w:vAlign w:val="bottom"/>
          </w:tcPr>
          <w:p w14:paraId="4FCDA133"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182.641</w:t>
            </w:r>
          </w:p>
        </w:tc>
        <w:tc>
          <w:tcPr>
            <w:tcW w:w="0" w:type="auto"/>
            <w:tcBorders>
              <w:top w:val="nil"/>
              <w:left w:val="nil"/>
              <w:bottom w:val="single" w:sz="4" w:space="0" w:color="auto"/>
              <w:right w:val="single" w:sz="4" w:space="0" w:color="auto"/>
            </w:tcBorders>
            <w:shd w:val="clear" w:color="auto" w:fill="auto"/>
            <w:vAlign w:val="bottom"/>
          </w:tcPr>
          <w:p w14:paraId="1EADF440"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96.035</w:t>
            </w:r>
          </w:p>
        </w:tc>
        <w:tc>
          <w:tcPr>
            <w:tcW w:w="0" w:type="auto"/>
            <w:tcBorders>
              <w:top w:val="nil"/>
              <w:left w:val="nil"/>
              <w:bottom w:val="single" w:sz="4" w:space="0" w:color="auto"/>
              <w:right w:val="single" w:sz="4" w:space="0" w:color="auto"/>
            </w:tcBorders>
            <w:shd w:val="clear" w:color="auto" w:fill="auto"/>
            <w:vAlign w:val="bottom"/>
          </w:tcPr>
          <w:p w14:paraId="1280031C"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101.527</w:t>
            </w:r>
          </w:p>
        </w:tc>
        <w:tc>
          <w:tcPr>
            <w:tcW w:w="0" w:type="auto"/>
            <w:tcBorders>
              <w:top w:val="nil"/>
              <w:left w:val="nil"/>
              <w:bottom w:val="single" w:sz="4" w:space="0" w:color="auto"/>
              <w:right w:val="single" w:sz="4" w:space="0" w:color="auto"/>
            </w:tcBorders>
            <w:shd w:val="clear" w:color="auto" w:fill="auto"/>
            <w:vAlign w:val="bottom"/>
          </w:tcPr>
          <w:p w14:paraId="54040411"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180.281</w:t>
            </w:r>
          </w:p>
        </w:tc>
        <w:tc>
          <w:tcPr>
            <w:tcW w:w="0" w:type="auto"/>
            <w:tcBorders>
              <w:top w:val="nil"/>
              <w:left w:val="nil"/>
              <w:bottom w:val="single" w:sz="4" w:space="0" w:color="auto"/>
              <w:right w:val="single" w:sz="4" w:space="0" w:color="auto"/>
            </w:tcBorders>
            <w:shd w:val="clear" w:color="auto" w:fill="auto"/>
            <w:vAlign w:val="bottom"/>
          </w:tcPr>
          <w:p w14:paraId="391CD12D" w14:textId="77777777" w:rsidR="004346F3" w:rsidRPr="00536CFD" w:rsidRDefault="004346F3" w:rsidP="00802ABC">
            <w:pPr>
              <w:spacing w:after="60"/>
              <w:jc w:val="center"/>
              <w:rPr>
                <w:rFonts w:ascii="Times New Roman" w:hAnsi="Times New Roman"/>
                <w:sz w:val="20"/>
                <w:szCs w:val="20"/>
                <w:lang w:eastAsia="x-none"/>
              </w:rPr>
            </w:pPr>
            <w:r w:rsidRPr="00536CFD">
              <w:rPr>
                <w:rFonts w:ascii="Times New Roman" w:hAnsi="Times New Roman"/>
                <w:sz w:val="20"/>
                <w:szCs w:val="20"/>
                <w:lang w:eastAsia="x-none"/>
              </w:rPr>
              <w:t>188.214</w:t>
            </w:r>
          </w:p>
        </w:tc>
      </w:tr>
      <w:tr w:rsidR="004346F3" w:rsidRPr="00536CFD" w14:paraId="2FC3BC10" w14:textId="77777777" w:rsidTr="00536CFD">
        <w:trPr>
          <w:cantSplit/>
          <w:trHeight w:val="22"/>
        </w:trPr>
        <w:tc>
          <w:tcPr>
            <w:tcW w:w="0" w:type="auto"/>
            <w:vMerge/>
          </w:tcPr>
          <w:p w14:paraId="62F7DEEA" w14:textId="77777777" w:rsidR="004346F3" w:rsidRPr="00536CFD" w:rsidRDefault="004346F3" w:rsidP="00802ABC">
            <w:pPr>
              <w:spacing w:after="60"/>
              <w:jc w:val="center"/>
              <w:rPr>
                <w:rFonts w:ascii="Times New Roman" w:hAnsi="Times New Roman"/>
                <w:sz w:val="20"/>
                <w:szCs w:val="20"/>
              </w:rPr>
            </w:pPr>
          </w:p>
        </w:tc>
        <w:tc>
          <w:tcPr>
            <w:tcW w:w="0" w:type="auto"/>
            <w:vMerge/>
          </w:tcPr>
          <w:p w14:paraId="5A2FA5C0" w14:textId="77777777" w:rsidR="004346F3" w:rsidRPr="00536CFD" w:rsidRDefault="004346F3" w:rsidP="00802ABC">
            <w:pPr>
              <w:spacing w:after="60"/>
              <w:jc w:val="center"/>
              <w:rPr>
                <w:rFonts w:ascii="Times New Roman" w:hAnsi="Times New Roman"/>
                <w:sz w:val="20"/>
                <w:szCs w:val="20"/>
              </w:rPr>
            </w:pPr>
          </w:p>
        </w:tc>
        <w:tc>
          <w:tcPr>
            <w:tcW w:w="0" w:type="auto"/>
          </w:tcPr>
          <w:p w14:paraId="70F6A26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Mean</w:t>
            </w:r>
          </w:p>
        </w:tc>
        <w:tc>
          <w:tcPr>
            <w:tcW w:w="0" w:type="auto"/>
            <w:tcBorders>
              <w:top w:val="nil"/>
              <w:left w:val="single" w:sz="4" w:space="0" w:color="auto"/>
              <w:bottom w:val="single" w:sz="4" w:space="0" w:color="auto"/>
              <w:right w:val="single" w:sz="4" w:space="0" w:color="auto"/>
            </w:tcBorders>
            <w:shd w:val="clear" w:color="auto" w:fill="auto"/>
            <w:vAlign w:val="bottom"/>
          </w:tcPr>
          <w:p w14:paraId="40C1E3B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53.272</w:t>
            </w:r>
          </w:p>
        </w:tc>
        <w:tc>
          <w:tcPr>
            <w:tcW w:w="0" w:type="auto"/>
            <w:tcBorders>
              <w:top w:val="nil"/>
              <w:left w:val="nil"/>
              <w:bottom w:val="single" w:sz="4" w:space="0" w:color="auto"/>
              <w:right w:val="single" w:sz="4" w:space="0" w:color="auto"/>
            </w:tcBorders>
            <w:shd w:val="clear" w:color="auto" w:fill="auto"/>
            <w:vAlign w:val="bottom"/>
          </w:tcPr>
          <w:p w14:paraId="694B006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61.646</w:t>
            </w:r>
          </w:p>
        </w:tc>
        <w:tc>
          <w:tcPr>
            <w:tcW w:w="0" w:type="auto"/>
            <w:tcBorders>
              <w:top w:val="nil"/>
              <w:left w:val="nil"/>
              <w:bottom w:val="single" w:sz="4" w:space="0" w:color="auto"/>
              <w:right w:val="single" w:sz="4" w:space="0" w:color="auto"/>
            </w:tcBorders>
            <w:shd w:val="clear" w:color="auto" w:fill="auto"/>
            <w:vAlign w:val="bottom"/>
          </w:tcPr>
          <w:p w14:paraId="7D5B96C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126.294</w:t>
            </w:r>
          </w:p>
        </w:tc>
        <w:tc>
          <w:tcPr>
            <w:tcW w:w="0" w:type="auto"/>
            <w:tcBorders>
              <w:top w:val="nil"/>
              <w:left w:val="nil"/>
              <w:bottom w:val="single" w:sz="4" w:space="0" w:color="auto"/>
              <w:right w:val="single" w:sz="4" w:space="0" w:color="auto"/>
            </w:tcBorders>
            <w:shd w:val="clear" w:color="auto" w:fill="auto"/>
            <w:vAlign w:val="bottom"/>
          </w:tcPr>
          <w:p w14:paraId="3DB554CC"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135.740</w:t>
            </w:r>
          </w:p>
        </w:tc>
        <w:tc>
          <w:tcPr>
            <w:tcW w:w="0" w:type="auto"/>
            <w:tcBorders>
              <w:top w:val="nil"/>
              <w:left w:val="nil"/>
              <w:bottom w:val="single" w:sz="4" w:space="0" w:color="auto"/>
              <w:right w:val="single" w:sz="4" w:space="0" w:color="auto"/>
            </w:tcBorders>
            <w:shd w:val="clear" w:color="auto" w:fill="auto"/>
            <w:vAlign w:val="bottom"/>
          </w:tcPr>
          <w:p w14:paraId="7082E89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37.662</w:t>
            </w:r>
          </w:p>
        </w:tc>
        <w:tc>
          <w:tcPr>
            <w:tcW w:w="0" w:type="auto"/>
            <w:tcBorders>
              <w:top w:val="nil"/>
              <w:left w:val="nil"/>
              <w:bottom w:val="single" w:sz="4" w:space="0" w:color="auto"/>
              <w:right w:val="single" w:sz="4" w:space="0" w:color="auto"/>
            </w:tcBorders>
            <w:shd w:val="clear" w:color="auto" w:fill="auto"/>
            <w:vAlign w:val="bottom"/>
          </w:tcPr>
          <w:p w14:paraId="69225B9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52.038</w:t>
            </w:r>
          </w:p>
        </w:tc>
        <w:tc>
          <w:tcPr>
            <w:tcW w:w="0" w:type="auto"/>
            <w:tcBorders>
              <w:top w:val="nil"/>
              <w:left w:val="nil"/>
              <w:bottom w:val="single" w:sz="4" w:space="0" w:color="auto"/>
              <w:right w:val="single" w:sz="4" w:space="0" w:color="auto"/>
            </w:tcBorders>
            <w:shd w:val="clear" w:color="auto" w:fill="auto"/>
            <w:vAlign w:val="bottom"/>
          </w:tcPr>
          <w:p w14:paraId="6621D06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107.190</w:t>
            </w:r>
          </w:p>
        </w:tc>
        <w:tc>
          <w:tcPr>
            <w:tcW w:w="0" w:type="auto"/>
            <w:tcBorders>
              <w:top w:val="nil"/>
              <w:left w:val="nil"/>
              <w:bottom w:val="single" w:sz="4" w:space="0" w:color="auto"/>
              <w:right w:val="single" w:sz="4" w:space="0" w:color="auto"/>
            </w:tcBorders>
            <w:shd w:val="clear" w:color="auto" w:fill="auto"/>
            <w:vAlign w:val="bottom"/>
          </w:tcPr>
          <w:p w14:paraId="3A440F7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124.808</w:t>
            </w:r>
          </w:p>
        </w:tc>
        <w:tc>
          <w:tcPr>
            <w:tcW w:w="0" w:type="auto"/>
            <w:tcBorders>
              <w:top w:val="nil"/>
              <w:left w:val="nil"/>
              <w:bottom w:val="single" w:sz="4" w:space="0" w:color="auto"/>
              <w:right w:val="single" w:sz="4" w:space="0" w:color="auto"/>
            </w:tcBorders>
            <w:shd w:val="clear" w:color="auto" w:fill="auto"/>
            <w:vAlign w:val="bottom"/>
          </w:tcPr>
          <w:p w14:paraId="601286EC"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27.231</w:t>
            </w:r>
          </w:p>
        </w:tc>
        <w:tc>
          <w:tcPr>
            <w:tcW w:w="0" w:type="auto"/>
            <w:tcBorders>
              <w:top w:val="nil"/>
              <w:left w:val="nil"/>
              <w:bottom w:val="single" w:sz="4" w:space="0" w:color="auto"/>
              <w:right w:val="single" w:sz="4" w:space="0" w:color="auto"/>
            </w:tcBorders>
            <w:shd w:val="clear" w:color="auto" w:fill="auto"/>
            <w:vAlign w:val="bottom"/>
          </w:tcPr>
          <w:p w14:paraId="41CEF02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35.182</w:t>
            </w:r>
          </w:p>
        </w:tc>
        <w:tc>
          <w:tcPr>
            <w:tcW w:w="0" w:type="auto"/>
            <w:tcBorders>
              <w:top w:val="nil"/>
              <w:left w:val="nil"/>
              <w:bottom w:val="single" w:sz="4" w:space="0" w:color="auto"/>
              <w:right w:val="single" w:sz="4" w:space="0" w:color="auto"/>
            </w:tcBorders>
            <w:shd w:val="clear" w:color="auto" w:fill="auto"/>
            <w:vAlign w:val="bottom"/>
          </w:tcPr>
          <w:p w14:paraId="3ADF57D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69.630</w:t>
            </w:r>
          </w:p>
        </w:tc>
        <w:tc>
          <w:tcPr>
            <w:tcW w:w="0" w:type="auto"/>
            <w:tcBorders>
              <w:top w:val="nil"/>
              <w:left w:val="nil"/>
              <w:bottom w:val="single" w:sz="4" w:space="0" w:color="auto"/>
              <w:right w:val="single" w:sz="4" w:space="0" w:color="auto"/>
            </w:tcBorders>
            <w:shd w:val="clear" w:color="auto" w:fill="auto"/>
            <w:vAlign w:val="bottom"/>
          </w:tcPr>
          <w:p w14:paraId="2539A6E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89.052</w:t>
            </w:r>
          </w:p>
        </w:tc>
      </w:tr>
      <w:tr w:rsidR="004346F3" w:rsidRPr="00536CFD" w14:paraId="50AA99EC" w14:textId="77777777" w:rsidTr="00536CFD">
        <w:trPr>
          <w:cantSplit/>
          <w:trHeight w:val="22"/>
        </w:trPr>
        <w:tc>
          <w:tcPr>
            <w:tcW w:w="0" w:type="auto"/>
            <w:vMerge/>
          </w:tcPr>
          <w:p w14:paraId="03127FBE" w14:textId="77777777" w:rsidR="004346F3" w:rsidRPr="00536CFD" w:rsidRDefault="004346F3" w:rsidP="00802ABC">
            <w:pPr>
              <w:spacing w:after="60"/>
              <w:jc w:val="center"/>
              <w:rPr>
                <w:rFonts w:ascii="Times New Roman" w:hAnsi="Times New Roman"/>
                <w:sz w:val="20"/>
                <w:szCs w:val="20"/>
              </w:rPr>
            </w:pPr>
          </w:p>
        </w:tc>
        <w:tc>
          <w:tcPr>
            <w:tcW w:w="0" w:type="auto"/>
            <w:vMerge w:val="restart"/>
          </w:tcPr>
          <w:p w14:paraId="77BB4BE6"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DL</w:t>
            </w:r>
          </w:p>
          <w:p w14:paraId="675BB961"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Delay CDF</w:t>
            </w:r>
          </w:p>
          <w:p w14:paraId="44E3B4B3"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[s]</w:t>
            </w:r>
          </w:p>
        </w:tc>
        <w:tc>
          <w:tcPr>
            <w:tcW w:w="0" w:type="auto"/>
          </w:tcPr>
          <w:p w14:paraId="6E98178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w:t>
            </w:r>
          </w:p>
        </w:tc>
        <w:tc>
          <w:tcPr>
            <w:tcW w:w="0" w:type="auto"/>
            <w:tcBorders>
              <w:top w:val="nil"/>
              <w:left w:val="single" w:sz="4" w:space="0" w:color="auto"/>
              <w:bottom w:val="single" w:sz="4" w:space="0" w:color="auto"/>
              <w:right w:val="single" w:sz="4" w:space="0" w:color="auto"/>
            </w:tcBorders>
            <w:shd w:val="clear" w:color="auto" w:fill="auto"/>
            <w:vAlign w:val="bottom"/>
          </w:tcPr>
          <w:p w14:paraId="5BCBBAC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0.039</w:t>
            </w:r>
          </w:p>
        </w:tc>
        <w:tc>
          <w:tcPr>
            <w:tcW w:w="0" w:type="auto"/>
            <w:tcBorders>
              <w:top w:val="nil"/>
              <w:left w:val="nil"/>
              <w:bottom w:val="single" w:sz="4" w:space="0" w:color="auto"/>
              <w:right w:val="single" w:sz="4" w:space="0" w:color="auto"/>
            </w:tcBorders>
            <w:shd w:val="clear" w:color="auto" w:fill="auto"/>
            <w:vAlign w:val="bottom"/>
          </w:tcPr>
          <w:p w14:paraId="31CA818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0.033</w:t>
            </w:r>
          </w:p>
        </w:tc>
        <w:tc>
          <w:tcPr>
            <w:tcW w:w="0" w:type="auto"/>
            <w:tcBorders>
              <w:top w:val="nil"/>
              <w:left w:val="nil"/>
              <w:bottom w:val="single" w:sz="4" w:space="0" w:color="auto"/>
              <w:right w:val="single" w:sz="4" w:space="0" w:color="auto"/>
            </w:tcBorders>
            <w:shd w:val="clear" w:color="auto" w:fill="auto"/>
            <w:vAlign w:val="bottom"/>
          </w:tcPr>
          <w:p w14:paraId="40D7C1D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3034AFA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0.022</w:t>
            </w:r>
          </w:p>
        </w:tc>
        <w:tc>
          <w:tcPr>
            <w:tcW w:w="0" w:type="auto"/>
            <w:tcBorders>
              <w:top w:val="nil"/>
              <w:left w:val="nil"/>
              <w:bottom w:val="single" w:sz="4" w:space="0" w:color="auto"/>
              <w:right w:val="single" w:sz="4" w:space="0" w:color="auto"/>
            </w:tcBorders>
            <w:shd w:val="clear" w:color="auto" w:fill="auto"/>
            <w:vAlign w:val="bottom"/>
          </w:tcPr>
          <w:p w14:paraId="70442D67" w14:textId="77777777" w:rsidR="004346F3" w:rsidRPr="00536CFD" w:rsidRDefault="004346F3" w:rsidP="00802ABC">
            <w:pPr>
              <w:spacing w:after="60"/>
              <w:rPr>
                <w:rFonts w:ascii="Times New Roman" w:hAnsi="Times New Roman"/>
                <w:color w:val="000000"/>
                <w:sz w:val="20"/>
                <w:szCs w:val="20"/>
              </w:rPr>
            </w:pPr>
            <w:r w:rsidRPr="00536CFD">
              <w:rPr>
                <w:rFonts w:ascii="Times New Roman" w:hAnsi="Times New Roman"/>
                <w:color w:val="000000"/>
                <w:sz w:val="20"/>
                <w:szCs w:val="20"/>
              </w:rPr>
              <w:t xml:space="preserve">  0.035</w:t>
            </w:r>
          </w:p>
        </w:tc>
        <w:tc>
          <w:tcPr>
            <w:tcW w:w="0" w:type="auto"/>
            <w:tcBorders>
              <w:top w:val="nil"/>
              <w:left w:val="nil"/>
              <w:bottom w:val="single" w:sz="4" w:space="0" w:color="auto"/>
              <w:right w:val="single" w:sz="4" w:space="0" w:color="auto"/>
            </w:tcBorders>
            <w:shd w:val="clear" w:color="auto" w:fill="auto"/>
            <w:vAlign w:val="bottom"/>
          </w:tcPr>
          <w:p w14:paraId="028EB30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0.034</w:t>
            </w:r>
          </w:p>
        </w:tc>
        <w:tc>
          <w:tcPr>
            <w:tcW w:w="0" w:type="auto"/>
            <w:tcBorders>
              <w:top w:val="nil"/>
              <w:left w:val="nil"/>
              <w:bottom w:val="single" w:sz="4" w:space="0" w:color="auto"/>
              <w:right w:val="single" w:sz="4" w:space="0" w:color="auto"/>
            </w:tcBorders>
            <w:shd w:val="clear" w:color="auto" w:fill="auto"/>
            <w:vAlign w:val="bottom"/>
          </w:tcPr>
          <w:p w14:paraId="377772C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7C7A341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0.020</w:t>
            </w:r>
          </w:p>
        </w:tc>
        <w:tc>
          <w:tcPr>
            <w:tcW w:w="0" w:type="auto"/>
            <w:tcBorders>
              <w:top w:val="nil"/>
              <w:left w:val="nil"/>
              <w:bottom w:val="single" w:sz="4" w:space="0" w:color="auto"/>
              <w:right w:val="single" w:sz="4" w:space="0" w:color="auto"/>
            </w:tcBorders>
            <w:shd w:val="clear" w:color="auto" w:fill="auto"/>
            <w:vAlign w:val="bottom"/>
          </w:tcPr>
          <w:p w14:paraId="772CA53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0.042</w:t>
            </w:r>
          </w:p>
        </w:tc>
        <w:tc>
          <w:tcPr>
            <w:tcW w:w="0" w:type="auto"/>
            <w:tcBorders>
              <w:top w:val="nil"/>
              <w:left w:val="nil"/>
              <w:bottom w:val="single" w:sz="4" w:space="0" w:color="auto"/>
              <w:right w:val="single" w:sz="4" w:space="0" w:color="auto"/>
            </w:tcBorders>
            <w:shd w:val="clear" w:color="auto" w:fill="auto"/>
            <w:vAlign w:val="bottom"/>
          </w:tcPr>
          <w:p w14:paraId="06CA8FB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0.041</w:t>
            </w:r>
          </w:p>
        </w:tc>
        <w:tc>
          <w:tcPr>
            <w:tcW w:w="0" w:type="auto"/>
            <w:tcBorders>
              <w:top w:val="nil"/>
              <w:left w:val="nil"/>
              <w:bottom w:val="single" w:sz="4" w:space="0" w:color="auto"/>
              <w:right w:val="single" w:sz="4" w:space="0" w:color="auto"/>
            </w:tcBorders>
            <w:shd w:val="clear" w:color="auto" w:fill="auto"/>
            <w:vAlign w:val="bottom"/>
          </w:tcPr>
          <w:p w14:paraId="23F9030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0.023</w:t>
            </w:r>
          </w:p>
        </w:tc>
        <w:tc>
          <w:tcPr>
            <w:tcW w:w="0" w:type="auto"/>
            <w:tcBorders>
              <w:top w:val="nil"/>
              <w:left w:val="nil"/>
              <w:bottom w:val="single" w:sz="4" w:space="0" w:color="auto"/>
              <w:right w:val="single" w:sz="4" w:space="0" w:color="auto"/>
            </w:tcBorders>
            <w:shd w:val="clear" w:color="auto" w:fill="auto"/>
            <w:vAlign w:val="bottom"/>
          </w:tcPr>
          <w:p w14:paraId="22F5F45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r>
      <w:tr w:rsidR="004346F3" w:rsidRPr="00536CFD" w14:paraId="3DAA5CA1" w14:textId="77777777" w:rsidTr="00536CFD">
        <w:trPr>
          <w:cantSplit/>
          <w:trHeight w:val="22"/>
        </w:trPr>
        <w:tc>
          <w:tcPr>
            <w:tcW w:w="0" w:type="auto"/>
            <w:vMerge/>
          </w:tcPr>
          <w:p w14:paraId="3BDFCC0D" w14:textId="77777777" w:rsidR="004346F3" w:rsidRPr="00536CFD" w:rsidRDefault="004346F3" w:rsidP="00802ABC">
            <w:pPr>
              <w:spacing w:after="60"/>
              <w:jc w:val="center"/>
              <w:rPr>
                <w:rFonts w:ascii="Times New Roman" w:hAnsi="Times New Roman"/>
                <w:sz w:val="20"/>
                <w:szCs w:val="20"/>
              </w:rPr>
            </w:pPr>
          </w:p>
        </w:tc>
        <w:tc>
          <w:tcPr>
            <w:tcW w:w="0" w:type="auto"/>
            <w:vMerge/>
          </w:tcPr>
          <w:p w14:paraId="13A3D5FC" w14:textId="77777777" w:rsidR="004346F3" w:rsidRPr="00536CFD" w:rsidRDefault="004346F3" w:rsidP="00802ABC">
            <w:pPr>
              <w:spacing w:after="60"/>
              <w:jc w:val="center"/>
              <w:rPr>
                <w:rFonts w:ascii="Times New Roman" w:hAnsi="Times New Roman"/>
                <w:sz w:val="20"/>
                <w:szCs w:val="20"/>
              </w:rPr>
            </w:pPr>
          </w:p>
        </w:tc>
        <w:tc>
          <w:tcPr>
            <w:tcW w:w="0" w:type="auto"/>
          </w:tcPr>
          <w:p w14:paraId="0F54CE0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50%</w:t>
            </w:r>
          </w:p>
        </w:tc>
        <w:tc>
          <w:tcPr>
            <w:tcW w:w="0" w:type="auto"/>
            <w:tcBorders>
              <w:top w:val="nil"/>
              <w:left w:val="single" w:sz="4" w:space="0" w:color="auto"/>
              <w:bottom w:val="single" w:sz="4" w:space="0" w:color="auto"/>
              <w:right w:val="single" w:sz="4" w:space="0" w:color="auto"/>
            </w:tcBorders>
            <w:shd w:val="clear" w:color="auto" w:fill="auto"/>
            <w:vAlign w:val="bottom"/>
          </w:tcPr>
          <w:p w14:paraId="4371E10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0.091</w:t>
            </w:r>
          </w:p>
        </w:tc>
        <w:tc>
          <w:tcPr>
            <w:tcW w:w="0" w:type="auto"/>
            <w:tcBorders>
              <w:top w:val="nil"/>
              <w:left w:val="nil"/>
              <w:bottom w:val="single" w:sz="4" w:space="0" w:color="auto"/>
              <w:right w:val="single" w:sz="4" w:space="0" w:color="auto"/>
            </w:tcBorders>
            <w:shd w:val="clear" w:color="auto" w:fill="auto"/>
            <w:vAlign w:val="bottom"/>
          </w:tcPr>
          <w:p w14:paraId="02D3942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0.060</w:t>
            </w:r>
          </w:p>
        </w:tc>
        <w:tc>
          <w:tcPr>
            <w:tcW w:w="0" w:type="auto"/>
            <w:tcBorders>
              <w:top w:val="nil"/>
              <w:left w:val="nil"/>
              <w:bottom w:val="single" w:sz="4" w:space="0" w:color="auto"/>
              <w:right w:val="single" w:sz="4" w:space="0" w:color="auto"/>
            </w:tcBorders>
            <w:shd w:val="clear" w:color="auto" w:fill="auto"/>
            <w:vAlign w:val="bottom"/>
          </w:tcPr>
          <w:p w14:paraId="09E678C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0.035</w:t>
            </w:r>
          </w:p>
        </w:tc>
        <w:tc>
          <w:tcPr>
            <w:tcW w:w="0" w:type="auto"/>
            <w:tcBorders>
              <w:top w:val="nil"/>
              <w:left w:val="nil"/>
              <w:bottom w:val="single" w:sz="4" w:space="0" w:color="auto"/>
              <w:right w:val="single" w:sz="4" w:space="0" w:color="auto"/>
            </w:tcBorders>
            <w:shd w:val="clear" w:color="auto" w:fill="auto"/>
            <w:vAlign w:val="bottom"/>
          </w:tcPr>
          <w:p w14:paraId="69B3318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0.031</w:t>
            </w:r>
          </w:p>
        </w:tc>
        <w:tc>
          <w:tcPr>
            <w:tcW w:w="0" w:type="auto"/>
            <w:tcBorders>
              <w:top w:val="nil"/>
              <w:left w:val="nil"/>
              <w:bottom w:val="single" w:sz="4" w:space="0" w:color="auto"/>
              <w:right w:val="single" w:sz="4" w:space="0" w:color="auto"/>
            </w:tcBorders>
            <w:shd w:val="clear" w:color="auto" w:fill="auto"/>
            <w:vAlign w:val="bottom"/>
          </w:tcPr>
          <w:p w14:paraId="1A7FAF0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0.164</w:t>
            </w:r>
          </w:p>
        </w:tc>
        <w:tc>
          <w:tcPr>
            <w:tcW w:w="0" w:type="auto"/>
            <w:tcBorders>
              <w:top w:val="nil"/>
              <w:left w:val="nil"/>
              <w:bottom w:val="single" w:sz="4" w:space="0" w:color="auto"/>
              <w:right w:val="single" w:sz="4" w:space="0" w:color="auto"/>
            </w:tcBorders>
            <w:shd w:val="clear" w:color="auto" w:fill="auto"/>
            <w:vAlign w:val="bottom"/>
          </w:tcPr>
          <w:p w14:paraId="2F69489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0.088</w:t>
            </w:r>
          </w:p>
        </w:tc>
        <w:tc>
          <w:tcPr>
            <w:tcW w:w="0" w:type="auto"/>
            <w:tcBorders>
              <w:top w:val="nil"/>
              <w:left w:val="nil"/>
              <w:bottom w:val="single" w:sz="4" w:space="0" w:color="auto"/>
              <w:right w:val="single" w:sz="4" w:space="0" w:color="auto"/>
            </w:tcBorders>
            <w:shd w:val="clear" w:color="auto" w:fill="auto"/>
            <w:vAlign w:val="bottom"/>
          </w:tcPr>
          <w:p w14:paraId="7512045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0.046</w:t>
            </w:r>
          </w:p>
        </w:tc>
        <w:tc>
          <w:tcPr>
            <w:tcW w:w="0" w:type="auto"/>
            <w:tcBorders>
              <w:top w:val="nil"/>
              <w:left w:val="nil"/>
              <w:bottom w:val="single" w:sz="4" w:space="0" w:color="auto"/>
              <w:right w:val="single" w:sz="4" w:space="0" w:color="auto"/>
            </w:tcBorders>
            <w:shd w:val="clear" w:color="auto" w:fill="auto"/>
            <w:vAlign w:val="bottom"/>
          </w:tcPr>
          <w:p w14:paraId="4F3E899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0.040</w:t>
            </w:r>
          </w:p>
        </w:tc>
        <w:tc>
          <w:tcPr>
            <w:tcW w:w="0" w:type="auto"/>
            <w:tcBorders>
              <w:top w:val="nil"/>
              <w:left w:val="nil"/>
              <w:bottom w:val="single" w:sz="4" w:space="0" w:color="auto"/>
              <w:right w:val="single" w:sz="4" w:space="0" w:color="auto"/>
            </w:tcBorders>
            <w:shd w:val="clear" w:color="auto" w:fill="auto"/>
            <w:vAlign w:val="bottom"/>
          </w:tcPr>
          <w:p w14:paraId="2D31B1B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0.277</w:t>
            </w:r>
          </w:p>
        </w:tc>
        <w:tc>
          <w:tcPr>
            <w:tcW w:w="0" w:type="auto"/>
            <w:tcBorders>
              <w:top w:val="nil"/>
              <w:left w:val="nil"/>
              <w:bottom w:val="single" w:sz="4" w:space="0" w:color="auto"/>
              <w:right w:val="single" w:sz="4" w:space="0" w:color="auto"/>
            </w:tcBorders>
            <w:shd w:val="clear" w:color="auto" w:fill="auto"/>
            <w:vAlign w:val="bottom"/>
          </w:tcPr>
          <w:p w14:paraId="667C5C8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0.161</w:t>
            </w:r>
          </w:p>
        </w:tc>
        <w:tc>
          <w:tcPr>
            <w:tcW w:w="0" w:type="auto"/>
            <w:tcBorders>
              <w:top w:val="nil"/>
              <w:left w:val="nil"/>
              <w:bottom w:val="single" w:sz="4" w:space="0" w:color="auto"/>
              <w:right w:val="single" w:sz="4" w:space="0" w:color="auto"/>
            </w:tcBorders>
            <w:shd w:val="clear" w:color="auto" w:fill="auto"/>
            <w:vAlign w:val="bottom"/>
          </w:tcPr>
          <w:p w14:paraId="4BF5873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0.106</w:t>
            </w:r>
          </w:p>
        </w:tc>
        <w:tc>
          <w:tcPr>
            <w:tcW w:w="0" w:type="auto"/>
            <w:tcBorders>
              <w:top w:val="nil"/>
              <w:left w:val="nil"/>
              <w:bottom w:val="single" w:sz="4" w:space="0" w:color="auto"/>
              <w:right w:val="single" w:sz="4" w:space="0" w:color="auto"/>
            </w:tcBorders>
            <w:shd w:val="clear" w:color="auto" w:fill="auto"/>
            <w:vAlign w:val="bottom"/>
          </w:tcPr>
          <w:p w14:paraId="25515EB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0.097</w:t>
            </w:r>
          </w:p>
        </w:tc>
      </w:tr>
      <w:tr w:rsidR="004346F3" w:rsidRPr="00536CFD" w14:paraId="46B660D6" w14:textId="77777777" w:rsidTr="00536CFD">
        <w:trPr>
          <w:cantSplit/>
          <w:trHeight w:val="22"/>
        </w:trPr>
        <w:tc>
          <w:tcPr>
            <w:tcW w:w="0" w:type="auto"/>
            <w:vMerge/>
          </w:tcPr>
          <w:p w14:paraId="4BB06C65" w14:textId="77777777" w:rsidR="004346F3" w:rsidRPr="00536CFD" w:rsidRDefault="004346F3" w:rsidP="00802ABC">
            <w:pPr>
              <w:spacing w:after="60"/>
              <w:jc w:val="center"/>
              <w:rPr>
                <w:rFonts w:ascii="Times New Roman" w:hAnsi="Times New Roman"/>
                <w:sz w:val="20"/>
                <w:szCs w:val="20"/>
              </w:rPr>
            </w:pPr>
          </w:p>
        </w:tc>
        <w:tc>
          <w:tcPr>
            <w:tcW w:w="0" w:type="auto"/>
            <w:vMerge/>
          </w:tcPr>
          <w:p w14:paraId="4A3B4BB6" w14:textId="77777777" w:rsidR="004346F3" w:rsidRPr="00536CFD" w:rsidRDefault="004346F3" w:rsidP="00802ABC">
            <w:pPr>
              <w:spacing w:after="60"/>
              <w:jc w:val="center"/>
              <w:rPr>
                <w:rFonts w:ascii="Times New Roman" w:hAnsi="Times New Roman"/>
                <w:sz w:val="20"/>
                <w:szCs w:val="20"/>
              </w:rPr>
            </w:pPr>
          </w:p>
        </w:tc>
        <w:tc>
          <w:tcPr>
            <w:tcW w:w="0" w:type="auto"/>
          </w:tcPr>
          <w:p w14:paraId="5FD469F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95%</w:t>
            </w:r>
          </w:p>
        </w:tc>
        <w:tc>
          <w:tcPr>
            <w:tcW w:w="0" w:type="auto"/>
            <w:tcBorders>
              <w:top w:val="nil"/>
              <w:left w:val="single" w:sz="4" w:space="0" w:color="auto"/>
              <w:bottom w:val="single" w:sz="4" w:space="0" w:color="auto"/>
              <w:right w:val="single" w:sz="4" w:space="0" w:color="auto"/>
            </w:tcBorders>
            <w:shd w:val="clear" w:color="auto" w:fill="auto"/>
            <w:vAlign w:val="bottom"/>
          </w:tcPr>
          <w:p w14:paraId="72F23BA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1.032</w:t>
            </w:r>
          </w:p>
        </w:tc>
        <w:tc>
          <w:tcPr>
            <w:tcW w:w="0" w:type="auto"/>
            <w:tcBorders>
              <w:top w:val="nil"/>
              <w:left w:val="nil"/>
              <w:bottom w:val="single" w:sz="4" w:space="0" w:color="auto"/>
              <w:right w:val="single" w:sz="4" w:space="0" w:color="auto"/>
            </w:tcBorders>
            <w:shd w:val="clear" w:color="auto" w:fill="auto"/>
            <w:vAlign w:val="bottom"/>
          </w:tcPr>
          <w:p w14:paraId="51E7CA2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0.581</w:t>
            </w:r>
          </w:p>
        </w:tc>
        <w:tc>
          <w:tcPr>
            <w:tcW w:w="0" w:type="auto"/>
            <w:tcBorders>
              <w:top w:val="nil"/>
              <w:left w:val="nil"/>
              <w:bottom w:val="single" w:sz="4" w:space="0" w:color="auto"/>
              <w:right w:val="single" w:sz="4" w:space="0" w:color="auto"/>
            </w:tcBorders>
            <w:shd w:val="clear" w:color="auto" w:fill="auto"/>
            <w:vAlign w:val="bottom"/>
          </w:tcPr>
          <w:p w14:paraId="44438C3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0.126</w:t>
            </w:r>
          </w:p>
        </w:tc>
        <w:tc>
          <w:tcPr>
            <w:tcW w:w="0" w:type="auto"/>
            <w:tcBorders>
              <w:top w:val="nil"/>
              <w:left w:val="nil"/>
              <w:bottom w:val="single" w:sz="4" w:space="0" w:color="auto"/>
              <w:right w:val="single" w:sz="4" w:space="0" w:color="auto"/>
            </w:tcBorders>
            <w:shd w:val="clear" w:color="auto" w:fill="auto"/>
            <w:vAlign w:val="bottom"/>
          </w:tcPr>
          <w:p w14:paraId="6E6612F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0.120</w:t>
            </w:r>
          </w:p>
        </w:tc>
        <w:tc>
          <w:tcPr>
            <w:tcW w:w="0" w:type="auto"/>
            <w:tcBorders>
              <w:top w:val="nil"/>
              <w:left w:val="nil"/>
              <w:bottom w:val="single" w:sz="4" w:space="0" w:color="auto"/>
              <w:right w:val="single" w:sz="4" w:space="0" w:color="auto"/>
            </w:tcBorders>
            <w:shd w:val="clear" w:color="auto" w:fill="auto"/>
            <w:vAlign w:val="bottom"/>
          </w:tcPr>
          <w:p w14:paraId="5CF2351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1.840</w:t>
            </w:r>
          </w:p>
        </w:tc>
        <w:tc>
          <w:tcPr>
            <w:tcW w:w="0" w:type="auto"/>
            <w:tcBorders>
              <w:top w:val="nil"/>
              <w:left w:val="nil"/>
              <w:bottom w:val="single" w:sz="4" w:space="0" w:color="auto"/>
              <w:right w:val="single" w:sz="4" w:space="0" w:color="auto"/>
            </w:tcBorders>
            <w:shd w:val="clear" w:color="auto" w:fill="auto"/>
            <w:vAlign w:val="bottom"/>
          </w:tcPr>
          <w:p w14:paraId="52EAB4F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0.990</w:t>
            </w:r>
          </w:p>
        </w:tc>
        <w:tc>
          <w:tcPr>
            <w:tcW w:w="0" w:type="auto"/>
            <w:tcBorders>
              <w:top w:val="nil"/>
              <w:left w:val="nil"/>
              <w:bottom w:val="single" w:sz="4" w:space="0" w:color="auto"/>
              <w:right w:val="single" w:sz="4" w:space="0" w:color="auto"/>
            </w:tcBorders>
            <w:shd w:val="clear" w:color="auto" w:fill="auto"/>
            <w:vAlign w:val="bottom"/>
          </w:tcPr>
          <w:p w14:paraId="112CBE1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0.260</w:t>
            </w:r>
          </w:p>
        </w:tc>
        <w:tc>
          <w:tcPr>
            <w:tcW w:w="0" w:type="auto"/>
            <w:tcBorders>
              <w:top w:val="nil"/>
              <w:left w:val="nil"/>
              <w:bottom w:val="single" w:sz="4" w:space="0" w:color="auto"/>
              <w:right w:val="single" w:sz="4" w:space="0" w:color="auto"/>
            </w:tcBorders>
            <w:shd w:val="clear" w:color="auto" w:fill="auto"/>
            <w:vAlign w:val="bottom"/>
          </w:tcPr>
          <w:p w14:paraId="7C8492A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0.240</w:t>
            </w:r>
          </w:p>
        </w:tc>
        <w:tc>
          <w:tcPr>
            <w:tcW w:w="0" w:type="auto"/>
            <w:tcBorders>
              <w:top w:val="nil"/>
              <w:left w:val="nil"/>
              <w:bottom w:val="single" w:sz="4" w:space="0" w:color="auto"/>
              <w:right w:val="single" w:sz="4" w:space="0" w:color="auto"/>
            </w:tcBorders>
            <w:shd w:val="clear" w:color="auto" w:fill="auto"/>
            <w:vAlign w:val="bottom"/>
          </w:tcPr>
          <w:p w14:paraId="04FBE46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3.313</w:t>
            </w:r>
          </w:p>
        </w:tc>
        <w:tc>
          <w:tcPr>
            <w:tcW w:w="0" w:type="auto"/>
            <w:tcBorders>
              <w:top w:val="nil"/>
              <w:left w:val="nil"/>
              <w:bottom w:val="single" w:sz="4" w:space="0" w:color="auto"/>
              <w:right w:val="single" w:sz="4" w:space="0" w:color="auto"/>
            </w:tcBorders>
            <w:shd w:val="clear" w:color="auto" w:fill="auto"/>
            <w:vAlign w:val="bottom"/>
          </w:tcPr>
          <w:p w14:paraId="4E75BFB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3.001</w:t>
            </w:r>
          </w:p>
        </w:tc>
        <w:tc>
          <w:tcPr>
            <w:tcW w:w="0" w:type="auto"/>
            <w:tcBorders>
              <w:top w:val="nil"/>
              <w:left w:val="nil"/>
              <w:bottom w:val="single" w:sz="4" w:space="0" w:color="auto"/>
              <w:right w:val="single" w:sz="4" w:space="0" w:color="auto"/>
            </w:tcBorders>
            <w:shd w:val="clear" w:color="auto" w:fill="auto"/>
            <w:vAlign w:val="bottom"/>
          </w:tcPr>
          <w:p w14:paraId="1649E00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1.054</w:t>
            </w:r>
          </w:p>
        </w:tc>
        <w:tc>
          <w:tcPr>
            <w:tcW w:w="0" w:type="auto"/>
            <w:tcBorders>
              <w:top w:val="nil"/>
              <w:left w:val="nil"/>
              <w:bottom w:val="single" w:sz="4" w:space="0" w:color="auto"/>
              <w:right w:val="single" w:sz="4" w:space="0" w:color="auto"/>
            </w:tcBorders>
            <w:shd w:val="clear" w:color="auto" w:fill="auto"/>
            <w:vAlign w:val="bottom"/>
          </w:tcPr>
          <w:p w14:paraId="2B25082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0.797</w:t>
            </w:r>
          </w:p>
        </w:tc>
      </w:tr>
      <w:tr w:rsidR="004346F3" w:rsidRPr="00536CFD" w14:paraId="686D8098" w14:textId="77777777" w:rsidTr="00536CFD">
        <w:trPr>
          <w:cantSplit/>
          <w:trHeight w:val="22"/>
        </w:trPr>
        <w:tc>
          <w:tcPr>
            <w:tcW w:w="0" w:type="auto"/>
            <w:vMerge/>
          </w:tcPr>
          <w:p w14:paraId="5DADD313" w14:textId="77777777" w:rsidR="004346F3" w:rsidRPr="00536CFD" w:rsidRDefault="004346F3" w:rsidP="00802ABC">
            <w:pPr>
              <w:spacing w:after="60"/>
              <w:jc w:val="center"/>
              <w:rPr>
                <w:rFonts w:ascii="Times New Roman" w:hAnsi="Times New Roman"/>
                <w:sz w:val="20"/>
                <w:szCs w:val="20"/>
              </w:rPr>
            </w:pPr>
          </w:p>
        </w:tc>
        <w:tc>
          <w:tcPr>
            <w:tcW w:w="0" w:type="auto"/>
            <w:vMerge/>
          </w:tcPr>
          <w:p w14:paraId="708757DE" w14:textId="77777777" w:rsidR="004346F3" w:rsidRPr="00536CFD" w:rsidRDefault="004346F3" w:rsidP="00802ABC">
            <w:pPr>
              <w:spacing w:after="60"/>
              <w:jc w:val="center"/>
              <w:rPr>
                <w:rFonts w:ascii="Times New Roman" w:hAnsi="Times New Roman"/>
                <w:sz w:val="20"/>
                <w:szCs w:val="20"/>
              </w:rPr>
            </w:pPr>
          </w:p>
        </w:tc>
        <w:tc>
          <w:tcPr>
            <w:tcW w:w="0" w:type="auto"/>
          </w:tcPr>
          <w:p w14:paraId="1342C2E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Mean</w:t>
            </w:r>
          </w:p>
        </w:tc>
        <w:tc>
          <w:tcPr>
            <w:tcW w:w="0" w:type="auto"/>
            <w:tcBorders>
              <w:top w:val="nil"/>
              <w:left w:val="single" w:sz="4" w:space="0" w:color="auto"/>
              <w:bottom w:val="single" w:sz="4" w:space="0" w:color="auto"/>
              <w:right w:val="single" w:sz="4" w:space="0" w:color="auto"/>
            </w:tcBorders>
            <w:shd w:val="clear" w:color="auto" w:fill="auto"/>
            <w:vAlign w:val="bottom"/>
          </w:tcPr>
          <w:p w14:paraId="033CF1D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0.276</w:t>
            </w:r>
          </w:p>
        </w:tc>
        <w:tc>
          <w:tcPr>
            <w:tcW w:w="0" w:type="auto"/>
            <w:tcBorders>
              <w:top w:val="nil"/>
              <w:left w:val="nil"/>
              <w:bottom w:val="single" w:sz="4" w:space="0" w:color="auto"/>
              <w:right w:val="single" w:sz="4" w:space="0" w:color="auto"/>
            </w:tcBorders>
            <w:shd w:val="clear" w:color="auto" w:fill="auto"/>
            <w:vAlign w:val="bottom"/>
          </w:tcPr>
          <w:p w14:paraId="5417771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0.198</w:t>
            </w:r>
          </w:p>
        </w:tc>
        <w:tc>
          <w:tcPr>
            <w:tcW w:w="0" w:type="auto"/>
            <w:tcBorders>
              <w:top w:val="nil"/>
              <w:left w:val="nil"/>
              <w:bottom w:val="single" w:sz="4" w:space="0" w:color="auto"/>
              <w:right w:val="single" w:sz="4" w:space="0" w:color="auto"/>
            </w:tcBorders>
            <w:shd w:val="clear" w:color="auto" w:fill="auto"/>
            <w:vAlign w:val="bottom"/>
          </w:tcPr>
          <w:p w14:paraId="2341667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0.054</w:t>
            </w:r>
          </w:p>
        </w:tc>
        <w:tc>
          <w:tcPr>
            <w:tcW w:w="0" w:type="auto"/>
            <w:tcBorders>
              <w:top w:val="nil"/>
              <w:left w:val="nil"/>
              <w:bottom w:val="single" w:sz="4" w:space="0" w:color="auto"/>
              <w:right w:val="single" w:sz="4" w:space="0" w:color="auto"/>
            </w:tcBorders>
            <w:shd w:val="clear" w:color="auto" w:fill="auto"/>
            <w:vAlign w:val="bottom"/>
          </w:tcPr>
          <w:p w14:paraId="1F05707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0.053</w:t>
            </w:r>
          </w:p>
        </w:tc>
        <w:tc>
          <w:tcPr>
            <w:tcW w:w="0" w:type="auto"/>
            <w:tcBorders>
              <w:top w:val="nil"/>
              <w:left w:val="nil"/>
              <w:bottom w:val="single" w:sz="4" w:space="0" w:color="auto"/>
              <w:right w:val="single" w:sz="4" w:space="0" w:color="auto"/>
            </w:tcBorders>
            <w:shd w:val="clear" w:color="auto" w:fill="auto"/>
            <w:vAlign w:val="bottom"/>
          </w:tcPr>
          <w:p w14:paraId="2EB7B79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0.458</w:t>
            </w:r>
          </w:p>
        </w:tc>
        <w:tc>
          <w:tcPr>
            <w:tcW w:w="0" w:type="auto"/>
            <w:tcBorders>
              <w:top w:val="nil"/>
              <w:left w:val="nil"/>
              <w:bottom w:val="single" w:sz="4" w:space="0" w:color="auto"/>
              <w:right w:val="single" w:sz="4" w:space="0" w:color="auto"/>
            </w:tcBorders>
            <w:shd w:val="clear" w:color="auto" w:fill="auto"/>
            <w:vAlign w:val="bottom"/>
          </w:tcPr>
          <w:p w14:paraId="590B884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0.262</w:t>
            </w:r>
          </w:p>
        </w:tc>
        <w:tc>
          <w:tcPr>
            <w:tcW w:w="0" w:type="auto"/>
            <w:tcBorders>
              <w:top w:val="nil"/>
              <w:left w:val="nil"/>
              <w:bottom w:val="single" w:sz="4" w:space="0" w:color="auto"/>
              <w:right w:val="single" w:sz="4" w:space="0" w:color="auto"/>
            </w:tcBorders>
            <w:shd w:val="clear" w:color="auto" w:fill="auto"/>
            <w:vAlign w:val="bottom"/>
          </w:tcPr>
          <w:p w14:paraId="2A77026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0.086</w:t>
            </w:r>
          </w:p>
        </w:tc>
        <w:tc>
          <w:tcPr>
            <w:tcW w:w="0" w:type="auto"/>
            <w:tcBorders>
              <w:top w:val="nil"/>
              <w:left w:val="nil"/>
              <w:bottom w:val="single" w:sz="4" w:space="0" w:color="auto"/>
              <w:right w:val="single" w:sz="4" w:space="0" w:color="auto"/>
            </w:tcBorders>
            <w:shd w:val="clear" w:color="auto" w:fill="auto"/>
            <w:vAlign w:val="bottom"/>
          </w:tcPr>
          <w:p w14:paraId="32A2F1C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0.068</w:t>
            </w:r>
          </w:p>
        </w:tc>
        <w:tc>
          <w:tcPr>
            <w:tcW w:w="0" w:type="auto"/>
            <w:tcBorders>
              <w:top w:val="nil"/>
              <w:left w:val="nil"/>
              <w:bottom w:val="single" w:sz="4" w:space="0" w:color="auto"/>
              <w:right w:val="single" w:sz="4" w:space="0" w:color="auto"/>
            </w:tcBorders>
            <w:shd w:val="clear" w:color="auto" w:fill="auto"/>
            <w:vAlign w:val="bottom"/>
          </w:tcPr>
          <w:p w14:paraId="3021E4B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0.690</w:t>
            </w:r>
          </w:p>
        </w:tc>
        <w:tc>
          <w:tcPr>
            <w:tcW w:w="0" w:type="auto"/>
            <w:tcBorders>
              <w:top w:val="nil"/>
              <w:left w:val="nil"/>
              <w:bottom w:val="single" w:sz="4" w:space="0" w:color="auto"/>
              <w:right w:val="single" w:sz="4" w:space="0" w:color="auto"/>
            </w:tcBorders>
            <w:shd w:val="clear" w:color="auto" w:fill="auto"/>
            <w:vAlign w:val="bottom"/>
          </w:tcPr>
          <w:p w14:paraId="1F4F10C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0.594</w:t>
            </w:r>
          </w:p>
        </w:tc>
        <w:tc>
          <w:tcPr>
            <w:tcW w:w="0" w:type="auto"/>
            <w:tcBorders>
              <w:top w:val="nil"/>
              <w:left w:val="nil"/>
              <w:bottom w:val="single" w:sz="4" w:space="0" w:color="auto"/>
              <w:right w:val="single" w:sz="4" w:space="0" w:color="auto"/>
            </w:tcBorders>
            <w:shd w:val="clear" w:color="auto" w:fill="auto"/>
            <w:vAlign w:val="bottom"/>
          </w:tcPr>
          <w:p w14:paraId="374357C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0.253</w:t>
            </w:r>
          </w:p>
        </w:tc>
        <w:tc>
          <w:tcPr>
            <w:tcW w:w="0" w:type="auto"/>
            <w:tcBorders>
              <w:top w:val="nil"/>
              <w:left w:val="nil"/>
              <w:bottom w:val="single" w:sz="4" w:space="0" w:color="auto"/>
              <w:right w:val="single" w:sz="4" w:space="0" w:color="auto"/>
            </w:tcBorders>
            <w:shd w:val="clear" w:color="auto" w:fill="auto"/>
            <w:vAlign w:val="bottom"/>
          </w:tcPr>
          <w:p w14:paraId="2D8BD4B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0.171</w:t>
            </w:r>
          </w:p>
        </w:tc>
      </w:tr>
      <w:tr w:rsidR="004346F3" w:rsidRPr="00536CFD" w14:paraId="615B5292" w14:textId="77777777" w:rsidTr="00536CFD">
        <w:trPr>
          <w:cantSplit/>
          <w:trHeight w:val="22"/>
        </w:trPr>
        <w:tc>
          <w:tcPr>
            <w:tcW w:w="0" w:type="auto"/>
            <w:vMerge/>
          </w:tcPr>
          <w:p w14:paraId="4BEB45EC" w14:textId="77777777" w:rsidR="004346F3" w:rsidRPr="00536CFD" w:rsidRDefault="004346F3" w:rsidP="00802ABC">
            <w:pPr>
              <w:spacing w:after="60"/>
              <w:jc w:val="center"/>
              <w:rPr>
                <w:rFonts w:ascii="Times New Roman" w:hAnsi="Times New Roman"/>
                <w:sz w:val="20"/>
                <w:szCs w:val="20"/>
              </w:rPr>
            </w:pPr>
          </w:p>
        </w:tc>
        <w:tc>
          <w:tcPr>
            <w:tcW w:w="0" w:type="auto"/>
            <w:vMerge w:val="restart"/>
          </w:tcPr>
          <w:p w14:paraId="1BE64E7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UL</w:t>
            </w:r>
          </w:p>
          <w:p w14:paraId="6D5E16D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UPT CDF</w:t>
            </w:r>
          </w:p>
          <w:p w14:paraId="4D9FBCA7"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[Mbps]</w:t>
            </w:r>
          </w:p>
        </w:tc>
        <w:tc>
          <w:tcPr>
            <w:tcW w:w="0" w:type="auto"/>
          </w:tcPr>
          <w:p w14:paraId="04153E7E"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w:t>
            </w:r>
          </w:p>
        </w:tc>
        <w:tc>
          <w:tcPr>
            <w:tcW w:w="0" w:type="auto"/>
            <w:tcBorders>
              <w:top w:val="nil"/>
              <w:left w:val="single" w:sz="4" w:space="0" w:color="auto"/>
              <w:bottom w:val="single" w:sz="4" w:space="0" w:color="auto"/>
              <w:right w:val="single" w:sz="4" w:space="0" w:color="auto"/>
            </w:tcBorders>
            <w:shd w:val="clear" w:color="auto" w:fill="auto"/>
            <w:vAlign w:val="bottom"/>
          </w:tcPr>
          <w:p w14:paraId="3E0B29D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4.938</w:t>
            </w:r>
          </w:p>
        </w:tc>
        <w:tc>
          <w:tcPr>
            <w:tcW w:w="0" w:type="auto"/>
            <w:tcBorders>
              <w:top w:val="nil"/>
              <w:left w:val="nil"/>
              <w:bottom w:val="single" w:sz="4" w:space="0" w:color="auto"/>
              <w:right w:val="single" w:sz="4" w:space="0" w:color="auto"/>
            </w:tcBorders>
            <w:shd w:val="clear" w:color="auto" w:fill="auto"/>
            <w:vAlign w:val="bottom"/>
          </w:tcPr>
          <w:p w14:paraId="4D51BEB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11.565</w:t>
            </w:r>
          </w:p>
        </w:tc>
        <w:tc>
          <w:tcPr>
            <w:tcW w:w="0" w:type="auto"/>
            <w:tcBorders>
              <w:top w:val="nil"/>
              <w:left w:val="nil"/>
              <w:bottom w:val="single" w:sz="4" w:space="0" w:color="auto"/>
              <w:right w:val="single" w:sz="4" w:space="0" w:color="auto"/>
            </w:tcBorders>
            <w:shd w:val="clear" w:color="auto" w:fill="auto"/>
            <w:vAlign w:val="bottom"/>
          </w:tcPr>
          <w:p w14:paraId="540DDAC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14.560</w:t>
            </w:r>
          </w:p>
        </w:tc>
        <w:tc>
          <w:tcPr>
            <w:tcW w:w="0" w:type="auto"/>
            <w:tcBorders>
              <w:top w:val="nil"/>
              <w:left w:val="nil"/>
              <w:bottom w:val="single" w:sz="4" w:space="0" w:color="auto"/>
              <w:right w:val="single" w:sz="4" w:space="0" w:color="auto"/>
            </w:tcBorders>
            <w:shd w:val="clear" w:color="auto" w:fill="auto"/>
            <w:vAlign w:val="bottom"/>
          </w:tcPr>
          <w:p w14:paraId="328FDB6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32.995</w:t>
            </w:r>
          </w:p>
        </w:tc>
        <w:tc>
          <w:tcPr>
            <w:tcW w:w="0" w:type="auto"/>
            <w:tcBorders>
              <w:top w:val="nil"/>
              <w:left w:val="nil"/>
              <w:bottom w:val="single" w:sz="4" w:space="0" w:color="auto"/>
              <w:right w:val="single" w:sz="4" w:space="0" w:color="auto"/>
            </w:tcBorders>
            <w:shd w:val="clear" w:color="auto" w:fill="auto"/>
            <w:vAlign w:val="bottom"/>
          </w:tcPr>
          <w:p w14:paraId="53E05AE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1.879</w:t>
            </w:r>
          </w:p>
        </w:tc>
        <w:tc>
          <w:tcPr>
            <w:tcW w:w="0" w:type="auto"/>
            <w:tcBorders>
              <w:top w:val="nil"/>
              <w:left w:val="nil"/>
              <w:bottom w:val="single" w:sz="4" w:space="0" w:color="auto"/>
              <w:right w:val="single" w:sz="4" w:space="0" w:color="auto"/>
            </w:tcBorders>
            <w:shd w:val="clear" w:color="auto" w:fill="auto"/>
            <w:vAlign w:val="bottom"/>
          </w:tcPr>
          <w:p w14:paraId="610C260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5.905</w:t>
            </w:r>
          </w:p>
        </w:tc>
        <w:tc>
          <w:tcPr>
            <w:tcW w:w="0" w:type="auto"/>
            <w:tcBorders>
              <w:top w:val="nil"/>
              <w:left w:val="nil"/>
              <w:bottom w:val="single" w:sz="4" w:space="0" w:color="auto"/>
              <w:right w:val="single" w:sz="4" w:space="0" w:color="auto"/>
            </w:tcBorders>
            <w:shd w:val="clear" w:color="auto" w:fill="auto"/>
            <w:vAlign w:val="bottom"/>
          </w:tcPr>
          <w:p w14:paraId="2A1B0F9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7.896</w:t>
            </w:r>
          </w:p>
        </w:tc>
        <w:tc>
          <w:tcPr>
            <w:tcW w:w="0" w:type="auto"/>
            <w:tcBorders>
              <w:top w:val="nil"/>
              <w:left w:val="nil"/>
              <w:bottom w:val="single" w:sz="4" w:space="0" w:color="auto"/>
              <w:right w:val="single" w:sz="4" w:space="0" w:color="auto"/>
            </w:tcBorders>
            <w:shd w:val="clear" w:color="auto" w:fill="auto"/>
            <w:vAlign w:val="bottom"/>
          </w:tcPr>
          <w:p w14:paraId="6B32E1A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26.318</w:t>
            </w:r>
          </w:p>
        </w:tc>
        <w:tc>
          <w:tcPr>
            <w:tcW w:w="0" w:type="auto"/>
            <w:tcBorders>
              <w:top w:val="nil"/>
              <w:left w:val="nil"/>
              <w:bottom w:val="single" w:sz="4" w:space="0" w:color="auto"/>
              <w:right w:val="single" w:sz="4" w:space="0" w:color="auto"/>
            </w:tcBorders>
            <w:shd w:val="clear" w:color="auto" w:fill="auto"/>
            <w:vAlign w:val="bottom"/>
          </w:tcPr>
          <w:p w14:paraId="1A07F24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0.310</w:t>
            </w:r>
          </w:p>
        </w:tc>
        <w:tc>
          <w:tcPr>
            <w:tcW w:w="0" w:type="auto"/>
            <w:tcBorders>
              <w:top w:val="nil"/>
              <w:left w:val="nil"/>
              <w:bottom w:val="single" w:sz="4" w:space="0" w:color="auto"/>
              <w:right w:val="single" w:sz="4" w:space="0" w:color="auto"/>
            </w:tcBorders>
            <w:shd w:val="clear" w:color="auto" w:fill="auto"/>
            <w:vAlign w:val="bottom"/>
          </w:tcPr>
          <w:p w14:paraId="3DE563C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1.703</w:t>
            </w:r>
          </w:p>
        </w:tc>
        <w:tc>
          <w:tcPr>
            <w:tcW w:w="0" w:type="auto"/>
            <w:tcBorders>
              <w:top w:val="nil"/>
              <w:left w:val="nil"/>
              <w:bottom w:val="single" w:sz="4" w:space="0" w:color="auto"/>
              <w:right w:val="single" w:sz="4" w:space="0" w:color="auto"/>
            </w:tcBorders>
            <w:shd w:val="clear" w:color="auto" w:fill="auto"/>
            <w:vAlign w:val="bottom"/>
          </w:tcPr>
          <w:p w14:paraId="2431C40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3.515</w:t>
            </w:r>
          </w:p>
        </w:tc>
        <w:tc>
          <w:tcPr>
            <w:tcW w:w="0" w:type="auto"/>
            <w:tcBorders>
              <w:top w:val="nil"/>
              <w:left w:val="nil"/>
              <w:bottom w:val="single" w:sz="4" w:space="0" w:color="auto"/>
              <w:right w:val="single" w:sz="4" w:space="0" w:color="auto"/>
            </w:tcBorders>
            <w:shd w:val="clear" w:color="auto" w:fill="auto"/>
            <w:vAlign w:val="bottom"/>
          </w:tcPr>
          <w:p w14:paraId="243A084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15.488</w:t>
            </w:r>
          </w:p>
        </w:tc>
      </w:tr>
      <w:tr w:rsidR="004346F3" w:rsidRPr="00536CFD" w14:paraId="5878F736" w14:textId="77777777" w:rsidTr="00536CFD">
        <w:trPr>
          <w:cantSplit/>
          <w:trHeight w:val="22"/>
        </w:trPr>
        <w:tc>
          <w:tcPr>
            <w:tcW w:w="0" w:type="auto"/>
            <w:vMerge/>
          </w:tcPr>
          <w:p w14:paraId="077B8448" w14:textId="77777777" w:rsidR="004346F3" w:rsidRPr="00536CFD" w:rsidRDefault="004346F3" w:rsidP="00802ABC">
            <w:pPr>
              <w:spacing w:after="60"/>
              <w:jc w:val="center"/>
              <w:rPr>
                <w:rFonts w:ascii="Times New Roman" w:hAnsi="Times New Roman"/>
                <w:sz w:val="20"/>
                <w:szCs w:val="20"/>
              </w:rPr>
            </w:pPr>
          </w:p>
        </w:tc>
        <w:tc>
          <w:tcPr>
            <w:tcW w:w="0" w:type="auto"/>
            <w:vMerge/>
          </w:tcPr>
          <w:p w14:paraId="288E7E72" w14:textId="77777777" w:rsidR="004346F3" w:rsidRPr="00536CFD" w:rsidRDefault="004346F3" w:rsidP="00802ABC">
            <w:pPr>
              <w:spacing w:after="60"/>
              <w:jc w:val="center"/>
              <w:rPr>
                <w:rFonts w:ascii="Times New Roman" w:hAnsi="Times New Roman"/>
                <w:sz w:val="20"/>
                <w:szCs w:val="20"/>
              </w:rPr>
            </w:pPr>
          </w:p>
        </w:tc>
        <w:tc>
          <w:tcPr>
            <w:tcW w:w="0" w:type="auto"/>
          </w:tcPr>
          <w:p w14:paraId="7D95AF6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50%</w:t>
            </w:r>
          </w:p>
        </w:tc>
        <w:tc>
          <w:tcPr>
            <w:tcW w:w="0" w:type="auto"/>
            <w:tcBorders>
              <w:top w:val="nil"/>
              <w:left w:val="single" w:sz="4" w:space="0" w:color="auto"/>
              <w:bottom w:val="single" w:sz="4" w:space="0" w:color="auto"/>
              <w:right w:val="single" w:sz="4" w:space="0" w:color="auto"/>
            </w:tcBorders>
            <w:shd w:val="clear" w:color="auto" w:fill="auto"/>
            <w:vAlign w:val="bottom"/>
          </w:tcPr>
          <w:p w14:paraId="72771A5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57.731</w:t>
            </w:r>
          </w:p>
        </w:tc>
        <w:tc>
          <w:tcPr>
            <w:tcW w:w="0" w:type="auto"/>
            <w:tcBorders>
              <w:top w:val="nil"/>
              <w:left w:val="nil"/>
              <w:bottom w:val="single" w:sz="4" w:space="0" w:color="auto"/>
              <w:right w:val="single" w:sz="4" w:space="0" w:color="auto"/>
            </w:tcBorders>
            <w:shd w:val="clear" w:color="auto" w:fill="auto"/>
            <w:vAlign w:val="bottom"/>
          </w:tcPr>
          <w:p w14:paraId="5E3B967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84.192</w:t>
            </w:r>
          </w:p>
        </w:tc>
        <w:tc>
          <w:tcPr>
            <w:tcW w:w="0" w:type="auto"/>
            <w:tcBorders>
              <w:top w:val="nil"/>
              <w:left w:val="nil"/>
              <w:bottom w:val="single" w:sz="4" w:space="0" w:color="auto"/>
              <w:right w:val="single" w:sz="4" w:space="0" w:color="auto"/>
            </w:tcBorders>
            <w:shd w:val="clear" w:color="auto" w:fill="auto"/>
            <w:vAlign w:val="bottom"/>
          </w:tcPr>
          <w:p w14:paraId="2F071E2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110.640</w:t>
            </w:r>
          </w:p>
        </w:tc>
        <w:tc>
          <w:tcPr>
            <w:tcW w:w="0" w:type="auto"/>
            <w:tcBorders>
              <w:top w:val="nil"/>
              <w:left w:val="nil"/>
              <w:bottom w:val="single" w:sz="4" w:space="0" w:color="auto"/>
              <w:right w:val="single" w:sz="4" w:space="0" w:color="auto"/>
            </w:tcBorders>
            <w:shd w:val="clear" w:color="auto" w:fill="auto"/>
            <w:vAlign w:val="bottom"/>
          </w:tcPr>
          <w:p w14:paraId="3F1BB0D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121.620</w:t>
            </w:r>
          </w:p>
        </w:tc>
        <w:tc>
          <w:tcPr>
            <w:tcW w:w="0" w:type="auto"/>
            <w:tcBorders>
              <w:top w:val="nil"/>
              <w:left w:val="nil"/>
              <w:bottom w:val="single" w:sz="4" w:space="0" w:color="auto"/>
              <w:right w:val="single" w:sz="4" w:space="0" w:color="auto"/>
            </w:tcBorders>
            <w:shd w:val="clear" w:color="auto" w:fill="auto"/>
            <w:vAlign w:val="bottom"/>
          </w:tcPr>
          <w:p w14:paraId="245C855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24.350</w:t>
            </w:r>
          </w:p>
        </w:tc>
        <w:tc>
          <w:tcPr>
            <w:tcW w:w="0" w:type="auto"/>
            <w:tcBorders>
              <w:top w:val="nil"/>
              <w:left w:val="nil"/>
              <w:bottom w:val="single" w:sz="4" w:space="0" w:color="auto"/>
              <w:right w:val="single" w:sz="4" w:space="0" w:color="auto"/>
            </w:tcBorders>
            <w:shd w:val="clear" w:color="auto" w:fill="auto"/>
            <w:vAlign w:val="bottom"/>
          </w:tcPr>
          <w:p w14:paraId="0C754FC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62.856</w:t>
            </w:r>
          </w:p>
        </w:tc>
        <w:tc>
          <w:tcPr>
            <w:tcW w:w="0" w:type="auto"/>
            <w:tcBorders>
              <w:top w:val="nil"/>
              <w:left w:val="nil"/>
              <w:bottom w:val="single" w:sz="4" w:space="0" w:color="auto"/>
              <w:right w:val="single" w:sz="4" w:space="0" w:color="auto"/>
            </w:tcBorders>
            <w:shd w:val="clear" w:color="auto" w:fill="auto"/>
            <w:vAlign w:val="bottom"/>
          </w:tcPr>
          <w:p w14:paraId="0B81421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75.543</w:t>
            </w:r>
          </w:p>
        </w:tc>
        <w:tc>
          <w:tcPr>
            <w:tcW w:w="0" w:type="auto"/>
            <w:tcBorders>
              <w:top w:val="nil"/>
              <w:left w:val="nil"/>
              <w:bottom w:val="single" w:sz="4" w:space="0" w:color="auto"/>
              <w:right w:val="single" w:sz="4" w:space="0" w:color="auto"/>
            </w:tcBorders>
            <w:shd w:val="clear" w:color="auto" w:fill="auto"/>
            <w:vAlign w:val="bottom"/>
          </w:tcPr>
          <w:p w14:paraId="78D1D8F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80.462</w:t>
            </w:r>
          </w:p>
        </w:tc>
        <w:tc>
          <w:tcPr>
            <w:tcW w:w="0" w:type="auto"/>
            <w:tcBorders>
              <w:top w:val="nil"/>
              <w:left w:val="nil"/>
              <w:bottom w:val="single" w:sz="4" w:space="0" w:color="auto"/>
              <w:right w:val="single" w:sz="4" w:space="0" w:color="auto"/>
            </w:tcBorders>
            <w:shd w:val="clear" w:color="auto" w:fill="auto"/>
            <w:vAlign w:val="bottom"/>
          </w:tcPr>
          <w:p w14:paraId="257DE07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13.294</w:t>
            </w:r>
          </w:p>
        </w:tc>
        <w:tc>
          <w:tcPr>
            <w:tcW w:w="0" w:type="auto"/>
            <w:tcBorders>
              <w:top w:val="nil"/>
              <w:left w:val="nil"/>
              <w:bottom w:val="single" w:sz="4" w:space="0" w:color="auto"/>
              <w:right w:val="single" w:sz="4" w:space="0" w:color="auto"/>
            </w:tcBorders>
            <w:shd w:val="clear" w:color="auto" w:fill="auto"/>
            <w:vAlign w:val="bottom"/>
          </w:tcPr>
          <w:p w14:paraId="6919E40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22.741</w:t>
            </w:r>
          </w:p>
        </w:tc>
        <w:tc>
          <w:tcPr>
            <w:tcW w:w="0" w:type="auto"/>
            <w:tcBorders>
              <w:top w:val="nil"/>
              <w:left w:val="nil"/>
              <w:bottom w:val="single" w:sz="4" w:space="0" w:color="auto"/>
              <w:right w:val="single" w:sz="4" w:space="0" w:color="auto"/>
            </w:tcBorders>
            <w:shd w:val="clear" w:color="auto" w:fill="auto"/>
            <w:vAlign w:val="bottom"/>
          </w:tcPr>
          <w:p w14:paraId="214D47A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35.754</w:t>
            </w:r>
          </w:p>
        </w:tc>
        <w:tc>
          <w:tcPr>
            <w:tcW w:w="0" w:type="auto"/>
            <w:tcBorders>
              <w:top w:val="nil"/>
              <w:left w:val="nil"/>
              <w:bottom w:val="single" w:sz="4" w:space="0" w:color="auto"/>
              <w:right w:val="single" w:sz="4" w:space="0" w:color="auto"/>
            </w:tcBorders>
            <w:shd w:val="clear" w:color="auto" w:fill="auto"/>
            <w:vAlign w:val="bottom"/>
          </w:tcPr>
          <w:p w14:paraId="2CC3394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49.990</w:t>
            </w:r>
          </w:p>
        </w:tc>
      </w:tr>
      <w:tr w:rsidR="004346F3" w:rsidRPr="00536CFD" w14:paraId="32D481C0" w14:textId="77777777" w:rsidTr="00536CFD">
        <w:trPr>
          <w:cantSplit/>
          <w:trHeight w:val="22"/>
        </w:trPr>
        <w:tc>
          <w:tcPr>
            <w:tcW w:w="0" w:type="auto"/>
            <w:vMerge/>
          </w:tcPr>
          <w:p w14:paraId="33B0C914" w14:textId="77777777" w:rsidR="004346F3" w:rsidRPr="00536CFD" w:rsidRDefault="004346F3" w:rsidP="00802ABC">
            <w:pPr>
              <w:spacing w:after="60"/>
              <w:jc w:val="center"/>
              <w:rPr>
                <w:rFonts w:ascii="Times New Roman" w:hAnsi="Times New Roman"/>
                <w:sz w:val="20"/>
                <w:szCs w:val="20"/>
              </w:rPr>
            </w:pPr>
          </w:p>
        </w:tc>
        <w:tc>
          <w:tcPr>
            <w:tcW w:w="0" w:type="auto"/>
            <w:vMerge/>
          </w:tcPr>
          <w:p w14:paraId="201EE4C7" w14:textId="77777777" w:rsidR="004346F3" w:rsidRPr="00536CFD" w:rsidRDefault="004346F3" w:rsidP="00802ABC">
            <w:pPr>
              <w:spacing w:after="60"/>
              <w:jc w:val="center"/>
              <w:rPr>
                <w:rFonts w:ascii="Times New Roman" w:hAnsi="Times New Roman"/>
                <w:sz w:val="20"/>
                <w:szCs w:val="20"/>
              </w:rPr>
            </w:pPr>
          </w:p>
        </w:tc>
        <w:tc>
          <w:tcPr>
            <w:tcW w:w="0" w:type="auto"/>
          </w:tcPr>
          <w:p w14:paraId="5C3B57F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95%</w:t>
            </w:r>
          </w:p>
        </w:tc>
        <w:tc>
          <w:tcPr>
            <w:tcW w:w="0" w:type="auto"/>
            <w:tcBorders>
              <w:top w:val="nil"/>
              <w:left w:val="single" w:sz="4" w:space="0" w:color="auto"/>
              <w:bottom w:val="single" w:sz="4" w:space="0" w:color="auto"/>
              <w:right w:val="single" w:sz="4" w:space="0" w:color="auto"/>
            </w:tcBorders>
            <w:shd w:val="clear" w:color="auto" w:fill="auto"/>
            <w:vAlign w:val="bottom"/>
          </w:tcPr>
          <w:p w14:paraId="6BAAAF5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106.614</w:t>
            </w:r>
          </w:p>
        </w:tc>
        <w:tc>
          <w:tcPr>
            <w:tcW w:w="0" w:type="auto"/>
            <w:tcBorders>
              <w:top w:val="nil"/>
              <w:left w:val="nil"/>
              <w:bottom w:val="single" w:sz="4" w:space="0" w:color="auto"/>
              <w:right w:val="single" w:sz="4" w:space="0" w:color="auto"/>
            </w:tcBorders>
            <w:shd w:val="clear" w:color="auto" w:fill="auto"/>
            <w:vAlign w:val="bottom"/>
          </w:tcPr>
          <w:p w14:paraId="0E158C2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114.090</w:t>
            </w:r>
          </w:p>
        </w:tc>
        <w:tc>
          <w:tcPr>
            <w:tcW w:w="0" w:type="auto"/>
            <w:tcBorders>
              <w:top w:val="nil"/>
              <w:left w:val="nil"/>
              <w:bottom w:val="single" w:sz="4" w:space="0" w:color="auto"/>
              <w:right w:val="single" w:sz="4" w:space="0" w:color="auto"/>
            </w:tcBorders>
            <w:shd w:val="clear" w:color="auto" w:fill="auto"/>
            <w:vAlign w:val="bottom"/>
          </w:tcPr>
          <w:p w14:paraId="6BAF5FA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190.409</w:t>
            </w:r>
          </w:p>
        </w:tc>
        <w:tc>
          <w:tcPr>
            <w:tcW w:w="0" w:type="auto"/>
            <w:tcBorders>
              <w:top w:val="nil"/>
              <w:left w:val="nil"/>
              <w:bottom w:val="single" w:sz="4" w:space="0" w:color="auto"/>
              <w:right w:val="single" w:sz="4" w:space="0" w:color="auto"/>
            </w:tcBorders>
            <w:shd w:val="clear" w:color="auto" w:fill="auto"/>
            <w:vAlign w:val="bottom"/>
          </w:tcPr>
          <w:p w14:paraId="41F58A8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190.086</w:t>
            </w:r>
          </w:p>
        </w:tc>
        <w:tc>
          <w:tcPr>
            <w:tcW w:w="0" w:type="auto"/>
            <w:tcBorders>
              <w:top w:val="nil"/>
              <w:left w:val="nil"/>
              <w:bottom w:val="single" w:sz="4" w:space="0" w:color="auto"/>
              <w:right w:val="single" w:sz="4" w:space="0" w:color="auto"/>
            </w:tcBorders>
            <w:shd w:val="clear" w:color="auto" w:fill="auto"/>
            <w:vAlign w:val="bottom"/>
          </w:tcPr>
          <w:p w14:paraId="03D0E08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91.471</w:t>
            </w:r>
          </w:p>
        </w:tc>
        <w:tc>
          <w:tcPr>
            <w:tcW w:w="0" w:type="auto"/>
            <w:tcBorders>
              <w:top w:val="nil"/>
              <w:left w:val="nil"/>
              <w:bottom w:val="single" w:sz="4" w:space="0" w:color="auto"/>
              <w:right w:val="single" w:sz="4" w:space="0" w:color="auto"/>
            </w:tcBorders>
            <w:shd w:val="clear" w:color="auto" w:fill="auto"/>
            <w:vAlign w:val="bottom"/>
          </w:tcPr>
          <w:p w14:paraId="7F4228F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111.718</w:t>
            </w:r>
          </w:p>
        </w:tc>
        <w:tc>
          <w:tcPr>
            <w:tcW w:w="0" w:type="auto"/>
            <w:tcBorders>
              <w:top w:val="nil"/>
              <w:left w:val="nil"/>
              <w:bottom w:val="single" w:sz="4" w:space="0" w:color="auto"/>
              <w:right w:val="single" w:sz="4" w:space="0" w:color="auto"/>
            </w:tcBorders>
            <w:shd w:val="clear" w:color="auto" w:fill="auto"/>
            <w:vAlign w:val="bottom"/>
          </w:tcPr>
          <w:p w14:paraId="282AF6C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168.420</w:t>
            </w:r>
          </w:p>
        </w:tc>
        <w:tc>
          <w:tcPr>
            <w:tcW w:w="0" w:type="auto"/>
            <w:tcBorders>
              <w:top w:val="nil"/>
              <w:left w:val="nil"/>
              <w:bottom w:val="single" w:sz="4" w:space="0" w:color="auto"/>
              <w:right w:val="single" w:sz="4" w:space="0" w:color="auto"/>
            </w:tcBorders>
            <w:shd w:val="clear" w:color="auto" w:fill="auto"/>
            <w:vAlign w:val="bottom"/>
          </w:tcPr>
          <w:p w14:paraId="134A292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170.992</w:t>
            </w:r>
          </w:p>
        </w:tc>
        <w:tc>
          <w:tcPr>
            <w:tcW w:w="0" w:type="auto"/>
            <w:tcBorders>
              <w:top w:val="nil"/>
              <w:left w:val="nil"/>
              <w:bottom w:val="single" w:sz="4" w:space="0" w:color="auto"/>
              <w:right w:val="single" w:sz="4" w:space="0" w:color="auto"/>
            </w:tcBorders>
            <w:shd w:val="clear" w:color="auto" w:fill="auto"/>
            <w:vAlign w:val="bottom"/>
          </w:tcPr>
          <w:p w14:paraId="1F19967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73.424</w:t>
            </w:r>
          </w:p>
        </w:tc>
        <w:tc>
          <w:tcPr>
            <w:tcW w:w="0" w:type="auto"/>
            <w:tcBorders>
              <w:top w:val="nil"/>
              <w:left w:val="nil"/>
              <w:bottom w:val="single" w:sz="4" w:space="0" w:color="auto"/>
              <w:right w:val="single" w:sz="4" w:space="0" w:color="auto"/>
            </w:tcBorders>
            <w:shd w:val="clear" w:color="auto" w:fill="auto"/>
            <w:vAlign w:val="bottom"/>
          </w:tcPr>
          <w:p w14:paraId="33AEDA4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92.983</w:t>
            </w:r>
          </w:p>
        </w:tc>
        <w:tc>
          <w:tcPr>
            <w:tcW w:w="0" w:type="auto"/>
            <w:tcBorders>
              <w:top w:val="nil"/>
              <w:left w:val="nil"/>
              <w:bottom w:val="single" w:sz="4" w:space="0" w:color="auto"/>
              <w:right w:val="single" w:sz="4" w:space="0" w:color="auto"/>
            </w:tcBorders>
            <w:shd w:val="clear" w:color="auto" w:fill="auto"/>
            <w:vAlign w:val="bottom"/>
          </w:tcPr>
          <w:p w14:paraId="55F9B23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133.636</w:t>
            </w:r>
          </w:p>
        </w:tc>
        <w:tc>
          <w:tcPr>
            <w:tcW w:w="0" w:type="auto"/>
            <w:tcBorders>
              <w:top w:val="nil"/>
              <w:left w:val="nil"/>
              <w:bottom w:val="single" w:sz="4" w:space="0" w:color="auto"/>
              <w:right w:val="single" w:sz="4" w:space="0" w:color="auto"/>
            </w:tcBorders>
            <w:shd w:val="clear" w:color="auto" w:fill="auto"/>
            <w:vAlign w:val="bottom"/>
          </w:tcPr>
          <w:p w14:paraId="67368D3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137.900</w:t>
            </w:r>
          </w:p>
        </w:tc>
      </w:tr>
      <w:tr w:rsidR="004346F3" w:rsidRPr="00536CFD" w14:paraId="72E13C2D" w14:textId="77777777" w:rsidTr="00536CFD">
        <w:trPr>
          <w:cantSplit/>
          <w:trHeight w:val="22"/>
        </w:trPr>
        <w:tc>
          <w:tcPr>
            <w:tcW w:w="0" w:type="auto"/>
            <w:vMerge/>
          </w:tcPr>
          <w:p w14:paraId="1D826583" w14:textId="77777777" w:rsidR="004346F3" w:rsidRPr="00536CFD" w:rsidRDefault="004346F3" w:rsidP="00802ABC">
            <w:pPr>
              <w:spacing w:after="60"/>
              <w:jc w:val="center"/>
              <w:rPr>
                <w:rFonts w:ascii="Times New Roman" w:hAnsi="Times New Roman"/>
                <w:sz w:val="20"/>
                <w:szCs w:val="20"/>
              </w:rPr>
            </w:pPr>
          </w:p>
        </w:tc>
        <w:tc>
          <w:tcPr>
            <w:tcW w:w="0" w:type="auto"/>
            <w:vMerge/>
          </w:tcPr>
          <w:p w14:paraId="2E7D265C" w14:textId="77777777" w:rsidR="004346F3" w:rsidRPr="00536CFD" w:rsidRDefault="004346F3" w:rsidP="00802ABC">
            <w:pPr>
              <w:spacing w:after="60"/>
              <w:jc w:val="center"/>
              <w:rPr>
                <w:rFonts w:ascii="Times New Roman" w:hAnsi="Times New Roman"/>
                <w:sz w:val="20"/>
                <w:szCs w:val="20"/>
              </w:rPr>
            </w:pPr>
          </w:p>
        </w:tc>
        <w:tc>
          <w:tcPr>
            <w:tcW w:w="0" w:type="auto"/>
          </w:tcPr>
          <w:p w14:paraId="1235741C"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Mean</w:t>
            </w:r>
          </w:p>
        </w:tc>
        <w:tc>
          <w:tcPr>
            <w:tcW w:w="0" w:type="auto"/>
            <w:tcBorders>
              <w:top w:val="nil"/>
              <w:left w:val="single" w:sz="4" w:space="0" w:color="auto"/>
              <w:bottom w:val="single" w:sz="4" w:space="0" w:color="auto"/>
              <w:right w:val="single" w:sz="4" w:space="0" w:color="auto"/>
            </w:tcBorders>
            <w:shd w:val="clear" w:color="auto" w:fill="auto"/>
            <w:vAlign w:val="bottom"/>
          </w:tcPr>
          <w:p w14:paraId="27B4241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57.767</w:t>
            </w:r>
          </w:p>
        </w:tc>
        <w:tc>
          <w:tcPr>
            <w:tcW w:w="0" w:type="auto"/>
            <w:tcBorders>
              <w:top w:val="nil"/>
              <w:left w:val="nil"/>
              <w:bottom w:val="single" w:sz="4" w:space="0" w:color="auto"/>
              <w:right w:val="single" w:sz="4" w:space="0" w:color="auto"/>
            </w:tcBorders>
            <w:shd w:val="clear" w:color="auto" w:fill="auto"/>
            <w:vAlign w:val="bottom"/>
          </w:tcPr>
          <w:p w14:paraId="44D9A95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70.590</w:t>
            </w:r>
          </w:p>
        </w:tc>
        <w:tc>
          <w:tcPr>
            <w:tcW w:w="0" w:type="auto"/>
            <w:tcBorders>
              <w:top w:val="nil"/>
              <w:left w:val="nil"/>
              <w:bottom w:val="single" w:sz="4" w:space="0" w:color="auto"/>
              <w:right w:val="single" w:sz="4" w:space="0" w:color="auto"/>
            </w:tcBorders>
            <w:shd w:val="clear" w:color="auto" w:fill="auto"/>
            <w:vAlign w:val="bottom"/>
          </w:tcPr>
          <w:p w14:paraId="6D41B19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103.105</w:t>
            </w:r>
          </w:p>
        </w:tc>
        <w:tc>
          <w:tcPr>
            <w:tcW w:w="0" w:type="auto"/>
            <w:tcBorders>
              <w:top w:val="nil"/>
              <w:left w:val="nil"/>
              <w:bottom w:val="single" w:sz="4" w:space="0" w:color="auto"/>
              <w:right w:val="single" w:sz="4" w:space="0" w:color="auto"/>
            </w:tcBorders>
            <w:shd w:val="clear" w:color="auto" w:fill="auto"/>
            <w:vAlign w:val="bottom"/>
          </w:tcPr>
          <w:p w14:paraId="0C47B36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106.134</w:t>
            </w:r>
          </w:p>
        </w:tc>
        <w:tc>
          <w:tcPr>
            <w:tcW w:w="0" w:type="auto"/>
            <w:tcBorders>
              <w:top w:val="nil"/>
              <w:left w:val="nil"/>
              <w:bottom w:val="single" w:sz="4" w:space="0" w:color="auto"/>
              <w:right w:val="single" w:sz="4" w:space="0" w:color="auto"/>
            </w:tcBorders>
            <w:shd w:val="clear" w:color="auto" w:fill="auto"/>
            <w:vAlign w:val="bottom"/>
          </w:tcPr>
          <w:p w14:paraId="35BAF28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34.531</w:t>
            </w:r>
          </w:p>
        </w:tc>
        <w:tc>
          <w:tcPr>
            <w:tcW w:w="0" w:type="auto"/>
            <w:tcBorders>
              <w:top w:val="nil"/>
              <w:left w:val="nil"/>
              <w:bottom w:val="single" w:sz="4" w:space="0" w:color="auto"/>
              <w:right w:val="single" w:sz="4" w:space="0" w:color="auto"/>
            </w:tcBorders>
            <w:shd w:val="clear" w:color="auto" w:fill="auto"/>
            <w:vAlign w:val="bottom"/>
          </w:tcPr>
          <w:p w14:paraId="5FF7ED8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59.456</w:t>
            </w:r>
          </w:p>
        </w:tc>
        <w:tc>
          <w:tcPr>
            <w:tcW w:w="0" w:type="auto"/>
            <w:tcBorders>
              <w:top w:val="nil"/>
              <w:left w:val="nil"/>
              <w:bottom w:val="single" w:sz="4" w:space="0" w:color="auto"/>
              <w:right w:val="single" w:sz="4" w:space="0" w:color="auto"/>
            </w:tcBorders>
            <w:shd w:val="clear" w:color="auto" w:fill="auto"/>
            <w:vAlign w:val="bottom"/>
          </w:tcPr>
          <w:p w14:paraId="456039D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84.700</w:t>
            </w:r>
          </w:p>
        </w:tc>
        <w:tc>
          <w:tcPr>
            <w:tcW w:w="0" w:type="auto"/>
            <w:tcBorders>
              <w:top w:val="nil"/>
              <w:left w:val="nil"/>
              <w:bottom w:val="single" w:sz="4" w:space="0" w:color="auto"/>
              <w:right w:val="single" w:sz="4" w:space="0" w:color="auto"/>
            </w:tcBorders>
            <w:shd w:val="clear" w:color="auto" w:fill="auto"/>
            <w:vAlign w:val="bottom"/>
          </w:tcPr>
          <w:p w14:paraId="1798F41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87.968</w:t>
            </w:r>
          </w:p>
        </w:tc>
        <w:tc>
          <w:tcPr>
            <w:tcW w:w="0" w:type="auto"/>
            <w:tcBorders>
              <w:top w:val="nil"/>
              <w:left w:val="nil"/>
              <w:bottom w:val="single" w:sz="4" w:space="0" w:color="auto"/>
              <w:right w:val="single" w:sz="4" w:space="0" w:color="auto"/>
            </w:tcBorders>
            <w:shd w:val="clear" w:color="auto" w:fill="auto"/>
            <w:vAlign w:val="bottom"/>
          </w:tcPr>
          <w:p w14:paraId="61D89BD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20.858</w:t>
            </w:r>
          </w:p>
        </w:tc>
        <w:tc>
          <w:tcPr>
            <w:tcW w:w="0" w:type="auto"/>
            <w:tcBorders>
              <w:top w:val="nil"/>
              <w:left w:val="nil"/>
              <w:bottom w:val="single" w:sz="4" w:space="0" w:color="auto"/>
              <w:right w:val="single" w:sz="4" w:space="0" w:color="auto"/>
            </w:tcBorders>
            <w:shd w:val="clear" w:color="auto" w:fill="auto"/>
            <w:vAlign w:val="bottom"/>
          </w:tcPr>
          <w:p w14:paraId="4DDED17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33.784</w:t>
            </w:r>
          </w:p>
        </w:tc>
        <w:tc>
          <w:tcPr>
            <w:tcW w:w="0" w:type="auto"/>
            <w:tcBorders>
              <w:top w:val="nil"/>
              <w:left w:val="nil"/>
              <w:bottom w:val="single" w:sz="4" w:space="0" w:color="auto"/>
              <w:right w:val="single" w:sz="4" w:space="0" w:color="auto"/>
            </w:tcBorders>
            <w:shd w:val="clear" w:color="auto" w:fill="auto"/>
            <w:vAlign w:val="bottom"/>
          </w:tcPr>
          <w:p w14:paraId="78164D3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49.572</w:t>
            </w:r>
          </w:p>
        </w:tc>
        <w:tc>
          <w:tcPr>
            <w:tcW w:w="0" w:type="auto"/>
            <w:tcBorders>
              <w:top w:val="nil"/>
              <w:left w:val="nil"/>
              <w:bottom w:val="single" w:sz="4" w:space="0" w:color="auto"/>
              <w:right w:val="single" w:sz="4" w:space="0" w:color="auto"/>
            </w:tcBorders>
            <w:shd w:val="clear" w:color="auto" w:fill="auto"/>
            <w:vAlign w:val="bottom"/>
          </w:tcPr>
          <w:p w14:paraId="0A9E384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65.205</w:t>
            </w:r>
          </w:p>
        </w:tc>
      </w:tr>
      <w:tr w:rsidR="004346F3" w:rsidRPr="00536CFD" w14:paraId="2A4565B2" w14:textId="77777777" w:rsidTr="00536CFD">
        <w:trPr>
          <w:cantSplit/>
          <w:trHeight w:val="22"/>
        </w:trPr>
        <w:tc>
          <w:tcPr>
            <w:tcW w:w="0" w:type="auto"/>
            <w:vMerge/>
          </w:tcPr>
          <w:p w14:paraId="45CE8262" w14:textId="77777777" w:rsidR="004346F3" w:rsidRPr="00536CFD" w:rsidRDefault="004346F3" w:rsidP="00802ABC">
            <w:pPr>
              <w:spacing w:after="60"/>
              <w:jc w:val="center"/>
              <w:rPr>
                <w:rFonts w:ascii="Times New Roman" w:hAnsi="Times New Roman"/>
                <w:sz w:val="20"/>
                <w:szCs w:val="20"/>
              </w:rPr>
            </w:pPr>
          </w:p>
        </w:tc>
        <w:tc>
          <w:tcPr>
            <w:tcW w:w="0" w:type="auto"/>
            <w:vMerge w:val="restart"/>
          </w:tcPr>
          <w:p w14:paraId="1E6CC32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UL</w:t>
            </w:r>
          </w:p>
          <w:p w14:paraId="4D87183D"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Delay CDF</w:t>
            </w:r>
          </w:p>
          <w:p w14:paraId="52B9C60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[s]</w:t>
            </w:r>
          </w:p>
        </w:tc>
        <w:tc>
          <w:tcPr>
            <w:tcW w:w="0" w:type="auto"/>
          </w:tcPr>
          <w:p w14:paraId="3BEF13F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w:t>
            </w:r>
          </w:p>
        </w:tc>
        <w:tc>
          <w:tcPr>
            <w:tcW w:w="0" w:type="auto"/>
            <w:tcBorders>
              <w:top w:val="nil"/>
              <w:left w:val="single" w:sz="4" w:space="0" w:color="auto"/>
              <w:bottom w:val="single" w:sz="4" w:space="0" w:color="auto"/>
              <w:right w:val="single" w:sz="4" w:space="0" w:color="auto"/>
            </w:tcBorders>
            <w:shd w:val="clear" w:color="auto" w:fill="auto"/>
            <w:vAlign w:val="bottom"/>
          </w:tcPr>
          <w:p w14:paraId="5DDEF77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0.036</w:t>
            </w:r>
          </w:p>
        </w:tc>
        <w:tc>
          <w:tcPr>
            <w:tcW w:w="0" w:type="auto"/>
            <w:tcBorders>
              <w:top w:val="nil"/>
              <w:left w:val="nil"/>
              <w:bottom w:val="single" w:sz="4" w:space="0" w:color="auto"/>
              <w:right w:val="single" w:sz="4" w:space="0" w:color="auto"/>
            </w:tcBorders>
            <w:shd w:val="clear" w:color="auto" w:fill="auto"/>
            <w:vAlign w:val="bottom"/>
          </w:tcPr>
          <w:p w14:paraId="4DC8D4F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0.032</w:t>
            </w:r>
          </w:p>
        </w:tc>
        <w:tc>
          <w:tcPr>
            <w:tcW w:w="0" w:type="auto"/>
            <w:tcBorders>
              <w:top w:val="nil"/>
              <w:left w:val="nil"/>
              <w:bottom w:val="single" w:sz="4" w:space="0" w:color="auto"/>
              <w:right w:val="single" w:sz="4" w:space="0" w:color="auto"/>
            </w:tcBorders>
            <w:shd w:val="clear" w:color="auto" w:fill="auto"/>
            <w:vAlign w:val="bottom"/>
          </w:tcPr>
          <w:p w14:paraId="2C9FEDA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0E6D60F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152E6F4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0.040</w:t>
            </w:r>
          </w:p>
        </w:tc>
        <w:tc>
          <w:tcPr>
            <w:tcW w:w="0" w:type="auto"/>
            <w:tcBorders>
              <w:top w:val="nil"/>
              <w:left w:val="nil"/>
              <w:bottom w:val="single" w:sz="4" w:space="0" w:color="auto"/>
              <w:right w:val="single" w:sz="4" w:space="0" w:color="auto"/>
            </w:tcBorders>
            <w:shd w:val="clear" w:color="auto" w:fill="auto"/>
            <w:vAlign w:val="bottom"/>
          </w:tcPr>
          <w:p w14:paraId="3170A8F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0.034</w:t>
            </w:r>
          </w:p>
        </w:tc>
        <w:tc>
          <w:tcPr>
            <w:tcW w:w="0" w:type="auto"/>
            <w:tcBorders>
              <w:top w:val="nil"/>
              <w:left w:val="nil"/>
              <w:bottom w:val="single" w:sz="4" w:space="0" w:color="auto"/>
              <w:right w:val="single" w:sz="4" w:space="0" w:color="auto"/>
            </w:tcBorders>
            <w:shd w:val="clear" w:color="auto" w:fill="auto"/>
            <w:vAlign w:val="bottom"/>
          </w:tcPr>
          <w:p w14:paraId="4A0E532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0.022</w:t>
            </w:r>
          </w:p>
        </w:tc>
        <w:tc>
          <w:tcPr>
            <w:tcW w:w="0" w:type="auto"/>
            <w:tcBorders>
              <w:top w:val="nil"/>
              <w:left w:val="nil"/>
              <w:bottom w:val="single" w:sz="4" w:space="0" w:color="auto"/>
              <w:right w:val="single" w:sz="4" w:space="0" w:color="auto"/>
            </w:tcBorders>
            <w:shd w:val="clear" w:color="auto" w:fill="auto"/>
            <w:vAlign w:val="bottom"/>
          </w:tcPr>
          <w:p w14:paraId="2299206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0.021</w:t>
            </w:r>
          </w:p>
        </w:tc>
        <w:tc>
          <w:tcPr>
            <w:tcW w:w="0" w:type="auto"/>
            <w:tcBorders>
              <w:top w:val="nil"/>
              <w:left w:val="nil"/>
              <w:bottom w:val="single" w:sz="4" w:space="0" w:color="auto"/>
              <w:right w:val="single" w:sz="4" w:space="0" w:color="auto"/>
            </w:tcBorders>
            <w:shd w:val="clear" w:color="auto" w:fill="auto"/>
            <w:vAlign w:val="bottom"/>
          </w:tcPr>
          <w:p w14:paraId="677D582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0.047</w:t>
            </w:r>
          </w:p>
        </w:tc>
        <w:tc>
          <w:tcPr>
            <w:tcW w:w="0" w:type="auto"/>
            <w:tcBorders>
              <w:top w:val="nil"/>
              <w:left w:val="nil"/>
              <w:bottom w:val="single" w:sz="4" w:space="0" w:color="auto"/>
              <w:right w:val="single" w:sz="4" w:space="0" w:color="auto"/>
            </w:tcBorders>
            <w:shd w:val="clear" w:color="auto" w:fill="auto"/>
            <w:vAlign w:val="bottom"/>
          </w:tcPr>
          <w:p w14:paraId="4EAB9B3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0.040</w:t>
            </w:r>
          </w:p>
        </w:tc>
        <w:tc>
          <w:tcPr>
            <w:tcW w:w="0" w:type="auto"/>
            <w:tcBorders>
              <w:top w:val="nil"/>
              <w:left w:val="nil"/>
              <w:bottom w:val="single" w:sz="4" w:space="0" w:color="auto"/>
              <w:right w:val="single" w:sz="4" w:space="0" w:color="auto"/>
            </w:tcBorders>
            <w:shd w:val="clear" w:color="auto" w:fill="auto"/>
            <w:vAlign w:val="bottom"/>
          </w:tcPr>
          <w:p w14:paraId="286F99E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0.031</w:t>
            </w:r>
          </w:p>
        </w:tc>
        <w:tc>
          <w:tcPr>
            <w:tcW w:w="0" w:type="auto"/>
            <w:tcBorders>
              <w:top w:val="nil"/>
              <w:left w:val="nil"/>
              <w:bottom w:val="single" w:sz="4" w:space="0" w:color="auto"/>
              <w:right w:val="single" w:sz="4" w:space="0" w:color="auto"/>
            </w:tcBorders>
            <w:shd w:val="clear" w:color="auto" w:fill="auto"/>
            <w:vAlign w:val="bottom"/>
          </w:tcPr>
          <w:p w14:paraId="5C6F05F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0.300</w:t>
            </w:r>
          </w:p>
        </w:tc>
      </w:tr>
      <w:tr w:rsidR="004346F3" w:rsidRPr="00536CFD" w14:paraId="11131AC1" w14:textId="77777777" w:rsidTr="00536CFD">
        <w:trPr>
          <w:cantSplit/>
          <w:trHeight w:val="22"/>
        </w:trPr>
        <w:tc>
          <w:tcPr>
            <w:tcW w:w="0" w:type="auto"/>
            <w:vMerge/>
          </w:tcPr>
          <w:p w14:paraId="435B2CA3" w14:textId="77777777" w:rsidR="004346F3" w:rsidRPr="00536CFD" w:rsidRDefault="004346F3" w:rsidP="00802ABC">
            <w:pPr>
              <w:spacing w:after="60"/>
              <w:jc w:val="center"/>
              <w:rPr>
                <w:rFonts w:ascii="Times New Roman" w:hAnsi="Times New Roman"/>
                <w:sz w:val="20"/>
                <w:szCs w:val="20"/>
              </w:rPr>
            </w:pPr>
          </w:p>
        </w:tc>
        <w:tc>
          <w:tcPr>
            <w:tcW w:w="0" w:type="auto"/>
            <w:vMerge/>
          </w:tcPr>
          <w:p w14:paraId="1BCC544A" w14:textId="77777777" w:rsidR="004346F3" w:rsidRPr="00536CFD" w:rsidRDefault="004346F3" w:rsidP="00802ABC">
            <w:pPr>
              <w:spacing w:after="60"/>
              <w:jc w:val="center"/>
              <w:rPr>
                <w:rFonts w:ascii="Times New Roman" w:hAnsi="Times New Roman"/>
                <w:sz w:val="20"/>
                <w:szCs w:val="20"/>
              </w:rPr>
            </w:pPr>
          </w:p>
        </w:tc>
        <w:tc>
          <w:tcPr>
            <w:tcW w:w="0" w:type="auto"/>
          </w:tcPr>
          <w:p w14:paraId="08CA6404"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50%</w:t>
            </w:r>
          </w:p>
        </w:tc>
        <w:tc>
          <w:tcPr>
            <w:tcW w:w="0" w:type="auto"/>
            <w:tcBorders>
              <w:top w:val="nil"/>
              <w:left w:val="single" w:sz="4" w:space="0" w:color="auto"/>
              <w:bottom w:val="single" w:sz="4" w:space="0" w:color="auto"/>
              <w:right w:val="single" w:sz="4" w:space="0" w:color="auto"/>
            </w:tcBorders>
            <w:shd w:val="clear" w:color="auto" w:fill="auto"/>
            <w:vAlign w:val="bottom"/>
          </w:tcPr>
          <w:p w14:paraId="576BABB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0.074</w:t>
            </w:r>
          </w:p>
        </w:tc>
        <w:tc>
          <w:tcPr>
            <w:tcW w:w="0" w:type="auto"/>
            <w:tcBorders>
              <w:top w:val="nil"/>
              <w:left w:val="nil"/>
              <w:bottom w:val="single" w:sz="4" w:space="0" w:color="auto"/>
              <w:right w:val="single" w:sz="4" w:space="0" w:color="auto"/>
            </w:tcBorders>
            <w:shd w:val="clear" w:color="auto" w:fill="auto"/>
            <w:vAlign w:val="bottom"/>
          </w:tcPr>
          <w:p w14:paraId="58A7898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0.049</w:t>
            </w:r>
          </w:p>
        </w:tc>
        <w:tc>
          <w:tcPr>
            <w:tcW w:w="0" w:type="auto"/>
            <w:tcBorders>
              <w:top w:val="nil"/>
              <w:left w:val="nil"/>
              <w:bottom w:val="single" w:sz="4" w:space="0" w:color="auto"/>
              <w:right w:val="single" w:sz="4" w:space="0" w:color="auto"/>
            </w:tcBorders>
            <w:shd w:val="clear" w:color="auto" w:fill="auto"/>
            <w:vAlign w:val="bottom"/>
          </w:tcPr>
          <w:p w14:paraId="2E532DF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0.041</w:t>
            </w:r>
          </w:p>
        </w:tc>
        <w:tc>
          <w:tcPr>
            <w:tcW w:w="0" w:type="auto"/>
            <w:tcBorders>
              <w:top w:val="nil"/>
              <w:left w:val="nil"/>
              <w:bottom w:val="single" w:sz="4" w:space="0" w:color="auto"/>
              <w:right w:val="single" w:sz="4" w:space="0" w:color="auto"/>
            </w:tcBorders>
            <w:shd w:val="clear" w:color="auto" w:fill="auto"/>
            <w:vAlign w:val="bottom"/>
          </w:tcPr>
          <w:p w14:paraId="48186D7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0.037</w:t>
            </w:r>
          </w:p>
        </w:tc>
        <w:tc>
          <w:tcPr>
            <w:tcW w:w="0" w:type="auto"/>
            <w:tcBorders>
              <w:top w:val="nil"/>
              <w:left w:val="nil"/>
              <w:bottom w:val="single" w:sz="4" w:space="0" w:color="auto"/>
              <w:right w:val="single" w:sz="4" w:space="0" w:color="auto"/>
            </w:tcBorders>
            <w:shd w:val="clear" w:color="auto" w:fill="auto"/>
            <w:vAlign w:val="bottom"/>
          </w:tcPr>
          <w:p w14:paraId="6C2B982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0.176</w:t>
            </w:r>
          </w:p>
        </w:tc>
        <w:tc>
          <w:tcPr>
            <w:tcW w:w="0" w:type="auto"/>
            <w:tcBorders>
              <w:top w:val="nil"/>
              <w:left w:val="nil"/>
              <w:bottom w:val="single" w:sz="4" w:space="0" w:color="auto"/>
              <w:right w:val="single" w:sz="4" w:space="0" w:color="auto"/>
            </w:tcBorders>
            <w:shd w:val="clear" w:color="auto" w:fill="auto"/>
            <w:vAlign w:val="bottom"/>
          </w:tcPr>
          <w:p w14:paraId="5F785BD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0.073</w:t>
            </w:r>
          </w:p>
        </w:tc>
        <w:tc>
          <w:tcPr>
            <w:tcW w:w="0" w:type="auto"/>
            <w:tcBorders>
              <w:top w:val="nil"/>
              <w:left w:val="nil"/>
              <w:bottom w:val="single" w:sz="4" w:space="0" w:color="auto"/>
              <w:right w:val="single" w:sz="4" w:space="0" w:color="auto"/>
            </w:tcBorders>
            <w:shd w:val="clear" w:color="auto" w:fill="auto"/>
            <w:vAlign w:val="bottom"/>
          </w:tcPr>
          <w:p w14:paraId="276935E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0.062</w:t>
            </w:r>
          </w:p>
        </w:tc>
        <w:tc>
          <w:tcPr>
            <w:tcW w:w="0" w:type="auto"/>
            <w:tcBorders>
              <w:top w:val="nil"/>
              <w:left w:val="nil"/>
              <w:bottom w:val="single" w:sz="4" w:space="0" w:color="auto"/>
              <w:right w:val="single" w:sz="4" w:space="0" w:color="auto"/>
            </w:tcBorders>
            <w:shd w:val="clear" w:color="auto" w:fill="auto"/>
            <w:vAlign w:val="bottom"/>
          </w:tcPr>
          <w:p w14:paraId="0A44D79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0.060</w:t>
            </w:r>
          </w:p>
        </w:tc>
        <w:tc>
          <w:tcPr>
            <w:tcW w:w="0" w:type="auto"/>
            <w:tcBorders>
              <w:top w:val="nil"/>
              <w:left w:val="nil"/>
              <w:bottom w:val="single" w:sz="4" w:space="0" w:color="auto"/>
              <w:right w:val="single" w:sz="4" w:space="0" w:color="auto"/>
            </w:tcBorders>
            <w:shd w:val="clear" w:color="auto" w:fill="auto"/>
            <w:vAlign w:val="bottom"/>
          </w:tcPr>
          <w:p w14:paraId="0E0FE0C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0.363</w:t>
            </w:r>
          </w:p>
        </w:tc>
        <w:tc>
          <w:tcPr>
            <w:tcW w:w="0" w:type="auto"/>
            <w:tcBorders>
              <w:top w:val="nil"/>
              <w:left w:val="nil"/>
              <w:bottom w:val="single" w:sz="4" w:space="0" w:color="auto"/>
              <w:right w:val="single" w:sz="4" w:space="0" w:color="auto"/>
            </w:tcBorders>
            <w:shd w:val="clear" w:color="auto" w:fill="auto"/>
            <w:vAlign w:val="bottom"/>
          </w:tcPr>
          <w:p w14:paraId="122EDDC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0.200</w:t>
            </w:r>
          </w:p>
        </w:tc>
        <w:tc>
          <w:tcPr>
            <w:tcW w:w="0" w:type="auto"/>
            <w:tcBorders>
              <w:top w:val="nil"/>
              <w:left w:val="nil"/>
              <w:bottom w:val="single" w:sz="4" w:space="0" w:color="auto"/>
              <w:right w:val="single" w:sz="4" w:space="0" w:color="auto"/>
            </w:tcBorders>
            <w:shd w:val="clear" w:color="auto" w:fill="auto"/>
            <w:vAlign w:val="bottom"/>
          </w:tcPr>
          <w:p w14:paraId="2AFDF61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0.167</w:t>
            </w:r>
          </w:p>
        </w:tc>
        <w:tc>
          <w:tcPr>
            <w:tcW w:w="0" w:type="auto"/>
            <w:tcBorders>
              <w:top w:val="nil"/>
              <w:left w:val="nil"/>
              <w:bottom w:val="single" w:sz="4" w:space="0" w:color="auto"/>
              <w:right w:val="single" w:sz="4" w:space="0" w:color="auto"/>
            </w:tcBorders>
            <w:shd w:val="clear" w:color="auto" w:fill="auto"/>
            <w:vAlign w:val="bottom"/>
          </w:tcPr>
          <w:p w14:paraId="6BD6233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0.127</w:t>
            </w:r>
          </w:p>
        </w:tc>
      </w:tr>
      <w:tr w:rsidR="004346F3" w:rsidRPr="00536CFD" w14:paraId="3DF05FE1" w14:textId="77777777" w:rsidTr="00536CFD">
        <w:trPr>
          <w:cantSplit/>
          <w:trHeight w:val="22"/>
        </w:trPr>
        <w:tc>
          <w:tcPr>
            <w:tcW w:w="0" w:type="auto"/>
            <w:vMerge/>
          </w:tcPr>
          <w:p w14:paraId="24F62320" w14:textId="77777777" w:rsidR="004346F3" w:rsidRPr="00536CFD" w:rsidRDefault="004346F3" w:rsidP="00802ABC">
            <w:pPr>
              <w:spacing w:after="60"/>
              <w:jc w:val="center"/>
              <w:rPr>
                <w:rFonts w:ascii="Times New Roman" w:hAnsi="Times New Roman"/>
                <w:sz w:val="20"/>
                <w:szCs w:val="20"/>
              </w:rPr>
            </w:pPr>
          </w:p>
        </w:tc>
        <w:tc>
          <w:tcPr>
            <w:tcW w:w="0" w:type="auto"/>
            <w:vMerge/>
          </w:tcPr>
          <w:p w14:paraId="11AE4145" w14:textId="77777777" w:rsidR="004346F3" w:rsidRPr="00536CFD" w:rsidRDefault="004346F3" w:rsidP="00802ABC">
            <w:pPr>
              <w:spacing w:after="60"/>
              <w:jc w:val="center"/>
              <w:rPr>
                <w:rFonts w:ascii="Times New Roman" w:hAnsi="Times New Roman"/>
                <w:sz w:val="20"/>
                <w:szCs w:val="20"/>
              </w:rPr>
            </w:pPr>
          </w:p>
        </w:tc>
        <w:tc>
          <w:tcPr>
            <w:tcW w:w="0" w:type="auto"/>
          </w:tcPr>
          <w:p w14:paraId="650AA1D8"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95%</w:t>
            </w:r>
          </w:p>
        </w:tc>
        <w:tc>
          <w:tcPr>
            <w:tcW w:w="0" w:type="auto"/>
            <w:tcBorders>
              <w:top w:val="nil"/>
              <w:left w:val="single" w:sz="4" w:space="0" w:color="auto"/>
              <w:bottom w:val="single" w:sz="4" w:space="0" w:color="auto"/>
              <w:right w:val="single" w:sz="4" w:space="0" w:color="auto"/>
            </w:tcBorders>
            <w:shd w:val="clear" w:color="auto" w:fill="auto"/>
            <w:vAlign w:val="bottom"/>
          </w:tcPr>
          <w:p w14:paraId="63EFDAF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0.737</w:t>
            </w:r>
          </w:p>
        </w:tc>
        <w:tc>
          <w:tcPr>
            <w:tcW w:w="0" w:type="auto"/>
            <w:tcBorders>
              <w:top w:val="nil"/>
              <w:left w:val="nil"/>
              <w:bottom w:val="single" w:sz="4" w:space="0" w:color="auto"/>
              <w:right w:val="single" w:sz="4" w:space="0" w:color="auto"/>
            </w:tcBorders>
            <w:shd w:val="clear" w:color="auto" w:fill="auto"/>
            <w:vAlign w:val="bottom"/>
          </w:tcPr>
          <w:p w14:paraId="03B1485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0.369</w:t>
            </w:r>
          </w:p>
        </w:tc>
        <w:tc>
          <w:tcPr>
            <w:tcW w:w="0" w:type="auto"/>
            <w:tcBorders>
              <w:top w:val="nil"/>
              <w:left w:val="nil"/>
              <w:bottom w:val="single" w:sz="4" w:space="0" w:color="auto"/>
              <w:right w:val="single" w:sz="4" w:space="0" w:color="auto"/>
            </w:tcBorders>
            <w:shd w:val="clear" w:color="auto" w:fill="auto"/>
            <w:vAlign w:val="bottom"/>
          </w:tcPr>
          <w:p w14:paraId="433049E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0.360</w:t>
            </w:r>
          </w:p>
        </w:tc>
        <w:tc>
          <w:tcPr>
            <w:tcW w:w="0" w:type="auto"/>
            <w:tcBorders>
              <w:top w:val="nil"/>
              <w:left w:val="nil"/>
              <w:bottom w:val="single" w:sz="4" w:space="0" w:color="auto"/>
              <w:right w:val="single" w:sz="4" w:space="0" w:color="auto"/>
            </w:tcBorders>
            <w:shd w:val="clear" w:color="auto" w:fill="auto"/>
            <w:vAlign w:val="bottom"/>
          </w:tcPr>
          <w:p w14:paraId="2E90142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0.184</w:t>
            </w:r>
          </w:p>
        </w:tc>
        <w:tc>
          <w:tcPr>
            <w:tcW w:w="0" w:type="auto"/>
            <w:tcBorders>
              <w:top w:val="nil"/>
              <w:left w:val="nil"/>
              <w:bottom w:val="single" w:sz="4" w:space="0" w:color="auto"/>
              <w:right w:val="single" w:sz="4" w:space="0" w:color="auto"/>
            </w:tcBorders>
            <w:shd w:val="clear" w:color="auto" w:fill="auto"/>
            <w:vAlign w:val="bottom"/>
          </w:tcPr>
          <w:p w14:paraId="686147C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1.809</w:t>
            </w:r>
          </w:p>
        </w:tc>
        <w:tc>
          <w:tcPr>
            <w:tcW w:w="0" w:type="auto"/>
            <w:tcBorders>
              <w:top w:val="nil"/>
              <w:left w:val="nil"/>
              <w:bottom w:val="single" w:sz="4" w:space="0" w:color="auto"/>
              <w:right w:val="single" w:sz="4" w:space="0" w:color="auto"/>
            </w:tcBorders>
            <w:shd w:val="clear" w:color="auto" w:fill="auto"/>
            <w:vAlign w:val="bottom"/>
          </w:tcPr>
          <w:p w14:paraId="770C491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0.604</w:t>
            </w:r>
          </w:p>
        </w:tc>
        <w:tc>
          <w:tcPr>
            <w:tcW w:w="0" w:type="auto"/>
            <w:tcBorders>
              <w:top w:val="nil"/>
              <w:left w:val="nil"/>
              <w:bottom w:val="single" w:sz="4" w:space="0" w:color="auto"/>
              <w:right w:val="single" w:sz="4" w:space="0" w:color="auto"/>
            </w:tcBorders>
            <w:shd w:val="clear" w:color="auto" w:fill="auto"/>
            <w:vAlign w:val="bottom"/>
          </w:tcPr>
          <w:p w14:paraId="2D5C7AA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0.528</w:t>
            </w:r>
          </w:p>
        </w:tc>
        <w:tc>
          <w:tcPr>
            <w:tcW w:w="0" w:type="auto"/>
            <w:tcBorders>
              <w:top w:val="nil"/>
              <w:left w:val="nil"/>
              <w:bottom w:val="single" w:sz="4" w:space="0" w:color="auto"/>
              <w:right w:val="single" w:sz="4" w:space="0" w:color="auto"/>
            </w:tcBorders>
            <w:shd w:val="clear" w:color="auto" w:fill="auto"/>
            <w:vAlign w:val="bottom"/>
          </w:tcPr>
          <w:p w14:paraId="4FDA323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0.163</w:t>
            </w:r>
          </w:p>
        </w:tc>
        <w:tc>
          <w:tcPr>
            <w:tcW w:w="0" w:type="auto"/>
            <w:tcBorders>
              <w:top w:val="nil"/>
              <w:left w:val="nil"/>
              <w:bottom w:val="single" w:sz="4" w:space="0" w:color="auto"/>
              <w:right w:val="single" w:sz="4" w:space="0" w:color="auto"/>
            </w:tcBorders>
            <w:shd w:val="clear" w:color="auto" w:fill="auto"/>
            <w:vAlign w:val="bottom"/>
          </w:tcPr>
          <w:p w14:paraId="00C4F76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2.641</w:t>
            </w:r>
          </w:p>
        </w:tc>
        <w:tc>
          <w:tcPr>
            <w:tcW w:w="0" w:type="auto"/>
            <w:tcBorders>
              <w:top w:val="nil"/>
              <w:left w:val="nil"/>
              <w:bottom w:val="single" w:sz="4" w:space="0" w:color="auto"/>
              <w:right w:val="single" w:sz="4" w:space="0" w:color="auto"/>
            </w:tcBorders>
            <w:shd w:val="clear" w:color="auto" w:fill="auto"/>
            <w:vAlign w:val="bottom"/>
          </w:tcPr>
          <w:p w14:paraId="1F54876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2.254</w:t>
            </w:r>
          </w:p>
        </w:tc>
        <w:tc>
          <w:tcPr>
            <w:tcW w:w="0" w:type="auto"/>
            <w:tcBorders>
              <w:top w:val="nil"/>
              <w:left w:val="nil"/>
              <w:bottom w:val="single" w:sz="4" w:space="0" w:color="auto"/>
              <w:right w:val="single" w:sz="4" w:space="0" w:color="auto"/>
            </w:tcBorders>
            <w:shd w:val="clear" w:color="auto" w:fill="auto"/>
            <w:vAlign w:val="bottom"/>
          </w:tcPr>
          <w:p w14:paraId="08DA875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1.533</w:t>
            </w:r>
          </w:p>
        </w:tc>
        <w:tc>
          <w:tcPr>
            <w:tcW w:w="0" w:type="auto"/>
            <w:tcBorders>
              <w:top w:val="nil"/>
              <w:left w:val="nil"/>
              <w:bottom w:val="single" w:sz="4" w:space="0" w:color="auto"/>
              <w:right w:val="single" w:sz="4" w:space="0" w:color="auto"/>
            </w:tcBorders>
            <w:shd w:val="clear" w:color="auto" w:fill="auto"/>
            <w:vAlign w:val="bottom"/>
          </w:tcPr>
          <w:p w14:paraId="428686D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0.377</w:t>
            </w:r>
          </w:p>
        </w:tc>
      </w:tr>
      <w:tr w:rsidR="004346F3" w:rsidRPr="00536CFD" w14:paraId="42E3E2D3" w14:textId="77777777" w:rsidTr="00536CFD">
        <w:trPr>
          <w:cantSplit/>
          <w:trHeight w:val="22"/>
        </w:trPr>
        <w:tc>
          <w:tcPr>
            <w:tcW w:w="0" w:type="auto"/>
            <w:vMerge/>
          </w:tcPr>
          <w:p w14:paraId="499B1481" w14:textId="77777777" w:rsidR="004346F3" w:rsidRPr="00536CFD" w:rsidRDefault="004346F3" w:rsidP="00802ABC">
            <w:pPr>
              <w:spacing w:after="60"/>
              <w:jc w:val="center"/>
              <w:rPr>
                <w:rFonts w:ascii="Times New Roman" w:hAnsi="Times New Roman"/>
                <w:sz w:val="20"/>
                <w:szCs w:val="20"/>
              </w:rPr>
            </w:pPr>
          </w:p>
        </w:tc>
        <w:tc>
          <w:tcPr>
            <w:tcW w:w="0" w:type="auto"/>
            <w:vMerge/>
          </w:tcPr>
          <w:p w14:paraId="5D6E6391" w14:textId="77777777" w:rsidR="004346F3" w:rsidRPr="00536CFD" w:rsidRDefault="004346F3" w:rsidP="00802ABC">
            <w:pPr>
              <w:spacing w:after="60"/>
              <w:jc w:val="center"/>
              <w:rPr>
                <w:rFonts w:ascii="Times New Roman" w:hAnsi="Times New Roman"/>
                <w:sz w:val="20"/>
                <w:szCs w:val="20"/>
              </w:rPr>
            </w:pPr>
          </w:p>
        </w:tc>
        <w:tc>
          <w:tcPr>
            <w:tcW w:w="0" w:type="auto"/>
          </w:tcPr>
          <w:p w14:paraId="6EEE8F2F"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Mean</w:t>
            </w:r>
          </w:p>
        </w:tc>
        <w:tc>
          <w:tcPr>
            <w:tcW w:w="0" w:type="auto"/>
            <w:tcBorders>
              <w:top w:val="nil"/>
              <w:left w:val="single" w:sz="4" w:space="0" w:color="auto"/>
              <w:bottom w:val="single" w:sz="4" w:space="0" w:color="auto"/>
              <w:right w:val="single" w:sz="4" w:space="0" w:color="auto"/>
            </w:tcBorders>
            <w:shd w:val="clear" w:color="auto" w:fill="auto"/>
            <w:vAlign w:val="bottom"/>
          </w:tcPr>
          <w:p w14:paraId="50F7F24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0.198</w:t>
            </w:r>
          </w:p>
        </w:tc>
        <w:tc>
          <w:tcPr>
            <w:tcW w:w="0" w:type="auto"/>
            <w:tcBorders>
              <w:top w:val="nil"/>
              <w:left w:val="nil"/>
              <w:bottom w:val="single" w:sz="4" w:space="0" w:color="auto"/>
              <w:right w:val="single" w:sz="4" w:space="0" w:color="auto"/>
            </w:tcBorders>
            <w:shd w:val="clear" w:color="auto" w:fill="auto"/>
            <w:vAlign w:val="bottom"/>
          </w:tcPr>
          <w:p w14:paraId="5316D03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0.108</w:t>
            </w:r>
          </w:p>
        </w:tc>
        <w:tc>
          <w:tcPr>
            <w:tcW w:w="0" w:type="auto"/>
            <w:tcBorders>
              <w:top w:val="nil"/>
              <w:left w:val="nil"/>
              <w:bottom w:val="single" w:sz="4" w:space="0" w:color="auto"/>
              <w:right w:val="single" w:sz="4" w:space="0" w:color="auto"/>
            </w:tcBorders>
            <w:shd w:val="clear" w:color="auto" w:fill="auto"/>
            <w:vAlign w:val="bottom"/>
          </w:tcPr>
          <w:p w14:paraId="2D3F4EF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0.082</w:t>
            </w:r>
          </w:p>
        </w:tc>
        <w:tc>
          <w:tcPr>
            <w:tcW w:w="0" w:type="auto"/>
            <w:tcBorders>
              <w:top w:val="nil"/>
              <w:left w:val="nil"/>
              <w:bottom w:val="single" w:sz="4" w:space="0" w:color="auto"/>
              <w:right w:val="single" w:sz="4" w:space="0" w:color="auto"/>
            </w:tcBorders>
            <w:shd w:val="clear" w:color="auto" w:fill="auto"/>
            <w:vAlign w:val="bottom"/>
          </w:tcPr>
          <w:p w14:paraId="70C5F46F"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0.080</w:t>
            </w:r>
          </w:p>
        </w:tc>
        <w:tc>
          <w:tcPr>
            <w:tcW w:w="0" w:type="auto"/>
            <w:tcBorders>
              <w:top w:val="nil"/>
              <w:left w:val="nil"/>
              <w:bottom w:val="single" w:sz="4" w:space="0" w:color="auto"/>
              <w:right w:val="single" w:sz="4" w:space="0" w:color="auto"/>
            </w:tcBorders>
            <w:shd w:val="clear" w:color="auto" w:fill="auto"/>
            <w:vAlign w:val="bottom"/>
          </w:tcPr>
          <w:p w14:paraId="753F2CD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0.443</w:t>
            </w:r>
          </w:p>
        </w:tc>
        <w:tc>
          <w:tcPr>
            <w:tcW w:w="0" w:type="auto"/>
            <w:tcBorders>
              <w:top w:val="nil"/>
              <w:left w:val="nil"/>
              <w:bottom w:val="single" w:sz="4" w:space="0" w:color="auto"/>
              <w:right w:val="single" w:sz="4" w:space="0" w:color="auto"/>
            </w:tcBorders>
            <w:shd w:val="clear" w:color="auto" w:fill="auto"/>
            <w:vAlign w:val="bottom"/>
          </w:tcPr>
          <w:p w14:paraId="13A7871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0.178</w:t>
            </w:r>
          </w:p>
        </w:tc>
        <w:tc>
          <w:tcPr>
            <w:tcW w:w="0" w:type="auto"/>
            <w:tcBorders>
              <w:top w:val="nil"/>
              <w:left w:val="nil"/>
              <w:bottom w:val="single" w:sz="4" w:space="0" w:color="auto"/>
              <w:right w:val="single" w:sz="4" w:space="0" w:color="auto"/>
            </w:tcBorders>
            <w:shd w:val="clear" w:color="auto" w:fill="auto"/>
            <w:vAlign w:val="bottom"/>
          </w:tcPr>
          <w:p w14:paraId="1CF5B77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0.144</w:t>
            </w:r>
          </w:p>
        </w:tc>
        <w:tc>
          <w:tcPr>
            <w:tcW w:w="0" w:type="auto"/>
            <w:tcBorders>
              <w:top w:val="nil"/>
              <w:left w:val="nil"/>
              <w:bottom w:val="single" w:sz="4" w:space="0" w:color="auto"/>
              <w:right w:val="single" w:sz="4" w:space="0" w:color="auto"/>
            </w:tcBorders>
            <w:shd w:val="clear" w:color="auto" w:fill="auto"/>
            <w:vAlign w:val="bottom"/>
          </w:tcPr>
          <w:p w14:paraId="198B7E9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0.142</w:t>
            </w:r>
          </w:p>
        </w:tc>
        <w:tc>
          <w:tcPr>
            <w:tcW w:w="0" w:type="auto"/>
            <w:tcBorders>
              <w:top w:val="nil"/>
              <w:left w:val="nil"/>
              <w:bottom w:val="single" w:sz="4" w:space="0" w:color="auto"/>
              <w:right w:val="single" w:sz="4" w:space="0" w:color="auto"/>
            </w:tcBorders>
            <w:shd w:val="clear" w:color="auto" w:fill="auto"/>
            <w:vAlign w:val="bottom"/>
          </w:tcPr>
          <w:p w14:paraId="17830E3E"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0.786</w:t>
            </w:r>
          </w:p>
        </w:tc>
        <w:tc>
          <w:tcPr>
            <w:tcW w:w="0" w:type="auto"/>
            <w:tcBorders>
              <w:top w:val="nil"/>
              <w:left w:val="nil"/>
              <w:bottom w:val="single" w:sz="4" w:space="0" w:color="auto"/>
              <w:right w:val="single" w:sz="4" w:space="0" w:color="auto"/>
            </w:tcBorders>
            <w:shd w:val="clear" w:color="auto" w:fill="auto"/>
            <w:vAlign w:val="bottom"/>
          </w:tcPr>
          <w:p w14:paraId="19C60F4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0.544</w:t>
            </w:r>
          </w:p>
        </w:tc>
        <w:tc>
          <w:tcPr>
            <w:tcW w:w="0" w:type="auto"/>
            <w:tcBorders>
              <w:top w:val="nil"/>
              <w:left w:val="nil"/>
              <w:bottom w:val="single" w:sz="4" w:space="0" w:color="auto"/>
              <w:right w:val="single" w:sz="4" w:space="0" w:color="auto"/>
            </w:tcBorders>
            <w:shd w:val="clear" w:color="auto" w:fill="auto"/>
            <w:vAlign w:val="bottom"/>
          </w:tcPr>
          <w:p w14:paraId="5E44FDD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0.402</w:t>
            </w:r>
          </w:p>
        </w:tc>
        <w:tc>
          <w:tcPr>
            <w:tcW w:w="0" w:type="auto"/>
            <w:tcBorders>
              <w:top w:val="nil"/>
              <w:left w:val="nil"/>
              <w:bottom w:val="single" w:sz="4" w:space="0" w:color="auto"/>
              <w:right w:val="single" w:sz="4" w:space="0" w:color="auto"/>
            </w:tcBorders>
            <w:shd w:val="clear" w:color="auto" w:fill="auto"/>
            <w:vAlign w:val="bottom"/>
          </w:tcPr>
          <w:p w14:paraId="17CA31C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0.273</w:t>
            </w:r>
          </w:p>
        </w:tc>
      </w:tr>
      <w:tr w:rsidR="004346F3" w:rsidRPr="00536CFD" w14:paraId="5D1F9528" w14:textId="77777777" w:rsidTr="00536CFD">
        <w:trPr>
          <w:cantSplit/>
          <w:trHeight w:val="22"/>
        </w:trPr>
        <w:tc>
          <w:tcPr>
            <w:tcW w:w="0" w:type="auto"/>
            <w:vMerge/>
          </w:tcPr>
          <w:p w14:paraId="3B81A274"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774201E5" w14:textId="77777777" w:rsidR="004346F3" w:rsidRPr="00536CFD" w:rsidRDefault="004346F3" w:rsidP="00802ABC">
            <w:pPr>
              <w:spacing w:after="60"/>
              <w:jc w:val="center"/>
              <w:rPr>
                <w:rFonts w:ascii="Times New Roman" w:hAnsi="Times New Roman"/>
                <w:sz w:val="20"/>
                <w:szCs w:val="20"/>
                <w:vertAlign w:val="subscript"/>
              </w:rPr>
            </w:pPr>
            <w:r w:rsidRPr="00536CFD">
              <w:rPr>
                <w:rFonts w:ascii="Cambria Math" w:hAnsi="Cambria Math" w:cs="Cambria Math"/>
                <w:sz w:val="20"/>
                <w:szCs w:val="20"/>
              </w:rPr>
              <w:t>𝜌</w:t>
            </w:r>
            <w:r w:rsidRPr="00536CFD">
              <w:rPr>
                <w:rFonts w:ascii="Times New Roman" w:hAnsi="Times New Roman"/>
                <w:sz w:val="20"/>
                <w:szCs w:val="20"/>
                <w:vertAlign w:val="subscript"/>
              </w:rPr>
              <w:t>DL</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A4FB28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0.9716</w:t>
            </w:r>
          </w:p>
        </w:tc>
        <w:tc>
          <w:tcPr>
            <w:tcW w:w="0" w:type="auto"/>
            <w:tcBorders>
              <w:top w:val="single" w:sz="4" w:space="0" w:color="auto"/>
              <w:left w:val="nil"/>
              <w:bottom w:val="single" w:sz="4" w:space="0" w:color="auto"/>
              <w:right w:val="single" w:sz="4" w:space="0" w:color="auto"/>
            </w:tcBorders>
            <w:shd w:val="clear" w:color="auto" w:fill="auto"/>
            <w:vAlign w:val="bottom"/>
          </w:tcPr>
          <w:p w14:paraId="1E80436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0.9716</w:t>
            </w:r>
          </w:p>
        </w:tc>
        <w:tc>
          <w:tcPr>
            <w:tcW w:w="0" w:type="auto"/>
            <w:tcBorders>
              <w:top w:val="single" w:sz="4" w:space="0" w:color="auto"/>
              <w:left w:val="nil"/>
              <w:bottom w:val="single" w:sz="4" w:space="0" w:color="auto"/>
              <w:right w:val="single" w:sz="4" w:space="0" w:color="auto"/>
            </w:tcBorders>
            <w:shd w:val="clear" w:color="auto" w:fill="auto"/>
            <w:vAlign w:val="bottom"/>
          </w:tcPr>
          <w:p w14:paraId="39A68AE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0.9714</w:t>
            </w:r>
          </w:p>
        </w:tc>
        <w:tc>
          <w:tcPr>
            <w:tcW w:w="0" w:type="auto"/>
            <w:tcBorders>
              <w:top w:val="single" w:sz="4" w:space="0" w:color="auto"/>
              <w:left w:val="nil"/>
              <w:bottom w:val="single" w:sz="4" w:space="0" w:color="auto"/>
              <w:right w:val="single" w:sz="4" w:space="0" w:color="auto"/>
            </w:tcBorders>
            <w:shd w:val="clear" w:color="auto" w:fill="auto"/>
            <w:vAlign w:val="bottom"/>
          </w:tcPr>
          <w:p w14:paraId="452B9A8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single" w:sz="4" w:space="0" w:color="auto"/>
              <w:left w:val="nil"/>
              <w:bottom w:val="single" w:sz="4" w:space="0" w:color="auto"/>
              <w:right w:val="single" w:sz="4" w:space="0" w:color="auto"/>
            </w:tcBorders>
            <w:shd w:val="clear" w:color="auto" w:fill="auto"/>
            <w:vAlign w:val="bottom"/>
          </w:tcPr>
          <w:p w14:paraId="34D337D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0.9130</w:t>
            </w:r>
          </w:p>
        </w:tc>
        <w:tc>
          <w:tcPr>
            <w:tcW w:w="0" w:type="auto"/>
            <w:tcBorders>
              <w:top w:val="single" w:sz="4" w:space="0" w:color="auto"/>
              <w:left w:val="nil"/>
              <w:bottom w:val="single" w:sz="4" w:space="0" w:color="auto"/>
              <w:right w:val="single" w:sz="4" w:space="0" w:color="auto"/>
            </w:tcBorders>
            <w:shd w:val="clear" w:color="auto" w:fill="auto"/>
            <w:vAlign w:val="bottom"/>
          </w:tcPr>
          <w:p w14:paraId="2612A31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0.9371</w:t>
            </w:r>
          </w:p>
        </w:tc>
        <w:tc>
          <w:tcPr>
            <w:tcW w:w="0" w:type="auto"/>
            <w:tcBorders>
              <w:top w:val="single" w:sz="4" w:space="0" w:color="auto"/>
              <w:left w:val="nil"/>
              <w:bottom w:val="single" w:sz="4" w:space="0" w:color="auto"/>
              <w:right w:val="single" w:sz="4" w:space="0" w:color="auto"/>
            </w:tcBorders>
            <w:shd w:val="clear" w:color="auto" w:fill="auto"/>
            <w:vAlign w:val="bottom"/>
          </w:tcPr>
          <w:p w14:paraId="3407EE6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0.9371</w:t>
            </w:r>
          </w:p>
        </w:tc>
        <w:tc>
          <w:tcPr>
            <w:tcW w:w="0" w:type="auto"/>
            <w:tcBorders>
              <w:top w:val="single" w:sz="4" w:space="0" w:color="auto"/>
              <w:left w:val="nil"/>
              <w:bottom w:val="single" w:sz="4" w:space="0" w:color="auto"/>
              <w:right w:val="single" w:sz="4" w:space="0" w:color="auto"/>
            </w:tcBorders>
            <w:shd w:val="clear" w:color="auto" w:fill="auto"/>
            <w:vAlign w:val="bottom"/>
          </w:tcPr>
          <w:p w14:paraId="2F524DC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single" w:sz="4" w:space="0" w:color="auto"/>
              <w:left w:val="nil"/>
              <w:bottom w:val="single" w:sz="4" w:space="0" w:color="auto"/>
              <w:right w:val="single" w:sz="4" w:space="0" w:color="auto"/>
            </w:tcBorders>
            <w:shd w:val="clear" w:color="auto" w:fill="auto"/>
            <w:vAlign w:val="bottom"/>
          </w:tcPr>
          <w:p w14:paraId="037E62A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0.9107</w:t>
            </w:r>
          </w:p>
        </w:tc>
        <w:tc>
          <w:tcPr>
            <w:tcW w:w="0" w:type="auto"/>
            <w:tcBorders>
              <w:top w:val="single" w:sz="4" w:space="0" w:color="auto"/>
              <w:left w:val="nil"/>
              <w:bottom w:val="single" w:sz="4" w:space="0" w:color="auto"/>
              <w:right w:val="single" w:sz="4" w:space="0" w:color="auto"/>
            </w:tcBorders>
            <w:shd w:val="clear" w:color="auto" w:fill="auto"/>
            <w:vAlign w:val="bottom"/>
          </w:tcPr>
          <w:p w14:paraId="229C2DB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0.9102</w:t>
            </w:r>
          </w:p>
        </w:tc>
        <w:tc>
          <w:tcPr>
            <w:tcW w:w="0" w:type="auto"/>
            <w:tcBorders>
              <w:top w:val="single" w:sz="4" w:space="0" w:color="auto"/>
              <w:left w:val="nil"/>
              <w:bottom w:val="single" w:sz="4" w:space="0" w:color="auto"/>
              <w:right w:val="single" w:sz="4" w:space="0" w:color="auto"/>
            </w:tcBorders>
            <w:shd w:val="clear" w:color="auto" w:fill="auto"/>
            <w:vAlign w:val="bottom"/>
          </w:tcPr>
          <w:p w14:paraId="5C93698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0.9102</w:t>
            </w:r>
          </w:p>
        </w:tc>
        <w:tc>
          <w:tcPr>
            <w:tcW w:w="0" w:type="auto"/>
            <w:tcBorders>
              <w:top w:val="single" w:sz="4" w:space="0" w:color="auto"/>
              <w:left w:val="nil"/>
              <w:bottom w:val="single" w:sz="4" w:space="0" w:color="auto"/>
              <w:right w:val="single" w:sz="4" w:space="0" w:color="auto"/>
            </w:tcBorders>
            <w:shd w:val="clear" w:color="auto" w:fill="auto"/>
            <w:vAlign w:val="bottom"/>
          </w:tcPr>
          <w:p w14:paraId="1E45216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r>
      <w:tr w:rsidR="004346F3" w:rsidRPr="00536CFD" w14:paraId="4C914C40" w14:textId="77777777" w:rsidTr="00536CFD">
        <w:trPr>
          <w:cantSplit/>
          <w:trHeight w:val="22"/>
        </w:trPr>
        <w:tc>
          <w:tcPr>
            <w:tcW w:w="0" w:type="auto"/>
            <w:vMerge/>
          </w:tcPr>
          <w:p w14:paraId="1FA9FB78"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5720FF90" w14:textId="77777777" w:rsidR="004346F3" w:rsidRPr="00536CFD" w:rsidRDefault="004346F3" w:rsidP="00802ABC">
            <w:pPr>
              <w:spacing w:after="60"/>
              <w:jc w:val="center"/>
              <w:rPr>
                <w:rFonts w:ascii="Times New Roman" w:hAnsi="Times New Roman"/>
                <w:sz w:val="20"/>
                <w:szCs w:val="20"/>
                <w:vertAlign w:val="subscript"/>
              </w:rPr>
            </w:pPr>
            <w:r w:rsidRPr="00536CFD">
              <w:rPr>
                <w:rFonts w:ascii="Cambria Math" w:hAnsi="Cambria Math" w:cs="Cambria Math"/>
                <w:sz w:val="20"/>
                <w:szCs w:val="20"/>
              </w:rPr>
              <w:t>𝜌</w:t>
            </w:r>
            <w:r w:rsidRPr="00536CFD">
              <w:rPr>
                <w:rFonts w:ascii="Times New Roman" w:hAnsi="Times New Roman"/>
                <w:sz w:val="20"/>
                <w:szCs w:val="20"/>
                <w:vertAlign w:val="subscript"/>
              </w:rPr>
              <w:t>UL</w:t>
            </w:r>
          </w:p>
        </w:tc>
        <w:tc>
          <w:tcPr>
            <w:tcW w:w="0" w:type="auto"/>
            <w:tcBorders>
              <w:top w:val="nil"/>
              <w:left w:val="single" w:sz="4" w:space="0" w:color="auto"/>
              <w:bottom w:val="single" w:sz="4" w:space="0" w:color="auto"/>
              <w:right w:val="single" w:sz="4" w:space="0" w:color="auto"/>
            </w:tcBorders>
            <w:shd w:val="clear" w:color="auto" w:fill="auto"/>
            <w:vAlign w:val="bottom"/>
          </w:tcPr>
          <w:p w14:paraId="27F9106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0.9662</w:t>
            </w:r>
          </w:p>
        </w:tc>
        <w:tc>
          <w:tcPr>
            <w:tcW w:w="0" w:type="auto"/>
            <w:tcBorders>
              <w:top w:val="nil"/>
              <w:left w:val="nil"/>
              <w:bottom w:val="single" w:sz="4" w:space="0" w:color="auto"/>
              <w:right w:val="single" w:sz="4" w:space="0" w:color="auto"/>
            </w:tcBorders>
            <w:shd w:val="clear" w:color="auto" w:fill="auto"/>
            <w:vAlign w:val="bottom"/>
          </w:tcPr>
          <w:p w14:paraId="18F7182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0.9736</w:t>
            </w:r>
          </w:p>
        </w:tc>
        <w:tc>
          <w:tcPr>
            <w:tcW w:w="0" w:type="auto"/>
            <w:tcBorders>
              <w:top w:val="nil"/>
              <w:left w:val="nil"/>
              <w:bottom w:val="single" w:sz="4" w:space="0" w:color="auto"/>
              <w:right w:val="single" w:sz="4" w:space="0" w:color="auto"/>
            </w:tcBorders>
            <w:shd w:val="clear" w:color="auto" w:fill="auto"/>
            <w:vAlign w:val="bottom"/>
          </w:tcPr>
          <w:p w14:paraId="5A65AC9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tcPr>
          <w:p w14:paraId="099AE756"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tcPr>
          <w:p w14:paraId="16A996D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0.9467</w:t>
            </w:r>
          </w:p>
        </w:tc>
        <w:tc>
          <w:tcPr>
            <w:tcW w:w="0" w:type="auto"/>
            <w:tcBorders>
              <w:top w:val="nil"/>
              <w:left w:val="nil"/>
              <w:bottom w:val="single" w:sz="4" w:space="0" w:color="auto"/>
              <w:right w:val="single" w:sz="4" w:space="0" w:color="auto"/>
            </w:tcBorders>
            <w:shd w:val="clear" w:color="auto" w:fill="auto"/>
            <w:vAlign w:val="bottom"/>
          </w:tcPr>
          <w:p w14:paraId="030CDD0D"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0.9670</w:t>
            </w:r>
          </w:p>
        </w:tc>
        <w:tc>
          <w:tcPr>
            <w:tcW w:w="0" w:type="auto"/>
            <w:tcBorders>
              <w:top w:val="nil"/>
              <w:left w:val="nil"/>
              <w:bottom w:val="single" w:sz="4" w:space="0" w:color="auto"/>
              <w:right w:val="single" w:sz="4" w:space="0" w:color="auto"/>
            </w:tcBorders>
            <w:shd w:val="clear" w:color="auto" w:fill="auto"/>
            <w:vAlign w:val="bottom"/>
          </w:tcPr>
          <w:p w14:paraId="1F88E38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tcPr>
          <w:p w14:paraId="618CDD60"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tcPr>
          <w:p w14:paraId="741592F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0.8828</w:t>
            </w:r>
          </w:p>
        </w:tc>
        <w:tc>
          <w:tcPr>
            <w:tcW w:w="0" w:type="auto"/>
            <w:tcBorders>
              <w:top w:val="nil"/>
              <w:left w:val="nil"/>
              <w:bottom w:val="single" w:sz="4" w:space="0" w:color="auto"/>
              <w:right w:val="single" w:sz="4" w:space="0" w:color="auto"/>
            </w:tcBorders>
            <w:shd w:val="clear" w:color="auto" w:fill="auto"/>
            <w:vAlign w:val="bottom"/>
          </w:tcPr>
          <w:p w14:paraId="7AB4584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0.9373</w:t>
            </w:r>
          </w:p>
        </w:tc>
        <w:tc>
          <w:tcPr>
            <w:tcW w:w="0" w:type="auto"/>
            <w:tcBorders>
              <w:top w:val="nil"/>
              <w:left w:val="nil"/>
              <w:bottom w:val="single" w:sz="4" w:space="0" w:color="auto"/>
              <w:right w:val="single" w:sz="4" w:space="0" w:color="auto"/>
            </w:tcBorders>
            <w:shd w:val="clear" w:color="auto" w:fill="auto"/>
            <w:vAlign w:val="bottom"/>
          </w:tcPr>
          <w:p w14:paraId="73AADB47"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0.9735</w:t>
            </w:r>
          </w:p>
        </w:tc>
        <w:tc>
          <w:tcPr>
            <w:tcW w:w="0" w:type="auto"/>
            <w:tcBorders>
              <w:top w:val="nil"/>
              <w:left w:val="nil"/>
              <w:bottom w:val="single" w:sz="4" w:space="0" w:color="auto"/>
              <w:right w:val="single" w:sz="4" w:space="0" w:color="auto"/>
            </w:tcBorders>
            <w:shd w:val="clear" w:color="auto" w:fill="auto"/>
            <w:vAlign w:val="bottom"/>
          </w:tcPr>
          <w:p w14:paraId="7CAB2402"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1.00</w:t>
            </w:r>
          </w:p>
        </w:tc>
      </w:tr>
      <w:tr w:rsidR="004346F3" w:rsidRPr="00536CFD" w14:paraId="67BFB795" w14:textId="77777777" w:rsidTr="00536CFD">
        <w:trPr>
          <w:cantSplit/>
          <w:trHeight w:val="22"/>
        </w:trPr>
        <w:tc>
          <w:tcPr>
            <w:tcW w:w="0" w:type="auto"/>
            <w:vMerge/>
          </w:tcPr>
          <w:p w14:paraId="7D26FFE6"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5C3413CA"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BO</w:t>
            </w:r>
          </w:p>
        </w:tc>
        <w:tc>
          <w:tcPr>
            <w:tcW w:w="0" w:type="auto"/>
            <w:tcBorders>
              <w:top w:val="nil"/>
              <w:left w:val="single" w:sz="4" w:space="0" w:color="auto"/>
              <w:bottom w:val="single" w:sz="4" w:space="0" w:color="auto"/>
              <w:right w:val="single" w:sz="4" w:space="0" w:color="auto"/>
            </w:tcBorders>
            <w:shd w:val="clear" w:color="auto" w:fill="auto"/>
            <w:vAlign w:val="bottom"/>
          </w:tcPr>
          <w:p w14:paraId="54E8025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13.0</w:t>
            </w:r>
          </w:p>
        </w:tc>
        <w:tc>
          <w:tcPr>
            <w:tcW w:w="0" w:type="auto"/>
            <w:tcBorders>
              <w:top w:val="nil"/>
              <w:left w:val="nil"/>
              <w:bottom w:val="single" w:sz="4" w:space="0" w:color="auto"/>
              <w:right w:val="single" w:sz="4" w:space="0" w:color="auto"/>
            </w:tcBorders>
            <w:shd w:val="clear" w:color="auto" w:fill="auto"/>
            <w:vAlign w:val="bottom"/>
          </w:tcPr>
          <w:p w14:paraId="63AE111A"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8.44</w:t>
            </w:r>
          </w:p>
        </w:tc>
        <w:tc>
          <w:tcPr>
            <w:tcW w:w="0" w:type="auto"/>
            <w:tcBorders>
              <w:top w:val="nil"/>
              <w:left w:val="nil"/>
              <w:bottom w:val="single" w:sz="4" w:space="0" w:color="auto"/>
              <w:right w:val="single" w:sz="4" w:space="0" w:color="auto"/>
            </w:tcBorders>
            <w:shd w:val="clear" w:color="auto" w:fill="auto"/>
            <w:vAlign w:val="bottom"/>
          </w:tcPr>
          <w:p w14:paraId="27D30251"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3.02</w:t>
            </w:r>
          </w:p>
        </w:tc>
        <w:tc>
          <w:tcPr>
            <w:tcW w:w="0" w:type="auto"/>
            <w:tcBorders>
              <w:top w:val="nil"/>
              <w:left w:val="nil"/>
              <w:bottom w:val="single" w:sz="4" w:space="0" w:color="auto"/>
              <w:right w:val="single" w:sz="4" w:space="0" w:color="auto"/>
            </w:tcBorders>
            <w:shd w:val="clear" w:color="auto" w:fill="auto"/>
            <w:vAlign w:val="bottom"/>
          </w:tcPr>
          <w:p w14:paraId="650C982B"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3.00</w:t>
            </w:r>
          </w:p>
        </w:tc>
        <w:tc>
          <w:tcPr>
            <w:tcW w:w="0" w:type="auto"/>
            <w:tcBorders>
              <w:top w:val="nil"/>
              <w:left w:val="nil"/>
              <w:bottom w:val="single" w:sz="4" w:space="0" w:color="auto"/>
              <w:right w:val="single" w:sz="4" w:space="0" w:color="auto"/>
            </w:tcBorders>
            <w:shd w:val="clear" w:color="auto" w:fill="auto"/>
            <w:vAlign w:val="bottom"/>
          </w:tcPr>
          <w:p w14:paraId="2F36930C"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35.0</w:t>
            </w:r>
          </w:p>
        </w:tc>
        <w:tc>
          <w:tcPr>
            <w:tcW w:w="0" w:type="auto"/>
            <w:tcBorders>
              <w:top w:val="nil"/>
              <w:left w:val="nil"/>
              <w:bottom w:val="single" w:sz="4" w:space="0" w:color="auto"/>
              <w:right w:val="single" w:sz="4" w:space="0" w:color="auto"/>
            </w:tcBorders>
            <w:shd w:val="clear" w:color="auto" w:fill="auto"/>
            <w:vAlign w:val="bottom"/>
          </w:tcPr>
          <w:p w14:paraId="5BB3FCA3"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16.48</w:t>
            </w:r>
          </w:p>
        </w:tc>
        <w:tc>
          <w:tcPr>
            <w:tcW w:w="0" w:type="auto"/>
            <w:tcBorders>
              <w:top w:val="nil"/>
              <w:left w:val="nil"/>
              <w:bottom w:val="single" w:sz="4" w:space="0" w:color="auto"/>
              <w:right w:val="single" w:sz="4" w:space="0" w:color="auto"/>
            </w:tcBorders>
            <w:shd w:val="clear" w:color="auto" w:fill="auto"/>
            <w:vAlign w:val="bottom"/>
          </w:tcPr>
          <w:p w14:paraId="22EFEBC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7.90</w:t>
            </w:r>
          </w:p>
        </w:tc>
        <w:tc>
          <w:tcPr>
            <w:tcW w:w="0" w:type="auto"/>
            <w:tcBorders>
              <w:top w:val="nil"/>
              <w:left w:val="nil"/>
              <w:bottom w:val="single" w:sz="4" w:space="0" w:color="auto"/>
              <w:right w:val="single" w:sz="4" w:space="0" w:color="auto"/>
            </w:tcBorders>
            <w:shd w:val="clear" w:color="auto" w:fill="auto"/>
            <w:vAlign w:val="bottom"/>
          </w:tcPr>
          <w:p w14:paraId="69352714"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5.60</w:t>
            </w:r>
          </w:p>
        </w:tc>
        <w:tc>
          <w:tcPr>
            <w:tcW w:w="0" w:type="auto"/>
            <w:tcBorders>
              <w:top w:val="nil"/>
              <w:left w:val="nil"/>
              <w:bottom w:val="single" w:sz="4" w:space="0" w:color="auto"/>
              <w:right w:val="single" w:sz="4" w:space="0" w:color="auto"/>
            </w:tcBorders>
            <w:shd w:val="clear" w:color="auto" w:fill="auto"/>
            <w:vAlign w:val="bottom"/>
          </w:tcPr>
          <w:p w14:paraId="372918C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59.0</w:t>
            </w:r>
          </w:p>
        </w:tc>
        <w:tc>
          <w:tcPr>
            <w:tcW w:w="0" w:type="auto"/>
            <w:tcBorders>
              <w:top w:val="nil"/>
              <w:left w:val="nil"/>
              <w:bottom w:val="single" w:sz="4" w:space="0" w:color="auto"/>
              <w:right w:val="single" w:sz="4" w:space="0" w:color="auto"/>
            </w:tcBorders>
            <w:shd w:val="clear" w:color="auto" w:fill="auto"/>
            <w:vAlign w:val="bottom"/>
          </w:tcPr>
          <w:p w14:paraId="3EA8ADC9"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40.40</w:t>
            </w:r>
          </w:p>
        </w:tc>
        <w:tc>
          <w:tcPr>
            <w:tcW w:w="0" w:type="auto"/>
            <w:tcBorders>
              <w:top w:val="nil"/>
              <w:left w:val="nil"/>
              <w:bottom w:val="single" w:sz="4" w:space="0" w:color="auto"/>
              <w:right w:val="single" w:sz="4" w:space="0" w:color="auto"/>
            </w:tcBorders>
            <w:shd w:val="clear" w:color="auto" w:fill="auto"/>
            <w:vAlign w:val="bottom"/>
          </w:tcPr>
          <w:p w14:paraId="681FDEE5"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22.40</w:t>
            </w:r>
          </w:p>
        </w:tc>
        <w:tc>
          <w:tcPr>
            <w:tcW w:w="0" w:type="auto"/>
            <w:tcBorders>
              <w:top w:val="nil"/>
              <w:left w:val="nil"/>
              <w:bottom w:val="single" w:sz="4" w:space="0" w:color="auto"/>
              <w:right w:val="single" w:sz="4" w:space="0" w:color="auto"/>
            </w:tcBorders>
            <w:shd w:val="clear" w:color="auto" w:fill="auto"/>
            <w:vAlign w:val="bottom"/>
          </w:tcPr>
          <w:p w14:paraId="29B6E018" w14:textId="77777777" w:rsidR="004346F3" w:rsidRPr="00536CFD" w:rsidRDefault="004346F3" w:rsidP="00802ABC">
            <w:pPr>
              <w:spacing w:after="60"/>
              <w:jc w:val="center"/>
              <w:rPr>
                <w:rFonts w:ascii="Times New Roman" w:hAnsi="Times New Roman"/>
                <w:color w:val="000000"/>
                <w:sz w:val="20"/>
                <w:szCs w:val="20"/>
              </w:rPr>
            </w:pPr>
            <w:r w:rsidRPr="00536CFD">
              <w:rPr>
                <w:rFonts w:ascii="Times New Roman" w:hAnsi="Times New Roman"/>
                <w:color w:val="000000"/>
                <w:sz w:val="20"/>
                <w:szCs w:val="20"/>
              </w:rPr>
              <w:t>15.60</w:t>
            </w:r>
          </w:p>
        </w:tc>
      </w:tr>
      <w:tr w:rsidR="004346F3" w:rsidRPr="00536CFD" w14:paraId="6BBF909A" w14:textId="77777777" w:rsidTr="00536CFD">
        <w:trPr>
          <w:cantSplit/>
          <w:trHeight w:val="22"/>
        </w:trPr>
        <w:tc>
          <w:tcPr>
            <w:tcW w:w="0" w:type="auto"/>
            <w:vMerge/>
          </w:tcPr>
          <w:p w14:paraId="40F2B82E"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3A908983" w14:textId="77777777" w:rsidR="004346F3" w:rsidRPr="00536CFD" w:rsidRDefault="004346F3" w:rsidP="00802ABC">
            <w:pPr>
              <w:spacing w:after="60"/>
              <w:jc w:val="center"/>
              <w:rPr>
                <w:rFonts w:ascii="Times New Roman" w:hAnsi="Times New Roman"/>
                <w:sz w:val="20"/>
                <w:szCs w:val="20"/>
              </w:rPr>
            </w:pPr>
            <w:r w:rsidRPr="00536CFD">
              <w:rPr>
                <w:rFonts w:ascii="Cambria Math" w:hAnsi="Cambria Math" w:cs="Cambria Math"/>
                <w:sz w:val="20"/>
                <w:szCs w:val="20"/>
              </w:rPr>
              <w:t>𝜆</w:t>
            </w:r>
          </w:p>
        </w:tc>
        <w:tc>
          <w:tcPr>
            <w:tcW w:w="0" w:type="auto"/>
            <w:gridSpan w:val="4"/>
          </w:tcPr>
          <w:p w14:paraId="55F84765"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0.06/0.06</w:t>
            </w:r>
          </w:p>
        </w:tc>
        <w:tc>
          <w:tcPr>
            <w:tcW w:w="0" w:type="auto"/>
            <w:gridSpan w:val="4"/>
          </w:tcPr>
          <w:p w14:paraId="30D7E19B"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0.086/0.086</w:t>
            </w:r>
          </w:p>
        </w:tc>
        <w:tc>
          <w:tcPr>
            <w:tcW w:w="0" w:type="auto"/>
            <w:gridSpan w:val="4"/>
          </w:tcPr>
          <w:p w14:paraId="64F6D112" w14:textId="77777777" w:rsidR="004346F3" w:rsidRPr="00536CFD" w:rsidRDefault="004346F3" w:rsidP="00802ABC">
            <w:pPr>
              <w:spacing w:after="60"/>
              <w:jc w:val="center"/>
              <w:rPr>
                <w:rFonts w:ascii="Times New Roman" w:hAnsi="Times New Roman"/>
                <w:sz w:val="20"/>
                <w:szCs w:val="20"/>
              </w:rPr>
            </w:pPr>
            <w:r w:rsidRPr="00536CFD">
              <w:rPr>
                <w:rFonts w:ascii="Times New Roman" w:hAnsi="Times New Roman"/>
                <w:sz w:val="20"/>
                <w:szCs w:val="20"/>
              </w:rPr>
              <w:t>0.114/0.114</w:t>
            </w:r>
          </w:p>
        </w:tc>
      </w:tr>
      <w:tr w:rsidR="004346F3" w:rsidRPr="00536CFD" w14:paraId="2AAA629A" w14:textId="77777777" w:rsidTr="00536CFD">
        <w:trPr>
          <w:cantSplit/>
          <w:trHeight w:val="22"/>
        </w:trPr>
        <w:tc>
          <w:tcPr>
            <w:tcW w:w="0" w:type="auto"/>
            <w:vMerge/>
          </w:tcPr>
          <w:p w14:paraId="2F1B67D2" w14:textId="77777777" w:rsidR="004346F3" w:rsidRPr="00536CFD" w:rsidRDefault="004346F3" w:rsidP="00802ABC">
            <w:pPr>
              <w:spacing w:after="60"/>
              <w:jc w:val="center"/>
              <w:rPr>
                <w:rFonts w:ascii="Times New Roman" w:hAnsi="Times New Roman"/>
                <w:sz w:val="20"/>
                <w:szCs w:val="20"/>
              </w:rPr>
            </w:pPr>
          </w:p>
        </w:tc>
        <w:tc>
          <w:tcPr>
            <w:tcW w:w="0" w:type="auto"/>
            <w:gridSpan w:val="2"/>
          </w:tcPr>
          <w:p w14:paraId="496AB124" w14:textId="77777777" w:rsidR="004346F3" w:rsidRPr="00536CFD" w:rsidRDefault="004346F3" w:rsidP="00802ABC">
            <w:pPr>
              <w:spacing w:after="60"/>
              <w:rPr>
                <w:rFonts w:ascii="Times New Roman" w:hAnsi="Times New Roman"/>
                <w:sz w:val="20"/>
                <w:szCs w:val="20"/>
              </w:rPr>
            </w:pPr>
          </w:p>
        </w:tc>
        <w:tc>
          <w:tcPr>
            <w:tcW w:w="0" w:type="auto"/>
            <w:gridSpan w:val="12"/>
          </w:tcPr>
          <w:p w14:paraId="1D1A815B" w14:textId="77777777" w:rsidR="004346F3" w:rsidRPr="00536CFD" w:rsidRDefault="004346F3" w:rsidP="00802ABC">
            <w:pPr>
              <w:spacing w:after="60"/>
              <w:rPr>
                <w:rFonts w:ascii="Times New Roman" w:hAnsi="Times New Roman"/>
                <w:sz w:val="20"/>
                <w:szCs w:val="20"/>
              </w:rPr>
            </w:pPr>
            <w:r w:rsidRPr="00536CFD">
              <w:rPr>
                <w:rFonts w:ascii="Times New Roman" w:hAnsi="Times New Roman"/>
                <w:sz w:val="20"/>
                <w:szCs w:val="20"/>
              </w:rPr>
              <w:t>Additional comments: Outdoor Sub-7GHz deployment Scenario 2</w:t>
            </w:r>
          </w:p>
          <w:p w14:paraId="1CE13A48" w14:textId="77777777" w:rsidR="004346F3" w:rsidRPr="00536CFD" w:rsidRDefault="004346F3" w:rsidP="00802ABC">
            <w:pPr>
              <w:spacing w:after="60"/>
              <w:rPr>
                <w:rFonts w:ascii="Times New Roman" w:hAnsi="Times New Roman"/>
                <w:sz w:val="20"/>
                <w:szCs w:val="20"/>
              </w:rPr>
            </w:pPr>
            <w:r w:rsidRPr="00536CFD">
              <w:rPr>
                <w:rFonts w:ascii="Times New Roman" w:hAnsi="Times New Roman"/>
                <w:sz w:val="20"/>
                <w:szCs w:val="20"/>
              </w:rPr>
              <w:t>WiFi settings: 802.11ac MCS table including 256 QAM, 2Tx2Rx in DL (cross-polarized, open loop), 2Tx2Rx in UL, 2 streams in both DL and UL. GI:0.8 µs, TXOP=4 ms, LDPC, A-MPDU enabled, RTS/CTS disabled, link adaptation: Minstrel algorithm, CWS: DL{15,63} and UL{15,1023}, CCA: CS=-82dBm, ED=-62dBm.</w:t>
            </w:r>
          </w:p>
          <w:p w14:paraId="078594CE" w14:textId="77777777" w:rsidR="004346F3" w:rsidRPr="00536CFD" w:rsidRDefault="004346F3" w:rsidP="00802ABC">
            <w:pPr>
              <w:spacing w:after="60"/>
              <w:rPr>
                <w:rFonts w:ascii="Times New Roman" w:hAnsi="Times New Roman"/>
                <w:sz w:val="20"/>
                <w:szCs w:val="20"/>
              </w:rPr>
            </w:pPr>
            <w:r w:rsidRPr="00536CFD">
              <w:rPr>
                <w:rFonts w:ascii="Times New Roman" w:hAnsi="Times New Roman"/>
                <w:sz w:val="20"/>
                <w:szCs w:val="20"/>
              </w:rPr>
              <w:t>NR-U settings: 4Tx2Rx in DL, Cross-polarized. MCS=4/16/64/256QAM, scheduling: proportional fair, link adaptation realistic, ED=-72 dBm, CP=Normal, SCS=30KHz, TXOP=4 ms, UE Capability #1, MCS: DL{15,63} and UL{15,1023}, COT sharing enabled, COT details: flexible DL/UL only and mixed DL/UL based on traffic needs, 3/11 DL control/data symbols, 3/11 symbols UL control/data.</w:t>
            </w:r>
            <w:r w:rsidRPr="00536CFD">
              <w:rPr>
                <w:rFonts w:ascii="Times New Roman" w:hAnsi="Times New Roman"/>
                <w:sz w:val="20"/>
                <w:szCs w:val="20"/>
                <w:lang w:eastAsia="x-none"/>
              </w:rPr>
              <w:t xml:space="preserve"> </w:t>
            </w:r>
          </w:p>
        </w:tc>
      </w:tr>
    </w:tbl>
    <w:p w14:paraId="65957786" w14:textId="77777777" w:rsidR="004346F3" w:rsidRPr="00C64ECB" w:rsidRDefault="004346F3" w:rsidP="004346F3"/>
    <w:p w14:paraId="7B9C127B" w14:textId="23EE9B93" w:rsidR="00831ADB" w:rsidRPr="00C64ECB" w:rsidRDefault="00831ADB">
      <w:pPr>
        <w:spacing w:after="0"/>
      </w:pPr>
      <w:r w:rsidRPr="00C64ECB">
        <w:br w:type="page"/>
      </w:r>
    </w:p>
    <w:p w14:paraId="4E9EECFC" w14:textId="77777777" w:rsidR="00E8629F" w:rsidRPr="00C64ECB" w:rsidRDefault="00DE7ACB" w:rsidP="001603EA">
      <w:pPr>
        <w:pStyle w:val="Heading9"/>
      </w:pPr>
      <w:bookmarkStart w:id="114" w:name="_Toc531343055"/>
      <w:r w:rsidRPr="00C64ECB">
        <w:t xml:space="preserve">Annex </w:t>
      </w:r>
      <w:r w:rsidR="00F467CF" w:rsidRPr="00C64ECB">
        <w:t>C</w:t>
      </w:r>
      <w:r w:rsidR="00E8629F" w:rsidRPr="00C64ECB">
        <w:t>:</w:t>
      </w:r>
      <w:r w:rsidR="00E8629F" w:rsidRPr="00C64ECB">
        <w:br/>
        <w:t>Change history</w:t>
      </w:r>
      <w:bookmarkEnd w:id="114"/>
    </w:p>
    <w:p w14:paraId="0274B64F" w14:textId="77777777" w:rsidR="001603EA" w:rsidRPr="00C64ECB" w:rsidRDefault="001603EA" w:rsidP="003F074D">
      <w:pPr>
        <w:pStyle w:val="TH"/>
      </w:pPr>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52"/>
        <w:gridCol w:w="990"/>
        <w:gridCol w:w="377"/>
        <w:gridCol w:w="425"/>
        <w:gridCol w:w="425"/>
        <w:gridCol w:w="4962"/>
        <w:gridCol w:w="708"/>
      </w:tblGrid>
      <w:tr w:rsidR="001603EA" w:rsidRPr="00C64ECB" w14:paraId="792A1BA4" w14:textId="77777777" w:rsidTr="006E7C76">
        <w:trPr>
          <w:cantSplit/>
        </w:trPr>
        <w:tc>
          <w:tcPr>
            <w:tcW w:w="9639" w:type="dxa"/>
            <w:gridSpan w:val="8"/>
            <w:tcBorders>
              <w:bottom w:val="nil"/>
            </w:tcBorders>
            <w:shd w:val="solid" w:color="FFFFFF" w:fill="auto"/>
          </w:tcPr>
          <w:p w14:paraId="5282A613" w14:textId="77777777" w:rsidR="001603EA" w:rsidRPr="00C64ECB" w:rsidRDefault="001603EA" w:rsidP="003F074D">
            <w:pPr>
              <w:pStyle w:val="TAH"/>
              <w:rPr>
                <w:sz w:val="16"/>
              </w:rPr>
            </w:pPr>
            <w:r w:rsidRPr="00C64ECB">
              <w:t>Change history</w:t>
            </w:r>
          </w:p>
        </w:tc>
      </w:tr>
      <w:tr w:rsidR="001603EA" w:rsidRPr="00C64ECB" w14:paraId="2D5ED40E" w14:textId="77777777" w:rsidTr="006E7C76">
        <w:tc>
          <w:tcPr>
            <w:tcW w:w="800" w:type="dxa"/>
            <w:shd w:val="pct10" w:color="auto" w:fill="FFFFFF"/>
          </w:tcPr>
          <w:p w14:paraId="5F735345" w14:textId="77777777" w:rsidR="001603EA" w:rsidRPr="00C64ECB" w:rsidRDefault="001603EA" w:rsidP="001603EA">
            <w:pPr>
              <w:keepNext/>
              <w:keepLines/>
              <w:spacing w:after="0"/>
              <w:rPr>
                <w:rFonts w:ascii="Arial" w:eastAsia="Times New Roman" w:hAnsi="Arial"/>
                <w:b/>
                <w:sz w:val="16"/>
              </w:rPr>
            </w:pPr>
            <w:r w:rsidRPr="00C64ECB">
              <w:rPr>
                <w:rFonts w:ascii="Arial" w:eastAsia="Times New Roman" w:hAnsi="Arial"/>
                <w:b/>
                <w:sz w:val="16"/>
              </w:rPr>
              <w:t>Date</w:t>
            </w:r>
          </w:p>
        </w:tc>
        <w:tc>
          <w:tcPr>
            <w:tcW w:w="952" w:type="dxa"/>
            <w:shd w:val="pct10" w:color="auto" w:fill="FFFFFF"/>
          </w:tcPr>
          <w:p w14:paraId="664E5F19" w14:textId="77777777" w:rsidR="001603EA" w:rsidRPr="00C64ECB" w:rsidRDefault="001603EA" w:rsidP="001603EA">
            <w:pPr>
              <w:keepNext/>
              <w:keepLines/>
              <w:spacing w:after="0"/>
              <w:rPr>
                <w:rFonts w:ascii="Arial" w:eastAsia="Times New Roman" w:hAnsi="Arial"/>
                <w:b/>
                <w:sz w:val="16"/>
              </w:rPr>
            </w:pPr>
            <w:r w:rsidRPr="00C64ECB">
              <w:rPr>
                <w:rFonts w:ascii="Arial" w:eastAsia="Times New Roman" w:hAnsi="Arial"/>
                <w:b/>
                <w:sz w:val="16"/>
              </w:rPr>
              <w:t>Meeting</w:t>
            </w:r>
          </w:p>
        </w:tc>
        <w:tc>
          <w:tcPr>
            <w:tcW w:w="990" w:type="dxa"/>
            <w:shd w:val="pct10" w:color="auto" w:fill="FFFFFF"/>
          </w:tcPr>
          <w:p w14:paraId="67A32489" w14:textId="77777777" w:rsidR="001603EA" w:rsidRPr="00C64ECB" w:rsidRDefault="001603EA" w:rsidP="001603EA">
            <w:pPr>
              <w:keepNext/>
              <w:keepLines/>
              <w:spacing w:after="0"/>
              <w:rPr>
                <w:rFonts w:ascii="Arial" w:eastAsia="Times New Roman" w:hAnsi="Arial"/>
                <w:b/>
                <w:sz w:val="16"/>
              </w:rPr>
            </w:pPr>
            <w:r w:rsidRPr="00C64ECB">
              <w:rPr>
                <w:rFonts w:ascii="Arial" w:eastAsia="Times New Roman" w:hAnsi="Arial"/>
                <w:b/>
                <w:sz w:val="16"/>
              </w:rPr>
              <w:t>TDoc</w:t>
            </w:r>
          </w:p>
        </w:tc>
        <w:tc>
          <w:tcPr>
            <w:tcW w:w="377" w:type="dxa"/>
            <w:shd w:val="pct10" w:color="auto" w:fill="FFFFFF"/>
          </w:tcPr>
          <w:p w14:paraId="78BD8F88" w14:textId="77777777" w:rsidR="001603EA" w:rsidRPr="00C64ECB" w:rsidRDefault="001603EA" w:rsidP="001603EA">
            <w:pPr>
              <w:keepNext/>
              <w:keepLines/>
              <w:spacing w:after="0"/>
              <w:rPr>
                <w:rFonts w:ascii="Arial" w:eastAsia="Times New Roman" w:hAnsi="Arial"/>
                <w:b/>
                <w:sz w:val="16"/>
              </w:rPr>
            </w:pPr>
            <w:r w:rsidRPr="00C64ECB">
              <w:rPr>
                <w:rFonts w:ascii="Arial" w:eastAsia="Times New Roman" w:hAnsi="Arial"/>
                <w:b/>
                <w:sz w:val="16"/>
              </w:rPr>
              <w:t>CR</w:t>
            </w:r>
          </w:p>
        </w:tc>
        <w:tc>
          <w:tcPr>
            <w:tcW w:w="425" w:type="dxa"/>
            <w:shd w:val="pct10" w:color="auto" w:fill="FFFFFF"/>
          </w:tcPr>
          <w:p w14:paraId="1B384699" w14:textId="77777777" w:rsidR="001603EA" w:rsidRPr="00C64ECB" w:rsidRDefault="001603EA" w:rsidP="001603EA">
            <w:pPr>
              <w:keepNext/>
              <w:keepLines/>
              <w:spacing w:after="0"/>
              <w:rPr>
                <w:rFonts w:ascii="Arial" w:eastAsia="Times New Roman" w:hAnsi="Arial"/>
                <w:b/>
                <w:sz w:val="16"/>
              </w:rPr>
            </w:pPr>
            <w:r w:rsidRPr="00C64ECB">
              <w:rPr>
                <w:rFonts w:ascii="Arial" w:eastAsia="Times New Roman" w:hAnsi="Arial"/>
                <w:b/>
                <w:sz w:val="16"/>
              </w:rPr>
              <w:t>Rev</w:t>
            </w:r>
          </w:p>
        </w:tc>
        <w:tc>
          <w:tcPr>
            <w:tcW w:w="425" w:type="dxa"/>
            <w:shd w:val="pct10" w:color="auto" w:fill="FFFFFF"/>
          </w:tcPr>
          <w:p w14:paraId="58F92E87" w14:textId="77777777" w:rsidR="001603EA" w:rsidRPr="00C64ECB" w:rsidRDefault="001603EA" w:rsidP="001603EA">
            <w:pPr>
              <w:keepNext/>
              <w:keepLines/>
              <w:spacing w:after="0"/>
              <w:rPr>
                <w:rFonts w:ascii="Arial" w:eastAsia="Times New Roman" w:hAnsi="Arial"/>
                <w:b/>
                <w:sz w:val="16"/>
              </w:rPr>
            </w:pPr>
            <w:r w:rsidRPr="00C64ECB">
              <w:rPr>
                <w:rFonts w:ascii="Arial" w:eastAsia="Times New Roman" w:hAnsi="Arial"/>
                <w:b/>
                <w:sz w:val="16"/>
              </w:rPr>
              <w:t>Cat</w:t>
            </w:r>
          </w:p>
        </w:tc>
        <w:tc>
          <w:tcPr>
            <w:tcW w:w="4962" w:type="dxa"/>
            <w:shd w:val="pct10" w:color="auto" w:fill="FFFFFF"/>
          </w:tcPr>
          <w:p w14:paraId="6A7ACDCD" w14:textId="77777777" w:rsidR="001603EA" w:rsidRPr="00C64ECB" w:rsidRDefault="001603EA" w:rsidP="001603EA">
            <w:pPr>
              <w:keepNext/>
              <w:keepLines/>
              <w:spacing w:after="0"/>
              <w:rPr>
                <w:rFonts w:ascii="Arial" w:eastAsia="Times New Roman" w:hAnsi="Arial"/>
                <w:b/>
                <w:sz w:val="16"/>
              </w:rPr>
            </w:pPr>
            <w:r w:rsidRPr="00C64ECB">
              <w:rPr>
                <w:rFonts w:ascii="Arial" w:eastAsia="Times New Roman" w:hAnsi="Arial"/>
                <w:b/>
                <w:sz w:val="16"/>
              </w:rPr>
              <w:t>Subject/Comment</w:t>
            </w:r>
          </w:p>
        </w:tc>
        <w:tc>
          <w:tcPr>
            <w:tcW w:w="708" w:type="dxa"/>
            <w:shd w:val="pct10" w:color="auto" w:fill="FFFFFF"/>
          </w:tcPr>
          <w:p w14:paraId="04362CBC" w14:textId="77777777" w:rsidR="001603EA" w:rsidRPr="00C64ECB" w:rsidRDefault="001603EA" w:rsidP="001603EA">
            <w:pPr>
              <w:keepNext/>
              <w:keepLines/>
              <w:spacing w:after="0"/>
              <w:rPr>
                <w:rFonts w:ascii="Arial" w:eastAsia="Times New Roman" w:hAnsi="Arial"/>
                <w:b/>
                <w:sz w:val="16"/>
              </w:rPr>
            </w:pPr>
            <w:r w:rsidRPr="00C64ECB">
              <w:rPr>
                <w:rFonts w:ascii="Arial" w:eastAsia="Times New Roman" w:hAnsi="Arial"/>
                <w:b/>
                <w:sz w:val="16"/>
              </w:rPr>
              <w:t>New version</w:t>
            </w:r>
          </w:p>
        </w:tc>
      </w:tr>
      <w:tr w:rsidR="001603EA" w:rsidRPr="00C64ECB" w14:paraId="09E761EE" w14:textId="77777777" w:rsidTr="006E7C76">
        <w:tc>
          <w:tcPr>
            <w:tcW w:w="800" w:type="dxa"/>
            <w:shd w:val="solid" w:color="FFFFFF" w:fill="auto"/>
          </w:tcPr>
          <w:p w14:paraId="5CF2ACC9" w14:textId="4C4E545A"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2018-02</w:t>
            </w:r>
          </w:p>
        </w:tc>
        <w:tc>
          <w:tcPr>
            <w:tcW w:w="952" w:type="dxa"/>
            <w:shd w:val="solid" w:color="FFFFFF" w:fill="auto"/>
          </w:tcPr>
          <w:p w14:paraId="64DB948D" w14:textId="5990D622" w:rsidR="001603EA" w:rsidRPr="00C64ECB" w:rsidRDefault="001603EA" w:rsidP="001603EA">
            <w:pPr>
              <w:keepNext/>
              <w:keepLines/>
              <w:spacing w:after="0"/>
              <w:jc w:val="center"/>
              <w:rPr>
                <w:rFonts w:ascii="Arial" w:eastAsia="Times New Roman" w:hAnsi="Arial" w:cs="Arial"/>
                <w:sz w:val="16"/>
                <w:szCs w:val="16"/>
              </w:rPr>
            </w:pPr>
            <w:r w:rsidRPr="00C64ECB">
              <w:rPr>
                <w:rFonts w:ascii="Arial" w:hAnsi="Arial" w:cs="Arial"/>
                <w:sz w:val="16"/>
                <w:szCs w:val="16"/>
              </w:rPr>
              <w:t>RAN1#92</w:t>
            </w:r>
          </w:p>
        </w:tc>
        <w:tc>
          <w:tcPr>
            <w:tcW w:w="990" w:type="dxa"/>
            <w:shd w:val="solid" w:color="FFFFFF" w:fill="auto"/>
          </w:tcPr>
          <w:p w14:paraId="56DED6E3" w14:textId="2473CA0B" w:rsidR="001603EA" w:rsidRPr="00C64ECB" w:rsidRDefault="001603EA" w:rsidP="001603EA">
            <w:pPr>
              <w:keepNext/>
              <w:keepLines/>
              <w:spacing w:after="0"/>
              <w:jc w:val="center"/>
              <w:rPr>
                <w:rFonts w:ascii="Arial" w:eastAsia="Times New Roman" w:hAnsi="Arial" w:cs="Arial"/>
                <w:sz w:val="16"/>
                <w:szCs w:val="16"/>
              </w:rPr>
            </w:pPr>
            <w:r w:rsidRPr="00C64ECB">
              <w:rPr>
                <w:rFonts w:ascii="Arial" w:hAnsi="Arial" w:cs="Arial"/>
                <w:sz w:val="16"/>
                <w:szCs w:val="16"/>
              </w:rPr>
              <w:t>R1-1803272</w:t>
            </w:r>
          </w:p>
        </w:tc>
        <w:tc>
          <w:tcPr>
            <w:tcW w:w="377" w:type="dxa"/>
            <w:shd w:val="solid" w:color="FFFFFF" w:fill="auto"/>
          </w:tcPr>
          <w:p w14:paraId="3DE6B15C" w14:textId="77777777" w:rsidR="001603EA" w:rsidRPr="00C64ECB" w:rsidRDefault="001603EA" w:rsidP="001603EA">
            <w:pPr>
              <w:keepNext/>
              <w:keepLines/>
              <w:spacing w:after="0"/>
              <w:rPr>
                <w:rFonts w:ascii="Arial" w:eastAsia="Times New Roman" w:hAnsi="Arial" w:cs="Arial"/>
                <w:sz w:val="16"/>
                <w:szCs w:val="16"/>
              </w:rPr>
            </w:pPr>
          </w:p>
        </w:tc>
        <w:tc>
          <w:tcPr>
            <w:tcW w:w="425" w:type="dxa"/>
            <w:shd w:val="solid" w:color="FFFFFF" w:fill="auto"/>
          </w:tcPr>
          <w:p w14:paraId="562EE9AB" w14:textId="77777777" w:rsidR="001603EA" w:rsidRPr="00C64ECB" w:rsidRDefault="001603EA" w:rsidP="001603EA">
            <w:pPr>
              <w:keepNext/>
              <w:keepLines/>
              <w:spacing w:after="0"/>
              <w:jc w:val="right"/>
              <w:rPr>
                <w:rFonts w:ascii="Arial" w:eastAsia="Times New Roman" w:hAnsi="Arial" w:cs="Arial"/>
                <w:sz w:val="16"/>
                <w:szCs w:val="16"/>
              </w:rPr>
            </w:pPr>
          </w:p>
        </w:tc>
        <w:tc>
          <w:tcPr>
            <w:tcW w:w="425" w:type="dxa"/>
            <w:shd w:val="solid" w:color="FFFFFF" w:fill="auto"/>
          </w:tcPr>
          <w:p w14:paraId="60C71764" w14:textId="77777777" w:rsidR="001603EA" w:rsidRPr="00C64ECB" w:rsidRDefault="001603EA" w:rsidP="001603EA">
            <w:pPr>
              <w:keepNext/>
              <w:keepLines/>
              <w:spacing w:after="0"/>
              <w:jc w:val="center"/>
              <w:rPr>
                <w:rFonts w:ascii="Arial" w:eastAsia="Times New Roman" w:hAnsi="Arial" w:cs="Arial"/>
                <w:sz w:val="16"/>
                <w:szCs w:val="16"/>
              </w:rPr>
            </w:pPr>
          </w:p>
        </w:tc>
        <w:tc>
          <w:tcPr>
            <w:tcW w:w="4962" w:type="dxa"/>
            <w:shd w:val="solid" w:color="FFFFFF" w:fill="auto"/>
          </w:tcPr>
          <w:p w14:paraId="50D9421A" w14:textId="21D161E0" w:rsidR="001603EA" w:rsidRPr="00C64ECB" w:rsidRDefault="001603EA" w:rsidP="001603EA">
            <w:pPr>
              <w:keepNext/>
              <w:keepLines/>
              <w:spacing w:after="0"/>
              <w:rPr>
                <w:rFonts w:ascii="Arial" w:eastAsia="Times New Roman" w:hAnsi="Arial" w:cs="Arial"/>
                <w:sz w:val="16"/>
                <w:szCs w:val="16"/>
              </w:rPr>
            </w:pPr>
            <w:r w:rsidRPr="00C64ECB">
              <w:rPr>
                <w:rFonts w:ascii="Arial" w:hAnsi="Arial" w:cs="Arial"/>
                <w:sz w:val="16"/>
                <w:szCs w:val="16"/>
              </w:rPr>
              <w:t>First version of TR</w:t>
            </w:r>
          </w:p>
        </w:tc>
        <w:tc>
          <w:tcPr>
            <w:tcW w:w="708" w:type="dxa"/>
            <w:shd w:val="solid" w:color="FFFFFF" w:fill="auto"/>
          </w:tcPr>
          <w:p w14:paraId="39C9B311" w14:textId="7A441517"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0.0.1</w:t>
            </w:r>
          </w:p>
        </w:tc>
      </w:tr>
      <w:tr w:rsidR="001603EA" w:rsidRPr="00C64ECB" w14:paraId="2C279808" w14:textId="77777777" w:rsidTr="006E7C76">
        <w:tc>
          <w:tcPr>
            <w:tcW w:w="800" w:type="dxa"/>
            <w:shd w:val="solid" w:color="FFFFFF" w:fill="auto"/>
          </w:tcPr>
          <w:p w14:paraId="3BA0DC5C" w14:textId="7C0D6528"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2018-05</w:t>
            </w:r>
          </w:p>
        </w:tc>
        <w:tc>
          <w:tcPr>
            <w:tcW w:w="952" w:type="dxa"/>
            <w:shd w:val="solid" w:color="FFFFFF" w:fill="auto"/>
          </w:tcPr>
          <w:p w14:paraId="25328F56" w14:textId="091ACCDC" w:rsidR="001603EA" w:rsidRPr="00C64ECB" w:rsidRDefault="001603EA" w:rsidP="001603EA">
            <w:pPr>
              <w:keepNext/>
              <w:keepLines/>
              <w:spacing w:after="0"/>
              <w:jc w:val="center"/>
              <w:rPr>
                <w:rFonts w:ascii="Arial" w:eastAsia="Times New Roman" w:hAnsi="Arial" w:cs="Arial"/>
                <w:sz w:val="16"/>
                <w:szCs w:val="16"/>
              </w:rPr>
            </w:pPr>
            <w:r w:rsidRPr="00C64ECB">
              <w:rPr>
                <w:rFonts w:ascii="Arial" w:hAnsi="Arial" w:cs="Arial"/>
                <w:sz w:val="16"/>
                <w:szCs w:val="16"/>
              </w:rPr>
              <w:t>RAN1#93</w:t>
            </w:r>
          </w:p>
        </w:tc>
        <w:tc>
          <w:tcPr>
            <w:tcW w:w="990" w:type="dxa"/>
            <w:shd w:val="solid" w:color="FFFFFF" w:fill="auto"/>
          </w:tcPr>
          <w:p w14:paraId="1FB1AEE2" w14:textId="6431C4A0" w:rsidR="001603EA" w:rsidRPr="00C64ECB" w:rsidRDefault="001603EA" w:rsidP="001603EA">
            <w:pPr>
              <w:keepNext/>
              <w:keepLines/>
              <w:spacing w:after="0"/>
              <w:jc w:val="center"/>
              <w:rPr>
                <w:rFonts w:ascii="Arial" w:eastAsia="Times New Roman" w:hAnsi="Arial" w:cs="Arial"/>
                <w:sz w:val="16"/>
                <w:szCs w:val="16"/>
              </w:rPr>
            </w:pPr>
            <w:r w:rsidRPr="00C64ECB">
              <w:rPr>
                <w:rFonts w:ascii="Arial" w:hAnsi="Arial" w:cs="Arial"/>
                <w:sz w:val="16"/>
                <w:szCs w:val="16"/>
              </w:rPr>
              <w:t>R1-1807383</w:t>
            </w:r>
          </w:p>
        </w:tc>
        <w:tc>
          <w:tcPr>
            <w:tcW w:w="377" w:type="dxa"/>
            <w:shd w:val="solid" w:color="FFFFFF" w:fill="auto"/>
          </w:tcPr>
          <w:p w14:paraId="7E8EE95E" w14:textId="77777777" w:rsidR="001603EA" w:rsidRPr="00C64ECB" w:rsidRDefault="001603EA" w:rsidP="001603EA">
            <w:pPr>
              <w:keepNext/>
              <w:keepLines/>
              <w:spacing w:after="0"/>
              <w:rPr>
                <w:rFonts w:ascii="Arial" w:eastAsia="Times New Roman" w:hAnsi="Arial" w:cs="Arial"/>
                <w:sz w:val="16"/>
                <w:szCs w:val="16"/>
              </w:rPr>
            </w:pPr>
          </w:p>
        </w:tc>
        <w:tc>
          <w:tcPr>
            <w:tcW w:w="425" w:type="dxa"/>
            <w:shd w:val="solid" w:color="FFFFFF" w:fill="auto"/>
          </w:tcPr>
          <w:p w14:paraId="4B9BB01C" w14:textId="77777777" w:rsidR="001603EA" w:rsidRPr="00C64ECB" w:rsidRDefault="001603EA" w:rsidP="001603EA">
            <w:pPr>
              <w:keepNext/>
              <w:keepLines/>
              <w:spacing w:after="0"/>
              <w:jc w:val="right"/>
              <w:rPr>
                <w:rFonts w:ascii="Arial" w:eastAsia="Times New Roman" w:hAnsi="Arial" w:cs="Arial"/>
                <w:sz w:val="16"/>
                <w:szCs w:val="16"/>
              </w:rPr>
            </w:pPr>
          </w:p>
        </w:tc>
        <w:tc>
          <w:tcPr>
            <w:tcW w:w="425" w:type="dxa"/>
            <w:shd w:val="solid" w:color="FFFFFF" w:fill="auto"/>
          </w:tcPr>
          <w:p w14:paraId="2EC010D8" w14:textId="77777777" w:rsidR="001603EA" w:rsidRPr="00C64ECB" w:rsidRDefault="001603EA" w:rsidP="001603EA">
            <w:pPr>
              <w:keepNext/>
              <w:keepLines/>
              <w:spacing w:after="0"/>
              <w:jc w:val="center"/>
              <w:rPr>
                <w:rFonts w:ascii="Arial" w:eastAsia="Times New Roman" w:hAnsi="Arial" w:cs="Arial"/>
                <w:sz w:val="16"/>
                <w:szCs w:val="16"/>
              </w:rPr>
            </w:pPr>
          </w:p>
        </w:tc>
        <w:tc>
          <w:tcPr>
            <w:tcW w:w="4962" w:type="dxa"/>
            <w:shd w:val="solid" w:color="FFFFFF" w:fill="auto"/>
          </w:tcPr>
          <w:p w14:paraId="1952ECD0" w14:textId="78A493D5" w:rsidR="001603EA" w:rsidRPr="00C64ECB" w:rsidRDefault="001603EA" w:rsidP="001603EA">
            <w:pPr>
              <w:keepNext/>
              <w:keepLines/>
              <w:spacing w:after="0"/>
              <w:rPr>
                <w:rFonts w:ascii="Arial" w:eastAsia="Times New Roman" w:hAnsi="Arial" w:cs="Arial"/>
                <w:sz w:val="16"/>
                <w:szCs w:val="16"/>
              </w:rPr>
            </w:pPr>
            <w:r w:rsidRPr="00C64ECB">
              <w:rPr>
                <w:rFonts w:ascii="Arial" w:hAnsi="Arial" w:cs="Arial"/>
                <w:sz w:val="16"/>
                <w:szCs w:val="16"/>
              </w:rPr>
              <w:t>Update to capture the agreements reached in RAN1 #92 and #92bis</w:t>
            </w:r>
          </w:p>
        </w:tc>
        <w:tc>
          <w:tcPr>
            <w:tcW w:w="708" w:type="dxa"/>
            <w:shd w:val="solid" w:color="FFFFFF" w:fill="auto"/>
          </w:tcPr>
          <w:p w14:paraId="1D539FD6" w14:textId="75F8D94A"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0.0.2</w:t>
            </w:r>
          </w:p>
        </w:tc>
      </w:tr>
      <w:tr w:rsidR="001603EA" w:rsidRPr="00C64ECB" w14:paraId="382CA674" w14:textId="77777777" w:rsidTr="006E7C76">
        <w:tc>
          <w:tcPr>
            <w:tcW w:w="800" w:type="dxa"/>
            <w:shd w:val="solid" w:color="FFFFFF" w:fill="auto"/>
          </w:tcPr>
          <w:p w14:paraId="686E6892" w14:textId="39BBE0E6"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2018-08</w:t>
            </w:r>
          </w:p>
        </w:tc>
        <w:tc>
          <w:tcPr>
            <w:tcW w:w="952" w:type="dxa"/>
            <w:shd w:val="solid" w:color="FFFFFF" w:fill="auto"/>
          </w:tcPr>
          <w:p w14:paraId="6EAE989B" w14:textId="64510A82" w:rsidR="001603EA" w:rsidRPr="00C64ECB" w:rsidRDefault="001603EA" w:rsidP="001603EA">
            <w:pPr>
              <w:keepNext/>
              <w:keepLines/>
              <w:spacing w:after="0"/>
              <w:jc w:val="center"/>
              <w:rPr>
                <w:rFonts w:ascii="Arial" w:eastAsia="Times New Roman" w:hAnsi="Arial" w:cs="Arial"/>
                <w:sz w:val="16"/>
                <w:szCs w:val="16"/>
              </w:rPr>
            </w:pPr>
            <w:r w:rsidRPr="00C64ECB">
              <w:rPr>
                <w:rFonts w:ascii="Arial" w:hAnsi="Arial" w:cs="Arial"/>
                <w:sz w:val="16"/>
                <w:szCs w:val="16"/>
              </w:rPr>
              <w:t>RAN1#94</w:t>
            </w:r>
          </w:p>
        </w:tc>
        <w:tc>
          <w:tcPr>
            <w:tcW w:w="990" w:type="dxa"/>
            <w:shd w:val="solid" w:color="FFFFFF" w:fill="auto"/>
          </w:tcPr>
          <w:p w14:paraId="3B215DE8" w14:textId="140D1C02" w:rsidR="001603EA" w:rsidRPr="00C64ECB" w:rsidRDefault="001603EA" w:rsidP="001603EA">
            <w:pPr>
              <w:keepNext/>
              <w:keepLines/>
              <w:spacing w:after="0"/>
              <w:jc w:val="center"/>
              <w:rPr>
                <w:rFonts w:ascii="Arial" w:eastAsia="Times New Roman" w:hAnsi="Arial" w:cs="Arial"/>
                <w:sz w:val="16"/>
                <w:szCs w:val="16"/>
              </w:rPr>
            </w:pPr>
            <w:r w:rsidRPr="00C64ECB">
              <w:rPr>
                <w:rFonts w:ascii="Arial" w:hAnsi="Arial" w:cs="Arial"/>
                <w:sz w:val="16"/>
                <w:szCs w:val="16"/>
              </w:rPr>
              <w:t>R1-1809795</w:t>
            </w:r>
          </w:p>
        </w:tc>
        <w:tc>
          <w:tcPr>
            <w:tcW w:w="377" w:type="dxa"/>
            <w:shd w:val="solid" w:color="FFFFFF" w:fill="auto"/>
          </w:tcPr>
          <w:p w14:paraId="0A1C60D4" w14:textId="77777777" w:rsidR="001603EA" w:rsidRPr="00C64ECB" w:rsidRDefault="001603EA" w:rsidP="001603EA">
            <w:pPr>
              <w:keepNext/>
              <w:keepLines/>
              <w:spacing w:after="0"/>
              <w:rPr>
                <w:rFonts w:ascii="Arial" w:eastAsia="Times New Roman" w:hAnsi="Arial" w:cs="Arial"/>
                <w:sz w:val="16"/>
                <w:szCs w:val="16"/>
              </w:rPr>
            </w:pPr>
          </w:p>
        </w:tc>
        <w:tc>
          <w:tcPr>
            <w:tcW w:w="425" w:type="dxa"/>
            <w:shd w:val="solid" w:color="FFFFFF" w:fill="auto"/>
          </w:tcPr>
          <w:p w14:paraId="7DBB6CCB" w14:textId="77777777" w:rsidR="001603EA" w:rsidRPr="00C64ECB" w:rsidRDefault="001603EA" w:rsidP="001603EA">
            <w:pPr>
              <w:keepNext/>
              <w:keepLines/>
              <w:spacing w:after="0"/>
              <w:jc w:val="right"/>
              <w:rPr>
                <w:rFonts w:ascii="Arial" w:eastAsia="Times New Roman" w:hAnsi="Arial" w:cs="Arial"/>
                <w:sz w:val="16"/>
                <w:szCs w:val="16"/>
              </w:rPr>
            </w:pPr>
          </w:p>
        </w:tc>
        <w:tc>
          <w:tcPr>
            <w:tcW w:w="425" w:type="dxa"/>
            <w:shd w:val="solid" w:color="FFFFFF" w:fill="auto"/>
          </w:tcPr>
          <w:p w14:paraId="1A49A867" w14:textId="77777777" w:rsidR="001603EA" w:rsidRPr="00C64ECB" w:rsidRDefault="001603EA" w:rsidP="001603EA">
            <w:pPr>
              <w:keepNext/>
              <w:keepLines/>
              <w:spacing w:after="0"/>
              <w:jc w:val="center"/>
              <w:rPr>
                <w:rFonts w:ascii="Arial" w:eastAsia="Times New Roman" w:hAnsi="Arial" w:cs="Arial"/>
                <w:sz w:val="16"/>
                <w:szCs w:val="16"/>
              </w:rPr>
            </w:pPr>
          </w:p>
        </w:tc>
        <w:tc>
          <w:tcPr>
            <w:tcW w:w="4962" w:type="dxa"/>
            <w:shd w:val="solid" w:color="FFFFFF" w:fill="auto"/>
          </w:tcPr>
          <w:p w14:paraId="16CE2640" w14:textId="5CC83AD4" w:rsidR="001603EA" w:rsidRPr="00C64ECB" w:rsidRDefault="001603EA" w:rsidP="001603EA">
            <w:pPr>
              <w:keepNext/>
              <w:keepLines/>
              <w:spacing w:after="0"/>
              <w:rPr>
                <w:rFonts w:ascii="Arial" w:eastAsia="Times New Roman" w:hAnsi="Arial" w:cs="Arial"/>
                <w:sz w:val="16"/>
                <w:szCs w:val="16"/>
              </w:rPr>
            </w:pPr>
            <w:r w:rsidRPr="00C64ECB">
              <w:rPr>
                <w:rFonts w:ascii="Arial" w:hAnsi="Arial" w:cs="Arial"/>
                <w:sz w:val="16"/>
                <w:szCs w:val="16"/>
              </w:rPr>
              <w:t>Update to capture the agreements reached in RAN1 #93</w:t>
            </w:r>
          </w:p>
        </w:tc>
        <w:tc>
          <w:tcPr>
            <w:tcW w:w="708" w:type="dxa"/>
            <w:shd w:val="solid" w:color="FFFFFF" w:fill="auto"/>
          </w:tcPr>
          <w:p w14:paraId="7D9E2CE1" w14:textId="5CF0901A"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0.0.3</w:t>
            </w:r>
          </w:p>
        </w:tc>
      </w:tr>
      <w:tr w:rsidR="001603EA" w:rsidRPr="00C64ECB" w14:paraId="658709A9" w14:textId="77777777" w:rsidTr="006E7C76">
        <w:tc>
          <w:tcPr>
            <w:tcW w:w="800" w:type="dxa"/>
            <w:shd w:val="solid" w:color="FFFFFF" w:fill="auto"/>
          </w:tcPr>
          <w:p w14:paraId="29F9F9EC" w14:textId="6219E91C"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2018-08</w:t>
            </w:r>
          </w:p>
        </w:tc>
        <w:tc>
          <w:tcPr>
            <w:tcW w:w="952" w:type="dxa"/>
            <w:shd w:val="solid" w:color="FFFFFF" w:fill="auto"/>
          </w:tcPr>
          <w:p w14:paraId="75F5AE98" w14:textId="78DED52D" w:rsidR="001603EA" w:rsidRPr="00C64ECB" w:rsidRDefault="001603EA" w:rsidP="001603EA">
            <w:pPr>
              <w:keepNext/>
              <w:keepLines/>
              <w:spacing w:after="0"/>
              <w:jc w:val="center"/>
              <w:rPr>
                <w:rFonts w:ascii="Arial" w:eastAsia="Times New Roman" w:hAnsi="Arial" w:cs="Arial"/>
                <w:sz w:val="16"/>
                <w:szCs w:val="16"/>
              </w:rPr>
            </w:pPr>
            <w:r w:rsidRPr="00C64ECB">
              <w:rPr>
                <w:rFonts w:ascii="Arial" w:hAnsi="Arial" w:cs="Arial"/>
                <w:sz w:val="16"/>
                <w:szCs w:val="16"/>
              </w:rPr>
              <w:t>RAN1#94</w:t>
            </w:r>
          </w:p>
        </w:tc>
        <w:tc>
          <w:tcPr>
            <w:tcW w:w="990" w:type="dxa"/>
            <w:shd w:val="solid" w:color="FFFFFF" w:fill="auto"/>
          </w:tcPr>
          <w:p w14:paraId="6D37F194" w14:textId="290DB07F"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R1-1810047</w:t>
            </w:r>
          </w:p>
        </w:tc>
        <w:tc>
          <w:tcPr>
            <w:tcW w:w="377" w:type="dxa"/>
            <w:shd w:val="solid" w:color="FFFFFF" w:fill="auto"/>
          </w:tcPr>
          <w:p w14:paraId="163BBE6B" w14:textId="77777777" w:rsidR="001603EA" w:rsidRPr="00C64ECB" w:rsidRDefault="001603EA" w:rsidP="001603EA">
            <w:pPr>
              <w:keepNext/>
              <w:keepLines/>
              <w:spacing w:after="0"/>
              <w:rPr>
                <w:rFonts w:ascii="Arial" w:eastAsia="Times New Roman" w:hAnsi="Arial" w:cs="Arial"/>
                <w:sz w:val="16"/>
                <w:szCs w:val="16"/>
              </w:rPr>
            </w:pPr>
          </w:p>
        </w:tc>
        <w:tc>
          <w:tcPr>
            <w:tcW w:w="425" w:type="dxa"/>
            <w:shd w:val="solid" w:color="FFFFFF" w:fill="auto"/>
          </w:tcPr>
          <w:p w14:paraId="0D04C7E5" w14:textId="77777777" w:rsidR="001603EA" w:rsidRPr="00C64ECB" w:rsidRDefault="001603EA" w:rsidP="001603EA">
            <w:pPr>
              <w:keepNext/>
              <w:keepLines/>
              <w:spacing w:after="0"/>
              <w:jc w:val="right"/>
              <w:rPr>
                <w:rFonts w:ascii="Arial" w:eastAsia="Times New Roman" w:hAnsi="Arial" w:cs="Arial"/>
                <w:sz w:val="16"/>
                <w:szCs w:val="16"/>
              </w:rPr>
            </w:pPr>
          </w:p>
        </w:tc>
        <w:tc>
          <w:tcPr>
            <w:tcW w:w="425" w:type="dxa"/>
            <w:shd w:val="solid" w:color="FFFFFF" w:fill="auto"/>
          </w:tcPr>
          <w:p w14:paraId="0B755870" w14:textId="77777777" w:rsidR="001603EA" w:rsidRPr="00C64ECB" w:rsidRDefault="001603EA" w:rsidP="001603EA">
            <w:pPr>
              <w:keepNext/>
              <w:keepLines/>
              <w:spacing w:after="0"/>
              <w:jc w:val="center"/>
              <w:rPr>
                <w:rFonts w:ascii="Arial" w:eastAsia="Times New Roman" w:hAnsi="Arial" w:cs="Arial"/>
                <w:sz w:val="16"/>
                <w:szCs w:val="16"/>
              </w:rPr>
            </w:pPr>
          </w:p>
        </w:tc>
        <w:tc>
          <w:tcPr>
            <w:tcW w:w="4962" w:type="dxa"/>
            <w:shd w:val="solid" w:color="FFFFFF" w:fill="auto"/>
          </w:tcPr>
          <w:p w14:paraId="2FCE75AA" w14:textId="2558B564" w:rsidR="001603EA" w:rsidRPr="00C64ECB" w:rsidRDefault="001603EA" w:rsidP="001603EA">
            <w:pPr>
              <w:keepNext/>
              <w:keepLines/>
              <w:spacing w:after="0"/>
              <w:rPr>
                <w:rFonts w:ascii="Arial" w:eastAsia="Times New Roman" w:hAnsi="Arial" w:cs="Arial"/>
                <w:sz w:val="16"/>
                <w:szCs w:val="16"/>
              </w:rPr>
            </w:pPr>
            <w:r w:rsidRPr="00C64ECB">
              <w:rPr>
                <w:rFonts w:ascii="Arial" w:eastAsia="Times New Roman" w:hAnsi="Arial" w:cs="Arial"/>
                <w:sz w:val="16"/>
                <w:szCs w:val="16"/>
              </w:rPr>
              <w:t>MCC clean-up based on endorsed R1-1809795</w:t>
            </w:r>
          </w:p>
        </w:tc>
        <w:tc>
          <w:tcPr>
            <w:tcW w:w="708" w:type="dxa"/>
            <w:shd w:val="solid" w:color="FFFFFF" w:fill="auto"/>
          </w:tcPr>
          <w:p w14:paraId="1E84BE58" w14:textId="5A1C7E25" w:rsidR="001603EA" w:rsidRPr="00C64ECB" w:rsidRDefault="001603EA"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0.1.0</w:t>
            </w:r>
          </w:p>
        </w:tc>
      </w:tr>
      <w:tr w:rsidR="00F20E7C" w:rsidRPr="00C64ECB" w14:paraId="5561D5B2" w14:textId="77777777" w:rsidTr="006E7C76">
        <w:tc>
          <w:tcPr>
            <w:tcW w:w="800" w:type="dxa"/>
            <w:shd w:val="solid" w:color="FFFFFF" w:fill="auto"/>
          </w:tcPr>
          <w:p w14:paraId="7473C2F3" w14:textId="53A5C893" w:rsidR="00F20E7C" w:rsidRPr="00C64ECB" w:rsidRDefault="00F20E7C"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2018-10</w:t>
            </w:r>
          </w:p>
        </w:tc>
        <w:tc>
          <w:tcPr>
            <w:tcW w:w="952" w:type="dxa"/>
            <w:shd w:val="solid" w:color="FFFFFF" w:fill="auto"/>
          </w:tcPr>
          <w:p w14:paraId="180AE60E" w14:textId="3228AC30" w:rsidR="00F20E7C" w:rsidRPr="00C64ECB" w:rsidRDefault="00F20E7C" w:rsidP="001603EA">
            <w:pPr>
              <w:keepNext/>
              <w:keepLines/>
              <w:spacing w:after="0"/>
              <w:jc w:val="center"/>
              <w:rPr>
                <w:rFonts w:ascii="Arial" w:hAnsi="Arial" w:cs="Arial"/>
                <w:sz w:val="16"/>
                <w:szCs w:val="16"/>
              </w:rPr>
            </w:pPr>
            <w:r w:rsidRPr="00C64ECB">
              <w:rPr>
                <w:rFonts w:ascii="Arial" w:hAnsi="Arial" w:cs="Arial"/>
                <w:sz w:val="16"/>
                <w:szCs w:val="16"/>
              </w:rPr>
              <w:t>RAN1#94b</w:t>
            </w:r>
          </w:p>
        </w:tc>
        <w:tc>
          <w:tcPr>
            <w:tcW w:w="990" w:type="dxa"/>
            <w:shd w:val="solid" w:color="FFFFFF" w:fill="auto"/>
          </w:tcPr>
          <w:p w14:paraId="752871A3" w14:textId="72AD5780" w:rsidR="00F20E7C" w:rsidRPr="00C64ECB" w:rsidRDefault="00F20E7C"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R1-1811910</w:t>
            </w:r>
          </w:p>
        </w:tc>
        <w:tc>
          <w:tcPr>
            <w:tcW w:w="377" w:type="dxa"/>
            <w:shd w:val="solid" w:color="FFFFFF" w:fill="auto"/>
          </w:tcPr>
          <w:p w14:paraId="2B9C7027" w14:textId="77777777" w:rsidR="00F20E7C" w:rsidRPr="00C64ECB" w:rsidRDefault="00F20E7C" w:rsidP="001603EA">
            <w:pPr>
              <w:keepNext/>
              <w:keepLines/>
              <w:spacing w:after="0"/>
              <w:rPr>
                <w:rFonts w:ascii="Arial" w:eastAsia="Times New Roman" w:hAnsi="Arial" w:cs="Arial"/>
                <w:sz w:val="16"/>
                <w:szCs w:val="16"/>
              </w:rPr>
            </w:pPr>
          </w:p>
        </w:tc>
        <w:tc>
          <w:tcPr>
            <w:tcW w:w="425" w:type="dxa"/>
            <w:shd w:val="solid" w:color="FFFFFF" w:fill="auto"/>
          </w:tcPr>
          <w:p w14:paraId="2B875E69" w14:textId="77777777" w:rsidR="00F20E7C" w:rsidRPr="00C64ECB" w:rsidRDefault="00F20E7C" w:rsidP="001603EA">
            <w:pPr>
              <w:keepNext/>
              <w:keepLines/>
              <w:spacing w:after="0"/>
              <w:jc w:val="right"/>
              <w:rPr>
                <w:rFonts w:ascii="Arial" w:eastAsia="Times New Roman" w:hAnsi="Arial" w:cs="Arial"/>
                <w:sz w:val="16"/>
                <w:szCs w:val="16"/>
              </w:rPr>
            </w:pPr>
          </w:p>
        </w:tc>
        <w:tc>
          <w:tcPr>
            <w:tcW w:w="425" w:type="dxa"/>
            <w:shd w:val="solid" w:color="FFFFFF" w:fill="auto"/>
          </w:tcPr>
          <w:p w14:paraId="033DBE9C" w14:textId="77777777" w:rsidR="00F20E7C" w:rsidRPr="00C64ECB" w:rsidRDefault="00F20E7C" w:rsidP="001603EA">
            <w:pPr>
              <w:keepNext/>
              <w:keepLines/>
              <w:spacing w:after="0"/>
              <w:jc w:val="center"/>
              <w:rPr>
                <w:rFonts w:ascii="Arial" w:eastAsia="Times New Roman" w:hAnsi="Arial" w:cs="Arial"/>
                <w:sz w:val="16"/>
                <w:szCs w:val="16"/>
              </w:rPr>
            </w:pPr>
          </w:p>
        </w:tc>
        <w:tc>
          <w:tcPr>
            <w:tcW w:w="4962" w:type="dxa"/>
            <w:shd w:val="solid" w:color="FFFFFF" w:fill="auto"/>
          </w:tcPr>
          <w:p w14:paraId="72C61FB1" w14:textId="4DAEFBCE" w:rsidR="00F20E7C" w:rsidRPr="00C64ECB" w:rsidRDefault="00F20E7C" w:rsidP="001603EA">
            <w:pPr>
              <w:keepNext/>
              <w:keepLines/>
              <w:spacing w:after="0"/>
              <w:rPr>
                <w:rFonts w:ascii="Arial" w:eastAsia="Times New Roman" w:hAnsi="Arial" w:cs="Arial"/>
                <w:sz w:val="16"/>
                <w:szCs w:val="16"/>
              </w:rPr>
            </w:pPr>
            <w:r w:rsidRPr="00C64ECB">
              <w:rPr>
                <w:rFonts w:ascii="Arial" w:eastAsia="Times New Roman" w:hAnsi="Arial" w:cs="Arial"/>
                <w:sz w:val="16"/>
                <w:szCs w:val="16"/>
              </w:rPr>
              <w:t>Update to capture the agreements reached in RAN1 #94</w:t>
            </w:r>
          </w:p>
        </w:tc>
        <w:tc>
          <w:tcPr>
            <w:tcW w:w="708" w:type="dxa"/>
            <w:shd w:val="solid" w:color="FFFFFF" w:fill="auto"/>
          </w:tcPr>
          <w:p w14:paraId="35BAABE9" w14:textId="6DEA8056" w:rsidR="00F20E7C" w:rsidRPr="00C64ECB" w:rsidRDefault="00F20E7C" w:rsidP="001603EA">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0.1.1</w:t>
            </w:r>
          </w:p>
        </w:tc>
      </w:tr>
      <w:tr w:rsidR="009530FE" w:rsidRPr="00C64ECB" w14:paraId="594A7950" w14:textId="77777777" w:rsidTr="006E7C76">
        <w:tc>
          <w:tcPr>
            <w:tcW w:w="800" w:type="dxa"/>
            <w:shd w:val="solid" w:color="FFFFFF" w:fill="auto"/>
          </w:tcPr>
          <w:p w14:paraId="37A36D48" w14:textId="259D7053" w:rsidR="009530FE" w:rsidRPr="00C64ECB" w:rsidRDefault="009530FE" w:rsidP="009530FE">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2018-10</w:t>
            </w:r>
          </w:p>
        </w:tc>
        <w:tc>
          <w:tcPr>
            <w:tcW w:w="952" w:type="dxa"/>
            <w:shd w:val="solid" w:color="FFFFFF" w:fill="auto"/>
          </w:tcPr>
          <w:p w14:paraId="13A43940" w14:textId="23EAD4E7" w:rsidR="009530FE" w:rsidRPr="00C64ECB" w:rsidRDefault="009530FE" w:rsidP="009530FE">
            <w:pPr>
              <w:keepNext/>
              <w:keepLines/>
              <w:spacing w:after="0"/>
              <w:jc w:val="center"/>
              <w:rPr>
                <w:rFonts w:ascii="Arial" w:hAnsi="Arial" w:cs="Arial"/>
                <w:sz w:val="16"/>
                <w:szCs w:val="16"/>
              </w:rPr>
            </w:pPr>
            <w:r w:rsidRPr="00C64ECB">
              <w:rPr>
                <w:rFonts w:ascii="Arial" w:hAnsi="Arial" w:cs="Arial"/>
                <w:sz w:val="16"/>
                <w:szCs w:val="16"/>
              </w:rPr>
              <w:t>RAN1#94b</w:t>
            </w:r>
          </w:p>
        </w:tc>
        <w:tc>
          <w:tcPr>
            <w:tcW w:w="990" w:type="dxa"/>
            <w:shd w:val="solid" w:color="FFFFFF" w:fill="auto"/>
          </w:tcPr>
          <w:p w14:paraId="1E351AC7" w14:textId="0D8848AF" w:rsidR="009530FE" w:rsidRPr="00C64ECB" w:rsidRDefault="009530FE" w:rsidP="009530FE">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R1-18</w:t>
            </w:r>
            <w:r w:rsidR="00DE11DC" w:rsidRPr="00C64ECB">
              <w:rPr>
                <w:rFonts w:ascii="Arial" w:eastAsia="Times New Roman" w:hAnsi="Arial" w:cs="Arial"/>
                <w:sz w:val="16"/>
                <w:szCs w:val="16"/>
              </w:rPr>
              <w:t>12049</w:t>
            </w:r>
          </w:p>
        </w:tc>
        <w:tc>
          <w:tcPr>
            <w:tcW w:w="377" w:type="dxa"/>
            <w:shd w:val="solid" w:color="FFFFFF" w:fill="auto"/>
          </w:tcPr>
          <w:p w14:paraId="7651058D" w14:textId="77777777" w:rsidR="009530FE" w:rsidRPr="00C64ECB" w:rsidRDefault="009530FE" w:rsidP="009530FE">
            <w:pPr>
              <w:keepNext/>
              <w:keepLines/>
              <w:spacing w:after="0"/>
              <w:rPr>
                <w:rFonts w:ascii="Arial" w:eastAsia="Times New Roman" w:hAnsi="Arial" w:cs="Arial"/>
                <w:sz w:val="16"/>
                <w:szCs w:val="16"/>
              </w:rPr>
            </w:pPr>
          </w:p>
        </w:tc>
        <w:tc>
          <w:tcPr>
            <w:tcW w:w="425" w:type="dxa"/>
            <w:shd w:val="solid" w:color="FFFFFF" w:fill="auto"/>
          </w:tcPr>
          <w:p w14:paraId="1D4EFA72" w14:textId="77777777" w:rsidR="009530FE" w:rsidRPr="00C64ECB" w:rsidRDefault="009530FE" w:rsidP="009530FE">
            <w:pPr>
              <w:keepNext/>
              <w:keepLines/>
              <w:spacing w:after="0"/>
              <w:jc w:val="right"/>
              <w:rPr>
                <w:rFonts w:ascii="Arial" w:eastAsia="Times New Roman" w:hAnsi="Arial" w:cs="Arial"/>
                <w:sz w:val="16"/>
                <w:szCs w:val="16"/>
              </w:rPr>
            </w:pPr>
          </w:p>
        </w:tc>
        <w:tc>
          <w:tcPr>
            <w:tcW w:w="425" w:type="dxa"/>
            <w:shd w:val="solid" w:color="FFFFFF" w:fill="auto"/>
          </w:tcPr>
          <w:p w14:paraId="79EAA394" w14:textId="77777777" w:rsidR="009530FE" w:rsidRPr="00C64ECB" w:rsidRDefault="009530FE" w:rsidP="009530FE">
            <w:pPr>
              <w:keepNext/>
              <w:keepLines/>
              <w:spacing w:after="0"/>
              <w:jc w:val="center"/>
              <w:rPr>
                <w:rFonts w:ascii="Arial" w:eastAsia="Times New Roman" w:hAnsi="Arial" w:cs="Arial"/>
                <w:sz w:val="16"/>
                <w:szCs w:val="16"/>
              </w:rPr>
            </w:pPr>
          </w:p>
        </w:tc>
        <w:tc>
          <w:tcPr>
            <w:tcW w:w="4962" w:type="dxa"/>
            <w:shd w:val="solid" w:color="FFFFFF" w:fill="auto"/>
          </w:tcPr>
          <w:p w14:paraId="39925F80" w14:textId="6D1A7471" w:rsidR="009530FE" w:rsidRPr="00C64ECB" w:rsidRDefault="009530FE" w:rsidP="009530FE">
            <w:pPr>
              <w:keepNext/>
              <w:keepLines/>
              <w:spacing w:after="0"/>
              <w:rPr>
                <w:rFonts w:ascii="Arial" w:eastAsia="Times New Roman" w:hAnsi="Arial" w:cs="Arial"/>
                <w:sz w:val="16"/>
                <w:szCs w:val="16"/>
              </w:rPr>
            </w:pPr>
            <w:r w:rsidRPr="00C64ECB">
              <w:rPr>
                <w:rFonts w:ascii="Arial" w:eastAsia="Times New Roman" w:hAnsi="Arial" w:cs="Arial"/>
                <w:sz w:val="16"/>
                <w:szCs w:val="16"/>
              </w:rPr>
              <w:t>Update to capture the agreements reached in RAN1 #94bis, and RAN2 TPs</w:t>
            </w:r>
          </w:p>
        </w:tc>
        <w:tc>
          <w:tcPr>
            <w:tcW w:w="708" w:type="dxa"/>
            <w:shd w:val="solid" w:color="FFFFFF" w:fill="auto"/>
          </w:tcPr>
          <w:p w14:paraId="3F66795B" w14:textId="705899C9" w:rsidR="009530FE" w:rsidRPr="00C64ECB" w:rsidRDefault="009530FE" w:rsidP="009530FE">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0.1.2</w:t>
            </w:r>
          </w:p>
        </w:tc>
      </w:tr>
      <w:bookmarkEnd w:id="15"/>
      <w:tr w:rsidR="006E7C76" w:rsidRPr="00C64ECB" w14:paraId="0D12A4C4" w14:textId="77777777" w:rsidTr="006E7C76">
        <w:tc>
          <w:tcPr>
            <w:tcW w:w="800" w:type="dxa"/>
            <w:tcBorders>
              <w:top w:val="single" w:sz="6" w:space="0" w:color="auto"/>
              <w:left w:val="single" w:sz="6" w:space="0" w:color="auto"/>
              <w:bottom w:val="single" w:sz="6" w:space="0" w:color="auto"/>
              <w:right w:val="single" w:sz="6" w:space="0" w:color="auto"/>
            </w:tcBorders>
            <w:shd w:val="solid" w:color="FFFFFF" w:fill="auto"/>
          </w:tcPr>
          <w:p w14:paraId="5C599B46" w14:textId="77777777" w:rsidR="006E7C76" w:rsidRPr="00C64ECB" w:rsidRDefault="006E7C76"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2018-10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A6B34E" w14:textId="77777777" w:rsidR="006E7C76" w:rsidRPr="00C64ECB" w:rsidRDefault="006E7C76" w:rsidP="006E7C76">
            <w:pPr>
              <w:keepNext/>
              <w:keepLines/>
              <w:spacing w:after="0"/>
              <w:jc w:val="center"/>
              <w:rPr>
                <w:rFonts w:ascii="Arial" w:hAnsi="Arial" w:cs="Arial"/>
                <w:sz w:val="16"/>
                <w:szCs w:val="16"/>
              </w:rPr>
            </w:pPr>
            <w:r w:rsidRPr="00C64ECB">
              <w:rPr>
                <w:rFonts w:ascii="Arial" w:hAnsi="Arial" w:cs="Arial"/>
                <w:sz w:val="16"/>
                <w:szCs w:val="16"/>
              </w:rPr>
              <w:t>RAN1#94b</w:t>
            </w:r>
          </w:p>
        </w:tc>
        <w:tc>
          <w:tcPr>
            <w:tcW w:w="990" w:type="dxa"/>
            <w:tcBorders>
              <w:top w:val="single" w:sz="6" w:space="0" w:color="auto"/>
              <w:left w:val="single" w:sz="6" w:space="0" w:color="auto"/>
              <w:bottom w:val="single" w:sz="6" w:space="0" w:color="auto"/>
              <w:right w:val="single" w:sz="6" w:space="0" w:color="auto"/>
            </w:tcBorders>
            <w:shd w:val="solid" w:color="FFFFFF" w:fill="auto"/>
          </w:tcPr>
          <w:p w14:paraId="3A39A03C" w14:textId="6A2C78F7" w:rsidR="006E7C76" w:rsidRPr="00C64ECB" w:rsidRDefault="006E7C76"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R1-1812080</w:t>
            </w:r>
          </w:p>
        </w:tc>
        <w:tc>
          <w:tcPr>
            <w:tcW w:w="377" w:type="dxa"/>
            <w:tcBorders>
              <w:top w:val="single" w:sz="6" w:space="0" w:color="auto"/>
              <w:left w:val="single" w:sz="6" w:space="0" w:color="auto"/>
              <w:bottom w:val="single" w:sz="6" w:space="0" w:color="auto"/>
              <w:right w:val="single" w:sz="6" w:space="0" w:color="auto"/>
            </w:tcBorders>
            <w:shd w:val="solid" w:color="FFFFFF" w:fill="auto"/>
          </w:tcPr>
          <w:p w14:paraId="4FC50306" w14:textId="77777777" w:rsidR="006E7C76" w:rsidRPr="00C64ECB" w:rsidRDefault="006E7C76" w:rsidP="006E7C76">
            <w:pPr>
              <w:keepNext/>
              <w:keepLines/>
              <w:spacing w:after="0"/>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1E63A" w14:textId="77777777" w:rsidR="006E7C76" w:rsidRPr="00C64ECB" w:rsidRDefault="006E7C76" w:rsidP="006E7C76">
            <w:pPr>
              <w:keepNext/>
              <w:keepLines/>
              <w:spacing w:after="0"/>
              <w:jc w:val="right"/>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A323C" w14:textId="77777777" w:rsidR="006E7C76" w:rsidRPr="00C64ECB" w:rsidRDefault="006E7C76" w:rsidP="006E7C76">
            <w:pPr>
              <w:keepNext/>
              <w:keepLines/>
              <w:spacing w:after="0"/>
              <w:jc w:val="center"/>
              <w:rPr>
                <w:rFonts w:ascii="Arial" w:eastAsia="Times New Roman" w:hAnsi="Arial"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26089A" w14:textId="5D83AD0C" w:rsidR="006E7C76" w:rsidRPr="00C64ECB" w:rsidRDefault="006E7C76" w:rsidP="006E7C76">
            <w:pPr>
              <w:keepNext/>
              <w:keepLines/>
              <w:spacing w:after="0"/>
              <w:rPr>
                <w:rFonts w:ascii="Arial" w:eastAsia="Times New Roman" w:hAnsi="Arial" w:cs="Arial"/>
                <w:sz w:val="16"/>
                <w:szCs w:val="16"/>
              </w:rPr>
            </w:pPr>
            <w:r w:rsidRPr="00C64ECB">
              <w:rPr>
                <w:rFonts w:ascii="Arial" w:eastAsia="Times New Roman" w:hAnsi="Arial" w:cs="Arial"/>
                <w:sz w:val="16"/>
                <w:szCs w:val="16"/>
              </w:rPr>
              <w:t>MCC clean-up based on endorsed R1-1812049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24EFDB" w14:textId="2E343E5E" w:rsidR="006E7C76" w:rsidRPr="00C64ECB" w:rsidRDefault="006E7C76"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0.2.0</w:t>
            </w:r>
          </w:p>
        </w:tc>
      </w:tr>
      <w:tr w:rsidR="000468F4" w:rsidRPr="00C64ECB" w14:paraId="7F0B7644" w14:textId="77777777" w:rsidTr="006E7C76">
        <w:tc>
          <w:tcPr>
            <w:tcW w:w="800" w:type="dxa"/>
            <w:tcBorders>
              <w:top w:val="single" w:sz="6" w:space="0" w:color="auto"/>
              <w:left w:val="single" w:sz="6" w:space="0" w:color="auto"/>
              <w:bottom w:val="single" w:sz="6" w:space="0" w:color="auto"/>
              <w:right w:val="single" w:sz="6" w:space="0" w:color="auto"/>
            </w:tcBorders>
            <w:shd w:val="solid" w:color="FFFFFF" w:fill="auto"/>
          </w:tcPr>
          <w:p w14:paraId="74C2B472" w14:textId="57234896" w:rsidR="000468F4" w:rsidRPr="00C64ECB" w:rsidRDefault="000468F4"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2018-11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917006" w14:textId="608FF03E" w:rsidR="000468F4" w:rsidRPr="00C64ECB" w:rsidRDefault="000468F4" w:rsidP="006E7C76">
            <w:pPr>
              <w:keepNext/>
              <w:keepLines/>
              <w:spacing w:after="0"/>
              <w:jc w:val="center"/>
              <w:rPr>
                <w:rFonts w:ascii="Arial" w:hAnsi="Arial" w:cs="Arial"/>
                <w:sz w:val="16"/>
                <w:szCs w:val="16"/>
              </w:rPr>
            </w:pPr>
            <w:r w:rsidRPr="00C64ECB">
              <w:rPr>
                <w:rFonts w:ascii="Arial" w:hAnsi="Arial" w:cs="Arial"/>
                <w:sz w:val="16"/>
                <w:szCs w:val="16"/>
              </w:rPr>
              <w:t>RAN1#95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14:paraId="228384B3" w14:textId="2A845A64" w:rsidR="000468F4" w:rsidRPr="00C64ECB" w:rsidRDefault="000468F4"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R1-181</w:t>
            </w:r>
            <w:r w:rsidR="004E017C" w:rsidRPr="00C64ECB">
              <w:rPr>
                <w:rFonts w:ascii="Arial" w:eastAsia="Times New Roman" w:hAnsi="Arial" w:cs="Arial"/>
                <w:sz w:val="16"/>
                <w:szCs w:val="16"/>
              </w:rPr>
              <w:t>4346</w:t>
            </w:r>
          </w:p>
        </w:tc>
        <w:tc>
          <w:tcPr>
            <w:tcW w:w="377" w:type="dxa"/>
            <w:tcBorders>
              <w:top w:val="single" w:sz="6" w:space="0" w:color="auto"/>
              <w:left w:val="single" w:sz="6" w:space="0" w:color="auto"/>
              <w:bottom w:val="single" w:sz="6" w:space="0" w:color="auto"/>
              <w:right w:val="single" w:sz="6" w:space="0" w:color="auto"/>
            </w:tcBorders>
            <w:shd w:val="solid" w:color="FFFFFF" w:fill="auto"/>
          </w:tcPr>
          <w:p w14:paraId="2A869DDF" w14:textId="77777777" w:rsidR="000468F4" w:rsidRPr="00C64ECB" w:rsidRDefault="000468F4" w:rsidP="006E7C76">
            <w:pPr>
              <w:keepNext/>
              <w:keepLines/>
              <w:spacing w:after="0"/>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33B7F" w14:textId="77777777" w:rsidR="000468F4" w:rsidRPr="00C64ECB" w:rsidRDefault="000468F4" w:rsidP="006E7C76">
            <w:pPr>
              <w:keepNext/>
              <w:keepLines/>
              <w:spacing w:after="0"/>
              <w:jc w:val="right"/>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E358D" w14:textId="77777777" w:rsidR="000468F4" w:rsidRPr="00C64ECB" w:rsidRDefault="000468F4" w:rsidP="006E7C76">
            <w:pPr>
              <w:keepNext/>
              <w:keepLines/>
              <w:spacing w:after="0"/>
              <w:jc w:val="center"/>
              <w:rPr>
                <w:rFonts w:ascii="Arial" w:eastAsia="Times New Roman" w:hAnsi="Arial"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947D3" w14:textId="7DEE0E24" w:rsidR="000468F4" w:rsidRPr="00C64ECB" w:rsidRDefault="000468F4" w:rsidP="006E7C76">
            <w:pPr>
              <w:keepNext/>
              <w:keepLines/>
              <w:spacing w:after="0"/>
              <w:rPr>
                <w:rFonts w:ascii="Arial" w:eastAsia="Times New Roman" w:hAnsi="Arial" w:cs="Arial"/>
                <w:sz w:val="16"/>
                <w:szCs w:val="16"/>
              </w:rPr>
            </w:pPr>
            <w:r w:rsidRPr="00C64ECB">
              <w:rPr>
                <w:rFonts w:ascii="Arial" w:eastAsia="Times New Roman" w:hAnsi="Arial" w:cs="Arial"/>
                <w:sz w:val="16"/>
                <w:szCs w:val="16"/>
              </w:rPr>
              <w:t>Update to capture the agreemensts reached in RAN1 #95,  evaluation results, and RAN2 inputs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954F2E" w14:textId="1A483FB7" w:rsidR="000468F4" w:rsidRPr="00C64ECB" w:rsidRDefault="000468F4"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0.2.1</w:t>
            </w:r>
          </w:p>
        </w:tc>
      </w:tr>
      <w:tr w:rsidR="007A3D00" w:rsidRPr="00C64ECB" w14:paraId="0D644B2D" w14:textId="77777777" w:rsidTr="006E7C76">
        <w:tc>
          <w:tcPr>
            <w:tcW w:w="800" w:type="dxa"/>
            <w:tcBorders>
              <w:top w:val="single" w:sz="6" w:space="0" w:color="auto"/>
              <w:left w:val="single" w:sz="6" w:space="0" w:color="auto"/>
              <w:bottom w:val="single" w:sz="6" w:space="0" w:color="auto"/>
              <w:right w:val="single" w:sz="6" w:space="0" w:color="auto"/>
            </w:tcBorders>
            <w:shd w:val="solid" w:color="FFFFFF" w:fill="auto"/>
          </w:tcPr>
          <w:p w14:paraId="75A08A22" w14:textId="61A6F307" w:rsidR="007A3D00" w:rsidRPr="00C64ECB" w:rsidRDefault="007A3D00"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2018-11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E03071" w14:textId="50899D5A" w:rsidR="007A3D00" w:rsidRPr="00C64ECB" w:rsidRDefault="007A3D00" w:rsidP="006E7C76">
            <w:pPr>
              <w:keepNext/>
              <w:keepLines/>
              <w:spacing w:after="0"/>
              <w:jc w:val="center"/>
              <w:rPr>
                <w:rFonts w:ascii="Arial" w:hAnsi="Arial" w:cs="Arial"/>
                <w:sz w:val="16"/>
                <w:szCs w:val="16"/>
              </w:rPr>
            </w:pPr>
            <w:r w:rsidRPr="00C64ECB">
              <w:rPr>
                <w:rFonts w:ascii="Arial" w:hAnsi="Arial" w:cs="Arial"/>
                <w:sz w:val="16"/>
                <w:szCs w:val="16"/>
              </w:rPr>
              <w:t>RAN1#95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14:paraId="75AF1CB7" w14:textId="072AFA89" w:rsidR="007A3D00" w:rsidRPr="00C64ECB" w:rsidRDefault="007A3D00"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R1-18</w:t>
            </w:r>
            <w:r w:rsidR="00817B5B" w:rsidRPr="00C64ECB">
              <w:rPr>
                <w:rFonts w:ascii="Arial" w:eastAsia="Times New Roman" w:hAnsi="Arial" w:cs="Arial"/>
                <w:sz w:val="16"/>
                <w:szCs w:val="16"/>
              </w:rPr>
              <w:t>14385</w:t>
            </w:r>
          </w:p>
        </w:tc>
        <w:tc>
          <w:tcPr>
            <w:tcW w:w="377" w:type="dxa"/>
            <w:tcBorders>
              <w:top w:val="single" w:sz="6" w:space="0" w:color="auto"/>
              <w:left w:val="single" w:sz="6" w:space="0" w:color="auto"/>
              <w:bottom w:val="single" w:sz="6" w:space="0" w:color="auto"/>
              <w:right w:val="single" w:sz="6" w:space="0" w:color="auto"/>
            </w:tcBorders>
            <w:shd w:val="solid" w:color="FFFFFF" w:fill="auto"/>
          </w:tcPr>
          <w:p w14:paraId="59ED8520" w14:textId="77777777" w:rsidR="007A3D00" w:rsidRPr="00C64ECB" w:rsidRDefault="007A3D00" w:rsidP="006E7C76">
            <w:pPr>
              <w:keepNext/>
              <w:keepLines/>
              <w:spacing w:after="0"/>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90527" w14:textId="77777777" w:rsidR="007A3D00" w:rsidRPr="00C64ECB" w:rsidRDefault="007A3D00" w:rsidP="006E7C76">
            <w:pPr>
              <w:keepNext/>
              <w:keepLines/>
              <w:spacing w:after="0"/>
              <w:jc w:val="right"/>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76B8E" w14:textId="77777777" w:rsidR="007A3D00" w:rsidRPr="00C64ECB" w:rsidRDefault="007A3D00" w:rsidP="006E7C76">
            <w:pPr>
              <w:keepNext/>
              <w:keepLines/>
              <w:spacing w:after="0"/>
              <w:jc w:val="center"/>
              <w:rPr>
                <w:rFonts w:ascii="Arial" w:eastAsia="Times New Roman" w:hAnsi="Arial"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15FDE1" w14:textId="0C725141" w:rsidR="007A3D00" w:rsidRPr="00C64ECB" w:rsidRDefault="007A3D00" w:rsidP="006E7C76">
            <w:pPr>
              <w:keepNext/>
              <w:keepLines/>
              <w:spacing w:after="0"/>
              <w:rPr>
                <w:rFonts w:ascii="Arial" w:eastAsia="Times New Roman" w:hAnsi="Arial" w:cs="Arial"/>
                <w:sz w:val="16"/>
                <w:szCs w:val="16"/>
              </w:rPr>
            </w:pPr>
            <w:r w:rsidRPr="00C64ECB">
              <w:rPr>
                <w:rFonts w:ascii="Arial" w:eastAsia="Times New Roman" w:hAnsi="Arial" w:cs="Arial"/>
                <w:sz w:val="16"/>
                <w:szCs w:val="16"/>
              </w:rPr>
              <w:t>Merge in RAN4 imput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B96BAB" w14:textId="5D7117D5" w:rsidR="007A3D00" w:rsidRPr="00C64ECB" w:rsidRDefault="007A3D00" w:rsidP="006E7C76">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0.</w:t>
            </w:r>
            <w:r w:rsidR="00817B5B" w:rsidRPr="00C64ECB">
              <w:rPr>
                <w:rFonts w:ascii="Arial" w:eastAsia="Times New Roman" w:hAnsi="Arial" w:cs="Arial"/>
                <w:sz w:val="16"/>
                <w:szCs w:val="16"/>
              </w:rPr>
              <w:t>3.0</w:t>
            </w:r>
          </w:p>
        </w:tc>
      </w:tr>
      <w:tr w:rsidR="00BF767B" w:rsidRPr="00C64ECB" w14:paraId="26CF3432" w14:textId="77777777" w:rsidTr="00BF767B">
        <w:tc>
          <w:tcPr>
            <w:tcW w:w="800" w:type="dxa"/>
            <w:tcBorders>
              <w:top w:val="single" w:sz="6" w:space="0" w:color="auto"/>
              <w:left w:val="single" w:sz="6" w:space="0" w:color="auto"/>
              <w:bottom w:val="single" w:sz="6" w:space="0" w:color="auto"/>
              <w:right w:val="single" w:sz="6" w:space="0" w:color="auto"/>
            </w:tcBorders>
            <w:shd w:val="solid" w:color="FFFFFF" w:fill="auto"/>
          </w:tcPr>
          <w:p w14:paraId="0D6A4E2B" w14:textId="77777777" w:rsidR="00BF767B" w:rsidRPr="00C64ECB" w:rsidRDefault="00BF767B" w:rsidP="00BF767B">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2018-11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457447" w14:textId="31144DA0" w:rsidR="00BF767B" w:rsidRPr="00C64ECB" w:rsidRDefault="00BF767B" w:rsidP="00BF767B">
            <w:pPr>
              <w:keepNext/>
              <w:keepLines/>
              <w:spacing w:after="0"/>
              <w:jc w:val="center"/>
              <w:rPr>
                <w:rFonts w:ascii="Arial" w:hAnsi="Arial" w:cs="Arial"/>
                <w:sz w:val="16"/>
                <w:szCs w:val="16"/>
              </w:rPr>
            </w:pPr>
            <w:r w:rsidRPr="00C64ECB">
              <w:rPr>
                <w:rFonts w:ascii="Arial" w:hAnsi="Arial" w:cs="Arial"/>
                <w:sz w:val="16"/>
                <w:szCs w:val="16"/>
              </w:rPr>
              <w:t>RAN1#95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14:paraId="7D8AAB85" w14:textId="2511A623" w:rsidR="00BF767B" w:rsidRPr="00C64ECB" w:rsidRDefault="00BF767B" w:rsidP="00BF767B">
            <w:pPr>
              <w:keepNext/>
              <w:keepLines/>
              <w:spacing w:after="0"/>
              <w:jc w:val="center"/>
              <w:rPr>
                <w:rFonts w:ascii="Arial" w:eastAsia="Times New Roman" w:hAnsi="Arial" w:cs="Arial"/>
                <w:sz w:val="16"/>
                <w:szCs w:val="16"/>
              </w:rPr>
            </w:pPr>
            <w:r w:rsidRPr="00C64ECB">
              <w:rPr>
                <w:rFonts w:ascii="Arial" w:eastAsia="Times New Roman" w:hAnsi="Arial" w:cs="Arial"/>
                <w:sz w:val="16"/>
                <w:szCs w:val="16"/>
              </w:rPr>
              <w:t>R1-181438</w:t>
            </w:r>
            <w:r>
              <w:rPr>
                <w:rFonts w:ascii="Arial" w:eastAsia="Times New Roman" w:hAnsi="Arial" w:cs="Arial"/>
                <w:sz w:val="16"/>
                <w:szCs w:val="16"/>
              </w:rPr>
              <w:t>6</w:t>
            </w:r>
          </w:p>
        </w:tc>
        <w:tc>
          <w:tcPr>
            <w:tcW w:w="377" w:type="dxa"/>
            <w:tcBorders>
              <w:top w:val="single" w:sz="6" w:space="0" w:color="auto"/>
              <w:left w:val="single" w:sz="6" w:space="0" w:color="auto"/>
              <w:bottom w:val="single" w:sz="6" w:space="0" w:color="auto"/>
              <w:right w:val="single" w:sz="6" w:space="0" w:color="auto"/>
            </w:tcBorders>
            <w:shd w:val="solid" w:color="FFFFFF" w:fill="auto"/>
          </w:tcPr>
          <w:p w14:paraId="4BE30474" w14:textId="77777777" w:rsidR="00BF767B" w:rsidRPr="00C64ECB" w:rsidRDefault="00BF767B" w:rsidP="00BF767B">
            <w:pPr>
              <w:keepNext/>
              <w:keepLines/>
              <w:spacing w:after="0"/>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EA8C9" w14:textId="77777777" w:rsidR="00BF767B" w:rsidRPr="00C64ECB" w:rsidRDefault="00BF767B" w:rsidP="00BF767B">
            <w:pPr>
              <w:keepNext/>
              <w:keepLines/>
              <w:spacing w:after="0"/>
              <w:jc w:val="right"/>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0E0E46" w14:textId="77777777" w:rsidR="00BF767B" w:rsidRPr="00C64ECB" w:rsidRDefault="00BF767B" w:rsidP="00BF767B">
            <w:pPr>
              <w:keepNext/>
              <w:keepLines/>
              <w:spacing w:after="0"/>
              <w:jc w:val="center"/>
              <w:rPr>
                <w:rFonts w:ascii="Arial" w:eastAsia="Times New Roman" w:hAnsi="Arial"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465271" w14:textId="4F8BE716" w:rsidR="00BF767B" w:rsidRPr="00C64ECB" w:rsidRDefault="00BF767B" w:rsidP="00BF767B">
            <w:pPr>
              <w:keepNext/>
              <w:keepLines/>
              <w:spacing w:after="0"/>
              <w:rPr>
                <w:rFonts w:ascii="Arial" w:eastAsia="Times New Roman" w:hAnsi="Arial" w:cs="Arial"/>
                <w:sz w:val="16"/>
                <w:szCs w:val="16"/>
              </w:rPr>
            </w:pPr>
            <w:r w:rsidRPr="00C64ECB">
              <w:rPr>
                <w:rFonts w:ascii="Arial" w:eastAsia="Times New Roman" w:hAnsi="Arial" w:cs="Arial"/>
                <w:sz w:val="16"/>
                <w:szCs w:val="16"/>
              </w:rPr>
              <w:t>MCC clean-up based on endorsed R1-181</w:t>
            </w:r>
            <w:r>
              <w:rPr>
                <w:rFonts w:ascii="Arial" w:eastAsia="Times New Roman" w:hAnsi="Arial" w:cs="Arial"/>
                <w:sz w:val="16"/>
                <w:szCs w:val="16"/>
              </w:rPr>
              <w:t>4385 – for one-step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5B00A" w14:textId="52A10226" w:rsidR="00BF767B" w:rsidRPr="00C64ECB" w:rsidRDefault="00BF767B" w:rsidP="00BF767B">
            <w:pPr>
              <w:keepNext/>
              <w:keepLines/>
              <w:spacing w:after="0"/>
              <w:jc w:val="center"/>
              <w:rPr>
                <w:rFonts w:ascii="Arial" w:eastAsia="Times New Roman" w:hAnsi="Arial" w:cs="Arial"/>
                <w:sz w:val="16"/>
                <w:szCs w:val="16"/>
              </w:rPr>
            </w:pPr>
            <w:r>
              <w:rPr>
                <w:rFonts w:ascii="Arial" w:eastAsia="Times New Roman" w:hAnsi="Arial" w:cs="Arial"/>
                <w:sz w:val="16"/>
                <w:szCs w:val="16"/>
              </w:rPr>
              <w:t>1.0</w:t>
            </w:r>
            <w:r w:rsidRPr="00C64ECB">
              <w:rPr>
                <w:rFonts w:ascii="Arial" w:eastAsia="Times New Roman" w:hAnsi="Arial" w:cs="Arial"/>
                <w:sz w:val="16"/>
                <w:szCs w:val="16"/>
              </w:rPr>
              <w:t>.0</w:t>
            </w:r>
          </w:p>
        </w:tc>
      </w:tr>
      <w:tr w:rsidR="007C48A5" w:rsidRPr="00C64ECB" w14:paraId="22DF3E53" w14:textId="77777777" w:rsidTr="00BF767B">
        <w:tc>
          <w:tcPr>
            <w:tcW w:w="800" w:type="dxa"/>
            <w:tcBorders>
              <w:top w:val="single" w:sz="6" w:space="0" w:color="auto"/>
              <w:left w:val="single" w:sz="6" w:space="0" w:color="auto"/>
              <w:bottom w:val="single" w:sz="6" w:space="0" w:color="auto"/>
              <w:right w:val="single" w:sz="6" w:space="0" w:color="auto"/>
            </w:tcBorders>
            <w:shd w:val="solid" w:color="FFFFFF" w:fill="auto"/>
          </w:tcPr>
          <w:p w14:paraId="47224392" w14:textId="58A6F4C5" w:rsidR="007C48A5" w:rsidRPr="00C64ECB" w:rsidRDefault="007C48A5" w:rsidP="00BF767B">
            <w:pPr>
              <w:keepNext/>
              <w:keepLines/>
              <w:spacing w:after="0"/>
              <w:jc w:val="center"/>
              <w:rPr>
                <w:rFonts w:ascii="Arial" w:eastAsia="Times New Roman" w:hAnsi="Arial" w:cs="Arial"/>
                <w:sz w:val="16"/>
                <w:szCs w:val="16"/>
              </w:rPr>
            </w:pPr>
            <w:r>
              <w:rPr>
                <w:rFonts w:ascii="Arial" w:eastAsia="Times New Roman" w:hAnsi="Arial" w:cs="Arial"/>
                <w:sz w:val="16"/>
                <w:szCs w:val="16"/>
              </w:rPr>
              <w:t>2018-1</w:t>
            </w:r>
            <w:r w:rsidR="009456E2">
              <w:rPr>
                <w:rFonts w:ascii="Arial" w:eastAsia="Times New Roman" w:hAnsi="Arial" w:cs="Arial"/>
                <w:sz w:val="16"/>
                <w:szCs w:val="16"/>
              </w:rPr>
              <w:t>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871075" w14:textId="03417C62" w:rsidR="007C48A5" w:rsidRPr="00C64ECB" w:rsidRDefault="007C48A5" w:rsidP="00BF767B">
            <w:pPr>
              <w:keepNext/>
              <w:keepLines/>
              <w:spacing w:after="0"/>
              <w:jc w:val="center"/>
              <w:rPr>
                <w:rFonts w:ascii="Arial" w:hAnsi="Arial" w:cs="Arial"/>
                <w:sz w:val="16"/>
                <w:szCs w:val="16"/>
              </w:rPr>
            </w:pPr>
            <w:r>
              <w:rPr>
                <w:rFonts w:ascii="Arial" w:hAnsi="Arial" w:cs="Arial"/>
                <w:sz w:val="16"/>
                <w:szCs w:val="16"/>
              </w:rPr>
              <w:t>RAN1#95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14:paraId="408F18DE" w14:textId="21A0C4F4" w:rsidR="007C48A5" w:rsidRPr="00C64ECB" w:rsidRDefault="009456E2" w:rsidP="00BF767B">
            <w:pPr>
              <w:keepNext/>
              <w:keepLines/>
              <w:spacing w:after="0"/>
              <w:jc w:val="center"/>
              <w:rPr>
                <w:rFonts w:ascii="Arial" w:eastAsia="Times New Roman" w:hAnsi="Arial" w:cs="Arial"/>
                <w:sz w:val="16"/>
                <w:szCs w:val="16"/>
              </w:rPr>
            </w:pPr>
            <w:r>
              <w:rPr>
                <w:rFonts w:ascii="Arial" w:eastAsia="Times New Roman" w:hAnsi="Arial" w:cs="Arial"/>
                <w:sz w:val="16"/>
                <w:szCs w:val="16"/>
              </w:rPr>
              <w:t>R1-1814408</w:t>
            </w:r>
          </w:p>
        </w:tc>
        <w:tc>
          <w:tcPr>
            <w:tcW w:w="377" w:type="dxa"/>
            <w:tcBorders>
              <w:top w:val="single" w:sz="6" w:space="0" w:color="auto"/>
              <w:left w:val="single" w:sz="6" w:space="0" w:color="auto"/>
              <w:bottom w:val="single" w:sz="6" w:space="0" w:color="auto"/>
              <w:right w:val="single" w:sz="6" w:space="0" w:color="auto"/>
            </w:tcBorders>
            <w:shd w:val="solid" w:color="FFFFFF" w:fill="auto"/>
          </w:tcPr>
          <w:p w14:paraId="4CB9D79C" w14:textId="77777777" w:rsidR="007C48A5" w:rsidRPr="00C64ECB" w:rsidRDefault="007C48A5" w:rsidP="00BF767B">
            <w:pPr>
              <w:keepNext/>
              <w:keepLines/>
              <w:spacing w:after="0"/>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16925" w14:textId="77777777" w:rsidR="007C48A5" w:rsidRPr="00C64ECB" w:rsidRDefault="007C48A5" w:rsidP="00BF767B">
            <w:pPr>
              <w:keepNext/>
              <w:keepLines/>
              <w:spacing w:after="0"/>
              <w:jc w:val="right"/>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B7261" w14:textId="77777777" w:rsidR="007C48A5" w:rsidRPr="00C64ECB" w:rsidRDefault="007C48A5" w:rsidP="00BF767B">
            <w:pPr>
              <w:keepNext/>
              <w:keepLines/>
              <w:spacing w:after="0"/>
              <w:jc w:val="center"/>
              <w:rPr>
                <w:rFonts w:ascii="Arial" w:eastAsia="Times New Roman" w:hAnsi="Arial"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DFC715" w14:textId="49CF0B47" w:rsidR="007C48A5" w:rsidRPr="00C64ECB" w:rsidRDefault="007C48A5" w:rsidP="00BF767B">
            <w:pPr>
              <w:keepNext/>
              <w:keepLines/>
              <w:spacing w:after="0"/>
              <w:rPr>
                <w:rFonts w:ascii="Arial" w:eastAsia="Times New Roman" w:hAnsi="Arial" w:cs="Arial"/>
                <w:sz w:val="16"/>
                <w:szCs w:val="16"/>
              </w:rPr>
            </w:pPr>
            <w:r>
              <w:rPr>
                <w:rFonts w:ascii="Arial" w:eastAsia="Times New Roman" w:hAnsi="Arial" w:cs="Arial"/>
                <w:sz w:val="16"/>
                <w:szCs w:val="16"/>
              </w:rPr>
              <w:t xml:space="preserve">Remove outdated </w:t>
            </w:r>
            <w:r w:rsidR="00A62DAC">
              <w:rPr>
                <w:rFonts w:ascii="Arial" w:eastAsia="Times New Roman" w:hAnsi="Arial" w:cs="Arial"/>
                <w:sz w:val="16"/>
                <w:szCs w:val="16"/>
              </w:rPr>
              <w:t>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55449" w14:textId="0BAB6F26" w:rsidR="007C48A5" w:rsidRDefault="007C48A5" w:rsidP="00BF767B">
            <w:pPr>
              <w:keepNext/>
              <w:keepLines/>
              <w:spacing w:after="0"/>
              <w:jc w:val="center"/>
              <w:rPr>
                <w:rFonts w:ascii="Arial" w:eastAsia="Times New Roman" w:hAnsi="Arial" w:cs="Arial"/>
                <w:sz w:val="16"/>
                <w:szCs w:val="16"/>
              </w:rPr>
            </w:pPr>
            <w:r>
              <w:rPr>
                <w:rFonts w:ascii="Arial" w:eastAsia="Times New Roman" w:hAnsi="Arial" w:cs="Arial"/>
                <w:sz w:val="16"/>
                <w:szCs w:val="16"/>
              </w:rPr>
              <w:t>1.</w:t>
            </w:r>
            <w:r w:rsidR="009456E2">
              <w:rPr>
                <w:rFonts w:ascii="Arial" w:eastAsia="Times New Roman" w:hAnsi="Arial" w:cs="Arial"/>
                <w:sz w:val="16"/>
                <w:szCs w:val="16"/>
              </w:rPr>
              <w:t>1.0</w:t>
            </w:r>
          </w:p>
        </w:tc>
      </w:tr>
      <w:tr w:rsidR="009E4168" w:rsidRPr="00C64ECB" w14:paraId="318EF727" w14:textId="77777777" w:rsidTr="009E4168">
        <w:tc>
          <w:tcPr>
            <w:tcW w:w="800" w:type="dxa"/>
            <w:tcBorders>
              <w:top w:val="single" w:sz="6" w:space="0" w:color="auto"/>
              <w:left w:val="single" w:sz="6" w:space="0" w:color="auto"/>
              <w:bottom w:val="single" w:sz="6" w:space="0" w:color="auto"/>
              <w:right w:val="single" w:sz="6" w:space="0" w:color="auto"/>
            </w:tcBorders>
            <w:shd w:val="solid" w:color="FFFFFF" w:fill="auto"/>
          </w:tcPr>
          <w:p w14:paraId="36280D64" w14:textId="77777777" w:rsidR="009E4168" w:rsidRPr="00C64ECB" w:rsidRDefault="009E4168" w:rsidP="007E7D5F">
            <w:pPr>
              <w:keepNext/>
              <w:keepLines/>
              <w:spacing w:after="0"/>
              <w:jc w:val="center"/>
              <w:rPr>
                <w:rFonts w:ascii="Arial" w:eastAsia="Times New Roman" w:hAnsi="Arial" w:cs="Arial"/>
                <w:sz w:val="16"/>
                <w:szCs w:val="16"/>
              </w:rPr>
            </w:pPr>
            <w:r>
              <w:rPr>
                <w:rFonts w:ascii="Arial" w:eastAsia="Times New Roman" w:hAnsi="Arial" w:cs="Arial"/>
                <w:sz w:val="16"/>
                <w:szCs w:val="16"/>
              </w:rPr>
              <w:t>2018-12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9673BE" w14:textId="0DF629DB" w:rsidR="009E4168" w:rsidRPr="00C64ECB" w:rsidRDefault="009E4168" w:rsidP="007E7D5F">
            <w:pPr>
              <w:keepNext/>
              <w:keepLines/>
              <w:spacing w:after="0"/>
              <w:jc w:val="center"/>
              <w:rPr>
                <w:rFonts w:ascii="Arial" w:hAnsi="Arial" w:cs="Arial"/>
                <w:sz w:val="16"/>
                <w:szCs w:val="16"/>
              </w:rPr>
            </w:pPr>
            <w:r>
              <w:rPr>
                <w:rFonts w:ascii="Arial" w:hAnsi="Arial" w:cs="Arial"/>
                <w:sz w:val="16"/>
                <w:szCs w:val="16"/>
              </w:rPr>
              <w:t>RAN#82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14:paraId="5BE325A0" w14:textId="71DE1BFF" w:rsidR="009E4168" w:rsidRPr="00C64ECB" w:rsidRDefault="009E4168" w:rsidP="007E7D5F">
            <w:pPr>
              <w:keepNext/>
              <w:keepLines/>
              <w:spacing w:after="0"/>
              <w:jc w:val="center"/>
              <w:rPr>
                <w:rFonts w:ascii="Arial" w:eastAsia="Times New Roman" w:hAnsi="Arial" w:cs="Arial"/>
                <w:sz w:val="16"/>
                <w:szCs w:val="16"/>
              </w:rPr>
            </w:pPr>
          </w:p>
        </w:tc>
        <w:tc>
          <w:tcPr>
            <w:tcW w:w="377" w:type="dxa"/>
            <w:tcBorders>
              <w:top w:val="single" w:sz="6" w:space="0" w:color="auto"/>
              <w:left w:val="single" w:sz="6" w:space="0" w:color="auto"/>
              <w:bottom w:val="single" w:sz="6" w:space="0" w:color="auto"/>
              <w:right w:val="single" w:sz="6" w:space="0" w:color="auto"/>
            </w:tcBorders>
            <w:shd w:val="solid" w:color="FFFFFF" w:fill="auto"/>
          </w:tcPr>
          <w:p w14:paraId="342750A7" w14:textId="77777777" w:rsidR="009E4168" w:rsidRPr="00C64ECB" w:rsidRDefault="009E4168" w:rsidP="007E7D5F">
            <w:pPr>
              <w:keepNext/>
              <w:keepLines/>
              <w:spacing w:after="0"/>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DF53A" w14:textId="77777777" w:rsidR="009E4168" w:rsidRPr="00C64ECB" w:rsidRDefault="009E4168" w:rsidP="007E7D5F">
            <w:pPr>
              <w:keepNext/>
              <w:keepLines/>
              <w:spacing w:after="0"/>
              <w:jc w:val="right"/>
              <w:rPr>
                <w:rFonts w:ascii="Arial" w:eastAsia="Times New Roman"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594C0" w14:textId="77777777" w:rsidR="009E4168" w:rsidRPr="00C64ECB" w:rsidRDefault="009E4168" w:rsidP="007E7D5F">
            <w:pPr>
              <w:keepNext/>
              <w:keepLines/>
              <w:spacing w:after="0"/>
              <w:jc w:val="center"/>
              <w:rPr>
                <w:rFonts w:ascii="Arial" w:eastAsia="Times New Roman" w:hAnsi="Arial"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E86C0E" w14:textId="2014FC46" w:rsidR="009E4168" w:rsidRPr="00C64ECB" w:rsidRDefault="009E4168" w:rsidP="007E7D5F">
            <w:pPr>
              <w:keepNext/>
              <w:keepLines/>
              <w:spacing w:after="0"/>
              <w:rPr>
                <w:rFonts w:ascii="Arial" w:eastAsia="Times New Roman" w:hAnsi="Arial" w:cs="Arial"/>
                <w:sz w:val="16"/>
                <w:szCs w:val="16"/>
              </w:rPr>
            </w:pPr>
            <w:r>
              <w:rPr>
                <w:rFonts w:ascii="Arial" w:eastAsia="Times New Roman" w:hAnsi="Arial" w:cs="Arial"/>
                <w:sz w:val="16"/>
                <w:szCs w:val="16"/>
              </w:rPr>
              <w:t>Following RAN#82 decision, Rel-16 specification goes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63AEA" w14:textId="59331992" w:rsidR="009E4168" w:rsidRDefault="009E4168" w:rsidP="007E7D5F">
            <w:pPr>
              <w:keepNext/>
              <w:keepLines/>
              <w:spacing w:after="0"/>
              <w:jc w:val="center"/>
              <w:rPr>
                <w:rFonts w:ascii="Arial" w:eastAsia="Times New Roman" w:hAnsi="Arial" w:cs="Arial"/>
                <w:sz w:val="16"/>
                <w:szCs w:val="16"/>
              </w:rPr>
            </w:pPr>
            <w:r>
              <w:rPr>
                <w:rFonts w:ascii="Arial" w:eastAsia="Times New Roman" w:hAnsi="Arial" w:cs="Arial"/>
                <w:sz w:val="16"/>
                <w:szCs w:val="16"/>
              </w:rPr>
              <w:t>16.0.0</w:t>
            </w:r>
          </w:p>
        </w:tc>
      </w:tr>
    </w:tbl>
    <w:p w14:paraId="088A947B" w14:textId="77777777" w:rsidR="001603EA" w:rsidRPr="00C64ECB" w:rsidRDefault="001603EA" w:rsidP="001603EA">
      <w:pPr>
        <w:rPr>
          <w:rFonts w:eastAsia="Times New Roman"/>
        </w:rPr>
      </w:pPr>
    </w:p>
    <w:sectPr w:rsidR="001603EA" w:rsidRPr="00C64ECB" w:rsidSect="006A0267">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C6705" w14:textId="77777777" w:rsidR="00863F30" w:rsidRDefault="00863F30">
      <w:r>
        <w:separator/>
      </w:r>
    </w:p>
  </w:endnote>
  <w:endnote w:type="continuationSeparator" w:id="0">
    <w:p w14:paraId="5DE0C9D6" w14:textId="77777777" w:rsidR="00863F30" w:rsidRDefault="0086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altName w:val="Sylfaen"/>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KaiTi_GB2312">
    <w:altName w:val="Microsoft YaHei"/>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v5.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BD3B" w14:textId="77777777" w:rsidR="001A0DD8" w:rsidRDefault="001A0DD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1D6FC" w14:textId="77777777" w:rsidR="00863F30" w:rsidRDefault="00863F30">
      <w:r>
        <w:separator/>
      </w:r>
    </w:p>
  </w:footnote>
  <w:footnote w:type="continuationSeparator" w:id="0">
    <w:p w14:paraId="72C7EE8F" w14:textId="77777777" w:rsidR="00863F30" w:rsidRDefault="00863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FD62A" w14:textId="162FF7A9" w:rsidR="001A0DD8" w:rsidRDefault="001A0DD8">
    <w:pPr>
      <w:pStyle w:val="Header"/>
      <w:framePr w:wrap="auto" w:vAnchor="text" w:hAnchor="margin" w:xAlign="right" w:y="1"/>
      <w:widowControl/>
    </w:pPr>
    <w:r>
      <w:fldChar w:fldCharType="begin"/>
    </w:r>
    <w:r>
      <w:instrText xml:space="preserve"> STYLEREF ZA </w:instrText>
    </w:r>
    <w:r>
      <w:fldChar w:fldCharType="separate"/>
    </w:r>
    <w:r w:rsidR="004C4B0A">
      <w:t>3GPP TR 38.889 V16.0.0 (2018-12)</w:t>
    </w:r>
    <w:r>
      <w:fldChar w:fldCharType="end"/>
    </w:r>
  </w:p>
  <w:p w14:paraId="1A27BB3D" w14:textId="6B665141" w:rsidR="001A0DD8" w:rsidRDefault="001A0DD8">
    <w:pPr>
      <w:pStyle w:val="Header"/>
      <w:framePr w:wrap="auto" w:vAnchor="text" w:hAnchor="margin" w:xAlign="center" w:y="1"/>
      <w:widowControl/>
    </w:pPr>
    <w:r>
      <w:fldChar w:fldCharType="begin"/>
    </w:r>
    <w:r>
      <w:instrText xml:space="preserve"> PAGE </w:instrText>
    </w:r>
    <w:r>
      <w:fldChar w:fldCharType="separate"/>
    </w:r>
    <w:r>
      <w:t>64</w:t>
    </w:r>
    <w:r>
      <w:fldChar w:fldCharType="end"/>
    </w:r>
  </w:p>
  <w:p w14:paraId="0146CC8F" w14:textId="3E419987" w:rsidR="001A0DD8" w:rsidRDefault="001A0DD8">
    <w:pPr>
      <w:pStyle w:val="Header"/>
      <w:framePr w:wrap="auto" w:vAnchor="text" w:hAnchor="margin" w:y="1"/>
      <w:widowControl/>
    </w:pPr>
    <w:r>
      <w:fldChar w:fldCharType="begin"/>
    </w:r>
    <w:r>
      <w:instrText xml:space="preserve"> STYLEREF ZGSM </w:instrText>
    </w:r>
    <w:r>
      <w:fldChar w:fldCharType="separate"/>
    </w:r>
    <w:r w:rsidR="004C4B0A">
      <w:t>Release 1</w:t>
    </w:r>
    <w:r>
      <w:fldChar w:fldCharType="end"/>
    </w:r>
  </w:p>
  <w:p w14:paraId="142242AC" w14:textId="77777777" w:rsidR="001A0DD8" w:rsidRDefault="001A0DD8">
    <w:pPr>
      <w:pStyle w:val="Header"/>
    </w:pPr>
  </w:p>
  <w:p w14:paraId="01648739" w14:textId="77777777" w:rsidR="001A0DD8" w:rsidRDefault="001A0D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797"/>
    <w:multiLevelType w:val="hybridMultilevel"/>
    <w:tmpl w:val="3716A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E80544"/>
    <w:multiLevelType w:val="hybridMultilevel"/>
    <w:tmpl w:val="161C8FFE"/>
    <w:lvl w:ilvl="0" w:tplc="B10C86A0">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3" w15:restartNumberingAfterBreak="0">
    <w:nsid w:val="0AE51BA7"/>
    <w:multiLevelType w:val="hybridMultilevel"/>
    <w:tmpl w:val="F91A0B54"/>
    <w:lvl w:ilvl="0" w:tplc="FD8EC69C">
      <w:start w:val="8"/>
      <w:numFmt w:val="bullet"/>
      <w:lvlText w:val="-"/>
      <w:lvlJc w:val="left"/>
      <w:pPr>
        <w:ind w:left="644" w:hanging="360"/>
      </w:pPr>
      <w:rPr>
        <w:rFonts w:ascii="Times New Roman" w:eastAsia="SimSu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CE85393"/>
    <w:multiLevelType w:val="hybridMultilevel"/>
    <w:tmpl w:val="D3F4C3DC"/>
    <w:lvl w:ilvl="0" w:tplc="6D1EAA36">
      <w:start w:val="7"/>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6B73BA"/>
    <w:multiLevelType w:val="multilevel"/>
    <w:tmpl w:val="116B73BA"/>
    <w:lvl w:ilvl="0">
      <w:start w:val="1"/>
      <w:numFmt w:val="decimal"/>
      <w:pStyle w:val="ListNumber3"/>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2D51F26"/>
    <w:multiLevelType w:val="hybridMultilevel"/>
    <w:tmpl w:val="87729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810F3E"/>
    <w:multiLevelType w:val="hybridMultilevel"/>
    <w:tmpl w:val="C062E430"/>
    <w:lvl w:ilvl="0" w:tplc="21BCB40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F0E1C"/>
    <w:multiLevelType w:val="hybridMultilevel"/>
    <w:tmpl w:val="647A18A6"/>
    <w:lvl w:ilvl="0" w:tplc="41A26C82">
      <w:start w:val="1"/>
      <w:numFmt w:val="bullet"/>
      <w:pStyle w:val="bullet"/>
      <w:lvlText w:val=""/>
      <w:lvlJc w:val="left"/>
      <w:pPr>
        <w:ind w:left="45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01FD2"/>
    <w:multiLevelType w:val="multilevel"/>
    <w:tmpl w:val="2FB01FD2"/>
    <w:lvl w:ilvl="0">
      <w:start w:val="1"/>
      <w:numFmt w:val="decimal"/>
      <w:pStyle w:val="ListNumber4"/>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AB7EAB"/>
    <w:multiLevelType w:val="hybridMultilevel"/>
    <w:tmpl w:val="5D2278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15:restartNumberingAfterBreak="0">
    <w:nsid w:val="42FE570A"/>
    <w:multiLevelType w:val="multilevel"/>
    <w:tmpl w:val="14EE52BA"/>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14" w15:restartNumberingAfterBreak="0">
    <w:nsid w:val="4F2D3CBA"/>
    <w:multiLevelType w:val="hybridMultilevel"/>
    <w:tmpl w:val="C08E980C"/>
    <w:lvl w:ilvl="0" w:tplc="76E83986">
      <w:start w:val="1"/>
      <w:numFmt w:val="lowerLetter"/>
      <w:pStyle w:val="BL"/>
      <w:lvlText w:val="%1)"/>
      <w:lvlJc w:val="left"/>
      <w:pPr>
        <w:tabs>
          <w:tab w:val="num" w:pos="737"/>
        </w:tabs>
        <w:ind w:left="737" w:hanging="453"/>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E16AE6"/>
    <w:multiLevelType w:val="multilevel"/>
    <w:tmpl w:val="51E16AE6"/>
    <w:lvl w:ilvl="0">
      <w:start w:val="1"/>
      <w:numFmt w:val="bullet"/>
      <w:pStyle w:val="Bullet0"/>
      <w:lvlText w:val=""/>
      <w:lvlJc w:val="left"/>
      <w:pPr>
        <w:tabs>
          <w:tab w:val="num" w:pos="928"/>
        </w:tabs>
        <w:ind w:left="928"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3C0D34"/>
    <w:multiLevelType w:val="hybridMultilevel"/>
    <w:tmpl w:val="F3966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67208C9"/>
    <w:multiLevelType w:val="hybridMultilevel"/>
    <w:tmpl w:val="0846E7F0"/>
    <w:lvl w:ilvl="0" w:tplc="82044CB2">
      <w:start w:val="1"/>
      <w:numFmt w:val="decimal"/>
      <w:lvlText w:val="Configuration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6C0327"/>
    <w:multiLevelType w:val="multilevel"/>
    <w:tmpl w:val="576C0327"/>
    <w:lvl w:ilvl="0">
      <w:start w:val="1"/>
      <w:numFmt w:val="decimal"/>
      <w:pStyle w:val="Figure"/>
      <w:lvlText w:val="Figure %1."/>
      <w:lvlJc w:val="left"/>
      <w:pPr>
        <w:tabs>
          <w:tab w:val="num" w:pos="144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9026A47"/>
    <w:multiLevelType w:val="hybridMultilevel"/>
    <w:tmpl w:val="FE6631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0" w15:restartNumberingAfterBreak="0">
    <w:nsid w:val="69411F32"/>
    <w:multiLevelType w:val="hybridMultilevel"/>
    <w:tmpl w:val="BAD296F2"/>
    <w:lvl w:ilvl="0" w:tplc="B10C86A0">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A092676"/>
    <w:multiLevelType w:val="hybridMultilevel"/>
    <w:tmpl w:val="61520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A2025"/>
    <w:multiLevelType w:val="multilevel"/>
    <w:tmpl w:val="6CEA2025"/>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3"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4" w15:restartNumberingAfterBreak="0">
    <w:nsid w:val="759D619B"/>
    <w:multiLevelType w:val="hybridMultilevel"/>
    <w:tmpl w:val="EC8A1756"/>
    <w:lvl w:ilvl="0" w:tplc="B10C86A0">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C330F5"/>
    <w:multiLevelType w:val="multilevel"/>
    <w:tmpl w:val="7BC330F5"/>
    <w:lvl w:ilvl="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267F9C"/>
    <w:multiLevelType w:val="hybridMultilevel"/>
    <w:tmpl w:val="DE40EF92"/>
    <w:lvl w:ilvl="0" w:tplc="04090003">
      <w:start w:val="1"/>
      <w:numFmt w:val="bullet"/>
      <w:pStyle w:val="StatementBody"/>
      <w:lvlText w:val="o"/>
      <w:lvlJc w:val="left"/>
      <w:pPr>
        <w:ind w:left="1074" w:hanging="360"/>
      </w:pPr>
      <w:rPr>
        <w:rFonts w:ascii="Courier New" w:hAnsi="Courier New" w:cs="Courier New"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F6DE3358">
      <w:numFmt w:val="bullet"/>
      <w:lvlText w:val="-"/>
      <w:lvlJc w:val="left"/>
      <w:pPr>
        <w:ind w:left="3234" w:hanging="360"/>
      </w:pPr>
      <w:rPr>
        <w:rFonts w:ascii="Times New Roman" w:eastAsia="MS Mincho" w:hAnsi="Times New Roman" w:cs="Times New Roman" w:hint="default"/>
      </w:rPr>
    </w:lvl>
    <w:lvl w:ilvl="4" w:tplc="04090003">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7D004440"/>
    <w:multiLevelType w:val="hybridMultilevel"/>
    <w:tmpl w:val="1E8A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0775C"/>
    <w:multiLevelType w:val="hybridMultilevel"/>
    <w:tmpl w:val="6B0E6CF2"/>
    <w:lvl w:ilvl="0" w:tplc="34A4F7FE">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7FBC1D75"/>
    <w:multiLevelType w:val="multilevel"/>
    <w:tmpl w:val="7FBC1D75"/>
    <w:lvl w:ilvl="0">
      <w:start w:val="6"/>
      <w:numFmt w:val="decimal"/>
      <w:pStyle w:val="JK-text-simpledoc"/>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abstractNumId w:val="5"/>
  </w:num>
  <w:num w:numId="2">
    <w:abstractNumId w:val="9"/>
  </w:num>
  <w:num w:numId="3">
    <w:abstractNumId w:val="10"/>
  </w:num>
  <w:num w:numId="4">
    <w:abstractNumId w:val="23"/>
  </w:num>
  <w:num w:numId="5">
    <w:abstractNumId w:val="25"/>
  </w:num>
  <w:num w:numId="6">
    <w:abstractNumId w:val="18"/>
  </w:num>
  <w:num w:numId="7">
    <w:abstractNumId w:val="22"/>
  </w:num>
  <w:num w:numId="8">
    <w:abstractNumId w:val="15"/>
  </w:num>
  <w:num w:numId="9">
    <w:abstractNumId w:val="29"/>
  </w:num>
  <w:num w:numId="10">
    <w:abstractNumId w:val="8"/>
  </w:num>
  <w:num w:numId="11">
    <w:abstractNumId w:val="3"/>
  </w:num>
  <w:num w:numId="12">
    <w:abstractNumId w:val="28"/>
  </w:num>
  <w:num w:numId="13">
    <w:abstractNumId w:val="0"/>
  </w:num>
  <w:num w:numId="14">
    <w:abstractNumId w:val="21"/>
  </w:num>
  <w:num w:numId="15">
    <w:abstractNumId w:val="24"/>
  </w:num>
  <w:num w:numId="16">
    <w:abstractNumId w:val="20"/>
  </w:num>
  <w:num w:numId="17">
    <w:abstractNumId w:val="1"/>
  </w:num>
  <w:num w:numId="18">
    <w:abstractNumId w:val="12"/>
  </w:num>
  <w:num w:numId="19">
    <w:abstractNumId w:val="16"/>
  </w:num>
  <w:num w:numId="20">
    <w:abstractNumId w:val="4"/>
  </w:num>
  <w:num w:numId="21">
    <w:abstractNumId w:val="17"/>
  </w:num>
  <w:num w:numId="22">
    <w:abstractNumId w:val="2"/>
  </w:num>
  <w:num w:numId="23">
    <w:abstractNumId w:val="13"/>
  </w:num>
  <w:num w:numId="24">
    <w:abstractNumId w:val="11"/>
  </w:num>
  <w:num w:numId="25">
    <w:abstractNumId w:val="14"/>
  </w:num>
  <w:num w:numId="26">
    <w:abstractNumId w:val="26"/>
  </w:num>
  <w:num w:numId="27">
    <w:abstractNumId w:val="27"/>
  </w:num>
  <w:num w:numId="28">
    <w:abstractNumId w:val="7"/>
  </w:num>
  <w:num w:numId="29">
    <w:abstractNumId w:val="6"/>
  </w:num>
  <w:num w:numId="30">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hideSpellingErrors/>
  <w:hideGrammatical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1729"/>
    <w:rsid w:val="00006578"/>
    <w:rsid w:val="00007360"/>
    <w:rsid w:val="000073CF"/>
    <w:rsid w:val="00007759"/>
    <w:rsid w:val="00010B7C"/>
    <w:rsid w:val="00010CD8"/>
    <w:rsid w:val="000134A8"/>
    <w:rsid w:val="00016B62"/>
    <w:rsid w:val="00017D3F"/>
    <w:rsid w:val="00020F31"/>
    <w:rsid w:val="0002163A"/>
    <w:rsid w:val="00030E5A"/>
    <w:rsid w:val="00031C1D"/>
    <w:rsid w:val="00031F65"/>
    <w:rsid w:val="00033C08"/>
    <w:rsid w:val="00043D2A"/>
    <w:rsid w:val="00043FB2"/>
    <w:rsid w:val="000440A5"/>
    <w:rsid w:val="000446BD"/>
    <w:rsid w:val="0004632F"/>
    <w:rsid w:val="000468F4"/>
    <w:rsid w:val="00046F53"/>
    <w:rsid w:val="00063EE1"/>
    <w:rsid w:val="0007339A"/>
    <w:rsid w:val="000746A8"/>
    <w:rsid w:val="000767FF"/>
    <w:rsid w:val="00081F54"/>
    <w:rsid w:val="000858DD"/>
    <w:rsid w:val="000860EA"/>
    <w:rsid w:val="00087659"/>
    <w:rsid w:val="000878EB"/>
    <w:rsid w:val="00092F94"/>
    <w:rsid w:val="00093BFB"/>
    <w:rsid w:val="00093D7C"/>
    <w:rsid w:val="00093E7E"/>
    <w:rsid w:val="0009452B"/>
    <w:rsid w:val="000A0047"/>
    <w:rsid w:val="000A1208"/>
    <w:rsid w:val="000A3765"/>
    <w:rsid w:val="000A7681"/>
    <w:rsid w:val="000A7C5A"/>
    <w:rsid w:val="000B1E17"/>
    <w:rsid w:val="000B60D8"/>
    <w:rsid w:val="000C23AB"/>
    <w:rsid w:val="000C4CE8"/>
    <w:rsid w:val="000C7A74"/>
    <w:rsid w:val="000D0BD9"/>
    <w:rsid w:val="000D590D"/>
    <w:rsid w:val="000D5C5C"/>
    <w:rsid w:val="000D6CFC"/>
    <w:rsid w:val="000D789D"/>
    <w:rsid w:val="000D7B67"/>
    <w:rsid w:val="000E0DB5"/>
    <w:rsid w:val="000E62E8"/>
    <w:rsid w:val="000F1383"/>
    <w:rsid w:val="000F1E77"/>
    <w:rsid w:val="000F1E85"/>
    <w:rsid w:val="000F5A40"/>
    <w:rsid w:val="000F5D07"/>
    <w:rsid w:val="00101804"/>
    <w:rsid w:val="001047FC"/>
    <w:rsid w:val="001053A9"/>
    <w:rsid w:val="0011003B"/>
    <w:rsid w:val="0011054E"/>
    <w:rsid w:val="00111F88"/>
    <w:rsid w:val="00113D8F"/>
    <w:rsid w:val="00115A72"/>
    <w:rsid w:val="0012313A"/>
    <w:rsid w:val="00124184"/>
    <w:rsid w:val="00124270"/>
    <w:rsid w:val="00126681"/>
    <w:rsid w:val="00126789"/>
    <w:rsid w:val="001322E7"/>
    <w:rsid w:val="00145E45"/>
    <w:rsid w:val="0014767E"/>
    <w:rsid w:val="0015116F"/>
    <w:rsid w:val="00153528"/>
    <w:rsid w:val="0015740D"/>
    <w:rsid w:val="001575FB"/>
    <w:rsid w:val="001603EA"/>
    <w:rsid w:val="0016307B"/>
    <w:rsid w:val="00163DA5"/>
    <w:rsid w:val="0016462B"/>
    <w:rsid w:val="001659F8"/>
    <w:rsid w:val="00172F7A"/>
    <w:rsid w:val="00182F64"/>
    <w:rsid w:val="00183569"/>
    <w:rsid w:val="001843DE"/>
    <w:rsid w:val="00184F15"/>
    <w:rsid w:val="00187650"/>
    <w:rsid w:val="00190624"/>
    <w:rsid w:val="00191407"/>
    <w:rsid w:val="001A08AA"/>
    <w:rsid w:val="001A0DD8"/>
    <w:rsid w:val="001A4FB5"/>
    <w:rsid w:val="001A7BE3"/>
    <w:rsid w:val="001B263B"/>
    <w:rsid w:val="001B7B03"/>
    <w:rsid w:val="001C02E9"/>
    <w:rsid w:val="001C2934"/>
    <w:rsid w:val="001C2E15"/>
    <w:rsid w:val="001C316B"/>
    <w:rsid w:val="001C6038"/>
    <w:rsid w:val="001D37C7"/>
    <w:rsid w:val="001D3EF9"/>
    <w:rsid w:val="001D4B67"/>
    <w:rsid w:val="001D6A20"/>
    <w:rsid w:val="001E069F"/>
    <w:rsid w:val="001E2B5F"/>
    <w:rsid w:val="001E3E67"/>
    <w:rsid w:val="001E686A"/>
    <w:rsid w:val="001E734C"/>
    <w:rsid w:val="001F0C15"/>
    <w:rsid w:val="001F0F7E"/>
    <w:rsid w:val="001F52D4"/>
    <w:rsid w:val="00200090"/>
    <w:rsid w:val="00201D20"/>
    <w:rsid w:val="00201DD1"/>
    <w:rsid w:val="002027C9"/>
    <w:rsid w:val="002063FF"/>
    <w:rsid w:val="00206794"/>
    <w:rsid w:val="00207DEA"/>
    <w:rsid w:val="002138EA"/>
    <w:rsid w:val="0021459E"/>
    <w:rsid w:val="00214FBD"/>
    <w:rsid w:val="00215769"/>
    <w:rsid w:val="00217F0B"/>
    <w:rsid w:val="00222897"/>
    <w:rsid w:val="002234A9"/>
    <w:rsid w:val="0022638A"/>
    <w:rsid w:val="002319A5"/>
    <w:rsid w:val="00233FE5"/>
    <w:rsid w:val="00235394"/>
    <w:rsid w:val="002513DB"/>
    <w:rsid w:val="00251B0F"/>
    <w:rsid w:val="00253DDC"/>
    <w:rsid w:val="00253EF9"/>
    <w:rsid w:val="002615F4"/>
    <w:rsid w:val="0026179F"/>
    <w:rsid w:val="00261CED"/>
    <w:rsid w:val="0026255B"/>
    <w:rsid w:val="00265054"/>
    <w:rsid w:val="00265BDD"/>
    <w:rsid w:val="002667FC"/>
    <w:rsid w:val="00267E27"/>
    <w:rsid w:val="00273AEE"/>
    <w:rsid w:val="00274221"/>
    <w:rsid w:val="00274E1A"/>
    <w:rsid w:val="0027701E"/>
    <w:rsid w:val="00280582"/>
    <w:rsid w:val="00281486"/>
    <w:rsid w:val="00282213"/>
    <w:rsid w:val="002931B9"/>
    <w:rsid w:val="00293F12"/>
    <w:rsid w:val="00294C75"/>
    <w:rsid w:val="00296F85"/>
    <w:rsid w:val="002A0441"/>
    <w:rsid w:val="002A099C"/>
    <w:rsid w:val="002A0BEE"/>
    <w:rsid w:val="002A1037"/>
    <w:rsid w:val="002A214D"/>
    <w:rsid w:val="002A586C"/>
    <w:rsid w:val="002B2AC8"/>
    <w:rsid w:val="002B4790"/>
    <w:rsid w:val="002B4804"/>
    <w:rsid w:val="002B4EBE"/>
    <w:rsid w:val="002B6E0E"/>
    <w:rsid w:val="002C1083"/>
    <w:rsid w:val="002C17E1"/>
    <w:rsid w:val="002D057D"/>
    <w:rsid w:val="002D1F64"/>
    <w:rsid w:val="002E1D5C"/>
    <w:rsid w:val="002E1DD1"/>
    <w:rsid w:val="002E2BEC"/>
    <w:rsid w:val="002E7265"/>
    <w:rsid w:val="002F4093"/>
    <w:rsid w:val="002F4B91"/>
    <w:rsid w:val="002F7689"/>
    <w:rsid w:val="00307DAB"/>
    <w:rsid w:val="00310380"/>
    <w:rsid w:val="00312D2D"/>
    <w:rsid w:val="0031407C"/>
    <w:rsid w:val="00314217"/>
    <w:rsid w:val="00316BD1"/>
    <w:rsid w:val="00320916"/>
    <w:rsid w:val="00324F5A"/>
    <w:rsid w:val="00332271"/>
    <w:rsid w:val="00332DBE"/>
    <w:rsid w:val="0033313D"/>
    <w:rsid w:val="003336C0"/>
    <w:rsid w:val="00336289"/>
    <w:rsid w:val="00342D5F"/>
    <w:rsid w:val="00346243"/>
    <w:rsid w:val="003469FF"/>
    <w:rsid w:val="003539D6"/>
    <w:rsid w:val="00354CA6"/>
    <w:rsid w:val="0035680D"/>
    <w:rsid w:val="00357235"/>
    <w:rsid w:val="003630C3"/>
    <w:rsid w:val="003646C4"/>
    <w:rsid w:val="00367724"/>
    <w:rsid w:val="003705F7"/>
    <w:rsid w:val="00375AF9"/>
    <w:rsid w:val="00376CAA"/>
    <w:rsid w:val="00377079"/>
    <w:rsid w:val="003770AC"/>
    <w:rsid w:val="0038025D"/>
    <w:rsid w:val="00381285"/>
    <w:rsid w:val="003871D1"/>
    <w:rsid w:val="00390985"/>
    <w:rsid w:val="00394CA4"/>
    <w:rsid w:val="003A0B03"/>
    <w:rsid w:val="003A1659"/>
    <w:rsid w:val="003A250B"/>
    <w:rsid w:val="003A3DA5"/>
    <w:rsid w:val="003A6763"/>
    <w:rsid w:val="003B4563"/>
    <w:rsid w:val="003C0826"/>
    <w:rsid w:val="003C0F7B"/>
    <w:rsid w:val="003C4445"/>
    <w:rsid w:val="003C4FBC"/>
    <w:rsid w:val="003D1657"/>
    <w:rsid w:val="003D3F5D"/>
    <w:rsid w:val="003D59A5"/>
    <w:rsid w:val="003D6553"/>
    <w:rsid w:val="003E246E"/>
    <w:rsid w:val="003F074D"/>
    <w:rsid w:val="003F11F6"/>
    <w:rsid w:val="003F1699"/>
    <w:rsid w:val="003F2731"/>
    <w:rsid w:val="004018AA"/>
    <w:rsid w:val="00401EE9"/>
    <w:rsid w:val="00401F09"/>
    <w:rsid w:val="00402BCB"/>
    <w:rsid w:val="00402D78"/>
    <w:rsid w:val="00403501"/>
    <w:rsid w:val="00405327"/>
    <w:rsid w:val="00406184"/>
    <w:rsid w:val="004119C3"/>
    <w:rsid w:val="00416637"/>
    <w:rsid w:val="00416D84"/>
    <w:rsid w:val="00426066"/>
    <w:rsid w:val="00431F76"/>
    <w:rsid w:val="00432D9A"/>
    <w:rsid w:val="004346F3"/>
    <w:rsid w:val="004350F2"/>
    <w:rsid w:val="00435299"/>
    <w:rsid w:val="004368F9"/>
    <w:rsid w:val="00441682"/>
    <w:rsid w:val="00442F08"/>
    <w:rsid w:val="004459C2"/>
    <w:rsid w:val="004563E2"/>
    <w:rsid w:val="00460741"/>
    <w:rsid w:val="00461CC9"/>
    <w:rsid w:val="004628E4"/>
    <w:rsid w:val="00463B91"/>
    <w:rsid w:val="00464ECE"/>
    <w:rsid w:val="00473093"/>
    <w:rsid w:val="004730D7"/>
    <w:rsid w:val="00473330"/>
    <w:rsid w:val="004735E4"/>
    <w:rsid w:val="00473766"/>
    <w:rsid w:val="00483426"/>
    <w:rsid w:val="0048398B"/>
    <w:rsid w:val="004848D5"/>
    <w:rsid w:val="004911B4"/>
    <w:rsid w:val="00495657"/>
    <w:rsid w:val="00496ECB"/>
    <w:rsid w:val="004A01D5"/>
    <w:rsid w:val="004A2829"/>
    <w:rsid w:val="004A4C48"/>
    <w:rsid w:val="004A5AC9"/>
    <w:rsid w:val="004B2E56"/>
    <w:rsid w:val="004B3E34"/>
    <w:rsid w:val="004B4261"/>
    <w:rsid w:val="004B5E81"/>
    <w:rsid w:val="004B7584"/>
    <w:rsid w:val="004B7A51"/>
    <w:rsid w:val="004C26CA"/>
    <w:rsid w:val="004C4B0A"/>
    <w:rsid w:val="004D116C"/>
    <w:rsid w:val="004D36A8"/>
    <w:rsid w:val="004D3ACA"/>
    <w:rsid w:val="004D6D2A"/>
    <w:rsid w:val="004E017C"/>
    <w:rsid w:val="004E1043"/>
    <w:rsid w:val="004E5C31"/>
    <w:rsid w:val="004E6391"/>
    <w:rsid w:val="004F4929"/>
    <w:rsid w:val="004F5A07"/>
    <w:rsid w:val="004F63C6"/>
    <w:rsid w:val="0050058B"/>
    <w:rsid w:val="00505BFA"/>
    <w:rsid w:val="0050642E"/>
    <w:rsid w:val="005124A2"/>
    <w:rsid w:val="005150BF"/>
    <w:rsid w:val="00517E80"/>
    <w:rsid w:val="005220B1"/>
    <w:rsid w:val="005226C1"/>
    <w:rsid w:val="00522D85"/>
    <w:rsid w:val="00522F67"/>
    <w:rsid w:val="005234EA"/>
    <w:rsid w:val="0052380C"/>
    <w:rsid w:val="005242A5"/>
    <w:rsid w:val="00526256"/>
    <w:rsid w:val="00532666"/>
    <w:rsid w:val="00536CFD"/>
    <w:rsid w:val="005378EE"/>
    <w:rsid w:val="00537F35"/>
    <w:rsid w:val="0054545A"/>
    <w:rsid w:val="00546F6D"/>
    <w:rsid w:val="005516BA"/>
    <w:rsid w:val="005529FC"/>
    <w:rsid w:val="00554319"/>
    <w:rsid w:val="00554583"/>
    <w:rsid w:val="0055788C"/>
    <w:rsid w:val="005645D2"/>
    <w:rsid w:val="005655D5"/>
    <w:rsid w:val="00567829"/>
    <w:rsid w:val="00567ACD"/>
    <w:rsid w:val="00571BB8"/>
    <w:rsid w:val="00572B77"/>
    <w:rsid w:val="00580185"/>
    <w:rsid w:val="0058253F"/>
    <w:rsid w:val="00590A7B"/>
    <w:rsid w:val="005936E7"/>
    <w:rsid w:val="00593C92"/>
    <w:rsid w:val="0059465D"/>
    <w:rsid w:val="005A0B47"/>
    <w:rsid w:val="005A3DA5"/>
    <w:rsid w:val="005A537B"/>
    <w:rsid w:val="005A5553"/>
    <w:rsid w:val="005B040C"/>
    <w:rsid w:val="005B3529"/>
    <w:rsid w:val="005B38E4"/>
    <w:rsid w:val="005B43AA"/>
    <w:rsid w:val="005C24F7"/>
    <w:rsid w:val="005C26D3"/>
    <w:rsid w:val="005C4510"/>
    <w:rsid w:val="005C4862"/>
    <w:rsid w:val="005D0FA7"/>
    <w:rsid w:val="005D1856"/>
    <w:rsid w:val="005D35C7"/>
    <w:rsid w:val="005D4691"/>
    <w:rsid w:val="005D7D82"/>
    <w:rsid w:val="005E1804"/>
    <w:rsid w:val="005E2F1B"/>
    <w:rsid w:val="005E44CA"/>
    <w:rsid w:val="005E5CAE"/>
    <w:rsid w:val="005E6587"/>
    <w:rsid w:val="005E6C94"/>
    <w:rsid w:val="005F48ED"/>
    <w:rsid w:val="005F4A89"/>
    <w:rsid w:val="005F4E30"/>
    <w:rsid w:val="005F5D53"/>
    <w:rsid w:val="0060460F"/>
    <w:rsid w:val="00605BE7"/>
    <w:rsid w:val="00605F37"/>
    <w:rsid w:val="00606ECB"/>
    <w:rsid w:val="00611A5D"/>
    <w:rsid w:val="00615C5B"/>
    <w:rsid w:val="006166BF"/>
    <w:rsid w:val="00616B56"/>
    <w:rsid w:val="00617651"/>
    <w:rsid w:val="006207C5"/>
    <w:rsid w:val="0062378F"/>
    <w:rsid w:val="00624BE0"/>
    <w:rsid w:val="00625F05"/>
    <w:rsid w:val="0062675C"/>
    <w:rsid w:val="00633C9B"/>
    <w:rsid w:val="006352A3"/>
    <w:rsid w:val="00637086"/>
    <w:rsid w:val="006413C7"/>
    <w:rsid w:val="00643848"/>
    <w:rsid w:val="00643A5C"/>
    <w:rsid w:val="00643C26"/>
    <w:rsid w:val="0064618B"/>
    <w:rsid w:val="00646963"/>
    <w:rsid w:val="00647370"/>
    <w:rsid w:val="00647689"/>
    <w:rsid w:val="006518DA"/>
    <w:rsid w:val="00653200"/>
    <w:rsid w:val="00661A5A"/>
    <w:rsid w:val="00662704"/>
    <w:rsid w:val="0066348E"/>
    <w:rsid w:val="00671990"/>
    <w:rsid w:val="00673EB3"/>
    <w:rsid w:val="006775DD"/>
    <w:rsid w:val="00677761"/>
    <w:rsid w:val="00682DDB"/>
    <w:rsid w:val="00684E35"/>
    <w:rsid w:val="00686EA3"/>
    <w:rsid w:val="00691A0A"/>
    <w:rsid w:val="0069683F"/>
    <w:rsid w:val="00696F28"/>
    <w:rsid w:val="006A0267"/>
    <w:rsid w:val="006A06CA"/>
    <w:rsid w:val="006A1C32"/>
    <w:rsid w:val="006A2250"/>
    <w:rsid w:val="006A3C85"/>
    <w:rsid w:val="006A40BD"/>
    <w:rsid w:val="006B344E"/>
    <w:rsid w:val="006B61AD"/>
    <w:rsid w:val="006B74A7"/>
    <w:rsid w:val="006C0D14"/>
    <w:rsid w:val="006C15AE"/>
    <w:rsid w:val="006C1BE9"/>
    <w:rsid w:val="006C20EE"/>
    <w:rsid w:val="006C25CD"/>
    <w:rsid w:val="006C2E5F"/>
    <w:rsid w:val="006C6C10"/>
    <w:rsid w:val="006D2309"/>
    <w:rsid w:val="006D416F"/>
    <w:rsid w:val="006D701F"/>
    <w:rsid w:val="006E2AC0"/>
    <w:rsid w:val="006E40B9"/>
    <w:rsid w:val="006E6E4D"/>
    <w:rsid w:val="006E78D9"/>
    <w:rsid w:val="006E7C76"/>
    <w:rsid w:val="006F2128"/>
    <w:rsid w:val="006F52C7"/>
    <w:rsid w:val="006F798C"/>
    <w:rsid w:val="00700956"/>
    <w:rsid w:val="00704E12"/>
    <w:rsid w:val="0070646B"/>
    <w:rsid w:val="00706E17"/>
    <w:rsid w:val="00707BB3"/>
    <w:rsid w:val="00710DD9"/>
    <w:rsid w:val="00710ED7"/>
    <w:rsid w:val="00711817"/>
    <w:rsid w:val="0071376E"/>
    <w:rsid w:val="007205F2"/>
    <w:rsid w:val="00720F4B"/>
    <w:rsid w:val="00725E25"/>
    <w:rsid w:val="00730400"/>
    <w:rsid w:val="00734B0B"/>
    <w:rsid w:val="00735733"/>
    <w:rsid w:val="00736618"/>
    <w:rsid w:val="00741D26"/>
    <w:rsid w:val="007430C9"/>
    <w:rsid w:val="007456F8"/>
    <w:rsid w:val="0074701D"/>
    <w:rsid w:val="00747929"/>
    <w:rsid w:val="00751B11"/>
    <w:rsid w:val="0075222C"/>
    <w:rsid w:val="00752912"/>
    <w:rsid w:val="007621A7"/>
    <w:rsid w:val="00762222"/>
    <w:rsid w:val="00766A40"/>
    <w:rsid w:val="00771672"/>
    <w:rsid w:val="00774A21"/>
    <w:rsid w:val="00774F95"/>
    <w:rsid w:val="00775F3A"/>
    <w:rsid w:val="007766CA"/>
    <w:rsid w:val="00776ED3"/>
    <w:rsid w:val="00777B7F"/>
    <w:rsid w:val="007800D1"/>
    <w:rsid w:val="007800E6"/>
    <w:rsid w:val="00783930"/>
    <w:rsid w:val="00792997"/>
    <w:rsid w:val="00792D0D"/>
    <w:rsid w:val="0079455F"/>
    <w:rsid w:val="00794C97"/>
    <w:rsid w:val="00795B31"/>
    <w:rsid w:val="00796DB4"/>
    <w:rsid w:val="00797EA6"/>
    <w:rsid w:val="007A1D2B"/>
    <w:rsid w:val="007A3D00"/>
    <w:rsid w:val="007A3DF0"/>
    <w:rsid w:val="007A406B"/>
    <w:rsid w:val="007A4B80"/>
    <w:rsid w:val="007B12FE"/>
    <w:rsid w:val="007B421B"/>
    <w:rsid w:val="007B6880"/>
    <w:rsid w:val="007C0B5A"/>
    <w:rsid w:val="007C27CB"/>
    <w:rsid w:val="007C48A5"/>
    <w:rsid w:val="007C4FA8"/>
    <w:rsid w:val="007C5256"/>
    <w:rsid w:val="007C7472"/>
    <w:rsid w:val="007D0E69"/>
    <w:rsid w:val="007D1596"/>
    <w:rsid w:val="007D7511"/>
    <w:rsid w:val="007E2053"/>
    <w:rsid w:val="007E35D5"/>
    <w:rsid w:val="007F019E"/>
    <w:rsid w:val="007F04C0"/>
    <w:rsid w:val="007F0E1E"/>
    <w:rsid w:val="007F19CD"/>
    <w:rsid w:val="007F3643"/>
    <w:rsid w:val="007F3C6A"/>
    <w:rsid w:val="007F60A4"/>
    <w:rsid w:val="007F6645"/>
    <w:rsid w:val="00800C75"/>
    <w:rsid w:val="00801752"/>
    <w:rsid w:val="00802ABC"/>
    <w:rsid w:val="008039C8"/>
    <w:rsid w:val="00803D45"/>
    <w:rsid w:val="00806FB5"/>
    <w:rsid w:val="00810B84"/>
    <w:rsid w:val="00811EEB"/>
    <w:rsid w:val="00812188"/>
    <w:rsid w:val="00817B5B"/>
    <w:rsid w:val="00822AAC"/>
    <w:rsid w:val="008230D6"/>
    <w:rsid w:val="00824C13"/>
    <w:rsid w:val="0082521F"/>
    <w:rsid w:val="00825542"/>
    <w:rsid w:val="008302A6"/>
    <w:rsid w:val="00831ADB"/>
    <w:rsid w:val="00832A60"/>
    <w:rsid w:val="0084052A"/>
    <w:rsid w:val="00840C0C"/>
    <w:rsid w:val="00841700"/>
    <w:rsid w:val="00842043"/>
    <w:rsid w:val="00842069"/>
    <w:rsid w:val="00842F77"/>
    <w:rsid w:val="008439F3"/>
    <w:rsid w:val="00844089"/>
    <w:rsid w:val="008448F4"/>
    <w:rsid w:val="0084524A"/>
    <w:rsid w:val="0084558D"/>
    <w:rsid w:val="0085014F"/>
    <w:rsid w:val="008552BD"/>
    <w:rsid w:val="00860357"/>
    <w:rsid w:val="00863F30"/>
    <w:rsid w:val="0087125E"/>
    <w:rsid w:val="00871A9A"/>
    <w:rsid w:val="00872625"/>
    <w:rsid w:val="00873401"/>
    <w:rsid w:val="00875890"/>
    <w:rsid w:val="008861F8"/>
    <w:rsid w:val="00886AA7"/>
    <w:rsid w:val="00890062"/>
    <w:rsid w:val="00895A66"/>
    <w:rsid w:val="00897C7A"/>
    <w:rsid w:val="008A54B1"/>
    <w:rsid w:val="008A7A3F"/>
    <w:rsid w:val="008B5668"/>
    <w:rsid w:val="008C458E"/>
    <w:rsid w:val="008C507F"/>
    <w:rsid w:val="008C60E9"/>
    <w:rsid w:val="008C7E51"/>
    <w:rsid w:val="008D5995"/>
    <w:rsid w:val="008D6C66"/>
    <w:rsid w:val="008E01EA"/>
    <w:rsid w:val="008E41BA"/>
    <w:rsid w:val="008E4664"/>
    <w:rsid w:val="008E7264"/>
    <w:rsid w:val="008E72EE"/>
    <w:rsid w:val="008F534B"/>
    <w:rsid w:val="008F7520"/>
    <w:rsid w:val="008F7726"/>
    <w:rsid w:val="0090072C"/>
    <w:rsid w:val="00902B48"/>
    <w:rsid w:val="00903804"/>
    <w:rsid w:val="00904188"/>
    <w:rsid w:val="009052E1"/>
    <w:rsid w:val="0091650B"/>
    <w:rsid w:val="00920B14"/>
    <w:rsid w:val="009220DC"/>
    <w:rsid w:val="009254B7"/>
    <w:rsid w:val="009276B5"/>
    <w:rsid w:val="0093262E"/>
    <w:rsid w:val="00942386"/>
    <w:rsid w:val="0094285E"/>
    <w:rsid w:val="00943771"/>
    <w:rsid w:val="009456E2"/>
    <w:rsid w:val="00946485"/>
    <w:rsid w:val="0095104C"/>
    <w:rsid w:val="009530FE"/>
    <w:rsid w:val="00953462"/>
    <w:rsid w:val="009622FD"/>
    <w:rsid w:val="00962FAB"/>
    <w:rsid w:val="00963416"/>
    <w:rsid w:val="0096499E"/>
    <w:rsid w:val="009668AF"/>
    <w:rsid w:val="009679B4"/>
    <w:rsid w:val="009751F8"/>
    <w:rsid w:val="00977263"/>
    <w:rsid w:val="009817D4"/>
    <w:rsid w:val="00981991"/>
    <w:rsid w:val="00983910"/>
    <w:rsid w:val="00987785"/>
    <w:rsid w:val="00987F46"/>
    <w:rsid w:val="00993461"/>
    <w:rsid w:val="00994F80"/>
    <w:rsid w:val="009A112C"/>
    <w:rsid w:val="009A4CF4"/>
    <w:rsid w:val="009A5233"/>
    <w:rsid w:val="009B1339"/>
    <w:rsid w:val="009B2FB0"/>
    <w:rsid w:val="009B4A5D"/>
    <w:rsid w:val="009C0727"/>
    <w:rsid w:val="009C0B12"/>
    <w:rsid w:val="009C490C"/>
    <w:rsid w:val="009D3AF8"/>
    <w:rsid w:val="009D4A93"/>
    <w:rsid w:val="009E4168"/>
    <w:rsid w:val="009E519B"/>
    <w:rsid w:val="009F0C75"/>
    <w:rsid w:val="009F1639"/>
    <w:rsid w:val="009F3B06"/>
    <w:rsid w:val="009F72B7"/>
    <w:rsid w:val="009F77D1"/>
    <w:rsid w:val="00A02317"/>
    <w:rsid w:val="00A06F1C"/>
    <w:rsid w:val="00A07A46"/>
    <w:rsid w:val="00A109F6"/>
    <w:rsid w:val="00A12332"/>
    <w:rsid w:val="00A21F56"/>
    <w:rsid w:val="00A238CB"/>
    <w:rsid w:val="00A23A21"/>
    <w:rsid w:val="00A25B67"/>
    <w:rsid w:val="00A27699"/>
    <w:rsid w:val="00A302F9"/>
    <w:rsid w:val="00A3593C"/>
    <w:rsid w:val="00A35945"/>
    <w:rsid w:val="00A372C2"/>
    <w:rsid w:val="00A37811"/>
    <w:rsid w:val="00A41687"/>
    <w:rsid w:val="00A45474"/>
    <w:rsid w:val="00A45FA5"/>
    <w:rsid w:val="00A50076"/>
    <w:rsid w:val="00A52734"/>
    <w:rsid w:val="00A5514E"/>
    <w:rsid w:val="00A56FD0"/>
    <w:rsid w:val="00A5725E"/>
    <w:rsid w:val="00A61145"/>
    <w:rsid w:val="00A62A10"/>
    <w:rsid w:val="00A62DAC"/>
    <w:rsid w:val="00A63640"/>
    <w:rsid w:val="00A63F73"/>
    <w:rsid w:val="00A665F3"/>
    <w:rsid w:val="00A73602"/>
    <w:rsid w:val="00A812B5"/>
    <w:rsid w:val="00A81B15"/>
    <w:rsid w:val="00A84712"/>
    <w:rsid w:val="00A85DBC"/>
    <w:rsid w:val="00A87470"/>
    <w:rsid w:val="00A90754"/>
    <w:rsid w:val="00A90784"/>
    <w:rsid w:val="00A91E46"/>
    <w:rsid w:val="00A92D31"/>
    <w:rsid w:val="00A92E07"/>
    <w:rsid w:val="00A9590F"/>
    <w:rsid w:val="00A9740B"/>
    <w:rsid w:val="00AA3826"/>
    <w:rsid w:val="00AA6F13"/>
    <w:rsid w:val="00AB4FD2"/>
    <w:rsid w:val="00AC09D4"/>
    <w:rsid w:val="00AC31EF"/>
    <w:rsid w:val="00AC4EBE"/>
    <w:rsid w:val="00AC58D0"/>
    <w:rsid w:val="00AC6BE1"/>
    <w:rsid w:val="00AD212F"/>
    <w:rsid w:val="00AD27A7"/>
    <w:rsid w:val="00AD34EE"/>
    <w:rsid w:val="00AD4806"/>
    <w:rsid w:val="00AE199E"/>
    <w:rsid w:val="00AE4089"/>
    <w:rsid w:val="00AF42C7"/>
    <w:rsid w:val="00AF4A15"/>
    <w:rsid w:val="00AF4CEB"/>
    <w:rsid w:val="00AF53EE"/>
    <w:rsid w:val="00AF7198"/>
    <w:rsid w:val="00AF72F4"/>
    <w:rsid w:val="00B0090E"/>
    <w:rsid w:val="00B01666"/>
    <w:rsid w:val="00B01865"/>
    <w:rsid w:val="00B02F48"/>
    <w:rsid w:val="00B04F53"/>
    <w:rsid w:val="00B11515"/>
    <w:rsid w:val="00B21740"/>
    <w:rsid w:val="00B22D2D"/>
    <w:rsid w:val="00B25FDC"/>
    <w:rsid w:val="00B27CD2"/>
    <w:rsid w:val="00B31E31"/>
    <w:rsid w:val="00B3617E"/>
    <w:rsid w:val="00B402A8"/>
    <w:rsid w:val="00B40FD8"/>
    <w:rsid w:val="00B41C60"/>
    <w:rsid w:val="00B4464E"/>
    <w:rsid w:val="00B456AE"/>
    <w:rsid w:val="00B52AE9"/>
    <w:rsid w:val="00B53335"/>
    <w:rsid w:val="00B55D27"/>
    <w:rsid w:val="00B62D2A"/>
    <w:rsid w:val="00B631C2"/>
    <w:rsid w:val="00B64F95"/>
    <w:rsid w:val="00B658E3"/>
    <w:rsid w:val="00B658FC"/>
    <w:rsid w:val="00B67753"/>
    <w:rsid w:val="00B7257D"/>
    <w:rsid w:val="00B74713"/>
    <w:rsid w:val="00B74F74"/>
    <w:rsid w:val="00B77975"/>
    <w:rsid w:val="00B77A43"/>
    <w:rsid w:val="00B80AE1"/>
    <w:rsid w:val="00B8446C"/>
    <w:rsid w:val="00B84C11"/>
    <w:rsid w:val="00B91AA2"/>
    <w:rsid w:val="00B92236"/>
    <w:rsid w:val="00B92649"/>
    <w:rsid w:val="00B939AD"/>
    <w:rsid w:val="00B97D26"/>
    <w:rsid w:val="00B97FE9"/>
    <w:rsid w:val="00BA44FB"/>
    <w:rsid w:val="00BA6A21"/>
    <w:rsid w:val="00BA71F4"/>
    <w:rsid w:val="00BB59F7"/>
    <w:rsid w:val="00BC0130"/>
    <w:rsid w:val="00BC2760"/>
    <w:rsid w:val="00BC3CF8"/>
    <w:rsid w:val="00BC5548"/>
    <w:rsid w:val="00BD1626"/>
    <w:rsid w:val="00BD3EA5"/>
    <w:rsid w:val="00BD6F77"/>
    <w:rsid w:val="00BE02A0"/>
    <w:rsid w:val="00BE3470"/>
    <w:rsid w:val="00BE510A"/>
    <w:rsid w:val="00BE5F08"/>
    <w:rsid w:val="00BF00B0"/>
    <w:rsid w:val="00BF0D66"/>
    <w:rsid w:val="00BF767B"/>
    <w:rsid w:val="00C022AB"/>
    <w:rsid w:val="00C03289"/>
    <w:rsid w:val="00C032FF"/>
    <w:rsid w:val="00C0486B"/>
    <w:rsid w:val="00C074D7"/>
    <w:rsid w:val="00C10637"/>
    <w:rsid w:val="00C10EC7"/>
    <w:rsid w:val="00C12D1A"/>
    <w:rsid w:val="00C14360"/>
    <w:rsid w:val="00C21054"/>
    <w:rsid w:val="00C2573A"/>
    <w:rsid w:val="00C32D69"/>
    <w:rsid w:val="00C40D07"/>
    <w:rsid w:val="00C44F4B"/>
    <w:rsid w:val="00C52DD5"/>
    <w:rsid w:val="00C54DEE"/>
    <w:rsid w:val="00C55266"/>
    <w:rsid w:val="00C60C7F"/>
    <w:rsid w:val="00C61E87"/>
    <w:rsid w:val="00C64114"/>
    <w:rsid w:val="00C64C4D"/>
    <w:rsid w:val="00C64ECB"/>
    <w:rsid w:val="00C6691D"/>
    <w:rsid w:val="00C700C2"/>
    <w:rsid w:val="00C70B27"/>
    <w:rsid w:val="00C7175F"/>
    <w:rsid w:val="00C733E2"/>
    <w:rsid w:val="00C763C3"/>
    <w:rsid w:val="00C92D92"/>
    <w:rsid w:val="00C97217"/>
    <w:rsid w:val="00CA050C"/>
    <w:rsid w:val="00CA10EF"/>
    <w:rsid w:val="00CA3D6F"/>
    <w:rsid w:val="00CA43B4"/>
    <w:rsid w:val="00CB1245"/>
    <w:rsid w:val="00CB2721"/>
    <w:rsid w:val="00CB2D23"/>
    <w:rsid w:val="00CB363F"/>
    <w:rsid w:val="00CC1644"/>
    <w:rsid w:val="00CC3B73"/>
    <w:rsid w:val="00CC518D"/>
    <w:rsid w:val="00CD4E23"/>
    <w:rsid w:val="00CD729A"/>
    <w:rsid w:val="00CD7659"/>
    <w:rsid w:val="00CE3754"/>
    <w:rsid w:val="00CE4090"/>
    <w:rsid w:val="00CE6478"/>
    <w:rsid w:val="00CE7128"/>
    <w:rsid w:val="00CE7352"/>
    <w:rsid w:val="00CF0E05"/>
    <w:rsid w:val="00CF1E2B"/>
    <w:rsid w:val="00D02087"/>
    <w:rsid w:val="00D04823"/>
    <w:rsid w:val="00D04BB8"/>
    <w:rsid w:val="00D0606B"/>
    <w:rsid w:val="00D109E0"/>
    <w:rsid w:val="00D11356"/>
    <w:rsid w:val="00D1314C"/>
    <w:rsid w:val="00D13720"/>
    <w:rsid w:val="00D14DE7"/>
    <w:rsid w:val="00D2297C"/>
    <w:rsid w:val="00D23990"/>
    <w:rsid w:val="00D25C6A"/>
    <w:rsid w:val="00D27B73"/>
    <w:rsid w:val="00D3379C"/>
    <w:rsid w:val="00D41BD0"/>
    <w:rsid w:val="00D446FE"/>
    <w:rsid w:val="00D450D9"/>
    <w:rsid w:val="00D47D45"/>
    <w:rsid w:val="00D520E4"/>
    <w:rsid w:val="00D526C5"/>
    <w:rsid w:val="00D54005"/>
    <w:rsid w:val="00D56419"/>
    <w:rsid w:val="00D57DFA"/>
    <w:rsid w:val="00D64C00"/>
    <w:rsid w:val="00D674D2"/>
    <w:rsid w:val="00D67738"/>
    <w:rsid w:val="00D77337"/>
    <w:rsid w:val="00D81EB2"/>
    <w:rsid w:val="00D84B1E"/>
    <w:rsid w:val="00D95B7B"/>
    <w:rsid w:val="00DA419B"/>
    <w:rsid w:val="00DA4683"/>
    <w:rsid w:val="00DA70C5"/>
    <w:rsid w:val="00DB098A"/>
    <w:rsid w:val="00DB0BCB"/>
    <w:rsid w:val="00DB5C92"/>
    <w:rsid w:val="00DC13C2"/>
    <w:rsid w:val="00DC2611"/>
    <w:rsid w:val="00DC26BB"/>
    <w:rsid w:val="00DC2D95"/>
    <w:rsid w:val="00DC58DD"/>
    <w:rsid w:val="00DD0C2C"/>
    <w:rsid w:val="00DD2C89"/>
    <w:rsid w:val="00DE05ED"/>
    <w:rsid w:val="00DE11DC"/>
    <w:rsid w:val="00DE6E15"/>
    <w:rsid w:val="00DE7ACB"/>
    <w:rsid w:val="00DF12B3"/>
    <w:rsid w:val="00DF1FFA"/>
    <w:rsid w:val="00DF4E16"/>
    <w:rsid w:val="00DF5FEA"/>
    <w:rsid w:val="00E00DDF"/>
    <w:rsid w:val="00E047D7"/>
    <w:rsid w:val="00E04F2B"/>
    <w:rsid w:val="00E059C1"/>
    <w:rsid w:val="00E126D2"/>
    <w:rsid w:val="00E219E7"/>
    <w:rsid w:val="00E221C1"/>
    <w:rsid w:val="00E23E0E"/>
    <w:rsid w:val="00E250B2"/>
    <w:rsid w:val="00E25B2C"/>
    <w:rsid w:val="00E26D12"/>
    <w:rsid w:val="00E30DF7"/>
    <w:rsid w:val="00E327C1"/>
    <w:rsid w:val="00E33484"/>
    <w:rsid w:val="00E4197D"/>
    <w:rsid w:val="00E4430F"/>
    <w:rsid w:val="00E44A41"/>
    <w:rsid w:val="00E44EE2"/>
    <w:rsid w:val="00E466E5"/>
    <w:rsid w:val="00E51100"/>
    <w:rsid w:val="00E52DF6"/>
    <w:rsid w:val="00E542E9"/>
    <w:rsid w:val="00E55E72"/>
    <w:rsid w:val="00E57B61"/>
    <w:rsid w:val="00E57B74"/>
    <w:rsid w:val="00E62D96"/>
    <w:rsid w:val="00E64987"/>
    <w:rsid w:val="00E70B33"/>
    <w:rsid w:val="00E739AD"/>
    <w:rsid w:val="00E76419"/>
    <w:rsid w:val="00E7683E"/>
    <w:rsid w:val="00E80A0A"/>
    <w:rsid w:val="00E80E78"/>
    <w:rsid w:val="00E8347E"/>
    <w:rsid w:val="00E8629F"/>
    <w:rsid w:val="00E86303"/>
    <w:rsid w:val="00E90DDF"/>
    <w:rsid w:val="00E91463"/>
    <w:rsid w:val="00E92AF6"/>
    <w:rsid w:val="00E94483"/>
    <w:rsid w:val="00E958BB"/>
    <w:rsid w:val="00EA2D21"/>
    <w:rsid w:val="00EA3C24"/>
    <w:rsid w:val="00EA6299"/>
    <w:rsid w:val="00EB191C"/>
    <w:rsid w:val="00EB6D01"/>
    <w:rsid w:val="00EC1141"/>
    <w:rsid w:val="00EC2C7C"/>
    <w:rsid w:val="00EC63FB"/>
    <w:rsid w:val="00EC6E74"/>
    <w:rsid w:val="00EC718A"/>
    <w:rsid w:val="00EC7E4A"/>
    <w:rsid w:val="00ED0EAD"/>
    <w:rsid w:val="00ED5C5D"/>
    <w:rsid w:val="00EE2F95"/>
    <w:rsid w:val="00EE3318"/>
    <w:rsid w:val="00EE72AE"/>
    <w:rsid w:val="00EF0296"/>
    <w:rsid w:val="00F001EE"/>
    <w:rsid w:val="00F05AC8"/>
    <w:rsid w:val="00F072D8"/>
    <w:rsid w:val="00F11361"/>
    <w:rsid w:val="00F121F0"/>
    <w:rsid w:val="00F20E7C"/>
    <w:rsid w:val="00F30347"/>
    <w:rsid w:val="00F3087F"/>
    <w:rsid w:val="00F31C4B"/>
    <w:rsid w:val="00F32336"/>
    <w:rsid w:val="00F35970"/>
    <w:rsid w:val="00F37CD5"/>
    <w:rsid w:val="00F40419"/>
    <w:rsid w:val="00F41A7B"/>
    <w:rsid w:val="00F4657C"/>
    <w:rsid w:val="00F467CF"/>
    <w:rsid w:val="00F6236C"/>
    <w:rsid w:val="00F629B4"/>
    <w:rsid w:val="00F6471E"/>
    <w:rsid w:val="00F658CB"/>
    <w:rsid w:val="00F7056A"/>
    <w:rsid w:val="00F748A5"/>
    <w:rsid w:val="00F74FFD"/>
    <w:rsid w:val="00F80ACB"/>
    <w:rsid w:val="00F8158D"/>
    <w:rsid w:val="00F8260F"/>
    <w:rsid w:val="00F86092"/>
    <w:rsid w:val="00F86B85"/>
    <w:rsid w:val="00F90F70"/>
    <w:rsid w:val="00F9208E"/>
    <w:rsid w:val="00F944CE"/>
    <w:rsid w:val="00FA5F08"/>
    <w:rsid w:val="00FB13DD"/>
    <w:rsid w:val="00FB44FD"/>
    <w:rsid w:val="00FC051F"/>
    <w:rsid w:val="00FC66AC"/>
    <w:rsid w:val="00FE4A5E"/>
    <w:rsid w:val="00FE528A"/>
    <w:rsid w:val="00FE5A48"/>
    <w:rsid w:val="00FF3255"/>
    <w:rsid w:val="00FF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221E2"/>
  <w15:chartTrackingRefBased/>
  <w15:docId w15:val="{F8F27105-15B2-4A64-9881-C57F15CC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toc 4" w:uiPriority="39"/>
    <w:lsdException w:name="toc 5" w:uiPriority="39"/>
    <w:lsdException w:name="toc 9" w:uiPriority="39"/>
    <w:lsdException w:name="annotation text" w:uiPriority="99" w:qFormat="1"/>
    <w:lsdException w:name="caption" w:qFormat="1"/>
    <w:lsdException w:name="table of figures" w:uiPriority="99"/>
    <w:lsdException w:name="annotation reference" w:uiPriority="99" w:qFormat="1"/>
    <w:lsdException w:name="List 2" w:uiPriority="99"/>
    <w:lsdException w:name="Title" w:qFormat="1"/>
    <w:lsdException w:name="Subtitle" w:qFormat="1"/>
    <w:lsdException w:name="Hyperlink" w:uiPriority="99"/>
    <w:lsdException w:name="Strong" w:qFormat="1"/>
    <w:lsdException w:name="Emphasis" w:qFormat="1"/>
    <w:lsdException w:name="Normal (Web)" w:uiPriority="99"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2F64"/>
    <w:pPr>
      <w:spacing w:after="180"/>
    </w:pPr>
    <w:rPr>
      <w:lang w:val="en-GB" w:eastAsia="en-US"/>
    </w:rPr>
  </w:style>
  <w:style w:type="paragraph" w:styleId="Heading1">
    <w:name w:val="heading 1"/>
    <w:aliases w:val="NMP Heading 1,H1,h11,h12,h13,h14,h15,h16,app heading 1,l1,Memo Heading 1,Heading 1_a,heading 1,h17,h111,h121,h131,h141,h151,h161,h18,h112,h122,h132,h142,h152,h162,h19,h113,h123,h133,h143,h153,h163,Alt+1,Alt+11,Alt+12,Alt+13"/>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2,Head2A,2,UNDERRUBRIK 1-2,DO NOT USE_h2,h21,H2 Char,h2 Char,heading 2,Header 2,Header2,22,heading2,2nd level,H21,H22,H23,H24,H25,R2,E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 4"/>
    <w:basedOn w:val="Heading3"/>
    <w:next w:val="Normal"/>
    <w:link w:val="Heading4Char"/>
    <w:qFormat/>
    <w:pPr>
      <w:ind w:left="1418" w:hanging="1418"/>
      <w:outlineLvl w:val="3"/>
    </w:pPr>
    <w:rPr>
      <w:sz w:val="24"/>
      <w:lang w:eastAsia="x-none"/>
    </w:rPr>
  </w:style>
  <w:style w:type="paragraph" w:styleId="Heading5">
    <w:name w:val="heading 5"/>
    <w:aliases w:val="h5,Heading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rPr>
      <w:lang w:eastAsia="x-none"/>
    </w:r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Index1">
    <w:name w:val="index 1"/>
    <w:basedOn w:val="Normal"/>
    <w:uiPriority w:val="99"/>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aliases w:val="footer odd,footer,fo,pie de página"/>
    <w:basedOn w:val="Header"/>
    <w:link w:val="FooterChar"/>
    <w:pPr>
      <w:jc w:val="center"/>
    </w:pPr>
    <w:rPr>
      <w:i/>
      <w:lang w:eastAsia="x-none"/>
    </w:rPr>
  </w:style>
  <w:style w:type="character" w:styleId="FootnoteReference">
    <w:name w:val="footnote reference"/>
    <w:aliases w:val="Appel note de bas de p,Footnote Reference/"/>
    <w:rPr>
      <w:b/>
      <w:position w:val="6"/>
      <w:sz w:val="16"/>
    </w:rPr>
  </w:style>
  <w:style w:type="paragraph" w:styleId="FootnoteText">
    <w:name w:val="footnote text"/>
    <w:basedOn w:val="Normal"/>
    <w:link w:val="FootnoteTextChar"/>
    <w:semiHidden/>
    <w:pPr>
      <w:keepLines/>
      <w:spacing w:after="0"/>
      <w:ind w:left="454" w:hanging="454"/>
    </w:pPr>
    <w:rPr>
      <w:sz w:val="16"/>
      <w:lang w:eastAsia="x-none"/>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lang w:eastAsia="x-none"/>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rPr>
      <w:lang w:eastAsia="x-none"/>
    </w:rPr>
  </w:style>
  <w:style w:type="paragraph" w:customStyle="1" w:styleId="TAH">
    <w:name w:val="TAH"/>
    <w:basedOn w:val="TAC"/>
    <w:link w:val="TAHC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har"/>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styleId="ListBullet2">
    <w:name w:val="List Bullet 2"/>
    <w:basedOn w:val="ListBullet"/>
    <w:link w:val="ListBullet2Char"/>
    <w:pPr>
      <w:ind w:left="851"/>
    </w:pPr>
  </w:style>
  <w:style w:type="paragraph" w:styleId="ListBullet">
    <w:name w:val="List Bullet"/>
    <w:basedOn w:val="List"/>
    <w:link w:val="ListBulletCha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link w:val="ListBullet3Char"/>
    <w:pPr>
      <w:ind w:left="1135"/>
    </w:pPr>
  </w:style>
  <w:style w:type="paragraph" w:styleId="List2">
    <w:name w:val="List 2"/>
    <w:basedOn w:val="List"/>
    <w:link w:val="List2Char"/>
    <w:uiPriority w:val="99"/>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1,cap2,cap3,cap4,cap5,cap6,cap7,cap8,cap9,cap10,cap11,cap21,cap31,cap41,cap51,cap61,cap71,cap81,cap91,cap101,cap12,cap22,cap32,cap42,cap52,cap62,cap72,cap82,cap92,cap102,cap13,cap23,cap33,cap43,cap53,cap63,cap73,cap83,cap93,cap103,cap14"/>
    <w:basedOn w:val="Normal"/>
    <w:next w:val="Normal"/>
    <w:link w:val="CaptionChar"/>
    <w:qFormat/>
    <w:pPr>
      <w:spacing w:before="120" w:after="120"/>
    </w:pPr>
    <w:rPr>
      <w:b/>
      <w:lang w:eastAsia="x-none"/>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lang w:eastAsia="x-none"/>
    </w:rPr>
  </w:style>
  <w:style w:type="paragraph" w:styleId="PlainText">
    <w:name w:val="Plain Text"/>
    <w:basedOn w:val="Normal"/>
    <w:link w:val="PlainTextChar"/>
    <w:rPr>
      <w:rFonts w:ascii="Courier New" w:hAnsi="Courier New"/>
      <w:lang w:val="nb-NO" w:eastAsia="x-none"/>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Pr>
      <w:lang w:eastAsia="x-none"/>
    </w:rPr>
  </w:style>
  <w:style w:type="character" w:styleId="CommentReference">
    <w:name w:val="annotation reference"/>
    <w:uiPriority w:val="99"/>
    <w:qFormat/>
    <w:rPr>
      <w:sz w:val="16"/>
    </w:rPr>
  </w:style>
  <w:style w:type="paragraph" w:customStyle="1" w:styleId="Guidance">
    <w:name w:val="Guidance"/>
    <w:basedOn w:val="Normal"/>
    <w:rPr>
      <w:i/>
      <w:color w:val="0000FF"/>
    </w:rPr>
  </w:style>
  <w:style w:type="paragraph" w:styleId="CommentText">
    <w:name w:val="annotation text"/>
    <w:basedOn w:val="Normal"/>
    <w:link w:val="CommentTextChar"/>
    <w:uiPriority w:val="99"/>
    <w:qFormat/>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A37811"/>
    <w:rPr>
      <w:rFonts w:ascii="Arial" w:hAnsi="Arial"/>
      <w:b/>
      <w:noProof/>
      <w:sz w:val="18"/>
      <w:lang w:val="en-GB" w:bidi="ar-SA"/>
    </w:rPr>
  </w:style>
  <w:style w:type="character" w:customStyle="1" w:styleId="FooterChar">
    <w:name w:val="Footer Char"/>
    <w:aliases w:val="footer odd Char,footer Char,fo Char,pie de página Char"/>
    <w:link w:val="Footer"/>
    <w:rsid w:val="00A37811"/>
    <w:rPr>
      <w:rFonts w:ascii="Arial" w:hAnsi="Arial"/>
      <w:b/>
      <w:i/>
      <w:noProof/>
      <w:sz w:val="18"/>
      <w:lang w:val="en-GB"/>
    </w:rPr>
  </w:style>
  <w:style w:type="paragraph" w:styleId="CommentSubject">
    <w:name w:val="annotation subject"/>
    <w:basedOn w:val="CommentText"/>
    <w:next w:val="CommentText"/>
    <w:link w:val="CommentSubjectChar"/>
    <w:rsid w:val="00F74FFD"/>
    <w:rPr>
      <w:b/>
      <w:bCs/>
    </w:rPr>
  </w:style>
  <w:style w:type="character" w:customStyle="1" w:styleId="CommentTextChar">
    <w:name w:val="Comment Text Char"/>
    <w:link w:val="CommentText"/>
    <w:uiPriority w:val="99"/>
    <w:qFormat/>
    <w:rsid w:val="00F74FFD"/>
    <w:rPr>
      <w:lang w:val="en-GB" w:eastAsia="en-US"/>
    </w:rPr>
  </w:style>
  <w:style w:type="character" w:customStyle="1" w:styleId="CommentSubjectChar">
    <w:name w:val="Comment Subject Char"/>
    <w:link w:val="CommentSubject"/>
    <w:rsid w:val="00F74FFD"/>
    <w:rPr>
      <w:b/>
      <w:bCs/>
      <w:lang w:val="en-GB" w:eastAsia="en-US"/>
    </w:rPr>
  </w:style>
  <w:style w:type="paragraph" w:styleId="BalloonText">
    <w:name w:val="Balloon Text"/>
    <w:basedOn w:val="Normal"/>
    <w:link w:val="BalloonTextChar"/>
    <w:rsid w:val="00F74FFD"/>
    <w:pPr>
      <w:spacing w:after="0"/>
    </w:pPr>
    <w:rPr>
      <w:rFonts w:ascii="Tahoma" w:hAnsi="Tahoma"/>
      <w:sz w:val="16"/>
      <w:szCs w:val="16"/>
    </w:rPr>
  </w:style>
  <w:style w:type="character" w:customStyle="1" w:styleId="BalloonTextChar">
    <w:name w:val="Balloon Text Char"/>
    <w:link w:val="BalloonText"/>
    <w:rsid w:val="00F74FFD"/>
    <w:rPr>
      <w:rFonts w:ascii="Tahoma" w:hAnsi="Tahoma" w:cs="Tahoma"/>
      <w:sz w:val="16"/>
      <w:szCs w:val="16"/>
      <w:lang w:val="en-GB" w:eastAsia="en-US"/>
    </w:rPr>
  </w:style>
  <w:style w:type="character" w:styleId="EndnoteReference">
    <w:name w:val="endnote reference"/>
    <w:rsid w:val="003B4563"/>
    <w:rPr>
      <w:vertAlign w:val="superscript"/>
    </w:rPr>
  </w:style>
  <w:style w:type="character" w:styleId="Strong">
    <w:name w:val="Strong"/>
    <w:qFormat/>
    <w:rsid w:val="003B4563"/>
    <w:rPr>
      <w:b/>
      <w:bCs/>
    </w:rPr>
  </w:style>
  <w:style w:type="character" w:styleId="PageNumber">
    <w:name w:val="page number"/>
    <w:rsid w:val="003B4563"/>
  </w:style>
  <w:style w:type="character" w:customStyle="1" w:styleId="GuidanceChar">
    <w:name w:val="Guidance Char"/>
    <w:rsid w:val="003B4563"/>
    <w:rPr>
      <w:i/>
      <w:color w:val="0000FF"/>
      <w:lang w:val="en-GB" w:eastAsia="en-US"/>
    </w:rPr>
  </w:style>
  <w:style w:type="character" w:customStyle="1" w:styleId="TACChar">
    <w:name w:val="TAC Char"/>
    <w:link w:val="TAC"/>
    <w:rsid w:val="003B4563"/>
    <w:rPr>
      <w:rFonts w:ascii="Arial" w:hAnsi="Arial"/>
      <w:sz w:val="18"/>
      <w:lang w:val="en-GB"/>
    </w:rPr>
  </w:style>
  <w:style w:type="character" w:customStyle="1" w:styleId="CharChar8">
    <w:name w:val="Char Char8"/>
    <w:semiHidden/>
    <w:rsid w:val="003B4563"/>
    <w:rPr>
      <w:rFonts w:ascii="Times New Roman" w:hAnsi="Times New Roman"/>
      <w:b/>
      <w:bCs/>
      <w:lang w:val="en-GB" w:eastAsia="en-US"/>
    </w:rPr>
  </w:style>
  <w:style w:type="character" w:customStyle="1" w:styleId="MTEquationSection">
    <w:name w:val="MTEquationSection"/>
    <w:rsid w:val="003B4563"/>
    <w:rPr>
      <w:vanish w:val="0"/>
      <w:color w:val="FF0000"/>
      <w:lang w:eastAsia="en-US"/>
    </w:rPr>
  </w:style>
  <w:style w:type="character" w:customStyle="1" w:styleId="DocumentMapChar">
    <w:name w:val="Document Map Char"/>
    <w:link w:val="DocumentMap"/>
    <w:semiHidden/>
    <w:rsid w:val="003B4563"/>
    <w:rPr>
      <w:rFonts w:ascii="Tahoma" w:hAnsi="Tahoma"/>
      <w:shd w:val="clear" w:color="auto" w:fill="000080"/>
      <w:lang w:val="en-GB"/>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B4563"/>
    <w:rPr>
      <w:rFonts w:ascii="Arial" w:eastAsia="Batang" w:hAnsi="Arial" w:cs="Times New Roman"/>
      <w:b/>
      <w:bCs/>
      <w:i/>
      <w:iCs/>
      <w:sz w:val="28"/>
      <w:szCs w:val="28"/>
      <w:lang w:val="en-GB" w:eastAsia="en-US" w:bidi="ar-SA"/>
    </w:rPr>
  </w:style>
  <w:style w:type="character" w:customStyle="1" w:styleId="EXChar">
    <w:name w:val="EX Char"/>
    <w:link w:val="EX"/>
    <w:rsid w:val="003B4563"/>
    <w:rPr>
      <w:lang w:val="en-GB"/>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B4563"/>
    <w:rPr>
      <w:rFonts w:ascii="Arial" w:hAnsi="Arial"/>
      <w:sz w:val="32"/>
      <w:lang w:val="en-GB" w:eastAsia="en-US" w:bidi="ar-SA"/>
    </w:rPr>
  </w:style>
  <w:style w:type="character" w:customStyle="1" w:styleId="BodyText3Char">
    <w:name w:val="Body Text 3 Char"/>
    <w:link w:val="BodyText3"/>
    <w:rsid w:val="003B4563"/>
    <w:rPr>
      <w:b/>
      <w:i/>
    </w:rPr>
  </w:style>
  <w:style w:type="character" w:customStyle="1" w:styleId="BodyTextIndentChar">
    <w:name w:val="Body Text Indent Char"/>
    <w:link w:val="BodyTextIndent"/>
    <w:rsid w:val="003B4563"/>
    <w:rPr>
      <w:i/>
      <w:sz w:val="22"/>
      <w:lang w:val="en-GB"/>
    </w:rPr>
  </w:style>
  <w:style w:type="character" w:customStyle="1" w:styleId="capChar2">
    <w:name w:val="cap Char2"/>
    <w:aliases w:val="cap Char Char2,Caption Char Char1,Caption Char1 Char Char1,cap Char Char1 Char1,Caption Char Char1 Char Char1,cap Char2 Char Char Char1"/>
    <w:rsid w:val="003B4563"/>
    <w:rPr>
      <w:b/>
      <w:lang w:val="en-GB" w:eastAsia="en-GB" w:bidi="ar-SA"/>
    </w:rPr>
  </w:style>
  <w:style w:type="character" w:customStyle="1" w:styleId="AndreaLeonardi">
    <w:name w:val="Andrea Leonardi"/>
    <w:semiHidden/>
    <w:rsid w:val="003B4563"/>
    <w:rPr>
      <w:rFonts w:ascii="Arial" w:hAnsi="Arial" w:cs="Arial"/>
      <w:color w:val="auto"/>
      <w:sz w:val="20"/>
      <w:szCs w:val="20"/>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3B4563"/>
    <w:rPr>
      <w:rFonts w:ascii="Arial" w:hAnsi="Arial"/>
      <w:sz w:val="36"/>
      <w:lang w:val="en-GB" w:eastAsia="en-US" w:bidi="ar-SA"/>
    </w:rPr>
  </w:style>
  <w:style w:type="character" w:customStyle="1" w:styleId="BodyTextChar">
    <w:name w:val="Body Text Char"/>
    <w:aliases w:val="bt Char4,Corps de texte Car Char4,Corps de texte Car1 Car Char4,Corps de texte Car Car Car Char4,Corps de texte Car1 Car Car Car Char4,Corps de texte Car Car Car Car Car Char4,Corps de texte Car1 Car Car Car Car Car Char4,bt Car Char"/>
    <w:link w:val="BodyText"/>
    <w:rsid w:val="003B4563"/>
    <w:rPr>
      <w:lang w:val="en-GB"/>
    </w:rPr>
  </w:style>
  <w:style w:type="character" w:customStyle="1" w:styleId="Heading2Char">
    <w:name w:val="Heading 2 Char"/>
    <w:aliases w:val="H2 Char5,h2 Char5,Head2A Char,2 Char,UNDERRUBRIK 1-2 Char,DO NOT USE_h2 Char,h21 Char,H2 Char Char,h2 Char Char,heading 2 Char,Header 2 Char,Header2 Char,22 Char,heading2 Char,2nd level Char,H21 Char,H22 Char,H23 Char,H24 Char,H25 Char"/>
    <w:link w:val="Heading2"/>
    <w:rsid w:val="003B4563"/>
    <w:rPr>
      <w:rFonts w:ascii="Arial" w:hAnsi="Arial"/>
      <w:sz w:val="32"/>
      <w:lang w:val="en-GB"/>
    </w:rPr>
  </w:style>
  <w:style w:type="character" w:customStyle="1" w:styleId="H6Char">
    <w:name w:val="H6 Char"/>
    <w:link w:val="H6"/>
    <w:rsid w:val="003B4563"/>
    <w:rPr>
      <w:rFonts w:ascii="Arial" w:hAnsi="Arial"/>
      <w:lang w:val="en-GB"/>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B4563"/>
    <w:rPr>
      <w:rFonts w:ascii="Arial" w:hAnsi="Arial"/>
      <w:sz w:val="32"/>
      <w:lang w:val="en-GB" w:eastAsia="en-US" w:bidi="ar-SA"/>
    </w:rPr>
  </w:style>
  <w:style w:type="character" w:customStyle="1" w:styleId="Heading5Char">
    <w:name w:val="Heading 5 Char"/>
    <w:aliases w:val="h5 Char2,Heading5 Char2"/>
    <w:link w:val="Heading5"/>
    <w:rsid w:val="003B4563"/>
    <w:rPr>
      <w:rFonts w:ascii="Arial" w:hAnsi="Arial"/>
      <w:sz w:val="22"/>
      <w:lang w:val="en-GB"/>
    </w:rPr>
  </w:style>
  <w:style w:type="character" w:customStyle="1" w:styleId="Heading3Char">
    <w:name w:val="Heading 3 Char"/>
    <w:aliases w:val="Underrubrik2 Char2,H3 Char2,h3 Char2,Memo Heading 3 Char2,no break Char2,heading 3 Char"/>
    <w:link w:val="Heading3"/>
    <w:rsid w:val="003B4563"/>
    <w:rPr>
      <w:rFonts w:ascii="Arial" w:hAnsi="Arial"/>
      <w:sz w:val="28"/>
      <w:lang w:val="en-GB"/>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B4563"/>
    <w:rPr>
      <w:rFonts w:ascii="Arial" w:hAnsi="Arial"/>
      <w:sz w:val="36"/>
      <w:lang w:val="en-GB" w:eastAsia="en-US" w:bidi="ar-SA"/>
    </w:rPr>
  </w:style>
  <w:style w:type="character" w:customStyle="1" w:styleId="ZchnZchn5">
    <w:name w:val="Zchn Zchn5"/>
    <w:rsid w:val="003B4563"/>
    <w:rPr>
      <w:rFonts w:ascii="Courier New" w:eastAsia="Batang" w:hAnsi="Courier New"/>
      <w:lang w:val="nb-NO" w:eastAsia="en-US" w:bidi="ar-SA"/>
    </w:rPr>
  </w:style>
  <w:style w:type="character" w:customStyle="1" w:styleId="ListChar">
    <w:name w:val="List Char"/>
    <w:link w:val="List"/>
    <w:rsid w:val="003B4563"/>
    <w:rPr>
      <w:lang w:val="en-GB"/>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B4563"/>
    <w:rPr>
      <w:rFonts w:ascii="Arial" w:eastAsia="MS Mincho" w:hAnsi="Arial"/>
      <w:sz w:val="28"/>
      <w:lang w:val="en-GB" w:eastAsia="en-US" w:bidi="ar-SA"/>
    </w:rPr>
  </w:style>
  <w:style w:type="character" w:customStyle="1" w:styleId="List2Char">
    <w:name w:val="List 2 Char"/>
    <w:link w:val="List2"/>
    <w:rsid w:val="003B4563"/>
    <w:rPr>
      <w:lang w:val="en-GB"/>
    </w:rPr>
  </w:style>
  <w:style w:type="character" w:customStyle="1" w:styleId="TAL0">
    <w:name w:val="TAL (文字)"/>
    <w:rsid w:val="003B4563"/>
    <w:rPr>
      <w:rFonts w:ascii="Arial" w:hAnsi="Arial"/>
      <w:sz w:val="18"/>
      <w:lang w:val="en-GB" w:eastAsia="ja-JP" w:bidi="ar-SA"/>
    </w:rPr>
  </w:style>
  <w:style w:type="character" w:customStyle="1" w:styleId="NOChar">
    <w:name w:val="NO Char"/>
    <w:link w:val="NO"/>
    <w:rsid w:val="003B4563"/>
    <w:rPr>
      <w:lang w:val="en-GB"/>
    </w:rPr>
  </w:style>
  <w:style w:type="character" w:customStyle="1" w:styleId="T1Char1">
    <w:name w:val="T1 Char1"/>
    <w:aliases w:val="Header 6 Char Char1"/>
    <w:rsid w:val="003B4563"/>
  </w:style>
  <w:style w:type="character" w:customStyle="1" w:styleId="ListBullet3Char">
    <w:name w:val="List Bullet 3 Char"/>
    <w:link w:val="ListBullet3"/>
    <w:rsid w:val="003B4563"/>
    <w:rPr>
      <w:lang w:val="en-GB"/>
    </w:rPr>
  </w:style>
  <w:style w:type="character" w:customStyle="1" w:styleId="CRCoverPageChar">
    <w:name w:val="CR Cover Page Char"/>
    <w:link w:val="CRCoverPage"/>
    <w:rsid w:val="003B4563"/>
    <w:rPr>
      <w:rFonts w:ascii="Arial" w:hAnsi="Arial"/>
      <w:lang w:val="en-GB" w:eastAsia="zh-CN" w:bidi="ar-SA"/>
    </w:rPr>
  </w:style>
  <w:style w:type="character" w:customStyle="1" w:styleId="TFChar">
    <w:name w:val="TF Char"/>
    <w:link w:val="TF"/>
    <w:rsid w:val="003B4563"/>
    <w:rPr>
      <w:rFonts w:ascii="Arial" w:hAnsi="Arial"/>
      <w:b/>
      <w:lang w:val="en-GB"/>
    </w:rPr>
  </w:style>
  <w:style w:type="character" w:customStyle="1" w:styleId="TitleChar">
    <w:name w:val="Title Char"/>
    <w:aliases w:val="Heading 31 Char,hello Char,Titre 3 Car Char,no break Car Char,H3 Car Char,Underrubrik2 Car Char,h3 Car Char,Memo Heading 3 Car Char,hello Car Char,Heading 3 Char Car Char,no break Char Car Char,H3 Char Car Char,Underrubrik2 Char Car Char"/>
    <w:link w:val="Title"/>
    <w:rsid w:val="003B4563"/>
    <w:rPr>
      <w:rFonts w:ascii="Courier New" w:hAnsi="Courier New"/>
      <w:lang w:val="nb-NO" w:eastAsia="ja-JP"/>
    </w:rPr>
  </w:style>
  <w:style w:type="character" w:customStyle="1" w:styleId="B2Char">
    <w:name w:val="B2 Char"/>
    <w:link w:val="B2"/>
    <w:rsid w:val="003B4563"/>
    <w:rPr>
      <w:lang w:val="en-GB"/>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3B4563"/>
    <w:rPr>
      <w:rFonts w:eastAsia="MS Mincho"/>
      <w:lang w:val="en-GB" w:eastAsia="en-US" w:bidi="ar-SA"/>
    </w:rPr>
  </w:style>
  <w:style w:type="character" w:customStyle="1" w:styleId="CharChar1">
    <w:name w:val="Char Char1"/>
    <w:rsid w:val="003B4563"/>
    <w:rPr>
      <w:lang w:val="en-GB" w:eastAsia="ja-JP" w:bidi="ar-SA"/>
    </w:rPr>
  </w:style>
  <w:style w:type="character" w:customStyle="1" w:styleId="TALChar">
    <w:name w:val="TAL Char"/>
    <w:qFormat/>
    <w:rsid w:val="003B4563"/>
    <w:rPr>
      <w:rFonts w:ascii="Arial" w:hAnsi="Arial"/>
      <w:sz w:val="18"/>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B4563"/>
    <w:rPr>
      <w:rFonts w:ascii="Arial" w:hAnsi="Arial"/>
      <w:sz w:val="32"/>
      <w:lang w:val="en-GB" w:eastAsia="en-US" w:bidi="ar-SA"/>
    </w:rPr>
  </w:style>
  <w:style w:type="character" w:customStyle="1" w:styleId="CharChar4">
    <w:name w:val="Char Char4"/>
    <w:rsid w:val="003B4563"/>
    <w:rPr>
      <w:rFonts w:ascii="Courier New" w:hAnsi="Courier New"/>
      <w:lang w:val="nb-NO" w:eastAsia="ja-JP" w:bidi="ar-SA"/>
    </w:rPr>
  </w:style>
  <w:style w:type="character" w:customStyle="1" w:styleId="Heading1Char">
    <w:name w:val="Heading 1 Char"/>
    <w:aliases w:val="NMP Heading 1 Char,H1 Char,h11 Char,h12 Char,h13 Char,h14 Char,h15 Char,h16 Char,app heading 1 Char,l1 Char,Memo Heading 1 Char,Heading 1_a Char,heading 1 Char,h17 Char,h111 Char,h121 Char,h131 Char,h141 Char,h151 Char,h161 Char,h18 Char"/>
    <w:link w:val="Heading1"/>
    <w:rsid w:val="003B4563"/>
    <w:rPr>
      <w:rFonts w:ascii="Arial" w:hAnsi="Arial"/>
      <w:sz w:val="36"/>
      <w:lang w:val="en-GB" w:bidi="ar-SA"/>
    </w:rPr>
  </w:style>
  <w:style w:type="character" w:customStyle="1" w:styleId="T1Char2">
    <w:name w:val="T1 Char2"/>
    <w:aliases w:val="Header 6 Char Char2"/>
    <w:rsid w:val="003B4563"/>
  </w:style>
  <w:style w:type="character" w:customStyle="1" w:styleId="Heading8Char">
    <w:name w:val="Heading 8 Char"/>
    <w:link w:val="Heading8"/>
    <w:rsid w:val="003B4563"/>
    <w:rPr>
      <w:rFonts w:ascii="Arial" w:hAnsi="Arial"/>
      <w:sz w:val="36"/>
      <w:lang w:val="en-GB"/>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B4563"/>
    <w:rPr>
      <w:rFonts w:ascii="Arial" w:eastAsia="MS Mincho" w:hAnsi="Arial"/>
      <w:sz w:val="24"/>
      <w:lang w:val="en-GB" w:eastAsia="en-US"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B4563"/>
    <w:rPr>
      <w:rFonts w:ascii="Arial" w:hAnsi="Arial"/>
      <w:sz w:val="32"/>
      <w:lang w:val="en-GB" w:eastAsia="ja-JP" w:bidi="ar-SA"/>
    </w:rPr>
  </w:style>
  <w:style w:type="character" w:customStyle="1" w:styleId="CharChar7">
    <w:name w:val="Char Char7"/>
    <w:semiHidden/>
    <w:rsid w:val="003B4563"/>
    <w:rPr>
      <w:rFonts w:ascii="Tahoma" w:hAnsi="Tahoma" w:cs="Tahoma"/>
      <w:shd w:val="clear" w:color="auto" w:fill="000080"/>
      <w:lang w:val="en-GB" w:eastAsia="en-US"/>
    </w:rPr>
  </w:style>
  <w:style w:type="character" w:customStyle="1" w:styleId="ListBullet2Char">
    <w:name w:val="List Bullet 2 Char"/>
    <w:link w:val="ListBullet2"/>
    <w:rsid w:val="003B4563"/>
    <w:rPr>
      <w:lang w:val="en-GB"/>
    </w:rPr>
  </w:style>
  <w:style w:type="character" w:customStyle="1" w:styleId="T1Char">
    <w:name w:val="T1 Char"/>
    <w:aliases w:val="Header 6 Char Char"/>
    <w:rsid w:val="003B4563"/>
  </w:style>
  <w:style w:type="character" w:customStyle="1" w:styleId="ListBulletChar">
    <w:name w:val="List Bullet Char"/>
    <w:link w:val="ListBullet"/>
    <w:rsid w:val="003B4563"/>
    <w:rPr>
      <w:lang w:val="en-GB"/>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sid w:val="003B4563"/>
    <w:rPr>
      <w:lang w:val="en-GB" w:eastAsia="ja-JP" w:bidi="ar-SA"/>
    </w:rPr>
  </w:style>
  <w:style w:type="character" w:customStyle="1" w:styleId="THChar">
    <w:name w:val="TH Char"/>
    <w:link w:val="TH"/>
    <w:rsid w:val="003B4563"/>
    <w:rPr>
      <w:rFonts w:ascii="Arial" w:hAnsi="Arial"/>
      <w:b/>
      <w:lang w:val="en-GB"/>
    </w:rPr>
  </w:style>
  <w:style w:type="character" w:customStyle="1" w:styleId="CharChar10">
    <w:name w:val="Char Char10"/>
    <w:semiHidden/>
    <w:rsid w:val="003B4563"/>
    <w:rPr>
      <w:rFonts w:ascii="Times New Roman" w:hAnsi="Times New Roman"/>
      <w:lang w:val="en-GB" w:eastAsia="en-US"/>
    </w:rPr>
  </w:style>
  <w:style w:type="character" w:customStyle="1" w:styleId="B1Char">
    <w:name w:val="B1 Char"/>
    <w:link w:val="B1"/>
    <w:rsid w:val="003B4563"/>
    <w:rPr>
      <w:lang w:val="en-GB"/>
    </w:rPr>
  </w:style>
  <w:style w:type="character" w:customStyle="1" w:styleId="EndnoteTextChar">
    <w:name w:val="Endnote Text Char"/>
    <w:link w:val="EndnoteText"/>
    <w:rsid w:val="003B4563"/>
    <w:rPr>
      <w:lang w:val="en-GB"/>
    </w:rPr>
  </w:style>
  <w:style w:type="character" w:customStyle="1" w:styleId="TANChar">
    <w:name w:val="TAN Char"/>
    <w:link w:val="TAN"/>
    <w:rsid w:val="003B4563"/>
    <w:rPr>
      <w:rFonts w:ascii="Arial" w:hAnsi="Arial"/>
      <w:sz w:val="18"/>
      <w:lang w:val="en-GB"/>
    </w:rPr>
  </w:style>
  <w:style w:type="character" w:customStyle="1" w:styleId="TALCar">
    <w:name w:val="TAL Car"/>
    <w:link w:val="TAL"/>
    <w:rsid w:val="003B4563"/>
    <w:rPr>
      <w:rFonts w:ascii="Arial" w:hAnsi="Arial"/>
      <w:sz w:val="18"/>
      <w:lang w:val="en-GB"/>
    </w:rPr>
  </w:style>
  <w:style w:type="character" w:customStyle="1" w:styleId="BodyText2Char">
    <w:name w:val="Body Text 2 Char"/>
    <w:link w:val="BodyText2"/>
    <w:rsid w:val="003B4563"/>
    <w:rPr>
      <w:sz w:val="24"/>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B4563"/>
    <w:rPr>
      <w:lang w:val="en-GB" w:eastAsia="ja-JP" w:bidi="ar-SA"/>
    </w:rPr>
  </w:style>
  <w:style w:type="character" w:customStyle="1" w:styleId="TAHCar">
    <w:name w:val="TAH Car"/>
    <w:link w:val="TAH"/>
    <w:qFormat/>
    <w:rsid w:val="003B4563"/>
    <w:rPr>
      <w:rFonts w:ascii="Arial" w:hAnsi="Arial"/>
      <w:b/>
      <w:sz w:val="18"/>
      <w:lang w:val="en-GB"/>
    </w:rPr>
  </w:style>
  <w:style w:type="character" w:customStyle="1" w:styleId="NOZchn">
    <w:name w:val="NO Zchn"/>
    <w:rsid w:val="003B4563"/>
    <w:rPr>
      <w:lang w:val="en-GB" w:eastAsia="en-US" w:bidi="ar-SA"/>
    </w:rPr>
  </w:style>
  <w:style w:type="character" w:customStyle="1" w:styleId="1Char">
    <w:name w:val="样式1 Char"/>
    <w:link w:val="1"/>
    <w:rsid w:val="003B4563"/>
    <w:rPr>
      <w:rFonts w:ascii="Arial" w:eastAsia="MS Mincho" w:hAnsi="Arial"/>
      <w:sz w:val="18"/>
      <w:lang w:val="x-none" w:eastAsia="ja-JP"/>
    </w:rPr>
  </w:style>
  <w:style w:type="character" w:customStyle="1" w:styleId="h5Char">
    <w:name w:val="h5 Char"/>
    <w:aliases w:val="Heading5 Char,Head5 Char,H5 Char,M5 Char,mh2 Char,Module heading 2 Char,heading 8 Char,Numbered Sub-list Char Char,Numbered Sub-list Char,Heading 81 Char Char,5 Char"/>
    <w:rsid w:val="003B4563"/>
    <w:rPr>
      <w:rFonts w:ascii="Arial" w:eastAsia="MS Mincho" w:hAnsi="Arial"/>
      <w:sz w:val="22"/>
      <w:lang w:val="en-GB" w:eastAsia="en-US" w:bidi="ar-SA"/>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B4563"/>
    <w:rPr>
      <w:rFonts w:ascii="Arial" w:eastAsia="MS Mincho" w:hAnsi="Arial"/>
      <w:sz w:val="24"/>
      <w:lang w:val="en-GB" w:eastAsia="en-US" w:bidi="ar-SA"/>
    </w:rPr>
  </w:style>
  <w:style w:type="character" w:customStyle="1" w:styleId="CharChar9">
    <w:name w:val="Char Char9"/>
    <w:semiHidden/>
    <w:rsid w:val="003B4563"/>
    <w:rPr>
      <w:rFonts w:ascii="Tahoma" w:hAnsi="Tahoma" w:cs="Tahoma"/>
      <w:sz w:val="16"/>
      <w:szCs w:val="16"/>
      <w:lang w:val="en-GB" w:eastAsia="en-US"/>
    </w:rPr>
  </w:style>
  <w:style w:type="character" w:customStyle="1" w:styleId="superscript">
    <w:name w:val="superscript"/>
    <w:rsid w:val="003B4563"/>
    <w:rPr>
      <w:rFonts w:ascii="Bookman" w:hAnsi="Bookman"/>
      <w:position w:val="6"/>
      <w:sz w:val="18"/>
    </w:rPr>
  </w:style>
  <w:style w:type="character" w:customStyle="1" w:styleId="TACCar">
    <w:name w:val="TAC Car"/>
    <w:rsid w:val="003B4563"/>
    <w:rPr>
      <w:rFonts w:ascii="Arial" w:hAnsi="Arial"/>
      <w:sz w:val="18"/>
      <w:lang w:val="en-GB" w:eastAsia="ja-JP" w:bidi="ar-SA"/>
    </w:rPr>
  </w:style>
  <w:style w:type="character" w:customStyle="1" w:styleId="NOChar1">
    <w:name w:val="NO Char1"/>
    <w:rsid w:val="003B4563"/>
    <w:rPr>
      <w:rFonts w:eastAsia="MS Mincho"/>
      <w:lang w:val="en-GB" w:eastAsia="en-US" w:bidi="ar-SA"/>
    </w:rPr>
  </w:style>
  <w:style w:type="character" w:customStyle="1" w:styleId="B1Char1">
    <w:name w:val="B1 Char1"/>
    <w:rsid w:val="003B4563"/>
    <w:rPr>
      <w:rFonts w:eastAsia="MS Mincho"/>
      <w:lang w:val="en-GB" w:eastAsia="en-US" w:bidi="ar-SA"/>
    </w:rPr>
  </w:style>
  <w:style w:type="character" w:customStyle="1" w:styleId="CaptionChar">
    <w:name w:val="Caption Char"/>
    <w:aliases w:val="cap Char,cap1 Char,cap2 Char,cap3 Char,cap4 Char,cap5 Char,cap6 Char,cap7 Char,cap8 Char,cap9 Char,cap10 Char,cap11 Char,cap21 Char,cap31 Char,cap41 Char,cap51 Char,cap61 Char,cap71 Char,cap81 Char,cap91 Char,cap101 Char,cap12 Char"/>
    <w:link w:val="Caption"/>
    <w:rsid w:val="003B4563"/>
    <w:rPr>
      <w:b/>
      <w:lang w:val="en-GB"/>
    </w:rPr>
  </w:style>
  <w:style w:type="character" w:customStyle="1" w:styleId="PlainTextChar">
    <w:name w:val="Plain Text Char"/>
    <w:link w:val="PlainText"/>
    <w:rsid w:val="003B4563"/>
    <w:rPr>
      <w:rFonts w:ascii="Courier New" w:hAnsi="Courier New"/>
      <w:lang w:val="nb-NO"/>
    </w:rPr>
  </w:style>
  <w:style w:type="character" w:customStyle="1" w:styleId="NOCharChar">
    <w:name w:val="NO Char Char"/>
    <w:rsid w:val="003B4563"/>
    <w:rPr>
      <w:lang w:val="en-GB" w:eastAsia="en-US" w:bidi="ar-SA"/>
    </w:rPr>
  </w:style>
  <w:style w:type="character" w:customStyle="1" w:styleId="msoins0">
    <w:name w:val="msoins"/>
    <w:rsid w:val="003B4563"/>
  </w:style>
  <w:style w:type="character" w:customStyle="1" w:styleId="Heading6Char">
    <w:name w:val="Heading 6 Char"/>
    <w:link w:val="Heading6"/>
    <w:rsid w:val="003B4563"/>
    <w:rPr>
      <w:rFonts w:ascii="Arial" w:hAnsi="Arial"/>
      <w:lang w:val="en-GB"/>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3B4563"/>
    <w:rPr>
      <w:lang w:val="en-GB" w:eastAsia="ja-JP" w:bidi="ar-SA"/>
    </w:rPr>
  </w:style>
  <w:style w:type="character" w:customStyle="1" w:styleId="FootnoteTextChar">
    <w:name w:val="Footnote Text Char"/>
    <w:link w:val="FootnoteText"/>
    <w:semiHidden/>
    <w:rsid w:val="003B4563"/>
    <w:rPr>
      <w:sz w:val="16"/>
      <w:lang w:val="en-GB"/>
    </w:rPr>
  </w:style>
  <w:style w:type="character" w:customStyle="1" w:styleId="Heading4Char">
    <w:name w:val="Heading 4 Char"/>
    <w:aliases w:val="h4 Char2,H4 Char2,H41 Char2,h41 Char2,H42 Char2,h42 Char2,H43 Char2,h43 Char2,H411 Char2,h411 Char2,H421 Char2,h421 Char2,H44 Char2,h44 Char2,H412 Char2,h412 Char2,H422 Char2,h422 Char2,H431 Char2,h431 Char2,H45 Char2,h45 Char2,H413 Char2"/>
    <w:link w:val="Heading4"/>
    <w:rsid w:val="003B4563"/>
    <w:rPr>
      <w:rFonts w:ascii="Arial" w:hAnsi="Arial"/>
      <w:sz w:val="24"/>
      <w:lang w:val="en-GB"/>
    </w:rPr>
  </w:style>
  <w:style w:type="character" w:customStyle="1" w:styleId="h5Char1">
    <w:name w:val="h5 Char1"/>
    <w:aliases w:val="Heading5 Char1,Head5 Char1,H5 Char1,M5 Char1,mh2 Char1,Module heading 2 Char1,heading 8 Char1,Numbered Sub-list Char Char1"/>
    <w:rsid w:val="003B4563"/>
    <w:rPr>
      <w:rFonts w:ascii="Arial" w:eastAsia="MS Mincho" w:hAnsi="Arial"/>
      <w:sz w:val="22"/>
      <w:lang w:val="en-GB" w:eastAsia="en-US" w:bidi="ar-SA"/>
    </w:rPr>
  </w:style>
  <w:style w:type="character" w:customStyle="1" w:styleId="BodyTextIndent2Char">
    <w:name w:val="Body Text Indent 2 Char"/>
    <w:link w:val="BodyTextIndent2"/>
    <w:rsid w:val="003B4563"/>
    <w:rPr>
      <w:lang w:val="en-GB"/>
    </w:rPr>
  </w:style>
  <w:style w:type="paragraph" w:customStyle="1" w:styleId="textintend1">
    <w:name w:val="text intend 1"/>
    <w:basedOn w:val="text"/>
    <w:rsid w:val="003B4563"/>
    <w:pPr>
      <w:widowControl/>
      <w:tabs>
        <w:tab w:val="left" w:pos="992"/>
      </w:tabs>
      <w:spacing w:after="120"/>
      <w:ind w:left="992" w:hanging="425"/>
    </w:pPr>
    <w:rPr>
      <w:rFonts w:eastAsia="MS Mincho"/>
      <w:lang w:val="en-US"/>
    </w:rPr>
  </w:style>
  <w:style w:type="paragraph" w:customStyle="1" w:styleId="TabList">
    <w:name w:val="TabList"/>
    <w:basedOn w:val="Normal"/>
    <w:rsid w:val="003B4563"/>
    <w:pPr>
      <w:tabs>
        <w:tab w:val="left" w:pos="1134"/>
      </w:tabs>
      <w:spacing w:after="0"/>
    </w:pPr>
    <w:rPr>
      <w:rFonts w:eastAsia="MS Mincho"/>
    </w:rPr>
  </w:style>
  <w:style w:type="paragraph" w:styleId="BodyText2">
    <w:name w:val="Body Text 2"/>
    <w:basedOn w:val="Normal"/>
    <w:link w:val="BodyText2Char"/>
    <w:rsid w:val="003B4563"/>
    <w:pPr>
      <w:spacing w:after="0"/>
      <w:jc w:val="both"/>
    </w:pPr>
    <w:rPr>
      <w:sz w:val="24"/>
      <w:lang w:val="x-none" w:eastAsia="x-none"/>
    </w:rPr>
  </w:style>
  <w:style w:type="character" w:customStyle="1" w:styleId="BodyText2Char1">
    <w:name w:val="Body Text 2 Char1"/>
    <w:rsid w:val="003B4563"/>
    <w:rPr>
      <w:lang w:val="en-GB"/>
    </w:rPr>
  </w:style>
  <w:style w:type="paragraph" w:styleId="EndnoteText">
    <w:name w:val="endnote text"/>
    <w:basedOn w:val="Normal"/>
    <w:link w:val="EndnoteTextChar"/>
    <w:rsid w:val="003B4563"/>
    <w:pPr>
      <w:snapToGrid w:val="0"/>
    </w:pPr>
    <w:rPr>
      <w:lang w:eastAsia="x-none"/>
    </w:rPr>
  </w:style>
  <w:style w:type="character" w:customStyle="1" w:styleId="EndnoteTextChar1">
    <w:name w:val="Endnote Text Char1"/>
    <w:rsid w:val="003B4563"/>
    <w:rPr>
      <w:lang w:val="en-GB"/>
    </w:rPr>
  </w:style>
  <w:style w:type="paragraph" w:customStyle="1" w:styleId="table">
    <w:name w:val="table"/>
    <w:basedOn w:val="Normal"/>
    <w:next w:val="Normal"/>
    <w:rsid w:val="003B4563"/>
    <w:pPr>
      <w:spacing w:after="0"/>
      <w:jc w:val="center"/>
    </w:pPr>
    <w:rPr>
      <w:rFonts w:eastAsia="MS Mincho"/>
      <w:lang w:val="en-US"/>
    </w:rPr>
  </w:style>
  <w:style w:type="paragraph" w:styleId="ListNumber3">
    <w:name w:val="List Number 3"/>
    <w:basedOn w:val="Normal"/>
    <w:rsid w:val="003B4563"/>
    <w:pPr>
      <w:numPr>
        <w:numId w:val="1"/>
      </w:numPr>
      <w:tabs>
        <w:tab w:val="left" w:pos="720"/>
        <w:tab w:val="left" w:pos="926"/>
      </w:tabs>
      <w:overflowPunct w:val="0"/>
      <w:autoSpaceDE w:val="0"/>
      <w:autoSpaceDN w:val="0"/>
      <w:adjustRightInd w:val="0"/>
      <w:ind w:left="926"/>
      <w:textAlignment w:val="baseline"/>
    </w:pPr>
    <w:rPr>
      <w:rFonts w:eastAsia="MS Mincho"/>
      <w:lang w:eastAsia="en-GB"/>
    </w:rPr>
  </w:style>
  <w:style w:type="paragraph" w:customStyle="1" w:styleId="CRfront">
    <w:name w:val="CR_front"/>
    <w:rsid w:val="003B4563"/>
    <w:rPr>
      <w:rFonts w:ascii="Arial" w:hAnsi="Arial"/>
      <w:lang w:val="en-GB" w:eastAsia="en-US"/>
    </w:rPr>
  </w:style>
  <w:style w:type="paragraph" w:styleId="NormalIndent">
    <w:name w:val="Normal Indent"/>
    <w:aliases w:val="正文（首行缩进两字）,正文缩进 Char,正文（首行缩进两字） Char,表正文,正文非缩进,正文不缩进,首行缩进,特点,段1,正文缩进 Char1,正文（首行缩进两字） Char Char Char Char Char Char Char Char Char Char,正文（首行缩进两字） Char Char Char Char,正文（首行缩进两字） Char Char Char,正文（首行缩进两字） Char Char,正文缩进3,表正文3,正文非缩进3,正文不缩"/>
    <w:basedOn w:val="Normal"/>
    <w:link w:val="NormalIndentChar"/>
    <w:rsid w:val="003B4563"/>
    <w:pPr>
      <w:spacing w:after="0"/>
      <w:ind w:left="851"/>
    </w:pPr>
    <w:rPr>
      <w:rFonts w:eastAsia="MS Mincho"/>
      <w:lang w:val="it-IT" w:eastAsia="en-GB"/>
    </w:rPr>
  </w:style>
  <w:style w:type="paragraph" w:styleId="Title">
    <w:name w:val="Title"/>
    <w:aliases w:val="Heading 31,hello,Titre 3 Car,no break Car,H3 Car,Underrubrik2 Car,h3 Car,Memo Heading 3 Car,hello Car,Heading 3 Char Car,no break Char Car,H3 Char Car,Underrubrik2 Char Car,h3 Char Car,Title1"/>
    <w:basedOn w:val="Normal"/>
    <w:next w:val="Normal"/>
    <w:link w:val="TitleChar"/>
    <w:qFormat/>
    <w:rsid w:val="003B4563"/>
    <w:pPr>
      <w:overflowPunct w:val="0"/>
      <w:autoSpaceDE w:val="0"/>
      <w:autoSpaceDN w:val="0"/>
      <w:adjustRightInd w:val="0"/>
      <w:spacing w:before="240" w:after="60"/>
      <w:textAlignment w:val="baseline"/>
      <w:outlineLvl w:val="0"/>
    </w:pPr>
    <w:rPr>
      <w:rFonts w:ascii="Courier New" w:hAnsi="Courier New"/>
      <w:lang w:val="nb-NO" w:eastAsia="ja-JP"/>
    </w:rPr>
  </w:style>
  <w:style w:type="character" w:customStyle="1" w:styleId="TitleChar1">
    <w:name w:val="Title Char1"/>
    <w:rsid w:val="003B4563"/>
    <w:rPr>
      <w:rFonts w:ascii="Cambria" w:eastAsia="Times New Roman" w:hAnsi="Cambria" w:cs="Times New Roman"/>
      <w:b/>
      <w:bCs/>
      <w:kern w:val="28"/>
      <w:sz w:val="32"/>
      <w:szCs w:val="32"/>
      <w:lang w:val="en-GB"/>
    </w:rPr>
  </w:style>
  <w:style w:type="paragraph" w:customStyle="1" w:styleId="HE">
    <w:name w:val="HE"/>
    <w:basedOn w:val="Normal"/>
    <w:rsid w:val="003B4563"/>
    <w:pPr>
      <w:spacing w:after="0"/>
    </w:pPr>
    <w:rPr>
      <w:rFonts w:eastAsia="MS Mincho"/>
      <w:b/>
    </w:rPr>
  </w:style>
  <w:style w:type="paragraph" w:styleId="NormalWeb">
    <w:name w:val="Normal (Web)"/>
    <w:basedOn w:val="Normal"/>
    <w:uiPriority w:val="99"/>
    <w:qFormat/>
    <w:rsid w:val="003B4563"/>
    <w:pPr>
      <w:spacing w:before="100" w:beforeAutospacing="1" w:after="100" w:afterAutospacing="1"/>
    </w:pPr>
    <w:rPr>
      <w:rFonts w:eastAsia="Arial Unicode MS"/>
      <w:sz w:val="24"/>
      <w:szCs w:val="24"/>
      <w:lang w:eastAsia="ja-JP"/>
    </w:rPr>
  </w:style>
  <w:style w:type="paragraph" w:styleId="ListNumber5">
    <w:name w:val="List Number 5"/>
    <w:basedOn w:val="Normal"/>
    <w:rsid w:val="003B4563"/>
    <w:pPr>
      <w:tabs>
        <w:tab w:val="left" w:pos="851"/>
        <w:tab w:val="left" w:pos="1800"/>
      </w:tabs>
      <w:overflowPunct w:val="0"/>
      <w:autoSpaceDE w:val="0"/>
      <w:autoSpaceDN w:val="0"/>
      <w:adjustRightInd w:val="0"/>
      <w:ind w:left="1800" w:hanging="851"/>
      <w:textAlignment w:val="baseline"/>
    </w:pPr>
    <w:rPr>
      <w:rFonts w:eastAsia="MS Mincho"/>
      <w:lang w:eastAsia="en-GB"/>
    </w:rPr>
  </w:style>
  <w:style w:type="paragraph" w:customStyle="1" w:styleId="textintend2">
    <w:name w:val="text intend 2"/>
    <w:basedOn w:val="text"/>
    <w:rsid w:val="003B4563"/>
    <w:pPr>
      <w:widowControl/>
      <w:tabs>
        <w:tab w:val="left" w:pos="1418"/>
      </w:tabs>
      <w:spacing w:after="120"/>
      <w:ind w:left="1418" w:hanging="426"/>
    </w:pPr>
    <w:rPr>
      <w:rFonts w:eastAsia="MS Mincho"/>
      <w:lang w:val="en-US"/>
    </w:rPr>
  </w:style>
  <w:style w:type="paragraph" w:styleId="BodyTextIndent2">
    <w:name w:val="Body Text Indent 2"/>
    <w:basedOn w:val="Normal"/>
    <w:link w:val="BodyTextIndent2Char"/>
    <w:rsid w:val="003B4563"/>
    <w:pPr>
      <w:ind w:left="568" w:hanging="568"/>
    </w:pPr>
    <w:rPr>
      <w:lang w:eastAsia="x-none"/>
    </w:rPr>
  </w:style>
  <w:style w:type="character" w:customStyle="1" w:styleId="BodyTextIndent2Char1">
    <w:name w:val="Body Text Indent 2 Char1"/>
    <w:rsid w:val="003B4563"/>
    <w:rPr>
      <w:lang w:val="en-GB"/>
    </w:rPr>
  </w:style>
  <w:style w:type="paragraph" w:styleId="BodyTextIndent">
    <w:name w:val="Body Text Indent"/>
    <w:basedOn w:val="Normal"/>
    <w:link w:val="BodyTextIndentChar"/>
    <w:rsid w:val="003B4563"/>
    <w:pPr>
      <w:spacing w:before="240" w:after="0"/>
      <w:ind w:left="360"/>
      <w:jc w:val="both"/>
    </w:pPr>
    <w:rPr>
      <w:i/>
      <w:sz w:val="22"/>
      <w:lang w:eastAsia="x-none"/>
    </w:rPr>
  </w:style>
  <w:style w:type="character" w:customStyle="1" w:styleId="BodyTextIndentChar1">
    <w:name w:val="Body Text Indent Char1"/>
    <w:rsid w:val="003B4563"/>
    <w:rPr>
      <w:lang w:val="en-GB"/>
    </w:rPr>
  </w:style>
  <w:style w:type="paragraph" w:styleId="BodyText3">
    <w:name w:val="Body Text 3"/>
    <w:basedOn w:val="Normal"/>
    <w:link w:val="BodyText3Char"/>
    <w:rsid w:val="003B4563"/>
    <w:rPr>
      <w:b/>
      <w:i/>
      <w:lang w:val="x-none" w:eastAsia="x-none"/>
    </w:rPr>
  </w:style>
  <w:style w:type="character" w:customStyle="1" w:styleId="BodyText3Char1">
    <w:name w:val="Body Text 3 Char1"/>
    <w:rsid w:val="003B4563"/>
    <w:rPr>
      <w:sz w:val="16"/>
      <w:szCs w:val="16"/>
      <w:lang w:val="en-GB"/>
    </w:rPr>
  </w:style>
  <w:style w:type="paragraph" w:customStyle="1" w:styleId="tabletext">
    <w:name w:val="table text"/>
    <w:basedOn w:val="Normal"/>
    <w:next w:val="table"/>
    <w:rsid w:val="003B4563"/>
    <w:pPr>
      <w:spacing w:after="0"/>
    </w:pPr>
    <w:rPr>
      <w:rFonts w:eastAsia="MS Mincho"/>
      <w:i/>
    </w:rPr>
  </w:style>
  <w:style w:type="paragraph" w:styleId="ListNumber4">
    <w:name w:val="List Number 4"/>
    <w:basedOn w:val="Normal"/>
    <w:rsid w:val="003B4563"/>
    <w:pPr>
      <w:numPr>
        <w:numId w:val="2"/>
      </w:numPr>
      <w:tabs>
        <w:tab w:val="left" w:pos="720"/>
        <w:tab w:val="left" w:pos="1209"/>
      </w:tabs>
      <w:overflowPunct w:val="0"/>
      <w:autoSpaceDE w:val="0"/>
      <w:autoSpaceDN w:val="0"/>
      <w:adjustRightInd w:val="0"/>
      <w:ind w:left="1209"/>
      <w:textAlignment w:val="baseline"/>
    </w:pPr>
    <w:rPr>
      <w:rFonts w:eastAsia="MS Mincho"/>
      <w:lang w:eastAsia="en-GB"/>
    </w:rPr>
  </w:style>
  <w:style w:type="paragraph" w:customStyle="1" w:styleId="Reference">
    <w:name w:val="Reference"/>
    <w:basedOn w:val="EX"/>
    <w:rsid w:val="003B4563"/>
    <w:pPr>
      <w:tabs>
        <w:tab w:val="left" w:pos="567"/>
      </w:tabs>
      <w:ind w:left="567" w:hanging="567"/>
    </w:pPr>
  </w:style>
  <w:style w:type="paragraph" w:customStyle="1" w:styleId="text">
    <w:name w:val="text"/>
    <w:basedOn w:val="Normal"/>
    <w:rsid w:val="003B4563"/>
    <w:pPr>
      <w:widowControl w:val="0"/>
      <w:spacing w:after="240"/>
      <w:jc w:val="both"/>
    </w:pPr>
    <w:rPr>
      <w:sz w:val="24"/>
      <w:lang w:val="en-AU"/>
    </w:rPr>
  </w:style>
  <w:style w:type="paragraph" w:customStyle="1" w:styleId="berschrift1H1">
    <w:name w:val="Überschrift 1.H1"/>
    <w:basedOn w:val="Normal"/>
    <w:next w:val="Normal"/>
    <w:rsid w:val="003B4563"/>
    <w:pPr>
      <w:keepNext/>
      <w:keepLines/>
      <w:pBdr>
        <w:top w:val="single" w:sz="12" w:space="3" w:color="auto"/>
      </w:pBdr>
      <w:tabs>
        <w:tab w:val="left" w:pos="735"/>
      </w:tabs>
      <w:spacing w:before="240"/>
      <w:ind w:left="735" w:hanging="735"/>
      <w:outlineLvl w:val="0"/>
    </w:pPr>
    <w:rPr>
      <w:rFonts w:ascii="Arial" w:hAnsi="Arial"/>
      <w:sz w:val="36"/>
      <w:lang w:eastAsia="de-DE"/>
    </w:rPr>
  </w:style>
  <w:style w:type="paragraph" w:customStyle="1" w:styleId="textintend3">
    <w:name w:val="text intend 3"/>
    <w:basedOn w:val="text"/>
    <w:rsid w:val="003B4563"/>
    <w:pPr>
      <w:widowControl/>
      <w:tabs>
        <w:tab w:val="left" w:pos="1843"/>
      </w:tabs>
      <w:spacing w:after="120"/>
      <w:ind w:left="1843" w:hanging="425"/>
    </w:pPr>
    <w:rPr>
      <w:rFonts w:eastAsia="MS Mincho"/>
      <w:lang w:val="en-US"/>
    </w:rPr>
  </w:style>
  <w:style w:type="paragraph" w:customStyle="1" w:styleId="tdoc-header">
    <w:name w:val="tdoc-header"/>
    <w:rsid w:val="003B4563"/>
    <w:rPr>
      <w:rFonts w:ascii="Arial" w:hAnsi="Arial"/>
      <w:sz w:val="24"/>
      <w:lang w:val="en-GB" w:eastAsia="en-US"/>
    </w:rPr>
  </w:style>
  <w:style w:type="paragraph" w:customStyle="1" w:styleId="normalpuce">
    <w:name w:val="normal puce"/>
    <w:basedOn w:val="Normal"/>
    <w:rsid w:val="003B4563"/>
    <w:pPr>
      <w:widowControl w:val="0"/>
      <w:tabs>
        <w:tab w:val="left" w:pos="360"/>
      </w:tabs>
      <w:spacing w:before="60" w:after="60"/>
      <w:ind w:left="360" w:hanging="360"/>
      <w:jc w:val="both"/>
    </w:pPr>
    <w:rPr>
      <w:rFonts w:eastAsia="MS Mincho"/>
    </w:rPr>
  </w:style>
  <w:style w:type="paragraph" w:customStyle="1" w:styleId="t2">
    <w:name w:val="t2"/>
    <w:basedOn w:val="Normal"/>
    <w:rsid w:val="003B4563"/>
    <w:pPr>
      <w:overflowPunct w:val="0"/>
      <w:autoSpaceDE w:val="0"/>
      <w:autoSpaceDN w:val="0"/>
      <w:adjustRightInd w:val="0"/>
      <w:spacing w:after="0"/>
      <w:textAlignment w:val="baseline"/>
    </w:pPr>
    <w:rPr>
      <w:rFonts w:eastAsia="MS Mincho"/>
      <w:lang w:eastAsia="en-GB"/>
    </w:rPr>
  </w:style>
  <w:style w:type="paragraph" w:customStyle="1" w:styleId="para">
    <w:name w:val="para"/>
    <w:basedOn w:val="Normal"/>
    <w:rsid w:val="003B4563"/>
    <w:pPr>
      <w:spacing w:after="240"/>
      <w:jc w:val="both"/>
    </w:pPr>
    <w:rPr>
      <w:rFonts w:ascii="Helvetica" w:hAnsi="Helvetica"/>
    </w:rPr>
  </w:style>
  <w:style w:type="paragraph" w:customStyle="1" w:styleId="TitleText">
    <w:name w:val="Title Text"/>
    <w:basedOn w:val="Normal"/>
    <w:next w:val="Normal"/>
    <w:rsid w:val="003B4563"/>
    <w:pPr>
      <w:overflowPunct w:val="0"/>
      <w:autoSpaceDE w:val="0"/>
      <w:autoSpaceDN w:val="0"/>
      <w:adjustRightInd w:val="0"/>
      <w:spacing w:after="220"/>
      <w:textAlignment w:val="baseline"/>
    </w:pPr>
    <w:rPr>
      <w:rFonts w:eastAsia="MS Mincho"/>
      <w:b/>
      <w:lang w:val="en-US" w:eastAsia="en-GB"/>
    </w:rPr>
  </w:style>
  <w:style w:type="paragraph" w:customStyle="1" w:styleId="CarCar">
    <w:name w:val="Car Car"/>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MTDisplayEquation">
    <w:name w:val="MTDisplayEquation"/>
    <w:basedOn w:val="Normal"/>
    <w:rsid w:val="003B4563"/>
    <w:pPr>
      <w:tabs>
        <w:tab w:val="center" w:pos="4820"/>
        <w:tab w:val="right" w:pos="9640"/>
      </w:tabs>
    </w:pPr>
  </w:style>
  <w:style w:type="paragraph" w:customStyle="1" w:styleId="CommentNokia">
    <w:name w:val="Comment Nokia"/>
    <w:basedOn w:val="Normal"/>
    <w:rsid w:val="003B4563"/>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harCharChar">
    <w:name w:val="Char Char Char"/>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List1">
    <w:name w:val="List1"/>
    <w:basedOn w:val="Normal"/>
    <w:rsid w:val="003B4563"/>
    <w:pPr>
      <w:spacing w:before="120" w:after="0" w:line="280" w:lineRule="atLeast"/>
      <w:ind w:left="360" w:hanging="360"/>
      <w:jc w:val="both"/>
    </w:pPr>
    <w:rPr>
      <w:rFonts w:ascii="Bookman" w:hAnsi="Bookman"/>
      <w:lang w:val="en-US"/>
    </w:rPr>
  </w:style>
  <w:style w:type="paragraph" w:customStyle="1" w:styleId="CRCoverPage">
    <w:name w:val="CR Cover Page"/>
    <w:link w:val="CRCoverPageChar"/>
    <w:rsid w:val="003B4563"/>
    <w:pPr>
      <w:spacing w:after="120"/>
    </w:pPr>
    <w:rPr>
      <w:rFonts w:ascii="Arial" w:hAnsi="Arial"/>
      <w:lang w:val="en-GB"/>
    </w:rPr>
  </w:style>
  <w:style w:type="paragraph" w:customStyle="1" w:styleId="1">
    <w:name w:val="样式1"/>
    <w:basedOn w:val="TAN"/>
    <w:link w:val="1Char"/>
    <w:qFormat/>
    <w:rsid w:val="003B4563"/>
    <w:pPr>
      <w:numPr>
        <w:numId w:val="3"/>
      </w:numPr>
      <w:overflowPunct w:val="0"/>
      <w:autoSpaceDE w:val="0"/>
      <w:autoSpaceDN w:val="0"/>
      <w:adjustRightInd w:val="0"/>
      <w:textAlignment w:val="baseline"/>
    </w:pPr>
    <w:rPr>
      <w:rFonts w:eastAsia="MS Mincho"/>
      <w:lang w:val="x-none" w:eastAsia="ja-JP"/>
    </w:rPr>
  </w:style>
  <w:style w:type="paragraph" w:customStyle="1" w:styleId="TdocText">
    <w:name w:val="Tdoc_Text"/>
    <w:basedOn w:val="Normal"/>
    <w:rsid w:val="003B4563"/>
    <w:pPr>
      <w:spacing w:before="120" w:after="0"/>
      <w:jc w:val="both"/>
    </w:pPr>
    <w:rPr>
      <w:lang w:val="en-US"/>
    </w:rPr>
  </w:style>
  <w:style w:type="paragraph" w:customStyle="1" w:styleId="FooterCentred">
    <w:name w:val="FooterCentred"/>
    <w:basedOn w:val="Footer"/>
    <w:rsid w:val="003B4563"/>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i w:val="0"/>
      <w:noProof w:val="0"/>
      <w:sz w:val="20"/>
      <w:lang w:eastAsia="en-GB"/>
    </w:rPr>
  </w:style>
  <w:style w:type="paragraph" w:customStyle="1" w:styleId="centered">
    <w:name w:val="centered"/>
    <w:basedOn w:val="Normal"/>
    <w:rsid w:val="003B4563"/>
    <w:pPr>
      <w:widowControl w:val="0"/>
      <w:spacing w:before="120" w:after="0" w:line="280" w:lineRule="atLeast"/>
      <w:jc w:val="center"/>
    </w:pPr>
    <w:rPr>
      <w:rFonts w:ascii="Bookman" w:hAnsi="Bookman"/>
      <w:lang w:val="en-US"/>
    </w:rPr>
  </w:style>
  <w:style w:type="paragraph" w:customStyle="1" w:styleId="berschrift2Head2A2">
    <w:name w:val="Überschrift 2.Head2A.2"/>
    <w:basedOn w:val="Heading1"/>
    <w:next w:val="Normal"/>
    <w:rsid w:val="003B4563"/>
    <w:pPr>
      <w:pBdr>
        <w:top w:val="none" w:sz="0" w:space="0" w:color="auto"/>
      </w:pBdr>
      <w:tabs>
        <w:tab w:val="left" w:pos="432"/>
      </w:tabs>
      <w:spacing w:before="180"/>
      <w:outlineLvl w:val="1"/>
    </w:pPr>
    <w:rPr>
      <w:rFonts w:eastAsia="MS Mincho"/>
      <w:sz w:val="32"/>
      <w:lang w:eastAsia="de-DE"/>
    </w:rPr>
  </w:style>
  <w:style w:type="paragraph" w:customStyle="1" w:styleId="3">
    <w:name w:val="(文字) (文字)3"/>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References">
    <w:name w:val="References"/>
    <w:basedOn w:val="Normal"/>
    <w:rsid w:val="003B4563"/>
    <w:pPr>
      <w:numPr>
        <w:numId w:val="4"/>
      </w:numPr>
      <w:tabs>
        <w:tab w:val="clear" w:pos="360"/>
        <w:tab w:val="num" w:pos="432"/>
      </w:tabs>
      <w:spacing w:after="80"/>
      <w:ind w:left="432" w:hanging="432"/>
    </w:pPr>
    <w:rPr>
      <w:sz w:val="18"/>
      <w:lang w:val="en-US"/>
    </w:rPr>
  </w:style>
  <w:style w:type="paragraph" w:customStyle="1" w:styleId="Copyright">
    <w:name w:val="Copyright"/>
    <w:basedOn w:val="Normal"/>
    <w:rsid w:val="003B4563"/>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ableTitle">
    <w:name w:val="TableTitle"/>
    <w:basedOn w:val="BodyText2"/>
    <w:next w:val="BodyText2"/>
    <w:rsid w:val="003B4563"/>
    <w:pPr>
      <w:keepNext/>
      <w:keepLines/>
      <w:overflowPunct w:val="0"/>
      <w:autoSpaceDE w:val="0"/>
      <w:autoSpaceDN w:val="0"/>
      <w:adjustRightInd w:val="0"/>
      <w:spacing w:after="60"/>
      <w:ind w:left="210"/>
      <w:jc w:val="center"/>
      <w:textAlignment w:val="baseline"/>
    </w:pPr>
    <w:rPr>
      <w:rFonts w:eastAsia="MS Mincho"/>
      <w:b/>
      <w:sz w:val="20"/>
      <w:lang w:eastAsia="en-GB"/>
    </w:rPr>
  </w:style>
  <w:style w:type="paragraph" w:customStyle="1" w:styleId="ZchnZchn">
    <w:name w:val="Zchn Zchn"/>
    <w:semiHidden/>
    <w:rsid w:val="003B4563"/>
    <w:pPr>
      <w:keepNext/>
      <w:numPr>
        <w:numId w:val="5"/>
      </w:numPr>
      <w:tabs>
        <w:tab w:val="left" w:pos="851"/>
      </w:tabs>
      <w:autoSpaceDE w:val="0"/>
      <w:autoSpaceDN w:val="0"/>
      <w:adjustRightInd w:val="0"/>
      <w:spacing w:before="60" w:after="60"/>
      <w:jc w:val="both"/>
    </w:pPr>
    <w:rPr>
      <w:rFonts w:ascii="Arial" w:hAnsi="Arial" w:cs="Arial"/>
      <w:color w:val="0000FF"/>
      <w:kern w:val="2"/>
    </w:rPr>
  </w:style>
  <w:style w:type="paragraph" w:customStyle="1" w:styleId="berschrift3h3H3Underrubrik2">
    <w:name w:val="Überschrift 3.h3.H3.Underrubrik2"/>
    <w:basedOn w:val="Heading2"/>
    <w:next w:val="Normal"/>
    <w:rsid w:val="003B4563"/>
    <w:pPr>
      <w:spacing w:before="120"/>
      <w:outlineLvl w:val="2"/>
    </w:pPr>
    <w:rPr>
      <w:rFonts w:eastAsia="MS Mincho"/>
      <w:sz w:val="28"/>
      <w:lang w:eastAsia="de-DE"/>
    </w:rPr>
  </w:style>
  <w:style w:type="paragraph" w:customStyle="1" w:styleId="TableText0">
    <w:name w:val="TableText"/>
    <w:basedOn w:val="BodyTextIndent"/>
    <w:rsid w:val="003B4563"/>
    <w:pPr>
      <w:keepNext/>
      <w:keepLines/>
      <w:overflowPunct w:val="0"/>
      <w:autoSpaceDE w:val="0"/>
      <w:autoSpaceDN w:val="0"/>
      <w:adjustRightInd w:val="0"/>
      <w:spacing w:before="0" w:after="180"/>
      <w:ind w:left="0"/>
      <w:jc w:val="center"/>
      <w:textAlignment w:val="baseline"/>
    </w:pPr>
    <w:rPr>
      <w:i w:val="0"/>
      <w:snapToGrid w:val="0"/>
      <w:kern w:val="2"/>
      <w:sz w:val="20"/>
    </w:rPr>
  </w:style>
  <w:style w:type="paragraph" w:customStyle="1" w:styleId="a2">
    <w:name w:val="(文字) (文字)"/>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Para1">
    <w:name w:val="Para1"/>
    <w:basedOn w:val="Normal"/>
    <w:rsid w:val="003B4563"/>
    <w:pPr>
      <w:overflowPunct w:val="0"/>
      <w:autoSpaceDE w:val="0"/>
      <w:autoSpaceDN w:val="0"/>
      <w:adjustRightInd w:val="0"/>
      <w:spacing w:before="120" w:after="120"/>
      <w:textAlignment w:val="baseline"/>
    </w:pPr>
    <w:rPr>
      <w:rFonts w:eastAsia="MS Mincho"/>
      <w:lang w:val="en-US" w:eastAsia="en-GB"/>
    </w:rPr>
  </w:style>
  <w:style w:type="paragraph" w:customStyle="1" w:styleId="WP">
    <w:name w:val="WP"/>
    <w:basedOn w:val="Normal"/>
    <w:rsid w:val="003B4563"/>
    <w:pPr>
      <w:overflowPunct w:val="0"/>
      <w:autoSpaceDE w:val="0"/>
      <w:autoSpaceDN w:val="0"/>
      <w:adjustRightInd w:val="0"/>
      <w:spacing w:after="0"/>
      <w:jc w:val="both"/>
      <w:textAlignment w:val="baseline"/>
    </w:pPr>
    <w:rPr>
      <w:rFonts w:eastAsia="MS Mincho"/>
      <w:lang w:eastAsia="en-GB"/>
    </w:rPr>
  </w:style>
  <w:style w:type="paragraph" w:customStyle="1" w:styleId="10">
    <w:name w:val="修订1"/>
    <w:semiHidden/>
    <w:rsid w:val="003B4563"/>
    <w:rPr>
      <w:rFonts w:eastAsia="Batang"/>
      <w:lang w:val="en-GB" w:eastAsia="en-US"/>
    </w:rPr>
  </w:style>
  <w:style w:type="paragraph" w:customStyle="1" w:styleId="a3">
    <w:name w:val="吹き出し"/>
    <w:basedOn w:val="Normal"/>
    <w:semiHidden/>
    <w:rsid w:val="003B4563"/>
    <w:rPr>
      <w:rFonts w:ascii="Tahoma" w:eastAsia="MS Mincho" w:hAnsi="Tahoma" w:cs="Tahoma"/>
      <w:sz w:val="16"/>
      <w:szCs w:val="16"/>
    </w:rPr>
  </w:style>
  <w:style w:type="paragraph" w:customStyle="1" w:styleId="Figure">
    <w:name w:val="Figure"/>
    <w:basedOn w:val="Normal"/>
    <w:qFormat/>
    <w:rsid w:val="003B4563"/>
    <w:pPr>
      <w:numPr>
        <w:numId w:val="6"/>
      </w:numPr>
      <w:tabs>
        <w:tab w:val="num" w:pos="360"/>
        <w:tab w:val="left" w:pos="1440"/>
      </w:tabs>
      <w:spacing w:before="180" w:after="240" w:line="280" w:lineRule="atLeast"/>
      <w:ind w:left="0" w:firstLine="0"/>
      <w:jc w:val="center"/>
    </w:pPr>
    <w:rPr>
      <w:rFonts w:ascii="Arial" w:hAnsi="Arial"/>
      <w:b/>
      <w:lang w:val="en-US" w:eastAsia="ja-JP"/>
    </w:rPr>
  </w:style>
  <w:style w:type="paragraph" w:customStyle="1" w:styleId="ZchnZchn1">
    <w:name w:val="Zchn Zchn1"/>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CharChar">
    <w:name w:val="Char Char Char Char Char"/>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
    <w:name w:val="Char Char"/>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Tdoctable">
    <w:name w:val="Tdoc_table"/>
    <w:rsid w:val="003B4563"/>
    <w:pPr>
      <w:ind w:left="244" w:hanging="244"/>
    </w:pPr>
    <w:rPr>
      <w:rFonts w:ascii="Arial" w:hAnsi="Arial"/>
      <w:color w:val="000000"/>
      <w:lang w:val="en-GB" w:eastAsia="en-US"/>
    </w:rPr>
  </w:style>
  <w:style w:type="paragraph" w:customStyle="1" w:styleId="StyleHeading6After9pt">
    <w:name w:val="Style Heading 6 + After:  9 pt"/>
    <w:basedOn w:val="Heading6"/>
    <w:rsid w:val="003B4563"/>
    <w:pPr>
      <w:keepNext w:val="0"/>
      <w:keepLines w:val="0"/>
      <w:spacing w:before="240"/>
      <w:ind w:left="0" w:firstLine="0"/>
    </w:pPr>
    <w:rPr>
      <w:rFonts w:eastAsia="MS Mincho"/>
      <w:bCs/>
    </w:rPr>
  </w:style>
  <w:style w:type="paragraph" w:customStyle="1" w:styleId="Char">
    <w:name w:val="Char"/>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Data">
    <w:name w:val="Data"/>
    <w:basedOn w:val="Normal"/>
    <w:rsid w:val="003B4563"/>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20">
    <w:name w:val="p20"/>
    <w:basedOn w:val="Normal"/>
    <w:rsid w:val="003B4563"/>
    <w:pPr>
      <w:snapToGrid w:val="0"/>
      <w:spacing w:after="0"/>
      <w:textAlignment w:val="baseline"/>
    </w:pPr>
    <w:rPr>
      <w:rFonts w:ascii="Arial" w:hAnsi="Arial" w:cs="Arial"/>
      <w:sz w:val="18"/>
      <w:szCs w:val="18"/>
      <w:lang w:val="en-US" w:eastAsia="zh-CN"/>
    </w:rPr>
  </w:style>
  <w:style w:type="paragraph" w:customStyle="1" w:styleId="1Char0">
    <w:name w:val="(文字) (文字)1 Char (文字) (文字)"/>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TC">
    <w:name w:val="ATC"/>
    <w:basedOn w:val="Normal"/>
    <w:rsid w:val="003B4563"/>
    <w:pPr>
      <w:overflowPunct w:val="0"/>
      <w:autoSpaceDE w:val="0"/>
      <w:autoSpaceDN w:val="0"/>
      <w:adjustRightInd w:val="0"/>
      <w:textAlignment w:val="baseline"/>
    </w:pPr>
    <w:rPr>
      <w:lang w:eastAsia="ja-JP"/>
    </w:rPr>
  </w:style>
  <w:style w:type="paragraph" w:customStyle="1" w:styleId="HO">
    <w:name w:val="HO"/>
    <w:basedOn w:val="Normal"/>
    <w:rsid w:val="003B4563"/>
    <w:pPr>
      <w:overflowPunct w:val="0"/>
      <w:autoSpaceDE w:val="0"/>
      <w:autoSpaceDN w:val="0"/>
      <w:adjustRightInd w:val="0"/>
      <w:spacing w:after="0"/>
      <w:jc w:val="right"/>
      <w:textAlignment w:val="baseline"/>
    </w:pPr>
    <w:rPr>
      <w:rFonts w:eastAsia="MS Mincho"/>
      <w:b/>
      <w:lang w:eastAsia="en-GB"/>
    </w:rPr>
  </w:style>
  <w:style w:type="paragraph" w:customStyle="1" w:styleId="CharChar1CharChar">
    <w:name w:val="Char Char1 Char Char"/>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LightGrid-Accent31">
    <w:name w:val="Light Grid - Accent 31"/>
    <w:basedOn w:val="Normal"/>
    <w:qFormat/>
    <w:rsid w:val="003B4563"/>
    <w:pPr>
      <w:overflowPunct w:val="0"/>
      <w:autoSpaceDE w:val="0"/>
      <w:autoSpaceDN w:val="0"/>
      <w:adjustRightInd w:val="0"/>
      <w:ind w:left="720"/>
      <w:contextualSpacing/>
      <w:textAlignment w:val="baseline"/>
    </w:pPr>
  </w:style>
  <w:style w:type="paragraph" w:customStyle="1" w:styleId="1CharChar1">
    <w:name w:val="(文字) (文字)1 Char (文字) (文字) Char (文字) (文字)1"/>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
    <w:name w:val="(文字) (文字)1 Char (文字) (文字) Char"/>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LightList-Accent31">
    <w:name w:val="Light List - Accent 31"/>
    <w:semiHidden/>
    <w:rsid w:val="003B4563"/>
    <w:rPr>
      <w:rFonts w:eastAsia="Batang"/>
      <w:lang w:val="en-GB" w:eastAsia="en-US"/>
    </w:rPr>
  </w:style>
  <w:style w:type="paragraph" w:customStyle="1" w:styleId="1CharChar1CharCharCharChar">
    <w:name w:val="(文字) (文字)1 Char (文字) (文字) Char (文字) (文字)1 Char (文字) (文字) Char Char Char"/>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2">
    <w:name w:val="吹き出し2"/>
    <w:basedOn w:val="Normal"/>
    <w:semiHidden/>
    <w:rsid w:val="003B4563"/>
    <w:rPr>
      <w:rFonts w:ascii="Tahoma" w:eastAsia="MS Mincho" w:hAnsi="Tahoma" w:cs="Tahoma"/>
      <w:sz w:val="16"/>
      <w:szCs w:val="16"/>
    </w:rPr>
  </w:style>
  <w:style w:type="paragraph" w:customStyle="1" w:styleId="xl40">
    <w:name w:val="xl40"/>
    <w:basedOn w:val="Normal"/>
    <w:rsid w:val="003B4563"/>
    <w:pPr>
      <w:shd w:val="clear" w:color="000000" w:fill="FFFF00"/>
      <w:spacing w:before="100" w:beforeAutospacing="1" w:after="100" w:afterAutospacing="1"/>
      <w:jc w:val="center"/>
    </w:pPr>
    <w:rPr>
      <w:rFonts w:ascii="Arial" w:hAnsi="Arial" w:cs="Arial"/>
      <w:b/>
      <w:bCs/>
      <w:color w:val="000000"/>
      <w:sz w:val="16"/>
      <w:szCs w:val="16"/>
      <w:lang w:eastAsia="en-GB"/>
    </w:rPr>
  </w:style>
  <w:style w:type="paragraph" w:customStyle="1" w:styleId="ZK">
    <w:name w:val="ZK"/>
    <w:rsid w:val="003B4563"/>
    <w:pPr>
      <w:spacing w:after="240" w:line="240" w:lineRule="atLeast"/>
      <w:ind w:left="1191" w:right="113" w:hanging="1191"/>
    </w:pPr>
    <w:rPr>
      <w:rFonts w:eastAsia="MS Mincho"/>
      <w:lang w:val="en-GB" w:eastAsia="en-US"/>
    </w:rPr>
  </w:style>
  <w:style w:type="paragraph" w:customStyle="1" w:styleId="1030302">
    <w:name w:val="样式 样式 标题 1 + 两端对齐 段前: 0.3 行 段后: 0.3 行 行距: 单倍行距 + 段前: 0.2 行 段后: ..."/>
    <w:basedOn w:val="Normal"/>
    <w:rsid w:val="003B4563"/>
    <w:pPr>
      <w:keepNext/>
      <w:numPr>
        <w:numId w:val="7"/>
      </w:numPr>
      <w:tabs>
        <w:tab w:val="left" w:pos="0"/>
      </w:tabs>
      <w:spacing w:beforeLines="20" w:afterLines="10"/>
      <w:ind w:right="284"/>
      <w:jc w:val="both"/>
      <w:outlineLvl w:val="0"/>
    </w:pPr>
    <w:rPr>
      <w:rFonts w:ascii="Arial" w:hAnsi="Arial" w:cs="SimSun"/>
      <w:b/>
      <w:bCs/>
      <w:sz w:val="28"/>
      <w:lang w:val="en-US" w:eastAsia="zh-CN"/>
    </w:rPr>
  </w:style>
  <w:style w:type="paragraph" w:customStyle="1" w:styleId="CharCharCharChar1">
    <w:name w:val="Char Char Char Char1"/>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2CharChar">
    <w:name w:val="Char Char2 Char Char"/>
    <w:basedOn w:val="Normal"/>
    <w:rsid w:val="003B456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Separation">
    <w:name w:val="Separation"/>
    <w:basedOn w:val="Heading1"/>
    <w:next w:val="Normal"/>
    <w:rsid w:val="003B4563"/>
    <w:pPr>
      <w:pBdr>
        <w:top w:val="none" w:sz="0" w:space="0" w:color="auto"/>
      </w:pBdr>
      <w:tabs>
        <w:tab w:val="left" w:pos="432"/>
      </w:tabs>
    </w:pPr>
    <w:rPr>
      <w:b/>
      <w:color w:val="0000FF"/>
    </w:rPr>
  </w:style>
  <w:style w:type="paragraph" w:customStyle="1" w:styleId="11">
    <w:name w:val="吹き出し1"/>
    <w:basedOn w:val="Normal"/>
    <w:semiHidden/>
    <w:rsid w:val="003B4563"/>
    <w:rPr>
      <w:rFonts w:ascii="Tahoma" w:eastAsia="MS Mincho" w:hAnsi="Tahoma" w:cs="Tahoma"/>
      <w:sz w:val="16"/>
      <w:szCs w:val="16"/>
    </w:rPr>
  </w:style>
  <w:style w:type="paragraph" w:customStyle="1" w:styleId="CharCharCharCharCharChar">
    <w:name w:val="Char Char Char Char Char Char"/>
    <w:semiHidden/>
    <w:rsid w:val="003B4563"/>
    <w:pPr>
      <w:keepNext/>
      <w:autoSpaceDE w:val="0"/>
      <w:autoSpaceDN w:val="0"/>
      <w:adjustRightInd w:val="0"/>
      <w:spacing w:before="60" w:after="60"/>
      <w:ind w:left="567" w:hanging="283"/>
      <w:jc w:val="both"/>
    </w:pPr>
    <w:rPr>
      <w:rFonts w:ascii="Arial" w:hAnsi="Arial" w:cs="Arial"/>
      <w:color w:val="0000FF"/>
      <w:kern w:val="2"/>
    </w:rPr>
  </w:style>
  <w:style w:type="paragraph" w:customStyle="1" w:styleId="20">
    <w:name w:val="(文字) (文字)2"/>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ZchnZchn2">
    <w:name w:val="Zchn Zchn2"/>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4">
    <w:name w:val="(文字) (文字)4"/>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Bullets">
    <w:name w:val="Bullets"/>
    <w:basedOn w:val="BodyText"/>
    <w:rsid w:val="003B4563"/>
    <w:pPr>
      <w:widowControl w:val="0"/>
      <w:overflowPunct w:val="0"/>
      <w:autoSpaceDE w:val="0"/>
      <w:autoSpaceDN w:val="0"/>
      <w:adjustRightInd w:val="0"/>
      <w:spacing w:after="120"/>
      <w:ind w:left="283" w:hanging="283"/>
      <w:textAlignment w:val="baseline"/>
    </w:pPr>
    <w:rPr>
      <w:rFonts w:eastAsia="MS Mincho"/>
      <w:lang w:eastAsia="de-DE"/>
    </w:rPr>
  </w:style>
  <w:style w:type="paragraph" w:customStyle="1" w:styleId="Bullet0">
    <w:name w:val="Bullet"/>
    <w:basedOn w:val="Normal"/>
    <w:rsid w:val="003B4563"/>
    <w:pPr>
      <w:numPr>
        <w:numId w:val="8"/>
      </w:numPr>
      <w:tabs>
        <w:tab w:val="left" w:pos="928"/>
      </w:tabs>
    </w:pPr>
    <w:rPr>
      <w:rFonts w:eastAsia="Batang"/>
    </w:rPr>
  </w:style>
  <w:style w:type="paragraph" w:customStyle="1" w:styleId="StyleHeading6Left0cmHanging349cmAfter9pt">
    <w:name w:val="Style Heading 6 + Left:  0 cm Hanging:  3.49 cm After:  9 pt"/>
    <w:basedOn w:val="Heading6"/>
    <w:rsid w:val="003B4563"/>
    <w:pPr>
      <w:keepNext w:val="0"/>
      <w:keepLines w:val="0"/>
      <w:spacing w:before="240"/>
      <w:ind w:left="1980" w:hanging="1980"/>
    </w:pPr>
    <w:rPr>
      <w:rFonts w:eastAsia="MS Mincho"/>
      <w:bCs/>
    </w:rPr>
  </w:style>
  <w:style w:type="paragraph" w:customStyle="1" w:styleId="JK-text-simpledoc">
    <w:name w:val="JK - text - simple doc"/>
    <w:basedOn w:val="BodyText"/>
    <w:rsid w:val="003B4563"/>
    <w:pPr>
      <w:numPr>
        <w:numId w:val="9"/>
      </w:numPr>
      <w:tabs>
        <w:tab w:val="clear" w:pos="1980"/>
        <w:tab w:val="left" w:pos="1097"/>
      </w:tabs>
      <w:spacing w:after="120" w:line="288" w:lineRule="auto"/>
      <w:ind w:left="1097" w:hanging="360"/>
    </w:pPr>
    <w:rPr>
      <w:rFonts w:ascii="Arial" w:hAnsi="Arial" w:cs="Arial"/>
    </w:rPr>
  </w:style>
  <w:style w:type="paragraph" w:customStyle="1" w:styleId="b10">
    <w:name w:val="b1"/>
    <w:basedOn w:val="Normal"/>
    <w:rsid w:val="003B4563"/>
    <w:pPr>
      <w:spacing w:before="100" w:beforeAutospacing="1" w:after="100" w:afterAutospacing="1"/>
    </w:pPr>
    <w:rPr>
      <w:sz w:val="24"/>
      <w:szCs w:val="24"/>
      <w:lang w:val="en-US"/>
    </w:rPr>
  </w:style>
  <w:style w:type="paragraph" w:customStyle="1" w:styleId="12">
    <w:name w:val="(文字) (文字)1"/>
    <w:semiHidden/>
    <w:rsid w:val="003B4563"/>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Note">
    <w:name w:val="Note"/>
    <w:basedOn w:val="B1"/>
    <w:rsid w:val="003B4563"/>
    <w:pPr>
      <w:overflowPunct w:val="0"/>
      <w:autoSpaceDE w:val="0"/>
      <w:autoSpaceDN w:val="0"/>
      <w:adjustRightInd w:val="0"/>
      <w:textAlignment w:val="baseline"/>
    </w:pPr>
    <w:rPr>
      <w:rFonts w:ascii="Tms Rmn" w:eastAsia="MS Mincho" w:hAnsi="Tms Rmn"/>
      <w:lang w:eastAsia="en-GB"/>
    </w:rPr>
  </w:style>
  <w:style w:type="paragraph" w:customStyle="1" w:styleId="TOC91">
    <w:name w:val="TOC 91"/>
    <w:basedOn w:val="TOC8"/>
    <w:rsid w:val="003B4563"/>
    <w:pPr>
      <w:overflowPunct w:val="0"/>
      <w:autoSpaceDE w:val="0"/>
      <w:autoSpaceDN w:val="0"/>
      <w:adjustRightInd w:val="0"/>
      <w:ind w:left="1418" w:hanging="1418"/>
      <w:textAlignment w:val="baseline"/>
    </w:pPr>
    <w:rPr>
      <w:rFonts w:eastAsia="MS Mincho"/>
      <w:noProof w:val="0"/>
      <w:lang w:eastAsia="en-GB"/>
    </w:rPr>
  </w:style>
  <w:style w:type="paragraph" w:customStyle="1" w:styleId="Caption1">
    <w:name w:val="Caption1"/>
    <w:basedOn w:val="Normal"/>
    <w:next w:val="Normal"/>
    <w:rsid w:val="003B4563"/>
    <w:pPr>
      <w:overflowPunct w:val="0"/>
      <w:autoSpaceDE w:val="0"/>
      <w:autoSpaceDN w:val="0"/>
      <w:adjustRightInd w:val="0"/>
      <w:spacing w:before="120" w:after="120"/>
      <w:textAlignment w:val="baseline"/>
    </w:pPr>
    <w:rPr>
      <w:rFonts w:eastAsia="MS Mincho"/>
      <w:b/>
      <w:lang w:eastAsia="en-GB"/>
    </w:rPr>
  </w:style>
  <w:style w:type="paragraph" w:customStyle="1" w:styleId="ZC">
    <w:name w:val="ZC"/>
    <w:rsid w:val="003B4563"/>
    <w:pPr>
      <w:spacing w:line="360" w:lineRule="atLeast"/>
      <w:jc w:val="center"/>
    </w:pPr>
    <w:rPr>
      <w:rFonts w:eastAsia="MS Mincho"/>
      <w:lang w:val="en-GB" w:eastAsia="en-US"/>
    </w:rPr>
  </w:style>
  <w:style w:type="paragraph" w:customStyle="1" w:styleId="NumberedList">
    <w:name w:val="Numbered List"/>
    <w:basedOn w:val="Para1"/>
    <w:rsid w:val="003B4563"/>
    <w:pPr>
      <w:tabs>
        <w:tab w:val="left" w:pos="360"/>
      </w:tabs>
      <w:ind w:left="360" w:hanging="360"/>
    </w:pPr>
  </w:style>
  <w:style w:type="paragraph" w:customStyle="1" w:styleId="TableofFigures1">
    <w:name w:val="Table of Figures1"/>
    <w:basedOn w:val="Normal"/>
    <w:next w:val="Normal"/>
    <w:rsid w:val="003B4563"/>
    <w:pPr>
      <w:overflowPunct w:val="0"/>
      <w:autoSpaceDE w:val="0"/>
      <w:autoSpaceDN w:val="0"/>
      <w:adjustRightInd w:val="0"/>
      <w:ind w:left="400" w:hanging="400"/>
      <w:jc w:val="center"/>
      <w:textAlignment w:val="baseline"/>
    </w:pPr>
    <w:rPr>
      <w:rFonts w:eastAsia="MS Mincho"/>
      <w:b/>
      <w:lang w:eastAsia="en-GB"/>
    </w:rPr>
  </w:style>
  <w:style w:type="paragraph" w:customStyle="1" w:styleId="Teststep">
    <w:name w:val="Test step"/>
    <w:basedOn w:val="Normal"/>
    <w:rsid w:val="003B4563"/>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Heading3Underrubrik2H3">
    <w:name w:val="Heading 3.Underrubrik2.H3"/>
    <w:basedOn w:val="Heading2Head2A2"/>
    <w:next w:val="Normal"/>
    <w:rsid w:val="003B4563"/>
    <w:pPr>
      <w:spacing w:before="120"/>
      <w:outlineLvl w:val="2"/>
    </w:pPr>
    <w:rPr>
      <w:sz w:val="28"/>
    </w:rPr>
  </w:style>
  <w:style w:type="paragraph" w:customStyle="1" w:styleId="Heading2Head2A2">
    <w:name w:val="Heading 2.Head2A.2"/>
    <w:basedOn w:val="Heading1"/>
    <w:next w:val="Normal"/>
    <w:rsid w:val="003B4563"/>
    <w:pPr>
      <w:pBdr>
        <w:top w:val="none" w:sz="0" w:space="0" w:color="auto"/>
      </w:pBdr>
      <w:tabs>
        <w:tab w:val="left" w:pos="432"/>
      </w:tabs>
      <w:overflowPunct w:val="0"/>
      <w:autoSpaceDE w:val="0"/>
      <w:autoSpaceDN w:val="0"/>
      <w:adjustRightInd w:val="0"/>
      <w:spacing w:before="180"/>
      <w:textAlignment w:val="baseline"/>
      <w:outlineLvl w:val="1"/>
    </w:pPr>
    <w:rPr>
      <w:sz w:val="32"/>
      <w:lang w:eastAsia="es-ES"/>
    </w:rPr>
  </w:style>
  <w:style w:type="paragraph" w:customStyle="1" w:styleId="11BodyText">
    <w:name w:val="11 BodyText"/>
    <w:basedOn w:val="Normal"/>
    <w:rsid w:val="003B4563"/>
    <w:pPr>
      <w:spacing w:after="220"/>
      <w:ind w:left="1298"/>
    </w:pPr>
    <w:rPr>
      <w:rFonts w:ascii="Arial" w:hAnsi="Arial"/>
      <w:lang w:val="en-US" w:eastAsia="en-GB"/>
    </w:rPr>
  </w:style>
  <w:style w:type="paragraph" w:customStyle="1" w:styleId="FL">
    <w:name w:val="FL"/>
    <w:basedOn w:val="Normal"/>
    <w:rsid w:val="003B4563"/>
    <w:pPr>
      <w:keepNext/>
      <w:keepLines/>
      <w:overflowPunct w:val="0"/>
      <w:autoSpaceDE w:val="0"/>
      <w:autoSpaceDN w:val="0"/>
      <w:adjustRightInd w:val="0"/>
      <w:spacing w:before="60"/>
      <w:jc w:val="center"/>
      <w:textAlignment w:val="baseline"/>
    </w:pPr>
    <w:rPr>
      <w:rFonts w:ascii="Arial" w:hAnsi="Arial"/>
      <w:b/>
    </w:rPr>
  </w:style>
  <w:style w:type="paragraph" w:styleId="ListParagraph">
    <w:name w:val="List Paragraph"/>
    <w:aliases w:val="- Bullets,목록 단락,リスト段落,列出段落,?? ??,?????,????,Lista1,列出段落1,中等深浅网格 1 - 着色 21"/>
    <w:basedOn w:val="Normal"/>
    <w:link w:val="ListParagraphChar"/>
    <w:uiPriority w:val="34"/>
    <w:qFormat/>
    <w:rsid w:val="003B4563"/>
    <w:pPr>
      <w:ind w:firstLineChars="200" w:firstLine="420"/>
    </w:pPr>
  </w:style>
  <w:style w:type="character" w:customStyle="1" w:styleId="Heading7Char">
    <w:name w:val="Heading 7 Char"/>
    <w:link w:val="Heading7"/>
    <w:rsid w:val="003B4563"/>
    <w:rPr>
      <w:rFonts w:ascii="Arial" w:hAnsi="Arial"/>
      <w:lang w:val="en-GB"/>
    </w:rPr>
  </w:style>
  <w:style w:type="character" w:customStyle="1" w:styleId="Heading9Char">
    <w:name w:val="Heading 9 Char"/>
    <w:aliases w:val="Figure Heading Char,FH Char"/>
    <w:link w:val="Heading9"/>
    <w:rsid w:val="003B4563"/>
    <w:rPr>
      <w:rFonts w:ascii="Arial" w:hAnsi="Arial"/>
      <w:sz w:val="36"/>
      <w:lang w:val="en-GB"/>
    </w:rPr>
  </w:style>
  <w:style w:type="numbering" w:customStyle="1" w:styleId="13">
    <w:name w:val="リストなし1"/>
    <w:next w:val="NoList"/>
    <w:uiPriority w:val="99"/>
    <w:semiHidden/>
    <w:unhideWhenUsed/>
    <w:rsid w:val="003B4563"/>
  </w:style>
  <w:style w:type="paragraph" w:customStyle="1" w:styleId="81">
    <w:name w:val="表 (赤)  81"/>
    <w:basedOn w:val="Normal"/>
    <w:uiPriority w:val="34"/>
    <w:qFormat/>
    <w:rsid w:val="003B4563"/>
    <w:pPr>
      <w:overflowPunct w:val="0"/>
      <w:autoSpaceDE w:val="0"/>
      <w:autoSpaceDN w:val="0"/>
      <w:adjustRightInd w:val="0"/>
      <w:ind w:left="720"/>
      <w:contextualSpacing/>
      <w:textAlignment w:val="baseline"/>
    </w:pPr>
    <w:rPr>
      <w:lang w:eastAsia="en-GB"/>
    </w:rPr>
  </w:style>
  <w:style w:type="paragraph" w:customStyle="1" w:styleId="note0">
    <w:name w:val="note"/>
    <w:basedOn w:val="Normal"/>
    <w:rsid w:val="003B4563"/>
    <w:pPr>
      <w:spacing w:before="100" w:beforeAutospacing="1" w:after="100" w:afterAutospacing="1"/>
    </w:pPr>
    <w:rPr>
      <w:sz w:val="24"/>
      <w:szCs w:val="24"/>
      <w:lang w:val="en-US" w:eastAsia="zh-CN"/>
    </w:rPr>
  </w:style>
  <w:style w:type="table" w:styleId="TableGrid">
    <w:name w:val="Table Grid"/>
    <w:basedOn w:val="TableNormal"/>
    <w:qFormat/>
    <w:rsid w:val="003B4563"/>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3B4563"/>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rsid w:val="003B4563"/>
    <w:rPr>
      <w:lang w:val="en-GB" w:eastAsia="en-US"/>
    </w:rPr>
  </w:style>
  <w:style w:type="paragraph" w:customStyle="1" w:styleId="Default">
    <w:name w:val="Default"/>
    <w:rsid w:val="003B4563"/>
    <w:pPr>
      <w:autoSpaceDE w:val="0"/>
      <w:autoSpaceDN w:val="0"/>
      <w:adjustRightInd w:val="0"/>
    </w:pPr>
    <w:rPr>
      <w:color w:val="000000"/>
      <w:sz w:val="24"/>
      <w:szCs w:val="24"/>
      <w:lang w:val="fr-FR" w:eastAsia="fr-FR"/>
    </w:rPr>
  </w:style>
  <w:style w:type="character" w:styleId="PlaceholderText">
    <w:name w:val="Placeholder Text"/>
    <w:uiPriority w:val="99"/>
    <w:unhideWhenUsed/>
    <w:rsid w:val="003B4563"/>
    <w:rPr>
      <w:color w:val="808080"/>
    </w:rPr>
  </w:style>
  <w:style w:type="paragraph" w:customStyle="1" w:styleId="LGTdoc">
    <w:name w:val="LGTdoc_본문"/>
    <w:basedOn w:val="Normal"/>
    <w:rsid w:val="00942386"/>
    <w:pPr>
      <w:widowControl w:val="0"/>
      <w:autoSpaceDE w:val="0"/>
      <w:autoSpaceDN w:val="0"/>
      <w:adjustRightInd w:val="0"/>
      <w:snapToGrid w:val="0"/>
      <w:spacing w:afterLines="50" w:after="0" w:line="264" w:lineRule="auto"/>
      <w:jc w:val="both"/>
    </w:pPr>
    <w:rPr>
      <w:rFonts w:eastAsia="Batang"/>
      <w:kern w:val="2"/>
      <w:sz w:val="22"/>
      <w:szCs w:val="24"/>
      <w:lang w:eastAsia="ko-KR"/>
    </w:rPr>
  </w:style>
  <w:style w:type="paragraph" w:styleId="Revision">
    <w:name w:val="Revision"/>
    <w:hidden/>
    <w:uiPriority w:val="99"/>
    <w:semiHidden/>
    <w:rsid w:val="00774F95"/>
    <w:rPr>
      <w:lang w:val="en-GB" w:eastAsia="en-US"/>
    </w:rPr>
  </w:style>
  <w:style w:type="character" w:customStyle="1" w:styleId="lijujieshi">
    <w:name w:val="lijujieshi"/>
    <w:rsid w:val="000A7681"/>
    <w:rPr>
      <w:rFonts w:eastAsia="SimSun"/>
      <w:lang w:val="en-US" w:eastAsia="zh-CN" w:bidi="ar-SA"/>
    </w:rPr>
  </w:style>
  <w:style w:type="character" w:customStyle="1" w:styleId="CaptionChar1">
    <w:name w:val="Caption Char1"/>
    <w:aliases w:val="cap Char1,cap Char Char,Caption Char Char,Caption Char1 Char Char,cap Char Char1 Char,Caption Char Char1 Char Char,cap Char2 Char Char,cap Char2 Char"/>
    <w:uiPriority w:val="99"/>
    <w:rsid w:val="005226C1"/>
    <w:rPr>
      <w:rFonts w:eastAsia="Times New Roman"/>
      <w:b/>
      <w:lang w:val="en-GB"/>
    </w:rPr>
  </w:style>
  <w:style w:type="paragraph" w:styleId="TOCHeading">
    <w:name w:val="TOC Heading"/>
    <w:basedOn w:val="Heading1"/>
    <w:next w:val="Normal"/>
    <w:uiPriority w:val="39"/>
    <w:semiHidden/>
    <w:unhideWhenUsed/>
    <w:qFormat/>
    <w:rsid w:val="00E250B2"/>
    <w:pPr>
      <w:pBdr>
        <w:top w:val="none" w:sz="0" w:space="0" w:color="auto"/>
      </w:pBdr>
      <w:spacing w:before="480" w:after="0" w:line="276" w:lineRule="auto"/>
      <w:ind w:left="0" w:firstLine="0"/>
      <w:outlineLvl w:val="9"/>
    </w:pPr>
    <w:rPr>
      <w:rFonts w:ascii="Cambria" w:eastAsia="MS Gothic" w:hAnsi="Cambria"/>
      <w:b/>
      <w:bCs/>
      <w:color w:val="365F91"/>
      <w:sz w:val="28"/>
      <w:szCs w:val="28"/>
      <w:lang w:val="en-US" w:eastAsia="ja-JP"/>
    </w:rPr>
  </w:style>
  <w:style w:type="character" w:customStyle="1" w:styleId="ListParagraphChar">
    <w:name w:val="List Paragraph Char"/>
    <w:aliases w:val="- Bullets Char,목록 단락 Char,リスト段落 Char,列出段落 Char,?? ?? Char,????? Char,???? Char,Lista1 Char,列出段落1 Char,中等深浅网格 1 - 着色 21 Char"/>
    <w:link w:val="ListParagraph"/>
    <w:uiPriority w:val="34"/>
    <w:qFormat/>
    <w:rsid w:val="00CB2721"/>
    <w:rPr>
      <w:lang w:val="en-GB" w:eastAsia="en-US"/>
    </w:rPr>
  </w:style>
  <w:style w:type="paragraph" w:customStyle="1" w:styleId="bullet">
    <w:name w:val="bullet"/>
    <w:basedOn w:val="ListParagraph"/>
    <w:link w:val="bulletChar"/>
    <w:qFormat/>
    <w:rsid w:val="00800C75"/>
    <w:pPr>
      <w:widowControl w:val="0"/>
      <w:numPr>
        <w:numId w:val="10"/>
      </w:numPr>
      <w:spacing w:after="60"/>
      <w:ind w:firstLineChars="0" w:firstLine="0"/>
      <w:contextualSpacing/>
      <w:jc w:val="both"/>
    </w:pPr>
    <w:rPr>
      <w:rFonts w:eastAsia="Times New Roman"/>
      <w:kern w:val="2"/>
      <w:szCs w:val="24"/>
    </w:rPr>
  </w:style>
  <w:style w:type="character" w:customStyle="1" w:styleId="bulletChar">
    <w:name w:val="bullet Char"/>
    <w:basedOn w:val="DefaultParagraphFont"/>
    <w:link w:val="bullet"/>
    <w:rsid w:val="00800C75"/>
    <w:rPr>
      <w:rFonts w:eastAsia="Times New Roman"/>
      <w:kern w:val="2"/>
      <w:szCs w:val="24"/>
      <w:lang w:val="en-GB" w:eastAsia="en-US"/>
    </w:rPr>
  </w:style>
  <w:style w:type="character" w:customStyle="1" w:styleId="B11">
    <w:name w:val="B1 (文字)"/>
    <w:rsid w:val="00873401"/>
    <w:rPr>
      <w:rFonts w:eastAsia="MS Mincho"/>
      <w:lang w:val="en-GB" w:eastAsia="en-US" w:bidi="ar-SA"/>
    </w:rPr>
  </w:style>
  <w:style w:type="character" w:customStyle="1" w:styleId="MyStyleChar">
    <w:name w:val="MyStyle Char"/>
    <w:basedOn w:val="DefaultParagraphFont"/>
    <w:link w:val="MyStyle"/>
    <w:locked/>
    <w:rsid w:val="009D4A93"/>
    <w:rPr>
      <w:sz w:val="16"/>
    </w:rPr>
  </w:style>
  <w:style w:type="paragraph" w:customStyle="1" w:styleId="MyStyle">
    <w:name w:val="MyStyle"/>
    <w:basedOn w:val="Normal"/>
    <w:link w:val="MyStyleChar"/>
    <w:qFormat/>
    <w:rsid w:val="009D4A93"/>
    <w:pPr>
      <w:spacing w:after="160" w:line="256" w:lineRule="auto"/>
      <w:jc w:val="center"/>
    </w:pPr>
    <w:rPr>
      <w:sz w:val="16"/>
      <w:lang w:val="en-US" w:eastAsia="zh-CN"/>
    </w:rPr>
  </w:style>
  <w:style w:type="table" w:customStyle="1" w:styleId="TableGrid1">
    <w:name w:val="Table Grid1"/>
    <w:basedOn w:val="TableNormal"/>
    <w:next w:val="TableGrid"/>
    <w:uiPriority w:val="39"/>
    <w:rsid w:val="009D4A93"/>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D4A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Table">
    <w:name w:val="ResTable"/>
    <w:basedOn w:val="Normal"/>
    <w:qFormat/>
    <w:rsid w:val="009D4A93"/>
    <w:pPr>
      <w:spacing w:after="0"/>
      <w:jc w:val="center"/>
    </w:pPr>
    <w:rPr>
      <w:rFonts w:asciiTheme="minorHAnsi" w:hAnsiTheme="minorHAnsi" w:cstheme="minorBidi"/>
      <w:sz w:val="16"/>
      <w:szCs w:val="22"/>
      <w:lang w:eastAsia="ja-JP"/>
    </w:rPr>
  </w:style>
  <w:style w:type="table" w:customStyle="1" w:styleId="TableGrid4">
    <w:name w:val="Table Grid4"/>
    <w:basedOn w:val="TableNormal"/>
    <w:next w:val="TableGrid"/>
    <w:uiPriority w:val="39"/>
    <w:rsid w:val="009D4A93"/>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9D4A93"/>
    <w:pPr>
      <w:widowControl w:val="0"/>
      <w:spacing w:line="180" w:lineRule="atLeast"/>
    </w:pPr>
    <w:rPr>
      <w:rFonts w:eastAsia="Batang"/>
      <w:kern w:val="2"/>
      <w:sz w:val="18"/>
      <w:szCs w:val="18"/>
      <w:lang w:eastAsia="en-US"/>
    </w:rPr>
  </w:style>
  <w:style w:type="paragraph" w:customStyle="1" w:styleId="14">
    <w:name w:val="1"/>
    <w:next w:val="Normal"/>
    <w:semiHidden/>
    <w:rsid w:val="009D4A93"/>
    <w:pPr>
      <w:keepNext/>
      <w:tabs>
        <w:tab w:val="num" w:pos="720"/>
      </w:tabs>
      <w:autoSpaceDE w:val="0"/>
      <w:autoSpaceDN w:val="0"/>
      <w:adjustRightInd w:val="0"/>
      <w:ind w:left="720" w:hanging="360"/>
      <w:jc w:val="both"/>
    </w:pPr>
    <w:rPr>
      <w:rFonts w:eastAsia="Times New Roman"/>
      <w:kern w:val="2"/>
      <w:lang w:val="en-GB"/>
    </w:rPr>
  </w:style>
  <w:style w:type="character" w:customStyle="1" w:styleId="Char0">
    <w:name w:val="页脚 Char"/>
    <w:rsid w:val="009D4A93"/>
    <w:rPr>
      <w:kern w:val="2"/>
      <w:sz w:val="18"/>
      <w:szCs w:val="18"/>
      <w:lang w:val="en-GB" w:eastAsia="en-US" w:bidi="ar-SA"/>
    </w:rPr>
  </w:style>
  <w:style w:type="character" w:customStyle="1" w:styleId="Char1">
    <w:name w:val="批注文字 Char"/>
    <w:rsid w:val="009D4A93"/>
    <w:rPr>
      <w:kern w:val="2"/>
      <w:lang w:val="en-GB" w:eastAsia="ko-KR" w:bidi="ar-SA"/>
    </w:rPr>
  </w:style>
  <w:style w:type="character" w:customStyle="1" w:styleId="Char2">
    <w:name w:val="文档结构图 Char"/>
    <w:rsid w:val="009D4A93"/>
    <w:rPr>
      <w:rFonts w:ascii="SimSun"/>
      <w:kern w:val="2"/>
      <w:sz w:val="18"/>
      <w:szCs w:val="18"/>
      <w:lang w:val="en-GB" w:eastAsia="en-US" w:bidi="ar-SA"/>
    </w:rPr>
  </w:style>
  <w:style w:type="paragraph" w:customStyle="1" w:styleId="CharCharCharCharCharCharCharCharCharCharCharChar">
    <w:name w:val="Char Char Char Char Char Char Char Char Char Char Char Char"/>
    <w:basedOn w:val="DocumentMap"/>
    <w:autoRedefine/>
    <w:rsid w:val="009D4A93"/>
    <w:pPr>
      <w:adjustRightInd w:val="0"/>
      <w:snapToGrid w:val="0"/>
      <w:spacing w:after="0" w:line="436" w:lineRule="exact"/>
      <w:ind w:left="357"/>
      <w:outlineLvl w:val="3"/>
    </w:pPr>
    <w:rPr>
      <w:b/>
      <w:kern w:val="2"/>
      <w:sz w:val="24"/>
      <w:szCs w:val="24"/>
      <w:lang w:val="en-US" w:eastAsia="zh-CN"/>
    </w:rPr>
  </w:style>
  <w:style w:type="paragraph" w:customStyle="1" w:styleId="CharCharCharCharCharCharCharCharCharCharCharCharCharChar2CharCharCharCharCharChar">
    <w:name w:val="Char Char Char Char Char Char Char Char Char Char Char Char Char Char2 Char Char Char Char Char Char"/>
    <w:basedOn w:val="DocumentMap"/>
    <w:autoRedefine/>
    <w:rsid w:val="009D4A93"/>
    <w:pPr>
      <w:adjustRightInd w:val="0"/>
      <w:snapToGrid w:val="0"/>
      <w:spacing w:after="0" w:line="436" w:lineRule="exact"/>
      <w:ind w:left="357"/>
      <w:outlineLvl w:val="3"/>
    </w:pPr>
    <w:rPr>
      <w:b/>
      <w:kern w:val="2"/>
      <w:sz w:val="24"/>
      <w:szCs w:val="24"/>
      <w:lang w:val="en-US" w:eastAsia="zh-CN"/>
    </w:rPr>
  </w:style>
  <w:style w:type="paragraph" w:customStyle="1" w:styleId="CharChar1CharCharCharCharCharCharCharCharCharCharCharCharCharCharChar">
    <w:name w:val="Char Char1 Char Char Char Char Char Char Char Char Char Char Char Char Char Char Char"/>
    <w:semiHidden/>
    <w:rsid w:val="009D4A93"/>
    <w:pPr>
      <w:keepNext/>
      <w:tabs>
        <w:tab w:val="num" w:pos="360"/>
      </w:tabs>
      <w:autoSpaceDE w:val="0"/>
      <w:autoSpaceDN w:val="0"/>
      <w:adjustRightInd w:val="0"/>
      <w:spacing w:before="60" w:after="60"/>
      <w:ind w:left="360" w:hanging="360"/>
      <w:jc w:val="both"/>
    </w:pPr>
    <w:rPr>
      <w:rFonts w:ascii="Arial" w:hAnsi="Arial" w:cs="Arial"/>
      <w:color w:val="0000FF"/>
      <w:kern w:val="2"/>
    </w:rPr>
  </w:style>
  <w:style w:type="paragraph" w:customStyle="1" w:styleId="a4">
    <w:name w:val="스타일 양쪽"/>
    <w:basedOn w:val="Normal"/>
    <w:rsid w:val="009D4A93"/>
    <w:pPr>
      <w:snapToGrid w:val="0"/>
      <w:spacing w:line="288" w:lineRule="auto"/>
      <w:jc w:val="both"/>
    </w:pPr>
    <w:rPr>
      <w:rFonts w:eastAsia="Malgun Gothic" w:cs="Batang"/>
      <w:lang w:val="en-US"/>
    </w:rPr>
  </w:style>
  <w:style w:type="paragraph" w:customStyle="1" w:styleId="tablecell">
    <w:name w:val="tablecell"/>
    <w:basedOn w:val="Normal"/>
    <w:qFormat/>
    <w:rsid w:val="009D4A93"/>
    <w:pPr>
      <w:autoSpaceDE w:val="0"/>
      <w:autoSpaceDN w:val="0"/>
      <w:adjustRightInd w:val="0"/>
      <w:snapToGrid w:val="0"/>
      <w:spacing w:before="40" w:after="40"/>
      <w:jc w:val="center"/>
    </w:pPr>
    <w:rPr>
      <w:lang w:val="en-US"/>
    </w:rPr>
  </w:style>
  <w:style w:type="character" w:styleId="Emphasis">
    <w:name w:val="Emphasis"/>
    <w:qFormat/>
    <w:rsid w:val="009D4A93"/>
    <w:rPr>
      <w:i/>
      <w:iCs/>
      <w:kern w:val="2"/>
      <w:lang w:val="en-GB" w:eastAsia="zh-CN" w:bidi="ar-SA"/>
    </w:rPr>
  </w:style>
  <w:style w:type="paragraph" w:customStyle="1" w:styleId="indent">
    <w:name w:val="indent_"/>
    <w:basedOn w:val="Normal"/>
    <w:qFormat/>
    <w:rsid w:val="009D4A93"/>
    <w:pPr>
      <w:spacing w:before="120" w:after="120"/>
      <w:ind w:left="864"/>
      <w:contextualSpacing/>
      <w:jc w:val="both"/>
    </w:pPr>
    <w:rPr>
      <w:b/>
      <w:sz w:val="22"/>
      <w:szCs w:val="22"/>
      <w:lang w:val="en-US"/>
    </w:rPr>
  </w:style>
  <w:style w:type="paragraph" w:customStyle="1" w:styleId="ListParagraph1">
    <w:name w:val="List Paragraph1"/>
    <w:basedOn w:val="Normal"/>
    <w:uiPriority w:val="34"/>
    <w:qFormat/>
    <w:rsid w:val="009D4A93"/>
    <w:pPr>
      <w:widowControl w:val="0"/>
      <w:autoSpaceDE w:val="0"/>
      <w:autoSpaceDN w:val="0"/>
      <w:adjustRightInd w:val="0"/>
      <w:spacing w:after="0" w:line="360" w:lineRule="auto"/>
      <w:ind w:firstLineChars="200" w:firstLine="420"/>
    </w:pPr>
    <w:rPr>
      <w:snapToGrid w:val="0"/>
      <w:sz w:val="21"/>
      <w:szCs w:val="21"/>
      <w:lang w:val="en-US" w:eastAsia="zh-CN"/>
    </w:rPr>
  </w:style>
  <w:style w:type="paragraph" w:styleId="BodyTextFirstIndent">
    <w:name w:val="Body Text First Indent"/>
    <w:basedOn w:val="BodyText"/>
    <w:link w:val="BodyTextFirstIndentChar"/>
    <w:unhideWhenUsed/>
    <w:rsid w:val="009D4A93"/>
    <w:pPr>
      <w:autoSpaceDE w:val="0"/>
      <w:autoSpaceDN w:val="0"/>
      <w:adjustRightInd w:val="0"/>
      <w:snapToGrid w:val="0"/>
      <w:spacing w:after="120"/>
      <w:ind w:firstLineChars="100" w:firstLine="420"/>
      <w:jc w:val="both"/>
    </w:pPr>
    <w:rPr>
      <w:kern w:val="2"/>
      <w:sz w:val="22"/>
      <w:szCs w:val="22"/>
      <w:lang w:eastAsia="en-US"/>
    </w:rPr>
  </w:style>
  <w:style w:type="character" w:customStyle="1" w:styleId="BodyTextFirstIndentChar">
    <w:name w:val="Body Text First Indent Char"/>
    <w:basedOn w:val="BodyTextChar"/>
    <w:link w:val="BodyTextFirstIndent"/>
    <w:rsid w:val="009D4A93"/>
    <w:rPr>
      <w:kern w:val="2"/>
      <w:sz w:val="22"/>
      <w:szCs w:val="22"/>
      <w:lang w:val="en-GB" w:eastAsia="en-US"/>
    </w:rPr>
  </w:style>
  <w:style w:type="paragraph" w:customStyle="1" w:styleId="a">
    <w:name w:val="参考资料清单"/>
    <w:basedOn w:val="Normal"/>
    <w:rsid w:val="009D4A93"/>
    <w:pPr>
      <w:widowControl w:val="0"/>
      <w:numPr>
        <w:numId w:val="22"/>
      </w:numPr>
      <w:autoSpaceDE w:val="0"/>
      <w:autoSpaceDN w:val="0"/>
      <w:adjustRightInd w:val="0"/>
      <w:spacing w:after="0" w:line="360" w:lineRule="auto"/>
      <w:jc w:val="both"/>
    </w:pPr>
    <w:rPr>
      <w:rFonts w:ascii="Arial" w:hAnsi="Arial"/>
      <w:sz w:val="21"/>
      <w:szCs w:val="21"/>
      <w:lang w:val="en-US" w:eastAsia="zh-CN"/>
    </w:rPr>
  </w:style>
  <w:style w:type="paragraph" w:styleId="TableofFigures">
    <w:name w:val="table of figures"/>
    <w:basedOn w:val="TOC1"/>
    <w:autoRedefine/>
    <w:uiPriority w:val="99"/>
    <w:rsid w:val="009D4A93"/>
    <w:pPr>
      <w:keepNext w:val="0"/>
      <w:keepLines w:val="0"/>
      <w:tabs>
        <w:tab w:val="clear" w:pos="9639"/>
      </w:tabs>
      <w:autoSpaceDE w:val="0"/>
      <w:autoSpaceDN w:val="0"/>
      <w:adjustRightInd w:val="0"/>
      <w:spacing w:before="0"/>
      <w:ind w:left="400" w:right="0" w:hanging="400"/>
    </w:pPr>
    <w:rPr>
      <w:rFonts w:ascii="Calibri" w:hAnsi="Calibri"/>
      <w:b/>
      <w:bCs/>
      <w:noProof w:val="0"/>
      <w:sz w:val="20"/>
      <w:lang w:val="en-US" w:eastAsia="zh-CN"/>
    </w:rPr>
  </w:style>
  <w:style w:type="paragraph" w:customStyle="1" w:styleId="a1">
    <w:name w:val="表号"/>
    <w:basedOn w:val="Normal"/>
    <w:next w:val="BodyTextFirstIndent"/>
    <w:rsid w:val="009D4A93"/>
    <w:pPr>
      <w:keepLines/>
      <w:widowControl w:val="0"/>
      <w:numPr>
        <w:ilvl w:val="8"/>
        <w:numId w:val="23"/>
      </w:numPr>
      <w:autoSpaceDE w:val="0"/>
      <w:autoSpaceDN w:val="0"/>
      <w:adjustRightInd w:val="0"/>
      <w:spacing w:after="0" w:line="360" w:lineRule="auto"/>
      <w:jc w:val="center"/>
    </w:pPr>
    <w:rPr>
      <w:rFonts w:ascii="Arial" w:hAnsi="Arial"/>
      <w:sz w:val="18"/>
      <w:szCs w:val="18"/>
      <w:lang w:val="en-US" w:eastAsia="zh-CN"/>
    </w:rPr>
  </w:style>
  <w:style w:type="paragraph" w:customStyle="1" w:styleId="a5">
    <w:name w:val="封面表格文本"/>
    <w:basedOn w:val="Normal"/>
    <w:rsid w:val="009D4A93"/>
    <w:pPr>
      <w:widowControl w:val="0"/>
      <w:autoSpaceDE w:val="0"/>
      <w:autoSpaceDN w:val="0"/>
      <w:adjustRightInd w:val="0"/>
      <w:spacing w:after="0"/>
      <w:jc w:val="center"/>
    </w:pPr>
    <w:rPr>
      <w:rFonts w:ascii="Arial" w:hAnsi="Arial"/>
      <w:sz w:val="21"/>
      <w:szCs w:val="21"/>
      <w:lang w:val="en-US" w:eastAsia="zh-CN"/>
    </w:rPr>
  </w:style>
  <w:style w:type="paragraph" w:customStyle="1" w:styleId="a6">
    <w:name w:val="封面文档标题"/>
    <w:basedOn w:val="Normal"/>
    <w:rsid w:val="009D4A93"/>
    <w:pPr>
      <w:widowControl w:val="0"/>
      <w:autoSpaceDE w:val="0"/>
      <w:autoSpaceDN w:val="0"/>
      <w:adjustRightInd w:val="0"/>
      <w:spacing w:after="0" w:line="360" w:lineRule="auto"/>
      <w:jc w:val="center"/>
    </w:pPr>
    <w:rPr>
      <w:rFonts w:ascii="Arial" w:eastAsia="SimHei" w:hAnsi="Arial"/>
      <w:bCs/>
      <w:sz w:val="44"/>
      <w:szCs w:val="44"/>
      <w:lang w:val="en-US" w:eastAsia="zh-CN"/>
    </w:rPr>
  </w:style>
  <w:style w:type="paragraph" w:customStyle="1" w:styleId="a7">
    <w:name w:val="缺省文本"/>
    <w:basedOn w:val="Normal"/>
    <w:rsid w:val="009D4A93"/>
    <w:pPr>
      <w:widowControl w:val="0"/>
      <w:autoSpaceDE w:val="0"/>
      <w:autoSpaceDN w:val="0"/>
      <w:adjustRightInd w:val="0"/>
      <w:spacing w:after="0" w:line="360" w:lineRule="auto"/>
    </w:pPr>
    <w:rPr>
      <w:rFonts w:ascii="Arial" w:hAnsi="Arial"/>
      <w:sz w:val="21"/>
      <w:szCs w:val="21"/>
      <w:lang w:val="en-US" w:eastAsia="zh-CN"/>
    </w:rPr>
  </w:style>
  <w:style w:type="paragraph" w:customStyle="1" w:styleId="a8">
    <w:name w:val="封面华为技术"/>
    <w:basedOn w:val="Normal"/>
    <w:rsid w:val="009D4A93"/>
    <w:pPr>
      <w:widowControl w:val="0"/>
      <w:autoSpaceDE w:val="0"/>
      <w:autoSpaceDN w:val="0"/>
      <w:adjustRightInd w:val="0"/>
      <w:spacing w:after="0" w:line="360" w:lineRule="auto"/>
      <w:jc w:val="center"/>
    </w:pPr>
    <w:rPr>
      <w:rFonts w:ascii="Arial" w:eastAsia="SimHei" w:hAnsi="Arial"/>
      <w:sz w:val="32"/>
      <w:szCs w:val="32"/>
      <w:lang w:val="en-US" w:eastAsia="zh-CN"/>
    </w:rPr>
  </w:style>
  <w:style w:type="paragraph" w:customStyle="1" w:styleId="a9">
    <w:name w:val="修订记录"/>
    <w:basedOn w:val="Normal"/>
    <w:rsid w:val="009D4A93"/>
    <w:pPr>
      <w:pageBreakBefore/>
      <w:autoSpaceDE w:val="0"/>
      <w:autoSpaceDN w:val="0"/>
      <w:adjustRightInd w:val="0"/>
      <w:spacing w:before="300" w:after="150" w:line="360" w:lineRule="auto"/>
      <w:jc w:val="center"/>
    </w:pPr>
    <w:rPr>
      <w:rFonts w:ascii="Arial" w:eastAsia="SimHei" w:hAnsi="Arial"/>
      <w:sz w:val="32"/>
      <w:szCs w:val="32"/>
      <w:lang w:val="en-US" w:eastAsia="zh-CN"/>
    </w:rPr>
  </w:style>
  <w:style w:type="paragraph" w:customStyle="1" w:styleId="aa">
    <w:name w:val="表头样式"/>
    <w:basedOn w:val="Normal"/>
    <w:link w:val="Char3"/>
    <w:rsid w:val="009D4A93"/>
    <w:pPr>
      <w:widowControl w:val="0"/>
      <w:autoSpaceDE w:val="0"/>
      <w:autoSpaceDN w:val="0"/>
      <w:adjustRightInd w:val="0"/>
      <w:spacing w:after="0"/>
      <w:jc w:val="center"/>
    </w:pPr>
    <w:rPr>
      <w:rFonts w:ascii="Arial" w:hAnsi="Arial"/>
      <w:b/>
      <w:kern w:val="2"/>
      <w:sz w:val="21"/>
      <w:szCs w:val="21"/>
      <w:lang w:eastAsia="zh-CN"/>
    </w:rPr>
  </w:style>
  <w:style w:type="character" w:customStyle="1" w:styleId="Char3">
    <w:name w:val="表头样式 Char"/>
    <w:link w:val="aa"/>
    <w:rsid w:val="009D4A93"/>
    <w:rPr>
      <w:rFonts w:ascii="Arial" w:hAnsi="Arial"/>
      <w:b/>
      <w:kern w:val="2"/>
      <w:sz w:val="21"/>
      <w:szCs w:val="21"/>
      <w:lang w:val="en-GB"/>
    </w:rPr>
  </w:style>
  <w:style w:type="paragraph" w:customStyle="1" w:styleId="ab">
    <w:name w:val="表格文本"/>
    <w:basedOn w:val="Normal"/>
    <w:rsid w:val="009D4A93"/>
    <w:pPr>
      <w:widowControl w:val="0"/>
      <w:tabs>
        <w:tab w:val="decimal" w:pos="0"/>
      </w:tabs>
      <w:autoSpaceDE w:val="0"/>
      <w:autoSpaceDN w:val="0"/>
      <w:adjustRightInd w:val="0"/>
      <w:spacing w:after="0"/>
    </w:pPr>
    <w:rPr>
      <w:rFonts w:ascii="Arial" w:hAnsi="Arial"/>
      <w:noProof/>
      <w:sz w:val="21"/>
      <w:szCs w:val="21"/>
      <w:lang w:val="en-US" w:eastAsia="zh-CN"/>
    </w:rPr>
  </w:style>
  <w:style w:type="paragraph" w:customStyle="1" w:styleId="ac">
    <w:name w:val="目录"/>
    <w:basedOn w:val="Normal"/>
    <w:rsid w:val="009D4A93"/>
    <w:pPr>
      <w:keepNext/>
      <w:pageBreakBefore/>
      <w:widowControl w:val="0"/>
      <w:autoSpaceDE w:val="0"/>
      <w:autoSpaceDN w:val="0"/>
      <w:spacing w:before="480" w:after="360"/>
      <w:jc w:val="center"/>
    </w:pPr>
    <w:rPr>
      <w:rFonts w:ascii="Arial" w:eastAsia="SimHei" w:hAnsi="Arial"/>
      <w:sz w:val="32"/>
      <w:szCs w:val="32"/>
      <w:lang w:val="en-US" w:eastAsia="zh-CN"/>
    </w:rPr>
  </w:style>
  <w:style w:type="paragraph" w:customStyle="1" w:styleId="ad">
    <w:name w:val="文档标题"/>
    <w:basedOn w:val="Normal"/>
    <w:rsid w:val="009D4A93"/>
    <w:pPr>
      <w:widowControl w:val="0"/>
      <w:tabs>
        <w:tab w:val="left" w:pos="0"/>
      </w:tabs>
      <w:autoSpaceDE w:val="0"/>
      <w:autoSpaceDN w:val="0"/>
      <w:adjustRightInd w:val="0"/>
      <w:spacing w:before="300" w:after="300"/>
      <w:jc w:val="center"/>
    </w:pPr>
    <w:rPr>
      <w:rFonts w:ascii="Arial" w:eastAsia="SimHei" w:hAnsi="Arial"/>
      <w:sz w:val="32"/>
      <w:szCs w:val="32"/>
      <w:lang w:val="en-US" w:eastAsia="zh-CN"/>
    </w:rPr>
  </w:style>
  <w:style w:type="paragraph" w:customStyle="1" w:styleId="ae">
    <w:name w:val="摘要"/>
    <w:basedOn w:val="Normal"/>
    <w:rsid w:val="009D4A93"/>
    <w:pPr>
      <w:tabs>
        <w:tab w:val="left" w:pos="907"/>
      </w:tabs>
      <w:autoSpaceDE w:val="0"/>
      <w:autoSpaceDN w:val="0"/>
      <w:adjustRightInd w:val="0"/>
      <w:spacing w:after="0" w:line="360" w:lineRule="auto"/>
      <w:ind w:left="879" w:hanging="879"/>
      <w:jc w:val="both"/>
    </w:pPr>
    <w:rPr>
      <w:rFonts w:ascii="Arial" w:hAnsi="Arial"/>
      <w:b/>
      <w:sz w:val="21"/>
      <w:szCs w:val="21"/>
      <w:lang w:val="en-US" w:eastAsia="zh-CN"/>
    </w:rPr>
  </w:style>
  <w:style w:type="paragraph" w:customStyle="1" w:styleId="af">
    <w:name w:val="编写建议"/>
    <w:basedOn w:val="Normal"/>
    <w:link w:val="Char4"/>
    <w:rsid w:val="009D4A93"/>
    <w:pPr>
      <w:widowControl w:val="0"/>
      <w:autoSpaceDE w:val="0"/>
      <w:autoSpaceDN w:val="0"/>
      <w:adjustRightInd w:val="0"/>
      <w:spacing w:after="0" w:line="360" w:lineRule="auto"/>
      <w:ind w:firstLineChars="200" w:firstLine="200"/>
    </w:pPr>
    <w:rPr>
      <w:rFonts w:ascii="Arial" w:hAnsi="Arial" w:cs="Arial"/>
      <w:i/>
      <w:color w:val="0000FF"/>
      <w:kern w:val="2"/>
      <w:sz w:val="21"/>
      <w:szCs w:val="21"/>
      <w:lang w:eastAsia="zh-CN"/>
    </w:rPr>
  </w:style>
  <w:style w:type="character" w:customStyle="1" w:styleId="Char4">
    <w:name w:val="编写建议 Char"/>
    <w:link w:val="af"/>
    <w:rsid w:val="009D4A93"/>
    <w:rPr>
      <w:rFonts w:ascii="Arial" w:hAnsi="Arial" w:cs="Arial"/>
      <w:i/>
      <w:color w:val="0000FF"/>
      <w:kern w:val="2"/>
      <w:sz w:val="21"/>
      <w:szCs w:val="21"/>
      <w:lang w:val="en-GB"/>
    </w:rPr>
  </w:style>
  <w:style w:type="paragraph" w:customStyle="1" w:styleId="af0">
    <w:name w:val="注示头"/>
    <w:basedOn w:val="Normal"/>
    <w:rsid w:val="009D4A93"/>
    <w:pPr>
      <w:widowControl w:val="0"/>
      <w:pBdr>
        <w:top w:val="single" w:sz="4" w:space="1" w:color="000000"/>
      </w:pBdr>
      <w:autoSpaceDE w:val="0"/>
      <w:autoSpaceDN w:val="0"/>
      <w:adjustRightInd w:val="0"/>
      <w:spacing w:after="0" w:line="360" w:lineRule="auto"/>
      <w:jc w:val="both"/>
    </w:pPr>
    <w:rPr>
      <w:rFonts w:ascii="Arial" w:eastAsia="SimHei" w:hAnsi="Arial"/>
      <w:sz w:val="18"/>
      <w:szCs w:val="21"/>
      <w:lang w:val="en-US" w:eastAsia="zh-CN"/>
    </w:rPr>
  </w:style>
  <w:style w:type="table" w:customStyle="1" w:styleId="af1">
    <w:name w:val="表样式"/>
    <w:basedOn w:val="TableNormal"/>
    <w:rsid w:val="009D4A93"/>
    <w:pPr>
      <w:jc w:val="both"/>
    </w:pPr>
    <w:rPr>
      <w:sz w:val="21"/>
    </w:rPr>
    <w:tblPr/>
    <w:tcPr>
      <w:vAlign w:val="center"/>
    </w:tcPr>
  </w:style>
  <w:style w:type="paragraph" w:customStyle="1" w:styleId="af2">
    <w:name w:val="参考资料清单+倾斜+蓝色"/>
    <w:basedOn w:val="Normal"/>
    <w:rsid w:val="009D4A93"/>
    <w:pPr>
      <w:widowControl w:val="0"/>
      <w:autoSpaceDE w:val="0"/>
      <w:autoSpaceDN w:val="0"/>
      <w:adjustRightInd w:val="0"/>
      <w:spacing w:after="0" w:line="360" w:lineRule="auto"/>
      <w:ind w:left="360" w:hanging="360"/>
      <w:jc w:val="both"/>
    </w:pPr>
    <w:rPr>
      <w:rFonts w:ascii="Arial" w:hAnsi="Arial"/>
      <w:i/>
      <w:iCs/>
      <w:color w:val="0000FF"/>
      <w:sz w:val="21"/>
      <w:szCs w:val="21"/>
      <w:lang w:val="en-US" w:eastAsia="zh-CN"/>
    </w:rPr>
  </w:style>
  <w:style w:type="paragraph" w:customStyle="1" w:styleId="a0">
    <w:name w:val="图号"/>
    <w:basedOn w:val="Normal"/>
    <w:rsid w:val="009D4A93"/>
    <w:pPr>
      <w:widowControl w:val="0"/>
      <w:numPr>
        <w:ilvl w:val="7"/>
        <w:numId w:val="23"/>
      </w:numPr>
      <w:autoSpaceDE w:val="0"/>
      <w:autoSpaceDN w:val="0"/>
      <w:adjustRightInd w:val="0"/>
      <w:spacing w:after="240" w:line="360" w:lineRule="auto"/>
      <w:jc w:val="center"/>
    </w:pPr>
    <w:rPr>
      <w:rFonts w:ascii="Arial" w:hAnsi="Arial"/>
      <w:sz w:val="18"/>
      <w:szCs w:val="18"/>
      <w:lang w:val="en-US" w:eastAsia="zh-CN"/>
    </w:rPr>
  </w:style>
  <w:style w:type="paragraph" w:customStyle="1" w:styleId="af3">
    <w:name w:val="图样式"/>
    <w:basedOn w:val="Normal"/>
    <w:rsid w:val="009D4A93"/>
    <w:pPr>
      <w:keepNext/>
      <w:autoSpaceDE w:val="0"/>
      <w:autoSpaceDN w:val="0"/>
      <w:adjustRightInd w:val="0"/>
      <w:spacing w:before="80" w:after="80" w:line="360" w:lineRule="auto"/>
      <w:jc w:val="center"/>
    </w:pPr>
    <w:rPr>
      <w:lang w:val="en-US" w:eastAsia="zh-CN"/>
    </w:rPr>
  </w:style>
  <w:style w:type="paragraph" w:customStyle="1" w:styleId="af4">
    <w:name w:val="注示文本"/>
    <w:basedOn w:val="Normal"/>
    <w:rsid w:val="009D4A93"/>
    <w:pPr>
      <w:widowControl w:val="0"/>
      <w:pBdr>
        <w:bottom w:val="single" w:sz="4" w:space="1" w:color="000000"/>
      </w:pBdr>
      <w:autoSpaceDE w:val="0"/>
      <w:autoSpaceDN w:val="0"/>
      <w:adjustRightInd w:val="0"/>
      <w:spacing w:after="0" w:line="360" w:lineRule="auto"/>
      <w:ind w:firstLineChars="200" w:firstLine="360"/>
      <w:jc w:val="both"/>
    </w:pPr>
    <w:rPr>
      <w:rFonts w:ascii="Arial" w:eastAsia="KaiTi_GB2312" w:hAnsi="Arial"/>
      <w:sz w:val="18"/>
      <w:szCs w:val="18"/>
      <w:lang w:val="en-US" w:eastAsia="zh-CN"/>
    </w:rPr>
  </w:style>
  <w:style w:type="paragraph" w:customStyle="1" w:styleId="af5">
    <w:name w:val="关键词"/>
    <w:basedOn w:val="ae"/>
    <w:rsid w:val="009D4A93"/>
  </w:style>
  <w:style w:type="paragraph" w:customStyle="1" w:styleId="af6">
    <w:name w:val="代码样式"/>
    <w:basedOn w:val="a5"/>
    <w:rsid w:val="009D4A93"/>
  </w:style>
  <w:style w:type="paragraph" w:customStyle="1" w:styleId="CharCharCharCharCharCharCharCharChar">
    <w:name w:val="(文字) (文字) Char Char Char Char Char Char Char Char Char"/>
    <w:semiHidden/>
    <w:rsid w:val="009D4A93"/>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NormalIndentChar">
    <w:name w:val="Normal Indent Char"/>
    <w:aliases w:val="正文（首行缩进两字） Char1,正文缩进 Char Char,正文（首行缩进两字） Char Char1,表正文 Char,正文非缩进 Char,正文不缩进 Char,首行缩进 Char,特点 Char,段1 Char,正文缩进 Char1 Char,正文（首行缩进两字） Char Char Char Char Char Char Char Char Char Char Char,正文（首行缩进两字） Char Char Char Char Char"/>
    <w:link w:val="NormalIndent"/>
    <w:autoRedefine/>
    <w:rsid w:val="009D4A93"/>
    <w:rPr>
      <w:rFonts w:eastAsia="MS Mincho"/>
      <w:lang w:val="it-IT" w:eastAsia="en-GB"/>
    </w:rPr>
  </w:style>
  <w:style w:type="paragraph" w:customStyle="1" w:styleId="af7">
    <w:name w:val="表格列标题"/>
    <w:basedOn w:val="Normal"/>
    <w:rsid w:val="009D4A93"/>
    <w:pPr>
      <w:keepNext/>
      <w:widowControl w:val="0"/>
      <w:autoSpaceDE w:val="0"/>
      <w:autoSpaceDN w:val="0"/>
      <w:adjustRightInd w:val="0"/>
      <w:spacing w:after="0"/>
      <w:jc w:val="center"/>
    </w:pPr>
    <w:rPr>
      <w:b/>
      <w:sz w:val="21"/>
      <w:lang w:val="en-US" w:eastAsia="zh-CN"/>
    </w:rPr>
  </w:style>
  <w:style w:type="paragraph" w:customStyle="1" w:styleId="af8">
    <w:name w:val="备注说明"/>
    <w:basedOn w:val="Normal"/>
    <w:rsid w:val="009D4A93"/>
    <w:pPr>
      <w:keepNext/>
      <w:widowControl w:val="0"/>
      <w:autoSpaceDE w:val="0"/>
      <w:autoSpaceDN w:val="0"/>
      <w:adjustRightInd w:val="0"/>
      <w:spacing w:after="0" w:line="360" w:lineRule="auto"/>
      <w:ind w:left="1134"/>
      <w:jc w:val="both"/>
    </w:pPr>
    <w:rPr>
      <w:rFonts w:eastAsia="KaiTi_GB2312"/>
      <w:sz w:val="21"/>
      <w:lang w:val="en-US" w:eastAsia="zh-CN"/>
    </w:rPr>
  </w:style>
  <w:style w:type="paragraph" w:customStyle="1" w:styleId="af9">
    <w:name w:val="章节标题"/>
    <w:basedOn w:val="Normal"/>
    <w:rsid w:val="009D4A93"/>
    <w:pPr>
      <w:keepNext/>
      <w:widowControl w:val="0"/>
      <w:tabs>
        <w:tab w:val="left" w:pos="0"/>
      </w:tabs>
      <w:autoSpaceDE w:val="0"/>
      <w:autoSpaceDN w:val="0"/>
      <w:adjustRightInd w:val="0"/>
      <w:spacing w:before="300" w:after="300"/>
      <w:jc w:val="center"/>
    </w:pPr>
    <w:rPr>
      <w:rFonts w:ascii="Arial" w:eastAsia="SimHei" w:hAnsi="Arial" w:cs="Arial"/>
      <w:sz w:val="30"/>
      <w:lang w:val="en-US" w:eastAsia="zh-CN"/>
    </w:rPr>
  </w:style>
  <w:style w:type="paragraph" w:customStyle="1" w:styleId="afa">
    <w:name w:val="表号去除自动编号"/>
    <w:basedOn w:val="Normal"/>
    <w:rsid w:val="009D4A93"/>
    <w:pPr>
      <w:keepNext/>
      <w:widowControl w:val="0"/>
      <w:autoSpaceDE w:val="0"/>
      <w:autoSpaceDN w:val="0"/>
      <w:adjustRightInd w:val="0"/>
      <w:spacing w:after="0" w:line="360" w:lineRule="auto"/>
      <w:jc w:val="center"/>
    </w:pPr>
    <w:rPr>
      <w:rFonts w:ascii="SimSun" w:hAnsi="SimSun"/>
      <w:sz w:val="21"/>
      <w:lang w:val="en-US" w:eastAsia="zh-CN"/>
    </w:rPr>
  </w:style>
  <w:style w:type="paragraph" w:customStyle="1" w:styleId="afb">
    <w:name w:val="图号去除自动编号"/>
    <w:basedOn w:val="Normal"/>
    <w:rsid w:val="009D4A93"/>
    <w:pPr>
      <w:keepNext/>
      <w:widowControl w:val="0"/>
      <w:autoSpaceDE w:val="0"/>
      <w:autoSpaceDN w:val="0"/>
      <w:adjustRightInd w:val="0"/>
      <w:spacing w:before="105" w:after="0" w:line="360" w:lineRule="auto"/>
      <w:ind w:firstLine="425"/>
      <w:jc w:val="center"/>
    </w:pPr>
    <w:rPr>
      <w:sz w:val="21"/>
      <w:lang w:val="en-US" w:eastAsia="zh-CN"/>
    </w:rPr>
  </w:style>
  <w:style w:type="paragraph" w:customStyle="1" w:styleId="afc">
    <w:name w:val="项目符号"/>
    <w:basedOn w:val="Normal"/>
    <w:rsid w:val="009D4A93"/>
    <w:pPr>
      <w:keepNext/>
      <w:widowControl w:val="0"/>
      <w:autoSpaceDE w:val="0"/>
      <w:autoSpaceDN w:val="0"/>
      <w:adjustRightInd w:val="0"/>
      <w:spacing w:after="0" w:line="360" w:lineRule="auto"/>
    </w:pPr>
    <w:rPr>
      <w:sz w:val="21"/>
      <w:lang w:val="en-US" w:eastAsia="zh-CN"/>
    </w:rPr>
  </w:style>
  <w:style w:type="paragraph" w:customStyle="1" w:styleId="afd">
    <w:name w:val="页脚样式"/>
    <w:basedOn w:val="Normal"/>
    <w:rsid w:val="009D4A93"/>
    <w:pPr>
      <w:keepNext/>
      <w:widowControl w:val="0"/>
      <w:autoSpaceDE w:val="0"/>
      <w:autoSpaceDN w:val="0"/>
      <w:adjustRightInd w:val="0"/>
      <w:spacing w:after="0" w:line="360" w:lineRule="auto"/>
    </w:pPr>
    <w:rPr>
      <w:sz w:val="18"/>
      <w:lang w:val="en-US" w:eastAsia="zh-CN"/>
    </w:rPr>
  </w:style>
  <w:style w:type="paragraph" w:customStyle="1" w:styleId="WordPro">
    <w:name w:val="图表目录(WordPro)"/>
    <w:basedOn w:val="Normal"/>
    <w:rsid w:val="009D4A93"/>
    <w:pPr>
      <w:keepNext/>
      <w:widowControl w:val="0"/>
      <w:autoSpaceDE w:val="0"/>
      <w:autoSpaceDN w:val="0"/>
      <w:adjustRightInd w:val="0"/>
      <w:spacing w:before="300" w:after="150" w:line="360" w:lineRule="auto"/>
      <w:jc w:val="center"/>
    </w:pPr>
    <w:rPr>
      <w:rFonts w:ascii="SimHei" w:eastAsia="SimHei"/>
      <w:sz w:val="30"/>
      <w:lang w:val="en-US" w:eastAsia="zh-CN"/>
    </w:rPr>
  </w:style>
  <w:style w:type="paragraph" w:customStyle="1" w:styleId="afe">
    <w:name w:val="脚注"/>
    <w:basedOn w:val="Normal"/>
    <w:rsid w:val="009D4A93"/>
    <w:pPr>
      <w:keepNext/>
      <w:widowControl w:val="0"/>
      <w:autoSpaceDE w:val="0"/>
      <w:autoSpaceDN w:val="0"/>
      <w:adjustRightInd w:val="0"/>
      <w:spacing w:after="90"/>
    </w:pPr>
    <w:rPr>
      <w:sz w:val="18"/>
      <w:lang w:val="en-US" w:eastAsia="zh-CN"/>
    </w:rPr>
  </w:style>
  <w:style w:type="paragraph" w:customStyle="1" w:styleId="aff">
    <w:name w:val="页眉密级样式"/>
    <w:basedOn w:val="Normal"/>
    <w:rsid w:val="009D4A93"/>
    <w:pPr>
      <w:keepNext/>
      <w:widowControl w:val="0"/>
      <w:autoSpaceDE w:val="0"/>
      <w:autoSpaceDN w:val="0"/>
      <w:adjustRightInd w:val="0"/>
      <w:spacing w:after="0"/>
      <w:jc w:val="right"/>
    </w:pPr>
    <w:rPr>
      <w:sz w:val="18"/>
      <w:lang w:val="en-US" w:eastAsia="zh-CN"/>
    </w:rPr>
  </w:style>
  <w:style w:type="paragraph" w:customStyle="1" w:styleId="aff0">
    <w:name w:val="目录页编号文本样式"/>
    <w:basedOn w:val="Normal"/>
    <w:rsid w:val="009D4A93"/>
    <w:pPr>
      <w:keepNext/>
      <w:widowControl w:val="0"/>
      <w:autoSpaceDE w:val="0"/>
      <w:autoSpaceDN w:val="0"/>
      <w:adjustRightInd w:val="0"/>
      <w:spacing w:after="0"/>
      <w:jc w:val="right"/>
    </w:pPr>
    <w:rPr>
      <w:sz w:val="21"/>
      <w:lang w:val="en-US" w:eastAsia="zh-CN"/>
    </w:rPr>
  </w:style>
  <w:style w:type="paragraph" w:customStyle="1" w:styleId="aff1">
    <w:name w:val="页眉文档名称样式"/>
    <w:basedOn w:val="Normal"/>
    <w:rsid w:val="009D4A93"/>
    <w:pPr>
      <w:keepNext/>
      <w:widowControl w:val="0"/>
      <w:autoSpaceDE w:val="0"/>
      <w:autoSpaceDN w:val="0"/>
      <w:adjustRightInd w:val="0"/>
      <w:spacing w:after="0"/>
    </w:pPr>
    <w:rPr>
      <w:sz w:val="18"/>
      <w:lang w:val="en-US" w:eastAsia="zh-CN"/>
    </w:rPr>
  </w:style>
  <w:style w:type="paragraph" w:customStyle="1" w:styleId="WordPro0">
    <w:name w:val="正文首行缩进(WordPro)"/>
    <w:basedOn w:val="Normal"/>
    <w:rsid w:val="009D4A93"/>
    <w:pPr>
      <w:keepNext/>
      <w:widowControl w:val="0"/>
      <w:autoSpaceDE w:val="0"/>
      <w:autoSpaceDN w:val="0"/>
      <w:adjustRightInd w:val="0"/>
      <w:spacing w:after="0" w:line="360" w:lineRule="auto"/>
      <w:ind w:left="1134"/>
      <w:jc w:val="both"/>
    </w:pPr>
    <w:rPr>
      <w:sz w:val="21"/>
      <w:lang w:val="en-US" w:eastAsia="zh-CN"/>
    </w:rPr>
  </w:style>
  <w:style w:type="character" w:customStyle="1" w:styleId="CharChar0">
    <w:name w:val="编写建议 Char Char"/>
    <w:rsid w:val="009D4A93"/>
    <w:rPr>
      <w:rFonts w:eastAsia="SimSun"/>
      <w:i/>
      <w:color w:val="0000FF"/>
      <w:kern w:val="2"/>
      <w:sz w:val="21"/>
      <w:lang w:val="en-US" w:eastAsia="zh-CN" w:bidi="ar-SA"/>
    </w:rPr>
  </w:style>
  <w:style w:type="paragraph" w:customStyle="1" w:styleId="TableTitle0">
    <w:name w:val="Table_Title"/>
    <w:basedOn w:val="Table0"/>
    <w:next w:val="Normal"/>
    <w:rsid w:val="009D4A93"/>
    <w:pPr>
      <w:spacing w:before="0"/>
    </w:pPr>
    <w:rPr>
      <w:b/>
    </w:rPr>
  </w:style>
  <w:style w:type="paragraph" w:customStyle="1" w:styleId="Table0">
    <w:name w:val="Table_#"/>
    <w:basedOn w:val="Normal"/>
    <w:next w:val="TableTitle0"/>
    <w:rsid w:val="009D4A93"/>
    <w:pPr>
      <w:keepNext/>
      <w:spacing w:before="567" w:after="113"/>
      <w:jc w:val="center"/>
    </w:pPr>
    <w:rPr>
      <w:sz w:val="18"/>
    </w:rPr>
  </w:style>
  <w:style w:type="paragraph" w:customStyle="1" w:styleId="aff2">
    <w:name w:val="表头文本"/>
    <w:basedOn w:val="Normal"/>
    <w:rsid w:val="009D4A93"/>
    <w:pPr>
      <w:widowControl w:val="0"/>
      <w:autoSpaceDE w:val="0"/>
      <w:autoSpaceDN w:val="0"/>
      <w:adjustRightInd w:val="0"/>
      <w:spacing w:after="0"/>
      <w:jc w:val="center"/>
    </w:pPr>
    <w:rPr>
      <w:rFonts w:ascii="Arial" w:hAnsi="Arial"/>
      <w:b/>
      <w:szCs w:val="21"/>
      <w:lang w:val="en-US" w:eastAsia="zh-CN"/>
    </w:rPr>
  </w:style>
  <w:style w:type="table" w:styleId="TableContemporary">
    <w:name w:val="Table Contemporary"/>
    <w:basedOn w:val="TableNormal"/>
    <w:rsid w:val="009D4A93"/>
    <w:pPr>
      <w:widowControl w:val="0"/>
      <w:autoSpaceDE w:val="0"/>
      <w:autoSpaceDN w:val="0"/>
      <w:adjustRightInd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3">
    <w:name w:val="表格题注"/>
    <w:next w:val="Normal"/>
    <w:rsid w:val="009D4A93"/>
    <w:pPr>
      <w:keepLines/>
      <w:spacing w:beforeLines="100"/>
      <w:ind w:left="1089" w:hanging="369"/>
      <w:jc w:val="center"/>
    </w:pPr>
    <w:rPr>
      <w:rFonts w:ascii="Arial" w:hAnsi="Arial"/>
      <w:sz w:val="18"/>
      <w:szCs w:val="18"/>
    </w:rPr>
  </w:style>
  <w:style w:type="paragraph" w:customStyle="1" w:styleId="aff4">
    <w:name w:val="插图题注"/>
    <w:next w:val="Normal"/>
    <w:rsid w:val="009D4A93"/>
    <w:pPr>
      <w:spacing w:afterLines="100"/>
      <w:ind w:left="1089" w:hanging="369"/>
      <w:jc w:val="center"/>
    </w:pPr>
    <w:rPr>
      <w:rFonts w:ascii="Arial" w:hAnsi="Arial"/>
      <w:sz w:val="18"/>
      <w:szCs w:val="18"/>
    </w:rPr>
  </w:style>
  <w:style w:type="character" w:customStyle="1" w:styleId="hps">
    <w:name w:val="hps"/>
    <w:basedOn w:val="DefaultParagraphFont"/>
    <w:rsid w:val="009D4A93"/>
    <w:rPr>
      <w:kern w:val="2"/>
      <w:lang w:val="en-GB" w:eastAsia="zh-CN" w:bidi="ar-SA"/>
    </w:rPr>
  </w:style>
  <w:style w:type="character" w:customStyle="1" w:styleId="atn">
    <w:name w:val="atn"/>
    <w:basedOn w:val="DefaultParagraphFont"/>
    <w:rsid w:val="009D4A93"/>
    <w:rPr>
      <w:kern w:val="2"/>
      <w:lang w:val="en-GB" w:eastAsia="zh-CN" w:bidi="ar-SA"/>
    </w:rPr>
  </w:style>
  <w:style w:type="character" w:customStyle="1" w:styleId="shorttext">
    <w:name w:val="short_text"/>
    <w:basedOn w:val="DefaultParagraphFont"/>
    <w:rsid w:val="009D4A93"/>
    <w:rPr>
      <w:kern w:val="2"/>
      <w:lang w:val="en-GB" w:eastAsia="zh-CN" w:bidi="ar-SA"/>
    </w:rPr>
  </w:style>
  <w:style w:type="character" w:customStyle="1" w:styleId="trans-target1">
    <w:name w:val="trans-target1"/>
    <w:rsid w:val="009D4A93"/>
    <w:rPr>
      <w:color w:val="000000"/>
      <w:kern w:val="2"/>
      <w:shd w:val="clear" w:color="auto" w:fill="CCCCCC"/>
      <w:lang w:val="en-GB" w:eastAsia="zh-CN" w:bidi="ar-SA"/>
    </w:rPr>
  </w:style>
  <w:style w:type="character" w:customStyle="1" w:styleId="st1">
    <w:name w:val="st1"/>
    <w:basedOn w:val="DefaultParagraphFont"/>
    <w:rsid w:val="009D4A93"/>
    <w:rPr>
      <w:kern w:val="2"/>
      <w:lang w:val="en-GB" w:eastAsia="zh-CN" w:bidi="ar-SA"/>
    </w:rPr>
  </w:style>
  <w:style w:type="paragraph" w:customStyle="1" w:styleId="30">
    <w:name w:val="标题3"/>
    <w:basedOn w:val="Normal"/>
    <w:rsid w:val="009D4A93"/>
    <w:pPr>
      <w:widowControl w:val="0"/>
      <w:autoSpaceDE w:val="0"/>
      <w:autoSpaceDN w:val="0"/>
      <w:adjustRightInd w:val="0"/>
      <w:spacing w:after="0" w:line="360" w:lineRule="auto"/>
      <w:ind w:left="1134"/>
      <w:jc w:val="both"/>
    </w:pPr>
    <w:rPr>
      <w:i/>
      <w:color w:val="0000FF"/>
      <w:sz w:val="21"/>
      <w:lang w:val="en-US" w:eastAsia="zh-CN"/>
    </w:rPr>
  </w:style>
  <w:style w:type="paragraph" w:customStyle="1" w:styleId="BL">
    <w:name w:val="BL"/>
    <w:basedOn w:val="Normal"/>
    <w:rsid w:val="009D4A93"/>
    <w:pPr>
      <w:numPr>
        <w:numId w:val="25"/>
      </w:numPr>
      <w:tabs>
        <w:tab w:val="left" w:pos="851"/>
      </w:tabs>
      <w:overflowPunct w:val="0"/>
      <w:autoSpaceDE w:val="0"/>
      <w:autoSpaceDN w:val="0"/>
      <w:adjustRightInd w:val="0"/>
      <w:textAlignment w:val="baseline"/>
    </w:pPr>
  </w:style>
  <w:style w:type="paragraph" w:customStyle="1" w:styleId="BN">
    <w:name w:val="BN"/>
    <w:basedOn w:val="Normal"/>
    <w:rsid w:val="009D4A93"/>
    <w:pPr>
      <w:numPr>
        <w:numId w:val="24"/>
      </w:numPr>
      <w:overflowPunct w:val="0"/>
      <w:autoSpaceDE w:val="0"/>
      <w:autoSpaceDN w:val="0"/>
      <w:adjustRightInd w:val="0"/>
      <w:textAlignment w:val="baseline"/>
    </w:pPr>
  </w:style>
  <w:style w:type="table" w:customStyle="1" w:styleId="15">
    <w:name w:val="网格型1"/>
    <w:basedOn w:val="TableNormal"/>
    <w:next w:val="TableGrid"/>
    <w:rsid w:val="009D4A9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Body">
    <w:name w:val="Statement Body"/>
    <w:basedOn w:val="Bibliography"/>
    <w:rsid w:val="009D4A93"/>
    <w:pPr>
      <w:numPr>
        <w:numId w:val="26"/>
      </w:numPr>
      <w:tabs>
        <w:tab w:val="num" w:pos="432"/>
      </w:tabs>
      <w:autoSpaceDE/>
      <w:autoSpaceDN/>
      <w:adjustRightInd/>
      <w:snapToGrid/>
      <w:spacing w:after="100" w:afterAutospacing="1"/>
      <w:ind w:left="432" w:hanging="432"/>
      <w:contextualSpacing/>
      <w:jc w:val="left"/>
    </w:pPr>
    <w:rPr>
      <w:rFonts w:eastAsia="Times New Roman"/>
      <w:szCs w:val="24"/>
      <w:lang w:eastAsia="ko-KR"/>
    </w:rPr>
  </w:style>
  <w:style w:type="paragraph" w:styleId="Bibliography">
    <w:name w:val="Bibliography"/>
    <w:basedOn w:val="Normal"/>
    <w:next w:val="Normal"/>
    <w:uiPriority w:val="37"/>
    <w:semiHidden/>
    <w:unhideWhenUsed/>
    <w:rsid w:val="009D4A93"/>
    <w:pPr>
      <w:autoSpaceDE w:val="0"/>
      <w:autoSpaceDN w:val="0"/>
      <w:adjustRightInd w:val="0"/>
      <w:snapToGrid w:val="0"/>
      <w:spacing w:after="120"/>
      <w:jc w:val="both"/>
    </w:pPr>
    <w:rPr>
      <w:sz w:val="22"/>
      <w:szCs w:val="22"/>
      <w:lang w:val="en-US"/>
    </w:rPr>
  </w:style>
  <w:style w:type="table" w:customStyle="1" w:styleId="21">
    <w:name w:val="网格型2"/>
    <w:basedOn w:val="TableNormal"/>
    <w:next w:val="TableGrid"/>
    <w:uiPriority w:val="39"/>
    <w:rsid w:val="009D4A93"/>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021">
      <w:bodyDiv w:val="1"/>
      <w:marLeft w:val="0"/>
      <w:marRight w:val="0"/>
      <w:marTop w:val="0"/>
      <w:marBottom w:val="0"/>
      <w:divBdr>
        <w:top w:val="none" w:sz="0" w:space="0" w:color="auto"/>
        <w:left w:val="none" w:sz="0" w:space="0" w:color="auto"/>
        <w:bottom w:val="none" w:sz="0" w:space="0" w:color="auto"/>
        <w:right w:val="none" w:sz="0" w:space="0" w:color="auto"/>
      </w:divBdr>
    </w:div>
    <w:div w:id="158350140">
      <w:bodyDiv w:val="1"/>
      <w:marLeft w:val="0"/>
      <w:marRight w:val="0"/>
      <w:marTop w:val="0"/>
      <w:marBottom w:val="0"/>
      <w:divBdr>
        <w:top w:val="none" w:sz="0" w:space="0" w:color="auto"/>
        <w:left w:val="none" w:sz="0" w:space="0" w:color="auto"/>
        <w:bottom w:val="none" w:sz="0" w:space="0" w:color="auto"/>
        <w:right w:val="none" w:sz="0" w:space="0" w:color="auto"/>
      </w:divBdr>
    </w:div>
    <w:div w:id="180364857">
      <w:bodyDiv w:val="1"/>
      <w:marLeft w:val="0"/>
      <w:marRight w:val="0"/>
      <w:marTop w:val="0"/>
      <w:marBottom w:val="0"/>
      <w:divBdr>
        <w:top w:val="none" w:sz="0" w:space="0" w:color="auto"/>
        <w:left w:val="none" w:sz="0" w:space="0" w:color="auto"/>
        <w:bottom w:val="none" w:sz="0" w:space="0" w:color="auto"/>
        <w:right w:val="none" w:sz="0" w:space="0" w:color="auto"/>
      </w:divBdr>
    </w:div>
    <w:div w:id="229072654">
      <w:bodyDiv w:val="1"/>
      <w:marLeft w:val="0"/>
      <w:marRight w:val="0"/>
      <w:marTop w:val="0"/>
      <w:marBottom w:val="0"/>
      <w:divBdr>
        <w:top w:val="none" w:sz="0" w:space="0" w:color="auto"/>
        <w:left w:val="none" w:sz="0" w:space="0" w:color="auto"/>
        <w:bottom w:val="none" w:sz="0" w:space="0" w:color="auto"/>
        <w:right w:val="none" w:sz="0" w:space="0" w:color="auto"/>
      </w:divBdr>
    </w:div>
    <w:div w:id="319777363">
      <w:bodyDiv w:val="1"/>
      <w:marLeft w:val="0"/>
      <w:marRight w:val="0"/>
      <w:marTop w:val="0"/>
      <w:marBottom w:val="0"/>
      <w:divBdr>
        <w:top w:val="none" w:sz="0" w:space="0" w:color="auto"/>
        <w:left w:val="none" w:sz="0" w:space="0" w:color="auto"/>
        <w:bottom w:val="none" w:sz="0" w:space="0" w:color="auto"/>
        <w:right w:val="none" w:sz="0" w:space="0" w:color="auto"/>
      </w:divBdr>
    </w:div>
    <w:div w:id="412167830">
      <w:bodyDiv w:val="1"/>
      <w:marLeft w:val="0"/>
      <w:marRight w:val="0"/>
      <w:marTop w:val="0"/>
      <w:marBottom w:val="0"/>
      <w:divBdr>
        <w:top w:val="none" w:sz="0" w:space="0" w:color="auto"/>
        <w:left w:val="none" w:sz="0" w:space="0" w:color="auto"/>
        <w:bottom w:val="none" w:sz="0" w:space="0" w:color="auto"/>
        <w:right w:val="none" w:sz="0" w:space="0" w:color="auto"/>
      </w:divBdr>
    </w:div>
    <w:div w:id="491801542">
      <w:bodyDiv w:val="1"/>
      <w:marLeft w:val="0"/>
      <w:marRight w:val="0"/>
      <w:marTop w:val="0"/>
      <w:marBottom w:val="0"/>
      <w:divBdr>
        <w:top w:val="none" w:sz="0" w:space="0" w:color="auto"/>
        <w:left w:val="none" w:sz="0" w:space="0" w:color="auto"/>
        <w:bottom w:val="none" w:sz="0" w:space="0" w:color="auto"/>
        <w:right w:val="none" w:sz="0" w:space="0" w:color="auto"/>
      </w:divBdr>
    </w:div>
    <w:div w:id="567425301">
      <w:bodyDiv w:val="1"/>
      <w:marLeft w:val="0"/>
      <w:marRight w:val="0"/>
      <w:marTop w:val="0"/>
      <w:marBottom w:val="0"/>
      <w:divBdr>
        <w:top w:val="none" w:sz="0" w:space="0" w:color="auto"/>
        <w:left w:val="none" w:sz="0" w:space="0" w:color="auto"/>
        <w:bottom w:val="none" w:sz="0" w:space="0" w:color="auto"/>
        <w:right w:val="none" w:sz="0" w:space="0" w:color="auto"/>
      </w:divBdr>
    </w:div>
    <w:div w:id="654653091">
      <w:bodyDiv w:val="1"/>
      <w:marLeft w:val="0"/>
      <w:marRight w:val="0"/>
      <w:marTop w:val="0"/>
      <w:marBottom w:val="0"/>
      <w:divBdr>
        <w:top w:val="none" w:sz="0" w:space="0" w:color="auto"/>
        <w:left w:val="none" w:sz="0" w:space="0" w:color="auto"/>
        <w:bottom w:val="none" w:sz="0" w:space="0" w:color="auto"/>
        <w:right w:val="none" w:sz="0" w:space="0" w:color="auto"/>
      </w:divBdr>
    </w:div>
    <w:div w:id="723985943">
      <w:bodyDiv w:val="1"/>
      <w:marLeft w:val="0"/>
      <w:marRight w:val="0"/>
      <w:marTop w:val="0"/>
      <w:marBottom w:val="0"/>
      <w:divBdr>
        <w:top w:val="none" w:sz="0" w:space="0" w:color="auto"/>
        <w:left w:val="none" w:sz="0" w:space="0" w:color="auto"/>
        <w:bottom w:val="none" w:sz="0" w:space="0" w:color="auto"/>
        <w:right w:val="none" w:sz="0" w:space="0" w:color="auto"/>
      </w:divBdr>
    </w:div>
    <w:div w:id="748695916">
      <w:bodyDiv w:val="1"/>
      <w:marLeft w:val="0"/>
      <w:marRight w:val="0"/>
      <w:marTop w:val="0"/>
      <w:marBottom w:val="0"/>
      <w:divBdr>
        <w:top w:val="none" w:sz="0" w:space="0" w:color="auto"/>
        <w:left w:val="none" w:sz="0" w:space="0" w:color="auto"/>
        <w:bottom w:val="none" w:sz="0" w:space="0" w:color="auto"/>
        <w:right w:val="none" w:sz="0" w:space="0" w:color="auto"/>
      </w:divBdr>
    </w:div>
    <w:div w:id="1009992451">
      <w:bodyDiv w:val="1"/>
      <w:marLeft w:val="0"/>
      <w:marRight w:val="0"/>
      <w:marTop w:val="0"/>
      <w:marBottom w:val="0"/>
      <w:divBdr>
        <w:top w:val="none" w:sz="0" w:space="0" w:color="auto"/>
        <w:left w:val="none" w:sz="0" w:space="0" w:color="auto"/>
        <w:bottom w:val="none" w:sz="0" w:space="0" w:color="auto"/>
        <w:right w:val="none" w:sz="0" w:space="0" w:color="auto"/>
      </w:divBdr>
      <w:divsChild>
        <w:div w:id="557136169">
          <w:marLeft w:val="1166"/>
          <w:marRight w:val="0"/>
          <w:marTop w:val="86"/>
          <w:marBottom w:val="0"/>
          <w:divBdr>
            <w:top w:val="none" w:sz="0" w:space="0" w:color="auto"/>
            <w:left w:val="none" w:sz="0" w:space="0" w:color="auto"/>
            <w:bottom w:val="none" w:sz="0" w:space="0" w:color="auto"/>
            <w:right w:val="none" w:sz="0" w:space="0" w:color="auto"/>
          </w:divBdr>
        </w:div>
        <w:div w:id="947392748">
          <w:marLeft w:val="1166"/>
          <w:marRight w:val="0"/>
          <w:marTop w:val="86"/>
          <w:marBottom w:val="0"/>
          <w:divBdr>
            <w:top w:val="none" w:sz="0" w:space="0" w:color="auto"/>
            <w:left w:val="none" w:sz="0" w:space="0" w:color="auto"/>
            <w:bottom w:val="none" w:sz="0" w:space="0" w:color="auto"/>
            <w:right w:val="none" w:sz="0" w:space="0" w:color="auto"/>
          </w:divBdr>
        </w:div>
        <w:div w:id="1455295109">
          <w:marLeft w:val="547"/>
          <w:marRight w:val="0"/>
          <w:marTop w:val="96"/>
          <w:marBottom w:val="0"/>
          <w:divBdr>
            <w:top w:val="none" w:sz="0" w:space="0" w:color="auto"/>
            <w:left w:val="none" w:sz="0" w:space="0" w:color="auto"/>
            <w:bottom w:val="none" w:sz="0" w:space="0" w:color="auto"/>
            <w:right w:val="none" w:sz="0" w:space="0" w:color="auto"/>
          </w:divBdr>
        </w:div>
      </w:divsChild>
    </w:div>
    <w:div w:id="1212767982">
      <w:bodyDiv w:val="1"/>
      <w:marLeft w:val="0"/>
      <w:marRight w:val="0"/>
      <w:marTop w:val="0"/>
      <w:marBottom w:val="0"/>
      <w:divBdr>
        <w:top w:val="none" w:sz="0" w:space="0" w:color="auto"/>
        <w:left w:val="none" w:sz="0" w:space="0" w:color="auto"/>
        <w:bottom w:val="none" w:sz="0" w:space="0" w:color="auto"/>
        <w:right w:val="none" w:sz="0" w:space="0" w:color="auto"/>
      </w:divBdr>
      <w:divsChild>
        <w:div w:id="157889858">
          <w:marLeft w:val="1166"/>
          <w:marRight w:val="0"/>
          <w:marTop w:val="106"/>
          <w:marBottom w:val="0"/>
          <w:divBdr>
            <w:top w:val="none" w:sz="0" w:space="0" w:color="auto"/>
            <w:left w:val="none" w:sz="0" w:space="0" w:color="auto"/>
            <w:bottom w:val="none" w:sz="0" w:space="0" w:color="auto"/>
            <w:right w:val="none" w:sz="0" w:space="0" w:color="auto"/>
          </w:divBdr>
        </w:div>
        <w:div w:id="457531094">
          <w:marLeft w:val="1166"/>
          <w:marRight w:val="0"/>
          <w:marTop w:val="106"/>
          <w:marBottom w:val="0"/>
          <w:divBdr>
            <w:top w:val="none" w:sz="0" w:space="0" w:color="auto"/>
            <w:left w:val="none" w:sz="0" w:space="0" w:color="auto"/>
            <w:bottom w:val="none" w:sz="0" w:space="0" w:color="auto"/>
            <w:right w:val="none" w:sz="0" w:space="0" w:color="auto"/>
          </w:divBdr>
        </w:div>
      </w:divsChild>
    </w:div>
    <w:div w:id="1414934865">
      <w:bodyDiv w:val="1"/>
      <w:marLeft w:val="0"/>
      <w:marRight w:val="0"/>
      <w:marTop w:val="0"/>
      <w:marBottom w:val="0"/>
      <w:divBdr>
        <w:top w:val="none" w:sz="0" w:space="0" w:color="auto"/>
        <w:left w:val="none" w:sz="0" w:space="0" w:color="auto"/>
        <w:bottom w:val="none" w:sz="0" w:space="0" w:color="auto"/>
        <w:right w:val="none" w:sz="0" w:space="0" w:color="auto"/>
      </w:divBdr>
    </w:div>
    <w:div w:id="1446731333">
      <w:bodyDiv w:val="1"/>
      <w:marLeft w:val="0"/>
      <w:marRight w:val="0"/>
      <w:marTop w:val="0"/>
      <w:marBottom w:val="0"/>
      <w:divBdr>
        <w:top w:val="none" w:sz="0" w:space="0" w:color="auto"/>
        <w:left w:val="none" w:sz="0" w:space="0" w:color="auto"/>
        <w:bottom w:val="none" w:sz="0" w:space="0" w:color="auto"/>
        <w:right w:val="none" w:sz="0" w:space="0" w:color="auto"/>
      </w:divBdr>
      <w:divsChild>
        <w:div w:id="779881448">
          <w:marLeft w:val="0"/>
          <w:marRight w:val="0"/>
          <w:marTop w:val="0"/>
          <w:marBottom w:val="0"/>
          <w:divBdr>
            <w:top w:val="none" w:sz="0" w:space="0" w:color="auto"/>
            <w:left w:val="none" w:sz="0" w:space="0" w:color="auto"/>
            <w:bottom w:val="none" w:sz="0" w:space="0" w:color="auto"/>
            <w:right w:val="none" w:sz="0" w:space="0" w:color="auto"/>
          </w:divBdr>
          <w:divsChild>
            <w:div w:id="16490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6626">
      <w:bodyDiv w:val="1"/>
      <w:marLeft w:val="0"/>
      <w:marRight w:val="0"/>
      <w:marTop w:val="0"/>
      <w:marBottom w:val="0"/>
      <w:divBdr>
        <w:top w:val="none" w:sz="0" w:space="0" w:color="auto"/>
        <w:left w:val="none" w:sz="0" w:space="0" w:color="auto"/>
        <w:bottom w:val="none" w:sz="0" w:space="0" w:color="auto"/>
        <w:right w:val="none" w:sz="0" w:space="0" w:color="auto"/>
      </w:divBdr>
    </w:div>
    <w:div w:id="1704984955">
      <w:bodyDiv w:val="1"/>
      <w:marLeft w:val="0"/>
      <w:marRight w:val="0"/>
      <w:marTop w:val="0"/>
      <w:marBottom w:val="0"/>
      <w:divBdr>
        <w:top w:val="none" w:sz="0" w:space="0" w:color="auto"/>
        <w:left w:val="none" w:sz="0" w:space="0" w:color="auto"/>
        <w:bottom w:val="none" w:sz="0" w:space="0" w:color="auto"/>
        <w:right w:val="none" w:sz="0" w:space="0" w:color="auto"/>
      </w:divBdr>
    </w:div>
    <w:div w:id="1742211453">
      <w:bodyDiv w:val="1"/>
      <w:marLeft w:val="0"/>
      <w:marRight w:val="0"/>
      <w:marTop w:val="0"/>
      <w:marBottom w:val="0"/>
      <w:divBdr>
        <w:top w:val="none" w:sz="0" w:space="0" w:color="auto"/>
        <w:left w:val="none" w:sz="0" w:space="0" w:color="auto"/>
        <w:bottom w:val="none" w:sz="0" w:space="0" w:color="auto"/>
        <w:right w:val="none" w:sz="0" w:space="0" w:color="auto"/>
      </w:divBdr>
    </w:div>
    <w:div w:id="1965427216">
      <w:bodyDiv w:val="1"/>
      <w:marLeft w:val="0"/>
      <w:marRight w:val="0"/>
      <w:marTop w:val="0"/>
      <w:marBottom w:val="0"/>
      <w:divBdr>
        <w:top w:val="none" w:sz="0" w:space="0" w:color="auto"/>
        <w:left w:val="none" w:sz="0" w:space="0" w:color="auto"/>
        <w:bottom w:val="none" w:sz="0" w:space="0" w:color="auto"/>
        <w:right w:val="none" w:sz="0" w:space="0" w:color="auto"/>
      </w:divBdr>
    </w:div>
    <w:div w:id="1968587012">
      <w:bodyDiv w:val="1"/>
      <w:marLeft w:val="0"/>
      <w:marRight w:val="0"/>
      <w:marTop w:val="0"/>
      <w:marBottom w:val="0"/>
      <w:divBdr>
        <w:top w:val="none" w:sz="0" w:space="0" w:color="auto"/>
        <w:left w:val="none" w:sz="0" w:space="0" w:color="auto"/>
        <w:bottom w:val="none" w:sz="0" w:space="0" w:color="auto"/>
        <w:right w:val="none" w:sz="0" w:space="0" w:color="auto"/>
      </w:divBdr>
      <w:divsChild>
        <w:div w:id="441651748">
          <w:marLeft w:val="0"/>
          <w:marRight w:val="0"/>
          <w:marTop w:val="0"/>
          <w:marBottom w:val="0"/>
          <w:divBdr>
            <w:top w:val="none" w:sz="0" w:space="0" w:color="auto"/>
            <w:left w:val="none" w:sz="0" w:space="0" w:color="auto"/>
            <w:bottom w:val="none" w:sz="0" w:space="0" w:color="auto"/>
            <w:right w:val="none" w:sz="0" w:space="0" w:color="auto"/>
          </w:divBdr>
          <w:divsChild>
            <w:div w:id="16500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849">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1243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package" Target="embeddings/Microsoft_Visio_Drawing.vsdx"/><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7.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cid:image001.png@01D3E3E6.8A8631F0" TargetMode="External"/><Relationship Id="rId5" Type="http://schemas.openxmlformats.org/officeDocument/2006/relationships/customXml" Target="../customXml/item4.xml"/><Relationship Id="rId15" Type="http://schemas.openxmlformats.org/officeDocument/2006/relationships/hyperlink" Target="https://mentor.ieee.org/802.11/dcn/14/11-14-0571-08-00ax-evaluation-methodology.docx"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4640988C4649488F02E0537EA64775" ma:contentTypeVersion="1" ma:contentTypeDescription="Create a new document." ma:contentTypeScope="" ma:versionID="16925b77535a0a009f75ec586eaf57c4">
  <xsd:schema xmlns:xsd="http://www.w3.org/2001/XMLSchema" xmlns:xs="http://www.w3.org/2001/XMLSchema" xmlns:p="http://schemas.microsoft.com/office/2006/metadata/properties" xmlns:ns2="df4eea7b-52db-4162-980b-b352f1b580a3" xmlns:ns3="http://schemas.microsoft.com/sharepoint/v4" targetNamespace="http://schemas.microsoft.com/office/2006/metadata/properties" ma:root="true" ma:fieldsID="ff157fc4ca7e4b673a7a91bd85040b9e" ns2:_="" ns3:_="">
    <xsd:import namespace="df4eea7b-52db-4162-980b-b352f1b580a3"/>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eea7b-52db-4162-980b-b352f1b580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df4eea7b-52db-4162-980b-b352f1b580a3">3EQ6UJ4K66FU-4-32945</_dlc_DocId>
    <_dlc_DocIdUrl xmlns="df4eea7b-52db-4162-980b-b352f1b580a3">
      <Url>https://projects.qualcomm.com/sites/meridian/_layouts/15/DocIdRedir.aspx?ID=3EQ6UJ4K66FU-4-32945</Url>
      <Description>3EQ6UJ4K66FU-4-32945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866E9-C09A-4D63-88D2-EB57C5017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4eea7b-52db-4162-980b-b352f1b580a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8A9F1C-1E89-4F00-9C4C-873F470CA459}">
  <ds:schemaRefs>
    <ds:schemaRef ds:uri="http://schemas.microsoft.com/sharepoint/events"/>
  </ds:schemaRefs>
</ds:datastoreItem>
</file>

<file path=customXml/itemProps3.xml><?xml version="1.0" encoding="utf-8"?>
<ds:datastoreItem xmlns:ds="http://schemas.openxmlformats.org/officeDocument/2006/customXml" ds:itemID="{4705B68A-DD3C-4E9A-BC6F-A86FA30B5CFC}">
  <ds:schemaRefs>
    <ds:schemaRef ds:uri="http://schemas.microsoft.com/sharepoint/v3/contenttype/forms"/>
  </ds:schemaRefs>
</ds:datastoreItem>
</file>

<file path=customXml/itemProps4.xml><?xml version="1.0" encoding="utf-8"?>
<ds:datastoreItem xmlns:ds="http://schemas.openxmlformats.org/officeDocument/2006/customXml" ds:itemID="{19C53EB7-94F8-472D-8F1F-B4400ECD1057}">
  <ds:schemaRefs>
    <ds:schemaRef ds:uri="http://schemas.microsoft.com/office/2006/metadata/properties"/>
    <ds:schemaRef ds:uri="http://schemas.microsoft.com/office/infopath/2007/PartnerControls"/>
    <ds:schemaRef ds:uri="http://schemas.microsoft.com/sharepoint/v4"/>
    <ds:schemaRef ds:uri="df4eea7b-52db-4162-980b-b352f1b580a3"/>
  </ds:schemaRefs>
</ds:datastoreItem>
</file>

<file path=customXml/itemProps5.xml><?xml version="1.0" encoding="utf-8"?>
<ds:datastoreItem xmlns:ds="http://schemas.openxmlformats.org/officeDocument/2006/customXml" ds:itemID="{2C5D693C-43DD-4518-A414-E674BB25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68</Pages>
  <Words>46040</Words>
  <Characters>262434</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3GPP TR ab.cde</vt:lpstr>
    </vt:vector>
  </TitlesOfParts>
  <Company>Ericsson</Company>
  <LinksUpToDate>false</LinksUpToDate>
  <CharactersWithSpaces>307859</CharactersWithSpaces>
  <SharedDoc>false</SharedDoc>
  <HyperlinkBase/>
  <HLinks>
    <vt:vector size="222" baseType="variant">
      <vt:variant>
        <vt:i4>5636180</vt:i4>
      </vt:variant>
      <vt:variant>
        <vt:i4>219</vt:i4>
      </vt:variant>
      <vt:variant>
        <vt:i4>0</vt:i4>
      </vt:variant>
      <vt:variant>
        <vt:i4>5</vt:i4>
      </vt:variant>
      <vt:variant>
        <vt:lpwstr>https://mentor.ieee.org/802.11/dcn/14/11-14-0571-08-00ax-evaluation-methodology.docx</vt:lpwstr>
      </vt:variant>
      <vt:variant>
        <vt:lpwstr/>
      </vt:variant>
      <vt:variant>
        <vt:i4>1245235</vt:i4>
      </vt:variant>
      <vt:variant>
        <vt:i4>212</vt:i4>
      </vt:variant>
      <vt:variant>
        <vt:i4>0</vt:i4>
      </vt:variant>
      <vt:variant>
        <vt:i4>5</vt:i4>
      </vt:variant>
      <vt:variant>
        <vt:lpwstr/>
      </vt:variant>
      <vt:variant>
        <vt:lpwstr>_Toc507312054</vt:lpwstr>
      </vt:variant>
      <vt:variant>
        <vt:i4>1245235</vt:i4>
      </vt:variant>
      <vt:variant>
        <vt:i4>206</vt:i4>
      </vt:variant>
      <vt:variant>
        <vt:i4>0</vt:i4>
      </vt:variant>
      <vt:variant>
        <vt:i4>5</vt:i4>
      </vt:variant>
      <vt:variant>
        <vt:lpwstr/>
      </vt:variant>
      <vt:variant>
        <vt:lpwstr>_Toc507312053</vt:lpwstr>
      </vt:variant>
      <vt:variant>
        <vt:i4>1245235</vt:i4>
      </vt:variant>
      <vt:variant>
        <vt:i4>200</vt:i4>
      </vt:variant>
      <vt:variant>
        <vt:i4>0</vt:i4>
      </vt:variant>
      <vt:variant>
        <vt:i4>5</vt:i4>
      </vt:variant>
      <vt:variant>
        <vt:lpwstr/>
      </vt:variant>
      <vt:variant>
        <vt:lpwstr>_Toc507312052</vt:lpwstr>
      </vt:variant>
      <vt:variant>
        <vt:i4>1245235</vt:i4>
      </vt:variant>
      <vt:variant>
        <vt:i4>194</vt:i4>
      </vt:variant>
      <vt:variant>
        <vt:i4>0</vt:i4>
      </vt:variant>
      <vt:variant>
        <vt:i4>5</vt:i4>
      </vt:variant>
      <vt:variant>
        <vt:lpwstr/>
      </vt:variant>
      <vt:variant>
        <vt:lpwstr>_Toc507312051</vt:lpwstr>
      </vt:variant>
      <vt:variant>
        <vt:i4>1245235</vt:i4>
      </vt:variant>
      <vt:variant>
        <vt:i4>188</vt:i4>
      </vt:variant>
      <vt:variant>
        <vt:i4>0</vt:i4>
      </vt:variant>
      <vt:variant>
        <vt:i4>5</vt:i4>
      </vt:variant>
      <vt:variant>
        <vt:lpwstr/>
      </vt:variant>
      <vt:variant>
        <vt:lpwstr>_Toc507312050</vt:lpwstr>
      </vt:variant>
      <vt:variant>
        <vt:i4>1179699</vt:i4>
      </vt:variant>
      <vt:variant>
        <vt:i4>182</vt:i4>
      </vt:variant>
      <vt:variant>
        <vt:i4>0</vt:i4>
      </vt:variant>
      <vt:variant>
        <vt:i4>5</vt:i4>
      </vt:variant>
      <vt:variant>
        <vt:lpwstr/>
      </vt:variant>
      <vt:variant>
        <vt:lpwstr>_Toc507312049</vt:lpwstr>
      </vt:variant>
      <vt:variant>
        <vt:i4>1179699</vt:i4>
      </vt:variant>
      <vt:variant>
        <vt:i4>176</vt:i4>
      </vt:variant>
      <vt:variant>
        <vt:i4>0</vt:i4>
      </vt:variant>
      <vt:variant>
        <vt:i4>5</vt:i4>
      </vt:variant>
      <vt:variant>
        <vt:lpwstr/>
      </vt:variant>
      <vt:variant>
        <vt:lpwstr>_Toc507312048</vt:lpwstr>
      </vt:variant>
      <vt:variant>
        <vt:i4>1179699</vt:i4>
      </vt:variant>
      <vt:variant>
        <vt:i4>170</vt:i4>
      </vt:variant>
      <vt:variant>
        <vt:i4>0</vt:i4>
      </vt:variant>
      <vt:variant>
        <vt:i4>5</vt:i4>
      </vt:variant>
      <vt:variant>
        <vt:lpwstr/>
      </vt:variant>
      <vt:variant>
        <vt:lpwstr>_Toc507312047</vt:lpwstr>
      </vt:variant>
      <vt:variant>
        <vt:i4>1179699</vt:i4>
      </vt:variant>
      <vt:variant>
        <vt:i4>164</vt:i4>
      </vt:variant>
      <vt:variant>
        <vt:i4>0</vt:i4>
      </vt:variant>
      <vt:variant>
        <vt:i4>5</vt:i4>
      </vt:variant>
      <vt:variant>
        <vt:lpwstr/>
      </vt:variant>
      <vt:variant>
        <vt:lpwstr>_Toc507312046</vt:lpwstr>
      </vt:variant>
      <vt:variant>
        <vt:i4>1179699</vt:i4>
      </vt:variant>
      <vt:variant>
        <vt:i4>158</vt:i4>
      </vt:variant>
      <vt:variant>
        <vt:i4>0</vt:i4>
      </vt:variant>
      <vt:variant>
        <vt:i4>5</vt:i4>
      </vt:variant>
      <vt:variant>
        <vt:lpwstr/>
      </vt:variant>
      <vt:variant>
        <vt:lpwstr>_Toc507312045</vt:lpwstr>
      </vt:variant>
      <vt:variant>
        <vt:i4>1179699</vt:i4>
      </vt:variant>
      <vt:variant>
        <vt:i4>152</vt:i4>
      </vt:variant>
      <vt:variant>
        <vt:i4>0</vt:i4>
      </vt:variant>
      <vt:variant>
        <vt:i4>5</vt:i4>
      </vt:variant>
      <vt:variant>
        <vt:lpwstr/>
      </vt:variant>
      <vt:variant>
        <vt:lpwstr>_Toc507312044</vt:lpwstr>
      </vt:variant>
      <vt:variant>
        <vt:i4>1179699</vt:i4>
      </vt:variant>
      <vt:variant>
        <vt:i4>146</vt:i4>
      </vt:variant>
      <vt:variant>
        <vt:i4>0</vt:i4>
      </vt:variant>
      <vt:variant>
        <vt:i4>5</vt:i4>
      </vt:variant>
      <vt:variant>
        <vt:lpwstr/>
      </vt:variant>
      <vt:variant>
        <vt:lpwstr>_Toc507312043</vt:lpwstr>
      </vt:variant>
      <vt:variant>
        <vt:i4>1179699</vt:i4>
      </vt:variant>
      <vt:variant>
        <vt:i4>140</vt:i4>
      </vt:variant>
      <vt:variant>
        <vt:i4>0</vt:i4>
      </vt:variant>
      <vt:variant>
        <vt:i4>5</vt:i4>
      </vt:variant>
      <vt:variant>
        <vt:lpwstr/>
      </vt:variant>
      <vt:variant>
        <vt:lpwstr>_Toc507312042</vt:lpwstr>
      </vt:variant>
      <vt:variant>
        <vt:i4>1179699</vt:i4>
      </vt:variant>
      <vt:variant>
        <vt:i4>134</vt:i4>
      </vt:variant>
      <vt:variant>
        <vt:i4>0</vt:i4>
      </vt:variant>
      <vt:variant>
        <vt:i4>5</vt:i4>
      </vt:variant>
      <vt:variant>
        <vt:lpwstr/>
      </vt:variant>
      <vt:variant>
        <vt:lpwstr>_Toc507312041</vt:lpwstr>
      </vt:variant>
      <vt:variant>
        <vt:i4>1179699</vt:i4>
      </vt:variant>
      <vt:variant>
        <vt:i4>128</vt:i4>
      </vt:variant>
      <vt:variant>
        <vt:i4>0</vt:i4>
      </vt:variant>
      <vt:variant>
        <vt:i4>5</vt:i4>
      </vt:variant>
      <vt:variant>
        <vt:lpwstr/>
      </vt:variant>
      <vt:variant>
        <vt:lpwstr>_Toc507312040</vt:lpwstr>
      </vt:variant>
      <vt:variant>
        <vt:i4>1376307</vt:i4>
      </vt:variant>
      <vt:variant>
        <vt:i4>122</vt:i4>
      </vt:variant>
      <vt:variant>
        <vt:i4>0</vt:i4>
      </vt:variant>
      <vt:variant>
        <vt:i4>5</vt:i4>
      </vt:variant>
      <vt:variant>
        <vt:lpwstr/>
      </vt:variant>
      <vt:variant>
        <vt:lpwstr>_Toc507312039</vt:lpwstr>
      </vt:variant>
      <vt:variant>
        <vt:i4>1376307</vt:i4>
      </vt:variant>
      <vt:variant>
        <vt:i4>116</vt:i4>
      </vt:variant>
      <vt:variant>
        <vt:i4>0</vt:i4>
      </vt:variant>
      <vt:variant>
        <vt:i4>5</vt:i4>
      </vt:variant>
      <vt:variant>
        <vt:lpwstr/>
      </vt:variant>
      <vt:variant>
        <vt:lpwstr>_Toc507312038</vt:lpwstr>
      </vt:variant>
      <vt:variant>
        <vt:i4>1376307</vt:i4>
      </vt:variant>
      <vt:variant>
        <vt:i4>110</vt:i4>
      </vt:variant>
      <vt:variant>
        <vt:i4>0</vt:i4>
      </vt:variant>
      <vt:variant>
        <vt:i4>5</vt:i4>
      </vt:variant>
      <vt:variant>
        <vt:lpwstr/>
      </vt:variant>
      <vt:variant>
        <vt:lpwstr>_Toc507312037</vt:lpwstr>
      </vt:variant>
      <vt:variant>
        <vt:i4>1376307</vt:i4>
      </vt:variant>
      <vt:variant>
        <vt:i4>104</vt:i4>
      </vt:variant>
      <vt:variant>
        <vt:i4>0</vt:i4>
      </vt:variant>
      <vt:variant>
        <vt:i4>5</vt:i4>
      </vt:variant>
      <vt:variant>
        <vt:lpwstr/>
      </vt:variant>
      <vt:variant>
        <vt:lpwstr>_Toc507312036</vt:lpwstr>
      </vt:variant>
      <vt:variant>
        <vt:i4>1376307</vt:i4>
      </vt:variant>
      <vt:variant>
        <vt:i4>98</vt:i4>
      </vt:variant>
      <vt:variant>
        <vt:i4>0</vt:i4>
      </vt:variant>
      <vt:variant>
        <vt:i4>5</vt:i4>
      </vt:variant>
      <vt:variant>
        <vt:lpwstr/>
      </vt:variant>
      <vt:variant>
        <vt:lpwstr>_Toc507312035</vt:lpwstr>
      </vt:variant>
      <vt:variant>
        <vt:i4>1376307</vt:i4>
      </vt:variant>
      <vt:variant>
        <vt:i4>92</vt:i4>
      </vt:variant>
      <vt:variant>
        <vt:i4>0</vt:i4>
      </vt:variant>
      <vt:variant>
        <vt:i4>5</vt:i4>
      </vt:variant>
      <vt:variant>
        <vt:lpwstr/>
      </vt:variant>
      <vt:variant>
        <vt:lpwstr>_Toc507312034</vt:lpwstr>
      </vt:variant>
      <vt:variant>
        <vt:i4>1376307</vt:i4>
      </vt:variant>
      <vt:variant>
        <vt:i4>86</vt:i4>
      </vt:variant>
      <vt:variant>
        <vt:i4>0</vt:i4>
      </vt:variant>
      <vt:variant>
        <vt:i4>5</vt:i4>
      </vt:variant>
      <vt:variant>
        <vt:lpwstr/>
      </vt:variant>
      <vt:variant>
        <vt:lpwstr>_Toc507312033</vt:lpwstr>
      </vt:variant>
      <vt:variant>
        <vt:i4>1376307</vt:i4>
      </vt:variant>
      <vt:variant>
        <vt:i4>80</vt:i4>
      </vt:variant>
      <vt:variant>
        <vt:i4>0</vt:i4>
      </vt:variant>
      <vt:variant>
        <vt:i4>5</vt:i4>
      </vt:variant>
      <vt:variant>
        <vt:lpwstr/>
      </vt:variant>
      <vt:variant>
        <vt:lpwstr>_Toc507312032</vt:lpwstr>
      </vt:variant>
      <vt:variant>
        <vt:i4>1376307</vt:i4>
      </vt:variant>
      <vt:variant>
        <vt:i4>74</vt:i4>
      </vt:variant>
      <vt:variant>
        <vt:i4>0</vt:i4>
      </vt:variant>
      <vt:variant>
        <vt:i4>5</vt:i4>
      </vt:variant>
      <vt:variant>
        <vt:lpwstr/>
      </vt:variant>
      <vt:variant>
        <vt:lpwstr>_Toc507312031</vt:lpwstr>
      </vt:variant>
      <vt:variant>
        <vt:i4>1376307</vt:i4>
      </vt:variant>
      <vt:variant>
        <vt:i4>68</vt:i4>
      </vt:variant>
      <vt:variant>
        <vt:i4>0</vt:i4>
      </vt:variant>
      <vt:variant>
        <vt:i4>5</vt:i4>
      </vt:variant>
      <vt:variant>
        <vt:lpwstr/>
      </vt:variant>
      <vt:variant>
        <vt:lpwstr>_Toc507312030</vt:lpwstr>
      </vt:variant>
      <vt:variant>
        <vt:i4>1310771</vt:i4>
      </vt:variant>
      <vt:variant>
        <vt:i4>62</vt:i4>
      </vt:variant>
      <vt:variant>
        <vt:i4>0</vt:i4>
      </vt:variant>
      <vt:variant>
        <vt:i4>5</vt:i4>
      </vt:variant>
      <vt:variant>
        <vt:lpwstr/>
      </vt:variant>
      <vt:variant>
        <vt:lpwstr>_Toc507312029</vt:lpwstr>
      </vt:variant>
      <vt:variant>
        <vt:i4>1310771</vt:i4>
      </vt:variant>
      <vt:variant>
        <vt:i4>56</vt:i4>
      </vt:variant>
      <vt:variant>
        <vt:i4>0</vt:i4>
      </vt:variant>
      <vt:variant>
        <vt:i4>5</vt:i4>
      </vt:variant>
      <vt:variant>
        <vt:lpwstr/>
      </vt:variant>
      <vt:variant>
        <vt:lpwstr>_Toc507312028</vt:lpwstr>
      </vt:variant>
      <vt:variant>
        <vt:i4>1310771</vt:i4>
      </vt:variant>
      <vt:variant>
        <vt:i4>50</vt:i4>
      </vt:variant>
      <vt:variant>
        <vt:i4>0</vt:i4>
      </vt:variant>
      <vt:variant>
        <vt:i4>5</vt:i4>
      </vt:variant>
      <vt:variant>
        <vt:lpwstr/>
      </vt:variant>
      <vt:variant>
        <vt:lpwstr>_Toc507312027</vt:lpwstr>
      </vt:variant>
      <vt:variant>
        <vt:i4>1310771</vt:i4>
      </vt:variant>
      <vt:variant>
        <vt:i4>44</vt:i4>
      </vt:variant>
      <vt:variant>
        <vt:i4>0</vt:i4>
      </vt:variant>
      <vt:variant>
        <vt:i4>5</vt:i4>
      </vt:variant>
      <vt:variant>
        <vt:lpwstr/>
      </vt:variant>
      <vt:variant>
        <vt:lpwstr>_Toc507312026</vt:lpwstr>
      </vt:variant>
      <vt:variant>
        <vt:i4>1310771</vt:i4>
      </vt:variant>
      <vt:variant>
        <vt:i4>38</vt:i4>
      </vt:variant>
      <vt:variant>
        <vt:i4>0</vt:i4>
      </vt:variant>
      <vt:variant>
        <vt:i4>5</vt:i4>
      </vt:variant>
      <vt:variant>
        <vt:lpwstr/>
      </vt:variant>
      <vt:variant>
        <vt:lpwstr>_Toc507312025</vt:lpwstr>
      </vt:variant>
      <vt:variant>
        <vt:i4>1310771</vt:i4>
      </vt:variant>
      <vt:variant>
        <vt:i4>32</vt:i4>
      </vt:variant>
      <vt:variant>
        <vt:i4>0</vt:i4>
      </vt:variant>
      <vt:variant>
        <vt:i4>5</vt:i4>
      </vt:variant>
      <vt:variant>
        <vt:lpwstr/>
      </vt:variant>
      <vt:variant>
        <vt:lpwstr>_Toc507312024</vt:lpwstr>
      </vt:variant>
      <vt:variant>
        <vt:i4>1310771</vt:i4>
      </vt:variant>
      <vt:variant>
        <vt:i4>26</vt:i4>
      </vt:variant>
      <vt:variant>
        <vt:i4>0</vt:i4>
      </vt:variant>
      <vt:variant>
        <vt:i4>5</vt:i4>
      </vt:variant>
      <vt:variant>
        <vt:lpwstr/>
      </vt:variant>
      <vt:variant>
        <vt:lpwstr>_Toc507312023</vt:lpwstr>
      </vt:variant>
      <vt:variant>
        <vt:i4>1310771</vt:i4>
      </vt:variant>
      <vt:variant>
        <vt:i4>20</vt:i4>
      </vt:variant>
      <vt:variant>
        <vt:i4>0</vt:i4>
      </vt:variant>
      <vt:variant>
        <vt:i4>5</vt:i4>
      </vt:variant>
      <vt:variant>
        <vt:lpwstr/>
      </vt:variant>
      <vt:variant>
        <vt:lpwstr>_Toc507312022</vt:lpwstr>
      </vt:variant>
      <vt:variant>
        <vt:i4>1310771</vt:i4>
      </vt:variant>
      <vt:variant>
        <vt:i4>14</vt:i4>
      </vt:variant>
      <vt:variant>
        <vt:i4>0</vt:i4>
      </vt:variant>
      <vt:variant>
        <vt:i4>5</vt:i4>
      </vt:variant>
      <vt:variant>
        <vt:lpwstr/>
      </vt:variant>
      <vt:variant>
        <vt:lpwstr>_Toc507312021</vt:lpwstr>
      </vt:variant>
      <vt:variant>
        <vt:i4>1310771</vt:i4>
      </vt:variant>
      <vt:variant>
        <vt:i4>8</vt:i4>
      </vt:variant>
      <vt:variant>
        <vt:i4>0</vt:i4>
      </vt:variant>
      <vt:variant>
        <vt:i4>5</vt:i4>
      </vt:variant>
      <vt:variant>
        <vt:lpwstr/>
      </vt:variant>
      <vt:variant>
        <vt:lpwstr>_Toc507312020</vt:lpwstr>
      </vt:variant>
      <vt:variant>
        <vt:i4>1507379</vt:i4>
      </vt:variant>
      <vt:variant>
        <vt:i4>2</vt:i4>
      </vt:variant>
      <vt:variant>
        <vt:i4>0</vt:i4>
      </vt:variant>
      <vt:variant>
        <vt:i4>5</vt:i4>
      </vt:variant>
      <vt:variant>
        <vt:lpwstr/>
      </vt:variant>
      <vt:variant>
        <vt:lpwstr>_Toc507312019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MCC Support</dc:creator>
  <cp:keywords>&lt;keyword[, keyword]&gt;</cp:keywords>
  <dc:description/>
  <cp:lastModifiedBy>CR0005r3</cp:lastModifiedBy>
  <cp:revision>2</cp:revision>
  <dcterms:created xsi:type="dcterms:W3CDTF">2018-12-19T21:06:00Z</dcterms:created>
  <dcterms:modified xsi:type="dcterms:W3CDTF">2018-12-19T21:06:00Z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0x010100B64640988C4649488F02E0537EA64775</vt:lpwstr>
  </property>
  <property fmtid="{D5CDD505-2E9C-101B-9397-08002B2CF9AE}" pid="3" name="_dlc_DocIdItemGuid">
    <vt:lpwstr>5adf634f-d5ab-4db8-b3dd-29adc05bdd42</vt:lpwstr>
  </property>
  <property fmtid="{D5CDD505-2E9C-101B-9397-08002B2CF9AE}" pid="4" name="_NewReviewCycle">
    <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1542557935</vt:lpwstr>
  </property>
</Properties>
</file>